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69" w:lineRule="auto"/>
        <w:rPr>
          <w:rFonts w:ascii="Arial"/>
          <w:sz w:val="21"/>
        </w:rPr>
      </w:pPr>
      <w:bookmarkStart w:id="251" w:name="_GoBack"/>
      <w:bookmarkEnd w:id="251"/>
    </w:p>
    <w:p>
      <w:pPr>
        <w:spacing w:line="270" w:lineRule="auto"/>
        <w:rPr>
          <w:rFonts w:ascii="Arial"/>
          <w:sz w:val="21"/>
        </w:rPr>
      </w:pPr>
    </w:p>
    <w:p>
      <w:pPr>
        <w:pStyle w:val="2"/>
        <w:spacing w:before="185" w:line="432" w:lineRule="exact"/>
        <w:ind w:left="2460"/>
        <w:rPr>
          <w:sz w:val="43"/>
          <w:szCs w:val="43"/>
        </w:rPr>
      </w:pPr>
      <w:r>
        <w:rPr>
          <w:spacing w:val="6"/>
          <w:position w:val="-2"/>
          <w:sz w:val="43"/>
          <w:szCs w:val="43"/>
        </w:rPr>
        <w:t>淄博市住房和城乡建设局</w:t>
      </w:r>
    </w:p>
    <w:p>
      <w:pPr>
        <w:pStyle w:val="2"/>
        <w:spacing w:before="125" w:line="427" w:lineRule="exact"/>
        <w:ind w:left="1790"/>
        <w:rPr>
          <w:sz w:val="42"/>
          <w:szCs w:val="42"/>
        </w:rPr>
      </w:pPr>
      <w:r>
        <w:rPr>
          <w:spacing w:val="6"/>
          <w:position w:val="-2"/>
          <w:sz w:val="42"/>
          <w:szCs w:val="42"/>
        </w:rPr>
        <w:t>关于印发</w:t>
      </w:r>
      <w:r>
        <w:rPr>
          <w:spacing w:val="64"/>
          <w:position w:val="-2"/>
          <w:sz w:val="42"/>
          <w:szCs w:val="42"/>
        </w:rPr>
        <w:t xml:space="preserve"> </w:t>
      </w:r>
      <w:r>
        <w:rPr>
          <w:spacing w:val="6"/>
          <w:position w:val="-2"/>
          <w:sz w:val="42"/>
          <w:szCs w:val="42"/>
        </w:rPr>
        <w:t>《淄博市建设工程计价</w:t>
      </w:r>
    </w:p>
    <w:p>
      <w:pPr>
        <w:pStyle w:val="2"/>
        <w:spacing w:before="130" w:line="432" w:lineRule="exact"/>
        <w:ind w:left="2668"/>
        <w:rPr>
          <w:sz w:val="39"/>
          <w:szCs w:val="39"/>
        </w:rPr>
      </w:pPr>
      <w:r>
        <w:rPr>
          <w:spacing w:val="16"/>
          <w:position w:val="1"/>
          <w:sz w:val="39"/>
          <w:szCs w:val="39"/>
        </w:rPr>
        <w:t>办法</w:t>
      </w:r>
      <w:r>
        <w:rPr>
          <w:spacing w:val="72"/>
          <w:position w:val="1"/>
          <w:sz w:val="39"/>
          <w:szCs w:val="39"/>
        </w:rPr>
        <w:t xml:space="preserve"> </w:t>
      </w:r>
      <w:r>
        <w:rPr>
          <w:rFonts w:ascii="Arial" w:hAnsi="Arial" w:eastAsia="Arial" w:cs="Arial"/>
          <w:spacing w:val="16"/>
          <w:position w:val="1"/>
          <w:sz w:val="39"/>
          <w:szCs w:val="39"/>
        </w:rPr>
        <w:t>( 2025</w:t>
      </w:r>
      <w:r>
        <w:rPr>
          <w:rFonts w:ascii="Arial" w:hAnsi="Arial" w:eastAsia="Arial" w:cs="Arial"/>
          <w:spacing w:val="35"/>
          <w:position w:val="1"/>
          <w:sz w:val="39"/>
          <w:szCs w:val="39"/>
        </w:rPr>
        <w:t xml:space="preserve"> </w:t>
      </w:r>
      <w:r>
        <w:rPr>
          <w:rFonts w:ascii="Arial" w:hAnsi="Arial" w:eastAsia="Arial" w:cs="Arial"/>
          <w:spacing w:val="16"/>
          <w:position w:val="1"/>
          <w:sz w:val="39"/>
          <w:szCs w:val="39"/>
        </w:rPr>
        <w:t>)</w:t>
      </w:r>
      <w:r>
        <w:rPr>
          <w:rFonts w:ascii="Arial" w:hAnsi="Arial" w:eastAsia="Arial" w:cs="Arial"/>
          <w:spacing w:val="25"/>
          <w:position w:val="1"/>
          <w:sz w:val="39"/>
          <w:szCs w:val="39"/>
        </w:rPr>
        <w:t xml:space="preserve">  </w:t>
      </w:r>
      <w:r>
        <w:rPr>
          <w:spacing w:val="16"/>
          <w:position w:val="1"/>
          <w:sz w:val="39"/>
          <w:szCs w:val="39"/>
        </w:rPr>
        <w:t>》的通知</w:t>
      </w:r>
    </w:p>
    <w:p>
      <w:pPr>
        <w:spacing w:line="349" w:lineRule="auto"/>
        <w:rPr>
          <w:rFonts w:ascii="Arial"/>
          <w:sz w:val="21"/>
        </w:rPr>
      </w:pPr>
    </w:p>
    <w:p>
      <w:pPr>
        <w:spacing w:line="350" w:lineRule="auto"/>
        <w:rPr>
          <w:rFonts w:ascii="Arial"/>
          <w:sz w:val="21"/>
        </w:rPr>
      </w:pPr>
    </w:p>
    <w:p>
      <w:pPr>
        <w:pStyle w:val="2"/>
        <w:spacing w:before="133" w:line="239" w:lineRule="auto"/>
        <w:ind w:left="522" w:right="528" w:hanging="14"/>
      </w:pPr>
      <w:r>
        <w:rPr>
          <w:spacing w:val="-1"/>
        </w:rPr>
        <w:t xml:space="preserve">各区县住房城乡建设局 </w:t>
      </w:r>
      <w:r>
        <w:rPr>
          <w:rFonts w:ascii="Arial" w:hAnsi="Arial" w:eastAsia="Arial" w:cs="Arial"/>
          <w:spacing w:val="-1"/>
        </w:rPr>
        <w:t>,</w:t>
      </w:r>
      <w:r>
        <w:rPr>
          <w:rFonts w:ascii="Arial" w:hAnsi="Arial" w:eastAsia="Arial" w:cs="Arial"/>
          <w:spacing w:val="42"/>
        </w:rPr>
        <w:t xml:space="preserve">  </w:t>
      </w:r>
      <w:r>
        <w:rPr>
          <w:spacing w:val="-1"/>
        </w:rPr>
        <w:t>高新区</w:t>
      </w:r>
      <w:r>
        <w:rPr>
          <w:spacing w:val="-20"/>
        </w:rPr>
        <w:t xml:space="preserve"> </w:t>
      </w:r>
      <w:r>
        <w:rPr>
          <w:spacing w:val="-1"/>
        </w:rPr>
        <w:t>、</w:t>
      </w:r>
      <w:r>
        <w:rPr>
          <w:spacing w:val="-67"/>
        </w:rPr>
        <w:t xml:space="preserve"> </w:t>
      </w:r>
      <w:r>
        <w:rPr>
          <w:spacing w:val="-1"/>
        </w:rPr>
        <w:t xml:space="preserve">经济开发区建设局 </w:t>
      </w:r>
      <w:r>
        <w:rPr>
          <w:rFonts w:ascii="Arial" w:hAnsi="Arial" w:eastAsia="Arial" w:cs="Arial"/>
          <w:spacing w:val="-1"/>
        </w:rPr>
        <w:t>,</w:t>
      </w:r>
      <w:r>
        <w:rPr>
          <w:rFonts w:ascii="Arial" w:hAnsi="Arial" w:eastAsia="Arial" w:cs="Arial"/>
          <w:spacing w:val="40"/>
        </w:rPr>
        <w:t xml:space="preserve">  </w:t>
      </w:r>
      <w:r>
        <w:rPr>
          <w:spacing w:val="-1"/>
        </w:rPr>
        <w:t>文昌湖</w:t>
      </w:r>
      <w:r>
        <w:rPr>
          <w:spacing w:val="2"/>
        </w:rPr>
        <w:t xml:space="preserve">省级旅游度假区城乡建设局 </w:t>
      </w:r>
      <w:r>
        <w:rPr>
          <w:rFonts w:ascii="Arial" w:hAnsi="Arial" w:eastAsia="Arial" w:cs="Arial"/>
          <w:spacing w:val="2"/>
        </w:rPr>
        <w:t>,</w:t>
      </w:r>
      <w:r>
        <w:rPr>
          <w:rFonts w:ascii="Arial" w:hAnsi="Arial" w:eastAsia="Arial" w:cs="Arial"/>
          <w:spacing w:val="40"/>
        </w:rPr>
        <w:t xml:space="preserve">  </w:t>
      </w:r>
      <w:r>
        <w:rPr>
          <w:spacing w:val="2"/>
        </w:rPr>
        <w:t>各有关单位:</w:t>
      </w:r>
    </w:p>
    <w:p>
      <w:pPr>
        <w:pStyle w:val="2"/>
        <w:spacing w:before="64" w:line="253" w:lineRule="auto"/>
        <w:ind w:left="513" w:right="518" w:firstLine="648"/>
        <w:jc w:val="both"/>
        <w:rPr>
          <w:sz w:val="29"/>
          <w:szCs w:val="29"/>
        </w:rPr>
      </w:pPr>
      <w:r>
        <w:rPr>
          <w:spacing w:val="7"/>
        </w:rPr>
        <w:t>为落实工程造价市场化改革任务</w:t>
      </w:r>
      <w:r>
        <w:rPr>
          <w:spacing w:val="-29"/>
        </w:rPr>
        <w:t xml:space="preserve"> </w:t>
      </w:r>
      <w:r>
        <w:rPr>
          <w:rFonts w:ascii="Arial" w:hAnsi="Arial" w:eastAsia="Arial" w:cs="Arial"/>
          <w:spacing w:val="7"/>
        </w:rPr>
        <w:t>,</w:t>
      </w:r>
      <w:r>
        <w:rPr>
          <w:rFonts w:ascii="Arial" w:hAnsi="Arial" w:eastAsia="Arial" w:cs="Arial"/>
          <w:spacing w:val="41"/>
        </w:rPr>
        <w:t xml:space="preserve">  </w:t>
      </w:r>
      <w:r>
        <w:rPr>
          <w:spacing w:val="7"/>
        </w:rPr>
        <w:t>规范全市建设领域各方</w:t>
      </w:r>
      <w:r>
        <w:rPr>
          <w:spacing w:val="3"/>
        </w:rPr>
        <w:t xml:space="preserve">主体计价行为 </w:t>
      </w:r>
      <w:r>
        <w:rPr>
          <w:rFonts w:ascii="Arial" w:hAnsi="Arial" w:eastAsia="Arial" w:cs="Arial"/>
          <w:spacing w:val="3"/>
        </w:rPr>
        <w:t>,</w:t>
      </w:r>
      <w:r>
        <w:rPr>
          <w:rFonts w:ascii="Arial" w:hAnsi="Arial" w:eastAsia="Arial" w:cs="Arial"/>
          <w:spacing w:val="39"/>
        </w:rPr>
        <w:t xml:space="preserve">  </w:t>
      </w:r>
      <w:r>
        <w:rPr>
          <w:spacing w:val="3"/>
        </w:rPr>
        <w:t>为市场主体开展计价活动提供</w:t>
      </w:r>
      <w:r>
        <w:rPr>
          <w:spacing w:val="2"/>
        </w:rPr>
        <w:t xml:space="preserve">参考 </w:t>
      </w:r>
      <w:r>
        <w:rPr>
          <w:rFonts w:ascii="Arial" w:hAnsi="Arial" w:eastAsia="Arial" w:cs="Arial"/>
          <w:spacing w:val="2"/>
        </w:rPr>
        <w:t>,</w:t>
      </w:r>
      <w:r>
        <w:rPr>
          <w:rFonts w:ascii="Arial" w:hAnsi="Arial" w:eastAsia="Arial" w:cs="Arial"/>
          <w:spacing w:val="37"/>
        </w:rPr>
        <w:t xml:space="preserve">  </w:t>
      </w:r>
      <w:r>
        <w:rPr>
          <w:spacing w:val="2"/>
        </w:rPr>
        <w:t xml:space="preserve">发挥市场在工程造价形成中的决定性作用 </w:t>
      </w:r>
      <w:r>
        <w:rPr>
          <w:rFonts w:ascii="Arial" w:hAnsi="Arial" w:eastAsia="Arial" w:cs="Arial"/>
          <w:spacing w:val="2"/>
        </w:rPr>
        <w:t>,</w:t>
      </w:r>
      <w:r>
        <w:rPr>
          <w:rFonts w:ascii="Arial" w:hAnsi="Arial" w:eastAsia="Arial" w:cs="Arial"/>
          <w:spacing w:val="31"/>
        </w:rPr>
        <w:t xml:space="preserve">  </w:t>
      </w:r>
      <w:r>
        <w:rPr>
          <w:spacing w:val="2"/>
        </w:rPr>
        <w:t>依据国家</w:t>
      </w:r>
      <w:r>
        <w:rPr>
          <w:spacing w:val="-36"/>
        </w:rPr>
        <w:t xml:space="preserve"> </w:t>
      </w:r>
      <w:r>
        <w:rPr>
          <w:spacing w:val="2"/>
        </w:rPr>
        <w:t>、省</w:t>
      </w:r>
      <w:r>
        <w:rPr>
          <w:spacing w:val="-22"/>
        </w:rPr>
        <w:t xml:space="preserve"> </w:t>
      </w:r>
      <w:r>
        <w:rPr>
          <w:spacing w:val="2"/>
        </w:rPr>
        <w:t>、</w:t>
      </w:r>
      <w:r>
        <w:rPr>
          <w:spacing w:val="-59"/>
        </w:rPr>
        <w:t xml:space="preserve"> </w:t>
      </w:r>
      <w:r>
        <w:rPr>
          <w:spacing w:val="2"/>
        </w:rPr>
        <w:t>市有关计价</w:t>
      </w:r>
      <w:r>
        <w:rPr>
          <w:spacing w:val="-2"/>
        </w:rPr>
        <w:t>文件规定</w:t>
      </w:r>
      <w:r>
        <w:rPr>
          <w:spacing w:val="-24"/>
        </w:rPr>
        <w:t xml:space="preserve"> </w:t>
      </w:r>
      <w:r>
        <w:rPr>
          <w:rFonts w:ascii="Arial" w:hAnsi="Arial" w:eastAsia="Arial" w:cs="Arial"/>
          <w:spacing w:val="-2"/>
        </w:rPr>
        <w:t>,</w:t>
      </w:r>
      <w:r>
        <w:rPr>
          <w:rFonts w:ascii="Arial" w:hAnsi="Arial" w:eastAsia="Arial" w:cs="Arial"/>
          <w:spacing w:val="40"/>
        </w:rPr>
        <w:t xml:space="preserve">  </w:t>
      </w:r>
      <w:r>
        <w:rPr>
          <w:spacing w:val="-2"/>
        </w:rPr>
        <w:t>市住房城乡建设局组织编写 了  《淄博市建设工程计</w:t>
      </w:r>
      <w:r>
        <w:rPr>
          <w:spacing w:val="9"/>
          <w:sz w:val="29"/>
          <w:szCs w:val="29"/>
        </w:rPr>
        <w:t xml:space="preserve">价办法  </w:t>
      </w:r>
      <w:r>
        <w:rPr>
          <w:rFonts w:ascii="Arial" w:hAnsi="Arial" w:eastAsia="Arial" w:cs="Arial"/>
          <w:spacing w:val="9"/>
          <w:sz w:val="29"/>
          <w:szCs w:val="29"/>
        </w:rPr>
        <w:t>(2025</w:t>
      </w:r>
      <w:r>
        <w:rPr>
          <w:rFonts w:ascii="Arial" w:hAnsi="Arial" w:eastAsia="Arial" w:cs="Arial"/>
          <w:spacing w:val="35"/>
          <w:sz w:val="29"/>
          <w:szCs w:val="29"/>
        </w:rPr>
        <w:t xml:space="preserve"> </w:t>
      </w:r>
      <w:r>
        <w:rPr>
          <w:rFonts w:ascii="Arial" w:hAnsi="Arial" w:eastAsia="Arial" w:cs="Arial"/>
          <w:spacing w:val="9"/>
          <w:sz w:val="29"/>
          <w:szCs w:val="29"/>
        </w:rPr>
        <w:t xml:space="preserve">)  </w:t>
      </w:r>
      <w:r>
        <w:rPr>
          <w:spacing w:val="9"/>
          <w:sz w:val="29"/>
          <w:szCs w:val="29"/>
        </w:rPr>
        <w:t xml:space="preserve">》  </w:t>
      </w:r>
      <w:r>
        <w:rPr>
          <w:rFonts w:ascii="Arial" w:hAnsi="Arial" w:eastAsia="Arial" w:cs="Arial"/>
          <w:spacing w:val="9"/>
          <w:sz w:val="29"/>
          <w:szCs w:val="29"/>
        </w:rPr>
        <w:t xml:space="preserve">(  </w:t>
      </w:r>
      <w:r>
        <w:rPr>
          <w:spacing w:val="9"/>
          <w:sz w:val="29"/>
          <w:szCs w:val="29"/>
        </w:rPr>
        <w:t>以下简称"本办法</w:t>
      </w:r>
      <w:r>
        <w:rPr>
          <w:spacing w:val="-49"/>
          <w:sz w:val="29"/>
          <w:szCs w:val="29"/>
        </w:rPr>
        <w:t xml:space="preserve"> </w:t>
      </w:r>
      <w:r>
        <w:rPr>
          <w:rFonts w:ascii="Arial" w:hAnsi="Arial" w:eastAsia="Arial" w:cs="Arial"/>
          <w:spacing w:val="9"/>
          <w:sz w:val="29"/>
          <w:szCs w:val="29"/>
        </w:rPr>
        <w:t xml:space="preserve">" )  ,   </w:t>
      </w:r>
      <w:r>
        <w:rPr>
          <w:spacing w:val="9"/>
          <w:sz w:val="29"/>
          <w:szCs w:val="29"/>
        </w:rPr>
        <w:t>现予以印发</w:t>
      </w:r>
      <w:r>
        <w:rPr>
          <w:spacing w:val="-22"/>
          <w:sz w:val="29"/>
          <w:szCs w:val="29"/>
        </w:rPr>
        <w:t xml:space="preserve"> </w:t>
      </w:r>
      <w:r>
        <w:rPr>
          <w:rFonts w:ascii="Arial" w:hAnsi="Arial" w:eastAsia="Arial" w:cs="Arial"/>
          <w:spacing w:val="9"/>
          <w:sz w:val="29"/>
          <w:szCs w:val="29"/>
        </w:rPr>
        <w:t xml:space="preserve">,   </w:t>
      </w:r>
      <w:r>
        <w:rPr>
          <w:spacing w:val="9"/>
          <w:sz w:val="29"/>
          <w:szCs w:val="29"/>
        </w:rPr>
        <w:t>有关</w:t>
      </w:r>
      <w:r>
        <w:rPr>
          <w:spacing w:val="24"/>
          <w:sz w:val="29"/>
          <w:szCs w:val="29"/>
        </w:rPr>
        <w:t>问题通知如下:</w:t>
      </w:r>
    </w:p>
    <w:p>
      <w:pPr>
        <w:pStyle w:val="2"/>
        <w:spacing w:before="62" w:line="317" w:lineRule="exact"/>
        <w:ind w:left="1171"/>
      </w:pPr>
      <w:r>
        <w:rPr>
          <w:position w:val="-1"/>
        </w:rPr>
        <w:t>一</w:t>
      </w:r>
      <w:r>
        <w:rPr>
          <w:spacing w:val="-22"/>
          <w:position w:val="-1"/>
        </w:rPr>
        <w:t xml:space="preserve"> </w:t>
      </w:r>
      <w:r>
        <w:rPr>
          <w:position w:val="-1"/>
        </w:rPr>
        <w:t>、本办法适用于我市行政区域内建筑</w:t>
      </w:r>
      <w:r>
        <w:rPr>
          <w:spacing w:val="-45"/>
          <w:position w:val="-1"/>
        </w:rPr>
        <w:t xml:space="preserve"> </w:t>
      </w:r>
      <w:r>
        <w:rPr>
          <w:position w:val="-1"/>
        </w:rPr>
        <w:t>、</w:t>
      </w:r>
      <w:r>
        <w:rPr>
          <w:spacing w:val="-68"/>
          <w:position w:val="-1"/>
        </w:rPr>
        <w:t xml:space="preserve"> </w:t>
      </w:r>
      <w:r>
        <w:rPr>
          <w:position w:val="-1"/>
        </w:rPr>
        <w:t>装饰</w:t>
      </w:r>
      <w:r>
        <w:rPr>
          <w:spacing w:val="-25"/>
          <w:position w:val="-1"/>
        </w:rPr>
        <w:t xml:space="preserve"> </w:t>
      </w:r>
      <w:r>
        <w:rPr>
          <w:position w:val="-1"/>
        </w:rPr>
        <w:t>、安装</w:t>
      </w:r>
      <w:r>
        <w:rPr>
          <w:spacing w:val="-31"/>
          <w:position w:val="-1"/>
        </w:rPr>
        <w:t xml:space="preserve"> </w:t>
      </w:r>
      <w:r>
        <w:rPr>
          <w:position w:val="-1"/>
        </w:rPr>
        <w:t>、</w:t>
      </w:r>
      <w:r>
        <w:rPr>
          <w:spacing w:val="-69"/>
          <w:position w:val="-1"/>
        </w:rPr>
        <w:t xml:space="preserve"> </w:t>
      </w:r>
      <w:r>
        <w:rPr>
          <w:position w:val="-1"/>
        </w:rPr>
        <w:t>市</w:t>
      </w:r>
    </w:p>
    <w:p>
      <w:pPr>
        <w:spacing w:line="322" w:lineRule="auto"/>
        <w:rPr>
          <w:rFonts w:ascii="Arial"/>
          <w:sz w:val="21"/>
        </w:rPr>
      </w:pPr>
    </w:p>
    <w:p>
      <w:pPr>
        <w:spacing w:line="322" w:lineRule="auto"/>
        <w:rPr>
          <w:rFonts w:ascii="Arial"/>
          <w:sz w:val="21"/>
        </w:rPr>
      </w:pPr>
    </w:p>
    <w:p>
      <w:pPr>
        <w:spacing w:line="187" w:lineRule="exact"/>
        <w:ind w:firstLine="8255"/>
      </w:pPr>
      <w:r>
        <w:rPr>
          <w:position w:val="-3"/>
        </w:rPr>
        <w:drawing>
          <wp:inline distT="0" distB="0" distL="0" distR="0">
            <wp:extent cx="612140" cy="11874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35"/>
                    <a:stretch>
                      <a:fillRect/>
                    </a:stretch>
                  </pic:blipFill>
                  <pic:spPr>
                    <a:xfrm>
                      <a:off x="0" y="0"/>
                      <a:ext cx="612647" cy="118872"/>
                    </a:xfrm>
                    <a:prstGeom prst="rect">
                      <a:avLst/>
                    </a:prstGeom>
                  </pic:spPr>
                </pic:pic>
              </a:graphicData>
            </a:graphic>
          </wp:inline>
        </w:drawing>
      </w:r>
    </w:p>
    <w:p>
      <w:pPr>
        <w:spacing w:line="187" w:lineRule="exact"/>
        <w:sectPr>
          <w:pgSz w:w="11905" w:h="16834"/>
          <w:pgMar w:top="1430" w:right="1094" w:bottom="0" w:left="1089" w:header="0" w:footer="0" w:gutter="0"/>
        </w:sectPr>
      </w:pPr>
    </w:p>
    <w:p>
      <w:pPr>
        <w:spacing w:line="318" w:lineRule="auto"/>
        <w:rPr>
          <w:rFonts w:ascii="Arial"/>
          <w:sz w:val="21"/>
        </w:rPr>
      </w:pPr>
    </w:p>
    <w:p>
      <w:pPr>
        <w:spacing w:line="319" w:lineRule="auto"/>
        <w:rPr>
          <w:rFonts w:ascii="Arial"/>
          <w:sz w:val="21"/>
        </w:rPr>
      </w:pPr>
    </w:p>
    <w:p>
      <w:pPr>
        <w:pStyle w:val="2"/>
        <w:spacing w:before="133" w:line="241" w:lineRule="auto"/>
        <w:ind w:left="14" w:right="124" w:firstLine="9"/>
      </w:pPr>
      <w:r>
        <w:rPr>
          <w:spacing w:val="-2"/>
        </w:rPr>
        <w:t>政</w:t>
      </w:r>
      <w:r>
        <w:rPr>
          <w:spacing w:val="-33"/>
        </w:rPr>
        <w:t xml:space="preserve"> </w:t>
      </w:r>
      <w:r>
        <w:rPr>
          <w:spacing w:val="-2"/>
        </w:rPr>
        <w:t>、</w:t>
      </w:r>
      <w:r>
        <w:rPr>
          <w:spacing w:val="-41"/>
        </w:rPr>
        <w:t xml:space="preserve"> </w:t>
      </w:r>
      <w:r>
        <w:rPr>
          <w:spacing w:val="-2"/>
        </w:rPr>
        <w:t>园林绿化</w:t>
      </w:r>
      <w:r>
        <w:rPr>
          <w:spacing w:val="-22"/>
        </w:rPr>
        <w:t xml:space="preserve"> </w:t>
      </w:r>
      <w:r>
        <w:rPr>
          <w:spacing w:val="-2"/>
        </w:rPr>
        <w:t>、房屋修缮</w:t>
      </w:r>
      <w:r>
        <w:rPr>
          <w:spacing w:val="-42"/>
        </w:rPr>
        <w:t xml:space="preserve"> </w:t>
      </w:r>
      <w:r>
        <w:rPr>
          <w:spacing w:val="-2"/>
        </w:rPr>
        <w:t>、古建筑修缮</w:t>
      </w:r>
      <w:r>
        <w:rPr>
          <w:spacing w:val="-44"/>
        </w:rPr>
        <w:t xml:space="preserve"> </w:t>
      </w:r>
      <w:r>
        <w:rPr>
          <w:spacing w:val="-2"/>
        </w:rPr>
        <w:t>、</w:t>
      </w:r>
      <w:r>
        <w:rPr>
          <w:spacing w:val="-55"/>
        </w:rPr>
        <w:t xml:space="preserve"> </w:t>
      </w:r>
      <w:r>
        <w:rPr>
          <w:spacing w:val="-2"/>
        </w:rPr>
        <w:t>市政养护维修</w:t>
      </w:r>
      <w:r>
        <w:rPr>
          <w:spacing w:val="-54"/>
        </w:rPr>
        <w:t xml:space="preserve"> </w:t>
      </w:r>
      <w:r>
        <w:rPr>
          <w:spacing w:val="-2"/>
        </w:rPr>
        <w:t>、仿古</w:t>
      </w:r>
      <w:r>
        <w:rPr>
          <w:spacing w:val="5"/>
        </w:rPr>
        <w:t>建筑</w:t>
      </w:r>
      <w:r>
        <w:rPr>
          <w:spacing w:val="-34"/>
        </w:rPr>
        <w:t xml:space="preserve"> </w:t>
      </w:r>
      <w:r>
        <w:rPr>
          <w:spacing w:val="5"/>
        </w:rPr>
        <w:t>、环境卫生作业等工程的发承包计价活动</w:t>
      </w:r>
      <w:r>
        <w:rPr>
          <w:spacing w:val="-46"/>
        </w:rPr>
        <w:t xml:space="preserve"> </w:t>
      </w:r>
      <w:r>
        <w:rPr>
          <w:spacing w:val="5"/>
        </w:rPr>
        <w:t>。</w:t>
      </w:r>
    </w:p>
    <w:p>
      <w:pPr>
        <w:pStyle w:val="2"/>
        <w:spacing w:before="49" w:line="201" w:lineRule="auto"/>
        <w:ind w:left="38" w:right="326" w:firstLine="633"/>
      </w:pPr>
      <w:r>
        <w:rPr>
          <w:spacing w:val="1"/>
          <w:sz w:val="30"/>
          <w:szCs w:val="30"/>
        </w:rPr>
        <w:t>二</w:t>
      </w:r>
      <w:r>
        <w:rPr>
          <w:spacing w:val="-11"/>
          <w:sz w:val="30"/>
          <w:szCs w:val="30"/>
        </w:rPr>
        <w:t xml:space="preserve"> </w:t>
      </w:r>
      <w:r>
        <w:rPr>
          <w:spacing w:val="1"/>
          <w:sz w:val="30"/>
          <w:szCs w:val="30"/>
        </w:rPr>
        <w:t>、</w:t>
      </w:r>
      <w:r>
        <w:rPr>
          <w:spacing w:val="-68"/>
          <w:sz w:val="30"/>
          <w:szCs w:val="30"/>
        </w:rPr>
        <w:t xml:space="preserve"> </w:t>
      </w:r>
      <w:r>
        <w:rPr>
          <w:spacing w:val="1"/>
          <w:sz w:val="30"/>
          <w:szCs w:val="30"/>
        </w:rPr>
        <w:t>本办法自</w:t>
      </w:r>
      <w:r>
        <w:rPr>
          <w:spacing w:val="49"/>
          <w:sz w:val="30"/>
          <w:szCs w:val="30"/>
        </w:rPr>
        <w:t xml:space="preserve"> </w:t>
      </w:r>
      <w:r>
        <w:rPr>
          <w:spacing w:val="1"/>
          <w:sz w:val="30"/>
          <w:szCs w:val="30"/>
        </w:rPr>
        <w:t xml:space="preserve">印发之日 起施行 </w:t>
      </w:r>
      <w:r>
        <w:rPr>
          <w:rFonts w:ascii="Arial" w:hAnsi="Arial" w:eastAsia="Arial" w:cs="Arial"/>
          <w:spacing w:val="1"/>
          <w:sz w:val="30"/>
          <w:szCs w:val="30"/>
        </w:rPr>
        <w:t>,</w:t>
      </w:r>
      <w:r>
        <w:rPr>
          <w:rFonts w:ascii="Arial" w:hAnsi="Arial" w:eastAsia="Arial" w:cs="Arial"/>
          <w:spacing w:val="39"/>
          <w:sz w:val="30"/>
          <w:szCs w:val="30"/>
        </w:rPr>
        <w:t xml:space="preserve">  </w:t>
      </w:r>
      <w:r>
        <w:rPr>
          <w:spacing w:val="1"/>
          <w:sz w:val="30"/>
          <w:szCs w:val="30"/>
        </w:rPr>
        <w:t>之前已签订合同的工程</w:t>
      </w:r>
      <w:r>
        <w:rPr>
          <w:spacing w:val="-23"/>
          <w:sz w:val="30"/>
          <w:szCs w:val="30"/>
        </w:rPr>
        <w:t xml:space="preserve"> </w:t>
      </w:r>
      <w:r>
        <w:rPr>
          <w:rFonts w:ascii="Arial" w:hAnsi="Arial" w:eastAsia="Arial" w:cs="Arial"/>
          <w:spacing w:val="1"/>
          <w:sz w:val="30"/>
          <w:szCs w:val="30"/>
        </w:rPr>
        <w:t>,</w:t>
      </w:r>
      <w:r>
        <w:rPr>
          <w:spacing w:val="5"/>
        </w:rPr>
        <w:t>除合同另有约定外</w:t>
      </w:r>
      <w:r>
        <w:rPr>
          <w:spacing w:val="-10"/>
        </w:rPr>
        <w:t xml:space="preserve"> </w:t>
      </w:r>
      <w:r>
        <w:rPr>
          <w:rFonts w:ascii="Arial" w:hAnsi="Arial" w:eastAsia="Arial" w:cs="Arial"/>
          <w:spacing w:val="5"/>
        </w:rPr>
        <w:t>,</w:t>
      </w:r>
      <w:r>
        <w:rPr>
          <w:rFonts w:ascii="Arial" w:hAnsi="Arial" w:eastAsia="Arial" w:cs="Arial"/>
          <w:spacing w:val="29"/>
          <w:w w:val="101"/>
        </w:rPr>
        <w:t xml:space="preserve">  </w:t>
      </w:r>
      <w:r>
        <w:rPr>
          <w:spacing w:val="5"/>
        </w:rPr>
        <w:t>仍按原规定的计价依据版本执行。</w:t>
      </w:r>
    </w:p>
    <w:p>
      <w:pPr>
        <w:pStyle w:val="2"/>
        <w:spacing w:before="240" w:line="316" w:lineRule="exact"/>
        <w:ind w:left="681"/>
      </w:pPr>
      <w:r>
        <w:rPr>
          <w:spacing w:val="4"/>
          <w:position w:val="-1"/>
        </w:rPr>
        <w:t>三</w:t>
      </w:r>
      <w:r>
        <w:rPr>
          <w:spacing w:val="-2"/>
          <w:position w:val="-1"/>
        </w:rPr>
        <w:t xml:space="preserve"> </w:t>
      </w:r>
      <w:r>
        <w:rPr>
          <w:spacing w:val="4"/>
          <w:position w:val="-1"/>
        </w:rPr>
        <w:t>、本办法由市住房城乡建设局负责解释。</w:t>
      </w:r>
    </w:p>
    <w:p>
      <w:pPr>
        <w:spacing w:line="341" w:lineRule="auto"/>
        <w:rPr>
          <w:rFonts w:ascii="Arial"/>
          <w:sz w:val="21"/>
        </w:rPr>
      </w:pPr>
    </w:p>
    <w:p>
      <w:pPr>
        <w:spacing w:line="341" w:lineRule="auto"/>
        <w:rPr>
          <w:rFonts w:ascii="Arial"/>
          <w:sz w:val="21"/>
        </w:rPr>
      </w:pPr>
    </w:p>
    <w:p>
      <w:pPr>
        <w:pStyle w:val="2"/>
        <w:spacing w:before="120" w:line="158" w:lineRule="auto"/>
        <w:ind w:left="681"/>
        <w:rPr>
          <w:rFonts w:ascii="Arial" w:hAnsi="Arial" w:eastAsia="Arial" w:cs="Arial"/>
          <w:sz w:val="28"/>
          <w:szCs w:val="28"/>
        </w:rPr>
      </w:pPr>
      <w:r>
        <w:rPr>
          <w:spacing w:val="25"/>
          <w:sz w:val="28"/>
          <w:szCs w:val="28"/>
        </w:rPr>
        <w:t>附件:</w:t>
      </w:r>
      <w:r>
        <w:rPr>
          <w:spacing w:val="10"/>
          <w:sz w:val="28"/>
          <w:szCs w:val="28"/>
        </w:rPr>
        <w:t xml:space="preserve">   </w:t>
      </w:r>
      <w:r>
        <w:rPr>
          <w:spacing w:val="25"/>
          <w:sz w:val="28"/>
          <w:szCs w:val="28"/>
        </w:rPr>
        <w:t>淄博市建设工程计价办法</w:t>
      </w:r>
      <w:r>
        <w:rPr>
          <w:spacing w:val="7"/>
          <w:sz w:val="28"/>
          <w:szCs w:val="28"/>
        </w:rPr>
        <w:t xml:space="preserve">  </w:t>
      </w:r>
      <w:r>
        <w:rPr>
          <w:rFonts w:ascii="Arial" w:hAnsi="Arial" w:eastAsia="Arial" w:cs="Arial"/>
          <w:spacing w:val="25"/>
          <w:sz w:val="28"/>
          <w:szCs w:val="28"/>
        </w:rPr>
        <w:t>(2025 )</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2"/>
        <w:spacing w:before="134" w:line="317" w:lineRule="exact"/>
        <w:ind w:left="4353"/>
      </w:pPr>
      <w:r>
        <w:drawing>
          <wp:anchor distT="0" distB="0" distL="0" distR="0" simplePos="0" relativeHeight="251658240" behindDoc="1" locked="0" layoutInCell="1" allowOverlap="1">
            <wp:simplePos x="0" y="0"/>
            <wp:positionH relativeFrom="column">
              <wp:posOffset>3014345</wp:posOffset>
            </wp:positionH>
            <wp:positionV relativeFrom="paragraph">
              <wp:posOffset>-624840</wp:posOffset>
            </wp:positionV>
            <wp:extent cx="1752600" cy="151193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36"/>
                    <a:stretch>
                      <a:fillRect/>
                    </a:stretch>
                  </pic:blipFill>
                  <pic:spPr>
                    <a:xfrm>
                      <a:off x="0" y="0"/>
                      <a:ext cx="1752600" cy="1511807"/>
                    </a:xfrm>
                    <a:prstGeom prst="rect">
                      <a:avLst/>
                    </a:prstGeom>
                  </pic:spPr>
                </pic:pic>
              </a:graphicData>
            </a:graphic>
          </wp:anchor>
        </w:drawing>
      </w:r>
      <w:r>
        <w:rPr>
          <w:spacing w:val="2"/>
          <w:position w:val="-1"/>
        </w:rPr>
        <w:t>淄博市住房和城乡建设局</w:t>
      </w:r>
    </w:p>
    <w:p>
      <w:pPr>
        <w:pStyle w:val="2"/>
        <w:spacing w:before="239" w:line="175" w:lineRule="auto"/>
        <w:ind w:left="4905"/>
        <w:rPr>
          <w:sz w:val="25"/>
          <w:szCs w:val="25"/>
        </w:rPr>
      </w:pPr>
      <w:r>
        <w:rPr>
          <w:rFonts w:ascii="Arial" w:hAnsi="Arial" w:eastAsia="Arial" w:cs="Arial"/>
          <w:spacing w:val="9"/>
          <w:sz w:val="25"/>
          <w:szCs w:val="25"/>
        </w:rPr>
        <w:t>2026</w:t>
      </w:r>
      <w:r>
        <w:rPr>
          <w:rFonts w:ascii="Arial" w:hAnsi="Arial" w:eastAsia="Arial" w:cs="Arial"/>
          <w:spacing w:val="40"/>
          <w:sz w:val="25"/>
          <w:szCs w:val="25"/>
        </w:rPr>
        <w:t xml:space="preserve"> </w:t>
      </w:r>
      <w:r>
        <w:rPr>
          <w:spacing w:val="9"/>
          <w:sz w:val="25"/>
          <w:szCs w:val="25"/>
        </w:rPr>
        <w:t>年</w:t>
      </w:r>
      <w:r>
        <w:rPr>
          <w:spacing w:val="24"/>
          <w:sz w:val="25"/>
          <w:szCs w:val="25"/>
        </w:rPr>
        <w:t xml:space="preserve"> </w:t>
      </w:r>
      <w:r>
        <w:rPr>
          <w:rFonts w:ascii="Arial" w:hAnsi="Arial" w:eastAsia="Arial" w:cs="Arial"/>
          <w:spacing w:val="9"/>
          <w:sz w:val="25"/>
          <w:szCs w:val="25"/>
        </w:rPr>
        <w:t>3</w:t>
      </w:r>
      <w:r>
        <w:rPr>
          <w:rFonts w:ascii="Arial" w:hAnsi="Arial" w:eastAsia="Arial" w:cs="Arial"/>
          <w:spacing w:val="60"/>
          <w:sz w:val="25"/>
          <w:szCs w:val="25"/>
        </w:rPr>
        <w:t xml:space="preserve"> </w:t>
      </w:r>
      <w:r>
        <w:rPr>
          <w:spacing w:val="9"/>
          <w:sz w:val="25"/>
          <w:szCs w:val="25"/>
        </w:rPr>
        <w:t>月</w:t>
      </w:r>
      <w:r>
        <w:rPr>
          <w:spacing w:val="2"/>
          <w:sz w:val="25"/>
          <w:szCs w:val="25"/>
        </w:rPr>
        <w:t xml:space="preserve">  </w:t>
      </w:r>
      <w:r>
        <w:rPr>
          <w:rFonts w:ascii="Arial" w:hAnsi="Arial" w:eastAsia="Arial" w:cs="Arial"/>
          <w:spacing w:val="9"/>
          <w:sz w:val="25"/>
          <w:szCs w:val="25"/>
        </w:rPr>
        <w:t>4</w:t>
      </w:r>
      <w:r>
        <w:rPr>
          <w:rFonts w:ascii="Arial" w:hAnsi="Arial" w:eastAsia="Arial" w:cs="Arial"/>
          <w:spacing w:val="12"/>
          <w:sz w:val="25"/>
          <w:szCs w:val="25"/>
        </w:rPr>
        <w:t xml:space="preserve">  </w:t>
      </w:r>
      <w:r>
        <w:rPr>
          <w:spacing w:val="9"/>
          <w:sz w:val="25"/>
          <w:szCs w:val="25"/>
        </w:rPr>
        <w:t>日</w:t>
      </w: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 w:line="24" w:lineRule="exact"/>
        <w:ind w:firstLine="19"/>
      </w:pPr>
      <w:r>
        <w:pict>
          <v:shape id="_x0000_s1026" o:spid="_x0000_s1026" style="height:1.25pt;width:439.95pt;" filled="f" stroked="t" coordsize="8799,25" path="m0,9l8798,14e">
            <v:fill on="f" focussize="0,0"/>
            <v:stroke weight="0.96pt" color="#000000" miterlimit="4" joinstyle="miter"/>
            <v:imagedata o:title=""/>
            <o:lock v:ext="edit"/>
            <w10:wrap type="none"/>
            <w10:anchorlock/>
          </v:shape>
        </w:pict>
      </w:r>
    </w:p>
    <w:p>
      <w:pPr>
        <w:pStyle w:val="2"/>
        <w:spacing w:before="182" w:line="269" w:lineRule="exact"/>
        <w:ind w:left="321"/>
        <w:rPr>
          <w:sz w:val="26"/>
          <w:szCs w:val="26"/>
        </w:rPr>
      </w:pPr>
      <w:r>
        <w:rPr>
          <w:spacing w:val="15"/>
          <w:position w:val="-1"/>
          <w:sz w:val="26"/>
          <w:szCs w:val="26"/>
        </w:rPr>
        <w:t>信息公开属性:</w:t>
      </w:r>
      <w:r>
        <w:rPr>
          <w:spacing w:val="1"/>
          <w:position w:val="-1"/>
          <w:sz w:val="26"/>
          <w:szCs w:val="26"/>
        </w:rPr>
        <w:t xml:space="preserve">   </w:t>
      </w:r>
      <w:r>
        <w:rPr>
          <w:spacing w:val="15"/>
          <w:position w:val="-1"/>
          <w:sz w:val="26"/>
          <w:szCs w:val="26"/>
        </w:rPr>
        <w:t>此件主动公开</w:t>
      </w:r>
    </w:p>
    <w:p>
      <w:pPr>
        <w:spacing w:before="207" w:line="43" w:lineRule="exact"/>
        <w:ind w:firstLine="28"/>
      </w:pPr>
      <w:r>
        <w:pict>
          <v:shape id="_x0000_s1027" o:spid="_x0000_s1027" style="height:2.2pt;width:438.5pt;" filled="f" stroked="t" coordsize="8770,44" path="m0,33l8769,9e">
            <v:fill on="f" focussize="0,0"/>
            <v:stroke weight="0.96pt" color="#000000" miterlimit="4" joinstyle="miter"/>
            <v:imagedata o:title=""/>
            <o:lock v:ext="edit"/>
            <w10:wrap type="none"/>
            <w10:anchorlock/>
          </v:shape>
        </w:pict>
      </w:r>
    </w:p>
    <w:p>
      <w:pPr>
        <w:pStyle w:val="2"/>
        <w:spacing w:before="158" w:line="269" w:lineRule="exact"/>
        <w:ind w:left="345"/>
        <w:rPr>
          <w:sz w:val="25"/>
          <w:szCs w:val="25"/>
        </w:rPr>
      </w:pPr>
      <w:r>
        <w:rPr>
          <w:spacing w:val="5"/>
          <w:position w:val="-1"/>
          <w:sz w:val="25"/>
          <w:szCs w:val="25"/>
        </w:rPr>
        <w:t>淄博市住房和城乡建设局办公室</w:t>
      </w:r>
      <w:r>
        <w:rPr>
          <w:spacing w:val="1"/>
          <w:position w:val="-1"/>
          <w:sz w:val="25"/>
          <w:szCs w:val="25"/>
        </w:rPr>
        <w:t xml:space="preserve">                     </w:t>
      </w:r>
      <w:r>
        <w:rPr>
          <w:rFonts w:ascii="Arial" w:hAnsi="Arial" w:eastAsia="Arial" w:cs="Arial"/>
          <w:spacing w:val="5"/>
          <w:position w:val="-1"/>
          <w:sz w:val="25"/>
          <w:szCs w:val="25"/>
        </w:rPr>
        <w:t>2026</w:t>
      </w:r>
      <w:r>
        <w:rPr>
          <w:rFonts w:ascii="Arial" w:hAnsi="Arial" w:eastAsia="Arial" w:cs="Arial"/>
          <w:spacing w:val="31"/>
          <w:w w:val="101"/>
          <w:position w:val="-1"/>
          <w:sz w:val="25"/>
          <w:szCs w:val="25"/>
        </w:rPr>
        <w:t xml:space="preserve"> </w:t>
      </w:r>
      <w:r>
        <w:rPr>
          <w:spacing w:val="5"/>
          <w:position w:val="-1"/>
          <w:sz w:val="25"/>
          <w:szCs w:val="25"/>
        </w:rPr>
        <w:t xml:space="preserve">年 </w:t>
      </w:r>
      <w:r>
        <w:rPr>
          <w:rFonts w:ascii="Arial" w:hAnsi="Arial" w:eastAsia="Arial" w:cs="Arial"/>
          <w:spacing w:val="5"/>
          <w:position w:val="-1"/>
          <w:sz w:val="25"/>
          <w:szCs w:val="25"/>
        </w:rPr>
        <w:t>3</w:t>
      </w:r>
      <w:r>
        <w:rPr>
          <w:rFonts w:ascii="Arial" w:hAnsi="Arial" w:eastAsia="Arial" w:cs="Arial"/>
          <w:spacing w:val="48"/>
          <w:position w:val="-1"/>
          <w:sz w:val="25"/>
          <w:szCs w:val="25"/>
        </w:rPr>
        <w:t xml:space="preserve"> </w:t>
      </w:r>
      <w:r>
        <w:rPr>
          <w:spacing w:val="5"/>
          <w:position w:val="-1"/>
          <w:sz w:val="25"/>
          <w:szCs w:val="25"/>
        </w:rPr>
        <w:t xml:space="preserve">月  </w:t>
      </w:r>
      <w:r>
        <w:rPr>
          <w:rFonts w:ascii="Arial" w:hAnsi="Arial" w:eastAsia="Arial" w:cs="Arial"/>
          <w:spacing w:val="5"/>
          <w:position w:val="-1"/>
          <w:sz w:val="25"/>
          <w:szCs w:val="25"/>
        </w:rPr>
        <w:t xml:space="preserve">4  </w:t>
      </w:r>
      <w:r>
        <w:rPr>
          <w:spacing w:val="5"/>
          <w:position w:val="-1"/>
          <w:sz w:val="25"/>
          <w:szCs w:val="25"/>
        </w:rPr>
        <w:t>日</w:t>
      </w:r>
      <w:r>
        <w:rPr>
          <w:spacing w:val="50"/>
          <w:position w:val="-1"/>
          <w:sz w:val="25"/>
          <w:szCs w:val="25"/>
        </w:rPr>
        <w:t xml:space="preserve"> </w:t>
      </w:r>
      <w:r>
        <w:rPr>
          <w:spacing w:val="5"/>
          <w:position w:val="-1"/>
          <w:sz w:val="25"/>
          <w:szCs w:val="25"/>
        </w:rPr>
        <w:t>印发</w:t>
      </w:r>
    </w:p>
    <w:p>
      <w:pPr>
        <w:spacing w:line="269" w:lineRule="exact"/>
        <w:rPr>
          <w:sz w:val="25"/>
          <w:szCs w:val="25"/>
        </w:rPr>
        <w:sectPr>
          <w:footerReference r:id="rId3" w:type="default"/>
          <w:pgSz w:w="11905" w:h="16834"/>
          <w:pgMar w:top="1430" w:right="1502" w:bottom="2159" w:left="1584" w:header="0" w:footer="1833" w:gutter="0"/>
        </w:sectPr>
      </w:pPr>
    </w:p>
    <w:p>
      <w:pPr>
        <w:spacing w:before="140" w:line="239" w:lineRule="auto"/>
        <w:ind w:left="735"/>
        <w:rPr>
          <w:rFonts w:ascii="方正小标宋简体" w:hAnsi="方正小标宋简体" w:eastAsia="方正小标宋简体" w:cs="方正小标宋简体"/>
          <w:sz w:val="35"/>
          <w:szCs w:val="35"/>
        </w:rPr>
      </w:pPr>
      <w:r>
        <w:rPr>
          <w:rFonts w:ascii="方正小标宋简体" w:hAnsi="方正小标宋简体" w:eastAsia="方正小标宋简体" w:cs="方正小标宋简体"/>
          <w:spacing w:val="5"/>
          <w:sz w:val="35"/>
          <w:szCs w:val="35"/>
        </w:rPr>
        <w:t>《淄博市建设工程计价办法（2025） 》编制说明</w:t>
      </w:r>
    </w:p>
    <w:p>
      <w:pPr>
        <w:spacing w:before="265" w:line="366" w:lineRule="auto"/>
        <w:ind w:right="109" w:firstLine="428"/>
        <w:rPr>
          <w:rFonts w:ascii="宋体" w:hAnsi="宋体" w:eastAsia="宋体" w:cs="宋体"/>
          <w:sz w:val="20"/>
          <w:szCs w:val="20"/>
        </w:rPr>
      </w:pPr>
      <w:r>
        <w:rPr>
          <w:rFonts w:ascii="宋体" w:hAnsi="宋体" w:eastAsia="宋体" w:cs="宋体"/>
          <w:spacing w:val="8"/>
          <w:sz w:val="20"/>
          <w:szCs w:val="20"/>
        </w:rPr>
        <w:t>为规范淄博市建设领域计价行为，依据国家、省、市有关计价文件,我们组织编写了《淄博市建设工程计价办法（2025）</w:t>
      </w:r>
      <w:r>
        <w:rPr>
          <w:rFonts w:ascii="宋体" w:hAnsi="宋体" w:eastAsia="宋体" w:cs="宋体"/>
          <w:spacing w:val="-55"/>
          <w:sz w:val="20"/>
          <w:szCs w:val="20"/>
        </w:rPr>
        <w:t xml:space="preserve"> </w:t>
      </w:r>
      <w:r>
        <w:rPr>
          <w:rFonts w:ascii="宋体" w:hAnsi="宋体" w:eastAsia="宋体" w:cs="宋体"/>
          <w:spacing w:val="8"/>
          <w:sz w:val="20"/>
          <w:szCs w:val="20"/>
        </w:rPr>
        <w:t>》，为建设主体各方合理确定和有效控制工程投资提供</w:t>
      </w:r>
      <w:r>
        <w:rPr>
          <w:rFonts w:ascii="宋体" w:hAnsi="宋体" w:eastAsia="宋体" w:cs="宋体"/>
          <w:spacing w:val="7"/>
          <w:sz w:val="20"/>
          <w:szCs w:val="20"/>
        </w:rPr>
        <w:t>参考。</w:t>
      </w:r>
    </w:p>
    <w:p>
      <w:pPr>
        <w:spacing w:before="7" w:line="229" w:lineRule="auto"/>
        <w:ind w:left="431"/>
        <w:rPr>
          <w:rFonts w:ascii="黑体" w:hAnsi="黑体" w:eastAsia="黑体" w:cs="黑体"/>
          <w:sz w:val="20"/>
          <w:szCs w:val="20"/>
        </w:rPr>
      </w:pPr>
      <w:r>
        <w:rPr>
          <w:rFonts w:ascii="黑体" w:hAnsi="黑体" w:eastAsia="黑体" w:cs="黑体"/>
          <w:spacing w:val="8"/>
          <w:sz w:val="20"/>
          <w:szCs w:val="20"/>
        </w:rPr>
        <w:t>一、主要编制依据</w:t>
      </w:r>
    </w:p>
    <w:p>
      <w:pPr>
        <w:spacing w:before="152" w:line="231" w:lineRule="auto"/>
        <w:ind w:left="234"/>
        <w:rPr>
          <w:rFonts w:ascii="黑体" w:hAnsi="黑体" w:eastAsia="黑体" w:cs="黑体"/>
          <w:sz w:val="20"/>
          <w:szCs w:val="20"/>
        </w:rPr>
      </w:pPr>
      <w:r>
        <w:rPr>
          <w:rFonts w:ascii="黑体" w:hAnsi="黑体" w:eastAsia="黑体" w:cs="黑体"/>
          <w:spacing w:val="-2"/>
          <w:sz w:val="20"/>
          <w:szCs w:val="20"/>
        </w:rPr>
        <w:t>（一）2025</w:t>
      </w:r>
      <w:r>
        <w:rPr>
          <w:rFonts w:ascii="黑体" w:hAnsi="黑体" w:eastAsia="黑体" w:cs="黑体"/>
          <w:spacing w:val="-37"/>
          <w:sz w:val="20"/>
          <w:szCs w:val="20"/>
        </w:rPr>
        <w:t xml:space="preserve"> </w:t>
      </w:r>
      <w:r>
        <w:rPr>
          <w:rFonts w:ascii="黑体" w:hAnsi="黑体" w:eastAsia="黑体" w:cs="黑体"/>
          <w:spacing w:val="-2"/>
          <w:sz w:val="20"/>
          <w:szCs w:val="20"/>
        </w:rPr>
        <w:t>年</w:t>
      </w:r>
      <w:r>
        <w:rPr>
          <w:rFonts w:ascii="黑体" w:hAnsi="黑体" w:eastAsia="黑体" w:cs="黑体"/>
          <w:spacing w:val="-42"/>
          <w:sz w:val="20"/>
          <w:szCs w:val="20"/>
        </w:rPr>
        <w:t xml:space="preserve"> </w:t>
      </w:r>
      <w:r>
        <w:rPr>
          <w:rFonts w:ascii="黑体" w:hAnsi="黑体" w:eastAsia="黑体" w:cs="黑体"/>
          <w:spacing w:val="-2"/>
          <w:sz w:val="20"/>
          <w:szCs w:val="20"/>
        </w:rPr>
        <w:t>9</w:t>
      </w:r>
      <w:r>
        <w:rPr>
          <w:rFonts w:ascii="黑体" w:hAnsi="黑体" w:eastAsia="黑体" w:cs="黑体"/>
          <w:spacing w:val="-35"/>
          <w:sz w:val="20"/>
          <w:szCs w:val="20"/>
        </w:rPr>
        <w:t xml:space="preserve"> </w:t>
      </w:r>
      <w:r>
        <w:rPr>
          <w:rFonts w:ascii="黑体" w:hAnsi="黑体" w:eastAsia="黑体" w:cs="黑体"/>
          <w:spacing w:val="-2"/>
          <w:sz w:val="20"/>
          <w:szCs w:val="20"/>
        </w:rPr>
        <w:t>月</w:t>
      </w:r>
      <w:r>
        <w:rPr>
          <w:rFonts w:ascii="黑体" w:hAnsi="黑体" w:eastAsia="黑体" w:cs="黑体"/>
          <w:spacing w:val="-27"/>
          <w:sz w:val="20"/>
          <w:szCs w:val="20"/>
        </w:rPr>
        <w:t xml:space="preserve"> </w:t>
      </w:r>
      <w:r>
        <w:rPr>
          <w:rFonts w:ascii="黑体" w:hAnsi="黑体" w:eastAsia="黑体" w:cs="黑体"/>
          <w:spacing w:val="-2"/>
          <w:sz w:val="20"/>
          <w:szCs w:val="20"/>
        </w:rPr>
        <w:t>1 日前</w:t>
      </w:r>
    </w:p>
    <w:p>
      <w:pPr>
        <w:spacing w:before="147" w:line="276" w:lineRule="exact"/>
        <w:ind w:left="442"/>
        <w:rPr>
          <w:rFonts w:ascii="宋体" w:hAnsi="宋体" w:eastAsia="宋体" w:cs="宋体"/>
          <w:sz w:val="20"/>
          <w:szCs w:val="20"/>
        </w:rPr>
      </w:pPr>
      <w:r>
        <w:rPr>
          <w:rFonts w:ascii="宋体" w:hAnsi="宋体" w:eastAsia="宋体" w:cs="宋体"/>
          <w:spacing w:val="6"/>
          <w:position w:val="1"/>
          <w:sz w:val="20"/>
          <w:szCs w:val="20"/>
        </w:rPr>
        <w:t>1.《建设工程工程量清单计价规范》（</w:t>
      </w:r>
      <w:r>
        <w:rPr>
          <w:rFonts w:ascii="宋体" w:hAnsi="宋体" w:eastAsia="宋体" w:cs="宋体"/>
          <w:spacing w:val="-52"/>
          <w:position w:val="1"/>
          <w:sz w:val="20"/>
          <w:szCs w:val="20"/>
        </w:rPr>
        <w:t xml:space="preserve"> </w:t>
      </w:r>
      <w:r>
        <w:rPr>
          <w:rFonts w:ascii="宋体" w:hAnsi="宋体" w:eastAsia="宋体" w:cs="宋体"/>
          <w:position w:val="1"/>
          <w:sz w:val="20"/>
          <w:szCs w:val="20"/>
        </w:rPr>
        <w:t>GB</w:t>
      </w:r>
      <w:r>
        <w:rPr>
          <w:rFonts w:ascii="宋体" w:hAnsi="宋体" w:eastAsia="宋体" w:cs="宋体"/>
          <w:spacing w:val="6"/>
          <w:position w:val="1"/>
          <w:sz w:val="20"/>
          <w:szCs w:val="20"/>
        </w:rPr>
        <w:t>50500-2013）</w:t>
      </w:r>
    </w:p>
    <w:p>
      <w:pPr>
        <w:spacing w:before="124" w:line="278" w:lineRule="exact"/>
        <w:ind w:left="425"/>
        <w:rPr>
          <w:rFonts w:ascii="宋体" w:hAnsi="宋体" w:eastAsia="宋体" w:cs="宋体"/>
          <w:sz w:val="20"/>
          <w:szCs w:val="20"/>
        </w:rPr>
      </w:pPr>
      <w:r>
        <w:rPr>
          <w:rFonts w:ascii="宋体" w:hAnsi="宋体" w:eastAsia="宋体" w:cs="宋体"/>
          <w:spacing w:val="7"/>
          <w:position w:val="1"/>
          <w:sz w:val="20"/>
          <w:szCs w:val="20"/>
        </w:rPr>
        <w:t>2.《山东省建筑、安装、市政、园林绿化工程消耗量定额》（2016）</w:t>
      </w:r>
    </w:p>
    <w:p>
      <w:pPr>
        <w:spacing w:before="123" w:line="277" w:lineRule="exact"/>
        <w:ind w:left="428"/>
        <w:rPr>
          <w:rFonts w:ascii="宋体" w:hAnsi="宋体" w:eastAsia="宋体" w:cs="宋体"/>
          <w:sz w:val="20"/>
          <w:szCs w:val="20"/>
        </w:rPr>
      </w:pPr>
      <w:r>
        <w:rPr>
          <w:rFonts w:ascii="宋体" w:hAnsi="宋体" w:eastAsia="宋体" w:cs="宋体"/>
          <w:spacing w:val="5"/>
          <w:position w:val="1"/>
          <w:sz w:val="20"/>
          <w:szCs w:val="20"/>
        </w:rPr>
        <w:t>3.《山东省建设工程概算定额》（2018）</w:t>
      </w:r>
    </w:p>
    <w:p>
      <w:pPr>
        <w:spacing w:before="121" w:line="278" w:lineRule="exact"/>
        <w:ind w:left="422"/>
        <w:rPr>
          <w:rFonts w:ascii="宋体" w:hAnsi="宋体" w:eastAsia="宋体" w:cs="宋体"/>
          <w:sz w:val="20"/>
          <w:szCs w:val="20"/>
        </w:rPr>
      </w:pPr>
      <w:r>
        <w:rPr>
          <w:rFonts w:ascii="宋体" w:hAnsi="宋体" w:eastAsia="宋体" w:cs="宋体"/>
          <w:spacing w:val="6"/>
          <w:position w:val="1"/>
          <w:sz w:val="20"/>
          <w:szCs w:val="20"/>
        </w:rPr>
        <w:t>4.《山东省绿色建筑工程消耗量定额》（2018）</w:t>
      </w:r>
    </w:p>
    <w:p>
      <w:pPr>
        <w:spacing w:before="123" w:line="276" w:lineRule="exact"/>
        <w:ind w:left="425"/>
        <w:rPr>
          <w:rFonts w:ascii="宋体" w:hAnsi="宋体" w:eastAsia="宋体" w:cs="宋体"/>
          <w:sz w:val="20"/>
          <w:szCs w:val="20"/>
        </w:rPr>
      </w:pPr>
      <w:r>
        <w:rPr>
          <w:rFonts w:ascii="宋体" w:hAnsi="宋体" w:eastAsia="宋体" w:cs="宋体"/>
          <w:spacing w:val="6"/>
          <w:position w:val="1"/>
          <w:sz w:val="20"/>
          <w:szCs w:val="20"/>
        </w:rPr>
        <w:t>5.《山东省环境卫生作业计价定额》（2018）</w:t>
      </w:r>
    </w:p>
    <w:p>
      <w:pPr>
        <w:spacing w:before="125" w:line="277" w:lineRule="exact"/>
        <w:ind w:left="426"/>
        <w:rPr>
          <w:rFonts w:ascii="宋体" w:hAnsi="宋体" w:eastAsia="宋体" w:cs="宋体"/>
          <w:sz w:val="20"/>
          <w:szCs w:val="20"/>
        </w:rPr>
      </w:pPr>
      <w:r>
        <w:rPr>
          <w:rFonts w:ascii="宋体" w:hAnsi="宋体" w:eastAsia="宋体" w:cs="宋体"/>
          <w:spacing w:val="7"/>
          <w:position w:val="1"/>
          <w:sz w:val="20"/>
          <w:szCs w:val="20"/>
        </w:rPr>
        <w:t>6.《山东省城市地下综合管廊工程消耗量</w:t>
      </w:r>
      <w:r>
        <w:rPr>
          <w:rFonts w:ascii="宋体" w:hAnsi="宋体" w:eastAsia="宋体" w:cs="宋体"/>
          <w:spacing w:val="6"/>
          <w:position w:val="1"/>
          <w:sz w:val="20"/>
          <w:szCs w:val="20"/>
        </w:rPr>
        <w:t>定额》（2019）</w:t>
      </w:r>
    </w:p>
    <w:p>
      <w:pPr>
        <w:spacing w:before="121" w:line="278" w:lineRule="exact"/>
        <w:ind w:left="423"/>
        <w:rPr>
          <w:rFonts w:ascii="宋体" w:hAnsi="宋体" w:eastAsia="宋体" w:cs="宋体"/>
          <w:sz w:val="20"/>
          <w:szCs w:val="20"/>
        </w:rPr>
      </w:pPr>
      <w:r>
        <w:rPr>
          <w:rFonts w:ascii="宋体" w:hAnsi="宋体" w:eastAsia="宋体" w:cs="宋体"/>
          <w:spacing w:val="6"/>
          <w:position w:val="1"/>
          <w:sz w:val="20"/>
          <w:szCs w:val="20"/>
        </w:rPr>
        <w:t>7.《山东省市政养护维修工程消耗量定额》（2020）</w:t>
      </w:r>
    </w:p>
    <w:p>
      <w:pPr>
        <w:spacing w:before="123" w:line="277" w:lineRule="exact"/>
        <w:ind w:left="427"/>
        <w:rPr>
          <w:rFonts w:ascii="宋体" w:hAnsi="宋体" w:eastAsia="宋体" w:cs="宋体"/>
          <w:sz w:val="20"/>
          <w:szCs w:val="20"/>
        </w:rPr>
      </w:pPr>
      <w:r>
        <w:rPr>
          <w:rFonts w:ascii="宋体" w:hAnsi="宋体" w:eastAsia="宋体" w:cs="宋体"/>
          <w:spacing w:val="6"/>
          <w:position w:val="1"/>
          <w:sz w:val="20"/>
          <w:szCs w:val="20"/>
        </w:rPr>
        <w:t>8.《山东省房屋修缮工程消耗量定额》（2020）</w:t>
      </w:r>
    </w:p>
    <w:p>
      <w:pPr>
        <w:spacing w:before="124" w:line="277" w:lineRule="exact"/>
        <w:ind w:left="425"/>
        <w:rPr>
          <w:rFonts w:ascii="宋体" w:hAnsi="宋体" w:eastAsia="宋体" w:cs="宋体"/>
          <w:sz w:val="20"/>
          <w:szCs w:val="20"/>
        </w:rPr>
      </w:pPr>
      <w:r>
        <w:rPr>
          <w:rFonts w:ascii="宋体" w:hAnsi="宋体" w:eastAsia="宋体" w:cs="宋体"/>
          <w:spacing w:val="6"/>
          <w:position w:val="1"/>
          <w:sz w:val="20"/>
          <w:szCs w:val="20"/>
        </w:rPr>
        <w:t>9.《山东省仿古建筑工程消耗量定额》（2021）</w:t>
      </w:r>
    </w:p>
    <w:p>
      <w:pPr>
        <w:spacing w:before="121" w:line="278" w:lineRule="exact"/>
        <w:ind w:left="442"/>
        <w:rPr>
          <w:rFonts w:ascii="宋体" w:hAnsi="宋体" w:eastAsia="宋体" w:cs="宋体"/>
          <w:sz w:val="20"/>
          <w:szCs w:val="20"/>
        </w:rPr>
      </w:pPr>
      <w:r>
        <w:rPr>
          <w:rFonts w:ascii="宋体" w:hAnsi="宋体" w:eastAsia="宋体" w:cs="宋体"/>
          <w:spacing w:val="5"/>
          <w:position w:val="1"/>
          <w:sz w:val="20"/>
          <w:szCs w:val="20"/>
        </w:rPr>
        <w:t>10.《山东省古建筑修缮工程消耗量定额》（2023）</w:t>
      </w:r>
    </w:p>
    <w:p>
      <w:pPr>
        <w:spacing w:before="123" w:line="277" w:lineRule="exact"/>
        <w:ind w:left="442"/>
        <w:rPr>
          <w:rFonts w:ascii="宋体" w:hAnsi="宋体" w:eastAsia="宋体" w:cs="宋体"/>
          <w:sz w:val="20"/>
          <w:szCs w:val="20"/>
        </w:rPr>
      </w:pPr>
      <w:r>
        <w:rPr>
          <w:rFonts w:ascii="宋体" w:hAnsi="宋体" w:eastAsia="宋体" w:cs="宋体"/>
          <w:spacing w:val="6"/>
          <w:position w:val="1"/>
          <w:sz w:val="20"/>
          <w:szCs w:val="20"/>
        </w:rPr>
        <w:t>11.《山东省建设工程费用项目组成及计算规则》（2022）</w:t>
      </w:r>
    </w:p>
    <w:p>
      <w:pPr>
        <w:spacing w:before="124" w:line="312" w:lineRule="auto"/>
        <w:ind w:left="3" w:right="106" w:firstLine="438"/>
        <w:rPr>
          <w:rFonts w:ascii="宋体" w:hAnsi="宋体" w:eastAsia="宋体" w:cs="宋体"/>
          <w:sz w:val="20"/>
          <w:szCs w:val="20"/>
        </w:rPr>
      </w:pPr>
      <w:r>
        <w:rPr>
          <w:rFonts w:ascii="宋体" w:hAnsi="宋体" w:eastAsia="宋体" w:cs="宋体"/>
          <w:spacing w:val="3"/>
          <w:sz w:val="20"/>
          <w:szCs w:val="20"/>
        </w:rPr>
        <w:t>12.《山东省住房和城乡建设厅关于调整建设工程定额人工单价及各专业定额价目</w:t>
      </w:r>
      <w:r>
        <w:rPr>
          <w:rFonts w:ascii="宋体" w:hAnsi="宋体" w:eastAsia="宋体" w:cs="宋体"/>
          <w:spacing w:val="2"/>
          <w:sz w:val="20"/>
          <w:szCs w:val="20"/>
        </w:rPr>
        <w:t>表的通知》（鲁</w:t>
      </w:r>
      <w:r>
        <w:rPr>
          <w:rFonts w:ascii="宋体" w:hAnsi="宋体" w:eastAsia="宋体" w:cs="宋体"/>
          <w:spacing w:val="6"/>
          <w:sz w:val="20"/>
          <w:szCs w:val="20"/>
        </w:rPr>
        <w:t>建标字〔2020〕24</w:t>
      </w:r>
      <w:r>
        <w:rPr>
          <w:rFonts w:ascii="宋体" w:hAnsi="宋体" w:eastAsia="宋体" w:cs="宋体"/>
          <w:spacing w:val="-37"/>
          <w:sz w:val="20"/>
          <w:szCs w:val="20"/>
        </w:rPr>
        <w:t xml:space="preserve"> </w:t>
      </w:r>
      <w:r>
        <w:rPr>
          <w:rFonts w:ascii="宋体" w:hAnsi="宋体" w:eastAsia="宋体" w:cs="宋体"/>
          <w:spacing w:val="6"/>
          <w:sz w:val="20"/>
          <w:szCs w:val="20"/>
        </w:rPr>
        <w:t>号）</w:t>
      </w:r>
    </w:p>
    <w:p>
      <w:pPr>
        <w:spacing w:before="122" w:line="314" w:lineRule="auto"/>
        <w:ind w:left="43" w:right="109" w:firstLine="398"/>
        <w:rPr>
          <w:rFonts w:ascii="宋体" w:hAnsi="宋体" w:eastAsia="宋体" w:cs="宋体"/>
          <w:sz w:val="20"/>
          <w:szCs w:val="20"/>
        </w:rPr>
      </w:pPr>
      <w:r>
        <w:rPr>
          <w:rFonts w:ascii="宋体" w:hAnsi="宋体" w:eastAsia="宋体" w:cs="宋体"/>
          <w:spacing w:val="8"/>
          <w:sz w:val="20"/>
          <w:szCs w:val="20"/>
        </w:rPr>
        <w:t>13.《关于贯彻落实〈山东省住房和城乡建设厅</w:t>
      </w:r>
      <w:r>
        <w:rPr>
          <w:rFonts w:ascii="宋体" w:hAnsi="宋体" w:eastAsia="宋体" w:cs="宋体"/>
          <w:spacing w:val="7"/>
          <w:sz w:val="20"/>
          <w:szCs w:val="20"/>
        </w:rPr>
        <w:t>关于调整建设工程定额人工单价及各专业定额价</w:t>
      </w:r>
      <w:r>
        <w:rPr>
          <w:rFonts w:ascii="宋体" w:hAnsi="宋体" w:eastAsia="宋体" w:cs="宋体"/>
          <w:spacing w:val="6"/>
          <w:sz w:val="20"/>
          <w:szCs w:val="20"/>
        </w:rPr>
        <w:t>目表的通知〉的通知》（淄建发〔2020〕215</w:t>
      </w:r>
      <w:r>
        <w:rPr>
          <w:rFonts w:ascii="宋体" w:hAnsi="宋体" w:eastAsia="宋体" w:cs="宋体"/>
          <w:spacing w:val="-34"/>
          <w:sz w:val="20"/>
          <w:szCs w:val="20"/>
        </w:rPr>
        <w:t xml:space="preserve"> </w:t>
      </w:r>
      <w:r>
        <w:rPr>
          <w:rFonts w:ascii="宋体" w:hAnsi="宋体" w:eastAsia="宋体" w:cs="宋体"/>
          <w:spacing w:val="6"/>
          <w:sz w:val="20"/>
          <w:szCs w:val="20"/>
        </w:rPr>
        <w:t>号）</w:t>
      </w:r>
    </w:p>
    <w:p>
      <w:pPr>
        <w:spacing w:before="120" w:line="277" w:lineRule="exact"/>
        <w:ind w:left="442"/>
        <w:rPr>
          <w:rFonts w:ascii="宋体" w:hAnsi="宋体" w:eastAsia="宋体" w:cs="宋体"/>
          <w:sz w:val="20"/>
          <w:szCs w:val="20"/>
        </w:rPr>
      </w:pPr>
      <w:r>
        <w:rPr>
          <w:rFonts w:ascii="宋体" w:hAnsi="宋体" w:eastAsia="宋体" w:cs="宋体"/>
          <w:spacing w:val="6"/>
          <w:position w:val="1"/>
          <w:sz w:val="20"/>
          <w:szCs w:val="20"/>
        </w:rPr>
        <w:t>14.《关于调整建设工程安全施工费的通知》（鲁建标字〔2023〕2</w:t>
      </w:r>
      <w:r>
        <w:rPr>
          <w:rFonts w:ascii="宋体" w:hAnsi="宋体" w:eastAsia="宋体" w:cs="宋体"/>
          <w:spacing w:val="-31"/>
          <w:position w:val="1"/>
          <w:sz w:val="20"/>
          <w:szCs w:val="20"/>
        </w:rPr>
        <w:t xml:space="preserve"> </w:t>
      </w:r>
      <w:r>
        <w:rPr>
          <w:rFonts w:ascii="宋体" w:hAnsi="宋体" w:eastAsia="宋体" w:cs="宋体"/>
          <w:spacing w:val="6"/>
          <w:position w:val="1"/>
          <w:sz w:val="20"/>
          <w:szCs w:val="20"/>
        </w:rPr>
        <w:t>号）</w:t>
      </w:r>
    </w:p>
    <w:p>
      <w:pPr>
        <w:spacing w:before="123" w:line="279" w:lineRule="exact"/>
        <w:ind w:left="442"/>
        <w:rPr>
          <w:rFonts w:ascii="宋体" w:hAnsi="宋体" w:eastAsia="宋体" w:cs="宋体"/>
          <w:sz w:val="20"/>
          <w:szCs w:val="20"/>
        </w:rPr>
      </w:pPr>
      <w:r>
        <w:rPr>
          <w:rFonts w:ascii="宋体" w:hAnsi="宋体" w:eastAsia="宋体" w:cs="宋体"/>
          <w:spacing w:val="7"/>
          <w:position w:val="1"/>
          <w:sz w:val="20"/>
          <w:szCs w:val="20"/>
        </w:rPr>
        <w:t>15.《关于不再计列“疫情防控措施费”</w:t>
      </w:r>
      <w:r>
        <w:rPr>
          <w:rFonts w:ascii="宋体" w:hAnsi="宋体" w:eastAsia="宋体" w:cs="宋体"/>
          <w:spacing w:val="6"/>
          <w:position w:val="1"/>
          <w:sz w:val="20"/>
          <w:szCs w:val="20"/>
        </w:rPr>
        <w:t>的通知》（鲁建标函〔2024〕2</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号）</w:t>
      </w:r>
    </w:p>
    <w:p>
      <w:pPr>
        <w:spacing w:before="122" w:line="276" w:lineRule="exact"/>
        <w:ind w:left="442"/>
        <w:rPr>
          <w:rFonts w:ascii="宋体" w:hAnsi="宋体" w:eastAsia="宋体" w:cs="宋体"/>
          <w:sz w:val="20"/>
          <w:szCs w:val="20"/>
        </w:rPr>
      </w:pPr>
      <w:r>
        <w:rPr>
          <w:rFonts w:ascii="宋体" w:hAnsi="宋体" w:eastAsia="宋体" w:cs="宋体"/>
          <w:spacing w:val="7"/>
          <w:position w:val="1"/>
          <w:sz w:val="20"/>
          <w:szCs w:val="20"/>
        </w:rPr>
        <w:t>16.《关于调整建设工程计价依据增值税税率的通知</w:t>
      </w:r>
      <w:r>
        <w:rPr>
          <w:rFonts w:ascii="宋体" w:hAnsi="宋体" w:eastAsia="宋体" w:cs="宋体"/>
          <w:spacing w:val="6"/>
          <w:position w:val="1"/>
          <w:sz w:val="20"/>
          <w:szCs w:val="20"/>
        </w:rPr>
        <w:t>》（鲁建标字〔2019〕10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号）</w:t>
      </w:r>
    </w:p>
    <w:p>
      <w:pPr>
        <w:spacing w:before="123" w:line="276" w:lineRule="exact"/>
        <w:ind w:left="442"/>
        <w:rPr>
          <w:rFonts w:ascii="宋体" w:hAnsi="宋体" w:eastAsia="宋体" w:cs="宋体"/>
          <w:sz w:val="20"/>
          <w:szCs w:val="20"/>
        </w:rPr>
      </w:pPr>
      <w:r>
        <w:rPr>
          <w:rFonts w:ascii="宋体" w:hAnsi="宋体" w:eastAsia="宋体" w:cs="宋体"/>
          <w:spacing w:val="8"/>
          <w:position w:val="1"/>
          <w:sz w:val="20"/>
          <w:szCs w:val="20"/>
        </w:rPr>
        <w:t>17.《关于加强工程建设人工材料价格风险控制的意见》（鲁建标字〔2019〕21号）</w:t>
      </w:r>
    </w:p>
    <w:p>
      <w:pPr>
        <w:spacing w:before="124" w:line="277" w:lineRule="exact"/>
        <w:ind w:left="442"/>
        <w:rPr>
          <w:rFonts w:ascii="宋体" w:hAnsi="宋体" w:eastAsia="宋体" w:cs="宋体"/>
          <w:sz w:val="20"/>
          <w:szCs w:val="20"/>
        </w:rPr>
      </w:pPr>
      <w:r>
        <w:rPr>
          <w:rFonts w:ascii="宋体" w:hAnsi="宋体" w:eastAsia="宋体" w:cs="宋体"/>
          <w:spacing w:val="7"/>
          <w:position w:val="1"/>
          <w:sz w:val="20"/>
          <w:szCs w:val="20"/>
        </w:rPr>
        <w:t>18.《关于进一步加强建设工程材料价格风险控制的通知》</w:t>
      </w:r>
      <w:r>
        <w:rPr>
          <w:rFonts w:ascii="宋体" w:hAnsi="宋体" w:eastAsia="宋体" w:cs="宋体"/>
          <w:spacing w:val="6"/>
          <w:position w:val="1"/>
          <w:sz w:val="20"/>
          <w:szCs w:val="20"/>
        </w:rPr>
        <w:t>（淄建发〔2021〕97</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号）</w:t>
      </w:r>
    </w:p>
    <w:p>
      <w:pPr>
        <w:spacing w:before="124" w:line="277" w:lineRule="exact"/>
        <w:ind w:left="442"/>
        <w:rPr>
          <w:rFonts w:ascii="宋体" w:hAnsi="宋体" w:eastAsia="宋体" w:cs="宋体"/>
          <w:sz w:val="20"/>
          <w:szCs w:val="20"/>
        </w:rPr>
      </w:pPr>
      <w:r>
        <w:rPr>
          <w:rFonts w:ascii="宋体" w:hAnsi="宋体" w:eastAsia="宋体" w:cs="宋体"/>
          <w:spacing w:val="8"/>
          <w:position w:val="1"/>
          <w:sz w:val="20"/>
          <w:szCs w:val="20"/>
        </w:rPr>
        <w:t>19.《关于发布淄博市建设工程规费计取标准的通知》（淄建发〔2022〕11号）</w:t>
      </w:r>
    </w:p>
    <w:p>
      <w:pPr>
        <w:spacing w:before="120" w:line="332" w:lineRule="auto"/>
        <w:ind w:left="5" w:firstLine="420"/>
        <w:rPr>
          <w:rFonts w:ascii="宋体" w:hAnsi="宋体" w:eastAsia="宋体" w:cs="宋体"/>
          <w:sz w:val="20"/>
          <w:szCs w:val="20"/>
        </w:rPr>
      </w:pPr>
      <w:r>
        <w:rPr>
          <w:rFonts w:ascii="宋体" w:hAnsi="宋体" w:eastAsia="宋体" w:cs="宋体"/>
          <w:spacing w:val="5"/>
          <w:sz w:val="20"/>
          <w:szCs w:val="20"/>
        </w:rPr>
        <w:t>20.《关于发布山东省建设工程计价依据动态调整汇编（2021年度）的通知》（鲁建标字〔2022〕</w:t>
      </w:r>
      <w:r>
        <w:rPr>
          <w:rFonts w:ascii="宋体" w:hAnsi="宋体" w:eastAsia="宋体" w:cs="宋体"/>
          <w:spacing w:val="6"/>
          <w:sz w:val="20"/>
          <w:szCs w:val="20"/>
        </w:rPr>
        <w:t xml:space="preserve"> </w:t>
      </w:r>
      <w:r>
        <w:rPr>
          <w:rFonts w:ascii="宋体" w:hAnsi="宋体" w:eastAsia="宋体" w:cs="宋体"/>
          <w:spacing w:val="11"/>
          <w:sz w:val="20"/>
          <w:szCs w:val="20"/>
        </w:rPr>
        <w:t>2</w:t>
      </w:r>
      <w:r>
        <w:rPr>
          <w:rFonts w:ascii="宋体" w:hAnsi="宋体" w:eastAsia="宋体" w:cs="宋体"/>
          <w:spacing w:val="-40"/>
          <w:sz w:val="20"/>
          <w:szCs w:val="20"/>
        </w:rPr>
        <w:t xml:space="preserve"> </w:t>
      </w:r>
      <w:r>
        <w:rPr>
          <w:rFonts w:ascii="宋体" w:hAnsi="宋体" w:eastAsia="宋体" w:cs="宋体"/>
          <w:spacing w:val="11"/>
          <w:sz w:val="20"/>
          <w:szCs w:val="20"/>
        </w:rPr>
        <w:t>号）</w:t>
      </w:r>
      <w:r>
        <w:rPr>
          <w:rFonts w:ascii="宋体" w:hAnsi="宋体" w:eastAsia="宋体" w:cs="宋体"/>
          <w:spacing w:val="-59"/>
          <w:sz w:val="20"/>
          <w:szCs w:val="20"/>
        </w:rPr>
        <w:t xml:space="preserve"> </w:t>
      </w:r>
      <w:r>
        <w:rPr>
          <w:rFonts w:ascii="宋体" w:hAnsi="宋体" w:eastAsia="宋体" w:cs="宋体"/>
          <w:spacing w:val="11"/>
          <w:sz w:val="20"/>
          <w:szCs w:val="20"/>
        </w:rPr>
        <w:t>、《关于发布建设工程计价依据动态调整汇编（2022</w:t>
      </w:r>
      <w:r>
        <w:rPr>
          <w:rFonts w:ascii="宋体" w:hAnsi="宋体" w:eastAsia="宋体" w:cs="宋体"/>
          <w:spacing w:val="-36"/>
          <w:sz w:val="20"/>
          <w:szCs w:val="20"/>
        </w:rPr>
        <w:t xml:space="preserve"> </w:t>
      </w:r>
      <w:r>
        <w:rPr>
          <w:rFonts w:ascii="宋体" w:hAnsi="宋体" w:eastAsia="宋体" w:cs="宋体"/>
          <w:spacing w:val="10"/>
          <w:sz w:val="20"/>
          <w:szCs w:val="20"/>
        </w:rPr>
        <w:t>年度）的通知》（鲁建标字〔2023〕7</w:t>
      </w:r>
      <w:r>
        <w:rPr>
          <w:rFonts w:ascii="宋体" w:hAnsi="宋体" w:eastAsia="宋体" w:cs="宋体"/>
          <w:spacing w:val="7"/>
          <w:sz w:val="20"/>
          <w:szCs w:val="20"/>
        </w:rPr>
        <w:t>号）、《关于发布建设工程计价依据动态调整汇编（2023</w:t>
      </w:r>
      <w:r>
        <w:rPr>
          <w:rFonts w:ascii="宋体" w:hAnsi="宋体" w:eastAsia="宋体" w:cs="宋体"/>
          <w:spacing w:val="-24"/>
          <w:sz w:val="20"/>
          <w:szCs w:val="20"/>
        </w:rPr>
        <w:t xml:space="preserve"> </w:t>
      </w:r>
      <w:r>
        <w:rPr>
          <w:rFonts w:ascii="宋体" w:hAnsi="宋体" w:eastAsia="宋体" w:cs="宋体"/>
          <w:spacing w:val="7"/>
          <w:sz w:val="20"/>
          <w:szCs w:val="20"/>
        </w:rPr>
        <w:t>年度）的通知》（鲁建标字〔2024〕3</w:t>
      </w:r>
      <w:r>
        <w:rPr>
          <w:rFonts w:ascii="宋体" w:hAnsi="宋体" w:eastAsia="宋体" w:cs="宋体"/>
          <w:spacing w:val="-42"/>
          <w:sz w:val="20"/>
          <w:szCs w:val="20"/>
        </w:rPr>
        <w:t xml:space="preserve"> </w:t>
      </w:r>
      <w:r>
        <w:rPr>
          <w:rFonts w:ascii="宋体" w:hAnsi="宋体" w:eastAsia="宋体" w:cs="宋体"/>
          <w:spacing w:val="7"/>
          <w:sz w:val="20"/>
          <w:szCs w:val="20"/>
        </w:rPr>
        <w:t>号）</w:t>
      </w:r>
    </w:p>
    <w:p>
      <w:pPr>
        <w:spacing w:before="122" w:line="314" w:lineRule="auto"/>
        <w:ind w:right="109" w:firstLine="425"/>
        <w:rPr>
          <w:rFonts w:ascii="宋体" w:hAnsi="宋体" w:eastAsia="宋体" w:cs="宋体"/>
          <w:sz w:val="20"/>
          <w:szCs w:val="20"/>
        </w:rPr>
      </w:pPr>
      <w:r>
        <w:rPr>
          <w:rFonts w:ascii="宋体" w:hAnsi="宋体" w:eastAsia="宋体" w:cs="宋体"/>
          <w:spacing w:val="8"/>
          <w:sz w:val="20"/>
          <w:szCs w:val="20"/>
        </w:rPr>
        <w:t>21.《关于发布&lt;山东省房屋建筑和市政基础设施项目工程总承包计价</w:t>
      </w:r>
      <w:r>
        <w:rPr>
          <w:rFonts w:ascii="宋体" w:hAnsi="宋体" w:eastAsia="宋体" w:cs="宋体"/>
          <w:spacing w:val="7"/>
          <w:sz w:val="20"/>
          <w:szCs w:val="20"/>
        </w:rPr>
        <w:t>规则&gt;的通知》（鲁建标字</w:t>
      </w:r>
      <w:r>
        <w:rPr>
          <w:rFonts w:ascii="宋体" w:hAnsi="宋体" w:eastAsia="宋体" w:cs="宋体"/>
          <w:spacing w:val="5"/>
          <w:sz w:val="20"/>
          <w:szCs w:val="20"/>
        </w:rPr>
        <w:t>〔2023〕14</w:t>
      </w:r>
      <w:r>
        <w:rPr>
          <w:rFonts w:ascii="宋体" w:hAnsi="宋体" w:eastAsia="宋体" w:cs="宋体"/>
          <w:spacing w:val="-34"/>
          <w:sz w:val="20"/>
          <w:szCs w:val="20"/>
        </w:rPr>
        <w:t xml:space="preserve"> </w:t>
      </w:r>
      <w:r>
        <w:rPr>
          <w:rFonts w:ascii="宋体" w:hAnsi="宋体" w:eastAsia="宋体" w:cs="宋体"/>
          <w:spacing w:val="5"/>
          <w:sz w:val="20"/>
          <w:szCs w:val="20"/>
        </w:rPr>
        <w:t>号）</w:t>
      </w:r>
    </w:p>
    <w:p>
      <w:pPr>
        <w:spacing w:before="122" w:line="278" w:lineRule="exact"/>
        <w:ind w:left="425"/>
        <w:rPr>
          <w:rFonts w:ascii="宋体" w:hAnsi="宋体" w:eastAsia="宋体" w:cs="宋体"/>
          <w:sz w:val="20"/>
          <w:szCs w:val="20"/>
        </w:rPr>
      </w:pPr>
      <w:r>
        <w:rPr>
          <w:rFonts w:ascii="宋体" w:hAnsi="宋体" w:eastAsia="宋体" w:cs="宋体"/>
          <w:spacing w:val="8"/>
          <w:position w:val="1"/>
          <w:sz w:val="20"/>
          <w:szCs w:val="20"/>
        </w:rPr>
        <w:t>22.《关于计取市政工程智慧工地建设费用的通知》（鲁建标字〔2024〕11号）</w:t>
      </w:r>
    </w:p>
    <w:p>
      <w:pPr>
        <w:spacing w:line="278" w:lineRule="exact"/>
        <w:rPr>
          <w:rFonts w:ascii="宋体" w:hAnsi="宋体" w:eastAsia="宋体" w:cs="宋体"/>
          <w:sz w:val="20"/>
          <w:szCs w:val="20"/>
        </w:rPr>
        <w:sectPr>
          <w:footerReference r:id="rId4" w:type="default"/>
          <w:pgSz w:w="11907" w:h="16840"/>
          <w:pgMar w:top="1431" w:right="1311" w:bottom="400" w:left="1418" w:header="0" w:footer="0" w:gutter="0"/>
        </w:sectPr>
      </w:pPr>
    </w:p>
    <w:p>
      <w:pPr>
        <w:spacing w:before="126" w:line="277" w:lineRule="exact"/>
        <w:ind w:left="425"/>
        <w:rPr>
          <w:rFonts w:ascii="宋体" w:hAnsi="宋体" w:eastAsia="宋体" w:cs="宋体"/>
          <w:sz w:val="20"/>
          <w:szCs w:val="20"/>
        </w:rPr>
      </w:pPr>
      <w:r>
        <w:rPr>
          <w:rFonts w:ascii="宋体" w:hAnsi="宋体" w:eastAsia="宋体" w:cs="宋体"/>
          <w:spacing w:val="7"/>
          <w:position w:val="1"/>
          <w:sz w:val="20"/>
          <w:szCs w:val="20"/>
        </w:rPr>
        <w:t>23.《关于发布建筑机器人施工补充定额的通知》（鲁建标字〔2024</w:t>
      </w:r>
      <w:r>
        <w:rPr>
          <w:rFonts w:ascii="宋体" w:hAnsi="宋体" w:eastAsia="宋体" w:cs="宋体"/>
          <w:spacing w:val="6"/>
          <w:position w:val="1"/>
          <w:sz w:val="20"/>
          <w:szCs w:val="20"/>
        </w:rPr>
        <w:t>〕13</w:t>
      </w:r>
      <w:r>
        <w:rPr>
          <w:rFonts w:ascii="宋体" w:hAnsi="宋体" w:eastAsia="宋体" w:cs="宋体"/>
          <w:spacing w:val="-39"/>
          <w:position w:val="1"/>
          <w:sz w:val="20"/>
          <w:szCs w:val="20"/>
        </w:rPr>
        <w:t xml:space="preserve"> </w:t>
      </w:r>
      <w:r>
        <w:rPr>
          <w:rFonts w:ascii="宋体" w:hAnsi="宋体" w:eastAsia="宋体" w:cs="宋体"/>
          <w:spacing w:val="6"/>
          <w:position w:val="1"/>
          <w:sz w:val="20"/>
          <w:szCs w:val="20"/>
        </w:rPr>
        <w:t>号）</w:t>
      </w:r>
    </w:p>
    <w:p>
      <w:pPr>
        <w:spacing w:before="121" w:line="278" w:lineRule="exact"/>
        <w:ind w:left="203"/>
        <w:rPr>
          <w:rFonts w:ascii="黑体" w:hAnsi="黑体" w:eastAsia="黑体" w:cs="黑体"/>
          <w:sz w:val="20"/>
          <w:szCs w:val="20"/>
        </w:rPr>
      </w:pPr>
      <w:r>
        <w:rPr>
          <w:rFonts w:ascii="宋体" w:hAnsi="宋体" w:eastAsia="宋体" w:cs="宋体"/>
          <w:position w:val="1"/>
          <w:sz w:val="20"/>
          <w:szCs w:val="20"/>
        </w:rPr>
        <w:t>（二）</w:t>
      </w:r>
      <w:r>
        <w:rPr>
          <w:rFonts w:ascii="黑体" w:hAnsi="黑体" w:eastAsia="黑体" w:cs="黑体"/>
          <w:position w:val="1"/>
          <w:sz w:val="20"/>
          <w:szCs w:val="20"/>
        </w:rPr>
        <w:t>2025</w:t>
      </w:r>
      <w:r>
        <w:rPr>
          <w:rFonts w:ascii="黑体" w:hAnsi="黑体" w:eastAsia="黑体" w:cs="黑体"/>
          <w:spacing w:val="-34"/>
          <w:position w:val="1"/>
          <w:sz w:val="20"/>
          <w:szCs w:val="20"/>
        </w:rPr>
        <w:t xml:space="preserve"> </w:t>
      </w:r>
      <w:r>
        <w:rPr>
          <w:rFonts w:ascii="黑体" w:hAnsi="黑体" w:eastAsia="黑体" w:cs="黑体"/>
          <w:position w:val="1"/>
          <w:sz w:val="20"/>
          <w:szCs w:val="20"/>
        </w:rPr>
        <w:t>年</w:t>
      </w:r>
      <w:r>
        <w:rPr>
          <w:rFonts w:ascii="黑体" w:hAnsi="黑体" w:eastAsia="黑体" w:cs="黑体"/>
          <w:spacing w:val="-42"/>
          <w:position w:val="1"/>
          <w:sz w:val="20"/>
          <w:szCs w:val="20"/>
        </w:rPr>
        <w:t xml:space="preserve"> </w:t>
      </w:r>
      <w:r>
        <w:rPr>
          <w:rFonts w:ascii="黑体" w:hAnsi="黑体" w:eastAsia="黑体" w:cs="黑体"/>
          <w:position w:val="1"/>
          <w:sz w:val="20"/>
          <w:szCs w:val="20"/>
        </w:rPr>
        <w:t>9</w:t>
      </w:r>
      <w:r>
        <w:rPr>
          <w:rFonts w:ascii="黑体" w:hAnsi="黑体" w:eastAsia="黑体" w:cs="黑体"/>
          <w:spacing w:val="-35"/>
          <w:position w:val="1"/>
          <w:sz w:val="20"/>
          <w:szCs w:val="20"/>
        </w:rPr>
        <w:t xml:space="preserve"> </w:t>
      </w:r>
      <w:r>
        <w:rPr>
          <w:rFonts w:ascii="黑体" w:hAnsi="黑体" w:eastAsia="黑体" w:cs="黑体"/>
          <w:position w:val="1"/>
          <w:sz w:val="20"/>
          <w:szCs w:val="20"/>
        </w:rPr>
        <w:t>月</w:t>
      </w:r>
      <w:r>
        <w:rPr>
          <w:rFonts w:ascii="黑体" w:hAnsi="黑体" w:eastAsia="黑体" w:cs="黑体"/>
          <w:spacing w:val="-27"/>
          <w:position w:val="1"/>
          <w:sz w:val="20"/>
          <w:szCs w:val="20"/>
        </w:rPr>
        <w:t xml:space="preserve"> </w:t>
      </w:r>
      <w:r>
        <w:rPr>
          <w:rFonts w:ascii="黑体" w:hAnsi="黑体" w:eastAsia="黑体" w:cs="黑体"/>
          <w:position w:val="1"/>
          <w:sz w:val="20"/>
          <w:szCs w:val="20"/>
        </w:rPr>
        <w:t>1 日起</w:t>
      </w:r>
    </w:p>
    <w:p>
      <w:pPr>
        <w:spacing w:before="122" w:line="276" w:lineRule="exact"/>
        <w:ind w:left="442"/>
        <w:rPr>
          <w:rFonts w:ascii="宋体" w:hAnsi="宋体" w:eastAsia="宋体" w:cs="宋体"/>
          <w:sz w:val="20"/>
          <w:szCs w:val="20"/>
        </w:rPr>
      </w:pPr>
      <w:r>
        <w:rPr>
          <w:rFonts w:ascii="宋体" w:hAnsi="宋体" w:eastAsia="宋体" w:cs="宋体"/>
          <w:spacing w:val="4"/>
          <w:position w:val="1"/>
          <w:sz w:val="20"/>
          <w:szCs w:val="20"/>
        </w:rPr>
        <w:t>1.《建设工程工程量清单计价标准》(</w:t>
      </w:r>
      <w:r>
        <w:rPr>
          <w:rFonts w:ascii="宋体" w:hAnsi="宋体" w:eastAsia="宋体" w:cs="宋体"/>
          <w:spacing w:val="-40"/>
          <w:position w:val="1"/>
          <w:sz w:val="20"/>
          <w:szCs w:val="20"/>
        </w:rPr>
        <w:t xml:space="preserve"> </w:t>
      </w:r>
      <w:r>
        <w:rPr>
          <w:rFonts w:ascii="宋体" w:hAnsi="宋体" w:eastAsia="宋体" w:cs="宋体"/>
          <w:position w:val="1"/>
          <w:sz w:val="20"/>
          <w:szCs w:val="20"/>
        </w:rPr>
        <w:t>GB</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/T50500-</w:t>
      </w:r>
      <w:r>
        <w:rPr>
          <w:rFonts w:ascii="宋体" w:hAnsi="宋体" w:eastAsia="宋体" w:cs="宋体"/>
          <w:spacing w:val="3"/>
          <w:position w:val="1"/>
          <w:sz w:val="20"/>
          <w:szCs w:val="20"/>
        </w:rPr>
        <w:t>2024)</w:t>
      </w:r>
    </w:p>
    <w:p>
      <w:pPr>
        <w:spacing w:before="124" w:line="312" w:lineRule="auto"/>
        <w:ind w:left="3" w:right="109" w:firstLine="421"/>
        <w:rPr>
          <w:rFonts w:ascii="宋体" w:hAnsi="宋体" w:eastAsia="宋体" w:cs="宋体"/>
          <w:sz w:val="20"/>
          <w:szCs w:val="20"/>
        </w:rPr>
      </w:pPr>
      <w:r>
        <w:rPr>
          <w:rFonts w:ascii="宋体" w:hAnsi="宋体" w:eastAsia="宋体" w:cs="宋体"/>
          <w:spacing w:val="8"/>
          <w:sz w:val="20"/>
          <w:szCs w:val="20"/>
        </w:rPr>
        <w:t>2.《山东省住房和城乡建设厅关于发布＜建设工程工程量清单计价标准&gt;实施指引的通知》（鲁</w:t>
      </w:r>
      <w:r>
        <w:rPr>
          <w:rFonts w:ascii="宋体" w:hAnsi="宋体" w:eastAsia="宋体" w:cs="宋体"/>
          <w:spacing w:val="6"/>
          <w:sz w:val="20"/>
          <w:szCs w:val="20"/>
        </w:rPr>
        <w:t>建标字〔2025〕6</w:t>
      </w:r>
      <w:r>
        <w:rPr>
          <w:rFonts w:ascii="宋体" w:hAnsi="宋体" w:eastAsia="宋体" w:cs="宋体"/>
          <w:spacing w:val="-34"/>
          <w:sz w:val="20"/>
          <w:szCs w:val="20"/>
        </w:rPr>
        <w:t xml:space="preserve"> </w:t>
      </w:r>
      <w:r>
        <w:rPr>
          <w:rFonts w:ascii="宋体" w:hAnsi="宋体" w:eastAsia="宋体" w:cs="宋体"/>
          <w:spacing w:val="6"/>
          <w:sz w:val="20"/>
          <w:szCs w:val="20"/>
        </w:rPr>
        <w:t>号）</w:t>
      </w:r>
    </w:p>
    <w:p>
      <w:pPr>
        <w:spacing w:before="124" w:line="276" w:lineRule="exact"/>
        <w:jc w:val="right"/>
        <w:rPr>
          <w:rFonts w:ascii="宋体" w:hAnsi="宋体" w:eastAsia="宋体" w:cs="宋体"/>
          <w:sz w:val="20"/>
          <w:szCs w:val="20"/>
        </w:rPr>
      </w:pPr>
      <w:r>
        <w:rPr>
          <w:rFonts w:ascii="宋体" w:hAnsi="宋体" w:eastAsia="宋体" w:cs="宋体"/>
          <w:spacing w:val="4"/>
          <w:position w:val="1"/>
          <w:sz w:val="20"/>
          <w:szCs w:val="20"/>
        </w:rPr>
        <w:t>3.《山东省住房和城乡建设厅关于发布建设工程造价计价依据的通知》（鲁建标字〔2025〕7</w:t>
      </w:r>
      <w:r>
        <w:rPr>
          <w:rFonts w:ascii="宋体" w:hAnsi="宋体" w:eastAsia="宋体" w:cs="宋体"/>
          <w:spacing w:val="-35"/>
          <w:position w:val="1"/>
          <w:sz w:val="20"/>
          <w:szCs w:val="20"/>
        </w:rPr>
        <w:t xml:space="preserve"> </w:t>
      </w:r>
      <w:r>
        <w:rPr>
          <w:rFonts w:ascii="宋体" w:hAnsi="宋体" w:eastAsia="宋体" w:cs="宋体"/>
          <w:spacing w:val="4"/>
          <w:position w:val="1"/>
          <w:sz w:val="20"/>
          <w:szCs w:val="20"/>
        </w:rPr>
        <w:t>号）</w:t>
      </w:r>
    </w:p>
    <w:p>
      <w:pPr>
        <w:spacing w:before="124" w:line="278" w:lineRule="exact"/>
        <w:ind w:left="422"/>
        <w:rPr>
          <w:rFonts w:ascii="宋体" w:hAnsi="宋体" w:eastAsia="宋体" w:cs="宋体"/>
          <w:sz w:val="20"/>
          <w:szCs w:val="20"/>
        </w:rPr>
      </w:pPr>
      <w:r>
        <w:rPr>
          <w:rFonts w:ascii="宋体" w:hAnsi="宋体" w:eastAsia="宋体" w:cs="宋体"/>
          <w:spacing w:val="5"/>
          <w:position w:val="1"/>
          <w:sz w:val="20"/>
          <w:szCs w:val="20"/>
        </w:rPr>
        <w:t>4.《山东省建设工程概算定额》（2018）</w:t>
      </w:r>
    </w:p>
    <w:p>
      <w:pPr>
        <w:spacing w:before="121" w:line="276" w:lineRule="exact"/>
        <w:ind w:left="425"/>
        <w:rPr>
          <w:rFonts w:ascii="宋体" w:hAnsi="宋体" w:eastAsia="宋体" w:cs="宋体"/>
          <w:sz w:val="20"/>
          <w:szCs w:val="20"/>
        </w:rPr>
      </w:pPr>
      <w:r>
        <w:rPr>
          <w:rFonts w:ascii="宋体" w:hAnsi="宋体" w:eastAsia="宋体" w:cs="宋体"/>
          <w:spacing w:val="6"/>
          <w:position w:val="1"/>
          <w:sz w:val="20"/>
          <w:szCs w:val="20"/>
        </w:rPr>
        <w:t>5.《山东省环境卫生作业计价定额》（2018）</w:t>
      </w:r>
    </w:p>
    <w:p>
      <w:pPr>
        <w:spacing w:before="125" w:line="277" w:lineRule="exact"/>
        <w:ind w:left="426"/>
        <w:rPr>
          <w:rFonts w:ascii="宋体" w:hAnsi="宋体" w:eastAsia="宋体" w:cs="宋体"/>
          <w:sz w:val="20"/>
          <w:szCs w:val="20"/>
        </w:rPr>
      </w:pPr>
      <w:r>
        <w:rPr>
          <w:rFonts w:ascii="宋体" w:hAnsi="宋体" w:eastAsia="宋体" w:cs="宋体"/>
          <w:spacing w:val="6"/>
          <w:position w:val="1"/>
          <w:sz w:val="20"/>
          <w:szCs w:val="20"/>
        </w:rPr>
        <w:t>6.《山东省市政养护维修工程消耗量定额》（2020）</w:t>
      </w:r>
    </w:p>
    <w:p>
      <w:pPr>
        <w:spacing w:before="123" w:line="278" w:lineRule="exact"/>
        <w:ind w:left="423"/>
        <w:rPr>
          <w:rFonts w:ascii="宋体" w:hAnsi="宋体" w:eastAsia="宋体" w:cs="宋体"/>
          <w:sz w:val="20"/>
          <w:szCs w:val="20"/>
        </w:rPr>
      </w:pPr>
      <w:r>
        <w:rPr>
          <w:rFonts w:ascii="宋体" w:hAnsi="宋体" w:eastAsia="宋体" w:cs="宋体"/>
          <w:spacing w:val="6"/>
          <w:position w:val="1"/>
          <w:sz w:val="20"/>
          <w:szCs w:val="20"/>
        </w:rPr>
        <w:t>7.《山东省房屋修缮工程消耗量定额》（2020）</w:t>
      </w:r>
    </w:p>
    <w:p>
      <w:pPr>
        <w:spacing w:before="121" w:line="277" w:lineRule="exact"/>
        <w:ind w:left="427"/>
        <w:rPr>
          <w:rFonts w:ascii="宋体" w:hAnsi="宋体" w:eastAsia="宋体" w:cs="宋体"/>
          <w:sz w:val="20"/>
          <w:szCs w:val="20"/>
        </w:rPr>
      </w:pPr>
      <w:r>
        <w:rPr>
          <w:rFonts w:ascii="宋体" w:hAnsi="宋体" w:eastAsia="宋体" w:cs="宋体"/>
          <w:spacing w:val="6"/>
          <w:position w:val="1"/>
          <w:sz w:val="20"/>
          <w:szCs w:val="20"/>
        </w:rPr>
        <w:t>8.《山东省仿古建筑工程消耗量定额》（2021）</w:t>
      </w:r>
    </w:p>
    <w:p>
      <w:pPr>
        <w:spacing w:before="124" w:line="277" w:lineRule="exact"/>
        <w:ind w:left="425"/>
        <w:rPr>
          <w:rFonts w:ascii="宋体" w:hAnsi="宋体" w:eastAsia="宋体" w:cs="宋体"/>
          <w:sz w:val="20"/>
          <w:szCs w:val="20"/>
        </w:rPr>
      </w:pPr>
      <w:r>
        <w:rPr>
          <w:rFonts w:ascii="宋体" w:hAnsi="宋体" w:eastAsia="宋体" w:cs="宋体"/>
          <w:spacing w:val="6"/>
          <w:position w:val="1"/>
          <w:sz w:val="20"/>
          <w:szCs w:val="20"/>
        </w:rPr>
        <w:t>9.《山东省古建筑修缮工程消耗量定额》（2023）</w:t>
      </w:r>
    </w:p>
    <w:p>
      <w:pPr>
        <w:spacing w:before="123" w:line="277" w:lineRule="exact"/>
        <w:ind w:left="442"/>
        <w:rPr>
          <w:rFonts w:ascii="宋体" w:hAnsi="宋体" w:eastAsia="宋体" w:cs="宋体"/>
          <w:sz w:val="20"/>
          <w:szCs w:val="20"/>
        </w:rPr>
      </w:pPr>
      <w:r>
        <w:rPr>
          <w:rFonts w:ascii="宋体" w:hAnsi="宋体" w:eastAsia="宋体" w:cs="宋体"/>
          <w:spacing w:val="8"/>
          <w:position w:val="1"/>
          <w:sz w:val="20"/>
          <w:szCs w:val="20"/>
        </w:rPr>
        <w:t>10.《关于加强工程建设人工材料价格风险控制的意见》（鲁建标字〔2019〕21号）</w:t>
      </w:r>
    </w:p>
    <w:p>
      <w:pPr>
        <w:spacing w:before="122" w:line="276" w:lineRule="exact"/>
        <w:ind w:left="442"/>
        <w:rPr>
          <w:rFonts w:ascii="宋体" w:hAnsi="宋体" w:eastAsia="宋体" w:cs="宋体"/>
          <w:sz w:val="20"/>
          <w:szCs w:val="20"/>
        </w:rPr>
      </w:pPr>
      <w:r>
        <w:rPr>
          <w:rFonts w:ascii="宋体" w:hAnsi="宋体" w:eastAsia="宋体" w:cs="宋体"/>
          <w:spacing w:val="7"/>
          <w:position w:val="1"/>
          <w:sz w:val="20"/>
          <w:szCs w:val="20"/>
        </w:rPr>
        <w:t>11.《关于进一步加强建设工程材料价格风险控制的通知》</w:t>
      </w:r>
      <w:r>
        <w:rPr>
          <w:rFonts w:ascii="宋体" w:hAnsi="宋体" w:eastAsia="宋体" w:cs="宋体"/>
          <w:spacing w:val="6"/>
          <w:position w:val="1"/>
          <w:sz w:val="20"/>
          <w:szCs w:val="20"/>
        </w:rPr>
        <w:t>（淄建发〔2021〕97</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号）</w:t>
      </w:r>
    </w:p>
    <w:p>
      <w:pPr>
        <w:spacing w:before="124" w:line="314" w:lineRule="auto"/>
        <w:ind w:right="111" w:firstLine="442"/>
        <w:rPr>
          <w:rFonts w:ascii="宋体" w:hAnsi="宋体" w:eastAsia="宋体" w:cs="宋体"/>
          <w:sz w:val="20"/>
          <w:szCs w:val="20"/>
        </w:rPr>
      </w:pPr>
      <w:r>
        <w:rPr>
          <w:rFonts w:ascii="宋体" w:hAnsi="宋体" w:eastAsia="宋体" w:cs="宋体"/>
          <w:spacing w:val="7"/>
          <w:sz w:val="20"/>
          <w:szCs w:val="20"/>
        </w:rPr>
        <w:t>12.《关于发布&lt;山东省房屋建筑和市政基础设施项目工程总承包计价规则&gt;的通知》（鲁建标字</w:t>
      </w:r>
      <w:r>
        <w:rPr>
          <w:rFonts w:ascii="宋体" w:hAnsi="宋体" w:eastAsia="宋体" w:cs="宋体"/>
          <w:spacing w:val="5"/>
          <w:sz w:val="20"/>
          <w:szCs w:val="20"/>
        </w:rPr>
        <w:t>〔2023〕14</w:t>
      </w:r>
      <w:r>
        <w:rPr>
          <w:rFonts w:ascii="宋体" w:hAnsi="宋体" w:eastAsia="宋体" w:cs="宋体"/>
          <w:spacing w:val="-34"/>
          <w:sz w:val="20"/>
          <w:szCs w:val="20"/>
        </w:rPr>
        <w:t xml:space="preserve"> </w:t>
      </w:r>
      <w:r>
        <w:rPr>
          <w:rFonts w:ascii="宋体" w:hAnsi="宋体" w:eastAsia="宋体" w:cs="宋体"/>
          <w:spacing w:val="5"/>
          <w:sz w:val="20"/>
          <w:szCs w:val="20"/>
        </w:rPr>
        <w:t>号）</w:t>
      </w:r>
    </w:p>
    <w:p>
      <w:pPr>
        <w:spacing w:before="119" w:line="278" w:lineRule="exact"/>
        <w:ind w:left="442"/>
        <w:rPr>
          <w:rFonts w:ascii="宋体" w:hAnsi="宋体" w:eastAsia="宋体" w:cs="宋体"/>
          <w:sz w:val="20"/>
          <w:szCs w:val="20"/>
        </w:rPr>
      </w:pPr>
      <w:r>
        <w:rPr>
          <w:rFonts w:ascii="宋体" w:hAnsi="宋体" w:eastAsia="宋体" w:cs="宋体"/>
          <w:spacing w:val="8"/>
          <w:position w:val="1"/>
          <w:sz w:val="20"/>
          <w:szCs w:val="20"/>
        </w:rPr>
        <w:t>13.《关于计取市政工程智慧工地建设费用的通知》（鲁建标字〔2024〕11号）</w:t>
      </w:r>
    </w:p>
    <w:p>
      <w:pPr>
        <w:spacing w:before="123" w:line="277" w:lineRule="exact"/>
        <w:ind w:left="442"/>
        <w:rPr>
          <w:rFonts w:ascii="宋体" w:hAnsi="宋体" w:eastAsia="宋体" w:cs="宋体"/>
          <w:sz w:val="20"/>
          <w:szCs w:val="20"/>
        </w:rPr>
      </w:pPr>
      <w:r>
        <w:rPr>
          <w:rFonts w:ascii="宋体" w:hAnsi="宋体" w:eastAsia="宋体" w:cs="宋体"/>
          <w:spacing w:val="6"/>
          <w:position w:val="1"/>
          <w:sz w:val="20"/>
          <w:szCs w:val="20"/>
        </w:rPr>
        <w:t>14.《关于发布建筑机器人施工补充定额的通知》（鲁建标字〔2024〕13</w:t>
      </w:r>
      <w:r>
        <w:rPr>
          <w:rFonts w:ascii="宋体" w:hAnsi="宋体" w:eastAsia="宋体" w:cs="宋体"/>
          <w:spacing w:val="-24"/>
          <w:position w:val="1"/>
          <w:sz w:val="20"/>
          <w:szCs w:val="20"/>
        </w:rPr>
        <w:t xml:space="preserve"> </w:t>
      </w:r>
      <w:r>
        <w:rPr>
          <w:rFonts w:ascii="宋体" w:hAnsi="宋体" w:eastAsia="宋体" w:cs="宋体"/>
          <w:spacing w:val="6"/>
          <w:position w:val="1"/>
          <w:sz w:val="20"/>
          <w:szCs w:val="20"/>
        </w:rPr>
        <w:t>号）</w:t>
      </w:r>
    </w:p>
    <w:p>
      <w:pPr>
        <w:spacing w:before="125" w:line="231" w:lineRule="auto"/>
        <w:ind w:left="431"/>
        <w:rPr>
          <w:rFonts w:ascii="黑体" w:hAnsi="黑体" w:eastAsia="黑体" w:cs="黑体"/>
          <w:sz w:val="20"/>
          <w:szCs w:val="20"/>
        </w:rPr>
      </w:pPr>
      <w:r>
        <w:rPr>
          <w:rFonts w:ascii="黑体" w:hAnsi="黑体" w:eastAsia="黑体" w:cs="黑体"/>
          <w:spacing w:val="7"/>
          <w:sz w:val="20"/>
          <w:szCs w:val="20"/>
        </w:rPr>
        <w:t>二、适用范围</w:t>
      </w:r>
    </w:p>
    <w:p>
      <w:pPr>
        <w:spacing w:before="149" w:line="367" w:lineRule="auto"/>
        <w:ind w:left="1" w:right="28" w:firstLine="424"/>
        <w:rPr>
          <w:rFonts w:ascii="宋体" w:hAnsi="宋体" w:eastAsia="宋体" w:cs="宋体"/>
          <w:sz w:val="20"/>
          <w:szCs w:val="20"/>
        </w:rPr>
      </w:pPr>
      <w:r>
        <w:rPr>
          <w:rFonts w:ascii="黑体" w:hAnsi="黑体" w:eastAsia="黑体" w:cs="黑体"/>
          <w:spacing w:val="7"/>
          <w:sz w:val="20"/>
          <w:szCs w:val="20"/>
        </w:rPr>
        <w:t>2</w:t>
      </w:r>
      <w:r>
        <w:rPr>
          <w:rFonts w:ascii="宋体" w:hAnsi="宋体" w:eastAsia="宋体" w:cs="宋体"/>
          <w:spacing w:val="7"/>
          <w:sz w:val="20"/>
          <w:szCs w:val="20"/>
        </w:rPr>
        <w:t>025</w:t>
      </w:r>
      <w:r>
        <w:rPr>
          <w:rFonts w:ascii="宋体" w:hAnsi="宋体" w:eastAsia="宋体" w:cs="宋体"/>
          <w:spacing w:val="-38"/>
          <w:sz w:val="20"/>
          <w:szCs w:val="20"/>
        </w:rPr>
        <w:t xml:space="preserve"> </w:t>
      </w:r>
      <w:r>
        <w:rPr>
          <w:rFonts w:ascii="宋体" w:hAnsi="宋体" w:eastAsia="宋体" w:cs="宋体"/>
          <w:spacing w:val="7"/>
          <w:sz w:val="20"/>
          <w:szCs w:val="20"/>
        </w:rPr>
        <w:t>年</w:t>
      </w:r>
      <w:r>
        <w:rPr>
          <w:rFonts w:ascii="宋体" w:hAnsi="宋体" w:eastAsia="宋体" w:cs="宋体"/>
          <w:spacing w:val="-42"/>
          <w:sz w:val="20"/>
          <w:szCs w:val="20"/>
        </w:rPr>
        <w:t xml:space="preserve"> </w:t>
      </w:r>
      <w:r>
        <w:rPr>
          <w:rFonts w:ascii="宋体" w:hAnsi="宋体" w:eastAsia="宋体" w:cs="宋体"/>
          <w:spacing w:val="7"/>
          <w:sz w:val="20"/>
          <w:szCs w:val="20"/>
        </w:rPr>
        <w:t>9</w:t>
      </w:r>
      <w:r>
        <w:rPr>
          <w:rFonts w:ascii="宋体" w:hAnsi="宋体" w:eastAsia="宋体" w:cs="宋体"/>
          <w:spacing w:val="-41"/>
          <w:sz w:val="20"/>
          <w:szCs w:val="20"/>
        </w:rPr>
        <w:t xml:space="preserve"> </w:t>
      </w:r>
      <w:r>
        <w:rPr>
          <w:rFonts w:ascii="宋体" w:hAnsi="宋体" w:eastAsia="宋体" w:cs="宋体"/>
          <w:spacing w:val="7"/>
          <w:sz w:val="20"/>
          <w:szCs w:val="20"/>
        </w:rPr>
        <w:t>月</w:t>
      </w:r>
      <w:r>
        <w:rPr>
          <w:rFonts w:ascii="宋体" w:hAnsi="宋体" w:eastAsia="宋体" w:cs="宋体"/>
          <w:spacing w:val="-24"/>
          <w:sz w:val="20"/>
          <w:szCs w:val="20"/>
        </w:rPr>
        <w:t xml:space="preserve"> </w:t>
      </w:r>
      <w:r>
        <w:rPr>
          <w:rFonts w:ascii="宋体" w:hAnsi="宋体" w:eastAsia="宋体" w:cs="宋体"/>
          <w:spacing w:val="7"/>
          <w:sz w:val="20"/>
          <w:szCs w:val="20"/>
        </w:rPr>
        <w:t>1 日前：适用于我市行政区域内的一般工业与民用建筑工程的建筑、装饰、安装、</w:t>
      </w:r>
      <w:r>
        <w:rPr>
          <w:rFonts w:ascii="宋体" w:hAnsi="宋体" w:eastAsia="宋体" w:cs="宋体"/>
          <w:spacing w:val="11"/>
          <w:sz w:val="20"/>
          <w:szCs w:val="20"/>
        </w:rPr>
        <w:t>市政、园林绿化、城市地下综合管廊、房屋修缮、市政养护维修、仿古建筑、古建</w:t>
      </w:r>
      <w:r>
        <w:rPr>
          <w:rFonts w:ascii="宋体" w:hAnsi="宋体" w:eastAsia="宋体" w:cs="宋体"/>
          <w:spacing w:val="10"/>
          <w:sz w:val="20"/>
          <w:szCs w:val="20"/>
        </w:rPr>
        <w:t>筑修缮、环境卫</w:t>
      </w:r>
      <w:r>
        <w:rPr>
          <w:rFonts w:ascii="宋体" w:hAnsi="宋体" w:eastAsia="宋体" w:cs="宋体"/>
          <w:spacing w:val="8"/>
          <w:sz w:val="20"/>
          <w:szCs w:val="20"/>
        </w:rPr>
        <w:t>生作业等专业工程的计价活动，是编制设计概算、工程量清单、最高投标限价的依据，是</w:t>
      </w:r>
      <w:r>
        <w:rPr>
          <w:rFonts w:ascii="宋体" w:hAnsi="宋体" w:eastAsia="宋体" w:cs="宋体"/>
          <w:spacing w:val="7"/>
          <w:sz w:val="20"/>
          <w:szCs w:val="20"/>
        </w:rPr>
        <w:t>编审概算、</w:t>
      </w:r>
      <w:r>
        <w:rPr>
          <w:rFonts w:ascii="宋体" w:hAnsi="宋体" w:eastAsia="宋体" w:cs="宋体"/>
          <w:spacing w:val="9"/>
          <w:sz w:val="20"/>
          <w:szCs w:val="20"/>
        </w:rPr>
        <w:t>估算指标、施工图预算、过程结算及竣工结算的重要参考。</w:t>
      </w:r>
    </w:p>
    <w:p>
      <w:pPr>
        <w:spacing w:before="8" w:line="364" w:lineRule="auto"/>
        <w:ind w:left="5" w:right="109" w:firstLine="420"/>
        <w:rPr>
          <w:rFonts w:ascii="宋体" w:hAnsi="宋体" w:eastAsia="宋体" w:cs="宋体"/>
          <w:sz w:val="20"/>
          <w:szCs w:val="20"/>
        </w:rPr>
      </w:pPr>
      <w:r>
        <w:rPr>
          <w:rFonts w:ascii="宋体" w:hAnsi="宋体" w:eastAsia="宋体" w:cs="宋体"/>
          <w:spacing w:val="7"/>
          <w:sz w:val="20"/>
          <w:szCs w:val="20"/>
        </w:rPr>
        <w:t>2025</w:t>
      </w:r>
      <w:r>
        <w:rPr>
          <w:rFonts w:ascii="宋体" w:hAnsi="宋体" w:eastAsia="宋体" w:cs="宋体"/>
          <w:spacing w:val="-41"/>
          <w:sz w:val="20"/>
          <w:szCs w:val="20"/>
        </w:rPr>
        <w:t xml:space="preserve"> </w:t>
      </w:r>
      <w:r>
        <w:rPr>
          <w:rFonts w:ascii="宋体" w:hAnsi="宋体" w:eastAsia="宋体" w:cs="宋体"/>
          <w:spacing w:val="7"/>
          <w:sz w:val="20"/>
          <w:szCs w:val="20"/>
        </w:rPr>
        <w:t>年</w:t>
      </w:r>
      <w:r>
        <w:rPr>
          <w:rFonts w:ascii="宋体" w:hAnsi="宋体" w:eastAsia="宋体" w:cs="宋体"/>
          <w:spacing w:val="-42"/>
          <w:sz w:val="20"/>
          <w:szCs w:val="20"/>
        </w:rPr>
        <w:t xml:space="preserve"> </w:t>
      </w:r>
      <w:r>
        <w:rPr>
          <w:rFonts w:ascii="宋体" w:hAnsi="宋体" w:eastAsia="宋体" w:cs="宋体"/>
          <w:spacing w:val="7"/>
          <w:sz w:val="20"/>
          <w:szCs w:val="20"/>
        </w:rPr>
        <w:t>9</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4"/>
          <w:sz w:val="20"/>
          <w:szCs w:val="20"/>
        </w:rPr>
        <w:t xml:space="preserve"> </w:t>
      </w:r>
      <w:r>
        <w:rPr>
          <w:rFonts w:ascii="宋体" w:hAnsi="宋体" w:eastAsia="宋体" w:cs="宋体"/>
          <w:spacing w:val="7"/>
          <w:sz w:val="20"/>
          <w:szCs w:val="20"/>
        </w:rPr>
        <w:t>1 日起：适用于我市行政区域内的一</w:t>
      </w:r>
      <w:r>
        <w:rPr>
          <w:rFonts w:ascii="宋体" w:hAnsi="宋体" w:eastAsia="宋体" w:cs="宋体"/>
          <w:spacing w:val="6"/>
          <w:sz w:val="20"/>
          <w:szCs w:val="20"/>
        </w:rPr>
        <w:t>般工业与民用建筑工程的建筑、装饰、安装、</w:t>
      </w:r>
      <w:r>
        <w:rPr>
          <w:rFonts w:ascii="宋体" w:hAnsi="宋体" w:eastAsia="宋体" w:cs="宋体"/>
          <w:spacing w:val="11"/>
          <w:sz w:val="20"/>
          <w:szCs w:val="20"/>
        </w:rPr>
        <w:t>市政、园林绿化、房屋修缮、古建筑修缮、市政养护维修、仿古建筑工程的</w:t>
      </w:r>
      <w:r>
        <w:rPr>
          <w:rFonts w:ascii="宋体" w:hAnsi="宋体" w:eastAsia="宋体" w:cs="宋体"/>
          <w:spacing w:val="10"/>
          <w:sz w:val="20"/>
          <w:szCs w:val="20"/>
        </w:rPr>
        <w:t>计价活动。包括编制最</w:t>
      </w:r>
      <w:r>
        <w:rPr>
          <w:rFonts w:ascii="宋体" w:hAnsi="宋体" w:eastAsia="宋体" w:cs="宋体"/>
          <w:spacing w:val="8"/>
          <w:sz w:val="20"/>
          <w:szCs w:val="20"/>
        </w:rPr>
        <w:t>高投标限价、投标报价、工程结算等。</w:t>
      </w:r>
    </w:p>
    <w:p>
      <w:pPr>
        <w:spacing w:before="20" w:line="223" w:lineRule="auto"/>
        <w:ind w:left="424"/>
        <w:rPr>
          <w:rFonts w:ascii="宋体" w:hAnsi="宋体" w:eastAsia="宋体" w:cs="宋体"/>
          <w:sz w:val="20"/>
          <w:szCs w:val="20"/>
        </w:rPr>
      </w:pPr>
      <w:r>
        <w:rPr>
          <w:rFonts w:ascii="宋体" w:hAnsi="宋体" w:eastAsia="宋体" w:cs="宋体"/>
          <w:spacing w:val="10"/>
          <w:sz w:val="20"/>
          <w:szCs w:val="20"/>
        </w:rPr>
        <w:t>望各单位在使用过程中将发现的问题、建议及时反</w:t>
      </w:r>
      <w:r>
        <w:rPr>
          <w:rFonts w:ascii="宋体" w:hAnsi="宋体" w:eastAsia="宋体" w:cs="宋体"/>
          <w:spacing w:val="9"/>
          <w:sz w:val="20"/>
          <w:szCs w:val="20"/>
        </w:rPr>
        <w:t>馈给淄博市住房和城乡建设保障服务中心。</w:t>
      </w:r>
    </w:p>
    <w:p>
      <w:pPr>
        <w:spacing w:line="223" w:lineRule="auto"/>
        <w:rPr>
          <w:rFonts w:ascii="宋体" w:hAnsi="宋体" w:eastAsia="宋体" w:cs="宋体"/>
          <w:sz w:val="20"/>
          <w:szCs w:val="20"/>
        </w:rPr>
        <w:sectPr>
          <w:pgSz w:w="11907" w:h="16840"/>
          <w:pgMar w:top="1431" w:right="1309" w:bottom="400" w:left="1418" w:header="0" w:footer="0" w:gutter="0"/>
        </w:sectPr>
      </w:pPr>
    </w:p>
    <w:p>
      <w:pPr>
        <w:spacing w:line="453" w:lineRule="auto"/>
        <w:rPr>
          <w:rFonts w:ascii="Arial"/>
          <w:sz w:val="21"/>
        </w:rPr>
      </w:pPr>
    </w:p>
    <w:sdt>
      <w:sdtPr>
        <w:rPr>
          <w:rFonts w:ascii="微软雅黑" w:hAnsi="微软雅黑" w:eastAsia="微软雅黑" w:cs="微软雅黑"/>
          <w:sz w:val="43"/>
          <w:szCs w:val="43"/>
        </w:rPr>
        <w:id w:val="0"/>
        <w:docPartObj>
          <w:docPartGallery w:val="Table of Contents"/>
          <w:docPartUnique/>
        </w:docPartObj>
      </w:sdtPr>
      <w:sdtEndPr>
        <w:rPr>
          <w:rFonts w:ascii="宋体" w:hAnsi="宋体" w:eastAsia="宋体" w:cs="宋体"/>
          <w:sz w:val="20"/>
          <w:szCs w:val="20"/>
        </w:rPr>
      </w:sdtEndPr>
      <w:sdtContent>
        <w:p>
          <w:pPr>
            <w:pStyle w:val="2"/>
            <w:spacing w:before="185" w:line="175" w:lineRule="auto"/>
            <w:ind w:left="3705"/>
            <w:rPr>
              <w:sz w:val="43"/>
              <w:szCs w:val="43"/>
            </w:rPr>
          </w:pPr>
          <w:bookmarkStart w:id="0" w:name="bookmark1"/>
          <w:bookmarkEnd w:id="0"/>
          <w:r>
            <w:rPr>
              <w:spacing w:val="-41"/>
              <w:sz w:val="43"/>
              <w:szCs w:val="43"/>
            </w:rPr>
            <w:t>目</w:t>
          </w:r>
          <w:r>
            <w:rPr>
              <w:spacing w:val="117"/>
              <w:sz w:val="43"/>
              <w:szCs w:val="43"/>
            </w:rPr>
            <w:t xml:space="preserve"> </w:t>
          </w:r>
          <w:r>
            <w:rPr>
              <w:spacing w:val="-41"/>
              <w:sz w:val="43"/>
              <w:szCs w:val="43"/>
            </w:rPr>
            <w:t>录</w:t>
          </w:r>
        </w:p>
        <w:p>
          <w:pPr>
            <w:spacing w:line="278" w:lineRule="auto"/>
            <w:rPr>
              <w:rFonts w:ascii="Arial"/>
              <w:sz w:val="21"/>
            </w:rPr>
          </w:pPr>
        </w:p>
        <w:p>
          <w:pPr>
            <w:pStyle w:val="2"/>
            <w:spacing w:before="120" w:line="291" w:lineRule="exact"/>
            <w:ind w:left="2909"/>
            <w:rPr>
              <w:sz w:val="28"/>
              <w:szCs w:val="28"/>
            </w:rPr>
          </w:pPr>
          <w:r>
            <w:fldChar w:fldCharType="begin"/>
          </w:r>
          <w:r>
            <w:instrText xml:space="preserve"> HYPERLINK \l "bookmark2" </w:instrText>
          </w:r>
          <w:r>
            <w:fldChar w:fldCharType="separate"/>
          </w:r>
          <w:r>
            <w:rPr>
              <w:spacing w:val="-1"/>
              <w:sz w:val="28"/>
              <w:szCs w:val="28"/>
            </w:rPr>
            <w:t>第一部分</w:t>
          </w:r>
          <w:r>
            <w:rPr>
              <w:spacing w:val="12"/>
              <w:sz w:val="28"/>
              <w:szCs w:val="28"/>
            </w:rPr>
            <w:t xml:space="preserve">   </w:t>
          </w:r>
          <w:r>
            <w:rPr>
              <w:spacing w:val="-1"/>
              <w:sz w:val="28"/>
              <w:szCs w:val="28"/>
            </w:rPr>
            <w:t>概算定额</w:t>
          </w:r>
          <w:r>
            <w:rPr>
              <w:spacing w:val="-1"/>
              <w:sz w:val="28"/>
              <w:szCs w:val="28"/>
            </w:rPr>
            <w:fldChar w:fldCharType="end"/>
          </w:r>
        </w:p>
        <w:p>
          <w:pPr>
            <w:spacing w:line="242" w:lineRule="auto"/>
            <w:rPr>
              <w:rFonts w:ascii="Arial"/>
              <w:sz w:val="21"/>
            </w:rPr>
          </w:pPr>
        </w:p>
        <w:p>
          <w:pPr>
            <w:spacing w:line="243" w:lineRule="auto"/>
            <w:rPr>
              <w:rFonts w:ascii="Arial"/>
              <w:sz w:val="21"/>
            </w:rPr>
          </w:pPr>
        </w:p>
        <w:p>
          <w:pPr>
            <w:tabs>
              <w:tab w:val="right" w:leader="dot" w:pos="8702"/>
            </w:tabs>
            <w:spacing w:before="65" w:line="221" w:lineRule="auto"/>
            <w:ind w:left="54"/>
            <w:rPr>
              <w:rFonts w:ascii="宋体" w:hAnsi="宋体" w:eastAsia="宋体" w:cs="宋体"/>
              <w:sz w:val="20"/>
              <w:szCs w:val="20"/>
            </w:rPr>
          </w:pPr>
          <w:r>
            <w:fldChar w:fldCharType="begin"/>
          </w:r>
          <w:r>
            <w:instrText xml:space="preserve"> HYPERLINK \l "bookmark4" </w:instrText>
          </w:r>
          <w:r>
            <w:fldChar w:fldCharType="separate"/>
          </w:r>
          <w:r>
            <w:rPr>
              <w:rFonts w:ascii="宋体" w:hAnsi="宋体" w:eastAsia="宋体" w:cs="宋体"/>
              <w:spacing w:val="9"/>
              <w:sz w:val="20"/>
              <w:szCs w:val="20"/>
            </w:rPr>
            <w:t>第一章  建设项目概算费用组成</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"bookmark3" </w:instrText>
          </w:r>
          <w:r>
            <w:fldChar w:fldCharType="separate"/>
          </w:r>
          <w:r>
            <w:rPr>
              <w:rFonts w:ascii="宋体" w:hAnsi="宋体" w:eastAsia="宋体" w:cs="宋体"/>
              <w:spacing w:val="-46"/>
              <w:sz w:val="20"/>
              <w:szCs w:val="20"/>
            </w:rPr>
            <w:t xml:space="preserve"> </w:t>
          </w:r>
          <w:r>
            <w:rPr>
              <w:rFonts w:ascii="宋体" w:hAnsi="宋体" w:eastAsia="宋体" w:cs="宋体"/>
              <w:spacing w:val="-20"/>
              <w:sz w:val="20"/>
              <w:szCs w:val="20"/>
            </w:rPr>
            <w:t>1</w:t>
          </w:r>
          <w:r>
            <w:rPr>
              <w:rFonts w:ascii="宋体" w:hAnsi="宋体" w:eastAsia="宋体" w:cs="宋体"/>
              <w:spacing w:val="-20"/>
              <w:sz w:val="20"/>
              <w:szCs w:val="20"/>
            </w:rPr>
            <w:fldChar w:fldCharType="end"/>
          </w:r>
        </w:p>
        <w:p>
          <w:pPr>
            <w:tabs>
              <w:tab w:val="right" w:leader="dot" w:pos="8702"/>
            </w:tabs>
            <w:spacing w:before="194" w:line="221" w:lineRule="auto"/>
            <w:ind w:left="54"/>
            <w:rPr>
              <w:rFonts w:ascii="宋体" w:hAnsi="宋体" w:eastAsia="宋体" w:cs="宋体"/>
              <w:sz w:val="20"/>
              <w:szCs w:val="20"/>
            </w:rPr>
          </w:pPr>
          <w:r>
            <w:fldChar w:fldCharType="begin"/>
          </w:r>
          <w:r>
            <w:instrText xml:space="preserve"> HYPERLINK \l "bookmark6" </w:instrText>
          </w:r>
          <w:r>
            <w:fldChar w:fldCharType="separate"/>
          </w:r>
          <w:r>
            <w:rPr>
              <w:rFonts w:ascii="宋体" w:hAnsi="宋体" w:eastAsia="宋体" w:cs="宋体"/>
              <w:spacing w:val="9"/>
              <w:sz w:val="20"/>
              <w:szCs w:val="20"/>
            </w:rPr>
            <w:t>第二章  建设项目概算费用计算程序及费率</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"bookmark5" </w:instrText>
          </w:r>
          <w:r>
            <w:fldChar w:fldCharType="separate"/>
          </w:r>
          <w:r>
            <w:rPr>
              <w:rFonts w:ascii="宋体" w:hAnsi="宋体" w:eastAsia="宋体" w:cs="宋体"/>
              <w:spacing w:val="-64"/>
              <w:sz w:val="20"/>
              <w:szCs w:val="20"/>
            </w:rPr>
            <w:t xml:space="preserve"> </w:t>
          </w:r>
          <w:r>
            <w:rPr>
              <w:rFonts w:ascii="宋体" w:hAnsi="宋体" w:eastAsia="宋体" w:cs="宋体"/>
              <w:spacing w:val="-2"/>
              <w:sz w:val="20"/>
              <w:szCs w:val="20"/>
            </w:rPr>
            <w:t>5</w:t>
          </w:r>
          <w:r>
            <w:rPr>
              <w:rFonts w:ascii="宋体" w:hAnsi="宋体" w:eastAsia="宋体" w:cs="宋体"/>
              <w:spacing w:val="-2"/>
              <w:sz w:val="20"/>
              <w:szCs w:val="20"/>
            </w:rPr>
            <w:fldChar w:fldCharType="end"/>
          </w:r>
        </w:p>
        <w:p>
          <w:pPr>
            <w:tabs>
              <w:tab w:val="right" w:leader="dot" w:pos="8702"/>
            </w:tabs>
            <w:spacing w:before="197" w:line="277" w:lineRule="exact"/>
            <w:ind w:left="54"/>
            <w:rPr>
              <w:rFonts w:ascii="宋体" w:hAnsi="宋体" w:eastAsia="宋体" w:cs="宋体"/>
              <w:sz w:val="20"/>
              <w:szCs w:val="20"/>
            </w:rPr>
          </w:pPr>
          <w:r>
            <w:fldChar w:fldCharType="begin"/>
          </w:r>
          <w:r>
            <w:instrText xml:space="preserve"> HYPERLINK \l "bookmark8" </w:instrText>
          </w:r>
          <w:r>
            <w:fldChar w:fldCharType="separate"/>
          </w:r>
          <w:r>
            <w:rPr>
              <w:rFonts w:ascii="宋体" w:hAnsi="宋体" w:eastAsia="宋体" w:cs="宋体"/>
              <w:spacing w:val="8"/>
              <w:position w:val="1"/>
              <w:sz w:val="20"/>
              <w:szCs w:val="20"/>
            </w:rPr>
            <w:t>第三章  有关问题的说明</w:t>
          </w:r>
          <w:r>
            <w:rPr>
              <w:rFonts w:ascii="宋体" w:hAnsi="宋体" w:eastAsia="宋体" w:cs="宋体"/>
              <w:spacing w:val="-52"/>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"bookmark7" </w:instrText>
          </w:r>
          <w:r>
            <w:fldChar w:fldCharType="separate"/>
          </w:r>
          <w:r>
            <w:rPr>
              <w:rFonts w:ascii="宋体" w:hAnsi="宋体" w:eastAsia="宋体" w:cs="宋体"/>
              <w:spacing w:val="-70"/>
              <w:position w:val="1"/>
              <w:sz w:val="20"/>
              <w:szCs w:val="20"/>
            </w:rPr>
            <w:t xml:space="preserve"> </w:t>
          </w:r>
          <w:r>
            <w:rPr>
              <w:rFonts w:ascii="宋体" w:hAnsi="宋体" w:eastAsia="宋体" w:cs="宋体"/>
              <w:spacing w:val="-8"/>
              <w:position w:val="1"/>
              <w:sz w:val="20"/>
              <w:szCs w:val="20"/>
            </w:rPr>
            <w:t>12</w:t>
          </w:r>
          <w:r>
            <w:rPr>
              <w:rFonts w:ascii="宋体" w:hAnsi="宋体" w:eastAsia="宋体" w:cs="宋体"/>
              <w:spacing w:val="-8"/>
              <w:position w:val="1"/>
              <w:sz w:val="20"/>
              <w:szCs w:val="20"/>
            </w:rPr>
            <w:fldChar w:fldCharType="end"/>
          </w:r>
        </w:p>
        <w:p>
          <w:pPr>
            <w:spacing w:line="431" w:lineRule="auto"/>
            <w:rPr>
              <w:rFonts w:ascii="Arial"/>
              <w:sz w:val="21"/>
            </w:rPr>
          </w:pPr>
        </w:p>
        <w:p>
          <w:pPr>
            <w:pStyle w:val="2"/>
            <w:spacing w:before="121" w:line="198" w:lineRule="auto"/>
            <w:ind w:left="1229"/>
            <w:rPr>
              <w:sz w:val="28"/>
              <w:szCs w:val="28"/>
            </w:rPr>
          </w:pPr>
          <w:r>
            <w:fldChar w:fldCharType="begin"/>
          </w:r>
          <w:r>
            <w:instrText xml:space="preserve"> HYPERLINK \l "bookmark9" </w:instrText>
          </w:r>
          <w:r>
            <w:fldChar w:fldCharType="separate"/>
          </w:r>
          <w:r>
            <w:rPr>
              <w:spacing w:val="1"/>
              <w:sz w:val="28"/>
              <w:szCs w:val="28"/>
            </w:rPr>
            <w:t>第二部分   施工总承包计价（工程量清单计价）</w:t>
          </w:r>
          <w:r>
            <w:rPr>
              <w:spacing w:val="1"/>
              <w:sz w:val="28"/>
              <w:szCs w:val="28"/>
            </w:rPr>
            <w:fldChar w:fldCharType="end"/>
          </w:r>
        </w:p>
        <w:p>
          <w:pPr>
            <w:spacing w:line="445" w:lineRule="auto"/>
            <w:rPr>
              <w:rFonts w:ascii="Arial"/>
              <w:sz w:val="21"/>
            </w:rPr>
          </w:pPr>
        </w:p>
        <w:p>
          <w:pPr>
            <w:tabs>
              <w:tab w:val="right" w:leader="dot" w:pos="8702"/>
            </w:tabs>
            <w:spacing w:before="65" w:line="221" w:lineRule="auto"/>
            <w:ind w:left="54"/>
            <w:rPr>
              <w:rFonts w:ascii="宋体" w:hAnsi="宋体" w:eastAsia="宋体" w:cs="宋体"/>
              <w:sz w:val="20"/>
              <w:szCs w:val="20"/>
            </w:rPr>
          </w:pPr>
          <w:r>
            <w:fldChar w:fldCharType="begin"/>
          </w:r>
          <w:r>
            <w:instrText xml:space="preserve"> HYPERLINK \l "bookmark11" </w:instrText>
          </w:r>
          <w:r>
            <w:fldChar w:fldCharType="separate"/>
          </w:r>
          <w:r>
            <w:rPr>
              <w:rFonts w:ascii="宋体" w:hAnsi="宋体" w:eastAsia="宋体" w:cs="宋体"/>
              <w:spacing w:val="7"/>
              <w:sz w:val="20"/>
              <w:szCs w:val="20"/>
            </w:rPr>
            <w:t>第一章</w:t>
          </w:r>
          <w:r>
            <w:rPr>
              <w:rFonts w:ascii="宋体" w:hAnsi="宋体" w:eastAsia="宋体" w:cs="宋体"/>
              <w:spacing w:val="11"/>
              <w:sz w:val="20"/>
              <w:szCs w:val="20"/>
            </w:rPr>
            <w:t xml:space="preserve">  </w:t>
          </w:r>
          <w:r>
            <w:rPr>
              <w:rFonts w:ascii="宋体" w:hAnsi="宋体" w:eastAsia="宋体" w:cs="宋体"/>
              <w:spacing w:val="7"/>
              <w:sz w:val="20"/>
              <w:szCs w:val="20"/>
            </w:rPr>
            <w:t>总说明</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 </w:instrText>
          </w:r>
          <w:r>
            <w:fldChar w:fldCharType="separate"/>
          </w:r>
          <w:r>
            <w:rPr>
              <w:rFonts w:ascii="宋体" w:hAnsi="宋体" w:eastAsia="宋体" w:cs="宋体"/>
              <w:spacing w:val="-47"/>
              <w:sz w:val="20"/>
              <w:szCs w:val="20"/>
            </w:rPr>
            <w:t xml:space="preserve"> </w:t>
          </w:r>
          <w:r>
            <w:rPr>
              <w:rFonts w:ascii="宋体" w:hAnsi="宋体" w:eastAsia="宋体" w:cs="宋体"/>
              <w:sz w:val="20"/>
              <w:szCs w:val="20"/>
            </w:rPr>
            <w:t>20</w:t>
          </w:r>
          <w:r>
            <w:rPr>
              <w:rFonts w:ascii="宋体" w:hAnsi="宋体" w:eastAsia="宋体" w:cs="宋体"/>
              <w:sz w:val="20"/>
              <w:szCs w:val="20"/>
            </w:rPr>
            <w:fldChar w:fldCharType="end"/>
          </w:r>
        </w:p>
        <w:p>
          <w:pPr>
            <w:tabs>
              <w:tab w:val="right" w:leader="dot" w:pos="8702"/>
            </w:tabs>
            <w:spacing w:before="195" w:line="221" w:lineRule="auto"/>
            <w:ind w:left="54"/>
            <w:rPr>
              <w:rFonts w:ascii="宋体" w:hAnsi="宋体" w:eastAsia="宋体" w:cs="宋体"/>
              <w:sz w:val="20"/>
              <w:szCs w:val="20"/>
            </w:rPr>
          </w:pPr>
          <w:r>
            <w:fldChar w:fldCharType="begin"/>
          </w:r>
          <w:r>
            <w:instrText xml:space="preserve"> HYPERLINK \l "bookmark13" </w:instrText>
          </w:r>
          <w:r>
            <w:fldChar w:fldCharType="separate"/>
          </w:r>
          <w:r>
            <w:rPr>
              <w:rFonts w:ascii="宋体" w:hAnsi="宋体" w:eastAsia="宋体" w:cs="宋体"/>
              <w:spacing w:val="7"/>
              <w:sz w:val="20"/>
              <w:szCs w:val="20"/>
            </w:rPr>
            <w:t>第二章  2013</w:t>
          </w:r>
          <w:r>
            <w:rPr>
              <w:rFonts w:ascii="宋体" w:hAnsi="宋体" w:eastAsia="宋体" w:cs="宋体"/>
              <w:spacing w:val="-37"/>
              <w:sz w:val="20"/>
              <w:szCs w:val="20"/>
            </w:rPr>
            <w:t xml:space="preserve"> </w:t>
          </w:r>
          <w:r>
            <w:rPr>
              <w:rFonts w:ascii="宋体" w:hAnsi="宋体" w:eastAsia="宋体" w:cs="宋体"/>
              <w:spacing w:val="7"/>
              <w:sz w:val="20"/>
              <w:szCs w:val="20"/>
            </w:rPr>
            <w:t>版工程量清单计价</w:t>
          </w:r>
          <w:r>
            <w:rPr>
              <w:rFonts w:ascii="宋体" w:hAnsi="宋体" w:eastAsia="宋体" w:cs="宋体"/>
              <w:spacing w:val="-59"/>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"bookmark12" </w:instrText>
          </w:r>
          <w:r>
            <w:fldChar w:fldCharType="separate"/>
          </w:r>
          <w:r>
            <w:rPr>
              <w:rFonts w:ascii="宋体" w:hAnsi="宋体" w:eastAsia="宋体" w:cs="宋体"/>
              <w:spacing w:val="-67"/>
              <w:sz w:val="20"/>
              <w:szCs w:val="20"/>
            </w:rPr>
            <w:t xml:space="preserve"> </w:t>
          </w:r>
          <w:r>
            <w:rPr>
              <w:rFonts w:ascii="宋体" w:hAnsi="宋体" w:eastAsia="宋体" w:cs="宋体"/>
              <w:sz w:val="20"/>
              <w:szCs w:val="20"/>
            </w:rPr>
            <w:t>21</w:t>
          </w:r>
          <w:r>
            <w:rPr>
              <w:rFonts w:ascii="宋体" w:hAnsi="宋体" w:eastAsia="宋体" w:cs="宋体"/>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"bookmark15" </w:instrText>
          </w:r>
          <w:r>
            <w:fldChar w:fldCharType="separate"/>
          </w:r>
          <w:r>
            <w:rPr>
              <w:rFonts w:ascii="宋体" w:hAnsi="宋体" w:eastAsia="宋体" w:cs="宋体"/>
              <w:spacing w:val="9"/>
              <w:sz w:val="20"/>
              <w:szCs w:val="20"/>
            </w:rPr>
            <w:t>第一节  工程量清单计价通用规定</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"bookmark14" </w:instrText>
          </w:r>
          <w:r>
            <w:fldChar w:fldCharType="separate"/>
          </w:r>
          <w:r>
            <w:rPr>
              <w:rFonts w:ascii="宋体" w:hAnsi="宋体" w:eastAsia="宋体" w:cs="宋体"/>
              <w:spacing w:val="-47"/>
              <w:sz w:val="20"/>
              <w:szCs w:val="20"/>
            </w:rPr>
            <w:t xml:space="preserve"> </w:t>
          </w:r>
          <w:r>
            <w:rPr>
              <w:rFonts w:ascii="宋体" w:hAnsi="宋体" w:eastAsia="宋体" w:cs="宋体"/>
              <w:sz w:val="20"/>
              <w:szCs w:val="20"/>
            </w:rPr>
            <w:t>21</w:t>
          </w:r>
          <w:r>
            <w:rPr>
              <w:rFonts w:ascii="宋体" w:hAnsi="宋体" w:eastAsia="宋体" w:cs="宋体"/>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"bookmark17" </w:instrText>
          </w:r>
          <w:r>
            <w:fldChar w:fldCharType="separate"/>
          </w:r>
          <w:r>
            <w:rPr>
              <w:rFonts w:ascii="宋体" w:hAnsi="宋体" w:eastAsia="宋体" w:cs="宋体"/>
              <w:spacing w:val="9"/>
              <w:sz w:val="20"/>
              <w:szCs w:val="20"/>
            </w:rPr>
            <w:t>第二节  工程量清单计价计算程序</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"bookmark16" </w:instrText>
          </w:r>
          <w:r>
            <w:fldChar w:fldCharType="separate"/>
          </w:r>
          <w:r>
            <w:rPr>
              <w:rFonts w:ascii="宋体" w:hAnsi="宋体" w:eastAsia="宋体" w:cs="宋体"/>
              <w:spacing w:val="-43"/>
              <w:sz w:val="20"/>
              <w:szCs w:val="20"/>
            </w:rPr>
            <w:t xml:space="preserve"> </w:t>
          </w:r>
          <w:r>
            <w:rPr>
              <w:rFonts w:ascii="宋体" w:hAnsi="宋体" w:eastAsia="宋体" w:cs="宋体"/>
              <w:spacing w:val="-2"/>
              <w:sz w:val="20"/>
              <w:szCs w:val="20"/>
            </w:rPr>
            <w:t>32</w:t>
          </w:r>
          <w:r>
            <w:rPr>
              <w:rFonts w:ascii="宋体" w:hAnsi="宋体" w:eastAsia="宋体" w:cs="宋体"/>
              <w:spacing w:val="-2"/>
              <w:sz w:val="20"/>
              <w:szCs w:val="20"/>
            </w:rPr>
            <w:fldChar w:fldCharType="end"/>
          </w:r>
        </w:p>
        <w:p>
          <w:pPr>
            <w:tabs>
              <w:tab w:val="right" w:leader="dot" w:pos="8702"/>
            </w:tabs>
            <w:spacing w:before="197" w:line="221" w:lineRule="auto"/>
            <w:ind w:left="474"/>
            <w:rPr>
              <w:rFonts w:ascii="宋体" w:hAnsi="宋体" w:eastAsia="宋体" w:cs="宋体"/>
              <w:sz w:val="20"/>
              <w:szCs w:val="20"/>
            </w:rPr>
          </w:pPr>
          <w:r>
            <w:fldChar w:fldCharType="begin"/>
          </w:r>
          <w:r>
            <w:instrText xml:space="preserve"> HYPERLINK \l "bookmark19" </w:instrText>
          </w:r>
          <w:r>
            <w:fldChar w:fldCharType="separate"/>
          </w:r>
          <w:r>
            <w:rPr>
              <w:rFonts w:ascii="宋体" w:hAnsi="宋体" w:eastAsia="宋体" w:cs="宋体"/>
              <w:spacing w:val="9"/>
              <w:sz w:val="20"/>
              <w:szCs w:val="20"/>
            </w:rPr>
            <w:t>第三节  建设工程工程量清单计价有关问题说明</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"bookmark18" </w:instrText>
          </w:r>
          <w:r>
            <w:fldChar w:fldCharType="separate"/>
          </w:r>
          <w:r>
            <w:rPr>
              <w:rFonts w:ascii="宋体" w:hAnsi="宋体" w:eastAsia="宋体" w:cs="宋体"/>
              <w:spacing w:val="-53"/>
              <w:sz w:val="20"/>
              <w:szCs w:val="20"/>
            </w:rPr>
            <w:t xml:space="preserve"> </w:t>
          </w:r>
          <w:r>
            <w:rPr>
              <w:rFonts w:ascii="宋体" w:hAnsi="宋体" w:eastAsia="宋体" w:cs="宋体"/>
              <w:spacing w:val="-2"/>
              <w:sz w:val="20"/>
              <w:szCs w:val="20"/>
            </w:rPr>
            <w:t>35</w:t>
          </w:r>
          <w:r>
            <w:rPr>
              <w:rFonts w:ascii="宋体" w:hAnsi="宋体" w:eastAsia="宋体" w:cs="宋体"/>
              <w:spacing w:val="-2"/>
              <w:sz w:val="20"/>
              <w:szCs w:val="20"/>
            </w:rPr>
            <w:fldChar w:fldCharType="end"/>
          </w:r>
        </w:p>
        <w:p>
          <w:pPr>
            <w:tabs>
              <w:tab w:val="right" w:leader="dot" w:pos="8702"/>
            </w:tabs>
            <w:spacing w:before="195" w:line="221" w:lineRule="auto"/>
            <w:ind w:left="54"/>
            <w:rPr>
              <w:rFonts w:ascii="宋体" w:hAnsi="宋体" w:eastAsia="宋体" w:cs="宋体"/>
              <w:sz w:val="20"/>
              <w:szCs w:val="20"/>
            </w:rPr>
          </w:pPr>
          <w:r>
            <w:fldChar w:fldCharType="begin"/>
          </w:r>
          <w:r>
            <w:instrText xml:space="preserve"> HYPERLINK \l "bookmark21" </w:instrText>
          </w:r>
          <w:r>
            <w:fldChar w:fldCharType="separate"/>
          </w:r>
          <w:r>
            <w:rPr>
              <w:rFonts w:ascii="宋体" w:hAnsi="宋体" w:eastAsia="宋体" w:cs="宋体"/>
              <w:spacing w:val="7"/>
              <w:sz w:val="20"/>
              <w:szCs w:val="20"/>
            </w:rPr>
            <w:t>第三章  2024</w:t>
          </w:r>
          <w:r>
            <w:rPr>
              <w:rFonts w:ascii="宋体" w:hAnsi="宋体" w:eastAsia="宋体" w:cs="宋体"/>
              <w:spacing w:val="-37"/>
              <w:sz w:val="20"/>
              <w:szCs w:val="20"/>
            </w:rPr>
            <w:t xml:space="preserve"> </w:t>
          </w:r>
          <w:r>
            <w:rPr>
              <w:rFonts w:ascii="宋体" w:hAnsi="宋体" w:eastAsia="宋体" w:cs="宋体"/>
              <w:spacing w:val="7"/>
              <w:sz w:val="20"/>
              <w:szCs w:val="20"/>
            </w:rPr>
            <w:t>版工程量清单计价</w:t>
          </w:r>
          <w:r>
            <w:rPr>
              <w:rFonts w:ascii="宋体" w:hAnsi="宋体" w:eastAsia="宋体" w:cs="宋体"/>
              <w:spacing w:val="-59"/>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"bookmark20" </w:instrText>
          </w:r>
          <w:r>
            <w:fldChar w:fldCharType="separate"/>
          </w:r>
          <w:r>
            <w:rPr>
              <w:rFonts w:ascii="宋体" w:hAnsi="宋体" w:eastAsia="宋体" w:cs="宋体"/>
              <w:spacing w:val="-70"/>
              <w:sz w:val="20"/>
              <w:szCs w:val="20"/>
            </w:rPr>
            <w:t xml:space="preserve"> </w:t>
          </w:r>
          <w:r>
            <w:rPr>
              <w:rFonts w:ascii="宋体" w:hAnsi="宋体" w:eastAsia="宋体" w:cs="宋体"/>
              <w:spacing w:val="2"/>
              <w:sz w:val="20"/>
              <w:szCs w:val="20"/>
            </w:rPr>
            <w:t>40</w:t>
          </w:r>
          <w:r>
            <w:rPr>
              <w:rFonts w:ascii="宋体" w:hAnsi="宋体" w:eastAsia="宋体" w:cs="宋体"/>
              <w:spacing w:val="2"/>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"bookmark23" </w:instrText>
          </w:r>
          <w:r>
            <w:fldChar w:fldCharType="separate"/>
          </w:r>
          <w:r>
            <w:rPr>
              <w:rFonts w:ascii="宋体" w:hAnsi="宋体" w:eastAsia="宋体" w:cs="宋体"/>
              <w:spacing w:val="8"/>
              <w:sz w:val="20"/>
              <w:szCs w:val="20"/>
            </w:rPr>
            <w:t>第一节  通用规定</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"bookmark22" </w:instrText>
          </w:r>
          <w:r>
            <w:fldChar w:fldCharType="separate"/>
          </w:r>
          <w:r>
            <w:rPr>
              <w:rFonts w:ascii="宋体" w:hAnsi="宋体" w:eastAsia="宋体" w:cs="宋体"/>
              <w:spacing w:val="-79"/>
              <w:sz w:val="20"/>
              <w:szCs w:val="20"/>
            </w:rPr>
            <w:t xml:space="preserve"> </w:t>
          </w:r>
          <w:r>
            <w:rPr>
              <w:rFonts w:ascii="宋体" w:hAnsi="宋体" w:eastAsia="宋体" w:cs="宋体"/>
              <w:spacing w:val="2"/>
              <w:sz w:val="20"/>
              <w:szCs w:val="20"/>
            </w:rPr>
            <w:t>40</w:t>
          </w:r>
          <w:r>
            <w:rPr>
              <w:rFonts w:ascii="宋体" w:hAnsi="宋体" w:eastAsia="宋体" w:cs="宋体"/>
              <w:spacing w:val="2"/>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"bookmark25" </w:instrText>
          </w:r>
          <w:r>
            <w:fldChar w:fldCharType="separate"/>
          </w:r>
          <w:r>
            <w:rPr>
              <w:rFonts w:ascii="宋体" w:hAnsi="宋体" w:eastAsia="宋体" w:cs="宋体"/>
              <w:spacing w:val="9"/>
              <w:sz w:val="20"/>
              <w:szCs w:val="20"/>
            </w:rPr>
            <w:t>第二节  建设工程费用项目组成</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"bookmark24" </w:instrText>
          </w:r>
          <w:r>
            <w:fldChar w:fldCharType="separate"/>
          </w:r>
          <w:r>
            <w:rPr>
              <w:rFonts w:ascii="宋体" w:hAnsi="宋体" w:eastAsia="宋体" w:cs="宋体"/>
              <w:spacing w:val="7"/>
              <w:sz w:val="20"/>
              <w:szCs w:val="20"/>
            </w:rPr>
            <w:t>56</w:t>
          </w:r>
          <w:r>
            <w:rPr>
              <w:rFonts w:ascii="宋体" w:hAnsi="宋体" w:eastAsia="宋体" w:cs="宋体"/>
              <w:spacing w:val="7"/>
              <w:sz w:val="20"/>
              <w:szCs w:val="20"/>
            </w:rPr>
            <w:fldChar w:fldCharType="end"/>
          </w:r>
        </w:p>
        <w:p>
          <w:pPr>
            <w:tabs>
              <w:tab w:val="right" w:leader="dot" w:pos="8702"/>
            </w:tabs>
            <w:spacing w:before="197" w:line="221" w:lineRule="auto"/>
            <w:ind w:left="474"/>
            <w:rPr>
              <w:rFonts w:ascii="宋体" w:hAnsi="宋体" w:eastAsia="宋体" w:cs="宋体"/>
              <w:sz w:val="20"/>
              <w:szCs w:val="20"/>
            </w:rPr>
          </w:pPr>
          <w:r>
            <w:fldChar w:fldCharType="begin"/>
          </w:r>
          <w:r>
            <w:instrText xml:space="preserve"> HYPERLINK \l "bookmark27" </w:instrText>
          </w:r>
          <w:r>
            <w:fldChar w:fldCharType="separate"/>
          </w:r>
          <w:r>
            <w:rPr>
              <w:rFonts w:ascii="宋体" w:hAnsi="宋体" w:eastAsia="宋体" w:cs="宋体"/>
              <w:spacing w:val="9"/>
              <w:sz w:val="20"/>
              <w:szCs w:val="20"/>
            </w:rPr>
            <w:t>第三节  建设工程费用计算程序</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"bookmark26" </w:instrText>
          </w:r>
          <w:r>
            <w:fldChar w:fldCharType="separate"/>
          </w:r>
          <w:r>
            <w:rPr>
              <w:rFonts w:ascii="宋体" w:hAnsi="宋体" w:eastAsia="宋体" w:cs="宋体"/>
              <w:spacing w:val="7"/>
              <w:sz w:val="20"/>
              <w:szCs w:val="20"/>
            </w:rPr>
            <w:t>61</w:t>
          </w:r>
          <w:r>
            <w:rPr>
              <w:rFonts w:ascii="宋体" w:hAnsi="宋体" w:eastAsia="宋体" w:cs="宋体"/>
              <w:spacing w:val="7"/>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"bookmark29" </w:instrText>
          </w:r>
          <w:r>
            <w:fldChar w:fldCharType="separate"/>
          </w:r>
          <w:r>
            <w:rPr>
              <w:rFonts w:ascii="宋体" w:hAnsi="宋体" w:eastAsia="宋体" w:cs="宋体"/>
              <w:spacing w:val="8"/>
              <w:sz w:val="20"/>
              <w:szCs w:val="20"/>
            </w:rPr>
            <w:t>第四节  建设工程费用费率</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"bookmark28" </w:instrText>
          </w:r>
          <w:r>
            <w:fldChar w:fldCharType="separate"/>
          </w:r>
          <w:r>
            <w:rPr>
              <w:rFonts w:ascii="宋体" w:hAnsi="宋体" w:eastAsia="宋体" w:cs="宋体"/>
              <w:spacing w:val="-65"/>
              <w:sz w:val="20"/>
              <w:szCs w:val="20"/>
            </w:rPr>
            <w:t xml:space="preserve"> </w:t>
          </w:r>
          <w:r>
            <w:rPr>
              <w:rFonts w:ascii="宋体" w:hAnsi="宋体" w:eastAsia="宋体" w:cs="宋体"/>
              <w:sz w:val="20"/>
              <w:szCs w:val="20"/>
            </w:rPr>
            <w:t>66</w:t>
          </w:r>
          <w:r>
            <w:rPr>
              <w:rFonts w:ascii="宋体" w:hAnsi="宋体" w:eastAsia="宋体" w:cs="宋体"/>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"bookmark31" </w:instrText>
          </w:r>
          <w:r>
            <w:fldChar w:fldCharType="separate"/>
          </w:r>
          <w:r>
            <w:rPr>
              <w:rFonts w:ascii="宋体" w:hAnsi="宋体" w:eastAsia="宋体" w:cs="宋体"/>
              <w:spacing w:val="8"/>
              <w:sz w:val="20"/>
              <w:szCs w:val="20"/>
            </w:rPr>
            <w:t>第五节  工程类别划分标准</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"bookmark30" </w:instrText>
          </w:r>
          <w:r>
            <w:fldChar w:fldCharType="separate"/>
          </w:r>
          <w:r>
            <w:rPr>
              <w:rFonts w:ascii="宋体" w:hAnsi="宋体" w:eastAsia="宋体" w:cs="宋体"/>
              <w:spacing w:val="-68"/>
              <w:sz w:val="20"/>
              <w:szCs w:val="20"/>
            </w:rPr>
            <w:t xml:space="preserve"> </w:t>
          </w:r>
          <w:r>
            <w:rPr>
              <w:rFonts w:ascii="宋体" w:hAnsi="宋体" w:eastAsia="宋体" w:cs="宋体"/>
              <w:spacing w:val="1"/>
              <w:sz w:val="20"/>
              <w:szCs w:val="20"/>
            </w:rPr>
            <w:t>74</w:t>
          </w:r>
          <w:r>
            <w:rPr>
              <w:rFonts w:ascii="宋体" w:hAnsi="宋体" w:eastAsia="宋体" w:cs="宋体"/>
              <w:spacing w:val="1"/>
              <w:sz w:val="20"/>
              <w:szCs w:val="20"/>
            </w:rPr>
            <w:fldChar w:fldCharType="end"/>
          </w:r>
        </w:p>
        <w:p>
          <w:pPr>
            <w:tabs>
              <w:tab w:val="right" w:leader="dot" w:pos="8702"/>
            </w:tabs>
            <w:spacing w:before="98" w:line="435" w:lineRule="exact"/>
            <w:ind w:left="474"/>
            <w:rPr>
              <w:rFonts w:ascii="宋体" w:hAnsi="宋体" w:eastAsia="宋体" w:cs="宋体"/>
              <w:sz w:val="20"/>
              <w:szCs w:val="20"/>
            </w:rPr>
          </w:pPr>
          <w:r>
            <w:fldChar w:fldCharType="begin"/>
          </w:r>
          <w:r>
            <w:instrText xml:space="preserve"> HYPERLINK \l "bookmark32" </w:instrText>
          </w:r>
          <w:r>
            <w:fldChar w:fldCharType="separate"/>
          </w:r>
          <w:r>
            <w:rPr>
              <w:rFonts w:ascii="宋体" w:hAnsi="宋体" w:eastAsia="宋体" w:cs="宋体"/>
              <w:spacing w:val="9"/>
              <w:position w:val="6"/>
              <w:sz w:val="20"/>
              <w:szCs w:val="20"/>
            </w:rPr>
            <w:t>第六节  建设工程工程量清单计价有关问题说明（房屋建筑与装饰工程）</w:t>
          </w:r>
          <w:r>
            <w:rPr>
              <w:rFonts w:ascii="宋体" w:hAnsi="宋体" w:eastAsia="宋体" w:cs="宋体"/>
              <w:spacing w:val="9"/>
              <w:position w:val="6"/>
              <w:sz w:val="20"/>
              <w:szCs w:val="20"/>
            </w:rPr>
            <w:fldChar w:fldCharType="end"/>
          </w:r>
          <w:r>
            <w:rPr>
              <w:rFonts w:ascii="宋体" w:hAnsi="宋体" w:eastAsia="宋体" w:cs="宋体"/>
              <w:spacing w:val="-45"/>
              <w:position w:val="6"/>
              <w:sz w:val="20"/>
              <w:szCs w:val="20"/>
            </w:rPr>
            <w:t xml:space="preserve"> </w:t>
          </w:r>
          <w:r>
            <w:rPr>
              <w:rFonts w:ascii="宋体" w:hAnsi="宋体" w:eastAsia="宋体" w:cs="宋体"/>
              <w:position w:val="6"/>
              <w:sz w:val="20"/>
              <w:szCs w:val="20"/>
            </w:rPr>
            <w:tab/>
          </w:r>
          <w:r>
            <w:rPr>
              <w:rFonts w:ascii="宋体" w:hAnsi="宋体" w:eastAsia="宋体" w:cs="宋体"/>
              <w:spacing w:val="17"/>
              <w:position w:val="6"/>
              <w:sz w:val="20"/>
              <w:szCs w:val="20"/>
            </w:rPr>
            <w:t>78</w:t>
          </w:r>
        </w:p>
        <w:p>
          <w:pPr>
            <w:tabs>
              <w:tab w:val="right" w:leader="dot" w:pos="8702"/>
            </w:tabs>
            <w:spacing w:before="99" w:line="221" w:lineRule="auto"/>
            <w:ind w:left="474"/>
            <w:rPr>
              <w:rFonts w:ascii="宋体" w:hAnsi="宋体" w:eastAsia="宋体" w:cs="宋体"/>
              <w:sz w:val="20"/>
              <w:szCs w:val="20"/>
            </w:rPr>
          </w:pPr>
          <w:r>
            <w:fldChar w:fldCharType="begin"/>
          </w:r>
          <w:r>
            <w:instrText xml:space="preserve"> HYPERLINK \l "bookmark34" </w:instrText>
          </w:r>
          <w:r>
            <w:fldChar w:fldCharType="separate"/>
          </w:r>
          <w:r>
            <w:rPr>
              <w:rFonts w:ascii="宋体" w:hAnsi="宋体" w:eastAsia="宋体" w:cs="宋体"/>
              <w:spacing w:val="9"/>
              <w:sz w:val="20"/>
              <w:szCs w:val="20"/>
            </w:rPr>
            <w:t>第七节  建设工程工程量清单计价有关问题说明（通用安装工程）</w:t>
          </w:r>
          <w:r>
            <w:rPr>
              <w:rFonts w:ascii="宋体" w:hAnsi="宋体" w:eastAsia="宋体" w:cs="宋体"/>
              <w:spacing w:val="-4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"bookmark33" </w:instrText>
          </w:r>
          <w:r>
            <w:fldChar w:fldCharType="separate"/>
          </w:r>
          <w:r>
            <w:rPr>
              <w:rFonts w:ascii="宋体" w:hAnsi="宋体" w:eastAsia="宋体" w:cs="宋体"/>
              <w:spacing w:val="7"/>
              <w:sz w:val="20"/>
              <w:szCs w:val="20"/>
            </w:rPr>
            <w:t>87</w:t>
          </w:r>
          <w:r>
            <w:rPr>
              <w:rFonts w:ascii="宋体" w:hAnsi="宋体" w:eastAsia="宋体" w:cs="宋体"/>
              <w:spacing w:val="7"/>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"bookmark36" </w:instrText>
          </w:r>
          <w:r>
            <w:fldChar w:fldCharType="separate"/>
          </w:r>
          <w:r>
            <w:rPr>
              <w:rFonts w:ascii="宋体" w:hAnsi="宋体" w:eastAsia="宋体" w:cs="宋体"/>
              <w:spacing w:val="9"/>
              <w:sz w:val="20"/>
              <w:szCs w:val="20"/>
            </w:rPr>
            <w:t>第八节  建设工程工程量清单计价有关问题说明（市政工程）</w:t>
          </w:r>
          <w:r>
            <w:rPr>
              <w:rFonts w:ascii="宋体" w:hAnsi="宋体" w:eastAsia="宋体" w:cs="宋体"/>
              <w:spacing w:val="-48"/>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"bookmark35" </w:instrText>
          </w:r>
          <w:r>
            <w:fldChar w:fldCharType="separate"/>
          </w:r>
          <w:r>
            <w:rPr>
              <w:rFonts w:ascii="宋体" w:hAnsi="宋体" w:eastAsia="宋体" w:cs="宋体"/>
              <w:spacing w:val="17"/>
              <w:sz w:val="20"/>
              <w:szCs w:val="20"/>
            </w:rPr>
            <w:t>93</w:t>
          </w:r>
          <w:r>
            <w:rPr>
              <w:rFonts w:ascii="宋体" w:hAnsi="宋体" w:eastAsia="宋体" w:cs="宋体"/>
              <w:spacing w:val="17"/>
              <w:sz w:val="20"/>
              <w:szCs w:val="20"/>
            </w:rPr>
            <w:fldChar w:fldCharType="end"/>
          </w:r>
        </w:p>
        <w:p>
          <w:pPr>
            <w:tabs>
              <w:tab w:val="right" w:leader="dot" w:pos="8702"/>
            </w:tabs>
            <w:spacing w:before="195" w:line="276" w:lineRule="exact"/>
            <w:ind w:left="474"/>
            <w:rPr>
              <w:rFonts w:ascii="宋体" w:hAnsi="宋体" w:eastAsia="宋体" w:cs="宋体"/>
              <w:sz w:val="20"/>
              <w:szCs w:val="20"/>
            </w:rPr>
          </w:pPr>
          <w:r>
            <w:fldChar w:fldCharType="begin"/>
          </w:r>
          <w:r>
            <w:instrText xml:space="preserve"> HYPERLINK \l "bookmark38" </w:instrText>
          </w:r>
          <w:r>
            <w:fldChar w:fldCharType="separate"/>
          </w:r>
          <w:r>
            <w:rPr>
              <w:rFonts w:ascii="宋体" w:hAnsi="宋体" w:eastAsia="宋体" w:cs="宋体"/>
              <w:spacing w:val="7"/>
              <w:position w:val="1"/>
              <w:sz w:val="20"/>
              <w:szCs w:val="20"/>
            </w:rPr>
            <w:t>第九节  建设工程工程量清单计价有关问题说明（</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园林绿化工程）</w:t>
          </w:r>
          <w:r>
            <w:rPr>
              <w:rFonts w:ascii="宋体" w:hAnsi="宋体" w:eastAsia="宋体" w:cs="宋体"/>
              <w:spacing w:val="-50"/>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"bookmark37" </w:instrText>
          </w:r>
          <w:r>
            <w:fldChar w:fldCharType="separate"/>
          </w:r>
          <w:r>
            <w:rPr>
              <w:rFonts w:ascii="宋体" w:hAnsi="宋体" w:eastAsia="宋体" w:cs="宋体"/>
              <w:spacing w:val="7"/>
              <w:position w:val="1"/>
              <w:sz w:val="20"/>
              <w:szCs w:val="20"/>
            </w:rPr>
            <w:t>98</w:t>
          </w:r>
          <w:r>
            <w:rPr>
              <w:rFonts w:ascii="宋体" w:hAnsi="宋体" w:eastAsia="宋体" w:cs="宋体"/>
              <w:spacing w:val="7"/>
              <w:position w:val="1"/>
              <w:sz w:val="20"/>
              <w:szCs w:val="20"/>
            </w:rPr>
            <w:fldChar w:fldCharType="end"/>
          </w:r>
        </w:p>
        <w:p>
          <w:pPr>
            <w:spacing w:line="432" w:lineRule="auto"/>
            <w:rPr>
              <w:rFonts w:ascii="Arial"/>
              <w:sz w:val="21"/>
            </w:rPr>
          </w:pPr>
        </w:p>
        <w:p>
          <w:pPr>
            <w:pStyle w:val="2"/>
            <w:spacing w:before="120" w:line="198" w:lineRule="auto"/>
            <w:ind w:left="1649"/>
            <w:rPr>
              <w:sz w:val="28"/>
              <w:szCs w:val="28"/>
            </w:rPr>
          </w:pPr>
          <w:r>
            <w:fldChar w:fldCharType="begin"/>
          </w:r>
          <w:r>
            <w:instrText xml:space="preserve"> HYPERLINK \l "bookmark39" </w:instrText>
          </w:r>
          <w:r>
            <w:fldChar w:fldCharType="separate"/>
          </w:r>
          <w:r>
            <w:rPr>
              <w:spacing w:val="1"/>
              <w:sz w:val="28"/>
              <w:szCs w:val="28"/>
            </w:rPr>
            <w:t>第三部分   施工总承包计价（定额计价）</w:t>
          </w:r>
          <w:r>
            <w:rPr>
              <w:spacing w:val="1"/>
              <w:sz w:val="28"/>
              <w:szCs w:val="28"/>
            </w:rPr>
            <w:fldChar w:fldCharType="end"/>
          </w:r>
        </w:p>
        <w:p>
          <w:pPr>
            <w:spacing w:line="444" w:lineRule="auto"/>
            <w:rPr>
              <w:rFonts w:ascii="Arial"/>
              <w:sz w:val="21"/>
            </w:rPr>
          </w:pPr>
        </w:p>
        <w:p>
          <w:pPr>
            <w:tabs>
              <w:tab w:val="right" w:leader="dot" w:pos="8702"/>
            </w:tabs>
            <w:spacing w:before="66" w:line="277" w:lineRule="exact"/>
            <w:ind w:left="54"/>
            <w:rPr>
              <w:rFonts w:ascii="宋体" w:hAnsi="宋体" w:eastAsia="宋体" w:cs="宋体"/>
              <w:sz w:val="20"/>
              <w:szCs w:val="20"/>
            </w:rPr>
          </w:pPr>
          <w:r>
            <w:fldChar w:fldCharType="begin"/>
          </w:r>
          <w:r>
            <w:instrText xml:space="preserve"> HYPERLINK \l "bookmark40" </w:instrText>
          </w:r>
          <w:r>
            <w:fldChar w:fldCharType="separate"/>
          </w:r>
          <w:r>
            <w:rPr>
              <w:rFonts w:ascii="宋体" w:hAnsi="宋体" w:eastAsia="宋体" w:cs="宋体"/>
              <w:spacing w:val="7"/>
              <w:position w:val="1"/>
              <w:sz w:val="20"/>
              <w:szCs w:val="20"/>
            </w:rPr>
            <w:t>第一章</w:t>
          </w:r>
          <w:r>
            <w:rPr>
              <w:rFonts w:ascii="宋体" w:hAnsi="宋体" w:eastAsia="宋体" w:cs="宋体"/>
              <w:spacing w:val="11"/>
              <w:position w:val="1"/>
              <w:sz w:val="20"/>
              <w:szCs w:val="20"/>
            </w:rPr>
            <w:t xml:space="preserve">  </w:t>
          </w:r>
          <w:r>
            <w:rPr>
              <w:rFonts w:ascii="宋体" w:hAnsi="宋体" w:eastAsia="宋体" w:cs="宋体"/>
              <w:spacing w:val="7"/>
              <w:position w:val="1"/>
              <w:sz w:val="20"/>
              <w:szCs w:val="20"/>
            </w:rPr>
            <w:t>总说明</w:t>
          </w:r>
          <w:r>
            <w:rPr>
              <w:rFonts w:ascii="宋体" w:hAnsi="宋体" w:eastAsia="宋体" w:cs="宋体"/>
              <w:spacing w:val="-60"/>
              <w:position w:val="1"/>
              <w:sz w:val="20"/>
              <w:szCs w:val="20"/>
            </w:rPr>
            <w:t xml:space="preserve"> </w:t>
          </w:r>
          <w:r>
            <w:rPr>
              <w:rFonts w:ascii="宋体" w:hAnsi="宋体" w:eastAsia="宋体" w:cs="宋体"/>
              <w:position w:val="1"/>
              <w:sz w:val="20"/>
              <w:szCs w:val="20"/>
            </w:rPr>
            <w:tab/>
          </w:r>
          <w:r>
            <w:rPr>
              <w:rFonts w:ascii="宋体" w:hAnsi="宋体" w:eastAsia="宋体" w:cs="宋体"/>
              <w:spacing w:val="-35"/>
              <w:position w:val="1"/>
              <w:sz w:val="20"/>
              <w:szCs w:val="20"/>
            </w:rPr>
            <w:t xml:space="preserve"> </w:t>
          </w:r>
          <w:r>
            <w:rPr>
              <w:rFonts w:ascii="宋体" w:hAnsi="宋体" w:eastAsia="宋体" w:cs="宋体"/>
              <w:spacing w:val="-4"/>
              <w:position w:val="1"/>
              <w:sz w:val="20"/>
              <w:szCs w:val="20"/>
            </w:rPr>
            <w:t>100</w:t>
          </w:r>
          <w:r>
            <w:rPr>
              <w:rFonts w:ascii="宋体" w:hAnsi="宋体" w:eastAsia="宋体" w:cs="宋体"/>
              <w:spacing w:val="-4"/>
              <w:position w:val="1"/>
              <w:sz w:val="20"/>
              <w:szCs w:val="20"/>
            </w:rPr>
            <w:fldChar w:fldCharType="end"/>
          </w:r>
        </w:p>
        <w:p>
          <w:pPr>
            <w:tabs>
              <w:tab w:val="right" w:leader="dot" w:pos="8699"/>
            </w:tabs>
            <w:spacing w:before="157" w:line="277" w:lineRule="exact"/>
            <w:ind w:left="54"/>
            <w:rPr>
              <w:rFonts w:ascii="宋体" w:hAnsi="宋体" w:eastAsia="宋体" w:cs="宋体"/>
              <w:sz w:val="20"/>
              <w:szCs w:val="20"/>
            </w:rPr>
          </w:pPr>
          <w:r>
            <w:fldChar w:fldCharType="begin"/>
          </w:r>
          <w:r>
            <w:instrText xml:space="preserve"> HYPERLINK \l "bookmark42" </w:instrText>
          </w:r>
          <w:r>
            <w:fldChar w:fldCharType="separate"/>
          </w:r>
          <w:r>
            <w:rPr>
              <w:rFonts w:ascii="宋体" w:hAnsi="宋体" w:eastAsia="宋体" w:cs="宋体"/>
              <w:spacing w:val="3"/>
              <w:position w:val="1"/>
              <w:sz w:val="20"/>
              <w:szCs w:val="20"/>
            </w:rPr>
            <w:t>第二章  定额计价（适用于</w:t>
          </w:r>
          <w:r>
            <w:rPr>
              <w:rFonts w:ascii="宋体" w:hAnsi="宋体" w:eastAsia="宋体" w:cs="宋体"/>
              <w:spacing w:val="-42"/>
              <w:position w:val="1"/>
              <w:sz w:val="20"/>
              <w:szCs w:val="20"/>
            </w:rPr>
            <w:t xml:space="preserve"> </w:t>
          </w:r>
          <w:r>
            <w:rPr>
              <w:rFonts w:ascii="宋体" w:hAnsi="宋体" w:eastAsia="宋体" w:cs="宋体"/>
              <w:spacing w:val="3"/>
              <w:position w:val="1"/>
              <w:sz w:val="20"/>
              <w:szCs w:val="20"/>
            </w:rPr>
            <w:t>2025</w:t>
          </w:r>
          <w:r>
            <w:rPr>
              <w:rFonts w:ascii="宋体" w:hAnsi="宋体" w:eastAsia="宋体" w:cs="宋体"/>
              <w:spacing w:val="-39"/>
              <w:position w:val="1"/>
              <w:sz w:val="20"/>
              <w:szCs w:val="20"/>
            </w:rPr>
            <w:t xml:space="preserve"> </w:t>
          </w:r>
          <w:r>
            <w:rPr>
              <w:rFonts w:ascii="宋体" w:hAnsi="宋体" w:eastAsia="宋体" w:cs="宋体"/>
              <w:spacing w:val="3"/>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3"/>
              <w:position w:val="1"/>
              <w:sz w:val="20"/>
              <w:szCs w:val="20"/>
            </w:rPr>
            <w:t>11</w:t>
          </w:r>
          <w:r>
            <w:rPr>
              <w:rFonts w:ascii="宋体" w:hAnsi="宋体" w:eastAsia="宋体" w:cs="宋体"/>
              <w:spacing w:val="-38"/>
              <w:position w:val="1"/>
              <w:sz w:val="20"/>
              <w:szCs w:val="20"/>
            </w:rPr>
            <w:t xml:space="preserve"> </w:t>
          </w:r>
          <w:r>
            <w:rPr>
              <w:rFonts w:ascii="宋体" w:hAnsi="宋体" w:eastAsia="宋体" w:cs="宋体"/>
              <w:spacing w:val="3"/>
              <w:position w:val="1"/>
              <w:sz w:val="20"/>
              <w:szCs w:val="20"/>
            </w:rPr>
            <w:t>月</w:t>
          </w:r>
          <w:r>
            <w:rPr>
              <w:rFonts w:ascii="宋体" w:hAnsi="宋体" w:eastAsia="宋体" w:cs="宋体"/>
              <w:spacing w:val="-25"/>
              <w:position w:val="1"/>
              <w:sz w:val="20"/>
              <w:szCs w:val="20"/>
            </w:rPr>
            <w:t xml:space="preserve"> </w:t>
          </w:r>
          <w:r>
            <w:rPr>
              <w:rFonts w:ascii="宋体" w:hAnsi="宋体" w:eastAsia="宋体" w:cs="宋体"/>
              <w:spacing w:val="3"/>
              <w:position w:val="1"/>
              <w:sz w:val="20"/>
              <w:szCs w:val="20"/>
            </w:rPr>
            <w:t xml:space="preserve">1 </w:t>
          </w:r>
          <w:r>
            <w:rPr>
              <w:rFonts w:ascii="宋体" w:hAnsi="宋体" w:eastAsia="宋体" w:cs="宋体"/>
              <w:spacing w:val="2"/>
              <w:position w:val="1"/>
              <w:sz w:val="20"/>
              <w:szCs w:val="20"/>
            </w:rPr>
            <w:t>日之前）</w:t>
          </w:r>
          <w:r>
            <w:rPr>
              <w:rFonts w:ascii="宋体" w:hAnsi="宋体" w:eastAsia="宋体" w:cs="宋体"/>
              <w:spacing w:val="-53"/>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"bookmark41" </w:instrText>
          </w:r>
          <w:r>
            <w:fldChar w:fldCharType="separate"/>
          </w:r>
          <w:r>
            <w:rPr>
              <w:rFonts w:ascii="宋体" w:hAnsi="宋体" w:eastAsia="宋体" w:cs="宋体"/>
              <w:spacing w:val="-38"/>
              <w:position w:val="1"/>
              <w:sz w:val="20"/>
              <w:szCs w:val="20"/>
            </w:rPr>
            <w:t xml:space="preserve"> </w:t>
          </w:r>
          <w:r>
            <w:rPr>
              <w:rFonts w:ascii="宋体" w:hAnsi="宋体" w:eastAsia="宋体" w:cs="宋体"/>
              <w:spacing w:val="-5"/>
              <w:position w:val="1"/>
              <w:sz w:val="20"/>
              <w:szCs w:val="20"/>
            </w:rPr>
            <w:t>101</w:t>
          </w:r>
          <w:r>
            <w:rPr>
              <w:rFonts w:ascii="宋体" w:hAnsi="宋体" w:eastAsia="宋体" w:cs="宋体"/>
              <w:spacing w:val="-5"/>
              <w:position w:val="1"/>
              <w:sz w:val="20"/>
              <w:szCs w:val="20"/>
            </w:rPr>
            <w:fldChar w:fldCharType="end"/>
          </w:r>
        </w:p>
      </w:sdtContent>
    </w:sdt>
    <w:p>
      <w:pPr>
        <w:spacing w:line="277" w:lineRule="exact"/>
        <w:rPr>
          <w:rFonts w:ascii="宋体" w:hAnsi="宋体" w:eastAsia="宋体" w:cs="宋体"/>
          <w:sz w:val="20"/>
          <w:szCs w:val="20"/>
        </w:rPr>
        <w:sectPr>
          <w:pgSz w:w="11907" w:h="16840"/>
          <w:pgMar w:top="1431" w:right="1418" w:bottom="400" w:left="1786" w:header="0" w:footer="0" w:gutter="0"/>
        </w:sectPr>
      </w:pPr>
    </w:p>
    <w:sdt>
      <w:sdtPr>
        <w:rPr>
          <w:rFonts w:ascii="宋体" w:hAnsi="宋体" w:eastAsia="宋体" w:cs="宋体"/>
          <w:sz w:val="20"/>
          <w:szCs w:val="20"/>
        </w:rPr>
        <w:id w:val="0"/>
        <w:docPartObj>
          <w:docPartGallery w:val="Table of Contents"/>
          <w:docPartUnique/>
        </w:docPartObj>
      </w:sdtPr>
      <w:sdtEndPr>
        <w:rPr>
          <w:rFonts w:ascii="宋体" w:hAnsi="宋体" w:eastAsia="宋体" w:cs="宋体"/>
          <w:sz w:val="20"/>
          <w:szCs w:val="20"/>
        </w:rPr>
      </w:sdtEndPr>
      <w:sdtContent>
        <w:p>
          <w:pPr>
            <w:tabs>
              <w:tab w:val="right" w:leader="dot" w:pos="8699"/>
            </w:tabs>
            <w:spacing w:before="84" w:line="221" w:lineRule="auto"/>
            <w:ind w:left="474"/>
            <w:rPr>
              <w:rFonts w:ascii="宋体" w:hAnsi="宋体" w:eastAsia="宋体" w:cs="宋体"/>
              <w:sz w:val="20"/>
              <w:szCs w:val="20"/>
            </w:rPr>
          </w:pPr>
          <w:r>
            <w:fldChar w:fldCharType="begin"/>
          </w:r>
          <w:r>
            <w:instrText xml:space="preserve"> HYPERLINK \l "bookmark44" </w:instrText>
          </w:r>
          <w:r>
            <w:fldChar w:fldCharType="separate"/>
          </w:r>
          <w:r>
            <w:rPr>
              <w:rFonts w:ascii="宋体" w:hAnsi="宋体" w:eastAsia="宋体" w:cs="宋体"/>
              <w:spacing w:val="9"/>
              <w:sz w:val="20"/>
              <w:szCs w:val="20"/>
            </w:rPr>
            <w:t>第一节  建设工程费用项目组成</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"bookmark43" </w:instrText>
          </w:r>
          <w:r>
            <w:fldChar w:fldCharType="separate"/>
          </w:r>
          <w:r>
            <w:rPr>
              <w:rFonts w:ascii="宋体" w:hAnsi="宋体" w:eastAsia="宋体" w:cs="宋体"/>
              <w:spacing w:val="-74"/>
              <w:sz w:val="20"/>
              <w:szCs w:val="20"/>
            </w:rPr>
            <w:t xml:space="preserve"> </w:t>
          </w:r>
          <w:r>
            <w:rPr>
              <w:rFonts w:ascii="宋体" w:hAnsi="宋体" w:eastAsia="宋体" w:cs="宋体"/>
              <w:spacing w:val="-5"/>
              <w:sz w:val="20"/>
              <w:szCs w:val="20"/>
            </w:rPr>
            <w:t>101</w:t>
          </w:r>
          <w:r>
            <w:rPr>
              <w:rFonts w:ascii="宋体" w:hAnsi="宋体" w:eastAsia="宋体" w:cs="宋体"/>
              <w:spacing w:val="-5"/>
              <w:sz w:val="20"/>
              <w:szCs w:val="20"/>
            </w:rPr>
            <w:fldChar w:fldCharType="end"/>
          </w:r>
        </w:p>
        <w:p>
          <w:pPr>
            <w:tabs>
              <w:tab w:val="right" w:leader="dot" w:pos="8699"/>
            </w:tabs>
            <w:spacing w:before="194" w:line="221" w:lineRule="auto"/>
            <w:ind w:left="474"/>
            <w:rPr>
              <w:rFonts w:ascii="宋体" w:hAnsi="宋体" w:eastAsia="宋体" w:cs="宋体"/>
              <w:sz w:val="20"/>
              <w:szCs w:val="20"/>
            </w:rPr>
          </w:pPr>
          <w:r>
            <w:fldChar w:fldCharType="begin"/>
          </w:r>
          <w:r>
            <w:instrText xml:space="preserve"> HYPERLINK \l "bookmark46" </w:instrText>
          </w:r>
          <w:r>
            <w:fldChar w:fldCharType="separate"/>
          </w:r>
          <w:r>
            <w:rPr>
              <w:rFonts w:ascii="宋体" w:hAnsi="宋体" w:eastAsia="宋体" w:cs="宋体"/>
              <w:spacing w:val="9"/>
              <w:sz w:val="20"/>
              <w:szCs w:val="20"/>
            </w:rPr>
            <w:t>第二节  建设工程费用计算程序</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"bookmark45" </w:instrText>
          </w:r>
          <w:r>
            <w:fldChar w:fldCharType="separate"/>
          </w:r>
          <w:r>
            <w:rPr>
              <w:rFonts w:ascii="宋体" w:hAnsi="宋体" w:eastAsia="宋体" w:cs="宋体"/>
              <w:spacing w:val="-74"/>
              <w:sz w:val="20"/>
              <w:szCs w:val="20"/>
            </w:rPr>
            <w:t xml:space="preserve"> </w:t>
          </w:r>
          <w:r>
            <w:rPr>
              <w:rFonts w:ascii="宋体" w:hAnsi="宋体" w:eastAsia="宋体" w:cs="宋体"/>
              <w:spacing w:val="-5"/>
              <w:sz w:val="20"/>
              <w:szCs w:val="20"/>
            </w:rPr>
            <w:t>109</w:t>
          </w:r>
          <w:r>
            <w:rPr>
              <w:rFonts w:ascii="宋体" w:hAnsi="宋体" w:eastAsia="宋体" w:cs="宋体"/>
              <w:spacing w:val="-5"/>
              <w:sz w:val="20"/>
              <w:szCs w:val="20"/>
            </w:rPr>
            <w:fldChar w:fldCharType="end"/>
          </w:r>
        </w:p>
        <w:p>
          <w:pPr>
            <w:tabs>
              <w:tab w:val="right" w:leader="dot" w:pos="8699"/>
            </w:tabs>
            <w:spacing w:before="197" w:line="221" w:lineRule="auto"/>
            <w:ind w:left="474"/>
            <w:rPr>
              <w:rFonts w:ascii="宋体" w:hAnsi="宋体" w:eastAsia="宋体" w:cs="宋体"/>
              <w:sz w:val="20"/>
              <w:szCs w:val="20"/>
            </w:rPr>
          </w:pPr>
          <w:r>
            <w:fldChar w:fldCharType="begin"/>
          </w:r>
          <w:r>
            <w:instrText xml:space="preserve"> HYPERLINK \l "bookmark48" </w:instrText>
          </w:r>
          <w:r>
            <w:fldChar w:fldCharType="separate"/>
          </w:r>
          <w:r>
            <w:rPr>
              <w:rFonts w:ascii="宋体" w:hAnsi="宋体" w:eastAsia="宋体" w:cs="宋体"/>
              <w:spacing w:val="8"/>
              <w:sz w:val="20"/>
              <w:szCs w:val="20"/>
            </w:rPr>
            <w:t>第三节  建设工程费用费率</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"bookmark47" </w:instrText>
          </w:r>
          <w:r>
            <w:fldChar w:fldCharType="separate"/>
          </w:r>
          <w:r>
            <w:rPr>
              <w:rFonts w:ascii="宋体" w:hAnsi="宋体" w:eastAsia="宋体" w:cs="宋体"/>
              <w:spacing w:val="-54"/>
              <w:sz w:val="20"/>
              <w:szCs w:val="20"/>
            </w:rPr>
            <w:t xml:space="preserve"> </w:t>
          </w:r>
          <w:r>
            <w:rPr>
              <w:rFonts w:ascii="宋体" w:hAnsi="宋体" w:eastAsia="宋体" w:cs="宋体"/>
              <w:spacing w:val="-5"/>
              <w:sz w:val="20"/>
              <w:szCs w:val="20"/>
            </w:rPr>
            <w:t>112</w:t>
          </w:r>
          <w:r>
            <w:rPr>
              <w:rFonts w:ascii="宋体" w:hAnsi="宋体" w:eastAsia="宋体" w:cs="宋体"/>
              <w:spacing w:val="-5"/>
              <w:sz w:val="20"/>
              <w:szCs w:val="20"/>
            </w:rPr>
            <w:fldChar w:fldCharType="end"/>
          </w:r>
        </w:p>
        <w:p>
          <w:pPr>
            <w:tabs>
              <w:tab w:val="right" w:leader="dot" w:pos="8699"/>
            </w:tabs>
            <w:spacing w:before="194" w:line="221" w:lineRule="auto"/>
            <w:ind w:left="474"/>
            <w:rPr>
              <w:rFonts w:ascii="宋体" w:hAnsi="宋体" w:eastAsia="宋体" w:cs="宋体"/>
              <w:sz w:val="20"/>
              <w:szCs w:val="20"/>
            </w:rPr>
          </w:pPr>
          <w:r>
            <w:fldChar w:fldCharType="begin"/>
          </w:r>
          <w:r>
            <w:instrText xml:space="preserve"> HYPERLINK \l "bookmark50" </w:instrText>
          </w:r>
          <w:r>
            <w:fldChar w:fldCharType="separate"/>
          </w:r>
          <w:r>
            <w:rPr>
              <w:rFonts w:ascii="宋体" w:hAnsi="宋体" w:eastAsia="宋体" w:cs="宋体"/>
              <w:spacing w:val="8"/>
              <w:sz w:val="20"/>
              <w:szCs w:val="20"/>
            </w:rPr>
            <w:t>第四节  工程类别划分标准</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"bookmark49" </w:instrText>
          </w:r>
          <w:r>
            <w:fldChar w:fldCharType="separate"/>
          </w:r>
          <w:r>
            <w:rPr>
              <w:rFonts w:ascii="宋体" w:hAnsi="宋体" w:eastAsia="宋体" w:cs="宋体"/>
              <w:spacing w:val="-54"/>
              <w:sz w:val="20"/>
              <w:szCs w:val="20"/>
            </w:rPr>
            <w:t xml:space="preserve"> </w:t>
          </w:r>
          <w:r>
            <w:rPr>
              <w:rFonts w:ascii="宋体" w:hAnsi="宋体" w:eastAsia="宋体" w:cs="宋体"/>
              <w:spacing w:val="-5"/>
              <w:sz w:val="20"/>
              <w:szCs w:val="20"/>
            </w:rPr>
            <w:t>121</w:t>
          </w:r>
          <w:r>
            <w:rPr>
              <w:rFonts w:ascii="宋体" w:hAnsi="宋体" w:eastAsia="宋体" w:cs="宋体"/>
              <w:spacing w:val="-5"/>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"bookmark52" </w:instrText>
          </w:r>
          <w:r>
            <w:fldChar w:fldCharType="separate"/>
          </w:r>
          <w:r>
            <w:rPr>
              <w:rFonts w:ascii="宋体" w:hAnsi="宋体" w:eastAsia="宋体" w:cs="宋体"/>
              <w:spacing w:val="9"/>
              <w:sz w:val="20"/>
              <w:szCs w:val="20"/>
            </w:rPr>
            <w:t>第五节  建筑、装饰工程定额计价有关问题说明</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"bookmark51" </w:instrText>
          </w:r>
          <w:r>
            <w:fldChar w:fldCharType="separate"/>
          </w:r>
          <w:r>
            <w:rPr>
              <w:rFonts w:ascii="宋体" w:hAnsi="宋体" w:eastAsia="宋体" w:cs="宋体"/>
              <w:spacing w:val="-45"/>
              <w:sz w:val="20"/>
              <w:szCs w:val="20"/>
            </w:rPr>
            <w:t xml:space="preserve"> </w:t>
          </w:r>
          <w:r>
            <w:rPr>
              <w:rFonts w:ascii="宋体" w:hAnsi="宋体" w:eastAsia="宋体" w:cs="宋体"/>
              <w:spacing w:val="-4"/>
              <w:sz w:val="20"/>
              <w:szCs w:val="20"/>
            </w:rPr>
            <w:t>129</w:t>
          </w:r>
          <w:r>
            <w:rPr>
              <w:rFonts w:ascii="宋体" w:hAnsi="宋体" w:eastAsia="宋体" w:cs="宋体"/>
              <w:spacing w:val="-4"/>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"bookmark54" </w:instrText>
          </w:r>
          <w:r>
            <w:fldChar w:fldCharType="separate"/>
          </w:r>
          <w:r>
            <w:rPr>
              <w:rFonts w:ascii="宋体" w:hAnsi="宋体" w:eastAsia="宋体" w:cs="宋体"/>
              <w:spacing w:val="9"/>
              <w:sz w:val="20"/>
              <w:szCs w:val="20"/>
            </w:rPr>
            <w:t>第六节  安装工程定额计价有关问题的说明</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"bookmark53" </w:instrText>
          </w:r>
          <w:r>
            <w:fldChar w:fldCharType="separate"/>
          </w:r>
          <w:r>
            <w:rPr>
              <w:rFonts w:ascii="宋体" w:hAnsi="宋体" w:eastAsia="宋体" w:cs="宋体"/>
              <w:spacing w:val="4"/>
              <w:sz w:val="20"/>
              <w:szCs w:val="20"/>
            </w:rPr>
            <w:t>142</w:t>
          </w:r>
          <w:r>
            <w:rPr>
              <w:rFonts w:ascii="宋体" w:hAnsi="宋体" w:eastAsia="宋体" w:cs="宋体"/>
              <w:spacing w:val="4"/>
              <w:sz w:val="20"/>
              <w:szCs w:val="20"/>
            </w:rPr>
            <w:fldChar w:fldCharType="end"/>
          </w:r>
        </w:p>
        <w:p>
          <w:pPr>
            <w:tabs>
              <w:tab w:val="right" w:leader="dot" w:pos="8702"/>
            </w:tabs>
            <w:spacing w:before="197" w:line="221" w:lineRule="auto"/>
            <w:ind w:left="474"/>
            <w:rPr>
              <w:rFonts w:ascii="宋体" w:hAnsi="宋体" w:eastAsia="宋体" w:cs="宋体"/>
              <w:sz w:val="20"/>
              <w:szCs w:val="20"/>
            </w:rPr>
          </w:pPr>
          <w:r>
            <w:fldChar w:fldCharType="begin"/>
          </w:r>
          <w:r>
            <w:instrText xml:space="preserve"> HYPERLINK \l "bookmark55" </w:instrText>
          </w:r>
          <w:r>
            <w:fldChar w:fldCharType="separate"/>
          </w:r>
          <w:r>
            <w:rPr>
              <w:rFonts w:ascii="宋体" w:hAnsi="宋体" w:eastAsia="宋体" w:cs="宋体"/>
              <w:spacing w:val="9"/>
              <w:sz w:val="20"/>
              <w:szCs w:val="20"/>
            </w:rPr>
            <w:t>第七节  房屋修缮工程定额计价有关问题说明</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宋体" w:hAnsi="宋体" w:eastAsia="宋体" w:cs="宋体"/>
              <w:spacing w:val="-4"/>
              <w:sz w:val="20"/>
              <w:szCs w:val="20"/>
            </w:rPr>
            <w:t>15</w:t>
          </w:r>
          <w:r>
            <w:rPr>
              <w:rFonts w:ascii="宋体" w:hAnsi="宋体" w:eastAsia="宋体" w:cs="宋体"/>
              <w:spacing w:val="-4"/>
              <w:sz w:val="20"/>
              <w:szCs w:val="20"/>
            </w:rPr>
            <w:fldChar w:fldCharType="end"/>
          </w:r>
          <w:r>
            <w:rPr>
              <w:rFonts w:ascii="宋体" w:hAnsi="宋体" w:eastAsia="宋体" w:cs="宋体"/>
              <w:spacing w:val="-4"/>
              <w:sz w:val="20"/>
              <w:szCs w:val="20"/>
            </w:rPr>
            <w:t>8</w:t>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"bookmark56" </w:instrText>
          </w:r>
          <w:r>
            <w:fldChar w:fldCharType="separate"/>
          </w:r>
          <w:r>
            <w:rPr>
              <w:rFonts w:ascii="宋体" w:hAnsi="宋体" w:eastAsia="宋体" w:cs="宋体"/>
              <w:spacing w:val="9"/>
              <w:sz w:val="20"/>
              <w:szCs w:val="20"/>
            </w:rPr>
            <w:t>第八节  市政工程定额计价有关问题说明</w:t>
          </w:r>
          <w:r>
            <w:rPr>
              <w:rFonts w:ascii="宋体" w:hAnsi="宋体" w:eastAsia="宋体" w:cs="宋体"/>
              <w:spacing w:val="-59"/>
              <w:sz w:val="20"/>
              <w:szCs w:val="20"/>
            </w:rPr>
            <w:t xml:space="preserve"> </w:t>
          </w:r>
          <w:r>
            <w:rPr>
              <w:rFonts w:ascii="宋体" w:hAnsi="宋体" w:eastAsia="宋体" w:cs="宋体"/>
              <w:sz w:val="20"/>
              <w:szCs w:val="20"/>
            </w:rPr>
            <w:tab/>
          </w:r>
          <w:r>
            <w:rPr>
              <w:rFonts w:ascii="宋体" w:hAnsi="宋体" w:eastAsia="宋体" w:cs="宋体"/>
              <w:spacing w:val="8"/>
              <w:sz w:val="20"/>
              <w:szCs w:val="20"/>
            </w:rPr>
            <w:t>1</w:t>
          </w:r>
          <w:r>
            <w:rPr>
              <w:rFonts w:ascii="宋体" w:hAnsi="宋体" w:eastAsia="宋体" w:cs="宋体"/>
              <w:spacing w:val="8"/>
              <w:sz w:val="20"/>
              <w:szCs w:val="20"/>
            </w:rPr>
            <w:fldChar w:fldCharType="end"/>
          </w:r>
          <w:r>
            <w:rPr>
              <w:rFonts w:ascii="宋体" w:hAnsi="宋体" w:eastAsia="宋体" w:cs="宋体"/>
              <w:spacing w:val="8"/>
              <w:sz w:val="20"/>
              <w:szCs w:val="20"/>
            </w:rPr>
            <w:t>65</w:t>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"bookmark58" </w:instrText>
          </w:r>
          <w:r>
            <w:fldChar w:fldCharType="separate"/>
          </w:r>
          <w:r>
            <w:rPr>
              <w:rFonts w:ascii="宋体" w:hAnsi="宋体" w:eastAsia="宋体" w:cs="宋体"/>
              <w:spacing w:val="9"/>
              <w:sz w:val="20"/>
              <w:szCs w:val="20"/>
            </w:rPr>
            <w:t>第九节  市政养护维修工程定额计价有关问题说明</w:t>
          </w:r>
          <w:r>
            <w:rPr>
              <w:rFonts w:ascii="宋体" w:hAnsi="宋体" w:eastAsia="宋体" w:cs="宋体"/>
              <w:spacing w:val="-55"/>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"bookmark57" </w:instrText>
          </w:r>
          <w:r>
            <w:fldChar w:fldCharType="separate"/>
          </w:r>
          <w:r>
            <w:rPr>
              <w:rFonts w:ascii="宋体" w:hAnsi="宋体" w:eastAsia="宋体" w:cs="宋体"/>
              <w:spacing w:val="-54"/>
              <w:sz w:val="20"/>
              <w:szCs w:val="20"/>
            </w:rPr>
            <w:t xml:space="preserve"> </w:t>
          </w:r>
          <w:r>
            <w:rPr>
              <w:rFonts w:ascii="宋体" w:hAnsi="宋体" w:eastAsia="宋体" w:cs="宋体"/>
              <w:spacing w:val="-5"/>
              <w:sz w:val="20"/>
              <w:szCs w:val="20"/>
            </w:rPr>
            <w:t>177</w:t>
          </w:r>
          <w:r>
            <w:rPr>
              <w:rFonts w:ascii="宋体" w:hAnsi="宋体" w:eastAsia="宋体" w:cs="宋体"/>
              <w:spacing w:val="-5"/>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"bookmark60" </w:instrText>
          </w:r>
          <w:r>
            <w:fldChar w:fldCharType="separate"/>
          </w:r>
          <w:r>
            <w:rPr>
              <w:rFonts w:ascii="宋体" w:hAnsi="宋体" w:eastAsia="宋体" w:cs="宋体"/>
              <w:spacing w:val="9"/>
              <w:sz w:val="20"/>
              <w:szCs w:val="20"/>
            </w:rPr>
            <w:t>第十节  园林绿化工程定额计价有关问题的说明</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"bookmark59" </w:instrText>
          </w:r>
          <w:r>
            <w:fldChar w:fldCharType="separate"/>
          </w:r>
          <w:r>
            <w:rPr>
              <w:rFonts w:ascii="宋体" w:hAnsi="宋体" w:eastAsia="宋体" w:cs="宋体"/>
              <w:spacing w:val="-45"/>
              <w:sz w:val="20"/>
              <w:szCs w:val="20"/>
            </w:rPr>
            <w:t xml:space="preserve"> </w:t>
          </w:r>
          <w:r>
            <w:rPr>
              <w:rFonts w:ascii="宋体" w:hAnsi="宋体" w:eastAsia="宋体" w:cs="宋体"/>
              <w:spacing w:val="-5"/>
              <w:sz w:val="20"/>
              <w:szCs w:val="20"/>
            </w:rPr>
            <w:t>182</w:t>
          </w:r>
          <w:r>
            <w:rPr>
              <w:rFonts w:ascii="宋体" w:hAnsi="宋体" w:eastAsia="宋体" w:cs="宋体"/>
              <w:spacing w:val="-5"/>
              <w:sz w:val="20"/>
              <w:szCs w:val="20"/>
            </w:rPr>
            <w:fldChar w:fldCharType="end"/>
          </w:r>
        </w:p>
        <w:p>
          <w:pPr>
            <w:tabs>
              <w:tab w:val="right" w:leader="dot" w:pos="8699"/>
            </w:tabs>
            <w:spacing w:before="198" w:line="221" w:lineRule="auto"/>
            <w:ind w:left="474"/>
            <w:rPr>
              <w:rFonts w:ascii="宋体" w:hAnsi="宋体" w:eastAsia="宋体" w:cs="宋体"/>
              <w:sz w:val="20"/>
              <w:szCs w:val="20"/>
            </w:rPr>
          </w:pPr>
          <w:r>
            <w:fldChar w:fldCharType="begin"/>
          </w:r>
          <w:r>
            <w:instrText xml:space="preserve"> HYPERLINK \l "bookmark62" </w:instrText>
          </w:r>
          <w:r>
            <w:fldChar w:fldCharType="separate"/>
          </w:r>
          <w:r>
            <w:rPr>
              <w:rFonts w:ascii="宋体" w:hAnsi="宋体" w:eastAsia="宋体" w:cs="宋体"/>
              <w:spacing w:val="9"/>
              <w:sz w:val="20"/>
              <w:szCs w:val="20"/>
            </w:rPr>
            <w:t>第十一节  仿古建筑工程定额计价有关问题说明</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"bookmark61" </w:instrText>
          </w:r>
          <w:r>
            <w:fldChar w:fldCharType="separate"/>
          </w:r>
          <w:r>
            <w:rPr>
              <w:rFonts w:ascii="宋体" w:hAnsi="宋体" w:eastAsia="宋体" w:cs="宋体"/>
              <w:spacing w:val="-45"/>
              <w:sz w:val="20"/>
              <w:szCs w:val="20"/>
            </w:rPr>
            <w:t xml:space="preserve"> </w:t>
          </w:r>
          <w:r>
            <w:rPr>
              <w:rFonts w:ascii="宋体" w:hAnsi="宋体" w:eastAsia="宋体" w:cs="宋体"/>
              <w:spacing w:val="-5"/>
              <w:sz w:val="20"/>
              <w:szCs w:val="20"/>
            </w:rPr>
            <w:t>191</w:t>
          </w:r>
          <w:r>
            <w:rPr>
              <w:rFonts w:ascii="宋体" w:hAnsi="宋体" w:eastAsia="宋体" w:cs="宋体"/>
              <w:spacing w:val="-5"/>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"bookmark64" </w:instrText>
          </w:r>
          <w:r>
            <w:fldChar w:fldCharType="separate"/>
          </w:r>
          <w:r>
            <w:rPr>
              <w:rFonts w:ascii="宋体" w:hAnsi="宋体" w:eastAsia="宋体" w:cs="宋体"/>
              <w:spacing w:val="9"/>
              <w:sz w:val="20"/>
              <w:szCs w:val="20"/>
            </w:rPr>
            <w:t>第十二节  古建筑修缮工程定额计价有关问题说明</w:t>
          </w:r>
          <w:r>
            <w:rPr>
              <w:rFonts w:ascii="宋体" w:hAnsi="宋体" w:eastAsia="宋体" w:cs="宋体"/>
              <w:spacing w:val="-55"/>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"bookmark63" </w:instrText>
          </w:r>
          <w:r>
            <w:fldChar w:fldCharType="separate"/>
          </w:r>
          <w:r>
            <w:rPr>
              <w:rFonts w:ascii="宋体" w:hAnsi="宋体" w:eastAsia="宋体" w:cs="宋体"/>
              <w:spacing w:val="-54"/>
              <w:sz w:val="20"/>
              <w:szCs w:val="20"/>
            </w:rPr>
            <w:t xml:space="preserve"> </w:t>
          </w:r>
          <w:r>
            <w:rPr>
              <w:rFonts w:ascii="宋体" w:hAnsi="宋体" w:eastAsia="宋体" w:cs="宋体"/>
              <w:spacing w:val="-5"/>
              <w:sz w:val="20"/>
              <w:szCs w:val="20"/>
            </w:rPr>
            <w:t>196</w:t>
          </w:r>
          <w:r>
            <w:rPr>
              <w:rFonts w:ascii="宋体" w:hAnsi="宋体" w:eastAsia="宋体" w:cs="宋体"/>
              <w:spacing w:val="-5"/>
              <w:sz w:val="20"/>
              <w:szCs w:val="20"/>
            </w:rPr>
            <w:fldChar w:fldCharType="end"/>
          </w:r>
        </w:p>
        <w:p>
          <w:pPr>
            <w:tabs>
              <w:tab w:val="right" w:leader="dot" w:pos="8702"/>
            </w:tabs>
            <w:spacing w:before="195" w:line="221" w:lineRule="auto"/>
            <w:ind w:left="54"/>
            <w:rPr>
              <w:rFonts w:ascii="宋体" w:hAnsi="宋体" w:eastAsia="宋体" w:cs="宋体"/>
              <w:sz w:val="20"/>
              <w:szCs w:val="20"/>
            </w:rPr>
          </w:pPr>
          <w:r>
            <w:fldChar w:fldCharType="begin"/>
          </w:r>
          <w:r>
            <w:instrText xml:space="preserve"> HYPERLINK \l "bookmark65" </w:instrText>
          </w:r>
          <w:r>
            <w:fldChar w:fldCharType="separate"/>
          </w:r>
          <w:r>
            <w:rPr>
              <w:rFonts w:ascii="宋体" w:hAnsi="宋体" w:eastAsia="宋体" w:cs="宋体"/>
              <w:spacing w:val="3"/>
              <w:sz w:val="20"/>
              <w:szCs w:val="20"/>
            </w:rPr>
            <w:t>第三章  定额计价（适用于</w:t>
          </w:r>
          <w:r>
            <w:rPr>
              <w:rFonts w:ascii="宋体" w:hAnsi="宋体" w:eastAsia="宋体" w:cs="宋体"/>
              <w:spacing w:val="-42"/>
              <w:sz w:val="20"/>
              <w:szCs w:val="20"/>
            </w:rPr>
            <w:t xml:space="preserve"> </w:t>
          </w:r>
          <w:r>
            <w:rPr>
              <w:rFonts w:ascii="宋体" w:hAnsi="宋体" w:eastAsia="宋体" w:cs="宋体"/>
              <w:spacing w:val="3"/>
              <w:sz w:val="20"/>
              <w:szCs w:val="20"/>
            </w:rPr>
            <w:t>2025</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4"/>
              <w:sz w:val="20"/>
              <w:szCs w:val="20"/>
            </w:rPr>
            <w:t xml:space="preserve"> </w:t>
          </w:r>
          <w:r>
            <w:rPr>
              <w:rFonts w:ascii="宋体" w:hAnsi="宋体" w:eastAsia="宋体" w:cs="宋体"/>
              <w:spacing w:val="3"/>
              <w:sz w:val="20"/>
              <w:szCs w:val="20"/>
            </w:rPr>
            <w:t>11</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5"/>
              <w:sz w:val="20"/>
              <w:szCs w:val="20"/>
            </w:rPr>
            <w:t xml:space="preserve"> </w:t>
          </w:r>
          <w:r>
            <w:rPr>
              <w:rFonts w:ascii="宋体" w:hAnsi="宋体" w:eastAsia="宋体" w:cs="宋体"/>
              <w:spacing w:val="3"/>
              <w:sz w:val="20"/>
              <w:szCs w:val="20"/>
            </w:rPr>
            <w:t xml:space="preserve">1 </w:t>
          </w:r>
          <w:r>
            <w:rPr>
              <w:rFonts w:ascii="宋体" w:hAnsi="宋体" w:eastAsia="宋体" w:cs="宋体"/>
              <w:spacing w:val="2"/>
              <w:sz w:val="20"/>
              <w:szCs w:val="20"/>
            </w:rPr>
            <w:t>日之后）</w:t>
          </w:r>
          <w:r>
            <w:rPr>
              <w:rFonts w:ascii="宋体" w:hAnsi="宋体" w:eastAsia="宋体" w:cs="宋体"/>
              <w:spacing w:val="-53"/>
              <w:sz w:val="20"/>
              <w:szCs w:val="20"/>
            </w:rPr>
            <w:t xml:space="preserve"> </w:t>
          </w:r>
          <w:r>
            <w:rPr>
              <w:rFonts w:ascii="宋体" w:hAnsi="宋体" w:eastAsia="宋体" w:cs="宋体"/>
              <w:sz w:val="20"/>
              <w:szCs w:val="20"/>
            </w:rPr>
            <w:tab/>
          </w:r>
          <w:r>
            <w:rPr>
              <w:rFonts w:ascii="宋体" w:hAnsi="宋体" w:eastAsia="宋体" w:cs="宋体"/>
              <w:spacing w:val="-56"/>
              <w:sz w:val="20"/>
              <w:szCs w:val="20"/>
            </w:rPr>
            <w:t xml:space="preserve"> </w:t>
          </w:r>
          <w:r>
            <w:rPr>
              <w:rFonts w:ascii="宋体" w:hAnsi="宋体" w:eastAsia="宋体" w:cs="宋体"/>
              <w:spacing w:val="2"/>
              <w:sz w:val="20"/>
              <w:szCs w:val="20"/>
            </w:rPr>
            <w:t>2</w:t>
          </w:r>
          <w:r>
            <w:rPr>
              <w:rFonts w:ascii="宋体" w:hAnsi="宋体" w:eastAsia="宋体" w:cs="宋体"/>
              <w:spacing w:val="2"/>
              <w:sz w:val="20"/>
              <w:szCs w:val="20"/>
            </w:rPr>
            <w:fldChar w:fldCharType="end"/>
          </w:r>
          <w:r>
            <w:rPr>
              <w:rFonts w:ascii="宋体" w:hAnsi="宋体" w:eastAsia="宋体" w:cs="宋体"/>
              <w:spacing w:val="2"/>
              <w:sz w:val="20"/>
              <w:szCs w:val="20"/>
            </w:rPr>
            <w:t>00</w:t>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"bookmark67" </w:instrText>
          </w:r>
          <w:r>
            <w:fldChar w:fldCharType="separate"/>
          </w:r>
          <w:r>
            <w:rPr>
              <w:rFonts w:ascii="宋体" w:hAnsi="宋体" w:eastAsia="宋体" w:cs="宋体"/>
              <w:spacing w:val="8"/>
              <w:sz w:val="20"/>
              <w:szCs w:val="20"/>
            </w:rPr>
            <w:t>第一节  费用项目组成</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"bookmark66" </w:instrText>
          </w:r>
          <w:r>
            <w:fldChar w:fldCharType="separate"/>
          </w:r>
          <w:r>
            <w:rPr>
              <w:rFonts w:ascii="宋体" w:hAnsi="宋体" w:eastAsia="宋体" w:cs="宋体"/>
              <w:spacing w:val="-52"/>
              <w:sz w:val="20"/>
              <w:szCs w:val="20"/>
            </w:rPr>
            <w:t xml:space="preserve"> </w:t>
          </w:r>
          <w:r>
            <w:rPr>
              <w:rFonts w:ascii="宋体" w:hAnsi="宋体" w:eastAsia="宋体" w:cs="宋体"/>
              <w:spacing w:val="1"/>
              <w:sz w:val="20"/>
              <w:szCs w:val="20"/>
            </w:rPr>
            <w:t>200</w:t>
          </w:r>
          <w:r>
            <w:rPr>
              <w:rFonts w:ascii="宋体" w:hAnsi="宋体" w:eastAsia="宋体" w:cs="宋体"/>
              <w:spacing w:val="1"/>
              <w:sz w:val="20"/>
              <w:szCs w:val="20"/>
            </w:rPr>
            <w:fldChar w:fldCharType="end"/>
          </w:r>
        </w:p>
        <w:p>
          <w:pPr>
            <w:tabs>
              <w:tab w:val="right" w:leader="dot" w:pos="8699"/>
            </w:tabs>
            <w:spacing w:before="197" w:line="221" w:lineRule="auto"/>
            <w:ind w:left="474"/>
            <w:rPr>
              <w:rFonts w:ascii="宋体" w:hAnsi="宋体" w:eastAsia="宋体" w:cs="宋体"/>
              <w:sz w:val="20"/>
              <w:szCs w:val="20"/>
            </w:rPr>
          </w:pPr>
          <w:r>
            <w:fldChar w:fldCharType="begin"/>
          </w:r>
          <w:r>
            <w:instrText xml:space="preserve"> HYPERLINK \l "bookmark69" </w:instrText>
          </w:r>
          <w:r>
            <w:fldChar w:fldCharType="separate"/>
          </w:r>
          <w:r>
            <w:rPr>
              <w:rFonts w:ascii="宋体" w:hAnsi="宋体" w:eastAsia="宋体" w:cs="宋体"/>
              <w:spacing w:val="9"/>
              <w:sz w:val="20"/>
              <w:szCs w:val="20"/>
            </w:rPr>
            <w:t>第二节  建设工程费用计算程序</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"bookmark68" </w:instrText>
          </w:r>
          <w:r>
            <w:fldChar w:fldCharType="separate"/>
          </w:r>
          <w:r>
            <w:rPr>
              <w:rFonts w:ascii="宋体" w:hAnsi="宋体" w:eastAsia="宋体" w:cs="宋体"/>
              <w:spacing w:val="4"/>
              <w:sz w:val="20"/>
              <w:szCs w:val="20"/>
            </w:rPr>
            <w:t>205</w:t>
          </w:r>
          <w:r>
            <w:rPr>
              <w:rFonts w:ascii="宋体" w:hAnsi="宋体" w:eastAsia="宋体" w:cs="宋体"/>
              <w:spacing w:val="4"/>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"bookmark71" </w:instrText>
          </w:r>
          <w:r>
            <w:fldChar w:fldCharType="separate"/>
          </w:r>
          <w:r>
            <w:rPr>
              <w:rFonts w:ascii="宋体" w:hAnsi="宋体" w:eastAsia="宋体" w:cs="宋体"/>
              <w:spacing w:val="8"/>
              <w:sz w:val="20"/>
              <w:szCs w:val="20"/>
            </w:rPr>
            <w:t>第三节  建设工程费用费率</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"bookmark70" </w:instrText>
          </w:r>
          <w:r>
            <w:fldChar w:fldCharType="separate"/>
          </w:r>
          <w:r>
            <w:rPr>
              <w:rFonts w:ascii="宋体" w:hAnsi="宋体" w:eastAsia="宋体" w:cs="宋体"/>
              <w:spacing w:val="-72"/>
              <w:sz w:val="20"/>
              <w:szCs w:val="20"/>
            </w:rPr>
            <w:t xml:space="preserve"> </w:t>
          </w:r>
          <w:r>
            <w:rPr>
              <w:rFonts w:ascii="宋体" w:hAnsi="宋体" w:eastAsia="宋体" w:cs="宋体"/>
              <w:spacing w:val="1"/>
              <w:sz w:val="20"/>
              <w:szCs w:val="20"/>
            </w:rPr>
            <w:t>210</w:t>
          </w:r>
          <w:r>
            <w:rPr>
              <w:rFonts w:ascii="宋体" w:hAnsi="宋体" w:eastAsia="宋体" w:cs="宋体"/>
              <w:spacing w:val="1"/>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"bookmark73" </w:instrText>
          </w:r>
          <w:r>
            <w:fldChar w:fldCharType="separate"/>
          </w:r>
          <w:r>
            <w:rPr>
              <w:rFonts w:ascii="宋体" w:hAnsi="宋体" w:eastAsia="宋体" w:cs="宋体"/>
              <w:spacing w:val="8"/>
              <w:sz w:val="20"/>
              <w:szCs w:val="20"/>
            </w:rPr>
            <w:t>第四节  工程类别划分标准</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"bookmark72" </w:instrText>
          </w:r>
          <w:r>
            <w:fldChar w:fldCharType="separate"/>
          </w:r>
          <w:r>
            <w:rPr>
              <w:rFonts w:ascii="宋体" w:hAnsi="宋体" w:eastAsia="宋体" w:cs="宋体"/>
              <w:spacing w:val="-72"/>
              <w:sz w:val="20"/>
              <w:szCs w:val="20"/>
            </w:rPr>
            <w:t xml:space="preserve"> </w:t>
          </w:r>
          <w:r>
            <w:rPr>
              <w:rFonts w:ascii="宋体" w:hAnsi="宋体" w:eastAsia="宋体" w:cs="宋体"/>
              <w:spacing w:val="1"/>
              <w:sz w:val="20"/>
              <w:szCs w:val="20"/>
            </w:rPr>
            <w:t>218</w:t>
          </w:r>
          <w:r>
            <w:rPr>
              <w:rFonts w:ascii="宋体" w:hAnsi="宋体" w:eastAsia="宋体" w:cs="宋体"/>
              <w:spacing w:val="1"/>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"bookmark75" </w:instrText>
          </w:r>
          <w:r>
            <w:fldChar w:fldCharType="separate"/>
          </w:r>
          <w:r>
            <w:rPr>
              <w:rFonts w:ascii="宋体" w:hAnsi="宋体" w:eastAsia="宋体" w:cs="宋体"/>
              <w:spacing w:val="9"/>
              <w:sz w:val="20"/>
              <w:szCs w:val="20"/>
            </w:rPr>
            <w:t>第五节  建筑、装饰工程定额计价有关问题说明</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"bookmark74" </w:instrText>
          </w:r>
          <w:r>
            <w:fldChar w:fldCharType="separate"/>
          </w:r>
          <w:r>
            <w:rPr>
              <w:rFonts w:ascii="宋体" w:hAnsi="宋体" w:eastAsia="宋体" w:cs="宋体"/>
              <w:spacing w:val="-63"/>
              <w:sz w:val="20"/>
              <w:szCs w:val="20"/>
            </w:rPr>
            <w:t xml:space="preserve"> </w:t>
          </w:r>
          <w:r>
            <w:rPr>
              <w:rFonts w:ascii="宋体" w:hAnsi="宋体" w:eastAsia="宋体" w:cs="宋体"/>
              <w:spacing w:val="1"/>
              <w:sz w:val="20"/>
              <w:szCs w:val="20"/>
            </w:rPr>
            <w:t>222</w:t>
          </w:r>
          <w:r>
            <w:rPr>
              <w:rFonts w:ascii="宋体" w:hAnsi="宋体" w:eastAsia="宋体" w:cs="宋体"/>
              <w:spacing w:val="1"/>
              <w:sz w:val="20"/>
              <w:szCs w:val="20"/>
            </w:rPr>
            <w:fldChar w:fldCharType="end"/>
          </w:r>
        </w:p>
        <w:p>
          <w:pPr>
            <w:tabs>
              <w:tab w:val="right" w:leader="dot" w:pos="8699"/>
            </w:tabs>
            <w:spacing w:before="197" w:line="221" w:lineRule="auto"/>
            <w:ind w:left="474"/>
            <w:rPr>
              <w:rFonts w:ascii="宋体" w:hAnsi="宋体" w:eastAsia="宋体" w:cs="宋体"/>
              <w:sz w:val="20"/>
              <w:szCs w:val="20"/>
            </w:rPr>
          </w:pPr>
          <w:r>
            <w:fldChar w:fldCharType="begin"/>
          </w:r>
          <w:r>
            <w:instrText xml:space="preserve"> HYPERLINK \l "bookmark77" </w:instrText>
          </w:r>
          <w:r>
            <w:fldChar w:fldCharType="separate"/>
          </w:r>
          <w:r>
            <w:rPr>
              <w:rFonts w:ascii="宋体" w:hAnsi="宋体" w:eastAsia="宋体" w:cs="宋体"/>
              <w:spacing w:val="9"/>
              <w:sz w:val="20"/>
              <w:szCs w:val="20"/>
            </w:rPr>
            <w:t>第六节  安装工程定额计价有关问题说明</w:t>
          </w:r>
          <w:r>
            <w:rPr>
              <w:rFonts w:ascii="宋体" w:hAnsi="宋体" w:eastAsia="宋体" w:cs="宋体"/>
              <w:spacing w:val="-59"/>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"bookmark76" </w:instrText>
          </w:r>
          <w:r>
            <w:fldChar w:fldCharType="separate"/>
          </w:r>
          <w:r>
            <w:rPr>
              <w:rFonts w:ascii="宋体" w:hAnsi="宋体" w:eastAsia="宋体" w:cs="宋体"/>
              <w:spacing w:val="7"/>
              <w:sz w:val="20"/>
              <w:szCs w:val="20"/>
            </w:rPr>
            <w:t>232</w:t>
          </w:r>
          <w:r>
            <w:rPr>
              <w:rFonts w:ascii="宋体" w:hAnsi="宋体" w:eastAsia="宋体" w:cs="宋体"/>
              <w:spacing w:val="7"/>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"bookmark79" </w:instrText>
          </w:r>
          <w:r>
            <w:fldChar w:fldCharType="separate"/>
          </w:r>
          <w:r>
            <w:rPr>
              <w:rFonts w:ascii="宋体" w:hAnsi="宋体" w:eastAsia="宋体" w:cs="宋体"/>
              <w:spacing w:val="9"/>
              <w:sz w:val="20"/>
              <w:szCs w:val="20"/>
            </w:rPr>
            <w:t>第七节  市政工程定额计价有关问题说明</w:t>
          </w:r>
          <w:r>
            <w:rPr>
              <w:rFonts w:ascii="宋体" w:hAnsi="宋体" w:eastAsia="宋体" w:cs="宋体"/>
              <w:spacing w:val="-59"/>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"bookmark78" </w:instrText>
          </w:r>
          <w:r>
            <w:fldChar w:fldCharType="separate"/>
          </w:r>
          <w:r>
            <w:rPr>
              <w:rFonts w:ascii="宋体" w:hAnsi="宋体" w:eastAsia="宋体" w:cs="宋体"/>
              <w:spacing w:val="7"/>
              <w:sz w:val="20"/>
              <w:szCs w:val="20"/>
            </w:rPr>
            <w:t>235</w:t>
          </w:r>
          <w:r>
            <w:rPr>
              <w:rFonts w:ascii="宋体" w:hAnsi="宋体" w:eastAsia="宋体" w:cs="宋体"/>
              <w:spacing w:val="7"/>
              <w:sz w:val="20"/>
              <w:szCs w:val="20"/>
            </w:rPr>
            <w:fldChar w:fldCharType="end"/>
          </w:r>
        </w:p>
        <w:p>
          <w:pPr>
            <w:tabs>
              <w:tab w:val="right" w:leader="dot" w:pos="8699"/>
            </w:tabs>
            <w:spacing w:before="195" w:line="221" w:lineRule="auto"/>
            <w:ind w:left="474"/>
            <w:rPr>
              <w:rFonts w:ascii="宋体" w:hAnsi="宋体" w:eastAsia="宋体" w:cs="宋体"/>
              <w:sz w:val="20"/>
              <w:szCs w:val="20"/>
            </w:rPr>
          </w:pPr>
          <w:r>
            <w:fldChar w:fldCharType="begin"/>
          </w:r>
          <w:r>
            <w:instrText xml:space="preserve"> HYPERLINK \l "bookmark81" </w:instrText>
          </w:r>
          <w:r>
            <w:fldChar w:fldCharType="separate"/>
          </w:r>
          <w:r>
            <w:rPr>
              <w:rFonts w:ascii="宋体" w:hAnsi="宋体" w:eastAsia="宋体" w:cs="宋体"/>
              <w:spacing w:val="9"/>
              <w:sz w:val="20"/>
              <w:szCs w:val="20"/>
            </w:rPr>
            <w:t>第八节  园林绿化工程定额计价有关问题说明</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"bookmark80" </w:instrText>
          </w:r>
          <w:r>
            <w:fldChar w:fldCharType="separate"/>
          </w:r>
          <w:r>
            <w:rPr>
              <w:rFonts w:ascii="宋体" w:hAnsi="宋体" w:eastAsia="宋体" w:cs="宋体"/>
              <w:spacing w:val="-52"/>
              <w:sz w:val="20"/>
              <w:szCs w:val="20"/>
            </w:rPr>
            <w:t xml:space="preserve"> </w:t>
          </w:r>
          <w:r>
            <w:rPr>
              <w:rFonts w:ascii="宋体" w:hAnsi="宋体" w:eastAsia="宋体" w:cs="宋体"/>
              <w:spacing w:val="1"/>
              <w:sz w:val="20"/>
              <w:szCs w:val="20"/>
            </w:rPr>
            <w:t>247</w:t>
          </w:r>
          <w:r>
            <w:rPr>
              <w:rFonts w:ascii="宋体" w:hAnsi="宋体" w:eastAsia="宋体" w:cs="宋体"/>
              <w:spacing w:val="1"/>
              <w:sz w:val="20"/>
              <w:szCs w:val="20"/>
            </w:rPr>
            <w:fldChar w:fldCharType="end"/>
          </w:r>
        </w:p>
        <w:p>
          <w:pPr>
            <w:tabs>
              <w:tab w:val="right" w:leader="dot" w:pos="8702"/>
            </w:tabs>
            <w:spacing w:before="195" w:line="221" w:lineRule="auto"/>
            <w:ind w:left="54"/>
            <w:rPr>
              <w:rFonts w:ascii="宋体" w:hAnsi="宋体" w:eastAsia="宋体" w:cs="宋体"/>
              <w:sz w:val="20"/>
              <w:szCs w:val="20"/>
            </w:rPr>
          </w:pPr>
          <w:r>
            <w:fldChar w:fldCharType="begin"/>
          </w:r>
          <w:r>
            <w:instrText xml:space="preserve"> HYPERLINK \l "bookmark82" </w:instrText>
          </w:r>
          <w:r>
            <w:fldChar w:fldCharType="separate"/>
          </w:r>
          <w:r>
            <w:rPr>
              <w:rFonts w:ascii="宋体" w:hAnsi="宋体" w:eastAsia="宋体" w:cs="宋体"/>
              <w:spacing w:val="9"/>
              <w:sz w:val="20"/>
              <w:szCs w:val="20"/>
            </w:rPr>
            <w:t>第四章  城市环境卫生作业计价</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pacing w:val="11"/>
              <w:sz w:val="20"/>
              <w:szCs w:val="20"/>
            </w:rPr>
            <w:t>2</w:t>
          </w:r>
          <w:r>
            <w:rPr>
              <w:rFonts w:ascii="宋体" w:hAnsi="宋体" w:eastAsia="宋体" w:cs="宋体"/>
              <w:spacing w:val="11"/>
              <w:sz w:val="20"/>
              <w:szCs w:val="20"/>
            </w:rPr>
            <w:fldChar w:fldCharType="end"/>
          </w:r>
          <w:r>
            <w:rPr>
              <w:rFonts w:ascii="宋体" w:hAnsi="宋体" w:eastAsia="宋体" w:cs="宋体"/>
              <w:spacing w:val="11"/>
              <w:sz w:val="20"/>
              <w:szCs w:val="20"/>
            </w:rPr>
            <w:t>52</w:t>
          </w:r>
        </w:p>
        <w:p>
          <w:pPr>
            <w:tabs>
              <w:tab w:val="right" w:leader="dot" w:pos="8702"/>
            </w:tabs>
            <w:spacing w:before="198" w:line="221" w:lineRule="auto"/>
            <w:ind w:left="474"/>
            <w:rPr>
              <w:rFonts w:ascii="宋体" w:hAnsi="宋体" w:eastAsia="宋体" w:cs="宋体"/>
              <w:sz w:val="20"/>
              <w:szCs w:val="20"/>
            </w:rPr>
          </w:pPr>
          <w:r>
            <w:fldChar w:fldCharType="begin"/>
          </w:r>
          <w:r>
            <w:instrText xml:space="preserve"> HYPERLINK \l "bookmark84" </w:instrText>
          </w:r>
          <w:r>
            <w:fldChar w:fldCharType="separate"/>
          </w:r>
          <w:r>
            <w:rPr>
              <w:rFonts w:ascii="宋体" w:hAnsi="宋体" w:eastAsia="宋体" w:cs="宋体"/>
              <w:spacing w:val="8"/>
              <w:sz w:val="20"/>
              <w:szCs w:val="20"/>
            </w:rPr>
            <w:t>第一节  费用项目组成</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"bookmark83" </w:instrText>
          </w:r>
          <w:r>
            <w:fldChar w:fldCharType="separate"/>
          </w:r>
          <w:r>
            <w:rPr>
              <w:rFonts w:ascii="宋体" w:hAnsi="宋体" w:eastAsia="宋体" w:cs="宋体"/>
              <w:spacing w:val="-52"/>
              <w:sz w:val="20"/>
              <w:szCs w:val="20"/>
            </w:rPr>
            <w:t xml:space="preserve"> </w:t>
          </w:r>
          <w:r>
            <w:rPr>
              <w:rFonts w:ascii="宋体" w:hAnsi="宋体" w:eastAsia="宋体" w:cs="宋体"/>
              <w:spacing w:val="2"/>
              <w:sz w:val="20"/>
              <w:szCs w:val="20"/>
            </w:rPr>
            <w:t>252</w:t>
          </w:r>
          <w:r>
            <w:rPr>
              <w:rFonts w:ascii="宋体" w:hAnsi="宋体" w:eastAsia="宋体" w:cs="宋体"/>
              <w:spacing w:val="2"/>
              <w:sz w:val="20"/>
              <w:szCs w:val="20"/>
            </w:rPr>
            <w:fldChar w:fldCharType="end"/>
          </w:r>
        </w:p>
        <w:p>
          <w:pPr>
            <w:tabs>
              <w:tab w:val="right" w:leader="dot" w:pos="8702"/>
            </w:tabs>
            <w:spacing w:before="195" w:line="221" w:lineRule="auto"/>
            <w:ind w:left="474"/>
            <w:rPr>
              <w:rFonts w:ascii="宋体" w:hAnsi="宋体" w:eastAsia="宋体" w:cs="宋体"/>
              <w:sz w:val="20"/>
              <w:szCs w:val="20"/>
            </w:rPr>
          </w:pPr>
          <w:r>
            <w:fldChar w:fldCharType="begin"/>
          </w:r>
          <w:r>
            <w:instrText xml:space="preserve"> HYPERLINK \l "bookmark86" </w:instrText>
          </w:r>
          <w:r>
            <w:fldChar w:fldCharType="separate"/>
          </w:r>
          <w:r>
            <w:rPr>
              <w:rFonts w:ascii="宋体" w:hAnsi="宋体" w:eastAsia="宋体" w:cs="宋体"/>
              <w:spacing w:val="9"/>
              <w:sz w:val="20"/>
              <w:szCs w:val="20"/>
            </w:rPr>
            <w:t>第二节  费用计算程序及费率</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"bookmark85" </w:instrText>
          </w:r>
          <w:r>
            <w:fldChar w:fldCharType="separate"/>
          </w:r>
          <w:r>
            <w:rPr>
              <w:rFonts w:ascii="宋体" w:hAnsi="宋体" w:eastAsia="宋体" w:cs="宋体"/>
              <w:spacing w:val="8"/>
              <w:sz w:val="20"/>
              <w:szCs w:val="20"/>
            </w:rPr>
            <w:t>253</w:t>
          </w:r>
          <w:r>
            <w:rPr>
              <w:rFonts w:ascii="宋体" w:hAnsi="宋体" w:eastAsia="宋体" w:cs="宋体"/>
              <w:spacing w:val="8"/>
              <w:sz w:val="20"/>
              <w:szCs w:val="20"/>
            </w:rPr>
            <w:fldChar w:fldCharType="end"/>
          </w:r>
        </w:p>
        <w:p>
          <w:pPr>
            <w:tabs>
              <w:tab w:val="right" w:leader="dot" w:pos="8702"/>
            </w:tabs>
            <w:spacing w:before="194" w:line="278" w:lineRule="exact"/>
            <w:ind w:left="474"/>
            <w:rPr>
              <w:rFonts w:ascii="宋体" w:hAnsi="宋体" w:eastAsia="宋体" w:cs="宋体"/>
              <w:sz w:val="20"/>
              <w:szCs w:val="20"/>
            </w:rPr>
          </w:pPr>
          <w:r>
            <w:fldChar w:fldCharType="begin"/>
          </w:r>
          <w:r>
            <w:instrText xml:space="preserve"> HYPERLINK \l "bookmark88" </w:instrText>
          </w:r>
          <w:r>
            <w:fldChar w:fldCharType="separate"/>
          </w:r>
          <w:r>
            <w:rPr>
              <w:rFonts w:ascii="宋体" w:hAnsi="宋体" w:eastAsia="宋体" w:cs="宋体"/>
              <w:spacing w:val="8"/>
              <w:position w:val="1"/>
              <w:sz w:val="20"/>
              <w:szCs w:val="20"/>
            </w:rPr>
            <w:t>第三节  有关问题说明</w:t>
          </w:r>
          <w:r>
            <w:rPr>
              <w:rFonts w:ascii="宋体" w:hAnsi="宋体" w:eastAsia="宋体" w:cs="宋体"/>
              <w:spacing w:val="-56"/>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"bookmark87" </w:instrText>
          </w:r>
          <w:r>
            <w:fldChar w:fldCharType="separate"/>
          </w:r>
          <w:r>
            <w:rPr>
              <w:rFonts w:ascii="宋体" w:hAnsi="宋体" w:eastAsia="宋体" w:cs="宋体"/>
              <w:spacing w:val="-52"/>
              <w:position w:val="1"/>
              <w:sz w:val="20"/>
              <w:szCs w:val="20"/>
            </w:rPr>
            <w:t xml:space="preserve"> </w:t>
          </w:r>
          <w:r>
            <w:rPr>
              <w:rFonts w:ascii="宋体" w:hAnsi="宋体" w:eastAsia="宋体" w:cs="宋体"/>
              <w:spacing w:val="2"/>
              <w:position w:val="1"/>
              <w:sz w:val="20"/>
              <w:szCs w:val="20"/>
            </w:rPr>
            <w:t>254</w:t>
          </w:r>
          <w:r>
            <w:rPr>
              <w:rFonts w:ascii="宋体" w:hAnsi="宋体" w:eastAsia="宋体" w:cs="宋体"/>
              <w:spacing w:val="2"/>
              <w:position w:val="1"/>
              <w:sz w:val="20"/>
              <w:szCs w:val="20"/>
            </w:rPr>
            <w:fldChar w:fldCharType="end"/>
          </w:r>
        </w:p>
        <w:p>
          <w:pPr>
            <w:spacing w:line="242" w:lineRule="auto"/>
            <w:rPr>
              <w:rFonts w:ascii="Arial"/>
              <w:sz w:val="21"/>
            </w:rPr>
          </w:pPr>
        </w:p>
        <w:p>
          <w:pPr>
            <w:spacing w:line="243" w:lineRule="auto"/>
            <w:rPr>
              <w:rFonts w:ascii="Arial"/>
              <w:sz w:val="21"/>
            </w:rPr>
          </w:pPr>
        </w:p>
        <w:p>
          <w:pPr>
            <w:pStyle w:val="2"/>
            <w:spacing w:before="120" w:line="282" w:lineRule="exact"/>
            <w:ind w:left="2489"/>
            <w:rPr>
              <w:sz w:val="28"/>
              <w:szCs w:val="28"/>
            </w:rPr>
          </w:pPr>
          <w:r>
            <w:fldChar w:fldCharType="begin"/>
          </w:r>
          <w:r>
            <w:instrText xml:space="preserve"> HYPERLINK \l "bookmark89" </w:instrText>
          </w:r>
          <w:r>
            <w:fldChar w:fldCharType="separate"/>
          </w:r>
          <w:r>
            <w:rPr>
              <w:spacing w:val="-1"/>
              <w:position w:val="-1"/>
              <w:sz w:val="28"/>
              <w:szCs w:val="28"/>
            </w:rPr>
            <w:t>第四部分</w:t>
          </w:r>
          <w:r>
            <w:rPr>
              <w:spacing w:val="13"/>
              <w:position w:val="-1"/>
              <w:sz w:val="28"/>
              <w:szCs w:val="28"/>
            </w:rPr>
            <w:t xml:space="preserve">   </w:t>
          </w:r>
          <w:r>
            <w:rPr>
              <w:spacing w:val="-1"/>
              <w:position w:val="-1"/>
              <w:sz w:val="28"/>
              <w:szCs w:val="28"/>
            </w:rPr>
            <w:t>工程总承包计价</w:t>
          </w:r>
          <w:r>
            <w:rPr>
              <w:spacing w:val="-1"/>
              <w:position w:val="-1"/>
              <w:sz w:val="28"/>
              <w:szCs w:val="28"/>
            </w:rPr>
            <w:fldChar w:fldCharType="end"/>
          </w:r>
        </w:p>
        <w:p>
          <w:pPr>
            <w:spacing w:line="252" w:lineRule="auto"/>
            <w:rPr>
              <w:rFonts w:ascii="Arial"/>
              <w:sz w:val="21"/>
            </w:rPr>
          </w:pPr>
        </w:p>
        <w:p>
          <w:pPr>
            <w:spacing w:line="252" w:lineRule="auto"/>
            <w:rPr>
              <w:rFonts w:ascii="Arial"/>
              <w:sz w:val="21"/>
            </w:rPr>
          </w:pPr>
        </w:p>
        <w:p>
          <w:pPr>
            <w:tabs>
              <w:tab w:val="right" w:leader="dot" w:pos="8699"/>
            </w:tabs>
            <w:spacing w:before="66" w:line="221" w:lineRule="auto"/>
            <w:ind w:left="54"/>
            <w:rPr>
              <w:rFonts w:ascii="宋体" w:hAnsi="宋体" w:eastAsia="宋体" w:cs="宋体"/>
              <w:sz w:val="20"/>
              <w:szCs w:val="20"/>
            </w:rPr>
          </w:pPr>
          <w:r>
            <w:fldChar w:fldCharType="begin"/>
          </w:r>
          <w:r>
            <w:instrText xml:space="preserve"> HYPERLINK \l "bookmark91" </w:instrText>
          </w:r>
          <w:r>
            <w:fldChar w:fldCharType="separate"/>
          </w:r>
          <w:r>
            <w:rPr>
              <w:rFonts w:ascii="宋体" w:hAnsi="宋体" w:eastAsia="宋体" w:cs="宋体"/>
              <w:spacing w:val="6"/>
              <w:sz w:val="20"/>
              <w:szCs w:val="20"/>
            </w:rPr>
            <w:t>第一章</w:t>
          </w:r>
          <w:r>
            <w:rPr>
              <w:rFonts w:ascii="宋体" w:hAnsi="宋体" w:eastAsia="宋体" w:cs="宋体"/>
              <w:spacing w:val="12"/>
              <w:sz w:val="20"/>
              <w:szCs w:val="20"/>
            </w:rPr>
            <w:t xml:space="preserve">  </w:t>
          </w:r>
          <w:r>
            <w:rPr>
              <w:rFonts w:ascii="宋体" w:hAnsi="宋体" w:eastAsia="宋体" w:cs="宋体"/>
              <w:spacing w:val="6"/>
              <w:sz w:val="20"/>
              <w:szCs w:val="20"/>
            </w:rPr>
            <w:t>总则</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"bookmark90" </w:instrText>
          </w:r>
          <w:r>
            <w:fldChar w:fldCharType="separate"/>
          </w:r>
          <w:r>
            <w:rPr>
              <w:rFonts w:ascii="宋体" w:hAnsi="宋体" w:eastAsia="宋体" w:cs="宋体"/>
              <w:spacing w:val="4"/>
              <w:sz w:val="20"/>
              <w:szCs w:val="20"/>
            </w:rPr>
            <w:t>255</w:t>
          </w:r>
          <w:r>
            <w:rPr>
              <w:rFonts w:ascii="宋体" w:hAnsi="宋体" w:eastAsia="宋体" w:cs="宋体"/>
              <w:spacing w:val="4"/>
              <w:sz w:val="20"/>
              <w:szCs w:val="20"/>
            </w:rPr>
            <w:fldChar w:fldCharType="end"/>
          </w:r>
        </w:p>
        <w:p>
          <w:pPr>
            <w:tabs>
              <w:tab w:val="right" w:leader="dot" w:pos="8699"/>
            </w:tabs>
            <w:spacing w:before="195" w:line="221" w:lineRule="auto"/>
            <w:ind w:left="54"/>
            <w:rPr>
              <w:rFonts w:ascii="宋体" w:hAnsi="宋体" w:eastAsia="宋体" w:cs="宋体"/>
              <w:sz w:val="20"/>
              <w:szCs w:val="20"/>
            </w:rPr>
          </w:pPr>
          <w:r>
            <w:fldChar w:fldCharType="begin"/>
          </w:r>
          <w:r>
            <w:instrText xml:space="preserve"> HYPERLINK \l "bookmark93" </w:instrText>
          </w:r>
          <w:r>
            <w:fldChar w:fldCharType="separate"/>
          </w:r>
          <w:r>
            <w:rPr>
              <w:rFonts w:ascii="宋体" w:hAnsi="宋体" w:eastAsia="宋体" w:cs="宋体"/>
              <w:spacing w:val="8"/>
              <w:sz w:val="20"/>
              <w:szCs w:val="20"/>
            </w:rPr>
            <w:t>第二章  基本规定</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"bookmark92" </w:instrText>
          </w:r>
          <w:r>
            <w:fldChar w:fldCharType="separate"/>
          </w:r>
          <w:r>
            <w:rPr>
              <w:rFonts w:ascii="宋体" w:hAnsi="宋体" w:eastAsia="宋体" w:cs="宋体"/>
              <w:spacing w:val="-62"/>
              <w:sz w:val="20"/>
              <w:szCs w:val="20"/>
            </w:rPr>
            <w:t xml:space="preserve"> </w:t>
          </w:r>
          <w:r>
            <w:rPr>
              <w:rFonts w:ascii="宋体" w:hAnsi="宋体" w:eastAsia="宋体" w:cs="宋体"/>
              <w:spacing w:val="1"/>
              <w:sz w:val="20"/>
              <w:szCs w:val="20"/>
            </w:rPr>
            <w:t>255</w:t>
          </w:r>
          <w:r>
            <w:rPr>
              <w:rFonts w:ascii="宋体" w:hAnsi="宋体" w:eastAsia="宋体" w:cs="宋体"/>
              <w:spacing w:val="1"/>
              <w:sz w:val="20"/>
              <w:szCs w:val="20"/>
            </w:rPr>
            <w:fldChar w:fldCharType="end"/>
          </w:r>
        </w:p>
        <w:p>
          <w:pPr>
            <w:tabs>
              <w:tab w:val="right" w:leader="dot" w:pos="8699"/>
            </w:tabs>
            <w:spacing w:before="197" w:line="221" w:lineRule="auto"/>
            <w:ind w:left="54"/>
            <w:rPr>
              <w:rFonts w:ascii="宋体" w:hAnsi="宋体" w:eastAsia="宋体" w:cs="宋体"/>
              <w:sz w:val="20"/>
              <w:szCs w:val="20"/>
            </w:rPr>
          </w:pPr>
          <w:r>
            <w:fldChar w:fldCharType="begin"/>
          </w:r>
          <w:r>
            <w:instrText xml:space="preserve"> HYPERLINK \l "bookmark95" </w:instrText>
          </w:r>
          <w:r>
            <w:fldChar w:fldCharType="separate"/>
          </w:r>
          <w:r>
            <w:rPr>
              <w:rFonts w:ascii="宋体" w:hAnsi="宋体" w:eastAsia="宋体" w:cs="宋体"/>
              <w:spacing w:val="9"/>
              <w:sz w:val="20"/>
              <w:szCs w:val="20"/>
            </w:rPr>
            <w:t>第三章  工程总承包项目清单编制</w:t>
          </w:r>
          <w:r>
            <w:rPr>
              <w:rFonts w:ascii="宋体" w:hAnsi="宋体" w:eastAsia="宋体" w:cs="宋体"/>
              <w:spacing w:val="-60"/>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"bookmark94" </w:instrText>
          </w:r>
          <w:r>
            <w:fldChar w:fldCharType="separate"/>
          </w:r>
          <w:r>
            <w:rPr>
              <w:rFonts w:ascii="宋体" w:hAnsi="宋体" w:eastAsia="宋体" w:cs="宋体"/>
              <w:spacing w:val="7"/>
              <w:sz w:val="20"/>
              <w:szCs w:val="20"/>
            </w:rPr>
            <w:t>257</w:t>
          </w:r>
          <w:r>
            <w:rPr>
              <w:rFonts w:ascii="宋体" w:hAnsi="宋体" w:eastAsia="宋体" w:cs="宋体"/>
              <w:spacing w:val="7"/>
              <w:sz w:val="20"/>
              <w:szCs w:val="20"/>
            </w:rPr>
            <w:fldChar w:fldCharType="end"/>
          </w:r>
        </w:p>
        <w:p>
          <w:pPr>
            <w:tabs>
              <w:tab w:val="right" w:leader="dot" w:pos="8699"/>
            </w:tabs>
            <w:spacing w:before="194" w:line="277" w:lineRule="exact"/>
            <w:ind w:left="54"/>
            <w:rPr>
              <w:rFonts w:ascii="宋体" w:hAnsi="宋体" w:eastAsia="宋体" w:cs="宋体"/>
              <w:sz w:val="20"/>
              <w:szCs w:val="20"/>
            </w:rPr>
          </w:pPr>
          <w:r>
            <w:fldChar w:fldCharType="begin"/>
          </w:r>
          <w:r>
            <w:instrText xml:space="preserve"> HYPERLINK \l "bookmark97" </w:instrText>
          </w:r>
          <w:r>
            <w:fldChar w:fldCharType="separate"/>
          </w:r>
          <w:r>
            <w:rPr>
              <w:rFonts w:ascii="宋体" w:hAnsi="宋体" w:eastAsia="宋体" w:cs="宋体"/>
              <w:spacing w:val="9"/>
              <w:position w:val="1"/>
              <w:sz w:val="20"/>
              <w:szCs w:val="20"/>
            </w:rPr>
            <w:t>第四章  标底或最高投标限价编制</w:t>
          </w:r>
          <w:r>
            <w:rPr>
              <w:rFonts w:ascii="宋体" w:hAnsi="宋体" w:eastAsia="宋体" w:cs="宋体"/>
              <w:spacing w:val="-60"/>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"bookmark96" </w:instrText>
          </w:r>
          <w:r>
            <w:fldChar w:fldCharType="separate"/>
          </w:r>
          <w:r>
            <w:rPr>
              <w:rFonts w:ascii="宋体" w:hAnsi="宋体" w:eastAsia="宋体" w:cs="宋体"/>
              <w:spacing w:val="7"/>
              <w:position w:val="1"/>
              <w:sz w:val="20"/>
              <w:szCs w:val="20"/>
            </w:rPr>
            <w:t>259</w:t>
          </w:r>
          <w:r>
            <w:rPr>
              <w:rFonts w:ascii="宋体" w:hAnsi="宋体" w:eastAsia="宋体" w:cs="宋体"/>
              <w:spacing w:val="7"/>
              <w:position w:val="1"/>
              <w:sz w:val="20"/>
              <w:szCs w:val="20"/>
            </w:rPr>
            <w:fldChar w:fldCharType="end"/>
          </w:r>
        </w:p>
      </w:sdtContent>
    </w:sdt>
    <w:p>
      <w:pPr>
        <w:spacing w:line="277" w:lineRule="exact"/>
        <w:rPr>
          <w:rFonts w:ascii="宋体" w:hAnsi="宋体" w:eastAsia="宋体" w:cs="宋体"/>
          <w:sz w:val="20"/>
          <w:szCs w:val="20"/>
        </w:rPr>
        <w:sectPr>
          <w:pgSz w:w="11907" w:h="16840"/>
          <w:pgMar w:top="1431" w:right="1418" w:bottom="400" w:left="1786" w:header="0" w:footer="0" w:gutter="0"/>
        </w:sectPr>
      </w:pPr>
    </w:p>
    <w:sdt>
      <w:sdtPr>
        <w:rPr>
          <w:rFonts w:ascii="宋体" w:hAnsi="宋体" w:eastAsia="宋体" w:cs="宋体"/>
          <w:sz w:val="20"/>
          <w:szCs w:val="20"/>
        </w:rPr>
        <w:id w:val="0"/>
        <w:docPartObj>
          <w:docPartGallery w:val="Table of Contents"/>
          <w:docPartUnique/>
        </w:docPartObj>
      </w:sdtPr>
      <w:sdtEndPr>
        <w:rPr>
          <w:rFonts w:ascii="宋体" w:hAnsi="宋体" w:eastAsia="宋体" w:cs="宋体"/>
          <w:sz w:val="20"/>
          <w:szCs w:val="20"/>
        </w:rPr>
      </w:sdtEndPr>
      <w:sdtContent>
        <w:p>
          <w:pPr>
            <w:tabs>
              <w:tab w:val="right" w:leader="dot" w:pos="9064"/>
            </w:tabs>
            <w:spacing w:before="84" w:line="221" w:lineRule="auto"/>
            <w:ind w:left="419"/>
            <w:rPr>
              <w:rFonts w:ascii="宋体" w:hAnsi="宋体" w:eastAsia="宋体" w:cs="宋体"/>
              <w:sz w:val="20"/>
              <w:szCs w:val="20"/>
            </w:rPr>
          </w:pPr>
          <w:r>
            <w:fldChar w:fldCharType="begin"/>
          </w:r>
          <w:r>
            <w:instrText xml:space="preserve"> HYPERLINK \l "bookmark99" </w:instrText>
          </w:r>
          <w:r>
            <w:fldChar w:fldCharType="separate"/>
          </w:r>
          <w:r>
            <w:rPr>
              <w:rFonts w:ascii="宋体" w:hAnsi="宋体" w:eastAsia="宋体" w:cs="宋体"/>
              <w:spacing w:val="8"/>
              <w:sz w:val="20"/>
              <w:szCs w:val="20"/>
            </w:rPr>
            <w:t>第五章  投标报价编制</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"bookmark98" </w:instrText>
          </w:r>
          <w:r>
            <w:fldChar w:fldCharType="separate"/>
          </w:r>
          <w:r>
            <w:rPr>
              <w:rFonts w:ascii="宋体" w:hAnsi="宋体" w:eastAsia="宋体" w:cs="宋体"/>
              <w:spacing w:val="7"/>
              <w:sz w:val="20"/>
              <w:szCs w:val="20"/>
            </w:rPr>
            <w:t>259</w:t>
          </w:r>
          <w:r>
            <w:rPr>
              <w:rFonts w:ascii="宋体" w:hAnsi="宋体" w:eastAsia="宋体" w:cs="宋体"/>
              <w:spacing w:val="7"/>
              <w:sz w:val="20"/>
              <w:szCs w:val="20"/>
            </w:rPr>
            <w:fldChar w:fldCharType="end"/>
          </w:r>
        </w:p>
        <w:p>
          <w:pPr>
            <w:tabs>
              <w:tab w:val="right" w:leader="dot" w:pos="9064"/>
            </w:tabs>
            <w:spacing w:before="194" w:line="221" w:lineRule="auto"/>
            <w:ind w:left="419"/>
            <w:rPr>
              <w:rFonts w:ascii="宋体" w:hAnsi="宋体" w:eastAsia="宋体" w:cs="宋体"/>
              <w:sz w:val="20"/>
              <w:szCs w:val="20"/>
            </w:rPr>
          </w:pPr>
          <w:r>
            <w:fldChar w:fldCharType="begin"/>
          </w:r>
          <w:r>
            <w:instrText xml:space="preserve"> HYPERLINK \l "bookmark101" </w:instrText>
          </w:r>
          <w:r>
            <w:fldChar w:fldCharType="separate"/>
          </w:r>
          <w:r>
            <w:rPr>
              <w:rFonts w:ascii="宋体" w:hAnsi="宋体" w:eastAsia="宋体" w:cs="宋体"/>
              <w:spacing w:val="8"/>
              <w:sz w:val="20"/>
              <w:szCs w:val="20"/>
            </w:rPr>
            <w:t>第六章  合同价款约定</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"bookmark100" </w:instrText>
          </w:r>
          <w:r>
            <w:fldChar w:fldCharType="separate"/>
          </w:r>
          <w:r>
            <w:rPr>
              <w:rFonts w:ascii="宋体" w:hAnsi="宋体" w:eastAsia="宋体" w:cs="宋体"/>
              <w:spacing w:val="7"/>
              <w:sz w:val="20"/>
              <w:szCs w:val="20"/>
            </w:rPr>
            <w:t>259</w:t>
          </w:r>
          <w:r>
            <w:rPr>
              <w:rFonts w:ascii="宋体" w:hAnsi="宋体" w:eastAsia="宋体" w:cs="宋体"/>
              <w:spacing w:val="7"/>
              <w:sz w:val="20"/>
              <w:szCs w:val="20"/>
            </w:rPr>
            <w:fldChar w:fldCharType="end"/>
          </w:r>
        </w:p>
        <w:p>
          <w:pPr>
            <w:tabs>
              <w:tab w:val="right" w:leader="dot" w:pos="9064"/>
            </w:tabs>
            <w:spacing w:before="197" w:line="221" w:lineRule="auto"/>
            <w:ind w:left="419"/>
            <w:rPr>
              <w:rFonts w:ascii="宋体" w:hAnsi="宋体" w:eastAsia="宋体" w:cs="宋体"/>
              <w:sz w:val="20"/>
              <w:szCs w:val="20"/>
            </w:rPr>
          </w:pPr>
          <w:r>
            <w:fldChar w:fldCharType="begin"/>
          </w:r>
          <w:r>
            <w:instrText xml:space="preserve"> HYPERLINK \l "bookmark103" </w:instrText>
          </w:r>
          <w:r>
            <w:fldChar w:fldCharType="separate"/>
          </w:r>
          <w:r>
            <w:rPr>
              <w:rFonts w:ascii="宋体" w:hAnsi="宋体" w:eastAsia="宋体" w:cs="宋体"/>
              <w:spacing w:val="8"/>
              <w:sz w:val="20"/>
              <w:szCs w:val="20"/>
            </w:rPr>
            <w:t>第七章  合同价款调整</w:t>
          </w:r>
          <w:r>
            <w:rPr>
              <w:rFonts w:ascii="宋体" w:hAnsi="宋体" w:eastAsia="宋体" w:cs="宋体"/>
              <w:spacing w:val="-56"/>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"bookmark102" </w:instrText>
          </w:r>
          <w:r>
            <w:fldChar w:fldCharType="separate"/>
          </w:r>
          <w:r>
            <w:rPr>
              <w:rFonts w:ascii="宋体" w:hAnsi="宋体" w:eastAsia="宋体" w:cs="宋体"/>
              <w:spacing w:val="7"/>
              <w:sz w:val="20"/>
              <w:szCs w:val="20"/>
            </w:rPr>
            <w:t>260</w:t>
          </w:r>
          <w:r>
            <w:rPr>
              <w:rFonts w:ascii="宋体" w:hAnsi="宋体" w:eastAsia="宋体" w:cs="宋体"/>
              <w:spacing w:val="7"/>
              <w:sz w:val="20"/>
              <w:szCs w:val="20"/>
            </w:rPr>
            <w:fldChar w:fldCharType="end"/>
          </w:r>
        </w:p>
        <w:p>
          <w:pPr>
            <w:tabs>
              <w:tab w:val="right" w:leader="dot" w:pos="9064"/>
            </w:tabs>
            <w:spacing w:before="194" w:line="221" w:lineRule="auto"/>
            <w:ind w:left="419"/>
            <w:rPr>
              <w:rFonts w:ascii="宋体" w:hAnsi="宋体" w:eastAsia="宋体" w:cs="宋体"/>
              <w:sz w:val="20"/>
              <w:szCs w:val="20"/>
            </w:rPr>
          </w:pPr>
          <w:r>
            <w:fldChar w:fldCharType="begin"/>
          </w:r>
          <w:r>
            <w:instrText xml:space="preserve"> HYPERLINK \l "bookmark105" </w:instrText>
          </w:r>
          <w:r>
            <w:fldChar w:fldCharType="separate"/>
          </w:r>
          <w:r>
            <w:rPr>
              <w:rFonts w:ascii="宋体" w:hAnsi="宋体" w:eastAsia="宋体" w:cs="宋体"/>
              <w:spacing w:val="8"/>
              <w:sz w:val="20"/>
              <w:szCs w:val="20"/>
            </w:rPr>
            <w:t>第八章  工程结算与支付</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"bookmark104" </w:instrText>
          </w:r>
          <w:r>
            <w:fldChar w:fldCharType="separate"/>
          </w:r>
          <w:r>
            <w:rPr>
              <w:rFonts w:ascii="宋体" w:hAnsi="宋体" w:eastAsia="宋体" w:cs="宋体"/>
              <w:spacing w:val="3"/>
              <w:sz w:val="20"/>
              <w:szCs w:val="20"/>
            </w:rPr>
            <w:t>262</w:t>
          </w:r>
          <w:r>
            <w:rPr>
              <w:rFonts w:ascii="宋体" w:hAnsi="宋体" w:eastAsia="宋体" w:cs="宋体"/>
              <w:spacing w:val="3"/>
              <w:sz w:val="20"/>
              <w:szCs w:val="20"/>
            </w:rPr>
            <w:fldChar w:fldCharType="end"/>
          </w:r>
        </w:p>
        <w:p>
          <w:pPr>
            <w:tabs>
              <w:tab w:val="right" w:leader="dot" w:pos="9064"/>
            </w:tabs>
            <w:spacing w:before="195" w:line="221" w:lineRule="auto"/>
            <w:ind w:left="419"/>
            <w:rPr>
              <w:rFonts w:ascii="宋体" w:hAnsi="宋体" w:eastAsia="宋体" w:cs="宋体"/>
              <w:sz w:val="20"/>
              <w:szCs w:val="20"/>
            </w:rPr>
          </w:pPr>
          <w:r>
            <w:fldChar w:fldCharType="begin"/>
          </w:r>
          <w:r>
            <w:instrText xml:space="preserve"> HYPERLINK \l "bookmark107" </w:instrText>
          </w:r>
          <w:r>
            <w:fldChar w:fldCharType="separate"/>
          </w:r>
          <w:r>
            <w:rPr>
              <w:rFonts w:ascii="宋体" w:hAnsi="宋体" w:eastAsia="宋体" w:cs="宋体"/>
              <w:spacing w:val="10"/>
              <w:sz w:val="20"/>
              <w:szCs w:val="20"/>
            </w:rPr>
            <w:t>第九章  房屋建筑项目工程总承包项目清单及</w:t>
          </w:r>
          <w:r>
            <w:rPr>
              <w:rFonts w:ascii="宋体" w:hAnsi="宋体" w:eastAsia="宋体" w:cs="宋体"/>
              <w:spacing w:val="9"/>
              <w:sz w:val="20"/>
              <w:szCs w:val="20"/>
            </w:rPr>
            <w:t>计算规则（土建部分）有关问题说明</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"bookmark106" </w:instrText>
          </w:r>
          <w:r>
            <w:fldChar w:fldCharType="separate"/>
          </w:r>
          <w:r>
            <w:rPr>
              <w:rFonts w:ascii="宋体" w:hAnsi="宋体" w:eastAsia="宋体" w:cs="宋体"/>
              <w:spacing w:val="4"/>
              <w:sz w:val="20"/>
              <w:szCs w:val="20"/>
            </w:rPr>
            <w:t>263</w:t>
          </w:r>
          <w:r>
            <w:rPr>
              <w:rFonts w:ascii="宋体" w:hAnsi="宋体" w:eastAsia="宋体" w:cs="宋体"/>
              <w:spacing w:val="4"/>
              <w:sz w:val="20"/>
              <w:szCs w:val="20"/>
            </w:rPr>
            <w:fldChar w:fldCharType="end"/>
          </w:r>
        </w:p>
        <w:p>
          <w:pPr>
            <w:tabs>
              <w:tab w:val="right" w:leader="dot" w:pos="9064"/>
            </w:tabs>
            <w:spacing w:before="195" w:line="221" w:lineRule="auto"/>
            <w:ind w:left="419"/>
            <w:rPr>
              <w:rFonts w:ascii="宋体" w:hAnsi="宋体" w:eastAsia="宋体" w:cs="宋体"/>
              <w:sz w:val="20"/>
              <w:szCs w:val="20"/>
            </w:rPr>
          </w:pPr>
          <w:r>
            <w:fldChar w:fldCharType="begin"/>
          </w:r>
          <w:r>
            <w:instrText xml:space="preserve"> HYPERLINK \l "bookmark109" </w:instrText>
          </w:r>
          <w:r>
            <w:fldChar w:fldCharType="separate"/>
          </w:r>
          <w:r>
            <w:rPr>
              <w:rFonts w:ascii="宋体" w:hAnsi="宋体" w:eastAsia="宋体" w:cs="宋体"/>
              <w:spacing w:val="10"/>
              <w:sz w:val="20"/>
              <w:szCs w:val="20"/>
            </w:rPr>
            <w:t>第十章  房屋建筑项目工程总承包项目清单及</w:t>
          </w:r>
          <w:r>
            <w:rPr>
              <w:rFonts w:ascii="宋体" w:hAnsi="宋体" w:eastAsia="宋体" w:cs="宋体"/>
              <w:spacing w:val="9"/>
              <w:sz w:val="20"/>
              <w:szCs w:val="20"/>
            </w:rPr>
            <w:t>计算规则（安装部分）有关问题说明</w:t>
          </w:r>
          <w:r>
            <w:rPr>
              <w:rFonts w:ascii="宋体" w:hAnsi="宋体" w:eastAsia="宋体" w:cs="宋体"/>
              <w:spacing w:val="-62"/>
              <w:sz w:val="20"/>
              <w:szCs w:val="20"/>
            </w:rPr>
            <w:t xml:space="preserve"> </w:t>
          </w:r>
          <w:r>
            <w:rPr>
              <w:rFonts w:ascii="宋体" w:hAnsi="宋体" w:eastAsia="宋体" w:cs="宋体"/>
              <w:sz w:val="20"/>
              <w:szCs w:val="20"/>
            </w:rPr>
            <w:tab/>
          </w:r>
          <w:r>
            <w:rPr>
              <w:rFonts w:ascii="宋体" w:hAnsi="宋体" w:eastAsia="宋体" w:cs="宋体"/>
              <w:sz w:val="20"/>
              <w:szCs w:val="20"/>
            </w:rPr>
            <w:fldChar w:fldCharType="end"/>
          </w:r>
          <w:r>
            <w:fldChar w:fldCharType="begin"/>
          </w:r>
          <w:r>
            <w:instrText xml:space="preserve"> HYPERLINK \l "bookmark108" </w:instrText>
          </w:r>
          <w:r>
            <w:fldChar w:fldCharType="separate"/>
          </w:r>
          <w:r>
            <w:rPr>
              <w:rFonts w:ascii="宋体" w:hAnsi="宋体" w:eastAsia="宋体" w:cs="宋体"/>
              <w:spacing w:val="4"/>
              <w:sz w:val="20"/>
              <w:szCs w:val="20"/>
            </w:rPr>
            <w:t>264</w:t>
          </w:r>
          <w:r>
            <w:rPr>
              <w:rFonts w:ascii="宋体" w:hAnsi="宋体" w:eastAsia="宋体" w:cs="宋体"/>
              <w:spacing w:val="4"/>
              <w:sz w:val="20"/>
              <w:szCs w:val="20"/>
            </w:rPr>
            <w:fldChar w:fldCharType="end"/>
          </w:r>
        </w:p>
        <w:p>
          <w:pPr>
            <w:tabs>
              <w:tab w:val="right" w:leader="dot" w:pos="9064"/>
            </w:tabs>
            <w:spacing w:before="197" w:line="277" w:lineRule="exact"/>
            <w:ind w:left="419"/>
            <w:rPr>
              <w:rFonts w:ascii="宋体" w:hAnsi="宋体" w:eastAsia="宋体" w:cs="宋体"/>
              <w:sz w:val="20"/>
              <w:szCs w:val="20"/>
            </w:rPr>
          </w:pPr>
          <w:r>
            <w:fldChar w:fldCharType="begin"/>
          </w:r>
          <w:r>
            <w:instrText xml:space="preserve"> HYPERLINK \l "bookmark111" </w:instrText>
          </w:r>
          <w:r>
            <w:fldChar w:fldCharType="separate"/>
          </w:r>
          <w:r>
            <w:rPr>
              <w:rFonts w:ascii="宋体" w:hAnsi="宋体" w:eastAsia="宋体" w:cs="宋体"/>
              <w:spacing w:val="10"/>
              <w:position w:val="1"/>
              <w:sz w:val="20"/>
              <w:szCs w:val="20"/>
            </w:rPr>
            <w:t>第十一章  市政基础设施项目工程总承包项目清</w:t>
          </w:r>
          <w:r>
            <w:rPr>
              <w:rFonts w:ascii="宋体" w:hAnsi="宋体" w:eastAsia="宋体" w:cs="宋体"/>
              <w:spacing w:val="9"/>
              <w:position w:val="1"/>
              <w:sz w:val="20"/>
              <w:szCs w:val="20"/>
            </w:rPr>
            <w:t>单及计算规则（市政部分）有关问题说明</w:t>
          </w:r>
          <w:r>
            <w:rPr>
              <w:rFonts w:ascii="宋体" w:hAnsi="宋体" w:eastAsia="宋体" w:cs="宋体"/>
              <w:spacing w:val="-58"/>
              <w:position w:val="1"/>
              <w:sz w:val="20"/>
              <w:szCs w:val="20"/>
            </w:rPr>
            <w:t xml:space="preserve"> </w:t>
          </w:r>
          <w:r>
            <w:rPr>
              <w:rFonts w:ascii="宋体" w:hAnsi="宋体" w:eastAsia="宋体" w:cs="宋体"/>
              <w:position w:val="1"/>
              <w:sz w:val="20"/>
              <w:szCs w:val="20"/>
            </w:rPr>
            <w:tab/>
          </w:r>
          <w:r>
            <w:rPr>
              <w:rFonts w:ascii="宋体" w:hAnsi="宋体" w:eastAsia="宋体" w:cs="宋体"/>
              <w:position w:val="1"/>
              <w:sz w:val="20"/>
              <w:szCs w:val="20"/>
            </w:rPr>
            <w:fldChar w:fldCharType="end"/>
          </w:r>
          <w:r>
            <w:fldChar w:fldCharType="begin"/>
          </w:r>
          <w:r>
            <w:instrText xml:space="preserve"> HYPERLINK \l "bookmark110" </w:instrText>
          </w:r>
          <w:r>
            <w:fldChar w:fldCharType="separate"/>
          </w:r>
          <w:r>
            <w:rPr>
              <w:rFonts w:ascii="宋体" w:hAnsi="宋体" w:eastAsia="宋体" w:cs="宋体"/>
              <w:spacing w:val="10"/>
              <w:position w:val="1"/>
              <w:sz w:val="20"/>
              <w:szCs w:val="20"/>
            </w:rPr>
            <w:t>265</w:t>
          </w:r>
          <w:r>
            <w:rPr>
              <w:rFonts w:ascii="宋体" w:hAnsi="宋体" w:eastAsia="宋体" w:cs="宋体"/>
              <w:spacing w:val="10"/>
              <w:position w:val="1"/>
              <w:sz w:val="20"/>
              <w:szCs w:val="20"/>
            </w:rPr>
            <w:fldChar w:fldCharType="end"/>
          </w:r>
        </w:p>
        <w:p>
          <w:pPr>
            <w:spacing w:line="243" w:lineRule="auto"/>
            <w:rPr>
              <w:rFonts w:ascii="Arial"/>
              <w:sz w:val="21"/>
            </w:rPr>
          </w:pPr>
        </w:p>
        <w:p>
          <w:pPr>
            <w:spacing w:line="243" w:lineRule="auto"/>
            <w:rPr>
              <w:rFonts w:ascii="Arial"/>
              <w:sz w:val="21"/>
            </w:rPr>
          </w:pPr>
        </w:p>
        <w:p>
          <w:pPr>
            <w:pStyle w:val="2"/>
            <w:spacing w:before="120" w:line="289" w:lineRule="exact"/>
            <w:ind w:left="3273"/>
            <w:rPr>
              <w:sz w:val="28"/>
              <w:szCs w:val="28"/>
            </w:rPr>
          </w:pPr>
          <w:r>
            <w:fldChar w:fldCharType="begin"/>
          </w:r>
          <w:r>
            <w:instrText xml:space="preserve"> HYPERLINK \l "bookmark112" </w:instrText>
          </w:r>
          <w:r>
            <w:fldChar w:fldCharType="separate"/>
          </w:r>
          <w:r>
            <w:rPr>
              <w:spacing w:val="-1"/>
              <w:sz w:val="28"/>
              <w:szCs w:val="28"/>
            </w:rPr>
            <w:t>第五部分</w:t>
          </w:r>
          <w:r>
            <w:rPr>
              <w:spacing w:val="12"/>
              <w:sz w:val="28"/>
              <w:szCs w:val="28"/>
            </w:rPr>
            <w:t xml:space="preserve">   </w:t>
          </w:r>
          <w:r>
            <w:rPr>
              <w:spacing w:val="-1"/>
              <w:sz w:val="28"/>
              <w:szCs w:val="28"/>
            </w:rPr>
            <w:t>有关文件</w:t>
          </w:r>
          <w:r>
            <w:rPr>
              <w:spacing w:val="-1"/>
              <w:sz w:val="28"/>
              <w:szCs w:val="28"/>
            </w:rPr>
            <w:fldChar w:fldCharType="end"/>
          </w:r>
        </w:p>
        <w:p>
          <w:pPr>
            <w:spacing w:line="241" w:lineRule="auto"/>
            <w:rPr>
              <w:rFonts w:ascii="Arial"/>
              <w:sz w:val="21"/>
            </w:rPr>
          </w:pPr>
        </w:p>
        <w:p>
          <w:pPr>
            <w:spacing w:line="241" w:lineRule="auto"/>
            <w:rPr>
              <w:rFonts w:ascii="Arial"/>
              <w:sz w:val="21"/>
            </w:rPr>
          </w:pPr>
        </w:p>
        <w:p>
          <w:pPr>
            <w:spacing w:before="65" w:line="277" w:lineRule="exact"/>
            <w:rPr>
              <w:rFonts w:ascii="宋体" w:hAnsi="宋体" w:eastAsia="宋体" w:cs="宋体"/>
              <w:sz w:val="20"/>
              <w:szCs w:val="20"/>
            </w:rPr>
          </w:pPr>
          <w:r>
            <w:fldChar w:fldCharType="begin"/>
          </w:r>
          <w:r>
            <w:instrText xml:space="preserve"> HYPERLINK \l "bookmark113" </w:instrText>
          </w:r>
          <w:r>
            <w:fldChar w:fldCharType="separate"/>
          </w:r>
          <w:r>
            <w:rPr>
              <w:rFonts w:ascii="宋体" w:hAnsi="宋体" w:eastAsia="宋体" w:cs="宋体"/>
              <w:spacing w:val="10"/>
              <w:position w:val="1"/>
              <w:sz w:val="20"/>
              <w:szCs w:val="20"/>
            </w:rPr>
            <w:t>住房城乡建设部关于发布国家标准《房屋建筑与装饰工程工程量计</w:t>
          </w:r>
          <w:r>
            <w:rPr>
              <w:rFonts w:ascii="宋体" w:hAnsi="宋体" w:eastAsia="宋体" w:cs="宋体"/>
              <w:spacing w:val="9"/>
              <w:position w:val="1"/>
              <w:sz w:val="20"/>
              <w:szCs w:val="20"/>
            </w:rPr>
            <w:t>算标准》的公告</w:t>
          </w:r>
          <w:r>
            <w:rPr>
              <w:rFonts w:ascii="宋体" w:hAnsi="宋体" w:eastAsia="宋体" w:cs="宋体"/>
              <w:spacing w:val="9"/>
              <w:position w:val="1"/>
              <w:sz w:val="20"/>
              <w:szCs w:val="20"/>
            </w:rPr>
            <w:fldChar w:fldCharType="end"/>
          </w:r>
        </w:p>
        <w:p>
          <w:pPr>
            <w:tabs>
              <w:tab w:val="right" w:leader="dot" w:pos="9064"/>
            </w:tabs>
            <w:spacing w:before="124" w:line="275" w:lineRule="exact"/>
            <w:ind w:left="451"/>
            <w:rPr>
              <w:rFonts w:ascii="宋体" w:hAnsi="宋体" w:eastAsia="宋体" w:cs="宋体"/>
              <w:sz w:val="20"/>
              <w:szCs w:val="20"/>
            </w:rPr>
          </w:pPr>
          <w:r>
            <w:fldChar w:fldCharType="begin"/>
          </w:r>
          <w:r>
            <w:instrText xml:space="preserve"> HYPERLINK \l "bookmark113" </w:instrText>
          </w:r>
          <w:r>
            <w:fldChar w:fldCharType="separate"/>
          </w:r>
          <w:r>
            <w:rPr>
              <w:rFonts w:ascii="楷体" w:hAnsi="楷体" w:eastAsia="楷体" w:cs="楷体"/>
              <w:spacing w:val="5"/>
              <w:position w:val="1"/>
              <w:sz w:val="20"/>
              <w:szCs w:val="20"/>
            </w:rPr>
            <w:t>中华人民共和国住房和城乡建设部公告</w:t>
          </w:r>
          <w:r>
            <w:rPr>
              <w:rFonts w:ascii="楷体" w:hAnsi="楷体" w:eastAsia="楷体" w:cs="楷体"/>
              <w:spacing w:val="-31"/>
              <w:position w:val="1"/>
              <w:sz w:val="20"/>
              <w:szCs w:val="20"/>
            </w:rPr>
            <w:t xml:space="preserve"> </w:t>
          </w:r>
          <w:r>
            <w:rPr>
              <w:rFonts w:ascii="楷体" w:hAnsi="楷体" w:eastAsia="楷体" w:cs="楷体"/>
              <w:spacing w:val="5"/>
              <w:position w:val="1"/>
              <w:sz w:val="20"/>
              <w:szCs w:val="20"/>
            </w:rPr>
            <w:t>2024</w:t>
          </w:r>
          <w:r>
            <w:rPr>
              <w:rFonts w:ascii="楷体" w:hAnsi="楷体" w:eastAsia="楷体" w:cs="楷体"/>
              <w:spacing w:val="-41"/>
              <w:position w:val="1"/>
              <w:sz w:val="20"/>
              <w:szCs w:val="20"/>
            </w:rPr>
            <w:t xml:space="preserve"> </w:t>
          </w:r>
          <w:r>
            <w:rPr>
              <w:rFonts w:ascii="楷体" w:hAnsi="楷体" w:eastAsia="楷体" w:cs="楷体"/>
              <w:spacing w:val="5"/>
              <w:position w:val="1"/>
              <w:sz w:val="20"/>
              <w:szCs w:val="20"/>
            </w:rPr>
            <w:t>年第</w:t>
          </w:r>
          <w:r>
            <w:rPr>
              <w:rFonts w:ascii="楷体" w:hAnsi="楷体" w:eastAsia="楷体" w:cs="楷体"/>
              <w:spacing w:val="-27"/>
              <w:position w:val="1"/>
              <w:sz w:val="20"/>
              <w:szCs w:val="20"/>
            </w:rPr>
            <w:t xml:space="preserve"> </w:t>
          </w:r>
          <w:r>
            <w:rPr>
              <w:rFonts w:ascii="楷体" w:hAnsi="楷体" w:eastAsia="楷体" w:cs="楷体"/>
              <w:spacing w:val="5"/>
              <w:position w:val="1"/>
              <w:sz w:val="20"/>
              <w:szCs w:val="20"/>
            </w:rPr>
            <w:t>191</w:t>
          </w:r>
          <w:r>
            <w:rPr>
              <w:rFonts w:ascii="楷体" w:hAnsi="楷体" w:eastAsia="楷体" w:cs="楷体"/>
              <w:spacing w:val="-34"/>
              <w:position w:val="1"/>
              <w:sz w:val="20"/>
              <w:szCs w:val="20"/>
            </w:rPr>
            <w:t xml:space="preserve"> </w:t>
          </w:r>
          <w:r>
            <w:rPr>
              <w:rFonts w:ascii="楷体" w:hAnsi="楷体" w:eastAsia="楷体" w:cs="楷体"/>
              <w:spacing w:val="5"/>
              <w:position w:val="1"/>
              <w:sz w:val="20"/>
              <w:szCs w:val="20"/>
            </w:rPr>
            <w:t>号</w:t>
          </w:r>
          <w:r>
            <w:rPr>
              <w:rFonts w:ascii="楷体" w:hAnsi="楷体" w:eastAsia="楷体" w:cs="楷体"/>
              <w:spacing w:val="-86"/>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268</w:t>
          </w:r>
          <w:r>
            <w:rPr>
              <w:rFonts w:ascii="宋体" w:hAnsi="宋体" w:eastAsia="宋体" w:cs="宋体"/>
              <w:spacing w:val="4"/>
              <w:position w:val="1"/>
              <w:sz w:val="20"/>
              <w:szCs w:val="20"/>
            </w:rPr>
            <w:fldChar w:fldCharType="end"/>
          </w:r>
        </w:p>
        <w:p>
          <w:pPr>
            <w:spacing w:before="126" w:line="276" w:lineRule="exact"/>
            <w:rPr>
              <w:rFonts w:ascii="宋体" w:hAnsi="宋体" w:eastAsia="宋体" w:cs="宋体"/>
              <w:sz w:val="20"/>
              <w:szCs w:val="20"/>
            </w:rPr>
          </w:pPr>
          <w:r>
            <w:fldChar w:fldCharType="begin"/>
          </w:r>
          <w:r>
            <w:instrText xml:space="preserve"> HYPERLINK \l "bookmark114" </w:instrText>
          </w:r>
          <w:r>
            <w:fldChar w:fldCharType="separate"/>
          </w:r>
          <w:r>
            <w:rPr>
              <w:rFonts w:ascii="宋体" w:hAnsi="宋体" w:eastAsia="宋体" w:cs="宋体"/>
              <w:spacing w:val="10"/>
              <w:position w:val="1"/>
              <w:sz w:val="20"/>
              <w:szCs w:val="20"/>
            </w:rPr>
            <w:t>住房城乡建设部关于发布国家标准《仿古建筑工程工程量计算</w:t>
          </w:r>
          <w:r>
            <w:rPr>
              <w:rFonts w:ascii="宋体" w:hAnsi="宋体" w:eastAsia="宋体" w:cs="宋体"/>
              <w:spacing w:val="9"/>
              <w:position w:val="1"/>
              <w:sz w:val="20"/>
              <w:szCs w:val="20"/>
            </w:rPr>
            <w:t>标准》的公告</w:t>
          </w:r>
          <w:r>
            <w:rPr>
              <w:rFonts w:ascii="宋体" w:hAnsi="宋体" w:eastAsia="宋体" w:cs="宋体"/>
              <w:spacing w:val="9"/>
              <w:position w:val="1"/>
              <w:sz w:val="20"/>
              <w:szCs w:val="20"/>
            </w:rPr>
            <w:fldChar w:fldCharType="end"/>
          </w:r>
        </w:p>
        <w:p>
          <w:pPr>
            <w:tabs>
              <w:tab w:val="right" w:leader="dot" w:pos="9064"/>
            </w:tabs>
            <w:spacing w:before="122" w:line="275" w:lineRule="exact"/>
            <w:ind w:left="451"/>
            <w:rPr>
              <w:rFonts w:ascii="宋体" w:hAnsi="宋体" w:eastAsia="宋体" w:cs="宋体"/>
              <w:sz w:val="20"/>
              <w:szCs w:val="20"/>
            </w:rPr>
          </w:pPr>
          <w:r>
            <w:fldChar w:fldCharType="begin"/>
          </w:r>
          <w:r>
            <w:instrText xml:space="preserve"> HYPERLINK \l "bookmark114" </w:instrText>
          </w:r>
          <w:r>
            <w:fldChar w:fldCharType="separate"/>
          </w:r>
          <w:r>
            <w:rPr>
              <w:rFonts w:ascii="楷体" w:hAnsi="楷体" w:eastAsia="楷体" w:cs="楷体"/>
              <w:spacing w:val="5"/>
              <w:position w:val="1"/>
              <w:sz w:val="20"/>
              <w:szCs w:val="20"/>
            </w:rPr>
            <w:t>中华人民共和国住房和城乡建设部公告</w:t>
          </w:r>
          <w:r>
            <w:rPr>
              <w:rFonts w:ascii="楷体" w:hAnsi="楷体" w:eastAsia="楷体" w:cs="楷体"/>
              <w:spacing w:val="-50"/>
              <w:position w:val="1"/>
              <w:sz w:val="20"/>
              <w:szCs w:val="20"/>
            </w:rPr>
            <w:t xml:space="preserve"> </w:t>
          </w:r>
          <w:r>
            <w:rPr>
              <w:rFonts w:ascii="楷体" w:hAnsi="楷体" w:eastAsia="楷体" w:cs="楷体"/>
              <w:spacing w:val="5"/>
              <w:position w:val="1"/>
              <w:sz w:val="20"/>
              <w:szCs w:val="20"/>
            </w:rPr>
            <w:t>2024</w:t>
          </w:r>
          <w:r>
            <w:rPr>
              <w:rFonts w:ascii="楷体" w:hAnsi="楷体" w:eastAsia="楷体" w:cs="楷体"/>
              <w:spacing w:val="-51"/>
              <w:position w:val="1"/>
              <w:sz w:val="20"/>
              <w:szCs w:val="20"/>
            </w:rPr>
            <w:t xml:space="preserve"> </w:t>
          </w:r>
          <w:r>
            <w:rPr>
              <w:rFonts w:ascii="楷体" w:hAnsi="楷体" w:eastAsia="楷体" w:cs="楷体"/>
              <w:spacing w:val="5"/>
              <w:position w:val="1"/>
              <w:sz w:val="20"/>
              <w:szCs w:val="20"/>
            </w:rPr>
            <w:t>年</w:t>
          </w:r>
          <w:r>
            <w:rPr>
              <w:rFonts w:ascii="楷体" w:hAnsi="楷体" w:eastAsia="楷体" w:cs="楷体"/>
              <w:spacing w:val="4"/>
              <w:position w:val="1"/>
              <w:sz w:val="20"/>
              <w:szCs w:val="20"/>
            </w:rPr>
            <w:t>第</w:t>
          </w:r>
          <w:r>
            <w:rPr>
              <w:rFonts w:ascii="楷体" w:hAnsi="楷体" w:eastAsia="楷体" w:cs="楷体"/>
              <w:spacing w:val="-39"/>
              <w:position w:val="1"/>
              <w:sz w:val="20"/>
              <w:szCs w:val="20"/>
            </w:rPr>
            <w:t xml:space="preserve"> </w:t>
          </w:r>
          <w:r>
            <w:rPr>
              <w:rFonts w:ascii="楷体" w:hAnsi="楷体" w:eastAsia="楷体" w:cs="楷体"/>
              <w:spacing w:val="4"/>
              <w:position w:val="1"/>
              <w:sz w:val="20"/>
              <w:szCs w:val="20"/>
            </w:rPr>
            <w:t>192</w:t>
          </w:r>
          <w:r>
            <w:rPr>
              <w:rFonts w:ascii="楷体" w:hAnsi="楷体" w:eastAsia="楷体" w:cs="楷体"/>
              <w:spacing w:val="-46"/>
              <w:position w:val="1"/>
              <w:sz w:val="20"/>
              <w:szCs w:val="20"/>
            </w:rPr>
            <w:t xml:space="preserve"> </w:t>
          </w:r>
          <w:r>
            <w:rPr>
              <w:rFonts w:ascii="楷体" w:hAnsi="楷体" w:eastAsia="楷体" w:cs="楷体"/>
              <w:spacing w:val="4"/>
              <w:position w:val="1"/>
              <w:sz w:val="20"/>
              <w:szCs w:val="20"/>
            </w:rPr>
            <w:t>号</w:t>
          </w:r>
          <w:r>
            <w:rPr>
              <w:rFonts w:ascii="楷体" w:hAnsi="楷体" w:eastAsia="楷体" w:cs="楷体"/>
              <w:spacing w:val="-88"/>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269</w:t>
          </w:r>
          <w:r>
            <w:rPr>
              <w:rFonts w:ascii="宋体" w:hAnsi="宋体" w:eastAsia="宋体" w:cs="宋体"/>
              <w:spacing w:val="4"/>
              <w:position w:val="1"/>
              <w:sz w:val="20"/>
              <w:szCs w:val="20"/>
            </w:rPr>
            <w:fldChar w:fldCharType="end"/>
          </w:r>
        </w:p>
        <w:p>
          <w:pPr>
            <w:spacing w:before="126" w:line="276" w:lineRule="exact"/>
            <w:rPr>
              <w:rFonts w:ascii="宋体" w:hAnsi="宋体" w:eastAsia="宋体" w:cs="宋体"/>
              <w:sz w:val="20"/>
              <w:szCs w:val="20"/>
            </w:rPr>
          </w:pPr>
          <w:r>
            <w:fldChar w:fldCharType="begin"/>
          </w:r>
          <w:r>
            <w:instrText xml:space="preserve"> HYPERLINK \l "bookmark115" </w:instrText>
          </w:r>
          <w:r>
            <w:fldChar w:fldCharType="separate"/>
          </w:r>
          <w:r>
            <w:rPr>
              <w:rFonts w:ascii="宋体" w:hAnsi="宋体" w:eastAsia="宋体" w:cs="宋体"/>
              <w:spacing w:val="10"/>
              <w:position w:val="1"/>
              <w:sz w:val="20"/>
              <w:szCs w:val="20"/>
            </w:rPr>
            <w:t>住房城乡建设部关于发布国家标准《通用安装工程工程量计算</w:t>
          </w:r>
          <w:r>
            <w:rPr>
              <w:rFonts w:ascii="宋体" w:hAnsi="宋体" w:eastAsia="宋体" w:cs="宋体"/>
              <w:spacing w:val="9"/>
              <w:position w:val="1"/>
              <w:sz w:val="20"/>
              <w:szCs w:val="20"/>
            </w:rPr>
            <w:t>标准》的公告</w:t>
          </w:r>
          <w:r>
            <w:rPr>
              <w:rFonts w:ascii="宋体" w:hAnsi="宋体" w:eastAsia="宋体" w:cs="宋体"/>
              <w:spacing w:val="9"/>
              <w:position w:val="1"/>
              <w:sz w:val="20"/>
              <w:szCs w:val="20"/>
            </w:rPr>
            <w:fldChar w:fldCharType="end"/>
          </w:r>
        </w:p>
        <w:p>
          <w:pPr>
            <w:tabs>
              <w:tab w:val="right" w:leader="dot" w:pos="9064"/>
            </w:tabs>
            <w:spacing w:before="125" w:line="275" w:lineRule="exact"/>
            <w:ind w:left="451"/>
            <w:rPr>
              <w:rFonts w:ascii="宋体" w:hAnsi="宋体" w:eastAsia="宋体" w:cs="宋体"/>
              <w:sz w:val="20"/>
              <w:szCs w:val="20"/>
            </w:rPr>
          </w:pPr>
          <w:r>
            <w:fldChar w:fldCharType="begin"/>
          </w:r>
          <w:r>
            <w:instrText xml:space="preserve"> HYPERLINK \l "bookmark115" </w:instrText>
          </w:r>
          <w:r>
            <w:fldChar w:fldCharType="separate"/>
          </w:r>
          <w:r>
            <w:rPr>
              <w:rFonts w:ascii="楷体" w:hAnsi="楷体" w:eastAsia="楷体" w:cs="楷体"/>
              <w:spacing w:val="5"/>
              <w:position w:val="1"/>
              <w:sz w:val="20"/>
              <w:szCs w:val="20"/>
            </w:rPr>
            <w:t>中华人民共和国住房和城乡建设部公告</w:t>
          </w:r>
          <w:r>
            <w:rPr>
              <w:rFonts w:ascii="楷体" w:hAnsi="楷体" w:eastAsia="楷体" w:cs="楷体"/>
              <w:spacing w:val="-50"/>
              <w:position w:val="1"/>
              <w:sz w:val="20"/>
              <w:szCs w:val="20"/>
            </w:rPr>
            <w:t xml:space="preserve"> </w:t>
          </w:r>
          <w:r>
            <w:rPr>
              <w:rFonts w:ascii="楷体" w:hAnsi="楷体" w:eastAsia="楷体" w:cs="楷体"/>
              <w:spacing w:val="5"/>
              <w:position w:val="1"/>
              <w:sz w:val="20"/>
              <w:szCs w:val="20"/>
            </w:rPr>
            <w:t>2024</w:t>
          </w:r>
          <w:r>
            <w:rPr>
              <w:rFonts w:ascii="楷体" w:hAnsi="楷体" w:eastAsia="楷体" w:cs="楷体"/>
              <w:spacing w:val="-51"/>
              <w:position w:val="1"/>
              <w:sz w:val="20"/>
              <w:szCs w:val="20"/>
            </w:rPr>
            <w:t xml:space="preserve"> </w:t>
          </w:r>
          <w:r>
            <w:rPr>
              <w:rFonts w:ascii="楷体" w:hAnsi="楷体" w:eastAsia="楷体" w:cs="楷体"/>
              <w:spacing w:val="5"/>
              <w:position w:val="1"/>
              <w:sz w:val="20"/>
              <w:szCs w:val="20"/>
            </w:rPr>
            <w:t>年</w:t>
          </w:r>
          <w:r>
            <w:rPr>
              <w:rFonts w:ascii="楷体" w:hAnsi="楷体" w:eastAsia="楷体" w:cs="楷体"/>
              <w:spacing w:val="4"/>
              <w:position w:val="1"/>
              <w:sz w:val="20"/>
              <w:szCs w:val="20"/>
            </w:rPr>
            <w:t>第</w:t>
          </w:r>
          <w:r>
            <w:rPr>
              <w:rFonts w:ascii="楷体" w:hAnsi="楷体" w:eastAsia="楷体" w:cs="楷体"/>
              <w:spacing w:val="-39"/>
              <w:position w:val="1"/>
              <w:sz w:val="20"/>
              <w:szCs w:val="20"/>
            </w:rPr>
            <w:t xml:space="preserve"> </w:t>
          </w:r>
          <w:r>
            <w:rPr>
              <w:rFonts w:ascii="楷体" w:hAnsi="楷体" w:eastAsia="楷体" w:cs="楷体"/>
              <w:spacing w:val="4"/>
              <w:position w:val="1"/>
              <w:sz w:val="20"/>
              <w:szCs w:val="20"/>
            </w:rPr>
            <w:t>193</w:t>
          </w:r>
          <w:r>
            <w:rPr>
              <w:rFonts w:ascii="楷体" w:hAnsi="楷体" w:eastAsia="楷体" w:cs="楷体"/>
              <w:spacing w:val="-46"/>
              <w:position w:val="1"/>
              <w:sz w:val="20"/>
              <w:szCs w:val="20"/>
            </w:rPr>
            <w:t xml:space="preserve"> </w:t>
          </w:r>
          <w:r>
            <w:rPr>
              <w:rFonts w:ascii="楷体" w:hAnsi="楷体" w:eastAsia="楷体" w:cs="楷体"/>
              <w:spacing w:val="4"/>
              <w:position w:val="1"/>
              <w:sz w:val="20"/>
              <w:szCs w:val="20"/>
            </w:rPr>
            <w:t>号</w:t>
          </w:r>
          <w:r>
            <w:rPr>
              <w:rFonts w:ascii="楷体" w:hAnsi="楷体" w:eastAsia="楷体" w:cs="楷体"/>
              <w:spacing w:val="-88"/>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270</w:t>
          </w:r>
          <w:r>
            <w:rPr>
              <w:rFonts w:ascii="宋体" w:hAnsi="宋体" w:eastAsia="宋体" w:cs="宋体"/>
              <w:spacing w:val="4"/>
              <w:position w:val="1"/>
              <w:sz w:val="20"/>
              <w:szCs w:val="20"/>
            </w:rPr>
            <w:fldChar w:fldCharType="end"/>
          </w:r>
        </w:p>
        <w:p>
          <w:pPr>
            <w:spacing w:before="123" w:line="277" w:lineRule="exact"/>
            <w:rPr>
              <w:rFonts w:ascii="宋体" w:hAnsi="宋体" w:eastAsia="宋体" w:cs="宋体"/>
              <w:sz w:val="20"/>
              <w:szCs w:val="20"/>
            </w:rPr>
          </w:pPr>
          <w:r>
            <w:fldChar w:fldCharType="begin"/>
          </w:r>
          <w:r>
            <w:instrText xml:space="preserve"> HYPERLINK \l "bookmark116" </w:instrText>
          </w:r>
          <w:r>
            <w:fldChar w:fldCharType="separate"/>
          </w:r>
          <w:r>
            <w:rPr>
              <w:rFonts w:ascii="宋体" w:hAnsi="宋体" w:eastAsia="宋体" w:cs="宋体"/>
              <w:spacing w:val="10"/>
              <w:position w:val="1"/>
              <w:sz w:val="20"/>
              <w:szCs w:val="20"/>
            </w:rPr>
            <w:t>住房城乡建设部关于发布国家标准《市政工程工程量计算</w:t>
          </w:r>
          <w:r>
            <w:rPr>
              <w:rFonts w:ascii="宋体" w:hAnsi="宋体" w:eastAsia="宋体" w:cs="宋体"/>
              <w:spacing w:val="9"/>
              <w:position w:val="1"/>
              <w:sz w:val="20"/>
              <w:szCs w:val="20"/>
            </w:rPr>
            <w:t>标准》的公告</w:t>
          </w:r>
          <w:r>
            <w:rPr>
              <w:rFonts w:ascii="宋体" w:hAnsi="宋体" w:eastAsia="宋体" w:cs="宋体"/>
              <w:spacing w:val="9"/>
              <w:position w:val="1"/>
              <w:sz w:val="20"/>
              <w:szCs w:val="20"/>
            </w:rPr>
            <w:fldChar w:fldCharType="end"/>
          </w:r>
        </w:p>
        <w:p>
          <w:pPr>
            <w:tabs>
              <w:tab w:val="right" w:leader="dot" w:pos="9064"/>
            </w:tabs>
            <w:spacing w:before="124" w:line="275" w:lineRule="exact"/>
            <w:ind w:left="451"/>
            <w:rPr>
              <w:rFonts w:ascii="宋体" w:hAnsi="宋体" w:eastAsia="宋体" w:cs="宋体"/>
              <w:sz w:val="20"/>
              <w:szCs w:val="20"/>
            </w:rPr>
          </w:pPr>
          <w:r>
            <w:fldChar w:fldCharType="begin"/>
          </w:r>
          <w:r>
            <w:instrText xml:space="preserve"> HYPERLINK \l "bookmark116" </w:instrText>
          </w:r>
          <w:r>
            <w:fldChar w:fldCharType="separate"/>
          </w:r>
          <w:r>
            <w:rPr>
              <w:rFonts w:ascii="楷体" w:hAnsi="楷体" w:eastAsia="楷体" w:cs="楷体"/>
              <w:spacing w:val="5"/>
              <w:position w:val="1"/>
              <w:sz w:val="20"/>
              <w:szCs w:val="20"/>
            </w:rPr>
            <w:t>中华人民共和国住房和城乡建设部公告</w:t>
          </w:r>
          <w:r>
            <w:rPr>
              <w:rFonts w:ascii="楷体" w:hAnsi="楷体" w:eastAsia="楷体" w:cs="楷体"/>
              <w:spacing w:val="-41"/>
              <w:position w:val="1"/>
              <w:sz w:val="20"/>
              <w:szCs w:val="20"/>
            </w:rPr>
            <w:t xml:space="preserve"> </w:t>
          </w:r>
          <w:r>
            <w:rPr>
              <w:rFonts w:ascii="楷体" w:hAnsi="楷体" w:eastAsia="楷体" w:cs="楷体"/>
              <w:spacing w:val="5"/>
              <w:position w:val="1"/>
              <w:sz w:val="20"/>
              <w:szCs w:val="20"/>
            </w:rPr>
            <w:t>2024</w:t>
          </w:r>
          <w:r>
            <w:rPr>
              <w:rFonts w:ascii="楷体" w:hAnsi="楷体" w:eastAsia="楷体" w:cs="楷体"/>
              <w:spacing w:val="-41"/>
              <w:position w:val="1"/>
              <w:sz w:val="20"/>
              <w:szCs w:val="20"/>
            </w:rPr>
            <w:t xml:space="preserve"> </w:t>
          </w:r>
          <w:r>
            <w:rPr>
              <w:rFonts w:ascii="楷体" w:hAnsi="楷体" w:eastAsia="楷体" w:cs="楷体"/>
              <w:spacing w:val="5"/>
              <w:position w:val="1"/>
              <w:sz w:val="20"/>
              <w:szCs w:val="20"/>
            </w:rPr>
            <w:t>年第</w:t>
          </w:r>
          <w:r>
            <w:rPr>
              <w:rFonts w:ascii="楷体" w:hAnsi="楷体" w:eastAsia="楷体" w:cs="楷体"/>
              <w:spacing w:val="-27"/>
              <w:position w:val="1"/>
              <w:sz w:val="20"/>
              <w:szCs w:val="20"/>
            </w:rPr>
            <w:t xml:space="preserve"> </w:t>
          </w:r>
          <w:r>
            <w:rPr>
              <w:rFonts w:ascii="楷体" w:hAnsi="楷体" w:eastAsia="楷体" w:cs="楷体"/>
              <w:spacing w:val="5"/>
              <w:position w:val="1"/>
              <w:sz w:val="20"/>
              <w:szCs w:val="20"/>
            </w:rPr>
            <w:t>19</w:t>
          </w:r>
          <w:r>
            <w:rPr>
              <w:rFonts w:ascii="楷体" w:hAnsi="楷体" w:eastAsia="楷体" w:cs="楷体"/>
              <w:spacing w:val="4"/>
              <w:position w:val="1"/>
              <w:sz w:val="20"/>
              <w:szCs w:val="20"/>
            </w:rPr>
            <w:t>4</w:t>
          </w:r>
          <w:r>
            <w:rPr>
              <w:rFonts w:ascii="楷体" w:hAnsi="楷体" w:eastAsia="楷体" w:cs="楷体"/>
              <w:spacing w:val="-36"/>
              <w:position w:val="1"/>
              <w:sz w:val="20"/>
              <w:szCs w:val="20"/>
            </w:rPr>
            <w:t xml:space="preserve"> </w:t>
          </w:r>
          <w:r>
            <w:rPr>
              <w:rFonts w:ascii="楷体" w:hAnsi="楷体" w:eastAsia="楷体" w:cs="楷体"/>
              <w:spacing w:val="4"/>
              <w:position w:val="1"/>
              <w:sz w:val="20"/>
              <w:szCs w:val="20"/>
            </w:rPr>
            <w:t>号</w:t>
          </w:r>
          <w:r>
            <w:rPr>
              <w:rFonts w:ascii="楷体" w:hAnsi="楷体" w:eastAsia="楷体" w:cs="楷体"/>
              <w:spacing w:val="-88"/>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271</w:t>
          </w:r>
          <w:r>
            <w:rPr>
              <w:rFonts w:ascii="宋体" w:hAnsi="宋体" w:eastAsia="宋体" w:cs="宋体"/>
              <w:spacing w:val="4"/>
              <w:position w:val="1"/>
              <w:sz w:val="20"/>
              <w:szCs w:val="20"/>
            </w:rPr>
            <w:fldChar w:fldCharType="end"/>
          </w:r>
        </w:p>
        <w:p>
          <w:pPr>
            <w:spacing w:before="126" w:line="276" w:lineRule="exact"/>
            <w:rPr>
              <w:rFonts w:ascii="宋体" w:hAnsi="宋体" w:eastAsia="宋体" w:cs="宋体"/>
              <w:sz w:val="20"/>
              <w:szCs w:val="20"/>
            </w:rPr>
          </w:pPr>
          <w:r>
            <w:fldChar w:fldCharType="begin"/>
          </w:r>
          <w:r>
            <w:instrText xml:space="preserve"> HYPERLINK \l "bookmark117" </w:instrText>
          </w:r>
          <w:r>
            <w:fldChar w:fldCharType="separate"/>
          </w:r>
          <w:r>
            <w:rPr>
              <w:rFonts w:ascii="宋体" w:hAnsi="宋体" w:eastAsia="宋体" w:cs="宋体"/>
              <w:spacing w:val="10"/>
              <w:position w:val="1"/>
              <w:sz w:val="20"/>
              <w:szCs w:val="20"/>
            </w:rPr>
            <w:t>住房城乡建设部关于发布国家标准《园林绿化工程工程量计算</w:t>
          </w:r>
          <w:r>
            <w:rPr>
              <w:rFonts w:ascii="宋体" w:hAnsi="宋体" w:eastAsia="宋体" w:cs="宋体"/>
              <w:spacing w:val="9"/>
              <w:position w:val="1"/>
              <w:sz w:val="20"/>
              <w:szCs w:val="20"/>
            </w:rPr>
            <w:t>标准》的公告</w:t>
          </w:r>
          <w:r>
            <w:rPr>
              <w:rFonts w:ascii="宋体" w:hAnsi="宋体" w:eastAsia="宋体" w:cs="宋体"/>
              <w:spacing w:val="9"/>
              <w:position w:val="1"/>
              <w:sz w:val="20"/>
              <w:szCs w:val="20"/>
            </w:rPr>
            <w:fldChar w:fldCharType="end"/>
          </w:r>
        </w:p>
        <w:p>
          <w:pPr>
            <w:tabs>
              <w:tab w:val="right" w:leader="dot" w:pos="9064"/>
            </w:tabs>
            <w:spacing w:before="122" w:line="275" w:lineRule="exact"/>
            <w:ind w:left="451"/>
            <w:rPr>
              <w:rFonts w:ascii="宋体" w:hAnsi="宋体" w:eastAsia="宋体" w:cs="宋体"/>
              <w:sz w:val="20"/>
              <w:szCs w:val="20"/>
            </w:rPr>
          </w:pPr>
          <w:r>
            <w:fldChar w:fldCharType="begin"/>
          </w:r>
          <w:r>
            <w:instrText xml:space="preserve"> HYPERLINK \l "bookmark117" </w:instrText>
          </w:r>
          <w:r>
            <w:fldChar w:fldCharType="separate"/>
          </w:r>
          <w:r>
            <w:rPr>
              <w:rFonts w:ascii="楷体" w:hAnsi="楷体" w:eastAsia="楷体" w:cs="楷体"/>
              <w:spacing w:val="5"/>
              <w:position w:val="1"/>
              <w:sz w:val="20"/>
              <w:szCs w:val="20"/>
            </w:rPr>
            <w:t>中华人民共和国住房和城乡建设部公告</w:t>
          </w:r>
          <w:r>
            <w:rPr>
              <w:rFonts w:ascii="楷体" w:hAnsi="楷体" w:eastAsia="楷体" w:cs="楷体"/>
              <w:spacing w:val="-41"/>
              <w:position w:val="1"/>
              <w:sz w:val="20"/>
              <w:szCs w:val="20"/>
            </w:rPr>
            <w:t xml:space="preserve"> </w:t>
          </w:r>
          <w:r>
            <w:rPr>
              <w:rFonts w:ascii="楷体" w:hAnsi="楷体" w:eastAsia="楷体" w:cs="楷体"/>
              <w:spacing w:val="5"/>
              <w:position w:val="1"/>
              <w:sz w:val="20"/>
              <w:szCs w:val="20"/>
            </w:rPr>
            <w:t>2024</w:t>
          </w:r>
          <w:r>
            <w:rPr>
              <w:rFonts w:ascii="楷体" w:hAnsi="楷体" w:eastAsia="楷体" w:cs="楷体"/>
              <w:spacing w:val="-41"/>
              <w:position w:val="1"/>
              <w:sz w:val="20"/>
              <w:szCs w:val="20"/>
            </w:rPr>
            <w:t xml:space="preserve"> </w:t>
          </w:r>
          <w:r>
            <w:rPr>
              <w:rFonts w:ascii="楷体" w:hAnsi="楷体" w:eastAsia="楷体" w:cs="楷体"/>
              <w:spacing w:val="5"/>
              <w:position w:val="1"/>
              <w:sz w:val="20"/>
              <w:szCs w:val="20"/>
            </w:rPr>
            <w:t>年第</w:t>
          </w:r>
          <w:r>
            <w:rPr>
              <w:rFonts w:ascii="楷体" w:hAnsi="楷体" w:eastAsia="楷体" w:cs="楷体"/>
              <w:spacing w:val="-27"/>
              <w:position w:val="1"/>
              <w:sz w:val="20"/>
              <w:szCs w:val="20"/>
            </w:rPr>
            <w:t xml:space="preserve"> </w:t>
          </w:r>
          <w:r>
            <w:rPr>
              <w:rFonts w:ascii="楷体" w:hAnsi="楷体" w:eastAsia="楷体" w:cs="楷体"/>
              <w:spacing w:val="5"/>
              <w:position w:val="1"/>
              <w:sz w:val="20"/>
              <w:szCs w:val="20"/>
            </w:rPr>
            <w:t>19</w:t>
          </w:r>
          <w:r>
            <w:rPr>
              <w:rFonts w:ascii="楷体" w:hAnsi="楷体" w:eastAsia="楷体" w:cs="楷体"/>
              <w:spacing w:val="4"/>
              <w:position w:val="1"/>
              <w:sz w:val="20"/>
              <w:szCs w:val="20"/>
            </w:rPr>
            <w:t>5</w:t>
          </w:r>
          <w:r>
            <w:rPr>
              <w:rFonts w:ascii="楷体" w:hAnsi="楷体" w:eastAsia="楷体" w:cs="楷体"/>
              <w:spacing w:val="-36"/>
              <w:position w:val="1"/>
              <w:sz w:val="20"/>
              <w:szCs w:val="20"/>
            </w:rPr>
            <w:t xml:space="preserve"> </w:t>
          </w:r>
          <w:r>
            <w:rPr>
              <w:rFonts w:ascii="楷体" w:hAnsi="楷体" w:eastAsia="楷体" w:cs="楷体"/>
              <w:spacing w:val="4"/>
              <w:position w:val="1"/>
              <w:sz w:val="20"/>
              <w:szCs w:val="20"/>
            </w:rPr>
            <w:t>号</w:t>
          </w:r>
          <w:r>
            <w:rPr>
              <w:rFonts w:ascii="楷体" w:hAnsi="楷体" w:eastAsia="楷体" w:cs="楷体"/>
              <w:spacing w:val="-88"/>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272</w:t>
          </w:r>
          <w:r>
            <w:rPr>
              <w:rFonts w:ascii="宋体" w:hAnsi="宋体" w:eastAsia="宋体" w:cs="宋体"/>
              <w:spacing w:val="4"/>
              <w:position w:val="1"/>
              <w:sz w:val="20"/>
              <w:szCs w:val="20"/>
            </w:rPr>
            <w:fldChar w:fldCharType="end"/>
          </w:r>
        </w:p>
        <w:p>
          <w:pPr>
            <w:spacing w:before="126" w:line="276" w:lineRule="exact"/>
            <w:rPr>
              <w:rFonts w:ascii="宋体" w:hAnsi="宋体" w:eastAsia="宋体" w:cs="宋体"/>
              <w:sz w:val="20"/>
              <w:szCs w:val="20"/>
            </w:rPr>
          </w:pPr>
          <w:r>
            <w:fldChar w:fldCharType="begin"/>
          </w:r>
          <w:r>
            <w:instrText xml:space="preserve"> HYPERLINK \l "bookmark118" </w:instrText>
          </w:r>
          <w:r>
            <w:fldChar w:fldCharType="separate"/>
          </w:r>
          <w:r>
            <w:rPr>
              <w:rFonts w:ascii="宋体" w:hAnsi="宋体" w:eastAsia="宋体" w:cs="宋体"/>
              <w:spacing w:val="10"/>
              <w:position w:val="1"/>
              <w:sz w:val="20"/>
              <w:szCs w:val="20"/>
            </w:rPr>
            <w:t>住房城乡建设部关于发布国家标准《建设工程工程量清单计价</w:t>
          </w:r>
          <w:r>
            <w:rPr>
              <w:rFonts w:ascii="宋体" w:hAnsi="宋体" w:eastAsia="宋体" w:cs="宋体"/>
              <w:spacing w:val="9"/>
              <w:position w:val="1"/>
              <w:sz w:val="20"/>
              <w:szCs w:val="20"/>
            </w:rPr>
            <w:t>标准》的公告</w:t>
          </w:r>
          <w:r>
            <w:rPr>
              <w:rFonts w:ascii="宋体" w:hAnsi="宋体" w:eastAsia="宋体" w:cs="宋体"/>
              <w:spacing w:val="9"/>
              <w:position w:val="1"/>
              <w:sz w:val="20"/>
              <w:szCs w:val="20"/>
            </w:rPr>
            <w:fldChar w:fldCharType="end"/>
          </w:r>
        </w:p>
        <w:p>
          <w:pPr>
            <w:tabs>
              <w:tab w:val="right" w:leader="dot" w:pos="9065"/>
            </w:tabs>
            <w:spacing w:before="125" w:line="275" w:lineRule="exact"/>
            <w:ind w:left="451"/>
            <w:rPr>
              <w:rFonts w:ascii="宋体" w:hAnsi="宋体" w:eastAsia="宋体" w:cs="宋体"/>
              <w:sz w:val="20"/>
              <w:szCs w:val="20"/>
            </w:rPr>
          </w:pPr>
          <w:r>
            <w:fldChar w:fldCharType="begin"/>
          </w:r>
          <w:r>
            <w:instrText xml:space="preserve"> HYPERLINK \l "bookmark118" </w:instrText>
          </w:r>
          <w:r>
            <w:fldChar w:fldCharType="separate"/>
          </w:r>
          <w:r>
            <w:rPr>
              <w:rFonts w:ascii="楷体" w:hAnsi="楷体" w:eastAsia="楷体" w:cs="楷体"/>
              <w:spacing w:val="11"/>
              <w:position w:val="1"/>
              <w:sz w:val="20"/>
              <w:szCs w:val="20"/>
            </w:rPr>
            <w:t>中华人民共和国住房和城乡建设部公告2024年</w:t>
          </w:r>
          <w:r>
            <w:rPr>
              <w:rFonts w:ascii="楷体" w:hAnsi="楷体" w:eastAsia="楷体" w:cs="楷体"/>
              <w:spacing w:val="10"/>
              <w:position w:val="1"/>
              <w:sz w:val="20"/>
              <w:szCs w:val="20"/>
            </w:rPr>
            <w:t>第212号</w:t>
          </w:r>
          <w:r>
            <w:rPr>
              <w:rFonts w:ascii="楷体" w:hAnsi="楷体" w:eastAsia="楷体" w:cs="楷体"/>
              <w:spacing w:val="-86"/>
              <w:position w:val="1"/>
              <w:sz w:val="20"/>
              <w:szCs w:val="20"/>
            </w:rPr>
            <w:t xml:space="preserve"> </w:t>
          </w:r>
          <w:r>
            <w:rPr>
              <w:rFonts w:ascii="楷体" w:hAnsi="楷体" w:eastAsia="楷体" w:cs="楷体"/>
              <w:position w:val="1"/>
              <w:sz w:val="20"/>
              <w:szCs w:val="20"/>
            </w:rPr>
            <w:tab/>
          </w:r>
          <w:r>
            <w:rPr>
              <w:rFonts w:ascii="宋体" w:hAnsi="宋体" w:eastAsia="宋体" w:cs="宋体"/>
              <w:spacing w:val="4"/>
              <w:position w:val="1"/>
              <w:sz w:val="20"/>
              <w:szCs w:val="20"/>
            </w:rPr>
            <w:t>273</w:t>
          </w:r>
          <w:r>
            <w:rPr>
              <w:rFonts w:ascii="宋体" w:hAnsi="宋体" w:eastAsia="宋体" w:cs="宋体"/>
              <w:spacing w:val="4"/>
              <w:position w:val="1"/>
              <w:sz w:val="20"/>
              <w:szCs w:val="20"/>
            </w:rPr>
            <w:fldChar w:fldCharType="end"/>
          </w:r>
        </w:p>
        <w:p>
          <w:pPr>
            <w:spacing w:before="128" w:line="220" w:lineRule="auto"/>
            <w:ind w:left="2"/>
            <w:rPr>
              <w:rFonts w:ascii="宋体" w:hAnsi="宋体" w:eastAsia="宋体" w:cs="宋体"/>
              <w:sz w:val="20"/>
              <w:szCs w:val="20"/>
            </w:rPr>
          </w:pPr>
          <w:r>
            <w:fldChar w:fldCharType="begin"/>
          </w:r>
          <w:r>
            <w:instrText xml:space="preserve"> HYPERLINK \l "bookmark119" </w:instrText>
          </w:r>
          <w:r>
            <w:fldChar w:fldCharType="separate"/>
          </w:r>
          <w:r>
            <w:rPr>
              <w:rFonts w:ascii="宋体" w:hAnsi="宋体" w:eastAsia="宋体" w:cs="宋体"/>
              <w:spacing w:val="9"/>
              <w:sz w:val="20"/>
              <w:szCs w:val="20"/>
            </w:rPr>
            <w:t>财政部 税务总局关于增值税法施行后增值税优惠政策衔接事项的公告</w:t>
          </w:r>
          <w:r>
            <w:rPr>
              <w:rFonts w:ascii="宋体" w:hAnsi="宋体" w:eastAsia="宋体" w:cs="宋体"/>
              <w:spacing w:val="9"/>
              <w:sz w:val="20"/>
              <w:szCs w:val="20"/>
            </w:rPr>
            <w:fldChar w:fldCharType="end"/>
          </w:r>
        </w:p>
        <w:p>
          <w:pPr>
            <w:tabs>
              <w:tab w:val="right" w:leader="dot" w:pos="9064"/>
            </w:tabs>
            <w:spacing w:before="158" w:line="272" w:lineRule="exact"/>
            <w:ind w:left="429"/>
            <w:rPr>
              <w:rFonts w:ascii="宋体" w:hAnsi="宋体" w:eastAsia="宋体" w:cs="宋体"/>
              <w:sz w:val="20"/>
              <w:szCs w:val="20"/>
            </w:rPr>
          </w:pPr>
          <w:r>
            <w:fldChar w:fldCharType="begin"/>
          </w:r>
          <w:r>
            <w:instrText xml:space="preserve"> HYPERLINK \l "bookmark120" </w:instrText>
          </w:r>
          <w:r>
            <w:fldChar w:fldCharType="separate"/>
          </w:r>
          <w:r>
            <w:rPr>
              <w:rFonts w:ascii="KaiTi_GB2312" w:hAnsi="KaiTi_GB2312" w:eastAsia="KaiTi_GB2312" w:cs="KaiTi_GB2312"/>
              <w:spacing w:val="4"/>
              <w:position w:val="1"/>
              <w:sz w:val="20"/>
              <w:szCs w:val="20"/>
            </w:rPr>
            <w:t>财政部 税务总局公告</w:t>
          </w:r>
          <w:r>
            <w:rPr>
              <w:rFonts w:ascii="KaiTi_GB2312" w:hAnsi="KaiTi_GB2312" w:eastAsia="KaiTi_GB2312" w:cs="KaiTi_GB2312"/>
              <w:spacing w:val="-24"/>
              <w:position w:val="1"/>
              <w:sz w:val="20"/>
              <w:szCs w:val="20"/>
            </w:rPr>
            <w:t xml:space="preserve"> </w:t>
          </w:r>
          <w:r>
            <w:rPr>
              <w:rFonts w:ascii="KaiTi_GB2312" w:hAnsi="KaiTi_GB2312" w:eastAsia="KaiTi_GB2312" w:cs="KaiTi_GB2312"/>
              <w:spacing w:val="4"/>
              <w:position w:val="1"/>
              <w:sz w:val="20"/>
              <w:szCs w:val="20"/>
            </w:rPr>
            <w:t>2026</w:t>
          </w:r>
          <w:r>
            <w:rPr>
              <w:rFonts w:ascii="KaiTi_GB2312" w:hAnsi="KaiTi_GB2312" w:eastAsia="KaiTi_GB2312" w:cs="KaiTi_GB2312"/>
              <w:spacing w:val="-42"/>
              <w:position w:val="1"/>
              <w:sz w:val="20"/>
              <w:szCs w:val="20"/>
            </w:rPr>
            <w:t xml:space="preserve"> </w:t>
          </w:r>
          <w:r>
            <w:rPr>
              <w:rFonts w:ascii="KaiTi_GB2312" w:hAnsi="KaiTi_GB2312" w:eastAsia="KaiTi_GB2312" w:cs="KaiTi_GB2312"/>
              <w:spacing w:val="4"/>
              <w:position w:val="1"/>
              <w:sz w:val="20"/>
              <w:szCs w:val="20"/>
            </w:rPr>
            <w:t>年第</w:t>
          </w:r>
          <w:r>
            <w:rPr>
              <w:rFonts w:ascii="KaiTi_GB2312" w:hAnsi="KaiTi_GB2312" w:eastAsia="KaiTi_GB2312" w:cs="KaiTi_GB2312"/>
              <w:spacing w:val="-26"/>
              <w:position w:val="1"/>
              <w:sz w:val="20"/>
              <w:szCs w:val="20"/>
            </w:rPr>
            <w:t xml:space="preserve"> </w:t>
          </w:r>
          <w:r>
            <w:rPr>
              <w:rFonts w:ascii="KaiTi_GB2312" w:hAnsi="KaiTi_GB2312" w:eastAsia="KaiTi_GB2312" w:cs="KaiTi_GB2312"/>
              <w:spacing w:val="4"/>
              <w:position w:val="1"/>
              <w:sz w:val="20"/>
              <w:szCs w:val="20"/>
            </w:rPr>
            <w:t>10</w:t>
          </w:r>
          <w:r>
            <w:rPr>
              <w:rFonts w:ascii="KaiTi_GB2312" w:hAnsi="KaiTi_GB2312" w:eastAsia="KaiTi_GB2312" w:cs="KaiTi_GB2312"/>
              <w:spacing w:val="-33"/>
              <w:position w:val="1"/>
              <w:sz w:val="20"/>
              <w:szCs w:val="20"/>
            </w:rPr>
            <w:t xml:space="preserve"> </w:t>
          </w:r>
          <w:r>
            <w:rPr>
              <w:rFonts w:ascii="KaiTi_GB2312" w:hAnsi="KaiTi_GB2312" w:eastAsia="KaiTi_GB2312" w:cs="KaiTi_GB2312"/>
              <w:spacing w:val="4"/>
              <w:position w:val="1"/>
              <w:sz w:val="20"/>
              <w:szCs w:val="20"/>
            </w:rPr>
            <w:t>号</w:t>
          </w:r>
          <w:r>
            <w:rPr>
              <w:rFonts w:ascii="KaiTi_GB2312" w:hAnsi="KaiTi_GB2312" w:eastAsia="KaiTi_GB2312" w:cs="KaiTi_GB2312"/>
              <w:spacing w:val="-88"/>
              <w:position w:val="1"/>
              <w:sz w:val="20"/>
              <w:szCs w:val="20"/>
            </w:rPr>
            <w:t xml:space="preserve"> </w:t>
          </w:r>
          <w:r>
            <w:rPr>
              <w:rFonts w:ascii="KaiTi_GB2312" w:hAnsi="KaiTi_GB2312" w:eastAsia="KaiTi_GB2312" w:cs="KaiTi_GB2312"/>
              <w:position w:val="1"/>
              <w:sz w:val="20"/>
              <w:szCs w:val="20"/>
            </w:rPr>
            <w:tab/>
          </w:r>
          <w:r>
            <w:rPr>
              <w:rFonts w:ascii="宋体" w:hAnsi="宋体" w:eastAsia="宋体" w:cs="宋体"/>
              <w:spacing w:val="5"/>
              <w:position w:val="1"/>
              <w:sz w:val="20"/>
              <w:szCs w:val="20"/>
            </w:rPr>
            <w:t>274</w:t>
          </w:r>
          <w:r>
            <w:rPr>
              <w:rFonts w:ascii="宋体" w:hAnsi="宋体" w:eastAsia="宋体" w:cs="宋体"/>
              <w:spacing w:val="5"/>
              <w:position w:val="1"/>
              <w:sz w:val="20"/>
              <w:szCs w:val="20"/>
            </w:rPr>
            <w:fldChar w:fldCharType="end"/>
          </w:r>
        </w:p>
        <w:p>
          <w:pPr>
            <w:tabs>
              <w:tab w:val="right" w:leader="dot" w:pos="9049"/>
            </w:tabs>
            <w:spacing w:before="129" w:line="276" w:lineRule="exact"/>
            <w:ind w:left="16"/>
            <w:rPr>
              <w:rFonts w:ascii="宋体" w:hAnsi="宋体" w:eastAsia="宋体" w:cs="宋体"/>
              <w:sz w:val="20"/>
              <w:szCs w:val="20"/>
            </w:rPr>
          </w:pPr>
          <w:r>
            <w:fldChar w:fldCharType="begin"/>
          </w:r>
          <w:r>
            <w:instrText xml:space="preserve"> HYPERLINK \l "bookmark121" </w:instrText>
          </w:r>
          <w:r>
            <w:fldChar w:fldCharType="separate"/>
          </w:r>
          <w:r>
            <w:rPr>
              <w:rFonts w:ascii="宋体" w:hAnsi="宋体" w:eastAsia="宋体" w:cs="宋体"/>
              <w:spacing w:val="9"/>
              <w:position w:val="1"/>
              <w:sz w:val="20"/>
              <w:szCs w:val="20"/>
            </w:rPr>
            <w:t>山东省住房和城乡建设厅关于实施工程造价咨询企业信用等级动态评价的通知</w:t>
          </w:r>
          <w:r>
            <w:rPr>
              <w:rFonts w:ascii="宋体" w:hAnsi="宋体" w:eastAsia="宋体" w:cs="宋体"/>
              <w:spacing w:val="-75"/>
              <w:position w:val="1"/>
              <w:sz w:val="20"/>
              <w:szCs w:val="20"/>
            </w:rPr>
            <w:t xml:space="preserve"> </w:t>
          </w:r>
          <w:r>
            <w:rPr>
              <w:rFonts w:ascii="宋体" w:hAnsi="宋体" w:eastAsia="宋体" w:cs="宋体"/>
              <w:position w:val="1"/>
              <w:sz w:val="20"/>
              <w:szCs w:val="20"/>
            </w:rPr>
            <w:tab/>
          </w:r>
          <w:r>
            <w:rPr>
              <w:rFonts w:ascii="宋体" w:hAnsi="宋体" w:eastAsia="宋体" w:cs="宋体"/>
              <w:spacing w:val="4"/>
              <w:position w:val="1"/>
              <w:sz w:val="20"/>
              <w:szCs w:val="20"/>
            </w:rPr>
            <w:t>280</w:t>
          </w:r>
          <w:r>
            <w:rPr>
              <w:rFonts w:ascii="宋体" w:hAnsi="宋体" w:eastAsia="宋体" w:cs="宋体"/>
              <w:spacing w:val="4"/>
              <w:position w:val="1"/>
              <w:sz w:val="20"/>
              <w:szCs w:val="20"/>
            </w:rPr>
            <w:fldChar w:fldCharType="end"/>
          </w:r>
        </w:p>
        <w:p>
          <w:pPr>
            <w:spacing w:before="122" w:line="276" w:lineRule="exact"/>
            <w:ind w:left="16"/>
            <w:rPr>
              <w:rFonts w:ascii="宋体" w:hAnsi="宋体" w:eastAsia="宋体" w:cs="宋体"/>
              <w:sz w:val="20"/>
              <w:szCs w:val="20"/>
            </w:rPr>
          </w:pPr>
          <w:r>
            <w:fldChar w:fldCharType="begin"/>
          </w:r>
          <w:r>
            <w:instrText xml:space="preserve"> HYPERLINK \l "bookmark122" </w:instrText>
          </w:r>
          <w:r>
            <w:fldChar w:fldCharType="separate"/>
          </w:r>
          <w:r>
            <w:rPr>
              <w:rFonts w:ascii="宋体" w:hAnsi="宋体" w:eastAsia="宋体" w:cs="宋体"/>
              <w:spacing w:val="9"/>
              <w:position w:val="1"/>
              <w:sz w:val="20"/>
              <w:szCs w:val="20"/>
            </w:rPr>
            <w:t>山东省住房和城乡建设厅关于发布《〈建设工程工程量清单计价标准〉实施指引》的通知</w:t>
          </w:r>
          <w:r>
            <w:rPr>
              <w:rFonts w:ascii="宋体" w:hAnsi="宋体" w:eastAsia="宋体" w:cs="宋体"/>
              <w:spacing w:val="9"/>
              <w:position w:val="1"/>
              <w:sz w:val="20"/>
              <w:szCs w:val="20"/>
            </w:rPr>
            <w:fldChar w:fldCharType="end"/>
          </w:r>
        </w:p>
        <w:p>
          <w:pPr>
            <w:tabs>
              <w:tab w:val="right" w:leader="dot" w:pos="9062"/>
            </w:tabs>
            <w:spacing w:before="125" w:line="274" w:lineRule="exact"/>
            <w:ind w:left="425"/>
            <w:rPr>
              <w:rFonts w:ascii="宋体" w:hAnsi="宋体" w:eastAsia="宋体" w:cs="宋体"/>
              <w:sz w:val="20"/>
              <w:szCs w:val="20"/>
            </w:rPr>
          </w:pPr>
          <w:r>
            <w:fldChar w:fldCharType="begin"/>
          </w:r>
          <w:r>
            <w:instrText xml:space="preserve"> HYPERLINK \l "bookmark122" </w:instrText>
          </w:r>
          <w:r>
            <w:fldChar w:fldCharType="separate"/>
          </w:r>
          <w:r>
            <w:rPr>
              <w:rFonts w:ascii="KaiTi_GB2312" w:hAnsi="KaiTi_GB2312" w:eastAsia="KaiTi_GB2312" w:cs="KaiTi_GB2312"/>
              <w:spacing w:val="-4"/>
              <w:position w:val="1"/>
              <w:sz w:val="20"/>
              <w:szCs w:val="20"/>
            </w:rPr>
            <w:t>鲁建标字【2025】6</w:t>
          </w:r>
          <w:r>
            <w:rPr>
              <w:rFonts w:ascii="KaiTi_GB2312" w:hAnsi="KaiTi_GB2312" w:eastAsia="KaiTi_GB2312" w:cs="KaiTi_GB2312"/>
              <w:spacing w:val="-35"/>
              <w:position w:val="1"/>
              <w:sz w:val="20"/>
              <w:szCs w:val="20"/>
            </w:rPr>
            <w:t xml:space="preserve"> </w:t>
          </w:r>
          <w:r>
            <w:rPr>
              <w:rFonts w:ascii="KaiTi_GB2312" w:hAnsi="KaiTi_GB2312" w:eastAsia="KaiTi_GB2312" w:cs="KaiTi_GB2312"/>
              <w:spacing w:val="-4"/>
              <w:position w:val="1"/>
              <w:sz w:val="20"/>
              <w:szCs w:val="20"/>
            </w:rPr>
            <w:t>号</w:t>
          </w:r>
          <w:r>
            <w:rPr>
              <w:rFonts w:ascii="KaiTi_GB2312" w:hAnsi="KaiTi_GB2312" w:eastAsia="KaiTi_GB2312" w:cs="KaiTi_GB2312"/>
              <w:spacing w:val="-86"/>
              <w:position w:val="1"/>
              <w:sz w:val="20"/>
              <w:szCs w:val="20"/>
            </w:rPr>
            <w:t xml:space="preserve"> </w:t>
          </w:r>
          <w:r>
            <w:rPr>
              <w:rFonts w:ascii="KaiTi_GB2312" w:hAnsi="KaiTi_GB2312" w:eastAsia="KaiTi_GB2312" w:cs="KaiTi_GB2312"/>
              <w:position w:val="1"/>
              <w:sz w:val="20"/>
              <w:szCs w:val="20"/>
            </w:rPr>
            <w:tab/>
          </w:r>
          <w:r>
            <w:rPr>
              <w:rFonts w:ascii="宋体" w:hAnsi="宋体" w:eastAsia="宋体" w:cs="宋体"/>
              <w:spacing w:val="3"/>
              <w:position w:val="1"/>
              <w:sz w:val="20"/>
              <w:szCs w:val="20"/>
            </w:rPr>
            <w:t>286</w:t>
          </w:r>
          <w:r>
            <w:rPr>
              <w:rFonts w:ascii="宋体" w:hAnsi="宋体" w:eastAsia="宋体" w:cs="宋体"/>
              <w:spacing w:val="3"/>
              <w:position w:val="1"/>
              <w:sz w:val="20"/>
              <w:szCs w:val="20"/>
            </w:rPr>
            <w:fldChar w:fldCharType="end"/>
          </w:r>
        </w:p>
        <w:p>
          <w:pPr>
            <w:spacing w:before="130" w:line="220" w:lineRule="auto"/>
            <w:ind w:left="16"/>
            <w:rPr>
              <w:rFonts w:ascii="宋体" w:hAnsi="宋体" w:eastAsia="宋体" w:cs="宋体"/>
              <w:sz w:val="20"/>
              <w:szCs w:val="20"/>
            </w:rPr>
          </w:pPr>
          <w:r>
            <w:fldChar w:fldCharType="begin"/>
          </w:r>
          <w:r>
            <w:instrText xml:space="preserve"> HYPERLINK \l "bookmark123" </w:instrText>
          </w:r>
          <w:r>
            <w:fldChar w:fldCharType="separate"/>
          </w:r>
          <w:r>
            <w:rPr>
              <w:rFonts w:ascii="宋体" w:hAnsi="宋体" w:eastAsia="宋体" w:cs="宋体"/>
              <w:spacing w:val="9"/>
              <w:sz w:val="20"/>
              <w:szCs w:val="20"/>
            </w:rPr>
            <w:t>山东省住房和城乡建设厅关于发布建设工程造价计价依据的通知</w:t>
          </w:r>
          <w:r>
            <w:rPr>
              <w:rFonts w:ascii="宋体" w:hAnsi="宋体" w:eastAsia="宋体" w:cs="宋体"/>
              <w:spacing w:val="9"/>
              <w:sz w:val="20"/>
              <w:szCs w:val="20"/>
            </w:rPr>
            <w:fldChar w:fldCharType="end"/>
          </w:r>
        </w:p>
        <w:p>
          <w:pPr>
            <w:tabs>
              <w:tab w:val="right" w:leader="dot" w:pos="9062"/>
            </w:tabs>
            <w:spacing w:before="157" w:line="274" w:lineRule="exact"/>
            <w:ind w:left="425"/>
            <w:rPr>
              <w:rFonts w:ascii="宋体" w:hAnsi="宋体" w:eastAsia="宋体" w:cs="宋体"/>
              <w:sz w:val="20"/>
              <w:szCs w:val="20"/>
            </w:rPr>
          </w:pPr>
          <w:r>
            <w:fldChar w:fldCharType="begin"/>
          </w:r>
          <w:r>
            <w:instrText xml:space="preserve"> HYPERLINK \l "bookmark124" </w:instrText>
          </w:r>
          <w:r>
            <w:fldChar w:fldCharType="separate"/>
          </w:r>
          <w:r>
            <w:rPr>
              <w:rFonts w:ascii="KaiTi_GB2312" w:hAnsi="KaiTi_GB2312" w:eastAsia="KaiTi_GB2312" w:cs="KaiTi_GB2312"/>
              <w:spacing w:val="-4"/>
              <w:position w:val="1"/>
              <w:sz w:val="20"/>
              <w:szCs w:val="20"/>
            </w:rPr>
            <w:t>鲁建标字【2025】7</w:t>
          </w:r>
          <w:r>
            <w:rPr>
              <w:rFonts w:ascii="KaiTi_GB2312" w:hAnsi="KaiTi_GB2312" w:eastAsia="KaiTi_GB2312" w:cs="KaiTi_GB2312"/>
              <w:spacing w:val="-35"/>
              <w:position w:val="1"/>
              <w:sz w:val="20"/>
              <w:szCs w:val="20"/>
            </w:rPr>
            <w:t xml:space="preserve"> </w:t>
          </w:r>
          <w:r>
            <w:rPr>
              <w:rFonts w:ascii="KaiTi_GB2312" w:hAnsi="KaiTi_GB2312" w:eastAsia="KaiTi_GB2312" w:cs="KaiTi_GB2312"/>
              <w:spacing w:val="-4"/>
              <w:position w:val="1"/>
              <w:sz w:val="20"/>
              <w:szCs w:val="20"/>
            </w:rPr>
            <w:t>号</w:t>
          </w:r>
          <w:r>
            <w:rPr>
              <w:rFonts w:ascii="KaiTi_GB2312" w:hAnsi="KaiTi_GB2312" w:eastAsia="KaiTi_GB2312" w:cs="KaiTi_GB2312"/>
              <w:spacing w:val="-86"/>
              <w:position w:val="1"/>
              <w:sz w:val="20"/>
              <w:szCs w:val="20"/>
            </w:rPr>
            <w:t xml:space="preserve"> </w:t>
          </w:r>
          <w:r>
            <w:rPr>
              <w:rFonts w:ascii="KaiTi_GB2312" w:hAnsi="KaiTi_GB2312" w:eastAsia="KaiTi_GB2312" w:cs="KaiTi_GB2312"/>
              <w:position w:val="1"/>
              <w:sz w:val="20"/>
              <w:szCs w:val="20"/>
            </w:rPr>
            <w:tab/>
          </w:r>
          <w:r>
            <w:rPr>
              <w:rFonts w:ascii="宋体" w:hAnsi="宋体" w:eastAsia="宋体" w:cs="宋体"/>
              <w:spacing w:val="3"/>
              <w:position w:val="1"/>
              <w:sz w:val="20"/>
              <w:szCs w:val="20"/>
            </w:rPr>
            <w:t>287</w:t>
          </w:r>
          <w:r>
            <w:rPr>
              <w:rFonts w:ascii="宋体" w:hAnsi="宋体" w:eastAsia="宋体" w:cs="宋体"/>
              <w:spacing w:val="3"/>
              <w:position w:val="1"/>
              <w:sz w:val="20"/>
              <w:szCs w:val="20"/>
            </w:rPr>
            <w:fldChar w:fldCharType="end"/>
          </w:r>
        </w:p>
        <w:p>
          <w:pPr>
            <w:spacing w:before="130" w:line="221" w:lineRule="auto"/>
            <w:jc w:val="right"/>
            <w:rPr>
              <w:rFonts w:ascii="宋体" w:hAnsi="宋体" w:eastAsia="宋体" w:cs="宋体"/>
              <w:sz w:val="20"/>
              <w:szCs w:val="20"/>
            </w:rPr>
          </w:pPr>
          <w:r>
            <w:fldChar w:fldCharType="begin"/>
          </w:r>
          <w:r>
            <w:instrText xml:space="preserve"> HYPERLINK \l "bookmark125" </w:instrText>
          </w:r>
          <w:r>
            <w:fldChar w:fldCharType="separate"/>
          </w:r>
          <w:r>
            <w:rPr>
              <w:rFonts w:ascii="宋体" w:hAnsi="宋体" w:eastAsia="宋体" w:cs="宋体"/>
              <w:spacing w:val="12"/>
              <w:sz w:val="20"/>
              <w:szCs w:val="20"/>
            </w:rPr>
            <w:t>山东省住房和城乡建设厅</w:t>
          </w:r>
          <w:r>
            <w:rPr>
              <w:rFonts w:ascii="宋体" w:hAnsi="宋体" w:eastAsia="宋体" w:cs="宋体"/>
              <w:spacing w:val="32"/>
              <w:sz w:val="20"/>
              <w:szCs w:val="20"/>
            </w:rPr>
            <w:t xml:space="preserve"> </w:t>
          </w:r>
          <w:r>
            <w:rPr>
              <w:rFonts w:ascii="宋体" w:hAnsi="宋体" w:eastAsia="宋体" w:cs="宋体"/>
              <w:spacing w:val="12"/>
              <w:sz w:val="20"/>
              <w:szCs w:val="20"/>
            </w:rPr>
            <w:t>山东省发展和改革委员会</w:t>
          </w:r>
          <w:r>
            <w:rPr>
              <w:rFonts w:ascii="宋体" w:hAnsi="宋体" w:eastAsia="宋体" w:cs="宋体"/>
              <w:spacing w:val="33"/>
              <w:sz w:val="20"/>
              <w:szCs w:val="20"/>
            </w:rPr>
            <w:t xml:space="preserve"> </w:t>
          </w:r>
          <w:r>
            <w:rPr>
              <w:rFonts w:ascii="宋体" w:hAnsi="宋体" w:eastAsia="宋体" w:cs="宋体"/>
              <w:spacing w:val="11"/>
              <w:sz w:val="20"/>
              <w:szCs w:val="20"/>
            </w:rPr>
            <w:t>山东省财政厅 山东省人民政府国有资产监督</w:t>
          </w:r>
          <w:r>
            <w:rPr>
              <w:rFonts w:ascii="宋体" w:hAnsi="宋体" w:eastAsia="宋体" w:cs="宋体"/>
              <w:spacing w:val="11"/>
              <w:sz w:val="20"/>
              <w:szCs w:val="20"/>
            </w:rPr>
            <w:fldChar w:fldCharType="end"/>
          </w:r>
        </w:p>
        <w:p>
          <w:pPr>
            <w:spacing w:before="160" w:line="223" w:lineRule="auto"/>
            <w:ind w:left="3"/>
            <w:rPr>
              <w:rFonts w:ascii="宋体" w:hAnsi="宋体" w:eastAsia="宋体" w:cs="宋体"/>
              <w:sz w:val="20"/>
              <w:szCs w:val="20"/>
            </w:rPr>
          </w:pPr>
          <w:r>
            <w:fldChar w:fldCharType="begin"/>
          </w:r>
          <w:r>
            <w:instrText xml:space="preserve"> HYPERLINK \l "bookmark125" </w:instrText>
          </w:r>
          <w:r>
            <w:fldChar w:fldCharType="separate"/>
          </w:r>
          <w:r>
            <w:rPr>
              <w:rFonts w:ascii="宋体" w:hAnsi="宋体" w:eastAsia="宋体" w:cs="宋体"/>
              <w:spacing w:val="10"/>
              <w:sz w:val="20"/>
              <w:szCs w:val="20"/>
            </w:rPr>
            <w:t>管理委员会关于在全省房屋市政工程领域推行无争</w:t>
          </w:r>
          <w:r>
            <w:rPr>
              <w:rFonts w:ascii="宋体" w:hAnsi="宋体" w:eastAsia="宋体" w:cs="宋体"/>
              <w:spacing w:val="9"/>
              <w:sz w:val="20"/>
              <w:szCs w:val="20"/>
            </w:rPr>
            <w:t>议价款结算支付的意见</w:t>
          </w:r>
          <w:r>
            <w:rPr>
              <w:rFonts w:ascii="宋体" w:hAnsi="宋体" w:eastAsia="宋体" w:cs="宋体"/>
              <w:spacing w:val="9"/>
              <w:sz w:val="20"/>
              <w:szCs w:val="20"/>
            </w:rPr>
            <w:fldChar w:fldCharType="end"/>
          </w:r>
        </w:p>
        <w:p>
          <w:pPr>
            <w:tabs>
              <w:tab w:val="right" w:leader="dot" w:pos="9062"/>
            </w:tabs>
            <w:spacing w:before="155" w:line="272" w:lineRule="exact"/>
            <w:ind w:left="425"/>
            <w:rPr>
              <w:rFonts w:ascii="宋体" w:hAnsi="宋体" w:eastAsia="宋体" w:cs="宋体"/>
              <w:sz w:val="20"/>
              <w:szCs w:val="20"/>
            </w:rPr>
          </w:pPr>
          <w:r>
            <w:fldChar w:fldCharType="begin"/>
          </w:r>
          <w:r>
            <w:instrText xml:space="preserve"> HYPERLINK \l "bookmark125" </w:instrText>
          </w:r>
          <w:r>
            <w:fldChar w:fldCharType="separate"/>
          </w:r>
          <w:r>
            <w:rPr>
              <w:rFonts w:ascii="KaiTi_GB2312" w:hAnsi="KaiTi_GB2312" w:eastAsia="KaiTi_GB2312" w:cs="KaiTi_GB2312"/>
              <w:spacing w:val="-10"/>
              <w:position w:val="1"/>
              <w:sz w:val="20"/>
              <w:szCs w:val="20"/>
            </w:rPr>
            <w:t>鲁建建管字【2025】7</w:t>
          </w:r>
          <w:r>
            <w:rPr>
              <w:rFonts w:ascii="KaiTi_GB2312" w:hAnsi="KaiTi_GB2312" w:eastAsia="KaiTi_GB2312" w:cs="KaiTi_GB2312"/>
              <w:spacing w:val="-50"/>
              <w:position w:val="1"/>
              <w:sz w:val="20"/>
              <w:szCs w:val="20"/>
            </w:rPr>
            <w:t xml:space="preserve"> </w:t>
          </w:r>
          <w:r>
            <w:rPr>
              <w:rFonts w:ascii="KaiTi_GB2312" w:hAnsi="KaiTi_GB2312" w:eastAsia="KaiTi_GB2312" w:cs="KaiTi_GB2312"/>
              <w:spacing w:val="-10"/>
              <w:position w:val="1"/>
              <w:sz w:val="20"/>
              <w:szCs w:val="20"/>
            </w:rPr>
            <w:t>号</w:t>
          </w:r>
          <w:r>
            <w:rPr>
              <w:rFonts w:ascii="KaiTi_GB2312" w:hAnsi="KaiTi_GB2312" w:eastAsia="KaiTi_GB2312" w:cs="KaiTi_GB2312"/>
              <w:spacing w:val="-85"/>
              <w:position w:val="1"/>
              <w:sz w:val="20"/>
              <w:szCs w:val="20"/>
            </w:rPr>
            <w:t xml:space="preserve"> </w:t>
          </w:r>
          <w:r>
            <w:rPr>
              <w:rFonts w:ascii="KaiTi_GB2312" w:hAnsi="KaiTi_GB2312" w:eastAsia="KaiTi_GB2312" w:cs="KaiTi_GB2312"/>
              <w:position w:val="1"/>
              <w:sz w:val="20"/>
              <w:szCs w:val="20"/>
            </w:rPr>
            <w:tab/>
          </w:r>
          <w:r>
            <w:rPr>
              <w:rFonts w:ascii="宋体" w:hAnsi="宋体" w:eastAsia="宋体" w:cs="宋体"/>
              <w:spacing w:val="3"/>
              <w:position w:val="1"/>
              <w:sz w:val="20"/>
              <w:szCs w:val="20"/>
            </w:rPr>
            <w:t>288</w:t>
          </w:r>
          <w:r>
            <w:rPr>
              <w:rFonts w:ascii="宋体" w:hAnsi="宋体" w:eastAsia="宋体" w:cs="宋体"/>
              <w:spacing w:val="3"/>
              <w:position w:val="1"/>
              <w:sz w:val="20"/>
              <w:szCs w:val="20"/>
            </w:rPr>
            <w:fldChar w:fldCharType="end"/>
          </w:r>
        </w:p>
        <w:p>
          <w:pPr>
            <w:spacing w:before="132" w:line="220" w:lineRule="auto"/>
            <w:ind w:left="16"/>
            <w:rPr>
              <w:rFonts w:ascii="宋体" w:hAnsi="宋体" w:eastAsia="宋体" w:cs="宋体"/>
              <w:sz w:val="20"/>
              <w:szCs w:val="20"/>
            </w:rPr>
          </w:pPr>
          <w:r>
            <w:fldChar w:fldCharType="begin"/>
          </w:r>
          <w:r>
            <w:instrText xml:space="preserve"> HYPERLINK \l "bookmark126" </w:instrText>
          </w:r>
          <w:r>
            <w:fldChar w:fldCharType="separate"/>
          </w:r>
          <w:r>
            <w:rPr>
              <w:rFonts w:ascii="宋体" w:hAnsi="宋体" w:eastAsia="宋体" w:cs="宋体"/>
              <w:spacing w:val="9"/>
              <w:sz w:val="20"/>
              <w:szCs w:val="20"/>
            </w:rPr>
            <w:t>山东省住房和城乡建设厅关于规范造价咨询活动提高结算质量的通知</w:t>
          </w:r>
          <w:r>
            <w:rPr>
              <w:rFonts w:ascii="宋体" w:hAnsi="宋体" w:eastAsia="宋体" w:cs="宋体"/>
              <w:spacing w:val="9"/>
              <w:sz w:val="20"/>
              <w:szCs w:val="20"/>
            </w:rPr>
            <w:fldChar w:fldCharType="end"/>
          </w:r>
        </w:p>
        <w:p>
          <w:pPr>
            <w:tabs>
              <w:tab w:val="right" w:leader="dot" w:pos="9062"/>
            </w:tabs>
            <w:spacing w:before="159" w:line="272" w:lineRule="exact"/>
            <w:ind w:left="425"/>
            <w:rPr>
              <w:rFonts w:ascii="宋体" w:hAnsi="宋体" w:eastAsia="宋体" w:cs="宋体"/>
              <w:sz w:val="20"/>
              <w:szCs w:val="20"/>
            </w:rPr>
          </w:pPr>
          <w:r>
            <w:fldChar w:fldCharType="begin"/>
          </w:r>
          <w:r>
            <w:instrText xml:space="preserve"> HYPERLINK \l "bookmark127" </w:instrText>
          </w:r>
          <w:r>
            <w:fldChar w:fldCharType="separate"/>
          </w:r>
          <w:r>
            <w:rPr>
              <w:rFonts w:ascii="KaiTi_GB2312" w:hAnsi="KaiTi_GB2312" w:eastAsia="KaiTi_GB2312" w:cs="KaiTi_GB2312"/>
              <w:spacing w:val="-10"/>
              <w:position w:val="1"/>
              <w:sz w:val="20"/>
              <w:szCs w:val="20"/>
            </w:rPr>
            <w:t>鲁建建管字【2025】8</w:t>
          </w:r>
          <w:r>
            <w:rPr>
              <w:rFonts w:ascii="KaiTi_GB2312" w:hAnsi="KaiTi_GB2312" w:eastAsia="KaiTi_GB2312" w:cs="KaiTi_GB2312"/>
              <w:spacing w:val="-50"/>
              <w:position w:val="1"/>
              <w:sz w:val="20"/>
              <w:szCs w:val="20"/>
            </w:rPr>
            <w:t xml:space="preserve"> </w:t>
          </w:r>
          <w:r>
            <w:rPr>
              <w:rFonts w:ascii="KaiTi_GB2312" w:hAnsi="KaiTi_GB2312" w:eastAsia="KaiTi_GB2312" w:cs="KaiTi_GB2312"/>
              <w:spacing w:val="-10"/>
              <w:position w:val="1"/>
              <w:sz w:val="20"/>
              <w:szCs w:val="20"/>
            </w:rPr>
            <w:t>号</w:t>
          </w:r>
          <w:r>
            <w:rPr>
              <w:rFonts w:ascii="KaiTi_GB2312" w:hAnsi="KaiTi_GB2312" w:eastAsia="KaiTi_GB2312" w:cs="KaiTi_GB2312"/>
              <w:spacing w:val="-85"/>
              <w:position w:val="1"/>
              <w:sz w:val="20"/>
              <w:szCs w:val="20"/>
            </w:rPr>
            <w:t xml:space="preserve"> </w:t>
          </w:r>
          <w:r>
            <w:rPr>
              <w:rFonts w:ascii="KaiTi_GB2312" w:hAnsi="KaiTi_GB2312" w:eastAsia="KaiTi_GB2312" w:cs="KaiTi_GB2312"/>
              <w:position w:val="1"/>
              <w:sz w:val="20"/>
              <w:szCs w:val="20"/>
            </w:rPr>
            <w:tab/>
          </w:r>
          <w:r>
            <w:rPr>
              <w:rFonts w:ascii="宋体" w:hAnsi="宋体" w:eastAsia="宋体" w:cs="宋体"/>
              <w:spacing w:val="3"/>
              <w:position w:val="1"/>
              <w:sz w:val="20"/>
              <w:szCs w:val="20"/>
            </w:rPr>
            <w:t>290</w:t>
          </w:r>
          <w:r>
            <w:rPr>
              <w:rFonts w:ascii="宋体" w:hAnsi="宋体" w:eastAsia="宋体" w:cs="宋体"/>
              <w:spacing w:val="3"/>
              <w:position w:val="1"/>
              <w:sz w:val="20"/>
              <w:szCs w:val="20"/>
            </w:rPr>
            <w:fldChar w:fldCharType="end"/>
          </w:r>
        </w:p>
      </w:sdtContent>
    </w:sdt>
    <w:p>
      <w:pPr>
        <w:spacing w:line="272" w:lineRule="exact"/>
        <w:rPr>
          <w:rFonts w:ascii="宋体" w:hAnsi="宋体" w:eastAsia="宋体" w:cs="宋体"/>
          <w:sz w:val="20"/>
          <w:szCs w:val="20"/>
        </w:rPr>
        <w:sectPr>
          <w:pgSz w:w="11907" w:h="16840"/>
          <w:pgMar w:top="1431" w:right="1418" w:bottom="400" w:left="1421" w:header="0" w:footer="0" w:gutter="0"/>
        </w:sectPr>
      </w:pPr>
    </w:p>
    <w:sdt>
      <w:sdtPr>
        <w:rPr>
          <w:rFonts w:ascii="宋体" w:hAnsi="宋体" w:eastAsia="宋体" w:cs="宋体"/>
          <w:sz w:val="20"/>
          <w:szCs w:val="20"/>
        </w:rPr>
        <w:id w:val="0"/>
        <w:docPartObj>
          <w:docPartGallery w:val="Table of Contents"/>
          <w:docPartUnique/>
        </w:docPartObj>
      </w:sdtPr>
      <w:sdtEndPr>
        <w:rPr>
          <w:rFonts w:ascii="宋体" w:hAnsi="宋体" w:eastAsia="宋体" w:cs="宋体"/>
          <w:sz w:val="20"/>
          <w:szCs w:val="20"/>
        </w:rPr>
      </w:sdtEndPr>
      <w:sdtContent>
        <w:p>
          <w:pPr>
            <w:tabs>
              <w:tab w:val="right" w:leader="dot" w:pos="9050"/>
            </w:tabs>
            <w:spacing w:before="126" w:line="278" w:lineRule="exact"/>
            <w:ind w:left="17"/>
            <w:rPr>
              <w:rFonts w:ascii="宋体" w:hAnsi="宋体" w:eastAsia="宋体" w:cs="宋体"/>
              <w:sz w:val="20"/>
              <w:szCs w:val="20"/>
            </w:rPr>
          </w:pPr>
          <w:r>
            <w:fldChar w:fldCharType="begin"/>
          </w:r>
          <w:r>
            <w:instrText xml:space="preserve"> HYPERLINK \l "bookmark128" </w:instrText>
          </w:r>
          <w:r>
            <w:fldChar w:fldCharType="separate"/>
          </w:r>
          <w:r>
            <w:rPr>
              <w:rFonts w:ascii="宋体" w:hAnsi="宋体" w:eastAsia="宋体" w:cs="宋体"/>
              <w:spacing w:val="9"/>
              <w:position w:val="1"/>
              <w:sz w:val="20"/>
              <w:szCs w:val="20"/>
            </w:rPr>
            <w:t>山东省住房和城乡建设厅关于落实房屋市政工程建设单位质量首要责任的通知</w:t>
          </w:r>
          <w:r>
            <w:rPr>
              <w:rFonts w:ascii="宋体" w:hAnsi="宋体" w:eastAsia="宋体" w:cs="宋体"/>
              <w:spacing w:val="-75"/>
              <w:position w:val="1"/>
              <w:sz w:val="20"/>
              <w:szCs w:val="20"/>
            </w:rPr>
            <w:t xml:space="preserve"> </w:t>
          </w:r>
          <w:r>
            <w:rPr>
              <w:rFonts w:ascii="宋体" w:hAnsi="宋体" w:eastAsia="宋体" w:cs="宋体"/>
              <w:position w:val="1"/>
              <w:sz w:val="20"/>
              <w:szCs w:val="20"/>
            </w:rPr>
            <w:tab/>
          </w:r>
          <w:r>
            <w:rPr>
              <w:rFonts w:ascii="宋体" w:hAnsi="宋体" w:eastAsia="宋体" w:cs="宋体"/>
              <w:spacing w:val="4"/>
              <w:position w:val="1"/>
              <w:sz w:val="20"/>
              <w:szCs w:val="20"/>
            </w:rPr>
            <w:t>292</w:t>
          </w:r>
          <w:r>
            <w:rPr>
              <w:rFonts w:ascii="宋体" w:hAnsi="宋体" w:eastAsia="宋体" w:cs="宋体"/>
              <w:spacing w:val="4"/>
              <w:position w:val="1"/>
              <w:sz w:val="20"/>
              <w:szCs w:val="20"/>
            </w:rPr>
            <w:fldChar w:fldCharType="end"/>
          </w:r>
        </w:p>
        <w:p>
          <w:pPr>
            <w:spacing w:before="120" w:line="276" w:lineRule="exact"/>
            <w:jc w:val="right"/>
            <w:rPr>
              <w:rFonts w:ascii="宋体" w:hAnsi="宋体" w:eastAsia="宋体" w:cs="宋体"/>
              <w:sz w:val="20"/>
              <w:szCs w:val="20"/>
            </w:rPr>
          </w:pPr>
          <w:r>
            <w:fldChar w:fldCharType="begin"/>
          </w:r>
          <w:r>
            <w:instrText xml:space="preserve"> HYPERLINK \l "bookmark129" </w:instrText>
          </w:r>
          <w:r>
            <w:fldChar w:fldCharType="separate"/>
          </w:r>
          <w:r>
            <w:rPr>
              <w:rFonts w:ascii="宋体" w:hAnsi="宋体" w:eastAsia="宋体" w:cs="宋体"/>
              <w:spacing w:val="10"/>
              <w:position w:val="1"/>
              <w:sz w:val="20"/>
              <w:szCs w:val="20"/>
            </w:rPr>
            <w:t>山东省住房和城乡建设厅 山东省总工会关</w:t>
          </w:r>
          <w:r>
            <w:rPr>
              <w:rFonts w:ascii="宋体" w:hAnsi="宋体" w:eastAsia="宋体" w:cs="宋体"/>
              <w:spacing w:val="9"/>
              <w:position w:val="1"/>
              <w:sz w:val="20"/>
              <w:szCs w:val="20"/>
            </w:rPr>
            <w:t>于公布</w:t>
          </w:r>
          <w:r>
            <w:rPr>
              <w:rFonts w:ascii="宋体" w:hAnsi="宋体" w:eastAsia="宋体" w:cs="宋体"/>
              <w:spacing w:val="-39"/>
              <w:position w:val="1"/>
              <w:sz w:val="20"/>
              <w:szCs w:val="20"/>
            </w:rPr>
            <w:t xml:space="preserve"> </w:t>
          </w:r>
          <w:r>
            <w:rPr>
              <w:rFonts w:ascii="宋体" w:hAnsi="宋体" w:eastAsia="宋体" w:cs="宋体"/>
              <w:spacing w:val="9"/>
              <w:position w:val="1"/>
              <w:sz w:val="20"/>
              <w:szCs w:val="20"/>
            </w:rPr>
            <w:t>2025</w:t>
          </w:r>
          <w:r>
            <w:rPr>
              <w:rFonts w:ascii="宋体" w:hAnsi="宋体" w:eastAsia="宋体" w:cs="宋体"/>
              <w:spacing w:val="-37"/>
              <w:position w:val="1"/>
              <w:sz w:val="20"/>
              <w:szCs w:val="20"/>
            </w:rPr>
            <w:t xml:space="preserve"> </w:t>
          </w:r>
          <w:r>
            <w:rPr>
              <w:rFonts w:ascii="宋体" w:hAnsi="宋体" w:eastAsia="宋体" w:cs="宋体"/>
              <w:spacing w:val="9"/>
              <w:position w:val="1"/>
              <w:sz w:val="20"/>
              <w:szCs w:val="20"/>
            </w:rPr>
            <w:t>年度山东省数智造价创新应用技能竞赛成绩</w:t>
          </w:r>
          <w:r>
            <w:rPr>
              <w:rFonts w:ascii="宋体" w:hAnsi="宋体" w:eastAsia="宋体" w:cs="宋体"/>
              <w:spacing w:val="9"/>
              <w:position w:val="1"/>
              <w:sz w:val="20"/>
              <w:szCs w:val="20"/>
            </w:rPr>
            <w:fldChar w:fldCharType="end"/>
          </w:r>
        </w:p>
        <w:p>
          <w:pPr>
            <w:tabs>
              <w:tab w:val="right" w:leader="dot" w:pos="9049"/>
            </w:tabs>
            <w:spacing w:before="124" w:line="280" w:lineRule="exact"/>
            <w:ind w:left="18"/>
            <w:rPr>
              <w:rFonts w:ascii="宋体" w:hAnsi="宋体" w:eastAsia="宋体" w:cs="宋体"/>
              <w:sz w:val="20"/>
              <w:szCs w:val="20"/>
            </w:rPr>
          </w:pPr>
          <w:r>
            <w:fldChar w:fldCharType="begin"/>
          </w:r>
          <w:r>
            <w:instrText xml:space="preserve"> HYPERLINK \l "bookmark129" </w:instrText>
          </w:r>
          <w:r>
            <w:fldChar w:fldCharType="separate"/>
          </w:r>
          <w:r>
            <w:rPr>
              <w:rFonts w:ascii="宋体" w:hAnsi="宋体" w:eastAsia="宋体" w:cs="宋体"/>
              <w:spacing w:val="2"/>
              <w:position w:val="1"/>
              <w:sz w:val="20"/>
              <w:szCs w:val="20"/>
            </w:rPr>
            <w:t>的通知</w:t>
          </w:r>
          <w:r>
            <w:rPr>
              <w:rFonts w:ascii="宋体" w:hAnsi="宋体" w:eastAsia="宋体" w:cs="宋体"/>
              <w:spacing w:val="-88"/>
              <w:position w:val="1"/>
              <w:sz w:val="20"/>
              <w:szCs w:val="20"/>
            </w:rPr>
            <w:t xml:space="preserve"> </w:t>
          </w:r>
          <w:r>
            <w:rPr>
              <w:rFonts w:ascii="宋体" w:hAnsi="宋体" w:eastAsia="宋体" w:cs="宋体"/>
              <w:position w:val="1"/>
              <w:sz w:val="20"/>
              <w:szCs w:val="20"/>
            </w:rPr>
            <w:tab/>
          </w:r>
          <w:r>
            <w:rPr>
              <w:rFonts w:ascii="宋体" w:hAnsi="宋体" w:eastAsia="宋体" w:cs="宋体"/>
              <w:spacing w:val="3"/>
              <w:position w:val="1"/>
              <w:sz w:val="20"/>
              <w:szCs w:val="20"/>
            </w:rPr>
            <w:t>295</w:t>
          </w:r>
          <w:r>
            <w:rPr>
              <w:rFonts w:ascii="宋体" w:hAnsi="宋体" w:eastAsia="宋体" w:cs="宋体"/>
              <w:spacing w:val="3"/>
              <w:position w:val="1"/>
              <w:sz w:val="20"/>
              <w:szCs w:val="20"/>
            </w:rPr>
            <w:fldChar w:fldCharType="end"/>
          </w:r>
        </w:p>
        <w:p>
          <w:pPr>
            <w:tabs>
              <w:tab w:val="right" w:leader="dot" w:pos="9055"/>
            </w:tabs>
            <w:spacing w:before="120" w:line="277" w:lineRule="exact"/>
            <w:ind w:left="8"/>
            <w:rPr>
              <w:rFonts w:ascii="宋体" w:hAnsi="宋体" w:eastAsia="宋体" w:cs="宋体"/>
              <w:sz w:val="20"/>
              <w:szCs w:val="20"/>
            </w:rPr>
          </w:pPr>
          <w:r>
            <w:fldChar w:fldCharType="begin"/>
          </w:r>
          <w:r>
            <w:instrText xml:space="preserve"> HYPERLINK \l "bookmark130" </w:instrText>
          </w:r>
          <w:r>
            <w:fldChar w:fldCharType="separate"/>
          </w:r>
          <w:r>
            <w:rPr>
              <w:rFonts w:ascii="宋体" w:hAnsi="宋体" w:eastAsia="宋体" w:cs="宋体"/>
              <w:spacing w:val="10"/>
              <w:position w:val="1"/>
              <w:sz w:val="20"/>
              <w:szCs w:val="20"/>
            </w:rPr>
            <w:t>淄博市住房和城乡建设局关于调整我市建设工程</w:t>
          </w:r>
          <w:r>
            <w:rPr>
              <w:rFonts w:ascii="宋体" w:hAnsi="宋体" w:eastAsia="宋体" w:cs="宋体"/>
              <w:spacing w:val="9"/>
              <w:position w:val="1"/>
              <w:sz w:val="20"/>
              <w:szCs w:val="20"/>
            </w:rPr>
            <w:t>计价依据解释工作有关事项的通知</w:t>
          </w:r>
          <w:r>
            <w:rPr>
              <w:rFonts w:ascii="宋体" w:hAnsi="宋体" w:eastAsia="宋体" w:cs="宋体"/>
              <w:spacing w:val="-85"/>
              <w:position w:val="1"/>
              <w:sz w:val="20"/>
              <w:szCs w:val="20"/>
            </w:rPr>
            <w:t xml:space="preserve"> </w:t>
          </w:r>
          <w:r>
            <w:rPr>
              <w:rFonts w:ascii="宋体" w:hAnsi="宋体" w:eastAsia="宋体" w:cs="宋体"/>
              <w:position w:val="1"/>
              <w:sz w:val="20"/>
              <w:szCs w:val="20"/>
            </w:rPr>
            <w:tab/>
          </w:r>
          <w:r>
            <w:rPr>
              <w:rFonts w:ascii="宋体" w:hAnsi="宋体" w:eastAsia="宋体" w:cs="宋体"/>
              <w:spacing w:val="4"/>
              <w:position w:val="1"/>
              <w:sz w:val="20"/>
              <w:szCs w:val="20"/>
            </w:rPr>
            <w:t>301</w:t>
          </w:r>
          <w:r>
            <w:rPr>
              <w:rFonts w:ascii="宋体" w:hAnsi="宋体" w:eastAsia="宋体" w:cs="宋体"/>
              <w:spacing w:val="4"/>
              <w:position w:val="1"/>
              <w:sz w:val="20"/>
              <w:szCs w:val="20"/>
            </w:rPr>
            <w:fldChar w:fldCharType="end"/>
          </w:r>
        </w:p>
        <w:p>
          <w:pPr>
            <w:spacing w:before="125" w:line="222" w:lineRule="auto"/>
            <w:ind w:left="8"/>
            <w:rPr>
              <w:rFonts w:ascii="宋体" w:hAnsi="宋体" w:eastAsia="宋体" w:cs="宋体"/>
              <w:sz w:val="20"/>
              <w:szCs w:val="20"/>
            </w:rPr>
          </w:pPr>
          <w:r>
            <w:fldChar w:fldCharType="begin"/>
          </w:r>
          <w:r>
            <w:instrText xml:space="preserve"> HYPERLINK \l "bookmark131" </w:instrText>
          </w:r>
          <w:r>
            <w:fldChar w:fldCharType="separate"/>
          </w:r>
          <w:r>
            <w:rPr>
              <w:rFonts w:ascii="宋体" w:hAnsi="宋体" w:eastAsia="宋体" w:cs="宋体"/>
              <w:spacing w:val="10"/>
              <w:sz w:val="20"/>
              <w:szCs w:val="20"/>
            </w:rPr>
            <w:t>淄博市住房和城乡建设局关于动态调整淄博市工程造价咨</w:t>
          </w:r>
          <w:r>
            <w:rPr>
              <w:rFonts w:ascii="宋体" w:hAnsi="宋体" w:eastAsia="宋体" w:cs="宋体"/>
              <w:spacing w:val="9"/>
              <w:sz w:val="20"/>
              <w:szCs w:val="20"/>
            </w:rPr>
            <w:t>询行业骨干企业和行业专家的通知</w:t>
          </w:r>
          <w:r>
            <w:rPr>
              <w:rFonts w:ascii="宋体" w:hAnsi="宋体" w:eastAsia="宋体" w:cs="宋体"/>
              <w:spacing w:val="9"/>
              <w:sz w:val="20"/>
              <w:szCs w:val="20"/>
            </w:rPr>
            <w:fldChar w:fldCharType="end"/>
          </w:r>
        </w:p>
        <w:p>
          <w:pPr>
            <w:tabs>
              <w:tab w:val="right" w:leader="dot" w:pos="9065"/>
            </w:tabs>
            <w:spacing w:before="157" w:line="275" w:lineRule="exact"/>
            <w:ind w:left="437"/>
            <w:rPr>
              <w:rFonts w:ascii="宋体" w:hAnsi="宋体" w:eastAsia="宋体" w:cs="宋体"/>
              <w:sz w:val="20"/>
              <w:szCs w:val="20"/>
            </w:rPr>
          </w:pPr>
          <w:r>
            <w:fldChar w:fldCharType="begin"/>
          </w:r>
          <w:r>
            <w:instrText xml:space="preserve"> HYPERLINK \l "bookmark131" </w:instrText>
          </w:r>
          <w:r>
            <w:fldChar w:fldCharType="separate"/>
          </w:r>
          <w:r>
            <w:rPr>
              <w:rFonts w:ascii="楷体" w:hAnsi="楷体" w:eastAsia="楷体" w:cs="楷体"/>
              <w:spacing w:val="3"/>
              <w:position w:val="1"/>
              <w:sz w:val="20"/>
              <w:szCs w:val="20"/>
            </w:rPr>
            <w:t>淄建函发〔2025〕33</w:t>
          </w:r>
          <w:r>
            <w:rPr>
              <w:rFonts w:ascii="楷体" w:hAnsi="楷体" w:eastAsia="楷体" w:cs="楷体"/>
              <w:spacing w:val="-20"/>
              <w:position w:val="1"/>
              <w:sz w:val="20"/>
              <w:szCs w:val="20"/>
            </w:rPr>
            <w:t xml:space="preserve"> </w:t>
          </w:r>
          <w:r>
            <w:rPr>
              <w:rFonts w:ascii="楷体" w:hAnsi="楷体" w:eastAsia="楷体" w:cs="楷体"/>
              <w:spacing w:val="3"/>
              <w:position w:val="1"/>
              <w:sz w:val="20"/>
              <w:szCs w:val="20"/>
            </w:rPr>
            <w:t>号</w:t>
          </w:r>
          <w:r>
            <w:rPr>
              <w:rFonts w:ascii="楷体" w:hAnsi="楷体" w:eastAsia="楷体" w:cs="楷体"/>
              <w:spacing w:val="-85"/>
              <w:position w:val="1"/>
              <w:sz w:val="20"/>
              <w:szCs w:val="20"/>
            </w:rPr>
            <w:t xml:space="preserve"> </w:t>
          </w:r>
          <w:r>
            <w:rPr>
              <w:rFonts w:ascii="楷体" w:hAnsi="楷体" w:eastAsia="楷体" w:cs="楷体"/>
              <w:position w:val="1"/>
              <w:sz w:val="20"/>
              <w:szCs w:val="20"/>
            </w:rPr>
            <w:tab/>
          </w:r>
          <w:r>
            <w:rPr>
              <w:rFonts w:ascii="宋体" w:hAnsi="宋体" w:eastAsia="宋体" w:cs="宋体"/>
              <w:spacing w:val="5"/>
              <w:position w:val="1"/>
              <w:sz w:val="20"/>
              <w:szCs w:val="20"/>
            </w:rPr>
            <w:t>304</w:t>
          </w:r>
          <w:r>
            <w:rPr>
              <w:rFonts w:ascii="宋体" w:hAnsi="宋体" w:eastAsia="宋体" w:cs="宋体"/>
              <w:spacing w:val="5"/>
              <w:position w:val="1"/>
              <w:sz w:val="20"/>
              <w:szCs w:val="20"/>
            </w:rPr>
            <w:fldChar w:fldCharType="end"/>
          </w:r>
        </w:p>
        <w:p>
          <w:pPr>
            <w:spacing w:before="126" w:line="276" w:lineRule="exact"/>
            <w:ind w:left="8"/>
            <w:rPr>
              <w:rFonts w:ascii="宋体" w:hAnsi="宋体" w:eastAsia="宋体" w:cs="宋体"/>
              <w:sz w:val="20"/>
              <w:szCs w:val="20"/>
            </w:rPr>
          </w:pPr>
          <w:r>
            <w:fldChar w:fldCharType="begin"/>
          </w:r>
          <w:r>
            <w:instrText xml:space="preserve"> HYPERLINK \l "bookmark132" </w:instrText>
          </w:r>
          <w:r>
            <w:fldChar w:fldCharType="separate"/>
          </w:r>
          <w:r>
            <w:rPr>
              <w:rFonts w:ascii="宋体" w:hAnsi="宋体" w:eastAsia="宋体" w:cs="宋体"/>
              <w:spacing w:val="10"/>
              <w:position w:val="1"/>
              <w:sz w:val="20"/>
              <w:szCs w:val="20"/>
            </w:rPr>
            <w:t>淄博市住房和城乡建设局关于转发《山东省住房和城乡建设厅关于发</w:t>
          </w:r>
          <w:r>
            <w:rPr>
              <w:rFonts w:ascii="宋体" w:hAnsi="宋体" w:eastAsia="宋体" w:cs="宋体"/>
              <w:spacing w:val="9"/>
              <w:position w:val="1"/>
              <w:sz w:val="20"/>
              <w:szCs w:val="20"/>
            </w:rPr>
            <w:t>布建设工程造价计价依据的通</w:t>
          </w:r>
          <w:r>
            <w:rPr>
              <w:rFonts w:ascii="宋体" w:hAnsi="宋体" w:eastAsia="宋体" w:cs="宋体"/>
              <w:spacing w:val="9"/>
              <w:position w:val="1"/>
              <w:sz w:val="20"/>
              <w:szCs w:val="20"/>
            </w:rPr>
            <w:fldChar w:fldCharType="end"/>
          </w:r>
        </w:p>
        <w:p>
          <w:pPr>
            <w:tabs>
              <w:tab w:val="right" w:leader="dot" w:pos="9057"/>
            </w:tabs>
            <w:spacing w:before="122" w:line="280" w:lineRule="exact"/>
            <w:ind w:left="4"/>
            <w:rPr>
              <w:rFonts w:ascii="宋体" w:hAnsi="宋体" w:eastAsia="宋体" w:cs="宋体"/>
              <w:sz w:val="20"/>
              <w:szCs w:val="20"/>
            </w:rPr>
          </w:pPr>
          <w:r>
            <w:fldChar w:fldCharType="begin"/>
          </w:r>
          <w:r>
            <w:instrText xml:space="preserve"> HYPERLINK \l "bookmark132" </w:instrText>
          </w:r>
          <w:r>
            <w:fldChar w:fldCharType="separate"/>
          </w:r>
          <w:r>
            <w:rPr>
              <w:rFonts w:ascii="宋体" w:hAnsi="宋体" w:eastAsia="宋体" w:cs="宋体"/>
              <w:spacing w:val="8"/>
              <w:position w:val="1"/>
              <w:sz w:val="20"/>
              <w:szCs w:val="20"/>
            </w:rPr>
            <w:t>知》的通知</w:t>
          </w:r>
          <w:r>
            <w:rPr>
              <w:rFonts w:ascii="宋体" w:hAnsi="宋体" w:eastAsia="宋体" w:cs="宋体"/>
              <w:spacing w:val="-88"/>
              <w:position w:val="1"/>
              <w:sz w:val="20"/>
              <w:szCs w:val="20"/>
            </w:rPr>
            <w:t xml:space="preserve"> </w:t>
          </w:r>
          <w:r>
            <w:rPr>
              <w:rFonts w:ascii="宋体" w:hAnsi="宋体" w:eastAsia="宋体" w:cs="宋体"/>
              <w:position w:val="1"/>
              <w:sz w:val="20"/>
              <w:szCs w:val="20"/>
            </w:rPr>
            <w:tab/>
          </w:r>
          <w:r>
            <w:rPr>
              <w:rFonts w:ascii="宋体" w:hAnsi="宋体" w:eastAsia="宋体" w:cs="宋体"/>
              <w:spacing w:val="4"/>
              <w:position w:val="1"/>
              <w:sz w:val="20"/>
              <w:szCs w:val="20"/>
            </w:rPr>
            <w:t>310</w:t>
          </w:r>
          <w:r>
            <w:rPr>
              <w:rFonts w:ascii="宋体" w:hAnsi="宋体" w:eastAsia="宋体" w:cs="宋体"/>
              <w:spacing w:val="4"/>
              <w:position w:val="1"/>
              <w:sz w:val="20"/>
              <w:szCs w:val="20"/>
            </w:rPr>
            <w:fldChar w:fldCharType="end"/>
          </w:r>
        </w:p>
        <w:p>
          <w:pPr>
            <w:spacing w:before="121" w:line="277" w:lineRule="exact"/>
            <w:rPr>
              <w:rFonts w:ascii="宋体" w:hAnsi="宋体" w:eastAsia="宋体" w:cs="宋体"/>
              <w:sz w:val="20"/>
              <w:szCs w:val="20"/>
            </w:rPr>
          </w:pPr>
          <w:r>
            <w:fldChar w:fldCharType="begin"/>
          </w:r>
          <w:r>
            <w:instrText xml:space="preserve"> HYPERLINK \l "bookmark133" </w:instrText>
          </w:r>
          <w:r>
            <w:fldChar w:fldCharType="separate"/>
          </w:r>
          <w:r>
            <w:rPr>
              <w:rFonts w:ascii="宋体" w:hAnsi="宋体" w:eastAsia="宋体" w:cs="宋体"/>
              <w:spacing w:val="9"/>
              <w:position w:val="1"/>
              <w:sz w:val="20"/>
              <w:szCs w:val="20"/>
            </w:rPr>
            <w:t>关于公布</w:t>
          </w:r>
          <w:r>
            <w:rPr>
              <w:rFonts w:ascii="宋体" w:hAnsi="宋体" w:eastAsia="宋体" w:cs="宋体"/>
              <w:spacing w:val="-42"/>
              <w:position w:val="1"/>
              <w:sz w:val="20"/>
              <w:szCs w:val="20"/>
            </w:rPr>
            <w:t xml:space="preserve"> </w:t>
          </w:r>
          <w:r>
            <w:rPr>
              <w:rFonts w:ascii="宋体" w:hAnsi="宋体" w:eastAsia="宋体" w:cs="宋体"/>
              <w:spacing w:val="9"/>
              <w:position w:val="1"/>
              <w:sz w:val="20"/>
              <w:szCs w:val="20"/>
            </w:rPr>
            <w:t>2025</w:t>
          </w:r>
          <w:r>
            <w:rPr>
              <w:rFonts w:ascii="宋体" w:hAnsi="宋体" w:eastAsia="宋体" w:cs="宋体"/>
              <w:spacing w:val="-38"/>
              <w:position w:val="1"/>
              <w:sz w:val="20"/>
              <w:szCs w:val="20"/>
            </w:rPr>
            <w:t xml:space="preserve"> </w:t>
          </w:r>
          <w:r>
            <w:rPr>
              <w:rFonts w:ascii="宋体" w:hAnsi="宋体" w:eastAsia="宋体" w:cs="宋体"/>
              <w:spacing w:val="9"/>
              <w:position w:val="1"/>
              <w:sz w:val="20"/>
              <w:szCs w:val="20"/>
            </w:rPr>
            <w:t>年淄博市“技能兴淄”住建行业职业技能</w:t>
          </w:r>
          <w:r>
            <w:rPr>
              <w:rFonts w:ascii="宋体" w:hAnsi="宋体" w:eastAsia="宋体" w:cs="宋体"/>
              <w:spacing w:val="8"/>
              <w:position w:val="1"/>
              <w:sz w:val="20"/>
              <w:szCs w:val="20"/>
            </w:rPr>
            <w:t>竞赛获奖名单的通知</w:t>
          </w:r>
          <w:r>
            <w:rPr>
              <w:rFonts w:ascii="宋体" w:hAnsi="宋体" w:eastAsia="宋体" w:cs="宋体"/>
              <w:spacing w:val="8"/>
              <w:position w:val="1"/>
              <w:sz w:val="20"/>
              <w:szCs w:val="20"/>
            </w:rPr>
            <w:fldChar w:fldCharType="end"/>
          </w:r>
        </w:p>
        <w:p>
          <w:pPr>
            <w:tabs>
              <w:tab w:val="right" w:leader="dot" w:pos="9065"/>
            </w:tabs>
            <w:spacing w:before="124" w:line="275" w:lineRule="exact"/>
            <w:ind w:left="437"/>
            <w:rPr>
              <w:rFonts w:ascii="宋体" w:hAnsi="宋体" w:eastAsia="宋体" w:cs="宋体"/>
              <w:sz w:val="20"/>
              <w:szCs w:val="20"/>
            </w:rPr>
          </w:pPr>
          <w:r>
            <w:fldChar w:fldCharType="begin"/>
          </w:r>
          <w:r>
            <w:instrText xml:space="preserve"> HYPERLINK \l "bookmark133" </w:instrText>
          </w:r>
          <w:r>
            <w:fldChar w:fldCharType="separate"/>
          </w:r>
          <w:r>
            <w:rPr>
              <w:rFonts w:ascii="楷体" w:hAnsi="楷体" w:eastAsia="楷体" w:cs="楷体"/>
              <w:spacing w:val="3"/>
              <w:position w:val="1"/>
              <w:sz w:val="20"/>
              <w:szCs w:val="20"/>
            </w:rPr>
            <w:t>淄建函发〔2025〕40</w:t>
          </w:r>
          <w:r>
            <w:rPr>
              <w:rFonts w:ascii="楷体" w:hAnsi="楷体" w:eastAsia="楷体" w:cs="楷体"/>
              <w:spacing w:val="-20"/>
              <w:position w:val="1"/>
              <w:sz w:val="20"/>
              <w:szCs w:val="20"/>
            </w:rPr>
            <w:t xml:space="preserve"> </w:t>
          </w:r>
          <w:r>
            <w:rPr>
              <w:rFonts w:ascii="楷体" w:hAnsi="楷体" w:eastAsia="楷体" w:cs="楷体"/>
              <w:spacing w:val="3"/>
              <w:position w:val="1"/>
              <w:sz w:val="20"/>
              <w:szCs w:val="20"/>
            </w:rPr>
            <w:t>号</w:t>
          </w:r>
          <w:r>
            <w:rPr>
              <w:rFonts w:ascii="楷体" w:hAnsi="楷体" w:eastAsia="楷体" w:cs="楷体"/>
              <w:spacing w:val="-85"/>
              <w:position w:val="1"/>
              <w:sz w:val="20"/>
              <w:szCs w:val="20"/>
            </w:rPr>
            <w:t xml:space="preserve"> </w:t>
          </w:r>
          <w:r>
            <w:rPr>
              <w:rFonts w:ascii="楷体" w:hAnsi="楷体" w:eastAsia="楷体" w:cs="楷体"/>
              <w:position w:val="1"/>
              <w:sz w:val="20"/>
              <w:szCs w:val="20"/>
            </w:rPr>
            <w:tab/>
          </w:r>
          <w:r>
            <w:rPr>
              <w:rFonts w:ascii="宋体" w:hAnsi="宋体" w:eastAsia="宋体" w:cs="宋体"/>
              <w:spacing w:val="5"/>
              <w:position w:val="1"/>
              <w:sz w:val="20"/>
              <w:szCs w:val="20"/>
            </w:rPr>
            <w:t>311</w:t>
          </w:r>
          <w:r>
            <w:rPr>
              <w:rFonts w:ascii="宋体" w:hAnsi="宋体" w:eastAsia="宋体" w:cs="宋体"/>
              <w:spacing w:val="5"/>
              <w:position w:val="1"/>
              <w:sz w:val="20"/>
              <w:szCs w:val="20"/>
            </w:rPr>
            <w:fldChar w:fldCharType="end"/>
          </w:r>
        </w:p>
        <w:p>
          <w:pPr>
            <w:spacing w:before="123" w:line="276" w:lineRule="exact"/>
            <w:ind w:left="8"/>
            <w:rPr>
              <w:rFonts w:ascii="宋体" w:hAnsi="宋体" w:eastAsia="宋体" w:cs="宋体"/>
              <w:sz w:val="20"/>
              <w:szCs w:val="20"/>
            </w:rPr>
          </w:pPr>
          <w:r>
            <w:fldChar w:fldCharType="begin"/>
          </w:r>
          <w:r>
            <w:instrText xml:space="preserve"> HYPERLINK \l "bookmark134" </w:instrText>
          </w:r>
          <w:r>
            <w:fldChar w:fldCharType="separate"/>
          </w:r>
          <w:r>
            <w:rPr>
              <w:rFonts w:ascii="宋体" w:hAnsi="宋体" w:eastAsia="宋体" w:cs="宋体"/>
              <w:spacing w:val="12"/>
              <w:position w:val="1"/>
              <w:sz w:val="20"/>
              <w:szCs w:val="20"/>
            </w:rPr>
            <w:t>淄博市住房和城乡建设局关于公布</w:t>
          </w:r>
          <w:r>
            <w:rPr>
              <w:rFonts w:ascii="宋体" w:hAnsi="宋体" w:eastAsia="宋体" w:cs="宋体"/>
              <w:spacing w:val="-37"/>
              <w:position w:val="1"/>
              <w:sz w:val="20"/>
              <w:szCs w:val="20"/>
            </w:rPr>
            <w:t xml:space="preserve"> </w:t>
          </w:r>
          <w:r>
            <w:rPr>
              <w:rFonts w:ascii="宋体" w:hAnsi="宋体" w:eastAsia="宋体" w:cs="宋体"/>
              <w:spacing w:val="12"/>
              <w:position w:val="1"/>
              <w:sz w:val="20"/>
              <w:szCs w:val="20"/>
            </w:rPr>
            <w:t>2025</w:t>
          </w:r>
          <w:r>
            <w:rPr>
              <w:rFonts w:ascii="宋体" w:hAnsi="宋体" w:eastAsia="宋体" w:cs="宋体"/>
              <w:spacing w:val="-36"/>
              <w:position w:val="1"/>
              <w:sz w:val="20"/>
              <w:szCs w:val="20"/>
            </w:rPr>
            <w:t xml:space="preserve"> </w:t>
          </w:r>
          <w:r>
            <w:rPr>
              <w:rFonts w:ascii="宋体" w:hAnsi="宋体" w:eastAsia="宋体" w:cs="宋体"/>
              <w:spacing w:val="12"/>
              <w:position w:val="1"/>
              <w:sz w:val="20"/>
              <w:szCs w:val="20"/>
            </w:rPr>
            <w:t>年度淄博市房屋建筑和市政道路工程平方米造价估价表的</w:t>
          </w:r>
          <w:r>
            <w:rPr>
              <w:rFonts w:ascii="宋体" w:hAnsi="宋体" w:eastAsia="宋体" w:cs="宋体"/>
              <w:spacing w:val="12"/>
              <w:position w:val="1"/>
              <w:sz w:val="20"/>
              <w:szCs w:val="20"/>
            </w:rPr>
            <w:fldChar w:fldCharType="end"/>
          </w:r>
        </w:p>
        <w:p>
          <w:pPr>
            <w:tabs>
              <w:tab w:val="right" w:leader="dot" w:pos="9047"/>
            </w:tabs>
            <w:spacing w:before="125" w:line="280" w:lineRule="exact"/>
            <w:ind w:left="2"/>
            <w:rPr>
              <w:rFonts w:ascii="宋体" w:hAnsi="宋体" w:eastAsia="宋体" w:cs="宋体"/>
              <w:sz w:val="20"/>
              <w:szCs w:val="20"/>
            </w:rPr>
          </w:pPr>
          <w:r>
            <w:fldChar w:fldCharType="begin"/>
          </w:r>
          <w:r>
            <w:instrText xml:space="preserve"> HYPERLINK \l "bookmark134" </w:instrText>
          </w:r>
          <w:r>
            <w:fldChar w:fldCharType="separate"/>
          </w:r>
          <w:r>
            <w:rPr>
              <w:rFonts w:ascii="宋体" w:hAnsi="宋体" w:eastAsia="宋体" w:cs="宋体"/>
              <w:spacing w:val="6"/>
              <w:position w:val="1"/>
              <w:sz w:val="20"/>
              <w:szCs w:val="20"/>
            </w:rPr>
            <w:t>通知</w:t>
          </w:r>
          <w:r>
            <w:rPr>
              <w:rFonts w:ascii="宋体" w:hAnsi="宋体" w:eastAsia="宋体" w:cs="宋体"/>
              <w:spacing w:val="-86"/>
              <w:position w:val="1"/>
              <w:sz w:val="20"/>
              <w:szCs w:val="20"/>
            </w:rPr>
            <w:t xml:space="preserve"> </w:t>
          </w:r>
          <w:r>
            <w:rPr>
              <w:rFonts w:ascii="宋体" w:hAnsi="宋体" w:eastAsia="宋体" w:cs="宋体"/>
              <w:position w:val="1"/>
              <w:sz w:val="20"/>
              <w:szCs w:val="20"/>
            </w:rPr>
            <w:tab/>
          </w:r>
          <w:r>
            <w:rPr>
              <w:rFonts w:ascii="宋体" w:hAnsi="宋体" w:eastAsia="宋体" w:cs="宋体"/>
              <w:spacing w:val="4"/>
              <w:position w:val="1"/>
              <w:sz w:val="20"/>
              <w:szCs w:val="20"/>
            </w:rPr>
            <w:t>314</w:t>
          </w:r>
          <w:r>
            <w:rPr>
              <w:rFonts w:ascii="宋体" w:hAnsi="宋体" w:eastAsia="宋体" w:cs="宋体"/>
              <w:spacing w:val="4"/>
              <w:position w:val="1"/>
              <w:sz w:val="20"/>
              <w:szCs w:val="20"/>
            </w:rPr>
            <w:fldChar w:fldCharType="end"/>
          </w:r>
        </w:p>
      </w:sdtContent>
    </w:sdt>
    <w:p>
      <w:pPr>
        <w:spacing w:line="280" w:lineRule="exact"/>
        <w:rPr>
          <w:rFonts w:ascii="宋体" w:hAnsi="宋体" w:eastAsia="宋体" w:cs="宋体"/>
          <w:sz w:val="20"/>
          <w:szCs w:val="20"/>
        </w:rPr>
        <w:sectPr>
          <w:pgSz w:w="11907" w:h="16840"/>
          <w:pgMar w:top="1431" w:right="1419" w:bottom="400" w:left="1420" w:header="0" w:footer="0" w:gutter="0"/>
        </w:sectPr>
      </w:pPr>
    </w:p>
    <w:p>
      <w:pPr>
        <w:spacing w:before="158" w:line="239" w:lineRule="auto"/>
        <w:ind w:left="2678"/>
        <w:outlineLvl w:val="0"/>
        <w:rPr>
          <w:rFonts w:ascii="方正小标宋简体" w:hAnsi="方正小标宋简体" w:eastAsia="方正小标宋简体" w:cs="方正小标宋简体"/>
          <w:sz w:val="43"/>
          <w:szCs w:val="43"/>
        </w:rPr>
      </w:pPr>
      <w:bookmarkStart w:id="1" w:name="bookmark4"/>
      <w:bookmarkEnd w:id="1"/>
      <w:bookmarkStart w:id="2" w:name="bookmark3"/>
      <w:bookmarkEnd w:id="2"/>
      <w:bookmarkStart w:id="3" w:name="bookmark2"/>
      <w:bookmarkEnd w:id="3"/>
      <w:r>
        <w:rPr>
          <w:rFonts w:ascii="方正小标宋简体" w:hAnsi="方正小标宋简体" w:eastAsia="方正小标宋简体" w:cs="方正小标宋简体"/>
          <w:spacing w:val="6"/>
          <w:sz w:val="43"/>
          <w:szCs w:val="43"/>
        </w:rPr>
        <w:t>第一部分    概算定额</w:t>
      </w:r>
    </w:p>
    <w:p>
      <w:pPr>
        <w:spacing w:line="249" w:lineRule="auto"/>
        <w:rPr>
          <w:rFonts w:ascii="Arial"/>
          <w:sz w:val="21"/>
        </w:rPr>
      </w:pPr>
    </w:p>
    <w:p>
      <w:pPr>
        <w:pStyle w:val="2"/>
        <w:spacing w:before="133" w:line="206" w:lineRule="auto"/>
        <w:ind w:left="2488"/>
        <w:outlineLvl w:val="0"/>
      </w:pPr>
      <w:bookmarkStart w:id="4" w:name="bookmark135"/>
      <w:bookmarkEnd w:id="4"/>
      <w:r>
        <w:rPr>
          <w:spacing w:val="7"/>
        </w:rPr>
        <w:t>第一章</w:t>
      </w:r>
      <w:r>
        <w:rPr>
          <w:spacing w:val="21"/>
        </w:rPr>
        <w:t xml:space="preserve">   </w:t>
      </w:r>
      <w:r>
        <w:rPr>
          <w:spacing w:val="7"/>
        </w:rPr>
        <w:t>建设项目概算费用组成</w:t>
      </w:r>
    </w:p>
    <w:p>
      <w:pPr>
        <w:spacing w:line="293" w:lineRule="auto"/>
        <w:rPr>
          <w:rFonts w:ascii="Arial"/>
          <w:sz w:val="21"/>
        </w:rPr>
      </w:pPr>
    </w:p>
    <w:p>
      <w:pPr>
        <w:spacing w:before="65" w:line="331" w:lineRule="auto"/>
        <w:ind w:left="131" w:right="118" w:firstLine="411"/>
        <w:rPr>
          <w:rFonts w:ascii="宋体" w:hAnsi="宋体" w:eastAsia="宋体" w:cs="宋体"/>
          <w:sz w:val="20"/>
          <w:szCs w:val="20"/>
        </w:rPr>
      </w:pPr>
      <w:r>
        <w:rPr>
          <w:rFonts w:ascii="宋体" w:hAnsi="宋体" w:eastAsia="宋体" w:cs="宋体"/>
          <w:spacing w:val="11"/>
          <w:sz w:val="20"/>
          <w:szCs w:val="20"/>
        </w:rPr>
        <w:t>建设项目总投资组成一般应包括建设项目工程费、工程建设其他费、预备费、</w:t>
      </w:r>
      <w:r>
        <w:rPr>
          <w:rFonts w:ascii="宋体" w:hAnsi="宋体" w:eastAsia="宋体" w:cs="宋体"/>
          <w:spacing w:val="10"/>
          <w:sz w:val="20"/>
          <w:szCs w:val="20"/>
        </w:rPr>
        <w:t>资金筹措费、经</w:t>
      </w:r>
      <w:r>
        <w:rPr>
          <w:rFonts w:ascii="宋体" w:hAnsi="宋体" w:eastAsia="宋体" w:cs="宋体"/>
          <w:spacing w:val="7"/>
          <w:sz w:val="20"/>
          <w:szCs w:val="20"/>
        </w:rPr>
        <w:t>营性铺底流动资金等。</w:t>
      </w:r>
    </w:p>
    <w:p>
      <w:pPr>
        <w:spacing w:line="316" w:lineRule="auto"/>
        <w:ind w:left="121" w:right="54" w:firstLine="420"/>
        <w:rPr>
          <w:rFonts w:ascii="宋体" w:hAnsi="宋体" w:eastAsia="宋体" w:cs="宋体"/>
          <w:sz w:val="20"/>
          <w:szCs w:val="20"/>
        </w:rPr>
      </w:pPr>
      <w:r>
        <w:rPr>
          <w:rFonts w:ascii="宋体" w:hAnsi="宋体" w:eastAsia="宋体" w:cs="宋体"/>
          <w:spacing w:val="4"/>
          <w:sz w:val="20"/>
          <w:szCs w:val="20"/>
        </w:rPr>
        <w:t>建设项目概算费用的组成，详表</w:t>
      </w:r>
      <w:r>
        <w:rPr>
          <w:rFonts w:ascii="宋体" w:hAnsi="宋体" w:eastAsia="宋体" w:cs="宋体"/>
          <w:spacing w:val="-22"/>
          <w:sz w:val="20"/>
          <w:szCs w:val="20"/>
        </w:rPr>
        <w:t xml:space="preserve"> </w:t>
      </w:r>
      <w:r>
        <w:rPr>
          <w:rFonts w:ascii="宋体" w:hAnsi="宋体" w:eastAsia="宋体" w:cs="宋体"/>
          <w:spacing w:val="4"/>
          <w:sz w:val="20"/>
          <w:szCs w:val="20"/>
        </w:rPr>
        <w:t>1；建筑安装工程费的组成，详表</w:t>
      </w:r>
      <w:r>
        <w:rPr>
          <w:rFonts w:ascii="宋体" w:hAnsi="宋体" w:eastAsia="宋体" w:cs="宋体"/>
          <w:spacing w:val="-42"/>
          <w:sz w:val="20"/>
          <w:szCs w:val="20"/>
        </w:rPr>
        <w:t xml:space="preserve"> </w:t>
      </w:r>
      <w:r>
        <w:rPr>
          <w:rFonts w:ascii="宋体" w:hAnsi="宋体" w:eastAsia="宋体" w:cs="宋体"/>
          <w:spacing w:val="4"/>
          <w:sz w:val="20"/>
          <w:szCs w:val="20"/>
        </w:rPr>
        <w:t>2；专业工程措施项目一览表，</w:t>
      </w:r>
      <w:r>
        <w:rPr>
          <w:rFonts w:ascii="宋体" w:hAnsi="宋体" w:eastAsia="宋体" w:cs="宋体"/>
          <w:spacing w:val="2"/>
          <w:sz w:val="20"/>
          <w:szCs w:val="20"/>
        </w:rPr>
        <w:t>详表</w:t>
      </w:r>
      <w:r>
        <w:rPr>
          <w:rFonts w:ascii="宋体" w:hAnsi="宋体" w:eastAsia="宋体" w:cs="宋体"/>
          <w:spacing w:val="-39"/>
          <w:sz w:val="20"/>
          <w:szCs w:val="20"/>
        </w:rPr>
        <w:t xml:space="preserve"> </w:t>
      </w:r>
      <w:r>
        <w:rPr>
          <w:rFonts w:ascii="宋体" w:hAnsi="宋体" w:eastAsia="宋体" w:cs="宋体"/>
          <w:spacing w:val="2"/>
          <w:sz w:val="20"/>
          <w:szCs w:val="20"/>
        </w:rPr>
        <w:t>3。</w:t>
      </w:r>
    </w:p>
    <w:p>
      <w:pPr>
        <w:pStyle w:val="2"/>
        <w:spacing w:before="1" w:line="167" w:lineRule="auto"/>
        <w:ind w:left="3124"/>
        <w:rPr>
          <w:sz w:val="24"/>
          <w:szCs w:val="24"/>
        </w:rPr>
      </w:pPr>
      <w:r>
        <w:rPr>
          <w:spacing w:val="-3"/>
          <w:sz w:val="24"/>
          <w:szCs w:val="24"/>
        </w:rPr>
        <w:t>表 1</w:t>
      </w:r>
      <w:r>
        <w:rPr>
          <w:spacing w:val="13"/>
          <w:sz w:val="24"/>
          <w:szCs w:val="24"/>
        </w:rPr>
        <w:t xml:space="preserve">   </w:t>
      </w:r>
      <w:r>
        <w:rPr>
          <w:spacing w:val="-3"/>
          <w:sz w:val="24"/>
          <w:szCs w:val="24"/>
        </w:rPr>
        <w:t>建设项目概算费用组成</w:t>
      </w: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1434"/>
        <w:gridCol w:w="1259"/>
        <w:gridCol w:w="2097"/>
        <w:gridCol w:w="40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369" w:hRule="atLeast"/>
        </w:trPr>
        <w:tc>
          <w:tcPr>
            <w:tcW w:w="3160" w:type="dxa"/>
            <w:gridSpan w:val="3"/>
            <w:tcBorders>
              <w:top w:val="single" w:color="000000" w:sz="6" w:space="0"/>
              <w:left w:val="single" w:color="000000" w:sz="6" w:space="0"/>
            </w:tcBorders>
            <w:vAlign w:val="top"/>
          </w:tcPr>
          <w:p>
            <w:pPr>
              <w:spacing w:before="107" w:line="176" w:lineRule="auto"/>
              <w:ind w:left="954"/>
              <w:rPr>
                <w:rFonts w:ascii="微软雅黑" w:hAnsi="微软雅黑" w:eastAsia="微软雅黑" w:cs="微软雅黑"/>
                <w:sz w:val="20"/>
                <w:szCs w:val="20"/>
              </w:rPr>
            </w:pPr>
            <w:r>
              <w:rPr>
                <w:rFonts w:ascii="微软雅黑" w:hAnsi="微软雅黑" w:eastAsia="微软雅黑" w:cs="微软雅黑"/>
                <w:spacing w:val="7"/>
                <w:sz w:val="20"/>
                <w:szCs w:val="20"/>
              </w:rPr>
              <w:t>费用项目类别</w:t>
            </w:r>
          </w:p>
        </w:tc>
        <w:tc>
          <w:tcPr>
            <w:tcW w:w="2097" w:type="dxa"/>
            <w:tcBorders>
              <w:top w:val="single" w:color="000000" w:sz="6" w:space="0"/>
            </w:tcBorders>
            <w:vAlign w:val="top"/>
          </w:tcPr>
          <w:p>
            <w:pPr>
              <w:spacing w:before="107" w:line="176" w:lineRule="auto"/>
              <w:ind w:left="427"/>
              <w:rPr>
                <w:rFonts w:ascii="微软雅黑" w:hAnsi="微软雅黑" w:eastAsia="微软雅黑" w:cs="微软雅黑"/>
                <w:sz w:val="20"/>
                <w:szCs w:val="20"/>
              </w:rPr>
            </w:pPr>
            <w:r>
              <w:rPr>
                <w:rFonts w:ascii="微软雅黑" w:hAnsi="微软雅黑" w:eastAsia="微软雅黑" w:cs="微软雅黑"/>
                <w:spacing w:val="7"/>
                <w:sz w:val="20"/>
                <w:szCs w:val="20"/>
              </w:rPr>
              <w:t>费用项目构成</w:t>
            </w:r>
          </w:p>
        </w:tc>
        <w:tc>
          <w:tcPr>
            <w:tcW w:w="4034" w:type="dxa"/>
            <w:tcBorders>
              <w:top w:val="single" w:color="000000" w:sz="6" w:space="0"/>
              <w:right w:val="single" w:color="000000" w:sz="6" w:space="0"/>
            </w:tcBorders>
            <w:vAlign w:val="top"/>
          </w:tcPr>
          <w:p>
            <w:pPr>
              <w:spacing w:before="107" w:line="176" w:lineRule="auto"/>
              <w:ind w:left="1606"/>
              <w:rPr>
                <w:rFonts w:ascii="微软雅黑" w:hAnsi="微软雅黑" w:eastAsia="微软雅黑" w:cs="微软雅黑"/>
                <w:sz w:val="20"/>
                <w:szCs w:val="20"/>
              </w:rPr>
            </w:pPr>
            <w:r>
              <w:rPr>
                <w:rFonts w:ascii="微软雅黑" w:hAnsi="微软雅黑" w:eastAsia="微软雅黑" w:cs="微软雅黑"/>
                <w:spacing w:val="5"/>
                <w:sz w:val="20"/>
                <w:szCs w:val="20"/>
              </w:rPr>
              <w:t>费用内容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364" w:hRule="atLeast"/>
        </w:trPr>
        <w:tc>
          <w:tcPr>
            <w:tcW w:w="467" w:type="dxa"/>
            <w:vMerge w:val="restart"/>
            <w:tcBorders>
              <w:left w:val="single" w:color="000000" w:sz="6" w:space="0"/>
              <w:bottom w:val="nil"/>
            </w:tcBorders>
            <w:textDirection w:val="tbRlV"/>
            <w:vAlign w:val="top"/>
          </w:tcPr>
          <w:p>
            <w:pPr>
              <w:spacing w:before="131" w:line="212" w:lineRule="auto"/>
              <w:ind w:left="2990"/>
              <w:rPr>
                <w:rFonts w:ascii="宋体" w:hAnsi="宋体" w:eastAsia="宋体" w:cs="宋体"/>
                <w:sz w:val="20"/>
                <w:szCs w:val="20"/>
              </w:rPr>
            </w:pPr>
            <w:r>
              <w:rPr>
                <w:rFonts w:ascii="宋体" w:hAnsi="宋体" w:eastAsia="宋体" w:cs="宋体"/>
                <w:b/>
                <w:bCs/>
                <w:spacing w:val="-9"/>
                <w:sz w:val="20"/>
                <w:szCs w:val="20"/>
              </w:rPr>
              <w:t>建</w:t>
            </w:r>
            <w:r>
              <w:rPr>
                <w:rFonts w:ascii="宋体" w:hAnsi="宋体" w:eastAsia="宋体" w:cs="宋体"/>
                <w:spacing w:val="67"/>
                <w:sz w:val="20"/>
                <w:szCs w:val="20"/>
              </w:rPr>
              <w:t xml:space="preserve"> </w:t>
            </w:r>
            <w:r>
              <w:rPr>
                <w:rFonts w:ascii="宋体" w:hAnsi="宋体" w:eastAsia="宋体" w:cs="宋体"/>
                <w:b/>
                <w:bCs/>
                <w:spacing w:val="-9"/>
                <w:sz w:val="20"/>
                <w:szCs w:val="20"/>
              </w:rPr>
              <w:t>设</w:t>
            </w:r>
            <w:r>
              <w:rPr>
                <w:rFonts w:ascii="宋体" w:hAnsi="宋体" w:eastAsia="宋体" w:cs="宋体"/>
                <w:spacing w:val="68"/>
                <w:sz w:val="20"/>
                <w:szCs w:val="20"/>
              </w:rPr>
              <w:t xml:space="preserve"> </w:t>
            </w:r>
            <w:r>
              <w:rPr>
                <w:rFonts w:ascii="宋体" w:hAnsi="宋体" w:eastAsia="宋体" w:cs="宋体"/>
                <w:b/>
                <w:bCs/>
                <w:spacing w:val="-9"/>
                <w:sz w:val="20"/>
                <w:szCs w:val="20"/>
              </w:rPr>
              <w:t>项</w:t>
            </w:r>
            <w:r>
              <w:rPr>
                <w:rFonts w:ascii="宋体" w:hAnsi="宋体" w:eastAsia="宋体" w:cs="宋体"/>
                <w:spacing w:val="75"/>
                <w:sz w:val="20"/>
                <w:szCs w:val="20"/>
              </w:rPr>
              <w:t xml:space="preserve"> </w:t>
            </w:r>
            <w:r>
              <w:rPr>
                <w:rFonts w:ascii="宋体" w:hAnsi="宋体" w:eastAsia="宋体" w:cs="宋体"/>
                <w:b/>
                <w:bCs/>
                <w:spacing w:val="-9"/>
                <w:position w:val="1"/>
                <w:sz w:val="20"/>
                <w:szCs w:val="20"/>
              </w:rPr>
              <w:t>目</w:t>
            </w:r>
            <w:r>
              <w:rPr>
                <w:rFonts w:ascii="宋体" w:hAnsi="宋体" w:eastAsia="宋体" w:cs="宋体"/>
                <w:spacing w:val="70"/>
                <w:position w:val="1"/>
                <w:sz w:val="20"/>
                <w:szCs w:val="20"/>
              </w:rPr>
              <w:t xml:space="preserve"> </w:t>
            </w:r>
            <w:r>
              <w:rPr>
                <w:rFonts w:ascii="宋体" w:hAnsi="宋体" w:eastAsia="宋体" w:cs="宋体"/>
                <w:b/>
                <w:bCs/>
                <w:spacing w:val="-9"/>
                <w:sz w:val="20"/>
                <w:szCs w:val="20"/>
              </w:rPr>
              <w:t>概</w:t>
            </w:r>
            <w:r>
              <w:rPr>
                <w:rFonts w:ascii="宋体" w:hAnsi="宋体" w:eastAsia="宋体" w:cs="宋体"/>
                <w:spacing w:val="62"/>
                <w:sz w:val="20"/>
                <w:szCs w:val="20"/>
              </w:rPr>
              <w:t xml:space="preserve"> </w:t>
            </w:r>
            <w:r>
              <w:rPr>
                <w:rFonts w:ascii="宋体" w:hAnsi="宋体" w:eastAsia="宋体" w:cs="宋体"/>
                <w:b/>
                <w:bCs/>
                <w:spacing w:val="-9"/>
                <w:sz w:val="20"/>
                <w:szCs w:val="20"/>
              </w:rPr>
              <w:t>算</w:t>
            </w:r>
            <w:r>
              <w:rPr>
                <w:rFonts w:ascii="宋体" w:hAnsi="宋体" w:eastAsia="宋体" w:cs="宋体"/>
                <w:spacing w:val="62"/>
                <w:sz w:val="20"/>
                <w:szCs w:val="20"/>
              </w:rPr>
              <w:t xml:space="preserve"> </w:t>
            </w:r>
            <w:r>
              <w:rPr>
                <w:rFonts w:ascii="宋体" w:hAnsi="宋体" w:eastAsia="宋体" w:cs="宋体"/>
                <w:b/>
                <w:bCs/>
                <w:spacing w:val="-9"/>
                <w:sz w:val="20"/>
                <w:szCs w:val="20"/>
              </w:rPr>
              <w:t>费</w:t>
            </w:r>
            <w:r>
              <w:rPr>
                <w:rFonts w:ascii="宋体" w:hAnsi="宋体" w:eastAsia="宋体" w:cs="宋体"/>
                <w:spacing w:val="66"/>
                <w:sz w:val="20"/>
                <w:szCs w:val="20"/>
              </w:rPr>
              <w:t xml:space="preserve"> </w:t>
            </w:r>
            <w:r>
              <w:rPr>
                <w:rFonts w:ascii="宋体" w:hAnsi="宋体" w:eastAsia="宋体" w:cs="宋体"/>
                <w:b/>
                <w:bCs/>
                <w:spacing w:val="-9"/>
                <w:sz w:val="20"/>
                <w:szCs w:val="20"/>
              </w:rPr>
              <w:t>用</w:t>
            </w:r>
            <w:r>
              <w:rPr>
                <w:rFonts w:ascii="宋体" w:hAnsi="宋体" w:eastAsia="宋体" w:cs="宋体"/>
                <w:spacing w:val="72"/>
                <w:sz w:val="20"/>
                <w:szCs w:val="20"/>
              </w:rPr>
              <w:t xml:space="preserve"> </w:t>
            </w:r>
            <w:r>
              <w:rPr>
                <w:rFonts w:ascii="宋体" w:hAnsi="宋体" w:eastAsia="宋体" w:cs="宋体"/>
                <w:b/>
                <w:bCs/>
                <w:spacing w:val="-9"/>
                <w:sz w:val="20"/>
                <w:szCs w:val="20"/>
              </w:rPr>
              <w:t>组</w:t>
            </w:r>
            <w:r>
              <w:rPr>
                <w:rFonts w:ascii="宋体" w:hAnsi="宋体" w:eastAsia="宋体" w:cs="宋体"/>
                <w:spacing w:val="71"/>
                <w:sz w:val="20"/>
                <w:szCs w:val="20"/>
              </w:rPr>
              <w:t xml:space="preserve"> </w:t>
            </w:r>
            <w:r>
              <w:rPr>
                <w:rFonts w:ascii="宋体" w:hAnsi="宋体" w:eastAsia="宋体" w:cs="宋体"/>
                <w:b/>
                <w:bCs/>
                <w:spacing w:val="-9"/>
                <w:sz w:val="20"/>
                <w:szCs w:val="20"/>
              </w:rPr>
              <w:t>成</w:t>
            </w:r>
          </w:p>
        </w:tc>
        <w:tc>
          <w:tcPr>
            <w:tcW w:w="1434" w:type="dxa"/>
            <w:vMerge w:val="restart"/>
            <w:tcBorders>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5" w:lineRule="auto"/>
            </w:pPr>
          </w:p>
          <w:p>
            <w:pPr>
              <w:spacing w:before="65" w:line="223" w:lineRule="auto"/>
              <w:ind w:left="293"/>
              <w:rPr>
                <w:rFonts w:ascii="宋体" w:hAnsi="宋体" w:eastAsia="宋体" w:cs="宋体"/>
                <w:sz w:val="20"/>
                <w:szCs w:val="20"/>
              </w:rPr>
            </w:pPr>
            <w:r>
              <w:rPr>
                <w:rFonts w:ascii="宋体" w:hAnsi="宋体" w:eastAsia="宋体" w:cs="宋体"/>
                <w:spacing w:val="8"/>
                <w:sz w:val="20"/>
                <w:szCs w:val="20"/>
              </w:rPr>
              <w:t>建设投资</w:t>
            </w:r>
          </w:p>
        </w:tc>
        <w:tc>
          <w:tcPr>
            <w:tcW w:w="1259" w:type="dxa"/>
            <w:vMerge w:val="restart"/>
            <w:tcBorders>
              <w:bottom w:val="nil"/>
            </w:tcBorders>
            <w:vAlign w:val="top"/>
          </w:tcPr>
          <w:p>
            <w:pPr>
              <w:pStyle w:val="6"/>
              <w:spacing w:line="268" w:lineRule="auto"/>
            </w:pPr>
          </w:p>
          <w:p>
            <w:pPr>
              <w:pStyle w:val="6"/>
              <w:spacing w:line="268" w:lineRule="auto"/>
            </w:pPr>
          </w:p>
          <w:p>
            <w:pPr>
              <w:pStyle w:val="6"/>
              <w:spacing w:line="269" w:lineRule="auto"/>
            </w:pPr>
          </w:p>
          <w:p>
            <w:pPr>
              <w:pStyle w:val="6"/>
              <w:spacing w:line="269" w:lineRule="auto"/>
            </w:pPr>
          </w:p>
          <w:p>
            <w:pPr>
              <w:pStyle w:val="6"/>
              <w:spacing w:line="269" w:lineRule="auto"/>
            </w:pPr>
          </w:p>
          <w:p>
            <w:pPr>
              <w:spacing w:before="65" w:line="221" w:lineRule="auto"/>
              <w:ind w:left="203"/>
              <w:rPr>
                <w:rFonts w:ascii="宋体" w:hAnsi="宋体" w:eastAsia="宋体" w:cs="宋体"/>
                <w:sz w:val="20"/>
                <w:szCs w:val="20"/>
              </w:rPr>
            </w:pPr>
            <w:r>
              <w:rPr>
                <w:rFonts w:ascii="宋体" w:hAnsi="宋体" w:eastAsia="宋体" w:cs="宋体"/>
                <w:spacing w:val="8"/>
                <w:sz w:val="20"/>
                <w:szCs w:val="20"/>
              </w:rPr>
              <w:t>第一部分</w:t>
            </w:r>
          </w:p>
          <w:p>
            <w:pPr>
              <w:spacing w:before="120" w:line="219" w:lineRule="auto"/>
              <w:ind w:left="205"/>
              <w:rPr>
                <w:rFonts w:ascii="宋体" w:hAnsi="宋体" w:eastAsia="宋体" w:cs="宋体"/>
                <w:sz w:val="20"/>
                <w:szCs w:val="20"/>
              </w:rPr>
            </w:pPr>
            <w:r>
              <w:rPr>
                <w:rFonts w:ascii="宋体" w:hAnsi="宋体" w:eastAsia="宋体" w:cs="宋体"/>
                <w:spacing w:val="8"/>
                <w:sz w:val="20"/>
                <w:szCs w:val="20"/>
              </w:rPr>
              <w:t>建设项目</w:t>
            </w:r>
          </w:p>
          <w:p>
            <w:pPr>
              <w:spacing w:before="126" w:line="219" w:lineRule="auto"/>
              <w:ind w:left="311"/>
              <w:rPr>
                <w:rFonts w:ascii="宋体" w:hAnsi="宋体" w:eastAsia="宋体" w:cs="宋体"/>
                <w:sz w:val="20"/>
                <w:szCs w:val="20"/>
              </w:rPr>
            </w:pPr>
            <w:r>
              <w:rPr>
                <w:rFonts w:ascii="宋体" w:hAnsi="宋体" w:eastAsia="宋体" w:cs="宋体"/>
                <w:spacing w:val="8"/>
                <w:sz w:val="20"/>
                <w:szCs w:val="20"/>
              </w:rPr>
              <w:t>工程费</w:t>
            </w:r>
          </w:p>
        </w:tc>
        <w:tc>
          <w:tcPr>
            <w:tcW w:w="2097" w:type="dxa"/>
            <w:vMerge w:val="restart"/>
            <w:tcBorders>
              <w:bottom w:val="nil"/>
            </w:tcBorders>
            <w:vAlign w:val="top"/>
          </w:tcPr>
          <w:p>
            <w:pPr>
              <w:pStyle w:val="6"/>
              <w:spacing w:line="286" w:lineRule="auto"/>
            </w:pPr>
          </w:p>
          <w:p>
            <w:pPr>
              <w:pStyle w:val="6"/>
              <w:spacing w:line="286" w:lineRule="auto"/>
            </w:pPr>
          </w:p>
          <w:p>
            <w:pPr>
              <w:pStyle w:val="6"/>
              <w:spacing w:line="287" w:lineRule="auto"/>
            </w:pPr>
          </w:p>
          <w:p>
            <w:pPr>
              <w:pStyle w:val="6"/>
              <w:spacing w:line="287" w:lineRule="auto"/>
            </w:pPr>
          </w:p>
          <w:p>
            <w:pPr>
              <w:spacing w:before="65" w:line="279" w:lineRule="exact"/>
              <w:ind w:left="124"/>
              <w:rPr>
                <w:rFonts w:ascii="宋体" w:hAnsi="宋体" w:eastAsia="宋体" w:cs="宋体"/>
                <w:sz w:val="20"/>
                <w:szCs w:val="20"/>
              </w:rPr>
            </w:pPr>
            <w:r>
              <w:rPr>
                <w:rFonts w:ascii="宋体" w:hAnsi="宋体" w:eastAsia="宋体" w:cs="宋体"/>
                <w:position w:val="1"/>
                <w:sz w:val="20"/>
                <w:szCs w:val="20"/>
              </w:rPr>
              <w:t>1.建筑安装工程费</w:t>
            </w:r>
          </w:p>
        </w:tc>
        <w:tc>
          <w:tcPr>
            <w:tcW w:w="4034" w:type="dxa"/>
            <w:tcBorders>
              <w:right w:val="single" w:color="000000" w:sz="6" w:space="0"/>
            </w:tcBorders>
            <w:vAlign w:val="top"/>
          </w:tcPr>
          <w:p>
            <w:pPr>
              <w:spacing w:before="108" w:line="227" w:lineRule="auto"/>
              <w:ind w:left="129"/>
              <w:rPr>
                <w:rFonts w:ascii="宋体" w:hAnsi="宋体" w:eastAsia="宋体" w:cs="宋体"/>
                <w:sz w:val="20"/>
                <w:szCs w:val="20"/>
              </w:rPr>
            </w:pPr>
            <w:r>
              <w:rPr>
                <w:rFonts w:ascii="宋体" w:hAnsi="宋体" w:eastAsia="宋体" w:cs="宋体"/>
                <w:spacing w:val="6"/>
                <w:sz w:val="20"/>
                <w:szCs w:val="20"/>
              </w:rPr>
              <w:t>1）分部分项工程费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0" w:line="225" w:lineRule="auto"/>
              <w:ind w:left="112"/>
              <w:rPr>
                <w:rFonts w:ascii="宋体" w:hAnsi="宋体" w:eastAsia="宋体" w:cs="宋体"/>
                <w:sz w:val="20"/>
                <w:szCs w:val="20"/>
              </w:rPr>
            </w:pPr>
            <w:r>
              <w:rPr>
                <w:rFonts w:ascii="宋体" w:hAnsi="宋体" w:eastAsia="宋体" w:cs="宋体"/>
                <w:spacing w:val="7"/>
                <w:sz w:val="20"/>
                <w:szCs w:val="20"/>
              </w:rPr>
              <w:t>2）措施项目费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1" w:line="224" w:lineRule="auto"/>
              <w:ind w:left="115"/>
              <w:rPr>
                <w:rFonts w:ascii="宋体" w:hAnsi="宋体" w:eastAsia="宋体" w:cs="宋体"/>
                <w:sz w:val="20"/>
                <w:szCs w:val="20"/>
              </w:rPr>
            </w:pPr>
            <w:r>
              <w:rPr>
                <w:rFonts w:ascii="宋体" w:hAnsi="宋体" w:eastAsia="宋体" w:cs="宋体"/>
                <w:spacing w:val="7"/>
                <w:sz w:val="20"/>
                <w:szCs w:val="20"/>
              </w:rPr>
              <w:t>3）其他项目费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1" w:line="224" w:lineRule="auto"/>
              <w:ind w:left="109"/>
              <w:rPr>
                <w:rFonts w:ascii="宋体" w:hAnsi="宋体" w:eastAsia="宋体" w:cs="宋体"/>
                <w:sz w:val="20"/>
                <w:szCs w:val="20"/>
              </w:rPr>
            </w:pPr>
            <w:r>
              <w:rPr>
                <w:rFonts w:ascii="宋体" w:hAnsi="宋体" w:eastAsia="宋体" w:cs="宋体"/>
                <w:spacing w:val="8"/>
                <w:sz w:val="20"/>
                <w:szCs w:val="20"/>
              </w:rPr>
              <w:t>4）企业管理费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2" w:line="223" w:lineRule="auto"/>
              <w:ind w:left="112"/>
              <w:rPr>
                <w:rFonts w:ascii="宋体" w:hAnsi="宋体" w:eastAsia="宋体" w:cs="宋体"/>
                <w:sz w:val="20"/>
                <w:szCs w:val="20"/>
              </w:rPr>
            </w:pPr>
            <w:r>
              <w:rPr>
                <w:rFonts w:ascii="宋体" w:hAnsi="宋体" w:eastAsia="宋体" w:cs="宋体"/>
                <w:spacing w:val="6"/>
                <w:sz w:val="20"/>
                <w:szCs w:val="20"/>
              </w:rPr>
              <w:t>5）利润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3" w:line="222" w:lineRule="auto"/>
              <w:ind w:left="113"/>
              <w:rPr>
                <w:rFonts w:ascii="宋体" w:hAnsi="宋体" w:eastAsia="宋体" w:cs="宋体"/>
                <w:sz w:val="20"/>
                <w:szCs w:val="20"/>
              </w:rPr>
            </w:pPr>
            <w:r>
              <w:rPr>
                <w:rFonts w:ascii="宋体" w:hAnsi="宋体" w:eastAsia="宋体" w:cs="宋体"/>
                <w:spacing w:val="6"/>
                <w:sz w:val="20"/>
                <w:szCs w:val="20"/>
              </w:rPr>
              <w:t>6）规费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tcBorders>
            <w:vAlign w:val="top"/>
          </w:tcPr>
          <w:p>
            <w:pPr>
              <w:pStyle w:val="6"/>
            </w:pPr>
          </w:p>
        </w:tc>
        <w:tc>
          <w:tcPr>
            <w:tcW w:w="4034" w:type="dxa"/>
            <w:tcBorders>
              <w:right w:val="single" w:color="000000" w:sz="6" w:space="0"/>
            </w:tcBorders>
            <w:vAlign w:val="top"/>
          </w:tcPr>
          <w:p>
            <w:pPr>
              <w:spacing w:before="113" w:line="222" w:lineRule="auto"/>
              <w:ind w:left="111"/>
              <w:rPr>
                <w:rFonts w:ascii="宋体" w:hAnsi="宋体" w:eastAsia="宋体" w:cs="宋体"/>
                <w:sz w:val="20"/>
                <w:szCs w:val="20"/>
              </w:rPr>
            </w:pPr>
            <w:r>
              <w:rPr>
                <w:rFonts w:ascii="宋体" w:hAnsi="宋体" w:eastAsia="宋体" w:cs="宋体"/>
                <w:spacing w:val="7"/>
                <w:sz w:val="20"/>
                <w:szCs w:val="20"/>
              </w:rPr>
              <w:t>7）税金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restart"/>
            <w:tcBorders>
              <w:bottom w:val="nil"/>
            </w:tcBorders>
            <w:vAlign w:val="top"/>
          </w:tcPr>
          <w:p>
            <w:pPr>
              <w:pStyle w:val="6"/>
              <w:spacing w:line="418" w:lineRule="auto"/>
            </w:pPr>
          </w:p>
          <w:p>
            <w:pPr>
              <w:spacing w:before="65" w:line="279" w:lineRule="exact"/>
              <w:ind w:left="107"/>
              <w:rPr>
                <w:rFonts w:ascii="宋体" w:hAnsi="宋体" w:eastAsia="宋体" w:cs="宋体"/>
                <w:sz w:val="20"/>
                <w:szCs w:val="20"/>
              </w:rPr>
            </w:pPr>
            <w:r>
              <w:rPr>
                <w:rFonts w:ascii="宋体" w:hAnsi="宋体" w:eastAsia="宋体" w:cs="宋体"/>
                <w:spacing w:val="-1"/>
                <w:position w:val="1"/>
                <w:sz w:val="20"/>
                <w:szCs w:val="20"/>
              </w:rPr>
              <w:t>2.设备购置费</w:t>
            </w:r>
          </w:p>
        </w:tc>
        <w:tc>
          <w:tcPr>
            <w:tcW w:w="4034" w:type="dxa"/>
            <w:tcBorders>
              <w:right w:val="single" w:color="000000" w:sz="6" w:space="0"/>
            </w:tcBorders>
            <w:vAlign w:val="top"/>
          </w:tcPr>
          <w:p>
            <w:pPr>
              <w:spacing w:before="116" w:line="219" w:lineRule="auto"/>
              <w:ind w:left="129"/>
              <w:rPr>
                <w:rFonts w:ascii="宋体" w:hAnsi="宋体" w:eastAsia="宋体" w:cs="宋体"/>
                <w:sz w:val="20"/>
                <w:szCs w:val="20"/>
              </w:rPr>
            </w:pPr>
            <w:r>
              <w:rPr>
                <w:rFonts w:ascii="宋体" w:hAnsi="宋体" w:eastAsia="宋体" w:cs="宋体"/>
                <w:spacing w:val="5"/>
                <w:sz w:val="20"/>
                <w:szCs w:val="20"/>
              </w:rPr>
              <w:t>1）设备购置费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Merge w:val="continue"/>
            <w:tcBorders>
              <w:top w:val="nil"/>
              <w:bottom w:val="nil"/>
            </w:tcBorders>
            <w:vAlign w:val="top"/>
          </w:tcPr>
          <w:p>
            <w:pPr>
              <w:pStyle w:val="6"/>
            </w:pPr>
          </w:p>
        </w:tc>
        <w:tc>
          <w:tcPr>
            <w:tcW w:w="4034" w:type="dxa"/>
            <w:tcBorders>
              <w:right w:val="single" w:color="000000" w:sz="6" w:space="0"/>
            </w:tcBorders>
            <w:vAlign w:val="top"/>
          </w:tcPr>
          <w:p>
            <w:pPr>
              <w:spacing w:before="116" w:line="219" w:lineRule="auto"/>
              <w:ind w:left="112"/>
              <w:rPr>
                <w:rFonts w:ascii="宋体" w:hAnsi="宋体" w:eastAsia="宋体" w:cs="宋体"/>
                <w:sz w:val="20"/>
                <w:szCs w:val="20"/>
              </w:rPr>
            </w:pPr>
            <w:r>
              <w:rPr>
                <w:rFonts w:ascii="宋体" w:hAnsi="宋体" w:eastAsia="宋体" w:cs="宋体"/>
                <w:spacing w:val="8"/>
                <w:sz w:val="20"/>
                <w:szCs w:val="20"/>
              </w:rPr>
              <w:t>2）工器具及生产家具购置费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tcBorders>
            <w:vAlign w:val="top"/>
          </w:tcPr>
          <w:p>
            <w:pPr>
              <w:pStyle w:val="6"/>
            </w:pPr>
          </w:p>
        </w:tc>
        <w:tc>
          <w:tcPr>
            <w:tcW w:w="2097" w:type="dxa"/>
            <w:vMerge w:val="continue"/>
            <w:tcBorders>
              <w:top w:val="nil"/>
            </w:tcBorders>
            <w:vAlign w:val="top"/>
          </w:tcPr>
          <w:p>
            <w:pPr>
              <w:pStyle w:val="6"/>
            </w:pPr>
          </w:p>
        </w:tc>
        <w:tc>
          <w:tcPr>
            <w:tcW w:w="4034" w:type="dxa"/>
            <w:tcBorders>
              <w:right w:val="single" w:color="000000" w:sz="6" w:space="0"/>
            </w:tcBorders>
            <w:vAlign w:val="top"/>
          </w:tcPr>
          <w:p>
            <w:pPr>
              <w:spacing w:before="117" w:line="219" w:lineRule="auto"/>
              <w:ind w:left="115"/>
              <w:rPr>
                <w:rFonts w:ascii="宋体" w:hAnsi="宋体" w:eastAsia="宋体" w:cs="宋体"/>
                <w:sz w:val="20"/>
                <w:szCs w:val="20"/>
              </w:rPr>
            </w:pPr>
            <w:r>
              <w:rPr>
                <w:rFonts w:ascii="宋体" w:hAnsi="宋体" w:eastAsia="宋体" w:cs="宋体"/>
                <w:spacing w:val="7"/>
                <w:sz w:val="20"/>
                <w:szCs w:val="20"/>
              </w:rPr>
              <w:t>3）备品备件购置费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restart"/>
            <w:tcBorders>
              <w:bottom w:val="nil"/>
            </w:tcBorders>
            <w:vAlign w:val="top"/>
          </w:tcPr>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spacing w:before="65" w:line="221" w:lineRule="auto"/>
              <w:ind w:left="203"/>
              <w:rPr>
                <w:rFonts w:ascii="宋体" w:hAnsi="宋体" w:eastAsia="宋体" w:cs="宋体"/>
                <w:sz w:val="20"/>
                <w:szCs w:val="20"/>
              </w:rPr>
            </w:pPr>
            <w:r>
              <w:rPr>
                <w:rFonts w:ascii="宋体" w:hAnsi="宋体" w:eastAsia="宋体" w:cs="宋体"/>
                <w:spacing w:val="8"/>
                <w:sz w:val="20"/>
                <w:szCs w:val="20"/>
              </w:rPr>
              <w:t>第二部分</w:t>
            </w:r>
          </w:p>
          <w:p>
            <w:pPr>
              <w:spacing w:before="119" w:line="221" w:lineRule="auto"/>
              <w:ind w:left="206"/>
              <w:rPr>
                <w:rFonts w:ascii="宋体" w:hAnsi="宋体" w:eastAsia="宋体" w:cs="宋体"/>
                <w:sz w:val="20"/>
                <w:szCs w:val="20"/>
              </w:rPr>
            </w:pPr>
            <w:r>
              <w:rPr>
                <w:rFonts w:ascii="宋体" w:hAnsi="宋体" w:eastAsia="宋体" w:cs="宋体"/>
                <w:spacing w:val="8"/>
                <w:sz w:val="20"/>
                <w:szCs w:val="20"/>
              </w:rPr>
              <w:t>工程建设</w:t>
            </w:r>
          </w:p>
          <w:p>
            <w:pPr>
              <w:spacing w:before="120" w:line="223" w:lineRule="auto"/>
              <w:ind w:left="310"/>
              <w:rPr>
                <w:rFonts w:ascii="宋体" w:hAnsi="宋体" w:eastAsia="宋体" w:cs="宋体"/>
                <w:sz w:val="20"/>
                <w:szCs w:val="20"/>
              </w:rPr>
            </w:pPr>
            <w:r>
              <w:rPr>
                <w:rFonts w:ascii="宋体" w:hAnsi="宋体" w:eastAsia="宋体" w:cs="宋体"/>
                <w:spacing w:val="8"/>
                <w:sz w:val="20"/>
                <w:szCs w:val="20"/>
              </w:rPr>
              <w:t>其他费</w:t>
            </w:r>
          </w:p>
        </w:tc>
        <w:tc>
          <w:tcPr>
            <w:tcW w:w="2097" w:type="dxa"/>
            <w:vAlign w:val="top"/>
          </w:tcPr>
          <w:p>
            <w:pPr>
              <w:spacing w:before="297" w:line="278" w:lineRule="exact"/>
              <w:ind w:left="124"/>
              <w:rPr>
                <w:rFonts w:ascii="宋体" w:hAnsi="宋体" w:eastAsia="宋体" w:cs="宋体"/>
                <w:sz w:val="20"/>
                <w:szCs w:val="20"/>
              </w:rPr>
            </w:pPr>
            <w:r>
              <w:rPr>
                <w:rFonts w:ascii="宋体" w:hAnsi="宋体" w:eastAsia="宋体" w:cs="宋体"/>
                <w:spacing w:val="-3"/>
                <w:position w:val="1"/>
                <w:sz w:val="20"/>
                <w:szCs w:val="20"/>
              </w:rPr>
              <w:t>1.建设用地费</w:t>
            </w:r>
          </w:p>
        </w:tc>
        <w:tc>
          <w:tcPr>
            <w:tcW w:w="4034" w:type="dxa"/>
            <w:tcBorders>
              <w:right w:val="single" w:color="000000" w:sz="6" w:space="0"/>
            </w:tcBorders>
            <w:vAlign w:val="top"/>
          </w:tcPr>
          <w:p>
            <w:pPr>
              <w:spacing w:before="120" w:line="274" w:lineRule="auto"/>
              <w:ind w:left="120" w:right="139" w:hanging="5"/>
              <w:rPr>
                <w:rFonts w:ascii="宋体" w:hAnsi="宋体" w:eastAsia="宋体" w:cs="宋体"/>
                <w:sz w:val="20"/>
                <w:szCs w:val="20"/>
              </w:rPr>
            </w:pPr>
            <w:r>
              <w:rPr>
                <w:rFonts w:ascii="宋体" w:hAnsi="宋体" w:eastAsia="宋体" w:cs="宋体"/>
                <w:spacing w:val="9"/>
                <w:sz w:val="20"/>
                <w:szCs w:val="20"/>
              </w:rPr>
              <w:t>土地使用权出让金、土地使用补偿费、拆</w:t>
            </w:r>
            <w:r>
              <w:rPr>
                <w:rFonts w:ascii="宋体" w:hAnsi="宋体" w:eastAsia="宋体" w:cs="宋体"/>
                <w:spacing w:val="6"/>
                <w:sz w:val="20"/>
                <w:szCs w:val="20"/>
              </w:rPr>
              <w:t>除迁建费等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03"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Align w:val="top"/>
          </w:tcPr>
          <w:p>
            <w:pPr>
              <w:pStyle w:val="6"/>
              <w:spacing w:line="310" w:lineRule="auto"/>
            </w:pPr>
          </w:p>
          <w:p>
            <w:pPr>
              <w:pStyle w:val="6"/>
              <w:spacing w:line="310" w:lineRule="auto"/>
            </w:pPr>
          </w:p>
          <w:p>
            <w:pPr>
              <w:spacing w:before="65" w:line="278" w:lineRule="exact"/>
              <w:ind w:left="107"/>
              <w:rPr>
                <w:rFonts w:ascii="宋体" w:hAnsi="宋体" w:eastAsia="宋体" w:cs="宋体"/>
                <w:sz w:val="20"/>
                <w:szCs w:val="20"/>
              </w:rPr>
            </w:pPr>
            <w:r>
              <w:rPr>
                <w:rFonts w:ascii="宋体" w:hAnsi="宋体" w:eastAsia="宋体" w:cs="宋体"/>
                <w:spacing w:val="-1"/>
                <w:position w:val="1"/>
                <w:sz w:val="20"/>
                <w:szCs w:val="20"/>
              </w:rPr>
              <w:t>2.技术咨询费</w:t>
            </w:r>
          </w:p>
        </w:tc>
        <w:tc>
          <w:tcPr>
            <w:tcW w:w="4034" w:type="dxa"/>
            <w:tcBorders>
              <w:right w:val="single" w:color="000000" w:sz="6" w:space="0"/>
            </w:tcBorders>
            <w:vAlign w:val="top"/>
          </w:tcPr>
          <w:p>
            <w:pPr>
              <w:spacing w:before="73" w:line="262" w:lineRule="auto"/>
              <w:ind w:left="115" w:right="22" w:hanging="4"/>
              <w:jc w:val="both"/>
              <w:rPr>
                <w:rFonts w:ascii="宋体" w:hAnsi="宋体" w:eastAsia="宋体" w:cs="宋体"/>
                <w:sz w:val="20"/>
                <w:szCs w:val="20"/>
              </w:rPr>
            </w:pPr>
            <w:r>
              <w:rPr>
                <w:rFonts w:ascii="宋体" w:hAnsi="宋体" w:eastAsia="宋体" w:cs="宋体"/>
                <w:spacing w:val="9"/>
                <w:sz w:val="20"/>
                <w:szCs w:val="20"/>
              </w:rPr>
              <w:t>项目论证费、环境影响评价费、节能评估审查费、劳动安全卫生评价费、研究试验</w:t>
            </w:r>
            <w:r>
              <w:rPr>
                <w:rFonts w:ascii="宋体" w:hAnsi="宋体" w:eastAsia="宋体" w:cs="宋体"/>
                <w:spacing w:val="4"/>
                <w:sz w:val="20"/>
                <w:szCs w:val="20"/>
              </w:rPr>
              <w:t>费、勘察设计费、专利和专有技术使用费、</w:t>
            </w:r>
            <w:r>
              <w:rPr>
                <w:rFonts w:ascii="宋体" w:hAnsi="宋体" w:eastAsia="宋体" w:cs="宋体"/>
                <w:spacing w:val="9"/>
                <w:sz w:val="20"/>
                <w:szCs w:val="20"/>
              </w:rPr>
              <w:t>引进技术设备其他费、特种设备检验检测</w:t>
            </w:r>
            <w:r>
              <w:rPr>
                <w:rFonts w:ascii="宋体" w:hAnsi="宋体" w:eastAsia="宋体" w:cs="宋体"/>
                <w:spacing w:val="8"/>
                <w:sz w:val="20"/>
                <w:szCs w:val="20"/>
              </w:rPr>
              <w:t>费、其他技术咨询费等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6131" w:type="dxa"/>
            <w:gridSpan w:val="2"/>
            <w:tcBorders>
              <w:right w:val="single" w:color="000000" w:sz="6" w:space="0"/>
            </w:tcBorders>
            <w:vAlign w:val="top"/>
          </w:tcPr>
          <w:p>
            <w:pPr>
              <w:spacing w:before="71" w:line="206" w:lineRule="auto"/>
              <w:ind w:left="110"/>
              <w:rPr>
                <w:rFonts w:ascii="宋体" w:hAnsi="宋体" w:eastAsia="宋体" w:cs="宋体"/>
                <w:sz w:val="20"/>
                <w:szCs w:val="20"/>
              </w:rPr>
            </w:pPr>
            <w:r>
              <w:rPr>
                <w:rFonts w:ascii="宋体" w:hAnsi="宋体" w:eastAsia="宋体" w:cs="宋体"/>
                <w:spacing w:val="-1"/>
                <w:sz w:val="20"/>
                <w:szCs w:val="20"/>
              </w:rPr>
              <w:t>3.项目配套费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bottom w:val="nil"/>
            </w:tcBorders>
            <w:vAlign w:val="top"/>
          </w:tcPr>
          <w:p>
            <w:pPr>
              <w:pStyle w:val="6"/>
            </w:pPr>
          </w:p>
        </w:tc>
        <w:tc>
          <w:tcPr>
            <w:tcW w:w="2097" w:type="dxa"/>
            <w:vAlign w:val="top"/>
          </w:tcPr>
          <w:p>
            <w:pPr>
              <w:pStyle w:val="6"/>
              <w:spacing w:line="323" w:lineRule="auto"/>
            </w:pPr>
          </w:p>
          <w:p>
            <w:pPr>
              <w:spacing w:before="65" w:line="278" w:lineRule="exact"/>
              <w:ind w:left="104"/>
              <w:rPr>
                <w:rFonts w:ascii="宋体" w:hAnsi="宋体" w:eastAsia="宋体" w:cs="宋体"/>
                <w:sz w:val="20"/>
                <w:szCs w:val="20"/>
              </w:rPr>
            </w:pPr>
            <w:r>
              <w:rPr>
                <w:rFonts w:ascii="宋体" w:hAnsi="宋体" w:eastAsia="宋体" w:cs="宋体"/>
                <w:spacing w:val="2"/>
                <w:position w:val="1"/>
                <w:sz w:val="20"/>
                <w:szCs w:val="20"/>
              </w:rPr>
              <w:t>4.项目建设管理费</w:t>
            </w:r>
          </w:p>
        </w:tc>
        <w:tc>
          <w:tcPr>
            <w:tcW w:w="4034" w:type="dxa"/>
            <w:tcBorders>
              <w:right w:val="single" w:color="000000" w:sz="6" w:space="0"/>
            </w:tcBorders>
            <w:vAlign w:val="top"/>
          </w:tcPr>
          <w:p>
            <w:pPr>
              <w:spacing w:before="74" w:line="252" w:lineRule="auto"/>
              <w:ind w:left="111" w:right="139"/>
              <w:rPr>
                <w:rFonts w:ascii="宋体" w:hAnsi="宋体" w:eastAsia="宋体" w:cs="宋体"/>
                <w:sz w:val="20"/>
                <w:szCs w:val="20"/>
              </w:rPr>
            </w:pPr>
            <w:r>
              <w:rPr>
                <w:rFonts w:ascii="宋体" w:hAnsi="宋体" w:eastAsia="宋体" w:cs="宋体"/>
                <w:spacing w:val="9"/>
                <w:sz w:val="20"/>
                <w:szCs w:val="20"/>
              </w:rPr>
              <w:t>建设单位管理费、项目建设管理代理费、造价咨询服务费、工程监理费、工程保险费、场地准备及临时设施费等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continue"/>
            <w:tcBorders>
              <w:top w:val="nil"/>
            </w:tcBorders>
            <w:vAlign w:val="top"/>
          </w:tcPr>
          <w:p>
            <w:pPr>
              <w:pStyle w:val="6"/>
            </w:pPr>
          </w:p>
        </w:tc>
        <w:tc>
          <w:tcPr>
            <w:tcW w:w="2097" w:type="dxa"/>
            <w:vAlign w:val="top"/>
          </w:tcPr>
          <w:p>
            <w:pPr>
              <w:spacing w:before="122" w:line="273" w:lineRule="auto"/>
              <w:ind w:left="104" w:right="156" w:firstLine="3"/>
              <w:rPr>
                <w:rFonts w:ascii="宋体" w:hAnsi="宋体" w:eastAsia="宋体" w:cs="宋体"/>
                <w:sz w:val="20"/>
                <w:szCs w:val="20"/>
              </w:rPr>
            </w:pPr>
            <w:r>
              <w:rPr>
                <w:rFonts w:ascii="宋体" w:hAnsi="宋体" w:eastAsia="宋体" w:cs="宋体"/>
                <w:spacing w:val="2"/>
                <w:sz w:val="20"/>
                <w:szCs w:val="20"/>
              </w:rPr>
              <w:t>5.与未来生产经营有</w:t>
            </w:r>
            <w:r>
              <w:rPr>
                <w:rFonts w:ascii="宋体" w:hAnsi="宋体" w:eastAsia="宋体" w:cs="宋体"/>
                <w:spacing w:val="9"/>
                <w:sz w:val="20"/>
                <w:szCs w:val="20"/>
              </w:rPr>
              <w:t>关的其他费用</w:t>
            </w:r>
          </w:p>
        </w:tc>
        <w:tc>
          <w:tcPr>
            <w:tcW w:w="4034" w:type="dxa"/>
            <w:tcBorders>
              <w:right w:val="single" w:color="000000" w:sz="6" w:space="0"/>
            </w:tcBorders>
            <w:vAlign w:val="top"/>
          </w:tcPr>
          <w:p>
            <w:pPr>
              <w:spacing w:before="126" w:line="271" w:lineRule="auto"/>
              <w:ind w:left="150" w:right="139" w:hanging="37"/>
              <w:rPr>
                <w:rFonts w:ascii="宋体" w:hAnsi="宋体" w:eastAsia="宋体" w:cs="宋体"/>
                <w:sz w:val="20"/>
                <w:szCs w:val="20"/>
              </w:rPr>
            </w:pPr>
            <w:r>
              <w:rPr>
                <w:rFonts w:ascii="宋体" w:hAnsi="宋体" w:eastAsia="宋体" w:cs="宋体"/>
                <w:spacing w:val="9"/>
                <w:sz w:val="20"/>
                <w:szCs w:val="20"/>
              </w:rPr>
              <w:t>生产准备及开办费、联合试运转费、与项</w:t>
            </w:r>
            <w:r>
              <w:rPr>
                <w:rFonts w:ascii="宋体" w:hAnsi="宋体" w:eastAsia="宋体" w:cs="宋体"/>
                <w:spacing w:val="4"/>
                <w:sz w:val="20"/>
                <w:szCs w:val="20"/>
              </w:rPr>
              <w:t>目相关的其他费用等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bottom w:val="nil"/>
            </w:tcBorders>
            <w:vAlign w:val="top"/>
          </w:tcPr>
          <w:p>
            <w:pPr>
              <w:pStyle w:val="6"/>
            </w:pPr>
          </w:p>
        </w:tc>
        <w:tc>
          <w:tcPr>
            <w:tcW w:w="1259" w:type="dxa"/>
            <w:vMerge w:val="restart"/>
            <w:tcBorders>
              <w:bottom w:val="nil"/>
            </w:tcBorders>
            <w:vAlign w:val="top"/>
          </w:tcPr>
          <w:p>
            <w:pPr>
              <w:spacing w:before="131" w:line="274" w:lineRule="auto"/>
              <w:ind w:left="314" w:right="214" w:hanging="111"/>
              <w:rPr>
                <w:rFonts w:ascii="宋体" w:hAnsi="宋体" w:eastAsia="宋体" w:cs="宋体"/>
                <w:sz w:val="20"/>
                <w:szCs w:val="20"/>
              </w:rPr>
            </w:pPr>
            <w:r>
              <w:rPr>
                <w:rFonts w:ascii="宋体" w:hAnsi="宋体" w:eastAsia="宋体" w:cs="宋体"/>
                <w:spacing w:val="8"/>
                <w:sz w:val="20"/>
                <w:szCs w:val="20"/>
              </w:rPr>
              <w:t>第三部分</w:t>
            </w:r>
            <w:r>
              <w:rPr>
                <w:rFonts w:ascii="宋体" w:hAnsi="宋体" w:eastAsia="宋体" w:cs="宋体"/>
                <w:spacing w:val="6"/>
                <w:sz w:val="20"/>
                <w:szCs w:val="20"/>
              </w:rPr>
              <w:t>预备费</w:t>
            </w:r>
          </w:p>
        </w:tc>
        <w:tc>
          <w:tcPr>
            <w:tcW w:w="6131" w:type="dxa"/>
            <w:gridSpan w:val="2"/>
            <w:tcBorders>
              <w:right w:val="single" w:color="000000" w:sz="6" w:space="0"/>
            </w:tcBorders>
            <w:vAlign w:val="top"/>
          </w:tcPr>
          <w:p>
            <w:pPr>
              <w:spacing w:before="123" w:line="214" w:lineRule="auto"/>
              <w:ind w:left="124"/>
              <w:rPr>
                <w:rFonts w:ascii="宋体" w:hAnsi="宋体" w:eastAsia="宋体" w:cs="宋体"/>
                <w:sz w:val="20"/>
                <w:szCs w:val="20"/>
              </w:rPr>
            </w:pPr>
            <w:r>
              <w:rPr>
                <w:rFonts w:ascii="宋体" w:hAnsi="宋体" w:eastAsia="宋体" w:cs="宋体"/>
                <w:spacing w:val="-3"/>
                <w:sz w:val="20"/>
                <w:szCs w:val="20"/>
              </w:rPr>
              <w:t>1.基本预备费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Merge w:val="continue"/>
            <w:tcBorders>
              <w:top w:val="nil"/>
            </w:tcBorders>
            <w:vAlign w:val="top"/>
          </w:tcPr>
          <w:p>
            <w:pPr>
              <w:pStyle w:val="6"/>
            </w:pPr>
          </w:p>
        </w:tc>
        <w:tc>
          <w:tcPr>
            <w:tcW w:w="1259" w:type="dxa"/>
            <w:vMerge w:val="continue"/>
            <w:tcBorders>
              <w:top w:val="nil"/>
            </w:tcBorders>
            <w:vAlign w:val="top"/>
          </w:tcPr>
          <w:p>
            <w:pPr>
              <w:pStyle w:val="6"/>
            </w:pPr>
          </w:p>
        </w:tc>
        <w:tc>
          <w:tcPr>
            <w:tcW w:w="6131" w:type="dxa"/>
            <w:gridSpan w:val="2"/>
            <w:tcBorders>
              <w:right w:val="single" w:color="000000" w:sz="6" w:space="0"/>
            </w:tcBorders>
            <w:vAlign w:val="top"/>
          </w:tcPr>
          <w:p>
            <w:pPr>
              <w:spacing w:before="122" w:line="215" w:lineRule="auto"/>
              <w:ind w:left="107"/>
              <w:rPr>
                <w:rFonts w:ascii="宋体" w:hAnsi="宋体" w:eastAsia="宋体" w:cs="宋体"/>
                <w:sz w:val="20"/>
                <w:szCs w:val="20"/>
              </w:rPr>
            </w:pPr>
            <w:r>
              <w:rPr>
                <w:rFonts w:ascii="宋体" w:hAnsi="宋体" w:eastAsia="宋体" w:cs="宋体"/>
                <w:spacing w:val="-1"/>
                <w:sz w:val="20"/>
                <w:szCs w:val="20"/>
              </w:rPr>
              <w:t>2.价差预备费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467" w:type="dxa"/>
            <w:vMerge w:val="continue"/>
            <w:tcBorders>
              <w:top w:val="nil"/>
              <w:left w:val="single" w:color="000000" w:sz="6" w:space="0"/>
              <w:bottom w:val="nil"/>
            </w:tcBorders>
            <w:textDirection w:val="tbRlV"/>
            <w:vAlign w:val="top"/>
          </w:tcPr>
          <w:p>
            <w:pPr>
              <w:pStyle w:val="6"/>
            </w:pPr>
          </w:p>
        </w:tc>
        <w:tc>
          <w:tcPr>
            <w:tcW w:w="1434" w:type="dxa"/>
            <w:vAlign w:val="top"/>
          </w:tcPr>
          <w:p>
            <w:pPr>
              <w:spacing w:before="126" w:line="211" w:lineRule="auto"/>
              <w:ind w:left="192"/>
              <w:rPr>
                <w:rFonts w:ascii="宋体" w:hAnsi="宋体" w:eastAsia="宋体" w:cs="宋体"/>
                <w:sz w:val="20"/>
                <w:szCs w:val="20"/>
              </w:rPr>
            </w:pPr>
            <w:r>
              <w:rPr>
                <w:rFonts w:ascii="宋体" w:hAnsi="宋体" w:eastAsia="宋体" w:cs="宋体"/>
                <w:spacing w:val="7"/>
                <w:sz w:val="20"/>
                <w:szCs w:val="20"/>
              </w:rPr>
              <w:t>资金筹措费</w:t>
            </w:r>
          </w:p>
        </w:tc>
        <w:tc>
          <w:tcPr>
            <w:tcW w:w="7390" w:type="dxa"/>
            <w:gridSpan w:val="3"/>
            <w:tcBorders>
              <w:right w:val="single" w:color="000000" w:sz="6" w:space="0"/>
            </w:tcBorders>
            <w:vAlign w:val="top"/>
          </w:tcPr>
          <w:p>
            <w:pPr>
              <w:spacing w:before="122" w:line="215" w:lineRule="auto"/>
              <w:ind w:left="103"/>
              <w:rPr>
                <w:rFonts w:ascii="宋体" w:hAnsi="宋体" w:eastAsia="宋体" w:cs="宋体"/>
                <w:sz w:val="20"/>
                <w:szCs w:val="20"/>
              </w:rPr>
            </w:pPr>
            <w:r>
              <w:rPr>
                <w:rFonts w:ascii="宋体" w:hAnsi="宋体" w:eastAsia="宋体" w:cs="宋体"/>
                <w:spacing w:val="9"/>
                <w:sz w:val="20"/>
                <w:szCs w:val="20"/>
              </w:rPr>
              <w:t>第四部分  资金筹措费（建设期贷款利息）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467" w:type="dxa"/>
            <w:vMerge w:val="continue"/>
            <w:tcBorders>
              <w:top w:val="nil"/>
              <w:left w:val="single" w:color="000000" w:sz="6" w:space="0"/>
              <w:bottom w:val="single" w:color="000000" w:sz="6" w:space="0"/>
            </w:tcBorders>
            <w:textDirection w:val="tbRlV"/>
            <w:vAlign w:val="top"/>
          </w:tcPr>
          <w:p>
            <w:pPr>
              <w:pStyle w:val="6"/>
            </w:pPr>
          </w:p>
        </w:tc>
        <w:tc>
          <w:tcPr>
            <w:tcW w:w="1434" w:type="dxa"/>
            <w:tcBorders>
              <w:bottom w:val="single" w:color="000000" w:sz="6" w:space="0"/>
            </w:tcBorders>
            <w:vAlign w:val="top"/>
          </w:tcPr>
          <w:p>
            <w:pPr>
              <w:spacing w:before="126" w:line="221" w:lineRule="auto"/>
              <w:ind w:left="297"/>
              <w:rPr>
                <w:rFonts w:ascii="宋体" w:hAnsi="宋体" w:eastAsia="宋体" w:cs="宋体"/>
                <w:sz w:val="20"/>
                <w:szCs w:val="20"/>
              </w:rPr>
            </w:pPr>
            <w:r>
              <w:rPr>
                <w:rFonts w:ascii="宋体" w:hAnsi="宋体" w:eastAsia="宋体" w:cs="宋体"/>
                <w:spacing w:val="7"/>
                <w:sz w:val="20"/>
                <w:szCs w:val="20"/>
              </w:rPr>
              <w:t>流动资金</w:t>
            </w:r>
          </w:p>
        </w:tc>
        <w:tc>
          <w:tcPr>
            <w:tcW w:w="7390" w:type="dxa"/>
            <w:gridSpan w:val="3"/>
            <w:tcBorders>
              <w:bottom w:val="single" w:color="000000" w:sz="6" w:space="0"/>
              <w:right w:val="single" w:color="000000" w:sz="6" w:space="0"/>
            </w:tcBorders>
            <w:vAlign w:val="top"/>
          </w:tcPr>
          <w:p>
            <w:pPr>
              <w:spacing w:before="125" w:line="221" w:lineRule="auto"/>
              <w:ind w:left="103"/>
              <w:rPr>
                <w:rFonts w:ascii="宋体" w:hAnsi="宋体" w:eastAsia="宋体" w:cs="宋体"/>
                <w:sz w:val="20"/>
                <w:szCs w:val="20"/>
              </w:rPr>
            </w:pPr>
            <w:r>
              <w:rPr>
                <w:rFonts w:ascii="宋体" w:hAnsi="宋体" w:eastAsia="宋体" w:cs="宋体"/>
                <w:spacing w:val="9"/>
                <w:sz w:val="20"/>
                <w:szCs w:val="20"/>
              </w:rPr>
              <w:t>第五部分  经营性铺底流动资金</w:t>
            </w:r>
          </w:p>
        </w:tc>
      </w:tr>
    </w:tbl>
    <w:p>
      <w:pPr>
        <w:rPr>
          <w:rFonts w:ascii="Arial"/>
          <w:sz w:val="21"/>
        </w:rPr>
      </w:pPr>
    </w:p>
    <w:p>
      <w:pPr>
        <w:rPr>
          <w:rFonts w:ascii="Arial" w:hAnsi="Arial" w:eastAsia="Arial" w:cs="Arial"/>
          <w:sz w:val="21"/>
          <w:szCs w:val="21"/>
        </w:rPr>
        <w:sectPr>
          <w:footerReference r:id="rId5" w:type="default"/>
          <w:pgSz w:w="11907" w:h="16840"/>
          <w:pgMar w:top="1431" w:right="1300" w:bottom="1211" w:left="1300" w:header="0" w:footer="896" w:gutter="0"/>
        </w:sectPr>
      </w:pPr>
    </w:p>
    <w:p>
      <w:pPr>
        <w:pStyle w:val="2"/>
        <w:spacing w:before="61" w:line="201" w:lineRule="auto"/>
        <w:ind w:left="3093"/>
        <w:rPr>
          <w:sz w:val="24"/>
          <w:szCs w:val="24"/>
        </w:rPr>
      </w:pPr>
      <w:r>
        <w:pict>
          <v:shape id="_x0000_s1028" o:spid="_x0000_s1028" o:spt="202" type="#_x0000_t202" style="position:absolute;left:0pt;margin-left:41.8pt;margin-top:358.8pt;height:89pt;width:12.15pt;mso-position-horizontal-relative:page;mso-position-vertical-relative:page;z-index:251668480;mso-width-relative:page;mso-height-relative:page;" filled="f" stroked="f" coordsize="21600,21600" o:allowincell="f">
            <v:path/>
            <v:fill on="f" focussize="0,0"/>
            <v:stroke on="f"/>
            <v:imagedata o:title=""/>
            <o:lock v:ext="edit" aspectratio="f"/>
            <v:textbox inset="0mm,0mm,0mm,0mm" style="layout-flow:vertical-ideographic;">
              <w:txbxContent>
                <w:p>
                  <w:pPr>
                    <w:spacing w:before="19" w:line="202" w:lineRule="auto"/>
                    <w:ind w:left="20"/>
                    <w:rPr>
                      <w:rFonts w:ascii="宋体" w:hAnsi="宋体" w:eastAsia="宋体" w:cs="宋体"/>
                      <w:sz w:val="18"/>
                      <w:szCs w:val="18"/>
                    </w:rPr>
                  </w:pPr>
                  <w:r>
                    <w:rPr>
                      <w:rFonts w:ascii="宋体" w:hAnsi="宋体" w:eastAsia="宋体" w:cs="宋体"/>
                      <w:spacing w:val="-2"/>
                      <w:sz w:val="18"/>
                      <w:szCs w:val="18"/>
                    </w:rPr>
                    <w:t>建 设</w:t>
                  </w:r>
                  <w:r>
                    <w:rPr>
                      <w:rFonts w:ascii="宋体" w:hAnsi="宋体" w:eastAsia="宋体" w:cs="宋体"/>
                      <w:spacing w:val="-5"/>
                      <w:sz w:val="18"/>
                      <w:szCs w:val="18"/>
                    </w:rPr>
                    <w:t xml:space="preserve"> </w:t>
                  </w:r>
                  <w:r>
                    <w:rPr>
                      <w:rFonts w:ascii="宋体" w:hAnsi="宋体" w:eastAsia="宋体" w:cs="宋体"/>
                      <w:spacing w:val="-2"/>
                      <w:sz w:val="18"/>
                      <w:szCs w:val="18"/>
                    </w:rPr>
                    <w:t>项</w:t>
                  </w:r>
                  <w:r>
                    <w:rPr>
                      <w:rFonts w:ascii="宋体" w:hAnsi="宋体" w:eastAsia="宋体" w:cs="宋体"/>
                      <w:spacing w:val="-11"/>
                      <w:sz w:val="18"/>
                      <w:szCs w:val="18"/>
                    </w:rPr>
                    <w:t xml:space="preserve"> </w:t>
                  </w:r>
                  <w:r>
                    <w:rPr>
                      <w:rFonts w:ascii="宋体" w:hAnsi="宋体" w:eastAsia="宋体" w:cs="宋体"/>
                      <w:spacing w:val="-2"/>
                      <w:sz w:val="18"/>
                      <w:szCs w:val="18"/>
                    </w:rPr>
                    <w:t>目</w:t>
                  </w:r>
                  <w:r>
                    <w:rPr>
                      <w:rFonts w:ascii="宋体" w:hAnsi="宋体" w:eastAsia="宋体" w:cs="宋体"/>
                      <w:spacing w:val="-10"/>
                      <w:sz w:val="18"/>
                      <w:szCs w:val="18"/>
                    </w:rPr>
                    <w:t xml:space="preserve"> </w:t>
                  </w:r>
                  <w:r>
                    <w:rPr>
                      <w:rFonts w:ascii="宋体" w:hAnsi="宋体" w:eastAsia="宋体" w:cs="宋体"/>
                      <w:spacing w:val="-2"/>
                      <w:sz w:val="18"/>
                      <w:szCs w:val="18"/>
                    </w:rPr>
                    <w:t>工</w:t>
                  </w:r>
                  <w:r>
                    <w:rPr>
                      <w:rFonts w:ascii="宋体" w:hAnsi="宋体" w:eastAsia="宋体" w:cs="宋体"/>
                      <w:spacing w:val="-9"/>
                      <w:sz w:val="18"/>
                      <w:szCs w:val="18"/>
                    </w:rPr>
                    <w:t xml:space="preserve"> </w:t>
                  </w:r>
                  <w:r>
                    <w:rPr>
                      <w:rFonts w:ascii="宋体" w:hAnsi="宋体" w:eastAsia="宋体" w:cs="宋体"/>
                      <w:spacing w:val="-2"/>
                      <w:sz w:val="18"/>
                      <w:szCs w:val="18"/>
                    </w:rPr>
                    <w:t>程</w:t>
                  </w:r>
                  <w:r>
                    <w:rPr>
                      <w:rFonts w:ascii="宋体" w:hAnsi="宋体" w:eastAsia="宋体" w:cs="宋体"/>
                      <w:spacing w:val="-11"/>
                      <w:sz w:val="18"/>
                      <w:szCs w:val="18"/>
                    </w:rPr>
                    <w:t xml:space="preserve"> </w:t>
                  </w:r>
                  <w:r>
                    <w:rPr>
                      <w:rFonts w:ascii="宋体" w:hAnsi="宋体" w:eastAsia="宋体" w:cs="宋体"/>
                      <w:spacing w:val="-2"/>
                      <w:sz w:val="18"/>
                      <w:szCs w:val="18"/>
                    </w:rPr>
                    <w:t>费</w:t>
                  </w:r>
                </w:p>
              </w:txbxContent>
            </v:textbox>
          </v:shape>
        </w:pict>
      </w:r>
      <w:r>
        <w:drawing>
          <wp:anchor distT="0" distB="0" distL="0" distR="0" simplePos="0" relativeHeight="251671552" behindDoc="0" locked="0" layoutInCell="0" allowOverlap="1">
            <wp:simplePos x="0" y="0"/>
            <wp:positionH relativeFrom="page">
              <wp:posOffset>1958975</wp:posOffset>
            </wp:positionH>
            <wp:positionV relativeFrom="page">
              <wp:posOffset>1657985</wp:posOffset>
            </wp:positionV>
            <wp:extent cx="81280" cy="110426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37"/>
                    <a:stretch>
                      <a:fillRect/>
                    </a:stretch>
                  </pic:blipFill>
                  <pic:spPr>
                    <a:xfrm>
                      <a:off x="0" y="0"/>
                      <a:ext cx="81127" cy="1104265"/>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876300</wp:posOffset>
            </wp:positionH>
            <wp:positionV relativeFrom="page">
              <wp:posOffset>1528445</wp:posOffset>
            </wp:positionV>
            <wp:extent cx="118745" cy="779653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38"/>
                    <a:stretch>
                      <a:fillRect/>
                    </a:stretch>
                  </pic:blipFill>
                  <pic:spPr>
                    <a:xfrm>
                      <a:off x="0" y="0"/>
                      <a:ext cx="118770" cy="7796505"/>
                    </a:xfrm>
                    <a:prstGeom prst="rect">
                      <a:avLst/>
                    </a:prstGeom>
                  </pic:spPr>
                </pic:pic>
              </a:graphicData>
            </a:graphic>
          </wp:anchor>
        </w:drawing>
      </w:r>
      <w:r>
        <w:rPr>
          <w:spacing w:val="-3"/>
          <w:sz w:val="24"/>
          <w:szCs w:val="24"/>
        </w:rPr>
        <w:t>表 2</w:t>
      </w:r>
      <w:r>
        <w:rPr>
          <w:spacing w:val="15"/>
          <w:sz w:val="24"/>
          <w:szCs w:val="24"/>
        </w:rPr>
        <w:t xml:space="preserve">   </w:t>
      </w:r>
      <w:r>
        <w:rPr>
          <w:spacing w:val="-3"/>
          <w:sz w:val="24"/>
          <w:szCs w:val="24"/>
        </w:rPr>
        <w:t>建筑安装工程费项目组成表</w:t>
      </w:r>
    </w:p>
    <w:p>
      <w:pPr>
        <w:spacing w:before="44"/>
      </w:pPr>
    </w:p>
    <w:p>
      <w:pPr>
        <w:spacing w:before="43"/>
      </w:pPr>
    </w:p>
    <w:p>
      <w:pPr>
        <w:sectPr>
          <w:footerReference r:id="rId6" w:type="default"/>
          <w:pgSz w:w="11907" w:h="16840"/>
          <w:pgMar w:top="1431" w:right="1253" w:bottom="1211" w:left="891" w:header="0" w:footer="896" w:gutter="0"/>
          <w:cols w:equalWidth="0" w:num="1">
            <w:col w:w="9763"/>
          </w:cols>
        </w:sectPr>
      </w:pPr>
    </w:p>
    <w:p>
      <w:pPr>
        <w:spacing w:before="208" w:line="221" w:lineRule="auto"/>
        <w:ind w:left="2392"/>
        <w:rPr>
          <w:rFonts w:ascii="宋体" w:hAnsi="宋体" w:eastAsia="宋体" w:cs="宋体"/>
          <w:sz w:val="18"/>
          <w:szCs w:val="18"/>
        </w:rPr>
      </w:pPr>
      <w:r>
        <w:rPr>
          <w:rFonts w:ascii="宋体" w:hAnsi="宋体" w:eastAsia="宋体" w:cs="宋体"/>
          <w:spacing w:val="-2"/>
          <w:sz w:val="18"/>
          <w:szCs w:val="18"/>
        </w:rPr>
        <w:t>1.房屋建筑与装饰工程</w:t>
      </w:r>
    </w:p>
    <w:p>
      <w:pPr>
        <w:spacing w:before="17" w:line="218" w:lineRule="auto"/>
        <w:ind w:left="2378"/>
        <w:rPr>
          <w:rFonts w:ascii="宋体" w:hAnsi="宋体" w:eastAsia="宋体" w:cs="宋体"/>
          <w:sz w:val="18"/>
          <w:szCs w:val="18"/>
        </w:rPr>
      </w:pPr>
      <w:r>
        <w:drawing>
          <wp:anchor distT="0" distB="0" distL="0" distR="0" simplePos="0" relativeHeight="251664384" behindDoc="0" locked="0" layoutInCell="1" allowOverlap="1">
            <wp:simplePos x="0" y="0"/>
            <wp:positionH relativeFrom="column">
              <wp:posOffset>3192780</wp:posOffset>
            </wp:positionH>
            <wp:positionV relativeFrom="paragraph">
              <wp:posOffset>157480</wp:posOffset>
            </wp:positionV>
            <wp:extent cx="81280" cy="549021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39"/>
                    <a:stretch>
                      <a:fillRect/>
                    </a:stretch>
                  </pic:blipFill>
                  <pic:spPr>
                    <a:xfrm>
                      <a:off x="0" y="0"/>
                      <a:ext cx="81216" cy="5490185"/>
                    </a:xfrm>
                    <a:prstGeom prst="rect">
                      <a:avLst/>
                    </a:prstGeom>
                  </pic:spPr>
                </pic:pic>
              </a:graphicData>
            </a:graphic>
          </wp:anchor>
        </w:drawing>
      </w:r>
      <w:r>
        <w:rPr>
          <w:rFonts w:ascii="宋体" w:hAnsi="宋体" w:eastAsia="宋体" w:cs="宋体"/>
          <w:spacing w:val="-2"/>
          <w:sz w:val="18"/>
          <w:szCs w:val="18"/>
        </w:rPr>
        <w:t>①土石方工程</w:t>
      </w:r>
    </w:p>
    <w:p>
      <w:pPr>
        <w:spacing w:before="20" w:line="218" w:lineRule="auto"/>
        <w:ind w:left="2378"/>
        <w:rPr>
          <w:rFonts w:ascii="宋体" w:hAnsi="宋体" w:eastAsia="宋体" w:cs="宋体"/>
          <w:sz w:val="18"/>
          <w:szCs w:val="18"/>
        </w:rPr>
      </w:pPr>
      <w:r>
        <w:rPr>
          <w:rFonts w:ascii="宋体" w:hAnsi="宋体" w:eastAsia="宋体" w:cs="宋体"/>
          <w:spacing w:val="-1"/>
          <w:sz w:val="18"/>
          <w:szCs w:val="18"/>
        </w:rPr>
        <w:t>②地基处理与边坡支护工程</w:t>
      </w:r>
    </w:p>
    <w:p>
      <w:pPr>
        <w:spacing w:before="22" w:line="239" w:lineRule="auto"/>
        <w:ind w:left="2390" w:right="1593" w:hanging="12"/>
        <w:rPr>
          <w:rFonts w:ascii="宋体" w:hAnsi="宋体" w:eastAsia="宋体" w:cs="宋体"/>
          <w:sz w:val="18"/>
          <w:szCs w:val="18"/>
        </w:rPr>
      </w:pPr>
      <w:r>
        <w:drawing>
          <wp:anchor distT="0" distB="0" distL="0" distR="0" simplePos="0" relativeHeight="251691008" behindDoc="0" locked="0" layoutInCell="1" allowOverlap="1">
            <wp:simplePos x="0" y="0"/>
            <wp:positionH relativeFrom="column">
              <wp:posOffset>361315</wp:posOffset>
            </wp:positionH>
            <wp:positionV relativeFrom="paragraph">
              <wp:posOffset>213995</wp:posOffset>
            </wp:positionV>
            <wp:extent cx="105410" cy="952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40"/>
                    <a:stretch>
                      <a:fillRect/>
                    </a:stretch>
                  </pic:blipFill>
                  <pic:spPr>
                    <a:xfrm>
                      <a:off x="0" y="0"/>
                      <a:ext cx="105410" cy="9525"/>
                    </a:xfrm>
                    <a:prstGeom prst="rect">
                      <a:avLst/>
                    </a:prstGeom>
                  </pic:spPr>
                </pic:pic>
              </a:graphicData>
            </a:graphic>
          </wp:anchor>
        </w:drawing>
      </w:r>
      <w:r>
        <w:pict>
          <v:shape id="_x0000_s1029" o:spid="_x0000_s1029" o:spt="202" type="#_x0000_t202" style="position:absolute;left:0pt;margin-left:36.6pt;margin-top:11.85pt;height:12.7pt;width:73.85pt;z-index:251669504;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2"/>
                      <w:sz w:val="18"/>
                      <w:szCs w:val="18"/>
                    </w:rPr>
                    <w:t>分部分项工程费</w:t>
                  </w:r>
                  <w:r>
                    <w:rPr>
                      <w:rFonts w:ascii="宋体" w:hAnsi="宋体" w:eastAsia="宋体" w:cs="宋体"/>
                      <w:spacing w:val="-77"/>
                      <w:sz w:val="18"/>
                      <w:szCs w:val="18"/>
                    </w:rPr>
                    <w:t xml:space="preserve"> </w:t>
                  </w:r>
                  <w:r>
                    <w:rPr>
                      <w:rFonts w:ascii="宋体" w:hAnsi="宋体" w:eastAsia="宋体" w:cs="宋体"/>
                      <w:strike/>
                      <w:sz w:val="18"/>
                      <w:szCs w:val="18"/>
                    </w:rPr>
                    <w:t xml:space="preserve">  </w:t>
                  </w:r>
                </w:p>
              </w:txbxContent>
            </v:textbox>
          </v:shape>
        </w:pict>
      </w:r>
      <w:r>
        <w:rPr>
          <w:rFonts w:ascii="宋体" w:hAnsi="宋体" w:eastAsia="宋体" w:cs="宋体"/>
          <w:spacing w:val="-1"/>
          <w:sz w:val="18"/>
          <w:szCs w:val="18"/>
        </w:rPr>
        <w:t>③桩基础工程</w:t>
      </w:r>
      <w:r>
        <w:rPr>
          <w:rFonts w:ascii="宋体" w:hAnsi="宋体" w:eastAsia="宋体" w:cs="宋体"/>
          <w:spacing w:val="-10"/>
          <w:sz w:val="18"/>
          <w:szCs w:val="18"/>
        </w:rPr>
        <w:t>……</w:t>
      </w:r>
    </w:p>
    <w:p>
      <w:pPr>
        <w:spacing w:line="220" w:lineRule="auto"/>
        <w:ind w:left="2381"/>
        <w:rPr>
          <w:rFonts w:ascii="宋体" w:hAnsi="宋体" w:eastAsia="宋体" w:cs="宋体"/>
          <w:sz w:val="18"/>
          <w:szCs w:val="18"/>
        </w:rPr>
      </w:pPr>
      <w:r>
        <w:rPr>
          <w:rFonts w:ascii="宋体" w:hAnsi="宋体" w:eastAsia="宋体" w:cs="宋体"/>
          <w:spacing w:val="-2"/>
          <w:sz w:val="18"/>
          <w:szCs w:val="18"/>
        </w:rPr>
        <w:t>2.通用安装工程</w:t>
      </w:r>
    </w:p>
    <w:p>
      <w:pPr>
        <w:spacing w:before="17" w:line="266" w:lineRule="auto"/>
        <w:ind w:left="2390" w:right="1773" w:hanging="7"/>
        <w:rPr>
          <w:rFonts w:ascii="宋体" w:hAnsi="宋体" w:eastAsia="宋体" w:cs="宋体"/>
          <w:sz w:val="18"/>
          <w:szCs w:val="18"/>
        </w:rPr>
      </w:pPr>
      <w:r>
        <w:drawing>
          <wp:anchor distT="0" distB="0" distL="0" distR="0" simplePos="0" relativeHeight="251661312" behindDoc="1" locked="0" layoutInCell="1" allowOverlap="1">
            <wp:simplePos x="0" y="0"/>
            <wp:positionH relativeFrom="column">
              <wp:posOffset>2705735</wp:posOffset>
            </wp:positionH>
            <wp:positionV relativeFrom="paragraph">
              <wp:posOffset>64770</wp:posOffset>
            </wp:positionV>
            <wp:extent cx="479425" cy="952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41"/>
                    <a:stretch>
                      <a:fillRect/>
                    </a:stretch>
                  </pic:blipFill>
                  <pic:spPr>
                    <a:xfrm>
                      <a:off x="0" y="0"/>
                      <a:ext cx="479425" cy="9525"/>
                    </a:xfrm>
                    <a:prstGeom prst="rect">
                      <a:avLst/>
                    </a:prstGeom>
                  </pic:spPr>
                </pic:pic>
              </a:graphicData>
            </a:graphic>
          </wp:anchor>
        </w:drawing>
      </w:r>
      <w:r>
        <w:rPr>
          <w:rFonts w:ascii="宋体" w:hAnsi="宋体" w:eastAsia="宋体" w:cs="宋体"/>
          <w:spacing w:val="-2"/>
          <w:sz w:val="18"/>
          <w:szCs w:val="18"/>
        </w:rPr>
        <w:t>3.市政工程</w:t>
      </w:r>
      <w:r>
        <w:rPr>
          <w:rFonts w:ascii="宋体" w:hAnsi="宋体" w:eastAsia="宋体" w:cs="宋体"/>
          <w:spacing w:val="-10"/>
          <w:sz w:val="18"/>
          <w:szCs w:val="18"/>
        </w:rPr>
        <w:t>……</w:t>
      </w:r>
    </w:p>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spacing w:before="58" w:line="219" w:lineRule="auto"/>
        <w:ind w:left="2447"/>
        <w:rPr>
          <w:rFonts w:ascii="宋体" w:hAnsi="宋体" w:eastAsia="宋体" w:cs="宋体"/>
          <w:sz w:val="18"/>
          <w:szCs w:val="18"/>
        </w:rPr>
      </w:pPr>
      <w:r>
        <w:drawing>
          <wp:anchor distT="0" distB="0" distL="0" distR="0" simplePos="0" relativeHeight="251674624" behindDoc="0" locked="0" layoutInCell="1" allowOverlap="1">
            <wp:simplePos x="0" y="0"/>
            <wp:positionH relativeFrom="column">
              <wp:posOffset>1400175</wp:posOffset>
            </wp:positionH>
            <wp:positionV relativeFrom="paragraph">
              <wp:posOffset>99060</wp:posOffset>
            </wp:positionV>
            <wp:extent cx="50165" cy="144462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42"/>
                    <a:stretch>
                      <a:fillRect/>
                    </a:stretch>
                  </pic:blipFill>
                  <pic:spPr>
                    <a:xfrm>
                      <a:off x="0" y="0"/>
                      <a:ext cx="50164" cy="1444599"/>
                    </a:xfrm>
                    <a:prstGeom prst="rect">
                      <a:avLst/>
                    </a:prstGeom>
                  </pic:spPr>
                </pic:pic>
              </a:graphicData>
            </a:graphic>
          </wp:anchor>
        </w:drawing>
      </w:r>
      <w:r>
        <w:rPr>
          <w:rFonts w:ascii="宋体" w:hAnsi="宋体" w:eastAsia="宋体" w:cs="宋体"/>
          <w:spacing w:val="-2"/>
          <w:sz w:val="18"/>
          <w:szCs w:val="18"/>
        </w:rPr>
        <w:t>一.总价措施费：</w:t>
      </w:r>
    </w:p>
    <w:p>
      <w:pPr>
        <w:spacing w:before="20" w:line="219" w:lineRule="auto"/>
        <w:ind w:left="2457"/>
        <w:rPr>
          <w:rFonts w:ascii="宋体" w:hAnsi="宋体" w:eastAsia="宋体" w:cs="宋体"/>
          <w:sz w:val="18"/>
          <w:szCs w:val="18"/>
        </w:rPr>
      </w:pPr>
      <w:r>
        <w:rPr>
          <w:rFonts w:ascii="宋体" w:hAnsi="宋体" w:eastAsia="宋体" w:cs="宋体"/>
          <w:spacing w:val="-3"/>
          <w:sz w:val="18"/>
          <w:szCs w:val="18"/>
        </w:rPr>
        <w:t>1.夜间施工增加费</w:t>
      </w:r>
    </w:p>
    <w:p>
      <w:pPr>
        <w:spacing w:before="20" w:line="219" w:lineRule="auto"/>
        <w:ind w:left="2446"/>
        <w:rPr>
          <w:rFonts w:ascii="宋体" w:hAnsi="宋体" w:eastAsia="宋体" w:cs="宋体"/>
          <w:sz w:val="18"/>
          <w:szCs w:val="18"/>
        </w:rPr>
      </w:pPr>
      <w:r>
        <w:rPr>
          <w:rFonts w:ascii="宋体" w:hAnsi="宋体" w:eastAsia="宋体" w:cs="宋体"/>
          <w:spacing w:val="-2"/>
          <w:sz w:val="18"/>
          <w:szCs w:val="18"/>
        </w:rPr>
        <w:t>2.二次搬运费</w:t>
      </w:r>
    </w:p>
    <w:p>
      <w:pPr>
        <w:spacing w:before="21" w:line="219" w:lineRule="auto"/>
        <w:ind w:left="2447"/>
        <w:rPr>
          <w:rFonts w:ascii="宋体" w:hAnsi="宋体" w:eastAsia="宋体" w:cs="宋体"/>
          <w:sz w:val="18"/>
          <w:szCs w:val="18"/>
        </w:rPr>
      </w:pPr>
      <w:r>
        <w:rPr>
          <w:rFonts w:ascii="宋体" w:hAnsi="宋体" w:eastAsia="宋体" w:cs="宋体"/>
          <w:spacing w:val="-2"/>
          <w:sz w:val="18"/>
          <w:szCs w:val="18"/>
        </w:rPr>
        <w:t>3.冬雨季施工增加费</w:t>
      </w:r>
    </w:p>
    <w:p>
      <w:pPr>
        <w:spacing w:before="20" w:line="219" w:lineRule="auto"/>
        <w:ind w:left="2443"/>
        <w:rPr>
          <w:rFonts w:ascii="宋体" w:hAnsi="宋体" w:eastAsia="宋体" w:cs="宋体"/>
          <w:sz w:val="18"/>
          <w:szCs w:val="18"/>
        </w:rPr>
      </w:pPr>
      <w:r>
        <w:rPr>
          <w:rFonts w:ascii="宋体" w:hAnsi="宋体" w:eastAsia="宋体" w:cs="宋体"/>
          <w:spacing w:val="-1"/>
          <w:sz w:val="18"/>
          <w:szCs w:val="18"/>
        </w:rPr>
        <w:t>4.已完工程及设备保护费</w:t>
      </w:r>
    </w:p>
    <w:p>
      <w:pPr>
        <w:spacing w:before="18"/>
        <w:ind w:left="2634" w:right="1168" w:hanging="187"/>
        <w:rPr>
          <w:rFonts w:ascii="宋体" w:hAnsi="宋体" w:eastAsia="宋体" w:cs="宋体"/>
          <w:sz w:val="18"/>
          <w:szCs w:val="18"/>
        </w:rPr>
      </w:pPr>
      <w:r>
        <w:drawing>
          <wp:anchor distT="0" distB="0" distL="0" distR="0" simplePos="0" relativeHeight="251687936" behindDoc="0" locked="0" layoutInCell="1" allowOverlap="1">
            <wp:simplePos x="0" y="0"/>
            <wp:positionH relativeFrom="column">
              <wp:posOffset>337185</wp:posOffset>
            </wp:positionH>
            <wp:positionV relativeFrom="paragraph">
              <wp:posOffset>194310</wp:posOffset>
            </wp:positionV>
            <wp:extent cx="147320"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43"/>
                    <a:stretch>
                      <a:fillRect/>
                    </a:stretch>
                  </pic:blipFill>
                  <pic:spPr>
                    <a:xfrm>
                      <a:off x="0" y="0"/>
                      <a:ext cx="147396" cy="10795"/>
                    </a:xfrm>
                    <a:prstGeom prst="rect">
                      <a:avLst/>
                    </a:prstGeom>
                  </pic:spPr>
                </pic:pic>
              </a:graphicData>
            </a:graphic>
          </wp:anchor>
        </w:drawing>
      </w:r>
      <w:r>
        <w:pict>
          <v:shape id="_x0000_s1030" o:spid="_x0000_s1030" o:spt="202" type="#_x0000_t202" style="position:absolute;left:0pt;margin-left:40.65pt;margin-top:9.15pt;height:12.7pt;width:67.35pt;z-index:251670528;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2"/>
                      <w:sz w:val="18"/>
                      <w:szCs w:val="18"/>
                    </w:rPr>
                    <w:t>措施项目费</w:t>
                  </w:r>
                  <w:r>
                    <w:rPr>
                      <w:rFonts w:ascii="宋体" w:hAnsi="宋体" w:eastAsia="宋体" w:cs="宋体"/>
                      <w:spacing w:val="-65"/>
                      <w:sz w:val="18"/>
                      <w:szCs w:val="18"/>
                    </w:rPr>
                    <w:t xml:space="preserve"> </w:t>
                  </w:r>
                  <w:r>
                    <w:rPr>
                      <w:rFonts w:ascii="宋体" w:hAnsi="宋体" w:eastAsia="宋体" w:cs="宋体"/>
                      <w:strike/>
                      <w:sz w:val="18"/>
                      <w:szCs w:val="18"/>
                    </w:rPr>
                    <w:t xml:space="preserve">     </w:t>
                  </w:r>
                </w:p>
              </w:txbxContent>
            </v:textbox>
          </v:shape>
        </w:pict>
      </w:r>
      <w:r>
        <w:rPr>
          <w:rFonts w:ascii="宋体" w:hAnsi="宋体" w:eastAsia="宋体" w:cs="宋体"/>
          <w:spacing w:val="-2"/>
          <w:sz w:val="18"/>
          <w:szCs w:val="18"/>
        </w:rPr>
        <w:t>5.工程定位复测费</w:t>
      </w:r>
      <w:r>
        <w:rPr>
          <w:rFonts w:ascii="宋体" w:hAnsi="宋体" w:eastAsia="宋体" w:cs="宋体"/>
          <w:spacing w:val="-10"/>
          <w:sz w:val="18"/>
          <w:szCs w:val="18"/>
        </w:rPr>
        <w:t>……</w:t>
      </w:r>
    </w:p>
    <w:p>
      <w:pPr>
        <w:spacing w:before="1" w:line="218" w:lineRule="auto"/>
        <w:ind w:left="2447"/>
        <w:rPr>
          <w:rFonts w:ascii="宋体" w:hAnsi="宋体" w:eastAsia="宋体" w:cs="宋体"/>
          <w:sz w:val="18"/>
          <w:szCs w:val="18"/>
        </w:rPr>
      </w:pPr>
      <w:r>
        <w:rPr>
          <w:rFonts w:ascii="宋体" w:hAnsi="宋体" w:eastAsia="宋体" w:cs="宋体"/>
          <w:spacing w:val="-2"/>
          <w:sz w:val="18"/>
          <w:szCs w:val="18"/>
        </w:rPr>
        <w:t>二.单价措施费：</w:t>
      </w:r>
    </w:p>
    <w:p>
      <w:pPr>
        <w:spacing w:before="20" w:line="219" w:lineRule="auto"/>
        <w:ind w:left="2457"/>
        <w:rPr>
          <w:rFonts w:ascii="宋体" w:hAnsi="宋体" w:eastAsia="宋体" w:cs="宋体"/>
          <w:sz w:val="18"/>
          <w:szCs w:val="18"/>
        </w:rPr>
      </w:pPr>
      <w:r>
        <w:rPr>
          <w:rFonts w:ascii="宋体" w:hAnsi="宋体" w:eastAsia="宋体" w:cs="宋体"/>
          <w:spacing w:val="-4"/>
          <w:sz w:val="18"/>
          <w:szCs w:val="18"/>
        </w:rPr>
        <w:t>1.脚手架费</w:t>
      </w:r>
    </w:p>
    <w:p>
      <w:pPr>
        <w:spacing w:before="20" w:line="264" w:lineRule="auto"/>
        <w:ind w:left="2635" w:right="1168" w:hanging="189"/>
        <w:rPr>
          <w:rFonts w:ascii="宋体" w:hAnsi="宋体" w:eastAsia="宋体" w:cs="宋体"/>
          <w:sz w:val="18"/>
          <w:szCs w:val="18"/>
        </w:rPr>
      </w:pPr>
      <w:r>
        <w:drawing>
          <wp:anchor distT="0" distB="0" distL="0" distR="0" simplePos="0" relativeHeight="251682816" behindDoc="0" locked="0" layoutInCell="1" allowOverlap="1">
            <wp:simplePos x="0" y="0"/>
            <wp:positionH relativeFrom="column">
              <wp:posOffset>2722245</wp:posOffset>
            </wp:positionH>
            <wp:positionV relativeFrom="paragraph">
              <wp:posOffset>86360</wp:posOffset>
            </wp:positionV>
            <wp:extent cx="465455" cy="952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44"/>
                    <a:stretch>
                      <a:fillRect/>
                    </a:stretch>
                  </pic:blipFill>
                  <pic:spPr>
                    <a:xfrm>
                      <a:off x="0" y="0"/>
                      <a:ext cx="465454" cy="9525"/>
                    </a:xfrm>
                    <a:prstGeom prst="rect">
                      <a:avLst/>
                    </a:prstGeom>
                  </pic:spPr>
                </pic:pic>
              </a:graphicData>
            </a:graphic>
          </wp:anchor>
        </w:drawing>
      </w:r>
      <w:r>
        <w:rPr>
          <w:rFonts w:ascii="宋体" w:hAnsi="宋体" w:eastAsia="宋体" w:cs="宋体"/>
          <w:spacing w:val="-2"/>
          <w:sz w:val="18"/>
          <w:szCs w:val="18"/>
        </w:rPr>
        <w:t>2.垂直运输机械费</w:t>
      </w:r>
      <w:r>
        <w:rPr>
          <w:rFonts w:ascii="宋体" w:hAnsi="宋体" w:eastAsia="宋体" w:cs="宋体"/>
          <w:spacing w:val="-10"/>
          <w:sz w:val="18"/>
          <w:szCs w:val="18"/>
        </w:rPr>
        <w:t>……</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r>
        <w:drawing>
          <wp:anchor distT="0" distB="0" distL="0" distR="0" simplePos="0" relativeHeight="251665408" behindDoc="0" locked="0" layoutInCell="1" allowOverlap="1">
            <wp:simplePos x="0" y="0"/>
            <wp:positionH relativeFrom="column">
              <wp:posOffset>1153795</wp:posOffset>
            </wp:positionH>
            <wp:positionV relativeFrom="paragraph">
              <wp:posOffset>145415</wp:posOffset>
            </wp:positionV>
            <wp:extent cx="386080" cy="64325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45"/>
                    <a:stretch>
                      <a:fillRect/>
                    </a:stretch>
                  </pic:blipFill>
                  <pic:spPr>
                    <a:xfrm>
                      <a:off x="0" y="0"/>
                      <a:ext cx="386169" cy="643254"/>
                    </a:xfrm>
                    <a:prstGeom prst="rect">
                      <a:avLst/>
                    </a:prstGeom>
                  </pic:spPr>
                </pic:pic>
              </a:graphicData>
            </a:graphic>
          </wp:anchor>
        </w:drawing>
      </w:r>
    </w:p>
    <w:p>
      <w:pPr>
        <w:spacing w:before="59" w:line="219" w:lineRule="auto"/>
        <w:ind w:left="2469"/>
        <w:rPr>
          <w:rFonts w:ascii="宋体" w:hAnsi="宋体" w:eastAsia="宋体" w:cs="宋体"/>
          <w:sz w:val="18"/>
          <w:szCs w:val="18"/>
        </w:rPr>
      </w:pPr>
      <w:r>
        <w:pict>
          <v:shape id="_x0000_s1031" o:spid="_x0000_s1031" o:spt="202" type="#_x0000_t202" style="position:absolute;left:0pt;margin-left:42.85pt;margin-top:13.45pt;height:12.65pt;width:46.65pt;z-index:251676672;mso-width-relative:page;mso-height-relative:page;" filled="f" stroked="f" coordsize="21600,21600">
            <v:path/>
            <v:fill on="f" focussize="0,0"/>
            <v:stroke on="f"/>
            <v:imagedata o:title=""/>
            <o:lock v:ext="edit" aspectratio="f"/>
            <v:textbox inset="0mm,0mm,0mm,0mm">
              <w:txbxContent>
                <w:p>
                  <w:pPr>
                    <w:spacing w:before="19" w:line="218" w:lineRule="auto"/>
                    <w:ind w:left="20"/>
                    <w:rPr>
                      <w:rFonts w:ascii="宋体" w:hAnsi="宋体" w:eastAsia="宋体" w:cs="宋体"/>
                      <w:sz w:val="18"/>
                      <w:szCs w:val="18"/>
                    </w:rPr>
                  </w:pPr>
                  <w:r>
                    <w:rPr>
                      <w:rFonts w:ascii="宋体" w:hAnsi="宋体" w:eastAsia="宋体" w:cs="宋体"/>
                      <w:spacing w:val="-2"/>
                      <w:sz w:val="18"/>
                      <w:szCs w:val="18"/>
                    </w:rPr>
                    <w:t>其他项目费</w:t>
                  </w:r>
                </w:p>
              </w:txbxContent>
            </v:textbox>
          </v:shape>
        </w:pict>
      </w:r>
      <w:r>
        <w:rPr>
          <w:rFonts w:ascii="宋体" w:hAnsi="宋体" w:eastAsia="宋体" w:cs="宋体"/>
          <w:spacing w:val="-3"/>
          <w:sz w:val="18"/>
          <w:szCs w:val="18"/>
        </w:rPr>
        <w:t>1. 特殊项目暂估价</w:t>
      </w:r>
    </w:p>
    <w:p>
      <w:pPr>
        <w:spacing w:before="20" w:line="219" w:lineRule="auto"/>
        <w:ind w:left="2458"/>
        <w:rPr>
          <w:rFonts w:ascii="宋体" w:hAnsi="宋体" w:eastAsia="宋体" w:cs="宋体"/>
          <w:sz w:val="18"/>
          <w:szCs w:val="18"/>
        </w:rPr>
      </w:pPr>
      <w:r>
        <w:drawing>
          <wp:anchor distT="0" distB="0" distL="0" distR="0" simplePos="0" relativeHeight="251689984" behindDoc="0" locked="0" layoutInCell="1" allowOverlap="1">
            <wp:simplePos x="0" y="0"/>
            <wp:positionH relativeFrom="column">
              <wp:posOffset>412115</wp:posOffset>
            </wp:positionH>
            <wp:positionV relativeFrom="paragraph">
              <wp:posOffset>59690</wp:posOffset>
            </wp:positionV>
            <wp:extent cx="121285" cy="1143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46"/>
                    <a:stretch>
                      <a:fillRect/>
                    </a:stretch>
                  </pic:blipFill>
                  <pic:spPr>
                    <a:xfrm>
                      <a:off x="0" y="0"/>
                      <a:ext cx="121437" cy="11430"/>
                    </a:xfrm>
                    <a:prstGeom prst="rect">
                      <a:avLst/>
                    </a:prstGeom>
                  </pic:spPr>
                </pic:pic>
              </a:graphicData>
            </a:graphic>
          </wp:anchor>
        </w:drawing>
      </w:r>
      <w:r>
        <w:rPr>
          <w:rFonts w:ascii="宋体" w:hAnsi="宋体" w:eastAsia="宋体" w:cs="宋体"/>
          <w:spacing w:val="-2"/>
          <w:sz w:val="18"/>
          <w:szCs w:val="18"/>
        </w:rPr>
        <w:t>2. 总承包服务费</w:t>
      </w:r>
    </w:p>
    <w:p>
      <w:pPr>
        <w:spacing w:before="19" w:line="216" w:lineRule="auto"/>
        <w:ind w:left="2459"/>
        <w:rPr>
          <w:rFonts w:ascii="宋体" w:hAnsi="宋体" w:eastAsia="宋体" w:cs="宋体"/>
          <w:sz w:val="18"/>
          <w:szCs w:val="18"/>
        </w:rPr>
      </w:pPr>
      <w:r>
        <w:drawing>
          <wp:anchor distT="0" distB="0" distL="0" distR="0" simplePos="0" relativeHeight="251683840" behindDoc="0" locked="0" layoutInCell="1" allowOverlap="1">
            <wp:simplePos x="0" y="0"/>
            <wp:positionH relativeFrom="column">
              <wp:posOffset>2713990</wp:posOffset>
            </wp:positionH>
            <wp:positionV relativeFrom="paragraph">
              <wp:posOffset>39370</wp:posOffset>
            </wp:positionV>
            <wp:extent cx="465455" cy="952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47"/>
                    <a:stretch>
                      <a:fillRect/>
                    </a:stretch>
                  </pic:blipFill>
                  <pic:spPr>
                    <a:xfrm>
                      <a:off x="0" y="0"/>
                      <a:ext cx="465454" cy="9525"/>
                    </a:xfrm>
                    <a:prstGeom prst="rect">
                      <a:avLst/>
                    </a:prstGeom>
                  </pic:spPr>
                </pic:pic>
              </a:graphicData>
            </a:graphic>
          </wp:anchor>
        </w:drawing>
      </w:r>
      <w:r>
        <w:rPr>
          <w:rFonts w:ascii="宋体" w:hAnsi="宋体" w:eastAsia="宋体" w:cs="宋体"/>
          <w:spacing w:val="-2"/>
          <w:sz w:val="18"/>
          <w:szCs w:val="18"/>
        </w:rPr>
        <w:t>3. 其他检验试验费</w:t>
      </w:r>
    </w:p>
    <w:p>
      <w:pPr>
        <w:spacing w:before="24" w:line="218" w:lineRule="auto"/>
        <w:ind w:left="2455"/>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7"/>
          <w:sz w:val="18"/>
          <w:szCs w:val="18"/>
        </w:rPr>
        <w:t xml:space="preserve"> </w:t>
      </w:r>
      <w:r>
        <w:rPr>
          <w:rFonts w:ascii="宋体" w:hAnsi="宋体" w:eastAsia="宋体" w:cs="宋体"/>
          <w:spacing w:val="-4"/>
          <w:sz w:val="18"/>
          <w:szCs w:val="18"/>
        </w:rPr>
        <w:t>其他</w:t>
      </w: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r>
        <w:drawing>
          <wp:anchor distT="0" distB="0" distL="0" distR="0" simplePos="0" relativeHeight="251660288" behindDoc="1" locked="0" layoutInCell="1" allowOverlap="1">
            <wp:simplePos x="0" y="0"/>
            <wp:positionH relativeFrom="column">
              <wp:posOffset>2125980</wp:posOffset>
            </wp:positionH>
            <wp:positionV relativeFrom="paragraph">
              <wp:posOffset>110490</wp:posOffset>
            </wp:positionV>
            <wp:extent cx="1077595" cy="61404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48"/>
                    <a:stretch>
                      <a:fillRect/>
                    </a:stretch>
                  </pic:blipFill>
                  <pic:spPr>
                    <a:xfrm>
                      <a:off x="0" y="0"/>
                      <a:ext cx="1077785" cy="614044"/>
                    </a:xfrm>
                    <a:prstGeom prst="rect">
                      <a:avLst/>
                    </a:prstGeom>
                  </pic:spPr>
                </pic:pic>
              </a:graphicData>
            </a:graphic>
          </wp:anchor>
        </w:drawing>
      </w:r>
    </w:p>
    <w:p>
      <w:pPr>
        <w:spacing w:line="285" w:lineRule="auto"/>
        <w:rPr>
          <w:rFonts w:ascii="Arial"/>
          <w:sz w:val="21"/>
        </w:rPr>
      </w:pPr>
      <w:r>
        <w:drawing>
          <wp:anchor distT="0" distB="0" distL="0" distR="0" simplePos="0" relativeHeight="251673600" behindDoc="0" locked="0" layoutInCell="1" allowOverlap="1">
            <wp:simplePos x="0" y="0"/>
            <wp:positionH relativeFrom="column">
              <wp:posOffset>1029970</wp:posOffset>
            </wp:positionH>
            <wp:positionV relativeFrom="paragraph">
              <wp:posOffset>138430</wp:posOffset>
            </wp:positionV>
            <wp:extent cx="97155" cy="85344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49"/>
                    <a:stretch>
                      <a:fillRect/>
                    </a:stretch>
                  </pic:blipFill>
                  <pic:spPr>
                    <a:xfrm>
                      <a:off x="0" y="0"/>
                      <a:ext cx="96926" cy="853440"/>
                    </a:xfrm>
                    <a:prstGeom prst="rect">
                      <a:avLst/>
                    </a:prstGeom>
                  </pic:spPr>
                </pic:pic>
              </a:graphicData>
            </a:graphic>
          </wp:anchor>
        </w:drawing>
      </w:r>
    </w:p>
    <w:p>
      <w:pPr>
        <w:spacing w:before="59" w:line="219" w:lineRule="auto"/>
        <w:ind w:left="1795"/>
        <w:rPr>
          <w:rFonts w:ascii="宋体" w:hAnsi="宋体" w:eastAsia="宋体" w:cs="宋体"/>
          <w:sz w:val="18"/>
          <w:szCs w:val="18"/>
        </w:rPr>
      </w:pPr>
      <w:r>
        <w:drawing>
          <wp:anchor distT="0" distB="0" distL="0" distR="0" simplePos="0" relativeHeight="251684864" behindDoc="0" locked="0" layoutInCell="1" allowOverlap="1">
            <wp:simplePos x="0" y="0"/>
            <wp:positionH relativeFrom="column">
              <wp:posOffset>848360</wp:posOffset>
            </wp:positionH>
            <wp:positionV relativeFrom="paragraph">
              <wp:posOffset>177165</wp:posOffset>
            </wp:positionV>
            <wp:extent cx="154940" cy="1397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50"/>
                    <a:stretch>
                      <a:fillRect/>
                    </a:stretch>
                  </pic:blipFill>
                  <pic:spPr>
                    <a:xfrm>
                      <a:off x="0" y="0"/>
                      <a:ext cx="155219" cy="13969"/>
                    </a:xfrm>
                    <a:prstGeom prst="rect">
                      <a:avLst/>
                    </a:prstGeom>
                  </pic:spPr>
                </pic:pic>
              </a:graphicData>
            </a:graphic>
          </wp:anchor>
        </w:drawing>
      </w:r>
      <w:r>
        <w:drawing>
          <wp:anchor distT="0" distB="0" distL="0" distR="0" simplePos="0" relativeHeight="251688960" behindDoc="0" locked="0" layoutInCell="1" allowOverlap="1">
            <wp:simplePos x="0" y="0"/>
            <wp:positionH relativeFrom="column">
              <wp:posOffset>414655</wp:posOffset>
            </wp:positionH>
            <wp:positionV relativeFrom="paragraph">
              <wp:posOffset>175260</wp:posOffset>
            </wp:positionV>
            <wp:extent cx="151130" cy="1016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51"/>
                    <a:stretch>
                      <a:fillRect/>
                    </a:stretch>
                  </pic:blipFill>
                  <pic:spPr>
                    <a:xfrm>
                      <a:off x="0" y="0"/>
                      <a:ext cx="151180" cy="10159"/>
                    </a:xfrm>
                    <a:prstGeom prst="rect">
                      <a:avLst/>
                    </a:prstGeom>
                  </pic:spPr>
                </pic:pic>
              </a:graphicData>
            </a:graphic>
          </wp:anchor>
        </w:drawing>
      </w:r>
      <w:r>
        <w:pict>
          <v:shape id="_x0000_s1032" o:spid="_x0000_s1032" o:spt="202" type="#_x0000_t202" style="position:absolute;left:0pt;margin-left:45.25pt;margin-top:8.15pt;height:12.7pt;width:19.65pt;z-index:251681792;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4"/>
                      <w:sz w:val="18"/>
                      <w:szCs w:val="18"/>
                    </w:rPr>
                    <w:t>规费</w:t>
                  </w:r>
                </w:p>
              </w:txbxContent>
            </v:textbox>
          </v:shape>
        </w:pict>
      </w:r>
      <w:r>
        <w:pict>
          <v:shape id="_x0000_s1033" o:spid="_x0000_s1033" o:spt="202" type="#_x0000_t202" style="position:absolute;left:0pt;margin-left:179.1pt;margin-top:13.45pt;height:59.35pt;width:55.75pt;z-index:251663360;mso-width-relative:page;mso-height-relative:page;" filled="f" stroked="f" coordsize="21600,21600">
            <v:path/>
            <v:fill on="f" focussize="0,0"/>
            <v:stroke on="f"/>
            <v:imagedata o:title=""/>
            <o:lock v:ext="edit" aspectratio="f"/>
            <v:textbox inset="0mm,0mm,0mm,0mm">
              <w:txbxContent>
                <w:p>
                  <w:pPr>
                    <w:spacing w:before="19" w:line="218" w:lineRule="auto"/>
                    <w:ind w:left="20"/>
                    <w:rPr>
                      <w:rFonts w:ascii="宋体" w:hAnsi="宋体" w:eastAsia="宋体" w:cs="宋体"/>
                      <w:sz w:val="18"/>
                      <w:szCs w:val="18"/>
                    </w:rPr>
                  </w:pPr>
                  <w:r>
                    <w:rPr>
                      <w:rFonts w:ascii="宋体" w:hAnsi="宋体" w:eastAsia="宋体" w:cs="宋体"/>
                      <w:spacing w:val="-2"/>
                      <w:sz w:val="18"/>
                      <w:szCs w:val="18"/>
                    </w:rPr>
                    <w:t>①养老保险费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②失业保险费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③医疗保险费</w:t>
                  </w:r>
                </w:p>
                <w:p>
                  <w:pPr>
                    <w:spacing w:before="22" w:line="218" w:lineRule="auto"/>
                    <w:ind w:left="20"/>
                    <w:rPr>
                      <w:rFonts w:ascii="宋体" w:hAnsi="宋体" w:eastAsia="宋体" w:cs="宋体"/>
                      <w:sz w:val="18"/>
                      <w:szCs w:val="18"/>
                    </w:rPr>
                  </w:pPr>
                  <w:r>
                    <w:rPr>
                      <w:rFonts w:ascii="宋体" w:hAnsi="宋体" w:eastAsia="宋体" w:cs="宋体"/>
                      <w:spacing w:val="-1"/>
                      <w:sz w:val="18"/>
                      <w:szCs w:val="18"/>
                    </w:rPr>
                    <w:t>④生育保险费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⑤工伤保险费</w:t>
                  </w:r>
                </w:p>
              </w:txbxContent>
            </v:textbox>
          </v:shape>
        </w:pict>
      </w:r>
      <w:r>
        <w:drawing>
          <wp:anchor distT="0" distB="0" distL="0" distR="0" simplePos="0" relativeHeight="251675648" behindDoc="0" locked="0" layoutInCell="1" allowOverlap="1">
            <wp:simplePos x="0" y="0"/>
            <wp:positionH relativeFrom="column">
              <wp:posOffset>2196465</wp:posOffset>
            </wp:positionH>
            <wp:positionV relativeFrom="paragraph">
              <wp:posOffset>145415</wp:posOffset>
            </wp:positionV>
            <wp:extent cx="81280" cy="82677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352"/>
                    <a:stretch>
                      <a:fillRect/>
                    </a:stretch>
                  </pic:blipFill>
                  <pic:spPr>
                    <a:xfrm>
                      <a:off x="0" y="0"/>
                      <a:ext cx="81127" cy="826769"/>
                    </a:xfrm>
                    <a:prstGeom prst="rect">
                      <a:avLst/>
                    </a:prstGeom>
                  </pic:spPr>
                </pic:pic>
              </a:graphicData>
            </a:graphic>
          </wp:anchor>
        </w:drawing>
      </w:r>
      <w:r>
        <w:rPr>
          <w:rFonts w:ascii="宋体" w:hAnsi="宋体" w:eastAsia="宋体" w:cs="宋体"/>
          <w:spacing w:val="-3"/>
          <w:sz w:val="18"/>
          <w:szCs w:val="18"/>
        </w:rPr>
        <w:t>1.安全文明施工费</w:t>
      </w:r>
    </w:p>
    <w:p>
      <w:pPr>
        <w:spacing w:before="27" w:line="216" w:lineRule="auto"/>
        <w:ind w:left="1784"/>
        <w:rPr>
          <w:rFonts w:ascii="宋体" w:hAnsi="宋体" w:eastAsia="宋体" w:cs="宋体"/>
          <w:sz w:val="18"/>
          <w:szCs w:val="18"/>
        </w:rPr>
      </w:pPr>
      <w:r>
        <w:rPr>
          <w:rFonts w:ascii="宋体" w:hAnsi="宋体" w:eastAsia="宋体" w:cs="宋体"/>
          <w:spacing w:val="-2"/>
          <w:sz w:val="18"/>
          <w:szCs w:val="18"/>
        </w:rPr>
        <w:t>2.社会保险费</w:t>
      </w:r>
      <w:r>
        <w:rPr>
          <w:rFonts w:ascii="宋体" w:hAnsi="宋体" w:eastAsia="宋体" w:cs="宋体"/>
          <w:spacing w:val="-50"/>
          <w:sz w:val="18"/>
          <w:szCs w:val="18"/>
        </w:rPr>
        <w:t xml:space="preserve"> </w:t>
      </w:r>
      <w:r>
        <w:rPr>
          <w:rFonts w:ascii="宋体" w:hAnsi="宋体" w:eastAsia="宋体" w:cs="宋体"/>
          <w:sz w:val="18"/>
          <w:szCs w:val="18"/>
          <w:u w:val="single" w:color="auto"/>
        </w:rPr>
        <w:t xml:space="preserve">       </w:t>
      </w:r>
    </w:p>
    <w:p>
      <w:pPr>
        <w:spacing w:before="29" w:line="220" w:lineRule="auto"/>
        <w:ind w:left="1785"/>
        <w:rPr>
          <w:rFonts w:ascii="宋体" w:hAnsi="宋体" w:eastAsia="宋体" w:cs="宋体"/>
          <w:sz w:val="18"/>
          <w:szCs w:val="18"/>
        </w:rPr>
      </w:pPr>
      <w:r>
        <w:rPr>
          <w:rFonts w:ascii="宋体" w:hAnsi="宋体" w:eastAsia="宋体" w:cs="宋体"/>
          <w:spacing w:val="-2"/>
          <w:sz w:val="18"/>
          <w:szCs w:val="18"/>
        </w:rPr>
        <w:t>3.住房公积金</w:t>
      </w:r>
    </w:p>
    <w:p>
      <w:pPr>
        <w:spacing w:before="25" w:line="220" w:lineRule="auto"/>
        <w:ind w:left="1781"/>
        <w:rPr>
          <w:rFonts w:ascii="宋体" w:hAnsi="宋体" w:eastAsia="宋体" w:cs="宋体"/>
          <w:sz w:val="18"/>
          <w:szCs w:val="18"/>
        </w:rPr>
      </w:pPr>
      <w:r>
        <w:rPr>
          <w:rFonts w:ascii="宋体" w:hAnsi="宋体" w:eastAsia="宋体" w:cs="宋体"/>
          <w:spacing w:val="-1"/>
          <w:sz w:val="18"/>
          <w:szCs w:val="18"/>
        </w:rPr>
        <w:t>4.建设项目工伤保险</w:t>
      </w:r>
    </w:p>
    <w:p>
      <w:pPr>
        <w:spacing w:before="25" w:line="219" w:lineRule="auto"/>
        <w:ind w:left="1785"/>
        <w:rPr>
          <w:rFonts w:ascii="宋体" w:hAnsi="宋体" w:eastAsia="宋体" w:cs="宋体"/>
          <w:sz w:val="18"/>
          <w:szCs w:val="18"/>
        </w:rPr>
      </w:pPr>
      <w:r>
        <w:rPr>
          <w:rFonts w:ascii="宋体" w:hAnsi="宋体" w:eastAsia="宋体" w:cs="宋体"/>
          <w:spacing w:val="-2"/>
          <w:sz w:val="18"/>
          <w:szCs w:val="18"/>
        </w:rPr>
        <w:t>5.优质优价费</w:t>
      </w:r>
    </w:p>
    <w:p>
      <w:pPr>
        <w:spacing w:line="347" w:lineRule="auto"/>
        <w:rPr>
          <w:rFonts w:ascii="Arial"/>
          <w:sz w:val="21"/>
        </w:rPr>
      </w:pPr>
    </w:p>
    <w:p>
      <w:pPr>
        <w:spacing w:before="60" w:line="220" w:lineRule="auto"/>
        <w:ind w:left="1734"/>
        <w:rPr>
          <w:rFonts w:ascii="宋体" w:hAnsi="宋体" w:eastAsia="宋体" w:cs="宋体"/>
          <w:sz w:val="18"/>
          <w:szCs w:val="18"/>
        </w:rPr>
      </w:pPr>
      <w:r>
        <w:drawing>
          <wp:anchor distT="0" distB="0" distL="0" distR="0" simplePos="0" relativeHeight="251685888" behindDoc="0" locked="0" layoutInCell="1" allowOverlap="1">
            <wp:simplePos x="0" y="0"/>
            <wp:positionH relativeFrom="column">
              <wp:posOffset>882015</wp:posOffset>
            </wp:positionH>
            <wp:positionV relativeFrom="paragraph">
              <wp:posOffset>88900</wp:posOffset>
            </wp:positionV>
            <wp:extent cx="178435" cy="1079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53"/>
                    <a:stretch>
                      <a:fillRect/>
                    </a:stretch>
                  </pic:blipFill>
                  <pic:spPr>
                    <a:xfrm>
                      <a:off x="0" y="0"/>
                      <a:ext cx="178511" cy="10795"/>
                    </a:xfrm>
                    <a:prstGeom prst="rect">
                      <a:avLst/>
                    </a:prstGeom>
                  </pic:spPr>
                </pic:pic>
              </a:graphicData>
            </a:graphic>
          </wp:anchor>
        </w:drawing>
      </w:r>
      <w:r>
        <w:drawing>
          <wp:anchor distT="0" distB="0" distL="0" distR="0" simplePos="0" relativeHeight="251686912" behindDoc="0" locked="0" layoutInCell="1" allowOverlap="1">
            <wp:simplePos x="0" y="0"/>
            <wp:positionH relativeFrom="column">
              <wp:posOffset>420370</wp:posOffset>
            </wp:positionH>
            <wp:positionV relativeFrom="paragraph">
              <wp:posOffset>88900</wp:posOffset>
            </wp:positionV>
            <wp:extent cx="147320" cy="1079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54"/>
                    <a:stretch>
                      <a:fillRect/>
                    </a:stretch>
                  </pic:blipFill>
                  <pic:spPr>
                    <a:xfrm>
                      <a:off x="0" y="0"/>
                      <a:ext cx="147396" cy="10795"/>
                    </a:xfrm>
                    <a:prstGeom prst="rect">
                      <a:avLst/>
                    </a:prstGeom>
                  </pic:spPr>
                </pic:pic>
              </a:graphicData>
            </a:graphic>
          </wp:anchor>
        </w:drawing>
      </w:r>
      <w:r>
        <w:pict>
          <v:shape id="_x0000_s1034" o:spid="_x0000_s1034" o:spt="202" type="#_x0000_t202" style="position:absolute;left:0pt;margin-left:45.2pt;margin-top:2.8pt;height:12.8pt;width:19.7pt;z-index:251680768;mso-width-relative:page;mso-height-relative:page;" filled="f" stroked="f" coordsize="21600,21600">
            <v:path/>
            <v:fill on="f" focussize="0,0"/>
            <v:stroke on="f"/>
            <v:imagedata o:title=""/>
            <o:lock v:ext="edit" aspectratio="f"/>
            <v:textbox inset="0mm,0mm,0mm,0mm">
              <w:txbxContent>
                <w:p>
                  <w:pPr>
                    <w:spacing w:before="19" w:line="221" w:lineRule="auto"/>
                    <w:ind w:left="20"/>
                    <w:rPr>
                      <w:rFonts w:ascii="宋体" w:hAnsi="宋体" w:eastAsia="宋体" w:cs="宋体"/>
                      <w:sz w:val="18"/>
                      <w:szCs w:val="18"/>
                    </w:rPr>
                  </w:pPr>
                  <w:r>
                    <w:rPr>
                      <w:rFonts w:ascii="宋体" w:hAnsi="宋体" w:eastAsia="宋体" w:cs="宋体"/>
                      <w:spacing w:val="-4"/>
                      <w:sz w:val="18"/>
                      <w:szCs w:val="18"/>
                    </w:rPr>
                    <w:t>税金</w:t>
                  </w:r>
                </w:p>
              </w:txbxContent>
            </v:textbox>
          </v:shape>
        </w:pict>
      </w:r>
      <w:r>
        <w:rPr>
          <w:rFonts w:ascii="宋体" w:hAnsi="宋体" w:eastAsia="宋体" w:cs="宋体"/>
          <w:spacing w:val="-3"/>
          <w:sz w:val="18"/>
          <w:szCs w:val="18"/>
        </w:rPr>
        <w:t>增值税</w:t>
      </w:r>
    </w:p>
    <w:p>
      <w:pPr>
        <w:spacing w:line="14" w:lineRule="auto"/>
        <w:rPr>
          <w:rFonts w:ascii="Arial"/>
          <w:sz w:val="2"/>
        </w:rPr>
      </w:pPr>
      <w:r>
        <w:rPr>
          <w:rFonts w:ascii="Arial" w:hAnsi="Arial" w:eastAsia="Arial" w:cs="Arial"/>
          <w:sz w:val="2"/>
          <w:szCs w:val="2"/>
        </w:rPr>
        <w:br w:type="column"/>
      </w:r>
      <w:r>
        <w:drawing>
          <wp:anchor distT="0" distB="0" distL="0" distR="0" simplePos="0" relativeHeight="251666432" behindDoc="0" locked="0" layoutInCell="1" allowOverlap="1">
            <wp:simplePos x="0" y="0"/>
            <wp:positionH relativeFrom="column">
              <wp:posOffset>566420</wp:posOffset>
            </wp:positionH>
            <wp:positionV relativeFrom="paragraph">
              <wp:posOffset>165100</wp:posOffset>
            </wp:positionV>
            <wp:extent cx="212090" cy="7239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55"/>
                    <a:stretch>
                      <a:fillRect/>
                    </a:stretch>
                  </pic:blipFill>
                  <pic:spPr>
                    <a:xfrm>
                      <a:off x="0" y="0"/>
                      <a:ext cx="212369" cy="723900"/>
                    </a:xfrm>
                    <a:prstGeom prst="rect">
                      <a:avLst/>
                    </a:prstGeom>
                  </pic:spPr>
                </pic:pic>
              </a:graphicData>
            </a:graphic>
          </wp:anchor>
        </w:drawing>
      </w:r>
    </w:p>
    <w:p>
      <w:pPr>
        <w:spacing w:before="296" w:line="228" w:lineRule="auto"/>
        <w:ind w:left="1312" w:right="1540"/>
        <w:rPr>
          <w:rFonts w:ascii="宋体" w:hAnsi="宋体" w:eastAsia="宋体" w:cs="宋体"/>
          <w:sz w:val="18"/>
          <w:szCs w:val="18"/>
        </w:rPr>
      </w:pPr>
      <w:r>
        <w:pict>
          <v:shape id="_x0000_s1035" o:spid="_x0000_s1035" o:spt="202" type="#_x0000_t202" style="position:absolute;left:0pt;margin-left:6.65pt;margin-top:31.3pt;height:12.7pt;width:37pt;z-index:251678720;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5"/>
                      <w:sz w:val="18"/>
                      <w:szCs w:val="18"/>
                    </w:rPr>
                    <w:t>1.人工费</w:t>
                  </w:r>
                </w:p>
              </w:txbxContent>
            </v:textbox>
          </v:shape>
        </w:pict>
      </w:r>
      <w:r>
        <w:rPr>
          <w:rFonts w:ascii="宋体" w:hAnsi="宋体" w:eastAsia="宋体" w:cs="宋体"/>
          <w:spacing w:val="-1"/>
          <w:sz w:val="18"/>
          <w:szCs w:val="18"/>
        </w:rPr>
        <w:t>①计时工资或计件工资</w:t>
      </w:r>
      <w:r>
        <w:rPr>
          <w:rFonts w:ascii="宋体" w:hAnsi="宋体" w:eastAsia="宋体" w:cs="宋体"/>
          <w:spacing w:val="-2"/>
          <w:sz w:val="18"/>
          <w:szCs w:val="18"/>
        </w:rPr>
        <w:t>②奖金</w:t>
      </w:r>
    </w:p>
    <w:p>
      <w:pPr>
        <w:spacing w:before="20" w:line="218" w:lineRule="auto"/>
        <w:ind w:left="1312"/>
        <w:rPr>
          <w:rFonts w:ascii="宋体" w:hAnsi="宋体" w:eastAsia="宋体" w:cs="宋体"/>
          <w:sz w:val="18"/>
          <w:szCs w:val="18"/>
        </w:rPr>
      </w:pPr>
      <w:r>
        <w:rPr>
          <w:rFonts w:ascii="宋体" w:hAnsi="宋体" w:eastAsia="宋体" w:cs="宋体"/>
          <w:spacing w:val="-1"/>
          <w:sz w:val="18"/>
          <w:szCs w:val="18"/>
        </w:rPr>
        <w:t>③津贴、补贴</w:t>
      </w:r>
    </w:p>
    <w:p>
      <w:pPr>
        <w:spacing w:before="22" w:line="218" w:lineRule="auto"/>
        <w:ind w:left="1312"/>
        <w:rPr>
          <w:rFonts w:ascii="宋体" w:hAnsi="宋体" w:eastAsia="宋体" w:cs="宋体"/>
          <w:sz w:val="18"/>
          <w:szCs w:val="18"/>
        </w:rPr>
      </w:pPr>
      <w:r>
        <w:rPr>
          <w:rFonts w:ascii="宋体" w:hAnsi="宋体" w:eastAsia="宋体" w:cs="宋体"/>
          <w:spacing w:val="-1"/>
          <w:sz w:val="18"/>
          <w:szCs w:val="18"/>
        </w:rPr>
        <w:t>④加班加点工资</w:t>
      </w:r>
    </w:p>
    <w:p>
      <w:pPr>
        <w:spacing w:before="20" w:line="218" w:lineRule="auto"/>
        <w:ind w:left="1312"/>
        <w:rPr>
          <w:rFonts w:ascii="宋体" w:hAnsi="宋体" w:eastAsia="宋体" w:cs="宋体"/>
          <w:sz w:val="18"/>
          <w:szCs w:val="18"/>
        </w:rPr>
      </w:pPr>
      <w:r>
        <w:rPr>
          <w:rFonts w:ascii="宋体" w:hAnsi="宋体" w:eastAsia="宋体" w:cs="宋体"/>
          <w:spacing w:val="-1"/>
          <w:sz w:val="18"/>
          <w:szCs w:val="18"/>
        </w:rPr>
        <w:t>⑤特殊情况下支付的工资</w:t>
      </w:r>
    </w:p>
    <w:p>
      <w:pPr>
        <w:spacing w:before="45"/>
      </w:pPr>
    </w:p>
    <w:p>
      <w:pPr>
        <w:spacing w:before="45"/>
      </w:pPr>
    </w:p>
    <w:p>
      <w:pPr>
        <w:spacing w:before="45"/>
      </w:pPr>
    </w:p>
    <w:tbl>
      <w:tblPr>
        <w:tblStyle w:val="5"/>
        <w:tblW w:w="4508" w:type="dxa"/>
        <w:tblInd w:w="13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57"/>
        <w:gridCol w:w="355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7059" w:hRule="atLeast"/>
        </w:trPr>
        <w:tc>
          <w:tcPr>
            <w:tcW w:w="957" w:type="dxa"/>
            <w:vAlign w:val="top"/>
          </w:tcPr>
          <w:p>
            <w:pPr>
              <w:pStyle w:val="6"/>
              <w:spacing w:line="257" w:lineRule="auto"/>
            </w:pPr>
          </w:p>
          <w:p>
            <w:pPr>
              <w:pStyle w:val="6"/>
              <w:spacing w:line="258" w:lineRule="auto"/>
            </w:pPr>
          </w:p>
          <w:p>
            <w:pPr>
              <w:spacing w:before="58" w:line="219" w:lineRule="auto"/>
              <w:ind w:left="2"/>
              <w:rPr>
                <w:rFonts w:ascii="宋体" w:hAnsi="宋体" w:eastAsia="宋体" w:cs="宋体"/>
                <w:sz w:val="18"/>
                <w:szCs w:val="18"/>
              </w:rPr>
            </w:pPr>
            <w:r>
              <w:rPr>
                <w:rFonts w:ascii="宋体" w:hAnsi="宋体" w:eastAsia="宋体" w:cs="宋体"/>
                <w:spacing w:val="-2"/>
                <w:sz w:val="18"/>
                <w:szCs w:val="18"/>
              </w:rPr>
              <w:t>2.材料费</w:t>
            </w:r>
            <w:r>
              <w:rPr>
                <w:rFonts w:ascii="宋体" w:hAnsi="宋体" w:eastAsia="宋体" w:cs="宋体"/>
                <w:strike/>
                <w:sz w:val="18"/>
                <w:szCs w:val="18"/>
              </w:rPr>
              <w:t xml:space="preserve">   </w:t>
            </w:r>
          </w:p>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5" w:lineRule="auto"/>
            </w:pPr>
          </w:p>
          <w:p>
            <w:pPr>
              <w:spacing w:before="58" w:line="242" w:lineRule="auto"/>
              <w:ind w:left="4" w:right="19"/>
              <w:rPr>
                <w:rFonts w:ascii="宋体" w:hAnsi="宋体" w:eastAsia="宋体" w:cs="宋体"/>
                <w:sz w:val="18"/>
                <w:szCs w:val="18"/>
              </w:rPr>
            </w:pPr>
            <w:r>
              <w:rPr>
                <w:rFonts w:ascii="宋体" w:hAnsi="宋体" w:eastAsia="宋体" w:cs="宋体"/>
                <w:spacing w:val="-3"/>
                <w:sz w:val="18"/>
                <w:szCs w:val="18"/>
              </w:rPr>
              <w:t>3.施工机</w:t>
            </w:r>
            <w:r>
              <w:rPr>
                <w:rFonts w:ascii="宋体" w:hAnsi="宋体" w:eastAsia="宋体" w:cs="宋体"/>
                <w:spacing w:val="23"/>
                <w:sz w:val="18"/>
                <w:szCs w:val="18"/>
                <w:u w:val="single" w:color="auto"/>
              </w:rPr>
              <w:t xml:space="preserve">  </w:t>
            </w:r>
            <w:r>
              <w:rPr>
                <w:rFonts w:ascii="宋体" w:hAnsi="宋体" w:eastAsia="宋体" w:cs="宋体"/>
                <w:spacing w:val="-3"/>
                <w:sz w:val="18"/>
                <w:szCs w:val="18"/>
              </w:rPr>
              <w:t>具使用费</w:t>
            </w: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spacing w:before="59"/>
              <w:ind w:left="4" w:right="43" w:hanging="4"/>
              <w:rPr>
                <w:rFonts w:ascii="宋体" w:hAnsi="宋体" w:eastAsia="宋体" w:cs="宋体"/>
                <w:sz w:val="18"/>
                <w:szCs w:val="18"/>
              </w:rPr>
            </w:pPr>
            <w:r>
              <w:rPr>
                <w:rFonts w:ascii="宋体" w:hAnsi="宋体" w:eastAsia="宋体" w:cs="宋体"/>
                <w:spacing w:val="-2"/>
                <w:sz w:val="18"/>
                <w:szCs w:val="18"/>
              </w:rPr>
              <w:t>4.企业</w:t>
            </w:r>
            <w:r>
              <w:rPr>
                <w:rFonts w:ascii="宋体" w:hAnsi="宋体" w:eastAsia="宋体" w:cs="宋体"/>
                <w:spacing w:val="65"/>
                <w:sz w:val="18"/>
                <w:szCs w:val="18"/>
              </w:rPr>
              <w:t xml:space="preserve"> </w:t>
            </w:r>
            <w:r>
              <w:rPr>
                <w:rFonts w:ascii="宋体" w:hAnsi="宋体" w:eastAsia="宋体" w:cs="宋体"/>
                <w:spacing w:val="22"/>
                <w:sz w:val="18"/>
                <w:szCs w:val="18"/>
                <w:u w:val="single" w:color="auto"/>
              </w:rPr>
              <w:t xml:space="preserve">  </w:t>
            </w:r>
            <w:r>
              <w:rPr>
                <w:rFonts w:ascii="宋体" w:hAnsi="宋体" w:eastAsia="宋体" w:cs="宋体"/>
                <w:spacing w:val="-4"/>
                <w:sz w:val="18"/>
                <w:szCs w:val="18"/>
              </w:rPr>
              <w:t>管理费</w:t>
            </w:r>
          </w:p>
          <w:p>
            <w:pPr>
              <w:pStyle w:val="6"/>
              <w:spacing w:line="288" w:lineRule="auto"/>
            </w:pPr>
          </w:p>
          <w:p>
            <w:pPr>
              <w:pStyle w:val="6"/>
              <w:spacing w:line="289" w:lineRule="auto"/>
            </w:pPr>
          </w:p>
          <w:p>
            <w:pPr>
              <w:pStyle w:val="6"/>
              <w:spacing w:line="289" w:lineRule="auto"/>
            </w:pPr>
          </w:p>
          <w:p>
            <w:pPr>
              <w:spacing w:before="59" w:line="174" w:lineRule="auto"/>
              <w:ind w:left="4"/>
              <w:rPr>
                <w:rFonts w:ascii="宋体" w:hAnsi="宋体" w:eastAsia="宋体" w:cs="宋体"/>
                <w:sz w:val="18"/>
                <w:szCs w:val="18"/>
              </w:rPr>
            </w:pPr>
            <w:r>
              <w:rPr>
                <w:rFonts w:ascii="宋体" w:hAnsi="宋体" w:eastAsia="宋体" w:cs="宋体"/>
                <w:spacing w:val="-3"/>
                <w:sz w:val="18"/>
                <w:szCs w:val="18"/>
              </w:rPr>
              <w:t>5.利润</w:t>
            </w:r>
          </w:p>
        </w:tc>
        <w:tc>
          <w:tcPr>
            <w:tcW w:w="3551" w:type="dxa"/>
            <w:vAlign w:val="top"/>
          </w:tcPr>
          <w:p>
            <w:pPr>
              <w:spacing w:before="63" w:line="228" w:lineRule="auto"/>
              <w:ind w:left="225" w:right="2431"/>
              <w:rPr>
                <w:rFonts w:ascii="宋体" w:hAnsi="宋体" w:eastAsia="宋体" w:cs="宋体"/>
                <w:sz w:val="18"/>
                <w:szCs w:val="18"/>
              </w:rPr>
            </w:pPr>
            <w:r>
              <w:drawing>
                <wp:anchor distT="0" distB="0" distL="0" distR="0" simplePos="0" relativeHeight="251677696" behindDoc="0" locked="0" layoutInCell="1" allowOverlap="1">
                  <wp:simplePos x="0" y="0"/>
                  <wp:positionH relativeFrom="rightMargin">
                    <wp:posOffset>-2213610</wp:posOffset>
                  </wp:positionH>
                  <wp:positionV relativeFrom="topMargin">
                    <wp:posOffset>0</wp:posOffset>
                  </wp:positionV>
                  <wp:extent cx="81280" cy="64770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56"/>
                          <a:stretch>
                            <a:fillRect/>
                          </a:stretch>
                        </pic:blipFill>
                        <pic:spPr>
                          <a:xfrm>
                            <a:off x="0" y="0"/>
                            <a:ext cx="81051" cy="647700"/>
                          </a:xfrm>
                          <a:prstGeom prst="rect">
                            <a:avLst/>
                          </a:prstGeom>
                        </pic:spPr>
                      </pic:pic>
                    </a:graphicData>
                  </a:graphic>
                </wp:anchor>
              </w:drawing>
            </w:r>
            <w:r>
              <w:drawing>
                <wp:anchor distT="0" distB="0" distL="0" distR="0" simplePos="0" relativeHeight="251679744" behindDoc="0" locked="0" layoutInCell="1" allowOverlap="1">
                  <wp:simplePos x="0" y="0"/>
                  <wp:positionH relativeFrom="rightMargin">
                    <wp:posOffset>-1160145</wp:posOffset>
                  </wp:positionH>
                  <wp:positionV relativeFrom="topMargin">
                    <wp:posOffset>1061085</wp:posOffset>
                  </wp:positionV>
                  <wp:extent cx="51435" cy="72390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357"/>
                          <a:stretch>
                            <a:fillRect/>
                          </a:stretch>
                        </pic:blipFill>
                        <pic:spPr>
                          <a:xfrm>
                            <a:off x="0" y="0"/>
                            <a:ext cx="51269" cy="723900"/>
                          </a:xfrm>
                          <a:prstGeom prst="rect">
                            <a:avLst/>
                          </a:prstGeom>
                        </pic:spPr>
                      </pic:pic>
                    </a:graphicData>
                  </a:graphic>
                </wp:anchor>
              </w:drawing>
            </w:r>
            <w:r>
              <w:pict>
                <v:shape id="_x0000_s1036" o:spid="_x0000_s1036" o:spt="202" type="#_x0000_t202" style="position:absolute;left:0pt;margin-left:6.5pt;margin-top:102.35pt;height:12.7pt;width:77.35pt;mso-position-horizontal-relative:page;mso-position-vertical-relative:page;z-index:251693056;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1"/>
                            <w:sz w:val="18"/>
                            <w:szCs w:val="18"/>
                          </w:rPr>
                          <w:t>施工机械使用费</w:t>
                        </w:r>
                        <w:r>
                          <w:rPr>
                            <w:rFonts w:ascii="宋体" w:hAnsi="宋体" w:eastAsia="宋体" w:cs="宋体"/>
                            <w:spacing w:val="-63"/>
                            <w:sz w:val="18"/>
                            <w:szCs w:val="18"/>
                          </w:rPr>
                          <w:t xml:space="preserve"> </w:t>
                        </w:r>
                        <w:r>
                          <w:rPr>
                            <w:rFonts w:ascii="宋体" w:hAnsi="宋体" w:eastAsia="宋体" w:cs="宋体"/>
                            <w:strike/>
                            <w:sz w:val="18"/>
                            <w:szCs w:val="18"/>
                          </w:rPr>
                          <w:t xml:space="preserve">   </w:t>
                        </w:r>
                      </w:p>
                    </w:txbxContent>
                  </v:textbox>
                </v:shape>
              </w:pict>
            </w:r>
            <w:r>
              <w:drawing>
                <wp:anchor distT="0" distB="0" distL="0" distR="0" simplePos="0" relativeHeight="251667456" behindDoc="0" locked="0" layoutInCell="1" allowOverlap="1">
                  <wp:simplePos x="0" y="0"/>
                  <wp:positionH relativeFrom="rightMargin">
                    <wp:posOffset>-1113155</wp:posOffset>
                  </wp:positionH>
                  <wp:positionV relativeFrom="topMargin">
                    <wp:posOffset>2129155</wp:posOffset>
                  </wp:positionV>
                  <wp:extent cx="282575" cy="526415"/>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58"/>
                          <a:stretch>
                            <a:fillRect/>
                          </a:stretch>
                        </pic:blipFill>
                        <pic:spPr>
                          <a:xfrm>
                            <a:off x="0" y="0"/>
                            <a:ext cx="282270" cy="526415"/>
                          </a:xfrm>
                          <a:prstGeom prst="rect">
                            <a:avLst/>
                          </a:prstGeom>
                        </pic:spPr>
                      </pic:pic>
                    </a:graphicData>
                  </a:graphic>
                </wp:anchor>
              </w:drawing>
            </w:r>
            <w:r>
              <w:drawing>
                <wp:anchor distT="0" distB="0" distL="0" distR="0" simplePos="0" relativeHeight="251672576" behindDoc="0" locked="0" layoutInCell="1" allowOverlap="1">
                  <wp:simplePos x="0" y="0"/>
                  <wp:positionH relativeFrom="rightMargin">
                    <wp:posOffset>-2241550</wp:posOffset>
                  </wp:positionH>
                  <wp:positionV relativeFrom="topMargin">
                    <wp:posOffset>3169285</wp:posOffset>
                  </wp:positionV>
                  <wp:extent cx="81280" cy="105854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59"/>
                          <a:stretch>
                            <a:fillRect/>
                          </a:stretch>
                        </pic:blipFill>
                        <pic:spPr>
                          <a:xfrm>
                            <a:off x="0" y="0"/>
                            <a:ext cx="81102" cy="1058545"/>
                          </a:xfrm>
                          <a:prstGeom prst="rect">
                            <a:avLst/>
                          </a:prstGeom>
                        </pic:spPr>
                      </pic:pic>
                    </a:graphicData>
                  </a:graphic>
                </wp:anchor>
              </w:drawing>
            </w:r>
            <w:r>
              <w:rPr>
                <w:rFonts w:ascii="宋体" w:hAnsi="宋体" w:eastAsia="宋体" w:cs="宋体"/>
                <w:spacing w:val="-2"/>
                <w:sz w:val="18"/>
                <w:szCs w:val="18"/>
              </w:rPr>
              <w:t>①材料原价②运杂费</w:t>
            </w:r>
          </w:p>
          <w:p>
            <w:pPr>
              <w:spacing w:before="20" w:line="218" w:lineRule="auto"/>
              <w:ind w:left="225"/>
              <w:rPr>
                <w:rFonts w:ascii="宋体" w:hAnsi="宋体" w:eastAsia="宋体" w:cs="宋体"/>
                <w:sz w:val="18"/>
                <w:szCs w:val="18"/>
              </w:rPr>
            </w:pPr>
            <w:r>
              <w:rPr>
                <w:rFonts w:ascii="宋体" w:hAnsi="宋体" w:eastAsia="宋体" w:cs="宋体"/>
                <w:spacing w:val="-1"/>
                <w:sz w:val="18"/>
                <w:szCs w:val="18"/>
              </w:rPr>
              <w:t>③运输损耗费</w:t>
            </w:r>
          </w:p>
          <w:p>
            <w:pPr>
              <w:spacing w:before="22" w:line="218" w:lineRule="auto"/>
              <w:ind w:left="225"/>
              <w:rPr>
                <w:rFonts w:ascii="宋体" w:hAnsi="宋体" w:eastAsia="宋体" w:cs="宋体"/>
                <w:sz w:val="18"/>
                <w:szCs w:val="18"/>
              </w:rPr>
            </w:pPr>
            <w:r>
              <w:rPr>
                <w:rFonts w:ascii="宋体" w:hAnsi="宋体" w:eastAsia="宋体" w:cs="宋体"/>
                <w:spacing w:val="-1"/>
                <w:sz w:val="18"/>
                <w:szCs w:val="18"/>
              </w:rPr>
              <w:t>④采购及保管费</w:t>
            </w:r>
          </w:p>
          <w:p>
            <w:pPr>
              <w:pStyle w:val="6"/>
              <w:spacing w:line="357" w:lineRule="auto"/>
            </w:pPr>
          </w:p>
          <w:p>
            <w:pPr>
              <w:spacing w:before="59" w:line="239" w:lineRule="auto"/>
              <w:ind w:left="1905" w:right="931"/>
              <w:rPr>
                <w:rFonts w:ascii="宋体" w:hAnsi="宋体" w:eastAsia="宋体" w:cs="宋体"/>
                <w:sz w:val="18"/>
                <w:szCs w:val="18"/>
              </w:rPr>
            </w:pPr>
            <w:r>
              <w:rPr>
                <w:rFonts w:ascii="宋体" w:hAnsi="宋体" w:eastAsia="宋体" w:cs="宋体"/>
                <w:spacing w:val="-2"/>
                <w:sz w:val="18"/>
                <w:szCs w:val="18"/>
              </w:rPr>
              <w:t>①折旧费②检修费</w:t>
            </w:r>
          </w:p>
          <w:p>
            <w:pPr>
              <w:spacing w:line="217" w:lineRule="auto"/>
              <w:ind w:left="1905"/>
              <w:rPr>
                <w:rFonts w:ascii="宋体" w:hAnsi="宋体" w:eastAsia="宋体" w:cs="宋体"/>
                <w:sz w:val="18"/>
                <w:szCs w:val="18"/>
              </w:rPr>
            </w:pPr>
            <w:r>
              <w:rPr>
                <w:rFonts w:ascii="宋体" w:hAnsi="宋体" w:eastAsia="宋体" w:cs="宋体"/>
                <w:spacing w:val="-2"/>
                <w:sz w:val="18"/>
                <w:szCs w:val="18"/>
              </w:rPr>
              <w:t>③维护费</w:t>
            </w:r>
          </w:p>
          <w:p>
            <w:pPr>
              <w:spacing w:before="24" w:line="228" w:lineRule="auto"/>
              <w:ind w:left="1905" w:right="31"/>
              <w:rPr>
                <w:rFonts w:ascii="宋体" w:hAnsi="宋体" w:eastAsia="宋体" w:cs="宋体"/>
                <w:sz w:val="18"/>
                <w:szCs w:val="18"/>
              </w:rPr>
            </w:pPr>
            <w:r>
              <w:rPr>
                <w:rFonts w:ascii="宋体" w:hAnsi="宋体" w:eastAsia="宋体" w:cs="宋体"/>
                <w:spacing w:val="-1"/>
                <w:sz w:val="18"/>
                <w:szCs w:val="18"/>
              </w:rPr>
              <w:t>④安拆费及场外运费</w:t>
            </w:r>
            <w:r>
              <w:rPr>
                <w:rFonts w:ascii="宋体" w:hAnsi="宋体" w:eastAsia="宋体" w:cs="宋体"/>
                <w:spacing w:val="-2"/>
                <w:sz w:val="18"/>
                <w:szCs w:val="18"/>
              </w:rPr>
              <w:t>⑤人工费</w:t>
            </w:r>
          </w:p>
          <w:p>
            <w:pPr>
              <w:spacing w:before="23" w:line="228" w:lineRule="auto"/>
              <w:ind w:left="1905" w:right="571"/>
              <w:rPr>
                <w:rFonts w:ascii="宋体" w:hAnsi="宋体" w:eastAsia="宋体" w:cs="宋体"/>
                <w:sz w:val="18"/>
                <w:szCs w:val="18"/>
              </w:rPr>
            </w:pPr>
            <w:r>
              <w:rPr>
                <w:rFonts w:ascii="宋体" w:hAnsi="宋体" w:eastAsia="宋体" w:cs="宋体"/>
                <w:spacing w:val="-1"/>
                <w:sz w:val="18"/>
                <w:szCs w:val="18"/>
              </w:rPr>
              <w:t>⑥燃料动力费</w:t>
            </w:r>
            <w:r>
              <w:rPr>
                <w:rFonts w:ascii="宋体" w:hAnsi="宋体" w:eastAsia="宋体" w:cs="宋体"/>
                <w:spacing w:val="-2"/>
                <w:sz w:val="18"/>
                <w:szCs w:val="18"/>
              </w:rPr>
              <w:t>⑦其他费</w:t>
            </w:r>
          </w:p>
          <w:p>
            <w:pPr>
              <w:pStyle w:val="6"/>
              <w:spacing w:line="396" w:lineRule="auto"/>
            </w:pPr>
          </w:p>
          <w:p>
            <w:pPr>
              <w:spacing w:before="59" w:line="219" w:lineRule="auto"/>
              <w:ind w:left="149"/>
              <w:rPr>
                <w:rFonts w:ascii="宋体" w:hAnsi="宋体" w:eastAsia="宋体" w:cs="宋体"/>
                <w:sz w:val="18"/>
                <w:szCs w:val="18"/>
              </w:rPr>
            </w:pPr>
            <w:r>
              <w:drawing>
                <wp:anchor distT="0" distB="0" distL="0" distR="0" simplePos="0" relativeHeight="251659264" behindDoc="1" locked="0" layoutInCell="1" allowOverlap="1">
                  <wp:simplePos x="0" y="0"/>
                  <wp:positionH relativeFrom="column">
                    <wp:posOffset>27940</wp:posOffset>
                  </wp:positionH>
                  <wp:positionV relativeFrom="paragraph">
                    <wp:posOffset>-940435</wp:posOffset>
                  </wp:positionV>
                  <wp:extent cx="92710" cy="113665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360"/>
                          <a:stretch>
                            <a:fillRect/>
                          </a:stretch>
                        </pic:blipFill>
                        <pic:spPr>
                          <a:xfrm>
                            <a:off x="0" y="0"/>
                            <a:ext cx="92519" cy="1136650"/>
                          </a:xfrm>
                          <a:prstGeom prst="rect">
                            <a:avLst/>
                          </a:prstGeom>
                        </pic:spPr>
                      </pic:pic>
                    </a:graphicData>
                  </a:graphic>
                </wp:anchor>
              </w:drawing>
            </w:r>
            <w:r>
              <w:pict>
                <v:shape id="_x0000_s1037" o:spid="_x0000_s1037" o:spt="202" type="#_x0000_t202" style="position:absolute;left:0pt;margin-left:112.95pt;margin-top:-3.4pt;height:47.55pt;width:37.75pt;z-index:251692032;mso-width-relative:page;mso-height-relative:page;" filled="f" stroked="f" coordsize="21600,21600">
                  <v:path/>
                  <v:fill on="f" focussize="0,0"/>
                  <v:stroke on="f"/>
                  <v:imagedata o:title=""/>
                  <o:lock v:ext="edit" aspectratio="f"/>
                  <v:textbox inset="0mm,0mm,0mm,0mm">
                    <w:txbxContent>
                      <w:p>
                        <w:pPr>
                          <w:spacing w:before="19" w:line="218" w:lineRule="auto"/>
                          <w:ind w:left="20"/>
                          <w:rPr>
                            <w:rFonts w:ascii="宋体" w:hAnsi="宋体" w:eastAsia="宋体" w:cs="宋体"/>
                            <w:sz w:val="18"/>
                            <w:szCs w:val="18"/>
                          </w:rPr>
                        </w:pPr>
                        <w:r>
                          <w:rPr>
                            <w:rFonts w:ascii="宋体" w:hAnsi="宋体" w:eastAsia="宋体" w:cs="宋体"/>
                            <w:spacing w:val="-2"/>
                            <w:sz w:val="18"/>
                            <w:szCs w:val="18"/>
                          </w:rPr>
                          <w:t>①折旧费</w:t>
                        </w:r>
                      </w:p>
                      <w:p>
                        <w:pPr>
                          <w:spacing w:before="20" w:line="218" w:lineRule="auto"/>
                          <w:ind w:left="20"/>
                          <w:rPr>
                            <w:rFonts w:ascii="宋体" w:hAnsi="宋体" w:eastAsia="宋体" w:cs="宋体"/>
                            <w:sz w:val="18"/>
                            <w:szCs w:val="18"/>
                          </w:rPr>
                        </w:pPr>
                        <w:r>
                          <w:rPr>
                            <w:rFonts w:ascii="宋体" w:hAnsi="宋体" w:eastAsia="宋体" w:cs="宋体"/>
                            <w:spacing w:val="-2"/>
                            <w:sz w:val="18"/>
                            <w:szCs w:val="18"/>
                          </w:rPr>
                          <w:t>②维护费</w:t>
                        </w:r>
                      </w:p>
                      <w:p>
                        <w:pPr>
                          <w:spacing w:before="20" w:line="218" w:lineRule="auto"/>
                          <w:ind w:left="20"/>
                          <w:rPr>
                            <w:rFonts w:ascii="宋体" w:hAnsi="宋体" w:eastAsia="宋体" w:cs="宋体"/>
                            <w:sz w:val="18"/>
                            <w:szCs w:val="18"/>
                          </w:rPr>
                        </w:pPr>
                        <w:r>
                          <w:rPr>
                            <w:rFonts w:ascii="宋体" w:hAnsi="宋体" w:eastAsia="宋体" w:cs="宋体"/>
                            <w:spacing w:val="-2"/>
                            <w:sz w:val="18"/>
                            <w:szCs w:val="18"/>
                          </w:rPr>
                          <w:t>③校检费</w:t>
                        </w:r>
                      </w:p>
                      <w:p>
                        <w:pPr>
                          <w:spacing w:before="20" w:line="218" w:lineRule="auto"/>
                          <w:ind w:left="20"/>
                          <w:rPr>
                            <w:rFonts w:ascii="宋体" w:hAnsi="宋体" w:eastAsia="宋体" w:cs="宋体"/>
                            <w:sz w:val="18"/>
                            <w:szCs w:val="18"/>
                          </w:rPr>
                        </w:pPr>
                        <w:r>
                          <w:rPr>
                            <w:rFonts w:ascii="宋体" w:hAnsi="宋体" w:eastAsia="宋体" w:cs="宋体"/>
                            <w:spacing w:val="-2"/>
                            <w:sz w:val="18"/>
                            <w:szCs w:val="18"/>
                          </w:rPr>
                          <w:t>④动力费</w:t>
                        </w:r>
                      </w:p>
                    </w:txbxContent>
                  </v:textbox>
                </v:shape>
              </w:pict>
            </w:r>
            <w:r>
              <w:rPr>
                <w:rFonts w:ascii="宋体" w:hAnsi="宋体" w:eastAsia="宋体" w:cs="宋体"/>
                <w:spacing w:val="-1"/>
                <w:sz w:val="18"/>
                <w:szCs w:val="18"/>
              </w:rPr>
              <w:t>施工仪器仪表使用费</w:t>
            </w:r>
          </w:p>
          <w:p>
            <w:pPr>
              <w:pStyle w:val="6"/>
              <w:spacing w:line="287" w:lineRule="auto"/>
            </w:pPr>
          </w:p>
          <w:p>
            <w:pPr>
              <w:pStyle w:val="6"/>
              <w:spacing w:line="287" w:lineRule="auto"/>
            </w:pPr>
          </w:p>
          <w:p>
            <w:pPr>
              <w:pStyle w:val="6"/>
              <w:spacing w:line="288" w:lineRule="auto"/>
            </w:pPr>
          </w:p>
          <w:p>
            <w:pPr>
              <w:pStyle w:val="6"/>
              <w:spacing w:line="288" w:lineRule="auto"/>
            </w:pPr>
          </w:p>
          <w:p>
            <w:pPr>
              <w:spacing w:before="59" w:line="218" w:lineRule="auto"/>
              <w:jc w:val="right"/>
              <w:rPr>
                <w:rFonts w:ascii="宋体" w:hAnsi="宋体" w:eastAsia="宋体" w:cs="宋体"/>
                <w:sz w:val="18"/>
                <w:szCs w:val="18"/>
              </w:rPr>
            </w:pPr>
            <w:r>
              <w:rPr>
                <w:rFonts w:ascii="宋体" w:hAnsi="宋体" w:eastAsia="宋体" w:cs="宋体"/>
                <w:spacing w:val="-1"/>
                <w:sz w:val="18"/>
                <w:szCs w:val="18"/>
              </w:rPr>
              <w:t>①管理人员工资         ⑨职工教育经费</w:t>
            </w:r>
          </w:p>
          <w:p>
            <w:pPr>
              <w:spacing w:before="23" w:line="218" w:lineRule="auto"/>
              <w:ind w:left="225"/>
              <w:rPr>
                <w:rFonts w:ascii="宋体" w:hAnsi="宋体" w:eastAsia="宋体" w:cs="宋体"/>
                <w:sz w:val="18"/>
                <w:szCs w:val="18"/>
              </w:rPr>
            </w:pPr>
            <w:r>
              <w:rPr>
                <w:rFonts w:ascii="宋体" w:hAnsi="宋体" w:eastAsia="宋体" w:cs="宋体"/>
                <w:sz w:val="18"/>
                <w:szCs w:val="18"/>
              </w:rPr>
              <w:t xml:space="preserve">②办公费               </w:t>
            </w:r>
            <w:r>
              <w:rPr>
                <w:rFonts w:ascii="宋体" w:hAnsi="宋体" w:eastAsia="宋体" w:cs="宋体"/>
                <w:spacing w:val="-1"/>
                <w:sz w:val="18"/>
                <w:szCs w:val="18"/>
              </w:rPr>
              <w:t>⑩财产保险费</w:t>
            </w:r>
          </w:p>
          <w:p>
            <w:pPr>
              <w:spacing w:before="21" w:line="216" w:lineRule="auto"/>
              <w:ind w:left="225"/>
              <w:rPr>
                <w:rFonts w:ascii="宋体" w:hAnsi="宋体" w:eastAsia="宋体" w:cs="宋体"/>
                <w:sz w:val="18"/>
                <w:szCs w:val="18"/>
              </w:rPr>
            </w:pPr>
            <w:r>
              <w:rPr>
                <w:rFonts w:ascii="宋体" w:hAnsi="宋体" w:eastAsia="宋体" w:cs="宋体"/>
                <w:spacing w:val="-1"/>
                <w:sz w:val="18"/>
                <w:szCs w:val="18"/>
              </w:rPr>
              <w:t xml:space="preserve">③差旅交通费           </w:t>
            </w:r>
            <w:r>
              <w:rPr>
                <w:rFonts w:ascii="MS PGothic" w:hAnsi="MS PGothic" w:eastAsia="MS PGothic" w:cs="MS PGothic"/>
                <w:spacing w:val="-1"/>
                <w:sz w:val="18"/>
                <w:szCs w:val="18"/>
              </w:rPr>
              <w:t>⑪</w:t>
            </w:r>
            <w:r>
              <w:rPr>
                <w:rFonts w:ascii="宋体" w:hAnsi="宋体" w:eastAsia="宋体" w:cs="宋体"/>
                <w:spacing w:val="-1"/>
                <w:sz w:val="18"/>
                <w:szCs w:val="18"/>
              </w:rPr>
              <w:t>财务费</w:t>
            </w:r>
          </w:p>
          <w:p>
            <w:pPr>
              <w:spacing w:before="22" w:line="216" w:lineRule="auto"/>
              <w:ind w:left="225"/>
              <w:rPr>
                <w:rFonts w:ascii="宋体" w:hAnsi="宋体" w:eastAsia="宋体" w:cs="宋体"/>
                <w:sz w:val="18"/>
                <w:szCs w:val="18"/>
              </w:rPr>
            </w:pPr>
            <w:r>
              <w:rPr>
                <w:rFonts w:ascii="宋体" w:hAnsi="宋体" w:eastAsia="宋体" w:cs="宋体"/>
                <w:spacing w:val="-1"/>
                <w:sz w:val="18"/>
                <w:szCs w:val="18"/>
              </w:rPr>
              <w:t xml:space="preserve">④固定资产使用费       </w:t>
            </w:r>
            <w:r>
              <w:rPr>
                <w:rFonts w:ascii="MS PGothic" w:hAnsi="MS PGothic" w:eastAsia="MS PGothic" w:cs="MS PGothic"/>
                <w:spacing w:val="-1"/>
                <w:sz w:val="18"/>
                <w:szCs w:val="18"/>
              </w:rPr>
              <w:t>⑫</w:t>
            </w:r>
            <w:r>
              <w:rPr>
                <w:rFonts w:ascii="宋体" w:hAnsi="宋体" w:eastAsia="宋体" w:cs="宋体"/>
                <w:spacing w:val="-1"/>
                <w:sz w:val="18"/>
                <w:szCs w:val="18"/>
              </w:rPr>
              <w:t>税金</w:t>
            </w:r>
          </w:p>
          <w:p>
            <w:pPr>
              <w:spacing w:before="22" w:line="216" w:lineRule="auto"/>
              <w:ind w:left="225"/>
              <w:rPr>
                <w:rFonts w:ascii="宋体" w:hAnsi="宋体" w:eastAsia="宋体" w:cs="宋体"/>
                <w:sz w:val="18"/>
                <w:szCs w:val="18"/>
              </w:rPr>
            </w:pPr>
            <w:r>
              <w:rPr>
                <w:rFonts w:ascii="宋体" w:hAnsi="宋体" w:eastAsia="宋体" w:cs="宋体"/>
                <w:spacing w:val="-1"/>
                <w:sz w:val="18"/>
                <w:szCs w:val="18"/>
              </w:rPr>
              <w:t xml:space="preserve">⑤工具用具使用费       </w:t>
            </w:r>
            <w:r>
              <w:rPr>
                <w:rFonts w:ascii="MS PGothic" w:hAnsi="MS PGothic" w:eastAsia="MS PGothic" w:cs="MS PGothic"/>
                <w:spacing w:val="-1"/>
                <w:sz w:val="18"/>
                <w:szCs w:val="18"/>
              </w:rPr>
              <w:t>⑬</w:t>
            </w:r>
            <w:r>
              <w:rPr>
                <w:rFonts w:ascii="宋体" w:hAnsi="宋体" w:eastAsia="宋体" w:cs="宋体"/>
                <w:spacing w:val="-1"/>
                <w:sz w:val="18"/>
                <w:szCs w:val="18"/>
              </w:rPr>
              <w:t>其他</w:t>
            </w:r>
          </w:p>
          <w:p>
            <w:pPr>
              <w:spacing w:before="25" w:line="216" w:lineRule="auto"/>
              <w:ind w:left="225"/>
              <w:rPr>
                <w:rFonts w:ascii="宋体" w:hAnsi="宋体" w:eastAsia="宋体" w:cs="宋体"/>
                <w:sz w:val="18"/>
                <w:szCs w:val="18"/>
              </w:rPr>
            </w:pPr>
            <w:r>
              <w:rPr>
                <w:rFonts w:ascii="宋体" w:hAnsi="宋体" w:eastAsia="宋体" w:cs="宋体"/>
                <w:spacing w:val="-1"/>
                <w:sz w:val="18"/>
                <w:szCs w:val="18"/>
              </w:rPr>
              <w:t xml:space="preserve">⑥劳动保险和职工福利费 </w:t>
            </w:r>
            <w:r>
              <w:rPr>
                <w:rFonts w:ascii="MS PGothic" w:hAnsi="MS PGothic" w:eastAsia="MS PGothic" w:cs="MS PGothic"/>
                <w:spacing w:val="-1"/>
                <w:sz w:val="18"/>
                <w:szCs w:val="18"/>
              </w:rPr>
              <w:t>⑩</w:t>
            </w:r>
            <w:r>
              <w:rPr>
                <w:rFonts w:ascii="宋体" w:hAnsi="宋体" w:eastAsia="宋体" w:cs="宋体"/>
                <w:spacing w:val="-1"/>
                <w:sz w:val="18"/>
                <w:szCs w:val="18"/>
              </w:rPr>
              <w:t>检验试验费</w:t>
            </w:r>
          </w:p>
          <w:p>
            <w:pPr>
              <w:spacing w:before="21" w:line="218" w:lineRule="auto"/>
              <w:ind w:left="225"/>
              <w:rPr>
                <w:rFonts w:ascii="宋体" w:hAnsi="宋体" w:eastAsia="宋体" w:cs="宋体"/>
                <w:sz w:val="18"/>
                <w:szCs w:val="18"/>
              </w:rPr>
            </w:pPr>
            <w:r>
              <w:rPr>
                <w:rFonts w:ascii="宋体" w:hAnsi="宋体" w:eastAsia="宋体" w:cs="宋体"/>
                <w:spacing w:val="-1"/>
                <w:sz w:val="18"/>
                <w:szCs w:val="18"/>
              </w:rPr>
              <w:t>⑦劳动保护费</w:t>
            </w:r>
          </w:p>
          <w:p>
            <w:pPr>
              <w:spacing w:before="21" w:line="216" w:lineRule="auto"/>
              <w:ind w:left="225"/>
              <w:rPr>
                <w:rFonts w:ascii="宋体" w:hAnsi="宋体" w:eastAsia="宋体" w:cs="宋体"/>
                <w:sz w:val="18"/>
                <w:szCs w:val="18"/>
              </w:rPr>
            </w:pPr>
            <w:r>
              <w:rPr>
                <w:rFonts w:ascii="宋体" w:hAnsi="宋体" w:eastAsia="宋体" w:cs="宋体"/>
                <w:spacing w:val="-2"/>
                <w:sz w:val="18"/>
                <w:szCs w:val="18"/>
              </w:rPr>
              <w:t>⑧工会经费</w:t>
            </w:r>
          </w:p>
        </w:tc>
      </w:tr>
    </w:tbl>
    <w:p>
      <w:pPr>
        <w:spacing w:line="293" w:lineRule="auto"/>
        <w:rPr>
          <w:rFonts w:ascii="Arial"/>
          <w:sz w:val="21"/>
        </w:rPr>
      </w:pPr>
    </w:p>
    <w:p>
      <w:pPr>
        <w:spacing w:line="294" w:lineRule="auto"/>
        <w:rPr>
          <w:rFonts w:ascii="Arial"/>
          <w:sz w:val="21"/>
        </w:rPr>
      </w:pPr>
    </w:p>
    <w:p>
      <w:pPr>
        <w:spacing w:before="59" w:line="218" w:lineRule="auto"/>
        <w:rPr>
          <w:rFonts w:ascii="宋体" w:hAnsi="宋体" w:eastAsia="宋体" w:cs="宋体"/>
          <w:sz w:val="18"/>
          <w:szCs w:val="18"/>
        </w:rPr>
      </w:pPr>
      <w:r>
        <w:rPr>
          <w:rFonts w:ascii="宋体" w:hAnsi="宋体" w:eastAsia="宋体" w:cs="宋体"/>
          <w:spacing w:val="11"/>
          <w:sz w:val="18"/>
          <w:szCs w:val="18"/>
        </w:rPr>
        <w:t>①环境保护</w:t>
      </w:r>
      <w:r>
        <w:rPr>
          <w:rFonts w:ascii="宋体" w:hAnsi="宋体" w:eastAsia="宋体" w:cs="宋体"/>
          <w:spacing w:val="-53"/>
          <w:sz w:val="18"/>
          <w:szCs w:val="18"/>
        </w:rPr>
        <w:t xml:space="preserve"> </w:t>
      </w:r>
      <w:r>
        <w:rPr>
          <w:rFonts w:ascii="宋体" w:hAnsi="宋体" w:eastAsia="宋体" w:cs="宋体"/>
          <w:spacing w:val="11"/>
          <w:sz w:val="18"/>
          <w:szCs w:val="18"/>
        </w:rPr>
        <w:t>费</w:t>
      </w:r>
    </w:p>
    <w:p>
      <w:pPr>
        <w:spacing w:before="20" w:line="218" w:lineRule="auto"/>
        <w:rPr>
          <w:rFonts w:ascii="宋体" w:hAnsi="宋体" w:eastAsia="宋体" w:cs="宋体"/>
          <w:sz w:val="18"/>
          <w:szCs w:val="18"/>
        </w:rPr>
      </w:pPr>
      <w:r>
        <w:rPr>
          <w:rFonts w:ascii="宋体" w:hAnsi="宋体" w:eastAsia="宋体" w:cs="宋体"/>
          <w:spacing w:val="-1"/>
          <w:sz w:val="18"/>
          <w:szCs w:val="18"/>
        </w:rPr>
        <w:t>②文明施工费</w:t>
      </w:r>
    </w:p>
    <w:p>
      <w:pPr>
        <w:spacing w:before="20" w:line="218" w:lineRule="auto"/>
        <w:rPr>
          <w:rFonts w:ascii="宋体" w:hAnsi="宋体" w:eastAsia="宋体" w:cs="宋体"/>
          <w:sz w:val="18"/>
          <w:szCs w:val="18"/>
        </w:rPr>
      </w:pPr>
      <w:r>
        <w:rPr>
          <w:rFonts w:ascii="宋体" w:hAnsi="宋体" w:eastAsia="宋体" w:cs="宋体"/>
          <w:spacing w:val="-1"/>
          <w:sz w:val="18"/>
          <w:szCs w:val="18"/>
        </w:rPr>
        <w:t>③安全施工费</w:t>
      </w:r>
    </w:p>
    <w:p>
      <w:pPr>
        <w:spacing w:before="23" w:line="218" w:lineRule="auto"/>
        <w:rPr>
          <w:rFonts w:ascii="宋体" w:hAnsi="宋体" w:eastAsia="宋体" w:cs="宋体"/>
          <w:sz w:val="18"/>
          <w:szCs w:val="18"/>
        </w:rPr>
      </w:pPr>
      <w:r>
        <w:rPr>
          <w:rFonts w:ascii="宋体" w:hAnsi="宋体" w:eastAsia="宋体" w:cs="宋体"/>
          <w:spacing w:val="-1"/>
          <w:sz w:val="18"/>
          <w:szCs w:val="18"/>
        </w:rPr>
        <w:t>④临时设施费</w:t>
      </w:r>
    </w:p>
    <w:p>
      <w:pPr>
        <w:spacing w:line="218" w:lineRule="auto"/>
        <w:rPr>
          <w:rFonts w:ascii="宋体" w:hAnsi="宋体" w:eastAsia="宋体" w:cs="宋体"/>
          <w:sz w:val="18"/>
          <w:szCs w:val="18"/>
        </w:rPr>
        <w:sectPr>
          <w:type w:val="continuous"/>
          <w:pgSz w:w="11907" w:h="16840"/>
          <w:pgMar w:top="1431" w:right="1253" w:bottom="1211" w:left="891" w:header="0" w:footer="896" w:gutter="0"/>
          <w:cols w:equalWidth="0" w:num="2">
            <w:col w:w="5046" w:space="68"/>
            <w:col w:w="4649"/>
          </w:cols>
        </w:sectPr>
      </w:pPr>
    </w:p>
    <w:p>
      <w:pPr>
        <w:pStyle w:val="2"/>
        <w:spacing w:before="58" w:line="201" w:lineRule="auto"/>
        <w:ind w:left="3005"/>
        <w:rPr>
          <w:sz w:val="24"/>
          <w:szCs w:val="24"/>
        </w:rPr>
      </w:pPr>
      <w:r>
        <w:rPr>
          <w:spacing w:val="-3"/>
          <w:sz w:val="24"/>
          <w:szCs w:val="24"/>
        </w:rPr>
        <w:t>表 3</w:t>
      </w:r>
      <w:r>
        <w:rPr>
          <w:spacing w:val="13"/>
          <w:sz w:val="24"/>
          <w:szCs w:val="24"/>
        </w:rPr>
        <w:t xml:space="preserve">   </w:t>
      </w:r>
      <w:r>
        <w:rPr>
          <w:spacing w:val="-3"/>
          <w:sz w:val="24"/>
          <w:szCs w:val="24"/>
        </w:rPr>
        <w:t>专业工程措施项目一览表</w:t>
      </w:r>
    </w:p>
    <w:p>
      <w:pPr>
        <w:spacing w:before="109"/>
      </w:pP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6167"/>
        <w:gridCol w:w="21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4" w:hRule="atLeast"/>
        </w:trPr>
        <w:tc>
          <w:tcPr>
            <w:tcW w:w="991" w:type="dxa"/>
            <w:tcBorders>
              <w:top w:val="single" w:color="000000" w:sz="6" w:space="0"/>
              <w:left w:val="single" w:color="000000" w:sz="6" w:space="0"/>
            </w:tcBorders>
            <w:vAlign w:val="top"/>
          </w:tcPr>
          <w:p>
            <w:pPr>
              <w:spacing w:before="242" w:line="210" w:lineRule="auto"/>
              <w:ind w:left="278"/>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6167" w:type="dxa"/>
            <w:tcBorders>
              <w:top w:val="single" w:color="000000" w:sz="6" w:space="0"/>
            </w:tcBorders>
            <w:vAlign w:val="top"/>
          </w:tcPr>
          <w:p>
            <w:pPr>
              <w:spacing w:before="243" w:line="208" w:lineRule="auto"/>
              <w:ind w:left="2455"/>
              <w:rPr>
                <w:rFonts w:ascii="微软雅黑" w:hAnsi="微软雅黑" w:eastAsia="微软雅黑" w:cs="微软雅黑"/>
                <w:sz w:val="20"/>
                <w:szCs w:val="20"/>
              </w:rPr>
            </w:pPr>
            <w:r>
              <w:rPr>
                <w:rFonts w:ascii="微软雅黑" w:hAnsi="微软雅黑" w:eastAsia="微软雅黑" w:cs="微软雅黑"/>
                <w:spacing w:val="8"/>
                <w:sz w:val="20"/>
                <w:szCs w:val="20"/>
              </w:rPr>
              <w:t>措施项目名称</w:t>
            </w:r>
          </w:p>
        </w:tc>
        <w:tc>
          <w:tcPr>
            <w:tcW w:w="2133" w:type="dxa"/>
            <w:tcBorders>
              <w:top w:val="single" w:color="000000" w:sz="6" w:space="0"/>
              <w:right w:val="single" w:color="000000" w:sz="6" w:space="0"/>
            </w:tcBorders>
            <w:vAlign w:val="top"/>
          </w:tcPr>
          <w:p>
            <w:pPr>
              <w:spacing w:before="242" w:line="211" w:lineRule="auto"/>
              <w:ind w:left="863"/>
              <w:rPr>
                <w:rFonts w:ascii="微软雅黑" w:hAnsi="微软雅黑" w:eastAsia="微软雅黑" w:cs="微软雅黑"/>
                <w:sz w:val="20"/>
                <w:szCs w:val="20"/>
              </w:rPr>
            </w:pPr>
            <w:r>
              <w:rPr>
                <w:rFonts w:ascii="微软雅黑" w:hAnsi="微软雅黑" w:eastAsia="微软雅黑" w:cs="微软雅黑"/>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1" w:line="301" w:lineRule="exact"/>
              <w:ind w:left="455"/>
              <w:rPr>
                <w:rFonts w:ascii="宋体" w:hAnsi="宋体" w:eastAsia="宋体" w:cs="宋体"/>
                <w:sz w:val="20"/>
                <w:szCs w:val="20"/>
              </w:rPr>
            </w:pPr>
            <w:r>
              <w:rPr>
                <w:rFonts w:ascii="宋体" w:hAnsi="宋体" w:eastAsia="宋体" w:cs="宋体"/>
                <w:b/>
                <w:bCs/>
                <w:spacing w:val="-3"/>
                <w:position w:val="2"/>
                <w:sz w:val="20"/>
                <w:szCs w:val="20"/>
              </w:rPr>
              <w:t>1</w:t>
            </w:r>
          </w:p>
        </w:tc>
        <w:tc>
          <w:tcPr>
            <w:tcW w:w="6167" w:type="dxa"/>
            <w:vAlign w:val="top"/>
          </w:tcPr>
          <w:p>
            <w:pPr>
              <w:spacing w:before="185" w:line="223" w:lineRule="auto"/>
              <w:ind w:left="103"/>
              <w:rPr>
                <w:rFonts w:ascii="宋体" w:hAnsi="宋体" w:eastAsia="宋体" w:cs="宋体"/>
                <w:sz w:val="20"/>
                <w:szCs w:val="20"/>
              </w:rPr>
            </w:pPr>
            <w:r>
              <w:rPr>
                <w:rFonts w:ascii="宋体" w:hAnsi="宋体" w:eastAsia="宋体" w:cs="宋体"/>
                <w:b/>
                <w:bCs/>
                <w:spacing w:val="8"/>
                <w:sz w:val="20"/>
                <w:szCs w:val="20"/>
              </w:rPr>
              <w:t>建筑工程与装饰工程</w:t>
            </w:r>
          </w:p>
        </w:tc>
        <w:tc>
          <w:tcPr>
            <w:tcW w:w="2133" w:type="dxa"/>
            <w:vMerge w:val="restart"/>
            <w:tcBorders>
              <w:bottom w:val="nil"/>
              <w:right w:val="single" w:color="000000" w:sz="6" w:space="0"/>
            </w:tcBorders>
            <w:vAlign w:val="top"/>
          </w:tcPr>
          <w:p>
            <w:pPr>
              <w:pStyle w:val="6"/>
              <w:spacing w:line="339" w:lineRule="auto"/>
            </w:pPr>
          </w:p>
          <w:p>
            <w:pPr>
              <w:pStyle w:val="6"/>
              <w:spacing w:line="340" w:lineRule="auto"/>
            </w:pPr>
          </w:p>
          <w:p>
            <w:pPr>
              <w:spacing w:before="65" w:line="220" w:lineRule="auto"/>
              <w:ind w:left="115"/>
              <w:rPr>
                <w:rFonts w:ascii="宋体" w:hAnsi="宋体" w:eastAsia="宋体" w:cs="宋体"/>
                <w:sz w:val="20"/>
                <w:szCs w:val="20"/>
              </w:rPr>
            </w:pPr>
            <w:r>
              <w:rPr>
                <w:rFonts w:ascii="宋体" w:hAnsi="宋体" w:eastAsia="宋体" w:cs="宋体"/>
                <w:spacing w:val="9"/>
                <w:sz w:val="20"/>
                <w:szCs w:val="20"/>
              </w:rPr>
              <w:t>概算定额中列有子</w:t>
            </w:r>
          </w:p>
          <w:p>
            <w:pPr>
              <w:spacing w:before="121" w:line="220" w:lineRule="auto"/>
              <w:ind w:left="154"/>
              <w:rPr>
                <w:rFonts w:ascii="宋体" w:hAnsi="宋体" w:eastAsia="宋体" w:cs="宋体"/>
                <w:sz w:val="20"/>
                <w:szCs w:val="20"/>
              </w:rPr>
            </w:pPr>
            <w:r>
              <w:rPr>
                <w:rFonts w:ascii="宋体" w:hAnsi="宋体" w:eastAsia="宋体" w:cs="宋体"/>
                <w:spacing w:val="4"/>
                <w:sz w:val="20"/>
                <w:szCs w:val="20"/>
              </w:rPr>
              <w:t>目、并规定了计算</w:t>
            </w:r>
          </w:p>
          <w:p>
            <w:pPr>
              <w:spacing w:before="121" w:line="219" w:lineRule="auto"/>
              <w:ind w:left="114"/>
              <w:rPr>
                <w:rFonts w:ascii="宋体" w:hAnsi="宋体" w:eastAsia="宋体" w:cs="宋体"/>
                <w:sz w:val="20"/>
                <w:szCs w:val="20"/>
              </w:rPr>
            </w:pPr>
            <w:r>
              <w:rPr>
                <w:rFonts w:ascii="宋体" w:hAnsi="宋体" w:eastAsia="宋体" w:cs="宋体"/>
                <w:spacing w:val="9"/>
                <w:sz w:val="20"/>
                <w:szCs w:val="20"/>
              </w:rPr>
              <w:t>方法的单价措施项目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7" w:hRule="atLeast"/>
        </w:trPr>
        <w:tc>
          <w:tcPr>
            <w:tcW w:w="991" w:type="dxa"/>
            <w:tcBorders>
              <w:left w:val="single" w:color="000000" w:sz="6" w:space="0"/>
            </w:tcBorders>
            <w:vAlign w:val="top"/>
          </w:tcPr>
          <w:p>
            <w:pPr>
              <w:spacing w:before="171" w:line="299" w:lineRule="exact"/>
              <w:ind w:left="378"/>
              <w:rPr>
                <w:rFonts w:ascii="宋体" w:hAnsi="宋体" w:eastAsia="宋体" w:cs="宋体"/>
                <w:sz w:val="20"/>
                <w:szCs w:val="20"/>
              </w:rPr>
            </w:pPr>
            <w:r>
              <w:rPr>
                <w:rFonts w:ascii="宋体" w:hAnsi="宋体" w:eastAsia="宋体" w:cs="宋体"/>
                <w:spacing w:val="-22"/>
                <w:position w:val="2"/>
                <w:sz w:val="20"/>
                <w:szCs w:val="20"/>
              </w:rPr>
              <w:t>1.1</w:t>
            </w:r>
          </w:p>
        </w:tc>
        <w:tc>
          <w:tcPr>
            <w:tcW w:w="6167" w:type="dxa"/>
            <w:vAlign w:val="top"/>
          </w:tcPr>
          <w:p>
            <w:pPr>
              <w:spacing w:before="178" w:line="216" w:lineRule="auto"/>
              <w:ind w:left="102"/>
              <w:rPr>
                <w:rFonts w:ascii="宋体" w:hAnsi="宋体" w:eastAsia="宋体" w:cs="宋体"/>
                <w:sz w:val="20"/>
                <w:szCs w:val="20"/>
              </w:rPr>
            </w:pPr>
            <w:r>
              <w:rPr>
                <w:rFonts w:ascii="宋体" w:hAnsi="宋体" w:eastAsia="宋体" w:cs="宋体"/>
                <w:spacing w:val="8"/>
                <w:sz w:val="20"/>
                <w:szCs w:val="20"/>
              </w:rPr>
              <w:t>脚手架</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991" w:type="dxa"/>
            <w:tcBorders>
              <w:left w:val="single" w:color="000000" w:sz="6" w:space="0"/>
            </w:tcBorders>
            <w:vAlign w:val="top"/>
          </w:tcPr>
          <w:p>
            <w:pPr>
              <w:spacing w:before="166" w:line="299" w:lineRule="exact"/>
              <w:ind w:left="378"/>
              <w:rPr>
                <w:rFonts w:ascii="宋体" w:hAnsi="宋体" w:eastAsia="宋体" w:cs="宋体"/>
                <w:sz w:val="20"/>
                <w:szCs w:val="20"/>
              </w:rPr>
            </w:pPr>
            <w:r>
              <w:rPr>
                <w:rFonts w:ascii="宋体" w:hAnsi="宋体" w:eastAsia="宋体" w:cs="宋体"/>
                <w:spacing w:val="-22"/>
                <w:position w:val="2"/>
                <w:sz w:val="20"/>
                <w:szCs w:val="20"/>
              </w:rPr>
              <w:t>1.2</w:t>
            </w:r>
          </w:p>
        </w:tc>
        <w:tc>
          <w:tcPr>
            <w:tcW w:w="6167" w:type="dxa"/>
            <w:vAlign w:val="top"/>
          </w:tcPr>
          <w:p>
            <w:pPr>
              <w:spacing w:before="169" w:line="219" w:lineRule="auto"/>
              <w:ind w:left="102"/>
              <w:rPr>
                <w:rFonts w:ascii="宋体" w:hAnsi="宋体" w:eastAsia="宋体" w:cs="宋体"/>
                <w:sz w:val="20"/>
                <w:szCs w:val="20"/>
              </w:rPr>
            </w:pPr>
            <w:r>
              <w:rPr>
                <w:rFonts w:ascii="宋体" w:hAnsi="宋体" w:eastAsia="宋体" w:cs="宋体"/>
                <w:spacing w:val="9"/>
                <w:sz w:val="20"/>
                <w:szCs w:val="20"/>
              </w:rPr>
              <w:t>垂直运输机械</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6" w:hRule="atLeast"/>
        </w:trPr>
        <w:tc>
          <w:tcPr>
            <w:tcW w:w="991" w:type="dxa"/>
            <w:tcBorders>
              <w:left w:val="single" w:color="000000" w:sz="6" w:space="0"/>
            </w:tcBorders>
            <w:vAlign w:val="top"/>
          </w:tcPr>
          <w:p>
            <w:pPr>
              <w:spacing w:before="154" w:line="291" w:lineRule="exact"/>
              <w:ind w:left="378"/>
              <w:rPr>
                <w:rFonts w:ascii="宋体" w:hAnsi="宋体" w:eastAsia="宋体" w:cs="宋体"/>
                <w:sz w:val="20"/>
                <w:szCs w:val="20"/>
              </w:rPr>
            </w:pPr>
            <w:r>
              <w:rPr>
                <w:rFonts w:ascii="宋体" w:hAnsi="宋体" w:eastAsia="宋体" w:cs="宋体"/>
                <w:spacing w:val="-22"/>
                <w:position w:val="2"/>
                <w:sz w:val="20"/>
                <w:szCs w:val="20"/>
              </w:rPr>
              <w:t>1.3</w:t>
            </w:r>
          </w:p>
        </w:tc>
        <w:tc>
          <w:tcPr>
            <w:tcW w:w="6167" w:type="dxa"/>
            <w:vAlign w:val="top"/>
          </w:tcPr>
          <w:p>
            <w:pPr>
              <w:spacing w:before="161" w:line="217" w:lineRule="auto"/>
              <w:ind w:left="108"/>
              <w:rPr>
                <w:rFonts w:ascii="宋体" w:hAnsi="宋体" w:eastAsia="宋体" w:cs="宋体"/>
                <w:sz w:val="20"/>
                <w:szCs w:val="20"/>
              </w:rPr>
            </w:pPr>
            <w:r>
              <w:rPr>
                <w:rFonts w:ascii="宋体" w:hAnsi="宋体" w:eastAsia="宋体" w:cs="宋体"/>
                <w:spacing w:val="8"/>
                <w:sz w:val="20"/>
                <w:szCs w:val="20"/>
              </w:rPr>
              <w:t>大型机械进出场</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991" w:type="dxa"/>
            <w:tcBorders>
              <w:left w:val="single" w:color="000000" w:sz="6" w:space="0"/>
            </w:tcBorders>
            <w:vAlign w:val="top"/>
          </w:tcPr>
          <w:p>
            <w:pPr>
              <w:spacing w:before="128" w:line="265" w:lineRule="exact"/>
              <w:ind w:left="378"/>
              <w:rPr>
                <w:rFonts w:ascii="宋体" w:hAnsi="宋体" w:eastAsia="宋体" w:cs="宋体"/>
                <w:sz w:val="20"/>
                <w:szCs w:val="20"/>
              </w:rPr>
            </w:pPr>
            <w:r>
              <w:rPr>
                <w:rFonts w:ascii="宋体" w:hAnsi="宋体" w:eastAsia="宋体" w:cs="宋体"/>
                <w:spacing w:val="-22"/>
                <w:position w:val="1"/>
                <w:sz w:val="20"/>
                <w:szCs w:val="20"/>
              </w:rPr>
              <w:t>1.4</w:t>
            </w:r>
          </w:p>
        </w:tc>
        <w:tc>
          <w:tcPr>
            <w:tcW w:w="6167" w:type="dxa"/>
            <w:vAlign w:val="top"/>
          </w:tcPr>
          <w:p>
            <w:pPr>
              <w:spacing w:before="120" w:line="232" w:lineRule="auto"/>
              <w:ind w:left="102"/>
              <w:rPr>
                <w:rFonts w:ascii="宋体" w:hAnsi="宋体" w:eastAsia="宋体" w:cs="宋体"/>
                <w:sz w:val="20"/>
                <w:szCs w:val="20"/>
              </w:rPr>
            </w:pPr>
            <w:r>
              <w:rPr>
                <w:rFonts w:ascii="宋体" w:hAnsi="宋体" w:eastAsia="宋体" w:cs="宋体"/>
                <w:spacing w:val="9"/>
                <w:sz w:val="20"/>
                <w:szCs w:val="20"/>
              </w:rPr>
              <w:t>施工降排水</w:t>
            </w:r>
          </w:p>
        </w:tc>
        <w:tc>
          <w:tcPr>
            <w:tcW w:w="2133"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3" w:line="301" w:lineRule="exact"/>
              <w:ind w:left="438"/>
              <w:rPr>
                <w:rFonts w:ascii="宋体" w:hAnsi="宋体" w:eastAsia="宋体" w:cs="宋体"/>
                <w:sz w:val="20"/>
                <w:szCs w:val="20"/>
              </w:rPr>
            </w:pPr>
            <w:r>
              <w:rPr>
                <w:rFonts w:ascii="宋体" w:hAnsi="宋体" w:eastAsia="宋体" w:cs="宋体"/>
                <w:b/>
                <w:bCs/>
                <w:spacing w:val="-3"/>
                <w:position w:val="2"/>
                <w:sz w:val="20"/>
                <w:szCs w:val="20"/>
              </w:rPr>
              <w:t>2</w:t>
            </w:r>
          </w:p>
        </w:tc>
        <w:tc>
          <w:tcPr>
            <w:tcW w:w="6167" w:type="dxa"/>
            <w:vAlign w:val="top"/>
          </w:tcPr>
          <w:p>
            <w:pPr>
              <w:spacing w:before="189" w:line="219" w:lineRule="auto"/>
              <w:ind w:left="104"/>
              <w:rPr>
                <w:rFonts w:ascii="宋体" w:hAnsi="宋体" w:eastAsia="宋体" w:cs="宋体"/>
                <w:sz w:val="20"/>
                <w:szCs w:val="20"/>
              </w:rPr>
            </w:pPr>
            <w:r>
              <w:rPr>
                <w:rFonts w:ascii="宋体" w:hAnsi="宋体" w:eastAsia="宋体" w:cs="宋体"/>
                <w:b/>
                <w:bCs/>
                <w:spacing w:val="7"/>
                <w:sz w:val="20"/>
                <w:szCs w:val="20"/>
              </w:rPr>
              <w:t>安装工程</w:t>
            </w:r>
          </w:p>
        </w:tc>
        <w:tc>
          <w:tcPr>
            <w:tcW w:w="2133" w:type="dxa"/>
            <w:vMerge w:val="restart"/>
            <w:tcBorders>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4" w:line="299" w:lineRule="exact"/>
              <w:ind w:left="361"/>
              <w:rPr>
                <w:rFonts w:ascii="宋体" w:hAnsi="宋体" w:eastAsia="宋体" w:cs="宋体"/>
                <w:sz w:val="20"/>
                <w:szCs w:val="20"/>
              </w:rPr>
            </w:pPr>
            <w:r>
              <w:rPr>
                <w:rFonts w:ascii="宋体" w:hAnsi="宋体" w:eastAsia="宋体" w:cs="宋体"/>
                <w:spacing w:val="-17"/>
                <w:position w:val="2"/>
                <w:sz w:val="20"/>
                <w:szCs w:val="20"/>
              </w:rPr>
              <w:t>2.1</w:t>
            </w:r>
          </w:p>
        </w:tc>
        <w:tc>
          <w:tcPr>
            <w:tcW w:w="6167" w:type="dxa"/>
            <w:vAlign w:val="top"/>
          </w:tcPr>
          <w:p>
            <w:pPr>
              <w:spacing w:before="190" w:line="219" w:lineRule="auto"/>
              <w:ind w:left="127"/>
              <w:rPr>
                <w:rFonts w:ascii="宋体" w:hAnsi="宋体" w:eastAsia="宋体" w:cs="宋体"/>
                <w:sz w:val="20"/>
                <w:szCs w:val="20"/>
              </w:rPr>
            </w:pPr>
            <w:r>
              <w:rPr>
                <w:rFonts w:ascii="宋体" w:hAnsi="宋体" w:eastAsia="宋体" w:cs="宋体"/>
                <w:spacing w:val="2"/>
                <w:sz w:val="20"/>
                <w:szCs w:val="20"/>
              </w:rPr>
              <w:t>吊装加固</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6" w:line="299" w:lineRule="exact"/>
              <w:ind w:left="361"/>
              <w:rPr>
                <w:rFonts w:ascii="宋体" w:hAnsi="宋体" w:eastAsia="宋体" w:cs="宋体"/>
                <w:sz w:val="20"/>
                <w:szCs w:val="20"/>
              </w:rPr>
            </w:pPr>
            <w:r>
              <w:rPr>
                <w:rFonts w:ascii="宋体" w:hAnsi="宋体" w:eastAsia="宋体" w:cs="宋体"/>
                <w:spacing w:val="-17"/>
                <w:position w:val="2"/>
                <w:sz w:val="20"/>
                <w:szCs w:val="20"/>
              </w:rPr>
              <w:t>2.2</w:t>
            </w:r>
          </w:p>
        </w:tc>
        <w:tc>
          <w:tcPr>
            <w:tcW w:w="6167" w:type="dxa"/>
            <w:vAlign w:val="top"/>
          </w:tcPr>
          <w:p>
            <w:pPr>
              <w:spacing w:before="191" w:line="219" w:lineRule="auto"/>
              <w:ind w:left="103"/>
              <w:rPr>
                <w:rFonts w:ascii="宋体" w:hAnsi="宋体" w:eastAsia="宋体" w:cs="宋体"/>
                <w:sz w:val="20"/>
                <w:szCs w:val="20"/>
              </w:rPr>
            </w:pPr>
            <w:r>
              <w:rPr>
                <w:rFonts w:ascii="宋体" w:hAnsi="宋体" w:eastAsia="宋体" w:cs="宋体"/>
                <w:spacing w:val="9"/>
                <w:sz w:val="20"/>
                <w:szCs w:val="20"/>
              </w:rPr>
              <w:t>金属抱杆安装、拆除、移位</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7" w:line="299" w:lineRule="exact"/>
              <w:ind w:left="361"/>
              <w:rPr>
                <w:rFonts w:ascii="宋体" w:hAnsi="宋体" w:eastAsia="宋体" w:cs="宋体"/>
                <w:sz w:val="20"/>
                <w:szCs w:val="20"/>
              </w:rPr>
            </w:pPr>
            <w:r>
              <w:rPr>
                <w:rFonts w:ascii="宋体" w:hAnsi="宋体" w:eastAsia="宋体" w:cs="宋体"/>
                <w:spacing w:val="-17"/>
                <w:position w:val="2"/>
                <w:sz w:val="20"/>
                <w:szCs w:val="20"/>
              </w:rPr>
              <w:t>2.3</w:t>
            </w:r>
          </w:p>
        </w:tc>
        <w:tc>
          <w:tcPr>
            <w:tcW w:w="6167" w:type="dxa"/>
            <w:vAlign w:val="top"/>
          </w:tcPr>
          <w:p>
            <w:pPr>
              <w:spacing w:before="191" w:line="222" w:lineRule="auto"/>
              <w:ind w:left="102"/>
              <w:rPr>
                <w:rFonts w:ascii="宋体" w:hAnsi="宋体" w:eastAsia="宋体" w:cs="宋体"/>
                <w:sz w:val="20"/>
                <w:szCs w:val="20"/>
              </w:rPr>
            </w:pPr>
            <w:r>
              <w:rPr>
                <w:rFonts w:ascii="宋体" w:hAnsi="宋体" w:eastAsia="宋体" w:cs="宋体"/>
                <w:spacing w:val="9"/>
                <w:sz w:val="20"/>
                <w:szCs w:val="20"/>
              </w:rPr>
              <w:t>平台铺设、拆除</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6" w:line="299" w:lineRule="exact"/>
              <w:ind w:left="361"/>
              <w:rPr>
                <w:rFonts w:ascii="宋体" w:hAnsi="宋体" w:eastAsia="宋体" w:cs="宋体"/>
                <w:sz w:val="20"/>
                <w:szCs w:val="20"/>
              </w:rPr>
            </w:pPr>
            <w:r>
              <w:rPr>
                <w:rFonts w:ascii="宋体" w:hAnsi="宋体" w:eastAsia="宋体" w:cs="宋体"/>
                <w:spacing w:val="-17"/>
                <w:position w:val="2"/>
                <w:sz w:val="20"/>
                <w:szCs w:val="20"/>
              </w:rPr>
              <w:t>2.4</w:t>
            </w:r>
          </w:p>
        </w:tc>
        <w:tc>
          <w:tcPr>
            <w:tcW w:w="6167" w:type="dxa"/>
            <w:vAlign w:val="top"/>
          </w:tcPr>
          <w:p>
            <w:pPr>
              <w:spacing w:before="191" w:line="219" w:lineRule="auto"/>
              <w:ind w:left="104"/>
              <w:rPr>
                <w:rFonts w:ascii="宋体" w:hAnsi="宋体" w:eastAsia="宋体" w:cs="宋体"/>
                <w:sz w:val="20"/>
                <w:szCs w:val="20"/>
              </w:rPr>
            </w:pPr>
            <w:r>
              <w:rPr>
                <w:rFonts w:ascii="宋体" w:hAnsi="宋体" w:eastAsia="宋体" w:cs="宋体"/>
                <w:spacing w:val="9"/>
                <w:sz w:val="20"/>
                <w:szCs w:val="20"/>
              </w:rPr>
              <w:t>顶升、提升装置</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8" w:line="298" w:lineRule="exact"/>
              <w:ind w:left="361"/>
              <w:rPr>
                <w:rFonts w:ascii="宋体" w:hAnsi="宋体" w:eastAsia="宋体" w:cs="宋体"/>
                <w:sz w:val="20"/>
                <w:szCs w:val="20"/>
              </w:rPr>
            </w:pPr>
            <w:r>
              <w:rPr>
                <w:rFonts w:ascii="宋体" w:hAnsi="宋体" w:eastAsia="宋体" w:cs="宋体"/>
                <w:spacing w:val="-17"/>
                <w:position w:val="2"/>
                <w:sz w:val="20"/>
                <w:szCs w:val="20"/>
              </w:rPr>
              <w:t>2.5</w:t>
            </w:r>
          </w:p>
        </w:tc>
        <w:tc>
          <w:tcPr>
            <w:tcW w:w="6167" w:type="dxa"/>
            <w:vAlign w:val="top"/>
          </w:tcPr>
          <w:p>
            <w:pPr>
              <w:spacing w:before="191" w:line="222" w:lineRule="auto"/>
              <w:ind w:left="108"/>
              <w:rPr>
                <w:rFonts w:ascii="宋体" w:hAnsi="宋体" w:eastAsia="宋体" w:cs="宋体"/>
                <w:sz w:val="20"/>
                <w:szCs w:val="20"/>
              </w:rPr>
            </w:pPr>
            <w:r>
              <w:rPr>
                <w:rFonts w:ascii="宋体" w:hAnsi="宋体" w:eastAsia="宋体" w:cs="宋体"/>
                <w:spacing w:val="8"/>
                <w:sz w:val="20"/>
                <w:szCs w:val="20"/>
              </w:rPr>
              <w:t>大型设备专用机具</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9" w:line="299" w:lineRule="exact"/>
              <w:ind w:left="361"/>
              <w:rPr>
                <w:rFonts w:ascii="宋体" w:hAnsi="宋体" w:eastAsia="宋体" w:cs="宋体"/>
                <w:sz w:val="20"/>
                <w:szCs w:val="20"/>
              </w:rPr>
            </w:pPr>
            <w:r>
              <w:rPr>
                <w:rFonts w:ascii="宋体" w:hAnsi="宋体" w:eastAsia="宋体" w:cs="宋体"/>
                <w:spacing w:val="-17"/>
                <w:position w:val="2"/>
                <w:sz w:val="20"/>
                <w:szCs w:val="20"/>
              </w:rPr>
              <w:t>2.6</w:t>
            </w:r>
          </w:p>
        </w:tc>
        <w:tc>
          <w:tcPr>
            <w:tcW w:w="6167" w:type="dxa"/>
            <w:vAlign w:val="top"/>
          </w:tcPr>
          <w:p>
            <w:pPr>
              <w:spacing w:before="195" w:line="218" w:lineRule="auto"/>
              <w:ind w:left="106"/>
              <w:rPr>
                <w:rFonts w:ascii="宋体" w:hAnsi="宋体" w:eastAsia="宋体" w:cs="宋体"/>
                <w:sz w:val="20"/>
                <w:szCs w:val="20"/>
              </w:rPr>
            </w:pPr>
            <w:r>
              <w:rPr>
                <w:rFonts w:ascii="宋体" w:hAnsi="宋体" w:eastAsia="宋体" w:cs="宋体"/>
                <w:spacing w:val="8"/>
                <w:sz w:val="20"/>
                <w:szCs w:val="20"/>
              </w:rPr>
              <w:t>焊接工艺评定</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0" w:line="299" w:lineRule="exact"/>
              <w:ind w:left="361"/>
              <w:rPr>
                <w:rFonts w:ascii="宋体" w:hAnsi="宋体" w:eastAsia="宋体" w:cs="宋体"/>
                <w:sz w:val="20"/>
                <w:szCs w:val="20"/>
              </w:rPr>
            </w:pPr>
            <w:r>
              <w:rPr>
                <w:rFonts w:ascii="宋体" w:hAnsi="宋体" w:eastAsia="宋体" w:cs="宋体"/>
                <w:spacing w:val="-17"/>
                <w:position w:val="2"/>
                <w:sz w:val="20"/>
                <w:szCs w:val="20"/>
              </w:rPr>
              <w:t>2.7</w:t>
            </w:r>
          </w:p>
        </w:tc>
        <w:tc>
          <w:tcPr>
            <w:tcW w:w="6167" w:type="dxa"/>
            <w:vAlign w:val="top"/>
          </w:tcPr>
          <w:p>
            <w:pPr>
              <w:spacing w:before="190" w:line="278" w:lineRule="exact"/>
              <w:ind w:left="104"/>
              <w:rPr>
                <w:rFonts w:ascii="宋体" w:hAnsi="宋体" w:eastAsia="宋体" w:cs="宋体"/>
                <w:sz w:val="20"/>
                <w:szCs w:val="20"/>
              </w:rPr>
            </w:pPr>
            <w:r>
              <w:rPr>
                <w:rFonts w:ascii="宋体" w:hAnsi="宋体" w:eastAsia="宋体" w:cs="宋体"/>
                <w:spacing w:val="9"/>
                <w:position w:val="1"/>
                <w:sz w:val="20"/>
                <w:szCs w:val="20"/>
              </w:rPr>
              <w:t>胎（模）具制作、安装、拆除</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2" w:line="299" w:lineRule="exact"/>
              <w:ind w:left="361"/>
              <w:rPr>
                <w:rFonts w:ascii="宋体" w:hAnsi="宋体" w:eastAsia="宋体" w:cs="宋体"/>
                <w:sz w:val="20"/>
                <w:szCs w:val="20"/>
              </w:rPr>
            </w:pPr>
            <w:r>
              <w:rPr>
                <w:rFonts w:ascii="宋体" w:hAnsi="宋体" w:eastAsia="宋体" w:cs="宋体"/>
                <w:spacing w:val="-17"/>
                <w:position w:val="2"/>
                <w:sz w:val="20"/>
                <w:szCs w:val="20"/>
              </w:rPr>
              <w:t>2.8</w:t>
            </w:r>
          </w:p>
        </w:tc>
        <w:tc>
          <w:tcPr>
            <w:tcW w:w="6167" w:type="dxa"/>
            <w:vAlign w:val="top"/>
          </w:tcPr>
          <w:p>
            <w:pPr>
              <w:spacing w:before="197" w:line="220" w:lineRule="auto"/>
              <w:ind w:left="118"/>
              <w:rPr>
                <w:rFonts w:ascii="宋体" w:hAnsi="宋体" w:eastAsia="宋体" w:cs="宋体"/>
                <w:sz w:val="20"/>
                <w:szCs w:val="20"/>
              </w:rPr>
            </w:pPr>
            <w:r>
              <w:rPr>
                <w:rFonts w:ascii="宋体" w:hAnsi="宋体" w:eastAsia="宋体" w:cs="宋体"/>
                <w:spacing w:val="8"/>
                <w:sz w:val="20"/>
                <w:szCs w:val="20"/>
              </w:rPr>
              <w:t>防护棚制作、安装、拆除</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3" w:line="299" w:lineRule="exact"/>
              <w:ind w:left="361"/>
              <w:rPr>
                <w:rFonts w:ascii="宋体" w:hAnsi="宋体" w:eastAsia="宋体" w:cs="宋体"/>
                <w:sz w:val="20"/>
                <w:szCs w:val="20"/>
              </w:rPr>
            </w:pPr>
            <w:r>
              <w:rPr>
                <w:rFonts w:ascii="宋体" w:hAnsi="宋体" w:eastAsia="宋体" w:cs="宋体"/>
                <w:spacing w:val="-17"/>
                <w:position w:val="2"/>
                <w:sz w:val="20"/>
                <w:szCs w:val="20"/>
              </w:rPr>
              <w:t>2.9</w:t>
            </w:r>
          </w:p>
        </w:tc>
        <w:tc>
          <w:tcPr>
            <w:tcW w:w="6167" w:type="dxa"/>
            <w:vAlign w:val="top"/>
          </w:tcPr>
          <w:p>
            <w:pPr>
              <w:spacing w:before="199" w:line="218" w:lineRule="auto"/>
              <w:ind w:left="106"/>
              <w:rPr>
                <w:rFonts w:ascii="宋体" w:hAnsi="宋体" w:eastAsia="宋体" w:cs="宋体"/>
                <w:sz w:val="20"/>
                <w:szCs w:val="20"/>
              </w:rPr>
            </w:pPr>
            <w:r>
              <w:rPr>
                <w:rFonts w:ascii="宋体" w:hAnsi="宋体" w:eastAsia="宋体" w:cs="宋体"/>
                <w:spacing w:val="8"/>
                <w:sz w:val="20"/>
                <w:szCs w:val="20"/>
              </w:rPr>
              <w:t>特殊地区施工增加</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2" w:line="299" w:lineRule="exact"/>
              <w:ind w:left="308"/>
              <w:rPr>
                <w:rFonts w:ascii="宋体" w:hAnsi="宋体" w:eastAsia="宋体" w:cs="宋体"/>
                <w:sz w:val="20"/>
                <w:szCs w:val="20"/>
              </w:rPr>
            </w:pPr>
            <w:r>
              <w:rPr>
                <w:rFonts w:ascii="宋体" w:hAnsi="宋体" w:eastAsia="宋体" w:cs="宋体"/>
                <w:spacing w:val="-11"/>
                <w:position w:val="2"/>
                <w:sz w:val="20"/>
                <w:szCs w:val="20"/>
              </w:rPr>
              <w:t>2.10</w:t>
            </w:r>
          </w:p>
        </w:tc>
        <w:tc>
          <w:tcPr>
            <w:tcW w:w="6167" w:type="dxa"/>
            <w:vAlign w:val="top"/>
          </w:tcPr>
          <w:p>
            <w:pPr>
              <w:spacing w:before="197" w:line="219" w:lineRule="auto"/>
              <w:ind w:left="104"/>
              <w:rPr>
                <w:rFonts w:ascii="宋体" w:hAnsi="宋体" w:eastAsia="宋体" w:cs="宋体"/>
                <w:sz w:val="20"/>
                <w:szCs w:val="20"/>
              </w:rPr>
            </w:pPr>
            <w:r>
              <w:rPr>
                <w:rFonts w:ascii="宋体" w:hAnsi="宋体" w:eastAsia="宋体" w:cs="宋体"/>
                <w:spacing w:val="9"/>
                <w:sz w:val="20"/>
                <w:szCs w:val="20"/>
              </w:rPr>
              <w:t>安装与生产同时进行施工增加</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4" w:line="298" w:lineRule="exact"/>
              <w:ind w:left="308"/>
              <w:rPr>
                <w:rFonts w:ascii="宋体" w:hAnsi="宋体" w:eastAsia="宋体" w:cs="宋体"/>
                <w:sz w:val="20"/>
                <w:szCs w:val="20"/>
              </w:rPr>
            </w:pPr>
            <w:r>
              <w:rPr>
                <w:rFonts w:ascii="宋体" w:hAnsi="宋体" w:eastAsia="宋体" w:cs="宋体"/>
                <w:spacing w:val="-11"/>
                <w:position w:val="2"/>
                <w:sz w:val="20"/>
                <w:szCs w:val="20"/>
              </w:rPr>
              <w:t>2.11</w:t>
            </w:r>
          </w:p>
        </w:tc>
        <w:tc>
          <w:tcPr>
            <w:tcW w:w="6167" w:type="dxa"/>
            <w:vAlign w:val="top"/>
          </w:tcPr>
          <w:p>
            <w:pPr>
              <w:spacing w:before="196" w:line="224" w:lineRule="auto"/>
              <w:ind w:left="105"/>
              <w:rPr>
                <w:rFonts w:ascii="宋体" w:hAnsi="宋体" w:eastAsia="宋体" w:cs="宋体"/>
                <w:sz w:val="20"/>
                <w:szCs w:val="20"/>
              </w:rPr>
            </w:pPr>
            <w:r>
              <w:rPr>
                <w:rFonts w:ascii="宋体" w:hAnsi="宋体" w:eastAsia="宋体" w:cs="宋体"/>
                <w:spacing w:val="9"/>
                <w:sz w:val="20"/>
                <w:szCs w:val="20"/>
              </w:rPr>
              <w:t>在有害身体健康环境中施工增加</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991" w:type="dxa"/>
            <w:tcBorders>
              <w:left w:val="single" w:color="000000" w:sz="6" w:space="0"/>
            </w:tcBorders>
            <w:vAlign w:val="top"/>
          </w:tcPr>
          <w:p>
            <w:pPr>
              <w:spacing w:before="195" w:line="299" w:lineRule="exact"/>
              <w:ind w:left="308"/>
              <w:rPr>
                <w:rFonts w:ascii="宋体" w:hAnsi="宋体" w:eastAsia="宋体" w:cs="宋体"/>
                <w:sz w:val="20"/>
                <w:szCs w:val="20"/>
              </w:rPr>
            </w:pPr>
            <w:r>
              <w:rPr>
                <w:rFonts w:ascii="宋体" w:hAnsi="宋体" w:eastAsia="宋体" w:cs="宋体"/>
                <w:spacing w:val="-11"/>
                <w:position w:val="2"/>
                <w:sz w:val="20"/>
                <w:szCs w:val="20"/>
              </w:rPr>
              <w:t>2.12</w:t>
            </w:r>
          </w:p>
        </w:tc>
        <w:tc>
          <w:tcPr>
            <w:tcW w:w="6167" w:type="dxa"/>
            <w:vAlign w:val="top"/>
          </w:tcPr>
          <w:p>
            <w:pPr>
              <w:spacing w:before="200" w:line="218" w:lineRule="auto"/>
              <w:ind w:left="104"/>
              <w:rPr>
                <w:rFonts w:ascii="宋体" w:hAnsi="宋体" w:eastAsia="宋体" w:cs="宋体"/>
                <w:sz w:val="20"/>
                <w:szCs w:val="20"/>
              </w:rPr>
            </w:pPr>
            <w:r>
              <w:rPr>
                <w:rFonts w:ascii="宋体" w:hAnsi="宋体" w:eastAsia="宋体" w:cs="宋体"/>
                <w:spacing w:val="9"/>
                <w:sz w:val="20"/>
                <w:szCs w:val="20"/>
              </w:rPr>
              <w:t>工程系统检测、检验</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991" w:type="dxa"/>
            <w:tcBorders>
              <w:left w:val="single" w:color="000000" w:sz="6" w:space="0"/>
            </w:tcBorders>
            <w:vAlign w:val="top"/>
          </w:tcPr>
          <w:p>
            <w:pPr>
              <w:spacing w:before="195" w:line="299" w:lineRule="exact"/>
              <w:ind w:left="308"/>
              <w:rPr>
                <w:rFonts w:ascii="宋体" w:hAnsi="宋体" w:eastAsia="宋体" w:cs="宋体"/>
                <w:sz w:val="20"/>
                <w:szCs w:val="20"/>
              </w:rPr>
            </w:pPr>
            <w:r>
              <w:rPr>
                <w:rFonts w:ascii="宋体" w:hAnsi="宋体" w:eastAsia="宋体" w:cs="宋体"/>
                <w:spacing w:val="-11"/>
                <w:position w:val="2"/>
                <w:sz w:val="20"/>
                <w:szCs w:val="20"/>
              </w:rPr>
              <w:t>2.13</w:t>
            </w:r>
          </w:p>
        </w:tc>
        <w:tc>
          <w:tcPr>
            <w:tcW w:w="6167" w:type="dxa"/>
            <w:vAlign w:val="top"/>
          </w:tcPr>
          <w:p>
            <w:pPr>
              <w:spacing w:before="199" w:line="221" w:lineRule="auto"/>
              <w:ind w:left="100"/>
              <w:rPr>
                <w:rFonts w:ascii="宋体" w:hAnsi="宋体" w:eastAsia="宋体" w:cs="宋体"/>
                <w:sz w:val="20"/>
                <w:szCs w:val="20"/>
              </w:rPr>
            </w:pPr>
            <w:r>
              <w:rPr>
                <w:rFonts w:ascii="宋体" w:hAnsi="宋体" w:eastAsia="宋体" w:cs="宋体"/>
                <w:spacing w:val="9"/>
                <w:sz w:val="20"/>
                <w:szCs w:val="20"/>
              </w:rPr>
              <w:t>设备、管道施工的安全、防冻和焊接保护</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991" w:type="dxa"/>
            <w:tcBorders>
              <w:left w:val="single" w:color="000000" w:sz="6" w:space="0"/>
            </w:tcBorders>
            <w:vAlign w:val="top"/>
          </w:tcPr>
          <w:p>
            <w:pPr>
              <w:spacing w:before="150" w:line="242" w:lineRule="auto"/>
              <w:ind w:left="308"/>
              <w:rPr>
                <w:rFonts w:ascii="宋体" w:hAnsi="宋体" w:eastAsia="宋体" w:cs="宋体"/>
                <w:sz w:val="20"/>
                <w:szCs w:val="20"/>
              </w:rPr>
            </w:pPr>
            <w:r>
              <w:rPr>
                <w:rFonts w:ascii="宋体" w:hAnsi="宋体" w:eastAsia="宋体" w:cs="宋体"/>
                <w:spacing w:val="-11"/>
                <w:sz w:val="20"/>
                <w:szCs w:val="20"/>
              </w:rPr>
              <w:t>2.14</w:t>
            </w:r>
          </w:p>
        </w:tc>
        <w:tc>
          <w:tcPr>
            <w:tcW w:w="6167" w:type="dxa"/>
            <w:vAlign w:val="top"/>
          </w:tcPr>
          <w:p>
            <w:pPr>
              <w:spacing w:before="150" w:line="242" w:lineRule="auto"/>
              <w:ind w:left="105"/>
              <w:rPr>
                <w:rFonts w:ascii="宋体" w:hAnsi="宋体" w:eastAsia="宋体" w:cs="宋体"/>
                <w:sz w:val="20"/>
                <w:szCs w:val="20"/>
              </w:rPr>
            </w:pPr>
            <w:r>
              <w:rPr>
                <w:rFonts w:ascii="宋体" w:hAnsi="宋体" w:eastAsia="宋体" w:cs="宋体"/>
                <w:spacing w:val="9"/>
                <w:sz w:val="20"/>
                <w:szCs w:val="20"/>
              </w:rPr>
              <w:t>焦炉烘炉、热态工程</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991" w:type="dxa"/>
            <w:tcBorders>
              <w:left w:val="single" w:color="000000" w:sz="6" w:space="0"/>
            </w:tcBorders>
            <w:vAlign w:val="top"/>
          </w:tcPr>
          <w:p>
            <w:pPr>
              <w:spacing w:before="195" w:line="299" w:lineRule="exact"/>
              <w:ind w:left="308"/>
              <w:rPr>
                <w:rFonts w:ascii="宋体" w:hAnsi="宋体" w:eastAsia="宋体" w:cs="宋体"/>
                <w:sz w:val="20"/>
                <w:szCs w:val="20"/>
              </w:rPr>
            </w:pPr>
            <w:r>
              <w:rPr>
                <w:rFonts w:ascii="宋体" w:hAnsi="宋体" w:eastAsia="宋体" w:cs="宋体"/>
                <w:spacing w:val="-11"/>
                <w:position w:val="2"/>
                <w:sz w:val="20"/>
                <w:szCs w:val="20"/>
              </w:rPr>
              <w:t>2.15</w:t>
            </w:r>
          </w:p>
        </w:tc>
        <w:tc>
          <w:tcPr>
            <w:tcW w:w="6167" w:type="dxa"/>
            <w:vAlign w:val="top"/>
          </w:tcPr>
          <w:p>
            <w:pPr>
              <w:spacing w:before="199" w:line="222" w:lineRule="auto"/>
              <w:ind w:left="106"/>
              <w:rPr>
                <w:rFonts w:ascii="宋体" w:hAnsi="宋体" w:eastAsia="宋体" w:cs="宋体"/>
                <w:sz w:val="20"/>
                <w:szCs w:val="20"/>
              </w:rPr>
            </w:pPr>
            <w:r>
              <w:rPr>
                <w:rFonts w:ascii="宋体" w:hAnsi="宋体" w:eastAsia="宋体" w:cs="宋体"/>
                <w:spacing w:val="9"/>
                <w:sz w:val="20"/>
                <w:szCs w:val="20"/>
              </w:rPr>
              <w:t>管道安拆后的充气保护</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2" w:hRule="atLeast"/>
        </w:trPr>
        <w:tc>
          <w:tcPr>
            <w:tcW w:w="991" w:type="dxa"/>
            <w:tcBorders>
              <w:left w:val="single" w:color="000000" w:sz="6" w:space="0"/>
            </w:tcBorders>
            <w:vAlign w:val="top"/>
          </w:tcPr>
          <w:p>
            <w:pPr>
              <w:spacing w:before="183" w:line="299" w:lineRule="exact"/>
              <w:ind w:left="308"/>
              <w:rPr>
                <w:rFonts w:ascii="宋体" w:hAnsi="宋体" w:eastAsia="宋体" w:cs="宋体"/>
                <w:sz w:val="20"/>
                <w:szCs w:val="20"/>
              </w:rPr>
            </w:pPr>
            <w:r>
              <w:rPr>
                <w:rFonts w:ascii="宋体" w:hAnsi="宋体" w:eastAsia="宋体" w:cs="宋体"/>
                <w:spacing w:val="-11"/>
                <w:position w:val="2"/>
                <w:sz w:val="20"/>
                <w:szCs w:val="20"/>
              </w:rPr>
              <w:t>2.16</w:t>
            </w:r>
          </w:p>
        </w:tc>
        <w:tc>
          <w:tcPr>
            <w:tcW w:w="6167" w:type="dxa"/>
            <w:vAlign w:val="top"/>
          </w:tcPr>
          <w:p>
            <w:pPr>
              <w:spacing w:before="187" w:line="222" w:lineRule="auto"/>
              <w:ind w:left="115"/>
              <w:rPr>
                <w:rFonts w:ascii="宋体" w:hAnsi="宋体" w:eastAsia="宋体" w:cs="宋体"/>
                <w:sz w:val="20"/>
                <w:szCs w:val="20"/>
              </w:rPr>
            </w:pPr>
            <w:r>
              <w:rPr>
                <w:rFonts w:ascii="宋体" w:hAnsi="宋体" w:eastAsia="宋体" w:cs="宋体"/>
                <w:spacing w:val="9"/>
                <w:sz w:val="20"/>
                <w:szCs w:val="20"/>
              </w:rPr>
              <w:t>隧道内施工的通风、供水、供气、供电、照明及通讯设施费</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9" w:hRule="atLeast"/>
        </w:trPr>
        <w:tc>
          <w:tcPr>
            <w:tcW w:w="991" w:type="dxa"/>
            <w:tcBorders>
              <w:left w:val="single" w:color="000000" w:sz="6" w:space="0"/>
            </w:tcBorders>
            <w:vAlign w:val="top"/>
          </w:tcPr>
          <w:p>
            <w:pPr>
              <w:spacing w:before="188" w:line="299" w:lineRule="exact"/>
              <w:ind w:left="308"/>
              <w:rPr>
                <w:rFonts w:ascii="宋体" w:hAnsi="宋体" w:eastAsia="宋体" w:cs="宋体"/>
                <w:sz w:val="20"/>
                <w:szCs w:val="20"/>
              </w:rPr>
            </w:pPr>
            <w:r>
              <w:rPr>
                <w:rFonts w:ascii="宋体" w:hAnsi="宋体" w:eastAsia="宋体" w:cs="宋体"/>
                <w:spacing w:val="-11"/>
                <w:position w:val="2"/>
                <w:sz w:val="20"/>
                <w:szCs w:val="20"/>
              </w:rPr>
              <w:t>2.17</w:t>
            </w:r>
          </w:p>
        </w:tc>
        <w:tc>
          <w:tcPr>
            <w:tcW w:w="6167" w:type="dxa"/>
            <w:vAlign w:val="top"/>
          </w:tcPr>
          <w:p>
            <w:pPr>
              <w:spacing w:before="193" w:line="218" w:lineRule="auto"/>
              <w:ind w:left="102"/>
              <w:rPr>
                <w:rFonts w:ascii="宋体" w:hAnsi="宋体" w:eastAsia="宋体" w:cs="宋体"/>
                <w:sz w:val="20"/>
                <w:szCs w:val="20"/>
              </w:rPr>
            </w:pPr>
            <w:r>
              <w:rPr>
                <w:rFonts w:ascii="宋体" w:hAnsi="宋体" w:eastAsia="宋体" w:cs="宋体"/>
                <w:spacing w:val="9"/>
                <w:sz w:val="20"/>
                <w:szCs w:val="20"/>
              </w:rPr>
              <w:t>脚手架搭拆</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5" w:line="299" w:lineRule="exact"/>
              <w:ind w:left="308"/>
              <w:rPr>
                <w:rFonts w:ascii="宋体" w:hAnsi="宋体" w:eastAsia="宋体" w:cs="宋体"/>
                <w:sz w:val="20"/>
                <w:szCs w:val="20"/>
              </w:rPr>
            </w:pPr>
            <w:r>
              <w:rPr>
                <w:rFonts w:ascii="宋体" w:hAnsi="宋体" w:eastAsia="宋体" w:cs="宋体"/>
                <w:spacing w:val="-11"/>
                <w:position w:val="2"/>
                <w:sz w:val="20"/>
                <w:szCs w:val="20"/>
              </w:rPr>
              <w:t>2.18</w:t>
            </w:r>
          </w:p>
        </w:tc>
        <w:tc>
          <w:tcPr>
            <w:tcW w:w="6167" w:type="dxa"/>
            <w:vAlign w:val="top"/>
          </w:tcPr>
          <w:p>
            <w:pPr>
              <w:spacing w:before="201" w:line="218" w:lineRule="auto"/>
              <w:ind w:left="104"/>
              <w:rPr>
                <w:rFonts w:ascii="宋体" w:hAnsi="宋体" w:eastAsia="宋体" w:cs="宋体"/>
                <w:sz w:val="20"/>
                <w:szCs w:val="20"/>
              </w:rPr>
            </w:pPr>
            <w:r>
              <w:rPr>
                <w:rFonts w:ascii="宋体" w:hAnsi="宋体" w:eastAsia="宋体" w:cs="宋体"/>
                <w:spacing w:val="9"/>
                <w:sz w:val="20"/>
                <w:szCs w:val="20"/>
              </w:rPr>
              <w:t>非夜间施工增加</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4" w:hRule="atLeast"/>
        </w:trPr>
        <w:tc>
          <w:tcPr>
            <w:tcW w:w="991" w:type="dxa"/>
            <w:tcBorders>
              <w:left w:val="single" w:color="000000" w:sz="6" w:space="0"/>
              <w:bottom w:val="single" w:color="000000" w:sz="6" w:space="0"/>
            </w:tcBorders>
            <w:vAlign w:val="top"/>
          </w:tcPr>
          <w:p>
            <w:pPr>
              <w:spacing w:before="165" w:line="288" w:lineRule="exact"/>
              <w:ind w:left="308"/>
              <w:rPr>
                <w:rFonts w:ascii="宋体" w:hAnsi="宋体" w:eastAsia="宋体" w:cs="宋体"/>
                <w:sz w:val="20"/>
                <w:szCs w:val="20"/>
              </w:rPr>
            </w:pPr>
            <w:r>
              <w:rPr>
                <w:rFonts w:ascii="宋体" w:hAnsi="宋体" w:eastAsia="宋体" w:cs="宋体"/>
                <w:spacing w:val="-11"/>
                <w:position w:val="2"/>
                <w:sz w:val="20"/>
                <w:szCs w:val="20"/>
              </w:rPr>
              <w:t>2.19</w:t>
            </w:r>
          </w:p>
        </w:tc>
        <w:tc>
          <w:tcPr>
            <w:tcW w:w="6167" w:type="dxa"/>
            <w:tcBorders>
              <w:bottom w:val="single" w:color="000000" w:sz="6" w:space="0"/>
            </w:tcBorders>
            <w:vAlign w:val="top"/>
          </w:tcPr>
          <w:p>
            <w:pPr>
              <w:spacing w:before="170" w:line="219" w:lineRule="auto"/>
              <w:ind w:left="107"/>
              <w:rPr>
                <w:rFonts w:ascii="宋体" w:hAnsi="宋体" w:eastAsia="宋体" w:cs="宋体"/>
                <w:sz w:val="20"/>
                <w:szCs w:val="20"/>
              </w:rPr>
            </w:pPr>
            <w:r>
              <w:rPr>
                <w:rFonts w:ascii="宋体" w:hAnsi="宋体" w:eastAsia="宋体" w:cs="宋体"/>
                <w:spacing w:val="8"/>
                <w:sz w:val="20"/>
                <w:szCs w:val="20"/>
              </w:rPr>
              <w:t>高层施工增加</w:t>
            </w:r>
          </w:p>
        </w:tc>
        <w:tc>
          <w:tcPr>
            <w:tcW w:w="2133" w:type="dxa"/>
            <w:vMerge w:val="continue"/>
            <w:tcBorders>
              <w:top w:val="nil"/>
              <w:bottom w:val="single" w:color="000000" w:sz="6" w:space="0"/>
              <w:right w:val="single" w:color="000000" w:sz="6" w:space="0"/>
            </w:tcBorders>
            <w:vAlign w:val="top"/>
          </w:tcPr>
          <w:p>
            <w:pPr>
              <w:pStyle w:val="6"/>
            </w:pPr>
          </w:p>
        </w:tc>
      </w:tr>
    </w:tbl>
    <w:p>
      <w:pPr>
        <w:spacing w:line="222" w:lineRule="exact"/>
        <w:rPr>
          <w:rFonts w:ascii="Arial"/>
          <w:sz w:val="19"/>
        </w:rPr>
      </w:pPr>
    </w:p>
    <w:p>
      <w:pPr>
        <w:spacing w:line="222" w:lineRule="exact"/>
        <w:rPr>
          <w:rFonts w:ascii="Arial" w:hAnsi="Arial" w:eastAsia="Arial" w:cs="Arial"/>
          <w:sz w:val="19"/>
          <w:szCs w:val="19"/>
        </w:rPr>
        <w:sectPr>
          <w:footerReference r:id="rId7" w:type="default"/>
          <w:pgSz w:w="11905" w:h="16840"/>
          <w:pgMar w:top="1431" w:right="1299" w:bottom="1213" w:left="1299" w:header="0" w:footer="898" w:gutter="0"/>
        </w:sectPr>
      </w:pP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6167"/>
        <w:gridCol w:w="21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3" w:hRule="atLeast"/>
        </w:trPr>
        <w:tc>
          <w:tcPr>
            <w:tcW w:w="991" w:type="dxa"/>
            <w:tcBorders>
              <w:top w:val="single" w:color="000000" w:sz="6" w:space="0"/>
              <w:left w:val="single" w:color="000000" w:sz="6" w:space="0"/>
            </w:tcBorders>
            <w:vAlign w:val="top"/>
          </w:tcPr>
          <w:p>
            <w:pPr>
              <w:spacing w:before="243" w:line="210" w:lineRule="auto"/>
              <w:ind w:left="278"/>
              <w:rPr>
                <w:rFonts w:ascii="微软雅黑" w:hAnsi="微软雅黑" w:eastAsia="微软雅黑" w:cs="微软雅黑"/>
                <w:sz w:val="20"/>
                <w:szCs w:val="20"/>
              </w:rPr>
            </w:pPr>
            <w:bookmarkStart w:id="5" w:name="bookmark136"/>
            <w:bookmarkEnd w:id="5"/>
            <w:r>
              <w:rPr>
                <w:rFonts w:ascii="微软雅黑" w:hAnsi="微软雅黑" w:eastAsia="微软雅黑" w:cs="微软雅黑"/>
                <w:spacing w:val="6"/>
                <w:sz w:val="20"/>
                <w:szCs w:val="20"/>
              </w:rPr>
              <w:t>序号</w:t>
            </w:r>
          </w:p>
        </w:tc>
        <w:tc>
          <w:tcPr>
            <w:tcW w:w="6167" w:type="dxa"/>
            <w:tcBorders>
              <w:top w:val="single" w:color="000000" w:sz="6" w:space="0"/>
            </w:tcBorders>
            <w:vAlign w:val="top"/>
          </w:tcPr>
          <w:p>
            <w:pPr>
              <w:spacing w:before="244" w:line="208" w:lineRule="auto"/>
              <w:ind w:left="2455"/>
              <w:rPr>
                <w:rFonts w:ascii="微软雅黑" w:hAnsi="微软雅黑" w:eastAsia="微软雅黑" w:cs="微软雅黑"/>
                <w:sz w:val="20"/>
                <w:szCs w:val="20"/>
              </w:rPr>
            </w:pPr>
            <w:r>
              <w:rPr>
                <w:rFonts w:ascii="微软雅黑" w:hAnsi="微软雅黑" w:eastAsia="微软雅黑" w:cs="微软雅黑"/>
                <w:spacing w:val="8"/>
                <w:sz w:val="20"/>
                <w:szCs w:val="20"/>
              </w:rPr>
              <w:t>措施项目名称</w:t>
            </w:r>
          </w:p>
        </w:tc>
        <w:tc>
          <w:tcPr>
            <w:tcW w:w="2133" w:type="dxa"/>
            <w:tcBorders>
              <w:top w:val="single" w:color="000000" w:sz="6" w:space="0"/>
              <w:right w:val="single" w:color="000000" w:sz="6" w:space="0"/>
            </w:tcBorders>
            <w:vAlign w:val="top"/>
          </w:tcPr>
          <w:p>
            <w:pPr>
              <w:spacing w:before="243" w:line="211" w:lineRule="auto"/>
              <w:ind w:left="863"/>
              <w:rPr>
                <w:rFonts w:ascii="微软雅黑" w:hAnsi="微软雅黑" w:eastAsia="微软雅黑" w:cs="微软雅黑"/>
                <w:sz w:val="20"/>
                <w:szCs w:val="20"/>
              </w:rPr>
            </w:pPr>
            <w:r>
              <w:rPr>
                <w:rFonts w:ascii="微软雅黑" w:hAnsi="微软雅黑" w:eastAsia="微软雅黑" w:cs="微软雅黑"/>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3" w:line="300" w:lineRule="exact"/>
              <w:ind w:left="441"/>
              <w:rPr>
                <w:rFonts w:ascii="宋体" w:hAnsi="宋体" w:eastAsia="宋体" w:cs="宋体"/>
                <w:sz w:val="20"/>
                <w:szCs w:val="20"/>
              </w:rPr>
            </w:pPr>
            <w:r>
              <w:rPr>
                <w:rFonts w:ascii="宋体" w:hAnsi="宋体" w:eastAsia="宋体" w:cs="宋体"/>
                <w:b/>
                <w:bCs/>
                <w:spacing w:val="-3"/>
                <w:position w:val="2"/>
                <w:sz w:val="20"/>
                <w:szCs w:val="20"/>
              </w:rPr>
              <w:t>3</w:t>
            </w:r>
          </w:p>
        </w:tc>
        <w:tc>
          <w:tcPr>
            <w:tcW w:w="6167" w:type="dxa"/>
            <w:vAlign w:val="top"/>
          </w:tcPr>
          <w:p>
            <w:pPr>
              <w:spacing w:before="189" w:line="218" w:lineRule="auto"/>
              <w:ind w:left="105"/>
              <w:rPr>
                <w:rFonts w:ascii="宋体" w:hAnsi="宋体" w:eastAsia="宋体" w:cs="宋体"/>
                <w:sz w:val="20"/>
                <w:szCs w:val="20"/>
              </w:rPr>
            </w:pPr>
            <w:r>
              <w:rPr>
                <w:rFonts w:ascii="宋体" w:hAnsi="宋体" w:eastAsia="宋体" w:cs="宋体"/>
                <w:b/>
                <w:bCs/>
                <w:spacing w:val="7"/>
                <w:sz w:val="20"/>
                <w:szCs w:val="20"/>
              </w:rPr>
              <w:t>市政工程</w:t>
            </w:r>
          </w:p>
        </w:tc>
        <w:tc>
          <w:tcPr>
            <w:tcW w:w="2133" w:type="dxa"/>
            <w:vMerge w:val="restart"/>
            <w:tcBorders>
              <w:bottom w:val="nil"/>
              <w:right w:val="single" w:color="000000" w:sz="6" w:space="0"/>
            </w:tcBorders>
            <w:vAlign w:val="top"/>
          </w:tcPr>
          <w:p>
            <w:pPr>
              <w:pStyle w:val="6"/>
            </w:pPr>
          </w:p>
          <w:p>
            <w:pPr>
              <w:pStyle w:val="6"/>
            </w:pPr>
          </w:p>
          <w:p>
            <w:pPr>
              <w:pStyle w:val="6"/>
            </w:pPr>
          </w:p>
          <w:p>
            <w:pPr>
              <w:pStyle w:val="6"/>
            </w:pPr>
          </w:p>
          <w:p>
            <w:pPr>
              <w:pStyle w:val="6"/>
            </w:pPr>
          </w:p>
          <w:p>
            <w:pPr>
              <w:pStyle w:val="6"/>
            </w:pPr>
          </w:p>
          <w:p>
            <w:pPr>
              <w:pStyle w:val="6"/>
            </w:pPr>
          </w:p>
          <w:p>
            <w:pPr>
              <w:pStyle w:val="6"/>
              <w:spacing w:line="241" w:lineRule="auto"/>
            </w:pPr>
          </w:p>
          <w:p>
            <w:pPr>
              <w:pStyle w:val="6"/>
              <w:spacing w:line="241" w:lineRule="auto"/>
            </w:pPr>
          </w:p>
          <w:p>
            <w:pPr>
              <w:spacing w:before="65" w:line="333" w:lineRule="auto"/>
              <w:ind w:left="111" w:right="40"/>
              <w:jc w:val="both"/>
              <w:rPr>
                <w:rFonts w:ascii="宋体" w:hAnsi="宋体" w:eastAsia="宋体" w:cs="宋体"/>
                <w:sz w:val="20"/>
                <w:szCs w:val="20"/>
              </w:rPr>
            </w:pPr>
            <w:r>
              <w:rPr>
                <w:rFonts w:ascii="宋体" w:hAnsi="宋体" w:eastAsia="宋体" w:cs="宋体"/>
                <w:spacing w:val="9"/>
                <w:sz w:val="20"/>
                <w:szCs w:val="20"/>
              </w:rPr>
              <w:t>施工围挡：是指施工需要的固定式施工护</w:t>
            </w:r>
            <w:r>
              <w:rPr>
                <w:rFonts w:ascii="宋体" w:hAnsi="宋体" w:eastAsia="宋体" w:cs="宋体"/>
                <w:spacing w:val="-3"/>
                <w:sz w:val="20"/>
                <w:szCs w:val="20"/>
              </w:rPr>
              <w:t>栏的搭拆、运输费用，</w:t>
            </w:r>
            <w:r>
              <w:rPr>
                <w:rFonts w:ascii="宋体" w:hAnsi="宋体" w:eastAsia="宋体" w:cs="宋体"/>
                <w:spacing w:val="9"/>
                <w:sz w:val="20"/>
                <w:szCs w:val="20"/>
              </w:rPr>
              <w:t>施工围挡购置费的摊销或租赁使用费以及</w:t>
            </w:r>
            <w:r>
              <w:rPr>
                <w:rFonts w:ascii="宋体" w:hAnsi="宋体" w:eastAsia="宋体" w:cs="宋体"/>
                <w:spacing w:val="8"/>
                <w:sz w:val="20"/>
                <w:szCs w:val="20"/>
              </w:rPr>
              <w:t>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5" w:line="299" w:lineRule="exact"/>
              <w:ind w:left="364"/>
              <w:rPr>
                <w:rFonts w:ascii="宋体" w:hAnsi="宋体" w:eastAsia="宋体" w:cs="宋体"/>
                <w:sz w:val="20"/>
                <w:szCs w:val="20"/>
              </w:rPr>
            </w:pPr>
            <w:r>
              <w:rPr>
                <w:rFonts w:ascii="宋体" w:hAnsi="宋体" w:eastAsia="宋体" w:cs="宋体"/>
                <w:spacing w:val="-18"/>
                <w:position w:val="2"/>
                <w:sz w:val="20"/>
                <w:szCs w:val="20"/>
              </w:rPr>
              <w:t>3.1</w:t>
            </w:r>
          </w:p>
        </w:tc>
        <w:tc>
          <w:tcPr>
            <w:tcW w:w="6167" w:type="dxa"/>
            <w:vAlign w:val="top"/>
          </w:tcPr>
          <w:p>
            <w:pPr>
              <w:spacing w:before="190" w:line="218" w:lineRule="auto"/>
              <w:ind w:left="104"/>
              <w:rPr>
                <w:rFonts w:ascii="宋体" w:hAnsi="宋体" w:eastAsia="宋体" w:cs="宋体"/>
                <w:sz w:val="20"/>
                <w:szCs w:val="20"/>
              </w:rPr>
            </w:pPr>
            <w:r>
              <w:rPr>
                <w:rFonts w:ascii="宋体" w:hAnsi="宋体" w:eastAsia="宋体" w:cs="宋体"/>
                <w:spacing w:val="9"/>
                <w:sz w:val="20"/>
                <w:szCs w:val="20"/>
              </w:rPr>
              <w:t>混凝土模板及支架</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6" w:line="299" w:lineRule="exact"/>
              <w:ind w:left="364"/>
              <w:rPr>
                <w:rFonts w:ascii="宋体" w:hAnsi="宋体" w:eastAsia="宋体" w:cs="宋体"/>
                <w:sz w:val="20"/>
                <w:szCs w:val="20"/>
              </w:rPr>
            </w:pPr>
            <w:r>
              <w:rPr>
                <w:rFonts w:ascii="宋体" w:hAnsi="宋体" w:eastAsia="宋体" w:cs="宋体"/>
                <w:spacing w:val="-18"/>
                <w:position w:val="2"/>
                <w:sz w:val="20"/>
                <w:szCs w:val="20"/>
              </w:rPr>
              <w:t>3.2</w:t>
            </w:r>
          </w:p>
        </w:tc>
        <w:tc>
          <w:tcPr>
            <w:tcW w:w="6167" w:type="dxa"/>
            <w:vAlign w:val="top"/>
          </w:tcPr>
          <w:p>
            <w:pPr>
              <w:spacing w:before="193" w:line="216" w:lineRule="auto"/>
              <w:ind w:left="102"/>
              <w:rPr>
                <w:rFonts w:ascii="宋体" w:hAnsi="宋体" w:eastAsia="宋体" w:cs="宋体"/>
                <w:sz w:val="20"/>
                <w:szCs w:val="20"/>
              </w:rPr>
            </w:pPr>
            <w:r>
              <w:rPr>
                <w:rFonts w:ascii="宋体" w:hAnsi="宋体" w:eastAsia="宋体" w:cs="宋体"/>
                <w:spacing w:val="8"/>
                <w:sz w:val="20"/>
                <w:szCs w:val="20"/>
              </w:rPr>
              <w:t>脚手架</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5" w:line="299" w:lineRule="exact"/>
              <w:ind w:left="364"/>
              <w:rPr>
                <w:rFonts w:ascii="宋体" w:hAnsi="宋体" w:eastAsia="宋体" w:cs="宋体"/>
                <w:sz w:val="20"/>
                <w:szCs w:val="20"/>
              </w:rPr>
            </w:pPr>
            <w:r>
              <w:rPr>
                <w:rFonts w:ascii="宋体" w:hAnsi="宋体" w:eastAsia="宋体" w:cs="宋体"/>
                <w:spacing w:val="-18"/>
                <w:position w:val="2"/>
                <w:sz w:val="20"/>
                <w:szCs w:val="20"/>
              </w:rPr>
              <w:t>3.3</w:t>
            </w:r>
          </w:p>
        </w:tc>
        <w:tc>
          <w:tcPr>
            <w:tcW w:w="6167" w:type="dxa"/>
            <w:vAlign w:val="top"/>
          </w:tcPr>
          <w:p>
            <w:pPr>
              <w:spacing w:before="191" w:line="218" w:lineRule="auto"/>
              <w:ind w:left="108"/>
              <w:rPr>
                <w:rFonts w:ascii="宋体" w:hAnsi="宋体" w:eastAsia="宋体" w:cs="宋体"/>
                <w:sz w:val="20"/>
                <w:szCs w:val="20"/>
              </w:rPr>
            </w:pPr>
            <w:r>
              <w:rPr>
                <w:rFonts w:ascii="宋体" w:hAnsi="宋体" w:eastAsia="宋体" w:cs="宋体"/>
                <w:spacing w:val="8"/>
                <w:sz w:val="20"/>
                <w:szCs w:val="20"/>
              </w:rPr>
              <w:t>大型机械进出场及安拆</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7" w:line="298" w:lineRule="exact"/>
              <w:ind w:left="364"/>
              <w:rPr>
                <w:rFonts w:ascii="宋体" w:hAnsi="宋体" w:eastAsia="宋体" w:cs="宋体"/>
                <w:sz w:val="20"/>
                <w:szCs w:val="20"/>
              </w:rPr>
            </w:pPr>
            <w:r>
              <w:rPr>
                <w:rFonts w:ascii="宋体" w:hAnsi="宋体" w:eastAsia="宋体" w:cs="宋体"/>
                <w:spacing w:val="-18"/>
                <w:position w:val="2"/>
                <w:sz w:val="20"/>
                <w:szCs w:val="20"/>
              </w:rPr>
              <w:t>3.4</w:t>
            </w:r>
          </w:p>
        </w:tc>
        <w:tc>
          <w:tcPr>
            <w:tcW w:w="6167" w:type="dxa"/>
            <w:vAlign w:val="top"/>
          </w:tcPr>
          <w:p>
            <w:pPr>
              <w:spacing w:before="192" w:line="220" w:lineRule="auto"/>
              <w:ind w:left="105"/>
              <w:rPr>
                <w:rFonts w:ascii="宋体" w:hAnsi="宋体" w:eastAsia="宋体" w:cs="宋体"/>
                <w:sz w:val="20"/>
                <w:szCs w:val="20"/>
              </w:rPr>
            </w:pPr>
            <w:r>
              <w:rPr>
                <w:rFonts w:ascii="宋体" w:hAnsi="宋体" w:eastAsia="宋体" w:cs="宋体"/>
                <w:spacing w:val="8"/>
                <w:sz w:val="20"/>
                <w:szCs w:val="20"/>
              </w:rPr>
              <w:t>筑岛、围堰</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8" w:line="299" w:lineRule="exact"/>
              <w:ind w:left="364"/>
              <w:rPr>
                <w:rFonts w:ascii="宋体" w:hAnsi="宋体" w:eastAsia="宋体" w:cs="宋体"/>
                <w:sz w:val="20"/>
                <w:szCs w:val="20"/>
              </w:rPr>
            </w:pPr>
            <w:r>
              <w:rPr>
                <w:rFonts w:ascii="宋体" w:hAnsi="宋体" w:eastAsia="宋体" w:cs="宋体"/>
                <w:spacing w:val="-18"/>
                <w:position w:val="2"/>
                <w:sz w:val="20"/>
                <w:szCs w:val="20"/>
              </w:rPr>
              <w:t>3.5</w:t>
            </w:r>
          </w:p>
        </w:tc>
        <w:tc>
          <w:tcPr>
            <w:tcW w:w="6167" w:type="dxa"/>
            <w:vAlign w:val="top"/>
          </w:tcPr>
          <w:p>
            <w:pPr>
              <w:spacing w:before="193" w:line="220" w:lineRule="auto"/>
              <w:ind w:left="102"/>
              <w:rPr>
                <w:rFonts w:ascii="宋体" w:hAnsi="宋体" w:eastAsia="宋体" w:cs="宋体"/>
                <w:sz w:val="20"/>
                <w:szCs w:val="20"/>
              </w:rPr>
            </w:pPr>
            <w:r>
              <w:rPr>
                <w:rFonts w:ascii="宋体" w:hAnsi="宋体" w:eastAsia="宋体" w:cs="宋体"/>
                <w:spacing w:val="9"/>
                <w:sz w:val="20"/>
                <w:szCs w:val="20"/>
              </w:rPr>
              <w:t>便道、便桥</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89" w:line="299" w:lineRule="exact"/>
              <w:ind w:left="364"/>
              <w:rPr>
                <w:rFonts w:ascii="宋体" w:hAnsi="宋体" w:eastAsia="宋体" w:cs="宋体"/>
                <w:sz w:val="20"/>
                <w:szCs w:val="20"/>
              </w:rPr>
            </w:pPr>
            <w:r>
              <w:rPr>
                <w:rFonts w:ascii="宋体" w:hAnsi="宋体" w:eastAsia="宋体" w:cs="宋体"/>
                <w:spacing w:val="-18"/>
                <w:position w:val="2"/>
                <w:sz w:val="20"/>
                <w:szCs w:val="20"/>
              </w:rPr>
              <w:t>3.6</w:t>
            </w:r>
          </w:p>
        </w:tc>
        <w:tc>
          <w:tcPr>
            <w:tcW w:w="6167" w:type="dxa"/>
            <w:vAlign w:val="top"/>
          </w:tcPr>
          <w:p>
            <w:pPr>
              <w:spacing w:before="197" w:line="215" w:lineRule="auto"/>
              <w:ind w:left="102"/>
              <w:rPr>
                <w:rFonts w:ascii="宋体" w:hAnsi="宋体" w:eastAsia="宋体" w:cs="宋体"/>
                <w:sz w:val="20"/>
                <w:szCs w:val="20"/>
              </w:rPr>
            </w:pPr>
            <w:r>
              <w:rPr>
                <w:rFonts w:ascii="宋体" w:hAnsi="宋体" w:eastAsia="宋体" w:cs="宋体"/>
                <w:spacing w:val="8"/>
                <w:sz w:val="20"/>
                <w:szCs w:val="20"/>
              </w:rPr>
              <w:t>施工围挡</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991" w:type="dxa"/>
            <w:tcBorders>
              <w:left w:val="single" w:color="000000" w:sz="6" w:space="0"/>
            </w:tcBorders>
            <w:vAlign w:val="top"/>
          </w:tcPr>
          <w:p>
            <w:pPr>
              <w:spacing w:before="191" w:line="299" w:lineRule="exact"/>
              <w:ind w:left="364"/>
              <w:rPr>
                <w:rFonts w:ascii="宋体" w:hAnsi="宋体" w:eastAsia="宋体" w:cs="宋体"/>
                <w:sz w:val="20"/>
                <w:szCs w:val="20"/>
              </w:rPr>
            </w:pPr>
            <w:r>
              <w:rPr>
                <w:rFonts w:ascii="宋体" w:hAnsi="宋体" w:eastAsia="宋体" w:cs="宋体"/>
                <w:spacing w:val="-18"/>
                <w:position w:val="2"/>
                <w:sz w:val="20"/>
                <w:szCs w:val="20"/>
              </w:rPr>
              <w:t>3.7</w:t>
            </w:r>
          </w:p>
        </w:tc>
        <w:tc>
          <w:tcPr>
            <w:tcW w:w="6167" w:type="dxa"/>
            <w:vAlign w:val="top"/>
          </w:tcPr>
          <w:p>
            <w:pPr>
              <w:spacing w:before="183" w:line="232" w:lineRule="auto"/>
              <w:ind w:left="102"/>
              <w:rPr>
                <w:rFonts w:ascii="宋体" w:hAnsi="宋体" w:eastAsia="宋体" w:cs="宋体"/>
                <w:sz w:val="20"/>
                <w:szCs w:val="20"/>
              </w:rPr>
            </w:pPr>
            <w:r>
              <w:rPr>
                <w:rFonts w:ascii="宋体" w:hAnsi="宋体" w:eastAsia="宋体" w:cs="宋体"/>
                <w:spacing w:val="9"/>
                <w:sz w:val="20"/>
                <w:szCs w:val="20"/>
              </w:rPr>
              <w:t>施工排水、降水</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991" w:type="dxa"/>
            <w:tcBorders>
              <w:left w:val="single" w:color="000000" w:sz="6" w:space="0"/>
            </w:tcBorders>
            <w:vAlign w:val="top"/>
          </w:tcPr>
          <w:p>
            <w:pPr>
              <w:spacing w:before="305" w:line="299" w:lineRule="exact"/>
              <w:ind w:left="364"/>
              <w:rPr>
                <w:rFonts w:ascii="宋体" w:hAnsi="宋体" w:eastAsia="宋体" w:cs="宋体"/>
                <w:sz w:val="20"/>
                <w:szCs w:val="20"/>
              </w:rPr>
            </w:pPr>
            <w:r>
              <w:rPr>
                <w:rFonts w:ascii="宋体" w:hAnsi="宋体" w:eastAsia="宋体" w:cs="宋体"/>
                <w:spacing w:val="-18"/>
                <w:position w:val="2"/>
                <w:sz w:val="20"/>
                <w:szCs w:val="20"/>
              </w:rPr>
              <w:t>3.8</w:t>
            </w:r>
          </w:p>
        </w:tc>
        <w:tc>
          <w:tcPr>
            <w:tcW w:w="6167" w:type="dxa"/>
            <w:vAlign w:val="top"/>
          </w:tcPr>
          <w:p>
            <w:pPr>
              <w:spacing w:before="135" w:line="274" w:lineRule="auto"/>
              <w:ind w:left="104" w:right="184"/>
              <w:rPr>
                <w:rFonts w:ascii="宋体" w:hAnsi="宋体" w:eastAsia="宋体" w:cs="宋体"/>
                <w:sz w:val="20"/>
                <w:szCs w:val="20"/>
              </w:rPr>
            </w:pPr>
            <w:r>
              <w:rPr>
                <w:rFonts w:ascii="宋体" w:hAnsi="宋体" w:eastAsia="宋体" w:cs="宋体"/>
                <w:spacing w:val="10"/>
                <w:sz w:val="20"/>
                <w:szCs w:val="20"/>
              </w:rPr>
              <w:t>地上、地下设施、建筑物临时保护设施（包</w:t>
            </w:r>
            <w:r>
              <w:rPr>
                <w:rFonts w:ascii="宋体" w:hAnsi="宋体" w:eastAsia="宋体" w:cs="宋体"/>
                <w:spacing w:val="9"/>
                <w:sz w:val="20"/>
                <w:szCs w:val="20"/>
              </w:rPr>
              <w:t>括对已建成地上、地</w:t>
            </w:r>
            <w:r>
              <w:rPr>
                <w:rFonts w:ascii="宋体" w:hAnsi="宋体" w:eastAsia="宋体" w:cs="宋体"/>
                <w:spacing w:val="10"/>
                <w:sz w:val="20"/>
                <w:szCs w:val="20"/>
              </w:rPr>
              <w:t>下设施和建筑物进行遮盖、封闭、隔离等必要保</w:t>
            </w:r>
            <w:r>
              <w:rPr>
                <w:rFonts w:ascii="宋体" w:hAnsi="宋体" w:eastAsia="宋体" w:cs="宋体"/>
                <w:spacing w:val="9"/>
                <w:sz w:val="20"/>
                <w:szCs w:val="20"/>
              </w:rPr>
              <w:t>护措施）</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991" w:type="dxa"/>
            <w:tcBorders>
              <w:left w:val="single" w:color="000000" w:sz="6" w:space="0"/>
            </w:tcBorders>
            <w:vAlign w:val="top"/>
          </w:tcPr>
          <w:p>
            <w:pPr>
              <w:pStyle w:val="6"/>
              <w:spacing w:line="255" w:lineRule="auto"/>
            </w:pPr>
          </w:p>
          <w:p>
            <w:pPr>
              <w:spacing w:before="65" w:line="299" w:lineRule="exact"/>
              <w:ind w:left="364"/>
              <w:rPr>
                <w:rFonts w:ascii="宋体" w:hAnsi="宋体" w:eastAsia="宋体" w:cs="宋体"/>
                <w:sz w:val="20"/>
                <w:szCs w:val="20"/>
              </w:rPr>
            </w:pPr>
            <w:r>
              <w:rPr>
                <w:rFonts w:ascii="宋体" w:hAnsi="宋体" w:eastAsia="宋体" w:cs="宋体"/>
                <w:spacing w:val="-18"/>
                <w:position w:val="2"/>
                <w:sz w:val="20"/>
                <w:szCs w:val="20"/>
              </w:rPr>
              <w:t>3.9</w:t>
            </w:r>
          </w:p>
        </w:tc>
        <w:tc>
          <w:tcPr>
            <w:tcW w:w="6167" w:type="dxa"/>
            <w:vAlign w:val="top"/>
          </w:tcPr>
          <w:p>
            <w:pPr>
              <w:spacing w:before="141" w:line="284" w:lineRule="auto"/>
              <w:ind w:left="125" w:right="184" w:hanging="19"/>
              <w:rPr>
                <w:rFonts w:ascii="宋体" w:hAnsi="宋体" w:eastAsia="宋体" w:cs="宋体"/>
                <w:sz w:val="20"/>
                <w:szCs w:val="20"/>
              </w:rPr>
            </w:pPr>
            <w:r>
              <w:rPr>
                <w:rFonts w:ascii="宋体" w:hAnsi="宋体" w:eastAsia="宋体" w:cs="宋体"/>
                <w:spacing w:val="9"/>
                <w:sz w:val="20"/>
                <w:szCs w:val="20"/>
              </w:rPr>
              <w:t>洞内临时设施（包括通风、供水、供气、供电、照明、通信及洞</w:t>
            </w:r>
            <w:r>
              <w:rPr>
                <w:rFonts w:ascii="宋体" w:hAnsi="宋体" w:eastAsia="宋体" w:cs="宋体"/>
                <w:spacing w:val="6"/>
                <w:sz w:val="20"/>
                <w:szCs w:val="20"/>
              </w:rPr>
              <w:t>内外轨道铺设）</w:t>
            </w:r>
          </w:p>
        </w:tc>
        <w:tc>
          <w:tcPr>
            <w:tcW w:w="2133"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3" w:hRule="atLeast"/>
        </w:trPr>
        <w:tc>
          <w:tcPr>
            <w:tcW w:w="991" w:type="dxa"/>
            <w:tcBorders>
              <w:left w:val="single" w:color="000000" w:sz="6" w:space="0"/>
              <w:bottom w:val="single" w:color="000000" w:sz="6" w:space="0"/>
            </w:tcBorders>
            <w:vAlign w:val="top"/>
          </w:tcPr>
          <w:p>
            <w:pPr>
              <w:pStyle w:val="6"/>
              <w:spacing w:line="251" w:lineRule="auto"/>
            </w:pPr>
          </w:p>
          <w:p>
            <w:pPr>
              <w:spacing w:before="65" w:line="299" w:lineRule="exact"/>
              <w:ind w:left="312"/>
              <w:rPr>
                <w:rFonts w:ascii="宋体" w:hAnsi="宋体" w:eastAsia="宋体" w:cs="宋体"/>
                <w:sz w:val="20"/>
                <w:szCs w:val="20"/>
              </w:rPr>
            </w:pPr>
            <w:r>
              <w:rPr>
                <w:rFonts w:ascii="宋体" w:hAnsi="宋体" w:eastAsia="宋体" w:cs="宋体"/>
                <w:spacing w:val="-12"/>
                <w:position w:val="2"/>
                <w:sz w:val="20"/>
                <w:szCs w:val="20"/>
              </w:rPr>
              <w:t>3.10</w:t>
            </w:r>
          </w:p>
        </w:tc>
        <w:tc>
          <w:tcPr>
            <w:tcW w:w="6167" w:type="dxa"/>
            <w:tcBorders>
              <w:bottom w:val="single" w:color="000000" w:sz="6" w:space="0"/>
            </w:tcBorders>
            <w:vAlign w:val="top"/>
          </w:tcPr>
          <w:p>
            <w:pPr>
              <w:spacing w:before="138" w:line="288" w:lineRule="auto"/>
              <w:ind w:left="103" w:right="209"/>
              <w:rPr>
                <w:rFonts w:ascii="宋体" w:hAnsi="宋体" w:eastAsia="宋体" w:cs="宋体"/>
                <w:sz w:val="20"/>
                <w:szCs w:val="20"/>
              </w:rPr>
            </w:pPr>
            <w:r>
              <w:rPr>
                <w:rFonts w:ascii="宋体" w:hAnsi="宋体" w:eastAsia="宋体" w:cs="宋体"/>
                <w:spacing w:val="9"/>
                <w:sz w:val="20"/>
                <w:szCs w:val="20"/>
              </w:rPr>
              <w:t>交通维护及疏导（包括周边道路的交通诱导标志、临</w:t>
            </w:r>
            <w:r>
              <w:rPr>
                <w:rFonts w:ascii="宋体" w:hAnsi="宋体" w:eastAsia="宋体" w:cs="宋体"/>
                <w:spacing w:val="8"/>
                <w:sz w:val="20"/>
                <w:szCs w:val="20"/>
              </w:rPr>
              <w:t>时红绿灯、</w:t>
            </w:r>
            <w:r>
              <w:rPr>
                <w:rFonts w:ascii="宋体" w:hAnsi="宋体" w:eastAsia="宋体" w:cs="宋体"/>
                <w:spacing w:val="10"/>
                <w:sz w:val="20"/>
                <w:szCs w:val="20"/>
              </w:rPr>
              <w:t>交通协勤人员、现场路面隔离设施等，按实际发生</w:t>
            </w:r>
            <w:r>
              <w:rPr>
                <w:rFonts w:ascii="宋体" w:hAnsi="宋体" w:eastAsia="宋体" w:cs="宋体"/>
                <w:spacing w:val="9"/>
                <w:sz w:val="20"/>
                <w:szCs w:val="20"/>
              </w:rPr>
              <w:t>计取）</w:t>
            </w:r>
          </w:p>
        </w:tc>
        <w:tc>
          <w:tcPr>
            <w:tcW w:w="2133" w:type="dxa"/>
            <w:vMerge w:val="continue"/>
            <w:tcBorders>
              <w:top w:val="nil"/>
              <w:bottom w:val="single" w:color="000000" w:sz="6" w:space="0"/>
              <w:right w:val="single" w:color="000000" w:sz="6" w:space="0"/>
            </w:tcBorders>
            <w:vAlign w:val="top"/>
          </w:tcPr>
          <w:p>
            <w:pPr>
              <w:pStyle w:val="6"/>
            </w:pPr>
          </w:p>
        </w:tc>
      </w:tr>
    </w:tbl>
    <w:p>
      <w:pPr>
        <w:rPr>
          <w:rFonts w:ascii="Arial"/>
          <w:sz w:val="21"/>
        </w:rPr>
      </w:pPr>
    </w:p>
    <w:p>
      <w:pPr>
        <w:rPr>
          <w:rFonts w:ascii="Arial" w:hAnsi="Arial" w:eastAsia="Arial" w:cs="Arial"/>
          <w:sz w:val="21"/>
          <w:szCs w:val="21"/>
        </w:rPr>
        <w:sectPr>
          <w:footerReference r:id="rId8" w:type="default"/>
          <w:pgSz w:w="11905" w:h="16840"/>
          <w:pgMar w:top="1416" w:right="1299" w:bottom="1213" w:left="1299" w:header="0" w:footer="898" w:gutter="0"/>
        </w:sectPr>
      </w:pPr>
    </w:p>
    <w:p>
      <w:pPr>
        <w:pStyle w:val="2"/>
        <w:spacing w:before="179" w:line="206" w:lineRule="auto"/>
        <w:ind w:left="1753"/>
        <w:outlineLvl w:val="0"/>
      </w:pPr>
      <w:bookmarkStart w:id="6" w:name="bookmark5"/>
      <w:bookmarkEnd w:id="6"/>
      <w:bookmarkStart w:id="7" w:name="bookmark6"/>
      <w:bookmarkEnd w:id="7"/>
      <w:bookmarkStart w:id="8" w:name="bookmark1"/>
      <w:bookmarkEnd w:id="8"/>
      <w:r>
        <w:rPr>
          <w:spacing w:val="10"/>
        </w:rPr>
        <w:t>第二章   建设项目概算费用计算程序及</w:t>
      </w:r>
      <w:r>
        <w:rPr>
          <w:spacing w:val="9"/>
        </w:rPr>
        <w:t>费率</w:t>
      </w:r>
    </w:p>
    <w:p>
      <w:pPr>
        <w:pStyle w:val="2"/>
        <w:spacing w:before="135" w:line="157" w:lineRule="auto"/>
        <w:ind w:left="736"/>
        <w:rPr>
          <w:sz w:val="24"/>
          <w:szCs w:val="24"/>
        </w:rPr>
      </w:pPr>
      <w:r>
        <w:pict>
          <v:shape id="_x0000_s1038" o:spid="_x0000_s1038" o:spt="202" type="#_x0000_t202" style="position:absolute;left:0pt;margin-left:48.3pt;margin-top:14.35pt;height:9.4pt;width:11.35pt;z-index:251757568;mso-width-relative:page;mso-height-relative:page;" filled="f" stroked="f" coordsize="21600,21600">
            <v:path/>
            <v:fill on="f" focussize="0,0"/>
            <v:stroke on="f"/>
            <v:imagedata o:title=""/>
            <o:lock v:ext="edit" aspectratio="f"/>
            <v:textbox inset="0mm,0mm,0mm,0mm">
              <w:txbxContent>
                <w:p>
                  <w:pPr>
                    <w:pStyle w:val="2"/>
                    <w:spacing w:before="20" w:line="147" w:lineRule="exact"/>
                    <w:jc w:val="right"/>
                    <w:rPr>
                      <w:sz w:val="24"/>
                      <w:szCs w:val="24"/>
                    </w:rPr>
                  </w:pPr>
                  <w:r>
                    <w:rPr>
                      <w:spacing w:val="-25"/>
                      <w:w w:val="87"/>
                      <w:position w:val="5"/>
                      <w:sz w:val="24"/>
                      <w:szCs w:val="24"/>
                    </w:rPr>
                    <w:t>、</w:t>
                  </w:r>
                </w:p>
              </w:txbxContent>
            </v:textbox>
          </v:shape>
        </w:pict>
      </w:r>
      <w:r>
        <w:rPr>
          <w:spacing w:val="-2"/>
          <w:sz w:val="24"/>
          <w:szCs w:val="24"/>
        </w:rPr>
        <w:t>一</w:t>
      </w:r>
      <w:r>
        <w:rPr>
          <w:spacing w:val="12"/>
          <w:sz w:val="24"/>
          <w:szCs w:val="24"/>
        </w:rPr>
        <w:t xml:space="preserve">   </w:t>
      </w:r>
      <w:r>
        <w:rPr>
          <w:spacing w:val="-2"/>
          <w:sz w:val="24"/>
          <w:szCs w:val="24"/>
        </w:rPr>
        <w:t>建设项目概算费用计算程序</w:t>
      </w:r>
    </w:p>
    <w:p>
      <w:pPr>
        <w:pStyle w:val="2"/>
        <w:spacing w:before="74" w:line="190" w:lineRule="auto"/>
        <w:ind w:left="3525"/>
        <w:rPr>
          <w:sz w:val="20"/>
          <w:szCs w:val="20"/>
        </w:rPr>
      </w:pPr>
      <w:r>
        <w:rPr>
          <w:spacing w:val="9"/>
          <w:sz w:val="20"/>
          <w:szCs w:val="20"/>
        </w:rPr>
        <w:t>建设项目概算费用计算程序</w:t>
      </w:r>
    </w:p>
    <w:tbl>
      <w:tblPr>
        <w:tblStyle w:val="5"/>
        <w:tblW w:w="954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284"/>
        <w:gridCol w:w="976"/>
        <w:gridCol w:w="2948"/>
        <w:gridCol w:w="36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694" w:type="dxa"/>
            <w:tcBorders>
              <w:top w:val="single" w:color="000000" w:sz="6" w:space="0"/>
              <w:left w:val="single" w:color="000000" w:sz="6" w:space="0"/>
            </w:tcBorders>
            <w:vAlign w:val="top"/>
          </w:tcPr>
          <w:p>
            <w:pPr>
              <w:spacing w:before="104" w:line="178" w:lineRule="auto"/>
              <w:ind w:left="129"/>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1284" w:type="dxa"/>
            <w:tcBorders>
              <w:top w:val="single" w:color="000000" w:sz="6" w:space="0"/>
            </w:tcBorders>
            <w:vAlign w:val="top"/>
          </w:tcPr>
          <w:p>
            <w:pPr>
              <w:spacing w:before="104" w:line="178" w:lineRule="auto"/>
              <w:ind w:left="228"/>
              <w:rPr>
                <w:rFonts w:ascii="微软雅黑" w:hAnsi="微软雅黑" w:eastAsia="微软雅黑" w:cs="微软雅黑"/>
                <w:sz w:val="20"/>
                <w:szCs w:val="20"/>
              </w:rPr>
            </w:pPr>
            <w:r>
              <w:rPr>
                <w:rFonts w:ascii="微软雅黑" w:hAnsi="微软雅黑" w:eastAsia="微软雅黑" w:cs="微软雅黑"/>
                <w:spacing w:val="5"/>
                <w:sz w:val="20"/>
                <w:szCs w:val="20"/>
              </w:rPr>
              <w:t>费用类别</w:t>
            </w:r>
          </w:p>
        </w:tc>
        <w:tc>
          <w:tcPr>
            <w:tcW w:w="3924" w:type="dxa"/>
            <w:gridSpan w:val="2"/>
            <w:tcBorders>
              <w:top w:val="single" w:color="000000" w:sz="6" w:space="0"/>
            </w:tcBorders>
            <w:vAlign w:val="top"/>
          </w:tcPr>
          <w:p>
            <w:pPr>
              <w:spacing w:before="104" w:line="178" w:lineRule="auto"/>
              <w:ind w:left="1550"/>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3638" w:type="dxa"/>
            <w:tcBorders>
              <w:top w:val="single" w:color="000000" w:sz="6" w:space="0"/>
              <w:right w:val="single" w:color="000000" w:sz="6" w:space="0"/>
            </w:tcBorders>
            <w:vAlign w:val="top"/>
          </w:tcPr>
          <w:p>
            <w:pPr>
              <w:spacing w:before="104" w:line="178" w:lineRule="auto"/>
              <w:ind w:left="1404"/>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522" w:hRule="atLeast"/>
        </w:trPr>
        <w:tc>
          <w:tcPr>
            <w:tcW w:w="694" w:type="dxa"/>
            <w:tcBorders>
              <w:left w:val="single" w:color="000000" w:sz="6" w:space="0"/>
            </w:tcBorders>
            <w:vAlign w:val="top"/>
          </w:tcPr>
          <w:p>
            <w:pPr>
              <w:pStyle w:val="6"/>
              <w:spacing w:line="242" w:lineRule="auto"/>
            </w:pPr>
          </w:p>
          <w:p>
            <w:pPr>
              <w:pStyle w:val="6"/>
              <w:spacing w:line="242" w:lineRule="auto"/>
            </w:pPr>
          </w:p>
          <w:p>
            <w:pPr>
              <w:pStyle w:val="6"/>
              <w:spacing w:line="242" w:lineRule="auto"/>
            </w:pPr>
          </w:p>
          <w:p>
            <w:pPr>
              <w:pStyle w:val="6"/>
              <w:spacing w:line="243" w:lineRule="auto"/>
            </w:pPr>
          </w:p>
          <w:p>
            <w:pPr>
              <w:pStyle w:val="6"/>
              <w:spacing w:line="243" w:lineRule="auto"/>
            </w:pPr>
          </w:p>
          <w:p>
            <w:pPr>
              <w:spacing w:before="65" w:line="156" w:lineRule="exact"/>
              <w:ind w:left="236"/>
              <w:rPr>
                <w:rFonts w:ascii="宋体" w:hAnsi="宋体" w:eastAsia="宋体" w:cs="宋体"/>
                <w:sz w:val="20"/>
                <w:szCs w:val="20"/>
              </w:rPr>
            </w:pPr>
            <w:r>
              <w:rPr>
                <w:rFonts w:ascii="宋体" w:hAnsi="宋体" w:eastAsia="宋体" w:cs="宋体"/>
                <w:spacing w:val="4"/>
                <w:position w:val="-4"/>
                <w:sz w:val="20"/>
                <w:szCs w:val="20"/>
              </w:rPr>
              <w:t>一</w:t>
            </w:r>
          </w:p>
        </w:tc>
        <w:tc>
          <w:tcPr>
            <w:tcW w:w="1284" w:type="dxa"/>
            <w:vAlign w:val="top"/>
          </w:tcPr>
          <w:p>
            <w:pPr>
              <w:pStyle w:val="6"/>
              <w:spacing w:line="313" w:lineRule="auto"/>
            </w:pPr>
          </w:p>
          <w:p>
            <w:pPr>
              <w:pStyle w:val="6"/>
              <w:spacing w:line="313" w:lineRule="auto"/>
            </w:pPr>
          </w:p>
          <w:p>
            <w:pPr>
              <w:pStyle w:val="6"/>
              <w:spacing w:line="313" w:lineRule="auto"/>
            </w:pPr>
          </w:p>
          <w:p>
            <w:pPr>
              <w:spacing w:before="65" w:line="336" w:lineRule="auto"/>
              <w:ind w:left="321" w:right="226" w:hanging="103"/>
              <w:rPr>
                <w:rFonts w:ascii="宋体" w:hAnsi="宋体" w:eastAsia="宋体" w:cs="宋体"/>
                <w:sz w:val="20"/>
                <w:szCs w:val="20"/>
              </w:rPr>
            </w:pPr>
            <w:r>
              <w:rPr>
                <w:rFonts w:ascii="宋体" w:hAnsi="宋体" w:eastAsia="宋体" w:cs="宋体"/>
                <w:spacing w:val="8"/>
                <w:sz w:val="20"/>
                <w:szCs w:val="20"/>
              </w:rPr>
              <w:t>建筑安装工程费</w:t>
            </w:r>
          </w:p>
        </w:tc>
        <w:tc>
          <w:tcPr>
            <w:tcW w:w="3924" w:type="dxa"/>
            <w:gridSpan w:val="2"/>
            <w:vAlign w:val="top"/>
          </w:tcPr>
          <w:p>
            <w:pPr>
              <w:spacing w:before="108" w:line="277" w:lineRule="exact"/>
              <w:ind w:left="124"/>
              <w:rPr>
                <w:rFonts w:ascii="宋体" w:hAnsi="宋体" w:eastAsia="宋体" w:cs="宋体"/>
                <w:sz w:val="20"/>
                <w:szCs w:val="20"/>
              </w:rPr>
            </w:pPr>
            <w:r>
              <w:rPr>
                <w:rFonts w:ascii="宋体" w:hAnsi="宋体" w:eastAsia="宋体" w:cs="宋体"/>
                <w:spacing w:val="-1"/>
                <w:position w:val="1"/>
                <w:sz w:val="20"/>
                <w:szCs w:val="20"/>
              </w:rPr>
              <w:t>1.分部分项工程费</w:t>
            </w:r>
          </w:p>
          <w:p>
            <w:pPr>
              <w:spacing w:before="82" w:line="278" w:lineRule="exact"/>
              <w:ind w:left="107"/>
              <w:rPr>
                <w:rFonts w:ascii="宋体" w:hAnsi="宋体" w:eastAsia="宋体" w:cs="宋体"/>
                <w:sz w:val="20"/>
                <w:szCs w:val="20"/>
              </w:rPr>
            </w:pPr>
            <w:r>
              <w:rPr>
                <w:rFonts w:ascii="宋体" w:hAnsi="宋体" w:eastAsia="宋体" w:cs="宋体"/>
                <w:spacing w:val="-1"/>
                <w:position w:val="1"/>
                <w:sz w:val="20"/>
                <w:szCs w:val="20"/>
              </w:rPr>
              <w:t>2.措施项目费</w:t>
            </w:r>
          </w:p>
          <w:p>
            <w:pPr>
              <w:spacing w:before="81" w:line="278" w:lineRule="exact"/>
              <w:ind w:left="110"/>
              <w:rPr>
                <w:rFonts w:ascii="宋体" w:hAnsi="宋体" w:eastAsia="宋体" w:cs="宋体"/>
                <w:sz w:val="20"/>
                <w:szCs w:val="20"/>
              </w:rPr>
            </w:pPr>
            <w:r>
              <w:rPr>
                <w:rFonts w:ascii="宋体" w:hAnsi="宋体" w:eastAsia="宋体" w:cs="宋体"/>
                <w:spacing w:val="-1"/>
                <w:position w:val="1"/>
                <w:sz w:val="20"/>
                <w:szCs w:val="20"/>
              </w:rPr>
              <w:t>3.其他项目费</w:t>
            </w:r>
          </w:p>
          <w:p>
            <w:pPr>
              <w:spacing w:before="82" w:line="277" w:lineRule="exact"/>
              <w:ind w:left="104"/>
              <w:rPr>
                <w:rFonts w:ascii="宋体" w:hAnsi="宋体" w:eastAsia="宋体" w:cs="宋体"/>
                <w:sz w:val="20"/>
                <w:szCs w:val="20"/>
              </w:rPr>
            </w:pPr>
            <w:r>
              <w:rPr>
                <w:rFonts w:ascii="宋体" w:hAnsi="宋体" w:eastAsia="宋体" w:cs="宋体"/>
                <w:position w:val="1"/>
                <w:sz w:val="20"/>
                <w:szCs w:val="20"/>
              </w:rPr>
              <w:t>4.企业管理费</w:t>
            </w:r>
          </w:p>
          <w:p>
            <w:pPr>
              <w:spacing w:before="83" w:line="278" w:lineRule="exact"/>
              <w:ind w:left="107"/>
              <w:rPr>
                <w:rFonts w:ascii="宋体" w:hAnsi="宋体" w:eastAsia="宋体" w:cs="宋体"/>
                <w:sz w:val="20"/>
                <w:szCs w:val="20"/>
              </w:rPr>
            </w:pPr>
            <w:r>
              <w:rPr>
                <w:rFonts w:ascii="宋体" w:hAnsi="宋体" w:eastAsia="宋体" w:cs="宋体"/>
                <w:spacing w:val="-9"/>
                <w:position w:val="1"/>
                <w:sz w:val="20"/>
                <w:szCs w:val="20"/>
              </w:rPr>
              <w:t>5.利润</w:t>
            </w:r>
          </w:p>
          <w:p>
            <w:pPr>
              <w:spacing w:before="82" w:line="278" w:lineRule="exact"/>
              <w:ind w:left="108"/>
              <w:rPr>
                <w:rFonts w:ascii="宋体" w:hAnsi="宋体" w:eastAsia="宋体" w:cs="宋体"/>
                <w:sz w:val="20"/>
                <w:szCs w:val="20"/>
              </w:rPr>
            </w:pPr>
            <w:r>
              <w:rPr>
                <w:rFonts w:ascii="宋体" w:hAnsi="宋体" w:eastAsia="宋体" w:cs="宋体"/>
                <w:spacing w:val="-9"/>
                <w:position w:val="1"/>
                <w:sz w:val="20"/>
                <w:szCs w:val="20"/>
              </w:rPr>
              <w:t>6.规费</w:t>
            </w:r>
          </w:p>
          <w:p>
            <w:pPr>
              <w:spacing w:before="82" w:line="225" w:lineRule="auto"/>
              <w:ind w:left="105"/>
              <w:rPr>
                <w:rFonts w:ascii="宋体" w:hAnsi="宋体" w:eastAsia="宋体" w:cs="宋体"/>
                <w:sz w:val="20"/>
                <w:szCs w:val="20"/>
              </w:rPr>
            </w:pPr>
            <w:r>
              <w:rPr>
                <w:rFonts w:ascii="宋体" w:hAnsi="宋体" w:eastAsia="宋体" w:cs="宋体"/>
                <w:spacing w:val="-9"/>
                <w:sz w:val="20"/>
                <w:szCs w:val="20"/>
              </w:rPr>
              <w:t>7.税金</w:t>
            </w:r>
          </w:p>
        </w:tc>
        <w:tc>
          <w:tcPr>
            <w:tcW w:w="3638" w:type="dxa"/>
            <w:tcBorders>
              <w:right w:val="single" w:color="000000" w:sz="6" w:space="0"/>
            </w:tcBorders>
            <w:vAlign w:val="top"/>
          </w:tcPr>
          <w:p>
            <w:pPr>
              <w:pStyle w:val="6"/>
              <w:spacing w:line="313" w:lineRule="auto"/>
            </w:pPr>
          </w:p>
          <w:p>
            <w:pPr>
              <w:pStyle w:val="6"/>
              <w:spacing w:line="313" w:lineRule="auto"/>
            </w:pPr>
          </w:p>
          <w:p>
            <w:pPr>
              <w:pStyle w:val="6"/>
              <w:spacing w:line="314" w:lineRule="auto"/>
            </w:pPr>
          </w:p>
          <w:p>
            <w:pPr>
              <w:spacing w:before="65" w:line="334" w:lineRule="auto"/>
              <w:ind w:left="110" w:right="103" w:hanging="1"/>
              <w:rPr>
                <w:rFonts w:ascii="宋体" w:hAnsi="宋体" w:eastAsia="宋体" w:cs="宋体"/>
                <w:sz w:val="20"/>
                <w:szCs w:val="20"/>
              </w:rPr>
            </w:pPr>
            <w:r>
              <w:rPr>
                <w:rFonts w:ascii="宋体" w:hAnsi="宋体" w:eastAsia="宋体" w:cs="宋体"/>
                <w:spacing w:val="13"/>
                <w:sz w:val="20"/>
                <w:szCs w:val="20"/>
              </w:rPr>
              <w:t>按“建筑安装工程费用计算程序”的</w:t>
            </w:r>
            <w:r>
              <w:rPr>
                <w:rFonts w:ascii="宋体" w:hAnsi="宋体" w:eastAsia="宋体" w:cs="宋体"/>
                <w:spacing w:val="8"/>
                <w:sz w:val="20"/>
                <w:szCs w:val="20"/>
              </w:rPr>
              <w:t>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162" w:hRule="atLeast"/>
        </w:trPr>
        <w:tc>
          <w:tcPr>
            <w:tcW w:w="694" w:type="dxa"/>
            <w:vMerge w:val="restart"/>
            <w:tcBorders>
              <w:left w:val="single" w:color="000000" w:sz="6" w:space="0"/>
              <w:bottom w:val="nil"/>
            </w:tcBorders>
            <w:vAlign w:val="top"/>
          </w:tcPr>
          <w:p>
            <w:pPr>
              <w:pStyle w:val="6"/>
              <w:spacing w:line="273" w:lineRule="auto"/>
            </w:pPr>
          </w:p>
          <w:p>
            <w:pPr>
              <w:pStyle w:val="6"/>
              <w:spacing w:line="273" w:lineRule="auto"/>
            </w:pPr>
          </w:p>
          <w:p>
            <w:pPr>
              <w:pStyle w:val="6"/>
              <w:spacing w:line="273" w:lineRule="auto"/>
            </w:pPr>
          </w:p>
          <w:p>
            <w:pPr>
              <w:pStyle w:val="6"/>
              <w:spacing w:line="273" w:lineRule="auto"/>
            </w:pPr>
          </w:p>
          <w:p>
            <w:pPr>
              <w:pStyle w:val="6"/>
              <w:spacing w:line="273" w:lineRule="auto"/>
            </w:pPr>
          </w:p>
          <w:p>
            <w:pPr>
              <w:spacing w:before="65" w:line="192" w:lineRule="auto"/>
              <w:ind w:left="236"/>
              <w:rPr>
                <w:rFonts w:ascii="宋体" w:hAnsi="宋体" w:eastAsia="宋体" w:cs="宋体"/>
                <w:sz w:val="20"/>
                <w:szCs w:val="20"/>
              </w:rPr>
            </w:pPr>
            <w:r>
              <w:rPr>
                <w:rFonts w:ascii="宋体" w:hAnsi="宋体" w:eastAsia="宋体" w:cs="宋体"/>
                <w:spacing w:val="4"/>
                <w:sz w:val="20"/>
                <w:szCs w:val="20"/>
              </w:rPr>
              <w:t>二</w:t>
            </w:r>
          </w:p>
        </w:tc>
        <w:tc>
          <w:tcPr>
            <w:tcW w:w="1284" w:type="dxa"/>
            <w:vMerge w:val="restart"/>
            <w:tcBorders>
              <w:bottom w:val="nil"/>
            </w:tcBorders>
            <w:vAlign w:val="top"/>
          </w:tcPr>
          <w:p>
            <w:pPr>
              <w:pStyle w:val="6"/>
              <w:spacing w:line="266" w:lineRule="auto"/>
            </w:pPr>
          </w:p>
          <w:p>
            <w:pPr>
              <w:pStyle w:val="6"/>
              <w:spacing w:line="267" w:lineRule="auto"/>
            </w:pPr>
          </w:p>
          <w:p>
            <w:pPr>
              <w:pStyle w:val="6"/>
              <w:spacing w:line="267" w:lineRule="auto"/>
            </w:pPr>
          </w:p>
          <w:p>
            <w:pPr>
              <w:pStyle w:val="6"/>
              <w:spacing w:line="267" w:lineRule="auto"/>
            </w:pPr>
          </w:p>
          <w:p>
            <w:pPr>
              <w:pStyle w:val="6"/>
              <w:spacing w:line="267" w:lineRule="auto"/>
            </w:pPr>
          </w:p>
          <w:p>
            <w:pPr>
              <w:spacing w:before="65" w:line="223" w:lineRule="auto"/>
              <w:ind w:left="109"/>
              <w:rPr>
                <w:rFonts w:ascii="宋体" w:hAnsi="宋体" w:eastAsia="宋体" w:cs="宋体"/>
                <w:sz w:val="20"/>
                <w:szCs w:val="20"/>
              </w:rPr>
            </w:pPr>
            <w:r>
              <w:rPr>
                <w:rFonts w:ascii="宋体" w:hAnsi="宋体" w:eastAsia="宋体" w:cs="宋体"/>
                <w:spacing w:val="9"/>
                <w:sz w:val="20"/>
                <w:szCs w:val="20"/>
              </w:rPr>
              <w:t>设备购置费</w:t>
            </w:r>
          </w:p>
        </w:tc>
        <w:tc>
          <w:tcPr>
            <w:tcW w:w="3924" w:type="dxa"/>
            <w:gridSpan w:val="2"/>
            <w:vAlign w:val="top"/>
          </w:tcPr>
          <w:p>
            <w:pPr>
              <w:pStyle w:val="6"/>
              <w:spacing w:line="313" w:lineRule="auto"/>
            </w:pPr>
          </w:p>
          <w:p>
            <w:pPr>
              <w:pStyle w:val="6"/>
              <w:spacing w:line="313" w:lineRule="auto"/>
            </w:pPr>
          </w:p>
          <w:p>
            <w:pPr>
              <w:pStyle w:val="6"/>
              <w:spacing w:line="313" w:lineRule="auto"/>
            </w:pPr>
          </w:p>
          <w:p>
            <w:pPr>
              <w:spacing w:before="65" w:line="279" w:lineRule="exact"/>
              <w:ind w:left="124"/>
              <w:rPr>
                <w:rFonts w:ascii="宋体" w:hAnsi="宋体" w:eastAsia="宋体" w:cs="宋体"/>
                <w:sz w:val="20"/>
                <w:szCs w:val="20"/>
              </w:rPr>
            </w:pPr>
            <w:r>
              <w:rPr>
                <w:rFonts w:ascii="宋体" w:hAnsi="宋体" w:eastAsia="宋体" w:cs="宋体"/>
                <w:spacing w:val="-3"/>
                <w:position w:val="1"/>
                <w:sz w:val="20"/>
                <w:szCs w:val="20"/>
              </w:rPr>
              <w:t>1.设备购置费</w:t>
            </w:r>
          </w:p>
        </w:tc>
        <w:tc>
          <w:tcPr>
            <w:tcW w:w="3638" w:type="dxa"/>
            <w:tcBorders>
              <w:right w:val="single" w:color="000000" w:sz="6" w:space="0"/>
            </w:tcBorders>
            <w:vAlign w:val="top"/>
          </w:tcPr>
          <w:p>
            <w:pPr>
              <w:spacing w:before="110" w:line="331" w:lineRule="auto"/>
              <w:ind w:left="101" w:right="103" w:firstLine="37"/>
              <w:jc w:val="both"/>
              <w:rPr>
                <w:rFonts w:ascii="宋体" w:hAnsi="宋体" w:eastAsia="宋体" w:cs="宋体"/>
                <w:sz w:val="20"/>
                <w:szCs w:val="20"/>
              </w:rPr>
            </w:pPr>
            <w:r>
              <w:rPr>
                <w:rFonts w:ascii="宋体" w:hAnsi="宋体" w:eastAsia="宋体" w:cs="宋体"/>
                <w:spacing w:val="-2"/>
                <w:sz w:val="20"/>
                <w:szCs w:val="20"/>
              </w:rPr>
              <w:t>∑〔设备原价</w:t>
            </w:r>
            <w:r>
              <w:rPr>
                <w:rFonts w:ascii="宋体" w:hAnsi="宋体" w:eastAsia="宋体" w:cs="宋体"/>
                <w:spacing w:val="-34"/>
                <w:sz w:val="20"/>
                <w:szCs w:val="20"/>
              </w:rPr>
              <w:t xml:space="preserve"> </w:t>
            </w:r>
            <w:r>
              <w:rPr>
                <w:rFonts w:ascii="宋体" w:hAnsi="宋体" w:eastAsia="宋体" w:cs="宋体"/>
                <w:spacing w:val="-2"/>
                <w:sz w:val="20"/>
                <w:szCs w:val="20"/>
              </w:rPr>
              <w:t>×（</w:t>
            </w:r>
            <w:r>
              <w:rPr>
                <w:rFonts w:ascii="宋体" w:hAnsi="宋体" w:eastAsia="宋体" w:cs="宋体"/>
                <w:spacing w:val="-44"/>
                <w:sz w:val="20"/>
                <w:szCs w:val="20"/>
              </w:rPr>
              <w:t xml:space="preserve"> </w:t>
            </w:r>
            <w:r>
              <w:rPr>
                <w:rFonts w:ascii="宋体" w:hAnsi="宋体" w:eastAsia="宋体" w:cs="宋体"/>
                <w:spacing w:val="-2"/>
                <w:sz w:val="20"/>
                <w:szCs w:val="20"/>
              </w:rPr>
              <w:t>1+运杂费率）</w:t>
            </w:r>
            <w:r>
              <w:rPr>
                <w:rFonts w:ascii="宋体" w:hAnsi="宋体" w:eastAsia="宋体" w:cs="宋体"/>
                <w:spacing w:val="-32"/>
                <w:sz w:val="20"/>
                <w:szCs w:val="20"/>
              </w:rPr>
              <w:t xml:space="preserve"> </w:t>
            </w:r>
            <w:r>
              <w:rPr>
                <w:rFonts w:ascii="宋体" w:hAnsi="宋体" w:eastAsia="宋体" w:cs="宋体"/>
                <w:spacing w:val="-2"/>
                <w:sz w:val="20"/>
                <w:szCs w:val="20"/>
              </w:rPr>
              <w:t>〕</w:t>
            </w:r>
            <w:r>
              <w:rPr>
                <w:rFonts w:ascii="宋体" w:hAnsi="宋体" w:eastAsia="宋体" w:cs="宋体"/>
                <w:spacing w:val="-72"/>
                <w:sz w:val="20"/>
                <w:szCs w:val="20"/>
              </w:rPr>
              <w:t xml:space="preserve"> </w:t>
            </w:r>
            <w:r>
              <w:rPr>
                <w:rFonts w:ascii="宋体" w:hAnsi="宋体" w:eastAsia="宋体" w:cs="宋体"/>
                <w:spacing w:val="-2"/>
                <w:sz w:val="20"/>
                <w:szCs w:val="20"/>
              </w:rPr>
              <w:t>×</w:t>
            </w:r>
            <w:r>
              <w:rPr>
                <w:rFonts w:ascii="宋体" w:hAnsi="宋体" w:eastAsia="宋体" w:cs="宋体"/>
                <w:sz w:val="20"/>
                <w:szCs w:val="20"/>
              </w:rPr>
              <w:t xml:space="preserve"> （</w:t>
            </w:r>
            <w:r>
              <w:rPr>
                <w:rFonts w:ascii="宋体" w:hAnsi="宋体" w:eastAsia="宋体" w:cs="宋体"/>
                <w:spacing w:val="-47"/>
                <w:sz w:val="20"/>
                <w:szCs w:val="20"/>
              </w:rPr>
              <w:t xml:space="preserve"> </w:t>
            </w:r>
            <w:r>
              <w:rPr>
                <w:rFonts w:ascii="宋体" w:hAnsi="宋体" w:eastAsia="宋体" w:cs="宋体"/>
                <w:sz w:val="20"/>
                <w:szCs w:val="20"/>
              </w:rPr>
              <w:t>1+采购保管费率）</w:t>
            </w:r>
            <w:r>
              <w:rPr>
                <w:rFonts w:ascii="宋体" w:hAnsi="宋体" w:eastAsia="宋体" w:cs="宋体"/>
                <w:spacing w:val="-31"/>
                <w:sz w:val="20"/>
                <w:szCs w:val="20"/>
              </w:rPr>
              <w:t xml:space="preserve"> </w:t>
            </w:r>
            <w:r>
              <w:rPr>
                <w:rFonts w:ascii="宋体" w:hAnsi="宋体" w:eastAsia="宋体" w:cs="宋体"/>
                <w:sz w:val="20"/>
                <w:szCs w:val="20"/>
              </w:rPr>
              <w:t>×（</w:t>
            </w:r>
            <w:r>
              <w:rPr>
                <w:rFonts w:ascii="宋体" w:hAnsi="宋体" w:eastAsia="宋体" w:cs="宋体"/>
                <w:spacing w:val="-47"/>
                <w:sz w:val="20"/>
                <w:szCs w:val="20"/>
              </w:rPr>
              <w:t xml:space="preserve"> </w:t>
            </w:r>
            <w:r>
              <w:rPr>
                <w:rFonts w:ascii="宋体" w:hAnsi="宋体" w:eastAsia="宋体" w:cs="宋体"/>
                <w:sz w:val="20"/>
                <w:szCs w:val="20"/>
              </w:rPr>
              <w:t>1+税金）</w:t>
            </w:r>
          </w:p>
          <w:p>
            <w:pPr>
              <w:spacing w:before="7" w:line="332" w:lineRule="auto"/>
              <w:ind w:left="115" w:right="103" w:hanging="8"/>
              <w:jc w:val="both"/>
              <w:rPr>
                <w:rFonts w:ascii="宋体" w:hAnsi="宋体" w:eastAsia="宋体" w:cs="宋体"/>
                <w:sz w:val="20"/>
                <w:szCs w:val="20"/>
              </w:rPr>
            </w:pPr>
            <w:r>
              <w:rPr>
                <w:rFonts w:ascii="宋体" w:hAnsi="宋体" w:eastAsia="宋体" w:cs="宋体"/>
                <w:spacing w:val="44"/>
                <w:sz w:val="20"/>
                <w:szCs w:val="20"/>
              </w:rPr>
              <w:t>设备运杂费一般可按设备原价的</w:t>
            </w:r>
            <w:r>
              <w:rPr>
                <w:rFonts w:ascii="宋体" w:hAnsi="宋体" w:eastAsia="宋体" w:cs="宋体"/>
                <w:spacing w:val="22"/>
                <w:sz w:val="20"/>
                <w:szCs w:val="20"/>
              </w:rPr>
              <w:t>3%～4%计算。</w:t>
            </w:r>
          </w:p>
          <w:p>
            <w:pPr>
              <w:spacing w:before="1" w:line="275" w:lineRule="auto"/>
              <w:ind w:left="113" w:right="103" w:hanging="6"/>
              <w:jc w:val="both"/>
              <w:rPr>
                <w:rFonts w:ascii="宋体" w:hAnsi="宋体" w:eastAsia="宋体" w:cs="宋体"/>
                <w:sz w:val="20"/>
                <w:szCs w:val="20"/>
              </w:rPr>
            </w:pPr>
            <w:r>
              <w:rPr>
                <w:rFonts w:ascii="宋体" w:hAnsi="宋体" w:eastAsia="宋体" w:cs="宋体"/>
                <w:spacing w:val="13"/>
                <w:sz w:val="20"/>
                <w:szCs w:val="20"/>
              </w:rPr>
              <w:t>设备采购保管费一般按设备原价和运</w:t>
            </w:r>
            <w:r>
              <w:rPr>
                <w:rFonts w:ascii="宋体" w:hAnsi="宋体" w:eastAsia="宋体" w:cs="宋体"/>
                <w:spacing w:val="11"/>
                <w:sz w:val="20"/>
                <w:szCs w:val="20"/>
              </w:rPr>
              <w:t>杂费之和的</w:t>
            </w:r>
            <w:r>
              <w:rPr>
                <w:rFonts w:ascii="宋体" w:hAnsi="宋体" w:eastAsia="宋体" w:cs="宋体"/>
                <w:spacing w:val="-19"/>
                <w:sz w:val="20"/>
                <w:szCs w:val="20"/>
              </w:rPr>
              <w:t xml:space="preserve"> </w:t>
            </w:r>
            <w:r>
              <w:rPr>
                <w:rFonts w:ascii="宋体" w:hAnsi="宋体" w:eastAsia="宋体" w:cs="宋体"/>
                <w:spacing w:val="11"/>
                <w:sz w:val="20"/>
                <w:szCs w:val="20"/>
              </w:rPr>
              <w:t>1%计算。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3924" w:type="dxa"/>
            <w:gridSpan w:val="2"/>
            <w:vAlign w:val="top"/>
          </w:tcPr>
          <w:p>
            <w:pPr>
              <w:spacing w:before="119" w:line="229" w:lineRule="auto"/>
              <w:ind w:left="107"/>
              <w:rPr>
                <w:rFonts w:ascii="宋体" w:hAnsi="宋体" w:eastAsia="宋体" w:cs="宋体"/>
                <w:sz w:val="20"/>
                <w:szCs w:val="20"/>
              </w:rPr>
            </w:pPr>
            <w:r>
              <w:rPr>
                <w:rFonts w:ascii="宋体" w:hAnsi="宋体" w:eastAsia="宋体" w:cs="宋体"/>
                <w:spacing w:val="4"/>
                <w:sz w:val="20"/>
                <w:szCs w:val="20"/>
              </w:rPr>
              <w:t>2.工器具及生产家具购置费</w:t>
            </w:r>
          </w:p>
        </w:tc>
        <w:tc>
          <w:tcPr>
            <w:tcW w:w="3638" w:type="dxa"/>
            <w:tcBorders>
              <w:right w:val="single" w:color="000000" w:sz="6" w:space="0"/>
            </w:tcBorders>
            <w:vAlign w:val="top"/>
          </w:tcPr>
          <w:p>
            <w:pPr>
              <w:spacing w:before="119" w:line="229" w:lineRule="auto"/>
              <w:ind w:left="113"/>
              <w:rPr>
                <w:rFonts w:ascii="宋体" w:hAnsi="宋体" w:eastAsia="宋体" w:cs="宋体"/>
                <w:sz w:val="20"/>
                <w:szCs w:val="20"/>
              </w:rPr>
            </w:pPr>
            <w:r>
              <w:rPr>
                <w:rFonts w:ascii="宋体" w:hAnsi="宋体" w:eastAsia="宋体" w:cs="宋体"/>
                <w:spacing w:val="14"/>
                <w:sz w:val="20"/>
                <w:szCs w:val="20"/>
              </w:rPr>
              <w:t>可按设备购置费的</w:t>
            </w:r>
            <w:r>
              <w:rPr>
                <w:rFonts w:ascii="宋体" w:hAnsi="宋体" w:eastAsia="宋体" w:cs="宋体"/>
                <w:spacing w:val="-8"/>
                <w:sz w:val="20"/>
                <w:szCs w:val="20"/>
              </w:rPr>
              <w:t xml:space="preserve"> </w:t>
            </w:r>
            <w:r>
              <w:rPr>
                <w:rFonts w:ascii="宋体" w:hAnsi="宋体" w:eastAsia="宋体" w:cs="宋体"/>
                <w:spacing w:val="14"/>
                <w:sz w:val="20"/>
                <w:szCs w:val="20"/>
              </w:rPr>
              <w:t>1%~2%估算。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694" w:type="dxa"/>
            <w:vMerge w:val="continue"/>
            <w:tcBorders>
              <w:top w:val="nil"/>
              <w:left w:val="single" w:color="000000" w:sz="6" w:space="0"/>
            </w:tcBorders>
            <w:vAlign w:val="top"/>
          </w:tcPr>
          <w:p>
            <w:pPr>
              <w:pStyle w:val="6"/>
            </w:pPr>
          </w:p>
        </w:tc>
        <w:tc>
          <w:tcPr>
            <w:tcW w:w="1284" w:type="dxa"/>
            <w:vMerge w:val="continue"/>
            <w:tcBorders>
              <w:top w:val="nil"/>
            </w:tcBorders>
            <w:vAlign w:val="top"/>
          </w:tcPr>
          <w:p>
            <w:pPr>
              <w:pStyle w:val="6"/>
            </w:pPr>
          </w:p>
        </w:tc>
        <w:tc>
          <w:tcPr>
            <w:tcW w:w="3924" w:type="dxa"/>
            <w:gridSpan w:val="2"/>
            <w:vAlign w:val="top"/>
          </w:tcPr>
          <w:p>
            <w:pPr>
              <w:spacing w:before="131" w:line="238" w:lineRule="auto"/>
              <w:ind w:left="110"/>
              <w:rPr>
                <w:rFonts w:ascii="宋体" w:hAnsi="宋体" w:eastAsia="宋体" w:cs="宋体"/>
                <w:sz w:val="20"/>
                <w:szCs w:val="20"/>
              </w:rPr>
            </w:pPr>
            <w:r>
              <w:rPr>
                <w:rFonts w:ascii="宋体" w:hAnsi="宋体" w:eastAsia="宋体" w:cs="宋体"/>
                <w:spacing w:val="1"/>
                <w:sz w:val="20"/>
                <w:szCs w:val="20"/>
              </w:rPr>
              <w:t>3.备品备件购置费</w:t>
            </w:r>
          </w:p>
        </w:tc>
        <w:tc>
          <w:tcPr>
            <w:tcW w:w="3638" w:type="dxa"/>
            <w:tcBorders>
              <w:right w:val="single" w:color="000000" w:sz="6" w:space="0"/>
            </w:tcBorders>
            <w:vAlign w:val="top"/>
          </w:tcPr>
          <w:p>
            <w:pPr>
              <w:spacing w:before="131" w:line="238" w:lineRule="auto"/>
              <w:ind w:left="113"/>
              <w:rPr>
                <w:rFonts w:ascii="宋体" w:hAnsi="宋体" w:eastAsia="宋体" w:cs="宋体"/>
                <w:sz w:val="20"/>
                <w:szCs w:val="20"/>
              </w:rPr>
            </w:pPr>
            <w:r>
              <w:rPr>
                <w:rFonts w:ascii="宋体" w:hAnsi="宋体" w:eastAsia="宋体" w:cs="宋体"/>
                <w:spacing w:val="11"/>
                <w:sz w:val="20"/>
                <w:szCs w:val="20"/>
              </w:rPr>
              <w:t>可按设备购置费的</w:t>
            </w:r>
            <w:r>
              <w:rPr>
                <w:rFonts w:ascii="宋体" w:hAnsi="宋体" w:eastAsia="宋体" w:cs="宋体"/>
                <w:spacing w:val="-23"/>
                <w:sz w:val="20"/>
                <w:szCs w:val="20"/>
              </w:rPr>
              <w:t xml:space="preserve"> </w:t>
            </w:r>
            <w:r>
              <w:rPr>
                <w:rFonts w:ascii="宋体" w:hAnsi="宋体" w:eastAsia="宋体" w:cs="宋体"/>
                <w:spacing w:val="11"/>
                <w:sz w:val="20"/>
                <w:szCs w:val="20"/>
              </w:rPr>
              <w:t>1%计算。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43" w:hRule="atLeast"/>
        </w:trPr>
        <w:tc>
          <w:tcPr>
            <w:tcW w:w="694" w:type="dxa"/>
            <w:vMerge w:val="restart"/>
            <w:tcBorders>
              <w:left w:val="single" w:color="000000" w:sz="6" w:space="0"/>
              <w:bottom w:val="nil"/>
            </w:tcBorders>
            <w:vAlign w:val="top"/>
          </w:tcPr>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7" w:lineRule="auto"/>
            </w:pPr>
          </w:p>
          <w:p>
            <w:pPr>
              <w:pStyle w:val="6"/>
              <w:spacing w:line="257" w:lineRule="auto"/>
            </w:pPr>
          </w:p>
          <w:p>
            <w:pPr>
              <w:pStyle w:val="6"/>
              <w:spacing w:line="257" w:lineRule="auto"/>
            </w:pPr>
          </w:p>
          <w:p>
            <w:pPr>
              <w:pStyle w:val="6"/>
              <w:spacing w:line="257" w:lineRule="auto"/>
            </w:pPr>
          </w:p>
          <w:p>
            <w:pPr>
              <w:pStyle w:val="6"/>
              <w:spacing w:line="257" w:lineRule="auto"/>
            </w:pPr>
          </w:p>
          <w:p>
            <w:pPr>
              <w:pStyle w:val="6"/>
              <w:spacing w:line="257" w:lineRule="auto"/>
            </w:pPr>
          </w:p>
          <w:p>
            <w:pPr>
              <w:spacing w:before="65" w:line="201" w:lineRule="auto"/>
              <w:ind w:left="239"/>
              <w:rPr>
                <w:rFonts w:ascii="宋体" w:hAnsi="宋体" w:eastAsia="宋体" w:cs="宋体"/>
                <w:sz w:val="20"/>
                <w:szCs w:val="20"/>
              </w:rPr>
            </w:pPr>
            <w:r>
              <w:rPr>
                <w:rFonts w:ascii="宋体" w:hAnsi="宋体" w:eastAsia="宋体" w:cs="宋体"/>
                <w:sz w:val="20"/>
                <w:szCs w:val="20"/>
              </w:rPr>
              <w:t>三</w:t>
            </w:r>
          </w:p>
        </w:tc>
        <w:tc>
          <w:tcPr>
            <w:tcW w:w="1284" w:type="dxa"/>
            <w:vMerge w:val="restart"/>
            <w:tcBorders>
              <w:bottom w:val="nil"/>
            </w:tcBorders>
            <w:vAlign w:val="top"/>
          </w:tcPr>
          <w:p>
            <w:pPr>
              <w:pStyle w:val="6"/>
              <w:spacing w:line="254" w:lineRule="auto"/>
            </w:pPr>
          </w:p>
          <w:p>
            <w:pPr>
              <w:pStyle w:val="6"/>
              <w:spacing w:line="254" w:lineRule="auto"/>
            </w:pPr>
          </w:p>
          <w:p>
            <w:pPr>
              <w:pStyle w:val="6"/>
              <w:spacing w:line="254"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spacing w:before="65" w:line="336" w:lineRule="auto"/>
              <w:ind w:left="217" w:right="226" w:firstLine="1"/>
              <w:rPr>
                <w:rFonts w:ascii="宋体" w:hAnsi="宋体" w:eastAsia="宋体" w:cs="宋体"/>
                <w:sz w:val="20"/>
                <w:szCs w:val="20"/>
              </w:rPr>
            </w:pPr>
            <w:r>
              <w:rPr>
                <w:rFonts w:ascii="宋体" w:hAnsi="宋体" w:eastAsia="宋体" w:cs="宋体"/>
                <w:spacing w:val="8"/>
                <w:sz w:val="20"/>
                <w:szCs w:val="20"/>
              </w:rPr>
              <w:t>工程建设其他费用</w:t>
            </w:r>
          </w:p>
        </w:tc>
        <w:tc>
          <w:tcPr>
            <w:tcW w:w="3924" w:type="dxa"/>
            <w:gridSpan w:val="2"/>
            <w:vAlign w:val="top"/>
          </w:tcPr>
          <w:p>
            <w:pPr>
              <w:spacing w:before="113" w:line="278" w:lineRule="exact"/>
              <w:ind w:left="124"/>
              <w:rPr>
                <w:rFonts w:ascii="宋体" w:hAnsi="宋体" w:eastAsia="宋体" w:cs="宋体"/>
                <w:sz w:val="20"/>
                <w:szCs w:val="20"/>
              </w:rPr>
            </w:pPr>
            <w:r>
              <w:rPr>
                <w:rFonts w:ascii="宋体" w:hAnsi="宋体" w:eastAsia="宋体" w:cs="宋体"/>
                <w:spacing w:val="-2"/>
                <w:position w:val="1"/>
                <w:sz w:val="20"/>
                <w:szCs w:val="20"/>
              </w:rPr>
              <w:t>1.建设用地费用</w:t>
            </w:r>
          </w:p>
          <w:p>
            <w:pPr>
              <w:spacing w:before="81" w:line="278" w:lineRule="exact"/>
              <w:ind w:left="97"/>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1）土地使用权出让金</w:t>
            </w:r>
          </w:p>
          <w:p>
            <w:pPr>
              <w:spacing w:before="82" w:line="277" w:lineRule="exact"/>
              <w:ind w:left="97"/>
              <w:rPr>
                <w:rFonts w:ascii="宋体" w:hAnsi="宋体" w:eastAsia="宋体" w:cs="宋体"/>
                <w:sz w:val="20"/>
                <w:szCs w:val="20"/>
              </w:rPr>
            </w:pPr>
            <w:r>
              <w:rPr>
                <w:rFonts w:ascii="宋体" w:hAnsi="宋体" w:eastAsia="宋体" w:cs="宋体"/>
                <w:spacing w:val="9"/>
                <w:position w:val="1"/>
                <w:sz w:val="20"/>
                <w:szCs w:val="20"/>
              </w:rPr>
              <w:t>（2）土地使用补偿费</w:t>
            </w:r>
          </w:p>
          <w:p>
            <w:pPr>
              <w:spacing w:before="82" w:line="221" w:lineRule="auto"/>
              <w:ind w:left="97"/>
              <w:rPr>
                <w:rFonts w:ascii="宋体" w:hAnsi="宋体" w:eastAsia="宋体" w:cs="宋体"/>
                <w:sz w:val="20"/>
                <w:szCs w:val="20"/>
              </w:rPr>
            </w:pPr>
            <w:r>
              <w:rPr>
                <w:rFonts w:ascii="宋体" w:hAnsi="宋体" w:eastAsia="宋体" w:cs="宋体"/>
                <w:spacing w:val="9"/>
                <w:sz w:val="20"/>
                <w:szCs w:val="20"/>
              </w:rPr>
              <w:t>（3）拆除迁建费等</w:t>
            </w:r>
          </w:p>
        </w:tc>
        <w:tc>
          <w:tcPr>
            <w:tcW w:w="3638" w:type="dxa"/>
            <w:tcBorders>
              <w:right w:val="single" w:color="000000" w:sz="6" w:space="0"/>
            </w:tcBorders>
            <w:vAlign w:val="top"/>
          </w:tcPr>
          <w:p>
            <w:pPr>
              <w:pStyle w:val="6"/>
              <w:spacing w:line="294" w:lineRule="auto"/>
            </w:pPr>
          </w:p>
          <w:p>
            <w:pPr>
              <w:pStyle w:val="6"/>
              <w:spacing w:line="295" w:lineRule="auto"/>
            </w:pPr>
          </w:p>
          <w:p>
            <w:pPr>
              <w:spacing w:before="65" w:line="220" w:lineRule="auto"/>
              <w:ind w:left="109"/>
              <w:rPr>
                <w:rFonts w:ascii="宋体" w:hAnsi="宋体" w:eastAsia="宋体" w:cs="宋体"/>
                <w:sz w:val="20"/>
                <w:szCs w:val="20"/>
              </w:rPr>
            </w:pPr>
            <w:r>
              <w:rPr>
                <w:rFonts w:ascii="宋体" w:hAnsi="宋体" w:eastAsia="宋体" w:cs="宋体"/>
                <w:spacing w:val="9"/>
                <w:sz w:val="20"/>
                <w:szCs w:val="20"/>
              </w:rPr>
              <w:t>按照国家、省、市有关规定计算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restart"/>
            <w:tcBorders>
              <w:bottom w:val="nil"/>
            </w:tcBorders>
            <w:vAlign w:val="top"/>
          </w:tcPr>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spacing w:before="65" w:line="318" w:lineRule="auto"/>
              <w:ind w:left="111" w:right="240" w:hanging="4"/>
              <w:rPr>
                <w:rFonts w:ascii="宋体" w:hAnsi="宋体" w:eastAsia="宋体" w:cs="宋体"/>
                <w:sz w:val="20"/>
                <w:szCs w:val="20"/>
              </w:rPr>
            </w:pPr>
            <w:r>
              <w:rPr>
                <w:rFonts w:ascii="宋体" w:hAnsi="宋体" w:eastAsia="宋体" w:cs="宋体"/>
                <w:spacing w:val="-9"/>
                <w:sz w:val="20"/>
                <w:szCs w:val="20"/>
              </w:rPr>
              <w:t>2.技术</w:t>
            </w:r>
            <w:r>
              <w:rPr>
                <w:rFonts w:ascii="宋体" w:hAnsi="宋体" w:eastAsia="宋体" w:cs="宋体"/>
                <w:spacing w:val="6"/>
                <w:sz w:val="20"/>
                <w:szCs w:val="20"/>
              </w:rPr>
              <w:t>咨询费</w:t>
            </w:r>
          </w:p>
        </w:tc>
        <w:tc>
          <w:tcPr>
            <w:tcW w:w="2948" w:type="dxa"/>
            <w:vAlign w:val="top"/>
          </w:tcPr>
          <w:p>
            <w:pPr>
              <w:spacing w:before="297" w:line="278" w:lineRule="exact"/>
              <w:ind w:left="97"/>
              <w:rPr>
                <w:rFonts w:ascii="宋体" w:hAnsi="宋体" w:eastAsia="宋体" w:cs="宋体"/>
                <w:sz w:val="20"/>
                <w:szCs w:val="20"/>
              </w:rPr>
            </w:pPr>
            <w:r>
              <w:rPr>
                <w:rFonts w:ascii="宋体" w:hAnsi="宋体" w:eastAsia="宋体" w:cs="宋体"/>
                <w:spacing w:val="2"/>
                <w:position w:val="1"/>
                <w:sz w:val="20"/>
                <w:szCs w:val="20"/>
              </w:rPr>
              <w:t>（</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1）项目论证费</w:t>
            </w:r>
          </w:p>
        </w:tc>
        <w:tc>
          <w:tcPr>
            <w:tcW w:w="3638" w:type="dxa"/>
            <w:tcBorders>
              <w:right w:val="single" w:color="000000" w:sz="6" w:space="0"/>
            </w:tcBorders>
            <w:vAlign w:val="top"/>
          </w:tcPr>
          <w:p>
            <w:pPr>
              <w:spacing w:before="120" w:line="274" w:lineRule="auto"/>
              <w:ind w:left="111" w:right="103" w:hanging="2"/>
              <w:rPr>
                <w:rFonts w:ascii="宋体" w:hAnsi="宋体" w:eastAsia="宋体" w:cs="宋体"/>
                <w:sz w:val="20"/>
                <w:szCs w:val="20"/>
              </w:rPr>
            </w:pPr>
            <w:r>
              <w:rPr>
                <w:rFonts w:ascii="宋体" w:hAnsi="宋体" w:eastAsia="宋体" w:cs="宋体"/>
                <w:spacing w:val="10"/>
                <w:sz w:val="20"/>
                <w:szCs w:val="20"/>
              </w:rPr>
              <w:t>依据相关委托合同计列</w:t>
            </w:r>
            <w:r>
              <w:rPr>
                <w:rFonts w:ascii="宋体" w:hAnsi="宋体" w:eastAsia="宋体" w:cs="宋体"/>
                <w:spacing w:val="-47"/>
                <w:sz w:val="20"/>
                <w:szCs w:val="20"/>
              </w:rPr>
              <w:t xml:space="preserve"> </w:t>
            </w:r>
            <w:r>
              <w:rPr>
                <w:rFonts w:ascii="宋体" w:hAnsi="宋体" w:eastAsia="宋体" w:cs="宋体"/>
                <w:spacing w:val="10"/>
                <w:sz w:val="20"/>
                <w:szCs w:val="20"/>
              </w:rPr>
              <w:t>，或参考相应</w:t>
            </w:r>
            <w:r>
              <w:rPr>
                <w:rFonts w:ascii="宋体" w:hAnsi="宋体" w:eastAsia="宋体" w:cs="宋体"/>
                <w:spacing w:val="8"/>
                <w:sz w:val="20"/>
                <w:szCs w:val="20"/>
              </w:rPr>
              <w:t>市场价格计算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continue"/>
            <w:tcBorders>
              <w:top w:val="nil"/>
              <w:bottom w:val="nil"/>
            </w:tcBorders>
            <w:vAlign w:val="top"/>
          </w:tcPr>
          <w:p>
            <w:pPr>
              <w:pStyle w:val="6"/>
            </w:pPr>
          </w:p>
        </w:tc>
        <w:tc>
          <w:tcPr>
            <w:tcW w:w="2948" w:type="dxa"/>
            <w:vAlign w:val="top"/>
          </w:tcPr>
          <w:p>
            <w:pPr>
              <w:spacing w:before="117" w:line="219" w:lineRule="auto"/>
              <w:ind w:left="97"/>
              <w:rPr>
                <w:rFonts w:ascii="宋体" w:hAnsi="宋体" w:eastAsia="宋体" w:cs="宋体"/>
                <w:sz w:val="20"/>
                <w:szCs w:val="20"/>
              </w:rPr>
            </w:pPr>
            <w:r>
              <w:rPr>
                <w:rFonts w:ascii="宋体" w:hAnsi="宋体" w:eastAsia="宋体" w:cs="宋体"/>
                <w:spacing w:val="9"/>
                <w:sz w:val="20"/>
                <w:szCs w:val="20"/>
              </w:rPr>
              <w:t>（2）环境影响评价费</w:t>
            </w:r>
          </w:p>
        </w:tc>
        <w:tc>
          <w:tcPr>
            <w:tcW w:w="3638" w:type="dxa"/>
            <w:tcBorders>
              <w:right w:val="single" w:color="000000" w:sz="6" w:space="0"/>
            </w:tcBorders>
            <w:vAlign w:val="top"/>
          </w:tcPr>
          <w:p>
            <w:pPr>
              <w:spacing w:before="122" w:line="215" w:lineRule="auto"/>
              <w:ind w:left="109"/>
              <w:rPr>
                <w:rFonts w:ascii="宋体" w:hAnsi="宋体" w:eastAsia="宋体" w:cs="宋体"/>
                <w:sz w:val="20"/>
                <w:szCs w:val="20"/>
              </w:rPr>
            </w:pPr>
            <w:r>
              <w:rPr>
                <w:rFonts w:ascii="宋体" w:hAnsi="宋体" w:eastAsia="宋体" w:cs="宋体"/>
                <w:spacing w:val="9"/>
                <w:sz w:val="20"/>
                <w:szCs w:val="20"/>
              </w:rPr>
              <w:t>依据环境影响评价委托合同计列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continue"/>
            <w:tcBorders>
              <w:top w:val="nil"/>
              <w:bottom w:val="nil"/>
            </w:tcBorders>
            <w:vAlign w:val="top"/>
          </w:tcPr>
          <w:p>
            <w:pPr>
              <w:pStyle w:val="6"/>
            </w:pPr>
          </w:p>
        </w:tc>
        <w:tc>
          <w:tcPr>
            <w:tcW w:w="2948" w:type="dxa"/>
            <w:vAlign w:val="top"/>
          </w:tcPr>
          <w:p>
            <w:pPr>
              <w:spacing w:before="117" w:line="219" w:lineRule="auto"/>
              <w:ind w:left="97"/>
              <w:rPr>
                <w:rFonts w:ascii="宋体" w:hAnsi="宋体" w:eastAsia="宋体" w:cs="宋体"/>
                <w:sz w:val="20"/>
                <w:szCs w:val="20"/>
              </w:rPr>
            </w:pPr>
            <w:r>
              <w:rPr>
                <w:rFonts w:ascii="宋体" w:hAnsi="宋体" w:eastAsia="宋体" w:cs="宋体"/>
                <w:spacing w:val="9"/>
                <w:sz w:val="20"/>
                <w:szCs w:val="20"/>
              </w:rPr>
              <w:t>（3）节能评估审查费</w:t>
            </w:r>
          </w:p>
        </w:tc>
        <w:tc>
          <w:tcPr>
            <w:tcW w:w="3638" w:type="dxa"/>
            <w:tcBorders>
              <w:right w:val="single" w:color="000000" w:sz="6" w:space="0"/>
            </w:tcBorders>
            <w:vAlign w:val="top"/>
          </w:tcPr>
          <w:p>
            <w:pPr>
              <w:spacing w:before="122" w:line="215" w:lineRule="auto"/>
              <w:ind w:left="109"/>
              <w:rPr>
                <w:rFonts w:ascii="宋体" w:hAnsi="宋体" w:eastAsia="宋体" w:cs="宋体"/>
                <w:sz w:val="20"/>
                <w:szCs w:val="20"/>
              </w:rPr>
            </w:pPr>
            <w:r>
              <w:rPr>
                <w:rFonts w:ascii="宋体" w:hAnsi="宋体" w:eastAsia="宋体" w:cs="宋体"/>
                <w:spacing w:val="9"/>
                <w:sz w:val="20"/>
                <w:szCs w:val="20"/>
              </w:rPr>
              <w:t>按市有关规定计算或估算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162"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continue"/>
            <w:tcBorders>
              <w:top w:val="nil"/>
              <w:bottom w:val="nil"/>
            </w:tcBorders>
            <w:vAlign w:val="top"/>
          </w:tcPr>
          <w:p>
            <w:pPr>
              <w:pStyle w:val="6"/>
            </w:pPr>
          </w:p>
        </w:tc>
        <w:tc>
          <w:tcPr>
            <w:tcW w:w="2948" w:type="dxa"/>
            <w:vAlign w:val="top"/>
          </w:tcPr>
          <w:p>
            <w:pPr>
              <w:pStyle w:val="6"/>
              <w:spacing w:line="315" w:lineRule="auto"/>
            </w:pPr>
          </w:p>
          <w:p>
            <w:pPr>
              <w:pStyle w:val="6"/>
              <w:spacing w:line="315" w:lineRule="auto"/>
            </w:pPr>
          </w:p>
          <w:p>
            <w:pPr>
              <w:pStyle w:val="6"/>
              <w:spacing w:line="316" w:lineRule="auto"/>
            </w:pPr>
          </w:p>
          <w:p>
            <w:pPr>
              <w:spacing w:before="65" w:line="276" w:lineRule="exact"/>
              <w:ind w:left="97"/>
              <w:rPr>
                <w:rFonts w:ascii="宋体" w:hAnsi="宋体" w:eastAsia="宋体" w:cs="宋体"/>
                <w:sz w:val="20"/>
                <w:szCs w:val="20"/>
              </w:rPr>
            </w:pPr>
            <w:r>
              <w:rPr>
                <w:rFonts w:ascii="宋体" w:hAnsi="宋体" w:eastAsia="宋体" w:cs="宋体"/>
                <w:spacing w:val="9"/>
                <w:position w:val="1"/>
                <w:sz w:val="20"/>
                <w:szCs w:val="20"/>
              </w:rPr>
              <w:t>（4）劳动安全卫生评价费</w:t>
            </w:r>
          </w:p>
        </w:tc>
        <w:tc>
          <w:tcPr>
            <w:tcW w:w="3638" w:type="dxa"/>
            <w:tcBorders>
              <w:right w:val="single" w:color="000000" w:sz="6" w:space="0"/>
            </w:tcBorders>
            <w:vAlign w:val="top"/>
          </w:tcPr>
          <w:p>
            <w:pPr>
              <w:spacing w:before="124" w:line="312" w:lineRule="auto"/>
              <w:ind w:left="101" w:right="103" w:firstLine="7"/>
              <w:jc w:val="both"/>
              <w:rPr>
                <w:rFonts w:ascii="宋体" w:hAnsi="宋体" w:eastAsia="宋体" w:cs="宋体"/>
                <w:sz w:val="20"/>
                <w:szCs w:val="20"/>
              </w:rPr>
            </w:pPr>
            <w:r>
              <w:rPr>
                <w:rFonts w:ascii="宋体" w:hAnsi="宋体" w:eastAsia="宋体" w:cs="宋体"/>
                <w:spacing w:val="27"/>
                <w:sz w:val="20"/>
                <w:szCs w:val="20"/>
              </w:rPr>
              <w:t>按劳动安全卫生预评价委托合同计</w:t>
            </w:r>
            <w:r>
              <w:rPr>
                <w:rFonts w:ascii="宋体" w:hAnsi="宋体" w:eastAsia="宋体" w:cs="宋体"/>
                <w:spacing w:val="11"/>
                <w:sz w:val="20"/>
                <w:szCs w:val="20"/>
              </w:rPr>
              <w:t>列</w:t>
            </w:r>
            <w:r>
              <w:rPr>
                <w:rFonts w:ascii="宋体" w:hAnsi="宋体" w:eastAsia="宋体" w:cs="宋体"/>
                <w:spacing w:val="-55"/>
                <w:sz w:val="20"/>
                <w:szCs w:val="20"/>
              </w:rPr>
              <w:t xml:space="preserve"> </w:t>
            </w:r>
            <w:r>
              <w:rPr>
                <w:rFonts w:ascii="宋体" w:hAnsi="宋体" w:eastAsia="宋体" w:cs="宋体"/>
                <w:spacing w:val="11"/>
                <w:sz w:val="20"/>
                <w:szCs w:val="20"/>
              </w:rPr>
              <w:t>，或按国家、省政府部门发布的现</w:t>
            </w:r>
            <w:r>
              <w:rPr>
                <w:rFonts w:ascii="宋体" w:hAnsi="宋体" w:eastAsia="宋体" w:cs="宋体"/>
                <w:spacing w:val="13"/>
                <w:sz w:val="20"/>
                <w:szCs w:val="20"/>
              </w:rPr>
              <w:t>行标准计算或估算。一般按工程费用（包括建筑工程费、安装工程费、市</w:t>
            </w:r>
            <w:r>
              <w:rPr>
                <w:rFonts w:ascii="宋体" w:hAnsi="宋体" w:eastAsia="宋体" w:cs="宋体"/>
                <w:spacing w:val="16"/>
                <w:sz w:val="20"/>
                <w:szCs w:val="20"/>
              </w:rPr>
              <w:t>政工程费和设备购置费</w:t>
            </w:r>
            <w:r>
              <w:rPr>
                <w:rFonts w:ascii="宋体" w:hAnsi="宋体" w:eastAsia="宋体" w:cs="宋体"/>
                <w:spacing w:val="-56"/>
                <w:sz w:val="20"/>
                <w:szCs w:val="20"/>
              </w:rPr>
              <w:t xml:space="preserve"> </w:t>
            </w:r>
            <w:r>
              <w:rPr>
                <w:rFonts w:ascii="宋体" w:hAnsi="宋体" w:eastAsia="宋体" w:cs="宋体"/>
                <w:spacing w:val="16"/>
                <w:sz w:val="20"/>
                <w:szCs w:val="20"/>
              </w:rPr>
              <w:t>）的</w:t>
            </w:r>
            <w:r>
              <w:rPr>
                <w:rFonts w:ascii="宋体" w:hAnsi="宋体" w:eastAsia="宋体" w:cs="宋体"/>
                <w:spacing w:val="-24"/>
                <w:sz w:val="20"/>
                <w:szCs w:val="20"/>
              </w:rPr>
              <w:t xml:space="preserve"> </w:t>
            </w:r>
            <w:r>
              <w:rPr>
                <w:rFonts w:ascii="宋体" w:hAnsi="宋体" w:eastAsia="宋体" w:cs="宋体"/>
                <w:spacing w:val="16"/>
                <w:sz w:val="20"/>
                <w:szCs w:val="20"/>
              </w:rPr>
              <w:t>0.1%</w:t>
            </w:r>
            <w:r>
              <w:rPr>
                <w:rFonts w:ascii="宋体" w:hAnsi="宋体" w:eastAsia="宋体" w:cs="宋体"/>
                <w:spacing w:val="-28"/>
                <w:sz w:val="20"/>
                <w:szCs w:val="20"/>
              </w:rPr>
              <w:t xml:space="preserve"> </w:t>
            </w:r>
            <w:r>
              <w:rPr>
                <w:rFonts w:ascii="宋体" w:hAnsi="宋体" w:eastAsia="宋体" w:cs="宋体"/>
                <w:spacing w:val="16"/>
                <w:sz w:val="20"/>
                <w:szCs w:val="20"/>
              </w:rPr>
              <w:t>~</w:t>
            </w:r>
            <w:r>
              <w:rPr>
                <w:rFonts w:ascii="宋体" w:hAnsi="宋体" w:eastAsia="宋体" w:cs="宋体"/>
                <w:sz w:val="20"/>
                <w:szCs w:val="20"/>
              </w:rPr>
              <w:t xml:space="preserve"> </w:t>
            </w:r>
            <w:r>
              <w:rPr>
                <w:rFonts w:ascii="宋体" w:hAnsi="宋体" w:eastAsia="宋体" w:cs="宋体"/>
                <w:spacing w:val="8"/>
                <w:sz w:val="20"/>
                <w:szCs w:val="20"/>
              </w:rPr>
              <w:t>0.5%估列。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continue"/>
            <w:tcBorders>
              <w:top w:val="nil"/>
              <w:bottom w:val="nil"/>
            </w:tcBorders>
            <w:vAlign w:val="top"/>
          </w:tcPr>
          <w:p>
            <w:pPr>
              <w:pStyle w:val="6"/>
            </w:pPr>
          </w:p>
        </w:tc>
        <w:tc>
          <w:tcPr>
            <w:tcW w:w="2948" w:type="dxa"/>
            <w:vAlign w:val="top"/>
          </w:tcPr>
          <w:p>
            <w:pPr>
              <w:spacing w:before="299" w:line="277" w:lineRule="exact"/>
              <w:ind w:left="97"/>
              <w:rPr>
                <w:rFonts w:ascii="宋体" w:hAnsi="宋体" w:eastAsia="宋体" w:cs="宋体"/>
                <w:sz w:val="20"/>
                <w:szCs w:val="20"/>
              </w:rPr>
            </w:pPr>
            <w:r>
              <w:rPr>
                <w:rFonts w:ascii="宋体" w:hAnsi="宋体" w:eastAsia="宋体" w:cs="宋体"/>
                <w:spacing w:val="9"/>
                <w:position w:val="1"/>
                <w:sz w:val="20"/>
                <w:szCs w:val="20"/>
              </w:rPr>
              <w:t>（5）研究试验费</w:t>
            </w:r>
          </w:p>
        </w:tc>
        <w:tc>
          <w:tcPr>
            <w:tcW w:w="3638" w:type="dxa"/>
            <w:tcBorders>
              <w:right w:val="single" w:color="000000" w:sz="6" w:space="0"/>
            </w:tcBorders>
            <w:vAlign w:val="top"/>
          </w:tcPr>
          <w:p>
            <w:pPr>
              <w:spacing w:before="122" w:line="273" w:lineRule="auto"/>
              <w:ind w:left="108" w:right="103" w:firstLine="3"/>
              <w:rPr>
                <w:rFonts w:ascii="宋体" w:hAnsi="宋体" w:eastAsia="宋体" w:cs="宋体"/>
                <w:sz w:val="20"/>
                <w:szCs w:val="20"/>
              </w:rPr>
            </w:pPr>
            <w:r>
              <w:rPr>
                <w:rFonts w:ascii="宋体" w:hAnsi="宋体" w:eastAsia="宋体" w:cs="宋体"/>
                <w:spacing w:val="13"/>
                <w:sz w:val="20"/>
                <w:szCs w:val="20"/>
              </w:rPr>
              <w:t>根据研究试验的内容和要求按实际计</w:t>
            </w:r>
            <w:r>
              <w:rPr>
                <w:rFonts w:ascii="宋体" w:hAnsi="宋体" w:eastAsia="宋体" w:cs="宋体"/>
                <w:spacing w:val="8"/>
                <w:sz w:val="20"/>
                <w:szCs w:val="20"/>
              </w:rPr>
              <w:t>算或估算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694"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6" w:type="dxa"/>
            <w:vMerge w:val="continue"/>
            <w:tcBorders>
              <w:top w:val="nil"/>
              <w:bottom w:val="nil"/>
            </w:tcBorders>
            <w:vAlign w:val="top"/>
          </w:tcPr>
          <w:p>
            <w:pPr>
              <w:pStyle w:val="6"/>
            </w:pPr>
          </w:p>
        </w:tc>
        <w:tc>
          <w:tcPr>
            <w:tcW w:w="2948" w:type="dxa"/>
            <w:vAlign w:val="top"/>
          </w:tcPr>
          <w:p>
            <w:pPr>
              <w:spacing w:before="141" w:line="233" w:lineRule="auto"/>
              <w:ind w:left="97"/>
              <w:rPr>
                <w:rFonts w:ascii="宋体" w:hAnsi="宋体" w:eastAsia="宋体" w:cs="宋体"/>
                <w:sz w:val="20"/>
                <w:szCs w:val="20"/>
              </w:rPr>
            </w:pPr>
            <w:r>
              <w:rPr>
                <w:rFonts w:ascii="宋体" w:hAnsi="宋体" w:eastAsia="宋体" w:cs="宋体"/>
                <w:spacing w:val="9"/>
                <w:sz w:val="20"/>
                <w:szCs w:val="20"/>
              </w:rPr>
              <w:t>（6）勘察设计费</w:t>
            </w:r>
          </w:p>
        </w:tc>
        <w:tc>
          <w:tcPr>
            <w:tcW w:w="3638" w:type="dxa"/>
            <w:tcBorders>
              <w:right w:val="single" w:color="000000" w:sz="6" w:space="0"/>
            </w:tcBorders>
            <w:vAlign w:val="top"/>
          </w:tcPr>
          <w:p>
            <w:pPr>
              <w:spacing w:before="146" w:line="220" w:lineRule="auto"/>
              <w:ind w:left="109"/>
              <w:rPr>
                <w:rFonts w:ascii="宋体" w:hAnsi="宋体" w:eastAsia="宋体" w:cs="宋体"/>
                <w:sz w:val="20"/>
                <w:szCs w:val="20"/>
              </w:rPr>
            </w:pPr>
            <w:r>
              <w:rPr>
                <w:rFonts w:ascii="宋体" w:hAnsi="宋体" w:eastAsia="宋体" w:cs="宋体"/>
                <w:spacing w:val="9"/>
                <w:sz w:val="20"/>
                <w:szCs w:val="20"/>
              </w:rPr>
              <w:t>依据勘察、设计委托合同计列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2" w:hRule="atLeast"/>
        </w:trPr>
        <w:tc>
          <w:tcPr>
            <w:tcW w:w="694" w:type="dxa"/>
            <w:vMerge w:val="continue"/>
            <w:tcBorders>
              <w:top w:val="nil"/>
              <w:left w:val="single" w:color="000000" w:sz="6" w:space="0"/>
              <w:bottom w:val="single" w:color="000000" w:sz="6" w:space="0"/>
            </w:tcBorders>
            <w:vAlign w:val="top"/>
          </w:tcPr>
          <w:p>
            <w:pPr>
              <w:pStyle w:val="6"/>
            </w:pPr>
          </w:p>
        </w:tc>
        <w:tc>
          <w:tcPr>
            <w:tcW w:w="1284" w:type="dxa"/>
            <w:vMerge w:val="continue"/>
            <w:tcBorders>
              <w:top w:val="nil"/>
              <w:bottom w:val="single" w:color="000000" w:sz="6" w:space="0"/>
            </w:tcBorders>
            <w:vAlign w:val="top"/>
          </w:tcPr>
          <w:p>
            <w:pPr>
              <w:pStyle w:val="6"/>
            </w:pPr>
          </w:p>
        </w:tc>
        <w:tc>
          <w:tcPr>
            <w:tcW w:w="976" w:type="dxa"/>
            <w:vMerge w:val="continue"/>
            <w:tcBorders>
              <w:top w:val="nil"/>
              <w:bottom w:val="single" w:color="000000" w:sz="6" w:space="0"/>
            </w:tcBorders>
            <w:vAlign w:val="top"/>
          </w:tcPr>
          <w:p>
            <w:pPr>
              <w:pStyle w:val="6"/>
            </w:pPr>
          </w:p>
        </w:tc>
        <w:tc>
          <w:tcPr>
            <w:tcW w:w="2948" w:type="dxa"/>
            <w:tcBorders>
              <w:bottom w:val="single" w:color="000000" w:sz="6" w:space="0"/>
            </w:tcBorders>
            <w:vAlign w:val="top"/>
          </w:tcPr>
          <w:p>
            <w:pPr>
              <w:spacing w:before="210" w:line="278" w:lineRule="exact"/>
              <w:ind w:left="97"/>
              <w:rPr>
                <w:rFonts w:ascii="宋体" w:hAnsi="宋体" w:eastAsia="宋体" w:cs="宋体"/>
                <w:sz w:val="20"/>
                <w:szCs w:val="20"/>
              </w:rPr>
            </w:pPr>
            <w:r>
              <w:rPr>
                <w:rFonts w:ascii="宋体" w:hAnsi="宋体" w:eastAsia="宋体" w:cs="宋体"/>
                <w:spacing w:val="9"/>
                <w:position w:val="1"/>
                <w:sz w:val="20"/>
                <w:szCs w:val="20"/>
              </w:rPr>
              <w:t>（7）专利和专有技术使用费</w:t>
            </w:r>
          </w:p>
        </w:tc>
        <w:tc>
          <w:tcPr>
            <w:tcW w:w="3638" w:type="dxa"/>
            <w:tcBorders>
              <w:bottom w:val="single" w:color="000000" w:sz="6" w:space="0"/>
              <w:right w:val="single" w:color="000000" w:sz="6" w:space="0"/>
            </w:tcBorders>
            <w:vAlign w:val="top"/>
          </w:tcPr>
          <w:p>
            <w:pPr>
              <w:spacing w:before="213" w:line="223" w:lineRule="auto"/>
              <w:ind w:left="109"/>
              <w:rPr>
                <w:rFonts w:ascii="宋体" w:hAnsi="宋体" w:eastAsia="宋体" w:cs="宋体"/>
                <w:sz w:val="20"/>
                <w:szCs w:val="20"/>
              </w:rPr>
            </w:pPr>
            <w:r>
              <w:rPr>
                <w:rFonts w:ascii="宋体" w:hAnsi="宋体" w:eastAsia="宋体" w:cs="宋体"/>
                <w:spacing w:val="13"/>
                <w:sz w:val="20"/>
                <w:szCs w:val="20"/>
              </w:rPr>
              <w:t>按专利使用许可协议和专有技术使用</w:t>
            </w:r>
          </w:p>
        </w:tc>
      </w:tr>
    </w:tbl>
    <w:p>
      <w:pPr>
        <w:spacing w:line="218" w:lineRule="exact"/>
        <w:rPr>
          <w:rFonts w:ascii="Arial"/>
          <w:sz w:val="19"/>
        </w:rPr>
      </w:pPr>
    </w:p>
    <w:p>
      <w:pPr>
        <w:spacing w:line="218" w:lineRule="exact"/>
        <w:rPr>
          <w:rFonts w:ascii="Arial" w:hAnsi="Arial" w:eastAsia="Arial" w:cs="Arial"/>
          <w:sz w:val="19"/>
          <w:szCs w:val="19"/>
        </w:rPr>
        <w:sectPr>
          <w:footerReference r:id="rId9" w:type="default"/>
          <w:pgSz w:w="11905" w:h="16840"/>
          <w:pgMar w:top="1431" w:right="1175" w:bottom="1132" w:left="1174" w:header="0" w:footer="919" w:gutter="0"/>
        </w:sectPr>
      </w:pPr>
    </w:p>
    <w:tbl>
      <w:tblPr>
        <w:tblStyle w:val="5"/>
        <w:tblW w:w="954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1284"/>
        <w:gridCol w:w="880"/>
        <w:gridCol w:w="97"/>
        <w:gridCol w:w="2948"/>
        <w:gridCol w:w="36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693" w:type="dxa"/>
            <w:tcBorders>
              <w:top w:val="single" w:color="000000" w:sz="6" w:space="0"/>
              <w:left w:val="single" w:color="000000" w:sz="6" w:space="0"/>
            </w:tcBorders>
            <w:vAlign w:val="top"/>
          </w:tcPr>
          <w:p>
            <w:pPr>
              <w:spacing w:before="107" w:line="176" w:lineRule="auto"/>
              <w:ind w:left="129"/>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1284" w:type="dxa"/>
            <w:tcBorders>
              <w:top w:val="single" w:color="000000" w:sz="6" w:space="0"/>
            </w:tcBorders>
            <w:vAlign w:val="top"/>
          </w:tcPr>
          <w:p>
            <w:pPr>
              <w:spacing w:before="107" w:line="176" w:lineRule="auto"/>
              <w:ind w:left="229"/>
              <w:rPr>
                <w:rFonts w:ascii="微软雅黑" w:hAnsi="微软雅黑" w:eastAsia="微软雅黑" w:cs="微软雅黑"/>
                <w:sz w:val="20"/>
                <w:szCs w:val="20"/>
              </w:rPr>
            </w:pPr>
            <w:r>
              <w:rPr>
                <w:rFonts w:ascii="微软雅黑" w:hAnsi="微软雅黑" w:eastAsia="微软雅黑" w:cs="微软雅黑"/>
                <w:spacing w:val="5"/>
                <w:sz w:val="20"/>
                <w:szCs w:val="20"/>
              </w:rPr>
              <w:t>费用类别</w:t>
            </w:r>
          </w:p>
        </w:tc>
        <w:tc>
          <w:tcPr>
            <w:tcW w:w="3925" w:type="dxa"/>
            <w:gridSpan w:val="3"/>
            <w:tcBorders>
              <w:top w:val="single" w:color="000000" w:sz="6" w:space="0"/>
            </w:tcBorders>
            <w:vAlign w:val="top"/>
          </w:tcPr>
          <w:p>
            <w:pPr>
              <w:spacing w:before="107" w:line="176" w:lineRule="auto"/>
              <w:ind w:left="1551"/>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3638" w:type="dxa"/>
            <w:tcBorders>
              <w:top w:val="single" w:color="000000" w:sz="6" w:space="0"/>
              <w:right w:val="single" w:color="000000" w:sz="6" w:space="0"/>
            </w:tcBorders>
            <w:vAlign w:val="top"/>
          </w:tcPr>
          <w:p>
            <w:pPr>
              <w:spacing w:before="107" w:line="176" w:lineRule="auto"/>
              <w:ind w:left="1404"/>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9" w:hRule="atLeast"/>
        </w:trPr>
        <w:tc>
          <w:tcPr>
            <w:tcW w:w="693" w:type="dxa"/>
            <w:tcBorders>
              <w:left w:val="single" w:color="000000" w:sz="6" w:space="0"/>
            </w:tcBorders>
            <w:vAlign w:val="top"/>
          </w:tcPr>
          <w:p>
            <w:pPr>
              <w:pStyle w:val="6"/>
            </w:pPr>
          </w:p>
        </w:tc>
        <w:tc>
          <w:tcPr>
            <w:tcW w:w="1284" w:type="dxa"/>
            <w:vMerge w:val="restart"/>
            <w:tcBorders>
              <w:bottom w:val="nil"/>
            </w:tcBorders>
            <w:vAlign w:val="top"/>
          </w:tcPr>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spacing w:before="65" w:line="336" w:lineRule="auto"/>
              <w:ind w:left="218" w:right="225" w:firstLine="1"/>
              <w:rPr>
                <w:rFonts w:ascii="宋体" w:hAnsi="宋体" w:eastAsia="宋体" w:cs="宋体"/>
                <w:sz w:val="20"/>
                <w:szCs w:val="20"/>
              </w:rPr>
            </w:pPr>
            <w:r>
              <w:rPr>
                <w:rFonts w:ascii="宋体" w:hAnsi="宋体" w:eastAsia="宋体" w:cs="宋体"/>
                <w:spacing w:val="8"/>
                <w:sz w:val="20"/>
                <w:szCs w:val="20"/>
              </w:rPr>
              <w:t>工程建设其他费用</w:t>
            </w:r>
          </w:p>
        </w:tc>
        <w:tc>
          <w:tcPr>
            <w:tcW w:w="977" w:type="dxa"/>
            <w:gridSpan w:val="2"/>
            <w:vMerge w:val="restart"/>
            <w:tcBorders>
              <w:bottom w:val="nil"/>
            </w:tcBorders>
            <w:vAlign w:val="top"/>
          </w:tcPr>
          <w:p>
            <w:pPr>
              <w:pStyle w:val="6"/>
              <w:spacing w:line="399" w:lineRule="auto"/>
            </w:pPr>
          </w:p>
          <w:p>
            <w:pPr>
              <w:spacing w:before="65" w:line="318" w:lineRule="auto"/>
              <w:ind w:left="112" w:right="240" w:hanging="4"/>
              <w:rPr>
                <w:rFonts w:ascii="宋体" w:hAnsi="宋体" w:eastAsia="宋体" w:cs="宋体"/>
                <w:sz w:val="20"/>
                <w:szCs w:val="20"/>
              </w:rPr>
            </w:pPr>
            <w:r>
              <w:rPr>
                <w:rFonts w:ascii="宋体" w:hAnsi="宋体" w:eastAsia="宋体" w:cs="宋体"/>
                <w:spacing w:val="-9"/>
                <w:sz w:val="20"/>
                <w:szCs w:val="20"/>
              </w:rPr>
              <w:t>2.技术</w:t>
            </w:r>
            <w:r>
              <w:rPr>
                <w:rFonts w:ascii="宋体" w:hAnsi="宋体" w:eastAsia="宋体" w:cs="宋体"/>
                <w:spacing w:val="6"/>
                <w:sz w:val="20"/>
                <w:szCs w:val="20"/>
              </w:rPr>
              <w:t>咨询费</w:t>
            </w:r>
          </w:p>
        </w:tc>
        <w:tc>
          <w:tcPr>
            <w:tcW w:w="2948" w:type="dxa"/>
            <w:vAlign w:val="top"/>
          </w:tcPr>
          <w:p>
            <w:pPr>
              <w:pStyle w:val="6"/>
            </w:pPr>
          </w:p>
        </w:tc>
        <w:tc>
          <w:tcPr>
            <w:tcW w:w="3638" w:type="dxa"/>
            <w:tcBorders>
              <w:right w:val="single" w:color="000000" w:sz="6" w:space="0"/>
            </w:tcBorders>
            <w:vAlign w:val="top"/>
          </w:tcPr>
          <w:p>
            <w:pPr>
              <w:spacing w:before="112" w:line="221" w:lineRule="auto"/>
              <w:ind w:left="109"/>
              <w:rPr>
                <w:rFonts w:ascii="宋体" w:hAnsi="宋体" w:eastAsia="宋体" w:cs="宋体"/>
                <w:sz w:val="20"/>
                <w:szCs w:val="20"/>
              </w:rPr>
            </w:pPr>
            <w:r>
              <w:rPr>
                <w:rFonts w:ascii="宋体" w:hAnsi="宋体" w:eastAsia="宋体" w:cs="宋体"/>
                <w:spacing w:val="9"/>
                <w:sz w:val="20"/>
                <w:szCs w:val="20"/>
              </w:rPr>
              <w:t>合同的规定计列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693" w:type="dxa"/>
            <w:vMerge w:val="restart"/>
            <w:tcBorders>
              <w:left w:val="single" w:color="000000" w:sz="6" w:space="0"/>
              <w:bottom w:val="nil"/>
            </w:tcBorders>
            <w:vAlign w:val="top"/>
          </w:tcPr>
          <w:p>
            <w:pPr>
              <w:pStyle w:val="6"/>
              <w:spacing w:line="242" w:lineRule="auto"/>
            </w:pPr>
          </w:p>
          <w:p>
            <w:pPr>
              <w:pStyle w:val="6"/>
              <w:spacing w:line="242" w:lineRule="auto"/>
            </w:pPr>
          </w:p>
          <w:p>
            <w:pPr>
              <w:pStyle w:val="6"/>
              <w:spacing w:line="242"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spacing w:before="65" w:line="201" w:lineRule="auto"/>
              <w:ind w:left="239"/>
              <w:rPr>
                <w:rFonts w:ascii="宋体" w:hAnsi="宋体" w:eastAsia="宋体" w:cs="宋体"/>
                <w:sz w:val="20"/>
                <w:szCs w:val="20"/>
              </w:rPr>
            </w:pPr>
            <w:r>
              <w:rPr>
                <w:rFonts w:ascii="宋体" w:hAnsi="宋体" w:eastAsia="宋体" w:cs="宋体"/>
                <w:sz w:val="20"/>
                <w:szCs w:val="20"/>
              </w:rPr>
              <w:t>三</w:t>
            </w:r>
          </w:p>
        </w:tc>
        <w:tc>
          <w:tcPr>
            <w:tcW w:w="1284" w:type="dxa"/>
            <w:vMerge w:val="continue"/>
            <w:tcBorders>
              <w:top w:val="nil"/>
              <w:bottom w:val="nil"/>
            </w:tcBorders>
            <w:vAlign w:val="top"/>
          </w:tcPr>
          <w:p>
            <w:pPr>
              <w:pStyle w:val="6"/>
            </w:pPr>
          </w:p>
        </w:tc>
        <w:tc>
          <w:tcPr>
            <w:tcW w:w="977" w:type="dxa"/>
            <w:gridSpan w:val="2"/>
            <w:vMerge w:val="continue"/>
            <w:tcBorders>
              <w:top w:val="nil"/>
              <w:bottom w:val="nil"/>
            </w:tcBorders>
            <w:vAlign w:val="top"/>
          </w:tcPr>
          <w:p>
            <w:pPr>
              <w:pStyle w:val="6"/>
            </w:pPr>
          </w:p>
        </w:tc>
        <w:tc>
          <w:tcPr>
            <w:tcW w:w="2948" w:type="dxa"/>
            <w:vAlign w:val="top"/>
          </w:tcPr>
          <w:p>
            <w:pPr>
              <w:spacing w:before="129" w:line="266" w:lineRule="exact"/>
              <w:ind w:left="97"/>
              <w:rPr>
                <w:rFonts w:ascii="宋体" w:hAnsi="宋体" w:eastAsia="宋体" w:cs="宋体"/>
                <w:sz w:val="20"/>
                <w:szCs w:val="20"/>
              </w:rPr>
            </w:pPr>
            <w:r>
              <w:rPr>
                <w:rFonts w:ascii="宋体" w:hAnsi="宋体" w:eastAsia="宋体" w:cs="宋体"/>
                <w:spacing w:val="9"/>
                <w:position w:val="1"/>
                <w:sz w:val="20"/>
                <w:szCs w:val="20"/>
              </w:rPr>
              <w:t>（8）引进技术设备其他费</w:t>
            </w:r>
          </w:p>
        </w:tc>
        <w:tc>
          <w:tcPr>
            <w:tcW w:w="3638" w:type="dxa"/>
            <w:tcBorders>
              <w:right w:val="single" w:color="000000" w:sz="6" w:space="0"/>
            </w:tcBorders>
            <w:vAlign w:val="top"/>
          </w:tcPr>
          <w:p>
            <w:pPr>
              <w:spacing w:before="134" w:line="220" w:lineRule="auto"/>
              <w:ind w:left="109"/>
              <w:rPr>
                <w:rFonts w:ascii="宋体" w:hAnsi="宋体" w:eastAsia="宋体" w:cs="宋体"/>
                <w:sz w:val="20"/>
                <w:szCs w:val="20"/>
              </w:rPr>
            </w:pPr>
            <w:r>
              <w:rPr>
                <w:rFonts w:ascii="宋体" w:hAnsi="宋体" w:eastAsia="宋体" w:cs="宋体"/>
                <w:spacing w:val="9"/>
                <w:sz w:val="20"/>
                <w:szCs w:val="20"/>
              </w:rPr>
              <w:t>按相应规定计算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81"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7" w:type="dxa"/>
            <w:gridSpan w:val="2"/>
            <w:vMerge w:val="continue"/>
            <w:tcBorders>
              <w:top w:val="nil"/>
              <w:bottom w:val="nil"/>
            </w:tcBorders>
            <w:vAlign w:val="top"/>
          </w:tcPr>
          <w:p>
            <w:pPr>
              <w:pStyle w:val="6"/>
            </w:pPr>
          </w:p>
        </w:tc>
        <w:tc>
          <w:tcPr>
            <w:tcW w:w="2948" w:type="dxa"/>
            <w:vAlign w:val="top"/>
          </w:tcPr>
          <w:p>
            <w:pPr>
              <w:pStyle w:val="6"/>
              <w:spacing w:line="249" w:lineRule="auto"/>
            </w:pPr>
          </w:p>
          <w:p>
            <w:pPr>
              <w:pStyle w:val="6"/>
              <w:spacing w:line="249" w:lineRule="auto"/>
            </w:pPr>
          </w:p>
          <w:p>
            <w:pPr>
              <w:spacing w:before="65" w:line="278" w:lineRule="exact"/>
              <w:ind w:left="97"/>
              <w:rPr>
                <w:rFonts w:ascii="宋体" w:hAnsi="宋体" w:eastAsia="宋体" w:cs="宋体"/>
                <w:sz w:val="20"/>
                <w:szCs w:val="20"/>
              </w:rPr>
            </w:pPr>
            <w:r>
              <w:rPr>
                <w:rFonts w:ascii="宋体" w:hAnsi="宋体" w:eastAsia="宋体" w:cs="宋体"/>
                <w:spacing w:val="9"/>
                <w:position w:val="1"/>
                <w:sz w:val="20"/>
                <w:szCs w:val="20"/>
              </w:rPr>
              <w:t>（9）特种设备检验检测费</w:t>
            </w:r>
          </w:p>
        </w:tc>
        <w:tc>
          <w:tcPr>
            <w:tcW w:w="3638" w:type="dxa"/>
            <w:tcBorders>
              <w:right w:val="single" w:color="000000" w:sz="6" w:space="0"/>
            </w:tcBorders>
            <w:vAlign w:val="top"/>
          </w:tcPr>
          <w:p>
            <w:pPr>
              <w:spacing w:before="211" w:line="326" w:lineRule="auto"/>
              <w:ind w:left="108" w:right="103"/>
              <w:jc w:val="both"/>
              <w:rPr>
                <w:rFonts w:ascii="宋体" w:hAnsi="宋体" w:eastAsia="宋体" w:cs="宋体"/>
                <w:sz w:val="20"/>
                <w:szCs w:val="20"/>
              </w:rPr>
            </w:pPr>
            <w:r>
              <w:rPr>
                <w:rFonts w:ascii="宋体" w:hAnsi="宋体" w:eastAsia="宋体" w:cs="宋体"/>
                <w:spacing w:val="27"/>
                <w:sz w:val="20"/>
                <w:szCs w:val="20"/>
              </w:rPr>
              <w:t>按照省政府有关部门的规定标准计</w:t>
            </w:r>
            <w:r>
              <w:rPr>
                <w:rFonts w:ascii="宋体" w:hAnsi="宋体" w:eastAsia="宋体" w:cs="宋体"/>
                <w:spacing w:val="10"/>
                <w:sz w:val="20"/>
                <w:szCs w:val="20"/>
              </w:rPr>
              <w:t>算。没有具体规定的</w:t>
            </w:r>
            <w:r>
              <w:rPr>
                <w:rFonts w:ascii="宋体" w:hAnsi="宋体" w:eastAsia="宋体" w:cs="宋体"/>
                <w:spacing w:val="-46"/>
                <w:sz w:val="20"/>
                <w:szCs w:val="20"/>
              </w:rPr>
              <w:t xml:space="preserve"> </w:t>
            </w:r>
            <w:r>
              <w:rPr>
                <w:rFonts w:ascii="宋体" w:hAnsi="宋体" w:eastAsia="宋体" w:cs="宋体"/>
                <w:spacing w:val="10"/>
                <w:sz w:val="20"/>
                <w:szCs w:val="20"/>
              </w:rPr>
              <w:t>，可按受检设备</w:t>
            </w:r>
            <w:r>
              <w:rPr>
                <w:rFonts w:ascii="宋体" w:hAnsi="宋体" w:eastAsia="宋体" w:cs="宋体"/>
                <w:spacing w:val="8"/>
                <w:sz w:val="20"/>
                <w:szCs w:val="20"/>
              </w:rPr>
              <w:t>现场安装费的比例估算。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8"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977" w:type="dxa"/>
            <w:gridSpan w:val="2"/>
            <w:vMerge w:val="continue"/>
            <w:tcBorders>
              <w:top w:val="nil"/>
            </w:tcBorders>
            <w:vAlign w:val="top"/>
          </w:tcPr>
          <w:p>
            <w:pPr>
              <w:pStyle w:val="6"/>
            </w:pPr>
          </w:p>
        </w:tc>
        <w:tc>
          <w:tcPr>
            <w:tcW w:w="2948" w:type="dxa"/>
            <w:vAlign w:val="top"/>
          </w:tcPr>
          <w:p>
            <w:pPr>
              <w:spacing w:before="161" w:line="278" w:lineRule="exact"/>
              <w:ind w:left="97"/>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38"/>
                <w:position w:val="1"/>
                <w:sz w:val="20"/>
                <w:szCs w:val="20"/>
              </w:rPr>
              <w:t xml:space="preserve"> </w:t>
            </w:r>
            <w:r>
              <w:rPr>
                <w:rFonts w:ascii="宋体" w:hAnsi="宋体" w:eastAsia="宋体" w:cs="宋体"/>
                <w:spacing w:val="4"/>
                <w:position w:val="1"/>
                <w:sz w:val="20"/>
                <w:szCs w:val="20"/>
              </w:rPr>
              <w:t>10）其他技术咨询费等</w:t>
            </w:r>
          </w:p>
        </w:tc>
        <w:tc>
          <w:tcPr>
            <w:tcW w:w="3638" w:type="dxa"/>
            <w:tcBorders>
              <w:right w:val="single" w:color="000000" w:sz="6" w:space="0"/>
            </w:tcBorders>
            <w:vAlign w:val="top"/>
          </w:tcPr>
          <w:p>
            <w:pPr>
              <w:spacing w:before="166" w:line="220" w:lineRule="auto"/>
              <w:ind w:left="109"/>
              <w:rPr>
                <w:rFonts w:ascii="宋体" w:hAnsi="宋体" w:eastAsia="宋体" w:cs="宋体"/>
                <w:sz w:val="20"/>
                <w:szCs w:val="20"/>
              </w:rPr>
            </w:pPr>
            <w:r>
              <w:rPr>
                <w:rFonts w:ascii="宋体" w:hAnsi="宋体" w:eastAsia="宋体" w:cs="宋体"/>
                <w:spacing w:val="8"/>
                <w:sz w:val="20"/>
                <w:szCs w:val="20"/>
              </w:rPr>
              <w:t>按照有关规定双方合同约定计算。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13"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3925" w:type="dxa"/>
            <w:gridSpan w:val="3"/>
            <w:vAlign w:val="top"/>
          </w:tcPr>
          <w:p>
            <w:pPr>
              <w:pStyle w:val="6"/>
              <w:spacing w:line="418" w:lineRule="auto"/>
            </w:pPr>
          </w:p>
          <w:p>
            <w:pPr>
              <w:spacing w:before="65" w:line="278" w:lineRule="exact"/>
              <w:ind w:left="111"/>
              <w:rPr>
                <w:rFonts w:ascii="宋体" w:hAnsi="宋体" w:eastAsia="宋体" w:cs="宋体"/>
                <w:sz w:val="20"/>
                <w:szCs w:val="20"/>
              </w:rPr>
            </w:pPr>
            <w:r>
              <w:rPr>
                <w:rFonts w:ascii="宋体" w:hAnsi="宋体" w:eastAsia="宋体" w:cs="宋体"/>
                <w:spacing w:val="1"/>
                <w:position w:val="1"/>
                <w:sz w:val="20"/>
                <w:szCs w:val="20"/>
              </w:rPr>
              <w:t>3.项目配套建设费</w:t>
            </w:r>
          </w:p>
        </w:tc>
        <w:tc>
          <w:tcPr>
            <w:tcW w:w="3638" w:type="dxa"/>
            <w:tcBorders>
              <w:right w:val="single" w:color="000000" w:sz="6" w:space="0"/>
            </w:tcBorders>
            <w:vAlign w:val="top"/>
          </w:tcPr>
          <w:p>
            <w:pPr>
              <w:pStyle w:val="6"/>
              <w:spacing w:line="244" w:lineRule="auto"/>
            </w:pPr>
          </w:p>
          <w:p>
            <w:pPr>
              <w:spacing w:before="65" w:line="335" w:lineRule="auto"/>
              <w:ind w:left="109" w:right="27"/>
              <w:rPr>
                <w:rFonts w:ascii="宋体" w:hAnsi="宋体" w:eastAsia="宋体" w:cs="宋体"/>
                <w:sz w:val="20"/>
                <w:szCs w:val="20"/>
              </w:rPr>
            </w:pPr>
            <w:r>
              <w:rPr>
                <w:rFonts w:ascii="宋体" w:hAnsi="宋体" w:eastAsia="宋体" w:cs="宋体"/>
                <w:spacing w:val="27"/>
                <w:sz w:val="20"/>
                <w:szCs w:val="20"/>
              </w:rPr>
              <w:t>按省人民政府有关文件规定标准计</w:t>
            </w:r>
            <w:r>
              <w:rPr>
                <w:rFonts w:ascii="宋体" w:hAnsi="宋体" w:eastAsia="宋体" w:cs="宋体"/>
                <w:spacing w:val="5"/>
                <w:sz w:val="20"/>
                <w:szCs w:val="20"/>
              </w:rPr>
              <w:t>列。不发生或按规定免征项目不计算。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0"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restart"/>
            <w:tcBorders>
              <w:bottom w:val="nil"/>
            </w:tcBorders>
            <w:vAlign w:val="top"/>
          </w:tcPr>
          <w:p>
            <w:pPr>
              <w:pStyle w:val="6"/>
              <w:spacing w:line="253" w:lineRule="auto"/>
            </w:pPr>
          </w:p>
          <w:p>
            <w:pPr>
              <w:pStyle w:val="6"/>
              <w:spacing w:line="253" w:lineRule="auto"/>
            </w:pPr>
          </w:p>
          <w:p>
            <w:pPr>
              <w:pStyle w:val="6"/>
              <w:spacing w:line="253" w:lineRule="auto"/>
            </w:pPr>
          </w:p>
          <w:p>
            <w:pPr>
              <w:pStyle w:val="6"/>
              <w:spacing w:line="253" w:lineRule="auto"/>
            </w:pPr>
          </w:p>
          <w:p>
            <w:pPr>
              <w:pStyle w:val="6"/>
              <w:spacing w:line="253"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spacing w:before="65" w:line="330" w:lineRule="auto"/>
              <w:ind w:left="106" w:right="143" w:hanging="1"/>
              <w:jc w:val="both"/>
              <w:rPr>
                <w:rFonts w:ascii="宋体" w:hAnsi="宋体" w:eastAsia="宋体" w:cs="宋体"/>
                <w:sz w:val="20"/>
                <w:szCs w:val="20"/>
              </w:rPr>
            </w:pPr>
            <w:r>
              <w:rPr>
                <w:rFonts w:ascii="宋体" w:hAnsi="宋体" w:eastAsia="宋体" w:cs="宋体"/>
                <w:spacing w:val="-8"/>
                <w:sz w:val="20"/>
                <w:szCs w:val="20"/>
              </w:rPr>
              <w:t>4.项目</w:t>
            </w:r>
            <w:r>
              <w:rPr>
                <w:rFonts w:ascii="宋体" w:hAnsi="宋体" w:eastAsia="宋体" w:cs="宋体"/>
                <w:spacing w:val="8"/>
                <w:sz w:val="20"/>
                <w:szCs w:val="20"/>
              </w:rPr>
              <w:t>建设管</w:t>
            </w:r>
            <w:r>
              <w:rPr>
                <w:rFonts w:ascii="宋体" w:hAnsi="宋体" w:eastAsia="宋体" w:cs="宋体"/>
                <w:spacing w:val="6"/>
                <w:sz w:val="20"/>
                <w:szCs w:val="20"/>
              </w:rPr>
              <w:t>理费</w:t>
            </w:r>
          </w:p>
        </w:tc>
        <w:tc>
          <w:tcPr>
            <w:tcW w:w="3045" w:type="dxa"/>
            <w:gridSpan w:val="2"/>
            <w:vAlign w:val="top"/>
          </w:tcPr>
          <w:p>
            <w:pPr>
              <w:pStyle w:val="6"/>
              <w:spacing w:line="268" w:lineRule="auto"/>
            </w:pPr>
          </w:p>
          <w:p>
            <w:pPr>
              <w:pStyle w:val="6"/>
              <w:spacing w:line="269" w:lineRule="auto"/>
            </w:pPr>
          </w:p>
          <w:p>
            <w:pPr>
              <w:spacing w:before="65" w:line="278" w:lineRule="exact"/>
              <w:ind w:left="98"/>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4"/>
                <w:position w:val="1"/>
                <w:sz w:val="20"/>
                <w:szCs w:val="20"/>
              </w:rPr>
              <w:t>1）建设单位管理费</w:t>
            </w:r>
          </w:p>
        </w:tc>
        <w:tc>
          <w:tcPr>
            <w:tcW w:w="3638" w:type="dxa"/>
            <w:tcBorders>
              <w:right w:val="single" w:color="000000" w:sz="6" w:space="0"/>
            </w:tcBorders>
            <w:vAlign w:val="top"/>
          </w:tcPr>
          <w:p>
            <w:pPr>
              <w:spacing w:before="244" w:line="321" w:lineRule="auto"/>
              <w:ind w:left="111" w:right="103"/>
              <w:jc w:val="both"/>
              <w:rPr>
                <w:rFonts w:ascii="宋体" w:hAnsi="宋体" w:eastAsia="宋体" w:cs="宋体"/>
                <w:sz w:val="20"/>
                <w:szCs w:val="20"/>
              </w:rPr>
            </w:pPr>
            <w:r>
              <w:rPr>
                <w:rFonts w:ascii="宋体" w:hAnsi="宋体" w:eastAsia="宋体" w:cs="宋体"/>
                <w:spacing w:val="13"/>
                <w:sz w:val="20"/>
                <w:szCs w:val="20"/>
              </w:rPr>
              <w:t>工程费用（包括建筑工程费、安装工</w:t>
            </w:r>
            <w:r>
              <w:rPr>
                <w:rFonts w:ascii="宋体" w:hAnsi="宋体" w:eastAsia="宋体" w:cs="宋体"/>
                <w:spacing w:val="8"/>
                <w:sz w:val="20"/>
                <w:szCs w:val="20"/>
              </w:rPr>
              <w:t>程费用和设备购置费之和）</w:t>
            </w:r>
            <w:r>
              <w:rPr>
                <w:rFonts w:ascii="宋体" w:hAnsi="宋体" w:eastAsia="宋体" w:cs="宋体"/>
                <w:spacing w:val="-17"/>
                <w:sz w:val="20"/>
                <w:szCs w:val="20"/>
              </w:rPr>
              <w:t xml:space="preserve"> </w:t>
            </w:r>
            <w:r>
              <w:rPr>
                <w:rFonts w:ascii="宋体" w:hAnsi="宋体" w:eastAsia="宋体" w:cs="宋体"/>
                <w:spacing w:val="8"/>
                <w:sz w:val="20"/>
                <w:szCs w:val="20"/>
              </w:rPr>
              <w:t>×管理费</w:t>
            </w:r>
            <w:r>
              <w:rPr>
                <w:rFonts w:ascii="宋体" w:hAnsi="宋体" w:eastAsia="宋体" w:cs="宋体"/>
                <w:spacing w:val="6"/>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9"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bottom w:val="nil"/>
            </w:tcBorders>
            <w:vAlign w:val="top"/>
          </w:tcPr>
          <w:p>
            <w:pPr>
              <w:pStyle w:val="6"/>
            </w:pPr>
          </w:p>
        </w:tc>
        <w:tc>
          <w:tcPr>
            <w:tcW w:w="3045" w:type="dxa"/>
            <w:gridSpan w:val="2"/>
            <w:vAlign w:val="top"/>
          </w:tcPr>
          <w:p>
            <w:pPr>
              <w:spacing w:before="184" w:line="278" w:lineRule="exact"/>
              <w:ind w:left="98"/>
              <w:rPr>
                <w:rFonts w:ascii="宋体" w:hAnsi="宋体" w:eastAsia="宋体" w:cs="宋体"/>
                <w:sz w:val="20"/>
                <w:szCs w:val="20"/>
              </w:rPr>
            </w:pPr>
            <w:r>
              <w:rPr>
                <w:rFonts w:ascii="宋体" w:hAnsi="宋体" w:eastAsia="宋体" w:cs="宋体"/>
                <w:spacing w:val="9"/>
                <w:position w:val="1"/>
                <w:sz w:val="20"/>
                <w:szCs w:val="20"/>
              </w:rPr>
              <w:t>（2）项目建设管理代理费</w:t>
            </w:r>
          </w:p>
        </w:tc>
        <w:tc>
          <w:tcPr>
            <w:tcW w:w="3638" w:type="dxa"/>
            <w:tcBorders>
              <w:right w:val="single" w:color="000000" w:sz="6" w:space="0"/>
            </w:tcBorders>
            <w:vAlign w:val="top"/>
          </w:tcPr>
          <w:p>
            <w:pPr>
              <w:spacing w:before="189" w:line="219" w:lineRule="auto"/>
              <w:ind w:left="112"/>
              <w:rPr>
                <w:rFonts w:ascii="宋体" w:hAnsi="宋体" w:eastAsia="宋体" w:cs="宋体"/>
                <w:sz w:val="20"/>
                <w:szCs w:val="20"/>
              </w:rPr>
            </w:pPr>
            <w:r>
              <w:rPr>
                <w:rFonts w:ascii="宋体" w:hAnsi="宋体" w:eastAsia="宋体" w:cs="宋体"/>
                <w:spacing w:val="9"/>
                <w:sz w:val="20"/>
                <w:szCs w:val="20"/>
              </w:rPr>
              <w:t>根据国家或省发布的现行规定计算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bottom w:val="nil"/>
            </w:tcBorders>
            <w:vAlign w:val="top"/>
          </w:tcPr>
          <w:p>
            <w:pPr>
              <w:pStyle w:val="6"/>
            </w:pPr>
          </w:p>
        </w:tc>
        <w:tc>
          <w:tcPr>
            <w:tcW w:w="3045" w:type="dxa"/>
            <w:gridSpan w:val="2"/>
            <w:vAlign w:val="top"/>
          </w:tcPr>
          <w:p>
            <w:pPr>
              <w:pStyle w:val="6"/>
              <w:spacing w:line="476" w:lineRule="auto"/>
            </w:pPr>
          </w:p>
          <w:p>
            <w:pPr>
              <w:spacing w:before="65" w:line="276" w:lineRule="exact"/>
              <w:ind w:left="98"/>
              <w:rPr>
                <w:rFonts w:ascii="宋体" w:hAnsi="宋体" w:eastAsia="宋体" w:cs="宋体"/>
                <w:sz w:val="20"/>
                <w:szCs w:val="20"/>
              </w:rPr>
            </w:pPr>
            <w:r>
              <w:rPr>
                <w:rFonts w:ascii="宋体" w:hAnsi="宋体" w:eastAsia="宋体" w:cs="宋体"/>
                <w:spacing w:val="9"/>
                <w:position w:val="1"/>
                <w:sz w:val="20"/>
                <w:szCs w:val="20"/>
              </w:rPr>
              <w:t>（3）造价咨询服务费</w:t>
            </w:r>
          </w:p>
        </w:tc>
        <w:tc>
          <w:tcPr>
            <w:tcW w:w="3638" w:type="dxa"/>
            <w:tcBorders>
              <w:right w:val="single" w:color="000000" w:sz="6" w:space="0"/>
            </w:tcBorders>
            <w:vAlign w:val="top"/>
          </w:tcPr>
          <w:p>
            <w:pPr>
              <w:spacing w:before="190" w:line="315" w:lineRule="auto"/>
              <w:ind w:left="108" w:right="103"/>
              <w:jc w:val="both"/>
              <w:rPr>
                <w:rFonts w:ascii="宋体" w:hAnsi="宋体" w:eastAsia="宋体" w:cs="宋体"/>
                <w:sz w:val="20"/>
                <w:szCs w:val="20"/>
              </w:rPr>
            </w:pPr>
            <w:r>
              <w:rPr>
                <w:rFonts w:ascii="宋体" w:hAnsi="宋体" w:eastAsia="宋体" w:cs="宋体"/>
                <w:spacing w:val="10"/>
                <w:sz w:val="20"/>
                <w:szCs w:val="20"/>
              </w:rPr>
              <w:t>按造价咨询服务委托合同计列</w:t>
            </w:r>
            <w:r>
              <w:rPr>
                <w:rFonts w:ascii="宋体" w:hAnsi="宋体" w:eastAsia="宋体" w:cs="宋体"/>
                <w:spacing w:val="-47"/>
                <w:sz w:val="20"/>
                <w:szCs w:val="20"/>
              </w:rPr>
              <w:t xml:space="preserve"> </w:t>
            </w:r>
            <w:r>
              <w:rPr>
                <w:rFonts w:ascii="宋体" w:hAnsi="宋体" w:eastAsia="宋体" w:cs="宋体"/>
                <w:spacing w:val="10"/>
                <w:sz w:val="20"/>
                <w:szCs w:val="20"/>
              </w:rPr>
              <w:t>，或按</w:t>
            </w:r>
            <w:r>
              <w:rPr>
                <w:rFonts w:ascii="宋体" w:hAnsi="宋体" w:eastAsia="宋体" w:cs="宋体"/>
                <w:spacing w:val="13"/>
                <w:sz w:val="20"/>
                <w:szCs w:val="20"/>
              </w:rPr>
              <w:t>省主管部门发布的现行标准计算或估</w:t>
            </w:r>
            <w:r>
              <w:rPr>
                <w:rFonts w:ascii="宋体" w:hAnsi="宋体" w:eastAsia="宋体" w:cs="宋体"/>
                <w:spacing w:val="6"/>
                <w:sz w:val="20"/>
                <w:szCs w:val="20"/>
              </w:rPr>
              <w:t>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5"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bottom w:val="nil"/>
            </w:tcBorders>
            <w:vAlign w:val="top"/>
          </w:tcPr>
          <w:p>
            <w:pPr>
              <w:pStyle w:val="6"/>
            </w:pPr>
          </w:p>
        </w:tc>
        <w:tc>
          <w:tcPr>
            <w:tcW w:w="3045" w:type="dxa"/>
            <w:gridSpan w:val="2"/>
            <w:vAlign w:val="top"/>
          </w:tcPr>
          <w:p>
            <w:pPr>
              <w:spacing w:before="155" w:line="278" w:lineRule="exact"/>
              <w:ind w:left="98"/>
              <w:rPr>
                <w:rFonts w:ascii="宋体" w:hAnsi="宋体" w:eastAsia="宋体" w:cs="宋体"/>
                <w:sz w:val="20"/>
                <w:szCs w:val="20"/>
              </w:rPr>
            </w:pPr>
            <w:r>
              <w:rPr>
                <w:rFonts w:ascii="宋体" w:hAnsi="宋体" w:eastAsia="宋体" w:cs="宋体"/>
                <w:spacing w:val="9"/>
                <w:position w:val="1"/>
                <w:sz w:val="20"/>
                <w:szCs w:val="20"/>
              </w:rPr>
              <w:t>（4）工程监理费</w:t>
            </w:r>
          </w:p>
        </w:tc>
        <w:tc>
          <w:tcPr>
            <w:tcW w:w="3638" w:type="dxa"/>
            <w:tcBorders>
              <w:right w:val="single" w:color="000000" w:sz="6" w:space="0"/>
            </w:tcBorders>
            <w:vAlign w:val="top"/>
          </w:tcPr>
          <w:p>
            <w:pPr>
              <w:spacing w:before="160" w:line="220" w:lineRule="auto"/>
              <w:ind w:left="109"/>
              <w:rPr>
                <w:rFonts w:ascii="宋体" w:hAnsi="宋体" w:eastAsia="宋体" w:cs="宋体"/>
                <w:sz w:val="20"/>
                <w:szCs w:val="20"/>
              </w:rPr>
            </w:pPr>
            <w:r>
              <w:rPr>
                <w:rFonts w:ascii="宋体" w:hAnsi="宋体" w:eastAsia="宋体" w:cs="宋体"/>
                <w:spacing w:val="9"/>
                <w:sz w:val="20"/>
                <w:szCs w:val="20"/>
              </w:rPr>
              <w:t>按工程监理服务委托合同计列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47"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bottom w:val="nil"/>
            </w:tcBorders>
            <w:vAlign w:val="top"/>
          </w:tcPr>
          <w:p>
            <w:pPr>
              <w:pStyle w:val="6"/>
            </w:pPr>
          </w:p>
        </w:tc>
        <w:tc>
          <w:tcPr>
            <w:tcW w:w="3045" w:type="dxa"/>
            <w:gridSpan w:val="2"/>
            <w:vAlign w:val="top"/>
          </w:tcPr>
          <w:p>
            <w:pPr>
              <w:pStyle w:val="6"/>
              <w:spacing w:line="258" w:lineRule="auto"/>
            </w:pPr>
          </w:p>
          <w:p>
            <w:pPr>
              <w:pStyle w:val="6"/>
              <w:spacing w:line="259" w:lineRule="auto"/>
            </w:pPr>
          </w:p>
          <w:p>
            <w:pPr>
              <w:pStyle w:val="6"/>
              <w:spacing w:line="259" w:lineRule="auto"/>
            </w:pPr>
          </w:p>
          <w:p>
            <w:pPr>
              <w:pStyle w:val="6"/>
              <w:spacing w:line="259" w:lineRule="auto"/>
            </w:pPr>
          </w:p>
          <w:p>
            <w:pPr>
              <w:spacing w:before="65" w:line="278" w:lineRule="exact"/>
              <w:ind w:left="98"/>
              <w:rPr>
                <w:rFonts w:ascii="宋体" w:hAnsi="宋体" w:eastAsia="宋体" w:cs="宋体"/>
                <w:sz w:val="20"/>
                <w:szCs w:val="20"/>
              </w:rPr>
            </w:pPr>
            <w:r>
              <w:rPr>
                <w:rFonts w:ascii="宋体" w:hAnsi="宋体" w:eastAsia="宋体" w:cs="宋体"/>
                <w:spacing w:val="9"/>
                <w:position w:val="1"/>
                <w:sz w:val="20"/>
                <w:szCs w:val="20"/>
              </w:rPr>
              <w:t>（5）工程保险费</w:t>
            </w:r>
          </w:p>
        </w:tc>
        <w:tc>
          <w:tcPr>
            <w:tcW w:w="3638" w:type="dxa"/>
            <w:tcBorders>
              <w:right w:val="single" w:color="000000" w:sz="6" w:space="0"/>
            </w:tcBorders>
            <w:vAlign w:val="top"/>
          </w:tcPr>
          <w:p>
            <w:pPr>
              <w:spacing w:before="206" w:line="278" w:lineRule="exact"/>
              <w:ind w:left="129"/>
              <w:rPr>
                <w:rFonts w:ascii="宋体" w:hAnsi="宋体" w:eastAsia="宋体" w:cs="宋体"/>
                <w:sz w:val="20"/>
                <w:szCs w:val="20"/>
              </w:rPr>
            </w:pPr>
            <w:r>
              <w:rPr>
                <w:rFonts w:ascii="宋体" w:hAnsi="宋体" w:eastAsia="宋体" w:cs="宋体"/>
                <w:position w:val="1"/>
                <w:sz w:val="20"/>
                <w:szCs w:val="20"/>
              </w:rPr>
              <w:t>1.根据保险合同计列；</w:t>
            </w:r>
          </w:p>
          <w:p>
            <w:pPr>
              <w:spacing w:before="81" w:line="311" w:lineRule="auto"/>
              <w:ind w:left="108" w:right="103" w:firstLine="3"/>
              <w:rPr>
                <w:rFonts w:ascii="宋体" w:hAnsi="宋体" w:eastAsia="宋体" w:cs="宋体"/>
                <w:sz w:val="20"/>
                <w:szCs w:val="20"/>
              </w:rPr>
            </w:pPr>
            <w:r>
              <w:rPr>
                <w:rFonts w:ascii="宋体" w:hAnsi="宋体" w:eastAsia="宋体" w:cs="宋体"/>
                <w:sz w:val="20"/>
                <w:szCs w:val="20"/>
              </w:rPr>
              <w:t>2.可按工程费用（包括建筑工程费、安</w:t>
            </w:r>
            <w:r>
              <w:rPr>
                <w:rFonts w:ascii="宋体" w:hAnsi="宋体" w:eastAsia="宋体" w:cs="宋体"/>
                <w:spacing w:val="10"/>
                <w:sz w:val="20"/>
                <w:szCs w:val="20"/>
              </w:rPr>
              <w:t>装工程费用和设备购置费之和）</w:t>
            </w:r>
            <w:r>
              <w:rPr>
                <w:rFonts w:ascii="宋体" w:hAnsi="宋体" w:eastAsia="宋体" w:cs="宋体"/>
                <w:spacing w:val="-46"/>
                <w:sz w:val="20"/>
                <w:szCs w:val="20"/>
              </w:rPr>
              <w:t xml:space="preserve"> </w:t>
            </w:r>
            <w:r>
              <w:rPr>
                <w:rFonts w:ascii="宋体" w:hAnsi="宋体" w:eastAsia="宋体" w:cs="宋体"/>
                <w:spacing w:val="10"/>
                <w:sz w:val="20"/>
                <w:szCs w:val="20"/>
              </w:rPr>
              <w:t>的比</w:t>
            </w:r>
            <w:r>
              <w:rPr>
                <w:rFonts w:ascii="宋体" w:hAnsi="宋体" w:eastAsia="宋体" w:cs="宋体"/>
                <w:spacing w:val="5"/>
                <w:sz w:val="20"/>
                <w:szCs w:val="20"/>
              </w:rPr>
              <w:t>例估算。一般建筑工程按0.2%</w:t>
            </w:r>
            <w:r>
              <w:rPr>
                <w:rFonts w:ascii="宋体" w:hAnsi="宋体" w:eastAsia="宋体" w:cs="宋体"/>
                <w:spacing w:val="-35"/>
                <w:sz w:val="20"/>
                <w:szCs w:val="20"/>
              </w:rPr>
              <w:t xml:space="preserve"> </w:t>
            </w:r>
            <w:r>
              <w:rPr>
                <w:rFonts w:ascii="宋体" w:hAnsi="宋体" w:eastAsia="宋体" w:cs="宋体"/>
                <w:spacing w:val="5"/>
                <w:sz w:val="20"/>
                <w:szCs w:val="20"/>
              </w:rPr>
              <w:t>～</w:t>
            </w:r>
            <w:r>
              <w:rPr>
                <w:rFonts w:ascii="宋体" w:hAnsi="宋体" w:eastAsia="宋体" w:cs="宋体"/>
                <w:spacing w:val="-53"/>
                <w:sz w:val="20"/>
                <w:szCs w:val="20"/>
              </w:rPr>
              <w:t xml:space="preserve"> </w:t>
            </w:r>
            <w:r>
              <w:rPr>
                <w:rFonts w:ascii="宋体" w:hAnsi="宋体" w:eastAsia="宋体" w:cs="宋体"/>
                <w:spacing w:val="5"/>
                <w:sz w:val="20"/>
                <w:szCs w:val="20"/>
              </w:rPr>
              <w:t>0.4%</w:t>
            </w:r>
            <w:r>
              <w:rPr>
                <w:rFonts w:ascii="宋体" w:hAnsi="宋体" w:eastAsia="宋体" w:cs="宋体"/>
                <w:spacing w:val="-4"/>
                <w:sz w:val="20"/>
                <w:szCs w:val="20"/>
              </w:rPr>
              <w:t>计，安装工程、市政工程按0.3%</w:t>
            </w:r>
            <w:r>
              <w:rPr>
                <w:rFonts w:ascii="宋体" w:hAnsi="宋体" w:eastAsia="宋体" w:cs="宋体"/>
                <w:spacing w:val="-48"/>
                <w:sz w:val="20"/>
                <w:szCs w:val="20"/>
              </w:rPr>
              <w:t xml:space="preserve"> </w:t>
            </w:r>
            <w:r>
              <w:rPr>
                <w:rFonts w:ascii="宋体" w:hAnsi="宋体" w:eastAsia="宋体" w:cs="宋体"/>
                <w:spacing w:val="-4"/>
                <w:sz w:val="20"/>
                <w:szCs w:val="20"/>
              </w:rPr>
              <w:t>～</w:t>
            </w:r>
            <w:r>
              <w:rPr>
                <w:rFonts w:ascii="宋体" w:hAnsi="宋体" w:eastAsia="宋体" w:cs="宋体"/>
                <w:spacing w:val="-56"/>
                <w:sz w:val="20"/>
                <w:szCs w:val="20"/>
              </w:rPr>
              <w:t xml:space="preserve"> </w:t>
            </w:r>
            <w:r>
              <w:rPr>
                <w:rFonts w:ascii="宋体" w:hAnsi="宋体" w:eastAsia="宋体" w:cs="宋体"/>
                <w:spacing w:val="-4"/>
                <w:sz w:val="20"/>
                <w:szCs w:val="20"/>
              </w:rPr>
              <w:t>0.6%</w:t>
            </w:r>
            <w:r>
              <w:rPr>
                <w:rFonts w:ascii="宋体" w:hAnsi="宋体" w:eastAsia="宋体" w:cs="宋体"/>
                <w:spacing w:val="6"/>
                <w:sz w:val="20"/>
                <w:szCs w:val="20"/>
              </w:rPr>
              <w:t>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20"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tcBorders>
            <w:vAlign w:val="top"/>
          </w:tcPr>
          <w:p>
            <w:pPr>
              <w:pStyle w:val="6"/>
            </w:pPr>
          </w:p>
        </w:tc>
        <w:tc>
          <w:tcPr>
            <w:tcW w:w="3045" w:type="dxa"/>
            <w:gridSpan w:val="2"/>
            <w:vAlign w:val="top"/>
          </w:tcPr>
          <w:p>
            <w:pPr>
              <w:pStyle w:val="6"/>
              <w:spacing w:line="242" w:lineRule="auto"/>
            </w:pPr>
          </w:p>
          <w:p>
            <w:pPr>
              <w:pStyle w:val="6"/>
              <w:spacing w:line="242" w:lineRule="auto"/>
            </w:pPr>
          </w:p>
          <w:p>
            <w:pPr>
              <w:pStyle w:val="6"/>
              <w:spacing w:line="243" w:lineRule="auto"/>
            </w:pPr>
          </w:p>
          <w:p>
            <w:pPr>
              <w:spacing w:before="65" w:line="278" w:lineRule="exact"/>
              <w:ind w:left="98"/>
              <w:rPr>
                <w:rFonts w:ascii="宋体" w:hAnsi="宋体" w:eastAsia="宋体" w:cs="宋体"/>
                <w:sz w:val="20"/>
                <w:szCs w:val="20"/>
              </w:rPr>
            </w:pPr>
            <w:r>
              <w:rPr>
                <w:rFonts w:ascii="宋体" w:hAnsi="宋体" w:eastAsia="宋体" w:cs="宋体"/>
                <w:spacing w:val="9"/>
                <w:position w:val="1"/>
                <w:sz w:val="20"/>
                <w:szCs w:val="20"/>
              </w:rPr>
              <w:t>（6）场地准备及临时设施费等</w:t>
            </w:r>
          </w:p>
        </w:tc>
        <w:tc>
          <w:tcPr>
            <w:tcW w:w="3638" w:type="dxa"/>
            <w:tcBorders>
              <w:right w:val="single" w:color="000000" w:sz="6" w:space="0"/>
            </w:tcBorders>
            <w:vAlign w:val="top"/>
          </w:tcPr>
          <w:p>
            <w:pPr>
              <w:spacing w:before="256" w:line="332" w:lineRule="auto"/>
              <w:ind w:left="116" w:hanging="8"/>
              <w:rPr>
                <w:rFonts w:ascii="宋体" w:hAnsi="宋体" w:eastAsia="宋体" w:cs="宋体"/>
                <w:sz w:val="20"/>
                <w:szCs w:val="20"/>
              </w:rPr>
            </w:pPr>
            <w:r>
              <w:rPr>
                <w:rFonts w:ascii="宋体" w:hAnsi="宋体" w:eastAsia="宋体" w:cs="宋体"/>
                <w:spacing w:val="13"/>
                <w:sz w:val="20"/>
                <w:szCs w:val="20"/>
              </w:rPr>
              <w:t>新建项目：工程费用（包括建筑工程</w:t>
            </w:r>
            <w:r>
              <w:rPr>
                <w:rFonts w:ascii="宋体" w:hAnsi="宋体" w:eastAsia="宋体" w:cs="宋体"/>
                <w:spacing w:val="6"/>
                <w:sz w:val="20"/>
                <w:szCs w:val="20"/>
              </w:rPr>
              <w:t>费、安装工程费用和设备购置费之和）</w:t>
            </w:r>
            <w:r>
              <w:rPr>
                <w:rFonts w:ascii="宋体" w:hAnsi="宋体" w:eastAsia="宋体" w:cs="宋体"/>
                <w:spacing w:val="7"/>
                <w:sz w:val="20"/>
                <w:szCs w:val="20"/>
              </w:rPr>
              <w:t xml:space="preserve"> </w:t>
            </w:r>
            <w:r>
              <w:rPr>
                <w:rFonts w:ascii="宋体" w:hAnsi="宋体" w:eastAsia="宋体" w:cs="宋体"/>
                <w:spacing w:val="13"/>
                <w:sz w:val="20"/>
                <w:szCs w:val="20"/>
              </w:rPr>
              <w:t>×费率（一般按0.2%～3%计列）</w:t>
            </w:r>
          </w:p>
          <w:p>
            <w:pPr>
              <w:spacing w:before="4" w:line="223" w:lineRule="auto"/>
              <w:ind w:left="112"/>
              <w:rPr>
                <w:rFonts w:ascii="宋体" w:hAnsi="宋体" w:eastAsia="宋体" w:cs="宋体"/>
                <w:sz w:val="20"/>
                <w:szCs w:val="20"/>
              </w:rPr>
            </w:pPr>
            <w:r>
              <w:rPr>
                <w:rFonts w:ascii="宋体" w:hAnsi="宋体" w:eastAsia="宋体" w:cs="宋体"/>
                <w:spacing w:val="9"/>
                <w:sz w:val="20"/>
                <w:szCs w:val="20"/>
              </w:rPr>
              <w:t>改扩建项目一般只计拆除清理费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7"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restart"/>
            <w:tcBorders>
              <w:bottom w:val="nil"/>
            </w:tcBorders>
            <w:vAlign w:val="top"/>
          </w:tcPr>
          <w:p>
            <w:pPr>
              <w:pStyle w:val="6"/>
              <w:spacing w:line="335" w:lineRule="auto"/>
            </w:pPr>
          </w:p>
          <w:p>
            <w:pPr>
              <w:spacing w:before="65" w:line="333" w:lineRule="auto"/>
              <w:ind w:left="106" w:right="143" w:firstLine="1"/>
              <w:jc w:val="both"/>
              <w:rPr>
                <w:rFonts w:ascii="宋体" w:hAnsi="宋体" w:eastAsia="宋体" w:cs="宋体"/>
                <w:sz w:val="20"/>
                <w:szCs w:val="20"/>
              </w:rPr>
            </w:pPr>
            <w:r>
              <w:rPr>
                <w:rFonts w:ascii="宋体" w:hAnsi="宋体" w:eastAsia="宋体" w:cs="宋体"/>
                <w:spacing w:val="-9"/>
                <w:sz w:val="20"/>
                <w:szCs w:val="20"/>
              </w:rPr>
              <w:t>5.与生</w:t>
            </w:r>
            <w:r>
              <w:rPr>
                <w:rFonts w:ascii="宋体" w:hAnsi="宋体" w:eastAsia="宋体" w:cs="宋体"/>
                <w:spacing w:val="8"/>
                <w:sz w:val="20"/>
                <w:szCs w:val="20"/>
              </w:rPr>
              <w:t>产经营相关其他费用</w:t>
            </w:r>
          </w:p>
        </w:tc>
        <w:tc>
          <w:tcPr>
            <w:tcW w:w="3045" w:type="dxa"/>
            <w:gridSpan w:val="2"/>
            <w:vAlign w:val="top"/>
          </w:tcPr>
          <w:p>
            <w:pPr>
              <w:spacing w:before="207" w:line="278" w:lineRule="exact"/>
              <w:ind w:left="98"/>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1）生产准备及开办费</w:t>
            </w:r>
          </w:p>
        </w:tc>
        <w:tc>
          <w:tcPr>
            <w:tcW w:w="3638" w:type="dxa"/>
            <w:tcBorders>
              <w:right w:val="single" w:color="000000" w:sz="6" w:space="0"/>
            </w:tcBorders>
            <w:vAlign w:val="top"/>
          </w:tcPr>
          <w:p>
            <w:pPr>
              <w:spacing w:before="207" w:line="278" w:lineRule="exact"/>
              <w:jc w:val="right"/>
              <w:rPr>
                <w:rFonts w:ascii="宋体" w:hAnsi="宋体" w:eastAsia="宋体" w:cs="宋体"/>
                <w:sz w:val="20"/>
                <w:szCs w:val="20"/>
              </w:rPr>
            </w:pPr>
            <w:r>
              <w:rPr>
                <w:rFonts w:ascii="宋体" w:hAnsi="宋体" w:eastAsia="宋体" w:cs="宋体"/>
                <w:spacing w:val="1"/>
                <w:position w:val="1"/>
                <w:sz w:val="20"/>
                <w:szCs w:val="20"/>
              </w:rPr>
              <w:t>∑〔设计定员</w:t>
            </w:r>
            <w:r>
              <w:rPr>
                <w:rFonts w:ascii="宋体" w:hAnsi="宋体" w:eastAsia="宋体" w:cs="宋体"/>
                <w:spacing w:val="-30"/>
                <w:position w:val="1"/>
                <w:sz w:val="20"/>
                <w:szCs w:val="20"/>
              </w:rPr>
              <w:t xml:space="preserve"> </w:t>
            </w:r>
            <w:r>
              <w:rPr>
                <w:rFonts w:ascii="宋体" w:hAnsi="宋体" w:eastAsia="宋体" w:cs="宋体"/>
                <w:spacing w:val="1"/>
                <w:position w:val="1"/>
                <w:sz w:val="20"/>
                <w:szCs w:val="20"/>
              </w:rPr>
              <w:t>×分类指标（元／人）〕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8" w:hRule="atLeast"/>
        </w:trPr>
        <w:tc>
          <w:tcPr>
            <w:tcW w:w="693" w:type="dxa"/>
            <w:vMerge w:val="continue"/>
            <w:tcBorders>
              <w:top w:val="nil"/>
              <w:left w:val="single" w:color="000000" w:sz="6" w:space="0"/>
              <w:bottom w:val="nil"/>
            </w:tcBorders>
            <w:vAlign w:val="top"/>
          </w:tcPr>
          <w:p>
            <w:pPr>
              <w:pStyle w:val="6"/>
            </w:pPr>
          </w:p>
        </w:tc>
        <w:tc>
          <w:tcPr>
            <w:tcW w:w="1284" w:type="dxa"/>
            <w:vMerge w:val="continue"/>
            <w:tcBorders>
              <w:top w:val="nil"/>
              <w:bottom w:val="nil"/>
            </w:tcBorders>
            <w:vAlign w:val="top"/>
          </w:tcPr>
          <w:p>
            <w:pPr>
              <w:pStyle w:val="6"/>
            </w:pPr>
          </w:p>
        </w:tc>
        <w:tc>
          <w:tcPr>
            <w:tcW w:w="880" w:type="dxa"/>
            <w:vMerge w:val="continue"/>
            <w:tcBorders>
              <w:top w:val="nil"/>
              <w:bottom w:val="nil"/>
            </w:tcBorders>
            <w:vAlign w:val="top"/>
          </w:tcPr>
          <w:p>
            <w:pPr>
              <w:pStyle w:val="6"/>
            </w:pPr>
          </w:p>
        </w:tc>
        <w:tc>
          <w:tcPr>
            <w:tcW w:w="3045" w:type="dxa"/>
            <w:gridSpan w:val="2"/>
            <w:vAlign w:val="top"/>
          </w:tcPr>
          <w:p>
            <w:pPr>
              <w:pStyle w:val="6"/>
              <w:spacing w:line="242" w:lineRule="auto"/>
            </w:pPr>
          </w:p>
          <w:p>
            <w:pPr>
              <w:spacing w:before="65" w:line="278" w:lineRule="exact"/>
              <w:ind w:left="98"/>
              <w:rPr>
                <w:rFonts w:ascii="宋体" w:hAnsi="宋体" w:eastAsia="宋体" w:cs="宋体"/>
                <w:sz w:val="20"/>
                <w:szCs w:val="20"/>
              </w:rPr>
            </w:pPr>
            <w:r>
              <w:rPr>
                <w:rFonts w:ascii="宋体" w:hAnsi="宋体" w:eastAsia="宋体" w:cs="宋体"/>
                <w:spacing w:val="9"/>
                <w:position w:val="1"/>
                <w:sz w:val="20"/>
                <w:szCs w:val="20"/>
              </w:rPr>
              <w:t>（2）联合试运转费</w:t>
            </w:r>
          </w:p>
        </w:tc>
        <w:tc>
          <w:tcPr>
            <w:tcW w:w="3638" w:type="dxa"/>
            <w:tcBorders>
              <w:right w:val="single" w:color="000000" w:sz="6" w:space="0"/>
            </w:tcBorders>
            <w:vAlign w:val="top"/>
          </w:tcPr>
          <w:p>
            <w:pPr>
              <w:spacing w:before="134" w:line="274" w:lineRule="auto"/>
              <w:ind w:left="110" w:right="103"/>
              <w:rPr>
                <w:rFonts w:ascii="宋体" w:hAnsi="宋体" w:eastAsia="宋体" w:cs="宋体"/>
                <w:sz w:val="20"/>
                <w:szCs w:val="20"/>
              </w:rPr>
            </w:pPr>
            <w:r>
              <w:rPr>
                <w:rFonts w:ascii="宋体" w:hAnsi="宋体" w:eastAsia="宋体" w:cs="宋体"/>
                <w:spacing w:val="19"/>
                <w:sz w:val="20"/>
                <w:szCs w:val="20"/>
              </w:rPr>
              <w:t>联合试运转费用支出-联合试运转收</w:t>
            </w:r>
            <w:r>
              <w:rPr>
                <w:rFonts w:ascii="宋体" w:hAnsi="宋体" w:eastAsia="宋体" w:cs="宋体"/>
                <w:spacing w:val="4"/>
                <w:sz w:val="20"/>
                <w:szCs w:val="20"/>
              </w:rPr>
              <w:t>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7" w:hRule="atLeast"/>
        </w:trPr>
        <w:tc>
          <w:tcPr>
            <w:tcW w:w="693" w:type="dxa"/>
            <w:vMerge w:val="continue"/>
            <w:tcBorders>
              <w:top w:val="nil"/>
              <w:left w:val="single" w:color="000000" w:sz="6" w:space="0"/>
              <w:bottom w:val="single" w:color="000000" w:sz="6" w:space="0"/>
            </w:tcBorders>
            <w:vAlign w:val="top"/>
          </w:tcPr>
          <w:p>
            <w:pPr>
              <w:pStyle w:val="6"/>
            </w:pPr>
          </w:p>
        </w:tc>
        <w:tc>
          <w:tcPr>
            <w:tcW w:w="1284" w:type="dxa"/>
            <w:vMerge w:val="continue"/>
            <w:tcBorders>
              <w:top w:val="nil"/>
              <w:bottom w:val="single" w:color="000000" w:sz="6" w:space="0"/>
            </w:tcBorders>
            <w:vAlign w:val="top"/>
          </w:tcPr>
          <w:p>
            <w:pPr>
              <w:pStyle w:val="6"/>
            </w:pPr>
          </w:p>
        </w:tc>
        <w:tc>
          <w:tcPr>
            <w:tcW w:w="880" w:type="dxa"/>
            <w:vMerge w:val="continue"/>
            <w:tcBorders>
              <w:top w:val="nil"/>
              <w:bottom w:val="single" w:color="000000" w:sz="6" w:space="0"/>
            </w:tcBorders>
            <w:vAlign w:val="top"/>
          </w:tcPr>
          <w:p>
            <w:pPr>
              <w:pStyle w:val="6"/>
            </w:pPr>
          </w:p>
        </w:tc>
        <w:tc>
          <w:tcPr>
            <w:tcW w:w="3045" w:type="dxa"/>
            <w:gridSpan w:val="2"/>
            <w:tcBorders>
              <w:bottom w:val="single" w:color="000000" w:sz="6" w:space="0"/>
            </w:tcBorders>
            <w:vAlign w:val="top"/>
          </w:tcPr>
          <w:p>
            <w:pPr>
              <w:spacing w:before="302" w:line="278" w:lineRule="exact"/>
              <w:ind w:left="98"/>
              <w:rPr>
                <w:rFonts w:ascii="宋体" w:hAnsi="宋体" w:eastAsia="宋体" w:cs="宋体"/>
                <w:sz w:val="20"/>
                <w:szCs w:val="20"/>
              </w:rPr>
            </w:pPr>
            <w:r>
              <w:rPr>
                <w:rFonts w:ascii="宋体" w:hAnsi="宋体" w:eastAsia="宋体" w:cs="宋体"/>
                <w:spacing w:val="9"/>
                <w:position w:val="1"/>
                <w:sz w:val="20"/>
                <w:szCs w:val="20"/>
              </w:rPr>
              <w:t>（3）其他费用等</w:t>
            </w:r>
          </w:p>
        </w:tc>
        <w:tc>
          <w:tcPr>
            <w:tcW w:w="3638" w:type="dxa"/>
            <w:tcBorders>
              <w:bottom w:val="single" w:color="000000" w:sz="6" w:space="0"/>
              <w:right w:val="single" w:color="000000" w:sz="6" w:space="0"/>
            </w:tcBorders>
            <w:vAlign w:val="top"/>
          </w:tcPr>
          <w:p>
            <w:pPr>
              <w:spacing w:before="128" w:line="276" w:lineRule="auto"/>
              <w:ind w:left="110" w:right="103" w:firstLine="3"/>
              <w:rPr>
                <w:rFonts w:ascii="宋体" w:hAnsi="宋体" w:eastAsia="宋体" w:cs="宋体"/>
                <w:sz w:val="20"/>
                <w:szCs w:val="20"/>
              </w:rPr>
            </w:pPr>
            <w:r>
              <w:rPr>
                <w:rFonts w:ascii="宋体" w:hAnsi="宋体" w:eastAsia="宋体" w:cs="宋体"/>
                <w:spacing w:val="10"/>
                <w:sz w:val="20"/>
                <w:szCs w:val="20"/>
              </w:rPr>
              <w:t>可根据项目实际需要的费用内容</w:t>
            </w:r>
            <w:r>
              <w:rPr>
                <w:rFonts w:ascii="宋体" w:hAnsi="宋体" w:eastAsia="宋体" w:cs="宋体"/>
                <w:spacing w:val="-51"/>
                <w:sz w:val="20"/>
                <w:szCs w:val="20"/>
              </w:rPr>
              <w:t xml:space="preserve"> </w:t>
            </w:r>
            <w:r>
              <w:rPr>
                <w:rFonts w:ascii="宋体" w:hAnsi="宋体" w:eastAsia="宋体" w:cs="宋体"/>
                <w:spacing w:val="10"/>
                <w:sz w:val="20"/>
                <w:szCs w:val="20"/>
              </w:rPr>
              <w:t>，按</w:t>
            </w:r>
            <w:r>
              <w:rPr>
                <w:rFonts w:ascii="宋体" w:hAnsi="宋体" w:eastAsia="宋体" w:cs="宋体"/>
                <w:spacing w:val="8"/>
                <w:sz w:val="20"/>
                <w:szCs w:val="20"/>
              </w:rPr>
              <w:t>有关规定计算</w:t>
            </w:r>
          </w:p>
        </w:tc>
      </w:tr>
    </w:tbl>
    <w:p>
      <w:pPr>
        <w:rPr>
          <w:rFonts w:ascii="Arial"/>
          <w:sz w:val="21"/>
        </w:rPr>
      </w:pPr>
    </w:p>
    <w:p>
      <w:pPr>
        <w:rPr>
          <w:rFonts w:ascii="Arial" w:hAnsi="Arial" w:eastAsia="Arial" w:cs="Arial"/>
          <w:sz w:val="21"/>
          <w:szCs w:val="21"/>
        </w:rPr>
        <w:sectPr>
          <w:footerReference r:id="rId10" w:type="default"/>
          <w:pgSz w:w="11905" w:h="16840"/>
          <w:pgMar w:top="1416" w:right="1175" w:bottom="1213" w:left="1174" w:header="0" w:footer="898" w:gutter="0"/>
        </w:sectPr>
      </w:pPr>
    </w:p>
    <w:tbl>
      <w:tblPr>
        <w:tblStyle w:val="5"/>
        <w:tblW w:w="954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1284"/>
        <w:gridCol w:w="3925"/>
        <w:gridCol w:w="36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693" w:type="dxa"/>
            <w:tcBorders>
              <w:top w:val="single" w:color="000000" w:sz="6" w:space="0"/>
              <w:left w:val="single" w:color="000000" w:sz="6" w:space="0"/>
            </w:tcBorders>
            <w:vAlign w:val="top"/>
          </w:tcPr>
          <w:p>
            <w:pPr>
              <w:spacing w:before="107" w:line="176" w:lineRule="auto"/>
              <w:ind w:left="129"/>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1284" w:type="dxa"/>
            <w:tcBorders>
              <w:top w:val="single" w:color="000000" w:sz="6" w:space="0"/>
            </w:tcBorders>
            <w:vAlign w:val="top"/>
          </w:tcPr>
          <w:p>
            <w:pPr>
              <w:spacing w:before="107" w:line="176" w:lineRule="auto"/>
              <w:ind w:left="229"/>
              <w:rPr>
                <w:rFonts w:ascii="微软雅黑" w:hAnsi="微软雅黑" w:eastAsia="微软雅黑" w:cs="微软雅黑"/>
                <w:sz w:val="20"/>
                <w:szCs w:val="20"/>
              </w:rPr>
            </w:pPr>
            <w:r>
              <w:rPr>
                <w:rFonts w:ascii="微软雅黑" w:hAnsi="微软雅黑" w:eastAsia="微软雅黑" w:cs="微软雅黑"/>
                <w:spacing w:val="5"/>
                <w:sz w:val="20"/>
                <w:szCs w:val="20"/>
              </w:rPr>
              <w:t>费用类别</w:t>
            </w:r>
          </w:p>
        </w:tc>
        <w:tc>
          <w:tcPr>
            <w:tcW w:w="3925" w:type="dxa"/>
            <w:tcBorders>
              <w:top w:val="single" w:color="000000" w:sz="6" w:space="0"/>
            </w:tcBorders>
            <w:vAlign w:val="top"/>
          </w:tcPr>
          <w:p>
            <w:pPr>
              <w:spacing w:before="107" w:line="176" w:lineRule="auto"/>
              <w:ind w:left="1551"/>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3638" w:type="dxa"/>
            <w:tcBorders>
              <w:top w:val="single" w:color="000000" w:sz="6" w:space="0"/>
              <w:right w:val="single" w:color="000000" w:sz="6" w:space="0"/>
            </w:tcBorders>
            <w:vAlign w:val="top"/>
          </w:tcPr>
          <w:p>
            <w:pPr>
              <w:spacing w:before="107" w:line="176" w:lineRule="auto"/>
              <w:ind w:left="1404"/>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99" w:hRule="atLeast"/>
        </w:trPr>
        <w:tc>
          <w:tcPr>
            <w:tcW w:w="693" w:type="dxa"/>
            <w:vMerge w:val="restart"/>
            <w:tcBorders>
              <w:left w:val="single" w:color="000000" w:sz="6" w:space="0"/>
              <w:bottom w:val="nil"/>
            </w:tcBorders>
            <w:vAlign w:val="top"/>
          </w:tcPr>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spacing w:before="65" w:line="199" w:lineRule="auto"/>
              <w:ind w:left="257"/>
              <w:rPr>
                <w:rFonts w:ascii="宋体" w:hAnsi="宋体" w:eastAsia="宋体" w:cs="宋体"/>
                <w:sz w:val="20"/>
                <w:szCs w:val="20"/>
              </w:rPr>
            </w:pPr>
            <w:r>
              <w:rPr>
                <w:rFonts w:ascii="宋体" w:hAnsi="宋体" w:eastAsia="宋体" w:cs="宋体"/>
                <w:sz w:val="20"/>
                <w:szCs w:val="20"/>
              </w:rPr>
              <w:t>四</w:t>
            </w:r>
          </w:p>
        </w:tc>
        <w:tc>
          <w:tcPr>
            <w:tcW w:w="1284" w:type="dxa"/>
            <w:vMerge w:val="restart"/>
            <w:tcBorders>
              <w:bottom w:val="nil"/>
            </w:tcBorders>
            <w:vAlign w:val="top"/>
          </w:tcPr>
          <w:p>
            <w:pPr>
              <w:pStyle w:val="6"/>
              <w:spacing w:line="258"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spacing w:before="65" w:line="223" w:lineRule="auto"/>
              <w:ind w:left="326"/>
              <w:rPr>
                <w:rFonts w:ascii="宋体" w:hAnsi="宋体" w:eastAsia="宋体" w:cs="宋体"/>
                <w:sz w:val="20"/>
                <w:szCs w:val="20"/>
              </w:rPr>
            </w:pPr>
            <w:r>
              <w:rPr>
                <w:rFonts w:ascii="宋体" w:hAnsi="宋体" w:eastAsia="宋体" w:cs="宋体"/>
                <w:spacing w:val="6"/>
                <w:sz w:val="20"/>
                <w:szCs w:val="20"/>
              </w:rPr>
              <w:t>预备费</w:t>
            </w:r>
          </w:p>
        </w:tc>
        <w:tc>
          <w:tcPr>
            <w:tcW w:w="3925" w:type="dxa"/>
            <w:vAlign w:val="top"/>
          </w:tcPr>
          <w:p>
            <w:pPr>
              <w:pStyle w:val="6"/>
              <w:spacing w:line="285" w:lineRule="auto"/>
            </w:pPr>
          </w:p>
          <w:p>
            <w:pPr>
              <w:pStyle w:val="6"/>
              <w:spacing w:line="286" w:lineRule="auto"/>
            </w:pPr>
          </w:p>
          <w:p>
            <w:pPr>
              <w:pStyle w:val="6"/>
              <w:spacing w:line="286" w:lineRule="auto"/>
            </w:pPr>
          </w:p>
          <w:p>
            <w:pPr>
              <w:spacing w:before="65" w:line="277" w:lineRule="exact"/>
              <w:ind w:left="125"/>
              <w:rPr>
                <w:rFonts w:ascii="宋体" w:hAnsi="宋体" w:eastAsia="宋体" w:cs="宋体"/>
                <w:sz w:val="20"/>
                <w:szCs w:val="20"/>
              </w:rPr>
            </w:pPr>
            <w:r>
              <w:rPr>
                <w:rFonts w:ascii="宋体" w:hAnsi="宋体" w:eastAsia="宋体" w:cs="宋体"/>
                <w:spacing w:val="-3"/>
                <w:position w:val="1"/>
                <w:sz w:val="20"/>
                <w:szCs w:val="20"/>
              </w:rPr>
              <w:t>1.基本预备费</w:t>
            </w:r>
          </w:p>
        </w:tc>
        <w:tc>
          <w:tcPr>
            <w:tcW w:w="3638" w:type="dxa"/>
            <w:tcBorders>
              <w:right w:val="single" w:color="000000" w:sz="6" w:space="0"/>
            </w:tcBorders>
            <w:vAlign w:val="top"/>
          </w:tcPr>
          <w:p>
            <w:pPr>
              <w:pStyle w:val="6"/>
              <w:spacing w:line="319" w:lineRule="auto"/>
            </w:pPr>
          </w:p>
          <w:p>
            <w:pPr>
              <w:spacing w:before="65" w:line="337" w:lineRule="auto"/>
              <w:ind w:left="108" w:right="103" w:hanging="7"/>
              <w:jc w:val="both"/>
              <w:rPr>
                <w:rFonts w:ascii="宋体" w:hAnsi="宋体" w:eastAsia="宋体" w:cs="宋体"/>
                <w:sz w:val="20"/>
                <w:szCs w:val="20"/>
              </w:rPr>
            </w:pPr>
            <w:r>
              <w:rPr>
                <w:rFonts w:ascii="宋体" w:hAnsi="宋体" w:eastAsia="宋体" w:cs="宋体"/>
                <w:spacing w:val="7"/>
                <w:sz w:val="20"/>
                <w:szCs w:val="20"/>
              </w:rPr>
              <w:t>（工程费用+工程建设其他费用）×基</w:t>
            </w:r>
            <w:r>
              <w:rPr>
                <w:rFonts w:ascii="宋体" w:hAnsi="宋体" w:eastAsia="宋体" w:cs="宋体"/>
                <w:spacing w:val="13"/>
                <w:sz w:val="20"/>
                <w:szCs w:val="20"/>
              </w:rPr>
              <w:t>本预备费费率（应按国家及有关部门</w:t>
            </w:r>
            <w:r>
              <w:rPr>
                <w:rFonts w:ascii="宋体" w:hAnsi="宋体" w:eastAsia="宋体" w:cs="宋体"/>
                <w:spacing w:val="8"/>
                <w:sz w:val="20"/>
                <w:szCs w:val="20"/>
              </w:rPr>
              <w:t>的规定取值</w:t>
            </w:r>
            <w:r>
              <w:rPr>
                <w:rFonts w:ascii="宋体" w:hAnsi="宋体" w:eastAsia="宋体" w:cs="宋体"/>
                <w:spacing w:val="-56"/>
                <w:sz w:val="20"/>
                <w:szCs w:val="20"/>
              </w:rPr>
              <w:t xml:space="preserve"> </w:t>
            </w:r>
            <w:r>
              <w:rPr>
                <w:rFonts w:ascii="宋体" w:hAnsi="宋体" w:eastAsia="宋体" w:cs="宋体"/>
                <w:spacing w:val="8"/>
                <w:sz w:val="20"/>
                <w:szCs w:val="20"/>
              </w:rPr>
              <w:t>，如无规定时</w:t>
            </w:r>
            <w:r>
              <w:rPr>
                <w:rFonts w:ascii="宋体" w:hAnsi="宋体" w:eastAsia="宋体" w:cs="宋体"/>
                <w:spacing w:val="-59"/>
                <w:sz w:val="20"/>
                <w:szCs w:val="20"/>
              </w:rPr>
              <w:t xml:space="preserve"> </w:t>
            </w:r>
            <w:r>
              <w:rPr>
                <w:rFonts w:ascii="宋体" w:hAnsi="宋体" w:eastAsia="宋体" w:cs="宋体"/>
                <w:spacing w:val="8"/>
                <w:sz w:val="20"/>
                <w:szCs w:val="20"/>
              </w:rPr>
              <w:t>，一般可根</w:t>
            </w:r>
            <w:r>
              <w:rPr>
                <w:rFonts w:ascii="宋体" w:hAnsi="宋体" w:eastAsia="宋体" w:cs="宋体"/>
                <w:spacing w:val="13"/>
                <w:sz w:val="20"/>
                <w:szCs w:val="20"/>
              </w:rPr>
              <w:t>据工程具体情况按5%</w:t>
            </w:r>
            <w:r>
              <w:rPr>
                <w:rFonts w:ascii="宋体" w:hAnsi="宋体" w:eastAsia="宋体" w:cs="宋体"/>
                <w:spacing w:val="-54"/>
                <w:sz w:val="20"/>
                <w:szCs w:val="20"/>
              </w:rPr>
              <w:t xml:space="preserve"> </w:t>
            </w:r>
            <w:r>
              <w:rPr>
                <w:rFonts w:ascii="宋体" w:hAnsi="宋体" w:eastAsia="宋体" w:cs="宋体"/>
                <w:spacing w:val="13"/>
                <w:sz w:val="20"/>
                <w:szCs w:val="20"/>
              </w:rPr>
              <w:t>～</w:t>
            </w:r>
            <w:r>
              <w:rPr>
                <w:rFonts w:ascii="宋体" w:hAnsi="宋体" w:eastAsia="宋体" w:cs="宋体"/>
                <w:spacing w:val="-35"/>
                <w:sz w:val="20"/>
                <w:szCs w:val="20"/>
              </w:rPr>
              <w:t xml:space="preserve"> </w:t>
            </w:r>
            <w:r>
              <w:rPr>
                <w:rFonts w:ascii="宋体" w:hAnsi="宋体" w:eastAsia="宋体" w:cs="宋体"/>
                <w:spacing w:val="13"/>
                <w:sz w:val="20"/>
                <w:szCs w:val="20"/>
              </w:rPr>
              <w:t>10%计算）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5" w:hRule="atLeast"/>
        </w:trPr>
        <w:tc>
          <w:tcPr>
            <w:tcW w:w="693" w:type="dxa"/>
            <w:vMerge w:val="continue"/>
            <w:tcBorders>
              <w:top w:val="nil"/>
              <w:left w:val="single" w:color="000000" w:sz="6" w:space="0"/>
            </w:tcBorders>
            <w:vAlign w:val="top"/>
          </w:tcPr>
          <w:p>
            <w:pPr>
              <w:pStyle w:val="6"/>
            </w:pPr>
          </w:p>
        </w:tc>
        <w:tc>
          <w:tcPr>
            <w:tcW w:w="1284" w:type="dxa"/>
            <w:vMerge w:val="continue"/>
            <w:tcBorders>
              <w:top w:val="nil"/>
            </w:tcBorders>
            <w:vAlign w:val="top"/>
          </w:tcPr>
          <w:p>
            <w:pPr>
              <w:pStyle w:val="6"/>
            </w:pPr>
          </w:p>
        </w:tc>
        <w:tc>
          <w:tcPr>
            <w:tcW w:w="3925" w:type="dxa"/>
            <w:vAlign w:val="top"/>
          </w:tcPr>
          <w:p>
            <w:pPr>
              <w:pStyle w:val="6"/>
              <w:spacing w:line="292" w:lineRule="auto"/>
            </w:pPr>
          </w:p>
          <w:p>
            <w:pPr>
              <w:spacing w:before="65" w:line="276" w:lineRule="exact"/>
              <w:ind w:left="108"/>
              <w:rPr>
                <w:rFonts w:ascii="宋体" w:hAnsi="宋体" w:eastAsia="宋体" w:cs="宋体"/>
                <w:sz w:val="20"/>
                <w:szCs w:val="20"/>
              </w:rPr>
            </w:pPr>
            <w:r>
              <w:rPr>
                <w:rFonts w:ascii="宋体" w:hAnsi="宋体" w:eastAsia="宋体" w:cs="宋体"/>
                <w:spacing w:val="-1"/>
                <w:position w:val="1"/>
                <w:sz w:val="20"/>
                <w:szCs w:val="20"/>
              </w:rPr>
              <w:t>2.价差预备费</w:t>
            </w:r>
          </w:p>
        </w:tc>
        <w:tc>
          <w:tcPr>
            <w:tcW w:w="3638" w:type="dxa"/>
            <w:tcBorders>
              <w:right w:val="single" w:color="000000" w:sz="6" w:space="0"/>
            </w:tcBorders>
            <w:vAlign w:val="top"/>
          </w:tcPr>
          <w:p>
            <w:pPr>
              <w:spacing w:before="26" w:line="770" w:lineRule="exact"/>
              <w:ind w:left="168"/>
            </w:pPr>
            <w:r>
              <w:rPr>
                <w:position w:val="-15"/>
              </w:rPr>
              <w:drawing>
                <wp:inline distT="0" distB="0" distL="0" distR="0">
                  <wp:extent cx="2042795" cy="48831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61"/>
                          <a:stretch>
                            <a:fillRect/>
                          </a:stretch>
                        </pic:blipFill>
                        <pic:spPr>
                          <a:xfrm>
                            <a:off x="0" y="0"/>
                            <a:ext cx="2042888" cy="488849"/>
                          </a:xfrm>
                          <a:prstGeom prst="rect">
                            <a:avLst/>
                          </a:prstGeom>
                        </pic:spPr>
                      </pic:pic>
                    </a:graphicData>
                  </a:graphic>
                </wp:inline>
              </w:drawing>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9" w:hRule="atLeast"/>
        </w:trPr>
        <w:tc>
          <w:tcPr>
            <w:tcW w:w="693" w:type="dxa"/>
            <w:tcBorders>
              <w:left w:val="single" w:color="000000" w:sz="6" w:space="0"/>
            </w:tcBorders>
            <w:vAlign w:val="top"/>
          </w:tcPr>
          <w:p>
            <w:pPr>
              <w:spacing w:before="252" w:line="201" w:lineRule="auto"/>
              <w:ind w:left="240"/>
              <w:rPr>
                <w:rFonts w:ascii="宋体" w:hAnsi="宋体" w:eastAsia="宋体" w:cs="宋体"/>
                <w:sz w:val="20"/>
                <w:szCs w:val="20"/>
              </w:rPr>
            </w:pPr>
            <w:r>
              <w:rPr>
                <w:rFonts w:ascii="宋体" w:hAnsi="宋体" w:eastAsia="宋体" w:cs="宋体"/>
                <w:sz w:val="20"/>
                <w:szCs w:val="20"/>
              </w:rPr>
              <w:t>五</w:t>
            </w:r>
          </w:p>
        </w:tc>
        <w:tc>
          <w:tcPr>
            <w:tcW w:w="5209" w:type="dxa"/>
            <w:gridSpan w:val="2"/>
            <w:vAlign w:val="top"/>
          </w:tcPr>
          <w:p>
            <w:pPr>
              <w:spacing w:before="231" w:line="278" w:lineRule="exact"/>
              <w:ind w:left="109"/>
              <w:rPr>
                <w:rFonts w:ascii="宋体" w:hAnsi="宋体" w:eastAsia="宋体" w:cs="宋体"/>
                <w:sz w:val="20"/>
                <w:szCs w:val="20"/>
              </w:rPr>
            </w:pPr>
            <w:r>
              <w:rPr>
                <w:rFonts w:ascii="宋体" w:hAnsi="宋体" w:eastAsia="宋体" w:cs="宋体"/>
                <w:spacing w:val="9"/>
                <w:position w:val="1"/>
                <w:sz w:val="20"/>
                <w:szCs w:val="20"/>
              </w:rPr>
              <w:t>资金筹措费（建设期贷款利息）</w:t>
            </w:r>
          </w:p>
        </w:tc>
        <w:tc>
          <w:tcPr>
            <w:tcW w:w="3638"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693" w:type="dxa"/>
            <w:tcBorders>
              <w:left w:val="single" w:color="000000" w:sz="6" w:space="0"/>
            </w:tcBorders>
            <w:vAlign w:val="top"/>
          </w:tcPr>
          <w:p>
            <w:pPr>
              <w:spacing w:before="177" w:line="206" w:lineRule="auto"/>
              <w:ind w:left="235"/>
              <w:rPr>
                <w:rFonts w:ascii="宋体" w:hAnsi="宋体" w:eastAsia="宋体" w:cs="宋体"/>
                <w:sz w:val="20"/>
                <w:szCs w:val="20"/>
              </w:rPr>
            </w:pPr>
            <w:r>
              <w:rPr>
                <w:rFonts w:ascii="宋体" w:hAnsi="宋体" w:eastAsia="宋体" w:cs="宋体"/>
                <w:spacing w:val="4"/>
                <w:sz w:val="20"/>
                <w:szCs w:val="20"/>
              </w:rPr>
              <w:t>六</w:t>
            </w:r>
          </w:p>
        </w:tc>
        <w:tc>
          <w:tcPr>
            <w:tcW w:w="5209" w:type="dxa"/>
            <w:gridSpan w:val="2"/>
            <w:vAlign w:val="top"/>
          </w:tcPr>
          <w:p>
            <w:pPr>
              <w:spacing w:before="167" w:line="221" w:lineRule="auto"/>
              <w:ind w:left="106"/>
              <w:rPr>
                <w:rFonts w:ascii="宋体" w:hAnsi="宋体" w:eastAsia="宋体" w:cs="宋体"/>
                <w:sz w:val="20"/>
                <w:szCs w:val="20"/>
              </w:rPr>
            </w:pPr>
            <w:r>
              <w:rPr>
                <w:rFonts w:ascii="宋体" w:hAnsi="宋体" w:eastAsia="宋体" w:cs="宋体"/>
                <w:spacing w:val="9"/>
                <w:sz w:val="20"/>
                <w:szCs w:val="20"/>
              </w:rPr>
              <w:t>经营性铺底流动资金</w:t>
            </w:r>
          </w:p>
        </w:tc>
        <w:tc>
          <w:tcPr>
            <w:tcW w:w="3638" w:type="dxa"/>
            <w:tcBorders>
              <w:right w:val="single" w:color="000000" w:sz="6" w:space="0"/>
            </w:tcBorders>
            <w:vAlign w:val="top"/>
          </w:tcPr>
          <w:p>
            <w:pPr>
              <w:spacing w:before="167" w:line="220" w:lineRule="auto"/>
              <w:ind w:left="109"/>
              <w:rPr>
                <w:rFonts w:ascii="宋体" w:hAnsi="宋体" w:eastAsia="宋体" w:cs="宋体"/>
                <w:sz w:val="20"/>
                <w:szCs w:val="20"/>
              </w:rPr>
            </w:pPr>
            <w:r>
              <w:rPr>
                <w:rFonts w:ascii="宋体" w:hAnsi="宋体" w:eastAsia="宋体" w:cs="宋体"/>
                <w:spacing w:val="9"/>
                <w:sz w:val="20"/>
                <w:szCs w:val="20"/>
              </w:rPr>
              <w:t>按相应规定计算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trPr>
        <w:tc>
          <w:tcPr>
            <w:tcW w:w="693" w:type="dxa"/>
            <w:tcBorders>
              <w:left w:val="single" w:color="000000" w:sz="6" w:space="0"/>
              <w:bottom w:val="single" w:color="000000" w:sz="6" w:space="0"/>
            </w:tcBorders>
            <w:vAlign w:val="top"/>
          </w:tcPr>
          <w:p>
            <w:pPr>
              <w:spacing w:before="176" w:line="214" w:lineRule="auto"/>
              <w:ind w:left="234"/>
              <w:rPr>
                <w:rFonts w:ascii="宋体" w:hAnsi="宋体" w:eastAsia="宋体" w:cs="宋体"/>
                <w:sz w:val="20"/>
                <w:szCs w:val="20"/>
              </w:rPr>
            </w:pPr>
            <w:r>
              <w:rPr>
                <w:rFonts w:ascii="宋体" w:hAnsi="宋体" w:eastAsia="宋体" w:cs="宋体"/>
                <w:spacing w:val="5"/>
                <w:sz w:val="20"/>
                <w:szCs w:val="20"/>
              </w:rPr>
              <w:t>七</w:t>
            </w:r>
          </w:p>
        </w:tc>
        <w:tc>
          <w:tcPr>
            <w:tcW w:w="5209" w:type="dxa"/>
            <w:gridSpan w:val="2"/>
            <w:tcBorders>
              <w:bottom w:val="single" w:color="000000" w:sz="6" w:space="0"/>
            </w:tcBorders>
            <w:vAlign w:val="top"/>
          </w:tcPr>
          <w:p>
            <w:pPr>
              <w:spacing w:before="165" w:line="223" w:lineRule="auto"/>
              <w:ind w:left="104"/>
              <w:rPr>
                <w:rFonts w:ascii="宋体" w:hAnsi="宋体" w:eastAsia="宋体" w:cs="宋体"/>
                <w:sz w:val="20"/>
                <w:szCs w:val="20"/>
              </w:rPr>
            </w:pPr>
            <w:r>
              <w:rPr>
                <w:rFonts w:ascii="宋体" w:hAnsi="宋体" w:eastAsia="宋体" w:cs="宋体"/>
                <w:spacing w:val="9"/>
                <w:sz w:val="20"/>
                <w:szCs w:val="20"/>
              </w:rPr>
              <w:t>建设项目总投资</w:t>
            </w:r>
          </w:p>
        </w:tc>
        <w:tc>
          <w:tcPr>
            <w:tcW w:w="3638" w:type="dxa"/>
            <w:tcBorders>
              <w:bottom w:val="single" w:color="000000" w:sz="6" w:space="0"/>
              <w:right w:val="single" w:color="000000" w:sz="6" w:space="0"/>
            </w:tcBorders>
            <w:vAlign w:val="top"/>
          </w:tcPr>
          <w:p>
            <w:pPr>
              <w:spacing w:before="177" w:line="206" w:lineRule="auto"/>
              <w:ind w:left="111"/>
              <w:rPr>
                <w:rFonts w:ascii="宋体" w:hAnsi="宋体" w:eastAsia="宋体" w:cs="宋体"/>
                <w:sz w:val="20"/>
                <w:szCs w:val="20"/>
              </w:rPr>
            </w:pPr>
            <w:r>
              <w:rPr>
                <w:rFonts w:ascii="宋体" w:hAnsi="宋体" w:eastAsia="宋体" w:cs="宋体"/>
                <w:spacing w:val="10"/>
                <w:sz w:val="20"/>
                <w:szCs w:val="20"/>
              </w:rPr>
              <w:t>一+……+六</w:t>
            </w:r>
          </w:p>
        </w:tc>
      </w:tr>
    </w:tbl>
    <w:p>
      <w:pPr>
        <w:rPr>
          <w:rFonts w:ascii="Arial"/>
          <w:sz w:val="21"/>
        </w:rPr>
      </w:pPr>
    </w:p>
    <w:p>
      <w:pPr>
        <w:rPr>
          <w:rFonts w:ascii="Arial" w:hAnsi="Arial" w:eastAsia="Arial" w:cs="Arial"/>
          <w:sz w:val="21"/>
          <w:szCs w:val="21"/>
        </w:rPr>
        <w:sectPr>
          <w:footerReference r:id="rId11" w:type="default"/>
          <w:pgSz w:w="11905" w:h="16840"/>
          <w:pgMar w:top="1416" w:right="1175" w:bottom="1132" w:left="1174" w:header="0" w:footer="919" w:gutter="0"/>
        </w:sectPr>
      </w:pPr>
    </w:p>
    <w:p>
      <w:pPr>
        <w:pStyle w:val="2"/>
        <w:spacing w:before="59" w:line="241" w:lineRule="auto"/>
        <w:ind w:left="655" w:right="4213" w:firstLine="19"/>
        <w:rPr>
          <w:rFonts w:ascii="楷体" w:hAnsi="楷体" w:eastAsia="楷体" w:cs="楷体"/>
          <w:sz w:val="24"/>
          <w:szCs w:val="24"/>
        </w:rPr>
      </w:pPr>
      <w:r>
        <w:rPr>
          <w:spacing w:val="-1"/>
          <w:sz w:val="24"/>
          <w:szCs w:val="24"/>
        </w:rPr>
        <w:t>二、建筑安装工程概算费用计算程序及费率</w:t>
      </w:r>
      <w:r>
        <w:rPr>
          <w:rFonts w:ascii="楷体" w:hAnsi="楷体" w:eastAsia="楷体" w:cs="楷体"/>
          <w:sz w:val="24"/>
          <w:szCs w:val="24"/>
        </w:rPr>
        <w:t>（一）建筑安装工程概算费用计算程序</w:t>
      </w:r>
    </w:p>
    <w:p>
      <w:pPr>
        <w:pStyle w:val="2"/>
        <w:spacing w:before="74" w:line="190" w:lineRule="auto"/>
        <w:ind w:left="3253"/>
        <w:rPr>
          <w:sz w:val="20"/>
          <w:szCs w:val="20"/>
        </w:rPr>
      </w:pPr>
      <w:r>
        <w:rPr>
          <w:spacing w:val="9"/>
          <w:sz w:val="20"/>
          <w:szCs w:val="20"/>
        </w:rPr>
        <w:t>建筑安装工程概算费用计算程序</w:t>
      </w:r>
    </w:p>
    <w:tbl>
      <w:tblPr>
        <w:tblStyle w:val="5"/>
        <w:tblW w:w="941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0"/>
        <w:gridCol w:w="2753"/>
        <w:gridCol w:w="58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6" w:hRule="atLeast"/>
        </w:trPr>
        <w:tc>
          <w:tcPr>
            <w:tcW w:w="840" w:type="dxa"/>
            <w:tcBorders>
              <w:top w:val="single" w:color="000000" w:sz="6" w:space="0"/>
              <w:left w:val="single" w:color="000000" w:sz="6" w:space="0"/>
            </w:tcBorders>
            <w:vAlign w:val="top"/>
          </w:tcPr>
          <w:p>
            <w:pPr>
              <w:spacing w:before="138" w:line="201" w:lineRule="auto"/>
              <w:ind w:left="224"/>
              <w:rPr>
                <w:rFonts w:ascii="微软雅黑" w:hAnsi="微软雅黑" w:eastAsia="微软雅黑" w:cs="微软雅黑"/>
                <w:sz w:val="20"/>
                <w:szCs w:val="20"/>
              </w:rPr>
            </w:pPr>
            <w:r>
              <w:rPr>
                <w:rFonts w:ascii="微软雅黑" w:hAnsi="微软雅黑" w:eastAsia="微软雅黑" w:cs="微软雅黑"/>
                <w:spacing w:val="2"/>
                <w:sz w:val="20"/>
                <w:szCs w:val="20"/>
              </w:rPr>
              <w:t>序号</w:t>
            </w:r>
          </w:p>
        </w:tc>
        <w:tc>
          <w:tcPr>
            <w:tcW w:w="2753" w:type="dxa"/>
            <w:tcBorders>
              <w:top w:val="single" w:color="000000" w:sz="6" w:space="0"/>
            </w:tcBorders>
            <w:vAlign w:val="top"/>
          </w:tcPr>
          <w:p>
            <w:pPr>
              <w:spacing w:before="138" w:line="201" w:lineRule="auto"/>
              <w:ind w:left="964"/>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5826" w:type="dxa"/>
            <w:tcBorders>
              <w:top w:val="single" w:color="000000" w:sz="6" w:space="0"/>
              <w:right w:val="single" w:color="000000" w:sz="6" w:space="0"/>
            </w:tcBorders>
            <w:vAlign w:val="top"/>
          </w:tcPr>
          <w:p>
            <w:pPr>
              <w:spacing w:before="138" w:line="201" w:lineRule="auto"/>
              <w:ind w:left="2337"/>
              <w:rPr>
                <w:rFonts w:ascii="微软雅黑" w:hAnsi="微软雅黑" w:eastAsia="微软雅黑" w:cs="微软雅黑"/>
                <w:sz w:val="20"/>
                <w:szCs w:val="20"/>
              </w:rPr>
            </w:pPr>
            <w:r>
              <w:rPr>
                <w:rFonts w:ascii="微软雅黑" w:hAnsi="微软雅黑" w:eastAsia="微软雅黑" w:cs="微软雅黑"/>
                <w:sz w:val="20"/>
                <w:szCs w:val="20"/>
              </w:rPr>
              <w:t>计</w:t>
            </w:r>
            <w:r>
              <w:rPr>
                <w:rFonts w:ascii="微软雅黑" w:hAnsi="微软雅黑" w:eastAsia="微软雅黑" w:cs="微软雅黑"/>
                <w:spacing w:val="54"/>
                <w:sz w:val="20"/>
                <w:szCs w:val="20"/>
              </w:rPr>
              <w:t xml:space="preserve"> </w:t>
            </w:r>
            <w:r>
              <w:rPr>
                <w:rFonts w:ascii="微软雅黑" w:hAnsi="微软雅黑" w:eastAsia="微软雅黑" w:cs="微软雅黑"/>
                <w:sz w:val="20"/>
                <w:szCs w:val="20"/>
              </w:rPr>
              <w:t>算  方</w:t>
            </w:r>
            <w:r>
              <w:rPr>
                <w:rFonts w:ascii="微软雅黑" w:hAnsi="微软雅黑" w:eastAsia="微软雅黑" w:cs="微软雅黑"/>
                <w:spacing w:val="58"/>
                <w:sz w:val="20"/>
                <w:szCs w:val="20"/>
              </w:rPr>
              <w:t xml:space="preserve"> </w:t>
            </w:r>
            <w:r>
              <w:rPr>
                <w:rFonts w:ascii="微软雅黑" w:hAnsi="微软雅黑" w:eastAsia="微软雅黑" w:cs="微软雅黑"/>
                <w:sz w:val="20"/>
                <w:szCs w:val="20"/>
              </w:rPr>
              <w:t>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2" w:hRule="atLeast"/>
        </w:trPr>
        <w:tc>
          <w:tcPr>
            <w:tcW w:w="840" w:type="dxa"/>
            <w:vMerge w:val="restart"/>
            <w:tcBorders>
              <w:left w:val="single" w:color="000000" w:sz="6" w:space="0"/>
              <w:bottom w:val="nil"/>
            </w:tcBorders>
            <w:vAlign w:val="top"/>
          </w:tcPr>
          <w:p>
            <w:pPr>
              <w:pStyle w:val="6"/>
            </w:pPr>
          </w:p>
          <w:p>
            <w:pPr>
              <w:pStyle w:val="6"/>
              <w:spacing w:line="241" w:lineRule="auto"/>
            </w:pPr>
          </w:p>
          <w:p>
            <w:pPr>
              <w:pStyle w:val="6"/>
              <w:spacing w:line="241" w:lineRule="auto"/>
            </w:pPr>
          </w:p>
          <w:p>
            <w:pPr>
              <w:spacing w:before="65" w:line="157" w:lineRule="exact"/>
              <w:ind w:left="309"/>
              <w:rPr>
                <w:rFonts w:ascii="宋体" w:hAnsi="宋体" w:eastAsia="宋体" w:cs="宋体"/>
                <w:sz w:val="20"/>
                <w:szCs w:val="20"/>
              </w:rPr>
            </w:pPr>
            <w:r>
              <w:rPr>
                <w:rFonts w:ascii="宋体" w:hAnsi="宋体" w:eastAsia="宋体" w:cs="宋体"/>
                <w:spacing w:val="4"/>
                <w:position w:val="-4"/>
                <w:sz w:val="20"/>
                <w:szCs w:val="20"/>
              </w:rPr>
              <w:t>一</w:t>
            </w:r>
          </w:p>
        </w:tc>
        <w:tc>
          <w:tcPr>
            <w:tcW w:w="2753" w:type="dxa"/>
            <w:vAlign w:val="top"/>
          </w:tcPr>
          <w:p>
            <w:pPr>
              <w:pStyle w:val="6"/>
              <w:spacing w:line="434" w:lineRule="auto"/>
            </w:pPr>
          </w:p>
          <w:p>
            <w:pPr>
              <w:spacing w:before="65" w:line="220" w:lineRule="auto"/>
              <w:ind w:left="103"/>
              <w:rPr>
                <w:rFonts w:ascii="宋体" w:hAnsi="宋体" w:eastAsia="宋体" w:cs="宋体"/>
                <w:sz w:val="20"/>
                <w:szCs w:val="20"/>
              </w:rPr>
            </w:pPr>
            <w:r>
              <w:rPr>
                <w:rFonts w:ascii="宋体" w:hAnsi="宋体" w:eastAsia="宋体" w:cs="宋体"/>
                <w:spacing w:val="5"/>
                <w:sz w:val="20"/>
                <w:szCs w:val="20"/>
              </w:rPr>
              <w:t>分部分项工程费</w:t>
            </w:r>
          </w:p>
        </w:tc>
        <w:tc>
          <w:tcPr>
            <w:tcW w:w="5826" w:type="dxa"/>
            <w:tcBorders>
              <w:right w:val="single" w:color="000000" w:sz="6" w:space="0"/>
            </w:tcBorders>
            <w:vAlign w:val="top"/>
          </w:tcPr>
          <w:p>
            <w:pPr>
              <w:spacing w:before="137" w:line="306" w:lineRule="auto"/>
              <w:ind w:left="107" w:right="94" w:firstLine="28"/>
              <w:jc w:val="both"/>
              <w:rPr>
                <w:rFonts w:ascii="宋体" w:hAnsi="宋体" w:eastAsia="宋体" w:cs="宋体"/>
                <w:sz w:val="20"/>
                <w:szCs w:val="20"/>
              </w:rPr>
            </w:pPr>
            <w:r>
              <w:rPr>
                <w:rFonts w:ascii="宋体" w:hAnsi="宋体" w:eastAsia="宋体" w:cs="宋体"/>
                <w:spacing w:val="-5"/>
                <w:sz w:val="20"/>
                <w:szCs w:val="20"/>
              </w:rPr>
              <w:t>∑｛〔（人工单价</w:t>
            </w:r>
            <w:r>
              <w:rPr>
                <w:rFonts w:ascii="宋体" w:hAnsi="宋体" w:eastAsia="宋体" w:cs="宋体"/>
                <w:spacing w:val="-51"/>
                <w:sz w:val="20"/>
                <w:szCs w:val="20"/>
              </w:rPr>
              <w:t xml:space="preserve"> </w:t>
            </w:r>
            <w:r>
              <w:rPr>
                <w:rFonts w:ascii="宋体" w:hAnsi="宋体" w:eastAsia="宋体" w:cs="宋体"/>
                <w:spacing w:val="-5"/>
                <w:sz w:val="20"/>
                <w:szCs w:val="20"/>
              </w:rPr>
              <w:t>×定额工日消耗量）</w:t>
            </w:r>
            <w:r>
              <w:rPr>
                <w:rFonts w:ascii="宋体" w:hAnsi="宋体" w:eastAsia="宋体" w:cs="宋体"/>
                <w:spacing w:val="-55"/>
                <w:sz w:val="20"/>
                <w:szCs w:val="20"/>
              </w:rPr>
              <w:t xml:space="preserve"> </w:t>
            </w:r>
            <w:r>
              <w:rPr>
                <w:rFonts w:ascii="宋体" w:hAnsi="宋体" w:eastAsia="宋体" w:cs="宋体"/>
                <w:spacing w:val="-5"/>
                <w:sz w:val="20"/>
                <w:szCs w:val="20"/>
              </w:rPr>
              <w:t xml:space="preserve">+ </w:t>
            </w:r>
            <w:r>
              <w:rPr>
                <w:rFonts w:ascii="宋体" w:hAnsi="宋体" w:eastAsia="宋体" w:cs="宋体"/>
                <w:spacing w:val="-6"/>
                <w:sz w:val="20"/>
                <w:szCs w:val="20"/>
              </w:rPr>
              <w:t>∑（材料单价</w:t>
            </w:r>
            <w:r>
              <w:rPr>
                <w:rFonts w:ascii="宋体" w:hAnsi="宋体" w:eastAsia="宋体" w:cs="宋体"/>
                <w:spacing w:val="-55"/>
                <w:sz w:val="20"/>
                <w:szCs w:val="20"/>
              </w:rPr>
              <w:t xml:space="preserve"> </w:t>
            </w:r>
            <w:r>
              <w:rPr>
                <w:rFonts w:ascii="宋体" w:hAnsi="宋体" w:eastAsia="宋体" w:cs="宋体"/>
                <w:spacing w:val="-6"/>
                <w:sz w:val="20"/>
                <w:szCs w:val="20"/>
              </w:rPr>
              <w:t>×定额材</w:t>
            </w:r>
            <w:r>
              <w:rPr>
                <w:rFonts w:ascii="宋体" w:hAnsi="宋体" w:eastAsia="宋体" w:cs="宋体"/>
                <w:spacing w:val="1"/>
                <w:sz w:val="20"/>
                <w:szCs w:val="20"/>
              </w:rPr>
              <w:t>料消耗量）</w:t>
            </w:r>
            <w:r>
              <w:rPr>
                <w:rFonts w:ascii="宋体" w:hAnsi="宋体" w:eastAsia="宋体" w:cs="宋体"/>
                <w:spacing w:val="-51"/>
                <w:sz w:val="20"/>
                <w:szCs w:val="20"/>
              </w:rPr>
              <w:t xml:space="preserve"> </w:t>
            </w:r>
            <w:r>
              <w:rPr>
                <w:rFonts w:ascii="宋体" w:hAnsi="宋体" w:eastAsia="宋体" w:cs="宋体"/>
                <w:spacing w:val="1"/>
                <w:sz w:val="20"/>
                <w:szCs w:val="20"/>
              </w:rPr>
              <w:t>+ ∑（机械台班单价</w:t>
            </w:r>
            <w:r>
              <w:rPr>
                <w:rFonts w:ascii="宋体" w:hAnsi="宋体" w:eastAsia="宋体" w:cs="宋体"/>
                <w:spacing w:val="-42"/>
                <w:sz w:val="20"/>
                <w:szCs w:val="20"/>
              </w:rPr>
              <w:t xml:space="preserve"> </w:t>
            </w:r>
            <w:r>
              <w:rPr>
                <w:rFonts w:ascii="宋体" w:hAnsi="宋体" w:eastAsia="宋体" w:cs="宋体"/>
                <w:spacing w:val="1"/>
                <w:sz w:val="20"/>
                <w:szCs w:val="20"/>
              </w:rPr>
              <w:t>×定额机械台班消耗量）</w:t>
            </w:r>
            <w:r>
              <w:rPr>
                <w:rFonts w:ascii="宋体" w:hAnsi="宋体" w:eastAsia="宋体" w:cs="宋体"/>
                <w:spacing w:val="-32"/>
                <w:sz w:val="20"/>
                <w:szCs w:val="20"/>
              </w:rPr>
              <w:t xml:space="preserve"> </w:t>
            </w:r>
            <w:r>
              <w:rPr>
                <w:rFonts w:ascii="宋体" w:hAnsi="宋体" w:eastAsia="宋体" w:cs="宋体"/>
                <w:spacing w:val="1"/>
                <w:sz w:val="20"/>
                <w:szCs w:val="20"/>
              </w:rPr>
              <w:t>〕×</w:t>
            </w:r>
            <w:r>
              <w:rPr>
                <w:rFonts w:ascii="宋体" w:hAnsi="宋体" w:eastAsia="宋体" w:cs="宋体"/>
                <w:spacing w:val="6"/>
                <w:sz w:val="20"/>
                <w:szCs w:val="20"/>
              </w:rPr>
              <w:t>分部分项工程量</w:t>
            </w:r>
            <w:r>
              <w:rPr>
                <w:rFonts w:ascii="宋体" w:hAnsi="宋体" w:eastAsia="宋体" w:cs="宋体"/>
                <w:spacing w:val="-52"/>
                <w:sz w:val="20"/>
                <w:szCs w:val="20"/>
              </w:rPr>
              <w:t xml:space="preserve"> </w:t>
            </w:r>
            <w:r>
              <w:rPr>
                <w:rFonts w:ascii="宋体" w:hAnsi="宋体" w:eastAsia="宋体" w:cs="宋体"/>
                <w:spacing w:val="6"/>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840" w:type="dxa"/>
            <w:vMerge w:val="continue"/>
            <w:tcBorders>
              <w:top w:val="nil"/>
              <w:left w:val="single" w:color="000000" w:sz="6" w:space="0"/>
            </w:tcBorders>
            <w:vAlign w:val="top"/>
          </w:tcPr>
          <w:p>
            <w:pPr>
              <w:pStyle w:val="6"/>
            </w:pPr>
          </w:p>
        </w:tc>
        <w:tc>
          <w:tcPr>
            <w:tcW w:w="2753" w:type="dxa"/>
            <w:vAlign w:val="top"/>
          </w:tcPr>
          <w:p>
            <w:pPr>
              <w:spacing w:before="121"/>
              <w:ind w:left="101"/>
              <w:rPr>
                <w:rFonts w:ascii="宋体" w:hAnsi="宋体" w:eastAsia="宋体" w:cs="宋体"/>
                <w:sz w:val="20"/>
                <w:szCs w:val="20"/>
              </w:rPr>
            </w:pPr>
            <w:r>
              <w:rPr>
                <w:rFonts w:ascii="宋体" w:hAnsi="宋体" w:eastAsia="宋体" w:cs="宋体"/>
                <w:spacing w:val="11"/>
                <w:sz w:val="20"/>
                <w:szCs w:val="20"/>
              </w:rPr>
              <w:t>计费基础</w:t>
            </w:r>
            <w:r>
              <w:rPr>
                <w:rFonts w:ascii="宋体" w:hAnsi="宋体" w:eastAsia="宋体" w:cs="宋体"/>
                <w:spacing w:val="-42"/>
                <w:sz w:val="20"/>
                <w:szCs w:val="20"/>
              </w:rPr>
              <w:t xml:space="preserve"> </w:t>
            </w:r>
            <w:r>
              <w:rPr>
                <w:rFonts w:ascii="宋体" w:hAnsi="宋体" w:eastAsia="宋体" w:cs="宋体"/>
                <w:sz w:val="20"/>
                <w:szCs w:val="20"/>
              </w:rPr>
              <w:t>JD</w:t>
            </w:r>
            <w:r>
              <w:rPr>
                <w:rFonts w:ascii="宋体" w:hAnsi="宋体" w:eastAsia="宋体" w:cs="宋体"/>
                <w:spacing w:val="11"/>
                <w:sz w:val="20"/>
                <w:szCs w:val="20"/>
              </w:rPr>
              <w:t>1</w:t>
            </w:r>
          </w:p>
        </w:tc>
        <w:tc>
          <w:tcPr>
            <w:tcW w:w="5826" w:type="dxa"/>
            <w:tcBorders>
              <w:right w:val="single" w:color="000000" w:sz="6" w:space="0"/>
            </w:tcBorders>
            <w:vAlign w:val="top"/>
          </w:tcPr>
          <w:p>
            <w:pPr>
              <w:spacing w:before="127" w:line="218" w:lineRule="auto"/>
              <w:ind w:left="107"/>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0" w:type="dxa"/>
            <w:vMerge w:val="restart"/>
            <w:tcBorders>
              <w:left w:val="single" w:color="000000" w:sz="6" w:space="0"/>
              <w:bottom w:val="nil"/>
            </w:tcBorders>
            <w:vAlign w:val="top"/>
          </w:tcPr>
          <w:p>
            <w:pPr>
              <w:pStyle w:val="6"/>
              <w:spacing w:line="291" w:lineRule="auto"/>
            </w:pPr>
          </w:p>
          <w:p>
            <w:pPr>
              <w:pStyle w:val="6"/>
              <w:spacing w:line="291" w:lineRule="auto"/>
            </w:pPr>
          </w:p>
          <w:p>
            <w:pPr>
              <w:pStyle w:val="6"/>
              <w:spacing w:line="291" w:lineRule="auto"/>
            </w:pPr>
          </w:p>
          <w:p>
            <w:pPr>
              <w:pStyle w:val="6"/>
              <w:spacing w:line="292" w:lineRule="auto"/>
            </w:pPr>
          </w:p>
          <w:p>
            <w:pPr>
              <w:spacing w:before="65" w:line="192" w:lineRule="auto"/>
              <w:ind w:left="309"/>
              <w:rPr>
                <w:rFonts w:ascii="宋体" w:hAnsi="宋体" w:eastAsia="宋体" w:cs="宋体"/>
                <w:sz w:val="20"/>
                <w:szCs w:val="20"/>
              </w:rPr>
            </w:pPr>
            <w:r>
              <w:rPr>
                <w:rFonts w:ascii="宋体" w:hAnsi="宋体" w:eastAsia="宋体" w:cs="宋体"/>
                <w:spacing w:val="4"/>
                <w:sz w:val="20"/>
                <w:szCs w:val="20"/>
              </w:rPr>
              <w:t>二</w:t>
            </w:r>
          </w:p>
        </w:tc>
        <w:tc>
          <w:tcPr>
            <w:tcW w:w="2753" w:type="dxa"/>
            <w:vAlign w:val="top"/>
          </w:tcPr>
          <w:p>
            <w:pPr>
              <w:spacing w:before="148" w:line="219" w:lineRule="auto"/>
              <w:ind w:left="101"/>
              <w:rPr>
                <w:rFonts w:ascii="宋体" w:hAnsi="宋体" w:eastAsia="宋体" w:cs="宋体"/>
                <w:sz w:val="20"/>
                <w:szCs w:val="20"/>
              </w:rPr>
            </w:pPr>
            <w:r>
              <w:rPr>
                <w:rFonts w:ascii="宋体" w:hAnsi="宋体" w:eastAsia="宋体" w:cs="宋体"/>
                <w:spacing w:val="9"/>
                <w:sz w:val="20"/>
                <w:szCs w:val="20"/>
              </w:rPr>
              <w:t>措施项目费</w:t>
            </w:r>
          </w:p>
        </w:tc>
        <w:tc>
          <w:tcPr>
            <w:tcW w:w="5826" w:type="dxa"/>
            <w:tcBorders>
              <w:right w:val="single" w:color="000000" w:sz="6" w:space="0"/>
            </w:tcBorders>
            <w:vAlign w:val="top"/>
          </w:tcPr>
          <w:p>
            <w:pPr>
              <w:spacing w:before="140" w:line="275" w:lineRule="exact"/>
              <w:ind w:left="108"/>
              <w:rPr>
                <w:rFonts w:ascii="宋体" w:hAnsi="宋体" w:eastAsia="宋体" w:cs="宋体"/>
                <w:sz w:val="20"/>
                <w:szCs w:val="20"/>
              </w:rPr>
            </w:pPr>
            <w:r>
              <w:rPr>
                <w:rFonts w:ascii="宋体" w:hAnsi="宋体" w:eastAsia="宋体" w:cs="宋体"/>
                <w:spacing w:val="-11"/>
                <w:position w:val="1"/>
                <w:sz w:val="20"/>
                <w:szCs w:val="20"/>
              </w:rPr>
              <w:t>2.1+2.2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97"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pStyle w:val="6"/>
              <w:spacing w:line="254" w:lineRule="auto"/>
            </w:pPr>
          </w:p>
          <w:p>
            <w:pPr>
              <w:pStyle w:val="6"/>
              <w:spacing w:line="254" w:lineRule="auto"/>
            </w:pPr>
          </w:p>
          <w:p>
            <w:pPr>
              <w:spacing w:before="65" w:line="277" w:lineRule="exact"/>
              <w:ind w:left="104"/>
              <w:rPr>
                <w:rFonts w:ascii="宋体" w:hAnsi="宋体" w:eastAsia="宋体" w:cs="宋体"/>
                <w:sz w:val="20"/>
                <w:szCs w:val="20"/>
              </w:rPr>
            </w:pPr>
            <w:r>
              <w:rPr>
                <w:rFonts w:ascii="宋体" w:hAnsi="宋体" w:eastAsia="宋体" w:cs="宋体"/>
                <w:spacing w:val="-1"/>
                <w:position w:val="1"/>
                <w:sz w:val="20"/>
                <w:szCs w:val="20"/>
              </w:rPr>
              <w:t>2.1</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单价措施费</w:t>
            </w:r>
          </w:p>
        </w:tc>
        <w:tc>
          <w:tcPr>
            <w:tcW w:w="5826" w:type="dxa"/>
            <w:tcBorders>
              <w:right w:val="single" w:color="000000" w:sz="6" w:space="0"/>
            </w:tcBorders>
            <w:vAlign w:val="top"/>
          </w:tcPr>
          <w:p>
            <w:pPr>
              <w:spacing w:before="217" w:line="329" w:lineRule="auto"/>
              <w:ind w:left="106" w:right="94" w:firstLine="29"/>
              <w:jc w:val="both"/>
              <w:rPr>
                <w:rFonts w:ascii="宋体" w:hAnsi="宋体" w:eastAsia="宋体" w:cs="宋体"/>
                <w:sz w:val="20"/>
                <w:szCs w:val="20"/>
              </w:rPr>
            </w:pPr>
            <w:r>
              <w:rPr>
                <w:rFonts w:ascii="宋体" w:hAnsi="宋体" w:eastAsia="宋体" w:cs="宋体"/>
                <w:spacing w:val="-5"/>
                <w:sz w:val="20"/>
                <w:szCs w:val="20"/>
              </w:rPr>
              <w:t>∑｛〔（人工单价</w:t>
            </w:r>
            <w:r>
              <w:rPr>
                <w:rFonts w:ascii="宋体" w:hAnsi="宋体" w:eastAsia="宋体" w:cs="宋体"/>
                <w:spacing w:val="-51"/>
                <w:sz w:val="20"/>
                <w:szCs w:val="20"/>
              </w:rPr>
              <w:t xml:space="preserve"> </w:t>
            </w:r>
            <w:r>
              <w:rPr>
                <w:rFonts w:ascii="宋体" w:hAnsi="宋体" w:eastAsia="宋体" w:cs="宋体"/>
                <w:spacing w:val="-5"/>
                <w:sz w:val="20"/>
                <w:szCs w:val="20"/>
              </w:rPr>
              <w:t>×定额工日消耗量）</w:t>
            </w:r>
            <w:r>
              <w:rPr>
                <w:rFonts w:ascii="宋体" w:hAnsi="宋体" w:eastAsia="宋体" w:cs="宋体"/>
                <w:spacing w:val="-55"/>
                <w:sz w:val="20"/>
                <w:szCs w:val="20"/>
              </w:rPr>
              <w:t xml:space="preserve"> </w:t>
            </w:r>
            <w:r>
              <w:rPr>
                <w:rFonts w:ascii="宋体" w:hAnsi="宋体" w:eastAsia="宋体" w:cs="宋体"/>
                <w:spacing w:val="-5"/>
                <w:sz w:val="20"/>
                <w:szCs w:val="20"/>
              </w:rPr>
              <w:t xml:space="preserve">+ </w:t>
            </w:r>
            <w:r>
              <w:rPr>
                <w:rFonts w:ascii="宋体" w:hAnsi="宋体" w:eastAsia="宋体" w:cs="宋体"/>
                <w:spacing w:val="-6"/>
                <w:sz w:val="20"/>
                <w:szCs w:val="20"/>
              </w:rPr>
              <w:t>∑（材料单价</w:t>
            </w:r>
            <w:r>
              <w:rPr>
                <w:rFonts w:ascii="宋体" w:hAnsi="宋体" w:eastAsia="宋体" w:cs="宋体"/>
                <w:spacing w:val="-55"/>
                <w:sz w:val="20"/>
                <w:szCs w:val="20"/>
              </w:rPr>
              <w:t xml:space="preserve"> </w:t>
            </w:r>
            <w:r>
              <w:rPr>
                <w:rFonts w:ascii="宋体" w:hAnsi="宋体" w:eastAsia="宋体" w:cs="宋体"/>
                <w:spacing w:val="-6"/>
                <w:sz w:val="20"/>
                <w:szCs w:val="20"/>
              </w:rPr>
              <w:t>×定额材</w:t>
            </w:r>
            <w:r>
              <w:rPr>
                <w:rFonts w:ascii="宋体" w:hAnsi="宋体" w:eastAsia="宋体" w:cs="宋体"/>
                <w:spacing w:val="1"/>
                <w:sz w:val="20"/>
                <w:szCs w:val="20"/>
              </w:rPr>
              <w:t>料消耗量）</w:t>
            </w:r>
            <w:r>
              <w:rPr>
                <w:rFonts w:ascii="宋体" w:hAnsi="宋体" w:eastAsia="宋体" w:cs="宋体"/>
                <w:spacing w:val="-50"/>
                <w:sz w:val="20"/>
                <w:szCs w:val="20"/>
              </w:rPr>
              <w:t xml:space="preserve"> </w:t>
            </w:r>
            <w:r>
              <w:rPr>
                <w:rFonts w:ascii="宋体" w:hAnsi="宋体" w:eastAsia="宋体" w:cs="宋体"/>
                <w:spacing w:val="1"/>
                <w:sz w:val="20"/>
                <w:szCs w:val="20"/>
              </w:rPr>
              <w:t>+ ∑（机械台班单价</w:t>
            </w:r>
            <w:r>
              <w:rPr>
                <w:rFonts w:ascii="宋体" w:hAnsi="宋体" w:eastAsia="宋体" w:cs="宋体"/>
                <w:spacing w:val="-42"/>
                <w:sz w:val="20"/>
                <w:szCs w:val="20"/>
              </w:rPr>
              <w:t xml:space="preserve"> </w:t>
            </w:r>
            <w:r>
              <w:rPr>
                <w:rFonts w:ascii="宋体" w:hAnsi="宋体" w:eastAsia="宋体" w:cs="宋体"/>
                <w:spacing w:val="1"/>
                <w:sz w:val="20"/>
                <w:szCs w:val="20"/>
              </w:rPr>
              <w:t>×定额机械台班消耗量）</w:t>
            </w:r>
            <w:r>
              <w:rPr>
                <w:rFonts w:ascii="宋体" w:hAnsi="宋体" w:eastAsia="宋体" w:cs="宋体"/>
                <w:spacing w:val="-32"/>
                <w:sz w:val="20"/>
                <w:szCs w:val="20"/>
              </w:rPr>
              <w:t xml:space="preserve"> </w:t>
            </w:r>
            <w:r>
              <w:rPr>
                <w:rFonts w:ascii="宋体" w:hAnsi="宋体" w:eastAsia="宋体" w:cs="宋体"/>
                <w:spacing w:val="1"/>
                <w:sz w:val="20"/>
                <w:szCs w:val="20"/>
              </w:rPr>
              <w:t>〕×</w:t>
            </w:r>
            <w:r>
              <w:rPr>
                <w:rFonts w:ascii="宋体" w:hAnsi="宋体" w:eastAsia="宋体" w:cs="宋体"/>
                <w:spacing w:val="6"/>
                <w:sz w:val="20"/>
                <w:szCs w:val="20"/>
              </w:rPr>
              <w:t>单价措施项目工程量</w:t>
            </w:r>
            <w:r>
              <w:rPr>
                <w:rFonts w:ascii="宋体" w:hAnsi="宋体" w:eastAsia="宋体" w:cs="宋体"/>
                <w:spacing w:val="-51"/>
                <w:sz w:val="20"/>
                <w:szCs w:val="20"/>
              </w:rPr>
              <w:t xml:space="preserve"> </w:t>
            </w:r>
            <w:r>
              <w:rPr>
                <w:rFonts w:ascii="宋体" w:hAnsi="宋体" w:eastAsia="宋体" w:cs="宋体"/>
                <w:spacing w:val="6"/>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29"/>
              <w:ind w:left="104"/>
              <w:rPr>
                <w:rFonts w:ascii="宋体" w:hAnsi="宋体" w:eastAsia="宋体" w:cs="宋体"/>
                <w:sz w:val="20"/>
                <w:szCs w:val="20"/>
              </w:rPr>
            </w:pPr>
            <w:r>
              <w:rPr>
                <w:rFonts w:ascii="宋体" w:hAnsi="宋体" w:eastAsia="宋体" w:cs="宋体"/>
                <w:spacing w:val="-2"/>
                <w:sz w:val="20"/>
                <w:szCs w:val="20"/>
              </w:rPr>
              <w:t>2.2</w:t>
            </w:r>
            <w:r>
              <w:rPr>
                <w:rFonts w:ascii="宋体" w:hAnsi="宋体" w:eastAsia="宋体" w:cs="宋体"/>
                <w:spacing w:val="-30"/>
                <w:sz w:val="20"/>
                <w:szCs w:val="20"/>
              </w:rPr>
              <w:t xml:space="preserve"> </w:t>
            </w:r>
            <w:r>
              <w:rPr>
                <w:rFonts w:ascii="宋体" w:hAnsi="宋体" w:eastAsia="宋体" w:cs="宋体"/>
                <w:spacing w:val="-2"/>
                <w:sz w:val="20"/>
                <w:szCs w:val="20"/>
              </w:rPr>
              <w:t>总价措施费</w:t>
            </w:r>
          </w:p>
        </w:tc>
        <w:tc>
          <w:tcPr>
            <w:tcW w:w="5826" w:type="dxa"/>
            <w:tcBorders>
              <w:right w:val="single" w:color="000000" w:sz="6" w:space="0"/>
            </w:tcBorders>
            <w:vAlign w:val="top"/>
          </w:tcPr>
          <w:p>
            <w:pPr>
              <w:spacing w:before="129"/>
              <w:ind w:left="104"/>
              <w:rPr>
                <w:rFonts w:ascii="宋体" w:hAnsi="宋体" w:eastAsia="宋体" w:cs="宋体"/>
                <w:sz w:val="20"/>
                <w:szCs w:val="20"/>
              </w:rPr>
            </w:pPr>
            <w:r>
              <w:rPr>
                <w:rFonts w:ascii="宋体" w:hAnsi="宋体" w:eastAsia="宋体" w:cs="宋体"/>
                <w:sz w:val="20"/>
                <w:szCs w:val="20"/>
              </w:rPr>
              <w:t>JD1</w:t>
            </w:r>
            <w:r>
              <w:rPr>
                <w:rFonts w:ascii="宋体" w:hAnsi="宋体" w:eastAsia="宋体" w:cs="宋体"/>
                <w:spacing w:val="-45"/>
                <w:sz w:val="20"/>
                <w:szCs w:val="20"/>
              </w:rPr>
              <w:t xml:space="preserve"> </w:t>
            </w:r>
            <w:r>
              <w:rPr>
                <w:rFonts w:ascii="宋体" w:hAnsi="宋体" w:eastAsia="宋体" w:cs="宋体"/>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840" w:type="dxa"/>
            <w:vMerge w:val="continue"/>
            <w:tcBorders>
              <w:top w:val="nil"/>
              <w:left w:val="single" w:color="000000" w:sz="6" w:space="0"/>
            </w:tcBorders>
            <w:vAlign w:val="top"/>
          </w:tcPr>
          <w:p>
            <w:pPr>
              <w:pStyle w:val="6"/>
            </w:pPr>
          </w:p>
        </w:tc>
        <w:tc>
          <w:tcPr>
            <w:tcW w:w="2753" w:type="dxa"/>
            <w:vAlign w:val="top"/>
          </w:tcPr>
          <w:p>
            <w:pPr>
              <w:spacing w:before="138" w:line="267" w:lineRule="exact"/>
              <w:ind w:left="101"/>
              <w:rPr>
                <w:rFonts w:ascii="宋体" w:hAnsi="宋体" w:eastAsia="宋体" w:cs="宋体"/>
                <w:sz w:val="20"/>
                <w:szCs w:val="20"/>
              </w:rPr>
            </w:pPr>
            <w:r>
              <w:rPr>
                <w:rFonts w:ascii="宋体" w:hAnsi="宋体" w:eastAsia="宋体" w:cs="宋体"/>
                <w:spacing w:val="11"/>
                <w:position w:val="1"/>
                <w:sz w:val="20"/>
                <w:szCs w:val="20"/>
              </w:rPr>
              <w:t>计费基础</w:t>
            </w:r>
            <w:r>
              <w:rPr>
                <w:rFonts w:ascii="宋体" w:hAnsi="宋体" w:eastAsia="宋体" w:cs="宋体"/>
                <w:spacing w:val="-42"/>
                <w:position w:val="1"/>
                <w:sz w:val="20"/>
                <w:szCs w:val="20"/>
              </w:rPr>
              <w:t xml:space="preserve"> </w:t>
            </w:r>
            <w:r>
              <w:rPr>
                <w:rFonts w:ascii="宋体" w:hAnsi="宋体" w:eastAsia="宋体" w:cs="宋体"/>
                <w:position w:val="1"/>
                <w:sz w:val="20"/>
                <w:szCs w:val="20"/>
              </w:rPr>
              <w:t>JD</w:t>
            </w:r>
            <w:r>
              <w:rPr>
                <w:rFonts w:ascii="宋体" w:hAnsi="宋体" w:eastAsia="宋体" w:cs="宋体"/>
                <w:spacing w:val="11"/>
                <w:position w:val="1"/>
                <w:sz w:val="20"/>
                <w:szCs w:val="20"/>
              </w:rPr>
              <w:t>2</w:t>
            </w:r>
          </w:p>
        </w:tc>
        <w:tc>
          <w:tcPr>
            <w:tcW w:w="5826" w:type="dxa"/>
            <w:tcBorders>
              <w:right w:val="single" w:color="000000" w:sz="6" w:space="0"/>
            </w:tcBorders>
            <w:vAlign w:val="top"/>
          </w:tcPr>
          <w:p>
            <w:pPr>
              <w:spacing w:before="143" w:line="218" w:lineRule="auto"/>
              <w:ind w:left="107"/>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0" w:type="dxa"/>
            <w:vMerge w:val="restart"/>
            <w:tcBorders>
              <w:left w:val="single" w:color="000000" w:sz="6" w:space="0"/>
              <w:bottom w:val="nil"/>
            </w:tcBorders>
            <w:vAlign w:val="top"/>
          </w:tcPr>
          <w:p>
            <w:pPr>
              <w:pStyle w:val="6"/>
              <w:spacing w:line="279" w:lineRule="auto"/>
            </w:pPr>
          </w:p>
          <w:p>
            <w:pPr>
              <w:pStyle w:val="6"/>
              <w:spacing w:line="280" w:lineRule="auto"/>
            </w:pPr>
          </w:p>
          <w:p>
            <w:pPr>
              <w:pStyle w:val="6"/>
              <w:spacing w:line="280" w:lineRule="auto"/>
            </w:pPr>
          </w:p>
          <w:p>
            <w:pPr>
              <w:spacing w:before="65" w:line="201" w:lineRule="auto"/>
              <w:ind w:left="312"/>
              <w:rPr>
                <w:rFonts w:ascii="宋体" w:hAnsi="宋体" w:eastAsia="宋体" w:cs="宋体"/>
                <w:sz w:val="20"/>
                <w:szCs w:val="20"/>
              </w:rPr>
            </w:pPr>
            <w:r>
              <w:rPr>
                <w:rFonts w:ascii="宋体" w:hAnsi="宋体" w:eastAsia="宋体" w:cs="宋体"/>
                <w:sz w:val="20"/>
                <w:szCs w:val="20"/>
              </w:rPr>
              <w:t>三</w:t>
            </w:r>
          </w:p>
        </w:tc>
        <w:tc>
          <w:tcPr>
            <w:tcW w:w="2753" w:type="dxa"/>
            <w:vAlign w:val="top"/>
          </w:tcPr>
          <w:p>
            <w:pPr>
              <w:spacing w:before="148" w:line="223" w:lineRule="auto"/>
              <w:ind w:left="101"/>
              <w:rPr>
                <w:rFonts w:ascii="宋体" w:hAnsi="宋体" w:eastAsia="宋体" w:cs="宋体"/>
                <w:sz w:val="20"/>
                <w:szCs w:val="20"/>
              </w:rPr>
            </w:pPr>
            <w:r>
              <w:rPr>
                <w:rFonts w:ascii="宋体" w:hAnsi="宋体" w:eastAsia="宋体" w:cs="宋体"/>
                <w:spacing w:val="9"/>
                <w:sz w:val="20"/>
                <w:szCs w:val="20"/>
              </w:rPr>
              <w:t>其他项目费</w:t>
            </w:r>
          </w:p>
        </w:tc>
        <w:tc>
          <w:tcPr>
            <w:tcW w:w="5826" w:type="dxa"/>
            <w:tcBorders>
              <w:right w:val="single" w:color="000000" w:sz="6" w:space="0"/>
            </w:tcBorders>
            <w:vAlign w:val="top"/>
          </w:tcPr>
          <w:p>
            <w:pPr>
              <w:spacing w:before="145" w:line="270" w:lineRule="exact"/>
              <w:ind w:left="112"/>
              <w:rPr>
                <w:rFonts w:ascii="宋体" w:hAnsi="宋体" w:eastAsia="宋体" w:cs="宋体"/>
                <w:sz w:val="20"/>
                <w:szCs w:val="20"/>
              </w:rPr>
            </w:pPr>
            <w:r>
              <w:rPr>
                <w:rFonts w:ascii="宋体" w:hAnsi="宋体" w:eastAsia="宋体" w:cs="宋体"/>
                <w:spacing w:val="-9"/>
                <w:position w:val="1"/>
                <w:sz w:val="20"/>
                <w:szCs w:val="20"/>
              </w:rPr>
              <w:t>3.1+3.2+3.3+3.4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16" w:line="220" w:lineRule="auto"/>
              <w:ind w:left="107"/>
              <w:rPr>
                <w:rFonts w:ascii="宋体" w:hAnsi="宋体" w:eastAsia="宋体" w:cs="宋体"/>
                <w:sz w:val="20"/>
                <w:szCs w:val="20"/>
              </w:rPr>
            </w:pPr>
            <w:r>
              <w:rPr>
                <w:rFonts w:ascii="宋体" w:hAnsi="宋体" w:eastAsia="宋体" w:cs="宋体"/>
                <w:spacing w:val="1"/>
                <w:sz w:val="20"/>
                <w:szCs w:val="20"/>
              </w:rPr>
              <w:t>3.1</w:t>
            </w:r>
            <w:r>
              <w:rPr>
                <w:rFonts w:ascii="宋体" w:hAnsi="宋体" w:eastAsia="宋体" w:cs="宋体"/>
                <w:spacing w:val="-39"/>
                <w:sz w:val="20"/>
                <w:szCs w:val="20"/>
              </w:rPr>
              <w:t xml:space="preserve"> </w:t>
            </w:r>
            <w:r>
              <w:rPr>
                <w:rFonts w:ascii="宋体" w:hAnsi="宋体" w:eastAsia="宋体" w:cs="宋体"/>
                <w:spacing w:val="1"/>
                <w:sz w:val="20"/>
                <w:szCs w:val="20"/>
              </w:rPr>
              <w:t>特殊项目暂估价</w:t>
            </w:r>
          </w:p>
        </w:tc>
        <w:tc>
          <w:tcPr>
            <w:tcW w:w="5826" w:type="dxa"/>
            <w:vMerge w:val="restart"/>
            <w:tcBorders>
              <w:bottom w:val="nil"/>
              <w:right w:val="single" w:color="000000" w:sz="6" w:space="0"/>
            </w:tcBorders>
            <w:vAlign w:val="top"/>
          </w:tcPr>
          <w:p>
            <w:pPr>
              <w:pStyle w:val="6"/>
              <w:spacing w:line="303" w:lineRule="auto"/>
            </w:pPr>
          </w:p>
          <w:p>
            <w:pPr>
              <w:pStyle w:val="6"/>
              <w:spacing w:line="304" w:lineRule="auto"/>
            </w:pPr>
          </w:p>
          <w:p>
            <w:pPr>
              <w:spacing w:before="65" w:line="218" w:lineRule="auto"/>
              <w:ind w:left="107"/>
              <w:rPr>
                <w:rFonts w:ascii="宋体" w:hAnsi="宋体" w:eastAsia="宋体" w:cs="宋体"/>
                <w:sz w:val="20"/>
                <w:szCs w:val="20"/>
              </w:rPr>
            </w:pPr>
            <w:r>
              <w:rPr>
                <w:rFonts w:ascii="宋体" w:hAnsi="宋体" w:eastAsia="宋体" w:cs="宋体"/>
                <w:spacing w:val="5"/>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15" w:line="221" w:lineRule="auto"/>
              <w:ind w:left="107"/>
              <w:rPr>
                <w:rFonts w:ascii="宋体" w:hAnsi="宋体" w:eastAsia="宋体" w:cs="宋体"/>
                <w:sz w:val="20"/>
                <w:szCs w:val="20"/>
              </w:rPr>
            </w:pPr>
            <w:r>
              <w:rPr>
                <w:rFonts w:ascii="宋体" w:hAnsi="宋体" w:eastAsia="宋体" w:cs="宋体"/>
                <w:spacing w:val="-1"/>
                <w:sz w:val="20"/>
                <w:szCs w:val="20"/>
              </w:rPr>
              <w:t>3.2</w:t>
            </w:r>
            <w:r>
              <w:rPr>
                <w:rFonts w:ascii="宋体" w:hAnsi="宋体" w:eastAsia="宋体" w:cs="宋体"/>
                <w:spacing w:val="-32"/>
                <w:sz w:val="20"/>
                <w:szCs w:val="20"/>
              </w:rPr>
              <w:t xml:space="preserve"> </w:t>
            </w:r>
            <w:r>
              <w:rPr>
                <w:rFonts w:ascii="宋体" w:hAnsi="宋体" w:eastAsia="宋体" w:cs="宋体"/>
                <w:spacing w:val="-1"/>
                <w:sz w:val="20"/>
                <w:szCs w:val="20"/>
              </w:rPr>
              <w:t>总承包服务费</w:t>
            </w:r>
          </w:p>
        </w:tc>
        <w:tc>
          <w:tcPr>
            <w:tcW w:w="5826"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15" w:line="221" w:lineRule="auto"/>
              <w:ind w:left="107"/>
              <w:rPr>
                <w:rFonts w:ascii="宋体" w:hAnsi="宋体" w:eastAsia="宋体" w:cs="宋体"/>
                <w:sz w:val="20"/>
                <w:szCs w:val="20"/>
              </w:rPr>
            </w:pPr>
            <w:r>
              <w:rPr>
                <w:rFonts w:ascii="宋体" w:hAnsi="宋体" w:eastAsia="宋体" w:cs="宋体"/>
                <w:spacing w:val="1"/>
                <w:sz w:val="20"/>
                <w:szCs w:val="20"/>
              </w:rPr>
              <w:t>3.3</w:t>
            </w:r>
            <w:r>
              <w:rPr>
                <w:rFonts w:ascii="宋体" w:hAnsi="宋体" w:eastAsia="宋体" w:cs="宋体"/>
                <w:spacing w:val="-40"/>
                <w:sz w:val="20"/>
                <w:szCs w:val="20"/>
              </w:rPr>
              <w:t xml:space="preserve"> </w:t>
            </w:r>
            <w:r>
              <w:rPr>
                <w:rFonts w:ascii="宋体" w:hAnsi="宋体" w:eastAsia="宋体" w:cs="宋体"/>
                <w:spacing w:val="1"/>
                <w:sz w:val="20"/>
                <w:szCs w:val="20"/>
              </w:rPr>
              <w:t>其他检验试验费</w:t>
            </w:r>
          </w:p>
        </w:tc>
        <w:tc>
          <w:tcPr>
            <w:tcW w:w="5826"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tcBorders>
            <w:vAlign w:val="top"/>
          </w:tcPr>
          <w:p>
            <w:pPr>
              <w:pStyle w:val="6"/>
            </w:pPr>
          </w:p>
        </w:tc>
        <w:tc>
          <w:tcPr>
            <w:tcW w:w="2753" w:type="dxa"/>
            <w:vAlign w:val="top"/>
          </w:tcPr>
          <w:p>
            <w:pPr>
              <w:spacing w:before="114" w:line="222" w:lineRule="auto"/>
              <w:ind w:left="107"/>
              <w:rPr>
                <w:rFonts w:ascii="宋体" w:hAnsi="宋体" w:eastAsia="宋体" w:cs="宋体"/>
                <w:sz w:val="20"/>
                <w:szCs w:val="20"/>
              </w:rPr>
            </w:pPr>
            <w:r>
              <w:rPr>
                <w:rFonts w:ascii="宋体" w:hAnsi="宋体" w:eastAsia="宋体" w:cs="宋体"/>
                <w:spacing w:val="-8"/>
                <w:sz w:val="20"/>
                <w:szCs w:val="20"/>
              </w:rPr>
              <w:t>3.4</w:t>
            </w:r>
            <w:r>
              <w:rPr>
                <w:rFonts w:ascii="宋体" w:hAnsi="宋体" w:eastAsia="宋体" w:cs="宋体"/>
                <w:spacing w:val="-41"/>
                <w:sz w:val="20"/>
                <w:szCs w:val="20"/>
              </w:rPr>
              <w:t xml:space="preserve"> </w:t>
            </w:r>
            <w:r>
              <w:rPr>
                <w:rFonts w:ascii="宋体" w:hAnsi="宋体" w:eastAsia="宋体" w:cs="宋体"/>
                <w:spacing w:val="-8"/>
                <w:sz w:val="20"/>
                <w:szCs w:val="20"/>
              </w:rPr>
              <w:t>其他</w:t>
            </w:r>
          </w:p>
        </w:tc>
        <w:tc>
          <w:tcPr>
            <w:tcW w:w="5826"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4" w:hRule="atLeast"/>
        </w:trPr>
        <w:tc>
          <w:tcPr>
            <w:tcW w:w="840" w:type="dxa"/>
            <w:tcBorders>
              <w:left w:val="single" w:color="000000" w:sz="6" w:space="0"/>
            </w:tcBorders>
            <w:vAlign w:val="top"/>
          </w:tcPr>
          <w:p>
            <w:pPr>
              <w:spacing w:before="146" w:line="199" w:lineRule="auto"/>
              <w:ind w:left="330"/>
              <w:rPr>
                <w:rFonts w:ascii="宋体" w:hAnsi="宋体" w:eastAsia="宋体" w:cs="宋体"/>
                <w:sz w:val="20"/>
                <w:szCs w:val="20"/>
              </w:rPr>
            </w:pPr>
            <w:r>
              <w:rPr>
                <w:rFonts w:ascii="宋体" w:hAnsi="宋体" w:eastAsia="宋体" w:cs="宋体"/>
                <w:sz w:val="20"/>
                <w:szCs w:val="20"/>
              </w:rPr>
              <w:t>四</w:t>
            </w:r>
          </w:p>
        </w:tc>
        <w:tc>
          <w:tcPr>
            <w:tcW w:w="2753" w:type="dxa"/>
            <w:vAlign w:val="top"/>
          </w:tcPr>
          <w:p>
            <w:pPr>
              <w:spacing w:before="129" w:line="220" w:lineRule="auto"/>
              <w:ind w:left="102"/>
              <w:rPr>
                <w:rFonts w:ascii="宋体" w:hAnsi="宋体" w:eastAsia="宋体" w:cs="宋体"/>
                <w:sz w:val="20"/>
                <w:szCs w:val="20"/>
              </w:rPr>
            </w:pPr>
            <w:r>
              <w:rPr>
                <w:rFonts w:ascii="宋体" w:hAnsi="宋体" w:eastAsia="宋体" w:cs="宋体"/>
                <w:spacing w:val="8"/>
                <w:sz w:val="20"/>
                <w:szCs w:val="20"/>
              </w:rPr>
              <w:t>企业管理费</w:t>
            </w:r>
          </w:p>
        </w:tc>
        <w:tc>
          <w:tcPr>
            <w:tcW w:w="5826" w:type="dxa"/>
            <w:tcBorders>
              <w:right w:val="single" w:color="000000" w:sz="6" w:space="0"/>
            </w:tcBorders>
            <w:vAlign w:val="top"/>
          </w:tcPr>
          <w:p>
            <w:pPr>
              <w:spacing w:before="123" w:line="231" w:lineRule="auto"/>
              <w:ind w:left="98"/>
              <w:rPr>
                <w:rFonts w:ascii="宋体" w:hAnsi="宋体" w:eastAsia="宋体" w:cs="宋体"/>
                <w:sz w:val="20"/>
                <w:szCs w:val="20"/>
              </w:rPr>
            </w:pPr>
            <w:r>
              <w:rPr>
                <w:rFonts w:ascii="宋体" w:hAnsi="宋体" w:eastAsia="宋体" w:cs="宋体"/>
                <w:spacing w:val="1"/>
                <w:sz w:val="20"/>
                <w:szCs w:val="20"/>
              </w:rPr>
              <w:t>（</w:t>
            </w:r>
            <w:r>
              <w:rPr>
                <w:rFonts w:ascii="宋体" w:hAnsi="宋体" w:eastAsia="宋体" w:cs="宋体"/>
                <w:sz w:val="20"/>
                <w:szCs w:val="20"/>
              </w:rPr>
              <w:t>JD</w:t>
            </w:r>
            <w:r>
              <w:rPr>
                <w:rFonts w:ascii="宋体" w:hAnsi="宋体" w:eastAsia="宋体" w:cs="宋体"/>
                <w:spacing w:val="1"/>
                <w:sz w:val="20"/>
                <w:szCs w:val="20"/>
              </w:rPr>
              <w:t>1＋</w:t>
            </w:r>
            <w:r>
              <w:rPr>
                <w:rFonts w:ascii="宋体" w:hAnsi="宋体" w:eastAsia="宋体" w:cs="宋体"/>
                <w:sz w:val="20"/>
                <w:szCs w:val="20"/>
              </w:rPr>
              <w:t>JD</w:t>
            </w:r>
            <w:r>
              <w:rPr>
                <w:rFonts w:ascii="宋体" w:hAnsi="宋体" w:eastAsia="宋体" w:cs="宋体"/>
                <w:spacing w:val="1"/>
                <w:sz w:val="20"/>
                <w:szCs w:val="20"/>
              </w:rPr>
              <w:t>2）</w:t>
            </w:r>
            <w:r>
              <w:rPr>
                <w:rFonts w:ascii="宋体" w:hAnsi="宋体" w:eastAsia="宋体" w:cs="宋体"/>
                <w:spacing w:val="-28"/>
                <w:sz w:val="20"/>
                <w:szCs w:val="20"/>
              </w:rPr>
              <w:t xml:space="preserve"> </w:t>
            </w:r>
            <w:r>
              <w:rPr>
                <w:rFonts w:ascii="宋体" w:hAnsi="宋体" w:eastAsia="宋体" w:cs="宋体"/>
                <w:spacing w:val="1"/>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7" w:hRule="atLeast"/>
        </w:trPr>
        <w:tc>
          <w:tcPr>
            <w:tcW w:w="840" w:type="dxa"/>
            <w:tcBorders>
              <w:left w:val="single" w:color="000000" w:sz="6" w:space="0"/>
            </w:tcBorders>
            <w:vAlign w:val="top"/>
          </w:tcPr>
          <w:p>
            <w:pPr>
              <w:spacing w:before="161" w:line="201" w:lineRule="auto"/>
              <w:ind w:left="313"/>
              <w:rPr>
                <w:rFonts w:ascii="宋体" w:hAnsi="宋体" w:eastAsia="宋体" w:cs="宋体"/>
                <w:sz w:val="20"/>
                <w:szCs w:val="20"/>
              </w:rPr>
            </w:pPr>
            <w:r>
              <w:rPr>
                <w:rFonts w:ascii="宋体" w:hAnsi="宋体" w:eastAsia="宋体" w:cs="宋体"/>
                <w:sz w:val="20"/>
                <w:szCs w:val="20"/>
              </w:rPr>
              <w:t>五</w:t>
            </w:r>
          </w:p>
        </w:tc>
        <w:tc>
          <w:tcPr>
            <w:tcW w:w="2753" w:type="dxa"/>
            <w:vAlign w:val="top"/>
          </w:tcPr>
          <w:p>
            <w:pPr>
              <w:spacing w:before="148" w:line="217" w:lineRule="auto"/>
              <w:ind w:left="103"/>
              <w:rPr>
                <w:rFonts w:ascii="宋体" w:hAnsi="宋体" w:eastAsia="宋体" w:cs="宋体"/>
                <w:sz w:val="20"/>
                <w:szCs w:val="20"/>
              </w:rPr>
            </w:pPr>
            <w:r>
              <w:rPr>
                <w:rFonts w:ascii="宋体" w:hAnsi="宋体" w:eastAsia="宋体" w:cs="宋体"/>
                <w:spacing w:val="6"/>
                <w:sz w:val="20"/>
                <w:szCs w:val="20"/>
              </w:rPr>
              <w:t>利润</w:t>
            </w:r>
          </w:p>
        </w:tc>
        <w:tc>
          <w:tcPr>
            <w:tcW w:w="5826" w:type="dxa"/>
            <w:tcBorders>
              <w:right w:val="single" w:color="000000" w:sz="6" w:space="0"/>
            </w:tcBorders>
            <w:vAlign w:val="top"/>
          </w:tcPr>
          <w:p>
            <w:pPr>
              <w:spacing w:before="140" w:line="267" w:lineRule="exact"/>
              <w:ind w:left="98"/>
              <w:rPr>
                <w:rFonts w:ascii="宋体" w:hAnsi="宋体" w:eastAsia="宋体" w:cs="宋体"/>
                <w:sz w:val="20"/>
                <w:szCs w:val="20"/>
              </w:rPr>
            </w:pPr>
            <w:r>
              <w:rPr>
                <w:rFonts w:ascii="宋体" w:hAnsi="宋体" w:eastAsia="宋体" w:cs="宋体"/>
                <w:spacing w:val="2"/>
                <w:position w:val="1"/>
                <w:sz w:val="20"/>
                <w:szCs w:val="20"/>
              </w:rPr>
              <w:t>（</w:t>
            </w:r>
            <w:r>
              <w:rPr>
                <w:rFonts w:ascii="宋体" w:hAnsi="宋体" w:eastAsia="宋体" w:cs="宋体"/>
                <w:position w:val="1"/>
                <w:sz w:val="20"/>
                <w:szCs w:val="20"/>
              </w:rPr>
              <w:t>JD</w:t>
            </w:r>
            <w:r>
              <w:rPr>
                <w:rFonts w:ascii="宋体" w:hAnsi="宋体" w:eastAsia="宋体" w:cs="宋体"/>
                <w:spacing w:val="2"/>
                <w:position w:val="1"/>
                <w:sz w:val="20"/>
                <w:szCs w:val="20"/>
              </w:rPr>
              <w:t>1＋</w:t>
            </w:r>
            <w:r>
              <w:rPr>
                <w:rFonts w:ascii="宋体" w:hAnsi="宋体" w:eastAsia="宋体" w:cs="宋体"/>
                <w:position w:val="1"/>
                <w:sz w:val="20"/>
                <w:szCs w:val="20"/>
              </w:rPr>
              <w:t>JD</w:t>
            </w:r>
            <w:r>
              <w:rPr>
                <w:rFonts w:ascii="宋体" w:hAnsi="宋体" w:eastAsia="宋体" w:cs="宋体"/>
                <w:spacing w:val="2"/>
                <w:position w:val="1"/>
                <w:sz w:val="20"/>
                <w:szCs w:val="20"/>
              </w:rPr>
              <w:t>2）</w:t>
            </w:r>
            <w:r>
              <w:rPr>
                <w:rFonts w:ascii="宋体" w:hAnsi="宋体" w:eastAsia="宋体" w:cs="宋体"/>
                <w:spacing w:val="-31"/>
                <w:position w:val="1"/>
                <w:sz w:val="20"/>
                <w:szCs w:val="20"/>
              </w:rPr>
              <w:t xml:space="preserve"> </w:t>
            </w:r>
            <w:r>
              <w:rPr>
                <w:rFonts w:ascii="宋体" w:hAnsi="宋体" w:eastAsia="宋体" w:cs="宋体"/>
                <w:spacing w:val="2"/>
                <w:position w:val="1"/>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40" w:type="dxa"/>
            <w:vMerge w:val="restart"/>
            <w:tcBorders>
              <w:left w:val="single" w:color="000000" w:sz="6" w:space="0"/>
              <w:bottom w:val="nil"/>
            </w:tcBorders>
            <w:vAlign w:val="top"/>
          </w:tcPr>
          <w:p>
            <w:pPr>
              <w:pStyle w:val="6"/>
              <w:spacing w:line="271" w:lineRule="auto"/>
            </w:pPr>
          </w:p>
          <w:p>
            <w:pPr>
              <w:pStyle w:val="6"/>
              <w:spacing w:line="271" w:lineRule="auto"/>
            </w:pPr>
          </w:p>
          <w:p>
            <w:pPr>
              <w:pStyle w:val="6"/>
              <w:spacing w:line="271" w:lineRule="auto"/>
            </w:pPr>
          </w:p>
          <w:p>
            <w:pPr>
              <w:pStyle w:val="6"/>
              <w:spacing w:line="272" w:lineRule="auto"/>
            </w:pPr>
          </w:p>
          <w:p>
            <w:pPr>
              <w:spacing w:before="65" w:line="206" w:lineRule="auto"/>
              <w:ind w:left="308"/>
              <w:rPr>
                <w:rFonts w:ascii="宋体" w:hAnsi="宋体" w:eastAsia="宋体" w:cs="宋体"/>
                <w:sz w:val="20"/>
                <w:szCs w:val="20"/>
              </w:rPr>
            </w:pPr>
            <w:r>
              <w:rPr>
                <w:rFonts w:ascii="宋体" w:hAnsi="宋体" w:eastAsia="宋体" w:cs="宋体"/>
                <w:spacing w:val="4"/>
                <w:sz w:val="20"/>
                <w:szCs w:val="20"/>
              </w:rPr>
              <w:t>六</w:t>
            </w:r>
          </w:p>
        </w:tc>
        <w:tc>
          <w:tcPr>
            <w:tcW w:w="2753" w:type="dxa"/>
            <w:vAlign w:val="top"/>
          </w:tcPr>
          <w:p>
            <w:pPr>
              <w:spacing w:before="141" w:line="219" w:lineRule="auto"/>
              <w:ind w:left="103"/>
              <w:rPr>
                <w:rFonts w:ascii="宋体" w:hAnsi="宋体" w:eastAsia="宋体" w:cs="宋体"/>
                <w:sz w:val="20"/>
                <w:szCs w:val="20"/>
              </w:rPr>
            </w:pPr>
            <w:r>
              <w:rPr>
                <w:rFonts w:ascii="宋体" w:hAnsi="宋体" w:eastAsia="宋体" w:cs="宋体"/>
                <w:spacing w:val="6"/>
                <w:sz w:val="20"/>
                <w:szCs w:val="20"/>
              </w:rPr>
              <w:t>规费</w:t>
            </w:r>
          </w:p>
        </w:tc>
        <w:tc>
          <w:tcPr>
            <w:tcW w:w="5826" w:type="dxa"/>
            <w:tcBorders>
              <w:right w:val="single" w:color="000000" w:sz="6" w:space="0"/>
            </w:tcBorders>
            <w:vAlign w:val="top"/>
          </w:tcPr>
          <w:p>
            <w:pPr>
              <w:spacing w:before="134" w:line="237" w:lineRule="auto"/>
              <w:ind w:left="109"/>
              <w:rPr>
                <w:rFonts w:ascii="宋体" w:hAnsi="宋体" w:eastAsia="宋体" w:cs="宋体"/>
                <w:sz w:val="20"/>
                <w:szCs w:val="20"/>
              </w:rPr>
            </w:pPr>
            <w:r>
              <w:rPr>
                <w:rFonts w:ascii="宋体" w:hAnsi="宋体" w:eastAsia="宋体" w:cs="宋体"/>
                <w:spacing w:val="-8"/>
                <w:sz w:val="20"/>
                <w:szCs w:val="20"/>
              </w:rPr>
              <w:t>6.1+6.2+6.3+6.4+6.5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1"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45" w:line="265" w:lineRule="exact"/>
              <w:ind w:left="105"/>
              <w:rPr>
                <w:rFonts w:ascii="宋体" w:hAnsi="宋体" w:eastAsia="宋体" w:cs="宋体"/>
                <w:sz w:val="20"/>
                <w:szCs w:val="20"/>
              </w:rPr>
            </w:pPr>
            <w:r>
              <w:rPr>
                <w:rFonts w:ascii="宋体" w:hAnsi="宋体" w:eastAsia="宋体" w:cs="宋体"/>
                <w:spacing w:val="1"/>
                <w:position w:val="1"/>
                <w:sz w:val="20"/>
                <w:szCs w:val="20"/>
              </w:rPr>
              <w:t>6.1</w:t>
            </w:r>
            <w:r>
              <w:rPr>
                <w:rFonts w:ascii="宋体" w:hAnsi="宋体" w:eastAsia="宋体" w:cs="宋体"/>
                <w:spacing w:val="-37"/>
                <w:position w:val="1"/>
                <w:sz w:val="20"/>
                <w:szCs w:val="20"/>
              </w:rPr>
              <w:t xml:space="preserve"> </w:t>
            </w:r>
            <w:r>
              <w:rPr>
                <w:rFonts w:ascii="宋体" w:hAnsi="宋体" w:eastAsia="宋体" w:cs="宋体"/>
                <w:spacing w:val="1"/>
                <w:position w:val="1"/>
                <w:sz w:val="20"/>
                <w:szCs w:val="20"/>
              </w:rPr>
              <w:t>安全文明施工费</w:t>
            </w:r>
          </w:p>
        </w:tc>
        <w:tc>
          <w:tcPr>
            <w:tcW w:w="5826" w:type="dxa"/>
            <w:vMerge w:val="restart"/>
            <w:tcBorders>
              <w:bottom w:val="nil"/>
              <w:right w:val="single" w:color="000000" w:sz="6" w:space="0"/>
            </w:tcBorders>
            <w:vAlign w:val="top"/>
          </w:tcPr>
          <w:p>
            <w:pPr>
              <w:pStyle w:val="6"/>
              <w:spacing w:line="328" w:lineRule="auto"/>
            </w:pPr>
          </w:p>
          <w:p>
            <w:pPr>
              <w:pStyle w:val="6"/>
              <w:spacing w:line="329" w:lineRule="auto"/>
            </w:pPr>
          </w:p>
          <w:p>
            <w:pPr>
              <w:spacing w:before="65" w:line="278" w:lineRule="exact"/>
              <w:ind w:left="98"/>
              <w:rPr>
                <w:rFonts w:ascii="宋体" w:hAnsi="宋体" w:eastAsia="宋体" w:cs="宋体"/>
                <w:sz w:val="20"/>
                <w:szCs w:val="20"/>
              </w:rPr>
            </w:pPr>
            <w:r>
              <w:rPr>
                <w:rFonts w:ascii="宋体" w:hAnsi="宋体" w:eastAsia="宋体" w:cs="宋体"/>
                <w:spacing w:val="1"/>
                <w:position w:val="1"/>
                <w:sz w:val="20"/>
                <w:szCs w:val="20"/>
              </w:rPr>
              <w:t>（一＋二＋三＋</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四＋五）</w:t>
            </w:r>
            <w:r>
              <w:rPr>
                <w:rFonts w:ascii="宋体" w:hAnsi="宋体" w:eastAsia="宋体" w:cs="宋体"/>
                <w:spacing w:val="-31"/>
                <w:position w:val="1"/>
                <w:sz w:val="20"/>
                <w:szCs w:val="20"/>
              </w:rPr>
              <w:t xml:space="preserve"> </w:t>
            </w:r>
            <w:r>
              <w:rPr>
                <w:rFonts w:ascii="宋体" w:hAnsi="宋体" w:eastAsia="宋体" w:cs="宋体"/>
                <w:spacing w:val="1"/>
                <w:position w:val="1"/>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17" w:line="219" w:lineRule="auto"/>
              <w:ind w:left="105"/>
              <w:rPr>
                <w:rFonts w:ascii="宋体" w:hAnsi="宋体" w:eastAsia="宋体" w:cs="宋体"/>
                <w:sz w:val="20"/>
                <w:szCs w:val="20"/>
              </w:rPr>
            </w:pPr>
            <w:r>
              <w:rPr>
                <w:rFonts w:ascii="宋体" w:hAnsi="宋体" w:eastAsia="宋体" w:cs="宋体"/>
                <w:spacing w:val="-1"/>
                <w:sz w:val="20"/>
                <w:szCs w:val="20"/>
              </w:rPr>
              <w:t>6.2</w:t>
            </w:r>
            <w:r>
              <w:rPr>
                <w:rFonts w:ascii="宋体" w:hAnsi="宋体" w:eastAsia="宋体" w:cs="宋体"/>
                <w:spacing w:val="-39"/>
                <w:sz w:val="20"/>
                <w:szCs w:val="20"/>
              </w:rPr>
              <w:t xml:space="preserve"> </w:t>
            </w:r>
            <w:r>
              <w:rPr>
                <w:rFonts w:ascii="宋体" w:hAnsi="宋体" w:eastAsia="宋体" w:cs="宋体"/>
                <w:spacing w:val="-1"/>
                <w:sz w:val="20"/>
                <w:szCs w:val="20"/>
              </w:rPr>
              <w:t>社会保险费</w:t>
            </w:r>
          </w:p>
        </w:tc>
        <w:tc>
          <w:tcPr>
            <w:tcW w:w="5826"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17" w:line="219" w:lineRule="auto"/>
              <w:ind w:left="105"/>
              <w:rPr>
                <w:rFonts w:ascii="宋体" w:hAnsi="宋体" w:eastAsia="宋体" w:cs="宋体"/>
                <w:sz w:val="20"/>
                <w:szCs w:val="20"/>
              </w:rPr>
            </w:pPr>
            <w:r>
              <w:rPr>
                <w:rFonts w:ascii="宋体" w:hAnsi="宋体" w:eastAsia="宋体" w:cs="宋体"/>
                <w:spacing w:val="-1"/>
                <w:sz w:val="20"/>
                <w:szCs w:val="20"/>
              </w:rPr>
              <w:t>6.3</w:t>
            </w:r>
            <w:r>
              <w:rPr>
                <w:rFonts w:ascii="宋体" w:hAnsi="宋体" w:eastAsia="宋体" w:cs="宋体"/>
                <w:spacing w:val="-34"/>
                <w:sz w:val="20"/>
                <w:szCs w:val="20"/>
              </w:rPr>
              <w:t xml:space="preserve"> </w:t>
            </w:r>
            <w:r>
              <w:rPr>
                <w:rFonts w:ascii="宋体" w:hAnsi="宋体" w:eastAsia="宋体" w:cs="宋体"/>
                <w:spacing w:val="-1"/>
                <w:sz w:val="20"/>
                <w:szCs w:val="20"/>
              </w:rPr>
              <w:t>建设项目工伤保险</w:t>
            </w:r>
          </w:p>
        </w:tc>
        <w:tc>
          <w:tcPr>
            <w:tcW w:w="5826"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7" w:hRule="atLeast"/>
        </w:trPr>
        <w:tc>
          <w:tcPr>
            <w:tcW w:w="840" w:type="dxa"/>
            <w:vMerge w:val="continue"/>
            <w:tcBorders>
              <w:top w:val="nil"/>
              <w:left w:val="single" w:color="000000" w:sz="6" w:space="0"/>
              <w:bottom w:val="nil"/>
            </w:tcBorders>
            <w:vAlign w:val="top"/>
          </w:tcPr>
          <w:p>
            <w:pPr>
              <w:pStyle w:val="6"/>
            </w:pPr>
          </w:p>
        </w:tc>
        <w:tc>
          <w:tcPr>
            <w:tcW w:w="2753" w:type="dxa"/>
            <w:vAlign w:val="top"/>
          </w:tcPr>
          <w:p>
            <w:pPr>
              <w:spacing w:before="143" w:line="264" w:lineRule="exact"/>
              <w:ind w:left="105"/>
              <w:rPr>
                <w:rFonts w:ascii="宋体" w:hAnsi="宋体" w:eastAsia="宋体" w:cs="宋体"/>
                <w:sz w:val="20"/>
                <w:szCs w:val="20"/>
              </w:rPr>
            </w:pPr>
            <w:r>
              <w:rPr>
                <w:rFonts w:ascii="宋体" w:hAnsi="宋体" w:eastAsia="宋体" w:cs="宋体"/>
                <w:position w:val="1"/>
                <w:sz w:val="20"/>
                <w:szCs w:val="20"/>
              </w:rPr>
              <w:t>6.4</w:t>
            </w:r>
            <w:r>
              <w:rPr>
                <w:rFonts w:ascii="宋体" w:hAnsi="宋体" w:eastAsia="宋体" w:cs="宋体"/>
                <w:spacing w:val="-38"/>
                <w:position w:val="1"/>
                <w:sz w:val="20"/>
                <w:szCs w:val="20"/>
              </w:rPr>
              <w:t xml:space="preserve"> </w:t>
            </w:r>
            <w:r>
              <w:rPr>
                <w:rFonts w:ascii="宋体" w:hAnsi="宋体" w:eastAsia="宋体" w:cs="宋体"/>
                <w:position w:val="1"/>
                <w:sz w:val="20"/>
                <w:szCs w:val="20"/>
              </w:rPr>
              <w:t>优质优价费用</w:t>
            </w:r>
          </w:p>
        </w:tc>
        <w:tc>
          <w:tcPr>
            <w:tcW w:w="5826"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7" w:hRule="atLeast"/>
        </w:trPr>
        <w:tc>
          <w:tcPr>
            <w:tcW w:w="840" w:type="dxa"/>
            <w:vMerge w:val="continue"/>
            <w:tcBorders>
              <w:top w:val="nil"/>
              <w:left w:val="single" w:color="000000" w:sz="6" w:space="0"/>
            </w:tcBorders>
            <w:vAlign w:val="top"/>
          </w:tcPr>
          <w:p>
            <w:pPr>
              <w:pStyle w:val="6"/>
            </w:pPr>
          </w:p>
        </w:tc>
        <w:tc>
          <w:tcPr>
            <w:tcW w:w="2753" w:type="dxa"/>
            <w:vAlign w:val="top"/>
          </w:tcPr>
          <w:p>
            <w:pPr>
              <w:spacing w:before="145" w:line="241" w:lineRule="auto"/>
              <w:ind w:left="105"/>
              <w:rPr>
                <w:rFonts w:ascii="宋体" w:hAnsi="宋体" w:eastAsia="宋体" w:cs="宋体"/>
                <w:sz w:val="20"/>
                <w:szCs w:val="20"/>
              </w:rPr>
            </w:pPr>
            <w:r>
              <w:rPr>
                <w:rFonts w:ascii="宋体" w:hAnsi="宋体" w:eastAsia="宋体" w:cs="宋体"/>
                <w:spacing w:val="-1"/>
                <w:sz w:val="20"/>
                <w:szCs w:val="20"/>
              </w:rPr>
              <w:t>6.5</w:t>
            </w:r>
            <w:r>
              <w:rPr>
                <w:rFonts w:ascii="宋体" w:hAnsi="宋体" w:eastAsia="宋体" w:cs="宋体"/>
                <w:spacing w:val="-39"/>
                <w:sz w:val="20"/>
                <w:szCs w:val="20"/>
              </w:rPr>
              <w:t xml:space="preserve"> </w:t>
            </w:r>
            <w:r>
              <w:rPr>
                <w:rFonts w:ascii="宋体" w:hAnsi="宋体" w:eastAsia="宋体" w:cs="宋体"/>
                <w:spacing w:val="-1"/>
                <w:sz w:val="20"/>
                <w:szCs w:val="20"/>
              </w:rPr>
              <w:t>住房公积金</w:t>
            </w:r>
          </w:p>
        </w:tc>
        <w:tc>
          <w:tcPr>
            <w:tcW w:w="5826" w:type="dxa"/>
            <w:tcBorders>
              <w:right w:val="single" w:color="000000" w:sz="6" w:space="0"/>
            </w:tcBorders>
            <w:vAlign w:val="top"/>
          </w:tcPr>
          <w:p>
            <w:pPr>
              <w:spacing w:before="150" w:line="220" w:lineRule="auto"/>
              <w:ind w:left="108"/>
              <w:rPr>
                <w:rFonts w:ascii="宋体" w:hAnsi="宋体" w:eastAsia="宋体" w:cs="宋体"/>
                <w:sz w:val="20"/>
                <w:szCs w:val="20"/>
              </w:rPr>
            </w:pPr>
            <w:r>
              <w:rPr>
                <w:rFonts w:ascii="宋体" w:hAnsi="宋体" w:eastAsia="宋体" w:cs="宋体"/>
                <w:spacing w:val="3"/>
                <w:sz w:val="20"/>
                <w:szCs w:val="20"/>
              </w:rPr>
              <w:t>省价人工费之和</w:t>
            </w:r>
            <w:r>
              <w:rPr>
                <w:rFonts w:ascii="宋体" w:hAnsi="宋体" w:eastAsia="宋体" w:cs="宋体"/>
                <w:spacing w:val="-39"/>
                <w:sz w:val="20"/>
                <w:szCs w:val="20"/>
              </w:rPr>
              <w:t xml:space="preserve"> </w:t>
            </w:r>
            <w:r>
              <w:rPr>
                <w:rFonts w:ascii="宋体" w:hAnsi="宋体" w:eastAsia="宋体" w:cs="宋体"/>
                <w:spacing w:val="3"/>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840" w:type="dxa"/>
            <w:tcBorders>
              <w:left w:val="single" w:color="000000" w:sz="6" w:space="0"/>
            </w:tcBorders>
            <w:vAlign w:val="top"/>
          </w:tcPr>
          <w:p>
            <w:pPr>
              <w:spacing w:before="165" w:line="214" w:lineRule="auto"/>
              <w:ind w:left="308"/>
              <w:rPr>
                <w:rFonts w:ascii="宋体" w:hAnsi="宋体" w:eastAsia="宋体" w:cs="宋体"/>
                <w:sz w:val="20"/>
                <w:szCs w:val="20"/>
              </w:rPr>
            </w:pPr>
            <w:r>
              <w:rPr>
                <w:rFonts w:ascii="宋体" w:hAnsi="宋体" w:eastAsia="宋体" w:cs="宋体"/>
                <w:spacing w:val="5"/>
                <w:sz w:val="20"/>
                <w:szCs w:val="20"/>
              </w:rPr>
              <w:t>七</w:t>
            </w:r>
          </w:p>
        </w:tc>
        <w:tc>
          <w:tcPr>
            <w:tcW w:w="2753" w:type="dxa"/>
            <w:vAlign w:val="top"/>
          </w:tcPr>
          <w:p>
            <w:pPr>
              <w:spacing w:before="159" w:line="214" w:lineRule="auto"/>
              <w:ind w:left="101"/>
              <w:rPr>
                <w:rFonts w:ascii="宋体" w:hAnsi="宋体" w:eastAsia="宋体" w:cs="宋体"/>
                <w:sz w:val="20"/>
                <w:szCs w:val="20"/>
              </w:rPr>
            </w:pPr>
            <w:r>
              <w:rPr>
                <w:rFonts w:ascii="宋体" w:hAnsi="宋体" w:eastAsia="宋体" w:cs="宋体"/>
                <w:spacing w:val="7"/>
                <w:sz w:val="20"/>
                <w:szCs w:val="20"/>
              </w:rPr>
              <w:t>税金</w:t>
            </w:r>
          </w:p>
        </w:tc>
        <w:tc>
          <w:tcPr>
            <w:tcW w:w="5826" w:type="dxa"/>
            <w:tcBorders>
              <w:right w:val="single" w:color="000000" w:sz="6" w:space="0"/>
            </w:tcBorders>
            <w:vAlign w:val="top"/>
          </w:tcPr>
          <w:p>
            <w:pPr>
              <w:spacing w:before="151" w:line="266" w:lineRule="exact"/>
              <w:ind w:left="98"/>
              <w:rPr>
                <w:rFonts w:ascii="宋体" w:hAnsi="宋体" w:eastAsia="宋体" w:cs="宋体"/>
                <w:sz w:val="20"/>
                <w:szCs w:val="20"/>
              </w:rPr>
            </w:pPr>
            <w:r>
              <w:rPr>
                <w:rFonts w:ascii="宋体" w:hAnsi="宋体" w:eastAsia="宋体" w:cs="宋体"/>
                <w:spacing w:val="2"/>
                <w:position w:val="1"/>
                <w:sz w:val="20"/>
                <w:szCs w:val="20"/>
              </w:rPr>
              <w:t>（一＋二＋三＋</w:t>
            </w:r>
            <w:r>
              <w:rPr>
                <w:rFonts w:ascii="宋体" w:hAnsi="宋体" w:eastAsia="宋体" w:cs="宋体"/>
                <w:spacing w:val="-40"/>
                <w:position w:val="1"/>
                <w:sz w:val="20"/>
                <w:szCs w:val="20"/>
              </w:rPr>
              <w:t xml:space="preserve"> </w:t>
            </w:r>
            <w:r>
              <w:rPr>
                <w:rFonts w:ascii="宋体" w:hAnsi="宋体" w:eastAsia="宋体" w:cs="宋体"/>
                <w:spacing w:val="2"/>
                <w:position w:val="1"/>
                <w:sz w:val="20"/>
                <w:szCs w:val="20"/>
              </w:rPr>
              <w:t>四＋五＋六）</w:t>
            </w:r>
            <w:r>
              <w:rPr>
                <w:rFonts w:ascii="宋体" w:hAnsi="宋体" w:eastAsia="宋体" w:cs="宋体"/>
                <w:spacing w:val="-31"/>
                <w:position w:val="1"/>
                <w:sz w:val="20"/>
                <w:szCs w:val="20"/>
              </w:rPr>
              <w:t xml:space="preserve"> </w:t>
            </w:r>
            <w:r>
              <w:rPr>
                <w:rFonts w:ascii="宋体" w:hAnsi="宋体" w:eastAsia="宋体" w:cs="宋体"/>
                <w:spacing w:val="2"/>
                <w:position w:val="1"/>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6" w:hRule="atLeast"/>
        </w:trPr>
        <w:tc>
          <w:tcPr>
            <w:tcW w:w="840" w:type="dxa"/>
            <w:tcBorders>
              <w:left w:val="single" w:color="000000" w:sz="6" w:space="0"/>
              <w:bottom w:val="single" w:color="000000" w:sz="6" w:space="0"/>
            </w:tcBorders>
            <w:vAlign w:val="top"/>
          </w:tcPr>
          <w:p>
            <w:pPr>
              <w:spacing w:before="217" w:line="197" w:lineRule="auto"/>
              <w:ind w:left="306"/>
              <w:rPr>
                <w:rFonts w:ascii="宋体" w:hAnsi="宋体" w:eastAsia="宋体" w:cs="宋体"/>
                <w:sz w:val="20"/>
                <w:szCs w:val="20"/>
              </w:rPr>
            </w:pPr>
            <w:r>
              <w:rPr>
                <w:rFonts w:ascii="宋体" w:hAnsi="宋体" w:eastAsia="宋体" w:cs="宋体"/>
                <w:spacing w:val="7"/>
                <w:sz w:val="20"/>
                <w:szCs w:val="20"/>
              </w:rPr>
              <w:t>八</w:t>
            </w:r>
          </w:p>
        </w:tc>
        <w:tc>
          <w:tcPr>
            <w:tcW w:w="2753" w:type="dxa"/>
            <w:tcBorders>
              <w:bottom w:val="single" w:color="000000" w:sz="6" w:space="0"/>
            </w:tcBorders>
            <w:vAlign w:val="top"/>
          </w:tcPr>
          <w:p>
            <w:pPr>
              <w:spacing w:before="202" w:line="223" w:lineRule="auto"/>
              <w:ind w:left="102"/>
              <w:rPr>
                <w:rFonts w:ascii="宋体" w:hAnsi="宋体" w:eastAsia="宋体" w:cs="宋体"/>
                <w:sz w:val="20"/>
                <w:szCs w:val="20"/>
              </w:rPr>
            </w:pPr>
            <w:r>
              <w:rPr>
                <w:rFonts w:ascii="宋体" w:hAnsi="宋体" w:eastAsia="宋体" w:cs="宋体"/>
                <w:spacing w:val="9"/>
                <w:sz w:val="20"/>
                <w:szCs w:val="20"/>
              </w:rPr>
              <w:t>建筑安装工程费</w:t>
            </w:r>
          </w:p>
        </w:tc>
        <w:tc>
          <w:tcPr>
            <w:tcW w:w="5826" w:type="dxa"/>
            <w:tcBorders>
              <w:bottom w:val="single" w:color="000000" w:sz="6" w:space="0"/>
              <w:right w:val="single" w:color="000000" w:sz="6" w:space="0"/>
            </w:tcBorders>
            <w:vAlign w:val="top"/>
          </w:tcPr>
          <w:p>
            <w:pPr>
              <w:spacing w:before="213" w:line="206" w:lineRule="auto"/>
              <w:ind w:left="108"/>
              <w:rPr>
                <w:rFonts w:ascii="宋体" w:hAnsi="宋体" w:eastAsia="宋体" w:cs="宋体"/>
                <w:sz w:val="20"/>
                <w:szCs w:val="20"/>
              </w:rPr>
            </w:pPr>
            <w:r>
              <w:rPr>
                <w:rFonts w:ascii="宋体" w:hAnsi="宋体" w:eastAsia="宋体" w:cs="宋体"/>
                <w:spacing w:val="1"/>
                <w:sz w:val="20"/>
                <w:szCs w:val="20"/>
              </w:rPr>
              <w:t>一＋二＋</w:t>
            </w:r>
            <w:r>
              <w:rPr>
                <w:rFonts w:ascii="宋体" w:hAnsi="宋体" w:eastAsia="宋体" w:cs="宋体"/>
                <w:spacing w:val="-49"/>
                <w:sz w:val="20"/>
                <w:szCs w:val="20"/>
              </w:rPr>
              <w:t xml:space="preserve"> </w:t>
            </w:r>
            <w:r>
              <w:rPr>
                <w:rFonts w:ascii="宋体" w:hAnsi="宋体" w:eastAsia="宋体" w:cs="宋体"/>
                <w:spacing w:val="1"/>
                <w:sz w:val="20"/>
                <w:szCs w:val="20"/>
              </w:rPr>
              <w:t>三＋</w:t>
            </w:r>
            <w:r>
              <w:rPr>
                <w:rFonts w:ascii="宋体" w:hAnsi="宋体" w:eastAsia="宋体" w:cs="宋体"/>
                <w:spacing w:val="-41"/>
                <w:sz w:val="20"/>
                <w:szCs w:val="20"/>
              </w:rPr>
              <w:t xml:space="preserve"> </w:t>
            </w:r>
            <w:r>
              <w:rPr>
                <w:rFonts w:ascii="宋体" w:hAnsi="宋体" w:eastAsia="宋体" w:cs="宋体"/>
                <w:spacing w:val="1"/>
                <w:sz w:val="20"/>
                <w:szCs w:val="20"/>
              </w:rPr>
              <w:t>四＋五＋六＋七</w:t>
            </w:r>
          </w:p>
        </w:tc>
      </w:tr>
    </w:tbl>
    <w:p>
      <w:pPr>
        <w:spacing w:before="106" w:line="278" w:lineRule="exact"/>
        <w:ind w:left="600"/>
        <w:rPr>
          <w:rFonts w:ascii="宋体" w:hAnsi="宋体" w:eastAsia="宋体" w:cs="宋体"/>
          <w:sz w:val="20"/>
          <w:szCs w:val="20"/>
        </w:rPr>
      </w:pPr>
      <w:r>
        <w:rPr>
          <w:rFonts w:ascii="宋体" w:hAnsi="宋体" w:eastAsia="宋体" w:cs="宋体"/>
          <w:b/>
          <w:bCs/>
          <w:spacing w:val="4"/>
          <w:position w:val="1"/>
          <w:sz w:val="20"/>
          <w:szCs w:val="20"/>
        </w:rPr>
        <w:t>说明：</w:t>
      </w:r>
    </w:p>
    <w:p>
      <w:pPr>
        <w:spacing w:before="82" w:line="276" w:lineRule="exact"/>
        <w:ind w:left="623"/>
        <w:rPr>
          <w:rFonts w:ascii="宋体" w:hAnsi="宋体" w:eastAsia="宋体" w:cs="宋体"/>
          <w:sz w:val="20"/>
          <w:szCs w:val="20"/>
        </w:rPr>
      </w:pPr>
      <w:r>
        <w:rPr>
          <w:rFonts w:ascii="宋体" w:hAnsi="宋体" w:eastAsia="宋体" w:cs="宋体"/>
          <w:spacing w:val="8"/>
          <w:position w:val="1"/>
          <w:sz w:val="20"/>
          <w:szCs w:val="20"/>
        </w:rPr>
        <w:t>1. 特殊项目暂估价：由概算编制人会同</w:t>
      </w:r>
      <w:r>
        <w:rPr>
          <w:rFonts w:ascii="宋体" w:hAnsi="宋体" w:eastAsia="宋体" w:cs="宋体"/>
          <w:spacing w:val="7"/>
          <w:position w:val="1"/>
          <w:sz w:val="20"/>
          <w:szCs w:val="20"/>
        </w:rPr>
        <w:t>建设单位根据工程具体情况和市场行情暂估编列。</w:t>
      </w:r>
    </w:p>
    <w:p>
      <w:pPr>
        <w:spacing w:before="84" w:line="276" w:lineRule="exact"/>
        <w:ind w:left="606"/>
        <w:rPr>
          <w:rFonts w:ascii="宋体" w:hAnsi="宋体" w:eastAsia="宋体" w:cs="宋体"/>
          <w:sz w:val="20"/>
          <w:szCs w:val="20"/>
        </w:rPr>
      </w:pPr>
      <w:r>
        <w:rPr>
          <w:rFonts w:ascii="宋体" w:hAnsi="宋体" w:eastAsia="宋体" w:cs="宋体"/>
          <w:spacing w:val="6"/>
          <w:position w:val="1"/>
          <w:sz w:val="20"/>
          <w:szCs w:val="20"/>
        </w:rPr>
        <w:t>2. 总承包服务费：总承包服务费=专业工程暂估价（不含设备费）</w:t>
      </w:r>
      <w:r>
        <w:rPr>
          <w:rFonts w:ascii="宋体" w:hAnsi="宋体" w:eastAsia="宋体" w:cs="宋体"/>
          <w:spacing w:val="-34"/>
          <w:position w:val="1"/>
          <w:sz w:val="20"/>
          <w:szCs w:val="20"/>
        </w:rPr>
        <w:t xml:space="preserve"> </w:t>
      </w:r>
      <w:r>
        <w:rPr>
          <w:rFonts w:ascii="宋体" w:hAnsi="宋体" w:eastAsia="宋体" w:cs="宋体"/>
          <w:spacing w:val="6"/>
          <w:position w:val="1"/>
          <w:sz w:val="20"/>
          <w:szCs w:val="20"/>
        </w:rPr>
        <w:t>×相应费率。</w:t>
      </w:r>
    </w:p>
    <w:p>
      <w:pPr>
        <w:spacing w:before="84" w:line="276" w:lineRule="exact"/>
        <w:ind w:left="609"/>
        <w:rPr>
          <w:rFonts w:ascii="宋体" w:hAnsi="宋体" w:eastAsia="宋体" w:cs="宋体"/>
          <w:sz w:val="20"/>
          <w:szCs w:val="20"/>
        </w:rPr>
      </w:pPr>
      <w:r>
        <w:rPr>
          <w:rFonts w:ascii="宋体" w:hAnsi="宋体" w:eastAsia="宋体" w:cs="宋体"/>
          <w:spacing w:val="8"/>
          <w:position w:val="1"/>
          <w:sz w:val="20"/>
          <w:szCs w:val="20"/>
        </w:rPr>
        <w:t>3. 其他检验试验费：由概算编制人会同建设单位根据工程具体情况和市</w:t>
      </w:r>
      <w:r>
        <w:rPr>
          <w:rFonts w:ascii="宋体" w:hAnsi="宋体" w:eastAsia="宋体" w:cs="宋体"/>
          <w:spacing w:val="7"/>
          <w:position w:val="1"/>
          <w:sz w:val="20"/>
          <w:szCs w:val="20"/>
        </w:rPr>
        <w:t>场行情暂估编列。</w:t>
      </w:r>
    </w:p>
    <w:p>
      <w:pPr>
        <w:spacing w:before="84" w:line="277" w:lineRule="exact"/>
        <w:ind w:left="603"/>
        <w:rPr>
          <w:rFonts w:ascii="宋体" w:hAnsi="宋体" w:eastAsia="宋体" w:cs="宋体"/>
          <w:sz w:val="20"/>
          <w:szCs w:val="20"/>
        </w:rPr>
      </w:pPr>
      <w:r>
        <w:rPr>
          <w:rFonts w:ascii="宋体" w:hAnsi="宋体" w:eastAsia="宋体" w:cs="宋体"/>
          <w:spacing w:val="5"/>
          <w:position w:val="1"/>
          <w:sz w:val="20"/>
          <w:szCs w:val="20"/>
        </w:rPr>
        <w:t>4. 各专业工程计费基础的计算方法。</w:t>
      </w:r>
    </w:p>
    <w:p>
      <w:pPr>
        <w:spacing w:line="277" w:lineRule="exact"/>
        <w:rPr>
          <w:rFonts w:ascii="宋体" w:hAnsi="宋体" w:eastAsia="宋体" w:cs="宋体"/>
          <w:sz w:val="20"/>
          <w:szCs w:val="20"/>
        </w:rPr>
        <w:sectPr>
          <w:footerReference r:id="rId12" w:type="default"/>
          <w:pgSz w:w="11905" w:h="16840"/>
          <w:pgMar w:top="1431" w:right="1235" w:bottom="1213" w:left="1235" w:header="0" w:footer="898" w:gutter="0"/>
        </w:sectPr>
      </w:pPr>
    </w:p>
    <w:p>
      <w:pPr>
        <w:pStyle w:val="2"/>
        <w:spacing w:before="46" w:line="190" w:lineRule="auto"/>
        <w:ind w:left="3198"/>
        <w:rPr>
          <w:sz w:val="20"/>
          <w:szCs w:val="20"/>
        </w:rPr>
      </w:pPr>
      <w:r>
        <w:rPr>
          <w:spacing w:val="9"/>
          <w:sz w:val="20"/>
          <w:szCs w:val="20"/>
        </w:rPr>
        <w:t>各专业工程计费基础的计算方法</w:t>
      </w:r>
    </w:p>
    <w:tbl>
      <w:tblPr>
        <w:tblStyle w:val="5"/>
        <w:tblW w:w="931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899"/>
        <w:gridCol w:w="595"/>
        <w:gridCol w:w="67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1060" w:type="dxa"/>
            <w:tcBorders>
              <w:top w:val="single" w:color="000000" w:sz="6" w:space="0"/>
              <w:left w:val="single" w:color="000000" w:sz="6" w:space="0"/>
            </w:tcBorders>
            <w:vAlign w:val="top"/>
          </w:tcPr>
          <w:p>
            <w:pPr>
              <w:spacing w:before="104" w:line="178" w:lineRule="auto"/>
              <w:ind w:left="115"/>
              <w:rPr>
                <w:rFonts w:ascii="微软雅黑" w:hAnsi="微软雅黑" w:eastAsia="微软雅黑" w:cs="微软雅黑"/>
                <w:sz w:val="20"/>
                <w:szCs w:val="20"/>
              </w:rPr>
            </w:pPr>
            <w:r>
              <w:rPr>
                <w:rFonts w:ascii="微软雅黑" w:hAnsi="微软雅黑" w:eastAsia="微软雅黑" w:cs="微软雅黑"/>
                <w:spacing w:val="6"/>
                <w:sz w:val="20"/>
                <w:szCs w:val="20"/>
              </w:rPr>
              <w:t>专业工程</w:t>
            </w:r>
          </w:p>
        </w:tc>
        <w:tc>
          <w:tcPr>
            <w:tcW w:w="1494" w:type="dxa"/>
            <w:gridSpan w:val="2"/>
            <w:tcBorders>
              <w:top w:val="single" w:color="000000" w:sz="6" w:space="0"/>
            </w:tcBorders>
            <w:vAlign w:val="top"/>
          </w:tcPr>
          <w:p>
            <w:pPr>
              <w:spacing w:before="104" w:line="178" w:lineRule="auto"/>
              <w:ind w:left="327"/>
              <w:rPr>
                <w:rFonts w:ascii="微软雅黑" w:hAnsi="微软雅黑" w:eastAsia="微软雅黑" w:cs="微软雅黑"/>
                <w:sz w:val="20"/>
                <w:szCs w:val="20"/>
              </w:rPr>
            </w:pPr>
            <w:r>
              <w:rPr>
                <w:rFonts w:ascii="微软雅黑" w:hAnsi="微软雅黑" w:eastAsia="微软雅黑" w:cs="微软雅黑"/>
                <w:spacing w:val="7"/>
                <w:sz w:val="20"/>
                <w:szCs w:val="20"/>
              </w:rPr>
              <w:t>计费基础</w:t>
            </w:r>
          </w:p>
        </w:tc>
        <w:tc>
          <w:tcPr>
            <w:tcW w:w="6758" w:type="dxa"/>
            <w:tcBorders>
              <w:top w:val="single" w:color="000000" w:sz="6" w:space="0"/>
              <w:right w:val="single" w:color="000000" w:sz="6" w:space="0"/>
            </w:tcBorders>
            <w:vAlign w:val="top"/>
          </w:tcPr>
          <w:p>
            <w:pPr>
              <w:spacing w:before="104" w:line="178" w:lineRule="auto"/>
              <w:ind w:left="2961"/>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1060" w:type="dxa"/>
            <w:vMerge w:val="restart"/>
            <w:tcBorders>
              <w:left w:val="single" w:color="000000" w:sz="6" w:space="0"/>
              <w:bottom w:val="nil"/>
            </w:tcBorders>
            <w:vAlign w:val="top"/>
          </w:tcPr>
          <w:p>
            <w:pPr>
              <w:pStyle w:val="6"/>
            </w:pPr>
          </w:p>
          <w:p>
            <w:pPr>
              <w:pStyle w:val="6"/>
              <w:spacing w:line="241" w:lineRule="auto"/>
            </w:pPr>
          </w:p>
          <w:p>
            <w:pPr>
              <w:spacing w:before="65" w:line="444" w:lineRule="auto"/>
              <w:ind w:left="312" w:right="322"/>
              <w:rPr>
                <w:rFonts w:ascii="宋体" w:hAnsi="宋体" w:eastAsia="宋体" w:cs="宋体"/>
                <w:sz w:val="20"/>
                <w:szCs w:val="20"/>
              </w:rPr>
            </w:pPr>
            <w:r>
              <w:rPr>
                <w:rFonts w:ascii="宋体" w:hAnsi="宋体" w:eastAsia="宋体" w:cs="宋体"/>
                <w:spacing w:val="6"/>
                <w:sz w:val="20"/>
                <w:szCs w:val="20"/>
              </w:rPr>
              <w:t>建筑</w:t>
            </w:r>
            <w:r>
              <w:rPr>
                <w:rFonts w:ascii="宋体" w:hAnsi="宋体" w:eastAsia="宋体" w:cs="宋体"/>
                <w:spacing w:val="7"/>
                <w:sz w:val="20"/>
                <w:szCs w:val="20"/>
              </w:rPr>
              <w:t>装饰</w:t>
            </w:r>
          </w:p>
          <w:p>
            <w:pPr>
              <w:spacing w:line="445" w:lineRule="auto"/>
              <w:ind w:left="314" w:right="322"/>
              <w:rPr>
                <w:rFonts w:ascii="宋体" w:hAnsi="宋体" w:eastAsia="宋体" w:cs="宋体"/>
                <w:sz w:val="20"/>
                <w:szCs w:val="20"/>
              </w:rPr>
            </w:pPr>
            <w:r>
              <w:rPr>
                <w:rFonts w:ascii="宋体" w:hAnsi="宋体" w:eastAsia="宋体" w:cs="宋体"/>
                <w:spacing w:val="6"/>
                <w:sz w:val="20"/>
                <w:szCs w:val="20"/>
              </w:rPr>
              <w:t>安装工程</w:t>
            </w:r>
          </w:p>
        </w:tc>
        <w:tc>
          <w:tcPr>
            <w:tcW w:w="899" w:type="dxa"/>
            <w:vMerge w:val="restart"/>
            <w:tcBorders>
              <w:bottom w:val="nil"/>
            </w:tcBorders>
            <w:vAlign w:val="top"/>
          </w:tcPr>
          <w:p>
            <w:pPr>
              <w:pStyle w:val="6"/>
            </w:pPr>
          </w:p>
          <w:p>
            <w:pPr>
              <w:pStyle w:val="6"/>
            </w:pPr>
          </w:p>
          <w:p>
            <w:pPr>
              <w:pStyle w:val="6"/>
            </w:pPr>
          </w:p>
          <w:p>
            <w:pPr>
              <w:pStyle w:val="6"/>
              <w:spacing w:line="241" w:lineRule="auto"/>
            </w:pPr>
          </w:p>
          <w:p>
            <w:pPr>
              <w:pStyle w:val="6"/>
              <w:spacing w:line="241" w:lineRule="auto"/>
            </w:pPr>
          </w:p>
          <w:p>
            <w:pPr>
              <w:spacing w:before="65" w:line="219" w:lineRule="auto"/>
              <w:ind w:left="128"/>
              <w:rPr>
                <w:rFonts w:ascii="宋体" w:hAnsi="宋体" w:eastAsia="宋体" w:cs="宋体"/>
                <w:sz w:val="20"/>
                <w:szCs w:val="20"/>
              </w:rPr>
            </w:pPr>
            <w:r>
              <w:rPr>
                <w:rFonts w:ascii="宋体" w:hAnsi="宋体" w:eastAsia="宋体" w:cs="宋体"/>
                <w:spacing w:val="8"/>
                <w:sz w:val="20"/>
                <w:szCs w:val="20"/>
              </w:rPr>
              <w:t>人工费</w:t>
            </w:r>
          </w:p>
        </w:tc>
        <w:tc>
          <w:tcPr>
            <w:tcW w:w="595" w:type="dxa"/>
            <w:vMerge w:val="restart"/>
            <w:tcBorders>
              <w:bottom w:val="nil"/>
            </w:tcBorders>
            <w:vAlign w:val="top"/>
          </w:tcPr>
          <w:p>
            <w:pPr>
              <w:pStyle w:val="6"/>
              <w:spacing w:line="324" w:lineRule="auto"/>
            </w:pPr>
          </w:p>
          <w:p>
            <w:pPr>
              <w:spacing w:before="65" w:line="221" w:lineRule="auto"/>
              <w:ind w:left="209"/>
              <w:rPr>
                <w:rFonts w:ascii="宋体" w:hAnsi="宋体" w:eastAsia="宋体" w:cs="宋体"/>
                <w:sz w:val="10"/>
                <w:szCs w:val="10"/>
              </w:rPr>
            </w:pPr>
            <w:r>
              <w:rPr>
                <w:rFonts w:ascii="宋体" w:hAnsi="宋体" w:eastAsia="宋体" w:cs="宋体"/>
                <w:spacing w:val="6"/>
                <w:position w:val="1"/>
                <w:sz w:val="20"/>
                <w:szCs w:val="20"/>
              </w:rPr>
              <w:t>JD</w:t>
            </w:r>
            <w:r>
              <w:rPr>
                <w:rFonts w:ascii="宋体" w:hAnsi="宋体" w:eastAsia="宋体" w:cs="宋体"/>
                <w:spacing w:val="6"/>
                <w:position w:val="-3"/>
                <w:sz w:val="10"/>
                <w:szCs w:val="10"/>
              </w:rPr>
              <w:t>1</w:t>
            </w:r>
          </w:p>
        </w:tc>
        <w:tc>
          <w:tcPr>
            <w:tcW w:w="6758" w:type="dxa"/>
            <w:tcBorders>
              <w:right w:val="single" w:color="000000" w:sz="6" w:space="0"/>
            </w:tcBorders>
            <w:vAlign w:val="top"/>
          </w:tcPr>
          <w:p>
            <w:pPr>
              <w:spacing w:before="112" w:line="219" w:lineRule="auto"/>
              <w:ind w:left="107"/>
              <w:rPr>
                <w:rFonts w:ascii="宋体" w:hAnsi="宋体" w:eastAsia="宋体" w:cs="宋体"/>
                <w:sz w:val="20"/>
                <w:szCs w:val="20"/>
              </w:rPr>
            </w:pPr>
            <w:r>
              <w:rPr>
                <w:rFonts w:ascii="宋体" w:hAnsi="宋体" w:eastAsia="宋体" w:cs="宋体"/>
                <w:spacing w:val="5"/>
                <w:sz w:val="20"/>
                <w:szCs w:val="20"/>
              </w:rPr>
              <w:t>分部分项工程省价人工费之和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continue"/>
            <w:tcBorders>
              <w:top w:val="nil"/>
            </w:tcBorders>
            <w:vAlign w:val="top"/>
          </w:tcPr>
          <w:p>
            <w:pPr>
              <w:pStyle w:val="6"/>
            </w:pPr>
          </w:p>
        </w:tc>
        <w:tc>
          <w:tcPr>
            <w:tcW w:w="6758" w:type="dxa"/>
            <w:tcBorders>
              <w:right w:val="single" w:color="000000" w:sz="6" w:space="0"/>
            </w:tcBorders>
            <w:vAlign w:val="top"/>
          </w:tcPr>
          <w:p>
            <w:pPr>
              <w:spacing w:before="109" w:line="276" w:lineRule="exact"/>
              <w:ind w:left="135"/>
              <w:rPr>
                <w:rFonts w:ascii="宋体" w:hAnsi="宋体" w:eastAsia="宋体" w:cs="宋体"/>
                <w:sz w:val="20"/>
                <w:szCs w:val="20"/>
              </w:rPr>
            </w:pPr>
            <w:r>
              <w:rPr>
                <w:rFonts w:ascii="宋体" w:hAnsi="宋体" w:eastAsia="宋体" w:cs="宋体"/>
                <w:spacing w:val="-1"/>
                <w:position w:val="1"/>
                <w:sz w:val="20"/>
                <w:szCs w:val="20"/>
              </w:rPr>
              <w:t>∑〔分部分项工程（省人工单价</w:t>
            </w:r>
            <w:r>
              <w:rPr>
                <w:rFonts w:ascii="宋体" w:hAnsi="宋体" w:eastAsia="宋体" w:cs="宋体"/>
                <w:spacing w:val="-54"/>
                <w:position w:val="1"/>
                <w:sz w:val="20"/>
                <w:szCs w:val="20"/>
              </w:rPr>
              <w:t xml:space="preserve"> </w:t>
            </w:r>
            <w:r>
              <w:rPr>
                <w:rFonts w:ascii="宋体" w:hAnsi="宋体" w:eastAsia="宋体" w:cs="宋体"/>
                <w:spacing w:val="-1"/>
                <w:position w:val="1"/>
                <w:sz w:val="20"/>
                <w:szCs w:val="20"/>
              </w:rPr>
              <w:t>×定额工日消耗量</w:t>
            </w:r>
            <w:r>
              <w:rPr>
                <w:rFonts w:ascii="宋体" w:hAnsi="宋体" w:eastAsia="宋体" w:cs="宋体"/>
                <w:spacing w:val="-2"/>
                <w:position w:val="1"/>
                <w:sz w:val="20"/>
                <w:szCs w:val="20"/>
              </w:rPr>
              <w:t>）</w:t>
            </w:r>
            <w:r>
              <w:rPr>
                <w:rFonts w:ascii="宋体" w:hAnsi="宋体" w:eastAsia="宋体" w:cs="宋体"/>
                <w:spacing w:val="-57"/>
                <w:position w:val="1"/>
                <w:sz w:val="20"/>
                <w:szCs w:val="20"/>
              </w:rPr>
              <w:t xml:space="preserve"> </w:t>
            </w:r>
            <w:r>
              <w:rPr>
                <w:rFonts w:ascii="宋体" w:hAnsi="宋体" w:eastAsia="宋体" w:cs="宋体"/>
                <w:spacing w:val="-2"/>
                <w:position w:val="1"/>
                <w:sz w:val="20"/>
                <w:szCs w:val="20"/>
              </w:rPr>
              <w:t>×分部分项工程量〕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restart"/>
            <w:tcBorders>
              <w:bottom w:val="nil"/>
            </w:tcBorders>
            <w:vAlign w:val="top"/>
          </w:tcPr>
          <w:p>
            <w:pPr>
              <w:pStyle w:val="6"/>
              <w:spacing w:line="253" w:lineRule="auto"/>
            </w:pPr>
          </w:p>
          <w:p>
            <w:pPr>
              <w:pStyle w:val="6"/>
              <w:spacing w:line="253" w:lineRule="auto"/>
            </w:pPr>
          </w:p>
          <w:p>
            <w:pPr>
              <w:spacing w:before="65" w:line="221" w:lineRule="auto"/>
              <w:ind w:left="156"/>
              <w:rPr>
                <w:rFonts w:ascii="宋体" w:hAnsi="宋体" w:eastAsia="宋体" w:cs="宋体"/>
                <w:sz w:val="10"/>
                <w:szCs w:val="10"/>
              </w:rPr>
            </w:pPr>
            <w:r>
              <w:rPr>
                <w:rFonts w:ascii="宋体" w:hAnsi="宋体" w:eastAsia="宋体" w:cs="宋体"/>
                <w:spacing w:val="6"/>
                <w:position w:val="1"/>
                <w:sz w:val="20"/>
                <w:szCs w:val="20"/>
              </w:rPr>
              <w:t>JD</w:t>
            </w:r>
            <w:r>
              <w:rPr>
                <w:rFonts w:ascii="宋体" w:hAnsi="宋体" w:eastAsia="宋体" w:cs="宋体"/>
                <w:spacing w:val="6"/>
                <w:position w:val="-3"/>
                <w:sz w:val="10"/>
                <w:szCs w:val="10"/>
              </w:rPr>
              <w:t>2</w:t>
            </w:r>
          </w:p>
        </w:tc>
        <w:tc>
          <w:tcPr>
            <w:tcW w:w="6758" w:type="dxa"/>
            <w:tcBorders>
              <w:right w:val="single" w:color="000000" w:sz="6" w:space="0"/>
            </w:tcBorders>
            <w:vAlign w:val="top"/>
          </w:tcPr>
          <w:p>
            <w:pPr>
              <w:spacing w:before="116" w:line="219" w:lineRule="auto"/>
              <w:ind w:left="106"/>
              <w:rPr>
                <w:rFonts w:ascii="宋体" w:hAnsi="宋体" w:eastAsia="宋体" w:cs="宋体"/>
                <w:sz w:val="20"/>
                <w:szCs w:val="20"/>
              </w:rPr>
            </w:pPr>
            <w:r>
              <w:rPr>
                <w:rFonts w:ascii="宋体" w:hAnsi="宋体" w:eastAsia="宋体" w:cs="宋体"/>
                <w:spacing w:val="8"/>
                <w:sz w:val="20"/>
                <w:szCs w:val="20"/>
              </w:rPr>
              <w:t>单价措施项目省价人工费之和＋总价措施费人工费之和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3"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continue"/>
            <w:tcBorders>
              <w:top w:val="nil"/>
            </w:tcBorders>
            <w:vAlign w:val="top"/>
          </w:tcPr>
          <w:p>
            <w:pPr>
              <w:pStyle w:val="6"/>
            </w:pPr>
          </w:p>
        </w:tc>
        <w:tc>
          <w:tcPr>
            <w:tcW w:w="6758" w:type="dxa"/>
            <w:tcBorders>
              <w:right w:val="single" w:color="000000" w:sz="6" w:space="0"/>
            </w:tcBorders>
            <w:vAlign w:val="top"/>
          </w:tcPr>
          <w:p>
            <w:pPr>
              <w:spacing w:before="111" w:line="328" w:lineRule="auto"/>
              <w:ind w:left="106" w:right="100" w:firstLine="28"/>
              <w:rPr>
                <w:rFonts w:ascii="宋体" w:hAnsi="宋体" w:eastAsia="宋体" w:cs="宋体"/>
                <w:sz w:val="20"/>
                <w:szCs w:val="20"/>
              </w:rPr>
            </w:pPr>
            <w:r>
              <w:rPr>
                <w:rFonts w:ascii="宋体" w:hAnsi="宋体" w:eastAsia="宋体" w:cs="宋体"/>
                <w:spacing w:val="1"/>
                <w:sz w:val="20"/>
                <w:szCs w:val="20"/>
              </w:rPr>
              <w:t>∑〔单价措施项目（省人工单价</w:t>
            </w:r>
            <w:r>
              <w:rPr>
                <w:rFonts w:ascii="宋体" w:hAnsi="宋体" w:eastAsia="宋体" w:cs="宋体"/>
                <w:spacing w:val="-54"/>
                <w:sz w:val="20"/>
                <w:szCs w:val="20"/>
              </w:rPr>
              <w:t xml:space="preserve"> </w:t>
            </w:r>
            <w:r>
              <w:rPr>
                <w:rFonts w:ascii="宋体" w:hAnsi="宋体" w:eastAsia="宋体" w:cs="宋体"/>
                <w:spacing w:val="1"/>
                <w:sz w:val="20"/>
                <w:szCs w:val="20"/>
              </w:rPr>
              <w:t>×定额工日消耗量</w:t>
            </w:r>
            <w:r>
              <w:rPr>
                <w:rFonts w:ascii="宋体" w:hAnsi="宋体" w:eastAsia="宋体" w:cs="宋体"/>
                <w:sz w:val="20"/>
                <w:szCs w:val="20"/>
              </w:rPr>
              <w:t>）</w:t>
            </w:r>
            <w:r>
              <w:rPr>
                <w:rFonts w:ascii="宋体" w:hAnsi="宋体" w:eastAsia="宋体" w:cs="宋体"/>
                <w:spacing w:val="-57"/>
                <w:sz w:val="20"/>
                <w:szCs w:val="20"/>
              </w:rPr>
              <w:t xml:space="preserve"> </w:t>
            </w:r>
            <w:r>
              <w:rPr>
                <w:rFonts w:ascii="宋体" w:hAnsi="宋体" w:eastAsia="宋体" w:cs="宋体"/>
                <w:sz w:val="20"/>
                <w:szCs w:val="20"/>
              </w:rPr>
              <w:t>×单价措施项目工程量〕</w:t>
            </w:r>
            <w:r>
              <w:rPr>
                <w:rFonts w:ascii="宋体" w:hAnsi="宋体" w:eastAsia="宋体" w:cs="宋体"/>
                <w:spacing w:val="-41"/>
                <w:sz w:val="20"/>
                <w:szCs w:val="20"/>
              </w:rPr>
              <w:t xml:space="preserve"> </w:t>
            </w:r>
            <w:r>
              <w:rPr>
                <w:rFonts w:ascii="宋体" w:hAnsi="宋体" w:eastAsia="宋体" w:cs="宋体"/>
                <w:sz w:val="20"/>
                <w:szCs w:val="20"/>
              </w:rPr>
              <w:t>+ ∑（JD</w:t>
            </w:r>
            <w:r>
              <w:rPr>
                <w:rFonts w:ascii="宋体" w:hAnsi="宋体" w:eastAsia="宋体" w:cs="宋体"/>
                <w:position w:val="-4"/>
                <w:sz w:val="10"/>
                <w:szCs w:val="10"/>
              </w:rPr>
              <w:t xml:space="preserve">1 </w:t>
            </w:r>
            <w:r>
              <w:rPr>
                <w:rFonts w:ascii="宋体" w:hAnsi="宋体" w:eastAsia="宋体" w:cs="宋体"/>
                <w:sz w:val="20"/>
                <w:szCs w:val="20"/>
              </w:rPr>
              <w:t>×措施费费率</w:t>
            </w:r>
            <w:r>
              <w:rPr>
                <w:rFonts w:ascii="宋体" w:hAnsi="宋体" w:eastAsia="宋体" w:cs="宋体"/>
                <w:spacing w:val="-42"/>
                <w:sz w:val="20"/>
                <w:szCs w:val="20"/>
              </w:rPr>
              <w:t xml:space="preserve"> </w:t>
            </w:r>
            <w:r>
              <w:rPr>
                <w:rFonts w:ascii="宋体" w:hAnsi="宋体" w:eastAsia="宋体" w:cs="宋体"/>
                <w:sz w:val="20"/>
                <w:szCs w:val="20"/>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060" w:type="dxa"/>
            <w:vMerge w:val="continue"/>
            <w:tcBorders>
              <w:top w:val="nil"/>
              <w:left w:val="single" w:color="000000" w:sz="6" w:space="0"/>
            </w:tcBorders>
            <w:vAlign w:val="top"/>
          </w:tcPr>
          <w:p>
            <w:pPr>
              <w:pStyle w:val="6"/>
            </w:pPr>
          </w:p>
        </w:tc>
        <w:tc>
          <w:tcPr>
            <w:tcW w:w="899" w:type="dxa"/>
            <w:vMerge w:val="continue"/>
            <w:tcBorders>
              <w:top w:val="nil"/>
            </w:tcBorders>
            <w:vAlign w:val="top"/>
          </w:tcPr>
          <w:p>
            <w:pPr>
              <w:pStyle w:val="6"/>
            </w:pPr>
          </w:p>
        </w:tc>
        <w:tc>
          <w:tcPr>
            <w:tcW w:w="595" w:type="dxa"/>
            <w:vAlign w:val="top"/>
          </w:tcPr>
          <w:p>
            <w:pPr>
              <w:spacing w:before="154" w:line="187" w:lineRule="auto"/>
              <w:ind w:left="224"/>
              <w:rPr>
                <w:rFonts w:ascii="宋体" w:hAnsi="宋体" w:eastAsia="宋体" w:cs="宋体"/>
                <w:sz w:val="20"/>
                <w:szCs w:val="20"/>
              </w:rPr>
            </w:pPr>
            <w:r>
              <w:rPr>
                <w:rFonts w:ascii="宋体" w:hAnsi="宋体" w:eastAsia="宋体" w:cs="宋体"/>
                <w:spacing w:val="12"/>
                <w:w w:val="129"/>
                <w:sz w:val="20"/>
                <w:szCs w:val="20"/>
              </w:rPr>
              <w:t>H</w:t>
            </w:r>
          </w:p>
        </w:tc>
        <w:tc>
          <w:tcPr>
            <w:tcW w:w="6758" w:type="dxa"/>
            <w:tcBorders>
              <w:right w:val="single" w:color="000000" w:sz="6" w:space="0"/>
            </w:tcBorders>
            <w:vAlign w:val="top"/>
          </w:tcPr>
          <w:p>
            <w:pPr>
              <w:spacing w:before="115" w:line="276" w:lineRule="exact"/>
              <w:ind w:left="115"/>
              <w:rPr>
                <w:rFonts w:ascii="宋体" w:hAnsi="宋体" w:eastAsia="宋体" w:cs="宋体"/>
                <w:sz w:val="20"/>
                <w:szCs w:val="20"/>
              </w:rPr>
            </w:pPr>
            <w:r>
              <w:rPr>
                <w:rFonts w:ascii="宋体" w:hAnsi="宋体" w:eastAsia="宋体" w:cs="宋体"/>
                <w:spacing w:val="14"/>
                <w:position w:val="1"/>
                <w:sz w:val="20"/>
                <w:szCs w:val="20"/>
              </w:rPr>
              <w:t>总价措施费人工费含量（%）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060" w:type="dxa"/>
            <w:vMerge w:val="restart"/>
            <w:tcBorders>
              <w:left w:val="single" w:color="000000" w:sz="6" w:space="0"/>
              <w:bottom w:val="nil"/>
            </w:tcBorders>
            <w:vAlign w:val="top"/>
          </w:tcPr>
          <w:p>
            <w:pPr>
              <w:pStyle w:val="6"/>
              <w:spacing w:line="242" w:lineRule="auto"/>
            </w:pPr>
          </w:p>
          <w:p>
            <w:pPr>
              <w:pStyle w:val="6"/>
              <w:spacing w:line="242" w:lineRule="auto"/>
            </w:pPr>
          </w:p>
          <w:p>
            <w:pPr>
              <w:pStyle w:val="6"/>
              <w:spacing w:line="242" w:lineRule="auto"/>
            </w:pPr>
          </w:p>
          <w:p>
            <w:pPr>
              <w:pStyle w:val="6"/>
              <w:spacing w:line="243" w:lineRule="auto"/>
            </w:pPr>
          </w:p>
          <w:p>
            <w:pPr>
              <w:spacing w:before="65" w:line="446" w:lineRule="auto"/>
              <w:ind w:left="314" w:right="322"/>
              <w:rPr>
                <w:rFonts w:ascii="宋体" w:hAnsi="宋体" w:eastAsia="宋体" w:cs="宋体"/>
                <w:sz w:val="20"/>
                <w:szCs w:val="20"/>
              </w:rPr>
            </w:pPr>
            <w:r>
              <w:rPr>
                <w:rFonts w:ascii="宋体" w:hAnsi="宋体" w:eastAsia="宋体" w:cs="宋体"/>
                <w:spacing w:val="6"/>
                <w:sz w:val="20"/>
                <w:szCs w:val="20"/>
              </w:rPr>
              <w:t>市政工程</w:t>
            </w:r>
          </w:p>
        </w:tc>
        <w:tc>
          <w:tcPr>
            <w:tcW w:w="899" w:type="dxa"/>
            <w:vMerge w:val="restart"/>
            <w:tcBorders>
              <w:bottom w:val="nil"/>
            </w:tcBorders>
            <w:vAlign w:val="top"/>
          </w:tcPr>
          <w:p>
            <w:pPr>
              <w:pStyle w:val="6"/>
              <w:spacing w:line="244" w:lineRule="auto"/>
            </w:pPr>
          </w:p>
          <w:p>
            <w:pPr>
              <w:pStyle w:val="6"/>
              <w:spacing w:line="244" w:lineRule="auto"/>
            </w:pPr>
          </w:p>
          <w:p>
            <w:pPr>
              <w:pStyle w:val="6"/>
              <w:spacing w:line="245" w:lineRule="auto"/>
            </w:pPr>
          </w:p>
          <w:p>
            <w:pPr>
              <w:spacing w:before="65" w:line="219" w:lineRule="auto"/>
              <w:ind w:left="140"/>
              <w:rPr>
                <w:rFonts w:ascii="宋体" w:hAnsi="宋体" w:eastAsia="宋体" w:cs="宋体"/>
                <w:sz w:val="20"/>
                <w:szCs w:val="20"/>
              </w:rPr>
            </w:pPr>
            <w:r>
              <w:rPr>
                <w:rFonts w:ascii="宋体" w:hAnsi="宋体" w:eastAsia="宋体" w:cs="宋体"/>
                <w:spacing w:val="2"/>
                <w:sz w:val="20"/>
                <w:szCs w:val="20"/>
              </w:rPr>
              <w:t>人工费</w:t>
            </w:r>
          </w:p>
          <w:p>
            <w:pPr>
              <w:pStyle w:val="6"/>
              <w:spacing w:line="246" w:lineRule="auto"/>
            </w:pPr>
          </w:p>
          <w:p>
            <w:pPr>
              <w:spacing w:before="65" w:line="171" w:lineRule="auto"/>
              <w:ind w:left="392"/>
              <w:rPr>
                <w:rFonts w:ascii="宋体" w:hAnsi="宋体" w:eastAsia="宋体" w:cs="宋体"/>
                <w:sz w:val="20"/>
                <w:szCs w:val="20"/>
              </w:rPr>
            </w:pPr>
            <w:r>
              <w:rPr>
                <w:rFonts w:ascii="宋体" w:hAnsi="宋体" w:eastAsia="宋体" w:cs="宋体"/>
                <w:sz w:val="20"/>
                <w:szCs w:val="20"/>
              </w:rPr>
              <w:t>+</w:t>
            </w:r>
          </w:p>
          <w:p>
            <w:pPr>
              <w:spacing w:before="223" w:line="218" w:lineRule="auto"/>
              <w:ind w:left="143"/>
              <w:rPr>
                <w:rFonts w:ascii="宋体" w:hAnsi="宋体" w:eastAsia="宋体" w:cs="宋体"/>
                <w:sz w:val="20"/>
                <w:szCs w:val="20"/>
              </w:rPr>
            </w:pPr>
            <w:r>
              <w:rPr>
                <w:rFonts w:ascii="宋体" w:hAnsi="宋体" w:eastAsia="宋体" w:cs="宋体"/>
                <w:spacing w:val="2"/>
                <w:sz w:val="20"/>
                <w:szCs w:val="20"/>
              </w:rPr>
              <w:t>机械费</w:t>
            </w:r>
          </w:p>
        </w:tc>
        <w:tc>
          <w:tcPr>
            <w:tcW w:w="595" w:type="dxa"/>
            <w:vMerge w:val="restart"/>
            <w:tcBorders>
              <w:bottom w:val="nil"/>
            </w:tcBorders>
            <w:vAlign w:val="top"/>
          </w:tcPr>
          <w:p>
            <w:pPr>
              <w:pStyle w:val="6"/>
              <w:spacing w:line="332" w:lineRule="auto"/>
            </w:pPr>
          </w:p>
          <w:p>
            <w:pPr>
              <w:spacing w:before="65" w:line="221" w:lineRule="auto"/>
              <w:ind w:left="209"/>
              <w:rPr>
                <w:rFonts w:ascii="宋体" w:hAnsi="宋体" w:eastAsia="宋体" w:cs="宋体"/>
                <w:sz w:val="10"/>
                <w:szCs w:val="10"/>
              </w:rPr>
            </w:pPr>
            <w:r>
              <w:rPr>
                <w:rFonts w:ascii="宋体" w:hAnsi="宋体" w:eastAsia="宋体" w:cs="宋体"/>
                <w:spacing w:val="6"/>
                <w:position w:val="1"/>
                <w:sz w:val="20"/>
                <w:szCs w:val="20"/>
              </w:rPr>
              <w:t>JD</w:t>
            </w:r>
            <w:r>
              <w:rPr>
                <w:rFonts w:ascii="宋体" w:hAnsi="宋体" w:eastAsia="宋体" w:cs="宋体"/>
                <w:spacing w:val="6"/>
                <w:position w:val="-3"/>
                <w:sz w:val="10"/>
                <w:szCs w:val="10"/>
              </w:rPr>
              <w:t>1</w:t>
            </w:r>
          </w:p>
        </w:tc>
        <w:tc>
          <w:tcPr>
            <w:tcW w:w="6758" w:type="dxa"/>
            <w:tcBorders>
              <w:right w:val="single" w:color="000000" w:sz="6" w:space="0"/>
            </w:tcBorders>
            <w:vAlign w:val="top"/>
          </w:tcPr>
          <w:p>
            <w:pPr>
              <w:spacing w:before="121" w:line="219" w:lineRule="auto"/>
              <w:ind w:left="107"/>
              <w:rPr>
                <w:rFonts w:ascii="宋体" w:hAnsi="宋体" w:eastAsia="宋体" w:cs="宋体"/>
                <w:sz w:val="20"/>
                <w:szCs w:val="20"/>
              </w:rPr>
            </w:pPr>
            <w:r>
              <w:rPr>
                <w:rFonts w:ascii="宋体" w:hAnsi="宋体" w:eastAsia="宋体" w:cs="宋体"/>
                <w:spacing w:val="5"/>
                <w:sz w:val="20"/>
                <w:szCs w:val="20"/>
              </w:rPr>
              <w:t>分部分项工程省价人机费之和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continue"/>
            <w:tcBorders>
              <w:top w:val="nil"/>
            </w:tcBorders>
            <w:vAlign w:val="top"/>
          </w:tcPr>
          <w:p>
            <w:pPr>
              <w:pStyle w:val="6"/>
            </w:pPr>
          </w:p>
        </w:tc>
        <w:tc>
          <w:tcPr>
            <w:tcW w:w="6758" w:type="dxa"/>
            <w:tcBorders>
              <w:right w:val="single" w:color="000000" w:sz="6" w:space="0"/>
            </w:tcBorders>
            <w:vAlign w:val="top"/>
          </w:tcPr>
          <w:p>
            <w:pPr>
              <w:spacing w:before="116" w:line="276" w:lineRule="exact"/>
              <w:jc w:val="right"/>
              <w:rPr>
                <w:rFonts w:ascii="宋体" w:hAnsi="宋体" w:eastAsia="宋体" w:cs="宋体"/>
                <w:sz w:val="20"/>
                <w:szCs w:val="20"/>
              </w:rPr>
            </w:pPr>
            <w:r>
              <w:rPr>
                <w:rFonts w:ascii="宋体" w:hAnsi="宋体" w:eastAsia="宋体" w:cs="宋体"/>
                <w:spacing w:val="-2"/>
                <w:position w:val="1"/>
                <w:sz w:val="20"/>
                <w:szCs w:val="20"/>
              </w:rPr>
              <w:t>∑〔分部分项工程∑（省人机单价</w:t>
            </w:r>
            <w:r>
              <w:rPr>
                <w:rFonts w:ascii="宋体" w:hAnsi="宋体" w:eastAsia="宋体" w:cs="宋体"/>
                <w:spacing w:val="-53"/>
                <w:position w:val="1"/>
                <w:sz w:val="20"/>
                <w:szCs w:val="20"/>
              </w:rPr>
              <w:t xml:space="preserve"> </w:t>
            </w:r>
            <w:r>
              <w:rPr>
                <w:rFonts w:ascii="宋体" w:hAnsi="宋体" w:eastAsia="宋体" w:cs="宋体"/>
                <w:spacing w:val="-2"/>
                <w:position w:val="1"/>
                <w:sz w:val="20"/>
                <w:szCs w:val="20"/>
              </w:rPr>
              <w:t>×定额人机消耗量）</w:t>
            </w:r>
            <w:r>
              <w:rPr>
                <w:rFonts w:ascii="宋体" w:hAnsi="宋体" w:eastAsia="宋体" w:cs="宋体"/>
                <w:spacing w:val="-70"/>
                <w:position w:val="1"/>
                <w:sz w:val="20"/>
                <w:szCs w:val="20"/>
              </w:rPr>
              <w:t xml:space="preserve"> </w:t>
            </w:r>
            <w:r>
              <w:rPr>
                <w:rFonts w:ascii="宋体" w:hAnsi="宋体" w:eastAsia="宋体" w:cs="宋体"/>
                <w:spacing w:val="-2"/>
                <w:position w:val="1"/>
                <w:sz w:val="20"/>
                <w:szCs w:val="20"/>
              </w:rPr>
              <w:t>×分部分项工程量〕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restart"/>
            <w:tcBorders>
              <w:bottom w:val="nil"/>
            </w:tcBorders>
            <w:vAlign w:val="top"/>
          </w:tcPr>
          <w:p>
            <w:pPr>
              <w:pStyle w:val="6"/>
              <w:spacing w:line="256" w:lineRule="auto"/>
            </w:pPr>
          </w:p>
          <w:p>
            <w:pPr>
              <w:pStyle w:val="6"/>
              <w:spacing w:line="256" w:lineRule="auto"/>
            </w:pPr>
          </w:p>
          <w:p>
            <w:pPr>
              <w:spacing w:before="65" w:line="221" w:lineRule="auto"/>
              <w:ind w:left="156"/>
              <w:rPr>
                <w:rFonts w:ascii="宋体" w:hAnsi="宋体" w:eastAsia="宋体" w:cs="宋体"/>
                <w:sz w:val="10"/>
                <w:szCs w:val="10"/>
              </w:rPr>
            </w:pPr>
            <w:r>
              <w:rPr>
                <w:rFonts w:ascii="宋体" w:hAnsi="宋体" w:eastAsia="宋体" w:cs="宋体"/>
                <w:spacing w:val="6"/>
                <w:position w:val="1"/>
                <w:sz w:val="20"/>
                <w:szCs w:val="20"/>
              </w:rPr>
              <w:t>JD</w:t>
            </w:r>
            <w:r>
              <w:rPr>
                <w:rFonts w:ascii="宋体" w:hAnsi="宋体" w:eastAsia="宋体" w:cs="宋体"/>
                <w:spacing w:val="6"/>
                <w:position w:val="-3"/>
                <w:sz w:val="10"/>
                <w:szCs w:val="10"/>
              </w:rPr>
              <w:t>2</w:t>
            </w:r>
          </w:p>
        </w:tc>
        <w:tc>
          <w:tcPr>
            <w:tcW w:w="6758" w:type="dxa"/>
            <w:tcBorders>
              <w:right w:val="single" w:color="000000" w:sz="6" w:space="0"/>
            </w:tcBorders>
            <w:vAlign w:val="top"/>
          </w:tcPr>
          <w:p>
            <w:pPr>
              <w:spacing w:before="122" w:line="219" w:lineRule="auto"/>
              <w:ind w:left="106"/>
              <w:rPr>
                <w:rFonts w:ascii="宋体" w:hAnsi="宋体" w:eastAsia="宋体" w:cs="宋体"/>
                <w:sz w:val="20"/>
                <w:szCs w:val="20"/>
              </w:rPr>
            </w:pPr>
            <w:r>
              <w:rPr>
                <w:rFonts w:ascii="宋体" w:hAnsi="宋体" w:eastAsia="宋体" w:cs="宋体"/>
                <w:spacing w:val="8"/>
                <w:sz w:val="20"/>
                <w:szCs w:val="20"/>
              </w:rPr>
              <w:t>单价措施项目省价人机费之和＋总价措施费人机费</w:t>
            </w:r>
            <w:r>
              <w:rPr>
                <w:rFonts w:ascii="宋体" w:hAnsi="宋体" w:eastAsia="宋体" w:cs="宋体"/>
                <w:spacing w:val="7"/>
                <w:sz w:val="20"/>
                <w:szCs w:val="20"/>
              </w:rPr>
              <w:t>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3" w:hRule="atLeast"/>
        </w:trPr>
        <w:tc>
          <w:tcPr>
            <w:tcW w:w="1060" w:type="dxa"/>
            <w:vMerge w:val="continue"/>
            <w:tcBorders>
              <w:top w:val="nil"/>
              <w:left w:val="single" w:color="000000" w:sz="6" w:space="0"/>
              <w:bottom w:val="nil"/>
            </w:tcBorders>
            <w:vAlign w:val="top"/>
          </w:tcPr>
          <w:p>
            <w:pPr>
              <w:pStyle w:val="6"/>
            </w:pPr>
          </w:p>
        </w:tc>
        <w:tc>
          <w:tcPr>
            <w:tcW w:w="899" w:type="dxa"/>
            <w:vMerge w:val="continue"/>
            <w:tcBorders>
              <w:top w:val="nil"/>
              <w:bottom w:val="nil"/>
            </w:tcBorders>
            <w:vAlign w:val="top"/>
          </w:tcPr>
          <w:p>
            <w:pPr>
              <w:pStyle w:val="6"/>
            </w:pPr>
          </w:p>
        </w:tc>
        <w:tc>
          <w:tcPr>
            <w:tcW w:w="595" w:type="dxa"/>
            <w:vMerge w:val="continue"/>
            <w:tcBorders>
              <w:top w:val="nil"/>
            </w:tcBorders>
            <w:vAlign w:val="top"/>
          </w:tcPr>
          <w:p>
            <w:pPr>
              <w:pStyle w:val="6"/>
            </w:pPr>
          </w:p>
        </w:tc>
        <w:tc>
          <w:tcPr>
            <w:tcW w:w="6758" w:type="dxa"/>
            <w:tcBorders>
              <w:right w:val="single" w:color="000000" w:sz="6" w:space="0"/>
            </w:tcBorders>
            <w:vAlign w:val="top"/>
          </w:tcPr>
          <w:p>
            <w:pPr>
              <w:spacing w:before="117" w:line="325" w:lineRule="auto"/>
              <w:ind w:left="107" w:right="100" w:firstLine="27"/>
              <w:rPr>
                <w:rFonts w:ascii="宋体" w:hAnsi="宋体" w:eastAsia="宋体" w:cs="宋体"/>
                <w:sz w:val="20"/>
                <w:szCs w:val="20"/>
              </w:rPr>
            </w:pPr>
            <w:r>
              <w:rPr>
                <w:rFonts w:ascii="宋体" w:hAnsi="宋体" w:eastAsia="宋体" w:cs="宋体"/>
                <w:spacing w:val="1"/>
                <w:sz w:val="20"/>
                <w:szCs w:val="20"/>
              </w:rPr>
              <w:t>∑〔单价措施项目∑（省人机单价</w:t>
            </w:r>
            <w:r>
              <w:rPr>
                <w:rFonts w:ascii="宋体" w:hAnsi="宋体" w:eastAsia="宋体" w:cs="宋体"/>
                <w:spacing w:val="-56"/>
                <w:sz w:val="20"/>
                <w:szCs w:val="20"/>
              </w:rPr>
              <w:t xml:space="preserve"> </w:t>
            </w:r>
            <w:r>
              <w:rPr>
                <w:rFonts w:ascii="宋体" w:hAnsi="宋体" w:eastAsia="宋体" w:cs="宋体"/>
                <w:spacing w:val="1"/>
                <w:sz w:val="20"/>
                <w:szCs w:val="20"/>
              </w:rPr>
              <w:t>×定额人机消耗</w:t>
            </w:r>
            <w:r>
              <w:rPr>
                <w:rFonts w:ascii="宋体" w:hAnsi="宋体" w:eastAsia="宋体" w:cs="宋体"/>
                <w:sz w:val="20"/>
                <w:szCs w:val="20"/>
              </w:rPr>
              <w:t>量）</w:t>
            </w:r>
            <w:r>
              <w:rPr>
                <w:rFonts w:ascii="宋体" w:hAnsi="宋体" w:eastAsia="宋体" w:cs="宋体"/>
                <w:spacing w:val="-55"/>
                <w:sz w:val="20"/>
                <w:szCs w:val="20"/>
              </w:rPr>
              <w:t xml:space="preserve"> </w:t>
            </w:r>
            <w:r>
              <w:rPr>
                <w:rFonts w:ascii="宋体" w:hAnsi="宋体" w:eastAsia="宋体" w:cs="宋体"/>
                <w:sz w:val="20"/>
                <w:szCs w:val="20"/>
              </w:rPr>
              <w:t>×单价措施项目工程量〕</w:t>
            </w:r>
            <w:r>
              <w:rPr>
                <w:rFonts w:ascii="宋体" w:hAnsi="宋体" w:eastAsia="宋体" w:cs="宋体"/>
                <w:spacing w:val="-35"/>
                <w:sz w:val="20"/>
                <w:szCs w:val="20"/>
              </w:rPr>
              <w:t xml:space="preserve"> </w:t>
            </w:r>
            <w:r>
              <w:rPr>
                <w:rFonts w:ascii="宋体" w:hAnsi="宋体" w:eastAsia="宋体" w:cs="宋体"/>
                <w:sz w:val="20"/>
                <w:szCs w:val="20"/>
              </w:rPr>
              <w:t>+ ∑（JD</w:t>
            </w:r>
            <w:r>
              <w:rPr>
                <w:rFonts w:ascii="宋体" w:hAnsi="宋体" w:eastAsia="宋体" w:cs="宋体"/>
                <w:position w:val="-4"/>
                <w:sz w:val="10"/>
                <w:szCs w:val="10"/>
              </w:rPr>
              <w:t xml:space="preserve">1 </w:t>
            </w:r>
            <w:r>
              <w:rPr>
                <w:rFonts w:ascii="宋体" w:hAnsi="宋体" w:eastAsia="宋体" w:cs="宋体"/>
                <w:sz w:val="20"/>
                <w:szCs w:val="20"/>
              </w:rPr>
              <w:t>×措施费费率</w:t>
            </w:r>
            <w:r>
              <w:rPr>
                <w:rFonts w:ascii="宋体" w:hAnsi="宋体" w:eastAsia="宋体" w:cs="宋体"/>
                <w:spacing w:val="-42"/>
                <w:sz w:val="20"/>
                <w:szCs w:val="20"/>
              </w:rPr>
              <w:t xml:space="preserve"> </w:t>
            </w:r>
            <w:r>
              <w:rPr>
                <w:rFonts w:ascii="宋体" w:hAnsi="宋体" w:eastAsia="宋体" w:cs="宋体"/>
                <w:sz w:val="20"/>
                <w:szCs w:val="20"/>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8" w:hRule="atLeast"/>
        </w:trPr>
        <w:tc>
          <w:tcPr>
            <w:tcW w:w="1060" w:type="dxa"/>
            <w:vMerge w:val="continue"/>
            <w:tcBorders>
              <w:top w:val="nil"/>
              <w:left w:val="single" w:color="000000" w:sz="6" w:space="0"/>
              <w:bottom w:val="single" w:color="000000" w:sz="6" w:space="0"/>
            </w:tcBorders>
            <w:vAlign w:val="top"/>
          </w:tcPr>
          <w:p>
            <w:pPr>
              <w:pStyle w:val="6"/>
            </w:pPr>
          </w:p>
        </w:tc>
        <w:tc>
          <w:tcPr>
            <w:tcW w:w="899" w:type="dxa"/>
            <w:vMerge w:val="continue"/>
            <w:tcBorders>
              <w:top w:val="nil"/>
              <w:bottom w:val="single" w:color="000000" w:sz="6" w:space="0"/>
            </w:tcBorders>
            <w:vAlign w:val="top"/>
          </w:tcPr>
          <w:p>
            <w:pPr>
              <w:pStyle w:val="6"/>
            </w:pPr>
          </w:p>
        </w:tc>
        <w:tc>
          <w:tcPr>
            <w:tcW w:w="595" w:type="dxa"/>
            <w:tcBorders>
              <w:bottom w:val="single" w:color="000000" w:sz="6" w:space="0"/>
            </w:tcBorders>
            <w:vAlign w:val="top"/>
          </w:tcPr>
          <w:p>
            <w:pPr>
              <w:spacing w:before="158" w:line="187" w:lineRule="auto"/>
              <w:ind w:left="224"/>
              <w:rPr>
                <w:rFonts w:ascii="宋体" w:hAnsi="宋体" w:eastAsia="宋体" w:cs="宋体"/>
                <w:sz w:val="20"/>
                <w:szCs w:val="20"/>
              </w:rPr>
            </w:pPr>
            <w:r>
              <w:rPr>
                <w:rFonts w:ascii="宋体" w:hAnsi="宋体" w:eastAsia="宋体" w:cs="宋体"/>
                <w:spacing w:val="12"/>
                <w:w w:val="129"/>
                <w:sz w:val="20"/>
                <w:szCs w:val="20"/>
              </w:rPr>
              <w:t>H</w:t>
            </w:r>
          </w:p>
        </w:tc>
        <w:tc>
          <w:tcPr>
            <w:tcW w:w="6758" w:type="dxa"/>
            <w:tcBorders>
              <w:bottom w:val="single" w:color="000000" w:sz="6" w:space="0"/>
              <w:right w:val="single" w:color="000000" w:sz="6" w:space="0"/>
            </w:tcBorders>
            <w:vAlign w:val="top"/>
          </w:tcPr>
          <w:p>
            <w:pPr>
              <w:spacing w:before="119" w:line="276" w:lineRule="exact"/>
              <w:ind w:left="115"/>
              <w:rPr>
                <w:rFonts w:ascii="宋体" w:hAnsi="宋体" w:eastAsia="宋体" w:cs="宋体"/>
                <w:sz w:val="20"/>
                <w:szCs w:val="20"/>
              </w:rPr>
            </w:pPr>
            <w:r>
              <w:rPr>
                <w:rFonts w:ascii="宋体" w:hAnsi="宋体" w:eastAsia="宋体" w:cs="宋体"/>
                <w:spacing w:val="13"/>
                <w:position w:val="1"/>
                <w:sz w:val="20"/>
                <w:szCs w:val="20"/>
              </w:rPr>
              <w:t>总价措施费人机费含量（%）</w:t>
            </w:r>
          </w:p>
        </w:tc>
      </w:tr>
    </w:tbl>
    <w:p>
      <w:pPr>
        <w:spacing w:before="200" w:line="235" w:lineRule="auto"/>
        <w:ind w:left="542"/>
        <w:rPr>
          <w:rFonts w:ascii="楷体" w:hAnsi="楷体" w:eastAsia="楷体" w:cs="楷体"/>
          <w:sz w:val="24"/>
          <w:szCs w:val="24"/>
        </w:rPr>
      </w:pPr>
      <w:r>
        <w:rPr>
          <w:rFonts w:ascii="楷体" w:hAnsi="楷体" w:eastAsia="楷体" w:cs="楷体"/>
          <w:spacing w:val="-3"/>
          <w:sz w:val="24"/>
          <w:szCs w:val="24"/>
        </w:rPr>
        <w:t>（</w:t>
      </w:r>
      <w:r>
        <w:rPr>
          <w:rFonts w:ascii="楷体" w:hAnsi="楷体" w:eastAsia="楷体" w:cs="楷体"/>
          <w:spacing w:val="-71"/>
          <w:sz w:val="24"/>
          <w:szCs w:val="24"/>
        </w:rPr>
        <w:t xml:space="preserve"> </w:t>
      </w:r>
      <w:r>
        <w:rPr>
          <w:rFonts w:ascii="楷体" w:hAnsi="楷体" w:eastAsia="楷体" w:cs="楷体"/>
          <w:spacing w:val="-3"/>
          <w:sz w:val="24"/>
          <w:szCs w:val="24"/>
        </w:rPr>
        <w:t>二）建筑安装工程费用相关费率</w:t>
      </w:r>
    </w:p>
    <w:p>
      <w:pPr>
        <w:spacing w:before="81" w:line="278" w:lineRule="exact"/>
        <w:ind w:left="570"/>
        <w:rPr>
          <w:rFonts w:ascii="宋体" w:hAnsi="宋体" w:eastAsia="宋体" w:cs="宋体"/>
          <w:sz w:val="20"/>
          <w:szCs w:val="20"/>
        </w:rPr>
      </w:pPr>
      <w:r>
        <w:rPr>
          <w:rFonts w:ascii="宋体" w:hAnsi="宋体" w:eastAsia="宋体" w:cs="宋体"/>
          <w:b/>
          <w:bCs/>
          <w:spacing w:val="1"/>
          <w:position w:val="1"/>
          <w:sz w:val="20"/>
          <w:szCs w:val="20"/>
        </w:rPr>
        <w:t>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建筑工程费用相关费率</w:t>
      </w:r>
    </w:p>
    <w:p>
      <w:pPr>
        <w:pStyle w:val="2"/>
        <w:spacing w:before="130" w:line="190" w:lineRule="auto"/>
        <w:ind w:left="3620"/>
        <w:rPr>
          <w:sz w:val="20"/>
          <w:szCs w:val="20"/>
        </w:rPr>
      </w:pPr>
      <w:r>
        <w:rPr>
          <w:spacing w:val="8"/>
          <w:sz w:val="20"/>
          <w:szCs w:val="20"/>
        </w:rPr>
        <w:t>建筑工程费用相关费率</w:t>
      </w:r>
    </w:p>
    <w:tbl>
      <w:tblPr>
        <w:tblStyle w:val="5"/>
        <w:tblW w:w="9291"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1427"/>
        <w:gridCol w:w="1628"/>
        <w:gridCol w:w="1745"/>
        <w:gridCol w:w="1890"/>
        <w:gridCol w:w="17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3901" w:type="dxa"/>
            <w:gridSpan w:val="3"/>
            <w:vMerge w:val="restart"/>
            <w:tcBorders>
              <w:top w:val="single" w:color="000000" w:sz="6" w:space="0"/>
              <w:left w:val="single" w:color="000000" w:sz="6" w:space="0"/>
              <w:bottom w:val="nil"/>
            </w:tcBorders>
            <w:vAlign w:val="top"/>
          </w:tcPr>
          <w:p>
            <w:pPr>
              <w:pStyle w:val="6"/>
              <w:spacing w:line="280" w:lineRule="auto"/>
            </w:pPr>
          </w:p>
          <w:p>
            <w:pPr>
              <w:spacing w:before="86" w:line="209" w:lineRule="auto"/>
              <w:ind w:left="1221"/>
              <w:rPr>
                <w:rFonts w:ascii="微软雅黑" w:hAnsi="微软雅黑" w:eastAsia="微软雅黑" w:cs="微软雅黑"/>
                <w:sz w:val="20"/>
                <w:szCs w:val="20"/>
              </w:rPr>
            </w:pPr>
            <w:r>
              <w:rPr>
                <w:rFonts w:ascii="微软雅黑" w:hAnsi="微软雅黑" w:eastAsia="微软雅黑" w:cs="微软雅黑"/>
                <w:spacing w:val="-2"/>
                <w:sz w:val="20"/>
                <w:szCs w:val="20"/>
              </w:rPr>
              <w:t>费</w:t>
            </w:r>
            <w:r>
              <w:rPr>
                <w:rFonts w:ascii="微软雅黑" w:hAnsi="微软雅黑" w:eastAsia="微软雅黑" w:cs="微软雅黑"/>
                <w:spacing w:val="15"/>
                <w:sz w:val="20"/>
                <w:szCs w:val="20"/>
              </w:rPr>
              <w:t xml:space="preserve">   </w:t>
            </w:r>
            <w:r>
              <w:rPr>
                <w:rFonts w:ascii="微软雅黑" w:hAnsi="微软雅黑" w:eastAsia="微软雅黑" w:cs="微软雅黑"/>
                <w:spacing w:val="-2"/>
                <w:sz w:val="20"/>
                <w:szCs w:val="20"/>
              </w:rPr>
              <w:t>用</w:t>
            </w:r>
            <w:r>
              <w:rPr>
                <w:rFonts w:ascii="微软雅黑" w:hAnsi="微软雅黑" w:eastAsia="微软雅黑" w:cs="微软雅黑"/>
                <w:spacing w:val="14"/>
                <w:sz w:val="20"/>
                <w:szCs w:val="20"/>
              </w:rPr>
              <w:t xml:space="preserve">   </w:t>
            </w:r>
            <w:r>
              <w:rPr>
                <w:rFonts w:ascii="微软雅黑" w:hAnsi="微软雅黑" w:eastAsia="微软雅黑" w:cs="微软雅黑"/>
                <w:spacing w:val="-2"/>
                <w:sz w:val="20"/>
                <w:szCs w:val="20"/>
              </w:rPr>
              <w:t>名</w:t>
            </w:r>
            <w:r>
              <w:rPr>
                <w:rFonts w:ascii="微软雅黑" w:hAnsi="微软雅黑" w:eastAsia="微软雅黑" w:cs="微软雅黑"/>
                <w:spacing w:val="14"/>
                <w:sz w:val="20"/>
                <w:szCs w:val="20"/>
              </w:rPr>
              <w:t xml:space="preserve">   </w:t>
            </w:r>
            <w:r>
              <w:rPr>
                <w:rFonts w:ascii="微软雅黑" w:hAnsi="微软雅黑" w:eastAsia="微软雅黑" w:cs="微软雅黑"/>
                <w:spacing w:val="-2"/>
                <w:sz w:val="20"/>
                <w:szCs w:val="20"/>
              </w:rPr>
              <w:t>称</w:t>
            </w:r>
          </w:p>
        </w:tc>
        <w:tc>
          <w:tcPr>
            <w:tcW w:w="1745" w:type="dxa"/>
            <w:vMerge w:val="restart"/>
            <w:tcBorders>
              <w:top w:val="single" w:color="000000" w:sz="6" w:space="0"/>
              <w:bottom w:val="nil"/>
            </w:tcBorders>
            <w:vAlign w:val="top"/>
          </w:tcPr>
          <w:p>
            <w:pPr>
              <w:pStyle w:val="6"/>
              <w:spacing w:line="280" w:lineRule="auto"/>
            </w:pPr>
          </w:p>
          <w:p>
            <w:pPr>
              <w:spacing w:before="86" w:line="209" w:lineRule="auto"/>
              <w:ind w:left="458"/>
              <w:rPr>
                <w:rFonts w:ascii="微软雅黑" w:hAnsi="微软雅黑" w:eastAsia="微软雅黑" w:cs="微软雅黑"/>
                <w:sz w:val="20"/>
                <w:szCs w:val="20"/>
              </w:rPr>
            </w:pPr>
            <w:r>
              <w:rPr>
                <w:rFonts w:ascii="微软雅黑" w:hAnsi="微软雅黑" w:eastAsia="微软雅黑" w:cs="微软雅黑"/>
                <w:spacing w:val="7"/>
                <w:sz w:val="20"/>
                <w:szCs w:val="20"/>
              </w:rPr>
              <w:t>计算基础</w:t>
            </w:r>
          </w:p>
        </w:tc>
        <w:tc>
          <w:tcPr>
            <w:tcW w:w="3645" w:type="dxa"/>
            <w:gridSpan w:val="2"/>
            <w:tcBorders>
              <w:top w:val="single" w:color="000000" w:sz="6" w:space="0"/>
              <w:right w:val="single" w:color="000000" w:sz="6" w:space="0"/>
            </w:tcBorders>
            <w:vAlign w:val="top"/>
          </w:tcPr>
          <w:p>
            <w:pPr>
              <w:spacing w:before="142" w:line="203" w:lineRule="auto"/>
              <w:ind w:left="1319"/>
              <w:rPr>
                <w:rFonts w:ascii="微软雅黑" w:hAnsi="微软雅黑" w:eastAsia="微软雅黑" w:cs="微软雅黑"/>
                <w:sz w:val="20"/>
                <w:szCs w:val="20"/>
              </w:rPr>
            </w:pPr>
            <w:r>
              <w:rPr>
                <w:rFonts w:ascii="微软雅黑" w:hAnsi="微软雅黑" w:eastAsia="微软雅黑" w:cs="微软雅黑"/>
                <w:spacing w:val="-6"/>
                <w:sz w:val="20"/>
                <w:szCs w:val="20"/>
              </w:rPr>
              <w:t>费率（ %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901" w:type="dxa"/>
            <w:gridSpan w:val="3"/>
            <w:vMerge w:val="continue"/>
            <w:tcBorders>
              <w:top w:val="nil"/>
              <w:left w:val="single" w:color="000000" w:sz="6" w:space="0"/>
            </w:tcBorders>
            <w:vAlign w:val="top"/>
          </w:tcPr>
          <w:p>
            <w:pPr>
              <w:pStyle w:val="6"/>
            </w:pPr>
          </w:p>
        </w:tc>
        <w:tc>
          <w:tcPr>
            <w:tcW w:w="1745" w:type="dxa"/>
            <w:vMerge w:val="continue"/>
            <w:tcBorders>
              <w:top w:val="nil"/>
            </w:tcBorders>
            <w:vAlign w:val="top"/>
          </w:tcPr>
          <w:p>
            <w:pPr>
              <w:pStyle w:val="6"/>
            </w:pPr>
          </w:p>
        </w:tc>
        <w:tc>
          <w:tcPr>
            <w:tcW w:w="1890" w:type="dxa"/>
            <w:vAlign w:val="top"/>
          </w:tcPr>
          <w:p>
            <w:pPr>
              <w:spacing w:before="143" w:line="206" w:lineRule="auto"/>
              <w:ind w:left="744"/>
              <w:rPr>
                <w:rFonts w:ascii="微软雅黑" w:hAnsi="微软雅黑" w:eastAsia="微软雅黑" w:cs="微软雅黑"/>
                <w:sz w:val="20"/>
                <w:szCs w:val="20"/>
              </w:rPr>
            </w:pPr>
            <w:r>
              <w:rPr>
                <w:rFonts w:ascii="微软雅黑" w:hAnsi="微软雅黑" w:eastAsia="微软雅黑" w:cs="微软雅黑"/>
                <w:spacing w:val="4"/>
                <w:sz w:val="20"/>
                <w:szCs w:val="20"/>
              </w:rPr>
              <w:t>建筑</w:t>
            </w:r>
          </w:p>
        </w:tc>
        <w:tc>
          <w:tcPr>
            <w:tcW w:w="1755" w:type="dxa"/>
            <w:tcBorders>
              <w:right w:val="single" w:color="000000" w:sz="6" w:space="0"/>
            </w:tcBorders>
            <w:vAlign w:val="top"/>
          </w:tcPr>
          <w:p>
            <w:pPr>
              <w:spacing w:before="143" w:line="206" w:lineRule="auto"/>
              <w:ind w:left="669"/>
              <w:rPr>
                <w:rFonts w:ascii="微软雅黑" w:hAnsi="微软雅黑" w:eastAsia="微软雅黑" w:cs="微软雅黑"/>
                <w:sz w:val="20"/>
                <w:szCs w:val="20"/>
              </w:rPr>
            </w:pPr>
            <w:r>
              <w:rPr>
                <w:rFonts w:ascii="微软雅黑" w:hAnsi="微软雅黑" w:eastAsia="微软雅黑" w:cs="微软雅黑"/>
                <w:spacing w:val="5"/>
                <w:sz w:val="20"/>
                <w:szCs w:val="20"/>
              </w:rPr>
              <w:t>装饰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restart"/>
            <w:tcBorders>
              <w:left w:val="single" w:color="000000" w:sz="6" w:space="0"/>
              <w:bottom w:val="nil"/>
            </w:tcBorders>
            <w:vAlign w:val="top"/>
          </w:tcPr>
          <w:p>
            <w:pPr>
              <w:pStyle w:val="6"/>
              <w:spacing w:line="299" w:lineRule="auto"/>
            </w:pPr>
          </w:p>
          <w:p>
            <w:pPr>
              <w:spacing w:before="65" w:line="213" w:lineRule="auto"/>
              <w:ind w:left="214"/>
              <w:rPr>
                <w:rFonts w:ascii="宋体" w:hAnsi="宋体" w:eastAsia="宋体" w:cs="宋体"/>
                <w:sz w:val="20"/>
                <w:szCs w:val="20"/>
              </w:rPr>
            </w:pPr>
            <w:r>
              <w:rPr>
                <w:rFonts w:ascii="宋体" w:hAnsi="宋体" w:eastAsia="宋体" w:cs="宋体"/>
                <w:spacing w:val="2"/>
                <w:sz w:val="20"/>
                <w:szCs w:val="20"/>
              </w:rPr>
              <w:t>总价</w:t>
            </w:r>
          </w:p>
          <w:p>
            <w:pPr>
              <w:spacing w:before="128" w:line="216" w:lineRule="auto"/>
              <w:ind w:left="205"/>
              <w:rPr>
                <w:rFonts w:ascii="宋体" w:hAnsi="宋体" w:eastAsia="宋体" w:cs="宋体"/>
                <w:sz w:val="20"/>
                <w:szCs w:val="20"/>
              </w:rPr>
            </w:pPr>
            <w:r>
              <w:rPr>
                <w:rFonts w:ascii="宋体" w:hAnsi="宋体" w:eastAsia="宋体" w:cs="宋体"/>
                <w:spacing w:val="7"/>
                <w:sz w:val="20"/>
                <w:szCs w:val="20"/>
              </w:rPr>
              <w:t>措施</w:t>
            </w:r>
          </w:p>
          <w:p>
            <w:pPr>
              <w:spacing w:before="126" w:line="219" w:lineRule="auto"/>
              <w:ind w:left="318"/>
              <w:rPr>
                <w:rFonts w:ascii="宋体" w:hAnsi="宋体" w:eastAsia="宋体" w:cs="宋体"/>
                <w:sz w:val="20"/>
                <w:szCs w:val="20"/>
              </w:rPr>
            </w:pPr>
            <w:r>
              <w:rPr>
                <w:rFonts w:ascii="宋体" w:hAnsi="宋体" w:eastAsia="宋体" w:cs="宋体"/>
                <w:sz w:val="20"/>
                <w:szCs w:val="20"/>
              </w:rPr>
              <w:t>费</w:t>
            </w:r>
          </w:p>
        </w:tc>
        <w:tc>
          <w:tcPr>
            <w:tcW w:w="3055" w:type="dxa"/>
            <w:gridSpan w:val="2"/>
            <w:vAlign w:val="top"/>
          </w:tcPr>
          <w:p>
            <w:pPr>
              <w:spacing w:before="108" w:line="272" w:lineRule="exact"/>
              <w:ind w:left="123"/>
              <w:rPr>
                <w:rFonts w:ascii="宋体" w:hAnsi="宋体" w:eastAsia="宋体" w:cs="宋体"/>
                <w:sz w:val="20"/>
                <w:szCs w:val="20"/>
              </w:rPr>
            </w:pPr>
            <w:r>
              <w:rPr>
                <w:rFonts w:ascii="宋体" w:hAnsi="宋体" w:eastAsia="宋体" w:cs="宋体"/>
                <w:spacing w:val="-1"/>
                <w:position w:val="1"/>
                <w:sz w:val="20"/>
                <w:szCs w:val="20"/>
              </w:rPr>
              <w:t>1.夜间施工增加费</w:t>
            </w:r>
          </w:p>
        </w:tc>
        <w:tc>
          <w:tcPr>
            <w:tcW w:w="1745" w:type="dxa"/>
            <w:vMerge w:val="restart"/>
            <w:tcBorders>
              <w:bottom w:val="nil"/>
            </w:tcBorders>
            <w:vAlign w:val="top"/>
          </w:tcPr>
          <w:p>
            <w:pPr>
              <w:pStyle w:val="6"/>
              <w:spacing w:line="458" w:lineRule="auto"/>
            </w:pPr>
          </w:p>
          <w:p>
            <w:pPr>
              <w:spacing w:before="65" w:line="217" w:lineRule="auto"/>
              <w:ind w:left="351"/>
              <w:rPr>
                <w:rFonts w:ascii="宋体" w:hAnsi="宋体" w:eastAsia="宋体" w:cs="宋体"/>
                <w:sz w:val="20"/>
                <w:szCs w:val="20"/>
              </w:rPr>
            </w:pPr>
            <w:r>
              <w:rPr>
                <w:rFonts w:ascii="宋体" w:hAnsi="宋体" w:eastAsia="宋体" w:cs="宋体"/>
                <w:spacing w:val="8"/>
                <w:sz w:val="20"/>
                <w:szCs w:val="20"/>
              </w:rPr>
              <w:t>省价人工费</w:t>
            </w:r>
          </w:p>
        </w:tc>
        <w:tc>
          <w:tcPr>
            <w:tcW w:w="1890" w:type="dxa"/>
            <w:vAlign w:val="top"/>
          </w:tcPr>
          <w:p>
            <w:pPr>
              <w:spacing w:before="122" w:line="239" w:lineRule="auto"/>
              <w:ind w:left="768"/>
              <w:rPr>
                <w:rFonts w:ascii="宋体" w:hAnsi="宋体" w:eastAsia="宋体" w:cs="宋体"/>
                <w:sz w:val="20"/>
                <w:szCs w:val="20"/>
              </w:rPr>
            </w:pPr>
            <w:r>
              <w:rPr>
                <w:rFonts w:ascii="宋体" w:hAnsi="宋体" w:eastAsia="宋体" w:cs="宋体"/>
                <w:spacing w:val="-11"/>
                <w:sz w:val="20"/>
                <w:szCs w:val="20"/>
              </w:rPr>
              <w:t>2.55</w:t>
            </w:r>
          </w:p>
        </w:tc>
        <w:tc>
          <w:tcPr>
            <w:tcW w:w="1755" w:type="dxa"/>
            <w:tcBorders>
              <w:right w:val="single" w:color="000000" w:sz="6" w:space="0"/>
            </w:tcBorders>
            <w:vAlign w:val="top"/>
          </w:tcPr>
          <w:p>
            <w:pPr>
              <w:spacing w:before="122" w:line="239" w:lineRule="auto"/>
              <w:ind w:left="701"/>
              <w:rPr>
                <w:rFonts w:ascii="宋体" w:hAnsi="宋体" w:eastAsia="宋体" w:cs="宋体"/>
                <w:sz w:val="20"/>
                <w:szCs w:val="20"/>
              </w:rPr>
            </w:pPr>
            <w:r>
              <w:rPr>
                <w:rFonts w:ascii="宋体" w:hAnsi="宋体" w:eastAsia="宋体" w:cs="宋体"/>
                <w:spacing w:val="-12"/>
                <w:sz w:val="20"/>
                <w:szCs w:val="20"/>
              </w:rPr>
              <w:t>3.64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22" w:line="239" w:lineRule="auto"/>
              <w:ind w:left="106"/>
              <w:rPr>
                <w:rFonts w:ascii="宋体" w:hAnsi="宋体" w:eastAsia="宋体" w:cs="宋体"/>
                <w:sz w:val="20"/>
                <w:szCs w:val="20"/>
              </w:rPr>
            </w:pPr>
            <w:r>
              <w:rPr>
                <w:rFonts w:ascii="宋体" w:hAnsi="宋体" w:eastAsia="宋体" w:cs="宋体"/>
                <w:spacing w:val="-1"/>
                <w:sz w:val="20"/>
                <w:szCs w:val="20"/>
              </w:rPr>
              <w:t>2.二次搬运费</w:t>
            </w:r>
          </w:p>
        </w:tc>
        <w:tc>
          <w:tcPr>
            <w:tcW w:w="1745" w:type="dxa"/>
            <w:vMerge w:val="continue"/>
            <w:tcBorders>
              <w:top w:val="nil"/>
              <w:bottom w:val="nil"/>
            </w:tcBorders>
            <w:vAlign w:val="top"/>
          </w:tcPr>
          <w:p>
            <w:pPr>
              <w:pStyle w:val="6"/>
            </w:pPr>
          </w:p>
        </w:tc>
        <w:tc>
          <w:tcPr>
            <w:tcW w:w="1890" w:type="dxa"/>
            <w:vAlign w:val="top"/>
          </w:tcPr>
          <w:p>
            <w:pPr>
              <w:spacing w:before="122" w:line="239" w:lineRule="auto"/>
              <w:ind w:left="768"/>
              <w:rPr>
                <w:rFonts w:ascii="宋体" w:hAnsi="宋体" w:eastAsia="宋体" w:cs="宋体"/>
                <w:sz w:val="20"/>
                <w:szCs w:val="20"/>
              </w:rPr>
            </w:pPr>
            <w:r>
              <w:rPr>
                <w:rFonts w:ascii="宋体" w:hAnsi="宋体" w:eastAsia="宋体" w:cs="宋体"/>
                <w:spacing w:val="-11"/>
                <w:sz w:val="20"/>
                <w:szCs w:val="20"/>
              </w:rPr>
              <w:t>2.18</w:t>
            </w:r>
          </w:p>
        </w:tc>
        <w:tc>
          <w:tcPr>
            <w:tcW w:w="1755" w:type="dxa"/>
            <w:tcBorders>
              <w:right w:val="single" w:color="000000" w:sz="6" w:space="0"/>
            </w:tcBorders>
            <w:vAlign w:val="top"/>
          </w:tcPr>
          <w:p>
            <w:pPr>
              <w:spacing w:before="122" w:line="239" w:lineRule="auto"/>
              <w:ind w:left="701"/>
              <w:rPr>
                <w:rFonts w:ascii="宋体" w:hAnsi="宋体" w:eastAsia="宋体" w:cs="宋体"/>
                <w:sz w:val="20"/>
                <w:szCs w:val="20"/>
              </w:rPr>
            </w:pPr>
            <w:r>
              <w:rPr>
                <w:rFonts w:ascii="宋体" w:hAnsi="宋体" w:eastAsia="宋体" w:cs="宋体"/>
                <w:spacing w:val="-12"/>
                <w:sz w:val="20"/>
                <w:szCs w:val="20"/>
              </w:rPr>
              <w:t>3.28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22" w:line="239" w:lineRule="auto"/>
              <w:ind w:left="109"/>
              <w:rPr>
                <w:rFonts w:ascii="宋体" w:hAnsi="宋体" w:eastAsia="宋体" w:cs="宋体"/>
                <w:sz w:val="20"/>
                <w:szCs w:val="20"/>
              </w:rPr>
            </w:pPr>
            <w:r>
              <w:rPr>
                <w:rFonts w:ascii="宋体" w:hAnsi="宋体" w:eastAsia="宋体" w:cs="宋体"/>
                <w:spacing w:val="2"/>
                <w:sz w:val="20"/>
                <w:szCs w:val="20"/>
              </w:rPr>
              <w:t>3.冬雨季施工增加费</w:t>
            </w:r>
          </w:p>
        </w:tc>
        <w:tc>
          <w:tcPr>
            <w:tcW w:w="1745" w:type="dxa"/>
            <w:vMerge w:val="continue"/>
            <w:tcBorders>
              <w:top w:val="nil"/>
            </w:tcBorders>
            <w:vAlign w:val="top"/>
          </w:tcPr>
          <w:p>
            <w:pPr>
              <w:pStyle w:val="6"/>
            </w:pPr>
          </w:p>
        </w:tc>
        <w:tc>
          <w:tcPr>
            <w:tcW w:w="1890" w:type="dxa"/>
            <w:vAlign w:val="top"/>
          </w:tcPr>
          <w:p>
            <w:pPr>
              <w:spacing w:before="122" w:line="239" w:lineRule="auto"/>
              <w:ind w:left="768"/>
              <w:rPr>
                <w:rFonts w:ascii="宋体" w:hAnsi="宋体" w:eastAsia="宋体" w:cs="宋体"/>
                <w:sz w:val="20"/>
                <w:szCs w:val="20"/>
              </w:rPr>
            </w:pPr>
            <w:r>
              <w:rPr>
                <w:rFonts w:ascii="宋体" w:hAnsi="宋体" w:eastAsia="宋体" w:cs="宋体"/>
                <w:spacing w:val="-11"/>
                <w:sz w:val="20"/>
                <w:szCs w:val="20"/>
              </w:rPr>
              <w:t>2.91</w:t>
            </w:r>
          </w:p>
        </w:tc>
        <w:tc>
          <w:tcPr>
            <w:tcW w:w="1755" w:type="dxa"/>
            <w:tcBorders>
              <w:right w:val="single" w:color="000000" w:sz="6" w:space="0"/>
            </w:tcBorders>
            <w:vAlign w:val="top"/>
          </w:tcPr>
          <w:p>
            <w:pPr>
              <w:spacing w:before="122" w:line="239" w:lineRule="auto"/>
              <w:ind w:left="694"/>
              <w:rPr>
                <w:rFonts w:ascii="宋体" w:hAnsi="宋体" w:eastAsia="宋体" w:cs="宋体"/>
                <w:sz w:val="20"/>
                <w:szCs w:val="20"/>
              </w:rPr>
            </w:pPr>
            <w:r>
              <w:rPr>
                <w:rFonts w:ascii="宋体" w:hAnsi="宋体" w:eastAsia="宋体" w:cs="宋体"/>
                <w:spacing w:val="-10"/>
                <w:sz w:val="20"/>
                <w:szCs w:val="20"/>
              </w:rPr>
              <w:t>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continue"/>
            <w:tcBorders>
              <w:top w:val="nil"/>
              <w:left w:val="single" w:color="000000" w:sz="6" w:space="0"/>
            </w:tcBorders>
            <w:vAlign w:val="top"/>
          </w:tcPr>
          <w:p>
            <w:pPr>
              <w:pStyle w:val="6"/>
            </w:pPr>
          </w:p>
        </w:tc>
        <w:tc>
          <w:tcPr>
            <w:tcW w:w="3055" w:type="dxa"/>
            <w:gridSpan w:val="2"/>
            <w:vAlign w:val="top"/>
          </w:tcPr>
          <w:p>
            <w:pPr>
              <w:spacing w:before="125" w:line="236" w:lineRule="auto"/>
              <w:ind w:left="103"/>
              <w:rPr>
                <w:rFonts w:ascii="宋体" w:hAnsi="宋体" w:eastAsia="宋体" w:cs="宋体"/>
                <w:sz w:val="20"/>
                <w:szCs w:val="20"/>
              </w:rPr>
            </w:pPr>
            <w:r>
              <w:rPr>
                <w:rFonts w:ascii="宋体" w:hAnsi="宋体" w:eastAsia="宋体" w:cs="宋体"/>
                <w:spacing w:val="4"/>
                <w:sz w:val="20"/>
                <w:szCs w:val="20"/>
              </w:rPr>
              <w:t>4.已完工程及设备保护费</w:t>
            </w:r>
          </w:p>
        </w:tc>
        <w:tc>
          <w:tcPr>
            <w:tcW w:w="1745" w:type="dxa"/>
            <w:vAlign w:val="top"/>
          </w:tcPr>
          <w:p>
            <w:pPr>
              <w:spacing w:before="125" w:line="236" w:lineRule="auto"/>
              <w:ind w:left="154"/>
              <w:rPr>
                <w:rFonts w:ascii="宋体" w:hAnsi="宋体" w:eastAsia="宋体" w:cs="宋体"/>
                <w:sz w:val="20"/>
                <w:szCs w:val="20"/>
              </w:rPr>
            </w:pPr>
            <w:r>
              <w:rPr>
                <w:rFonts w:ascii="宋体" w:hAnsi="宋体" w:eastAsia="宋体" w:cs="宋体"/>
                <w:spacing w:val="5"/>
                <w:sz w:val="20"/>
                <w:szCs w:val="20"/>
              </w:rPr>
              <w:t>省价人、材、机</w:t>
            </w:r>
          </w:p>
        </w:tc>
        <w:tc>
          <w:tcPr>
            <w:tcW w:w="1890" w:type="dxa"/>
            <w:vAlign w:val="top"/>
          </w:tcPr>
          <w:p>
            <w:pPr>
              <w:spacing w:before="125" w:line="236" w:lineRule="auto"/>
              <w:ind w:left="767"/>
              <w:rPr>
                <w:rFonts w:ascii="宋体" w:hAnsi="宋体" w:eastAsia="宋体" w:cs="宋体"/>
                <w:sz w:val="20"/>
                <w:szCs w:val="20"/>
              </w:rPr>
            </w:pPr>
            <w:r>
              <w:rPr>
                <w:rFonts w:ascii="宋体" w:hAnsi="宋体" w:eastAsia="宋体" w:cs="宋体"/>
                <w:spacing w:val="-11"/>
                <w:sz w:val="20"/>
                <w:szCs w:val="20"/>
              </w:rPr>
              <w:t>0.15</w:t>
            </w:r>
          </w:p>
        </w:tc>
        <w:tc>
          <w:tcPr>
            <w:tcW w:w="1755" w:type="dxa"/>
            <w:tcBorders>
              <w:right w:val="single" w:color="000000" w:sz="6" w:space="0"/>
            </w:tcBorders>
            <w:vAlign w:val="top"/>
          </w:tcPr>
          <w:p>
            <w:pPr>
              <w:spacing w:before="125" w:line="236" w:lineRule="auto"/>
              <w:ind w:left="697"/>
              <w:rPr>
                <w:rFonts w:ascii="宋体" w:hAnsi="宋体" w:eastAsia="宋体" w:cs="宋体"/>
                <w:sz w:val="20"/>
                <w:szCs w:val="20"/>
              </w:rPr>
            </w:pPr>
            <w:r>
              <w:rPr>
                <w:rFonts w:ascii="宋体" w:hAnsi="宋体" w:eastAsia="宋体" w:cs="宋体"/>
                <w:spacing w:val="-11"/>
                <w:sz w:val="20"/>
                <w:szCs w:val="20"/>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3901" w:type="dxa"/>
            <w:gridSpan w:val="3"/>
            <w:tcBorders>
              <w:left w:val="single" w:color="000000" w:sz="6" w:space="0"/>
            </w:tcBorders>
            <w:vAlign w:val="top"/>
          </w:tcPr>
          <w:p>
            <w:pPr>
              <w:spacing w:before="130" w:line="220" w:lineRule="auto"/>
              <w:ind w:left="1423"/>
              <w:rPr>
                <w:rFonts w:ascii="宋体" w:hAnsi="宋体" w:eastAsia="宋体" w:cs="宋体"/>
                <w:sz w:val="20"/>
                <w:szCs w:val="20"/>
              </w:rPr>
            </w:pPr>
            <w:r>
              <w:rPr>
                <w:rFonts w:ascii="宋体" w:hAnsi="宋体" w:eastAsia="宋体" w:cs="宋体"/>
                <w:spacing w:val="8"/>
                <w:sz w:val="20"/>
                <w:szCs w:val="20"/>
              </w:rPr>
              <w:t>企业管理费</w:t>
            </w:r>
          </w:p>
        </w:tc>
        <w:tc>
          <w:tcPr>
            <w:tcW w:w="1745" w:type="dxa"/>
            <w:vMerge w:val="restart"/>
            <w:tcBorders>
              <w:bottom w:val="nil"/>
            </w:tcBorders>
            <w:vAlign w:val="top"/>
          </w:tcPr>
          <w:p>
            <w:pPr>
              <w:spacing w:before="149" w:line="287" w:lineRule="auto"/>
              <w:ind w:left="557" w:right="556" w:firstLine="107"/>
              <w:rPr>
                <w:rFonts w:ascii="宋体" w:hAnsi="宋体" w:eastAsia="宋体" w:cs="宋体"/>
                <w:sz w:val="20"/>
                <w:szCs w:val="20"/>
              </w:rPr>
            </w:pPr>
            <w:r>
              <w:rPr>
                <w:rFonts w:ascii="宋体" w:hAnsi="宋体" w:eastAsia="宋体" w:cs="宋体"/>
                <w:spacing w:val="6"/>
                <w:sz w:val="20"/>
                <w:szCs w:val="20"/>
              </w:rPr>
              <w:t>省价</w:t>
            </w:r>
            <w:r>
              <w:rPr>
                <w:rFonts w:ascii="宋体" w:hAnsi="宋体" w:eastAsia="宋体" w:cs="宋体"/>
                <w:spacing w:val="8"/>
                <w:sz w:val="20"/>
                <w:szCs w:val="20"/>
              </w:rPr>
              <w:t>人工费</w:t>
            </w:r>
          </w:p>
        </w:tc>
        <w:tc>
          <w:tcPr>
            <w:tcW w:w="1890" w:type="dxa"/>
            <w:vAlign w:val="top"/>
          </w:tcPr>
          <w:p>
            <w:pPr>
              <w:spacing w:before="125" w:line="236" w:lineRule="auto"/>
              <w:ind w:left="765"/>
              <w:rPr>
                <w:rFonts w:ascii="宋体" w:hAnsi="宋体" w:eastAsia="宋体" w:cs="宋体"/>
                <w:sz w:val="20"/>
                <w:szCs w:val="20"/>
              </w:rPr>
            </w:pPr>
            <w:r>
              <w:rPr>
                <w:rFonts w:ascii="宋体" w:hAnsi="宋体" w:eastAsia="宋体" w:cs="宋体"/>
                <w:spacing w:val="-10"/>
                <w:sz w:val="20"/>
                <w:szCs w:val="20"/>
              </w:rPr>
              <w:t>43.4</w:t>
            </w:r>
          </w:p>
        </w:tc>
        <w:tc>
          <w:tcPr>
            <w:tcW w:w="1755" w:type="dxa"/>
            <w:tcBorders>
              <w:right w:val="single" w:color="000000" w:sz="6" w:space="0"/>
            </w:tcBorders>
            <w:vAlign w:val="top"/>
          </w:tcPr>
          <w:p>
            <w:pPr>
              <w:spacing w:before="112" w:line="269" w:lineRule="exact"/>
              <w:ind w:left="698"/>
              <w:rPr>
                <w:rFonts w:ascii="宋体" w:hAnsi="宋体" w:eastAsia="宋体" w:cs="宋体"/>
                <w:sz w:val="20"/>
                <w:szCs w:val="20"/>
              </w:rPr>
            </w:pPr>
            <w:r>
              <w:rPr>
                <w:rFonts w:ascii="宋体" w:hAnsi="宋体" w:eastAsia="宋体" w:cs="宋体"/>
                <w:spacing w:val="-11"/>
                <w:position w:val="1"/>
                <w:sz w:val="20"/>
                <w:szCs w:val="20"/>
              </w:rPr>
              <w:t>66.2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5" w:hRule="atLeast"/>
        </w:trPr>
        <w:tc>
          <w:tcPr>
            <w:tcW w:w="3901" w:type="dxa"/>
            <w:gridSpan w:val="3"/>
            <w:tcBorders>
              <w:left w:val="single" w:color="000000" w:sz="6" w:space="0"/>
            </w:tcBorders>
            <w:vAlign w:val="top"/>
          </w:tcPr>
          <w:p>
            <w:pPr>
              <w:spacing w:before="120" w:line="217" w:lineRule="auto"/>
              <w:ind w:left="1738"/>
              <w:rPr>
                <w:rFonts w:ascii="宋体" w:hAnsi="宋体" w:eastAsia="宋体" w:cs="宋体"/>
                <w:sz w:val="20"/>
                <w:szCs w:val="20"/>
              </w:rPr>
            </w:pPr>
            <w:r>
              <w:rPr>
                <w:rFonts w:ascii="宋体" w:hAnsi="宋体" w:eastAsia="宋体" w:cs="宋体"/>
                <w:spacing w:val="6"/>
                <w:sz w:val="20"/>
                <w:szCs w:val="20"/>
              </w:rPr>
              <w:t>利润</w:t>
            </w:r>
          </w:p>
        </w:tc>
        <w:tc>
          <w:tcPr>
            <w:tcW w:w="1745" w:type="dxa"/>
            <w:vMerge w:val="continue"/>
            <w:tcBorders>
              <w:top w:val="nil"/>
            </w:tcBorders>
            <w:vAlign w:val="top"/>
          </w:tcPr>
          <w:p>
            <w:pPr>
              <w:pStyle w:val="6"/>
            </w:pPr>
          </w:p>
        </w:tc>
        <w:tc>
          <w:tcPr>
            <w:tcW w:w="1890" w:type="dxa"/>
            <w:vAlign w:val="top"/>
          </w:tcPr>
          <w:p>
            <w:pPr>
              <w:spacing w:before="122" w:line="233" w:lineRule="auto"/>
              <w:ind w:left="771"/>
              <w:rPr>
                <w:rFonts w:ascii="宋体" w:hAnsi="宋体" w:eastAsia="宋体" w:cs="宋体"/>
                <w:sz w:val="20"/>
                <w:szCs w:val="20"/>
              </w:rPr>
            </w:pPr>
            <w:r>
              <w:rPr>
                <w:rFonts w:ascii="宋体" w:hAnsi="宋体" w:eastAsia="宋体" w:cs="宋体"/>
                <w:spacing w:val="-12"/>
                <w:sz w:val="20"/>
                <w:szCs w:val="20"/>
              </w:rPr>
              <w:t>35.8</w:t>
            </w:r>
          </w:p>
        </w:tc>
        <w:tc>
          <w:tcPr>
            <w:tcW w:w="1755" w:type="dxa"/>
            <w:tcBorders>
              <w:right w:val="single" w:color="000000" w:sz="6" w:space="0"/>
            </w:tcBorders>
            <w:vAlign w:val="top"/>
          </w:tcPr>
          <w:p>
            <w:pPr>
              <w:spacing w:before="122" w:line="233" w:lineRule="auto"/>
              <w:ind w:left="701"/>
              <w:rPr>
                <w:rFonts w:ascii="宋体" w:hAnsi="宋体" w:eastAsia="宋体" w:cs="宋体"/>
                <w:sz w:val="20"/>
                <w:szCs w:val="20"/>
              </w:rPr>
            </w:pPr>
            <w:r>
              <w:rPr>
                <w:rFonts w:ascii="宋体" w:hAnsi="宋体" w:eastAsia="宋体" w:cs="宋体"/>
                <w:spacing w:val="-12"/>
                <w:sz w:val="20"/>
                <w:szCs w:val="20"/>
              </w:rPr>
              <w:t>36.7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restart"/>
            <w:tcBorders>
              <w:left w:val="single" w:color="000000" w:sz="6" w:space="0"/>
              <w:bottom w:val="nil"/>
            </w:tcBorders>
            <w:vAlign w:val="top"/>
          </w:tcPr>
          <w:p>
            <w:pPr>
              <w:pStyle w:val="6"/>
            </w:pPr>
          </w:p>
          <w:p>
            <w:pPr>
              <w:pStyle w:val="6"/>
            </w:pPr>
          </w:p>
          <w:p>
            <w:pPr>
              <w:pStyle w:val="6"/>
            </w:pPr>
          </w:p>
          <w:p>
            <w:pPr>
              <w:pStyle w:val="6"/>
            </w:pPr>
          </w:p>
          <w:p>
            <w:pPr>
              <w:pStyle w:val="6"/>
              <w:spacing w:line="241" w:lineRule="auto"/>
            </w:pPr>
          </w:p>
          <w:p>
            <w:pPr>
              <w:spacing w:before="65" w:line="219" w:lineRule="auto"/>
              <w:ind w:left="207"/>
              <w:rPr>
                <w:rFonts w:ascii="宋体" w:hAnsi="宋体" w:eastAsia="宋体" w:cs="宋体"/>
                <w:sz w:val="20"/>
                <w:szCs w:val="20"/>
              </w:rPr>
            </w:pPr>
            <w:r>
              <w:rPr>
                <w:rFonts w:ascii="宋体" w:hAnsi="宋体" w:eastAsia="宋体" w:cs="宋体"/>
                <w:spacing w:val="6"/>
                <w:sz w:val="20"/>
                <w:szCs w:val="20"/>
              </w:rPr>
              <w:t>规费</w:t>
            </w:r>
          </w:p>
        </w:tc>
        <w:tc>
          <w:tcPr>
            <w:tcW w:w="3055" w:type="dxa"/>
            <w:gridSpan w:val="2"/>
            <w:vAlign w:val="top"/>
          </w:tcPr>
          <w:p>
            <w:pPr>
              <w:spacing w:before="135" w:line="219" w:lineRule="auto"/>
              <w:ind w:left="105"/>
              <w:rPr>
                <w:rFonts w:ascii="宋体" w:hAnsi="宋体" w:eastAsia="宋体" w:cs="宋体"/>
                <w:sz w:val="20"/>
                <w:szCs w:val="20"/>
              </w:rPr>
            </w:pPr>
            <w:r>
              <w:rPr>
                <w:rFonts w:ascii="宋体" w:hAnsi="宋体" w:eastAsia="宋体" w:cs="宋体"/>
                <w:spacing w:val="9"/>
                <w:sz w:val="20"/>
                <w:szCs w:val="20"/>
              </w:rPr>
              <w:t>安全文明施工费</w:t>
            </w:r>
          </w:p>
        </w:tc>
        <w:tc>
          <w:tcPr>
            <w:tcW w:w="1745" w:type="dxa"/>
            <w:vMerge w:val="restart"/>
            <w:tcBorders>
              <w:bottom w:val="nil"/>
            </w:tcBorders>
            <w:vAlign w:val="top"/>
          </w:tcPr>
          <w:p>
            <w:pPr>
              <w:pStyle w:val="6"/>
              <w:spacing w:line="254" w:lineRule="auto"/>
            </w:pPr>
          </w:p>
          <w:p>
            <w:pPr>
              <w:pStyle w:val="6"/>
              <w:spacing w:line="254" w:lineRule="auto"/>
            </w:pPr>
          </w:p>
          <w:p>
            <w:pPr>
              <w:pStyle w:val="6"/>
              <w:spacing w:line="254" w:lineRule="auto"/>
            </w:pPr>
          </w:p>
          <w:p>
            <w:pPr>
              <w:pStyle w:val="6"/>
              <w:spacing w:line="255" w:lineRule="auto"/>
            </w:pPr>
          </w:p>
          <w:p>
            <w:pPr>
              <w:spacing w:before="65" w:line="219" w:lineRule="auto"/>
              <w:ind w:left="350"/>
              <w:rPr>
                <w:rFonts w:ascii="宋体" w:hAnsi="宋体" w:eastAsia="宋体" w:cs="宋体"/>
                <w:sz w:val="20"/>
                <w:szCs w:val="20"/>
              </w:rPr>
            </w:pPr>
            <w:r>
              <w:rPr>
                <w:rFonts w:ascii="宋体" w:hAnsi="宋体" w:eastAsia="宋体" w:cs="宋体"/>
                <w:spacing w:val="8"/>
                <w:sz w:val="20"/>
                <w:szCs w:val="20"/>
              </w:rPr>
              <w:t>规费前造价</w:t>
            </w:r>
          </w:p>
        </w:tc>
        <w:tc>
          <w:tcPr>
            <w:tcW w:w="1890" w:type="dxa"/>
            <w:vAlign w:val="top"/>
          </w:tcPr>
          <w:p>
            <w:pPr>
              <w:spacing w:before="128" w:line="233" w:lineRule="auto"/>
              <w:ind w:left="768"/>
              <w:rPr>
                <w:rFonts w:ascii="宋体" w:hAnsi="宋体" w:eastAsia="宋体" w:cs="宋体"/>
                <w:sz w:val="20"/>
                <w:szCs w:val="20"/>
              </w:rPr>
            </w:pPr>
            <w:r>
              <w:rPr>
                <w:rFonts w:ascii="宋体" w:hAnsi="宋体" w:eastAsia="宋体" w:cs="宋体"/>
                <w:spacing w:val="-11"/>
                <w:sz w:val="20"/>
                <w:szCs w:val="20"/>
              </w:rPr>
              <w:t>5.64</w:t>
            </w:r>
          </w:p>
        </w:tc>
        <w:tc>
          <w:tcPr>
            <w:tcW w:w="1755" w:type="dxa"/>
            <w:tcBorders>
              <w:right w:val="single" w:color="000000" w:sz="6" w:space="0"/>
            </w:tcBorders>
            <w:vAlign w:val="top"/>
          </w:tcPr>
          <w:p>
            <w:pPr>
              <w:spacing w:before="128" w:line="233" w:lineRule="auto"/>
              <w:ind w:left="697"/>
              <w:rPr>
                <w:rFonts w:ascii="宋体" w:hAnsi="宋体" w:eastAsia="宋体" w:cs="宋体"/>
                <w:sz w:val="20"/>
                <w:szCs w:val="20"/>
              </w:rPr>
            </w:pPr>
            <w:r>
              <w:rPr>
                <w:rFonts w:ascii="宋体" w:hAnsi="宋体" w:eastAsia="宋体" w:cs="宋体"/>
                <w:spacing w:val="-11"/>
                <w:sz w:val="20"/>
                <w:szCs w:val="20"/>
              </w:rPr>
              <w:t>5.32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28" w:line="233" w:lineRule="auto"/>
              <w:ind w:left="103"/>
              <w:rPr>
                <w:rFonts w:ascii="宋体" w:hAnsi="宋体" w:eastAsia="宋体" w:cs="宋体"/>
                <w:sz w:val="20"/>
                <w:szCs w:val="20"/>
              </w:rPr>
            </w:pPr>
            <w:r>
              <w:rPr>
                <w:rFonts w:ascii="宋体" w:hAnsi="宋体" w:eastAsia="宋体" w:cs="宋体"/>
                <w:spacing w:val="9"/>
                <w:sz w:val="20"/>
                <w:szCs w:val="20"/>
              </w:rPr>
              <w:t>社会保险费</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28" w:line="233" w:lineRule="auto"/>
              <w:ind w:left="1659"/>
              <w:rPr>
                <w:rFonts w:ascii="宋体" w:hAnsi="宋体" w:eastAsia="宋体" w:cs="宋体"/>
                <w:sz w:val="20"/>
                <w:szCs w:val="20"/>
              </w:rPr>
            </w:pPr>
            <w:r>
              <w:rPr>
                <w:rFonts w:ascii="宋体" w:hAnsi="宋体" w:eastAsia="宋体" w:cs="宋体"/>
                <w:spacing w:val="-15"/>
                <w:sz w:val="20"/>
                <w:szCs w:val="20"/>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28" w:line="233" w:lineRule="auto"/>
              <w:ind w:left="104"/>
              <w:rPr>
                <w:rFonts w:ascii="宋体" w:hAnsi="宋体" w:eastAsia="宋体" w:cs="宋体"/>
                <w:sz w:val="20"/>
                <w:szCs w:val="20"/>
              </w:rPr>
            </w:pPr>
            <w:r>
              <w:rPr>
                <w:rFonts w:ascii="宋体" w:hAnsi="宋体" w:eastAsia="宋体" w:cs="宋体"/>
                <w:spacing w:val="9"/>
                <w:sz w:val="20"/>
                <w:szCs w:val="20"/>
              </w:rPr>
              <w:t>建设项目工伤保险</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28" w:line="233" w:lineRule="auto"/>
              <w:ind w:left="1588"/>
              <w:rPr>
                <w:rFonts w:ascii="宋体" w:hAnsi="宋体" w:eastAsia="宋体" w:cs="宋体"/>
                <w:sz w:val="20"/>
                <w:szCs w:val="20"/>
              </w:rPr>
            </w:pPr>
            <w:r>
              <w:rPr>
                <w:rFonts w:ascii="宋体" w:hAnsi="宋体" w:eastAsia="宋体" w:cs="宋体"/>
                <w:spacing w:val="-8"/>
                <w:sz w:val="20"/>
                <w:szCs w:val="20"/>
              </w:rPr>
              <w:t>0.105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9" w:hRule="atLeast"/>
        </w:trPr>
        <w:tc>
          <w:tcPr>
            <w:tcW w:w="846" w:type="dxa"/>
            <w:vMerge w:val="continue"/>
            <w:tcBorders>
              <w:top w:val="nil"/>
              <w:left w:val="single" w:color="000000" w:sz="6" w:space="0"/>
              <w:bottom w:val="nil"/>
            </w:tcBorders>
            <w:vAlign w:val="top"/>
          </w:tcPr>
          <w:p>
            <w:pPr>
              <w:pStyle w:val="6"/>
            </w:pPr>
          </w:p>
        </w:tc>
        <w:tc>
          <w:tcPr>
            <w:tcW w:w="1427" w:type="dxa"/>
            <w:vMerge w:val="restart"/>
            <w:tcBorders>
              <w:bottom w:val="nil"/>
            </w:tcBorders>
            <w:vAlign w:val="top"/>
          </w:tcPr>
          <w:p>
            <w:pPr>
              <w:pStyle w:val="6"/>
              <w:spacing w:line="428" w:lineRule="auto"/>
            </w:pPr>
          </w:p>
          <w:p>
            <w:pPr>
              <w:spacing w:before="65" w:line="219" w:lineRule="auto"/>
              <w:ind w:left="183"/>
              <w:rPr>
                <w:rFonts w:ascii="宋体" w:hAnsi="宋体" w:eastAsia="宋体" w:cs="宋体"/>
                <w:sz w:val="20"/>
                <w:szCs w:val="20"/>
              </w:rPr>
            </w:pPr>
            <w:r>
              <w:rPr>
                <w:rFonts w:ascii="宋体" w:hAnsi="宋体" w:eastAsia="宋体" w:cs="宋体"/>
                <w:spacing w:val="8"/>
                <w:sz w:val="20"/>
                <w:szCs w:val="20"/>
              </w:rPr>
              <w:t>优质优价费</w:t>
            </w:r>
          </w:p>
        </w:tc>
        <w:tc>
          <w:tcPr>
            <w:tcW w:w="1628" w:type="dxa"/>
            <w:vAlign w:val="top"/>
          </w:tcPr>
          <w:p>
            <w:pPr>
              <w:spacing w:before="122" w:line="209" w:lineRule="auto"/>
              <w:ind w:left="518"/>
              <w:rPr>
                <w:rFonts w:ascii="宋体" w:hAnsi="宋体" w:eastAsia="宋体" w:cs="宋体"/>
                <w:sz w:val="20"/>
                <w:szCs w:val="20"/>
              </w:rPr>
            </w:pPr>
            <w:r>
              <w:rPr>
                <w:rFonts w:ascii="宋体" w:hAnsi="宋体" w:eastAsia="宋体" w:cs="宋体"/>
                <w:spacing w:val="1"/>
                <w:sz w:val="20"/>
                <w:szCs w:val="20"/>
              </w:rPr>
              <w:t>国家级</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16" w:line="215" w:lineRule="auto"/>
              <w:ind w:left="1659"/>
              <w:rPr>
                <w:rFonts w:ascii="宋体" w:hAnsi="宋体" w:eastAsia="宋体" w:cs="宋体"/>
                <w:sz w:val="20"/>
                <w:szCs w:val="20"/>
              </w:rPr>
            </w:pPr>
            <w:r>
              <w:rPr>
                <w:rFonts w:ascii="宋体" w:hAnsi="宋体" w:eastAsia="宋体" w:cs="宋体"/>
                <w:spacing w:val="-16"/>
                <w:sz w:val="20"/>
                <w:szCs w:val="20"/>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9" w:hRule="atLeast"/>
        </w:trPr>
        <w:tc>
          <w:tcPr>
            <w:tcW w:w="846" w:type="dxa"/>
            <w:vMerge w:val="continue"/>
            <w:tcBorders>
              <w:top w:val="nil"/>
              <w:left w:val="single" w:color="000000" w:sz="6" w:space="0"/>
              <w:bottom w:val="nil"/>
            </w:tcBorders>
            <w:vAlign w:val="top"/>
          </w:tcPr>
          <w:p>
            <w:pPr>
              <w:pStyle w:val="6"/>
            </w:pPr>
          </w:p>
        </w:tc>
        <w:tc>
          <w:tcPr>
            <w:tcW w:w="1427" w:type="dxa"/>
            <w:vMerge w:val="continue"/>
            <w:tcBorders>
              <w:top w:val="nil"/>
              <w:bottom w:val="nil"/>
            </w:tcBorders>
            <w:vAlign w:val="top"/>
          </w:tcPr>
          <w:p>
            <w:pPr>
              <w:pStyle w:val="6"/>
            </w:pPr>
          </w:p>
        </w:tc>
        <w:tc>
          <w:tcPr>
            <w:tcW w:w="1628" w:type="dxa"/>
            <w:vAlign w:val="top"/>
          </w:tcPr>
          <w:p>
            <w:pPr>
              <w:spacing w:before="127" w:line="204" w:lineRule="auto"/>
              <w:ind w:left="604"/>
              <w:rPr>
                <w:rFonts w:ascii="宋体" w:hAnsi="宋体" w:eastAsia="宋体" w:cs="宋体"/>
                <w:sz w:val="20"/>
                <w:szCs w:val="20"/>
              </w:rPr>
            </w:pPr>
            <w:r>
              <w:rPr>
                <w:rFonts w:ascii="宋体" w:hAnsi="宋体" w:eastAsia="宋体" w:cs="宋体"/>
                <w:spacing w:val="6"/>
                <w:sz w:val="20"/>
                <w:szCs w:val="20"/>
              </w:rPr>
              <w:t>省级</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19" w:line="212" w:lineRule="auto"/>
              <w:ind w:left="1659"/>
              <w:rPr>
                <w:rFonts w:ascii="宋体" w:hAnsi="宋体" w:eastAsia="宋体" w:cs="宋体"/>
                <w:sz w:val="20"/>
                <w:szCs w:val="20"/>
              </w:rPr>
            </w:pPr>
            <w:r>
              <w:rPr>
                <w:rFonts w:ascii="宋体" w:hAnsi="宋体" w:eastAsia="宋体" w:cs="宋体"/>
                <w:spacing w:val="-16"/>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2" w:hRule="atLeast"/>
        </w:trPr>
        <w:tc>
          <w:tcPr>
            <w:tcW w:w="846" w:type="dxa"/>
            <w:vMerge w:val="continue"/>
            <w:tcBorders>
              <w:top w:val="nil"/>
              <w:left w:val="single" w:color="000000" w:sz="6" w:space="0"/>
              <w:bottom w:val="nil"/>
            </w:tcBorders>
            <w:vAlign w:val="top"/>
          </w:tcPr>
          <w:p>
            <w:pPr>
              <w:pStyle w:val="6"/>
            </w:pPr>
          </w:p>
        </w:tc>
        <w:tc>
          <w:tcPr>
            <w:tcW w:w="1427" w:type="dxa"/>
            <w:vMerge w:val="continue"/>
            <w:tcBorders>
              <w:top w:val="nil"/>
            </w:tcBorders>
            <w:vAlign w:val="top"/>
          </w:tcPr>
          <w:p>
            <w:pPr>
              <w:pStyle w:val="6"/>
            </w:pPr>
          </w:p>
        </w:tc>
        <w:tc>
          <w:tcPr>
            <w:tcW w:w="1628" w:type="dxa"/>
            <w:vAlign w:val="top"/>
          </w:tcPr>
          <w:p>
            <w:pPr>
              <w:spacing w:before="133" w:line="218" w:lineRule="auto"/>
              <w:ind w:left="604"/>
              <w:rPr>
                <w:rFonts w:ascii="宋体" w:hAnsi="宋体" w:eastAsia="宋体" w:cs="宋体"/>
                <w:sz w:val="20"/>
                <w:szCs w:val="20"/>
              </w:rPr>
            </w:pPr>
            <w:r>
              <w:rPr>
                <w:rFonts w:ascii="宋体" w:hAnsi="宋体" w:eastAsia="宋体" w:cs="宋体"/>
                <w:spacing w:val="6"/>
                <w:sz w:val="20"/>
                <w:szCs w:val="20"/>
              </w:rPr>
              <w:t>市级</w:t>
            </w:r>
          </w:p>
        </w:tc>
        <w:tc>
          <w:tcPr>
            <w:tcW w:w="1745" w:type="dxa"/>
            <w:vMerge w:val="continue"/>
            <w:tcBorders>
              <w:top w:val="nil"/>
            </w:tcBorders>
            <w:vAlign w:val="top"/>
          </w:tcPr>
          <w:p>
            <w:pPr>
              <w:pStyle w:val="6"/>
            </w:pPr>
          </w:p>
        </w:tc>
        <w:tc>
          <w:tcPr>
            <w:tcW w:w="3645" w:type="dxa"/>
            <w:gridSpan w:val="2"/>
            <w:tcBorders>
              <w:right w:val="single" w:color="000000" w:sz="6" w:space="0"/>
            </w:tcBorders>
            <w:vAlign w:val="top"/>
          </w:tcPr>
          <w:p>
            <w:pPr>
              <w:spacing w:before="127" w:line="226" w:lineRule="auto"/>
              <w:ind w:left="1641"/>
              <w:rPr>
                <w:rFonts w:ascii="宋体" w:hAnsi="宋体" w:eastAsia="宋体" w:cs="宋体"/>
                <w:sz w:val="20"/>
                <w:szCs w:val="20"/>
              </w:rPr>
            </w:pPr>
            <w:r>
              <w:rPr>
                <w:rFonts w:ascii="宋体" w:hAnsi="宋体" w:eastAsia="宋体" w:cs="宋体"/>
                <w:spacing w:val="-12"/>
                <w:sz w:val="20"/>
                <w:szCs w:val="20"/>
              </w:rPr>
              <w:t>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8" w:hRule="atLeast"/>
        </w:trPr>
        <w:tc>
          <w:tcPr>
            <w:tcW w:w="846" w:type="dxa"/>
            <w:vMerge w:val="continue"/>
            <w:tcBorders>
              <w:top w:val="nil"/>
              <w:left w:val="single" w:color="000000" w:sz="6" w:space="0"/>
            </w:tcBorders>
            <w:vAlign w:val="top"/>
          </w:tcPr>
          <w:p>
            <w:pPr>
              <w:pStyle w:val="6"/>
            </w:pPr>
          </w:p>
        </w:tc>
        <w:tc>
          <w:tcPr>
            <w:tcW w:w="3055" w:type="dxa"/>
            <w:gridSpan w:val="2"/>
            <w:vAlign w:val="top"/>
          </w:tcPr>
          <w:p>
            <w:pPr>
              <w:spacing w:before="125" w:line="205" w:lineRule="auto"/>
              <w:ind w:left="999"/>
              <w:rPr>
                <w:rFonts w:ascii="宋体" w:hAnsi="宋体" w:eastAsia="宋体" w:cs="宋体"/>
                <w:sz w:val="20"/>
                <w:szCs w:val="20"/>
              </w:rPr>
            </w:pPr>
            <w:r>
              <w:rPr>
                <w:rFonts w:ascii="宋体" w:hAnsi="宋体" w:eastAsia="宋体" w:cs="宋体"/>
                <w:spacing w:val="9"/>
                <w:sz w:val="20"/>
                <w:szCs w:val="20"/>
              </w:rPr>
              <w:t>住房公积金</w:t>
            </w:r>
          </w:p>
        </w:tc>
        <w:tc>
          <w:tcPr>
            <w:tcW w:w="1745" w:type="dxa"/>
            <w:vAlign w:val="top"/>
          </w:tcPr>
          <w:p>
            <w:pPr>
              <w:spacing w:before="127" w:line="204" w:lineRule="auto"/>
              <w:ind w:left="351"/>
              <w:rPr>
                <w:rFonts w:ascii="宋体" w:hAnsi="宋体" w:eastAsia="宋体" w:cs="宋体"/>
                <w:sz w:val="20"/>
                <w:szCs w:val="20"/>
              </w:rPr>
            </w:pPr>
            <w:r>
              <w:rPr>
                <w:rFonts w:ascii="宋体" w:hAnsi="宋体" w:eastAsia="宋体" w:cs="宋体"/>
                <w:spacing w:val="8"/>
                <w:sz w:val="20"/>
                <w:szCs w:val="20"/>
              </w:rPr>
              <w:t>省价人工费</w:t>
            </w:r>
          </w:p>
        </w:tc>
        <w:tc>
          <w:tcPr>
            <w:tcW w:w="3645" w:type="dxa"/>
            <w:gridSpan w:val="2"/>
            <w:tcBorders>
              <w:right w:val="single" w:color="000000" w:sz="6" w:space="0"/>
            </w:tcBorders>
            <w:vAlign w:val="top"/>
          </w:tcPr>
          <w:p>
            <w:pPr>
              <w:spacing w:before="119" w:line="211" w:lineRule="auto"/>
              <w:ind w:left="1700"/>
              <w:rPr>
                <w:rFonts w:ascii="宋体" w:hAnsi="宋体" w:eastAsia="宋体" w:cs="宋体"/>
                <w:sz w:val="20"/>
                <w:szCs w:val="20"/>
              </w:rPr>
            </w:pPr>
            <w:r>
              <w:rPr>
                <w:rFonts w:ascii="宋体" w:hAnsi="宋体" w:eastAsia="宋体" w:cs="宋体"/>
                <w:spacing w:val="-18"/>
                <w:sz w:val="20"/>
                <w:szCs w:val="20"/>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846" w:type="dxa"/>
            <w:tcBorders>
              <w:left w:val="single" w:color="000000" w:sz="6" w:space="0"/>
              <w:bottom w:val="single" w:color="000000" w:sz="6" w:space="0"/>
            </w:tcBorders>
            <w:vAlign w:val="top"/>
          </w:tcPr>
          <w:p>
            <w:pPr>
              <w:spacing w:before="134" w:line="214" w:lineRule="auto"/>
              <w:ind w:left="204"/>
              <w:rPr>
                <w:rFonts w:ascii="宋体" w:hAnsi="宋体" w:eastAsia="宋体" w:cs="宋体"/>
                <w:sz w:val="20"/>
                <w:szCs w:val="20"/>
              </w:rPr>
            </w:pPr>
            <w:r>
              <w:rPr>
                <w:rFonts w:ascii="宋体" w:hAnsi="宋体" w:eastAsia="宋体" w:cs="宋体"/>
                <w:spacing w:val="7"/>
                <w:sz w:val="20"/>
                <w:szCs w:val="20"/>
              </w:rPr>
              <w:t>税金</w:t>
            </w:r>
          </w:p>
        </w:tc>
        <w:tc>
          <w:tcPr>
            <w:tcW w:w="3055" w:type="dxa"/>
            <w:gridSpan w:val="2"/>
            <w:tcBorders>
              <w:bottom w:val="single" w:color="000000" w:sz="6" w:space="0"/>
            </w:tcBorders>
            <w:vAlign w:val="top"/>
          </w:tcPr>
          <w:p>
            <w:pPr>
              <w:spacing w:before="130" w:line="222" w:lineRule="auto"/>
              <w:ind w:left="1210"/>
              <w:rPr>
                <w:rFonts w:ascii="宋体" w:hAnsi="宋体" w:eastAsia="宋体" w:cs="宋体"/>
                <w:sz w:val="20"/>
                <w:szCs w:val="20"/>
              </w:rPr>
            </w:pPr>
            <w:r>
              <w:rPr>
                <w:rFonts w:ascii="宋体" w:hAnsi="宋体" w:eastAsia="宋体" w:cs="宋体"/>
                <w:spacing w:val="8"/>
                <w:sz w:val="20"/>
                <w:szCs w:val="20"/>
              </w:rPr>
              <w:t>增值税</w:t>
            </w:r>
          </w:p>
        </w:tc>
        <w:tc>
          <w:tcPr>
            <w:tcW w:w="1745" w:type="dxa"/>
            <w:tcBorders>
              <w:bottom w:val="single" w:color="000000" w:sz="6" w:space="0"/>
            </w:tcBorders>
            <w:vAlign w:val="top"/>
          </w:tcPr>
          <w:p>
            <w:pPr>
              <w:spacing w:before="132" w:line="216" w:lineRule="auto"/>
              <w:ind w:left="453"/>
              <w:rPr>
                <w:rFonts w:ascii="宋体" w:hAnsi="宋体" w:eastAsia="宋体" w:cs="宋体"/>
                <w:sz w:val="20"/>
                <w:szCs w:val="20"/>
              </w:rPr>
            </w:pPr>
            <w:r>
              <w:rPr>
                <w:rFonts w:ascii="宋体" w:hAnsi="宋体" w:eastAsia="宋体" w:cs="宋体"/>
                <w:spacing w:val="8"/>
                <w:sz w:val="20"/>
                <w:szCs w:val="20"/>
              </w:rPr>
              <w:t>税前造价</w:t>
            </w:r>
          </w:p>
        </w:tc>
        <w:tc>
          <w:tcPr>
            <w:tcW w:w="3645" w:type="dxa"/>
            <w:gridSpan w:val="2"/>
            <w:tcBorders>
              <w:bottom w:val="single" w:color="000000" w:sz="6" w:space="0"/>
              <w:right w:val="single" w:color="000000" w:sz="6" w:space="0"/>
            </w:tcBorders>
            <w:vAlign w:val="top"/>
          </w:tcPr>
          <w:p>
            <w:pPr>
              <w:spacing w:before="126" w:line="232" w:lineRule="auto"/>
              <w:ind w:left="1774"/>
              <w:rPr>
                <w:rFonts w:ascii="宋体" w:hAnsi="宋体" w:eastAsia="宋体" w:cs="宋体"/>
                <w:sz w:val="20"/>
                <w:szCs w:val="20"/>
              </w:rPr>
            </w:pPr>
            <w:r>
              <w:rPr>
                <w:rFonts w:ascii="宋体" w:hAnsi="宋体" w:eastAsia="宋体" w:cs="宋体"/>
                <w:sz w:val="20"/>
                <w:szCs w:val="20"/>
              </w:rPr>
              <w:t>9</w:t>
            </w:r>
          </w:p>
        </w:tc>
      </w:tr>
    </w:tbl>
    <w:p>
      <w:pPr>
        <w:rPr>
          <w:rFonts w:ascii="Arial"/>
          <w:sz w:val="21"/>
        </w:rPr>
      </w:pPr>
    </w:p>
    <w:p>
      <w:pPr>
        <w:rPr>
          <w:rFonts w:ascii="Arial" w:hAnsi="Arial" w:eastAsia="Arial" w:cs="Arial"/>
          <w:sz w:val="21"/>
          <w:szCs w:val="21"/>
        </w:rPr>
        <w:sectPr>
          <w:footerReference r:id="rId13" w:type="default"/>
          <w:pgSz w:w="11905" w:h="16840"/>
          <w:pgMar w:top="1405" w:right="1289" w:bottom="1213" w:left="1288" w:header="0" w:footer="898" w:gutter="0"/>
        </w:sectPr>
      </w:pPr>
    </w:p>
    <w:p>
      <w:pPr>
        <w:spacing w:before="93" w:line="278" w:lineRule="exact"/>
        <w:ind w:left="542"/>
        <w:rPr>
          <w:rFonts w:ascii="宋体" w:hAnsi="宋体" w:eastAsia="宋体" w:cs="宋体"/>
          <w:sz w:val="20"/>
          <w:szCs w:val="20"/>
        </w:rPr>
      </w:pPr>
      <w:r>
        <w:rPr>
          <w:rFonts w:ascii="宋体" w:hAnsi="宋体" w:eastAsia="宋体" w:cs="宋体"/>
          <w:b/>
          <w:bCs/>
          <w:spacing w:val="3"/>
          <w:position w:val="1"/>
          <w:sz w:val="20"/>
          <w:szCs w:val="20"/>
        </w:rPr>
        <w:t>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安装工程费用相关费率</w:t>
      </w:r>
    </w:p>
    <w:p>
      <w:pPr>
        <w:pStyle w:val="2"/>
        <w:spacing w:before="129" w:line="190" w:lineRule="auto"/>
        <w:ind w:left="3614"/>
        <w:rPr>
          <w:sz w:val="20"/>
          <w:szCs w:val="20"/>
        </w:rPr>
      </w:pPr>
      <w:r>
        <w:rPr>
          <w:spacing w:val="8"/>
          <w:sz w:val="20"/>
          <w:szCs w:val="20"/>
        </w:rPr>
        <w:t>安装工程费用相关费率</w:t>
      </w: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1442"/>
        <w:gridCol w:w="1613"/>
        <w:gridCol w:w="1745"/>
        <w:gridCol w:w="1745"/>
        <w:gridCol w:w="1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3901" w:type="dxa"/>
            <w:gridSpan w:val="3"/>
            <w:vMerge w:val="restart"/>
            <w:tcBorders>
              <w:top w:val="single" w:color="000000" w:sz="6" w:space="0"/>
              <w:left w:val="single" w:color="000000" w:sz="6" w:space="0"/>
              <w:bottom w:val="nil"/>
            </w:tcBorders>
            <w:vAlign w:val="top"/>
          </w:tcPr>
          <w:p>
            <w:pPr>
              <w:pStyle w:val="6"/>
              <w:spacing w:line="280" w:lineRule="auto"/>
            </w:pPr>
          </w:p>
          <w:p>
            <w:pPr>
              <w:spacing w:before="86" w:line="209" w:lineRule="auto"/>
              <w:ind w:left="1221"/>
              <w:rPr>
                <w:rFonts w:ascii="微软雅黑" w:hAnsi="微软雅黑" w:eastAsia="微软雅黑" w:cs="微软雅黑"/>
                <w:sz w:val="20"/>
                <w:szCs w:val="20"/>
              </w:rPr>
            </w:pPr>
            <w:r>
              <w:rPr>
                <w:rFonts w:ascii="微软雅黑" w:hAnsi="微软雅黑" w:eastAsia="微软雅黑" w:cs="微软雅黑"/>
                <w:spacing w:val="-2"/>
                <w:sz w:val="20"/>
                <w:szCs w:val="20"/>
              </w:rPr>
              <w:t>费</w:t>
            </w:r>
            <w:r>
              <w:rPr>
                <w:rFonts w:ascii="微软雅黑" w:hAnsi="微软雅黑" w:eastAsia="微软雅黑" w:cs="微软雅黑"/>
                <w:spacing w:val="15"/>
                <w:sz w:val="20"/>
                <w:szCs w:val="20"/>
              </w:rPr>
              <w:t xml:space="preserve">   </w:t>
            </w:r>
            <w:r>
              <w:rPr>
                <w:rFonts w:ascii="微软雅黑" w:hAnsi="微软雅黑" w:eastAsia="微软雅黑" w:cs="微软雅黑"/>
                <w:spacing w:val="-2"/>
                <w:sz w:val="20"/>
                <w:szCs w:val="20"/>
              </w:rPr>
              <w:t>用</w:t>
            </w:r>
            <w:r>
              <w:rPr>
                <w:rFonts w:ascii="微软雅黑" w:hAnsi="微软雅黑" w:eastAsia="微软雅黑" w:cs="微软雅黑"/>
                <w:spacing w:val="14"/>
                <w:sz w:val="20"/>
                <w:szCs w:val="20"/>
              </w:rPr>
              <w:t xml:space="preserve">   </w:t>
            </w:r>
            <w:r>
              <w:rPr>
                <w:rFonts w:ascii="微软雅黑" w:hAnsi="微软雅黑" w:eastAsia="微软雅黑" w:cs="微软雅黑"/>
                <w:spacing w:val="-2"/>
                <w:sz w:val="20"/>
                <w:szCs w:val="20"/>
              </w:rPr>
              <w:t>名</w:t>
            </w:r>
            <w:r>
              <w:rPr>
                <w:rFonts w:ascii="微软雅黑" w:hAnsi="微软雅黑" w:eastAsia="微软雅黑" w:cs="微软雅黑"/>
                <w:spacing w:val="14"/>
                <w:sz w:val="20"/>
                <w:szCs w:val="20"/>
              </w:rPr>
              <w:t xml:space="preserve">   </w:t>
            </w:r>
            <w:r>
              <w:rPr>
                <w:rFonts w:ascii="微软雅黑" w:hAnsi="微软雅黑" w:eastAsia="微软雅黑" w:cs="微软雅黑"/>
                <w:spacing w:val="-2"/>
                <w:sz w:val="20"/>
                <w:szCs w:val="20"/>
              </w:rPr>
              <w:t>称</w:t>
            </w:r>
          </w:p>
        </w:tc>
        <w:tc>
          <w:tcPr>
            <w:tcW w:w="1745" w:type="dxa"/>
            <w:vMerge w:val="restart"/>
            <w:tcBorders>
              <w:top w:val="single" w:color="000000" w:sz="6" w:space="0"/>
              <w:bottom w:val="nil"/>
            </w:tcBorders>
            <w:vAlign w:val="top"/>
          </w:tcPr>
          <w:p>
            <w:pPr>
              <w:pStyle w:val="6"/>
              <w:spacing w:line="281" w:lineRule="auto"/>
            </w:pPr>
          </w:p>
          <w:p>
            <w:pPr>
              <w:spacing w:before="86" w:line="209" w:lineRule="auto"/>
              <w:ind w:left="458"/>
              <w:rPr>
                <w:rFonts w:ascii="微软雅黑" w:hAnsi="微软雅黑" w:eastAsia="微软雅黑" w:cs="微软雅黑"/>
                <w:sz w:val="20"/>
                <w:szCs w:val="20"/>
              </w:rPr>
            </w:pPr>
            <w:r>
              <w:rPr>
                <w:rFonts w:ascii="微软雅黑" w:hAnsi="微软雅黑" w:eastAsia="微软雅黑" w:cs="微软雅黑"/>
                <w:spacing w:val="7"/>
                <w:sz w:val="20"/>
                <w:szCs w:val="20"/>
              </w:rPr>
              <w:t>计算基础</w:t>
            </w:r>
          </w:p>
        </w:tc>
        <w:tc>
          <w:tcPr>
            <w:tcW w:w="3645" w:type="dxa"/>
            <w:gridSpan w:val="2"/>
            <w:tcBorders>
              <w:top w:val="single" w:color="000000" w:sz="6" w:space="0"/>
              <w:right w:val="single" w:color="000000" w:sz="6" w:space="0"/>
            </w:tcBorders>
            <w:vAlign w:val="top"/>
          </w:tcPr>
          <w:p>
            <w:pPr>
              <w:spacing w:before="142" w:line="203" w:lineRule="auto"/>
              <w:ind w:left="1319"/>
              <w:rPr>
                <w:rFonts w:ascii="微软雅黑" w:hAnsi="微软雅黑" w:eastAsia="微软雅黑" w:cs="微软雅黑"/>
                <w:sz w:val="20"/>
                <w:szCs w:val="20"/>
              </w:rPr>
            </w:pPr>
            <w:r>
              <w:rPr>
                <w:rFonts w:ascii="微软雅黑" w:hAnsi="微软雅黑" w:eastAsia="微软雅黑" w:cs="微软雅黑"/>
                <w:spacing w:val="-6"/>
                <w:sz w:val="20"/>
                <w:szCs w:val="20"/>
              </w:rPr>
              <w:t>费率（ %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901" w:type="dxa"/>
            <w:gridSpan w:val="3"/>
            <w:vMerge w:val="continue"/>
            <w:tcBorders>
              <w:top w:val="nil"/>
              <w:left w:val="single" w:color="000000" w:sz="6" w:space="0"/>
            </w:tcBorders>
            <w:vAlign w:val="top"/>
          </w:tcPr>
          <w:p>
            <w:pPr>
              <w:pStyle w:val="6"/>
            </w:pPr>
          </w:p>
        </w:tc>
        <w:tc>
          <w:tcPr>
            <w:tcW w:w="1745" w:type="dxa"/>
            <w:vMerge w:val="continue"/>
            <w:tcBorders>
              <w:top w:val="nil"/>
            </w:tcBorders>
            <w:vAlign w:val="top"/>
          </w:tcPr>
          <w:p>
            <w:pPr>
              <w:pStyle w:val="6"/>
            </w:pPr>
          </w:p>
        </w:tc>
        <w:tc>
          <w:tcPr>
            <w:tcW w:w="1745" w:type="dxa"/>
            <w:vAlign w:val="top"/>
          </w:tcPr>
          <w:p>
            <w:pPr>
              <w:spacing w:before="143" w:line="206" w:lineRule="auto"/>
              <w:ind w:left="473"/>
              <w:rPr>
                <w:rFonts w:ascii="微软雅黑" w:hAnsi="微软雅黑" w:eastAsia="微软雅黑" w:cs="微软雅黑"/>
                <w:sz w:val="20"/>
                <w:szCs w:val="20"/>
              </w:rPr>
            </w:pPr>
            <w:r>
              <w:rPr>
                <w:rFonts w:ascii="微软雅黑" w:hAnsi="微软雅黑" w:eastAsia="微软雅黑" w:cs="微软雅黑"/>
                <w:spacing w:val="4"/>
                <w:sz w:val="20"/>
                <w:szCs w:val="20"/>
              </w:rPr>
              <w:t>民用安装</w:t>
            </w:r>
          </w:p>
        </w:tc>
        <w:tc>
          <w:tcPr>
            <w:tcW w:w="1900" w:type="dxa"/>
            <w:tcBorders>
              <w:right w:val="single" w:color="000000" w:sz="6" w:space="0"/>
            </w:tcBorders>
            <w:vAlign w:val="top"/>
          </w:tcPr>
          <w:p>
            <w:pPr>
              <w:spacing w:before="143" w:line="206" w:lineRule="auto"/>
              <w:ind w:left="541"/>
              <w:rPr>
                <w:rFonts w:ascii="微软雅黑" w:hAnsi="微软雅黑" w:eastAsia="微软雅黑" w:cs="微软雅黑"/>
                <w:sz w:val="20"/>
                <w:szCs w:val="20"/>
              </w:rPr>
            </w:pPr>
            <w:r>
              <w:rPr>
                <w:rFonts w:ascii="微软雅黑" w:hAnsi="微软雅黑" w:eastAsia="微软雅黑" w:cs="微软雅黑"/>
                <w:spacing w:val="5"/>
                <w:sz w:val="20"/>
                <w:szCs w:val="20"/>
              </w:rPr>
              <w:t>工业安装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restart"/>
            <w:tcBorders>
              <w:left w:val="single" w:color="000000" w:sz="6" w:space="0"/>
              <w:bottom w:val="nil"/>
            </w:tcBorders>
            <w:vAlign w:val="top"/>
          </w:tcPr>
          <w:p>
            <w:pPr>
              <w:pStyle w:val="6"/>
              <w:spacing w:line="411" w:lineRule="auto"/>
            </w:pPr>
          </w:p>
          <w:p>
            <w:pPr>
              <w:spacing w:before="65" w:line="213" w:lineRule="auto"/>
              <w:ind w:left="214"/>
              <w:rPr>
                <w:rFonts w:ascii="宋体" w:hAnsi="宋体" w:eastAsia="宋体" w:cs="宋体"/>
                <w:sz w:val="20"/>
                <w:szCs w:val="20"/>
              </w:rPr>
            </w:pPr>
            <w:r>
              <w:rPr>
                <w:rFonts w:ascii="宋体" w:hAnsi="宋体" w:eastAsia="宋体" w:cs="宋体"/>
                <w:spacing w:val="2"/>
                <w:sz w:val="20"/>
                <w:szCs w:val="20"/>
              </w:rPr>
              <w:t>总价</w:t>
            </w:r>
          </w:p>
          <w:p>
            <w:pPr>
              <w:spacing w:before="128" w:line="216" w:lineRule="auto"/>
              <w:ind w:left="205"/>
              <w:rPr>
                <w:rFonts w:ascii="宋体" w:hAnsi="宋体" w:eastAsia="宋体" w:cs="宋体"/>
                <w:sz w:val="20"/>
                <w:szCs w:val="20"/>
              </w:rPr>
            </w:pPr>
            <w:r>
              <w:rPr>
                <w:rFonts w:ascii="宋体" w:hAnsi="宋体" w:eastAsia="宋体" w:cs="宋体"/>
                <w:spacing w:val="7"/>
                <w:sz w:val="20"/>
                <w:szCs w:val="20"/>
              </w:rPr>
              <w:t>措施</w:t>
            </w:r>
          </w:p>
          <w:p>
            <w:pPr>
              <w:spacing w:before="126" w:line="219" w:lineRule="auto"/>
              <w:ind w:left="318"/>
              <w:rPr>
                <w:rFonts w:ascii="宋体" w:hAnsi="宋体" w:eastAsia="宋体" w:cs="宋体"/>
                <w:sz w:val="20"/>
                <w:szCs w:val="20"/>
              </w:rPr>
            </w:pPr>
            <w:r>
              <w:rPr>
                <w:rFonts w:ascii="宋体" w:hAnsi="宋体" w:eastAsia="宋体" w:cs="宋体"/>
                <w:sz w:val="20"/>
                <w:szCs w:val="20"/>
              </w:rPr>
              <w:t>费</w:t>
            </w:r>
          </w:p>
        </w:tc>
        <w:tc>
          <w:tcPr>
            <w:tcW w:w="3055" w:type="dxa"/>
            <w:gridSpan w:val="2"/>
            <w:vAlign w:val="top"/>
          </w:tcPr>
          <w:p>
            <w:pPr>
              <w:spacing w:before="149" w:line="278" w:lineRule="exact"/>
              <w:ind w:left="123"/>
              <w:rPr>
                <w:rFonts w:ascii="宋体" w:hAnsi="宋体" w:eastAsia="宋体" w:cs="宋体"/>
                <w:sz w:val="20"/>
                <w:szCs w:val="20"/>
              </w:rPr>
            </w:pPr>
            <w:r>
              <w:rPr>
                <w:rFonts w:ascii="宋体" w:hAnsi="宋体" w:eastAsia="宋体" w:cs="宋体"/>
                <w:spacing w:val="-1"/>
                <w:position w:val="1"/>
                <w:sz w:val="20"/>
                <w:szCs w:val="20"/>
              </w:rPr>
              <w:t>1.夜间施工增加费</w:t>
            </w:r>
          </w:p>
        </w:tc>
        <w:tc>
          <w:tcPr>
            <w:tcW w:w="1745" w:type="dxa"/>
            <w:vMerge w:val="restart"/>
            <w:tcBorders>
              <w:bottom w:val="nil"/>
            </w:tcBorders>
            <w:vAlign w:val="top"/>
          </w:tcPr>
          <w:p>
            <w:pPr>
              <w:pStyle w:val="6"/>
              <w:spacing w:line="256" w:lineRule="auto"/>
            </w:pPr>
          </w:p>
          <w:p>
            <w:pPr>
              <w:pStyle w:val="6"/>
              <w:spacing w:line="256" w:lineRule="auto"/>
            </w:pPr>
          </w:p>
          <w:p>
            <w:pPr>
              <w:pStyle w:val="6"/>
              <w:spacing w:line="256" w:lineRule="auto"/>
            </w:pPr>
          </w:p>
          <w:p>
            <w:pPr>
              <w:spacing w:before="65" w:line="217" w:lineRule="auto"/>
              <w:ind w:left="351"/>
              <w:rPr>
                <w:rFonts w:ascii="宋体" w:hAnsi="宋体" w:eastAsia="宋体" w:cs="宋体"/>
                <w:sz w:val="20"/>
                <w:szCs w:val="20"/>
              </w:rPr>
            </w:pPr>
            <w:r>
              <w:rPr>
                <w:rFonts w:ascii="宋体" w:hAnsi="宋体" w:eastAsia="宋体" w:cs="宋体"/>
                <w:spacing w:val="8"/>
                <w:sz w:val="20"/>
                <w:szCs w:val="20"/>
              </w:rPr>
              <w:t>省价人工费</w:t>
            </w:r>
          </w:p>
        </w:tc>
        <w:tc>
          <w:tcPr>
            <w:tcW w:w="1745" w:type="dxa"/>
            <w:vAlign w:val="top"/>
          </w:tcPr>
          <w:p>
            <w:pPr>
              <w:spacing w:before="149" w:line="289" w:lineRule="exact"/>
              <w:ind w:left="696"/>
              <w:rPr>
                <w:rFonts w:ascii="宋体" w:hAnsi="宋体" w:eastAsia="宋体" w:cs="宋体"/>
                <w:sz w:val="20"/>
                <w:szCs w:val="20"/>
              </w:rPr>
            </w:pPr>
            <w:r>
              <w:rPr>
                <w:rFonts w:ascii="宋体" w:hAnsi="宋体" w:eastAsia="宋体" w:cs="宋体"/>
                <w:spacing w:val="-11"/>
                <w:position w:val="2"/>
                <w:sz w:val="20"/>
                <w:szCs w:val="20"/>
              </w:rPr>
              <w:t>2.50</w:t>
            </w:r>
          </w:p>
        </w:tc>
        <w:tc>
          <w:tcPr>
            <w:tcW w:w="1900" w:type="dxa"/>
            <w:tcBorders>
              <w:right w:val="single" w:color="000000" w:sz="6" w:space="0"/>
            </w:tcBorders>
            <w:vAlign w:val="top"/>
          </w:tcPr>
          <w:p>
            <w:pPr>
              <w:spacing w:before="149" w:line="289" w:lineRule="exact"/>
              <w:ind w:left="774"/>
              <w:rPr>
                <w:rFonts w:ascii="宋体" w:hAnsi="宋体" w:eastAsia="宋体" w:cs="宋体"/>
                <w:sz w:val="20"/>
                <w:szCs w:val="20"/>
              </w:rPr>
            </w:pPr>
            <w:r>
              <w:rPr>
                <w:rFonts w:ascii="宋体" w:hAnsi="宋体" w:eastAsia="宋体" w:cs="宋体"/>
                <w:spacing w:val="-12"/>
                <w:position w:val="2"/>
                <w:sz w:val="20"/>
                <w:szCs w:val="20"/>
              </w:rPr>
              <w:t>3.10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52" w:line="278" w:lineRule="exact"/>
              <w:ind w:left="106"/>
              <w:rPr>
                <w:rFonts w:ascii="宋体" w:hAnsi="宋体" w:eastAsia="宋体" w:cs="宋体"/>
                <w:sz w:val="20"/>
                <w:szCs w:val="20"/>
              </w:rPr>
            </w:pPr>
            <w:r>
              <w:rPr>
                <w:rFonts w:ascii="宋体" w:hAnsi="宋体" w:eastAsia="宋体" w:cs="宋体"/>
                <w:spacing w:val="-1"/>
                <w:position w:val="1"/>
                <w:sz w:val="20"/>
                <w:szCs w:val="20"/>
              </w:rPr>
              <w:t>2.二次搬运费</w:t>
            </w:r>
          </w:p>
        </w:tc>
        <w:tc>
          <w:tcPr>
            <w:tcW w:w="1745" w:type="dxa"/>
            <w:vMerge w:val="continue"/>
            <w:tcBorders>
              <w:top w:val="nil"/>
              <w:bottom w:val="nil"/>
            </w:tcBorders>
            <w:vAlign w:val="top"/>
          </w:tcPr>
          <w:p>
            <w:pPr>
              <w:pStyle w:val="6"/>
            </w:pPr>
          </w:p>
        </w:tc>
        <w:tc>
          <w:tcPr>
            <w:tcW w:w="1745" w:type="dxa"/>
            <w:vAlign w:val="top"/>
          </w:tcPr>
          <w:p>
            <w:pPr>
              <w:spacing w:before="152" w:line="286" w:lineRule="exact"/>
              <w:ind w:left="696"/>
              <w:rPr>
                <w:rFonts w:ascii="宋体" w:hAnsi="宋体" w:eastAsia="宋体" w:cs="宋体"/>
                <w:sz w:val="20"/>
                <w:szCs w:val="20"/>
              </w:rPr>
            </w:pPr>
            <w:r>
              <w:rPr>
                <w:rFonts w:ascii="宋体" w:hAnsi="宋体" w:eastAsia="宋体" w:cs="宋体"/>
                <w:spacing w:val="-11"/>
                <w:position w:val="2"/>
                <w:sz w:val="20"/>
                <w:szCs w:val="20"/>
              </w:rPr>
              <w:t>2.10</w:t>
            </w:r>
          </w:p>
        </w:tc>
        <w:tc>
          <w:tcPr>
            <w:tcW w:w="1900" w:type="dxa"/>
            <w:tcBorders>
              <w:right w:val="single" w:color="000000" w:sz="6" w:space="0"/>
            </w:tcBorders>
            <w:vAlign w:val="top"/>
          </w:tcPr>
          <w:p>
            <w:pPr>
              <w:spacing w:before="152" w:line="286" w:lineRule="exact"/>
              <w:ind w:left="770"/>
              <w:rPr>
                <w:rFonts w:ascii="宋体" w:hAnsi="宋体" w:eastAsia="宋体" w:cs="宋体"/>
                <w:sz w:val="20"/>
                <w:szCs w:val="20"/>
              </w:rPr>
            </w:pPr>
            <w:r>
              <w:rPr>
                <w:rFonts w:ascii="宋体" w:hAnsi="宋体" w:eastAsia="宋体" w:cs="宋体"/>
                <w:spacing w:val="-11"/>
                <w:position w:val="2"/>
                <w:sz w:val="20"/>
                <w:szCs w:val="20"/>
              </w:rPr>
              <w:t>2.70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53" w:line="277" w:lineRule="exact"/>
              <w:ind w:left="109"/>
              <w:rPr>
                <w:rFonts w:ascii="宋体" w:hAnsi="宋体" w:eastAsia="宋体" w:cs="宋体"/>
                <w:sz w:val="20"/>
                <w:szCs w:val="20"/>
              </w:rPr>
            </w:pPr>
            <w:r>
              <w:rPr>
                <w:rFonts w:ascii="宋体" w:hAnsi="宋体" w:eastAsia="宋体" w:cs="宋体"/>
                <w:spacing w:val="2"/>
                <w:position w:val="1"/>
                <w:sz w:val="20"/>
                <w:szCs w:val="20"/>
              </w:rPr>
              <w:t>3.冬雨季施工增加费</w:t>
            </w:r>
          </w:p>
        </w:tc>
        <w:tc>
          <w:tcPr>
            <w:tcW w:w="1745" w:type="dxa"/>
            <w:vMerge w:val="continue"/>
            <w:tcBorders>
              <w:top w:val="nil"/>
              <w:bottom w:val="nil"/>
            </w:tcBorders>
            <w:vAlign w:val="top"/>
          </w:tcPr>
          <w:p>
            <w:pPr>
              <w:pStyle w:val="6"/>
            </w:pPr>
          </w:p>
        </w:tc>
        <w:tc>
          <w:tcPr>
            <w:tcW w:w="1745" w:type="dxa"/>
            <w:vAlign w:val="top"/>
          </w:tcPr>
          <w:p>
            <w:pPr>
              <w:spacing w:before="153" w:line="285" w:lineRule="exact"/>
              <w:ind w:left="696"/>
              <w:rPr>
                <w:rFonts w:ascii="宋体" w:hAnsi="宋体" w:eastAsia="宋体" w:cs="宋体"/>
                <w:sz w:val="20"/>
                <w:szCs w:val="20"/>
              </w:rPr>
            </w:pPr>
            <w:r>
              <w:rPr>
                <w:rFonts w:ascii="宋体" w:hAnsi="宋体" w:eastAsia="宋体" w:cs="宋体"/>
                <w:spacing w:val="-11"/>
                <w:position w:val="2"/>
                <w:sz w:val="20"/>
                <w:szCs w:val="20"/>
              </w:rPr>
              <w:t>2.80</w:t>
            </w:r>
          </w:p>
        </w:tc>
        <w:tc>
          <w:tcPr>
            <w:tcW w:w="1900" w:type="dxa"/>
            <w:tcBorders>
              <w:right w:val="single" w:color="000000" w:sz="6" w:space="0"/>
            </w:tcBorders>
            <w:vAlign w:val="top"/>
          </w:tcPr>
          <w:p>
            <w:pPr>
              <w:spacing w:before="153" w:line="285" w:lineRule="exact"/>
              <w:ind w:left="774"/>
              <w:rPr>
                <w:rFonts w:ascii="宋体" w:hAnsi="宋体" w:eastAsia="宋体" w:cs="宋体"/>
                <w:sz w:val="20"/>
                <w:szCs w:val="20"/>
              </w:rPr>
            </w:pPr>
            <w:r>
              <w:rPr>
                <w:rFonts w:ascii="宋体" w:hAnsi="宋体" w:eastAsia="宋体" w:cs="宋体"/>
                <w:spacing w:val="-12"/>
                <w:position w:val="2"/>
                <w:sz w:val="20"/>
                <w:szCs w:val="20"/>
              </w:rPr>
              <w:t>3.90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tcBorders>
            <w:vAlign w:val="top"/>
          </w:tcPr>
          <w:p>
            <w:pPr>
              <w:pStyle w:val="6"/>
            </w:pPr>
          </w:p>
        </w:tc>
        <w:tc>
          <w:tcPr>
            <w:tcW w:w="3055" w:type="dxa"/>
            <w:gridSpan w:val="2"/>
            <w:vAlign w:val="top"/>
          </w:tcPr>
          <w:p>
            <w:pPr>
              <w:spacing w:before="153" w:line="278" w:lineRule="exact"/>
              <w:ind w:left="103"/>
              <w:rPr>
                <w:rFonts w:ascii="宋体" w:hAnsi="宋体" w:eastAsia="宋体" w:cs="宋体"/>
                <w:sz w:val="20"/>
                <w:szCs w:val="20"/>
              </w:rPr>
            </w:pPr>
            <w:r>
              <w:rPr>
                <w:rFonts w:ascii="宋体" w:hAnsi="宋体" w:eastAsia="宋体" w:cs="宋体"/>
                <w:spacing w:val="4"/>
                <w:position w:val="1"/>
                <w:sz w:val="20"/>
                <w:szCs w:val="20"/>
              </w:rPr>
              <w:t>4.已完工程及设备保护费</w:t>
            </w:r>
          </w:p>
        </w:tc>
        <w:tc>
          <w:tcPr>
            <w:tcW w:w="1745" w:type="dxa"/>
            <w:vMerge w:val="continue"/>
            <w:tcBorders>
              <w:top w:val="nil"/>
            </w:tcBorders>
            <w:vAlign w:val="top"/>
          </w:tcPr>
          <w:p>
            <w:pPr>
              <w:pStyle w:val="6"/>
            </w:pPr>
          </w:p>
        </w:tc>
        <w:tc>
          <w:tcPr>
            <w:tcW w:w="1745" w:type="dxa"/>
            <w:vAlign w:val="top"/>
          </w:tcPr>
          <w:p>
            <w:pPr>
              <w:spacing w:before="153" w:line="285" w:lineRule="exact"/>
              <w:ind w:left="713"/>
              <w:rPr>
                <w:rFonts w:ascii="宋体" w:hAnsi="宋体" w:eastAsia="宋体" w:cs="宋体"/>
                <w:sz w:val="20"/>
                <w:szCs w:val="20"/>
              </w:rPr>
            </w:pPr>
            <w:r>
              <w:rPr>
                <w:rFonts w:ascii="宋体" w:hAnsi="宋体" w:eastAsia="宋体" w:cs="宋体"/>
                <w:spacing w:val="-15"/>
                <w:position w:val="2"/>
                <w:sz w:val="20"/>
                <w:szCs w:val="20"/>
              </w:rPr>
              <w:t>1.20</w:t>
            </w:r>
          </w:p>
        </w:tc>
        <w:tc>
          <w:tcPr>
            <w:tcW w:w="1900" w:type="dxa"/>
            <w:tcBorders>
              <w:right w:val="single" w:color="000000" w:sz="6" w:space="0"/>
            </w:tcBorders>
            <w:vAlign w:val="top"/>
          </w:tcPr>
          <w:p>
            <w:pPr>
              <w:spacing w:before="153" w:line="285" w:lineRule="exact"/>
              <w:ind w:left="787"/>
              <w:rPr>
                <w:rFonts w:ascii="宋体" w:hAnsi="宋体" w:eastAsia="宋体" w:cs="宋体"/>
                <w:sz w:val="20"/>
                <w:szCs w:val="20"/>
              </w:rPr>
            </w:pPr>
            <w:r>
              <w:rPr>
                <w:rFonts w:ascii="宋体" w:hAnsi="宋体" w:eastAsia="宋体" w:cs="宋体"/>
                <w:spacing w:val="-15"/>
                <w:position w:val="2"/>
                <w:sz w:val="20"/>
                <w:szCs w:val="20"/>
              </w:rPr>
              <w:t>1.70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901" w:type="dxa"/>
            <w:gridSpan w:val="3"/>
            <w:tcBorders>
              <w:left w:val="single" w:color="000000" w:sz="6" w:space="0"/>
            </w:tcBorders>
            <w:vAlign w:val="top"/>
          </w:tcPr>
          <w:p>
            <w:pPr>
              <w:spacing w:before="159" w:line="220" w:lineRule="auto"/>
              <w:ind w:left="1423"/>
              <w:rPr>
                <w:rFonts w:ascii="宋体" w:hAnsi="宋体" w:eastAsia="宋体" w:cs="宋体"/>
                <w:sz w:val="20"/>
                <w:szCs w:val="20"/>
              </w:rPr>
            </w:pPr>
            <w:r>
              <w:rPr>
                <w:rFonts w:ascii="宋体" w:hAnsi="宋体" w:eastAsia="宋体" w:cs="宋体"/>
                <w:spacing w:val="8"/>
                <w:sz w:val="20"/>
                <w:szCs w:val="20"/>
              </w:rPr>
              <w:t>企业管理费</w:t>
            </w:r>
          </w:p>
        </w:tc>
        <w:tc>
          <w:tcPr>
            <w:tcW w:w="1745" w:type="dxa"/>
            <w:vMerge w:val="restart"/>
            <w:tcBorders>
              <w:bottom w:val="nil"/>
            </w:tcBorders>
            <w:vAlign w:val="top"/>
          </w:tcPr>
          <w:p>
            <w:pPr>
              <w:pStyle w:val="6"/>
              <w:spacing w:line="322" w:lineRule="auto"/>
            </w:pPr>
          </w:p>
          <w:p>
            <w:pPr>
              <w:spacing w:before="65" w:line="217" w:lineRule="auto"/>
              <w:ind w:left="351"/>
              <w:rPr>
                <w:rFonts w:ascii="宋体" w:hAnsi="宋体" w:eastAsia="宋体" w:cs="宋体"/>
                <w:sz w:val="20"/>
                <w:szCs w:val="20"/>
              </w:rPr>
            </w:pPr>
            <w:r>
              <w:rPr>
                <w:rFonts w:ascii="宋体" w:hAnsi="宋体" w:eastAsia="宋体" w:cs="宋体"/>
                <w:spacing w:val="8"/>
                <w:sz w:val="20"/>
                <w:szCs w:val="20"/>
              </w:rPr>
              <w:t>省价人工费</w:t>
            </w:r>
          </w:p>
        </w:tc>
        <w:tc>
          <w:tcPr>
            <w:tcW w:w="1745" w:type="dxa"/>
            <w:vAlign w:val="top"/>
          </w:tcPr>
          <w:p>
            <w:pPr>
              <w:spacing w:before="154" w:line="284" w:lineRule="exact"/>
              <w:ind w:left="775"/>
              <w:rPr>
                <w:rFonts w:ascii="宋体" w:hAnsi="宋体" w:eastAsia="宋体" w:cs="宋体"/>
                <w:sz w:val="20"/>
                <w:szCs w:val="20"/>
              </w:rPr>
            </w:pPr>
            <w:r>
              <w:rPr>
                <w:rFonts w:ascii="宋体" w:hAnsi="宋体" w:eastAsia="宋体" w:cs="宋体"/>
                <w:position w:val="2"/>
                <w:sz w:val="20"/>
                <w:szCs w:val="20"/>
              </w:rPr>
              <w:t>55</w:t>
            </w:r>
          </w:p>
        </w:tc>
        <w:tc>
          <w:tcPr>
            <w:tcW w:w="1900" w:type="dxa"/>
            <w:tcBorders>
              <w:right w:val="single" w:color="000000" w:sz="6" w:space="0"/>
            </w:tcBorders>
            <w:vAlign w:val="top"/>
          </w:tcPr>
          <w:p>
            <w:pPr>
              <w:spacing w:before="154" w:line="284" w:lineRule="exact"/>
              <w:ind w:left="847"/>
              <w:rPr>
                <w:rFonts w:ascii="宋体" w:hAnsi="宋体" w:eastAsia="宋体" w:cs="宋体"/>
                <w:sz w:val="20"/>
                <w:szCs w:val="20"/>
              </w:rPr>
            </w:pPr>
            <w:r>
              <w:rPr>
                <w:rFonts w:ascii="宋体" w:hAnsi="宋体" w:eastAsia="宋体" w:cs="宋体"/>
                <w:position w:val="1"/>
                <w:sz w:val="20"/>
                <w:szCs w:val="20"/>
              </w:rPr>
              <w:t>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901" w:type="dxa"/>
            <w:gridSpan w:val="3"/>
            <w:tcBorders>
              <w:left w:val="single" w:color="000000" w:sz="6" w:space="0"/>
            </w:tcBorders>
            <w:vAlign w:val="top"/>
          </w:tcPr>
          <w:p>
            <w:pPr>
              <w:spacing w:before="162" w:line="217" w:lineRule="auto"/>
              <w:ind w:left="1738"/>
              <w:rPr>
                <w:rFonts w:ascii="宋体" w:hAnsi="宋体" w:eastAsia="宋体" w:cs="宋体"/>
                <w:sz w:val="20"/>
                <w:szCs w:val="20"/>
              </w:rPr>
            </w:pPr>
            <w:r>
              <w:rPr>
                <w:rFonts w:ascii="宋体" w:hAnsi="宋体" w:eastAsia="宋体" w:cs="宋体"/>
                <w:spacing w:val="6"/>
                <w:sz w:val="20"/>
                <w:szCs w:val="20"/>
              </w:rPr>
              <w:t>利润</w:t>
            </w:r>
          </w:p>
        </w:tc>
        <w:tc>
          <w:tcPr>
            <w:tcW w:w="1745" w:type="dxa"/>
            <w:vMerge w:val="continue"/>
            <w:tcBorders>
              <w:top w:val="nil"/>
            </w:tcBorders>
            <w:vAlign w:val="top"/>
          </w:tcPr>
          <w:p>
            <w:pPr>
              <w:pStyle w:val="6"/>
            </w:pPr>
          </w:p>
        </w:tc>
        <w:tc>
          <w:tcPr>
            <w:tcW w:w="1745" w:type="dxa"/>
            <w:vAlign w:val="top"/>
          </w:tcPr>
          <w:p>
            <w:pPr>
              <w:spacing w:before="154" w:line="284" w:lineRule="exact"/>
              <w:ind w:left="779"/>
              <w:rPr>
                <w:rFonts w:ascii="宋体" w:hAnsi="宋体" w:eastAsia="宋体" w:cs="宋体"/>
                <w:sz w:val="20"/>
                <w:szCs w:val="20"/>
              </w:rPr>
            </w:pPr>
            <w:r>
              <w:rPr>
                <w:rFonts w:ascii="宋体" w:hAnsi="宋体" w:eastAsia="宋体" w:cs="宋体"/>
                <w:spacing w:val="-2"/>
                <w:position w:val="2"/>
                <w:sz w:val="20"/>
                <w:szCs w:val="20"/>
              </w:rPr>
              <w:t>32</w:t>
            </w:r>
          </w:p>
        </w:tc>
        <w:tc>
          <w:tcPr>
            <w:tcW w:w="1900" w:type="dxa"/>
            <w:tcBorders>
              <w:right w:val="single" w:color="000000" w:sz="6" w:space="0"/>
            </w:tcBorders>
            <w:vAlign w:val="top"/>
          </w:tcPr>
          <w:p>
            <w:pPr>
              <w:spacing w:before="154" w:line="284" w:lineRule="exact"/>
              <w:ind w:left="850"/>
              <w:rPr>
                <w:rFonts w:ascii="宋体" w:hAnsi="宋体" w:eastAsia="宋体" w:cs="宋体"/>
                <w:sz w:val="20"/>
                <w:szCs w:val="20"/>
              </w:rPr>
            </w:pPr>
            <w:r>
              <w:rPr>
                <w:rFonts w:ascii="宋体" w:hAnsi="宋体" w:eastAsia="宋体" w:cs="宋体"/>
                <w:spacing w:val="-2"/>
                <w:position w:val="2"/>
                <w:sz w:val="20"/>
                <w:szCs w:val="20"/>
              </w:rPr>
              <w:t>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restart"/>
            <w:tcBorders>
              <w:left w:val="single" w:color="000000" w:sz="6" w:space="0"/>
              <w:bottom w:val="nil"/>
            </w:tcBorders>
            <w:vAlign w:val="top"/>
          </w:tcPr>
          <w:p>
            <w:pPr>
              <w:pStyle w:val="6"/>
              <w:spacing w:line="242" w:lineRule="auto"/>
            </w:pPr>
          </w:p>
          <w:p>
            <w:pPr>
              <w:pStyle w:val="6"/>
              <w:spacing w:line="242" w:lineRule="auto"/>
            </w:pPr>
          </w:p>
          <w:p>
            <w:pPr>
              <w:pStyle w:val="6"/>
              <w:spacing w:line="242" w:lineRule="auto"/>
            </w:pPr>
          </w:p>
          <w:p>
            <w:pPr>
              <w:pStyle w:val="6"/>
              <w:spacing w:line="242" w:lineRule="auto"/>
            </w:pPr>
          </w:p>
          <w:p>
            <w:pPr>
              <w:pStyle w:val="6"/>
              <w:spacing w:line="242" w:lineRule="auto"/>
            </w:pPr>
          </w:p>
          <w:p>
            <w:pPr>
              <w:pStyle w:val="6"/>
              <w:spacing w:line="242" w:lineRule="auto"/>
            </w:pPr>
          </w:p>
          <w:p>
            <w:pPr>
              <w:spacing w:before="65" w:line="219" w:lineRule="auto"/>
              <w:ind w:left="207"/>
              <w:rPr>
                <w:rFonts w:ascii="宋体" w:hAnsi="宋体" w:eastAsia="宋体" w:cs="宋体"/>
                <w:sz w:val="20"/>
                <w:szCs w:val="20"/>
              </w:rPr>
            </w:pPr>
            <w:r>
              <w:rPr>
                <w:rFonts w:ascii="宋体" w:hAnsi="宋体" w:eastAsia="宋体" w:cs="宋体"/>
                <w:spacing w:val="6"/>
                <w:sz w:val="20"/>
                <w:szCs w:val="20"/>
              </w:rPr>
              <w:t>规费</w:t>
            </w:r>
          </w:p>
        </w:tc>
        <w:tc>
          <w:tcPr>
            <w:tcW w:w="3055" w:type="dxa"/>
            <w:gridSpan w:val="2"/>
            <w:vAlign w:val="top"/>
          </w:tcPr>
          <w:p>
            <w:pPr>
              <w:spacing w:before="162" w:line="219" w:lineRule="auto"/>
              <w:ind w:left="105"/>
              <w:rPr>
                <w:rFonts w:ascii="宋体" w:hAnsi="宋体" w:eastAsia="宋体" w:cs="宋体"/>
                <w:sz w:val="20"/>
                <w:szCs w:val="20"/>
              </w:rPr>
            </w:pPr>
            <w:r>
              <w:rPr>
                <w:rFonts w:ascii="宋体" w:hAnsi="宋体" w:eastAsia="宋体" w:cs="宋体"/>
                <w:spacing w:val="9"/>
                <w:sz w:val="20"/>
                <w:szCs w:val="20"/>
              </w:rPr>
              <w:t>安全文明施工费</w:t>
            </w:r>
          </w:p>
        </w:tc>
        <w:tc>
          <w:tcPr>
            <w:tcW w:w="1745" w:type="dxa"/>
            <w:vMerge w:val="restart"/>
            <w:tcBorders>
              <w:bottom w:val="nil"/>
            </w:tcBorders>
            <w:vAlign w:val="top"/>
          </w:tcPr>
          <w:p>
            <w:pPr>
              <w:pStyle w:val="6"/>
              <w:spacing w:line="274" w:lineRule="auto"/>
            </w:pPr>
          </w:p>
          <w:p>
            <w:pPr>
              <w:pStyle w:val="6"/>
              <w:spacing w:line="274" w:lineRule="auto"/>
            </w:pPr>
          </w:p>
          <w:p>
            <w:pPr>
              <w:spacing w:before="65" w:line="219" w:lineRule="auto"/>
              <w:ind w:left="350"/>
              <w:rPr>
                <w:rFonts w:ascii="宋体" w:hAnsi="宋体" w:eastAsia="宋体" w:cs="宋体"/>
                <w:sz w:val="20"/>
                <w:szCs w:val="20"/>
              </w:rPr>
            </w:pPr>
            <w:r>
              <w:rPr>
                <w:rFonts w:ascii="宋体" w:hAnsi="宋体" w:eastAsia="宋体" w:cs="宋体"/>
                <w:spacing w:val="8"/>
                <w:sz w:val="20"/>
                <w:szCs w:val="20"/>
              </w:rPr>
              <w:t>规费前造价</w:t>
            </w:r>
          </w:p>
        </w:tc>
        <w:tc>
          <w:tcPr>
            <w:tcW w:w="1745" w:type="dxa"/>
            <w:vAlign w:val="top"/>
          </w:tcPr>
          <w:p>
            <w:pPr>
              <w:spacing w:before="155" w:line="283" w:lineRule="exact"/>
              <w:ind w:left="697"/>
              <w:rPr>
                <w:rFonts w:ascii="宋体" w:hAnsi="宋体" w:eastAsia="宋体" w:cs="宋体"/>
                <w:sz w:val="20"/>
                <w:szCs w:val="20"/>
              </w:rPr>
            </w:pPr>
            <w:r>
              <w:rPr>
                <w:rFonts w:ascii="宋体" w:hAnsi="宋体" w:eastAsia="宋体" w:cs="宋体"/>
                <w:spacing w:val="-11"/>
                <w:position w:val="1"/>
                <w:sz w:val="20"/>
                <w:szCs w:val="20"/>
              </w:rPr>
              <w:t>6.15</w:t>
            </w:r>
          </w:p>
        </w:tc>
        <w:tc>
          <w:tcPr>
            <w:tcW w:w="1900" w:type="dxa"/>
            <w:tcBorders>
              <w:right w:val="single" w:color="000000" w:sz="6" w:space="0"/>
            </w:tcBorders>
            <w:vAlign w:val="top"/>
          </w:tcPr>
          <w:p>
            <w:pPr>
              <w:spacing w:before="155" w:line="283" w:lineRule="exact"/>
              <w:ind w:left="767"/>
              <w:rPr>
                <w:rFonts w:ascii="宋体" w:hAnsi="宋体" w:eastAsia="宋体" w:cs="宋体"/>
                <w:sz w:val="20"/>
                <w:szCs w:val="20"/>
              </w:rPr>
            </w:pPr>
            <w:r>
              <w:rPr>
                <w:rFonts w:ascii="宋体" w:hAnsi="宋体" w:eastAsia="宋体" w:cs="宋体"/>
                <w:spacing w:val="-10"/>
                <w:position w:val="2"/>
                <w:sz w:val="20"/>
                <w:szCs w:val="20"/>
              </w:rPr>
              <w:t>4.96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58" w:line="277" w:lineRule="exact"/>
              <w:ind w:left="103"/>
              <w:rPr>
                <w:rFonts w:ascii="宋体" w:hAnsi="宋体" w:eastAsia="宋体" w:cs="宋体"/>
                <w:sz w:val="20"/>
                <w:szCs w:val="20"/>
              </w:rPr>
            </w:pPr>
            <w:r>
              <w:rPr>
                <w:rFonts w:ascii="宋体" w:hAnsi="宋体" w:eastAsia="宋体" w:cs="宋体"/>
                <w:spacing w:val="9"/>
                <w:position w:val="1"/>
                <w:sz w:val="20"/>
                <w:szCs w:val="20"/>
              </w:rPr>
              <w:t>社会保险费</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58" w:line="279" w:lineRule="exact"/>
              <w:ind w:left="1659"/>
              <w:rPr>
                <w:rFonts w:ascii="宋体" w:hAnsi="宋体" w:eastAsia="宋体" w:cs="宋体"/>
                <w:sz w:val="20"/>
                <w:szCs w:val="20"/>
              </w:rPr>
            </w:pPr>
            <w:r>
              <w:rPr>
                <w:rFonts w:ascii="宋体" w:hAnsi="宋体" w:eastAsia="宋体" w:cs="宋体"/>
                <w:spacing w:val="-15"/>
                <w:position w:val="1"/>
                <w:sz w:val="20"/>
                <w:szCs w:val="20"/>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3055" w:type="dxa"/>
            <w:gridSpan w:val="2"/>
            <w:vAlign w:val="top"/>
          </w:tcPr>
          <w:p>
            <w:pPr>
              <w:spacing w:before="159" w:line="277" w:lineRule="exact"/>
              <w:ind w:left="104"/>
              <w:rPr>
                <w:rFonts w:ascii="宋体" w:hAnsi="宋体" w:eastAsia="宋体" w:cs="宋体"/>
                <w:sz w:val="20"/>
                <w:szCs w:val="20"/>
              </w:rPr>
            </w:pPr>
            <w:r>
              <w:rPr>
                <w:rFonts w:ascii="宋体" w:hAnsi="宋体" w:eastAsia="宋体" w:cs="宋体"/>
                <w:spacing w:val="9"/>
                <w:position w:val="1"/>
                <w:sz w:val="20"/>
                <w:szCs w:val="20"/>
              </w:rPr>
              <w:t>建设项目工伤保险</w:t>
            </w:r>
          </w:p>
        </w:tc>
        <w:tc>
          <w:tcPr>
            <w:tcW w:w="1745" w:type="dxa"/>
            <w:vMerge w:val="continue"/>
            <w:tcBorders>
              <w:top w:val="nil"/>
            </w:tcBorders>
            <w:vAlign w:val="top"/>
          </w:tcPr>
          <w:p>
            <w:pPr>
              <w:pStyle w:val="6"/>
            </w:pPr>
          </w:p>
        </w:tc>
        <w:tc>
          <w:tcPr>
            <w:tcW w:w="3645" w:type="dxa"/>
            <w:gridSpan w:val="2"/>
            <w:tcBorders>
              <w:right w:val="single" w:color="000000" w:sz="6" w:space="0"/>
            </w:tcBorders>
            <w:vAlign w:val="top"/>
          </w:tcPr>
          <w:p>
            <w:pPr>
              <w:spacing w:before="159" w:line="278" w:lineRule="exact"/>
              <w:ind w:left="1588"/>
              <w:rPr>
                <w:rFonts w:ascii="宋体" w:hAnsi="宋体" w:eastAsia="宋体" w:cs="宋体"/>
                <w:sz w:val="20"/>
                <w:szCs w:val="20"/>
              </w:rPr>
            </w:pPr>
            <w:r>
              <w:rPr>
                <w:rFonts w:ascii="宋体" w:hAnsi="宋体" w:eastAsia="宋体" w:cs="宋体"/>
                <w:spacing w:val="-8"/>
                <w:position w:val="1"/>
                <w:sz w:val="20"/>
                <w:szCs w:val="20"/>
              </w:rPr>
              <w:t>0.105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1442" w:type="dxa"/>
            <w:vMerge w:val="restart"/>
            <w:tcBorders>
              <w:bottom w:val="nil"/>
            </w:tcBorders>
            <w:vAlign w:val="top"/>
          </w:tcPr>
          <w:p>
            <w:pPr>
              <w:pStyle w:val="6"/>
              <w:spacing w:line="275" w:lineRule="auto"/>
            </w:pPr>
          </w:p>
          <w:p>
            <w:pPr>
              <w:pStyle w:val="6"/>
              <w:spacing w:line="275" w:lineRule="auto"/>
            </w:pPr>
          </w:p>
          <w:p>
            <w:pPr>
              <w:spacing w:before="65" w:line="219" w:lineRule="auto"/>
              <w:ind w:left="104"/>
              <w:rPr>
                <w:rFonts w:ascii="宋体" w:hAnsi="宋体" w:eastAsia="宋体" w:cs="宋体"/>
                <w:sz w:val="20"/>
                <w:szCs w:val="20"/>
              </w:rPr>
            </w:pPr>
            <w:r>
              <w:rPr>
                <w:rFonts w:ascii="宋体" w:hAnsi="宋体" w:eastAsia="宋体" w:cs="宋体"/>
                <w:spacing w:val="8"/>
                <w:sz w:val="20"/>
                <w:szCs w:val="20"/>
              </w:rPr>
              <w:t>优质优价费</w:t>
            </w:r>
          </w:p>
        </w:tc>
        <w:tc>
          <w:tcPr>
            <w:tcW w:w="1613" w:type="dxa"/>
            <w:vAlign w:val="top"/>
          </w:tcPr>
          <w:p>
            <w:pPr>
              <w:spacing w:before="164" w:line="219" w:lineRule="auto"/>
              <w:ind w:left="512"/>
              <w:rPr>
                <w:rFonts w:ascii="宋体" w:hAnsi="宋体" w:eastAsia="宋体" w:cs="宋体"/>
                <w:sz w:val="20"/>
                <w:szCs w:val="20"/>
              </w:rPr>
            </w:pPr>
            <w:r>
              <w:rPr>
                <w:rFonts w:ascii="宋体" w:hAnsi="宋体" w:eastAsia="宋体" w:cs="宋体"/>
                <w:spacing w:val="1"/>
                <w:sz w:val="20"/>
                <w:szCs w:val="20"/>
              </w:rPr>
              <w:t>国家级</w:t>
            </w:r>
          </w:p>
        </w:tc>
        <w:tc>
          <w:tcPr>
            <w:tcW w:w="1745" w:type="dxa"/>
            <w:vMerge w:val="restart"/>
            <w:tcBorders>
              <w:bottom w:val="nil"/>
            </w:tcBorders>
            <w:vAlign w:val="top"/>
          </w:tcPr>
          <w:p>
            <w:pPr>
              <w:pStyle w:val="6"/>
              <w:spacing w:line="275" w:lineRule="auto"/>
            </w:pPr>
          </w:p>
          <w:p>
            <w:pPr>
              <w:pStyle w:val="6"/>
              <w:spacing w:line="275" w:lineRule="auto"/>
            </w:pPr>
          </w:p>
          <w:p>
            <w:pPr>
              <w:spacing w:before="65" w:line="219" w:lineRule="auto"/>
              <w:ind w:left="350"/>
              <w:rPr>
                <w:rFonts w:ascii="宋体" w:hAnsi="宋体" w:eastAsia="宋体" w:cs="宋体"/>
                <w:sz w:val="20"/>
                <w:szCs w:val="20"/>
              </w:rPr>
            </w:pPr>
            <w:r>
              <w:rPr>
                <w:rFonts w:ascii="宋体" w:hAnsi="宋体" w:eastAsia="宋体" w:cs="宋体"/>
                <w:spacing w:val="8"/>
                <w:sz w:val="20"/>
                <w:szCs w:val="20"/>
              </w:rPr>
              <w:t>规费前造价</w:t>
            </w:r>
          </w:p>
        </w:tc>
        <w:tc>
          <w:tcPr>
            <w:tcW w:w="3645" w:type="dxa"/>
            <w:gridSpan w:val="2"/>
            <w:tcBorders>
              <w:right w:val="single" w:color="000000" w:sz="6" w:space="0"/>
            </w:tcBorders>
            <w:vAlign w:val="top"/>
          </w:tcPr>
          <w:p>
            <w:pPr>
              <w:spacing w:before="159" w:line="278" w:lineRule="exact"/>
              <w:ind w:left="1659"/>
              <w:rPr>
                <w:rFonts w:ascii="宋体" w:hAnsi="宋体" w:eastAsia="宋体" w:cs="宋体"/>
                <w:sz w:val="20"/>
                <w:szCs w:val="20"/>
              </w:rPr>
            </w:pPr>
            <w:r>
              <w:rPr>
                <w:rFonts w:ascii="宋体" w:hAnsi="宋体" w:eastAsia="宋体" w:cs="宋体"/>
                <w:spacing w:val="-16"/>
                <w:position w:val="1"/>
                <w:sz w:val="20"/>
                <w:szCs w:val="20"/>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1442" w:type="dxa"/>
            <w:vMerge w:val="continue"/>
            <w:tcBorders>
              <w:top w:val="nil"/>
              <w:bottom w:val="nil"/>
            </w:tcBorders>
            <w:vAlign w:val="top"/>
          </w:tcPr>
          <w:p>
            <w:pPr>
              <w:pStyle w:val="6"/>
            </w:pPr>
          </w:p>
        </w:tc>
        <w:tc>
          <w:tcPr>
            <w:tcW w:w="1613" w:type="dxa"/>
            <w:vAlign w:val="top"/>
          </w:tcPr>
          <w:p>
            <w:pPr>
              <w:spacing w:before="168" w:line="215" w:lineRule="auto"/>
              <w:ind w:left="596"/>
              <w:rPr>
                <w:rFonts w:ascii="宋体" w:hAnsi="宋体" w:eastAsia="宋体" w:cs="宋体"/>
                <w:sz w:val="20"/>
                <w:szCs w:val="20"/>
              </w:rPr>
            </w:pPr>
            <w:r>
              <w:rPr>
                <w:rFonts w:ascii="宋体" w:hAnsi="宋体" w:eastAsia="宋体" w:cs="宋体"/>
                <w:spacing w:val="6"/>
                <w:sz w:val="20"/>
                <w:szCs w:val="20"/>
              </w:rPr>
              <w:t>省级</w:t>
            </w:r>
          </w:p>
        </w:tc>
        <w:tc>
          <w:tcPr>
            <w:tcW w:w="1745" w:type="dxa"/>
            <w:vMerge w:val="continue"/>
            <w:tcBorders>
              <w:top w:val="nil"/>
              <w:bottom w:val="nil"/>
            </w:tcBorders>
            <w:vAlign w:val="top"/>
          </w:tcPr>
          <w:p>
            <w:pPr>
              <w:pStyle w:val="6"/>
            </w:pPr>
          </w:p>
        </w:tc>
        <w:tc>
          <w:tcPr>
            <w:tcW w:w="3645" w:type="dxa"/>
            <w:gridSpan w:val="2"/>
            <w:tcBorders>
              <w:right w:val="single" w:color="000000" w:sz="6" w:space="0"/>
            </w:tcBorders>
            <w:vAlign w:val="top"/>
          </w:tcPr>
          <w:p>
            <w:pPr>
              <w:spacing w:before="160" w:line="277" w:lineRule="exact"/>
              <w:ind w:left="1659"/>
              <w:rPr>
                <w:rFonts w:ascii="宋体" w:hAnsi="宋体" w:eastAsia="宋体" w:cs="宋体"/>
                <w:sz w:val="20"/>
                <w:szCs w:val="20"/>
              </w:rPr>
            </w:pPr>
            <w:r>
              <w:rPr>
                <w:rFonts w:ascii="宋体" w:hAnsi="宋体" w:eastAsia="宋体" w:cs="宋体"/>
                <w:spacing w:val="-16"/>
                <w:position w:val="1"/>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bottom w:val="nil"/>
            </w:tcBorders>
            <w:vAlign w:val="top"/>
          </w:tcPr>
          <w:p>
            <w:pPr>
              <w:pStyle w:val="6"/>
            </w:pPr>
          </w:p>
        </w:tc>
        <w:tc>
          <w:tcPr>
            <w:tcW w:w="1442" w:type="dxa"/>
            <w:vMerge w:val="continue"/>
            <w:tcBorders>
              <w:top w:val="nil"/>
            </w:tcBorders>
            <w:vAlign w:val="top"/>
          </w:tcPr>
          <w:p>
            <w:pPr>
              <w:pStyle w:val="6"/>
            </w:pPr>
          </w:p>
        </w:tc>
        <w:tc>
          <w:tcPr>
            <w:tcW w:w="1613" w:type="dxa"/>
            <w:vAlign w:val="top"/>
          </w:tcPr>
          <w:p>
            <w:pPr>
              <w:spacing w:before="166" w:line="218" w:lineRule="auto"/>
              <w:ind w:left="596"/>
              <w:rPr>
                <w:rFonts w:ascii="宋体" w:hAnsi="宋体" w:eastAsia="宋体" w:cs="宋体"/>
                <w:sz w:val="20"/>
                <w:szCs w:val="20"/>
              </w:rPr>
            </w:pPr>
            <w:r>
              <w:rPr>
                <w:rFonts w:ascii="宋体" w:hAnsi="宋体" w:eastAsia="宋体" w:cs="宋体"/>
                <w:spacing w:val="6"/>
                <w:sz w:val="20"/>
                <w:szCs w:val="20"/>
              </w:rPr>
              <w:t>市级</w:t>
            </w:r>
          </w:p>
        </w:tc>
        <w:tc>
          <w:tcPr>
            <w:tcW w:w="1745" w:type="dxa"/>
            <w:vMerge w:val="continue"/>
            <w:tcBorders>
              <w:top w:val="nil"/>
            </w:tcBorders>
            <w:vAlign w:val="top"/>
          </w:tcPr>
          <w:p>
            <w:pPr>
              <w:pStyle w:val="6"/>
            </w:pPr>
          </w:p>
        </w:tc>
        <w:tc>
          <w:tcPr>
            <w:tcW w:w="3645" w:type="dxa"/>
            <w:gridSpan w:val="2"/>
            <w:tcBorders>
              <w:right w:val="single" w:color="000000" w:sz="6" w:space="0"/>
            </w:tcBorders>
            <w:vAlign w:val="top"/>
          </w:tcPr>
          <w:p>
            <w:pPr>
              <w:spacing w:before="160" w:line="277" w:lineRule="exact"/>
              <w:ind w:left="1641"/>
              <w:rPr>
                <w:rFonts w:ascii="宋体" w:hAnsi="宋体" w:eastAsia="宋体" w:cs="宋体"/>
                <w:sz w:val="20"/>
                <w:szCs w:val="20"/>
              </w:rPr>
            </w:pPr>
            <w:r>
              <w:rPr>
                <w:rFonts w:ascii="宋体" w:hAnsi="宋体" w:eastAsia="宋体" w:cs="宋体"/>
                <w:spacing w:val="-12"/>
                <w:position w:val="1"/>
                <w:sz w:val="20"/>
                <w:szCs w:val="20"/>
              </w:rPr>
              <w:t>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846" w:type="dxa"/>
            <w:vMerge w:val="continue"/>
            <w:tcBorders>
              <w:top w:val="nil"/>
              <w:left w:val="single" w:color="000000" w:sz="6" w:space="0"/>
            </w:tcBorders>
            <w:vAlign w:val="top"/>
          </w:tcPr>
          <w:p>
            <w:pPr>
              <w:pStyle w:val="6"/>
            </w:pPr>
          </w:p>
        </w:tc>
        <w:tc>
          <w:tcPr>
            <w:tcW w:w="3055" w:type="dxa"/>
            <w:gridSpan w:val="2"/>
            <w:vAlign w:val="top"/>
          </w:tcPr>
          <w:p>
            <w:pPr>
              <w:spacing w:before="166" w:line="219" w:lineRule="auto"/>
              <w:ind w:left="999"/>
              <w:rPr>
                <w:rFonts w:ascii="宋体" w:hAnsi="宋体" w:eastAsia="宋体" w:cs="宋体"/>
                <w:sz w:val="20"/>
                <w:szCs w:val="20"/>
              </w:rPr>
            </w:pPr>
            <w:r>
              <w:rPr>
                <w:rFonts w:ascii="宋体" w:hAnsi="宋体" w:eastAsia="宋体" w:cs="宋体"/>
                <w:spacing w:val="9"/>
                <w:sz w:val="20"/>
                <w:szCs w:val="20"/>
              </w:rPr>
              <w:t>住房公积金</w:t>
            </w:r>
          </w:p>
        </w:tc>
        <w:tc>
          <w:tcPr>
            <w:tcW w:w="1745" w:type="dxa"/>
            <w:vAlign w:val="top"/>
          </w:tcPr>
          <w:p>
            <w:pPr>
              <w:spacing w:before="168" w:line="217" w:lineRule="auto"/>
              <w:ind w:left="351"/>
              <w:rPr>
                <w:rFonts w:ascii="宋体" w:hAnsi="宋体" w:eastAsia="宋体" w:cs="宋体"/>
                <w:sz w:val="20"/>
                <w:szCs w:val="20"/>
              </w:rPr>
            </w:pPr>
            <w:r>
              <w:rPr>
                <w:rFonts w:ascii="宋体" w:hAnsi="宋体" w:eastAsia="宋体" w:cs="宋体"/>
                <w:spacing w:val="8"/>
                <w:sz w:val="20"/>
                <w:szCs w:val="20"/>
              </w:rPr>
              <w:t>省价人工费</w:t>
            </w:r>
          </w:p>
        </w:tc>
        <w:tc>
          <w:tcPr>
            <w:tcW w:w="3645" w:type="dxa"/>
            <w:gridSpan w:val="2"/>
            <w:tcBorders>
              <w:right w:val="single" w:color="000000" w:sz="6" w:space="0"/>
            </w:tcBorders>
            <w:vAlign w:val="top"/>
          </w:tcPr>
          <w:p>
            <w:pPr>
              <w:spacing w:before="161" w:line="276" w:lineRule="exact"/>
              <w:ind w:left="1698"/>
              <w:rPr>
                <w:rFonts w:ascii="宋体" w:hAnsi="宋体" w:eastAsia="宋体" w:cs="宋体"/>
                <w:sz w:val="20"/>
                <w:szCs w:val="20"/>
              </w:rPr>
            </w:pPr>
            <w:r>
              <w:rPr>
                <w:rFonts w:ascii="宋体" w:hAnsi="宋体" w:eastAsia="宋体" w:cs="宋体"/>
                <w:spacing w:val="-18"/>
                <w:position w:val="1"/>
                <w:sz w:val="20"/>
                <w:szCs w:val="20"/>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3" w:hRule="atLeast"/>
        </w:trPr>
        <w:tc>
          <w:tcPr>
            <w:tcW w:w="846" w:type="dxa"/>
            <w:tcBorders>
              <w:left w:val="single" w:color="000000" w:sz="6" w:space="0"/>
              <w:bottom w:val="single" w:color="000000" w:sz="6" w:space="0"/>
            </w:tcBorders>
            <w:vAlign w:val="top"/>
          </w:tcPr>
          <w:p>
            <w:pPr>
              <w:spacing w:before="173" w:line="213" w:lineRule="auto"/>
              <w:ind w:left="204"/>
              <w:rPr>
                <w:rFonts w:ascii="宋体" w:hAnsi="宋体" w:eastAsia="宋体" w:cs="宋体"/>
                <w:sz w:val="20"/>
                <w:szCs w:val="20"/>
              </w:rPr>
            </w:pPr>
            <w:r>
              <w:rPr>
                <w:rFonts w:ascii="宋体" w:hAnsi="宋体" w:eastAsia="宋体" w:cs="宋体"/>
                <w:spacing w:val="7"/>
                <w:sz w:val="20"/>
                <w:szCs w:val="20"/>
              </w:rPr>
              <w:t>税金</w:t>
            </w:r>
          </w:p>
        </w:tc>
        <w:tc>
          <w:tcPr>
            <w:tcW w:w="3055" w:type="dxa"/>
            <w:gridSpan w:val="2"/>
            <w:tcBorders>
              <w:bottom w:val="single" w:color="000000" w:sz="6" w:space="0"/>
            </w:tcBorders>
            <w:vAlign w:val="top"/>
          </w:tcPr>
          <w:p>
            <w:pPr>
              <w:spacing w:before="168" w:line="222" w:lineRule="auto"/>
              <w:ind w:left="1210"/>
              <w:rPr>
                <w:rFonts w:ascii="宋体" w:hAnsi="宋体" w:eastAsia="宋体" w:cs="宋体"/>
                <w:sz w:val="20"/>
                <w:szCs w:val="20"/>
              </w:rPr>
            </w:pPr>
            <w:r>
              <w:rPr>
                <w:rFonts w:ascii="宋体" w:hAnsi="宋体" w:eastAsia="宋体" w:cs="宋体"/>
                <w:spacing w:val="8"/>
                <w:sz w:val="20"/>
                <w:szCs w:val="20"/>
              </w:rPr>
              <w:t>增值税</w:t>
            </w:r>
          </w:p>
        </w:tc>
        <w:tc>
          <w:tcPr>
            <w:tcW w:w="1745" w:type="dxa"/>
            <w:tcBorders>
              <w:bottom w:val="single" w:color="000000" w:sz="6" w:space="0"/>
            </w:tcBorders>
            <w:vAlign w:val="top"/>
          </w:tcPr>
          <w:p>
            <w:pPr>
              <w:spacing w:before="170" w:line="216" w:lineRule="auto"/>
              <w:ind w:left="453"/>
              <w:rPr>
                <w:rFonts w:ascii="宋体" w:hAnsi="宋体" w:eastAsia="宋体" w:cs="宋体"/>
                <w:sz w:val="20"/>
                <w:szCs w:val="20"/>
              </w:rPr>
            </w:pPr>
            <w:r>
              <w:rPr>
                <w:rFonts w:ascii="宋体" w:hAnsi="宋体" w:eastAsia="宋体" w:cs="宋体"/>
                <w:spacing w:val="8"/>
                <w:sz w:val="20"/>
                <w:szCs w:val="20"/>
              </w:rPr>
              <w:t>税前造价</w:t>
            </w:r>
          </w:p>
        </w:tc>
        <w:tc>
          <w:tcPr>
            <w:tcW w:w="3645" w:type="dxa"/>
            <w:gridSpan w:val="2"/>
            <w:tcBorders>
              <w:bottom w:val="single" w:color="000000" w:sz="6" w:space="0"/>
              <w:right w:val="single" w:color="000000" w:sz="6" w:space="0"/>
            </w:tcBorders>
            <w:vAlign w:val="top"/>
          </w:tcPr>
          <w:p>
            <w:pPr>
              <w:spacing w:before="164" w:line="288" w:lineRule="exact"/>
              <w:ind w:left="1774"/>
              <w:rPr>
                <w:rFonts w:ascii="宋体" w:hAnsi="宋体" w:eastAsia="宋体" w:cs="宋体"/>
                <w:sz w:val="20"/>
                <w:szCs w:val="20"/>
              </w:rPr>
            </w:pPr>
            <w:r>
              <w:rPr>
                <w:rFonts w:ascii="宋体" w:hAnsi="宋体" w:eastAsia="宋体" w:cs="宋体"/>
                <w:position w:val="2"/>
                <w:sz w:val="20"/>
                <w:szCs w:val="20"/>
              </w:rPr>
              <w:t>9</w:t>
            </w:r>
          </w:p>
        </w:tc>
      </w:tr>
    </w:tbl>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65" w:line="276" w:lineRule="exact"/>
        <w:ind w:left="538"/>
        <w:rPr>
          <w:rFonts w:ascii="宋体" w:hAnsi="宋体" w:eastAsia="宋体" w:cs="宋体"/>
          <w:sz w:val="20"/>
          <w:szCs w:val="20"/>
        </w:rPr>
      </w:pPr>
      <w:r>
        <w:rPr>
          <w:rFonts w:ascii="宋体" w:hAnsi="宋体" w:eastAsia="宋体" w:cs="宋体"/>
          <w:b/>
          <w:bCs/>
          <w:spacing w:val="5"/>
          <w:position w:val="1"/>
          <w:sz w:val="20"/>
          <w:szCs w:val="20"/>
        </w:rPr>
        <w:t>3.</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建筑、装饰、安装工程总价措施费中的人工费含量</w:t>
      </w:r>
    </w:p>
    <w:p>
      <w:pPr>
        <w:spacing w:line="377" w:lineRule="auto"/>
        <w:rPr>
          <w:rFonts w:ascii="Arial"/>
          <w:sz w:val="21"/>
        </w:rPr>
      </w:pPr>
    </w:p>
    <w:p>
      <w:pPr>
        <w:pStyle w:val="2"/>
        <w:spacing w:before="86" w:line="209" w:lineRule="auto"/>
        <w:ind w:left="2349"/>
        <w:rPr>
          <w:sz w:val="20"/>
          <w:szCs w:val="20"/>
        </w:rPr>
      </w:pPr>
      <w:r>
        <w:rPr>
          <w:spacing w:val="9"/>
          <w:sz w:val="20"/>
          <w:szCs w:val="20"/>
        </w:rPr>
        <w:t>建筑、装饰、安装工程总价措施费中的人工费含量</w:t>
      </w:r>
    </w:p>
    <w:p>
      <w:pPr>
        <w:spacing w:before="77" w:line="234" w:lineRule="auto"/>
        <w:ind w:left="7903"/>
        <w:rPr>
          <w:rFonts w:ascii="宋体" w:hAnsi="宋体" w:eastAsia="宋体" w:cs="宋体"/>
          <w:sz w:val="20"/>
          <w:szCs w:val="20"/>
        </w:rPr>
      </w:pPr>
      <w:r>
        <w:rPr>
          <w:rFonts w:ascii="宋体" w:hAnsi="宋体" w:eastAsia="宋体" w:cs="宋体"/>
          <w:b/>
          <w:bCs/>
          <w:spacing w:val="23"/>
          <w:sz w:val="20"/>
          <w:szCs w:val="20"/>
        </w:rPr>
        <w:t>单位：%</w:t>
      </w: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5"/>
        <w:gridCol w:w="1755"/>
        <w:gridCol w:w="1614"/>
        <w:gridCol w:w="1752"/>
        <w:gridCol w:w="17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4" w:hRule="atLeast"/>
        </w:trPr>
        <w:tc>
          <w:tcPr>
            <w:tcW w:w="2455" w:type="dxa"/>
            <w:tcBorders>
              <w:top w:val="single" w:color="000000" w:sz="6" w:space="0"/>
              <w:left w:val="single" w:color="000000" w:sz="6" w:space="0"/>
              <w:tl2br w:val="single" w:color="000000" w:sz="4" w:space="0"/>
            </w:tcBorders>
            <w:vAlign w:val="top"/>
          </w:tcPr>
          <w:p>
            <w:pPr>
              <w:spacing w:before="27" w:line="170" w:lineRule="auto"/>
              <w:ind w:left="113" w:right="284" w:firstLine="1223"/>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r>
              <w:rPr>
                <w:rFonts w:ascii="微软雅黑" w:hAnsi="微软雅黑" w:eastAsia="微软雅黑" w:cs="微软雅黑"/>
                <w:spacing w:val="6"/>
                <w:sz w:val="20"/>
                <w:szCs w:val="20"/>
              </w:rPr>
              <w:t>专业名称</w:t>
            </w:r>
          </w:p>
        </w:tc>
        <w:tc>
          <w:tcPr>
            <w:tcW w:w="1755" w:type="dxa"/>
            <w:tcBorders>
              <w:top w:val="single" w:color="000000" w:sz="6" w:space="0"/>
            </w:tcBorders>
            <w:vAlign w:val="top"/>
          </w:tcPr>
          <w:p>
            <w:pPr>
              <w:spacing w:before="27" w:line="170" w:lineRule="auto"/>
              <w:ind w:left="561" w:right="462" w:hanging="100"/>
              <w:rPr>
                <w:rFonts w:ascii="微软雅黑" w:hAnsi="微软雅黑" w:eastAsia="微软雅黑" w:cs="微软雅黑"/>
                <w:sz w:val="20"/>
                <w:szCs w:val="20"/>
              </w:rPr>
            </w:pPr>
            <w:r>
              <w:rPr>
                <w:rFonts w:ascii="微软雅黑" w:hAnsi="微软雅黑" w:eastAsia="微软雅黑" w:cs="微软雅黑"/>
                <w:spacing w:val="6"/>
                <w:sz w:val="20"/>
                <w:szCs w:val="20"/>
              </w:rPr>
              <w:t>夜间施工</w:t>
            </w:r>
            <w:r>
              <w:rPr>
                <w:rFonts w:ascii="微软雅黑" w:hAnsi="微软雅黑" w:eastAsia="微软雅黑" w:cs="微软雅黑"/>
                <w:spacing w:val="7"/>
                <w:sz w:val="20"/>
                <w:szCs w:val="20"/>
              </w:rPr>
              <w:t>增加费</w:t>
            </w:r>
          </w:p>
        </w:tc>
        <w:tc>
          <w:tcPr>
            <w:tcW w:w="1614" w:type="dxa"/>
            <w:tcBorders>
              <w:top w:val="single" w:color="000000" w:sz="6" w:space="0"/>
            </w:tcBorders>
            <w:vAlign w:val="top"/>
          </w:tcPr>
          <w:p>
            <w:pPr>
              <w:spacing w:before="157" w:line="209" w:lineRule="auto"/>
              <w:ind w:left="286"/>
              <w:rPr>
                <w:rFonts w:ascii="微软雅黑" w:hAnsi="微软雅黑" w:eastAsia="微软雅黑" w:cs="微软雅黑"/>
                <w:sz w:val="20"/>
                <w:szCs w:val="20"/>
              </w:rPr>
            </w:pPr>
            <w:r>
              <w:rPr>
                <w:rFonts w:ascii="微软雅黑" w:hAnsi="微软雅黑" w:eastAsia="微软雅黑" w:cs="微软雅黑"/>
                <w:spacing w:val="7"/>
                <w:sz w:val="20"/>
                <w:szCs w:val="20"/>
              </w:rPr>
              <w:t>二次搬运费</w:t>
            </w:r>
          </w:p>
        </w:tc>
        <w:tc>
          <w:tcPr>
            <w:tcW w:w="1752" w:type="dxa"/>
            <w:tcBorders>
              <w:top w:val="single" w:color="000000" w:sz="6" w:space="0"/>
            </w:tcBorders>
            <w:vAlign w:val="top"/>
          </w:tcPr>
          <w:p>
            <w:pPr>
              <w:spacing w:before="27" w:line="170" w:lineRule="auto"/>
              <w:ind w:left="564" w:right="350" w:hanging="211"/>
              <w:rPr>
                <w:rFonts w:ascii="微软雅黑" w:hAnsi="微软雅黑" w:eastAsia="微软雅黑" w:cs="微软雅黑"/>
                <w:sz w:val="20"/>
                <w:szCs w:val="20"/>
              </w:rPr>
            </w:pPr>
            <w:r>
              <w:rPr>
                <w:rFonts w:ascii="微软雅黑" w:hAnsi="微软雅黑" w:eastAsia="微软雅黑" w:cs="微软雅黑"/>
                <w:spacing w:val="8"/>
                <w:sz w:val="20"/>
                <w:szCs w:val="20"/>
              </w:rPr>
              <w:t>冬雨季施工</w:t>
            </w:r>
            <w:r>
              <w:rPr>
                <w:rFonts w:ascii="微软雅黑" w:hAnsi="微软雅黑" w:eastAsia="微软雅黑" w:cs="微软雅黑"/>
                <w:spacing w:val="7"/>
                <w:sz w:val="20"/>
                <w:szCs w:val="20"/>
              </w:rPr>
              <w:t>增加费</w:t>
            </w:r>
          </w:p>
        </w:tc>
        <w:tc>
          <w:tcPr>
            <w:tcW w:w="1715" w:type="dxa"/>
            <w:tcBorders>
              <w:top w:val="single" w:color="000000" w:sz="6" w:space="0"/>
              <w:right w:val="single" w:color="000000" w:sz="6" w:space="0"/>
            </w:tcBorders>
            <w:vAlign w:val="top"/>
          </w:tcPr>
          <w:p>
            <w:pPr>
              <w:spacing w:before="27" w:line="181" w:lineRule="auto"/>
              <w:ind w:left="355"/>
              <w:rPr>
                <w:rFonts w:ascii="微软雅黑" w:hAnsi="微软雅黑" w:eastAsia="微软雅黑" w:cs="微软雅黑"/>
                <w:sz w:val="20"/>
                <w:szCs w:val="20"/>
              </w:rPr>
            </w:pPr>
            <w:r>
              <w:rPr>
                <w:rFonts w:ascii="微软雅黑" w:hAnsi="微软雅黑" w:eastAsia="微软雅黑" w:cs="微软雅黑"/>
                <w:spacing w:val="4"/>
                <w:sz w:val="20"/>
                <w:szCs w:val="20"/>
              </w:rPr>
              <w:t>已完工程及</w:t>
            </w:r>
          </w:p>
          <w:p>
            <w:pPr>
              <w:spacing w:line="159" w:lineRule="auto"/>
              <w:ind w:left="339"/>
              <w:rPr>
                <w:rFonts w:ascii="微软雅黑" w:hAnsi="微软雅黑" w:eastAsia="微软雅黑" w:cs="微软雅黑"/>
                <w:sz w:val="20"/>
                <w:szCs w:val="20"/>
              </w:rPr>
            </w:pPr>
            <w:r>
              <w:rPr>
                <w:rFonts w:ascii="微软雅黑" w:hAnsi="微软雅黑" w:eastAsia="微软雅黑" w:cs="微软雅黑"/>
                <w:spacing w:val="7"/>
                <w:sz w:val="20"/>
                <w:szCs w:val="20"/>
              </w:rPr>
              <w:t>设备保护费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4" w:hRule="atLeast"/>
        </w:trPr>
        <w:tc>
          <w:tcPr>
            <w:tcW w:w="2455" w:type="dxa"/>
            <w:tcBorders>
              <w:left w:val="single" w:color="000000" w:sz="6" w:space="0"/>
            </w:tcBorders>
            <w:vAlign w:val="top"/>
          </w:tcPr>
          <w:p>
            <w:pPr>
              <w:spacing w:before="163" w:line="223" w:lineRule="auto"/>
              <w:ind w:left="278"/>
              <w:rPr>
                <w:rFonts w:ascii="宋体" w:hAnsi="宋体" w:eastAsia="宋体" w:cs="宋体"/>
                <w:sz w:val="20"/>
                <w:szCs w:val="20"/>
              </w:rPr>
            </w:pPr>
            <w:r>
              <w:rPr>
                <w:rFonts w:ascii="宋体" w:hAnsi="宋体" w:eastAsia="宋体" w:cs="宋体"/>
                <w:spacing w:val="9"/>
                <w:sz w:val="20"/>
                <w:szCs w:val="20"/>
              </w:rPr>
              <w:t>建筑工程、装饰工程</w:t>
            </w:r>
          </w:p>
        </w:tc>
        <w:tc>
          <w:tcPr>
            <w:tcW w:w="1755" w:type="dxa"/>
            <w:tcBorders>
              <w:right w:val="nil"/>
            </w:tcBorders>
            <w:vAlign w:val="top"/>
          </w:tcPr>
          <w:p>
            <w:pPr>
              <w:pStyle w:val="6"/>
            </w:pPr>
          </w:p>
        </w:tc>
        <w:tc>
          <w:tcPr>
            <w:tcW w:w="1614" w:type="dxa"/>
            <w:tcBorders>
              <w:left w:val="nil"/>
              <w:right w:val="nil"/>
            </w:tcBorders>
            <w:vAlign w:val="top"/>
          </w:tcPr>
          <w:p>
            <w:pPr>
              <w:spacing w:before="160" w:line="283" w:lineRule="exact"/>
              <w:ind w:left="707"/>
              <w:rPr>
                <w:rFonts w:ascii="宋体" w:hAnsi="宋体" w:eastAsia="宋体" w:cs="宋体"/>
                <w:sz w:val="20"/>
                <w:szCs w:val="20"/>
              </w:rPr>
            </w:pPr>
            <w:r>
              <w:rPr>
                <w:rFonts w:ascii="宋体" w:hAnsi="宋体" w:eastAsia="宋体" w:cs="宋体"/>
                <w:position w:val="2"/>
                <w:sz w:val="20"/>
                <w:szCs w:val="20"/>
              </w:rPr>
              <w:t>25</w:t>
            </w:r>
          </w:p>
        </w:tc>
        <w:tc>
          <w:tcPr>
            <w:tcW w:w="1752" w:type="dxa"/>
            <w:tcBorders>
              <w:left w:val="nil"/>
            </w:tcBorders>
            <w:vAlign w:val="top"/>
          </w:tcPr>
          <w:p>
            <w:pPr>
              <w:pStyle w:val="6"/>
            </w:pPr>
          </w:p>
        </w:tc>
        <w:tc>
          <w:tcPr>
            <w:tcW w:w="1715" w:type="dxa"/>
            <w:tcBorders>
              <w:right w:val="single" w:color="000000" w:sz="6" w:space="0"/>
            </w:tcBorders>
            <w:vAlign w:val="top"/>
          </w:tcPr>
          <w:p>
            <w:pPr>
              <w:spacing w:before="160" w:line="283" w:lineRule="exact"/>
              <w:ind w:left="775"/>
              <w:rPr>
                <w:rFonts w:ascii="宋体" w:hAnsi="宋体" w:eastAsia="宋体" w:cs="宋体"/>
                <w:sz w:val="20"/>
                <w:szCs w:val="20"/>
              </w:rPr>
            </w:pPr>
            <w:r>
              <w:rPr>
                <w:rFonts w:ascii="宋体" w:hAnsi="宋体" w:eastAsia="宋体" w:cs="宋体"/>
                <w:spacing w:val="-8"/>
                <w:position w:val="1"/>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9" w:hRule="atLeast"/>
        </w:trPr>
        <w:tc>
          <w:tcPr>
            <w:tcW w:w="2455" w:type="dxa"/>
            <w:tcBorders>
              <w:left w:val="single" w:color="000000" w:sz="6" w:space="0"/>
              <w:bottom w:val="single" w:color="000000" w:sz="6" w:space="0"/>
            </w:tcBorders>
            <w:vAlign w:val="top"/>
          </w:tcPr>
          <w:p>
            <w:pPr>
              <w:spacing w:before="170" w:line="219" w:lineRule="auto"/>
              <w:ind w:left="802"/>
              <w:rPr>
                <w:rFonts w:ascii="宋体" w:hAnsi="宋体" w:eastAsia="宋体" w:cs="宋体"/>
                <w:sz w:val="20"/>
                <w:szCs w:val="20"/>
              </w:rPr>
            </w:pPr>
            <w:r>
              <w:rPr>
                <w:rFonts w:ascii="宋体" w:hAnsi="宋体" w:eastAsia="宋体" w:cs="宋体"/>
                <w:spacing w:val="8"/>
                <w:sz w:val="20"/>
                <w:szCs w:val="20"/>
              </w:rPr>
              <w:t>安装工程</w:t>
            </w:r>
          </w:p>
        </w:tc>
        <w:tc>
          <w:tcPr>
            <w:tcW w:w="1755" w:type="dxa"/>
            <w:tcBorders>
              <w:bottom w:val="single" w:color="000000" w:sz="6" w:space="0"/>
            </w:tcBorders>
            <w:vAlign w:val="top"/>
          </w:tcPr>
          <w:p>
            <w:pPr>
              <w:spacing w:before="164" w:line="294" w:lineRule="exact"/>
              <w:ind w:left="772"/>
              <w:rPr>
                <w:rFonts w:ascii="宋体" w:hAnsi="宋体" w:eastAsia="宋体" w:cs="宋体"/>
                <w:sz w:val="20"/>
                <w:szCs w:val="20"/>
              </w:rPr>
            </w:pPr>
            <w:r>
              <w:rPr>
                <w:rFonts w:ascii="宋体" w:hAnsi="宋体" w:eastAsia="宋体" w:cs="宋体"/>
                <w:position w:val="2"/>
                <w:sz w:val="20"/>
                <w:szCs w:val="20"/>
              </w:rPr>
              <w:t>50</w:t>
            </w:r>
          </w:p>
        </w:tc>
        <w:tc>
          <w:tcPr>
            <w:tcW w:w="1614" w:type="dxa"/>
            <w:tcBorders>
              <w:bottom w:val="single" w:color="000000" w:sz="6" w:space="0"/>
            </w:tcBorders>
            <w:vAlign w:val="top"/>
          </w:tcPr>
          <w:p>
            <w:pPr>
              <w:spacing w:before="164" w:line="294" w:lineRule="exact"/>
              <w:ind w:left="706"/>
              <w:rPr>
                <w:rFonts w:ascii="宋体" w:hAnsi="宋体" w:eastAsia="宋体" w:cs="宋体"/>
                <w:sz w:val="20"/>
                <w:szCs w:val="20"/>
              </w:rPr>
            </w:pPr>
            <w:r>
              <w:rPr>
                <w:rFonts w:ascii="宋体" w:hAnsi="宋体" w:eastAsia="宋体" w:cs="宋体"/>
                <w:spacing w:val="2"/>
                <w:position w:val="2"/>
                <w:sz w:val="20"/>
                <w:szCs w:val="20"/>
              </w:rPr>
              <w:t>40</w:t>
            </w:r>
          </w:p>
        </w:tc>
        <w:tc>
          <w:tcPr>
            <w:tcW w:w="1752" w:type="dxa"/>
            <w:tcBorders>
              <w:bottom w:val="single" w:color="000000" w:sz="6" w:space="0"/>
            </w:tcBorders>
            <w:vAlign w:val="top"/>
          </w:tcPr>
          <w:p>
            <w:pPr>
              <w:spacing w:before="164" w:line="294" w:lineRule="exact"/>
              <w:ind w:left="779"/>
              <w:rPr>
                <w:rFonts w:ascii="宋体" w:hAnsi="宋体" w:eastAsia="宋体" w:cs="宋体"/>
                <w:sz w:val="20"/>
                <w:szCs w:val="20"/>
              </w:rPr>
            </w:pPr>
            <w:r>
              <w:rPr>
                <w:rFonts w:ascii="宋体" w:hAnsi="宋体" w:eastAsia="宋体" w:cs="宋体"/>
                <w:spacing w:val="2"/>
                <w:position w:val="2"/>
                <w:sz w:val="20"/>
                <w:szCs w:val="20"/>
              </w:rPr>
              <w:t>40</w:t>
            </w:r>
          </w:p>
        </w:tc>
        <w:tc>
          <w:tcPr>
            <w:tcW w:w="1715" w:type="dxa"/>
            <w:tcBorders>
              <w:bottom w:val="single" w:color="000000" w:sz="6" w:space="0"/>
              <w:right w:val="single" w:color="000000" w:sz="6" w:space="0"/>
            </w:tcBorders>
            <w:vAlign w:val="top"/>
          </w:tcPr>
          <w:p>
            <w:pPr>
              <w:spacing w:before="164" w:line="294" w:lineRule="exact"/>
              <w:ind w:left="758"/>
              <w:rPr>
                <w:rFonts w:ascii="宋体" w:hAnsi="宋体" w:eastAsia="宋体" w:cs="宋体"/>
                <w:sz w:val="20"/>
                <w:szCs w:val="20"/>
              </w:rPr>
            </w:pPr>
            <w:r>
              <w:rPr>
                <w:rFonts w:ascii="宋体" w:hAnsi="宋体" w:eastAsia="宋体" w:cs="宋体"/>
                <w:position w:val="2"/>
                <w:sz w:val="20"/>
                <w:szCs w:val="20"/>
              </w:rPr>
              <w:t>25</w:t>
            </w:r>
          </w:p>
        </w:tc>
      </w:tr>
    </w:tbl>
    <w:p>
      <w:pPr>
        <w:rPr>
          <w:rFonts w:ascii="Arial"/>
          <w:sz w:val="21"/>
        </w:rPr>
      </w:pPr>
    </w:p>
    <w:p>
      <w:pPr>
        <w:rPr>
          <w:rFonts w:ascii="Arial" w:hAnsi="Arial" w:eastAsia="Arial" w:cs="Arial"/>
          <w:sz w:val="21"/>
          <w:szCs w:val="21"/>
        </w:rPr>
        <w:sectPr>
          <w:footerReference r:id="rId14" w:type="default"/>
          <w:pgSz w:w="11905" w:h="16840"/>
          <w:pgMar w:top="1431" w:right="1299" w:bottom="1213" w:left="1299" w:header="0" w:footer="898" w:gutter="0"/>
        </w:sectPr>
      </w:pPr>
    </w:p>
    <w:p>
      <w:pPr>
        <w:spacing w:before="93" w:line="278" w:lineRule="exact"/>
        <w:ind w:left="429"/>
        <w:rPr>
          <w:rFonts w:ascii="宋体" w:hAnsi="宋体" w:eastAsia="宋体" w:cs="宋体"/>
          <w:sz w:val="20"/>
          <w:szCs w:val="20"/>
        </w:rPr>
      </w:pPr>
      <w:r>
        <w:rPr>
          <w:rFonts w:ascii="宋体" w:hAnsi="宋体" w:eastAsia="宋体" w:cs="宋体"/>
          <w:b/>
          <w:bCs/>
          <w:spacing w:val="5"/>
          <w:position w:val="1"/>
          <w:sz w:val="20"/>
          <w:szCs w:val="20"/>
        </w:rPr>
        <w:t>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市政工程费用相关费率</w:t>
      </w:r>
    </w:p>
    <w:p>
      <w:pPr>
        <w:pStyle w:val="2"/>
        <w:spacing w:before="129" w:line="190" w:lineRule="auto"/>
        <w:ind w:left="3480"/>
        <w:rPr>
          <w:sz w:val="20"/>
          <w:szCs w:val="20"/>
        </w:rPr>
      </w:pPr>
      <w:r>
        <w:rPr>
          <w:spacing w:val="10"/>
          <w:sz w:val="20"/>
          <w:szCs w:val="20"/>
        </w:rPr>
        <w:t>市政工程费用相关费率</w:t>
      </w:r>
    </w:p>
    <w:tbl>
      <w:tblPr>
        <w:tblStyle w:val="5"/>
        <w:tblW w:w="8636" w:type="dxa"/>
        <w:tblInd w:w="2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
        <w:gridCol w:w="1469"/>
        <w:gridCol w:w="406"/>
        <w:gridCol w:w="586"/>
        <w:gridCol w:w="586"/>
        <w:gridCol w:w="586"/>
        <w:gridCol w:w="586"/>
        <w:gridCol w:w="586"/>
        <w:gridCol w:w="586"/>
        <w:gridCol w:w="586"/>
        <w:gridCol w:w="586"/>
        <w:gridCol w:w="502"/>
        <w:gridCol w:w="503"/>
        <w:gridCol w:w="6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2264" w:type="dxa"/>
            <w:gridSpan w:val="3"/>
            <w:vMerge w:val="restart"/>
            <w:tcBorders>
              <w:top w:val="single" w:color="000000" w:sz="6" w:space="0"/>
              <w:left w:val="single" w:color="000000" w:sz="6" w:space="0"/>
              <w:bottom w:val="nil"/>
            </w:tcBorders>
            <w:vAlign w:val="top"/>
          </w:tcPr>
          <w:p>
            <w:pPr>
              <w:pStyle w:val="6"/>
              <w:spacing w:line="326" w:lineRule="auto"/>
            </w:pPr>
          </w:p>
          <w:p>
            <w:pPr>
              <w:pStyle w:val="6"/>
              <w:spacing w:line="327" w:lineRule="auto"/>
            </w:pPr>
          </w:p>
          <w:p>
            <w:pPr>
              <w:spacing w:before="85" w:line="209" w:lineRule="auto"/>
              <w:ind w:left="717"/>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586" w:type="dxa"/>
            <w:vMerge w:val="restart"/>
            <w:tcBorders>
              <w:top w:val="single" w:color="000000" w:sz="6" w:space="0"/>
              <w:bottom w:val="nil"/>
            </w:tcBorders>
            <w:vAlign w:val="top"/>
          </w:tcPr>
          <w:p>
            <w:pPr>
              <w:pStyle w:val="6"/>
              <w:spacing w:line="475" w:lineRule="auto"/>
            </w:pPr>
          </w:p>
          <w:p>
            <w:pPr>
              <w:spacing w:before="86" w:line="262" w:lineRule="auto"/>
              <w:ind w:left="82" w:right="86"/>
              <w:rPr>
                <w:rFonts w:ascii="微软雅黑" w:hAnsi="微软雅黑" w:eastAsia="微软雅黑" w:cs="微软雅黑"/>
                <w:sz w:val="20"/>
                <w:szCs w:val="20"/>
              </w:rPr>
            </w:pPr>
            <w:r>
              <w:rPr>
                <w:rFonts w:ascii="微软雅黑" w:hAnsi="微软雅黑" w:eastAsia="微软雅黑" w:cs="微软雅黑"/>
                <w:spacing w:val="5"/>
                <w:sz w:val="20"/>
                <w:szCs w:val="20"/>
              </w:rPr>
              <w:t>计算基础</w:t>
            </w:r>
          </w:p>
        </w:tc>
        <w:tc>
          <w:tcPr>
            <w:tcW w:w="5786" w:type="dxa"/>
            <w:gridSpan w:val="10"/>
            <w:tcBorders>
              <w:top w:val="single" w:color="000000" w:sz="6" w:space="0"/>
              <w:right w:val="single" w:color="000000" w:sz="6" w:space="0"/>
            </w:tcBorders>
            <w:vAlign w:val="top"/>
          </w:tcPr>
          <w:p>
            <w:pPr>
              <w:spacing w:before="121" w:line="189" w:lineRule="auto"/>
              <w:ind w:left="2386"/>
              <w:rPr>
                <w:rFonts w:ascii="微软雅黑" w:hAnsi="微软雅黑" w:eastAsia="微软雅黑" w:cs="微软雅黑"/>
                <w:sz w:val="20"/>
                <w:szCs w:val="20"/>
              </w:rPr>
            </w:pPr>
            <w:r>
              <w:rPr>
                <w:rFonts w:ascii="微软雅黑" w:hAnsi="微软雅黑" w:eastAsia="微软雅黑" w:cs="微软雅黑"/>
                <w:spacing w:val="-6"/>
                <w:sz w:val="20"/>
                <w:szCs w:val="20"/>
              </w:rPr>
              <w:t>费率（ %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39" w:hRule="atLeast"/>
        </w:trPr>
        <w:tc>
          <w:tcPr>
            <w:tcW w:w="2264" w:type="dxa"/>
            <w:gridSpan w:val="3"/>
            <w:vMerge w:val="continue"/>
            <w:tcBorders>
              <w:top w:val="nil"/>
              <w:left w:val="single" w:color="000000" w:sz="6" w:space="0"/>
            </w:tcBorders>
            <w:vAlign w:val="top"/>
          </w:tcPr>
          <w:p>
            <w:pPr>
              <w:pStyle w:val="6"/>
            </w:pPr>
          </w:p>
        </w:tc>
        <w:tc>
          <w:tcPr>
            <w:tcW w:w="586" w:type="dxa"/>
            <w:vMerge w:val="continue"/>
            <w:tcBorders>
              <w:top w:val="nil"/>
            </w:tcBorders>
            <w:vAlign w:val="top"/>
          </w:tcPr>
          <w:p>
            <w:pPr>
              <w:pStyle w:val="6"/>
            </w:pPr>
          </w:p>
        </w:tc>
        <w:tc>
          <w:tcPr>
            <w:tcW w:w="586" w:type="dxa"/>
            <w:vAlign w:val="top"/>
          </w:tcPr>
          <w:p>
            <w:pPr>
              <w:pStyle w:val="6"/>
              <w:spacing w:line="272" w:lineRule="auto"/>
            </w:pPr>
          </w:p>
          <w:p>
            <w:pPr>
              <w:spacing w:before="86" w:line="261" w:lineRule="auto"/>
              <w:ind w:left="91" w:right="84" w:hanging="6"/>
              <w:rPr>
                <w:rFonts w:ascii="微软雅黑" w:hAnsi="微软雅黑" w:eastAsia="微软雅黑" w:cs="微软雅黑"/>
                <w:sz w:val="20"/>
                <w:szCs w:val="20"/>
              </w:rPr>
            </w:pPr>
            <w:r>
              <w:rPr>
                <w:rFonts w:ascii="微软雅黑" w:hAnsi="微软雅黑" w:eastAsia="微软雅黑" w:cs="微软雅黑"/>
                <w:spacing w:val="5"/>
                <w:sz w:val="20"/>
                <w:szCs w:val="20"/>
              </w:rPr>
              <w:t>道路</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0" w:right="85" w:hanging="8"/>
              <w:rPr>
                <w:rFonts w:ascii="微软雅黑" w:hAnsi="微软雅黑" w:eastAsia="微软雅黑" w:cs="微软雅黑"/>
                <w:sz w:val="20"/>
                <w:szCs w:val="20"/>
              </w:rPr>
            </w:pPr>
            <w:r>
              <w:rPr>
                <w:rFonts w:ascii="微软雅黑" w:hAnsi="微软雅黑" w:eastAsia="微软雅黑" w:cs="微软雅黑"/>
                <w:spacing w:val="6"/>
                <w:sz w:val="20"/>
                <w:szCs w:val="20"/>
              </w:rPr>
              <w:t>桥涵</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3" w:right="83" w:firstLine="2"/>
              <w:rPr>
                <w:rFonts w:ascii="微软雅黑" w:hAnsi="微软雅黑" w:eastAsia="微软雅黑" w:cs="微软雅黑"/>
                <w:sz w:val="20"/>
                <w:szCs w:val="20"/>
              </w:rPr>
            </w:pPr>
            <w:r>
              <w:rPr>
                <w:rFonts w:ascii="微软雅黑" w:hAnsi="微软雅黑" w:eastAsia="微软雅黑" w:cs="微软雅黑"/>
                <w:sz w:val="20"/>
                <w:szCs w:val="20"/>
              </w:rPr>
              <w:t>隧道</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3" w:right="83" w:hanging="3"/>
              <w:rPr>
                <w:rFonts w:ascii="微软雅黑" w:hAnsi="微软雅黑" w:eastAsia="微软雅黑" w:cs="微软雅黑"/>
                <w:sz w:val="20"/>
                <w:szCs w:val="20"/>
              </w:rPr>
            </w:pPr>
            <w:r>
              <w:rPr>
                <w:rFonts w:ascii="微软雅黑" w:hAnsi="微软雅黑" w:eastAsia="微软雅黑" w:cs="微软雅黑"/>
                <w:spacing w:val="3"/>
                <w:sz w:val="20"/>
                <w:szCs w:val="20"/>
              </w:rPr>
              <w:t>排水</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4" w:right="81" w:hanging="3"/>
              <w:rPr>
                <w:rFonts w:ascii="微软雅黑" w:hAnsi="微软雅黑" w:eastAsia="微软雅黑" w:cs="微软雅黑"/>
                <w:sz w:val="20"/>
                <w:szCs w:val="20"/>
              </w:rPr>
            </w:pPr>
            <w:r>
              <w:rPr>
                <w:rFonts w:ascii="微软雅黑" w:hAnsi="微软雅黑" w:eastAsia="微软雅黑" w:cs="微软雅黑"/>
                <w:spacing w:val="3"/>
                <w:sz w:val="20"/>
                <w:szCs w:val="20"/>
              </w:rPr>
              <w:t>给水</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6" w:right="79" w:hanging="10"/>
              <w:rPr>
                <w:rFonts w:ascii="微软雅黑" w:hAnsi="微软雅黑" w:eastAsia="微软雅黑" w:cs="微软雅黑"/>
                <w:sz w:val="20"/>
                <w:szCs w:val="20"/>
              </w:rPr>
            </w:pPr>
            <w:r>
              <w:rPr>
                <w:rFonts w:ascii="微软雅黑" w:hAnsi="微软雅黑" w:eastAsia="微软雅黑" w:cs="微软雅黑"/>
                <w:spacing w:val="7"/>
                <w:sz w:val="20"/>
                <w:szCs w:val="20"/>
              </w:rPr>
              <w:t>燃气</w:t>
            </w:r>
            <w:r>
              <w:rPr>
                <w:rFonts w:ascii="微软雅黑" w:hAnsi="微软雅黑" w:eastAsia="微软雅黑" w:cs="微软雅黑"/>
                <w:spacing w:val="2"/>
                <w:sz w:val="20"/>
                <w:szCs w:val="20"/>
              </w:rPr>
              <w:t>工程</w:t>
            </w:r>
          </w:p>
        </w:tc>
        <w:tc>
          <w:tcPr>
            <w:tcW w:w="586" w:type="dxa"/>
            <w:vAlign w:val="top"/>
          </w:tcPr>
          <w:p>
            <w:pPr>
              <w:pStyle w:val="6"/>
              <w:spacing w:line="272" w:lineRule="auto"/>
            </w:pPr>
          </w:p>
          <w:p>
            <w:pPr>
              <w:spacing w:before="86" w:line="261" w:lineRule="auto"/>
              <w:ind w:left="96" w:right="80" w:hanging="9"/>
              <w:rPr>
                <w:rFonts w:ascii="微软雅黑" w:hAnsi="微软雅黑" w:eastAsia="微软雅黑" w:cs="微软雅黑"/>
                <w:sz w:val="20"/>
                <w:szCs w:val="20"/>
              </w:rPr>
            </w:pPr>
            <w:r>
              <w:rPr>
                <w:rFonts w:ascii="微软雅黑" w:hAnsi="微软雅黑" w:eastAsia="微软雅黑" w:cs="微软雅黑"/>
                <w:spacing w:val="6"/>
                <w:sz w:val="20"/>
                <w:szCs w:val="20"/>
              </w:rPr>
              <w:t>供热</w:t>
            </w:r>
            <w:r>
              <w:rPr>
                <w:rFonts w:ascii="微软雅黑" w:hAnsi="微软雅黑" w:eastAsia="微软雅黑" w:cs="微软雅黑"/>
                <w:spacing w:val="2"/>
                <w:sz w:val="20"/>
                <w:szCs w:val="20"/>
              </w:rPr>
              <w:t>工程</w:t>
            </w:r>
          </w:p>
        </w:tc>
        <w:tc>
          <w:tcPr>
            <w:tcW w:w="502" w:type="dxa"/>
            <w:vAlign w:val="top"/>
          </w:tcPr>
          <w:p>
            <w:pPr>
              <w:spacing w:before="179" w:line="209" w:lineRule="auto"/>
              <w:ind w:left="46"/>
              <w:rPr>
                <w:rFonts w:ascii="微软雅黑" w:hAnsi="微软雅黑" w:eastAsia="微软雅黑" w:cs="微软雅黑"/>
                <w:sz w:val="20"/>
                <w:szCs w:val="20"/>
              </w:rPr>
            </w:pPr>
            <w:r>
              <w:rPr>
                <w:rFonts w:ascii="微软雅黑" w:hAnsi="微软雅黑" w:eastAsia="微软雅黑" w:cs="微软雅黑"/>
                <w:spacing w:val="6"/>
                <w:sz w:val="20"/>
                <w:szCs w:val="20"/>
              </w:rPr>
              <w:t>水处</w:t>
            </w:r>
          </w:p>
          <w:p>
            <w:pPr>
              <w:spacing w:before="89" w:line="231" w:lineRule="auto"/>
              <w:ind w:left="157" w:right="37" w:hanging="107"/>
              <w:rPr>
                <w:rFonts w:ascii="微软雅黑" w:hAnsi="微软雅黑" w:eastAsia="微软雅黑" w:cs="微软雅黑"/>
                <w:sz w:val="20"/>
                <w:szCs w:val="20"/>
              </w:rPr>
            </w:pPr>
            <w:r>
              <w:rPr>
                <w:rFonts w:ascii="微软雅黑" w:hAnsi="微软雅黑" w:eastAsia="微软雅黑" w:cs="微软雅黑"/>
                <w:spacing w:val="4"/>
                <w:sz w:val="20"/>
                <w:szCs w:val="20"/>
              </w:rPr>
              <w:t>理工</w:t>
            </w:r>
            <w:r>
              <w:rPr>
                <w:rFonts w:ascii="微软雅黑" w:hAnsi="微软雅黑" w:eastAsia="微软雅黑" w:cs="微软雅黑"/>
                <w:sz w:val="20"/>
                <w:szCs w:val="20"/>
              </w:rPr>
              <w:t>程</w:t>
            </w:r>
          </w:p>
        </w:tc>
        <w:tc>
          <w:tcPr>
            <w:tcW w:w="503" w:type="dxa"/>
            <w:vAlign w:val="top"/>
          </w:tcPr>
          <w:p>
            <w:pPr>
              <w:spacing w:before="180" w:line="210" w:lineRule="auto"/>
              <w:ind w:left="50"/>
              <w:rPr>
                <w:rFonts w:ascii="微软雅黑" w:hAnsi="微软雅黑" w:eastAsia="微软雅黑" w:cs="微软雅黑"/>
                <w:sz w:val="20"/>
                <w:szCs w:val="20"/>
              </w:rPr>
            </w:pPr>
            <w:r>
              <w:rPr>
                <w:rFonts w:ascii="微软雅黑" w:hAnsi="微软雅黑" w:eastAsia="微软雅黑" w:cs="微软雅黑"/>
                <w:spacing w:val="5"/>
                <w:sz w:val="20"/>
                <w:szCs w:val="20"/>
              </w:rPr>
              <w:t>垃圾</w:t>
            </w:r>
          </w:p>
          <w:p>
            <w:pPr>
              <w:spacing w:before="59" w:line="209" w:lineRule="auto"/>
              <w:ind w:left="52"/>
              <w:rPr>
                <w:rFonts w:ascii="微软雅黑" w:hAnsi="微软雅黑" w:eastAsia="微软雅黑" w:cs="微软雅黑"/>
                <w:sz w:val="20"/>
                <w:szCs w:val="20"/>
              </w:rPr>
            </w:pPr>
            <w:r>
              <w:rPr>
                <w:rFonts w:ascii="微软雅黑" w:hAnsi="微软雅黑" w:eastAsia="微软雅黑" w:cs="微软雅黑"/>
                <w:spacing w:val="4"/>
                <w:sz w:val="20"/>
                <w:szCs w:val="20"/>
              </w:rPr>
              <w:t>处理</w:t>
            </w:r>
          </w:p>
          <w:p>
            <w:pPr>
              <w:spacing w:before="61" w:line="210" w:lineRule="auto"/>
              <w:ind w:left="57"/>
              <w:rPr>
                <w:rFonts w:ascii="微软雅黑" w:hAnsi="微软雅黑" w:eastAsia="微软雅黑" w:cs="微软雅黑"/>
                <w:sz w:val="20"/>
                <w:szCs w:val="20"/>
              </w:rPr>
            </w:pPr>
            <w:r>
              <w:rPr>
                <w:rFonts w:ascii="微软雅黑" w:hAnsi="微软雅黑" w:eastAsia="微软雅黑" w:cs="微软雅黑"/>
                <w:spacing w:val="2"/>
                <w:sz w:val="20"/>
                <w:szCs w:val="20"/>
              </w:rPr>
              <w:t>工程</w:t>
            </w:r>
          </w:p>
        </w:tc>
        <w:tc>
          <w:tcPr>
            <w:tcW w:w="679" w:type="dxa"/>
            <w:tcBorders>
              <w:right w:val="single" w:color="000000" w:sz="6" w:space="0"/>
            </w:tcBorders>
            <w:vAlign w:val="top"/>
          </w:tcPr>
          <w:p>
            <w:pPr>
              <w:pStyle w:val="6"/>
              <w:spacing w:line="272" w:lineRule="auto"/>
            </w:pPr>
          </w:p>
          <w:p>
            <w:pPr>
              <w:spacing w:before="86" w:line="261" w:lineRule="auto"/>
              <w:ind w:left="141" w:right="122" w:hanging="3"/>
              <w:rPr>
                <w:rFonts w:ascii="微软雅黑" w:hAnsi="微软雅黑" w:eastAsia="微软雅黑" w:cs="微软雅黑"/>
                <w:sz w:val="20"/>
                <w:szCs w:val="20"/>
              </w:rPr>
            </w:pPr>
            <w:r>
              <w:rPr>
                <w:rFonts w:ascii="微软雅黑" w:hAnsi="微软雅黑" w:eastAsia="微软雅黑" w:cs="微软雅黑"/>
                <w:spacing w:val="3"/>
                <w:sz w:val="20"/>
                <w:szCs w:val="20"/>
              </w:rPr>
              <w:t>路灯</w:t>
            </w:r>
            <w:r>
              <w:rPr>
                <w:rFonts w:ascii="微软雅黑" w:hAnsi="微软雅黑" w:eastAsia="微软雅黑" w:cs="微软雅黑"/>
                <w:spacing w:val="2"/>
                <w:sz w:val="20"/>
                <w:szCs w:val="20"/>
              </w:rPr>
              <w:t>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restart"/>
            <w:tcBorders>
              <w:left w:val="single" w:color="000000" w:sz="6" w:space="0"/>
              <w:bottom w:val="nil"/>
            </w:tcBorders>
            <w:textDirection w:val="tbRlV"/>
            <w:vAlign w:val="top"/>
          </w:tcPr>
          <w:p>
            <w:pPr>
              <w:spacing w:before="119" w:line="223" w:lineRule="auto"/>
              <w:ind w:left="964"/>
              <w:rPr>
                <w:rFonts w:ascii="宋体" w:hAnsi="宋体" w:eastAsia="宋体" w:cs="宋体"/>
                <w:sz w:val="14"/>
                <w:szCs w:val="14"/>
              </w:rPr>
            </w:pPr>
            <w:r>
              <w:rPr>
                <w:rFonts w:ascii="宋体" w:hAnsi="宋体" w:eastAsia="宋体" w:cs="宋体"/>
                <w:spacing w:val="-2"/>
                <w:sz w:val="14"/>
                <w:szCs w:val="14"/>
              </w:rPr>
              <w:t>总</w:t>
            </w:r>
            <w:r>
              <w:rPr>
                <w:rFonts w:ascii="宋体" w:hAnsi="宋体" w:eastAsia="宋体" w:cs="宋体"/>
                <w:spacing w:val="5"/>
                <w:sz w:val="14"/>
                <w:szCs w:val="14"/>
              </w:rPr>
              <w:t xml:space="preserve">   </w:t>
            </w:r>
            <w:r>
              <w:rPr>
                <w:rFonts w:ascii="宋体" w:hAnsi="宋体" w:eastAsia="宋体" w:cs="宋体"/>
                <w:spacing w:val="-2"/>
                <w:sz w:val="14"/>
                <w:szCs w:val="14"/>
              </w:rPr>
              <w:t>价</w:t>
            </w:r>
            <w:r>
              <w:rPr>
                <w:rFonts w:ascii="宋体" w:hAnsi="宋体" w:eastAsia="宋体" w:cs="宋体"/>
                <w:spacing w:val="3"/>
                <w:sz w:val="14"/>
                <w:szCs w:val="14"/>
              </w:rPr>
              <w:t xml:space="preserve">   </w:t>
            </w:r>
            <w:r>
              <w:rPr>
                <w:rFonts w:ascii="宋体" w:hAnsi="宋体" w:eastAsia="宋体" w:cs="宋体"/>
                <w:spacing w:val="-2"/>
                <w:sz w:val="14"/>
                <w:szCs w:val="14"/>
              </w:rPr>
              <w:t>措</w:t>
            </w:r>
            <w:r>
              <w:rPr>
                <w:rFonts w:ascii="宋体" w:hAnsi="宋体" w:eastAsia="宋体" w:cs="宋体"/>
                <w:spacing w:val="4"/>
                <w:sz w:val="14"/>
                <w:szCs w:val="14"/>
              </w:rPr>
              <w:t xml:space="preserve">   </w:t>
            </w:r>
            <w:r>
              <w:rPr>
                <w:rFonts w:ascii="宋体" w:hAnsi="宋体" w:eastAsia="宋体" w:cs="宋体"/>
                <w:spacing w:val="-2"/>
                <w:sz w:val="14"/>
                <w:szCs w:val="14"/>
              </w:rPr>
              <w:t>施</w:t>
            </w:r>
            <w:r>
              <w:rPr>
                <w:rFonts w:ascii="宋体" w:hAnsi="宋体" w:eastAsia="宋体" w:cs="宋体"/>
                <w:spacing w:val="4"/>
                <w:sz w:val="14"/>
                <w:szCs w:val="14"/>
              </w:rPr>
              <w:t xml:space="preserve">   </w:t>
            </w:r>
            <w:r>
              <w:rPr>
                <w:rFonts w:ascii="宋体" w:hAnsi="宋体" w:eastAsia="宋体" w:cs="宋体"/>
                <w:spacing w:val="-2"/>
                <w:sz w:val="14"/>
                <w:szCs w:val="14"/>
              </w:rPr>
              <w:t>费</w:t>
            </w:r>
          </w:p>
        </w:tc>
        <w:tc>
          <w:tcPr>
            <w:tcW w:w="1875" w:type="dxa"/>
            <w:gridSpan w:val="2"/>
            <w:vAlign w:val="top"/>
          </w:tcPr>
          <w:p>
            <w:pPr>
              <w:spacing w:before="212" w:line="196" w:lineRule="exact"/>
              <w:ind w:left="114"/>
              <w:rPr>
                <w:rFonts w:ascii="宋体" w:hAnsi="宋体" w:eastAsia="宋体" w:cs="宋体"/>
                <w:sz w:val="14"/>
                <w:szCs w:val="14"/>
              </w:rPr>
            </w:pPr>
            <w:r>
              <w:rPr>
                <w:rFonts w:ascii="宋体" w:hAnsi="宋体" w:eastAsia="宋体" w:cs="宋体"/>
                <w:spacing w:val="2"/>
                <w:position w:val="1"/>
                <w:sz w:val="14"/>
                <w:szCs w:val="14"/>
              </w:rPr>
              <w:t>1.夜间施工增加费</w:t>
            </w:r>
          </w:p>
        </w:tc>
        <w:tc>
          <w:tcPr>
            <w:tcW w:w="586" w:type="dxa"/>
            <w:vMerge w:val="restart"/>
            <w:tcBorders>
              <w:bottom w:val="nil"/>
            </w:tcBorders>
            <w:vAlign w:val="top"/>
          </w:tcPr>
          <w:p>
            <w:pPr>
              <w:pStyle w:val="6"/>
              <w:spacing w:line="267" w:lineRule="auto"/>
            </w:pPr>
          </w:p>
          <w:p>
            <w:pPr>
              <w:pStyle w:val="6"/>
              <w:spacing w:line="267" w:lineRule="auto"/>
            </w:pPr>
          </w:p>
          <w:p>
            <w:pPr>
              <w:pStyle w:val="6"/>
              <w:spacing w:line="268" w:lineRule="auto"/>
            </w:pPr>
          </w:p>
          <w:p>
            <w:pPr>
              <w:pStyle w:val="6"/>
              <w:spacing w:line="268" w:lineRule="auto"/>
            </w:pPr>
          </w:p>
          <w:p>
            <w:pPr>
              <w:pStyle w:val="6"/>
              <w:spacing w:line="268" w:lineRule="auto"/>
            </w:pPr>
          </w:p>
          <w:p>
            <w:pPr>
              <w:pStyle w:val="6"/>
              <w:spacing w:line="268" w:lineRule="auto"/>
            </w:pPr>
          </w:p>
          <w:p>
            <w:pPr>
              <w:spacing w:before="46" w:line="400" w:lineRule="auto"/>
              <w:ind w:left="76" w:right="74" w:firstLine="64"/>
              <w:rPr>
                <w:rFonts w:ascii="宋体" w:hAnsi="宋体" w:eastAsia="宋体" w:cs="宋体"/>
                <w:sz w:val="14"/>
                <w:szCs w:val="14"/>
              </w:rPr>
            </w:pPr>
            <w:r>
              <w:rPr>
                <w:rFonts w:ascii="宋体" w:hAnsi="宋体" w:eastAsia="宋体" w:cs="宋体"/>
                <w:spacing w:val="6"/>
                <w:sz w:val="14"/>
                <w:szCs w:val="14"/>
              </w:rPr>
              <w:t>省价</w:t>
            </w:r>
            <w:r>
              <w:rPr>
                <w:rFonts w:ascii="宋体" w:hAnsi="宋体" w:eastAsia="宋体" w:cs="宋体"/>
                <w:spacing w:val="3"/>
                <w:sz w:val="14"/>
                <w:szCs w:val="14"/>
              </w:rPr>
              <w:t>人工费</w:t>
            </w:r>
          </w:p>
          <w:p>
            <w:pPr>
              <w:spacing w:before="163" w:line="173" w:lineRule="auto"/>
              <w:ind w:left="250"/>
              <w:rPr>
                <w:rFonts w:ascii="宋体" w:hAnsi="宋体" w:eastAsia="宋体" w:cs="宋体"/>
                <w:sz w:val="14"/>
                <w:szCs w:val="14"/>
              </w:rPr>
            </w:pPr>
            <w:r>
              <w:rPr>
                <w:rFonts w:ascii="宋体" w:hAnsi="宋体" w:eastAsia="宋体" w:cs="宋体"/>
                <w:sz w:val="14"/>
                <w:szCs w:val="14"/>
              </w:rPr>
              <w:t>+</w:t>
            </w:r>
          </w:p>
          <w:p>
            <w:pPr>
              <w:spacing w:before="238" w:line="221" w:lineRule="auto"/>
              <w:ind w:left="78"/>
              <w:rPr>
                <w:rFonts w:ascii="宋体" w:hAnsi="宋体" w:eastAsia="宋体" w:cs="宋体"/>
                <w:sz w:val="14"/>
                <w:szCs w:val="14"/>
              </w:rPr>
            </w:pPr>
            <w:r>
              <w:rPr>
                <w:rFonts w:ascii="宋体" w:hAnsi="宋体" w:eastAsia="宋体" w:cs="宋体"/>
                <w:spacing w:val="2"/>
                <w:sz w:val="14"/>
                <w:szCs w:val="14"/>
              </w:rPr>
              <w:t>机械费</w:t>
            </w:r>
          </w:p>
        </w:tc>
        <w:tc>
          <w:tcPr>
            <w:tcW w:w="586" w:type="dxa"/>
            <w:vAlign w:val="top"/>
          </w:tcPr>
          <w:p>
            <w:pPr>
              <w:spacing w:before="260" w:line="212" w:lineRule="exact"/>
              <w:ind w:left="161"/>
              <w:rPr>
                <w:rFonts w:ascii="宋体" w:hAnsi="宋体" w:eastAsia="宋体" w:cs="宋体"/>
                <w:sz w:val="14"/>
                <w:szCs w:val="14"/>
              </w:rPr>
            </w:pPr>
            <w:r>
              <w:rPr>
                <w:rFonts w:ascii="宋体" w:hAnsi="宋体" w:eastAsia="宋体" w:cs="宋体"/>
                <w:spacing w:val="-7"/>
                <w:position w:val="2"/>
                <w:sz w:val="14"/>
                <w:szCs w:val="14"/>
              </w:rPr>
              <w:t>0.67</w:t>
            </w:r>
          </w:p>
        </w:tc>
        <w:tc>
          <w:tcPr>
            <w:tcW w:w="586" w:type="dxa"/>
            <w:vAlign w:val="top"/>
          </w:tcPr>
          <w:p>
            <w:pPr>
              <w:spacing w:before="260" w:line="212" w:lineRule="exact"/>
              <w:ind w:left="163"/>
              <w:rPr>
                <w:rFonts w:ascii="宋体" w:hAnsi="宋体" w:eastAsia="宋体" w:cs="宋体"/>
                <w:sz w:val="14"/>
                <w:szCs w:val="14"/>
              </w:rPr>
            </w:pPr>
            <w:r>
              <w:rPr>
                <w:rFonts w:ascii="宋体" w:hAnsi="宋体" w:eastAsia="宋体" w:cs="宋体"/>
                <w:spacing w:val="-7"/>
                <w:position w:val="2"/>
                <w:sz w:val="14"/>
                <w:szCs w:val="14"/>
              </w:rPr>
              <w:t>0.40</w:t>
            </w:r>
          </w:p>
        </w:tc>
        <w:tc>
          <w:tcPr>
            <w:tcW w:w="586" w:type="dxa"/>
            <w:vAlign w:val="top"/>
          </w:tcPr>
          <w:p>
            <w:pPr>
              <w:spacing w:before="260" w:line="212" w:lineRule="exact"/>
              <w:ind w:left="162"/>
              <w:rPr>
                <w:rFonts w:ascii="宋体" w:hAnsi="宋体" w:eastAsia="宋体" w:cs="宋体"/>
                <w:sz w:val="14"/>
                <w:szCs w:val="14"/>
              </w:rPr>
            </w:pPr>
            <w:r>
              <w:rPr>
                <w:rFonts w:ascii="宋体" w:hAnsi="宋体" w:eastAsia="宋体" w:cs="宋体"/>
                <w:spacing w:val="-7"/>
                <w:position w:val="2"/>
                <w:sz w:val="14"/>
                <w:szCs w:val="14"/>
              </w:rPr>
              <w:t>0.33</w:t>
            </w:r>
          </w:p>
        </w:tc>
        <w:tc>
          <w:tcPr>
            <w:tcW w:w="586" w:type="dxa"/>
            <w:vAlign w:val="top"/>
          </w:tcPr>
          <w:p>
            <w:pPr>
              <w:spacing w:before="260" w:line="212" w:lineRule="exact"/>
              <w:ind w:left="164"/>
              <w:rPr>
                <w:rFonts w:ascii="宋体" w:hAnsi="宋体" w:eastAsia="宋体" w:cs="宋体"/>
                <w:sz w:val="14"/>
                <w:szCs w:val="14"/>
              </w:rPr>
            </w:pPr>
            <w:r>
              <w:rPr>
                <w:rFonts w:ascii="宋体" w:hAnsi="宋体" w:eastAsia="宋体" w:cs="宋体"/>
                <w:spacing w:val="-7"/>
                <w:position w:val="2"/>
                <w:sz w:val="14"/>
                <w:szCs w:val="14"/>
              </w:rPr>
              <w:t>0.45</w:t>
            </w:r>
          </w:p>
        </w:tc>
        <w:tc>
          <w:tcPr>
            <w:tcW w:w="586" w:type="dxa"/>
            <w:vAlign w:val="top"/>
          </w:tcPr>
          <w:p>
            <w:pPr>
              <w:spacing w:before="260" w:line="212" w:lineRule="exact"/>
              <w:ind w:left="177"/>
              <w:rPr>
                <w:rFonts w:ascii="宋体" w:hAnsi="宋体" w:eastAsia="宋体" w:cs="宋体"/>
                <w:sz w:val="14"/>
                <w:szCs w:val="14"/>
              </w:rPr>
            </w:pPr>
            <w:r>
              <w:rPr>
                <w:rFonts w:ascii="宋体" w:hAnsi="宋体" w:eastAsia="宋体" w:cs="宋体"/>
                <w:spacing w:val="-10"/>
                <w:position w:val="1"/>
                <w:sz w:val="14"/>
                <w:szCs w:val="14"/>
              </w:rPr>
              <w:t>1.28</w:t>
            </w:r>
          </w:p>
        </w:tc>
        <w:tc>
          <w:tcPr>
            <w:tcW w:w="586" w:type="dxa"/>
            <w:vAlign w:val="top"/>
          </w:tcPr>
          <w:p>
            <w:pPr>
              <w:spacing w:before="260" w:line="212" w:lineRule="exact"/>
              <w:ind w:left="179"/>
              <w:rPr>
                <w:rFonts w:ascii="宋体" w:hAnsi="宋体" w:eastAsia="宋体" w:cs="宋体"/>
                <w:sz w:val="14"/>
                <w:szCs w:val="14"/>
              </w:rPr>
            </w:pPr>
            <w:r>
              <w:rPr>
                <w:rFonts w:ascii="宋体" w:hAnsi="宋体" w:eastAsia="宋体" w:cs="宋体"/>
                <w:spacing w:val="-10"/>
                <w:position w:val="1"/>
                <w:sz w:val="14"/>
                <w:szCs w:val="14"/>
              </w:rPr>
              <w:t>1.00</w:t>
            </w:r>
          </w:p>
        </w:tc>
        <w:tc>
          <w:tcPr>
            <w:tcW w:w="586" w:type="dxa"/>
            <w:vAlign w:val="top"/>
          </w:tcPr>
          <w:p>
            <w:pPr>
              <w:spacing w:before="260" w:line="212" w:lineRule="exact"/>
              <w:ind w:left="178"/>
              <w:rPr>
                <w:rFonts w:ascii="宋体" w:hAnsi="宋体" w:eastAsia="宋体" w:cs="宋体"/>
                <w:sz w:val="14"/>
                <w:szCs w:val="14"/>
              </w:rPr>
            </w:pPr>
            <w:r>
              <w:rPr>
                <w:rFonts w:ascii="宋体" w:hAnsi="宋体" w:eastAsia="宋体" w:cs="宋体"/>
                <w:spacing w:val="-10"/>
                <w:position w:val="1"/>
                <w:sz w:val="14"/>
                <w:szCs w:val="14"/>
              </w:rPr>
              <w:t>1.01</w:t>
            </w:r>
          </w:p>
        </w:tc>
        <w:tc>
          <w:tcPr>
            <w:tcW w:w="502" w:type="dxa"/>
            <w:vAlign w:val="top"/>
          </w:tcPr>
          <w:p>
            <w:pPr>
              <w:spacing w:before="260" w:line="212" w:lineRule="exact"/>
              <w:ind w:left="127"/>
              <w:rPr>
                <w:rFonts w:ascii="宋体" w:hAnsi="宋体" w:eastAsia="宋体" w:cs="宋体"/>
                <w:sz w:val="14"/>
                <w:szCs w:val="14"/>
              </w:rPr>
            </w:pPr>
            <w:r>
              <w:rPr>
                <w:rFonts w:ascii="宋体" w:hAnsi="宋体" w:eastAsia="宋体" w:cs="宋体"/>
                <w:spacing w:val="-7"/>
                <w:position w:val="2"/>
                <w:sz w:val="14"/>
                <w:szCs w:val="14"/>
              </w:rPr>
              <w:t>0.44</w:t>
            </w:r>
          </w:p>
        </w:tc>
        <w:tc>
          <w:tcPr>
            <w:tcW w:w="503" w:type="dxa"/>
            <w:vAlign w:val="top"/>
          </w:tcPr>
          <w:p>
            <w:pPr>
              <w:spacing w:before="260" w:line="212" w:lineRule="exact"/>
              <w:ind w:left="129"/>
              <w:rPr>
                <w:rFonts w:ascii="宋体" w:hAnsi="宋体" w:eastAsia="宋体" w:cs="宋体"/>
                <w:sz w:val="14"/>
                <w:szCs w:val="14"/>
              </w:rPr>
            </w:pPr>
            <w:r>
              <w:rPr>
                <w:rFonts w:ascii="宋体" w:hAnsi="宋体" w:eastAsia="宋体" w:cs="宋体"/>
                <w:spacing w:val="-7"/>
                <w:position w:val="2"/>
                <w:sz w:val="14"/>
                <w:szCs w:val="14"/>
              </w:rPr>
              <w:t>0.75</w:t>
            </w:r>
          </w:p>
        </w:tc>
        <w:tc>
          <w:tcPr>
            <w:tcW w:w="679" w:type="dxa"/>
            <w:tcBorders>
              <w:right w:val="single" w:color="000000" w:sz="6" w:space="0"/>
            </w:tcBorders>
            <w:vAlign w:val="top"/>
          </w:tcPr>
          <w:p>
            <w:pPr>
              <w:spacing w:before="260" w:line="212" w:lineRule="exact"/>
              <w:ind w:left="211"/>
              <w:rPr>
                <w:rFonts w:ascii="宋体" w:hAnsi="宋体" w:eastAsia="宋体" w:cs="宋体"/>
                <w:sz w:val="14"/>
                <w:szCs w:val="14"/>
              </w:rPr>
            </w:pPr>
            <w:r>
              <w:rPr>
                <w:rFonts w:ascii="宋体" w:hAnsi="宋体" w:eastAsia="宋体" w:cs="宋体"/>
                <w:spacing w:val="-7"/>
                <w:position w:val="2"/>
                <w:sz w:val="14"/>
                <w:szCs w:val="14"/>
              </w:rPr>
              <w:t>0.53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212" w:line="197" w:lineRule="exact"/>
              <w:ind w:left="102"/>
              <w:rPr>
                <w:rFonts w:ascii="宋体" w:hAnsi="宋体" w:eastAsia="宋体" w:cs="宋体"/>
                <w:sz w:val="14"/>
                <w:szCs w:val="14"/>
              </w:rPr>
            </w:pPr>
            <w:r>
              <w:rPr>
                <w:rFonts w:ascii="宋体" w:hAnsi="宋体" w:eastAsia="宋体" w:cs="宋体"/>
                <w:spacing w:val="2"/>
                <w:position w:val="1"/>
                <w:sz w:val="14"/>
                <w:szCs w:val="14"/>
              </w:rPr>
              <w:t>2.二次搬运费</w:t>
            </w:r>
          </w:p>
        </w:tc>
        <w:tc>
          <w:tcPr>
            <w:tcW w:w="586" w:type="dxa"/>
            <w:vMerge w:val="continue"/>
            <w:tcBorders>
              <w:top w:val="nil"/>
              <w:bottom w:val="nil"/>
            </w:tcBorders>
            <w:vAlign w:val="top"/>
          </w:tcPr>
          <w:p>
            <w:pPr>
              <w:pStyle w:val="6"/>
            </w:pPr>
          </w:p>
        </w:tc>
        <w:tc>
          <w:tcPr>
            <w:tcW w:w="586" w:type="dxa"/>
            <w:vAlign w:val="top"/>
          </w:tcPr>
          <w:p>
            <w:pPr>
              <w:spacing w:before="260" w:line="212" w:lineRule="exact"/>
              <w:ind w:left="173"/>
              <w:rPr>
                <w:rFonts w:ascii="宋体" w:hAnsi="宋体" w:eastAsia="宋体" w:cs="宋体"/>
                <w:sz w:val="14"/>
                <w:szCs w:val="14"/>
              </w:rPr>
            </w:pPr>
            <w:r>
              <w:rPr>
                <w:rFonts w:ascii="宋体" w:hAnsi="宋体" w:eastAsia="宋体" w:cs="宋体"/>
                <w:spacing w:val="-10"/>
                <w:position w:val="1"/>
                <w:sz w:val="14"/>
                <w:szCs w:val="14"/>
              </w:rPr>
              <w:t>1.16</w:t>
            </w:r>
          </w:p>
        </w:tc>
        <w:tc>
          <w:tcPr>
            <w:tcW w:w="586" w:type="dxa"/>
            <w:vAlign w:val="top"/>
          </w:tcPr>
          <w:p>
            <w:pPr>
              <w:spacing w:before="260" w:line="212" w:lineRule="exact"/>
              <w:ind w:left="175"/>
              <w:rPr>
                <w:rFonts w:ascii="宋体" w:hAnsi="宋体" w:eastAsia="宋体" w:cs="宋体"/>
                <w:sz w:val="14"/>
                <w:szCs w:val="14"/>
              </w:rPr>
            </w:pPr>
            <w:r>
              <w:rPr>
                <w:rFonts w:ascii="宋体" w:hAnsi="宋体" w:eastAsia="宋体" w:cs="宋体"/>
                <w:spacing w:val="-10"/>
                <w:position w:val="1"/>
                <w:sz w:val="14"/>
                <w:szCs w:val="14"/>
              </w:rPr>
              <w:t>1.57</w:t>
            </w:r>
          </w:p>
        </w:tc>
        <w:tc>
          <w:tcPr>
            <w:tcW w:w="586" w:type="dxa"/>
            <w:vAlign w:val="top"/>
          </w:tcPr>
          <w:p>
            <w:pPr>
              <w:spacing w:before="260" w:line="212" w:lineRule="exact"/>
              <w:ind w:left="175"/>
              <w:rPr>
                <w:rFonts w:ascii="宋体" w:hAnsi="宋体" w:eastAsia="宋体" w:cs="宋体"/>
                <w:sz w:val="14"/>
                <w:szCs w:val="14"/>
              </w:rPr>
            </w:pPr>
            <w:r>
              <w:rPr>
                <w:rFonts w:ascii="宋体" w:hAnsi="宋体" w:eastAsia="宋体" w:cs="宋体"/>
                <w:spacing w:val="-10"/>
                <w:position w:val="1"/>
                <w:sz w:val="14"/>
                <w:szCs w:val="14"/>
              </w:rPr>
              <w:t>1.35</w:t>
            </w:r>
          </w:p>
        </w:tc>
        <w:tc>
          <w:tcPr>
            <w:tcW w:w="586" w:type="dxa"/>
            <w:vAlign w:val="top"/>
          </w:tcPr>
          <w:p>
            <w:pPr>
              <w:spacing w:before="260" w:line="212" w:lineRule="exact"/>
              <w:ind w:left="177"/>
              <w:rPr>
                <w:rFonts w:ascii="宋体" w:hAnsi="宋体" w:eastAsia="宋体" w:cs="宋体"/>
                <w:sz w:val="14"/>
                <w:szCs w:val="14"/>
              </w:rPr>
            </w:pPr>
            <w:r>
              <w:rPr>
                <w:rFonts w:ascii="宋体" w:hAnsi="宋体" w:eastAsia="宋体" w:cs="宋体"/>
                <w:spacing w:val="-10"/>
                <w:position w:val="1"/>
                <w:sz w:val="14"/>
                <w:szCs w:val="14"/>
              </w:rPr>
              <w:t>1.30</w:t>
            </w:r>
          </w:p>
        </w:tc>
        <w:tc>
          <w:tcPr>
            <w:tcW w:w="586" w:type="dxa"/>
            <w:vAlign w:val="top"/>
          </w:tcPr>
          <w:p>
            <w:pPr>
              <w:spacing w:before="260" w:line="212" w:lineRule="exact"/>
              <w:ind w:left="177"/>
              <w:rPr>
                <w:rFonts w:ascii="宋体" w:hAnsi="宋体" w:eastAsia="宋体" w:cs="宋体"/>
                <w:sz w:val="14"/>
                <w:szCs w:val="14"/>
              </w:rPr>
            </w:pPr>
            <w:r>
              <w:rPr>
                <w:rFonts w:ascii="宋体" w:hAnsi="宋体" w:eastAsia="宋体" w:cs="宋体"/>
                <w:spacing w:val="-10"/>
                <w:position w:val="1"/>
                <w:sz w:val="14"/>
                <w:szCs w:val="14"/>
              </w:rPr>
              <w:t>1.69</w:t>
            </w:r>
          </w:p>
        </w:tc>
        <w:tc>
          <w:tcPr>
            <w:tcW w:w="586" w:type="dxa"/>
            <w:vAlign w:val="top"/>
          </w:tcPr>
          <w:p>
            <w:pPr>
              <w:spacing w:before="260" w:line="212" w:lineRule="exact"/>
              <w:ind w:left="179"/>
              <w:rPr>
                <w:rFonts w:ascii="宋体" w:hAnsi="宋体" w:eastAsia="宋体" w:cs="宋体"/>
                <w:sz w:val="14"/>
                <w:szCs w:val="14"/>
              </w:rPr>
            </w:pPr>
            <w:r>
              <w:rPr>
                <w:rFonts w:ascii="宋体" w:hAnsi="宋体" w:eastAsia="宋体" w:cs="宋体"/>
                <w:spacing w:val="-10"/>
                <w:position w:val="1"/>
                <w:sz w:val="14"/>
                <w:szCs w:val="14"/>
              </w:rPr>
              <w:t>1.30</w:t>
            </w:r>
          </w:p>
        </w:tc>
        <w:tc>
          <w:tcPr>
            <w:tcW w:w="586" w:type="dxa"/>
            <w:vAlign w:val="top"/>
          </w:tcPr>
          <w:p>
            <w:pPr>
              <w:spacing w:before="260" w:line="212" w:lineRule="exact"/>
              <w:ind w:left="178"/>
              <w:rPr>
                <w:rFonts w:ascii="宋体" w:hAnsi="宋体" w:eastAsia="宋体" w:cs="宋体"/>
                <w:sz w:val="14"/>
                <w:szCs w:val="14"/>
              </w:rPr>
            </w:pPr>
            <w:r>
              <w:rPr>
                <w:rFonts w:ascii="宋体" w:hAnsi="宋体" w:eastAsia="宋体" w:cs="宋体"/>
                <w:spacing w:val="-10"/>
                <w:position w:val="1"/>
                <w:sz w:val="14"/>
                <w:szCs w:val="14"/>
              </w:rPr>
              <w:t>1.34</w:t>
            </w:r>
          </w:p>
        </w:tc>
        <w:tc>
          <w:tcPr>
            <w:tcW w:w="502" w:type="dxa"/>
            <w:vAlign w:val="top"/>
          </w:tcPr>
          <w:p>
            <w:pPr>
              <w:spacing w:before="260" w:line="212" w:lineRule="exact"/>
              <w:ind w:left="127"/>
              <w:rPr>
                <w:rFonts w:ascii="宋体" w:hAnsi="宋体" w:eastAsia="宋体" w:cs="宋体"/>
                <w:sz w:val="14"/>
                <w:szCs w:val="14"/>
              </w:rPr>
            </w:pPr>
            <w:r>
              <w:rPr>
                <w:rFonts w:ascii="宋体" w:hAnsi="宋体" w:eastAsia="宋体" w:cs="宋体"/>
                <w:spacing w:val="-7"/>
                <w:position w:val="2"/>
                <w:sz w:val="14"/>
                <w:szCs w:val="14"/>
              </w:rPr>
              <w:t>0.77</w:t>
            </w:r>
          </w:p>
        </w:tc>
        <w:tc>
          <w:tcPr>
            <w:tcW w:w="503" w:type="dxa"/>
            <w:vAlign w:val="top"/>
          </w:tcPr>
          <w:p>
            <w:pPr>
              <w:spacing w:before="260" w:line="212" w:lineRule="exact"/>
              <w:ind w:left="141"/>
              <w:rPr>
                <w:rFonts w:ascii="宋体" w:hAnsi="宋体" w:eastAsia="宋体" w:cs="宋体"/>
                <w:sz w:val="14"/>
                <w:szCs w:val="14"/>
              </w:rPr>
            </w:pPr>
            <w:r>
              <w:rPr>
                <w:rFonts w:ascii="宋体" w:hAnsi="宋体" w:eastAsia="宋体" w:cs="宋体"/>
                <w:spacing w:val="-10"/>
                <w:position w:val="1"/>
                <w:sz w:val="14"/>
                <w:szCs w:val="14"/>
              </w:rPr>
              <w:t>1.24</w:t>
            </w:r>
          </w:p>
        </w:tc>
        <w:tc>
          <w:tcPr>
            <w:tcW w:w="679" w:type="dxa"/>
            <w:tcBorders>
              <w:right w:val="single" w:color="000000" w:sz="6" w:space="0"/>
            </w:tcBorders>
            <w:vAlign w:val="top"/>
          </w:tcPr>
          <w:p>
            <w:pPr>
              <w:spacing w:before="260" w:line="212" w:lineRule="exact"/>
              <w:ind w:left="211"/>
              <w:rPr>
                <w:rFonts w:ascii="宋体" w:hAnsi="宋体" w:eastAsia="宋体" w:cs="宋体"/>
                <w:sz w:val="14"/>
                <w:szCs w:val="14"/>
              </w:rPr>
            </w:pPr>
            <w:r>
              <w:rPr>
                <w:rFonts w:ascii="宋体" w:hAnsi="宋体" w:eastAsia="宋体" w:cs="宋体"/>
                <w:spacing w:val="-7"/>
                <w:position w:val="2"/>
                <w:sz w:val="14"/>
                <w:szCs w:val="14"/>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212" w:line="197" w:lineRule="exact"/>
              <w:ind w:left="105"/>
              <w:rPr>
                <w:rFonts w:ascii="宋体" w:hAnsi="宋体" w:eastAsia="宋体" w:cs="宋体"/>
                <w:sz w:val="14"/>
                <w:szCs w:val="14"/>
              </w:rPr>
            </w:pPr>
            <w:r>
              <w:rPr>
                <w:rFonts w:ascii="宋体" w:hAnsi="宋体" w:eastAsia="宋体" w:cs="宋体"/>
                <w:spacing w:val="4"/>
                <w:position w:val="1"/>
                <w:sz w:val="14"/>
                <w:szCs w:val="14"/>
              </w:rPr>
              <w:t>3.冬雨季施工增加费</w:t>
            </w:r>
          </w:p>
        </w:tc>
        <w:tc>
          <w:tcPr>
            <w:tcW w:w="586" w:type="dxa"/>
            <w:vMerge w:val="continue"/>
            <w:tcBorders>
              <w:top w:val="nil"/>
              <w:bottom w:val="nil"/>
            </w:tcBorders>
            <w:vAlign w:val="top"/>
          </w:tcPr>
          <w:p>
            <w:pPr>
              <w:pStyle w:val="6"/>
            </w:pPr>
          </w:p>
        </w:tc>
        <w:tc>
          <w:tcPr>
            <w:tcW w:w="586" w:type="dxa"/>
            <w:vAlign w:val="top"/>
          </w:tcPr>
          <w:p>
            <w:pPr>
              <w:spacing w:before="260" w:line="213" w:lineRule="exact"/>
              <w:ind w:left="161"/>
              <w:rPr>
                <w:rFonts w:ascii="宋体" w:hAnsi="宋体" w:eastAsia="宋体" w:cs="宋体"/>
                <w:sz w:val="14"/>
                <w:szCs w:val="14"/>
              </w:rPr>
            </w:pPr>
            <w:r>
              <w:rPr>
                <w:rFonts w:ascii="宋体" w:hAnsi="宋体" w:eastAsia="宋体" w:cs="宋体"/>
                <w:spacing w:val="-7"/>
                <w:position w:val="2"/>
                <w:sz w:val="14"/>
                <w:szCs w:val="14"/>
              </w:rPr>
              <w:t>0.42</w:t>
            </w:r>
          </w:p>
        </w:tc>
        <w:tc>
          <w:tcPr>
            <w:tcW w:w="586" w:type="dxa"/>
            <w:vAlign w:val="top"/>
          </w:tcPr>
          <w:p>
            <w:pPr>
              <w:spacing w:before="260" w:line="213" w:lineRule="exact"/>
              <w:ind w:left="163"/>
              <w:rPr>
                <w:rFonts w:ascii="宋体" w:hAnsi="宋体" w:eastAsia="宋体" w:cs="宋体"/>
                <w:sz w:val="14"/>
                <w:szCs w:val="14"/>
              </w:rPr>
            </w:pPr>
            <w:r>
              <w:rPr>
                <w:rFonts w:ascii="宋体" w:hAnsi="宋体" w:eastAsia="宋体" w:cs="宋体"/>
                <w:spacing w:val="-7"/>
                <w:position w:val="2"/>
                <w:sz w:val="14"/>
                <w:szCs w:val="14"/>
              </w:rPr>
              <w:t>0.40</w:t>
            </w:r>
          </w:p>
        </w:tc>
        <w:tc>
          <w:tcPr>
            <w:tcW w:w="586" w:type="dxa"/>
            <w:vAlign w:val="top"/>
          </w:tcPr>
          <w:p>
            <w:pPr>
              <w:spacing w:before="260" w:line="213" w:lineRule="exact"/>
              <w:ind w:left="162"/>
              <w:rPr>
                <w:rFonts w:ascii="宋体" w:hAnsi="宋体" w:eastAsia="宋体" w:cs="宋体"/>
                <w:sz w:val="14"/>
                <w:szCs w:val="14"/>
              </w:rPr>
            </w:pPr>
            <w:r>
              <w:rPr>
                <w:rFonts w:ascii="宋体" w:hAnsi="宋体" w:eastAsia="宋体" w:cs="宋体"/>
                <w:spacing w:val="-7"/>
                <w:position w:val="2"/>
                <w:sz w:val="14"/>
                <w:szCs w:val="14"/>
              </w:rPr>
              <w:t>0.34</w:t>
            </w:r>
          </w:p>
        </w:tc>
        <w:tc>
          <w:tcPr>
            <w:tcW w:w="586" w:type="dxa"/>
            <w:vAlign w:val="top"/>
          </w:tcPr>
          <w:p>
            <w:pPr>
              <w:spacing w:before="260" w:line="213" w:lineRule="exact"/>
              <w:ind w:left="164"/>
              <w:rPr>
                <w:rFonts w:ascii="宋体" w:hAnsi="宋体" w:eastAsia="宋体" w:cs="宋体"/>
                <w:sz w:val="14"/>
                <w:szCs w:val="14"/>
              </w:rPr>
            </w:pPr>
            <w:r>
              <w:rPr>
                <w:rFonts w:ascii="宋体" w:hAnsi="宋体" w:eastAsia="宋体" w:cs="宋体"/>
                <w:spacing w:val="-7"/>
                <w:position w:val="2"/>
                <w:sz w:val="14"/>
                <w:szCs w:val="14"/>
              </w:rPr>
              <w:t>0.46</w:t>
            </w:r>
          </w:p>
        </w:tc>
        <w:tc>
          <w:tcPr>
            <w:tcW w:w="586" w:type="dxa"/>
            <w:vAlign w:val="top"/>
          </w:tcPr>
          <w:p>
            <w:pPr>
              <w:spacing w:before="260" w:line="213" w:lineRule="exact"/>
              <w:ind w:left="177"/>
              <w:rPr>
                <w:rFonts w:ascii="宋体" w:hAnsi="宋体" w:eastAsia="宋体" w:cs="宋体"/>
                <w:sz w:val="14"/>
                <w:szCs w:val="14"/>
              </w:rPr>
            </w:pPr>
            <w:r>
              <w:rPr>
                <w:rFonts w:ascii="宋体" w:hAnsi="宋体" w:eastAsia="宋体" w:cs="宋体"/>
                <w:spacing w:val="-10"/>
                <w:position w:val="1"/>
                <w:sz w:val="14"/>
                <w:szCs w:val="14"/>
              </w:rPr>
              <w:t>1.28</w:t>
            </w:r>
          </w:p>
        </w:tc>
        <w:tc>
          <w:tcPr>
            <w:tcW w:w="586" w:type="dxa"/>
            <w:vAlign w:val="top"/>
          </w:tcPr>
          <w:p>
            <w:pPr>
              <w:spacing w:before="260" w:line="213" w:lineRule="exact"/>
              <w:ind w:left="179"/>
              <w:rPr>
                <w:rFonts w:ascii="宋体" w:hAnsi="宋体" w:eastAsia="宋体" w:cs="宋体"/>
                <w:sz w:val="14"/>
                <w:szCs w:val="14"/>
              </w:rPr>
            </w:pPr>
            <w:r>
              <w:rPr>
                <w:rFonts w:ascii="宋体" w:hAnsi="宋体" w:eastAsia="宋体" w:cs="宋体"/>
                <w:spacing w:val="-10"/>
                <w:position w:val="1"/>
                <w:sz w:val="14"/>
                <w:szCs w:val="14"/>
              </w:rPr>
              <w:t>1.05</w:t>
            </w:r>
          </w:p>
        </w:tc>
        <w:tc>
          <w:tcPr>
            <w:tcW w:w="586" w:type="dxa"/>
            <w:vAlign w:val="top"/>
          </w:tcPr>
          <w:p>
            <w:pPr>
              <w:spacing w:before="260" w:line="213" w:lineRule="exact"/>
              <w:ind w:left="178"/>
              <w:rPr>
                <w:rFonts w:ascii="宋体" w:hAnsi="宋体" w:eastAsia="宋体" w:cs="宋体"/>
                <w:sz w:val="14"/>
                <w:szCs w:val="14"/>
              </w:rPr>
            </w:pPr>
            <w:r>
              <w:rPr>
                <w:rFonts w:ascii="宋体" w:hAnsi="宋体" w:eastAsia="宋体" w:cs="宋体"/>
                <w:spacing w:val="-10"/>
                <w:position w:val="1"/>
                <w:sz w:val="14"/>
                <w:szCs w:val="14"/>
              </w:rPr>
              <w:t>1.02</w:t>
            </w:r>
          </w:p>
        </w:tc>
        <w:tc>
          <w:tcPr>
            <w:tcW w:w="502" w:type="dxa"/>
            <w:vAlign w:val="top"/>
          </w:tcPr>
          <w:p>
            <w:pPr>
              <w:spacing w:before="260" w:line="213" w:lineRule="exact"/>
              <w:ind w:left="127"/>
              <w:rPr>
                <w:rFonts w:ascii="宋体" w:hAnsi="宋体" w:eastAsia="宋体" w:cs="宋体"/>
                <w:sz w:val="14"/>
                <w:szCs w:val="14"/>
              </w:rPr>
            </w:pPr>
            <w:r>
              <w:rPr>
                <w:rFonts w:ascii="宋体" w:hAnsi="宋体" w:eastAsia="宋体" w:cs="宋体"/>
                <w:spacing w:val="-7"/>
                <w:position w:val="2"/>
                <w:sz w:val="14"/>
                <w:szCs w:val="14"/>
              </w:rPr>
              <w:t>0.45</w:t>
            </w:r>
          </w:p>
        </w:tc>
        <w:tc>
          <w:tcPr>
            <w:tcW w:w="503" w:type="dxa"/>
            <w:vAlign w:val="top"/>
          </w:tcPr>
          <w:p>
            <w:pPr>
              <w:spacing w:before="260" w:line="213" w:lineRule="exact"/>
              <w:ind w:left="129"/>
              <w:rPr>
                <w:rFonts w:ascii="宋体" w:hAnsi="宋体" w:eastAsia="宋体" w:cs="宋体"/>
                <w:sz w:val="14"/>
                <w:szCs w:val="14"/>
              </w:rPr>
            </w:pPr>
            <w:r>
              <w:rPr>
                <w:rFonts w:ascii="宋体" w:hAnsi="宋体" w:eastAsia="宋体" w:cs="宋体"/>
                <w:spacing w:val="-7"/>
                <w:position w:val="2"/>
                <w:sz w:val="14"/>
                <w:szCs w:val="14"/>
              </w:rPr>
              <w:t>0.77</w:t>
            </w:r>
          </w:p>
        </w:tc>
        <w:tc>
          <w:tcPr>
            <w:tcW w:w="679" w:type="dxa"/>
            <w:tcBorders>
              <w:right w:val="single" w:color="000000" w:sz="6" w:space="0"/>
            </w:tcBorders>
            <w:vAlign w:val="top"/>
          </w:tcPr>
          <w:p>
            <w:pPr>
              <w:spacing w:before="260" w:line="213" w:lineRule="exact"/>
              <w:ind w:left="211"/>
              <w:rPr>
                <w:rFonts w:ascii="宋体" w:hAnsi="宋体" w:eastAsia="宋体" w:cs="宋体"/>
                <w:sz w:val="14"/>
                <w:szCs w:val="14"/>
              </w:rPr>
            </w:pPr>
            <w:r>
              <w:rPr>
                <w:rFonts w:ascii="宋体" w:hAnsi="宋体" w:eastAsia="宋体" w:cs="宋体"/>
                <w:spacing w:val="-7"/>
                <w:position w:val="2"/>
                <w:sz w:val="14"/>
                <w:szCs w:val="14"/>
              </w:rPr>
              <w:t>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213" w:line="197" w:lineRule="exact"/>
              <w:ind w:left="100"/>
              <w:rPr>
                <w:rFonts w:ascii="宋体" w:hAnsi="宋体" w:eastAsia="宋体" w:cs="宋体"/>
                <w:sz w:val="14"/>
                <w:szCs w:val="14"/>
              </w:rPr>
            </w:pPr>
            <w:r>
              <w:rPr>
                <w:rFonts w:ascii="宋体" w:hAnsi="宋体" w:eastAsia="宋体" w:cs="宋体"/>
                <w:spacing w:val="5"/>
                <w:position w:val="1"/>
                <w:sz w:val="14"/>
                <w:szCs w:val="14"/>
              </w:rPr>
              <w:t>4.已完工程及设备保护费</w:t>
            </w:r>
          </w:p>
        </w:tc>
        <w:tc>
          <w:tcPr>
            <w:tcW w:w="586" w:type="dxa"/>
            <w:vMerge w:val="continue"/>
            <w:tcBorders>
              <w:top w:val="nil"/>
              <w:bottom w:val="nil"/>
            </w:tcBorders>
            <w:vAlign w:val="top"/>
          </w:tcPr>
          <w:p>
            <w:pPr>
              <w:pStyle w:val="6"/>
            </w:pPr>
          </w:p>
        </w:tc>
        <w:tc>
          <w:tcPr>
            <w:tcW w:w="586" w:type="dxa"/>
            <w:vAlign w:val="top"/>
          </w:tcPr>
          <w:p>
            <w:pPr>
              <w:spacing w:before="261" w:line="212" w:lineRule="exact"/>
              <w:ind w:left="161"/>
              <w:rPr>
                <w:rFonts w:ascii="宋体" w:hAnsi="宋体" w:eastAsia="宋体" w:cs="宋体"/>
                <w:sz w:val="14"/>
                <w:szCs w:val="14"/>
              </w:rPr>
            </w:pPr>
            <w:r>
              <w:rPr>
                <w:rFonts w:ascii="宋体" w:hAnsi="宋体" w:eastAsia="宋体" w:cs="宋体"/>
                <w:spacing w:val="-7"/>
                <w:position w:val="2"/>
                <w:sz w:val="14"/>
                <w:szCs w:val="14"/>
              </w:rPr>
              <w:t>0.64</w:t>
            </w:r>
          </w:p>
        </w:tc>
        <w:tc>
          <w:tcPr>
            <w:tcW w:w="586" w:type="dxa"/>
            <w:vAlign w:val="top"/>
          </w:tcPr>
          <w:p>
            <w:pPr>
              <w:spacing w:before="261" w:line="212" w:lineRule="exact"/>
              <w:ind w:left="163"/>
              <w:rPr>
                <w:rFonts w:ascii="宋体" w:hAnsi="宋体" w:eastAsia="宋体" w:cs="宋体"/>
                <w:sz w:val="14"/>
                <w:szCs w:val="14"/>
              </w:rPr>
            </w:pPr>
            <w:r>
              <w:rPr>
                <w:rFonts w:ascii="宋体" w:hAnsi="宋体" w:eastAsia="宋体" w:cs="宋体"/>
                <w:spacing w:val="-7"/>
                <w:position w:val="2"/>
                <w:sz w:val="14"/>
                <w:szCs w:val="14"/>
              </w:rPr>
              <w:t>0.66</w:t>
            </w:r>
          </w:p>
        </w:tc>
        <w:tc>
          <w:tcPr>
            <w:tcW w:w="586" w:type="dxa"/>
            <w:vAlign w:val="top"/>
          </w:tcPr>
          <w:p>
            <w:pPr>
              <w:spacing w:before="261" w:line="212" w:lineRule="exact"/>
              <w:ind w:left="162"/>
              <w:rPr>
                <w:rFonts w:ascii="宋体" w:hAnsi="宋体" w:eastAsia="宋体" w:cs="宋体"/>
                <w:sz w:val="14"/>
                <w:szCs w:val="14"/>
              </w:rPr>
            </w:pPr>
            <w:r>
              <w:rPr>
                <w:rFonts w:ascii="宋体" w:hAnsi="宋体" w:eastAsia="宋体" w:cs="宋体"/>
                <w:spacing w:val="-7"/>
                <w:position w:val="2"/>
                <w:sz w:val="14"/>
                <w:szCs w:val="14"/>
              </w:rPr>
              <w:t>0.67</w:t>
            </w:r>
          </w:p>
        </w:tc>
        <w:tc>
          <w:tcPr>
            <w:tcW w:w="586" w:type="dxa"/>
            <w:vAlign w:val="top"/>
          </w:tcPr>
          <w:p>
            <w:pPr>
              <w:spacing w:before="261" w:line="212" w:lineRule="exact"/>
              <w:ind w:left="164"/>
              <w:rPr>
                <w:rFonts w:ascii="宋体" w:hAnsi="宋体" w:eastAsia="宋体" w:cs="宋体"/>
                <w:sz w:val="14"/>
                <w:szCs w:val="14"/>
              </w:rPr>
            </w:pPr>
            <w:r>
              <w:rPr>
                <w:rFonts w:ascii="宋体" w:hAnsi="宋体" w:eastAsia="宋体" w:cs="宋体"/>
                <w:spacing w:val="-7"/>
                <w:position w:val="2"/>
                <w:sz w:val="14"/>
                <w:szCs w:val="14"/>
              </w:rPr>
              <w:t>0.52</w:t>
            </w:r>
          </w:p>
        </w:tc>
        <w:tc>
          <w:tcPr>
            <w:tcW w:w="586" w:type="dxa"/>
            <w:vAlign w:val="top"/>
          </w:tcPr>
          <w:p>
            <w:pPr>
              <w:spacing w:before="261" w:line="212" w:lineRule="exact"/>
              <w:ind w:left="164"/>
              <w:rPr>
                <w:rFonts w:ascii="宋体" w:hAnsi="宋体" w:eastAsia="宋体" w:cs="宋体"/>
                <w:sz w:val="14"/>
                <w:szCs w:val="14"/>
              </w:rPr>
            </w:pPr>
            <w:r>
              <w:rPr>
                <w:rFonts w:ascii="宋体" w:hAnsi="宋体" w:eastAsia="宋体" w:cs="宋体"/>
                <w:spacing w:val="-7"/>
                <w:position w:val="2"/>
                <w:sz w:val="14"/>
                <w:szCs w:val="14"/>
              </w:rPr>
              <w:t>0.67</w:t>
            </w:r>
          </w:p>
        </w:tc>
        <w:tc>
          <w:tcPr>
            <w:tcW w:w="586" w:type="dxa"/>
            <w:vAlign w:val="top"/>
          </w:tcPr>
          <w:p>
            <w:pPr>
              <w:spacing w:before="261" w:line="212" w:lineRule="exact"/>
              <w:ind w:left="166"/>
              <w:rPr>
                <w:rFonts w:ascii="宋体" w:hAnsi="宋体" w:eastAsia="宋体" w:cs="宋体"/>
                <w:sz w:val="14"/>
                <w:szCs w:val="14"/>
              </w:rPr>
            </w:pPr>
            <w:r>
              <w:rPr>
                <w:rFonts w:ascii="宋体" w:hAnsi="宋体" w:eastAsia="宋体" w:cs="宋体"/>
                <w:spacing w:val="-7"/>
                <w:position w:val="2"/>
                <w:sz w:val="14"/>
                <w:szCs w:val="14"/>
              </w:rPr>
              <w:t>0.67</w:t>
            </w:r>
          </w:p>
        </w:tc>
        <w:tc>
          <w:tcPr>
            <w:tcW w:w="586" w:type="dxa"/>
            <w:vAlign w:val="top"/>
          </w:tcPr>
          <w:p>
            <w:pPr>
              <w:spacing w:before="261" w:line="212" w:lineRule="exact"/>
              <w:ind w:left="165"/>
              <w:rPr>
                <w:rFonts w:ascii="宋体" w:hAnsi="宋体" w:eastAsia="宋体" w:cs="宋体"/>
                <w:sz w:val="14"/>
                <w:szCs w:val="14"/>
              </w:rPr>
            </w:pPr>
            <w:r>
              <w:rPr>
                <w:rFonts w:ascii="宋体" w:hAnsi="宋体" w:eastAsia="宋体" w:cs="宋体"/>
                <w:spacing w:val="-7"/>
                <w:position w:val="2"/>
                <w:sz w:val="14"/>
                <w:szCs w:val="14"/>
              </w:rPr>
              <w:t>0.54</w:t>
            </w:r>
          </w:p>
        </w:tc>
        <w:tc>
          <w:tcPr>
            <w:tcW w:w="502" w:type="dxa"/>
            <w:vAlign w:val="top"/>
          </w:tcPr>
          <w:p>
            <w:pPr>
              <w:spacing w:before="261" w:line="212" w:lineRule="exact"/>
              <w:ind w:left="127"/>
              <w:rPr>
                <w:rFonts w:ascii="宋体" w:hAnsi="宋体" w:eastAsia="宋体" w:cs="宋体"/>
                <w:sz w:val="14"/>
                <w:szCs w:val="14"/>
              </w:rPr>
            </w:pPr>
            <w:r>
              <w:rPr>
                <w:rFonts w:ascii="宋体" w:hAnsi="宋体" w:eastAsia="宋体" w:cs="宋体"/>
                <w:spacing w:val="-7"/>
                <w:position w:val="2"/>
                <w:sz w:val="14"/>
                <w:szCs w:val="14"/>
              </w:rPr>
              <w:t>0.77</w:t>
            </w:r>
          </w:p>
        </w:tc>
        <w:tc>
          <w:tcPr>
            <w:tcW w:w="503" w:type="dxa"/>
            <w:vAlign w:val="top"/>
          </w:tcPr>
          <w:p>
            <w:pPr>
              <w:spacing w:before="261" w:line="212" w:lineRule="exact"/>
              <w:ind w:left="129"/>
              <w:rPr>
                <w:rFonts w:ascii="宋体" w:hAnsi="宋体" w:eastAsia="宋体" w:cs="宋体"/>
                <w:sz w:val="14"/>
                <w:szCs w:val="14"/>
              </w:rPr>
            </w:pPr>
            <w:r>
              <w:rPr>
                <w:rFonts w:ascii="宋体" w:hAnsi="宋体" w:eastAsia="宋体" w:cs="宋体"/>
                <w:spacing w:val="-7"/>
                <w:position w:val="2"/>
                <w:sz w:val="14"/>
                <w:szCs w:val="14"/>
              </w:rPr>
              <w:t>0.54</w:t>
            </w:r>
          </w:p>
        </w:tc>
        <w:tc>
          <w:tcPr>
            <w:tcW w:w="679" w:type="dxa"/>
            <w:tcBorders>
              <w:right w:val="single" w:color="000000" w:sz="6" w:space="0"/>
            </w:tcBorders>
            <w:vAlign w:val="top"/>
          </w:tcPr>
          <w:p>
            <w:pPr>
              <w:spacing w:before="261" w:line="212" w:lineRule="exact"/>
              <w:ind w:left="211"/>
              <w:rPr>
                <w:rFonts w:ascii="宋体" w:hAnsi="宋体" w:eastAsia="宋体" w:cs="宋体"/>
                <w:sz w:val="14"/>
                <w:szCs w:val="14"/>
              </w:rPr>
            </w:pPr>
            <w:r>
              <w:rPr>
                <w:rFonts w:ascii="宋体" w:hAnsi="宋体" w:eastAsia="宋体" w:cs="宋体"/>
                <w:spacing w:val="-7"/>
                <w:position w:val="2"/>
                <w:sz w:val="14"/>
                <w:szCs w:val="14"/>
              </w:rPr>
              <w:t>0.68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216" w:line="196" w:lineRule="exact"/>
              <w:ind w:left="102"/>
              <w:rPr>
                <w:rFonts w:ascii="宋体" w:hAnsi="宋体" w:eastAsia="宋体" w:cs="宋体"/>
                <w:sz w:val="14"/>
                <w:szCs w:val="14"/>
              </w:rPr>
            </w:pPr>
            <w:r>
              <w:rPr>
                <w:rFonts w:ascii="宋体" w:hAnsi="宋体" w:eastAsia="宋体" w:cs="宋体"/>
                <w:spacing w:val="3"/>
                <w:position w:val="1"/>
                <w:sz w:val="14"/>
                <w:szCs w:val="14"/>
              </w:rPr>
              <w:t>5.工程定位复测费</w:t>
            </w:r>
          </w:p>
        </w:tc>
        <w:tc>
          <w:tcPr>
            <w:tcW w:w="586" w:type="dxa"/>
            <w:vMerge w:val="continue"/>
            <w:tcBorders>
              <w:top w:val="nil"/>
              <w:bottom w:val="nil"/>
            </w:tcBorders>
            <w:vAlign w:val="top"/>
          </w:tcPr>
          <w:p>
            <w:pPr>
              <w:pStyle w:val="6"/>
            </w:pPr>
          </w:p>
        </w:tc>
        <w:tc>
          <w:tcPr>
            <w:tcW w:w="586" w:type="dxa"/>
            <w:vAlign w:val="top"/>
          </w:tcPr>
          <w:p>
            <w:pPr>
              <w:spacing w:before="264" w:line="212" w:lineRule="exact"/>
              <w:ind w:left="161"/>
              <w:rPr>
                <w:rFonts w:ascii="宋体" w:hAnsi="宋体" w:eastAsia="宋体" w:cs="宋体"/>
                <w:sz w:val="14"/>
                <w:szCs w:val="14"/>
              </w:rPr>
            </w:pPr>
            <w:r>
              <w:rPr>
                <w:rFonts w:ascii="宋体" w:hAnsi="宋体" w:eastAsia="宋体" w:cs="宋体"/>
                <w:spacing w:val="-7"/>
                <w:position w:val="1"/>
                <w:sz w:val="14"/>
                <w:szCs w:val="14"/>
              </w:rPr>
              <w:t>0.13</w:t>
            </w:r>
          </w:p>
        </w:tc>
        <w:tc>
          <w:tcPr>
            <w:tcW w:w="586" w:type="dxa"/>
            <w:vAlign w:val="top"/>
          </w:tcPr>
          <w:p>
            <w:pPr>
              <w:spacing w:before="264" w:line="212" w:lineRule="exact"/>
              <w:ind w:left="163"/>
              <w:rPr>
                <w:rFonts w:ascii="宋体" w:hAnsi="宋体" w:eastAsia="宋体" w:cs="宋体"/>
                <w:sz w:val="14"/>
                <w:szCs w:val="14"/>
              </w:rPr>
            </w:pPr>
            <w:r>
              <w:rPr>
                <w:rFonts w:ascii="宋体" w:hAnsi="宋体" w:eastAsia="宋体" w:cs="宋体"/>
                <w:spacing w:val="-7"/>
                <w:position w:val="2"/>
                <w:sz w:val="14"/>
                <w:szCs w:val="14"/>
              </w:rPr>
              <w:t>0.08</w:t>
            </w:r>
          </w:p>
        </w:tc>
        <w:tc>
          <w:tcPr>
            <w:tcW w:w="586" w:type="dxa"/>
            <w:vAlign w:val="top"/>
          </w:tcPr>
          <w:p>
            <w:pPr>
              <w:spacing w:before="264" w:line="212" w:lineRule="exact"/>
              <w:ind w:left="162"/>
              <w:rPr>
                <w:rFonts w:ascii="宋体" w:hAnsi="宋体" w:eastAsia="宋体" w:cs="宋体"/>
                <w:sz w:val="14"/>
                <w:szCs w:val="14"/>
              </w:rPr>
            </w:pPr>
            <w:r>
              <w:rPr>
                <w:rFonts w:ascii="宋体" w:hAnsi="宋体" w:eastAsia="宋体" w:cs="宋体"/>
                <w:spacing w:val="-7"/>
                <w:position w:val="2"/>
                <w:sz w:val="14"/>
                <w:szCs w:val="14"/>
              </w:rPr>
              <w:t>0.08</w:t>
            </w:r>
          </w:p>
        </w:tc>
        <w:tc>
          <w:tcPr>
            <w:tcW w:w="586" w:type="dxa"/>
            <w:vAlign w:val="top"/>
          </w:tcPr>
          <w:p>
            <w:pPr>
              <w:spacing w:before="264" w:line="212" w:lineRule="exact"/>
              <w:ind w:left="164"/>
              <w:rPr>
                <w:rFonts w:ascii="宋体" w:hAnsi="宋体" w:eastAsia="宋体" w:cs="宋体"/>
                <w:sz w:val="14"/>
                <w:szCs w:val="14"/>
              </w:rPr>
            </w:pPr>
            <w:r>
              <w:rPr>
                <w:rFonts w:ascii="宋体" w:hAnsi="宋体" w:eastAsia="宋体" w:cs="宋体"/>
                <w:spacing w:val="-7"/>
                <w:position w:val="1"/>
                <w:sz w:val="14"/>
                <w:szCs w:val="14"/>
              </w:rPr>
              <w:t>0.10</w:t>
            </w:r>
          </w:p>
        </w:tc>
        <w:tc>
          <w:tcPr>
            <w:tcW w:w="586" w:type="dxa"/>
            <w:vAlign w:val="top"/>
          </w:tcPr>
          <w:p>
            <w:pPr>
              <w:spacing w:before="264" w:line="212" w:lineRule="exact"/>
              <w:ind w:left="164"/>
              <w:rPr>
                <w:rFonts w:ascii="宋体" w:hAnsi="宋体" w:eastAsia="宋体" w:cs="宋体"/>
                <w:sz w:val="14"/>
                <w:szCs w:val="14"/>
              </w:rPr>
            </w:pPr>
            <w:r>
              <w:rPr>
                <w:rFonts w:ascii="宋体" w:hAnsi="宋体" w:eastAsia="宋体" w:cs="宋体"/>
                <w:spacing w:val="-7"/>
                <w:position w:val="2"/>
                <w:sz w:val="14"/>
                <w:szCs w:val="14"/>
              </w:rPr>
              <w:t>0.28</w:t>
            </w:r>
          </w:p>
        </w:tc>
        <w:tc>
          <w:tcPr>
            <w:tcW w:w="586" w:type="dxa"/>
            <w:vAlign w:val="top"/>
          </w:tcPr>
          <w:p>
            <w:pPr>
              <w:spacing w:before="264" w:line="212" w:lineRule="exact"/>
              <w:ind w:left="166"/>
              <w:rPr>
                <w:rFonts w:ascii="宋体" w:hAnsi="宋体" w:eastAsia="宋体" w:cs="宋体"/>
                <w:sz w:val="14"/>
                <w:szCs w:val="14"/>
              </w:rPr>
            </w:pPr>
            <w:r>
              <w:rPr>
                <w:rFonts w:ascii="宋体" w:hAnsi="宋体" w:eastAsia="宋体" w:cs="宋体"/>
                <w:spacing w:val="-7"/>
                <w:position w:val="2"/>
                <w:sz w:val="14"/>
                <w:szCs w:val="14"/>
              </w:rPr>
              <w:t>0.68</w:t>
            </w:r>
          </w:p>
        </w:tc>
        <w:tc>
          <w:tcPr>
            <w:tcW w:w="586" w:type="dxa"/>
            <w:vAlign w:val="top"/>
          </w:tcPr>
          <w:p>
            <w:pPr>
              <w:spacing w:before="264" w:line="212" w:lineRule="exact"/>
              <w:ind w:left="165"/>
              <w:rPr>
                <w:rFonts w:ascii="宋体" w:hAnsi="宋体" w:eastAsia="宋体" w:cs="宋体"/>
                <w:sz w:val="14"/>
                <w:szCs w:val="14"/>
              </w:rPr>
            </w:pPr>
            <w:r>
              <w:rPr>
                <w:rFonts w:ascii="宋体" w:hAnsi="宋体" w:eastAsia="宋体" w:cs="宋体"/>
                <w:spacing w:val="-7"/>
                <w:position w:val="2"/>
                <w:sz w:val="14"/>
                <w:szCs w:val="14"/>
              </w:rPr>
              <w:t>0.53</w:t>
            </w:r>
          </w:p>
        </w:tc>
        <w:tc>
          <w:tcPr>
            <w:tcW w:w="502" w:type="dxa"/>
            <w:vAlign w:val="top"/>
          </w:tcPr>
          <w:p>
            <w:pPr>
              <w:spacing w:before="264" w:line="212" w:lineRule="exact"/>
              <w:ind w:left="127"/>
              <w:rPr>
                <w:rFonts w:ascii="宋体" w:hAnsi="宋体" w:eastAsia="宋体" w:cs="宋体"/>
                <w:sz w:val="14"/>
                <w:szCs w:val="14"/>
              </w:rPr>
            </w:pPr>
            <w:r>
              <w:rPr>
                <w:rFonts w:ascii="宋体" w:hAnsi="宋体" w:eastAsia="宋体" w:cs="宋体"/>
                <w:spacing w:val="-7"/>
                <w:position w:val="1"/>
                <w:sz w:val="14"/>
                <w:szCs w:val="14"/>
              </w:rPr>
              <w:t>0.10</w:t>
            </w:r>
          </w:p>
        </w:tc>
        <w:tc>
          <w:tcPr>
            <w:tcW w:w="503" w:type="dxa"/>
            <w:vAlign w:val="top"/>
          </w:tcPr>
          <w:p>
            <w:pPr>
              <w:spacing w:before="264" w:line="212" w:lineRule="exact"/>
              <w:ind w:left="129"/>
              <w:rPr>
                <w:rFonts w:ascii="宋体" w:hAnsi="宋体" w:eastAsia="宋体" w:cs="宋体"/>
                <w:sz w:val="14"/>
                <w:szCs w:val="14"/>
              </w:rPr>
            </w:pPr>
            <w:r>
              <w:rPr>
                <w:rFonts w:ascii="宋体" w:hAnsi="宋体" w:eastAsia="宋体" w:cs="宋体"/>
                <w:spacing w:val="-7"/>
                <w:position w:val="1"/>
                <w:sz w:val="14"/>
                <w:szCs w:val="14"/>
              </w:rPr>
              <w:t>0.18</w:t>
            </w:r>
          </w:p>
        </w:tc>
        <w:tc>
          <w:tcPr>
            <w:tcW w:w="679" w:type="dxa"/>
            <w:tcBorders>
              <w:right w:val="single" w:color="000000" w:sz="6" w:space="0"/>
            </w:tcBorders>
            <w:vAlign w:val="top"/>
          </w:tcPr>
          <w:p>
            <w:pPr>
              <w:spacing w:before="264" w:line="212" w:lineRule="exact"/>
              <w:ind w:left="211"/>
              <w:rPr>
                <w:rFonts w:ascii="宋体" w:hAnsi="宋体" w:eastAsia="宋体" w:cs="宋体"/>
                <w:sz w:val="14"/>
                <w:szCs w:val="14"/>
              </w:rPr>
            </w:pPr>
            <w:r>
              <w:rPr>
                <w:rFonts w:ascii="宋体" w:hAnsi="宋体" w:eastAsia="宋体" w:cs="宋体"/>
                <w:spacing w:val="-7"/>
                <w:position w:val="1"/>
                <w:sz w:val="14"/>
                <w:szCs w:val="14"/>
              </w:rPr>
              <w:t>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continue"/>
            <w:tcBorders>
              <w:top w:val="nil"/>
              <w:left w:val="single" w:color="000000" w:sz="6" w:space="0"/>
            </w:tcBorders>
            <w:textDirection w:val="tbRlV"/>
            <w:vAlign w:val="top"/>
          </w:tcPr>
          <w:p>
            <w:pPr>
              <w:pStyle w:val="6"/>
            </w:pPr>
          </w:p>
        </w:tc>
        <w:tc>
          <w:tcPr>
            <w:tcW w:w="1875" w:type="dxa"/>
            <w:gridSpan w:val="2"/>
            <w:vAlign w:val="top"/>
          </w:tcPr>
          <w:p>
            <w:pPr>
              <w:spacing w:before="216" w:line="197" w:lineRule="exact"/>
              <w:ind w:left="103"/>
              <w:rPr>
                <w:rFonts w:ascii="宋体" w:hAnsi="宋体" w:eastAsia="宋体" w:cs="宋体"/>
                <w:sz w:val="14"/>
                <w:szCs w:val="14"/>
              </w:rPr>
            </w:pPr>
            <w:r>
              <w:rPr>
                <w:rFonts w:ascii="宋体" w:hAnsi="宋体" w:eastAsia="宋体" w:cs="宋体"/>
                <w:spacing w:val="4"/>
                <w:position w:val="1"/>
                <w:sz w:val="14"/>
                <w:szCs w:val="14"/>
              </w:rPr>
              <w:t>6.地下管线交叉处理费</w:t>
            </w:r>
          </w:p>
        </w:tc>
        <w:tc>
          <w:tcPr>
            <w:tcW w:w="586" w:type="dxa"/>
            <w:vMerge w:val="continue"/>
            <w:tcBorders>
              <w:top w:val="nil"/>
              <w:bottom w:val="nil"/>
            </w:tcBorders>
            <w:vAlign w:val="top"/>
          </w:tcPr>
          <w:p>
            <w:pPr>
              <w:pStyle w:val="6"/>
            </w:pPr>
          </w:p>
        </w:tc>
        <w:tc>
          <w:tcPr>
            <w:tcW w:w="586" w:type="dxa"/>
            <w:vAlign w:val="top"/>
          </w:tcPr>
          <w:p>
            <w:pPr>
              <w:spacing w:before="264" w:line="212" w:lineRule="exact"/>
              <w:ind w:left="161"/>
              <w:rPr>
                <w:rFonts w:ascii="宋体" w:hAnsi="宋体" w:eastAsia="宋体" w:cs="宋体"/>
                <w:sz w:val="14"/>
                <w:szCs w:val="14"/>
              </w:rPr>
            </w:pPr>
            <w:r>
              <w:rPr>
                <w:rFonts w:ascii="宋体" w:hAnsi="宋体" w:eastAsia="宋体" w:cs="宋体"/>
                <w:spacing w:val="-7"/>
                <w:position w:val="1"/>
                <w:sz w:val="14"/>
                <w:szCs w:val="14"/>
              </w:rPr>
              <w:t>0.31</w:t>
            </w:r>
          </w:p>
        </w:tc>
        <w:tc>
          <w:tcPr>
            <w:tcW w:w="586" w:type="dxa"/>
            <w:vAlign w:val="top"/>
          </w:tcPr>
          <w:p>
            <w:pPr>
              <w:spacing w:before="264" w:line="212" w:lineRule="exact"/>
              <w:ind w:left="163"/>
              <w:rPr>
                <w:rFonts w:ascii="宋体" w:hAnsi="宋体" w:eastAsia="宋体" w:cs="宋体"/>
                <w:sz w:val="14"/>
                <w:szCs w:val="14"/>
              </w:rPr>
            </w:pPr>
            <w:r>
              <w:rPr>
                <w:rFonts w:ascii="宋体" w:hAnsi="宋体" w:eastAsia="宋体" w:cs="宋体"/>
                <w:spacing w:val="-7"/>
                <w:position w:val="2"/>
                <w:sz w:val="14"/>
                <w:szCs w:val="14"/>
              </w:rPr>
              <w:t>0.40</w:t>
            </w:r>
          </w:p>
        </w:tc>
        <w:tc>
          <w:tcPr>
            <w:tcW w:w="586" w:type="dxa"/>
            <w:vAlign w:val="top"/>
          </w:tcPr>
          <w:p>
            <w:pPr>
              <w:spacing w:before="264" w:line="212" w:lineRule="exact"/>
              <w:ind w:left="162"/>
              <w:rPr>
                <w:rFonts w:ascii="宋体" w:hAnsi="宋体" w:eastAsia="宋体" w:cs="宋体"/>
                <w:sz w:val="14"/>
                <w:szCs w:val="14"/>
              </w:rPr>
            </w:pPr>
            <w:r>
              <w:rPr>
                <w:rFonts w:ascii="宋体" w:hAnsi="宋体" w:eastAsia="宋体" w:cs="宋体"/>
                <w:spacing w:val="-7"/>
                <w:position w:val="2"/>
                <w:sz w:val="14"/>
                <w:szCs w:val="14"/>
              </w:rPr>
              <w:t>0.22</w:t>
            </w:r>
          </w:p>
        </w:tc>
        <w:tc>
          <w:tcPr>
            <w:tcW w:w="586" w:type="dxa"/>
            <w:vAlign w:val="top"/>
          </w:tcPr>
          <w:p>
            <w:pPr>
              <w:spacing w:before="264" w:line="212" w:lineRule="exact"/>
              <w:ind w:left="164"/>
              <w:rPr>
                <w:rFonts w:ascii="宋体" w:hAnsi="宋体" w:eastAsia="宋体" w:cs="宋体"/>
                <w:sz w:val="14"/>
                <w:szCs w:val="14"/>
              </w:rPr>
            </w:pPr>
            <w:r>
              <w:rPr>
                <w:rFonts w:ascii="宋体" w:hAnsi="宋体" w:eastAsia="宋体" w:cs="宋体"/>
                <w:spacing w:val="-7"/>
                <w:position w:val="2"/>
                <w:sz w:val="14"/>
                <w:szCs w:val="14"/>
              </w:rPr>
              <w:t>0.78</w:t>
            </w:r>
          </w:p>
        </w:tc>
        <w:tc>
          <w:tcPr>
            <w:tcW w:w="586" w:type="dxa"/>
            <w:vAlign w:val="top"/>
          </w:tcPr>
          <w:p>
            <w:pPr>
              <w:spacing w:before="264" w:line="212" w:lineRule="exact"/>
              <w:ind w:left="177"/>
              <w:rPr>
                <w:rFonts w:ascii="宋体" w:hAnsi="宋体" w:eastAsia="宋体" w:cs="宋体"/>
                <w:sz w:val="14"/>
                <w:szCs w:val="14"/>
              </w:rPr>
            </w:pPr>
            <w:r>
              <w:rPr>
                <w:rFonts w:ascii="宋体" w:hAnsi="宋体" w:eastAsia="宋体" w:cs="宋体"/>
                <w:spacing w:val="-10"/>
                <w:position w:val="1"/>
                <w:sz w:val="14"/>
                <w:szCs w:val="14"/>
              </w:rPr>
              <w:t>1.02</w:t>
            </w:r>
          </w:p>
        </w:tc>
        <w:tc>
          <w:tcPr>
            <w:tcW w:w="586" w:type="dxa"/>
            <w:vAlign w:val="top"/>
          </w:tcPr>
          <w:p>
            <w:pPr>
              <w:spacing w:before="264" w:line="212" w:lineRule="exact"/>
              <w:ind w:left="166"/>
              <w:rPr>
                <w:rFonts w:ascii="宋体" w:hAnsi="宋体" w:eastAsia="宋体" w:cs="宋体"/>
                <w:sz w:val="14"/>
                <w:szCs w:val="14"/>
              </w:rPr>
            </w:pPr>
            <w:r>
              <w:rPr>
                <w:rFonts w:ascii="宋体" w:hAnsi="宋体" w:eastAsia="宋体" w:cs="宋体"/>
                <w:spacing w:val="-7"/>
                <w:position w:val="2"/>
                <w:sz w:val="14"/>
                <w:szCs w:val="14"/>
              </w:rPr>
              <w:t>0.88</w:t>
            </w:r>
          </w:p>
        </w:tc>
        <w:tc>
          <w:tcPr>
            <w:tcW w:w="586" w:type="dxa"/>
            <w:vAlign w:val="top"/>
          </w:tcPr>
          <w:p>
            <w:pPr>
              <w:spacing w:before="264" w:line="212" w:lineRule="exact"/>
              <w:ind w:left="165"/>
              <w:rPr>
                <w:rFonts w:ascii="宋体" w:hAnsi="宋体" w:eastAsia="宋体" w:cs="宋体"/>
                <w:sz w:val="14"/>
                <w:szCs w:val="14"/>
              </w:rPr>
            </w:pPr>
            <w:r>
              <w:rPr>
                <w:rFonts w:ascii="宋体" w:hAnsi="宋体" w:eastAsia="宋体" w:cs="宋体"/>
                <w:spacing w:val="-7"/>
                <w:position w:val="1"/>
                <w:sz w:val="14"/>
                <w:szCs w:val="14"/>
              </w:rPr>
              <w:t>0.81</w:t>
            </w:r>
          </w:p>
        </w:tc>
        <w:tc>
          <w:tcPr>
            <w:tcW w:w="502" w:type="dxa"/>
            <w:vAlign w:val="top"/>
          </w:tcPr>
          <w:p>
            <w:pPr>
              <w:spacing w:before="264" w:line="212" w:lineRule="exact"/>
              <w:ind w:left="127"/>
              <w:rPr>
                <w:rFonts w:ascii="宋体" w:hAnsi="宋体" w:eastAsia="宋体" w:cs="宋体"/>
                <w:sz w:val="14"/>
                <w:szCs w:val="14"/>
              </w:rPr>
            </w:pPr>
            <w:r>
              <w:rPr>
                <w:rFonts w:ascii="宋体" w:hAnsi="宋体" w:eastAsia="宋体" w:cs="宋体"/>
                <w:spacing w:val="-7"/>
                <w:position w:val="2"/>
                <w:sz w:val="14"/>
                <w:szCs w:val="14"/>
              </w:rPr>
              <w:t>0.25</w:t>
            </w:r>
          </w:p>
        </w:tc>
        <w:tc>
          <w:tcPr>
            <w:tcW w:w="503" w:type="dxa"/>
            <w:vAlign w:val="top"/>
          </w:tcPr>
          <w:p>
            <w:pPr>
              <w:spacing w:before="264" w:line="212" w:lineRule="exact"/>
              <w:ind w:left="129"/>
              <w:rPr>
                <w:rFonts w:ascii="宋体" w:hAnsi="宋体" w:eastAsia="宋体" w:cs="宋体"/>
                <w:sz w:val="14"/>
                <w:szCs w:val="14"/>
              </w:rPr>
            </w:pPr>
            <w:r>
              <w:rPr>
                <w:rFonts w:ascii="宋体" w:hAnsi="宋体" w:eastAsia="宋体" w:cs="宋体"/>
                <w:spacing w:val="-7"/>
                <w:position w:val="2"/>
                <w:sz w:val="14"/>
                <w:szCs w:val="14"/>
              </w:rPr>
              <w:t>0.75</w:t>
            </w:r>
          </w:p>
        </w:tc>
        <w:tc>
          <w:tcPr>
            <w:tcW w:w="679" w:type="dxa"/>
            <w:tcBorders>
              <w:right w:val="single" w:color="000000" w:sz="6" w:space="0"/>
            </w:tcBorders>
            <w:vAlign w:val="top"/>
          </w:tcPr>
          <w:p>
            <w:pPr>
              <w:spacing w:before="264" w:line="212" w:lineRule="exact"/>
              <w:ind w:left="211"/>
              <w:rPr>
                <w:rFonts w:ascii="宋体" w:hAnsi="宋体" w:eastAsia="宋体" w:cs="宋体"/>
                <w:sz w:val="14"/>
                <w:szCs w:val="14"/>
              </w:rPr>
            </w:pPr>
            <w:r>
              <w:rPr>
                <w:rFonts w:ascii="宋体" w:hAnsi="宋体" w:eastAsia="宋体" w:cs="宋体"/>
                <w:spacing w:val="-7"/>
                <w:position w:val="2"/>
                <w:sz w:val="14"/>
                <w:szCs w:val="14"/>
              </w:rPr>
              <w:t>0.46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2264" w:type="dxa"/>
            <w:gridSpan w:val="3"/>
            <w:tcBorders>
              <w:left w:val="single" w:color="000000" w:sz="6" w:space="0"/>
            </w:tcBorders>
            <w:vAlign w:val="top"/>
          </w:tcPr>
          <w:p>
            <w:pPr>
              <w:spacing w:before="268" w:line="223" w:lineRule="auto"/>
              <w:ind w:left="751"/>
              <w:rPr>
                <w:rFonts w:ascii="宋体" w:hAnsi="宋体" w:eastAsia="宋体" w:cs="宋体"/>
                <w:sz w:val="14"/>
                <w:szCs w:val="14"/>
              </w:rPr>
            </w:pPr>
            <w:r>
              <w:rPr>
                <w:rFonts w:ascii="宋体" w:hAnsi="宋体" w:eastAsia="宋体" w:cs="宋体"/>
                <w:spacing w:val="9"/>
                <w:sz w:val="14"/>
                <w:szCs w:val="14"/>
              </w:rPr>
              <w:t>企业管理费</w:t>
            </w:r>
          </w:p>
        </w:tc>
        <w:tc>
          <w:tcPr>
            <w:tcW w:w="586" w:type="dxa"/>
            <w:vMerge w:val="continue"/>
            <w:tcBorders>
              <w:top w:val="nil"/>
              <w:bottom w:val="nil"/>
            </w:tcBorders>
            <w:vAlign w:val="top"/>
          </w:tcPr>
          <w:p>
            <w:pPr>
              <w:pStyle w:val="6"/>
            </w:pPr>
          </w:p>
        </w:tc>
        <w:tc>
          <w:tcPr>
            <w:tcW w:w="586" w:type="dxa"/>
            <w:vAlign w:val="top"/>
          </w:tcPr>
          <w:p>
            <w:pPr>
              <w:spacing w:before="264" w:line="213" w:lineRule="exact"/>
              <w:ind w:left="161"/>
              <w:rPr>
                <w:rFonts w:ascii="宋体" w:hAnsi="宋体" w:eastAsia="宋体" w:cs="宋体"/>
                <w:sz w:val="14"/>
                <w:szCs w:val="14"/>
              </w:rPr>
            </w:pPr>
            <w:r>
              <w:rPr>
                <w:rFonts w:ascii="宋体" w:hAnsi="宋体" w:eastAsia="宋体" w:cs="宋体"/>
                <w:spacing w:val="-7"/>
                <w:position w:val="2"/>
                <w:sz w:val="14"/>
                <w:szCs w:val="14"/>
              </w:rPr>
              <w:t>20.3</w:t>
            </w:r>
          </w:p>
        </w:tc>
        <w:tc>
          <w:tcPr>
            <w:tcW w:w="586" w:type="dxa"/>
            <w:vAlign w:val="top"/>
          </w:tcPr>
          <w:p>
            <w:pPr>
              <w:spacing w:before="264" w:line="213" w:lineRule="exact"/>
              <w:ind w:left="175"/>
              <w:rPr>
                <w:rFonts w:ascii="宋体" w:hAnsi="宋体" w:eastAsia="宋体" w:cs="宋体"/>
                <w:sz w:val="14"/>
                <w:szCs w:val="14"/>
              </w:rPr>
            </w:pPr>
            <w:r>
              <w:rPr>
                <w:rFonts w:ascii="宋体" w:hAnsi="宋体" w:eastAsia="宋体" w:cs="宋体"/>
                <w:spacing w:val="-10"/>
                <w:position w:val="1"/>
                <w:sz w:val="14"/>
                <w:szCs w:val="14"/>
              </w:rPr>
              <w:t>19.7</w:t>
            </w:r>
          </w:p>
        </w:tc>
        <w:tc>
          <w:tcPr>
            <w:tcW w:w="586" w:type="dxa"/>
            <w:vAlign w:val="top"/>
          </w:tcPr>
          <w:p>
            <w:pPr>
              <w:spacing w:before="264" w:line="213" w:lineRule="exact"/>
              <w:ind w:left="175"/>
              <w:rPr>
                <w:rFonts w:ascii="宋体" w:hAnsi="宋体" w:eastAsia="宋体" w:cs="宋体"/>
                <w:sz w:val="14"/>
                <w:szCs w:val="14"/>
              </w:rPr>
            </w:pPr>
            <w:r>
              <w:rPr>
                <w:rFonts w:ascii="宋体" w:hAnsi="宋体" w:eastAsia="宋体" w:cs="宋体"/>
                <w:spacing w:val="-10"/>
                <w:position w:val="1"/>
                <w:sz w:val="14"/>
                <w:szCs w:val="14"/>
              </w:rPr>
              <w:t>15.4</w:t>
            </w:r>
          </w:p>
        </w:tc>
        <w:tc>
          <w:tcPr>
            <w:tcW w:w="586" w:type="dxa"/>
            <w:vAlign w:val="top"/>
          </w:tcPr>
          <w:p>
            <w:pPr>
              <w:spacing w:before="264" w:line="213" w:lineRule="exact"/>
              <w:ind w:left="177"/>
              <w:rPr>
                <w:rFonts w:ascii="宋体" w:hAnsi="宋体" w:eastAsia="宋体" w:cs="宋体"/>
                <w:sz w:val="14"/>
                <w:szCs w:val="14"/>
              </w:rPr>
            </w:pPr>
            <w:r>
              <w:rPr>
                <w:rFonts w:ascii="宋体" w:hAnsi="宋体" w:eastAsia="宋体" w:cs="宋体"/>
                <w:spacing w:val="-10"/>
                <w:position w:val="1"/>
                <w:sz w:val="14"/>
                <w:szCs w:val="14"/>
              </w:rPr>
              <w:t>19.7</w:t>
            </w:r>
          </w:p>
        </w:tc>
        <w:tc>
          <w:tcPr>
            <w:tcW w:w="586" w:type="dxa"/>
            <w:vAlign w:val="top"/>
          </w:tcPr>
          <w:p>
            <w:pPr>
              <w:spacing w:before="264" w:line="213" w:lineRule="exact"/>
              <w:ind w:left="167"/>
              <w:rPr>
                <w:rFonts w:ascii="宋体" w:hAnsi="宋体" w:eastAsia="宋体" w:cs="宋体"/>
                <w:sz w:val="14"/>
                <w:szCs w:val="14"/>
              </w:rPr>
            </w:pPr>
            <w:r>
              <w:rPr>
                <w:rFonts w:ascii="宋体" w:hAnsi="宋体" w:eastAsia="宋体" w:cs="宋体"/>
                <w:spacing w:val="-7"/>
                <w:position w:val="1"/>
                <w:sz w:val="14"/>
                <w:szCs w:val="14"/>
              </w:rPr>
              <w:t>39.1</w:t>
            </w:r>
          </w:p>
        </w:tc>
        <w:tc>
          <w:tcPr>
            <w:tcW w:w="586" w:type="dxa"/>
            <w:vAlign w:val="top"/>
          </w:tcPr>
          <w:p>
            <w:pPr>
              <w:spacing w:before="264" w:line="213" w:lineRule="exact"/>
              <w:ind w:left="166"/>
              <w:rPr>
                <w:rFonts w:ascii="宋体" w:hAnsi="宋体" w:eastAsia="宋体" w:cs="宋体"/>
                <w:sz w:val="14"/>
                <w:szCs w:val="14"/>
              </w:rPr>
            </w:pPr>
            <w:r>
              <w:rPr>
                <w:rFonts w:ascii="宋体" w:hAnsi="宋体" w:eastAsia="宋体" w:cs="宋体"/>
                <w:spacing w:val="-7"/>
                <w:position w:val="2"/>
                <w:sz w:val="14"/>
                <w:szCs w:val="14"/>
              </w:rPr>
              <w:t>27.3</w:t>
            </w:r>
          </w:p>
        </w:tc>
        <w:tc>
          <w:tcPr>
            <w:tcW w:w="586" w:type="dxa"/>
            <w:vAlign w:val="top"/>
          </w:tcPr>
          <w:p>
            <w:pPr>
              <w:spacing w:before="264" w:line="213" w:lineRule="exact"/>
              <w:ind w:left="166"/>
              <w:rPr>
                <w:rFonts w:ascii="宋体" w:hAnsi="宋体" w:eastAsia="宋体" w:cs="宋体"/>
                <w:sz w:val="14"/>
                <w:szCs w:val="14"/>
              </w:rPr>
            </w:pPr>
            <w:r>
              <w:rPr>
                <w:rFonts w:ascii="宋体" w:hAnsi="宋体" w:eastAsia="宋体" w:cs="宋体"/>
                <w:spacing w:val="-7"/>
                <w:position w:val="2"/>
                <w:sz w:val="14"/>
                <w:szCs w:val="14"/>
              </w:rPr>
              <w:t>28.9</w:t>
            </w:r>
          </w:p>
        </w:tc>
        <w:tc>
          <w:tcPr>
            <w:tcW w:w="502" w:type="dxa"/>
            <w:vAlign w:val="top"/>
          </w:tcPr>
          <w:p>
            <w:pPr>
              <w:spacing w:before="264" w:line="213" w:lineRule="exact"/>
              <w:ind w:left="139"/>
              <w:rPr>
                <w:rFonts w:ascii="宋体" w:hAnsi="宋体" w:eastAsia="宋体" w:cs="宋体"/>
                <w:sz w:val="14"/>
                <w:szCs w:val="14"/>
              </w:rPr>
            </w:pPr>
            <w:r>
              <w:rPr>
                <w:rFonts w:ascii="宋体" w:hAnsi="宋体" w:eastAsia="宋体" w:cs="宋体"/>
                <w:spacing w:val="-10"/>
                <w:position w:val="1"/>
                <w:sz w:val="14"/>
                <w:szCs w:val="14"/>
              </w:rPr>
              <w:t>18.8</w:t>
            </w:r>
          </w:p>
        </w:tc>
        <w:tc>
          <w:tcPr>
            <w:tcW w:w="503" w:type="dxa"/>
            <w:vAlign w:val="top"/>
          </w:tcPr>
          <w:p>
            <w:pPr>
              <w:spacing w:before="264" w:line="213" w:lineRule="exact"/>
              <w:ind w:left="132"/>
              <w:rPr>
                <w:rFonts w:ascii="宋体" w:hAnsi="宋体" w:eastAsia="宋体" w:cs="宋体"/>
                <w:sz w:val="14"/>
                <w:szCs w:val="14"/>
              </w:rPr>
            </w:pPr>
            <w:r>
              <w:rPr>
                <w:rFonts w:ascii="宋体" w:hAnsi="宋体" w:eastAsia="宋体" w:cs="宋体"/>
                <w:spacing w:val="-7"/>
                <w:position w:val="2"/>
                <w:sz w:val="14"/>
                <w:szCs w:val="14"/>
              </w:rPr>
              <w:t>39.6</w:t>
            </w:r>
          </w:p>
        </w:tc>
        <w:tc>
          <w:tcPr>
            <w:tcW w:w="679" w:type="dxa"/>
            <w:tcBorders>
              <w:right w:val="single" w:color="000000" w:sz="6" w:space="0"/>
            </w:tcBorders>
            <w:vAlign w:val="top"/>
          </w:tcPr>
          <w:p>
            <w:pPr>
              <w:spacing w:before="264" w:line="213" w:lineRule="exact"/>
              <w:ind w:left="214"/>
              <w:rPr>
                <w:rFonts w:ascii="宋体" w:hAnsi="宋体" w:eastAsia="宋体" w:cs="宋体"/>
                <w:sz w:val="14"/>
                <w:szCs w:val="14"/>
              </w:rPr>
            </w:pPr>
            <w:r>
              <w:rPr>
                <w:rFonts w:ascii="宋体" w:hAnsi="宋体" w:eastAsia="宋体" w:cs="宋体"/>
                <w:spacing w:val="-7"/>
                <w:position w:val="2"/>
                <w:sz w:val="14"/>
                <w:szCs w:val="14"/>
              </w:rPr>
              <w:t>30.2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2264" w:type="dxa"/>
            <w:gridSpan w:val="3"/>
            <w:tcBorders>
              <w:left w:val="single" w:color="000000" w:sz="6" w:space="0"/>
            </w:tcBorders>
            <w:vAlign w:val="top"/>
          </w:tcPr>
          <w:p>
            <w:pPr>
              <w:spacing w:before="270" w:line="220" w:lineRule="auto"/>
              <w:ind w:left="978"/>
              <w:rPr>
                <w:rFonts w:ascii="宋体" w:hAnsi="宋体" w:eastAsia="宋体" w:cs="宋体"/>
                <w:sz w:val="14"/>
                <w:szCs w:val="14"/>
              </w:rPr>
            </w:pPr>
            <w:r>
              <w:rPr>
                <w:rFonts w:ascii="宋体" w:hAnsi="宋体" w:eastAsia="宋体" w:cs="宋体"/>
                <w:spacing w:val="7"/>
                <w:sz w:val="14"/>
                <w:szCs w:val="14"/>
              </w:rPr>
              <w:t>利润</w:t>
            </w:r>
          </w:p>
        </w:tc>
        <w:tc>
          <w:tcPr>
            <w:tcW w:w="586" w:type="dxa"/>
            <w:vMerge w:val="continue"/>
            <w:tcBorders>
              <w:top w:val="nil"/>
            </w:tcBorders>
            <w:vAlign w:val="top"/>
          </w:tcPr>
          <w:p>
            <w:pPr>
              <w:pStyle w:val="6"/>
            </w:pPr>
          </w:p>
        </w:tc>
        <w:tc>
          <w:tcPr>
            <w:tcW w:w="586" w:type="dxa"/>
            <w:vAlign w:val="top"/>
          </w:tcPr>
          <w:p>
            <w:pPr>
              <w:spacing w:before="265" w:line="212" w:lineRule="exact"/>
              <w:ind w:left="173"/>
              <w:rPr>
                <w:rFonts w:ascii="宋体" w:hAnsi="宋体" w:eastAsia="宋体" w:cs="宋体"/>
                <w:sz w:val="14"/>
                <w:szCs w:val="14"/>
              </w:rPr>
            </w:pPr>
            <w:r>
              <w:rPr>
                <w:rFonts w:ascii="宋体" w:hAnsi="宋体" w:eastAsia="宋体" w:cs="宋体"/>
                <w:spacing w:val="-10"/>
                <w:position w:val="1"/>
                <w:sz w:val="14"/>
                <w:szCs w:val="14"/>
              </w:rPr>
              <w:t>11.4</w:t>
            </w:r>
          </w:p>
        </w:tc>
        <w:tc>
          <w:tcPr>
            <w:tcW w:w="586" w:type="dxa"/>
            <w:vAlign w:val="top"/>
          </w:tcPr>
          <w:p>
            <w:pPr>
              <w:spacing w:before="265" w:line="212" w:lineRule="exact"/>
              <w:ind w:left="175"/>
              <w:rPr>
                <w:rFonts w:ascii="宋体" w:hAnsi="宋体" w:eastAsia="宋体" w:cs="宋体"/>
                <w:sz w:val="14"/>
                <w:szCs w:val="14"/>
              </w:rPr>
            </w:pPr>
            <w:r>
              <w:rPr>
                <w:rFonts w:ascii="宋体" w:hAnsi="宋体" w:eastAsia="宋体" w:cs="宋体"/>
                <w:spacing w:val="-10"/>
                <w:position w:val="1"/>
                <w:sz w:val="14"/>
                <w:szCs w:val="14"/>
              </w:rPr>
              <w:t>12.9</w:t>
            </w:r>
          </w:p>
        </w:tc>
        <w:tc>
          <w:tcPr>
            <w:tcW w:w="586" w:type="dxa"/>
            <w:vAlign w:val="top"/>
          </w:tcPr>
          <w:p>
            <w:pPr>
              <w:spacing w:before="265" w:line="212" w:lineRule="exact"/>
              <w:ind w:left="175"/>
              <w:rPr>
                <w:rFonts w:ascii="宋体" w:hAnsi="宋体" w:eastAsia="宋体" w:cs="宋体"/>
                <w:sz w:val="14"/>
                <w:szCs w:val="14"/>
              </w:rPr>
            </w:pPr>
            <w:r>
              <w:rPr>
                <w:rFonts w:ascii="宋体" w:hAnsi="宋体" w:eastAsia="宋体" w:cs="宋体"/>
                <w:spacing w:val="-10"/>
                <w:position w:val="1"/>
                <w:sz w:val="14"/>
                <w:szCs w:val="14"/>
              </w:rPr>
              <w:t>10.5</w:t>
            </w:r>
          </w:p>
        </w:tc>
        <w:tc>
          <w:tcPr>
            <w:tcW w:w="586" w:type="dxa"/>
            <w:vAlign w:val="top"/>
          </w:tcPr>
          <w:p>
            <w:pPr>
              <w:spacing w:before="265" w:line="212" w:lineRule="exact"/>
              <w:ind w:left="177"/>
              <w:rPr>
                <w:rFonts w:ascii="宋体" w:hAnsi="宋体" w:eastAsia="宋体" w:cs="宋体"/>
                <w:sz w:val="14"/>
                <w:szCs w:val="14"/>
              </w:rPr>
            </w:pPr>
            <w:r>
              <w:rPr>
                <w:rFonts w:ascii="宋体" w:hAnsi="宋体" w:eastAsia="宋体" w:cs="宋体"/>
                <w:spacing w:val="-10"/>
                <w:position w:val="1"/>
                <w:sz w:val="14"/>
                <w:szCs w:val="14"/>
              </w:rPr>
              <w:t>10.9</w:t>
            </w:r>
          </w:p>
        </w:tc>
        <w:tc>
          <w:tcPr>
            <w:tcW w:w="586" w:type="dxa"/>
            <w:vAlign w:val="top"/>
          </w:tcPr>
          <w:p>
            <w:pPr>
              <w:spacing w:before="265" w:line="212" w:lineRule="exact"/>
              <w:ind w:left="164"/>
              <w:rPr>
                <w:rFonts w:ascii="宋体" w:hAnsi="宋体" w:eastAsia="宋体" w:cs="宋体"/>
                <w:sz w:val="14"/>
                <w:szCs w:val="14"/>
              </w:rPr>
            </w:pPr>
            <w:r>
              <w:rPr>
                <w:rFonts w:ascii="宋体" w:hAnsi="宋体" w:eastAsia="宋体" w:cs="宋体"/>
                <w:spacing w:val="-7"/>
                <w:position w:val="2"/>
                <w:sz w:val="14"/>
                <w:szCs w:val="14"/>
              </w:rPr>
              <w:t>24.7</w:t>
            </w:r>
          </w:p>
        </w:tc>
        <w:tc>
          <w:tcPr>
            <w:tcW w:w="586" w:type="dxa"/>
            <w:vAlign w:val="top"/>
          </w:tcPr>
          <w:p>
            <w:pPr>
              <w:spacing w:before="265" w:line="212" w:lineRule="exact"/>
              <w:ind w:left="166"/>
              <w:rPr>
                <w:rFonts w:ascii="宋体" w:hAnsi="宋体" w:eastAsia="宋体" w:cs="宋体"/>
                <w:sz w:val="14"/>
                <w:szCs w:val="14"/>
              </w:rPr>
            </w:pPr>
            <w:r>
              <w:rPr>
                <w:rFonts w:ascii="宋体" w:hAnsi="宋体" w:eastAsia="宋体" w:cs="宋体"/>
                <w:spacing w:val="-7"/>
                <w:position w:val="2"/>
                <w:sz w:val="14"/>
                <w:szCs w:val="14"/>
              </w:rPr>
              <w:t>22.6</w:t>
            </w:r>
          </w:p>
        </w:tc>
        <w:tc>
          <w:tcPr>
            <w:tcW w:w="586" w:type="dxa"/>
            <w:vAlign w:val="top"/>
          </w:tcPr>
          <w:p>
            <w:pPr>
              <w:spacing w:before="265" w:line="212" w:lineRule="exact"/>
              <w:ind w:left="166"/>
              <w:rPr>
                <w:rFonts w:ascii="宋体" w:hAnsi="宋体" w:eastAsia="宋体" w:cs="宋体"/>
                <w:sz w:val="14"/>
                <w:szCs w:val="14"/>
              </w:rPr>
            </w:pPr>
            <w:r>
              <w:rPr>
                <w:rFonts w:ascii="宋体" w:hAnsi="宋体" w:eastAsia="宋体" w:cs="宋体"/>
                <w:spacing w:val="-7"/>
                <w:position w:val="2"/>
                <w:sz w:val="14"/>
                <w:szCs w:val="14"/>
              </w:rPr>
              <w:t>20.9</w:t>
            </w:r>
          </w:p>
        </w:tc>
        <w:tc>
          <w:tcPr>
            <w:tcW w:w="502" w:type="dxa"/>
            <w:vAlign w:val="top"/>
          </w:tcPr>
          <w:p>
            <w:pPr>
              <w:spacing w:before="265" w:line="212" w:lineRule="exact"/>
              <w:ind w:left="163"/>
              <w:rPr>
                <w:rFonts w:ascii="宋体" w:hAnsi="宋体" w:eastAsia="宋体" w:cs="宋体"/>
                <w:sz w:val="14"/>
                <w:szCs w:val="14"/>
              </w:rPr>
            </w:pPr>
            <w:r>
              <w:rPr>
                <w:rFonts w:ascii="宋体" w:hAnsi="宋体" w:eastAsia="宋体" w:cs="宋体"/>
                <w:spacing w:val="-10"/>
                <w:position w:val="2"/>
                <w:sz w:val="14"/>
                <w:szCs w:val="14"/>
              </w:rPr>
              <w:t>9.2</w:t>
            </w:r>
          </w:p>
        </w:tc>
        <w:tc>
          <w:tcPr>
            <w:tcW w:w="503" w:type="dxa"/>
            <w:vAlign w:val="top"/>
          </w:tcPr>
          <w:p>
            <w:pPr>
              <w:spacing w:before="265" w:line="212" w:lineRule="exact"/>
              <w:ind w:left="141"/>
              <w:rPr>
                <w:rFonts w:ascii="宋体" w:hAnsi="宋体" w:eastAsia="宋体" w:cs="宋体"/>
                <w:sz w:val="14"/>
                <w:szCs w:val="14"/>
              </w:rPr>
            </w:pPr>
            <w:r>
              <w:rPr>
                <w:rFonts w:ascii="宋体" w:hAnsi="宋体" w:eastAsia="宋体" w:cs="宋体"/>
                <w:spacing w:val="-10"/>
                <w:position w:val="1"/>
                <w:sz w:val="14"/>
                <w:szCs w:val="14"/>
              </w:rPr>
              <w:t>15.1</w:t>
            </w:r>
          </w:p>
        </w:tc>
        <w:tc>
          <w:tcPr>
            <w:tcW w:w="679" w:type="dxa"/>
            <w:tcBorders>
              <w:right w:val="single" w:color="000000" w:sz="6" w:space="0"/>
            </w:tcBorders>
            <w:vAlign w:val="top"/>
          </w:tcPr>
          <w:p>
            <w:pPr>
              <w:spacing w:before="265" w:line="212" w:lineRule="exact"/>
              <w:ind w:left="224"/>
              <w:rPr>
                <w:rFonts w:ascii="宋体" w:hAnsi="宋体" w:eastAsia="宋体" w:cs="宋体"/>
                <w:sz w:val="14"/>
                <w:szCs w:val="14"/>
              </w:rPr>
            </w:pPr>
            <w:r>
              <w:rPr>
                <w:rFonts w:ascii="宋体" w:hAnsi="宋体" w:eastAsia="宋体" w:cs="宋体"/>
                <w:spacing w:val="-10"/>
                <w:position w:val="1"/>
                <w:sz w:val="14"/>
                <w:szCs w:val="14"/>
              </w:rPr>
              <w:t>12.6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89" w:type="dxa"/>
            <w:vMerge w:val="restart"/>
            <w:tcBorders>
              <w:left w:val="single" w:color="000000" w:sz="6" w:space="0"/>
              <w:bottom w:val="nil"/>
            </w:tcBorders>
            <w:textDirection w:val="tbRlV"/>
            <w:vAlign w:val="top"/>
          </w:tcPr>
          <w:p>
            <w:pPr>
              <w:spacing w:before="119" w:line="221" w:lineRule="auto"/>
              <w:ind w:left="1454"/>
              <w:rPr>
                <w:rFonts w:ascii="宋体" w:hAnsi="宋体" w:eastAsia="宋体" w:cs="宋体"/>
                <w:sz w:val="14"/>
                <w:szCs w:val="14"/>
              </w:rPr>
            </w:pPr>
            <w:r>
              <w:rPr>
                <w:rFonts w:ascii="宋体" w:hAnsi="宋体" w:eastAsia="宋体" w:cs="宋体"/>
                <w:sz w:val="14"/>
                <w:szCs w:val="14"/>
              </w:rPr>
              <w:t>规</w:t>
            </w:r>
            <w:r>
              <w:rPr>
                <w:rFonts w:ascii="宋体" w:hAnsi="宋体" w:eastAsia="宋体" w:cs="宋体"/>
                <w:spacing w:val="3"/>
                <w:sz w:val="14"/>
                <w:szCs w:val="14"/>
              </w:rPr>
              <w:t xml:space="preserve">   </w:t>
            </w:r>
            <w:r>
              <w:rPr>
                <w:rFonts w:ascii="宋体" w:hAnsi="宋体" w:eastAsia="宋体" w:cs="宋体"/>
                <w:sz w:val="14"/>
                <w:szCs w:val="14"/>
              </w:rPr>
              <w:t>费</w:t>
            </w:r>
          </w:p>
        </w:tc>
        <w:tc>
          <w:tcPr>
            <w:tcW w:w="1875" w:type="dxa"/>
            <w:gridSpan w:val="2"/>
            <w:vAlign w:val="top"/>
          </w:tcPr>
          <w:p>
            <w:pPr>
              <w:spacing w:before="225" w:line="221" w:lineRule="auto"/>
              <w:ind w:left="102"/>
              <w:rPr>
                <w:rFonts w:ascii="宋体" w:hAnsi="宋体" w:eastAsia="宋体" w:cs="宋体"/>
                <w:sz w:val="14"/>
                <w:szCs w:val="14"/>
              </w:rPr>
            </w:pPr>
            <w:r>
              <w:rPr>
                <w:rFonts w:ascii="宋体" w:hAnsi="宋体" w:eastAsia="宋体" w:cs="宋体"/>
                <w:spacing w:val="9"/>
                <w:sz w:val="14"/>
                <w:szCs w:val="14"/>
              </w:rPr>
              <w:t>安全文明施工费</w:t>
            </w:r>
          </w:p>
        </w:tc>
        <w:tc>
          <w:tcPr>
            <w:tcW w:w="586" w:type="dxa"/>
            <w:vMerge w:val="restart"/>
            <w:tcBorders>
              <w:bottom w:val="nil"/>
            </w:tcBorders>
            <w:vAlign w:val="top"/>
          </w:tcPr>
          <w:p>
            <w:pPr>
              <w:pStyle w:val="6"/>
              <w:spacing w:line="266" w:lineRule="auto"/>
            </w:pPr>
          </w:p>
          <w:p>
            <w:pPr>
              <w:pStyle w:val="6"/>
              <w:spacing w:line="266" w:lineRule="auto"/>
            </w:pPr>
          </w:p>
          <w:p>
            <w:pPr>
              <w:pStyle w:val="6"/>
              <w:spacing w:line="267" w:lineRule="auto"/>
            </w:pPr>
          </w:p>
          <w:p>
            <w:pPr>
              <w:pStyle w:val="6"/>
              <w:spacing w:line="267" w:lineRule="auto"/>
            </w:pPr>
          </w:p>
          <w:p>
            <w:pPr>
              <w:spacing w:before="45" w:line="221" w:lineRule="auto"/>
              <w:ind w:left="139"/>
              <w:rPr>
                <w:rFonts w:ascii="宋体" w:hAnsi="宋体" w:eastAsia="宋体" w:cs="宋体"/>
                <w:sz w:val="14"/>
                <w:szCs w:val="14"/>
              </w:rPr>
            </w:pPr>
            <w:r>
              <w:rPr>
                <w:rFonts w:ascii="宋体" w:hAnsi="宋体" w:eastAsia="宋体" w:cs="宋体"/>
                <w:spacing w:val="7"/>
                <w:sz w:val="14"/>
                <w:szCs w:val="14"/>
              </w:rPr>
              <w:t>规费</w:t>
            </w:r>
          </w:p>
          <w:p>
            <w:pPr>
              <w:spacing w:before="90" w:line="223" w:lineRule="auto"/>
              <w:ind w:left="138"/>
              <w:rPr>
                <w:rFonts w:ascii="宋体" w:hAnsi="宋体" w:eastAsia="宋体" w:cs="宋体"/>
                <w:sz w:val="14"/>
                <w:szCs w:val="14"/>
              </w:rPr>
            </w:pPr>
            <w:r>
              <w:rPr>
                <w:rFonts w:ascii="宋体" w:hAnsi="宋体" w:eastAsia="宋体" w:cs="宋体"/>
                <w:spacing w:val="7"/>
                <w:sz w:val="14"/>
                <w:szCs w:val="14"/>
              </w:rPr>
              <w:t>前造</w:t>
            </w:r>
          </w:p>
          <w:p>
            <w:pPr>
              <w:spacing w:before="91" w:line="217" w:lineRule="auto"/>
              <w:ind w:left="214"/>
              <w:rPr>
                <w:rFonts w:ascii="宋体" w:hAnsi="宋体" w:eastAsia="宋体" w:cs="宋体"/>
                <w:sz w:val="14"/>
                <w:szCs w:val="14"/>
              </w:rPr>
            </w:pPr>
            <w:r>
              <w:rPr>
                <w:rFonts w:ascii="宋体" w:hAnsi="宋体" w:eastAsia="宋体" w:cs="宋体"/>
                <w:spacing w:val="4"/>
                <w:sz w:val="14"/>
                <w:szCs w:val="14"/>
              </w:rPr>
              <w:t>价</w:t>
            </w:r>
          </w:p>
        </w:tc>
        <w:tc>
          <w:tcPr>
            <w:tcW w:w="2344" w:type="dxa"/>
            <w:gridSpan w:val="4"/>
            <w:vAlign w:val="top"/>
          </w:tcPr>
          <w:p>
            <w:pPr>
              <w:spacing w:before="268" w:line="212" w:lineRule="exact"/>
              <w:ind w:left="1042"/>
              <w:rPr>
                <w:rFonts w:ascii="宋体" w:hAnsi="宋体" w:eastAsia="宋体" w:cs="宋体"/>
                <w:sz w:val="14"/>
                <w:szCs w:val="14"/>
              </w:rPr>
            </w:pPr>
            <w:r>
              <w:rPr>
                <w:rFonts w:ascii="宋体" w:hAnsi="宋体" w:eastAsia="宋体" w:cs="宋体"/>
                <w:spacing w:val="-7"/>
                <w:position w:val="2"/>
                <w:sz w:val="14"/>
                <w:szCs w:val="14"/>
              </w:rPr>
              <w:t>5.73</w:t>
            </w:r>
          </w:p>
        </w:tc>
        <w:tc>
          <w:tcPr>
            <w:tcW w:w="1758" w:type="dxa"/>
            <w:gridSpan w:val="3"/>
            <w:vAlign w:val="top"/>
          </w:tcPr>
          <w:p>
            <w:pPr>
              <w:spacing w:before="268" w:line="212" w:lineRule="exact"/>
              <w:ind w:left="750"/>
              <w:rPr>
                <w:rFonts w:ascii="宋体" w:hAnsi="宋体" w:eastAsia="宋体" w:cs="宋体"/>
                <w:sz w:val="14"/>
                <w:szCs w:val="14"/>
              </w:rPr>
            </w:pPr>
            <w:r>
              <w:rPr>
                <w:rFonts w:ascii="宋体" w:hAnsi="宋体" w:eastAsia="宋体" w:cs="宋体"/>
                <w:spacing w:val="-6"/>
                <w:position w:val="2"/>
                <w:sz w:val="14"/>
                <w:szCs w:val="14"/>
              </w:rPr>
              <w:t>4.83</w:t>
            </w:r>
          </w:p>
        </w:tc>
        <w:tc>
          <w:tcPr>
            <w:tcW w:w="1005" w:type="dxa"/>
            <w:gridSpan w:val="2"/>
            <w:vAlign w:val="top"/>
          </w:tcPr>
          <w:p>
            <w:pPr>
              <w:spacing w:before="268" w:line="212" w:lineRule="exact"/>
              <w:ind w:left="379"/>
              <w:rPr>
                <w:rFonts w:ascii="宋体" w:hAnsi="宋体" w:eastAsia="宋体" w:cs="宋体"/>
                <w:sz w:val="14"/>
                <w:szCs w:val="14"/>
              </w:rPr>
            </w:pPr>
            <w:r>
              <w:rPr>
                <w:rFonts w:ascii="宋体" w:hAnsi="宋体" w:eastAsia="宋体" w:cs="宋体"/>
                <w:spacing w:val="-7"/>
                <w:position w:val="2"/>
                <w:sz w:val="14"/>
                <w:szCs w:val="14"/>
              </w:rPr>
              <w:t>5.73</w:t>
            </w:r>
          </w:p>
        </w:tc>
        <w:tc>
          <w:tcPr>
            <w:tcW w:w="679" w:type="dxa"/>
            <w:tcBorders>
              <w:right w:val="single" w:color="000000" w:sz="6" w:space="0"/>
            </w:tcBorders>
            <w:vAlign w:val="top"/>
          </w:tcPr>
          <w:p>
            <w:pPr>
              <w:spacing w:before="268" w:line="212" w:lineRule="exact"/>
              <w:ind w:left="209"/>
              <w:rPr>
                <w:rFonts w:ascii="宋体" w:hAnsi="宋体" w:eastAsia="宋体" w:cs="宋体"/>
                <w:sz w:val="14"/>
                <w:szCs w:val="14"/>
              </w:rPr>
            </w:pPr>
            <w:r>
              <w:rPr>
                <w:rFonts w:ascii="宋体" w:hAnsi="宋体" w:eastAsia="宋体" w:cs="宋体"/>
                <w:spacing w:val="-7"/>
                <w:position w:val="1"/>
                <w:sz w:val="14"/>
                <w:szCs w:val="14"/>
              </w:rPr>
              <w:t>5.17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165" w:line="195" w:lineRule="exact"/>
              <w:ind w:left="100"/>
              <w:rPr>
                <w:rFonts w:ascii="宋体" w:hAnsi="宋体" w:eastAsia="宋体" w:cs="宋体"/>
                <w:sz w:val="14"/>
                <w:szCs w:val="14"/>
              </w:rPr>
            </w:pPr>
            <w:r>
              <w:rPr>
                <w:rFonts w:ascii="宋体" w:hAnsi="宋体" w:eastAsia="宋体" w:cs="宋体"/>
                <w:spacing w:val="9"/>
                <w:position w:val="1"/>
                <w:sz w:val="14"/>
                <w:szCs w:val="14"/>
              </w:rPr>
              <w:t>社会保险费</w:t>
            </w:r>
          </w:p>
        </w:tc>
        <w:tc>
          <w:tcPr>
            <w:tcW w:w="586" w:type="dxa"/>
            <w:vMerge w:val="continue"/>
            <w:tcBorders>
              <w:top w:val="nil"/>
              <w:bottom w:val="nil"/>
            </w:tcBorders>
            <w:vAlign w:val="top"/>
          </w:tcPr>
          <w:p>
            <w:pPr>
              <w:pStyle w:val="6"/>
            </w:pPr>
          </w:p>
        </w:tc>
        <w:tc>
          <w:tcPr>
            <w:tcW w:w="5786" w:type="dxa"/>
            <w:gridSpan w:val="10"/>
            <w:tcBorders>
              <w:right w:val="single" w:color="000000" w:sz="6" w:space="0"/>
            </w:tcBorders>
            <w:vAlign w:val="top"/>
          </w:tcPr>
          <w:p>
            <w:pPr>
              <w:spacing w:before="213" w:line="212" w:lineRule="exact"/>
              <w:ind w:left="2770"/>
              <w:rPr>
                <w:rFonts w:ascii="宋体" w:hAnsi="宋体" w:eastAsia="宋体" w:cs="宋体"/>
                <w:sz w:val="14"/>
                <w:szCs w:val="14"/>
              </w:rPr>
            </w:pPr>
            <w:r>
              <w:rPr>
                <w:rFonts w:ascii="宋体" w:hAnsi="宋体" w:eastAsia="宋体" w:cs="宋体"/>
                <w:spacing w:val="-10"/>
                <w:position w:val="1"/>
                <w:sz w:val="14"/>
                <w:szCs w:val="14"/>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89" w:type="dxa"/>
            <w:vMerge w:val="continue"/>
            <w:tcBorders>
              <w:top w:val="nil"/>
              <w:left w:val="single" w:color="000000" w:sz="6" w:space="0"/>
              <w:bottom w:val="nil"/>
            </w:tcBorders>
            <w:textDirection w:val="tbRlV"/>
            <w:vAlign w:val="top"/>
          </w:tcPr>
          <w:p>
            <w:pPr>
              <w:pStyle w:val="6"/>
            </w:pPr>
          </w:p>
        </w:tc>
        <w:tc>
          <w:tcPr>
            <w:tcW w:w="1875" w:type="dxa"/>
            <w:gridSpan w:val="2"/>
            <w:vAlign w:val="top"/>
          </w:tcPr>
          <w:p>
            <w:pPr>
              <w:spacing w:before="165" w:line="198" w:lineRule="exact"/>
              <w:ind w:left="101"/>
              <w:rPr>
                <w:rFonts w:ascii="宋体" w:hAnsi="宋体" w:eastAsia="宋体" w:cs="宋体"/>
                <w:sz w:val="14"/>
                <w:szCs w:val="14"/>
              </w:rPr>
            </w:pPr>
            <w:r>
              <w:rPr>
                <w:rFonts w:ascii="宋体" w:hAnsi="宋体" w:eastAsia="宋体" w:cs="宋体"/>
                <w:spacing w:val="9"/>
                <w:position w:val="1"/>
                <w:sz w:val="14"/>
                <w:szCs w:val="14"/>
              </w:rPr>
              <w:t>建设项目工伤保险</w:t>
            </w:r>
          </w:p>
        </w:tc>
        <w:tc>
          <w:tcPr>
            <w:tcW w:w="586" w:type="dxa"/>
            <w:vMerge w:val="continue"/>
            <w:tcBorders>
              <w:top w:val="nil"/>
              <w:bottom w:val="nil"/>
            </w:tcBorders>
            <w:vAlign w:val="top"/>
          </w:tcPr>
          <w:p>
            <w:pPr>
              <w:pStyle w:val="6"/>
            </w:pPr>
          </w:p>
        </w:tc>
        <w:tc>
          <w:tcPr>
            <w:tcW w:w="5786" w:type="dxa"/>
            <w:gridSpan w:val="10"/>
            <w:tcBorders>
              <w:right w:val="single" w:color="000000" w:sz="6" w:space="0"/>
            </w:tcBorders>
            <w:vAlign w:val="top"/>
          </w:tcPr>
          <w:p>
            <w:pPr>
              <w:spacing w:before="213" w:line="213" w:lineRule="exact"/>
              <w:ind w:left="2721"/>
              <w:rPr>
                <w:rFonts w:ascii="宋体" w:hAnsi="宋体" w:eastAsia="宋体" w:cs="宋体"/>
                <w:sz w:val="14"/>
                <w:szCs w:val="14"/>
              </w:rPr>
            </w:pPr>
            <w:r>
              <w:rPr>
                <w:rFonts w:ascii="宋体" w:hAnsi="宋体" w:eastAsia="宋体" w:cs="宋体"/>
                <w:spacing w:val="-5"/>
                <w:position w:val="1"/>
                <w:sz w:val="14"/>
                <w:szCs w:val="14"/>
              </w:rPr>
              <w:t>0.105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89" w:type="dxa"/>
            <w:vMerge w:val="continue"/>
            <w:tcBorders>
              <w:top w:val="nil"/>
              <w:left w:val="single" w:color="000000" w:sz="6" w:space="0"/>
              <w:bottom w:val="nil"/>
            </w:tcBorders>
            <w:textDirection w:val="tbRlV"/>
            <w:vAlign w:val="top"/>
          </w:tcPr>
          <w:p>
            <w:pPr>
              <w:pStyle w:val="6"/>
            </w:pPr>
          </w:p>
        </w:tc>
        <w:tc>
          <w:tcPr>
            <w:tcW w:w="1469" w:type="dxa"/>
            <w:vMerge w:val="restart"/>
            <w:tcBorders>
              <w:bottom w:val="nil"/>
            </w:tcBorders>
            <w:vAlign w:val="top"/>
          </w:tcPr>
          <w:p>
            <w:pPr>
              <w:pStyle w:val="6"/>
              <w:spacing w:line="297" w:lineRule="auto"/>
            </w:pPr>
          </w:p>
          <w:p>
            <w:pPr>
              <w:pStyle w:val="6"/>
              <w:spacing w:line="297" w:lineRule="auto"/>
            </w:pPr>
          </w:p>
          <w:p>
            <w:pPr>
              <w:spacing w:before="45" w:line="222" w:lineRule="auto"/>
              <w:ind w:left="353"/>
              <w:rPr>
                <w:rFonts w:ascii="宋体" w:hAnsi="宋体" w:eastAsia="宋体" w:cs="宋体"/>
                <w:sz w:val="14"/>
                <w:szCs w:val="14"/>
              </w:rPr>
            </w:pPr>
            <w:r>
              <w:rPr>
                <w:rFonts w:ascii="宋体" w:hAnsi="宋体" w:eastAsia="宋体" w:cs="宋体"/>
                <w:spacing w:val="9"/>
                <w:sz w:val="14"/>
                <w:szCs w:val="14"/>
              </w:rPr>
              <w:t>优质优价费</w:t>
            </w:r>
          </w:p>
        </w:tc>
        <w:tc>
          <w:tcPr>
            <w:tcW w:w="406" w:type="dxa"/>
            <w:vAlign w:val="top"/>
          </w:tcPr>
          <w:p>
            <w:pPr>
              <w:spacing w:before="175" w:line="222" w:lineRule="auto"/>
              <w:ind w:left="63"/>
              <w:rPr>
                <w:rFonts w:ascii="宋体" w:hAnsi="宋体" w:eastAsia="宋体" w:cs="宋体"/>
                <w:sz w:val="14"/>
                <w:szCs w:val="14"/>
              </w:rPr>
            </w:pPr>
            <w:r>
              <w:rPr>
                <w:rFonts w:ascii="宋体" w:hAnsi="宋体" w:eastAsia="宋体" w:cs="宋体"/>
                <w:spacing w:val="-1"/>
                <w:sz w:val="14"/>
                <w:szCs w:val="14"/>
              </w:rPr>
              <w:t>国家</w:t>
            </w:r>
          </w:p>
        </w:tc>
        <w:tc>
          <w:tcPr>
            <w:tcW w:w="586" w:type="dxa"/>
            <w:vMerge w:val="continue"/>
            <w:tcBorders>
              <w:top w:val="nil"/>
              <w:bottom w:val="nil"/>
            </w:tcBorders>
            <w:vAlign w:val="top"/>
          </w:tcPr>
          <w:p>
            <w:pPr>
              <w:pStyle w:val="6"/>
            </w:pPr>
          </w:p>
        </w:tc>
        <w:tc>
          <w:tcPr>
            <w:tcW w:w="5786" w:type="dxa"/>
            <w:gridSpan w:val="10"/>
            <w:tcBorders>
              <w:right w:val="single" w:color="000000" w:sz="6" w:space="0"/>
            </w:tcBorders>
            <w:vAlign w:val="top"/>
          </w:tcPr>
          <w:p>
            <w:pPr>
              <w:spacing w:before="214" w:line="212" w:lineRule="exact"/>
              <w:ind w:left="2770"/>
              <w:rPr>
                <w:rFonts w:ascii="宋体" w:hAnsi="宋体" w:eastAsia="宋体" w:cs="宋体"/>
                <w:sz w:val="14"/>
                <w:szCs w:val="14"/>
              </w:rPr>
            </w:pPr>
            <w:r>
              <w:rPr>
                <w:rFonts w:ascii="宋体" w:hAnsi="宋体" w:eastAsia="宋体" w:cs="宋体"/>
                <w:spacing w:val="-10"/>
                <w:position w:val="1"/>
                <w:sz w:val="14"/>
                <w:szCs w:val="14"/>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89" w:type="dxa"/>
            <w:vMerge w:val="continue"/>
            <w:tcBorders>
              <w:top w:val="nil"/>
              <w:left w:val="single" w:color="000000" w:sz="6" w:space="0"/>
              <w:bottom w:val="nil"/>
            </w:tcBorders>
            <w:textDirection w:val="tbRlV"/>
            <w:vAlign w:val="top"/>
          </w:tcPr>
          <w:p>
            <w:pPr>
              <w:pStyle w:val="6"/>
            </w:pPr>
          </w:p>
        </w:tc>
        <w:tc>
          <w:tcPr>
            <w:tcW w:w="1469" w:type="dxa"/>
            <w:vMerge w:val="continue"/>
            <w:tcBorders>
              <w:top w:val="nil"/>
              <w:bottom w:val="nil"/>
            </w:tcBorders>
            <w:vAlign w:val="top"/>
          </w:tcPr>
          <w:p>
            <w:pPr>
              <w:pStyle w:val="6"/>
            </w:pPr>
          </w:p>
        </w:tc>
        <w:tc>
          <w:tcPr>
            <w:tcW w:w="406" w:type="dxa"/>
            <w:vAlign w:val="top"/>
          </w:tcPr>
          <w:p>
            <w:pPr>
              <w:spacing w:before="220" w:line="218" w:lineRule="auto"/>
              <w:ind w:left="49"/>
              <w:rPr>
                <w:rFonts w:ascii="宋体" w:hAnsi="宋体" w:eastAsia="宋体" w:cs="宋体"/>
                <w:sz w:val="14"/>
                <w:szCs w:val="14"/>
              </w:rPr>
            </w:pPr>
            <w:r>
              <w:rPr>
                <w:rFonts w:ascii="宋体" w:hAnsi="宋体" w:eastAsia="宋体" w:cs="宋体"/>
                <w:spacing w:val="6"/>
                <w:sz w:val="14"/>
                <w:szCs w:val="14"/>
              </w:rPr>
              <w:t>省级</w:t>
            </w:r>
          </w:p>
        </w:tc>
        <w:tc>
          <w:tcPr>
            <w:tcW w:w="586" w:type="dxa"/>
            <w:vMerge w:val="continue"/>
            <w:tcBorders>
              <w:top w:val="nil"/>
              <w:bottom w:val="nil"/>
            </w:tcBorders>
            <w:vAlign w:val="top"/>
          </w:tcPr>
          <w:p>
            <w:pPr>
              <w:pStyle w:val="6"/>
            </w:pPr>
          </w:p>
        </w:tc>
        <w:tc>
          <w:tcPr>
            <w:tcW w:w="5786" w:type="dxa"/>
            <w:gridSpan w:val="10"/>
            <w:tcBorders>
              <w:right w:val="single" w:color="000000" w:sz="6" w:space="0"/>
            </w:tcBorders>
            <w:vAlign w:val="top"/>
          </w:tcPr>
          <w:p>
            <w:pPr>
              <w:spacing w:before="215" w:line="212" w:lineRule="exact"/>
              <w:ind w:left="2770"/>
              <w:rPr>
                <w:rFonts w:ascii="宋体" w:hAnsi="宋体" w:eastAsia="宋体" w:cs="宋体"/>
                <w:sz w:val="14"/>
                <w:szCs w:val="14"/>
              </w:rPr>
            </w:pPr>
            <w:r>
              <w:rPr>
                <w:rFonts w:ascii="宋体" w:hAnsi="宋体" w:eastAsia="宋体" w:cs="宋体"/>
                <w:spacing w:val="-10"/>
                <w:position w:val="1"/>
                <w:sz w:val="14"/>
                <w:szCs w:val="14"/>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89" w:type="dxa"/>
            <w:vMerge w:val="continue"/>
            <w:tcBorders>
              <w:top w:val="nil"/>
              <w:left w:val="single" w:color="000000" w:sz="6" w:space="0"/>
              <w:bottom w:val="nil"/>
            </w:tcBorders>
            <w:textDirection w:val="tbRlV"/>
            <w:vAlign w:val="top"/>
          </w:tcPr>
          <w:p>
            <w:pPr>
              <w:pStyle w:val="6"/>
            </w:pPr>
          </w:p>
        </w:tc>
        <w:tc>
          <w:tcPr>
            <w:tcW w:w="1469" w:type="dxa"/>
            <w:vMerge w:val="continue"/>
            <w:tcBorders>
              <w:top w:val="nil"/>
            </w:tcBorders>
            <w:vAlign w:val="top"/>
          </w:tcPr>
          <w:p>
            <w:pPr>
              <w:pStyle w:val="6"/>
            </w:pPr>
          </w:p>
        </w:tc>
        <w:tc>
          <w:tcPr>
            <w:tcW w:w="406" w:type="dxa"/>
            <w:vAlign w:val="top"/>
          </w:tcPr>
          <w:p>
            <w:pPr>
              <w:spacing w:before="218" w:line="221" w:lineRule="auto"/>
              <w:ind w:left="49"/>
              <w:rPr>
                <w:rFonts w:ascii="宋体" w:hAnsi="宋体" w:eastAsia="宋体" w:cs="宋体"/>
                <w:sz w:val="14"/>
                <w:szCs w:val="14"/>
              </w:rPr>
            </w:pPr>
            <w:r>
              <w:rPr>
                <w:rFonts w:ascii="宋体" w:hAnsi="宋体" w:eastAsia="宋体" w:cs="宋体"/>
                <w:spacing w:val="6"/>
                <w:sz w:val="14"/>
                <w:szCs w:val="14"/>
              </w:rPr>
              <w:t>市级</w:t>
            </w:r>
          </w:p>
        </w:tc>
        <w:tc>
          <w:tcPr>
            <w:tcW w:w="586" w:type="dxa"/>
            <w:vMerge w:val="continue"/>
            <w:tcBorders>
              <w:top w:val="nil"/>
            </w:tcBorders>
            <w:vAlign w:val="top"/>
          </w:tcPr>
          <w:p>
            <w:pPr>
              <w:pStyle w:val="6"/>
            </w:pPr>
          </w:p>
        </w:tc>
        <w:tc>
          <w:tcPr>
            <w:tcW w:w="5786" w:type="dxa"/>
            <w:gridSpan w:val="10"/>
            <w:tcBorders>
              <w:right w:val="single" w:color="000000" w:sz="6" w:space="0"/>
            </w:tcBorders>
            <w:vAlign w:val="top"/>
          </w:tcPr>
          <w:p>
            <w:pPr>
              <w:spacing w:before="214" w:line="212" w:lineRule="exact"/>
              <w:ind w:left="2757"/>
              <w:rPr>
                <w:rFonts w:ascii="宋体" w:hAnsi="宋体" w:eastAsia="宋体" w:cs="宋体"/>
                <w:sz w:val="14"/>
                <w:szCs w:val="14"/>
              </w:rPr>
            </w:pPr>
            <w:r>
              <w:rPr>
                <w:rFonts w:ascii="宋体" w:hAnsi="宋体" w:eastAsia="宋体" w:cs="宋体"/>
                <w:spacing w:val="-7"/>
                <w:position w:val="2"/>
                <w:sz w:val="14"/>
                <w:szCs w:val="14"/>
              </w:rPr>
              <w:t>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89" w:type="dxa"/>
            <w:vMerge w:val="continue"/>
            <w:tcBorders>
              <w:top w:val="nil"/>
              <w:left w:val="single" w:color="000000" w:sz="6" w:space="0"/>
            </w:tcBorders>
            <w:textDirection w:val="tbRlV"/>
            <w:vAlign w:val="top"/>
          </w:tcPr>
          <w:p>
            <w:pPr>
              <w:pStyle w:val="6"/>
            </w:pPr>
          </w:p>
        </w:tc>
        <w:tc>
          <w:tcPr>
            <w:tcW w:w="1875" w:type="dxa"/>
            <w:gridSpan w:val="2"/>
            <w:vAlign w:val="top"/>
          </w:tcPr>
          <w:p>
            <w:pPr>
              <w:spacing w:before="170" w:line="221" w:lineRule="auto"/>
              <w:ind w:left="556"/>
              <w:rPr>
                <w:rFonts w:ascii="宋体" w:hAnsi="宋体" w:eastAsia="宋体" w:cs="宋体"/>
                <w:sz w:val="14"/>
                <w:szCs w:val="14"/>
              </w:rPr>
            </w:pPr>
            <w:r>
              <w:rPr>
                <w:rFonts w:ascii="宋体" w:hAnsi="宋体" w:eastAsia="宋体" w:cs="宋体"/>
                <w:spacing w:val="9"/>
                <w:sz w:val="14"/>
                <w:szCs w:val="14"/>
              </w:rPr>
              <w:t>住房公积金</w:t>
            </w:r>
          </w:p>
        </w:tc>
        <w:tc>
          <w:tcPr>
            <w:tcW w:w="586" w:type="dxa"/>
            <w:vAlign w:val="top"/>
          </w:tcPr>
          <w:p>
            <w:pPr>
              <w:spacing w:before="73" w:line="241" w:lineRule="auto"/>
              <w:ind w:left="64" w:right="70" w:firstLine="76"/>
              <w:rPr>
                <w:rFonts w:ascii="宋体" w:hAnsi="宋体" w:eastAsia="宋体" w:cs="宋体"/>
                <w:sz w:val="14"/>
                <w:szCs w:val="14"/>
              </w:rPr>
            </w:pPr>
            <w:r>
              <w:rPr>
                <w:rFonts w:ascii="宋体" w:hAnsi="宋体" w:eastAsia="宋体" w:cs="宋体"/>
                <w:spacing w:val="6"/>
                <w:sz w:val="14"/>
                <w:szCs w:val="14"/>
              </w:rPr>
              <w:t>省价</w:t>
            </w:r>
            <w:r>
              <w:rPr>
                <w:rFonts w:ascii="宋体" w:hAnsi="宋体" w:eastAsia="宋体" w:cs="宋体"/>
                <w:spacing w:val="8"/>
                <w:sz w:val="14"/>
                <w:szCs w:val="14"/>
              </w:rPr>
              <w:t>人工费</w:t>
            </w:r>
          </w:p>
        </w:tc>
        <w:tc>
          <w:tcPr>
            <w:tcW w:w="5786" w:type="dxa"/>
            <w:gridSpan w:val="10"/>
            <w:tcBorders>
              <w:right w:val="single" w:color="000000" w:sz="6" w:space="0"/>
            </w:tcBorders>
            <w:vAlign w:val="top"/>
          </w:tcPr>
          <w:p>
            <w:pPr>
              <w:spacing w:before="214" w:line="212" w:lineRule="exact"/>
              <w:ind w:left="2799"/>
              <w:rPr>
                <w:rFonts w:ascii="宋体" w:hAnsi="宋体" w:eastAsia="宋体" w:cs="宋体"/>
                <w:sz w:val="14"/>
                <w:szCs w:val="14"/>
              </w:rPr>
            </w:pPr>
            <w:r>
              <w:rPr>
                <w:rFonts w:ascii="宋体" w:hAnsi="宋体" w:eastAsia="宋体" w:cs="宋体"/>
                <w:spacing w:val="-11"/>
                <w:position w:val="2"/>
                <w:sz w:val="14"/>
                <w:szCs w:val="14"/>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3" w:hRule="atLeast"/>
        </w:trPr>
        <w:tc>
          <w:tcPr>
            <w:tcW w:w="389" w:type="dxa"/>
            <w:tcBorders>
              <w:left w:val="single" w:color="000000" w:sz="6" w:space="0"/>
              <w:bottom w:val="single" w:color="000000" w:sz="6" w:space="0"/>
            </w:tcBorders>
            <w:textDirection w:val="tbRlV"/>
            <w:vAlign w:val="top"/>
          </w:tcPr>
          <w:p>
            <w:pPr>
              <w:spacing w:before="119" w:line="225" w:lineRule="auto"/>
              <w:ind w:left="73"/>
              <w:rPr>
                <w:rFonts w:ascii="宋体" w:hAnsi="宋体" w:eastAsia="宋体" w:cs="宋体"/>
                <w:sz w:val="14"/>
                <w:szCs w:val="14"/>
              </w:rPr>
            </w:pPr>
            <w:r>
              <w:rPr>
                <w:rFonts w:ascii="宋体" w:hAnsi="宋体" w:eastAsia="宋体" w:cs="宋体"/>
                <w:spacing w:val="-2"/>
                <w:sz w:val="14"/>
                <w:szCs w:val="14"/>
              </w:rPr>
              <w:t>税</w:t>
            </w:r>
            <w:r>
              <w:rPr>
                <w:rFonts w:ascii="宋体" w:hAnsi="宋体" w:eastAsia="宋体" w:cs="宋体"/>
                <w:spacing w:val="-7"/>
                <w:sz w:val="14"/>
                <w:szCs w:val="14"/>
              </w:rPr>
              <w:t xml:space="preserve"> </w:t>
            </w:r>
            <w:r>
              <w:rPr>
                <w:rFonts w:ascii="宋体" w:hAnsi="宋体" w:eastAsia="宋体" w:cs="宋体"/>
                <w:spacing w:val="-2"/>
                <w:sz w:val="14"/>
                <w:szCs w:val="14"/>
              </w:rPr>
              <w:t>金</w:t>
            </w:r>
          </w:p>
        </w:tc>
        <w:tc>
          <w:tcPr>
            <w:tcW w:w="1875" w:type="dxa"/>
            <w:gridSpan w:val="2"/>
            <w:tcBorders>
              <w:bottom w:val="single" w:color="000000" w:sz="6" w:space="0"/>
            </w:tcBorders>
            <w:vAlign w:val="top"/>
          </w:tcPr>
          <w:p>
            <w:pPr>
              <w:spacing w:before="171" w:line="225" w:lineRule="auto"/>
              <w:ind w:left="705"/>
              <w:rPr>
                <w:rFonts w:ascii="宋体" w:hAnsi="宋体" w:eastAsia="宋体" w:cs="宋体"/>
                <w:sz w:val="14"/>
                <w:szCs w:val="14"/>
              </w:rPr>
            </w:pPr>
            <w:r>
              <w:rPr>
                <w:rFonts w:ascii="宋体" w:hAnsi="宋体" w:eastAsia="宋体" w:cs="宋体"/>
                <w:spacing w:val="8"/>
                <w:sz w:val="14"/>
                <w:szCs w:val="14"/>
              </w:rPr>
              <w:t>增值税</w:t>
            </w:r>
          </w:p>
        </w:tc>
        <w:tc>
          <w:tcPr>
            <w:tcW w:w="586" w:type="dxa"/>
            <w:tcBorders>
              <w:bottom w:val="single" w:color="000000" w:sz="6" w:space="0"/>
            </w:tcBorders>
            <w:vAlign w:val="top"/>
          </w:tcPr>
          <w:p>
            <w:pPr>
              <w:spacing w:before="71" w:line="222" w:lineRule="auto"/>
              <w:ind w:left="138"/>
              <w:rPr>
                <w:rFonts w:ascii="宋体" w:hAnsi="宋体" w:eastAsia="宋体" w:cs="宋体"/>
                <w:sz w:val="14"/>
                <w:szCs w:val="14"/>
              </w:rPr>
            </w:pPr>
            <w:r>
              <w:rPr>
                <w:rFonts w:ascii="宋体" w:hAnsi="宋体" w:eastAsia="宋体" w:cs="宋体"/>
                <w:spacing w:val="8"/>
                <w:sz w:val="14"/>
                <w:szCs w:val="14"/>
              </w:rPr>
              <w:t>税前</w:t>
            </w:r>
          </w:p>
          <w:p>
            <w:pPr>
              <w:spacing w:before="32" w:line="217" w:lineRule="auto"/>
              <w:ind w:left="139"/>
              <w:rPr>
                <w:rFonts w:ascii="宋体" w:hAnsi="宋体" w:eastAsia="宋体" w:cs="宋体"/>
                <w:sz w:val="14"/>
                <w:szCs w:val="14"/>
              </w:rPr>
            </w:pPr>
            <w:r>
              <w:rPr>
                <w:rFonts w:ascii="宋体" w:hAnsi="宋体" w:eastAsia="宋体" w:cs="宋体"/>
                <w:spacing w:val="7"/>
                <w:sz w:val="14"/>
                <w:szCs w:val="14"/>
              </w:rPr>
              <w:t>造价</w:t>
            </w:r>
          </w:p>
        </w:tc>
        <w:tc>
          <w:tcPr>
            <w:tcW w:w="5786" w:type="dxa"/>
            <w:gridSpan w:val="10"/>
            <w:tcBorders>
              <w:bottom w:val="single" w:color="000000" w:sz="6" w:space="0"/>
              <w:right w:val="single" w:color="000000" w:sz="6" w:space="0"/>
            </w:tcBorders>
            <w:vAlign w:val="top"/>
          </w:tcPr>
          <w:p>
            <w:pPr>
              <w:spacing w:before="216" w:line="213" w:lineRule="exact"/>
              <w:ind w:left="2852"/>
              <w:rPr>
                <w:rFonts w:ascii="宋体" w:hAnsi="宋体" w:eastAsia="宋体" w:cs="宋体"/>
                <w:sz w:val="14"/>
                <w:szCs w:val="14"/>
              </w:rPr>
            </w:pPr>
            <w:r>
              <w:rPr>
                <w:rFonts w:ascii="宋体" w:hAnsi="宋体" w:eastAsia="宋体" w:cs="宋体"/>
                <w:position w:val="1"/>
                <w:sz w:val="14"/>
                <w:szCs w:val="14"/>
              </w:rPr>
              <w:t>9</w:t>
            </w:r>
          </w:p>
        </w:tc>
      </w:tr>
    </w:tbl>
    <w:p>
      <w:pPr>
        <w:spacing w:before="140" w:line="365" w:lineRule="auto"/>
        <w:ind w:firstLine="424"/>
        <w:rPr>
          <w:rFonts w:ascii="宋体" w:hAnsi="宋体" w:eastAsia="宋体" w:cs="宋体"/>
          <w:sz w:val="20"/>
          <w:szCs w:val="20"/>
        </w:rPr>
      </w:pPr>
      <w:r>
        <w:rPr>
          <w:rFonts w:ascii="宋体" w:hAnsi="宋体" w:eastAsia="宋体" w:cs="宋体"/>
          <w:spacing w:val="8"/>
          <w:sz w:val="20"/>
          <w:szCs w:val="20"/>
        </w:rPr>
        <w:t>注：1. 费用相关费率表中安全文明施工费费率按山东省住房和城乡建设厅《关于调</w:t>
      </w:r>
      <w:r>
        <w:rPr>
          <w:rFonts w:ascii="宋体" w:hAnsi="宋体" w:eastAsia="宋体" w:cs="宋体"/>
          <w:spacing w:val="7"/>
          <w:sz w:val="20"/>
          <w:szCs w:val="20"/>
        </w:rPr>
        <w:t>整建设工程</w:t>
      </w:r>
      <w:r>
        <w:rPr>
          <w:rFonts w:ascii="宋体" w:hAnsi="宋体" w:eastAsia="宋体" w:cs="宋体"/>
          <w:spacing w:val="9"/>
          <w:sz w:val="20"/>
          <w:szCs w:val="20"/>
        </w:rPr>
        <w:t>安全施工费的通知》（鲁建标字〔2023〕2号）列出，安全生产责任保险费用不再单</w:t>
      </w:r>
      <w:r>
        <w:rPr>
          <w:rFonts w:ascii="宋体" w:hAnsi="宋体" w:eastAsia="宋体" w:cs="宋体"/>
          <w:spacing w:val="8"/>
          <w:sz w:val="20"/>
          <w:szCs w:val="20"/>
        </w:rPr>
        <w:t>独计算。</w:t>
      </w:r>
    </w:p>
    <w:p>
      <w:pPr>
        <w:spacing w:before="7" w:line="276" w:lineRule="exact"/>
        <w:ind w:left="840"/>
        <w:rPr>
          <w:rFonts w:ascii="宋体" w:hAnsi="宋体" w:eastAsia="宋体" w:cs="宋体"/>
          <w:sz w:val="20"/>
          <w:szCs w:val="20"/>
        </w:rPr>
      </w:pPr>
      <w:r>
        <w:rPr>
          <w:rFonts w:ascii="宋体" w:hAnsi="宋体" w:eastAsia="宋体" w:cs="宋体"/>
          <w:spacing w:val="8"/>
          <w:position w:val="1"/>
          <w:sz w:val="20"/>
          <w:szCs w:val="20"/>
        </w:rPr>
        <w:t>2. 市政工程总价措施费中的人机费含量均为45%。</w:t>
      </w:r>
    </w:p>
    <w:p>
      <w:pPr>
        <w:spacing w:line="276" w:lineRule="exact"/>
        <w:rPr>
          <w:rFonts w:ascii="宋体" w:hAnsi="宋体" w:eastAsia="宋体" w:cs="宋体"/>
          <w:sz w:val="20"/>
          <w:szCs w:val="20"/>
        </w:rPr>
        <w:sectPr>
          <w:footerReference r:id="rId15" w:type="default"/>
          <w:pgSz w:w="11905" w:h="16840"/>
          <w:pgMar w:top="1431" w:right="1419" w:bottom="1213" w:left="1420" w:header="0" w:footer="898" w:gutter="0"/>
        </w:sectPr>
      </w:pPr>
    </w:p>
    <w:p>
      <w:pPr>
        <w:pStyle w:val="2"/>
        <w:spacing w:before="71" w:line="207" w:lineRule="auto"/>
        <w:ind w:left="2792"/>
        <w:outlineLvl w:val="0"/>
      </w:pPr>
      <w:bookmarkStart w:id="9" w:name="bookmark8"/>
      <w:bookmarkEnd w:id="9"/>
      <w:bookmarkStart w:id="10" w:name="bookmark7"/>
      <w:bookmarkEnd w:id="10"/>
      <w:r>
        <w:rPr>
          <w:spacing w:val="7"/>
        </w:rPr>
        <w:t>第三章</w:t>
      </w:r>
      <w:r>
        <w:rPr>
          <w:spacing w:val="18"/>
        </w:rPr>
        <w:t xml:space="preserve">   </w:t>
      </w:r>
      <w:r>
        <w:rPr>
          <w:spacing w:val="7"/>
        </w:rPr>
        <w:t>有关问题的说明</w:t>
      </w:r>
    </w:p>
    <w:p>
      <w:pPr>
        <w:spacing w:before="233" w:line="359" w:lineRule="auto"/>
        <w:ind w:firstLine="423"/>
        <w:jc w:val="both"/>
        <w:rPr>
          <w:rFonts w:ascii="宋体" w:hAnsi="宋体" w:eastAsia="宋体" w:cs="宋体"/>
          <w:sz w:val="20"/>
          <w:szCs w:val="20"/>
        </w:rPr>
      </w:pPr>
      <w:r>
        <w:rPr>
          <w:rFonts w:ascii="宋体" w:hAnsi="宋体" w:eastAsia="宋体" w:cs="宋体"/>
          <w:spacing w:val="9"/>
          <w:sz w:val="20"/>
          <w:szCs w:val="20"/>
        </w:rPr>
        <w:t>一、2018</w:t>
      </w:r>
      <w:r>
        <w:rPr>
          <w:rFonts w:ascii="宋体" w:hAnsi="宋体" w:eastAsia="宋体" w:cs="宋体"/>
          <w:spacing w:val="-39"/>
          <w:sz w:val="20"/>
          <w:szCs w:val="20"/>
        </w:rPr>
        <w:t xml:space="preserve"> </w:t>
      </w:r>
      <w:r>
        <w:rPr>
          <w:rFonts w:ascii="宋体" w:hAnsi="宋体" w:eastAsia="宋体" w:cs="宋体"/>
          <w:spacing w:val="9"/>
          <w:sz w:val="20"/>
          <w:szCs w:val="20"/>
        </w:rPr>
        <w:t>年《山东省建设工程概算定额》以山东省住房和城乡建设厅、山东省发展</w:t>
      </w:r>
      <w:r>
        <w:rPr>
          <w:rFonts w:ascii="宋体" w:hAnsi="宋体" w:eastAsia="宋体" w:cs="宋体"/>
          <w:spacing w:val="8"/>
          <w:sz w:val="20"/>
          <w:szCs w:val="20"/>
        </w:rPr>
        <w:t>和改革委员</w:t>
      </w:r>
      <w:r>
        <w:rPr>
          <w:rFonts w:ascii="宋体" w:hAnsi="宋体" w:eastAsia="宋体" w:cs="宋体"/>
          <w:spacing w:val="9"/>
          <w:sz w:val="20"/>
          <w:szCs w:val="20"/>
        </w:rPr>
        <w:t>会、山东省财政厅鲁建标字〔2018〕29</w:t>
      </w:r>
      <w:r>
        <w:rPr>
          <w:rFonts w:ascii="宋体" w:hAnsi="宋体" w:eastAsia="宋体" w:cs="宋体"/>
          <w:spacing w:val="-39"/>
          <w:sz w:val="20"/>
          <w:szCs w:val="20"/>
        </w:rPr>
        <w:t xml:space="preserve"> </w:t>
      </w:r>
      <w:r>
        <w:rPr>
          <w:rFonts w:ascii="宋体" w:hAnsi="宋体" w:eastAsia="宋体" w:cs="宋体"/>
          <w:spacing w:val="9"/>
          <w:sz w:val="20"/>
          <w:szCs w:val="20"/>
        </w:rPr>
        <w:t>号文正式发布，包括《山东省建筑工程概</w:t>
      </w:r>
      <w:r>
        <w:rPr>
          <w:rFonts w:ascii="宋体" w:hAnsi="宋体" w:eastAsia="宋体" w:cs="宋体"/>
          <w:spacing w:val="8"/>
          <w:sz w:val="20"/>
          <w:szCs w:val="20"/>
        </w:rPr>
        <w:t>算定额》、《山东</w:t>
      </w:r>
      <w:r>
        <w:rPr>
          <w:rFonts w:ascii="宋体" w:hAnsi="宋体" w:eastAsia="宋体" w:cs="宋体"/>
          <w:spacing w:val="10"/>
          <w:sz w:val="20"/>
          <w:szCs w:val="20"/>
        </w:rPr>
        <w:t>省安装工程概算定额》、《山东省市政工程概算定额》和《山东省建设工程概算费用编制</w:t>
      </w:r>
      <w:r>
        <w:rPr>
          <w:rFonts w:ascii="宋体" w:hAnsi="宋体" w:eastAsia="宋体" w:cs="宋体"/>
          <w:spacing w:val="9"/>
          <w:sz w:val="20"/>
          <w:szCs w:val="20"/>
        </w:rPr>
        <w:t>规定》四</w:t>
      </w:r>
      <w:r>
        <w:rPr>
          <w:rFonts w:ascii="宋体" w:hAnsi="宋体" w:eastAsia="宋体" w:cs="宋体"/>
          <w:spacing w:val="-3"/>
          <w:sz w:val="20"/>
          <w:szCs w:val="20"/>
        </w:rPr>
        <w:t>个分册</w:t>
      </w:r>
      <w:r>
        <w:rPr>
          <w:rFonts w:ascii="宋体" w:hAnsi="宋体" w:eastAsia="宋体" w:cs="宋体"/>
          <w:spacing w:val="-4"/>
          <w:sz w:val="20"/>
          <w:szCs w:val="20"/>
        </w:rPr>
        <w:t>）</w:t>
      </w:r>
      <w:r>
        <w:rPr>
          <w:rFonts w:ascii="宋体" w:hAnsi="宋体" w:eastAsia="宋体" w:cs="宋体"/>
          <w:spacing w:val="-52"/>
          <w:sz w:val="20"/>
          <w:szCs w:val="20"/>
        </w:rPr>
        <w:t xml:space="preserve"> </w:t>
      </w:r>
      <w:r>
        <w:rPr>
          <w:rFonts w:ascii="宋体" w:hAnsi="宋体" w:eastAsia="宋体" w:cs="宋体"/>
          <w:spacing w:val="-4"/>
          <w:sz w:val="20"/>
          <w:szCs w:val="20"/>
        </w:rPr>
        <w:t>，</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39"/>
          <w:sz w:val="20"/>
          <w:szCs w:val="20"/>
        </w:rPr>
        <w:t xml:space="preserve"> </w:t>
      </w:r>
      <w:r>
        <w:rPr>
          <w:rFonts w:ascii="宋体" w:hAnsi="宋体" w:eastAsia="宋体" w:cs="宋体"/>
          <w:spacing w:val="-3"/>
          <w:sz w:val="20"/>
          <w:szCs w:val="20"/>
        </w:rPr>
        <w:t>2018</w:t>
      </w:r>
      <w:r>
        <w:rPr>
          <w:rFonts w:ascii="宋体" w:hAnsi="宋体" w:eastAsia="宋体" w:cs="宋体"/>
          <w:spacing w:val="-42"/>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10</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4"/>
          <w:sz w:val="20"/>
          <w:szCs w:val="20"/>
        </w:rPr>
        <w:t xml:space="preserve"> </w:t>
      </w:r>
      <w:r>
        <w:rPr>
          <w:rFonts w:ascii="宋体" w:hAnsi="宋体" w:eastAsia="宋体" w:cs="宋体"/>
          <w:spacing w:val="-3"/>
          <w:sz w:val="20"/>
          <w:szCs w:val="20"/>
        </w:rPr>
        <w:t>1 日起执行。</w:t>
      </w:r>
    </w:p>
    <w:p>
      <w:pPr>
        <w:spacing w:before="3" w:line="291" w:lineRule="auto"/>
        <w:ind w:left="10" w:firstLine="413"/>
        <w:rPr>
          <w:rFonts w:ascii="宋体" w:hAnsi="宋体" w:eastAsia="宋体" w:cs="宋体"/>
          <w:sz w:val="20"/>
          <w:szCs w:val="20"/>
        </w:rPr>
      </w:pPr>
      <w:r>
        <w:rPr>
          <w:rFonts w:ascii="宋体" w:hAnsi="宋体" w:eastAsia="宋体" w:cs="宋体"/>
          <w:spacing w:val="11"/>
          <w:sz w:val="20"/>
          <w:szCs w:val="20"/>
        </w:rPr>
        <w:t>二、《山东省建设工程概算定额》适用于我省行政区域内一般工业与民用建</w:t>
      </w:r>
      <w:r>
        <w:rPr>
          <w:rFonts w:ascii="宋体" w:hAnsi="宋体" w:eastAsia="宋体" w:cs="宋体"/>
          <w:spacing w:val="10"/>
          <w:sz w:val="20"/>
          <w:szCs w:val="20"/>
        </w:rPr>
        <w:t>筑的房屋建筑工程</w:t>
      </w:r>
      <w:r>
        <w:rPr>
          <w:rFonts w:ascii="宋体" w:hAnsi="宋体" w:eastAsia="宋体" w:cs="宋体"/>
          <w:spacing w:val="9"/>
          <w:sz w:val="20"/>
          <w:szCs w:val="20"/>
        </w:rPr>
        <w:t>和市政基础设施工程的新建、扩建和改建的工</w:t>
      </w:r>
      <w:r>
        <w:rPr>
          <w:rFonts w:ascii="宋体" w:hAnsi="宋体" w:eastAsia="宋体" w:cs="宋体"/>
          <w:spacing w:val="8"/>
          <w:sz w:val="20"/>
          <w:szCs w:val="20"/>
        </w:rPr>
        <w:t>程。</w:t>
      </w:r>
    </w:p>
    <w:p>
      <w:pPr>
        <w:spacing w:before="150" w:line="333" w:lineRule="auto"/>
        <w:ind w:firstLine="427"/>
        <w:rPr>
          <w:rFonts w:ascii="宋体" w:hAnsi="宋体" w:eastAsia="宋体" w:cs="宋体"/>
          <w:sz w:val="20"/>
          <w:szCs w:val="20"/>
        </w:rPr>
      </w:pPr>
      <w:r>
        <w:rPr>
          <w:rFonts w:ascii="宋体" w:hAnsi="宋体" w:eastAsia="宋体" w:cs="宋体"/>
          <w:spacing w:val="11"/>
          <w:sz w:val="20"/>
          <w:szCs w:val="20"/>
        </w:rPr>
        <w:t>三、《山东省建设工程概算定额》是国有资金投资或国有资金投资为</w:t>
      </w:r>
      <w:r>
        <w:rPr>
          <w:rFonts w:ascii="宋体" w:hAnsi="宋体" w:eastAsia="宋体" w:cs="宋体"/>
          <w:spacing w:val="10"/>
          <w:sz w:val="20"/>
          <w:szCs w:val="20"/>
        </w:rPr>
        <w:t>主的建设项目编制初步设</w:t>
      </w:r>
      <w:r>
        <w:rPr>
          <w:rFonts w:ascii="宋体" w:hAnsi="宋体" w:eastAsia="宋体" w:cs="宋体"/>
          <w:spacing w:val="11"/>
          <w:sz w:val="20"/>
          <w:szCs w:val="20"/>
        </w:rPr>
        <w:t>计概算的依据；是政府投资管理部门决策、审批、调整建设项目投资的依据；是有关</w:t>
      </w:r>
      <w:r>
        <w:rPr>
          <w:rFonts w:ascii="宋体" w:hAnsi="宋体" w:eastAsia="宋体" w:cs="宋体"/>
          <w:spacing w:val="10"/>
          <w:sz w:val="20"/>
          <w:szCs w:val="20"/>
        </w:rPr>
        <w:t>单位制定固定</w:t>
      </w:r>
      <w:r>
        <w:rPr>
          <w:rFonts w:ascii="宋体" w:hAnsi="宋体" w:eastAsia="宋体" w:cs="宋体"/>
          <w:spacing w:val="11"/>
          <w:sz w:val="20"/>
          <w:szCs w:val="20"/>
        </w:rPr>
        <w:t>资产投资计划、实行建设项目投资包干或建设项目实行总承包编制最高投标限价的依</w:t>
      </w:r>
      <w:r>
        <w:rPr>
          <w:rFonts w:ascii="宋体" w:hAnsi="宋体" w:eastAsia="宋体" w:cs="宋体"/>
          <w:spacing w:val="10"/>
          <w:sz w:val="20"/>
          <w:szCs w:val="20"/>
        </w:rPr>
        <w:t>据；是衡量建</w:t>
      </w:r>
      <w:r>
        <w:rPr>
          <w:rFonts w:ascii="宋体" w:hAnsi="宋体" w:eastAsia="宋体" w:cs="宋体"/>
          <w:spacing w:val="11"/>
          <w:sz w:val="20"/>
          <w:szCs w:val="20"/>
        </w:rPr>
        <w:t>设项目设计方案技术经济合理性和考核建设项目投资效果的依据；是编制概算指标和</w:t>
      </w:r>
      <w:r>
        <w:rPr>
          <w:rFonts w:ascii="宋体" w:hAnsi="宋体" w:eastAsia="宋体" w:cs="宋体"/>
          <w:spacing w:val="10"/>
          <w:sz w:val="20"/>
          <w:szCs w:val="20"/>
        </w:rPr>
        <w:t>估算指标的基</w:t>
      </w:r>
      <w:r>
        <w:rPr>
          <w:rFonts w:ascii="宋体" w:hAnsi="宋体" w:eastAsia="宋体" w:cs="宋体"/>
          <w:spacing w:val="9"/>
          <w:sz w:val="20"/>
          <w:szCs w:val="20"/>
        </w:rPr>
        <w:t>础。其他投资主体的建设项目，可参照执行。</w:t>
      </w:r>
    </w:p>
    <w:p>
      <w:pPr>
        <w:spacing w:before="145" w:line="315" w:lineRule="auto"/>
        <w:ind w:left="2" w:firstLine="442"/>
        <w:rPr>
          <w:rFonts w:ascii="宋体" w:hAnsi="宋体" w:eastAsia="宋体" w:cs="宋体"/>
          <w:sz w:val="20"/>
          <w:szCs w:val="20"/>
        </w:rPr>
      </w:pPr>
      <w:r>
        <w:rPr>
          <w:rFonts w:ascii="宋体" w:hAnsi="宋体" w:eastAsia="宋体" w:cs="宋体"/>
          <w:spacing w:val="4"/>
          <w:sz w:val="20"/>
          <w:szCs w:val="20"/>
        </w:rPr>
        <w:t>四、2020</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11</w:t>
      </w:r>
      <w:r>
        <w:rPr>
          <w:rFonts w:ascii="宋体" w:hAnsi="宋体" w:eastAsia="宋体" w:cs="宋体"/>
          <w:spacing w:val="-41"/>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10 日省住建厅以鲁建标字〔2020〕24</w:t>
      </w:r>
      <w:r>
        <w:rPr>
          <w:rFonts w:ascii="宋体" w:hAnsi="宋体" w:eastAsia="宋体" w:cs="宋体"/>
          <w:spacing w:val="-40"/>
          <w:sz w:val="20"/>
          <w:szCs w:val="20"/>
        </w:rPr>
        <w:t xml:space="preserve"> </w:t>
      </w:r>
      <w:r>
        <w:rPr>
          <w:rFonts w:ascii="宋体" w:hAnsi="宋体" w:eastAsia="宋体" w:cs="宋体"/>
          <w:spacing w:val="4"/>
          <w:sz w:val="20"/>
          <w:szCs w:val="20"/>
        </w:rPr>
        <w:t>号发布了《关于调整建设工程</w:t>
      </w:r>
      <w:r>
        <w:rPr>
          <w:rFonts w:ascii="宋体" w:hAnsi="宋体" w:eastAsia="宋体" w:cs="宋体"/>
          <w:spacing w:val="3"/>
          <w:sz w:val="20"/>
          <w:szCs w:val="20"/>
        </w:rPr>
        <w:t>定额人工</w:t>
      </w:r>
      <w:r>
        <w:rPr>
          <w:rFonts w:ascii="宋体" w:hAnsi="宋体" w:eastAsia="宋体" w:cs="宋体"/>
          <w:spacing w:val="10"/>
          <w:sz w:val="20"/>
          <w:szCs w:val="20"/>
        </w:rPr>
        <w:t>单价及各专业定额价目表的通知》发布了建筑、安装、市政工程概算定额价目</w:t>
      </w:r>
      <w:r>
        <w:rPr>
          <w:rFonts w:ascii="宋体" w:hAnsi="宋体" w:eastAsia="宋体" w:cs="宋体"/>
          <w:spacing w:val="9"/>
          <w:sz w:val="20"/>
          <w:szCs w:val="20"/>
        </w:rPr>
        <w:t>表，</w:t>
      </w:r>
      <w:r>
        <w:rPr>
          <w:rFonts w:ascii="宋体" w:hAnsi="宋体" w:eastAsia="宋体" w:cs="宋体"/>
          <w:spacing w:val="-57"/>
          <w:sz w:val="20"/>
          <w:szCs w:val="20"/>
        </w:rPr>
        <w:t xml:space="preserve"> </w:t>
      </w:r>
      <w:r>
        <w:rPr>
          <w:rFonts w:ascii="宋体" w:hAnsi="宋体" w:eastAsia="宋体" w:cs="宋体"/>
          <w:spacing w:val="9"/>
          <w:sz w:val="20"/>
          <w:szCs w:val="20"/>
        </w:rPr>
        <w:t>自发布之日起执行，在省住房城乡建设厅门户网站的定额站栏目下刊登。</w:t>
      </w:r>
    </w:p>
    <w:p>
      <w:pPr>
        <w:spacing w:before="147" w:line="315" w:lineRule="auto"/>
        <w:ind w:left="1" w:firstLine="426"/>
        <w:rPr>
          <w:rFonts w:ascii="宋体" w:hAnsi="宋体" w:eastAsia="宋体" w:cs="宋体"/>
          <w:sz w:val="20"/>
          <w:szCs w:val="20"/>
        </w:rPr>
      </w:pPr>
      <w:r>
        <w:rPr>
          <w:rFonts w:ascii="宋体" w:hAnsi="宋体" w:eastAsia="宋体" w:cs="宋体"/>
          <w:spacing w:val="11"/>
          <w:sz w:val="20"/>
          <w:szCs w:val="20"/>
        </w:rPr>
        <w:t>五、《山东省建设工程概算费用编制规定》中所称概算费用是指建</w:t>
      </w:r>
      <w:r>
        <w:rPr>
          <w:rFonts w:ascii="宋体" w:hAnsi="宋体" w:eastAsia="宋体" w:cs="宋体"/>
          <w:spacing w:val="10"/>
          <w:sz w:val="20"/>
          <w:szCs w:val="20"/>
        </w:rPr>
        <w:t>设项目从筹建到竣工验收交</w:t>
      </w:r>
      <w:r>
        <w:rPr>
          <w:rFonts w:ascii="宋体" w:hAnsi="宋体" w:eastAsia="宋体" w:cs="宋体"/>
          <w:spacing w:val="11"/>
          <w:sz w:val="20"/>
          <w:szCs w:val="20"/>
        </w:rPr>
        <w:t>付使用或正式生产所需的建设项目总投资，包括建设项目工程费、工程建设其他</w:t>
      </w:r>
      <w:r>
        <w:rPr>
          <w:rFonts w:ascii="宋体" w:hAnsi="宋体" w:eastAsia="宋体" w:cs="宋体"/>
          <w:spacing w:val="10"/>
          <w:sz w:val="20"/>
          <w:szCs w:val="20"/>
        </w:rPr>
        <w:t>费、预备费、资金</w:t>
      </w:r>
      <w:r>
        <w:rPr>
          <w:rFonts w:ascii="宋体" w:hAnsi="宋体" w:eastAsia="宋体" w:cs="宋体"/>
          <w:spacing w:val="9"/>
          <w:sz w:val="20"/>
          <w:szCs w:val="20"/>
        </w:rPr>
        <w:t>筹措费、经营性铺底流动资金等。</w:t>
      </w:r>
    </w:p>
    <w:p>
      <w:pPr>
        <w:spacing w:before="145" w:line="315" w:lineRule="auto"/>
        <w:ind w:left="3" w:firstLine="419"/>
        <w:rPr>
          <w:rFonts w:ascii="宋体" w:hAnsi="宋体" w:eastAsia="宋体" w:cs="宋体"/>
          <w:sz w:val="20"/>
          <w:szCs w:val="20"/>
        </w:rPr>
      </w:pPr>
      <w:r>
        <w:rPr>
          <w:rFonts w:ascii="宋体" w:hAnsi="宋体" w:eastAsia="宋体" w:cs="宋体"/>
          <w:spacing w:val="11"/>
          <w:sz w:val="20"/>
          <w:szCs w:val="20"/>
        </w:rPr>
        <w:t>六、在编制建设项目设计概算时，应根据实际发生的费用项目，按照《山东省</w:t>
      </w:r>
      <w:r>
        <w:rPr>
          <w:rFonts w:ascii="宋体" w:hAnsi="宋体" w:eastAsia="宋体" w:cs="宋体"/>
          <w:spacing w:val="10"/>
          <w:sz w:val="20"/>
          <w:szCs w:val="20"/>
        </w:rPr>
        <w:t>建设工程概算费</w:t>
      </w:r>
      <w:r>
        <w:rPr>
          <w:rFonts w:ascii="宋体" w:hAnsi="宋体" w:eastAsia="宋体" w:cs="宋体"/>
          <w:spacing w:val="11"/>
          <w:sz w:val="20"/>
          <w:szCs w:val="20"/>
        </w:rPr>
        <w:t>用编制规定》的计算规则及其相关标准计取。“环境保护税”列入“工程建</w:t>
      </w:r>
      <w:r>
        <w:rPr>
          <w:rFonts w:ascii="宋体" w:hAnsi="宋体" w:eastAsia="宋体" w:cs="宋体"/>
          <w:spacing w:val="10"/>
          <w:sz w:val="20"/>
          <w:szCs w:val="20"/>
        </w:rPr>
        <w:t>设其他费”的“建设项</w:t>
      </w:r>
      <w:r>
        <w:rPr>
          <w:rFonts w:ascii="宋体" w:hAnsi="宋体" w:eastAsia="宋体" w:cs="宋体"/>
          <w:spacing w:val="3"/>
          <w:sz w:val="20"/>
          <w:szCs w:val="20"/>
        </w:rPr>
        <w:t>目管理费</w:t>
      </w:r>
      <w:r>
        <w:rPr>
          <w:rFonts w:ascii="宋体" w:hAnsi="宋体" w:eastAsia="宋体" w:cs="宋体"/>
          <w:spacing w:val="-67"/>
          <w:sz w:val="20"/>
          <w:szCs w:val="20"/>
        </w:rPr>
        <w:t xml:space="preserve"> </w:t>
      </w:r>
      <w:r>
        <w:rPr>
          <w:rFonts w:ascii="宋体" w:hAnsi="宋体" w:eastAsia="宋体" w:cs="宋体"/>
          <w:spacing w:val="3"/>
          <w:sz w:val="20"/>
          <w:szCs w:val="20"/>
        </w:rPr>
        <w:t>”中。</w:t>
      </w:r>
    </w:p>
    <w:p>
      <w:pPr>
        <w:spacing w:before="147" w:line="307" w:lineRule="auto"/>
        <w:ind w:left="4" w:firstLine="417"/>
        <w:rPr>
          <w:rFonts w:ascii="宋体" w:hAnsi="宋体" w:eastAsia="宋体" w:cs="宋体"/>
          <w:sz w:val="20"/>
          <w:szCs w:val="20"/>
        </w:rPr>
      </w:pPr>
      <w:r>
        <w:rPr>
          <w:rFonts w:ascii="宋体" w:hAnsi="宋体" w:eastAsia="宋体" w:cs="宋体"/>
          <w:spacing w:val="11"/>
          <w:sz w:val="20"/>
          <w:szCs w:val="20"/>
        </w:rPr>
        <w:t>七、《山东省建设工程概算费用编制规定》、《山东省建设工程概算定额》和《</w:t>
      </w:r>
      <w:r>
        <w:rPr>
          <w:rFonts w:ascii="宋体" w:hAnsi="宋体" w:eastAsia="宋体" w:cs="宋体"/>
          <w:spacing w:val="10"/>
          <w:sz w:val="20"/>
          <w:szCs w:val="20"/>
        </w:rPr>
        <w:t>关于发布定额</w:t>
      </w:r>
      <w:r>
        <w:rPr>
          <w:rFonts w:ascii="宋体" w:hAnsi="宋体" w:eastAsia="宋体" w:cs="宋体"/>
          <w:spacing w:val="9"/>
          <w:sz w:val="20"/>
          <w:szCs w:val="20"/>
        </w:rPr>
        <w:t>价目表和机械台班、仪器仪表台班单价表的通知》配套使用。</w:t>
      </w:r>
    </w:p>
    <w:p>
      <w:pPr>
        <w:spacing w:before="117" w:line="291" w:lineRule="auto"/>
        <w:ind w:left="4" w:firstLine="416"/>
        <w:rPr>
          <w:rFonts w:ascii="宋体" w:hAnsi="宋体" w:eastAsia="宋体" w:cs="宋体"/>
          <w:sz w:val="20"/>
          <w:szCs w:val="20"/>
        </w:rPr>
      </w:pPr>
      <w:r>
        <w:rPr>
          <w:rFonts w:ascii="宋体" w:hAnsi="宋体" w:eastAsia="宋体" w:cs="宋体"/>
          <w:spacing w:val="11"/>
          <w:sz w:val="20"/>
          <w:szCs w:val="20"/>
        </w:rPr>
        <w:t>八、概算费用项目中的建筑安装工程费，即一般工业与民用建筑工程的建设费用，</w:t>
      </w:r>
      <w:r>
        <w:rPr>
          <w:rFonts w:ascii="宋体" w:hAnsi="宋体" w:eastAsia="宋体" w:cs="宋体"/>
          <w:spacing w:val="10"/>
          <w:sz w:val="20"/>
          <w:szCs w:val="20"/>
        </w:rPr>
        <w:t>包括房屋建</w:t>
      </w:r>
      <w:r>
        <w:rPr>
          <w:rFonts w:ascii="宋体" w:hAnsi="宋体" w:eastAsia="宋体" w:cs="宋体"/>
          <w:spacing w:val="8"/>
          <w:sz w:val="20"/>
          <w:szCs w:val="20"/>
        </w:rPr>
        <w:t>筑工程和市政基础设施工程两部分。</w:t>
      </w:r>
    </w:p>
    <w:p>
      <w:pPr>
        <w:spacing w:before="150" w:line="355" w:lineRule="auto"/>
        <w:ind w:left="2" w:firstLine="422"/>
        <w:rPr>
          <w:rFonts w:ascii="宋体" w:hAnsi="宋体" w:eastAsia="宋体" w:cs="宋体"/>
          <w:sz w:val="20"/>
          <w:szCs w:val="20"/>
        </w:rPr>
      </w:pPr>
      <w:r>
        <w:rPr>
          <w:rFonts w:ascii="宋体" w:hAnsi="宋体" w:eastAsia="宋体" w:cs="宋体"/>
          <w:spacing w:val="11"/>
          <w:sz w:val="20"/>
          <w:szCs w:val="20"/>
        </w:rPr>
        <w:t>房屋建筑工程是指各类房屋建筑及其附属设施和与其配套的线路、管道、</w:t>
      </w:r>
      <w:r>
        <w:rPr>
          <w:rFonts w:ascii="宋体" w:hAnsi="宋体" w:eastAsia="宋体" w:cs="宋体"/>
          <w:spacing w:val="10"/>
          <w:sz w:val="20"/>
          <w:szCs w:val="20"/>
        </w:rPr>
        <w:t>设备安装工程及室内</w:t>
      </w:r>
      <w:r>
        <w:rPr>
          <w:rFonts w:ascii="宋体" w:hAnsi="宋体" w:eastAsia="宋体" w:cs="宋体"/>
          <w:spacing w:val="8"/>
          <w:sz w:val="20"/>
          <w:szCs w:val="20"/>
        </w:rPr>
        <w:t>外装饰装修工程。</w:t>
      </w:r>
    </w:p>
    <w:p>
      <w:pPr>
        <w:spacing w:before="2" w:line="343" w:lineRule="auto"/>
        <w:ind w:left="2" w:firstLine="422"/>
        <w:rPr>
          <w:rFonts w:ascii="宋体" w:hAnsi="宋体" w:eastAsia="宋体" w:cs="宋体"/>
          <w:sz w:val="20"/>
          <w:szCs w:val="20"/>
        </w:rPr>
      </w:pPr>
      <w:r>
        <w:rPr>
          <w:rFonts w:ascii="宋体" w:hAnsi="宋体" w:eastAsia="宋体" w:cs="宋体"/>
          <w:spacing w:val="11"/>
          <w:sz w:val="20"/>
          <w:szCs w:val="20"/>
        </w:rPr>
        <w:t>市政基础设施工程是指城市道路、公共交通、供水、排水、燃气、热力、</w:t>
      </w:r>
      <w:r>
        <w:rPr>
          <w:rFonts w:ascii="宋体" w:hAnsi="宋体" w:eastAsia="宋体" w:cs="宋体"/>
          <w:spacing w:val="10"/>
          <w:sz w:val="20"/>
          <w:szCs w:val="20"/>
        </w:rPr>
        <w:t>园林绿化、环卫、污水处理、垃圾处理、防洪、地下公共设施等，及相应附</w:t>
      </w:r>
      <w:r>
        <w:rPr>
          <w:rFonts w:ascii="宋体" w:hAnsi="宋体" w:eastAsia="宋体" w:cs="宋体"/>
          <w:spacing w:val="9"/>
          <w:sz w:val="20"/>
          <w:szCs w:val="20"/>
        </w:rPr>
        <w:t>属设施的土建、管道、设备安装工程。</w:t>
      </w:r>
    </w:p>
    <w:p>
      <w:pPr>
        <w:spacing w:before="43" w:line="342" w:lineRule="auto"/>
        <w:ind w:left="5" w:firstLine="417"/>
        <w:rPr>
          <w:rFonts w:ascii="宋体" w:hAnsi="宋体" w:eastAsia="宋体" w:cs="宋体"/>
          <w:sz w:val="20"/>
          <w:szCs w:val="20"/>
        </w:rPr>
      </w:pPr>
      <w:r>
        <w:rPr>
          <w:rFonts w:ascii="宋体" w:hAnsi="宋体" w:eastAsia="宋体" w:cs="宋体"/>
          <w:spacing w:val="11"/>
          <w:sz w:val="20"/>
          <w:szCs w:val="20"/>
        </w:rPr>
        <w:t>建筑安装工程费，按工程造价形成划分为：分部分项工程费、措施项目费、其</w:t>
      </w:r>
      <w:r>
        <w:rPr>
          <w:rFonts w:ascii="宋体" w:hAnsi="宋体" w:eastAsia="宋体" w:cs="宋体"/>
          <w:spacing w:val="10"/>
          <w:sz w:val="20"/>
          <w:szCs w:val="20"/>
        </w:rPr>
        <w:t>他项目费、企业</w:t>
      </w:r>
      <w:r>
        <w:rPr>
          <w:rFonts w:ascii="宋体" w:hAnsi="宋体" w:eastAsia="宋体" w:cs="宋体"/>
          <w:spacing w:val="8"/>
          <w:sz w:val="20"/>
          <w:szCs w:val="20"/>
        </w:rPr>
        <w:t>管理费、利润、规费、税金。</w:t>
      </w:r>
    </w:p>
    <w:p>
      <w:pPr>
        <w:spacing w:before="42" w:line="221" w:lineRule="auto"/>
        <w:ind w:left="425"/>
        <w:rPr>
          <w:rFonts w:ascii="宋体" w:hAnsi="宋体" w:eastAsia="宋体" w:cs="宋体"/>
          <w:sz w:val="20"/>
          <w:szCs w:val="20"/>
        </w:rPr>
      </w:pPr>
      <w:r>
        <w:rPr>
          <w:rFonts w:ascii="宋体" w:hAnsi="宋体" w:eastAsia="宋体" w:cs="宋体"/>
          <w:b/>
          <w:bCs/>
          <w:spacing w:val="8"/>
          <w:sz w:val="20"/>
          <w:szCs w:val="20"/>
        </w:rPr>
        <w:t>九、关于建筑安装工程费中定额人工单价、机械费、规费、疫情防控措施费的说明</w:t>
      </w:r>
    </w:p>
    <w:p>
      <w:pPr>
        <w:spacing w:before="146" w:line="277" w:lineRule="exact"/>
        <w:ind w:left="414"/>
        <w:rPr>
          <w:rFonts w:ascii="宋体" w:hAnsi="宋体" w:eastAsia="宋体" w:cs="宋体"/>
          <w:sz w:val="20"/>
          <w:szCs w:val="20"/>
        </w:rPr>
      </w:pPr>
      <w:r>
        <w:rPr>
          <w:rFonts w:ascii="宋体" w:hAnsi="宋体" w:eastAsia="宋体" w:cs="宋体"/>
          <w:spacing w:val="10"/>
          <w:position w:val="1"/>
          <w:sz w:val="20"/>
          <w:szCs w:val="20"/>
        </w:rPr>
        <w:t>（一）定额人工单价的说明</w:t>
      </w:r>
    </w:p>
    <w:p>
      <w:pPr>
        <w:spacing w:before="115" w:line="357" w:lineRule="auto"/>
        <w:ind w:left="2" w:firstLine="422"/>
        <w:rPr>
          <w:rFonts w:ascii="宋体" w:hAnsi="宋体" w:eastAsia="宋体" w:cs="宋体"/>
          <w:sz w:val="20"/>
          <w:szCs w:val="20"/>
        </w:rPr>
      </w:pPr>
      <w:r>
        <w:rPr>
          <w:rFonts w:ascii="宋体" w:hAnsi="宋体" w:eastAsia="宋体" w:cs="宋体"/>
          <w:spacing w:val="6"/>
          <w:sz w:val="20"/>
          <w:szCs w:val="20"/>
        </w:rPr>
        <w:t>2020</w:t>
      </w:r>
      <w:r>
        <w:rPr>
          <w:rFonts w:ascii="宋体" w:hAnsi="宋体" w:eastAsia="宋体" w:cs="宋体"/>
          <w:spacing w:val="-38"/>
          <w:sz w:val="20"/>
          <w:szCs w:val="20"/>
        </w:rPr>
        <w:t xml:space="preserve"> </w:t>
      </w:r>
      <w:r>
        <w:rPr>
          <w:rFonts w:ascii="宋体" w:hAnsi="宋体" w:eastAsia="宋体" w:cs="宋体"/>
          <w:spacing w:val="6"/>
          <w:sz w:val="20"/>
          <w:szCs w:val="20"/>
        </w:rPr>
        <w:t>年</w:t>
      </w:r>
      <w:r>
        <w:rPr>
          <w:rFonts w:ascii="宋体" w:hAnsi="宋体" w:eastAsia="宋体" w:cs="宋体"/>
          <w:spacing w:val="-25"/>
          <w:sz w:val="20"/>
          <w:szCs w:val="20"/>
        </w:rPr>
        <w:t xml:space="preserve"> </w:t>
      </w:r>
      <w:r>
        <w:rPr>
          <w:rFonts w:ascii="宋体" w:hAnsi="宋体" w:eastAsia="宋体" w:cs="宋体"/>
          <w:spacing w:val="6"/>
          <w:sz w:val="20"/>
          <w:szCs w:val="20"/>
        </w:rPr>
        <w:t>11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10 日，山东省住房和城乡建设厅发布《关于调整建设工程定额人工单价及各</w:t>
      </w:r>
      <w:r>
        <w:rPr>
          <w:rFonts w:ascii="宋体" w:hAnsi="宋体" w:eastAsia="宋体" w:cs="宋体"/>
          <w:spacing w:val="5"/>
          <w:sz w:val="20"/>
          <w:szCs w:val="20"/>
        </w:rPr>
        <w:t>专业</w:t>
      </w:r>
      <w:r>
        <w:rPr>
          <w:rFonts w:ascii="宋体" w:hAnsi="宋体" w:eastAsia="宋体" w:cs="宋体"/>
          <w:spacing w:val="7"/>
          <w:sz w:val="20"/>
          <w:szCs w:val="20"/>
        </w:rPr>
        <w:t>定额价目表的通知》（鲁建标字〔2020〕24</w:t>
      </w:r>
      <w:r>
        <w:rPr>
          <w:rFonts w:ascii="宋体" w:hAnsi="宋体" w:eastAsia="宋体" w:cs="宋体"/>
          <w:spacing w:val="-33"/>
          <w:sz w:val="20"/>
          <w:szCs w:val="20"/>
        </w:rPr>
        <w:t xml:space="preserve"> </w:t>
      </w:r>
      <w:r>
        <w:rPr>
          <w:rFonts w:ascii="宋体" w:hAnsi="宋体" w:eastAsia="宋体" w:cs="宋体"/>
          <w:spacing w:val="7"/>
          <w:sz w:val="20"/>
          <w:szCs w:val="20"/>
        </w:rPr>
        <w:t>号）规定：2018</w:t>
      </w:r>
      <w:r>
        <w:rPr>
          <w:rFonts w:ascii="宋体" w:hAnsi="宋体" w:eastAsia="宋体" w:cs="宋体"/>
          <w:spacing w:val="-38"/>
          <w:sz w:val="20"/>
          <w:szCs w:val="20"/>
        </w:rPr>
        <w:t xml:space="preserve"> </w:t>
      </w:r>
      <w:r>
        <w:rPr>
          <w:rFonts w:ascii="宋体" w:hAnsi="宋体" w:eastAsia="宋体" w:cs="宋体"/>
          <w:spacing w:val="7"/>
          <w:sz w:val="20"/>
          <w:szCs w:val="20"/>
        </w:rPr>
        <w:t>版建筑、安装、市政工程概算定额（鲁</w:t>
      </w:r>
    </w:p>
    <w:p>
      <w:pPr>
        <w:spacing w:line="357" w:lineRule="auto"/>
        <w:rPr>
          <w:rFonts w:ascii="宋体" w:hAnsi="宋体" w:eastAsia="宋体" w:cs="宋体"/>
          <w:sz w:val="20"/>
          <w:szCs w:val="20"/>
        </w:rPr>
        <w:sectPr>
          <w:footerReference r:id="rId16" w:type="default"/>
          <w:pgSz w:w="11905" w:h="16840"/>
          <w:pgMar w:top="1378" w:right="1419" w:bottom="1213" w:left="1416" w:header="0" w:footer="898" w:gutter="0"/>
        </w:sectPr>
      </w:pPr>
    </w:p>
    <w:p>
      <w:pPr>
        <w:spacing w:before="116" w:line="359" w:lineRule="auto"/>
        <w:ind w:left="1" w:right="105"/>
        <w:jc w:val="both"/>
        <w:rPr>
          <w:rFonts w:ascii="宋体" w:hAnsi="宋体" w:eastAsia="宋体" w:cs="宋体"/>
          <w:sz w:val="20"/>
          <w:szCs w:val="20"/>
        </w:rPr>
      </w:pPr>
      <w:bookmarkStart w:id="11" w:name="bookmark137"/>
      <w:bookmarkEnd w:id="11"/>
      <w:r>
        <w:rPr>
          <w:rFonts w:ascii="宋体" w:hAnsi="宋体" w:eastAsia="宋体" w:cs="宋体"/>
          <w:spacing w:val="4"/>
          <w:sz w:val="20"/>
          <w:szCs w:val="20"/>
        </w:rPr>
        <w:t>建标字〔2018〕29</w:t>
      </w:r>
      <w:r>
        <w:rPr>
          <w:rFonts w:ascii="宋体" w:hAnsi="宋体" w:eastAsia="宋体" w:cs="宋体"/>
          <w:spacing w:val="-32"/>
          <w:sz w:val="20"/>
          <w:szCs w:val="20"/>
        </w:rPr>
        <w:t xml:space="preserve"> </w:t>
      </w:r>
      <w:r>
        <w:rPr>
          <w:rFonts w:ascii="宋体" w:hAnsi="宋体" w:eastAsia="宋体" w:cs="宋体"/>
          <w:spacing w:val="4"/>
          <w:sz w:val="20"/>
          <w:szCs w:val="20"/>
        </w:rPr>
        <w:t>号）</w:t>
      </w:r>
      <w:r>
        <w:rPr>
          <w:rFonts w:ascii="宋体" w:hAnsi="宋体" w:eastAsia="宋体" w:cs="宋体"/>
          <w:spacing w:val="-58"/>
          <w:sz w:val="20"/>
          <w:szCs w:val="20"/>
        </w:rPr>
        <w:t xml:space="preserve"> </w:t>
      </w:r>
      <w:r>
        <w:rPr>
          <w:rFonts w:ascii="宋体" w:hAnsi="宋体" w:eastAsia="宋体" w:cs="宋体"/>
          <w:spacing w:val="4"/>
          <w:sz w:val="20"/>
          <w:szCs w:val="20"/>
        </w:rPr>
        <w:t>中的综合工日单价调整为：建筑工程</w:t>
      </w:r>
      <w:r>
        <w:rPr>
          <w:rFonts w:ascii="宋体" w:hAnsi="宋体" w:eastAsia="宋体" w:cs="宋体"/>
          <w:spacing w:val="-23"/>
          <w:sz w:val="20"/>
          <w:szCs w:val="20"/>
        </w:rPr>
        <w:t xml:space="preserve"> </w:t>
      </w:r>
      <w:r>
        <w:rPr>
          <w:rFonts w:ascii="宋体" w:hAnsi="宋体" w:eastAsia="宋体" w:cs="宋体"/>
          <w:spacing w:val="4"/>
          <w:sz w:val="20"/>
          <w:szCs w:val="20"/>
        </w:rPr>
        <w:t>128</w:t>
      </w:r>
      <w:r>
        <w:rPr>
          <w:rFonts w:ascii="宋体" w:hAnsi="宋体" w:eastAsia="宋体" w:cs="宋体"/>
          <w:spacing w:val="-40"/>
          <w:sz w:val="20"/>
          <w:szCs w:val="20"/>
        </w:rPr>
        <w:t xml:space="preserve"> </w:t>
      </w:r>
      <w:r>
        <w:rPr>
          <w:rFonts w:ascii="宋体" w:hAnsi="宋体" w:eastAsia="宋体" w:cs="宋体"/>
          <w:spacing w:val="4"/>
          <w:sz w:val="20"/>
          <w:szCs w:val="20"/>
        </w:rPr>
        <w:t>元/工日</w:t>
      </w:r>
      <w:r>
        <w:rPr>
          <w:rFonts w:ascii="宋体" w:hAnsi="宋体" w:eastAsia="宋体" w:cs="宋体"/>
          <w:spacing w:val="-59"/>
          <w:sz w:val="20"/>
          <w:szCs w:val="20"/>
        </w:rPr>
        <w:t xml:space="preserve"> </w:t>
      </w:r>
      <w:r>
        <w:rPr>
          <w:rFonts w:ascii="宋体" w:hAnsi="宋体" w:eastAsia="宋体" w:cs="宋体"/>
          <w:spacing w:val="4"/>
          <w:sz w:val="20"/>
          <w:szCs w:val="20"/>
        </w:rPr>
        <w:t>，装饰工程</w:t>
      </w:r>
      <w:r>
        <w:rPr>
          <w:rFonts w:ascii="宋体" w:hAnsi="宋体" w:eastAsia="宋体" w:cs="宋体"/>
          <w:spacing w:val="-20"/>
          <w:sz w:val="20"/>
          <w:szCs w:val="20"/>
        </w:rPr>
        <w:t xml:space="preserve"> </w:t>
      </w:r>
      <w:r>
        <w:rPr>
          <w:rFonts w:ascii="宋体" w:hAnsi="宋体" w:eastAsia="宋体" w:cs="宋体"/>
          <w:spacing w:val="4"/>
          <w:sz w:val="20"/>
          <w:szCs w:val="20"/>
        </w:rPr>
        <w:t>138</w:t>
      </w:r>
      <w:r>
        <w:rPr>
          <w:rFonts w:ascii="宋体" w:hAnsi="宋体" w:eastAsia="宋体" w:cs="宋体"/>
          <w:spacing w:val="-40"/>
          <w:sz w:val="20"/>
          <w:szCs w:val="20"/>
        </w:rPr>
        <w:t xml:space="preserve"> </w:t>
      </w:r>
      <w:r>
        <w:rPr>
          <w:rFonts w:ascii="宋体" w:hAnsi="宋体" w:eastAsia="宋体" w:cs="宋体"/>
          <w:spacing w:val="4"/>
          <w:sz w:val="20"/>
          <w:szCs w:val="20"/>
        </w:rPr>
        <w:t>元/工日</w:t>
      </w:r>
      <w:r>
        <w:rPr>
          <w:rFonts w:ascii="宋体" w:hAnsi="宋体" w:eastAsia="宋体" w:cs="宋体"/>
          <w:spacing w:val="-60"/>
          <w:sz w:val="20"/>
          <w:szCs w:val="20"/>
        </w:rPr>
        <w:t xml:space="preserve"> </w:t>
      </w:r>
      <w:r>
        <w:rPr>
          <w:rFonts w:ascii="宋体" w:hAnsi="宋体" w:eastAsia="宋体" w:cs="宋体"/>
          <w:spacing w:val="4"/>
          <w:sz w:val="20"/>
          <w:szCs w:val="20"/>
        </w:rPr>
        <w:t>，安装工程</w:t>
      </w:r>
      <w:r>
        <w:rPr>
          <w:rFonts w:ascii="宋体" w:hAnsi="宋体" w:eastAsia="宋体" w:cs="宋体"/>
          <w:spacing w:val="-16"/>
          <w:sz w:val="20"/>
          <w:szCs w:val="20"/>
        </w:rPr>
        <w:t xml:space="preserve"> </w:t>
      </w:r>
      <w:r>
        <w:rPr>
          <w:rFonts w:ascii="宋体" w:hAnsi="宋体" w:eastAsia="宋体" w:cs="宋体"/>
          <w:spacing w:val="4"/>
          <w:sz w:val="20"/>
          <w:szCs w:val="20"/>
        </w:rPr>
        <w:t>138</w:t>
      </w:r>
      <w:r>
        <w:rPr>
          <w:rFonts w:ascii="宋体" w:hAnsi="宋体" w:eastAsia="宋体" w:cs="宋体"/>
          <w:spacing w:val="-43"/>
          <w:sz w:val="20"/>
          <w:szCs w:val="20"/>
        </w:rPr>
        <w:t xml:space="preserve"> </w:t>
      </w:r>
      <w:r>
        <w:rPr>
          <w:rFonts w:ascii="宋体" w:hAnsi="宋体" w:eastAsia="宋体" w:cs="宋体"/>
          <w:spacing w:val="4"/>
          <w:sz w:val="20"/>
          <w:szCs w:val="20"/>
        </w:rPr>
        <w:t>元/工日，市政工程</w:t>
      </w:r>
      <w:r>
        <w:rPr>
          <w:rFonts w:ascii="宋体" w:hAnsi="宋体" w:eastAsia="宋体" w:cs="宋体"/>
          <w:spacing w:val="-22"/>
          <w:sz w:val="20"/>
          <w:szCs w:val="20"/>
        </w:rPr>
        <w:t xml:space="preserve"> </w:t>
      </w:r>
      <w:r>
        <w:rPr>
          <w:rFonts w:ascii="宋体" w:hAnsi="宋体" w:eastAsia="宋体" w:cs="宋体"/>
          <w:spacing w:val="4"/>
          <w:sz w:val="20"/>
          <w:szCs w:val="20"/>
        </w:rPr>
        <w:t>117</w:t>
      </w:r>
      <w:r>
        <w:rPr>
          <w:rFonts w:ascii="宋体" w:hAnsi="宋体" w:eastAsia="宋体" w:cs="宋体"/>
          <w:spacing w:val="-43"/>
          <w:sz w:val="20"/>
          <w:szCs w:val="20"/>
        </w:rPr>
        <w:t xml:space="preserve"> </w:t>
      </w:r>
      <w:r>
        <w:rPr>
          <w:rFonts w:ascii="宋体" w:hAnsi="宋体" w:eastAsia="宋体" w:cs="宋体"/>
          <w:spacing w:val="4"/>
          <w:sz w:val="20"/>
          <w:szCs w:val="20"/>
        </w:rPr>
        <w:t>元/工日。《山东省建设工程施工机械台班费用编制规则》（鲁</w:t>
      </w:r>
      <w:r>
        <w:rPr>
          <w:rFonts w:ascii="宋体" w:hAnsi="宋体" w:eastAsia="宋体" w:cs="宋体"/>
          <w:spacing w:val="5"/>
          <w:sz w:val="20"/>
          <w:szCs w:val="20"/>
        </w:rPr>
        <w:t>建标字〔2016〕39</w:t>
      </w:r>
      <w:r>
        <w:rPr>
          <w:rFonts w:ascii="宋体" w:hAnsi="宋体" w:eastAsia="宋体" w:cs="宋体"/>
          <w:spacing w:val="-40"/>
          <w:sz w:val="20"/>
          <w:szCs w:val="20"/>
        </w:rPr>
        <w:t xml:space="preserve"> </w:t>
      </w:r>
      <w:r>
        <w:rPr>
          <w:rFonts w:ascii="宋体" w:hAnsi="宋体" w:eastAsia="宋体" w:cs="宋体"/>
          <w:spacing w:val="5"/>
          <w:sz w:val="20"/>
          <w:szCs w:val="20"/>
        </w:rPr>
        <w:t>号）中的人工单价调</w:t>
      </w:r>
      <w:r>
        <w:rPr>
          <w:rFonts w:ascii="宋体" w:hAnsi="宋体" w:eastAsia="宋体" w:cs="宋体"/>
          <w:spacing w:val="4"/>
          <w:sz w:val="20"/>
          <w:szCs w:val="20"/>
        </w:rPr>
        <w:t>整为</w:t>
      </w:r>
      <w:r>
        <w:rPr>
          <w:rFonts w:ascii="宋体" w:hAnsi="宋体" w:eastAsia="宋体" w:cs="宋体"/>
          <w:spacing w:val="-22"/>
          <w:sz w:val="20"/>
          <w:szCs w:val="20"/>
        </w:rPr>
        <w:t xml:space="preserve"> </w:t>
      </w:r>
      <w:r>
        <w:rPr>
          <w:rFonts w:ascii="宋体" w:hAnsi="宋体" w:eastAsia="宋体" w:cs="宋体"/>
          <w:spacing w:val="4"/>
          <w:sz w:val="20"/>
          <w:szCs w:val="20"/>
        </w:rPr>
        <w:t>130</w:t>
      </w:r>
      <w:r>
        <w:rPr>
          <w:rFonts w:ascii="宋体" w:hAnsi="宋体" w:eastAsia="宋体" w:cs="宋体"/>
          <w:spacing w:val="-43"/>
          <w:sz w:val="20"/>
          <w:szCs w:val="20"/>
        </w:rPr>
        <w:t xml:space="preserve"> </w:t>
      </w:r>
      <w:r>
        <w:rPr>
          <w:rFonts w:ascii="宋体" w:hAnsi="宋体" w:eastAsia="宋体" w:cs="宋体"/>
          <w:spacing w:val="4"/>
          <w:sz w:val="20"/>
          <w:szCs w:val="20"/>
        </w:rPr>
        <w:t>元/工日。</w:t>
      </w:r>
    </w:p>
    <w:p>
      <w:pPr>
        <w:spacing w:before="6" w:line="358" w:lineRule="auto"/>
        <w:ind w:left="3" w:right="105" w:firstLine="421"/>
        <w:rPr>
          <w:rFonts w:ascii="宋体" w:hAnsi="宋体" w:eastAsia="宋体" w:cs="宋体"/>
          <w:sz w:val="20"/>
          <w:szCs w:val="20"/>
        </w:rPr>
      </w:pPr>
      <w:r>
        <w:rPr>
          <w:rFonts w:ascii="宋体" w:hAnsi="宋体" w:eastAsia="宋体" w:cs="宋体"/>
          <w:spacing w:val="11"/>
          <w:sz w:val="20"/>
          <w:szCs w:val="20"/>
        </w:rPr>
        <w:t>我市编制工程概算，人工单价采用省发布的各专业定额人工综合工日单</w:t>
      </w:r>
      <w:r>
        <w:rPr>
          <w:rFonts w:ascii="宋体" w:hAnsi="宋体" w:eastAsia="宋体" w:cs="宋体"/>
          <w:spacing w:val="10"/>
          <w:sz w:val="20"/>
          <w:szCs w:val="20"/>
        </w:rPr>
        <w:t>价，省价人工费应作为</w:t>
      </w:r>
      <w:r>
        <w:rPr>
          <w:rFonts w:ascii="宋体" w:hAnsi="宋体" w:eastAsia="宋体" w:cs="宋体"/>
          <w:spacing w:val="9"/>
          <w:sz w:val="20"/>
          <w:szCs w:val="20"/>
        </w:rPr>
        <w:t>概算工程造价中总价措施费、企业管理费、利润等各项费用的计算基础。</w:t>
      </w:r>
    </w:p>
    <w:p>
      <w:pPr>
        <w:spacing w:line="276" w:lineRule="exact"/>
        <w:ind w:left="413"/>
        <w:rPr>
          <w:rFonts w:ascii="宋体" w:hAnsi="宋体" w:eastAsia="宋体" w:cs="宋体"/>
          <w:sz w:val="20"/>
          <w:szCs w:val="20"/>
        </w:rPr>
      </w:pPr>
      <w:r>
        <w:rPr>
          <w:rFonts w:ascii="宋体" w:hAnsi="宋体" w:eastAsia="宋体" w:cs="宋体"/>
          <w:spacing w:val="10"/>
          <w:position w:val="1"/>
          <w:sz w:val="20"/>
          <w:szCs w:val="20"/>
        </w:rPr>
        <w:t>（二）机械费的说明</w:t>
      </w:r>
    </w:p>
    <w:p>
      <w:pPr>
        <w:spacing w:before="115" w:line="359" w:lineRule="auto"/>
        <w:ind w:left="18" w:right="105" w:firstLine="401"/>
        <w:jc w:val="both"/>
        <w:rPr>
          <w:rFonts w:ascii="宋体" w:hAnsi="宋体" w:eastAsia="宋体" w:cs="宋体"/>
          <w:sz w:val="20"/>
          <w:szCs w:val="20"/>
        </w:rPr>
      </w:pPr>
      <w:r>
        <w:rPr>
          <w:rFonts w:ascii="宋体" w:hAnsi="宋体" w:eastAsia="宋体" w:cs="宋体"/>
          <w:spacing w:val="9"/>
          <w:sz w:val="20"/>
          <w:szCs w:val="20"/>
        </w:rPr>
        <w:t>施工机械台班、仪器仪表台班单价执行鲁建标字〔2020〕24</w:t>
      </w:r>
      <w:r>
        <w:rPr>
          <w:rFonts w:ascii="宋体" w:hAnsi="宋体" w:eastAsia="宋体" w:cs="宋体"/>
          <w:spacing w:val="-39"/>
          <w:sz w:val="20"/>
          <w:szCs w:val="20"/>
        </w:rPr>
        <w:t xml:space="preserve"> </w:t>
      </w:r>
      <w:r>
        <w:rPr>
          <w:rFonts w:ascii="宋体" w:hAnsi="宋体" w:eastAsia="宋体" w:cs="宋体"/>
          <w:spacing w:val="9"/>
          <w:sz w:val="20"/>
          <w:szCs w:val="20"/>
        </w:rPr>
        <w:t>号文件，</w:t>
      </w:r>
      <w:r>
        <w:rPr>
          <w:rFonts w:ascii="宋体" w:hAnsi="宋体" w:eastAsia="宋体" w:cs="宋体"/>
          <w:spacing w:val="8"/>
          <w:sz w:val="20"/>
          <w:szCs w:val="20"/>
        </w:rPr>
        <w:t>其中安装工程概算定额中</w:t>
      </w:r>
      <w:r>
        <w:rPr>
          <w:rFonts w:ascii="宋体" w:hAnsi="宋体" w:eastAsia="宋体" w:cs="宋体"/>
          <w:spacing w:val="9"/>
          <w:sz w:val="20"/>
          <w:szCs w:val="20"/>
        </w:rPr>
        <w:t>的机械费按发布时价格乘以系数</w:t>
      </w:r>
      <w:r>
        <w:rPr>
          <w:rFonts w:ascii="宋体" w:hAnsi="宋体" w:eastAsia="宋体" w:cs="宋体"/>
          <w:spacing w:val="-20"/>
          <w:sz w:val="20"/>
          <w:szCs w:val="20"/>
        </w:rPr>
        <w:t xml:space="preserve"> </w:t>
      </w:r>
      <w:r>
        <w:rPr>
          <w:rFonts w:ascii="宋体" w:hAnsi="宋体" w:eastAsia="宋体" w:cs="宋体"/>
          <w:spacing w:val="9"/>
          <w:sz w:val="20"/>
          <w:szCs w:val="20"/>
        </w:rPr>
        <w:t>1.059</w:t>
      </w:r>
      <w:r>
        <w:rPr>
          <w:rFonts w:ascii="宋体" w:hAnsi="宋体" w:eastAsia="宋体" w:cs="宋体"/>
          <w:spacing w:val="-38"/>
          <w:sz w:val="20"/>
          <w:szCs w:val="20"/>
        </w:rPr>
        <w:t xml:space="preserve"> </w:t>
      </w:r>
      <w:r>
        <w:rPr>
          <w:rFonts w:ascii="宋体" w:hAnsi="宋体" w:eastAsia="宋体" w:cs="宋体"/>
          <w:spacing w:val="9"/>
          <w:sz w:val="20"/>
          <w:szCs w:val="20"/>
        </w:rPr>
        <w:t>计算，市政工程概算定额中的机械费按发布时价格乘以系数</w:t>
      </w:r>
      <w:r>
        <w:rPr>
          <w:rFonts w:ascii="宋体" w:hAnsi="宋体" w:eastAsia="宋体" w:cs="宋体"/>
          <w:spacing w:val="-6"/>
          <w:sz w:val="20"/>
          <w:szCs w:val="20"/>
        </w:rPr>
        <w:t>1.049</w:t>
      </w:r>
      <w:r>
        <w:rPr>
          <w:rFonts w:ascii="宋体" w:hAnsi="宋体" w:eastAsia="宋体" w:cs="宋体"/>
          <w:spacing w:val="-36"/>
          <w:sz w:val="20"/>
          <w:szCs w:val="20"/>
        </w:rPr>
        <w:t xml:space="preserve"> </w:t>
      </w:r>
      <w:r>
        <w:rPr>
          <w:rFonts w:ascii="宋体" w:hAnsi="宋体" w:eastAsia="宋体" w:cs="宋体"/>
          <w:spacing w:val="-6"/>
          <w:sz w:val="20"/>
          <w:szCs w:val="20"/>
        </w:rPr>
        <w:t>计算。</w:t>
      </w:r>
    </w:p>
    <w:p>
      <w:pPr>
        <w:spacing w:before="1" w:line="279" w:lineRule="exact"/>
        <w:ind w:left="413"/>
        <w:rPr>
          <w:rFonts w:ascii="宋体" w:hAnsi="宋体" w:eastAsia="宋体" w:cs="宋体"/>
          <w:sz w:val="20"/>
          <w:szCs w:val="20"/>
        </w:rPr>
      </w:pPr>
      <w:r>
        <w:rPr>
          <w:rFonts w:ascii="宋体" w:hAnsi="宋体" w:eastAsia="宋体" w:cs="宋体"/>
          <w:spacing w:val="10"/>
          <w:position w:val="1"/>
          <w:sz w:val="20"/>
          <w:szCs w:val="20"/>
        </w:rPr>
        <w:t>（三）规费的计取</w:t>
      </w:r>
    </w:p>
    <w:p>
      <w:pPr>
        <w:spacing w:before="113" w:line="277" w:lineRule="exact"/>
        <w:ind w:left="440"/>
        <w:rPr>
          <w:rFonts w:ascii="宋体" w:hAnsi="宋体" w:eastAsia="宋体" w:cs="宋体"/>
          <w:sz w:val="20"/>
          <w:szCs w:val="20"/>
        </w:rPr>
      </w:pPr>
      <w:r>
        <w:rPr>
          <w:rFonts w:ascii="宋体" w:hAnsi="宋体" w:eastAsia="宋体" w:cs="宋体"/>
          <w:position w:val="1"/>
          <w:sz w:val="20"/>
          <w:szCs w:val="20"/>
        </w:rPr>
        <w:t>1. 安全文明施工费</w:t>
      </w:r>
    </w:p>
    <w:p>
      <w:pPr>
        <w:spacing w:before="111" w:line="360" w:lineRule="auto"/>
        <w:ind w:left="3" w:firstLine="425"/>
        <w:rPr>
          <w:rFonts w:ascii="宋体" w:hAnsi="宋体" w:eastAsia="宋体" w:cs="宋体"/>
          <w:sz w:val="20"/>
          <w:szCs w:val="20"/>
        </w:rPr>
      </w:pPr>
      <w:r>
        <w:rPr>
          <w:rFonts w:ascii="宋体" w:hAnsi="宋体" w:eastAsia="宋体" w:cs="宋体"/>
          <w:spacing w:val="8"/>
          <w:sz w:val="20"/>
          <w:szCs w:val="20"/>
        </w:rPr>
        <w:t>费率执行山东省住房和城乡建设厅《关于调整建设工程安全施工费的通知》（鲁</w:t>
      </w:r>
      <w:r>
        <w:rPr>
          <w:rFonts w:ascii="宋体" w:hAnsi="宋体" w:eastAsia="宋体" w:cs="宋体"/>
          <w:spacing w:val="7"/>
          <w:sz w:val="20"/>
          <w:szCs w:val="20"/>
        </w:rPr>
        <w:t>建标字〔2023〕</w:t>
      </w:r>
      <w:r>
        <w:rPr>
          <w:rFonts w:ascii="宋体" w:hAnsi="宋体" w:eastAsia="宋体" w:cs="宋体"/>
          <w:sz w:val="20"/>
          <w:szCs w:val="20"/>
        </w:rPr>
        <w:t xml:space="preserve"> </w:t>
      </w:r>
      <w:r>
        <w:rPr>
          <w:rFonts w:ascii="宋体" w:hAnsi="宋体" w:eastAsia="宋体" w:cs="宋体"/>
          <w:spacing w:val="8"/>
          <w:sz w:val="20"/>
          <w:szCs w:val="20"/>
        </w:rPr>
        <w:t>2</w:t>
      </w:r>
      <w:r>
        <w:rPr>
          <w:rFonts w:ascii="宋体" w:hAnsi="宋体" w:eastAsia="宋体" w:cs="宋体"/>
          <w:spacing w:val="-25"/>
          <w:sz w:val="20"/>
          <w:szCs w:val="20"/>
        </w:rPr>
        <w:t xml:space="preserve"> </w:t>
      </w:r>
      <w:r>
        <w:rPr>
          <w:rFonts w:ascii="宋体" w:hAnsi="宋体" w:eastAsia="宋体" w:cs="宋体"/>
          <w:spacing w:val="8"/>
          <w:sz w:val="20"/>
          <w:szCs w:val="20"/>
        </w:rPr>
        <w:t>号）文件规定，安全生产责任保险费用不单独计算。</w:t>
      </w:r>
    </w:p>
    <w:p>
      <w:pPr>
        <w:spacing w:line="277" w:lineRule="exact"/>
        <w:ind w:left="423"/>
        <w:rPr>
          <w:rFonts w:ascii="宋体" w:hAnsi="宋体" w:eastAsia="宋体" w:cs="宋体"/>
          <w:sz w:val="20"/>
          <w:szCs w:val="20"/>
        </w:rPr>
      </w:pPr>
      <w:r>
        <w:rPr>
          <w:rFonts w:ascii="宋体" w:hAnsi="宋体" w:eastAsia="宋体" w:cs="宋体"/>
          <w:position w:val="1"/>
          <w:sz w:val="20"/>
          <w:szCs w:val="20"/>
        </w:rPr>
        <w:t>2. 社会保险费</w:t>
      </w:r>
    </w:p>
    <w:p>
      <w:pPr>
        <w:spacing w:before="115" w:line="357" w:lineRule="auto"/>
        <w:ind w:left="3" w:right="99" w:firstLine="416"/>
        <w:rPr>
          <w:rFonts w:ascii="宋体" w:hAnsi="宋体" w:eastAsia="宋体" w:cs="宋体"/>
          <w:sz w:val="20"/>
          <w:szCs w:val="20"/>
        </w:rPr>
      </w:pPr>
      <w:r>
        <w:rPr>
          <w:rFonts w:ascii="宋体" w:hAnsi="宋体" w:eastAsia="宋体" w:cs="宋体"/>
          <w:spacing w:val="11"/>
          <w:sz w:val="20"/>
          <w:szCs w:val="20"/>
        </w:rPr>
        <w:t>按山东省住房和城乡建设厅《关于调整建设工程费用规则的通知》（鲁建标字〔2022〕7</w:t>
      </w:r>
      <w:r>
        <w:rPr>
          <w:rFonts w:ascii="宋体" w:hAnsi="宋体" w:eastAsia="宋体" w:cs="宋体"/>
          <w:spacing w:val="-22"/>
          <w:sz w:val="20"/>
          <w:szCs w:val="20"/>
        </w:rPr>
        <w:t xml:space="preserve"> </w:t>
      </w:r>
      <w:r>
        <w:rPr>
          <w:rFonts w:ascii="宋体" w:hAnsi="宋体" w:eastAsia="宋体" w:cs="宋体"/>
          <w:spacing w:val="11"/>
          <w:sz w:val="20"/>
          <w:szCs w:val="20"/>
        </w:rPr>
        <w:t>号）</w:t>
      </w:r>
      <w:r>
        <w:rPr>
          <w:rFonts w:ascii="宋体" w:hAnsi="宋体" w:eastAsia="宋体" w:cs="宋体"/>
          <w:spacing w:val="8"/>
          <w:sz w:val="20"/>
          <w:szCs w:val="20"/>
        </w:rPr>
        <w:t>文件规定执行。编制概算按规费前工程造价的</w:t>
      </w:r>
      <w:r>
        <w:rPr>
          <w:rFonts w:ascii="宋体" w:hAnsi="宋体" w:eastAsia="宋体" w:cs="宋体"/>
          <w:spacing w:val="-21"/>
          <w:sz w:val="20"/>
          <w:szCs w:val="20"/>
        </w:rPr>
        <w:t xml:space="preserve"> </w:t>
      </w:r>
      <w:r>
        <w:rPr>
          <w:rFonts w:ascii="宋体" w:hAnsi="宋体" w:eastAsia="宋体" w:cs="宋体"/>
          <w:spacing w:val="8"/>
          <w:sz w:val="20"/>
          <w:szCs w:val="20"/>
        </w:rPr>
        <w:t>1.52%计取。</w:t>
      </w:r>
    </w:p>
    <w:p>
      <w:pPr>
        <w:spacing w:before="6" w:line="279" w:lineRule="exact"/>
        <w:ind w:left="426"/>
        <w:rPr>
          <w:rFonts w:ascii="宋体" w:hAnsi="宋体" w:eastAsia="宋体" w:cs="宋体"/>
          <w:sz w:val="20"/>
          <w:szCs w:val="20"/>
        </w:rPr>
      </w:pPr>
      <w:r>
        <w:rPr>
          <w:rFonts w:ascii="宋体" w:hAnsi="宋体" w:eastAsia="宋体" w:cs="宋体"/>
          <w:position w:val="1"/>
          <w:sz w:val="20"/>
          <w:szCs w:val="20"/>
        </w:rPr>
        <w:t>3. 住房公积金</w:t>
      </w:r>
    </w:p>
    <w:p>
      <w:pPr>
        <w:spacing w:before="111" w:line="359" w:lineRule="auto"/>
        <w:ind w:left="20" w:firstLine="400"/>
        <w:rPr>
          <w:rFonts w:ascii="宋体" w:hAnsi="宋体" w:eastAsia="宋体" w:cs="宋体"/>
          <w:sz w:val="20"/>
          <w:szCs w:val="20"/>
        </w:rPr>
      </w:pPr>
      <w:r>
        <w:rPr>
          <w:rFonts w:ascii="宋体" w:hAnsi="宋体" w:eastAsia="宋体" w:cs="宋体"/>
          <w:spacing w:val="8"/>
          <w:sz w:val="20"/>
          <w:szCs w:val="20"/>
        </w:rPr>
        <w:t>按淄博市住房和城乡建设局《关于发布淄博市建设工程规费计取标准的通知》（淄建发〔202</w:t>
      </w:r>
      <w:r>
        <w:rPr>
          <w:rFonts w:ascii="宋体" w:hAnsi="宋体" w:eastAsia="宋体" w:cs="宋体"/>
          <w:spacing w:val="7"/>
          <w:sz w:val="20"/>
          <w:szCs w:val="20"/>
        </w:rPr>
        <w:t>2〕</w:t>
      </w:r>
      <w:r>
        <w:rPr>
          <w:rFonts w:ascii="宋体" w:hAnsi="宋体" w:eastAsia="宋体" w:cs="宋体"/>
          <w:sz w:val="20"/>
          <w:szCs w:val="20"/>
        </w:rPr>
        <w:t xml:space="preserve"> </w:t>
      </w:r>
      <w:r>
        <w:rPr>
          <w:rFonts w:ascii="宋体" w:hAnsi="宋体" w:eastAsia="宋体" w:cs="宋体"/>
          <w:spacing w:val="10"/>
          <w:sz w:val="20"/>
          <w:szCs w:val="20"/>
        </w:rPr>
        <w:t>11号）文件规定执行。编制工程概算按省价人</w:t>
      </w:r>
      <w:r>
        <w:rPr>
          <w:rFonts w:ascii="宋体" w:hAnsi="宋体" w:eastAsia="宋体" w:cs="宋体"/>
          <w:spacing w:val="9"/>
          <w:sz w:val="20"/>
          <w:szCs w:val="20"/>
        </w:rPr>
        <w:t>工费之和的</w:t>
      </w:r>
      <w:r>
        <w:rPr>
          <w:rFonts w:ascii="宋体" w:hAnsi="宋体" w:eastAsia="宋体" w:cs="宋体"/>
          <w:spacing w:val="-36"/>
          <w:sz w:val="20"/>
          <w:szCs w:val="20"/>
        </w:rPr>
        <w:t xml:space="preserve"> </w:t>
      </w:r>
      <w:r>
        <w:rPr>
          <w:rFonts w:ascii="宋体" w:hAnsi="宋体" w:eastAsia="宋体" w:cs="宋体"/>
          <w:spacing w:val="9"/>
          <w:sz w:val="20"/>
          <w:szCs w:val="20"/>
        </w:rPr>
        <w:t>3.7%计取。</w:t>
      </w:r>
    </w:p>
    <w:p>
      <w:pPr>
        <w:spacing w:before="1" w:line="278" w:lineRule="exact"/>
        <w:ind w:left="420"/>
        <w:rPr>
          <w:rFonts w:ascii="宋体" w:hAnsi="宋体" w:eastAsia="宋体" w:cs="宋体"/>
          <w:sz w:val="20"/>
          <w:szCs w:val="20"/>
        </w:rPr>
      </w:pPr>
      <w:r>
        <w:rPr>
          <w:rFonts w:ascii="宋体" w:hAnsi="宋体" w:eastAsia="宋体" w:cs="宋体"/>
          <w:spacing w:val="3"/>
          <w:position w:val="1"/>
          <w:sz w:val="20"/>
          <w:szCs w:val="20"/>
        </w:rPr>
        <w:t>4. 建设项目工伤保险</w:t>
      </w:r>
    </w:p>
    <w:p>
      <w:pPr>
        <w:spacing w:before="114" w:line="357" w:lineRule="auto"/>
        <w:ind w:left="3" w:right="99" w:firstLine="416"/>
        <w:rPr>
          <w:rFonts w:ascii="宋体" w:hAnsi="宋体" w:eastAsia="宋体" w:cs="宋体"/>
          <w:sz w:val="20"/>
          <w:szCs w:val="20"/>
        </w:rPr>
      </w:pPr>
      <w:r>
        <w:rPr>
          <w:rFonts w:ascii="宋体" w:hAnsi="宋体" w:eastAsia="宋体" w:cs="宋体"/>
          <w:spacing w:val="11"/>
          <w:sz w:val="20"/>
          <w:szCs w:val="20"/>
        </w:rPr>
        <w:t>按山东省住房和城乡建设厅《关于调整建设工程费用规则的通知》（鲁建标字〔2022〕7</w:t>
      </w:r>
      <w:r>
        <w:rPr>
          <w:rFonts w:ascii="宋体" w:hAnsi="宋体" w:eastAsia="宋体" w:cs="宋体"/>
          <w:spacing w:val="-22"/>
          <w:sz w:val="20"/>
          <w:szCs w:val="20"/>
        </w:rPr>
        <w:t xml:space="preserve"> </w:t>
      </w:r>
      <w:r>
        <w:rPr>
          <w:rFonts w:ascii="宋体" w:hAnsi="宋体" w:eastAsia="宋体" w:cs="宋体"/>
          <w:spacing w:val="11"/>
          <w:sz w:val="20"/>
          <w:szCs w:val="20"/>
        </w:rPr>
        <w:t>号）</w:t>
      </w:r>
      <w:r>
        <w:rPr>
          <w:rFonts w:ascii="宋体" w:hAnsi="宋体" w:eastAsia="宋体" w:cs="宋体"/>
          <w:spacing w:val="8"/>
          <w:sz w:val="20"/>
          <w:szCs w:val="20"/>
        </w:rPr>
        <w:t>文件规定执行。编制概算按规费前工程造价的</w:t>
      </w:r>
      <w:r>
        <w:rPr>
          <w:rFonts w:ascii="宋体" w:hAnsi="宋体" w:eastAsia="宋体" w:cs="宋体"/>
          <w:spacing w:val="-26"/>
          <w:sz w:val="20"/>
          <w:szCs w:val="20"/>
        </w:rPr>
        <w:t xml:space="preserve"> </w:t>
      </w:r>
      <w:r>
        <w:rPr>
          <w:rFonts w:ascii="宋体" w:hAnsi="宋体" w:eastAsia="宋体" w:cs="宋体"/>
          <w:spacing w:val="8"/>
          <w:sz w:val="20"/>
          <w:szCs w:val="20"/>
        </w:rPr>
        <w:t>0.105%计取。</w:t>
      </w:r>
    </w:p>
    <w:p>
      <w:pPr>
        <w:spacing w:before="6" w:line="276" w:lineRule="exact"/>
        <w:ind w:left="423"/>
        <w:rPr>
          <w:rFonts w:ascii="宋体" w:hAnsi="宋体" w:eastAsia="宋体" w:cs="宋体"/>
          <w:sz w:val="20"/>
          <w:szCs w:val="20"/>
        </w:rPr>
      </w:pPr>
      <w:r>
        <w:rPr>
          <w:rFonts w:ascii="宋体" w:hAnsi="宋体" w:eastAsia="宋体" w:cs="宋体"/>
          <w:spacing w:val="1"/>
          <w:position w:val="1"/>
          <w:sz w:val="20"/>
          <w:szCs w:val="20"/>
        </w:rPr>
        <w:t>5. 优质优价费用</w:t>
      </w:r>
    </w:p>
    <w:p>
      <w:pPr>
        <w:spacing w:before="119" w:line="359" w:lineRule="auto"/>
        <w:ind w:left="1" w:firstLine="420"/>
        <w:rPr>
          <w:rFonts w:ascii="宋体" w:hAnsi="宋体" w:eastAsia="宋体" w:cs="宋体"/>
          <w:sz w:val="20"/>
          <w:szCs w:val="20"/>
        </w:rPr>
      </w:pPr>
      <w:r>
        <w:rPr>
          <w:rFonts w:ascii="宋体" w:hAnsi="宋体" w:eastAsia="宋体" w:cs="宋体"/>
          <w:spacing w:val="11"/>
          <w:sz w:val="20"/>
          <w:szCs w:val="20"/>
        </w:rPr>
        <w:t>优质工程包括国家级优质工程、省级优质工程和市级优质工程三类。国家级优</w:t>
      </w:r>
      <w:r>
        <w:rPr>
          <w:rFonts w:ascii="宋体" w:hAnsi="宋体" w:eastAsia="宋体" w:cs="宋体"/>
          <w:spacing w:val="10"/>
          <w:sz w:val="20"/>
          <w:szCs w:val="20"/>
        </w:rPr>
        <w:t>质工程包括中国</w:t>
      </w:r>
      <w:r>
        <w:rPr>
          <w:rFonts w:ascii="宋体" w:hAnsi="宋体" w:eastAsia="宋体" w:cs="宋体"/>
          <w:spacing w:val="11"/>
          <w:sz w:val="20"/>
          <w:szCs w:val="20"/>
        </w:rPr>
        <w:t>建筑工程鲁班奖、中国土木工程詹天佑奖、国家优质工程奖等。省级优质工程</w:t>
      </w:r>
      <w:r>
        <w:rPr>
          <w:rFonts w:ascii="宋体" w:hAnsi="宋体" w:eastAsia="宋体" w:cs="宋体"/>
          <w:spacing w:val="10"/>
          <w:sz w:val="20"/>
          <w:szCs w:val="20"/>
        </w:rPr>
        <w:t>包括山东省建筑工程</w:t>
      </w:r>
      <w:r>
        <w:rPr>
          <w:rFonts w:ascii="宋体" w:hAnsi="宋体" w:eastAsia="宋体" w:cs="宋体"/>
          <w:spacing w:val="11"/>
          <w:sz w:val="20"/>
          <w:szCs w:val="20"/>
        </w:rPr>
        <w:t>质量泰山杯、山东省建筑工程优质结构奖、山东省建筑施工安全文明标准化工</w:t>
      </w:r>
      <w:r>
        <w:rPr>
          <w:rFonts w:ascii="宋体" w:hAnsi="宋体" w:eastAsia="宋体" w:cs="宋体"/>
          <w:spacing w:val="10"/>
          <w:sz w:val="20"/>
          <w:szCs w:val="20"/>
        </w:rPr>
        <w:t>地。市级优质工程是</w:t>
      </w:r>
      <w:r>
        <w:rPr>
          <w:rFonts w:ascii="宋体" w:hAnsi="宋体" w:eastAsia="宋体" w:cs="宋体"/>
          <w:spacing w:val="11"/>
          <w:sz w:val="20"/>
          <w:szCs w:val="20"/>
        </w:rPr>
        <w:t>指由各设区市住房城乡建设主管部门确认的优质工程奖。编制工程概算，优质</w:t>
      </w:r>
      <w:r>
        <w:rPr>
          <w:rFonts w:ascii="宋体" w:hAnsi="宋体" w:eastAsia="宋体" w:cs="宋体"/>
          <w:spacing w:val="10"/>
          <w:sz w:val="20"/>
          <w:szCs w:val="20"/>
        </w:rPr>
        <w:t>优价费用应依据建设</w:t>
      </w:r>
      <w:r>
        <w:rPr>
          <w:rFonts w:ascii="宋体" w:hAnsi="宋体" w:eastAsia="宋体" w:cs="宋体"/>
          <w:spacing w:val="4"/>
          <w:sz w:val="20"/>
          <w:szCs w:val="20"/>
        </w:rPr>
        <w:t>工程创建目标，按山东省住房和城乡建设厅《关于调整建设工程</w:t>
      </w:r>
      <w:r>
        <w:rPr>
          <w:rFonts w:ascii="宋体" w:hAnsi="宋体" w:eastAsia="宋体" w:cs="宋体"/>
          <w:spacing w:val="3"/>
          <w:sz w:val="20"/>
          <w:szCs w:val="20"/>
        </w:rPr>
        <w:t>费用规则的通知》（鲁建标字〔2022〕</w:t>
      </w:r>
      <w:r>
        <w:rPr>
          <w:rFonts w:ascii="宋体" w:hAnsi="宋体" w:eastAsia="宋体" w:cs="宋体"/>
          <w:sz w:val="20"/>
          <w:szCs w:val="20"/>
        </w:rPr>
        <w:t xml:space="preserve"> </w:t>
      </w:r>
      <w:r>
        <w:rPr>
          <w:rFonts w:ascii="宋体" w:hAnsi="宋体" w:eastAsia="宋体" w:cs="宋体"/>
          <w:spacing w:val="7"/>
          <w:sz w:val="20"/>
          <w:szCs w:val="20"/>
        </w:rPr>
        <w:t>7</w:t>
      </w:r>
      <w:r>
        <w:rPr>
          <w:rFonts w:ascii="宋体" w:hAnsi="宋体" w:eastAsia="宋体" w:cs="宋体"/>
          <w:spacing w:val="-38"/>
          <w:sz w:val="20"/>
          <w:szCs w:val="20"/>
        </w:rPr>
        <w:t xml:space="preserve"> </w:t>
      </w:r>
      <w:r>
        <w:rPr>
          <w:rFonts w:ascii="宋体" w:hAnsi="宋体" w:eastAsia="宋体" w:cs="宋体"/>
          <w:spacing w:val="7"/>
          <w:sz w:val="20"/>
          <w:szCs w:val="20"/>
        </w:rPr>
        <w:t>号）发布的费率计列。</w:t>
      </w:r>
    </w:p>
    <w:p>
      <w:pPr>
        <w:spacing w:before="1" w:line="360" w:lineRule="auto"/>
        <w:ind w:left="4" w:right="102" w:firstLine="408"/>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23"/>
          <w:sz w:val="20"/>
          <w:szCs w:val="20"/>
        </w:rPr>
        <w:t xml:space="preserve"> </w:t>
      </w:r>
      <w:r>
        <w:rPr>
          <w:rFonts w:ascii="宋体" w:hAnsi="宋体" w:eastAsia="宋体" w:cs="宋体"/>
          <w:spacing w:val="7"/>
          <w:sz w:val="20"/>
          <w:szCs w:val="20"/>
        </w:rPr>
        <w:t>四）疫情防控措施费：2024</w:t>
      </w:r>
      <w:r>
        <w:rPr>
          <w:rFonts w:ascii="宋体" w:hAnsi="宋体" w:eastAsia="宋体" w:cs="宋体"/>
          <w:spacing w:val="-36"/>
          <w:sz w:val="20"/>
          <w:szCs w:val="20"/>
        </w:rPr>
        <w:t xml:space="preserve"> </w:t>
      </w:r>
      <w:r>
        <w:rPr>
          <w:rFonts w:ascii="宋体" w:hAnsi="宋体" w:eastAsia="宋体" w:cs="宋体"/>
          <w:spacing w:val="7"/>
          <w:sz w:val="20"/>
          <w:szCs w:val="20"/>
        </w:rPr>
        <w:t>年</w:t>
      </w:r>
      <w:r>
        <w:rPr>
          <w:rFonts w:ascii="宋体" w:hAnsi="宋体" w:eastAsia="宋体" w:cs="宋体"/>
          <w:spacing w:val="-34"/>
          <w:sz w:val="20"/>
          <w:szCs w:val="20"/>
        </w:rPr>
        <w:t xml:space="preserve"> </w:t>
      </w:r>
      <w:r>
        <w:rPr>
          <w:rFonts w:ascii="宋体" w:hAnsi="宋体" w:eastAsia="宋体" w:cs="宋体"/>
          <w:spacing w:val="7"/>
          <w:sz w:val="20"/>
          <w:szCs w:val="20"/>
        </w:rPr>
        <w:t>3</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2"/>
          <w:sz w:val="20"/>
          <w:szCs w:val="20"/>
        </w:rPr>
        <w:t xml:space="preserve"> </w:t>
      </w:r>
      <w:r>
        <w:rPr>
          <w:rFonts w:ascii="宋体" w:hAnsi="宋体" w:eastAsia="宋体" w:cs="宋体"/>
          <w:spacing w:val="7"/>
          <w:sz w:val="20"/>
          <w:szCs w:val="20"/>
        </w:rPr>
        <w:t>15 日起，根据《关于不再计列“疫情防控措施费”的通</w:t>
      </w:r>
      <w:r>
        <w:rPr>
          <w:rFonts w:ascii="宋体" w:hAnsi="宋体" w:eastAsia="宋体" w:cs="宋体"/>
          <w:spacing w:val="8"/>
          <w:sz w:val="20"/>
          <w:szCs w:val="20"/>
        </w:rPr>
        <w:t>知》（鲁建标函〔2024〕2</w:t>
      </w:r>
      <w:r>
        <w:rPr>
          <w:rFonts w:ascii="宋体" w:hAnsi="宋体" w:eastAsia="宋体" w:cs="宋体"/>
          <w:spacing w:val="-22"/>
          <w:sz w:val="20"/>
          <w:szCs w:val="20"/>
        </w:rPr>
        <w:t xml:space="preserve"> </w:t>
      </w:r>
      <w:r>
        <w:rPr>
          <w:rFonts w:ascii="宋体" w:hAnsi="宋体" w:eastAsia="宋体" w:cs="宋体"/>
          <w:spacing w:val="8"/>
          <w:sz w:val="20"/>
          <w:szCs w:val="20"/>
        </w:rPr>
        <w:t>号）有关政策要求，不再计列“疫情防控措施费”。</w:t>
      </w:r>
    </w:p>
    <w:p>
      <w:pPr>
        <w:spacing w:before="2" w:line="223" w:lineRule="auto"/>
        <w:ind w:left="428"/>
        <w:rPr>
          <w:rFonts w:ascii="宋体" w:hAnsi="宋体" w:eastAsia="宋体" w:cs="宋体"/>
          <w:sz w:val="20"/>
          <w:szCs w:val="20"/>
        </w:rPr>
      </w:pPr>
      <w:r>
        <w:rPr>
          <w:rFonts w:ascii="宋体" w:hAnsi="宋体" w:eastAsia="宋体" w:cs="宋体"/>
          <w:b/>
          <w:bCs/>
          <w:spacing w:val="7"/>
          <w:sz w:val="20"/>
          <w:szCs w:val="20"/>
        </w:rPr>
        <w:t>十、关于城建档案技术咨询服务费</w:t>
      </w:r>
    </w:p>
    <w:p>
      <w:pPr>
        <w:spacing w:before="145" w:line="356" w:lineRule="auto"/>
        <w:ind w:right="102" w:firstLine="423"/>
        <w:jc w:val="both"/>
        <w:rPr>
          <w:rFonts w:ascii="宋体" w:hAnsi="宋体" w:eastAsia="宋体" w:cs="宋体"/>
          <w:sz w:val="20"/>
          <w:szCs w:val="20"/>
        </w:rPr>
      </w:pPr>
      <w:r>
        <w:rPr>
          <w:rFonts w:ascii="宋体" w:hAnsi="宋体" w:eastAsia="宋体" w:cs="宋体"/>
          <w:spacing w:val="9"/>
          <w:sz w:val="20"/>
          <w:szCs w:val="20"/>
        </w:rPr>
        <w:t>根据《山东省建设工程概算定额》（鲁建标字〔2018〕29</w:t>
      </w:r>
      <w:r>
        <w:rPr>
          <w:rFonts w:ascii="宋体" w:hAnsi="宋体" w:eastAsia="宋体" w:cs="宋体"/>
          <w:spacing w:val="-42"/>
          <w:sz w:val="20"/>
          <w:szCs w:val="20"/>
        </w:rPr>
        <w:t xml:space="preserve"> </w:t>
      </w:r>
      <w:r>
        <w:rPr>
          <w:rFonts w:ascii="宋体" w:hAnsi="宋体" w:eastAsia="宋体" w:cs="宋体"/>
          <w:spacing w:val="9"/>
          <w:sz w:val="20"/>
          <w:szCs w:val="20"/>
        </w:rPr>
        <w:t>号）的概算</w:t>
      </w:r>
      <w:r>
        <w:rPr>
          <w:rFonts w:ascii="宋体" w:hAnsi="宋体" w:eastAsia="宋体" w:cs="宋体"/>
          <w:spacing w:val="8"/>
          <w:sz w:val="20"/>
          <w:szCs w:val="20"/>
        </w:rPr>
        <w:t>费用编制规定，城建档案</w:t>
      </w:r>
      <w:r>
        <w:rPr>
          <w:rFonts w:ascii="宋体" w:hAnsi="宋体" w:eastAsia="宋体" w:cs="宋体"/>
          <w:spacing w:val="10"/>
          <w:sz w:val="20"/>
          <w:szCs w:val="20"/>
        </w:rPr>
        <w:t>技术咨询服务费列入“工程建设其他费用”</w:t>
      </w:r>
      <w:r>
        <w:rPr>
          <w:rFonts w:ascii="宋体" w:hAnsi="宋体" w:eastAsia="宋体" w:cs="宋体"/>
          <w:spacing w:val="-62"/>
          <w:sz w:val="20"/>
          <w:szCs w:val="20"/>
        </w:rPr>
        <w:t xml:space="preserve"> </w:t>
      </w:r>
      <w:r>
        <w:rPr>
          <w:rFonts w:ascii="宋体" w:hAnsi="宋体" w:eastAsia="宋体" w:cs="宋体"/>
          <w:spacing w:val="10"/>
          <w:sz w:val="20"/>
          <w:szCs w:val="20"/>
        </w:rPr>
        <w:t>，在“技术咨询费”内以“勘察设计费”列项，按照有</w:t>
      </w:r>
      <w:r>
        <w:rPr>
          <w:rFonts w:ascii="宋体" w:hAnsi="宋体" w:eastAsia="宋体" w:cs="宋体"/>
          <w:spacing w:val="8"/>
          <w:sz w:val="20"/>
          <w:szCs w:val="20"/>
        </w:rPr>
        <w:t>关规定双方合同约定计算。</w:t>
      </w:r>
    </w:p>
    <w:p>
      <w:pPr>
        <w:spacing w:before="17" w:line="223" w:lineRule="auto"/>
        <w:ind w:left="428"/>
        <w:rPr>
          <w:rFonts w:ascii="宋体" w:hAnsi="宋体" w:eastAsia="宋体" w:cs="宋体"/>
          <w:sz w:val="20"/>
          <w:szCs w:val="20"/>
        </w:rPr>
      </w:pPr>
      <w:r>
        <w:rPr>
          <w:rFonts w:ascii="宋体" w:hAnsi="宋体" w:eastAsia="宋体" w:cs="宋体"/>
          <w:b/>
          <w:bCs/>
          <w:spacing w:val="7"/>
          <w:sz w:val="20"/>
          <w:szCs w:val="20"/>
        </w:rPr>
        <w:t>十一、关于设备购置费</w:t>
      </w:r>
    </w:p>
    <w:p>
      <w:pPr>
        <w:spacing w:line="223" w:lineRule="auto"/>
        <w:rPr>
          <w:rFonts w:ascii="宋体" w:hAnsi="宋体" w:eastAsia="宋体" w:cs="宋体"/>
          <w:sz w:val="20"/>
          <w:szCs w:val="20"/>
        </w:rPr>
        <w:sectPr>
          <w:footerReference r:id="rId17" w:type="default"/>
          <w:pgSz w:w="11905" w:h="16840"/>
          <w:pgMar w:top="1431" w:right="1313" w:bottom="1213" w:left="1418" w:header="0" w:footer="898" w:gutter="0"/>
        </w:sectPr>
      </w:pPr>
    </w:p>
    <w:p>
      <w:pPr>
        <w:spacing w:before="121" w:line="360" w:lineRule="auto"/>
        <w:ind w:left="1" w:right="118" w:firstLine="418"/>
        <w:rPr>
          <w:rFonts w:ascii="宋体" w:hAnsi="宋体" w:eastAsia="宋体" w:cs="宋体"/>
          <w:sz w:val="20"/>
          <w:szCs w:val="20"/>
        </w:rPr>
      </w:pPr>
      <w:r>
        <w:rPr>
          <w:rFonts w:ascii="宋体" w:hAnsi="宋体" w:eastAsia="宋体" w:cs="宋体"/>
          <w:spacing w:val="11"/>
          <w:sz w:val="20"/>
          <w:szCs w:val="20"/>
        </w:rPr>
        <w:t>设备购置费是指构成或计划构成永久工程一部分的机电设备、金属结构设备、仪器装</w:t>
      </w:r>
      <w:r>
        <w:rPr>
          <w:rFonts w:ascii="宋体" w:hAnsi="宋体" w:eastAsia="宋体" w:cs="宋体"/>
          <w:spacing w:val="10"/>
          <w:sz w:val="20"/>
          <w:szCs w:val="20"/>
        </w:rPr>
        <w:t>置及其他</w:t>
      </w:r>
      <w:r>
        <w:rPr>
          <w:rFonts w:ascii="宋体" w:hAnsi="宋体" w:eastAsia="宋体" w:cs="宋体"/>
          <w:spacing w:val="9"/>
          <w:sz w:val="20"/>
          <w:szCs w:val="20"/>
        </w:rPr>
        <w:t>类似的设备和装置、工器具及生产家具和备品备件等购置费用。</w:t>
      </w:r>
    </w:p>
    <w:p>
      <w:pPr>
        <w:spacing w:before="1" w:line="359" w:lineRule="auto"/>
        <w:ind w:left="3" w:right="143" w:firstLine="420"/>
        <w:rPr>
          <w:rFonts w:ascii="宋体" w:hAnsi="宋体" w:eastAsia="宋体" w:cs="宋体"/>
          <w:sz w:val="20"/>
          <w:szCs w:val="20"/>
        </w:rPr>
      </w:pPr>
      <w:r>
        <w:rPr>
          <w:rFonts w:ascii="宋体" w:hAnsi="宋体" w:eastAsia="宋体" w:cs="宋体"/>
          <w:spacing w:val="10"/>
          <w:sz w:val="20"/>
          <w:szCs w:val="20"/>
        </w:rPr>
        <w:t>工器具及生产家具购置费指为保证初期正常生产所必需的第一套达不到固定资产标准的设备、</w:t>
      </w:r>
      <w:r>
        <w:rPr>
          <w:rFonts w:ascii="宋体" w:hAnsi="宋体" w:eastAsia="宋体" w:cs="宋体"/>
          <w:spacing w:val="8"/>
          <w:sz w:val="20"/>
          <w:szCs w:val="20"/>
        </w:rPr>
        <w:t>仪器、工器具及生产家具的购置费用。</w:t>
      </w:r>
    </w:p>
    <w:p>
      <w:pPr>
        <w:spacing w:line="223" w:lineRule="auto"/>
        <w:ind w:left="430"/>
        <w:rPr>
          <w:rFonts w:ascii="宋体" w:hAnsi="宋体" w:eastAsia="宋体" w:cs="宋体"/>
          <w:sz w:val="20"/>
          <w:szCs w:val="20"/>
        </w:rPr>
      </w:pPr>
      <w:r>
        <w:rPr>
          <w:rFonts w:ascii="宋体" w:hAnsi="宋体" w:eastAsia="宋体" w:cs="宋体"/>
          <w:b/>
          <w:bCs/>
          <w:spacing w:val="7"/>
          <w:sz w:val="20"/>
          <w:szCs w:val="20"/>
        </w:rPr>
        <w:t>十二、关于工程建设其他费用</w:t>
      </w:r>
    </w:p>
    <w:p>
      <w:pPr>
        <w:spacing w:before="146" w:line="352" w:lineRule="auto"/>
        <w:ind w:left="2" w:right="118" w:firstLine="421"/>
        <w:jc w:val="both"/>
        <w:rPr>
          <w:rFonts w:ascii="宋体" w:hAnsi="宋体" w:eastAsia="宋体" w:cs="宋体"/>
          <w:sz w:val="20"/>
          <w:szCs w:val="20"/>
        </w:rPr>
      </w:pPr>
      <w:r>
        <w:rPr>
          <w:rFonts w:ascii="宋体" w:hAnsi="宋体" w:eastAsia="宋体" w:cs="宋体"/>
          <w:spacing w:val="11"/>
          <w:sz w:val="20"/>
          <w:szCs w:val="20"/>
        </w:rPr>
        <w:t>工程建设其他费用，是指建设项目从筹建起、至竣工验收交付使用止的整个</w:t>
      </w:r>
      <w:r>
        <w:rPr>
          <w:rFonts w:ascii="宋体" w:hAnsi="宋体" w:eastAsia="宋体" w:cs="宋体"/>
          <w:spacing w:val="10"/>
          <w:sz w:val="20"/>
          <w:szCs w:val="20"/>
        </w:rPr>
        <w:t>建设期间，除工程</w:t>
      </w:r>
      <w:r>
        <w:rPr>
          <w:rFonts w:ascii="宋体" w:hAnsi="宋体" w:eastAsia="宋体" w:cs="宋体"/>
          <w:spacing w:val="11"/>
          <w:sz w:val="20"/>
          <w:szCs w:val="20"/>
        </w:rPr>
        <w:t>费用（包括建筑工程费、安装工程费用和设备购置费）以外，为保证工程建设</w:t>
      </w:r>
      <w:r>
        <w:rPr>
          <w:rFonts w:ascii="宋体" w:hAnsi="宋体" w:eastAsia="宋体" w:cs="宋体"/>
          <w:spacing w:val="10"/>
          <w:sz w:val="20"/>
          <w:szCs w:val="20"/>
        </w:rPr>
        <w:t>顺利完成且交付使用</w:t>
      </w:r>
      <w:r>
        <w:rPr>
          <w:rFonts w:ascii="宋体" w:hAnsi="宋体" w:eastAsia="宋体" w:cs="宋体"/>
          <w:spacing w:val="9"/>
          <w:sz w:val="20"/>
          <w:szCs w:val="20"/>
        </w:rPr>
        <w:t>后能够正常发挥效能而发生的各项费用。</w:t>
      </w:r>
    </w:p>
    <w:p>
      <w:pPr>
        <w:spacing w:before="24" w:line="278" w:lineRule="exact"/>
        <w:ind w:left="414"/>
        <w:rPr>
          <w:rFonts w:ascii="宋体" w:hAnsi="宋体" w:eastAsia="宋体" w:cs="宋体"/>
          <w:sz w:val="20"/>
          <w:szCs w:val="20"/>
        </w:rPr>
      </w:pPr>
      <w:r>
        <w:rPr>
          <w:rFonts w:ascii="宋体" w:hAnsi="宋体" w:eastAsia="宋体" w:cs="宋体"/>
          <w:spacing w:val="10"/>
          <w:position w:val="1"/>
          <w:sz w:val="20"/>
          <w:szCs w:val="20"/>
        </w:rPr>
        <w:t>（一）建设用地费用</w:t>
      </w:r>
    </w:p>
    <w:p>
      <w:pPr>
        <w:spacing w:before="112" w:line="359" w:lineRule="auto"/>
        <w:ind w:left="4" w:right="118" w:firstLine="418"/>
        <w:rPr>
          <w:rFonts w:ascii="宋体" w:hAnsi="宋体" w:eastAsia="宋体" w:cs="宋体"/>
          <w:sz w:val="20"/>
          <w:szCs w:val="20"/>
        </w:rPr>
      </w:pPr>
      <w:r>
        <w:rPr>
          <w:rFonts w:ascii="宋体" w:hAnsi="宋体" w:eastAsia="宋体" w:cs="宋体"/>
          <w:spacing w:val="11"/>
          <w:sz w:val="20"/>
          <w:szCs w:val="20"/>
        </w:rPr>
        <w:t>建设用地费用，是指建设项目通过划拨或土地使用权出让方式取得土地使用权</w:t>
      </w:r>
      <w:r>
        <w:rPr>
          <w:rFonts w:ascii="宋体" w:hAnsi="宋体" w:eastAsia="宋体" w:cs="宋体"/>
          <w:spacing w:val="10"/>
          <w:sz w:val="20"/>
          <w:szCs w:val="20"/>
        </w:rPr>
        <w:t>所需付出的土地</w:t>
      </w:r>
      <w:r>
        <w:rPr>
          <w:rFonts w:ascii="宋体" w:hAnsi="宋体" w:eastAsia="宋体" w:cs="宋体"/>
          <w:spacing w:val="9"/>
          <w:sz w:val="20"/>
          <w:szCs w:val="20"/>
        </w:rPr>
        <w:t>征用或土地使用权出让金、土地使用补偿费、拆除迁建费等。</w:t>
      </w:r>
    </w:p>
    <w:p>
      <w:pPr>
        <w:spacing w:line="278" w:lineRule="exact"/>
        <w:ind w:left="414"/>
        <w:rPr>
          <w:rFonts w:ascii="宋体" w:hAnsi="宋体" w:eastAsia="宋体" w:cs="宋体"/>
          <w:sz w:val="20"/>
          <w:szCs w:val="20"/>
        </w:rPr>
      </w:pPr>
      <w:r>
        <w:rPr>
          <w:rFonts w:ascii="宋体" w:hAnsi="宋体" w:eastAsia="宋体" w:cs="宋体"/>
          <w:spacing w:val="10"/>
          <w:position w:val="1"/>
          <w:sz w:val="20"/>
          <w:szCs w:val="20"/>
        </w:rPr>
        <w:t>（二）技术咨询费</w:t>
      </w:r>
    </w:p>
    <w:p>
      <w:pPr>
        <w:spacing w:before="114" w:line="278" w:lineRule="exact"/>
        <w:ind w:left="441"/>
        <w:rPr>
          <w:rFonts w:ascii="宋体" w:hAnsi="宋体" w:eastAsia="宋体" w:cs="宋体"/>
          <w:sz w:val="20"/>
          <w:szCs w:val="20"/>
        </w:rPr>
      </w:pPr>
      <w:r>
        <w:rPr>
          <w:rFonts w:ascii="宋体" w:hAnsi="宋体" w:eastAsia="宋体" w:cs="宋体"/>
          <w:spacing w:val="-4"/>
          <w:position w:val="1"/>
          <w:sz w:val="20"/>
          <w:szCs w:val="20"/>
        </w:rPr>
        <w:t>1.</w:t>
      </w:r>
      <w:r>
        <w:rPr>
          <w:rFonts w:ascii="宋体" w:hAnsi="宋体" w:eastAsia="宋体" w:cs="宋体"/>
          <w:spacing w:val="14"/>
          <w:position w:val="1"/>
          <w:sz w:val="20"/>
          <w:szCs w:val="20"/>
        </w:rPr>
        <w:t xml:space="preserve"> </w:t>
      </w:r>
      <w:r>
        <w:rPr>
          <w:rFonts w:ascii="宋体" w:hAnsi="宋体" w:eastAsia="宋体" w:cs="宋体"/>
          <w:spacing w:val="-4"/>
          <w:position w:val="1"/>
          <w:sz w:val="20"/>
          <w:szCs w:val="20"/>
        </w:rPr>
        <w:t>项目论证费</w:t>
      </w:r>
    </w:p>
    <w:p>
      <w:pPr>
        <w:spacing w:before="110" w:line="343" w:lineRule="auto"/>
        <w:ind w:right="118" w:firstLine="422"/>
        <w:rPr>
          <w:rFonts w:ascii="宋体" w:hAnsi="宋体" w:eastAsia="宋体" w:cs="宋体"/>
          <w:sz w:val="20"/>
          <w:szCs w:val="20"/>
        </w:rPr>
      </w:pPr>
      <w:r>
        <w:rPr>
          <w:rFonts w:ascii="宋体" w:hAnsi="宋体" w:eastAsia="宋体" w:cs="宋体"/>
          <w:spacing w:val="11"/>
          <w:sz w:val="20"/>
          <w:szCs w:val="20"/>
        </w:rPr>
        <w:t>项目论证费，包括：编制专题研究报告、编制项目建议书、编制可行性研究报</w:t>
      </w:r>
      <w:r>
        <w:rPr>
          <w:rFonts w:ascii="宋体" w:hAnsi="宋体" w:eastAsia="宋体" w:cs="宋体"/>
          <w:spacing w:val="10"/>
          <w:sz w:val="20"/>
          <w:szCs w:val="20"/>
        </w:rPr>
        <w:t>告、评估项目建</w:t>
      </w:r>
      <w:r>
        <w:rPr>
          <w:rFonts w:ascii="宋体" w:hAnsi="宋体" w:eastAsia="宋体" w:cs="宋体"/>
          <w:spacing w:val="9"/>
          <w:sz w:val="20"/>
          <w:szCs w:val="20"/>
        </w:rPr>
        <w:t>议书及评估可行性研究报告等费用。</w:t>
      </w:r>
    </w:p>
    <w:p>
      <w:pPr>
        <w:spacing w:before="37" w:line="276" w:lineRule="exact"/>
        <w:ind w:left="424"/>
        <w:rPr>
          <w:rFonts w:ascii="宋体" w:hAnsi="宋体" w:eastAsia="宋体" w:cs="宋体"/>
          <w:sz w:val="20"/>
          <w:szCs w:val="20"/>
        </w:rPr>
      </w:pPr>
      <w:r>
        <w:rPr>
          <w:rFonts w:ascii="宋体" w:hAnsi="宋体" w:eastAsia="宋体" w:cs="宋体"/>
          <w:spacing w:val="2"/>
          <w:position w:val="1"/>
          <w:sz w:val="20"/>
          <w:szCs w:val="20"/>
        </w:rPr>
        <w:t>2. 环境影响评价费</w:t>
      </w:r>
    </w:p>
    <w:p>
      <w:pPr>
        <w:spacing w:before="114" w:line="360" w:lineRule="auto"/>
        <w:ind w:left="3" w:firstLine="420"/>
        <w:rPr>
          <w:rFonts w:ascii="宋体" w:hAnsi="宋体" w:eastAsia="宋体" w:cs="宋体"/>
          <w:sz w:val="20"/>
          <w:szCs w:val="20"/>
        </w:rPr>
      </w:pPr>
      <w:r>
        <w:rPr>
          <w:rFonts w:ascii="宋体" w:hAnsi="宋体" w:eastAsia="宋体" w:cs="宋体"/>
          <w:spacing w:val="9"/>
          <w:sz w:val="20"/>
          <w:szCs w:val="20"/>
        </w:rPr>
        <w:t>环境影响评价费，指按照《中华人民共和国环境保护法》</w:t>
      </w:r>
      <w:r>
        <w:rPr>
          <w:rFonts w:ascii="宋体" w:hAnsi="宋体" w:eastAsia="宋体" w:cs="宋体"/>
          <w:spacing w:val="8"/>
          <w:sz w:val="20"/>
          <w:szCs w:val="20"/>
        </w:rPr>
        <w:t>、《中华人民共和国环境影响评价法》</w:t>
      </w:r>
      <w:r>
        <w:rPr>
          <w:rFonts w:ascii="宋体" w:hAnsi="宋体" w:eastAsia="宋体" w:cs="宋体"/>
          <w:spacing w:val="11"/>
          <w:sz w:val="20"/>
          <w:szCs w:val="20"/>
        </w:rPr>
        <w:t>等规定，为全面、详细评价建设项目对环境可能产生的污染或造成的重大影</w:t>
      </w:r>
      <w:r>
        <w:rPr>
          <w:rFonts w:ascii="宋体" w:hAnsi="宋体" w:eastAsia="宋体" w:cs="宋体"/>
          <w:spacing w:val="10"/>
          <w:sz w:val="20"/>
          <w:szCs w:val="20"/>
        </w:rPr>
        <w:t>响所需的费用。包括编</w:t>
      </w:r>
      <w:r>
        <w:rPr>
          <w:rFonts w:ascii="宋体" w:hAnsi="宋体" w:eastAsia="宋体" w:cs="宋体"/>
          <w:spacing w:val="9"/>
          <w:sz w:val="20"/>
          <w:szCs w:val="20"/>
        </w:rPr>
        <w:t>制环境影响报告书（含大纲）、环境影响报告表及其进行评估等所需的费用。</w:t>
      </w:r>
    </w:p>
    <w:p>
      <w:pPr>
        <w:spacing w:line="276" w:lineRule="exact"/>
        <w:ind w:left="428"/>
        <w:rPr>
          <w:rFonts w:ascii="宋体" w:hAnsi="宋体" w:eastAsia="宋体" w:cs="宋体"/>
          <w:sz w:val="20"/>
          <w:szCs w:val="20"/>
        </w:rPr>
      </w:pPr>
      <w:r>
        <w:rPr>
          <w:rFonts w:ascii="宋体" w:hAnsi="宋体" w:eastAsia="宋体" w:cs="宋体"/>
          <w:spacing w:val="2"/>
          <w:position w:val="1"/>
          <w:sz w:val="20"/>
          <w:szCs w:val="20"/>
        </w:rPr>
        <w:t>3. 节能评估审查费</w:t>
      </w:r>
    </w:p>
    <w:p>
      <w:pPr>
        <w:spacing w:before="117" w:line="347" w:lineRule="auto"/>
        <w:ind w:left="2" w:right="118" w:firstLine="421"/>
        <w:rPr>
          <w:rFonts w:ascii="宋体" w:hAnsi="宋体" w:eastAsia="宋体" w:cs="宋体"/>
          <w:sz w:val="20"/>
          <w:szCs w:val="20"/>
        </w:rPr>
      </w:pPr>
      <w:r>
        <w:rPr>
          <w:rFonts w:ascii="宋体" w:hAnsi="宋体" w:eastAsia="宋体" w:cs="宋体"/>
          <w:spacing w:val="11"/>
          <w:sz w:val="20"/>
          <w:szCs w:val="20"/>
        </w:rPr>
        <w:t>节能评估审查费，是按照山东省政府办公厅《关于切实做好固定资产投资项</w:t>
      </w:r>
      <w:r>
        <w:rPr>
          <w:rFonts w:ascii="宋体" w:hAnsi="宋体" w:eastAsia="宋体" w:cs="宋体"/>
          <w:spacing w:val="10"/>
          <w:sz w:val="20"/>
          <w:szCs w:val="20"/>
        </w:rPr>
        <w:t>目节能评估审查工</w:t>
      </w:r>
      <w:r>
        <w:rPr>
          <w:rFonts w:ascii="宋体" w:hAnsi="宋体" w:eastAsia="宋体" w:cs="宋体"/>
          <w:spacing w:val="9"/>
          <w:sz w:val="20"/>
          <w:szCs w:val="20"/>
        </w:rPr>
        <w:t>作的通知》（鲁政办发〔2007〕42</w:t>
      </w:r>
      <w:r>
        <w:rPr>
          <w:rFonts w:ascii="宋体" w:hAnsi="宋体" w:eastAsia="宋体" w:cs="宋体"/>
          <w:spacing w:val="-39"/>
          <w:sz w:val="20"/>
          <w:szCs w:val="20"/>
        </w:rPr>
        <w:t xml:space="preserve"> </w:t>
      </w:r>
      <w:r>
        <w:rPr>
          <w:rFonts w:ascii="宋体" w:hAnsi="宋体" w:eastAsia="宋体" w:cs="宋体"/>
          <w:spacing w:val="9"/>
          <w:sz w:val="20"/>
          <w:szCs w:val="20"/>
        </w:rPr>
        <w:t>号）要求，对项目可行性研究报告中节能</w:t>
      </w:r>
      <w:r>
        <w:rPr>
          <w:rFonts w:ascii="宋体" w:hAnsi="宋体" w:eastAsia="宋体" w:cs="宋体"/>
          <w:spacing w:val="8"/>
          <w:sz w:val="20"/>
          <w:szCs w:val="20"/>
        </w:rPr>
        <w:t>评估内容进行审查发生</w:t>
      </w:r>
      <w:r>
        <w:rPr>
          <w:rFonts w:ascii="宋体" w:hAnsi="宋体" w:eastAsia="宋体" w:cs="宋体"/>
          <w:spacing w:val="6"/>
          <w:sz w:val="20"/>
          <w:szCs w:val="20"/>
        </w:rPr>
        <w:t>的费用。</w:t>
      </w:r>
    </w:p>
    <w:p>
      <w:pPr>
        <w:spacing w:before="39" w:line="277" w:lineRule="exact"/>
        <w:ind w:left="421"/>
        <w:rPr>
          <w:rFonts w:ascii="宋体" w:hAnsi="宋体" w:eastAsia="宋体" w:cs="宋体"/>
          <w:sz w:val="20"/>
          <w:szCs w:val="20"/>
        </w:rPr>
      </w:pPr>
      <w:r>
        <w:rPr>
          <w:rFonts w:ascii="宋体" w:hAnsi="宋体" w:eastAsia="宋体" w:cs="宋体"/>
          <w:spacing w:val="4"/>
          <w:position w:val="1"/>
          <w:sz w:val="20"/>
          <w:szCs w:val="20"/>
        </w:rPr>
        <w:t>4. 劳动安全卫生评价费</w:t>
      </w:r>
    </w:p>
    <w:p>
      <w:pPr>
        <w:spacing w:before="113" w:line="352" w:lineRule="auto"/>
        <w:ind w:right="118" w:firstLine="428"/>
        <w:rPr>
          <w:rFonts w:ascii="宋体" w:hAnsi="宋体" w:eastAsia="宋体" w:cs="宋体"/>
          <w:sz w:val="20"/>
          <w:szCs w:val="20"/>
        </w:rPr>
      </w:pPr>
      <w:r>
        <w:rPr>
          <w:rFonts w:ascii="宋体" w:hAnsi="宋体" w:eastAsia="宋体" w:cs="宋体"/>
          <w:spacing w:val="11"/>
          <w:sz w:val="20"/>
          <w:szCs w:val="20"/>
        </w:rPr>
        <w:t>劳动安全卫生评价费，是指按照原劳动部《建设项目（工程）劳动</w:t>
      </w:r>
      <w:r>
        <w:rPr>
          <w:rFonts w:ascii="宋体" w:hAnsi="宋体" w:eastAsia="宋体" w:cs="宋体"/>
          <w:spacing w:val="10"/>
          <w:sz w:val="20"/>
          <w:szCs w:val="20"/>
        </w:rPr>
        <w:t>安全卫生监察规定》和《建</w:t>
      </w:r>
      <w:r>
        <w:rPr>
          <w:rFonts w:ascii="宋体" w:hAnsi="宋体" w:eastAsia="宋体" w:cs="宋体"/>
          <w:spacing w:val="11"/>
          <w:sz w:val="20"/>
          <w:szCs w:val="20"/>
        </w:rPr>
        <w:t>设项目（工程）劳动安全卫生预评价管理办法》的规定，为预测和分析建设项目存在</w:t>
      </w:r>
      <w:r>
        <w:rPr>
          <w:rFonts w:ascii="宋体" w:hAnsi="宋体" w:eastAsia="宋体" w:cs="宋体"/>
          <w:spacing w:val="10"/>
          <w:sz w:val="20"/>
          <w:szCs w:val="20"/>
        </w:rPr>
        <w:t>的职业危险、</w:t>
      </w:r>
      <w:r>
        <w:rPr>
          <w:rFonts w:ascii="宋体" w:hAnsi="宋体" w:eastAsia="宋体" w:cs="宋体"/>
          <w:spacing w:val="11"/>
          <w:sz w:val="20"/>
          <w:szCs w:val="20"/>
        </w:rPr>
        <w:t>危害因素的种类和危险危害程度，并提出先进科学合理可行的劳动安全卫生技术和管</w:t>
      </w:r>
      <w:r>
        <w:rPr>
          <w:rFonts w:ascii="宋体" w:hAnsi="宋体" w:eastAsia="宋体" w:cs="宋体"/>
          <w:spacing w:val="10"/>
          <w:sz w:val="20"/>
          <w:szCs w:val="20"/>
        </w:rPr>
        <w:t>理对策所需的</w:t>
      </w:r>
      <w:r>
        <w:rPr>
          <w:rFonts w:ascii="宋体" w:hAnsi="宋体" w:eastAsia="宋体" w:cs="宋体"/>
          <w:spacing w:val="11"/>
          <w:sz w:val="20"/>
          <w:szCs w:val="20"/>
        </w:rPr>
        <w:t>费用，包括：编制建设项目劳动安全卫生预评价大纲和劳动安全卫生预评价报告证书</w:t>
      </w:r>
      <w:r>
        <w:rPr>
          <w:rFonts w:ascii="宋体" w:hAnsi="宋体" w:eastAsia="宋体" w:cs="宋体"/>
          <w:spacing w:val="10"/>
          <w:sz w:val="20"/>
          <w:szCs w:val="20"/>
        </w:rPr>
        <w:t>以及为编制上</w:t>
      </w:r>
      <w:r>
        <w:rPr>
          <w:rFonts w:ascii="宋体" w:hAnsi="宋体" w:eastAsia="宋体" w:cs="宋体"/>
          <w:spacing w:val="9"/>
          <w:sz w:val="20"/>
          <w:szCs w:val="20"/>
        </w:rPr>
        <w:t>述文件所进行的工程分析和环境现状调查等所需的费用。</w:t>
      </w:r>
    </w:p>
    <w:p>
      <w:pPr>
        <w:spacing w:before="44" w:line="277" w:lineRule="exact"/>
        <w:ind w:left="424"/>
        <w:rPr>
          <w:rFonts w:ascii="宋体" w:hAnsi="宋体" w:eastAsia="宋体" w:cs="宋体"/>
          <w:sz w:val="20"/>
          <w:szCs w:val="20"/>
        </w:rPr>
      </w:pPr>
      <w:r>
        <w:rPr>
          <w:rFonts w:ascii="宋体" w:hAnsi="宋体" w:eastAsia="宋体" w:cs="宋体"/>
          <w:position w:val="1"/>
          <w:sz w:val="20"/>
          <w:szCs w:val="20"/>
        </w:rPr>
        <w:t>5. 研究试验费</w:t>
      </w:r>
    </w:p>
    <w:p>
      <w:pPr>
        <w:spacing w:before="118" w:line="359" w:lineRule="auto"/>
        <w:ind w:right="118" w:firstLine="421"/>
        <w:rPr>
          <w:rFonts w:ascii="宋体" w:hAnsi="宋体" w:eastAsia="宋体" w:cs="宋体"/>
          <w:sz w:val="20"/>
          <w:szCs w:val="20"/>
        </w:rPr>
      </w:pPr>
      <w:r>
        <w:rPr>
          <w:rFonts w:ascii="宋体" w:hAnsi="宋体" w:eastAsia="宋体" w:cs="宋体"/>
          <w:spacing w:val="11"/>
          <w:sz w:val="20"/>
          <w:szCs w:val="20"/>
        </w:rPr>
        <w:t>研究试验费，是指为本建设项目提供或验证设计参数、数据资料等进行必要的研</w:t>
      </w:r>
      <w:r>
        <w:rPr>
          <w:rFonts w:ascii="宋体" w:hAnsi="宋体" w:eastAsia="宋体" w:cs="宋体"/>
          <w:spacing w:val="10"/>
          <w:sz w:val="20"/>
          <w:szCs w:val="20"/>
        </w:rPr>
        <w:t>究试验及按照</w:t>
      </w:r>
      <w:r>
        <w:rPr>
          <w:rFonts w:ascii="宋体" w:hAnsi="宋体" w:eastAsia="宋体" w:cs="宋体"/>
          <w:spacing w:val="11"/>
          <w:sz w:val="20"/>
          <w:szCs w:val="20"/>
        </w:rPr>
        <w:t>设计规定在建设过程中必须进行的试验、验证所需的费用。包括自行或委托其他部门</w:t>
      </w:r>
      <w:r>
        <w:rPr>
          <w:rFonts w:ascii="宋体" w:hAnsi="宋体" w:eastAsia="宋体" w:cs="宋体"/>
          <w:spacing w:val="10"/>
          <w:sz w:val="20"/>
          <w:szCs w:val="20"/>
        </w:rPr>
        <w:t>研究所需的人</w:t>
      </w:r>
      <w:r>
        <w:rPr>
          <w:rFonts w:ascii="宋体" w:hAnsi="宋体" w:eastAsia="宋体" w:cs="宋体"/>
          <w:spacing w:val="11"/>
          <w:sz w:val="20"/>
          <w:szCs w:val="20"/>
        </w:rPr>
        <w:t>工费、材料费、试验设备及仪器使用费，在本工程中使用专项研究成果、先进技术所</w:t>
      </w:r>
      <w:r>
        <w:rPr>
          <w:rFonts w:ascii="宋体" w:hAnsi="宋体" w:eastAsia="宋体" w:cs="宋体"/>
          <w:spacing w:val="10"/>
          <w:sz w:val="20"/>
          <w:szCs w:val="20"/>
        </w:rPr>
        <w:t>支付的一次性</w:t>
      </w:r>
      <w:r>
        <w:rPr>
          <w:rFonts w:ascii="宋体" w:hAnsi="宋体" w:eastAsia="宋体" w:cs="宋体"/>
          <w:spacing w:val="8"/>
          <w:sz w:val="20"/>
          <w:szCs w:val="20"/>
        </w:rPr>
        <w:t>转让费用。但不包括：</w:t>
      </w:r>
    </w:p>
    <w:p>
      <w:pPr>
        <w:spacing w:line="277" w:lineRule="exact"/>
        <w:ind w:left="414"/>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38"/>
          <w:position w:val="1"/>
          <w:sz w:val="20"/>
          <w:szCs w:val="20"/>
        </w:rPr>
        <w:t xml:space="preserve"> </w:t>
      </w:r>
      <w:r>
        <w:rPr>
          <w:rFonts w:ascii="宋体" w:hAnsi="宋体" w:eastAsia="宋体" w:cs="宋体"/>
          <w:spacing w:val="7"/>
          <w:position w:val="1"/>
          <w:sz w:val="20"/>
          <w:szCs w:val="20"/>
        </w:rPr>
        <w:t>1）应由科技三项费用（</w:t>
      </w:r>
      <w:r>
        <w:rPr>
          <w:rFonts w:ascii="宋体" w:hAnsi="宋体" w:eastAsia="宋体" w:cs="宋体"/>
          <w:spacing w:val="-50"/>
          <w:position w:val="1"/>
          <w:sz w:val="20"/>
          <w:szCs w:val="20"/>
        </w:rPr>
        <w:t xml:space="preserve"> </w:t>
      </w:r>
      <w:r>
        <w:rPr>
          <w:rFonts w:ascii="宋体" w:hAnsi="宋体" w:eastAsia="宋体" w:cs="宋体"/>
          <w:spacing w:val="7"/>
          <w:position w:val="1"/>
          <w:sz w:val="20"/>
          <w:szCs w:val="20"/>
        </w:rPr>
        <w:t>即新产品试制费、中间试验费和重要科学研究补助费）开支的项目。</w:t>
      </w:r>
    </w:p>
    <w:p>
      <w:pPr>
        <w:spacing w:before="112" w:line="278" w:lineRule="exact"/>
        <w:ind w:left="414"/>
        <w:rPr>
          <w:rFonts w:ascii="宋体" w:hAnsi="宋体" w:eastAsia="宋体" w:cs="宋体"/>
          <w:sz w:val="20"/>
          <w:szCs w:val="20"/>
        </w:rPr>
      </w:pPr>
      <w:r>
        <w:rPr>
          <w:rFonts w:ascii="宋体" w:hAnsi="宋体" w:eastAsia="宋体" w:cs="宋体"/>
          <w:spacing w:val="8"/>
          <w:position w:val="1"/>
          <w:sz w:val="20"/>
          <w:szCs w:val="20"/>
        </w:rPr>
        <w:t>（2）应在建筑安装费用中列支的施工企业对建筑、构件和建筑物进行一般鉴定、检查所发生的</w:t>
      </w:r>
    </w:p>
    <w:p>
      <w:pPr>
        <w:spacing w:line="278" w:lineRule="exact"/>
        <w:rPr>
          <w:rFonts w:ascii="宋体" w:hAnsi="宋体" w:eastAsia="宋体" w:cs="宋体"/>
          <w:sz w:val="20"/>
          <w:szCs w:val="20"/>
        </w:rPr>
        <w:sectPr>
          <w:footerReference r:id="rId18" w:type="default"/>
          <w:pgSz w:w="11905" w:h="16840"/>
          <w:pgMar w:top="1431" w:right="1300" w:bottom="1213" w:left="1416" w:header="0" w:footer="898" w:gutter="0"/>
        </w:sectPr>
      </w:pPr>
    </w:p>
    <w:p>
      <w:pPr>
        <w:spacing w:before="123" w:line="222" w:lineRule="auto"/>
        <w:ind w:left="8"/>
        <w:rPr>
          <w:rFonts w:ascii="宋体" w:hAnsi="宋体" w:eastAsia="宋体" w:cs="宋体"/>
          <w:sz w:val="20"/>
          <w:szCs w:val="20"/>
        </w:rPr>
      </w:pPr>
      <w:r>
        <w:rPr>
          <w:rFonts w:ascii="宋体" w:hAnsi="宋体" w:eastAsia="宋体" w:cs="宋体"/>
          <w:spacing w:val="8"/>
          <w:sz w:val="20"/>
          <w:szCs w:val="20"/>
        </w:rPr>
        <w:t>费用及技术革新的研究试验费；</w:t>
      </w:r>
    </w:p>
    <w:p>
      <w:pPr>
        <w:spacing w:before="142" w:line="277" w:lineRule="exact"/>
        <w:ind w:left="413"/>
        <w:rPr>
          <w:rFonts w:ascii="宋体" w:hAnsi="宋体" w:eastAsia="宋体" w:cs="宋体"/>
          <w:sz w:val="20"/>
          <w:szCs w:val="20"/>
        </w:rPr>
      </w:pPr>
      <w:r>
        <w:rPr>
          <w:rFonts w:ascii="宋体" w:hAnsi="宋体" w:eastAsia="宋体" w:cs="宋体"/>
          <w:spacing w:val="9"/>
          <w:position w:val="1"/>
          <w:sz w:val="20"/>
          <w:szCs w:val="20"/>
        </w:rPr>
        <w:t>（3）应由勘察设计费或工程费用中开支的项目。</w:t>
      </w:r>
    </w:p>
    <w:p>
      <w:pPr>
        <w:spacing w:before="113" w:line="278" w:lineRule="exact"/>
        <w:ind w:left="423"/>
        <w:rPr>
          <w:rFonts w:ascii="宋体" w:hAnsi="宋体" w:eastAsia="宋体" w:cs="宋体"/>
          <w:sz w:val="20"/>
          <w:szCs w:val="20"/>
        </w:rPr>
      </w:pPr>
      <w:r>
        <w:rPr>
          <w:rFonts w:ascii="宋体" w:hAnsi="宋体" w:eastAsia="宋体" w:cs="宋体"/>
          <w:spacing w:val="-2"/>
          <w:position w:val="1"/>
          <w:sz w:val="20"/>
          <w:szCs w:val="20"/>
        </w:rPr>
        <w:t>6.</w:t>
      </w:r>
      <w:r>
        <w:rPr>
          <w:rFonts w:ascii="宋体" w:hAnsi="宋体" w:eastAsia="宋体" w:cs="宋体"/>
          <w:spacing w:val="17"/>
          <w:position w:val="1"/>
          <w:sz w:val="20"/>
          <w:szCs w:val="20"/>
        </w:rPr>
        <w:t xml:space="preserve"> </w:t>
      </w:r>
      <w:r>
        <w:rPr>
          <w:rFonts w:ascii="宋体" w:hAnsi="宋体" w:eastAsia="宋体" w:cs="宋体"/>
          <w:spacing w:val="-2"/>
          <w:position w:val="1"/>
          <w:sz w:val="20"/>
          <w:szCs w:val="20"/>
        </w:rPr>
        <w:t>勘察设计费</w:t>
      </w:r>
    </w:p>
    <w:p>
      <w:pPr>
        <w:spacing w:before="114" w:line="352" w:lineRule="auto"/>
        <w:ind w:right="3" w:firstLine="420"/>
        <w:rPr>
          <w:rFonts w:ascii="宋体" w:hAnsi="宋体" w:eastAsia="宋体" w:cs="宋体"/>
          <w:sz w:val="20"/>
          <w:szCs w:val="20"/>
        </w:rPr>
      </w:pPr>
      <w:r>
        <w:rPr>
          <w:rFonts w:ascii="宋体" w:hAnsi="宋体" w:eastAsia="宋体" w:cs="宋体"/>
          <w:spacing w:val="11"/>
          <w:sz w:val="20"/>
          <w:szCs w:val="20"/>
        </w:rPr>
        <w:t>勘察设计费，是指委托勘察、设计单位进行工程水文地质勘察、工程设计所发生的各项费用。</w:t>
      </w:r>
      <w:r>
        <w:rPr>
          <w:rFonts w:ascii="宋体" w:hAnsi="宋体" w:eastAsia="宋体" w:cs="宋体"/>
          <w:spacing w:val="13"/>
          <w:sz w:val="20"/>
          <w:szCs w:val="20"/>
        </w:rPr>
        <w:t>包括：工程勘察、方案设计、初步设计、施工图设计、建筑信息模型（</w:t>
      </w:r>
      <w:r>
        <w:rPr>
          <w:rFonts w:ascii="宋体" w:hAnsi="宋体" w:eastAsia="宋体" w:cs="宋体"/>
          <w:spacing w:val="-59"/>
          <w:sz w:val="20"/>
          <w:szCs w:val="20"/>
        </w:rPr>
        <w:t xml:space="preserve"> </w:t>
      </w:r>
      <w:r>
        <w:rPr>
          <w:rFonts w:ascii="宋体" w:hAnsi="宋体" w:eastAsia="宋体" w:cs="宋体"/>
          <w:sz w:val="20"/>
          <w:szCs w:val="20"/>
        </w:rPr>
        <w:t>BIM</w:t>
      </w:r>
      <w:r>
        <w:rPr>
          <w:rFonts w:ascii="宋体" w:hAnsi="宋体" w:eastAsia="宋体" w:cs="宋体"/>
          <w:spacing w:val="13"/>
          <w:sz w:val="20"/>
          <w:szCs w:val="20"/>
        </w:rPr>
        <w:t>）技术</w:t>
      </w:r>
      <w:r>
        <w:rPr>
          <w:rFonts w:ascii="宋体" w:hAnsi="宋体" w:eastAsia="宋体" w:cs="宋体"/>
          <w:spacing w:val="12"/>
          <w:sz w:val="20"/>
          <w:szCs w:val="20"/>
        </w:rPr>
        <w:t>服务、城建档案</w:t>
      </w:r>
      <w:r>
        <w:rPr>
          <w:rFonts w:ascii="宋体" w:hAnsi="宋体" w:eastAsia="宋体" w:cs="宋体"/>
          <w:spacing w:val="8"/>
          <w:sz w:val="20"/>
          <w:szCs w:val="20"/>
        </w:rPr>
        <w:t>技术咨询服务费等所需的费用，以及在规定范围内由建设单位自行完成勘察、</w:t>
      </w:r>
      <w:r>
        <w:rPr>
          <w:rFonts w:ascii="宋体" w:hAnsi="宋体" w:eastAsia="宋体" w:cs="宋体"/>
          <w:spacing w:val="7"/>
          <w:sz w:val="20"/>
          <w:szCs w:val="20"/>
        </w:rPr>
        <w:t>设计工作所需的费用。</w:t>
      </w:r>
    </w:p>
    <w:p>
      <w:pPr>
        <w:spacing w:before="23" w:line="278" w:lineRule="exact"/>
        <w:ind w:left="421"/>
        <w:rPr>
          <w:rFonts w:ascii="宋体" w:hAnsi="宋体" w:eastAsia="宋体" w:cs="宋体"/>
          <w:sz w:val="20"/>
          <w:szCs w:val="20"/>
        </w:rPr>
      </w:pPr>
      <w:r>
        <w:rPr>
          <w:rFonts w:ascii="宋体" w:hAnsi="宋体" w:eastAsia="宋体" w:cs="宋体"/>
          <w:spacing w:val="4"/>
          <w:position w:val="1"/>
          <w:sz w:val="20"/>
          <w:szCs w:val="20"/>
        </w:rPr>
        <w:t>7. 专利和专有技术使用费</w:t>
      </w:r>
    </w:p>
    <w:p>
      <w:pPr>
        <w:spacing w:before="113" w:line="359" w:lineRule="auto"/>
        <w:ind w:right="81" w:firstLine="420"/>
        <w:rPr>
          <w:rFonts w:ascii="宋体" w:hAnsi="宋体" w:eastAsia="宋体" w:cs="宋体"/>
          <w:sz w:val="20"/>
          <w:szCs w:val="20"/>
        </w:rPr>
      </w:pPr>
      <w:r>
        <w:rPr>
          <w:rFonts w:ascii="宋体" w:hAnsi="宋体" w:eastAsia="宋体" w:cs="宋体"/>
          <w:spacing w:val="11"/>
          <w:sz w:val="20"/>
          <w:szCs w:val="20"/>
        </w:rPr>
        <w:t>专利和专有技术使用费，是指建设项目使用国内外专利和专有技术支付的费用</w:t>
      </w:r>
      <w:r>
        <w:rPr>
          <w:rFonts w:ascii="宋体" w:hAnsi="宋体" w:eastAsia="宋体" w:cs="宋体"/>
          <w:spacing w:val="10"/>
          <w:sz w:val="20"/>
          <w:szCs w:val="20"/>
        </w:rPr>
        <w:t>。专利和专有技</w:t>
      </w:r>
      <w:r>
        <w:rPr>
          <w:rFonts w:ascii="宋体" w:hAnsi="宋体" w:eastAsia="宋体" w:cs="宋体"/>
          <w:spacing w:val="8"/>
          <w:sz w:val="20"/>
          <w:szCs w:val="20"/>
        </w:rPr>
        <w:t>术使用费的内容包括：</w:t>
      </w:r>
    </w:p>
    <w:p>
      <w:pPr>
        <w:spacing w:line="278" w:lineRule="exact"/>
        <w:ind w:left="413"/>
        <w:rPr>
          <w:rFonts w:ascii="宋体" w:hAnsi="宋体" w:eastAsia="宋体" w:cs="宋体"/>
          <w:sz w:val="20"/>
          <w:szCs w:val="20"/>
        </w:rPr>
      </w:pPr>
      <w:r>
        <w:rPr>
          <w:rFonts w:ascii="宋体" w:hAnsi="宋体" w:eastAsia="宋体" w:cs="宋体"/>
          <w:spacing w:val="3"/>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1</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）国内有效专利、专有技术使用费；</w:t>
      </w:r>
    </w:p>
    <w:p>
      <w:pPr>
        <w:spacing w:before="113" w:line="278" w:lineRule="exact"/>
        <w:ind w:left="413"/>
        <w:rPr>
          <w:rFonts w:ascii="宋体" w:hAnsi="宋体" w:eastAsia="宋体" w:cs="宋体"/>
          <w:sz w:val="20"/>
          <w:szCs w:val="20"/>
        </w:rPr>
      </w:pPr>
      <w:r>
        <w:rPr>
          <w:rFonts w:ascii="宋体" w:hAnsi="宋体" w:eastAsia="宋体" w:cs="宋体"/>
          <w:spacing w:val="9"/>
          <w:position w:val="1"/>
          <w:sz w:val="20"/>
          <w:szCs w:val="20"/>
        </w:rPr>
        <w:t>（2）商标使用费、特许经营权费等。</w:t>
      </w:r>
    </w:p>
    <w:p>
      <w:pPr>
        <w:spacing w:before="111" w:line="278" w:lineRule="exact"/>
        <w:ind w:left="413"/>
        <w:rPr>
          <w:rFonts w:ascii="宋体" w:hAnsi="宋体" w:eastAsia="宋体" w:cs="宋体"/>
          <w:sz w:val="20"/>
          <w:szCs w:val="20"/>
        </w:rPr>
      </w:pPr>
      <w:r>
        <w:rPr>
          <w:rFonts w:ascii="宋体" w:hAnsi="宋体" w:eastAsia="宋体" w:cs="宋体"/>
          <w:spacing w:val="10"/>
          <w:position w:val="1"/>
          <w:sz w:val="20"/>
          <w:szCs w:val="20"/>
        </w:rPr>
        <w:t>（3）引进有效专利、专有技术使用费和技术保密</w:t>
      </w:r>
      <w:r>
        <w:rPr>
          <w:rFonts w:ascii="宋体" w:hAnsi="宋体" w:eastAsia="宋体" w:cs="宋体"/>
          <w:spacing w:val="9"/>
          <w:position w:val="1"/>
          <w:sz w:val="20"/>
          <w:szCs w:val="20"/>
        </w:rPr>
        <w:t>费；国外设计及技术资料费等。</w:t>
      </w:r>
    </w:p>
    <w:p>
      <w:pPr>
        <w:spacing w:before="117" w:line="223" w:lineRule="auto"/>
        <w:ind w:left="421"/>
        <w:rPr>
          <w:rFonts w:ascii="宋体" w:hAnsi="宋体" w:eastAsia="宋体" w:cs="宋体"/>
          <w:sz w:val="20"/>
          <w:szCs w:val="20"/>
        </w:rPr>
      </w:pPr>
      <w:r>
        <w:rPr>
          <w:rFonts w:ascii="宋体" w:hAnsi="宋体" w:eastAsia="宋体" w:cs="宋体"/>
          <w:spacing w:val="9"/>
          <w:sz w:val="20"/>
          <w:szCs w:val="20"/>
        </w:rPr>
        <w:t>专有技术的界定，应以省、部级鉴定批准为准。</w:t>
      </w:r>
    </w:p>
    <w:p>
      <w:pPr>
        <w:spacing w:before="146" w:line="359" w:lineRule="auto"/>
        <w:ind w:right="81" w:firstLine="420"/>
        <w:rPr>
          <w:rFonts w:ascii="宋体" w:hAnsi="宋体" w:eastAsia="宋体" w:cs="宋体"/>
          <w:sz w:val="20"/>
          <w:szCs w:val="20"/>
        </w:rPr>
      </w:pPr>
      <w:r>
        <w:rPr>
          <w:rFonts w:ascii="宋体" w:hAnsi="宋体" w:eastAsia="宋体" w:cs="宋体"/>
          <w:spacing w:val="11"/>
          <w:sz w:val="20"/>
          <w:szCs w:val="20"/>
        </w:rPr>
        <w:t>项目投资中只计算项目建设期支付的专利及专有技术使用费。协议或合同规定</w:t>
      </w:r>
      <w:r>
        <w:rPr>
          <w:rFonts w:ascii="宋体" w:hAnsi="宋体" w:eastAsia="宋体" w:cs="宋体"/>
          <w:spacing w:val="10"/>
          <w:sz w:val="20"/>
          <w:szCs w:val="20"/>
        </w:rPr>
        <w:t>在生产期支付的</w:t>
      </w:r>
      <w:r>
        <w:rPr>
          <w:rFonts w:ascii="宋体" w:hAnsi="宋体" w:eastAsia="宋体" w:cs="宋体"/>
          <w:spacing w:val="8"/>
          <w:sz w:val="20"/>
          <w:szCs w:val="20"/>
        </w:rPr>
        <w:t>使用费应在成本核算中计列。</w:t>
      </w:r>
    </w:p>
    <w:p>
      <w:pPr>
        <w:spacing w:line="278" w:lineRule="exact"/>
        <w:ind w:left="425"/>
        <w:rPr>
          <w:rFonts w:ascii="宋体" w:hAnsi="宋体" w:eastAsia="宋体" w:cs="宋体"/>
          <w:sz w:val="20"/>
          <w:szCs w:val="20"/>
        </w:rPr>
      </w:pPr>
      <w:r>
        <w:rPr>
          <w:rFonts w:ascii="宋体" w:hAnsi="宋体" w:eastAsia="宋体" w:cs="宋体"/>
          <w:spacing w:val="3"/>
          <w:position w:val="1"/>
          <w:sz w:val="20"/>
          <w:szCs w:val="20"/>
        </w:rPr>
        <w:t>8. 引进技术设备其他费</w:t>
      </w:r>
    </w:p>
    <w:p>
      <w:pPr>
        <w:spacing w:before="113" w:line="278" w:lineRule="exact"/>
        <w:ind w:left="428"/>
        <w:rPr>
          <w:rFonts w:ascii="宋体" w:hAnsi="宋体" w:eastAsia="宋体" w:cs="宋体"/>
          <w:sz w:val="20"/>
          <w:szCs w:val="20"/>
        </w:rPr>
      </w:pPr>
      <w:r>
        <w:rPr>
          <w:rFonts w:ascii="宋体" w:hAnsi="宋体" w:eastAsia="宋体" w:cs="宋体"/>
          <w:spacing w:val="8"/>
          <w:position w:val="1"/>
          <w:sz w:val="20"/>
          <w:szCs w:val="20"/>
        </w:rPr>
        <w:t>引进技术设备其他费的内容包括：</w:t>
      </w:r>
    </w:p>
    <w:p>
      <w:pPr>
        <w:spacing w:before="111" w:line="293" w:lineRule="auto"/>
        <w:ind w:right="80" w:firstLine="41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1）出国人员费用，包括买方人员出国进行设计、联络、考察、联合设计、设备材料监检、培</w:t>
      </w:r>
      <w:r>
        <w:rPr>
          <w:rFonts w:ascii="宋体" w:hAnsi="宋体" w:eastAsia="宋体" w:cs="宋体"/>
          <w:spacing w:val="9"/>
          <w:sz w:val="20"/>
          <w:szCs w:val="20"/>
        </w:rPr>
        <w:t>训等所发生的差旅费、生活费、制装费等。</w:t>
      </w:r>
    </w:p>
    <w:p>
      <w:pPr>
        <w:spacing w:before="145" w:line="293" w:lineRule="auto"/>
        <w:ind w:left="2" w:right="40" w:firstLine="410"/>
        <w:rPr>
          <w:rFonts w:ascii="宋体" w:hAnsi="宋体" w:eastAsia="宋体" w:cs="宋体"/>
          <w:sz w:val="20"/>
          <w:szCs w:val="20"/>
        </w:rPr>
      </w:pPr>
      <w:r>
        <w:rPr>
          <w:rFonts w:ascii="宋体" w:hAnsi="宋体" w:eastAsia="宋体" w:cs="宋体"/>
          <w:spacing w:val="9"/>
          <w:sz w:val="20"/>
          <w:szCs w:val="20"/>
        </w:rPr>
        <w:t>（2）来华人员费用，包括卖方来华工程技术人员的差旅费、现场办公费用、往返现场交通费、</w:t>
      </w:r>
      <w:r>
        <w:rPr>
          <w:rFonts w:ascii="宋体" w:hAnsi="宋体" w:eastAsia="宋体" w:cs="宋体"/>
          <w:spacing w:val="8"/>
          <w:sz w:val="20"/>
          <w:szCs w:val="20"/>
        </w:rPr>
        <w:t>工资、食宿费用、接待费等。</w:t>
      </w:r>
    </w:p>
    <w:p>
      <w:pPr>
        <w:spacing w:before="146" w:line="293" w:lineRule="auto"/>
        <w:ind w:left="18" w:right="16" w:firstLine="394"/>
        <w:rPr>
          <w:rFonts w:ascii="宋体" w:hAnsi="宋体" w:eastAsia="宋体" w:cs="宋体"/>
          <w:sz w:val="20"/>
          <w:szCs w:val="20"/>
        </w:rPr>
      </w:pPr>
      <w:r>
        <w:rPr>
          <w:rFonts w:ascii="宋体" w:hAnsi="宋体" w:eastAsia="宋体" w:cs="宋体"/>
          <w:spacing w:val="5"/>
          <w:sz w:val="20"/>
          <w:szCs w:val="20"/>
        </w:rPr>
        <w:t>（3）银行担保及承诺费，指引进项目由国内外金融机构出面承担风险和责任担保所发生的费用，</w:t>
      </w:r>
      <w:r>
        <w:rPr>
          <w:rFonts w:ascii="宋体" w:hAnsi="宋体" w:eastAsia="宋体" w:cs="宋体"/>
          <w:spacing w:val="7"/>
          <w:sz w:val="20"/>
          <w:szCs w:val="20"/>
        </w:rPr>
        <w:t>以及支付贷款机构承诺费用。</w:t>
      </w:r>
    </w:p>
    <w:p>
      <w:pPr>
        <w:spacing w:before="144" w:line="278" w:lineRule="exact"/>
        <w:ind w:left="413"/>
        <w:rPr>
          <w:rFonts w:ascii="宋体" w:hAnsi="宋体" w:eastAsia="宋体" w:cs="宋体"/>
          <w:sz w:val="20"/>
          <w:szCs w:val="20"/>
        </w:rPr>
      </w:pPr>
      <w:r>
        <w:rPr>
          <w:rFonts w:ascii="宋体" w:hAnsi="宋体" w:eastAsia="宋体" w:cs="宋体"/>
          <w:spacing w:val="9"/>
          <w:position w:val="1"/>
          <w:sz w:val="20"/>
          <w:szCs w:val="20"/>
        </w:rPr>
        <w:t>（4）引进项目图纸资料翻译复制费、备品备件测绘费。</w:t>
      </w:r>
    </w:p>
    <w:p>
      <w:pPr>
        <w:spacing w:before="114" w:line="277" w:lineRule="exact"/>
        <w:ind w:left="420"/>
        <w:rPr>
          <w:rFonts w:ascii="宋体" w:hAnsi="宋体" w:eastAsia="宋体" w:cs="宋体"/>
          <w:sz w:val="20"/>
          <w:szCs w:val="20"/>
        </w:rPr>
      </w:pPr>
      <w:r>
        <w:rPr>
          <w:rFonts w:ascii="宋体" w:hAnsi="宋体" w:eastAsia="宋体" w:cs="宋体"/>
          <w:spacing w:val="7"/>
          <w:position w:val="1"/>
          <w:sz w:val="20"/>
          <w:szCs w:val="20"/>
        </w:rPr>
        <w:t>计算方法：</w:t>
      </w:r>
    </w:p>
    <w:p>
      <w:pPr>
        <w:spacing w:before="113" w:line="292" w:lineRule="auto"/>
        <w:ind w:firstLine="420"/>
        <w:rPr>
          <w:rFonts w:ascii="宋体" w:hAnsi="宋体" w:eastAsia="宋体" w:cs="宋体"/>
          <w:sz w:val="20"/>
          <w:szCs w:val="20"/>
        </w:rPr>
      </w:pPr>
      <w:r>
        <w:rPr>
          <w:rFonts w:ascii="宋体" w:hAnsi="宋体" w:eastAsia="宋体" w:cs="宋体"/>
          <w:spacing w:val="8"/>
          <w:sz w:val="20"/>
          <w:szCs w:val="20"/>
        </w:rPr>
        <w:t>①出国人员费用，依据合同规定的出国人次、期限和费用标准计算。生</w:t>
      </w:r>
      <w:r>
        <w:rPr>
          <w:rFonts w:ascii="宋体" w:hAnsi="宋体" w:eastAsia="宋体" w:cs="宋体"/>
          <w:spacing w:val="7"/>
          <w:sz w:val="20"/>
          <w:szCs w:val="20"/>
        </w:rPr>
        <w:t>活费及制装费按财政部、</w:t>
      </w:r>
      <w:r>
        <w:rPr>
          <w:rFonts w:ascii="宋体" w:hAnsi="宋体" w:eastAsia="宋体" w:cs="宋体"/>
          <w:spacing w:val="9"/>
          <w:sz w:val="20"/>
          <w:szCs w:val="20"/>
        </w:rPr>
        <w:t>外交部规定的现行标准计算，差旅费按中国民航公布的国际航线票价计算。</w:t>
      </w:r>
    </w:p>
    <w:p>
      <w:pPr>
        <w:spacing w:before="146" w:line="293" w:lineRule="auto"/>
        <w:ind w:left="2" w:right="81" w:firstLine="419"/>
        <w:rPr>
          <w:rFonts w:ascii="宋体" w:hAnsi="宋体" w:eastAsia="宋体" w:cs="宋体"/>
          <w:sz w:val="20"/>
          <w:szCs w:val="20"/>
        </w:rPr>
      </w:pPr>
      <w:r>
        <w:rPr>
          <w:rFonts w:ascii="宋体" w:hAnsi="宋体" w:eastAsia="宋体" w:cs="宋体"/>
          <w:spacing w:val="11"/>
          <w:sz w:val="20"/>
          <w:szCs w:val="20"/>
        </w:rPr>
        <w:t>②来华人员费用，依据引进合同有关条款规定和来华技术人员派遣计划计算。</w:t>
      </w:r>
      <w:r>
        <w:rPr>
          <w:rFonts w:ascii="宋体" w:hAnsi="宋体" w:eastAsia="宋体" w:cs="宋体"/>
          <w:spacing w:val="10"/>
          <w:sz w:val="20"/>
          <w:szCs w:val="20"/>
        </w:rPr>
        <w:t>来华人员接待费</w:t>
      </w:r>
      <w:r>
        <w:rPr>
          <w:rFonts w:ascii="宋体" w:hAnsi="宋体" w:eastAsia="宋体" w:cs="宋体"/>
          <w:spacing w:val="9"/>
          <w:sz w:val="20"/>
          <w:szCs w:val="20"/>
        </w:rPr>
        <w:t>用可按人次费用标准计算。引进合同有关条款中已包括的费用内容不得重复计算。</w:t>
      </w:r>
    </w:p>
    <w:p>
      <w:pPr>
        <w:spacing w:before="147" w:line="292" w:lineRule="auto"/>
        <w:ind w:right="81" w:firstLine="421"/>
        <w:rPr>
          <w:rFonts w:ascii="宋体" w:hAnsi="宋体" w:eastAsia="宋体" w:cs="宋体"/>
          <w:sz w:val="20"/>
          <w:szCs w:val="20"/>
        </w:rPr>
      </w:pPr>
      <w:r>
        <w:rPr>
          <w:rFonts w:ascii="宋体" w:hAnsi="宋体" w:eastAsia="宋体" w:cs="宋体"/>
          <w:spacing w:val="11"/>
          <w:sz w:val="20"/>
          <w:szCs w:val="20"/>
        </w:rPr>
        <w:t>③银行担保及承诺费，按担保或承诺协议计算。概算编制时可以担保金额或承</w:t>
      </w:r>
      <w:r>
        <w:rPr>
          <w:rFonts w:ascii="宋体" w:hAnsi="宋体" w:eastAsia="宋体" w:cs="宋体"/>
          <w:spacing w:val="10"/>
          <w:sz w:val="20"/>
          <w:szCs w:val="20"/>
        </w:rPr>
        <w:t>诺金额乘以费率</w:t>
      </w:r>
      <w:r>
        <w:rPr>
          <w:rFonts w:ascii="宋体" w:hAnsi="宋体" w:eastAsia="宋体" w:cs="宋体"/>
          <w:spacing w:val="5"/>
          <w:sz w:val="20"/>
          <w:szCs w:val="20"/>
        </w:rPr>
        <w:t>计算。</w:t>
      </w:r>
    </w:p>
    <w:p>
      <w:pPr>
        <w:spacing w:before="145" w:line="294" w:lineRule="auto"/>
        <w:ind w:left="3" w:right="80" w:firstLine="418"/>
        <w:rPr>
          <w:rFonts w:ascii="宋体" w:hAnsi="宋体" w:eastAsia="宋体" w:cs="宋体"/>
          <w:sz w:val="20"/>
          <w:szCs w:val="20"/>
        </w:rPr>
      </w:pPr>
      <w:r>
        <w:rPr>
          <w:rFonts w:ascii="宋体" w:hAnsi="宋体" w:eastAsia="宋体" w:cs="宋体"/>
          <w:spacing w:val="10"/>
          <w:sz w:val="20"/>
          <w:szCs w:val="20"/>
        </w:rPr>
        <w:t>④引进项目图纸资料翻译复制费，根据引进项目的具体情况计列</w:t>
      </w:r>
      <w:r>
        <w:rPr>
          <w:rFonts w:ascii="宋体" w:hAnsi="宋体" w:eastAsia="宋体" w:cs="宋体"/>
          <w:spacing w:val="-46"/>
          <w:sz w:val="20"/>
          <w:szCs w:val="20"/>
        </w:rPr>
        <w:t xml:space="preserve"> </w:t>
      </w:r>
      <w:r>
        <w:rPr>
          <w:rFonts w:ascii="宋体" w:hAnsi="宋体" w:eastAsia="宋体" w:cs="宋体"/>
          <w:spacing w:val="10"/>
          <w:sz w:val="20"/>
          <w:szCs w:val="20"/>
        </w:rPr>
        <w:t>，或按引进货价（</w:t>
      </w:r>
      <w:r>
        <w:rPr>
          <w:rFonts w:ascii="宋体" w:hAnsi="宋体" w:eastAsia="宋体" w:cs="宋体"/>
          <w:spacing w:val="-59"/>
          <w:sz w:val="20"/>
          <w:szCs w:val="20"/>
        </w:rPr>
        <w:t xml:space="preserve"> </w:t>
      </w:r>
      <w:r>
        <w:rPr>
          <w:rFonts w:ascii="宋体" w:hAnsi="宋体" w:eastAsia="宋体" w:cs="宋体"/>
          <w:sz w:val="20"/>
          <w:szCs w:val="20"/>
        </w:rPr>
        <w:t>FOB</w:t>
      </w:r>
      <w:r>
        <w:rPr>
          <w:rFonts w:ascii="宋体" w:hAnsi="宋体" w:eastAsia="宋体" w:cs="宋体"/>
          <w:spacing w:val="-41"/>
          <w:sz w:val="20"/>
          <w:szCs w:val="20"/>
        </w:rPr>
        <w:t xml:space="preserve"> </w:t>
      </w:r>
      <w:r>
        <w:rPr>
          <w:rFonts w:ascii="宋体" w:hAnsi="宋体" w:eastAsia="宋体" w:cs="宋体"/>
          <w:spacing w:val="10"/>
          <w:sz w:val="20"/>
          <w:szCs w:val="20"/>
        </w:rPr>
        <w:t>）的比</w:t>
      </w:r>
      <w:r>
        <w:rPr>
          <w:rFonts w:ascii="宋体" w:hAnsi="宋体" w:eastAsia="宋体" w:cs="宋体"/>
          <w:spacing w:val="9"/>
          <w:sz w:val="20"/>
          <w:szCs w:val="20"/>
        </w:rPr>
        <w:t>例估例；引进项目发生备品备件测绘费时按具体情况估列。</w:t>
      </w:r>
    </w:p>
    <w:p>
      <w:pPr>
        <w:spacing w:before="143" w:line="223" w:lineRule="auto"/>
        <w:ind w:left="423"/>
        <w:rPr>
          <w:rFonts w:ascii="宋体" w:hAnsi="宋体" w:eastAsia="宋体" w:cs="宋体"/>
          <w:sz w:val="20"/>
          <w:szCs w:val="20"/>
        </w:rPr>
      </w:pPr>
      <w:r>
        <w:rPr>
          <w:rFonts w:ascii="宋体" w:hAnsi="宋体" w:eastAsia="宋体" w:cs="宋体"/>
          <w:spacing w:val="2"/>
          <w:sz w:val="20"/>
          <w:szCs w:val="20"/>
        </w:rPr>
        <w:t>9</w:t>
      </w:r>
      <w:r>
        <w:rPr>
          <w:rFonts w:ascii="宋体" w:hAnsi="宋体" w:eastAsia="宋体" w:cs="宋体"/>
          <w:spacing w:val="2"/>
          <w:sz w:val="24"/>
          <w:szCs w:val="24"/>
        </w:rPr>
        <w:t xml:space="preserve">. </w:t>
      </w:r>
      <w:r>
        <w:rPr>
          <w:rFonts w:ascii="宋体" w:hAnsi="宋体" w:eastAsia="宋体" w:cs="宋体"/>
          <w:spacing w:val="2"/>
          <w:sz w:val="20"/>
          <w:szCs w:val="20"/>
        </w:rPr>
        <w:t>特种设备检验检测费</w:t>
      </w:r>
    </w:p>
    <w:p>
      <w:pPr>
        <w:spacing w:before="105" w:line="221" w:lineRule="auto"/>
        <w:ind w:left="420"/>
        <w:rPr>
          <w:rFonts w:ascii="宋体" w:hAnsi="宋体" w:eastAsia="宋体" w:cs="宋体"/>
          <w:sz w:val="20"/>
          <w:szCs w:val="20"/>
        </w:rPr>
      </w:pPr>
      <w:r>
        <w:rPr>
          <w:rFonts w:ascii="宋体" w:hAnsi="宋体" w:eastAsia="宋体" w:cs="宋体"/>
          <w:spacing w:val="10"/>
          <w:sz w:val="20"/>
          <w:szCs w:val="20"/>
        </w:rPr>
        <w:t>按照国家、省有关规定在项目建设中应缴纳的</w:t>
      </w:r>
      <w:r>
        <w:rPr>
          <w:rFonts w:ascii="宋体" w:hAnsi="宋体" w:eastAsia="宋体" w:cs="宋体"/>
          <w:spacing w:val="9"/>
          <w:sz w:val="20"/>
          <w:szCs w:val="20"/>
        </w:rPr>
        <w:t>且应计入工程造价的行政事业性收费。</w:t>
      </w:r>
    </w:p>
    <w:p>
      <w:pPr>
        <w:spacing w:before="146" w:line="278" w:lineRule="exact"/>
        <w:ind w:left="423"/>
        <w:rPr>
          <w:rFonts w:ascii="宋体" w:hAnsi="宋体" w:eastAsia="宋体" w:cs="宋体"/>
          <w:sz w:val="20"/>
          <w:szCs w:val="20"/>
        </w:rPr>
      </w:pPr>
      <w:r>
        <w:rPr>
          <w:rFonts w:ascii="宋体" w:hAnsi="宋体" w:eastAsia="宋体" w:cs="宋体"/>
          <w:spacing w:val="11"/>
          <w:position w:val="1"/>
          <w:sz w:val="20"/>
          <w:szCs w:val="20"/>
        </w:rPr>
        <w:t>根据《特种设备安全监察条例》的有关规定，经特种设备安全监督管理部</w:t>
      </w:r>
      <w:r>
        <w:rPr>
          <w:rFonts w:ascii="宋体" w:hAnsi="宋体" w:eastAsia="宋体" w:cs="宋体"/>
          <w:spacing w:val="10"/>
          <w:position w:val="1"/>
          <w:sz w:val="20"/>
          <w:szCs w:val="20"/>
        </w:rPr>
        <w:t>门核准的特种设备检</w:t>
      </w:r>
    </w:p>
    <w:p>
      <w:pPr>
        <w:spacing w:line="278" w:lineRule="exact"/>
        <w:rPr>
          <w:rFonts w:ascii="宋体" w:hAnsi="宋体" w:eastAsia="宋体" w:cs="宋体"/>
          <w:sz w:val="20"/>
          <w:szCs w:val="20"/>
        </w:rPr>
        <w:sectPr>
          <w:footerReference r:id="rId19" w:type="default"/>
          <w:pgSz w:w="11905" w:h="16840"/>
          <w:pgMar w:top="1431" w:right="1338" w:bottom="1213" w:left="1418" w:header="0" w:footer="898" w:gutter="0"/>
        </w:sectPr>
      </w:pPr>
    </w:p>
    <w:p>
      <w:pPr>
        <w:spacing w:before="119" w:line="359" w:lineRule="auto"/>
        <w:ind w:right="81" w:firstLine="3"/>
        <w:jc w:val="both"/>
        <w:rPr>
          <w:rFonts w:ascii="宋体" w:hAnsi="宋体" w:eastAsia="宋体" w:cs="宋体"/>
          <w:sz w:val="20"/>
          <w:szCs w:val="20"/>
        </w:rPr>
      </w:pPr>
      <w:r>
        <w:rPr>
          <w:rFonts w:ascii="宋体" w:hAnsi="宋体" w:eastAsia="宋体" w:cs="宋体"/>
          <w:spacing w:val="11"/>
          <w:sz w:val="20"/>
          <w:szCs w:val="20"/>
        </w:rPr>
        <w:t>验检测机构，对施工现场组装的特种设备实施检验检测，应由建设项目支</w:t>
      </w:r>
      <w:r>
        <w:rPr>
          <w:rFonts w:ascii="宋体" w:hAnsi="宋体" w:eastAsia="宋体" w:cs="宋体"/>
          <w:spacing w:val="10"/>
          <w:sz w:val="20"/>
          <w:szCs w:val="20"/>
        </w:rPr>
        <w:t>付的、向设备安监部门缴</w:t>
      </w:r>
      <w:r>
        <w:rPr>
          <w:rFonts w:ascii="宋体" w:hAnsi="宋体" w:eastAsia="宋体" w:cs="宋体"/>
          <w:spacing w:val="11"/>
          <w:sz w:val="20"/>
          <w:szCs w:val="20"/>
        </w:rPr>
        <w:t>纳的费用。特种设备包括锅炉和压力容器、压力管道、消防设备、燃气设备、电</w:t>
      </w:r>
      <w:r>
        <w:rPr>
          <w:rFonts w:ascii="宋体" w:hAnsi="宋体" w:eastAsia="宋体" w:cs="宋体"/>
          <w:spacing w:val="10"/>
          <w:sz w:val="20"/>
          <w:szCs w:val="20"/>
        </w:rPr>
        <w:t>梯等特殊设备和设</w:t>
      </w:r>
      <w:r>
        <w:rPr>
          <w:rFonts w:ascii="宋体" w:hAnsi="宋体" w:eastAsia="宋体" w:cs="宋体"/>
          <w:spacing w:val="3"/>
          <w:sz w:val="20"/>
          <w:szCs w:val="20"/>
        </w:rPr>
        <w:t>施。</w:t>
      </w:r>
    </w:p>
    <w:p>
      <w:pPr>
        <w:spacing w:line="277" w:lineRule="exact"/>
        <w:ind w:left="440"/>
        <w:rPr>
          <w:rFonts w:ascii="宋体" w:hAnsi="宋体" w:eastAsia="宋体" w:cs="宋体"/>
          <w:sz w:val="20"/>
          <w:szCs w:val="20"/>
        </w:rPr>
      </w:pPr>
      <w:r>
        <w:rPr>
          <w:rFonts w:ascii="宋体" w:hAnsi="宋体" w:eastAsia="宋体" w:cs="宋体"/>
          <w:spacing w:val="1"/>
          <w:position w:val="1"/>
          <w:sz w:val="20"/>
          <w:szCs w:val="20"/>
        </w:rPr>
        <w:t>10. 其他技术咨询费用</w:t>
      </w:r>
    </w:p>
    <w:p>
      <w:pPr>
        <w:spacing w:before="118" w:line="220" w:lineRule="auto"/>
        <w:ind w:left="420"/>
        <w:rPr>
          <w:rFonts w:ascii="宋体" w:hAnsi="宋体" w:eastAsia="宋体" w:cs="宋体"/>
          <w:sz w:val="20"/>
          <w:szCs w:val="20"/>
        </w:rPr>
      </w:pPr>
      <w:r>
        <w:rPr>
          <w:rFonts w:ascii="宋体" w:hAnsi="宋体" w:eastAsia="宋体" w:cs="宋体"/>
          <w:spacing w:val="8"/>
          <w:sz w:val="20"/>
          <w:szCs w:val="20"/>
        </w:rPr>
        <w:t>按照有关规定双方合同约定计算。</w:t>
      </w:r>
    </w:p>
    <w:p>
      <w:pPr>
        <w:spacing w:before="145" w:line="279" w:lineRule="exact"/>
        <w:ind w:left="413"/>
        <w:rPr>
          <w:rFonts w:ascii="宋体" w:hAnsi="宋体" w:eastAsia="宋体" w:cs="宋体"/>
          <w:sz w:val="20"/>
          <w:szCs w:val="20"/>
        </w:rPr>
      </w:pPr>
      <w:r>
        <w:rPr>
          <w:rFonts w:ascii="宋体" w:hAnsi="宋体" w:eastAsia="宋体" w:cs="宋体"/>
          <w:spacing w:val="2"/>
          <w:position w:val="1"/>
          <w:sz w:val="20"/>
          <w:szCs w:val="20"/>
        </w:rPr>
        <w:t>（</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1）项目配套费</w:t>
      </w:r>
    </w:p>
    <w:p>
      <w:pPr>
        <w:spacing w:before="114" w:line="359" w:lineRule="auto"/>
        <w:ind w:left="3" w:right="81" w:firstLine="417"/>
        <w:rPr>
          <w:rFonts w:ascii="宋体" w:hAnsi="宋体" w:eastAsia="宋体" w:cs="宋体"/>
          <w:sz w:val="20"/>
          <w:szCs w:val="20"/>
        </w:rPr>
      </w:pPr>
      <w:r>
        <w:rPr>
          <w:rFonts w:ascii="宋体" w:hAnsi="宋体" w:eastAsia="宋体" w:cs="宋体"/>
          <w:spacing w:val="11"/>
          <w:sz w:val="20"/>
          <w:szCs w:val="20"/>
        </w:rPr>
        <w:t>项目配套费，指项目建设单位按照省人民政府有关规定缴纳的基础设施、市政</w:t>
      </w:r>
      <w:r>
        <w:rPr>
          <w:rFonts w:ascii="宋体" w:hAnsi="宋体" w:eastAsia="宋体" w:cs="宋体"/>
          <w:spacing w:val="10"/>
          <w:sz w:val="20"/>
          <w:szCs w:val="20"/>
        </w:rPr>
        <w:t>公用、社会公益</w:t>
      </w:r>
      <w:r>
        <w:rPr>
          <w:rFonts w:ascii="宋体" w:hAnsi="宋体" w:eastAsia="宋体" w:cs="宋体"/>
          <w:spacing w:val="7"/>
          <w:sz w:val="20"/>
          <w:szCs w:val="20"/>
        </w:rPr>
        <w:t>等配套设施建设费。</w:t>
      </w:r>
    </w:p>
    <w:p>
      <w:pPr>
        <w:spacing w:line="278" w:lineRule="exact"/>
        <w:ind w:left="413"/>
        <w:rPr>
          <w:rFonts w:ascii="宋体" w:hAnsi="宋体" w:eastAsia="宋体" w:cs="宋体"/>
          <w:sz w:val="20"/>
          <w:szCs w:val="20"/>
        </w:rPr>
      </w:pPr>
      <w:r>
        <w:rPr>
          <w:rFonts w:ascii="宋体" w:hAnsi="宋体" w:eastAsia="宋体" w:cs="宋体"/>
          <w:spacing w:val="9"/>
          <w:position w:val="1"/>
          <w:sz w:val="20"/>
          <w:szCs w:val="20"/>
        </w:rPr>
        <w:t>（2）项目建设管理费</w:t>
      </w:r>
    </w:p>
    <w:p>
      <w:pPr>
        <w:spacing w:before="112" w:line="222" w:lineRule="auto"/>
        <w:ind w:left="421"/>
        <w:rPr>
          <w:rFonts w:ascii="宋体" w:hAnsi="宋体" w:eastAsia="宋体" w:cs="宋体"/>
          <w:sz w:val="20"/>
          <w:szCs w:val="20"/>
        </w:rPr>
      </w:pPr>
      <w:r>
        <w:rPr>
          <w:rFonts w:ascii="宋体" w:hAnsi="宋体" w:eastAsia="宋体" w:cs="宋体"/>
          <w:spacing w:val="9"/>
          <w:sz w:val="20"/>
          <w:szCs w:val="20"/>
        </w:rPr>
        <w:t>①建设单位管理费</w:t>
      </w:r>
    </w:p>
    <w:p>
      <w:pPr>
        <w:spacing w:before="152" w:line="359" w:lineRule="auto"/>
        <w:ind w:left="3" w:right="81" w:firstLine="418"/>
        <w:rPr>
          <w:rFonts w:ascii="宋体" w:hAnsi="宋体" w:eastAsia="宋体" w:cs="宋体"/>
          <w:sz w:val="20"/>
          <w:szCs w:val="20"/>
        </w:rPr>
      </w:pPr>
      <w:r>
        <w:rPr>
          <w:rFonts w:ascii="宋体" w:hAnsi="宋体" w:eastAsia="宋体" w:cs="宋体"/>
          <w:spacing w:val="11"/>
          <w:sz w:val="20"/>
          <w:szCs w:val="20"/>
        </w:rPr>
        <w:t>建设单位管理费，是指建设单位从项目筹建之日起、至办理竣工财务决算之日</w:t>
      </w:r>
      <w:r>
        <w:rPr>
          <w:rFonts w:ascii="宋体" w:hAnsi="宋体" w:eastAsia="宋体" w:cs="宋体"/>
          <w:spacing w:val="10"/>
          <w:sz w:val="20"/>
          <w:szCs w:val="20"/>
        </w:rPr>
        <w:t>止发生的管理性</w:t>
      </w:r>
      <w:r>
        <w:rPr>
          <w:rFonts w:ascii="宋体" w:hAnsi="宋体" w:eastAsia="宋体" w:cs="宋体"/>
          <w:spacing w:val="6"/>
          <w:sz w:val="20"/>
          <w:szCs w:val="20"/>
        </w:rPr>
        <w:t>质的开支。</w:t>
      </w:r>
    </w:p>
    <w:p>
      <w:pPr>
        <w:spacing w:before="1" w:line="341" w:lineRule="auto"/>
        <w:ind w:left="2" w:right="74" w:firstLine="419"/>
        <w:rPr>
          <w:rFonts w:ascii="宋体" w:hAnsi="宋体" w:eastAsia="宋体" w:cs="宋体"/>
          <w:sz w:val="20"/>
          <w:szCs w:val="20"/>
        </w:rPr>
      </w:pPr>
      <w:r>
        <w:rPr>
          <w:rFonts w:ascii="宋体" w:hAnsi="宋体" w:eastAsia="宋体" w:cs="宋体"/>
          <w:spacing w:val="11"/>
          <w:sz w:val="20"/>
          <w:szCs w:val="20"/>
        </w:rPr>
        <w:t>建设单位管理费率应符合财政部《基本建设项目建设成本管理规定》（财建〔2016〕504</w:t>
      </w:r>
      <w:r>
        <w:rPr>
          <w:rFonts w:ascii="宋体" w:hAnsi="宋体" w:eastAsia="宋体" w:cs="宋体"/>
          <w:spacing w:val="-34"/>
          <w:sz w:val="20"/>
          <w:szCs w:val="20"/>
        </w:rPr>
        <w:t xml:space="preserve"> </w:t>
      </w:r>
      <w:r>
        <w:rPr>
          <w:rFonts w:ascii="宋体" w:hAnsi="宋体" w:eastAsia="宋体" w:cs="宋体"/>
          <w:spacing w:val="11"/>
          <w:sz w:val="20"/>
          <w:szCs w:val="20"/>
        </w:rPr>
        <w:t>号）</w:t>
      </w:r>
      <w:r>
        <w:rPr>
          <w:rFonts w:ascii="宋体" w:hAnsi="宋体" w:eastAsia="宋体" w:cs="宋体"/>
          <w:spacing w:val="6"/>
          <w:sz w:val="20"/>
          <w:szCs w:val="20"/>
        </w:rPr>
        <w:t>规定要求。</w:t>
      </w:r>
    </w:p>
    <w:p>
      <w:pPr>
        <w:spacing w:before="41" w:line="222" w:lineRule="auto"/>
        <w:ind w:left="421"/>
        <w:rPr>
          <w:rFonts w:ascii="宋体" w:hAnsi="宋体" w:eastAsia="宋体" w:cs="宋体"/>
          <w:sz w:val="20"/>
          <w:szCs w:val="20"/>
        </w:rPr>
      </w:pPr>
      <w:r>
        <w:rPr>
          <w:rFonts w:ascii="宋体" w:hAnsi="宋体" w:eastAsia="宋体" w:cs="宋体"/>
          <w:spacing w:val="9"/>
          <w:sz w:val="20"/>
          <w:szCs w:val="20"/>
        </w:rPr>
        <w:t>②项目建设管理代理费</w:t>
      </w:r>
    </w:p>
    <w:p>
      <w:pPr>
        <w:spacing w:before="150" w:line="223" w:lineRule="auto"/>
        <w:ind w:left="421"/>
        <w:rPr>
          <w:rFonts w:ascii="宋体" w:hAnsi="宋体" w:eastAsia="宋体" w:cs="宋体"/>
          <w:sz w:val="20"/>
          <w:szCs w:val="20"/>
        </w:rPr>
      </w:pPr>
      <w:r>
        <w:rPr>
          <w:rFonts w:ascii="宋体" w:hAnsi="宋体" w:eastAsia="宋体" w:cs="宋体"/>
          <w:spacing w:val="9"/>
          <w:sz w:val="20"/>
          <w:szCs w:val="20"/>
        </w:rPr>
        <w:t>项目建设管理代理费列入项目总投资，并按基本建设程序管理。</w:t>
      </w:r>
    </w:p>
    <w:p>
      <w:pPr>
        <w:spacing w:before="150" w:line="359" w:lineRule="auto"/>
        <w:ind w:right="81" w:firstLine="423"/>
        <w:rPr>
          <w:rFonts w:ascii="宋体" w:hAnsi="宋体" w:eastAsia="宋体" w:cs="宋体"/>
          <w:sz w:val="20"/>
          <w:szCs w:val="20"/>
        </w:rPr>
      </w:pPr>
      <w:r>
        <w:rPr>
          <w:rFonts w:ascii="宋体" w:hAnsi="宋体" w:eastAsia="宋体" w:cs="宋体"/>
          <w:spacing w:val="11"/>
          <w:sz w:val="20"/>
          <w:szCs w:val="20"/>
        </w:rPr>
        <w:t>凡实行项目建设管理代理制的项目，总投资中原则上不得再列建设单位管</w:t>
      </w:r>
      <w:r>
        <w:rPr>
          <w:rFonts w:ascii="宋体" w:hAnsi="宋体" w:eastAsia="宋体" w:cs="宋体"/>
          <w:spacing w:val="10"/>
          <w:sz w:val="20"/>
          <w:szCs w:val="20"/>
        </w:rPr>
        <w:t>理费。若建设单位确</w:t>
      </w:r>
      <w:r>
        <w:rPr>
          <w:rFonts w:ascii="宋体" w:hAnsi="宋体" w:eastAsia="宋体" w:cs="宋体"/>
          <w:spacing w:val="9"/>
          <w:sz w:val="20"/>
          <w:szCs w:val="20"/>
        </w:rPr>
        <w:t>需发生建设单位管理费，需报经政府相关部门审核批准列支。</w:t>
      </w:r>
    </w:p>
    <w:p>
      <w:pPr>
        <w:spacing w:before="1" w:line="221" w:lineRule="auto"/>
        <w:ind w:left="421"/>
        <w:rPr>
          <w:rFonts w:ascii="宋体" w:hAnsi="宋体" w:eastAsia="宋体" w:cs="宋体"/>
          <w:sz w:val="20"/>
          <w:szCs w:val="20"/>
        </w:rPr>
      </w:pPr>
      <w:r>
        <w:rPr>
          <w:rFonts w:ascii="宋体" w:hAnsi="宋体" w:eastAsia="宋体" w:cs="宋体"/>
          <w:spacing w:val="9"/>
          <w:sz w:val="20"/>
          <w:szCs w:val="20"/>
        </w:rPr>
        <w:t>③造价咨询服务费</w:t>
      </w:r>
    </w:p>
    <w:p>
      <w:pPr>
        <w:spacing w:before="151" w:line="359" w:lineRule="auto"/>
        <w:ind w:right="81" w:firstLine="420"/>
        <w:rPr>
          <w:rFonts w:ascii="宋体" w:hAnsi="宋体" w:eastAsia="宋体" w:cs="宋体"/>
          <w:sz w:val="20"/>
          <w:szCs w:val="20"/>
        </w:rPr>
      </w:pPr>
      <w:r>
        <w:rPr>
          <w:rFonts w:ascii="宋体" w:hAnsi="宋体" w:eastAsia="宋体" w:cs="宋体"/>
          <w:spacing w:val="11"/>
          <w:sz w:val="20"/>
          <w:szCs w:val="20"/>
        </w:rPr>
        <w:t>造价咨询服务费，指工程造价咨询机构受建设单位委托，承担项目决策阶段、</w:t>
      </w:r>
      <w:r>
        <w:rPr>
          <w:rFonts w:ascii="宋体" w:hAnsi="宋体" w:eastAsia="宋体" w:cs="宋体"/>
          <w:spacing w:val="10"/>
          <w:sz w:val="20"/>
          <w:szCs w:val="20"/>
        </w:rPr>
        <w:t>设计阶段、发承</w:t>
      </w:r>
      <w:r>
        <w:rPr>
          <w:rFonts w:ascii="宋体" w:hAnsi="宋体" w:eastAsia="宋体" w:cs="宋体"/>
          <w:spacing w:val="9"/>
          <w:sz w:val="20"/>
          <w:szCs w:val="20"/>
        </w:rPr>
        <w:t>包阶段、实施阶段、竣工阶段、保修阶段工程造价咨询等服务所发生的费用。</w:t>
      </w:r>
    </w:p>
    <w:p>
      <w:pPr>
        <w:spacing w:before="1" w:line="221" w:lineRule="auto"/>
        <w:ind w:left="421"/>
        <w:rPr>
          <w:rFonts w:ascii="宋体" w:hAnsi="宋体" w:eastAsia="宋体" w:cs="宋体"/>
          <w:sz w:val="20"/>
          <w:szCs w:val="20"/>
        </w:rPr>
      </w:pPr>
      <w:r>
        <w:rPr>
          <w:rFonts w:ascii="宋体" w:hAnsi="宋体" w:eastAsia="宋体" w:cs="宋体"/>
          <w:spacing w:val="9"/>
          <w:sz w:val="20"/>
          <w:szCs w:val="20"/>
        </w:rPr>
        <w:t>④工程监理费</w:t>
      </w:r>
    </w:p>
    <w:p>
      <w:pPr>
        <w:spacing w:before="154" w:line="222" w:lineRule="auto"/>
        <w:ind w:left="422"/>
        <w:rPr>
          <w:rFonts w:ascii="宋体" w:hAnsi="宋体" w:eastAsia="宋体" w:cs="宋体"/>
          <w:sz w:val="20"/>
          <w:szCs w:val="20"/>
        </w:rPr>
      </w:pPr>
      <w:r>
        <w:rPr>
          <w:rFonts w:ascii="宋体" w:hAnsi="宋体" w:eastAsia="宋体" w:cs="宋体"/>
          <w:spacing w:val="9"/>
          <w:sz w:val="20"/>
          <w:szCs w:val="20"/>
        </w:rPr>
        <w:t>工程监理费，指委托工程监理单位对工程实施监理工作所需的费用。</w:t>
      </w:r>
    </w:p>
    <w:p>
      <w:pPr>
        <w:spacing w:before="143" w:line="276" w:lineRule="exact"/>
        <w:ind w:left="421"/>
        <w:rPr>
          <w:rFonts w:ascii="宋体" w:hAnsi="宋体" w:eastAsia="宋体" w:cs="宋体"/>
          <w:sz w:val="20"/>
          <w:szCs w:val="20"/>
        </w:rPr>
      </w:pPr>
      <w:r>
        <w:rPr>
          <w:rFonts w:ascii="宋体" w:hAnsi="宋体" w:eastAsia="宋体" w:cs="宋体"/>
          <w:spacing w:val="9"/>
          <w:position w:val="1"/>
          <w:sz w:val="20"/>
          <w:szCs w:val="20"/>
        </w:rPr>
        <w:t>⑤工程保险费</w:t>
      </w:r>
    </w:p>
    <w:p>
      <w:pPr>
        <w:spacing w:before="116" w:line="358" w:lineRule="auto"/>
        <w:ind w:right="81" w:firstLine="421"/>
        <w:rPr>
          <w:rFonts w:ascii="宋体" w:hAnsi="宋体" w:eastAsia="宋体" w:cs="宋体"/>
          <w:sz w:val="20"/>
          <w:szCs w:val="20"/>
        </w:rPr>
      </w:pPr>
      <w:r>
        <w:rPr>
          <w:rFonts w:ascii="宋体" w:hAnsi="宋体" w:eastAsia="宋体" w:cs="宋体"/>
          <w:spacing w:val="11"/>
          <w:sz w:val="20"/>
          <w:szCs w:val="20"/>
        </w:rPr>
        <w:t>工程保险费，指建设项目在建设期间根据需要对建筑工程、安装工程、机器</w:t>
      </w:r>
      <w:r>
        <w:rPr>
          <w:rFonts w:ascii="宋体" w:hAnsi="宋体" w:eastAsia="宋体" w:cs="宋体"/>
          <w:spacing w:val="10"/>
          <w:sz w:val="20"/>
          <w:szCs w:val="20"/>
        </w:rPr>
        <w:t>设备和人身安全进</w:t>
      </w:r>
      <w:r>
        <w:rPr>
          <w:rFonts w:ascii="宋体" w:hAnsi="宋体" w:eastAsia="宋体" w:cs="宋体"/>
          <w:spacing w:val="8"/>
          <w:sz w:val="20"/>
          <w:szCs w:val="20"/>
        </w:rPr>
        <w:t>行投保而发生的保险费用。</w:t>
      </w:r>
    </w:p>
    <w:p>
      <w:pPr>
        <w:spacing w:before="3" w:line="343" w:lineRule="auto"/>
        <w:ind w:left="8" w:right="81" w:firstLine="414"/>
        <w:rPr>
          <w:rFonts w:ascii="宋体" w:hAnsi="宋体" w:eastAsia="宋体" w:cs="宋体"/>
          <w:sz w:val="20"/>
          <w:szCs w:val="20"/>
        </w:rPr>
      </w:pPr>
      <w:r>
        <w:rPr>
          <w:rFonts w:ascii="宋体" w:hAnsi="宋体" w:eastAsia="宋体" w:cs="宋体"/>
          <w:spacing w:val="11"/>
          <w:sz w:val="20"/>
          <w:szCs w:val="20"/>
        </w:rPr>
        <w:t>不投保的工程不计算该项费用；已列入企业管理费中的施工管理财产、车辆</w:t>
      </w:r>
      <w:r>
        <w:rPr>
          <w:rFonts w:ascii="宋体" w:hAnsi="宋体" w:eastAsia="宋体" w:cs="宋体"/>
          <w:spacing w:val="10"/>
          <w:sz w:val="20"/>
          <w:szCs w:val="20"/>
        </w:rPr>
        <w:t>保险费不计入该项</w:t>
      </w:r>
      <w:r>
        <w:rPr>
          <w:rFonts w:ascii="宋体" w:hAnsi="宋体" w:eastAsia="宋体" w:cs="宋体"/>
          <w:spacing w:val="2"/>
          <w:sz w:val="20"/>
          <w:szCs w:val="20"/>
        </w:rPr>
        <w:t>费用。</w:t>
      </w:r>
    </w:p>
    <w:p>
      <w:pPr>
        <w:spacing w:before="39" w:line="222" w:lineRule="auto"/>
        <w:ind w:left="421"/>
        <w:rPr>
          <w:rFonts w:ascii="宋体" w:hAnsi="宋体" w:eastAsia="宋体" w:cs="宋体"/>
          <w:sz w:val="20"/>
          <w:szCs w:val="20"/>
        </w:rPr>
      </w:pPr>
      <w:r>
        <w:rPr>
          <w:rFonts w:ascii="宋体" w:hAnsi="宋体" w:eastAsia="宋体" w:cs="宋体"/>
          <w:spacing w:val="9"/>
          <w:sz w:val="20"/>
          <w:szCs w:val="20"/>
        </w:rPr>
        <w:t>⑥场地准备及临时设施费</w:t>
      </w:r>
    </w:p>
    <w:p>
      <w:pPr>
        <w:spacing w:before="150" w:line="360" w:lineRule="auto"/>
        <w:ind w:left="2" w:right="81" w:firstLine="420"/>
        <w:rPr>
          <w:rFonts w:ascii="宋体" w:hAnsi="宋体" w:eastAsia="宋体" w:cs="宋体"/>
          <w:sz w:val="20"/>
          <w:szCs w:val="20"/>
        </w:rPr>
      </w:pPr>
      <w:r>
        <w:rPr>
          <w:rFonts w:ascii="宋体" w:hAnsi="宋体" w:eastAsia="宋体" w:cs="宋体"/>
          <w:spacing w:val="11"/>
          <w:sz w:val="20"/>
          <w:szCs w:val="20"/>
        </w:rPr>
        <w:t>场地准备费，是指为使建设项目达到工程开工条件所发生的场地平整和建设</w:t>
      </w:r>
      <w:r>
        <w:rPr>
          <w:rFonts w:ascii="宋体" w:hAnsi="宋体" w:eastAsia="宋体" w:cs="宋体"/>
          <w:spacing w:val="10"/>
          <w:sz w:val="20"/>
          <w:szCs w:val="20"/>
        </w:rPr>
        <w:t>场地余留的有碍施</w:t>
      </w:r>
      <w:r>
        <w:rPr>
          <w:rFonts w:ascii="宋体" w:hAnsi="宋体" w:eastAsia="宋体" w:cs="宋体"/>
          <w:spacing w:val="9"/>
          <w:sz w:val="20"/>
          <w:szCs w:val="20"/>
        </w:rPr>
        <w:t>工建设的设施进行拆除清理的费用。</w:t>
      </w:r>
    </w:p>
    <w:p>
      <w:pPr>
        <w:spacing w:before="2" w:line="359" w:lineRule="auto"/>
        <w:ind w:left="2" w:firstLine="431"/>
        <w:jc w:val="both"/>
        <w:rPr>
          <w:rFonts w:ascii="宋体" w:hAnsi="宋体" w:eastAsia="宋体" w:cs="宋体"/>
          <w:sz w:val="20"/>
          <w:szCs w:val="20"/>
        </w:rPr>
      </w:pPr>
      <w:r>
        <w:rPr>
          <w:rFonts w:ascii="宋体" w:hAnsi="宋体" w:eastAsia="宋体" w:cs="宋体"/>
          <w:spacing w:val="8"/>
          <w:sz w:val="20"/>
          <w:szCs w:val="20"/>
        </w:rPr>
        <w:t>临时设施费，是指为满足施工建设需要，建</w:t>
      </w:r>
      <w:r>
        <w:rPr>
          <w:rFonts w:ascii="宋体" w:hAnsi="宋体" w:eastAsia="宋体" w:cs="宋体"/>
          <w:spacing w:val="7"/>
          <w:sz w:val="20"/>
          <w:szCs w:val="20"/>
        </w:rPr>
        <w:t>设单位所用的和需供到建设场地的临时设施的搭设、</w:t>
      </w:r>
      <w:r>
        <w:rPr>
          <w:rFonts w:ascii="宋体" w:hAnsi="宋体" w:eastAsia="宋体" w:cs="宋体"/>
          <w:spacing w:val="11"/>
          <w:sz w:val="20"/>
          <w:szCs w:val="20"/>
        </w:rPr>
        <w:t>维修、拆除、摊销费或租赁费用。此费用不包括已列入建筑安装工程费中的</w:t>
      </w:r>
      <w:r>
        <w:rPr>
          <w:rFonts w:ascii="宋体" w:hAnsi="宋体" w:eastAsia="宋体" w:cs="宋体"/>
          <w:spacing w:val="10"/>
          <w:sz w:val="20"/>
          <w:szCs w:val="20"/>
        </w:rPr>
        <w:t>施工单位的临时设施费</w:t>
      </w:r>
      <w:r>
        <w:rPr>
          <w:rFonts w:ascii="宋体" w:hAnsi="宋体" w:eastAsia="宋体" w:cs="宋体"/>
          <w:spacing w:val="2"/>
          <w:sz w:val="20"/>
          <w:szCs w:val="20"/>
        </w:rPr>
        <w:t>用。</w:t>
      </w:r>
    </w:p>
    <w:p>
      <w:pPr>
        <w:spacing w:line="277" w:lineRule="exact"/>
        <w:ind w:left="420"/>
        <w:rPr>
          <w:rFonts w:ascii="宋体" w:hAnsi="宋体" w:eastAsia="宋体" w:cs="宋体"/>
          <w:sz w:val="20"/>
          <w:szCs w:val="20"/>
        </w:rPr>
      </w:pPr>
      <w:r>
        <w:rPr>
          <w:rFonts w:ascii="宋体" w:hAnsi="宋体" w:eastAsia="宋体" w:cs="宋体"/>
          <w:spacing w:val="7"/>
          <w:position w:val="1"/>
          <w:sz w:val="20"/>
          <w:szCs w:val="20"/>
        </w:rPr>
        <w:t>计算方法：</w:t>
      </w:r>
    </w:p>
    <w:p>
      <w:pPr>
        <w:spacing w:before="112" w:line="223" w:lineRule="auto"/>
        <w:ind w:left="422"/>
        <w:rPr>
          <w:rFonts w:ascii="宋体" w:hAnsi="宋体" w:eastAsia="宋体" w:cs="宋体"/>
          <w:sz w:val="20"/>
          <w:szCs w:val="20"/>
        </w:rPr>
      </w:pPr>
      <w:r>
        <w:rPr>
          <w:rFonts w:ascii="MS UI Gothic" w:hAnsi="MS UI Gothic" w:eastAsia="MS UI Gothic" w:cs="MS UI Gothic"/>
          <w:spacing w:val="11"/>
          <w:sz w:val="20"/>
          <w:szCs w:val="20"/>
        </w:rPr>
        <w:t>Ⓐ</w:t>
      </w:r>
      <w:r>
        <w:rPr>
          <w:rFonts w:ascii="宋体" w:hAnsi="宋体" w:eastAsia="宋体" w:cs="宋体"/>
          <w:spacing w:val="11"/>
          <w:sz w:val="20"/>
          <w:szCs w:val="20"/>
        </w:rPr>
        <w:t>新建项目的场地准备及临时设施费，应根据实际工程量估算，或按工程费</w:t>
      </w:r>
      <w:r>
        <w:rPr>
          <w:rFonts w:ascii="宋体" w:hAnsi="宋体" w:eastAsia="宋体" w:cs="宋体"/>
          <w:spacing w:val="10"/>
          <w:sz w:val="20"/>
          <w:szCs w:val="20"/>
        </w:rPr>
        <w:t>用的比例计算。一</w:t>
      </w:r>
    </w:p>
    <w:p>
      <w:pPr>
        <w:spacing w:line="223" w:lineRule="auto"/>
        <w:rPr>
          <w:rFonts w:ascii="宋体" w:hAnsi="宋体" w:eastAsia="宋体" w:cs="宋体"/>
          <w:sz w:val="20"/>
          <w:szCs w:val="20"/>
        </w:rPr>
        <w:sectPr>
          <w:footerReference r:id="rId20" w:type="default"/>
          <w:pgSz w:w="11905" w:h="16840"/>
          <w:pgMar w:top="1431" w:right="1338" w:bottom="1213" w:left="1418" w:header="0" w:footer="898" w:gutter="0"/>
        </w:sectPr>
      </w:pPr>
    </w:p>
    <w:p>
      <w:pPr>
        <w:spacing w:before="117" w:line="278" w:lineRule="exact"/>
        <w:ind w:left="1"/>
        <w:rPr>
          <w:rFonts w:ascii="宋体" w:hAnsi="宋体" w:eastAsia="宋体" w:cs="宋体"/>
          <w:sz w:val="20"/>
          <w:szCs w:val="20"/>
        </w:rPr>
      </w:pPr>
      <w:r>
        <w:rPr>
          <w:rFonts w:ascii="宋体" w:hAnsi="宋体" w:eastAsia="宋体" w:cs="宋体"/>
          <w:spacing w:val="11"/>
          <w:position w:val="1"/>
          <w:sz w:val="20"/>
          <w:szCs w:val="20"/>
        </w:rPr>
        <w:t>般可按工程费用（包括建筑工程费、安装工程费用和设备购置费之</w:t>
      </w:r>
      <w:r>
        <w:rPr>
          <w:rFonts w:ascii="宋体" w:hAnsi="宋体" w:eastAsia="宋体" w:cs="宋体"/>
          <w:spacing w:val="10"/>
          <w:position w:val="1"/>
          <w:sz w:val="20"/>
          <w:szCs w:val="20"/>
        </w:rPr>
        <w:t>和）的</w:t>
      </w:r>
      <w:r>
        <w:rPr>
          <w:rFonts w:ascii="宋体" w:hAnsi="宋体" w:eastAsia="宋体" w:cs="宋体"/>
          <w:spacing w:val="-40"/>
          <w:position w:val="1"/>
          <w:sz w:val="20"/>
          <w:szCs w:val="20"/>
        </w:rPr>
        <w:t xml:space="preserve"> </w:t>
      </w:r>
      <w:r>
        <w:rPr>
          <w:rFonts w:ascii="宋体" w:hAnsi="宋体" w:eastAsia="宋体" w:cs="宋体"/>
          <w:spacing w:val="10"/>
          <w:position w:val="1"/>
          <w:sz w:val="20"/>
          <w:szCs w:val="20"/>
        </w:rPr>
        <w:t>0.2%～3%计列。</w:t>
      </w:r>
    </w:p>
    <w:p>
      <w:pPr>
        <w:spacing w:before="114" w:line="222" w:lineRule="auto"/>
        <w:ind w:left="422"/>
        <w:rPr>
          <w:rFonts w:ascii="宋体" w:hAnsi="宋体" w:eastAsia="宋体" w:cs="宋体"/>
          <w:sz w:val="20"/>
          <w:szCs w:val="20"/>
        </w:rPr>
      </w:pPr>
      <w:r>
        <w:rPr>
          <w:rFonts w:ascii="宋体" w:hAnsi="宋体" w:eastAsia="宋体" w:cs="宋体"/>
          <w:spacing w:val="6"/>
          <w:sz w:val="20"/>
          <w:szCs w:val="20"/>
        </w:rPr>
        <w:t>场地准备和临时设施费=工程费用</w:t>
      </w:r>
      <w:r>
        <w:rPr>
          <w:rFonts w:ascii="宋体" w:hAnsi="宋体" w:eastAsia="宋体" w:cs="宋体"/>
          <w:spacing w:val="-33"/>
          <w:sz w:val="20"/>
          <w:szCs w:val="20"/>
        </w:rPr>
        <w:t xml:space="preserve"> </w:t>
      </w:r>
      <w:r>
        <w:rPr>
          <w:rFonts w:ascii="宋体" w:hAnsi="宋体" w:eastAsia="宋体" w:cs="宋体"/>
          <w:spacing w:val="6"/>
          <w:sz w:val="20"/>
          <w:szCs w:val="20"/>
        </w:rPr>
        <w:t>×费率</w:t>
      </w:r>
    </w:p>
    <w:p>
      <w:pPr>
        <w:spacing w:before="147" w:line="360" w:lineRule="auto"/>
        <w:ind w:right="81" w:firstLine="421"/>
        <w:rPr>
          <w:rFonts w:ascii="宋体" w:hAnsi="宋体" w:eastAsia="宋体" w:cs="宋体"/>
          <w:sz w:val="20"/>
          <w:szCs w:val="20"/>
        </w:rPr>
      </w:pPr>
      <w:r>
        <w:rPr>
          <w:rFonts w:ascii="MS UI Gothic" w:hAnsi="MS UI Gothic" w:eastAsia="MS UI Gothic" w:cs="MS UI Gothic"/>
          <w:spacing w:val="11"/>
          <w:sz w:val="20"/>
          <w:szCs w:val="20"/>
        </w:rPr>
        <w:t>Ⓑ</w:t>
      </w:r>
      <w:r>
        <w:rPr>
          <w:rFonts w:ascii="宋体" w:hAnsi="宋体" w:eastAsia="宋体" w:cs="宋体"/>
          <w:spacing w:val="11"/>
          <w:sz w:val="20"/>
          <w:szCs w:val="20"/>
        </w:rPr>
        <w:t>场地准备及临时设施应尽量与永久性工程统一考虑。场地准备的单独土石</w:t>
      </w:r>
      <w:r>
        <w:rPr>
          <w:rFonts w:ascii="宋体" w:hAnsi="宋体" w:eastAsia="宋体" w:cs="宋体"/>
          <w:spacing w:val="10"/>
          <w:sz w:val="20"/>
          <w:szCs w:val="20"/>
        </w:rPr>
        <w:t>方工程计入建筑安</w:t>
      </w:r>
      <w:r>
        <w:rPr>
          <w:rFonts w:ascii="宋体" w:hAnsi="宋体" w:eastAsia="宋体" w:cs="宋体"/>
          <w:spacing w:val="7"/>
          <w:sz w:val="20"/>
          <w:szCs w:val="20"/>
        </w:rPr>
        <w:t>装工程费用。</w:t>
      </w:r>
    </w:p>
    <w:p>
      <w:pPr>
        <w:spacing w:before="1" w:line="357" w:lineRule="auto"/>
        <w:ind w:left="8" w:right="81" w:firstLine="414"/>
        <w:rPr>
          <w:rFonts w:ascii="宋体" w:hAnsi="宋体" w:eastAsia="宋体" w:cs="宋体"/>
          <w:sz w:val="20"/>
          <w:szCs w:val="20"/>
        </w:rPr>
      </w:pPr>
      <w:r>
        <w:rPr>
          <w:rFonts w:ascii="MS UI Gothic" w:hAnsi="MS UI Gothic" w:eastAsia="MS UI Gothic" w:cs="MS UI Gothic"/>
          <w:spacing w:val="11"/>
          <w:sz w:val="20"/>
          <w:szCs w:val="20"/>
        </w:rPr>
        <w:t>Ⓒ</w:t>
      </w:r>
      <w:r>
        <w:rPr>
          <w:rFonts w:ascii="宋体" w:hAnsi="宋体" w:eastAsia="宋体" w:cs="宋体"/>
          <w:spacing w:val="11"/>
          <w:sz w:val="20"/>
          <w:szCs w:val="20"/>
        </w:rPr>
        <w:t>改扩建项目一般只计拆除清理费。发生拆除清理费时可按新建同类工程造</w:t>
      </w:r>
      <w:r>
        <w:rPr>
          <w:rFonts w:ascii="宋体" w:hAnsi="宋体" w:eastAsia="宋体" w:cs="宋体"/>
          <w:spacing w:val="10"/>
          <w:sz w:val="20"/>
          <w:szCs w:val="20"/>
        </w:rPr>
        <w:t>价或主材费、设备</w:t>
      </w:r>
      <w:r>
        <w:rPr>
          <w:rFonts w:ascii="宋体" w:hAnsi="宋体" w:eastAsia="宋体" w:cs="宋体"/>
          <w:spacing w:val="9"/>
          <w:sz w:val="20"/>
          <w:szCs w:val="20"/>
        </w:rPr>
        <w:t>费的比例计算。可回收材料的拆除工程可采用以料抵工方式，不再计算拆除清理费。</w:t>
      </w:r>
    </w:p>
    <w:p>
      <w:pPr>
        <w:spacing w:before="5" w:line="278" w:lineRule="exact"/>
        <w:ind w:left="440"/>
        <w:rPr>
          <w:rFonts w:ascii="宋体" w:hAnsi="宋体" w:eastAsia="宋体" w:cs="宋体"/>
          <w:sz w:val="20"/>
          <w:szCs w:val="20"/>
        </w:rPr>
      </w:pPr>
      <w:r>
        <w:rPr>
          <w:rFonts w:ascii="宋体" w:hAnsi="宋体" w:eastAsia="宋体" w:cs="宋体"/>
          <w:spacing w:val="4"/>
          <w:position w:val="1"/>
          <w:sz w:val="20"/>
          <w:szCs w:val="20"/>
        </w:rPr>
        <w:t>11. 与未来生产经营有关的其他费用</w:t>
      </w:r>
    </w:p>
    <w:p>
      <w:pPr>
        <w:spacing w:before="111" w:line="277"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38"/>
          <w:position w:val="1"/>
          <w:sz w:val="20"/>
          <w:szCs w:val="20"/>
        </w:rPr>
        <w:t xml:space="preserve"> </w:t>
      </w:r>
      <w:r>
        <w:rPr>
          <w:rFonts w:ascii="宋体" w:hAnsi="宋体" w:eastAsia="宋体" w:cs="宋体"/>
          <w:spacing w:val="4"/>
          <w:position w:val="1"/>
          <w:sz w:val="20"/>
          <w:szCs w:val="20"/>
        </w:rPr>
        <w:t>1）生产准备及开办费</w:t>
      </w:r>
    </w:p>
    <w:p>
      <w:pPr>
        <w:spacing w:before="114" w:line="341" w:lineRule="auto"/>
        <w:ind w:right="81" w:firstLine="423"/>
        <w:rPr>
          <w:rFonts w:ascii="宋体" w:hAnsi="宋体" w:eastAsia="宋体" w:cs="宋体"/>
          <w:sz w:val="20"/>
          <w:szCs w:val="20"/>
        </w:rPr>
      </w:pPr>
      <w:r>
        <w:rPr>
          <w:rFonts w:ascii="宋体" w:hAnsi="宋体" w:eastAsia="宋体" w:cs="宋体"/>
          <w:spacing w:val="11"/>
          <w:sz w:val="20"/>
          <w:szCs w:val="20"/>
        </w:rPr>
        <w:t>生产准备及开办费，是指建设项目为保证正常生产（或营业、使用）而</w:t>
      </w:r>
      <w:r>
        <w:rPr>
          <w:rFonts w:ascii="宋体" w:hAnsi="宋体" w:eastAsia="宋体" w:cs="宋体"/>
          <w:spacing w:val="10"/>
          <w:sz w:val="20"/>
          <w:szCs w:val="20"/>
        </w:rPr>
        <w:t>发生的人员培训费、提前进场费以及投产使用初期必备的生产办公、</w:t>
      </w:r>
      <w:r>
        <w:rPr>
          <w:rFonts w:ascii="宋体" w:hAnsi="宋体" w:eastAsia="宋体" w:cs="宋体"/>
          <w:spacing w:val="9"/>
          <w:sz w:val="20"/>
          <w:szCs w:val="20"/>
        </w:rPr>
        <w:t>生活家具用具及工器具等购置费用。</w:t>
      </w:r>
    </w:p>
    <w:p>
      <w:pPr>
        <w:spacing w:before="40" w:line="278" w:lineRule="exact"/>
        <w:ind w:left="420"/>
        <w:rPr>
          <w:rFonts w:ascii="宋体" w:hAnsi="宋体" w:eastAsia="宋体" w:cs="宋体"/>
          <w:sz w:val="20"/>
          <w:szCs w:val="20"/>
        </w:rPr>
      </w:pPr>
      <w:r>
        <w:rPr>
          <w:rFonts w:ascii="宋体" w:hAnsi="宋体" w:eastAsia="宋体" w:cs="宋体"/>
          <w:spacing w:val="7"/>
          <w:position w:val="1"/>
          <w:sz w:val="20"/>
          <w:szCs w:val="20"/>
        </w:rPr>
        <w:t>计算方法：</w:t>
      </w:r>
    </w:p>
    <w:p>
      <w:pPr>
        <w:spacing w:before="113" w:line="359" w:lineRule="auto"/>
        <w:ind w:left="2" w:right="81" w:firstLine="417"/>
        <w:rPr>
          <w:rFonts w:ascii="宋体" w:hAnsi="宋体" w:eastAsia="宋体" w:cs="宋体"/>
          <w:sz w:val="20"/>
          <w:szCs w:val="20"/>
        </w:rPr>
      </w:pPr>
      <w:r>
        <w:rPr>
          <w:rFonts w:ascii="宋体" w:hAnsi="宋体" w:eastAsia="宋体" w:cs="宋体"/>
          <w:spacing w:val="11"/>
          <w:sz w:val="20"/>
          <w:szCs w:val="20"/>
        </w:rPr>
        <w:t>新建设项目以设计定员为基数、改扩建项目以新增设计定员为基数，乘以以上两</w:t>
      </w:r>
      <w:r>
        <w:rPr>
          <w:rFonts w:ascii="宋体" w:hAnsi="宋体" w:eastAsia="宋体" w:cs="宋体"/>
          <w:spacing w:val="10"/>
          <w:sz w:val="20"/>
          <w:szCs w:val="20"/>
        </w:rPr>
        <w:t>项费用内容的</w:t>
      </w:r>
      <w:r>
        <w:rPr>
          <w:rFonts w:ascii="宋体" w:hAnsi="宋体" w:eastAsia="宋体" w:cs="宋体"/>
          <w:spacing w:val="7"/>
          <w:sz w:val="20"/>
          <w:szCs w:val="20"/>
        </w:rPr>
        <w:t>分类指标计算。</w:t>
      </w:r>
    </w:p>
    <w:p>
      <w:pPr>
        <w:spacing w:line="278" w:lineRule="exact"/>
        <w:ind w:left="423"/>
        <w:rPr>
          <w:rFonts w:ascii="宋体" w:hAnsi="宋体" w:eastAsia="宋体" w:cs="宋体"/>
          <w:sz w:val="20"/>
          <w:szCs w:val="20"/>
        </w:rPr>
      </w:pPr>
      <w:r>
        <w:rPr>
          <w:rFonts w:ascii="宋体" w:hAnsi="宋体" w:eastAsia="宋体" w:cs="宋体"/>
          <w:spacing w:val="6"/>
          <w:position w:val="1"/>
          <w:sz w:val="20"/>
          <w:szCs w:val="20"/>
        </w:rPr>
        <w:t>生产准备及开办费=</w:t>
      </w:r>
      <w:r>
        <w:rPr>
          <w:rFonts w:ascii="宋体" w:hAnsi="宋体" w:eastAsia="宋体" w:cs="宋体"/>
          <w:spacing w:val="-49"/>
          <w:position w:val="1"/>
          <w:sz w:val="20"/>
          <w:szCs w:val="20"/>
        </w:rPr>
        <w:t xml:space="preserve"> </w:t>
      </w:r>
      <w:r>
        <w:rPr>
          <w:rFonts w:ascii="宋体" w:hAnsi="宋体" w:eastAsia="宋体" w:cs="宋体"/>
          <w:spacing w:val="6"/>
          <w:position w:val="1"/>
          <w:sz w:val="20"/>
          <w:szCs w:val="20"/>
        </w:rPr>
        <w:t>∑〔设计定员</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×分类指标（元／人）〕</w:t>
      </w:r>
    </w:p>
    <w:p>
      <w:pPr>
        <w:spacing w:before="113" w:line="279" w:lineRule="exact"/>
        <w:ind w:left="413"/>
        <w:rPr>
          <w:rFonts w:ascii="宋体" w:hAnsi="宋体" w:eastAsia="宋体" w:cs="宋体"/>
          <w:sz w:val="20"/>
          <w:szCs w:val="20"/>
        </w:rPr>
      </w:pPr>
      <w:r>
        <w:rPr>
          <w:rFonts w:ascii="宋体" w:hAnsi="宋体" w:eastAsia="宋体" w:cs="宋体"/>
          <w:spacing w:val="9"/>
          <w:position w:val="1"/>
          <w:sz w:val="20"/>
          <w:szCs w:val="20"/>
        </w:rPr>
        <w:t>（2）联合试运转费</w:t>
      </w:r>
    </w:p>
    <w:p>
      <w:pPr>
        <w:spacing w:before="112" w:line="361" w:lineRule="auto"/>
        <w:ind w:left="1" w:right="81" w:firstLine="420"/>
        <w:rPr>
          <w:rFonts w:ascii="宋体" w:hAnsi="宋体" w:eastAsia="宋体" w:cs="宋体"/>
          <w:sz w:val="20"/>
          <w:szCs w:val="20"/>
        </w:rPr>
      </w:pPr>
      <w:r>
        <w:rPr>
          <w:rFonts w:ascii="宋体" w:hAnsi="宋体" w:eastAsia="宋体" w:cs="宋体"/>
          <w:spacing w:val="11"/>
          <w:sz w:val="20"/>
          <w:szCs w:val="20"/>
        </w:rPr>
        <w:t>联合试运转费，指新建项目或新增生产能力的工程，在竣工前按照设计规定的</w:t>
      </w:r>
      <w:r>
        <w:rPr>
          <w:rFonts w:ascii="宋体" w:hAnsi="宋体" w:eastAsia="宋体" w:cs="宋体"/>
          <w:spacing w:val="10"/>
          <w:sz w:val="20"/>
          <w:szCs w:val="20"/>
        </w:rPr>
        <w:t>工程质量标准和</w:t>
      </w:r>
      <w:r>
        <w:rPr>
          <w:rFonts w:ascii="宋体" w:hAnsi="宋体" w:eastAsia="宋体" w:cs="宋体"/>
          <w:spacing w:val="11"/>
          <w:sz w:val="20"/>
          <w:szCs w:val="20"/>
        </w:rPr>
        <w:t>技术要求，进行整个生产线或装置的负荷联合试运转或局部联动试车所发生的</w:t>
      </w:r>
      <w:r>
        <w:rPr>
          <w:rFonts w:ascii="宋体" w:hAnsi="宋体" w:eastAsia="宋体" w:cs="宋体"/>
          <w:spacing w:val="10"/>
          <w:sz w:val="20"/>
          <w:szCs w:val="20"/>
        </w:rPr>
        <w:t>费用净支出（支出大</w:t>
      </w:r>
      <w:r>
        <w:rPr>
          <w:rFonts w:ascii="宋体" w:hAnsi="宋体" w:eastAsia="宋体" w:cs="宋体"/>
          <w:spacing w:val="8"/>
          <w:sz w:val="20"/>
          <w:szCs w:val="20"/>
        </w:rPr>
        <w:t>于试运转收入的差额部分）。</w:t>
      </w:r>
    </w:p>
    <w:p>
      <w:pPr>
        <w:spacing w:line="358" w:lineRule="auto"/>
        <w:ind w:left="4" w:right="81" w:firstLine="416"/>
        <w:rPr>
          <w:rFonts w:ascii="宋体" w:hAnsi="宋体" w:eastAsia="宋体" w:cs="宋体"/>
          <w:sz w:val="20"/>
          <w:szCs w:val="20"/>
        </w:rPr>
      </w:pPr>
      <w:r>
        <w:rPr>
          <w:rFonts w:ascii="宋体" w:hAnsi="宋体" w:eastAsia="宋体" w:cs="宋体"/>
          <w:spacing w:val="11"/>
          <w:sz w:val="20"/>
          <w:szCs w:val="20"/>
        </w:rPr>
        <w:t>联合试运转费不包括应由设备安装工程费用开支的单台调试费及试车费用，以</w:t>
      </w:r>
      <w:r>
        <w:rPr>
          <w:rFonts w:ascii="宋体" w:hAnsi="宋体" w:eastAsia="宋体" w:cs="宋体"/>
          <w:spacing w:val="10"/>
          <w:sz w:val="20"/>
          <w:szCs w:val="20"/>
        </w:rPr>
        <w:t>及在试运转中发</w:t>
      </w:r>
      <w:r>
        <w:rPr>
          <w:rFonts w:ascii="宋体" w:hAnsi="宋体" w:eastAsia="宋体" w:cs="宋体"/>
          <w:spacing w:val="9"/>
          <w:sz w:val="20"/>
          <w:szCs w:val="20"/>
        </w:rPr>
        <w:t>现的因施工原因或设备缺陷等引起的修复处置费用。</w:t>
      </w:r>
    </w:p>
    <w:p>
      <w:pPr>
        <w:spacing w:line="278" w:lineRule="exact"/>
        <w:ind w:left="420"/>
        <w:rPr>
          <w:rFonts w:ascii="宋体" w:hAnsi="宋体" w:eastAsia="宋体" w:cs="宋体"/>
          <w:sz w:val="20"/>
          <w:szCs w:val="20"/>
        </w:rPr>
      </w:pPr>
      <w:r>
        <w:rPr>
          <w:rFonts w:ascii="宋体" w:hAnsi="宋体" w:eastAsia="宋体" w:cs="宋体"/>
          <w:spacing w:val="7"/>
          <w:position w:val="1"/>
          <w:sz w:val="20"/>
          <w:szCs w:val="20"/>
        </w:rPr>
        <w:t>计算方法：</w:t>
      </w:r>
    </w:p>
    <w:p>
      <w:pPr>
        <w:spacing w:before="112" w:line="362" w:lineRule="auto"/>
        <w:ind w:right="81" w:firstLine="421"/>
        <w:rPr>
          <w:rFonts w:ascii="宋体" w:hAnsi="宋体" w:eastAsia="宋体" w:cs="宋体"/>
          <w:sz w:val="20"/>
          <w:szCs w:val="20"/>
        </w:rPr>
      </w:pPr>
      <w:r>
        <w:rPr>
          <w:rFonts w:ascii="宋体" w:hAnsi="宋体" w:eastAsia="宋体" w:cs="宋体"/>
          <w:spacing w:val="11"/>
          <w:sz w:val="20"/>
          <w:szCs w:val="20"/>
        </w:rPr>
        <w:t>①试运行期应按照批准的设计文件所规定的期限计算，引进项目应按建设合同</w:t>
      </w:r>
      <w:r>
        <w:rPr>
          <w:rFonts w:ascii="宋体" w:hAnsi="宋体" w:eastAsia="宋体" w:cs="宋体"/>
          <w:spacing w:val="10"/>
          <w:sz w:val="20"/>
          <w:szCs w:val="20"/>
        </w:rPr>
        <w:t>中规定的期限计</w:t>
      </w:r>
      <w:r>
        <w:rPr>
          <w:rFonts w:ascii="宋体" w:hAnsi="宋体" w:eastAsia="宋体" w:cs="宋体"/>
          <w:spacing w:val="3"/>
          <w:sz w:val="20"/>
          <w:szCs w:val="20"/>
        </w:rPr>
        <w:t>算。</w:t>
      </w:r>
    </w:p>
    <w:p>
      <w:pPr>
        <w:spacing w:before="1" w:line="220" w:lineRule="auto"/>
        <w:ind w:left="419"/>
        <w:rPr>
          <w:rFonts w:ascii="宋体" w:hAnsi="宋体" w:eastAsia="宋体" w:cs="宋体"/>
          <w:sz w:val="20"/>
          <w:szCs w:val="20"/>
        </w:rPr>
      </w:pPr>
      <w:r>
        <w:rPr>
          <w:rFonts w:ascii="宋体" w:hAnsi="宋体" w:eastAsia="宋体" w:cs="宋体"/>
          <w:spacing w:val="9"/>
          <w:sz w:val="20"/>
          <w:szCs w:val="20"/>
        </w:rPr>
        <w:t>试运行期需要超过规定试运行期的，应报项目批准部门审批。</w:t>
      </w:r>
    </w:p>
    <w:p>
      <w:pPr>
        <w:spacing w:before="147" w:line="275" w:lineRule="exact"/>
        <w:ind w:left="421"/>
        <w:rPr>
          <w:rFonts w:ascii="宋体" w:hAnsi="宋体" w:eastAsia="宋体" w:cs="宋体"/>
          <w:sz w:val="20"/>
          <w:szCs w:val="20"/>
        </w:rPr>
      </w:pPr>
      <w:r>
        <w:rPr>
          <w:rFonts w:ascii="宋体" w:hAnsi="宋体" w:eastAsia="宋体" w:cs="宋体"/>
          <w:spacing w:val="9"/>
          <w:position w:val="1"/>
          <w:sz w:val="20"/>
          <w:szCs w:val="20"/>
        </w:rPr>
        <w:t>②当联合试运转收入小于试运转支出时：</w:t>
      </w:r>
    </w:p>
    <w:p>
      <w:pPr>
        <w:spacing w:before="118" w:line="221" w:lineRule="auto"/>
        <w:ind w:left="421"/>
        <w:rPr>
          <w:rFonts w:ascii="宋体" w:hAnsi="宋体" w:eastAsia="宋体" w:cs="宋体"/>
          <w:sz w:val="20"/>
          <w:szCs w:val="20"/>
        </w:rPr>
      </w:pPr>
      <w:r>
        <w:rPr>
          <w:rFonts w:ascii="宋体" w:hAnsi="宋体" w:eastAsia="宋体" w:cs="宋体"/>
          <w:spacing w:val="10"/>
          <w:sz w:val="20"/>
          <w:szCs w:val="20"/>
        </w:rPr>
        <w:t>联合试运转费=联合试运转费用支出-联合试运转收入</w:t>
      </w:r>
    </w:p>
    <w:p>
      <w:pPr>
        <w:spacing w:before="147" w:line="276" w:lineRule="exact"/>
        <w:ind w:left="421"/>
        <w:rPr>
          <w:rFonts w:ascii="宋体" w:hAnsi="宋体" w:eastAsia="宋体" w:cs="宋体"/>
          <w:sz w:val="20"/>
          <w:szCs w:val="20"/>
        </w:rPr>
      </w:pPr>
      <w:r>
        <w:rPr>
          <w:rFonts w:ascii="宋体" w:hAnsi="宋体" w:eastAsia="宋体" w:cs="宋体"/>
          <w:spacing w:val="9"/>
          <w:position w:val="1"/>
          <w:sz w:val="20"/>
          <w:szCs w:val="20"/>
        </w:rPr>
        <w:t>③不发生试运转或试运转收入大于（或等于）支出的工程、不计列该项费用。</w:t>
      </w:r>
    </w:p>
    <w:p>
      <w:pPr>
        <w:spacing w:before="116" w:line="223" w:lineRule="auto"/>
        <w:ind w:left="428"/>
        <w:rPr>
          <w:rFonts w:ascii="宋体" w:hAnsi="宋体" w:eastAsia="宋体" w:cs="宋体"/>
          <w:sz w:val="20"/>
          <w:szCs w:val="20"/>
        </w:rPr>
      </w:pPr>
      <w:r>
        <w:rPr>
          <w:rFonts w:ascii="宋体" w:hAnsi="宋体" w:eastAsia="宋体" w:cs="宋体"/>
          <w:b/>
          <w:bCs/>
          <w:spacing w:val="7"/>
          <w:sz w:val="20"/>
          <w:szCs w:val="20"/>
        </w:rPr>
        <w:t>十三、关于预备费</w:t>
      </w:r>
    </w:p>
    <w:p>
      <w:pPr>
        <w:spacing w:before="151" w:line="221" w:lineRule="auto"/>
        <w:ind w:left="425"/>
        <w:rPr>
          <w:rFonts w:ascii="宋体" w:hAnsi="宋体" w:eastAsia="宋体" w:cs="宋体"/>
          <w:sz w:val="20"/>
          <w:szCs w:val="20"/>
        </w:rPr>
      </w:pPr>
      <w:r>
        <w:rPr>
          <w:rFonts w:ascii="宋体" w:hAnsi="宋体" w:eastAsia="宋体" w:cs="宋体"/>
          <w:spacing w:val="8"/>
          <w:sz w:val="20"/>
          <w:szCs w:val="20"/>
        </w:rPr>
        <w:t>预备费，包括基本预备费和价差预备费。</w:t>
      </w:r>
    </w:p>
    <w:p>
      <w:pPr>
        <w:spacing w:before="145" w:line="277" w:lineRule="exact"/>
        <w:ind w:left="413"/>
        <w:rPr>
          <w:rFonts w:ascii="宋体" w:hAnsi="宋体" w:eastAsia="宋体" w:cs="宋体"/>
          <w:sz w:val="20"/>
          <w:szCs w:val="20"/>
        </w:rPr>
      </w:pPr>
      <w:r>
        <w:rPr>
          <w:rFonts w:ascii="宋体" w:hAnsi="宋体" w:eastAsia="宋体" w:cs="宋体"/>
          <w:spacing w:val="10"/>
          <w:position w:val="1"/>
          <w:sz w:val="20"/>
          <w:szCs w:val="20"/>
        </w:rPr>
        <w:t>（一）基本预备费</w:t>
      </w:r>
    </w:p>
    <w:p>
      <w:pPr>
        <w:spacing w:before="117" w:line="223" w:lineRule="auto"/>
        <w:ind w:left="420"/>
        <w:rPr>
          <w:rFonts w:ascii="宋体" w:hAnsi="宋体" w:eastAsia="宋体" w:cs="宋体"/>
          <w:sz w:val="20"/>
          <w:szCs w:val="20"/>
        </w:rPr>
      </w:pPr>
      <w:r>
        <w:rPr>
          <w:rFonts w:ascii="宋体" w:hAnsi="宋体" w:eastAsia="宋体" w:cs="宋体"/>
          <w:spacing w:val="9"/>
          <w:sz w:val="20"/>
          <w:szCs w:val="20"/>
        </w:rPr>
        <w:t>基本预备费，是指在项目建设过程中初步设计及概算内难以预料的工程费用。</w:t>
      </w:r>
    </w:p>
    <w:p>
      <w:pPr>
        <w:spacing w:before="144" w:line="277" w:lineRule="exact"/>
        <w:ind w:left="413"/>
        <w:rPr>
          <w:rFonts w:ascii="宋体" w:hAnsi="宋体" w:eastAsia="宋体" w:cs="宋体"/>
          <w:sz w:val="20"/>
          <w:szCs w:val="20"/>
        </w:rPr>
      </w:pPr>
      <w:r>
        <w:rPr>
          <w:rFonts w:ascii="宋体" w:hAnsi="宋体" w:eastAsia="宋体" w:cs="宋体"/>
          <w:spacing w:val="10"/>
          <w:position w:val="1"/>
          <w:sz w:val="20"/>
          <w:szCs w:val="20"/>
        </w:rPr>
        <w:t>（二）价差预备费</w:t>
      </w:r>
    </w:p>
    <w:p>
      <w:pPr>
        <w:spacing w:before="115" w:line="341" w:lineRule="auto"/>
        <w:ind w:left="6" w:firstLine="416"/>
        <w:rPr>
          <w:rFonts w:ascii="宋体" w:hAnsi="宋体" w:eastAsia="宋体" w:cs="宋体"/>
          <w:sz w:val="20"/>
          <w:szCs w:val="20"/>
        </w:rPr>
      </w:pPr>
      <w:r>
        <w:rPr>
          <w:rFonts w:ascii="宋体" w:hAnsi="宋体" w:eastAsia="宋体" w:cs="宋体"/>
          <w:spacing w:val="8"/>
          <w:sz w:val="20"/>
          <w:szCs w:val="20"/>
        </w:rPr>
        <w:t>价差预备费，是指工程建设期间由于工程的人工、材料、设备、施</w:t>
      </w:r>
      <w:r>
        <w:rPr>
          <w:rFonts w:ascii="宋体" w:hAnsi="宋体" w:eastAsia="宋体" w:cs="宋体"/>
          <w:spacing w:val="7"/>
          <w:sz w:val="20"/>
          <w:szCs w:val="20"/>
        </w:rPr>
        <w:t>工机械的价格及费率、利率、</w:t>
      </w:r>
      <w:r>
        <w:rPr>
          <w:rFonts w:ascii="宋体" w:hAnsi="宋体" w:eastAsia="宋体" w:cs="宋体"/>
          <w:spacing w:val="9"/>
          <w:sz w:val="20"/>
          <w:szCs w:val="20"/>
        </w:rPr>
        <w:t>汇率等浮动因素可能引起工程概算费用的上涨而预留的费用。</w:t>
      </w:r>
    </w:p>
    <w:p>
      <w:pPr>
        <w:spacing w:before="45" w:line="221" w:lineRule="auto"/>
        <w:ind w:left="422"/>
        <w:rPr>
          <w:rFonts w:ascii="宋体" w:hAnsi="宋体" w:eastAsia="宋体" w:cs="宋体"/>
          <w:sz w:val="20"/>
          <w:szCs w:val="20"/>
        </w:rPr>
      </w:pPr>
      <w:r>
        <w:rPr>
          <w:rFonts w:ascii="宋体" w:hAnsi="宋体" w:eastAsia="宋体" w:cs="宋体"/>
          <w:spacing w:val="9"/>
          <w:sz w:val="20"/>
          <w:szCs w:val="20"/>
        </w:rPr>
        <w:t>此费用属工程造价的动态因素，应在预备费中单独列出。</w:t>
      </w:r>
    </w:p>
    <w:p>
      <w:pPr>
        <w:spacing w:before="145" w:line="276" w:lineRule="exact"/>
        <w:ind w:left="423"/>
        <w:rPr>
          <w:rFonts w:ascii="宋体" w:hAnsi="宋体" w:eastAsia="宋体" w:cs="宋体"/>
          <w:sz w:val="20"/>
          <w:szCs w:val="20"/>
        </w:rPr>
      </w:pPr>
      <w:r>
        <w:rPr>
          <w:rFonts w:ascii="宋体" w:hAnsi="宋体" w:eastAsia="宋体" w:cs="宋体"/>
          <w:spacing w:val="8"/>
          <w:position w:val="1"/>
          <w:sz w:val="20"/>
          <w:szCs w:val="20"/>
        </w:rPr>
        <w:t>价差预备费一般按下式计算：</w:t>
      </w:r>
    </w:p>
    <w:p>
      <w:pPr>
        <w:spacing w:line="276" w:lineRule="exact"/>
        <w:rPr>
          <w:rFonts w:ascii="宋体" w:hAnsi="宋体" w:eastAsia="宋体" w:cs="宋体"/>
          <w:sz w:val="20"/>
          <w:szCs w:val="20"/>
        </w:rPr>
        <w:sectPr>
          <w:footerReference r:id="rId21" w:type="default"/>
          <w:pgSz w:w="11905" w:h="16840"/>
          <w:pgMar w:top="1431" w:right="1338" w:bottom="1213" w:left="1418" w:header="0" w:footer="898" w:gutter="0"/>
        </w:sectPr>
      </w:pPr>
    </w:p>
    <w:p>
      <w:pPr>
        <w:spacing w:before="144" w:line="725" w:lineRule="exact"/>
        <w:ind w:left="420"/>
      </w:pPr>
      <w:r>
        <w:rPr>
          <w:position w:val="-14"/>
        </w:rPr>
        <w:drawing>
          <wp:inline distT="0" distB="0" distL="0" distR="0">
            <wp:extent cx="3508375" cy="45974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362"/>
                    <a:stretch>
                      <a:fillRect/>
                    </a:stretch>
                  </pic:blipFill>
                  <pic:spPr>
                    <a:xfrm>
                      <a:off x="0" y="0"/>
                      <a:ext cx="3508495" cy="459920"/>
                    </a:xfrm>
                    <a:prstGeom prst="rect">
                      <a:avLst/>
                    </a:prstGeom>
                  </pic:spPr>
                </pic:pic>
              </a:graphicData>
            </a:graphic>
          </wp:inline>
        </w:drawing>
      </w:r>
    </w:p>
    <w:p>
      <w:pPr>
        <w:spacing w:before="201" w:line="223" w:lineRule="auto"/>
        <w:ind w:left="421"/>
        <w:rPr>
          <w:rFonts w:ascii="宋体" w:hAnsi="宋体" w:eastAsia="宋体" w:cs="宋体"/>
          <w:sz w:val="20"/>
          <w:szCs w:val="20"/>
        </w:rPr>
      </w:pPr>
      <w:r>
        <w:rPr>
          <w:rFonts w:ascii="宋体" w:hAnsi="宋体" w:eastAsia="宋体" w:cs="宋体"/>
          <w:spacing w:val="8"/>
          <w:sz w:val="20"/>
          <w:szCs w:val="20"/>
        </w:rPr>
        <w:t>式中</w:t>
      </w:r>
      <w:r>
        <w:rPr>
          <w:rFonts w:ascii="宋体" w:hAnsi="宋体" w:eastAsia="宋体" w:cs="宋体"/>
          <w:spacing w:val="-38"/>
          <w:sz w:val="20"/>
          <w:szCs w:val="20"/>
        </w:rPr>
        <w:t xml:space="preserve"> </w:t>
      </w:r>
      <w:r>
        <w:rPr>
          <w:rFonts w:ascii="宋体" w:hAnsi="宋体" w:eastAsia="宋体" w:cs="宋体"/>
          <w:spacing w:val="8"/>
          <w:sz w:val="20"/>
          <w:szCs w:val="20"/>
        </w:rPr>
        <w:t>P—价差预备费；</w:t>
      </w:r>
    </w:p>
    <w:p>
      <w:pPr>
        <w:spacing w:before="142" w:line="278" w:lineRule="exact"/>
        <w:ind w:left="843"/>
        <w:rPr>
          <w:rFonts w:ascii="宋体" w:hAnsi="宋体" w:eastAsia="宋体" w:cs="宋体"/>
          <w:sz w:val="20"/>
          <w:szCs w:val="20"/>
        </w:rPr>
      </w:pPr>
      <w:r>
        <w:rPr>
          <w:rFonts w:ascii="宋体" w:hAnsi="宋体" w:eastAsia="宋体" w:cs="宋体"/>
          <w:spacing w:val="7"/>
          <w:position w:val="1"/>
          <w:sz w:val="20"/>
          <w:szCs w:val="20"/>
        </w:rPr>
        <w:t>n—建设期年份数；</w:t>
      </w:r>
    </w:p>
    <w:p>
      <w:pPr>
        <w:spacing w:before="113" w:line="343" w:lineRule="auto"/>
        <w:ind w:left="3" w:right="125" w:firstLine="840"/>
        <w:rPr>
          <w:rFonts w:ascii="宋体" w:hAnsi="宋体" w:eastAsia="宋体" w:cs="宋体"/>
          <w:sz w:val="20"/>
          <w:szCs w:val="20"/>
        </w:rPr>
      </w:pPr>
      <w:r>
        <w:rPr>
          <w:rFonts w:ascii="宋体" w:hAnsi="宋体" w:eastAsia="宋体" w:cs="宋体"/>
          <w:sz w:val="20"/>
          <w:szCs w:val="20"/>
        </w:rPr>
        <w:t>It</w:t>
      </w:r>
      <w:r>
        <w:rPr>
          <w:rFonts w:ascii="宋体" w:hAnsi="宋体" w:eastAsia="宋体" w:cs="宋体"/>
          <w:spacing w:val="5"/>
          <w:sz w:val="20"/>
          <w:szCs w:val="20"/>
        </w:rPr>
        <w:t>—建设期第</w:t>
      </w:r>
      <w:r>
        <w:rPr>
          <w:rFonts w:ascii="宋体" w:hAnsi="宋体" w:eastAsia="宋体" w:cs="宋体"/>
          <w:spacing w:val="-44"/>
          <w:sz w:val="20"/>
          <w:szCs w:val="20"/>
        </w:rPr>
        <w:t xml:space="preserve"> </w:t>
      </w:r>
      <w:r>
        <w:rPr>
          <w:rFonts w:ascii="宋体" w:hAnsi="宋体" w:eastAsia="宋体" w:cs="宋体"/>
          <w:spacing w:val="5"/>
          <w:sz w:val="20"/>
          <w:szCs w:val="20"/>
        </w:rPr>
        <w:t>t</w:t>
      </w:r>
      <w:r>
        <w:rPr>
          <w:rFonts w:ascii="宋体" w:hAnsi="宋体" w:eastAsia="宋体" w:cs="宋体"/>
          <w:spacing w:val="-41"/>
          <w:sz w:val="20"/>
          <w:szCs w:val="20"/>
        </w:rPr>
        <w:t xml:space="preserve"> </w:t>
      </w:r>
      <w:r>
        <w:rPr>
          <w:rFonts w:ascii="宋体" w:hAnsi="宋体" w:eastAsia="宋体" w:cs="宋体"/>
          <w:spacing w:val="5"/>
          <w:sz w:val="20"/>
          <w:szCs w:val="20"/>
        </w:rPr>
        <w:t>年的投资计划额，包括工程费用、工程建设其他费用及基</w:t>
      </w:r>
      <w:r>
        <w:rPr>
          <w:rFonts w:ascii="宋体" w:hAnsi="宋体" w:eastAsia="宋体" w:cs="宋体"/>
          <w:spacing w:val="4"/>
          <w:sz w:val="20"/>
          <w:szCs w:val="20"/>
        </w:rPr>
        <w:t>本预备费，即第</w:t>
      </w:r>
      <w:r>
        <w:rPr>
          <w:rFonts w:ascii="宋体" w:hAnsi="宋体" w:eastAsia="宋体" w:cs="宋体"/>
          <w:spacing w:val="-41"/>
          <w:sz w:val="20"/>
          <w:szCs w:val="20"/>
        </w:rPr>
        <w:t xml:space="preserve"> </w:t>
      </w:r>
      <w:r>
        <w:rPr>
          <w:rFonts w:ascii="宋体" w:hAnsi="宋体" w:eastAsia="宋体" w:cs="宋体"/>
          <w:spacing w:val="4"/>
          <w:sz w:val="20"/>
          <w:szCs w:val="20"/>
        </w:rPr>
        <w:t>t</w:t>
      </w:r>
      <w:r>
        <w:rPr>
          <w:rFonts w:ascii="宋体" w:hAnsi="宋体" w:eastAsia="宋体" w:cs="宋体"/>
          <w:spacing w:val="8"/>
          <w:sz w:val="20"/>
          <w:szCs w:val="20"/>
        </w:rPr>
        <w:t>年的静态投资计划额；</w:t>
      </w:r>
    </w:p>
    <w:p>
      <w:pPr>
        <w:spacing w:before="36" w:line="276" w:lineRule="exact"/>
        <w:ind w:left="838"/>
        <w:rPr>
          <w:rFonts w:ascii="宋体" w:hAnsi="宋体" w:eastAsia="宋体" w:cs="宋体"/>
          <w:sz w:val="20"/>
          <w:szCs w:val="20"/>
        </w:rPr>
      </w:pPr>
      <w:r>
        <w:rPr>
          <w:rFonts w:ascii="宋体" w:hAnsi="宋体" w:eastAsia="宋体" w:cs="宋体"/>
          <w:spacing w:val="2"/>
          <w:position w:val="1"/>
          <w:sz w:val="20"/>
          <w:szCs w:val="20"/>
        </w:rPr>
        <w:t>f—投资价格指数；</w:t>
      </w:r>
    </w:p>
    <w:p>
      <w:pPr>
        <w:spacing w:before="115" w:line="226" w:lineRule="auto"/>
        <w:ind w:left="840"/>
        <w:rPr>
          <w:rFonts w:ascii="宋体" w:hAnsi="宋体" w:eastAsia="宋体" w:cs="宋体"/>
          <w:sz w:val="20"/>
          <w:szCs w:val="20"/>
        </w:rPr>
      </w:pPr>
      <w:r>
        <w:rPr>
          <w:rFonts w:ascii="宋体" w:hAnsi="宋体" w:eastAsia="宋体" w:cs="宋体"/>
          <w:spacing w:val="-5"/>
          <w:sz w:val="20"/>
          <w:szCs w:val="20"/>
        </w:rPr>
        <w:t>t—建设期第</w:t>
      </w:r>
      <w:r>
        <w:rPr>
          <w:rFonts w:ascii="宋体" w:hAnsi="宋体" w:eastAsia="宋体" w:cs="宋体"/>
          <w:spacing w:val="-41"/>
          <w:sz w:val="20"/>
          <w:szCs w:val="20"/>
        </w:rPr>
        <w:t xml:space="preserve"> </w:t>
      </w:r>
      <w:r>
        <w:rPr>
          <w:rFonts w:ascii="宋体" w:hAnsi="宋体" w:eastAsia="宋体" w:cs="宋体"/>
          <w:spacing w:val="-5"/>
          <w:sz w:val="20"/>
          <w:szCs w:val="20"/>
        </w:rPr>
        <w:t>t</w:t>
      </w:r>
      <w:r>
        <w:rPr>
          <w:rFonts w:ascii="宋体" w:hAnsi="宋体" w:eastAsia="宋体" w:cs="宋体"/>
          <w:spacing w:val="-40"/>
          <w:sz w:val="20"/>
          <w:szCs w:val="20"/>
        </w:rPr>
        <w:t xml:space="preserve"> </w:t>
      </w:r>
      <w:r>
        <w:rPr>
          <w:rFonts w:ascii="宋体" w:hAnsi="宋体" w:eastAsia="宋体" w:cs="宋体"/>
          <w:spacing w:val="-5"/>
          <w:sz w:val="20"/>
          <w:szCs w:val="20"/>
        </w:rPr>
        <w:t>年；</w:t>
      </w:r>
    </w:p>
    <w:p>
      <w:pPr>
        <w:spacing w:before="144" w:line="278" w:lineRule="exact"/>
        <w:ind w:left="843"/>
        <w:rPr>
          <w:rFonts w:ascii="宋体" w:hAnsi="宋体" w:eastAsia="宋体" w:cs="宋体"/>
          <w:sz w:val="20"/>
          <w:szCs w:val="20"/>
        </w:rPr>
      </w:pPr>
      <w:r>
        <w:rPr>
          <w:rFonts w:ascii="宋体" w:hAnsi="宋体" w:eastAsia="宋体" w:cs="宋体"/>
          <w:spacing w:val="11"/>
          <w:position w:val="1"/>
          <w:sz w:val="20"/>
          <w:szCs w:val="20"/>
        </w:rPr>
        <w:t>m—建设前期年限（从编制概算到开工建设年数）</w:t>
      </w:r>
    </w:p>
    <w:p>
      <w:pPr>
        <w:spacing w:before="111" w:line="278" w:lineRule="exact"/>
        <w:ind w:left="421"/>
        <w:rPr>
          <w:rFonts w:ascii="宋体" w:hAnsi="宋体" w:eastAsia="宋体" w:cs="宋体"/>
          <w:sz w:val="20"/>
          <w:szCs w:val="20"/>
        </w:rPr>
      </w:pPr>
      <w:r>
        <w:rPr>
          <w:rFonts w:ascii="宋体" w:hAnsi="宋体" w:eastAsia="宋体" w:cs="宋体"/>
          <w:b/>
          <w:bCs/>
          <w:spacing w:val="8"/>
          <w:position w:val="1"/>
          <w:sz w:val="20"/>
          <w:szCs w:val="20"/>
        </w:rPr>
        <w:t>十四、关于资金筹措费（建设期贷款利息）</w:t>
      </w:r>
    </w:p>
    <w:p>
      <w:pPr>
        <w:spacing w:before="115" w:line="359" w:lineRule="auto"/>
        <w:ind w:firstLine="421"/>
        <w:jc w:val="both"/>
        <w:rPr>
          <w:rFonts w:ascii="宋体" w:hAnsi="宋体" w:eastAsia="宋体" w:cs="宋体"/>
          <w:sz w:val="20"/>
          <w:szCs w:val="20"/>
        </w:rPr>
      </w:pPr>
      <w:r>
        <w:rPr>
          <w:rFonts w:ascii="宋体" w:hAnsi="宋体" w:eastAsia="宋体" w:cs="宋体"/>
          <w:spacing w:val="7"/>
          <w:sz w:val="20"/>
          <w:szCs w:val="20"/>
        </w:rPr>
        <w:t>建设期贷款利息是指项目建设中使用国内贷款或国外贷款部分，在建设期内应归还的贷款利息，</w:t>
      </w:r>
      <w:r>
        <w:rPr>
          <w:rFonts w:ascii="宋体" w:hAnsi="宋体" w:eastAsia="宋体" w:cs="宋体"/>
          <w:spacing w:val="11"/>
          <w:sz w:val="20"/>
          <w:szCs w:val="20"/>
        </w:rPr>
        <w:t>并按规定允许在投产后计入固定资产原值的利息。建设期利息包括各种机构借款</w:t>
      </w:r>
      <w:r>
        <w:rPr>
          <w:rFonts w:ascii="宋体" w:hAnsi="宋体" w:eastAsia="宋体" w:cs="宋体"/>
          <w:spacing w:val="10"/>
          <w:sz w:val="20"/>
          <w:szCs w:val="20"/>
        </w:rPr>
        <w:t>、集资、建设债券</w:t>
      </w:r>
      <w:r>
        <w:rPr>
          <w:rFonts w:ascii="宋体" w:hAnsi="宋体" w:eastAsia="宋体" w:cs="宋体"/>
          <w:spacing w:val="9"/>
          <w:sz w:val="20"/>
          <w:szCs w:val="20"/>
        </w:rPr>
        <w:t>和外汇贷款的利息以及其他融资费用等。</w:t>
      </w:r>
    </w:p>
    <w:p>
      <w:pPr>
        <w:spacing w:line="278" w:lineRule="exact"/>
        <w:ind w:left="420"/>
        <w:rPr>
          <w:rFonts w:ascii="宋体" w:hAnsi="宋体" w:eastAsia="宋体" w:cs="宋体"/>
          <w:sz w:val="20"/>
          <w:szCs w:val="20"/>
        </w:rPr>
      </w:pPr>
      <w:r>
        <w:rPr>
          <w:rFonts w:ascii="宋体" w:hAnsi="宋体" w:eastAsia="宋体" w:cs="宋体"/>
          <w:spacing w:val="9"/>
          <w:position w:val="1"/>
          <w:sz w:val="20"/>
          <w:szCs w:val="20"/>
        </w:rPr>
        <w:t>计算方法：根据不同的资金来源，建设期贷款利息可按以下方法分别计算。</w:t>
      </w:r>
    </w:p>
    <w:p>
      <w:pPr>
        <w:spacing w:before="113" w:line="278" w:lineRule="exact"/>
        <w:ind w:left="440"/>
        <w:rPr>
          <w:rFonts w:ascii="宋体" w:hAnsi="宋体" w:eastAsia="宋体" w:cs="宋体"/>
          <w:sz w:val="20"/>
          <w:szCs w:val="20"/>
        </w:rPr>
      </w:pPr>
      <w:r>
        <w:rPr>
          <w:rFonts w:ascii="宋体" w:hAnsi="宋体" w:eastAsia="宋体" w:cs="宋体"/>
          <w:spacing w:val="4"/>
          <w:position w:val="1"/>
          <w:sz w:val="20"/>
          <w:szCs w:val="20"/>
        </w:rPr>
        <w:t>1. 贷款总额一次性贷出且利率固定时</w:t>
      </w:r>
    </w:p>
    <w:p>
      <w:pPr>
        <w:spacing w:before="111" w:line="278" w:lineRule="exact"/>
        <w:ind w:left="423"/>
        <w:rPr>
          <w:rFonts w:ascii="宋体" w:hAnsi="宋体" w:eastAsia="宋体" w:cs="宋体"/>
          <w:sz w:val="20"/>
          <w:szCs w:val="20"/>
        </w:rPr>
      </w:pPr>
      <w:r>
        <w:rPr>
          <w:rFonts w:ascii="宋体" w:hAnsi="宋体" w:eastAsia="宋体" w:cs="宋体"/>
          <w:spacing w:val="3"/>
          <w:position w:val="1"/>
          <w:sz w:val="20"/>
          <w:szCs w:val="20"/>
        </w:rPr>
        <w:t>贷款利息=贷款总额</w:t>
      </w:r>
      <w:r>
        <w:rPr>
          <w:rFonts w:ascii="宋体" w:hAnsi="宋体" w:eastAsia="宋体" w:cs="宋体"/>
          <w:spacing w:val="-38"/>
          <w:position w:val="1"/>
          <w:sz w:val="20"/>
          <w:szCs w:val="20"/>
        </w:rPr>
        <w:t xml:space="preserve"> </w:t>
      </w:r>
      <w:r>
        <w:rPr>
          <w:rFonts w:ascii="宋体" w:hAnsi="宋体" w:eastAsia="宋体" w:cs="宋体"/>
          <w:spacing w:val="3"/>
          <w:position w:val="1"/>
          <w:sz w:val="20"/>
          <w:szCs w:val="20"/>
        </w:rPr>
        <w:t>×〔（</w:t>
      </w:r>
      <w:r>
        <w:rPr>
          <w:rFonts w:ascii="宋体" w:hAnsi="宋体" w:eastAsia="宋体" w:cs="宋体"/>
          <w:spacing w:val="-18"/>
          <w:position w:val="1"/>
          <w:sz w:val="20"/>
          <w:szCs w:val="20"/>
        </w:rPr>
        <w:t xml:space="preserve"> </w:t>
      </w:r>
      <w:r>
        <w:rPr>
          <w:rFonts w:ascii="宋体" w:hAnsi="宋体" w:eastAsia="宋体" w:cs="宋体"/>
          <w:spacing w:val="3"/>
          <w:position w:val="1"/>
          <w:sz w:val="20"/>
          <w:szCs w:val="20"/>
        </w:rPr>
        <w:t>1+年利率）n-1〕</w:t>
      </w:r>
    </w:p>
    <w:p>
      <w:pPr>
        <w:spacing w:before="113" w:line="278" w:lineRule="exact"/>
        <w:ind w:left="423"/>
        <w:rPr>
          <w:rFonts w:ascii="宋体" w:hAnsi="宋体" w:eastAsia="宋体" w:cs="宋体"/>
          <w:sz w:val="20"/>
          <w:szCs w:val="20"/>
        </w:rPr>
      </w:pPr>
      <w:r>
        <w:rPr>
          <w:rFonts w:ascii="宋体" w:hAnsi="宋体" w:eastAsia="宋体" w:cs="宋体"/>
          <w:spacing w:val="4"/>
          <w:position w:val="1"/>
          <w:sz w:val="20"/>
          <w:szCs w:val="20"/>
        </w:rPr>
        <w:t>2. 总贷款分年均衡发放时</w:t>
      </w:r>
    </w:p>
    <w:p>
      <w:pPr>
        <w:spacing w:before="111" w:line="277" w:lineRule="exact"/>
        <w:ind w:left="423"/>
        <w:rPr>
          <w:rFonts w:ascii="宋体" w:hAnsi="宋体" w:eastAsia="宋体" w:cs="宋体"/>
          <w:sz w:val="20"/>
          <w:szCs w:val="20"/>
        </w:rPr>
      </w:pPr>
      <w:r>
        <w:rPr>
          <w:rFonts w:ascii="宋体" w:hAnsi="宋体" w:eastAsia="宋体" w:cs="宋体"/>
          <w:spacing w:val="4"/>
          <w:position w:val="1"/>
          <w:sz w:val="20"/>
          <w:szCs w:val="20"/>
        </w:rPr>
        <w:t>贷款利息=</w:t>
      </w:r>
      <w:r>
        <w:rPr>
          <w:rFonts w:ascii="宋体" w:hAnsi="宋体" w:eastAsia="宋体" w:cs="宋体"/>
          <w:spacing w:val="-67"/>
          <w:position w:val="1"/>
          <w:sz w:val="20"/>
          <w:szCs w:val="20"/>
        </w:rPr>
        <w:t xml:space="preserve"> </w:t>
      </w:r>
      <w:r>
        <w:rPr>
          <w:rFonts w:ascii="宋体" w:hAnsi="宋体" w:eastAsia="宋体" w:cs="宋体"/>
          <w:spacing w:val="4"/>
          <w:position w:val="1"/>
          <w:sz w:val="20"/>
          <w:szCs w:val="20"/>
        </w:rPr>
        <w:t>∑{本年度初需付息贷款本息累计+（本年度付息贷</w:t>
      </w:r>
      <w:r>
        <w:rPr>
          <w:rFonts w:ascii="宋体" w:hAnsi="宋体" w:eastAsia="宋体" w:cs="宋体"/>
          <w:spacing w:val="3"/>
          <w:position w:val="1"/>
          <w:sz w:val="20"/>
          <w:szCs w:val="20"/>
        </w:rPr>
        <w:t>款</w:t>
      </w:r>
      <w:r>
        <w:rPr>
          <w:rFonts w:ascii="宋体" w:hAnsi="宋体" w:eastAsia="宋体" w:cs="宋体"/>
          <w:spacing w:val="-42"/>
          <w:position w:val="1"/>
          <w:sz w:val="20"/>
          <w:szCs w:val="20"/>
        </w:rPr>
        <w:t xml:space="preserve"> </w:t>
      </w:r>
      <w:r>
        <w:rPr>
          <w:rFonts w:ascii="宋体" w:hAnsi="宋体" w:eastAsia="宋体" w:cs="宋体"/>
          <w:spacing w:val="3"/>
          <w:position w:val="1"/>
          <w:sz w:val="20"/>
          <w:szCs w:val="20"/>
        </w:rPr>
        <w:t>÷2）}</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×年利率</w:t>
      </w:r>
    </w:p>
    <w:p>
      <w:pPr>
        <w:spacing w:before="118" w:line="223" w:lineRule="auto"/>
        <w:ind w:left="423"/>
        <w:rPr>
          <w:rFonts w:ascii="宋体" w:hAnsi="宋体" w:eastAsia="宋体" w:cs="宋体"/>
          <w:sz w:val="20"/>
          <w:szCs w:val="20"/>
        </w:rPr>
      </w:pPr>
      <w:r>
        <w:rPr>
          <w:rFonts w:ascii="宋体" w:hAnsi="宋体" w:eastAsia="宋体" w:cs="宋体"/>
          <w:spacing w:val="9"/>
          <w:sz w:val="20"/>
          <w:szCs w:val="20"/>
        </w:rPr>
        <w:t>年利率按单利计算时为名义年利率，按复利方式计算时为有效年利率。</w:t>
      </w:r>
    </w:p>
    <w:p>
      <w:pPr>
        <w:spacing w:before="144" w:line="277" w:lineRule="exact"/>
        <w:ind w:left="423"/>
        <w:rPr>
          <w:rFonts w:ascii="宋体" w:hAnsi="宋体" w:eastAsia="宋体" w:cs="宋体"/>
          <w:sz w:val="20"/>
          <w:szCs w:val="20"/>
        </w:rPr>
      </w:pPr>
      <w:r>
        <w:rPr>
          <w:rFonts w:ascii="宋体" w:hAnsi="宋体" w:eastAsia="宋体" w:cs="宋体"/>
          <w:spacing w:val="9"/>
          <w:position w:val="1"/>
          <w:sz w:val="20"/>
          <w:szCs w:val="20"/>
        </w:rPr>
        <w:t>名义年利率和有效年利率的换算公式为：</w:t>
      </w:r>
    </w:p>
    <w:p>
      <w:pPr>
        <w:spacing w:before="114" w:line="278" w:lineRule="exact"/>
        <w:ind w:left="421"/>
        <w:rPr>
          <w:rFonts w:ascii="宋体" w:hAnsi="宋体" w:eastAsia="宋体" w:cs="宋体"/>
          <w:sz w:val="20"/>
          <w:szCs w:val="20"/>
        </w:rPr>
      </w:pPr>
      <w:r>
        <w:rPr>
          <w:rFonts w:ascii="宋体" w:hAnsi="宋体" w:eastAsia="宋体" w:cs="宋体"/>
          <w:spacing w:val="5"/>
          <w:position w:val="1"/>
          <w:sz w:val="20"/>
          <w:szCs w:val="20"/>
        </w:rPr>
        <w:t>有效年利率=（</w:t>
      </w:r>
      <w:r>
        <w:rPr>
          <w:rFonts w:ascii="宋体" w:hAnsi="宋体" w:eastAsia="宋体" w:cs="宋体"/>
          <w:spacing w:val="-35"/>
          <w:position w:val="1"/>
          <w:sz w:val="20"/>
          <w:szCs w:val="20"/>
        </w:rPr>
        <w:t xml:space="preserve"> </w:t>
      </w:r>
      <w:r>
        <w:rPr>
          <w:rFonts w:ascii="宋体" w:hAnsi="宋体" w:eastAsia="宋体" w:cs="宋体"/>
          <w:spacing w:val="5"/>
          <w:position w:val="1"/>
          <w:sz w:val="20"/>
          <w:szCs w:val="20"/>
        </w:rPr>
        <w:t>1+r/m）m-1</w:t>
      </w:r>
    </w:p>
    <w:p>
      <w:pPr>
        <w:spacing w:before="111" w:line="277" w:lineRule="exact"/>
        <w:ind w:left="421"/>
        <w:rPr>
          <w:rFonts w:ascii="宋体" w:hAnsi="宋体" w:eastAsia="宋体" w:cs="宋体"/>
          <w:sz w:val="20"/>
          <w:szCs w:val="20"/>
        </w:rPr>
      </w:pPr>
      <w:r>
        <w:rPr>
          <w:rFonts w:ascii="宋体" w:hAnsi="宋体" w:eastAsia="宋体" w:cs="宋体"/>
          <w:spacing w:val="3"/>
          <w:position w:val="1"/>
          <w:sz w:val="20"/>
          <w:szCs w:val="20"/>
        </w:rPr>
        <w:t>式中：</w:t>
      </w:r>
      <w:r>
        <w:rPr>
          <w:rFonts w:ascii="宋体" w:hAnsi="宋体" w:eastAsia="宋体" w:cs="宋体"/>
          <w:spacing w:val="17"/>
          <w:position w:val="1"/>
          <w:sz w:val="20"/>
          <w:szCs w:val="20"/>
        </w:rPr>
        <w:t xml:space="preserve">  </w:t>
      </w:r>
      <w:r>
        <w:rPr>
          <w:rFonts w:ascii="宋体" w:hAnsi="宋体" w:eastAsia="宋体" w:cs="宋体"/>
          <w:spacing w:val="3"/>
          <w:position w:val="1"/>
          <w:sz w:val="20"/>
          <w:szCs w:val="20"/>
        </w:rPr>
        <w:t>r—名义年利率</w:t>
      </w:r>
    </w:p>
    <w:p>
      <w:pPr>
        <w:spacing w:before="114" w:line="278" w:lineRule="exact"/>
        <w:ind w:left="1263"/>
        <w:rPr>
          <w:rFonts w:ascii="宋体" w:hAnsi="宋体" w:eastAsia="宋体" w:cs="宋体"/>
          <w:sz w:val="20"/>
          <w:szCs w:val="20"/>
        </w:rPr>
      </w:pPr>
      <w:r>
        <w:rPr>
          <w:rFonts w:ascii="宋体" w:hAnsi="宋体" w:eastAsia="宋体" w:cs="宋体"/>
          <w:spacing w:val="14"/>
          <w:position w:val="1"/>
          <w:sz w:val="20"/>
          <w:szCs w:val="20"/>
        </w:rPr>
        <w:t>m—每年计息次数</w:t>
      </w:r>
    </w:p>
    <w:p>
      <w:pPr>
        <w:spacing w:before="111" w:line="277" w:lineRule="exact"/>
        <w:ind w:left="1263"/>
        <w:rPr>
          <w:rFonts w:ascii="宋体" w:hAnsi="宋体" w:eastAsia="宋体" w:cs="宋体"/>
          <w:sz w:val="20"/>
          <w:szCs w:val="20"/>
        </w:rPr>
      </w:pPr>
      <w:r>
        <w:rPr>
          <w:rFonts w:ascii="宋体" w:hAnsi="宋体" w:eastAsia="宋体" w:cs="宋体"/>
          <w:spacing w:val="8"/>
          <w:position w:val="1"/>
          <w:sz w:val="20"/>
          <w:szCs w:val="20"/>
        </w:rPr>
        <w:t>n—建设期年数</w:t>
      </w:r>
    </w:p>
    <w:p>
      <w:pPr>
        <w:spacing w:before="114" w:line="277" w:lineRule="exact"/>
        <w:ind w:left="426"/>
        <w:rPr>
          <w:rFonts w:ascii="宋体" w:hAnsi="宋体" w:eastAsia="宋体" w:cs="宋体"/>
          <w:sz w:val="20"/>
          <w:szCs w:val="20"/>
        </w:rPr>
      </w:pPr>
      <w:r>
        <w:rPr>
          <w:rFonts w:ascii="宋体" w:hAnsi="宋体" w:eastAsia="宋体" w:cs="宋体"/>
          <w:spacing w:val="8"/>
          <w:position w:val="1"/>
          <w:sz w:val="20"/>
          <w:szCs w:val="20"/>
        </w:rPr>
        <w:t>3. 如建设单位与贷款方达成协议采用其他方式计算，则按</w:t>
      </w:r>
      <w:r>
        <w:rPr>
          <w:rFonts w:ascii="宋体" w:hAnsi="宋体" w:eastAsia="宋体" w:cs="宋体"/>
          <w:spacing w:val="7"/>
          <w:position w:val="1"/>
          <w:sz w:val="20"/>
          <w:szCs w:val="20"/>
        </w:rPr>
        <w:t>实际达成的协议方式计算。</w:t>
      </w:r>
    </w:p>
    <w:p>
      <w:pPr>
        <w:spacing w:before="116" w:line="221" w:lineRule="auto"/>
        <w:ind w:left="428"/>
        <w:rPr>
          <w:rFonts w:ascii="宋体" w:hAnsi="宋体" w:eastAsia="宋体" w:cs="宋体"/>
          <w:sz w:val="20"/>
          <w:szCs w:val="20"/>
        </w:rPr>
      </w:pPr>
      <w:r>
        <w:rPr>
          <w:rFonts w:ascii="宋体" w:hAnsi="宋体" w:eastAsia="宋体" w:cs="宋体"/>
          <w:b/>
          <w:bCs/>
          <w:spacing w:val="7"/>
          <w:sz w:val="20"/>
          <w:szCs w:val="20"/>
        </w:rPr>
        <w:t>十五、关于经营性铺底流动资金</w:t>
      </w:r>
    </w:p>
    <w:p>
      <w:pPr>
        <w:spacing w:before="150" w:line="359" w:lineRule="auto"/>
        <w:ind w:right="64" w:firstLine="423"/>
        <w:rPr>
          <w:rFonts w:ascii="宋体" w:hAnsi="宋体" w:eastAsia="宋体" w:cs="宋体"/>
          <w:sz w:val="20"/>
          <w:szCs w:val="20"/>
        </w:rPr>
      </w:pPr>
      <w:r>
        <w:rPr>
          <w:rFonts w:ascii="宋体" w:hAnsi="宋体" w:eastAsia="宋体" w:cs="宋体"/>
          <w:spacing w:val="11"/>
          <w:sz w:val="20"/>
          <w:szCs w:val="20"/>
        </w:rPr>
        <w:t>经营性铺底流动资金，是指生产经营性建设项目为保证投产后正常的生</w:t>
      </w:r>
      <w:r>
        <w:rPr>
          <w:rFonts w:ascii="宋体" w:hAnsi="宋体" w:eastAsia="宋体" w:cs="宋体"/>
          <w:spacing w:val="10"/>
          <w:sz w:val="20"/>
          <w:szCs w:val="20"/>
        </w:rPr>
        <w:t>产营运所需，在项目资</w:t>
      </w:r>
      <w:r>
        <w:rPr>
          <w:rFonts w:ascii="宋体" w:hAnsi="宋体" w:eastAsia="宋体" w:cs="宋体"/>
          <w:spacing w:val="8"/>
          <w:sz w:val="20"/>
          <w:szCs w:val="20"/>
        </w:rPr>
        <w:t>本金中筹措的自有流动资金。</w:t>
      </w:r>
    </w:p>
    <w:p>
      <w:pPr>
        <w:spacing w:line="277" w:lineRule="exact"/>
        <w:ind w:left="420"/>
        <w:rPr>
          <w:rFonts w:ascii="宋体" w:hAnsi="宋体" w:eastAsia="宋体" w:cs="宋体"/>
          <w:sz w:val="20"/>
          <w:szCs w:val="20"/>
        </w:rPr>
      </w:pPr>
      <w:r>
        <w:rPr>
          <w:rFonts w:ascii="宋体" w:hAnsi="宋体" w:eastAsia="宋体" w:cs="宋体"/>
          <w:spacing w:val="7"/>
          <w:position w:val="1"/>
          <w:sz w:val="20"/>
          <w:szCs w:val="20"/>
        </w:rPr>
        <w:t>计算方法：</w:t>
      </w:r>
    </w:p>
    <w:p>
      <w:pPr>
        <w:spacing w:before="116" w:line="219" w:lineRule="auto"/>
        <w:ind w:left="426"/>
        <w:rPr>
          <w:rFonts w:ascii="宋体" w:hAnsi="宋体" w:eastAsia="宋体" w:cs="宋体"/>
          <w:sz w:val="20"/>
          <w:szCs w:val="20"/>
        </w:rPr>
      </w:pPr>
      <w:r>
        <w:rPr>
          <w:rFonts w:ascii="宋体" w:hAnsi="宋体" w:eastAsia="宋体" w:cs="宋体"/>
          <w:spacing w:val="9"/>
          <w:sz w:val="20"/>
          <w:szCs w:val="20"/>
        </w:rPr>
        <w:t>流动资金的估算方法有扩大指标估算法和分项详细估算法两种。</w:t>
      </w:r>
    </w:p>
    <w:p>
      <w:pPr>
        <w:spacing w:before="17" w:line="405" w:lineRule="auto"/>
        <w:ind w:left="1" w:right="64" w:firstLine="438"/>
        <w:rPr>
          <w:rFonts w:ascii="宋体" w:hAnsi="宋体" w:eastAsia="宋体" w:cs="宋体"/>
          <w:sz w:val="20"/>
          <w:szCs w:val="20"/>
        </w:rPr>
      </w:pPr>
      <w:r>
        <w:rPr>
          <w:rFonts w:ascii="宋体" w:hAnsi="宋体" w:eastAsia="宋体" w:cs="宋体"/>
          <w:spacing w:val="8"/>
          <w:sz w:val="20"/>
          <w:szCs w:val="20"/>
        </w:rPr>
        <w:t>1. 扩大指标估算法，此方法是参照同类企业的流动</w:t>
      </w:r>
      <w:r>
        <w:rPr>
          <w:rFonts w:ascii="宋体" w:hAnsi="宋体" w:eastAsia="宋体" w:cs="宋体"/>
          <w:spacing w:val="7"/>
          <w:sz w:val="20"/>
          <w:szCs w:val="20"/>
        </w:rPr>
        <w:t>资金占营业收入、</w:t>
      </w:r>
      <w:r>
        <w:fldChar w:fldCharType="begin"/>
      </w:r>
      <w:r>
        <w:instrText xml:space="preserve"> HYPERLINK "http://baike.so.com/doc/2728552-2880146.html" </w:instrText>
      </w:r>
      <w:r>
        <w:fldChar w:fldCharType="separate"/>
      </w:r>
      <w:r>
        <w:rPr>
          <w:rFonts w:ascii="宋体" w:hAnsi="宋体" w:eastAsia="宋体" w:cs="宋体"/>
          <w:spacing w:val="7"/>
          <w:sz w:val="20"/>
          <w:szCs w:val="20"/>
        </w:rPr>
        <w:t>经营成本</w:t>
      </w:r>
      <w:r>
        <w:rPr>
          <w:rFonts w:ascii="宋体" w:hAnsi="宋体" w:eastAsia="宋体" w:cs="宋体"/>
          <w:spacing w:val="7"/>
          <w:sz w:val="20"/>
          <w:szCs w:val="20"/>
        </w:rPr>
        <w:fldChar w:fldCharType="end"/>
      </w:r>
      <w:r>
        <w:rPr>
          <w:rFonts w:ascii="宋体" w:hAnsi="宋体" w:eastAsia="宋体" w:cs="宋体"/>
          <w:spacing w:val="7"/>
          <w:sz w:val="20"/>
          <w:szCs w:val="20"/>
        </w:rPr>
        <w:t>的比例或者是单</w:t>
      </w:r>
      <w:r>
        <w:rPr>
          <w:rFonts w:ascii="宋体" w:hAnsi="宋体" w:eastAsia="宋体" w:cs="宋体"/>
          <w:spacing w:val="9"/>
          <w:sz w:val="20"/>
          <w:szCs w:val="20"/>
        </w:rPr>
        <w:t>位产量占用营运资金的数额估算流动资金，并按以下公式计算：</w:t>
      </w:r>
    </w:p>
    <w:p>
      <w:pPr>
        <w:spacing w:before="35" w:line="238" w:lineRule="auto"/>
        <w:ind w:left="426"/>
        <w:rPr>
          <w:rFonts w:ascii="宋体" w:hAnsi="宋体" w:eastAsia="宋体" w:cs="宋体"/>
          <w:sz w:val="20"/>
          <w:szCs w:val="20"/>
        </w:rPr>
      </w:pPr>
      <w:r>
        <w:rPr>
          <w:rFonts w:ascii="宋体" w:hAnsi="宋体" w:eastAsia="宋体" w:cs="宋体"/>
          <w:spacing w:val="8"/>
          <w:sz w:val="20"/>
          <w:szCs w:val="20"/>
        </w:rPr>
        <w:t>流动资金额＝各种费用基数</w:t>
      </w:r>
      <w:r>
        <w:rPr>
          <w:rFonts w:ascii="宋体" w:hAnsi="宋体" w:eastAsia="宋体" w:cs="宋体"/>
          <w:spacing w:val="-38"/>
          <w:sz w:val="20"/>
          <w:szCs w:val="20"/>
        </w:rPr>
        <w:t xml:space="preserve"> </w:t>
      </w:r>
      <w:r>
        <w:rPr>
          <w:rFonts w:ascii="宋体" w:hAnsi="宋体" w:eastAsia="宋体" w:cs="宋体"/>
          <w:spacing w:val="8"/>
          <w:sz w:val="20"/>
          <w:szCs w:val="20"/>
        </w:rPr>
        <w:t>×相应的流动资金所占比例（或占营运资金的数额）</w:t>
      </w:r>
    </w:p>
    <w:p>
      <w:pPr>
        <w:spacing w:before="134" w:line="222" w:lineRule="auto"/>
        <w:ind w:left="421"/>
        <w:rPr>
          <w:rFonts w:ascii="宋体" w:hAnsi="宋体" w:eastAsia="宋体" w:cs="宋体"/>
          <w:sz w:val="20"/>
          <w:szCs w:val="20"/>
        </w:rPr>
      </w:pPr>
      <w:r>
        <w:rPr>
          <w:rFonts w:ascii="宋体" w:hAnsi="宋体" w:eastAsia="宋体" w:cs="宋体"/>
          <w:spacing w:val="9"/>
          <w:sz w:val="20"/>
          <w:szCs w:val="20"/>
        </w:rPr>
        <w:t>式中，各种费用基数是指年营业收入，年</w:t>
      </w:r>
      <w:r>
        <w:fldChar w:fldCharType="begin"/>
      </w:r>
      <w:r>
        <w:instrText xml:space="preserve"> HYPERLINK "http://baike.so.com/doc/2728552-2880146.html" </w:instrText>
      </w:r>
      <w:r>
        <w:fldChar w:fldCharType="separate"/>
      </w:r>
      <w:r>
        <w:rPr>
          <w:rFonts w:ascii="宋体" w:hAnsi="宋体" w:eastAsia="宋体" w:cs="宋体"/>
          <w:spacing w:val="9"/>
          <w:sz w:val="20"/>
          <w:szCs w:val="20"/>
        </w:rPr>
        <w:t>经营成本</w:t>
      </w:r>
      <w:r>
        <w:rPr>
          <w:rFonts w:ascii="宋体" w:hAnsi="宋体" w:eastAsia="宋体" w:cs="宋体"/>
          <w:spacing w:val="9"/>
          <w:sz w:val="20"/>
          <w:szCs w:val="20"/>
        </w:rPr>
        <w:fldChar w:fldCharType="end"/>
      </w:r>
      <w:r>
        <w:rPr>
          <w:rFonts w:ascii="宋体" w:hAnsi="宋体" w:eastAsia="宋体" w:cs="宋体"/>
          <w:spacing w:val="9"/>
          <w:sz w:val="20"/>
          <w:szCs w:val="20"/>
        </w:rPr>
        <w:t>或年产量等。</w:t>
      </w:r>
    </w:p>
    <w:p>
      <w:pPr>
        <w:spacing w:before="148" w:line="276" w:lineRule="exact"/>
        <w:ind w:left="423"/>
        <w:rPr>
          <w:rFonts w:ascii="宋体" w:hAnsi="宋体" w:eastAsia="宋体" w:cs="宋体"/>
          <w:sz w:val="20"/>
          <w:szCs w:val="20"/>
        </w:rPr>
      </w:pPr>
      <w:r>
        <w:rPr>
          <w:rFonts w:ascii="宋体" w:hAnsi="宋体" w:eastAsia="宋体" w:cs="宋体"/>
          <w:spacing w:val="6"/>
          <w:position w:val="1"/>
          <w:sz w:val="20"/>
          <w:szCs w:val="20"/>
        </w:rPr>
        <w:t>2. 分项详细估算法，可简化计算，其公式如下：</w:t>
      </w:r>
    </w:p>
    <w:p>
      <w:pPr>
        <w:spacing w:before="112" w:line="278" w:lineRule="exact"/>
        <w:ind w:left="426"/>
        <w:rPr>
          <w:rFonts w:ascii="宋体" w:hAnsi="宋体" w:eastAsia="宋体" w:cs="宋体"/>
          <w:sz w:val="20"/>
          <w:szCs w:val="20"/>
        </w:rPr>
      </w:pPr>
      <w:r>
        <w:rPr>
          <w:rFonts w:ascii="宋体" w:hAnsi="宋体" w:eastAsia="宋体" w:cs="宋体"/>
          <w:spacing w:val="9"/>
          <w:position w:val="1"/>
          <w:sz w:val="20"/>
          <w:szCs w:val="20"/>
        </w:rPr>
        <w:t>流动资金＝流动资产－流动负债</w:t>
      </w:r>
    </w:p>
    <w:p>
      <w:pPr>
        <w:spacing w:line="278" w:lineRule="exact"/>
        <w:rPr>
          <w:rFonts w:ascii="宋体" w:hAnsi="宋体" w:eastAsia="宋体" w:cs="宋体"/>
          <w:sz w:val="20"/>
          <w:szCs w:val="20"/>
        </w:rPr>
        <w:sectPr>
          <w:footerReference r:id="rId22" w:type="default"/>
          <w:pgSz w:w="11905" w:h="16840"/>
          <w:pgMar w:top="1262" w:right="1354" w:bottom="1213" w:left="1418" w:header="0" w:footer="898" w:gutter="0"/>
        </w:sectPr>
      </w:pPr>
    </w:p>
    <w:p>
      <w:pPr>
        <w:spacing w:before="119" w:line="223" w:lineRule="auto"/>
        <w:ind w:left="428"/>
        <w:rPr>
          <w:rFonts w:ascii="宋体" w:hAnsi="宋体" w:eastAsia="宋体" w:cs="宋体"/>
          <w:sz w:val="20"/>
          <w:szCs w:val="20"/>
        </w:rPr>
      </w:pPr>
      <w:r>
        <w:rPr>
          <w:rFonts w:ascii="宋体" w:hAnsi="宋体" w:eastAsia="宋体" w:cs="宋体"/>
          <w:spacing w:val="10"/>
          <w:sz w:val="20"/>
          <w:szCs w:val="20"/>
        </w:rPr>
        <w:t>流动资产＝应收账款＋预付账款+存货+库存</w:t>
      </w:r>
      <w:r>
        <w:rPr>
          <w:rFonts w:ascii="宋体" w:hAnsi="宋体" w:eastAsia="宋体" w:cs="宋体"/>
          <w:spacing w:val="9"/>
          <w:sz w:val="20"/>
          <w:szCs w:val="20"/>
        </w:rPr>
        <w:t>现金</w:t>
      </w:r>
    </w:p>
    <w:p>
      <w:pPr>
        <w:spacing w:before="146" w:line="224" w:lineRule="auto"/>
        <w:ind w:left="428"/>
        <w:rPr>
          <w:rFonts w:ascii="宋体" w:hAnsi="宋体" w:eastAsia="宋体" w:cs="宋体"/>
          <w:sz w:val="20"/>
          <w:szCs w:val="20"/>
        </w:rPr>
      </w:pPr>
      <w:r>
        <w:rPr>
          <w:rFonts w:ascii="宋体" w:hAnsi="宋体" w:eastAsia="宋体" w:cs="宋体"/>
          <w:spacing w:val="9"/>
          <w:sz w:val="20"/>
          <w:szCs w:val="20"/>
        </w:rPr>
        <w:t>流动负债＝应付账款＋预收账款</w:t>
      </w:r>
    </w:p>
    <w:p>
      <w:pPr>
        <w:spacing w:before="151" w:line="220" w:lineRule="auto"/>
        <w:ind w:left="431"/>
        <w:rPr>
          <w:rFonts w:ascii="宋体" w:hAnsi="宋体" w:eastAsia="宋体" w:cs="宋体"/>
          <w:sz w:val="20"/>
          <w:szCs w:val="20"/>
        </w:rPr>
      </w:pPr>
      <w:r>
        <w:rPr>
          <w:rFonts w:ascii="宋体" w:hAnsi="宋体" w:eastAsia="宋体" w:cs="宋体"/>
          <w:b/>
          <w:bCs/>
          <w:spacing w:val="7"/>
          <w:sz w:val="20"/>
          <w:szCs w:val="20"/>
        </w:rPr>
        <w:t>十六、关于概算编制</w:t>
      </w:r>
    </w:p>
    <w:p>
      <w:pPr>
        <w:spacing w:before="145" w:line="277" w:lineRule="exact"/>
        <w:ind w:left="442"/>
        <w:rPr>
          <w:rFonts w:ascii="宋体" w:hAnsi="宋体" w:eastAsia="宋体" w:cs="宋体"/>
          <w:sz w:val="20"/>
          <w:szCs w:val="20"/>
        </w:rPr>
      </w:pPr>
      <w:r>
        <w:rPr>
          <w:rFonts w:ascii="宋体" w:hAnsi="宋体" w:eastAsia="宋体" w:cs="宋体"/>
          <w:spacing w:val="1"/>
          <w:position w:val="1"/>
          <w:sz w:val="20"/>
          <w:szCs w:val="20"/>
        </w:rPr>
        <w:t>1. 设计概算编制依据</w:t>
      </w:r>
    </w:p>
    <w:p>
      <w:pPr>
        <w:spacing w:before="114" w:line="277" w:lineRule="exact"/>
        <w:ind w:left="420"/>
        <w:rPr>
          <w:rFonts w:ascii="宋体" w:hAnsi="宋体" w:eastAsia="宋体" w:cs="宋体"/>
          <w:sz w:val="20"/>
          <w:szCs w:val="20"/>
        </w:rPr>
      </w:pPr>
      <w:r>
        <w:rPr>
          <w:rFonts w:ascii="宋体" w:hAnsi="宋体" w:eastAsia="宋体" w:cs="宋体"/>
          <w:spacing w:val="9"/>
          <w:position w:val="1"/>
          <w:sz w:val="20"/>
          <w:szCs w:val="20"/>
        </w:rPr>
        <w:t>设计概算应以下列有关文件、资料为依据进行编制：</w:t>
      </w:r>
    </w:p>
    <w:p>
      <w:pPr>
        <w:spacing w:before="112" w:line="277" w:lineRule="exact"/>
        <w:ind w:left="415"/>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5"/>
          <w:position w:val="1"/>
          <w:sz w:val="20"/>
          <w:szCs w:val="20"/>
        </w:rPr>
        <w:t>1</w:t>
      </w:r>
      <w:r>
        <w:rPr>
          <w:rFonts w:ascii="宋体" w:hAnsi="宋体" w:eastAsia="宋体" w:cs="宋体"/>
          <w:spacing w:val="-44"/>
          <w:position w:val="1"/>
          <w:sz w:val="20"/>
          <w:szCs w:val="20"/>
        </w:rPr>
        <w:t xml:space="preserve"> </w:t>
      </w:r>
      <w:r>
        <w:rPr>
          <w:rFonts w:ascii="宋体" w:hAnsi="宋体" w:eastAsia="宋体" w:cs="宋体"/>
          <w:spacing w:val="5"/>
          <w:position w:val="1"/>
          <w:sz w:val="20"/>
          <w:szCs w:val="20"/>
        </w:rPr>
        <w:t>）国家、行业和地方政府有关法律、法规和</w:t>
      </w:r>
      <w:r>
        <w:rPr>
          <w:rFonts w:ascii="宋体" w:hAnsi="宋体" w:eastAsia="宋体" w:cs="宋体"/>
          <w:spacing w:val="4"/>
          <w:position w:val="1"/>
          <w:sz w:val="20"/>
          <w:szCs w:val="20"/>
        </w:rPr>
        <w:t>规定。</w:t>
      </w:r>
    </w:p>
    <w:p>
      <w:pPr>
        <w:spacing w:before="114" w:line="276" w:lineRule="exact"/>
        <w:ind w:left="415"/>
        <w:rPr>
          <w:rFonts w:ascii="宋体" w:hAnsi="宋体" w:eastAsia="宋体" w:cs="宋体"/>
          <w:sz w:val="20"/>
          <w:szCs w:val="20"/>
        </w:rPr>
      </w:pPr>
      <w:r>
        <w:rPr>
          <w:rFonts w:ascii="宋体" w:hAnsi="宋体" w:eastAsia="宋体" w:cs="宋体"/>
          <w:spacing w:val="10"/>
          <w:position w:val="1"/>
          <w:sz w:val="20"/>
          <w:szCs w:val="20"/>
        </w:rPr>
        <w:t>（2）经批准的建设项目可行性研究报告、设</w:t>
      </w:r>
      <w:r>
        <w:rPr>
          <w:rFonts w:ascii="宋体" w:hAnsi="宋体" w:eastAsia="宋体" w:cs="宋体"/>
          <w:spacing w:val="9"/>
          <w:position w:val="1"/>
          <w:sz w:val="20"/>
          <w:szCs w:val="20"/>
        </w:rPr>
        <w:t>计任务书或初步设计项目一览表。</w:t>
      </w:r>
    </w:p>
    <w:p>
      <w:pPr>
        <w:spacing w:before="113" w:line="293" w:lineRule="auto"/>
        <w:ind w:right="64" w:firstLine="415"/>
        <w:rPr>
          <w:rFonts w:ascii="宋体" w:hAnsi="宋体" w:eastAsia="宋体" w:cs="宋体"/>
          <w:sz w:val="20"/>
          <w:szCs w:val="20"/>
        </w:rPr>
      </w:pPr>
      <w:r>
        <w:rPr>
          <w:rFonts w:ascii="宋体" w:hAnsi="宋体" w:eastAsia="宋体" w:cs="宋体"/>
          <w:spacing w:val="8"/>
          <w:sz w:val="20"/>
          <w:szCs w:val="20"/>
        </w:rPr>
        <w:t>（3）能满足编制设计概算的各专业经过校审并签字的初步设计图纸（或内部作业草图）、文字说明和主要设备表。</w:t>
      </w:r>
    </w:p>
    <w:p>
      <w:pPr>
        <w:spacing w:before="145" w:line="278" w:lineRule="exact"/>
        <w:ind w:left="415"/>
        <w:rPr>
          <w:rFonts w:ascii="宋体" w:hAnsi="宋体" w:eastAsia="宋体" w:cs="宋体"/>
          <w:sz w:val="20"/>
          <w:szCs w:val="20"/>
        </w:rPr>
      </w:pPr>
      <w:r>
        <w:rPr>
          <w:rFonts w:ascii="宋体" w:hAnsi="宋体" w:eastAsia="宋体" w:cs="宋体"/>
          <w:spacing w:val="9"/>
          <w:position w:val="1"/>
          <w:sz w:val="20"/>
          <w:szCs w:val="20"/>
        </w:rPr>
        <w:t>（4）山东省建设工程概算定额、概算费用编制规定及其相关要求。</w:t>
      </w:r>
    </w:p>
    <w:p>
      <w:pPr>
        <w:spacing w:before="113" w:line="277" w:lineRule="exact"/>
        <w:ind w:right="11"/>
        <w:jc w:val="right"/>
        <w:rPr>
          <w:rFonts w:ascii="宋体" w:hAnsi="宋体" w:eastAsia="宋体" w:cs="宋体"/>
          <w:sz w:val="20"/>
          <w:szCs w:val="20"/>
        </w:rPr>
      </w:pPr>
      <w:r>
        <w:rPr>
          <w:rFonts w:ascii="宋体" w:hAnsi="宋体" w:eastAsia="宋体" w:cs="宋体"/>
          <w:spacing w:val="10"/>
          <w:position w:val="1"/>
          <w:sz w:val="20"/>
          <w:szCs w:val="20"/>
        </w:rPr>
        <w:t>（5）类似建设项目的概预算价格和技术经济指标，项目所在地</w:t>
      </w:r>
      <w:r>
        <w:rPr>
          <w:rFonts w:ascii="宋体" w:hAnsi="宋体" w:eastAsia="宋体" w:cs="宋体"/>
          <w:spacing w:val="9"/>
          <w:position w:val="1"/>
          <w:sz w:val="20"/>
          <w:szCs w:val="20"/>
        </w:rPr>
        <w:t>市场材料及构配件供应价格等。</w:t>
      </w:r>
    </w:p>
    <w:p>
      <w:pPr>
        <w:spacing w:before="112" w:line="276" w:lineRule="exact"/>
        <w:ind w:left="415"/>
        <w:rPr>
          <w:rFonts w:ascii="宋体" w:hAnsi="宋体" w:eastAsia="宋体" w:cs="宋体"/>
          <w:sz w:val="20"/>
          <w:szCs w:val="20"/>
        </w:rPr>
      </w:pPr>
      <w:r>
        <w:rPr>
          <w:rFonts w:ascii="宋体" w:hAnsi="宋体" w:eastAsia="宋体" w:cs="宋体"/>
          <w:spacing w:val="9"/>
          <w:position w:val="1"/>
          <w:sz w:val="20"/>
          <w:szCs w:val="20"/>
        </w:rPr>
        <w:t>（6）有关设备原价及运杂费率。</w:t>
      </w:r>
    </w:p>
    <w:p>
      <w:pPr>
        <w:spacing w:before="115" w:line="278" w:lineRule="exact"/>
        <w:ind w:left="415"/>
        <w:rPr>
          <w:rFonts w:ascii="宋体" w:hAnsi="宋体" w:eastAsia="宋体" w:cs="宋体"/>
          <w:sz w:val="20"/>
          <w:szCs w:val="20"/>
        </w:rPr>
      </w:pPr>
      <w:r>
        <w:rPr>
          <w:rFonts w:ascii="宋体" w:hAnsi="宋体" w:eastAsia="宋体" w:cs="宋体"/>
          <w:spacing w:val="8"/>
          <w:position w:val="1"/>
          <w:sz w:val="20"/>
          <w:szCs w:val="20"/>
        </w:rPr>
        <w:t>（7）项目资金筹措方式。</w:t>
      </w:r>
    </w:p>
    <w:p>
      <w:pPr>
        <w:spacing w:before="111" w:line="277" w:lineRule="exact"/>
        <w:ind w:left="415"/>
        <w:rPr>
          <w:rFonts w:ascii="宋体" w:hAnsi="宋体" w:eastAsia="宋体" w:cs="宋体"/>
          <w:sz w:val="20"/>
          <w:szCs w:val="20"/>
        </w:rPr>
      </w:pPr>
      <w:r>
        <w:rPr>
          <w:rFonts w:ascii="宋体" w:hAnsi="宋体" w:eastAsia="宋体" w:cs="宋体"/>
          <w:spacing w:val="9"/>
          <w:position w:val="1"/>
          <w:sz w:val="20"/>
          <w:szCs w:val="20"/>
        </w:rPr>
        <w:t>（8）项目所在地自然条件、施工条件和社会条件等。</w:t>
      </w:r>
    </w:p>
    <w:p>
      <w:pPr>
        <w:spacing w:before="114" w:line="278" w:lineRule="exact"/>
        <w:ind w:left="415"/>
        <w:rPr>
          <w:rFonts w:ascii="宋体" w:hAnsi="宋体" w:eastAsia="宋体" w:cs="宋体"/>
          <w:sz w:val="20"/>
          <w:szCs w:val="20"/>
        </w:rPr>
      </w:pPr>
      <w:r>
        <w:rPr>
          <w:rFonts w:ascii="宋体" w:hAnsi="宋体" w:eastAsia="宋体" w:cs="宋体"/>
          <w:spacing w:val="9"/>
          <w:position w:val="1"/>
          <w:sz w:val="20"/>
          <w:szCs w:val="20"/>
        </w:rPr>
        <w:t>（9）有关合同、协议等其他资料。</w:t>
      </w:r>
    </w:p>
    <w:p>
      <w:pPr>
        <w:spacing w:before="111" w:line="278" w:lineRule="exact"/>
        <w:ind w:left="425"/>
        <w:rPr>
          <w:rFonts w:ascii="宋体" w:hAnsi="宋体" w:eastAsia="宋体" w:cs="宋体"/>
          <w:sz w:val="20"/>
          <w:szCs w:val="20"/>
        </w:rPr>
      </w:pPr>
      <w:r>
        <w:rPr>
          <w:rFonts w:ascii="宋体" w:hAnsi="宋体" w:eastAsia="宋体" w:cs="宋体"/>
          <w:spacing w:val="3"/>
          <w:position w:val="1"/>
          <w:sz w:val="20"/>
          <w:szCs w:val="20"/>
        </w:rPr>
        <w:t>2. 设计概算文件组成</w:t>
      </w:r>
    </w:p>
    <w:p>
      <w:pPr>
        <w:spacing w:before="116" w:line="359" w:lineRule="auto"/>
        <w:ind w:left="9" w:right="64" w:firstLine="411"/>
        <w:rPr>
          <w:rFonts w:ascii="宋体" w:hAnsi="宋体" w:eastAsia="宋体" w:cs="宋体"/>
          <w:sz w:val="20"/>
          <w:szCs w:val="20"/>
        </w:rPr>
      </w:pPr>
      <w:r>
        <w:rPr>
          <w:rFonts w:ascii="宋体" w:hAnsi="宋体" w:eastAsia="宋体" w:cs="宋体"/>
          <w:spacing w:val="11"/>
          <w:sz w:val="20"/>
          <w:szCs w:val="20"/>
        </w:rPr>
        <w:t>设计概算文件一般由单位工程概算书、单项工程综合概算书、建设项目总概算书组成</w:t>
      </w:r>
      <w:r>
        <w:rPr>
          <w:rFonts w:ascii="宋体" w:hAnsi="宋体" w:eastAsia="宋体" w:cs="宋体"/>
          <w:spacing w:val="10"/>
          <w:sz w:val="20"/>
          <w:szCs w:val="20"/>
        </w:rPr>
        <w:t>。一般先</w:t>
      </w:r>
      <w:r>
        <w:rPr>
          <w:rFonts w:ascii="宋体" w:hAnsi="宋体" w:eastAsia="宋体" w:cs="宋体"/>
          <w:spacing w:val="9"/>
          <w:sz w:val="20"/>
          <w:szCs w:val="20"/>
        </w:rPr>
        <w:t>编制单位工程概算书，然后将其汇总形成单项工程综合概算书，最后编制建设项目总概算书。</w:t>
      </w:r>
    </w:p>
    <w:p>
      <w:pPr>
        <w:spacing w:line="277" w:lineRule="exact"/>
        <w:ind w:left="415"/>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1）单位工程概算书</w:t>
      </w:r>
    </w:p>
    <w:p>
      <w:pPr>
        <w:spacing w:before="112" w:line="343" w:lineRule="auto"/>
        <w:ind w:left="2" w:right="64" w:firstLine="420"/>
        <w:rPr>
          <w:rFonts w:ascii="宋体" w:hAnsi="宋体" w:eastAsia="宋体" w:cs="宋体"/>
          <w:sz w:val="20"/>
          <w:szCs w:val="20"/>
        </w:rPr>
      </w:pPr>
      <w:r>
        <w:rPr>
          <w:rFonts w:ascii="宋体" w:hAnsi="宋体" w:eastAsia="宋体" w:cs="宋体"/>
          <w:spacing w:val="10"/>
          <w:sz w:val="20"/>
          <w:szCs w:val="20"/>
        </w:rPr>
        <w:t>单位工程概算书是计算一个独立建筑物、构筑物或基础设施</w:t>
      </w:r>
      <w:r>
        <w:rPr>
          <w:rFonts w:ascii="宋体" w:hAnsi="宋体" w:eastAsia="宋体" w:cs="宋体"/>
          <w:spacing w:val="9"/>
          <w:sz w:val="20"/>
          <w:szCs w:val="20"/>
        </w:rPr>
        <w:t>（</w:t>
      </w:r>
      <w:r>
        <w:rPr>
          <w:rFonts w:ascii="宋体" w:hAnsi="宋体" w:eastAsia="宋体" w:cs="宋体"/>
          <w:spacing w:val="-50"/>
          <w:sz w:val="20"/>
          <w:szCs w:val="20"/>
        </w:rPr>
        <w:t xml:space="preserve"> </w:t>
      </w:r>
      <w:r>
        <w:rPr>
          <w:rFonts w:ascii="宋体" w:hAnsi="宋体" w:eastAsia="宋体" w:cs="宋体"/>
          <w:spacing w:val="9"/>
          <w:sz w:val="20"/>
          <w:szCs w:val="20"/>
        </w:rPr>
        <w:t>即单项工程）中每个专业工程所</w:t>
      </w:r>
      <w:r>
        <w:rPr>
          <w:rFonts w:ascii="宋体" w:hAnsi="宋体" w:eastAsia="宋体" w:cs="宋体"/>
          <w:spacing w:val="10"/>
          <w:sz w:val="20"/>
          <w:szCs w:val="20"/>
        </w:rPr>
        <w:t>需费用的文件，可分为建筑工程概算书、安</w:t>
      </w:r>
      <w:r>
        <w:rPr>
          <w:rFonts w:ascii="宋体" w:hAnsi="宋体" w:eastAsia="宋体" w:cs="宋体"/>
          <w:spacing w:val="9"/>
          <w:sz w:val="20"/>
          <w:szCs w:val="20"/>
        </w:rPr>
        <w:t>装工程概算书或市政工程概算书等。</w:t>
      </w:r>
    </w:p>
    <w:p>
      <w:pPr>
        <w:spacing w:before="41" w:line="358" w:lineRule="auto"/>
        <w:ind w:left="10" w:right="64" w:firstLine="412"/>
        <w:rPr>
          <w:rFonts w:ascii="宋体" w:hAnsi="宋体" w:eastAsia="宋体" w:cs="宋体"/>
          <w:sz w:val="20"/>
          <w:szCs w:val="20"/>
        </w:rPr>
      </w:pPr>
      <w:r>
        <w:rPr>
          <w:rFonts w:ascii="宋体" w:hAnsi="宋体" w:eastAsia="宋体" w:cs="宋体"/>
          <w:spacing w:val="11"/>
          <w:sz w:val="20"/>
          <w:szCs w:val="20"/>
        </w:rPr>
        <w:t>单位工程概算费用一般由分部分项工程费、措施项目费、其他项目费、企业管理</w:t>
      </w:r>
      <w:r>
        <w:rPr>
          <w:rFonts w:ascii="宋体" w:hAnsi="宋体" w:eastAsia="宋体" w:cs="宋体"/>
          <w:spacing w:val="10"/>
          <w:sz w:val="20"/>
          <w:szCs w:val="20"/>
        </w:rPr>
        <w:t>费、利润、规</w:t>
      </w:r>
      <w:r>
        <w:rPr>
          <w:rFonts w:ascii="宋体" w:hAnsi="宋体" w:eastAsia="宋体" w:cs="宋体"/>
          <w:spacing w:val="9"/>
          <w:sz w:val="20"/>
          <w:szCs w:val="20"/>
        </w:rPr>
        <w:t>费、税金组成。必要时，相应单位工程还需要编制设备购置费概算书。</w:t>
      </w:r>
    </w:p>
    <w:p>
      <w:pPr>
        <w:spacing w:line="276" w:lineRule="exact"/>
        <w:ind w:left="415"/>
        <w:rPr>
          <w:rFonts w:ascii="宋体" w:hAnsi="宋体" w:eastAsia="宋体" w:cs="宋体"/>
          <w:sz w:val="20"/>
          <w:szCs w:val="20"/>
        </w:rPr>
      </w:pPr>
      <w:r>
        <w:rPr>
          <w:rFonts w:ascii="宋体" w:hAnsi="宋体" w:eastAsia="宋体" w:cs="宋体"/>
          <w:spacing w:val="9"/>
          <w:position w:val="1"/>
          <w:sz w:val="20"/>
          <w:szCs w:val="20"/>
        </w:rPr>
        <w:t>（2）单项工程综合概算书</w:t>
      </w:r>
    </w:p>
    <w:p>
      <w:pPr>
        <w:spacing w:before="114" w:line="342" w:lineRule="auto"/>
        <w:ind w:left="8" w:firstLine="415"/>
        <w:rPr>
          <w:rFonts w:ascii="宋体" w:hAnsi="宋体" w:eastAsia="宋体" w:cs="宋体"/>
          <w:sz w:val="20"/>
          <w:szCs w:val="20"/>
        </w:rPr>
      </w:pPr>
      <w:r>
        <w:rPr>
          <w:rFonts w:ascii="宋体" w:hAnsi="宋体" w:eastAsia="宋体" w:cs="宋体"/>
          <w:spacing w:val="7"/>
          <w:sz w:val="20"/>
          <w:szCs w:val="20"/>
        </w:rPr>
        <w:t>单项工程综合概算书是计算一个单项工程（独立建筑物或构筑物）所需建设费用的综合性文件，</w:t>
      </w:r>
      <w:r>
        <w:rPr>
          <w:rFonts w:ascii="宋体" w:hAnsi="宋体" w:eastAsia="宋体" w:cs="宋体"/>
          <w:spacing w:val="9"/>
          <w:sz w:val="20"/>
          <w:szCs w:val="20"/>
        </w:rPr>
        <w:t>它是由单项工程中各专业的单位工程概算汇总编制而成。</w:t>
      </w:r>
    </w:p>
    <w:p>
      <w:pPr>
        <w:spacing w:before="40" w:line="277" w:lineRule="exact"/>
        <w:ind w:left="415"/>
        <w:rPr>
          <w:rFonts w:ascii="宋体" w:hAnsi="宋体" w:eastAsia="宋体" w:cs="宋体"/>
          <w:sz w:val="20"/>
          <w:szCs w:val="20"/>
        </w:rPr>
      </w:pPr>
      <w:r>
        <w:rPr>
          <w:rFonts w:ascii="宋体" w:hAnsi="宋体" w:eastAsia="宋体" w:cs="宋体"/>
          <w:spacing w:val="9"/>
          <w:position w:val="1"/>
          <w:sz w:val="20"/>
          <w:szCs w:val="20"/>
        </w:rPr>
        <w:t>（3）建设项目总概算书</w:t>
      </w:r>
    </w:p>
    <w:p>
      <w:pPr>
        <w:spacing w:before="113" w:line="361" w:lineRule="auto"/>
        <w:ind w:right="64" w:firstLine="423"/>
        <w:rPr>
          <w:rFonts w:ascii="宋体" w:hAnsi="宋体" w:eastAsia="宋体" w:cs="宋体"/>
          <w:sz w:val="20"/>
          <w:szCs w:val="20"/>
        </w:rPr>
      </w:pPr>
      <w:r>
        <w:rPr>
          <w:rFonts w:ascii="宋体" w:hAnsi="宋体" w:eastAsia="宋体" w:cs="宋体"/>
          <w:spacing w:val="11"/>
          <w:sz w:val="20"/>
          <w:szCs w:val="20"/>
        </w:rPr>
        <w:t>建设项目总概算书是整个建设项目从筹建到竣工交付使用预计花费的全部费用</w:t>
      </w:r>
      <w:r>
        <w:rPr>
          <w:rFonts w:ascii="宋体" w:hAnsi="宋体" w:eastAsia="宋体" w:cs="宋体"/>
          <w:spacing w:val="10"/>
          <w:sz w:val="20"/>
          <w:szCs w:val="20"/>
        </w:rPr>
        <w:t>的文件，它由建</w:t>
      </w:r>
      <w:r>
        <w:rPr>
          <w:rFonts w:ascii="宋体" w:hAnsi="宋体" w:eastAsia="宋体" w:cs="宋体"/>
          <w:spacing w:val="11"/>
          <w:sz w:val="20"/>
          <w:szCs w:val="20"/>
        </w:rPr>
        <w:t>设项目内各单项工程的综合概算书、工程建设其他费用、预备费、和经营性铺底流动</w:t>
      </w:r>
      <w:r>
        <w:rPr>
          <w:rFonts w:ascii="宋体" w:hAnsi="宋体" w:eastAsia="宋体" w:cs="宋体"/>
          <w:spacing w:val="10"/>
          <w:sz w:val="20"/>
          <w:szCs w:val="20"/>
        </w:rPr>
        <w:t>资金等汇总而</w:t>
      </w:r>
      <w:r>
        <w:rPr>
          <w:rFonts w:ascii="宋体" w:hAnsi="宋体" w:eastAsia="宋体" w:cs="宋体"/>
          <w:spacing w:val="4"/>
          <w:sz w:val="20"/>
          <w:szCs w:val="20"/>
        </w:rPr>
        <w:t>成。</w:t>
      </w:r>
    </w:p>
    <w:p>
      <w:pPr>
        <w:spacing w:line="361" w:lineRule="auto"/>
        <w:rPr>
          <w:rFonts w:ascii="宋体" w:hAnsi="宋体" w:eastAsia="宋体" w:cs="宋体"/>
          <w:sz w:val="20"/>
          <w:szCs w:val="20"/>
        </w:rPr>
        <w:sectPr>
          <w:footerReference r:id="rId23" w:type="default"/>
          <w:pgSz w:w="11905" w:h="16840"/>
          <w:pgMar w:top="1431" w:right="1354" w:bottom="1213" w:left="1416" w:header="0" w:footer="898" w:gutter="0"/>
        </w:sectPr>
      </w:pPr>
    </w:p>
    <w:p>
      <w:pPr>
        <w:spacing w:before="120" w:line="232" w:lineRule="auto"/>
        <w:ind w:left="2216" w:right="2298" w:hanging="633"/>
        <w:outlineLvl w:val="0"/>
        <w:rPr>
          <w:rFonts w:ascii="方正小标宋简体" w:hAnsi="方正小标宋简体" w:eastAsia="方正小标宋简体" w:cs="方正小标宋简体"/>
          <w:sz w:val="43"/>
          <w:szCs w:val="43"/>
        </w:rPr>
      </w:pPr>
      <w:bookmarkStart w:id="12" w:name="bookmark9"/>
      <w:bookmarkEnd w:id="12"/>
      <w:r>
        <w:rPr>
          <w:rFonts w:ascii="方正小标宋简体" w:hAnsi="方正小标宋简体" w:eastAsia="方正小标宋简体" w:cs="方正小标宋简体"/>
          <w:spacing w:val="7"/>
          <w:sz w:val="43"/>
          <w:szCs w:val="43"/>
        </w:rPr>
        <w:t>第二部分    施工总承包计价</w:t>
      </w:r>
      <w:bookmarkStart w:id="13" w:name="bookmark9"/>
      <w:bookmarkEnd w:id="13"/>
      <w:bookmarkStart w:id="14" w:name="bookmark10"/>
      <w:bookmarkEnd w:id="14"/>
      <w:bookmarkStart w:id="15" w:name="bookmark11"/>
      <w:bookmarkEnd w:id="15"/>
      <w:r>
        <w:rPr>
          <w:rFonts w:ascii="方正小标宋简体" w:hAnsi="方正小标宋简体" w:eastAsia="方正小标宋简体" w:cs="方正小标宋简体"/>
          <w:spacing w:val="14"/>
          <w:sz w:val="43"/>
          <w:szCs w:val="43"/>
        </w:rPr>
        <w:t>（工程量清单计价）</w:t>
      </w:r>
    </w:p>
    <w:p>
      <w:pPr>
        <w:pStyle w:val="2"/>
        <w:spacing w:before="292" w:line="207" w:lineRule="auto"/>
        <w:ind w:left="3435"/>
        <w:outlineLvl w:val="0"/>
      </w:pPr>
      <w:bookmarkStart w:id="16" w:name="bookmark138"/>
      <w:bookmarkEnd w:id="16"/>
      <w:r>
        <w:rPr>
          <w:spacing w:val="3"/>
        </w:rPr>
        <w:t>第一章</w:t>
      </w:r>
      <w:r>
        <w:rPr>
          <w:spacing w:val="23"/>
        </w:rPr>
        <w:t xml:space="preserve">   </w:t>
      </w:r>
      <w:r>
        <w:rPr>
          <w:spacing w:val="3"/>
        </w:rPr>
        <w:t>总说明</w:t>
      </w:r>
    </w:p>
    <w:p>
      <w:pPr>
        <w:spacing w:before="231" w:line="368" w:lineRule="auto"/>
        <w:ind w:left="6" w:firstLine="422"/>
        <w:jc w:val="both"/>
        <w:rPr>
          <w:rFonts w:ascii="宋体" w:hAnsi="宋体" w:eastAsia="宋体" w:cs="宋体"/>
          <w:sz w:val="20"/>
          <w:szCs w:val="20"/>
        </w:rPr>
      </w:pPr>
      <w:r>
        <w:rPr>
          <w:rFonts w:ascii="宋体" w:hAnsi="宋体" w:eastAsia="宋体" w:cs="宋体"/>
          <w:spacing w:val="2"/>
          <w:sz w:val="20"/>
          <w:szCs w:val="20"/>
        </w:rPr>
        <w:t>一、2012</w:t>
      </w:r>
      <w:r>
        <w:rPr>
          <w:rFonts w:ascii="宋体" w:hAnsi="宋体" w:eastAsia="宋体" w:cs="宋体"/>
          <w:spacing w:val="-41"/>
          <w:sz w:val="20"/>
          <w:szCs w:val="20"/>
        </w:rPr>
        <w:t xml:space="preserve"> </w:t>
      </w:r>
      <w:r>
        <w:rPr>
          <w:rFonts w:ascii="宋体" w:hAnsi="宋体" w:eastAsia="宋体" w:cs="宋体"/>
          <w:spacing w:val="2"/>
          <w:sz w:val="20"/>
          <w:szCs w:val="20"/>
        </w:rPr>
        <w:t>年</w:t>
      </w:r>
      <w:r>
        <w:rPr>
          <w:rFonts w:ascii="宋体" w:hAnsi="宋体" w:eastAsia="宋体" w:cs="宋体"/>
          <w:spacing w:val="-22"/>
          <w:sz w:val="20"/>
          <w:szCs w:val="20"/>
        </w:rPr>
        <w:t xml:space="preserve"> </w:t>
      </w:r>
      <w:r>
        <w:rPr>
          <w:rFonts w:ascii="宋体" w:hAnsi="宋体" w:eastAsia="宋体" w:cs="宋体"/>
          <w:spacing w:val="2"/>
          <w:sz w:val="20"/>
          <w:szCs w:val="20"/>
        </w:rPr>
        <w:t>12</w:t>
      </w:r>
      <w:r>
        <w:rPr>
          <w:rFonts w:ascii="宋体" w:hAnsi="宋体" w:eastAsia="宋体" w:cs="宋体"/>
          <w:spacing w:val="-38"/>
          <w:sz w:val="20"/>
          <w:szCs w:val="20"/>
        </w:rPr>
        <w:t xml:space="preserve"> </w:t>
      </w:r>
      <w:r>
        <w:rPr>
          <w:rFonts w:ascii="宋体" w:hAnsi="宋体" w:eastAsia="宋体" w:cs="宋体"/>
          <w:spacing w:val="2"/>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25 日，住房城乡建设部发布第</w:t>
      </w:r>
      <w:r>
        <w:rPr>
          <w:rFonts w:ascii="宋体" w:hAnsi="宋体" w:eastAsia="宋体" w:cs="宋体"/>
          <w:spacing w:val="-22"/>
          <w:sz w:val="20"/>
          <w:szCs w:val="20"/>
        </w:rPr>
        <w:t xml:space="preserve"> </w:t>
      </w:r>
      <w:r>
        <w:rPr>
          <w:rFonts w:ascii="宋体" w:hAnsi="宋体" w:eastAsia="宋体" w:cs="宋体"/>
          <w:spacing w:val="2"/>
          <w:sz w:val="20"/>
          <w:szCs w:val="20"/>
        </w:rPr>
        <w:t>1567</w:t>
      </w:r>
      <w:r>
        <w:rPr>
          <w:rFonts w:ascii="宋体" w:hAnsi="宋体" w:eastAsia="宋体" w:cs="宋体"/>
          <w:spacing w:val="1"/>
          <w:sz w:val="20"/>
          <w:szCs w:val="20"/>
        </w:rPr>
        <w:t>、1568、1571、1569、1576、1575、1570、</w:t>
      </w:r>
      <w:r>
        <w:rPr>
          <w:rFonts w:ascii="宋体" w:hAnsi="宋体" w:eastAsia="宋体" w:cs="宋体"/>
          <w:sz w:val="20"/>
          <w:szCs w:val="20"/>
        </w:rPr>
        <w:t xml:space="preserve"> </w:t>
      </w:r>
      <w:r>
        <w:rPr>
          <w:rFonts w:ascii="宋体" w:hAnsi="宋体" w:eastAsia="宋体" w:cs="宋体"/>
          <w:spacing w:val="10"/>
          <w:sz w:val="20"/>
          <w:szCs w:val="20"/>
        </w:rPr>
        <w:t>1572、1573、1574</w:t>
      </w:r>
      <w:r>
        <w:rPr>
          <w:rFonts w:ascii="宋体" w:hAnsi="宋体" w:eastAsia="宋体" w:cs="宋体"/>
          <w:spacing w:val="-37"/>
          <w:sz w:val="20"/>
          <w:szCs w:val="20"/>
        </w:rPr>
        <w:t xml:space="preserve"> </w:t>
      </w:r>
      <w:r>
        <w:rPr>
          <w:rFonts w:ascii="宋体" w:hAnsi="宋体" w:eastAsia="宋体" w:cs="宋体"/>
          <w:spacing w:val="10"/>
          <w:sz w:val="20"/>
          <w:szCs w:val="20"/>
        </w:rPr>
        <w:t>号公告，批</w:t>
      </w:r>
      <w:r>
        <w:rPr>
          <w:rFonts w:ascii="宋体" w:hAnsi="宋体" w:eastAsia="宋体" w:cs="宋体"/>
          <w:spacing w:val="9"/>
          <w:sz w:val="20"/>
          <w:szCs w:val="20"/>
        </w:rPr>
        <w:t>准《建设工程工程量清单计价规范》</w:t>
      </w:r>
      <w:r>
        <w:rPr>
          <w:rFonts w:ascii="宋体" w:hAnsi="宋体" w:eastAsia="宋体" w:cs="宋体"/>
          <w:sz w:val="20"/>
          <w:szCs w:val="20"/>
        </w:rPr>
        <w:t>GB</w:t>
      </w:r>
      <w:r>
        <w:rPr>
          <w:rFonts w:ascii="宋体" w:hAnsi="宋体" w:eastAsia="宋体" w:cs="宋体"/>
          <w:spacing w:val="-42"/>
          <w:sz w:val="20"/>
          <w:szCs w:val="20"/>
        </w:rPr>
        <w:t xml:space="preserve"> </w:t>
      </w:r>
      <w:r>
        <w:rPr>
          <w:rFonts w:ascii="宋体" w:hAnsi="宋体" w:eastAsia="宋体" w:cs="宋体"/>
          <w:spacing w:val="9"/>
          <w:sz w:val="20"/>
          <w:szCs w:val="20"/>
        </w:rPr>
        <w:t>50500-2013</w:t>
      </w:r>
      <w:r>
        <w:rPr>
          <w:rFonts w:ascii="宋体" w:hAnsi="宋体" w:eastAsia="宋体" w:cs="宋体"/>
          <w:spacing w:val="-42"/>
          <w:sz w:val="20"/>
          <w:szCs w:val="20"/>
        </w:rPr>
        <w:t xml:space="preserve"> </w:t>
      </w:r>
      <w:r>
        <w:rPr>
          <w:rFonts w:ascii="宋体" w:hAnsi="宋体" w:eastAsia="宋体" w:cs="宋体"/>
          <w:spacing w:val="9"/>
          <w:sz w:val="20"/>
          <w:szCs w:val="20"/>
        </w:rPr>
        <w:t>及各专业工程量</w:t>
      </w:r>
      <w:r>
        <w:rPr>
          <w:rFonts w:ascii="宋体" w:hAnsi="宋体" w:eastAsia="宋体" w:cs="宋体"/>
          <w:spacing w:val="2"/>
          <w:sz w:val="20"/>
          <w:szCs w:val="20"/>
        </w:rPr>
        <w:t>计算规范为国家标准，</w:t>
      </w:r>
      <w:r>
        <w:rPr>
          <w:rFonts w:ascii="宋体" w:hAnsi="宋体" w:eastAsia="宋体" w:cs="宋体"/>
          <w:spacing w:val="-57"/>
          <w:sz w:val="20"/>
          <w:szCs w:val="20"/>
        </w:rPr>
        <w:t xml:space="preserve"> </w:t>
      </w:r>
      <w:r>
        <w:rPr>
          <w:rFonts w:ascii="宋体" w:hAnsi="宋体" w:eastAsia="宋体" w:cs="宋体"/>
          <w:spacing w:val="2"/>
          <w:sz w:val="20"/>
          <w:szCs w:val="20"/>
        </w:rPr>
        <w:t>自</w:t>
      </w:r>
      <w:r>
        <w:rPr>
          <w:rFonts w:ascii="宋体" w:hAnsi="宋体" w:eastAsia="宋体" w:cs="宋体"/>
          <w:spacing w:val="-40"/>
          <w:sz w:val="20"/>
          <w:szCs w:val="20"/>
        </w:rPr>
        <w:t xml:space="preserve"> </w:t>
      </w:r>
      <w:r>
        <w:rPr>
          <w:rFonts w:ascii="宋体" w:hAnsi="宋体" w:eastAsia="宋体" w:cs="宋体"/>
          <w:spacing w:val="2"/>
          <w:sz w:val="20"/>
          <w:szCs w:val="20"/>
        </w:rPr>
        <w:t>2013</w:t>
      </w:r>
      <w:r>
        <w:rPr>
          <w:rFonts w:ascii="宋体" w:hAnsi="宋体" w:eastAsia="宋体" w:cs="宋体"/>
          <w:spacing w:val="-38"/>
          <w:sz w:val="20"/>
          <w:szCs w:val="20"/>
        </w:rPr>
        <w:t xml:space="preserve"> </w:t>
      </w:r>
      <w:r>
        <w:rPr>
          <w:rFonts w:ascii="宋体" w:hAnsi="宋体" w:eastAsia="宋体" w:cs="宋体"/>
          <w:spacing w:val="2"/>
          <w:sz w:val="20"/>
          <w:szCs w:val="20"/>
        </w:rPr>
        <w:t>年</w:t>
      </w:r>
      <w:r>
        <w:rPr>
          <w:rFonts w:ascii="宋体" w:hAnsi="宋体" w:eastAsia="宋体" w:cs="宋体"/>
          <w:spacing w:val="-41"/>
          <w:sz w:val="20"/>
          <w:szCs w:val="20"/>
        </w:rPr>
        <w:t xml:space="preserve"> </w:t>
      </w:r>
      <w:r>
        <w:rPr>
          <w:rFonts w:ascii="宋体" w:hAnsi="宋体" w:eastAsia="宋体" w:cs="宋体"/>
          <w:spacing w:val="2"/>
          <w:sz w:val="20"/>
          <w:szCs w:val="20"/>
        </w:rPr>
        <w:t>7</w:t>
      </w:r>
      <w:r>
        <w:rPr>
          <w:rFonts w:ascii="宋体" w:hAnsi="宋体" w:eastAsia="宋体" w:cs="宋体"/>
          <w:spacing w:val="-41"/>
          <w:sz w:val="20"/>
          <w:szCs w:val="20"/>
        </w:rPr>
        <w:t xml:space="preserve"> </w:t>
      </w:r>
      <w:r>
        <w:rPr>
          <w:rFonts w:ascii="宋体" w:hAnsi="宋体" w:eastAsia="宋体" w:cs="宋体"/>
          <w:spacing w:val="2"/>
          <w:sz w:val="20"/>
          <w:szCs w:val="20"/>
        </w:rPr>
        <w:t>月</w:t>
      </w:r>
      <w:r>
        <w:rPr>
          <w:rFonts w:ascii="宋体" w:hAnsi="宋体" w:eastAsia="宋体" w:cs="宋体"/>
          <w:spacing w:val="-24"/>
          <w:sz w:val="20"/>
          <w:szCs w:val="20"/>
        </w:rPr>
        <w:t xml:space="preserve"> </w:t>
      </w:r>
      <w:r>
        <w:rPr>
          <w:rFonts w:ascii="宋体" w:hAnsi="宋体" w:eastAsia="宋体" w:cs="宋体"/>
          <w:spacing w:val="2"/>
          <w:sz w:val="20"/>
          <w:szCs w:val="20"/>
        </w:rPr>
        <w:t>1 日起</w:t>
      </w:r>
      <w:r>
        <w:rPr>
          <w:rFonts w:ascii="宋体" w:hAnsi="宋体" w:eastAsia="宋体" w:cs="宋体"/>
          <w:spacing w:val="1"/>
          <w:sz w:val="20"/>
          <w:szCs w:val="20"/>
        </w:rPr>
        <w:t>实施。</w:t>
      </w:r>
    </w:p>
    <w:p>
      <w:pPr>
        <w:spacing w:before="4" w:line="331" w:lineRule="auto"/>
        <w:ind w:right="7" w:firstLine="429"/>
        <w:rPr>
          <w:rFonts w:ascii="宋体" w:hAnsi="宋体" w:eastAsia="宋体" w:cs="宋体"/>
          <w:sz w:val="20"/>
          <w:szCs w:val="20"/>
        </w:rPr>
      </w:pPr>
      <w:r>
        <w:rPr>
          <w:rFonts w:ascii="宋体" w:hAnsi="宋体" w:eastAsia="宋体" w:cs="宋体"/>
          <w:spacing w:val="7"/>
          <w:sz w:val="20"/>
          <w:szCs w:val="20"/>
        </w:rPr>
        <w:t>二、2024</w:t>
      </w:r>
      <w:r>
        <w:rPr>
          <w:rFonts w:ascii="宋体" w:hAnsi="宋体" w:eastAsia="宋体" w:cs="宋体"/>
          <w:spacing w:val="-41"/>
          <w:sz w:val="20"/>
          <w:szCs w:val="20"/>
        </w:rPr>
        <w:t xml:space="preserve"> </w:t>
      </w:r>
      <w:r>
        <w:rPr>
          <w:rFonts w:ascii="宋体" w:hAnsi="宋体" w:eastAsia="宋体" w:cs="宋体"/>
          <w:spacing w:val="7"/>
          <w:sz w:val="20"/>
          <w:szCs w:val="20"/>
        </w:rPr>
        <w:t>年</w:t>
      </w:r>
      <w:r>
        <w:rPr>
          <w:rFonts w:ascii="宋体" w:hAnsi="宋体" w:eastAsia="宋体" w:cs="宋体"/>
          <w:spacing w:val="-22"/>
          <w:sz w:val="20"/>
          <w:szCs w:val="20"/>
        </w:rPr>
        <w:t xml:space="preserve"> </w:t>
      </w:r>
      <w:r>
        <w:rPr>
          <w:rFonts w:ascii="宋体" w:hAnsi="宋体" w:eastAsia="宋体" w:cs="宋体"/>
          <w:spacing w:val="7"/>
          <w:sz w:val="20"/>
          <w:szCs w:val="20"/>
        </w:rPr>
        <w:t>11</w:t>
      </w:r>
      <w:r>
        <w:rPr>
          <w:rFonts w:ascii="宋体" w:hAnsi="宋体" w:eastAsia="宋体" w:cs="宋体"/>
          <w:spacing w:val="-38"/>
          <w:sz w:val="20"/>
          <w:szCs w:val="20"/>
        </w:rPr>
        <w:t xml:space="preserve"> </w:t>
      </w:r>
      <w:r>
        <w:rPr>
          <w:rFonts w:ascii="宋体" w:hAnsi="宋体" w:eastAsia="宋体" w:cs="宋体"/>
          <w:spacing w:val="7"/>
          <w:sz w:val="20"/>
          <w:szCs w:val="20"/>
        </w:rPr>
        <w:t>月，住房城乡建设部发布《建设工程工程量清单计价标准》</w:t>
      </w:r>
      <w:r>
        <w:rPr>
          <w:rFonts w:ascii="宋体" w:hAnsi="宋体" w:eastAsia="宋体" w:cs="宋体"/>
          <w:sz w:val="20"/>
          <w:szCs w:val="20"/>
        </w:rPr>
        <w:t>GB</w:t>
      </w:r>
      <w:r>
        <w:rPr>
          <w:rFonts w:ascii="宋体" w:hAnsi="宋体" w:eastAsia="宋体" w:cs="宋体"/>
          <w:spacing w:val="7"/>
          <w:sz w:val="20"/>
          <w:szCs w:val="20"/>
        </w:rPr>
        <w:t>/T</w:t>
      </w:r>
      <w:r>
        <w:rPr>
          <w:rFonts w:ascii="宋体" w:hAnsi="宋体" w:eastAsia="宋体" w:cs="宋体"/>
          <w:spacing w:val="-42"/>
          <w:sz w:val="20"/>
          <w:szCs w:val="20"/>
        </w:rPr>
        <w:t xml:space="preserve"> </w:t>
      </w:r>
      <w:r>
        <w:rPr>
          <w:rFonts w:ascii="宋体" w:hAnsi="宋体" w:eastAsia="宋体" w:cs="宋体"/>
          <w:spacing w:val="7"/>
          <w:sz w:val="20"/>
          <w:szCs w:val="20"/>
        </w:rPr>
        <w:t>50500-2</w:t>
      </w:r>
      <w:r>
        <w:rPr>
          <w:rFonts w:ascii="宋体" w:hAnsi="宋体" w:eastAsia="宋体" w:cs="宋体"/>
          <w:spacing w:val="6"/>
          <w:sz w:val="20"/>
          <w:szCs w:val="20"/>
        </w:rPr>
        <w:t>024</w:t>
      </w:r>
      <w:r>
        <w:rPr>
          <w:rFonts w:ascii="宋体" w:hAnsi="宋体" w:eastAsia="宋体" w:cs="宋体"/>
          <w:spacing w:val="-46"/>
          <w:sz w:val="20"/>
          <w:szCs w:val="20"/>
        </w:rPr>
        <w:t xml:space="preserve"> </w:t>
      </w:r>
      <w:r>
        <w:rPr>
          <w:rFonts w:ascii="宋体" w:hAnsi="宋体" w:eastAsia="宋体" w:cs="宋体"/>
          <w:spacing w:val="6"/>
          <w:sz w:val="20"/>
          <w:szCs w:val="20"/>
        </w:rPr>
        <w:t>及各专业工程量计算标准，</w:t>
      </w:r>
      <w:r>
        <w:rPr>
          <w:rFonts w:ascii="宋体" w:hAnsi="宋体" w:eastAsia="宋体" w:cs="宋体"/>
          <w:spacing w:val="-46"/>
          <w:sz w:val="20"/>
          <w:szCs w:val="20"/>
        </w:rPr>
        <w:t xml:space="preserve"> </w:t>
      </w:r>
      <w:r>
        <w:rPr>
          <w:rFonts w:ascii="宋体" w:hAnsi="宋体" w:eastAsia="宋体" w:cs="宋体"/>
          <w:spacing w:val="6"/>
          <w:sz w:val="20"/>
          <w:szCs w:val="20"/>
        </w:rPr>
        <w:t>自</w:t>
      </w:r>
      <w:r>
        <w:rPr>
          <w:rFonts w:ascii="宋体" w:hAnsi="宋体" w:eastAsia="宋体" w:cs="宋体"/>
          <w:spacing w:val="-41"/>
          <w:sz w:val="20"/>
          <w:szCs w:val="20"/>
        </w:rPr>
        <w:t xml:space="preserve"> </w:t>
      </w:r>
      <w:r>
        <w:rPr>
          <w:rFonts w:ascii="宋体" w:hAnsi="宋体" w:eastAsia="宋体" w:cs="宋体"/>
          <w:spacing w:val="6"/>
          <w:sz w:val="20"/>
          <w:szCs w:val="20"/>
        </w:rPr>
        <w:t>2025</w:t>
      </w:r>
      <w:r>
        <w:rPr>
          <w:rFonts w:ascii="宋体" w:hAnsi="宋体" w:eastAsia="宋体" w:cs="宋体"/>
          <w:spacing w:val="-42"/>
          <w:sz w:val="20"/>
          <w:szCs w:val="20"/>
        </w:rPr>
        <w:t xml:space="preserve"> </w:t>
      </w:r>
      <w:r>
        <w:rPr>
          <w:rFonts w:ascii="宋体" w:hAnsi="宋体" w:eastAsia="宋体" w:cs="宋体"/>
          <w:spacing w:val="6"/>
          <w:sz w:val="20"/>
          <w:szCs w:val="20"/>
        </w:rPr>
        <w:t>年</w:t>
      </w:r>
      <w:r>
        <w:rPr>
          <w:rFonts w:ascii="宋体" w:hAnsi="宋体" w:eastAsia="宋体" w:cs="宋体"/>
          <w:spacing w:val="-39"/>
          <w:sz w:val="20"/>
          <w:szCs w:val="20"/>
        </w:rPr>
        <w:t xml:space="preserve"> </w:t>
      </w:r>
      <w:r>
        <w:rPr>
          <w:rFonts w:ascii="宋体" w:hAnsi="宋体" w:eastAsia="宋体" w:cs="宋体"/>
          <w:spacing w:val="6"/>
          <w:sz w:val="20"/>
          <w:szCs w:val="20"/>
        </w:rPr>
        <w:t>9</w:t>
      </w:r>
      <w:r>
        <w:rPr>
          <w:rFonts w:ascii="宋体" w:hAnsi="宋体" w:eastAsia="宋体" w:cs="宋体"/>
          <w:spacing w:val="-40"/>
          <w:sz w:val="20"/>
          <w:szCs w:val="20"/>
        </w:rPr>
        <w:t xml:space="preserve"> </w:t>
      </w:r>
      <w:r>
        <w:rPr>
          <w:rFonts w:ascii="宋体" w:hAnsi="宋体" w:eastAsia="宋体" w:cs="宋体"/>
          <w:spacing w:val="6"/>
          <w:sz w:val="20"/>
          <w:szCs w:val="20"/>
        </w:rPr>
        <w:t>月</w:t>
      </w:r>
      <w:r>
        <w:rPr>
          <w:rFonts w:ascii="宋体" w:hAnsi="宋体" w:eastAsia="宋体" w:cs="宋体"/>
          <w:spacing w:val="-23"/>
          <w:sz w:val="20"/>
          <w:szCs w:val="20"/>
        </w:rPr>
        <w:t xml:space="preserve"> </w:t>
      </w:r>
      <w:r>
        <w:rPr>
          <w:rFonts w:ascii="宋体" w:hAnsi="宋体" w:eastAsia="宋体" w:cs="宋体"/>
          <w:spacing w:val="6"/>
          <w:sz w:val="20"/>
          <w:szCs w:val="20"/>
        </w:rPr>
        <w:t>1 日起实施。原国家标准《建设工程工程量清单计价规范》</w:t>
      </w:r>
      <w:r>
        <w:rPr>
          <w:rFonts w:ascii="宋体" w:hAnsi="宋体" w:eastAsia="宋体" w:cs="宋体"/>
          <w:sz w:val="20"/>
          <w:szCs w:val="20"/>
        </w:rPr>
        <w:t xml:space="preserve"> </w:t>
      </w:r>
      <w:r>
        <w:rPr>
          <w:rFonts w:ascii="宋体" w:hAnsi="宋体" w:eastAsia="宋体" w:cs="宋体"/>
          <w:spacing w:val="9"/>
          <w:sz w:val="20"/>
          <w:szCs w:val="20"/>
        </w:rPr>
        <w:t>（</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9"/>
          <w:sz w:val="20"/>
          <w:szCs w:val="20"/>
        </w:rPr>
        <w:t>50500-2013）及各专业工程量计算规范同时</w:t>
      </w:r>
      <w:r>
        <w:rPr>
          <w:rFonts w:ascii="宋体" w:hAnsi="宋体" w:eastAsia="宋体" w:cs="宋体"/>
          <w:spacing w:val="8"/>
          <w:sz w:val="20"/>
          <w:szCs w:val="20"/>
        </w:rPr>
        <w:t>废止。</w:t>
      </w:r>
    </w:p>
    <w:p>
      <w:pPr>
        <w:spacing w:before="123" w:line="313" w:lineRule="auto"/>
        <w:ind w:left="7" w:right="80" w:firstLine="424"/>
        <w:rPr>
          <w:rFonts w:ascii="宋体" w:hAnsi="宋体" w:eastAsia="宋体" w:cs="宋体"/>
          <w:sz w:val="20"/>
          <w:szCs w:val="20"/>
        </w:rPr>
      </w:pPr>
      <w:r>
        <w:rPr>
          <w:rFonts w:ascii="宋体" w:hAnsi="宋体" w:eastAsia="宋体" w:cs="宋体"/>
          <w:spacing w:val="9"/>
          <w:sz w:val="20"/>
          <w:szCs w:val="20"/>
        </w:rPr>
        <w:t>三、2025</w:t>
      </w:r>
      <w:r>
        <w:rPr>
          <w:rFonts w:ascii="宋体" w:hAnsi="宋体" w:eastAsia="宋体" w:cs="宋体"/>
          <w:spacing w:val="-24"/>
          <w:sz w:val="20"/>
          <w:szCs w:val="20"/>
        </w:rPr>
        <w:t xml:space="preserve"> </w:t>
      </w:r>
      <w:r>
        <w:rPr>
          <w:rFonts w:ascii="宋体" w:hAnsi="宋体" w:eastAsia="宋体" w:cs="宋体"/>
          <w:spacing w:val="9"/>
          <w:sz w:val="20"/>
          <w:szCs w:val="20"/>
        </w:rPr>
        <w:t>年</w:t>
      </w:r>
      <w:r>
        <w:rPr>
          <w:rFonts w:ascii="宋体" w:hAnsi="宋体" w:eastAsia="宋体" w:cs="宋体"/>
          <w:spacing w:val="-35"/>
          <w:sz w:val="20"/>
          <w:szCs w:val="20"/>
        </w:rPr>
        <w:t xml:space="preserve"> </w:t>
      </w:r>
      <w:r>
        <w:rPr>
          <w:rFonts w:ascii="宋体" w:hAnsi="宋体" w:eastAsia="宋体" w:cs="宋体"/>
          <w:spacing w:val="9"/>
          <w:sz w:val="20"/>
          <w:szCs w:val="20"/>
        </w:rPr>
        <w:t>8</w:t>
      </w:r>
      <w:r>
        <w:rPr>
          <w:rFonts w:ascii="宋体" w:hAnsi="宋体" w:eastAsia="宋体" w:cs="宋体"/>
          <w:spacing w:val="-38"/>
          <w:sz w:val="20"/>
          <w:szCs w:val="20"/>
        </w:rPr>
        <w:t xml:space="preserve"> </w:t>
      </w:r>
      <w:r>
        <w:rPr>
          <w:rFonts w:ascii="宋体" w:hAnsi="宋体" w:eastAsia="宋体" w:cs="宋体"/>
          <w:spacing w:val="9"/>
          <w:sz w:val="20"/>
          <w:szCs w:val="20"/>
        </w:rPr>
        <w:t>月28 日</w:t>
      </w:r>
      <w:r>
        <w:rPr>
          <w:rFonts w:ascii="宋体" w:hAnsi="宋体" w:eastAsia="宋体" w:cs="宋体"/>
          <w:spacing w:val="-59"/>
          <w:sz w:val="20"/>
          <w:szCs w:val="20"/>
        </w:rPr>
        <w:t xml:space="preserve"> </w:t>
      </w:r>
      <w:r>
        <w:rPr>
          <w:rFonts w:ascii="宋体" w:hAnsi="宋体" w:eastAsia="宋体" w:cs="宋体"/>
          <w:spacing w:val="9"/>
          <w:sz w:val="20"/>
          <w:szCs w:val="20"/>
        </w:rPr>
        <w:t>，山东省住房和城乡建设厅发布关于发布《〈建设工程工程量清单计价</w:t>
      </w:r>
      <w:r>
        <w:rPr>
          <w:rFonts w:ascii="宋体" w:hAnsi="宋体" w:eastAsia="宋体" w:cs="宋体"/>
          <w:spacing w:val="8"/>
          <w:sz w:val="20"/>
          <w:szCs w:val="20"/>
        </w:rPr>
        <w:t>标准〉实施指引》的通知（鲁建标字〔2025〕6</w:t>
      </w:r>
      <w:r>
        <w:rPr>
          <w:rFonts w:ascii="宋体" w:hAnsi="宋体" w:eastAsia="宋体" w:cs="宋体"/>
          <w:spacing w:val="-29"/>
          <w:sz w:val="20"/>
          <w:szCs w:val="20"/>
        </w:rPr>
        <w:t xml:space="preserve"> </w:t>
      </w:r>
      <w:r>
        <w:rPr>
          <w:rFonts w:ascii="宋体" w:hAnsi="宋体" w:eastAsia="宋体" w:cs="宋体"/>
          <w:spacing w:val="8"/>
          <w:sz w:val="20"/>
          <w:szCs w:val="20"/>
        </w:rPr>
        <w:t>号）。通知中明确：</w:t>
      </w:r>
    </w:p>
    <w:p>
      <w:pPr>
        <w:spacing w:before="119" w:line="332" w:lineRule="auto"/>
        <w:ind w:left="7" w:right="80" w:firstLine="439"/>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41"/>
          <w:sz w:val="20"/>
          <w:szCs w:val="20"/>
        </w:rPr>
        <w:t xml:space="preserve"> </w:t>
      </w:r>
      <w:r>
        <w:rPr>
          <w:rFonts w:ascii="宋体" w:hAnsi="宋体" w:eastAsia="宋体" w:cs="宋体"/>
          <w:spacing w:val="5"/>
          <w:sz w:val="20"/>
          <w:szCs w:val="20"/>
        </w:rPr>
        <w:t>2025</w:t>
      </w:r>
      <w:r>
        <w:rPr>
          <w:rFonts w:ascii="宋体" w:hAnsi="宋体" w:eastAsia="宋体" w:cs="宋体"/>
          <w:spacing w:val="-38"/>
          <w:sz w:val="20"/>
          <w:szCs w:val="20"/>
        </w:rPr>
        <w:t xml:space="preserve"> </w:t>
      </w:r>
      <w:r>
        <w:rPr>
          <w:rFonts w:ascii="宋体" w:hAnsi="宋体" w:eastAsia="宋体" w:cs="宋体"/>
          <w:spacing w:val="5"/>
          <w:sz w:val="20"/>
          <w:szCs w:val="20"/>
        </w:rPr>
        <w:t>年</w:t>
      </w:r>
      <w:r>
        <w:rPr>
          <w:rFonts w:ascii="宋体" w:hAnsi="宋体" w:eastAsia="宋体" w:cs="宋体"/>
          <w:spacing w:val="-40"/>
          <w:sz w:val="20"/>
          <w:szCs w:val="20"/>
        </w:rPr>
        <w:t xml:space="preserve"> </w:t>
      </w:r>
      <w:r>
        <w:rPr>
          <w:rFonts w:ascii="宋体" w:hAnsi="宋体" w:eastAsia="宋体" w:cs="宋体"/>
          <w:spacing w:val="5"/>
          <w:sz w:val="20"/>
          <w:szCs w:val="20"/>
        </w:rPr>
        <w:t>9</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25"/>
          <w:sz w:val="20"/>
          <w:szCs w:val="20"/>
        </w:rPr>
        <w:t xml:space="preserve"> </w:t>
      </w:r>
      <w:r>
        <w:rPr>
          <w:rFonts w:ascii="宋体" w:hAnsi="宋体" w:eastAsia="宋体" w:cs="宋体"/>
          <w:spacing w:val="5"/>
          <w:sz w:val="20"/>
          <w:szCs w:val="20"/>
        </w:rPr>
        <w:t>1 日起，全市范围内使用财政资金或国有资</w:t>
      </w:r>
      <w:r>
        <w:rPr>
          <w:rFonts w:ascii="宋体" w:hAnsi="宋体" w:eastAsia="宋体" w:cs="宋体"/>
          <w:spacing w:val="4"/>
          <w:sz w:val="20"/>
          <w:szCs w:val="20"/>
        </w:rPr>
        <w:t>金投资的建设工程施工发承包及实施</w:t>
      </w:r>
      <w:r>
        <w:rPr>
          <w:rFonts w:ascii="宋体" w:hAnsi="宋体" w:eastAsia="宋体" w:cs="宋体"/>
          <w:spacing w:val="8"/>
          <w:sz w:val="20"/>
          <w:szCs w:val="20"/>
        </w:rPr>
        <w:t>阶段计价活动，应执行</w:t>
      </w:r>
      <w:r>
        <w:rPr>
          <w:rFonts w:ascii="宋体" w:hAnsi="宋体" w:eastAsia="宋体" w:cs="宋体"/>
          <w:spacing w:val="-39"/>
          <w:sz w:val="20"/>
          <w:szCs w:val="20"/>
        </w:rPr>
        <w:t xml:space="preserve"> </w:t>
      </w:r>
      <w:r>
        <w:rPr>
          <w:rFonts w:ascii="宋体" w:hAnsi="宋体" w:eastAsia="宋体" w:cs="宋体"/>
          <w:spacing w:val="8"/>
          <w:sz w:val="20"/>
          <w:szCs w:val="20"/>
        </w:rPr>
        <w:t>2024</w:t>
      </w:r>
      <w:r>
        <w:rPr>
          <w:rFonts w:ascii="宋体" w:hAnsi="宋体" w:eastAsia="宋体" w:cs="宋体"/>
          <w:spacing w:val="-38"/>
          <w:sz w:val="20"/>
          <w:szCs w:val="20"/>
        </w:rPr>
        <w:t xml:space="preserve"> </w:t>
      </w:r>
      <w:r>
        <w:rPr>
          <w:rFonts w:ascii="宋体" w:hAnsi="宋体" w:eastAsia="宋体" w:cs="宋体"/>
          <w:spacing w:val="8"/>
          <w:sz w:val="20"/>
          <w:szCs w:val="20"/>
        </w:rPr>
        <w:t>版清单计价标准；非使用财政</w:t>
      </w:r>
      <w:r>
        <w:rPr>
          <w:rFonts w:ascii="宋体" w:hAnsi="宋体" w:eastAsia="宋体" w:cs="宋体"/>
          <w:spacing w:val="7"/>
          <w:sz w:val="20"/>
          <w:szCs w:val="20"/>
        </w:rPr>
        <w:t>资金或国有资金投资的建设工程施工发承</w:t>
      </w:r>
      <w:r>
        <w:rPr>
          <w:rFonts w:ascii="宋体" w:hAnsi="宋体" w:eastAsia="宋体" w:cs="宋体"/>
          <w:spacing w:val="8"/>
          <w:sz w:val="20"/>
          <w:szCs w:val="20"/>
        </w:rPr>
        <w:t>包及实施阶段计价活动，宜参照执行</w:t>
      </w:r>
      <w:r>
        <w:rPr>
          <w:rFonts w:ascii="宋体" w:hAnsi="宋体" w:eastAsia="宋体" w:cs="宋体"/>
          <w:spacing w:val="-39"/>
          <w:sz w:val="20"/>
          <w:szCs w:val="20"/>
        </w:rPr>
        <w:t xml:space="preserve"> </w:t>
      </w:r>
      <w:r>
        <w:rPr>
          <w:rFonts w:ascii="宋体" w:hAnsi="宋体" w:eastAsia="宋体" w:cs="宋体"/>
          <w:spacing w:val="8"/>
          <w:sz w:val="20"/>
          <w:szCs w:val="20"/>
        </w:rPr>
        <w:t>2024</w:t>
      </w:r>
      <w:r>
        <w:rPr>
          <w:rFonts w:ascii="宋体" w:hAnsi="宋体" w:eastAsia="宋体" w:cs="宋体"/>
          <w:spacing w:val="-40"/>
          <w:sz w:val="20"/>
          <w:szCs w:val="20"/>
        </w:rPr>
        <w:t xml:space="preserve"> </w:t>
      </w:r>
      <w:r>
        <w:rPr>
          <w:rFonts w:ascii="宋体" w:hAnsi="宋体" w:eastAsia="宋体" w:cs="宋体"/>
          <w:spacing w:val="8"/>
          <w:sz w:val="20"/>
          <w:szCs w:val="20"/>
        </w:rPr>
        <w:t>版清单计价标准。</w:t>
      </w:r>
    </w:p>
    <w:p>
      <w:pPr>
        <w:spacing w:before="123" w:line="296" w:lineRule="auto"/>
        <w:ind w:left="9" w:right="80" w:firstLine="420"/>
        <w:rPr>
          <w:rFonts w:ascii="宋体" w:hAnsi="宋体" w:eastAsia="宋体" w:cs="宋体"/>
          <w:sz w:val="20"/>
          <w:szCs w:val="20"/>
        </w:rPr>
      </w:pPr>
      <w:r>
        <w:rPr>
          <w:rFonts w:ascii="宋体" w:hAnsi="宋体" w:eastAsia="宋体" w:cs="宋体"/>
          <w:spacing w:val="5"/>
          <w:sz w:val="20"/>
          <w:szCs w:val="20"/>
        </w:rPr>
        <w:t>2.</w:t>
      </w:r>
      <w:r>
        <w:rPr>
          <w:rFonts w:ascii="宋体" w:hAnsi="宋体" w:eastAsia="宋体" w:cs="宋体"/>
          <w:spacing w:val="-39"/>
          <w:sz w:val="20"/>
          <w:szCs w:val="20"/>
        </w:rPr>
        <w:t xml:space="preserve"> </w:t>
      </w:r>
      <w:r>
        <w:rPr>
          <w:rFonts w:ascii="宋体" w:hAnsi="宋体" w:eastAsia="宋体" w:cs="宋体"/>
          <w:spacing w:val="5"/>
          <w:sz w:val="20"/>
          <w:szCs w:val="20"/>
        </w:rPr>
        <w:t>2025</w:t>
      </w:r>
      <w:r>
        <w:rPr>
          <w:rFonts w:ascii="宋体" w:hAnsi="宋体" w:eastAsia="宋体" w:cs="宋体"/>
          <w:spacing w:val="-39"/>
          <w:sz w:val="20"/>
          <w:szCs w:val="20"/>
        </w:rPr>
        <w:t xml:space="preserve"> </w:t>
      </w:r>
      <w:r>
        <w:rPr>
          <w:rFonts w:ascii="宋体" w:hAnsi="宋体" w:eastAsia="宋体" w:cs="宋体"/>
          <w:spacing w:val="5"/>
          <w:sz w:val="20"/>
          <w:szCs w:val="20"/>
        </w:rPr>
        <w:t>年</w:t>
      </w:r>
      <w:r>
        <w:rPr>
          <w:rFonts w:ascii="宋体" w:hAnsi="宋体" w:eastAsia="宋体" w:cs="宋体"/>
          <w:spacing w:val="-39"/>
          <w:sz w:val="20"/>
          <w:szCs w:val="20"/>
        </w:rPr>
        <w:t xml:space="preserve"> </w:t>
      </w:r>
      <w:r>
        <w:rPr>
          <w:rFonts w:ascii="宋体" w:hAnsi="宋体" w:eastAsia="宋体" w:cs="宋体"/>
          <w:spacing w:val="5"/>
          <w:sz w:val="20"/>
          <w:szCs w:val="20"/>
        </w:rPr>
        <w:t>9</w:t>
      </w:r>
      <w:r>
        <w:rPr>
          <w:rFonts w:ascii="宋体" w:hAnsi="宋体" w:eastAsia="宋体" w:cs="宋体"/>
          <w:spacing w:val="-41"/>
          <w:sz w:val="20"/>
          <w:szCs w:val="20"/>
        </w:rPr>
        <w:t xml:space="preserve"> </w:t>
      </w:r>
      <w:r>
        <w:rPr>
          <w:rFonts w:ascii="宋体" w:hAnsi="宋体" w:eastAsia="宋体" w:cs="宋体"/>
          <w:spacing w:val="5"/>
          <w:sz w:val="20"/>
          <w:szCs w:val="20"/>
        </w:rPr>
        <w:t>月</w:t>
      </w:r>
      <w:r>
        <w:rPr>
          <w:rFonts w:ascii="宋体" w:hAnsi="宋体" w:eastAsia="宋体" w:cs="宋体"/>
          <w:spacing w:val="-24"/>
          <w:sz w:val="20"/>
          <w:szCs w:val="20"/>
        </w:rPr>
        <w:t xml:space="preserve"> </w:t>
      </w:r>
      <w:r>
        <w:rPr>
          <w:rFonts w:ascii="宋体" w:hAnsi="宋体" w:eastAsia="宋体" w:cs="宋体"/>
          <w:spacing w:val="5"/>
          <w:sz w:val="20"/>
          <w:szCs w:val="20"/>
        </w:rPr>
        <w:t>1 日前已发布招标文件或已签订施工合同的建设工程，按招标文件或合同约定的</w:t>
      </w:r>
      <w:r>
        <w:rPr>
          <w:rFonts w:ascii="宋体" w:hAnsi="宋体" w:eastAsia="宋体" w:cs="宋体"/>
          <w:spacing w:val="8"/>
          <w:sz w:val="20"/>
          <w:szCs w:val="20"/>
        </w:rPr>
        <w:t>相关标准规范开展工程计价活动。</w:t>
      </w:r>
    </w:p>
    <w:p>
      <w:pPr>
        <w:spacing w:before="158" w:line="340" w:lineRule="auto"/>
        <w:ind w:left="8" w:right="80" w:firstLine="441"/>
        <w:rPr>
          <w:rFonts w:ascii="宋体" w:hAnsi="宋体" w:eastAsia="宋体" w:cs="宋体"/>
          <w:sz w:val="20"/>
          <w:szCs w:val="20"/>
        </w:rPr>
      </w:pPr>
      <w:r>
        <w:rPr>
          <w:rFonts w:ascii="宋体" w:hAnsi="宋体" w:eastAsia="宋体" w:cs="宋体"/>
          <w:spacing w:val="9"/>
          <w:sz w:val="20"/>
          <w:szCs w:val="20"/>
        </w:rPr>
        <w:t>四、2025</w:t>
      </w:r>
      <w:r>
        <w:rPr>
          <w:rFonts w:ascii="宋体" w:hAnsi="宋体" w:eastAsia="宋体" w:cs="宋体"/>
          <w:spacing w:val="-37"/>
          <w:sz w:val="20"/>
          <w:szCs w:val="20"/>
        </w:rPr>
        <w:t xml:space="preserve"> </w:t>
      </w:r>
      <w:r>
        <w:rPr>
          <w:rFonts w:ascii="宋体" w:hAnsi="宋体" w:eastAsia="宋体" w:cs="宋体"/>
          <w:spacing w:val="9"/>
          <w:sz w:val="20"/>
          <w:szCs w:val="20"/>
        </w:rPr>
        <w:t>年</w:t>
      </w:r>
      <w:r>
        <w:rPr>
          <w:rFonts w:ascii="宋体" w:hAnsi="宋体" w:eastAsia="宋体" w:cs="宋体"/>
          <w:spacing w:val="-37"/>
          <w:sz w:val="20"/>
          <w:szCs w:val="20"/>
        </w:rPr>
        <w:t xml:space="preserve"> </w:t>
      </w:r>
      <w:r>
        <w:rPr>
          <w:rFonts w:ascii="宋体" w:hAnsi="宋体" w:eastAsia="宋体" w:cs="宋体"/>
          <w:spacing w:val="9"/>
          <w:sz w:val="20"/>
          <w:szCs w:val="20"/>
        </w:rPr>
        <w:t>9</w:t>
      </w:r>
      <w:r>
        <w:rPr>
          <w:rFonts w:ascii="宋体" w:hAnsi="宋体" w:eastAsia="宋体" w:cs="宋体"/>
          <w:spacing w:val="-38"/>
          <w:sz w:val="20"/>
          <w:szCs w:val="20"/>
        </w:rPr>
        <w:t xml:space="preserve"> </w:t>
      </w:r>
      <w:r>
        <w:rPr>
          <w:rFonts w:ascii="宋体" w:hAnsi="宋体" w:eastAsia="宋体" w:cs="宋体"/>
          <w:spacing w:val="9"/>
          <w:sz w:val="20"/>
          <w:szCs w:val="20"/>
        </w:rPr>
        <w:t>月24 日</w:t>
      </w:r>
      <w:r>
        <w:rPr>
          <w:rFonts w:ascii="宋体" w:hAnsi="宋体" w:eastAsia="宋体" w:cs="宋体"/>
          <w:spacing w:val="-59"/>
          <w:sz w:val="20"/>
          <w:szCs w:val="20"/>
        </w:rPr>
        <w:t xml:space="preserve"> </w:t>
      </w:r>
      <w:r>
        <w:rPr>
          <w:rFonts w:ascii="宋体" w:hAnsi="宋体" w:eastAsia="宋体" w:cs="宋体"/>
          <w:spacing w:val="9"/>
          <w:sz w:val="20"/>
          <w:szCs w:val="20"/>
        </w:rPr>
        <w:t>，山东省住房和城乡建设厅、山东省发展和改革委员会联合发布</w:t>
      </w:r>
      <w:r>
        <w:rPr>
          <w:rFonts w:ascii="宋体" w:hAnsi="宋体" w:eastAsia="宋体" w:cs="宋体"/>
          <w:spacing w:val="8"/>
          <w:sz w:val="20"/>
          <w:szCs w:val="20"/>
        </w:rPr>
        <w:t>《关于做好招标投标交易系统更新过渡期内招标投标服务的通知》。通知中明确：2025</w:t>
      </w:r>
      <w:r>
        <w:rPr>
          <w:rFonts w:ascii="宋体" w:hAnsi="宋体" w:eastAsia="宋体" w:cs="宋体"/>
          <w:spacing w:val="-41"/>
          <w:sz w:val="20"/>
          <w:szCs w:val="20"/>
        </w:rPr>
        <w:t xml:space="preserve"> </w:t>
      </w:r>
      <w:r>
        <w:rPr>
          <w:rFonts w:ascii="宋体" w:hAnsi="宋体" w:eastAsia="宋体" w:cs="宋体"/>
          <w:spacing w:val="8"/>
          <w:sz w:val="20"/>
          <w:szCs w:val="20"/>
        </w:rPr>
        <w:t>年</w:t>
      </w:r>
      <w:r>
        <w:rPr>
          <w:rFonts w:ascii="宋体" w:hAnsi="宋体" w:eastAsia="宋体" w:cs="宋体"/>
          <w:spacing w:val="-25"/>
          <w:sz w:val="20"/>
          <w:szCs w:val="20"/>
        </w:rPr>
        <w:t xml:space="preserve"> </w:t>
      </w:r>
      <w:r>
        <w:rPr>
          <w:rFonts w:ascii="宋体" w:hAnsi="宋体" w:eastAsia="宋体" w:cs="宋体"/>
          <w:spacing w:val="8"/>
          <w:sz w:val="20"/>
          <w:szCs w:val="20"/>
        </w:rPr>
        <w:t>1</w:t>
      </w:r>
      <w:r>
        <w:rPr>
          <w:rFonts w:ascii="宋体" w:hAnsi="宋体" w:eastAsia="宋体" w:cs="宋体"/>
          <w:spacing w:val="7"/>
          <w:sz w:val="20"/>
          <w:szCs w:val="20"/>
        </w:rPr>
        <w:t>2</w:t>
      </w:r>
      <w:r>
        <w:rPr>
          <w:rFonts w:ascii="宋体" w:hAnsi="宋体" w:eastAsia="宋体" w:cs="宋体"/>
          <w:spacing w:val="-38"/>
          <w:sz w:val="20"/>
          <w:szCs w:val="20"/>
        </w:rPr>
        <w:t xml:space="preserve"> </w:t>
      </w:r>
      <w:r>
        <w:rPr>
          <w:rFonts w:ascii="宋体" w:hAnsi="宋体" w:eastAsia="宋体" w:cs="宋体"/>
          <w:spacing w:val="7"/>
          <w:sz w:val="20"/>
          <w:szCs w:val="20"/>
        </w:rPr>
        <w:t>月31 日前过</w:t>
      </w:r>
      <w:r>
        <w:rPr>
          <w:rFonts w:ascii="宋体" w:hAnsi="宋体" w:eastAsia="宋体" w:cs="宋体"/>
          <w:spacing w:val="11"/>
          <w:sz w:val="20"/>
          <w:szCs w:val="20"/>
        </w:rPr>
        <w:t>渡期内，房屋市政工程招标投标监管部门、行政审批部门应当接受按照《建设</w:t>
      </w:r>
      <w:r>
        <w:rPr>
          <w:rFonts w:ascii="宋体" w:hAnsi="宋体" w:eastAsia="宋体" w:cs="宋体"/>
          <w:spacing w:val="10"/>
          <w:sz w:val="20"/>
          <w:szCs w:val="20"/>
        </w:rPr>
        <w:t>工程工程量清单计价规范》（</w:t>
      </w:r>
      <w:r>
        <w:rPr>
          <w:rFonts w:ascii="宋体" w:hAnsi="宋体" w:eastAsia="宋体" w:cs="宋体"/>
          <w:sz w:val="20"/>
          <w:szCs w:val="20"/>
        </w:rPr>
        <w:t>GB</w:t>
      </w:r>
      <w:r>
        <w:rPr>
          <w:rFonts w:ascii="宋体" w:hAnsi="宋体" w:eastAsia="宋体" w:cs="宋体"/>
          <w:spacing w:val="10"/>
          <w:sz w:val="20"/>
          <w:szCs w:val="20"/>
        </w:rPr>
        <w:t>50500-2013）编制的招标控制价，给予办理“招标控制价备案”“招标投</w:t>
      </w:r>
      <w:r>
        <w:rPr>
          <w:rFonts w:ascii="宋体" w:hAnsi="宋体" w:eastAsia="宋体" w:cs="宋体"/>
          <w:spacing w:val="9"/>
          <w:sz w:val="20"/>
          <w:szCs w:val="20"/>
        </w:rPr>
        <w:t>标情况的书面</w:t>
      </w:r>
      <w:r>
        <w:rPr>
          <w:rFonts w:ascii="宋体" w:hAnsi="宋体" w:eastAsia="宋体" w:cs="宋体"/>
          <w:spacing w:val="7"/>
          <w:sz w:val="20"/>
          <w:szCs w:val="20"/>
        </w:rPr>
        <w:t>报告”等手续。</w:t>
      </w:r>
    </w:p>
    <w:p>
      <w:pPr>
        <w:spacing w:before="159" w:line="331" w:lineRule="auto"/>
        <w:ind w:left="9" w:right="3" w:firstLine="424"/>
        <w:rPr>
          <w:rFonts w:ascii="宋体" w:hAnsi="宋体" w:eastAsia="宋体" w:cs="宋体"/>
          <w:sz w:val="20"/>
          <w:szCs w:val="20"/>
        </w:rPr>
      </w:pPr>
      <w:r>
        <w:rPr>
          <w:rFonts w:ascii="宋体" w:hAnsi="宋体" w:eastAsia="宋体" w:cs="宋体"/>
          <w:spacing w:val="8"/>
          <w:sz w:val="20"/>
          <w:szCs w:val="20"/>
        </w:rPr>
        <w:t>五、2025</w:t>
      </w:r>
      <w:r>
        <w:rPr>
          <w:rFonts w:ascii="宋体" w:hAnsi="宋体" w:eastAsia="宋体" w:cs="宋体"/>
          <w:spacing w:val="-39"/>
          <w:sz w:val="20"/>
          <w:szCs w:val="20"/>
        </w:rPr>
        <w:t xml:space="preserve"> </w:t>
      </w:r>
      <w:r>
        <w:rPr>
          <w:rFonts w:ascii="宋体" w:hAnsi="宋体" w:eastAsia="宋体" w:cs="宋体"/>
          <w:spacing w:val="8"/>
          <w:sz w:val="20"/>
          <w:szCs w:val="20"/>
        </w:rPr>
        <w:t>年</w:t>
      </w:r>
      <w:r>
        <w:rPr>
          <w:rFonts w:ascii="宋体" w:hAnsi="宋体" w:eastAsia="宋体" w:cs="宋体"/>
          <w:spacing w:val="-22"/>
          <w:sz w:val="20"/>
          <w:szCs w:val="20"/>
        </w:rPr>
        <w:t xml:space="preserve"> </w:t>
      </w:r>
      <w:r>
        <w:rPr>
          <w:rFonts w:ascii="宋体" w:hAnsi="宋体" w:eastAsia="宋体" w:cs="宋体"/>
          <w:spacing w:val="8"/>
          <w:sz w:val="20"/>
          <w:szCs w:val="20"/>
        </w:rPr>
        <w:t>12</w:t>
      </w:r>
      <w:r>
        <w:rPr>
          <w:rFonts w:ascii="宋体" w:hAnsi="宋体" w:eastAsia="宋体" w:cs="宋体"/>
          <w:spacing w:val="-41"/>
          <w:sz w:val="20"/>
          <w:szCs w:val="20"/>
        </w:rPr>
        <w:t xml:space="preserve"> </w:t>
      </w:r>
      <w:r>
        <w:rPr>
          <w:rFonts w:ascii="宋体" w:hAnsi="宋体" w:eastAsia="宋体" w:cs="宋体"/>
          <w:spacing w:val="8"/>
          <w:sz w:val="20"/>
          <w:szCs w:val="20"/>
        </w:rPr>
        <w:t>月30 日，淄博市住房和城乡建设局</w:t>
      </w:r>
      <w:r>
        <w:rPr>
          <w:rFonts w:ascii="宋体" w:hAnsi="宋体" w:eastAsia="宋体" w:cs="宋体"/>
          <w:spacing w:val="7"/>
          <w:sz w:val="20"/>
          <w:szCs w:val="20"/>
        </w:rPr>
        <w:t>、淄博市公共资源交易中心联合发布《关于全市房屋市政工程招标投标活动执行新工程量清单计价标准的通知》。通知中明确：自</w:t>
      </w:r>
      <w:r>
        <w:rPr>
          <w:rFonts w:ascii="宋体" w:hAnsi="宋体" w:eastAsia="宋体" w:cs="宋体"/>
          <w:spacing w:val="-42"/>
          <w:sz w:val="20"/>
          <w:szCs w:val="20"/>
        </w:rPr>
        <w:t xml:space="preserve"> </w:t>
      </w:r>
      <w:r>
        <w:rPr>
          <w:rFonts w:ascii="宋体" w:hAnsi="宋体" w:eastAsia="宋体" w:cs="宋体"/>
          <w:spacing w:val="7"/>
          <w:sz w:val="20"/>
          <w:szCs w:val="20"/>
        </w:rPr>
        <w:t>2</w:t>
      </w:r>
      <w:r>
        <w:rPr>
          <w:rFonts w:ascii="宋体" w:hAnsi="宋体" w:eastAsia="宋体" w:cs="宋体"/>
          <w:spacing w:val="6"/>
          <w:sz w:val="20"/>
          <w:szCs w:val="20"/>
        </w:rPr>
        <w:t>026</w:t>
      </w:r>
      <w:r>
        <w:rPr>
          <w:rFonts w:ascii="宋体" w:hAnsi="宋体" w:eastAsia="宋体" w:cs="宋体"/>
          <w:spacing w:val="-41"/>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5"/>
          <w:sz w:val="20"/>
          <w:szCs w:val="20"/>
        </w:rPr>
        <w:t>1 日起，新发布招标公告的房屋市政工程招标投标活动须按照</w:t>
      </w:r>
      <w:r>
        <w:rPr>
          <w:rFonts w:ascii="宋体" w:hAnsi="宋体" w:eastAsia="宋体" w:cs="宋体"/>
          <w:spacing w:val="-42"/>
          <w:sz w:val="20"/>
          <w:szCs w:val="20"/>
        </w:rPr>
        <w:t xml:space="preserve"> </w:t>
      </w:r>
      <w:r>
        <w:rPr>
          <w:rFonts w:ascii="宋体" w:hAnsi="宋体" w:eastAsia="宋体" w:cs="宋体"/>
          <w:spacing w:val="5"/>
          <w:sz w:val="20"/>
          <w:szCs w:val="20"/>
        </w:rPr>
        <w:t>2024</w:t>
      </w:r>
      <w:r>
        <w:rPr>
          <w:rFonts w:ascii="宋体" w:hAnsi="宋体" w:eastAsia="宋体" w:cs="宋体"/>
          <w:spacing w:val="-43"/>
          <w:sz w:val="20"/>
          <w:szCs w:val="20"/>
        </w:rPr>
        <w:t xml:space="preserve"> </w:t>
      </w:r>
      <w:r>
        <w:rPr>
          <w:rFonts w:ascii="宋体" w:hAnsi="宋体" w:eastAsia="宋体" w:cs="宋体"/>
          <w:spacing w:val="5"/>
          <w:sz w:val="20"/>
          <w:szCs w:val="20"/>
        </w:rPr>
        <w:t>版清单计价</w:t>
      </w:r>
      <w:r>
        <w:rPr>
          <w:rFonts w:ascii="宋体" w:hAnsi="宋体" w:eastAsia="宋体" w:cs="宋体"/>
          <w:spacing w:val="4"/>
          <w:sz w:val="20"/>
          <w:szCs w:val="20"/>
        </w:rPr>
        <w:t>标准编制工程量清单。</w:t>
      </w:r>
    </w:p>
    <w:p>
      <w:pPr>
        <w:spacing w:line="331" w:lineRule="auto"/>
        <w:rPr>
          <w:rFonts w:ascii="宋体" w:hAnsi="宋体" w:eastAsia="宋体" w:cs="宋体"/>
          <w:sz w:val="20"/>
          <w:szCs w:val="20"/>
        </w:rPr>
        <w:sectPr>
          <w:footerReference r:id="rId24" w:type="default"/>
          <w:pgSz w:w="11905" w:h="16840"/>
          <w:pgMar w:top="1431" w:right="1338" w:bottom="1213" w:left="1411" w:header="0" w:footer="898" w:gutter="0"/>
        </w:sectPr>
      </w:pPr>
    </w:p>
    <w:p>
      <w:pPr>
        <w:pStyle w:val="2"/>
        <w:spacing w:before="70" w:line="207" w:lineRule="auto"/>
        <w:ind w:left="2235"/>
        <w:outlineLvl w:val="0"/>
      </w:pPr>
      <w:bookmarkStart w:id="17" w:name="bookmark139"/>
      <w:bookmarkEnd w:id="17"/>
      <w:r>
        <w:rPr>
          <w:spacing w:val="3"/>
        </w:rPr>
        <w:t>第二章</w:t>
      </w:r>
      <w:r>
        <w:rPr>
          <w:spacing w:val="19"/>
        </w:rPr>
        <w:t xml:space="preserve">   </w:t>
      </w:r>
      <w:r>
        <w:rPr>
          <w:spacing w:val="3"/>
        </w:rPr>
        <w:t>2013 版工程量清单计价</w:t>
      </w:r>
    </w:p>
    <w:p>
      <w:pPr>
        <w:spacing w:before="126" w:line="212" w:lineRule="auto"/>
        <w:ind w:left="2280"/>
        <w:outlineLvl w:val="1"/>
        <w:rPr>
          <w:rFonts w:ascii="宋体" w:hAnsi="宋体" w:eastAsia="宋体" w:cs="宋体"/>
          <w:sz w:val="30"/>
          <w:szCs w:val="30"/>
        </w:rPr>
      </w:pPr>
      <w:bookmarkStart w:id="18" w:name="bookmark12"/>
      <w:bookmarkEnd w:id="18"/>
      <w:bookmarkStart w:id="19" w:name="bookmark14"/>
      <w:bookmarkEnd w:id="19"/>
      <w:bookmarkStart w:id="20" w:name="bookmark15"/>
      <w:bookmarkEnd w:id="20"/>
      <w:bookmarkStart w:id="21" w:name="bookmark13"/>
      <w:bookmarkEnd w:id="21"/>
      <w:r>
        <w:rPr>
          <w:rFonts w:ascii="宋体" w:hAnsi="宋体" w:eastAsia="宋体" w:cs="宋体"/>
          <w:b/>
          <w:bCs/>
          <w:spacing w:val="-3"/>
          <w:sz w:val="30"/>
          <w:szCs w:val="30"/>
        </w:rPr>
        <w:t>第一节</w:t>
      </w:r>
      <w:r>
        <w:rPr>
          <w:rFonts w:ascii="宋体" w:hAnsi="宋体" w:eastAsia="宋体" w:cs="宋体"/>
          <w:spacing w:val="-3"/>
          <w:sz w:val="30"/>
          <w:szCs w:val="30"/>
        </w:rPr>
        <w:t xml:space="preserve">  </w:t>
      </w:r>
      <w:r>
        <w:rPr>
          <w:rFonts w:ascii="宋体" w:hAnsi="宋体" w:eastAsia="宋体" w:cs="宋体"/>
          <w:b/>
          <w:bCs/>
          <w:spacing w:val="-3"/>
          <w:sz w:val="30"/>
          <w:szCs w:val="30"/>
        </w:rPr>
        <w:t>工程量清单计价通用规定</w:t>
      </w:r>
    </w:p>
    <w:p>
      <w:pPr>
        <w:pStyle w:val="2"/>
        <w:spacing w:before="308" w:line="209" w:lineRule="auto"/>
        <w:ind w:left="435"/>
        <w:rPr>
          <w:sz w:val="20"/>
          <w:szCs w:val="20"/>
        </w:rPr>
      </w:pPr>
      <w:r>
        <w:rPr>
          <w:spacing w:val="7"/>
          <w:sz w:val="20"/>
          <w:szCs w:val="20"/>
        </w:rPr>
        <w:t>一、一般规定</w:t>
      </w:r>
    </w:p>
    <w:p>
      <w:pPr>
        <w:spacing w:before="106" w:line="276" w:lineRule="exact"/>
        <w:ind w:left="415"/>
        <w:rPr>
          <w:rFonts w:ascii="宋体" w:hAnsi="宋体" w:eastAsia="宋体" w:cs="宋体"/>
          <w:sz w:val="20"/>
          <w:szCs w:val="20"/>
        </w:rPr>
      </w:pPr>
      <w:r>
        <w:rPr>
          <w:rFonts w:ascii="宋体" w:hAnsi="宋体" w:eastAsia="宋体" w:cs="宋体"/>
          <w:spacing w:val="10"/>
          <w:position w:val="1"/>
          <w:sz w:val="20"/>
          <w:szCs w:val="20"/>
        </w:rPr>
        <w:t>（一）使用国有资金投资的建设工程发承包，必须采用</w:t>
      </w:r>
      <w:r>
        <w:rPr>
          <w:rFonts w:ascii="宋体" w:hAnsi="宋体" w:eastAsia="宋体" w:cs="宋体"/>
          <w:spacing w:val="9"/>
          <w:position w:val="1"/>
          <w:sz w:val="20"/>
          <w:szCs w:val="20"/>
        </w:rPr>
        <w:t>工程量清单计价。</w:t>
      </w:r>
    </w:p>
    <w:p>
      <w:pPr>
        <w:spacing w:before="124" w:line="276" w:lineRule="exact"/>
        <w:ind w:left="415"/>
        <w:rPr>
          <w:rFonts w:ascii="宋体" w:hAnsi="宋体" w:eastAsia="宋体" w:cs="宋体"/>
          <w:sz w:val="20"/>
          <w:szCs w:val="20"/>
        </w:rPr>
      </w:pPr>
      <w:r>
        <w:rPr>
          <w:rFonts w:ascii="宋体" w:hAnsi="宋体" w:eastAsia="宋体" w:cs="宋体"/>
          <w:spacing w:val="10"/>
          <w:position w:val="1"/>
          <w:sz w:val="20"/>
          <w:szCs w:val="20"/>
        </w:rPr>
        <w:t>（二）非国有资金投资的建设工程，宜采用工</w:t>
      </w:r>
      <w:r>
        <w:rPr>
          <w:rFonts w:ascii="宋体" w:hAnsi="宋体" w:eastAsia="宋体" w:cs="宋体"/>
          <w:spacing w:val="9"/>
          <w:position w:val="1"/>
          <w:sz w:val="20"/>
          <w:szCs w:val="20"/>
        </w:rPr>
        <w:t>程量清单计价。</w:t>
      </w:r>
    </w:p>
    <w:p>
      <w:pPr>
        <w:spacing w:before="122" w:line="277" w:lineRule="exact"/>
        <w:ind w:left="415"/>
        <w:rPr>
          <w:rFonts w:ascii="宋体" w:hAnsi="宋体" w:eastAsia="宋体" w:cs="宋体"/>
          <w:sz w:val="20"/>
          <w:szCs w:val="20"/>
        </w:rPr>
      </w:pPr>
      <w:r>
        <w:rPr>
          <w:rFonts w:ascii="宋体" w:hAnsi="宋体" w:eastAsia="宋体" w:cs="宋体"/>
          <w:spacing w:val="9"/>
          <w:position w:val="1"/>
          <w:sz w:val="20"/>
          <w:szCs w:val="20"/>
        </w:rPr>
        <w:t>（三）工程量清单应采用综合单价计价。</w:t>
      </w:r>
    </w:p>
    <w:p>
      <w:pPr>
        <w:spacing w:before="123" w:line="298" w:lineRule="auto"/>
        <w:ind w:left="4" w:right="150" w:firstLine="410"/>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4"/>
          <w:sz w:val="20"/>
          <w:szCs w:val="20"/>
        </w:rPr>
        <w:t xml:space="preserve"> </w:t>
      </w:r>
      <w:r>
        <w:rPr>
          <w:rFonts w:ascii="宋体" w:hAnsi="宋体" w:eastAsia="宋体" w:cs="宋体"/>
          <w:spacing w:val="9"/>
          <w:sz w:val="20"/>
          <w:szCs w:val="20"/>
        </w:rPr>
        <w:t>四）规费（含安全文明施工费）和税金必须按国家或省级、</w:t>
      </w:r>
      <w:r>
        <w:rPr>
          <w:rFonts w:ascii="宋体" w:hAnsi="宋体" w:eastAsia="宋体" w:cs="宋体"/>
          <w:spacing w:val="8"/>
          <w:sz w:val="20"/>
          <w:szCs w:val="20"/>
        </w:rPr>
        <w:t>市级建设主管部门的规定计算，不得作为竞争性费用。</w:t>
      </w:r>
    </w:p>
    <w:p>
      <w:pPr>
        <w:spacing w:before="156" w:line="312" w:lineRule="auto"/>
        <w:ind w:left="2" w:right="109" w:firstLine="413"/>
        <w:rPr>
          <w:rFonts w:ascii="宋体" w:hAnsi="宋体" w:eastAsia="宋体" w:cs="宋体"/>
          <w:sz w:val="20"/>
          <w:szCs w:val="20"/>
        </w:rPr>
      </w:pPr>
      <w:r>
        <w:rPr>
          <w:rFonts w:ascii="宋体" w:hAnsi="宋体" w:eastAsia="宋体" w:cs="宋体"/>
          <w:spacing w:val="11"/>
          <w:sz w:val="20"/>
          <w:szCs w:val="20"/>
        </w:rPr>
        <w:t>（五）建设工程发承包，必须在招标文件、合同中明确计价中的风险内容及其范围，不得采用</w:t>
      </w:r>
      <w:r>
        <w:rPr>
          <w:rFonts w:ascii="宋体" w:hAnsi="宋体" w:eastAsia="宋体" w:cs="宋体"/>
          <w:spacing w:val="9"/>
          <w:sz w:val="20"/>
          <w:szCs w:val="20"/>
        </w:rPr>
        <w:t>无限风险、所有风险或类似语句规定计价中的风险内容及范围。</w:t>
      </w:r>
    </w:p>
    <w:p>
      <w:pPr>
        <w:spacing w:before="124" w:line="277" w:lineRule="exact"/>
        <w:ind w:left="423"/>
        <w:rPr>
          <w:rFonts w:ascii="宋体" w:hAnsi="宋体" w:eastAsia="宋体" w:cs="宋体"/>
          <w:sz w:val="20"/>
          <w:szCs w:val="20"/>
        </w:rPr>
      </w:pPr>
      <w:r>
        <w:rPr>
          <w:rFonts w:ascii="宋体" w:hAnsi="宋体" w:eastAsia="宋体" w:cs="宋体"/>
          <w:spacing w:val="9"/>
          <w:position w:val="1"/>
          <w:sz w:val="20"/>
          <w:szCs w:val="20"/>
        </w:rPr>
        <w:t>对材料价格的风险约定，可参照以下原则：</w:t>
      </w:r>
    </w:p>
    <w:p>
      <w:pPr>
        <w:spacing w:before="122" w:line="368" w:lineRule="auto"/>
        <w:ind w:right="308" w:firstLine="442"/>
        <w:rPr>
          <w:rFonts w:ascii="宋体" w:hAnsi="宋体" w:eastAsia="宋体" w:cs="宋体"/>
          <w:sz w:val="20"/>
          <w:szCs w:val="20"/>
        </w:rPr>
      </w:pPr>
      <w:r>
        <w:rPr>
          <w:rFonts w:ascii="宋体" w:hAnsi="宋体" w:eastAsia="宋体" w:cs="宋体"/>
          <w:spacing w:val="8"/>
          <w:sz w:val="20"/>
          <w:szCs w:val="20"/>
        </w:rPr>
        <w:t>1. 山东省住房和城乡建设厅《关于加强工程建设人工材料价格风险控</w:t>
      </w:r>
      <w:r>
        <w:rPr>
          <w:rFonts w:ascii="宋体" w:hAnsi="宋体" w:eastAsia="宋体" w:cs="宋体"/>
          <w:spacing w:val="7"/>
          <w:sz w:val="20"/>
          <w:szCs w:val="20"/>
        </w:rPr>
        <w:t>制的意见》（鲁建标字</w:t>
      </w:r>
      <w:r>
        <w:rPr>
          <w:rFonts w:ascii="宋体" w:hAnsi="宋体" w:eastAsia="宋体" w:cs="宋体"/>
          <w:spacing w:val="10"/>
          <w:sz w:val="20"/>
          <w:szCs w:val="20"/>
        </w:rPr>
        <w:t>〔2019〕21号）中规定了材料价格风险范围及调整原则。</w:t>
      </w:r>
    </w:p>
    <w:p>
      <w:pPr>
        <w:spacing w:before="4" w:line="276" w:lineRule="exact"/>
        <w:ind w:left="486"/>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3" w:line="368" w:lineRule="auto"/>
        <w:ind w:left="3" w:right="109" w:firstLine="483"/>
        <w:rPr>
          <w:rFonts w:ascii="宋体" w:hAnsi="宋体" w:eastAsia="宋体" w:cs="宋体"/>
          <w:sz w:val="20"/>
          <w:szCs w:val="20"/>
        </w:rPr>
      </w:pPr>
      <w:r>
        <w:rPr>
          <w:rFonts w:ascii="宋体" w:hAnsi="宋体" w:eastAsia="宋体" w:cs="宋体"/>
          <w:spacing w:val="9"/>
          <w:sz w:val="20"/>
          <w:szCs w:val="20"/>
        </w:rPr>
        <w:t>二是合同未对材料价格风险进行约定或约定不具体的，发承包双方按照以下原则协商调整工程</w:t>
      </w:r>
      <w:r>
        <w:rPr>
          <w:rFonts w:ascii="宋体" w:hAnsi="宋体" w:eastAsia="宋体" w:cs="宋体"/>
          <w:spacing w:val="4"/>
          <w:sz w:val="20"/>
          <w:szCs w:val="20"/>
        </w:rPr>
        <w:t>造价：</w:t>
      </w:r>
    </w:p>
    <w:p>
      <w:pPr>
        <w:spacing w:before="3" w:line="312" w:lineRule="auto"/>
        <w:ind w:left="5" w:right="193" w:firstLine="472"/>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1）调整的范围限定于主要材料。主要材料是指用量较</w:t>
      </w:r>
      <w:r>
        <w:rPr>
          <w:rFonts w:ascii="宋体" w:hAnsi="宋体" w:eastAsia="宋体" w:cs="宋体"/>
          <w:spacing w:val="8"/>
          <w:sz w:val="20"/>
          <w:szCs w:val="20"/>
        </w:rPr>
        <w:t>大、占工程造价比例较高的材料，包</w:t>
      </w:r>
      <w:r>
        <w:rPr>
          <w:rFonts w:ascii="宋体" w:hAnsi="宋体" w:eastAsia="宋体" w:cs="宋体"/>
          <w:spacing w:val="10"/>
          <w:sz w:val="20"/>
          <w:szCs w:val="20"/>
        </w:rPr>
        <w:t>括的范围以合同约定为准。当合同未对主要材料范围进</w:t>
      </w:r>
      <w:r>
        <w:rPr>
          <w:rFonts w:ascii="宋体" w:hAnsi="宋体" w:eastAsia="宋体" w:cs="宋体"/>
          <w:spacing w:val="9"/>
          <w:sz w:val="20"/>
          <w:szCs w:val="20"/>
        </w:rPr>
        <w:t>行明确约定时，则一般应包括如下内容：</w:t>
      </w:r>
    </w:p>
    <w:p>
      <w:pPr>
        <w:spacing w:before="125" w:line="331" w:lineRule="auto"/>
        <w:ind w:left="4" w:right="28" w:firstLine="473"/>
        <w:rPr>
          <w:rFonts w:ascii="宋体" w:hAnsi="宋体" w:eastAsia="宋体" w:cs="宋体"/>
          <w:sz w:val="20"/>
          <w:szCs w:val="20"/>
        </w:rPr>
      </w:pPr>
      <w:r>
        <w:rPr>
          <w:rFonts w:ascii="宋体" w:hAnsi="宋体" w:eastAsia="宋体" w:cs="宋体"/>
          <w:spacing w:val="9"/>
          <w:sz w:val="20"/>
          <w:szCs w:val="20"/>
        </w:rPr>
        <w:t>（2）金属材料、木材、水泥、混凝土、沥青混凝土、预制构件、砂浆、砖、瓦</w:t>
      </w:r>
      <w:r>
        <w:rPr>
          <w:rFonts w:ascii="宋体" w:hAnsi="宋体" w:eastAsia="宋体" w:cs="宋体"/>
          <w:spacing w:val="8"/>
          <w:sz w:val="20"/>
          <w:szCs w:val="20"/>
        </w:rPr>
        <w:t>、砂子、碎石、石灰、石材、防水材料、防腐材料、玻璃、保温材料、门窗、面砖、管材、管件、</w:t>
      </w:r>
      <w:r>
        <w:rPr>
          <w:rFonts w:ascii="宋体" w:hAnsi="宋体" w:eastAsia="宋体" w:cs="宋体"/>
          <w:spacing w:val="7"/>
          <w:sz w:val="20"/>
          <w:szCs w:val="20"/>
        </w:rPr>
        <w:t>阀门、电线电缆、</w:t>
      </w:r>
      <w:r>
        <w:rPr>
          <w:rFonts w:ascii="宋体" w:hAnsi="宋体" w:eastAsia="宋体" w:cs="宋体"/>
          <w:spacing w:val="9"/>
          <w:sz w:val="20"/>
          <w:szCs w:val="20"/>
        </w:rPr>
        <w:t>灯具、卫生洁具、散热器、苗木、花卉等。</w:t>
      </w:r>
    </w:p>
    <w:p>
      <w:pPr>
        <w:spacing w:before="123" w:line="276" w:lineRule="exact"/>
        <w:ind w:left="477"/>
        <w:rPr>
          <w:rFonts w:ascii="宋体" w:hAnsi="宋体" w:eastAsia="宋体" w:cs="宋体"/>
          <w:sz w:val="20"/>
          <w:szCs w:val="20"/>
        </w:rPr>
      </w:pPr>
      <w:r>
        <w:rPr>
          <w:rFonts w:ascii="宋体" w:hAnsi="宋体" w:eastAsia="宋体" w:cs="宋体"/>
          <w:spacing w:val="11"/>
          <w:position w:val="1"/>
          <w:sz w:val="20"/>
          <w:szCs w:val="20"/>
        </w:rPr>
        <w:t>（3）合同价中单种材料合价占单位工程造价</w:t>
      </w:r>
      <w:r>
        <w:rPr>
          <w:rFonts w:ascii="宋体" w:hAnsi="宋体" w:eastAsia="宋体" w:cs="宋体"/>
          <w:spacing w:val="10"/>
          <w:position w:val="1"/>
          <w:sz w:val="20"/>
          <w:szCs w:val="20"/>
        </w:rPr>
        <w:t>比例在</w:t>
      </w:r>
      <w:r>
        <w:rPr>
          <w:rFonts w:ascii="宋体" w:hAnsi="宋体" w:eastAsia="宋体" w:cs="宋体"/>
          <w:spacing w:val="-25"/>
          <w:position w:val="1"/>
          <w:sz w:val="20"/>
          <w:szCs w:val="20"/>
        </w:rPr>
        <w:t xml:space="preserve"> </w:t>
      </w:r>
      <w:r>
        <w:rPr>
          <w:rFonts w:ascii="宋体" w:hAnsi="宋体" w:eastAsia="宋体" w:cs="宋体"/>
          <w:spacing w:val="10"/>
          <w:position w:val="1"/>
          <w:sz w:val="20"/>
          <w:szCs w:val="20"/>
        </w:rPr>
        <w:t>1%及以上的材料。</w:t>
      </w:r>
    </w:p>
    <w:p>
      <w:pPr>
        <w:spacing w:before="125" w:line="276" w:lineRule="exact"/>
        <w:ind w:left="477"/>
        <w:rPr>
          <w:rFonts w:ascii="宋体" w:hAnsi="宋体" w:eastAsia="宋体" w:cs="宋体"/>
          <w:sz w:val="20"/>
          <w:szCs w:val="20"/>
        </w:rPr>
      </w:pPr>
      <w:r>
        <w:rPr>
          <w:rFonts w:ascii="宋体" w:hAnsi="宋体" w:eastAsia="宋体" w:cs="宋体"/>
          <w:spacing w:val="9"/>
          <w:position w:val="1"/>
          <w:sz w:val="20"/>
          <w:szCs w:val="20"/>
        </w:rPr>
        <w:t>（4）设区市工程造价管理机构规定的其他主要材料种类。</w:t>
      </w:r>
    </w:p>
    <w:p>
      <w:pPr>
        <w:spacing w:before="123" w:line="368" w:lineRule="auto"/>
        <w:ind w:left="6" w:right="109" w:firstLine="483"/>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2"/>
          <w:sz w:val="20"/>
          <w:szCs w:val="20"/>
        </w:rPr>
        <w:t xml:space="preserve"> </w:t>
      </w:r>
      <w:r>
        <w:rPr>
          <w:rFonts w:ascii="宋体" w:hAnsi="宋体" w:eastAsia="宋体" w:cs="宋体"/>
          <w:spacing w:val="11"/>
          <w:sz w:val="20"/>
          <w:szCs w:val="20"/>
        </w:rPr>
        <w:t>±5%以内（含</w:t>
      </w:r>
      <w:r>
        <w:rPr>
          <w:rFonts w:ascii="宋体" w:hAnsi="宋体" w:eastAsia="宋体" w:cs="宋体"/>
          <w:spacing w:val="-42"/>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3" w:line="368" w:lineRule="auto"/>
        <w:ind w:left="5" w:right="108" w:firstLine="502"/>
        <w:jc w:val="both"/>
        <w:rPr>
          <w:rFonts w:ascii="宋体" w:hAnsi="宋体" w:eastAsia="宋体" w:cs="宋体"/>
          <w:sz w:val="20"/>
          <w:szCs w:val="20"/>
        </w:rPr>
      </w:pPr>
      <w:r>
        <w:rPr>
          <w:rFonts w:ascii="宋体" w:hAnsi="宋体" w:eastAsia="宋体" w:cs="宋体"/>
          <w:spacing w:val="3"/>
          <w:sz w:val="20"/>
          <w:szCs w:val="20"/>
        </w:rPr>
        <w:t>四是材料价差的调整办法参照《建设工程工程量清单计</w:t>
      </w:r>
      <w:r>
        <w:rPr>
          <w:rFonts w:ascii="宋体" w:hAnsi="宋体" w:eastAsia="宋体" w:cs="宋体"/>
          <w:spacing w:val="2"/>
          <w:sz w:val="20"/>
          <w:szCs w:val="20"/>
        </w:rPr>
        <w:t>价规范》（</w:t>
      </w:r>
      <w:r>
        <w:rPr>
          <w:rFonts w:ascii="宋体" w:hAnsi="宋体" w:eastAsia="宋体" w:cs="宋体"/>
          <w:spacing w:val="-60"/>
          <w:sz w:val="20"/>
          <w:szCs w:val="20"/>
        </w:rPr>
        <w:t xml:space="preserve"> </w:t>
      </w:r>
      <w:r>
        <w:rPr>
          <w:rFonts w:ascii="宋体" w:hAnsi="宋体" w:eastAsia="宋体" w:cs="宋体"/>
          <w:sz w:val="20"/>
          <w:szCs w:val="20"/>
        </w:rPr>
        <w:t>GB</w:t>
      </w:r>
      <w:r>
        <w:rPr>
          <w:rFonts w:ascii="宋体" w:hAnsi="宋体" w:eastAsia="宋体" w:cs="宋体"/>
          <w:spacing w:val="2"/>
          <w:sz w:val="20"/>
          <w:szCs w:val="20"/>
        </w:rPr>
        <w:t>50500-2013）附录“A.2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w:t>
      </w:r>
      <w:r>
        <w:rPr>
          <w:rFonts w:ascii="宋体" w:hAnsi="宋体" w:eastAsia="宋体" w:cs="宋体"/>
          <w:spacing w:val="4"/>
          <w:sz w:val="20"/>
          <w:szCs w:val="20"/>
        </w:rPr>
        <w:t>用合同条款“</w:t>
      </w:r>
      <w:r>
        <w:rPr>
          <w:rFonts w:ascii="宋体" w:hAnsi="宋体" w:eastAsia="宋体" w:cs="宋体"/>
          <w:spacing w:val="-77"/>
          <w:sz w:val="20"/>
          <w:szCs w:val="20"/>
        </w:rPr>
        <w:t xml:space="preserve"> </w:t>
      </w:r>
      <w:r>
        <w:rPr>
          <w:rFonts w:ascii="宋体" w:hAnsi="宋体" w:eastAsia="宋体" w:cs="宋体"/>
          <w:spacing w:val="4"/>
          <w:sz w:val="20"/>
          <w:szCs w:val="20"/>
        </w:rPr>
        <w:t>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2" w:line="369" w:lineRule="auto"/>
        <w:ind w:left="4" w:firstLine="483"/>
        <w:jc w:val="both"/>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43"/>
          <w:sz w:val="20"/>
          <w:szCs w:val="20"/>
        </w:rPr>
        <w:t xml:space="preserve"> </w:t>
      </w:r>
      <w:r>
        <w:rPr>
          <w:rFonts w:ascii="宋体" w:hAnsi="宋体" w:eastAsia="宋体" w:cs="宋体"/>
          <w:spacing w:val="7"/>
          <w:sz w:val="20"/>
          <w:szCs w:val="20"/>
        </w:rPr>
        <w:t>2021年</w:t>
      </w:r>
      <w:r>
        <w:rPr>
          <w:rFonts w:ascii="宋体" w:hAnsi="宋体" w:eastAsia="宋体" w:cs="宋体"/>
          <w:spacing w:val="-41"/>
          <w:sz w:val="20"/>
          <w:szCs w:val="20"/>
        </w:rPr>
        <w:t xml:space="preserve"> </w:t>
      </w:r>
      <w:r>
        <w:rPr>
          <w:rFonts w:ascii="宋体" w:hAnsi="宋体" w:eastAsia="宋体" w:cs="宋体"/>
          <w:spacing w:val="7"/>
          <w:sz w:val="20"/>
          <w:szCs w:val="20"/>
        </w:rPr>
        <w:t>6</w:t>
      </w:r>
      <w:r>
        <w:rPr>
          <w:rFonts w:ascii="宋体" w:hAnsi="宋体" w:eastAsia="宋体" w:cs="宋体"/>
          <w:spacing w:val="-40"/>
          <w:sz w:val="20"/>
          <w:szCs w:val="20"/>
        </w:rPr>
        <w:t xml:space="preserve"> </w:t>
      </w:r>
      <w:r>
        <w:rPr>
          <w:rFonts w:ascii="宋体" w:hAnsi="宋体" w:eastAsia="宋体" w:cs="宋体"/>
          <w:spacing w:val="7"/>
          <w:sz w:val="20"/>
          <w:szCs w:val="20"/>
        </w:rPr>
        <w:t>月9 日，淄博市住房和城乡建设局出台《关于进一步加强</w:t>
      </w:r>
      <w:r>
        <w:rPr>
          <w:rFonts w:ascii="宋体" w:hAnsi="宋体" w:eastAsia="宋体" w:cs="宋体"/>
          <w:spacing w:val="6"/>
          <w:sz w:val="20"/>
          <w:szCs w:val="20"/>
        </w:rPr>
        <w:t>建设工程材料价格风险控</w:t>
      </w:r>
      <w:r>
        <w:rPr>
          <w:rFonts w:ascii="宋体" w:hAnsi="宋体" w:eastAsia="宋体" w:cs="宋体"/>
          <w:spacing w:val="9"/>
          <w:sz w:val="20"/>
          <w:szCs w:val="20"/>
        </w:rPr>
        <w:t>制的通知》（淄建发〔2021〕97</w:t>
      </w:r>
      <w:r>
        <w:rPr>
          <w:rFonts w:ascii="宋体" w:hAnsi="宋体" w:eastAsia="宋体" w:cs="宋体"/>
          <w:spacing w:val="-40"/>
          <w:sz w:val="20"/>
          <w:szCs w:val="20"/>
        </w:rPr>
        <w:t xml:space="preserve"> </w:t>
      </w:r>
      <w:r>
        <w:rPr>
          <w:rFonts w:ascii="宋体" w:hAnsi="宋体" w:eastAsia="宋体" w:cs="宋体"/>
          <w:spacing w:val="9"/>
          <w:sz w:val="20"/>
          <w:szCs w:val="20"/>
        </w:rPr>
        <w:t>号）。文件规定：发承包双方已签定施工</w:t>
      </w:r>
      <w:r>
        <w:rPr>
          <w:rFonts w:ascii="宋体" w:hAnsi="宋体" w:eastAsia="宋体" w:cs="宋体"/>
          <w:spacing w:val="8"/>
          <w:sz w:val="20"/>
          <w:szCs w:val="20"/>
        </w:rPr>
        <w:t>合同的，若主要建筑材料</w:t>
      </w:r>
      <w:r>
        <w:rPr>
          <w:rFonts w:ascii="宋体" w:hAnsi="宋体" w:eastAsia="宋体" w:cs="宋体"/>
          <w:spacing w:val="10"/>
          <w:sz w:val="20"/>
          <w:szCs w:val="20"/>
        </w:rPr>
        <w:t>为可调价格，按合同约定执行；若合同中未对主要建筑材料价格风险幅度及调整</w:t>
      </w:r>
      <w:r>
        <w:rPr>
          <w:rFonts w:ascii="宋体" w:hAnsi="宋体" w:eastAsia="宋体" w:cs="宋体"/>
          <w:spacing w:val="9"/>
          <w:sz w:val="20"/>
          <w:szCs w:val="20"/>
        </w:rPr>
        <w:t>办法进行约定或者</w:t>
      </w:r>
      <w:r>
        <w:rPr>
          <w:rFonts w:ascii="宋体" w:hAnsi="宋体" w:eastAsia="宋体" w:cs="宋体"/>
          <w:spacing w:val="8"/>
          <w:sz w:val="20"/>
          <w:szCs w:val="20"/>
        </w:rPr>
        <w:t>约定不明确、不合理的，发承包双方要协商签订补充协议。对于主要材料价格波动幅度超出5%（含）</w:t>
      </w:r>
      <w:r>
        <w:rPr>
          <w:rFonts w:ascii="宋体" w:hAnsi="宋体" w:eastAsia="宋体" w:cs="宋体"/>
          <w:spacing w:val="10"/>
          <w:sz w:val="20"/>
          <w:szCs w:val="20"/>
        </w:rPr>
        <w:t>的，材料价格风险由建设单位承担，按照超出部分调整材料价差。若建设单位不</w:t>
      </w:r>
      <w:r>
        <w:rPr>
          <w:rFonts w:ascii="宋体" w:hAnsi="宋体" w:eastAsia="宋体" w:cs="宋体"/>
          <w:spacing w:val="9"/>
          <w:sz w:val="20"/>
          <w:szCs w:val="20"/>
        </w:rPr>
        <w:t>承担该费用致使工</w:t>
      </w:r>
      <w:r>
        <w:rPr>
          <w:rFonts w:ascii="宋体" w:hAnsi="宋体" w:eastAsia="宋体" w:cs="宋体"/>
          <w:spacing w:val="10"/>
          <w:sz w:val="20"/>
          <w:szCs w:val="20"/>
        </w:rPr>
        <w:t>程停工的，工期应予以顺延，停工期间发生的人工、周转性材料及机械等费用发</w:t>
      </w:r>
      <w:r>
        <w:rPr>
          <w:rFonts w:ascii="宋体" w:hAnsi="宋体" w:eastAsia="宋体" w:cs="宋体"/>
          <w:spacing w:val="9"/>
          <w:sz w:val="20"/>
          <w:szCs w:val="20"/>
        </w:rPr>
        <w:t>承包双方应合理分</w:t>
      </w:r>
    </w:p>
    <w:p>
      <w:pPr>
        <w:spacing w:line="369" w:lineRule="auto"/>
        <w:rPr>
          <w:rFonts w:ascii="宋体" w:hAnsi="宋体" w:eastAsia="宋体" w:cs="宋体"/>
          <w:sz w:val="20"/>
          <w:szCs w:val="20"/>
        </w:rPr>
        <w:sectPr>
          <w:footerReference r:id="rId25" w:type="default"/>
          <w:pgSz w:w="11905" w:h="16840"/>
          <w:pgMar w:top="1346" w:right="1309" w:bottom="1213" w:left="1416" w:header="0" w:footer="898" w:gutter="0"/>
        </w:sectPr>
      </w:pPr>
    </w:p>
    <w:p>
      <w:pPr>
        <w:spacing w:before="132" w:line="216" w:lineRule="auto"/>
        <w:ind w:left="2"/>
        <w:rPr>
          <w:rFonts w:ascii="宋体" w:hAnsi="宋体" w:eastAsia="宋体" w:cs="宋体"/>
          <w:sz w:val="20"/>
          <w:szCs w:val="20"/>
        </w:rPr>
      </w:pPr>
      <w:r>
        <w:rPr>
          <w:rFonts w:ascii="宋体" w:hAnsi="宋体" w:eastAsia="宋体" w:cs="宋体"/>
          <w:spacing w:val="1"/>
          <w:sz w:val="20"/>
          <w:szCs w:val="20"/>
        </w:rPr>
        <w:t>担。</w:t>
      </w:r>
    </w:p>
    <w:p>
      <w:pPr>
        <w:spacing w:before="158" w:line="276" w:lineRule="exact"/>
        <w:ind w:left="412"/>
        <w:rPr>
          <w:rFonts w:ascii="宋体" w:hAnsi="宋体" w:eastAsia="宋体" w:cs="宋体"/>
          <w:sz w:val="20"/>
          <w:szCs w:val="20"/>
        </w:rPr>
      </w:pPr>
      <w:r>
        <w:rPr>
          <w:rFonts w:ascii="宋体" w:hAnsi="宋体" w:eastAsia="宋体" w:cs="宋体"/>
          <w:spacing w:val="10"/>
          <w:position w:val="1"/>
          <w:sz w:val="20"/>
          <w:szCs w:val="20"/>
        </w:rPr>
        <w:t>（六）由于下列因素出现，影响合同价款调整的，应由发包</w:t>
      </w:r>
      <w:r>
        <w:rPr>
          <w:rFonts w:ascii="宋体" w:hAnsi="宋体" w:eastAsia="宋体" w:cs="宋体"/>
          <w:spacing w:val="9"/>
          <w:position w:val="1"/>
          <w:sz w:val="20"/>
          <w:szCs w:val="20"/>
        </w:rPr>
        <w:t>人承担计价风险：</w:t>
      </w:r>
    </w:p>
    <w:p>
      <w:pPr>
        <w:spacing w:before="124" w:line="277" w:lineRule="exact"/>
        <w:ind w:left="439"/>
        <w:rPr>
          <w:rFonts w:ascii="宋体" w:hAnsi="宋体" w:eastAsia="宋体" w:cs="宋体"/>
          <w:sz w:val="20"/>
          <w:szCs w:val="20"/>
        </w:rPr>
      </w:pPr>
      <w:r>
        <w:rPr>
          <w:rFonts w:ascii="宋体" w:hAnsi="宋体" w:eastAsia="宋体" w:cs="宋体"/>
          <w:spacing w:val="3"/>
          <w:position w:val="1"/>
          <w:sz w:val="20"/>
          <w:szCs w:val="20"/>
        </w:rPr>
        <w:t>1.</w:t>
      </w:r>
      <w:r>
        <w:rPr>
          <w:rFonts w:ascii="宋体" w:hAnsi="宋体" w:eastAsia="宋体" w:cs="宋体"/>
          <w:spacing w:val="46"/>
          <w:position w:val="1"/>
          <w:sz w:val="20"/>
          <w:szCs w:val="20"/>
        </w:rPr>
        <w:t xml:space="preserve"> </w:t>
      </w:r>
      <w:r>
        <w:rPr>
          <w:rFonts w:ascii="宋体" w:hAnsi="宋体" w:eastAsia="宋体" w:cs="宋体"/>
          <w:spacing w:val="3"/>
          <w:position w:val="1"/>
          <w:sz w:val="20"/>
          <w:szCs w:val="20"/>
        </w:rPr>
        <w:t>国家法律、法规、规章和政策发生变化；</w:t>
      </w:r>
    </w:p>
    <w:p>
      <w:pPr>
        <w:spacing w:before="121" w:line="298" w:lineRule="auto"/>
        <w:ind w:left="483" w:right="813" w:hanging="61"/>
        <w:rPr>
          <w:rFonts w:ascii="宋体" w:hAnsi="宋体" w:eastAsia="宋体" w:cs="宋体"/>
          <w:sz w:val="20"/>
          <w:szCs w:val="20"/>
        </w:rPr>
      </w:pPr>
      <w:r>
        <w:rPr>
          <w:rFonts w:ascii="宋体" w:hAnsi="宋体" w:eastAsia="宋体" w:cs="宋体"/>
          <w:spacing w:val="7"/>
          <w:sz w:val="20"/>
          <w:szCs w:val="20"/>
        </w:rPr>
        <w:t>2. 省级、市级建设行政主管部门发布的人工费调整，人工费变化时的合同价款的调整。</w:t>
      </w:r>
      <w:r>
        <w:rPr>
          <w:rFonts w:ascii="宋体" w:hAnsi="宋体" w:eastAsia="宋体" w:cs="宋体"/>
          <w:spacing w:val="9"/>
          <w:sz w:val="20"/>
          <w:szCs w:val="20"/>
        </w:rPr>
        <w:t>一是合同对人工费调整有具体约定的，按照合同执行。</w:t>
      </w:r>
    </w:p>
    <w:p>
      <w:pPr>
        <w:spacing w:before="156" w:line="276" w:lineRule="exact"/>
        <w:jc w:val="right"/>
        <w:rPr>
          <w:rFonts w:ascii="宋体" w:hAnsi="宋体" w:eastAsia="宋体" w:cs="宋体"/>
          <w:sz w:val="20"/>
          <w:szCs w:val="20"/>
        </w:rPr>
      </w:pPr>
      <w:r>
        <w:rPr>
          <w:rFonts w:ascii="宋体" w:hAnsi="宋体" w:eastAsia="宋体" w:cs="宋体"/>
          <w:spacing w:val="8"/>
          <w:position w:val="1"/>
          <w:sz w:val="20"/>
          <w:szCs w:val="20"/>
        </w:rPr>
        <w:t>二是合同对人工费调整没有约定或约定不具体的，发承包双方按照以下原则协商调整工程造价：</w:t>
      </w:r>
    </w:p>
    <w:p>
      <w:pPr>
        <w:spacing w:before="123" w:line="345" w:lineRule="auto"/>
        <w:ind w:right="206" w:firstLine="474"/>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1）设区市建设主管部门发布市定额人工市场指导单价</w:t>
      </w:r>
      <w:r>
        <w:rPr>
          <w:rFonts w:ascii="宋体" w:hAnsi="宋体" w:eastAsia="宋体" w:cs="宋体"/>
          <w:spacing w:val="8"/>
          <w:sz w:val="20"/>
          <w:szCs w:val="20"/>
        </w:rPr>
        <w:t>的：市建设主管部门调增市定额人工</w:t>
      </w:r>
      <w:r>
        <w:rPr>
          <w:rFonts w:ascii="宋体" w:hAnsi="宋体" w:eastAsia="宋体" w:cs="宋体"/>
          <w:spacing w:val="9"/>
          <w:sz w:val="20"/>
          <w:szCs w:val="20"/>
        </w:rPr>
        <w:t>指导单价时，</w:t>
      </w:r>
      <w:r>
        <w:rPr>
          <w:rFonts w:ascii="宋体" w:hAnsi="宋体" w:eastAsia="宋体" w:cs="宋体"/>
          <w:spacing w:val="-56"/>
          <w:sz w:val="20"/>
          <w:szCs w:val="20"/>
        </w:rPr>
        <w:t xml:space="preserve"> </w:t>
      </w:r>
      <w:r>
        <w:rPr>
          <w:rFonts w:ascii="宋体" w:hAnsi="宋体" w:eastAsia="宋体" w:cs="宋体"/>
          <w:spacing w:val="9"/>
          <w:sz w:val="20"/>
          <w:szCs w:val="20"/>
        </w:rPr>
        <w:t>自调整生效之日起完成的工程量，根据市定额人工指导单价的</w:t>
      </w:r>
      <w:r>
        <w:rPr>
          <w:rFonts w:ascii="宋体" w:hAnsi="宋体" w:eastAsia="宋体" w:cs="宋体"/>
          <w:spacing w:val="8"/>
          <w:sz w:val="20"/>
          <w:szCs w:val="20"/>
        </w:rPr>
        <w:t>调增幅度（百分比</w:t>
      </w:r>
      <w:r>
        <w:rPr>
          <w:rFonts w:ascii="宋体" w:hAnsi="宋体" w:eastAsia="宋体" w:cs="宋体"/>
          <w:spacing w:val="-14"/>
          <w:sz w:val="20"/>
          <w:szCs w:val="20"/>
        </w:rPr>
        <w:t>）</w:t>
      </w:r>
      <w:r>
        <w:rPr>
          <w:rFonts w:ascii="宋体" w:hAnsi="宋体" w:eastAsia="宋体" w:cs="宋体"/>
          <w:spacing w:val="-53"/>
          <w:sz w:val="20"/>
          <w:szCs w:val="20"/>
        </w:rPr>
        <w:t xml:space="preserve"> </w:t>
      </w:r>
      <w:r>
        <w:rPr>
          <w:rFonts w:ascii="宋体" w:hAnsi="宋体" w:eastAsia="宋体" w:cs="宋体"/>
          <w:spacing w:val="-14"/>
          <w:sz w:val="20"/>
          <w:szCs w:val="20"/>
        </w:rPr>
        <w:t>，</w:t>
      </w:r>
      <w:r>
        <w:rPr>
          <w:rFonts w:ascii="宋体" w:hAnsi="宋体" w:eastAsia="宋体" w:cs="宋体"/>
          <w:spacing w:val="10"/>
          <w:sz w:val="20"/>
          <w:szCs w:val="20"/>
        </w:rPr>
        <w:t>调增工程价款的人工费，但合同约定的定额人工单价高于调增后的市定额人工指导单</w:t>
      </w:r>
      <w:r>
        <w:rPr>
          <w:rFonts w:ascii="宋体" w:hAnsi="宋体" w:eastAsia="宋体" w:cs="宋体"/>
          <w:spacing w:val="9"/>
          <w:sz w:val="20"/>
          <w:szCs w:val="20"/>
        </w:rPr>
        <w:t>价的除外；市建设主管部门调减市定额人工指导单价时，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w:t>
      </w:r>
      <w:r>
        <w:rPr>
          <w:rFonts w:ascii="宋体" w:hAnsi="宋体" w:eastAsia="宋体" w:cs="宋体"/>
          <w:spacing w:val="8"/>
          <w:sz w:val="20"/>
          <w:szCs w:val="20"/>
        </w:rPr>
        <w:t>人工指导</w:t>
      </w:r>
      <w:r>
        <w:rPr>
          <w:rFonts w:ascii="宋体" w:hAnsi="宋体" w:eastAsia="宋体" w:cs="宋体"/>
          <w:spacing w:val="10"/>
          <w:sz w:val="20"/>
          <w:szCs w:val="20"/>
        </w:rPr>
        <w:t>单价的调减幅度（百分比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w:t>
      </w:r>
      <w:r>
        <w:rPr>
          <w:rFonts w:ascii="宋体" w:hAnsi="宋体" w:eastAsia="宋体" w:cs="宋体"/>
          <w:spacing w:val="9"/>
          <w:sz w:val="20"/>
          <w:szCs w:val="20"/>
        </w:rPr>
        <w:t>人工单价低于调减后的市</w:t>
      </w:r>
      <w:r>
        <w:rPr>
          <w:rFonts w:ascii="宋体" w:hAnsi="宋体" w:eastAsia="宋体" w:cs="宋体"/>
          <w:spacing w:val="8"/>
          <w:sz w:val="20"/>
          <w:szCs w:val="20"/>
        </w:rPr>
        <w:t>定额人工指导单价的除外。</w:t>
      </w:r>
    </w:p>
    <w:p>
      <w:pPr>
        <w:spacing w:before="158" w:line="312" w:lineRule="auto"/>
        <w:ind w:left="1" w:right="249" w:firstLine="473"/>
        <w:rPr>
          <w:rFonts w:ascii="宋体" w:hAnsi="宋体" w:eastAsia="宋体" w:cs="宋体"/>
          <w:sz w:val="20"/>
          <w:szCs w:val="20"/>
        </w:rPr>
      </w:pPr>
      <w:r>
        <w:rPr>
          <w:rFonts w:ascii="宋体" w:hAnsi="宋体" w:eastAsia="宋体" w:cs="宋体"/>
          <w:spacing w:val="10"/>
          <w:sz w:val="20"/>
          <w:szCs w:val="20"/>
        </w:rPr>
        <w:t>（2）设区市建设主管部门未发布市定额人工市场指导单价的，根据省定额人工单价</w:t>
      </w:r>
      <w:r>
        <w:rPr>
          <w:rFonts w:ascii="宋体" w:hAnsi="宋体" w:eastAsia="宋体" w:cs="宋体"/>
          <w:spacing w:val="9"/>
          <w:sz w:val="20"/>
          <w:szCs w:val="20"/>
        </w:rPr>
        <w:t>的调整幅度（百分比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9"/>
          <w:sz w:val="20"/>
          <w:szCs w:val="20"/>
        </w:rPr>
        <w:t>按照上条原则调整工程价款的人工费。</w:t>
      </w:r>
    </w:p>
    <w:p>
      <w:pPr>
        <w:spacing w:before="126" w:line="368" w:lineRule="auto"/>
        <w:ind w:left="1" w:right="165" w:firstLine="485"/>
        <w:rPr>
          <w:rFonts w:ascii="宋体" w:hAnsi="宋体" w:eastAsia="宋体" w:cs="宋体"/>
          <w:sz w:val="20"/>
          <w:szCs w:val="20"/>
        </w:rPr>
      </w:pPr>
      <w:r>
        <w:rPr>
          <w:rFonts w:ascii="宋体" w:hAnsi="宋体" w:eastAsia="宋体" w:cs="宋体"/>
          <w:spacing w:val="9"/>
          <w:sz w:val="20"/>
          <w:szCs w:val="20"/>
        </w:rPr>
        <w:t>三是省建设主管部门调整省定额人工单价时，自调整生效之日起完成的工程量，各项以省价人工费（或省价人机费）为基础计取的费用同时进行调整。</w:t>
      </w:r>
    </w:p>
    <w:p>
      <w:pPr>
        <w:spacing w:line="276" w:lineRule="exact"/>
        <w:ind w:left="426"/>
        <w:rPr>
          <w:rFonts w:ascii="宋体" w:hAnsi="宋体" w:eastAsia="宋体" w:cs="宋体"/>
          <w:sz w:val="20"/>
          <w:szCs w:val="20"/>
        </w:rPr>
      </w:pPr>
      <w:r>
        <w:rPr>
          <w:rFonts w:ascii="宋体" w:hAnsi="宋体" w:eastAsia="宋体" w:cs="宋体"/>
          <w:spacing w:val="7"/>
          <w:position w:val="1"/>
          <w:sz w:val="20"/>
          <w:szCs w:val="20"/>
        </w:rPr>
        <w:t>3.</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由政府定价或政府指导价管理的原材料等价格进行了调整，如水、</w:t>
      </w:r>
      <w:r>
        <w:rPr>
          <w:rFonts w:ascii="宋体" w:hAnsi="宋体" w:eastAsia="宋体" w:cs="宋体"/>
          <w:spacing w:val="6"/>
          <w:position w:val="1"/>
          <w:sz w:val="20"/>
          <w:szCs w:val="20"/>
        </w:rPr>
        <w:t>电、燃油等。</w:t>
      </w:r>
    </w:p>
    <w:p>
      <w:pPr>
        <w:pStyle w:val="2"/>
        <w:spacing w:before="118" w:line="210" w:lineRule="auto"/>
        <w:ind w:left="379"/>
        <w:rPr>
          <w:sz w:val="20"/>
          <w:szCs w:val="20"/>
        </w:rPr>
      </w:pPr>
      <w:r>
        <w:rPr>
          <w:spacing w:val="8"/>
          <w:sz w:val="20"/>
          <w:szCs w:val="20"/>
        </w:rPr>
        <w:t>二、工程量清单编制</w:t>
      </w:r>
    </w:p>
    <w:p>
      <w:pPr>
        <w:spacing w:before="105" w:line="276" w:lineRule="exact"/>
        <w:ind w:left="412"/>
        <w:rPr>
          <w:rFonts w:ascii="宋体" w:hAnsi="宋体" w:eastAsia="宋体" w:cs="宋体"/>
          <w:sz w:val="20"/>
          <w:szCs w:val="20"/>
        </w:rPr>
      </w:pPr>
      <w:r>
        <w:rPr>
          <w:rFonts w:ascii="宋体" w:hAnsi="宋体" w:eastAsia="宋体" w:cs="宋体"/>
          <w:spacing w:val="10"/>
          <w:position w:val="1"/>
          <w:sz w:val="20"/>
          <w:szCs w:val="20"/>
        </w:rPr>
        <w:t>（一）招标工程量清单应由具有编制能力的招标人或受其委托的工程</w:t>
      </w:r>
      <w:r>
        <w:rPr>
          <w:rFonts w:ascii="宋体" w:hAnsi="宋体" w:eastAsia="宋体" w:cs="宋体"/>
          <w:spacing w:val="9"/>
          <w:position w:val="1"/>
          <w:sz w:val="20"/>
          <w:szCs w:val="20"/>
        </w:rPr>
        <w:t>造价咨询人编制。</w:t>
      </w:r>
    </w:p>
    <w:p>
      <w:pPr>
        <w:spacing w:before="125" w:line="278" w:lineRule="exact"/>
        <w:ind w:left="412"/>
        <w:rPr>
          <w:rFonts w:ascii="宋体" w:hAnsi="宋体" w:eastAsia="宋体" w:cs="宋体"/>
          <w:sz w:val="20"/>
          <w:szCs w:val="20"/>
        </w:rPr>
      </w:pPr>
      <w:r>
        <w:rPr>
          <w:rFonts w:ascii="宋体" w:hAnsi="宋体" w:eastAsia="宋体" w:cs="宋体"/>
          <w:spacing w:val="10"/>
          <w:position w:val="1"/>
          <w:sz w:val="20"/>
          <w:szCs w:val="20"/>
        </w:rPr>
        <w:t>（二）招标工程量清单必须作为招标文件的组成部分，其准确性和完整性</w:t>
      </w:r>
      <w:r>
        <w:rPr>
          <w:rFonts w:ascii="宋体" w:hAnsi="宋体" w:eastAsia="宋体" w:cs="宋体"/>
          <w:spacing w:val="9"/>
          <w:position w:val="1"/>
          <w:sz w:val="20"/>
          <w:szCs w:val="20"/>
        </w:rPr>
        <w:t>应由招标人负责。</w:t>
      </w:r>
    </w:p>
    <w:p>
      <w:pPr>
        <w:spacing w:before="122" w:line="296" w:lineRule="auto"/>
        <w:ind w:left="4" w:right="165" w:firstLine="408"/>
        <w:rPr>
          <w:rFonts w:ascii="宋体" w:hAnsi="宋体" w:eastAsia="宋体" w:cs="宋体"/>
          <w:sz w:val="20"/>
          <w:szCs w:val="20"/>
        </w:rPr>
      </w:pPr>
      <w:r>
        <w:rPr>
          <w:rFonts w:ascii="宋体" w:hAnsi="宋体" w:eastAsia="宋体" w:cs="宋体"/>
          <w:spacing w:val="11"/>
          <w:sz w:val="20"/>
          <w:szCs w:val="20"/>
        </w:rPr>
        <w:t>（三）招标工程量清单是工程量清单计价的基础，应作为编制最高投标限价、投标报价、计算</w:t>
      </w:r>
      <w:r>
        <w:rPr>
          <w:rFonts w:ascii="宋体" w:hAnsi="宋体" w:eastAsia="宋体" w:cs="宋体"/>
          <w:spacing w:val="8"/>
          <w:sz w:val="20"/>
          <w:szCs w:val="20"/>
        </w:rPr>
        <w:t>或调整工程量、索赔等的依据之一。</w:t>
      </w:r>
    </w:p>
    <w:p>
      <w:pPr>
        <w:spacing w:before="159" w:line="298" w:lineRule="auto"/>
        <w:ind w:left="41" w:right="166" w:firstLine="37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4"/>
          <w:sz w:val="20"/>
          <w:szCs w:val="20"/>
        </w:rPr>
        <w:t xml:space="preserve"> </w:t>
      </w:r>
      <w:r>
        <w:rPr>
          <w:rFonts w:ascii="宋体" w:hAnsi="宋体" w:eastAsia="宋体" w:cs="宋体"/>
          <w:spacing w:val="10"/>
          <w:sz w:val="20"/>
          <w:szCs w:val="20"/>
        </w:rPr>
        <w:t>四）招标工程量清单应以单位（项）工程为单位编制，应由</w:t>
      </w:r>
      <w:r>
        <w:rPr>
          <w:rFonts w:ascii="宋体" w:hAnsi="宋体" w:eastAsia="宋体" w:cs="宋体"/>
          <w:spacing w:val="9"/>
          <w:sz w:val="20"/>
          <w:szCs w:val="20"/>
        </w:rPr>
        <w:t>分部分项工程项目清单、措施项</w:t>
      </w:r>
      <w:r>
        <w:rPr>
          <w:rFonts w:ascii="宋体" w:hAnsi="宋体" w:eastAsia="宋体" w:cs="宋体"/>
          <w:spacing w:val="7"/>
          <w:sz w:val="20"/>
          <w:szCs w:val="20"/>
        </w:rPr>
        <w:t>目清单、其他项目清单、规费和税金项目清单组成。</w:t>
      </w:r>
    </w:p>
    <w:p>
      <w:pPr>
        <w:spacing w:before="153" w:line="277" w:lineRule="exact"/>
        <w:ind w:left="412"/>
        <w:rPr>
          <w:rFonts w:ascii="宋体" w:hAnsi="宋体" w:eastAsia="宋体" w:cs="宋体"/>
          <w:sz w:val="20"/>
          <w:szCs w:val="20"/>
        </w:rPr>
      </w:pPr>
      <w:r>
        <w:rPr>
          <w:rFonts w:ascii="宋体" w:hAnsi="宋体" w:eastAsia="宋体" w:cs="宋体"/>
          <w:spacing w:val="9"/>
          <w:position w:val="1"/>
          <w:sz w:val="20"/>
          <w:szCs w:val="20"/>
        </w:rPr>
        <w:t>（五）编制招标工程量清单应依据：</w:t>
      </w:r>
    </w:p>
    <w:p>
      <w:pPr>
        <w:spacing w:before="124" w:line="276" w:lineRule="exact"/>
        <w:ind w:left="439"/>
        <w:rPr>
          <w:rFonts w:ascii="宋体" w:hAnsi="宋体" w:eastAsia="宋体" w:cs="宋体"/>
          <w:sz w:val="20"/>
          <w:szCs w:val="20"/>
        </w:rPr>
      </w:pPr>
      <w:r>
        <w:rPr>
          <w:rFonts w:ascii="宋体" w:hAnsi="宋体" w:eastAsia="宋体" w:cs="宋体"/>
          <w:spacing w:val="8"/>
          <w:position w:val="1"/>
          <w:sz w:val="20"/>
          <w:szCs w:val="20"/>
        </w:rPr>
        <w:t>1.</w:t>
      </w:r>
      <w:r>
        <w:rPr>
          <w:rFonts w:ascii="宋体" w:hAnsi="宋体" w:eastAsia="宋体" w:cs="宋体"/>
          <w:spacing w:val="-14"/>
          <w:position w:val="1"/>
          <w:sz w:val="20"/>
          <w:szCs w:val="20"/>
        </w:rPr>
        <w:t xml:space="preserve"> </w:t>
      </w:r>
      <w:r>
        <w:rPr>
          <w:rFonts w:ascii="宋体" w:hAnsi="宋体" w:eastAsia="宋体" w:cs="宋体"/>
          <w:spacing w:val="8"/>
          <w:position w:val="1"/>
          <w:sz w:val="20"/>
          <w:szCs w:val="20"/>
        </w:rPr>
        <w:t>《建设工程工程量清单计价规范》（</w:t>
      </w:r>
      <w:r>
        <w:rPr>
          <w:rFonts w:ascii="宋体" w:hAnsi="宋体" w:eastAsia="宋体" w:cs="宋体"/>
          <w:spacing w:val="-60"/>
          <w:position w:val="1"/>
          <w:sz w:val="20"/>
          <w:szCs w:val="20"/>
        </w:rPr>
        <w:t xml:space="preserve"> </w:t>
      </w:r>
      <w:r>
        <w:rPr>
          <w:rFonts w:ascii="宋体" w:hAnsi="宋体" w:eastAsia="宋体" w:cs="宋体"/>
          <w:position w:val="1"/>
          <w:sz w:val="20"/>
          <w:szCs w:val="20"/>
        </w:rPr>
        <w:t>GB</w:t>
      </w:r>
      <w:r>
        <w:rPr>
          <w:rFonts w:ascii="宋体" w:hAnsi="宋体" w:eastAsia="宋体" w:cs="宋体"/>
          <w:spacing w:val="8"/>
          <w:position w:val="1"/>
          <w:sz w:val="20"/>
          <w:szCs w:val="20"/>
        </w:rPr>
        <w:t>50500-20</w:t>
      </w:r>
      <w:r>
        <w:rPr>
          <w:rFonts w:ascii="宋体" w:hAnsi="宋体" w:eastAsia="宋体" w:cs="宋体"/>
          <w:spacing w:val="7"/>
          <w:position w:val="1"/>
          <w:sz w:val="20"/>
          <w:szCs w:val="20"/>
        </w:rPr>
        <w:t>13）和相关工程的国家计量规范；</w:t>
      </w:r>
    </w:p>
    <w:p>
      <w:pPr>
        <w:spacing w:before="125" w:line="276" w:lineRule="exact"/>
        <w:ind w:left="422"/>
        <w:rPr>
          <w:rFonts w:ascii="宋体" w:hAnsi="宋体" w:eastAsia="宋体" w:cs="宋体"/>
          <w:sz w:val="20"/>
          <w:szCs w:val="20"/>
        </w:rPr>
      </w:pPr>
      <w:r>
        <w:rPr>
          <w:rFonts w:ascii="宋体" w:hAnsi="宋体" w:eastAsia="宋体" w:cs="宋体"/>
          <w:spacing w:val="5"/>
          <w:position w:val="1"/>
          <w:sz w:val="20"/>
          <w:szCs w:val="20"/>
        </w:rPr>
        <w:t>2. 建设主管部门颁发的计价定额和办法；</w:t>
      </w:r>
    </w:p>
    <w:p>
      <w:pPr>
        <w:spacing w:before="122" w:line="278" w:lineRule="exact"/>
        <w:ind w:left="426"/>
        <w:rPr>
          <w:rFonts w:ascii="宋体" w:hAnsi="宋体" w:eastAsia="宋体" w:cs="宋体"/>
          <w:sz w:val="20"/>
          <w:szCs w:val="20"/>
        </w:rPr>
      </w:pPr>
      <w:r>
        <w:rPr>
          <w:rFonts w:ascii="宋体" w:hAnsi="宋体" w:eastAsia="宋体" w:cs="宋体"/>
          <w:spacing w:val="4"/>
          <w:position w:val="1"/>
          <w:sz w:val="20"/>
          <w:szCs w:val="20"/>
        </w:rPr>
        <w:t>3. 建设工程设计文件及相关资料；</w:t>
      </w:r>
    </w:p>
    <w:p>
      <w:pPr>
        <w:spacing w:before="123" w:line="278" w:lineRule="exact"/>
        <w:ind w:left="419"/>
        <w:rPr>
          <w:rFonts w:ascii="宋体" w:hAnsi="宋体" w:eastAsia="宋体" w:cs="宋体"/>
          <w:sz w:val="20"/>
          <w:szCs w:val="20"/>
        </w:rPr>
      </w:pPr>
      <w:r>
        <w:rPr>
          <w:rFonts w:ascii="宋体" w:hAnsi="宋体" w:eastAsia="宋体" w:cs="宋体"/>
          <w:spacing w:val="6"/>
          <w:position w:val="1"/>
          <w:sz w:val="20"/>
          <w:szCs w:val="20"/>
        </w:rPr>
        <w:t>4. 与建设工程有关的标准、规范、技术资料；</w:t>
      </w:r>
    </w:p>
    <w:p>
      <w:pPr>
        <w:spacing w:before="123" w:line="278" w:lineRule="exact"/>
        <w:ind w:left="422"/>
        <w:rPr>
          <w:rFonts w:ascii="宋体" w:hAnsi="宋体" w:eastAsia="宋体" w:cs="宋体"/>
          <w:sz w:val="20"/>
          <w:szCs w:val="20"/>
        </w:rPr>
      </w:pPr>
      <w:r>
        <w:rPr>
          <w:rFonts w:ascii="宋体" w:hAnsi="宋体" w:eastAsia="宋体" w:cs="宋体"/>
          <w:spacing w:val="6"/>
          <w:position w:val="1"/>
          <w:sz w:val="20"/>
          <w:szCs w:val="20"/>
        </w:rPr>
        <w:t>5. 招标文件及其补充通知、答疑纪要等资料；</w:t>
      </w:r>
    </w:p>
    <w:p>
      <w:pPr>
        <w:spacing w:before="120" w:line="277" w:lineRule="exact"/>
        <w:ind w:right="33"/>
        <w:jc w:val="right"/>
        <w:rPr>
          <w:rFonts w:ascii="宋体" w:hAnsi="宋体" w:eastAsia="宋体" w:cs="宋体"/>
          <w:sz w:val="20"/>
          <w:szCs w:val="20"/>
        </w:rPr>
      </w:pPr>
      <w:r>
        <w:rPr>
          <w:rFonts w:ascii="宋体" w:hAnsi="宋体" w:eastAsia="宋体" w:cs="宋体"/>
          <w:spacing w:val="6"/>
          <w:position w:val="1"/>
          <w:sz w:val="20"/>
          <w:szCs w:val="20"/>
        </w:rPr>
        <w:t>6. 施工现场情况、地勘水文资料、工程特点及常规施工方案（特殊工程按拟采取的施工方案</w:t>
      </w:r>
      <w:r>
        <w:rPr>
          <w:rFonts w:ascii="宋体" w:hAnsi="宋体" w:eastAsia="宋体" w:cs="宋体"/>
          <w:spacing w:val="11"/>
          <w:position w:val="1"/>
          <w:sz w:val="20"/>
          <w:szCs w:val="20"/>
        </w:rPr>
        <w:t>）；</w:t>
      </w:r>
    </w:p>
    <w:p>
      <w:pPr>
        <w:spacing w:before="124" w:line="279" w:lineRule="exact"/>
        <w:ind w:left="421"/>
        <w:rPr>
          <w:rFonts w:ascii="宋体" w:hAnsi="宋体" w:eastAsia="宋体" w:cs="宋体"/>
          <w:sz w:val="20"/>
          <w:szCs w:val="20"/>
        </w:rPr>
      </w:pPr>
      <w:r>
        <w:rPr>
          <w:rFonts w:ascii="宋体" w:hAnsi="宋体" w:eastAsia="宋体" w:cs="宋体"/>
          <w:spacing w:val="1"/>
          <w:position w:val="1"/>
          <w:sz w:val="20"/>
          <w:szCs w:val="20"/>
        </w:rPr>
        <w:t>7. 其他相关资料。</w:t>
      </w:r>
    </w:p>
    <w:p>
      <w:pPr>
        <w:spacing w:before="121" w:line="355" w:lineRule="auto"/>
        <w:ind w:left="25" w:right="206" w:firstLine="386"/>
        <w:jc w:val="both"/>
        <w:rPr>
          <w:rFonts w:ascii="宋体" w:hAnsi="宋体" w:eastAsia="宋体" w:cs="宋体"/>
          <w:sz w:val="20"/>
          <w:szCs w:val="20"/>
        </w:rPr>
      </w:pPr>
      <w:r>
        <w:rPr>
          <w:rFonts w:ascii="宋体" w:hAnsi="宋体" w:eastAsia="宋体" w:cs="宋体"/>
          <w:spacing w:val="10"/>
          <w:sz w:val="20"/>
          <w:szCs w:val="20"/>
        </w:rPr>
        <w:t>（六）编制工程量清单出现计量规范附录中未包括的项目，编制人应作补充，补充项目的编码</w:t>
      </w:r>
      <w:r>
        <w:rPr>
          <w:rFonts w:ascii="宋体" w:hAnsi="宋体" w:eastAsia="宋体" w:cs="宋体"/>
          <w:spacing w:val="14"/>
          <w:sz w:val="20"/>
          <w:szCs w:val="20"/>
        </w:rPr>
        <w:t>由专业工程代码</w:t>
      </w:r>
      <w:r>
        <w:rPr>
          <w:rFonts w:ascii="宋体" w:hAnsi="宋体" w:eastAsia="宋体" w:cs="宋体"/>
          <w:spacing w:val="-37"/>
          <w:sz w:val="20"/>
          <w:szCs w:val="20"/>
        </w:rPr>
        <w:t xml:space="preserve"> </w:t>
      </w:r>
      <w:r>
        <w:rPr>
          <w:rFonts w:ascii="宋体" w:hAnsi="宋体" w:eastAsia="宋体" w:cs="宋体"/>
          <w:sz w:val="20"/>
          <w:szCs w:val="20"/>
        </w:rPr>
        <w:t>XX</w:t>
      </w:r>
      <w:r>
        <w:rPr>
          <w:rFonts w:ascii="宋体" w:hAnsi="宋体" w:eastAsia="宋体" w:cs="宋体"/>
          <w:spacing w:val="-40"/>
          <w:sz w:val="20"/>
          <w:szCs w:val="20"/>
        </w:rPr>
        <w:t xml:space="preserve"> </w:t>
      </w:r>
      <w:r>
        <w:rPr>
          <w:rFonts w:ascii="宋体" w:hAnsi="宋体" w:eastAsia="宋体" w:cs="宋体"/>
          <w:spacing w:val="14"/>
          <w:sz w:val="20"/>
          <w:szCs w:val="20"/>
        </w:rPr>
        <w:t>与</w:t>
      </w:r>
      <w:r>
        <w:rPr>
          <w:rFonts w:ascii="宋体" w:hAnsi="宋体" w:eastAsia="宋体" w:cs="宋体"/>
          <w:spacing w:val="-37"/>
          <w:sz w:val="20"/>
          <w:szCs w:val="20"/>
        </w:rPr>
        <w:t xml:space="preserve"> </w:t>
      </w:r>
      <w:r>
        <w:rPr>
          <w:rFonts w:ascii="宋体" w:hAnsi="宋体" w:eastAsia="宋体" w:cs="宋体"/>
          <w:spacing w:val="14"/>
          <w:sz w:val="20"/>
          <w:szCs w:val="20"/>
        </w:rPr>
        <w:t>B</w:t>
      </w:r>
      <w:r>
        <w:rPr>
          <w:rFonts w:ascii="宋体" w:hAnsi="宋体" w:eastAsia="宋体" w:cs="宋体"/>
          <w:spacing w:val="-35"/>
          <w:sz w:val="20"/>
          <w:szCs w:val="20"/>
        </w:rPr>
        <w:t xml:space="preserve"> </w:t>
      </w:r>
      <w:r>
        <w:rPr>
          <w:rFonts w:ascii="宋体" w:hAnsi="宋体" w:eastAsia="宋体" w:cs="宋体"/>
          <w:spacing w:val="14"/>
          <w:sz w:val="20"/>
          <w:szCs w:val="20"/>
        </w:rPr>
        <w:t>和三位阿拉伯数字组成，并应从</w:t>
      </w:r>
      <w:r>
        <w:rPr>
          <w:rFonts w:ascii="宋体" w:hAnsi="宋体" w:eastAsia="宋体" w:cs="宋体"/>
          <w:spacing w:val="-41"/>
          <w:sz w:val="20"/>
          <w:szCs w:val="20"/>
        </w:rPr>
        <w:t xml:space="preserve"> </w:t>
      </w:r>
      <w:r>
        <w:rPr>
          <w:rFonts w:ascii="宋体" w:hAnsi="宋体" w:eastAsia="宋体" w:cs="宋体"/>
          <w:sz w:val="20"/>
          <w:szCs w:val="20"/>
        </w:rPr>
        <w:t>XXB</w:t>
      </w:r>
      <w:r>
        <w:rPr>
          <w:rFonts w:ascii="宋体" w:hAnsi="宋体" w:eastAsia="宋体" w:cs="宋体"/>
          <w:spacing w:val="14"/>
          <w:sz w:val="20"/>
          <w:szCs w:val="20"/>
        </w:rPr>
        <w:t>001起顺序编制，同一招标工程的项</w:t>
      </w:r>
      <w:r>
        <w:rPr>
          <w:rFonts w:ascii="宋体" w:hAnsi="宋体" w:eastAsia="宋体" w:cs="宋体"/>
          <w:spacing w:val="9"/>
          <w:sz w:val="20"/>
          <w:szCs w:val="20"/>
        </w:rPr>
        <w:t>目不得重码。补充的工程量清单需附有补充项目的名称、项目特征、计量单位、工程量计算规则、</w:t>
      </w:r>
    </w:p>
    <w:p>
      <w:pPr>
        <w:spacing w:line="355" w:lineRule="auto"/>
        <w:rPr>
          <w:rFonts w:ascii="宋体" w:hAnsi="宋体" w:eastAsia="宋体" w:cs="宋体"/>
          <w:sz w:val="20"/>
          <w:szCs w:val="20"/>
        </w:rPr>
        <w:sectPr>
          <w:footerReference r:id="rId26" w:type="default"/>
          <w:pgSz w:w="11905" w:h="16840"/>
          <w:pgMar w:top="1431" w:right="1253" w:bottom="1213" w:left="1418" w:header="0" w:footer="898" w:gutter="0"/>
        </w:sectPr>
      </w:pPr>
    </w:p>
    <w:p>
      <w:pPr>
        <w:spacing w:before="129" w:line="221" w:lineRule="auto"/>
        <w:ind w:left="3"/>
        <w:rPr>
          <w:rFonts w:ascii="宋体" w:hAnsi="宋体" w:eastAsia="宋体" w:cs="宋体"/>
          <w:sz w:val="20"/>
          <w:szCs w:val="20"/>
        </w:rPr>
      </w:pPr>
      <w:r>
        <w:rPr>
          <w:rFonts w:ascii="宋体" w:hAnsi="宋体" w:eastAsia="宋体" w:cs="宋体"/>
          <w:spacing w:val="9"/>
          <w:sz w:val="20"/>
          <w:szCs w:val="20"/>
        </w:rPr>
        <w:t>工作内容。不能计量的措施项目，需附有补充项目的名称、工作内容及包含范围。</w:t>
      </w:r>
    </w:p>
    <w:p>
      <w:pPr>
        <w:spacing w:before="156" w:line="278" w:lineRule="exact"/>
        <w:ind w:left="413"/>
        <w:rPr>
          <w:rFonts w:ascii="宋体" w:hAnsi="宋体" w:eastAsia="宋体" w:cs="宋体"/>
          <w:sz w:val="20"/>
          <w:szCs w:val="20"/>
        </w:rPr>
      </w:pPr>
      <w:r>
        <w:rPr>
          <w:rFonts w:ascii="宋体" w:hAnsi="宋体" w:eastAsia="宋体" w:cs="宋体"/>
          <w:spacing w:val="10"/>
          <w:position w:val="1"/>
          <w:sz w:val="20"/>
          <w:szCs w:val="20"/>
        </w:rPr>
        <w:t>（七）分部分项工程项目清单必须载明项目编码、项目名称、项目特征、计量</w:t>
      </w:r>
      <w:r>
        <w:rPr>
          <w:rFonts w:ascii="宋体" w:hAnsi="宋体" w:eastAsia="宋体" w:cs="宋体"/>
          <w:spacing w:val="9"/>
          <w:position w:val="1"/>
          <w:sz w:val="20"/>
          <w:szCs w:val="20"/>
        </w:rPr>
        <w:t>单位和工程量。</w:t>
      </w:r>
    </w:p>
    <w:p>
      <w:pPr>
        <w:spacing w:before="123" w:line="296" w:lineRule="auto"/>
        <w:ind w:left="2" w:firstLine="411"/>
        <w:rPr>
          <w:rFonts w:ascii="宋体" w:hAnsi="宋体" w:eastAsia="宋体" w:cs="宋体"/>
          <w:sz w:val="20"/>
          <w:szCs w:val="20"/>
        </w:rPr>
      </w:pPr>
      <w:r>
        <w:rPr>
          <w:rFonts w:ascii="宋体" w:hAnsi="宋体" w:eastAsia="宋体" w:cs="宋体"/>
          <w:spacing w:val="8"/>
          <w:sz w:val="20"/>
          <w:szCs w:val="20"/>
        </w:rPr>
        <w:t>（八）分部分项工程项目清单必须根据相关工程现行国家计量规范规定的项目编码、项目</w:t>
      </w:r>
      <w:r>
        <w:rPr>
          <w:rFonts w:ascii="宋体" w:hAnsi="宋体" w:eastAsia="宋体" w:cs="宋体"/>
          <w:spacing w:val="7"/>
          <w:sz w:val="20"/>
          <w:szCs w:val="20"/>
        </w:rPr>
        <w:t>名称、</w:t>
      </w:r>
      <w:r>
        <w:rPr>
          <w:rFonts w:ascii="宋体" w:hAnsi="宋体" w:eastAsia="宋体" w:cs="宋体"/>
          <w:spacing w:val="9"/>
          <w:sz w:val="20"/>
          <w:szCs w:val="20"/>
        </w:rPr>
        <w:t>项目特征、计量单位和工程量计算规则进行编制。</w:t>
      </w:r>
    </w:p>
    <w:p>
      <w:pPr>
        <w:spacing w:before="157" w:line="278" w:lineRule="exact"/>
        <w:ind w:left="413"/>
        <w:rPr>
          <w:rFonts w:ascii="宋体" w:hAnsi="宋体" w:eastAsia="宋体" w:cs="宋体"/>
          <w:sz w:val="20"/>
          <w:szCs w:val="20"/>
        </w:rPr>
      </w:pPr>
      <w:r>
        <w:rPr>
          <w:rFonts w:ascii="宋体" w:hAnsi="宋体" w:eastAsia="宋体" w:cs="宋体"/>
          <w:spacing w:val="10"/>
          <w:position w:val="1"/>
          <w:sz w:val="20"/>
          <w:szCs w:val="20"/>
        </w:rPr>
        <w:t>（九）措施项目清单必须根据相关工程现行国家计量规</w:t>
      </w:r>
      <w:r>
        <w:rPr>
          <w:rFonts w:ascii="宋体" w:hAnsi="宋体" w:eastAsia="宋体" w:cs="宋体"/>
          <w:spacing w:val="9"/>
          <w:position w:val="1"/>
          <w:sz w:val="20"/>
          <w:szCs w:val="20"/>
        </w:rPr>
        <w:t>范的规定编制。</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（十）措施项目清单应根据拟建工程的实际情况列项。</w:t>
      </w:r>
    </w:p>
    <w:p>
      <w:pPr>
        <w:spacing w:before="121" w:line="278" w:lineRule="exact"/>
        <w:ind w:left="413"/>
        <w:rPr>
          <w:rFonts w:ascii="宋体" w:hAnsi="宋体" w:eastAsia="宋体" w:cs="宋体"/>
          <w:sz w:val="20"/>
          <w:szCs w:val="20"/>
        </w:rPr>
      </w:pPr>
      <w:r>
        <w:rPr>
          <w:rFonts w:ascii="宋体" w:hAnsi="宋体" w:eastAsia="宋体" w:cs="宋体"/>
          <w:spacing w:val="9"/>
          <w:position w:val="1"/>
          <w:sz w:val="20"/>
          <w:szCs w:val="20"/>
        </w:rPr>
        <w:t>（十一）其他项目清单应按照下列内容列项：</w:t>
      </w:r>
    </w:p>
    <w:p>
      <w:pPr>
        <w:spacing w:before="123" w:line="277" w:lineRule="exact"/>
        <w:ind w:left="441"/>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17"/>
          <w:position w:val="1"/>
          <w:sz w:val="20"/>
          <w:szCs w:val="20"/>
        </w:rPr>
        <w:t xml:space="preserve"> </w:t>
      </w:r>
      <w:r>
        <w:rPr>
          <w:rFonts w:ascii="宋体" w:hAnsi="宋体" w:eastAsia="宋体" w:cs="宋体"/>
          <w:spacing w:val="-7"/>
          <w:position w:val="1"/>
          <w:sz w:val="20"/>
          <w:szCs w:val="20"/>
        </w:rPr>
        <w:t>暂列金额</w:t>
      </w:r>
    </w:p>
    <w:p>
      <w:pPr>
        <w:spacing w:before="122" w:line="364" w:lineRule="auto"/>
        <w:ind w:right="82" w:firstLine="446"/>
        <w:rPr>
          <w:rFonts w:ascii="宋体" w:hAnsi="宋体" w:eastAsia="宋体" w:cs="宋体"/>
          <w:sz w:val="20"/>
          <w:szCs w:val="20"/>
        </w:rPr>
      </w:pPr>
      <w:r>
        <w:rPr>
          <w:rFonts w:ascii="宋体" w:hAnsi="宋体" w:eastAsia="宋体" w:cs="宋体"/>
          <w:spacing w:val="10"/>
          <w:sz w:val="20"/>
          <w:szCs w:val="20"/>
        </w:rPr>
        <w:t>由招标人根据工程项目规模、范围、环境条件、资金状况等因素按分部分项工程费的</w:t>
      </w:r>
      <w:r>
        <w:rPr>
          <w:rFonts w:ascii="宋体" w:hAnsi="宋体" w:eastAsia="宋体" w:cs="宋体"/>
          <w:spacing w:val="-22"/>
          <w:sz w:val="20"/>
          <w:szCs w:val="20"/>
        </w:rPr>
        <w:t xml:space="preserve"> </w:t>
      </w:r>
      <w:r>
        <w:rPr>
          <w:rFonts w:ascii="宋体" w:hAnsi="宋体" w:eastAsia="宋体" w:cs="宋体"/>
          <w:spacing w:val="10"/>
          <w:sz w:val="20"/>
          <w:szCs w:val="20"/>
        </w:rPr>
        <w:t>10%-15%估列。该系数的计算值须在控制价总说明及暂列金额明细表中予以注明。招标文件、最高</w:t>
      </w:r>
      <w:r>
        <w:rPr>
          <w:rFonts w:ascii="宋体" w:hAnsi="宋体" w:eastAsia="宋体" w:cs="宋体"/>
          <w:spacing w:val="9"/>
          <w:sz w:val="20"/>
          <w:szCs w:val="20"/>
        </w:rPr>
        <w:t>投标限价和投标报价中的暂列金额应保持一致。</w:t>
      </w:r>
    </w:p>
    <w:p>
      <w:pPr>
        <w:spacing w:before="18" w:line="276" w:lineRule="exact"/>
        <w:ind w:left="423"/>
        <w:rPr>
          <w:rFonts w:ascii="宋体" w:hAnsi="宋体" w:eastAsia="宋体" w:cs="宋体"/>
          <w:sz w:val="20"/>
          <w:szCs w:val="20"/>
        </w:rPr>
      </w:pPr>
      <w:r>
        <w:rPr>
          <w:rFonts w:ascii="宋体" w:hAnsi="宋体" w:eastAsia="宋体" w:cs="宋体"/>
          <w:spacing w:val="-6"/>
          <w:position w:val="1"/>
          <w:sz w:val="20"/>
          <w:szCs w:val="20"/>
        </w:rPr>
        <w:t>2.</w:t>
      </w:r>
      <w:r>
        <w:rPr>
          <w:rFonts w:ascii="宋体" w:hAnsi="宋体" w:eastAsia="宋体" w:cs="宋体"/>
          <w:spacing w:val="13"/>
          <w:position w:val="1"/>
          <w:sz w:val="20"/>
          <w:szCs w:val="20"/>
        </w:rPr>
        <w:t xml:space="preserve"> </w:t>
      </w:r>
      <w:r>
        <w:rPr>
          <w:rFonts w:ascii="宋体" w:hAnsi="宋体" w:eastAsia="宋体" w:cs="宋体"/>
          <w:spacing w:val="-6"/>
          <w:position w:val="1"/>
          <w:sz w:val="20"/>
          <w:szCs w:val="20"/>
        </w:rPr>
        <w:t>暂估价</w:t>
      </w:r>
    </w:p>
    <w:p>
      <w:pPr>
        <w:spacing w:before="123" w:line="362" w:lineRule="auto"/>
        <w:ind w:right="121" w:firstLine="424"/>
        <w:rPr>
          <w:rFonts w:ascii="宋体" w:hAnsi="宋体" w:eastAsia="宋体" w:cs="宋体"/>
          <w:sz w:val="20"/>
          <w:szCs w:val="20"/>
        </w:rPr>
      </w:pPr>
      <w:r>
        <w:rPr>
          <w:rFonts w:ascii="宋体" w:hAnsi="宋体" w:eastAsia="宋体" w:cs="宋体"/>
          <w:spacing w:val="10"/>
          <w:sz w:val="20"/>
          <w:szCs w:val="20"/>
        </w:rPr>
        <w:t>暂估价包括材料暂估价、工程设备暂估单价、专业工程暂估价及特殊项目</w:t>
      </w:r>
      <w:r>
        <w:rPr>
          <w:rFonts w:ascii="宋体" w:hAnsi="宋体" w:eastAsia="宋体" w:cs="宋体"/>
          <w:spacing w:val="9"/>
          <w:sz w:val="20"/>
          <w:szCs w:val="20"/>
        </w:rPr>
        <w:t>暂估价。其中材料暂</w:t>
      </w:r>
      <w:r>
        <w:rPr>
          <w:rFonts w:ascii="宋体" w:hAnsi="宋体" w:eastAsia="宋体" w:cs="宋体"/>
          <w:spacing w:val="10"/>
          <w:sz w:val="20"/>
          <w:szCs w:val="20"/>
        </w:rPr>
        <w:t>估价是指材料价格差异大和影响工程造价大的主要材料。材料暂估价的选取，原则上有信</w:t>
      </w:r>
      <w:r>
        <w:rPr>
          <w:rFonts w:ascii="宋体" w:hAnsi="宋体" w:eastAsia="宋体" w:cs="宋体"/>
          <w:spacing w:val="9"/>
          <w:sz w:val="20"/>
          <w:szCs w:val="20"/>
        </w:rPr>
        <w:t>息价的执</w:t>
      </w:r>
      <w:r>
        <w:rPr>
          <w:rFonts w:ascii="宋体" w:hAnsi="宋体" w:eastAsia="宋体" w:cs="宋体"/>
          <w:spacing w:val="10"/>
          <w:sz w:val="20"/>
          <w:szCs w:val="20"/>
        </w:rPr>
        <w:t>行信息价，无信息价的招标人根据实际需要合理确定，暂估价应符合当前市场行情，不得</w:t>
      </w:r>
      <w:r>
        <w:rPr>
          <w:rFonts w:ascii="宋体" w:hAnsi="宋体" w:eastAsia="宋体" w:cs="宋体"/>
          <w:spacing w:val="9"/>
          <w:sz w:val="20"/>
          <w:szCs w:val="20"/>
        </w:rPr>
        <w:t>人为抬高</w:t>
      </w:r>
      <w:r>
        <w:rPr>
          <w:rFonts w:ascii="宋体" w:hAnsi="宋体" w:eastAsia="宋体" w:cs="宋体"/>
          <w:spacing w:val="7"/>
          <w:sz w:val="20"/>
          <w:szCs w:val="20"/>
        </w:rPr>
        <w:t>或压低价格。</w:t>
      </w:r>
    </w:p>
    <w:p>
      <w:pPr>
        <w:spacing w:before="31" w:line="280" w:lineRule="exact"/>
        <w:ind w:left="427"/>
        <w:rPr>
          <w:rFonts w:ascii="宋体" w:hAnsi="宋体" w:eastAsia="宋体" w:cs="宋体"/>
          <w:sz w:val="20"/>
          <w:szCs w:val="20"/>
        </w:rPr>
      </w:pPr>
      <w:r>
        <w:rPr>
          <w:rFonts w:ascii="宋体" w:hAnsi="宋体" w:eastAsia="宋体" w:cs="宋体"/>
          <w:spacing w:val="-5"/>
          <w:position w:val="1"/>
          <w:sz w:val="20"/>
          <w:szCs w:val="20"/>
        </w:rPr>
        <w:t>3.</w:t>
      </w:r>
      <w:r>
        <w:rPr>
          <w:rFonts w:ascii="宋体" w:hAnsi="宋体" w:eastAsia="宋体" w:cs="宋体"/>
          <w:spacing w:val="10"/>
          <w:position w:val="1"/>
          <w:sz w:val="20"/>
          <w:szCs w:val="20"/>
        </w:rPr>
        <w:t xml:space="preserve"> </w:t>
      </w:r>
      <w:r>
        <w:rPr>
          <w:rFonts w:ascii="宋体" w:hAnsi="宋体" w:eastAsia="宋体" w:cs="宋体"/>
          <w:spacing w:val="-5"/>
          <w:position w:val="1"/>
          <w:sz w:val="20"/>
          <w:szCs w:val="20"/>
        </w:rPr>
        <w:t>计日工。</w:t>
      </w:r>
    </w:p>
    <w:p>
      <w:pPr>
        <w:spacing w:before="121" w:line="276" w:lineRule="exact"/>
        <w:ind w:left="420"/>
        <w:rPr>
          <w:rFonts w:ascii="宋体" w:hAnsi="宋体" w:eastAsia="宋体" w:cs="宋体"/>
          <w:sz w:val="20"/>
          <w:szCs w:val="20"/>
        </w:rPr>
      </w:pPr>
      <w:r>
        <w:rPr>
          <w:rFonts w:ascii="宋体" w:hAnsi="宋体" w:eastAsia="宋体" w:cs="宋体"/>
          <w:spacing w:val="9"/>
          <w:position w:val="1"/>
          <w:sz w:val="20"/>
          <w:szCs w:val="20"/>
        </w:rPr>
        <w:t>4. 总承包服务费：按专业工程暂估价（不含设备费）的</w:t>
      </w:r>
      <w:r>
        <w:rPr>
          <w:rFonts w:ascii="宋体" w:hAnsi="宋体" w:eastAsia="宋体" w:cs="宋体"/>
          <w:spacing w:val="-38"/>
          <w:position w:val="1"/>
          <w:sz w:val="20"/>
          <w:szCs w:val="20"/>
        </w:rPr>
        <w:t xml:space="preserve"> </w:t>
      </w:r>
      <w:r>
        <w:rPr>
          <w:rFonts w:ascii="宋体" w:hAnsi="宋体" w:eastAsia="宋体" w:cs="宋体"/>
          <w:spacing w:val="9"/>
          <w:position w:val="1"/>
          <w:sz w:val="20"/>
          <w:szCs w:val="20"/>
        </w:rPr>
        <w:t>3%</w:t>
      </w:r>
      <w:r>
        <w:rPr>
          <w:rFonts w:ascii="宋体" w:hAnsi="宋体" w:eastAsia="宋体" w:cs="宋体"/>
          <w:spacing w:val="8"/>
          <w:position w:val="1"/>
          <w:sz w:val="20"/>
          <w:szCs w:val="20"/>
        </w:rPr>
        <w:t>计算。</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（十二）规费项目清单应按照下列内容列项：</w:t>
      </w:r>
    </w:p>
    <w:p>
      <w:pPr>
        <w:spacing w:before="124" w:line="368" w:lineRule="auto"/>
        <w:ind w:left="3" w:right="80"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w:t>
      </w:r>
      <w:r>
        <w:rPr>
          <w:rFonts w:ascii="宋体" w:hAnsi="宋体" w:eastAsia="宋体" w:cs="宋体"/>
          <w:spacing w:val="12"/>
          <w:sz w:val="20"/>
          <w:szCs w:val="20"/>
        </w:rPr>
        <w:t>通知》（鲁建标字〔2022〕7</w:t>
      </w:r>
      <w:r>
        <w:rPr>
          <w:rFonts w:ascii="宋体" w:hAnsi="宋体" w:eastAsia="宋体" w:cs="宋体"/>
          <w:spacing w:val="11"/>
          <w:sz w:val="20"/>
          <w:szCs w:val="20"/>
        </w:rPr>
        <w:t>号）文件执行，其中安全文明施工费费率执行山东省住房和城乡建设厅《关</w:t>
      </w:r>
      <w:r>
        <w:rPr>
          <w:rFonts w:ascii="宋体" w:hAnsi="宋体" w:eastAsia="宋体" w:cs="宋体"/>
          <w:spacing w:val="10"/>
          <w:sz w:val="20"/>
          <w:szCs w:val="20"/>
        </w:rPr>
        <w:t>于调整建设工程安全施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3" w:line="278" w:lineRule="exact"/>
        <w:ind w:left="441"/>
        <w:rPr>
          <w:rFonts w:ascii="宋体" w:hAnsi="宋体" w:eastAsia="宋体" w:cs="宋体"/>
          <w:sz w:val="20"/>
          <w:szCs w:val="20"/>
        </w:rPr>
      </w:pPr>
      <w:r>
        <w:rPr>
          <w:rFonts w:ascii="宋体" w:hAnsi="宋体" w:eastAsia="宋体" w:cs="宋体"/>
          <w:position w:val="1"/>
          <w:sz w:val="20"/>
          <w:szCs w:val="20"/>
        </w:rPr>
        <w:t>1. 安全文明施工费</w:t>
      </w:r>
    </w:p>
    <w:p>
      <w:pPr>
        <w:spacing w:before="127" w:line="220" w:lineRule="auto"/>
        <w:ind w:left="428"/>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6" w:line="277" w:lineRule="exact"/>
        <w:ind w:left="423"/>
        <w:rPr>
          <w:rFonts w:ascii="宋体" w:hAnsi="宋体" w:eastAsia="宋体" w:cs="宋体"/>
          <w:sz w:val="20"/>
          <w:szCs w:val="20"/>
        </w:rPr>
      </w:pPr>
      <w:r>
        <w:rPr>
          <w:rFonts w:ascii="宋体" w:hAnsi="宋体" w:eastAsia="宋体" w:cs="宋体"/>
          <w:position w:val="1"/>
          <w:sz w:val="20"/>
          <w:szCs w:val="20"/>
        </w:rPr>
        <w:t>2. 社会保险费</w:t>
      </w:r>
    </w:p>
    <w:p>
      <w:pPr>
        <w:spacing w:before="128" w:line="220" w:lineRule="auto"/>
        <w:ind w:left="428"/>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9" w:line="277" w:lineRule="exact"/>
        <w:ind w:left="427"/>
        <w:rPr>
          <w:rFonts w:ascii="宋体" w:hAnsi="宋体" w:eastAsia="宋体" w:cs="宋体"/>
          <w:sz w:val="20"/>
          <w:szCs w:val="20"/>
        </w:rPr>
      </w:pPr>
      <w:r>
        <w:rPr>
          <w:rFonts w:ascii="宋体" w:hAnsi="宋体" w:eastAsia="宋体" w:cs="宋体"/>
          <w:spacing w:val="2"/>
          <w:position w:val="1"/>
          <w:sz w:val="20"/>
          <w:szCs w:val="20"/>
        </w:rPr>
        <w:t>3. 建设项目工伤保险</w:t>
      </w:r>
    </w:p>
    <w:p>
      <w:pPr>
        <w:spacing w:before="125" w:line="223" w:lineRule="auto"/>
        <w:ind w:left="428"/>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5" w:line="276" w:lineRule="exact"/>
        <w:ind w:left="420"/>
        <w:rPr>
          <w:rFonts w:ascii="宋体" w:hAnsi="宋体" w:eastAsia="宋体" w:cs="宋体"/>
          <w:sz w:val="20"/>
          <w:szCs w:val="20"/>
        </w:rPr>
      </w:pPr>
      <w:r>
        <w:rPr>
          <w:rFonts w:ascii="宋体" w:hAnsi="宋体" w:eastAsia="宋体" w:cs="宋体"/>
          <w:spacing w:val="1"/>
          <w:position w:val="1"/>
          <w:sz w:val="20"/>
          <w:szCs w:val="20"/>
        </w:rPr>
        <w:t>4. 优质优价费用</w:t>
      </w:r>
    </w:p>
    <w:p>
      <w:pPr>
        <w:spacing w:before="123" w:line="368" w:lineRule="auto"/>
        <w:ind w:left="2" w:right="80"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5"/>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6" w:line="278" w:lineRule="exact"/>
        <w:ind w:left="423"/>
        <w:rPr>
          <w:rFonts w:ascii="宋体" w:hAnsi="宋体" w:eastAsia="宋体" w:cs="宋体"/>
          <w:sz w:val="20"/>
          <w:szCs w:val="20"/>
        </w:rPr>
      </w:pPr>
      <w:r>
        <w:rPr>
          <w:rFonts w:ascii="宋体" w:hAnsi="宋体" w:eastAsia="宋体" w:cs="宋体"/>
          <w:position w:val="1"/>
          <w:sz w:val="20"/>
          <w:szCs w:val="20"/>
        </w:rPr>
        <w:t>5. 住房公积金</w:t>
      </w:r>
    </w:p>
    <w:p>
      <w:pPr>
        <w:spacing w:before="122" w:line="277" w:lineRule="exact"/>
        <w:ind w:left="428"/>
        <w:rPr>
          <w:rFonts w:ascii="宋体" w:hAnsi="宋体" w:eastAsia="宋体" w:cs="宋体"/>
          <w:sz w:val="20"/>
          <w:szCs w:val="20"/>
        </w:rPr>
      </w:pPr>
      <w:r>
        <w:rPr>
          <w:rFonts w:ascii="宋体" w:hAnsi="宋体" w:eastAsia="宋体" w:cs="宋体"/>
          <w:spacing w:val="11"/>
          <w:position w:val="1"/>
          <w:sz w:val="20"/>
          <w:szCs w:val="20"/>
        </w:rPr>
        <w:t>编制最高投标限价、投标报价、工程结算时按淄博市住房和城乡建设局</w:t>
      </w:r>
      <w:r>
        <w:rPr>
          <w:rFonts w:ascii="宋体" w:hAnsi="宋体" w:eastAsia="宋体" w:cs="宋体"/>
          <w:spacing w:val="10"/>
          <w:position w:val="1"/>
          <w:sz w:val="20"/>
          <w:szCs w:val="20"/>
        </w:rPr>
        <w:t>《关于发布淄博市建设</w:t>
      </w:r>
    </w:p>
    <w:p>
      <w:pPr>
        <w:spacing w:line="277" w:lineRule="exact"/>
        <w:rPr>
          <w:rFonts w:ascii="宋体" w:hAnsi="宋体" w:eastAsia="宋体" w:cs="宋体"/>
          <w:sz w:val="20"/>
          <w:szCs w:val="20"/>
        </w:rPr>
        <w:sectPr>
          <w:footerReference r:id="rId27" w:type="default"/>
          <w:pgSz w:w="11905" w:h="16840"/>
          <w:pgMar w:top="1431" w:right="1338" w:bottom="1213" w:left="1417" w:header="0" w:footer="898" w:gutter="0"/>
        </w:sectPr>
      </w:pPr>
    </w:p>
    <w:p>
      <w:pPr>
        <w:spacing w:before="124" w:line="278" w:lineRule="exact"/>
        <w:ind w:left="3"/>
        <w:rPr>
          <w:rFonts w:ascii="宋体" w:hAnsi="宋体" w:eastAsia="宋体" w:cs="宋体"/>
          <w:sz w:val="20"/>
          <w:szCs w:val="20"/>
        </w:rPr>
      </w:pPr>
      <w:bookmarkStart w:id="22" w:name="bookmark140"/>
      <w:bookmarkEnd w:id="22"/>
      <w:r>
        <w:rPr>
          <w:rFonts w:ascii="宋体" w:hAnsi="宋体" w:eastAsia="宋体" w:cs="宋体"/>
          <w:spacing w:val="10"/>
          <w:position w:val="1"/>
          <w:sz w:val="20"/>
          <w:szCs w:val="20"/>
        </w:rPr>
        <w:t>工程规费计取标准的通知》（淄建发〔2022〕11号）文件规定执</w:t>
      </w:r>
      <w:r>
        <w:rPr>
          <w:rFonts w:ascii="宋体" w:hAnsi="宋体" w:eastAsia="宋体" w:cs="宋体"/>
          <w:spacing w:val="9"/>
          <w:position w:val="1"/>
          <w:sz w:val="20"/>
          <w:szCs w:val="20"/>
        </w:rPr>
        <w:t>行。</w:t>
      </w:r>
    </w:p>
    <w:p>
      <w:pPr>
        <w:pStyle w:val="2"/>
        <w:spacing w:before="115" w:line="209" w:lineRule="auto"/>
        <w:ind w:left="433"/>
        <w:rPr>
          <w:sz w:val="20"/>
          <w:szCs w:val="20"/>
        </w:rPr>
      </w:pPr>
      <w:r>
        <w:rPr>
          <w:spacing w:val="7"/>
          <w:sz w:val="20"/>
          <w:szCs w:val="20"/>
        </w:rPr>
        <w:t>三、最高投标限价</w:t>
      </w:r>
    </w:p>
    <w:p>
      <w:pPr>
        <w:spacing w:before="109" w:line="276" w:lineRule="exact"/>
        <w:ind w:left="413"/>
        <w:rPr>
          <w:rFonts w:ascii="宋体" w:hAnsi="宋体" w:eastAsia="宋体" w:cs="宋体"/>
          <w:sz w:val="20"/>
          <w:szCs w:val="20"/>
        </w:rPr>
      </w:pPr>
      <w:r>
        <w:rPr>
          <w:rFonts w:ascii="宋体" w:hAnsi="宋体" w:eastAsia="宋体" w:cs="宋体"/>
          <w:spacing w:val="10"/>
          <w:position w:val="1"/>
          <w:sz w:val="20"/>
          <w:szCs w:val="20"/>
        </w:rPr>
        <w:t>（一）国有资金投资的建设工程招标，招标人必须</w:t>
      </w:r>
      <w:r>
        <w:rPr>
          <w:rFonts w:ascii="宋体" w:hAnsi="宋体" w:eastAsia="宋体" w:cs="宋体"/>
          <w:spacing w:val="9"/>
          <w:position w:val="1"/>
          <w:sz w:val="20"/>
          <w:szCs w:val="20"/>
        </w:rPr>
        <w:t>编制最高投标限价。</w:t>
      </w:r>
    </w:p>
    <w:p>
      <w:pPr>
        <w:spacing w:before="124" w:line="369" w:lineRule="auto"/>
        <w:ind w:left="9" w:firstLine="413"/>
        <w:rPr>
          <w:rFonts w:ascii="宋体" w:hAnsi="宋体" w:eastAsia="宋体" w:cs="宋体"/>
          <w:sz w:val="20"/>
          <w:szCs w:val="20"/>
        </w:rPr>
      </w:pPr>
      <w:r>
        <w:rPr>
          <w:rFonts w:ascii="宋体" w:hAnsi="宋体" w:eastAsia="宋体" w:cs="宋体"/>
          <w:spacing w:val="11"/>
          <w:sz w:val="20"/>
          <w:szCs w:val="20"/>
        </w:rPr>
        <w:t>最高投标限价是指招标人根据建设主管部门颁发的有关计价依据和办法，以及拟</w:t>
      </w:r>
      <w:r>
        <w:rPr>
          <w:rFonts w:ascii="宋体" w:hAnsi="宋体" w:eastAsia="宋体" w:cs="宋体"/>
          <w:spacing w:val="10"/>
          <w:sz w:val="20"/>
          <w:szCs w:val="20"/>
        </w:rPr>
        <w:t>定的招标文件</w:t>
      </w:r>
      <w:r>
        <w:rPr>
          <w:rFonts w:ascii="宋体" w:hAnsi="宋体" w:eastAsia="宋体" w:cs="宋体"/>
          <w:spacing w:val="8"/>
          <w:sz w:val="20"/>
          <w:szCs w:val="20"/>
        </w:rPr>
        <w:t>和招标工程量清单，结合工程具体情况编制的招标工程的</w:t>
      </w:r>
      <w:r>
        <w:rPr>
          <w:rFonts w:ascii="宋体" w:hAnsi="宋体" w:eastAsia="宋体" w:cs="宋体"/>
          <w:spacing w:val="7"/>
          <w:sz w:val="20"/>
          <w:szCs w:val="20"/>
        </w:rPr>
        <w:t>最高投标限价，工程限定的最高工程造价。</w:t>
      </w:r>
    </w:p>
    <w:p>
      <w:pPr>
        <w:spacing w:before="1" w:line="331" w:lineRule="auto"/>
        <w:ind w:left="2" w:right="76" w:firstLine="411"/>
        <w:rPr>
          <w:rFonts w:ascii="宋体" w:hAnsi="宋体" w:eastAsia="宋体" w:cs="宋体"/>
          <w:sz w:val="20"/>
          <w:szCs w:val="20"/>
        </w:rPr>
      </w:pPr>
      <w:r>
        <w:rPr>
          <w:rFonts w:ascii="宋体" w:hAnsi="宋体" w:eastAsia="宋体" w:cs="宋体"/>
          <w:spacing w:val="11"/>
          <w:sz w:val="20"/>
          <w:szCs w:val="20"/>
        </w:rPr>
        <w:t>（二）最高投标限价应由具有编制能力的招标人或受其委托的工程造价咨询人编制和复核并严格按照淄建发〔2020〕205</w:t>
      </w:r>
      <w:r>
        <w:rPr>
          <w:rFonts w:ascii="宋体" w:hAnsi="宋体" w:eastAsia="宋体" w:cs="宋体"/>
          <w:spacing w:val="-37"/>
          <w:sz w:val="20"/>
          <w:szCs w:val="20"/>
        </w:rPr>
        <w:t xml:space="preserve"> </w:t>
      </w:r>
      <w:r>
        <w:rPr>
          <w:rFonts w:ascii="宋体" w:hAnsi="宋体" w:eastAsia="宋体" w:cs="宋体"/>
          <w:spacing w:val="11"/>
          <w:sz w:val="20"/>
          <w:szCs w:val="20"/>
        </w:rPr>
        <w:t>号《淄博市住房和城乡建设局关于印发淄博市建筑工程最高</w:t>
      </w:r>
      <w:r>
        <w:rPr>
          <w:rFonts w:ascii="宋体" w:hAnsi="宋体" w:eastAsia="宋体" w:cs="宋体"/>
          <w:spacing w:val="10"/>
          <w:sz w:val="20"/>
          <w:szCs w:val="20"/>
        </w:rPr>
        <w:t>投标限价备</w:t>
      </w:r>
      <w:r>
        <w:rPr>
          <w:rFonts w:ascii="宋体" w:hAnsi="宋体" w:eastAsia="宋体" w:cs="宋体"/>
          <w:spacing w:val="8"/>
          <w:sz w:val="20"/>
          <w:szCs w:val="20"/>
        </w:rPr>
        <w:t>案管理办法的通知》规定执行。</w:t>
      </w:r>
    </w:p>
    <w:p>
      <w:pPr>
        <w:spacing w:before="123" w:line="276" w:lineRule="exact"/>
        <w:ind w:left="413"/>
        <w:rPr>
          <w:rFonts w:ascii="宋体" w:hAnsi="宋体" w:eastAsia="宋体" w:cs="宋体"/>
          <w:sz w:val="20"/>
          <w:szCs w:val="20"/>
        </w:rPr>
      </w:pPr>
      <w:r>
        <w:rPr>
          <w:rFonts w:ascii="宋体" w:hAnsi="宋体" w:eastAsia="宋体" w:cs="宋体"/>
          <w:spacing w:val="9"/>
          <w:position w:val="1"/>
          <w:sz w:val="20"/>
          <w:szCs w:val="20"/>
        </w:rPr>
        <w:t>（三）最高投标限价应按照规定编制，不应上调或下浮。</w:t>
      </w:r>
    </w:p>
    <w:p>
      <w:pPr>
        <w:spacing w:before="122" w:line="276"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6"/>
          <w:position w:val="1"/>
          <w:sz w:val="20"/>
          <w:szCs w:val="20"/>
        </w:rPr>
        <w:t xml:space="preserve"> </w:t>
      </w:r>
      <w:r>
        <w:rPr>
          <w:rFonts w:ascii="宋体" w:hAnsi="宋体" w:eastAsia="宋体" w:cs="宋体"/>
          <w:spacing w:val="8"/>
          <w:position w:val="1"/>
          <w:sz w:val="20"/>
          <w:szCs w:val="20"/>
        </w:rPr>
        <w:t>四）当最高投标限价超过批准的概算时，招标人应将其报原概算审批部门审核。</w:t>
      </w:r>
    </w:p>
    <w:p>
      <w:pPr>
        <w:spacing w:before="124" w:line="297" w:lineRule="auto"/>
        <w:ind w:left="3" w:right="74" w:firstLine="410"/>
        <w:rPr>
          <w:rFonts w:ascii="宋体" w:hAnsi="宋体" w:eastAsia="宋体" w:cs="宋体"/>
          <w:sz w:val="20"/>
          <w:szCs w:val="20"/>
        </w:rPr>
      </w:pPr>
      <w:r>
        <w:rPr>
          <w:rFonts w:ascii="宋体" w:hAnsi="宋体" w:eastAsia="宋体" w:cs="宋体"/>
          <w:spacing w:val="11"/>
          <w:sz w:val="20"/>
          <w:szCs w:val="20"/>
        </w:rPr>
        <w:t>（五）招标人应在发布招标文件时公布最高投标限价，同时应将最高投标限价及有关资料报送</w:t>
      </w:r>
      <w:r>
        <w:rPr>
          <w:rFonts w:ascii="宋体" w:hAnsi="宋体" w:eastAsia="宋体" w:cs="宋体"/>
          <w:spacing w:val="9"/>
          <w:sz w:val="20"/>
          <w:szCs w:val="20"/>
        </w:rPr>
        <w:t>工程所在地或有该工程管辖权的行业管理部门工程造价管理机构备查。</w:t>
      </w:r>
    </w:p>
    <w:p>
      <w:pPr>
        <w:spacing w:before="156" w:line="277" w:lineRule="exact"/>
        <w:ind w:left="413"/>
        <w:rPr>
          <w:rFonts w:ascii="宋体" w:hAnsi="宋体" w:eastAsia="宋体" w:cs="宋体"/>
          <w:sz w:val="20"/>
          <w:szCs w:val="20"/>
        </w:rPr>
      </w:pPr>
      <w:r>
        <w:rPr>
          <w:rFonts w:ascii="宋体" w:hAnsi="宋体" w:eastAsia="宋体" w:cs="宋体"/>
          <w:spacing w:val="9"/>
          <w:position w:val="1"/>
          <w:sz w:val="20"/>
          <w:szCs w:val="20"/>
        </w:rPr>
        <w:t>（六）最高投标限价应根据下列依据编制与复核：</w:t>
      </w:r>
    </w:p>
    <w:p>
      <w:pPr>
        <w:spacing w:before="124" w:line="276" w:lineRule="exact"/>
        <w:ind w:left="441"/>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13"/>
          <w:position w:val="1"/>
          <w:sz w:val="20"/>
          <w:szCs w:val="20"/>
        </w:rPr>
        <w:t xml:space="preserve"> </w:t>
      </w:r>
      <w:r>
        <w:rPr>
          <w:rFonts w:ascii="宋体" w:hAnsi="宋体" w:eastAsia="宋体" w:cs="宋体"/>
          <w:spacing w:val="7"/>
          <w:position w:val="1"/>
          <w:sz w:val="20"/>
          <w:szCs w:val="20"/>
        </w:rPr>
        <w:t>《建设工程工程量清单计价规范》（</w:t>
      </w:r>
      <w:r>
        <w:rPr>
          <w:rFonts w:ascii="宋体" w:hAnsi="宋体" w:eastAsia="宋体" w:cs="宋体"/>
          <w:spacing w:val="-60"/>
          <w:position w:val="1"/>
          <w:sz w:val="20"/>
          <w:szCs w:val="20"/>
        </w:rPr>
        <w:t xml:space="preserve"> </w:t>
      </w:r>
      <w:r>
        <w:rPr>
          <w:rFonts w:ascii="宋体" w:hAnsi="宋体" w:eastAsia="宋体" w:cs="宋体"/>
          <w:position w:val="1"/>
          <w:sz w:val="20"/>
          <w:szCs w:val="20"/>
        </w:rPr>
        <w:t>GB</w:t>
      </w:r>
      <w:r>
        <w:rPr>
          <w:rFonts w:ascii="宋体" w:hAnsi="宋体" w:eastAsia="宋体" w:cs="宋体"/>
          <w:spacing w:val="7"/>
          <w:position w:val="1"/>
          <w:sz w:val="20"/>
          <w:szCs w:val="20"/>
        </w:rPr>
        <w:t>505</w:t>
      </w:r>
      <w:r>
        <w:rPr>
          <w:rFonts w:ascii="宋体" w:hAnsi="宋体" w:eastAsia="宋体" w:cs="宋体"/>
          <w:spacing w:val="6"/>
          <w:position w:val="1"/>
          <w:sz w:val="20"/>
          <w:szCs w:val="20"/>
        </w:rPr>
        <w:t>00-2013</w:t>
      </w:r>
      <w:r>
        <w:rPr>
          <w:rFonts w:ascii="宋体" w:hAnsi="宋体" w:eastAsia="宋体" w:cs="宋体"/>
          <w:spacing w:val="10"/>
          <w:position w:val="1"/>
          <w:sz w:val="20"/>
          <w:szCs w:val="20"/>
        </w:rPr>
        <w:t>）；</w:t>
      </w:r>
    </w:p>
    <w:p>
      <w:pPr>
        <w:spacing w:before="125" w:line="276" w:lineRule="exact"/>
        <w:ind w:left="423"/>
        <w:rPr>
          <w:rFonts w:ascii="宋体" w:hAnsi="宋体" w:eastAsia="宋体" w:cs="宋体"/>
          <w:sz w:val="20"/>
          <w:szCs w:val="20"/>
        </w:rPr>
      </w:pPr>
      <w:r>
        <w:rPr>
          <w:rFonts w:ascii="宋体" w:hAnsi="宋体" w:eastAsia="宋体" w:cs="宋体"/>
          <w:spacing w:val="6"/>
          <w:position w:val="1"/>
          <w:sz w:val="20"/>
          <w:szCs w:val="20"/>
        </w:rPr>
        <w:t>2. 建设主管部门颁发的计价定额和计价办法；</w:t>
      </w:r>
    </w:p>
    <w:p>
      <w:pPr>
        <w:spacing w:before="122" w:line="278" w:lineRule="exact"/>
        <w:ind w:left="427"/>
        <w:rPr>
          <w:rFonts w:ascii="宋体" w:hAnsi="宋体" w:eastAsia="宋体" w:cs="宋体"/>
          <w:sz w:val="20"/>
          <w:szCs w:val="20"/>
        </w:rPr>
      </w:pPr>
      <w:r>
        <w:rPr>
          <w:rFonts w:ascii="宋体" w:hAnsi="宋体" w:eastAsia="宋体" w:cs="宋体"/>
          <w:spacing w:val="4"/>
          <w:position w:val="1"/>
          <w:sz w:val="20"/>
          <w:szCs w:val="20"/>
        </w:rPr>
        <w:t>3. 建设工程设计文件及相关资料；</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4. 招标文件、招标工程量清单及其补充通知、答疑纪要等资料；</w:t>
      </w:r>
    </w:p>
    <w:p>
      <w:pPr>
        <w:spacing w:before="123" w:line="278" w:lineRule="exact"/>
        <w:ind w:left="423"/>
        <w:rPr>
          <w:rFonts w:ascii="宋体" w:hAnsi="宋体" w:eastAsia="宋体" w:cs="宋体"/>
          <w:sz w:val="20"/>
          <w:szCs w:val="20"/>
        </w:rPr>
      </w:pPr>
      <w:r>
        <w:rPr>
          <w:rFonts w:ascii="宋体" w:hAnsi="宋体" w:eastAsia="宋体" w:cs="宋体"/>
          <w:spacing w:val="6"/>
          <w:position w:val="1"/>
          <w:sz w:val="20"/>
          <w:szCs w:val="20"/>
        </w:rPr>
        <w:t>5. 与建设项目相关的标准、规范、技术资料；</w:t>
      </w:r>
    </w:p>
    <w:p>
      <w:pPr>
        <w:spacing w:before="120" w:line="277" w:lineRule="exact"/>
        <w:jc w:val="right"/>
        <w:rPr>
          <w:rFonts w:ascii="宋体" w:hAnsi="宋体" w:eastAsia="宋体" w:cs="宋体"/>
          <w:sz w:val="20"/>
          <w:szCs w:val="20"/>
        </w:rPr>
      </w:pPr>
      <w:r>
        <w:rPr>
          <w:rFonts w:ascii="宋体" w:hAnsi="宋体" w:eastAsia="宋体" w:cs="宋体"/>
          <w:spacing w:val="6"/>
          <w:position w:val="1"/>
          <w:sz w:val="20"/>
          <w:szCs w:val="20"/>
        </w:rPr>
        <w:t>6. 施工现场情况、地勘水文资料、工程特点及常规施工方案（特殊工程按拟采取的施工方案</w:t>
      </w:r>
      <w:r>
        <w:rPr>
          <w:rFonts w:ascii="宋体" w:hAnsi="宋体" w:eastAsia="宋体" w:cs="宋体"/>
          <w:spacing w:val="-22"/>
          <w:position w:val="1"/>
          <w:sz w:val="20"/>
          <w:szCs w:val="20"/>
        </w:rPr>
        <w:t>）；</w:t>
      </w:r>
    </w:p>
    <w:p>
      <w:pPr>
        <w:spacing w:before="124" w:line="276" w:lineRule="exact"/>
        <w:ind w:left="422"/>
        <w:rPr>
          <w:rFonts w:ascii="宋体" w:hAnsi="宋体" w:eastAsia="宋体" w:cs="宋体"/>
          <w:sz w:val="20"/>
          <w:szCs w:val="20"/>
        </w:rPr>
      </w:pPr>
      <w:r>
        <w:rPr>
          <w:rFonts w:ascii="宋体" w:hAnsi="宋体" w:eastAsia="宋体" w:cs="宋体"/>
          <w:spacing w:val="8"/>
          <w:position w:val="1"/>
          <w:sz w:val="20"/>
          <w:szCs w:val="20"/>
        </w:rPr>
        <w:t>7. 工程造价管理机构发布的工程造价信息，当工程造价信息没有发布时</w:t>
      </w:r>
      <w:r>
        <w:rPr>
          <w:rFonts w:ascii="宋体" w:hAnsi="宋体" w:eastAsia="宋体" w:cs="宋体"/>
          <w:spacing w:val="7"/>
          <w:position w:val="1"/>
          <w:sz w:val="20"/>
          <w:szCs w:val="20"/>
        </w:rPr>
        <w:t>，参照市场价；</w:t>
      </w:r>
    </w:p>
    <w:p>
      <w:pPr>
        <w:spacing w:before="125" w:line="279" w:lineRule="exact"/>
        <w:ind w:left="426"/>
        <w:rPr>
          <w:rFonts w:ascii="宋体" w:hAnsi="宋体" w:eastAsia="宋体" w:cs="宋体"/>
          <w:sz w:val="20"/>
          <w:szCs w:val="20"/>
        </w:rPr>
      </w:pPr>
      <w:r>
        <w:rPr>
          <w:rFonts w:ascii="宋体" w:hAnsi="宋体" w:eastAsia="宋体" w:cs="宋体"/>
          <w:spacing w:val="2"/>
          <w:position w:val="1"/>
          <w:sz w:val="20"/>
          <w:szCs w:val="20"/>
        </w:rPr>
        <w:t>8. 其他的相关资料。</w:t>
      </w:r>
    </w:p>
    <w:p>
      <w:pPr>
        <w:spacing w:before="120" w:line="368" w:lineRule="auto"/>
        <w:ind w:left="3" w:right="117" w:firstLine="419"/>
        <w:rPr>
          <w:rFonts w:ascii="宋体" w:hAnsi="宋体" w:eastAsia="宋体" w:cs="宋体"/>
          <w:sz w:val="20"/>
          <w:szCs w:val="20"/>
        </w:rPr>
      </w:pPr>
      <w:r>
        <w:rPr>
          <w:rFonts w:ascii="宋体" w:hAnsi="宋体" w:eastAsia="宋体" w:cs="宋体"/>
          <w:spacing w:val="10"/>
          <w:sz w:val="20"/>
          <w:szCs w:val="20"/>
        </w:rPr>
        <w:t>最高投标限价编制时，人工单价、机械台班单价执行省建设行政主管部门发</w:t>
      </w:r>
      <w:r>
        <w:rPr>
          <w:rFonts w:ascii="宋体" w:hAnsi="宋体" w:eastAsia="宋体" w:cs="宋体"/>
          <w:spacing w:val="9"/>
          <w:sz w:val="20"/>
          <w:szCs w:val="20"/>
        </w:rPr>
        <w:t>布的单价，材料单价按市工程造价管理部门发布的信息价格执行（无发布的，按市场价格）。</w:t>
      </w:r>
    </w:p>
    <w:p>
      <w:pPr>
        <w:spacing w:before="4" w:line="297" w:lineRule="auto"/>
        <w:ind w:left="4" w:right="77" w:firstLine="409"/>
        <w:rPr>
          <w:rFonts w:ascii="宋体" w:hAnsi="宋体" w:eastAsia="宋体" w:cs="宋体"/>
          <w:sz w:val="20"/>
          <w:szCs w:val="20"/>
        </w:rPr>
      </w:pPr>
      <w:r>
        <w:rPr>
          <w:rFonts w:ascii="宋体" w:hAnsi="宋体" w:eastAsia="宋体" w:cs="宋体"/>
          <w:spacing w:val="11"/>
          <w:sz w:val="20"/>
          <w:szCs w:val="20"/>
        </w:rPr>
        <w:t>（七）综合单价中应包括招标文件中划分的应由投标人承担的风险范围及其费用。招标文件中</w:t>
      </w:r>
      <w:r>
        <w:rPr>
          <w:rFonts w:ascii="宋体" w:hAnsi="宋体" w:eastAsia="宋体" w:cs="宋体"/>
          <w:spacing w:val="10"/>
          <w:sz w:val="20"/>
          <w:szCs w:val="20"/>
        </w:rPr>
        <w:t>没有明确的，如是工程造价咨询人编制，应提请</w:t>
      </w:r>
      <w:r>
        <w:rPr>
          <w:rFonts w:ascii="宋体" w:hAnsi="宋体" w:eastAsia="宋体" w:cs="宋体"/>
          <w:spacing w:val="9"/>
          <w:sz w:val="20"/>
          <w:szCs w:val="20"/>
        </w:rPr>
        <w:t>招标人明确；如是招标人编制，应予明确。</w:t>
      </w:r>
    </w:p>
    <w:p>
      <w:pPr>
        <w:spacing w:before="155" w:line="297" w:lineRule="auto"/>
        <w:ind w:left="23" w:right="77" w:firstLine="390"/>
        <w:rPr>
          <w:rFonts w:ascii="宋体" w:hAnsi="宋体" w:eastAsia="宋体" w:cs="宋体"/>
          <w:sz w:val="20"/>
          <w:szCs w:val="20"/>
        </w:rPr>
      </w:pPr>
      <w:r>
        <w:rPr>
          <w:rFonts w:ascii="宋体" w:hAnsi="宋体" w:eastAsia="宋体" w:cs="宋体"/>
          <w:spacing w:val="11"/>
          <w:sz w:val="20"/>
          <w:szCs w:val="20"/>
        </w:rPr>
        <w:t>（八）分部分项工程和措施项目中的单价项目，应根据拟定的招标文件和招标工程量清单项目</w:t>
      </w:r>
      <w:r>
        <w:rPr>
          <w:rFonts w:ascii="宋体" w:hAnsi="宋体" w:eastAsia="宋体" w:cs="宋体"/>
          <w:spacing w:val="8"/>
          <w:sz w:val="20"/>
          <w:szCs w:val="20"/>
        </w:rPr>
        <w:t>中的特征描述及有关要求确定综合单价计算。</w:t>
      </w:r>
    </w:p>
    <w:p>
      <w:pPr>
        <w:spacing w:before="156" w:line="276" w:lineRule="exact"/>
        <w:ind w:left="413"/>
        <w:rPr>
          <w:rFonts w:ascii="宋体" w:hAnsi="宋体" w:eastAsia="宋体" w:cs="宋体"/>
          <w:sz w:val="20"/>
          <w:szCs w:val="20"/>
        </w:rPr>
      </w:pPr>
      <w:r>
        <w:rPr>
          <w:rFonts w:ascii="宋体" w:hAnsi="宋体" w:eastAsia="宋体" w:cs="宋体"/>
          <w:spacing w:val="10"/>
          <w:position w:val="1"/>
          <w:sz w:val="20"/>
          <w:szCs w:val="20"/>
        </w:rPr>
        <w:t>（九）措施项目中的总价项目应根据拟定的招标文件和常规施工</w:t>
      </w:r>
      <w:r>
        <w:rPr>
          <w:rFonts w:ascii="宋体" w:hAnsi="宋体" w:eastAsia="宋体" w:cs="宋体"/>
          <w:spacing w:val="9"/>
          <w:position w:val="1"/>
          <w:sz w:val="20"/>
          <w:szCs w:val="20"/>
        </w:rPr>
        <w:t>方案按规定计价。</w:t>
      </w:r>
    </w:p>
    <w:p>
      <w:pPr>
        <w:spacing w:before="125" w:line="276" w:lineRule="exact"/>
        <w:ind w:left="413"/>
        <w:rPr>
          <w:rFonts w:ascii="宋体" w:hAnsi="宋体" w:eastAsia="宋体" w:cs="宋体"/>
          <w:sz w:val="20"/>
          <w:szCs w:val="20"/>
        </w:rPr>
      </w:pPr>
      <w:r>
        <w:rPr>
          <w:rFonts w:ascii="宋体" w:hAnsi="宋体" w:eastAsia="宋体" w:cs="宋体"/>
          <w:spacing w:val="9"/>
          <w:position w:val="1"/>
          <w:sz w:val="20"/>
          <w:szCs w:val="20"/>
        </w:rPr>
        <w:t>（十）其他项目应按下列规定计价：</w:t>
      </w:r>
    </w:p>
    <w:p>
      <w:pPr>
        <w:spacing w:before="125" w:line="277" w:lineRule="exact"/>
        <w:ind w:left="441"/>
        <w:rPr>
          <w:rFonts w:ascii="宋体" w:hAnsi="宋体" w:eastAsia="宋体" w:cs="宋体"/>
          <w:sz w:val="20"/>
          <w:szCs w:val="20"/>
        </w:rPr>
      </w:pPr>
      <w:r>
        <w:rPr>
          <w:rFonts w:ascii="宋体" w:hAnsi="宋体" w:eastAsia="宋体" w:cs="宋体"/>
          <w:spacing w:val="6"/>
          <w:position w:val="1"/>
          <w:sz w:val="20"/>
          <w:szCs w:val="20"/>
        </w:rPr>
        <w:t>1. 暂列金额应按招标工程量清单中列出的金</w:t>
      </w:r>
      <w:r>
        <w:rPr>
          <w:rFonts w:ascii="宋体" w:hAnsi="宋体" w:eastAsia="宋体" w:cs="宋体"/>
          <w:spacing w:val="5"/>
          <w:position w:val="1"/>
          <w:sz w:val="20"/>
          <w:szCs w:val="20"/>
        </w:rPr>
        <w:t>额填写；</w:t>
      </w:r>
    </w:p>
    <w:p>
      <w:pPr>
        <w:spacing w:before="121" w:line="276" w:lineRule="exact"/>
        <w:ind w:left="423"/>
        <w:rPr>
          <w:rFonts w:ascii="宋体" w:hAnsi="宋体" w:eastAsia="宋体" w:cs="宋体"/>
          <w:sz w:val="20"/>
          <w:szCs w:val="20"/>
        </w:rPr>
      </w:pPr>
      <w:r>
        <w:rPr>
          <w:rFonts w:ascii="宋体" w:hAnsi="宋体" w:eastAsia="宋体" w:cs="宋体"/>
          <w:spacing w:val="8"/>
          <w:position w:val="1"/>
          <w:sz w:val="20"/>
          <w:szCs w:val="20"/>
        </w:rPr>
        <w:t>2. 暂估价中的材料、工程设备单价应按招标工程量清单中列出的</w:t>
      </w:r>
      <w:r>
        <w:rPr>
          <w:rFonts w:ascii="宋体" w:hAnsi="宋体" w:eastAsia="宋体" w:cs="宋体"/>
          <w:spacing w:val="7"/>
          <w:position w:val="1"/>
          <w:sz w:val="20"/>
          <w:szCs w:val="20"/>
        </w:rPr>
        <w:t>单价计入综合单价；</w:t>
      </w:r>
    </w:p>
    <w:p>
      <w:pPr>
        <w:spacing w:before="124" w:line="321" w:lineRule="auto"/>
        <w:ind w:right="77" w:firstLine="427"/>
        <w:rPr>
          <w:rFonts w:ascii="宋体" w:hAnsi="宋体" w:eastAsia="宋体" w:cs="宋体"/>
          <w:sz w:val="20"/>
          <w:szCs w:val="20"/>
        </w:rPr>
      </w:pPr>
      <w:r>
        <w:rPr>
          <w:rFonts w:ascii="宋体" w:hAnsi="宋体" w:eastAsia="宋体" w:cs="宋体"/>
          <w:spacing w:val="8"/>
          <w:sz w:val="20"/>
          <w:szCs w:val="20"/>
        </w:rPr>
        <w:t>3. 发包人发包的专业工程暂估价不计入其它项目费合计中，仅作为计取总承包服务</w:t>
      </w:r>
      <w:r>
        <w:rPr>
          <w:rFonts w:ascii="宋体" w:hAnsi="宋体" w:eastAsia="宋体" w:cs="宋体"/>
          <w:spacing w:val="7"/>
          <w:sz w:val="20"/>
          <w:szCs w:val="20"/>
        </w:rPr>
        <w:t>费的基础。</w:t>
      </w:r>
      <w:r>
        <w:rPr>
          <w:rFonts w:ascii="宋体" w:hAnsi="宋体" w:eastAsia="宋体" w:cs="宋体"/>
          <w:spacing w:val="11"/>
          <w:sz w:val="20"/>
          <w:szCs w:val="20"/>
        </w:rPr>
        <w:t>承包人分包的专业工程暂估价计入其它项目费合计中；特殊项目暂估价按招标人在</w:t>
      </w:r>
      <w:r>
        <w:rPr>
          <w:rFonts w:ascii="宋体" w:hAnsi="宋体" w:eastAsia="宋体" w:cs="宋体"/>
          <w:spacing w:val="10"/>
          <w:sz w:val="20"/>
          <w:szCs w:val="20"/>
        </w:rPr>
        <w:t>清单中列出的暂</w:t>
      </w:r>
      <w:r>
        <w:rPr>
          <w:rFonts w:ascii="宋体" w:hAnsi="宋体" w:eastAsia="宋体" w:cs="宋体"/>
          <w:spacing w:val="9"/>
          <w:sz w:val="20"/>
          <w:szCs w:val="20"/>
        </w:rPr>
        <w:t>估金额计列，计入其它项目费合计。</w:t>
      </w:r>
    </w:p>
    <w:p>
      <w:pPr>
        <w:spacing w:before="158" w:line="276" w:lineRule="exact"/>
        <w:ind w:left="420"/>
        <w:rPr>
          <w:rFonts w:ascii="宋体" w:hAnsi="宋体" w:eastAsia="宋体" w:cs="宋体"/>
          <w:sz w:val="20"/>
          <w:szCs w:val="20"/>
        </w:rPr>
      </w:pPr>
      <w:r>
        <w:rPr>
          <w:rFonts w:ascii="宋体" w:hAnsi="宋体" w:eastAsia="宋体" w:cs="宋体"/>
          <w:spacing w:val="8"/>
          <w:position w:val="1"/>
          <w:sz w:val="20"/>
          <w:szCs w:val="20"/>
        </w:rPr>
        <w:t>4. 计日工应按招标工程量清单中列出的项目根据工程特点和有关计价依据确定综合单价计算；</w:t>
      </w:r>
    </w:p>
    <w:p>
      <w:pPr>
        <w:spacing w:line="276" w:lineRule="exact"/>
        <w:rPr>
          <w:rFonts w:ascii="宋体" w:hAnsi="宋体" w:eastAsia="宋体" w:cs="宋体"/>
          <w:sz w:val="20"/>
          <w:szCs w:val="20"/>
        </w:rPr>
        <w:sectPr>
          <w:footerReference r:id="rId28" w:type="default"/>
          <w:pgSz w:w="11905" w:h="16840"/>
          <w:pgMar w:top="1431" w:right="1342" w:bottom="1213" w:left="1417" w:header="0" w:footer="898" w:gutter="0"/>
        </w:sectPr>
      </w:pPr>
    </w:p>
    <w:p>
      <w:pPr>
        <w:spacing w:before="124" w:line="276" w:lineRule="exact"/>
        <w:ind w:left="423"/>
        <w:rPr>
          <w:rFonts w:ascii="宋体" w:hAnsi="宋体" w:eastAsia="宋体" w:cs="宋体"/>
          <w:sz w:val="20"/>
          <w:szCs w:val="20"/>
        </w:rPr>
      </w:pPr>
      <w:r>
        <w:rPr>
          <w:rFonts w:ascii="宋体" w:hAnsi="宋体" w:eastAsia="宋体" w:cs="宋体"/>
          <w:spacing w:val="9"/>
          <w:position w:val="1"/>
          <w:sz w:val="20"/>
          <w:szCs w:val="20"/>
        </w:rPr>
        <w:t>5. 总承包服务费应按专业工程暂估价（不含设备费）</w:t>
      </w:r>
      <w:r>
        <w:rPr>
          <w:rFonts w:ascii="宋体" w:hAnsi="宋体" w:eastAsia="宋体" w:cs="宋体"/>
          <w:spacing w:val="8"/>
          <w:position w:val="1"/>
          <w:sz w:val="20"/>
          <w:szCs w:val="20"/>
        </w:rPr>
        <w:t>的</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3%计算。</w:t>
      </w:r>
    </w:p>
    <w:p>
      <w:pPr>
        <w:spacing w:before="125" w:line="352" w:lineRule="auto"/>
        <w:ind w:firstLine="413"/>
        <w:rPr>
          <w:rFonts w:ascii="宋体" w:hAnsi="宋体" w:eastAsia="宋体" w:cs="宋体"/>
          <w:sz w:val="20"/>
          <w:szCs w:val="20"/>
        </w:rPr>
      </w:pPr>
      <w:r>
        <w:rPr>
          <w:rFonts w:ascii="宋体" w:hAnsi="宋体" w:eastAsia="宋体" w:cs="宋体"/>
          <w:spacing w:val="11"/>
          <w:sz w:val="20"/>
          <w:szCs w:val="20"/>
        </w:rPr>
        <w:t>（十一）规费（含安全文明施工费）和税金必须按国家或省级、市级建设行政主管部门的规定</w:t>
      </w:r>
      <w:r>
        <w:rPr>
          <w:rFonts w:ascii="宋体" w:hAnsi="宋体" w:eastAsia="宋体" w:cs="宋体"/>
          <w:spacing w:val="8"/>
          <w:sz w:val="20"/>
          <w:szCs w:val="20"/>
        </w:rPr>
        <w:t>计算，不得作为竞争性费用。</w:t>
      </w:r>
    </w:p>
    <w:p>
      <w:pPr>
        <w:spacing w:before="35" w:line="367" w:lineRule="auto"/>
        <w:ind w:left="3" w:firstLine="416"/>
        <w:rPr>
          <w:rFonts w:ascii="宋体" w:hAnsi="宋体" w:eastAsia="宋体" w:cs="宋体"/>
          <w:sz w:val="20"/>
          <w:szCs w:val="20"/>
        </w:rPr>
      </w:pPr>
      <w:r>
        <w:rPr>
          <w:rFonts w:ascii="宋体" w:hAnsi="宋体" w:eastAsia="宋体" w:cs="宋体"/>
          <w:spacing w:val="11"/>
          <w:sz w:val="20"/>
          <w:szCs w:val="20"/>
        </w:rPr>
        <w:t>参与最高投标限价改革的试点项目按淄博市住房和城乡建设局《关于印发〈最高</w:t>
      </w:r>
      <w:r>
        <w:rPr>
          <w:rFonts w:ascii="宋体" w:hAnsi="宋体" w:eastAsia="宋体" w:cs="宋体"/>
          <w:spacing w:val="10"/>
          <w:sz w:val="20"/>
          <w:szCs w:val="20"/>
        </w:rPr>
        <w:t>投标限价编制改革试点工作方案〉的通知》（淄建发〔2022〕111</w:t>
      </w:r>
      <w:r>
        <w:rPr>
          <w:rFonts w:ascii="宋体" w:hAnsi="宋体" w:eastAsia="宋体" w:cs="宋体"/>
          <w:spacing w:val="9"/>
          <w:sz w:val="20"/>
          <w:szCs w:val="20"/>
        </w:rPr>
        <w:t>号）文件规定执行。</w:t>
      </w:r>
    </w:p>
    <w:p>
      <w:pPr>
        <w:pStyle w:val="2"/>
        <w:spacing w:line="209" w:lineRule="auto"/>
        <w:ind w:left="441"/>
        <w:rPr>
          <w:sz w:val="20"/>
          <w:szCs w:val="20"/>
        </w:rPr>
      </w:pPr>
      <w:r>
        <w:rPr>
          <w:spacing w:val="5"/>
          <w:sz w:val="20"/>
          <w:szCs w:val="20"/>
        </w:rPr>
        <w:t>四、投标报价</w:t>
      </w:r>
    </w:p>
    <w:p>
      <w:pPr>
        <w:spacing w:before="106" w:line="276" w:lineRule="exact"/>
        <w:ind w:left="413"/>
        <w:rPr>
          <w:rFonts w:ascii="宋体" w:hAnsi="宋体" w:eastAsia="宋体" w:cs="宋体"/>
          <w:sz w:val="20"/>
          <w:szCs w:val="20"/>
        </w:rPr>
      </w:pPr>
      <w:r>
        <w:rPr>
          <w:rFonts w:ascii="宋体" w:hAnsi="宋体" w:eastAsia="宋体" w:cs="宋体"/>
          <w:spacing w:val="10"/>
          <w:position w:val="1"/>
          <w:sz w:val="20"/>
          <w:szCs w:val="20"/>
        </w:rPr>
        <w:t>（一）投标价应由投标人或受其委托的工程造</w:t>
      </w:r>
      <w:r>
        <w:rPr>
          <w:rFonts w:ascii="宋体" w:hAnsi="宋体" w:eastAsia="宋体" w:cs="宋体"/>
          <w:spacing w:val="9"/>
          <w:position w:val="1"/>
          <w:sz w:val="20"/>
          <w:szCs w:val="20"/>
        </w:rPr>
        <w:t>价咨询人编制。</w:t>
      </w:r>
    </w:p>
    <w:p>
      <w:pPr>
        <w:spacing w:before="124" w:line="276" w:lineRule="exact"/>
        <w:ind w:left="405"/>
        <w:rPr>
          <w:rFonts w:ascii="宋体" w:hAnsi="宋体" w:eastAsia="宋体" w:cs="宋体"/>
          <w:sz w:val="20"/>
          <w:szCs w:val="20"/>
        </w:rPr>
      </w:pPr>
      <w:r>
        <w:rPr>
          <w:rFonts w:ascii="宋体" w:hAnsi="宋体" w:eastAsia="宋体" w:cs="宋体"/>
          <w:spacing w:val="9"/>
          <w:position w:val="1"/>
          <w:sz w:val="20"/>
          <w:szCs w:val="20"/>
        </w:rPr>
        <w:t>（二）投标报价不得低于工程成本。</w:t>
      </w:r>
    </w:p>
    <w:p>
      <w:pPr>
        <w:spacing w:before="124" w:line="297" w:lineRule="auto"/>
        <w:ind w:left="2" w:right="24" w:firstLine="410"/>
        <w:rPr>
          <w:rFonts w:ascii="宋体" w:hAnsi="宋体" w:eastAsia="宋体" w:cs="宋体"/>
          <w:sz w:val="20"/>
          <w:szCs w:val="20"/>
        </w:rPr>
      </w:pPr>
      <w:r>
        <w:rPr>
          <w:rFonts w:ascii="宋体" w:hAnsi="宋体" w:eastAsia="宋体" w:cs="宋体"/>
          <w:spacing w:val="10"/>
          <w:sz w:val="20"/>
          <w:szCs w:val="20"/>
        </w:rPr>
        <w:t>（三）投标人必须按招标工程量清单填报价格。项目编码、项目名称、项目特征、计量单位、</w:t>
      </w:r>
      <w:r>
        <w:rPr>
          <w:rFonts w:ascii="宋体" w:hAnsi="宋体" w:eastAsia="宋体" w:cs="宋体"/>
          <w:spacing w:val="9"/>
          <w:sz w:val="20"/>
          <w:szCs w:val="20"/>
        </w:rPr>
        <w:t>工程量必须与招标工程量清单一致。</w:t>
      </w:r>
    </w:p>
    <w:p>
      <w:pPr>
        <w:spacing w:before="157" w:line="276"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26"/>
          <w:position w:val="1"/>
          <w:sz w:val="20"/>
          <w:szCs w:val="20"/>
        </w:rPr>
        <w:t xml:space="preserve"> </w:t>
      </w:r>
      <w:r>
        <w:rPr>
          <w:rFonts w:ascii="宋体" w:hAnsi="宋体" w:eastAsia="宋体" w:cs="宋体"/>
          <w:spacing w:val="7"/>
          <w:position w:val="1"/>
          <w:sz w:val="20"/>
          <w:szCs w:val="20"/>
        </w:rPr>
        <w:t>四）投标人的投标报价高于最高投标限价的应否决其投标。</w:t>
      </w:r>
    </w:p>
    <w:p>
      <w:pPr>
        <w:spacing w:before="124" w:line="277" w:lineRule="exact"/>
        <w:ind w:left="413"/>
        <w:rPr>
          <w:rFonts w:ascii="宋体" w:hAnsi="宋体" w:eastAsia="宋体" w:cs="宋体"/>
          <w:sz w:val="20"/>
          <w:szCs w:val="20"/>
        </w:rPr>
      </w:pPr>
      <w:r>
        <w:rPr>
          <w:rFonts w:ascii="宋体" w:hAnsi="宋体" w:eastAsia="宋体" w:cs="宋体"/>
          <w:spacing w:val="10"/>
          <w:position w:val="1"/>
          <w:sz w:val="20"/>
          <w:szCs w:val="20"/>
        </w:rPr>
        <w:t>（五）投标报价应根据下列依据编制和复核</w:t>
      </w:r>
    </w:p>
    <w:p>
      <w:pPr>
        <w:spacing w:before="122" w:line="276" w:lineRule="exact"/>
        <w:ind w:left="440"/>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13"/>
          <w:position w:val="1"/>
          <w:sz w:val="20"/>
          <w:szCs w:val="20"/>
        </w:rPr>
        <w:t xml:space="preserve"> </w:t>
      </w:r>
      <w:r>
        <w:rPr>
          <w:rFonts w:ascii="宋体" w:hAnsi="宋体" w:eastAsia="宋体" w:cs="宋体"/>
          <w:spacing w:val="7"/>
          <w:position w:val="1"/>
          <w:sz w:val="20"/>
          <w:szCs w:val="20"/>
        </w:rPr>
        <w:t>《建设工程工程量清单计价规范》（</w:t>
      </w:r>
      <w:r>
        <w:rPr>
          <w:rFonts w:ascii="宋体" w:hAnsi="宋体" w:eastAsia="宋体" w:cs="宋体"/>
          <w:spacing w:val="-60"/>
          <w:position w:val="1"/>
          <w:sz w:val="20"/>
          <w:szCs w:val="20"/>
        </w:rPr>
        <w:t xml:space="preserve"> </w:t>
      </w:r>
      <w:r>
        <w:rPr>
          <w:rFonts w:ascii="宋体" w:hAnsi="宋体" w:eastAsia="宋体" w:cs="宋体"/>
          <w:position w:val="1"/>
          <w:sz w:val="20"/>
          <w:szCs w:val="20"/>
        </w:rPr>
        <w:t>GB</w:t>
      </w:r>
      <w:r>
        <w:rPr>
          <w:rFonts w:ascii="宋体" w:hAnsi="宋体" w:eastAsia="宋体" w:cs="宋体"/>
          <w:spacing w:val="7"/>
          <w:position w:val="1"/>
          <w:sz w:val="20"/>
          <w:szCs w:val="20"/>
        </w:rPr>
        <w:t>505</w:t>
      </w:r>
      <w:r>
        <w:rPr>
          <w:rFonts w:ascii="宋体" w:hAnsi="宋体" w:eastAsia="宋体" w:cs="宋体"/>
          <w:spacing w:val="6"/>
          <w:position w:val="1"/>
          <w:sz w:val="20"/>
          <w:szCs w:val="20"/>
        </w:rPr>
        <w:t>00-2013</w:t>
      </w:r>
      <w:r>
        <w:rPr>
          <w:rFonts w:ascii="宋体" w:hAnsi="宋体" w:eastAsia="宋体" w:cs="宋体"/>
          <w:spacing w:val="10"/>
          <w:position w:val="1"/>
          <w:sz w:val="20"/>
          <w:szCs w:val="20"/>
        </w:rPr>
        <w:t>）；</w:t>
      </w:r>
    </w:p>
    <w:p>
      <w:pPr>
        <w:spacing w:before="125" w:line="276" w:lineRule="exact"/>
        <w:ind w:left="423"/>
        <w:rPr>
          <w:rFonts w:ascii="宋体" w:hAnsi="宋体" w:eastAsia="宋体" w:cs="宋体"/>
          <w:sz w:val="20"/>
          <w:szCs w:val="20"/>
        </w:rPr>
      </w:pPr>
      <w:r>
        <w:rPr>
          <w:rFonts w:ascii="宋体" w:hAnsi="宋体" w:eastAsia="宋体" w:cs="宋体"/>
          <w:spacing w:val="6"/>
          <w:position w:val="1"/>
          <w:sz w:val="20"/>
          <w:szCs w:val="20"/>
        </w:rPr>
        <w:t>2. 建设主管部门颁发的计价定额和计价办法；</w:t>
      </w:r>
    </w:p>
    <w:p>
      <w:pPr>
        <w:spacing w:before="124" w:line="278" w:lineRule="exact"/>
        <w:ind w:left="426"/>
        <w:rPr>
          <w:rFonts w:ascii="宋体" w:hAnsi="宋体" w:eastAsia="宋体" w:cs="宋体"/>
          <w:sz w:val="20"/>
          <w:szCs w:val="20"/>
        </w:rPr>
      </w:pPr>
      <w:r>
        <w:rPr>
          <w:rFonts w:ascii="宋体" w:hAnsi="宋体" w:eastAsia="宋体" w:cs="宋体"/>
          <w:spacing w:val="-3"/>
          <w:position w:val="1"/>
          <w:sz w:val="20"/>
          <w:szCs w:val="20"/>
        </w:rPr>
        <w:t>3.</w:t>
      </w:r>
      <w:r>
        <w:rPr>
          <w:rFonts w:ascii="宋体" w:hAnsi="宋体" w:eastAsia="宋体" w:cs="宋体"/>
          <w:spacing w:val="11"/>
          <w:position w:val="1"/>
          <w:sz w:val="20"/>
          <w:szCs w:val="20"/>
        </w:rPr>
        <w:t xml:space="preserve"> </w:t>
      </w:r>
      <w:r>
        <w:rPr>
          <w:rFonts w:ascii="宋体" w:hAnsi="宋体" w:eastAsia="宋体" w:cs="宋体"/>
          <w:spacing w:val="-3"/>
          <w:position w:val="1"/>
          <w:sz w:val="20"/>
          <w:szCs w:val="20"/>
        </w:rPr>
        <w:t>企业定额；</w:t>
      </w:r>
    </w:p>
    <w:p>
      <w:pPr>
        <w:spacing w:before="121" w:line="278" w:lineRule="exact"/>
        <w:ind w:left="420"/>
        <w:rPr>
          <w:rFonts w:ascii="宋体" w:hAnsi="宋体" w:eastAsia="宋体" w:cs="宋体"/>
          <w:sz w:val="20"/>
          <w:szCs w:val="20"/>
        </w:rPr>
      </w:pPr>
      <w:r>
        <w:rPr>
          <w:rFonts w:ascii="宋体" w:hAnsi="宋体" w:eastAsia="宋体" w:cs="宋体"/>
          <w:spacing w:val="7"/>
          <w:position w:val="1"/>
          <w:sz w:val="20"/>
          <w:szCs w:val="20"/>
        </w:rPr>
        <w:t>4. 招标文件、招标工程量清单及其补充通知、答疑</w:t>
      </w:r>
      <w:r>
        <w:rPr>
          <w:rFonts w:ascii="宋体" w:hAnsi="宋体" w:eastAsia="宋体" w:cs="宋体"/>
          <w:spacing w:val="6"/>
          <w:position w:val="1"/>
          <w:sz w:val="20"/>
          <w:szCs w:val="20"/>
        </w:rPr>
        <w:t>纪要；</w:t>
      </w:r>
    </w:p>
    <w:p>
      <w:pPr>
        <w:spacing w:before="123" w:line="277" w:lineRule="exact"/>
        <w:ind w:left="423"/>
        <w:rPr>
          <w:rFonts w:ascii="宋体" w:hAnsi="宋体" w:eastAsia="宋体" w:cs="宋体"/>
          <w:sz w:val="20"/>
          <w:szCs w:val="20"/>
        </w:rPr>
      </w:pPr>
      <w:r>
        <w:rPr>
          <w:rFonts w:ascii="宋体" w:hAnsi="宋体" w:eastAsia="宋体" w:cs="宋体"/>
          <w:spacing w:val="4"/>
          <w:position w:val="1"/>
          <w:sz w:val="20"/>
          <w:szCs w:val="20"/>
        </w:rPr>
        <w:t>5. 建设工程设计文件及相关资料；</w:t>
      </w:r>
    </w:p>
    <w:p>
      <w:pPr>
        <w:spacing w:before="123" w:line="277" w:lineRule="exact"/>
        <w:ind w:left="423"/>
        <w:rPr>
          <w:rFonts w:ascii="宋体" w:hAnsi="宋体" w:eastAsia="宋体" w:cs="宋体"/>
          <w:sz w:val="20"/>
          <w:szCs w:val="20"/>
        </w:rPr>
      </w:pPr>
      <w:r>
        <w:rPr>
          <w:rFonts w:ascii="宋体" w:hAnsi="宋体" w:eastAsia="宋体" w:cs="宋体"/>
          <w:spacing w:val="7"/>
          <w:position w:val="1"/>
          <w:sz w:val="20"/>
          <w:szCs w:val="20"/>
        </w:rPr>
        <w:t>6. 施工现场情况、工程特点及投标时拟定的施工组织设计或施工方案；</w:t>
      </w:r>
    </w:p>
    <w:p>
      <w:pPr>
        <w:spacing w:before="122" w:line="278" w:lineRule="exact"/>
        <w:ind w:left="421"/>
        <w:rPr>
          <w:rFonts w:ascii="宋体" w:hAnsi="宋体" w:eastAsia="宋体" w:cs="宋体"/>
          <w:sz w:val="20"/>
          <w:szCs w:val="20"/>
        </w:rPr>
      </w:pPr>
      <w:r>
        <w:rPr>
          <w:rFonts w:ascii="宋体" w:hAnsi="宋体" w:eastAsia="宋体" w:cs="宋体"/>
          <w:spacing w:val="6"/>
          <w:position w:val="1"/>
          <w:sz w:val="20"/>
          <w:szCs w:val="20"/>
        </w:rPr>
        <w:t>7. 与建设项目相关的标准、规范等技术资料；</w:t>
      </w:r>
    </w:p>
    <w:p>
      <w:pPr>
        <w:spacing w:before="123" w:line="276" w:lineRule="exact"/>
        <w:ind w:left="425"/>
        <w:rPr>
          <w:rFonts w:ascii="宋体" w:hAnsi="宋体" w:eastAsia="宋体" w:cs="宋体"/>
          <w:sz w:val="20"/>
          <w:szCs w:val="20"/>
        </w:rPr>
      </w:pPr>
      <w:r>
        <w:rPr>
          <w:rFonts w:ascii="宋体" w:hAnsi="宋体" w:eastAsia="宋体" w:cs="宋体"/>
          <w:spacing w:val="7"/>
          <w:position w:val="1"/>
          <w:sz w:val="20"/>
          <w:szCs w:val="20"/>
        </w:rPr>
        <w:t>8. 市场价格信息或工程造价管理机构发布的工</w:t>
      </w:r>
      <w:r>
        <w:rPr>
          <w:rFonts w:ascii="宋体" w:hAnsi="宋体" w:eastAsia="宋体" w:cs="宋体"/>
          <w:spacing w:val="6"/>
          <w:position w:val="1"/>
          <w:sz w:val="20"/>
          <w:szCs w:val="20"/>
        </w:rPr>
        <w:t>程造价信息；</w:t>
      </w:r>
    </w:p>
    <w:p>
      <w:pPr>
        <w:spacing w:before="124" w:line="279" w:lineRule="exact"/>
        <w:ind w:left="423"/>
        <w:rPr>
          <w:rFonts w:ascii="宋体" w:hAnsi="宋体" w:eastAsia="宋体" w:cs="宋体"/>
          <w:sz w:val="20"/>
          <w:szCs w:val="20"/>
        </w:rPr>
      </w:pPr>
      <w:r>
        <w:rPr>
          <w:rFonts w:ascii="宋体" w:hAnsi="宋体" w:eastAsia="宋体" w:cs="宋体"/>
          <w:spacing w:val="2"/>
          <w:position w:val="1"/>
          <w:sz w:val="20"/>
          <w:szCs w:val="20"/>
        </w:rPr>
        <w:t>9. 其他的相关资料。</w:t>
      </w:r>
    </w:p>
    <w:p>
      <w:pPr>
        <w:spacing w:before="120" w:line="298" w:lineRule="auto"/>
        <w:ind w:left="3" w:firstLine="409"/>
        <w:rPr>
          <w:rFonts w:ascii="宋体" w:hAnsi="宋体" w:eastAsia="宋体" w:cs="宋体"/>
          <w:sz w:val="20"/>
          <w:szCs w:val="20"/>
        </w:rPr>
      </w:pPr>
      <w:r>
        <w:rPr>
          <w:rFonts w:ascii="宋体" w:hAnsi="宋体" w:eastAsia="宋体" w:cs="宋体"/>
          <w:spacing w:val="11"/>
          <w:sz w:val="20"/>
          <w:szCs w:val="20"/>
        </w:rPr>
        <w:t>（六）综合单价中应包括招标文件中划分的应由投标人承担的风险范围及其费用，招标文件中</w:t>
      </w:r>
      <w:r>
        <w:rPr>
          <w:rFonts w:ascii="宋体" w:hAnsi="宋体" w:eastAsia="宋体" w:cs="宋体"/>
          <w:spacing w:val="8"/>
          <w:sz w:val="20"/>
          <w:szCs w:val="20"/>
        </w:rPr>
        <w:t>没有明确的，应提请招标人明确。</w:t>
      </w:r>
    </w:p>
    <w:p>
      <w:pPr>
        <w:spacing w:before="157" w:line="295" w:lineRule="auto"/>
        <w:ind w:left="3" w:firstLine="409"/>
        <w:rPr>
          <w:rFonts w:ascii="宋体" w:hAnsi="宋体" w:eastAsia="宋体" w:cs="宋体"/>
          <w:sz w:val="20"/>
          <w:szCs w:val="20"/>
        </w:rPr>
      </w:pPr>
      <w:r>
        <w:rPr>
          <w:rFonts w:ascii="宋体" w:hAnsi="宋体" w:eastAsia="宋体" w:cs="宋体"/>
          <w:spacing w:val="11"/>
          <w:sz w:val="20"/>
          <w:szCs w:val="20"/>
        </w:rPr>
        <w:t>（七）分部分项工程和措施项目中的单价项目，应根据招标文件和招标工程量清单项目中的特</w:t>
      </w:r>
      <w:r>
        <w:rPr>
          <w:rFonts w:ascii="宋体" w:hAnsi="宋体" w:eastAsia="宋体" w:cs="宋体"/>
          <w:spacing w:val="8"/>
          <w:sz w:val="20"/>
          <w:szCs w:val="20"/>
        </w:rPr>
        <w:t>征描述确定综合单价计算。</w:t>
      </w:r>
    </w:p>
    <w:p>
      <w:pPr>
        <w:spacing w:before="159" w:line="297" w:lineRule="auto"/>
        <w:ind w:left="9" w:firstLine="403"/>
        <w:rPr>
          <w:rFonts w:ascii="宋体" w:hAnsi="宋体" w:eastAsia="宋体" w:cs="宋体"/>
          <w:sz w:val="20"/>
          <w:szCs w:val="20"/>
        </w:rPr>
      </w:pPr>
      <w:r>
        <w:rPr>
          <w:rFonts w:ascii="宋体" w:hAnsi="宋体" w:eastAsia="宋体" w:cs="宋体"/>
          <w:spacing w:val="11"/>
          <w:sz w:val="20"/>
          <w:szCs w:val="20"/>
        </w:rPr>
        <w:t>（八）措施项目中的总价项目金额应根据招标文件及投标时拟定的施工组织设计或施工方案自</w:t>
      </w:r>
      <w:r>
        <w:rPr>
          <w:rFonts w:ascii="宋体" w:hAnsi="宋体" w:eastAsia="宋体" w:cs="宋体"/>
          <w:spacing w:val="4"/>
          <w:sz w:val="20"/>
          <w:szCs w:val="20"/>
        </w:rPr>
        <w:t>主确定。</w:t>
      </w:r>
    </w:p>
    <w:p>
      <w:pPr>
        <w:spacing w:before="156" w:line="276" w:lineRule="exact"/>
        <w:ind w:left="413"/>
        <w:rPr>
          <w:rFonts w:ascii="宋体" w:hAnsi="宋体" w:eastAsia="宋体" w:cs="宋体"/>
          <w:sz w:val="20"/>
          <w:szCs w:val="20"/>
        </w:rPr>
      </w:pPr>
      <w:r>
        <w:rPr>
          <w:rFonts w:ascii="宋体" w:hAnsi="宋体" w:eastAsia="宋体" w:cs="宋体"/>
          <w:spacing w:val="9"/>
          <w:position w:val="1"/>
          <w:sz w:val="20"/>
          <w:szCs w:val="20"/>
        </w:rPr>
        <w:t>（九）其他项目应按下列规定报价：</w:t>
      </w:r>
    </w:p>
    <w:p>
      <w:pPr>
        <w:spacing w:before="124" w:line="278" w:lineRule="exact"/>
        <w:ind w:left="440"/>
        <w:rPr>
          <w:rFonts w:ascii="宋体" w:hAnsi="宋体" w:eastAsia="宋体" w:cs="宋体"/>
          <w:sz w:val="20"/>
          <w:szCs w:val="20"/>
        </w:rPr>
      </w:pPr>
      <w:r>
        <w:rPr>
          <w:rFonts w:ascii="宋体" w:hAnsi="宋体" w:eastAsia="宋体" w:cs="宋体"/>
          <w:spacing w:val="6"/>
          <w:position w:val="1"/>
          <w:sz w:val="20"/>
          <w:szCs w:val="20"/>
        </w:rPr>
        <w:t>1. 暂列金额应按招标工程量清单中列出的金</w:t>
      </w:r>
      <w:r>
        <w:rPr>
          <w:rFonts w:ascii="宋体" w:hAnsi="宋体" w:eastAsia="宋体" w:cs="宋体"/>
          <w:spacing w:val="5"/>
          <w:position w:val="1"/>
          <w:sz w:val="20"/>
          <w:szCs w:val="20"/>
        </w:rPr>
        <w:t>额填写；</w:t>
      </w:r>
    </w:p>
    <w:p>
      <w:pPr>
        <w:spacing w:before="123" w:line="276" w:lineRule="exact"/>
        <w:ind w:left="423"/>
        <w:rPr>
          <w:rFonts w:ascii="宋体" w:hAnsi="宋体" w:eastAsia="宋体" w:cs="宋体"/>
          <w:sz w:val="20"/>
          <w:szCs w:val="20"/>
        </w:rPr>
      </w:pPr>
      <w:r>
        <w:rPr>
          <w:rFonts w:ascii="宋体" w:hAnsi="宋体" w:eastAsia="宋体" w:cs="宋体"/>
          <w:spacing w:val="7"/>
          <w:position w:val="1"/>
          <w:sz w:val="20"/>
          <w:szCs w:val="20"/>
        </w:rPr>
        <w:t>2. 材料、工程设备暂估价应按招标工程量清单中列出的单价计入综合单价；</w:t>
      </w:r>
    </w:p>
    <w:p>
      <w:pPr>
        <w:spacing w:before="121" w:line="322" w:lineRule="auto"/>
        <w:ind w:firstLine="425"/>
        <w:rPr>
          <w:rFonts w:ascii="宋体" w:hAnsi="宋体" w:eastAsia="宋体" w:cs="宋体"/>
          <w:sz w:val="20"/>
          <w:szCs w:val="20"/>
        </w:rPr>
      </w:pPr>
      <w:r>
        <w:rPr>
          <w:rFonts w:ascii="宋体" w:hAnsi="宋体" w:eastAsia="宋体" w:cs="宋体"/>
          <w:spacing w:val="8"/>
          <w:sz w:val="20"/>
          <w:szCs w:val="20"/>
        </w:rPr>
        <w:t>3. 发包人发包的专业工程暂估价不计入其它项目费合计中，仅作为计取总承包服务</w:t>
      </w:r>
      <w:r>
        <w:rPr>
          <w:rFonts w:ascii="宋体" w:hAnsi="宋体" w:eastAsia="宋体" w:cs="宋体"/>
          <w:spacing w:val="7"/>
          <w:sz w:val="20"/>
          <w:szCs w:val="20"/>
        </w:rPr>
        <w:t>费的基础。</w:t>
      </w:r>
      <w:r>
        <w:rPr>
          <w:rFonts w:ascii="宋体" w:hAnsi="宋体" w:eastAsia="宋体" w:cs="宋体"/>
          <w:spacing w:val="11"/>
          <w:sz w:val="20"/>
          <w:szCs w:val="20"/>
        </w:rPr>
        <w:t>承包人分包的专业工程暂估价应按招标人在其他项目清单中列出的金额填写；</w:t>
      </w:r>
      <w:r>
        <w:rPr>
          <w:rFonts w:ascii="宋体" w:hAnsi="宋体" w:eastAsia="宋体" w:cs="宋体"/>
          <w:spacing w:val="10"/>
          <w:sz w:val="20"/>
          <w:szCs w:val="20"/>
        </w:rPr>
        <w:t>特殊项目暂估价按招</w:t>
      </w:r>
      <w:r>
        <w:rPr>
          <w:rFonts w:ascii="宋体" w:hAnsi="宋体" w:eastAsia="宋体" w:cs="宋体"/>
          <w:spacing w:val="9"/>
          <w:sz w:val="20"/>
          <w:szCs w:val="20"/>
        </w:rPr>
        <w:t>标人在清单中列出的暂估金额计列，计入其它项目费合计。</w:t>
      </w:r>
    </w:p>
    <w:p>
      <w:pPr>
        <w:spacing w:before="155" w:line="276" w:lineRule="exact"/>
        <w:ind w:left="420"/>
        <w:rPr>
          <w:rFonts w:ascii="宋体" w:hAnsi="宋体" w:eastAsia="宋体" w:cs="宋体"/>
          <w:sz w:val="20"/>
          <w:szCs w:val="20"/>
        </w:rPr>
      </w:pPr>
      <w:r>
        <w:rPr>
          <w:rFonts w:ascii="宋体" w:hAnsi="宋体" w:eastAsia="宋体" w:cs="宋体"/>
          <w:spacing w:val="7"/>
          <w:position w:val="1"/>
          <w:sz w:val="20"/>
          <w:szCs w:val="20"/>
        </w:rPr>
        <w:t>4. 计日工应按招标工程量清单中列出的项目和数量，</w:t>
      </w:r>
      <w:r>
        <w:rPr>
          <w:rFonts w:ascii="宋体" w:hAnsi="宋体" w:eastAsia="宋体" w:cs="宋体"/>
          <w:spacing w:val="-57"/>
          <w:position w:val="1"/>
          <w:sz w:val="20"/>
          <w:szCs w:val="20"/>
        </w:rPr>
        <w:t xml:space="preserve"> </w:t>
      </w:r>
      <w:r>
        <w:rPr>
          <w:rFonts w:ascii="宋体" w:hAnsi="宋体" w:eastAsia="宋体" w:cs="宋体"/>
          <w:spacing w:val="7"/>
          <w:position w:val="1"/>
          <w:sz w:val="20"/>
          <w:szCs w:val="20"/>
        </w:rPr>
        <w:t>自主确定综合单价并计算计日工金</w:t>
      </w:r>
      <w:r>
        <w:rPr>
          <w:rFonts w:ascii="宋体" w:hAnsi="宋体" w:eastAsia="宋体" w:cs="宋体"/>
          <w:spacing w:val="6"/>
          <w:position w:val="1"/>
          <w:sz w:val="20"/>
          <w:szCs w:val="20"/>
        </w:rPr>
        <w:t>额；</w:t>
      </w:r>
    </w:p>
    <w:p>
      <w:pPr>
        <w:spacing w:before="125" w:line="278" w:lineRule="exact"/>
        <w:ind w:left="423"/>
        <w:rPr>
          <w:rFonts w:ascii="宋体" w:hAnsi="宋体" w:eastAsia="宋体" w:cs="宋体"/>
          <w:sz w:val="20"/>
          <w:szCs w:val="20"/>
        </w:rPr>
      </w:pPr>
      <w:r>
        <w:rPr>
          <w:rFonts w:ascii="宋体" w:hAnsi="宋体" w:eastAsia="宋体" w:cs="宋体"/>
          <w:spacing w:val="8"/>
          <w:position w:val="1"/>
          <w:sz w:val="20"/>
          <w:szCs w:val="20"/>
        </w:rPr>
        <w:t>5. 总承包服务费应根据招标工程量清单中</w:t>
      </w:r>
      <w:r>
        <w:rPr>
          <w:rFonts w:ascii="宋体" w:hAnsi="宋体" w:eastAsia="宋体" w:cs="宋体"/>
          <w:spacing w:val="7"/>
          <w:position w:val="1"/>
          <w:sz w:val="20"/>
          <w:szCs w:val="20"/>
        </w:rPr>
        <w:t>列出的内容和提出的要求自主确定。</w:t>
      </w:r>
    </w:p>
    <w:p>
      <w:pPr>
        <w:spacing w:line="278" w:lineRule="exact"/>
        <w:rPr>
          <w:rFonts w:ascii="宋体" w:hAnsi="宋体" w:eastAsia="宋体" w:cs="宋体"/>
          <w:sz w:val="20"/>
          <w:szCs w:val="20"/>
        </w:rPr>
        <w:sectPr>
          <w:footerReference r:id="rId29" w:type="default"/>
          <w:pgSz w:w="11905" w:h="16840"/>
          <w:pgMar w:top="1431" w:right="1419" w:bottom="1213" w:left="1418" w:header="0" w:footer="898" w:gutter="0"/>
        </w:sectPr>
      </w:pPr>
    </w:p>
    <w:p>
      <w:pPr>
        <w:spacing w:before="124" w:line="352" w:lineRule="auto"/>
        <w:ind w:left="3" w:right="150" w:firstLine="410"/>
        <w:rPr>
          <w:rFonts w:ascii="宋体" w:hAnsi="宋体" w:eastAsia="宋体" w:cs="宋体"/>
          <w:sz w:val="20"/>
          <w:szCs w:val="20"/>
        </w:rPr>
      </w:pPr>
      <w:r>
        <w:rPr>
          <w:rFonts w:ascii="宋体" w:hAnsi="宋体" w:eastAsia="宋体" w:cs="宋体"/>
          <w:spacing w:val="10"/>
          <w:sz w:val="20"/>
          <w:szCs w:val="20"/>
        </w:rPr>
        <w:t>（十）规费（含安全文明施工费）和税金必须按国家或省级、市级建设主管部门的规定计算，</w:t>
      </w:r>
      <w:r>
        <w:rPr>
          <w:rFonts w:ascii="宋体" w:hAnsi="宋体" w:eastAsia="宋体" w:cs="宋体"/>
          <w:spacing w:val="8"/>
          <w:sz w:val="20"/>
          <w:szCs w:val="20"/>
        </w:rPr>
        <w:t>不得作为竞争性费用。</w:t>
      </w:r>
    </w:p>
    <w:p>
      <w:pPr>
        <w:pStyle w:val="2"/>
        <w:spacing w:before="32" w:line="209" w:lineRule="auto"/>
        <w:ind w:left="428"/>
        <w:rPr>
          <w:sz w:val="20"/>
          <w:szCs w:val="20"/>
        </w:rPr>
      </w:pPr>
      <w:r>
        <w:rPr>
          <w:spacing w:val="8"/>
          <w:sz w:val="20"/>
          <w:szCs w:val="20"/>
        </w:rPr>
        <w:t>五、合同价款的约定</w:t>
      </w:r>
    </w:p>
    <w:p>
      <w:pPr>
        <w:spacing w:before="106" w:line="322" w:lineRule="auto"/>
        <w:ind w:left="3" w:right="109" w:firstLine="410"/>
        <w:rPr>
          <w:rFonts w:ascii="宋体" w:hAnsi="宋体" w:eastAsia="宋体" w:cs="宋体"/>
          <w:sz w:val="20"/>
          <w:szCs w:val="20"/>
        </w:rPr>
      </w:pPr>
      <w:r>
        <w:rPr>
          <w:rFonts w:ascii="宋体" w:hAnsi="宋体" w:eastAsia="宋体" w:cs="宋体"/>
          <w:spacing w:val="8"/>
          <w:sz w:val="20"/>
          <w:szCs w:val="20"/>
        </w:rPr>
        <w:t>（一）实行招标的工程合同价款应在中标通知书发出之日起</w:t>
      </w:r>
      <w:r>
        <w:rPr>
          <w:rFonts w:ascii="宋体" w:hAnsi="宋体" w:eastAsia="宋体" w:cs="宋体"/>
          <w:spacing w:val="-38"/>
          <w:sz w:val="20"/>
          <w:szCs w:val="20"/>
        </w:rPr>
        <w:t xml:space="preserve"> </w:t>
      </w:r>
      <w:r>
        <w:rPr>
          <w:rFonts w:ascii="宋体" w:hAnsi="宋体" w:eastAsia="宋体" w:cs="宋体"/>
          <w:spacing w:val="8"/>
          <w:sz w:val="20"/>
          <w:szCs w:val="20"/>
        </w:rPr>
        <w:t>30</w:t>
      </w:r>
      <w:r>
        <w:rPr>
          <w:rFonts w:ascii="宋体" w:hAnsi="宋体" w:eastAsia="宋体" w:cs="宋体"/>
          <w:spacing w:val="-37"/>
          <w:sz w:val="20"/>
          <w:szCs w:val="20"/>
        </w:rPr>
        <w:t xml:space="preserve"> </w:t>
      </w:r>
      <w:r>
        <w:rPr>
          <w:rFonts w:ascii="宋体" w:hAnsi="宋体" w:eastAsia="宋体" w:cs="宋体"/>
          <w:spacing w:val="8"/>
          <w:sz w:val="20"/>
          <w:szCs w:val="20"/>
        </w:rPr>
        <w:t>天内，由发承</w:t>
      </w:r>
      <w:r>
        <w:rPr>
          <w:rFonts w:ascii="宋体" w:hAnsi="宋体" w:eastAsia="宋体" w:cs="宋体"/>
          <w:spacing w:val="7"/>
          <w:sz w:val="20"/>
          <w:szCs w:val="20"/>
        </w:rPr>
        <w:t>包双方依据招标文</w:t>
      </w:r>
      <w:r>
        <w:rPr>
          <w:rFonts w:ascii="宋体" w:hAnsi="宋体" w:eastAsia="宋体" w:cs="宋体"/>
          <w:spacing w:val="11"/>
          <w:sz w:val="20"/>
          <w:szCs w:val="20"/>
        </w:rPr>
        <w:t>件和中标人的投标文件在书面合同中约定。合同约定不得违背招标、投标文</w:t>
      </w:r>
      <w:r>
        <w:rPr>
          <w:rFonts w:ascii="宋体" w:hAnsi="宋体" w:eastAsia="宋体" w:cs="宋体"/>
          <w:spacing w:val="10"/>
          <w:sz w:val="20"/>
          <w:szCs w:val="20"/>
        </w:rPr>
        <w:t>件中关于工期、造价、质量等方面的实质性内容。招标文件与中标人投标</w:t>
      </w:r>
      <w:r>
        <w:rPr>
          <w:rFonts w:ascii="宋体" w:hAnsi="宋体" w:eastAsia="宋体" w:cs="宋体"/>
          <w:spacing w:val="9"/>
          <w:sz w:val="20"/>
          <w:szCs w:val="20"/>
        </w:rPr>
        <w:t>文件不一致的地方，应以投标文件为准。</w:t>
      </w:r>
    </w:p>
    <w:p>
      <w:pPr>
        <w:spacing w:before="152" w:line="298" w:lineRule="auto"/>
        <w:ind w:left="1" w:right="109" w:firstLine="412"/>
        <w:rPr>
          <w:rFonts w:ascii="宋体" w:hAnsi="宋体" w:eastAsia="宋体" w:cs="宋体"/>
          <w:sz w:val="20"/>
          <w:szCs w:val="20"/>
        </w:rPr>
      </w:pPr>
      <w:r>
        <w:rPr>
          <w:rFonts w:ascii="宋体" w:hAnsi="宋体" w:eastAsia="宋体" w:cs="宋体"/>
          <w:spacing w:val="11"/>
          <w:sz w:val="20"/>
          <w:szCs w:val="20"/>
        </w:rPr>
        <w:t>（二）不实行招标的工程合同价款，应在发承包双方认可的工程价款基础上，由发承包双方在</w:t>
      </w:r>
      <w:r>
        <w:rPr>
          <w:rFonts w:ascii="宋体" w:hAnsi="宋体" w:eastAsia="宋体" w:cs="宋体"/>
          <w:spacing w:val="7"/>
          <w:sz w:val="20"/>
          <w:szCs w:val="20"/>
        </w:rPr>
        <w:t>合同中约定。</w:t>
      </w:r>
    </w:p>
    <w:p>
      <w:pPr>
        <w:spacing w:before="155" w:line="321" w:lineRule="auto"/>
        <w:ind w:left="3" w:right="109" w:firstLine="409"/>
        <w:rPr>
          <w:rFonts w:ascii="宋体" w:hAnsi="宋体" w:eastAsia="宋体" w:cs="宋体"/>
          <w:sz w:val="20"/>
          <w:szCs w:val="20"/>
        </w:rPr>
      </w:pPr>
      <w:r>
        <w:rPr>
          <w:rFonts w:ascii="宋体" w:hAnsi="宋体" w:eastAsia="宋体" w:cs="宋体"/>
          <w:spacing w:val="11"/>
          <w:sz w:val="20"/>
          <w:szCs w:val="20"/>
        </w:rPr>
        <w:t>（三）实行工程量清单计价的工程，应采用单价合同；建设规模较小，技术难度较低，工期较短，且施工图设计已审查批准的建设工程可采用总价合同；紧急抢险、救</w:t>
      </w:r>
      <w:r>
        <w:rPr>
          <w:rFonts w:ascii="宋体" w:hAnsi="宋体" w:eastAsia="宋体" w:cs="宋体"/>
          <w:spacing w:val="10"/>
          <w:sz w:val="20"/>
          <w:szCs w:val="20"/>
        </w:rPr>
        <w:t>灾以及施工技术特别复杂</w:t>
      </w:r>
      <w:r>
        <w:rPr>
          <w:rFonts w:ascii="宋体" w:hAnsi="宋体" w:eastAsia="宋体" w:cs="宋体"/>
          <w:spacing w:val="8"/>
          <w:sz w:val="20"/>
          <w:szCs w:val="20"/>
        </w:rPr>
        <w:t>的建设工程可采用成本加酬金合同。</w:t>
      </w:r>
    </w:p>
    <w:p>
      <w:pPr>
        <w:spacing w:before="158" w:line="278"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32"/>
          <w:position w:val="1"/>
          <w:sz w:val="20"/>
          <w:szCs w:val="20"/>
        </w:rPr>
        <w:t xml:space="preserve"> </w:t>
      </w:r>
      <w:r>
        <w:rPr>
          <w:rFonts w:ascii="宋体" w:hAnsi="宋体" w:eastAsia="宋体" w:cs="宋体"/>
          <w:spacing w:val="7"/>
          <w:position w:val="1"/>
          <w:sz w:val="20"/>
          <w:szCs w:val="20"/>
        </w:rPr>
        <w:t>四）发承包双方应在合同条款中对下列事项进行约定：</w:t>
      </w:r>
    </w:p>
    <w:p>
      <w:pPr>
        <w:spacing w:before="120" w:line="278" w:lineRule="exact"/>
        <w:ind w:left="441"/>
        <w:rPr>
          <w:rFonts w:ascii="宋体" w:hAnsi="宋体" w:eastAsia="宋体" w:cs="宋体"/>
          <w:sz w:val="20"/>
          <w:szCs w:val="20"/>
        </w:rPr>
      </w:pPr>
      <w:r>
        <w:rPr>
          <w:rFonts w:ascii="宋体" w:hAnsi="宋体" w:eastAsia="宋体" w:cs="宋体"/>
          <w:spacing w:val="5"/>
          <w:position w:val="1"/>
          <w:sz w:val="20"/>
          <w:szCs w:val="20"/>
        </w:rPr>
        <w:t>1. 预付工程款的数额、支付时间及抵扣方式；</w:t>
      </w:r>
    </w:p>
    <w:p>
      <w:pPr>
        <w:spacing w:before="123" w:line="278" w:lineRule="exact"/>
        <w:ind w:left="423"/>
        <w:rPr>
          <w:rFonts w:ascii="宋体" w:hAnsi="宋体" w:eastAsia="宋体" w:cs="宋体"/>
          <w:sz w:val="20"/>
          <w:szCs w:val="20"/>
        </w:rPr>
      </w:pPr>
      <w:r>
        <w:rPr>
          <w:rFonts w:ascii="宋体" w:hAnsi="宋体" w:eastAsia="宋体" w:cs="宋体"/>
          <w:spacing w:val="6"/>
          <w:position w:val="1"/>
          <w:sz w:val="20"/>
          <w:szCs w:val="20"/>
        </w:rPr>
        <w:t>2. 安全文明施工措施的支付计划、使用要求等；</w:t>
      </w:r>
    </w:p>
    <w:p>
      <w:pPr>
        <w:spacing w:before="123" w:line="277" w:lineRule="exact"/>
        <w:ind w:left="427"/>
        <w:rPr>
          <w:rFonts w:ascii="宋体" w:hAnsi="宋体" w:eastAsia="宋体" w:cs="宋体"/>
          <w:sz w:val="20"/>
          <w:szCs w:val="20"/>
        </w:rPr>
      </w:pPr>
      <w:r>
        <w:rPr>
          <w:rFonts w:ascii="宋体" w:hAnsi="宋体" w:eastAsia="宋体" w:cs="宋体"/>
          <w:spacing w:val="6"/>
          <w:position w:val="1"/>
          <w:sz w:val="20"/>
          <w:szCs w:val="20"/>
        </w:rPr>
        <w:t>3. 工程计量与支付工程进度款的方式、数额及时间；</w:t>
      </w:r>
    </w:p>
    <w:p>
      <w:pPr>
        <w:spacing w:before="121" w:line="276" w:lineRule="exact"/>
        <w:ind w:left="420"/>
        <w:rPr>
          <w:rFonts w:ascii="宋体" w:hAnsi="宋体" w:eastAsia="宋体" w:cs="宋体"/>
          <w:sz w:val="20"/>
          <w:szCs w:val="20"/>
        </w:rPr>
      </w:pPr>
      <w:r>
        <w:rPr>
          <w:rFonts w:ascii="宋体" w:hAnsi="宋体" w:eastAsia="宋体" w:cs="宋体"/>
          <w:spacing w:val="6"/>
          <w:position w:val="1"/>
          <w:sz w:val="20"/>
          <w:szCs w:val="20"/>
        </w:rPr>
        <w:t>4. 工程价款的调整因素、方法、程序、支付及时间；</w:t>
      </w:r>
    </w:p>
    <w:p>
      <w:pPr>
        <w:spacing w:before="125" w:line="278" w:lineRule="exact"/>
        <w:ind w:left="423"/>
        <w:rPr>
          <w:rFonts w:ascii="宋体" w:hAnsi="宋体" w:eastAsia="宋体" w:cs="宋体"/>
          <w:sz w:val="20"/>
          <w:szCs w:val="20"/>
        </w:rPr>
      </w:pPr>
      <w:r>
        <w:rPr>
          <w:rFonts w:ascii="宋体" w:hAnsi="宋体" w:eastAsia="宋体" w:cs="宋体"/>
          <w:spacing w:val="6"/>
          <w:position w:val="1"/>
          <w:sz w:val="20"/>
          <w:szCs w:val="20"/>
        </w:rPr>
        <w:t>5. 施工索赔与现场签证的程序、金额确认与支付时间；</w:t>
      </w:r>
    </w:p>
    <w:p>
      <w:pPr>
        <w:spacing w:before="123" w:line="276" w:lineRule="exact"/>
        <w:ind w:left="424"/>
        <w:rPr>
          <w:rFonts w:ascii="宋体" w:hAnsi="宋体" w:eastAsia="宋体" w:cs="宋体"/>
          <w:sz w:val="20"/>
          <w:szCs w:val="20"/>
        </w:rPr>
      </w:pPr>
      <w:r>
        <w:rPr>
          <w:rFonts w:ascii="宋体" w:hAnsi="宋体" w:eastAsia="宋体" w:cs="宋体"/>
          <w:spacing w:val="7"/>
          <w:position w:val="1"/>
          <w:sz w:val="20"/>
          <w:szCs w:val="20"/>
        </w:rPr>
        <w:t>6. 承担计价风险的内容、范围以及超出约定内容、范围的调整办法；</w:t>
      </w:r>
    </w:p>
    <w:p>
      <w:pPr>
        <w:spacing w:before="122" w:line="276" w:lineRule="exact"/>
        <w:ind w:left="422"/>
        <w:rPr>
          <w:rFonts w:ascii="宋体" w:hAnsi="宋体" w:eastAsia="宋体" w:cs="宋体"/>
          <w:sz w:val="20"/>
          <w:szCs w:val="20"/>
        </w:rPr>
      </w:pPr>
      <w:r>
        <w:rPr>
          <w:rFonts w:ascii="宋体" w:hAnsi="宋体" w:eastAsia="宋体" w:cs="宋体"/>
          <w:spacing w:val="6"/>
          <w:position w:val="1"/>
          <w:sz w:val="20"/>
          <w:szCs w:val="20"/>
        </w:rPr>
        <w:t>7. 工程竣工价款结算编制与核对、支付及时间；</w:t>
      </w:r>
    </w:p>
    <w:p>
      <w:pPr>
        <w:spacing w:before="125" w:line="278" w:lineRule="exact"/>
        <w:ind w:left="426"/>
        <w:rPr>
          <w:rFonts w:ascii="宋体" w:hAnsi="宋体" w:eastAsia="宋体" w:cs="宋体"/>
          <w:sz w:val="20"/>
          <w:szCs w:val="20"/>
        </w:rPr>
      </w:pPr>
      <w:r>
        <w:rPr>
          <w:rFonts w:ascii="宋体" w:hAnsi="宋体" w:eastAsia="宋体" w:cs="宋体"/>
          <w:spacing w:val="6"/>
          <w:position w:val="1"/>
          <w:sz w:val="20"/>
          <w:szCs w:val="20"/>
        </w:rPr>
        <w:t>8. 工程质量保证金的数额、预留方式及时</w:t>
      </w:r>
      <w:r>
        <w:rPr>
          <w:rFonts w:ascii="宋体" w:hAnsi="宋体" w:eastAsia="宋体" w:cs="宋体"/>
          <w:spacing w:val="5"/>
          <w:position w:val="1"/>
          <w:sz w:val="20"/>
          <w:szCs w:val="20"/>
        </w:rPr>
        <w:t>间；</w:t>
      </w:r>
    </w:p>
    <w:p>
      <w:pPr>
        <w:spacing w:before="123" w:line="276" w:lineRule="exact"/>
        <w:ind w:left="423"/>
        <w:rPr>
          <w:rFonts w:ascii="宋体" w:hAnsi="宋体" w:eastAsia="宋体" w:cs="宋体"/>
          <w:sz w:val="20"/>
          <w:szCs w:val="20"/>
        </w:rPr>
      </w:pPr>
      <w:r>
        <w:rPr>
          <w:rFonts w:ascii="宋体" w:hAnsi="宋体" w:eastAsia="宋体" w:cs="宋体"/>
          <w:spacing w:val="6"/>
          <w:position w:val="1"/>
          <w:sz w:val="20"/>
          <w:szCs w:val="20"/>
        </w:rPr>
        <w:t>9. 违约责任以及发生工程价款争议的解决方法及时间；</w:t>
      </w:r>
    </w:p>
    <w:p>
      <w:pPr>
        <w:spacing w:before="122" w:line="276" w:lineRule="exact"/>
        <w:ind w:left="441"/>
        <w:rPr>
          <w:rFonts w:ascii="宋体" w:hAnsi="宋体" w:eastAsia="宋体" w:cs="宋体"/>
          <w:sz w:val="20"/>
          <w:szCs w:val="20"/>
        </w:rPr>
      </w:pPr>
      <w:r>
        <w:rPr>
          <w:rFonts w:ascii="宋体" w:hAnsi="宋体" w:eastAsia="宋体" w:cs="宋体"/>
          <w:spacing w:val="5"/>
          <w:position w:val="1"/>
          <w:sz w:val="20"/>
          <w:szCs w:val="20"/>
        </w:rPr>
        <w:t>10. 与履行合同、支付价款有关的其他事项等。</w:t>
      </w:r>
    </w:p>
    <w:p>
      <w:pPr>
        <w:spacing w:before="126" w:line="354" w:lineRule="auto"/>
        <w:ind w:firstLine="413"/>
        <w:jc w:val="both"/>
        <w:rPr>
          <w:rFonts w:ascii="宋体" w:hAnsi="宋体" w:eastAsia="宋体" w:cs="宋体"/>
          <w:sz w:val="20"/>
          <w:szCs w:val="20"/>
        </w:rPr>
      </w:pPr>
      <w:r>
        <w:rPr>
          <w:rFonts w:ascii="宋体" w:hAnsi="宋体" w:eastAsia="宋体" w:cs="宋体"/>
          <w:spacing w:val="11"/>
          <w:sz w:val="20"/>
          <w:szCs w:val="20"/>
        </w:rPr>
        <w:t>（五）合同中没有按照第</w:t>
      </w:r>
      <w:r>
        <w:rPr>
          <w:rFonts w:ascii="宋体" w:hAnsi="宋体" w:eastAsia="宋体" w:cs="宋体"/>
          <w:spacing w:val="-43"/>
          <w:sz w:val="20"/>
          <w:szCs w:val="20"/>
        </w:rPr>
        <w:t xml:space="preserve"> </w:t>
      </w:r>
      <w:r>
        <w:rPr>
          <w:rFonts w:ascii="宋体" w:hAnsi="宋体" w:eastAsia="宋体" w:cs="宋体"/>
          <w:spacing w:val="11"/>
          <w:sz w:val="20"/>
          <w:szCs w:val="20"/>
        </w:rPr>
        <w:t>4</w:t>
      </w:r>
      <w:r>
        <w:rPr>
          <w:rFonts w:ascii="宋体" w:hAnsi="宋体" w:eastAsia="宋体" w:cs="宋体"/>
          <w:spacing w:val="-43"/>
          <w:sz w:val="20"/>
          <w:szCs w:val="20"/>
        </w:rPr>
        <w:t xml:space="preserve"> </w:t>
      </w:r>
      <w:r>
        <w:rPr>
          <w:rFonts w:ascii="宋体" w:hAnsi="宋体" w:eastAsia="宋体" w:cs="宋体"/>
          <w:spacing w:val="11"/>
          <w:sz w:val="20"/>
          <w:szCs w:val="20"/>
        </w:rPr>
        <w:t>条的要求约定或约定不明确的，若发</w:t>
      </w:r>
      <w:r>
        <w:rPr>
          <w:rFonts w:ascii="宋体" w:hAnsi="宋体" w:eastAsia="宋体" w:cs="宋体"/>
          <w:spacing w:val="10"/>
          <w:sz w:val="20"/>
          <w:szCs w:val="20"/>
        </w:rPr>
        <w:t>承包双方在合同履行中发生争</w:t>
      </w:r>
      <w:r>
        <w:rPr>
          <w:rFonts w:ascii="宋体" w:hAnsi="宋体" w:eastAsia="宋体" w:cs="宋体"/>
          <w:spacing w:val="3"/>
          <w:sz w:val="20"/>
          <w:szCs w:val="20"/>
        </w:rPr>
        <w:t>议由双方协商确定；当协商不能达成一致时，应按</w:t>
      </w:r>
      <w:r>
        <w:rPr>
          <w:rFonts w:ascii="宋体" w:hAnsi="宋体" w:eastAsia="宋体" w:cs="宋体"/>
          <w:spacing w:val="2"/>
          <w:sz w:val="20"/>
          <w:szCs w:val="20"/>
        </w:rPr>
        <w:t>《建设工程工程量清单计价规范》（</w:t>
      </w:r>
      <w:r>
        <w:rPr>
          <w:rFonts w:ascii="宋体" w:hAnsi="宋体" w:eastAsia="宋体" w:cs="宋体"/>
          <w:sz w:val="20"/>
          <w:szCs w:val="20"/>
        </w:rPr>
        <w:t>GB</w:t>
      </w:r>
      <w:r>
        <w:rPr>
          <w:rFonts w:ascii="宋体" w:hAnsi="宋体" w:eastAsia="宋体" w:cs="宋体"/>
          <w:spacing w:val="-44"/>
          <w:sz w:val="20"/>
          <w:szCs w:val="20"/>
        </w:rPr>
        <w:t xml:space="preserve"> </w:t>
      </w:r>
      <w:r>
        <w:rPr>
          <w:rFonts w:ascii="宋体" w:hAnsi="宋体" w:eastAsia="宋体" w:cs="宋体"/>
          <w:spacing w:val="2"/>
          <w:sz w:val="20"/>
          <w:szCs w:val="20"/>
        </w:rPr>
        <w:t>50500-2013）</w:t>
      </w:r>
      <w:r>
        <w:rPr>
          <w:rFonts w:ascii="宋体" w:hAnsi="宋体" w:eastAsia="宋体" w:cs="宋体"/>
          <w:spacing w:val="8"/>
          <w:sz w:val="20"/>
          <w:szCs w:val="20"/>
        </w:rPr>
        <w:t>的规定及有关计价规定执行。</w:t>
      </w:r>
    </w:p>
    <w:p>
      <w:pPr>
        <w:pStyle w:val="2"/>
        <w:spacing w:before="41" w:line="210" w:lineRule="auto"/>
        <w:ind w:left="430"/>
        <w:rPr>
          <w:sz w:val="20"/>
          <w:szCs w:val="20"/>
        </w:rPr>
      </w:pPr>
      <w:r>
        <w:rPr>
          <w:spacing w:val="7"/>
          <w:sz w:val="20"/>
          <w:szCs w:val="20"/>
        </w:rPr>
        <w:t>六、工程计量</w:t>
      </w:r>
    </w:p>
    <w:p>
      <w:pPr>
        <w:spacing w:before="108" w:line="278" w:lineRule="exact"/>
        <w:ind w:left="413"/>
        <w:rPr>
          <w:rFonts w:ascii="宋体" w:hAnsi="宋体" w:eastAsia="宋体" w:cs="宋体"/>
          <w:sz w:val="20"/>
          <w:szCs w:val="20"/>
        </w:rPr>
      </w:pPr>
      <w:r>
        <w:rPr>
          <w:rFonts w:ascii="宋体" w:hAnsi="宋体" w:eastAsia="宋体" w:cs="宋体"/>
          <w:spacing w:val="10"/>
          <w:position w:val="1"/>
          <w:sz w:val="20"/>
          <w:szCs w:val="20"/>
        </w:rPr>
        <w:t>（一）工程量必须按照相关工程现行国家计量规范规定的工程量</w:t>
      </w:r>
      <w:r>
        <w:rPr>
          <w:rFonts w:ascii="宋体" w:hAnsi="宋体" w:eastAsia="宋体" w:cs="宋体"/>
          <w:spacing w:val="9"/>
          <w:position w:val="1"/>
          <w:sz w:val="20"/>
          <w:szCs w:val="20"/>
        </w:rPr>
        <w:t>计算规则计算。</w:t>
      </w:r>
    </w:p>
    <w:p>
      <w:pPr>
        <w:spacing w:before="120" w:line="278" w:lineRule="exact"/>
        <w:ind w:left="413"/>
        <w:rPr>
          <w:rFonts w:ascii="宋体" w:hAnsi="宋体" w:eastAsia="宋体" w:cs="宋体"/>
          <w:sz w:val="20"/>
          <w:szCs w:val="20"/>
        </w:rPr>
      </w:pPr>
      <w:r>
        <w:rPr>
          <w:rFonts w:ascii="宋体" w:hAnsi="宋体" w:eastAsia="宋体" w:cs="宋体"/>
          <w:spacing w:val="10"/>
          <w:position w:val="1"/>
          <w:sz w:val="20"/>
          <w:szCs w:val="20"/>
        </w:rPr>
        <w:t>（二）工程计量可选择按月或按工程形象进度分段计量，具体计量周期应</w:t>
      </w:r>
      <w:r>
        <w:rPr>
          <w:rFonts w:ascii="宋体" w:hAnsi="宋体" w:eastAsia="宋体" w:cs="宋体"/>
          <w:spacing w:val="9"/>
          <w:position w:val="1"/>
          <w:sz w:val="20"/>
          <w:szCs w:val="20"/>
        </w:rPr>
        <w:t>在合同中约定。</w:t>
      </w:r>
    </w:p>
    <w:p>
      <w:pPr>
        <w:spacing w:before="123" w:line="278" w:lineRule="exact"/>
        <w:ind w:left="413"/>
        <w:rPr>
          <w:rFonts w:ascii="宋体" w:hAnsi="宋体" w:eastAsia="宋体" w:cs="宋体"/>
          <w:sz w:val="20"/>
          <w:szCs w:val="20"/>
        </w:rPr>
      </w:pPr>
      <w:r>
        <w:rPr>
          <w:rFonts w:ascii="宋体" w:hAnsi="宋体" w:eastAsia="宋体" w:cs="宋体"/>
          <w:spacing w:val="10"/>
          <w:position w:val="1"/>
          <w:sz w:val="20"/>
          <w:szCs w:val="20"/>
        </w:rPr>
        <w:t>（三）因承包人原因造成的超出合同工程范围施工或返工的工程量，</w:t>
      </w:r>
      <w:r>
        <w:rPr>
          <w:rFonts w:ascii="宋体" w:hAnsi="宋体" w:eastAsia="宋体" w:cs="宋体"/>
          <w:spacing w:val="9"/>
          <w:position w:val="1"/>
          <w:sz w:val="20"/>
          <w:szCs w:val="20"/>
        </w:rPr>
        <w:t>发包人不予计量。</w:t>
      </w:r>
    </w:p>
    <w:p>
      <w:pPr>
        <w:spacing w:before="123" w:line="276"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36"/>
          <w:position w:val="1"/>
          <w:sz w:val="20"/>
          <w:szCs w:val="20"/>
        </w:rPr>
        <w:t xml:space="preserve"> </w:t>
      </w:r>
      <w:r>
        <w:rPr>
          <w:rFonts w:ascii="宋体" w:hAnsi="宋体" w:eastAsia="宋体" w:cs="宋体"/>
          <w:spacing w:val="4"/>
          <w:position w:val="1"/>
          <w:sz w:val="20"/>
          <w:szCs w:val="20"/>
        </w:rPr>
        <w:t>四）单价合同的工程量：</w:t>
      </w:r>
    </w:p>
    <w:p>
      <w:pPr>
        <w:spacing w:before="122" w:line="278" w:lineRule="exact"/>
        <w:ind w:left="441"/>
        <w:rPr>
          <w:rFonts w:ascii="宋体" w:hAnsi="宋体" w:eastAsia="宋体" w:cs="宋体"/>
          <w:sz w:val="20"/>
          <w:szCs w:val="20"/>
        </w:rPr>
      </w:pPr>
      <w:r>
        <w:rPr>
          <w:rFonts w:ascii="宋体" w:hAnsi="宋体" w:eastAsia="宋体" w:cs="宋体"/>
          <w:spacing w:val="6"/>
          <w:position w:val="1"/>
          <w:sz w:val="20"/>
          <w:szCs w:val="20"/>
        </w:rPr>
        <w:t>1. 工程量必须以承包人完成合同工程应予计量的工程量确定。</w:t>
      </w:r>
    </w:p>
    <w:p>
      <w:pPr>
        <w:spacing w:before="123" w:line="298" w:lineRule="auto"/>
        <w:ind w:left="3" w:right="109" w:firstLine="420"/>
        <w:rPr>
          <w:rFonts w:ascii="宋体" w:hAnsi="宋体" w:eastAsia="宋体" w:cs="宋体"/>
          <w:sz w:val="20"/>
          <w:szCs w:val="20"/>
        </w:rPr>
      </w:pPr>
      <w:r>
        <w:rPr>
          <w:rFonts w:ascii="宋体" w:hAnsi="宋体" w:eastAsia="宋体" w:cs="宋体"/>
          <w:spacing w:val="8"/>
          <w:sz w:val="20"/>
          <w:szCs w:val="20"/>
        </w:rPr>
        <w:t>2. 施工中进行工程计量，当发现招标工程量清单中出现缺项、工程量偏差，或因工程变更引起</w:t>
      </w:r>
      <w:r>
        <w:rPr>
          <w:rFonts w:ascii="宋体" w:hAnsi="宋体" w:eastAsia="宋体" w:cs="宋体"/>
          <w:spacing w:val="9"/>
          <w:sz w:val="20"/>
          <w:szCs w:val="20"/>
        </w:rPr>
        <w:t>工程量增减时，应按承包人在履行合同义务中完成的工程量计算。</w:t>
      </w:r>
    </w:p>
    <w:p>
      <w:pPr>
        <w:spacing w:before="154" w:line="276" w:lineRule="exact"/>
        <w:ind w:left="413"/>
        <w:rPr>
          <w:rFonts w:ascii="宋体" w:hAnsi="宋体" w:eastAsia="宋体" w:cs="宋体"/>
          <w:sz w:val="20"/>
          <w:szCs w:val="20"/>
        </w:rPr>
      </w:pPr>
      <w:r>
        <w:rPr>
          <w:rFonts w:ascii="宋体" w:hAnsi="宋体" w:eastAsia="宋体" w:cs="宋体"/>
          <w:spacing w:val="9"/>
          <w:position w:val="1"/>
          <w:sz w:val="20"/>
          <w:szCs w:val="20"/>
        </w:rPr>
        <w:t>（五）总价合同的计量：</w:t>
      </w:r>
    </w:p>
    <w:p>
      <w:pPr>
        <w:spacing w:before="124" w:line="277" w:lineRule="exact"/>
        <w:ind w:left="441"/>
        <w:rPr>
          <w:rFonts w:ascii="宋体" w:hAnsi="宋体" w:eastAsia="宋体" w:cs="宋体"/>
          <w:sz w:val="20"/>
          <w:szCs w:val="20"/>
        </w:rPr>
      </w:pPr>
      <w:r>
        <w:rPr>
          <w:rFonts w:ascii="宋体" w:hAnsi="宋体" w:eastAsia="宋体" w:cs="宋体"/>
          <w:spacing w:val="7"/>
          <w:position w:val="1"/>
          <w:sz w:val="20"/>
          <w:szCs w:val="20"/>
        </w:rPr>
        <w:t>1. 用工程量清单方式招投标形成的总价合同，其工程量应按照本节第</w:t>
      </w:r>
      <w:r>
        <w:rPr>
          <w:rFonts w:ascii="宋体" w:hAnsi="宋体" w:eastAsia="宋体" w:cs="宋体"/>
          <w:spacing w:val="-44"/>
          <w:position w:val="1"/>
          <w:sz w:val="20"/>
          <w:szCs w:val="20"/>
        </w:rPr>
        <w:t xml:space="preserve"> </w:t>
      </w:r>
      <w:r>
        <w:rPr>
          <w:rFonts w:ascii="宋体" w:hAnsi="宋体" w:eastAsia="宋体" w:cs="宋体"/>
          <w:spacing w:val="7"/>
          <w:position w:val="1"/>
          <w:sz w:val="20"/>
          <w:szCs w:val="20"/>
        </w:rPr>
        <w:t>4</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条的规定计算。</w:t>
      </w:r>
    </w:p>
    <w:p>
      <w:pPr>
        <w:spacing w:line="277" w:lineRule="exact"/>
        <w:rPr>
          <w:rFonts w:ascii="宋体" w:hAnsi="宋体" w:eastAsia="宋体" w:cs="宋体"/>
          <w:sz w:val="20"/>
          <w:szCs w:val="20"/>
        </w:rPr>
        <w:sectPr>
          <w:footerReference r:id="rId30" w:type="default"/>
          <w:pgSz w:w="11905" w:h="16840"/>
          <w:pgMar w:top="1431" w:right="1309" w:bottom="1213" w:left="1417" w:header="0" w:footer="898" w:gutter="0"/>
        </w:sectPr>
      </w:pPr>
    </w:p>
    <w:p>
      <w:pPr>
        <w:spacing w:before="123" w:line="352" w:lineRule="auto"/>
        <w:ind w:left="1" w:right="183" w:firstLine="421"/>
        <w:rPr>
          <w:rFonts w:ascii="宋体" w:hAnsi="宋体" w:eastAsia="宋体" w:cs="宋体"/>
          <w:sz w:val="20"/>
          <w:szCs w:val="20"/>
        </w:rPr>
      </w:pPr>
      <w:bookmarkStart w:id="23" w:name="bookmark141"/>
      <w:bookmarkEnd w:id="23"/>
      <w:r>
        <w:rPr>
          <w:rFonts w:ascii="宋体" w:hAnsi="宋体" w:eastAsia="宋体" w:cs="宋体"/>
          <w:spacing w:val="8"/>
          <w:sz w:val="20"/>
          <w:szCs w:val="20"/>
        </w:rPr>
        <w:t>2. 采用经审定批准的施工图纸及其预算方式发包形成的总价合同，除按照工程变更规定的工程</w:t>
      </w:r>
      <w:r>
        <w:rPr>
          <w:rFonts w:ascii="宋体" w:hAnsi="宋体" w:eastAsia="宋体" w:cs="宋体"/>
          <w:spacing w:val="9"/>
          <w:sz w:val="20"/>
          <w:szCs w:val="20"/>
        </w:rPr>
        <w:t>量增减外，总价合同各项目的工程量应为承包人用于结算的最终工程量。</w:t>
      </w:r>
    </w:p>
    <w:p>
      <w:pPr>
        <w:pStyle w:val="2"/>
        <w:spacing w:before="32" w:line="209" w:lineRule="auto"/>
        <w:ind w:left="426"/>
        <w:rPr>
          <w:sz w:val="20"/>
          <w:szCs w:val="20"/>
        </w:rPr>
      </w:pPr>
      <w:r>
        <w:rPr>
          <w:spacing w:val="8"/>
          <w:sz w:val="20"/>
          <w:szCs w:val="20"/>
        </w:rPr>
        <w:t>七、合同价款调整</w:t>
      </w:r>
    </w:p>
    <w:p>
      <w:pPr>
        <w:spacing w:before="106" w:line="276" w:lineRule="exact"/>
        <w:ind w:left="413"/>
        <w:rPr>
          <w:rFonts w:ascii="宋体" w:hAnsi="宋体" w:eastAsia="宋体" w:cs="宋体"/>
          <w:sz w:val="20"/>
          <w:szCs w:val="20"/>
        </w:rPr>
      </w:pPr>
      <w:r>
        <w:rPr>
          <w:rFonts w:ascii="宋体" w:hAnsi="宋体" w:eastAsia="宋体" w:cs="宋体"/>
          <w:spacing w:val="10"/>
          <w:position w:val="1"/>
          <w:sz w:val="20"/>
          <w:szCs w:val="20"/>
        </w:rPr>
        <w:t>（一）下列事项（但不限于）发生，发承包双方应当按照合同约</w:t>
      </w:r>
      <w:r>
        <w:rPr>
          <w:rFonts w:ascii="宋体" w:hAnsi="宋体" w:eastAsia="宋体" w:cs="宋体"/>
          <w:spacing w:val="9"/>
          <w:position w:val="1"/>
          <w:sz w:val="20"/>
          <w:szCs w:val="20"/>
        </w:rPr>
        <w:t>定调整合同价款：</w:t>
      </w:r>
    </w:p>
    <w:p>
      <w:pPr>
        <w:spacing w:before="124" w:line="278" w:lineRule="exact"/>
        <w:ind w:left="440"/>
        <w:rPr>
          <w:rFonts w:ascii="宋体" w:hAnsi="宋体" w:eastAsia="宋体" w:cs="宋体"/>
          <w:sz w:val="20"/>
          <w:szCs w:val="20"/>
        </w:rPr>
      </w:pPr>
      <w:r>
        <w:rPr>
          <w:rFonts w:ascii="宋体" w:hAnsi="宋体" w:eastAsia="宋体" w:cs="宋体"/>
          <w:spacing w:val="-1"/>
          <w:position w:val="1"/>
          <w:sz w:val="20"/>
          <w:szCs w:val="20"/>
        </w:rPr>
        <w:t>1. 法律法规变化；</w:t>
      </w:r>
    </w:p>
    <w:p>
      <w:pPr>
        <w:spacing w:before="123" w:line="279" w:lineRule="exact"/>
        <w:ind w:left="423"/>
        <w:rPr>
          <w:rFonts w:ascii="宋体" w:hAnsi="宋体" w:eastAsia="宋体" w:cs="宋体"/>
          <w:sz w:val="20"/>
          <w:szCs w:val="20"/>
        </w:rPr>
      </w:pPr>
      <w:r>
        <w:rPr>
          <w:rFonts w:ascii="宋体" w:hAnsi="宋体" w:eastAsia="宋体" w:cs="宋体"/>
          <w:spacing w:val="-3"/>
          <w:position w:val="1"/>
          <w:sz w:val="20"/>
          <w:szCs w:val="20"/>
        </w:rPr>
        <w:t>2.</w:t>
      </w:r>
      <w:r>
        <w:rPr>
          <w:rFonts w:ascii="宋体" w:hAnsi="宋体" w:eastAsia="宋体" w:cs="宋体"/>
          <w:spacing w:val="13"/>
          <w:position w:val="1"/>
          <w:sz w:val="20"/>
          <w:szCs w:val="20"/>
        </w:rPr>
        <w:t xml:space="preserve"> </w:t>
      </w:r>
      <w:r>
        <w:rPr>
          <w:rFonts w:ascii="宋体" w:hAnsi="宋体" w:eastAsia="宋体" w:cs="宋体"/>
          <w:spacing w:val="-3"/>
          <w:position w:val="1"/>
          <w:sz w:val="20"/>
          <w:szCs w:val="20"/>
        </w:rPr>
        <w:t>工程变更；</w:t>
      </w:r>
    </w:p>
    <w:p>
      <w:pPr>
        <w:spacing w:before="120" w:line="277" w:lineRule="exact"/>
        <w:ind w:left="426"/>
        <w:rPr>
          <w:rFonts w:ascii="宋体" w:hAnsi="宋体" w:eastAsia="宋体" w:cs="宋体"/>
          <w:sz w:val="20"/>
          <w:szCs w:val="20"/>
        </w:rPr>
      </w:pPr>
      <w:r>
        <w:rPr>
          <w:rFonts w:ascii="宋体" w:hAnsi="宋体" w:eastAsia="宋体" w:cs="宋体"/>
          <w:spacing w:val="1"/>
          <w:position w:val="1"/>
          <w:sz w:val="20"/>
          <w:szCs w:val="20"/>
        </w:rPr>
        <w:t>3. 项目特征不符；</w:t>
      </w:r>
    </w:p>
    <w:p>
      <w:pPr>
        <w:spacing w:before="123" w:line="279" w:lineRule="exact"/>
        <w:ind w:left="420"/>
        <w:rPr>
          <w:rFonts w:ascii="宋体" w:hAnsi="宋体" w:eastAsia="宋体" w:cs="宋体"/>
          <w:sz w:val="20"/>
          <w:szCs w:val="20"/>
        </w:rPr>
      </w:pPr>
      <w:r>
        <w:rPr>
          <w:rFonts w:ascii="宋体" w:hAnsi="宋体" w:eastAsia="宋体" w:cs="宋体"/>
          <w:spacing w:val="2"/>
          <w:position w:val="1"/>
          <w:sz w:val="20"/>
          <w:szCs w:val="20"/>
        </w:rPr>
        <w:t>4. 工程量清单缺项；</w:t>
      </w:r>
    </w:p>
    <w:p>
      <w:pPr>
        <w:spacing w:before="122" w:line="278" w:lineRule="exact"/>
        <w:ind w:left="423"/>
        <w:rPr>
          <w:rFonts w:ascii="宋体" w:hAnsi="宋体" w:eastAsia="宋体" w:cs="宋体"/>
          <w:sz w:val="20"/>
          <w:szCs w:val="20"/>
        </w:rPr>
      </w:pPr>
      <w:r>
        <w:rPr>
          <w:rFonts w:ascii="宋体" w:hAnsi="宋体" w:eastAsia="宋体" w:cs="宋体"/>
          <w:position w:val="1"/>
          <w:sz w:val="20"/>
          <w:szCs w:val="20"/>
        </w:rPr>
        <w:t>5. 工程量偏差；</w:t>
      </w:r>
    </w:p>
    <w:p>
      <w:pPr>
        <w:spacing w:before="121" w:line="279" w:lineRule="exact"/>
        <w:ind w:left="423"/>
        <w:rPr>
          <w:rFonts w:ascii="宋体" w:hAnsi="宋体" w:eastAsia="宋体" w:cs="宋体"/>
          <w:sz w:val="20"/>
          <w:szCs w:val="20"/>
        </w:rPr>
      </w:pPr>
      <w:r>
        <w:rPr>
          <w:rFonts w:ascii="宋体" w:hAnsi="宋体" w:eastAsia="宋体" w:cs="宋体"/>
          <w:spacing w:val="-5"/>
          <w:position w:val="1"/>
          <w:sz w:val="20"/>
          <w:szCs w:val="20"/>
        </w:rPr>
        <w:t>6.</w:t>
      </w:r>
      <w:r>
        <w:rPr>
          <w:rFonts w:ascii="宋体" w:hAnsi="宋体" w:eastAsia="宋体" w:cs="宋体"/>
          <w:spacing w:val="13"/>
          <w:position w:val="1"/>
          <w:sz w:val="20"/>
          <w:szCs w:val="20"/>
        </w:rPr>
        <w:t xml:space="preserve"> </w:t>
      </w:r>
      <w:r>
        <w:rPr>
          <w:rFonts w:ascii="宋体" w:hAnsi="宋体" w:eastAsia="宋体" w:cs="宋体"/>
          <w:spacing w:val="-5"/>
          <w:position w:val="1"/>
          <w:sz w:val="20"/>
          <w:szCs w:val="20"/>
        </w:rPr>
        <w:t>计日工；</w:t>
      </w:r>
    </w:p>
    <w:p>
      <w:pPr>
        <w:spacing w:before="121" w:line="277" w:lineRule="exact"/>
        <w:ind w:left="421"/>
        <w:rPr>
          <w:rFonts w:ascii="宋体" w:hAnsi="宋体" w:eastAsia="宋体" w:cs="宋体"/>
          <w:sz w:val="20"/>
          <w:szCs w:val="20"/>
        </w:rPr>
      </w:pPr>
      <w:r>
        <w:rPr>
          <w:rFonts w:ascii="宋体" w:hAnsi="宋体" w:eastAsia="宋体" w:cs="宋体"/>
          <w:spacing w:val="-3"/>
          <w:position w:val="1"/>
          <w:sz w:val="20"/>
          <w:szCs w:val="20"/>
        </w:rPr>
        <w:t>7.</w:t>
      </w:r>
      <w:r>
        <w:rPr>
          <w:rFonts w:ascii="宋体" w:hAnsi="宋体" w:eastAsia="宋体" w:cs="宋体"/>
          <w:spacing w:val="15"/>
          <w:position w:val="1"/>
          <w:sz w:val="20"/>
          <w:szCs w:val="20"/>
        </w:rPr>
        <w:t xml:space="preserve"> </w:t>
      </w:r>
      <w:r>
        <w:rPr>
          <w:rFonts w:ascii="宋体" w:hAnsi="宋体" w:eastAsia="宋体" w:cs="宋体"/>
          <w:spacing w:val="-3"/>
          <w:position w:val="1"/>
          <w:sz w:val="20"/>
          <w:szCs w:val="20"/>
        </w:rPr>
        <w:t>物价变化；</w:t>
      </w:r>
    </w:p>
    <w:p>
      <w:pPr>
        <w:spacing w:before="124" w:line="276" w:lineRule="exact"/>
        <w:ind w:left="425"/>
        <w:rPr>
          <w:rFonts w:ascii="宋体" w:hAnsi="宋体" w:eastAsia="宋体" w:cs="宋体"/>
          <w:sz w:val="20"/>
          <w:szCs w:val="20"/>
        </w:rPr>
      </w:pPr>
      <w:r>
        <w:rPr>
          <w:rFonts w:ascii="宋体" w:hAnsi="宋体" w:eastAsia="宋体" w:cs="宋体"/>
          <w:spacing w:val="-6"/>
          <w:position w:val="1"/>
          <w:sz w:val="20"/>
          <w:szCs w:val="20"/>
        </w:rPr>
        <w:t>8.</w:t>
      </w:r>
      <w:r>
        <w:rPr>
          <w:rFonts w:ascii="宋体" w:hAnsi="宋体" w:eastAsia="宋体" w:cs="宋体"/>
          <w:spacing w:val="17"/>
          <w:position w:val="1"/>
          <w:sz w:val="20"/>
          <w:szCs w:val="20"/>
        </w:rPr>
        <w:t xml:space="preserve"> </w:t>
      </w:r>
      <w:r>
        <w:rPr>
          <w:rFonts w:ascii="宋体" w:hAnsi="宋体" w:eastAsia="宋体" w:cs="宋体"/>
          <w:spacing w:val="-6"/>
          <w:position w:val="1"/>
          <w:sz w:val="20"/>
          <w:szCs w:val="20"/>
        </w:rPr>
        <w:t>暂估价；</w:t>
      </w:r>
    </w:p>
    <w:p>
      <w:pPr>
        <w:spacing w:before="123" w:line="277" w:lineRule="exact"/>
        <w:ind w:left="423"/>
        <w:rPr>
          <w:rFonts w:ascii="宋体" w:hAnsi="宋体" w:eastAsia="宋体" w:cs="宋体"/>
          <w:sz w:val="20"/>
          <w:szCs w:val="20"/>
        </w:rPr>
      </w:pPr>
      <w:r>
        <w:rPr>
          <w:rFonts w:ascii="宋体" w:hAnsi="宋体" w:eastAsia="宋体" w:cs="宋体"/>
          <w:spacing w:val="-3"/>
          <w:position w:val="1"/>
          <w:sz w:val="20"/>
          <w:szCs w:val="20"/>
        </w:rPr>
        <w:t>9.</w:t>
      </w:r>
      <w:r>
        <w:rPr>
          <w:rFonts w:ascii="宋体" w:hAnsi="宋体" w:eastAsia="宋体" w:cs="宋体"/>
          <w:spacing w:val="13"/>
          <w:position w:val="1"/>
          <w:sz w:val="20"/>
          <w:szCs w:val="20"/>
        </w:rPr>
        <w:t xml:space="preserve"> </w:t>
      </w:r>
      <w:r>
        <w:rPr>
          <w:rFonts w:ascii="宋体" w:hAnsi="宋体" w:eastAsia="宋体" w:cs="宋体"/>
          <w:spacing w:val="-3"/>
          <w:position w:val="1"/>
          <w:sz w:val="20"/>
          <w:szCs w:val="20"/>
        </w:rPr>
        <w:t>不可抗力；</w:t>
      </w:r>
    </w:p>
    <w:p>
      <w:pPr>
        <w:spacing w:before="123" w:line="278" w:lineRule="exact"/>
        <w:ind w:left="440"/>
        <w:rPr>
          <w:rFonts w:ascii="宋体" w:hAnsi="宋体" w:eastAsia="宋体" w:cs="宋体"/>
          <w:sz w:val="20"/>
          <w:szCs w:val="20"/>
        </w:rPr>
      </w:pPr>
      <w:r>
        <w:rPr>
          <w:rFonts w:ascii="宋体" w:hAnsi="宋体" w:eastAsia="宋体" w:cs="宋体"/>
          <w:spacing w:val="2"/>
          <w:position w:val="1"/>
          <w:sz w:val="20"/>
          <w:szCs w:val="20"/>
        </w:rPr>
        <w:t>10. 提前竣工（赶工补偿</w:t>
      </w:r>
      <w:r>
        <w:rPr>
          <w:rFonts w:ascii="宋体" w:hAnsi="宋体" w:eastAsia="宋体" w:cs="宋体"/>
          <w:spacing w:val="12"/>
          <w:position w:val="1"/>
          <w:sz w:val="20"/>
          <w:szCs w:val="20"/>
        </w:rPr>
        <w:t>）；</w:t>
      </w:r>
    </w:p>
    <w:p>
      <w:pPr>
        <w:spacing w:before="123" w:line="278" w:lineRule="exact"/>
        <w:ind w:left="440"/>
        <w:rPr>
          <w:rFonts w:ascii="宋体" w:hAnsi="宋体" w:eastAsia="宋体" w:cs="宋体"/>
          <w:sz w:val="20"/>
          <w:szCs w:val="20"/>
        </w:rPr>
      </w:pPr>
      <w:r>
        <w:rPr>
          <w:rFonts w:ascii="宋体" w:hAnsi="宋体" w:eastAsia="宋体" w:cs="宋体"/>
          <w:spacing w:val="-3"/>
          <w:position w:val="1"/>
          <w:sz w:val="20"/>
          <w:szCs w:val="20"/>
        </w:rPr>
        <w:t>11. 误期赔偿；</w:t>
      </w:r>
    </w:p>
    <w:p>
      <w:pPr>
        <w:spacing w:before="121" w:line="277" w:lineRule="exact"/>
        <w:ind w:left="440"/>
        <w:rPr>
          <w:rFonts w:ascii="宋体" w:hAnsi="宋体" w:eastAsia="宋体" w:cs="宋体"/>
          <w:sz w:val="20"/>
          <w:szCs w:val="20"/>
        </w:rPr>
      </w:pPr>
      <w:r>
        <w:rPr>
          <w:rFonts w:ascii="宋体" w:hAnsi="宋体" w:eastAsia="宋体" w:cs="宋体"/>
          <w:spacing w:val="-9"/>
          <w:position w:val="1"/>
          <w:sz w:val="20"/>
          <w:szCs w:val="20"/>
        </w:rPr>
        <w:t>12.</w:t>
      </w:r>
      <w:r>
        <w:rPr>
          <w:rFonts w:ascii="宋体" w:hAnsi="宋体" w:eastAsia="宋体" w:cs="宋体"/>
          <w:spacing w:val="13"/>
          <w:position w:val="1"/>
          <w:sz w:val="20"/>
          <w:szCs w:val="20"/>
        </w:rPr>
        <w:t xml:space="preserve"> </w:t>
      </w:r>
      <w:r>
        <w:rPr>
          <w:rFonts w:ascii="宋体" w:hAnsi="宋体" w:eastAsia="宋体" w:cs="宋体"/>
          <w:spacing w:val="-9"/>
          <w:position w:val="1"/>
          <w:sz w:val="20"/>
          <w:szCs w:val="20"/>
        </w:rPr>
        <w:t>索赔；</w:t>
      </w:r>
    </w:p>
    <w:p>
      <w:pPr>
        <w:spacing w:before="123" w:line="279" w:lineRule="exact"/>
        <w:ind w:left="440"/>
        <w:rPr>
          <w:rFonts w:ascii="宋体" w:hAnsi="宋体" w:eastAsia="宋体" w:cs="宋体"/>
          <w:sz w:val="20"/>
          <w:szCs w:val="20"/>
        </w:rPr>
      </w:pPr>
      <w:r>
        <w:rPr>
          <w:rFonts w:ascii="宋体" w:hAnsi="宋体" w:eastAsia="宋体" w:cs="宋体"/>
          <w:spacing w:val="-5"/>
          <w:position w:val="1"/>
          <w:sz w:val="20"/>
          <w:szCs w:val="20"/>
        </w:rPr>
        <w:t>13.</w:t>
      </w:r>
      <w:r>
        <w:rPr>
          <w:rFonts w:ascii="宋体" w:hAnsi="宋体" w:eastAsia="宋体" w:cs="宋体"/>
          <w:spacing w:val="18"/>
          <w:position w:val="1"/>
          <w:sz w:val="20"/>
          <w:szCs w:val="20"/>
        </w:rPr>
        <w:t xml:space="preserve"> </w:t>
      </w:r>
      <w:r>
        <w:rPr>
          <w:rFonts w:ascii="宋体" w:hAnsi="宋体" w:eastAsia="宋体" w:cs="宋体"/>
          <w:spacing w:val="-5"/>
          <w:position w:val="1"/>
          <w:sz w:val="20"/>
          <w:szCs w:val="20"/>
        </w:rPr>
        <w:t>现场签证；</w:t>
      </w:r>
    </w:p>
    <w:p>
      <w:pPr>
        <w:spacing w:before="122" w:line="278" w:lineRule="exact"/>
        <w:ind w:left="440"/>
        <w:rPr>
          <w:rFonts w:ascii="宋体" w:hAnsi="宋体" w:eastAsia="宋体" w:cs="宋体"/>
          <w:sz w:val="20"/>
          <w:szCs w:val="20"/>
        </w:rPr>
      </w:pPr>
      <w:r>
        <w:rPr>
          <w:rFonts w:ascii="宋体" w:hAnsi="宋体" w:eastAsia="宋体" w:cs="宋体"/>
          <w:spacing w:val="-5"/>
          <w:position w:val="1"/>
          <w:sz w:val="20"/>
          <w:szCs w:val="20"/>
        </w:rPr>
        <w:t>14.</w:t>
      </w:r>
      <w:r>
        <w:rPr>
          <w:rFonts w:ascii="宋体" w:hAnsi="宋体" w:eastAsia="宋体" w:cs="宋体"/>
          <w:spacing w:val="18"/>
          <w:position w:val="1"/>
          <w:sz w:val="20"/>
          <w:szCs w:val="20"/>
        </w:rPr>
        <w:t xml:space="preserve"> </w:t>
      </w:r>
      <w:r>
        <w:rPr>
          <w:rFonts w:ascii="宋体" w:hAnsi="宋体" w:eastAsia="宋体" w:cs="宋体"/>
          <w:spacing w:val="-5"/>
          <w:position w:val="1"/>
          <w:sz w:val="20"/>
          <w:szCs w:val="20"/>
        </w:rPr>
        <w:t>暂列金额；</w:t>
      </w:r>
    </w:p>
    <w:p>
      <w:pPr>
        <w:spacing w:before="121" w:line="277" w:lineRule="exact"/>
        <w:ind w:left="440"/>
        <w:rPr>
          <w:rFonts w:ascii="宋体" w:hAnsi="宋体" w:eastAsia="宋体" w:cs="宋体"/>
          <w:sz w:val="20"/>
          <w:szCs w:val="20"/>
        </w:rPr>
      </w:pPr>
      <w:r>
        <w:rPr>
          <w:rFonts w:ascii="宋体" w:hAnsi="宋体" w:eastAsia="宋体" w:cs="宋体"/>
          <w:spacing w:val="4"/>
          <w:position w:val="1"/>
          <w:sz w:val="20"/>
          <w:szCs w:val="20"/>
        </w:rPr>
        <w:t>15. 发承包双方约定的其他调整事项。</w:t>
      </w:r>
    </w:p>
    <w:p>
      <w:pPr>
        <w:spacing w:before="124" w:line="320" w:lineRule="auto"/>
        <w:ind w:left="9" w:right="183" w:firstLine="403"/>
        <w:rPr>
          <w:rFonts w:ascii="宋体" w:hAnsi="宋体" w:eastAsia="宋体" w:cs="宋体"/>
          <w:sz w:val="20"/>
          <w:szCs w:val="20"/>
        </w:rPr>
      </w:pPr>
      <w:r>
        <w:rPr>
          <w:rFonts w:ascii="宋体" w:hAnsi="宋体" w:eastAsia="宋体" w:cs="宋体"/>
          <w:spacing w:val="10"/>
          <w:sz w:val="20"/>
          <w:szCs w:val="20"/>
        </w:rPr>
        <w:t>（二）招标工程以投标截止日前</w:t>
      </w:r>
      <w:r>
        <w:rPr>
          <w:rFonts w:ascii="宋体" w:hAnsi="宋体" w:eastAsia="宋体" w:cs="宋体"/>
          <w:spacing w:val="-40"/>
          <w:sz w:val="20"/>
          <w:szCs w:val="20"/>
        </w:rPr>
        <w:t xml:space="preserve"> </w:t>
      </w:r>
      <w:r>
        <w:rPr>
          <w:rFonts w:ascii="宋体" w:hAnsi="宋体" w:eastAsia="宋体" w:cs="宋体"/>
          <w:spacing w:val="10"/>
          <w:sz w:val="20"/>
          <w:szCs w:val="20"/>
        </w:rPr>
        <w:t>28</w:t>
      </w:r>
      <w:r>
        <w:rPr>
          <w:rFonts w:ascii="宋体" w:hAnsi="宋体" w:eastAsia="宋体" w:cs="宋体"/>
          <w:spacing w:val="-37"/>
          <w:sz w:val="20"/>
          <w:szCs w:val="20"/>
        </w:rPr>
        <w:t xml:space="preserve"> </w:t>
      </w:r>
      <w:r>
        <w:rPr>
          <w:rFonts w:ascii="宋体" w:hAnsi="宋体" w:eastAsia="宋体" w:cs="宋体"/>
          <w:spacing w:val="10"/>
          <w:sz w:val="20"/>
          <w:szCs w:val="20"/>
        </w:rPr>
        <w:t>天、非招标工程以合同签订前</w:t>
      </w:r>
      <w:r>
        <w:rPr>
          <w:rFonts w:ascii="宋体" w:hAnsi="宋体" w:eastAsia="宋体" w:cs="宋体"/>
          <w:spacing w:val="-41"/>
          <w:sz w:val="20"/>
          <w:szCs w:val="20"/>
        </w:rPr>
        <w:t xml:space="preserve"> </w:t>
      </w:r>
      <w:r>
        <w:rPr>
          <w:rFonts w:ascii="宋体" w:hAnsi="宋体" w:eastAsia="宋体" w:cs="宋体"/>
          <w:spacing w:val="10"/>
          <w:sz w:val="20"/>
          <w:szCs w:val="20"/>
        </w:rPr>
        <w:t>2</w:t>
      </w:r>
      <w:r>
        <w:rPr>
          <w:rFonts w:ascii="宋体" w:hAnsi="宋体" w:eastAsia="宋体" w:cs="宋体"/>
          <w:spacing w:val="9"/>
          <w:sz w:val="20"/>
          <w:szCs w:val="20"/>
        </w:rPr>
        <w:t>8</w:t>
      </w:r>
      <w:r>
        <w:rPr>
          <w:rFonts w:ascii="宋体" w:hAnsi="宋体" w:eastAsia="宋体" w:cs="宋体"/>
          <w:spacing w:val="-37"/>
          <w:sz w:val="20"/>
          <w:szCs w:val="20"/>
        </w:rPr>
        <w:t xml:space="preserve"> </w:t>
      </w:r>
      <w:r>
        <w:rPr>
          <w:rFonts w:ascii="宋体" w:hAnsi="宋体" w:eastAsia="宋体" w:cs="宋体"/>
          <w:spacing w:val="9"/>
          <w:sz w:val="20"/>
          <w:szCs w:val="20"/>
        </w:rPr>
        <w:t>天为基准日，其后因国家</w:t>
      </w:r>
      <w:r>
        <w:rPr>
          <w:rFonts w:ascii="宋体" w:hAnsi="宋体" w:eastAsia="宋体" w:cs="宋体"/>
          <w:spacing w:val="11"/>
          <w:sz w:val="20"/>
          <w:szCs w:val="20"/>
        </w:rPr>
        <w:t>的法律、法规、规章和政策发生变化引起工程造价增减变化</w:t>
      </w:r>
      <w:r>
        <w:rPr>
          <w:rFonts w:ascii="宋体" w:hAnsi="宋体" w:eastAsia="宋体" w:cs="宋体"/>
          <w:spacing w:val="10"/>
          <w:sz w:val="20"/>
          <w:szCs w:val="20"/>
        </w:rPr>
        <w:t>的，发承包双方应按照省级或行业建设</w:t>
      </w:r>
      <w:r>
        <w:rPr>
          <w:rFonts w:ascii="宋体" w:hAnsi="宋体" w:eastAsia="宋体" w:cs="宋体"/>
          <w:spacing w:val="9"/>
          <w:sz w:val="20"/>
          <w:szCs w:val="20"/>
        </w:rPr>
        <w:t>主管部门或其授权的工程造价管理机构据此发布的规定调整合同价款。</w:t>
      </w:r>
    </w:p>
    <w:p>
      <w:pPr>
        <w:spacing w:before="159" w:line="277" w:lineRule="exact"/>
        <w:ind w:left="413"/>
        <w:rPr>
          <w:rFonts w:ascii="宋体" w:hAnsi="宋体" w:eastAsia="宋体" w:cs="宋体"/>
          <w:sz w:val="20"/>
          <w:szCs w:val="20"/>
        </w:rPr>
      </w:pPr>
      <w:r>
        <w:rPr>
          <w:rFonts w:ascii="宋体" w:hAnsi="宋体" w:eastAsia="宋体" w:cs="宋体"/>
          <w:spacing w:val="8"/>
          <w:position w:val="1"/>
          <w:sz w:val="20"/>
          <w:szCs w:val="20"/>
        </w:rPr>
        <w:t>（三）因工程变更引起已标价工程量清单项目或其工程数量发生变化时，应按照下列规定调整：</w:t>
      </w:r>
    </w:p>
    <w:p>
      <w:pPr>
        <w:spacing w:before="123" w:line="333" w:lineRule="auto"/>
        <w:ind w:right="119" w:firstLine="439"/>
        <w:rPr>
          <w:rFonts w:ascii="宋体" w:hAnsi="宋体" w:eastAsia="宋体" w:cs="宋体"/>
          <w:sz w:val="20"/>
          <w:szCs w:val="20"/>
        </w:rPr>
      </w:pPr>
      <w:r>
        <w:rPr>
          <w:rFonts w:ascii="宋体" w:hAnsi="宋体" w:eastAsia="宋体" w:cs="宋体"/>
          <w:spacing w:val="8"/>
          <w:sz w:val="20"/>
          <w:szCs w:val="20"/>
        </w:rPr>
        <w:t>1. 已标价工程量清单中有适用于变更工程项目的，</w:t>
      </w:r>
      <w:r>
        <w:rPr>
          <w:rFonts w:ascii="宋体" w:hAnsi="宋体" w:eastAsia="宋体" w:cs="宋体"/>
          <w:spacing w:val="7"/>
          <w:sz w:val="20"/>
          <w:szCs w:val="20"/>
        </w:rPr>
        <w:t>应采用该项目的单价；但当工程变更导致该</w:t>
      </w:r>
      <w:r>
        <w:rPr>
          <w:rFonts w:ascii="宋体" w:hAnsi="宋体" w:eastAsia="宋体" w:cs="宋体"/>
          <w:spacing w:val="6"/>
          <w:sz w:val="20"/>
          <w:szCs w:val="20"/>
        </w:rPr>
        <w:t>清单项目的工程数量发生变化，且工程量偏差超过</w:t>
      </w:r>
      <w:r>
        <w:rPr>
          <w:rFonts w:ascii="宋体" w:hAnsi="宋体" w:eastAsia="宋体" w:cs="宋体"/>
          <w:spacing w:val="-23"/>
          <w:sz w:val="20"/>
          <w:szCs w:val="20"/>
        </w:rPr>
        <w:t xml:space="preserve"> </w:t>
      </w:r>
      <w:r>
        <w:rPr>
          <w:rFonts w:ascii="宋体" w:hAnsi="宋体" w:eastAsia="宋体" w:cs="宋体"/>
          <w:spacing w:val="6"/>
          <w:sz w:val="20"/>
          <w:szCs w:val="20"/>
        </w:rPr>
        <w:t>15%时，可进行调整。当工程量增加</w:t>
      </w:r>
      <w:r>
        <w:rPr>
          <w:rFonts w:ascii="宋体" w:hAnsi="宋体" w:eastAsia="宋体" w:cs="宋体"/>
          <w:spacing w:val="-22"/>
          <w:sz w:val="20"/>
          <w:szCs w:val="20"/>
        </w:rPr>
        <w:t xml:space="preserve"> </w:t>
      </w:r>
      <w:r>
        <w:rPr>
          <w:rFonts w:ascii="宋体" w:hAnsi="宋体" w:eastAsia="宋体" w:cs="宋体"/>
          <w:spacing w:val="6"/>
          <w:sz w:val="20"/>
          <w:szCs w:val="20"/>
        </w:rPr>
        <w:t>15％以上</w:t>
      </w:r>
      <w:r>
        <w:rPr>
          <w:rFonts w:ascii="宋体" w:hAnsi="宋体" w:eastAsia="宋体" w:cs="宋体"/>
          <w:spacing w:val="5"/>
          <w:sz w:val="20"/>
          <w:szCs w:val="20"/>
        </w:rPr>
        <w:t>时，</w:t>
      </w:r>
      <w:r>
        <w:rPr>
          <w:rFonts w:ascii="宋体" w:hAnsi="宋体" w:eastAsia="宋体" w:cs="宋体"/>
          <w:spacing w:val="9"/>
          <w:sz w:val="20"/>
          <w:szCs w:val="20"/>
        </w:rPr>
        <w:t>增加部分的工程量的综合单价应予调低，当工程量减少</w:t>
      </w:r>
      <w:r>
        <w:rPr>
          <w:rFonts w:ascii="宋体" w:hAnsi="宋体" w:eastAsia="宋体" w:cs="宋体"/>
          <w:spacing w:val="-22"/>
          <w:sz w:val="20"/>
          <w:szCs w:val="20"/>
        </w:rPr>
        <w:t xml:space="preserve"> </w:t>
      </w:r>
      <w:r>
        <w:rPr>
          <w:rFonts w:ascii="宋体" w:hAnsi="宋体" w:eastAsia="宋体" w:cs="宋体"/>
          <w:spacing w:val="9"/>
          <w:sz w:val="20"/>
          <w:szCs w:val="20"/>
        </w:rPr>
        <w:t>15％以上时，减少后剩</w:t>
      </w:r>
      <w:r>
        <w:rPr>
          <w:rFonts w:ascii="宋体" w:hAnsi="宋体" w:eastAsia="宋体" w:cs="宋体"/>
          <w:spacing w:val="8"/>
          <w:sz w:val="20"/>
          <w:szCs w:val="20"/>
        </w:rPr>
        <w:t>余部分的工程量的综合单价应予调高。</w:t>
      </w:r>
    </w:p>
    <w:p>
      <w:pPr>
        <w:spacing w:before="156" w:line="297" w:lineRule="auto"/>
        <w:ind w:right="183" w:firstLine="422"/>
        <w:rPr>
          <w:rFonts w:ascii="宋体" w:hAnsi="宋体" w:eastAsia="宋体" w:cs="宋体"/>
          <w:sz w:val="20"/>
          <w:szCs w:val="20"/>
        </w:rPr>
      </w:pPr>
      <w:r>
        <w:rPr>
          <w:rFonts w:ascii="宋体" w:hAnsi="宋体" w:eastAsia="宋体" w:cs="宋体"/>
          <w:spacing w:val="8"/>
          <w:sz w:val="20"/>
          <w:szCs w:val="20"/>
        </w:rPr>
        <w:t>2. 已标价工程量清单中没有适用但有类似于变更工程项目的，可在合理范围内参照类似项目的</w:t>
      </w:r>
      <w:r>
        <w:rPr>
          <w:rFonts w:ascii="宋体" w:hAnsi="宋体" w:eastAsia="宋体" w:cs="宋体"/>
          <w:spacing w:val="4"/>
          <w:sz w:val="20"/>
          <w:szCs w:val="20"/>
        </w:rPr>
        <w:t>单价。</w:t>
      </w:r>
    </w:p>
    <w:p>
      <w:pPr>
        <w:spacing w:before="158" w:line="331" w:lineRule="auto"/>
        <w:ind w:firstLine="426"/>
        <w:rPr>
          <w:rFonts w:ascii="宋体" w:hAnsi="宋体" w:eastAsia="宋体" w:cs="宋体"/>
          <w:sz w:val="20"/>
          <w:szCs w:val="20"/>
        </w:rPr>
      </w:pPr>
      <w:r>
        <w:rPr>
          <w:rFonts w:ascii="宋体" w:hAnsi="宋体" w:eastAsia="宋体" w:cs="宋体"/>
          <w:spacing w:val="7"/>
          <w:sz w:val="20"/>
          <w:szCs w:val="20"/>
        </w:rPr>
        <w:t>3. 已标价工程量清单中没有适用也没有类似于变更工程项目的，应由承包人根据变更工程资料、</w:t>
      </w:r>
      <w:r>
        <w:rPr>
          <w:rFonts w:ascii="宋体" w:hAnsi="宋体" w:eastAsia="宋体" w:cs="宋体"/>
          <w:spacing w:val="11"/>
          <w:sz w:val="20"/>
          <w:szCs w:val="20"/>
        </w:rPr>
        <w:t>计量规则和计价办法、工程造价管理机构发布的信息价格和承包人报价浮动率提</w:t>
      </w:r>
      <w:r>
        <w:rPr>
          <w:rFonts w:ascii="宋体" w:hAnsi="宋体" w:eastAsia="宋体" w:cs="宋体"/>
          <w:spacing w:val="10"/>
          <w:sz w:val="20"/>
          <w:szCs w:val="20"/>
        </w:rPr>
        <w:t>出变更工程项目的</w:t>
      </w:r>
      <w:r>
        <w:rPr>
          <w:rFonts w:ascii="宋体" w:hAnsi="宋体" w:eastAsia="宋体" w:cs="宋体"/>
          <w:spacing w:val="9"/>
          <w:sz w:val="20"/>
          <w:szCs w:val="20"/>
        </w:rPr>
        <w:t>单价，并应报发包人确认后调整。承包人报价浮动率可按下列公式计算：</w:t>
      </w:r>
    </w:p>
    <w:p>
      <w:pPr>
        <w:spacing w:before="125" w:line="276" w:lineRule="exact"/>
        <w:ind w:left="421"/>
        <w:rPr>
          <w:rFonts w:ascii="宋体" w:hAnsi="宋体" w:eastAsia="宋体" w:cs="宋体"/>
          <w:sz w:val="20"/>
          <w:szCs w:val="20"/>
        </w:rPr>
      </w:pPr>
      <w:r>
        <w:rPr>
          <w:rFonts w:ascii="宋体" w:hAnsi="宋体" w:eastAsia="宋体" w:cs="宋体"/>
          <w:spacing w:val="6"/>
          <w:position w:val="1"/>
          <w:sz w:val="20"/>
          <w:szCs w:val="20"/>
        </w:rPr>
        <w:t>招标工程：承包人报价浮动率</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L</w:t>
      </w:r>
      <w:r>
        <w:rPr>
          <w:rFonts w:ascii="宋体" w:hAnsi="宋体" w:eastAsia="宋体" w:cs="宋体"/>
          <w:spacing w:val="-25"/>
          <w:position w:val="1"/>
          <w:sz w:val="20"/>
          <w:szCs w:val="20"/>
        </w:rPr>
        <w:t>＝（</w:t>
      </w:r>
      <w:r>
        <w:rPr>
          <w:rFonts w:ascii="宋体" w:hAnsi="宋体" w:eastAsia="宋体" w:cs="宋体"/>
          <w:spacing w:val="-18"/>
          <w:position w:val="1"/>
          <w:sz w:val="20"/>
          <w:szCs w:val="20"/>
        </w:rPr>
        <w:t xml:space="preserve"> </w:t>
      </w:r>
      <w:r>
        <w:rPr>
          <w:rFonts w:ascii="宋体" w:hAnsi="宋体" w:eastAsia="宋体" w:cs="宋体"/>
          <w:spacing w:val="6"/>
          <w:position w:val="1"/>
          <w:sz w:val="20"/>
          <w:szCs w:val="20"/>
        </w:rPr>
        <w:t>1－</w:t>
      </w:r>
      <w:r>
        <w:rPr>
          <w:rFonts w:ascii="宋体" w:hAnsi="宋体" w:eastAsia="宋体" w:cs="宋体"/>
          <w:spacing w:val="-44"/>
          <w:position w:val="1"/>
          <w:sz w:val="20"/>
          <w:szCs w:val="20"/>
        </w:rPr>
        <w:t xml:space="preserve"> </w:t>
      </w:r>
      <w:r>
        <w:rPr>
          <w:rFonts w:ascii="宋体" w:hAnsi="宋体" w:eastAsia="宋体" w:cs="宋体"/>
          <w:spacing w:val="6"/>
          <w:position w:val="1"/>
          <w:sz w:val="20"/>
          <w:szCs w:val="20"/>
        </w:rPr>
        <w:t>中标价／最高投标限价）</w:t>
      </w:r>
      <w:r>
        <w:rPr>
          <w:rFonts w:ascii="宋体" w:hAnsi="宋体" w:eastAsia="宋体" w:cs="宋体"/>
          <w:spacing w:val="-31"/>
          <w:position w:val="1"/>
          <w:sz w:val="20"/>
          <w:szCs w:val="20"/>
        </w:rPr>
        <w:t xml:space="preserve"> </w:t>
      </w:r>
      <w:r>
        <w:rPr>
          <w:rFonts w:ascii="宋体" w:hAnsi="宋体" w:eastAsia="宋体" w:cs="宋体"/>
          <w:spacing w:val="6"/>
          <w:position w:val="1"/>
          <w:sz w:val="20"/>
          <w:szCs w:val="20"/>
        </w:rPr>
        <w:t>×</w:t>
      </w:r>
      <w:r>
        <w:rPr>
          <w:rFonts w:ascii="宋体" w:hAnsi="宋体" w:eastAsia="宋体" w:cs="宋体"/>
          <w:spacing w:val="-77"/>
          <w:position w:val="1"/>
          <w:sz w:val="20"/>
          <w:szCs w:val="20"/>
        </w:rPr>
        <w:t xml:space="preserve"> </w:t>
      </w:r>
      <w:r>
        <w:rPr>
          <w:rFonts w:ascii="宋体" w:hAnsi="宋体" w:eastAsia="宋体" w:cs="宋体"/>
          <w:spacing w:val="6"/>
          <w:position w:val="1"/>
          <w:sz w:val="20"/>
          <w:szCs w:val="20"/>
        </w:rPr>
        <w:t>100%</w:t>
      </w:r>
    </w:p>
    <w:p>
      <w:pPr>
        <w:spacing w:before="122" w:line="276" w:lineRule="exact"/>
        <w:ind w:left="422"/>
        <w:rPr>
          <w:rFonts w:ascii="宋体" w:hAnsi="宋体" w:eastAsia="宋体" w:cs="宋体"/>
          <w:sz w:val="20"/>
          <w:szCs w:val="20"/>
        </w:rPr>
      </w:pPr>
      <w:r>
        <w:rPr>
          <w:rFonts w:ascii="宋体" w:hAnsi="宋体" w:eastAsia="宋体" w:cs="宋体"/>
          <w:spacing w:val="8"/>
          <w:position w:val="1"/>
          <w:sz w:val="20"/>
          <w:szCs w:val="20"/>
        </w:rPr>
        <w:t>非招标工程：承包人报价浮动率</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L</w:t>
      </w:r>
      <w:r>
        <w:rPr>
          <w:rFonts w:ascii="宋体" w:hAnsi="宋体" w:eastAsia="宋体" w:cs="宋体"/>
          <w:spacing w:val="-31"/>
          <w:position w:val="1"/>
          <w:sz w:val="20"/>
          <w:szCs w:val="20"/>
        </w:rPr>
        <w:t>＝（</w:t>
      </w:r>
      <w:r>
        <w:rPr>
          <w:rFonts w:ascii="宋体" w:hAnsi="宋体" w:eastAsia="宋体" w:cs="宋体"/>
          <w:spacing w:val="-18"/>
          <w:position w:val="1"/>
          <w:sz w:val="20"/>
          <w:szCs w:val="20"/>
        </w:rPr>
        <w:t xml:space="preserve"> </w:t>
      </w:r>
      <w:r>
        <w:rPr>
          <w:rFonts w:ascii="宋体" w:hAnsi="宋体" w:eastAsia="宋体" w:cs="宋体"/>
          <w:spacing w:val="8"/>
          <w:position w:val="1"/>
          <w:sz w:val="20"/>
          <w:szCs w:val="20"/>
        </w:rPr>
        <w:t>1－报价／施工图预算）</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8"/>
          <w:position w:val="1"/>
          <w:sz w:val="20"/>
          <w:szCs w:val="20"/>
        </w:rPr>
        <w:t>100%</w:t>
      </w:r>
    </w:p>
    <w:p>
      <w:pPr>
        <w:spacing w:before="125" w:line="276" w:lineRule="exact"/>
        <w:ind w:left="420"/>
        <w:rPr>
          <w:rFonts w:ascii="宋体" w:hAnsi="宋体" w:eastAsia="宋体" w:cs="宋体"/>
          <w:sz w:val="20"/>
          <w:szCs w:val="20"/>
        </w:rPr>
      </w:pPr>
      <w:r>
        <w:rPr>
          <w:rFonts w:ascii="宋体" w:hAnsi="宋体" w:eastAsia="宋体" w:cs="宋体"/>
          <w:spacing w:val="8"/>
          <w:position w:val="1"/>
          <w:sz w:val="20"/>
          <w:szCs w:val="20"/>
        </w:rPr>
        <w:t>4. 已标价工程量清单中没有适用也没有类似于变更工程项目，且工程造价管理机构发布的信息</w:t>
      </w:r>
    </w:p>
    <w:p>
      <w:pPr>
        <w:spacing w:line="276" w:lineRule="exact"/>
        <w:rPr>
          <w:rFonts w:ascii="宋体" w:hAnsi="宋体" w:eastAsia="宋体" w:cs="宋体"/>
          <w:sz w:val="20"/>
          <w:szCs w:val="20"/>
        </w:rPr>
        <w:sectPr>
          <w:footerReference r:id="rId31" w:type="default"/>
          <w:pgSz w:w="11905" w:h="16840"/>
          <w:pgMar w:top="1431" w:right="1235" w:bottom="1213" w:left="1418" w:header="0" w:footer="898" w:gutter="0"/>
        </w:sectPr>
      </w:pPr>
    </w:p>
    <w:p>
      <w:pPr>
        <w:spacing w:before="128" w:line="368" w:lineRule="auto"/>
        <w:ind w:left="3" w:right="36"/>
        <w:rPr>
          <w:rFonts w:ascii="宋体" w:hAnsi="宋体" w:eastAsia="宋体" w:cs="宋体"/>
          <w:sz w:val="20"/>
          <w:szCs w:val="20"/>
        </w:rPr>
      </w:pPr>
      <w:r>
        <w:rPr>
          <w:rFonts w:ascii="宋体" w:hAnsi="宋体" w:eastAsia="宋体" w:cs="宋体"/>
          <w:spacing w:val="11"/>
          <w:sz w:val="20"/>
          <w:szCs w:val="20"/>
        </w:rPr>
        <w:t>价格缺价的，应由承包人根据变更工程资料、计量规则、计价办法和通过</w:t>
      </w:r>
      <w:r>
        <w:rPr>
          <w:rFonts w:ascii="宋体" w:hAnsi="宋体" w:eastAsia="宋体" w:cs="宋体"/>
          <w:spacing w:val="10"/>
          <w:sz w:val="20"/>
          <w:szCs w:val="20"/>
        </w:rPr>
        <w:t>市场调查等取得有合法依</w:t>
      </w:r>
      <w:r>
        <w:rPr>
          <w:rFonts w:ascii="宋体" w:hAnsi="宋体" w:eastAsia="宋体" w:cs="宋体"/>
          <w:spacing w:val="9"/>
          <w:sz w:val="20"/>
          <w:szCs w:val="20"/>
        </w:rPr>
        <w:t>据的市场价格提出变更工程项目的单价，并应报发包人确认后调整。</w:t>
      </w:r>
    </w:p>
    <w:p>
      <w:pPr>
        <w:spacing w:line="276" w:lineRule="exact"/>
        <w:ind w:left="420"/>
        <w:rPr>
          <w:rFonts w:ascii="宋体" w:hAnsi="宋体" w:eastAsia="宋体" w:cs="宋体"/>
          <w:sz w:val="20"/>
          <w:szCs w:val="20"/>
        </w:rPr>
      </w:pPr>
      <w:r>
        <w:rPr>
          <w:rFonts w:ascii="宋体" w:hAnsi="宋体" w:eastAsia="宋体" w:cs="宋体"/>
          <w:b/>
          <w:bCs/>
          <w:spacing w:val="8"/>
          <w:position w:val="1"/>
          <w:sz w:val="20"/>
          <w:szCs w:val="20"/>
        </w:rPr>
        <w:t>新增清单项目的单价可具体参照以下方法确</w:t>
      </w:r>
      <w:r>
        <w:rPr>
          <w:rFonts w:ascii="宋体" w:hAnsi="宋体" w:eastAsia="宋体" w:cs="宋体"/>
          <w:b/>
          <w:bCs/>
          <w:spacing w:val="7"/>
          <w:position w:val="1"/>
          <w:sz w:val="20"/>
          <w:szCs w:val="20"/>
        </w:rPr>
        <w:t>定：</w:t>
      </w:r>
    </w:p>
    <w:p>
      <w:pPr>
        <w:spacing w:before="122" w:line="277" w:lineRule="exact"/>
        <w:ind w:left="420"/>
        <w:rPr>
          <w:rFonts w:ascii="宋体" w:hAnsi="宋体" w:eastAsia="宋体" w:cs="宋体"/>
          <w:sz w:val="20"/>
          <w:szCs w:val="20"/>
        </w:rPr>
      </w:pPr>
      <w:r>
        <w:rPr>
          <w:rFonts w:ascii="宋体" w:hAnsi="宋体" w:eastAsia="宋体" w:cs="宋体"/>
          <w:spacing w:val="7"/>
          <w:position w:val="1"/>
          <w:sz w:val="20"/>
          <w:szCs w:val="20"/>
        </w:rPr>
        <w:t>第一种方法：</w:t>
      </w:r>
    </w:p>
    <w:p>
      <w:pPr>
        <w:spacing w:before="121" w:line="352" w:lineRule="auto"/>
        <w:ind w:left="6" w:right="35" w:firstLine="406"/>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1）新增清单项目应由承包人根据变更工程资料、计量规则和计价办法、工程造价管理机构发</w:t>
      </w:r>
      <w:r>
        <w:rPr>
          <w:rFonts w:ascii="宋体" w:hAnsi="宋体" w:eastAsia="宋体" w:cs="宋体"/>
          <w:spacing w:val="9"/>
          <w:sz w:val="20"/>
          <w:szCs w:val="20"/>
        </w:rPr>
        <w:t>布的信息价格和承包人报价浮动率提出变更工程项目的单价，并应报发包人确认后调整。</w:t>
      </w:r>
    </w:p>
    <w:p>
      <w:pPr>
        <w:spacing w:before="38" w:line="276" w:lineRule="exact"/>
        <w:ind w:left="426"/>
        <w:rPr>
          <w:rFonts w:ascii="宋体" w:hAnsi="宋体" w:eastAsia="宋体" w:cs="宋体"/>
          <w:sz w:val="20"/>
          <w:szCs w:val="20"/>
        </w:rPr>
      </w:pPr>
      <w:r>
        <w:rPr>
          <w:rFonts w:ascii="宋体" w:hAnsi="宋体" w:eastAsia="宋体" w:cs="宋体"/>
          <w:spacing w:val="8"/>
          <w:position w:val="1"/>
          <w:sz w:val="20"/>
          <w:szCs w:val="20"/>
        </w:rPr>
        <w:t>承包人报价浮动率可按下列公式计算：</w:t>
      </w:r>
    </w:p>
    <w:p>
      <w:pPr>
        <w:spacing w:before="125" w:line="278" w:lineRule="exact"/>
        <w:ind w:left="421"/>
        <w:rPr>
          <w:rFonts w:ascii="宋体" w:hAnsi="宋体" w:eastAsia="宋体" w:cs="宋体"/>
          <w:sz w:val="20"/>
          <w:szCs w:val="20"/>
        </w:rPr>
      </w:pPr>
      <w:r>
        <w:rPr>
          <w:rFonts w:ascii="宋体" w:hAnsi="宋体" w:eastAsia="宋体" w:cs="宋体"/>
          <w:spacing w:val="6"/>
          <w:position w:val="1"/>
          <w:sz w:val="20"/>
          <w:szCs w:val="20"/>
        </w:rPr>
        <w:t>招标工程：</w:t>
      </w:r>
    </w:p>
    <w:p>
      <w:pPr>
        <w:spacing w:before="123" w:line="276" w:lineRule="exact"/>
        <w:ind w:left="426"/>
        <w:rPr>
          <w:rFonts w:ascii="宋体" w:hAnsi="宋体" w:eastAsia="宋体" w:cs="宋体"/>
          <w:sz w:val="20"/>
          <w:szCs w:val="20"/>
        </w:rPr>
      </w:pPr>
      <w:r>
        <w:rPr>
          <w:rFonts w:ascii="宋体" w:hAnsi="宋体" w:eastAsia="宋体" w:cs="宋体"/>
          <w:spacing w:val="7"/>
          <w:position w:val="1"/>
          <w:sz w:val="20"/>
          <w:szCs w:val="20"/>
        </w:rPr>
        <w:t>承包人报价浮动率</w:t>
      </w:r>
      <w:r>
        <w:rPr>
          <w:rFonts w:ascii="宋体" w:hAnsi="宋体" w:eastAsia="宋体" w:cs="宋体"/>
          <w:spacing w:val="-27"/>
          <w:position w:val="1"/>
          <w:sz w:val="20"/>
          <w:szCs w:val="20"/>
        </w:rPr>
        <w:t xml:space="preserve"> </w:t>
      </w:r>
      <w:r>
        <w:rPr>
          <w:rFonts w:ascii="宋体" w:hAnsi="宋体" w:eastAsia="宋体" w:cs="宋体"/>
          <w:spacing w:val="7"/>
          <w:position w:val="1"/>
          <w:sz w:val="20"/>
          <w:szCs w:val="20"/>
        </w:rPr>
        <w:t>L=（</w:t>
      </w:r>
      <w:r>
        <w:rPr>
          <w:rFonts w:ascii="宋体" w:hAnsi="宋体" w:eastAsia="宋体" w:cs="宋体"/>
          <w:spacing w:val="-47"/>
          <w:position w:val="1"/>
          <w:sz w:val="20"/>
          <w:szCs w:val="20"/>
        </w:rPr>
        <w:t xml:space="preserve"> </w:t>
      </w:r>
      <w:r>
        <w:rPr>
          <w:rFonts w:ascii="宋体" w:hAnsi="宋体" w:eastAsia="宋体" w:cs="宋体"/>
          <w:spacing w:val="7"/>
          <w:position w:val="1"/>
          <w:sz w:val="20"/>
          <w:szCs w:val="20"/>
        </w:rPr>
        <w:t>1-中标价/最高投标限价）*100%</w:t>
      </w:r>
    </w:p>
    <w:p>
      <w:pPr>
        <w:spacing w:before="127" w:line="219" w:lineRule="auto"/>
        <w:ind w:left="422"/>
        <w:rPr>
          <w:rFonts w:ascii="宋体" w:hAnsi="宋体" w:eastAsia="宋体" w:cs="宋体"/>
          <w:sz w:val="20"/>
          <w:szCs w:val="20"/>
        </w:rPr>
      </w:pPr>
      <w:r>
        <w:rPr>
          <w:rFonts w:ascii="宋体" w:hAnsi="宋体" w:eastAsia="宋体" w:cs="宋体"/>
          <w:spacing w:val="8"/>
          <w:sz w:val="20"/>
          <w:szCs w:val="20"/>
        </w:rPr>
        <w:t>非招标工程</w:t>
      </w:r>
    </w:p>
    <w:p>
      <w:pPr>
        <w:spacing w:before="159" w:line="276" w:lineRule="exact"/>
        <w:ind w:left="426"/>
        <w:rPr>
          <w:rFonts w:ascii="宋体" w:hAnsi="宋体" w:eastAsia="宋体" w:cs="宋体"/>
          <w:sz w:val="20"/>
          <w:szCs w:val="20"/>
        </w:rPr>
      </w:pPr>
      <w:r>
        <w:rPr>
          <w:rFonts w:ascii="宋体" w:hAnsi="宋体" w:eastAsia="宋体" w:cs="宋体"/>
          <w:spacing w:val="7"/>
          <w:position w:val="1"/>
          <w:sz w:val="20"/>
          <w:szCs w:val="20"/>
        </w:rPr>
        <w:t>承包人报价浮动率</w:t>
      </w:r>
      <w:r>
        <w:rPr>
          <w:rFonts w:ascii="宋体" w:hAnsi="宋体" w:eastAsia="宋体" w:cs="宋体"/>
          <w:spacing w:val="-29"/>
          <w:position w:val="1"/>
          <w:sz w:val="20"/>
          <w:szCs w:val="20"/>
        </w:rPr>
        <w:t xml:space="preserve"> </w:t>
      </w:r>
      <w:r>
        <w:rPr>
          <w:rFonts w:ascii="宋体" w:hAnsi="宋体" w:eastAsia="宋体" w:cs="宋体"/>
          <w:spacing w:val="7"/>
          <w:position w:val="1"/>
          <w:sz w:val="20"/>
          <w:szCs w:val="20"/>
        </w:rPr>
        <w:t>L=（</w:t>
      </w:r>
      <w:r>
        <w:rPr>
          <w:rFonts w:ascii="宋体" w:hAnsi="宋体" w:eastAsia="宋体" w:cs="宋体"/>
          <w:spacing w:val="-47"/>
          <w:position w:val="1"/>
          <w:sz w:val="20"/>
          <w:szCs w:val="20"/>
        </w:rPr>
        <w:t xml:space="preserve"> </w:t>
      </w:r>
      <w:r>
        <w:rPr>
          <w:rFonts w:ascii="宋体" w:hAnsi="宋体" w:eastAsia="宋体" w:cs="宋体"/>
          <w:spacing w:val="7"/>
          <w:position w:val="1"/>
          <w:sz w:val="20"/>
          <w:szCs w:val="20"/>
        </w:rPr>
        <w:t>1-报价/施工图预算价）*100%</w:t>
      </w:r>
    </w:p>
    <w:p>
      <w:pPr>
        <w:spacing w:before="124" w:line="364" w:lineRule="auto"/>
        <w:ind w:right="35" w:firstLine="413"/>
        <w:jc w:val="both"/>
        <w:rPr>
          <w:rFonts w:ascii="宋体" w:hAnsi="宋体" w:eastAsia="宋体" w:cs="宋体"/>
          <w:sz w:val="20"/>
          <w:szCs w:val="20"/>
        </w:rPr>
      </w:pPr>
      <w:r>
        <w:rPr>
          <w:rFonts w:ascii="宋体" w:hAnsi="宋体" w:eastAsia="宋体" w:cs="宋体"/>
          <w:spacing w:val="8"/>
          <w:sz w:val="20"/>
          <w:szCs w:val="20"/>
        </w:rPr>
        <w:t>（2）新增清单项目，且工程造价管理机构发布的信息价格缺价的，应由承包人根据变更工程资</w:t>
      </w:r>
      <w:r>
        <w:rPr>
          <w:rFonts w:ascii="宋体" w:hAnsi="宋体" w:eastAsia="宋体" w:cs="宋体"/>
          <w:spacing w:val="11"/>
          <w:sz w:val="20"/>
          <w:szCs w:val="20"/>
        </w:rPr>
        <w:t>料、计量规则、计价办法和通过市场调查等取得有合法依据的市场价格提出变更工</w:t>
      </w:r>
      <w:r>
        <w:rPr>
          <w:rFonts w:ascii="宋体" w:hAnsi="宋体" w:eastAsia="宋体" w:cs="宋体"/>
          <w:spacing w:val="10"/>
          <w:sz w:val="20"/>
          <w:szCs w:val="20"/>
        </w:rPr>
        <w:t>程项目的单价，</w:t>
      </w:r>
      <w:r>
        <w:rPr>
          <w:rFonts w:ascii="宋体" w:hAnsi="宋体" w:eastAsia="宋体" w:cs="宋体"/>
          <w:spacing w:val="8"/>
          <w:sz w:val="20"/>
          <w:szCs w:val="20"/>
        </w:rPr>
        <w:t>并应报发包人确认后调整。</w:t>
      </w:r>
    </w:p>
    <w:p>
      <w:pPr>
        <w:spacing w:before="17" w:line="278" w:lineRule="exact"/>
        <w:ind w:left="420"/>
        <w:rPr>
          <w:rFonts w:ascii="宋体" w:hAnsi="宋体" w:eastAsia="宋体" w:cs="宋体"/>
          <w:sz w:val="20"/>
          <w:szCs w:val="20"/>
        </w:rPr>
      </w:pPr>
      <w:r>
        <w:rPr>
          <w:rFonts w:ascii="宋体" w:hAnsi="宋体" w:eastAsia="宋体" w:cs="宋体"/>
          <w:spacing w:val="7"/>
          <w:position w:val="1"/>
          <w:sz w:val="20"/>
          <w:szCs w:val="20"/>
        </w:rPr>
        <w:t>第二种方法：</w:t>
      </w:r>
    </w:p>
    <w:p>
      <w:pPr>
        <w:spacing w:before="120" w:line="351" w:lineRule="auto"/>
        <w:ind w:left="3" w:right="36" w:firstLine="416"/>
        <w:rPr>
          <w:rFonts w:ascii="宋体" w:hAnsi="宋体" w:eastAsia="宋体" w:cs="宋体"/>
          <w:sz w:val="20"/>
          <w:szCs w:val="20"/>
        </w:rPr>
      </w:pPr>
      <w:r>
        <w:rPr>
          <w:rFonts w:ascii="宋体" w:hAnsi="宋体" w:eastAsia="宋体" w:cs="宋体"/>
          <w:spacing w:val="11"/>
          <w:sz w:val="20"/>
          <w:szCs w:val="20"/>
        </w:rPr>
        <w:t>新增清单项目应按照合理的成本与利润构成的原则，由合同当事人按照合同（商</w:t>
      </w:r>
      <w:r>
        <w:rPr>
          <w:rFonts w:ascii="宋体" w:hAnsi="宋体" w:eastAsia="宋体" w:cs="宋体"/>
          <w:spacing w:val="10"/>
          <w:sz w:val="20"/>
          <w:szCs w:val="20"/>
        </w:rPr>
        <w:t>定或确定）条</w:t>
      </w:r>
      <w:r>
        <w:rPr>
          <w:rFonts w:ascii="宋体" w:hAnsi="宋体" w:eastAsia="宋体" w:cs="宋体"/>
          <w:spacing w:val="8"/>
          <w:sz w:val="20"/>
          <w:szCs w:val="20"/>
        </w:rPr>
        <w:t>款确定变更工作的单价。</w:t>
      </w:r>
    </w:p>
    <w:p>
      <w:pPr>
        <w:spacing w:before="42" w:line="278" w:lineRule="exact"/>
        <w:ind w:left="420"/>
        <w:rPr>
          <w:rFonts w:ascii="宋体" w:hAnsi="宋体" w:eastAsia="宋体" w:cs="宋体"/>
          <w:sz w:val="20"/>
          <w:szCs w:val="20"/>
        </w:rPr>
      </w:pPr>
      <w:r>
        <w:rPr>
          <w:rFonts w:ascii="宋体" w:hAnsi="宋体" w:eastAsia="宋体" w:cs="宋体"/>
          <w:spacing w:val="7"/>
          <w:position w:val="1"/>
          <w:sz w:val="20"/>
          <w:szCs w:val="20"/>
        </w:rPr>
        <w:t>第三种方法：</w:t>
      </w:r>
    </w:p>
    <w:p>
      <w:pPr>
        <w:spacing w:before="120" w:line="276" w:lineRule="exact"/>
        <w:ind w:left="420"/>
        <w:rPr>
          <w:rFonts w:ascii="宋体" w:hAnsi="宋体" w:eastAsia="宋体" w:cs="宋体"/>
          <w:sz w:val="20"/>
          <w:szCs w:val="20"/>
        </w:rPr>
      </w:pPr>
      <w:r>
        <w:rPr>
          <w:rFonts w:ascii="宋体" w:hAnsi="宋体" w:eastAsia="宋体" w:cs="宋体"/>
          <w:spacing w:val="9"/>
          <w:position w:val="1"/>
          <w:sz w:val="20"/>
          <w:szCs w:val="20"/>
        </w:rPr>
        <w:t>新增清单项目的单价按以下原则确定：</w:t>
      </w:r>
    </w:p>
    <w:p>
      <w:pPr>
        <w:spacing w:before="125"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1）消耗量：可依据现行定额相关项目及有关规定</w:t>
      </w:r>
      <w:r>
        <w:rPr>
          <w:rFonts w:ascii="宋体" w:hAnsi="宋体" w:eastAsia="宋体" w:cs="宋体"/>
          <w:spacing w:val="7"/>
          <w:position w:val="1"/>
          <w:sz w:val="20"/>
          <w:szCs w:val="20"/>
        </w:rPr>
        <w:t>的消耗量确定。</w:t>
      </w:r>
    </w:p>
    <w:p>
      <w:pPr>
        <w:spacing w:before="124" w:line="276" w:lineRule="exact"/>
        <w:jc w:val="right"/>
        <w:rPr>
          <w:rFonts w:ascii="宋体" w:hAnsi="宋体" w:eastAsia="宋体" w:cs="宋体"/>
          <w:sz w:val="20"/>
          <w:szCs w:val="20"/>
        </w:rPr>
      </w:pPr>
      <w:r>
        <w:rPr>
          <w:rFonts w:ascii="宋体" w:hAnsi="宋体" w:eastAsia="宋体" w:cs="宋体"/>
          <w:spacing w:val="9"/>
          <w:position w:val="1"/>
          <w:sz w:val="20"/>
          <w:szCs w:val="20"/>
        </w:rPr>
        <w:t>（2）人工单价：按发、承包双方协商确认的价格，但不应低于原投标报价项目中的人工单价。</w:t>
      </w:r>
    </w:p>
    <w:p>
      <w:pPr>
        <w:spacing w:before="122" w:line="276" w:lineRule="exact"/>
        <w:ind w:left="413"/>
        <w:rPr>
          <w:rFonts w:ascii="宋体" w:hAnsi="宋体" w:eastAsia="宋体" w:cs="宋体"/>
          <w:sz w:val="20"/>
          <w:szCs w:val="20"/>
        </w:rPr>
      </w:pPr>
      <w:r>
        <w:rPr>
          <w:rFonts w:ascii="宋体" w:hAnsi="宋体" w:eastAsia="宋体" w:cs="宋体"/>
          <w:spacing w:val="10"/>
          <w:position w:val="1"/>
          <w:sz w:val="20"/>
          <w:szCs w:val="20"/>
        </w:rPr>
        <w:t>（3）材料、机械单价：按发、承包双方确认的市场价格或</w:t>
      </w:r>
      <w:r>
        <w:rPr>
          <w:rFonts w:ascii="宋体" w:hAnsi="宋体" w:eastAsia="宋体" w:cs="宋体"/>
          <w:spacing w:val="9"/>
          <w:position w:val="1"/>
          <w:sz w:val="20"/>
          <w:szCs w:val="20"/>
        </w:rPr>
        <w:t>参照《造价指南》中的价格确定。</w:t>
      </w:r>
    </w:p>
    <w:p>
      <w:pPr>
        <w:spacing w:before="125" w:line="276" w:lineRule="exact"/>
        <w:ind w:left="413"/>
        <w:rPr>
          <w:rFonts w:ascii="宋体" w:hAnsi="宋体" w:eastAsia="宋体" w:cs="宋体"/>
          <w:sz w:val="20"/>
          <w:szCs w:val="20"/>
        </w:rPr>
      </w:pPr>
      <w:r>
        <w:rPr>
          <w:rFonts w:ascii="宋体" w:hAnsi="宋体" w:eastAsia="宋体" w:cs="宋体"/>
          <w:spacing w:val="9"/>
          <w:position w:val="1"/>
          <w:sz w:val="20"/>
          <w:szCs w:val="20"/>
        </w:rPr>
        <w:t>（4）综合单价中的各项取费标准：按相应项目原投标费率确定。</w:t>
      </w:r>
    </w:p>
    <w:p>
      <w:pPr>
        <w:spacing w:before="125" w:line="278" w:lineRule="exact"/>
        <w:ind w:left="420"/>
        <w:rPr>
          <w:rFonts w:ascii="宋体" w:hAnsi="宋体" w:eastAsia="宋体" w:cs="宋体"/>
          <w:sz w:val="20"/>
          <w:szCs w:val="20"/>
        </w:rPr>
      </w:pPr>
      <w:r>
        <w:rPr>
          <w:rFonts w:ascii="宋体" w:hAnsi="宋体" w:eastAsia="宋体" w:cs="宋体"/>
          <w:spacing w:val="9"/>
          <w:position w:val="1"/>
          <w:sz w:val="20"/>
          <w:szCs w:val="20"/>
        </w:rPr>
        <w:t>第四种方法：发、承包双方约定的其他方式。</w:t>
      </w:r>
    </w:p>
    <w:p>
      <w:pPr>
        <w:spacing w:before="121" w:line="369" w:lineRule="auto"/>
        <w:ind w:right="12" w:firstLine="412"/>
        <w:jc w:val="both"/>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7"/>
          <w:sz w:val="20"/>
          <w:szCs w:val="20"/>
        </w:rPr>
        <w:t xml:space="preserve"> </w:t>
      </w:r>
      <w:r>
        <w:rPr>
          <w:rFonts w:ascii="宋体" w:hAnsi="宋体" w:eastAsia="宋体" w:cs="宋体"/>
          <w:spacing w:val="8"/>
          <w:sz w:val="20"/>
          <w:szCs w:val="20"/>
        </w:rPr>
        <w:t>1）工程变更引起施工方案改变，并使措施项目发生变化的，承</w:t>
      </w:r>
      <w:r>
        <w:rPr>
          <w:rFonts w:ascii="宋体" w:hAnsi="宋体" w:eastAsia="宋体" w:cs="宋体"/>
          <w:spacing w:val="7"/>
          <w:sz w:val="20"/>
          <w:szCs w:val="20"/>
        </w:rPr>
        <w:t>包人提出调整措施项目费的，</w:t>
      </w:r>
      <w:r>
        <w:rPr>
          <w:rFonts w:ascii="宋体" w:hAnsi="宋体" w:eastAsia="宋体" w:cs="宋体"/>
          <w:spacing w:val="11"/>
          <w:sz w:val="20"/>
          <w:szCs w:val="20"/>
        </w:rPr>
        <w:t>应事先将拟实施的方案提交发包人确认，并详细说明与原方案措施项目相比的</w:t>
      </w:r>
      <w:r>
        <w:rPr>
          <w:rFonts w:ascii="宋体" w:hAnsi="宋体" w:eastAsia="宋体" w:cs="宋体"/>
          <w:spacing w:val="10"/>
          <w:sz w:val="20"/>
          <w:szCs w:val="20"/>
        </w:rPr>
        <w:t>变化情况。拟实施的</w:t>
      </w:r>
      <w:r>
        <w:rPr>
          <w:rFonts w:ascii="宋体" w:hAnsi="宋体" w:eastAsia="宋体" w:cs="宋体"/>
          <w:spacing w:val="9"/>
          <w:sz w:val="20"/>
          <w:szCs w:val="20"/>
        </w:rPr>
        <w:t>方案经发承包双方确认后执行。并应按照下列规定调整措施项目费：</w:t>
      </w:r>
    </w:p>
    <w:p>
      <w:pPr>
        <w:spacing w:line="276" w:lineRule="exact"/>
        <w:jc w:val="right"/>
        <w:rPr>
          <w:rFonts w:ascii="宋体" w:hAnsi="宋体" w:eastAsia="宋体" w:cs="宋体"/>
          <w:sz w:val="20"/>
          <w:szCs w:val="20"/>
        </w:rPr>
      </w:pPr>
      <w:r>
        <w:rPr>
          <w:rFonts w:ascii="宋体" w:hAnsi="宋体" w:eastAsia="宋体" w:cs="宋体"/>
          <w:spacing w:val="8"/>
          <w:position w:val="1"/>
          <w:sz w:val="20"/>
          <w:szCs w:val="20"/>
        </w:rPr>
        <w:t>1）采用单价计算的措施项目费，按照实际发生变化的措施项目按本节第</w:t>
      </w:r>
      <w:r>
        <w:rPr>
          <w:rFonts w:ascii="宋体" w:hAnsi="宋体" w:eastAsia="宋体" w:cs="宋体"/>
          <w:spacing w:val="-34"/>
          <w:position w:val="1"/>
          <w:sz w:val="20"/>
          <w:szCs w:val="20"/>
        </w:rPr>
        <w:t xml:space="preserve"> </w:t>
      </w:r>
      <w:r>
        <w:rPr>
          <w:rFonts w:ascii="宋体" w:hAnsi="宋体" w:eastAsia="宋体" w:cs="宋体"/>
          <w:spacing w:val="8"/>
          <w:position w:val="1"/>
          <w:sz w:val="20"/>
          <w:szCs w:val="20"/>
        </w:rPr>
        <w:t>3</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条的规定确定单价。</w:t>
      </w:r>
    </w:p>
    <w:p>
      <w:pPr>
        <w:spacing w:before="126" w:line="312" w:lineRule="auto"/>
        <w:ind w:left="3" w:right="35" w:firstLine="420"/>
        <w:rPr>
          <w:rFonts w:ascii="宋体" w:hAnsi="宋体" w:eastAsia="宋体" w:cs="宋体"/>
          <w:sz w:val="20"/>
          <w:szCs w:val="20"/>
        </w:rPr>
      </w:pPr>
      <w:r>
        <w:rPr>
          <w:rFonts w:ascii="宋体" w:hAnsi="宋体" w:eastAsia="宋体" w:cs="宋体"/>
          <w:spacing w:val="8"/>
          <w:sz w:val="20"/>
          <w:szCs w:val="20"/>
        </w:rPr>
        <w:t>2）按总价（或系数）计算的措施项目费，按照实际发生变化的措施项目调整，但应考虑承包人</w:t>
      </w:r>
      <w:r>
        <w:rPr>
          <w:rFonts w:ascii="宋体" w:hAnsi="宋体" w:eastAsia="宋体" w:cs="宋体"/>
          <w:spacing w:val="9"/>
          <w:sz w:val="20"/>
          <w:szCs w:val="20"/>
        </w:rPr>
        <w:t>报价浮动因素，即调整金额按照实际调整金额乘以本节第</w:t>
      </w:r>
      <w:r>
        <w:rPr>
          <w:rFonts w:ascii="宋体" w:hAnsi="宋体" w:eastAsia="宋体" w:cs="宋体"/>
          <w:spacing w:val="-36"/>
          <w:sz w:val="20"/>
          <w:szCs w:val="20"/>
        </w:rPr>
        <w:t xml:space="preserve"> </w:t>
      </w:r>
      <w:r>
        <w:rPr>
          <w:rFonts w:ascii="宋体" w:hAnsi="宋体" w:eastAsia="宋体" w:cs="宋体"/>
          <w:spacing w:val="9"/>
          <w:sz w:val="20"/>
          <w:szCs w:val="20"/>
        </w:rPr>
        <w:t>3</w:t>
      </w:r>
      <w:r>
        <w:rPr>
          <w:rFonts w:ascii="宋体" w:hAnsi="宋体" w:eastAsia="宋体" w:cs="宋体"/>
          <w:spacing w:val="-42"/>
          <w:sz w:val="20"/>
          <w:szCs w:val="20"/>
        </w:rPr>
        <w:t xml:space="preserve"> </w:t>
      </w:r>
      <w:r>
        <w:rPr>
          <w:rFonts w:ascii="宋体" w:hAnsi="宋体" w:eastAsia="宋体" w:cs="宋体"/>
          <w:spacing w:val="9"/>
          <w:sz w:val="20"/>
          <w:szCs w:val="20"/>
        </w:rPr>
        <w:t>条规定的承包人报价浮动率计算。</w:t>
      </w:r>
    </w:p>
    <w:p>
      <w:pPr>
        <w:spacing w:before="126" w:line="368" w:lineRule="auto"/>
        <w:ind w:left="3" w:right="36" w:firstLine="420"/>
        <w:rPr>
          <w:rFonts w:ascii="宋体" w:hAnsi="宋体" w:eastAsia="宋体" w:cs="宋体"/>
          <w:sz w:val="20"/>
          <w:szCs w:val="20"/>
        </w:rPr>
      </w:pPr>
      <w:r>
        <w:rPr>
          <w:rFonts w:ascii="宋体" w:hAnsi="宋体" w:eastAsia="宋体" w:cs="宋体"/>
          <w:spacing w:val="11"/>
          <w:sz w:val="20"/>
          <w:szCs w:val="20"/>
        </w:rPr>
        <w:t>如果承包人未事先将拟实施的方案提交给发包人确认，则视为工程变更</w:t>
      </w:r>
      <w:r>
        <w:rPr>
          <w:rFonts w:ascii="宋体" w:hAnsi="宋体" w:eastAsia="宋体" w:cs="宋体"/>
          <w:spacing w:val="10"/>
          <w:sz w:val="20"/>
          <w:szCs w:val="20"/>
        </w:rPr>
        <w:t>不引起措施项目费的调</w:t>
      </w:r>
      <w:r>
        <w:rPr>
          <w:rFonts w:ascii="宋体" w:hAnsi="宋体" w:eastAsia="宋体" w:cs="宋体"/>
          <w:spacing w:val="9"/>
          <w:sz w:val="20"/>
          <w:szCs w:val="20"/>
        </w:rPr>
        <w:t>整或承包人放弃调整措施项目费的权利。</w:t>
      </w:r>
    </w:p>
    <w:p>
      <w:pPr>
        <w:spacing w:before="2" w:line="355" w:lineRule="auto"/>
        <w:ind w:right="35" w:firstLine="412"/>
        <w:jc w:val="both"/>
        <w:rPr>
          <w:rFonts w:ascii="宋体" w:hAnsi="宋体" w:eastAsia="宋体" w:cs="宋体"/>
          <w:sz w:val="20"/>
          <w:szCs w:val="20"/>
        </w:rPr>
      </w:pPr>
      <w:r>
        <w:rPr>
          <w:rFonts w:ascii="宋体" w:hAnsi="宋体" w:eastAsia="宋体" w:cs="宋体"/>
          <w:spacing w:val="8"/>
          <w:sz w:val="20"/>
          <w:szCs w:val="20"/>
        </w:rPr>
        <w:t>（2）当发包人提出的工程变更因非承包人原因删减了合同中的某项原定工作或工程，致使承包</w:t>
      </w:r>
      <w:r>
        <w:rPr>
          <w:rFonts w:ascii="宋体" w:hAnsi="宋体" w:eastAsia="宋体" w:cs="宋体"/>
          <w:spacing w:val="11"/>
          <w:sz w:val="20"/>
          <w:szCs w:val="20"/>
        </w:rPr>
        <w:t>人发生的费用或（和）得到的收益不能被包括在其他已支付或应支付的项目中</w:t>
      </w:r>
      <w:r>
        <w:rPr>
          <w:rFonts w:ascii="宋体" w:hAnsi="宋体" w:eastAsia="宋体" w:cs="宋体"/>
          <w:spacing w:val="10"/>
          <w:sz w:val="20"/>
          <w:szCs w:val="20"/>
        </w:rPr>
        <w:t>，也未被包含在任何</w:t>
      </w:r>
      <w:r>
        <w:rPr>
          <w:rFonts w:ascii="宋体" w:hAnsi="宋体" w:eastAsia="宋体" w:cs="宋体"/>
          <w:spacing w:val="9"/>
          <w:sz w:val="20"/>
          <w:szCs w:val="20"/>
        </w:rPr>
        <w:t>替代的工作或工程中时，承包人有权提出并应得到合理的费用及利润补偿。</w:t>
      </w:r>
    </w:p>
    <w:p>
      <w:pPr>
        <w:spacing w:line="355" w:lineRule="auto"/>
        <w:rPr>
          <w:rFonts w:ascii="宋体" w:hAnsi="宋体" w:eastAsia="宋体" w:cs="宋体"/>
          <w:sz w:val="20"/>
          <w:szCs w:val="20"/>
        </w:rPr>
        <w:sectPr>
          <w:footerReference r:id="rId32" w:type="default"/>
          <w:pgSz w:w="11905" w:h="16840"/>
          <w:pgMar w:top="1431" w:right="1383" w:bottom="1213" w:left="1418" w:header="0" w:footer="898" w:gutter="0"/>
        </w:sectPr>
      </w:pPr>
    </w:p>
    <w:p>
      <w:pPr>
        <w:spacing w:before="124" w:line="322" w:lineRule="auto"/>
        <w:ind w:left="1" w:right="64" w:firstLine="413"/>
        <w:rPr>
          <w:rFonts w:ascii="宋体" w:hAnsi="宋体" w:eastAsia="宋体" w:cs="宋体"/>
          <w:sz w:val="20"/>
          <w:szCs w:val="20"/>
        </w:rPr>
      </w:pPr>
      <w:r>
        <w:rPr>
          <w:rFonts w:ascii="宋体" w:hAnsi="宋体" w:eastAsia="宋体" w:cs="宋体"/>
          <w:spacing w:val="8"/>
          <w:sz w:val="20"/>
          <w:szCs w:val="20"/>
        </w:rPr>
        <w:t>（3）发包人在招标工程量清单中对项目特征的描述，应被认为是准确的和全面的，并且与实际</w:t>
      </w:r>
      <w:r>
        <w:rPr>
          <w:rFonts w:ascii="宋体" w:hAnsi="宋体" w:eastAsia="宋体" w:cs="宋体"/>
          <w:spacing w:val="11"/>
          <w:sz w:val="20"/>
          <w:szCs w:val="20"/>
        </w:rPr>
        <w:t>施工要求相符合。承包人应按照发包人提供的招标工程量清单，根据项目特征描</w:t>
      </w:r>
      <w:r>
        <w:rPr>
          <w:rFonts w:ascii="宋体" w:hAnsi="宋体" w:eastAsia="宋体" w:cs="宋体"/>
          <w:spacing w:val="10"/>
          <w:sz w:val="20"/>
          <w:szCs w:val="20"/>
        </w:rPr>
        <w:t>述的内容及有关要</w:t>
      </w:r>
      <w:r>
        <w:rPr>
          <w:rFonts w:ascii="宋体" w:hAnsi="宋体" w:eastAsia="宋体" w:cs="宋体"/>
          <w:spacing w:val="9"/>
          <w:sz w:val="20"/>
          <w:szCs w:val="20"/>
        </w:rPr>
        <w:t>求实施合同工程，直到项目被改变为止。</w:t>
      </w:r>
    </w:p>
    <w:p>
      <w:pPr>
        <w:spacing w:before="151" w:line="322" w:lineRule="auto"/>
        <w:ind w:firstLine="414"/>
        <w:rPr>
          <w:rFonts w:ascii="宋体" w:hAnsi="宋体" w:eastAsia="宋体" w:cs="宋体"/>
          <w:sz w:val="20"/>
          <w:szCs w:val="20"/>
        </w:rPr>
      </w:pPr>
      <w:r>
        <w:rPr>
          <w:rFonts w:ascii="宋体" w:hAnsi="宋体" w:eastAsia="宋体" w:cs="宋体"/>
          <w:spacing w:val="8"/>
          <w:sz w:val="20"/>
          <w:szCs w:val="20"/>
        </w:rPr>
        <w:t>（4）承包人应按照发包人提供的设计图纸实施合同工程，若在合同履行期间出现设计图纸（含设计变更）与招标工程量清单任一项目的特征描述不符</w:t>
      </w:r>
      <w:r>
        <w:rPr>
          <w:rFonts w:ascii="宋体" w:hAnsi="宋体" w:eastAsia="宋体" w:cs="宋体"/>
          <w:spacing w:val="7"/>
          <w:sz w:val="20"/>
          <w:szCs w:val="20"/>
        </w:rPr>
        <w:t>，且该变化引起该项目工程造价增减变化的，</w:t>
      </w:r>
      <w:r>
        <w:rPr>
          <w:rFonts w:ascii="宋体" w:hAnsi="宋体" w:eastAsia="宋体" w:cs="宋体"/>
          <w:spacing w:val="10"/>
          <w:sz w:val="20"/>
          <w:szCs w:val="20"/>
        </w:rPr>
        <w:t>应按实际施工的项目特征重新确定相应工程量清单项目</w:t>
      </w:r>
      <w:r>
        <w:rPr>
          <w:rFonts w:ascii="宋体" w:hAnsi="宋体" w:eastAsia="宋体" w:cs="宋体"/>
          <w:spacing w:val="9"/>
          <w:sz w:val="20"/>
          <w:szCs w:val="20"/>
        </w:rPr>
        <w:t>的综合单价，并调整合同价款。</w:t>
      </w:r>
    </w:p>
    <w:p>
      <w:pPr>
        <w:spacing w:before="155" w:line="276" w:lineRule="exact"/>
        <w:ind w:left="414"/>
        <w:rPr>
          <w:rFonts w:ascii="宋体" w:hAnsi="宋体" w:eastAsia="宋体" w:cs="宋体"/>
          <w:sz w:val="20"/>
          <w:szCs w:val="20"/>
        </w:rPr>
      </w:pPr>
      <w:r>
        <w:rPr>
          <w:rFonts w:ascii="宋体" w:hAnsi="宋体" w:eastAsia="宋体" w:cs="宋体"/>
          <w:spacing w:val="8"/>
          <w:position w:val="1"/>
          <w:sz w:val="20"/>
          <w:szCs w:val="20"/>
        </w:rPr>
        <w:t>（5）合同履行期间，由于招标工程量清单中缺项，新增分部分项工程清单项目的，应按照本节</w:t>
      </w:r>
    </w:p>
    <w:p>
      <w:pPr>
        <w:spacing w:before="124" w:line="276" w:lineRule="exact"/>
        <w:ind w:left="1"/>
        <w:rPr>
          <w:rFonts w:ascii="宋体" w:hAnsi="宋体" w:eastAsia="宋体" w:cs="宋体"/>
          <w:sz w:val="20"/>
          <w:szCs w:val="20"/>
        </w:rPr>
      </w:pPr>
      <w:r>
        <w:rPr>
          <w:rFonts w:ascii="宋体" w:hAnsi="宋体" w:eastAsia="宋体" w:cs="宋体"/>
          <w:spacing w:val="8"/>
          <w:position w:val="1"/>
          <w:sz w:val="20"/>
          <w:szCs w:val="20"/>
        </w:rPr>
        <w:t>第</w:t>
      </w:r>
      <w:r>
        <w:rPr>
          <w:rFonts w:ascii="宋体" w:hAnsi="宋体" w:eastAsia="宋体" w:cs="宋体"/>
          <w:spacing w:val="-36"/>
          <w:position w:val="1"/>
          <w:sz w:val="20"/>
          <w:szCs w:val="20"/>
        </w:rPr>
        <w:t xml:space="preserve"> </w:t>
      </w:r>
      <w:r>
        <w:rPr>
          <w:rFonts w:ascii="宋体" w:hAnsi="宋体" w:eastAsia="宋体" w:cs="宋体"/>
          <w:spacing w:val="8"/>
          <w:position w:val="1"/>
          <w:sz w:val="20"/>
          <w:szCs w:val="20"/>
        </w:rPr>
        <w:t>3</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条规定确定单价，并调整合同价款。</w:t>
      </w:r>
    </w:p>
    <w:p>
      <w:pPr>
        <w:spacing w:before="126" w:line="295" w:lineRule="auto"/>
        <w:ind w:left="2" w:right="64" w:firstLine="412"/>
        <w:rPr>
          <w:rFonts w:ascii="宋体" w:hAnsi="宋体" w:eastAsia="宋体" w:cs="宋体"/>
          <w:sz w:val="20"/>
          <w:szCs w:val="20"/>
        </w:rPr>
      </w:pPr>
      <w:r>
        <w:rPr>
          <w:rFonts w:ascii="宋体" w:hAnsi="宋体" w:eastAsia="宋体" w:cs="宋体"/>
          <w:spacing w:val="8"/>
          <w:sz w:val="20"/>
          <w:szCs w:val="20"/>
        </w:rPr>
        <w:t>（6）新增分部分项工程清单项目后，引起措施项目发生变化的，应按照本节第</w:t>
      </w:r>
      <w:r>
        <w:rPr>
          <w:rFonts w:ascii="宋体" w:hAnsi="宋体" w:eastAsia="宋体" w:cs="宋体"/>
          <w:spacing w:val="-40"/>
          <w:sz w:val="20"/>
          <w:szCs w:val="20"/>
        </w:rPr>
        <w:t xml:space="preserve"> </w:t>
      </w:r>
      <w:r>
        <w:rPr>
          <w:rFonts w:ascii="宋体" w:hAnsi="宋体" w:eastAsia="宋体" w:cs="宋体"/>
          <w:spacing w:val="8"/>
          <w:sz w:val="20"/>
          <w:szCs w:val="20"/>
        </w:rPr>
        <w:t>4</w:t>
      </w:r>
      <w:r>
        <w:rPr>
          <w:rFonts w:ascii="宋体" w:hAnsi="宋体" w:eastAsia="宋体" w:cs="宋体"/>
          <w:spacing w:val="-43"/>
          <w:sz w:val="20"/>
          <w:szCs w:val="20"/>
        </w:rPr>
        <w:t xml:space="preserve"> </w:t>
      </w:r>
      <w:r>
        <w:rPr>
          <w:rFonts w:ascii="宋体" w:hAnsi="宋体" w:eastAsia="宋体" w:cs="宋体"/>
          <w:spacing w:val="8"/>
          <w:sz w:val="20"/>
          <w:szCs w:val="20"/>
        </w:rPr>
        <w:t>条规定，在承</w:t>
      </w:r>
      <w:r>
        <w:rPr>
          <w:rFonts w:ascii="宋体" w:hAnsi="宋体" w:eastAsia="宋体" w:cs="宋体"/>
          <w:spacing w:val="9"/>
          <w:sz w:val="20"/>
          <w:szCs w:val="20"/>
        </w:rPr>
        <w:t>包人提交的实施方案被发包人批准后调整合同价款。</w:t>
      </w:r>
    </w:p>
    <w:p>
      <w:pPr>
        <w:spacing w:before="158" w:line="297" w:lineRule="auto"/>
        <w:ind w:left="2" w:right="64" w:firstLine="412"/>
        <w:rPr>
          <w:rFonts w:ascii="宋体" w:hAnsi="宋体" w:eastAsia="宋体" w:cs="宋体"/>
          <w:sz w:val="20"/>
          <w:szCs w:val="20"/>
        </w:rPr>
      </w:pPr>
      <w:r>
        <w:rPr>
          <w:rFonts w:ascii="宋体" w:hAnsi="宋体" w:eastAsia="宋体" w:cs="宋体"/>
          <w:spacing w:val="8"/>
          <w:sz w:val="20"/>
          <w:szCs w:val="20"/>
        </w:rPr>
        <w:t>（7）合同履行期间，当应予计算的实际工程量与招标工程量清单出现偏差，发承包双方应调整</w:t>
      </w:r>
      <w:r>
        <w:rPr>
          <w:rFonts w:ascii="宋体" w:hAnsi="宋体" w:eastAsia="宋体" w:cs="宋体"/>
          <w:spacing w:val="6"/>
          <w:sz w:val="20"/>
          <w:szCs w:val="20"/>
        </w:rPr>
        <w:t>合同价款。</w:t>
      </w:r>
    </w:p>
    <w:p>
      <w:pPr>
        <w:spacing w:before="155" w:line="332" w:lineRule="auto"/>
        <w:ind w:left="3" w:right="62" w:firstLine="438"/>
        <w:rPr>
          <w:rFonts w:ascii="宋体" w:hAnsi="宋体" w:eastAsia="宋体" w:cs="宋体"/>
          <w:sz w:val="20"/>
          <w:szCs w:val="20"/>
        </w:rPr>
      </w:pPr>
      <w:r>
        <w:rPr>
          <w:rFonts w:ascii="宋体" w:hAnsi="宋体" w:eastAsia="宋体" w:cs="宋体"/>
          <w:spacing w:val="8"/>
          <w:sz w:val="20"/>
          <w:szCs w:val="20"/>
        </w:rPr>
        <w:t>1）对于任一招标工程量清单项目，当因本节规定的工程量偏差工程变</w:t>
      </w:r>
      <w:r>
        <w:rPr>
          <w:rFonts w:ascii="宋体" w:hAnsi="宋体" w:eastAsia="宋体" w:cs="宋体"/>
          <w:spacing w:val="7"/>
          <w:sz w:val="20"/>
          <w:szCs w:val="20"/>
        </w:rPr>
        <w:t>更等原因导致工程量偏差</w:t>
      </w:r>
      <w:r>
        <w:rPr>
          <w:rFonts w:ascii="宋体" w:hAnsi="宋体" w:eastAsia="宋体" w:cs="宋体"/>
          <w:spacing w:val="12"/>
          <w:sz w:val="20"/>
          <w:szCs w:val="20"/>
        </w:rPr>
        <w:t>超过</w:t>
      </w:r>
      <w:r>
        <w:rPr>
          <w:rFonts w:ascii="宋体" w:hAnsi="宋体" w:eastAsia="宋体" w:cs="宋体"/>
          <w:spacing w:val="-41"/>
          <w:sz w:val="20"/>
          <w:szCs w:val="20"/>
        </w:rPr>
        <w:t xml:space="preserve"> </w:t>
      </w:r>
      <w:r>
        <w:rPr>
          <w:rFonts w:ascii="宋体" w:hAnsi="宋体" w:eastAsia="宋体" w:cs="宋体"/>
          <w:spacing w:val="12"/>
          <w:sz w:val="20"/>
          <w:szCs w:val="20"/>
        </w:rPr>
        <w:t>l5%时，可进行调整。当工程量增加</w:t>
      </w:r>
      <w:r>
        <w:rPr>
          <w:rFonts w:ascii="宋体" w:hAnsi="宋体" w:eastAsia="宋体" w:cs="宋体"/>
          <w:spacing w:val="-22"/>
          <w:sz w:val="20"/>
          <w:szCs w:val="20"/>
        </w:rPr>
        <w:t xml:space="preserve"> </w:t>
      </w:r>
      <w:r>
        <w:rPr>
          <w:rFonts w:ascii="宋体" w:hAnsi="宋体" w:eastAsia="宋体" w:cs="宋体"/>
          <w:spacing w:val="12"/>
          <w:sz w:val="20"/>
          <w:szCs w:val="20"/>
        </w:rPr>
        <w:t>15%以上时，增加部分的工程量</w:t>
      </w:r>
      <w:r>
        <w:rPr>
          <w:rFonts w:ascii="宋体" w:hAnsi="宋体" w:eastAsia="宋体" w:cs="宋体"/>
          <w:spacing w:val="11"/>
          <w:sz w:val="20"/>
          <w:szCs w:val="20"/>
        </w:rPr>
        <w:t>的综合单价应予调低；当</w:t>
      </w:r>
      <w:r>
        <w:rPr>
          <w:rFonts w:ascii="宋体" w:hAnsi="宋体" w:eastAsia="宋体" w:cs="宋体"/>
          <w:spacing w:val="10"/>
          <w:sz w:val="20"/>
          <w:szCs w:val="20"/>
        </w:rPr>
        <w:t>工程量减少</w:t>
      </w:r>
      <w:r>
        <w:rPr>
          <w:rFonts w:ascii="宋体" w:hAnsi="宋体" w:eastAsia="宋体" w:cs="宋体"/>
          <w:spacing w:val="-12"/>
          <w:sz w:val="20"/>
          <w:szCs w:val="20"/>
        </w:rPr>
        <w:t xml:space="preserve"> </w:t>
      </w:r>
      <w:r>
        <w:rPr>
          <w:rFonts w:ascii="宋体" w:hAnsi="宋体" w:eastAsia="宋体" w:cs="宋体"/>
          <w:spacing w:val="10"/>
          <w:sz w:val="20"/>
          <w:szCs w:val="20"/>
        </w:rPr>
        <w:t>15%以上时，减少后剩余部分的工程量的综合单价应予调高。</w:t>
      </w:r>
    </w:p>
    <w:p>
      <w:pPr>
        <w:spacing w:before="123" w:line="297" w:lineRule="auto"/>
        <w:ind w:left="4" w:right="64" w:firstLine="420"/>
        <w:rPr>
          <w:rFonts w:ascii="宋体" w:hAnsi="宋体" w:eastAsia="宋体" w:cs="宋体"/>
          <w:sz w:val="20"/>
          <w:szCs w:val="20"/>
        </w:rPr>
      </w:pPr>
      <w:r>
        <w:rPr>
          <w:rFonts w:ascii="宋体" w:hAnsi="宋体" w:eastAsia="宋体" w:cs="宋体"/>
          <w:spacing w:val="8"/>
          <w:sz w:val="20"/>
          <w:szCs w:val="20"/>
        </w:rPr>
        <w:t>2）当工程量出现变化，且该变化引起相关措施项目相应发生变化时，按系数或单一总价方式计</w:t>
      </w:r>
      <w:r>
        <w:rPr>
          <w:rFonts w:ascii="宋体" w:hAnsi="宋体" w:eastAsia="宋体" w:cs="宋体"/>
          <w:spacing w:val="9"/>
          <w:sz w:val="20"/>
          <w:szCs w:val="20"/>
        </w:rPr>
        <w:t>价的，工程量增加的措施项目费调增，工程量减少的措施项目费调减。</w:t>
      </w:r>
    </w:p>
    <w:p>
      <w:pPr>
        <w:spacing w:before="158" w:line="296" w:lineRule="auto"/>
        <w:ind w:left="22" w:right="64" w:firstLine="391"/>
        <w:rPr>
          <w:rFonts w:ascii="宋体" w:hAnsi="宋体" w:eastAsia="宋体" w:cs="宋体"/>
          <w:sz w:val="20"/>
          <w:szCs w:val="20"/>
        </w:rPr>
      </w:pPr>
      <w:r>
        <w:rPr>
          <w:rFonts w:ascii="宋体" w:hAnsi="宋体" w:eastAsia="宋体" w:cs="宋体"/>
          <w:spacing w:val="8"/>
          <w:sz w:val="20"/>
          <w:szCs w:val="20"/>
        </w:rPr>
        <w:t>（8）合同履行期间，因人工、材料、工程设备、机械台班价格波动影响合同价款时，应根据合</w:t>
      </w:r>
      <w:r>
        <w:rPr>
          <w:rFonts w:ascii="宋体" w:hAnsi="宋体" w:eastAsia="宋体" w:cs="宋体"/>
          <w:spacing w:val="6"/>
          <w:sz w:val="20"/>
          <w:szCs w:val="20"/>
        </w:rPr>
        <w:t>同约定，调整工程价款。</w:t>
      </w:r>
    </w:p>
    <w:p>
      <w:pPr>
        <w:spacing w:before="157" w:line="276" w:lineRule="exact"/>
        <w:ind w:left="414"/>
        <w:rPr>
          <w:rFonts w:ascii="宋体" w:hAnsi="宋体" w:eastAsia="宋体" w:cs="宋体"/>
          <w:sz w:val="20"/>
          <w:szCs w:val="20"/>
        </w:rPr>
      </w:pPr>
      <w:r>
        <w:rPr>
          <w:rFonts w:ascii="宋体" w:hAnsi="宋体" w:eastAsia="宋体" w:cs="宋体"/>
          <w:spacing w:val="10"/>
          <w:position w:val="1"/>
          <w:sz w:val="20"/>
          <w:szCs w:val="20"/>
        </w:rPr>
        <w:t>（9）发生合同工程工期延误的，应按照下列</w:t>
      </w:r>
      <w:r>
        <w:rPr>
          <w:rFonts w:ascii="宋体" w:hAnsi="宋体" w:eastAsia="宋体" w:cs="宋体"/>
          <w:spacing w:val="9"/>
          <w:position w:val="1"/>
          <w:sz w:val="20"/>
          <w:szCs w:val="20"/>
        </w:rPr>
        <w:t>规定确定合同履行期的价格调整：</w:t>
      </w:r>
    </w:p>
    <w:p>
      <w:pPr>
        <w:spacing w:before="125" w:line="296" w:lineRule="auto"/>
        <w:ind w:left="15" w:right="64" w:firstLine="426"/>
        <w:rPr>
          <w:rFonts w:ascii="宋体" w:hAnsi="宋体" w:eastAsia="宋体" w:cs="宋体"/>
          <w:sz w:val="20"/>
          <w:szCs w:val="20"/>
        </w:rPr>
      </w:pPr>
      <w:r>
        <w:rPr>
          <w:rFonts w:ascii="宋体" w:hAnsi="宋体" w:eastAsia="宋体" w:cs="宋体"/>
          <w:spacing w:val="8"/>
          <w:sz w:val="20"/>
          <w:szCs w:val="20"/>
        </w:rPr>
        <w:t>1）因非承包人原因导致工期延误的，计划进度日期后续工程的价格，</w:t>
      </w:r>
      <w:r>
        <w:rPr>
          <w:rFonts w:ascii="宋体" w:hAnsi="宋体" w:eastAsia="宋体" w:cs="宋体"/>
          <w:spacing w:val="7"/>
          <w:sz w:val="20"/>
          <w:szCs w:val="20"/>
        </w:rPr>
        <w:t>应采用计划进度日期与实际进度日期两者的较高者。</w:t>
      </w:r>
    </w:p>
    <w:p>
      <w:pPr>
        <w:spacing w:before="158" w:line="297" w:lineRule="auto"/>
        <w:ind w:left="3" w:right="64" w:firstLine="421"/>
        <w:rPr>
          <w:rFonts w:ascii="宋体" w:hAnsi="宋体" w:eastAsia="宋体" w:cs="宋体"/>
          <w:sz w:val="20"/>
          <w:szCs w:val="20"/>
        </w:rPr>
      </w:pPr>
      <w:r>
        <w:rPr>
          <w:rFonts w:ascii="宋体" w:hAnsi="宋体" w:eastAsia="宋体" w:cs="宋体"/>
          <w:spacing w:val="8"/>
          <w:sz w:val="20"/>
          <w:szCs w:val="20"/>
        </w:rPr>
        <w:t>2）因承包人原因导致工期延误的，计划进度日期后续工程的价格，应采用计划进度日期与实际进度日期两者的较低者。</w:t>
      </w:r>
    </w:p>
    <w:p>
      <w:pPr>
        <w:spacing w:before="156" w:line="297" w:lineRule="auto"/>
        <w:ind w:left="8" w:right="64" w:firstLine="406"/>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10）发包人在招标工程量清单中给定暂估价</w:t>
      </w:r>
      <w:r>
        <w:rPr>
          <w:rFonts w:ascii="宋体" w:hAnsi="宋体" w:eastAsia="宋体" w:cs="宋体"/>
          <w:spacing w:val="9"/>
          <w:sz w:val="20"/>
          <w:szCs w:val="20"/>
        </w:rPr>
        <w:t>的材料、工程设备属于依法必须招标的，应由发承包双方以招标的方式选择供应商，确定价格，并应以此为依据取代暂估价，调整合同价款。</w:t>
      </w:r>
    </w:p>
    <w:p>
      <w:pPr>
        <w:spacing w:before="158" w:line="296" w:lineRule="auto"/>
        <w:ind w:left="8" w:right="64" w:firstLine="406"/>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11）发包人在招标工程量清单中给定暂估价</w:t>
      </w:r>
      <w:r>
        <w:rPr>
          <w:rFonts w:ascii="宋体" w:hAnsi="宋体" w:eastAsia="宋体" w:cs="宋体"/>
          <w:spacing w:val="9"/>
          <w:sz w:val="20"/>
          <w:szCs w:val="20"/>
        </w:rPr>
        <w:t>的材料、工程设备不属于依法必须招标的，应由承包人按照合同约定采购，经发包人确认单价后取代暂估价，调整合同价款。</w:t>
      </w:r>
    </w:p>
    <w:p>
      <w:pPr>
        <w:spacing w:before="158" w:line="297" w:lineRule="auto"/>
        <w:ind w:left="3" w:right="64"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12）发包人在工程量清单中给定暂估价的专</w:t>
      </w:r>
      <w:r>
        <w:rPr>
          <w:rFonts w:ascii="宋体" w:hAnsi="宋体" w:eastAsia="宋体" w:cs="宋体"/>
          <w:spacing w:val="9"/>
          <w:sz w:val="20"/>
          <w:szCs w:val="20"/>
        </w:rPr>
        <w:t>业工程不属于依法必须招标的，应按照本节相关规定确定专业工程价款，并应以此为依据取代专业工程暂估价，调整合同价款。</w:t>
      </w:r>
    </w:p>
    <w:p>
      <w:pPr>
        <w:spacing w:before="154" w:line="333" w:lineRule="auto"/>
        <w:ind w:left="3" w:right="64" w:firstLine="41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13）发包人在招标工程量清单中给定暂估价</w:t>
      </w:r>
      <w:r>
        <w:rPr>
          <w:rFonts w:ascii="宋体" w:hAnsi="宋体" w:eastAsia="宋体" w:cs="宋体"/>
          <w:spacing w:val="9"/>
          <w:sz w:val="20"/>
          <w:szCs w:val="20"/>
        </w:rPr>
        <w:t>的专业工程，依法必须招标的，应当由发承包双</w:t>
      </w:r>
      <w:r>
        <w:rPr>
          <w:rFonts w:ascii="宋体" w:hAnsi="宋体" w:eastAsia="宋体" w:cs="宋体"/>
          <w:spacing w:val="11"/>
          <w:sz w:val="20"/>
          <w:szCs w:val="20"/>
        </w:rPr>
        <w:t>方依法组织招标选择专业分包人，并接受有管辖权的建设工程招标投标管理机</w:t>
      </w:r>
      <w:r>
        <w:rPr>
          <w:rFonts w:ascii="宋体" w:hAnsi="宋体" w:eastAsia="宋体" w:cs="宋体"/>
          <w:spacing w:val="10"/>
          <w:sz w:val="20"/>
          <w:szCs w:val="20"/>
        </w:rPr>
        <w:t>构的监督，还应符合</w:t>
      </w:r>
      <w:r>
        <w:rPr>
          <w:rFonts w:ascii="宋体" w:hAnsi="宋体" w:eastAsia="宋体" w:cs="宋体"/>
          <w:spacing w:val="6"/>
          <w:sz w:val="20"/>
          <w:szCs w:val="20"/>
        </w:rPr>
        <w:t>下列要求：</w:t>
      </w:r>
    </w:p>
    <w:p>
      <w:pPr>
        <w:spacing w:before="119" w:line="352" w:lineRule="auto"/>
        <w:ind w:left="2" w:right="64" w:firstLine="439"/>
        <w:rPr>
          <w:rFonts w:ascii="宋体" w:hAnsi="宋体" w:eastAsia="宋体" w:cs="宋体"/>
          <w:sz w:val="20"/>
          <w:szCs w:val="20"/>
        </w:rPr>
      </w:pPr>
      <w:r>
        <w:rPr>
          <w:rFonts w:ascii="宋体" w:hAnsi="宋体" w:eastAsia="宋体" w:cs="宋体"/>
          <w:spacing w:val="8"/>
          <w:sz w:val="20"/>
          <w:szCs w:val="20"/>
        </w:rPr>
        <w:t>1）除合同另有约定外，承包人不参加投标的专业工程发包招标，应由承</w:t>
      </w:r>
      <w:r>
        <w:rPr>
          <w:rFonts w:ascii="宋体" w:hAnsi="宋体" w:eastAsia="宋体" w:cs="宋体"/>
          <w:spacing w:val="7"/>
          <w:sz w:val="20"/>
          <w:szCs w:val="20"/>
        </w:rPr>
        <w:t>包人作为招标人，但拟</w:t>
      </w:r>
      <w:r>
        <w:rPr>
          <w:rFonts w:ascii="宋体" w:hAnsi="宋体" w:eastAsia="宋体" w:cs="宋体"/>
          <w:spacing w:val="11"/>
          <w:sz w:val="20"/>
          <w:szCs w:val="20"/>
        </w:rPr>
        <w:t>定的招标文件、评标工作、评标结果应报送发包人批准。与组织招标工作有关</w:t>
      </w:r>
      <w:r>
        <w:rPr>
          <w:rFonts w:ascii="宋体" w:hAnsi="宋体" w:eastAsia="宋体" w:cs="宋体"/>
          <w:spacing w:val="10"/>
          <w:sz w:val="20"/>
          <w:szCs w:val="20"/>
        </w:rPr>
        <w:t>的费用应当被认为已</w:t>
      </w:r>
    </w:p>
    <w:p>
      <w:pPr>
        <w:spacing w:line="352" w:lineRule="auto"/>
        <w:rPr>
          <w:rFonts w:ascii="宋体" w:hAnsi="宋体" w:eastAsia="宋体" w:cs="宋体"/>
          <w:sz w:val="20"/>
          <w:szCs w:val="20"/>
        </w:rPr>
        <w:sectPr>
          <w:footerReference r:id="rId33" w:type="default"/>
          <w:pgSz w:w="11905" w:h="16840"/>
          <w:pgMar w:top="1431" w:right="1354" w:bottom="1213" w:left="1416" w:header="0" w:footer="898" w:gutter="0"/>
        </w:sectPr>
      </w:pPr>
    </w:p>
    <w:p>
      <w:pPr>
        <w:spacing w:before="124" w:line="276" w:lineRule="exact"/>
        <w:ind w:left="3"/>
        <w:rPr>
          <w:rFonts w:ascii="宋体" w:hAnsi="宋体" w:eastAsia="宋体" w:cs="宋体"/>
          <w:sz w:val="20"/>
          <w:szCs w:val="20"/>
        </w:rPr>
      </w:pPr>
      <w:r>
        <w:rPr>
          <w:rFonts w:ascii="宋体" w:hAnsi="宋体" w:eastAsia="宋体" w:cs="宋体"/>
          <w:spacing w:val="9"/>
          <w:position w:val="1"/>
          <w:sz w:val="20"/>
          <w:szCs w:val="20"/>
        </w:rPr>
        <w:t>经包括在承包人的签约合同价（投标总报价）中。</w:t>
      </w:r>
    </w:p>
    <w:p>
      <w:pPr>
        <w:spacing w:before="124" w:line="298" w:lineRule="auto"/>
        <w:ind w:left="26" w:firstLine="397"/>
        <w:rPr>
          <w:rFonts w:ascii="宋体" w:hAnsi="宋体" w:eastAsia="宋体" w:cs="宋体"/>
          <w:sz w:val="20"/>
          <w:szCs w:val="20"/>
        </w:rPr>
      </w:pPr>
      <w:r>
        <w:rPr>
          <w:rFonts w:ascii="宋体" w:hAnsi="宋体" w:eastAsia="宋体" w:cs="宋体"/>
          <w:spacing w:val="8"/>
          <w:sz w:val="20"/>
          <w:szCs w:val="20"/>
        </w:rPr>
        <w:t>2）承包人参加投标的专业工程发包招标，应由发包人作为招标人，与组织招标工作有关的费用由发包人承担。同等条件下，应优先选择承包人中标。</w:t>
      </w:r>
    </w:p>
    <w:p>
      <w:pPr>
        <w:spacing w:before="153" w:line="276" w:lineRule="exact"/>
        <w:ind w:left="426"/>
        <w:rPr>
          <w:rFonts w:ascii="宋体" w:hAnsi="宋体" w:eastAsia="宋体" w:cs="宋体"/>
          <w:sz w:val="20"/>
          <w:szCs w:val="20"/>
        </w:rPr>
      </w:pPr>
      <w:r>
        <w:rPr>
          <w:rFonts w:ascii="宋体" w:hAnsi="宋体" w:eastAsia="宋体" w:cs="宋体"/>
          <w:spacing w:val="9"/>
          <w:position w:val="1"/>
          <w:sz w:val="20"/>
          <w:szCs w:val="20"/>
        </w:rPr>
        <w:t>3）应以专业工程发包中标价为依据取代专业工程暂估价，调整合同价款。</w:t>
      </w:r>
    </w:p>
    <w:p>
      <w:pPr>
        <w:spacing w:before="125" w:line="368" w:lineRule="auto"/>
        <w:ind w:firstLine="413"/>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14）因不可抗力事件导致的人员伤亡、财产</w:t>
      </w:r>
      <w:r>
        <w:rPr>
          <w:rFonts w:ascii="宋体" w:hAnsi="宋体" w:eastAsia="宋体" w:cs="宋体"/>
          <w:spacing w:val="9"/>
          <w:sz w:val="20"/>
          <w:szCs w:val="20"/>
        </w:rPr>
        <w:t>损失及其费用增加，发承包双方应按下列原则分别承担并调整合同价款和工期：</w:t>
      </w:r>
    </w:p>
    <w:p>
      <w:pPr>
        <w:spacing w:before="1" w:line="313" w:lineRule="auto"/>
        <w:ind w:left="2" w:firstLine="437"/>
        <w:rPr>
          <w:rFonts w:ascii="宋体" w:hAnsi="宋体" w:eastAsia="宋体" w:cs="宋体"/>
          <w:sz w:val="20"/>
          <w:szCs w:val="20"/>
        </w:rPr>
      </w:pPr>
      <w:r>
        <w:rPr>
          <w:rFonts w:ascii="宋体" w:hAnsi="宋体" w:eastAsia="宋体" w:cs="宋体"/>
          <w:spacing w:val="8"/>
          <w:sz w:val="20"/>
          <w:szCs w:val="20"/>
        </w:rPr>
        <w:t>1）合同工程本身的损害、因工程损害导致第三方人员伤亡和财产损失</w:t>
      </w:r>
      <w:r>
        <w:rPr>
          <w:rFonts w:ascii="宋体" w:hAnsi="宋体" w:eastAsia="宋体" w:cs="宋体"/>
          <w:spacing w:val="7"/>
          <w:sz w:val="20"/>
          <w:szCs w:val="20"/>
        </w:rPr>
        <w:t>以及运至施工场地用于施</w:t>
      </w:r>
      <w:r>
        <w:rPr>
          <w:rFonts w:ascii="宋体" w:hAnsi="宋体" w:eastAsia="宋体" w:cs="宋体"/>
          <w:spacing w:val="9"/>
          <w:sz w:val="20"/>
          <w:szCs w:val="20"/>
        </w:rPr>
        <w:t>工的材料和待安装的设备的损害，应由发包人承担；</w:t>
      </w:r>
    </w:p>
    <w:p>
      <w:pPr>
        <w:spacing w:before="123" w:line="278" w:lineRule="exact"/>
        <w:ind w:left="423"/>
        <w:rPr>
          <w:rFonts w:ascii="宋体" w:hAnsi="宋体" w:eastAsia="宋体" w:cs="宋体"/>
          <w:sz w:val="20"/>
          <w:szCs w:val="20"/>
        </w:rPr>
      </w:pPr>
      <w:r>
        <w:rPr>
          <w:rFonts w:ascii="宋体" w:hAnsi="宋体" w:eastAsia="宋体" w:cs="宋体"/>
          <w:spacing w:val="9"/>
          <w:position w:val="1"/>
          <w:sz w:val="20"/>
          <w:szCs w:val="20"/>
        </w:rPr>
        <w:t>2）发包人、承包人人员伤亡应由其所在单位负责，并应承担相应费用；</w:t>
      </w:r>
    </w:p>
    <w:p>
      <w:pPr>
        <w:spacing w:before="121" w:line="277" w:lineRule="exact"/>
        <w:ind w:left="426"/>
        <w:rPr>
          <w:rFonts w:ascii="宋体" w:hAnsi="宋体" w:eastAsia="宋体" w:cs="宋体"/>
          <w:sz w:val="20"/>
          <w:szCs w:val="20"/>
        </w:rPr>
      </w:pPr>
      <w:r>
        <w:rPr>
          <w:rFonts w:ascii="宋体" w:hAnsi="宋体" w:eastAsia="宋体" w:cs="宋体"/>
          <w:spacing w:val="9"/>
          <w:position w:val="1"/>
          <w:sz w:val="20"/>
          <w:szCs w:val="20"/>
        </w:rPr>
        <w:t>3）承包人的施工机械设备损坏及停工损失，应由承包人承担；</w:t>
      </w:r>
    </w:p>
    <w:p>
      <w:pPr>
        <w:spacing w:before="124" w:line="299" w:lineRule="auto"/>
        <w:ind w:firstLine="419"/>
        <w:rPr>
          <w:rFonts w:ascii="宋体" w:hAnsi="宋体" w:eastAsia="宋体" w:cs="宋体"/>
          <w:sz w:val="20"/>
          <w:szCs w:val="20"/>
        </w:rPr>
      </w:pPr>
      <w:r>
        <w:rPr>
          <w:rFonts w:ascii="宋体" w:hAnsi="宋体" w:eastAsia="宋体" w:cs="宋体"/>
          <w:spacing w:val="8"/>
          <w:sz w:val="20"/>
          <w:szCs w:val="20"/>
        </w:rPr>
        <w:t>4）停工期间，承包人应发包人要求留在施工场地的必要的管理人员及保卫人员的费用应由发包</w:t>
      </w:r>
      <w:r>
        <w:rPr>
          <w:rFonts w:ascii="宋体" w:hAnsi="宋体" w:eastAsia="宋体" w:cs="宋体"/>
          <w:spacing w:val="6"/>
          <w:sz w:val="20"/>
          <w:szCs w:val="20"/>
        </w:rPr>
        <w:t>人承担；</w:t>
      </w:r>
    </w:p>
    <w:p>
      <w:pPr>
        <w:spacing w:before="151" w:line="278" w:lineRule="exact"/>
        <w:ind w:left="423"/>
        <w:rPr>
          <w:rFonts w:ascii="宋体" w:hAnsi="宋体" w:eastAsia="宋体" w:cs="宋体"/>
          <w:sz w:val="20"/>
          <w:szCs w:val="20"/>
        </w:rPr>
      </w:pPr>
      <w:r>
        <w:rPr>
          <w:rFonts w:ascii="宋体" w:hAnsi="宋体" w:eastAsia="宋体" w:cs="宋体"/>
          <w:spacing w:val="9"/>
          <w:position w:val="1"/>
          <w:sz w:val="20"/>
          <w:szCs w:val="20"/>
        </w:rPr>
        <w:t>5）工程所需清理、修复费用，应由发包人承</w:t>
      </w:r>
      <w:r>
        <w:rPr>
          <w:rFonts w:ascii="宋体" w:hAnsi="宋体" w:eastAsia="宋体" w:cs="宋体"/>
          <w:spacing w:val="8"/>
          <w:position w:val="1"/>
          <w:sz w:val="20"/>
          <w:szCs w:val="20"/>
        </w:rPr>
        <w:t>担。</w:t>
      </w:r>
    </w:p>
    <w:p>
      <w:pPr>
        <w:spacing w:before="124" w:line="321" w:lineRule="auto"/>
        <w:ind w:left="1" w:firstLine="41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15）安全文明施工费包括在规费之中，由安</w:t>
      </w:r>
      <w:r>
        <w:rPr>
          <w:rFonts w:ascii="宋体" w:hAnsi="宋体" w:eastAsia="宋体" w:cs="宋体"/>
          <w:spacing w:val="9"/>
          <w:sz w:val="20"/>
          <w:szCs w:val="20"/>
        </w:rPr>
        <w:t>全施工费、环境保护费、文明施工费、临时设施</w:t>
      </w:r>
      <w:r>
        <w:rPr>
          <w:rFonts w:ascii="宋体" w:hAnsi="宋体" w:eastAsia="宋体" w:cs="宋体"/>
          <w:spacing w:val="11"/>
          <w:sz w:val="20"/>
          <w:szCs w:val="20"/>
        </w:rPr>
        <w:t>费组成，其计算基数为规费前工程造价，按省发布各专业费率执行。发包人对</w:t>
      </w:r>
      <w:r>
        <w:rPr>
          <w:rFonts w:ascii="宋体" w:hAnsi="宋体" w:eastAsia="宋体" w:cs="宋体"/>
          <w:spacing w:val="10"/>
          <w:sz w:val="20"/>
          <w:szCs w:val="20"/>
        </w:rPr>
        <w:t>安全文明施工费的支付，应符合有关规定。承包人对安全文明施工费应专</w:t>
      </w:r>
      <w:r>
        <w:rPr>
          <w:rFonts w:ascii="宋体" w:hAnsi="宋体" w:eastAsia="宋体" w:cs="宋体"/>
          <w:spacing w:val="9"/>
          <w:sz w:val="20"/>
          <w:szCs w:val="20"/>
        </w:rPr>
        <w:t>款专用，在财务账目中单独列项备查。</w:t>
      </w:r>
    </w:p>
    <w:p>
      <w:pPr>
        <w:spacing w:before="156" w:line="298" w:lineRule="auto"/>
        <w:ind w:firstLine="413"/>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16）发承包双方应按照合同约定的时间、程</w:t>
      </w:r>
      <w:r>
        <w:rPr>
          <w:rFonts w:ascii="宋体" w:hAnsi="宋体" w:eastAsia="宋体" w:cs="宋体"/>
          <w:spacing w:val="9"/>
          <w:sz w:val="20"/>
          <w:szCs w:val="20"/>
        </w:rPr>
        <w:t>序和方法，根据工程计量结果，办理期中价款结</w:t>
      </w:r>
      <w:r>
        <w:rPr>
          <w:rFonts w:ascii="宋体" w:hAnsi="宋体" w:eastAsia="宋体" w:cs="宋体"/>
          <w:spacing w:val="8"/>
          <w:sz w:val="20"/>
          <w:szCs w:val="20"/>
        </w:rPr>
        <w:t>算，支付进度款。</w:t>
      </w:r>
    </w:p>
    <w:p>
      <w:pPr>
        <w:pStyle w:val="2"/>
        <w:spacing w:before="149" w:line="209" w:lineRule="auto"/>
        <w:ind w:left="423"/>
        <w:rPr>
          <w:sz w:val="20"/>
          <w:szCs w:val="20"/>
        </w:rPr>
      </w:pPr>
      <w:r>
        <w:rPr>
          <w:spacing w:val="8"/>
          <w:sz w:val="20"/>
          <w:szCs w:val="20"/>
        </w:rPr>
        <w:t>八、竣工结算</w:t>
      </w:r>
    </w:p>
    <w:p>
      <w:pPr>
        <w:spacing w:before="106" w:line="278" w:lineRule="exact"/>
        <w:ind w:left="413"/>
        <w:rPr>
          <w:rFonts w:ascii="宋体" w:hAnsi="宋体" w:eastAsia="宋体" w:cs="宋体"/>
          <w:sz w:val="20"/>
          <w:szCs w:val="20"/>
        </w:rPr>
      </w:pPr>
      <w:r>
        <w:rPr>
          <w:rFonts w:ascii="宋体" w:hAnsi="宋体" w:eastAsia="宋体" w:cs="宋体"/>
          <w:spacing w:val="10"/>
          <w:position w:val="1"/>
          <w:sz w:val="20"/>
          <w:szCs w:val="20"/>
        </w:rPr>
        <w:t>（一）工程完工后，发承包双方必须在合同约定时间内办理</w:t>
      </w:r>
      <w:r>
        <w:rPr>
          <w:rFonts w:ascii="宋体" w:hAnsi="宋体" w:eastAsia="宋体" w:cs="宋体"/>
          <w:spacing w:val="9"/>
          <w:position w:val="1"/>
          <w:sz w:val="20"/>
          <w:szCs w:val="20"/>
        </w:rPr>
        <w:t>工程竣工结算。</w:t>
      </w:r>
    </w:p>
    <w:p>
      <w:pPr>
        <w:spacing w:before="124" w:line="295" w:lineRule="auto"/>
        <w:ind w:firstLine="412"/>
        <w:rPr>
          <w:rFonts w:ascii="宋体" w:hAnsi="宋体" w:eastAsia="宋体" w:cs="宋体"/>
          <w:sz w:val="20"/>
          <w:szCs w:val="20"/>
        </w:rPr>
      </w:pPr>
      <w:r>
        <w:rPr>
          <w:rFonts w:ascii="宋体" w:hAnsi="宋体" w:eastAsia="宋体" w:cs="宋体"/>
          <w:spacing w:val="11"/>
          <w:sz w:val="20"/>
          <w:szCs w:val="20"/>
        </w:rPr>
        <w:t>（二）工程竣工结算应由承包人或受其委托具有相应资质的工程造价咨询人编制，并应由发包</w:t>
      </w:r>
      <w:r>
        <w:rPr>
          <w:rFonts w:ascii="宋体" w:hAnsi="宋体" w:eastAsia="宋体" w:cs="宋体"/>
          <w:spacing w:val="9"/>
          <w:sz w:val="20"/>
          <w:szCs w:val="20"/>
        </w:rPr>
        <w:t>人或受其委托具有相应资质的工程造价咨询人核对。</w:t>
      </w:r>
    </w:p>
    <w:p>
      <w:pPr>
        <w:spacing w:before="159" w:line="277" w:lineRule="exact"/>
        <w:ind w:left="413"/>
        <w:rPr>
          <w:rFonts w:ascii="宋体" w:hAnsi="宋体" w:eastAsia="宋体" w:cs="宋体"/>
          <w:sz w:val="20"/>
          <w:szCs w:val="20"/>
        </w:rPr>
      </w:pPr>
      <w:r>
        <w:rPr>
          <w:rFonts w:ascii="宋体" w:hAnsi="宋体" w:eastAsia="宋体" w:cs="宋体"/>
          <w:spacing w:val="9"/>
          <w:position w:val="1"/>
          <w:sz w:val="20"/>
          <w:szCs w:val="20"/>
        </w:rPr>
        <w:t>（三）工程竣工结算应根据下列依据编制和复核：</w:t>
      </w:r>
    </w:p>
    <w:p>
      <w:pPr>
        <w:spacing w:before="124" w:line="276" w:lineRule="exact"/>
        <w:ind w:left="440"/>
        <w:rPr>
          <w:rFonts w:ascii="宋体" w:hAnsi="宋体" w:eastAsia="宋体" w:cs="宋体"/>
          <w:sz w:val="20"/>
          <w:szCs w:val="20"/>
        </w:rPr>
      </w:pPr>
      <w:r>
        <w:rPr>
          <w:rFonts w:ascii="宋体" w:hAnsi="宋体" w:eastAsia="宋体" w:cs="宋体"/>
          <w:spacing w:val="8"/>
          <w:position w:val="1"/>
          <w:sz w:val="20"/>
          <w:szCs w:val="20"/>
        </w:rPr>
        <w:t>1.</w:t>
      </w:r>
      <w:r>
        <w:rPr>
          <w:rFonts w:ascii="宋体" w:hAnsi="宋体" w:eastAsia="宋体" w:cs="宋体"/>
          <w:spacing w:val="-14"/>
          <w:position w:val="1"/>
          <w:sz w:val="20"/>
          <w:szCs w:val="20"/>
        </w:rPr>
        <w:t xml:space="preserve"> </w:t>
      </w:r>
      <w:r>
        <w:rPr>
          <w:rFonts w:ascii="宋体" w:hAnsi="宋体" w:eastAsia="宋体" w:cs="宋体"/>
          <w:spacing w:val="8"/>
          <w:position w:val="1"/>
          <w:sz w:val="20"/>
          <w:szCs w:val="20"/>
        </w:rPr>
        <w:t>《建设工程工程量清单计价规范》（</w:t>
      </w:r>
      <w:r>
        <w:rPr>
          <w:rFonts w:ascii="宋体" w:hAnsi="宋体" w:eastAsia="宋体" w:cs="宋体"/>
          <w:spacing w:val="-60"/>
          <w:position w:val="1"/>
          <w:sz w:val="20"/>
          <w:szCs w:val="20"/>
        </w:rPr>
        <w:t xml:space="preserve"> </w:t>
      </w:r>
      <w:r>
        <w:rPr>
          <w:rFonts w:ascii="宋体" w:hAnsi="宋体" w:eastAsia="宋体" w:cs="宋体"/>
          <w:position w:val="1"/>
          <w:sz w:val="20"/>
          <w:szCs w:val="20"/>
        </w:rPr>
        <w:t>GB</w:t>
      </w:r>
      <w:r>
        <w:rPr>
          <w:rFonts w:ascii="宋体" w:hAnsi="宋体" w:eastAsia="宋体" w:cs="宋体"/>
          <w:spacing w:val="8"/>
          <w:position w:val="1"/>
          <w:sz w:val="20"/>
          <w:szCs w:val="20"/>
        </w:rPr>
        <w:t>50500-20</w:t>
      </w:r>
      <w:r>
        <w:rPr>
          <w:rFonts w:ascii="宋体" w:hAnsi="宋体" w:eastAsia="宋体" w:cs="宋体"/>
          <w:spacing w:val="7"/>
          <w:position w:val="1"/>
          <w:sz w:val="20"/>
          <w:szCs w:val="20"/>
        </w:rPr>
        <w:t>13）和相关工程的国家计量规范；</w:t>
      </w:r>
    </w:p>
    <w:p>
      <w:pPr>
        <w:spacing w:before="122" w:line="279" w:lineRule="exact"/>
        <w:ind w:left="423"/>
        <w:rPr>
          <w:rFonts w:ascii="宋体" w:hAnsi="宋体" w:eastAsia="宋体" w:cs="宋体"/>
          <w:sz w:val="20"/>
          <w:szCs w:val="20"/>
        </w:rPr>
      </w:pPr>
      <w:r>
        <w:rPr>
          <w:rFonts w:ascii="宋体" w:hAnsi="宋体" w:eastAsia="宋体" w:cs="宋体"/>
          <w:spacing w:val="-3"/>
          <w:position w:val="1"/>
          <w:sz w:val="20"/>
          <w:szCs w:val="20"/>
        </w:rPr>
        <w:t>2.</w:t>
      </w:r>
      <w:r>
        <w:rPr>
          <w:rFonts w:ascii="宋体" w:hAnsi="宋体" w:eastAsia="宋体" w:cs="宋体"/>
          <w:spacing w:val="13"/>
          <w:position w:val="1"/>
          <w:sz w:val="20"/>
          <w:szCs w:val="20"/>
        </w:rPr>
        <w:t xml:space="preserve"> </w:t>
      </w:r>
      <w:r>
        <w:rPr>
          <w:rFonts w:ascii="宋体" w:hAnsi="宋体" w:eastAsia="宋体" w:cs="宋体"/>
          <w:spacing w:val="-3"/>
          <w:position w:val="1"/>
          <w:sz w:val="20"/>
          <w:szCs w:val="20"/>
        </w:rPr>
        <w:t>工程合同；</w:t>
      </w:r>
    </w:p>
    <w:p>
      <w:pPr>
        <w:spacing w:before="122" w:line="276" w:lineRule="exact"/>
        <w:ind w:left="426"/>
        <w:rPr>
          <w:rFonts w:ascii="宋体" w:hAnsi="宋体" w:eastAsia="宋体" w:cs="宋体"/>
          <w:sz w:val="20"/>
          <w:szCs w:val="20"/>
        </w:rPr>
      </w:pPr>
      <w:r>
        <w:rPr>
          <w:rFonts w:ascii="宋体" w:hAnsi="宋体" w:eastAsia="宋体" w:cs="宋体"/>
          <w:spacing w:val="7"/>
          <w:position w:val="1"/>
          <w:sz w:val="20"/>
          <w:szCs w:val="20"/>
        </w:rPr>
        <w:t>3. 发承包双方实施过程中已确认的工程量及其结算的合同价款；</w:t>
      </w:r>
    </w:p>
    <w:p>
      <w:pPr>
        <w:spacing w:before="125" w:line="276" w:lineRule="exact"/>
        <w:ind w:left="420"/>
        <w:rPr>
          <w:rFonts w:ascii="宋体" w:hAnsi="宋体" w:eastAsia="宋体" w:cs="宋体"/>
          <w:sz w:val="20"/>
          <w:szCs w:val="20"/>
        </w:rPr>
      </w:pPr>
      <w:r>
        <w:rPr>
          <w:rFonts w:ascii="宋体" w:hAnsi="宋体" w:eastAsia="宋体" w:cs="宋体"/>
          <w:spacing w:val="7"/>
          <w:position w:val="1"/>
          <w:sz w:val="20"/>
          <w:szCs w:val="20"/>
        </w:rPr>
        <w:t>4. 发承包双方实施过程中已确认调整后追加（减）的合同价款；</w:t>
      </w:r>
    </w:p>
    <w:p>
      <w:pPr>
        <w:spacing w:before="122" w:line="278" w:lineRule="exact"/>
        <w:ind w:left="423"/>
        <w:rPr>
          <w:rFonts w:ascii="宋体" w:hAnsi="宋体" w:eastAsia="宋体" w:cs="宋体"/>
          <w:sz w:val="20"/>
          <w:szCs w:val="20"/>
        </w:rPr>
      </w:pPr>
      <w:r>
        <w:rPr>
          <w:rFonts w:ascii="宋体" w:hAnsi="宋体" w:eastAsia="宋体" w:cs="宋体"/>
          <w:spacing w:val="4"/>
          <w:position w:val="1"/>
          <w:sz w:val="20"/>
          <w:szCs w:val="20"/>
        </w:rPr>
        <w:t>5. 建设工程设计文件及相关资料。</w:t>
      </w:r>
    </w:p>
    <w:p>
      <w:pPr>
        <w:spacing w:before="123" w:line="278" w:lineRule="exact"/>
        <w:ind w:left="423"/>
        <w:rPr>
          <w:rFonts w:ascii="宋体" w:hAnsi="宋体" w:eastAsia="宋体" w:cs="宋体"/>
          <w:sz w:val="20"/>
          <w:szCs w:val="20"/>
        </w:rPr>
      </w:pPr>
      <w:r>
        <w:rPr>
          <w:rFonts w:ascii="宋体" w:hAnsi="宋体" w:eastAsia="宋体" w:cs="宋体"/>
          <w:spacing w:val="-4"/>
          <w:position w:val="1"/>
          <w:sz w:val="20"/>
          <w:szCs w:val="20"/>
        </w:rPr>
        <w:t>6.</w:t>
      </w:r>
      <w:r>
        <w:rPr>
          <w:rFonts w:ascii="宋体" w:hAnsi="宋体" w:eastAsia="宋体" w:cs="宋体"/>
          <w:spacing w:val="15"/>
          <w:position w:val="1"/>
          <w:sz w:val="20"/>
          <w:szCs w:val="20"/>
        </w:rPr>
        <w:t xml:space="preserve"> </w:t>
      </w:r>
      <w:r>
        <w:rPr>
          <w:rFonts w:ascii="宋体" w:hAnsi="宋体" w:eastAsia="宋体" w:cs="宋体"/>
          <w:spacing w:val="-4"/>
          <w:position w:val="1"/>
          <w:sz w:val="20"/>
          <w:szCs w:val="20"/>
        </w:rPr>
        <w:t>投标文件</w:t>
      </w:r>
    </w:p>
    <w:p>
      <w:pPr>
        <w:spacing w:before="123" w:line="277" w:lineRule="exact"/>
        <w:ind w:left="421"/>
        <w:rPr>
          <w:rFonts w:ascii="宋体" w:hAnsi="宋体" w:eastAsia="宋体" w:cs="宋体"/>
          <w:sz w:val="20"/>
          <w:szCs w:val="20"/>
        </w:rPr>
      </w:pPr>
      <w:r>
        <w:rPr>
          <w:rFonts w:ascii="宋体" w:hAnsi="宋体" w:eastAsia="宋体" w:cs="宋体"/>
          <w:spacing w:val="-1"/>
          <w:position w:val="1"/>
          <w:sz w:val="20"/>
          <w:szCs w:val="20"/>
        </w:rPr>
        <w:t>7. 其他依据。</w:t>
      </w:r>
    </w:p>
    <w:p>
      <w:pPr>
        <w:spacing w:before="122" w:line="298" w:lineRule="auto"/>
        <w:ind w:left="5" w:firstLine="407"/>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4"/>
          <w:sz w:val="20"/>
          <w:szCs w:val="20"/>
        </w:rPr>
        <w:t xml:space="preserve"> </w:t>
      </w:r>
      <w:r>
        <w:rPr>
          <w:rFonts w:ascii="宋体" w:hAnsi="宋体" w:eastAsia="宋体" w:cs="宋体"/>
          <w:spacing w:val="10"/>
          <w:sz w:val="20"/>
          <w:szCs w:val="20"/>
        </w:rPr>
        <w:t>四）分部分项工程和措施项目中的单价项目应依据发承包双</w:t>
      </w:r>
      <w:r>
        <w:rPr>
          <w:rFonts w:ascii="宋体" w:hAnsi="宋体" w:eastAsia="宋体" w:cs="宋体"/>
          <w:spacing w:val="9"/>
          <w:sz w:val="20"/>
          <w:szCs w:val="20"/>
        </w:rPr>
        <w:t>方确认的工程量与已标价工程量清单的综合单价计算；发生调整的，应以发承包双方确认调整的综合单价计算。</w:t>
      </w:r>
    </w:p>
    <w:p>
      <w:pPr>
        <w:spacing w:before="155" w:line="296" w:lineRule="auto"/>
        <w:ind w:left="3" w:firstLine="409"/>
        <w:rPr>
          <w:rFonts w:ascii="宋体" w:hAnsi="宋体" w:eastAsia="宋体" w:cs="宋体"/>
          <w:sz w:val="20"/>
          <w:szCs w:val="20"/>
        </w:rPr>
      </w:pPr>
      <w:r>
        <w:rPr>
          <w:rFonts w:ascii="宋体" w:hAnsi="宋体" w:eastAsia="宋体" w:cs="宋体"/>
          <w:spacing w:val="11"/>
          <w:sz w:val="20"/>
          <w:szCs w:val="20"/>
        </w:rPr>
        <w:t>（五）措施项目中的总价项目应依据已标价工程量清单的项目和金额计算；发生调整的，应以</w:t>
      </w:r>
      <w:r>
        <w:rPr>
          <w:rFonts w:ascii="宋体" w:hAnsi="宋体" w:eastAsia="宋体" w:cs="宋体"/>
          <w:spacing w:val="8"/>
          <w:sz w:val="20"/>
          <w:szCs w:val="20"/>
        </w:rPr>
        <w:t>发承包双方确认调整的金额计算。</w:t>
      </w:r>
    </w:p>
    <w:p>
      <w:pPr>
        <w:spacing w:before="158" w:line="276" w:lineRule="exact"/>
        <w:ind w:left="413"/>
        <w:rPr>
          <w:rFonts w:ascii="宋体" w:hAnsi="宋体" w:eastAsia="宋体" w:cs="宋体"/>
          <w:sz w:val="20"/>
          <w:szCs w:val="20"/>
        </w:rPr>
      </w:pPr>
      <w:r>
        <w:rPr>
          <w:rFonts w:ascii="宋体" w:hAnsi="宋体" w:eastAsia="宋体" w:cs="宋体"/>
          <w:spacing w:val="9"/>
          <w:position w:val="1"/>
          <w:sz w:val="20"/>
          <w:szCs w:val="20"/>
        </w:rPr>
        <w:t>（六）其他项目应按下列规定计价：</w:t>
      </w:r>
    </w:p>
    <w:p>
      <w:pPr>
        <w:spacing w:line="276" w:lineRule="exact"/>
        <w:rPr>
          <w:rFonts w:ascii="宋体" w:hAnsi="宋体" w:eastAsia="宋体" w:cs="宋体"/>
          <w:sz w:val="20"/>
          <w:szCs w:val="20"/>
        </w:rPr>
        <w:sectPr>
          <w:footerReference r:id="rId34" w:type="default"/>
          <w:pgSz w:w="11905" w:h="16840"/>
          <w:pgMar w:top="1431" w:right="1419" w:bottom="1213" w:left="1418" w:header="0" w:footer="898" w:gutter="0"/>
        </w:sectPr>
      </w:pPr>
    </w:p>
    <w:p>
      <w:pPr>
        <w:spacing w:before="124" w:line="278" w:lineRule="exact"/>
        <w:ind w:left="438"/>
        <w:rPr>
          <w:rFonts w:ascii="宋体" w:hAnsi="宋体" w:eastAsia="宋体" w:cs="宋体"/>
          <w:sz w:val="20"/>
          <w:szCs w:val="20"/>
        </w:rPr>
      </w:pPr>
      <w:r>
        <w:rPr>
          <w:rFonts w:ascii="宋体" w:hAnsi="宋体" w:eastAsia="宋体" w:cs="宋体"/>
          <w:spacing w:val="5"/>
          <w:position w:val="1"/>
          <w:sz w:val="20"/>
          <w:szCs w:val="20"/>
        </w:rPr>
        <w:t>1. 计日工应按发包人实际签证确认的事项计算；</w:t>
      </w:r>
    </w:p>
    <w:p>
      <w:pPr>
        <w:spacing w:before="124" w:line="298" w:lineRule="auto"/>
        <w:ind w:firstLine="420"/>
        <w:rPr>
          <w:rFonts w:ascii="宋体" w:hAnsi="宋体" w:eastAsia="宋体" w:cs="宋体"/>
          <w:sz w:val="20"/>
          <w:szCs w:val="20"/>
        </w:rPr>
      </w:pPr>
      <w:r>
        <w:rPr>
          <w:rFonts w:ascii="宋体" w:hAnsi="宋体" w:eastAsia="宋体" w:cs="宋体"/>
          <w:spacing w:val="8"/>
          <w:sz w:val="20"/>
          <w:szCs w:val="20"/>
        </w:rPr>
        <w:t>2. 暂估价项目：属于依法必须招标的，应以中标价取代暂估价，调整合同价款；不属于依法必</w:t>
      </w:r>
      <w:r>
        <w:rPr>
          <w:rFonts w:ascii="宋体" w:hAnsi="宋体" w:eastAsia="宋体" w:cs="宋体"/>
          <w:spacing w:val="9"/>
          <w:sz w:val="20"/>
          <w:szCs w:val="20"/>
        </w:rPr>
        <w:t>须招标的，应以合同约定确定价格取代暂估价，调整合同价款；</w:t>
      </w:r>
    </w:p>
    <w:p>
      <w:pPr>
        <w:spacing w:before="152" w:line="299" w:lineRule="auto"/>
        <w:ind w:firstLine="424"/>
        <w:rPr>
          <w:rFonts w:ascii="宋体" w:hAnsi="宋体" w:eastAsia="宋体" w:cs="宋体"/>
          <w:sz w:val="20"/>
          <w:szCs w:val="20"/>
        </w:rPr>
      </w:pPr>
      <w:r>
        <w:rPr>
          <w:rFonts w:ascii="宋体" w:hAnsi="宋体" w:eastAsia="宋体" w:cs="宋体"/>
          <w:spacing w:val="8"/>
          <w:sz w:val="20"/>
          <w:szCs w:val="20"/>
        </w:rPr>
        <w:t>3. 总承包服务费应依据已标价工程量清单金额计算；发生调整的，应以发承包双方</w:t>
      </w:r>
      <w:r>
        <w:rPr>
          <w:rFonts w:ascii="宋体" w:hAnsi="宋体" w:eastAsia="宋体" w:cs="宋体"/>
          <w:spacing w:val="7"/>
          <w:sz w:val="20"/>
          <w:szCs w:val="20"/>
        </w:rPr>
        <w:t>确认调整的</w:t>
      </w:r>
      <w:r>
        <w:rPr>
          <w:rFonts w:ascii="宋体" w:hAnsi="宋体" w:eastAsia="宋体" w:cs="宋体"/>
          <w:spacing w:val="6"/>
          <w:sz w:val="20"/>
          <w:szCs w:val="20"/>
        </w:rPr>
        <w:t>金额计算；</w:t>
      </w:r>
    </w:p>
    <w:p>
      <w:pPr>
        <w:spacing w:before="153" w:line="277" w:lineRule="exact"/>
        <w:ind w:left="418"/>
        <w:rPr>
          <w:rFonts w:ascii="宋体" w:hAnsi="宋体" w:eastAsia="宋体" w:cs="宋体"/>
          <w:sz w:val="20"/>
          <w:szCs w:val="20"/>
        </w:rPr>
      </w:pPr>
      <w:r>
        <w:rPr>
          <w:rFonts w:ascii="宋体" w:hAnsi="宋体" w:eastAsia="宋体" w:cs="宋体"/>
          <w:spacing w:val="7"/>
          <w:position w:val="1"/>
          <w:sz w:val="20"/>
          <w:szCs w:val="20"/>
        </w:rPr>
        <w:t>4. 索赔费用应依据发承包双方确认的索赔事项和金额计算；</w:t>
      </w:r>
    </w:p>
    <w:p>
      <w:pPr>
        <w:spacing w:before="121" w:line="277" w:lineRule="exact"/>
        <w:ind w:left="421"/>
        <w:rPr>
          <w:rFonts w:ascii="宋体" w:hAnsi="宋体" w:eastAsia="宋体" w:cs="宋体"/>
          <w:sz w:val="20"/>
          <w:szCs w:val="20"/>
        </w:rPr>
      </w:pPr>
      <w:r>
        <w:rPr>
          <w:rFonts w:ascii="宋体" w:hAnsi="宋体" w:eastAsia="宋体" w:cs="宋体"/>
          <w:spacing w:val="7"/>
          <w:position w:val="1"/>
          <w:sz w:val="20"/>
          <w:szCs w:val="20"/>
        </w:rPr>
        <w:t>5. 现场签证费用应依据发承包双方签证资料确认的金额计算；</w:t>
      </w:r>
    </w:p>
    <w:p>
      <w:pPr>
        <w:spacing w:before="123" w:line="277" w:lineRule="exact"/>
        <w:ind w:left="422"/>
        <w:rPr>
          <w:rFonts w:ascii="宋体" w:hAnsi="宋体" w:eastAsia="宋体" w:cs="宋体"/>
          <w:sz w:val="20"/>
          <w:szCs w:val="20"/>
        </w:rPr>
      </w:pPr>
      <w:r>
        <w:rPr>
          <w:rFonts w:ascii="宋体" w:hAnsi="宋体" w:eastAsia="宋体" w:cs="宋体"/>
          <w:spacing w:val="8"/>
          <w:position w:val="1"/>
          <w:sz w:val="20"/>
          <w:szCs w:val="20"/>
        </w:rPr>
        <w:t>6. 暂列金额应减去合同价款调整（包括索赔、现场签证）金额计算，如有余</w:t>
      </w:r>
      <w:r>
        <w:rPr>
          <w:rFonts w:ascii="宋体" w:hAnsi="宋体" w:eastAsia="宋体" w:cs="宋体"/>
          <w:spacing w:val="7"/>
          <w:position w:val="1"/>
          <w:sz w:val="20"/>
          <w:szCs w:val="20"/>
        </w:rPr>
        <w:t>额归发包人。</w:t>
      </w:r>
    </w:p>
    <w:p>
      <w:pPr>
        <w:spacing w:before="124" w:line="278" w:lineRule="exact"/>
        <w:ind w:left="411"/>
        <w:rPr>
          <w:rFonts w:ascii="宋体" w:hAnsi="宋体" w:eastAsia="宋体" w:cs="宋体"/>
          <w:sz w:val="20"/>
          <w:szCs w:val="20"/>
        </w:rPr>
      </w:pPr>
      <w:r>
        <w:rPr>
          <w:rFonts w:ascii="宋体" w:hAnsi="宋体" w:eastAsia="宋体" w:cs="宋体"/>
          <w:spacing w:val="9"/>
          <w:position w:val="1"/>
          <w:sz w:val="20"/>
          <w:szCs w:val="20"/>
        </w:rPr>
        <w:t>（七）规费和税金应按有关规定计算。</w:t>
      </w:r>
    </w:p>
    <w:p>
      <w:pPr>
        <w:pStyle w:val="2"/>
        <w:spacing w:before="116" w:line="209" w:lineRule="auto"/>
        <w:ind w:left="425"/>
        <w:rPr>
          <w:sz w:val="20"/>
          <w:szCs w:val="20"/>
        </w:rPr>
      </w:pPr>
      <w:r>
        <w:rPr>
          <w:spacing w:val="8"/>
          <w:sz w:val="20"/>
          <w:szCs w:val="20"/>
        </w:rPr>
        <w:t>九、工程结算价款组成</w:t>
      </w:r>
    </w:p>
    <w:p>
      <w:pPr>
        <w:spacing w:before="106" w:line="277" w:lineRule="exact"/>
        <w:ind w:left="420"/>
        <w:rPr>
          <w:rFonts w:ascii="宋体" w:hAnsi="宋体" w:eastAsia="宋体" w:cs="宋体"/>
          <w:sz w:val="20"/>
          <w:szCs w:val="20"/>
        </w:rPr>
      </w:pPr>
      <w:r>
        <w:rPr>
          <w:rFonts w:ascii="宋体" w:hAnsi="宋体" w:eastAsia="宋体" w:cs="宋体"/>
          <w:spacing w:val="8"/>
          <w:position w:val="1"/>
          <w:sz w:val="20"/>
          <w:szCs w:val="20"/>
        </w:rPr>
        <w:t>工程结算价款=（一）+（二）+（三）+（</w:t>
      </w:r>
      <w:r>
        <w:rPr>
          <w:rFonts w:ascii="宋体" w:hAnsi="宋体" w:eastAsia="宋体" w:cs="宋体"/>
          <w:spacing w:val="-28"/>
          <w:position w:val="1"/>
          <w:sz w:val="20"/>
          <w:szCs w:val="20"/>
        </w:rPr>
        <w:t xml:space="preserve"> </w:t>
      </w:r>
      <w:r>
        <w:rPr>
          <w:rFonts w:ascii="宋体" w:hAnsi="宋体" w:eastAsia="宋体" w:cs="宋体"/>
          <w:spacing w:val="8"/>
          <w:position w:val="1"/>
          <w:sz w:val="20"/>
          <w:szCs w:val="20"/>
        </w:rPr>
        <w:t>四）+（五）</w:t>
      </w:r>
    </w:p>
    <w:p>
      <w:pPr>
        <w:spacing w:before="124" w:line="278" w:lineRule="exact"/>
        <w:ind w:left="411"/>
        <w:rPr>
          <w:rFonts w:ascii="宋体" w:hAnsi="宋体" w:eastAsia="宋体" w:cs="宋体"/>
          <w:sz w:val="20"/>
          <w:szCs w:val="20"/>
        </w:rPr>
      </w:pPr>
      <w:r>
        <w:rPr>
          <w:rFonts w:ascii="宋体" w:hAnsi="宋体" w:eastAsia="宋体" w:cs="宋体"/>
          <w:spacing w:val="10"/>
          <w:position w:val="1"/>
          <w:sz w:val="20"/>
          <w:szCs w:val="20"/>
        </w:rPr>
        <w:t>（一）分部分项工程费</w:t>
      </w:r>
    </w:p>
    <w:p>
      <w:pPr>
        <w:spacing w:before="121" w:line="278" w:lineRule="exact"/>
        <w:ind w:left="411"/>
        <w:rPr>
          <w:rFonts w:ascii="宋体" w:hAnsi="宋体" w:eastAsia="宋体" w:cs="宋体"/>
          <w:sz w:val="20"/>
          <w:szCs w:val="20"/>
        </w:rPr>
      </w:pPr>
      <w:r>
        <w:rPr>
          <w:rFonts w:ascii="宋体" w:hAnsi="宋体" w:eastAsia="宋体" w:cs="宋体"/>
          <w:spacing w:val="10"/>
          <w:position w:val="1"/>
          <w:sz w:val="20"/>
          <w:szCs w:val="20"/>
        </w:rPr>
        <w:t>（二）措施项目费</w:t>
      </w:r>
    </w:p>
    <w:p>
      <w:pPr>
        <w:spacing w:before="122" w:line="279" w:lineRule="exact"/>
        <w:ind w:left="411"/>
        <w:rPr>
          <w:rFonts w:ascii="宋体" w:hAnsi="宋体" w:eastAsia="宋体" w:cs="宋体"/>
          <w:sz w:val="20"/>
          <w:szCs w:val="20"/>
        </w:rPr>
      </w:pPr>
      <w:r>
        <w:rPr>
          <w:rFonts w:ascii="宋体" w:hAnsi="宋体" w:eastAsia="宋体" w:cs="宋体"/>
          <w:spacing w:val="7"/>
          <w:position w:val="1"/>
          <w:sz w:val="20"/>
          <w:szCs w:val="20"/>
        </w:rPr>
        <w:t>（三）其他项目费＝</w:t>
      </w:r>
      <w:r>
        <w:rPr>
          <w:rFonts w:ascii="宋体" w:hAnsi="宋体" w:eastAsia="宋体" w:cs="宋体"/>
          <w:spacing w:val="-39"/>
          <w:position w:val="1"/>
          <w:sz w:val="20"/>
          <w:szCs w:val="20"/>
        </w:rPr>
        <w:t xml:space="preserve"> </w:t>
      </w:r>
      <w:r>
        <w:rPr>
          <w:rFonts w:ascii="宋体" w:hAnsi="宋体" w:eastAsia="宋体" w:cs="宋体"/>
          <w:spacing w:val="7"/>
          <w:position w:val="1"/>
          <w:sz w:val="20"/>
          <w:szCs w:val="20"/>
        </w:rPr>
        <w:t>1+2+3+4+5+6+7+8</w:t>
      </w:r>
    </w:p>
    <w:p>
      <w:pPr>
        <w:spacing w:before="122" w:line="278" w:lineRule="exact"/>
        <w:ind w:left="438"/>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17"/>
          <w:position w:val="1"/>
          <w:sz w:val="20"/>
          <w:szCs w:val="20"/>
        </w:rPr>
        <w:t xml:space="preserve"> </w:t>
      </w:r>
      <w:r>
        <w:rPr>
          <w:rFonts w:ascii="宋体" w:hAnsi="宋体" w:eastAsia="宋体" w:cs="宋体"/>
          <w:spacing w:val="-7"/>
          <w:position w:val="1"/>
          <w:sz w:val="20"/>
          <w:szCs w:val="20"/>
        </w:rPr>
        <w:t>暂列金额</w:t>
      </w:r>
    </w:p>
    <w:p>
      <w:pPr>
        <w:spacing w:before="121" w:line="276" w:lineRule="exact"/>
        <w:ind w:left="421"/>
        <w:rPr>
          <w:rFonts w:ascii="宋体" w:hAnsi="宋体" w:eastAsia="宋体" w:cs="宋体"/>
          <w:sz w:val="20"/>
          <w:szCs w:val="20"/>
        </w:rPr>
      </w:pPr>
      <w:r>
        <w:rPr>
          <w:rFonts w:ascii="宋体" w:hAnsi="宋体" w:eastAsia="宋体" w:cs="宋体"/>
          <w:spacing w:val="2"/>
          <w:position w:val="1"/>
          <w:sz w:val="20"/>
          <w:szCs w:val="20"/>
        </w:rPr>
        <w:t>2. 专业工程暂估价</w:t>
      </w:r>
    </w:p>
    <w:p>
      <w:pPr>
        <w:spacing w:before="124" w:line="277" w:lineRule="exact"/>
        <w:ind w:left="424"/>
        <w:rPr>
          <w:rFonts w:ascii="宋体" w:hAnsi="宋体" w:eastAsia="宋体" w:cs="宋体"/>
          <w:sz w:val="20"/>
          <w:szCs w:val="20"/>
        </w:rPr>
      </w:pPr>
      <w:r>
        <w:rPr>
          <w:rFonts w:ascii="宋体" w:hAnsi="宋体" w:eastAsia="宋体" w:cs="宋体"/>
          <w:spacing w:val="2"/>
          <w:position w:val="1"/>
          <w:sz w:val="20"/>
          <w:szCs w:val="20"/>
        </w:rPr>
        <w:t>3. 特殊项目暂估价</w:t>
      </w:r>
    </w:p>
    <w:p>
      <w:pPr>
        <w:spacing w:before="124" w:line="280" w:lineRule="exact"/>
        <w:ind w:left="418"/>
        <w:rPr>
          <w:rFonts w:ascii="宋体" w:hAnsi="宋体" w:eastAsia="宋体" w:cs="宋体"/>
          <w:sz w:val="20"/>
          <w:szCs w:val="20"/>
        </w:rPr>
      </w:pPr>
      <w:r>
        <w:rPr>
          <w:rFonts w:ascii="宋体" w:hAnsi="宋体" w:eastAsia="宋体" w:cs="宋体"/>
          <w:spacing w:val="-5"/>
          <w:position w:val="1"/>
          <w:sz w:val="20"/>
          <w:szCs w:val="20"/>
        </w:rPr>
        <w:t>4.</w:t>
      </w:r>
      <w:r>
        <w:rPr>
          <w:rFonts w:ascii="宋体" w:hAnsi="宋体" w:eastAsia="宋体" w:cs="宋体"/>
          <w:spacing w:val="12"/>
          <w:position w:val="1"/>
          <w:sz w:val="20"/>
          <w:szCs w:val="20"/>
        </w:rPr>
        <w:t xml:space="preserve"> </w:t>
      </w:r>
      <w:r>
        <w:rPr>
          <w:rFonts w:ascii="宋体" w:hAnsi="宋体" w:eastAsia="宋体" w:cs="宋体"/>
          <w:spacing w:val="-5"/>
          <w:position w:val="1"/>
          <w:sz w:val="20"/>
          <w:szCs w:val="20"/>
        </w:rPr>
        <w:t>计日工</w:t>
      </w:r>
    </w:p>
    <w:p>
      <w:pPr>
        <w:spacing w:before="119" w:line="277" w:lineRule="exact"/>
        <w:ind w:left="421"/>
        <w:rPr>
          <w:rFonts w:ascii="宋体" w:hAnsi="宋体" w:eastAsia="宋体" w:cs="宋体"/>
          <w:sz w:val="20"/>
          <w:szCs w:val="20"/>
        </w:rPr>
      </w:pPr>
      <w:r>
        <w:rPr>
          <w:rFonts w:ascii="宋体" w:hAnsi="宋体" w:eastAsia="宋体" w:cs="宋体"/>
          <w:position w:val="1"/>
          <w:sz w:val="20"/>
          <w:szCs w:val="20"/>
        </w:rPr>
        <w:t>5. 采购保管费</w:t>
      </w:r>
    </w:p>
    <w:p>
      <w:pPr>
        <w:spacing w:before="123" w:line="278" w:lineRule="exact"/>
        <w:ind w:left="422"/>
        <w:rPr>
          <w:rFonts w:ascii="宋体" w:hAnsi="宋体" w:eastAsia="宋体" w:cs="宋体"/>
          <w:sz w:val="20"/>
          <w:szCs w:val="20"/>
        </w:rPr>
      </w:pPr>
      <w:r>
        <w:rPr>
          <w:rFonts w:ascii="宋体" w:hAnsi="宋体" w:eastAsia="宋体" w:cs="宋体"/>
          <w:spacing w:val="2"/>
          <w:position w:val="1"/>
          <w:sz w:val="20"/>
          <w:szCs w:val="20"/>
        </w:rPr>
        <w:t>6. 其他检验试验费</w:t>
      </w:r>
    </w:p>
    <w:p>
      <w:pPr>
        <w:spacing w:before="123" w:line="278" w:lineRule="exact"/>
        <w:ind w:left="420"/>
        <w:rPr>
          <w:rFonts w:ascii="宋体" w:hAnsi="宋体" w:eastAsia="宋体" w:cs="宋体"/>
          <w:sz w:val="20"/>
          <w:szCs w:val="20"/>
        </w:rPr>
      </w:pPr>
      <w:r>
        <w:rPr>
          <w:rFonts w:ascii="宋体" w:hAnsi="宋体" w:eastAsia="宋体" w:cs="宋体"/>
          <w:spacing w:val="-1"/>
          <w:position w:val="1"/>
          <w:sz w:val="20"/>
          <w:szCs w:val="20"/>
        </w:rPr>
        <w:t>7.</w:t>
      </w:r>
      <w:r>
        <w:rPr>
          <w:rFonts w:ascii="宋体" w:hAnsi="宋体" w:eastAsia="宋体" w:cs="宋体"/>
          <w:spacing w:val="22"/>
          <w:position w:val="1"/>
          <w:sz w:val="20"/>
          <w:szCs w:val="20"/>
        </w:rPr>
        <w:t xml:space="preserve"> </w:t>
      </w:r>
      <w:r>
        <w:rPr>
          <w:rFonts w:ascii="宋体" w:hAnsi="宋体" w:eastAsia="宋体" w:cs="宋体"/>
          <w:spacing w:val="-1"/>
          <w:position w:val="1"/>
          <w:sz w:val="20"/>
          <w:szCs w:val="20"/>
        </w:rPr>
        <w:t>总承包服务费</w:t>
      </w:r>
    </w:p>
    <w:p>
      <w:pPr>
        <w:spacing w:before="121" w:line="277" w:lineRule="exact"/>
        <w:ind w:left="423"/>
        <w:rPr>
          <w:rFonts w:ascii="宋体" w:hAnsi="宋体" w:eastAsia="宋体" w:cs="宋体"/>
          <w:sz w:val="20"/>
          <w:szCs w:val="20"/>
        </w:rPr>
      </w:pPr>
      <w:r>
        <w:rPr>
          <w:rFonts w:ascii="宋体" w:hAnsi="宋体" w:eastAsia="宋体" w:cs="宋体"/>
          <w:spacing w:val="5"/>
          <w:position w:val="1"/>
          <w:sz w:val="20"/>
          <w:szCs w:val="20"/>
        </w:rPr>
        <w:t>8. 其他包括工期奖惩、质量奖惩等。</w:t>
      </w:r>
    </w:p>
    <w:p>
      <w:pPr>
        <w:spacing w:before="123" w:line="279" w:lineRule="exact"/>
        <w:ind w:left="411"/>
        <w:rPr>
          <w:rFonts w:ascii="宋体" w:hAnsi="宋体" w:eastAsia="宋体" w:cs="宋体"/>
          <w:sz w:val="20"/>
          <w:szCs w:val="20"/>
        </w:rPr>
      </w:pPr>
      <w:r>
        <w:rPr>
          <w:rFonts w:ascii="宋体" w:hAnsi="宋体" w:eastAsia="宋体" w:cs="宋体"/>
          <w:spacing w:val="-1"/>
          <w:position w:val="1"/>
          <w:sz w:val="20"/>
          <w:szCs w:val="20"/>
        </w:rPr>
        <w:t>（</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四）规费</w:t>
      </w:r>
    </w:p>
    <w:p>
      <w:pPr>
        <w:spacing w:before="122" w:line="279" w:lineRule="exact"/>
        <w:ind w:left="411"/>
        <w:rPr>
          <w:rFonts w:ascii="宋体" w:hAnsi="宋体" w:eastAsia="宋体" w:cs="宋体"/>
          <w:sz w:val="20"/>
          <w:szCs w:val="20"/>
        </w:rPr>
      </w:pPr>
      <w:r>
        <w:rPr>
          <w:rFonts w:ascii="宋体" w:hAnsi="宋体" w:eastAsia="宋体" w:cs="宋体"/>
          <w:spacing w:val="10"/>
          <w:position w:val="1"/>
          <w:sz w:val="20"/>
          <w:szCs w:val="20"/>
        </w:rPr>
        <w:t>（五）税金</w:t>
      </w:r>
    </w:p>
    <w:p>
      <w:pPr>
        <w:spacing w:line="279" w:lineRule="exact"/>
        <w:rPr>
          <w:rFonts w:ascii="宋体" w:hAnsi="宋体" w:eastAsia="宋体" w:cs="宋体"/>
          <w:sz w:val="20"/>
          <w:szCs w:val="20"/>
        </w:rPr>
        <w:sectPr>
          <w:footerReference r:id="rId35" w:type="default"/>
          <w:pgSz w:w="11905" w:h="16840"/>
          <w:pgMar w:top="1431" w:right="1419" w:bottom="1213" w:left="1420" w:header="0" w:footer="898" w:gutter="0"/>
        </w:sectPr>
      </w:pPr>
    </w:p>
    <w:p>
      <w:pPr>
        <w:spacing w:before="57" w:line="212" w:lineRule="auto"/>
        <w:ind w:left="2397"/>
        <w:outlineLvl w:val="1"/>
        <w:rPr>
          <w:rFonts w:ascii="宋体" w:hAnsi="宋体" w:eastAsia="宋体" w:cs="宋体"/>
          <w:sz w:val="30"/>
          <w:szCs w:val="30"/>
        </w:rPr>
      </w:pPr>
      <w:bookmarkStart w:id="24" w:name="bookmark17"/>
      <w:bookmarkEnd w:id="24"/>
      <w:bookmarkStart w:id="25" w:name="bookmark16"/>
      <w:bookmarkEnd w:id="25"/>
      <w:r>
        <w:rPr>
          <w:rFonts w:ascii="宋体" w:hAnsi="宋体" w:eastAsia="宋体" w:cs="宋体"/>
          <w:b/>
          <w:bCs/>
          <w:spacing w:val="-3"/>
          <w:sz w:val="30"/>
          <w:szCs w:val="30"/>
        </w:rPr>
        <w:t>第二节</w:t>
      </w:r>
      <w:r>
        <w:rPr>
          <w:rFonts w:ascii="宋体" w:hAnsi="宋体" w:eastAsia="宋体" w:cs="宋体"/>
          <w:spacing w:val="-3"/>
          <w:sz w:val="30"/>
          <w:szCs w:val="30"/>
        </w:rPr>
        <w:t xml:space="preserve">  </w:t>
      </w:r>
      <w:r>
        <w:rPr>
          <w:rFonts w:ascii="宋体" w:hAnsi="宋体" w:eastAsia="宋体" w:cs="宋体"/>
          <w:b/>
          <w:bCs/>
          <w:spacing w:val="-3"/>
          <w:sz w:val="30"/>
          <w:szCs w:val="30"/>
        </w:rPr>
        <w:t>工程量清单计价计算程序</w:t>
      </w:r>
    </w:p>
    <w:p>
      <w:pPr>
        <w:spacing w:line="101" w:lineRule="exact"/>
      </w:pPr>
    </w:p>
    <w:tbl>
      <w:tblPr>
        <w:tblStyle w:val="5"/>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2610"/>
        <w:gridCol w:w="57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963" w:type="dxa"/>
            <w:tcBorders>
              <w:top w:val="single" w:color="000000" w:sz="6" w:space="0"/>
              <w:left w:val="single" w:color="000000" w:sz="6" w:space="0"/>
            </w:tcBorders>
            <w:vAlign w:val="top"/>
          </w:tcPr>
          <w:p>
            <w:pPr>
              <w:spacing w:before="107" w:line="176" w:lineRule="auto"/>
              <w:ind w:left="285"/>
              <w:rPr>
                <w:rFonts w:ascii="微软雅黑" w:hAnsi="微软雅黑" w:eastAsia="微软雅黑" w:cs="微软雅黑"/>
                <w:sz w:val="20"/>
                <w:szCs w:val="20"/>
              </w:rPr>
            </w:pPr>
            <w:r>
              <w:rPr>
                <w:rFonts w:ascii="微软雅黑" w:hAnsi="微软雅黑" w:eastAsia="微软雅黑" w:cs="微软雅黑"/>
                <w:spacing w:val="2"/>
                <w:sz w:val="20"/>
                <w:szCs w:val="20"/>
              </w:rPr>
              <w:t>序号</w:t>
            </w:r>
          </w:p>
        </w:tc>
        <w:tc>
          <w:tcPr>
            <w:tcW w:w="2610" w:type="dxa"/>
            <w:tcBorders>
              <w:top w:val="single" w:color="000000" w:sz="6" w:space="0"/>
            </w:tcBorders>
            <w:vAlign w:val="top"/>
          </w:tcPr>
          <w:p>
            <w:pPr>
              <w:spacing w:before="107" w:line="176" w:lineRule="auto"/>
              <w:ind w:left="892"/>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5718" w:type="dxa"/>
            <w:tcBorders>
              <w:top w:val="single" w:color="000000" w:sz="6" w:space="0"/>
              <w:right w:val="single" w:color="000000" w:sz="6" w:space="0"/>
            </w:tcBorders>
            <w:vAlign w:val="top"/>
          </w:tcPr>
          <w:p>
            <w:pPr>
              <w:spacing w:before="107" w:line="176" w:lineRule="auto"/>
              <w:ind w:left="2284"/>
              <w:rPr>
                <w:rFonts w:ascii="微软雅黑" w:hAnsi="微软雅黑" w:eastAsia="微软雅黑" w:cs="微软雅黑"/>
                <w:sz w:val="20"/>
                <w:szCs w:val="20"/>
              </w:rPr>
            </w:pPr>
            <w:r>
              <w:rPr>
                <w:rFonts w:ascii="微软雅黑" w:hAnsi="微软雅黑" w:eastAsia="微软雅黑" w:cs="微软雅黑"/>
                <w:sz w:val="20"/>
                <w:szCs w:val="20"/>
              </w:rPr>
              <w:t>计</w:t>
            </w:r>
            <w:r>
              <w:rPr>
                <w:rFonts w:ascii="微软雅黑" w:hAnsi="微软雅黑" w:eastAsia="微软雅黑" w:cs="微软雅黑"/>
                <w:spacing w:val="55"/>
                <w:sz w:val="20"/>
                <w:szCs w:val="20"/>
              </w:rPr>
              <w:t xml:space="preserve"> </w:t>
            </w:r>
            <w:r>
              <w:rPr>
                <w:rFonts w:ascii="微软雅黑" w:hAnsi="微软雅黑" w:eastAsia="微软雅黑" w:cs="微软雅黑"/>
                <w:sz w:val="20"/>
                <w:szCs w:val="20"/>
              </w:rPr>
              <w:t>算</w:t>
            </w:r>
            <w:r>
              <w:rPr>
                <w:rFonts w:ascii="微软雅黑" w:hAnsi="微软雅黑" w:eastAsia="微软雅黑" w:cs="微软雅黑"/>
                <w:spacing w:val="57"/>
                <w:sz w:val="20"/>
                <w:szCs w:val="20"/>
              </w:rPr>
              <w:t xml:space="preserve"> </w:t>
            </w:r>
            <w:r>
              <w:rPr>
                <w:rFonts w:ascii="微软雅黑" w:hAnsi="微软雅黑" w:eastAsia="微软雅黑" w:cs="微软雅黑"/>
                <w:sz w:val="20"/>
                <w:szCs w:val="20"/>
              </w:rPr>
              <w:t>方  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restart"/>
            <w:tcBorders>
              <w:left w:val="single" w:color="000000" w:sz="6" w:space="0"/>
              <w:bottom w:val="nil"/>
            </w:tcBorders>
            <w:vAlign w:val="top"/>
          </w:tcPr>
          <w:p>
            <w:pPr>
              <w:pStyle w:val="6"/>
              <w:spacing w:line="287" w:lineRule="auto"/>
            </w:pPr>
          </w:p>
          <w:p>
            <w:pPr>
              <w:pStyle w:val="6"/>
              <w:spacing w:line="287" w:lineRule="auto"/>
            </w:pPr>
          </w:p>
          <w:p>
            <w:pPr>
              <w:pStyle w:val="6"/>
              <w:spacing w:line="288" w:lineRule="auto"/>
            </w:pPr>
          </w:p>
          <w:p>
            <w:pPr>
              <w:pStyle w:val="6"/>
              <w:spacing w:line="288" w:lineRule="auto"/>
            </w:pPr>
          </w:p>
          <w:p>
            <w:pPr>
              <w:pStyle w:val="6"/>
              <w:spacing w:line="288" w:lineRule="auto"/>
            </w:pPr>
          </w:p>
          <w:p>
            <w:pPr>
              <w:spacing w:before="65" w:line="156" w:lineRule="exact"/>
              <w:ind w:left="370"/>
              <w:rPr>
                <w:rFonts w:ascii="宋体" w:hAnsi="宋体" w:eastAsia="宋体" w:cs="宋体"/>
                <w:sz w:val="20"/>
                <w:szCs w:val="20"/>
              </w:rPr>
            </w:pPr>
            <w:r>
              <w:rPr>
                <w:rFonts w:ascii="宋体" w:hAnsi="宋体" w:eastAsia="宋体" w:cs="宋体"/>
                <w:spacing w:val="4"/>
                <w:position w:val="-4"/>
                <w:sz w:val="20"/>
                <w:szCs w:val="20"/>
              </w:rPr>
              <w:t>一</w:t>
            </w:r>
          </w:p>
        </w:tc>
        <w:tc>
          <w:tcPr>
            <w:tcW w:w="2610" w:type="dxa"/>
            <w:vAlign w:val="top"/>
          </w:tcPr>
          <w:p>
            <w:pPr>
              <w:spacing w:before="113" w:line="220" w:lineRule="auto"/>
              <w:ind w:left="103"/>
              <w:rPr>
                <w:rFonts w:ascii="宋体" w:hAnsi="宋体" w:eastAsia="宋体" w:cs="宋体"/>
                <w:sz w:val="20"/>
                <w:szCs w:val="20"/>
              </w:rPr>
            </w:pPr>
            <w:r>
              <w:rPr>
                <w:rFonts w:ascii="宋体" w:hAnsi="宋体" w:eastAsia="宋体" w:cs="宋体"/>
                <w:spacing w:val="5"/>
                <w:sz w:val="20"/>
                <w:szCs w:val="20"/>
              </w:rPr>
              <w:t>分部分项工程费</w:t>
            </w:r>
          </w:p>
        </w:tc>
        <w:tc>
          <w:tcPr>
            <w:tcW w:w="5718" w:type="dxa"/>
            <w:tcBorders>
              <w:right w:val="single" w:color="000000" w:sz="6" w:space="0"/>
            </w:tcBorders>
            <w:vAlign w:val="top"/>
          </w:tcPr>
          <w:p>
            <w:pPr>
              <w:spacing w:before="106" w:line="218" w:lineRule="auto"/>
              <w:ind w:left="135"/>
              <w:rPr>
                <w:rFonts w:ascii="宋体" w:hAnsi="宋体" w:eastAsia="宋体" w:cs="宋体"/>
                <w:sz w:val="20"/>
                <w:szCs w:val="20"/>
              </w:rPr>
            </w:pPr>
            <w:r>
              <w:rPr>
                <w:rFonts w:ascii="宋体" w:hAnsi="宋体" w:eastAsia="宋体" w:cs="宋体"/>
                <w:spacing w:val="-2"/>
                <w:sz w:val="20"/>
                <w:szCs w:val="20"/>
              </w:rPr>
              <w:t>∑（J</w:t>
            </w:r>
            <w:r>
              <w:rPr>
                <w:rFonts w:ascii="宋体" w:hAnsi="宋体" w:eastAsia="宋体" w:cs="宋体"/>
                <w:spacing w:val="-2"/>
                <w:position w:val="-4"/>
                <w:sz w:val="10"/>
                <w:szCs w:val="10"/>
              </w:rPr>
              <w:t xml:space="preserve">i </w:t>
            </w:r>
            <w:r>
              <w:rPr>
                <w:rFonts w:ascii="宋体" w:hAnsi="宋体" w:eastAsia="宋体" w:cs="宋体"/>
                <w:spacing w:val="-2"/>
                <w:sz w:val="20"/>
                <w:szCs w:val="20"/>
              </w:rPr>
              <w:t>×分部分项工程量）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4" w:line="219" w:lineRule="auto"/>
              <w:ind w:left="103"/>
              <w:rPr>
                <w:rFonts w:ascii="宋体" w:hAnsi="宋体" w:eastAsia="宋体" w:cs="宋体"/>
                <w:sz w:val="20"/>
                <w:szCs w:val="20"/>
              </w:rPr>
            </w:pPr>
            <w:r>
              <w:rPr>
                <w:rFonts w:ascii="宋体" w:hAnsi="宋体" w:eastAsia="宋体" w:cs="宋体"/>
                <w:spacing w:val="9"/>
                <w:sz w:val="20"/>
                <w:szCs w:val="20"/>
              </w:rPr>
              <w:t>分部分项工程综合单价</w:t>
            </w:r>
          </w:p>
        </w:tc>
        <w:tc>
          <w:tcPr>
            <w:tcW w:w="5718" w:type="dxa"/>
            <w:tcBorders>
              <w:right w:val="single" w:color="000000" w:sz="6" w:space="0"/>
            </w:tcBorders>
            <w:vAlign w:val="top"/>
          </w:tcPr>
          <w:p>
            <w:pPr>
              <w:spacing w:before="110" w:line="215" w:lineRule="auto"/>
              <w:ind w:left="103"/>
              <w:rPr>
                <w:rFonts w:ascii="宋体" w:hAnsi="宋体" w:eastAsia="宋体" w:cs="宋体"/>
                <w:sz w:val="20"/>
                <w:szCs w:val="20"/>
              </w:rPr>
            </w:pPr>
            <w:r>
              <w:rPr>
                <w:rFonts w:ascii="宋体" w:hAnsi="宋体" w:eastAsia="宋体" w:cs="宋体"/>
                <w:spacing w:val="-19"/>
                <w:sz w:val="20"/>
                <w:szCs w:val="20"/>
              </w:rPr>
              <w:t>J</w:t>
            </w:r>
            <w:r>
              <w:rPr>
                <w:rFonts w:ascii="宋体" w:hAnsi="宋体" w:eastAsia="宋体" w:cs="宋体"/>
                <w:spacing w:val="-19"/>
                <w:position w:val="-4"/>
                <w:sz w:val="10"/>
                <w:szCs w:val="10"/>
              </w:rPr>
              <w:t>i</w:t>
            </w:r>
            <w:r>
              <w:rPr>
                <w:rFonts w:ascii="宋体" w:hAnsi="宋体" w:eastAsia="宋体" w:cs="宋体"/>
                <w:spacing w:val="13"/>
                <w:position w:val="-4"/>
                <w:sz w:val="10"/>
                <w:szCs w:val="10"/>
              </w:rPr>
              <w:t xml:space="preserve"> </w:t>
            </w:r>
            <w:r>
              <w:rPr>
                <w:rFonts w:ascii="宋体" w:hAnsi="宋体" w:eastAsia="宋体" w:cs="宋体"/>
                <w:spacing w:val="-19"/>
                <w:sz w:val="20"/>
                <w:szCs w:val="20"/>
              </w:rPr>
              <w:t>=1.1＋</w:t>
            </w:r>
            <w:r>
              <w:rPr>
                <w:rFonts w:ascii="宋体" w:hAnsi="宋体" w:eastAsia="宋体" w:cs="宋体"/>
                <w:spacing w:val="-47"/>
                <w:sz w:val="20"/>
                <w:szCs w:val="20"/>
              </w:rPr>
              <w:t xml:space="preserve"> </w:t>
            </w:r>
            <w:r>
              <w:rPr>
                <w:rFonts w:ascii="宋体" w:hAnsi="宋体" w:eastAsia="宋体" w:cs="宋体"/>
                <w:spacing w:val="-19"/>
                <w:sz w:val="20"/>
                <w:szCs w:val="20"/>
              </w:rPr>
              <w:t>1.2＋</w:t>
            </w:r>
            <w:r>
              <w:rPr>
                <w:rFonts w:ascii="宋体" w:hAnsi="宋体" w:eastAsia="宋体" w:cs="宋体"/>
                <w:spacing w:val="-47"/>
                <w:sz w:val="20"/>
                <w:szCs w:val="20"/>
              </w:rPr>
              <w:t xml:space="preserve"> </w:t>
            </w:r>
            <w:r>
              <w:rPr>
                <w:rFonts w:ascii="宋体" w:hAnsi="宋体" w:eastAsia="宋体" w:cs="宋体"/>
                <w:spacing w:val="-19"/>
                <w:sz w:val="20"/>
                <w:szCs w:val="20"/>
              </w:rPr>
              <w:t>1.3＋</w:t>
            </w:r>
            <w:r>
              <w:rPr>
                <w:rFonts w:ascii="宋体" w:hAnsi="宋体" w:eastAsia="宋体" w:cs="宋体"/>
                <w:spacing w:val="-44"/>
                <w:sz w:val="20"/>
                <w:szCs w:val="20"/>
              </w:rPr>
              <w:t xml:space="preserve"> </w:t>
            </w:r>
            <w:r>
              <w:rPr>
                <w:rFonts w:ascii="宋体" w:hAnsi="宋体" w:eastAsia="宋体" w:cs="宋体"/>
                <w:spacing w:val="-19"/>
                <w:sz w:val="20"/>
                <w:szCs w:val="20"/>
              </w:rPr>
              <w:t>1.4＋</w:t>
            </w:r>
            <w:r>
              <w:rPr>
                <w:rFonts w:ascii="宋体" w:hAnsi="宋体" w:eastAsia="宋体" w:cs="宋体"/>
                <w:spacing w:val="-44"/>
                <w:sz w:val="20"/>
                <w:szCs w:val="20"/>
              </w:rPr>
              <w:t xml:space="preserve"> </w:t>
            </w:r>
            <w:r>
              <w:rPr>
                <w:rFonts w:ascii="宋体" w:hAnsi="宋体" w:eastAsia="宋体" w:cs="宋体"/>
                <w:spacing w:val="-19"/>
                <w:sz w:val="20"/>
                <w:szCs w:val="20"/>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1" w:line="224" w:lineRule="auto"/>
              <w:ind w:left="121"/>
              <w:rPr>
                <w:rFonts w:ascii="宋体" w:hAnsi="宋体" w:eastAsia="宋体" w:cs="宋体"/>
                <w:sz w:val="20"/>
                <w:szCs w:val="20"/>
              </w:rPr>
            </w:pPr>
            <w:r>
              <w:rPr>
                <w:rFonts w:ascii="宋体" w:hAnsi="宋体" w:eastAsia="宋体" w:cs="宋体"/>
                <w:spacing w:val="-7"/>
                <w:sz w:val="20"/>
                <w:szCs w:val="20"/>
              </w:rPr>
              <w:t>1.1</w:t>
            </w:r>
            <w:r>
              <w:rPr>
                <w:rFonts w:ascii="宋体" w:hAnsi="宋体" w:eastAsia="宋体" w:cs="宋体"/>
                <w:spacing w:val="-41"/>
                <w:sz w:val="20"/>
                <w:szCs w:val="20"/>
              </w:rPr>
              <w:t xml:space="preserve"> </w:t>
            </w:r>
            <w:r>
              <w:rPr>
                <w:rFonts w:ascii="宋体" w:hAnsi="宋体" w:eastAsia="宋体" w:cs="宋体"/>
                <w:spacing w:val="-7"/>
                <w:sz w:val="20"/>
                <w:szCs w:val="20"/>
              </w:rPr>
              <w:t>人工费</w:t>
            </w:r>
          </w:p>
        </w:tc>
        <w:tc>
          <w:tcPr>
            <w:tcW w:w="5718" w:type="dxa"/>
            <w:tcBorders>
              <w:right w:val="single" w:color="000000" w:sz="6" w:space="0"/>
            </w:tcBorders>
            <w:vAlign w:val="top"/>
          </w:tcPr>
          <w:p>
            <w:pPr>
              <w:spacing w:before="111" w:line="224" w:lineRule="auto"/>
              <w:ind w:left="110"/>
              <w:rPr>
                <w:rFonts w:ascii="宋体" w:hAnsi="宋体" w:eastAsia="宋体" w:cs="宋体"/>
                <w:sz w:val="20"/>
                <w:szCs w:val="20"/>
              </w:rPr>
            </w:pPr>
            <w:r>
              <w:rPr>
                <w:rFonts w:ascii="宋体" w:hAnsi="宋体" w:eastAsia="宋体" w:cs="宋体"/>
                <w:spacing w:val="-5"/>
                <w:sz w:val="20"/>
                <w:szCs w:val="20"/>
              </w:rPr>
              <w:t>每计量单位∑（工日消耗量</w:t>
            </w:r>
            <w:r>
              <w:rPr>
                <w:rFonts w:ascii="宋体" w:hAnsi="宋体" w:eastAsia="宋体" w:cs="宋体"/>
                <w:spacing w:val="-40"/>
                <w:sz w:val="20"/>
                <w:szCs w:val="20"/>
              </w:rPr>
              <w:t xml:space="preserve"> </w:t>
            </w:r>
            <w:r>
              <w:rPr>
                <w:rFonts w:ascii="宋体" w:hAnsi="宋体" w:eastAsia="宋体" w:cs="宋体"/>
                <w:spacing w:val="-5"/>
                <w:sz w:val="20"/>
                <w:szCs w:val="20"/>
              </w:rPr>
              <w:t>×人工单价）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7"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3" w:line="234" w:lineRule="auto"/>
              <w:ind w:left="121"/>
              <w:rPr>
                <w:rFonts w:ascii="宋体" w:hAnsi="宋体" w:eastAsia="宋体" w:cs="宋体"/>
                <w:sz w:val="20"/>
                <w:szCs w:val="20"/>
              </w:rPr>
            </w:pPr>
            <w:r>
              <w:rPr>
                <w:rFonts w:ascii="宋体" w:hAnsi="宋体" w:eastAsia="宋体" w:cs="宋体"/>
                <w:spacing w:val="-8"/>
                <w:sz w:val="20"/>
                <w:szCs w:val="20"/>
              </w:rPr>
              <w:t>1.2</w:t>
            </w:r>
            <w:r>
              <w:rPr>
                <w:rFonts w:ascii="宋体" w:hAnsi="宋体" w:eastAsia="宋体" w:cs="宋体"/>
                <w:spacing w:val="-35"/>
                <w:sz w:val="20"/>
                <w:szCs w:val="20"/>
              </w:rPr>
              <w:t xml:space="preserve"> </w:t>
            </w:r>
            <w:r>
              <w:rPr>
                <w:rFonts w:ascii="宋体" w:hAnsi="宋体" w:eastAsia="宋体" w:cs="宋体"/>
                <w:spacing w:val="-8"/>
                <w:sz w:val="20"/>
                <w:szCs w:val="20"/>
              </w:rPr>
              <w:t>材料费</w:t>
            </w:r>
          </w:p>
        </w:tc>
        <w:tc>
          <w:tcPr>
            <w:tcW w:w="5718" w:type="dxa"/>
            <w:tcBorders>
              <w:right w:val="single" w:color="000000" w:sz="6" w:space="0"/>
            </w:tcBorders>
            <w:vAlign w:val="top"/>
          </w:tcPr>
          <w:p>
            <w:pPr>
              <w:spacing w:before="123" w:line="234" w:lineRule="auto"/>
              <w:ind w:left="110"/>
              <w:rPr>
                <w:rFonts w:ascii="宋体" w:hAnsi="宋体" w:eastAsia="宋体" w:cs="宋体"/>
                <w:sz w:val="20"/>
                <w:szCs w:val="20"/>
              </w:rPr>
            </w:pPr>
            <w:r>
              <w:rPr>
                <w:rFonts w:ascii="宋体" w:hAnsi="宋体" w:eastAsia="宋体" w:cs="宋体"/>
                <w:spacing w:val="-5"/>
                <w:sz w:val="20"/>
                <w:szCs w:val="20"/>
              </w:rPr>
              <w:t>每计量单位∑（材料消耗量</w:t>
            </w:r>
            <w:r>
              <w:rPr>
                <w:rFonts w:ascii="宋体" w:hAnsi="宋体" w:eastAsia="宋体" w:cs="宋体"/>
                <w:spacing w:val="-40"/>
                <w:sz w:val="20"/>
                <w:szCs w:val="20"/>
              </w:rPr>
              <w:t xml:space="preserve"> </w:t>
            </w:r>
            <w:r>
              <w:rPr>
                <w:rFonts w:ascii="宋体" w:hAnsi="宋体" w:eastAsia="宋体" w:cs="宋体"/>
                <w:spacing w:val="-5"/>
                <w:sz w:val="20"/>
                <w:szCs w:val="20"/>
              </w:rPr>
              <w:t>×材料单价）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3" w:line="222" w:lineRule="auto"/>
              <w:ind w:left="121"/>
              <w:rPr>
                <w:rFonts w:ascii="宋体" w:hAnsi="宋体" w:eastAsia="宋体" w:cs="宋体"/>
                <w:sz w:val="20"/>
                <w:szCs w:val="20"/>
              </w:rPr>
            </w:pPr>
            <w:r>
              <w:rPr>
                <w:rFonts w:ascii="宋体" w:hAnsi="宋体" w:eastAsia="宋体" w:cs="宋体"/>
                <w:sz w:val="20"/>
                <w:szCs w:val="20"/>
              </w:rPr>
              <w:t>1.3</w:t>
            </w:r>
            <w:r>
              <w:rPr>
                <w:rFonts w:ascii="宋体" w:hAnsi="宋体" w:eastAsia="宋体" w:cs="宋体"/>
                <w:spacing w:val="-43"/>
                <w:sz w:val="20"/>
                <w:szCs w:val="20"/>
              </w:rPr>
              <w:t xml:space="preserve"> </w:t>
            </w:r>
            <w:r>
              <w:rPr>
                <w:rFonts w:ascii="宋体" w:hAnsi="宋体" w:eastAsia="宋体" w:cs="宋体"/>
                <w:sz w:val="20"/>
                <w:szCs w:val="20"/>
              </w:rPr>
              <w:t>施工机械使用费</w:t>
            </w:r>
          </w:p>
        </w:tc>
        <w:tc>
          <w:tcPr>
            <w:tcW w:w="5718" w:type="dxa"/>
            <w:tcBorders>
              <w:right w:val="single" w:color="000000" w:sz="6" w:space="0"/>
            </w:tcBorders>
            <w:vAlign w:val="top"/>
          </w:tcPr>
          <w:p>
            <w:pPr>
              <w:spacing w:before="113" w:line="222" w:lineRule="auto"/>
              <w:ind w:left="110"/>
              <w:rPr>
                <w:rFonts w:ascii="宋体" w:hAnsi="宋体" w:eastAsia="宋体" w:cs="宋体"/>
                <w:sz w:val="20"/>
                <w:szCs w:val="20"/>
              </w:rPr>
            </w:pPr>
            <w:r>
              <w:rPr>
                <w:rFonts w:ascii="宋体" w:hAnsi="宋体" w:eastAsia="宋体" w:cs="宋体"/>
                <w:spacing w:val="2"/>
                <w:sz w:val="20"/>
                <w:szCs w:val="20"/>
              </w:rPr>
              <w:t>每计量单位∑（机械台班消耗量</w:t>
            </w:r>
            <w:r>
              <w:rPr>
                <w:rFonts w:ascii="宋体" w:hAnsi="宋体" w:eastAsia="宋体" w:cs="宋体"/>
                <w:spacing w:val="-29"/>
                <w:sz w:val="20"/>
                <w:szCs w:val="20"/>
              </w:rPr>
              <w:t xml:space="preserve"> </w:t>
            </w:r>
            <w:r>
              <w:rPr>
                <w:rFonts w:ascii="宋体" w:hAnsi="宋体" w:eastAsia="宋体" w:cs="宋体"/>
                <w:spacing w:val="2"/>
                <w:sz w:val="20"/>
                <w:szCs w:val="20"/>
              </w:rPr>
              <w:t>×</w:t>
            </w:r>
            <w:r>
              <w:rPr>
                <w:rFonts w:ascii="宋体" w:hAnsi="宋体" w:eastAsia="宋体" w:cs="宋体"/>
                <w:spacing w:val="-77"/>
                <w:sz w:val="20"/>
                <w:szCs w:val="20"/>
              </w:rPr>
              <w:t xml:space="preserve"> </w:t>
            </w:r>
            <w:r>
              <w:rPr>
                <w:rFonts w:ascii="宋体" w:hAnsi="宋体" w:eastAsia="宋体" w:cs="宋体"/>
                <w:spacing w:val="2"/>
                <w:sz w:val="20"/>
                <w:szCs w:val="20"/>
              </w:rPr>
              <w:t>台班单价）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3" w:line="222" w:lineRule="auto"/>
              <w:ind w:left="121"/>
              <w:rPr>
                <w:rFonts w:ascii="宋体" w:hAnsi="宋体" w:eastAsia="宋体" w:cs="宋体"/>
                <w:sz w:val="20"/>
                <w:szCs w:val="20"/>
              </w:rPr>
            </w:pPr>
            <w:r>
              <w:rPr>
                <w:rFonts w:ascii="宋体" w:hAnsi="宋体" w:eastAsia="宋体" w:cs="宋体"/>
                <w:spacing w:val="-3"/>
                <w:sz w:val="20"/>
                <w:szCs w:val="20"/>
              </w:rPr>
              <w:t>1.4</w:t>
            </w:r>
            <w:r>
              <w:rPr>
                <w:rFonts w:ascii="宋体" w:hAnsi="宋体" w:eastAsia="宋体" w:cs="宋体"/>
                <w:spacing w:val="-39"/>
                <w:sz w:val="20"/>
                <w:szCs w:val="20"/>
              </w:rPr>
              <w:t xml:space="preserve"> </w:t>
            </w:r>
            <w:r>
              <w:rPr>
                <w:rFonts w:ascii="宋体" w:hAnsi="宋体" w:eastAsia="宋体" w:cs="宋体"/>
                <w:spacing w:val="-3"/>
                <w:sz w:val="20"/>
                <w:szCs w:val="20"/>
              </w:rPr>
              <w:t>企业管理费</w:t>
            </w:r>
          </w:p>
        </w:tc>
        <w:tc>
          <w:tcPr>
            <w:tcW w:w="5718" w:type="dxa"/>
            <w:tcBorders>
              <w:right w:val="single" w:color="000000" w:sz="6" w:space="0"/>
            </w:tcBorders>
            <w:vAlign w:val="top"/>
          </w:tcPr>
          <w:p>
            <w:pPr>
              <w:spacing w:before="113" w:line="222" w:lineRule="auto"/>
              <w:ind w:left="103"/>
              <w:rPr>
                <w:rFonts w:ascii="宋体" w:hAnsi="宋体" w:eastAsia="宋体" w:cs="宋体"/>
                <w:sz w:val="20"/>
                <w:szCs w:val="20"/>
              </w:rPr>
            </w:pPr>
            <w:r>
              <w:rPr>
                <w:rFonts w:ascii="宋体" w:hAnsi="宋体" w:eastAsia="宋体" w:cs="宋体"/>
                <w:sz w:val="20"/>
                <w:szCs w:val="20"/>
              </w:rPr>
              <w:t>JQ</w:t>
            </w:r>
            <w:r>
              <w:rPr>
                <w:rFonts w:ascii="宋体" w:hAnsi="宋体" w:eastAsia="宋体" w:cs="宋体"/>
                <w:spacing w:val="4"/>
                <w:sz w:val="20"/>
                <w:szCs w:val="20"/>
              </w:rPr>
              <w:t>1</w:t>
            </w:r>
            <w:r>
              <w:rPr>
                <w:rFonts w:ascii="宋体" w:hAnsi="宋体" w:eastAsia="宋体" w:cs="宋体"/>
                <w:spacing w:val="-45"/>
                <w:sz w:val="20"/>
                <w:szCs w:val="20"/>
              </w:rPr>
              <w:t xml:space="preserve"> </w:t>
            </w:r>
            <w:r>
              <w:rPr>
                <w:rFonts w:ascii="宋体" w:hAnsi="宋体" w:eastAsia="宋体" w:cs="宋体"/>
                <w:spacing w:val="4"/>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4" w:line="221" w:lineRule="auto"/>
              <w:ind w:left="121"/>
              <w:rPr>
                <w:rFonts w:ascii="宋体" w:hAnsi="宋体" w:eastAsia="宋体" w:cs="宋体"/>
                <w:sz w:val="20"/>
                <w:szCs w:val="20"/>
              </w:rPr>
            </w:pPr>
            <w:r>
              <w:rPr>
                <w:rFonts w:ascii="宋体" w:hAnsi="宋体" w:eastAsia="宋体" w:cs="宋体"/>
                <w:spacing w:val="-11"/>
                <w:sz w:val="20"/>
                <w:szCs w:val="20"/>
              </w:rPr>
              <w:t>1.5</w:t>
            </w:r>
            <w:r>
              <w:rPr>
                <w:rFonts w:ascii="宋体" w:hAnsi="宋体" w:eastAsia="宋体" w:cs="宋体"/>
                <w:spacing w:val="-39"/>
                <w:sz w:val="20"/>
                <w:szCs w:val="20"/>
              </w:rPr>
              <w:t xml:space="preserve"> </w:t>
            </w:r>
            <w:r>
              <w:rPr>
                <w:rFonts w:ascii="宋体" w:hAnsi="宋体" w:eastAsia="宋体" w:cs="宋体"/>
                <w:spacing w:val="-11"/>
                <w:sz w:val="20"/>
                <w:szCs w:val="20"/>
              </w:rPr>
              <w:t>利润</w:t>
            </w:r>
          </w:p>
        </w:tc>
        <w:tc>
          <w:tcPr>
            <w:tcW w:w="5718" w:type="dxa"/>
            <w:tcBorders>
              <w:right w:val="single" w:color="000000" w:sz="6" w:space="0"/>
            </w:tcBorders>
            <w:vAlign w:val="top"/>
          </w:tcPr>
          <w:p>
            <w:pPr>
              <w:spacing w:before="114" w:line="221" w:lineRule="auto"/>
              <w:ind w:left="103"/>
              <w:rPr>
                <w:rFonts w:ascii="宋体" w:hAnsi="宋体" w:eastAsia="宋体" w:cs="宋体"/>
                <w:sz w:val="20"/>
                <w:szCs w:val="20"/>
              </w:rPr>
            </w:pPr>
            <w:r>
              <w:rPr>
                <w:rFonts w:ascii="宋体" w:hAnsi="宋体" w:eastAsia="宋体" w:cs="宋体"/>
                <w:sz w:val="20"/>
                <w:szCs w:val="20"/>
              </w:rPr>
              <w:t>JQ</w:t>
            </w:r>
            <w:r>
              <w:rPr>
                <w:rFonts w:ascii="宋体" w:hAnsi="宋体" w:eastAsia="宋体" w:cs="宋体"/>
                <w:spacing w:val="1"/>
                <w:sz w:val="20"/>
                <w:szCs w:val="20"/>
              </w:rPr>
              <w:t>1</w:t>
            </w:r>
            <w:r>
              <w:rPr>
                <w:rFonts w:ascii="宋体" w:hAnsi="宋体" w:eastAsia="宋体" w:cs="宋体"/>
                <w:spacing w:val="-43"/>
                <w:sz w:val="20"/>
                <w:szCs w:val="20"/>
              </w:rPr>
              <w:t xml:space="preserve"> </w:t>
            </w:r>
            <w:r>
              <w:rPr>
                <w:rFonts w:ascii="宋体" w:hAnsi="宋体" w:eastAsia="宋体" w:cs="宋体"/>
                <w:spacing w:val="1"/>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tcBorders>
            <w:vAlign w:val="top"/>
          </w:tcPr>
          <w:p>
            <w:pPr>
              <w:pStyle w:val="6"/>
            </w:pPr>
          </w:p>
        </w:tc>
        <w:tc>
          <w:tcPr>
            <w:tcW w:w="2610" w:type="dxa"/>
            <w:vAlign w:val="top"/>
          </w:tcPr>
          <w:p>
            <w:pPr>
              <w:spacing w:before="114" w:line="222" w:lineRule="auto"/>
              <w:ind w:left="101"/>
              <w:rPr>
                <w:rFonts w:ascii="宋体" w:hAnsi="宋体" w:eastAsia="宋体" w:cs="宋体"/>
                <w:sz w:val="20"/>
                <w:szCs w:val="20"/>
              </w:rPr>
            </w:pPr>
            <w:r>
              <w:rPr>
                <w:rFonts w:ascii="宋体" w:hAnsi="宋体" w:eastAsia="宋体" w:cs="宋体"/>
                <w:spacing w:val="11"/>
                <w:sz w:val="20"/>
                <w:szCs w:val="20"/>
              </w:rPr>
              <w:t>计费基础</w:t>
            </w:r>
            <w:r>
              <w:rPr>
                <w:rFonts w:ascii="宋体" w:hAnsi="宋体" w:eastAsia="宋体" w:cs="宋体"/>
                <w:spacing w:val="-42"/>
                <w:sz w:val="20"/>
                <w:szCs w:val="20"/>
              </w:rPr>
              <w:t xml:space="preserve"> </w:t>
            </w:r>
            <w:r>
              <w:rPr>
                <w:rFonts w:ascii="宋体" w:hAnsi="宋体" w:eastAsia="宋体" w:cs="宋体"/>
                <w:sz w:val="20"/>
                <w:szCs w:val="20"/>
              </w:rPr>
              <w:t>JQ</w:t>
            </w:r>
            <w:r>
              <w:rPr>
                <w:rFonts w:ascii="宋体" w:hAnsi="宋体" w:eastAsia="宋体" w:cs="宋体"/>
                <w:spacing w:val="11"/>
                <w:sz w:val="20"/>
                <w:szCs w:val="20"/>
              </w:rPr>
              <w:t>1</w:t>
            </w:r>
          </w:p>
        </w:tc>
        <w:tc>
          <w:tcPr>
            <w:tcW w:w="5718" w:type="dxa"/>
            <w:tcBorders>
              <w:right w:val="single" w:color="000000" w:sz="6" w:space="0"/>
            </w:tcBorders>
            <w:vAlign w:val="top"/>
          </w:tcPr>
          <w:p>
            <w:pPr>
              <w:spacing w:before="121" w:line="216" w:lineRule="auto"/>
              <w:ind w:left="106"/>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restart"/>
            <w:tcBorders>
              <w:left w:val="single" w:color="000000" w:sz="6" w:space="0"/>
              <w:bottom w:val="nil"/>
            </w:tcBorders>
            <w:vAlign w:val="top"/>
          </w:tcPr>
          <w:p>
            <w:pPr>
              <w:pStyle w:val="6"/>
              <w:spacing w:line="255" w:lineRule="auto"/>
            </w:pPr>
          </w:p>
          <w:p>
            <w:pPr>
              <w:pStyle w:val="6"/>
              <w:spacing w:line="256" w:lineRule="auto"/>
            </w:pPr>
          </w:p>
          <w:p>
            <w:pPr>
              <w:pStyle w:val="6"/>
              <w:spacing w:line="256" w:lineRule="auto"/>
            </w:pPr>
          </w:p>
          <w:p>
            <w:pPr>
              <w:pStyle w:val="6"/>
              <w:spacing w:line="256" w:lineRule="auto"/>
            </w:pPr>
          </w:p>
          <w:p>
            <w:pPr>
              <w:spacing w:before="65" w:line="192" w:lineRule="auto"/>
              <w:ind w:left="370"/>
              <w:rPr>
                <w:rFonts w:ascii="宋体" w:hAnsi="宋体" w:eastAsia="宋体" w:cs="宋体"/>
                <w:sz w:val="20"/>
                <w:szCs w:val="20"/>
              </w:rPr>
            </w:pPr>
            <w:r>
              <w:rPr>
                <w:rFonts w:ascii="宋体" w:hAnsi="宋体" w:eastAsia="宋体" w:cs="宋体"/>
                <w:spacing w:val="4"/>
                <w:sz w:val="20"/>
                <w:szCs w:val="20"/>
              </w:rPr>
              <w:t>二</w:t>
            </w:r>
          </w:p>
        </w:tc>
        <w:tc>
          <w:tcPr>
            <w:tcW w:w="2610" w:type="dxa"/>
            <w:vAlign w:val="top"/>
          </w:tcPr>
          <w:p>
            <w:pPr>
              <w:spacing w:before="122" w:line="214" w:lineRule="auto"/>
              <w:ind w:left="102"/>
              <w:rPr>
                <w:rFonts w:ascii="宋体" w:hAnsi="宋体" w:eastAsia="宋体" w:cs="宋体"/>
                <w:sz w:val="20"/>
                <w:szCs w:val="20"/>
              </w:rPr>
            </w:pPr>
            <w:r>
              <w:rPr>
                <w:rFonts w:ascii="宋体" w:hAnsi="宋体" w:eastAsia="宋体" w:cs="宋体"/>
                <w:spacing w:val="9"/>
                <w:sz w:val="20"/>
                <w:szCs w:val="20"/>
              </w:rPr>
              <w:t>措施项目费</w:t>
            </w:r>
          </w:p>
        </w:tc>
        <w:tc>
          <w:tcPr>
            <w:tcW w:w="5718" w:type="dxa"/>
            <w:tcBorders>
              <w:right w:val="single" w:color="000000" w:sz="6" w:space="0"/>
            </w:tcBorders>
            <w:vAlign w:val="top"/>
          </w:tcPr>
          <w:p>
            <w:pPr>
              <w:spacing w:before="114" w:line="221" w:lineRule="auto"/>
              <w:ind w:left="108"/>
              <w:rPr>
                <w:rFonts w:ascii="宋体" w:hAnsi="宋体" w:eastAsia="宋体" w:cs="宋体"/>
                <w:sz w:val="20"/>
                <w:szCs w:val="20"/>
              </w:rPr>
            </w:pPr>
            <w:r>
              <w:rPr>
                <w:rFonts w:ascii="宋体" w:hAnsi="宋体" w:eastAsia="宋体" w:cs="宋体"/>
                <w:spacing w:val="-12"/>
                <w:sz w:val="20"/>
                <w:szCs w:val="20"/>
              </w:rPr>
              <w:t>2.1＋2.2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pStyle w:val="6"/>
              <w:spacing w:line="290" w:lineRule="auto"/>
            </w:pPr>
          </w:p>
          <w:p>
            <w:pPr>
              <w:spacing w:before="65" w:line="277" w:lineRule="exact"/>
              <w:ind w:left="104"/>
              <w:rPr>
                <w:rFonts w:ascii="宋体" w:hAnsi="宋体" w:eastAsia="宋体" w:cs="宋体"/>
                <w:sz w:val="20"/>
                <w:szCs w:val="20"/>
              </w:rPr>
            </w:pPr>
            <w:r>
              <w:rPr>
                <w:rFonts w:ascii="宋体" w:hAnsi="宋体" w:eastAsia="宋体" w:cs="宋体"/>
                <w:spacing w:val="-1"/>
                <w:position w:val="1"/>
                <w:sz w:val="20"/>
                <w:szCs w:val="20"/>
              </w:rPr>
              <w:t>2.1</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单价措施费</w:t>
            </w:r>
          </w:p>
        </w:tc>
        <w:tc>
          <w:tcPr>
            <w:tcW w:w="5718" w:type="dxa"/>
            <w:tcBorders>
              <w:right w:val="single" w:color="000000" w:sz="6" w:space="0"/>
            </w:tcBorders>
            <w:vAlign w:val="top"/>
          </w:tcPr>
          <w:p>
            <w:pPr>
              <w:spacing w:before="46" w:line="273" w:lineRule="auto"/>
              <w:ind w:left="97" w:right="92" w:firstLine="37"/>
              <w:jc w:val="both"/>
              <w:rPr>
                <w:rFonts w:ascii="宋体" w:hAnsi="宋体" w:eastAsia="宋体" w:cs="宋体"/>
                <w:sz w:val="20"/>
                <w:szCs w:val="20"/>
              </w:rPr>
            </w:pPr>
            <w:r>
              <w:rPr>
                <w:rFonts w:ascii="宋体" w:hAnsi="宋体" w:eastAsia="宋体" w:cs="宋体"/>
                <w:spacing w:val="-6"/>
                <w:sz w:val="20"/>
                <w:szCs w:val="20"/>
              </w:rPr>
              <w:t>∑｛〔每计量单位∑（工日消耗量</w:t>
            </w:r>
            <w:r>
              <w:rPr>
                <w:rFonts w:ascii="宋体" w:hAnsi="宋体" w:eastAsia="宋体" w:cs="宋体"/>
                <w:spacing w:val="-47"/>
                <w:sz w:val="20"/>
                <w:szCs w:val="20"/>
              </w:rPr>
              <w:t xml:space="preserve"> </w:t>
            </w:r>
            <w:r>
              <w:rPr>
                <w:rFonts w:ascii="宋体" w:hAnsi="宋体" w:eastAsia="宋体" w:cs="宋体"/>
                <w:spacing w:val="-6"/>
                <w:sz w:val="20"/>
                <w:szCs w:val="20"/>
              </w:rPr>
              <w:t>×人工单价）+ ∑（材料消耗</w:t>
            </w:r>
            <w:r>
              <w:rPr>
                <w:rFonts w:ascii="宋体" w:hAnsi="宋体" w:eastAsia="宋体" w:cs="宋体"/>
                <w:sz w:val="20"/>
                <w:szCs w:val="20"/>
              </w:rPr>
              <w:t>量</w:t>
            </w:r>
            <w:r>
              <w:rPr>
                <w:rFonts w:ascii="宋体" w:hAnsi="宋体" w:eastAsia="宋体" w:cs="宋体"/>
                <w:spacing w:val="-54"/>
                <w:sz w:val="20"/>
                <w:szCs w:val="20"/>
              </w:rPr>
              <w:t xml:space="preserve"> </w:t>
            </w:r>
            <w:r>
              <w:rPr>
                <w:rFonts w:ascii="宋体" w:hAnsi="宋体" w:eastAsia="宋体" w:cs="宋体"/>
                <w:sz w:val="20"/>
                <w:szCs w:val="20"/>
              </w:rPr>
              <w:t>×材料单价）</w:t>
            </w:r>
            <w:r>
              <w:rPr>
                <w:rFonts w:ascii="宋体" w:hAnsi="宋体" w:eastAsia="宋体" w:cs="宋体"/>
                <w:spacing w:val="-55"/>
                <w:sz w:val="20"/>
                <w:szCs w:val="20"/>
              </w:rPr>
              <w:t xml:space="preserve"> </w:t>
            </w:r>
            <w:r>
              <w:rPr>
                <w:rFonts w:ascii="宋体" w:hAnsi="宋体" w:eastAsia="宋体" w:cs="宋体"/>
                <w:sz w:val="20"/>
                <w:szCs w:val="20"/>
              </w:rPr>
              <w:t>+ ∑（机械台班消耗量</w:t>
            </w:r>
            <w:r>
              <w:rPr>
                <w:rFonts w:ascii="宋体" w:hAnsi="宋体" w:eastAsia="宋体" w:cs="宋体"/>
                <w:spacing w:val="-42"/>
                <w:sz w:val="20"/>
                <w:szCs w:val="20"/>
              </w:rPr>
              <w:t xml:space="preserve"> </w:t>
            </w:r>
            <w:r>
              <w:rPr>
                <w:rFonts w:ascii="宋体" w:hAnsi="宋体" w:eastAsia="宋体" w:cs="宋体"/>
                <w:sz w:val="20"/>
                <w:szCs w:val="20"/>
              </w:rPr>
              <w:t>×</w:t>
            </w:r>
            <w:r>
              <w:rPr>
                <w:rFonts w:ascii="宋体" w:hAnsi="宋体" w:eastAsia="宋体" w:cs="宋体"/>
                <w:spacing w:val="-77"/>
                <w:sz w:val="20"/>
                <w:szCs w:val="20"/>
              </w:rPr>
              <w:t xml:space="preserve"> </w:t>
            </w:r>
            <w:r>
              <w:rPr>
                <w:rFonts w:ascii="宋体" w:hAnsi="宋体" w:eastAsia="宋体" w:cs="宋体"/>
                <w:sz w:val="20"/>
                <w:szCs w:val="20"/>
              </w:rPr>
              <w:t>台班单价</w:t>
            </w:r>
            <w:r>
              <w:rPr>
                <w:rFonts w:ascii="宋体" w:hAnsi="宋体" w:eastAsia="宋体" w:cs="宋体"/>
                <w:spacing w:val="-31"/>
                <w:sz w:val="20"/>
                <w:szCs w:val="20"/>
              </w:rPr>
              <w:t>）</w:t>
            </w:r>
            <w:r>
              <w:rPr>
                <w:rFonts w:ascii="宋体" w:hAnsi="宋体" w:eastAsia="宋体" w:cs="宋体"/>
                <w:spacing w:val="-56"/>
                <w:sz w:val="20"/>
                <w:szCs w:val="20"/>
              </w:rPr>
              <w:t xml:space="preserve"> </w:t>
            </w:r>
            <w:r>
              <w:rPr>
                <w:rFonts w:ascii="宋体" w:hAnsi="宋体" w:eastAsia="宋体" w:cs="宋体"/>
                <w:spacing w:val="-31"/>
                <w:sz w:val="20"/>
                <w:szCs w:val="20"/>
              </w:rPr>
              <w:t>＋</w:t>
            </w:r>
            <w:r>
              <w:rPr>
                <w:rFonts w:ascii="宋体" w:hAnsi="宋体" w:eastAsia="宋体" w:cs="宋体"/>
                <w:sz w:val="20"/>
                <w:szCs w:val="20"/>
              </w:rPr>
              <w:t>JQ2</w:t>
            </w:r>
            <w:r>
              <w:rPr>
                <w:rFonts w:ascii="宋体" w:hAnsi="宋体" w:eastAsia="宋体" w:cs="宋体"/>
                <w:spacing w:val="-45"/>
                <w:sz w:val="20"/>
                <w:szCs w:val="20"/>
              </w:rPr>
              <w:t xml:space="preserve"> </w:t>
            </w:r>
            <w:r>
              <w:rPr>
                <w:rFonts w:ascii="宋体" w:hAnsi="宋体" w:eastAsia="宋体" w:cs="宋体"/>
                <w:sz w:val="20"/>
                <w:szCs w:val="20"/>
              </w:rPr>
              <w:t xml:space="preserve">× </w:t>
            </w:r>
            <w:r>
              <w:rPr>
                <w:rFonts w:ascii="宋体" w:hAnsi="宋体" w:eastAsia="宋体" w:cs="宋体"/>
                <w:spacing w:val="4"/>
                <w:sz w:val="20"/>
                <w:szCs w:val="20"/>
              </w:rPr>
              <w:t>（管理费费率＋利润率）</w:t>
            </w:r>
            <w:r>
              <w:rPr>
                <w:rFonts w:ascii="宋体" w:hAnsi="宋体" w:eastAsia="宋体" w:cs="宋体"/>
                <w:spacing w:val="-36"/>
                <w:sz w:val="20"/>
                <w:szCs w:val="20"/>
              </w:rPr>
              <w:t xml:space="preserve"> </w:t>
            </w:r>
            <w:r>
              <w:rPr>
                <w:rFonts w:ascii="宋体" w:hAnsi="宋体" w:eastAsia="宋体" w:cs="宋体"/>
                <w:spacing w:val="4"/>
                <w:sz w:val="20"/>
                <w:szCs w:val="20"/>
              </w:rPr>
              <w:t>〕×单价措施项目工程量</w:t>
            </w:r>
            <w:r>
              <w:rPr>
                <w:rFonts w:ascii="宋体" w:hAnsi="宋体" w:eastAsia="宋体" w:cs="宋体"/>
                <w:spacing w:val="-54"/>
                <w:sz w:val="20"/>
                <w:szCs w:val="20"/>
              </w:rPr>
              <w:t xml:space="preserve"> </w:t>
            </w:r>
            <w:r>
              <w:rPr>
                <w:rFonts w:ascii="宋体" w:hAnsi="宋体" w:eastAsia="宋体" w:cs="宋体"/>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59" w:line="276" w:lineRule="exact"/>
              <w:ind w:left="101"/>
              <w:rPr>
                <w:rFonts w:ascii="宋体" w:hAnsi="宋体" w:eastAsia="宋体" w:cs="宋体"/>
                <w:sz w:val="20"/>
                <w:szCs w:val="20"/>
              </w:rPr>
            </w:pPr>
            <w:r>
              <w:rPr>
                <w:rFonts w:ascii="宋体" w:hAnsi="宋体" w:eastAsia="宋体" w:cs="宋体"/>
                <w:spacing w:val="11"/>
                <w:position w:val="1"/>
                <w:sz w:val="20"/>
                <w:szCs w:val="20"/>
              </w:rPr>
              <w:t>计费基础</w:t>
            </w:r>
            <w:r>
              <w:rPr>
                <w:rFonts w:ascii="宋体" w:hAnsi="宋体" w:eastAsia="宋体" w:cs="宋体"/>
                <w:spacing w:val="-42"/>
                <w:position w:val="1"/>
                <w:sz w:val="20"/>
                <w:szCs w:val="20"/>
              </w:rPr>
              <w:t xml:space="preserve"> </w:t>
            </w:r>
            <w:r>
              <w:rPr>
                <w:rFonts w:ascii="宋体" w:hAnsi="宋体" w:eastAsia="宋体" w:cs="宋体"/>
                <w:position w:val="1"/>
                <w:sz w:val="20"/>
                <w:szCs w:val="20"/>
              </w:rPr>
              <w:t>JQ</w:t>
            </w:r>
            <w:r>
              <w:rPr>
                <w:rFonts w:ascii="宋体" w:hAnsi="宋体" w:eastAsia="宋体" w:cs="宋体"/>
                <w:spacing w:val="11"/>
                <w:position w:val="1"/>
                <w:sz w:val="20"/>
                <w:szCs w:val="20"/>
              </w:rPr>
              <w:t>2</w:t>
            </w:r>
          </w:p>
        </w:tc>
        <w:tc>
          <w:tcPr>
            <w:tcW w:w="5718" w:type="dxa"/>
            <w:tcBorders>
              <w:right w:val="single" w:color="000000" w:sz="6" w:space="0"/>
            </w:tcBorders>
            <w:vAlign w:val="top"/>
          </w:tcPr>
          <w:p>
            <w:pPr>
              <w:spacing w:before="64" w:line="218" w:lineRule="auto"/>
              <w:ind w:left="106"/>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4" w:hRule="atLeast"/>
        </w:trPr>
        <w:tc>
          <w:tcPr>
            <w:tcW w:w="963" w:type="dxa"/>
            <w:vMerge w:val="continue"/>
            <w:tcBorders>
              <w:top w:val="nil"/>
              <w:left w:val="single" w:color="000000" w:sz="6" w:space="0"/>
            </w:tcBorders>
            <w:vAlign w:val="top"/>
          </w:tcPr>
          <w:p>
            <w:pPr>
              <w:pStyle w:val="6"/>
            </w:pPr>
          </w:p>
        </w:tc>
        <w:tc>
          <w:tcPr>
            <w:tcW w:w="2610" w:type="dxa"/>
            <w:vAlign w:val="top"/>
          </w:tcPr>
          <w:p>
            <w:pPr>
              <w:pStyle w:val="6"/>
              <w:spacing w:line="292" w:lineRule="auto"/>
            </w:pPr>
          </w:p>
          <w:p>
            <w:pPr>
              <w:spacing w:before="65" w:line="276" w:lineRule="exact"/>
              <w:ind w:left="104"/>
              <w:rPr>
                <w:rFonts w:ascii="宋体" w:hAnsi="宋体" w:eastAsia="宋体" w:cs="宋体"/>
                <w:sz w:val="20"/>
                <w:szCs w:val="20"/>
              </w:rPr>
            </w:pPr>
            <w:r>
              <w:rPr>
                <w:rFonts w:ascii="宋体" w:hAnsi="宋体" w:eastAsia="宋体" w:cs="宋体"/>
                <w:spacing w:val="-2"/>
                <w:position w:val="1"/>
                <w:sz w:val="20"/>
                <w:szCs w:val="20"/>
              </w:rPr>
              <w:t>2.2</w:t>
            </w:r>
            <w:r>
              <w:rPr>
                <w:rFonts w:ascii="宋体" w:hAnsi="宋体" w:eastAsia="宋体" w:cs="宋体"/>
                <w:spacing w:val="-30"/>
                <w:position w:val="1"/>
                <w:sz w:val="20"/>
                <w:szCs w:val="20"/>
              </w:rPr>
              <w:t xml:space="preserve"> </w:t>
            </w:r>
            <w:r>
              <w:rPr>
                <w:rFonts w:ascii="宋体" w:hAnsi="宋体" w:eastAsia="宋体" w:cs="宋体"/>
                <w:spacing w:val="-2"/>
                <w:position w:val="1"/>
                <w:sz w:val="20"/>
                <w:szCs w:val="20"/>
              </w:rPr>
              <w:t>总价措施费</w:t>
            </w:r>
          </w:p>
        </w:tc>
        <w:tc>
          <w:tcPr>
            <w:tcW w:w="5718" w:type="dxa"/>
            <w:tcBorders>
              <w:right w:val="single" w:color="000000" w:sz="6" w:space="0"/>
            </w:tcBorders>
            <w:vAlign w:val="top"/>
          </w:tcPr>
          <w:p>
            <w:pPr>
              <w:spacing w:before="46" w:line="273" w:lineRule="auto"/>
              <w:ind w:left="106" w:right="104" w:firstLine="28"/>
              <w:jc w:val="both"/>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z w:val="20"/>
                <w:szCs w:val="20"/>
              </w:rPr>
              <w:t>JQ</w:t>
            </w:r>
            <w:r>
              <w:rPr>
                <w:rFonts w:ascii="宋体" w:hAnsi="宋体" w:eastAsia="宋体" w:cs="宋体"/>
                <w:spacing w:val="6"/>
                <w:sz w:val="20"/>
                <w:szCs w:val="20"/>
              </w:rPr>
              <w:t>1</w:t>
            </w:r>
            <w:r>
              <w:rPr>
                <w:rFonts w:ascii="宋体" w:hAnsi="宋体" w:eastAsia="宋体" w:cs="宋体"/>
                <w:spacing w:val="-39"/>
                <w:sz w:val="20"/>
                <w:szCs w:val="20"/>
              </w:rPr>
              <w:t xml:space="preserve"> </w:t>
            </w:r>
            <w:r>
              <w:rPr>
                <w:rFonts w:ascii="宋体" w:hAnsi="宋体" w:eastAsia="宋体" w:cs="宋体"/>
                <w:spacing w:val="6"/>
                <w:sz w:val="20"/>
                <w:szCs w:val="20"/>
              </w:rPr>
              <w:t>×分部分项工程量）</w:t>
            </w:r>
            <w:r>
              <w:rPr>
                <w:rFonts w:ascii="宋体" w:hAnsi="宋体" w:eastAsia="宋体" w:cs="宋体"/>
                <w:spacing w:val="-26"/>
                <w:sz w:val="20"/>
                <w:szCs w:val="20"/>
              </w:rPr>
              <w:t xml:space="preserve"> </w:t>
            </w:r>
            <w:r>
              <w:rPr>
                <w:rFonts w:ascii="宋体" w:hAnsi="宋体" w:eastAsia="宋体" w:cs="宋体"/>
                <w:spacing w:val="6"/>
                <w:sz w:val="20"/>
                <w:szCs w:val="20"/>
              </w:rPr>
              <w:t>×措施费费率</w:t>
            </w:r>
            <w:r>
              <w:rPr>
                <w:rFonts w:ascii="宋体" w:hAnsi="宋体" w:eastAsia="宋体" w:cs="宋体"/>
                <w:spacing w:val="-33"/>
                <w:sz w:val="20"/>
                <w:szCs w:val="20"/>
              </w:rPr>
              <w:t>＋（</w:t>
            </w:r>
            <w:r>
              <w:rPr>
                <w:rFonts w:ascii="宋体" w:hAnsi="宋体" w:eastAsia="宋体" w:cs="宋体"/>
                <w:sz w:val="20"/>
                <w:szCs w:val="20"/>
              </w:rPr>
              <w:t>JQ</w:t>
            </w:r>
            <w:r>
              <w:rPr>
                <w:rFonts w:ascii="宋体" w:hAnsi="宋体" w:eastAsia="宋体" w:cs="宋体"/>
                <w:spacing w:val="6"/>
                <w:sz w:val="20"/>
                <w:szCs w:val="20"/>
              </w:rPr>
              <w:t>1</w:t>
            </w:r>
            <w:r>
              <w:rPr>
                <w:rFonts w:ascii="宋体" w:hAnsi="宋体" w:eastAsia="宋体" w:cs="宋体"/>
                <w:spacing w:val="-40"/>
                <w:sz w:val="20"/>
                <w:szCs w:val="20"/>
              </w:rPr>
              <w:t xml:space="preserve"> </w:t>
            </w:r>
            <w:r>
              <w:rPr>
                <w:rFonts w:ascii="宋体" w:hAnsi="宋体" w:eastAsia="宋体" w:cs="宋体"/>
                <w:spacing w:val="6"/>
                <w:sz w:val="20"/>
                <w:szCs w:val="20"/>
              </w:rPr>
              <w:t>×分部</w:t>
            </w:r>
            <w:r>
              <w:rPr>
                <w:rFonts w:ascii="宋体" w:hAnsi="宋体" w:eastAsia="宋体" w:cs="宋体"/>
                <w:spacing w:val="11"/>
                <w:sz w:val="20"/>
                <w:szCs w:val="20"/>
              </w:rPr>
              <w:t>分项工程量）</w:t>
            </w:r>
            <w:r>
              <w:rPr>
                <w:rFonts w:ascii="宋体" w:hAnsi="宋体" w:eastAsia="宋体" w:cs="宋体"/>
                <w:spacing w:val="-17"/>
                <w:sz w:val="20"/>
                <w:szCs w:val="20"/>
              </w:rPr>
              <w:t xml:space="preserve"> </w:t>
            </w:r>
            <w:r>
              <w:rPr>
                <w:rFonts w:ascii="宋体" w:hAnsi="宋体" w:eastAsia="宋体" w:cs="宋体"/>
                <w:spacing w:val="11"/>
                <w:sz w:val="20"/>
                <w:szCs w:val="20"/>
              </w:rPr>
              <w:t>×省发措施费费率</w:t>
            </w:r>
            <w:r>
              <w:rPr>
                <w:rFonts w:ascii="宋体" w:hAnsi="宋体" w:eastAsia="宋体" w:cs="宋体"/>
                <w:spacing w:val="-35"/>
                <w:sz w:val="20"/>
                <w:szCs w:val="20"/>
              </w:rPr>
              <w:t xml:space="preserve"> </w:t>
            </w:r>
            <w:r>
              <w:rPr>
                <w:rFonts w:ascii="宋体" w:hAnsi="宋体" w:eastAsia="宋体" w:cs="宋体"/>
                <w:spacing w:val="11"/>
                <w:sz w:val="20"/>
                <w:szCs w:val="20"/>
              </w:rPr>
              <w:t>×H</w:t>
            </w:r>
            <w:r>
              <w:rPr>
                <w:rFonts w:ascii="宋体" w:hAnsi="宋体" w:eastAsia="宋体" w:cs="宋体"/>
                <w:spacing w:val="-36"/>
                <w:sz w:val="20"/>
                <w:szCs w:val="20"/>
              </w:rPr>
              <w:t xml:space="preserve"> </w:t>
            </w:r>
            <w:r>
              <w:rPr>
                <w:rFonts w:ascii="宋体" w:hAnsi="宋体" w:eastAsia="宋体" w:cs="宋体"/>
                <w:spacing w:val="11"/>
                <w:sz w:val="20"/>
                <w:szCs w:val="20"/>
              </w:rPr>
              <w:t>×（管理费费率</w:t>
            </w:r>
            <w:r>
              <w:rPr>
                <w:rFonts w:ascii="宋体" w:hAnsi="宋体" w:eastAsia="宋体" w:cs="宋体"/>
                <w:spacing w:val="10"/>
                <w:sz w:val="20"/>
                <w:szCs w:val="20"/>
              </w:rPr>
              <w:t>+利润</w:t>
            </w:r>
            <w:r>
              <w:rPr>
                <w:rFonts w:ascii="宋体" w:hAnsi="宋体" w:eastAsia="宋体" w:cs="宋体"/>
                <w:spacing w:val="12"/>
                <w:sz w:val="20"/>
                <w:szCs w:val="20"/>
              </w:rPr>
              <w:t>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963" w:type="dxa"/>
            <w:vMerge w:val="restart"/>
            <w:tcBorders>
              <w:left w:val="single" w:color="000000" w:sz="6" w:space="0"/>
              <w:bottom w:val="nil"/>
            </w:tcBorders>
            <w:vAlign w:val="top"/>
          </w:tcPr>
          <w:p>
            <w:pPr>
              <w:pStyle w:val="6"/>
              <w:spacing w:line="244" w:lineRule="auto"/>
            </w:pPr>
          </w:p>
          <w:p>
            <w:pPr>
              <w:pStyle w:val="6"/>
              <w:spacing w:line="244" w:lineRule="auto"/>
            </w:pPr>
          </w:p>
          <w:p>
            <w:pPr>
              <w:pStyle w:val="6"/>
              <w:spacing w:line="244" w:lineRule="auto"/>
            </w:pPr>
          </w:p>
          <w:p>
            <w:pPr>
              <w:pStyle w:val="6"/>
              <w:spacing w:line="245" w:lineRule="auto"/>
            </w:pPr>
          </w:p>
          <w:p>
            <w:pPr>
              <w:pStyle w:val="6"/>
              <w:spacing w:line="245" w:lineRule="auto"/>
            </w:pPr>
          </w:p>
          <w:p>
            <w:pPr>
              <w:pStyle w:val="6"/>
              <w:spacing w:line="245" w:lineRule="auto"/>
            </w:pPr>
          </w:p>
          <w:p>
            <w:pPr>
              <w:pStyle w:val="6"/>
              <w:spacing w:line="245" w:lineRule="auto"/>
            </w:pPr>
          </w:p>
          <w:p>
            <w:pPr>
              <w:spacing w:before="65" w:line="201" w:lineRule="auto"/>
              <w:ind w:left="373"/>
              <w:rPr>
                <w:rFonts w:ascii="宋体" w:hAnsi="宋体" w:eastAsia="宋体" w:cs="宋体"/>
                <w:sz w:val="20"/>
                <w:szCs w:val="20"/>
              </w:rPr>
            </w:pPr>
            <w:r>
              <w:rPr>
                <w:rFonts w:ascii="宋体" w:hAnsi="宋体" w:eastAsia="宋体" w:cs="宋体"/>
                <w:sz w:val="20"/>
                <w:szCs w:val="20"/>
              </w:rPr>
              <w:t>三</w:t>
            </w:r>
          </w:p>
        </w:tc>
        <w:tc>
          <w:tcPr>
            <w:tcW w:w="2610" w:type="dxa"/>
            <w:vMerge w:val="restart"/>
            <w:tcBorders>
              <w:bottom w:val="nil"/>
            </w:tcBorders>
            <w:vAlign w:val="top"/>
          </w:tcPr>
          <w:p>
            <w:pPr>
              <w:spacing w:before="287" w:line="223" w:lineRule="auto"/>
              <w:ind w:left="102"/>
              <w:rPr>
                <w:rFonts w:ascii="宋体" w:hAnsi="宋体" w:eastAsia="宋体" w:cs="宋体"/>
                <w:sz w:val="20"/>
                <w:szCs w:val="20"/>
              </w:rPr>
            </w:pPr>
            <w:r>
              <w:rPr>
                <w:rFonts w:ascii="宋体" w:hAnsi="宋体" w:eastAsia="宋体" w:cs="宋体"/>
                <w:spacing w:val="9"/>
                <w:sz w:val="20"/>
                <w:szCs w:val="20"/>
              </w:rPr>
              <w:t>其他项目费</w:t>
            </w:r>
          </w:p>
        </w:tc>
        <w:tc>
          <w:tcPr>
            <w:tcW w:w="5718" w:type="dxa"/>
            <w:tcBorders>
              <w:right w:val="single" w:color="000000" w:sz="6" w:space="0"/>
            </w:tcBorders>
            <w:vAlign w:val="top"/>
          </w:tcPr>
          <w:p>
            <w:pPr>
              <w:spacing w:before="96" w:line="220" w:lineRule="auto"/>
              <w:ind w:left="111"/>
              <w:rPr>
                <w:rFonts w:ascii="宋体" w:hAnsi="宋体" w:eastAsia="宋体" w:cs="宋体"/>
                <w:sz w:val="20"/>
                <w:szCs w:val="20"/>
              </w:rPr>
            </w:pPr>
            <w:r>
              <w:rPr>
                <w:rFonts w:ascii="宋体" w:hAnsi="宋体" w:eastAsia="宋体" w:cs="宋体"/>
                <w:spacing w:val="-1"/>
                <w:sz w:val="20"/>
                <w:szCs w:val="20"/>
              </w:rPr>
              <w:t>3.1＋3.3</w:t>
            </w:r>
            <w:r>
              <w:rPr>
                <w:rFonts w:ascii="宋体" w:hAnsi="宋体" w:eastAsia="宋体" w:cs="宋体"/>
                <w:spacing w:val="-23"/>
                <w:sz w:val="20"/>
                <w:szCs w:val="20"/>
              </w:rPr>
              <w:t xml:space="preserve"> </w:t>
            </w:r>
            <w:r>
              <w:rPr>
                <w:rFonts w:ascii="宋体" w:hAnsi="宋体" w:eastAsia="宋体" w:cs="宋体"/>
                <w:spacing w:val="-1"/>
                <w:sz w:val="20"/>
                <w:szCs w:val="20"/>
              </w:rPr>
              <w:t>+</w:t>
            </w:r>
            <w:r>
              <w:rPr>
                <w:rFonts w:ascii="宋体" w:hAnsi="宋体" w:eastAsia="宋体" w:cs="宋体"/>
                <w:spacing w:val="-22"/>
                <w:sz w:val="20"/>
                <w:szCs w:val="20"/>
              </w:rPr>
              <w:t xml:space="preserve"> </w:t>
            </w:r>
            <w:r>
              <w:rPr>
                <w:rFonts w:ascii="宋体" w:hAnsi="宋体" w:eastAsia="宋体" w:cs="宋体"/>
                <w:spacing w:val="-1"/>
                <w:sz w:val="20"/>
                <w:szCs w:val="20"/>
              </w:rPr>
              <w:t>…</w:t>
            </w:r>
            <w:r>
              <w:rPr>
                <w:rFonts w:ascii="宋体" w:hAnsi="宋体" w:eastAsia="宋体" w:cs="宋体"/>
                <w:spacing w:val="-42"/>
                <w:sz w:val="20"/>
                <w:szCs w:val="20"/>
              </w:rPr>
              <w:t xml:space="preserve"> </w:t>
            </w:r>
            <w:r>
              <w:rPr>
                <w:rFonts w:ascii="宋体" w:hAnsi="宋体" w:eastAsia="宋体" w:cs="宋体"/>
                <w:spacing w:val="-1"/>
                <w:sz w:val="20"/>
                <w:szCs w:val="20"/>
              </w:rPr>
              <w:t>+</w:t>
            </w:r>
            <w:r>
              <w:rPr>
                <w:rFonts w:ascii="宋体" w:hAnsi="宋体" w:eastAsia="宋体" w:cs="宋体"/>
                <w:spacing w:val="-35"/>
                <w:sz w:val="20"/>
                <w:szCs w:val="20"/>
              </w:rPr>
              <w:t xml:space="preserve"> </w:t>
            </w:r>
            <w:r>
              <w:rPr>
                <w:rFonts w:ascii="宋体" w:hAnsi="宋体" w:eastAsia="宋体" w:cs="宋体"/>
                <w:spacing w:val="-1"/>
                <w:sz w:val="20"/>
                <w:szCs w:val="20"/>
              </w:rPr>
              <w:t>3.8（发包人发包专业工程暂估价）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5" w:hRule="atLeast"/>
        </w:trPr>
        <w:tc>
          <w:tcPr>
            <w:tcW w:w="963" w:type="dxa"/>
            <w:vMerge w:val="continue"/>
            <w:tcBorders>
              <w:top w:val="nil"/>
              <w:left w:val="single" w:color="000000" w:sz="6" w:space="0"/>
              <w:bottom w:val="nil"/>
            </w:tcBorders>
            <w:vAlign w:val="top"/>
          </w:tcPr>
          <w:p>
            <w:pPr>
              <w:pStyle w:val="6"/>
            </w:pPr>
          </w:p>
        </w:tc>
        <w:tc>
          <w:tcPr>
            <w:tcW w:w="2610" w:type="dxa"/>
            <w:vMerge w:val="continue"/>
            <w:tcBorders>
              <w:top w:val="nil"/>
            </w:tcBorders>
            <w:vAlign w:val="top"/>
          </w:tcPr>
          <w:p>
            <w:pPr>
              <w:pStyle w:val="6"/>
            </w:pPr>
          </w:p>
        </w:tc>
        <w:tc>
          <w:tcPr>
            <w:tcW w:w="5718" w:type="dxa"/>
            <w:tcBorders>
              <w:right w:val="single" w:color="000000" w:sz="6" w:space="0"/>
            </w:tcBorders>
            <w:vAlign w:val="top"/>
          </w:tcPr>
          <w:p>
            <w:pPr>
              <w:spacing w:before="97" w:line="219" w:lineRule="auto"/>
              <w:ind w:left="111"/>
              <w:rPr>
                <w:rFonts w:ascii="宋体" w:hAnsi="宋体" w:eastAsia="宋体" w:cs="宋体"/>
                <w:sz w:val="20"/>
                <w:szCs w:val="20"/>
              </w:rPr>
            </w:pPr>
            <w:r>
              <w:rPr>
                <w:rFonts w:ascii="宋体" w:hAnsi="宋体" w:eastAsia="宋体" w:cs="宋体"/>
                <w:spacing w:val="-2"/>
                <w:sz w:val="20"/>
                <w:szCs w:val="20"/>
              </w:rPr>
              <w:t>3.1＋3.2＋3.3+…</w:t>
            </w:r>
            <w:r>
              <w:rPr>
                <w:rFonts w:ascii="宋体" w:hAnsi="宋体" w:eastAsia="宋体" w:cs="宋体"/>
                <w:spacing w:val="-52"/>
                <w:sz w:val="20"/>
                <w:szCs w:val="20"/>
              </w:rPr>
              <w:t xml:space="preserve"> </w:t>
            </w:r>
            <w:r>
              <w:rPr>
                <w:rFonts w:ascii="宋体" w:hAnsi="宋体" w:eastAsia="宋体" w:cs="宋体"/>
                <w:spacing w:val="-2"/>
                <w:sz w:val="20"/>
                <w:szCs w:val="20"/>
              </w:rPr>
              <w:t>＋</w:t>
            </w:r>
            <w:r>
              <w:rPr>
                <w:rFonts w:ascii="宋体" w:hAnsi="宋体" w:eastAsia="宋体" w:cs="宋体"/>
                <w:spacing w:val="-58"/>
                <w:sz w:val="20"/>
                <w:szCs w:val="20"/>
              </w:rPr>
              <w:t xml:space="preserve"> </w:t>
            </w:r>
            <w:r>
              <w:rPr>
                <w:rFonts w:ascii="宋体" w:hAnsi="宋体" w:eastAsia="宋体" w:cs="宋体"/>
                <w:spacing w:val="-2"/>
                <w:sz w:val="20"/>
                <w:szCs w:val="20"/>
              </w:rPr>
              <w:t>3.8（承包人分包专业工程暂估价）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18" w:line="217" w:lineRule="auto"/>
              <w:ind w:left="107"/>
              <w:rPr>
                <w:rFonts w:ascii="宋体" w:hAnsi="宋体" w:eastAsia="宋体" w:cs="宋体"/>
                <w:sz w:val="20"/>
                <w:szCs w:val="20"/>
              </w:rPr>
            </w:pPr>
            <w:r>
              <w:rPr>
                <w:rFonts w:ascii="宋体" w:hAnsi="宋体" w:eastAsia="宋体" w:cs="宋体"/>
                <w:spacing w:val="-3"/>
                <w:sz w:val="20"/>
                <w:szCs w:val="20"/>
              </w:rPr>
              <w:t>3.1</w:t>
            </w:r>
            <w:r>
              <w:rPr>
                <w:rFonts w:ascii="宋体" w:hAnsi="宋体" w:eastAsia="宋体" w:cs="宋体"/>
                <w:spacing w:val="-39"/>
                <w:sz w:val="20"/>
                <w:szCs w:val="20"/>
              </w:rPr>
              <w:t xml:space="preserve"> </w:t>
            </w:r>
            <w:r>
              <w:rPr>
                <w:rFonts w:ascii="宋体" w:hAnsi="宋体" w:eastAsia="宋体" w:cs="宋体"/>
                <w:spacing w:val="-3"/>
                <w:sz w:val="20"/>
                <w:szCs w:val="20"/>
              </w:rPr>
              <w:t>暂列金额</w:t>
            </w:r>
          </w:p>
        </w:tc>
        <w:tc>
          <w:tcPr>
            <w:tcW w:w="5718" w:type="dxa"/>
            <w:vMerge w:val="restart"/>
            <w:tcBorders>
              <w:bottom w:val="nil"/>
              <w:right w:val="single" w:color="000000" w:sz="6" w:space="0"/>
            </w:tcBorders>
            <w:vAlign w:val="top"/>
          </w:tcPr>
          <w:p>
            <w:pPr>
              <w:pStyle w:val="6"/>
              <w:spacing w:line="268" w:lineRule="auto"/>
            </w:pPr>
          </w:p>
          <w:p>
            <w:pPr>
              <w:pStyle w:val="6"/>
              <w:spacing w:line="269" w:lineRule="auto"/>
            </w:pPr>
          </w:p>
          <w:p>
            <w:pPr>
              <w:pStyle w:val="6"/>
              <w:spacing w:line="269" w:lineRule="auto"/>
            </w:pPr>
          </w:p>
          <w:p>
            <w:pPr>
              <w:pStyle w:val="6"/>
              <w:spacing w:line="269" w:lineRule="auto"/>
            </w:pPr>
          </w:p>
          <w:p>
            <w:pPr>
              <w:pStyle w:val="6"/>
              <w:spacing w:line="269" w:lineRule="auto"/>
            </w:pPr>
          </w:p>
          <w:p>
            <w:pPr>
              <w:spacing w:before="65" w:line="218" w:lineRule="auto"/>
              <w:ind w:left="106"/>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0" w:line="216" w:lineRule="auto"/>
              <w:ind w:left="107"/>
              <w:rPr>
                <w:rFonts w:ascii="宋体" w:hAnsi="宋体" w:eastAsia="宋体" w:cs="宋体"/>
                <w:sz w:val="20"/>
                <w:szCs w:val="20"/>
              </w:rPr>
            </w:pPr>
            <w:r>
              <w:rPr>
                <w:rFonts w:ascii="宋体" w:hAnsi="宋体" w:eastAsia="宋体" w:cs="宋体"/>
                <w:spacing w:val="1"/>
                <w:sz w:val="20"/>
                <w:szCs w:val="20"/>
              </w:rPr>
              <w:t>3.2</w:t>
            </w:r>
            <w:r>
              <w:rPr>
                <w:rFonts w:ascii="宋体" w:hAnsi="宋体" w:eastAsia="宋体" w:cs="宋体"/>
                <w:spacing w:val="-40"/>
                <w:sz w:val="20"/>
                <w:szCs w:val="20"/>
              </w:rPr>
              <w:t xml:space="preserve"> </w:t>
            </w:r>
            <w:r>
              <w:rPr>
                <w:rFonts w:ascii="宋体" w:hAnsi="宋体" w:eastAsia="宋体" w:cs="宋体"/>
                <w:spacing w:val="1"/>
                <w:sz w:val="20"/>
                <w:szCs w:val="20"/>
              </w:rPr>
              <w:t>专业工程暂估价</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0" w:line="216" w:lineRule="auto"/>
              <w:ind w:left="107"/>
              <w:rPr>
                <w:rFonts w:ascii="宋体" w:hAnsi="宋体" w:eastAsia="宋体" w:cs="宋体"/>
                <w:sz w:val="20"/>
                <w:szCs w:val="20"/>
              </w:rPr>
            </w:pPr>
            <w:r>
              <w:rPr>
                <w:rFonts w:ascii="宋体" w:hAnsi="宋体" w:eastAsia="宋体" w:cs="宋体"/>
                <w:spacing w:val="1"/>
                <w:sz w:val="20"/>
                <w:szCs w:val="20"/>
              </w:rPr>
              <w:t>3.3</w:t>
            </w:r>
            <w:r>
              <w:rPr>
                <w:rFonts w:ascii="宋体" w:hAnsi="宋体" w:eastAsia="宋体" w:cs="宋体"/>
                <w:spacing w:val="-39"/>
                <w:sz w:val="20"/>
                <w:szCs w:val="20"/>
              </w:rPr>
              <w:t xml:space="preserve"> </w:t>
            </w:r>
            <w:r>
              <w:rPr>
                <w:rFonts w:ascii="宋体" w:hAnsi="宋体" w:eastAsia="宋体" w:cs="宋体"/>
                <w:spacing w:val="1"/>
                <w:sz w:val="20"/>
                <w:szCs w:val="20"/>
              </w:rPr>
              <w:t>特殊项目暂估价</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1" w:line="216" w:lineRule="auto"/>
              <w:ind w:left="107"/>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40"/>
                <w:sz w:val="20"/>
                <w:szCs w:val="20"/>
              </w:rPr>
              <w:t xml:space="preserve"> </w:t>
            </w:r>
            <w:r>
              <w:rPr>
                <w:rFonts w:ascii="宋体" w:hAnsi="宋体" w:eastAsia="宋体" w:cs="宋体"/>
                <w:spacing w:val="-5"/>
                <w:sz w:val="20"/>
                <w:szCs w:val="20"/>
              </w:rPr>
              <w:t>计日工</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1" w:line="215" w:lineRule="auto"/>
              <w:ind w:left="107"/>
              <w:rPr>
                <w:rFonts w:ascii="宋体" w:hAnsi="宋体" w:eastAsia="宋体" w:cs="宋体"/>
                <w:sz w:val="20"/>
                <w:szCs w:val="20"/>
              </w:rPr>
            </w:pPr>
            <w:r>
              <w:rPr>
                <w:rFonts w:ascii="宋体" w:hAnsi="宋体" w:eastAsia="宋体" w:cs="宋体"/>
                <w:spacing w:val="-1"/>
                <w:sz w:val="20"/>
                <w:szCs w:val="20"/>
              </w:rPr>
              <w:t>3.5</w:t>
            </w:r>
            <w:r>
              <w:rPr>
                <w:rFonts w:ascii="宋体" w:hAnsi="宋体" w:eastAsia="宋体" w:cs="宋体"/>
                <w:spacing w:val="-42"/>
                <w:sz w:val="20"/>
                <w:szCs w:val="20"/>
              </w:rPr>
              <w:t xml:space="preserve"> </w:t>
            </w:r>
            <w:r>
              <w:rPr>
                <w:rFonts w:ascii="宋体" w:hAnsi="宋体" w:eastAsia="宋体" w:cs="宋体"/>
                <w:spacing w:val="-1"/>
                <w:sz w:val="20"/>
                <w:szCs w:val="20"/>
              </w:rPr>
              <w:t>采购保管费</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3" w:line="214" w:lineRule="auto"/>
              <w:ind w:left="107"/>
              <w:rPr>
                <w:rFonts w:ascii="宋体" w:hAnsi="宋体" w:eastAsia="宋体" w:cs="宋体"/>
                <w:sz w:val="20"/>
                <w:szCs w:val="20"/>
              </w:rPr>
            </w:pPr>
            <w:r>
              <w:rPr>
                <w:rFonts w:ascii="宋体" w:hAnsi="宋体" w:eastAsia="宋体" w:cs="宋体"/>
                <w:spacing w:val="1"/>
                <w:sz w:val="20"/>
                <w:szCs w:val="20"/>
              </w:rPr>
              <w:t>3.6</w:t>
            </w:r>
            <w:r>
              <w:rPr>
                <w:rFonts w:ascii="宋体" w:hAnsi="宋体" w:eastAsia="宋体" w:cs="宋体"/>
                <w:spacing w:val="-40"/>
                <w:sz w:val="20"/>
                <w:szCs w:val="20"/>
              </w:rPr>
              <w:t xml:space="preserve"> </w:t>
            </w:r>
            <w:r>
              <w:rPr>
                <w:rFonts w:ascii="宋体" w:hAnsi="宋体" w:eastAsia="宋体" w:cs="宋体"/>
                <w:spacing w:val="1"/>
                <w:sz w:val="20"/>
                <w:szCs w:val="20"/>
              </w:rPr>
              <w:t>其他检验试验费</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3" w:line="214" w:lineRule="auto"/>
              <w:ind w:left="107"/>
              <w:rPr>
                <w:rFonts w:ascii="宋体" w:hAnsi="宋体" w:eastAsia="宋体" w:cs="宋体"/>
                <w:sz w:val="20"/>
                <w:szCs w:val="20"/>
              </w:rPr>
            </w:pPr>
            <w:r>
              <w:rPr>
                <w:rFonts w:ascii="宋体" w:hAnsi="宋体" w:eastAsia="宋体" w:cs="宋体"/>
                <w:spacing w:val="-1"/>
                <w:sz w:val="20"/>
                <w:szCs w:val="20"/>
              </w:rPr>
              <w:t>3.7</w:t>
            </w:r>
            <w:r>
              <w:rPr>
                <w:rFonts w:ascii="宋体" w:hAnsi="宋体" w:eastAsia="宋体" w:cs="宋体"/>
                <w:spacing w:val="-32"/>
                <w:sz w:val="20"/>
                <w:szCs w:val="20"/>
              </w:rPr>
              <w:t xml:space="preserve"> </w:t>
            </w:r>
            <w:r>
              <w:rPr>
                <w:rFonts w:ascii="宋体" w:hAnsi="宋体" w:eastAsia="宋体" w:cs="宋体"/>
                <w:spacing w:val="-1"/>
                <w:sz w:val="20"/>
                <w:szCs w:val="20"/>
              </w:rPr>
              <w:t>总承包服务费</w:t>
            </w:r>
          </w:p>
        </w:tc>
        <w:tc>
          <w:tcPr>
            <w:tcW w:w="5718"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tcBorders>
            <w:vAlign w:val="top"/>
          </w:tcPr>
          <w:p>
            <w:pPr>
              <w:pStyle w:val="6"/>
            </w:pPr>
          </w:p>
        </w:tc>
        <w:tc>
          <w:tcPr>
            <w:tcW w:w="2610" w:type="dxa"/>
            <w:vAlign w:val="top"/>
          </w:tcPr>
          <w:p>
            <w:pPr>
              <w:spacing w:before="123" w:line="214" w:lineRule="auto"/>
              <w:ind w:left="107"/>
              <w:rPr>
                <w:rFonts w:ascii="宋体" w:hAnsi="宋体" w:eastAsia="宋体" w:cs="宋体"/>
                <w:sz w:val="20"/>
                <w:szCs w:val="20"/>
              </w:rPr>
            </w:pPr>
            <w:r>
              <w:rPr>
                <w:rFonts w:ascii="宋体" w:hAnsi="宋体" w:eastAsia="宋体" w:cs="宋体"/>
                <w:spacing w:val="-8"/>
                <w:sz w:val="20"/>
                <w:szCs w:val="20"/>
              </w:rPr>
              <w:t>3.8</w:t>
            </w:r>
            <w:r>
              <w:rPr>
                <w:rFonts w:ascii="宋体" w:hAnsi="宋体" w:eastAsia="宋体" w:cs="宋体"/>
                <w:spacing w:val="-41"/>
                <w:sz w:val="20"/>
                <w:szCs w:val="20"/>
              </w:rPr>
              <w:t xml:space="preserve"> </w:t>
            </w:r>
            <w:r>
              <w:rPr>
                <w:rFonts w:ascii="宋体" w:hAnsi="宋体" w:eastAsia="宋体" w:cs="宋体"/>
                <w:spacing w:val="-8"/>
                <w:sz w:val="20"/>
                <w:szCs w:val="20"/>
              </w:rPr>
              <w:t>其他</w:t>
            </w:r>
          </w:p>
        </w:tc>
        <w:tc>
          <w:tcPr>
            <w:tcW w:w="5718"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restart"/>
            <w:tcBorders>
              <w:left w:val="single" w:color="000000" w:sz="6" w:space="0"/>
              <w:bottom w:val="nil"/>
            </w:tcBorders>
            <w:vAlign w:val="top"/>
          </w:tcPr>
          <w:p>
            <w:pPr>
              <w:pStyle w:val="6"/>
              <w:spacing w:line="249" w:lineRule="auto"/>
            </w:pPr>
          </w:p>
          <w:p>
            <w:pPr>
              <w:pStyle w:val="6"/>
              <w:spacing w:line="249" w:lineRule="auto"/>
            </w:pPr>
          </w:p>
          <w:p>
            <w:pPr>
              <w:pStyle w:val="6"/>
              <w:spacing w:line="249" w:lineRule="auto"/>
            </w:pPr>
          </w:p>
          <w:p>
            <w:pPr>
              <w:pStyle w:val="6"/>
              <w:spacing w:line="250" w:lineRule="auto"/>
            </w:pPr>
          </w:p>
          <w:p>
            <w:pPr>
              <w:spacing w:before="65" w:line="199" w:lineRule="auto"/>
              <w:ind w:left="391"/>
              <w:rPr>
                <w:rFonts w:ascii="宋体" w:hAnsi="宋体" w:eastAsia="宋体" w:cs="宋体"/>
                <w:sz w:val="20"/>
                <w:szCs w:val="20"/>
              </w:rPr>
            </w:pPr>
            <w:r>
              <w:rPr>
                <w:rFonts w:ascii="宋体" w:hAnsi="宋体" w:eastAsia="宋体" w:cs="宋体"/>
                <w:sz w:val="20"/>
                <w:szCs w:val="20"/>
              </w:rPr>
              <w:t>四</w:t>
            </w:r>
          </w:p>
        </w:tc>
        <w:tc>
          <w:tcPr>
            <w:tcW w:w="2610" w:type="dxa"/>
            <w:vAlign w:val="top"/>
          </w:tcPr>
          <w:p>
            <w:pPr>
              <w:spacing w:before="129" w:line="208" w:lineRule="auto"/>
              <w:ind w:left="103"/>
              <w:rPr>
                <w:rFonts w:ascii="宋体" w:hAnsi="宋体" w:eastAsia="宋体" w:cs="宋体"/>
                <w:sz w:val="20"/>
                <w:szCs w:val="20"/>
              </w:rPr>
            </w:pPr>
            <w:r>
              <w:rPr>
                <w:rFonts w:ascii="宋体" w:hAnsi="宋体" w:eastAsia="宋体" w:cs="宋体"/>
                <w:spacing w:val="6"/>
                <w:sz w:val="20"/>
                <w:szCs w:val="20"/>
              </w:rPr>
              <w:t>规费</w:t>
            </w:r>
          </w:p>
        </w:tc>
        <w:tc>
          <w:tcPr>
            <w:tcW w:w="5718" w:type="dxa"/>
            <w:tcBorders>
              <w:right w:val="single" w:color="000000" w:sz="6" w:space="0"/>
            </w:tcBorders>
            <w:vAlign w:val="top"/>
          </w:tcPr>
          <w:p>
            <w:pPr>
              <w:spacing w:before="122" w:line="215" w:lineRule="auto"/>
              <w:ind w:left="104"/>
              <w:rPr>
                <w:rFonts w:ascii="宋体" w:hAnsi="宋体" w:eastAsia="宋体" w:cs="宋体"/>
                <w:sz w:val="20"/>
                <w:szCs w:val="20"/>
              </w:rPr>
            </w:pPr>
            <w:r>
              <w:rPr>
                <w:rFonts w:ascii="宋体" w:hAnsi="宋体" w:eastAsia="宋体" w:cs="宋体"/>
                <w:spacing w:val="-9"/>
                <w:sz w:val="20"/>
                <w:szCs w:val="20"/>
              </w:rPr>
              <w:t>4.1＋4.2＋4.3＋4.4＋4.5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2" w:line="215" w:lineRule="auto"/>
              <w:ind w:left="101"/>
              <w:rPr>
                <w:rFonts w:ascii="宋体" w:hAnsi="宋体" w:eastAsia="宋体" w:cs="宋体"/>
                <w:sz w:val="20"/>
                <w:szCs w:val="20"/>
              </w:rPr>
            </w:pPr>
            <w:r>
              <w:rPr>
                <w:rFonts w:ascii="宋体" w:hAnsi="宋体" w:eastAsia="宋体" w:cs="宋体"/>
                <w:spacing w:val="1"/>
                <w:sz w:val="20"/>
                <w:szCs w:val="20"/>
              </w:rPr>
              <w:t>4.1</w:t>
            </w:r>
            <w:r>
              <w:rPr>
                <w:rFonts w:ascii="宋体" w:hAnsi="宋体" w:eastAsia="宋体" w:cs="宋体"/>
                <w:spacing w:val="-33"/>
                <w:sz w:val="20"/>
                <w:szCs w:val="20"/>
              </w:rPr>
              <w:t xml:space="preserve"> </w:t>
            </w:r>
            <w:r>
              <w:rPr>
                <w:rFonts w:ascii="宋体" w:hAnsi="宋体" w:eastAsia="宋体" w:cs="宋体"/>
                <w:spacing w:val="1"/>
                <w:sz w:val="20"/>
                <w:szCs w:val="20"/>
              </w:rPr>
              <w:t>安全文明施工费</w:t>
            </w:r>
          </w:p>
        </w:tc>
        <w:tc>
          <w:tcPr>
            <w:tcW w:w="5718" w:type="dxa"/>
            <w:vMerge w:val="restart"/>
            <w:tcBorders>
              <w:bottom w:val="nil"/>
              <w:right w:val="single" w:color="000000" w:sz="6" w:space="0"/>
            </w:tcBorders>
            <w:vAlign w:val="top"/>
          </w:tcPr>
          <w:p>
            <w:pPr>
              <w:spacing w:before="290" w:line="277" w:lineRule="exact"/>
              <w:ind w:left="97"/>
              <w:rPr>
                <w:rFonts w:ascii="宋体" w:hAnsi="宋体" w:eastAsia="宋体" w:cs="宋体"/>
                <w:sz w:val="20"/>
                <w:szCs w:val="20"/>
              </w:rPr>
            </w:pPr>
            <w:r>
              <w:rPr>
                <w:rFonts w:ascii="宋体" w:hAnsi="宋体" w:eastAsia="宋体" w:cs="宋体"/>
                <w:spacing w:val="3"/>
                <w:position w:val="1"/>
                <w:sz w:val="20"/>
                <w:szCs w:val="20"/>
              </w:rPr>
              <w:t>（一＋二＋三）</w:t>
            </w:r>
            <w:r>
              <w:rPr>
                <w:rFonts w:ascii="宋体" w:hAnsi="宋体" w:eastAsia="宋体" w:cs="宋体"/>
                <w:spacing w:val="-29"/>
                <w:position w:val="1"/>
                <w:sz w:val="20"/>
                <w:szCs w:val="20"/>
              </w:rPr>
              <w:t xml:space="preserve"> </w:t>
            </w:r>
            <w:r>
              <w:rPr>
                <w:rFonts w:ascii="宋体" w:hAnsi="宋体" w:eastAsia="宋体" w:cs="宋体"/>
                <w:spacing w:val="3"/>
                <w:position w:val="1"/>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2" w:line="215" w:lineRule="auto"/>
              <w:ind w:left="101"/>
              <w:rPr>
                <w:rFonts w:ascii="宋体" w:hAnsi="宋体" w:eastAsia="宋体" w:cs="宋体"/>
                <w:sz w:val="20"/>
                <w:szCs w:val="20"/>
              </w:rPr>
            </w:pPr>
            <w:r>
              <w:rPr>
                <w:rFonts w:ascii="宋体" w:hAnsi="宋体" w:eastAsia="宋体" w:cs="宋体"/>
                <w:sz w:val="20"/>
                <w:szCs w:val="20"/>
              </w:rPr>
              <w:t>4.2</w:t>
            </w:r>
            <w:r>
              <w:rPr>
                <w:rFonts w:ascii="宋体" w:hAnsi="宋体" w:eastAsia="宋体" w:cs="宋体"/>
                <w:spacing w:val="-42"/>
                <w:sz w:val="20"/>
                <w:szCs w:val="20"/>
              </w:rPr>
              <w:t xml:space="preserve"> </w:t>
            </w:r>
            <w:r>
              <w:rPr>
                <w:rFonts w:ascii="宋体" w:hAnsi="宋体" w:eastAsia="宋体" w:cs="宋体"/>
                <w:sz w:val="20"/>
                <w:szCs w:val="20"/>
              </w:rPr>
              <w:t>社会保险费</w:t>
            </w:r>
          </w:p>
        </w:tc>
        <w:tc>
          <w:tcPr>
            <w:tcW w:w="5718"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3" w:line="214" w:lineRule="auto"/>
              <w:ind w:left="101"/>
              <w:rPr>
                <w:rFonts w:ascii="宋体" w:hAnsi="宋体" w:eastAsia="宋体" w:cs="宋体"/>
                <w:sz w:val="20"/>
                <w:szCs w:val="20"/>
              </w:rPr>
            </w:pPr>
            <w:r>
              <w:rPr>
                <w:rFonts w:ascii="宋体" w:hAnsi="宋体" w:eastAsia="宋体" w:cs="宋体"/>
                <w:sz w:val="20"/>
                <w:szCs w:val="20"/>
              </w:rPr>
              <w:t>4.3</w:t>
            </w:r>
            <w:r>
              <w:rPr>
                <w:rFonts w:ascii="宋体" w:hAnsi="宋体" w:eastAsia="宋体" w:cs="宋体"/>
                <w:spacing w:val="-41"/>
                <w:sz w:val="20"/>
                <w:szCs w:val="20"/>
              </w:rPr>
              <w:t xml:space="preserve"> </w:t>
            </w:r>
            <w:r>
              <w:rPr>
                <w:rFonts w:ascii="宋体" w:hAnsi="宋体" w:eastAsia="宋体" w:cs="宋体"/>
                <w:sz w:val="20"/>
                <w:szCs w:val="20"/>
              </w:rPr>
              <w:t>建设项目工伤保险</w:t>
            </w:r>
          </w:p>
        </w:tc>
        <w:tc>
          <w:tcPr>
            <w:tcW w:w="5718" w:type="dxa"/>
            <w:tcBorders>
              <w:right w:val="single" w:color="000000" w:sz="6" w:space="0"/>
            </w:tcBorders>
            <w:vAlign w:val="top"/>
          </w:tcPr>
          <w:p>
            <w:pPr>
              <w:spacing w:before="104" w:line="231" w:lineRule="auto"/>
              <w:ind w:left="97"/>
              <w:rPr>
                <w:rFonts w:ascii="宋体" w:hAnsi="宋体" w:eastAsia="宋体" w:cs="宋体"/>
                <w:sz w:val="20"/>
                <w:szCs w:val="20"/>
              </w:rPr>
            </w:pPr>
            <w:r>
              <w:rPr>
                <w:rFonts w:ascii="宋体" w:hAnsi="宋体" w:eastAsia="宋体" w:cs="宋体"/>
                <w:spacing w:val="7"/>
                <w:sz w:val="20"/>
                <w:szCs w:val="20"/>
              </w:rPr>
              <w:t>（一＋二＋三）</w:t>
            </w:r>
            <w:r>
              <w:rPr>
                <w:rFonts w:ascii="宋体" w:hAnsi="宋体" w:eastAsia="宋体" w:cs="宋体"/>
                <w:spacing w:val="-29"/>
                <w:sz w:val="20"/>
                <w:szCs w:val="20"/>
              </w:rPr>
              <w:t xml:space="preserve"> </w:t>
            </w:r>
            <w:r>
              <w:rPr>
                <w:rFonts w:ascii="宋体" w:hAnsi="宋体" w:eastAsia="宋体" w:cs="宋体"/>
                <w:spacing w:val="7"/>
                <w:sz w:val="20"/>
                <w:szCs w:val="20"/>
              </w:rPr>
              <w:t>×费率，结算时按实际交纳金额计列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bottom w:val="nil"/>
            </w:tcBorders>
            <w:vAlign w:val="top"/>
          </w:tcPr>
          <w:p>
            <w:pPr>
              <w:pStyle w:val="6"/>
            </w:pPr>
          </w:p>
        </w:tc>
        <w:tc>
          <w:tcPr>
            <w:tcW w:w="2610" w:type="dxa"/>
            <w:vAlign w:val="top"/>
          </w:tcPr>
          <w:p>
            <w:pPr>
              <w:spacing w:before="123" w:line="214" w:lineRule="auto"/>
              <w:ind w:left="101"/>
              <w:rPr>
                <w:rFonts w:ascii="宋体" w:hAnsi="宋体" w:eastAsia="宋体" w:cs="宋体"/>
                <w:sz w:val="20"/>
                <w:szCs w:val="20"/>
              </w:rPr>
            </w:pPr>
            <w:r>
              <w:rPr>
                <w:rFonts w:ascii="宋体" w:hAnsi="宋体" w:eastAsia="宋体" w:cs="宋体"/>
                <w:spacing w:val="1"/>
                <w:sz w:val="20"/>
                <w:szCs w:val="20"/>
              </w:rPr>
              <w:t>4.4</w:t>
            </w:r>
            <w:r>
              <w:rPr>
                <w:rFonts w:ascii="宋体" w:hAnsi="宋体" w:eastAsia="宋体" w:cs="宋体"/>
                <w:spacing w:val="-43"/>
                <w:sz w:val="20"/>
                <w:szCs w:val="20"/>
              </w:rPr>
              <w:t xml:space="preserve"> </w:t>
            </w:r>
            <w:r>
              <w:rPr>
                <w:rFonts w:ascii="宋体" w:hAnsi="宋体" w:eastAsia="宋体" w:cs="宋体"/>
                <w:spacing w:val="1"/>
                <w:sz w:val="20"/>
                <w:szCs w:val="20"/>
              </w:rPr>
              <w:t>优质优价费用</w:t>
            </w:r>
          </w:p>
        </w:tc>
        <w:tc>
          <w:tcPr>
            <w:tcW w:w="5718" w:type="dxa"/>
            <w:tcBorders>
              <w:right w:val="single" w:color="000000" w:sz="6" w:space="0"/>
            </w:tcBorders>
            <w:vAlign w:val="top"/>
          </w:tcPr>
          <w:p>
            <w:pPr>
              <w:spacing w:before="103" w:line="232" w:lineRule="auto"/>
              <w:ind w:left="97"/>
              <w:rPr>
                <w:rFonts w:ascii="宋体" w:hAnsi="宋体" w:eastAsia="宋体" w:cs="宋体"/>
                <w:sz w:val="20"/>
                <w:szCs w:val="20"/>
              </w:rPr>
            </w:pPr>
            <w:r>
              <w:rPr>
                <w:rFonts w:ascii="宋体" w:hAnsi="宋体" w:eastAsia="宋体" w:cs="宋体"/>
                <w:spacing w:val="6"/>
                <w:sz w:val="20"/>
                <w:szCs w:val="20"/>
              </w:rPr>
              <w:t>（一＋二＋三）</w:t>
            </w:r>
            <w:r>
              <w:rPr>
                <w:rFonts w:ascii="宋体" w:hAnsi="宋体" w:eastAsia="宋体" w:cs="宋体"/>
                <w:spacing w:val="-14"/>
                <w:sz w:val="20"/>
                <w:szCs w:val="20"/>
              </w:rPr>
              <w:t xml:space="preserve"> </w:t>
            </w:r>
            <w:r>
              <w:rPr>
                <w:rFonts w:ascii="宋体" w:hAnsi="宋体" w:eastAsia="宋体" w:cs="宋体"/>
                <w:spacing w:val="6"/>
                <w:sz w:val="20"/>
                <w:szCs w:val="20"/>
              </w:rPr>
              <w:t>×费率，结算时按文件规定执行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vMerge w:val="continue"/>
            <w:tcBorders>
              <w:top w:val="nil"/>
              <w:left w:val="single" w:color="000000" w:sz="6" w:space="0"/>
            </w:tcBorders>
            <w:vAlign w:val="top"/>
          </w:tcPr>
          <w:p>
            <w:pPr>
              <w:pStyle w:val="6"/>
            </w:pPr>
          </w:p>
        </w:tc>
        <w:tc>
          <w:tcPr>
            <w:tcW w:w="2610" w:type="dxa"/>
            <w:vAlign w:val="top"/>
          </w:tcPr>
          <w:p>
            <w:pPr>
              <w:spacing w:before="123" w:line="214" w:lineRule="auto"/>
              <w:ind w:left="101"/>
              <w:rPr>
                <w:rFonts w:ascii="宋体" w:hAnsi="宋体" w:eastAsia="宋体" w:cs="宋体"/>
                <w:sz w:val="20"/>
                <w:szCs w:val="20"/>
              </w:rPr>
            </w:pPr>
            <w:r>
              <w:rPr>
                <w:rFonts w:ascii="宋体" w:hAnsi="宋体" w:eastAsia="宋体" w:cs="宋体"/>
                <w:sz w:val="20"/>
                <w:szCs w:val="20"/>
              </w:rPr>
              <w:t>4.5</w:t>
            </w:r>
            <w:r>
              <w:rPr>
                <w:rFonts w:ascii="宋体" w:hAnsi="宋体" w:eastAsia="宋体" w:cs="宋体"/>
                <w:spacing w:val="-43"/>
                <w:sz w:val="20"/>
                <w:szCs w:val="20"/>
              </w:rPr>
              <w:t xml:space="preserve"> </w:t>
            </w:r>
            <w:r>
              <w:rPr>
                <w:rFonts w:ascii="宋体" w:hAnsi="宋体" w:eastAsia="宋体" w:cs="宋体"/>
                <w:sz w:val="20"/>
                <w:szCs w:val="20"/>
              </w:rPr>
              <w:t>住房公积金</w:t>
            </w:r>
          </w:p>
        </w:tc>
        <w:tc>
          <w:tcPr>
            <w:tcW w:w="5718" w:type="dxa"/>
            <w:tcBorders>
              <w:right w:val="single" w:color="000000" w:sz="6" w:space="0"/>
            </w:tcBorders>
            <w:vAlign w:val="top"/>
          </w:tcPr>
          <w:p>
            <w:pPr>
              <w:spacing w:before="107" w:line="220" w:lineRule="auto"/>
              <w:ind w:left="108"/>
              <w:rPr>
                <w:rFonts w:ascii="宋体" w:hAnsi="宋体" w:eastAsia="宋体" w:cs="宋体"/>
                <w:sz w:val="20"/>
                <w:szCs w:val="20"/>
              </w:rPr>
            </w:pPr>
            <w:r>
              <w:rPr>
                <w:rFonts w:ascii="宋体" w:hAnsi="宋体" w:eastAsia="宋体" w:cs="宋体"/>
                <w:spacing w:val="3"/>
                <w:sz w:val="20"/>
                <w:szCs w:val="20"/>
              </w:rPr>
              <w:t>省价人工费之和</w:t>
            </w:r>
            <w:r>
              <w:rPr>
                <w:rFonts w:ascii="宋体" w:hAnsi="宋体" w:eastAsia="宋体" w:cs="宋体"/>
                <w:spacing w:val="-39"/>
                <w:sz w:val="20"/>
                <w:szCs w:val="20"/>
              </w:rPr>
              <w:t xml:space="preserve"> </w:t>
            </w:r>
            <w:r>
              <w:rPr>
                <w:rFonts w:ascii="宋体" w:hAnsi="宋体" w:eastAsia="宋体" w:cs="宋体"/>
                <w:spacing w:val="3"/>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tcBorders>
              <w:left w:val="single" w:color="000000" w:sz="6" w:space="0"/>
            </w:tcBorders>
            <w:vAlign w:val="top"/>
          </w:tcPr>
          <w:p>
            <w:pPr>
              <w:spacing w:before="142" w:line="196" w:lineRule="auto"/>
              <w:ind w:left="374"/>
              <w:rPr>
                <w:rFonts w:ascii="宋体" w:hAnsi="宋体" w:eastAsia="宋体" w:cs="宋体"/>
                <w:sz w:val="20"/>
                <w:szCs w:val="20"/>
              </w:rPr>
            </w:pPr>
            <w:r>
              <w:rPr>
                <w:rFonts w:ascii="宋体" w:hAnsi="宋体" w:eastAsia="宋体" w:cs="宋体"/>
                <w:sz w:val="20"/>
                <w:szCs w:val="20"/>
              </w:rPr>
              <w:t>五</w:t>
            </w:r>
          </w:p>
        </w:tc>
        <w:tc>
          <w:tcPr>
            <w:tcW w:w="2610" w:type="dxa"/>
            <w:vAlign w:val="top"/>
          </w:tcPr>
          <w:p>
            <w:pPr>
              <w:spacing w:before="126" w:line="211" w:lineRule="auto"/>
              <w:ind w:left="99"/>
              <w:rPr>
                <w:rFonts w:ascii="宋体" w:hAnsi="宋体" w:eastAsia="宋体" w:cs="宋体"/>
                <w:sz w:val="20"/>
                <w:szCs w:val="20"/>
              </w:rPr>
            </w:pPr>
            <w:r>
              <w:rPr>
                <w:rFonts w:ascii="宋体" w:hAnsi="宋体" w:eastAsia="宋体" w:cs="宋体"/>
                <w:spacing w:val="9"/>
                <w:sz w:val="20"/>
                <w:szCs w:val="20"/>
              </w:rPr>
              <w:t>设备费</w:t>
            </w:r>
          </w:p>
        </w:tc>
        <w:tc>
          <w:tcPr>
            <w:tcW w:w="5718" w:type="dxa"/>
            <w:tcBorders>
              <w:right w:val="single" w:color="000000" w:sz="6" w:space="0"/>
            </w:tcBorders>
            <w:vAlign w:val="top"/>
          </w:tcPr>
          <w:p>
            <w:pPr>
              <w:spacing w:before="105" w:line="230" w:lineRule="auto"/>
              <w:ind w:left="135"/>
              <w:rPr>
                <w:rFonts w:ascii="宋体" w:hAnsi="宋体" w:eastAsia="宋体" w:cs="宋体"/>
                <w:sz w:val="20"/>
                <w:szCs w:val="20"/>
              </w:rPr>
            </w:pPr>
            <w:r>
              <w:rPr>
                <w:rFonts w:ascii="宋体" w:hAnsi="宋体" w:eastAsia="宋体" w:cs="宋体"/>
                <w:spacing w:val="-7"/>
                <w:sz w:val="20"/>
                <w:szCs w:val="20"/>
              </w:rPr>
              <w:t>∑（设备单价</w:t>
            </w:r>
            <w:r>
              <w:rPr>
                <w:rFonts w:ascii="宋体" w:hAnsi="宋体" w:eastAsia="宋体" w:cs="宋体"/>
                <w:spacing w:val="-54"/>
                <w:sz w:val="20"/>
                <w:szCs w:val="20"/>
              </w:rPr>
              <w:t xml:space="preserve"> </w:t>
            </w:r>
            <w:r>
              <w:rPr>
                <w:rFonts w:ascii="宋体" w:hAnsi="宋体" w:eastAsia="宋体" w:cs="宋体"/>
                <w:spacing w:val="-7"/>
                <w:sz w:val="20"/>
                <w:szCs w:val="20"/>
              </w:rPr>
              <w:t>×设备工程量）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tcBorders>
              <w:left w:val="single" w:color="000000" w:sz="6" w:space="0"/>
            </w:tcBorders>
            <w:vAlign w:val="top"/>
          </w:tcPr>
          <w:p>
            <w:pPr>
              <w:spacing w:before="136" w:line="202" w:lineRule="auto"/>
              <w:ind w:left="369"/>
              <w:rPr>
                <w:rFonts w:ascii="宋体" w:hAnsi="宋体" w:eastAsia="宋体" w:cs="宋体"/>
                <w:sz w:val="20"/>
                <w:szCs w:val="20"/>
              </w:rPr>
            </w:pPr>
            <w:r>
              <w:rPr>
                <w:rFonts w:ascii="宋体" w:hAnsi="宋体" w:eastAsia="宋体" w:cs="宋体"/>
                <w:spacing w:val="4"/>
                <w:sz w:val="20"/>
                <w:szCs w:val="20"/>
              </w:rPr>
              <w:t>六</w:t>
            </w:r>
          </w:p>
        </w:tc>
        <w:tc>
          <w:tcPr>
            <w:tcW w:w="2610" w:type="dxa"/>
            <w:vAlign w:val="top"/>
          </w:tcPr>
          <w:p>
            <w:pPr>
              <w:spacing w:before="127" w:line="210" w:lineRule="auto"/>
              <w:ind w:left="101"/>
              <w:rPr>
                <w:rFonts w:ascii="宋体" w:hAnsi="宋体" w:eastAsia="宋体" w:cs="宋体"/>
                <w:sz w:val="20"/>
                <w:szCs w:val="20"/>
              </w:rPr>
            </w:pPr>
            <w:r>
              <w:rPr>
                <w:rFonts w:ascii="宋体" w:hAnsi="宋体" w:eastAsia="宋体" w:cs="宋体"/>
                <w:spacing w:val="8"/>
                <w:sz w:val="20"/>
                <w:szCs w:val="20"/>
              </w:rPr>
              <w:t>税前造价</w:t>
            </w:r>
          </w:p>
        </w:tc>
        <w:tc>
          <w:tcPr>
            <w:tcW w:w="5718" w:type="dxa"/>
            <w:tcBorders>
              <w:right w:val="single" w:color="000000" w:sz="6" w:space="0"/>
            </w:tcBorders>
            <w:vAlign w:val="top"/>
          </w:tcPr>
          <w:p>
            <w:pPr>
              <w:spacing w:before="104" w:line="231" w:lineRule="auto"/>
              <w:ind w:left="107"/>
              <w:rPr>
                <w:rFonts w:ascii="宋体" w:hAnsi="宋体" w:eastAsia="宋体" w:cs="宋体"/>
                <w:sz w:val="20"/>
                <w:szCs w:val="20"/>
              </w:rPr>
            </w:pPr>
            <w:r>
              <w:rPr>
                <w:rFonts w:ascii="宋体" w:hAnsi="宋体" w:eastAsia="宋体" w:cs="宋体"/>
                <w:spacing w:val="12"/>
                <w:sz w:val="20"/>
                <w:szCs w:val="20"/>
              </w:rPr>
              <w:t>一</w:t>
            </w:r>
            <w:r>
              <w:rPr>
                <w:rFonts w:ascii="宋体" w:hAnsi="宋体" w:eastAsia="宋体" w:cs="宋体"/>
                <w:spacing w:val="-41"/>
                <w:sz w:val="20"/>
                <w:szCs w:val="20"/>
              </w:rPr>
              <w:t xml:space="preserve"> </w:t>
            </w:r>
            <w:r>
              <w:rPr>
                <w:rFonts w:ascii="宋体" w:hAnsi="宋体" w:eastAsia="宋体" w:cs="宋体"/>
                <w:spacing w:val="12"/>
                <w:sz w:val="20"/>
                <w:szCs w:val="20"/>
              </w:rPr>
              <w:t>+二</w:t>
            </w:r>
            <w:r>
              <w:rPr>
                <w:rFonts w:ascii="宋体" w:hAnsi="宋体" w:eastAsia="宋体" w:cs="宋体"/>
                <w:spacing w:val="-48"/>
                <w:sz w:val="20"/>
                <w:szCs w:val="20"/>
              </w:rPr>
              <w:t xml:space="preserve"> </w:t>
            </w:r>
            <w:r>
              <w:rPr>
                <w:rFonts w:ascii="宋体" w:hAnsi="宋体" w:eastAsia="宋体" w:cs="宋体"/>
                <w:spacing w:val="12"/>
                <w:sz w:val="20"/>
                <w:szCs w:val="20"/>
              </w:rPr>
              <w:t>+三</w:t>
            </w:r>
            <w:r>
              <w:rPr>
                <w:rFonts w:ascii="宋体" w:hAnsi="宋体" w:eastAsia="宋体" w:cs="宋体"/>
                <w:spacing w:val="-50"/>
                <w:sz w:val="20"/>
                <w:szCs w:val="20"/>
              </w:rPr>
              <w:t xml:space="preserve"> </w:t>
            </w:r>
            <w:r>
              <w:rPr>
                <w:rFonts w:ascii="宋体" w:hAnsi="宋体" w:eastAsia="宋体" w:cs="宋体"/>
                <w:spacing w:val="12"/>
                <w:sz w:val="20"/>
                <w:szCs w:val="20"/>
              </w:rPr>
              <w:t>+四</w:t>
            </w:r>
            <w:r>
              <w:rPr>
                <w:rFonts w:ascii="宋体" w:hAnsi="宋体" w:eastAsia="宋体" w:cs="宋体"/>
                <w:spacing w:val="-50"/>
                <w:sz w:val="20"/>
                <w:szCs w:val="20"/>
              </w:rPr>
              <w:t xml:space="preserve"> </w:t>
            </w:r>
            <w:r>
              <w:rPr>
                <w:rFonts w:ascii="宋体" w:hAnsi="宋体" w:eastAsia="宋体" w:cs="宋体"/>
                <w:spacing w:val="12"/>
                <w:sz w:val="20"/>
                <w:szCs w:val="20"/>
              </w:rPr>
              <w:t>+五</w:t>
            </w:r>
            <w:r>
              <w:rPr>
                <w:rFonts w:ascii="宋体" w:hAnsi="宋体" w:eastAsia="宋体" w:cs="宋体"/>
                <w:spacing w:val="-51"/>
                <w:sz w:val="20"/>
                <w:szCs w:val="20"/>
              </w:rPr>
              <w:t xml:space="preserve"> </w:t>
            </w:r>
            <w:r>
              <w:rPr>
                <w:rFonts w:ascii="宋体" w:hAnsi="宋体" w:eastAsia="宋体" w:cs="宋体"/>
                <w:spacing w:val="12"/>
                <w:sz w:val="20"/>
                <w:szCs w:val="20"/>
              </w:rPr>
              <w:t>-甲供材料费-甲供设备费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63" w:type="dxa"/>
            <w:tcBorders>
              <w:left w:val="single" w:color="000000" w:sz="6" w:space="0"/>
            </w:tcBorders>
            <w:vAlign w:val="top"/>
          </w:tcPr>
          <w:p>
            <w:pPr>
              <w:spacing w:before="136" w:line="202" w:lineRule="auto"/>
              <w:ind w:left="368"/>
              <w:rPr>
                <w:rFonts w:ascii="宋体" w:hAnsi="宋体" w:eastAsia="宋体" w:cs="宋体"/>
                <w:sz w:val="20"/>
                <w:szCs w:val="20"/>
              </w:rPr>
            </w:pPr>
            <w:r>
              <w:rPr>
                <w:rFonts w:ascii="宋体" w:hAnsi="宋体" w:eastAsia="宋体" w:cs="宋体"/>
                <w:spacing w:val="5"/>
                <w:sz w:val="20"/>
                <w:szCs w:val="20"/>
              </w:rPr>
              <w:t>七</w:t>
            </w:r>
          </w:p>
        </w:tc>
        <w:tc>
          <w:tcPr>
            <w:tcW w:w="2610" w:type="dxa"/>
            <w:vAlign w:val="top"/>
          </w:tcPr>
          <w:p>
            <w:pPr>
              <w:spacing w:before="130" w:line="207" w:lineRule="auto"/>
              <w:ind w:left="101"/>
              <w:rPr>
                <w:rFonts w:ascii="宋体" w:hAnsi="宋体" w:eastAsia="宋体" w:cs="宋体"/>
                <w:sz w:val="20"/>
                <w:szCs w:val="20"/>
              </w:rPr>
            </w:pPr>
            <w:r>
              <w:rPr>
                <w:rFonts w:ascii="宋体" w:hAnsi="宋体" w:eastAsia="宋体" w:cs="宋体"/>
                <w:spacing w:val="7"/>
                <w:sz w:val="20"/>
                <w:szCs w:val="20"/>
              </w:rPr>
              <w:t>税金</w:t>
            </w:r>
          </w:p>
        </w:tc>
        <w:tc>
          <w:tcPr>
            <w:tcW w:w="5718" w:type="dxa"/>
            <w:tcBorders>
              <w:right w:val="single" w:color="000000" w:sz="6" w:space="0"/>
            </w:tcBorders>
            <w:vAlign w:val="top"/>
          </w:tcPr>
          <w:p>
            <w:pPr>
              <w:spacing w:before="108" w:line="222" w:lineRule="auto"/>
              <w:ind w:left="106"/>
              <w:rPr>
                <w:rFonts w:ascii="宋体" w:hAnsi="宋体" w:eastAsia="宋体" w:cs="宋体"/>
                <w:sz w:val="20"/>
                <w:szCs w:val="20"/>
              </w:rPr>
            </w:pPr>
            <w:r>
              <w:rPr>
                <w:rFonts w:ascii="宋体" w:hAnsi="宋体" w:eastAsia="宋体" w:cs="宋体"/>
                <w:spacing w:val="-7"/>
                <w:sz w:val="20"/>
                <w:szCs w:val="20"/>
              </w:rPr>
              <w:t>六</w:t>
            </w:r>
            <w:r>
              <w:rPr>
                <w:rFonts w:ascii="宋体" w:hAnsi="宋体" w:eastAsia="宋体" w:cs="宋体"/>
                <w:spacing w:val="-40"/>
                <w:sz w:val="20"/>
                <w:szCs w:val="20"/>
              </w:rPr>
              <w:t xml:space="preserve"> </w:t>
            </w:r>
            <w:r>
              <w:rPr>
                <w:rFonts w:ascii="宋体" w:hAnsi="宋体" w:eastAsia="宋体" w:cs="宋体"/>
                <w:spacing w:val="-7"/>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963" w:type="dxa"/>
            <w:tcBorders>
              <w:left w:val="single" w:color="000000" w:sz="6" w:space="0"/>
              <w:bottom w:val="single" w:color="000000" w:sz="6" w:space="0"/>
            </w:tcBorders>
            <w:vAlign w:val="top"/>
          </w:tcPr>
          <w:p>
            <w:pPr>
              <w:spacing w:before="141" w:line="197" w:lineRule="auto"/>
              <w:ind w:left="367"/>
              <w:rPr>
                <w:rFonts w:ascii="宋体" w:hAnsi="宋体" w:eastAsia="宋体" w:cs="宋体"/>
                <w:sz w:val="20"/>
                <w:szCs w:val="20"/>
              </w:rPr>
            </w:pPr>
            <w:r>
              <w:rPr>
                <w:rFonts w:ascii="宋体" w:hAnsi="宋体" w:eastAsia="宋体" w:cs="宋体"/>
                <w:spacing w:val="7"/>
                <w:sz w:val="20"/>
                <w:szCs w:val="20"/>
              </w:rPr>
              <w:t>八</w:t>
            </w:r>
          </w:p>
        </w:tc>
        <w:tc>
          <w:tcPr>
            <w:tcW w:w="2610" w:type="dxa"/>
            <w:tcBorders>
              <w:bottom w:val="single" w:color="000000" w:sz="6" w:space="0"/>
            </w:tcBorders>
            <w:vAlign w:val="top"/>
          </w:tcPr>
          <w:p>
            <w:pPr>
              <w:spacing w:before="128" w:line="222" w:lineRule="auto"/>
              <w:ind w:left="103"/>
              <w:rPr>
                <w:rFonts w:ascii="宋体" w:hAnsi="宋体" w:eastAsia="宋体" w:cs="宋体"/>
                <w:sz w:val="20"/>
                <w:szCs w:val="20"/>
              </w:rPr>
            </w:pPr>
            <w:r>
              <w:rPr>
                <w:rFonts w:ascii="宋体" w:hAnsi="宋体" w:eastAsia="宋体" w:cs="宋体"/>
                <w:spacing w:val="8"/>
                <w:sz w:val="20"/>
                <w:szCs w:val="20"/>
              </w:rPr>
              <w:t>工程费用合计</w:t>
            </w:r>
          </w:p>
        </w:tc>
        <w:tc>
          <w:tcPr>
            <w:tcW w:w="5718" w:type="dxa"/>
            <w:tcBorders>
              <w:bottom w:val="single" w:color="000000" w:sz="6" w:space="0"/>
              <w:right w:val="single" w:color="000000" w:sz="6" w:space="0"/>
            </w:tcBorders>
            <w:vAlign w:val="top"/>
          </w:tcPr>
          <w:p>
            <w:pPr>
              <w:spacing w:before="138" w:line="206" w:lineRule="auto"/>
              <w:ind w:left="106"/>
              <w:rPr>
                <w:rFonts w:ascii="宋体" w:hAnsi="宋体" w:eastAsia="宋体" w:cs="宋体"/>
                <w:sz w:val="20"/>
                <w:szCs w:val="20"/>
              </w:rPr>
            </w:pPr>
            <w:r>
              <w:rPr>
                <w:rFonts w:ascii="宋体" w:hAnsi="宋体" w:eastAsia="宋体" w:cs="宋体"/>
                <w:spacing w:val="9"/>
                <w:sz w:val="20"/>
                <w:szCs w:val="20"/>
              </w:rPr>
              <w:t>六+七</w:t>
            </w:r>
          </w:p>
        </w:tc>
      </w:tr>
    </w:tbl>
    <w:p>
      <w:pPr>
        <w:rPr>
          <w:rFonts w:ascii="Arial"/>
          <w:sz w:val="21"/>
        </w:rPr>
      </w:pPr>
    </w:p>
    <w:p>
      <w:pPr>
        <w:rPr>
          <w:rFonts w:ascii="Arial" w:hAnsi="Arial" w:eastAsia="Arial" w:cs="Arial"/>
          <w:sz w:val="21"/>
          <w:szCs w:val="21"/>
        </w:rPr>
        <w:sectPr>
          <w:footerReference r:id="rId36" w:type="default"/>
          <w:pgSz w:w="11905" w:h="16840"/>
          <w:pgMar w:top="1393" w:right="1299" w:bottom="1213" w:left="1299" w:header="0" w:footer="898" w:gutter="0"/>
        </w:sectPr>
      </w:pPr>
    </w:p>
    <w:p>
      <w:pPr>
        <w:spacing w:before="93" w:line="278" w:lineRule="exact"/>
        <w:ind w:left="920"/>
        <w:rPr>
          <w:rFonts w:ascii="宋体" w:hAnsi="宋体" w:eastAsia="宋体" w:cs="宋体"/>
          <w:sz w:val="20"/>
          <w:szCs w:val="20"/>
        </w:rPr>
      </w:pPr>
      <w:r>
        <w:rPr>
          <w:rFonts w:ascii="宋体" w:hAnsi="宋体" w:eastAsia="宋体" w:cs="宋体"/>
          <w:b/>
          <w:bCs/>
          <w:spacing w:val="9"/>
          <w:position w:val="1"/>
          <w:sz w:val="20"/>
          <w:szCs w:val="20"/>
        </w:rPr>
        <w:t>（一）说明</w:t>
      </w:r>
    </w:p>
    <w:p>
      <w:pPr>
        <w:spacing w:before="83" w:line="316" w:lineRule="auto"/>
        <w:ind w:left="512" w:right="507" w:firstLine="415"/>
        <w:rPr>
          <w:rFonts w:ascii="宋体" w:hAnsi="宋体" w:eastAsia="宋体" w:cs="宋体"/>
          <w:sz w:val="20"/>
          <w:szCs w:val="20"/>
        </w:rPr>
      </w:pPr>
      <w:r>
        <w:rPr>
          <w:rFonts w:ascii="宋体" w:hAnsi="宋体" w:eastAsia="宋体" w:cs="宋体"/>
          <w:spacing w:val="11"/>
          <w:sz w:val="20"/>
          <w:szCs w:val="20"/>
        </w:rPr>
        <w:t>增值税一般计税法下，税前造价各构成要素均以不含税（可抵扣进项税额）价格</w:t>
      </w:r>
      <w:r>
        <w:rPr>
          <w:rFonts w:ascii="宋体" w:hAnsi="宋体" w:eastAsia="宋体" w:cs="宋体"/>
          <w:spacing w:val="10"/>
          <w:sz w:val="20"/>
          <w:szCs w:val="20"/>
        </w:rPr>
        <w:t>计算；增值税</w:t>
      </w:r>
      <w:r>
        <w:rPr>
          <w:rFonts w:ascii="宋体" w:hAnsi="宋体" w:eastAsia="宋体" w:cs="宋体"/>
          <w:spacing w:val="9"/>
          <w:sz w:val="20"/>
          <w:szCs w:val="20"/>
        </w:rPr>
        <w:t>简易计税法下，税前造价各构成要素均以含税价格计算。</w:t>
      </w:r>
    </w:p>
    <w:p>
      <w:pPr>
        <w:spacing w:before="34" w:line="278" w:lineRule="exact"/>
        <w:ind w:left="920"/>
        <w:rPr>
          <w:rFonts w:ascii="宋体" w:hAnsi="宋体" w:eastAsia="宋体" w:cs="宋体"/>
          <w:sz w:val="20"/>
          <w:szCs w:val="20"/>
        </w:rPr>
      </w:pPr>
      <w:r>
        <w:rPr>
          <w:rFonts w:ascii="宋体" w:hAnsi="宋体" w:eastAsia="宋体" w:cs="宋体"/>
          <w:b/>
          <w:bCs/>
          <w:spacing w:val="9"/>
          <w:position w:val="1"/>
          <w:sz w:val="20"/>
          <w:szCs w:val="20"/>
        </w:rPr>
        <w:t>（二）计费基础及其计算方法</w:t>
      </w:r>
    </w:p>
    <w:p>
      <w:pPr>
        <w:pStyle w:val="2"/>
        <w:spacing w:before="74" w:line="182" w:lineRule="auto"/>
        <w:ind w:left="3996"/>
        <w:rPr>
          <w:sz w:val="20"/>
          <w:szCs w:val="20"/>
        </w:rPr>
      </w:pPr>
      <w:r>
        <w:rPr>
          <w:spacing w:val="9"/>
          <w:sz w:val="20"/>
          <w:szCs w:val="20"/>
        </w:rPr>
        <w:t>计费基础及其计算方法</w:t>
      </w:r>
    </w:p>
    <w:tbl>
      <w:tblPr>
        <w:tblStyle w:val="5"/>
        <w:tblW w:w="1006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681"/>
        <w:gridCol w:w="1081"/>
        <w:gridCol w:w="852"/>
        <w:gridCol w:w="5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8" w:hRule="atLeast"/>
        </w:trPr>
        <w:tc>
          <w:tcPr>
            <w:tcW w:w="1684" w:type="dxa"/>
            <w:tcBorders>
              <w:top w:val="single" w:color="000000" w:sz="6" w:space="0"/>
              <w:left w:val="single" w:color="000000" w:sz="6" w:space="0"/>
            </w:tcBorders>
            <w:vAlign w:val="top"/>
          </w:tcPr>
          <w:p>
            <w:pPr>
              <w:spacing w:before="106" w:line="209" w:lineRule="auto"/>
              <w:ind w:left="428"/>
              <w:rPr>
                <w:rFonts w:ascii="微软雅黑" w:hAnsi="微软雅黑" w:eastAsia="微软雅黑" w:cs="微软雅黑"/>
                <w:sz w:val="20"/>
                <w:szCs w:val="20"/>
              </w:rPr>
            </w:pPr>
            <w:r>
              <w:rPr>
                <w:rFonts w:ascii="微软雅黑" w:hAnsi="微软雅黑" w:eastAsia="微软雅黑" w:cs="微软雅黑"/>
                <w:spacing w:val="5"/>
                <w:sz w:val="20"/>
                <w:szCs w:val="20"/>
              </w:rPr>
              <w:t>工程类别</w:t>
            </w:r>
          </w:p>
        </w:tc>
        <w:tc>
          <w:tcPr>
            <w:tcW w:w="2614" w:type="dxa"/>
            <w:gridSpan w:val="3"/>
            <w:tcBorders>
              <w:top w:val="single" w:color="000000" w:sz="6" w:space="0"/>
            </w:tcBorders>
            <w:vAlign w:val="top"/>
          </w:tcPr>
          <w:p>
            <w:pPr>
              <w:spacing w:before="107" w:line="209" w:lineRule="auto"/>
              <w:ind w:left="889"/>
              <w:rPr>
                <w:rFonts w:ascii="微软雅黑" w:hAnsi="微软雅黑" w:eastAsia="微软雅黑" w:cs="微软雅黑"/>
                <w:sz w:val="20"/>
                <w:szCs w:val="20"/>
              </w:rPr>
            </w:pPr>
            <w:r>
              <w:rPr>
                <w:rFonts w:ascii="微软雅黑" w:hAnsi="微软雅黑" w:eastAsia="微软雅黑" w:cs="微软雅黑"/>
                <w:spacing w:val="7"/>
                <w:sz w:val="20"/>
                <w:szCs w:val="20"/>
              </w:rPr>
              <w:t>计费基础</w:t>
            </w:r>
          </w:p>
        </w:tc>
        <w:tc>
          <w:tcPr>
            <w:tcW w:w="5768" w:type="dxa"/>
            <w:tcBorders>
              <w:top w:val="single" w:color="000000" w:sz="6" w:space="0"/>
              <w:right w:val="single" w:color="000000" w:sz="6" w:space="0"/>
            </w:tcBorders>
            <w:vAlign w:val="top"/>
          </w:tcPr>
          <w:p>
            <w:pPr>
              <w:spacing w:before="107" w:line="209" w:lineRule="auto"/>
              <w:ind w:left="2467"/>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restart"/>
            <w:tcBorders>
              <w:left w:val="single" w:color="000000" w:sz="6" w:space="0"/>
              <w:bottom w:val="nil"/>
            </w:tcBorders>
            <w:vAlign w:val="top"/>
          </w:tcPr>
          <w:p>
            <w:pPr>
              <w:spacing w:before="280" w:line="334" w:lineRule="auto"/>
              <w:ind w:left="106" w:right="111"/>
              <w:rPr>
                <w:rFonts w:ascii="宋体" w:hAnsi="宋体" w:eastAsia="宋体" w:cs="宋体"/>
                <w:sz w:val="20"/>
                <w:szCs w:val="20"/>
              </w:rPr>
            </w:pPr>
            <w:r>
              <w:rPr>
                <w:rFonts w:ascii="宋体" w:hAnsi="宋体" w:eastAsia="宋体" w:cs="宋体"/>
                <w:spacing w:val="7"/>
                <w:sz w:val="20"/>
                <w:szCs w:val="20"/>
              </w:rPr>
              <w:t>建筑、装饰、安</w:t>
            </w:r>
            <w:r>
              <w:rPr>
                <w:rFonts w:ascii="宋体" w:hAnsi="宋体" w:eastAsia="宋体" w:cs="宋体"/>
                <w:spacing w:val="8"/>
                <w:sz w:val="20"/>
                <w:szCs w:val="20"/>
              </w:rPr>
              <w:t>装、园林绿化工</w:t>
            </w:r>
          </w:p>
          <w:p>
            <w:pPr>
              <w:spacing w:before="2" w:line="333" w:lineRule="auto"/>
              <w:ind w:left="108" w:right="111"/>
              <w:rPr>
                <w:rFonts w:ascii="宋体" w:hAnsi="宋体" w:eastAsia="宋体" w:cs="宋体"/>
                <w:sz w:val="20"/>
                <w:szCs w:val="20"/>
              </w:rPr>
            </w:pPr>
            <w:r>
              <w:rPr>
                <w:rFonts w:ascii="宋体" w:hAnsi="宋体" w:eastAsia="宋体" w:cs="宋体"/>
                <w:spacing w:val="7"/>
                <w:sz w:val="20"/>
                <w:szCs w:val="20"/>
              </w:rPr>
              <w:t>程、城市地下综</w:t>
            </w:r>
            <w:r>
              <w:rPr>
                <w:rFonts w:ascii="宋体" w:hAnsi="宋体" w:eastAsia="宋体" w:cs="宋体"/>
                <w:spacing w:val="25"/>
                <w:sz w:val="20"/>
                <w:szCs w:val="20"/>
              </w:rPr>
              <w:t>合管廊安装工</w:t>
            </w:r>
            <w:r>
              <w:rPr>
                <w:rFonts w:ascii="宋体" w:hAnsi="宋体" w:eastAsia="宋体" w:cs="宋体"/>
                <w:spacing w:val="7"/>
                <w:sz w:val="20"/>
                <w:szCs w:val="20"/>
              </w:rPr>
              <w:t>程、房屋修缮、</w:t>
            </w:r>
            <w:r>
              <w:rPr>
                <w:rFonts w:ascii="宋体" w:hAnsi="宋体" w:eastAsia="宋体" w:cs="宋体"/>
                <w:spacing w:val="25"/>
                <w:sz w:val="20"/>
                <w:szCs w:val="20"/>
              </w:rPr>
              <w:t>仿古建筑工程</w:t>
            </w:r>
          </w:p>
        </w:tc>
        <w:tc>
          <w:tcPr>
            <w:tcW w:w="681" w:type="dxa"/>
            <w:vMerge w:val="restart"/>
            <w:tcBorders>
              <w:bottom w:val="nil"/>
            </w:tcBorders>
            <w:vAlign w:val="top"/>
          </w:tcPr>
          <w:p>
            <w:pPr>
              <w:pStyle w:val="6"/>
              <w:spacing w:line="273" w:lineRule="auto"/>
            </w:pPr>
          </w:p>
          <w:p>
            <w:pPr>
              <w:pStyle w:val="6"/>
              <w:spacing w:line="273" w:lineRule="auto"/>
            </w:pPr>
          </w:p>
          <w:p>
            <w:pPr>
              <w:pStyle w:val="6"/>
              <w:spacing w:line="274" w:lineRule="auto"/>
            </w:pPr>
          </w:p>
          <w:p>
            <w:pPr>
              <w:spacing w:before="65" w:line="453" w:lineRule="auto"/>
              <w:ind w:left="238" w:right="134" w:hanging="112"/>
              <w:rPr>
                <w:rFonts w:ascii="宋体" w:hAnsi="宋体" w:eastAsia="宋体" w:cs="宋体"/>
                <w:sz w:val="20"/>
                <w:szCs w:val="20"/>
              </w:rPr>
            </w:pPr>
            <w:r>
              <w:rPr>
                <w:rFonts w:ascii="宋体" w:hAnsi="宋体" w:eastAsia="宋体" w:cs="宋体"/>
                <w:spacing w:val="7"/>
                <w:sz w:val="20"/>
                <w:szCs w:val="20"/>
              </w:rPr>
              <w:t>人工</w:t>
            </w:r>
            <w:r>
              <w:rPr>
                <w:rFonts w:ascii="宋体" w:hAnsi="宋体" w:eastAsia="宋体" w:cs="宋体"/>
                <w:sz w:val="20"/>
                <w:szCs w:val="20"/>
              </w:rPr>
              <w:t>费</w:t>
            </w:r>
          </w:p>
        </w:tc>
        <w:tc>
          <w:tcPr>
            <w:tcW w:w="1081" w:type="dxa"/>
            <w:vMerge w:val="restart"/>
            <w:tcBorders>
              <w:bottom w:val="nil"/>
            </w:tcBorders>
            <w:vAlign w:val="top"/>
          </w:tcPr>
          <w:p>
            <w:pPr>
              <w:pStyle w:val="6"/>
              <w:spacing w:line="291" w:lineRule="auto"/>
            </w:pPr>
          </w:p>
          <w:p>
            <w:pPr>
              <w:pStyle w:val="6"/>
              <w:spacing w:line="291" w:lineRule="auto"/>
            </w:pPr>
          </w:p>
          <w:p>
            <w:pPr>
              <w:pStyle w:val="6"/>
              <w:spacing w:line="291" w:lineRule="auto"/>
            </w:pPr>
          </w:p>
          <w:p>
            <w:pPr>
              <w:spacing w:before="66" w:line="334" w:lineRule="auto"/>
              <w:ind w:left="223" w:right="123" w:hanging="104"/>
              <w:rPr>
                <w:rFonts w:ascii="宋体" w:hAnsi="宋体" w:eastAsia="宋体" w:cs="宋体"/>
                <w:sz w:val="20"/>
                <w:szCs w:val="20"/>
              </w:rPr>
            </w:pPr>
            <w:r>
              <w:rPr>
                <w:rFonts w:ascii="宋体" w:hAnsi="宋体" w:eastAsia="宋体" w:cs="宋体"/>
                <w:spacing w:val="8"/>
                <w:sz w:val="20"/>
                <w:szCs w:val="20"/>
              </w:rPr>
              <w:t>工程量清单计价</w:t>
            </w:r>
          </w:p>
        </w:tc>
        <w:tc>
          <w:tcPr>
            <w:tcW w:w="852" w:type="dxa"/>
            <w:vMerge w:val="restart"/>
            <w:tcBorders>
              <w:bottom w:val="nil"/>
            </w:tcBorders>
            <w:vAlign w:val="top"/>
          </w:tcPr>
          <w:p>
            <w:pPr>
              <w:pStyle w:val="6"/>
              <w:spacing w:line="288" w:lineRule="auto"/>
            </w:pPr>
          </w:p>
          <w:p>
            <w:pPr>
              <w:spacing w:before="65" w:line="277" w:lineRule="exact"/>
              <w:ind w:left="260"/>
              <w:rPr>
                <w:rFonts w:ascii="宋体" w:hAnsi="宋体" w:eastAsia="宋体" w:cs="宋体"/>
                <w:sz w:val="20"/>
                <w:szCs w:val="20"/>
              </w:rPr>
            </w:pPr>
            <w:r>
              <w:rPr>
                <w:rFonts w:ascii="宋体" w:hAnsi="宋体" w:eastAsia="宋体" w:cs="宋体"/>
                <w:position w:val="2"/>
                <w:sz w:val="20"/>
                <w:szCs w:val="20"/>
              </w:rPr>
              <w:t>JQ</w:t>
            </w:r>
            <w:r>
              <w:rPr>
                <w:rFonts w:ascii="宋体" w:hAnsi="宋体" w:eastAsia="宋体" w:cs="宋体"/>
                <w:spacing w:val="23"/>
                <w:position w:val="2"/>
                <w:sz w:val="20"/>
                <w:szCs w:val="20"/>
              </w:rPr>
              <w:t>1</w:t>
            </w:r>
          </w:p>
        </w:tc>
        <w:tc>
          <w:tcPr>
            <w:tcW w:w="5768" w:type="dxa"/>
            <w:tcBorders>
              <w:right w:val="single" w:color="000000" w:sz="6" w:space="0"/>
            </w:tcBorders>
            <w:vAlign w:val="top"/>
          </w:tcPr>
          <w:p>
            <w:pPr>
              <w:spacing w:before="113" w:line="219" w:lineRule="auto"/>
              <w:ind w:left="108"/>
              <w:rPr>
                <w:rFonts w:ascii="宋体" w:hAnsi="宋体" w:eastAsia="宋体" w:cs="宋体"/>
                <w:sz w:val="20"/>
                <w:szCs w:val="20"/>
              </w:rPr>
            </w:pPr>
            <w:r>
              <w:rPr>
                <w:rFonts w:ascii="宋体" w:hAnsi="宋体" w:eastAsia="宋体" w:cs="宋体"/>
                <w:spacing w:val="9"/>
                <w:sz w:val="20"/>
                <w:szCs w:val="20"/>
              </w:rPr>
              <w:t>分部分项工程每计量单位的省价人工费之和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continue"/>
            <w:tcBorders>
              <w:top w:val="nil"/>
            </w:tcBorders>
            <w:vAlign w:val="top"/>
          </w:tcPr>
          <w:p>
            <w:pPr>
              <w:pStyle w:val="6"/>
            </w:pPr>
          </w:p>
        </w:tc>
        <w:tc>
          <w:tcPr>
            <w:tcW w:w="5768" w:type="dxa"/>
            <w:tcBorders>
              <w:right w:val="single" w:color="000000" w:sz="6" w:space="0"/>
            </w:tcBorders>
            <w:vAlign w:val="top"/>
          </w:tcPr>
          <w:p>
            <w:pPr>
              <w:spacing w:before="111" w:line="276" w:lineRule="exact"/>
              <w:ind w:left="108"/>
              <w:rPr>
                <w:rFonts w:ascii="宋体" w:hAnsi="宋体" w:eastAsia="宋体" w:cs="宋体"/>
                <w:sz w:val="20"/>
                <w:szCs w:val="20"/>
              </w:rPr>
            </w:pPr>
            <w:r>
              <w:rPr>
                <w:rFonts w:ascii="宋体" w:hAnsi="宋体" w:eastAsia="宋体" w:cs="宋体"/>
                <w:spacing w:val="7"/>
                <w:position w:val="1"/>
                <w:sz w:val="20"/>
                <w:szCs w:val="20"/>
              </w:rPr>
              <w:t>分部分项工程每计量单位（工日消耗量</w:t>
            </w:r>
            <w:r>
              <w:rPr>
                <w:rFonts w:ascii="宋体" w:hAnsi="宋体" w:eastAsia="宋体" w:cs="宋体"/>
                <w:spacing w:val="-33"/>
                <w:position w:val="1"/>
                <w:sz w:val="20"/>
                <w:szCs w:val="20"/>
              </w:rPr>
              <w:t xml:space="preserve"> </w:t>
            </w:r>
            <w:r>
              <w:rPr>
                <w:rFonts w:ascii="宋体" w:hAnsi="宋体" w:eastAsia="宋体" w:cs="宋体"/>
                <w:spacing w:val="7"/>
                <w:position w:val="1"/>
                <w:sz w:val="20"/>
                <w:szCs w:val="20"/>
              </w:rPr>
              <w:t>×省人工单价）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restart"/>
            <w:tcBorders>
              <w:bottom w:val="nil"/>
            </w:tcBorders>
            <w:vAlign w:val="top"/>
          </w:tcPr>
          <w:p>
            <w:pPr>
              <w:pStyle w:val="6"/>
              <w:spacing w:line="318" w:lineRule="auto"/>
            </w:pPr>
          </w:p>
          <w:p>
            <w:pPr>
              <w:spacing w:before="65" w:line="276" w:lineRule="exact"/>
              <w:ind w:left="260"/>
              <w:rPr>
                <w:rFonts w:ascii="宋体" w:hAnsi="宋体" w:eastAsia="宋体" w:cs="宋体"/>
                <w:sz w:val="20"/>
                <w:szCs w:val="20"/>
              </w:rPr>
            </w:pPr>
            <w:r>
              <w:rPr>
                <w:rFonts w:ascii="宋体" w:hAnsi="宋体" w:eastAsia="宋体" w:cs="宋体"/>
                <w:position w:val="2"/>
                <w:sz w:val="20"/>
                <w:szCs w:val="20"/>
              </w:rPr>
              <w:t>JQ</w:t>
            </w:r>
            <w:r>
              <w:rPr>
                <w:rFonts w:ascii="宋体" w:hAnsi="宋体" w:eastAsia="宋体" w:cs="宋体"/>
                <w:spacing w:val="23"/>
                <w:position w:val="2"/>
                <w:sz w:val="20"/>
                <w:szCs w:val="20"/>
              </w:rPr>
              <w:t>2</w:t>
            </w:r>
          </w:p>
        </w:tc>
        <w:tc>
          <w:tcPr>
            <w:tcW w:w="5768" w:type="dxa"/>
            <w:tcBorders>
              <w:right w:val="single" w:color="000000" w:sz="6" w:space="0"/>
            </w:tcBorders>
            <w:vAlign w:val="top"/>
          </w:tcPr>
          <w:p>
            <w:pPr>
              <w:spacing w:before="117" w:line="219" w:lineRule="auto"/>
              <w:ind w:left="107"/>
              <w:rPr>
                <w:rFonts w:ascii="宋体" w:hAnsi="宋体" w:eastAsia="宋体" w:cs="宋体"/>
                <w:sz w:val="20"/>
                <w:szCs w:val="20"/>
              </w:rPr>
            </w:pPr>
            <w:r>
              <w:rPr>
                <w:rFonts w:ascii="宋体" w:hAnsi="宋体" w:eastAsia="宋体" w:cs="宋体"/>
                <w:spacing w:val="9"/>
                <w:sz w:val="20"/>
                <w:szCs w:val="20"/>
              </w:rPr>
              <w:t>单价措施项目每计量单位的省价人工费之和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1"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continue"/>
            <w:tcBorders>
              <w:top w:val="nil"/>
            </w:tcBorders>
            <w:vAlign w:val="top"/>
          </w:tcPr>
          <w:p>
            <w:pPr>
              <w:pStyle w:val="6"/>
            </w:pPr>
          </w:p>
        </w:tc>
        <w:tc>
          <w:tcPr>
            <w:tcW w:w="5768" w:type="dxa"/>
            <w:tcBorders>
              <w:right w:val="single" w:color="000000" w:sz="6" w:space="0"/>
            </w:tcBorders>
            <w:vAlign w:val="top"/>
          </w:tcPr>
          <w:p>
            <w:pPr>
              <w:spacing w:before="141" w:line="276" w:lineRule="exact"/>
              <w:ind w:left="107"/>
              <w:rPr>
                <w:rFonts w:ascii="宋体" w:hAnsi="宋体" w:eastAsia="宋体" w:cs="宋体"/>
                <w:sz w:val="20"/>
                <w:szCs w:val="20"/>
              </w:rPr>
            </w:pPr>
            <w:r>
              <w:rPr>
                <w:rFonts w:ascii="宋体" w:hAnsi="宋体" w:eastAsia="宋体" w:cs="宋体"/>
                <w:spacing w:val="7"/>
                <w:position w:val="1"/>
                <w:sz w:val="20"/>
                <w:szCs w:val="20"/>
              </w:rPr>
              <w:t>单价措施项目每计量单位∑（工日消耗量</w:t>
            </w:r>
            <w:r>
              <w:rPr>
                <w:rFonts w:ascii="宋体" w:hAnsi="宋体" w:eastAsia="宋体" w:cs="宋体"/>
                <w:spacing w:val="-27"/>
                <w:position w:val="1"/>
                <w:sz w:val="20"/>
                <w:szCs w:val="20"/>
              </w:rPr>
              <w:t xml:space="preserve"> </w:t>
            </w:r>
            <w:r>
              <w:rPr>
                <w:rFonts w:ascii="宋体" w:hAnsi="宋体" w:eastAsia="宋体" w:cs="宋体"/>
                <w:spacing w:val="7"/>
                <w:position w:val="1"/>
                <w:sz w:val="20"/>
                <w:szCs w:val="20"/>
              </w:rPr>
              <w:t>×省人工单价）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continue"/>
            <w:tcBorders>
              <w:top w:val="nil"/>
              <w:left w:val="single" w:color="000000" w:sz="6" w:space="0"/>
            </w:tcBorders>
            <w:vAlign w:val="top"/>
          </w:tcPr>
          <w:p>
            <w:pPr>
              <w:pStyle w:val="6"/>
            </w:pPr>
          </w:p>
        </w:tc>
        <w:tc>
          <w:tcPr>
            <w:tcW w:w="681" w:type="dxa"/>
            <w:vMerge w:val="continue"/>
            <w:tcBorders>
              <w:top w:val="nil"/>
            </w:tcBorders>
            <w:vAlign w:val="top"/>
          </w:tcPr>
          <w:p>
            <w:pPr>
              <w:pStyle w:val="6"/>
            </w:pPr>
          </w:p>
        </w:tc>
        <w:tc>
          <w:tcPr>
            <w:tcW w:w="1081" w:type="dxa"/>
            <w:vMerge w:val="continue"/>
            <w:tcBorders>
              <w:top w:val="nil"/>
            </w:tcBorders>
            <w:vAlign w:val="top"/>
          </w:tcPr>
          <w:p>
            <w:pPr>
              <w:pStyle w:val="6"/>
            </w:pPr>
          </w:p>
        </w:tc>
        <w:tc>
          <w:tcPr>
            <w:tcW w:w="852" w:type="dxa"/>
            <w:vAlign w:val="top"/>
          </w:tcPr>
          <w:p>
            <w:pPr>
              <w:spacing w:before="152" w:line="187" w:lineRule="auto"/>
              <w:ind w:left="355"/>
              <w:rPr>
                <w:rFonts w:ascii="宋体" w:hAnsi="宋体" w:eastAsia="宋体" w:cs="宋体"/>
                <w:sz w:val="20"/>
                <w:szCs w:val="20"/>
              </w:rPr>
            </w:pPr>
            <w:r>
              <w:rPr>
                <w:rFonts w:ascii="宋体" w:hAnsi="宋体" w:eastAsia="宋体" w:cs="宋体"/>
                <w:spacing w:val="12"/>
                <w:w w:val="129"/>
                <w:sz w:val="20"/>
                <w:szCs w:val="20"/>
              </w:rPr>
              <w:t>H</w:t>
            </w:r>
          </w:p>
        </w:tc>
        <w:tc>
          <w:tcPr>
            <w:tcW w:w="5768" w:type="dxa"/>
            <w:tcBorders>
              <w:right w:val="single" w:color="000000" w:sz="6" w:space="0"/>
            </w:tcBorders>
            <w:vAlign w:val="top"/>
          </w:tcPr>
          <w:p>
            <w:pPr>
              <w:spacing w:before="113" w:line="276" w:lineRule="exact"/>
              <w:ind w:left="116"/>
              <w:rPr>
                <w:rFonts w:ascii="宋体" w:hAnsi="宋体" w:eastAsia="宋体" w:cs="宋体"/>
                <w:sz w:val="20"/>
                <w:szCs w:val="20"/>
              </w:rPr>
            </w:pPr>
            <w:r>
              <w:rPr>
                <w:rFonts w:ascii="宋体" w:hAnsi="宋体" w:eastAsia="宋体" w:cs="宋体"/>
                <w:spacing w:val="13"/>
                <w:position w:val="1"/>
                <w:sz w:val="20"/>
                <w:szCs w:val="20"/>
              </w:rPr>
              <w:t>总价措施费中人工费含量（%）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restart"/>
            <w:tcBorders>
              <w:left w:val="single" w:color="000000" w:sz="6" w:space="0"/>
              <w:bottom w:val="nil"/>
            </w:tcBorders>
            <w:vAlign w:val="top"/>
          </w:tcPr>
          <w:p>
            <w:pPr>
              <w:pStyle w:val="6"/>
              <w:spacing w:line="336" w:lineRule="auto"/>
            </w:pPr>
          </w:p>
          <w:p>
            <w:pPr>
              <w:pStyle w:val="6"/>
              <w:spacing w:line="336" w:lineRule="auto"/>
            </w:pPr>
          </w:p>
          <w:p>
            <w:pPr>
              <w:spacing w:before="65" w:line="219" w:lineRule="auto"/>
              <w:ind w:left="108"/>
              <w:rPr>
                <w:rFonts w:ascii="宋体" w:hAnsi="宋体" w:eastAsia="宋体" w:cs="宋体"/>
                <w:sz w:val="20"/>
                <w:szCs w:val="20"/>
              </w:rPr>
            </w:pPr>
            <w:r>
              <w:rPr>
                <w:rFonts w:ascii="宋体" w:hAnsi="宋体" w:eastAsia="宋体" w:cs="宋体"/>
                <w:spacing w:val="7"/>
                <w:sz w:val="20"/>
                <w:szCs w:val="20"/>
              </w:rPr>
              <w:t>市政、城市地下</w:t>
            </w:r>
          </w:p>
          <w:p>
            <w:pPr>
              <w:spacing w:before="120" w:line="223" w:lineRule="auto"/>
              <w:ind w:left="204"/>
              <w:rPr>
                <w:rFonts w:ascii="宋体" w:hAnsi="宋体" w:eastAsia="宋体" w:cs="宋体"/>
                <w:sz w:val="20"/>
                <w:szCs w:val="20"/>
              </w:rPr>
            </w:pPr>
            <w:r>
              <w:rPr>
                <w:rFonts w:ascii="宋体" w:hAnsi="宋体" w:eastAsia="宋体" w:cs="宋体"/>
                <w:spacing w:val="9"/>
                <w:sz w:val="20"/>
                <w:szCs w:val="20"/>
              </w:rPr>
              <w:t>综合管廊建筑</w:t>
            </w:r>
          </w:p>
          <w:p>
            <w:pPr>
              <w:spacing w:before="121" w:line="219" w:lineRule="auto"/>
              <w:ind w:left="113"/>
              <w:rPr>
                <w:rFonts w:ascii="宋体" w:hAnsi="宋体" w:eastAsia="宋体" w:cs="宋体"/>
                <w:sz w:val="20"/>
                <w:szCs w:val="20"/>
              </w:rPr>
            </w:pPr>
            <w:r>
              <w:rPr>
                <w:rFonts w:ascii="宋体" w:hAnsi="宋体" w:eastAsia="宋体" w:cs="宋体"/>
                <w:spacing w:val="7"/>
                <w:sz w:val="20"/>
                <w:szCs w:val="20"/>
              </w:rPr>
              <w:t>与装饰工程、市</w:t>
            </w:r>
          </w:p>
          <w:p>
            <w:pPr>
              <w:spacing w:before="122" w:line="220" w:lineRule="auto"/>
              <w:ind w:left="206"/>
              <w:rPr>
                <w:rFonts w:ascii="宋体" w:hAnsi="宋体" w:eastAsia="宋体" w:cs="宋体"/>
                <w:sz w:val="20"/>
                <w:szCs w:val="20"/>
              </w:rPr>
            </w:pPr>
            <w:r>
              <w:rPr>
                <w:rFonts w:ascii="宋体" w:hAnsi="宋体" w:eastAsia="宋体" w:cs="宋体"/>
                <w:spacing w:val="8"/>
                <w:sz w:val="20"/>
                <w:szCs w:val="20"/>
              </w:rPr>
              <w:t>政养护维修工</w:t>
            </w:r>
          </w:p>
          <w:p>
            <w:pPr>
              <w:spacing w:before="132" w:line="209" w:lineRule="auto"/>
              <w:ind w:left="732"/>
              <w:rPr>
                <w:rFonts w:ascii="宋体" w:hAnsi="宋体" w:eastAsia="宋体" w:cs="宋体"/>
                <w:sz w:val="20"/>
                <w:szCs w:val="20"/>
              </w:rPr>
            </w:pPr>
            <w:r>
              <w:rPr>
                <w:rFonts w:ascii="宋体" w:hAnsi="宋体" w:eastAsia="宋体" w:cs="宋体"/>
                <w:spacing w:val="4"/>
                <w:sz w:val="20"/>
                <w:szCs w:val="20"/>
              </w:rPr>
              <w:t>程</w:t>
            </w:r>
          </w:p>
        </w:tc>
        <w:tc>
          <w:tcPr>
            <w:tcW w:w="681" w:type="dxa"/>
            <w:vMerge w:val="restart"/>
            <w:tcBorders>
              <w:bottom w:val="nil"/>
            </w:tcBorders>
            <w:vAlign w:val="top"/>
          </w:tcPr>
          <w:p>
            <w:pPr>
              <w:pStyle w:val="6"/>
              <w:spacing w:line="249" w:lineRule="auto"/>
            </w:pPr>
          </w:p>
          <w:p>
            <w:pPr>
              <w:pStyle w:val="6"/>
              <w:spacing w:line="250" w:lineRule="auto"/>
            </w:pPr>
          </w:p>
          <w:p>
            <w:pPr>
              <w:spacing w:before="65" w:line="453" w:lineRule="auto"/>
              <w:ind w:left="238" w:right="134" w:hanging="112"/>
              <w:rPr>
                <w:rFonts w:ascii="宋体" w:hAnsi="宋体" w:eastAsia="宋体" w:cs="宋体"/>
                <w:sz w:val="20"/>
                <w:szCs w:val="20"/>
              </w:rPr>
            </w:pPr>
            <w:r>
              <w:rPr>
                <w:rFonts w:ascii="宋体" w:hAnsi="宋体" w:eastAsia="宋体" w:cs="宋体"/>
                <w:spacing w:val="7"/>
                <w:sz w:val="20"/>
                <w:szCs w:val="20"/>
              </w:rPr>
              <w:t>人工</w:t>
            </w:r>
            <w:r>
              <w:rPr>
                <w:rFonts w:ascii="宋体" w:hAnsi="宋体" w:eastAsia="宋体" w:cs="宋体"/>
                <w:sz w:val="20"/>
                <w:szCs w:val="20"/>
              </w:rPr>
              <w:t>费</w:t>
            </w:r>
          </w:p>
          <w:p>
            <w:pPr>
              <w:spacing w:before="44" w:line="171" w:lineRule="auto"/>
              <w:ind w:left="283"/>
              <w:rPr>
                <w:rFonts w:ascii="宋体" w:hAnsi="宋体" w:eastAsia="宋体" w:cs="宋体"/>
                <w:sz w:val="20"/>
                <w:szCs w:val="20"/>
              </w:rPr>
            </w:pPr>
            <w:r>
              <w:rPr>
                <w:rFonts w:ascii="宋体" w:hAnsi="宋体" w:eastAsia="宋体" w:cs="宋体"/>
                <w:spacing w:val="5"/>
                <w:sz w:val="20"/>
                <w:szCs w:val="20"/>
              </w:rPr>
              <w:t>+</w:t>
            </w:r>
          </w:p>
          <w:p>
            <w:pPr>
              <w:spacing w:before="223" w:line="338" w:lineRule="auto"/>
              <w:ind w:left="239" w:right="134" w:hanging="110"/>
              <w:rPr>
                <w:rFonts w:ascii="宋体" w:hAnsi="宋体" w:eastAsia="宋体" w:cs="宋体"/>
                <w:sz w:val="20"/>
                <w:szCs w:val="20"/>
              </w:rPr>
            </w:pPr>
            <w:r>
              <w:rPr>
                <w:rFonts w:ascii="宋体" w:hAnsi="宋体" w:eastAsia="宋体" w:cs="宋体"/>
                <w:spacing w:val="6"/>
                <w:sz w:val="20"/>
                <w:szCs w:val="20"/>
              </w:rPr>
              <w:t>机械</w:t>
            </w:r>
            <w:r>
              <w:rPr>
                <w:rFonts w:ascii="宋体" w:hAnsi="宋体" w:eastAsia="宋体" w:cs="宋体"/>
                <w:sz w:val="20"/>
                <w:szCs w:val="20"/>
              </w:rPr>
              <w:t>费</w:t>
            </w:r>
          </w:p>
        </w:tc>
        <w:tc>
          <w:tcPr>
            <w:tcW w:w="1081" w:type="dxa"/>
            <w:vMerge w:val="restart"/>
            <w:tcBorders>
              <w:bottom w:val="nil"/>
            </w:tcBorders>
            <w:vAlign w:val="top"/>
          </w:tcPr>
          <w:p>
            <w:pPr>
              <w:pStyle w:val="6"/>
              <w:spacing w:line="241" w:lineRule="auto"/>
            </w:pPr>
          </w:p>
          <w:p>
            <w:pPr>
              <w:pStyle w:val="6"/>
              <w:spacing w:line="242" w:lineRule="auto"/>
            </w:pPr>
          </w:p>
          <w:p>
            <w:pPr>
              <w:pStyle w:val="6"/>
              <w:spacing w:line="242" w:lineRule="auto"/>
            </w:pPr>
          </w:p>
          <w:p>
            <w:pPr>
              <w:pStyle w:val="6"/>
              <w:spacing w:line="242" w:lineRule="auto"/>
            </w:pPr>
          </w:p>
          <w:p>
            <w:pPr>
              <w:pStyle w:val="6"/>
              <w:spacing w:line="242" w:lineRule="auto"/>
            </w:pPr>
          </w:p>
          <w:p>
            <w:pPr>
              <w:spacing w:before="65" w:line="334" w:lineRule="auto"/>
              <w:ind w:left="223" w:right="123" w:hanging="104"/>
              <w:rPr>
                <w:rFonts w:ascii="宋体" w:hAnsi="宋体" w:eastAsia="宋体" w:cs="宋体"/>
                <w:sz w:val="20"/>
                <w:szCs w:val="20"/>
              </w:rPr>
            </w:pPr>
            <w:r>
              <w:rPr>
                <w:rFonts w:ascii="宋体" w:hAnsi="宋体" w:eastAsia="宋体" w:cs="宋体"/>
                <w:spacing w:val="8"/>
                <w:sz w:val="20"/>
                <w:szCs w:val="20"/>
              </w:rPr>
              <w:t>工程量清单计价</w:t>
            </w:r>
          </w:p>
        </w:tc>
        <w:tc>
          <w:tcPr>
            <w:tcW w:w="852" w:type="dxa"/>
            <w:vMerge w:val="restart"/>
            <w:tcBorders>
              <w:bottom w:val="nil"/>
            </w:tcBorders>
            <w:vAlign w:val="top"/>
          </w:tcPr>
          <w:p>
            <w:pPr>
              <w:pStyle w:val="6"/>
              <w:spacing w:line="473" w:lineRule="auto"/>
            </w:pPr>
          </w:p>
          <w:p>
            <w:pPr>
              <w:spacing w:before="65" w:line="276" w:lineRule="exact"/>
              <w:ind w:left="260"/>
              <w:rPr>
                <w:rFonts w:ascii="宋体" w:hAnsi="宋体" w:eastAsia="宋体" w:cs="宋体"/>
                <w:sz w:val="20"/>
                <w:szCs w:val="20"/>
              </w:rPr>
            </w:pPr>
            <w:r>
              <w:rPr>
                <w:rFonts w:ascii="宋体" w:hAnsi="宋体" w:eastAsia="宋体" w:cs="宋体"/>
                <w:position w:val="2"/>
                <w:sz w:val="20"/>
                <w:szCs w:val="20"/>
              </w:rPr>
              <w:t>JQ</w:t>
            </w:r>
            <w:r>
              <w:rPr>
                <w:rFonts w:ascii="宋体" w:hAnsi="宋体" w:eastAsia="宋体" w:cs="宋体"/>
                <w:spacing w:val="23"/>
                <w:position w:val="2"/>
                <w:sz w:val="20"/>
                <w:szCs w:val="20"/>
              </w:rPr>
              <w:t>1</w:t>
            </w:r>
          </w:p>
        </w:tc>
        <w:tc>
          <w:tcPr>
            <w:tcW w:w="5768" w:type="dxa"/>
            <w:tcBorders>
              <w:right w:val="single" w:color="000000" w:sz="6" w:space="0"/>
            </w:tcBorders>
            <w:vAlign w:val="top"/>
          </w:tcPr>
          <w:p>
            <w:pPr>
              <w:spacing w:before="119" w:line="219" w:lineRule="auto"/>
              <w:ind w:left="108"/>
              <w:rPr>
                <w:rFonts w:ascii="宋体" w:hAnsi="宋体" w:eastAsia="宋体" w:cs="宋体"/>
                <w:sz w:val="20"/>
                <w:szCs w:val="20"/>
              </w:rPr>
            </w:pPr>
            <w:r>
              <w:rPr>
                <w:rFonts w:ascii="宋体" w:hAnsi="宋体" w:eastAsia="宋体" w:cs="宋体"/>
                <w:spacing w:val="9"/>
                <w:sz w:val="20"/>
                <w:szCs w:val="20"/>
              </w:rPr>
              <w:t>分部分项工程每计量单位的省价人机费之和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3"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continue"/>
            <w:tcBorders>
              <w:top w:val="nil"/>
            </w:tcBorders>
            <w:vAlign w:val="top"/>
          </w:tcPr>
          <w:p>
            <w:pPr>
              <w:pStyle w:val="6"/>
            </w:pPr>
          </w:p>
        </w:tc>
        <w:tc>
          <w:tcPr>
            <w:tcW w:w="5768" w:type="dxa"/>
            <w:tcBorders>
              <w:right w:val="single" w:color="000000" w:sz="6" w:space="0"/>
            </w:tcBorders>
            <w:vAlign w:val="top"/>
          </w:tcPr>
          <w:p>
            <w:pPr>
              <w:spacing w:before="117" w:line="330" w:lineRule="auto"/>
              <w:ind w:left="135" w:right="159" w:hanging="27"/>
              <w:rPr>
                <w:rFonts w:ascii="宋体" w:hAnsi="宋体" w:eastAsia="宋体" w:cs="宋体"/>
                <w:sz w:val="20"/>
                <w:szCs w:val="20"/>
              </w:rPr>
            </w:pPr>
            <w:r>
              <w:rPr>
                <w:rFonts w:ascii="宋体" w:hAnsi="宋体" w:eastAsia="宋体" w:cs="宋体"/>
                <w:spacing w:val="10"/>
                <w:sz w:val="20"/>
                <w:szCs w:val="20"/>
              </w:rPr>
              <w:t>分部分项工程每计量单位∑（工日消耗量</w:t>
            </w:r>
            <w:r>
              <w:rPr>
                <w:rFonts w:ascii="宋体" w:hAnsi="宋体" w:eastAsia="宋体" w:cs="宋体"/>
                <w:spacing w:val="-40"/>
                <w:sz w:val="20"/>
                <w:szCs w:val="20"/>
              </w:rPr>
              <w:t xml:space="preserve"> </w:t>
            </w:r>
            <w:r>
              <w:rPr>
                <w:rFonts w:ascii="宋体" w:hAnsi="宋体" w:eastAsia="宋体" w:cs="宋体"/>
                <w:spacing w:val="10"/>
                <w:sz w:val="20"/>
                <w:szCs w:val="20"/>
              </w:rPr>
              <w:t>×省人</w:t>
            </w:r>
            <w:r>
              <w:rPr>
                <w:rFonts w:ascii="宋体" w:hAnsi="宋体" w:eastAsia="宋体" w:cs="宋体"/>
                <w:spacing w:val="9"/>
                <w:sz w:val="20"/>
                <w:szCs w:val="20"/>
              </w:rPr>
              <w:t>工单价）</w:t>
            </w:r>
            <w:r>
              <w:rPr>
                <w:rFonts w:ascii="宋体" w:hAnsi="宋体" w:eastAsia="宋体" w:cs="宋体"/>
                <w:spacing w:val="-26"/>
                <w:sz w:val="20"/>
                <w:szCs w:val="20"/>
              </w:rPr>
              <w:t xml:space="preserve"> </w:t>
            </w:r>
            <w:r>
              <w:rPr>
                <w:rFonts w:ascii="宋体" w:hAnsi="宋体" w:eastAsia="宋体" w:cs="宋体"/>
                <w:spacing w:val="9"/>
                <w:sz w:val="20"/>
                <w:szCs w:val="20"/>
              </w:rPr>
              <w:t>+</w:t>
            </w:r>
            <w:r>
              <w:rPr>
                <w:rFonts w:ascii="宋体" w:hAnsi="宋体" w:eastAsia="宋体" w:cs="宋体"/>
                <w:sz w:val="20"/>
                <w:szCs w:val="20"/>
              </w:rPr>
              <w:t xml:space="preserve"> </w:t>
            </w:r>
            <w:r>
              <w:rPr>
                <w:rFonts w:ascii="宋体" w:hAnsi="宋体" w:eastAsia="宋体" w:cs="宋体"/>
                <w:spacing w:val="3"/>
                <w:sz w:val="20"/>
                <w:szCs w:val="20"/>
              </w:rPr>
              <w:t>∑（机械消耗量</w:t>
            </w:r>
            <w:r>
              <w:rPr>
                <w:rFonts w:ascii="宋体" w:hAnsi="宋体" w:eastAsia="宋体" w:cs="宋体"/>
                <w:spacing w:val="-35"/>
                <w:sz w:val="20"/>
                <w:szCs w:val="20"/>
              </w:rPr>
              <w:t xml:space="preserve"> </w:t>
            </w:r>
            <w:r>
              <w:rPr>
                <w:rFonts w:ascii="宋体" w:hAnsi="宋体" w:eastAsia="宋体" w:cs="宋体"/>
                <w:spacing w:val="3"/>
                <w:sz w:val="20"/>
                <w:szCs w:val="20"/>
              </w:rPr>
              <w:t>×省台班单价）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restart"/>
            <w:tcBorders>
              <w:bottom w:val="nil"/>
            </w:tcBorders>
            <w:vAlign w:val="top"/>
          </w:tcPr>
          <w:p>
            <w:pPr>
              <w:pStyle w:val="6"/>
              <w:spacing w:line="475" w:lineRule="auto"/>
            </w:pPr>
          </w:p>
          <w:p>
            <w:pPr>
              <w:spacing w:before="65" w:line="277" w:lineRule="exact"/>
              <w:ind w:left="260"/>
              <w:rPr>
                <w:rFonts w:ascii="宋体" w:hAnsi="宋体" w:eastAsia="宋体" w:cs="宋体"/>
                <w:sz w:val="20"/>
                <w:szCs w:val="20"/>
              </w:rPr>
            </w:pPr>
            <w:r>
              <w:rPr>
                <w:rFonts w:ascii="宋体" w:hAnsi="宋体" w:eastAsia="宋体" w:cs="宋体"/>
                <w:position w:val="2"/>
                <w:sz w:val="20"/>
                <w:szCs w:val="20"/>
              </w:rPr>
              <w:t>JQ</w:t>
            </w:r>
            <w:r>
              <w:rPr>
                <w:rFonts w:ascii="宋体" w:hAnsi="宋体" w:eastAsia="宋体" w:cs="宋体"/>
                <w:spacing w:val="23"/>
                <w:position w:val="2"/>
                <w:sz w:val="20"/>
                <w:szCs w:val="20"/>
              </w:rPr>
              <w:t>2</w:t>
            </w:r>
          </w:p>
        </w:tc>
        <w:tc>
          <w:tcPr>
            <w:tcW w:w="5768" w:type="dxa"/>
            <w:tcBorders>
              <w:right w:val="single" w:color="000000" w:sz="6" w:space="0"/>
            </w:tcBorders>
            <w:vAlign w:val="top"/>
          </w:tcPr>
          <w:p>
            <w:pPr>
              <w:spacing w:before="124" w:line="219" w:lineRule="auto"/>
              <w:ind w:left="107"/>
              <w:rPr>
                <w:rFonts w:ascii="宋体" w:hAnsi="宋体" w:eastAsia="宋体" w:cs="宋体"/>
                <w:sz w:val="20"/>
                <w:szCs w:val="20"/>
              </w:rPr>
            </w:pPr>
            <w:r>
              <w:rPr>
                <w:rFonts w:ascii="宋体" w:hAnsi="宋体" w:eastAsia="宋体" w:cs="宋体"/>
                <w:spacing w:val="9"/>
                <w:sz w:val="20"/>
                <w:szCs w:val="20"/>
              </w:rPr>
              <w:t>单价措施项目每计量单位的省价人机费之和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3" w:hRule="atLeast"/>
        </w:trPr>
        <w:tc>
          <w:tcPr>
            <w:tcW w:w="1684" w:type="dxa"/>
            <w:vMerge w:val="continue"/>
            <w:tcBorders>
              <w:top w:val="nil"/>
              <w:left w:val="single" w:color="000000" w:sz="6" w:space="0"/>
              <w:bottom w:val="nil"/>
            </w:tcBorders>
            <w:vAlign w:val="top"/>
          </w:tcPr>
          <w:p>
            <w:pPr>
              <w:pStyle w:val="6"/>
            </w:pPr>
          </w:p>
        </w:tc>
        <w:tc>
          <w:tcPr>
            <w:tcW w:w="681"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852" w:type="dxa"/>
            <w:vMerge w:val="continue"/>
            <w:tcBorders>
              <w:top w:val="nil"/>
            </w:tcBorders>
            <w:vAlign w:val="top"/>
          </w:tcPr>
          <w:p>
            <w:pPr>
              <w:pStyle w:val="6"/>
            </w:pPr>
          </w:p>
        </w:tc>
        <w:tc>
          <w:tcPr>
            <w:tcW w:w="5768" w:type="dxa"/>
            <w:tcBorders>
              <w:right w:val="single" w:color="000000" w:sz="6" w:space="0"/>
            </w:tcBorders>
            <w:vAlign w:val="top"/>
          </w:tcPr>
          <w:p>
            <w:pPr>
              <w:spacing w:before="120" w:line="329" w:lineRule="auto"/>
              <w:ind w:left="136" w:right="159" w:hanging="29"/>
              <w:rPr>
                <w:rFonts w:ascii="宋体" w:hAnsi="宋体" w:eastAsia="宋体" w:cs="宋体"/>
                <w:sz w:val="20"/>
                <w:szCs w:val="20"/>
              </w:rPr>
            </w:pPr>
            <w:r>
              <w:rPr>
                <w:rFonts w:ascii="宋体" w:hAnsi="宋体" w:eastAsia="宋体" w:cs="宋体"/>
                <w:spacing w:val="10"/>
                <w:sz w:val="20"/>
                <w:szCs w:val="20"/>
              </w:rPr>
              <w:t>单价措施项目每计量单位∑（工日消耗量</w:t>
            </w:r>
            <w:r>
              <w:rPr>
                <w:rFonts w:ascii="宋体" w:hAnsi="宋体" w:eastAsia="宋体" w:cs="宋体"/>
                <w:spacing w:val="-40"/>
                <w:sz w:val="20"/>
                <w:szCs w:val="20"/>
              </w:rPr>
              <w:t xml:space="preserve"> </w:t>
            </w:r>
            <w:r>
              <w:rPr>
                <w:rFonts w:ascii="宋体" w:hAnsi="宋体" w:eastAsia="宋体" w:cs="宋体"/>
                <w:spacing w:val="10"/>
                <w:sz w:val="20"/>
                <w:szCs w:val="20"/>
              </w:rPr>
              <w:t>×省人工</w:t>
            </w:r>
            <w:r>
              <w:rPr>
                <w:rFonts w:ascii="宋体" w:hAnsi="宋体" w:eastAsia="宋体" w:cs="宋体"/>
                <w:spacing w:val="9"/>
                <w:sz w:val="20"/>
                <w:szCs w:val="20"/>
              </w:rPr>
              <w:t>单价）</w:t>
            </w:r>
            <w:r>
              <w:rPr>
                <w:rFonts w:ascii="宋体" w:hAnsi="宋体" w:eastAsia="宋体" w:cs="宋体"/>
                <w:spacing w:val="-26"/>
                <w:sz w:val="20"/>
                <w:szCs w:val="20"/>
              </w:rPr>
              <w:t xml:space="preserve"> </w:t>
            </w:r>
            <w:r>
              <w:rPr>
                <w:rFonts w:ascii="宋体" w:hAnsi="宋体" w:eastAsia="宋体" w:cs="宋体"/>
                <w:spacing w:val="9"/>
                <w:sz w:val="20"/>
                <w:szCs w:val="20"/>
              </w:rPr>
              <w:t>+</w:t>
            </w:r>
            <w:r>
              <w:rPr>
                <w:rFonts w:ascii="宋体" w:hAnsi="宋体" w:eastAsia="宋体" w:cs="宋体"/>
                <w:sz w:val="20"/>
                <w:szCs w:val="20"/>
              </w:rPr>
              <w:t xml:space="preserve"> </w:t>
            </w:r>
            <w:r>
              <w:rPr>
                <w:rFonts w:ascii="宋体" w:hAnsi="宋体" w:eastAsia="宋体" w:cs="宋体"/>
                <w:spacing w:val="3"/>
                <w:sz w:val="20"/>
                <w:szCs w:val="20"/>
              </w:rPr>
              <w:t>∑（机械消耗量</w:t>
            </w:r>
            <w:r>
              <w:rPr>
                <w:rFonts w:ascii="宋体" w:hAnsi="宋体" w:eastAsia="宋体" w:cs="宋体"/>
                <w:spacing w:val="-35"/>
                <w:sz w:val="20"/>
                <w:szCs w:val="20"/>
              </w:rPr>
              <w:t xml:space="preserve"> </w:t>
            </w:r>
            <w:r>
              <w:rPr>
                <w:rFonts w:ascii="宋体" w:hAnsi="宋体" w:eastAsia="宋体" w:cs="宋体"/>
                <w:spacing w:val="3"/>
                <w:sz w:val="20"/>
                <w:szCs w:val="20"/>
              </w:rPr>
              <w:t>×省台班单价）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8" w:hRule="atLeast"/>
        </w:trPr>
        <w:tc>
          <w:tcPr>
            <w:tcW w:w="1684" w:type="dxa"/>
            <w:vMerge w:val="continue"/>
            <w:tcBorders>
              <w:top w:val="nil"/>
              <w:left w:val="single" w:color="000000" w:sz="6" w:space="0"/>
              <w:bottom w:val="single" w:color="000000" w:sz="6" w:space="0"/>
            </w:tcBorders>
            <w:vAlign w:val="top"/>
          </w:tcPr>
          <w:p>
            <w:pPr>
              <w:pStyle w:val="6"/>
            </w:pPr>
          </w:p>
        </w:tc>
        <w:tc>
          <w:tcPr>
            <w:tcW w:w="681" w:type="dxa"/>
            <w:vMerge w:val="continue"/>
            <w:tcBorders>
              <w:top w:val="nil"/>
              <w:bottom w:val="single" w:color="000000" w:sz="6" w:space="0"/>
            </w:tcBorders>
            <w:vAlign w:val="top"/>
          </w:tcPr>
          <w:p>
            <w:pPr>
              <w:pStyle w:val="6"/>
            </w:pPr>
          </w:p>
        </w:tc>
        <w:tc>
          <w:tcPr>
            <w:tcW w:w="1081" w:type="dxa"/>
            <w:vMerge w:val="continue"/>
            <w:tcBorders>
              <w:top w:val="nil"/>
              <w:bottom w:val="single" w:color="000000" w:sz="6" w:space="0"/>
            </w:tcBorders>
            <w:vAlign w:val="top"/>
          </w:tcPr>
          <w:p>
            <w:pPr>
              <w:pStyle w:val="6"/>
            </w:pPr>
          </w:p>
        </w:tc>
        <w:tc>
          <w:tcPr>
            <w:tcW w:w="852" w:type="dxa"/>
            <w:tcBorders>
              <w:bottom w:val="single" w:color="000000" w:sz="6" w:space="0"/>
            </w:tcBorders>
            <w:vAlign w:val="top"/>
          </w:tcPr>
          <w:p>
            <w:pPr>
              <w:spacing w:before="160" w:line="187" w:lineRule="auto"/>
              <w:ind w:left="355"/>
              <w:rPr>
                <w:rFonts w:ascii="宋体" w:hAnsi="宋体" w:eastAsia="宋体" w:cs="宋体"/>
                <w:sz w:val="20"/>
                <w:szCs w:val="20"/>
              </w:rPr>
            </w:pPr>
            <w:r>
              <w:rPr>
                <w:rFonts w:ascii="宋体" w:hAnsi="宋体" w:eastAsia="宋体" w:cs="宋体"/>
                <w:spacing w:val="12"/>
                <w:w w:val="129"/>
                <w:sz w:val="20"/>
                <w:szCs w:val="20"/>
              </w:rPr>
              <w:t>H</w:t>
            </w:r>
          </w:p>
        </w:tc>
        <w:tc>
          <w:tcPr>
            <w:tcW w:w="5768" w:type="dxa"/>
            <w:tcBorders>
              <w:bottom w:val="single" w:color="000000" w:sz="6" w:space="0"/>
              <w:right w:val="single" w:color="000000" w:sz="6" w:space="0"/>
            </w:tcBorders>
            <w:vAlign w:val="top"/>
          </w:tcPr>
          <w:p>
            <w:pPr>
              <w:spacing w:before="121" w:line="276" w:lineRule="exact"/>
              <w:ind w:left="116"/>
              <w:rPr>
                <w:rFonts w:ascii="宋体" w:hAnsi="宋体" w:eastAsia="宋体" w:cs="宋体"/>
                <w:sz w:val="20"/>
                <w:szCs w:val="20"/>
              </w:rPr>
            </w:pPr>
            <w:r>
              <w:rPr>
                <w:rFonts w:ascii="宋体" w:hAnsi="宋体" w:eastAsia="宋体" w:cs="宋体"/>
                <w:spacing w:val="13"/>
                <w:position w:val="1"/>
                <w:sz w:val="20"/>
                <w:szCs w:val="20"/>
              </w:rPr>
              <w:t>总价措施费中人机费含量（%）</w:t>
            </w:r>
          </w:p>
        </w:tc>
      </w:tr>
    </w:tbl>
    <w:p>
      <w:pPr>
        <w:spacing w:before="140" w:line="278" w:lineRule="exact"/>
        <w:ind w:left="920"/>
        <w:rPr>
          <w:rFonts w:ascii="宋体" w:hAnsi="宋体" w:eastAsia="宋体" w:cs="宋体"/>
          <w:sz w:val="20"/>
          <w:szCs w:val="20"/>
        </w:rPr>
      </w:pPr>
      <w:r>
        <w:rPr>
          <w:rFonts w:ascii="宋体" w:hAnsi="宋体" w:eastAsia="宋体" w:cs="宋体"/>
          <w:b/>
          <w:bCs/>
          <w:spacing w:val="8"/>
          <w:position w:val="1"/>
          <w:sz w:val="20"/>
          <w:szCs w:val="20"/>
        </w:rPr>
        <w:t>（三）建筑、装饰工程智慧工地费用的计算</w:t>
      </w:r>
    </w:p>
    <w:p>
      <w:pPr>
        <w:spacing w:before="123" w:line="222" w:lineRule="auto"/>
        <w:ind w:left="927"/>
        <w:rPr>
          <w:rFonts w:ascii="宋体" w:hAnsi="宋体" w:eastAsia="宋体" w:cs="宋体"/>
          <w:sz w:val="20"/>
          <w:szCs w:val="20"/>
        </w:rPr>
      </w:pPr>
      <w:r>
        <w:rPr>
          <w:rFonts w:ascii="宋体" w:hAnsi="宋体" w:eastAsia="宋体" w:cs="宋体"/>
          <w:spacing w:val="9"/>
          <w:sz w:val="20"/>
          <w:szCs w:val="20"/>
        </w:rPr>
        <w:t>单价措施费中的智慧工地费用，除税金外不参与其他费用的计取。</w:t>
      </w:r>
    </w:p>
    <w:p>
      <w:pPr>
        <w:spacing w:before="157" w:line="278" w:lineRule="exact"/>
        <w:ind w:left="920"/>
        <w:rPr>
          <w:rFonts w:ascii="宋体" w:hAnsi="宋体" w:eastAsia="宋体" w:cs="宋体"/>
          <w:sz w:val="20"/>
          <w:szCs w:val="20"/>
        </w:rPr>
      </w:pPr>
      <w:r>
        <w:rPr>
          <w:rFonts w:ascii="宋体" w:hAnsi="宋体" w:eastAsia="宋体" w:cs="宋体"/>
          <w:b/>
          <w:bCs/>
          <w:spacing w:val="5"/>
          <w:position w:val="1"/>
          <w:sz w:val="20"/>
          <w:szCs w:val="20"/>
        </w:rPr>
        <w:t>（</w:t>
      </w:r>
      <w:r>
        <w:rPr>
          <w:rFonts w:ascii="宋体" w:hAnsi="宋体" w:eastAsia="宋体" w:cs="宋体"/>
          <w:spacing w:val="-38"/>
          <w:position w:val="1"/>
          <w:sz w:val="20"/>
          <w:szCs w:val="20"/>
        </w:rPr>
        <w:t xml:space="preserve"> </w:t>
      </w:r>
      <w:r>
        <w:rPr>
          <w:rFonts w:ascii="宋体" w:hAnsi="宋体" w:eastAsia="宋体" w:cs="宋体"/>
          <w:b/>
          <w:bCs/>
          <w:spacing w:val="5"/>
          <w:position w:val="1"/>
          <w:sz w:val="20"/>
          <w:szCs w:val="20"/>
        </w:rPr>
        <w:t>四）市政工程智慧工地费用的计算</w:t>
      </w:r>
    </w:p>
    <w:p>
      <w:pPr>
        <w:spacing w:before="122" w:line="364" w:lineRule="auto"/>
        <w:ind w:left="507" w:right="426" w:firstLine="420"/>
        <w:jc w:val="both"/>
        <w:rPr>
          <w:rFonts w:ascii="宋体" w:hAnsi="宋体" w:eastAsia="宋体" w:cs="宋体"/>
          <w:sz w:val="20"/>
          <w:szCs w:val="20"/>
        </w:rPr>
      </w:pPr>
      <w:r>
        <w:rPr>
          <w:rFonts w:ascii="宋体" w:hAnsi="宋体" w:eastAsia="宋体" w:cs="宋体"/>
          <w:spacing w:val="10"/>
          <w:sz w:val="20"/>
          <w:szCs w:val="20"/>
        </w:rPr>
        <w:t>按照《山东省住房和城乡建设厅关于计取市政工程智慧工地</w:t>
      </w:r>
      <w:r>
        <w:rPr>
          <w:rFonts w:ascii="宋体" w:hAnsi="宋体" w:eastAsia="宋体" w:cs="宋体"/>
          <w:spacing w:val="9"/>
          <w:sz w:val="20"/>
          <w:szCs w:val="20"/>
        </w:rPr>
        <w:t>建设费用的通知》</w:t>
      </w:r>
      <w:r>
        <w:rPr>
          <w:rFonts w:ascii="宋体" w:hAnsi="宋体" w:eastAsia="宋体" w:cs="宋体"/>
          <w:spacing w:val="-50"/>
          <w:sz w:val="20"/>
          <w:szCs w:val="20"/>
        </w:rPr>
        <w:t xml:space="preserve"> </w:t>
      </w:r>
      <w:r>
        <w:rPr>
          <w:rFonts w:ascii="宋体" w:hAnsi="宋体" w:eastAsia="宋体" w:cs="宋体"/>
          <w:spacing w:val="9"/>
          <w:sz w:val="20"/>
          <w:szCs w:val="20"/>
        </w:rPr>
        <w:t>，市政工程总价</w:t>
      </w:r>
      <w:r>
        <w:rPr>
          <w:rFonts w:ascii="宋体" w:hAnsi="宋体" w:eastAsia="宋体" w:cs="宋体"/>
          <w:spacing w:val="8"/>
          <w:sz w:val="20"/>
          <w:szCs w:val="20"/>
        </w:rPr>
        <w:t>措施费中增加“市政工程智慧工地建设费”项目，“市政工程智慧工地建设费”为包括</w:t>
      </w:r>
      <w:r>
        <w:rPr>
          <w:rFonts w:ascii="宋体" w:hAnsi="宋体" w:eastAsia="宋体" w:cs="宋体"/>
          <w:spacing w:val="7"/>
          <w:sz w:val="20"/>
          <w:szCs w:val="20"/>
        </w:rPr>
        <w:t>企业管理费、</w:t>
      </w:r>
      <w:r>
        <w:rPr>
          <w:rFonts w:ascii="宋体" w:hAnsi="宋体" w:eastAsia="宋体" w:cs="宋体"/>
          <w:spacing w:val="9"/>
          <w:sz w:val="20"/>
          <w:szCs w:val="20"/>
        </w:rPr>
        <w:t>利润、规费及建筑业增值税在内的全费用价格。</w:t>
      </w:r>
    </w:p>
    <w:p>
      <w:pPr>
        <w:spacing w:before="18" w:line="277" w:lineRule="exact"/>
        <w:ind w:left="920"/>
        <w:rPr>
          <w:rFonts w:ascii="宋体" w:hAnsi="宋体" w:eastAsia="宋体" w:cs="宋体"/>
          <w:sz w:val="20"/>
          <w:szCs w:val="20"/>
        </w:rPr>
      </w:pPr>
      <w:r>
        <w:rPr>
          <w:rFonts w:ascii="宋体" w:hAnsi="宋体" w:eastAsia="宋体" w:cs="宋体"/>
          <w:b/>
          <w:bCs/>
          <w:spacing w:val="9"/>
          <w:position w:val="1"/>
          <w:sz w:val="20"/>
          <w:szCs w:val="20"/>
        </w:rPr>
        <w:t>（五）疫情防控措施费的计算</w:t>
      </w:r>
    </w:p>
    <w:p>
      <w:pPr>
        <w:spacing w:before="122" w:line="369" w:lineRule="auto"/>
        <w:ind w:left="510" w:right="506" w:firstLine="420"/>
        <w:rPr>
          <w:rFonts w:ascii="宋体" w:hAnsi="宋体" w:eastAsia="宋体" w:cs="宋体"/>
          <w:sz w:val="20"/>
          <w:szCs w:val="20"/>
        </w:rPr>
      </w:pPr>
      <w:r>
        <w:rPr>
          <w:rFonts w:ascii="宋体" w:hAnsi="宋体" w:eastAsia="宋体" w:cs="宋体"/>
          <w:spacing w:val="6"/>
          <w:sz w:val="20"/>
          <w:szCs w:val="20"/>
        </w:rPr>
        <w:t>2024</w:t>
      </w:r>
      <w:r>
        <w:rPr>
          <w:rFonts w:ascii="宋体" w:hAnsi="宋体" w:eastAsia="宋体" w:cs="宋体"/>
          <w:spacing w:val="-38"/>
          <w:sz w:val="20"/>
          <w:szCs w:val="20"/>
        </w:rPr>
        <w:t xml:space="preserve"> </w:t>
      </w:r>
      <w:r>
        <w:rPr>
          <w:rFonts w:ascii="宋体" w:hAnsi="宋体" w:eastAsia="宋体" w:cs="宋体"/>
          <w:spacing w:val="6"/>
          <w:sz w:val="20"/>
          <w:szCs w:val="20"/>
        </w:rPr>
        <w:t>年</w:t>
      </w:r>
      <w:r>
        <w:rPr>
          <w:rFonts w:ascii="宋体" w:hAnsi="宋体" w:eastAsia="宋体" w:cs="宋体"/>
          <w:spacing w:val="-39"/>
          <w:sz w:val="20"/>
          <w:szCs w:val="20"/>
        </w:rPr>
        <w:t xml:space="preserve"> </w:t>
      </w:r>
      <w:r>
        <w:rPr>
          <w:rFonts w:ascii="宋体" w:hAnsi="宋体" w:eastAsia="宋体" w:cs="宋体"/>
          <w:spacing w:val="6"/>
          <w:sz w:val="20"/>
          <w:szCs w:val="20"/>
        </w:rPr>
        <w:t>3</w:t>
      </w:r>
      <w:r>
        <w:rPr>
          <w:rFonts w:ascii="宋体" w:hAnsi="宋体" w:eastAsia="宋体" w:cs="宋体"/>
          <w:spacing w:val="-40"/>
          <w:sz w:val="20"/>
          <w:szCs w:val="20"/>
        </w:rPr>
        <w:t xml:space="preserve"> </w:t>
      </w:r>
      <w:r>
        <w:rPr>
          <w:rFonts w:ascii="宋体" w:hAnsi="宋体" w:eastAsia="宋体" w:cs="宋体"/>
          <w:spacing w:val="6"/>
          <w:sz w:val="20"/>
          <w:szCs w:val="20"/>
        </w:rPr>
        <w:t>月</w:t>
      </w:r>
      <w:r>
        <w:rPr>
          <w:rFonts w:ascii="宋体" w:hAnsi="宋体" w:eastAsia="宋体" w:cs="宋体"/>
          <w:spacing w:val="-22"/>
          <w:sz w:val="20"/>
          <w:szCs w:val="20"/>
        </w:rPr>
        <w:t xml:space="preserve"> </w:t>
      </w:r>
      <w:r>
        <w:rPr>
          <w:rFonts w:ascii="宋体" w:hAnsi="宋体" w:eastAsia="宋体" w:cs="宋体"/>
          <w:spacing w:val="6"/>
          <w:sz w:val="20"/>
          <w:szCs w:val="20"/>
        </w:rPr>
        <w:t>15 日起，根据《关于不再计列“疫情防控措施费”的通知》（鲁建标函〔2024〕2</w:t>
      </w:r>
      <w:r>
        <w:rPr>
          <w:rFonts w:ascii="宋体" w:hAnsi="宋体" w:eastAsia="宋体" w:cs="宋体"/>
          <w:spacing w:val="10"/>
          <w:sz w:val="20"/>
          <w:szCs w:val="20"/>
        </w:rPr>
        <w:t>号）有关政策要求，不再计列“疫情防控措施费”。</w:t>
      </w:r>
    </w:p>
    <w:p>
      <w:pPr>
        <w:spacing w:before="1" w:line="278" w:lineRule="exact"/>
        <w:ind w:left="920"/>
        <w:rPr>
          <w:rFonts w:ascii="宋体" w:hAnsi="宋体" w:eastAsia="宋体" w:cs="宋体"/>
          <w:sz w:val="20"/>
          <w:szCs w:val="20"/>
        </w:rPr>
      </w:pPr>
      <w:r>
        <w:rPr>
          <w:rFonts w:ascii="宋体" w:hAnsi="宋体" w:eastAsia="宋体" w:cs="宋体"/>
          <w:b/>
          <w:bCs/>
          <w:spacing w:val="9"/>
          <w:position w:val="1"/>
          <w:sz w:val="20"/>
          <w:szCs w:val="20"/>
        </w:rPr>
        <w:t>（六）关于其他项目费的计算</w:t>
      </w:r>
    </w:p>
    <w:p>
      <w:pPr>
        <w:spacing w:before="121" w:line="298" w:lineRule="auto"/>
        <w:ind w:left="508" w:right="506" w:firstLine="438"/>
        <w:rPr>
          <w:rFonts w:ascii="宋体" w:hAnsi="宋体" w:eastAsia="宋体" w:cs="宋体"/>
          <w:sz w:val="20"/>
          <w:szCs w:val="20"/>
        </w:rPr>
      </w:pPr>
      <w:r>
        <w:rPr>
          <w:rFonts w:ascii="宋体" w:hAnsi="宋体" w:eastAsia="宋体" w:cs="宋体"/>
          <w:spacing w:val="8"/>
          <w:sz w:val="20"/>
          <w:szCs w:val="20"/>
        </w:rPr>
        <w:t>1. 暂列金额：一般可按分部分项工程费的</w:t>
      </w:r>
      <w:r>
        <w:rPr>
          <w:rFonts w:ascii="宋体" w:hAnsi="宋体" w:eastAsia="宋体" w:cs="宋体"/>
          <w:spacing w:val="-24"/>
          <w:sz w:val="20"/>
          <w:szCs w:val="20"/>
        </w:rPr>
        <w:t xml:space="preserve"> </w:t>
      </w:r>
      <w:r>
        <w:rPr>
          <w:rFonts w:ascii="宋体" w:hAnsi="宋体" w:eastAsia="宋体" w:cs="宋体"/>
          <w:spacing w:val="8"/>
          <w:sz w:val="20"/>
          <w:szCs w:val="20"/>
        </w:rPr>
        <w:t>10%-15%估</w:t>
      </w:r>
      <w:r>
        <w:rPr>
          <w:rFonts w:ascii="宋体" w:hAnsi="宋体" w:eastAsia="宋体" w:cs="宋体"/>
          <w:spacing w:val="7"/>
          <w:sz w:val="20"/>
          <w:szCs w:val="20"/>
        </w:rPr>
        <w:t>列。编制最高投标限价、投标报价时，按</w:t>
      </w:r>
      <w:r>
        <w:rPr>
          <w:rFonts w:ascii="宋体" w:hAnsi="宋体" w:eastAsia="宋体" w:cs="宋体"/>
          <w:spacing w:val="9"/>
          <w:sz w:val="20"/>
          <w:szCs w:val="20"/>
        </w:rPr>
        <w:t>招标工程量清单中列出的金额计列，工程结算时，该项不计列。</w:t>
      </w:r>
    </w:p>
    <w:p>
      <w:pPr>
        <w:spacing w:before="155" w:line="321" w:lineRule="auto"/>
        <w:ind w:left="507" w:right="506" w:firstLine="422"/>
        <w:rPr>
          <w:rFonts w:ascii="宋体" w:hAnsi="宋体" w:eastAsia="宋体" w:cs="宋体"/>
          <w:sz w:val="20"/>
          <w:szCs w:val="20"/>
        </w:rPr>
      </w:pPr>
      <w:r>
        <w:rPr>
          <w:rFonts w:ascii="宋体" w:hAnsi="宋体" w:eastAsia="宋体" w:cs="宋体"/>
          <w:spacing w:val="8"/>
          <w:sz w:val="20"/>
          <w:szCs w:val="20"/>
        </w:rPr>
        <w:t>2. 专业工程暂估价，分为发包人发包的专业工程暂估价和承包人分包的专业工程暂估价。发包</w:t>
      </w:r>
      <w:r>
        <w:rPr>
          <w:rFonts w:ascii="宋体" w:hAnsi="宋体" w:eastAsia="宋体" w:cs="宋体"/>
          <w:spacing w:val="11"/>
          <w:sz w:val="20"/>
          <w:szCs w:val="20"/>
        </w:rPr>
        <w:t>人发包的专业工程暂估价仅作为计取总承包服务费的基础，不计入总承包人的</w:t>
      </w:r>
      <w:r>
        <w:rPr>
          <w:rFonts w:ascii="宋体" w:hAnsi="宋体" w:eastAsia="宋体" w:cs="宋体"/>
          <w:spacing w:val="10"/>
          <w:sz w:val="20"/>
          <w:szCs w:val="20"/>
        </w:rPr>
        <w:t>工程造价。承包人分</w:t>
      </w:r>
      <w:r>
        <w:rPr>
          <w:rFonts w:ascii="宋体" w:hAnsi="宋体" w:eastAsia="宋体" w:cs="宋体"/>
          <w:spacing w:val="9"/>
          <w:sz w:val="20"/>
          <w:szCs w:val="20"/>
        </w:rPr>
        <w:t>包的专业工程暂估价，计入承包人的工程总造价。</w:t>
      </w:r>
    </w:p>
    <w:p>
      <w:pPr>
        <w:spacing w:line="321" w:lineRule="auto"/>
        <w:rPr>
          <w:rFonts w:ascii="宋体" w:hAnsi="宋体" w:eastAsia="宋体" w:cs="宋体"/>
          <w:sz w:val="20"/>
          <w:szCs w:val="20"/>
        </w:rPr>
        <w:sectPr>
          <w:footerReference r:id="rId37" w:type="default"/>
          <w:pgSz w:w="11905" w:h="16840"/>
          <w:pgMar w:top="1431" w:right="912" w:bottom="1213" w:left="911" w:header="0" w:footer="898" w:gutter="0"/>
        </w:sectPr>
      </w:pPr>
    </w:p>
    <w:p>
      <w:pPr>
        <w:spacing w:before="128" w:line="368" w:lineRule="auto"/>
        <w:ind w:right="170" w:firstLine="422"/>
        <w:jc w:val="both"/>
        <w:rPr>
          <w:rFonts w:ascii="宋体" w:hAnsi="宋体" w:eastAsia="宋体" w:cs="宋体"/>
          <w:sz w:val="20"/>
          <w:szCs w:val="20"/>
        </w:rPr>
      </w:pPr>
      <w:r>
        <w:rPr>
          <w:rFonts w:ascii="宋体" w:hAnsi="宋体" w:eastAsia="宋体" w:cs="宋体"/>
          <w:spacing w:val="11"/>
          <w:sz w:val="20"/>
          <w:szCs w:val="20"/>
        </w:rPr>
        <w:t>发包人编制招标文件或工程量清单时，应明确依法必须招标的承包人分包</w:t>
      </w:r>
      <w:r>
        <w:rPr>
          <w:rFonts w:ascii="宋体" w:hAnsi="宋体" w:eastAsia="宋体" w:cs="宋体"/>
          <w:spacing w:val="10"/>
          <w:sz w:val="20"/>
          <w:szCs w:val="20"/>
        </w:rPr>
        <w:t>的专业工程中，承包</w:t>
      </w:r>
      <w:r>
        <w:rPr>
          <w:rFonts w:ascii="宋体" w:hAnsi="宋体" w:eastAsia="宋体" w:cs="宋体"/>
          <w:spacing w:val="11"/>
          <w:sz w:val="20"/>
          <w:szCs w:val="20"/>
        </w:rPr>
        <w:t>人对分包人提供的管理、协调、配合、服务等事项及其费用计取标准；如未明</w:t>
      </w:r>
      <w:r>
        <w:rPr>
          <w:rFonts w:ascii="宋体" w:hAnsi="宋体" w:eastAsia="宋体" w:cs="宋体"/>
          <w:spacing w:val="10"/>
          <w:sz w:val="20"/>
          <w:szCs w:val="20"/>
        </w:rPr>
        <w:t>确上述事项及费用计取标准，在确定承包人分包的专业工程暂估价</w:t>
      </w:r>
      <w:r>
        <w:rPr>
          <w:rFonts w:ascii="宋体" w:hAnsi="宋体" w:eastAsia="宋体" w:cs="宋体"/>
          <w:spacing w:val="9"/>
          <w:sz w:val="20"/>
          <w:szCs w:val="20"/>
        </w:rPr>
        <w:t>时，应考虑承包人分包管理服务费用。</w:t>
      </w:r>
    </w:p>
    <w:p>
      <w:pPr>
        <w:spacing w:line="297" w:lineRule="auto"/>
        <w:ind w:left="1" w:right="201" w:firstLine="424"/>
        <w:rPr>
          <w:rFonts w:ascii="宋体" w:hAnsi="宋体" w:eastAsia="宋体" w:cs="宋体"/>
          <w:sz w:val="20"/>
          <w:szCs w:val="20"/>
        </w:rPr>
      </w:pPr>
      <w:r>
        <w:rPr>
          <w:rFonts w:ascii="宋体" w:hAnsi="宋体" w:eastAsia="宋体" w:cs="宋体"/>
          <w:spacing w:val="7"/>
          <w:sz w:val="20"/>
          <w:szCs w:val="20"/>
        </w:rPr>
        <w:t>3. 特殊项目暂估价：编制最高投标限价、投标报价时，按招标工程量清单中列出的金额计列，</w:t>
      </w:r>
      <w:r>
        <w:rPr>
          <w:rFonts w:ascii="宋体" w:hAnsi="宋体" w:eastAsia="宋体" w:cs="宋体"/>
          <w:spacing w:val="9"/>
          <w:sz w:val="20"/>
          <w:szCs w:val="20"/>
        </w:rPr>
        <w:t>工程结算时，按发承包双方最终确认的价格计列。</w:t>
      </w:r>
    </w:p>
    <w:p>
      <w:pPr>
        <w:spacing w:before="157" w:line="296" w:lineRule="auto"/>
        <w:ind w:left="1" w:firstLine="411"/>
        <w:rPr>
          <w:rFonts w:ascii="宋体" w:hAnsi="宋体" w:eastAsia="宋体" w:cs="宋体"/>
          <w:sz w:val="20"/>
          <w:szCs w:val="20"/>
        </w:rPr>
      </w:pPr>
      <w:r>
        <w:rPr>
          <w:rFonts w:ascii="宋体" w:hAnsi="宋体" w:eastAsia="宋体" w:cs="宋体"/>
          <w:spacing w:val="7"/>
          <w:sz w:val="20"/>
          <w:szCs w:val="20"/>
        </w:rPr>
        <w:t>4. 专业工程暂估价、特殊项目暂估价采用增值税一般计税方法的建设工程应为不含税工程造价，</w:t>
      </w:r>
      <w:r>
        <w:rPr>
          <w:rFonts w:ascii="宋体" w:hAnsi="宋体" w:eastAsia="宋体" w:cs="宋体"/>
          <w:spacing w:val="9"/>
          <w:sz w:val="20"/>
          <w:szCs w:val="20"/>
        </w:rPr>
        <w:t>采用增值税简易计税方法的建设工程应为含税价格。</w:t>
      </w:r>
    </w:p>
    <w:p>
      <w:pPr>
        <w:spacing w:before="158" w:line="297" w:lineRule="auto"/>
        <w:ind w:left="41" w:right="169" w:firstLine="381"/>
        <w:rPr>
          <w:rFonts w:ascii="宋体" w:hAnsi="宋体" w:eastAsia="宋体" w:cs="宋体"/>
          <w:sz w:val="20"/>
          <w:szCs w:val="20"/>
        </w:rPr>
      </w:pPr>
      <w:r>
        <w:rPr>
          <w:rFonts w:ascii="宋体" w:hAnsi="宋体" w:eastAsia="宋体" w:cs="宋体"/>
          <w:spacing w:val="8"/>
          <w:sz w:val="20"/>
          <w:szCs w:val="20"/>
        </w:rPr>
        <w:t>5. 计日工：编制最高投标限价、投标报价时，按招标工程量清单中列出的项目和数量，承包方自主确定综合单价计列，工程结算时，按发包人实际签证确认的事项计算。</w:t>
      </w:r>
    </w:p>
    <w:p>
      <w:pPr>
        <w:spacing w:before="155" w:line="277" w:lineRule="exact"/>
        <w:ind w:left="423"/>
        <w:rPr>
          <w:rFonts w:ascii="宋体" w:hAnsi="宋体" w:eastAsia="宋体" w:cs="宋体"/>
          <w:sz w:val="20"/>
          <w:szCs w:val="20"/>
        </w:rPr>
      </w:pPr>
      <w:r>
        <w:rPr>
          <w:rFonts w:ascii="宋体" w:hAnsi="宋体" w:eastAsia="宋体" w:cs="宋体"/>
          <w:spacing w:val="7"/>
          <w:position w:val="1"/>
          <w:sz w:val="20"/>
          <w:szCs w:val="20"/>
        </w:rPr>
        <w:t>6. 采购保管费：是指承包人计取的甲供材料（设备）的保管费，按实计列。</w:t>
      </w:r>
    </w:p>
    <w:p>
      <w:pPr>
        <w:spacing w:before="107" w:line="277" w:lineRule="exact"/>
        <w:ind w:left="421"/>
        <w:rPr>
          <w:rFonts w:ascii="宋体" w:hAnsi="宋体" w:eastAsia="宋体" w:cs="宋体"/>
          <w:sz w:val="20"/>
          <w:szCs w:val="20"/>
        </w:rPr>
      </w:pPr>
      <w:r>
        <w:rPr>
          <w:rFonts w:ascii="宋体" w:hAnsi="宋体" w:eastAsia="宋体" w:cs="宋体"/>
          <w:spacing w:val="8"/>
          <w:position w:val="1"/>
          <w:sz w:val="20"/>
          <w:szCs w:val="20"/>
        </w:rPr>
        <w:t>7. 其他检验试验费：企业管理费中材料检</w:t>
      </w:r>
      <w:r>
        <w:rPr>
          <w:rFonts w:ascii="宋体" w:hAnsi="宋体" w:eastAsia="宋体" w:cs="宋体"/>
          <w:spacing w:val="7"/>
          <w:position w:val="1"/>
          <w:sz w:val="20"/>
          <w:szCs w:val="20"/>
        </w:rPr>
        <w:t>验试验费之外的费用，按实计列。</w:t>
      </w:r>
    </w:p>
    <w:p>
      <w:pPr>
        <w:spacing w:before="104" w:line="276" w:lineRule="exact"/>
        <w:ind w:left="425"/>
        <w:rPr>
          <w:rFonts w:ascii="宋体" w:hAnsi="宋体" w:eastAsia="宋体" w:cs="宋体"/>
          <w:sz w:val="20"/>
          <w:szCs w:val="20"/>
        </w:rPr>
      </w:pPr>
      <w:r>
        <w:rPr>
          <w:rFonts w:ascii="宋体" w:hAnsi="宋体" w:eastAsia="宋体" w:cs="宋体"/>
          <w:spacing w:val="7"/>
          <w:position w:val="1"/>
          <w:sz w:val="20"/>
          <w:szCs w:val="20"/>
        </w:rPr>
        <w:t>8. 总承包服务费：总承包服务费=发包人</w:t>
      </w:r>
      <w:r>
        <w:rPr>
          <w:rFonts w:ascii="宋体" w:hAnsi="宋体" w:eastAsia="宋体" w:cs="宋体"/>
          <w:spacing w:val="6"/>
          <w:position w:val="1"/>
          <w:sz w:val="20"/>
          <w:szCs w:val="20"/>
        </w:rPr>
        <w:t>发包的专业工程暂估价（不含设备费）</w:t>
      </w:r>
      <w:r>
        <w:rPr>
          <w:rFonts w:ascii="宋体" w:hAnsi="宋体" w:eastAsia="宋体" w:cs="宋体"/>
          <w:spacing w:val="-33"/>
          <w:position w:val="1"/>
          <w:sz w:val="20"/>
          <w:szCs w:val="20"/>
        </w:rPr>
        <w:t xml:space="preserve"> </w:t>
      </w:r>
      <w:r>
        <w:rPr>
          <w:rFonts w:ascii="宋体" w:hAnsi="宋体" w:eastAsia="宋体" w:cs="宋体"/>
          <w:spacing w:val="6"/>
          <w:position w:val="1"/>
          <w:sz w:val="20"/>
          <w:szCs w:val="20"/>
        </w:rPr>
        <w:t>×相应费率。</w:t>
      </w:r>
    </w:p>
    <w:p>
      <w:pPr>
        <w:spacing w:before="103" w:line="277" w:lineRule="exact"/>
        <w:ind w:left="422"/>
        <w:rPr>
          <w:rFonts w:ascii="宋体" w:hAnsi="宋体" w:eastAsia="宋体" w:cs="宋体"/>
          <w:sz w:val="20"/>
          <w:szCs w:val="20"/>
        </w:rPr>
      </w:pPr>
      <w:r>
        <w:rPr>
          <w:rFonts w:ascii="宋体" w:hAnsi="宋体" w:eastAsia="宋体" w:cs="宋体"/>
          <w:spacing w:val="8"/>
          <w:position w:val="1"/>
          <w:sz w:val="20"/>
          <w:szCs w:val="20"/>
        </w:rPr>
        <w:t>9. 其他：包括工期奖惩、安全奖惩、索赔与现场签证费用、价格调整</w:t>
      </w:r>
      <w:r>
        <w:rPr>
          <w:rFonts w:ascii="宋体" w:hAnsi="宋体" w:eastAsia="宋体" w:cs="宋体"/>
          <w:spacing w:val="7"/>
          <w:position w:val="1"/>
          <w:sz w:val="20"/>
          <w:szCs w:val="20"/>
        </w:rPr>
        <w:t>费用等按实计列。</w:t>
      </w:r>
    </w:p>
    <w:p>
      <w:pPr>
        <w:spacing w:before="103" w:line="278" w:lineRule="exact"/>
        <w:ind w:left="412"/>
        <w:rPr>
          <w:rFonts w:ascii="宋体" w:hAnsi="宋体" w:eastAsia="宋体" w:cs="宋体"/>
          <w:sz w:val="20"/>
          <w:szCs w:val="20"/>
        </w:rPr>
      </w:pPr>
      <w:r>
        <w:rPr>
          <w:rFonts w:ascii="宋体" w:hAnsi="宋体" w:eastAsia="宋体" w:cs="宋体"/>
          <w:b/>
          <w:bCs/>
          <w:spacing w:val="9"/>
          <w:position w:val="1"/>
          <w:sz w:val="20"/>
          <w:szCs w:val="20"/>
        </w:rPr>
        <w:t>（七）规费的计取</w:t>
      </w:r>
    </w:p>
    <w:p>
      <w:pPr>
        <w:spacing w:before="104" w:line="349" w:lineRule="auto"/>
        <w:ind w:left="1" w:right="169"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w:t>
      </w:r>
      <w:r>
        <w:rPr>
          <w:rFonts w:ascii="宋体" w:hAnsi="宋体" w:eastAsia="宋体" w:cs="宋体"/>
          <w:spacing w:val="12"/>
          <w:sz w:val="20"/>
          <w:szCs w:val="20"/>
        </w:rPr>
        <w:t>通知》（鲁建标字〔2022〕7</w:t>
      </w:r>
      <w:r>
        <w:rPr>
          <w:rFonts w:ascii="宋体" w:hAnsi="宋体" w:eastAsia="宋体" w:cs="宋体"/>
          <w:spacing w:val="11"/>
          <w:sz w:val="20"/>
          <w:szCs w:val="20"/>
        </w:rPr>
        <w:t>号）文件执行，其中安全文明施工费费率执行山东省住房和城乡建设厅《关</w:t>
      </w:r>
      <w:r>
        <w:rPr>
          <w:rFonts w:ascii="宋体" w:hAnsi="宋体" w:eastAsia="宋体" w:cs="宋体"/>
          <w:spacing w:val="10"/>
          <w:sz w:val="20"/>
          <w:szCs w:val="20"/>
        </w:rPr>
        <w:t>于调整建设工程安全施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5" w:line="278" w:lineRule="exact"/>
        <w:ind w:left="439"/>
        <w:rPr>
          <w:rFonts w:ascii="宋体" w:hAnsi="宋体" w:eastAsia="宋体" w:cs="宋体"/>
          <w:sz w:val="20"/>
          <w:szCs w:val="20"/>
        </w:rPr>
      </w:pPr>
      <w:r>
        <w:rPr>
          <w:rFonts w:ascii="宋体" w:hAnsi="宋体" w:eastAsia="宋体" w:cs="宋体"/>
          <w:position w:val="1"/>
          <w:sz w:val="20"/>
          <w:szCs w:val="20"/>
        </w:rPr>
        <w:t>1. 安全文明施工费</w:t>
      </w:r>
    </w:p>
    <w:p>
      <w:pPr>
        <w:spacing w:before="105"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37" w:line="277" w:lineRule="exact"/>
        <w:ind w:left="422"/>
        <w:rPr>
          <w:rFonts w:ascii="宋体" w:hAnsi="宋体" w:eastAsia="宋体" w:cs="宋体"/>
          <w:sz w:val="20"/>
          <w:szCs w:val="20"/>
        </w:rPr>
      </w:pPr>
      <w:r>
        <w:rPr>
          <w:rFonts w:ascii="宋体" w:hAnsi="宋体" w:eastAsia="宋体" w:cs="宋体"/>
          <w:position w:val="1"/>
          <w:sz w:val="20"/>
          <w:szCs w:val="20"/>
        </w:rPr>
        <w:t>2. 社会保险费</w:t>
      </w:r>
    </w:p>
    <w:p>
      <w:pPr>
        <w:spacing w:before="109"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37" w:line="277" w:lineRule="exact"/>
        <w:ind w:left="426"/>
        <w:rPr>
          <w:rFonts w:ascii="宋体" w:hAnsi="宋体" w:eastAsia="宋体" w:cs="宋体"/>
          <w:sz w:val="20"/>
          <w:szCs w:val="20"/>
        </w:rPr>
      </w:pPr>
      <w:r>
        <w:rPr>
          <w:rFonts w:ascii="宋体" w:hAnsi="宋体" w:eastAsia="宋体" w:cs="宋体"/>
          <w:spacing w:val="2"/>
          <w:position w:val="1"/>
          <w:sz w:val="20"/>
          <w:szCs w:val="20"/>
        </w:rPr>
        <w:t>3. 建设项目工伤保险</w:t>
      </w:r>
    </w:p>
    <w:p>
      <w:pPr>
        <w:spacing w:before="106" w:line="223" w:lineRule="auto"/>
        <w:ind w:left="426"/>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36" w:line="276" w:lineRule="exact"/>
        <w:ind w:left="419"/>
        <w:rPr>
          <w:rFonts w:ascii="宋体" w:hAnsi="宋体" w:eastAsia="宋体" w:cs="宋体"/>
          <w:sz w:val="20"/>
          <w:szCs w:val="20"/>
        </w:rPr>
      </w:pPr>
      <w:r>
        <w:rPr>
          <w:rFonts w:ascii="宋体" w:hAnsi="宋体" w:eastAsia="宋体" w:cs="宋体"/>
          <w:spacing w:val="1"/>
          <w:position w:val="1"/>
          <w:sz w:val="20"/>
          <w:szCs w:val="20"/>
        </w:rPr>
        <w:t>4. 优质优价费用</w:t>
      </w:r>
    </w:p>
    <w:p>
      <w:pPr>
        <w:spacing w:before="105" w:line="349" w:lineRule="auto"/>
        <w:ind w:left="1" w:right="169"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5"/>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5" w:line="278" w:lineRule="exact"/>
        <w:ind w:left="422"/>
        <w:rPr>
          <w:rFonts w:ascii="宋体" w:hAnsi="宋体" w:eastAsia="宋体" w:cs="宋体"/>
          <w:sz w:val="20"/>
          <w:szCs w:val="20"/>
        </w:rPr>
      </w:pPr>
      <w:r>
        <w:rPr>
          <w:rFonts w:ascii="宋体" w:hAnsi="宋体" w:eastAsia="宋体" w:cs="宋体"/>
          <w:position w:val="1"/>
          <w:sz w:val="20"/>
          <w:szCs w:val="20"/>
        </w:rPr>
        <w:t>5. 住房公积金</w:t>
      </w:r>
    </w:p>
    <w:p>
      <w:pPr>
        <w:spacing w:before="104" w:line="349" w:lineRule="auto"/>
        <w:ind w:left="1" w:right="167"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2" w:line="276" w:lineRule="exact"/>
        <w:ind w:left="412"/>
        <w:rPr>
          <w:rFonts w:ascii="宋体" w:hAnsi="宋体" w:eastAsia="宋体" w:cs="宋体"/>
          <w:sz w:val="20"/>
          <w:szCs w:val="20"/>
        </w:rPr>
      </w:pPr>
      <w:r>
        <w:rPr>
          <w:rFonts w:ascii="宋体" w:hAnsi="宋体" w:eastAsia="宋体" w:cs="宋体"/>
          <w:b/>
          <w:bCs/>
          <w:spacing w:val="8"/>
          <w:position w:val="1"/>
          <w:sz w:val="20"/>
          <w:szCs w:val="20"/>
        </w:rPr>
        <w:t>（八）建设工程工程量清单计价计算程序中：</w:t>
      </w:r>
    </w:p>
    <w:p>
      <w:pPr>
        <w:spacing w:before="105" w:line="276" w:lineRule="exact"/>
        <w:ind w:left="439"/>
        <w:rPr>
          <w:rFonts w:ascii="宋体" w:hAnsi="宋体" w:eastAsia="宋体" w:cs="宋体"/>
          <w:sz w:val="20"/>
          <w:szCs w:val="20"/>
        </w:rPr>
      </w:pPr>
      <w:r>
        <w:rPr>
          <w:rFonts w:ascii="宋体" w:hAnsi="宋体" w:eastAsia="宋体" w:cs="宋体"/>
          <w:spacing w:val="5"/>
          <w:position w:val="1"/>
          <w:sz w:val="20"/>
          <w:szCs w:val="20"/>
        </w:rPr>
        <w:t>1. “八工程费用合计”为承包人的工程总造价。</w:t>
      </w:r>
    </w:p>
    <w:p>
      <w:pPr>
        <w:spacing w:before="120" w:line="276" w:lineRule="exact"/>
        <w:ind w:left="422"/>
        <w:rPr>
          <w:rFonts w:ascii="宋体" w:hAnsi="宋体" w:eastAsia="宋体" w:cs="宋体"/>
          <w:sz w:val="20"/>
          <w:szCs w:val="20"/>
        </w:rPr>
      </w:pPr>
      <w:r>
        <w:rPr>
          <w:rFonts w:ascii="宋体" w:hAnsi="宋体" w:eastAsia="宋体" w:cs="宋体"/>
          <w:spacing w:val="7"/>
          <w:position w:val="1"/>
          <w:sz w:val="20"/>
          <w:szCs w:val="20"/>
        </w:rPr>
        <w:t>2. 发包人的工程总造价=八+甲供材料费+甲供设备费+3.2（发包人发包的专业工程暂估价）</w:t>
      </w:r>
    </w:p>
    <w:p>
      <w:pPr>
        <w:spacing w:line="276" w:lineRule="exact"/>
        <w:rPr>
          <w:rFonts w:ascii="宋体" w:hAnsi="宋体" w:eastAsia="宋体" w:cs="宋体"/>
          <w:sz w:val="20"/>
          <w:szCs w:val="20"/>
        </w:rPr>
        <w:sectPr>
          <w:footerReference r:id="rId38" w:type="default"/>
          <w:pgSz w:w="11905" w:h="16840"/>
          <w:pgMar w:top="1431" w:right="1249" w:bottom="1213" w:left="1418" w:header="0" w:footer="898" w:gutter="0"/>
        </w:sectPr>
      </w:pPr>
    </w:p>
    <w:p>
      <w:pPr>
        <w:spacing w:before="211" w:line="212" w:lineRule="auto"/>
        <w:ind w:left="1376"/>
        <w:outlineLvl w:val="1"/>
        <w:rPr>
          <w:rFonts w:ascii="宋体" w:hAnsi="宋体" w:eastAsia="宋体" w:cs="宋体"/>
          <w:sz w:val="30"/>
          <w:szCs w:val="30"/>
        </w:rPr>
      </w:pPr>
      <w:bookmarkStart w:id="26" w:name="bookmark19"/>
      <w:bookmarkEnd w:id="26"/>
      <w:bookmarkStart w:id="27" w:name="bookmark18"/>
      <w:bookmarkEnd w:id="27"/>
      <w:r>
        <w:rPr>
          <w:rFonts w:ascii="宋体" w:hAnsi="宋体" w:eastAsia="宋体" w:cs="宋体"/>
          <w:b/>
          <w:bCs/>
          <w:spacing w:val="-2"/>
          <w:sz w:val="30"/>
          <w:szCs w:val="30"/>
        </w:rPr>
        <w:t>第三节</w:t>
      </w:r>
      <w:r>
        <w:rPr>
          <w:rFonts w:ascii="宋体" w:hAnsi="宋体" w:eastAsia="宋体" w:cs="宋体"/>
          <w:spacing w:val="-2"/>
          <w:sz w:val="30"/>
          <w:szCs w:val="30"/>
        </w:rPr>
        <w:t xml:space="preserve">  </w:t>
      </w:r>
      <w:r>
        <w:rPr>
          <w:rFonts w:ascii="宋体" w:hAnsi="宋体" w:eastAsia="宋体" w:cs="宋体"/>
          <w:b/>
          <w:bCs/>
          <w:spacing w:val="-2"/>
          <w:sz w:val="30"/>
          <w:szCs w:val="30"/>
        </w:rPr>
        <w:t>建设工程工程量清单计价有关问</w:t>
      </w:r>
      <w:r>
        <w:rPr>
          <w:rFonts w:ascii="宋体" w:hAnsi="宋体" w:eastAsia="宋体" w:cs="宋体"/>
          <w:b/>
          <w:bCs/>
          <w:spacing w:val="-3"/>
          <w:sz w:val="30"/>
          <w:szCs w:val="30"/>
        </w:rPr>
        <w:t>题说明</w:t>
      </w:r>
    </w:p>
    <w:p>
      <w:pPr>
        <w:spacing w:line="245" w:lineRule="auto"/>
        <w:rPr>
          <w:rFonts w:ascii="Arial"/>
          <w:sz w:val="21"/>
        </w:rPr>
      </w:pPr>
    </w:p>
    <w:p>
      <w:pPr>
        <w:spacing w:before="65" w:line="369" w:lineRule="auto"/>
        <w:ind w:firstLine="413"/>
        <w:jc w:val="both"/>
        <w:rPr>
          <w:rFonts w:ascii="宋体" w:hAnsi="宋体" w:eastAsia="宋体" w:cs="宋体"/>
          <w:sz w:val="20"/>
          <w:szCs w:val="20"/>
        </w:rPr>
      </w:pPr>
      <w:r>
        <w:rPr>
          <w:rFonts w:ascii="宋体" w:hAnsi="宋体" w:eastAsia="宋体" w:cs="宋体"/>
          <w:spacing w:val="8"/>
          <w:sz w:val="20"/>
          <w:szCs w:val="20"/>
        </w:rPr>
        <w:t>（一）《建设工程工程量清单计价规范》</w:t>
      </w:r>
      <w:r>
        <w:rPr>
          <w:rFonts w:ascii="宋体" w:hAnsi="宋体" w:eastAsia="宋体" w:cs="宋体"/>
          <w:sz w:val="20"/>
          <w:szCs w:val="20"/>
        </w:rPr>
        <w:t>GB</w:t>
      </w:r>
      <w:r>
        <w:rPr>
          <w:rFonts w:ascii="宋体" w:hAnsi="宋体" w:eastAsia="宋体" w:cs="宋体"/>
          <w:spacing w:val="8"/>
          <w:sz w:val="20"/>
          <w:szCs w:val="20"/>
        </w:rPr>
        <w:t>50500-2013</w:t>
      </w:r>
      <w:r>
        <w:rPr>
          <w:rFonts w:ascii="宋体" w:hAnsi="宋体" w:eastAsia="宋体" w:cs="宋体"/>
          <w:spacing w:val="-7"/>
          <w:sz w:val="20"/>
          <w:szCs w:val="20"/>
        </w:rPr>
        <w:t xml:space="preserve"> </w:t>
      </w:r>
      <w:r>
        <w:rPr>
          <w:rFonts w:ascii="宋体" w:hAnsi="宋体" w:eastAsia="宋体" w:cs="宋体"/>
          <w:spacing w:val="8"/>
          <w:sz w:val="20"/>
          <w:szCs w:val="20"/>
        </w:rPr>
        <w:t>以及《房屋建筑与装饰工程工程量计算</w:t>
      </w:r>
      <w:r>
        <w:rPr>
          <w:rFonts w:ascii="宋体" w:hAnsi="宋体" w:eastAsia="宋体" w:cs="宋体"/>
          <w:spacing w:val="9"/>
          <w:sz w:val="20"/>
          <w:szCs w:val="20"/>
        </w:rPr>
        <w:t>规范》</w:t>
      </w:r>
      <w:r>
        <w:rPr>
          <w:rFonts w:ascii="宋体" w:hAnsi="宋体" w:eastAsia="宋体" w:cs="宋体"/>
          <w:sz w:val="20"/>
          <w:szCs w:val="20"/>
        </w:rPr>
        <w:t>GB</w:t>
      </w:r>
      <w:r>
        <w:rPr>
          <w:rFonts w:ascii="宋体" w:hAnsi="宋体" w:eastAsia="宋体" w:cs="宋体"/>
          <w:spacing w:val="9"/>
          <w:sz w:val="20"/>
          <w:szCs w:val="20"/>
        </w:rPr>
        <w:t>50854-2013、《仿古建筑工程工程量计算规范》</w:t>
      </w:r>
      <w:r>
        <w:rPr>
          <w:rFonts w:ascii="宋体" w:hAnsi="宋体" w:eastAsia="宋体" w:cs="宋体"/>
          <w:sz w:val="20"/>
          <w:szCs w:val="20"/>
        </w:rPr>
        <w:t>GB</w:t>
      </w:r>
      <w:r>
        <w:rPr>
          <w:rFonts w:ascii="宋体" w:hAnsi="宋体" w:eastAsia="宋体" w:cs="宋体"/>
          <w:spacing w:val="9"/>
          <w:sz w:val="20"/>
          <w:szCs w:val="20"/>
        </w:rPr>
        <w:t>50855-2013、《通用安装工程工程量计算规范》</w:t>
      </w:r>
      <w:r>
        <w:rPr>
          <w:rFonts w:ascii="宋体" w:hAnsi="宋体" w:eastAsia="宋体" w:cs="宋体"/>
          <w:sz w:val="20"/>
          <w:szCs w:val="20"/>
        </w:rPr>
        <w:t>GB</w:t>
      </w:r>
      <w:r>
        <w:rPr>
          <w:rFonts w:ascii="宋体" w:hAnsi="宋体" w:eastAsia="宋体" w:cs="宋体"/>
          <w:spacing w:val="9"/>
          <w:sz w:val="20"/>
          <w:szCs w:val="20"/>
        </w:rPr>
        <w:t>50856-2013、《市政工程工程量计算规范》</w:t>
      </w:r>
      <w:r>
        <w:rPr>
          <w:rFonts w:ascii="宋体" w:hAnsi="宋体" w:eastAsia="宋体" w:cs="宋体"/>
          <w:sz w:val="20"/>
          <w:szCs w:val="20"/>
        </w:rPr>
        <w:t>GB</w:t>
      </w:r>
      <w:r>
        <w:rPr>
          <w:rFonts w:ascii="宋体" w:hAnsi="宋体" w:eastAsia="宋体" w:cs="宋体"/>
          <w:spacing w:val="9"/>
          <w:sz w:val="20"/>
          <w:szCs w:val="20"/>
        </w:rPr>
        <w:t>50857-2013、《园林绿化工程工程量计算</w:t>
      </w:r>
      <w:r>
        <w:rPr>
          <w:rFonts w:ascii="宋体" w:hAnsi="宋体" w:eastAsia="宋体" w:cs="宋体"/>
          <w:spacing w:val="8"/>
          <w:sz w:val="20"/>
          <w:szCs w:val="20"/>
        </w:rPr>
        <w:t>规范》</w:t>
      </w:r>
      <w:r>
        <w:rPr>
          <w:rFonts w:ascii="宋体" w:hAnsi="宋体" w:eastAsia="宋体" w:cs="宋体"/>
          <w:sz w:val="20"/>
          <w:szCs w:val="20"/>
        </w:rPr>
        <w:t>GB</w:t>
      </w:r>
      <w:r>
        <w:rPr>
          <w:rFonts w:ascii="宋体" w:hAnsi="宋体" w:eastAsia="宋体" w:cs="宋体"/>
          <w:spacing w:val="8"/>
          <w:sz w:val="20"/>
          <w:szCs w:val="20"/>
        </w:rPr>
        <w:t>50858-2013、《构筑物工程</w:t>
      </w:r>
      <w:r>
        <w:rPr>
          <w:rFonts w:ascii="宋体" w:hAnsi="宋体" w:eastAsia="宋体" w:cs="宋体"/>
          <w:spacing w:val="7"/>
          <w:sz w:val="20"/>
          <w:szCs w:val="20"/>
        </w:rPr>
        <w:t>工程量计算规范》</w:t>
      </w:r>
      <w:r>
        <w:rPr>
          <w:rFonts w:ascii="宋体" w:hAnsi="宋体" w:eastAsia="宋体" w:cs="宋体"/>
          <w:sz w:val="20"/>
          <w:szCs w:val="20"/>
        </w:rPr>
        <w:t>GB</w:t>
      </w:r>
      <w:r>
        <w:rPr>
          <w:rFonts w:ascii="宋体" w:hAnsi="宋体" w:eastAsia="宋体" w:cs="宋体"/>
          <w:spacing w:val="7"/>
          <w:sz w:val="20"/>
          <w:szCs w:val="20"/>
        </w:rPr>
        <w:t>50860-2013、《爆破工程工程量计算规范》</w:t>
      </w:r>
      <w:r>
        <w:rPr>
          <w:rFonts w:ascii="宋体" w:hAnsi="宋体" w:eastAsia="宋体" w:cs="宋体"/>
          <w:sz w:val="20"/>
          <w:szCs w:val="20"/>
        </w:rPr>
        <w:t xml:space="preserve"> GB</w:t>
      </w:r>
      <w:r>
        <w:rPr>
          <w:rFonts w:ascii="宋体" w:hAnsi="宋体" w:eastAsia="宋体" w:cs="宋体"/>
          <w:spacing w:val="4"/>
          <w:sz w:val="20"/>
          <w:szCs w:val="20"/>
        </w:rPr>
        <w:t>50862-2013</w:t>
      </w:r>
      <w:r>
        <w:rPr>
          <w:rFonts w:ascii="宋体" w:hAnsi="宋体" w:eastAsia="宋体" w:cs="宋体"/>
          <w:spacing w:val="-35"/>
          <w:sz w:val="20"/>
          <w:szCs w:val="20"/>
        </w:rPr>
        <w:t xml:space="preserve"> </w:t>
      </w:r>
      <w:r>
        <w:rPr>
          <w:rFonts w:ascii="宋体" w:hAnsi="宋体" w:eastAsia="宋体" w:cs="宋体"/>
          <w:spacing w:val="4"/>
          <w:sz w:val="20"/>
          <w:szCs w:val="20"/>
        </w:rPr>
        <w:t>为国家标准，由住房城乡建设部发布第</w:t>
      </w:r>
      <w:r>
        <w:rPr>
          <w:rFonts w:ascii="宋体" w:hAnsi="宋体" w:eastAsia="宋体" w:cs="宋体"/>
          <w:spacing w:val="-25"/>
          <w:sz w:val="20"/>
          <w:szCs w:val="20"/>
        </w:rPr>
        <w:t xml:space="preserve"> </w:t>
      </w:r>
      <w:r>
        <w:rPr>
          <w:rFonts w:ascii="宋体" w:hAnsi="宋体" w:eastAsia="宋体" w:cs="宋体"/>
          <w:spacing w:val="4"/>
          <w:sz w:val="20"/>
          <w:szCs w:val="20"/>
        </w:rPr>
        <w:t>1567、1568、1571、1569、1576、1575、1</w:t>
      </w:r>
      <w:r>
        <w:rPr>
          <w:rFonts w:ascii="宋体" w:hAnsi="宋体" w:eastAsia="宋体" w:cs="宋体"/>
          <w:spacing w:val="3"/>
          <w:sz w:val="20"/>
          <w:szCs w:val="20"/>
        </w:rPr>
        <w:t>572、</w:t>
      </w:r>
      <w:r>
        <w:rPr>
          <w:rFonts w:ascii="宋体" w:hAnsi="宋体" w:eastAsia="宋体" w:cs="宋体"/>
          <w:sz w:val="20"/>
          <w:szCs w:val="20"/>
        </w:rPr>
        <w:t xml:space="preserve"> </w:t>
      </w:r>
      <w:r>
        <w:rPr>
          <w:rFonts w:ascii="宋体" w:hAnsi="宋体" w:eastAsia="宋体" w:cs="宋体"/>
          <w:spacing w:val="1"/>
          <w:sz w:val="20"/>
          <w:szCs w:val="20"/>
        </w:rPr>
        <w:t>1574</w:t>
      </w:r>
      <w:r>
        <w:rPr>
          <w:rFonts w:ascii="宋体" w:hAnsi="宋体" w:eastAsia="宋体" w:cs="宋体"/>
          <w:spacing w:val="-25"/>
          <w:sz w:val="20"/>
          <w:szCs w:val="20"/>
        </w:rPr>
        <w:t xml:space="preserve"> </w:t>
      </w:r>
      <w:r>
        <w:rPr>
          <w:rFonts w:ascii="宋体" w:hAnsi="宋体" w:eastAsia="宋体" w:cs="宋体"/>
          <w:spacing w:val="1"/>
          <w:sz w:val="20"/>
          <w:szCs w:val="20"/>
        </w:rPr>
        <w:t>号公告，2013</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44"/>
          <w:sz w:val="20"/>
          <w:szCs w:val="20"/>
        </w:rPr>
        <w:t xml:space="preserve"> </w:t>
      </w:r>
      <w:r>
        <w:rPr>
          <w:rFonts w:ascii="宋体" w:hAnsi="宋体" w:eastAsia="宋体" w:cs="宋体"/>
          <w:spacing w:val="1"/>
          <w:sz w:val="20"/>
          <w:szCs w:val="20"/>
        </w:rPr>
        <w:t>7</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24"/>
          <w:sz w:val="20"/>
          <w:szCs w:val="20"/>
        </w:rPr>
        <w:t xml:space="preserve"> </w:t>
      </w:r>
      <w:r>
        <w:rPr>
          <w:rFonts w:ascii="宋体" w:hAnsi="宋体" w:eastAsia="宋体" w:cs="宋体"/>
          <w:spacing w:val="1"/>
          <w:sz w:val="20"/>
          <w:szCs w:val="20"/>
        </w:rPr>
        <w:t>1 日起实施。</w:t>
      </w:r>
    </w:p>
    <w:p>
      <w:pPr>
        <w:spacing w:before="2" w:line="369" w:lineRule="auto"/>
        <w:ind w:right="87" w:firstLine="420"/>
        <w:jc w:val="both"/>
        <w:rPr>
          <w:rFonts w:ascii="宋体" w:hAnsi="宋体" w:eastAsia="宋体" w:cs="宋体"/>
          <w:sz w:val="20"/>
          <w:szCs w:val="20"/>
        </w:rPr>
      </w:pPr>
      <w:r>
        <w:rPr>
          <w:rFonts w:ascii="宋体" w:hAnsi="宋体" w:eastAsia="宋体" w:cs="宋体"/>
          <w:spacing w:val="9"/>
          <w:sz w:val="20"/>
          <w:szCs w:val="20"/>
        </w:rPr>
        <w:t>建筑、装饰工程清单计价时，执行《房屋建筑与装饰工程工程量计算规范》</w:t>
      </w:r>
      <w:r>
        <w:rPr>
          <w:rFonts w:ascii="宋体" w:hAnsi="宋体" w:eastAsia="宋体" w:cs="宋体"/>
          <w:sz w:val="20"/>
          <w:szCs w:val="20"/>
        </w:rPr>
        <w:t>GB</w:t>
      </w:r>
      <w:r>
        <w:rPr>
          <w:rFonts w:ascii="宋体" w:hAnsi="宋体" w:eastAsia="宋体" w:cs="宋体"/>
          <w:spacing w:val="9"/>
          <w:sz w:val="20"/>
          <w:szCs w:val="20"/>
        </w:rPr>
        <w:t>50854-</w:t>
      </w:r>
      <w:r>
        <w:rPr>
          <w:rFonts w:ascii="宋体" w:hAnsi="宋体" w:eastAsia="宋体" w:cs="宋体"/>
          <w:spacing w:val="8"/>
          <w:sz w:val="20"/>
          <w:szCs w:val="20"/>
        </w:rPr>
        <w:t>2013</w:t>
      </w:r>
      <w:r>
        <w:rPr>
          <w:rFonts w:ascii="宋体" w:hAnsi="宋体" w:eastAsia="宋体" w:cs="宋体"/>
          <w:spacing w:val="-24"/>
          <w:sz w:val="20"/>
          <w:szCs w:val="20"/>
        </w:rPr>
        <w:t xml:space="preserve"> </w:t>
      </w:r>
      <w:r>
        <w:rPr>
          <w:rFonts w:ascii="宋体" w:hAnsi="宋体" w:eastAsia="宋体" w:cs="宋体"/>
          <w:spacing w:val="8"/>
          <w:sz w:val="20"/>
          <w:szCs w:val="20"/>
        </w:rPr>
        <w:t>的，</w:t>
      </w:r>
      <w:r>
        <w:rPr>
          <w:rFonts w:ascii="宋体" w:hAnsi="宋体" w:eastAsia="宋体" w:cs="宋体"/>
          <w:spacing w:val="9"/>
          <w:sz w:val="20"/>
          <w:szCs w:val="20"/>
        </w:rPr>
        <w:t>使用《山东省建筑工程消耗量定额》（</w:t>
      </w:r>
      <w:r>
        <w:rPr>
          <w:rFonts w:ascii="宋体" w:hAnsi="宋体" w:eastAsia="宋体" w:cs="宋体"/>
          <w:sz w:val="20"/>
          <w:szCs w:val="20"/>
        </w:rPr>
        <w:t>SD</w:t>
      </w:r>
      <w:r>
        <w:rPr>
          <w:rFonts w:ascii="宋体" w:hAnsi="宋体" w:eastAsia="宋体" w:cs="宋体"/>
          <w:spacing w:val="-42"/>
          <w:sz w:val="20"/>
          <w:szCs w:val="20"/>
        </w:rPr>
        <w:t xml:space="preserve"> </w:t>
      </w:r>
      <w:r>
        <w:rPr>
          <w:rFonts w:ascii="宋体" w:hAnsi="宋体" w:eastAsia="宋体" w:cs="宋体"/>
          <w:spacing w:val="9"/>
          <w:sz w:val="20"/>
          <w:szCs w:val="20"/>
        </w:rPr>
        <w:t>01-31-2016）组价时</w:t>
      </w:r>
      <w:r>
        <w:rPr>
          <w:rFonts w:ascii="宋体" w:hAnsi="宋体" w:eastAsia="宋体" w:cs="宋体"/>
          <w:spacing w:val="8"/>
          <w:sz w:val="20"/>
          <w:szCs w:val="20"/>
        </w:rPr>
        <w:t>，执行《山东省建设工程消耗量定额</w:t>
      </w:r>
      <w:r>
        <w:rPr>
          <w:rFonts w:ascii="宋体" w:hAnsi="宋体" w:eastAsia="宋体" w:cs="宋体"/>
          <w:spacing w:val="7"/>
          <w:sz w:val="20"/>
          <w:szCs w:val="20"/>
        </w:rPr>
        <w:t>与工程量清单衔接对照表（建筑工程专业）</w:t>
      </w:r>
      <w:r>
        <w:rPr>
          <w:rFonts w:ascii="宋体" w:hAnsi="宋体" w:eastAsia="宋体" w:cs="宋体"/>
          <w:spacing w:val="-55"/>
          <w:sz w:val="20"/>
          <w:szCs w:val="20"/>
        </w:rPr>
        <w:t xml:space="preserve"> </w:t>
      </w:r>
      <w:r>
        <w:rPr>
          <w:rFonts w:ascii="宋体" w:hAnsi="宋体" w:eastAsia="宋体" w:cs="宋体"/>
          <w:spacing w:val="7"/>
          <w:sz w:val="20"/>
          <w:szCs w:val="20"/>
        </w:rPr>
        <w:t>》（鲁建标字〔2017〕</w:t>
      </w:r>
      <w:r>
        <w:rPr>
          <w:rFonts w:ascii="宋体" w:hAnsi="宋体" w:eastAsia="宋体" w:cs="宋体"/>
          <w:spacing w:val="6"/>
          <w:sz w:val="20"/>
          <w:szCs w:val="20"/>
        </w:rPr>
        <w:t>20</w:t>
      </w:r>
      <w:r>
        <w:rPr>
          <w:rFonts w:ascii="宋体" w:hAnsi="宋体" w:eastAsia="宋体" w:cs="宋体"/>
          <w:spacing w:val="-40"/>
          <w:sz w:val="20"/>
          <w:szCs w:val="20"/>
        </w:rPr>
        <w:t xml:space="preserve"> </w:t>
      </w:r>
      <w:r>
        <w:rPr>
          <w:rFonts w:ascii="宋体" w:hAnsi="宋体" w:eastAsia="宋体" w:cs="宋体"/>
          <w:spacing w:val="6"/>
          <w:sz w:val="20"/>
          <w:szCs w:val="20"/>
        </w:rPr>
        <w:t>号）。</w:t>
      </w:r>
    </w:p>
    <w:p>
      <w:pPr>
        <w:spacing w:line="369" w:lineRule="auto"/>
        <w:ind w:right="118" w:firstLine="421"/>
        <w:jc w:val="both"/>
        <w:rPr>
          <w:rFonts w:ascii="宋体" w:hAnsi="宋体" w:eastAsia="宋体" w:cs="宋体"/>
          <w:sz w:val="20"/>
          <w:szCs w:val="20"/>
        </w:rPr>
      </w:pPr>
      <w:r>
        <w:rPr>
          <w:rFonts w:ascii="宋体" w:hAnsi="宋体" w:eastAsia="宋体" w:cs="宋体"/>
          <w:spacing w:val="8"/>
          <w:sz w:val="20"/>
          <w:szCs w:val="20"/>
        </w:rPr>
        <w:t>安装工程清单计价时，执行《安装工程工程量计算规范》</w:t>
      </w:r>
      <w:r>
        <w:rPr>
          <w:rFonts w:ascii="宋体" w:hAnsi="宋体" w:eastAsia="宋体" w:cs="宋体"/>
          <w:sz w:val="20"/>
          <w:szCs w:val="20"/>
        </w:rPr>
        <w:t>GB</w:t>
      </w:r>
      <w:r>
        <w:rPr>
          <w:rFonts w:ascii="宋体" w:hAnsi="宋体" w:eastAsia="宋体" w:cs="宋体"/>
          <w:spacing w:val="8"/>
          <w:sz w:val="20"/>
          <w:szCs w:val="20"/>
        </w:rPr>
        <w:t>50856-2013</w:t>
      </w:r>
      <w:r>
        <w:rPr>
          <w:rFonts w:ascii="宋体" w:hAnsi="宋体" w:eastAsia="宋体" w:cs="宋体"/>
          <w:spacing w:val="-17"/>
          <w:sz w:val="20"/>
          <w:szCs w:val="20"/>
        </w:rPr>
        <w:t xml:space="preserve"> </w:t>
      </w:r>
      <w:r>
        <w:rPr>
          <w:rFonts w:ascii="宋体" w:hAnsi="宋体" w:eastAsia="宋体" w:cs="宋体"/>
          <w:spacing w:val="8"/>
          <w:sz w:val="20"/>
          <w:szCs w:val="20"/>
        </w:rPr>
        <w:t>的，使用《山东省安装</w:t>
      </w:r>
      <w:r>
        <w:rPr>
          <w:rFonts w:ascii="宋体" w:hAnsi="宋体" w:eastAsia="宋体" w:cs="宋体"/>
          <w:spacing w:val="9"/>
          <w:sz w:val="20"/>
          <w:szCs w:val="20"/>
        </w:rPr>
        <w:t>工程消耗量定额》（</w:t>
      </w:r>
      <w:r>
        <w:rPr>
          <w:rFonts w:ascii="宋体" w:hAnsi="宋体" w:eastAsia="宋体" w:cs="宋体"/>
          <w:sz w:val="20"/>
          <w:szCs w:val="20"/>
        </w:rPr>
        <w:t>SD</w:t>
      </w:r>
      <w:r>
        <w:rPr>
          <w:rFonts w:ascii="宋体" w:hAnsi="宋体" w:eastAsia="宋体" w:cs="宋体"/>
          <w:spacing w:val="-42"/>
          <w:sz w:val="20"/>
          <w:szCs w:val="20"/>
        </w:rPr>
        <w:t xml:space="preserve"> </w:t>
      </w:r>
      <w:r>
        <w:rPr>
          <w:rFonts w:ascii="宋体" w:hAnsi="宋体" w:eastAsia="宋体" w:cs="宋体"/>
          <w:spacing w:val="9"/>
          <w:sz w:val="20"/>
          <w:szCs w:val="20"/>
        </w:rPr>
        <w:t>02-31-2016）组价时，执行《山东省建</w:t>
      </w:r>
      <w:r>
        <w:rPr>
          <w:rFonts w:ascii="宋体" w:hAnsi="宋体" w:eastAsia="宋体" w:cs="宋体"/>
          <w:spacing w:val="8"/>
          <w:sz w:val="20"/>
          <w:szCs w:val="20"/>
        </w:rPr>
        <w:t>设工程消耗量定额与工程量清单衔接</w:t>
      </w:r>
      <w:r>
        <w:rPr>
          <w:rFonts w:ascii="宋体" w:hAnsi="宋体" w:eastAsia="宋体" w:cs="宋体"/>
          <w:spacing w:val="6"/>
          <w:sz w:val="20"/>
          <w:szCs w:val="20"/>
        </w:rPr>
        <w:t>对照表（安装工程专业）</w:t>
      </w:r>
      <w:r>
        <w:rPr>
          <w:rFonts w:ascii="宋体" w:hAnsi="宋体" w:eastAsia="宋体" w:cs="宋体"/>
          <w:spacing w:val="-55"/>
          <w:sz w:val="20"/>
          <w:szCs w:val="20"/>
        </w:rPr>
        <w:t xml:space="preserve"> </w:t>
      </w:r>
      <w:r>
        <w:rPr>
          <w:rFonts w:ascii="宋体" w:hAnsi="宋体" w:eastAsia="宋体" w:cs="宋体"/>
          <w:spacing w:val="6"/>
          <w:sz w:val="20"/>
          <w:szCs w:val="20"/>
        </w:rPr>
        <w:t>》（鲁建标字（2017）20</w:t>
      </w:r>
      <w:r>
        <w:rPr>
          <w:rFonts w:ascii="宋体" w:hAnsi="宋体" w:eastAsia="宋体" w:cs="宋体"/>
          <w:spacing w:val="-40"/>
          <w:sz w:val="20"/>
          <w:szCs w:val="20"/>
        </w:rPr>
        <w:t xml:space="preserve"> </w:t>
      </w:r>
      <w:r>
        <w:rPr>
          <w:rFonts w:ascii="宋体" w:hAnsi="宋体" w:eastAsia="宋体" w:cs="宋体"/>
          <w:spacing w:val="6"/>
          <w:sz w:val="20"/>
          <w:szCs w:val="20"/>
        </w:rPr>
        <w:t>号）。</w:t>
      </w:r>
    </w:p>
    <w:p>
      <w:pPr>
        <w:spacing w:line="369" w:lineRule="auto"/>
        <w:ind w:right="118" w:firstLine="422"/>
        <w:jc w:val="both"/>
        <w:rPr>
          <w:rFonts w:ascii="宋体" w:hAnsi="宋体" w:eastAsia="宋体" w:cs="宋体"/>
          <w:sz w:val="20"/>
          <w:szCs w:val="20"/>
        </w:rPr>
      </w:pPr>
      <w:r>
        <w:rPr>
          <w:rFonts w:ascii="宋体" w:hAnsi="宋体" w:eastAsia="宋体" w:cs="宋体"/>
          <w:spacing w:val="8"/>
          <w:sz w:val="20"/>
          <w:szCs w:val="20"/>
        </w:rPr>
        <w:t>市政工程清单计价时，执行《市政工程工程量计算规范》</w:t>
      </w:r>
      <w:r>
        <w:rPr>
          <w:rFonts w:ascii="宋体" w:hAnsi="宋体" w:eastAsia="宋体" w:cs="宋体"/>
          <w:sz w:val="20"/>
          <w:szCs w:val="20"/>
        </w:rPr>
        <w:t>GB</w:t>
      </w:r>
      <w:r>
        <w:rPr>
          <w:rFonts w:ascii="宋体" w:hAnsi="宋体" w:eastAsia="宋体" w:cs="宋体"/>
          <w:spacing w:val="8"/>
          <w:sz w:val="20"/>
          <w:szCs w:val="20"/>
        </w:rPr>
        <w:t>50857-2013</w:t>
      </w:r>
      <w:r>
        <w:rPr>
          <w:rFonts w:ascii="宋体" w:hAnsi="宋体" w:eastAsia="宋体" w:cs="宋体"/>
          <w:spacing w:val="-17"/>
          <w:sz w:val="20"/>
          <w:szCs w:val="20"/>
        </w:rPr>
        <w:t xml:space="preserve"> </w:t>
      </w:r>
      <w:r>
        <w:rPr>
          <w:rFonts w:ascii="宋体" w:hAnsi="宋体" w:eastAsia="宋体" w:cs="宋体"/>
          <w:spacing w:val="8"/>
          <w:sz w:val="20"/>
          <w:szCs w:val="20"/>
        </w:rPr>
        <w:t>的，使用《山东省市政</w:t>
      </w:r>
      <w:r>
        <w:rPr>
          <w:rFonts w:ascii="宋体" w:hAnsi="宋体" w:eastAsia="宋体" w:cs="宋体"/>
          <w:spacing w:val="9"/>
          <w:sz w:val="20"/>
          <w:szCs w:val="20"/>
        </w:rPr>
        <w:t>工程消耗量定额》（</w:t>
      </w:r>
      <w:r>
        <w:rPr>
          <w:rFonts w:ascii="宋体" w:hAnsi="宋体" w:eastAsia="宋体" w:cs="宋体"/>
          <w:sz w:val="20"/>
          <w:szCs w:val="20"/>
        </w:rPr>
        <w:t>SDA</w:t>
      </w:r>
      <w:r>
        <w:rPr>
          <w:rFonts w:ascii="宋体" w:hAnsi="宋体" w:eastAsia="宋体" w:cs="宋体"/>
          <w:spacing w:val="-24"/>
          <w:sz w:val="20"/>
          <w:szCs w:val="20"/>
        </w:rPr>
        <w:t xml:space="preserve"> </w:t>
      </w:r>
      <w:r>
        <w:rPr>
          <w:rFonts w:ascii="宋体" w:hAnsi="宋体" w:eastAsia="宋体" w:cs="宋体"/>
          <w:spacing w:val="9"/>
          <w:sz w:val="20"/>
          <w:szCs w:val="20"/>
        </w:rPr>
        <w:t>1-31-2016）组价</w:t>
      </w:r>
      <w:r>
        <w:rPr>
          <w:rFonts w:ascii="宋体" w:hAnsi="宋体" w:eastAsia="宋体" w:cs="宋体"/>
          <w:spacing w:val="8"/>
          <w:sz w:val="20"/>
          <w:szCs w:val="20"/>
        </w:rPr>
        <w:t>时，执行《山东省建设工程消耗量定额与工程量清单衔接对照表（市政工程专业）</w:t>
      </w:r>
      <w:r>
        <w:rPr>
          <w:rFonts w:ascii="宋体" w:hAnsi="宋体" w:eastAsia="宋体" w:cs="宋体"/>
          <w:spacing w:val="-53"/>
          <w:sz w:val="20"/>
          <w:szCs w:val="20"/>
        </w:rPr>
        <w:t xml:space="preserve"> </w:t>
      </w:r>
      <w:r>
        <w:rPr>
          <w:rFonts w:ascii="宋体" w:hAnsi="宋体" w:eastAsia="宋体" w:cs="宋体"/>
          <w:spacing w:val="8"/>
          <w:sz w:val="20"/>
          <w:szCs w:val="20"/>
        </w:rPr>
        <w:t>》（鲁建标字〔2017〕20</w:t>
      </w:r>
      <w:r>
        <w:rPr>
          <w:rFonts w:ascii="宋体" w:hAnsi="宋体" w:eastAsia="宋体" w:cs="宋体"/>
          <w:spacing w:val="-42"/>
          <w:sz w:val="20"/>
          <w:szCs w:val="20"/>
        </w:rPr>
        <w:t xml:space="preserve"> </w:t>
      </w:r>
      <w:r>
        <w:rPr>
          <w:rFonts w:ascii="宋体" w:hAnsi="宋体" w:eastAsia="宋体" w:cs="宋体"/>
          <w:spacing w:val="8"/>
          <w:sz w:val="20"/>
          <w:szCs w:val="20"/>
        </w:rPr>
        <w:t>号</w:t>
      </w:r>
      <w:r>
        <w:rPr>
          <w:rFonts w:ascii="宋体" w:hAnsi="宋体" w:eastAsia="宋体" w:cs="宋体"/>
          <w:spacing w:val="-12"/>
          <w:sz w:val="20"/>
          <w:szCs w:val="20"/>
        </w:rPr>
        <w:t>）</w:t>
      </w:r>
      <w:r>
        <w:rPr>
          <w:rFonts w:ascii="宋体" w:hAnsi="宋体" w:eastAsia="宋体" w:cs="宋体"/>
          <w:spacing w:val="-54"/>
          <w:sz w:val="20"/>
          <w:szCs w:val="20"/>
        </w:rPr>
        <w:t xml:space="preserve"> </w:t>
      </w:r>
      <w:r>
        <w:rPr>
          <w:rFonts w:ascii="宋体" w:hAnsi="宋体" w:eastAsia="宋体" w:cs="宋体"/>
          <w:spacing w:val="-12"/>
          <w:sz w:val="20"/>
          <w:szCs w:val="20"/>
        </w:rPr>
        <w:t>；</w:t>
      </w:r>
      <w:r>
        <w:rPr>
          <w:rFonts w:ascii="宋体" w:hAnsi="宋体" w:eastAsia="宋体" w:cs="宋体"/>
          <w:spacing w:val="8"/>
          <w:sz w:val="20"/>
          <w:szCs w:val="20"/>
        </w:rPr>
        <w:t>使用《山</w:t>
      </w:r>
      <w:r>
        <w:rPr>
          <w:rFonts w:ascii="宋体" w:hAnsi="宋体" w:eastAsia="宋体" w:cs="宋体"/>
          <w:spacing w:val="7"/>
          <w:sz w:val="20"/>
          <w:szCs w:val="20"/>
        </w:rPr>
        <w:t>东省城市地下综合管廊工程消耗</w:t>
      </w:r>
      <w:r>
        <w:rPr>
          <w:rFonts w:ascii="宋体" w:hAnsi="宋体" w:eastAsia="宋体" w:cs="宋体"/>
          <w:spacing w:val="6"/>
          <w:sz w:val="20"/>
          <w:szCs w:val="20"/>
        </w:rPr>
        <w:t>量定额》(第一册建筑和装饰工程)组价时，执行《山东省城市地下综合管廊工程消耗量定</w:t>
      </w:r>
      <w:r>
        <w:rPr>
          <w:rFonts w:ascii="宋体" w:hAnsi="宋体" w:eastAsia="宋体" w:cs="宋体"/>
          <w:spacing w:val="5"/>
          <w:sz w:val="20"/>
          <w:szCs w:val="20"/>
        </w:rPr>
        <w:t>额与工程量</w:t>
      </w:r>
      <w:r>
        <w:rPr>
          <w:rFonts w:ascii="宋体" w:hAnsi="宋体" w:eastAsia="宋体" w:cs="宋体"/>
          <w:spacing w:val="6"/>
          <w:sz w:val="20"/>
          <w:szCs w:val="20"/>
        </w:rPr>
        <w:t>清单衔接对照表》(建筑和装饰工程)；使用《山东省城市地下综合管廊工程消耗量定额》(第二册安装工程)组价时，执行《山东省城市地下综合管廊工程消耗量定额与工程量清单衔接对照表</w:t>
      </w:r>
      <w:r>
        <w:rPr>
          <w:rFonts w:ascii="宋体" w:hAnsi="宋体" w:eastAsia="宋体" w:cs="宋体"/>
          <w:spacing w:val="5"/>
          <w:sz w:val="20"/>
          <w:szCs w:val="20"/>
        </w:rPr>
        <w:t>》(安装工</w:t>
      </w:r>
      <w:r>
        <w:rPr>
          <w:rFonts w:ascii="宋体" w:hAnsi="宋体" w:eastAsia="宋体" w:cs="宋体"/>
          <w:spacing w:val="-12"/>
          <w:sz w:val="20"/>
          <w:szCs w:val="20"/>
        </w:rPr>
        <w:t>程)。</w:t>
      </w:r>
    </w:p>
    <w:p>
      <w:pPr>
        <w:spacing w:before="3" w:line="368" w:lineRule="auto"/>
        <w:ind w:left="2" w:right="118" w:firstLine="434"/>
        <w:jc w:val="both"/>
        <w:rPr>
          <w:rFonts w:ascii="宋体" w:hAnsi="宋体" w:eastAsia="宋体" w:cs="宋体"/>
          <w:sz w:val="20"/>
          <w:szCs w:val="20"/>
        </w:rPr>
      </w:pPr>
      <w:r>
        <w:rPr>
          <w:rFonts w:ascii="宋体" w:hAnsi="宋体" w:eastAsia="宋体" w:cs="宋体"/>
          <w:spacing w:val="8"/>
          <w:sz w:val="20"/>
          <w:szCs w:val="20"/>
        </w:rPr>
        <w:t>园林绿化工程清单计价时，执行《园林绿化工程工程量计算规范》</w:t>
      </w:r>
      <w:r>
        <w:rPr>
          <w:rFonts w:ascii="宋体" w:hAnsi="宋体" w:eastAsia="宋体" w:cs="宋体"/>
          <w:sz w:val="20"/>
          <w:szCs w:val="20"/>
        </w:rPr>
        <w:t>GB</w:t>
      </w:r>
      <w:r>
        <w:rPr>
          <w:rFonts w:ascii="宋体" w:hAnsi="宋体" w:eastAsia="宋体" w:cs="宋体"/>
          <w:spacing w:val="8"/>
          <w:sz w:val="20"/>
          <w:szCs w:val="20"/>
        </w:rPr>
        <w:t>50858-20</w:t>
      </w:r>
      <w:r>
        <w:rPr>
          <w:rFonts w:ascii="宋体" w:hAnsi="宋体" w:eastAsia="宋体" w:cs="宋体"/>
          <w:spacing w:val="7"/>
          <w:sz w:val="20"/>
          <w:szCs w:val="20"/>
        </w:rPr>
        <w:t>13</w:t>
      </w:r>
      <w:r>
        <w:rPr>
          <w:rFonts w:ascii="宋体" w:hAnsi="宋体" w:eastAsia="宋体" w:cs="宋体"/>
          <w:spacing w:val="-23"/>
          <w:sz w:val="20"/>
          <w:szCs w:val="20"/>
        </w:rPr>
        <w:t xml:space="preserve"> </w:t>
      </w:r>
      <w:r>
        <w:rPr>
          <w:rFonts w:ascii="宋体" w:hAnsi="宋体" w:eastAsia="宋体" w:cs="宋体"/>
          <w:spacing w:val="7"/>
          <w:sz w:val="20"/>
          <w:szCs w:val="20"/>
        </w:rPr>
        <w:t>的，使用《山</w:t>
      </w:r>
      <w:r>
        <w:rPr>
          <w:rFonts w:ascii="宋体" w:hAnsi="宋体" w:eastAsia="宋体" w:cs="宋体"/>
          <w:spacing w:val="9"/>
          <w:sz w:val="20"/>
          <w:szCs w:val="20"/>
        </w:rPr>
        <w:t>东省园林绿化工程消耗量定额》（</w:t>
      </w:r>
      <w:r>
        <w:rPr>
          <w:rFonts w:ascii="宋体" w:hAnsi="宋体" w:eastAsia="宋体" w:cs="宋体"/>
          <w:sz w:val="20"/>
          <w:szCs w:val="20"/>
        </w:rPr>
        <w:t>SDA</w:t>
      </w:r>
      <w:r>
        <w:rPr>
          <w:rFonts w:ascii="宋体" w:hAnsi="宋体" w:eastAsia="宋体" w:cs="宋体"/>
          <w:spacing w:val="-42"/>
          <w:sz w:val="20"/>
          <w:szCs w:val="20"/>
        </w:rPr>
        <w:t xml:space="preserve"> </w:t>
      </w:r>
      <w:r>
        <w:rPr>
          <w:rFonts w:ascii="宋体" w:hAnsi="宋体" w:eastAsia="宋体" w:cs="宋体"/>
          <w:spacing w:val="9"/>
          <w:sz w:val="20"/>
          <w:szCs w:val="20"/>
        </w:rPr>
        <w:t>2-31-2016）组价时，执行《山东省建设</w:t>
      </w:r>
      <w:r>
        <w:rPr>
          <w:rFonts w:ascii="宋体" w:hAnsi="宋体" w:eastAsia="宋体" w:cs="宋体"/>
          <w:spacing w:val="8"/>
          <w:sz w:val="20"/>
          <w:szCs w:val="20"/>
        </w:rPr>
        <w:t>工程消耗量定额与工</w:t>
      </w:r>
      <w:r>
        <w:rPr>
          <w:rFonts w:ascii="宋体" w:hAnsi="宋体" w:eastAsia="宋体" w:cs="宋体"/>
          <w:spacing w:val="7"/>
          <w:sz w:val="20"/>
          <w:szCs w:val="20"/>
        </w:rPr>
        <w:t>程量清单衔接对照表（园林绿化工程专业）</w:t>
      </w:r>
      <w:r>
        <w:rPr>
          <w:rFonts w:ascii="宋体" w:hAnsi="宋体" w:eastAsia="宋体" w:cs="宋体"/>
          <w:spacing w:val="-55"/>
          <w:sz w:val="20"/>
          <w:szCs w:val="20"/>
        </w:rPr>
        <w:t xml:space="preserve"> </w:t>
      </w:r>
      <w:r>
        <w:rPr>
          <w:rFonts w:ascii="宋体" w:hAnsi="宋体" w:eastAsia="宋体" w:cs="宋体"/>
          <w:spacing w:val="7"/>
          <w:sz w:val="20"/>
          <w:szCs w:val="20"/>
        </w:rPr>
        <w:t>》（鲁建标字〔201</w:t>
      </w:r>
      <w:r>
        <w:rPr>
          <w:rFonts w:ascii="宋体" w:hAnsi="宋体" w:eastAsia="宋体" w:cs="宋体"/>
          <w:spacing w:val="6"/>
          <w:sz w:val="20"/>
          <w:szCs w:val="20"/>
        </w:rPr>
        <w:t>7〕20</w:t>
      </w:r>
      <w:r>
        <w:rPr>
          <w:rFonts w:ascii="宋体" w:hAnsi="宋体" w:eastAsia="宋体" w:cs="宋体"/>
          <w:spacing w:val="-39"/>
          <w:sz w:val="20"/>
          <w:szCs w:val="20"/>
        </w:rPr>
        <w:t xml:space="preserve"> </w:t>
      </w:r>
      <w:r>
        <w:rPr>
          <w:rFonts w:ascii="宋体" w:hAnsi="宋体" w:eastAsia="宋体" w:cs="宋体"/>
          <w:spacing w:val="6"/>
          <w:sz w:val="20"/>
          <w:szCs w:val="20"/>
        </w:rPr>
        <w:t>号）。</w:t>
      </w:r>
    </w:p>
    <w:p>
      <w:pPr>
        <w:spacing w:before="4" w:line="368" w:lineRule="auto"/>
        <w:ind w:right="118" w:firstLine="412"/>
        <w:rPr>
          <w:rFonts w:ascii="宋体" w:hAnsi="宋体" w:eastAsia="宋体" w:cs="宋体"/>
          <w:sz w:val="20"/>
          <w:szCs w:val="20"/>
        </w:rPr>
      </w:pPr>
      <w:r>
        <w:rPr>
          <w:rFonts w:ascii="宋体" w:hAnsi="宋体" w:eastAsia="宋体" w:cs="宋体"/>
          <w:spacing w:val="11"/>
          <w:sz w:val="20"/>
          <w:szCs w:val="20"/>
        </w:rPr>
        <w:t>（二）各专业工程工程费用计算程序是工程计价活动的依据。各种费率是编制最高投标限价的</w:t>
      </w:r>
      <w:r>
        <w:rPr>
          <w:rFonts w:ascii="宋体" w:hAnsi="宋体" w:eastAsia="宋体" w:cs="宋体"/>
          <w:spacing w:val="9"/>
          <w:sz w:val="20"/>
          <w:szCs w:val="20"/>
        </w:rPr>
        <w:t>依据，是其他计价活动的重要参考（其中规费、税金必须按规定计取，不得作为竞争性费用）。</w:t>
      </w:r>
    </w:p>
    <w:p>
      <w:pPr>
        <w:spacing w:before="2" w:line="365" w:lineRule="auto"/>
        <w:ind w:left="1" w:right="115" w:firstLine="438"/>
        <w:jc w:val="both"/>
        <w:rPr>
          <w:rFonts w:ascii="宋体" w:hAnsi="宋体" w:eastAsia="宋体" w:cs="宋体"/>
          <w:sz w:val="20"/>
          <w:szCs w:val="20"/>
        </w:rPr>
      </w:pPr>
      <w:r>
        <w:rPr>
          <w:rFonts w:ascii="宋体" w:hAnsi="宋体" w:eastAsia="宋体" w:cs="宋体"/>
          <w:spacing w:val="9"/>
          <w:sz w:val="20"/>
          <w:szCs w:val="20"/>
        </w:rPr>
        <w:t>16</w:t>
      </w:r>
      <w:r>
        <w:rPr>
          <w:rFonts w:ascii="宋体" w:hAnsi="宋体" w:eastAsia="宋体" w:cs="宋体"/>
          <w:spacing w:val="-35"/>
          <w:sz w:val="20"/>
          <w:szCs w:val="20"/>
        </w:rPr>
        <w:t xml:space="preserve"> </w:t>
      </w:r>
      <w:r>
        <w:rPr>
          <w:rFonts w:ascii="宋体" w:hAnsi="宋体" w:eastAsia="宋体" w:cs="宋体"/>
          <w:spacing w:val="9"/>
          <w:sz w:val="20"/>
          <w:szCs w:val="20"/>
        </w:rPr>
        <w:t>消耗量定额各专业工程工程费率表中措施费、企业</w:t>
      </w:r>
      <w:r>
        <w:rPr>
          <w:rFonts w:ascii="宋体" w:hAnsi="宋体" w:eastAsia="宋体" w:cs="宋体"/>
          <w:spacing w:val="8"/>
          <w:sz w:val="20"/>
          <w:szCs w:val="20"/>
        </w:rPr>
        <w:t>管理费、利润、规费、税金也可用于工程</w:t>
      </w:r>
      <w:r>
        <w:rPr>
          <w:rFonts w:ascii="宋体" w:hAnsi="宋体" w:eastAsia="宋体" w:cs="宋体"/>
          <w:spacing w:val="11"/>
          <w:sz w:val="20"/>
          <w:szCs w:val="20"/>
        </w:rPr>
        <w:t>量清单计价。工程量清单计价中工程类别划分同山东省建设工程费用项目组成及计</w:t>
      </w:r>
      <w:r>
        <w:rPr>
          <w:rFonts w:ascii="宋体" w:hAnsi="宋体" w:eastAsia="宋体" w:cs="宋体"/>
          <w:spacing w:val="10"/>
          <w:sz w:val="20"/>
          <w:szCs w:val="20"/>
        </w:rPr>
        <w:t>算规则各专业工</w:t>
      </w:r>
      <w:r>
        <w:rPr>
          <w:rFonts w:ascii="宋体" w:hAnsi="宋体" w:eastAsia="宋体" w:cs="宋体"/>
          <w:spacing w:val="8"/>
          <w:sz w:val="20"/>
          <w:szCs w:val="20"/>
        </w:rPr>
        <w:t>程工程类别划分标准。</w:t>
      </w:r>
    </w:p>
    <w:p>
      <w:pPr>
        <w:spacing w:before="13" w:line="278" w:lineRule="exact"/>
        <w:ind w:left="413"/>
        <w:rPr>
          <w:rFonts w:ascii="宋体" w:hAnsi="宋体" w:eastAsia="宋体" w:cs="宋体"/>
          <w:sz w:val="20"/>
          <w:szCs w:val="20"/>
        </w:rPr>
      </w:pPr>
      <w:r>
        <w:rPr>
          <w:rFonts w:ascii="宋体" w:hAnsi="宋体" w:eastAsia="宋体" w:cs="宋体"/>
          <w:b/>
          <w:bCs/>
          <w:spacing w:val="9"/>
          <w:position w:val="1"/>
          <w:sz w:val="20"/>
          <w:szCs w:val="20"/>
        </w:rPr>
        <w:t>（三）使用《房屋建筑与装饰工程工程量计算规范》</w:t>
      </w:r>
      <w:r>
        <w:rPr>
          <w:rFonts w:ascii="宋体" w:hAnsi="宋体" w:eastAsia="宋体" w:cs="宋体"/>
          <w:b/>
          <w:bCs/>
          <w:position w:val="1"/>
          <w:sz w:val="20"/>
          <w:szCs w:val="20"/>
        </w:rPr>
        <w:t>GB</w:t>
      </w:r>
      <w:r>
        <w:rPr>
          <w:rFonts w:ascii="宋体" w:hAnsi="宋体" w:eastAsia="宋体" w:cs="宋体"/>
          <w:b/>
          <w:bCs/>
          <w:spacing w:val="9"/>
          <w:position w:val="1"/>
          <w:sz w:val="20"/>
          <w:szCs w:val="20"/>
        </w:rPr>
        <w:t>50854-2013，应按照以下规定执</w:t>
      </w:r>
      <w:r>
        <w:rPr>
          <w:rFonts w:ascii="宋体" w:hAnsi="宋体" w:eastAsia="宋体" w:cs="宋体"/>
          <w:b/>
          <w:bCs/>
          <w:spacing w:val="8"/>
          <w:position w:val="1"/>
          <w:sz w:val="20"/>
          <w:szCs w:val="20"/>
        </w:rPr>
        <w:t>行：</w:t>
      </w:r>
    </w:p>
    <w:p>
      <w:pPr>
        <w:spacing w:before="122" w:line="314" w:lineRule="auto"/>
        <w:ind w:left="8" w:right="118" w:firstLine="431"/>
        <w:rPr>
          <w:rFonts w:ascii="宋体" w:hAnsi="宋体" w:eastAsia="宋体" w:cs="宋体"/>
          <w:sz w:val="20"/>
          <w:szCs w:val="20"/>
        </w:rPr>
      </w:pPr>
      <w:r>
        <w:rPr>
          <w:rFonts w:ascii="宋体" w:hAnsi="宋体" w:eastAsia="宋体" w:cs="宋体"/>
          <w:spacing w:val="7"/>
          <w:sz w:val="20"/>
          <w:szCs w:val="20"/>
        </w:rPr>
        <w:t>1. 沟槽、基坑、一般土方的划分为：底宽≤7m</w:t>
      </w:r>
      <w:r>
        <w:rPr>
          <w:rFonts w:ascii="宋体" w:hAnsi="宋体" w:eastAsia="宋体" w:cs="宋体"/>
          <w:spacing w:val="-32"/>
          <w:sz w:val="20"/>
          <w:szCs w:val="20"/>
        </w:rPr>
        <w:t xml:space="preserve"> </w:t>
      </w:r>
      <w:r>
        <w:rPr>
          <w:rFonts w:ascii="宋体" w:hAnsi="宋体" w:eastAsia="宋体" w:cs="宋体"/>
          <w:spacing w:val="7"/>
          <w:sz w:val="20"/>
          <w:szCs w:val="20"/>
        </w:rPr>
        <w:t>且底长＞</w:t>
      </w:r>
      <w:r>
        <w:rPr>
          <w:rFonts w:ascii="宋体" w:hAnsi="宋体" w:eastAsia="宋体" w:cs="宋体"/>
          <w:spacing w:val="-57"/>
          <w:sz w:val="20"/>
          <w:szCs w:val="20"/>
        </w:rPr>
        <w:t xml:space="preserve"> </w:t>
      </w:r>
      <w:r>
        <w:rPr>
          <w:rFonts w:ascii="宋体" w:hAnsi="宋体" w:eastAsia="宋体" w:cs="宋体"/>
          <w:spacing w:val="7"/>
          <w:sz w:val="20"/>
          <w:szCs w:val="20"/>
        </w:rPr>
        <w:t>3</w:t>
      </w:r>
      <w:r>
        <w:rPr>
          <w:rFonts w:ascii="宋体" w:hAnsi="宋体" w:eastAsia="宋体" w:cs="宋体"/>
          <w:spacing w:val="-47"/>
          <w:sz w:val="20"/>
          <w:szCs w:val="20"/>
        </w:rPr>
        <w:t xml:space="preserve"> </w:t>
      </w:r>
      <w:r>
        <w:rPr>
          <w:rFonts w:ascii="宋体" w:hAnsi="宋体" w:eastAsia="宋体" w:cs="宋体"/>
          <w:spacing w:val="7"/>
          <w:sz w:val="20"/>
          <w:szCs w:val="20"/>
        </w:rPr>
        <w:t>倍底宽为沟槽；底长≤3</w:t>
      </w:r>
      <w:r>
        <w:rPr>
          <w:rFonts w:ascii="宋体" w:hAnsi="宋体" w:eastAsia="宋体" w:cs="宋体"/>
          <w:spacing w:val="-47"/>
          <w:sz w:val="20"/>
          <w:szCs w:val="20"/>
        </w:rPr>
        <w:t xml:space="preserve"> </w:t>
      </w:r>
      <w:r>
        <w:rPr>
          <w:rFonts w:ascii="宋体" w:hAnsi="宋体" w:eastAsia="宋体" w:cs="宋体"/>
          <w:spacing w:val="7"/>
          <w:sz w:val="20"/>
          <w:szCs w:val="20"/>
        </w:rPr>
        <w:t>倍底宽且底</w:t>
      </w:r>
      <w:r>
        <w:rPr>
          <w:rFonts w:ascii="宋体" w:hAnsi="宋体" w:eastAsia="宋体" w:cs="宋体"/>
          <w:spacing w:val="9"/>
          <w:sz w:val="20"/>
          <w:szCs w:val="20"/>
        </w:rPr>
        <w:t>面积≤150m</w:t>
      </w:r>
      <w:r>
        <w:rPr>
          <w:rFonts w:ascii="宋体" w:hAnsi="宋体" w:eastAsia="宋体" w:cs="宋体"/>
          <w:spacing w:val="9"/>
          <w:position w:val="10"/>
          <w:sz w:val="10"/>
          <w:szCs w:val="10"/>
        </w:rPr>
        <w:t>2</w:t>
      </w:r>
      <w:r>
        <w:rPr>
          <w:rFonts w:ascii="宋体" w:hAnsi="宋体" w:eastAsia="宋体" w:cs="宋体"/>
          <w:spacing w:val="-9"/>
          <w:position w:val="10"/>
          <w:sz w:val="10"/>
          <w:szCs w:val="10"/>
        </w:rPr>
        <w:t xml:space="preserve"> </w:t>
      </w:r>
      <w:r>
        <w:rPr>
          <w:rFonts w:ascii="宋体" w:hAnsi="宋体" w:eastAsia="宋体" w:cs="宋体"/>
          <w:spacing w:val="9"/>
          <w:sz w:val="20"/>
          <w:szCs w:val="20"/>
        </w:rPr>
        <w:t>为基坑；超出上述范围则为一般土方。</w:t>
      </w:r>
    </w:p>
    <w:p>
      <w:pPr>
        <w:spacing w:before="120" w:line="322" w:lineRule="auto"/>
        <w:ind w:left="1" w:right="118" w:firstLine="421"/>
        <w:rPr>
          <w:rFonts w:ascii="宋体" w:hAnsi="宋体" w:eastAsia="宋体" w:cs="宋体"/>
          <w:sz w:val="20"/>
          <w:szCs w:val="20"/>
        </w:rPr>
      </w:pPr>
      <w:r>
        <w:rPr>
          <w:rFonts w:ascii="宋体" w:hAnsi="宋体" w:eastAsia="宋体" w:cs="宋体"/>
          <w:spacing w:val="8"/>
          <w:sz w:val="20"/>
          <w:szCs w:val="20"/>
        </w:rPr>
        <w:t>2. 挖沟槽、基坑、一般土方因工作面和放坡增加的工程量（管沟工作面增加的工程量）应并入</w:t>
      </w:r>
      <w:r>
        <w:rPr>
          <w:rFonts w:ascii="宋体" w:hAnsi="宋体" w:eastAsia="宋体" w:cs="宋体"/>
          <w:spacing w:val="11"/>
          <w:sz w:val="20"/>
          <w:szCs w:val="20"/>
        </w:rPr>
        <w:t>各土方工程量中，土石方开挖的工作面宽度和放坡坡度按设计规定计算。设计</w:t>
      </w:r>
      <w:r>
        <w:rPr>
          <w:rFonts w:ascii="宋体" w:hAnsi="宋体" w:eastAsia="宋体" w:cs="宋体"/>
          <w:spacing w:val="10"/>
          <w:sz w:val="20"/>
          <w:szCs w:val="20"/>
        </w:rPr>
        <w:t>无规定时，暂按现行的消耗量定额有关规定执行，办理工程结算时，按经</w:t>
      </w:r>
      <w:r>
        <w:rPr>
          <w:rFonts w:ascii="宋体" w:hAnsi="宋体" w:eastAsia="宋体" w:cs="宋体"/>
          <w:spacing w:val="9"/>
          <w:sz w:val="20"/>
          <w:szCs w:val="20"/>
        </w:rPr>
        <w:t>发包人认可的施工组织设计规定计算。</w:t>
      </w:r>
    </w:p>
    <w:p>
      <w:pPr>
        <w:spacing w:line="322" w:lineRule="auto"/>
        <w:rPr>
          <w:rFonts w:ascii="宋体" w:hAnsi="宋体" w:eastAsia="宋体" w:cs="宋体"/>
          <w:sz w:val="20"/>
          <w:szCs w:val="20"/>
        </w:rPr>
        <w:sectPr>
          <w:footerReference r:id="rId39" w:type="default"/>
          <w:pgSz w:w="11905" w:h="16840"/>
          <w:pgMar w:top="1431" w:right="1300" w:bottom="1213" w:left="1418" w:header="0" w:footer="898" w:gutter="0"/>
        </w:sectPr>
      </w:pPr>
    </w:p>
    <w:p>
      <w:pPr>
        <w:spacing w:before="124" w:line="278" w:lineRule="exact"/>
        <w:ind w:left="426"/>
        <w:rPr>
          <w:rFonts w:ascii="宋体" w:hAnsi="宋体" w:eastAsia="宋体" w:cs="宋体"/>
          <w:sz w:val="20"/>
          <w:szCs w:val="20"/>
        </w:rPr>
      </w:pPr>
      <w:r>
        <w:rPr>
          <w:rFonts w:ascii="宋体" w:hAnsi="宋体" w:eastAsia="宋体" w:cs="宋体"/>
          <w:spacing w:val="7"/>
          <w:position w:val="1"/>
          <w:sz w:val="20"/>
          <w:szCs w:val="20"/>
        </w:rPr>
        <w:t>3.</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回填土，如需买土回填应在项目特征填方来源中</w:t>
      </w:r>
      <w:r>
        <w:rPr>
          <w:rFonts w:ascii="宋体" w:hAnsi="宋体" w:eastAsia="宋体" w:cs="宋体"/>
          <w:spacing w:val="6"/>
          <w:position w:val="1"/>
          <w:sz w:val="20"/>
          <w:szCs w:val="20"/>
        </w:rPr>
        <w:t>描述，并注明买土方数量。</w:t>
      </w:r>
    </w:p>
    <w:p>
      <w:pPr>
        <w:spacing w:before="123" w:line="277" w:lineRule="exact"/>
        <w:ind w:left="420"/>
        <w:rPr>
          <w:rFonts w:ascii="宋体" w:hAnsi="宋体" w:eastAsia="宋体" w:cs="宋体"/>
          <w:sz w:val="20"/>
          <w:szCs w:val="20"/>
        </w:rPr>
      </w:pPr>
      <w:r>
        <w:rPr>
          <w:rFonts w:ascii="宋体" w:hAnsi="宋体" w:eastAsia="宋体" w:cs="宋体"/>
          <w:spacing w:val="9"/>
          <w:position w:val="1"/>
          <w:sz w:val="20"/>
          <w:szCs w:val="20"/>
        </w:rPr>
        <w:t>4. 短肢剪力墙是指截面厚度不大于</w:t>
      </w:r>
      <w:r>
        <w:rPr>
          <w:rFonts w:ascii="宋体" w:hAnsi="宋体" w:eastAsia="宋体" w:cs="宋体"/>
          <w:spacing w:val="-36"/>
          <w:position w:val="1"/>
          <w:sz w:val="20"/>
          <w:szCs w:val="20"/>
        </w:rPr>
        <w:t xml:space="preserve"> </w:t>
      </w:r>
      <w:r>
        <w:rPr>
          <w:rFonts w:ascii="宋体" w:hAnsi="宋体" w:eastAsia="宋体" w:cs="宋体"/>
          <w:spacing w:val="9"/>
          <w:position w:val="1"/>
          <w:sz w:val="20"/>
          <w:szCs w:val="20"/>
        </w:rPr>
        <w:t>300</w:t>
      </w:r>
      <w:r>
        <w:rPr>
          <w:rFonts w:ascii="宋体" w:hAnsi="宋体" w:eastAsia="宋体" w:cs="宋体"/>
          <w:position w:val="1"/>
          <w:sz w:val="20"/>
          <w:szCs w:val="20"/>
        </w:rPr>
        <w:t>mm</w:t>
      </w:r>
      <w:r>
        <w:rPr>
          <w:rFonts w:ascii="宋体" w:hAnsi="宋体" w:eastAsia="宋体" w:cs="宋体"/>
          <w:spacing w:val="9"/>
          <w:position w:val="1"/>
          <w:sz w:val="20"/>
          <w:szCs w:val="20"/>
        </w:rPr>
        <w:t>、各肢截面</w:t>
      </w:r>
      <w:r>
        <w:rPr>
          <w:rFonts w:ascii="宋体" w:hAnsi="宋体" w:eastAsia="宋体" w:cs="宋体"/>
          <w:spacing w:val="8"/>
          <w:position w:val="1"/>
          <w:sz w:val="20"/>
          <w:szCs w:val="20"/>
        </w:rPr>
        <w:t>高度与厚度之比的最大值大于</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4</w:t>
      </w:r>
      <w:r>
        <w:rPr>
          <w:rFonts w:ascii="宋体" w:hAnsi="宋体" w:eastAsia="宋体" w:cs="宋体"/>
          <w:spacing w:val="-45"/>
          <w:position w:val="1"/>
          <w:sz w:val="20"/>
          <w:szCs w:val="20"/>
        </w:rPr>
        <w:t xml:space="preserve"> </w:t>
      </w:r>
      <w:r>
        <w:rPr>
          <w:rFonts w:ascii="宋体" w:hAnsi="宋体" w:eastAsia="宋体" w:cs="宋体"/>
          <w:spacing w:val="8"/>
          <w:position w:val="1"/>
          <w:sz w:val="20"/>
          <w:szCs w:val="20"/>
        </w:rPr>
        <w:t>但不大于</w:t>
      </w:r>
    </w:p>
    <w:p>
      <w:pPr>
        <w:spacing w:before="123" w:line="277" w:lineRule="exact"/>
        <w:ind w:left="5"/>
        <w:rPr>
          <w:rFonts w:ascii="宋体" w:hAnsi="宋体" w:eastAsia="宋体" w:cs="宋体"/>
          <w:sz w:val="20"/>
          <w:szCs w:val="20"/>
        </w:rPr>
      </w:pPr>
      <w:r>
        <w:rPr>
          <w:rFonts w:ascii="宋体" w:hAnsi="宋体" w:eastAsia="宋体" w:cs="宋体"/>
          <w:spacing w:val="9"/>
          <w:position w:val="1"/>
          <w:sz w:val="20"/>
          <w:szCs w:val="20"/>
        </w:rPr>
        <w:t>8</w:t>
      </w:r>
      <w:r>
        <w:rPr>
          <w:rFonts w:ascii="宋体" w:hAnsi="宋体" w:eastAsia="宋体" w:cs="宋体"/>
          <w:spacing w:val="-12"/>
          <w:position w:val="1"/>
          <w:sz w:val="20"/>
          <w:szCs w:val="20"/>
        </w:rPr>
        <w:t xml:space="preserve"> </w:t>
      </w:r>
      <w:r>
        <w:rPr>
          <w:rFonts w:ascii="宋体" w:hAnsi="宋体" w:eastAsia="宋体" w:cs="宋体"/>
          <w:spacing w:val="9"/>
          <w:position w:val="1"/>
          <w:sz w:val="20"/>
          <w:szCs w:val="20"/>
        </w:rPr>
        <w:t>的剪力墙；各肢截面高度与厚度之比的最大值不大于4</w:t>
      </w:r>
      <w:r>
        <w:rPr>
          <w:rFonts w:ascii="宋体" w:hAnsi="宋体" w:eastAsia="宋体" w:cs="宋体"/>
          <w:spacing w:val="-26"/>
          <w:position w:val="1"/>
          <w:sz w:val="20"/>
          <w:szCs w:val="20"/>
        </w:rPr>
        <w:t xml:space="preserve"> </w:t>
      </w:r>
      <w:r>
        <w:rPr>
          <w:rFonts w:ascii="宋体" w:hAnsi="宋体" w:eastAsia="宋体" w:cs="宋体"/>
          <w:spacing w:val="9"/>
          <w:position w:val="1"/>
          <w:sz w:val="20"/>
          <w:szCs w:val="20"/>
        </w:rPr>
        <w:t>的剪力墙按柱项目编码列项。</w:t>
      </w:r>
    </w:p>
    <w:p>
      <w:pPr>
        <w:spacing w:before="121" w:line="313" w:lineRule="auto"/>
        <w:ind w:left="7" w:right="13" w:firstLine="415"/>
        <w:rPr>
          <w:rFonts w:ascii="宋体" w:hAnsi="宋体" w:eastAsia="宋体" w:cs="宋体"/>
          <w:sz w:val="20"/>
          <w:szCs w:val="20"/>
        </w:rPr>
      </w:pPr>
      <w:r>
        <w:rPr>
          <w:rFonts w:ascii="宋体" w:hAnsi="宋体" w:eastAsia="宋体" w:cs="宋体"/>
          <w:spacing w:val="5"/>
          <w:sz w:val="20"/>
          <w:szCs w:val="20"/>
        </w:rPr>
        <w:t>5. 现浇挑檐、天沟板、雨篷、阳台与板（包括屋面板、楼板）连接时，</w:t>
      </w:r>
      <w:r>
        <w:rPr>
          <w:rFonts w:ascii="宋体" w:hAnsi="宋体" w:eastAsia="宋体" w:cs="宋体"/>
          <w:spacing w:val="4"/>
          <w:sz w:val="20"/>
          <w:szCs w:val="20"/>
        </w:rPr>
        <w:t>以外墙外边线为分界线；</w:t>
      </w:r>
      <w:r>
        <w:rPr>
          <w:rFonts w:ascii="宋体" w:hAnsi="宋体" w:eastAsia="宋体" w:cs="宋体"/>
          <w:spacing w:val="10"/>
          <w:sz w:val="20"/>
          <w:szCs w:val="20"/>
        </w:rPr>
        <w:t>与圈梁（包括其他梁）连接时，以梁外边线</w:t>
      </w:r>
      <w:r>
        <w:rPr>
          <w:rFonts w:ascii="宋体" w:hAnsi="宋体" w:eastAsia="宋体" w:cs="宋体"/>
          <w:spacing w:val="9"/>
          <w:sz w:val="20"/>
          <w:szCs w:val="20"/>
        </w:rPr>
        <w:t>为分界线。外边线以外为挑檐、天沟、雨篷或阳台。</w:t>
      </w:r>
    </w:p>
    <w:p>
      <w:pPr>
        <w:spacing w:before="123" w:line="331" w:lineRule="auto"/>
        <w:ind w:right="80" w:firstLine="423"/>
        <w:rPr>
          <w:rFonts w:ascii="宋体" w:hAnsi="宋体" w:eastAsia="宋体" w:cs="宋体"/>
          <w:sz w:val="20"/>
          <w:szCs w:val="20"/>
        </w:rPr>
      </w:pPr>
      <w:r>
        <w:rPr>
          <w:rFonts w:ascii="宋体" w:hAnsi="宋体" w:eastAsia="宋体" w:cs="宋体"/>
          <w:spacing w:val="8"/>
          <w:sz w:val="20"/>
          <w:szCs w:val="20"/>
        </w:rPr>
        <w:t>6. 混凝土模板及支撑（架）项目，只适用于以平方米计量，按模板与混凝土构件的接触面</w:t>
      </w:r>
      <w:r>
        <w:rPr>
          <w:rFonts w:ascii="宋体" w:hAnsi="宋体" w:eastAsia="宋体" w:cs="宋体"/>
          <w:spacing w:val="7"/>
          <w:sz w:val="20"/>
          <w:szCs w:val="20"/>
        </w:rPr>
        <w:t>积计</w:t>
      </w:r>
      <w:r>
        <w:rPr>
          <w:rFonts w:ascii="宋体" w:hAnsi="宋体" w:eastAsia="宋体" w:cs="宋体"/>
          <w:spacing w:val="11"/>
          <w:sz w:val="20"/>
          <w:szCs w:val="20"/>
        </w:rPr>
        <w:t>算。以立方米计量的模板及支撑（架</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1"/>
          <w:sz w:val="20"/>
          <w:szCs w:val="20"/>
        </w:rPr>
        <w:t>按混凝土及钢筋混凝土实体项目</w:t>
      </w:r>
      <w:r>
        <w:rPr>
          <w:rFonts w:ascii="宋体" w:hAnsi="宋体" w:eastAsia="宋体" w:cs="宋体"/>
          <w:spacing w:val="10"/>
          <w:sz w:val="20"/>
          <w:szCs w:val="20"/>
        </w:rPr>
        <w:t>执行，其综合单价中应包</w:t>
      </w:r>
      <w:r>
        <w:rPr>
          <w:rFonts w:ascii="宋体" w:hAnsi="宋体" w:eastAsia="宋体" w:cs="宋体"/>
          <w:spacing w:val="7"/>
          <w:sz w:val="20"/>
          <w:szCs w:val="20"/>
        </w:rPr>
        <w:t>含模板及支撑（架）。</w:t>
      </w:r>
    </w:p>
    <w:p>
      <w:pPr>
        <w:spacing w:before="124" w:line="277" w:lineRule="exact"/>
        <w:ind w:left="421"/>
        <w:rPr>
          <w:rFonts w:ascii="宋体" w:hAnsi="宋体" w:eastAsia="宋体" w:cs="宋体"/>
          <w:sz w:val="20"/>
          <w:szCs w:val="20"/>
        </w:rPr>
      </w:pPr>
      <w:r>
        <w:rPr>
          <w:rFonts w:ascii="宋体" w:hAnsi="宋体" w:eastAsia="宋体" w:cs="宋体"/>
          <w:spacing w:val="6"/>
          <w:position w:val="1"/>
          <w:sz w:val="20"/>
          <w:szCs w:val="20"/>
        </w:rPr>
        <w:t>7. 若现浇混凝土梁、板支撑高度超过</w:t>
      </w:r>
      <w:r>
        <w:rPr>
          <w:rFonts w:ascii="宋体" w:hAnsi="宋体" w:eastAsia="宋体" w:cs="宋体"/>
          <w:spacing w:val="-35"/>
          <w:position w:val="1"/>
          <w:sz w:val="20"/>
          <w:szCs w:val="20"/>
        </w:rPr>
        <w:t xml:space="preserve"> </w:t>
      </w:r>
      <w:r>
        <w:rPr>
          <w:rFonts w:ascii="宋体" w:hAnsi="宋体" w:eastAsia="宋体" w:cs="宋体"/>
          <w:spacing w:val="6"/>
          <w:position w:val="1"/>
          <w:sz w:val="20"/>
          <w:szCs w:val="20"/>
        </w:rPr>
        <w:t>3.6m</w:t>
      </w:r>
      <w:r>
        <w:rPr>
          <w:rFonts w:ascii="宋体" w:hAnsi="宋体" w:eastAsia="宋体" w:cs="宋体"/>
          <w:spacing w:val="-31"/>
          <w:position w:val="1"/>
          <w:sz w:val="20"/>
          <w:szCs w:val="20"/>
        </w:rPr>
        <w:t xml:space="preserve"> </w:t>
      </w:r>
      <w:r>
        <w:rPr>
          <w:rFonts w:ascii="宋体" w:hAnsi="宋体" w:eastAsia="宋体" w:cs="宋体"/>
          <w:spacing w:val="6"/>
          <w:position w:val="1"/>
          <w:sz w:val="20"/>
          <w:szCs w:val="20"/>
        </w:rPr>
        <w:t>时，项目特征应描述支撑高度。</w:t>
      </w:r>
    </w:p>
    <w:p>
      <w:pPr>
        <w:spacing w:before="121" w:line="313" w:lineRule="auto"/>
        <w:ind w:left="9" w:right="80" w:firstLine="415"/>
        <w:rPr>
          <w:rFonts w:ascii="宋体" w:hAnsi="宋体" w:eastAsia="宋体" w:cs="宋体"/>
          <w:sz w:val="20"/>
          <w:szCs w:val="20"/>
        </w:rPr>
      </w:pPr>
      <w:r>
        <w:rPr>
          <w:rFonts w:ascii="宋体" w:hAnsi="宋体" w:eastAsia="宋体" w:cs="宋体"/>
          <w:spacing w:val="8"/>
          <w:sz w:val="20"/>
          <w:szCs w:val="20"/>
        </w:rPr>
        <w:t>8. 建筑物的檐口高度是指设计室外地坪至檐口滴水的高度（平</w:t>
      </w:r>
      <w:r>
        <w:rPr>
          <w:rFonts w:ascii="宋体" w:hAnsi="宋体" w:eastAsia="宋体" w:cs="宋体"/>
          <w:spacing w:val="7"/>
          <w:sz w:val="20"/>
          <w:szCs w:val="20"/>
        </w:rPr>
        <w:t>屋顶系指屋面板底高度</w:t>
      </w:r>
      <w:r>
        <w:rPr>
          <w:rFonts w:ascii="宋体" w:hAnsi="宋体" w:eastAsia="宋体" w:cs="宋体"/>
          <w:spacing w:val="-10"/>
          <w:sz w:val="20"/>
          <w:szCs w:val="20"/>
        </w:rPr>
        <w:t>）</w:t>
      </w:r>
      <w:r>
        <w:rPr>
          <w:rFonts w:ascii="宋体" w:hAnsi="宋体" w:eastAsia="宋体" w:cs="宋体"/>
          <w:spacing w:val="-56"/>
          <w:sz w:val="20"/>
          <w:szCs w:val="20"/>
        </w:rPr>
        <w:t xml:space="preserve"> </w:t>
      </w:r>
      <w:r>
        <w:rPr>
          <w:rFonts w:ascii="宋体" w:hAnsi="宋体" w:eastAsia="宋体" w:cs="宋体"/>
          <w:spacing w:val="-10"/>
          <w:sz w:val="20"/>
          <w:szCs w:val="20"/>
        </w:rPr>
        <w:t>，</w:t>
      </w:r>
      <w:r>
        <w:rPr>
          <w:rFonts w:ascii="宋体" w:hAnsi="宋体" w:eastAsia="宋体" w:cs="宋体"/>
          <w:spacing w:val="7"/>
          <w:sz w:val="20"/>
          <w:szCs w:val="20"/>
        </w:rPr>
        <w:t>突出</w:t>
      </w:r>
      <w:r>
        <w:rPr>
          <w:rFonts w:ascii="宋体" w:hAnsi="宋体" w:eastAsia="宋体" w:cs="宋体"/>
          <w:spacing w:val="9"/>
          <w:sz w:val="20"/>
          <w:szCs w:val="20"/>
        </w:rPr>
        <w:t>主体建筑物屋顶的电梯机房、楼梯出口间、水箱间、眺望塔、排烟机房等不计入檐口高度。</w:t>
      </w:r>
    </w:p>
    <w:p>
      <w:pPr>
        <w:spacing w:before="123" w:line="297" w:lineRule="auto"/>
        <w:ind w:right="80" w:firstLine="423"/>
        <w:rPr>
          <w:rFonts w:ascii="宋体" w:hAnsi="宋体" w:eastAsia="宋体" w:cs="宋体"/>
          <w:sz w:val="20"/>
          <w:szCs w:val="20"/>
        </w:rPr>
      </w:pPr>
      <w:r>
        <w:rPr>
          <w:rFonts w:ascii="宋体" w:hAnsi="宋体" w:eastAsia="宋体" w:cs="宋体"/>
          <w:spacing w:val="10"/>
          <w:sz w:val="20"/>
          <w:szCs w:val="20"/>
        </w:rPr>
        <w:t>9. 单层建筑物檐口高度超过20m，多层建筑物超过</w:t>
      </w:r>
      <w:r>
        <w:rPr>
          <w:rFonts w:ascii="宋体" w:hAnsi="宋体" w:eastAsia="宋体" w:cs="宋体"/>
          <w:spacing w:val="-38"/>
          <w:sz w:val="20"/>
          <w:szCs w:val="20"/>
        </w:rPr>
        <w:t xml:space="preserve"> </w:t>
      </w:r>
      <w:r>
        <w:rPr>
          <w:rFonts w:ascii="宋体" w:hAnsi="宋体" w:eastAsia="宋体" w:cs="宋体"/>
          <w:spacing w:val="10"/>
          <w:sz w:val="20"/>
          <w:szCs w:val="20"/>
        </w:rPr>
        <w:t>6</w:t>
      </w:r>
      <w:r>
        <w:rPr>
          <w:rFonts w:ascii="宋体" w:hAnsi="宋体" w:eastAsia="宋体" w:cs="宋体"/>
          <w:spacing w:val="-44"/>
          <w:sz w:val="20"/>
          <w:szCs w:val="20"/>
        </w:rPr>
        <w:t xml:space="preserve"> </w:t>
      </w:r>
      <w:r>
        <w:rPr>
          <w:rFonts w:ascii="宋体" w:hAnsi="宋体" w:eastAsia="宋体" w:cs="宋体"/>
          <w:spacing w:val="10"/>
          <w:sz w:val="20"/>
          <w:szCs w:val="20"/>
        </w:rPr>
        <w:t>层时，</w:t>
      </w:r>
      <w:r>
        <w:rPr>
          <w:rFonts w:ascii="宋体" w:hAnsi="宋体" w:eastAsia="宋体" w:cs="宋体"/>
          <w:spacing w:val="9"/>
          <w:sz w:val="20"/>
          <w:szCs w:val="20"/>
        </w:rPr>
        <w:t>可按超高部分的建筑面积计算超高施工增加。计算层数时，地下室不计入层数。</w:t>
      </w:r>
    </w:p>
    <w:p>
      <w:pPr>
        <w:spacing w:before="156" w:line="278" w:lineRule="exact"/>
        <w:ind w:left="413"/>
        <w:rPr>
          <w:rFonts w:ascii="宋体" w:hAnsi="宋体" w:eastAsia="宋体" w:cs="宋体"/>
          <w:sz w:val="20"/>
          <w:szCs w:val="20"/>
        </w:rPr>
      </w:pPr>
      <w:r>
        <w:rPr>
          <w:rFonts w:ascii="宋体" w:hAnsi="宋体" w:eastAsia="宋体" w:cs="宋体"/>
          <w:b/>
          <w:bCs/>
          <w:spacing w:val="8"/>
          <w:position w:val="1"/>
          <w:sz w:val="20"/>
          <w:szCs w:val="20"/>
        </w:rPr>
        <w:t>（</w:t>
      </w:r>
      <w:r>
        <w:rPr>
          <w:rFonts w:ascii="宋体" w:hAnsi="宋体" w:eastAsia="宋体" w:cs="宋体"/>
          <w:spacing w:val="-44"/>
          <w:position w:val="1"/>
          <w:sz w:val="20"/>
          <w:szCs w:val="20"/>
        </w:rPr>
        <w:t xml:space="preserve"> </w:t>
      </w:r>
      <w:r>
        <w:rPr>
          <w:rFonts w:ascii="宋体" w:hAnsi="宋体" w:eastAsia="宋体" w:cs="宋体"/>
          <w:b/>
          <w:bCs/>
          <w:spacing w:val="8"/>
          <w:position w:val="1"/>
          <w:sz w:val="20"/>
          <w:szCs w:val="20"/>
        </w:rPr>
        <w:t>四）使用《通用安装工程工程量计算规范》</w:t>
      </w:r>
      <w:r>
        <w:rPr>
          <w:rFonts w:ascii="宋体" w:hAnsi="宋体" w:eastAsia="宋体" w:cs="宋体"/>
          <w:b/>
          <w:bCs/>
          <w:position w:val="1"/>
          <w:sz w:val="20"/>
          <w:szCs w:val="20"/>
        </w:rPr>
        <w:t>GB</w:t>
      </w:r>
      <w:r>
        <w:rPr>
          <w:rFonts w:ascii="宋体" w:hAnsi="宋体" w:eastAsia="宋体" w:cs="宋体"/>
          <w:b/>
          <w:bCs/>
          <w:spacing w:val="8"/>
          <w:position w:val="1"/>
          <w:sz w:val="20"/>
          <w:szCs w:val="20"/>
        </w:rPr>
        <w:t>508</w:t>
      </w:r>
      <w:r>
        <w:rPr>
          <w:rFonts w:ascii="宋体" w:hAnsi="宋体" w:eastAsia="宋体" w:cs="宋体"/>
          <w:b/>
          <w:bCs/>
          <w:spacing w:val="7"/>
          <w:position w:val="1"/>
          <w:sz w:val="20"/>
          <w:szCs w:val="20"/>
        </w:rPr>
        <w:t>56-2013，应按照以下规定执行：</w:t>
      </w:r>
    </w:p>
    <w:p>
      <w:pPr>
        <w:spacing w:before="122" w:line="297" w:lineRule="auto"/>
        <w:ind w:left="1" w:right="80" w:firstLine="438"/>
        <w:rPr>
          <w:rFonts w:ascii="宋体" w:hAnsi="宋体" w:eastAsia="宋体" w:cs="宋体"/>
          <w:sz w:val="20"/>
          <w:szCs w:val="20"/>
        </w:rPr>
      </w:pPr>
      <w:r>
        <w:rPr>
          <w:rFonts w:ascii="宋体" w:hAnsi="宋体" w:eastAsia="宋体" w:cs="宋体"/>
          <w:spacing w:val="8"/>
          <w:sz w:val="20"/>
          <w:szCs w:val="20"/>
        </w:rPr>
        <w:t>1. 附录中有两个或两个以上计量单位的，应结合拟</w:t>
      </w:r>
      <w:r>
        <w:rPr>
          <w:rFonts w:ascii="宋体" w:hAnsi="宋体" w:eastAsia="宋体" w:cs="宋体"/>
          <w:spacing w:val="7"/>
          <w:sz w:val="20"/>
          <w:szCs w:val="20"/>
        </w:rPr>
        <w:t>建工程项目的实际情况，确定其中一个为计</w:t>
      </w:r>
      <w:r>
        <w:rPr>
          <w:rFonts w:ascii="宋体" w:hAnsi="宋体" w:eastAsia="宋体" w:cs="宋体"/>
          <w:spacing w:val="9"/>
          <w:sz w:val="20"/>
          <w:szCs w:val="20"/>
        </w:rPr>
        <w:t>量单位。同一工程项目的计量单位应一致。</w:t>
      </w:r>
    </w:p>
    <w:p>
      <w:pPr>
        <w:spacing w:before="157" w:line="278" w:lineRule="exact"/>
        <w:ind w:left="423"/>
        <w:rPr>
          <w:rFonts w:ascii="宋体" w:hAnsi="宋体" w:eastAsia="宋体" w:cs="宋体"/>
          <w:sz w:val="20"/>
          <w:szCs w:val="20"/>
        </w:rPr>
      </w:pPr>
      <w:r>
        <w:rPr>
          <w:rFonts w:ascii="宋体" w:hAnsi="宋体" w:eastAsia="宋体" w:cs="宋体"/>
          <w:spacing w:val="6"/>
          <w:position w:val="1"/>
          <w:sz w:val="20"/>
          <w:szCs w:val="20"/>
        </w:rPr>
        <w:t>2.</w:t>
      </w:r>
      <w:r>
        <w:rPr>
          <w:rFonts w:ascii="宋体" w:hAnsi="宋体" w:eastAsia="宋体" w:cs="宋体"/>
          <w:spacing w:val="35"/>
          <w:position w:val="1"/>
          <w:sz w:val="20"/>
          <w:szCs w:val="20"/>
        </w:rPr>
        <w:t xml:space="preserve"> </w:t>
      </w:r>
      <w:r>
        <w:rPr>
          <w:rFonts w:ascii="宋体" w:hAnsi="宋体" w:eastAsia="宋体" w:cs="宋体"/>
          <w:spacing w:val="6"/>
          <w:position w:val="1"/>
          <w:sz w:val="20"/>
          <w:szCs w:val="20"/>
        </w:rPr>
        <w:t>电气设备安装工程适用于电气</w:t>
      </w:r>
      <w:r>
        <w:rPr>
          <w:rFonts w:ascii="宋体" w:hAnsi="宋体" w:eastAsia="宋体" w:cs="宋体"/>
          <w:spacing w:val="-25"/>
          <w:position w:val="1"/>
          <w:sz w:val="20"/>
          <w:szCs w:val="20"/>
        </w:rPr>
        <w:t xml:space="preserve"> </w:t>
      </w:r>
      <w:r>
        <w:rPr>
          <w:rFonts w:ascii="宋体" w:hAnsi="宋体" w:eastAsia="宋体" w:cs="宋体"/>
          <w:spacing w:val="6"/>
          <w:position w:val="1"/>
          <w:sz w:val="20"/>
          <w:szCs w:val="20"/>
        </w:rPr>
        <w:t>10</w:t>
      </w:r>
      <w:r>
        <w:rPr>
          <w:rFonts w:ascii="宋体" w:hAnsi="宋体" w:eastAsia="宋体" w:cs="宋体"/>
          <w:position w:val="1"/>
          <w:sz w:val="20"/>
          <w:szCs w:val="20"/>
        </w:rPr>
        <w:t>KV</w:t>
      </w:r>
      <w:r>
        <w:rPr>
          <w:rFonts w:ascii="宋体" w:hAnsi="宋体" w:eastAsia="宋体" w:cs="宋体"/>
          <w:spacing w:val="-23"/>
          <w:position w:val="1"/>
          <w:sz w:val="20"/>
          <w:szCs w:val="20"/>
        </w:rPr>
        <w:t xml:space="preserve"> </w:t>
      </w:r>
      <w:r>
        <w:rPr>
          <w:rFonts w:ascii="宋体" w:hAnsi="宋体" w:eastAsia="宋体" w:cs="宋体"/>
          <w:spacing w:val="6"/>
          <w:position w:val="1"/>
          <w:sz w:val="20"/>
          <w:szCs w:val="20"/>
        </w:rPr>
        <w:t>以下的工程。</w:t>
      </w:r>
    </w:p>
    <w:p>
      <w:pPr>
        <w:spacing w:before="123" w:line="321" w:lineRule="auto"/>
        <w:ind w:left="2" w:firstLine="424"/>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45"/>
          <w:sz w:val="20"/>
          <w:szCs w:val="20"/>
        </w:rPr>
        <w:t xml:space="preserve"> </w:t>
      </w:r>
      <w:r>
        <w:rPr>
          <w:rFonts w:ascii="宋体" w:hAnsi="宋体" w:eastAsia="宋体" w:cs="宋体"/>
          <w:spacing w:val="7"/>
          <w:sz w:val="20"/>
          <w:szCs w:val="20"/>
        </w:rPr>
        <w:t>电气设备安装工程与市政工程路灯工程的界定：厂区、住宅小区的道路路灯安装工程、庭院艺术喷泉等电气设备安装工程按通用安装工程“</w:t>
      </w:r>
      <w:r>
        <w:rPr>
          <w:rFonts w:ascii="宋体" w:hAnsi="宋体" w:eastAsia="宋体" w:cs="宋体"/>
          <w:spacing w:val="-64"/>
          <w:sz w:val="20"/>
          <w:szCs w:val="20"/>
        </w:rPr>
        <w:t xml:space="preserve"> </w:t>
      </w:r>
      <w:r>
        <w:rPr>
          <w:rFonts w:ascii="宋体" w:hAnsi="宋体" w:eastAsia="宋体" w:cs="宋体"/>
          <w:spacing w:val="7"/>
          <w:sz w:val="20"/>
          <w:szCs w:val="20"/>
        </w:rPr>
        <w:t>电气设备安装工程”相应项目执行；涉及市政道路、</w:t>
      </w:r>
      <w:r>
        <w:rPr>
          <w:rFonts w:ascii="宋体" w:hAnsi="宋体" w:eastAsia="宋体" w:cs="宋体"/>
          <w:spacing w:val="10"/>
          <w:sz w:val="20"/>
          <w:szCs w:val="20"/>
        </w:rPr>
        <w:t>市政庭院等电气安装工程的项目，按市政工</w:t>
      </w:r>
      <w:r>
        <w:rPr>
          <w:rFonts w:ascii="宋体" w:hAnsi="宋体" w:eastAsia="宋体" w:cs="宋体"/>
          <w:spacing w:val="9"/>
          <w:sz w:val="20"/>
          <w:szCs w:val="20"/>
        </w:rPr>
        <w:t>程中“路灯工程”的相应项目执行。</w:t>
      </w:r>
    </w:p>
    <w:p>
      <w:pPr>
        <w:spacing w:before="148" w:line="316" w:lineRule="auto"/>
        <w:ind w:right="80" w:firstLine="420"/>
        <w:rPr>
          <w:rFonts w:ascii="宋体" w:hAnsi="宋体" w:eastAsia="宋体" w:cs="宋体"/>
          <w:sz w:val="20"/>
          <w:szCs w:val="20"/>
        </w:rPr>
      </w:pPr>
      <w:r>
        <w:rPr>
          <w:rFonts w:ascii="宋体" w:hAnsi="宋体" w:eastAsia="宋体" w:cs="宋体"/>
          <w:spacing w:val="8"/>
          <w:sz w:val="20"/>
          <w:szCs w:val="20"/>
        </w:rPr>
        <w:t>4. 工业管道与市政工程管网工程的界定：给水管道以厂区入口水表井为界；排水管道以厂区围墙外第一个污水井为界；热力和燃气以厂区入口第一个计量表（</w:t>
      </w:r>
      <w:r>
        <w:rPr>
          <w:rFonts w:ascii="宋体" w:hAnsi="宋体" w:eastAsia="宋体" w:cs="宋体"/>
          <w:spacing w:val="-47"/>
          <w:sz w:val="20"/>
          <w:szCs w:val="20"/>
        </w:rPr>
        <w:t xml:space="preserve"> </w:t>
      </w:r>
      <w:r>
        <w:rPr>
          <w:rFonts w:ascii="宋体" w:hAnsi="宋体" w:eastAsia="宋体" w:cs="宋体"/>
          <w:spacing w:val="8"/>
          <w:sz w:val="20"/>
          <w:szCs w:val="20"/>
        </w:rPr>
        <w:t>阀门）为界。</w:t>
      </w:r>
    </w:p>
    <w:p>
      <w:pPr>
        <w:spacing w:before="114" w:line="335" w:lineRule="auto"/>
        <w:ind w:left="2" w:right="80" w:firstLine="420"/>
        <w:rPr>
          <w:rFonts w:ascii="宋体" w:hAnsi="宋体" w:eastAsia="宋体" w:cs="宋体"/>
          <w:sz w:val="20"/>
          <w:szCs w:val="20"/>
        </w:rPr>
      </w:pPr>
      <w:r>
        <w:rPr>
          <w:rFonts w:ascii="宋体" w:hAnsi="宋体" w:eastAsia="宋体" w:cs="宋体"/>
          <w:spacing w:val="8"/>
          <w:sz w:val="20"/>
          <w:szCs w:val="20"/>
        </w:rPr>
        <w:t>5. 给排水、采暖、燃气工程与市政工程管网工程的界定：室外给排水、采暖、燃气管道以市政</w:t>
      </w:r>
      <w:r>
        <w:rPr>
          <w:rFonts w:ascii="宋体" w:hAnsi="宋体" w:eastAsia="宋体" w:cs="宋体"/>
          <w:spacing w:val="11"/>
          <w:sz w:val="20"/>
          <w:szCs w:val="20"/>
        </w:rPr>
        <w:t>管道碰头井为界；厂区、住宅小区的庭院喷灌及喷泉水设备安装按本规范相</w:t>
      </w:r>
      <w:r>
        <w:rPr>
          <w:rFonts w:ascii="宋体" w:hAnsi="宋体" w:eastAsia="宋体" w:cs="宋体"/>
          <w:spacing w:val="10"/>
          <w:sz w:val="20"/>
          <w:szCs w:val="20"/>
        </w:rPr>
        <w:t>应项目执行；公共庭院</w:t>
      </w:r>
      <w:r>
        <w:rPr>
          <w:rFonts w:ascii="宋体" w:hAnsi="宋体" w:eastAsia="宋体" w:cs="宋体"/>
          <w:spacing w:val="9"/>
          <w:sz w:val="20"/>
          <w:szCs w:val="20"/>
        </w:rPr>
        <w:t>喷灌及喷泉水设备安装按现行国家标准《市政工程工程量计算规范》</w:t>
      </w:r>
      <w:r>
        <w:rPr>
          <w:rFonts w:ascii="宋体" w:hAnsi="宋体" w:eastAsia="宋体" w:cs="宋体"/>
          <w:sz w:val="20"/>
          <w:szCs w:val="20"/>
        </w:rPr>
        <w:t>GB</w:t>
      </w:r>
      <w:r>
        <w:rPr>
          <w:rFonts w:ascii="宋体" w:hAnsi="宋体" w:eastAsia="宋体" w:cs="宋体"/>
          <w:spacing w:val="9"/>
          <w:sz w:val="20"/>
          <w:szCs w:val="20"/>
        </w:rPr>
        <w:t>-50857</w:t>
      </w:r>
      <w:r>
        <w:rPr>
          <w:rFonts w:ascii="宋体" w:hAnsi="宋体" w:eastAsia="宋体" w:cs="宋体"/>
          <w:spacing w:val="-39"/>
          <w:sz w:val="20"/>
          <w:szCs w:val="20"/>
        </w:rPr>
        <w:t xml:space="preserve"> </w:t>
      </w:r>
      <w:r>
        <w:rPr>
          <w:rFonts w:ascii="宋体" w:hAnsi="宋体" w:eastAsia="宋体" w:cs="宋体"/>
          <w:spacing w:val="9"/>
          <w:sz w:val="20"/>
          <w:szCs w:val="20"/>
        </w:rPr>
        <w:t>管网工程的相</w:t>
      </w:r>
      <w:r>
        <w:rPr>
          <w:rFonts w:ascii="宋体" w:hAnsi="宋体" w:eastAsia="宋体" w:cs="宋体"/>
          <w:spacing w:val="8"/>
          <w:sz w:val="20"/>
          <w:szCs w:val="20"/>
        </w:rPr>
        <w:t>应项目</w:t>
      </w:r>
      <w:r>
        <w:rPr>
          <w:rFonts w:ascii="宋体" w:hAnsi="宋体" w:eastAsia="宋体" w:cs="宋体"/>
          <w:spacing w:val="4"/>
          <w:sz w:val="20"/>
          <w:szCs w:val="20"/>
        </w:rPr>
        <w:t>执行。</w:t>
      </w:r>
    </w:p>
    <w:p>
      <w:pPr>
        <w:spacing w:before="159" w:line="331" w:lineRule="auto"/>
        <w:ind w:left="2" w:right="80" w:firstLine="421"/>
        <w:rPr>
          <w:rFonts w:ascii="宋体" w:hAnsi="宋体" w:eastAsia="宋体" w:cs="宋体"/>
          <w:sz w:val="20"/>
          <w:szCs w:val="20"/>
        </w:rPr>
      </w:pPr>
      <w:r>
        <w:rPr>
          <w:rFonts w:ascii="宋体" w:hAnsi="宋体" w:eastAsia="宋体" w:cs="宋体"/>
          <w:spacing w:val="8"/>
          <w:sz w:val="20"/>
          <w:szCs w:val="20"/>
        </w:rPr>
        <w:t>6. 与通用安装工程配套的管沟、坑及井类的土方开挖、垫层、基础、砌筑、抹灰、地沟盖</w:t>
      </w:r>
      <w:r>
        <w:rPr>
          <w:rFonts w:ascii="宋体" w:hAnsi="宋体" w:eastAsia="宋体" w:cs="宋体"/>
          <w:spacing w:val="7"/>
          <w:sz w:val="20"/>
          <w:szCs w:val="20"/>
        </w:rPr>
        <w:t>板预</w:t>
      </w:r>
      <w:r>
        <w:rPr>
          <w:rFonts w:ascii="宋体" w:hAnsi="宋体" w:eastAsia="宋体" w:cs="宋体"/>
          <w:spacing w:val="11"/>
          <w:sz w:val="20"/>
          <w:szCs w:val="20"/>
        </w:rPr>
        <w:t>制安装、回填、运输、路面开挖及修复、管道支墩的项目，按现行国家标准</w:t>
      </w:r>
      <w:r>
        <w:rPr>
          <w:rFonts w:ascii="宋体" w:hAnsi="宋体" w:eastAsia="宋体" w:cs="宋体"/>
          <w:spacing w:val="10"/>
          <w:sz w:val="20"/>
          <w:szCs w:val="20"/>
        </w:rPr>
        <w:t>《房屋建筑与装饰工程工程量计算规范》</w:t>
      </w:r>
      <w:r>
        <w:rPr>
          <w:rFonts w:ascii="宋体" w:hAnsi="宋体" w:eastAsia="宋体" w:cs="宋体"/>
          <w:sz w:val="20"/>
          <w:szCs w:val="20"/>
        </w:rPr>
        <w:t>GB</w:t>
      </w:r>
      <w:r>
        <w:rPr>
          <w:rFonts w:ascii="宋体" w:hAnsi="宋体" w:eastAsia="宋体" w:cs="宋体"/>
          <w:spacing w:val="10"/>
          <w:sz w:val="20"/>
          <w:szCs w:val="20"/>
        </w:rPr>
        <w:t>50854-2013</w:t>
      </w:r>
      <w:r>
        <w:rPr>
          <w:rFonts w:ascii="宋体" w:hAnsi="宋体" w:eastAsia="宋体" w:cs="宋体"/>
          <w:spacing w:val="-34"/>
          <w:sz w:val="20"/>
          <w:szCs w:val="20"/>
        </w:rPr>
        <w:t xml:space="preserve"> </w:t>
      </w:r>
      <w:r>
        <w:rPr>
          <w:rFonts w:ascii="宋体" w:hAnsi="宋体" w:eastAsia="宋体" w:cs="宋体"/>
          <w:spacing w:val="10"/>
          <w:sz w:val="20"/>
          <w:szCs w:val="20"/>
        </w:rPr>
        <w:t>和《市政工程工程量计算规范》</w:t>
      </w:r>
      <w:r>
        <w:rPr>
          <w:rFonts w:ascii="宋体" w:hAnsi="宋体" w:eastAsia="宋体" w:cs="宋体"/>
          <w:sz w:val="20"/>
          <w:szCs w:val="20"/>
        </w:rPr>
        <w:t>GB</w:t>
      </w:r>
      <w:r>
        <w:rPr>
          <w:rFonts w:ascii="宋体" w:hAnsi="宋体" w:eastAsia="宋体" w:cs="宋体"/>
          <w:spacing w:val="10"/>
          <w:sz w:val="20"/>
          <w:szCs w:val="20"/>
        </w:rPr>
        <w:t>5085</w:t>
      </w:r>
      <w:r>
        <w:rPr>
          <w:rFonts w:ascii="宋体" w:hAnsi="宋体" w:eastAsia="宋体" w:cs="宋体"/>
          <w:spacing w:val="9"/>
          <w:sz w:val="20"/>
          <w:szCs w:val="20"/>
        </w:rPr>
        <w:t>7-2013</w:t>
      </w:r>
      <w:r>
        <w:rPr>
          <w:rFonts w:ascii="宋体" w:hAnsi="宋体" w:eastAsia="宋体" w:cs="宋体"/>
          <w:spacing w:val="-24"/>
          <w:sz w:val="20"/>
          <w:szCs w:val="20"/>
        </w:rPr>
        <w:t xml:space="preserve"> </w:t>
      </w:r>
      <w:r>
        <w:rPr>
          <w:rFonts w:ascii="宋体" w:hAnsi="宋体" w:eastAsia="宋体" w:cs="宋体"/>
          <w:spacing w:val="9"/>
          <w:sz w:val="20"/>
          <w:szCs w:val="20"/>
        </w:rPr>
        <w:t>的相应项目执行。</w:t>
      </w:r>
    </w:p>
    <w:p>
      <w:pPr>
        <w:spacing w:before="124" w:line="331" w:lineRule="auto"/>
        <w:ind w:left="3" w:right="17" w:firstLine="418"/>
        <w:rPr>
          <w:rFonts w:ascii="宋体" w:hAnsi="宋体" w:eastAsia="宋体" w:cs="宋体"/>
          <w:sz w:val="20"/>
          <w:szCs w:val="20"/>
        </w:rPr>
      </w:pPr>
      <w:r>
        <w:rPr>
          <w:rFonts w:ascii="宋体" w:hAnsi="宋体" w:eastAsia="宋体" w:cs="宋体"/>
          <w:spacing w:val="5"/>
          <w:sz w:val="20"/>
          <w:szCs w:val="20"/>
        </w:rPr>
        <w:t>7. 项目安装高度若超过基本高度时，应在“项目特征”中描述。通</w:t>
      </w:r>
      <w:r>
        <w:rPr>
          <w:rFonts w:ascii="宋体" w:hAnsi="宋体" w:eastAsia="宋体" w:cs="宋体"/>
          <w:spacing w:val="4"/>
          <w:sz w:val="20"/>
          <w:szCs w:val="20"/>
        </w:rPr>
        <w:t>用安装工程基本安装高度为：</w:t>
      </w:r>
      <w:r>
        <w:rPr>
          <w:rFonts w:ascii="宋体" w:hAnsi="宋体" w:eastAsia="宋体" w:cs="宋体"/>
          <w:spacing w:val="11"/>
          <w:sz w:val="20"/>
          <w:szCs w:val="20"/>
        </w:rPr>
        <w:t>机械设备安装工程</w:t>
      </w:r>
      <w:r>
        <w:rPr>
          <w:rFonts w:ascii="宋体" w:hAnsi="宋体" w:eastAsia="宋体" w:cs="宋体"/>
          <w:spacing w:val="-22"/>
          <w:sz w:val="20"/>
          <w:szCs w:val="20"/>
        </w:rPr>
        <w:t xml:space="preserve"> </w:t>
      </w:r>
      <w:r>
        <w:rPr>
          <w:rFonts w:ascii="宋体" w:hAnsi="宋体" w:eastAsia="宋体" w:cs="宋体"/>
          <w:spacing w:val="11"/>
          <w:sz w:val="20"/>
          <w:szCs w:val="20"/>
        </w:rPr>
        <w:t>10m；电气设备安装工程</w:t>
      </w:r>
      <w:r>
        <w:rPr>
          <w:rFonts w:ascii="宋体" w:hAnsi="宋体" w:eastAsia="宋体" w:cs="宋体"/>
          <w:spacing w:val="-42"/>
          <w:sz w:val="20"/>
          <w:szCs w:val="20"/>
        </w:rPr>
        <w:t xml:space="preserve"> </w:t>
      </w:r>
      <w:r>
        <w:rPr>
          <w:rFonts w:ascii="宋体" w:hAnsi="宋体" w:eastAsia="宋体" w:cs="宋体"/>
          <w:spacing w:val="11"/>
          <w:sz w:val="20"/>
          <w:szCs w:val="20"/>
        </w:rPr>
        <w:t>5m；建筑智能化工程</w:t>
      </w:r>
      <w:r>
        <w:rPr>
          <w:rFonts w:ascii="宋体" w:hAnsi="宋体" w:eastAsia="宋体" w:cs="宋体"/>
          <w:spacing w:val="-41"/>
          <w:sz w:val="20"/>
          <w:szCs w:val="20"/>
        </w:rPr>
        <w:t xml:space="preserve"> </w:t>
      </w:r>
      <w:r>
        <w:rPr>
          <w:rFonts w:ascii="宋体" w:hAnsi="宋体" w:eastAsia="宋体" w:cs="宋体"/>
          <w:spacing w:val="11"/>
          <w:sz w:val="20"/>
          <w:szCs w:val="20"/>
        </w:rPr>
        <w:t>5m；通风空调工程</w:t>
      </w:r>
      <w:r>
        <w:rPr>
          <w:rFonts w:ascii="宋体" w:hAnsi="宋体" w:eastAsia="宋体" w:cs="宋体"/>
          <w:spacing w:val="-36"/>
          <w:sz w:val="20"/>
          <w:szCs w:val="20"/>
        </w:rPr>
        <w:t xml:space="preserve"> </w:t>
      </w:r>
      <w:r>
        <w:rPr>
          <w:rFonts w:ascii="宋体" w:hAnsi="宋体" w:eastAsia="宋体" w:cs="宋体"/>
          <w:spacing w:val="11"/>
          <w:sz w:val="20"/>
          <w:szCs w:val="20"/>
        </w:rPr>
        <w:t>6m；消防</w:t>
      </w:r>
      <w:r>
        <w:rPr>
          <w:rFonts w:ascii="宋体" w:hAnsi="宋体" w:eastAsia="宋体" w:cs="宋体"/>
          <w:spacing w:val="10"/>
          <w:sz w:val="20"/>
          <w:szCs w:val="20"/>
        </w:rPr>
        <w:t>工程5m；给排水、采暖、燃气工程</w:t>
      </w:r>
      <w:r>
        <w:rPr>
          <w:rFonts w:ascii="宋体" w:hAnsi="宋体" w:eastAsia="宋体" w:cs="宋体"/>
          <w:spacing w:val="-33"/>
          <w:sz w:val="20"/>
          <w:szCs w:val="20"/>
        </w:rPr>
        <w:t xml:space="preserve"> </w:t>
      </w:r>
      <w:r>
        <w:rPr>
          <w:rFonts w:ascii="宋体" w:hAnsi="宋体" w:eastAsia="宋体" w:cs="宋体"/>
          <w:spacing w:val="10"/>
          <w:sz w:val="20"/>
          <w:szCs w:val="20"/>
        </w:rPr>
        <w:t>3.6m；刷油、防腐蚀、绝热工程</w:t>
      </w:r>
      <w:r>
        <w:rPr>
          <w:rFonts w:ascii="宋体" w:hAnsi="宋体" w:eastAsia="宋体" w:cs="宋体"/>
          <w:spacing w:val="-38"/>
          <w:sz w:val="20"/>
          <w:szCs w:val="20"/>
        </w:rPr>
        <w:t xml:space="preserve"> </w:t>
      </w:r>
      <w:r>
        <w:rPr>
          <w:rFonts w:ascii="宋体" w:hAnsi="宋体" w:eastAsia="宋体" w:cs="宋体"/>
          <w:spacing w:val="10"/>
          <w:sz w:val="20"/>
          <w:szCs w:val="20"/>
        </w:rPr>
        <w:t>6m。</w:t>
      </w:r>
    </w:p>
    <w:p>
      <w:pPr>
        <w:spacing w:before="123" w:line="278" w:lineRule="exact"/>
        <w:ind w:left="413"/>
        <w:rPr>
          <w:rFonts w:ascii="宋体" w:hAnsi="宋体" w:eastAsia="宋体" w:cs="宋体"/>
          <w:sz w:val="20"/>
          <w:szCs w:val="20"/>
        </w:rPr>
      </w:pPr>
      <w:r>
        <w:rPr>
          <w:rFonts w:ascii="宋体" w:hAnsi="宋体" w:eastAsia="宋体" w:cs="宋体"/>
          <w:b/>
          <w:bCs/>
          <w:spacing w:val="9"/>
          <w:position w:val="1"/>
          <w:sz w:val="20"/>
          <w:szCs w:val="20"/>
        </w:rPr>
        <w:t>（五）使用《市政工程工程量计算规范》</w:t>
      </w:r>
      <w:r>
        <w:rPr>
          <w:rFonts w:ascii="宋体" w:hAnsi="宋体" w:eastAsia="宋体" w:cs="宋体"/>
          <w:b/>
          <w:bCs/>
          <w:position w:val="1"/>
          <w:sz w:val="20"/>
          <w:szCs w:val="20"/>
        </w:rPr>
        <w:t>GB</w:t>
      </w:r>
      <w:r>
        <w:rPr>
          <w:rFonts w:ascii="宋体" w:hAnsi="宋体" w:eastAsia="宋体" w:cs="宋体"/>
          <w:b/>
          <w:bCs/>
          <w:spacing w:val="9"/>
          <w:position w:val="1"/>
          <w:sz w:val="20"/>
          <w:szCs w:val="20"/>
        </w:rPr>
        <w:t>50857-2013，应按照以下规定</w:t>
      </w:r>
      <w:r>
        <w:rPr>
          <w:rFonts w:ascii="宋体" w:hAnsi="宋体" w:eastAsia="宋体" w:cs="宋体"/>
          <w:b/>
          <w:bCs/>
          <w:spacing w:val="8"/>
          <w:position w:val="1"/>
          <w:sz w:val="20"/>
          <w:szCs w:val="20"/>
        </w:rPr>
        <w:t>执行：</w:t>
      </w:r>
    </w:p>
    <w:p>
      <w:pPr>
        <w:spacing w:before="121" w:line="366" w:lineRule="auto"/>
        <w:ind w:left="1" w:right="80" w:firstLine="438"/>
        <w:rPr>
          <w:rFonts w:ascii="宋体" w:hAnsi="宋体" w:eastAsia="宋体" w:cs="宋体"/>
          <w:sz w:val="20"/>
          <w:szCs w:val="20"/>
        </w:rPr>
      </w:pPr>
      <w:r>
        <w:rPr>
          <w:rFonts w:ascii="宋体" w:hAnsi="宋体" w:eastAsia="宋体" w:cs="宋体"/>
          <w:spacing w:val="8"/>
          <w:sz w:val="20"/>
          <w:szCs w:val="20"/>
        </w:rPr>
        <w:t>1. 市政工程涉及房屋建筑和装饰装修工程项目，按</w:t>
      </w:r>
      <w:r>
        <w:rPr>
          <w:rFonts w:ascii="宋体" w:hAnsi="宋体" w:eastAsia="宋体" w:cs="宋体"/>
          <w:spacing w:val="7"/>
          <w:sz w:val="20"/>
          <w:szCs w:val="20"/>
        </w:rPr>
        <w:t>照现行国家标准《房屋建筑与装饰工程工程</w:t>
      </w:r>
      <w:r>
        <w:rPr>
          <w:rFonts w:ascii="宋体" w:hAnsi="宋体" w:eastAsia="宋体" w:cs="宋体"/>
          <w:spacing w:val="8"/>
          <w:sz w:val="20"/>
          <w:szCs w:val="20"/>
        </w:rPr>
        <w:t>量计算规范》</w:t>
      </w:r>
      <w:r>
        <w:rPr>
          <w:rFonts w:ascii="宋体" w:hAnsi="宋体" w:eastAsia="宋体" w:cs="宋体"/>
          <w:sz w:val="20"/>
          <w:szCs w:val="20"/>
        </w:rPr>
        <w:t>GB</w:t>
      </w:r>
      <w:r>
        <w:rPr>
          <w:rFonts w:ascii="宋体" w:hAnsi="宋体" w:eastAsia="宋体" w:cs="宋体"/>
          <w:spacing w:val="8"/>
          <w:sz w:val="20"/>
          <w:szCs w:val="20"/>
        </w:rPr>
        <w:t>50854-2013</w:t>
      </w:r>
      <w:r>
        <w:rPr>
          <w:rFonts w:ascii="宋体" w:hAnsi="宋体" w:eastAsia="宋体" w:cs="宋体"/>
          <w:spacing w:val="-12"/>
          <w:sz w:val="20"/>
          <w:szCs w:val="20"/>
        </w:rPr>
        <w:t xml:space="preserve"> </w:t>
      </w:r>
      <w:r>
        <w:rPr>
          <w:rFonts w:ascii="宋体" w:hAnsi="宋体" w:eastAsia="宋体" w:cs="宋体"/>
          <w:spacing w:val="8"/>
          <w:sz w:val="20"/>
          <w:szCs w:val="20"/>
        </w:rPr>
        <w:t>的相应项目执行；涉及电气、给排水、消防等安装工程的项目，按照现</w:t>
      </w:r>
    </w:p>
    <w:p>
      <w:pPr>
        <w:spacing w:line="366" w:lineRule="auto"/>
        <w:rPr>
          <w:rFonts w:ascii="宋体" w:hAnsi="宋体" w:eastAsia="宋体" w:cs="宋体"/>
          <w:sz w:val="20"/>
          <w:szCs w:val="20"/>
        </w:rPr>
        <w:sectPr>
          <w:footerReference r:id="rId40" w:type="default"/>
          <w:pgSz w:w="11905" w:h="16840"/>
          <w:pgMar w:top="1431" w:right="1338" w:bottom="1213" w:left="1418" w:header="0" w:footer="898" w:gutter="0"/>
        </w:sectPr>
      </w:pPr>
    </w:p>
    <w:p>
      <w:pPr>
        <w:spacing w:before="124" w:line="369" w:lineRule="auto"/>
        <w:ind w:right="3"/>
        <w:jc w:val="both"/>
        <w:rPr>
          <w:rFonts w:ascii="宋体" w:hAnsi="宋体" w:eastAsia="宋体" w:cs="宋体"/>
          <w:sz w:val="20"/>
          <w:szCs w:val="20"/>
        </w:rPr>
      </w:pPr>
      <w:r>
        <w:rPr>
          <w:rFonts w:ascii="宋体" w:hAnsi="宋体" w:eastAsia="宋体" w:cs="宋体"/>
          <w:spacing w:val="8"/>
          <w:sz w:val="20"/>
          <w:szCs w:val="20"/>
        </w:rPr>
        <w:t>行国家标准《通用安装工程工程量计算规范》</w:t>
      </w:r>
      <w:r>
        <w:rPr>
          <w:rFonts w:ascii="宋体" w:hAnsi="宋体" w:eastAsia="宋体" w:cs="宋体"/>
          <w:sz w:val="20"/>
          <w:szCs w:val="20"/>
        </w:rPr>
        <w:t>GB</w:t>
      </w:r>
      <w:r>
        <w:rPr>
          <w:rFonts w:ascii="宋体" w:hAnsi="宋体" w:eastAsia="宋体" w:cs="宋体"/>
          <w:spacing w:val="8"/>
          <w:sz w:val="20"/>
          <w:szCs w:val="20"/>
        </w:rPr>
        <w:t>50856-2013</w:t>
      </w:r>
      <w:r>
        <w:rPr>
          <w:rFonts w:ascii="宋体" w:hAnsi="宋体" w:eastAsia="宋体" w:cs="宋体"/>
          <w:spacing w:val="-11"/>
          <w:sz w:val="20"/>
          <w:szCs w:val="20"/>
        </w:rPr>
        <w:t xml:space="preserve"> </w:t>
      </w:r>
      <w:r>
        <w:rPr>
          <w:rFonts w:ascii="宋体" w:hAnsi="宋体" w:eastAsia="宋体" w:cs="宋体"/>
          <w:spacing w:val="8"/>
          <w:sz w:val="20"/>
          <w:szCs w:val="20"/>
        </w:rPr>
        <w:t>的相应项目执行；涉及园林绿化工程的项目，按照现行国家标准《园林绿化工程工程量计算规范》</w:t>
      </w:r>
      <w:r>
        <w:rPr>
          <w:rFonts w:ascii="宋体" w:hAnsi="宋体" w:eastAsia="宋体" w:cs="宋体"/>
          <w:sz w:val="20"/>
          <w:szCs w:val="20"/>
        </w:rPr>
        <w:t>GB</w:t>
      </w:r>
      <w:r>
        <w:rPr>
          <w:rFonts w:ascii="宋体" w:hAnsi="宋体" w:eastAsia="宋体" w:cs="宋体"/>
          <w:spacing w:val="8"/>
          <w:sz w:val="20"/>
          <w:szCs w:val="20"/>
        </w:rPr>
        <w:t>50858-2013</w:t>
      </w:r>
      <w:r>
        <w:rPr>
          <w:rFonts w:ascii="宋体" w:hAnsi="宋体" w:eastAsia="宋体" w:cs="宋体"/>
          <w:spacing w:val="-11"/>
          <w:sz w:val="20"/>
          <w:szCs w:val="20"/>
        </w:rPr>
        <w:t xml:space="preserve"> </w:t>
      </w:r>
      <w:r>
        <w:rPr>
          <w:rFonts w:ascii="宋体" w:hAnsi="宋体" w:eastAsia="宋体" w:cs="宋体"/>
          <w:spacing w:val="8"/>
          <w:sz w:val="20"/>
          <w:szCs w:val="20"/>
        </w:rPr>
        <w:t>的相应项目执行；采用爆</w:t>
      </w:r>
      <w:r>
        <w:rPr>
          <w:rFonts w:ascii="宋体" w:hAnsi="宋体" w:eastAsia="宋体" w:cs="宋体"/>
          <w:spacing w:val="6"/>
          <w:sz w:val="20"/>
          <w:szCs w:val="20"/>
        </w:rPr>
        <w:t>破法施工的石方工程按照现行国家标准《爆破工程工程量</w:t>
      </w:r>
      <w:r>
        <w:rPr>
          <w:rFonts w:ascii="宋体" w:hAnsi="宋体" w:eastAsia="宋体" w:cs="宋体"/>
          <w:spacing w:val="5"/>
          <w:sz w:val="20"/>
          <w:szCs w:val="20"/>
        </w:rPr>
        <w:t>计算规范》</w:t>
      </w:r>
      <w:r>
        <w:rPr>
          <w:rFonts w:ascii="宋体" w:hAnsi="宋体" w:eastAsia="宋体" w:cs="宋体"/>
          <w:sz w:val="20"/>
          <w:szCs w:val="20"/>
        </w:rPr>
        <w:t>GB</w:t>
      </w:r>
      <w:r>
        <w:rPr>
          <w:rFonts w:ascii="宋体" w:hAnsi="宋体" w:eastAsia="宋体" w:cs="宋体"/>
          <w:spacing w:val="5"/>
          <w:sz w:val="20"/>
          <w:szCs w:val="20"/>
        </w:rPr>
        <w:t>50862-2013</w:t>
      </w:r>
      <w:r>
        <w:rPr>
          <w:rFonts w:ascii="宋体" w:hAnsi="宋体" w:eastAsia="宋体" w:cs="宋体"/>
          <w:spacing w:val="-23"/>
          <w:sz w:val="20"/>
          <w:szCs w:val="20"/>
        </w:rPr>
        <w:t xml:space="preserve"> </w:t>
      </w:r>
      <w:r>
        <w:rPr>
          <w:rFonts w:ascii="宋体" w:hAnsi="宋体" w:eastAsia="宋体" w:cs="宋体"/>
          <w:spacing w:val="5"/>
          <w:sz w:val="20"/>
          <w:szCs w:val="20"/>
        </w:rPr>
        <w:t>的相应项目执行。</w:t>
      </w:r>
      <w:r>
        <w:rPr>
          <w:rFonts w:ascii="宋体" w:hAnsi="宋体" w:eastAsia="宋体" w:cs="宋体"/>
          <w:spacing w:val="8"/>
          <w:sz w:val="20"/>
          <w:szCs w:val="20"/>
        </w:rPr>
        <w:t>具体划分界限确定如下：</w:t>
      </w:r>
    </w:p>
    <w:p>
      <w:pPr>
        <w:spacing w:before="3" w:line="331" w:lineRule="auto"/>
        <w:ind w:left="2" w:right="80" w:firstLine="410"/>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32"/>
          <w:sz w:val="20"/>
          <w:szCs w:val="20"/>
        </w:rPr>
        <w:t xml:space="preserve"> </w:t>
      </w:r>
      <w:r>
        <w:rPr>
          <w:rFonts w:ascii="宋体" w:hAnsi="宋体" w:eastAsia="宋体" w:cs="宋体"/>
          <w:spacing w:val="9"/>
          <w:sz w:val="20"/>
          <w:szCs w:val="20"/>
        </w:rPr>
        <w:t>1）规范管网工程与现行国家标准《通用安装工程工程量计算规范》</w:t>
      </w:r>
      <w:r>
        <w:rPr>
          <w:rFonts w:ascii="宋体" w:hAnsi="宋体" w:eastAsia="宋体" w:cs="宋体"/>
          <w:sz w:val="20"/>
          <w:szCs w:val="20"/>
        </w:rPr>
        <w:t>GB</w:t>
      </w:r>
      <w:r>
        <w:rPr>
          <w:rFonts w:ascii="宋体" w:hAnsi="宋体" w:eastAsia="宋体" w:cs="宋体"/>
          <w:spacing w:val="9"/>
          <w:sz w:val="20"/>
          <w:szCs w:val="20"/>
        </w:rPr>
        <w:t>50856-2013</w:t>
      </w:r>
      <w:r>
        <w:rPr>
          <w:rFonts w:ascii="宋体" w:hAnsi="宋体" w:eastAsia="宋体" w:cs="宋体"/>
          <w:spacing w:val="-20"/>
          <w:sz w:val="20"/>
          <w:szCs w:val="20"/>
        </w:rPr>
        <w:t xml:space="preserve"> </w:t>
      </w:r>
      <w:r>
        <w:rPr>
          <w:rFonts w:ascii="宋体" w:hAnsi="宋体" w:eastAsia="宋体" w:cs="宋体"/>
          <w:spacing w:val="9"/>
          <w:sz w:val="20"/>
          <w:szCs w:val="20"/>
        </w:rPr>
        <w:t>中工业管</w:t>
      </w:r>
      <w:r>
        <w:rPr>
          <w:rFonts w:ascii="宋体" w:hAnsi="宋体" w:eastAsia="宋体" w:cs="宋体"/>
          <w:spacing w:val="11"/>
          <w:sz w:val="20"/>
          <w:szCs w:val="20"/>
        </w:rPr>
        <w:t>道工程的界定：给水管道以厂区入口水表井为界；排水管道以厂区围墙外第</w:t>
      </w:r>
      <w:r>
        <w:rPr>
          <w:rFonts w:ascii="宋体" w:hAnsi="宋体" w:eastAsia="宋体" w:cs="宋体"/>
          <w:spacing w:val="10"/>
          <w:sz w:val="20"/>
          <w:szCs w:val="20"/>
        </w:rPr>
        <w:t>一个污水井为界；热力</w:t>
      </w:r>
      <w:r>
        <w:rPr>
          <w:rFonts w:ascii="宋体" w:hAnsi="宋体" w:eastAsia="宋体" w:cs="宋体"/>
          <w:spacing w:val="7"/>
          <w:sz w:val="20"/>
          <w:szCs w:val="20"/>
        </w:rPr>
        <w:t>和燃气管道以厂区入口第一个计量表（</w:t>
      </w:r>
      <w:r>
        <w:rPr>
          <w:rFonts w:ascii="宋体" w:hAnsi="宋体" w:eastAsia="宋体" w:cs="宋体"/>
          <w:spacing w:val="-50"/>
          <w:sz w:val="20"/>
          <w:szCs w:val="20"/>
        </w:rPr>
        <w:t xml:space="preserve"> </w:t>
      </w:r>
      <w:r>
        <w:rPr>
          <w:rFonts w:ascii="宋体" w:hAnsi="宋体" w:eastAsia="宋体" w:cs="宋体"/>
          <w:spacing w:val="7"/>
          <w:sz w:val="20"/>
          <w:szCs w:val="20"/>
        </w:rPr>
        <w:t>阀门）为界。</w:t>
      </w:r>
    </w:p>
    <w:p>
      <w:pPr>
        <w:spacing w:before="113" w:line="336" w:lineRule="auto"/>
        <w:ind w:left="1" w:firstLine="411"/>
        <w:rPr>
          <w:rFonts w:ascii="宋体" w:hAnsi="宋体" w:eastAsia="宋体" w:cs="宋体"/>
          <w:sz w:val="20"/>
          <w:szCs w:val="20"/>
        </w:rPr>
      </w:pPr>
      <w:r>
        <w:rPr>
          <w:rFonts w:ascii="宋体" w:hAnsi="宋体" w:eastAsia="宋体" w:cs="宋体"/>
          <w:spacing w:val="8"/>
          <w:sz w:val="20"/>
          <w:szCs w:val="20"/>
        </w:rPr>
        <w:t>（2）规范管网工程与现行国家标准《通用安装工程工程量计算规范》</w:t>
      </w:r>
      <w:r>
        <w:rPr>
          <w:rFonts w:ascii="宋体" w:hAnsi="宋体" w:eastAsia="宋体" w:cs="宋体"/>
          <w:sz w:val="20"/>
          <w:szCs w:val="20"/>
        </w:rPr>
        <w:t>GB</w:t>
      </w:r>
      <w:r>
        <w:rPr>
          <w:rFonts w:ascii="宋体" w:hAnsi="宋体" w:eastAsia="宋体" w:cs="宋体"/>
          <w:spacing w:val="7"/>
          <w:sz w:val="20"/>
          <w:szCs w:val="20"/>
        </w:rPr>
        <w:t>50856-2013</w:t>
      </w:r>
      <w:r>
        <w:rPr>
          <w:rFonts w:ascii="宋体" w:hAnsi="宋体" w:eastAsia="宋体" w:cs="宋体"/>
          <w:spacing w:val="-20"/>
          <w:sz w:val="20"/>
          <w:szCs w:val="20"/>
        </w:rPr>
        <w:t xml:space="preserve"> </w:t>
      </w:r>
      <w:r>
        <w:rPr>
          <w:rFonts w:ascii="宋体" w:hAnsi="宋体" w:eastAsia="宋体" w:cs="宋体"/>
          <w:spacing w:val="7"/>
          <w:sz w:val="20"/>
          <w:szCs w:val="20"/>
        </w:rPr>
        <w:t>中给排水、</w:t>
      </w:r>
      <w:r>
        <w:rPr>
          <w:rFonts w:ascii="宋体" w:hAnsi="宋体" w:eastAsia="宋体" w:cs="宋体"/>
          <w:spacing w:val="11"/>
          <w:sz w:val="20"/>
          <w:szCs w:val="20"/>
        </w:rPr>
        <w:t>采暖、燃气工程的界定：室内外给排水、采暖、燃气管道以与市政管道碰头井</w:t>
      </w:r>
      <w:r>
        <w:rPr>
          <w:rFonts w:ascii="宋体" w:hAnsi="宋体" w:eastAsia="宋体" w:cs="宋体"/>
          <w:spacing w:val="10"/>
          <w:sz w:val="20"/>
          <w:szCs w:val="20"/>
        </w:rPr>
        <w:t>为界；厂区、住宅小</w:t>
      </w:r>
      <w:r>
        <w:rPr>
          <w:rFonts w:ascii="宋体" w:hAnsi="宋体" w:eastAsia="宋体" w:cs="宋体"/>
          <w:spacing w:val="8"/>
          <w:sz w:val="20"/>
          <w:szCs w:val="20"/>
        </w:rPr>
        <w:t>区的庭院喷灌及喷泉水设备安装按现行国家标准《通用安装工程工程量计算规范》</w:t>
      </w:r>
      <w:r>
        <w:rPr>
          <w:rFonts w:ascii="宋体" w:hAnsi="宋体" w:eastAsia="宋体" w:cs="宋体"/>
          <w:sz w:val="20"/>
          <w:szCs w:val="20"/>
        </w:rPr>
        <w:t>GB</w:t>
      </w:r>
      <w:r>
        <w:rPr>
          <w:rFonts w:ascii="宋体" w:hAnsi="宋体" w:eastAsia="宋体" w:cs="宋体"/>
          <w:spacing w:val="8"/>
          <w:sz w:val="20"/>
          <w:szCs w:val="20"/>
        </w:rPr>
        <w:t>50856-2013</w:t>
      </w:r>
      <w:r>
        <w:rPr>
          <w:rFonts w:ascii="宋体" w:hAnsi="宋体" w:eastAsia="宋体" w:cs="宋体"/>
          <w:spacing w:val="-12"/>
          <w:sz w:val="20"/>
          <w:szCs w:val="20"/>
        </w:rPr>
        <w:t xml:space="preserve"> </w:t>
      </w:r>
      <w:r>
        <w:rPr>
          <w:rFonts w:ascii="宋体" w:hAnsi="宋体" w:eastAsia="宋体" w:cs="宋体"/>
          <w:spacing w:val="8"/>
          <w:sz w:val="20"/>
          <w:szCs w:val="20"/>
        </w:rPr>
        <w:t>中</w:t>
      </w:r>
      <w:r>
        <w:rPr>
          <w:rFonts w:ascii="宋体" w:hAnsi="宋体" w:eastAsia="宋体" w:cs="宋体"/>
          <w:spacing w:val="9"/>
          <w:sz w:val="20"/>
          <w:szCs w:val="20"/>
        </w:rPr>
        <w:t>的相应项目执行；市政庭院喷灌及喷泉水设备安装按本规范的相应项目执行。</w:t>
      </w:r>
    </w:p>
    <w:p>
      <w:pPr>
        <w:spacing w:before="154" w:line="341" w:lineRule="auto"/>
        <w:ind w:left="7" w:right="67" w:firstLine="405"/>
        <w:rPr>
          <w:rFonts w:ascii="宋体" w:hAnsi="宋体" w:eastAsia="宋体" w:cs="宋体"/>
          <w:sz w:val="20"/>
          <w:szCs w:val="20"/>
        </w:rPr>
      </w:pPr>
      <w:r>
        <w:rPr>
          <w:rFonts w:ascii="宋体" w:hAnsi="宋体" w:eastAsia="宋体" w:cs="宋体"/>
          <w:spacing w:val="14"/>
          <w:sz w:val="20"/>
          <w:szCs w:val="20"/>
        </w:rPr>
        <w:t>（3）规范水处理工程、生活垃圾处理工程与现行国家标准《通用安装工</w:t>
      </w:r>
      <w:r>
        <w:rPr>
          <w:rFonts w:ascii="宋体" w:hAnsi="宋体" w:eastAsia="宋体" w:cs="宋体"/>
          <w:spacing w:val="13"/>
          <w:sz w:val="20"/>
          <w:szCs w:val="20"/>
        </w:rPr>
        <w:t>程工程量计算规范》</w:t>
      </w:r>
      <w:r>
        <w:rPr>
          <w:rFonts w:ascii="宋体" w:hAnsi="宋体" w:eastAsia="宋体" w:cs="宋体"/>
          <w:sz w:val="20"/>
          <w:szCs w:val="20"/>
        </w:rPr>
        <w:t xml:space="preserve"> GB</w:t>
      </w:r>
      <w:r>
        <w:rPr>
          <w:rFonts w:ascii="宋体" w:hAnsi="宋体" w:eastAsia="宋体" w:cs="宋体"/>
          <w:spacing w:val="8"/>
          <w:sz w:val="20"/>
          <w:szCs w:val="20"/>
        </w:rPr>
        <w:t>50856-2013</w:t>
      </w:r>
      <w:r>
        <w:rPr>
          <w:rFonts w:ascii="宋体" w:hAnsi="宋体" w:eastAsia="宋体" w:cs="宋体"/>
          <w:spacing w:val="-18"/>
          <w:sz w:val="20"/>
          <w:szCs w:val="20"/>
        </w:rPr>
        <w:t xml:space="preserve"> </w:t>
      </w:r>
      <w:r>
        <w:rPr>
          <w:rFonts w:ascii="宋体" w:hAnsi="宋体" w:eastAsia="宋体" w:cs="宋体"/>
          <w:spacing w:val="8"/>
          <w:sz w:val="20"/>
          <w:szCs w:val="20"/>
        </w:rPr>
        <w:t>中设备安装工程的界定：本规范只列了水处理工程和生活垃圾处理工程专用设备的项</w:t>
      </w:r>
      <w:r>
        <w:rPr>
          <w:rFonts w:ascii="宋体" w:hAnsi="宋体" w:eastAsia="宋体" w:cs="宋体"/>
          <w:spacing w:val="15"/>
          <w:sz w:val="20"/>
          <w:szCs w:val="20"/>
        </w:rPr>
        <w:t>目</w:t>
      </w:r>
      <w:r>
        <w:rPr>
          <w:rFonts w:ascii="宋体" w:hAnsi="宋体" w:eastAsia="宋体" w:cs="宋体"/>
          <w:spacing w:val="-57"/>
          <w:sz w:val="20"/>
          <w:szCs w:val="20"/>
        </w:rPr>
        <w:t xml:space="preserve"> </w:t>
      </w:r>
      <w:r>
        <w:rPr>
          <w:rFonts w:ascii="宋体" w:hAnsi="宋体" w:eastAsia="宋体" w:cs="宋体"/>
          <w:spacing w:val="15"/>
          <w:sz w:val="20"/>
          <w:szCs w:val="20"/>
        </w:rPr>
        <w:t>，各类仪表、泵、阀门等标准、定型设备应按现行国家标准《通用安装工程工程量计算规</w:t>
      </w:r>
      <w:r>
        <w:rPr>
          <w:rFonts w:ascii="宋体" w:hAnsi="宋体" w:eastAsia="宋体" w:cs="宋体"/>
          <w:spacing w:val="14"/>
          <w:sz w:val="20"/>
          <w:szCs w:val="20"/>
        </w:rPr>
        <w:t>范》</w:t>
      </w:r>
      <w:r>
        <w:rPr>
          <w:rFonts w:ascii="宋体" w:hAnsi="宋体" w:eastAsia="宋体" w:cs="宋体"/>
          <w:sz w:val="20"/>
          <w:szCs w:val="20"/>
        </w:rPr>
        <w:t xml:space="preserve"> GB</w:t>
      </w:r>
      <w:r>
        <w:rPr>
          <w:rFonts w:ascii="宋体" w:hAnsi="宋体" w:eastAsia="宋体" w:cs="宋体"/>
          <w:spacing w:val="8"/>
          <w:sz w:val="20"/>
          <w:szCs w:val="20"/>
        </w:rPr>
        <w:t>50856-2013</w:t>
      </w:r>
      <w:r>
        <w:rPr>
          <w:rFonts w:ascii="宋体" w:hAnsi="宋体" w:eastAsia="宋体" w:cs="宋体"/>
          <w:spacing w:val="-14"/>
          <w:sz w:val="20"/>
          <w:szCs w:val="20"/>
        </w:rPr>
        <w:t xml:space="preserve"> </w:t>
      </w:r>
      <w:r>
        <w:rPr>
          <w:rFonts w:ascii="宋体" w:hAnsi="宋体" w:eastAsia="宋体" w:cs="宋体"/>
          <w:spacing w:val="8"/>
          <w:sz w:val="20"/>
          <w:szCs w:val="20"/>
        </w:rPr>
        <w:t>中相应项目执行。</w:t>
      </w:r>
    </w:p>
    <w:p>
      <w:pPr>
        <w:spacing w:before="122" w:line="340" w:lineRule="auto"/>
        <w:ind w:right="80" w:firstLine="412"/>
        <w:rPr>
          <w:rFonts w:ascii="宋体" w:hAnsi="宋体" w:eastAsia="宋体" w:cs="宋体"/>
          <w:sz w:val="20"/>
          <w:szCs w:val="20"/>
        </w:rPr>
      </w:pPr>
      <w:r>
        <w:rPr>
          <w:rFonts w:ascii="宋体" w:hAnsi="宋体" w:eastAsia="宋体" w:cs="宋体"/>
          <w:spacing w:val="11"/>
          <w:sz w:val="20"/>
          <w:szCs w:val="20"/>
        </w:rPr>
        <w:t>（4）规范路灯工程与现行国家标准《通用安装工程</w:t>
      </w:r>
      <w:r>
        <w:rPr>
          <w:rFonts w:ascii="宋体" w:hAnsi="宋体" w:eastAsia="宋体" w:cs="宋体"/>
          <w:spacing w:val="10"/>
          <w:sz w:val="20"/>
          <w:szCs w:val="20"/>
        </w:rPr>
        <w:t>工程量计算规范》</w:t>
      </w:r>
      <w:r>
        <w:rPr>
          <w:rFonts w:ascii="宋体" w:hAnsi="宋体" w:eastAsia="宋体" w:cs="宋体"/>
          <w:sz w:val="20"/>
          <w:szCs w:val="20"/>
        </w:rPr>
        <w:t>GB</w:t>
      </w:r>
      <w:r>
        <w:rPr>
          <w:rFonts w:ascii="宋体" w:hAnsi="宋体" w:eastAsia="宋体" w:cs="宋体"/>
          <w:spacing w:val="10"/>
          <w:sz w:val="20"/>
          <w:szCs w:val="20"/>
        </w:rPr>
        <w:t>50856-2013</w:t>
      </w:r>
      <w:r>
        <w:rPr>
          <w:rFonts w:ascii="宋体" w:hAnsi="宋体" w:eastAsia="宋体" w:cs="宋体"/>
          <w:spacing w:val="-20"/>
          <w:sz w:val="20"/>
          <w:szCs w:val="20"/>
        </w:rPr>
        <w:t xml:space="preserve"> </w:t>
      </w:r>
      <w:r>
        <w:rPr>
          <w:rFonts w:ascii="宋体" w:hAnsi="宋体" w:eastAsia="宋体" w:cs="宋体"/>
          <w:spacing w:val="10"/>
          <w:sz w:val="20"/>
          <w:szCs w:val="20"/>
        </w:rPr>
        <w:t>中电气设</w:t>
      </w:r>
      <w:r>
        <w:rPr>
          <w:rFonts w:ascii="宋体" w:hAnsi="宋体" w:eastAsia="宋体" w:cs="宋体"/>
          <w:spacing w:val="11"/>
          <w:sz w:val="20"/>
          <w:szCs w:val="20"/>
        </w:rPr>
        <w:t>备安装工程的界定：市政道路路灯安装工程、市政庭院艺术喷泉等电气安装工</w:t>
      </w:r>
      <w:r>
        <w:rPr>
          <w:rFonts w:ascii="宋体" w:hAnsi="宋体" w:eastAsia="宋体" w:cs="宋体"/>
          <w:spacing w:val="10"/>
          <w:sz w:val="20"/>
          <w:szCs w:val="20"/>
        </w:rPr>
        <w:t>程的项目，按本规范</w:t>
      </w:r>
      <w:r>
        <w:rPr>
          <w:rFonts w:ascii="宋体" w:hAnsi="宋体" w:eastAsia="宋体" w:cs="宋体"/>
          <w:spacing w:val="11"/>
          <w:sz w:val="20"/>
          <w:szCs w:val="20"/>
        </w:rPr>
        <w:t>路灯工程的相应项目执行；厂区、住宅小区的道路路灯安装工程、庭院艺术喷</w:t>
      </w:r>
      <w:r>
        <w:rPr>
          <w:rFonts w:ascii="宋体" w:hAnsi="宋体" w:eastAsia="宋体" w:cs="宋体"/>
          <w:spacing w:val="10"/>
          <w:sz w:val="20"/>
          <w:szCs w:val="20"/>
        </w:rPr>
        <w:t>泉等电气设备安装工</w:t>
      </w:r>
      <w:r>
        <w:rPr>
          <w:rFonts w:ascii="宋体" w:hAnsi="宋体" w:eastAsia="宋体" w:cs="宋体"/>
          <w:spacing w:val="12"/>
          <w:sz w:val="20"/>
          <w:szCs w:val="20"/>
        </w:rPr>
        <w:t>程按现行国家标准《通用安装工程工程量计算规范》</w:t>
      </w:r>
      <w:r>
        <w:rPr>
          <w:rFonts w:ascii="宋体" w:hAnsi="宋体" w:eastAsia="宋体" w:cs="宋体"/>
          <w:sz w:val="20"/>
          <w:szCs w:val="20"/>
        </w:rPr>
        <w:t>GB</w:t>
      </w:r>
      <w:r>
        <w:rPr>
          <w:rFonts w:ascii="宋体" w:hAnsi="宋体" w:eastAsia="宋体" w:cs="宋体"/>
          <w:spacing w:val="12"/>
          <w:sz w:val="20"/>
          <w:szCs w:val="20"/>
        </w:rPr>
        <w:t>50856-2013</w:t>
      </w:r>
      <w:r>
        <w:rPr>
          <w:rFonts w:ascii="宋体" w:hAnsi="宋体" w:eastAsia="宋体" w:cs="宋体"/>
          <w:spacing w:val="-26"/>
          <w:sz w:val="20"/>
          <w:szCs w:val="20"/>
        </w:rPr>
        <w:t xml:space="preserve"> </w:t>
      </w:r>
      <w:r>
        <w:rPr>
          <w:rFonts w:ascii="宋体" w:hAnsi="宋体" w:eastAsia="宋体" w:cs="宋体"/>
          <w:spacing w:val="12"/>
          <w:sz w:val="20"/>
          <w:szCs w:val="20"/>
        </w:rPr>
        <w:t>附录</w:t>
      </w:r>
      <w:r>
        <w:rPr>
          <w:rFonts w:ascii="宋体" w:hAnsi="宋体" w:eastAsia="宋体" w:cs="宋体"/>
          <w:spacing w:val="-37"/>
          <w:sz w:val="20"/>
          <w:szCs w:val="20"/>
        </w:rPr>
        <w:t xml:space="preserve"> </w:t>
      </w:r>
      <w:r>
        <w:rPr>
          <w:rFonts w:ascii="宋体" w:hAnsi="宋体" w:eastAsia="宋体" w:cs="宋体"/>
          <w:spacing w:val="12"/>
          <w:sz w:val="20"/>
          <w:szCs w:val="20"/>
        </w:rPr>
        <w:t>D</w:t>
      </w:r>
      <w:r>
        <w:rPr>
          <w:rFonts w:ascii="宋体" w:hAnsi="宋体" w:eastAsia="宋体" w:cs="宋体"/>
          <w:spacing w:val="-18"/>
          <w:sz w:val="20"/>
          <w:szCs w:val="20"/>
        </w:rPr>
        <w:t xml:space="preserve"> </w:t>
      </w:r>
      <w:r>
        <w:rPr>
          <w:rFonts w:ascii="宋体" w:hAnsi="宋体" w:eastAsia="宋体" w:cs="宋体"/>
          <w:spacing w:val="12"/>
          <w:sz w:val="20"/>
          <w:szCs w:val="20"/>
        </w:rPr>
        <w:t>电气设备</w:t>
      </w:r>
      <w:r>
        <w:rPr>
          <w:rFonts w:ascii="宋体" w:hAnsi="宋体" w:eastAsia="宋体" w:cs="宋体"/>
          <w:spacing w:val="11"/>
          <w:sz w:val="20"/>
          <w:szCs w:val="20"/>
        </w:rPr>
        <w:t>安装工程的相</w:t>
      </w:r>
      <w:r>
        <w:rPr>
          <w:rFonts w:ascii="宋体" w:hAnsi="宋体" w:eastAsia="宋体" w:cs="宋体"/>
          <w:spacing w:val="7"/>
          <w:sz w:val="20"/>
          <w:szCs w:val="20"/>
        </w:rPr>
        <w:t>应项目执行。</w:t>
      </w:r>
    </w:p>
    <w:p>
      <w:pPr>
        <w:spacing w:before="158" w:line="297" w:lineRule="auto"/>
        <w:ind w:right="80" w:firstLine="423"/>
        <w:rPr>
          <w:rFonts w:ascii="宋体" w:hAnsi="宋体" w:eastAsia="宋体" w:cs="宋体"/>
          <w:sz w:val="20"/>
          <w:szCs w:val="20"/>
        </w:rPr>
      </w:pPr>
      <w:r>
        <w:rPr>
          <w:rFonts w:ascii="宋体" w:hAnsi="宋体" w:eastAsia="宋体" w:cs="宋体"/>
          <w:spacing w:val="8"/>
          <w:sz w:val="20"/>
          <w:szCs w:val="20"/>
        </w:rPr>
        <w:t>2. 市政工程工程量计算规范附录中有两个或两个以上计量单位的，应结合拟建工程项目的实际</w:t>
      </w:r>
      <w:r>
        <w:rPr>
          <w:rFonts w:ascii="宋体" w:hAnsi="宋体" w:eastAsia="宋体" w:cs="宋体"/>
          <w:spacing w:val="9"/>
          <w:sz w:val="20"/>
          <w:szCs w:val="20"/>
        </w:rPr>
        <w:t>情况，确定其中一个为计量单位。同一工程项目的计量单位应一致。</w:t>
      </w:r>
    </w:p>
    <w:p>
      <w:pPr>
        <w:spacing w:before="156" w:line="333" w:lineRule="auto"/>
        <w:ind w:right="80" w:firstLine="425"/>
        <w:rPr>
          <w:rFonts w:ascii="宋体" w:hAnsi="宋体" w:eastAsia="宋体" w:cs="宋体"/>
          <w:sz w:val="20"/>
          <w:szCs w:val="20"/>
        </w:rPr>
      </w:pPr>
      <w:r>
        <w:rPr>
          <w:rFonts w:ascii="宋体" w:hAnsi="宋体" w:eastAsia="宋体" w:cs="宋体"/>
          <w:spacing w:val="8"/>
          <w:sz w:val="20"/>
          <w:szCs w:val="20"/>
        </w:rPr>
        <w:t>3. 现浇混凝土工程项目“工作内容”中包括模板工程的内容，同时又在“措施项目</w:t>
      </w:r>
      <w:r>
        <w:rPr>
          <w:rFonts w:ascii="宋体" w:hAnsi="宋体" w:eastAsia="宋体" w:cs="宋体"/>
          <w:spacing w:val="7"/>
          <w:sz w:val="20"/>
          <w:szCs w:val="20"/>
        </w:rPr>
        <w:t>”中单列了</w:t>
      </w:r>
      <w:r>
        <w:rPr>
          <w:rFonts w:ascii="宋体" w:hAnsi="宋体" w:eastAsia="宋体" w:cs="宋体"/>
          <w:spacing w:val="11"/>
          <w:sz w:val="20"/>
          <w:szCs w:val="20"/>
        </w:rPr>
        <w:t>现浇混凝土模板工程项目。对此，由招标人根据工程实际情况选用，若招标人</w:t>
      </w:r>
      <w:r>
        <w:rPr>
          <w:rFonts w:ascii="宋体" w:hAnsi="宋体" w:eastAsia="宋体" w:cs="宋体"/>
          <w:spacing w:val="10"/>
          <w:sz w:val="20"/>
          <w:szCs w:val="20"/>
        </w:rPr>
        <w:t>在措施项目清单中未</w:t>
      </w:r>
      <w:r>
        <w:rPr>
          <w:rFonts w:ascii="宋体" w:hAnsi="宋体" w:eastAsia="宋体" w:cs="宋体"/>
          <w:spacing w:val="11"/>
          <w:sz w:val="20"/>
          <w:szCs w:val="20"/>
        </w:rPr>
        <w:t>编列现浇混凝土模板项目清单，即表示现浇混凝土项目不单列，现浇混凝土工</w:t>
      </w:r>
      <w:r>
        <w:rPr>
          <w:rFonts w:ascii="宋体" w:hAnsi="宋体" w:eastAsia="宋体" w:cs="宋体"/>
          <w:spacing w:val="10"/>
          <w:sz w:val="20"/>
          <w:szCs w:val="20"/>
        </w:rPr>
        <w:t>程项目的综合单价中</w:t>
      </w:r>
      <w:r>
        <w:rPr>
          <w:rFonts w:ascii="宋体" w:hAnsi="宋体" w:eastAsia="宋体" w:cs="宋体"/>
          <w:spacing w:val="8"/>
          <w:sz w:val="20"/>
          <w:szCs w:val="20"/>
        </w:rPr>
        <w:t>应包括模板工程费用。</w:t>
      </w:r>
    </w:p>
    <w:p>
      <w:pPr>
        <w:spacing w:before="158" w:line="321" w:lineRule="auto"/>
        <w:ind w:left="1" w:right="80" w:firstLine="418"/>
        <w:rPr>
          <w:rFonts w:ascii="宋体" w:hAnsi="宋体" w:eastAsia="宋体" w:cs="宋体"/>
          <w:sz w:val="20"/>
          <w:szCs w:val="20"/>
        </w:rPr>
      </w:pPr>
      <w:r>
        <w:rPr>
          <w:rFonts w:ascii="宋体" w:hAnsi="宋体" w:eastAsia="宋体" w:cs="宋体"/>
          <w:spacing w:val="8"/>
          <w:sz w:val="20"/>
          <w:szCs w:val="20"/>
        </w:rPr>
        <w:t>4. 挖沟槽、基坑、一般土方因工作面和放坡增加的工程量（管沟工作面增加的工程量）应并入</w:t>
      </w:r>
      <w:r>
        <w:rPr>
          <w:rFonts w:ascii="宋体" w:hAnsi="宋体" w:eastAsia="宋体" w:cs="宋体"/>
          <w:spacing w:val="11"/>
          <w:sz w:val="20"/>
          <w:szCs w:val="20"/>
        </w:rPr>
        <w:t>各土方工程量中，土石方开挖的工作面宽度和放坡坡度按设计规定计算。设计</w:t>
      </w:r>
      <w:r>
        <w:rPr>
          <w:rFonts w:ascii="宋体" w:hAnsi="宋体" w:eastAsia="宋体" w:cs="宋体"/>
          <w:spacing w:val="10"/>
          <w:sz w:val="20"/>
          <w:szCs w:val="20"/>
        </w:rPr>
        <w:t>无规定时，暂按现行的消耗量定额有关规定执行，办理工程结算时，按经</w:t>
      </w:r>
      <w:r>
        <w:rPr>
          <w:rFonts w:ascii="宋体" w:hAnsi="宋体" w:eastAsia="宋体" w:cs="宋体"/>
          <w:spacing w:val="9"/>
          <w:sz w:val="20"/>
          <w:szCs w:val="20"/>
        </w:rPr>
        <w:t>发包人认可的施工组织设计规定计算。</w:t>
      </w:r>
    </w:p>
    <w:p>
      <w:pPr>
        <w:spacing w:before="155" w:line="296" w:lineRule="auto"/>
        <w:ind w:left="3" w:right="80" w:firstLine="420"/>
        <w:rPr>
          <w:rFonts w:ascii="宋体" w:hAnsi="宋体" w:eastAsia="宋体" w:cs="宋体"/>
          <w:sz w:val="20"/>
          <w:szCs w:val="20"/>
        </w:rPr>
      </w:pPr>
      <w:r>
        <w:rPr>
          <w:rFonts w:ascii="宋体" w:hAnsi="宋体" w:eastAsia="宋体" w:cs="宋体"/>
          <w:spacing w:val="9"/>
          <w:sz w:val="20"/>
          <w:szCs w:val="20"/>
        </w:rPr>
        <w:t>5. 路基处理中有关桩的清单项目特征中的桩长应包括桩尖，空桩长度=孔深—桩长</w:t>
      </w:r>
      <w:r>
        <w:rPr>
          <w:rFonts w:ascii="宋体" w:hAnsi="宋体" w:eastAsia="宋体" w:cs="宋体"/>
          <w:spacing w:val="-44"/>
          <w:sz w:val="20"/>
          <w:szCs w:val="20"/>
        </w:rPr>
        <w:t xml:space="preserve"> </w:t>
      </w:r>
      <w:r>
        <w:rPr>
          <w:rFonts w:ascii="宋体" w:hAnsi="宋体" w:eastAsia="宋体" w:cs="宋体"/>
          <w:spacing w:val="9"/>
          <w:sz w:val="20"/>
          <w:szCs w:val="20"/>
        </w:rPr>
        <w:t>，孔深为自</w:t>
      </w:r>
      <w:r>
        <w:rPr>
          <w:rFonts w:ascii="宋体" w:hAnsi="宋体" w:eastAsia="宋体" w:cs="宋体"/>
          <w:spacing w:val="8"/>
          <w:sz w:val="20"/>
          <w:szCs w:val="20"/>
        </w:rPr>
        <w:t>然地面至设计桩底的深度。</w:t>
      </w:r>
    </w:p>
    <w:p>
      <w:pPr>
        <w:spacing w:before="159" w:line="277" w:lineRule="exact"/>
        <w:ind w:left="423"/>
        <w:rPr>
          <w:rFonts w:ascii="宋体" w:hAnsi="宋体" w:eastAsia="宋体" w:cs="宋体"/>
          <w:sz w:val="20"/>
          <w:szCs w:val="20"/>
        </w:rPr>
      </w:pPr>
      <w:r>
        <w:rPr>
          <w:rFonts w:ascii="宋体" w:hAnsi="宋体" w:eastAsia="宋体" w:cs="宋体"/>
          <w:spacing w:val="8"/>
          <w:position w:val="1"/>
          <w:sz w:val="20"/>
          <w:szCs w:val="20"/>
        </w:rPr>
        <w:t>6. 桥涵工程中桩基工程量清单中的工作内容未含桩基础的承载力检测、桩身</w:t>
      </w:r>
      <w:r>
        <w:rPr>
          <w:rFonts w:ascii="宋体" w:hAnsi="宋体" w:eastAsia="宋体" w:cs="宋体"/>
          <w:spacing w:val="7"/>
          <w:position w:val="1"/>
          <w:sz w:val="20"/>
          <w:szCs w:val="20"/>
        </w:rPr>
        <w:t>完整性检测。</w:t>
      </w:r>
    </w:p>
    <w:p>
      <w:pPr>
        <w:spacing w:before="122" w:line="297" w:lineRule="auto"/>
        <w:ind w:left="18" w:right="80" w:firstLine="402"/>
        <w:rPr>
          <w:rFonts w:ascii="宋体" w:hAnsi="宋体" w:eastAsia="宋体" w:cs="宋体"/>
          <w:sz w:val="20"/>
          <w:szCs w:val="20"/>
        </w:rPr>
      </w:pPr>
      <w:r>
        <w:rPr>
          <w:rFonts w:ascii="宋体" w:hAnsi="宋体" w:eastAsia="宋体" w:cs="宋体"/>
          <w:spacing w:val="8"/>
          <w:sz w:val="20"/>
          <w:szCs w:val="20"/>
        </w:rPr>
        <w:t>7. 管网工程中管道检验及试验要求按各专业的施工验收规范及设计要求，对已完管道工程进行</w:t>
      </w:r>
      <w:r>
        <w:rPr>
          <w:rFonts w:ascii="宋体" w:hAnsi="宋体" w:eastAsia="宋体" w:cs="宋体"/>
          <w:spacing w:val="9"/>
          <w:sz w:val="20"/>
          <w:szCs w:val="20"/>
        </w:rPr>
        <w:t>的管道吹扫、冲洗消毒、强度试验、严密性试验、闭水试验等内容进行描述。</w:t>
      </w:r>
    </w:p>
    <w:p>
      <w:pPr>
        <w:spacing w:before="157" w:line="277" w:lineRule="exact"/>
        <w:ind w:left="425"/>
        <w:rPr>
          <w:rFonts w:ascii="宋体" w:hAnsi="宋体" w:eastAsia="宋体" w:cs="宋体"/>
          <w:sz w:val="20"/>
          <w:szCs w:val="20"/>
        </w:rPr>
      </w:pPr>
      <w:r>
        <w:rPr>
          <w:rFonts w:ascii="宋体" w:hAnsi="宋体" w:eastAsia="宋体" w:cs="宋体"/>
          <w:spacing w:val="8"/>
          <w:position w:val="1"/>
          <w:sz w:val="20"/>
          <w:szCs w:val="20"/>
        </w:rPr>
        <w:t>8. 拆除路面、人行道及管道清单项目的工作内容中均不包括基础及垫层拆除，发生时</w:t>
      </w:r>
      <w:r>
        <w:rPr>
          <w:rFonts w:ascii="宋体" w:hAnsi="宋体" w:eastAsia="宋体" w:cs="宋体"/>
          <w:spacing w:val="7"/>
          <w:position w:val="1"/>
          <w:sz w:val="20"/>
          <w:szCs w:val="20"/>
        </w:rPr>
        <w:t>按本章相</w:t>
      </w:r>
    </w:p>
    <w:p>
      <w:pPr>
        <w:spacing w:line="277" w:lineRule="exact"/>
        <w:rPr>
          <w:rFonts w:ascii="宋体" w:hAnsi="宋体" w:eastAsia="宋体" w:cs="宋体"/>
          <w:sz w:val="20"/>
          <w:szCs w:val="20"/>
        </w:rPr>
        <w:sectPr>
          <w:footerReference r:id="rId41" w:type="default"/>
          <w:pgSz w:w="11905" w:h="16840"/>
          <w:pgMar w:top="1431" w:right="1338" w:bottom="1213" w:left="1418" w:header="0" w:footer="898" w:gutter="0"/>
        </w:sectPr>
      </w:pPr>
    </w:p>
    <w:p>
      <w:pPr>
        <w:spacing w:before="129" w:line="220" w:lineRule="auto"/>
        <w:rPr>
          <w:rFonts w:ascii="宋体" w:hAnsi="宋体" w:eastAsia="宋体" w:cs="宋体"/>
          <w:sz w:val="20"/>
          <w:szCs w:val="20"/>
        </w:rPr>
      </w:pPr>
      <w:r>
        <w:rPr>
          <w:rFonts w:ascii="宋体" w:hAnsi="宋体" w:eastAsia="宋体" w:cs="宋体"/>
          <w:spacing w:val="8"/>
          <w:sz w:val="20"/>
          <w:szCs w:val="20"/>
        </w:rPr>
        <w:t>应清单项目编码列项。</w:t>
      </w:r>
    </w:p>
    <w:p>
      <w:pPr>
        <w:spacing w:before="158" w:line="351" w:lineRule="auto"/>
        <w:ind w:right="10" w:firstLine="422"/>
        <w:rPr>
          <w:rFonts w:ascii="宋体" w:hAnsi="宋体" w:eastAsia="宋体" w:cs="宋体"/>
          <w:sz w:val="20"/>
          <w:szCs w:val="20"/>
        </w:rPr>
      </w:pPr>
      <w:r>
        <w:rPr>
          <w:rFonts w:ascii="宋体" w:hAnsi="宋体" w:eastAsia="宋体" w:cs="宋体"/>
          <w:spacing w:val="10"/>
          <w:sz w:val="20"/>
          <w:szCs w:val="20"/>
        </w:rPr>
        <w:t>9. 伐树、挖树蔸应按现行国家标准《园林绿化工程工程量计算规范》</w:t>
      </w:r>
      <w:r>
        <w:rPr>
          <w:rFonts w:ascii="宋体" w:hAnsi="宋体" w:eastAsia="宋体" w:cs="宋体"/>
          <w:sz w:val="20"/>
          <w:szCs w:val="20"/>
        </w:rPr>
        <w:t>GB</w:t>
      </w:r>
      <w:r>
        <w:rPr>
          <w:rFonts w:ascii="宋体" w:hAnsi="宋体" w:eastAsia="宋体" w:cs="宋体"/>
          <w:spacing w:val="10"/>
          <w:sz w:val="20"/>
          <w:szCs w:val="20"/>
        </w:rPr>
        <w:t>50858-2013</w:t>
      </w:r>
      <w:r>
        <w:rPr>
          <w:rFonts w:ascii="宋体" w:hAnsi="宋体" w:eastAsia="宋体" w:cs="宋体"/>
          <w:spacing w:val="-15"/>
          <w:sz w:val="20"/>
          <w:szCs w:val="20"/>
        </w:rPr>
        <w:t xml:space="preserve"> </w:t>
      </w:r>
      <w:r>
        <w:rPr>
          <w:rFonts w:ascii="宋体" w:hAnsi="宋体" w:eastAsia="宋体" w:cs="宋体"/>
          <w:spacing w:val="10"/>
          <w:sz w:val="20"/>
          <w:szCs w:val="20"/>
        </w:rPr>
        <w:t>中相应清</w:t>
      </w:r>
      <w:r>
        <w:rPr>
          <w:rFonts w:ascii="宋体" w:hAnsi="宋体" w:eastAsia="宋体" w:cs="宋体"/>
          <w:spacing w:val="8"/>
          <w:sz w:val="20"/>
          <w:szCs w:val="20"/>
        </w:rPr>
        <w:t>单项目编码列项。</w:t>
      </w:r>
    </w:p>
    <w:p>
      <w:pPr>
        <w:spacing w:before="37" w:line="278" w:lineRule="exact"/>
        <w:ind w:left="413"/>
        <w:rPr>
          <w:rFonts w:ascii="宋体" w:hAnsi="宋体" w:eastAsia="宋体" w:cs="宋体"/>
          <w:sz w:val="20"/>
          <w:szCs w:val="20"/>
        </w:rPr>
      </w:pPr>
      <w:r>
        <w:rPr>
          <w:rFonts w:ascii="宋体" w:hAnsi="宋体" w:eastAsia="宋体" w:cs="宋体"/>
          <w:b/>
          <w:bCs/>
          <w:spacing w:val="9"/>
          <w:position w:val="1"/>
          <w:sz w:val="20"/>
          <w:szCs w:val="20"/>
        </w:rPr>
        <w:t>（六）使用《园林绿化工程工程量计算规范》</w:t>
      </w:r>
      <w:r>
        <w:rPr>
          <w:rFonts w:ascii="宋体" w:hAnsi="宋体" w:eastAsia="宋体" w:cs="宋体"/>
          <w:b/>
          <w:bCs/>
          <w:position w:val="1"/>
          <w:sz w:val="20"/>
          <w:szCs w:val="20"/>
        </w:rPr>
        <w:t>GB</w:t>
      </w:r>
      <w:r>
        <w:rPr>
          <w:rFonts w:ascii="宋体" w:hAnsi="宋体" w:eastAsia="宋体" w:cs="宋体"/>
          <w:b/>
          <w:bCs/>
          <w:spacing w:val="9"/>
          <w:position w:val="1"/>
          <w:sz w:val="20"/>
          <w:szCs w:val="20"/>
        </w:rPr>
        <w:t>50858-2013，应按照以下规定</w:t>
      </w:r>
      <w:r>
        <w:rPr>
          <w:rFonts w:ascii="宋体" w:hAnsi="宋体" w:eastAsia="宋体" w:cs="宋体"/>
          <w:b/>
          <w:bCs/>
          <w:spacing w:val="8"/>
          <w:position w:val="1"/>
          <w:sz w:val="20"/>
          <w:szCs w:val="20"/>
        </w:rPr>
        <w:t>执行：</w:t>
      </w:r>
    </w:p>
    <w:p>
      <w:pPr>
        <w:spacing w:before="124" w:line="350" w:lineRule="auto"/>
        <w:ind w:firstLine="440"/>
        <w:rPr>
          <w:rFonts w:ascii="宋体" w:hAnsi="宋体" w:eastAsia="宋体" w:cs="宋体"/>
          <w:sz w:val="20"/>
          <w:szCs w:val="20"/>
        </w:rPr>
      </w:pPr>
      <w:r>
        <w:rPr>
          <w:rFonts w:ascii="宋体" w:hAnsi="宋体" w:eastAsia="宋体" w:cs="宋体"/>
          <w:spacing w:val="8"/>
          <w:sz w:val="20"/>
          <w:szCs w:val="20"/>
        </w:rPr>
        <w:t>1. 园林绿化工程（另有规定者除外）涉及普通公共建</w:t>
      </w:r>
      <w:r>
        <w:rPr>
          <w:rFonts w:ascii="宋体" w:hAnsi="宋体" w:eastAsia="宋体" w:cs="宋体"/>
          <w:spacing w:val="7"/>
          <w:sz w:val="20"/>
          <w:szCs w:val="20"/>
        </w:rPr>
        <w:t>筑物等工程的项目以及垂直运输机械、大</w:t>
      </w:r>
      <w:r>
        <w:rPr>
          <w:rFonts w:ascii="宋体" w:hAnsi="宋体" w:eastAsia="宋体" w:cs="宋体"/>
          <w:spacing w:val="15"/>
          <w:sz w:val="20"/>
          <w:szCs w:val="20"/>
        </w:rPr>
        <w:t>型机械设备进出场及安拆等项目</w:t>
      </w:r>
      <w:r>
        <w:rPr>
          <w:rFonts w:ascii="宋体" w:hAnsi="宋体" w:eastAsia="宋体" w:cs="宋体"/>
          <w:spacing w:val="-52"/>
          <w:sz w:val="20"/>
          <w:szCs w:val="20"/>
        </w:rPr>
        <w:t xml:space="preserve"> </w:t>
      </w:r>
      <w:r>
        <w:rPr>
          <w:rFonts w:ascii="宋体" w:hAnsi="宋体" w:eastAsia="宋体" w:cs="宋体"/>
          <w:spacing w:val="15"/>
          <w:sz w:val="20"/>
          <w:szCs w:val="20"/>
        </w:rPr>
        <w:t>，按现行国家标准《房屋建筑与装饰工程工程量清单计算规范》</w:t>
      </w:r>
      <w:r>
        <w:rPr>
          <w:rFonts w:ascii="宋体" w:hAnsi="宋体" w:eastAsia="宋体" w:cs="宋体"/>
          <w:sz w:val="20"/>
          <w:szCs w:val="20"/>
        </w:rPr>
        <w:t xml:space="preserve"> GB</w:t>
      </w:r>
      <w:r>
        <w:rPr>
          <w:rFonts w:ascii="宋体" w:hAnsi="宋体" w:eastAsia="宋体" w:cs="宋体"/>
          <w:spacing w:val="8"/>
          <w:sz w:val="20"/>
          <w:szCs w:val="20"/>
        </w:rPr>
        <w:t>50854-2013</w:t>
      </w:r>
      <w:r>
        <w:rPr>
          <w:rFonts w:ascii="宋体" w:hAnsi="宋体" w:eastAsia="宋体" w:cs="宋体"/>
          <w:spacing w:val="-10"/>
          <w:sz w:val="20"/>
          <w:szCs w:val="20"/>
        </w:rPr>
        <w:t xml:space="preserve"> </w:t>
      </w:r>
      <w:r>
        <w:rPr>
          <w:rFonts w:ascii="宋体" w:hAnsi="宋体" w:eastAsia="宋体" w:cs="宋体"/>
          <w:spacing w:val="8"/>
          <w:sz w:val="20"/>
          <w:szCs w:val="20"/>
        </w:rPr>
        <w:t>的相应项目执行；涉及仿古建筑工程的项目，按现行国家标准《仿古建筑工程工程量计算规范》</w:t>
      </w:r>
      <w:r>
        <w:rPr>
          <w:rFonts w:ascii="宋体" w:hAnsi="宋体" w:eastAsia="宋体" w:cs="宋体"/>
          <w:sz w:val="20"/>
          <w:szCs w:val="20"/>
        </w:rPr>
        <w:t>GB</w:t>
      </w:r>
      <w:r>
        <w:rPr>
          <w:rFonts w:ascii="宋体" w:hAnsi="宋体" w:eastAsia="宋体" w:cs="宋体"/>
          <w:spacing w:val="8"/>
          <w:sz w:val="20"/>
          <w:szCs w:val="20"/>
        </w:rPr>
        <w:t>50855-2013</w:t>
      </w:r>
      <w:r>
        <w:rPr>
          <w:rFonts w:ascii="宋体" w:hAnsi="宋体" w:eastAsia="宋体" w:cs="宋体"/>
          <w:spacing w:val="-10"/>
          <w:sz w:val="20"/>
          <w:szCs w:val="20"/>
        </w:rPr>
        <w:t xml:space="preserve"> </w:t>
      </w:r>
      <w:r>
        <w:rPr>
          <w:rFonts w:ascii="宋体" w:hAnsi="宋体" w:eastAsia="宋体" w:cs="宋体"/>
          <w:spacing w:val="8"/>
          <w:sz w:val="20"/>
          <w:szCs w:val="20"/>
        </w:rPr>
        <w:t>的相应项目执行；涉及电气、给排水等安装工程的项目，按照现行国家标准《通用安装工程工程量计算规范》</w:t>
      </w:r>
      <w:r>
        <w:rPr>
          <w:rFonts w:ascii="宋体" w:hAnsi="宋体" w:eastAsia="宋体" w:cs="宋体"/>
          <w:sz w:val="20"/>
          <w:szCs w:val="20"/>
        </w:rPr>
        <w:t>GB</w:t>
      </w:r>
      <w:r>
        <w:rPr>
          <w:rFonts w:ascii="宋体" w:hAnsi="宋体" w:eastAsia="宋体" w:cs="宋体"/>
          <w:spacing w:val="8"/>
          <w:sz w:val="20"/>
          <w:szCs w:val="20"/>
        </w:rPr>
        <w:t>50856-2013</w:t>
      </w:r>
      <w:r>
        <w:rPr>
          <w:rFonts w:ascii="宋体" w:hAnsi="宋体" w:eastAsia="宋体" w:cs="宋体"/>
          <w:spacing w:val="-10"/>
          <w:sz w:val="20"/>
          <w:szCs w:val="20"/>
        </w:rPr>
        <w:t xml:space="preserve"> </w:t>
      </w:r>
      <w:r>
        <w:rPr>
          <w:rFonts w:ascii="宋体" w:hAnsi="宋体" w:eastAsia="宋体" w:cs="宋体"/>
          <w:spacing w:val="8"/>
          <w:sz w:val="20"/>
          <w:szCs w:val="20"/>
        </w:rPr>
        <w:t>的相应项目执行；涉及市政道路、路灯等市政工</w:t>
      </w:r>
      <w:r>
        <w:rPr>
          <w:rFonts w:ascii="宋体" w:hAnsi="宋体" w:eastAsia="宋体" w:cs="宋体"/>
          <w:spacing w:val="10"/>
          <w:sz w:val="20"/>
          <w:szCs w:val="20"/>
        </w:rPr>
        <w:t>程的项目，按现行国家标准《市政工程工程量清单计算规范》</w:t>
      </w:r>
      <w:r>
        <w:rPr>
          <w:rFonts w:ascii="宋体" w:hAnsi="宋体" w:eastAsia="宋体" w:cs="宋体"/>
          <w:sz w:val="20"/>
          <w:szCs w:val="20"/>
        </w:rPr>
        <w:t>GB</w:t>
      </w:r>
      <w:r>
        <w:rPr>
          <w:rFonts w:ascii="宋体" w:hAnsi="宋体" w:eastAsia="宋体" w:cs="宋体"/>
          <w:spacing w:val="10"/>
          <w:sz w:val="20"/>
          <w:szCs w:val="20"/>
        </w:rPr>
        <w:t>5</w:t>
      </w:r>
      <w:r>
        <w:rPr>
          <w:rFonts w:ascii="宋体" w:hAnsi="宋体" w:eastAsia="宋体" w:cs="宋体"/>
          <w:spacing w:val="9"/>
          <w:sz w:val="20"/>
          <w:szCs w:val="20"/>
        </w:rPr>
        <w:t>0857-2013</w:t>
      </w:r>
      <w:r>
        <w:rPr>
          <w:rFonts w:ascii="宋体" w:hAnsi="宋体" w:eastAsia="宋体" w:cs="宋体"/>
          <w:spacing w:val="-24"/>
          <w:sz w:val="20"/>
          <w:szCs w:val="20"/>
        </w:rPr>
        <w:t xml:space="preserve"> </w:t>
      </w:r>
      <w:r>
        <w:rPr>
          <w:rFonts w:ascii="宋体" w:hAnsi="宋体" w:eastAsia="宋体" w:cs="宋体"/>
          <w:spacing w:val="9"/>
          <w:sz w:val="20"/>
          <w:szCs w:val="20"/>
        </w:rPr>
        <w:t>的相应项目执行。</w:t>
      </w:r>
    </w:p>
    <w:p>
      <w:pPr>
        <w:spacing w:before="123" w:line="298" w:lineRule="auto"/>
        <w:ind w:left="4" w:right="12" w:firstLine="418"/>
        <w:rPr>
          <w:rFonts w:ascii="宋体" w:hAnsi="宋体" w:eastAsia="宋体" w:cs="宋体"/>
          <w:sz w:val="20"/>
          <w:szCs w:val="20"/>
        </w:rPr>
      </w:pPr>
      <w:r>
        <w:rPr>
          <w:rFonts w:ascii="宋体" w:hAnsi="宋体" w:eastAsia="宋体" w:cs="宋体"/>
          <w:spacing w:val="8"/>
          <w:sz w:val="20"/>
          <w:szCs w:val="20"/>
        </w:rPr>
        <w:t>2. 园林绿化工程工程量计算规范附录中有两个或两个以上计量单位的，应结合拟建工程项目的</w:t>
      </w:r>
      <w:r>
        <w:rPr>
          <w:rFonts w:ascii="宋体" w:hAnsi="宋体" w:eastAsia="宋体" w:cs="宋体"/>
          <w:spacing w:val="9"/>
          <w:sz w:val="20"/>
          <w:szCs w:val="20"/>
        </w:rPr>
        <w:t>实际情况，确定其中一个为计量单位。同一工程项目的计量单位应一致。</w:t>
      </w:r>
    </w:p>
    <w:p>
      <w:pPr>
        <w:spacing w:before="154" w:line="333" w:lineRule="auto"/>
        <w:ind w:right="12" w:firstLine="425"/>
        <w:rPr>
          <w:rFonts w:ascii="宋体" w:hAnsi="宋体" w:eastAsia="宋体" w:cs="宋体"/>
          <w:sz w:val="20"/>
          <w:szCs w:val="20"/>
        </w:rPr>
      </w:pPr>
      <w:r>
        <w:rPr>
          <w:rFonts w:ascii="宋体" w:hAnsi="宋体" w:eastAsia="宋体" w:cs="宋体"/>
          <w:spacing w:val="8"/>
          <w:sz w:val="20"/>
          <w:szCs w:val="20"/>
        </w:rPr>
        <w:t>3. 现浇混凝土工程项目“工作内容”中包括模板工程的内容，同时又在“措施项目</w:t>
      </w:r>
      <w:r>
        <w:rPr>
          <w:rFonts w:ascii="宋体" w:hAnsi="宋体" w:eastAsia="宋体" w:cs="宋体"/>
          <w:spacing w:val="7"/>
          <w:sz w:val="20"/>
          <w:szCs w:val="20"/>
        </w:rPr>
        <w:t>”中单列了</w:t>
      </w:r>
      <w:r>
        <w:rPr>
          <w:rFonts w:ascii="宋体" w:hAnsi="宋体" w:eastAsia="宋体" w:cs="宋体"/>
          <w:spacing w:val="11"/>
          <w:sz w:val="20"/>
          <w:szCs w:val="20"/>
        </w:rPr>
        <w:t>现浇混凝土模板工程项目。对此，由招标人根据工程实际情况选用，若招标人</w:t>
      </w:r>
      <w:r>
        <w:rPr>
          <w:rFonts w:ascii="宋体" w:hAnsi="宋体" w:eastAsia="宋体" w:cs="宋体"/>
          <w:spacing w:val="10"/>
          <w:sz w:val="20"/>
          <w:szCs w:val="20"/>
        </w:rPr>
        <w:t>在措施项目清单中未</w:t>
      </w:r>
      <w:r>
        <w:rPr>
          <w:rFonts w:ascii="宋体" w:hAnsi="宋体" w:eastAsia="宋体" w:cs="宋体"/>
          <w:spacing w:val="11"/>
          <w:sz w:val="20"/>
          <w:szCs w:val="20"/>
        </w:rPr>
        <w:t>编列现浇混凝土模板项目清单，即表示现浇混凝土项目不单列，现浇混凝土工</w:t>
      </w:r>
      <w:r>
        <w:rPr>
          <w:rFonts w:ascii="宋体" w:hAnsi="宋体" w:eastAsia="宋体" w:cs="宋体"/>
          <w:spacing w:val="10"/>
          <w:sz w:val="20"/>
          <w:szCs w:val="20"/>
        </w:rPr>
        <w:t>程项目的综合单价中</w:t>
      </w:r>
      <w:r>
        <w:rPr>
          <w:rFonts w:ascii="宋体" w:hAnsi="宋体" w:eastAsia="宋体" w:cs="宋体"/>
          <w:spacing w:val="8"/>
          <w:sz w:val="20"/>
          <w:szCs w:val="20"/>
        </w:rPr>
        <w:t>应包括模板工程费用。</w:t>
      </w:r>
    </w:p>
    <w:p>
      <w:pPr>
        <w:spacing w:before="158" w:line="312" w:lineRule="auto"/>
        <w:ind w:left="17" w:right="12" w:firstLine="402"/>
        <w:rPr>
          <w:rFonts w:ascii="宋体" w:hAnsi="宋体" w:eastAsia="宋体" w:cs="宋体"/>
          <w:sz w:val="20"/>
          <w:szCs w:val="20"/>
        </w:rPr>
      </w:pPr>
      <w:r>
        <w:rPr>
          <w:rFonts w:ascii="宋体" w:hAnsi="宋体" w:eastAsia="宋体" w:cs="宋体"/>
          <w:spacing w:val="8"/>
          <w:sz w:val="20"/>
          <w:szCs w:val="20"/>
        </w:rPr>
        <w:t>4. 预制混凝土构件按现场制作编制项目，“工作内容”中包括模板工程，不再另列。若采用成</w:t>
      </w:r>
      <w:r>
        <w:rPr>
          <w:rFonts w:ascii="宋体" w:hAnsi="宋体" w:eastAsia="宋体" w:cs="宋体"/>
          <w:spacing w:val="9"/>
          <w:sz w:val="20"/>
          <w:szCs w:val="20"/>
        </w:rPr>
        <w:t>品预制混凝土构件时，构件成品价（包括模板、钢筋、混凝土等所有费用）应计入综合单价中。</w:t>
      </w:r>
    </w:p>
    <w:p>
      <w:pPr>
        <w:spacing w:before="122" w:line="277" w:lineRule="exact"/>
        <w:ind w:left="423"/>
        <w:rPr>
          <w:rFonts w:ascii="宋体" w:hAnsi="宋体" w:eastAsia="宋体" w:cs="宋体"/>
          <w:sz w:val="20"/>
          <w:szCs w:val="20"/>
        </w:rPr>
      </w:pPr>
      <w:r>
        <w:rPr>
          <w:rFonts w:ascii="宋体" w:hAnsi="宋体" w:eastAsia="宋体" w:cs="宋体"/>
          <w:spacing w:val="7"/>
          <w:position w:val="1"/>
          <w:sz w:val="20"/>
          <w:szCs w:val="20"/>
        </w:rPr>
        <w:t>5. 挖土外运、借土回填、挖（凿）土（石）方应包括在相关栽植项目内。</w:t>
      </w:r>
    </w:p>
    <w:p>
      <w:pPr>
        <w:spacing w:before="125" w:line="313" w:lineRule="auto"/>
        <w:ind w:right="12" w:firstLine="423"/>
        <w:rPr>
          <w:rFonts w:ascii="宋体" w:hAnsi="宋体" w:eastAsia="宋体" w:cs="宋体"/>
          <w:sz w:val="20"/>
          <w:szCs w:val="20"/>
        </w:rPr>
      </w:pPr>
      <w:r>
        <w:rPr>
          <w:rFonts w:ascii="宋体" w:hAnsi="宋体" w:eastAsia="宋体" w:cs="宋体"/>
          <w:spacing w:val="8"/>
          <w:sz w:val="20"/>
          <w:szCs w:val="20"/>
        </w:rPr>
        <w:t>6. 园路、园桥、驳岸、假山（堆筑土山丘除外）工程的挖土方、开凿石方、回填等及台阶</w:t>
      </w:r>
      <w:r>
        <w:rPr>
          <w:rFonts w:ascii="宋体" w:hAnsi="宋体" w:eastAsia="宋体" w:cs="宋体"/>
          <w:spacing w:val="7"/>
          <w:sz w:val="20"/>
          <w:szCs w:val="20"/>
        </w:rPr>
        <w:t>项目</w:t>
      </w:r>
      <w:r>
        <w:rPr>
          <w:rFonts w:ascii="宋体" w:hAnsi="宋体" w:eastAsia="宋体" w:cs="宋体"/>
          <w:spacing w:val="9"/>
          <w:sz w:val="20"/>
          <w:szCs w:val="20"/>
        </w:rPr>
        <w:t>应按现行国家标准《房屋建筑与装饰工程工程量计算规范》相关项目编码列项。</w:t>
      </w:r>
    </w:p>
    <w:p>
      <w:pPr>
        <w:spacing w:before="120" w:line="278" w:lineRule="exact"/>
        <w:ind w:left="421"/>
        <w:rPr>
          <w:rFonts w:ascii="宋体" w:hAnsi="宋体" w:eastAsia="宋体" w:cs="宋体"/>
          <w:sz w:val="20"/>
          <w:szCs w:val="20"/>
        </w:rPr>
      </w:pPr>
      <w:r>
        <w:rPr>
          <w:rFonts w:ascii="宋体" w:hAnsi="宋体" w:eastAsia="宋体" w:cs="宋体"/>
          <w:spacing w:val="4"/>
          <w:position w:val="1"/>
          <w:sz w:val="20"/>
          <w:szCs w:val="20"/>
        </w:rPr>
        <w:t>7. 苗木计算应符合下列规定：</w:t>
      </w:r>
    </w:p>
    <w:p>
      <w:pPr>
        <w:spacing w:before="123" w:line="277"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29"/>
          <w:position w:val="1"/>
          <w:sz w:val="20"/>
          <w:szCs w:val="20"/>
        </w:rPr>
        <w:t xml:space="preserve"> </w:t>
      </w:r>
      <w:r>
        <w:rPr>
          <w:rFonts w:ascii="宋体" w:hAnsi="宋体" w:eastAsia="宋体" w:cs="宋体"/>
          <w:spacing w:val="4"/>
          <w:position w:val="1"/>
          <w:sz w:val="20"/>
          <w:szCs w:val="20"/>
        </w:rPr>
        <w:t>1）胸径应为地表面向上</w:t>
      </w:r>
      <w:r>
        <w:rPr>
          <w:rFonts w:ascii="宋体" w:hAnsi="宋体" w:eastAsia="宋体" w:cs="宋体"/>
          <w:spacing w:val="-22"/>
          <w:position w:val="1"/>
          <w:sz w:val="20"/>
          <w:szCs w:val="20"/>
        </w:rPr>
        <w:t xml:space="preserve"> </w:t>
      </w:r>
      <w:r>
        <w:rPr>
          <w:rFonts w:ascii="宋体" w:hAnsi="宋体" w:eastAsia="宋体" w:cs="宋体"/>
          <w:spacing w:val="4"/>
          <w:position w:val="1"/>
          <w:sz w:val="20"/>
          <w:szCs w:val="20"/>
        </w:rPr>
        <w:t>1.2M</w:t>
      </w:r>
      <w:r>
        <w:rPr>
          <w:rFonts w:ascii="宋体" w:hAnsi="宋体" w:eastAsia="宋体" w:cs="宋体"/>
          <w:spacing w:val="-38"/>
          <w:position w:val="1"/>
          <w:sz w:val="20"/>
          <w:szCs w:val="20"/>
        </w:rPr>
        <w:t xml:space="preserve"> </w:t>
      </w:r>
      <w:r>
        <w:rPr>
          <w:rFonts w:ascii="宋体" w:hAnsi="宋体" w:eastAsia="宋体" w:cs="宋体"/>
          <w:spacing w:val="4"/>
          <w:position w:val="1"/>
          <w:sz w:val="20"/>
          <w:szCs w:val="20"/>
        </w:rPr>
        <w:t>高处树干直径。</w:t>
      </w:r>
    </w:p>
    <w:p>
      <w:pPr>
        <w:spacing w:before="124" w:line="276" w:lineRule="exact"/>
        <w:ind w:left="413"/>
        <w:rPr>
          <w:rFonts w:ascii="宋体" w:hAnsi="宋体" w:eastAsia="宋体" w:cs="宋体"/>
          <w:sz w:val="20"/>
          <w:szCs w:val="20"/>
        </w:rPr>
      </w:pPr>
      <w:r>
        <w:rPr>
          <w:rFonts w:ascii="宋体" w:hAnsi="宋体" w:eastAsia="宋体" w:cs="宋体"/>
          <w:spacing w:val="10"/>
          <w:position w:val="1"/>
          <w:sz w:val="20"/>
          <w:szCs w:val="20"/>
        </w:rPr>
        <w:t>（2）冠径又称冠幅，应为苗木冠丛垂直投影面的最大</w:t>
      </w:r>
      <w:r>
        <w:rPr>
          <w:rFonts w:ascii="宋体" w:hAnsi="宋体" w:eastAsia="宋体" w:cs="宋体"/>
          <w:spacing w:val="9"/>
          <w:position w:val="1"/>
          <w:sz w:val="20"/>
          <w:szCs w:val="20"/>
        </w:rPr>
        <w:t>直径和最小直径之间的平均值。</w:t>
      </w:r>
    </w:p>
    <w:p>
      <w:pPr>
        <w:spacing w:before="122" w:line="278" w:lineRule="exact"/>
        <w:ind w:left="413"/>
        <w:rPr>
          <w:rFonts w:ascii="宋体" w:hAnsi="宋体" w:eastAsia="宋体" w:cs="宋体"/>
          <w:sz w:val="20"/>
          <w:szCs w:val="20"/>
        </w:rPr>
      </w:pPr>
      <w:r>
        <w:rPr>
          <w:rFonts w:ascii="宋体" w:hAnsi="宋体" w:eastAsia="宋体" w:cs="宋体"/>
          <w:spacing w:val="9"/>
          <w:position w:val="1"/>
          <w:sz w:val="20"/>
          <w:szCs w:val="20"/>
        </w:rPr>
        <w:t>（3）蓬径应为灌木、灌丛垂直投影面的直径。</w:t>
      </w:r>
    </w:p>
    <w:p>
      <w:pPr>
        <w:spacing w:before="123" w:line="277" w:lineRule="exact"/>
        <w:ind w:left="413"/>
        <w:rPr>
          <w:rFonts w:ascii="宋体" w:hAnsi="宋体" w:eastAsia="宋体" w:cs="宋体"/>
          <w:sz w:val="20"/>
          <w:szCs w:val="20"/>
        </w:rPr>
      </w:pPr>
      <w:r>
        <w:rPr>
          <w:rFonts w:ascii="宋体" w:hAnsi="宋体" w:eastAsia="宋体" w:cs="宋体"/>
          <w:spacing w:val="8"/>
          <w:position w:val="1"/>
          <w:sz w:val="20"/>
          <w:szCs w:val="20"/>
        </w:rPr>
        <w:t>（4）地径应为地表面向上</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0.1M</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高处树干</w:t>
      </w:r>
      <w:r>
        <w:rPr>
          <w:rFonts w:ascii="宋体" w:hAnsi="宋体" w:eastAsia="宋体" w:cs="宋体"/>
          <w:spacing w:val="7"/>
          <w:position w:val="1"/>
          <w:sz w:val="20"/>
          <w:szCs w:val="20"/>
        </w:rPr>
        <w:t>直径。</w:t>
      </w:r>
    </w:p>
    <w:p>
      <w:pPr>
        <w:spacing w:before="124" w:line="277" w:lineRule="exact"/>
        <w:ind w:left="413"/>
        <w:rPr>
          <w:rFonts w:ascii="宋体" w:hAnsi="宋体" w:eastAsia="宋体" w:cs="宋体"/>
          <w:sz w:val="20"/>
          <w:szCs w:val="20"/>
        </w:rPr>
      </w:pPr>
      <w:r>
        <w:rPr>
          <w:rFonts w:ascii="宋体" w:hAnsi="宋体" w:eastAsia="宋体" w:cs="宋体"/>
          <w:spacing w:val="8"/>
          <w:position w:val="1"/>
          <w:sz w:val="20"/>
          <w:szCs w:val="20"/>
        </w:rPr>
        <w:t>（5）干径应为地表面向上</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0.3M</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高处树干</w:t>
      </w:r>
      <w:r>
        <w:rPr>
          <w:rFonts w:ascii="宋体" w:hAnsi="宋体" w:eastAsia="宋体" w:cs="宋体"/>
          <w:spacing w:val="7"/>
          <w:position w:val="1"/>
          <w:sz w:val="20"/>
          <w:szCs w:val="20"/>
        </w:rPr>
        <w:t>直径。</w:t>
      </w:r>
    </w:p>
    <w:p>
      <w:pPr>
        <w:spacing w:before="121" w:line="278" w:lineRule="exact"/>
        <w:ind w:left="413"/>
        <w:rPr>
          <w:rFonts w:ascii="宋体" w:hAnsi="宋体" w:eastAsia="宋体" w:cs="宋体"/>
          <w:sz w:val="20"/>
          <w:szCs w:val="20"/>
        </w:rPr>
      </w:pPr>
      <w:r>
        <w:rPr>
          <w:rFonts w:ascii="宋体" w:hAnsi="宋体" w:eastAsia="宋体" w:cs="宋体"/>
          <w:spacing w:val="9"/>
          <w:position w:val="1"/>
          <w:sz w:val="20"/>
          <w:szCs w:val="20"/>
        </w:rPr>
        <w:t>（6）株高应为地表面至树顶端的高度。</w:t>
      </w:r>
    </w:p>
    <w:p>
      <w:pPr>
        <w:spacing w:before="123" w:line="278" w:lineRule="exact"/>
        <w:ind w:left="413"/>
        <w:rPr>
          <w:rFonts w:ascii="宋体" w:hAnsi="宋体" w:eastAsia="宋体" w:cs="宋体"/>
          <w:sz w:val="20"/>
          <w:szCs w:val="20"/>
        </w:rPr>
      </w:pPr>
      <w:r>
        <w:rPr>
          <w:rFonts w:ascii="宋体" w:hAnsi="宋体" w:eastAsia="宋体" w:cs="宋体"/>
          <w:spacing w:val="9"/>
          <w:position w:val="1"/>
          <w:sz w:val="20"/>
          <w:szCs w:val="20"/>
        </w:rPr>
        <w:t>（7）冠丛高应为地表面至乔（灌）木顶端的高度。</w:t>
      </w:r>
    </w:p>
    <w:p>
      <w:pPr>
        <w:spacing w:before="123" w:line="278" w:lineRule="exact"/>
        <w:ind w:left="413"/>
        <w:rPr>
          <w:rFonts w:ascii="宋体" w:hAnsi="宋体" w:eastAsia="宋体" w:cs="宋体"/>
          <w:sz w:val="20"/>
          <w:szCs w:val="20"/>
        </w:rPr>
      </w:pPr>
      <w:r>
        <w:rPr>
          <w:rFonts w:ascii="宋体" w:hAnsi="宋体" w:eastAsia="宋体" w:cs="宋体"/>
          <w:spacing w:val="9"/>
          <w:position w:val="1"/>
          <w:sz w:val="20"/>
          <w:szCs w:val="20"/>
        </w:rPr>
        <w:t>（8）篱高应为地表面至绿篱顶端的高度。</w:t>
      </w:r>
    </w:p>
    <w:p>
      <w:pPr>
        <w:spacing w:before="120" w:line="278" w:lineRule="exact"/>
        <w:ind w:left="413"/>
        <w:rPr>
          <w:rFonts w:ascii="宋体" w:hAnsi="宋体" w:eastAsia="宋体" w:cs="宋体"/>
          <w:sz w:val="20"/>
          <w:szCs w:val="20"/>
        </w:rPr>
      </w:pPr>
      <w:r>
        <w:rPr>
          <w:rFonts w:ascii="宋体" w:hAnsi="宋体" w:eastAsia="宋体" w:cs="宋体"/>
          <w:spacing w:val="9"/>
          <w:position w:val="1"/>
          <w:sz w:val="20"/>
          <w:szCs w:val="20"/>
        </w:rPr>
        <w:t>（9）养护期应为招标文件中要求苗木种植结束后承包人负责养护的时间。</w:t>
      </w:r>
    </w:p>
    <w:p>
      <w:pPr>
        <w:spacing w:before="123" w:line="277" w:lineRule="exact"/>
        <w:ind w:left="425"/>
        <w:rPr>
          <w:rFonts w:ascii="宋体" w:hAnsi="宋体" w:eastAsia="宋体" w:cs="宋体"/>
          <w:sz w:val="20"/>
          <w:szCs w:val="20"/>
        </w:rPr>
      </w:pPr>
      <w:r>
        <w:rPr>
          <w:rFonts w:ascii="宋体" w:hAnsi="宋体" w:eastAsia="宋体" w:cs="宋体"/>
          <w:spacing w:val="7"/>
          <w:position w:val="1"/>
          <w:sz w:val="20"/>
          <w:szCs w:val="20"/>
        </w:rPr>
        <w:t>8. 土球包裹材料、树体输液保湿及喷洒生根剂等费用包含在相应项目内。</w:t>
      </w:r>
    </w:p>
    <w:p>
      <w:pPr>
        <w:spacing w:before="123" w:line="312" w:lineRule="auto"/>
        <w:ind w:right="12" w:firstLine="423"/>
        <w:rPr>
          <w:rFonts w:ascii="宋体" w:hAnsi="宋体" w:eastAsia="宋体" w:cs="宋体"/>
          <w:sz w:val="20"/>
          <w:szCs w:val="20"/>
        </w:rPr>
      </w:pPr>
      <w:r>
        <w:rPr>
          <w:rFonts w:ascii="宋体" w:hAnsi="宋体" w:eastAsia="宋体" w:cs="宋体"/>
          <w:spacing w:val="8"/>
          <w:sz w:val="20"/>
          <w:szCs w:val="20"/>
        </w:rPr>
        <w:t>9. 驳岸工程的挖土方、开凿石方、回填等应按现行国家标准《房屋建筑与装饰工程工程量清单</w:t>
      </w:r>
      <w:r>
        <w:rPr>
          <w:rFonts w:ascii="宋体" w:hAnsi="宋体" w:eastAsia="宋体" w:cs="宋体"/>
          <w:spacing w:val="10"/>
          <w:sz w:val="20"/>
          <w:szCs w:val="20"/>
        </w:rPr>
        <w:t>计算规范》</w:t>
      </w:r>
      <w:r>
        <w:rPr>
          <w:rFonts w:ascii="宋体" w:hAnsi="宋体" w:eastAsia="宋体" w:cs="宋体"/>
          <w:sz w:val="20"/>
          <w:szCs w:val="20"/>
        </w:rPr>
        <w:t>GB</w:t>
      </w:r>
      <w:r>
        <w:rPr>
          <w:rFonts w:ascii="宋体" w:hAnsi="宋体" w:eastAsia="宋体" w:cs="宋体"/>
          <w:spacing w:val="10"/>
          <w:sz w:val="20"/>
          <w:szCs w:val="20"/>
        </w:rPr>
        <w:t>50854-2013</w:t>
      </w:r>
      <w:r>
        <w:rPr>
          <w:rFonts w:ascii="宋体" w:hAnsi="宋体" w:eastAsia="宋体" w:cs="宋体"/>
          <w:spacing w:val="-25"/>
          <w:sz w:val="20"/>
          <w:szCs w:val="20"/>
        </w:rPr>
        <w:t xml:space="preserve"> </w:t>
      </w:r>
      <w:r>
        <w:rPr>
          <w:rFonts w:ascii="宋体" w:hAnsi="宋体" w:eastAsia="宋体" w:cs="宋体"/>
          <w:spacing w:val="10"/>
          <w:sz w:val="20"/>
          <w:szCs w:val="20"/>
        </w:rPr>
        <w:t>附录</w:t>
      </w:r>
      <w:r>
        <w:rPr>
          <w:rFonts w:ascii="宋体" w:hAnsi="宋体" w:eastAsia="宋体" w:cs="宋体"/>
          <w:spacing w:val="-43"/>
          <w:sz w:val="20"/>
          <w:szCs w:val="20"/>
        </w:rPr>
        <w:t xml:space="preserve"> </w:t>
      </w:r>
      <w:r>
        <w:rPr>
          <w:rFonts w:ascii="宋体" w:hAnsi="宋体" w:eastAsia="宋体" w:cs="宋体"/>
          <w:spacing w:val="10"/>
          <w:sz w:val="20"/>
          <w:szCs w:val="20"/>
        </w:rPr>
        <w:t>A</w:t>
      </w:r>
      <w:r>
        <w:rPr>
          <w:rFonts w:ascii="宋体" w:hAnsi="宋体" w:eastAsia="宋体" w:cs="宋体"/>
          <w:spacing w:val="-42"/>
          <w:sz w:val="20"/>
          <w:szCs w:val="20"/>
        </w:rPr>
        <w:t xml:space="preserve"> </w:t>
      </w:r>
      <w:r>
        <w:rPr>
          <w:rFonts w:ascii="宋体" w:hAnsi="宋体" w:eastAsia="宋体" w:cs="宋体"/>
          <w:spacing w:val="10"/>
          <w:sz w:val="20"/>
          <w:szCs w:val="20"/>
        </w:rPr>
        <w:t>相关项目编码列项。</w:t>
      </w:r>
    </w:p>
    <w:p>
      <w:pPr>
        <w:spacing w:before="124" w:line="278" w:lineRule="exact"/>
        <w:ind w:right="12"/>
        <w:jc w:val="right"/>
        <w:rPr>
          <w:rFonts w:ascii="宋体" w:hAnsi="宋体" w:eastAsia="宋体" w:cs="宋体"/>
          <w:sz w:val="20"/>
          <w:szCs w:val="20"/>
        </w:rPr>
      </w:pPr>
      <w:r>
        <w:rPr>
          <w:rFonts w:ascii="宋体" w:hAnsi="宋体" w:eastAsia="宋体" w:cs="宋体"/>
          <w:spacing w:val="10"/>
          <w:position w:val="1"/>
          <w:sz w:val="20"/>
          <w:szCs w:val="20"/>
        </w:rPr>
        <w:t>10. 钢筋混凝土仿木桩驳岸，其钢筋混凝土及表面装饰应按现行国家标准《房屋建</w:t>
      </w:r>
      <w:r>
        <w:rPr>
          <w:rFonts w:ascii="宋体" w:hAnsi="宋体" w:eastAsia="宋体" w:cs="宋体"/>
          <w:spacing w:val="9"/>
          <w:position w:val="1"/>
          <w:sz w:val="20"/>
          <w:szCs w:val="20"/>
        </w:rPr>
        <w:t>筑与装饰工</w:t>
      </w:r>
    </w:p>
    <w:p>
      <w:pPr>
        <w:spacing w:line="278" w:lineRule="exact"/>
        <w:rPr>
          <w:rFonts w:ascii="宋体" w:hAnsi="宋体" w:eastAsia="宋体" w:cs="宋体"/>
          <w:sz w:val="20"/>
          <w:szCs w:val="20"/>
        </w:rPr>
        <w:sectPr>
          <w:footerReference r:id="rId42" w:type="default"/>
          <w:pgSz w:w="11905" w:h="16840"/>
          <w:pgMar w:top="1431" w:right="1406" w:bottom="1213" w:left="1418" w:header="0" w:footer="898" w:gutter="0"/>
        </w:sectPr>
      </w:pPr>
    </w:p>
    <w:p>
      <w:pPr>
        <w:spacing w:before="124" w:line="351" w:lineRule="auto"/>
        <w:ind w:firstLine="4"/>
        <w:rPr>
          <w:rFonts w:ascii="宋体" w:hAnsi="宋体" w:eastAsia="宋体" w:cs="宋体"/>
          <w:sz w:val="20"/>
          <w:szCs w:val="20"/>
        </w:rPr>
      </w:pPr>
      <w:r>
        <w:rPr>
          <w:rFonts w:ascii="宋体" w:hAnsi="宋体" w:eastAsia="宋体" w:cs="宋体"/>
          <w:spacing w:val="9"/>
          <w:sz w:val="20"/>
          <w:szCs w:val="20"/>
        </w:rPr>
        <w:t>程工程量清单计算规范》</w:t>
      </w:r>
      <w:r>
        <w:rPr>
          <w:rFonts w:ascii="宋体" w:hAnsi="宋体" w:eastAsia="宋体" w:cs="宋体"/>
          <w:sz w:val="20"/>
          <w:szCs w:val="20"/>
        </w:rPr>
        <w:t>GB</w:t>
      </w:r>
      <w:r>
        <w:rPr>
          <w:rFonts w:ascii="宋体" w:hAnsi="宋体" w:eastAsia="宋体" w:cs="宋体"/>
          <w:spacing w:val="9"/>
          <w:sz w:val="20"/>
          <w:szCs w:val="20"/>
        </w:rPr>
        <w:t>50854-2013</w:t>
      </w:r>
      <w:r>
        <w:rPr>
          <w:rFonts w:ascii="宋体" w:hAnsi="宋体" w:eastAsia="宋体" w:cs="宋体"/>
          <w:spacing w:val="-24"/>
          <w:sz w:val="20"/>
          <w:szCs w:val="20"/>
        </w:rPr>
        <w:t xml:space="preserve"> </w:t>
      </w:r>
      <w:r>
        <w:rPr>
          <w:rFonts w:ascii="宋体" w:hAnsi="宋体" w:eastAsia="宋体" w:cs="宋体"/>
          <w:spacing w:val="9"/>
          <w:sz w:val="20"/>
          <w:szCs w:val="20"/>
        </w:rPr>
        <w:t>相关项目编码列项，若表面“塑松皮”按本规范附录</w:t>
      </w:r>
      <w:r>
        <w:rPr>
          <w:rFonts w:ascii="宋体" w:hAnsi="宋体" w:eastAsia="宋体" w:cs="宋体"/>
          <w:spacing w:val="-36"/>
          <w:sz w:val="20"/>
          <w:szCs w:val="20"/>
        </w:rPr>
        <w:t xml:space="preserve"> </w:t>
      </w:r>
      <w:r>
        <w:rPr>
          <w:rFonts w:ascii="宋体" w:hAnsi="宋体" w:eastAsia="宋体" w:cs="宋体"/>
          <w:spacing w:val="9"/>
          <w:sz w:val="20"/>
          <w:szCs w:val="20"/>
        </w:rPr>
        <w:t>C“园林景观工程”相关项目编码列项。</w:t>
      </w:r>
    </w:p>
    <w:p>
      <w:pPr>
        <w:spacing w:before="41" w:line="277" w:lineRule="exact"/>
        <w:ind w:left="442"/>
        <w:rPr>
          <w:rFonts w:ascii="宋体" w:hAnsi="宋体" w:eastAsia="宋体" w:cs="宋体"/>
          <w:sz w:val="20"/>
          <w:szCs w:val="20"/>
        </w:rPr>
      </w:pPr>
      <w:r>
        <w:rPr>
          <w:rFonts w:ascii="宋体" w:hAnsi="宋体" w:eastAsia="宋体" w:cs="宋体"/>
          <w:spacing w:val="8"/>
          <w:position w:val="1"/>
          <w:sz w:val="20"/>
          <w:szCs w:val="20"/>
        </w:rPr>
        <w:t>11. 框格花木护岸的铺草皮、撒草籽等应按本规范附录</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A“绿化工程”相关项</w:t>
      </w:r>
      <w:r>
        <w:rPr>
          <w:rFonts w:ascii="宋体" w:hAnsi="宋体" w:eastAsia="宋体" w:cs="宋体"/>
          <w:spacing w:val="7"/>
          <w:position w:val="1"/>
          <w:sz w:val="20"/>
          <w:szCs w:val="20"/>
        </w:rPr>
        <w:t>目编码列项。</w:t>
      </w:r>
    </w:p>
    <w:p>
      <w:pPr>
        <w:spacing w:before="121" w:line="313" w:lineRule="auto"/>
        <w:ind w:left="9" w:firstLine="432"/>
        <w:rPr>
          <w:rFonts w:ascii="宋体" w:hAnsi="宋体" w:eastAsia="宋体" w:cs="宋体"/>
          <w:sz w:val="20"/>
          <w:szCs w:val="20"/>
        </w:rPr>
      </w:pPr>
      <w:r>
        <w:rPr>
          <w:rFonts w:ascii="宋体" w:hAnsi="宋体" w:eastAsia="宋体" w:cs="宋体"/>
          <w:spacing w:val="10"/>
          <w:sz w:val="20"/>
          <w:szCs w:val="20"/>
        </w:rPr>
        <w:t>12. 假山（堆筑土山丘除外）工程的挖土方、开凿石方、回填等应按现行国家标准</w:t>
      </w:r>
      <w:r>
        <w:rPr>
          <w:rFonts w:ascii="宋体" w:hAnsi="宋体" w:eastAsia="宋体" w:cs="宋体"/>
          <w:spacing w:val="9"/>
          <w:sz w:val="20"/>
          <w:szCs w:val="20"/>
        </w:rPr>
        <w:t>《房屋建筑</w:t>
      </w:r>
      <w:r>
        <w:rPr>
          <w:rFonts w:ascii="宋体" w:hAnsi="宋体" w:eastAsia="宋体" w:cs="宋体"/>
          <w:spacing w:val="10"/>
          <w:sz w:val="20"/>
          <w:szCs w:val="20"/>
        </w:rPr>
        <w:t>与装饰工程工程量清单计算规范》</w:t>
      </w:r>
      <w:r>
        <w:rPr>
          <w:rFonts w:ascii="宋体" w:hAnsi="宋体" w:eastAsia="宋体" w:cs="宋体"/>
          <w:sz w:val="20"/>
          <w:szCs w:val="20"/>
        </w:rPr>
        <w:t>GB</w:t>
      </w:r>
      <w:r>
        <w:rPr>
          <w:rFonts w:ascii="宋体" w:hAnsi="宋体" w:eastAsia="宋体" w:cs="宋体"/>
          <w:spacing w:val="10"/>
          <w:sz w:val="20"/>
          <w:szCs w:val="20"/>
        </w:rPr>
        <w:t>50854-2013</w:t>
      </w:r>
      <w:r>
        <w:rPr>
          <w:rFonts w:ascii="宋体" w:hAnsi="宋体" w:eastAsia="宋体" w:cs="宋体"/>
          <w:spacing w:val="-41"/>
          <w:sz w:val="20"/>
          <w:szCs w:val="20"/>
        </w:rPr>
        <w:t xml:space="preserve"> </w:t>
      </w:r>
      <w:r>
        <w:rPr>
          <w:rFonts w:ascii="宋体" w:hAnsi="宋体" w:eastAsia="宋体" w:cs="宋体"/>
          <w:spacing w:val="9"/>
          <w:sz w:val="20"/>
          <w:szCs w:val="20"/>
        </w:rPr>
        <w:t>相关项目编码列项。</w:t>
      </w:r>
    </w:p>
    <w:p>
      <w:pPr>
        <w:spacing w:before="123" w:line="278" w:lineRule="exact"/>
        <w:ind w:left="442"/>
        <w:rPr>
          <w:rFonts w:ascii="宋体" w:hAnsi="宋体" w:eastAsia="宋体" w:cs="宋体"/>
          <w:sz w:val="20"/>
          <w:szCs w:val="20"/>
        </w:rPr>
      </w:pPr>
      <w:r>
        <w:rPr>
          <w:rFonts w:ascii="宋体" w:hAnsi="宋体" w:eastAsia="宋体" w:cs="宋体"/>
          <w:spacing w:val="4"/>
          <w:position w:val="1"/>
          <w:sz w:val="20"/>
          <w:szCs w:val="20"/>
        </w:rPr>
        <w:t>13. 堆筑土山丘，适用于夯填、堆筑而成。</w:t>
      </w:r>
    </w:p>
    <w:p>
      <w:pPr>
        <w:spacing w:before="120" w:line="313" w:lineRule="auto"/>
        <w:ind w:left="4" w:firstLine="438"/>
        <w:rPr>
          <w:rFonts w:ascii="宋体" w:hAnsi="宋体" w:eastAsia="宋体" w:cs="宋体"/>
          <w:sz w:val="20"/>
          <w:szCs w:val="20"/>
        </w:rPr>
      </w:pPr>
      <w:r>
        <w:rPr>
          <w:rFonts w:ascii="宋体" w:hAnsi="宋体" w:eastAsia="宋体" w:cs="宋体"/>
          <w:spacing w:val="10"/>
          <w:sz w:val="20"/>
          <w:szCs w:val="20"/>
        </w:rPr>
        <w:t>14. 花架基础、玻璃天棚、表面装饰及涂料项目应按现行国家标准《房屋建筑与装</w:t>
      </w:r>
      <w:r>
        <w:rPr>
          <w:rFonts w:ascii="宋体" w:hAnsi="宋体" w:eastAsia="宋体" w:cs="宋体"/>
          <w:spacing w:val="9"/>
          <w:sz w:val="20"/>
          <w:szCs w:val="20"/>
        </w:rPr>
        <w:t>饰工程工程量清单计算规范》</w:t>
      </w:r>
      <w:r>
        <w:rPr>
          <w:rFonts w:ascii="宋体" w:hAnsi="宋体" w:eastAsia="宋体" w:cs="宋体"/>
          <w:sz w:val="20"/>
          <w:szCs w:val="20"/>
        </w:rPr>
        <w:t>GB</w:t>
      </w:r>
      <w:r>
        <w:rPr>
          <w:rFonts w:ascii="宋体" w:hAnsi="宋体" w:eastAsia="宋体" w:cs="宋体"/>
          <w:spacing w:val="9"/>
          <w:sz w:val="20"/>
          <w:szCs w:val="20"/>
        </w:rPr>
        <w:t>50854-2013</w:t>
      </w:r>
      <w:r>
        <w:rPr>
          <w:rFonts w:ascii="宋体" w:hAnsi="宋体" w:eastAsia="宋体" w:cs="宋体"/>
          <w:spacing w:val="-16"/>
          <w:sz w:val="20"/>
          <w:szCs w:val="20"/>
        </w:rPr>
        <w:t xml:space="preserve"> </w:t>
      </w:r>
      <w:r>
        <w:rPr>
          <w:rFonts w:ascii="宋体" w:hAnsi="宋体" w:eastAsia="宋体" w:cs="宋体"/>
          <w:spacing w:val="9"/>
          <w:sz w:val="20"/>
          <w:szCs w:val="20"/>
        </w:rPr>
        <w:t>中相关项目编码列项。</w:t>
      </w:r>
    </w:p>
    <w:p>
      <w:pPr>
        <w:spacing w:line="313" w:lineRule="auto"/>
        <w:rPr>
          <w:rFonts w:ascii="宋体" w:hAnsi="宋体" w:eastAsia="宋体" w:cs="宋体"/>
          <w:sz w:val="20"/>
          <w:szCs w:val="20"/>
        </w:rPr>
        <w:sectPr>
          <w:footerReference r:id="rId43" w:type="default"/>
          <w:pgSz w:w="11905" w:h="16840"/>
          <w:pgMar w:top="1431" w:right="1419" w:bottom="1213" w:left="1416" w:header="0" w:footer="898" w:gutter="0"/>
        </w:sectPr>
      </w:pPr>
    </w:p>
    <w:p>
      <w:pPr>
        <w:pStyle w:val="2"/>
        <w:spacing w:before="70" w:line="207" w:lineRule="auto"/>
        <w:ind w:left="2233"/>
        <w:outlineLvl w:val="0"/>
      </w:pPr>
      <w:bookmarkStart w:id="28" w:name="bookmark142"/>
      <w:bookmarkEnd w:id="28"/>
      <w:r>
        <w:rPr>
          <w:spacing w:val="3"/>
        </w:rPr>
        <w:t>第三章</w:t>
      </w:r>
      <w:r>
        <w:rPr>
          <w:spacing w:val="19"/>
        </w:rPr>
        <w:t xml:space="preserve">   </w:t>
      </w:r>
      <w:r>
        <w:rPr>
          <w:spacing w:val="3"/>
        </w:rPr>
        <w:t>2024 版工程量清单计价</w:t>
      </w:r>
    </w:p>
    <w:p>
      <w:pPr>
        <w:spacing w:before="127" w:line="213" w:lineRule="auto"/>
        <w:ind w:left="3332"/>
        <w:outlineLvl w:val="1"/>
        <w:rPr>
          <w:rFonts w:ascii="宋体" w:hAnsi="宋体" w:eastAsia="宋体" w:cs="宋体"/>
          <w:sz w:val="30"/>
          <w:szCs w:val="30"/>
        </w:rPr>
      </w:pPr>
      <w:bookmarkStart w:id="29" w:name="bookmark20"/>
      <w:bookmarkEnd w:id="29"/>
      <w:bookmarkStart w:id="30" w:name="bookmark22"/>
      <w:bookmarkEnd w:id="30"/>
      <w:bookmarkStart w:id="31" w:name="bookmark23"/>
      <w:bookmarkEnd w:id="31"/>
      <w:bookmarkStart w:id="32" w:name="bookmark21"/>
      <w:bookmarkEnd w:id="32"/>
      <w:r>
        <w:rPr>
          <w:rFonts w:ascii="宋体" w:hAnsi="宋体" w:eastAsia="宋体" w:cs="宋体"/>
          <w:b/>
          <w:bCs/>
          <w:spacing w:val="-3"/>
          <w:sz w:val="30"/>
          <w:szCs w:val="30"/>
        </w:rPr>
        <w:t>第一节</w:t>
      </w:r>
      <w:r>
        <w:rPr>
          <w:rFonts w:ascii="宋体" w:hAnsi="宋体" w:eastAsia="宋体" w:cs="宋体"/>
          <w:spacing w:val="-3"/>
          <w:sz w:val="30"/>
          <w:szCs w:val="30"/>
        </w:rPr>
        <w:t xml:space="preserve">  </w:t>
      </w:r>
      <w:r>
        <w:rPr>
          <w:rFonts w:ascii="宋体" w:hAnsi="宋体" w:eastAsia="宋体" w:cs="宋体"/>
          <w:b/>
          <w:bCs/>
          <w:spacing w:val="-3"/>
          <w:sz w:val="30"/>
          <w:szCs w:val="30"/>
        </w:rPr>
        <w:t>通用规定</w:t>
      </w:r>
    </w:p>
    <w:p>
      <w:pPr>
        <w:pStyle w:val="2"/>
        <w:spacing w:before="315" w:line="189" w:lineRule="auto"/>
        <w:ind w:left="420"/>
        <w:rPr>
          <w:sz w:val="20"/>
          <w:szCs w:val="20"/>
        </w:rPr>
      </w:pPr>
      <w:r>
        <w:rPr>
          <w:spacing w:val="9"/>
          <w:sz w:val="20"/>
          <w:szCs w:val="20"/>
        </w:rPr>
        <w:t>一、一般规定</w:t>
      </w:r>
    </w:p>
    <w:p>
      <w:pPr>
        <w:spacing w:before="126" w:line="320" w:lineRule="auto"/>
        <w:ind w:left="3" w:firstLine="409"/>
        <w:rPr>
          <w:rFonts w:ascii="宋体" w:hAnsi="宋体" w:eastAsia="宋体" w:cs="宋体"/>
          <w:sz w:val="20"/>
          <w:szCs w:val="20"/>
        </w:rPr>
      </w:pPr>
      <w:r>
        <w:rPr>
          <w:rFonts w:ascii="宋体" w:hAnsi="宋体" w:eastAsia="宋体" w:cs="宋体"/>
          <w:spacing w:val="9"/>
          <w:sz w:val="20"/>
          <w:szCs w:val="20"/>
        </w:rPr>
        <w:t>（一）24</w:t>
      </w:r>
      <w:r>
        <w:rPr>
          <w:rFonts w:ascii="宋体" w:hAnsi="宋体" w:eastAsia="宋体" w:cs="宋体"/>
          <w:spacing w:val="-25"/>
          <w:sz w:val="20"/>
          <w:szCs w:val="20"/>
        </w:rPr>
        <w:t xml:space="preserve"> </w:t>
      </w:r>
      <w:r>
        <w:rPr>
          <w:rFonts w:ascii="宋体" w:hAnsi="宋体" w:eastAsia="宋体" w:cs="宋体"/>
          <w:spacing w:val="9"/>
          <w:sz w:val="20"/>
          <w:szCs w:val="20"/>
        </w:rPr>
        <w:t>系列清单标准适用于建设工程施工发承包及实施阶段的计价活动，其他计价活动可参</w:t>
      </w:r>
      <w:r>
        <w:rPr>
          <w:rFonts w:ascii="宋体" w:hAnsi="宋体" w:eastAsia="宋体" w:cs="宋体"/>
          <w:spacing w:val="5"/>
          <w:sz w:val="20"/>
          <w:szCs w:val="20"/>
        </w:rPr>
        <w:t>照应用。建设工程施工发承包及实施阶段的计价活动，除应符合</w:t>
      </w:r>
      <w:r>
        <w:rPr>
          <w:rFonts w:ascii="宋体" w:hAnsi="宋体" w:eastAsia="宋体" w:cs="宋体"/>
          <w:spacing w:val="-42"/>
          <w:sz w:val="20"/>
          <w:szCs w:val="20"/>
        </w:rPr>
        <w:t xml:space="preserve"> </w:t>
      </w:r>
      <w:r>
        <w:rPr>
          <w:rFonts w:ascii="宋体" w:hAnsi="宋体" w:eastAsia="宋体" w:cs="宋体"/>
          <w:spacing w:val="5"/>
          <w:sz w:val="20"/>
          <w:szCs w:val="20"/>
        </w:rPr>
        <w:t>24</w:t>
      </w:r>
      <w:r>
        <w:rPr>
          <w:rFonts w:ascii="宋体" w:hAnsi="宋体" w:eastAsia="宋体" w:cs="宋体"/>
          <w:spacing w:val="-33"/>
          <w:sz w:val="20"/>
          <w:szCs w:val="20"/>
        </w:rPr>
        <w:t xml:space="preserve"> </w:t>
      </w:r>
      <w:r>
        <w:rPr>
          <w:rFonts w:ascii="宋体" w:hAnsi="宋体" w:eastAsia="宋体" w:cs="宋体"/>
          <w:spacing w:val="5"/>
          <w:sz w:val="20"/>
          <w:szCs w:val="20"/>
        </w:rPr>
        <w:t>系列清单标准外，</w:t>
      </w:r>
      <w:r>
        <w:rPr>
          <w:rFonts w:ascii="宋体" w:hAnsi="宋体" w:eastAsia="宋体" w:cs="宋体"/>
          <w:spacing w:val="4"/>
          <w:sz w:val="20"/>
          <w:szCs w:val="20"/>
        </w:rPr>
        <w:t>尚应符合国家、</w:t>
      </w:r>
      <w:r>
        <w:rPr>
          <w:rFonts w:ascii="宋体" w:hAnsi="宋体" w:eastAsia="宋体" w:cs="宋体"/>
          <w:spacing w:val="8"/>
          <w:sz w:val="20"/>
          <w:szCs w:val="20"/>
        </w:rPr>
        <w:t>省、市现行有关标准的规定。</w:t>
      </w:r>
    </w:p>
    <w:p>
      <w:pPr>
        <w:spacing w:before="158" w:line="297" w:lineRule="auto"/>
        <w:ind w:right="81" w:firstLine="412"/>
        <w:rPr>
          <w:rFonts w:ascii="宋体" w:hAnsi="宋体" w:eastAsia="宋体" w:cs="宋体"/>
          <w:sz w:val="20"/>
          <w:szCs w:val="20"/>
        </w:rPr>
      </w:pPr>
      <w:r>
        <w:rPr>
          <w:rFonts w:ascii="宋体" w:hAnsi="宋体" w:eastAsia="宋体" w:cs="宋体"/>
          <w:spacing w:val="11"/>
          <w:sz w:val="20"/>
          <w:szCs w:val="20"/>
        </w:rPr>
        <w:t>（二）建设工程的计价活动应遵循客观公正、平等自愿、诚实守信、法定优先、有约从约的原</w:t>
      </w:r>
      <w:r>
        <w:rPr>
          <w:rFonts w:ascii="宋体" w:hAnsi="宋体" w:eastAsia="宋体" w:cs="宋体"/>
          <w:spacing w:val="2"/>
          <w:sz w:val="20"/>
          <w:szCs w:val="20"/>
        </w:rPr>
        <w:t>则。</w:t>
      </w:r>
    </w:p>
    <w:p>
      <w:pPr>
        <w:spacing w:before="154" w:line="322" w:lineRule="auto"/>
        <w:ind w:right="78" w:firstLine="412"/>
        <w:rPr>
          <w:rFonts w:ascii="宋体" w:hAnsi="宋体" w:eastAsia="宋体" w:cs="宋体"/>
          <w:sz w:val="20"/>
          <w:szCs w:val="20"/>
        </w:rPr>
      </w:pPr>
      <w:r>
        <w:rPr>
          <w:rFonts w:ascii="宋体" w:hAnsi="宋体" w:eastAsia="宋体" w:cs="宋体"/>
          <w:spacing w:val="11"/>
          <w:sz w:val="20"/>
          <w:szCs w:val="20"/>
        </w:rPr>
        <w:t>（三）使用财政资金或国有资金投资的建设工程，应按国家、省、市及行业工程量计算标准编制工程量清单，采用工程量清单计价；非使用财政资金或国有投资的建设工程，宜按</w:t>
      </w:r>
      <w:r>
        <w:rPr>
          <w:rFonts w:ascii="宋体" w:hAnsi="宋体" w:eastAsia="宋体" w:cs="宋体"/>
          <w:spacing w:val="10"/>
          <w:sz w:val="20"/>
          <w:szCs w:val="20"/>
        </w:rPr>
        <w:t>国家省、市及</w:t>
      </w:r>
      <w:r>
        <w:rPr>
          <w:rFonts w:ascii="宋体" w:hAnsi="宋体" w:eastAsia="宋体" w:cs="宋体"/>
          <w:spacing w:val="9"/>
          <w:sz w:val="20"/>
          <w:szCs w:val="20"/>
        </w:rPr>
        <w:t>行业工程量计算标准编制工程量清单，采用工程量清单计价。</w:t>
      </w:r>
    </w:p>
    <w:p>
      <w:pPr>
        <w:spacing w:before="154" w:line="341" w:lineRule="auto"/>
        <w:ind w:right="80" w:firstLine="413"/>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28"/>
          <w:sz w:val="20"/>
          <w:szCs w:val="20"/>
        </w:rPr>
        <w:t xml:space="preserve"> </w:t>
      </w:r>
      <w:r>
        <w:rPr>
          <w:rFonts w:ascii="宋体" w:hAnsi="宋体" w:eastAsia="宋体" w:cs="宋体"/>
          <w:spacing w:val="6"/>
          <w:sz w:val="20"/>
          <w:szCs w:val="20"/>
        </w:rPr>
        <w:t>四）按照</w:t>
      </w:r>
      <w:r>
        <w:rPr>
          <w:rFonts w:ascii="宋体" w:hAnsi="宋体" w:eastAsia="宋体" w:cs="宋体"/>
          <w:spacing w:val="-39"/>
          <w:sz w:val="20"/>
          <w:szCs w:val="20"/>
        </w:rPr>
        <w:t xml:space="preserve"> </w:t>
      </w:r>
      <w:r>
        <w:rPr>
          <w:rFonts w:ascii="宋体" w:hAnsi="宋体" w:eastAsia="宋体" w:cs="宋体"/>
          <w:spacing w:val="6"/>
          <w:sz w:val="20"/>
          <w:szCs w:val="20"/>
        </w:rPr>
        <w:t>2024</w:t>
      </w:r>
      <w:r>
        <w:rPr>
          <w:rFonts w:ascii="宋体" w:hAnsi="宋体" w:eastAsia="宋体" w:cs="宋体"/>
          <w:spacing w:val="-38"/>
          <w:sz w:val="20"/>
          <w:szCs w:val="20"/>
        </w:rPr>
        <w:t xml:space="preserve"> </w:t>
      </w:r>
      <w:r>
        <w:rPr>
          <w:rFonts w:ascii="宋体" w:hAnsi="宋体" w:eastAsia="宋体" w:cs="宋体"/>
          <w:spacing w:val="6"/>
          <w:sz w:val="20"/>
          <w:szCs w:val="20"/>
        </w:rPr>
        <w:t>版清单计价标准要求，建设工程费用中不再设置“规费”。原规费中的“社会</w:t>
      </w:r>
      <w:r>
        <w:rPr>
          <w:rFonts w:ascii="宋体" w:hAnsi="宋体" w:eastAsia="宋体" w:cs="宋体"/>
          <w:spacing w:val="10"/>
          <w:sz w:val="20"/>
          <w:szCs w:val="20"/>
        </w:rPr>
        <w:t>保险费”“住房公积金”计入“分部分项工程费—人工费”和“分部分项工程费—企业管理费”</w:t>
      </w:r>
      <w:r>
        <w:rPr>
          <w:rFonts w:ascii="宋体" w:hAnsi="宋体" w:eastAsia="宋体" w:cs="宋体"/>
          <w:spacing w:val="-64"/>
          <w:sz w:val="20"/>
          <w:szCs w:val="20"/>
        </w:rPr>
        <w:t xml:space="preserve"> </w:t>
      </w:r>
      <w:r>
        <w:rPr>
          <w:rFonts w:ascii="宋体" w:hAnsi="宋体" w:eastAsia="宋体" w:cs="宋体"/>
          <w:spacing w:val="10"/>
          <w:sz w:val="20"/>
          <w:szCs w:val="20"/>
        </w:rPr>
        <w:t>；</w:t>
      </w:r>
      <w:r>
        <w:rPr>
          <w:rFonts w:ascii="宋体" w:hAnsi="宋体" w:eastAsia="宋体" w:cs="宋体"/>
          <w:sz w:val="20"/>
          <w:szCs w:val="20"/>
        </w:rPr>
        <w:t xml:space="preserve"> </w:t>
      </w:r>
      <w:r>
        <w:rPr>
          <w:rFonts w:ascii="宋体" w:hAnsi="宋体" w:eastAsia="宋体" w:cs="宋体"/>
          <w:spacing w:val="10"/>
          <w:sz w:val="20"/>
          <w:szCs w:val="20"/>
        </w:rPr>
        <w:t>“安全文明施工费”调整至“措施项目费—安全文明措施费”</w:t>
      </w:r>
      <w:r>
        <w:rPr>
          <w:rFonts w:ascii="宋体" w:hAnsi="宋体" w:eastAsia="宋体" w:cs="宋体"/>
          <w:spacing w:val="-64"/>
          <w:sz w:val="20"/>
          <w:szCs w:val="20"/>
        </w:rPr>
        <w:t xml:space="preserve"> </w:t>
      </w:r>
      <w:r>
        <w:rPr>
          <w:rFonts w:ascii="宋体" w:hAnsi="宋体" w:eastAsia="宋体" w:cs="宋体"/>
          <w:spacing w:val="10"/>
          <w:sz w:val="20"/>
          <w:szCs w:val="20"/>
        </w:rPr>
        <w:t>；“建设项目工伤保险”调整至“其他项目费—建设项目工伤保险”</w:t>
      </w:r>
      <w:r>
        <w:rPr>
          <w:rFonts w:ascii="宋体" w:hAnsi="宋体" w:eastAsia="宋体" w:cs="宋体"/>
          <w:spacing w:val="-72"/>
          <w:sz w:val="20"/>
          <w:szCs w:val="20"/>
        </w:rPr>
        <w:t xml:space="preserve"> </w:t>
      </w:r>
      <w:r>
        <w:rPr>
          <w:rFonts w:ascii="宋体" w:hAnsi="宋体" w:eastAsia="宋体" w:cs="宋体"/>
          <w:spacing w:val="10"/>
          <w:sz w:val="20"/>
          <w:szCs w:val="20"/>
        </w:rPr>
        <w:t>；“优质优价费</w:t>
      </w:r>
      <w:r>
        <w:rPr>
          <w:rFonts w:ascii="宋体" w:hAnsi="宋体" w:eastAsia="宋体" w:cs="宋体"/>
          <w:spacing w:val="9"/>
          <w:sz w:val="20"/>
          <w:szCs w:val="20"/>
        </w:rPr>
        <w:t>”调整至“其他项目费—优质优价费”。</w:t>
      </w:r>
    </w:p>
    <w:p>
      <w:pPr>
        <w:spacing w:before="124" w:line="297" w:lineRule="auto"/>
        <w:ind w:left="1" w:right="81" w:firstLine="411"/>
        <w:rPr>
          <w:rFonts w:ascii="宋体" w:hAnsi="宋体" w:eastAsia="宋体" w:cs="宋体"/>
          <w:sz w:val="20"/>
          <w:szCs w:val="20"/>
        </w:rPr>
      </w:pPr>
      <w:r>
        <w:rPr>
          <w:rFonts w:ascii="宋体" w:hAnsi="宋体" w:eastAsia="宋体" w:cs="宋体"/>
          <w:spacing w:val="11"/>
          <w:sz w:val="20"/>
          <w:szCs w:val="20"/>
        </w:rPr>
        <w:t>（五）工程量清单的清单项目价款确定可采用单价计价、总价计价、费率计价等方式，并应在</w:t>
      </w:r>
      <w:r>
        <w:rPr>
          <w:rFonts w:ascii="宋体" w:hAnsi="宋体" w:eastAsia="宋体" w:cs="宋体"/>
          <w:spacing w:val="9"/>
          <w:sz w:val="20"/>
          <w:szCs w:val="20"/>
        </w:rPr>
        <w:t>招标文件和合同文件中对其计价要求、价款调整规则等予以说明。</w:t>
      </w:r>
    </w:p>
    <w:p>
      <w:pPr>
        <w:spacing w:before="156" w:line="322" w:lineRule="auto"/>
        <w:ind w:right="81" w:firstLine="413"/>
        <w:rPr>
          <w:rFonts w:ascii="宋体" w:hAnsi="宋体" w:eastAsia="宋体" w:cs="宋体"/>
          <w:sz w:val="20"/>
          <w:szCs w:val="20"/>
        </w:rPr>
      </w:pPr>
      <w:r>
        <w:rPr>
          <w:rFonts w:ascii="宋体" w:hAnsi="宋体" w:eastAsia="宋体" w:cs="宋体"/>
          <w:spacing w:val="11"/>
          <w:sz w:val="20"/>
          <w:szCs w:val="20"/>
        </w:rPr>
        <w:t>（六）工程量清单的清单项目综合单价及合价应为不含增值税的税前全费用价格，由人工费、材料费、施工机具使用费、管理费、利润等组成，包括相应清单项目约定或合理</w:t>
      </w:r>
      <w:r>
        <w:rPr>
          <w:rFonts w:ascii="宋体" w:hAnsi="宋体" w:eastAsia="宋体" w:cs="宋体"/>
          <w:spacing w:val="10"/>
          <w:sz w:val="20"/>
          <w:szCs w:val="20"/>
        </w:rPr>
        <w:t>范围的风险费，以</w:t>
      </w:r>
      <w:r>
        <w:rPr>
          <w:rFonts w:ascii="宋体" w:hAnsi="宋体" w:eastAsia="宋体" w:cs="宋体"/>
          <w:spacing w:val="9"/>
          <w:sz w:val="20"/>
          <w:szCs w:val="20"/>
        </w:rPr>
        <w:t>及不可或缺的辅助工作所需的费用。</w:t>
      </w:r>
    </w:p>
    <w:p>
      <w:pPr>
        <w:spacing w:before="153" w:line="297" w:lineRule="auto"/>
        <w:ind w:right="122" w:firstLine="412"/>
        <w:rPr>
          <w:rFonts w:ascii="宋体" w:hAnsi="宋体" w:eastAsia="宋体" w:cs="宋体"/>
          <w:sz w:val="20"/>
          <w:szCs w:val="20"/>
        </w:rPr>
      </w:pPr>
      <w:r>
        <w:rPr>
          <w:rFonts w:ascii="宋体" w:hAnsi="宋体" w:eastAsia="宋体" w:cs="宋体"/>
          <w:spacing w:val="10"/>
          <w:sz w:val="20"/>
          <w:szCs w:val="20"/>
        </w:rPr>
        <w:t>（七）综合单价分析表应明确各清单项目综合单价及按项计价项目价格的费用构成计算方法，其综合单价和按项计价项目价格应与工程量清单内的相</w:t>
      </w:r>
      <w:r>
        <w:rPr>
          <w:rFonts w:ascii="宋体" w:hAnsi="宋体" w:eastAsia="宋体" w:cs="宋体"/>
          <w:spacing w:val="9"/>
          <w:sz w:val="20"/>
          <w:szCs w:val="20"/>
        </w:rPr>
        <w:t>应清单项目综合单价和价格完全一致。</w:t>
      </w:r>
    </w:p>
    <w:p>
      <w:pPr>
        <w:spacing w:before="158" w:line="331" w:lineRule="auto"/>
        <w:ind w:left="2" w:right="81" w:firstLine="410"/>
        <w:rPr>
          <w:rFonts w:ascii="宋体" w:hAnsi="宋体" w:eastAsia="宋体" w:cs="宋体"/>
          <w:sz w:val="20"/>
          <w:szCs w:val="20"/>
        </w:rPr>
      </w:pPr>
      <w:r>
        <w:rPr>
          <w:rFonts w:ascii="宋体" w:hAnsi="宋体" w:eastAsia="宋体" w:cs="宋体"/>
          <w:spacing w:val="11"/>
          <w:sz w:val="20"/>
          <w:szCs w:val="20"/>
        </w:rPr>
        <w:t>（八）建设工程的施工合同可采用单价合同、总价合同、成本加酬金合同等。发包人可根据工程的招标图纸设计深度、技术难度、建设规模、项目实施计划及工程量清单</w:t>
      </w:r>
      <w:r>
        <w:rPr>
          <w:rFonts w:ascii="宋体" w:hAnsi="宋体" w:eastAsia="宋体" w:cs="宋体"/>
          <w:spacing w:val="10"/>
          <w:sz w:val="20"/>
          <w:szCs w:val="20"/>
        </w:rPr>
        <w:t>编制时间、计价风险等因素，选择采用单价合同或总价合同。紧急抢险、救灾</w:t>
      </w:r>
      <w:r>
        <w:rPr>
          <w:rFonts w:ascii="宋体" w:hAnsi="宋体" w:eastAsia="宋体" w:cs="宋体"/>
          <w:spacing w:val="9"/>
          <w:sz w:val="20"/>
          <w:szCs w:val="20"/>
        </w:rPr>
        <w:t>或特别复杂的工程宜采用成本加酬金合同。</w:t>
      </w:r>
    </w:p>
    <w:p>
      <w:pPr>
        <w:spacing w:before="129" w:line="368" w:lineRule="auto"/>
        <w:ind w:right="81" w:firstLine="420"/>
        <w:jc w:val="both"/>
        <w:rPr>
          <w:rFonts w:ascii="宋体" w:hAnsi="宋体" w:eastAsia="宋体" w:cs="宋体"/>
          <w:sz w:val="20"/>
          <w:szCs w:val="20"/>
        </w:rPr>
      </w:pPr>
      <w:r>
        <w:rPr>
          <w:rFonts w:ascii="宋体" w:hAnsi="宋体" w:eastAsia="宋体" w:cs="宋体"/>
          <w:spacing w:val="11"/>
          <w:sz w:val="20"/>
          <w:szCs w:val="20"/>
        </w:rPr>
        <w:t>采用单价合同的工程，分部分项工程项目清单的准确性、完整性应由发包人负</w:t>
      </w:r>
      <w:r>
        <w:rPr>
          <w:rFonts w:ascii="宋体" w:hAnsi="宋体" w:eastAsia="宋体" w:cs="宋体"/>
          <w:spacing w:val="10"/>
          <w:sz w:val="20"/>
          <w:szCs w:val="20"/>
        </w:rPr>
        <w:t>责；采用总价合</w:t>
      </w:r>
      <w:r>
        <w:rPr>
          <w:rFonts w:ascii="宋体" w:hAnsi="宋体" w:eastAsia="宋体" w:cs="宋体"/>
          <w:spacing w:val="11"/>
          <w:sz w:val="20"/>
          <w:szCs w:val="20"/>
        </w:rPr>
        <w:t>同的工程，已标价分部分项工程项目清单的准确性、完整性应由承包人负责。</w:t>
      </w:r>
      <w:r>
        <w:rPr>
          <w:rFonts w:ascii="宋体" w:hAnsi="宋体" w:eastAsia="宋体" w:cs="宋体"/>
          <w:spacing w:val="10"/>
          <w:sz w:val="20"/>
          <w:szCs w:val="20"/>
        </w:rPr>
        <w:t>建设工程无论是采用单价合同或总价合同，按项编制的措施项目清单的</w:t>
      </w:r>
      <w:r>
        <w:rPr>
          <w:rFonts w:ascii="宋体" w:hAnsi="宋体" w:eastAsia="宋体" w:cs="宋体"/>
          <w:spacing w:val="9"/>
          <w:sz w:val="20"/>
          <w:szCs w:val="20"/>
        </w:rPr>
        <w:t>完整性及准确性均应由承包人负责。</w:t>
      </w:r>
    </w:p>
    <w:p>
      <w:pPr>
        <w:spacing w:line="366" w:lineRule="auto"/>
        <w:ind w:left="2" w:right="119" w:firstLine="410"/>
        <w:rPr>
          <w:rFonts w:ascii="宋体" w:hAnsi="宋体" w:eastAsia="宋体" w:cs="宋体"/>
          <w:sz w:val="20"/>
          <w:szCs w:val="20"/>
        </w:rPr>
      </w:pPr>
      <w:r>
        <w:rPr>
          <w:rFonts w:ascii="宋体" w:hAnsi="宋体" w:eastAsia="宋体" w:cs="宋体"/>
          <w:spacing w:val="10"/>
          <w:sz w:val="20"/>
          <w:szCs w:val="20"/>
        </w:rPr>
        <w:t>（九）建设工程的施工发承包，应在招标文件、合同中明确计量与计价的风险内容及其范围，</w:t>
      </w:r>
      <w:r>
        <w:rPr>
          <w:rFonts w:ascii="宋体" w:hAnsi="宋体" w:eastAsia="宋体" w:cs="宋体"/>
          <w:spacing w:val="9"/>
          <w:sz w:val="20"/>
          <w:szCs w:val="20"/>
        </w:rPr>
        <w:t>不得采用无限风险、所有风险或类似语句约定工程计量与计价中的风险内容及范围。</w:t>
      </w:r>
    </w:p>
    <w:p>
      <w:pPr>
        <w:spacing w:before="4" w:line="369" w:lineRule="auto"/>
        <w:ind w:right="80" w:firstLine="440"/>
        <w:jc w:val="both"/>
        <w:rPr>
          <w:rFonts w:ascii="宋体" w:hAnsi="宋体" w:eastAsia="宋体" w:cs="宋体"/>
          <w:sz w:val="20"/>
          <w:szCs w:val="20"/>
        </w:rPr>
      </w:pPr>
      <w:r>
        <w:rPr>
          <w:rFonts w:ascii="宋体" w:hAnsi="宋体" w:eastAsia="宋体" w:cs="宋体"/>
          <w:spacing w:val="8"/>
          <w:sz w:val="20"/>
          <w:szCs w:val="20"/>
        </w:rPr>
        <w:t>1. 下列事项引起的计量与计价风险应由发包人承担</w:t>
      </w:r>
      <w:r>
        <w:rPr>
          <w:rFonts w:ascii="宋体" w:hAnsi="宋体" w:eastAsia="宋体" w:cs="宋体"/>
          <w:spacing w:val="7"/>
          <w:sz w:val="20"/>
          <w:szCs w:val="20"/>
        </w:rPr>
        <w:t>，承包人的投标报价可不考虑，发包人应按</w:t>
      </w:r>
      <w:r>
        <w:rPr>
          <w:rFonts w:ascii="宋体" w:hAnsi="宋体" w:eastAsia="宋体" w:cs="宋体"/>
          <w:spacing w:val="10"/>
          <w:sz w:val="20"/>
          <w:szCs w:val="20"/>
        </w:rPr>
        <w:t>国家计价标准第</w:t>
      </w:r>
      <w:r>
        <w:rPr>
          <w:rFonts w:ascii="宋体" w:hAnsi="宋体" w:eastAsia="宋体" w:cs="宋体"/>
          <w:spacing w:val="-25"/>
          <w:sz w:val="20"/>
          <w:szCs w:val="20"/>
        </w:rPr>
        <w:t xml:space="preserve"> </w:t>
      </w:r>
      <w:r>
        <w:rPr>
          <w:rFonts w:ascii="宋体" w:hAnsi="宋体" w:eastAsia="宋体" w:cs="宋体"/>
          <w:spacing w:val="10"/>
          <w:sz w:val="20"/>
          <w:szCs w:val="20"/>
        </w:rPr>
        <w:t>8</w:t>
      </w:r>
      <w:r>
        <w:rPr>
          <w:rFonts w:ascii="宋体" w:hAnsi="宋体" w:eastAsia="宋体" w:cs="宋体"/>
          <w:spacing w:val="-40"/>
          <w:sz w:val="20"/>
          <w:szCs w:val="20"/>
        </w:rPr>
        <w:t xml:space="preserve"> </w:t>
      </w:r>
      <w:r>
        <w:rPr>
          <w:rFonts w:ascii="宋体" w:hAnsi="宋体" w:eastAsia="宋体" w:cs="宋体"/>
          <w:spacing w:val="10"/>
          <w:sz w:val="20"/>
          <w:szCs w:val="20"/>
        </w:rPr>
        <w:t>章的相关规定及时调整相应的合同价款，事项影响工期变化，并符合合同约定工</w:t>
      </w:r>
      <w:r>
        <w:rPr>
          <w:rFonts w:ascii="宋体" w:hAnsi="宋体" w:eastAsia="宋体" w:cs="宋体"/>
          <w:spacing w:val="6"/>
          <w:sz w:val="20"/>
          <w:szCs w:val="20"/>
        </w:rPr>
        <w:t>期调整的，应调整合同工期。因承包人原因引起工期延误及其费用增加(减少)的，应按国家</w:t>
      </w:r>
      <w:r>
        <w:rPr>
          <w:rFonts w:ascii="宋体" w:hAnsi="宋体" w:eastAsia="宋体" w:cs="宋体"/>
          <w:spacing w:val="5"/>
          <w:sz w:val="20"/>
          <w:szCs w:val="20"/>
        </w:rPr>
        <w:t>计价标准</w:t>
      </w:r>
      <w:r>
        <w:rPr>
          <w:rFonts w:ascii="宋体" w:hAnsi="宋体" w:eastAsia="宋体" w:cs="宋体"/>
          <w:spacing w:val="6"/>
          <w:sz w:val="20"/>
          <w:szCs w:val="20"/>
        </w:rPr>
        <w:t>第</w:t>
      </w:r>
      <w:r>
        <w:rPr>
          <w:rFonts w:ascii="宋体" w:hAnsi="宋体" w:eastAsia="宋体" w:cs="宋体"/>
          <w:spacing w:val="-30"/>
          <w:sz w:val="20"/>
          <w:szCs w:val="20"/>
        </w:rPr>
        <w:t xml:space="preserve"> </w:t>
      </w:r>
      <w:r>
        <w:rPr>
          <w:rFonts w:ascii="宋体" w:hAnsi="宋体" w:eastAsia="宋体" w:cs="宋体"/>
          <w:spacing w:val="6"/>
          <w:sz w:val="20"/>
          <w:szCs w:val="20"/>
        </w:rPr>
        <w:t>8</w:t>
      </w:r>
      <w:r>
        <w:rPr>
          <w:rFonts w:ascii="宋体" w:hAnsi="宋体" w:eastAsia="宋体" w:cs="宋体"/>
          <w:spacing w:val="-42"/>
          <w:sz w:val="20"/>
          <w:szCs w:val="20"/>
        </w:rPr>
        <w:t xml:space="preserve"> </w:t>
      </w:r>
      <w:r>
        <w:rPr>
          <w:rFonts w:ascii="宋体" w:hAnsi="宋体" w:eastAsia="宋体" w:cs="宋体"/>
          <w:spacing w:val="6"/>
          <w:sz w:val="20"/>
          <w:szCs w:val="20"/>
        </w:rPr>
        <w:t>章的相关规定执行：</w:t>
      </w:r>
    </w:p>
    <w:p>
      <w:pPr>
        <w:spacing w:line="369" w:lineRule="auto"/>
        <w:rPr>
          <w:rFonts w:ascii="宋体" w:hAnsi="宋体" w:eastAsia="宋体" w:cs="宋体"/>
          <w:sz w:val="20"/>
          <w:szCs w:val="20"/>
        </w:rPr>
        <w:sectPr>
          <w:footerReference r:id="rId44" w:type="default"/>
          <w:pgSz w:w="11905" w:h="16840"/>
          <w:pgMar w:top="1346" w:right="1338" w:bottom="1213" w:left="1418" w:header="0" w:footer="898" w:gutter="0"/>
        </w:sectPr>
      </w:pPr>
    </w:p>
    <w:p>
      <w:pPr>
        <w:spacing w:before="124" w:line="276" w:lineRule="exact"/>
        <w:ind w:right="13"/>
        <w:jc w:val="right"/>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0"/>
          <w:position w:val="1"/>
          <w:sz w:val="20"/>
          <w:szCs w:val="20"/>
        </w:rPr>
        <w:t xml:space="preserve"> </w:t>
      </w:r>
      <w:r>
        <w:rPr>
          <w:rFonts w:ascii="宋体" w:hAnsi="宋体" w:eastAsia="宋体" w:cs="宋体"/>
          <w:spacing w:val="8"/>
          <w:position w:val="1"/>
          <w:sz w:val="20"/>
          <w:szCs w:val="20"/>
        </w:rPr>
        <w:t>1）采用单价合同的工程，发包人提供的除措施项目清单外的项目清单存在工程量清单缺陷；</w:t>
      </w:r>
    </w:p>
    <w:p>
      <w:pPr>
        <w:spacing w:before="124" w:line="277" w:lineRule="exact"/>
        <w:ind w:left="413"/>
        <w:rPr>
          <w:rFonts w:ascii="宋体" w:hAnsi="宋体" w:eastAsia="宋体" w:cs="宋体"/>
          <w:sz w:val="20"/>
          <w:szCs w:val="20"/>
        </w:rPr>
      </w:pPr>
      <w:r>
        <w:rPr>
          <w:rFonts w:ascii="宋体" w:hAnsi="宋体" w:eastAsia="宋体" w:cs="宋体"/>
          <w:spacing w:val="9"/>
          <w:position w:val="1"/>
          <w:sz w:val="20"/>
          <w:szCs w:val="20"/>
        </w:rPr>
        <w:t>（2）发包人提供的工程项目原始数据和基准资料错误；</w:t>
      </w:r>
    </w:p>
    <w:p>
      <w:pPr>
        <w:spacing w:before="123" w:line="279" w:lineRule="exact"/>
        <w:ind w:left="413"/>
        <w:rPr>
          <w:rFonts w:ascii="宋体" w:hAnsi="宋体" w:eastAsia="宋体" w:cs="宋体"/>
          <w:sz w:val="20"/>
          <w:szCs w:val="20"/>
        </w:rPr>
      </w:pPr>
      <w:r>
        <w:rPr>
          <w:rFonts w:ascii="宋体" w:hAnsi="宋体" w:eastAsia="宋体" w:cs="宋体"/>
          <w:spacing w:val="9"/>
          <w:position w:val="1"/>
          <w:sz w:val="20"/>
          <w:szCs w:val="20"/>
        </w:rPr>
        <w:t>（3）发包人批准的工程变更；</w:t>
      </w:r>
    </w:p>
    <w:p>
      <w:pPr>
        <w:spacing w:before="119" w:line="278" w:lineRule="exact"/>
        <w:ind w:left="413"/>
        <w:rPr>
          <w:rFonts w:ascii="宋体" w:hAnsi="宋体" w:eastAsia="宋体" w:cs="宋体"/>
          <w:sz w:val="20"/>
          <w:szCs w:val="20"/>
        </w:rPr>
      </w:pPr>
      <w:r>
        <w:rPr>
          <w:rFonts w:ascii="宋体" w:hAnsi="宋体" w:eastAsia="宋体" w:cs="宋体"/>
          <w:spacing w:val="9"/>
          <w:position w:val="1"/>
          <w:sz w:val="20"/>
          <w:szCs w:val="20"/>
        </w:rPr>
        <w:t>（4）发包人要求的赶工、提前竣工、停工或暂缓施工；</w:t>
      </w:r>
    </w:p>
    <w:p>
      <w:pPr>
        <w:spacing w:before="123" w:line="278" w:lineRule="exact"/>
        <w:ind w:left="413"/>
        <w:rPr>
          <w:rFonts w:ascii="宋体" w:hAnsi="宋体" w:eastAsia="宋体" w:cs="宋体"/>
          <w:sz w:val="20"/>
          <w:szCs w:val="20"/>
        </w:rPr>
      </w:pPr>
      <w:r>
        <w:rPr>
          <w:rFonts w:ascii="宋体" w:hAnsi="宋体" w:eastAsia="宋体" w:cs="宋体"/>
          <w:spacing w:val="9"/>
          <w:position w:val="1"/>
          <w:sz w:val="20"/>
          <w:szCs w:val="20"/>
        </w:rPr>
        <w:t>（5）法律法规与政策性变化；</w:t>
      </w:r>
    </w:p>
    <w:p>
      <w:pPr>
        <w:spacing w:before="123" w:line="297" w:lineRule="auto"/>
        <w:ind w:left="3" w:right="66" w:firstLine="409"/>
        <w:rPr>
          <w:rFonts w:ascii="宋体" w:hAnsi="宋体" w:eastAsia="宋体" w:cs="宋体"/>
          <w:sz w:val="20"/>
          <w:szCs w:val="20"/>
        </w:rPr>
      </w:pPr>
      <w:r>
        <w:rPr>
          <w:rFonts w:ascii="宋体" w:hAnsi="宋体" w:eastAsia="宋体" w:cs="宋体"/>
          <w:spacing w:val="8"/>
          <w:sz w:val="20"/>
          <w:szCs w:val="20"/>
        </w:rPr>
        <w:t>（6）超出招标文件规定承包人应承担风险范围和幅度，以及国家</w:t>
      </w:r>
      <w:r>
        <w:rPr>
          <w:rFonts w:ascii="宋体" w:hAnsi="宋体" w:eastAsia="宋体" w:cs="宋体"/>
          <w:spacing w:val="7"/>
          <w:sz w:val="20"/>
          <w:szCs w:val="20"/>
        </w:rPr>
        <w:t>计价标准第</w:t>
      </w:r>
      <w:r>
        <w:rPr>
          <w:rFonts w:ascii="宋体" w:hAnsi="宋体" w:eastAsia="宋体" w:cs="宋体"/>
          <w:spacing w:val="-37"/>
          <w:sz w:val="20"/>
          <w:szCs w:val="20"/>
        </w:rPr>
        <w:t xml:space="preserve"> </w:t>
      </w:r>
      <w:r>
        <w:rPr>
          <w:rFonts w:ascii="宋体" w:hAnsi="宋体" w:eastAsia="宋体" w:cs="宋体"/>
          <w:spacing w:val="7"/>
          <w:sz w:val="20"/>
          <w:szCs w:val="20"/>
        </w:rPr>
        <w:t>8.7</w:t>
      </w:r>
      <w:r>
        <w:rPr>
          <w:rFonts w:ascii="宋体" w:hAnsi="宋体" w:eastAsia="宋体" w:cs="宋体"/>
          <w:spacing w:val="-40"/>
          <w:sz w:val="20"/>
          <w:szCs w:val="20"/>
        </w:rPr>
        <w:t xml:space="preserve"> </w:t>
      </w:r>
      <w:r>
        <w:rPr>
          <w:rFonts w:ascii="宋体" w:hAnsi="宋体" w:eastAsia="宋体" w:cs="宋体"/>
          <w:spacing w:val="7"/>
          <w:sz w:val="20"/>
          <w:szCs w:val="20"/>
        </w:rPr>
        <w:t>节规定市场物</w:t>
      </w:r>
      <w:r>
        <w:rPr>
          <w:rFonts w:ascii="宋体" w:hAnsi="宋体" w:eastAsia="宋体" w:cs="宋体"/>
          <w:spacing w:val="9"/>
          <w:sz w:val="20"/>
          <w:szCs w:val="20"/>
        </w:rPr>
        <w:t>价变动应予调整的物价变化范围和波动幅度；</w:t>
      </w:r>
    </w:p>
    <w:p>
      <w:pPr>
        <w:spacing w:before="155" w:line="278" w:lineRule="exact"/>
        <w:ind w:left="413"/>
        <w:rPr>
          <w:rFonts w:ascii="宋体" w:hAnsi="宋体" w:eastAsia="宋体" w:cs="宋体"/>
          <w:sz w:val="20"/>
          <w:szCs w:val="20"/>
        </w:rPr>
      </w:pPr>
      <w:r>
        <w:rPr>
          <w:rFonts w:ascii="宋体" w:hAnsi="宋体" w:eastAsia="宋体" w:cs="宋体"/>
          <w:spacing w:val="9"/>
          <w:position w:val="1"/>
          <w:sz w:val="20"/>
          <w:szCs w:val="20"/>
        </w:rPr>
        <w:t>（7）其他应当由发包人承担责任的事项。</w:t>
      </w:r>
    </w:p>
    <w:p>
      <w:pPr>
        <w:spacing w:before="125" w:line="368" w:lineRule="auto"/>
        <w:ind w:right="66" w:firstLine="422"/>
        <w:jc w:val="both"/>
        <w:rPr>
          <w:rFonts w:ascii="宋体" w:hAnsi="宋体" w:eastAsia="宋体" w:cs="宋体"/>
          <w:sz w:val="20"/>
          <w:szCs w:val="20"/>
        </w:rPr>
      </w:pPr>
      <w:r>
        <w:rPr>
          <w:rFonts w:ascii="宋体" w:hAnsi="宋体" w:eastAsia="宋体" w:cs="宋体"/>
          <w:spacing w:val="8"/>
          <w:sz w:val="20"/>
          <w:szCs w:val="20"/>
        </w:rPr>
        <w:t>2. 下列事项引起的计量与计价风险应由承包人承担，承包人在投标报价中应予考虑，因其引起</w:t>
      </w:r>
      <w:r>
        <w:rPr>
          <w:rFonts w:ascii="宋体" w:hAnsi="宋体" w:eastAsia="宋体" w:cs="宋体"/>
          <w:spacing w:val="6"/>
          <w:sz w:val="20"/>
          <w:szCs w:val="20"/>
        </w:rPr>
        <w:t>的合同价格和(或)工期变化应视为已包含在合同总价及合同工期内，除合同另有约定外，</w:t>
      </w:r>
      <w:r>
        <w:rPr>
          <w:rFonts w:ascii="宋体" w:hAnsi="宋体" w:eastAsia="宋体" w:cs="宋体"/>
          <w:spacing w:val="5"/>
          <w:sz w:val="20"/>
          <w:szCs w:val="20"/>
        </w:rPr>
        <w:t>合同价格和</w:t>
      </w:r>
      <w:r>
        <w:rPr>
          <w:rFonts w:ascii="宋体" w:hAnsi="宋体" w:eastAsia="宋体" w:cs="宋体"/>
          <w:spacing w:val="6"/>
          <w:sz w:val="20"/>
          <w:szCs w:val="20"/>
        </w:rPr>
        <w:t>工期不应予调整。因发包人原因引起工工期延误，按合同约定应予批准工期延长和(或)其</w:t>
      </w:r>
      <w:r>
        <w:rPr>
          <w:rFonts w:ascii="宋体" w:hAnsi="宋体" w:eastAsia="宋体" w:cs="宋体"/>
          <w:spacing w:val="5"/>
          <w:sz w:val="20"/>
          <w:szCs w:val="20"/>
        </w:rPr>
        <w:t>引起的费用</w:t>
      </w:r>
      <w:r>
        <w:rPr>
          <w:rFonts w:ascii="宋体" w:hAnsi="宋体" w:eastAsia="宋体" w:cs="宋体"/>
          <w:spacing w:val="4"/>
          <w:sz w:val="20"/>
          <w:szCs w:val="20"/>
        </w:rPr>
        <w:t>增加(减少)的，应按国家计价标准第</w:t>
      </w:r>
      <w:r>
        <w:rPr>
          <w:rFonts w:ascii="宋体" w:hAnsi="宋体" w:eastAsia="宋体" w:cs="宋体"/>
          <w:spacing w:val="-25"/>
          <w:sz w:val="20"/>
          <w:szCs w:val="20"/>
        </w:rPr>
        <w:t xml:space="preserve"> </w:t>
      </w:r>
      <w:r>
        <w:rPr>
          <w:rFonts w:ascii="宋体" w:hAnsi="宋体" w:eastAsia="宋体" w:cs="宋体"/>
          <w:spacing w:val="4"/>
          <w:sz w:val="20"/>
          <w:szCs w:val="20"/>
        </w:rPr>
        <w:t>8</w:t>
      </w:r>
      <w:r>
        <w:rPr>
          <w:rFonts w:ascii="宋体" w:hAnsi="宋体" w:eastAsia="宋体" w:cs="宋体"/>
          <w:spacing w:val="-40"/>
          <w:sz w:val="20"/>
          <w:szCs w:val="20"/>
        </w:rPr>
        <w:t xml:space="preserve"> </w:t>
      </w:r>
      <w:r>
        <w:rPr>
          <w:rFonts w:ascii="宋体" w:hAnsi="宋体" w:eastAsia="宋体" w:cs="宋体"/>
          <w:spacing w:val="4"/>
          <w:sz w:val="20"/>
          <w:szCs w:val="20"/>
        </w:rPr>
        <w:t>章相关规定执行：</w:t>
      </w:r>
    </w:p>
    <w:p>
      <w:pPr>
        <w:spacing w:before="2" w:line="278" w:lineRule="exact"/>
        <w:ind w:left="413"/>
        <w:rPr>
          <w:rFonts w:ascii="宋体" w:hAnsi="宋体" w:eastAsia="宋体" w:cs="宋体"/>
          <w:sz w:val="20"/>
          <w:szCs w:val="20"/>
        </w:rPr>
      </w:pPr>
      <w:r>
        <w:rPr>
          <w:rFonts w:ascii="宋体" w:hAnsi="宋体" w:eastAsia="宋体" w:cs="宋体"/>
          <w:spacing w:val="6"/>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1）措施项目清单的准确性及完整性；</w:t>
      </w:r>
    </w:p>
    <w:p>
      <w:pPr>
        <w:spacing w:before="123" w:line="322" w:lineRule="auto"/>
        <w:ind w:right="2" w:firstLine="412"/>
        <w:rPr>
          <w:rFonts w:ascii="宋体" w:hAnsi="宋体" w:eastAsia="宋体" w:cs="宋体"/>
          <w:sz w:val="20"/>
          <w:szCs w:val="20"/>
        </w:rPr>
      </w:pPr>
      <w:r>
        <w:rPr>
          <w:rFonts w:ascii="宋体" w:hAnsi="宋体" w:eastAsia="宋体" w:cs="宋体"/>
          <w:spacing w:val="5"/>
          <w:sz w:val="20"/>
          <w:szCs w:val="20"/>
        </w:rPr>
        <w:t>（2）采用总价合同的工程，已标价工程量清单存在的缺陷(单价计价的暂定数量清单项目除</w:t>
      </w:r>
      <w:r>
        <w:rPr>
          <w:rFonts w:ascii="宋体" w:hAnsi="宋体" w:eastAsia="宋体" w:cs="宋体"/>
          <w:spacing w:val="4"/>
          <w:sz w:val="20"/>
          <w:szCs w:val="20"/>
        </w:rPr>
        <w:t>外)，</w:t>
      </w:r>
      <w:r>
        <w:rPr>
          <w:rFonts w:ascii="宋体" w:hAnsi="宋体" w:eastAsia="宋体" w:cs="宋体"/>
          <w:spacing w:val="11"/>
          <w:sz w:val="20"/>
          <w:szCs w:val="20"/>
        </w:rPr>
        <w:t>以及承包人为完成总价合同中合同图纸及合同规范所要求的工程、国家及行业</w:t>
      </w:r>
      <w:r>
        <w:rPr>
          <w:rFonts w:ascii="宋体" w:hAnsi="宋体" w:eastAsia="宋体" w:cs="宋体"/>
          <w:spacing w:val="10"/>
          <w:sz w:val="20"/>
          <w:szCs w:val="20"/>
        </w:rPr>
        <w:t>工程量计算标准中工</w:t>
      </w:r>
      <w:r>
        <w:rPr>
          <w:rFonts w:ascii="宋体" w:hAnsi="宋体" w:eastAsia="宋体" w:cs="宋体"/>
          <w:spacing w:val="8"/>
          <w:sz w:val="20"/>
          <w:szCs w:val="20"/>
        </w:rPr>
        <w:t>作内容说明的所有工作所需费用；</w:t>
      </w:r>
    </w:p>
    <w:p>
      <w:pPr>
        <w:spacing w:before="154" w:line="299" w:lineRule="auto"/>
        <w:ind w:left="2" w:right="66" w:firstLine="410"/>
        <w:rPr>
          <w:rFonts w:ascii="宋体" w:hAnsi="宋体" w:eastAsia="宋体" w:cs="宋体"/>
          <w:sz w:val="20"/>
          <w:szCs w:val="20"/>
        </w:rPr>
      </w:pPr>
      <w:r>
        <w:rPr>
          <w:rFonts w:ascii="宋体" w:hAnsi="宋体" w:eastAsia="宋体" w:cs="宋体"/>
          <w:spacing w:val="8"/>
          <w:sz w:val="20"/>
          <w:szCs w:val="20"/>
        </w:rPr>
        <w:t>（3）采用单价合同的工程，承包人为完成工程量清单及其项目特征所说明的工程、国家及行业</w:t>
      </w:r>
      <w:r>
        <w:rPr>
          <w:rFonts w:ascii="宋体" w:hAnsi="宋体" w:eastAsia="宋体" w:cs="宋体"/>
          <w:spacing w:val="9"/>
          <w:sz w:val="20"/>
          <w:szCs w:val="20"/>
        </w:rPr>
        <w:t>工程量计算标准中工作内容说明的所有工作所需费用；</w:t>
      </w:r>
    </w:p>
    <w:p>
      <w:pPr>
        <w:spacing w:before="150" w:line="278" w:lineRule="exact"/>
        <w:ind w:left="413"/>
        <w:rPr>
          <w:rFonts w:ascii="宋体" w:hAnsi="宋体" w:eastAsia="宋体" w:cs="宋体"/>
          <w:sz w:val="20"/>
          <w:szCs w:val="20"/>
        </w:rPr>
      </w:pPr>
      <w:r>
        <w:rPr>
          <w:rFonts w:ascii="宋体" w:hAnsi="宋体" w:eastAsia="宋体" w:cs="宋体"/>
          <w:spacing w:val="9"/>
          <w:position w:val="1"/>
          <w:sz w:val="20"/>
          <w:szCs w:val="20"/>
        </w:rPr>
        <w:t>（4）承包人因自身原因引起实施方案变化引起的费用调整；</w:t>
      </w:r>
    </w:p>
    <w:p>
      <w:pPr>
        <w:spacing w:before="123" w:line="277" w:lineRule="exact"/>
        <w:jc w:val="right"/>
        <w:rPr>
          <w:rFonts w:ascii="宋体" w:hAnsi="宋体" w:eastAsia="宋体" w:cs="宋体"/>
          <w:sz w:val="20"/>
          <w:szCs w:val="20"/>
        </w:rPr>
      </w:pPr>
      <w:r>
        <w:rPr>
          <w:rFonts w:ascii="宋体" w:hAnsi="宋体" w:eastAsia="宋体" w:cs="宋体"/>
          <w:spacing w:val="5"/>
          <w:position w:val="1"/>
          <w:sz w:val="20"/>
          <w:szCs w:val="20"/>
        </w:rPr>
        <w:t>（5）承包人因施工机具使用、施工技术应用以及组织管理水平等自身原因造成的施工费用增加；</w:t>
      </w:r>
    </w:p>
    <w:p>
      <w:pPr>
        <w:spacing w:before="124" w:line="278" w:lineRule="exact"/>
        <w:ind w:left="413"/>
        <w:rPr>
          <w:rFonts w:ascii="宋体" w:hAnsi="宋体" w:eastAsia="宋体" w:cs="宋体"/>
          <w:sz w:val="20"/>
          <w:szCs w:val="20"/>
        </w:rPr>
      </w:pPr>
      <w:r>
        <w:rPr>
          <w:rFonts w:ascii="宋体" w:hAnsi="宋体" w:eastAsia="宋体" w:cs="宋体"/>
          <w:spacing w:val="9"/>
          <w:position w:val="1"/>
          <w:sz w:val="20"/>
          <w:szCs w:val="20"/>
        </w:rPr>
        <w:t>（6）承包人因自身原因引起的赶工、停工或暂缓施工；</w:t>
      </w:r>
    </w:p>
    <w:p>
      <w:pPr>
        <w:spacing w:before="120" w:line="277" w:lineRule="exact"/>
        <w:ind w:left="413"/>
        <w:rPr>
          <w:rFonts w:ascii="宋体" w:hAnsi="宋体" w:eastAsia="宋体" w:cs="宋体"/>
          <w:sz w:val="20"/>
          <w:szCs w:val="20"/>
        </w:rPr>
      </w:pPr>
      <w:r>
        <w:rPr>
          <w:rFonts w:ascii="宋体" w:hAnsi="宋体" w:eastAsia="宋体" w:cs="宋体"/>
          <w:spacing w:val="10"/>
          <w:position w:val="1"/>
          <w:sz w:val="20"/>
          <w:szCs w:val="20"/>
        </w:rPr>
        <w:t>（7）未超出招标文件、合同约定物价变化范</w:t>
      </w:r>
      <w:r>
        <w:rPr>
          <w:rFonts w:ascii="宋体" w:hAnsi="宋体" w:eastAsia="宋体" w:cs="宋体"/>
          <w:spacing w:val="9"/>
          <w:position w:val="1"/>
          <w:sz w:val="20"/>
          <w:szCs w:val="20"/>
        </w:rPr>
        <w:t>围和波动幅度的市场物价变动；</w:t>
      </w:r>
    </w:p>
    <w:p>
      <w:pPr>
        <w:spacing w:before="124" w:line="278" w:lineRule="exact"/>
        <w:ind w:left="413"/>
        <w:rPr>
          <w:rFonts w:ascii="宋体" w:hAnsi="宋体" w:eastAsia="宋体" w:cs="宋体"/>
          <w:sz w:val="20"/>
          <w:szCs w:val="20"/>
        </w:rPr>
      </w:pPr>
      <w:r>
        <w:rPr>
          <w:rFonts w:ascii="宋体" w:hAnsi="宋体" w:eastAsia="宋体" w:cs="宋体"/>
          <w:spacing w:val="9"/>
          <w:position w:val="1"/>
          <w:sz w:val="20"/>
          <w:szCs w:val="20"/>
        </w:rPr>
        <w:t>（8）其他应当由承包人承担责任的事项。</w:t>
      </w:r>
    </w:p>
    <w:p>
      <w:pPr>
        <w:spacing w:before="123" w:line="367" w:lineRule="auto"/>
        <w:ind w:right="66" w:firstLine="425"/>
        <w:rPr>
          <w:rFonts w:ascii="宋体" w:hAnsi="宋体" w:eastAsia="宋体" w:cs="宋体"/>
          <w:sz w:val="20"/>
          <w:szCs w:val="20"/>
        </w:rPr>
      </w:pPr>
      <w:r>
        <w:rPr>
          <w:rFonts w:ascii="宋体" w:hAnsi="宋体" w:eastAsia="宋体" w:cs="宋体"/>
          <w:spacing w:val="8"/>
          <w:sz w:val="20"/>
          <w:szCs w:val="20"/>
        </w:rPr>
        <w:t>3. 合同约定因物价变化应予调整价格的项目，由于市场物价波动影响合同价格的，</w:t>
      </w:r>
      <w:r>
        <w:rPr>
          <w:rFonts w:ascii="宋体" w:hAnsi="宋体" w:eastAsia="宋体" w:cs="宋体"/>
          <w:spacing w:val="7"/>
          <w:sz w:val="20"/>
          <w:szCs w:val="20"/>
        </w:rPr>
        <w:t>合同价格应</w:t>
      </w:r>
      <w:r>
        <w:rPr>
          <w:rFonts w:ascii="宋体" w:hAnsi="宋体" w:eastAsia="宋体" w:cs="宋体"/>
          <w:spacing w:val="8"/>
          <w:sz w:val="20"/>
          <w:szCs w:val="20"/>
        </w:rPr>
        <w:t>按下列规定做相应的调整：</w:t>
      </w:r>
    </w:p>
    <w:p>
      <w:pPr>
        <w:spacing w:before="3" w:line="297" w:lineRule="auto"/>
        <w:ind w:left="3" w:right="66" w:firstLine="409"/>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31"/>
          <w:sz w:val="20"/>
          <w:szCs w:val="20"/>
        </w:rPr>
        <w:t xml:space="preserve"> </w:t>
      </w:r>
      <w:r>
        <w:rPr>
          <w:rFonts w:ascii="宋体" w:hAnsi="宋体" w:eastAsia="宋体" w:cs="宋体"/>
          <w:spacing w:val="6"/>
          <w:sz w:val="20"/>
          <w:szCs w:val="20"/>
        </w:rPr>
        <w:t>1）因人工、主要材料价格波动影响合同价格的，发承包双方应按国家计价标准附录</w:t>
      </w:r>
      <w:r>
        <w:rPr>
          <w:rFonts w:ascii="宋体" w:hAnsi="宋体" w:eastAsia="宋体" w:cs="宋体"/>
          <w:spacing w:val="-43"/>
          <w:sz w:val="20"/>
          <w:szCs w:val="20"/>
        </w:rPr>
        <w:t xml:space="preserve"> </w:t>
      </w:r>
      <w:r>
        <w:rPr>
          <w:rFonts w:ascii="宋体" w:hAnsi="宋体" w:eastAsia="宋体" w:cs="宋体"/>
          <w:spacing w:val="6"/>
          <w:sz w:val="20"/>
          <w:szCs w:val="20"/>
        </w:rPr>
        <w:t>A</w:t>
      </w:r>
      <w:r>
        <w:rPr>
          <w:rFonts w:ascii="宋体" w:hAnsi="宋体" w:eastAsia="宋体" w:cs="宋体"/>
          <w:spacing w:val="-25"/>
          <w:sz w:val="20"/>
          <w:szCs w:val="20"/>
        </w:rPr>
        <w:t xml:space="preserve"> </w:t>
      </w:r>
      <w:r>
        <w:rPr>
          <w:rFonts w:ascii="宋体" w:hAnsi="宋体" w:eastAsia="宋体" w:cs="宋体"/>
          <w:spacing w:val="6"/>
          <w:sz w:val="20"/>
          <w:szCs w:val="20"/>
        </w:rPr>
        <w:t>的方法</w:t>
      </w:r>
      <w:r>
        <w:rPr>
          <w:rFonts w:ascii="宋体" w:hAnsi="宋体" w:eastAsia="宋体" w:cs="宋体"/>
          <w:spacing w:val="7"/>
          <w:sz w:val="20"/>
          <w:szCs w:val="20"/>
        </w:rPr>
        <w:t>之一调整合同价格。</w:t>
      </w:r>
    </w:p>
    <w:p>
      <w:pPr>
        <w:spacing w:before="157" w:line="276" w:lineRule="exact"/>
        <w:ind w:left="413"/>
        <w:rPr>
          <w:rFonts w:ascii="宋体" w:hAnsi="宋体" w:eastAsia="宋体" w:cs="宋体"/>
          <w:sz w:val="20"/>
          <w:szCs w:val="20"/>
        </w:rPr>
      </w:pPr>
      <w:r>
        <w:rPr>
          <w:rFonts w:ascii="宋体" w:hAnsi="宋体" w:eastAsia="宋体" w:cs="宋体"/>
          <w:spacing w:val="10"/>
          <w:position w:val="1"/>
          <w:sz w:val="20"/>
          <w:szCs w:val="20"/>
        </w:rPr>
        <w:t>（2）发承包双方应明确可调价的主要材料范</w:t>
      </w:r>
      <w:r>
        <w:rPr>
          <w:rFonts w:ascii="宋体" w:hAnsi="宋体" w:eastAsia="宋体" w:cs="宋体"/>
          <w:spacing w:val="9"/>
          <w:position w:val="1"/>
          <w:sz w:val="20"/>
          <w:szCs w:val="20"/>
        </w:rPr>
        <w:t>围、价格波动幅度及调整办法等。</w:t>
      </w:r>
    </w:p>
    <w:p>
      <w:pPr>
        <w:spacing w:before="125" w:line="276" w:lineRule="exact"/>
        <w:ind w:right="13"/>
        <w:jc w:val="right"/>
        <w:rPr>
          <w:rFonts w:ascii="宋体" w:hAnsi="宋体" w:eastAsia="宋体" w:cs="宋体"/>
          <w:sz w:val="20"/>
          <w:szCs w:val="20"/>
        </w:rPr>
      </w:pPr>
      <w:r>
        <w:rPr>
          <w:rFonts w:ascii="宋体" w:hAnsi="宋体" w:eastAsia="宋体" w:cs="宋体"/>
          <w:spacing w:val="10"/>
          <w:position w:val="1"/>
          <w:sz w:val="20"/>
          <w:szCs w:val="20"/>
        </w:rPr>
        <w:t>（3）发承包双方应明确施工机具使用费中燃料价格波动是否允</w:t>
      </w:r>
      <w:r>
        <w:rPr>
          <w:rFonts w:ascii="宋体" w:hAnsi="宋体" w:eastAsia="宋体" w:cs="宋体"/>
          <w:spacing w:val="9"/>
          <w:position w:val="1"/>
          <w:sz w:val="20"/>
          <w:szCs w:val="20"/>
        </w:rPr>
        <w:t>许调整燃料动力费及调整办法。</w:t>
      </w:r>
    </w:p>
    <w:p>
      <w:pPr>
        <w:spacing w:before="123" w:line="297" w:lineRule="auto"/>
        <w:ind w:right="66" w:firstLine="413"/>
        <w:rPr>
          <w:rFonts w:ascii="宋体" w:hAnsi="宋体" w:eastAsia="宋体" w:cs="宋体"/>
          <w:sz w:val="20"/>
          <w:szCs w:val="20"/>
        </w:rPr>
      </w:pPr>
      <w:r>
        <w:rPr>
          <w:rFonts w:ascii="宋体" w:hAnsi="宋体" w:eastAsia="宋体" w:cs="宋体"/>
          <w:spacing w:val="8"/>
          <w:sz w:val="20"/>
          <w:szCs w:val="20"/>
        </w:rPr>
        <w:t>（4）综合单价的人工费、材料费、施工机具使用费的燃料动力费价差调整应计取增值税，不应计取管理费、利润。</w:t>
      </w:r>
    </w:p>
    <w:p>
      <w:pPr>
        <w:spacing w:before="157" w:line="363" w:lineRule="auto"/>
        <w:ind w:left="4" w:right="66" w:firstLine="415"/>
        <w:jc w:val="both"/>
        <w:rPr>
          <w:rFonts w:ascii="宋体" w:hAnsi="宋体" w:eastAsia="宋体" w:cs="宋体"/>
          <w:sz w:val="20"/>
          <w:szCs w:val="20"/>
        </w:rPr>
      </w:pPr>
      <w:r>
        <w:rPr>
          <w:rFonts w:ascii="宋体" w:hAnsi="宋体" w:eastAsia="宋体" w:cs="宋体"/>
          <w:spacing w:val="8"/>
          <w:sz w:val="20"/>
          <w:szCs w:val="20"/>
        </w:rPr>
        <w:t>4. 合同未约定因物价变化应予调整价款的清单项目，当市场物价异常波动超出合同约定幅度，</w:t>
      </w:r>
      <w:r>
        <w:rPr>
          <w:rFonts w:ascii="宋体" w:hAnsi="宋体" w:eastAsia="宋体" w:cs="宋体"/>
          <w:spacing w:val="11"/>
          <w:sz w:val="20"/>
          <w:szCs w:val="20"/>
        </w:rPr>
        <w:t>或合同未约定物价波动幅度，但市场物价异常波动且有经验的承包人不</w:t>
      </w:r>
      <w:r>
        <w:rPr>
          <w:rFonts w:ascii="宋体" w:hAnsi="宋体" w:eastAsia="宋体" w:cs="宋体"/>
          <w:spacing w:val="10"/>
          <w:sz w:val="20"/>
          <w:szCs w:val="20"/>
        </w:rPr>
        <w:t>能预见的，发承包双方可按</w:t>
      </w:r>
      <w:r>
        <w:rPr>
          <w:rFonts w:ascii="宋体" w:hAnsi="宋体" w:eastAsia="宋体" w:cs="宋体"/>
          <w:spacing w:val="5"/>
          <w:sz w:val="20"/>
          <w:szCs w:val="20"/>
        </w:rPr>
        <w:t>国家计价标准第</w:t>
      </w:r>
      <w:r>
        <w:rPr>
          <w:rFonts w:ascii="宋体" w:hAnsi="宋体" w:eastAsia="宋体" w:cs="宋体"/>
          <w:spacing w:val="-29"/>
          <w:sz w:val="20"/>
          <w:szCs w:val="20"/>
        </w:rPr>
        <w:t xml:space="preserve"> </w:t>
      </w:r>
      <w:r>
        <w:rPr>
          <w:rFonts w:ascii="宋体" w:hAnsi="宋体" w:eastAsia="宋体" w:cs="宋体"/>
          <w:spacing w:val="5"/>
          <w:sz w:val="20"/>
          <w:szCs w:val="20"/>
        </w:rPr>
        <w:t>3.3.5</w:t>
      </w:r>
      <w:r>
        <w:rPr>
          <w:rFonts w:ascii="宋体" w:hAnsi="宋体" w:eastAsia="宋体" w:cs="宋体"/>
          <w:spacing w:val="-40"/>
          <w:sz w:val="20"/>
          <w:szCs w:val="20"/>
        </w:rPr>
        <w:t xml:space="preserve"> </w:t>
      </w:r>
      <w:r>
        <w:rPr>
          <w:rFonts w:ascii="宋体" w:hAnsi="宋体" w:eastAsia="宋体" w:cs="宋体"/>
          <w:spacing w:val="5"/>
          <w:sz w:val="20"/>
          <w:szCs w:val="20"/>
        </w:rPr>
        <w:t>条的规定调整受异常波动物价变化影响的相关清单项目价款，费用可由发承包</w:t>
      </w:r>
      <w:r>
        <w:rPr>
          <w:rFonts w:ascii="宋体" w:hAnsi="宋体" w:eastAsia="宋体" w:cs="宋体"/>
          <w:spacing w:val="7"/>
          <w:sz w:val="20"/>
          <w:szCs w:val="20"/>
        </w:rPr>
        <w:t>双方合理分摊。</w:t>
      </w:r>
    </w:p>
    <w:p>
      <w:pPr>
        <w:spacing w:line="363" w:lineRule="auto"/>
        <w:rPr>
          <w:rFonts w:ascii="宋体" w:hAnsi="宋体" w:eastAsia="宋体" w:cs="宋体"/>
          <w:sz w:val="20"/>
          <w:szCs w:val="20"/>
        </w:rPr>
        <w:sectPr>
          <w:footerReference r:id="rId45" w:type="default"/>
          <w:pgSz w:w="11905" w:h="16840"/>
          <w:pgMar w:top="1431" w:right="1352" w:bottom="1213" w:left="1418" w:header="0" w:footer="898" w:gutter="0"/>
        </w:sectPr>
      </w:pPr>
    </w:p>
    <w:p>
      <w:pPr>
        <w:spacing w:before="123" w:line="364" w:lineRule="auto"/>
        <w:ind w:left="6" w:right="106" w:firstLine="423"/>
        <w:jc w:val="both"/>
        <w:rPr>
          <w:rFonts w:ascii="宋体" w:hAnsi="宋体" w:eastAsia="宋体" w:cs="宋体"/>
          <w:sz w:val="20"/>
          <w:szCs w:val="20"/>
        </w:rPr>
      </w:pPr>
      <w:r>
        <w:rPr>
          <w:rFonts w:ascii="宋体" w:hAnsi="宋体" w:eastAsia="宋体" w:cs="宋体"/>
          <w:spacing w:val="8"/>
          <w:sz w:val="20"/>
          <w:szCs w:val="20"/>
        </w:rPr>
        <w:t>5. 承包人投标时所报措施项目施工方案应被认为是合理可行，并符合实际施工要求的，其措施</w:t>
      </w:r>
      <w:r>
        <w:rPr>
          <w:rFonts w:ascii="宋体" w:hAnsi="宋体" w:eastAsia="宋体" w:cs="宋体"/>
          <w:spacing w:val="11"/>
          <w:sz w:val="20"/>
          <w:szCs w:val="20"/>
        </w:rPr>
        <w:t>项目费用包干计价，承包人应承担自身调整施工方案所引起的措施项目费用增加</w:t>
      </w:r>
      <w:r>
        <w:rPr>
          <w:rFonts w:ascii="宋体" w:hAnsi="宋体" w:eastAsia="宋体" w:cs="宋体"/>
          <w:spacing w:val="10"/>
          <w:sz w:val="20"/>
          <w:szCs w:val="20"/>
        </w:rPr>
        <w:t>的风险。除工程变</w:t>
      </w:r>
      <w:r>
        <w:rPr>
          <w:rFonts w:ascii="宋体" w:hAnsi="宋体" w:eastAsia="宋体" w:cs="宋体"/>
          <w:spacing w:val="11"/>
          <w:sz w:val="20"/>
          <w:szCs w:val="20"/>
        </w:rPr>
        <w:t>更、暂列金额中未能完全预见或详细说明的工程，以及发包人原因引起承包人提</w:t>
      </w:r>
      <w:r>
        <w:rPr>
          <w:rFonts w:ascii="宋体" w:hAnsi="宋体" w:eastAsia="宋体" w:cs="宋体"/>
          <w:spacing w:val="10"/>
          <w:sz w:val="20"/>
          <w:szCs w:val="20"/>
        </w:rPr>
        <w:t>供的措施项目发生延期使用、拆改、增加、重复提供相关措施项目而增加其措施项目费用应按国家计价标准第</w:t>
      </w:r>
      <w:r>
        <w:rPr>
          <w:rFonts w:ascii="宋体" w:hAnsi="宋体" w:eastAsia="宋体" w:cs="宋体"/>
          <w:spacing w:val="-22"/>
          <w:sz w:val="20"/>
          <w:szCs w:val="20"/>
        </w:rPr>
        <w:t xml:space="preserve"> </w:t>
      </w:r>
      <w:r>
        <w:rPr>
          <w:rFonts w:ascii="宋体" w:hAnsi="宋体" w:eastAsia="宋体" w:cs="宋体"/>
          <w:spacing w:val="10"/>
          <w:sz w:val="20"/>
          <w:szCs w:val="20"/>
        </w:rPr>
        <w:t>8</w:t>
      </w:r>
      <w:r>
        <w:rPr>
          <w:rFonts w:ascii="宋体" w:hAnsi="宋体" w:eastAsia="宋体" w:cs="宋体"/>
          <w:spacing w:val="-40"/>
          <w:sz w:val="20"/>
          <w:szCs w:val="20"/>
        </w:rPr>
        <w:t xml:space="preserve"> </w:t>
      </w:r>
      <w:r>
        <w:rPr>
          <w:rFonts w:ascii="宋体" w:hAnsi="宋体" w:eastAsia="宋体" w:cs="宋体"/>
          <w:spacing w:val="10"/>
          <w:sz w:val="20"/>
          <w:szCs w:val="20"/>
        </w:rPr>
        <w:t>章的</w:t>
      </w:r>
      <w:r>
        <w:rPr>
          <w:rFonts w:ascii="宋体" w:hAnsi="宋体" w:eastAsia="宋体" w:cs="宋体"/>
          <w:spacing w:val="9"/>
          <w:sz w:val="20"/>
          <w:szCs w:val="20"/>
        </w:rPr>
        <w:t>相关规定调整外，其他不做调整。</w:t>
      </w:r>
    </w:p>
    <w:p>
      <w:pPr>
        <w:spacing w:before="32" w:line="229" w:lineRule="auto"/>
        <w:ind w:left="435"/>
        <w:rPr>
          <w:rFonts w:ascii="黑体" w:hAnsi="黑体" w:eastAsia="黑体" w:cs="黑体"/>
          <w:sz w:val="20"/>
          <w:szCs w:val="20"/>
        </w:rPr>
      </w:pPr>
      <w:r>
        <w:rPr>
          <w:rFonts w:ascii="黑体" w:hAnsi="黑体" w:eastAsia="黑体" w:cs="黑体"/>
          <w:spacing w:val="8"/>
          <w:sz w:val="20"/>
          <w:szCs w:val="20"/>
        </w:rPr>
        <w:t>二、工程量清单编制</w:t>
      </w:r>
    </w:p>
    <w:p>
      <w:pPr>
        <w:spacing w:before="149" w:line="277" w:lineRule="exact"/>
        <w:ind w:left="420"/>
        <w:rPr>
          <w:rFonts w:ascii="宋体" w:hAnsi="宋体" w:eastAsia="宋体" w:cs="宋体"/>
          <w:sz w:val="20"/>
          <w:szCs w:val="20"/>
        </w:rPr>
      </w:pPr>
      <w:r>
        <w:rPr>
          <w:rFonts w:ascii="宋体" w:hAnsi="宋体" w:eastAsia="宋体" w:cs="宋体"/>
          <w:spacing w:val="9"/>
          <w:position w:val="1"/>
          <w:sz w:val="20"/>
          <w:szCs w:val="20"/>
        </w:rPr>
        <w:t>（一）工程量清单编制应符合下列依据的规定：</w:t>
      </w:r>
    </w:p>
    <w:p>
      <w:pPr>
        <w:spacing w:before="123" w:line="277" w:lineRule="exact"/>
        <w:ind w:left="447"/>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32"/>
          <w:position w:val="1"/>
          <w:sz w:val="20"/>
          <w:szCs w:val="20"/>
        </w:rPr>
        <w:t xml:space="preserve"> </w:t>
      </w:r>
      <w:r>
        <w:rPr>
          <w:rFonts w:ascii="宋体" w:hAnsi="宋体" w:eastAsia="宋体" w:cs="宋体"/>
          <w:spacing w:val="7"/>
          <w:position w:val="1"/>
          <w:sz w:val="20"/>
          <w:szCs w:val="20"/>
        </w:rPr>
        <w:t>国家《建设工程工程量清单计价标准》和相</w:t>
      </w:r>
      <w:r>
        <w:rPr>
          <w:rFonts w:ascii="宋体" w:hAnsi="宋体" w:eastAsia="宋体" w:cs="宋体"/>
          <w:spacing w:val="6"/>
          <w:position w:val="1"/>
          <w:sz w:val="20"/>
          <w:szCs w:val="20"/>
        </w:rPr>
        <w:t>关工程国家及行业工程量计算标准；</w:t>
      </w:r>
    </w:p>
    <w:p>
      <w:pPr>
        <w:spacing w:before="124" w:line="298" w:lineRule="auto"/>
        <w:ind w:left="9" w:right="109" w:firstLine="420"/>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49"/>
          <w:sz w:val="20"/>
          <w:szCs w:val="20"/>
        </w:rPr>
        <w:t xml:space="preserve"> </w:t>
      </w:r>
      <w:r>
        <w:rPr>
          <w:rFonts w:ascii="宋体" w:hAnsi="宋体" w:eastAsia="宋体" w:cs="宋体"/>
          <w:spacing w:val="7"/>
          <w:sz w:val="20"/>
          <w:szCs w:val="20"/>
        </w:rPr>
        <w:t>国家及省级、行业建设主管部门颁发的工程计量与计价相关规定，以及根据工程需要补充的</w:t>
      </w:r>
      <w:r>
        <w:rPr>
          <w:rFonts w:ascii="宋体" w:hAnsi="宋体" w:eastAsia="宋体" w:cs="宋体"/>
          <w:spacing w:val="8"/>
          <w:sz w:val="20"/>
          <w:szCs w:val="20"/>
        </w:rPr>
        <w:t>工程量计算规则；</w:t>
      </w:r>
    </w:p>
    <w:p>
      <w:pPr>
        <w:spacing w:before="153" w:line="277" w:lineRule="exact"/>
        <w:ind w:left="433"/>
        <w:rPr>
          <w:rFonts w:ascii="宋体" w:hAnsi="宋体" w:eastAsia="宋体" w:cs="宋体"/>
          <w:sz w:val="20"/>
          <w:szCs w:val="20"/>
        </w:rPr>
      </w:pPr>
      <w:r>
        <w:rPr>
          <w:rFonts w:ascii="宋体" w:hAnsi="宋体" w:eastAsia="宋体" w:cs="宋体"/>
          <w:spacing w:val="6"/>
          <w:position w:val="1"/>
          <w:sz w:val="20"/>
          <w:szCs w:val="20"/>
        </w:rPr>
        <w:t>3. 招标文件、拟订的合同条款及其相关</w:t>
      </w:r>
      <w:r>
        <w:rPr>
          <w:rFonts w:ascii="宋体" w:hAnsi="宋体" w:eastAsia="宋体" w:cs="宋体"/>
          <w:spacing w:val="5"/>
          <w:position w:val="1"/>
          <w:sz w:val="20"/>
          <w:szCs w:val="20"/>
        </w:rPr>
        <w:t>资料；</w:t>
      </w:r>
    </w:p>
    <w:p>
      <w:pPr>
        <w:spacing w:before="123" w:line="279" w:lineRule="exact"/>
        <w:ind w:left="426"/>
        <w:rPr>
          <w:rFonts w:ascii="宋体" w:hAnsi="宋体" w:eastAsia="宋体" w:cs="宋体"/>
          <w:sz w:val="20"/>
          <w:szCs w:val="20"/>
        </w:rPr>
      </w:pPr>
      <w:r>
        <w:rPr>
          <w:rFonts w:ascii="宋体" w:hAnsi="宋体" w:eastAsia="宋体" w:cs="宋体"/>
          <w:spacing w:val="4"/>
          <w:position w:val="1"/>
          <w:sz w:val="20"/>
          <w:szCs w:val="20"/>
        </w:rPr>
        <w:t>4. 工程招标图纸及其相关资料；</w:t>
      </w:r>
    </w:p>
    <w:p>
      <w:pPr>
        <w:spacing w:before="120" w:line="277" w:lineRule="exact"/>
        <w:ind w:left="430"/>
        <w:rPr>
          <w:rFonts w:ascii="宋体" w:hAnsi="宋体" w:eastAsia="宋体" w:cs="宋体"/>
          <w:sz w:val="20"/>
          <w:szCs w:val="20"/>
        </w:rPr>
      </w:pPr>
      <w:r>
        <w:rPr>
          <w:rFonts w:ascii="宋体" w:hAnsi="宋体" w:eastAsia="宋体" w:cs="宋体"/>
          <w:spacing w:val="5"/>
          <w:position w:val="1"/>
          <w:sz w:val="20"/>
          <w:szCs w:val="20"/>
        </w:rPr>
        <w:t>5. 与建设工程有关的技术标准规范；</w:t>
      </w:r>
    </w:p>
    <w:p>
      <w:pPr>
        <w:spacing w:before="123" w:line="278" w:lineRule="exact"/>
        <w:ind w:left="430"/>
        <w:rPr>
          <w:rFonts w:ascii="宋体" w:hAnsi="宋体" w:eastAsia="宋体" w:cs="宋体"/>
          <w:sz w:val="20"/>
          <w:szCs w:val="20"/>
        </w:rPr>
      </w:pPr>
      <w:r>
        <w:rPr>
          <w:rFonts w:ascii="宋体" w:hAnsi="宋体" w:eastAsia="宋体" w:cs="宋体"/>
          <w:spacing w:val="7"/>
          <w:position w:val="1"/>
          <w:sz w:val="20"/>
          <w:szCs w:val="20"/>
        </w:rPr>
        <w:t>6. 施工现场情况、相关地勘水文资料、工程特点及交付标准；</w:t>
      </w:r>
    </w:p>
    <w:p>
      <w:pPr>
        <w:spacing w:before="123" w:line="279" w:lineRule="exact"/>
        <w:ind w:left="428"/>
        <w:rPr>
          <w:rFonts w:ascii="宋体" w:hAnsi="宋体" w:eastAsia="宋体" w:cs="宋体"/>
          <w:sz w:val="20"/>
          <w:szCs w:val="20"/>
        </w:rPr>
      </w:pPr>
      <w:r>
        <w:rPr>
          <w:rFonts w:ascii="宋体" w:hAnsi="宋体" w:eastAsia="宋体" w:cs="宋体"/>
          <w:spacing w:val="1"/>
          <w:position w:val="1"/>
          <w:sz w:val="20"/>
          <w:szCs w:val="20"/>
        </w:rPr>
        <w:t>7. 其他相关资料。</w:t>
      </w:r>
    </w:p>
    <w:p>
      <w:pPr>
        <w:spacing w:before="119" w:line="351" w:lineRule="auto"/>
        <w:ind w:left="6" w:right="150" w:firstLine="413"/>
        <w:rPr>
          <w:rFonts w:ascii="宋体" w:hAnsi="宋体" w:eastAsia="宋体" w:cs="宋体"/>
          <w:sz w:val="20"/>
          <w:szCs w:val="20"/>
        </w:rPr>
      </w:pPr>
      <w:r>
        <w:rPr>
          <w:rFonts w:ascii="宋体" w:hAnsi="宋体" w:eastAsia="宋体" w:cs="宋体"/>
          <w:spacing w:val="10"/>
          <w:sz w:val="20"/>
          <w:szCs w:val="20"/>
        </w:rPr>
        <w:t>（二）招标工程量清单的编制依据应符合 24 系列</w:t>
      </w:r>
      <w:r>
        <w:rPr>
          <w:rFonts w:ascii="宋体" w:hAnsi="宋体" w:eastAsia="宋体" w:cs="宋体"/>
          <w:spacing w:val="9"/>
          <w:sz w:val="20"/>
          <w:szCs w:val="20"/>
        </w:rPr>
        <w:t>清单标准中对工程量清单编制依据的规定，并根据拟招标工程实际予以确定和补充。</w:t>
      </w:r>
    </w:p>
    <w:p>
      <w:pPr>
        <w:spacing w:before="43" w:line="295" w:lineRule="auto"/>
        <w:ind w:left="7" w:right="109" w:firstLine="439"/>
        <w:rPr>
          <w:rFonts w:ascii="宋体" w:hAnsi="宋体" w:eastAsia="宋体" w:cs="宋体"/>
          <w:sz w:val="20"/>
          <w:szCs w:val="20"/>
        </w:rPr>
      </w:pPr>
      <w:r>
        <w:rPr>
          <w:rFonts w:ascii="宋体" w:hAnsi="宋体" w:eastAsia="宋体" w:cs="宋体"/>
          <w:spacing w:val="10"/>
          <w:sz w:val="20"/>
          <w:szCs w:val="20"/>
        </w:rPr>
        <w:t>1. 使用的计量计价类标准、计价依据、规定等应在附表“工程量清单编制说明 ”</w:t>
      </w:r>
      <w:r>
        <w:rPr>
          <w:rFonts w:ascii="宋体" w:hAnsi="宋体" w:eastAsia="宋体" w:cs="宋体"/>
          <w:spacing w:val="9"/>
          <w:sz w:val="20"/>
          <w:szCs w:val="20"/>
        </w:rPr>
        <w:t>“工程量清单计算规则说明 ”中准确完整的描述标准名称、标准编号、计价依据版本、规定文号等。</w:t>
      </w:r>
    </w:p>
    <w:p>
      <w:pPr>
        <w:spacing w:before="158" w:line="313" w:lineRule="auto"/>
        <w:ind w:left="7" w:firstLine="422"/>
        <w:rPr>
          <w:rFonts w:ascii="宋体" w:hAnsi="宋体" w:eastAsia="宋体" w:cs="宋体"/>
          <w:sz w:val="20"/>
          <w:szCs w:val="20"/>
        </w:rPr>
      </w:pPr>
      <w:r>
        <w:rPr>
          <w:rFonts w:ascii="宋体" w:hAnsi="宋体" w:eastAsia="宋体" w:cs="宋体"/>
          <w:spacing w:val="6"/>
          <w:sz w:val="20"/>
          <w:szCs w:val="20"/>
        </w:rPr>
        <w:t>2. 除招标图纸已注明的技术标准（规范）外，其他作为清单编制依据</w:t>
      </w:r>
      <w:r>
        <w:rPr>
          <w:rFonts w:ascii="宋体" w:hAnsi="宋体" w:eastAsia="宋体" w:cs="宋体"/>
          <w:spacing w:val="5"/>
          <w:sz w:val="20"/>
          <w:szCs w:val="20"/>
        </w:rPr>
        <w:t>的工程技术类标准（规范）</w:t>
      </w:r>
      <w:r>
        <w:rPr>
          <w:rFonts w:ascii="宋体" w:hAnsi="宋体" w:eastAsia="宋体" w:cs="宋体"/>
          <w:spacing w:val="9"/>
          <w:sz w:val="20"/>
          <w:szCs w:val="20"/>
        </w:rPr>
        <w:t>应在附表“工程量清单编制说明 ”中准确完整的描述标准（规范）名称、编号等。</w:t>
      </w:r>
    </w:p>
    <w:p>
      <w:pPr>
        <w:spacing w:before="122" w:line="297" w:lineRule="auto"/>
        <w:ind w:left="8" w:right="109" w:firstLine="424"/>
        <w:rPr>
          <w:rFonts w:ascii="宋体" w:hAnsi="宋体" w:eastAsia="宋体" w:cs="宋体"/>
          <w:sz w:val="20"/>
          <w:szCs w:val="20"/>
        </w:rPr>
      </w:pPr>
      <w:r>
        <w:rPr>
          <w:rFonts w:ascii="宋体" w:hAnsi="宋体" w:eastAsia="宋体" w:cs="宋体"/>
          <w:spacing w:val="10"/>
          <w:sz w:val="20"/>
          <w:szCs w:val="20"/>
        </w:rPr>
        <w:t>3. 补充的工程量清单应在附表“工程量清单计算规则说明 ”中明示补充的项目编码、项目名</w:t>
      </w:r>
      <w:r>
        <w:rPr>
          <w:rFonts w:ascii="宋体" w:hAnsi="宋体" w:eastAsia="宋体" w:cs="宋体"/>
          <w:spacing w:val="9"/>
          <w:sz w:val="20"/>
          <w:szCs w:val="20"/>
        </w:rPr>
        <w:t>称、计量单位、计算规则及工作内容。</w:t>
      </w:r>
    </w:p>
    <w:p>
      <w:pPr>
        <w:spacing w:before="158" w:line="297" w:lineRule="auto"/>
        <w:ind w:left="10" w:right="109" w:firstLine="416"/>
        <w:rPr>
          <w:rFonts w:ascii="宋体" w:hAnsi="宋体" w:eastAsia="宋体" w:cs="宋体"/>
          <w:sz w:val="20"/>
          <w:szCs w:val="20"/>
        </w:rPr>
      </w:pPr>
      <w:r>
        <w:rPr>
          <w:rFonts w:ascii="宋体" w:hAnsi="宋体" w:eastAsia="宋体" w:cs="宋体"/>
          <w:spacing w:val="8"/>
          <w:sz w:val="20"/>
          <w:szCs w:val="20"/>
        </w:rPr>
        <w:t>4. 借用国家及行业计量计价标准中同名清单项目，但修改其计量单位和（或）计算规则的，修</w:t>
      </w:r>
      <w:r>
        <w:rPr>
          <w:rFonts w:ascii="宋体" w:hAnsi="宋体" w:eastAsia="宋体" w:cs="宋体"/>
          <w:spacing w:val="10"/>
          <w:sz w:val="20"/>
          <w:szCs w:val="20"/>
        </w:rPr>
        <w:t>改后的清单项目应执行补充工程量清单的相关规</w:t>
      </w:r>
      <w:r>
        <w:rPr>
          <w:rFonts w:ascii="宋体" w:hAnsi="宋体" w:eastAsia="宋体" w:cs="宋体"/>
          <w:spacing w:val="9"/>
          <w:sz w:val="20"/>
          <w:szCs w:val="20"/>
        </w:rPr>
        <w:t>定及要求，不得继续使用原清单项目编码。</w:t>
      </w:r>
    </w:p>
    <w:p>
      <w:pPr>
        <w:spacing w:before="156" w:line="320" w:lineRule="auto"/>
        <w:ind w:left="25" w:right="109" w:firstLine="404"/>
        <w:rPr>
          <w:rFonts w:ascii="宋体" w:hAnsi="宋体" w:eastAsia="宋体" w:cs="宋体"/>
          <w:sz w:val="20"/>
          <w:szCs w:val="20"/>
        </w:rPr>
      </w:pPr>
      <w:r>
        <w:rPr>
          <w:rFonts w:ascii="宋体" w:hAnsi="宋体" w:eastAsia="宋体" w:cs="宋体"/>
          <w:spacing w:val="8"/>
          <w:sz w:val="20"/>
          <w:szCs w:val="20"/>
        </w:rPr>
        <w:t>5. 除设计文件已有明示外，其他依据地勘水文资料、发包人要求、工程特点及交付标准而设置的清单项目、描述的清单项目特征，应在附表“工程量清单编制说明 ”中对具体项目及</w:t>
      </w:r>
      <w:r>
        <w:rPr>
          <w:rFonts w:ascii="宋体" w:hAnsi="宋体" w:eastAsia="宋体" w:cs="宋体"/>
          <w:spacing w:val="7"/>
          <w:sz w:val="20"/>
          <w:szCs w:val="20"/>
        </w:rPr>
        <w:t>依据内容予</w:t>
      </w:r>
      <w:r>
        <w:rPr>
          <w:rFonts w:ascii="宋体" w:hAnsi="宋体" w:eastAsia="宋体" w:cs="宋体"/>
          <w:spacing w:val="1"/>
          <w:sz w:val="20"/>
          <w:szCs w:val="20"/>
        </w:rPr>
        <w:t>以说明。</w:t>
      </w:r>
    </w:p>
    <w:p>
      <w:pPr>
        <w:spacing w:before="159" w:line="298" w:lineRule="auto"/>
        <w:ind w:left="10" w:right="109" w:firstLine="420"/>
        <w:rPr>
          <w:rFonts w:ascii="宋体" w:hAnsi="宋体" w:eastAsia="宋体" w:cs="宋体"/>
          <w:sz w:val="20"/>
          <w:szCs w:val="20"/>
        </w:rPr>
      </w:pPr>
      <w:r>
        <w:rPr>
          <w:rFonts w:ascii="宋体" w:hAnsi="宋体" w:eastAsia="宋体" w:cs="宋体"/>
          <w:spacing w:val="8"/>
          <w:sz w:val="20"/>
          <w:szCs w:val="20"/>
        </w:rPr>
        <w:t>6. 清单编制各项依据资料中存在内容或要求不一致甚至矛盾的，应及时核实并提请确认，</w:t>
      </w:r>
      <w:r>
        <w:rPr>
          <w:rFonts w:ascii="宋体" w:hAnsi="宋体" w:eastAsia="宋体" w:cs="宋体"/>
          <w:spacing w:val="7"/>
          <w:sz w:val="20"/>
          <w:szCs w:val="20"/>
        </w:rPr>
        <w:t>依据</w:t>
      </w:r>
      <w:r>
        <w:rPr>
          <w:rFonts w:ascii="宋体" w:hAnsi="宋体" w:eastAsia="宋体" w:cs="宋体"/>
          <w:spacing w:val="9"/>
          <w:sz w:val="20"/>
          <w:szCs w:val="20"/>
        </w:rPr>
        <w:t>确认结果调整或完善招标清单和清单说明。</w:t>
      </w:r>
    </w:p>
    <w:p>
      <w:pPr>
        <w:spacing w:before="154" w:line="365" w:lineRule="auto"/>
        <w:ind w:left="10" w:right="106" w:firstLine="409"/>
        <w:jc w:val="both"/>
        <w:rPr>
          <w:rFonts w:ascii="宋体" w:hAnsi="宋体" w:eastAsia="宋体" w:cs="宋体"/>
          <w:sz w:val="20"/>
          <w:szCs w:val="20"/>
        </w:rPr>
      </w:pPr>
      <w:r>
        <w:rPr>
          <w:rFonts w:ascii="宋体" w:hAnsi="宋体" w:eastAsia="宋体" w:cs="宋体"/>
          <w:spacing w:val="11"/>
          <w:sz w:val="20"/>
          <w:szCs w:val="20"/>
        </w:rPr>
        <w:t>（三）招标工程量清单应根据招标文件要求及工程交付范围，以合同标的工程为汇总对象，依次编制分部分项工程项目清单、措施项目清单、其他项目清单、增值税清单，</w:t>
      </w:r>
      <w:r>
        <w:rPr>
          <w:rFonts w:ascii="宋体" w:hAnsi="宋体" w:eastAsia="宋体" w:cs="宋体"/>
          <w:spacing w:val="10"/>
          <w:sz w:val="20"/>
          <w:szCs w:val="20"/>
        </w:rPr>
        <w:t>并在“工程项目清单</w:t>
      </w:r>
      <w:r>
        <w:rPr>
          <w:rFonts w:ascii="宋体" w:hAnsi="宋体" w:eastAsia="宋体" w:cs="宋体"/>
          <w:spacing w:val="6"/>
          <w:sz w:val="20"/>
          <w:szCs w:val="20"/>
        </w:rPr>
        <w:t>汇总表</w:t>
      </w:r>
      <w:r>
        <w:rPr>
          <w:rFonts w:ascii="宋体" w:hAnsi="宋体" w:eastAsia="宋体" w:cs="宋体"/>
          <w:spacing w:val="29"/>
          <w:sz w:val="20"/>
          <w:szCs w:val="20"/>
        </w:rPr>
        <w:t xml:space="preserve"> </w:t>
      </w:r>
      <w:r>
        <w:rPr>
          <w:rFonts w:ascii="宋体" w:hAnsi="宋体" w:eastAsia="宋体" w:cs="宋体"/>
          <w:spacing w:val="6"/>
          <w:sz w:val="20"/>
          <w:szCs w:val="20"/>
        </w:rPr>
        <w:t>”体现编制层级。</w:t>
      </w:r>
    </w:p>
    <w:p>
      <w:pPr>
        <w:spacing w:before="14" w:line="369" w:lineRule="auto"/>
        <w:ind w:right="109" w:firstLine="447"/>
        <w:rPr>
          <w:rFonts w:ascii="宋体" w:hAnsi="宋体" w:eastAsia="宋体" w:cs="宋体"/>
          <w:sz w:val="20"/>
          <w:szCs w:val="20"/>
        </w:rPr>
      </w:pPr>
      <w:r>
        <w:rPr>
          <w:rFonts w:ascii="宋体" w:hAnsi="宋体" w:eastAsia="宋体" w:cs="宋体"/>
          <w:spacing w:val="8"/>
          <w:sz w:val="20"/>
          <w:szCs w:val="20"/>
        </w:rPr>
        <w:t>1. 合同标的工程可按生产及使用功能划分为若干单</w:t>
      </w:r>
      <w:r>
        <w:rPr>
          <w:rFonts w:ascii="宋体" w:hAnsi="宋体" w:eastAsia="宋体" w:cs="宋体"/>
          <w:spacing w:val="7"/>
          <w:sz w:val="20"/>
          <w:szCs w:val="20"/>
        </w:rPr>
        <w:t>项工程，单项工程不同区域存在较大差异的</w:t>
      </w:r>
      <w:r>
        <w:rPr>
          <w:rFonts w:ascii="宋体" w:hAnsi="宋体" w:eastAsia="宋体" w:cs="宋体"/>
          <w:spacing w:val="11"/>
          <w:sz w:val="20"/>
          <w:szCs w:val="20"/>
        </w:rPr>
        <w:t>（如房建项目的地下建筑与地上建筑，多层裙楼与高层塔楼等</w:t>
      </w:r>
      <w:r>
        <w:rPr>
          <w:rFonts w:ascii="宋体" w:hAnsi="宋体" w:eastAsia="宋体" w:cs="宋体"/>
          <w:spacing w:val="-9"/>
          <w:sz w:val="20"/>
          <w:szCs w:val="20"/>
        </w:rPr>
        <w:t>）</w:t>
      </w:r>
      <w:r>
        <w:rPr>
          <w:rFonts w:ascii="宋体" w:hAnsi="宋体" w:eastAsia="宋体" w:cs="宋体"/>
          <w:spacing w:val="-53"/>
          <w:sz w:val="20"/>
          <w:szCs w:val="20"/>
        </w:rPr>
        <w:t xml:space="preserve"> </w:t>
      </w:r>
      <w:r>
        <w:rPr>
          <w:rFonts w:ascii="宋体" w:hAnsi="宋体" w:eastAsia="宋体" w:cs="宋体"/>
          <w:spacing w:val="-9"/>
          <w:sz w:val="20"/>
          <w:szCs w:val="20"/>
        </w:rPr>
        <w:t>，</w:t>
      </w:r>
      <w:r>
        <w:rPr>
          <w:rFonts w:ascii="宋体" w:hAnsi="宋体" w:eastAsia="宋体" w:cs="宋体"/>
          <w:spacing w:val="11"/>
          <w:sz w:val="20"/>
          <w:szCs w:val="20"/>
        </w:rPr>
        <w:t>可拆分为子单</w:t>
      </w:r>
      <w:r>
        <w:rPr>
          <w:rFonts w:ascii="宋体" w:hAnsi="宋体" w:eastAsia="宋体" w:cs="宋体"/>
          <w:spacing w:val="10"/>
          <w:sz w:val="20"/>
          <w:szCs w:val="20"/>
        </w:rPr>
        <w:t>项工程。单项（子</w:t>
      </w:r>
    </w:p>
    <w:p>
      <w:pPr>
        <w:spacing w:line="369" w:lineRule="auto"/>
        <w:rPr>
          <w:rFonts w:ascii="宋体" w:hAnsi="宋体" w:eastAsia="宋体" w:cs="宋体"/>
          <w:sz w:val="20"/>
          <w:szCs w:val="20"/>
        </w:rPr>
        <w:sectPr>
          <w:footerReference r:id="rId46" w:type="default"/>
          <w:pgSz w:w="11905" w:h="16840"/>
          <w:pgMar w:top="1431" w:right="1309" w:bottom="1213" w:left="1411" w:header="0" w:footer="898" w:gutter="0"/>
        </w:sectPr>
      </w:pPr>
    </w:p>
    <w:p>
      <w:pPr>
        <w:spacing w:before="123" w:line="359" w:lineRule="auto"/>
        <w:ind w:left="1" w:right="109" w:hanging="1"/>
        <w:jc w:val="both"/>
        <w:rPr>
          <w:rFonts w:ascii="宋体" w:hAnsi="宋体" w:eastAsia="宋体" w:cs="宋体"/>
          <w:sz w:val="20"/>
          <w:szCs w:val="20"/>
        </w:rPr>
      </w:pPr>
      <w:r>
        <w:rPr>
          <w:rFonts w:ascii="宋体" w:hAnsi="宋体" w:eastAsia="宋体" w:cs="宋体"/>
          <w:spacing w:val="11"/>
          <w:sz w:val="20"/>
          <w:szCs w:val="20"/>
        </w:rPr>
        <w:t>单项）工程可按专业特性、结构部位、施工特点等划分为若干单位工程或子单</w:t>
      </w:r>
      <w:r>
        <w:rPr>
          <w:rFonts w:ascii="宋体" w:hAnsi="宋体" w:eastAsia="宋体" w:cs="宋体"/>
          <w:spacing w:val="10"/>
          <w:sz w:val="20"/>
          <w:szCs w:val="20"/>
        </w:rPr>
        <w:t>位工程（如房建项目</w:t>
      </w:r>
      <w:r>
        <w:rPr>
          <w:rFonts w:ascii="宋体" w:hAnsi="宋体" w:eastAsia="宋体" w:cs="宋体"/>
          <w:spacing w:val="11"/>
          <w:sz w:val="20"/>
          <w:szCs w:val="20"/>
        </w:rPr>
        <w:t>的不同专业、市政项目的不同路段、精装修项目的不同功能区域等）。编制</w:t>
      </w:r>
      <w:r>
        <w:rPr>
          <w:rFonts w:ascii="宋体" w:hAnsi="宋体" w:eastAsia="宋体" w:cs="宋体"/>
          <w:spacing w:val="10"/>
          <w:sz w:val="20"/>
          <w:szCs w:val="20"/>
        </w:rPr>
        <w:t>分部分项工程项目清单</w:t>
      </w:r>
      <w:r>
        <w:rPr>
          <w:rFonts w:ascii="宋体" w:hAnsi="宋体" w:eastAsia="宋体" w:cs="宋体"/>
          <w:spacing w:val="11"/>
          <w:sz w:val="20"/>
          <w:szCs w:val="20"/>
        </w:rPr>
        <w:t>时，以单位（子单位）工程为最小编制单元分别列项编制，向上汇总至单项</w:t>
      </w:r>
      <w:r>
        <w:rPr>
          <w:rFonts w:ascii="宋体" w:hAnsi="宋体" w:eastAsia="宋体" w:cs="宋体"/>
          <w:spacing w:val="10"/>
          <w:sz w:val="20"/>
          <w:szCs w:val="20"/>
        </w:rPr>
        <w:t>（子单项）工程，再向</w:t>
      </w:r>
      <w:r>
        <w:rPr>
          <w:rFonts w:ascii="宋体" w:hAnsi="宋体" w:eastAsia="宋体" w:cs="宋体"/>
          <w:spacing w:val="8"/>
          <w:sz w:val="20"/>
          <w:szCs w:val="20"/>
        </w:rPr>
        <w:t>上汇总至合同标的工程。</w:t>
      </w:r>
    </w:p>
    <w:p>
      <w:pPr>
        <w:spacing w:before="47" w:line="321" w:lineRule="auto"/>
        <w:ind w:left="2" w:firstLine="420"/>
        <w:rPr>
          <w:rFonts w:ascii="宋体" w:hAnsi="宋体" w:eastAsia="宋体" w:cs="宋体"/>
          <w:sz w:val="20"/>
          <w:szCs w:val="20"/>
        </w:rPr>
      </w:pPr>
      <w:r>
        <w:rPr>
          <w:rFonts w:ascii="宋体" w:hAnsi="宋体" w:eastAsia="宋体" w:cs="宋体"/>
          <w:spacing w:val="8"/>
          <w:sz w:val="20"/>
          <w:szCs w:val="20"/>
        </w:rPr>
        <w:t>2. 编制措施项目清单时，应根据各措施项目的特性划分为整体工程措施项目和单位工程措</w:t>
      </w:r>
      <w:r>
        <w:rPr>
          <w:rFonts w:ascii="宋体" w:hAnsi="宋体" w:eastAsia="宋体" w:cs="宋体"/>
          <w:spacing w:val="7"/>
          <w:sz w:val="20"/>
          <w:szCs w:val="20"/>
        </w:rPr>
        <w:t>施项</w:t>
      </w:r>
      <w:r>
        <w:rPr>
          <w:rFonts w:ascii="宋体" w:hAnsi="宋体" w:eastAsia="宋体" w:cs="宋体"/>
          <w:spacing w:val="9"/>
          <w:sz w:val="20"/>
          <w:szCs w:val="20"/>
        </w:rPr>
        <w:t>目。整体工程措施项目在合同标的层级列项编制</w:t>
      </w:r>
      <w:r>
        <w:rPr>
          <w:rFonts w:ascii="宋体" w:hAnsi="宋体" w:eastAsia="宋体" w:cs="宋体"/>
          <w:spacing w:val="8"/>
          <w:sz w:val="20"/>
          <w:szCs w:val="20"/>
        </w:rPr>
        <w:t>，单位（子单位）工程措施项目在各单位（子单位）</w:t>
      </w:r>
      <w:r>
        <w:rPr>
          <w:rFonts w:ascii="宋体" w:hAnsi="宋体" w:eastAsia="宋体" w:cs="宋体"/>
          <w:spacing w:val="9"/>
          <w:sz w:val="20"/>
          <w:szCs w:val="20"/>
        </w:rPr>
        <w:t>工程层级列项编制，在合同标的工程层级汇总。</w:t>
      </w:r>
    </w:p>
    <w:p>
      <w:pPr>
        <w:spacing w:before="156" w:line="313" w:lineRule="auto"/>
        <w:ind w:left="1" w:right="109" w:firstLine="424"/>
        <w:rPr>
          <w:rFonts w:ascii="宋体" w:hAnsi="宋体" w:eastAsia="宋体" w:cs="宋体"/>
          <w:sz w:val="20"/>
          <w:szCs w:val="20"/>
        </w:rPr>
      </w:pPr>
      <w:r>
        <w:rPr>
          <w:rFonts w:ascii="宋体" w:hAnsi="宋体" w:eastAsia="宋体" w:cs="宋体"/>
          <w:spacing w:val="8"/>
          <w:sz w:val="20"/>
          <w:szCs w:val="20"/>
        </w:rPr>
        <w:t>3. 编制其他项目清单时，应根据工程特点及招标文件要求，对应合同标的工程列项</w:t>
      </w:r>
      <w:r>
        <w:rPr>
          <w:rFonts w:ascii="宋体" w:hAnsi="宋体" w:eastAsia="宋体" w:cs="宋体"/>
          <w:spacing w:val="7"/>
          <w:sz w:val="20"/>
          <w:szCs w:val="20"/>
        </w:rPr>
        <w:t>编制。其他</w:t>
      </w:r>
      <w:r>
        <w:rPr>
          <w:rFonts w:ascii="宋体" w:hAnsi="宋体" w:eastAsia="宋体" w:cs="宋体"/>
          <w:spacing w:val="10"/>
          <w:sz w:val="20"/>
          <w:szCs w:val="20"/>
        </w:rPr>
        <w:t>项目清单中各组成项目需对应不同单项（子单项）工程的</w:t>
      </w:r>
      <w:r>
        <w:rPr>
          <w:rFonts w:ascii="宋体" w:hAnsi="宋体" w:eastAsia="宋体" w:cs="宋体"/>
          <w:spacing w:val="9"/>
          <w:sz w:val="20"/>
          <w:szCs w:val="20"/>
        </w:rPr>
        <w:t>，应在各组成项目的明细表中编列细项。</w:t>
      </w:r>
    </w:p>
    <w:p>
      <w:pPr>
        <w:spacing w:before="120" w:line="278" w:lineRule="exact"/>
        <w:ind w:left="420"/>
        <w:rPr>
          <w:rFonts w:ascii="宋体" w:hAnsi="宋体" w:eastAsia="宋体" w:cs="宋体"/>
          <w:sz w:val="20"/>
          <w:szCs w:val="20"/>
        </w:rPr>
      </w:pPr>
      <w:r>
        <w:rPr>
          <w:rFonts w:ascii="宋体" w:hAnsi="宋体" w:eastAsia="宋体" w:cs="宋体"/>
          <w:spacing w:val="5"/>
          <w:position w:val="1"/>
          <w:sz w:val="20"/>
          <w:szCs w:val="20"/>
        </w:rPr>
        <w:t>4. 增值税应对应合同标的工程列项编制。</w:t>
      </w:r>
    </w:p>
    <w:p>
      <w:pPr>
        <w:spacing w:before="122" w:line="333" w:lineRule="auto"/>
        <w:ind w:right="59" w:firstLine="412"/>
        <w:rPr>
          <w:rFonts w:ascii="宋体" w:hAnsi="宋体" w:eastAsia="宋体" w:cs="宋体"/>
          <w:sz w:val="20"/>
          <w:szCs w:val="20"/>
        </w:rPr>
      </w:pPr>
      <w:r>
        <w:rPr>
          <w:rFonts w:ascii="宋体" w:hAnsi="宋体" w:eastAsia="宋体" w:cs="宋体"/>
          <w:spacing w:val="5"/>
          <w:sz w:val="20"/>
          <w:szCs w:val="20"/>
        </w:rPr>
        <w:t>（</w:t>
      </w:r>
      <w:r>
        <w:rPr>
          <w:rFonts w:ascii="宋体" w:hAnsi="宋体" w:eastAsia="宋体" w:cs="宋体"/>
          <w:spacing w:val="-46"/>
          <w:sz w:val="20"/>
          <w:szCs w:val="20"/>
        </w:rPr>
        <w:t xml:space="preserve"> </w:t>
      </w:r>
      <w:r>
        <w:rPr>
          <w:rFonts w:ascii="宋体" w:hAnsi="宋体" w:eastAsia="宋体" w:cs="宋体"/>
          <w:spacing w:val="5"/>
          <w:sz w:val="20"/>
          <w:szCs w:val="20"/>
        </w:rPr>
        <w:t>四）招标工程量清单应填写“工程量清单编制说明 ”</w:t>
      </w:r>
      <w:r>
        <w:rPr>
          <w:rFonts w:ascii="宋体" w:hAnsi="宋体" w:eastAsia="宋体" w:cs="宋体"/>
          <w:spacing w:val="-72"/>
          <w:sz w:val="20"/>
          <w:szCs w:val="20"/>
        </w:rPr>
        <w:t xml:space="preserve"> </w:t>
      </w:r>
      <w:r>
        <w:rPr>
          <w:rFonts w:ascii="宋体" w:hAnsi="宋体" w:eastAsia="宋体" w:cs="宋体"/>
          <w:spacing w:val="5"/>
          <w:sz w:val="20"/>
          <w:szCs w:val="20"/>
        </w:rPr>
        <w:t>，列明工程概况、招标 (或合同)范围、</w:t>
      </w:r>
      <w:r>
        <w:rPr>
          <w:rFonts w:ascii="宋体" w:hAnsi="宋体" w:eastAsia="宋体" w:cs="宋体"/>
          <w:spacing w:val="11"/>
          <w:sz w:val="20"/>
          <w:szCs w:val="20"/>
        </w:rPr>
        <w:t>编制依据等，并完整阐述编制特殊事项及相关投标报价要求，如：编制过程中对编制依据的调整、修正、补充，采用暂估数量的项目名称，计入分部分项工程项目清单的措施项</w:t>
      </w:r>
      <w:r>
        <w:rPr>
          <w:rFonts w:ascii="宋体" w:hAnsi="宋体" w:eastAsia="宋体" w:cs="宋体"/>
          <w:spacing w:val="10"/>
          <w:sz w:val="20"/>
          <w:szCs w:val="20"/>
        </w:rPr>
        <w:t>目的名称及内容，总</w:t>
      </w:r>
      <w:r>
        <w:rPr>
          <w:rFonts w:ascii="宋体" w:hAnsi="宋体" w:eastAsia="宋体" w:cs="宋体"/>
          <w:spacing w:val="8"/>
          <w:sz w:val="20"/>
          <w:szCs w:val="20"/>
        </w:rPr>
        <w:t>包服务费计价方式等。</w:t>
      </w:r>
    </w:p>
    <w:p>
      <w:pPr>
        <w:spacing w:before="158" w:line="311" w:lineRule="auto"/>
        <w:ind w:left="1" w:right="108" w:firstLine="411"/>
        <w:rPr>
          <w:rFonts w:ascii="宋体" w:hAnsi="宋体" w:eastAsia="宋体" w:cs="宋体"/>
          <w:sz w:val="20"/>
          <w:szCs w:val="20"/>
        </w:rPr>
      </w:pPr>
      <w:r>
        <w:rPr>
          <w:rFonts w:ascii="宋体" w:hAnsi="宋体" w:eastAsia="宋体" w:cs="宋体"/>
          <w:spacing w:val="8"/>
          <w:sz w:val="20"/>
          <w:szCs w:val="20"/>
        </w:rPr>
        <w:t>（五）招标工程量清单成果文件应确保内容完整、数量准确、层级清晰，成果文件格式详见《&lt;</w:t>
      </w:r>
      <w:r>
        <w:rPr>
          <w:rFonts w:ascii="宋体" w:hAnsi="宋体" w:eastAsia="宋体" w:cs="宋体"/>
          <w:spacing w:val="10"/>
          <w:sz w:val="20"/>
          <w:szCs w:val="20"/>
        </w:rPr>
        <w:t>建设工程工程量清单计价标准&gt;实施指引》附录 B。</w:t>
      </w:r>
    </w:p>
    <w:p>
      <w:pPr>
        <w:spacing w:before="125" w:line="278" w:lineRule="exact"/>
        <w:ind w:left="413"/>
        <w:rPr>
          <w:rFonts w:ascii="宋体" w:hAnsi="宋体" w:eastAsia="宋体" w:cs="宋体"/>
          <w:sz w:val="20"/>
          <w:szCs w:val="20"/>
        </w:rPr>
      </w:pPr>
      <w:r>
        <w:rPr>
          <w:rFonts w:ascii="宋体" w:hAnsi="宋体" w:eastAsia="宋体" w:cs="宋体"/>
          <w:spacing w:val="10"/>
          <w:position w:val="1"/>
          <w:sz w:val="20"/>
          <w:szCs w:val="20"/>
        </w:rPr>
        <w:t>（六）分部分项工程项目清单编制要求</w:t>
      </w:r>
    </w:p>
    <w:p>
      <w:pPr>
        <w:spacing w:before="123" w:line="277" w:lineRule="exact"/>
        <w:ind w:left="440"/>
        <w:rPr>
          <w:rFonts w:ascii="宋体" w:hAnsi="宋体" w:eastAsia="宋体" w:cs="宋体"/>
          <w:sz w:val="20"/>
          <w:szCs w:val="20"/>
        </w:rPr>
      </w:pPr>
      <w:r>
        <w:rPr>
          <w:rFonts w:ascii="宋体" w:hAnsi="宋体" w:eastAsia="宋体" w:cs="宋体"/>
          <w:spacing w:val="7"/>
          <w:position w:val="1"/>
          <w:sz w:val="20"/>
          <w:szCs w:val="20"/>
        </w:rPr>
        <w:t>1. 分部分项工程项目清单应依据 24 系列清单标准清晰列项、完整描述、准确</w:t>
      </w:r>
      <w:r>
        <w:rPr>
          <w:rFonts w:ascii="宋体" w:hAnsi="宋体" w:eastAsia="宋体" w:cs="宋体"/>
          <w:spacing w:val="6"/>
          <w:position w:val="1"/>
          <w:sz w:val="20"/>
          <w:szCs w:val="20"/>
        </w:rPr>
        <w:t>计量。</w:t>
      </w:r>
    </w:p>
    <w:p>
      <w:pPr>
        <w:spacing w:before="120" w:line="298" w:lineRule="auto"/>
        <w:ind w:left="18" w:right="106" w:firstLine="404"/>
        <w:rPr>
          <w:rFonts w:ascii="宋体" w:hAnsi="宋体" w:eastAsia="宋体" w:cs="宋体"/>
          <w:sz w:val="20"/>
          <w:szCs w:val="20"/>
        </w:rPr>
      </w:pPr>
      <w:r>
        <w:rPr>
          <w:rFonts w:ascii="宋体" w:hAnsi="宋体" w:eastAsia="宋体" w:cs="宋体"/>
          <w:spacing w:val="9"/>
          <w:sz w:val="20"/>
          <w:szCs w:val="20"/>
        </w:rPr>
        <w:t>2. 分部分项工程项目清单的项目名称（补充项目除外）应与</w:t>
      </w:r>
      <w:r>
        <w:rPr>
          <w:rFonts w:ascii="宋体" w:hAnsi="宋体" w:eastAsia="宋体" w:cs="宋体"/>
          <w:spacing w:val="-39"/>
          <w:sz w:val="20"/>
          <w:szCs w:val="20"/>
        </w:rPr>
        <w:t xml:space="preserve"> </w:t>
      </w:r>
      <w:r>
        <w:rPr>
          <w:rFonts w:ascii="宋体" w:hAnsi="宋体" w:eastAsia="宋体" w:cs="宋体"/>
          <w:spacing w:val="9"/>
          <w:sz w:val="20"/>
          <w:szCs w:val="20"/>
        </w:rPr>
        <w:t>24 系</w:t>
      </w:r>
      <w:r>
        <w:rPr>
          <w:rFonts w:ascii="宋体" w:hAnsi="宋体" w:eastAsia="宋体" w:cs="宋体"/>
          <w:spacing w:val="8"/>
          <w:sz w:val="20"/>
          <w:szCs w:val="20"/>
        </w:rPr>
        <w:t>列清单标准一致，如标准中</w:t>
      </w:r>
      <w:r>
        <w:rPr>
          <w:rFonts w:ascii="宋体" w:hAnsi="宋体" w:eastAsia="宋体" w:cs="宋体"/>
          <w:spacing w:val="9"/>
          <w:sz w:val="20"/>
          <w:szCs w:val="20"/>
        </w:rPr>
        <w:t>的项目名称不足以准确表述需求或可能引起混淆的，可结合拟建工程实际进行适当补充。</w:t>
      </w:r>
    </w:p>
    <w:p>
      <w:pPr>
        <w:spacing w:before="157" w:line="320" w:lineRule="auto"/>
        <w:ind w:right="107" w:firstLine="426"/>
        <w:rPr>
          <w:rFonts w:ascii="宋体" w:hAnsi="宋体" w:eastAsia="宋体" w:cs="宋体"/>
          <w:sz w:val="20"/>
          <w:szCs w:val="20"/>
        </w:rPr>
      </w:pPr>
      <w:r>
        <w:rPr>
          <w:rFonts w:ascii="宋体" w:hAnsi="宋体" w:eastAsia="宋体" w:cs="宋体"/>
          <w:spacing w:val="8"/>
          <w:sz w:val="20"/>
          <w:szCs w:val="20"/>
        </w:rPr>
        <w:t xml:space="preserve">3. 分部分项工程项目清单的项目特征应按 24 </w:t>
      </w:r>
      <w:r>
        <w:rPr>
          <w:rFonts w:ascii="宋体" w:hAnsi="宋体" w:eastAsia="宋体" w:cs="宋体"/>
          <w:spacing w:val="7"/>
          <w:sz w:val="20"/>
          <w:szCs w:val="20"/>
        </w:rPr>
        <w:t>系列清单标准要求，结合工程设计文件（含图纸</w:t>
      </w:r>
      <w:r>
        <w:rPr>
          <w:rFonts w:ascii="宋体" w:hAnsi="宋体" w:eastAsia="宋体" w:cs="宋体"/>
          <w:spacing w:val="10"/>
          <w:sz w:val="20"/>
          <w:szCs w:val="20"/>
        </w:rPr>
        <w:t>及规范）进行描述。如存在其他可能影响造价，但 24 系列清单标准中未包括的项目特征，应予以</w:t>
      </w:r>
      <w:r>
        <w:rPr>
          <w:rFonts w:ascii="宋体" w:hAnsi="宋体" w:eastAsia="宋体" w:cs="宋体"/>
          <w:spacing w:val="5"/>
          <w:sz w:val="20"/>
          <w:szCs w:val="20"/>
        </w:rPr>
        <w:t>补充。</w:t>
      </w:r>
    </w:p>
    <w:p>
      <w:pPr>
        <w:spacing w:before="160" w:line="297" w:lineRule="auto"/>
        <w:ind w:left="4" w:right="109" w:firstLine="415"/>
        <w:rPr>
          <w:rFonts w:ascii="宋体" w:hAnsi="宋体" w:eastAsia="宋体" w:cs="宋体"/>
          <w:sz w:val="20"/>
          <w:szCs w:val="20"/>
        </w:rPr>
      </w:pPr>
      <w:r>
        <w:rPr>
          <w:rFonts w:ascii="宋体" w:hAnsi="宋体" w:eastAsia="宋体" w:cs="宋体"/>
          <w:spacing w:val="8"/>
          <w:sz w:val="20"/>
          <w:szCs w:val="20"/>
        </w:rPr>
        <w:t>4. 分部分项工程项目清单列项时应严格对应 24 系列清单标准</w:t>
      </w:r>
      <w:r>
        <w:rPr>
          <w:rFonts w:ascii="宋体" w:hAnsi="宋体" w:eastAsia="宋体" w:cs="宋体"/>
          <w:spacing w:val="7"/>
          <w:sz w:val="20"/>
          <w:szCs w:val="20"/>
        </w:rPr>
        <w:t>规定的工作内容，避免工序重复</w:t>
      </w:r>
      <w:r>
        <w:rPr>
          <w:rFonts w:ascii="宋体" w:hAnsi="宋体" w:eastAsia="宋体" w:cs="宋体"/>
          <w:spacing w:val="10"/>
          <w:sz w:val="20"/>
          <w:szCs w:val="20"/>
        </w:rPr>
        <w:t>或漏缺。对确需调整工作内容的项目，应在项目特</w:t>
      </w:r>
      <w:r>
        <w:rPr>
          <w:rFonts w:ascii="宋体" w:hAnsi="宋体" w:eastAsia="宋体" w:cs="宋体"/>
          <w:spacing w:val="9"/>
          <w:sz w:val="20"/>
          <w:szCs w:val="20"/>
        </w:rPr>
        <w:t>征中进行特殊说明，并在编制说明中统一提示。</w:t>
      </w:r>
    </w:p>
    <w:p>
      <w:pPr>
        <w:spacing w:before="156" w:line="297" w:lineRule="auto"/>
        <w:ind w:left="1" w:right="109" w:firstLine="421"/>
        <w:rPr>
          <w:rFonts w:ascii="宋体" w:hAnsi="宋体" w:eastAsia="宋体" w:cs="宋体"/>
          <w:sz w:val="20"/>
          <w:szCs w:val="20"/>
        </w:rPr>
      </w:pPr>
      <w:r>
        <w:rPr>
          <w:rFonts w:ascii="宋体" w:hAnsi="宋体" w:eastAsia="宋体" w:cs="宋体"/>
          <w:spacing w:val="8"/>
          <w:sz w:val="20"/>
          <w:szCs w:val="20"/>
        </w:rPr>
        <w:t>5. 使用发包人供应材料及（或）暂估价材料的分部分项工程项目，应在项目特征中明确材料名称、供应方式等。</w:t>
      </w:r>
    </w:p>
    <w:p>
      <w:pPr>
        <w:spacing w:before="155" w:line="297" w:lineRule="auto"/>
        <w:ind w:left="3" w:right="109" w:firstLine="420"/>
        <w:rPr>
          <w:rFonts w:ascii="宋体" w:hAnsi="宋体" w:eastAsia="宋体" w:cs="宋体"/>
          <w:sz w:val="20"/>
          <w:szCs w:val="20"/>
        </w:rPr>
      </w:pPr>
      <w:r>
        <w:rPr>
          <w:rFonts w:ascii="宋体" w:hAnsi="宋体" w:eastAsia="宋体" w:cs="宋体"/>
          <w:spacing w:val="8"/>
          <w:sz w:val="20"/>
          <w:szCs w:val="20"/>
        </w:rPr>
        <w:t>6. 招标工程采用总价合同形式的，按暂定工程数量编制的分部分项工程项目清单，应在项</w:t>
      </w:r>
      <w:r>
        <w:rPr>
          <w:rFonts w:ascii="宋体" w:hAnsi="宋体" w:eastAsia="宋体" w:cs="宋体"/>
          <w:spacing w:val="7"/>
          <w:sz w:val="20"/>
          <w:szCs w:val="20"/>
        </w:rPr>
        <w:t>目特</w:t>
      </w:r>
      <w:r>
        <w:rPr>
          <w:rFonts w:ascii="宋体" w:hAnsi="宋体" w:eastAsia="宋体" w:cs="宋体"/>
          <w:spacing w:val="8"/>
          <w:sz w:val="20"/>
          <w:szCs w:val="20"/>
        </w:rPr>
        <w:t>征中说明为暂定工程量。</w:t>
      </w:r>
    </w:p>
    <w:p>
      <w:pPr>
        <w:spacing w:before="159" w:line="297" w:lineRule="auto"/>
        <w:ind w:left="1" w:right="109" w:firstLine="420"/>
        <w:rPr>
          <w:rFonts w:ascii="宋体" w:hAnsi="宋体" w:eastAsia="宋体" w:cs="宋体"/>
          <w:sz w:val="20"/>
          <w:szCs w:val="20"/>
        </w:rPr>
      </w:pPr>
      <w:r>
        <w:rPr>
          <w:rFonts w:ascii="宋体" w:hAnsi="宋体" w:eastAsia="宋体" w:cs="宋体"/>
          <w:spacing w:val="8"/>
          <w:sz w:val="20"/>
          <w:szCs w:val="20"/>
        </w:rPr>
        <w:t>7. 涉及危大工程的分部分项工程项目清单应单独编列，并在项目特征中明确工程部位及特殊要</w:t>
      </w:r>
      <w:r>
        <w:rPr>
          <w:rFonts w:ascii="宋体" w:hAnsi="宋体" w:eastAsia="宋体" w:cs="宋体"/>
          <w:spacing w:val="2"/>
          <w:sz w:val="20"/>
          <w:szCs w:val="20"/>
        </w:rPr>
        <w:t>求。</w:t>
      </w:r>
    </w:p>
    <w:p>
      <w:pPr>
        <w:spacing w:before="156" w:line="321" w:lineRule="auto"/>
        <w:ind w:left="1" w:right="107" w:firstLine="423"/>
        <w:rPr>
          <w:rFonts w:ascii="宋体" w:hAnsi="宋体" w:eastAsia="宋体" w:cs="宋体"/>
          <w:sz w:val="20"/>
          <w:szCs w:val="20"/>
        </w:rPr>
      </w:pPr>
      <w:r>
        <w:rPr>
          <w:rFonts w:ascii="宋体" w:hAnsi="宋体" w:eastAsia="宋体" w:cs="宋体"/>
          <w:spacing w:val="8"/>
          <w:sz w:val="20"/>
          <w:szCs w:val="20"/>
        </w:rPr>
        <w:t>8. 发包人提供专项方案及设计图纸（如基坑降水）并要求承包人按图施工的措施项目</w:t>
      </w:r>
      <w:r>
        <w:rPr>
          <w:rFonts w:ascii="宋体" w:hAnsi="宋体" w:eastAsia="宋体" w:cs="宋体"/>
          <w:spacing w:val="7"/>
          <w:sz w:val="20"/>
          <w:szCs w:val="20"/>
        </w:rPr>
        <w:t>，应在分</w:t>
      </w:r>
      <w:r>
        <w:rPr>
          <w:rFonts w:ascii="宋体" w:hAnsi="宋体" w:eastAsia="宋体" w:cs="宋体"/>
          <w:spacing w:val="10"/>
          <w:sz w:val="20"/>
          <w:szCs w:val="20"/>
        </w:rPr>
        <w:t>部分项工程项目清单中单独编列小节。列项时，优先使用 24 系列清单标准的既有分部分项工程项</w:t>
      </w:r>
      <w:r>
        <w:rPr>
          <w:rFonts w:ascii="宋体" w:hAnsi="宋体" w:eastAsia="宋体" w:cs="宋体"/>
          <w:spacing w:val="8"/>
          <w:sz w:val="20"/>
          <w:szCs w:val="20"/>
        </w:rPr>
        <w:t>目，缺项时，按要求进行补充。</w:t>
      </w:r>
    </w:p>
    <w:p>
      <w:pPr>
        <w:spacing w:before="156" w:line="278" w:lineRule="exact"/>
        <w:ind w:left="413"/>
        <w:rPr>
          <w:rFonts w:ascii="宋体" w:hAnsi="宋体" w:eastAsia="宋体" w:cs="宋体"/>
          <w:sz w:val="20"/>
          <w:szCs w:val="20"/>
        </w:rPr>
      </w:pPr>
      <w:r>
        <w:rPr>
          <w:rFonts w:ascii="宋体" w:hAnsi="宋体" w:eastAsia="宋体" w:cs="宋体"/>
          <w:spacing w:val="10"/>
          <w:position w:val="1"/>
          <w:sz w:val="20"/>
          <w:szCs w:val="20"/>
        </w:rPr>
        <w:t>（七）措施项目清单编制要求</w:t>
      </w:r>
    </w:p>
    <w:p>
      <w:pPr>
        <w:spacing w:line="278" w:lineRule="exact"/>
        <w:rPr>
          <w:rFonts w:ascii="宋体" w:hAnsi="宋体" w:eastAsia="宋体" w:cs="宋体"/>
          <w:sz w:val="20"/>
          <w:szCs w:val="20"/>
        </w:rPr>
        <w:sectPr>
          <w:footerReference r:id="rId47" w:type="default"/>
          <w:pgSz w:w="11905" w:h="16840"/>
          <w:pgMar w:top="1431" w:right="1309" w:bottom="1213" w:left="1418" w:header="0" w:footer="898" w:gutter="0"/>
        </w:sectPr>
      </w:pPr>
    </w:p>
    <w:p>
      <w:pPr>
        <w:spacing w:before="124" w:line="313" w:lineRule="auto"/>
        <w:ind w:left="3" w:right="76" w:firstLine="436"/>
        <w:rPr>
          <w:rFonts w:ascii="宋体" w:hAnsi="宋体" w:eastAsia="宋体" w:cs="宋体"/>
          <w:sz w:val="20"/>
          <w:szCs w:val="20"/>
        </w:rPr>
      </w:pPr>
      <w:r>
        <w:rPr>
          <w:rFonts w:ascii="宋体" w:hAnsi="宋体" w:eastAsia="宋体" w:cs="宋体"/>
          <w:spacing w:val="7"/>
          <w:sz w:val="20"/>
          <w:szCs w:val="20"/>
        </w:rPr>
        <w:t>1. 措施项目清单应依据 24 系列清单标准中的措施项目分类规则及相关部门规定，结合工程特</w:t>
      </w:r>
      <w:r>
        <w:rPr>
          <w:rFonts w:ascii="宋体" w:hAnsi="宋体" w:eastAsia="宋体" w:cs="宋体"/>
          <w:spacing w:val="8"/>
          <w:sz w:val="20"/>
          <w:szCs w:val="20"/>
        </w:rPr>
        <w:t>点完整列项，并准确描述工作内容。</w:t>
      </w:r>
    </w:p>
    <w:p>
      <w:pPr>
        <w:spacing w:before="122" w:line="297" w:lineRule="auto"/>
        <w:ind w:left="18" w:right="76" w:firstLine="404"/>
        <w:rPr>
          <w:rFonts w:ascii="宋体" w:hAnsi="宋体" w:eastAsia="宋体" w:cs="宋体"/>
          <w:sz w:val="20"/>
          <w:szCs w:val="20"/>
        </w:rPr>
      </w:pPr>
      <w:r>
        <w:rPr>
          <w:rFonts w:ascii="宋体" w:hAnsi="宋体" w:eastAsia="宋体" w:cs="宋体"/>
          <w:spacing w:val="8"/>
          <w:sz w:val="20"/>
          <w:szCs w:val="20"/>
        </w:rPr>
        <w:t>2. 安全生产、环境保护、文明施工、临时设施措施项目应按省有关规定列项，并在编制说明中</w:t>
      </w:r>
      <w:r>
        <w:rPr>
          <w:rFonts w:ascii="宋体" w:hAnsi="宋体" w:eastAsia="宋体" w:cs="宋体"/>
          <w:spacing w:val="6"/>
          <w:sz w:val="20"/>
          <w:szCs w:val="20"/>
        </w:rPr>
        <w:t>明确费用计取方法。</w:t>
      </w:r>
    </w:p>
    <w:p>
      <w:pPr>
        <w:spacing w:before="156" w:line="314" w:lineRule="auto"/>
        <w:ind w:left="3" w:right="76" w:firstLine="422"/>
        <w:rPr>
          <w:rFonts w:ascii="宋体" w:hAnsi="宋体" w:eastAsia="宋体" w:cs="宋体"/>
          <w:sz w:val="20"/>
          <w:szCs w:val="20"/>
        </w:rPr>
      </w:pPr>
      <w:r>
        <w:rPr>
          <w:rFonts w:ascii="宋体" w:hAnsi="宋体" w:eastAsia="宋体" w:cs="宋体"/>
          <w:spacing w:val="8"/>
          <w:sz w:val="20"/>
          <w:szCs w:val="20"/>
        </w:rPr>
        <w:t>3. 招标文件有明确赶工要求的，应补充赶工措施项目清单，并在工作内容中明确赶</w:t>
      </w:r>
      <w:r>
        <w:rPr>
          <w:rFonts w:ascii="宋体" w:hAnsi="宋体" w:eastAsia="宋体" w:cs="宋体"/>
          <w:spacing w:val="7"/>
          <w:sz w:val="20"/>
          <w:szCs w:val="20"/>
        </w:rPr>
        <w:t>工时限或节</w:t>
      </w:r>
      <w:r>
        <w:rPr>
          <w:rFonts w:ascii="宋体" w:hAnsi="宋体" w:eastAsia="宋体" w:cs="宋体"/>
          <w:spacing w:val="5"/>
          <w:sz w:val="20"/>
          <w:szCs w:val="20"/>
        </w:rPr>
        <w:t>点要求。</w:t>
      </w:r>
    </w:p>
    <w:p>
      <w:pPr>
        <w:spacing w:before="118" w:line="313" w:lineRule="auto"/>
        <w:ind w:left="5" w:right="76" w:firstLine="414"/>
        <w:rPr>
          <w:rFonts w:ascii="宋体" w:hAnsi="宋体" w:eastAsia="宋体" w:cs="宋体"/>
          <w:sz w:val="20"/>
          <w:szCs w:val="20"/>
        </w:rPr>
      </w:pPr>
      <w:r>
        <w:rPr>
          <w:rFonts w:ascii="宋体" w:hAnsi="宋体" w:eastAsia="宋体" w:cs="宋体"/>
          <w:spacing w:val="9"/>
          <w:sz w:val="20"/>
          <w:szCs w:val="20"/>
        </w:rPr>
        <w:t>4. 竣工清理、智慧工地建设、市政工程定位复测等措施项目按《</w:t>
      </w:r>
      <w:r>
        <w:rPr>
          <w:rFonts w:ascii="宋体" w:hAnsi="宋体" w:eastAsia="宋体" w:cs="宋体"/>
          <w:spacing w:val="-41"/>
          <w:sz w:val="20"/>
          <w:szCs w:val="20"/>
        </w:rPr>
        <w:t xml:space="preserve"> </w:t>
      </w:r>
      <w:r>
        <w:rPr>
          <w:rFonts w:ascii="宋体" w:hAnsi="宋体" w:eastAsia="宋体" w:cs="宋体"/>
          <w:spacing w:val="9"/>
          <w:sz w:val="20"/>
          <w:szCs w:val="20"/>
        </w:rPr>
        <w:t>&lt;建设工程工程量清单计价标</w:t>
      </w:r>
      <w:r>
        <w:rPr>
          <w:rFonts w:ascii="宋体" w:hAnsi="宋体" w:eastAsia="宋体" w:cs="宋体"/>
          <w:spacing w:val="10"/>
          <w:sz w:val="20"/>
          <w:szCs w:val="20"/>
        </w:rPr>
        <w:t>准&gt;实施指引》附录 A 中补充的项目名称及编码列项。</w:t>
      </w:r>
    </w:p>
    <w:p>
      <w:pPr>
        <w:spacing w:before="124" w:line="297" w:lineRule="auto"/>
        <w:ind w:left="1" w:right="76" w:firstLine="421"/>
        <w:rPr>
          <w:rFonts w:ascii="宋体" w:hAnsi="宋体" w:eastAsia="宋体" w:cs="宋体"/>
          <w:sz w:val="20"/>
          <w:szCs w:val="20"/>
        </w:rPr>
      </w:pPr>
      <w:r>
        <w:rPr>
          <w:rFonts w:ascii="宋体" w:hAnsi="宋体" w:eastAsia="宋体" w:cs="宋体"/>
          <w:spacing w:val="8"/>
          <w:sz w:val="20"/>
          <w:szCs w:val="20"/>
        </w:rPr>
        <w:t>5. 涉及危大工程的措施项目应单独编列，并在工作内容中明确完成危大工程的相关特殊措</w:t>
      </w:r>
      <w:r>
        <w:rPr>
          <w:rFonts w:ascii="宋体" w:hAnsi="宋体" w:eastAsia="宋体" w:cs="宋体"/>
          <w:spacing w:val="7"/>
          <w:sz w:val="20"/>
          <w:szCs w:val="20"/>
        </w:rPr>
        <w:t>施要</w:t>
      </w:r>
      <w:r>
        <w:rPr>
          <w:rFonts w:ascii="宋体" w:hAnsi="宋体" w:eastAsia="宋体" w:cs="宋体"/>
          <w:spacing w:val="2"/>
          <w:sz w:val="20"/>
          <w:szCs w:val="20"/>
        </w:rPr>
        <w:t>求。</w:t>
      </w:r>
    </w:p>
    <w:p>
      <w:pPr>
        <w:spacing w:before="155" w:line="278" w:lineRule="exact"/>
        <w:ind w:left="423"/>
        <w:rPr>
          <w:rFonts w:ascii="宋体" w:hAnsi="宋体" w:eastAsia="宋体" w:cs="宋体"/>
          <w:sz w:val="20"/>
          <w:szCs w:val="20"/>
        </w:rPr>
      </w:pPr>
      <w:r>
        <w:rPr>
          <w:rFonts w:ascii="宋体" w:hAnsi="宋体" w:eastAsia="宋体" w:cs="宋体"/>
          <w:spacing w:val="8"/>
          <w:position w:val="1"/>
          <w:sz w:val="20"/>
          <w:szCs w:val="20"/>
        </w:rPr>
        <w:t>6. 已在分部分项工程项目清单中列项的措施项目，在措施项目</w:t>
      </w:r>
      <w:r>
        <w:rPr>
          <w:rFonts w:ascii="宋体" w:hAnsi="宋体" w:eastAsia="宋体" w:cs="宋体"/>
          <w:spacing w:val="7"/>
          <w:position w:val="1"/>
          <w:sz w:val="20"/>
          <w:szCs w:val="20"/>
        </w:rPr>
        <w:t>清单中不再重复列项。</w:t>
      </w:r>
    </w:p>
    <w:p>
      <w:pPr>
        <w:spacing w:before="123" w:line="278" w:lineRule="exact"/>
        <w:ind w:left="413"/>
        <w:rPr>
          <w:rFonts w:ascii="宋体" w:hAnsi="宋体" w:eastAsia="宋体" w:cs="宋体"/>
          <w:sz w:val="20"/>
          <w:szCs w:val="20"/>
        </w:rPr>
      </w:pPr>
      <w:r>
        <w:rPr>
          <w:rFonts w:ascii="宋体" w:hAnsi="宋体" w:eastAsia="宋体" w:cs="宋体"/>
          <w:spacing w:val="10"/>
          <w:position w:val="1"/>
          <w:sz w:val="20"/>
          <w:szCs w:val="20"/>
        </w:rPr>
        <w:t>（八）其他项目清单编制要求</w:t>
      </w:r>
    </w:p>
    <w:p>
      <w:pPr>
        <w:spacing w:before="120" w:line="298" w:lineRule="auto"/>
        <w:ind w:left="1" w:right="92" w:firstLine="438"/>
        <w:rPr>
          <w:rFonts w:ascii="宋体" w:hAnsi="宋体" w:eastAsia="宋体" w:cs="宋体"/>
          <w:sz w:val="20"/>
          <w:szCs w:val="20"/>
        </w:rPr>
      </w:pPr>
      <w:r>
        <w:rPr>
          <w:rFonts w:ascii="宋体" w:hAnsi="宋体" w:eastAsia="宋体" w:cs="宋体"/>
          <w:spacing w:val="7"/>
          <w:sz w:val="20"/>
          <w:szCs w:val="20"/>
        </w:rPr>
        <w:t>1. 其他项目清单包括暂列金额、专业工程暂估价、计日工、总承包服务费，应依据工程特点、</w:t>
      </w:r>
      <w:r>
        <w:rPr>
          <w:rFonts w:ascii="宋体" w:hAnsi="宋体" w:eastAsia="宋体" w:cs="宋体"/>
          <w:spacing w:val="10"/>
          <w:sz w:val="20"/>
          <w:szCs w:val="20"/>
        </w:rPr>
        <w:t>招标文件要求、招标图纸设计深度等，结合</w:t>
      </w:r>
      <w:r>
        <w:rPr>
          <w:rFonts w:ascii="宋体" w:hAnsi="宋体" w:eastAsia="宋体" w:cs="宋体"/>
          <w:spacing w:val="9"/>
          <w:sz w:val="20"/>
          <w:szCs w:val="20"/>
        </w:rPr>
        <w:t>工程概算对各组成项目分别进行编制。</w:t>
      </w:r>
    </w:p>
    <w:p>
      <w:pPr>
        <w:spacing w:before="157" w:line="321" w:lineRule="auto"/>
        <w:ind w:left="1" w:firstLine="421"/>
        <w:rPr>
          <w:rFonts w:ascii="宋体" w:hAnsi="宋体" w:eastAsia="宋体" w:cs="宋体"/>
          <w:sz w:val="20"/>
          <w:szCs w:val="20"/>
        </w:rPr>
      </w:pPr>
      <w:r>
        <w:rPr>
          <w:rFonts w:ascii="宋体" w:hAnsi="宋体" w:eastAsia="宋体" w:cs="宋体"/>
          <w:spacing w:val="10"/>
          <w:sz w:val="20"/>
          <w:szCs w:val="20"/>
        </w:rPr>
        <w:t>2. 暂列金额应编制“暂列金额明细表 ”</w:t>
      </w:r>
      <w:r>
        <w:rPr>
          <w:rFonts w:ascii="宋体" w:hAnsi="宋体" w:eastAsia="宋体" w:cs="宋体"/>
          <w:spacing w:val="-70"/>
          <w:sz w:val="20"/>
          <w:szCs w:val="20"/>
        </w:rPr>
        <w:t xml:space="preserve"> </w:t>
      </w:r>
      <w:r>
        <w:rPr>
          <w:rFonts w:ascii="宋体" w:hAnsi="宋体" w:eastAsia="宋体" w:cs="宋体"/>
          <w:spacing w:val="10"/>
          <w:sz w:val="20"/>
          <w:szCs w:val="20"/>
        </w:rPr>
        <w:t>，区分用于</w:t>
      </w:r>
      <w:r>
        <w:rPr>
          <w:rFonts w:ascii="宋体" w:hAnsi="宋体" w:eastAsia="宋体" w:cs="宋体"/>
          <w:spacing w:val="9"/>
          <w:sz w:val="20"/>
          <w:szCs w:val="20"/>
        </w:rPr>
        <w:t>合同价款调整、用于暂未确定的工程、用</w:t>
      </w:r>
      <w:r>
        <w:rPr>
          <w:rFonts w:ascii="宋体" w:hAnsi="宋体" w:eastAsia="宋体" w:cs="宋体"/>
          <w:spacing w:val="8"/>
          <w:sz w:val="20"/>
          <w:szCs w:val="20"/>
        </w:rPr>
        <w:t>于暂未确定的服务三类分别列项，并可根据工程实际对用于其他价格影响因</w:t>
      </w:r>
      <w:r>
        <w:rPr>
          <w:rFonts w:ascii="宋体" w:hAnsi="宋体" w:eastAsia="宋体" w:cs="宋体"/>
          <w:spacing w:val="7"/>
          <w:sz w:val="20"/>
          <w:szCs w:val="20"/>
        </w:rPr>
        <w:t>素的暂列金额进行补充。</w:t>
      </w:r>
      <w:r>
        <w:rPr>
          <w:rFonts w:ascii="宋体" w:hAnsi="宋体" w:eastAsia="宋体" w:cs="宋体"/>
          <w:spacing w:val="9"/>
          <w:sz w:val="20"/>
          <w:szCs w:val="20"/>
        </w:rPr>
        <w:t>各项暂定金额应在表格中明示，并在编制说明中明确投标人不得调整。</w:t>
      </w:r>
    </w:p>
    <w:p>
      <w:pPr>
        <w:spacing w:before="158" w:line="320" w:lineRule="auto"/>
        <w:ind w:right="76" w:firstLine="426"/>
        <w:rPr>
          <w:rFonts w:ascii="宋体" w:hAnsi="宋体" w:eastAsia="宋体" w:cs="宋体"/>
          <w:sz w:val="20"/>
          <w:szCs w:val="20"/>
        </w:rPr>
      </w:pPr>
      <w:r>
        <w:rPr>
          <w:rFonts w:ascii="宋体" w:hAnsi="宋体" w:eastAsia="宋体" w:cs="宋体"/>
          <w:spacing w:val="10"/>
          <w:sz w:val="20"/>
          <w:szCs w:val="20"/>
        </w:rPr>
        <w:t>3. 专业工程暂估价应编制“专业工程暂估价</w:t>
      </w:r>
      <w:r>
        <w:rPr>
          <w:rFonts w:ascii="宋体" w:hAnsi="宋体" w:eastAsia="宋体" w:cs="宋体"/>
          <w:spacing w:val="9"/>
          <w:sz w:val="20"/>
          <w:szCs w:val="20"/>
        </w:rPr>
        <w:t>明细表 ”</w:t>
      </w:r>
      <w:r>
        <w:rPr>
          <w:rFonts w:ascii="宋体" w:hAnsi="宋体" w:eastAsia="宋体" w:cs="宋体"/>
          <w:spacing w:val="-69"/>
          <w:sz w:val="20"/>
          <w:szCs w:val="20"/>
        </w:rPr>
        <w:t xml:space="preserve"> </w:t>
      </w:r>
      <w:r>
        <w:rPr>
          <w:rFonts w:ascii="宋体" w:hAnsi="宋体" w:eastAsia="宋体" w:cs="宋体"/>
          <w:spacing w:val="9"/>
          <w:sz w:val="20"/>
          <w:szCs w:val="20"/>
        </w:rPr>
        <w:t>，根据招标文件要求、招标图纸中的专</w:t>
      </w:r>
      <w:r>
        <w:rPr>
          <w:rFonts w:ascii="宋体" w:hAnsi="宋体" w:eastAsia="宋体" w:cs="宋体"/>
          <w:spacing w:val="11"/>
          <w:sz w:val="20"/>
          <w:szCs w:val="20"/>
        </w:rPr>
        <w:t>业工程内容，区分专业工程类别及专业分别列项。各专业工程暂估价的暂估金额应</w:t>
      </w:r>
      <w:r>
        <w:rPr>
          <w:rFonts w:ascii="宋体" w:hAnsi="宋体" w:eastAsia="宋体" w:cs="宋体"/>
          <w:spacing w:val="10"/>
          <w:sz w:val="20"/>
          <w:szCs w:val="20"/>
        </w:rPr>
        <w:t>在表格中明示，</w:t>
      </w:r>
      <w:r>
        <w:rPr>
          <w:rFonts w:ascii="宋体" w:hAnsi="宋体" w:eastAsia="宋体" w:cs="宋体"/>
          <w:spacing w:val="9"/>
          <w:sz w:val="20"/>
          <w:szCs w:val="20"/>
        </w:rPr>
        <w:t>并在编制说明中明确投标人不得调整。</w:t>
      </w:r>
    </w:p>
    <w:p>
      <w:pPr>
        <w:spacing w:before="157" w:line="321" w:lineRule="auto"/>
        <w:ind w:right="74" w:firstLine="419"/>
        <w:rPr>
          <w:rFonts w:ascii="宋体" w:hAnsi="宋体" w:eastAsia="宋体" w:cs="宋体"/>
          <w:sz w:val="20"/>
          <w:szCs w:val="20"/>
        </w:rPr>
      </w:pPr>
      <w:r>
        <w:rPr>
          <w:rFonts w:ascii="宋体" w:hAnsi="宋体" w:eastAsia="宋体" w:cs="宋体"/>
          <w:spacing w:val="10"/>
          <w:sz w:val="20"/>
          <w:szCs w:val="20"/>
        </w:rPr>
        <w:t>4. 计日工应编制“计日工表 ”</w:t>
      </w:r>
      <w:r>
        <w:rPr>
          <w:rFonts w:ascii="宋体" w:hAnsi="宋体" w:eastAsia="宋体" w:cs="宋体"/>
          <w:spacing w:val="-67"/>
          <w:sz w:val="20"/>
          <w:szCs w:val="20"/>
        </w:rPr>
        <w:t xml:space="preserve"> </w:t>
      </w:r>
      <w:r>
        <w:rPr>
          <w:rFonts w:ascii="宋体" w:hAnsi="宋体" w:eastAsia="宋体" w:cs="宋体"/>
          <w:spacing w:val="10"/>
          <w:sz w:val="20"/>
          <w:szCs w:val="20"/>
        </w:rPr>
        <w:t>，根据对工程施工过程的合</w:t>
      </w:r>
      <w:r>
        <w:rPr>
          <w:rFonts w:ascii="宋体" w:hAnsi="宋体" w:eastAsia="宋体" w:cs="宋体"/>
          <w:spacing w:val="9"/>
          <w:sz w:val="20"/>
          <w:szCs w:val="20"/>
        </w:rPr>
        <w:t>理预判，区分不同工种类别、材料</w:t>
      </w:r>
      <w:r>
        <w:rPr>
          <w:rFonts w:ascii="宋体" w:hAnsi="宋体" w:eastAsia="宋体" w:cs="宋体"/>
          <w:spacing w:val="11"/>
          <w:sz w:val="20"/>
          <w:szCs w:val="20"/>
        </w:rPr>
        <w:t>名称、施工机具名称、零星工作（含拆除、修复）分别列项，并在各项目特征</w:t>
      </w:r>
      <w:r>
        <w:rPr>
          <w:rFonts w:ascii="宋体" w:hAnsi="宋体" w:eastAsia="宋体" w:cs="宋体"/>
          <w:spacing w:val="10"/>
          <w:sz w:val="20"/>
          <w:szCs w:val="20"/>
        </w:rPr>
        <w:t>中明确计日工性质及使用条件等。计日工数量应合理暂估，避免实际发生量</w:t>
      </w:r>
      <w:r>
        <w:rPr>
          <w:rFonts w:ascii="宋体" w:hAnsi="宋体" w:eastAsia="宋体" w:cs="宋体"/>
          <w:spacing w:val="9"/>
          <w:sz w:val="20"/>
          <w:szCs w:val="20"/>
        </w:rPr>
        <w:t>与暂估量差距过大引发较大价款调整。</w:t>
      </w:r>
    </w:p>
    <w:p>
      <w:pPr>
        <w:spacing w:before="158" w:line="333" w:lineRule="auto"/>
        <w:ind w:left="2" w:right="74" w:firstLine="420"/>
        <w:rPr>
          <w:rFonts w:ascii="宋体" w:hAnsi="宋体" w:eastAsia="宋体" w:cs="宋体"/>
          <w:sz w:val="20"/>
          <w:szCs w:val="20"/>
        </w:rPr>
      </w:pPr>
      <w:r>
        <w:rPr>
          <w:rFonts w:ascii="宋体" w:hAnsi="宋体" w:eastAsia="宋体" w:cs="宋体"/>
          <w:spacing w:val="10"/>
          <w:sz w:val="20"/>
          <w:szCs w:val="20"/>
        </w:rPr>
        <w:t>5. 总承包服务费应编制“总承包服务费计价表 ”</w:t>
      </w:r>
      <w:r>
        <w:rPr>
          <w:rFonts w:ascii="宋体" w:hAnsi="宋体" w:eastAsia="宋体" w:cs="宋体"/>
          <w:spacing w:val="-67"/>
          <w:sz w:val="20"/>
          <w:szCs w:val="20"/>
        </w:rPr>
        <w:t xml:space="preserve"> </w:t>
      </w:r>
      <w:r>
        <w:rPr>
          <w:rFonts w:ascii="宋体" w:hAnsi="宋体" w:eastAsia="宋体" w:cs="宋体"/>
          <w:spacing w:val="10"/>
          <w:sz w:val="20"/>
          <w:szCs w:val="20"/>
        </w:rPr>
        <w:t>，</w:t>
      </w:r>
      <w:r>
        <w:rPr>
          <w:rFonts w:ascii="宋体" w:hAnsi="宋体" w:eastAsia="宋体" w:cs="宋体"/>
          <w:spacing w:val="9"/>
          <w:sz w:val="20"/>
          <w:szCs w:val="20"/>
        </w:rPr>
        <w:t>区分发包人提供的材料、专业分包工程、</w:t>
      </w:r>
      <w:r>
        <w:rPr>
          <w:rFonts w:ascii="宋体" w:hAnsi="宋体" w:eastAsia="宋体" w:cs="宋体"/>
          <w:spacing w:val="11"/>
          <w:sz w:val="20"/>
          <w:szCs w:val="20"/>
        </w:rPr>
        <w:t>发包人直接发包的专业工程三类服务内容分别列项，在备注中根据招标文件</w:t>
      </w:r>
      <w:r>
        <w:rPr>
          <w:rFonts w:ascii="宋体" w:hAnsi="宋体" w:eastAsia="宋体" w:cs="宋体"/>
          <w:spacing w:val="10"/>
          <w:sz w:val="20"/>
          <w:szCs w:val="20"/>
        </w:rPr>
        <w:t>要求明确服务范围和内</w:t>
      </w:r>
      <w:r>
        <w:rPr>
          <w:rFonts w:ascii="宋体" w:hAnsi="宋体" w:eastAsia="宋体" w:cs="宋体"/>
          <w:spacing w:val="11"/>
          <w:sz w:val="20"/>
          <w:szCs w:val="20"/>
        </w:rPr>
        <w:t>容。采用费率计价的，应在备注中明确计算基础；采用总价计价的，应在备注中说</w:t>
      </w:r>
      <w:r>
        <w:rPr>
          <w:rFonts w:ascii="宋体" w:hAnsi="宋体" w:eastAsia="宋体" w:cs="宋体"/>
          <w:spacing w:val="10"/>
          <w:sz w:val="20"/>
          <w:szCs w:val="20"/>
        </w:rPr>
        <w:t>明“费用按项计</w:t>
      </w:r>
      <w:r>
        <w:rPr>
          <w:rFonts w:ascii="宋体" w:hAnsi="宋体" w:eastAsia="宋体" w:cs="宋体"/>
          <w:spacing w:val="8"/>
          <w:sz w:val="20"/>
          <w:szCs w:val="20"/>
        </w:rPr>
        <w:t>价，包干使用</w:t>
      </w:r>
      <w:r>
        <w:rPr>
          <w:rFonts w:ascii="宋体" w:hAnsi="宋体" w:eastAsia="宋体" w:cs="宋体"/>
          <w:spacing w:val="30"/>
          <w:sz w:val="20"/>
          <w:szCs w:val="20"/>
        </w:rPr>
        <w:t xml:space="preserve"> </w:t>
      </w:r>
      <w:r>
        <w:rPr>
          <w:rFonts w:ascii="宋体" w:hAnsi="宋体" w:eastAsia="宋体" w:cs="宋体"/>
          <w:spacing w:val="8"/>
          <w:sz w:val="20"/>
          <w:szCs w:val="20"/>
        </w:rPr>
        <w:t>”。</w:t>
      </w:r>
    </w:p>
    <w:p>
      <w:pPr>
        <w:spacing w:before="156" w:line="312" w:lineRule="auto"/>
        <w:ind w:left="3" w:right="76" w:firstLine="420"/>
        <w:rPr>
          <w:rFonts w:ascii="宋体" w:hAnsi="宋体" w:eastAsia="宋体" w:cs="宋体"/>
          <w:sz w:val="20"/>
          <w:szCs w:val="20"/>
        </w:rPr>
      </w:pPr>
      <w:r>
        <w:rPr>
          <w:rFonts w:ascii="宋体" w:hAnsi="宋体" w:eastAsia="宋体" w:cs="宋体"/>
          <w:spacing w:val="9"/>
          <w:sz w:val="20"/>
          <w:szCs w:val="20"/>
        </w:rPr>
        <w:t>6. 存在暂估价材料时</w:t>
      </w:r>
      <w:r>
        <w:rPr>
          <w:rFonts w:ascii="宋体" w:hAnsi="宋体" w:eastAsia="宋体" w:cs="宋体"/>
          <w:spacing w:val="-59"/>
          <w:sz w:val="20"/>
          <w:szCs w:val="20"/>
        </w:rPr>
        <w:t xml:space="preserve"> </w:t>
      </w:r>
      <w:r>
        <w:rPr>
          <w:rFonts w:ascii="宋体" w:hAnsi="宋体" w:eastAsia="宋体" w:cs="宋体"/>
          <w:spacing w:val="9"/>
          <w:sz w:val="20"/>
          <w:szCs w:val="20"/>
        </w:rPr>
        <w:t>，应编制“材料暂估单价表 ”</w:t>
      </w:r>
      <w:r>
        <w:rPr>
          <w:rFonts w:ascii="宋体" w:hAnsi="宋体" w:eastAsia="宋体" w:cs="宋体"/>
          <w:spacing w:val="-69"/>
          <w:sz w:val="20"/>
          <w:szCs w:val="20"/>
        </w:rPr>
        <w:t xml:space="preserve"> </w:t>
      </w:r>
      <w:r>
        <w:rPr>
          <w:rFonts w:ascii="宋体" w:hAnsi="宋体" w:eastAsia="宋体" w:cs="宋体"/>
          <w:spacing w:val="9"/>
          <w:sz w:val="20"/>
          <w:szCs w:val="20"/>
        </w:rPr>
        <w:t>，</w:t>
      </w:r>
      <w:r>
        <w:rPr>
          <w:rFonts w:ascii="宋体" w:hAnsi="宋体" w:eastAsia="宋体" w:cs="宋体"/>
          <w:spacing w:val="8"/>
          <w:sz w:val="20"/>
          <w:szCs w:val="20"/>
        </w:rPr>
        <w:t>根据设计文件及对应分部分项工程项目</w:t>
      </w:r>
      <w:r>
        <w:rPr>
          <w:rFonts w:ascii="宋体" w:hAnsi="宋体" w:eastAsia="宋体" w:cs="宋体"/>
          <w:spacing w:val="10"/>
          <w:sz w:val="20"/>
          <w:szCs w:val="20"/>
        </w:rPr>
        <w:t>特征，准确填写材料名称、规格型号、计量单位，并</w:t>
      </w:r>
      <w:r>
        <w:rPr>
          <w:rFonts w:ascii="宋体" w:hAnsi="宋体" w:eastAsia="宋体" w:cs="宋体"/>
          <w:spacing w:val="9"/>
          <w:sz w:val="20"/>
          <w:szCs w:val="20"/>
        </w:rPr>
        <w:t>结合相关造价资讯合理确定不含税暂估单价。</w:t>
      </w:r>
    </w:p>
    <w:p>
      <w:pPr>
        <w:spacing w:before="124" w:line="331" w:lineRule="auto"/>
        <w:ind w:left="1" w:right="76" w:firstLine="420"/>
        <w:rPr>
          <w:rFonts w:ascii="宋体" w:hAnsi="宋体" w:eastAsia="宋体" w:cs="宋体"/>
          <w:sz w:val="20"/>
          <w:szCs w:val="20"/>
        </w:rPr>
      </w:pPr>
      <w:r>
        <w:rPr>
          <w:rFonts w:ascii="宋体" w:hAnsi="宋体" w:eastAsia="宋体" w:cs="宋体"/>
          <w:spacing w:val="9"/>
          <w:sz w:val="20"/>
          <w:szCs w:val="20"/>
        </w:rPr>
        <w:t>7. 存在发包人供应材料时</w:t>
      </w:r>
      <w:r>
        <w:rPr>
          <w:rFonts w:ascii="宋体" w:hAnsi="宋体" w:eastAsia="宋体" w:cs="宋体"/>
          <w:spacing w:val="-60"/>
          <w:sz w:val="20"/>
          <w:szCs w:val="20"/>
        </w:rPr>
        <w:t xml:space="preserve"> </w:t>
      </w:r>
      <w:r>
        <w:rPr>
          <w:rFonts w:ascii="宋体" w:hAnsi="宋体" w:eastAsia="宋体" w:cs="宋体"/>
          <w:spacing w:val="9"/>
          <w:sz w:val="20"/>
          <w:szCs w:val="20"/>
        </w:rPr>
        <w:t xml:space="preserve">，应编制“发包人提供材料一览表 </w:t>
      </w:r>
      <w:r>
        <w:rPr>
          <w:rFonts w:ascii="宋体" w:hAnsi="宋体" w:eastAsia="宋体" w:cs="宋体"/>
          <w:spacing w:val="8"/>
          <w:sz w:val="20"/>
          <w:szCs w:val="20"/>
        </w:rPr>
        <w:t>”</w:t>
      </w:r>
      <w:r>
        <w:rPr>
          <w:rFonts w:ascii="宋体" w:hAnsi="宋体" w:eastAsia="宋体" w:cs="宋体"/>
          <w:spacing w:val="-69"/>
          <w:sz w:val="20"/>
          <w:szCs w:val="20"/>
        </w:rPr>
        <w:t xml:space="preserve"> </w:t>
      </w:r>
      <w:r>
        <w:rPr>
          <w:rFonts w:ascii="宋体" w:hAnsi="宋体" w:eastAsia="宋体" w:cs="宋体"/>
          <w:spacing w:val="8"/>
          <w:sz w:val="20"/>
          <w:szCs w:val="20"/>
        </w:rPr>
        <w:t>，根据设计文件及对应分部分</w:t>
      </w:r>
      <w:r>
        <w:rPr>
          <w:rFonts w:ascii="宋体" w:hAnsi="宋体" w:eastAsia="宋体" w:cs="宋体"/>
          <w:spacing w:val="11"/>
          <w:sz w:val="20"/>
          <w:szCs w:val="20"/>
        </w:rPr>
        <w:t>项工程项目清单，准确填写材料名称、规格型号、计量单位，合理确定有效损</w:t>
      </w:r>
      <w:r>
        <w:rPr>
          <w:rFonts w:ascii="宋体" w:hAnsi="宋体" w:eastAsia="宋体" w:cs="宋体"/>
          <w:spacing w:val="10"/>
          <w:sz w:val="20"/>
          <w:szCs w:val="20"/>
        </w:rPr>
        <w:t>耗率，计算材料消耗</w:t>
      </w:r>
      <w:r>
        <w:rPr>
          <w:rFonts w:ascii="宋体" w:hAnsi="宋体" w:eastAsia="宋体" w:cs="宋体"/>
          <w:spacing w:val="9"/>
          <w:sz w:val="20"/>
          <w:szCs w:val="20"/>
        </w:rPr>
        <w:t>量（含有效损耗</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并结合相关造价资讯合理确定不含税材料单价。</w:t>
      </w:r>
    </w:p>
    <w:p>
      <w:pPr>
        <w:spacing w:before="125" w:line="296" w:lineRule="auto"/>
        <w:ind w:right="76" w:firstLine="424"/>
        <w:rPr>
          <w:rFonts w:ascii="宋体" w:hAnsi="宋体" w:eastAsia="宋体" w:cs="宋体"/>
          <w:sz w:val="20"/>
          <w:szCs w:val="20"/>
        </w:rPr>
      </w:pPr>
      <w:r>
        <w:rPr>
          <w:rFonts w:ascii="宋体" w:hAnsi="宋体" w:eastAsia="宋体" w:cs="宋体"/>
          <w:spacing w:val="10"/>
          <w:sz w:val="20"/>
          <w:szCs w:val="20"/>
        </w:rPr>
        <w:t>8. 发包人拟直接发包部分专业工程的，应</w:t>
      </w:r>
      <w:r>
        <w:rPr>
          <w:rFonts w:ascii="宋体" w:hAnsi="宋体" w:eastAsia="宋体" w:cs="宋体"/>
          <w:spacing w:val="9"/>
          <w:sz w:val="20"/>
          <w:szCs w:val="20"/>
        </w:rPr>
        <w:t>编制“直接发包的专业工程明细表 ”</w:t>
      </w:r>
      <w:r>
        <w:rPr>
          <w:rFonts w:ascii="宋体" w:hAnsi="宋体" w:eastAsia="宋体" w:cs="宋体"/>
          <w:spacing w:val="-67"/>
          <w:sz w:val="20"/>
          <w:szCs w:val="20"/>
        </w:rPr>
        <w:t xml:space="preserve"> </w:t>
      </w:r>
      <w:r>
        <w:rPr>
          <w:rFonts w:ascii="宋体" w:hAnsi="宋体" w:eastAsia="宋体" w:cs="宋体"/>
          <w:spacing w:val="9"/>
          <w:sz w:val="20"/>
          <w:szCs w:val="20"/>
        </w:rPr>
        <w:t>，填写直接发</w:t>
      </w:r>
      <w:r>
        <w:rPr>
          <w:rFonts w:ascii="宋体" w:hAnsi="宋体" w:eastAsia="宋体" w:cs="宋体"/>
          <w:spacing w:val="10"/>
          <w:sz w:val="20"/>
          <w:szCs w:val="20"/>
        </w:rPr>
        <w:t>包的专业工程名称，说明专业工程主要内容和</w:t>
      </w:r>
      <w:r>
        <w:rPr>
          <w:rFonts w:ascii="宋体" w:hAnsi="宋体" w:eastAsia="宋体" w:cs="宋体"/>
          <w:spacing w:val="9"/>
          <w:sz w:val="20"/>
          <w:szCs w:val="20"/>
        </w:rPr>
        <w:t>范围，但无需对专业工程进行估价。</w:t>
      </w:r>
    </w:p>
    <w:p>
      <w:pPr>
        <w:spacing w:before="158" w:line="278" w:lineRule="exact"/>
        <w:ind w:left="413"/>
        <w:rPr>
          <w:rFonts w:ascii="宋体" w:hAnsi="宋体" w:eastAsia="宋体" w:cs="宋体"/>
          <w:sz w:val="20"/>
          <w:szCs w:val="20"/>
        </w:rPr>
      </w:pPr>
      <w:r>
        <w:rPr>
          <w:rFonts w:ascii="宋体" w:hAnsi="宋体" w:eastAsia="宋体" w:cs="宋体"/>
          <w:spacing w:val="10"/>
          <w:position w:val="1"/>
          <w:sz w:val="20"/>
          <w:szCs w:val="20"/>
        </w:rPr>
        <w:t>（九）增值税</w:t>
      </w:r>
    </w:p>
    <w:p>
      <w:pPr>
        <w:spacing w:line="278" w:lineRule="exact"/>
        <w:rPr>
          <w:rFonts w:ascii="宋体" w:hAnsi="宋体" w:eastAsia="宋体" w:cs="宋体"/>
          <w:sz w:val="20"/>
          <w:szCs w:val="20"/>
        </w:rPr>
        <w:sectPr>
          <w:footerReference r:id="rId48" w:type="default"/>
          <w:pgSz w:w="11905" w:h="16840"/>
          <w:pgMar w:top="1431" w:right="1342" w:bottom="1213" w:left="1418" w:header="0" w:footer="898" w:gutter="0"/>
        </w:sectPr>
      </w:pPr>
    </w:p>
    <w:p>
      <w:pPr>
        <w:spacing w:before="126" w:line="367" w:lineRule="auto"/>
        <w:ind w:right="64" w:firstLine="421"/>
        <w:jc w:val="both"/>
        <w:rPr>
          <w:rFonts w:ascii="宋体" w:hAnsi="宋体" w:eastAsia="宋体" w:cs="宋体"/>
          <w:sz w:val="20"/>
          <w:szCs w:val="20"/>
        </w:rPr>
      </w:pPr>
      <w:r>
        <w:rPr>
          <w:rFonts w:ascii="宋体" w:hAnsi="宋体" w:eastAsia="宋体" w:cs="宋体"/>
          <w:spacing w:val="11"/>
          <w:sz w:val="20"/>
          <w:szCs w:val="20"/>
        </w:rPr>
        <w:t>增值税应根据国家有关规定按增值税率列项，计算基础应为分部分项工程项目清</w:t>
      </w:r>
      <w:r>
        <w:rPr>
          <w:rFonts w:ascii="宋体" w:hAnsi="宋体" w:eastAsia="宋体" w:cs="宋体"/>
          <w:spacing w:val="10"/>
          <w:sz w:val="20"/>
          <w:szCs w:val="20"/>
        </w:rPr>
        <w:t>单、措施项目</w:t>
      </w:r>
      <w:r>
        <w:rPr>
          <w:rFonts w:ascii="宋体" w:hAnsi="宋体" w:eastAsia="宋体" w:cs="宋体"/>
          <w:spacing w:val="11"/>
          <w:sz w:val="20"/>
          <w:szCs w:val="20"/>
        </w:rPr>
        <w:t>清单、其他项目清单（专业工程暂估价除外）。建设工程计税方式分为一般计税和</w:t>
      </w:r>
      <w:r>
        <w:rPr>
          <w:rFonts w:ascii="宋体" w:hAnsi="宋体" w:eastAsia="宋体" w:cs="宋体"/>
          <w:spacing w:val="10"/>
          <w:sz w:val="20"/>
          <w:szCs w:val="20"/>
        </w:rPr>
        <w:t>简易计税。采用</w:t>
      </w:r>
      <w:r>
        <w:rPr>
          <w:rFonts w:ascii="宋体" w:hAnsi="宋体" w:eastAsia="宋体" w:cs="宋体"/>
          <w:spacing w:val="11"/>
          <w:sz w:val="20"/>
          <w:szCs w:val="20"/>
        </w:rPr>
        <w:t>一般计税法计价时，计算基础为不含增值税价格；采用简易计税法计价时，计算基</w:t>
      </w:r>
      <w:r>
        <w:rPr>
          <w:rFonts w:ascii="宋体" w:hAnsi="宋体" w:eastAsia="宋体" w:cs="宋体"/>
          <w:spacing w:val="10"/>
          <w:sz w:val="20"/>
          <w:szCs w:val="20"/>
        </w:rPr>
        <w:t>础为含进项税的</w:t>
      </w:r>
      <w:r>
        <w:rPr>
          <w:rFonts w:ascii="宋体" w:hAnsi="宋体" w:eastAsia="宋体" w:cs="宋体"/>
          <w:spacing w:val="11"/>
          <w:sz w:val="20"/>
          <w:szCs w:val="20"/>
        </w:rPr>
        <w:t>价格。除招标文件要求采用简易计税法外，均视为采用一般计税法。其他项目清单</w:t>
      </w:r>
      <w:r>
        <w:rPr>
          <w:rFonts w:ascii="宋体" w:hAnsi="宋体" w:eastAsia="宋体" w:cs="宋体"/>
          <w:spacing w:val="10"/>
          <w:sz w:val="20"/>
          <w:szCs w:val="20"/>
        </w:rPr>
        <w:t>中的专业工程暂</w:t>
      </w:r>
      <w:r>
        <w:rPr>
          <w:rFonts w:ascii="宋体" w:hAnsi="宋体" w:eastAsia="宋体" w:cs="宋体"/>
          <w:spacing w:val="9"/>
          <w:sz w:val="20"/>
          <w:szCs w:val="20"/>
        </w:rPr>
        <w:t>估价已含增值税，计算增值税时应扣除该部分费用。</w:t>
      </w:r>
    </w:p>
    <w:p>
      <w:pPr>
        <w:spacing w:before="12" w:line="229" w:lineRule="auto"/>
        <w:ind w:left="430"/>
        <w:rPr>
          <w:rFonts w:ascii="黑体" w:hAnsi="黑体" w:eastAsia="黑体" w:cs="黑体"/>
          <w:sz w:val="20"/>
          <w:szCs w:val="20"/>
        </w:rPr>
      </w:pPr>
      <w:r>
        <w:rPr>
          <w:rFonts w:ascii="黑体" w:hAnsi="黑体" w:eastAsia="黑体" w:cs="黑体"/>
          <w:spacing w:val="8"/>
          <w:sz w:val="20"/>
          <w:szCs w:val="20"/>
        </w:rPr>
        <w:t>三、最高投标限价编制</w:t>
      </w:r>
    </w:p>
    <w:p>
      <w:pPr>
        <w:spacing w:before="149" w:line="276" w:lineRule="exact"/>
        <w:ind w:left="413"/>
        <w:rPr>
          <w:rFonts w:ascii="宋体" w:hAnsi="宋体" w:eastAsia="宋体" w:cs="宋体"/>
          <w:sz w:val="20"/>
          <w:szCs w:val="20"/>
        </w:rPr>
      </w:pPr>
      <w:r>
        <w:rPr>
          <w:rFonts w:ascii="宋体" w:hAnsi="宋体" w:eastAsia="宋体" w:cs="宋体"/>
          <w:spacing w:val="9"/>
          <w:position w:val="1"/>
          <w:sz w:val="20"/>
          <w:szCs w:val="20"/>
        </w:rPr>
        <w:t>（一）最高投标限价编制应符合下列要求：</w:t>
      </w:r>
    </w:p>
    <w:p>
      <w:pPr>
        <w:spacing w:before="124" w:line="276" w:lineRule="exact"/>
        <w:ind w:left="441"/>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32"/>
          <w:position w:val="1"/>
          <w:sz w:val="20"/>
          <w:szCs w:val="20"/>
        </w:rPr>
        <w:t xml:space="preserve"> </w:t>
      </w:r>
      <w:r>
        <w:rPr>
          <w:rFonts w:ascii="宋体" w:hAnsi="宋体" w:eastAsia="宋体" w:cs="宋体"/>
          <w:spacing w:val="7"/>
          <w:position w:val="1"/>
          <w:sz w:val="20"/>
          <w:szCs w:val="20"/>
        </w:rPr>
        <w:t>国家《建设工程工程量清单计价标准》和相</w:t>
      </w:r>
      <w:r>
        <w:rPr>
          <w:rFonts w:ascii="宋体" w:hAnsi="宋体" w:eastAsia="宋体" w:cs="宋体"/>
          <w:spacing w:val="6"/>
          <w:position w:val="1"/>
          <w:sz w:val="20"/>
          <w:szCs w:val="20"/>
        </w:rPr>
        <w:t>关工程国家及行业工程量计算标准；</w:t>
      </w:r>
    </w:p>
    <w:p>
      <w:pPr>
        <w:spacing w:before="125" w:line="298" w:lineRule="auto"/>
        <w:ind w:left="5" w:right="64" w:firstLine="418"/>
        <w:rPr>
          <w:rFonts w:ascii="宋体" w:hAnsi="宋体" w:eastAsia="宋体" w:cs="宋体"/>
          <w:sz w:val="20"/>
          <w:szCs w:val="20"/>
        </w:rPr>
      </w:pPr>
      <w:r>
        <w:rPr>
          <w:rFonts w:ascii="宋体" w:hAnsi="宋体" w:eastAsia="宋体" w:cs="宋体"/>
          <w:spacing w:val="8"/>
          <w:sz w:val="20"/>
          <w:szCs w:val="20"/>
        </w:rPr>
        <w:t>2. 招标文件（包括招标工程量清单、合同条款、招标图纸、技术标准规范等）及其补遗、澄清</w:t>
      </w:r>
      <w:r>
        <w:rPr>
          <w:rFonts w:ascii="宋体" w:hAnsi="宋体" w:eastAsia="宋体" w:cs="宋体"/>
          <w:spacing w:val="5"/>
          <w:sz w:val="20"/>
          <w:szCs w:val="20"/>
        </w:rPr>
        <w:t>或修改；</w:t>
      </w:r>
    </w:p>
    <w:p>
      <w:pPr>
        <w:spacing w:before="154" w:line="299" w:lineRule="auto"/>
        <w:ind w:left="3" w:right="64" w:firstLine="424"/>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45"/>
          <w:sz w:val="20"/>
          <w:szCs w:val="20"/>
        </w:rPr>
        <w:t xml:space="preserve"> </w:t>
      </w:r>
      <w:r>
        <w:rPr>
          <w:rFonts w:ascii="宋体" w:hAnsi="宋体" w:eastAsia="宋体" w:cs="宋体"/>
          <w:spacing w:val="7"/>
          <w:sz w:val="20"/>
          <w:szCs w:val="20"/>
        </w:rPr>
        <w:t>国家及省级、行业建设主管部门颁发的工程计量与计价相关规定，以及根据工程需要补充的</w:t>
      </w:r>
      <w:r>
        <w:rPr>
          <w:rFonts w:ascii="宋体" w:hAnsi="宋体" w:eastAsia="宋体" w:cs="宋体"/>
          <w:spacing w:val="8"/>
          <w:sz w:val="20"/>
          <w:szCs w:val="20"/>
        </w:rPr>
        <w:t>工程量计算规则；</w:t>
      </w:r>
    </w:p>
    <w:p>
      <w:pPr>
        <w:spacing w:before="150" w:line="278" w:lineRule="exact"/>
        <w:ind w:left="420"/>
        <w:rPr>
          <w:rFonts w:ascii="宋体" w:hAnsi="宋体" w:eastAsia="宋体" w:cs="宋体"/>
          <w:sz w:val="20"/>
          <w:szCs w:val="20"/>
        </w:rPr>
      </w:pPr>
      <w:r>
        <w:rPr>
          <w:rFonts w:ascii="宋体" w:hAnsi="宋体" w:eastAsia="宋体" w:cs="宋体"/>
          <w:spacing w:val="5"/>
          <w:position w:val="1"/>
          <w:sz w:val="20"/>
          <w:szCs w:val="20"/>
        </w:rPr>
        <w:t>4. 与招标工程相关的技术标准规范；</w:t>
      </w:r>
    </w:p>
    <w:p>
      <w:pPr>
        <w:spacing w:before="123" w:line="278" w:lineRule="exact"/>
        <w:ind w:left="423"/>
        <w:rPr>
          <w:rFonts w:ascii="宋体" w:hAnsi="宋体" w:eastAsia="宋体" w:cs="宋体"/>
          <w:sz w:val="20"/>
          <w:szCs w:val="20"/>
        </w:rPr>
      </w:pPr>
      <w:r>
        <w:rPr>
          <w:rFonts w:ascii="宋体" w:hAnsi="宋体" w:eastAsia="宋体" w:cs="宋体"/>
          <w:spacing w:val="6"/>
          <w:position w:val="1"/>
          <w:sz w:val="20"/>
          <w:szCs w:val="20"/>
        </w:rPr>
        <w:t>5. 工程特点及交付标准、地勘水文资料、现场情况；</w:t>
      </w:r>
    </w:p>
    <w:p>
      <w:pPr>
        <w:spacing w:before="123" w:line="279" w:lineRule="exact"/>
        <w:ind w:left="424"/>
        <w:rPr>
          <w:rFonts w:ascii="宋体" w:hAnsi="宋体" w:eastAsia="宋体" w:cs="宋体"/>
          <w:sz w:val="20"/>
          <w:szCs w:val="20"/>
        </w:rPr>
      </w:pPr>
      <w:r>
        <w:rPr>
          <w:rFonts w:ascii="宋体" w:hAnsi="宋体" w:eastAsia="宋体" w:cs="宋体"/>
          <w:spacing w:val="5"/>
          <w:position w:val="1"/>
          <w:sz w:val="20"/>
          <w:szCs w:val="20"/>
        </w:rPr>
        <w:t>6. 合理施工工期及常规施工工艺、顺序；</w:t>
      </w:r>
    </w:p>
    <w:p>
      <w:pPr>
        <w:spacing w:before="119" w:line="277" w:lineRule="exact"/>
        <w:ind w:left="422"/>
        <w:rPr>
          <w:rFonts w:ascii="宋体" w:hAnsi="宋体" w:eastAsia="宋体" w:cs="宋体"/>
          <w:sz w:val="20"/>
          <w:szCs w:val="20"/>
        </w:rPr>
      </w:pPr>
      <w:r>
        <w:rPr>
          <w:rFonts w:ascii="宋体" w:hAnsi="宋体" w:eastAsia="宋体" w:cs="宋体"/>
          <w:spacing w:val="6"/>
          <w:position w:val="1"/>
          <w:sz w:val="20"/>
          <w:szCs w:val="20"/>
        </w:rPr>
        <w:t>7. 工程价格信息及造价资讯、工程造价数据及指数；</w:t>
      </w:r>
    </w:p>
    <w:p>
      <w:pPr>
        <w:spacing w:before="124" w:line="279" w:lineRule="exact"/>
        <w:ind w:left="426"/>
        <w:rPr>
          <w:rFonts w:ascii="宋体" w:hAnsi="宋体" w:eastAsia="宋体" w:cs="宋体"/>
          <w:sz w:val="20"/>
          <w:szCs w:val="20"/>
        </w:rPr>
      </w:pPr>
      <w:r>
        <w:rPr>
          <w:rFonts w:ascii="宋体" w:hAnsi="宋体" w:eastAsia="宋体" w:cs="宋体"/>
          <w:spacing w:val="1"/>
          <w:position w:val="1"/>
          <w:sz w:val="20"/>
          <w:szCs w:val="20"/>
        </w:rPr>
        <w:t>8. 其他相关资料。</w:t>
      </w:r>
    </w:p>
    <w:p>
      <w:pPr>
        <w:spacing w:before="121" w:line="297" w:lineRule="auto"/>
        <w:ind w:left="26" w:right="106" w:firstLine="386"/>
        <w:rPr>
          <w:rFonts w:ascii="宋体" w:hAnsi="宋体" w:eastAsia="宋体" w:cs="宋体"/>
          <w:sz w:val="20"/>
          <w:szCs w:val="20"/>
        </w:rPr>
      </w:pPr>
      <w:r>
        <w:rPr>
          <w:rFonts w:ascii="宋体" w:hAnsi="宋体" w:eastAsia="宋体" w:cs="宋体"/>
          <w:spacing w:val="10"/>
          <w:sz w:val="20"/>
          <w:szCs w:val="20"/>
        </w:rPr>
        <w:t>（二）最高投标限价应在充分了解招标工程自身及周边有关情况，明确招标人需求的前提下，</w:t>
      </w:r>
      <w:r>
        <w:rPr>
          <w:rFonts w:ascii="宋体" w:hAnsi="宋体" w:eastAsia="宋体" w:cs="宋体"/>
          <w:spacing w:val="9"/>
          <w:sz w:val="20"/>
          <w:szCs w:val="20"/>
        </w:rPr>
        <w:t>由专业技术人员进行编制，确保编制依据合理有效、编制方法严谨科学、编制成果准确可</w:t>
      </w:r>
      <w:r>
        <w:rPr>
          <w:rFonts w:ascii="宋体" w:hAnsi="宋体" w:eastAsia="宋体" w:cs="宋体"/>
          <w:spacing w:val="8"/>
          <w:sz w:val="20"/>
          <w:szCs w:val="20"/>
        </w:rPr>
        <w:t>靠。</w:t>
      </w:r>
    </w:p>
    <w:p>
      <w:pPr>
        <w:spacing w:before="157" w:line="276" w:lineRule="exact"/>
        <w:ind w:left="413"/>
        <w:rPr>
          <w:rFonts w:ascii="宋体" w:hAnsi="宋体" w:eastAsia="宋体" w:cs="宋体"/>
          <w:sz w:val="20"/>
          <w:szCs w:val="20"/>
        </w:rPr>
      </w:pPr>
      <w:r>
        <w:rPr>
          <w:rFonts w:ascii="宋体" w:hAnsi="宋体" w:eastAsia="宋体" w:cs="宋体"/>
          <w:spacing w:val="10"/>
          <w:position w:val="1"/>
          <w:sz w:val="20"/>
          <w:szCs w:val="20"/>
        </w:rPr>
        <w:t>（三）最高投标限价应严格对应招标工程量清单进行编制，不得擅自</w:t>
      </w:r>
      <w:r>
        <w:rPr>
          <w:rFonts w:ascii="宋体" w:hAnsi="宋体" w:eastAsia="宋体" w:cs="宋体"/>
          <w:spacing w:val="9"/>
          <w:position w:val="1"/>
          <w:sz w:val="20"/>
          <w:szCs w:val="20"/>
        </w:rPr>
        <w:t>修改、增减内容。</w:t>
      </w:r>
    </w:p>
    <w:p>
      <w:pPr>
        <w:spacing w:before="126" w:line="295" w:lineRule="auto"/>
        <w:ind w:left="3" w:right="64"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4"/>
          <w:sz w:val="20"/>
          <w:szCs w:val="20"/>
        </w:rPr>
        <w:t xml:space="preserve"> </w:t>
      </w:r>
      <w:r>
        <w:rPr>
          <w:rFonts w:ascii="宋体" w:hAnsi="宋体" w:eastAsia="宋体" w:cs="宋体"/>
          <w:spacing w:val="10"/>
          <w:sz w:val="20"/>
          <w:szCs w:val="20"/>
        </w:rPr>
        <w:t>四）最高投标限价编制时，如发现招标工程量清单存在缺陷</w:t>
      </w:r>
      <w:r>
        <w:rPr>
          <w:rFonts w:ascii="宋体" w:hAnsi="宋体" w:eastAsia="宋体" w:cs="宋体"/>
          <w:spacing w:val="9"/>
          <w:sz w:val="20"/>
          <w:szCs w:val="20"/>
        </w:rPr>
        <w:t>，应及时修正，并根据修正的工</w:t>
      </w:r>
      <w:r>
        <w:rPr>
          <w:rFonts w:ascii="宋体" w:hAnsi="宋体" w:eastAsia="宋体" w:cs="宋体"/>
          <w:spacing w:val="8"/>
          <w:sz w:val="20"/>
          <w:szCs w:val="20"/>
        </w:rPr>
        <w:t>程量清单调整最高投标限价。</w:t>
      </w:r>
    </w:p>
    <w:p>
      <w:pPr>
        <w:spacing w:before="161" w:line="333" w:lineRule="auto"/>
        <w:ind w:left="2" w:right="64" w:firstLine="411"/>
        <w:rPr>
          <w:rFonts w:ascii="宋体" w:hAnsi="宋体" w:eastAsia="宋体" w:cs="宋体"/>
          <w:sz w:val="20"/>
          <w:szCs w:val="20"/>
        </w:rPr>
      </w:pPr>
      <w:r>
        <w:rPr>
          <w:rFonts w:ascii="宋体" w:hAnsi="宋体" w:eastAsia="宋体" w:cs="宋体"/>
          <w:spacing w:val="6"/>
          <w:sz w:val="20"/>
          <w:szCs w:val="20"/>
        </w:rPr>
        <w:t>（五）最高投标限价应附编制说明，明确工程概况、工程范围、编制依据、特殊要求(</w:t>
      </w:r>
      <w:r>
        <w:rPr>
          <w:rFonts w:ascii="宋体" w:hAnsi="宋体" w:eastAsia="宋体" w:cs="宋体"/>
          <w:spacing w:val="5"/>
          <w:sz w:val="20"/>
          <w:szCs w:val="20"/>
        </w:rPr>
        <w:t>如有)及其</w:t>
      </w:r>
      <w:r>
        <w:rPr>
          <w:rFonts w:ascii="宋体" w:hAnsi="宋体" w:eastAsia="宋体" w:cs="宋体"/>
          <w:spacing w:val="11"/>
          <w:sz w:val="20"/>
          <w:szCs w:val="20"/>
        </w:rPr>
        <w:t>他需要说明的问题。重点需阐明计价方法及价格来源，包括非常规工艺项目的</w:t>
      </w:r>
      <w:r>
        <w:rPr>
          <w:rFonts w:ascii="宋体" w:hAnsi="宋体" w:eastAsia="宋体" w:cs="宋体"/>
          <w:spacing w:val="10"/>
          <w:sz w:val="20"/>
          <w:szCs w:val="20"/>
        </w:rPr>
        <w:t>消耗量计算方法，人</w:t>
      </w:r>
      <w:r>
        <w:rPr>
          <w:rFonts w:ascii="宋体" w:hAnsi="宋体" w:eastAsia="宋体" w:cs="宋体"/>
          <w:spacing w:val="11"/>
          <w:sz w:val="20"/>
          <w:szCs w:val="20"/>
        </w:rPr>
        <w:t>工、材料、机械等价格因素的价格信息来源，类似工程的同类数据及指标的来</w:t>
      </w:r>
      <w:r>
        <w:rPr>
          <w:rFonts w:ascii="宋体" w:hAnsi="宋体" w:eastAsia="宋体" w:cs="宋体"/>
          <w:spacing w:val="10"/>
          <w:sz w:val="20"/>
          <w:szCs w:val="20"/>
        </w:rPr>
        <w:t>源，对参考价格信息</w:t>
      </w:r>
      <w:r>
        <w:rPr>
          <w:rFonts w:ascii="宋体" w:hAnsi="宋体" w:eastAsia="宋体" w:cs="宋体"/>
          <w:spacing w:val="9"/>
          <w:sz w:val="20"/>
          <w:szCs w:val="20"/>
        </w:rPr>
        <w:t>的调整及修正方式，以及执行的相关主管部门的规定内容等。</w:t>
      </w:r>
    </w:p>
    <w:p>
      <w:pPr>
        <w:spacing w:before="156" w:line="311" w:lineRule="auto"/>
        <w:ind w:left="2" w:right="63" w:firstLine="411"/>
        <w:rPr>
          <w:rFonts w:ascii="宋体" w:hAnsi="宋体" w:eastAsia="宋体" w:cs="宋体"/>
          <w:sz w:val="20"/>
          <w:szCs w:val="20"/>
        </w:rPr>
      </w:pPr>
      <w:r>
        <w:rPr>
          <w:rFonts w:ascii="宋体" w:hAnsi="宋体" w:eastAsia="宋体" w:cs="宋体"/>
          <w:spacing w:val="8"/>
          <w:sz w:val="20"/>
          <w:szCs w:val="20"/>
        </w:rPr>
        <w:t>（六）最高投标限价的成果文件应确保形式规范、内容完整、数据清晰，成果文件格式详见《&lt;</w:t>
      </w:r>
      <w:r>
        <w:rPr>
          <w:rFonts w:ascii="宋体" w:hAnsi="宋体" w:eastAsia="宋体" w:cs="宋体"/>
          <w:spacing w:val="10"/>
          <w:sz w:val="20"/>
          <w:szCs w:val="20"/>
        </w:rPr>
        <w:t>建设工程工程量清单计价标准&gt;实施指引》附录 B。</w:t>
      </w:r>
    </w:p>
    <w:p>
      <w:pPr>
        <w:spacing w:before="124" w:line="321" w:lineRule="auto"/>
        <w:ind w:left="1" w:right="64" w:firstLine="412"/>
        <w:rPr>
          <w:rFonts w:ascii="宋体" w:hAnsi="宋体" w:eastAsia="宋体" w:cs="宋体"/>
          <w:sz w:val="20"/>
          <w:szCs w:val="20"/>
        </w:rPr>
      </w:pPr>
      <w:r>
        <w:rPr>
          <w:rFonts w:ascii="宋体" w:hAnsi="宋体" w:eastAsia="宋体" w:cs="宋体"/>
          <w:spacing w:val="11"/>
          <w:sz w:val="20"/>
          <w:szCs w:val="20"/>
        </w:rPr>
        <w:t>（七）投标人在规定环节对最高投标限价提出疑问与异议时，编制人应及时复查，并按流程进行回复。因最高投标限价及招标文件的补遗、答疑、异议澄清或修正等引起最高</w:t>
      </w:r>
      <w:r>
        <w:rPr>
          <w:rFonts w:ascii="宋体" w:hAnsi="宋体" w:eastAsia="宋体" w:cs="宋体"/>
          <w:spacing w:val="10"/>
          <w:sz w:val="20"/>
          <w:szCs w:val="20"/>
        </w:rPr>
        <w:t>投标限价变化的，</w:t>
      </w:r>
      <w:r>
        <w:rPr>
          <w:rFonts w:ascii="宋体" w:hAnsi="宋体" w:eastAsia="宋体" w:cs="宋体"/>
          <w:spacing w:val="9"/>
          <w:sz w:val="20"/>
          <w:szCs w:val="20"/>
        </w:rPr>
        <w:t>编制人应修正最高投标限价，并由招标人按规定程序重新公布。</w:t>
      </w:r>
    </w:p>
    <w:p>
      <w:pPr>
        <w:spacing w:before="158" w:line="277" w:lineRule="exact"/>
        <w:ind w:left="413"/>
        <w:rPr>
          <w:rFonts w:ascii="宋体" w:hAnsi="宋体" w:eastAsia="宋体" w:cs="宋体"/>
          <w:sz w:val="20"/>
          <w:szCs w:val="20"/>
        </w:rPr>
      </w:pPr>
      <w:r>
        <w:rPr>
          <w:rFonts w:ascii="宋体" w:hAnsi="宋体" w:eastAsia="宋体" w:cs="宋体"/>
          <w:spacing w:val="10"/>
          <w:position w:val="1"/>
          <w:sz w:val="20"/>
          <w:szCs w:val="20"/>
        </w:rPr>
        <w:t>（八）分部分项工程项目清单编制要求</w:t>
      </w:r>
    </w:p>
    <w:p>
      <w:pPr>
        <w:spacing w:before="122" w:line="368" w:lineRule="auto"/>
        <w:ind w:left="1" w:firstLine="439"/>
        <w:jc w:val="both"/>
        <w:rPr>
          <w:rFonts w:ascii="宋体" w:hAnsi="宋体" w:eastAsia="宋体" w:cs="宋体"/>
          <w:sz w:val="20"/>
          <w:szCs w:val="20"/>
        </w:rPr>
      </w:pPr>
      <w:r>
        <w:rPr>
          <w:rFonts w:ascii="宋体" w:hAnsi="宋体" w:eastAsia="宋体" w:cs="宋体"/>
          <w:spacing w:val="4"/>
          <w:sz w:val="20"/>
          <w:szCs w:val="20"/>
        </w:rPr>
        <w:t>1. 分部分项工程项目清单的综合单价由人工费、材料费、施工机具使用费、管理费、利润组成，</w:t>
      </w:r>
      <w:r>
        <w:rPr>
          <w:rFonts w:ascii="宋体" w:hAnsi="宋体" w:eastAsia="宋体" w:cs="宋体"/>
          <w:spacing w:val="11"/>
          <w:sz w:val="20"/>
          <w:szCs w:val="20"/>
        </w:rPr>
        <w:t>不包括增值税。各组成因素包含的内容应符合《山东省建设工程费用项目组成</w:t>
      </w:r>
      <w:r>
        <w:rPr>
          <w:rFonts w:ascii="宋体" w:hAnsi="宋体" w:eastAsia="宋体" w:cs="宋体"/>
          <w:spacing w:val="10"/>
          <w:sz w:val="20"/>
          <w:szCs w:val="20"/>
        </w:rPr>
        <w:t>及计算规则》相关规</w:t>
      </w:r>
      <w:r>
        <w:rPr>
          <w:rFonts w:ascii="宋体" w:hAnsi="宋体" w:eastAsia="宋体" w:cs="宋体"/>
          <w:spacing w:val="11"/>
          <w:sz w:val="20"/>
          <w:szCs w:val="20"/>
        </w:rPr>
        <w:t>定，并包括一定范围的风险。风险幅度应根据招标文件中明确的承包人承担风</w:t>
      </w:r>
      <w:r>
        <w:rPr>
          <w:rFonts w:ascii="宋体" w:hAnsi="宋体" w:eastAsia="宋体" w:cs="宋体"/>
          <w:spacing w:val="10"/>
          <w:sz w:val="20"/>
          <w:szCs w:val="20"/>
        </w:rPr>
        <w:t>险内容及范围合理确</w:t>
      </w:r>
    </w:p>
    <w:p>
      <w:pPr>
        <w:spacing w:line="368" w:lineRule="auto"/>
        <w:rPr>
          <w:rFonts w:ascii="宋体" w:hAnsi="宋体" w:eastAsia="宋体" w:cs="宋体"/>
          <w:sz w:val="20"/>
          <w:szCs w:val="20"/>
        </w:rPr>
        <w:sectPr>
          <w:footerReference r:id="rId49" w:type="default"/>
          <w:pgSz w:w="11905" w:h="16840"/>
          <w:pgMar w:top="1431" w:right="1354" w:bottom="1213" w:left="1417" w:header="0" w:footer="898" w:gutter="0"/>
        </w:sectPr>
      </w:pPr>
    </w:p>
    <w:p>
      <w:pPr>
        <w:spacing w:before="130" w:line="219" w:lineRule="auto"/>
        <w:rPr>
          <w:rFonts w:ascii="宋体" w:hAnsi="宋体" w:eastAsia="宋体" w:cs="宋体"/>
          <w:sz w:val="20"/>
          <w:szCs w:val="20"/>
        </w:rPr>
      </w:pPr>
      <w:r>
        <w:rPr>
          <w:rFonts w:ascii="宋体" w:hAnsi="宋体" w:eastAsia="宋体" w:cs="宋体"/>
          <w:spacing w:val="2"/>
          <w:sz w:val="20"/>
          <w:szCs w:val="20"/>
        </w:rPr>
        <w:t>定。</w:t>
      </w:r>
    </w:p>
    <w:p>
      <w:pPr>
        <w:spacing w:before="157" w:line="321" w:lineRule="auto"/>
        <w:ind w:left="1" w:right="23" w:firstLine="421"/>
        <w:rPr>
          <w:rFonts w:ascii="宋体" w:hAnsi="宋体" w:eastAsia="宋体" w:cs="宋体"/>
          <w:sz w:val="20"/>
          <w:szCs w:val="20"/>
        </w:rPr>
      </w:pPr>
      <w:r>
        <w:rPr>
          <w:rFonts w:ascii="宋体" w:hAnsi="宋体" w:eastAsia="宋体" w:cs="宋体"/>
          <w:spacing w:val="8"/>
          <w:sz w:val="20"/>
          <w:szCs w:val="20"/>
        </w:rPr>
        <w:t>2. 分部分项工程项目清单的综合单价应根据工程量清单项目特征、计量单位及工作内容，结合</w:t>
      </w:r>
      <w:r>
        <w:rPr>
          <w:rFonts w:ascii="宋体" w:hAnsi="宋体" w:eastAsia="宋体" w:cs="宋体"/>
          <w:spacing w:val="11"/>
          <w:sz w:val="20"/>
          <w:szCs w:val="20"/>
        </w:rPr>
        <w:t>招标图纸、招标工程自身特点、招标工期、周边自然环境及社会环境、各价格</w:t>
      </w:r>
      <w:r>
        <w:rPr>
          <w:rFonts w:ascii="宋体" w:hAnsi="宋体" w:eastAsia="宋体" w:cs="宋体"/>
          <w:spacing w:val="10"/>
          <w:sz w:val="20"/>
          <w:szCs w:val="20"/>
        </w:rPr>
        <w:t>因素的市场供求情况</w:t>
      </w:r>
      <w:r>
        <w:rPr>
          <w:rFonts w:ascii="宋体" w:hAnsi="宋体" w:eastAsia="宋体" w:cs="宋体"/>
          <w:spacing w:val="8"/>
          <w:sz w:val="20"/>
          <w:szCs w:val="20"/>
        </w:rPr>
        <w:t>等，科学合理编制。</w:t>
      </w:r>
    </w:p>
    <w:p>
      <w:pPr>
        <w:spacing w:before="156" w:line="276" w:lineRule="exact"/>
        <w:ind w:left="426"/>
        <w:rPr>
          <w:rFonts w:ascii="宋体" w:hAnsi="宋体" w:eastAsia="宋体" w:cs="宋体"/>
          <w:sz w:val="20"/>
          <w:szCs w:val="20"/>
        </w:rPr>
      </w:pPr>
      <w:r>
        <w:rPr>
          <w:rFonts w:ascii="宋体" w:hAnsi="宋体" w:eastAsia="宋体" w:cs="宋体"/>
          <w:spacing w:val="7"/>
          <w:position w:val="1"/>
          <w:sz w:val="20"/>
          <w:szCs w:val="20"/>
        </w:rPr>
        <w:t>3. 编制分部分项工程项目清单的综合单价时，可采取下列方式：</w:t>
      </w:r>
    </w:p>
    <w:p>
      <w:pPr>
        <w:spacing w:before="125" w:line="331" w:lineRule="auto"/>
        <w:ind w:left="1" w:firstLine="411"/>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7"/>
          <w:sz w:val="20"/>
          <w:szCs w:val="20"/>
        </w:rPr>
        <w:t xml:space="preserve"> </w:t>
      </w:r>
      <w:r>
        <w:rPr>
          <w:rFonts w:ascii="宋体" w:hAnsi="宋体" w:eastAsia="宋体" w:cs="宋体"/>
          <w:spacing w:val="8"/>
          <w:sz w:val="20"/>
          <w:szCs w:val="20"/>
        </w:rPr>
        <w:t>1）参照类似工程法。参考近期同类工程价格信息和造价资讯中</w:t>
      </w:r>
      <w:r>
        <w:rPr>
          <w:rFonts w:ascii="宋体" w:hAnsi="宋体" w:eastAsia="宋体" w:cs="宋体"/>
          <w:spacing w:val="7"/>
          <w:sz w:val="20"/>
          <w:szCs w:val="20"/>
        </w:rPr>
        <w:t>相同或类似项目的综合单价，</w:t>
      </w:r>
      <w:r>
        <w:rPr>
          <w:rFonts w:ascii="宋体" w:hAnsi="宋体" w:eastAsia="宋体" w:cs="宋体"/>
          <w:spacing w:val="11"/>
          <w:sz w:val="20"/>
          <w:szCs w:val="20"/>
        </w:rPr>
        <w:t>结合招标工程实际，合理调整差异因素后形成综合单价。差异因素主要包括建设时期、建设地点、</w:t>
      </w:r>
      <w:r>
        <w:rPr>
          <w:rFonts w:ascii="宋体" w:hAnsi="宋体" w:eastAsia="宋体" w:cs="宋体"/>
          <w:spacing w:val="10"/>
          <w:sz w:val="20"/>
          <w:szCs w:val="20"/>
        </w:rPr>
        <w:t>建设规模、交付标准、信息或资讯类型、采用计算标</w:t>
      </w:r>
      <w:r>
        <w:rPr>
          <w:rFonts w:ascii="宋体" w:hAnsi="宋体" w:eastAsia="宋体" w:cs="宋体"/>
          <w:spacing w:val="9"/>
          <w:sz w:val="20"/>
          <w:szCs w:val="20"/>
        </w:rPr>
        <w:t>准、项目工作内容、材料供应方式等。</w:t>
      </w:r>
    </w:p>
    <w:p>
      <w:pPr>
        <w:spacing w:before="125" w:line="346" w:lineRule="auto"/>
        <w:ind w:right="23" w:firstLine="412"/>
        <w:rPr>
          <w:rFonts w:ascii="宋体" w:hAnsi="宋体" w:eastAsia="宋体" w:cs="宋体"/>
          <w:sz w:val="20"/>
          <w:szCs w:val="20"/>
        </w:rPr>
      </w:pPr>
      <w:r>
        <w:rPr>
          <w:rFonts w:ascii="宋体" w:hAnsi="宋体" w:eastAsia="宋体" w:cs="宋体"/>
          <w:spacing w:val="8"/>
          <w:sz w:val="20"/>
          <w:szCs w:val="20"/>
        </w:rPr>
        <w:t>（2）工料分析法。根据各清单项目的项目特征、工作内容及必要的辅助工作，分析人工、主要</w:t>
      </w:r>
      <w:r>
        <w:rPr>
          <w:rFonts w:ascii="宋体" w:hAnsi="宋体" w:eastAsia="宋体" w:cs="宋体"/>
          <w:spacing w:val="11"/>
          <w:sz w:val="20"/>
          <w:szCs w:val="20"/>
        </w:rPr>
        <w:t>材料、主要施工机具的用量；根据编制期市场价格，结合招标清单中的材料暂</w:t>
      </w:r>
      <w:r>
        <w:rPr>
          <w:rFonts w:ascii="宋体" w:hAnsi="宋体" w:eastAsia="宋体" w:cs="宋体"/>
          <w:spacing w:val="10"/>
          <w:sz w:val="20"/>
          <w:szCs w:val="20"/>
        </w:rPr>
        <w:t>估价、招标文件中的</w:t>
      </w:r>
      <w:r>
        <w:rPr>
          <w:rFonts w:ascii="宋体" w:hAnsi="宋体" w:eastAsia="宋体" w:cs="宋体"/>
          <w:spacing w:val="11"/>
          <w:sz w:val="20"/>
          <w:szCs w:val="20"/>
        </w:rPr>
        <w:t>基准价等规定，确定人工费、材料费、施工机具使用费；根据当地建筑企业平</w:t>
      </w:r>
      <w:r>
        <w:rPr>
          <w:rFonts w:ascii="宋体" w:hAnsi="宋体" w:eastAsia="宋体" w:cs="宋体"/>
          <w:spacing w:val="10"/>
          <w:sz w:val="20"/>
          <w:szCs w:val="20"/>
        </w:rPr>
        <w:t>均水平确定管理费及</w:t>
      </w:r>
      <w:r>
        <w:rPr>
          <w:rFonts w:ascii="宋体" w:hAnsi="宋体" w:eastAsia="宋体" w:cs="宋体"/>
          <w:spacing w:val="11"/>
          <w:sz w:val="20"/>
          <w:szCs w:val="20"/>
        </w:rPr>
        <w:t>利润；根据招标文件中明确的承包人承担风险内容及范围，结合市场价格走势</w:t>
      </w:r>
      <w:r>
        <w:rPr>
          <w:rFonts w:ascii="宋体" w:hAnsi="宋体" w:eastAsia="宋体" w:cs="宋体"/>
          <w:spacing w:val="10"/>
          <w:sz w:val="20"/>
          <w:szCs w:val="20"/>
        </w:rPr>
        <w:t>及其他风险发生概率</w:t>
      </w:r>
      <w:r>
        <w:rPr>
          <w:rFonts w:ascii="宋体" w:hAnsi="宋体" w:eastAsia="宋体" w:cs="宋体"/>
          <w:spacing w:val="7"/>
          <w:sz w:val="20"/>
          <w:szCs w:val="20"/>
        </w:rPr>
        <w:t>考虑一定风险。</w:t>
      </w:r>
    </w:p>
    <w:p>
      <w:pPr>
        <w:spacing w:before="124" w:line="312" w:lineRule="auto"/>
        <w:ind w:left="18" w:right="23" w:firstLine="401"/>
        <w:rPr>
          <w:rFonts w:ascii="宋体" w:hAnsi="宋体" w:eastAsia="宋体" w:cs="宋体"/>
          <w:sz w:val="20"/>
          <w:szCs w:val="20"/>
        </w:rPr>
      </w:pPr>
      <w:r>
        <w:rPr>
          <w:rFonts w:ascii="宋体" w:hAnsi="宋体" w:eastAsia="宋体" w:cs="宋体"/>
          <w:spacing w:val="9"/>
          <w:sz w:val="20"/>
          <w:szCs w:val="20"/>
        </w:rPr>
        <w:t>4. 分部分项工程项目清单使用暂估价材料的</w:t>
      </w:r>
      <w:r>
        <w:rPr>
          <w:rFonts w:ascii="宋体" w:hAnsi="宋体" w:eastAsia="宋体" w:cs="宋体"/>
          <w:spacing w:val="-41"/>
          <w:sz w:val="20"/>
          <w:szCs w:val="20"/>
        </w:rPr>
        <w:t xml:space="preserve"> </w:t>
      </w:r>
      <w:r>
        <w:rPr>
          <w:rFonts w:ascii="宋体" w:hAnsi="宋体" w:eastAsia="宋体" w:cs="宋体"/>
          <w:spacing w:val="9"/>
          <w:sz w:val="20"/>
          <w:szCs w:val="20"/>
        </w:rPr>
        <w:t>，按招标工程量清单“材料暂估单价明细表 ”中</w:t>
      </w:r>
      <w:r>
        <w:rPr>
          <w:rFonts w:ascii="宋体" w:hAnsi="宋体" w:eastAsia="宋体" w:cs="宋体"/>
          <w:spacing w:val="5"/>
          <w:sz w:val="20"/>
          <w:szCs w:val="20"/>
        </w:rPr>
        <w:t>的材料价格计入。</w:t>
      </w:r>
    </w:p>
    <w:p>
      <w:pPr>
        <w:spacing w:before="123" w:line="276" w:lineRule="exact"/>
        <w:ind w:left="423"/>
        <w:rPr>
          <w:rFonts w:ascii="宋体" w:hAnsi="宋体" w:eastAsia="宋体" w:cs="宋体"/>
          <w:sz w:val="20"/>
          <w:szCs w:val="20"/>
        </w:rPr>
      </w:pPr>
      <w:r>
        <w:rPr>
          <w:rFonts w:ascii="宋体" w:hAnsi="宋体" w:eastAsia="宋体" w:cs="宋体"/>
          <w:spacing w:val="7"/>
          <w:position w:val="1"/>
          <w:sz w:val="20"/>
          <w:szCs w:val="20"/>
        </w:rPr>
        <w:t>5. 发包人提供的材料不计入分部分项工程项目清单的综合单价。</w:t>
      </w:r>
    </w:p>
    <w:p>
      <w:pPr>
        <w:spacing w:before="124" w:line="278" w:lineRule="exact"/>
        <w:ind w:left="413"/>
        <w:rPr>
          <w:rFonts w:ascii="宋体" w:hAnsi="宋体" w:eastAsia="宋体" w:cs="宋体"/>
          <w:sz w:val="20"/>
          <w:szCs w:val="20"/>
        </w:rPr>
      </w:pPr>
      <w:r>
        <w:rPr>
          <w:rFonts w:ascii="宋体" w:hAnsi="宋体" w:eastAsia="宋体" w:cs="宋体"/>
          <w:spacing w:val="10"/>
          <w:position w:val="1"/>
          <w:sz w:val="20"/>
          <w:szCs w:val="20"/>
        </w:rPr>
        <w:t>（九）措施项目清单编制要求</w:t>
      </w:r>
    </w:p>
    <w:p>
      <w:pPr>
        <w:spacing w:before="123" w:line="276" w:lineRule="exact"/>
        <w:ind w:left="440"/>
        <w:rPr>
          <w:rFonts w:ascii="宋体" w:hAnsi="宋体" w:eastAsia="宋体" w:cs="宋体"/>
          <w:sz w:val="20"/>
          <w:szCs w:val="20"/>
        </w:rPr>
      </w:pPr>
      <w:r>
        <w:rPr>
          <w:rFonts w:ascii="宋体" w:hAnsi="宋体" w:eastAsia="宋体" w:cs="宋体"/>
          <w:spacing w:val="8"/>
          <w:position w:val="1"/>
          <w:sz w:val="20"/>
          <w:szCs w:val="20"/>
        </w:rPr>
        <w:t>1. 措施项目清单价格应根据各措施项目</w:t>
      </w:r>
      <w:r>
        <w:rPr>
          <w:rFonts w:ascii="宋体" w:hAnsi="宋体" w:eastAsia="宋体" w:cs="宋体"/>
          <w:spacing w:val="7"/>
          <w:position w:val="1"/>
          <w:sz w:val="20"/>
          <w:szCs w:val="20"/>
        </w:rPr>
        <w:t>工作内容，区分措施项目的性质及特点分别编制。</w:t>
      </w:r>
    </w:p>
    <w:p>
      <w:pPr>
        <w:spacing w:before="124" w:line="312" w:lineRule="auto"/>
        <w:ind w:left="2" w:right="23" w:firstLine="420"/>
        <w:rPr>
          <w:rFonts w:ascii="宋体" w:hAnsi="宋体" w:eastAsia="宋体" w:cs="宋体"/>
          <w:sz w:val="20"/>
          <w:szCs w:val="20"/>
        </w:rPr>
      </w:pPr>
      <w:r>
        <w:rPr>
          <w:rFonts w:ascii="宋体" w:hAnsi="宋体" w:eastAsia="宋体" w:cs="宋体"/>
          <w:spacing w:val="8"/>
          <w:sz w:val="20"/>
          <w:szCs w:val="20"/>
        </w:rPr>
        <w:t>2. 措施项目清单价格可参照类似工程，根据招标工程特点进行合理化修正后确定；也可根据常</w:t>
      </w:r>
      <w:r>
        <w:rPr>
          <w:rFonts w:ascii="宋体" w:hAnsi="宋体" w:eastAsia="宋体" w:cs="宋体"/>
          <w:spacing w:val="9"/>
          <w:sz w:val="20"/>
          <w:szCs w:val="20"/>
        </w:rPr>
        <w:t>规施工工艺措施及（或）类似工程措施方案，按措施项目价格组成进行测算。</w:t>
      </w:r>
    </w:p>
    <w:p>
      <w:pPr>
        <w:spacing w:before="123" w:line="341" w:lineRule="auto"/>
        <w:ind w:left="1" w:right="23" w:firstLine="424"/>
        <w:rPr>
          <w:rFonts w:ascii="宋体" w:hAnsi="宋体" w:eastAsia="宋体" w:cs="宋体"/>
          <w:sz w:val="20"/>
          <w:szCs w:val="20"/>
        </w:rPr>
      </w:pPr>
      <w:r>
        <w:rPr>
          <w:rFonts w:ascii="宋体" w:hAnsi="宋体" w:eastAsia="宋体" w:cs="宋体"/>
          <w:spacing w:val="3"/>
          <w:sz w:val="20"/>
          <w:szCs w:val="20"/>
        </w:rPr>
        <w:t>3.</w:t>
      </w:r>
      <w:r>
        <w:rPr>
          <w:rFonts w:ascii="宋体" w:hAnsi="宋体" w:eastAsia="宋体" w:cs="宋体"/>
          <w:spacing w:val="28"/>
          <w:sz w:val="20"/>
          <w:szCs w:val="20"/>
        </w:rPr>
        <w:t xml:space="preserve"> </w:t>
      </w:r>
      <w:r>
        <w:rPr>
          <w:rFonts w:ascii="宋体" w:hAnsi="宋体" w:eastAsia="宋体" w:cs="宋体"/>
          <w:spacing w:val="3"/>
          <w:sz w:val="20"/>
          <w:szCs w:val="20"/>
        </w:rPr>
        <w:t>以整体工程为对象的措施项目，应充分考虑工程总规</w:t>
      </w:r>
      <w:r>
        <w:rPr>
          <w:rFonts w:ascii="宋体" w:hAnsi="宋体" w:eastAsia="宋体" w:cs="宋体"/>
          <w:spacing w:val="2"/>
          <w:sz w:val="20"/>
          <w:szCs w:val="20"/>
        </w:rPr>
        <w:t>模、总工期等整体建设要求确定价格（如</w:t>
      </w:r>
      <w:r>
        <w:rPr>
          <w:rFonts w:ascii="宋体" w:hAnsi="宋体" w:eastAsia="宋体" w:cs="宋体"/>
          <w:spacing w:val="10"/>
          <w:sz w:val="20"/>
          <w:szCs w:val="20"/>
        </w:rPr>
        <w:t>临时设施</w:t>
      </w:r>
      <w:r>
        <w:rPr>
          <w:rFonts w:ascii="宋体" w:hAnsi="宋体" w:eastAsia="宋体" w:cs="宋体"/>
          <w:spacing w:val="2"/>
          <w:sz w:val="20"/>
          <w:szCs w:val="20"/>
        </w:rPr>
        <w:t>）</w:t>
      </w:r>
      <w:r>
        <w:rPr>
          <w:rFonts w:ascii="宋体" w:hAnsi="宋体" w:eastAsia="宋体" w:cs="宋体"/>
          <w:spacing w:val="-50"/>
          <w:sz w:val="20"/>
          <w:szCs w:val="20"/>
        </w:rPr>
        <w:t xml:space="preserve"> </w:t>
      </w:r>
      <w:r>
        <w:rPr>
          <w:rFonts w:ascii="宋体" w:hAnsi="宋体" w:eastAsia="宋体" w:cs="宋体"/>
          <w:spacing w:val="2"/>
          <w:sz w:val="20"/>
          <w:szCs w:val="20"/>
        </w:rPr>
        <w:t>；</w:t>
      </w:r>
      <w:r>
        <w:rPr>
          <w:rFonts w:ascii="宋体" w:hAnsi="宋体" w:eastAsia="宋体" w:cs="宋体"/>
          <w:spacing w:val="10"/>
          <w:sz w:val="20"/>
          <w:szCs w:val="20"/>
        </w:rPr>
        <w:t>以单位工程为对象的措施项目，应结合单位工程规模及特点，合理划分工程工期，按</w:t>
      </w:r>
      <w:r>
        <w:rPr>
          <w:rFonts w:ascii="宋体" w:hAnsi="宋体" w:eastAsia="宋体" w:cs="宋体"/>
          <w:spacing w:val="11"/>
          <w:sz w:val="20"/>
          <w:szCs w:val="20"/>
        </w:rPr>
        <w:t>照常规措施工艺确定价格（如脚手架）。特定专业工程的措施项目，应根据专</w:t>
      </w:r>
      <w:r>
        <w:rPr>
          <w:rFonts w:ascii="宋体" w:hAnsi="宋体" w:eastAsia="宋体" w:cs="宋体"/>
          <w:spacing w:val="10"/>
          <w:sz w:val="20"/>
          <w:szCs w:val="20"/>
        </w:rPr>
        <w:t>业工程特点及工程专</w:t>
      </w:r>
      <w:r>
        <w:rPr>
          <w:rFonts w:ascii="宋体" w:hAnsi="宋体" w:eastAsia="宋体" w:cs="宋体"/>
          <w:spacing w:val="9"/>
          <w:sz w:val="20"/>
          <w:szCs w:val="20"/>
        </w:rPr>
        <w:t>项设计，合理划分分部工期，可参考类似专业工程施工方案确定价格（如施工降水）。</w:t>
      </w:r>
    </w:p>
    <w:p>
      <w:pPr>
        <w:spacing w:before="122" w:line="297" w:lineRule="auto"/>
        <w:ind w:left="21" w:right="23" w:firstLine="398"/>
        <w:rPr>
          <w:rFonts w:ascii="宋体" w:hAnsi="宋体" w:eastAsia="宋体" w:cs="宋体"/>
          <w:sz w:val="20"/>
          <w:szCs w:val="20"/>
        </w:rPr>
      </w:pPr>
      <w:r>
        <w:rPr>
          <w:rFonts w:ascii="宋体" w:hAnsi="宋体" w:eastAsia="宋体" w:cs="宋体"/>
          <w:spacing w:val="8"/>
          <w:sz w:val="20"/>
          <w:szCs w:val="20"/>
        </w:rPr>
        <w:t>4. 安全生产、环境保护、文明施工、临时设施措施费的计算方式及价格应满足国家及省相关部</w:t>
      </w:r>
      <w:r>
        <w:rPr>
          <w:rFonts w:ascii="宋体" w:hAnsi="宋体" w:eastAsia="宋体" w:cs="宋体"/>
          <w:spacing w:val="2"/>
          <w:sz w:val="20"/>
          <w:szCs w:val="20"/>
        </w:rPr>
        <w:t>门的规定。</w:t>
      </w:r>
    </w:p>
    <w:p>
      <w:pPr>
        <w:spacing w:before="158" w:line="278" w:lineRule="exact"/>
        <w:ind w:left="423"/>
        <w:rPr>
          <w:rFonts w:ascii="宋体" w:hAnsi="宋体" w:eastAsia="宋体" w:cs="宋体"/>
          <w:sz w:val="20"/>
          <w:szCs w:val="20"/>
        </w:rPr>
      </w:pPr>
      <w:r>
        <w:rPr>
          <w:rFonts w:ascii="宋体" w:hAnsi="宋体" w:eastAsia="宋体" w:cs="宋体"/>
          <w:spacing w:val="4"/>
          <w:position w:val="1"/>
          <w:sz w:val="20"/>
          <w:szCs w:val="20"/>
        </w:rPr>
        <w:t>5. 措施项目清单均按“项 ”计量。</w:t>
      </w:r>
    </w:p>
    <w:p>
      <w:pPr>
        <w:spacing w:before="120" w:line="277" w:lineRule="exact"/>
        <w:ind w:left="423"/>
        <w:rPr>
          <w:rFonts w:ascii="宋体" w:hAnsi="宋体" w:eastAsia="宋体" w:cs="宋体"/>
          <w:sz w:val="20"/>
          <w:szCs w:val="20"/>
        </w:rPr>
      </w:pPr>
      <w:r>
        <w:rPr>
          <w:rFonts w:ascii="宋体" w:hAnsi="宋体" w:eastAsia="宋体" w:cs="宋体"/>
          <w:spacing w:val="7"/>
          <w:position w:val="1"/>
          <w:sz w:val="20"/>
          <w:szCs w:val="20"/>
        </w:rPr>
        <w:t>6. 措施项目清单价格不涉及材料暂估价及发包人</w:t>
      </w:r>
      <w:r>
        <w:rPr>
          <w:rFonts w:ascii="宋体" w:hAnsi="宋体" w:eastAsia="宋体" w:cs="宋体"/>
          <w:spacing w:val="6"/>
          <w:position w:val="1"/>
          <w:sz w:val="20"/>
          <w:szCs w:val="20"/>
        </w:rPr>
        <w:t>提供材料。</w:t>
      </w:r>
    </w:p>
    <w:p>
      <w:pPr>
        <w:spacing w:before="124" w:line="278" w:lineRule="exact"/>
        <w:ind w:left="413"/>
        <w:rPr>
          <w:rFonts w:ascii="宋体" w:hAnsi="宋体" w:eastAsia="宋体" w:cs="宋体"/>
          <w:sz w:val="20"/>
          <w:szCs w:val="20"/>
        </w:rPr>
      </w:pPr>
      <w:r>
        <w:rPr>
          <w:rFonts w:ascii="宋体" w:hAnsi="宋体" w:eastAsia="宋体" w:cs="宋体"/>
          <w:spacing w:val="10"/>
          <w:position w:val="1"/>
          <w:sz w:val="20"/>
          <w:szCs w:val="20"/>
        </w:rPr>
        <w:t>（十）其他项目清单编制要求</w:t>
      </w:r>
    </w:p>
    <w:p>
      <w:pPr>
        <w:spacing w:before="123" w:line="276" w:lineRule="exact"/>
        <w:ind w:left="440"/>
        <w:rPr>
          <w:rFonts w:ascii="宋体" w:hAnsi="宋体" w:eastAsia="宋体" w:cs="宋体"/>
          <w:sz w:val="20"/>
          <w:szCs w:val="20"/>
        </w:rPr>
      </w:pPr>
      <w:r>
        <w:rPr>
          <w:rFonts w:ascii="宋体" w:hAnsi="宋体" w:eastAsia="宋体" w:cs="宋体"/>
          <w:spacing w:val="6"/>
          <w:position w:val="1"/>
          <w:sz w:val="20"/>
          <w:szCs w:val="20"/>
        </w:rPr>
        <w:t>1. 其他项目清单价格应根据各组成项目特性分别编制。</w:t>
      </w:r>
    </w:p>
    <w:p>
      <w:pPr>
        <w:spacing w:before="123" w:line="312" w:lineRule="auto"/>
        <w:ind w:left="41" w:right="23" w:firstLine="381"/>
        <w:rPr>
          <w:rFonts w:ascii="宋体" w:hAnsi="宋体" w:eastAsia="宋体" w:cs="宋体"/>
          <w:sz w:val="20"/>
          <w:szCs w:val="20"/>
        </w:rPr>
      </w:pPr>
      <w:r>
        <w:rPr>
          <w:rFonts w:ascii="宋体" w:hAnsi="宋体" w:eastAsia="宋体" w:cs="宋体"/>
          <w:spacing w:val="8"/>
          <w:sz w:val="20"/>
          <w:szCs w:val="20"/>
        </w:rPr>
        <w:t>2. 用于合同价款调整的暂列金额，可采用比例法进行估价，以分部分项工程项目清单及措施项</w:t>
      </w:r>
      <w:r>
        <w:rPr>
          <w:rFonts w:ascii="宋体" w:hAnsi="宋体" w:eastAsia="宋体" w:cs="宋体"/>
          <w:spacing w:val="9"/>
          <w:sz w:val="20"/>
          <w:szCs w:val="20"/>
        </w:rPr>
        <w:t>目清单的合计为计算基础，一般宜控制在总造价的</w:t>
      </w:r>
      <w:r>
        <w:rPr>
          <w:rFonts w:ascii="宋体" w:hAnsi="宋体" w:eastAsia="宋体" w:cs="宋体"/>
          <w:spacing w:val="-23"/>
          <w:sz w:val="20"/>
          <w:szCs w:val="20"/>
        </w:rPr>
        <w:t xml:space="preserve"> </w:t>
      </w:r>
      <w:r>
        <w:rPr>
          <w:rFonts w:ascii="宋体" w:hAnsi="宋体" w:eastAsia="宋体" w:cs="宋体"/>
          <w:spacing w:val="9"/>
          <w:sz w:val="20"/>
          <w:szCs w:val="20"/>
        </w:rPr>
        <w:t>10%以内。</w:t>
      </w:r>
    </w:p>
    <w:p>
      <w:pPr>
        <w:spacing w:before="125" w:line="296" w:lineRule="auto"/>
        <w:ind w:right="23" w:firstLine="426"/>
        <w:rPr>
          <w:rFonts w:ascii="宋体" w:hAnsi="宋体" w:eastAsia="宋体" w:cs="宋体"/>
          <w:sz w:val="20"/>
          <w:szCs w:val="20"/>
        </w:rPr>
      </w:pPr>
      <w:r>
        <w:rPr>
          <w:rFonts w:ascii="宋体" w:hAnsi="宋体" w:eastAsia="宋体" w:cs="宋体"/>
          <w:spacing w:val="8"/>
          <w:sz w:val="20"/>
          <w:szCs w:val="20"/>
        </w:rPr>
        <w:t>3. 用于暂未确定工程和服务的暂列金额，应根据暂未明确或不能详细说明的工程、</w:t>
      </w:r>
      <w:r>
        <w:rPr>
          <w:rFonts w:ascii="宋体" w:hAnsi="宋体" w:eastAsia="宋体" w:cs="宋体"/>
          <w:spacing w:val="7"/>
          <w:sz w:val="20"/>
          <w:szCs w:val="20"/>
        </w:rPr>
        <w:t>服务的内容</w:t>
      </w:r>
      <w:r>
        <w:rPr>
          <w:rFonts w:ascii="宋体" w:hAnsi="宋体" w:eastAsia="宋体" w:cs="宋体"/>
          <w:spacing w:val="9"/>
          <w:sz w:val="20"/>
          <w:szCs w:val="20"/>
        </w:rPr>
        <w:t>及范围，参考类似工程、服务的造价指标进行估价。</w:t>
      </w:r>
    </w:p>
    <w:p>
      <w:pPr>
        <w:spacing w:before="158" w:line="276" w:lineRule="exact"/>
        <w:ind w:right="23"/>
        <w:jc w:val="right"/>
        <w:rPr>
          <w:rFonts w:ascii="宋体" w:hAnsi="宋体" w:eastAsia="宋体" w:cs="宋体"/>
          <w:sz w:val="20"/>
          <w:szCs w:val="20"/>
        </w:rPr>
      </w:pPr>
      <w:r>
        <w:rPr>
          <w:rFonts w:ascii="宋体" w:hAnsi="宋体" w:eastAsia="宋体" w:cs="宋体"/>
          <w:spacing w:val="8"/>
          <w:position w:val="1"/>
          <w:sz w:val="20"/>
          <w:szCs w:val="20"/>
        </w:rPr>
        <w:t>4. 专业工程暂估价应结合同类专业分包工程的合理价格及工程概算中专业工程金额进行估价。</w:t>
      </w:r>
    </w:p>
    <w:p>
      <w:pPr>
        <w:spacing w:line="276" w:lineRule="exact"/>
        <w:rPr>
          <w:rFonts w:ascii="宋体" w:hAnsi="宋体" w:eastAsia="宋体" w:cs="宋体"/>
          <w:sz w:val="20"/>
          <w:szCs w:val="20"/>
        </w:rPr>
        <w:sectPr>
          <w:footerReference r:id="rId50" w:type="default"/>
          <w:pgSz w:w="11905" w:h="16840"/>
          <w:pgMar w:top="1431" w:right="1395" w:bottom="1213" w:left="1418" w:header="0" w:footer="898" w:gutter="0"/>
        </w:sectPr>
      </w:pPr>
    </w:p>
    <w:p>
      <w:pPr>
        <w:spacing w:before="128" w:line="221" w:lineRule="auto"/>
        <w:rPr>
          <w:rFonts w:ascii="宋体" w:hAnsi="宋体" w:eastAsia="宋体" w:cs="宋体"/>
          <w:sz w:val="20"/>
          <w:szCs w:val="20"/>
        </w:rPr>
      </w:pPr>
      <w:r>
        <w:rPr>
          <w:rFonts w:ascii="宋体" w:hAnsi="宋体" w:eastAsia="宋体" w:cs="宋体"/>
          <w:spacing w:val="9"/>
          <w:sz w:val="20"/>
          <w:szCs w:val="20"/>
        </w:rPr>
        <w:t>专业工程暂估价为包含增值税的价格。</w:t>
      </w:r>
    </w:p>
    <w:p>
      <w:pPr>
        <w:spacing w:before="158" w:line="351" w:lineRule="auto"/>
        <w:ind w:right="62" w:firstLine="421"/>
        <w:rPr>
          <w:rFonts w:ascii="宋体" w:hAnsi="宋体" w:eastAsia="宋体" w:cs="宋体"/>
          <w:sz w:val="20"/>
          <w:szCs w:val="20"/>
        </w:rPr>
      </w:pPr>
      <w:r>
        <w:rPr>
          <w:rFonts w:ascii="宋体" w:hAnsi="宋体" w:eastAsia="宋体" w:cs="宋体"/>
          <w:spacing w:val="8"/>
          <w:sz w:val="20"/>
          <w:szCs w:val="20"/>
        </w:rPr>
        <w:t>5. 总承包服务费应区分服务对象及总承包服务内容，参考类似工程同类总承包服务费的费率或</w:t>
      </w:r>
      <w:r>
        <w:rPr>
          <w:rFonts w:ascii="宋体" w:hAnsi="宋体" w:eastAsia="宋体" w:cs="宋体"/>
          <w:spacing w:val="9"/>
          <w:sz w:val="20"/>
          <w:szCs w:val="20"/>
        </w:rPr>
        <w:t>折算比例，采用费率计价方式分别进行计算。</w:t>
      </w:r>
    </w:p>
    <w:p>
      <w:pPr>
        <w:spacing w:before="36" w:line="332" w:lineRule="auto"/>
        <w:ind w:right="62"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1）发包人提供材料的总承包服务费，以发包人提供材料合价为计费基础，结合发包人供应材</w:t>
      </w:r>
      <w:r>
        <w:rPr>
          <w:rFonts w:ascii="宋体" w:hAnsi="宋体" w:eastAsia="宋体" w:cs="宋体"/>
          <w:spacing w:val="11"/>
          <w:sz w:val="20"/>
          <w:szCs w:val="20"/>
        </w:rPr>
        <w:t>料种类确定费率，进行合理估价。发包人提供材料的数量应按分部分项工程项</w:t>
      </w:r>
      <w:r>
        <w:rPr>
          <w:rFonts w:ascii="宋体" w:hAnsi="宋体" w:eastAsia="宋体" w:cs="宋体"/>
          <w:spacing w:val="10"/>
          <w:sz w:val="20"/>
          <w:szCs w:val="20"/>
        </w:rPr>
        <w:t>目清单进行分析，结</w:t>
      </w:r>
      <w:r>
        <w:rPr>
          <w:rFonts w:ascii="宋体" w:hAnsi="宋体" w:eastAsia="宋体" w:cs="宋体"/>
          <w:spacing w:val="9"/>
          <w:sz w:val="20"/>
          <w:szCs w:val="20"/>
        </w:rPr>
        <w:t>合“发包人提供材料一览表 ”中的单价计算并汇总合价。</w:t>
      </w:r>
    </w:p>
    <w:p>
      <w:pPr>
        <w:spacing w:before="122" w:line="297" w:lineRule="auto"/>
        <w:ind w:left="7" w:right="62" w:firstLine="404"/>
        <w:rPr>
          <w:rFonts w:ascii="宋体" w:hAnsi="宋体" w:eastAsia="宋体" w:cs="宋体"/>
          <w:sz w:val="20"/>
          <w:szCs w:val="20"/>
        </w:rPr>
      </w:pPr>
      <w:r>
        <w:rPr>
          <w:rFonts w:ascii="宋体" w:hAnsi="宋体" w:eastAsia="宋体" w:cs="宋体"/>
          <w:spacing w:val="8"/>
          <w:sz w:val="20"/>
          <w:szCs w:val="20"/>
        </w:rPr>
        <w:t>（2）专业分包工程的总承包服务费，以各专业工程暂估价为计费基础，结合专业工程特性确定</w:t>
      </w:r>
      <w:r>
        <w:rPr>
          <w:rFonts w:ascii="宋体" w:hAnsi="宋体" w:eastAsia="宋体" w:cs="宋体"/>
          <w:spacing w:val="7"/>
          <w:sz w:val="20"/>
          <w:szCs w:val="20"/>
        </w:rPr>
        <w:t>费率，进行合理估价。</w:t>
      </w:r>
    </w:p>
    <w:p>
      <w:pPr>
        <w:spacing w:before="157" w:line="321" w:lineRule="auto"/>
        <w:ind w:left="7" w:firstLine="404"/>
        <w:rPr>
          <w:rFonts w:ascii="宋体" w:hAnsi="宋体" w:eastAsia="宋体" w:cs="宋体"/>
          <w:sz w:val="20"/>
          <w:szCs w:val="20"/>
        </w:rPr>
      </w:pPr>
      <w:r>
        <w:rPr>
          <w:rFonts w:ascii="宋体" w:hAnsi="宋体" w:eastAsia="宋体" w:cs="宋体"/>
          <w:spacing w:val="7"/>
          <w:sz w:val="20"/>
          <w:szCs w:val="20"/>
        </w:rPr>
        <w:t>（3）发包人直接发包专业工程的总承包服务费，应按“项 ”计算。可参考如下方法估算价格：</w:t>
      </w:r>
      <w:r>
        <w:rPr>
          <w:rFonts w:ascii="宋体" w:hAnsi="宋体" w:eastAsia="宋体" w:cs="宋体"/>
          <w:spacing w:val="11"/>
          <w:sz w:val="20"/>
          <w:szCs w:val="20"/>
        </w:rPr>
        <w:t>以该专业工程的概算价格或参照类似专业工程估算的价格为计</w:t>
      </w:r>
      <w:r>
        <w:rPr>
          <w:rFonts w:ascii="宋体" w:hAnsi="宋体" w:eastAsia="宋体" w:cs="宋体"/>
          <w:spacing w:val="10"/>
          <w:sz w:val="20"/>
          <w:szCs w:val="20"/>
        </w:rPr>
        <w:t>费基础，在专业分包工程总承包服务</w:t>
      </w:r>
      <w:r>
        <w:rPr>
          <w:rFonts w:ascii="宋体" w:hAnsi="宋体" w:eastAsia="宋体" w:cs="宋体"/>
          <w:spacing w:val="9"/>
          <w:sz w:val="20"/>
          <w:szCs w:val="20"/>
        </w:rPr>
        <w:t>费费率基础上，根据两者服务内容差异适当调整费率，进行合理估价。</w:t>
      </w:r>
    </w:p>
    <w:p>
      <w:pPr>
        <w:spacing w:before="156" w:line="354" w:lineRule="auto"/>
        <w:ind w:left="1" w:right="63" w:firstLine="421"/>
        <w:jc w:val="both"/>
        <w:rPr>
          <w:rFonts w:ascii="宋体" w:hAnsi="宋体" w:eastAsia="宋体" w:cs="宋体"/>
          <w:sz w:val="20"/>
          <w:szCs w:val="20"/>
        </w:rPr>
      </w:pPr>
      <w:r>
        <w:rPr>
          <w:rFonts w:ascii="宋体" w:hAnsi="宋体" w:eastAsia="宋体" w:cs="宋体"/>
          <w:spacing w:val="8"/>
          <w:sz w:val="20"/>
          <w:szCs w:val="20"/>
        </w:rPr>
        <w:t>6. 计日工单价为不含税价格，可参考分部分项工程项目清单中人工、材料、施工机具的</w:t>
      </w:r>
      <w:r>
        <w:rPr>
          <w:rFonts w:ascii="宋体" w:hAnsi="宋体" w:eastAsia="宋体" w:cs="宋体"/>
          <w:spacing w:val="7"/>
          <w:sz w:val="20"/>
          <w:szCs w:val="20"/>
        </w:rPr>
        <w:t>价格，</w:t>
      </w:r>
      <w:r>
        <w:rPr>
          <w:rFonts w:ascii="宋体" w:hAnsi="宋体" w:eastAsia="宋体" w:cs="宋体"/>
          <w:spacing w:val="11"/>
          <w:sz w:val="20"/>
          <w:szCs w:val="20"/>
        </w:rPr>
        <w:t>考虑计日工随时、少量、间断发生等特点，以及可能伴随发生的措施项目等</w:t>
      </w:r>
      <w:r>
        <w:rPr>
          <w:rFonts w:ascii="宋体" w:hAnsi="宋体" w:eastAsia="宋体" w:cs="宋体"/>
          <w:spacing w:val="10"/>
          <w:sz w:val="20"/>
          <w:szCs w:val="20"/>
        </w:rPr>
        <w:t>因素，适当增加后确定</w:t>
      </w:r>
      <w:r>
        <w:rPr>
          <w:rFonts w:ascii="宋体" w:hAnsi="宋体" w:eastAsia="宋体" w:cs="宋体"/>
          <w:spacing w:val="4"/>
          <w:sz w:val="20"/>
          <w:szCs w:val="20"/>
        </w:rPr>
        <w:t>价格。</w:t>
      </w:r>
    </w:p>
    <w:p>
      <w:pPr>
        <w:spacing w:before="50" w:line="278" w:lineRule="exact"/>
        <w:ind w:left="412"/>
        <w:rPr>
          <w:rFonts w:ascii="宋体" w:hAnsi="宋体" w:eastAsia="宋体" w:cs="宋体"/>
          <w:sz w:val="20"/>
          <w:szCs w:val="20"/>
        </w:rPr>
      </w:pPr>
      <w:r>
        <w:rPr>
          <w:rFonts w:ascii="宋体" w:hAnsi="宋体" w:eastAsia="宋体" w:cs="宋体"/>
          <w:spacing w:val="10"/>
          <w:position w:val="1"/>
          <w:sz w:val="20"/>
          <w:szCs w:val="20"/>
        </w:rPr>
        <w:t>（十一）增值税</w:t>
      </w:r>
    </w:p>
    <w:p>
      <w:pPr>
        <w:spacing w:before="121" w:line="368" w:lineRule="auto"/>
        <w:ind w:right="62" w:firstLine="420"/>
        <w:rPr>
          <w:rFonts w:ascii="宋体" w:hAnsi="宋体" w:eastAsia="宋体" w:cs="宋体"/>
          <w:sz w:val="20"/>
          <w:szCs w:val="20"/>
        </w:rPr>
      </w:pPr>
      <w:r>
        <w:rPr>
          <w:rFonts w:ascii="宋体" w:hAnsi="宋体" w:eastAsia="宋体" w:cs="宋体"/>
          <w:spacing w:val="6"/>
          <w:sz w:val="20"/>
          <w:szCs w:val="20"/>
        </w:rPr>
        <w:t>最高投标限价的增值税应按编制完成的分部分项工程项目费用、措施项目费</w:t>
      </w:r>
      <w:r>
        <w:rPr>
          <w:rFonts w:ascii="宋体" w:hAnsi="宋体" w:eastAsia="宋体" w:cs="宋体"/>
          <w:spacing w:val="5"/>
          <w:sz w:val="20"/>
          <w:szCs w:val="20"/>
        </w:rPr>
        <w:t>用、其他项目费（不</w:t>
      </w:r>
      <w:r>
        <w:rPr>
          <w:rFonts w:ascii="宋体" w:hAnsi="宋体" w:eastAsia="宋体" w:cs="宋体"/>
          <w:spacing w:val="9"/>
          <w:sz w:val="20"/>
          <w:szCs w:val="20"/>
        </w:rPr>
        <w:t>含专业工程暂估价）的费用合计乘以增值税税率计算。</w:t>
      </w:r>
    </w:p>
    <w:p>
      <w:pPr>
        <w:spacing w:before="5" w:line="229" w:lineRule="auto"/>
        <w:ind w:left="437"/>
        <w:rPr>
          <w:rFonts w:ascii="黑体" w:hAnsi="黑体" w:eastAsia="黑体" w:cs="黑体"/>
          <w:sz w:val="20"/>
          <w:szCs w:val="20"/>
        </w:rPr>
      </w:pPr>
      <w:r>
        <w:rPr>
          <w:rFonts w:ascii="黑体" w:hAnsi="黑体" w:eastAsia="黑体" w:cs="黑体"/>
          <w:spacing w:val="7"/>
          <w:sz w:val="20"/>
          <w:szCs w:val="20"/>
        </w:rPr>
        <w:t>四、投标报价编制</w:t>
      </w:r>
    </w:p>
    <w:p>
      <w:pPr>
        <w:spacing w:before="150" w:line="332" w:lineRule="auto"/>
        <w:ind w:right="63" w:firstLine="412"/>
        <w:rPr>
          <w:rFonts w:ascii="宋体" w:hAnsi="宋体" w:eastAsia="宋体" w:cs="宋体"/>
          <w:sz w:val="20"/>
          <w:szCs w:val="20"/>
        </w:rPr>
      </w:pPr>
      <w:r>
        <w:rPr>
          <w:rFonts w:ascii="宋体" w:hAnsi="宋体" w:eastAsia="宋体" w:cs="宋体"/>
          <w:spacing w:val="11"/>
          <w:sz w:val="20"/>
          <w:szCs w:val="20"/>
        </w:rPr>
        <w:t>（一）投标报价应由投标人在对招标工程资料（含设计文件、技术标准规范、合同条款、地勘水文资料等）、项目地理位置、场地情况、周边环境充分熟悉的基础上，根据</w:t>
      </w:r>
      <w:r>
        <w:rPr>
          <w:rFonts w:ascii="宋体" w:hAnsi="宋体" w:eastAsia="宋体" w:cs="宋体"/>
          <w:spacing w:val="10"/>
          <w:sz w:val="20"/>
          <w:szCs w:val="20"/>
        </w:rPr>
        <w:t>招标文件要求和招标</w:t>
      </w:r>
      <w:r>
        <w:rPr>
          <w:rFonts w:ascii="宋体" w:hAnsi="宋体" w:eastAsia="宋体" w:cs="宋体"/>
          <w:spacing w:val="9"/>
          <w:sz w:val="20"/>
          <w:szCs w:val="20"/>
        </w:rPr>
        <w:t>工程量清单，结合企业自身情况及风险承担能力自主确定。</w:t>
      </w:r>
    </w:p>
    <w:p>
      <w:pPr>
        <w:spacing w:before="121" w:line="296" w:lineRule="auto"/>
        <w:ind w:left="1" w:right="63" w:firstLine="410"/>
        <w:rPr>
          <w:rFonts w:ascii="宋体" w:hAnsi="宋体" w:eastAsia="宋体" w:cs="宋体"/>
          <w:sz w:val="20"/>
          <w:szCs w:val="20"/>
        </w:rPr>
      </w:pPr>
      <w:r>
        <w:rPr>
          <w:rFonts w:ascii="宋体" w:hAnsi="宋体" w:eastAsia="宋体" w:cs="宋体"/>
          <w:spacing w:val="11"/>
          <w:sz w:val="20"/>
          <w:szCs w:val="20"/>
        </w:rPr>
        <w:t>（二）投标人的投标报价不得低于成本价。招标工程设有最高投标限价的，投标报价不得高于</w:t>
      </w:r>
      <w:r>
        <w:rPr>
          <w:rFonts w:ascii="宋体" w:hAnsi="宋体" w:eastAsia="宋体" w:cs="宋体"/>
          <w:spacing w:val="7"/>
          <w:sz w:val="20"/>
          <w:szCs w:val="20"/>
        </w:rPr>
        <w:t>最高投标限价。</w:t>
      </w:r>
    </w:p>
    <w:p>
      <w:pPr>
        <w:spacing w:before="158" w:line="321" w:lineRule="auto"/>
        <w:ind w:left="3" w:right="63" w:firstLine="408"/>
        <w:rPr>
          <w:rFonts w:ascii="宋体" w:hAnsi="宋体" w:eastAsia="宋体" w:cs="宋体"/>
          <w:sz w:val="20"/>
          <w:szCs w:val="20"/>
        </w:rPr>
      </w:pPr>
      <w:r>
        <w:rPr>
          <w:rFonts w:ascii="宋体" w:hAnsi="宋体" w:eastAsia="宋体" w:cs="宋体"/>
          <w:spacing w:val="11"/>
          <w:sz w:val="20"/>
          <w:szCs w:val="20"/>
        </w:rPr>
        <w:t>（三）投标人应在接收招标文件后的规定时间内，对招标文件计划工期的可行性、招标工程量清单的完整性和准确性、最高投标限价的合理性进行复核。经复核对以</w:t>
      </w:r>
      <w:r>
        <w:rPr>
          <w:rFonts w:ascii="宋体" w:hAnsi="宋体" w:eastAsia="宋体" w:cs="宋体"/>
          <w:spacing w:val="10"/>
          <w:sz w:val="20"/>
          <w:szCs w:val="20"/>
        </w:rPr>
        <w:t>上内容存在疑问或异议的，</w:t>
      </w:r>
      <w:r>
        <w:rPr>
          <w:rFonts w:ascii="宋体" w:hAnsi="宋体" w:eastAsia="宋体" w:cs="宋体"/>
          <w:spacing w:val="9"/>
          <w:sz w:val="20"/>
          <w:szCs w:val="20"/>
        </w:rPr>
        <w:t>可按招标文件规定以书面形式提请招标人澄清。</w:t>
      </w:r>
    </w:p>
    <w:p>
      <w:pPr>
        <w:spacing w:before="160" w:line="331" w:lineRule="auto"/>
        <w:ind w:right="63" w:firstLine="41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4"/>
          <w:sz w:val="20"/>
          <w:szCs w:val="20"/>
        </w:rPr>
        <w:t xml:space="preserve"> </w:t>
      </w:r>
      <w:r>
        <w:rPr>
          <w:rFonts w:ascii="宋体" w:hAnsi="宋体" w:eastAsia="宋体" w:cs="宋体"/>
          <w:spacing w:val="10"/>
          <w:sz w:val="20"/>
          <w:szCs w:val="20"/>
        </w:rPr>
        <w:t>四）投标报价文件不得改变招标工程量清单（含修正内容）</w:t>
      </w:r>
      <w:r>
        <w:rPr>
          <w:rFonts w:ascii="宋体" w:hAnsi="宋体" w:eastAsia="宋体" w:cs="宋体"/>
          <w:spacing w:val="9"/>
          <w:sz w:val="20"/>
          <w:szCs w:val="20"/>
        </w:rPr>
        <w:t>的项目编码、项目名称、特征描</w:t>
      </w:r>
      <w:r>
        <w:rPr>
          <w:rFonts w:ascii="宋体" w:hAnsi="宋体" w:eastAsia="宋体" w:cs="宋体"/>
          <w:spacing w:val="11"/>
          <w:sz w:val="20"/>
          <w:szCs w:val="20"/>
        </w:rPr>
        <w:t>述（分部分项工程项目清单）、计量单位、工程量、工作内容（措施项目清单</w:t>
      </w:r>
      <w:r>
        <w:rPr>
          <w:rFonts w:ascii="宋体" w:hAnsi="宋体" w:eastAsia="宋体" w:cs="宋体"/>
          <w:spacing w:val="10"/>
          <w:sz w:val="20"/>
          <w:szCs w:val="20"/>
        </w:rPr>
        <w:t>）等已标明条件，也</w:t>
      </w:r>
      <w:r>
        <w:rPr>
          <w:rFonts w:ascii="宋体" w:hAnsi="宋体" w:eastAsia="宋体" w:cs="宋体"/>
          <w:spacing w:val="9"/>
          <w:sz w:val="20"/>
          <w:szCs w:val="20"/>
        </w:rPr>
        <w:t>不得改变招标工程量清单（含修正内容）项目的排序方式。</w:t>
      </w:r>
    </w:p>
    <w:p>
      <w:pPr>
        <w:spacing w:before="122" w:line="321" w:lineRule="auto"/>
        <w:ind w:left="5" w:right="63" w:firstLine="406"/>
        <w:rPr>
          <w:rFonts w:ascii="宋体" w:hAnsi="宋体" w:eastAsia="宋体" w:cs="宋体"/>
          <w:sz w:val="20"/>
          <w:szCs w:val="20"/>
        </w:rPr>
      </w:pPr>
      <w:r>
        <w:rPr>
          <w:rFonts w:ascii="宋体" w:hAnsi="宋体" w:eastAsia="宋体" w:cs="宋体"/>
          <w:spacing w:val="11"/>
          <w:sz w:val="20"/>
          <w:szCs w:val="20"/>
        </w:rPr>
        <w:t>（五）投标人对招标工程量清单、最高投标限价的完整性、合理性提出疑问或异议，经招标人澄清后，投标人可根据自身情况，对措施项目清单（按项计量）进</w:t>
      </w:r>
      <w:r>
        <w:rPr>
          <w:rFonts w:ascii="宋体" w:hAnsi="宋体" w:eastAsia="宋体" w:cs="宋体"/>
          <w:spacing w:val="10"/>
          <w:sz w:val="20"/>
          <w:szCs w:val="20"/>
        </w:rPr>
        <w:t>行补充完善及报价，采用总价合</w:t>
      </w:r>
      <w:r>
        <w:rPr>
          <w:rFonts w:ascii="宋体" w:hAnsi="宋体" w:eastAsia="宋体" w:cs="宋体"/>
          <w:spacing w:val="9"/>
          <w:sz w:val="20"/>
          <w:szCs w:val="20"/>
        </w:rPr>
        <w:t>同形式的，还可对分部分项工程项目清单进行补充完善并报价。</w:t>
      </w:r>
    </w:p>
    <w:p>
      <w:pPr>
        <w:spacing w:before="157" w:line="277" w:lineRule="exact"/>
        <w:ind w:left="439"/>
        <w:rPr>
          <w:rFonts w:ascii="宋体" w:hAnsi="宋体" w:eastAsia="宋体" w:cs="宋体"/>
          <w:sz w:val="20"/>
          <w:szCs w:val="20"/>
        </w:rPr>
      </w:pPr>
      <w:r>
        <w:rPr>
          <w:rFonts w:ascii="宋体" w:hAnsi="宋体" w:eastAsia="宋体" w:cs="宋体"/>
          <w:spacing w:val="7"/>
          <w:position w:val="1"/>
          <w:sz w:val="20"/>
          <w:szCs w:val="20"/>
        </w:rPr>
        <w:t>1. 投标人对补充完善的已标价工程量清单</w:t>
      </w:r>
      <w:r>
        <w:rPr>
          <w:rFonts w:ascii="宋体" w:hAnsi="宋体" w:eastAsia="宋体" w:cs="宋体"/>
          <w:spacing w:val="6"/>
          <w:position w:val="1"/>
          <w:sz w:val="20"/>
          <w:szCs w:val="20"/>
        </w:rPr>
        <w:t>的完整性及准确性负责。</w:t>
      </w:r>
    </w:p>
    <w:p>
      <w:pPr>
        <w:spacing w:before="123" w:line="312" w:lineRule="auto"/>
        <w:ind w:left="4" w:right="62" w:firstLine="417"/>
        <w:rPr>
          <w:rFonts w:ascii="宋体" w:hAnsi="宋体" w:eastAsia="宋体" w:cs="宋体"/>
          <w:sz w:val="20"/>
          <w:szCs w:val="20"/>
        </w:rPr>
      </w:pPr>
      <w:r>
        <w:rPr>
          <w:rFonts w:ascii="宋体" w:hAnsi="宋体" w:eastAsia="宋体" w:cs="宋体"/>
          <w:spacing w:val="13"/>
          <w:sz w:val="20"/>
          <w:szCs w:val="20"/>
        </w:rPr>
        <w:t>2. 投标人自行补充的清单项目应置于各单位工程的分部分项工程项目清单计价表及措</w:t>
      </w:r>
      <w:r>
        <w:rPr>
          <w:rFonts w:ascii="宋体" w:hAnsi="宋体" w:eastAsia="宋体" w:cs="宋体"/>
          <w:spacing w:val="12"/>
          <w:sz w:val="20"/>
          <w:szCs w:val="20"/>
        </w:rPr>
        <w:t>施项目</w:t>
      </w:r>
      <w:r>
        <w:rPr>
          <w:rFonts w:ascii="宋体" w:hAnsi="宋体" w:eastAsia="宋体" w:cs="宋体"/>
          <w:spacing w:val="9"/>
          <w:sz w:val="20"/>
          <w:szCs w:val="20"/>
        </w:rPr>
        <w:t xml:space="preserve">清单计价表的末尾，以 </w:t>
      </w:r>
      <w:r>
        <w:rPr>
          <w:rFonts w:ascii="宋体" w:hAnsi="宋体" w:eastAsia="宋体" w:cs="宋体"/>
          <w:sz w:val="20"/>
          <w:szCs w:val="20"/>
        </w:rPr>
        <w:t>TB</w:t>
      </w:r>
      <w:r>
        <w:rPr>
          <w:rFonts w:ascii="宋体" w:hAnsi="宋体" w:eastAsia="宋体" w:cs="宋体"/>
          <w:spacing w:val="9"/>
          <w:sz w:val="20"/>
          <w:szCs w:val="20"/>
        </w:rPr>
        <w:t>001</w:t>
      </w:r>
      <w:r>
        <w:rPr>
          <w:rFonts w:ascii="宋体" w:hAnsi="宋体" w:eastAsia="宋体" w:cs="宋体"/>
          <w:spacing w:val="-22"/>
          <w:sz w:val="20"/>
          <w:szCs w:val="20"/>
        </w:rPr>
        <w:t xml:space="preserve"> </w:t>
      </w:r>
      <w:r>
        <w:rPr>
          <w:rFonts w:ascii="宋体" w:hAnsi="宋体" w:eastAsia="宋体" w:cs="宋体"/>
          <w:spacing w:val="9"/>
          <w:sz w:val="20"/>
          <w:szCs w:val="20"/>
        </w:rPr>
        <w:t>为初始编号，依次排列。</w:t>
      </w:r>
    </w:p>
    <w:p>
      <w:pPr>
        <w:spacing w:line="312" w:lineRule="auto"/>
        <w:rPr>
          <w:rFonts w:ascii="宋体" w:hAnsi="宋体" w:eastAsia="宋体" w:cs="宋体"/>
          <w:sz w:val="20"/>
          <w:szCs w:val="20"/>
        </w:rPr>
        <w:sectPr>
          <w:footerReference r:id="rId51" w:type="default"/>
          <w:pgSz w:w="11905" w:h="16840"/>
          <w:pgMar w:top="1431" w:right="1356" w:bottom="1213" w:left="1419" w:header="0" w:footer="898" w:gutter="0"/>
        </w:sectPr>
      </w:pPr>
    </w:p>
    <w:p>
      <w:pPr>
        <w:spacing w:before="122" w:line="322" w:lineRule="auto"/>
        <w:ind w:left="1" w:right="64" w:firstLine="411"/>
        <w:rPr>
          <w:rFonts w:ascii="宋体" w:hAnsi="宋体" w:eastAsia="宋体" w:cs="宋体"/>
          <w:sz w:val="20"/>
          <w:szCs w:val="20"/>
        </w:rPr>
      </w:pPr>
      <w:bookmarkStart w:id="33" w:name="bookmark143"/>
      <w:bookmarkEnd w:id="33"/>
      <w:r>
        <w:rPr>
          <w:rFonts w:ascii="宋体" w:hAnsi="宋体" w:eastAsia="宋体" w:cs="宋体"/>
          <w:spacing w:val="11"/>
          <w:sz w:val="20"/>
          <w:szCs w:val="20"/>
        </w:rPr>
        <w:t>（六）投标人应根据招标工程资料，结合企业技术能力、装备水平，编制合理可行的投标施工方案，并按拟定的施工方案编制投标报价。已标价工程量清单中涉及的施工工</w:t>
      </w:r>
      <w:r>
        <w:rPr>
          <w:rFonts w:ascii="宋体" w:hAnsi="宋体" w:eastAsia="宋体" w:cs="宋体"/>
          <w:spacing w:val="10"/>
          <w:sz w:val="20"/>
          <w:szCs w:val="20"/>
        </w:rPr>
        <w:t>艺及技术措施应视为与投标施工方案一致。工程结算时，承包人不得</w:t>
      </w:r>
      <w:r>
        <w:rPr>
          <w:rFonts w:ascii="宋体" w:hAnsi="宋体" w:eastAsia="宋体" w:cs="宋体"/>
          <w:spacing w:val="9"/>
          <w:sz w:val="20"/>
          <w:szCs w:val="20"/>
        </w:rPr>
        <w:t>以两者方案不一致为由要求价款调整。</w:t>
      </w:r>
    </w:p>
    <w:p>
      <w:pPr>
        <w:spacing w:before="156" w:line="312" w:lineRule="auto"/>
        <w:ind w:left="7" w:right="64" w:firstLine="405"/>
        <w:rPr>
          <w:rFonts w:ascii="宋体" w:hAnsi="宋体" w:eastAsia="宋体" w:cs="宋体"/>
          <w:sz w:val="20"/>
          <w:szCs w:val="20"/>
        </w:rPr>
      </w:pPr>
      <w:r>
        <w:rPr>
          <w:rFonts w:ascii="宋体" w:hAnsi="宋体" w:eastAsia="宋体" w:cs="宋体"/>
          <w:spacing w:val="11"/>
          <w:sz w:val="20"/>
          <w:szCs w:val="20"/>
        </w:rPr>
        <w:t>（七）投标报价中分部分项工程项目清单综合单价分析表中应清晰体现暂估价材料含量、合同</w:t>
      </w:r>
      <w:r>
        <w:rPr>
          <w:rFonts w:ascii="宋体" w:hAnsi="宋体" w:eastAsia="宋体" w:cs="宋体"/>
          <w:spacing w:val="9"/>
          <w:sz w:val="20"/>
          <w:szCs w:val="20"/>
        </w:rPr>
        <w:t>约定的可调价因素（人工、材料、机上燃油动力等）含量。</w:t>
      </w:r>
    </w:p>
    <w:p>
      <w:pPr>
        <w:spacing w:before="124" w:line="331" w:lineRule="auto"/>
        <w:ind w:left="2" w:right="64" w:firstLine="410"/>
        <w:rPr>
          <w:rFonts w:ascii="宋体" w:hAnsi="宋体" w:eastAsia="宋体" w:cs="宋体"/>
          <w:sz w:val="20"/>
          <w:szCs w:val="20"/>
        </w:rPr>
      </w:pPr>
      <w:r>
        <w:rPr>
          <w:rFonts w:ascii="宋体" w:hAnsi="宋体" w:eastAsia="宋体" w:cs="宋体"/>
          <w:spacing w:val="11"/>
          <w:sz w:val="20"/>
          <w:szCs w:val="20"/>
        </w:rPr>
        <w:t>（八）投标人认为招标工程量清单（含修正内容）中发包人提供材料的有效损耗率不能满足使用损耗的，应自行测算材料损耗率，并在综合单价分析表中明示超出有效损</w:t>
      </w:r>
      <w:r>
        <w:rPr>
          <w:rFonts w:ascii="宋体" w:hAnsi="宋体" w:eastAsia="宋体" w:cs="宋体"/>
          <w:spacing w:val="10"/>
          <w:sz w:val="20"/>
          <w:szCs w:val="20"/>
        </w:rPr>
        <w:t>耗部分的材料数量。超</w:t>
      </w:r>
      <w:r>
        <w:rPr>
          <w:rFonts w:ascii="宋体" w:hAnsi="宋体" w:eastAsia="宋体" w:cs="宋体"/>
          <w:spacing w:val="9"/>
          <w:sz w:val="20"/>
          <w:szCs w:val="20"/>
        </w:rPr>
        <w:t>出有效损耗率部分的材料费用由承包人承担，包含在投标综合单价中。</w:t>
      </w:r>
    </w:p>
    <w:p>
      <w:pPr>
        <w:spacing w:before="124" w:line="296" w:lineRule="auto"/>
        <w:ind w:left="1" w:right="64" w:firstLine="411"/>
        <w:rPr>
          <w:rFonts w:ascii="宋体" w:hAnsi="宋体" w:eastAsia="宋体" w:cs="宋体"/>
          <w:sz w:val="20"/>
          <w:szCs w:val="20"/>
        </w:rPr>
      </w:pPr>
      <w:r>
        <w:rPr>
          <w:rFonts w:ascii="宋体" w:hAnsi="宋体" w:eastAsia="宋体" w:cs="宋体"/>
          <w:spacing w:val="11"/>
          <w:sz w:val="20"/>
          <w:szCs w:val="20"/>
        </w:rPr>
        <w:t>（九）投标人对安全生产、环境保护、文明施工、临时设施措施费的报价应满足国家及省相关</w:t>
      </w:r>
      <w:r>
        <w:rPr>
          <w:rFonts w:ascii="宋体" w:hAnsi="宋体" w:eastAsia="宋体" w:cs="宋体"/>
          <w:spacing w:val="6"/>
          <w:sz w:val="20"/>
          <w:szCs w:val="20"/>
        </w:rPr>
        <w:t>部门规定。</w:t>
      </w:r>
    </w:p>
    <w:p>
      <w:pPr>
        <w:spacing w:before="158" w:line="333" w:lineRule="auto"/>
        <w:ind w:right="64" w:firstLine="413"/>
        <w:rPr>
          <w:rFonts w:ascii="宋体" w:hAnsi="宋体" w:eastAsia="宋体" w:cs="宋体"/>
          <w:sz w:val="20"/>
          <w:szCs w:val="20"/>
        </w:rPr>
      </w:pPr>
      <w:r>
        <w:rPr>
          <w:rFonts w:ascii="宋体" w:hAnsi="宋体" w:eastAsia="宋体" w:cs="宋体"/>
          <w:spacing w:val="8"/>
          <w:sz w:val="20"/>
          <w:szCs w:val="20"/>
        </w:rPr>
        <w:t>（十）投标人应结合自身风险承担能力，按“措施项目费用分拆表 ”的格式对按项计量的各措</w:t>
      </w:r>
      <w:r>
        <w:rPr>
          <w:rFonts w:ascii="宋体" w:hAnsi="宋体" w:eastAsia="宋体" w:cs="宋体"/>
          <w:spacing w:val="11"/>
          <w:sz w:val="20"/>
          <w:szCs w:val="20"/>
        </w:rPr>
        <w:t>施项目报价进行分拆，并对分拆的合理性负责。其中，安全生产、环境保护、文</w:t>
      </w:r>
      <w:r>
        <w:rPr>
          <w:rFonts w:ascii="宋体" w:hAnsi="宋体" w:eastAsia="宋体" w:cs="宋体"/>
          <w:spacing w:val="10"/>
          <w:sz w:val="20"/>
          <w:szCs w:val="20"/>
        </w:rPr>
        <w:t>明施工、临时设施</w:t>
      </w:r>
      <w:r>
        <w:rPr>
          <w:rFonts w:ascii="宋体" w:hAnsi="宋体" w:eastAsia="宋体" w:cs="宋体"/>
          <w:spacing w:val="11"/>
          <w:sz w:val="20"/>
          <w:szCs w:val="20"/>
        </w:rPr>
        <w:t>措施费的支付时点、支付比例按合同约定及主管部门规定执行，分拆表中的内容</w:t>
      </w:r>
      <w:r>
        <w:rPr>
          <w:rFonts w:ascii="宋体" w:hAnsi="宋体" w:eastAsia="宋体" w:cs="宋体"/>
          <w:spacing w:val="10"/>
          <w:sz w:val="20"/>
          <w:szCs w:val="20"/>
        </w:rPr>
        <w:t>仅适用于非承包人</w:t>
      </w:r>
      <w:r>
        <w:rPr>
          <w:rFonts w:ascii="宋体" w:hAnsi="宋体" w:eastAsia="宋体" w:cs="宋体"/>
          <w:spacing w:val="9"/>
          <w:sz w:val="20"/>
          <w:szCs w:val="20"/>
        </w:rPr>
        <w:t>原因导致工期实质性延长或缩短时的措施费用调整。</w:t>
      </w:r>
    </w:p>
    <w:p>
      <w:pPr>
        <w:spacing w:before="158" w:line="311" w:lineRule="auto"/>
        <w:ind w:left="2" w:right="106" w:firstLine="410"/>
        <w:rPr>
          <w:rFonts w:ascii="宋体" w:hAnsi="宋体" w:eastAsia="宋体" w:cs="宋体"/>
          <w:sz w:val="20"/>
          <w:szCs w:val="20"/>
        </w:rPr>
      </w:pPr>
      <w:r>
        <w:rPr>
          <w:rFonts w:ascii="宋体" w:hAnsi="宋体" w:eastAsia="宋体" w:cs="宋体"/>
          <w:spacing w:val="10"/>
          <w:sz w:val="20"/>
          <w:szCs w:val="20"/>
        </w:rPr>
        <w:t>（十一）投标报价文件的格式应响应招标工程量清单，确保内容完整、数据清晰、计算准确，</w:t>
      </w:r>
      <w:r>
        <w:rPr>
          <w:rFonts w:ascii="宋体" w:hAnsi="宋体" w:eastAsia="宋体" w:cs="宋体"/>
          <w:spacing w:val="9"/>
          <w:sz w:val="20"/>
          <w:szCs w:val="20"/>
        </w:rPr>
        <w:t>投标报价文件格式详见《</w:t>
      </w:r>
      <w:r>
        <w:rPr>
          <w:rFonts w:ascii="宋体" w:hAnsi="宋体" w:eastAsia="宋体" w:cs="宋体"/>
          <w:spacing w:val="-53"/>
          <w:sz w:val="20"/>
          <w:szCs w:val="20"/>
        </w:rPr>
        <w:t xml:space="preserve"> </w:t>
      </w:r>
      <w:r>
        <w:rPr>
          <w:rFonts w:ascii="宋体" w:hAnsi="宋体" w:eastAsia="宋体" w:cs="宋体"/>
          <w:spacing w:val="9"/>
          <w:sz w:val="20"/>
          <w:szCs w:val="20"/>
        </w:rPr>
        <w:t>&lt;建设工程工程量清单计价标准&gt;实施指引》</w:t>
      </w:r>
      <w:r>
        <w:rPr>
          <w:rFonts w:ascii="宋体" w:hAnsi="宋体" w:eastAsia="宋体" w:cs="宋体"/>
          <w:spacing w:val="8"/>
          <w:sz w:val="20"/>
          <w:szCs w:val="20"/>
        </w:rPr>
        <w:t>附录 B。</w:t>
      </w:r>
    </w:p>
    <w:p>
      <w:pPr>
        <w:spacing w:before="126" w:line="229" w:lineRule="auto"/>
        <w:ind w:left="431"/>
        <w:rPr>
          <w:rFonts w:ascii="黑体" w:hAnsi="黑体" w:eastAsia="黑体" w:cs="黑体"/>
          <w:sz w:val="20"/>
          <w:szCs w:val="20"/>
        </w:rPr>
      </w:pPr>
      <w:r>
        <w:rPr>
          <w:rFonts w:ascii="黑体" w:hAnsi="黑体" w:eastAsia="黑体" w:cs="黑体"/>
          <w:spacing w:val="8"/>
          <w:sz w:val="20"/>
          <w:szCs w:val="20"/>
        </w:rPr>
        <w:t>五、投标报价澄清或说明</w:t>
      </w:r>
    </w:p>
    <w:p>
      <w:pPr>
        <w:spacing w:before="151" w:line="367" w:lineRule="auto"/>
        <w:ind w:left="2" w:right="64" w:firstLine="410"/>
        <w:rPr>
          <w:rFonts w:ascii="宋体" w:hAnsi="宋体" w:eastAsia="宋体" w:cs="宋体"/>
          <w:sz w:val="20"/>
          <w:szCs w:val="20"/>
        </w:rPr>
      </w:pPr>
      <w:r>
        <w:rPr>
          <w:rFonts w:ascii="宋体" w:hAnsi="宋体" w:eastAsia="宋体" w:cs="宋体"/>
          <w:spacing w:val="11"/>
          <w:sz w:val="20"/>
          <w:szCs w:val="20"/>
        </w:rPr>
        <w:t>（一）招标工程进行投标报价澄清或说明的，澄清或说明应在工程开标后至定标前进行，可按</w:t>
      </w:r>
      <w:r>
        <w:rPr>
          <w:rFonts w:ascii="宋体" w:hAnsi="宋体" w:eastAsia="宋体" w:cs="宋体"/>
          <w:spacing w:val="7"/>
          <w:sz w:val="20"/>
          <w:szCs w:val="20"/>
        </w:rPr>
        <w:t>下列规定进行：</w:t>
      </w:r>
    </w:p>
    <w:p>
      <w:pPr>
        <w:spacing w:before="5" w:line="333" w:lineRule="auto"/>
        <w:ind w:right="64" w:firstLine="439"/>
        <w:rPr>
          <w:rFonts w:ascii="宋体" w:hAnsi="宋体" w:eastAsia="宋体" w:cs="宋体"/>
          <w:sz w:val="20"/>
          <w:szCs w:val="20"/>
        </w:rPr>
      </w:pPr>
      <w:r>
        <w:rPr>
          <w:rFonts w:ascii="宋体" w:hAnsi="宋体" w:eastAsia="宋体" w:cs="宋体"/>
          <w:spacing w:val="8"/>
          <w:sz w:val="20"/>
          <w:szCs w:val="20"/>
        </w:rPr>
        <w:t>1. 对不响应招标文件实质性要求的投标文件，应在</w:t>
      </w:r>
      <w:r>
        <w:rPr>
          <w:rFonts w:ascii="宋体" w:hAnsi="宋体" w:eastAsia="宋体" w:cs="宋体"/>
          <w:spacing w:val="7"/>
          <w:sz w:val="20"/>
          <w:szCs w:val="20"/>
        </w:rPr>
        <w:t>投标报价澄清或说明报告中列出不响应的内</w:t>
      </w:r>
      <w:r>
        <w:rPr>
          <w:rFonts w:ascii="宋体" w:hAnsi="宋体" w:eastAsia="宋体" w:cs="宋体"/>
          <w:spacing w:val="6"/>
          <w:sz w:val="20"/>
          <w:szCs w:val="20"/>
        </w:rPr>
        <w:t>容及其与招标文件要求的偏差，供评标委员会(或定标委员会)依据招标文件要求和相关规</w:t>
      </w:r>
      <w:r>
        <w:rPr>
          <w:rFonts w:ascii="宋体" w:hAnsi="宋体" w:eastAsia="宋体" w:cs="宋体"/>
          <w:spacing w:val="5"/>
          <w:sz w:val="20"/>
          <w:szCs w:val="20"/>
        </w:rPr>
        <w:t>定决定是否</w:t>
      </w:r>
      <w:r>
        <w:rPr>
          <w:rFonts w:ascii="宋体" w:hAnsi="宋体" w:eastAsia="宋体" w:cs="宋体"/>
          <w:spacing w:val="11"/>
          <w:sz w:val="20"/>
          <w:szCs w:val="20"/>
        </w:rPr>
        <w:t>作为无效投标处理。投标报价澄清或说明过程不可要求投标人通过确认或撤回</w:t>
      </w:r>
      <w:r>
        <w:rPr>
          <w:rFonts w:ascii="宋体" w:hAnsi="宋体" w:eastAsia="宋体" w:cs="宋体"/>
          <w:spacing w:val="10"/>
          <w:sz w:val="20"/>
          <w:szCs w:val="20"/>
        </w:rPr>
        <w:t>不响应的投标文件转</w:t>
      </w:r>
      <w:r>
        <w:rPr>
          <w:rFonts w:ascii="宋体" w:hAnsi="宋体" w:eastAsia="宋体" w:cs="宋体"/>
          <w:spacing w:val="9"/>
          <w:sz w:val="20"/>
          <w:szCs w:val="20"/>
        </w:rPr>
        <w:t>变为响应招标文件实质性要求的投标文件。</w:t>
      </w:r>
    </w:p>
    <w:p>
      <w:pPr>
        <w:spacing w:before="157" w:line="333" w:lineRule="auto"/>
        <w:ind w:right="64" w:firstLine="422"/>
        <w:rPr>
          <w:rFonts w:ascii="宋体" w:hAnsi="宋体" w:eastAsia="宋体" w:cs="宋体"/>
          <w:sz w:val="20"/>
          <w:szCs w:val="20"/>
        </w:rPr>
      </w:pPr>
      <w:r>
        <w:rPr>
          <w:rFonts w:ascii="宋体" w:hAnsi="宋体" w:eastAsia="宋体" w:cs="宋体"/>
          <w:spacing w:val="8"/>
          <w:sz w:val="20"/>
          <w:szCs w:val="20"/>
        </w:rPr>
        <w:t>2. 对响应招标文件实质性要求的投标文件，可就投标文件中的算术误差、细微偏差、报价合理</w:t>
      </w:r>
      <w:r>
        <w:rPr>
          <w:rFonts w:ascii="宋体" w:hAnsi="宋体" w:eastAsia="宋体" w:cs="宋体"/>
          <w:spacing w:val="6"/>
          <w:sz w:val="20"/>
          <w:szCs w:val="20"/>
        </w:rPr>
        <w:t>性、报价完整性(漏报或未报)等要求投标人澄清或说明，但要求投标人澄清或说明的文件</w:t>
      </w:r>
      <w:r>
        <w:rPr>
          <w:rFonts w:ascii="宋体" w:hAnsi="宋体" w:eastAsia="宋体" w:cs="宋体"/>
          <w:spacing w:val="5"/>
          <w:sz w:val="20"/>
          <w:szCs w:val="20"/>
        </w:rPr>
        <w:t>以及投标人</w:t>
      </w:r>
      <w:r>
        <w:rPr>
          <w:rFonts w:ascii="宋体" w:hAnsi="宋体" w:eastAsia="宋体" w:cs="宋体"/>
          <w:spacing w:val="11"/>
          <w:sz w:val="20"/>
          <w:szCs w:val="20"/>
        </w:rPr>
        <w:t>的澄清或说明文件不可变更招标文件规定的工程范围、工期要求及合同条件，</w:t>
      </w:r>
      <w:r>
        <w:rPr>
          <w:rFonts w:ascii="宋体" w:hAnsi="宋体" w:eastAsia="宋体" w:cs="宋体"/>
          <w:spacing w:val="10"/>
          <w:sz w:val="20"/>
          <w:szCs w:val="20"/>
        </w:rPr>
        <w:t>也不可对投标总价和</w:t>
      </w:r>
      <w:r>
        <w:rPr>
          <w:rFonts w:ascii="宋体" w:hAnsi="宋体" w:eastAsia="宋体" w:cs="宋体"/>
          <w:spacing w:val="8"/>
          <w:sz w:val="20"/>
          <w:szCs w:val="20"/>
        </w:rPr>
        <w:t>投标工期进行修改。</w:t>
      </w:r>
    </w:p>
    <w:p>
      <w:pPr>
        <w:spacing w:before="156" w:line="312" w:lineRule="auto"/>
        <w:ind w:left="18" w:right="64" w:firstLine="407"/>
        <w:rPr>
          <w:rFonts w:ascii="宋体" w:hAnsi="宋体" w:eastAsia="宋体" w:cs="宋体"/>
          <w:sz w:val="20"/>
          <w:szCs w:val="20"/>
        </w:rPr>
      </w:pPr>
      <w:r>
        <w:rPr>
          <w:rFonts w:ascii="宋体" w:hAnsi="宋体" w:eastAsia="宋体" w:cs="宋体"/>
          <w:spacing w:val="8"/>
          <w:sz w:val="20"/>
          <w:szCs w:val="20"/>
        </w:rPr>
        <w:t>3. 在完成投标报价澄清或说明后，应对澄清或说明情况进行书面记载，编制投标报</w:t>
      </w:r>
      <w:r>
        <w:rPr>
          <w:rFonts w:ascii="宋体" w:hAnsi="宋体" w:eastAsia="宋体" w:cs="宋体"/>
          <w:spacing w:val="7"/>
          <w:sz w:val="20"/>
          <w:szCs w:val="20"/>
        </w:rPr>
        <w:t>价澄清或说</w:t>
      </w:r>
      <w:r>
        <w:rPr>
          <w:rFonts w:ascii="宋体" w:hAnsi="宋体" w:eastAsia="宋体" w:cs="宋体"/>
          <w:spacing w:val="2"/>
          <w:sz w:val="20"/>
          <w:szCs w:val="20"/>
        </w:rPr>
        <w:t>明报告，供评标委员会(或定标委员会)作评标</w:t>
      </w:r>
      <w:r>
        <w:rPr>
          <w:rFonts w:ascii="宋体" w:hAnsi="宋体" w:eastAsia="宋体" w:cs="宋体"/>
          <w:spacing w:val="1"/>
          <w:sz w:val="20"/>
          <w:szCs w:val="20"/>
        </w:rPr>
        <w:t>(或定标) 参考。</w:t>
      </w:r>
    </w:p>
    <w:p>
      <w:pPr>
        <w:spacing w:before="124" w:line="312" w:lineRule="auto"/>
        <w:ind w:left="1" w:right="64" w:firstLine="418"/>
        <w:rPr>
          <w:rFonts w:ascii="宋体" w:hAnsi="宋体" w:eastAsia="宋体" w:cs="宋体"/>
          <w:sz w:val="20"/>
          <w:szCs w:val="20"/>
        </w:rPr>
      </w:pPr>
      <w:r>
        <w:rPr>
          <w:rFonts w:ascii="宋体" w:hAnsi="宋体" w:eastAsia="宋体" w:cs="宋体"/>
          <w:spacing w:val="8"/>
          <w:sz w:val="20"/>
          <w:szCs w:val="20"/>
        </w:rPr>
        <w:t>4. 投标报价澄清或说明仅对投标人的投标报价按本条</w:t>
      </w:r>
      <w:r>
        <w:rPr>
          <w:rFonts w:ascii="宋体" w:hAnsi="宋体" w:eastAsia="宋体" w:cs="宋体"/>
          <w:spacing w:val="7"/>
          <w:sz w:val="20"/>
          <w:szCs w:val="20"/>
        </w:rPr>
        <w:t>文第</w:t>
      </w:r>
      <w:r>
        <w:rPr>
          <w:rFonts w:ascii="宋体" w:hAnsi="宋体" w:eastAsia="宋体" w:cs="宋体"/>
          <w:spacing w:val="-39"/>
          <w:sz w:val="20"/>
          <w:szCs w:val="20"/>
        </w:rPr>
        <w:t xml:space="preserve"> </w:t>
      </w:r>
      <w:r>
        <w:rPr>
          <w:rFonts w:ascii="宋体" w:hAnsi="宋体" w:eastAsia="宋体" w:cs="宋体"/>
          <w:spacing w:val="7"/>
          <w:sz w:val="20"/>
          <w:szCs w:val="20"/>
        </w:rPr>
        <w:t>2</w:t>
      </w:r>
      <w:r>
        <w:rPr>
          <w:rFonts w:ascii="宋体" w:hAnsi="宋体" w:eastAsia="宋体" w:cs="宋体"/>
          <w:spacing w:val="-41"/>
          <w:sz w:val="20"/>
          <w:szCs w:val="20"/>
        </w:rPr>
        <w:t xml:space="preserve"> </w:t>
      </w:r>
      <w:r>
        <w:rPr>
          <w:rFonts w:ascii="宋体" w:hAnsi="宋体" w:eastAsia="宋体" w:cs="宋体"/>
          <w:spacing w:val="7"/>
          <w:sz w:val="20"/>
          <w:szCs w:val="20"/>
        </w:rPr>
        <w:t>款规定内容进行，所有投标文件的</w:t>
      </w:r>
      <w:r>
        <w:rPr>
          <w:rFonts w:ascii="宋体" w:hAnsi="宋体" w:eastAsia="宋体" w:cs="宋体"/>
          <w:spacing w:val="6"/>
          <w:sz w:val="20"/>
          <w:szCs w:val="20"/>
        </w:rPr>
        <w:t>符合性评审、完整性评审及详细评审，应由评标委员会(或定标委员会)负责。</w:t>
      </w:r>
    </w:p>
    <w:p>
      <w:pPr>
        <w:spacing w:before="125" w:line="368" w:lineRule="auto"/>
        <w:ind w:left="2" w:right="64" w:firstLine="410"/>
        <w:rPr>
          <w:rFonts w:ascii="宋体" w:hAnsi="宋体" w:eastAsia="宋体" w:cs="宋体"/>
          <w:sz w:val="20"/>
          <w:szCs w:val="20"/>
        </w:rPr>
      </w:pPr>
      <w:r>
        <w:rPr>
          <w:rFonts w:ascii="宋体" w:hAnsi="宋体" w:eastAsia="宋体" w:cs="宋体"/>
          <w:spacing w:val="11"/>
          <w:sz w:val="20"/>
          <w:szCs w:val="20"/>
        </w:rPr>
        <w:t>（二）投标人的投标文件存在算术误差及细微偏差的，可按下列规定修正，但投标总价不得做</w:t>
      </w:r>
      <w:r>
        <w:rPr>
          <w:rFonts w:ascii="宋体" w:hAnsi="宋体" w:eastAsia="宋体" w:cs="宋体"/>
          <w:spacing w:val="9"/>
          <w:sz w:val="20"/>
          <w:szCs w:val="20"/>
        </w:rPr>
        <w:t>任何调整，修正报价汇总后的总价应与投标函内填报的投标总价一致：</w:t>
      </w:r>
    </w:p>
    <w:p>
      <w:pPr>
        <w:spacing w:before="2" w:line="351" w:lineRule="auto"/>
        <w:ind w:left="1" w:firstLine="438"/>
        <w:rPr>
          <w:rFonts w:ascii="宋体" w:hAnsi="宋体" w:eastAsia="宋体" w:cs="宋体"/>
          <w:sz w:val="20"/>
          <w:szCs w:val="20"/>
        </w:rPr>
      </w:pPr>
      <w:r>
        <w:rPr>
          <w:rFonts w:ascii="宋体" w:hAnsi="宋体" w:eastAsia="宋体" w:cs="宋体"/>
          <w:spacing w:val="4"/>
          <w:sz w:val="20"/>
          <w:szCs w:val="20"/>
        </w:rPr>
        <w:t>1. 投标函(投标总价扉页)内填报的投标总价大写金额与小写金额不一致的，应以大写金额为准，</w:t>
      </w:r>
      <w:r>
        <w:rPr>
          <w:rFonts w:ascii="宋体" w:hAnsi="宋体" w:eastAsia="宋体" w:cs="宋体"/>
          <w:spacing w:val="8"/>
          <w:sz w:val="20"/>
          <w:szCs w:val="20"/>
        </w:rPr>
        <w:t>修正相应小写金额。</w:t>
      </w:r>
    </w:p>
    <w:p>
      <w:pPr>
        <w:spacing w:line="351" w:lineRule="auto"/>
        <w:rPr>
          <w:rFonts w:ascii="宋体" w:hAnsi="宋体" w:eastAsia="宋体" w:cs="宋体"/>
          <w:sz w:val="20"/>
          <w:szCs w:val="20"/>
        </w:rPr>
        <w:sectPr>
          <w:footerReference r:id="rId52" w:type="default"/>
          <w:pgSz w:w="11905" w:h="16840"/>
          <w:pgMar w:top="1431" w:right="1354" w:bottom="1213" w:left="1418" w:header="0" w:footer="898" w:gutter="0"/>
        </w:sectPr>
      </w:pPr>
    </w:p>
    <w:p>
      <w:pPr>
        <w:spacing w:before="125" w:line="297" w:lineRule="auto"/>
        <w:ind w:left="3" w:right="169" w:firstLine="420"/>
        <w:rPr>
          <w:rFonts w:ascii="宋体" w:hAnsi="宋体" w:eastAsia="宋体" w:cs="宋体"/>
          <w:sz w:val="20"/>
          <w:szCs w:val="20"/>
        </w:rPr>
      </w:pPr>
      <w:r>
        <w:rPr>
          <w:rFonts w:ascii="宋体" w:hAnsi="宋体" w:eastAsia="宋体" w:cs="宋体"/>
          <w:spacing w:val="8"/>
          <w:sz w:val="20"/>
          <w:szCs w:val="20"/>
        </w:rPr>
        <w:t>2. 投标人所报的投标总价与已标价工程量清单项目填报的价格累计总额不一致的，应以投标总</w:t>
      </w:r>
      <w:r>
        <w:rPr>
          <w:rFonts w:ascii="宋体" w:hAnsi="宋体" w:eastAsia="宋体" w:cs="宋体"/>
          <w:spacing w:val="9"/>
          <w:sz w:val="20"/>
          <w:szCs w:val="20"/>
        </w:rPr>
        <w:t>价为准，修正工程量清单项目报价累计总额。</w:t>
      </w:r>
    </w:p>
    <w:p>
      <w:pPr>
        <w:spacing w:before="156" w:line="321" w:lineRule="auto"/>
        <w:ind w:left="2" w:right="93" w:firstLine="424"/>
        <w:rPr>
          <w:rFonts w:ascii="宋体" w:hAnsi="宋体" w:eastAsia="宋体" w:cs="宋体"/>
          <w:sz w:val="20"/>
          <w:szCs w:val="20"/>
        </w:rPr>
      </w:pPr>
      <w:r>
        <w:rPr>
          <w:rFonts w:ascii="宋体" w:hAnsi="宋体" w:eastAsia="宋体" w:cs="宋体"/>
          <w:spacing w:val="8"/>
          <w:sz w:val="20"/>
          <w:szCs w:val="20"/>
        </w:rPr>
        <w:t>3. 投标总价中所列的暂列金额、专业工程暂估价、材料暂估价与招标工程量清单内</w:t>
      </w:r>
      <w:r>
        <w:rPr>
          <w:rFonts w:ascii="宋体" w:hAnsi="宋体" w:eastAsia="宋体" w:cs="宋体"/>
          <w:spacing w:val="7"/>
          <w:sz w:val="20"/>
          <w:szCs w:val="20"/>
        </w:rPr>
        <w:t>提供的金额</w:t>
      </w:r>
      <w:r>
        <w:rPr>
          <w:rFonts w:ascii="宋体" w:hAnsi="宋体" w:eastAsia="宋体" w:cs="宋体"/>
          <w:spacing w:val="2"/>
          <w:sz w:val="20"/>
          <w:szCs w:val="20"/>
        </w:rPr>
        <w:t>不一致的，应以招标工程量清单内提供的金额为准，可按国家计价标准第</w:t>
      </w:r>
      <w:r>
        <w:rPr>
          <w:rFonts w:ascii="宋体" w:hAnsi="宋体" w:eastAsia="宋体" w:cs="宋体"/>
          <w:spacing w:val="-36"/>
          <w:sz w:val="20"/>
          <w:szCs w:val="20"/>
        </w:rPr>
        <w:t xml:space="preserve"> </w:t>
      </w:r>
      <w:r>
        <w:rPr>
          <w:rFonts w:ascii="宋体" w:hAnsi="宋体" w:eastAsia="宋体" w:cs="宋体"/>
          <w:spacing w:val="2"/>
          <w:sz w:val="20"/>
          <w:szCs w:val="20"/>
        </w:rPr>
        <w:t>3</w:t>
      </w:r>
      <w:r>
        <w:rPr>
          <w:rFonts w:ascii="宋体" w:hAnsi="宋体" w:eastAsia="宋体" w:cs="宋体"/>
          <w:spacing w:val="1"/>
          <w:sz w:val="20"/>
          <w:szCs w:val="20"/>
        </w:rPr>
        <w:t>.5.1</w:t>
      </w:r>
      <w:r>
        <w:rPr>
          <w:rFonts w:ascii="宋体" w:hAnsi="宋体" w:eastAsia="宋体" w:cs="宋体"/>
          <w:spacing w:val="-40"/>
          <w:sz w:val="20"/>
          <w:szCs w:val="20"/>
        </w:rPr>
        <w:t xml:space="preserve"> </w:t>
      </w:r>
      <w:r>
        <w:rPr>
          <w:rFonts w:ascii="宋体" w:hAnsi="宋体" w:eastAsia="宋体" w:cs="宋体"/>
          <w:spacing w:val="1"/>
          <w:sz w:val="20"/>
          <w:szCs w:val="20"/>
        </w:rPr>
        <w:t>条第</w:t>
      </w:r>
      <w:r>
        <w:rPr>
          <w:rFonts w:ascii="宋体" w:hAnsi="宋体" w:eastAsia="宋体" w:cs="宋体"/>
          <w:spacing w:val="-23"/>
          <w:sz w:val="20"/>
          <w:szCs w:val="20"/>
        </w:rPr>
        <w:t xml:space="preserve"> </w:t>
      </w:r>
      <w:r>
        <w:rPr>
          <w:rFonts w:ascii="宋体" w:hAnsi="宋体" w:eastAsia="宋体" w:cs="宋体"/>
          <w:spacing w:val="1"/>
          <w:sz w:val="20"/>
          <w:szCs w:val="20"/>
        </w:rPr>
        <w:t>1</w:t>
      </w:r>
      <w:r>
        <w:rPr>
          <w:rFonts w:ascii="宋体" w:hAnsi="宋体" w:eastAsia="宋体" w:cs="宋体"/>
          <w:spacing w:val="-41"/>
          <w:sz w:val="20"/>
          <w:szCs w:val="20"/>
        </w:rPr>
        <w:t xml:space="preserve"> </w:t>
      </w:r>
      <w:r>
        <w:rPr>
          <w:rFonts w:ascii="宋体" w:hAnsi="宋体" w:eastAsia="宋体" w:cs="宋体"/>
          <w:spacing w:val="1"/>
          <w:sz w:val="20"/>
          <w:szCs w:val="20"/>
        </w:rPr>
        <w:t>款的规定处理。</w:t>
      </w:r>
      <w:r>
        <w:rPr>
          <w:rFonts w:ascii="宋体" w:hAnsi="宋体" w:eastAsia="宋体" w:cs="宋体"/>
          <w:spacing w:val="9"/>
          <w:sz w:val="20"/>
          <w:szCs w:val="20"/>
        </w:rPr>
        <w:t>如不作为无效投标处理的，应按招标工程量清 单内提供的金额修正其报价。</w:t>
      </w:r>
    </w:p>
    <w:p>
      <w:pPr>
        <w:spacing w:before="157" w:line="333" w:lineRule="auto"/>
        <w:ind w:right="170" w:firstLine="420"/>
        <w:rPr>
          <w:rFonts w:ascii="宋体" w:hAnsi="宋体" w:eastAsia="宋体" w:cs="宋体"/>
          <w:sz w:val="20"/>
          <w:szCs w:val="20"/>
        </w:rPr>
      </w:pPr>
      <w:r>
        <w:rPr>
          <w:rFonts w:ascii="宋体" w:hAnsi="宋体" w:eastAsia="宋体" w:cs="宋体"/>
          <w:spacing w:val="13"/>
          <w:sz w:val="20"/>
          <w:szCs w:val="20"/>
        </w:rPr>
        <w:t>4. 投标人所报的已标价工程量清单项目的合价与其清单项目数量乘以综合单价计算结果不一</w:t>
      </w:r>
      <w:r>
        <w:rPr>
          <w:rFonts w:ascii="宋体" w:hAnsi="宋体" w:eastAsia="宋体" w:cs="宋体"/>
          <w:spacing w:val="11"/>
          <w:sz w:val="20"/>
          <w:szCs w:val="20"/>
        </w:rPr>
        <w:t>致的，应以清单项目综合单价为准，修正合价。但如相应清单项目的合价除以其</w:t>
      </w:r>
      <w:r>
        <w:rPr>
          <w:rFonts w:ascii="宋体" w:hAnsi="宋体" w:eastAsia="宋体" w:cs="宋体"/>
          <w:spacing w:val="10"/>
          <w:sz w:val="20"/>
          <w:szCs w:val="20"/>
        </w:rPr>
        <w:t>工程数量得到的综</w:t>
      </w:r>
      <w:r>
        <w:rPr>
          <w:rFonts w:ascii="宋体" w:hAnsi="宋体" w:eastAsia="宋体" w:cs="宋体"/>
          <w:spacing w:val="11"/>
          <w:sz w:val="20"/>
          <w:szCs w:val="20"/>
        </w:rPr>
        <w:t>合单价与已标价工程量清单内相同清单项目的综合单价相符，或清单项目的综合</w:t>
      </w:r>
      <w:r>
        <w:rPr>
          <w:rFonts w:ascii="宋体" w:hAnsi="宋体" w:eastAsia="宋体" w:cs="宋体"/>
          <w:spacing w:val="10"/>
          <w:sz w:val="20"/>
          <w:szCs w:val="20"/>
        </w:rPr>
        <w:t>单价小数点有明显</w:t>
      </w:r>
      <w:r>
        <w:rPr>
          <w:rFonts w:ascii="宋体" w:hAnsi="宋体" w:eastAsia="宋体" w:cs="宋体"/>
          <w:spacing w:val="9"/>
          <w:sz w:val="20"/>
          <w:szCs w:val="20"/>
        </w:rPr>
        <w:t>错误或明显不合理的，应以清单项目合价为准，修正其综合单价。</w:t>
      </w:r>
    </w:p>
    <w:p>
      <w:pPr>
        <w:spacing w:before="153" w:line="332" w:lineRule="auto"/>
        <w:ind w:left="2" w:right="170" w:firstLine="420"/>
        <w:rPr>
          <w:rFonts w:ascii="宋体" w:hAnsi="宋体" w:eastAsia="宋体" w:cs="宋体"/>
          <w:sz w:val="20"/>
          <w:szCs w:val="20"/>
        </w:rPr>
      </w:pPr>
      <w:r>
        <w:rPr>
          <w:rFonts w:ascii="宋体" w:hAnsi="宋体" w:eastAsia="宋体" w:cs="宋体"/>
          <w:spacing w:val="13"/>
          <w:sz w:val="20"/>
          <w:szCs w:val="20"/>
        </w:rPr>
        <w:t>5. 投标人所报的单价计价的已标价工程量清单项目综合单价与其综合单价分析表中的</w:t>
      </w:r>
      <w:r>
        <w:rPr>
          <w:rFonts w:ascii="宋体" w:hAnsi="宋体" w:eastAsia="宋体" w:cs="宋体"/>
          <w:spacing w:val="12"/>
          <w:sz w:val="20"/>
          <w:szCs w:val="20"/>
        </w:rPr>
        <w:t>综合单</w:t>
      </w:r>
      <w:r>
        <w:rPr>
          <w:rFonts w:ascii="宋体" w:hAnsi="宋体" w:eastAsia="宋体" w:cs="宋体"/>
          <w:spacing w:val="11"/>
          <w:sz w:val="20"/>
          <w:szCs w:val="20"/>
        </w:rPr>
        <w:t>价不一致，或总价计价清单项目价格与其构成明细分析表中的清单项目价格</w:t>
      </w:r>
      <w:r>
        <w:rPr>
          <w:rFonts w:ascii="宋体" w:hAnsi="宋体" w:eastAsia="宋体" w:cs="宋体"/>
          <w:spacing w:val="10"/>
          <w:sz w:val="20"/>
          <w:szCs w:val="20"/>
        </w:rPr>
        <w:t>不一致的，应以已标价</w:t>
      </w:r>
      <w:r>
        <w:rPr>
          <w:rFonts w:ascii="宋体" w:hAnsi="宋体" w:eastAsia="宋体" w:cs="宋体"/>
          <w:spacing w:val="7"/>
          <w:sz w:val="20"/>
          <w:szCs w:val="20"/>
        </w:rPr>
        <w:t>工程量清单的清单项目综合单价和(或)清单项目价格为</w:t>
      </w:r>
      <w:r>
        <w:rPr>
          <w:rFonts w:ascii="宋体" w:hAnsi="宋体" w:eastAsia="宋体" w:cs="宋体"/>
          <w:spacing w:val="6"/>
          <w:sz w:val="20"/>
          <w:szCs w:val="20"/>
        </w:rPr>
        <w:t>准，修正其分析表的报价。</w:t>
      </w:r>
    </w:p>
    <w:p>
      <w:pPr>
        <w:spacing w:before="123" w:line="312" w:lineRule="auto"/>
        <w:ind w:left="3" w:right="169" w:firstLine="420"/>
        <w:rPr>
          <w:rFonts w:ascii="宋体" w:hAnsi="宋体" w:eastAsia="宋体" w:cs="宋体"/>
          <w:sz w:val="20"/>
          <w:szCs w:val="20"/>
        </w:rPr>
      </w:pPr>
      <w:r>
        <w:rPr>
          <w:rFonts w:ascii="宋体" w:hAnsi="宋体" w:eastAsia="宋体" w:cs="宋体"/>
          <w:spacing w:val="6"/>
          <w:sz w:val="20"/>
          <w:szCs w:val="20"/>
        </w:rPr>
        <w:t>6. 增值税应依据修正后的分部分项工程项目清</w:t>
      </w:r>
      <w:r>
        <w:rPr>
          <w:rFonts w:ascii="宋体" w:hAnsi="宋体" w:eastAsia="宋体" w:cs="宋体"/>
          <w:spacing w:val="5"/>
          <w:sz w:val="20"/>
          <w:szCs w:val="20"/>
        </w:rPr>
        <w:t>单、措施项目清单、其他项目清单(专业工程暂估</w:t>
      </w:r>
      <w:r>
        <w:rPr>
          <w:rFonts w:ascii="宋体" w:hAnsi="宋体" w:eastAsia="宋体" w:cs="宋体"/>
          <w:spacing w:val="6"/>
          <w:sz w:val="20"/>
          <w:szCs w:val="20"/>
        </w:rPr>
        <w:t>价除外)的算术总价乘以税率修正其报价。</w:t>
      </w:r>
    </w:p>
    <w:p>
      <w:pPr>
        <w:spacing w:before="125" w:line="346" w:lineRule="auto"/>
        <w:ind w:right="170" w:firstLine="420"/>
        <w:rPr>
          <w:rFonts w:ascii="宋体" w:hAnsi="宋体" w:eastAsia="宋体" w:cs="宋体"/>
          <w:sz w:val="20"/>
          <w:szCs w:val="20"/>
        </w:rPr>
      </w:pPr>
      <w:r>
        <w:rPr>
          <w:rFonts w:ascii="宋体" w:hAnsi="宋体" w:eastAsia="宋体" w:cs="宋体"/>
          <w:spacing w:val="7"/>
          <w:sz w:val="20"/>
          <w:szCs w:val="20"/>
        </w:rPr>
        <w:t>7. 按本条文第</w:t>
      </w:r>
      <w:r>
        <w:rPr>
          <w:rFonts w:ascii="宋体" w:hAnsi="宋体" w:eastAsia="宋体" w:cs="宋体"/>
          <w:spacing w:val="-31"/>
          <w:sz w:val="20"/>
          <w:szCs w:val="20"/>
        </w:rPr>
        <w:t xml:space="preserve"> </w:t>
      </w:r>
      <w:r>
        <w:rPr>
          <w:rFonts w:ascii="宋体" w:hAnsi="宋体" w:eastAsia="宋体" w:cs="宋体"/>
          <w:spacing w:val="7"/>
          <w:sz w:val="20"/>
          <w:szCs w:val="20"/>
        </w:rPr>
        <w:t>2</w:t>
      </w:r>
      <w:r>
        <w:rPr>
          <w:rFonts w:ascii="宋体" w:hAnsi="宋体" w:eastAsia="宋体" w:cs="宋体"/>
          <w:spacing w:val="-42"/>
          <w:sz w:val="20"/>
          <w:szCs w:val="20"/>
        </w:rPr>
        <w:t xml:space="preserve"> </w:t>
      </w:r>
      <w:r>
        <w:rPr>
          <w:rFonts w:ascii="宋体" w:hAnsi="宋体" w:eastAsia="宋体" w:cs="宋体"/>
          <w:spacing w:val="7"/>
          <w:sz w:val="20"/>
          <w:szCs w:val="20"/>
        </w:rPr>
        <w:t>款～第</w:t>
      </w:r>
      <w:r>
        <w:rPr>
          <w:rFonts w:ascii="宋体" w:hAnsi="宋体" w:eastAsia="宋体" w:cs="宋体"/>
          <w:spacing w:val="-43"/>
          <w:sz w:val="20"/>
          <w:szCs w:val="20"/>
        </w:rPr>
        <w:t xml:space="preserve"> </w:t>
      </w:r>
      <w:r>
        <w:rPr>
          <w:rFonts w:ascii="宋体" w:hAnsi="宋体" w:eastAsia="宋体" w:cs="宋体"/>
          <w:spacing w:val="7"/>
          <w:sz w:val="20"/>
          <w:szCs w:val="20"/>
        </w:rPr>
        <w:t>6</w:t>
      </w:r>
      <w:r>
        <w:rPr>
          <w:rFonts w:ascii="宋体" w:hAnsi="宋体" w:eastAsia="宋体" w:cs="宋体"/>
          <w:spacing w:val="-41"/>
          <w:sz w:val="20"/>
          <w:szCs w:val="20"/>
        </w:rPr>
        <w:t xml:space="preserve"> </w:t>
      </w:r>
      <w:r>
        <w:rPr>
          <w:rFonts w:ascii="宋体" w:hAnsi="宋体" w:eastAsia="宋体" w:cs="宋体"/>
          <w:spacing w:val="7"/>
          <w:sz w:val="20"/>
          <w:szCs w:val="20"/>
        </w:rPr>
        <w:t>款规定完成修正的算术正确投标总价与投标函内的投标总价存在误差</w:t>
      </w:r>
      <w:r>
        <w:rPr>
          <w:rFonts w:ascii="宋体" w:hAnsi="宋体" w:eastAsia="宋体" w:cs="宋体"/>
          <w:spacing w:val="6"/>
          <w:sz w:val="20"/>
          <w:szCs w:val="20"/>
        </w:rPr>
        <w:t>的，应按总误差金额占分部分项工程项目清单报价总额(不含材料暂估价项目)的比率分摊</w:t>
      </w:r>
      <w:r>
        <w:rPr>
          <w:rFonts w:ascii="宋体" w:hAnsi="宋体" w:eastAsia="宋体" w:cs="宋体"/>
          <w:spacing w:val="5"/>
          <w:sz w:val="20"/>
          <w:szCs w:val="20"/>
        </w:rPr>
        <w:t>到各分部分</w:t>
      </w:r>
      <w:r>
        <w:rPr>
          <w:rFonts w:ascii="宋体" w:hAnsi="宋体" w:eastAsia="宋体" w:cs="宋体"/>
          <w:spacing w:val="10"/>
          <w:sz w:val="20"/>
          <w:szCs w:val="20"/>
        </w:rPr>
        <w:t>项工程清单项目的综合单价及其合价上，</w:t>
      </w:r>
      <w:r>
        <w:rPr>
          <w:rFonts w:ascii="宋体" w:hAnsi="宋体" w:eastAsia="宋体" w:cs="宋体"/>
          <w:spacing w:val="-56"/>
          <w:sz w:val="20"/>
          <w:szCs w:val="20"/>
        </w:rPr>
        <w:t xml:space="preserve"> </w:t>
      </w:r>
      <w:r>
        <w:rPr>
          <w:rFonts w:ascii="宋体" w:hAnsi="宋体" w:eastAsia="宋体" w:cs="宋体"/>
          <w:spacing w:val="10"/>
          <w:sz w:val="20"/>
          <w:szCs w:val="20"/>
        </w:rPr>
        <w:t>经分摊调整后的修正综合单价及其合</w:t>
      </w:r>
      <w:r>
        <w:rPr>
          <w:rFonts w:ascii="宋体" w:hAnsi="宋体" w:eastAsia="宋体" w:cs="宋体"/>
          <w:spacing w:val="9"/>
          <w:sz w:val="20"/>
          <w:szCs w:val="20"/>
        </w:rPr>
        <w:t>价可作为中标后合同</w:t>
      </w:r>
      <w:r>
        <w:rPr>
          <w:rFonts w:ascii="宋体" w:hAnsi="宋体" w:eastAsia="宋体" w:cs="宋体"/>
          <w:spacing w:val="11"/>
          <w:sz w:val="20"/>
          <w:szCs w:val="20"/>
        </w:rPr>
        <w:t>约定进度款计算和工程变更等合同价款调整计价的依据，但分摊后综合单价内</w:t>
      </w:r>
      <w:r>
        <w:rPr>
          <w:rFonts w:ascii="宋体" w:hAnsi="宋体" w:eastAsia="宋体" w:cs="宋体"/>
          <w:spacing w:val="10"/>
          <w:sz w:val="20"/>
          <w:szCs w:val="20"/>
        </w:rPr>
        <w:t>所含的材料暂估价仍</w:t>
      </w:r>
      <w:r>
        <w:rPr>
          <w:rFonts w:ascii="宋体" w:hAnsi="宋体" w:eastAsia="宋体" w:cs="宋体"/>
          <w:spacing w:val="9"/>
          <w:sz w:val="20"/>
          <w:szCs w:val="20"/>
        </w:rPr>
        <w:t>应按招标工程量清单提供的材料暂估价计算。</w:t>
      </w:r>
    </w:p>
    <w:p>
      <w:pPr>
        <w:spacing w:before="125" w:line="276" w:lineRule="exact"/>
        <w:ind w:left="413"/>
        <w:rPr>
          <w:rFonts w:ascii="宋体" w:hAnsi="宋体" w:eastAsia="宋体" w:cs="宋体"/>
          <w:sz w:val="20"/>
          <w:szCs w:val="20"/>
        </w:rPr>
      </w:pPr>
      <w:r>
        <w:rPr>
          <w:rFonts w:ascii="宋体" w:hAnsi="宋体" w:eastAsia="宋体" w:cs="宋体"/>
          <w:spacing w:val="10"/>
          <w:position w:val="1"/>
          <w:sz w:val="20"/>
          <w:szCs w:val="20"/>
        </w:rPr>
        <w:t>（三）投标报价存在下列报价合理性疑问的，可要求投标人作出</w:t>
      </w:r>
      <w:r>
        <w:rPr>
          <w:rFonts w:ascii="宋体" w:hAnsi="宋体" w:eastAsia="宋体" w:cs="宋体"/>
          <w:spacing w:val="9"/>
          <w:position w:val="1"/>
          <w:sz w:val="20"/>
          <w:szCs w:val="20"/>
        </w:rPr>
        <w:t>相应的澄清或说明：</w:t>
      </w:r>
    </w:p>
    <w:p>
      <w:pPr>
        <w:spacing w:before="125" w:line="276" w:lineRule="exact"/>
        <w:jc w:val="right"/>
        <w:rPr>
          <w:rFonts w:ascii="宋体" w:hAnsi="宋体" w:eastAsia="宋体" w:cs="宋体"/>
          <w:sz w:val="20"/>
          <w:szCs w:val="20"/>
        </w:rPr>
      </w:pPr>
      <w:r>
        <w:rPr>
          <w:rFonts w:ascii="宋体" w:hAnsi="宋体" w:eastAsia="宋体" w:cs="宋体"/>
          <w:spacing w:val="7"/>
          <w:position w:val="1"/>
          <w:sz w:val="20"/>
          <w:szCs w:val="20"/>
        </w:rPr>
        <w:t>1. 材料暂估价清单项目的综合单价与类似工程量清单项目综合单价</w:t>
      </w:r>
      <w:r>
        <w:rPr>
          <w:rFonts w:ascii="宋体" w:hAnsi="宋体" w:eastAsia="宋体" w:cs="宋体"/>
          <w:spacing w:val="6"/>
          <w:position w:val="1"/>
          <w:sz w:val="20"/>
          <w:szCs w:val="20"/>
        </w:rPr>
        <w:t>相比，非合理性偏低或偏高；</w:t>
      </w:r>
    </w:p>
    <w:p>
      <w:pPr>
        <w:spacing w:before="122" w:line="276" w:lineRule="exact"/>
        <w:ind w:left="423"/>
        <w:rPr>
          <w:rFonts w:ascii="宋体" w:hAnsi="宋体" w:eastAsia="宋体" w:cs="宋体"/>
          <w:sz w:val="20"/>
          <w:szCs w:val="20"/>
        </w:rPr>
      </w:pPr>
      <w:r>
        <w:rPr>
          <w:rFonts w:ascii="宋体" w:hAnsi="宋体" w:eastAsia="宋体" w:cs="宋体"/>
          <w:spacing w:val="8"/>
          <w:position w:val="1"/>
          <w:sz w:val="20"/>
          <w:szCs w:val="20"/>
        </w:rPr>
        <w:t>2. 承包人负责安装的由发包人提供材料的清单项目综合</w:t>
      </w:r>
      <w:r>
        <w:rPr>
          <w:rFonts w:ascii="宋体" w:hAnsi="宋体" w:eastAsia="宋体" w:cs="宋体"/>
          <w:spacing w:val="7"/>
          <w:position w:val="1"/>
          <w:sz w:val="20"/>
          <w:szCs w:val="20"/>
        </w:rPr>
        <w:t>单价非合理性偏高或偏低；</w:t>
      </w:r>
    </w:p>
    <w:p>
      <w:pPr>
        <w:spacing w:before="123" w:line="347" w:lineRule="auto"/>
        <w:ind w:right="169" w:firstLine="425"/>
        <w:rPr>
          <w:rFonts w:ascii="宋体" w:hAnsi="宋体" w:eastAsia="宋体" w:cs="宋体"/>
          <w:sz w:val="20"/>
          <w:szCs w:val="20"/>
        </w:rPr>
      </w:pPr>
      <w:r>
        <w:rPr>
          <w:rFonts w:ascii="宋体" w:hAnsi="宋体" w:eastAsia="宋体" w:cs="宋体"/>
          <w:spacing w:val="13"/>
          <w:sz w:val="20"/>
          <w:szCs w:val="20"/>
        </w:rPr>
        <w:t>3. 分部分项工程清单项目的综合单价与同类工程的同期市场竞争合理价格相</w:t>
      </w:r>
      <w:r>
        <w:rPr>
          <w:rFonts w:ascii="宋体" w:hAnsi="宋体" w:eastAsia="宋体" w:cs="宋体"/>
          <w:spacing w:val="12"/>
          <w:sz w:val="20"/>
          <w:szCs w:val="20"/>
        </w:rPr>
        <w:t>比非合理性偏低</w:t>
      </w:r>
      <w:r>
        <w:rPr>
          <w:rFonts w:ascii="宋体" w:hAnsi="宋体" w:eastAsia="宋体" w:cs="宋体"/>
          <w:spacing w:val="11"/>
          <w:sz w:val="20"/>
          <w:szCs w:val="20"/>
        </w:rPr>
        <w:t>或偏高，可要求投标人提供证明其所报综合单价不低于成本价或报价合理的支</w:t>
      </w:r>
      <w:r>
        <w:rPr>
          <w:rFonts w:ascii="宋体" w:hAnsi="宋体" w:eastAsia="宋体" w:cs="宋体"/>
          <w:spacing w:val="10"/>
          <w:sz w:val="20"/>
          <w:szCs w:val="20"/>
        </w:rPr>
        <w:t>持资料。并可要求投</w:t>
      </w:r>
      <w:r>
        <w:rPr>
          <w:rFonts w:ascii="宋体" w:hAnsi="宋体" w:eastAsia="宋体" w:cs="宋体"/>
          <w:spacing w:val="11"/>
          <w:sz w:val="20"/>
          <w:szCs w:val="20"/>
        </w:rPr>
        <w:t>标人在不改变投标总价的前提下，提供用于已标价工程量清单所列清单项目数</w:t>
      </w:r>
      <w:r>
        <w:rPr>
          <w:rFonts w:ascii="宋体" w:hAnsi="宋体" w:eastAsia="宋体" w:cs="宋体"/>
          <w:spacing w:val="10"/>
          <w:sz w:val="20"/>
          <w:szCs w:val="20"/>
        </w:rPr>
        <w:t>量增减的计价和工程</w:t>
      </w:r>
      <w:r>
        <w:rPr>
          <w:rFonts w:ascii="宋体" w:hAnsi="宋体" w:eastAsia="宋体" w:cs="宋体"/>
          <w:spacing w:val="6"/>
          <w:sz w:val="20"/>
          <w:szCs w:val="20"/>
        </w:rPr>
        <w:t>变更计价的合理修正综合单价</w:t>
      </w:r>
      <w:r>
        <w:rPr>
          <w:rFonts w:ascii="宋体" w:hAnsi="宋体" w:eastAsia="宋体" w:cs="宋体"/>
          <w:spacing w:val="-59"/>
          <w:sz w:val="20"/>
          <w:szCs w:val="20"/>
        </w:rPr>
        <w:t xml:space="preserve"> </w:t>
      </w:r>
      <w:r>
        <w:rPr>
          <w:rFonts w:ascii="宋体" w:hAnsi="宋体" w:eastAsia="宋体" w:cs="宋体"/>
          <w:spacing w:val="6"/>
          <w:sz w:val="20"/>
          <w:szCs w:val="20"/>
        </w:rPr>
        <w:t>，按国家计价标准第</w:t>
      </w:r>
      <w:r>
        <w:rPr>
          <w:rFonts w:ascii="宋体" w:hAnsi="宋体" w:eastAsia="宋体" w:cs="宋体"/>
          <w:spacing w:val="-33"/>
          <w:sz w:val="20"/>
          <w:szCs w:val="20"/>
        </w:rPr>
        <w:t xml:space="preserve"> </w:t>
      </w:r>
      <w:r>
        <w:rPr>
          <w:rFonts w:ascii="宋体" w:hAnsi="宋体" w:eastAsia="宋体" w:cs="宋体"/>
          <w:spacing w:val="6"/>
          <w:sz w:val="20"/>
          <w:szCs w:val="20"/>
        </w:rPr>
        <w:t>3.</w:t>
      </w:r>
      <w:r>
        <w:rPr>
          <w:rFonts w:ascii="宋体" w:hAnsi="宋体" w:eastAsia="宋体" w:cs="宋体"/>
          <w:spacing w:val="5"/>
          <w:sz w:val="20"/>
          <w:szCs w:val="20"/>
        </w:rPr>
        <w:t>1.5</w:t>
      </w:r>
      <w:r>
        <w:rPr>
          <w:rFonts w:ascii="宋体" w:hAnsi="宋体" w:eastAsia="宋体" w:cs="宋体"/>
          <w:spacing w:val="-38"/>
          <w:sz w:val="20"/>
          <w:szCs w:val="20"/>
        </w:rPr>
        <w:t xml:space="preserve"> </w:t>
      </w:r>
      <w:r>
        <w:rPr>
          <w:rFonts w:ascii="宋体" w:hAnsi="宋体" w:eastAsia="宋体" w:cs="宋体"/>
          <w:spacing w:val="5"/>
          <w:sz w:val="20"/>
          <w:szCs w:val="20"/>
        </w:rPr>
        <w:t>条第</w:t>
      </w:r>
      <w:r>
        <w:rPr>
          <w:rFonts w:ascii="宋体" w:hAnsi="宋体" w:eastAsia="宋体" w:cs="宋体"/>
          <w:spacing w:val="-20"/>
          <w:sz w:val="20"/>
          <w:szCs w:val="20"/>
        </w:rPr>
        <w:t xml:space="preserve"> </w:t>
      </w:r>
      <w:r>
        <w:rPr>
          <w:rFonts w:ascii="宋体" w:hAnsi="宋体" w:eastAsia="宋体" w:cs="宋体"/>
          <w:spacing w:val="5"/>
          <w:sz w:val="20"/>
          <w:szCs w:val="20"/>
        </w:rPr>
        <w:t>1</w:t>
      </w:r>
      <w:r>
        <w:rPr>
          <w:rFonts w:ascii="宋体" w:hAnsi="宋体" w:eastAsia="宋体" w:cs="宋体"/>
          <w:spacing w:val="-39"/>
          <w:sz w:val="20"/>
          <w:szCs w:val="20"/>
        </w:rPr>
        <w:t xml:space="preserve"> </w:t>
      </w:r>
      <w:r>
        <w:rPr>
          <w:rFonts w:ascii="宋体" w:hAnsi="宋体" w:eastAsia="宋体" w:cs="宋体"/>
          <w:spacing w:val="5"/>
          <w:sz w:val="20"/>
          <w:szCs w:val="20"/>
        </w:rPr>
        <w:t>款规定提交给评标委员会(或定标委</w:t>
      </w:r>
      <w:r>
        <w:rPr>
          <w:rFonts w:ascii="宋体" w:hAnsi="宋体" w:eastAsia="宋体" w:cs="宋体"/>
          <w:spacing w:val="-3"/>
          <w:sz w:val="20"/>
          <w:szCs w:val="20"/>
        </w:rPr>
        <w:t>员会)评标 (或定标)参考。</w:t>
      </w:r>
    </w:p>
    <w:p>
      <w:pPr>
        <w:spacing w:before="121" w:line="277" w:lineRule="exact"/>
        <w:ind w:left="413"/>
        <w:rPr>
          <w:rFonts w:ascii="宋体" w:hAnsi="宋体" w:eastAsia="宋体" w:cs="宋体"/>
          <w:sz w:val="20"/>
          <w:szCs w:val="20"/>
        </w:rPr>
      </w:pPr>
      <w:r>
        <w:rPr>
          <w:rFonts w:ascii="宋体" w:hAnsi="宋体" w:eastAsia="宋体" w:cs="宋体"/>
          <w:spacing w:val="6"/>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四）投标人存在下列未按要求完整(漏报或未报)填写投标报价的，可要求投标人澄清或说明：</w:t>
      </w:r>
    </w:p>
    <w:p>
      <w:pPr>
        <w:spacing w:before="125" w:line="298" w:lineRule="auto"/>
        <w:ind w:right="170" w:firstLine="439"/>
        <w:rPr>
          <w:rFonts w:ascii="宋体" w:hAnsi="宋体" w:eastAsia="宋体" w:cs="宋体"/>
          <w:sz w:val="20"/>
          <w:szCs w:val="20"/>
        </w:rPr>
      </w:pPr>
      <w:r>
        <w:rPr>
          <w:rFonts w:ascii="宋体" w:hAnsi="宋体" w:eastAsia="宋体" w:cs="宋体"/>
          <w:spacing w:val="8"/>
          <w:sz w:val="20"/>
          <w:szCs w:val="20"/>
        </w:rPr>
        <w:t>1. 未按要求填报总价合同中分部分项工程清单项目</w:t>
      </w:r>
      <w:r>
        <w:rPr>
          <w:rFonts w:ascii="宋体" w:hAnsi="宋体" w:eastAsia="宋体" w:cs="宋体"/>
          <w:spacing w:val="7"/>
          <w:sz w:val="20"/>
          <w:szCs w:val="20"/>
        </w:rPr>
        <w:t>综合单价及合价的，其费用可视为已包含在</w:t>
      </w:r>
      <w:r>
        <w:rPr>
          <w:rFonts w:ascii="宋体" w:hAnsi="宋体" w:eastAsia="宋体" w:cs="宋体"/>
          <w:spacing w:val="10"/>
          <w:sz w:val="20"/>
          <w:szCs w:val="20"/>
        </w:rPr>
        <w:t>其他的清单项目综合单价、合价及投标总价中</w:t>
      </w:r>
      <w:r>
        <w:rPr>
          <w:rFonts w:ascii="宋体" w:hAnsi="宋体" w:eastAsia="宋体" w:cs="宋体"/>
          <w:spacing w:val="9"/>
          <w:sz w:val="20"/>
          <w:szCs w:val="20"/>
        </w:rPr>
        <w:t>，工程结算时不做重新计价及调整；</w:t>
      </w:r>
    </w:p>
    <w:p>
      <w:pPr>
        <w:spacing w:before="154" w:line="298" w:lineRule="auto"/>
        <w:ind w:left="7" w:right="169" w:firstLine="415"/>
        <w:rPr>
          <w:rFonts w:ascii="宋体" w:hAnsi="宋体" w:eastAsia="宋体" w:cs="宋体"/>
          <w:sz w:val="20"/>
          <w:szCs w:val="20"/>
        </w:rPr>
      </w:pPr>
      <w:r>
        <w:rPr>
          <w:rFonts w:ascii="宋体" w:hAnsi="宋体" w:eastAsia="宋体" w:cs="宋体"/>
          <w:spacing w:val="8"/>
          <w:sz w:val="20"/>
          <w:szCs w:val="20"/>
        </w:rPr>
        <w:t>2. 未按要求填报措施清单项目的价格、按项计价的分部分项工程清单项目的价格，其费用可视</w:t>
      </w:r>
      <w:r>
        <w:rPr>
          <w:rFonts w:ascii="宋体" w:hAnsi="宋体" w:eastAsia="宋体" w:cs="宋体"/>
          <w:spacing w:val="9"/>
          <w:sz w:val="20"/>
          <w:szCs w:val="20"/>
        </w:rPr>
        <w:t>为已包含在其他的清单项目综合单价、合价及投标总价中，工程结算时不做重新计价及调整；</w:t>
      </w:r>
    </w:p>
    <w:p>
      <w:pPr>
        <w:spacing w:before="154" w:line="321" w:lineRule="auto"/>
        <w:ind w:left="3" w:right="170" w:firstLine="423"/>
        <w:rPr>
          <w:rFonts w:ascii="宋体" w:hAnsi="宋体" w:eastAsia="宋体" w:cs="宋体"/>
          <w:sz w:val="20"/>
          <w:szCs w:val="20"/>
        </w:rPr>
      </w:pPr>
      <w:r>
        <w:rPr>
          <w:rFonts w:ascii="宋体" w:hAnsi="宋体" w:eastAsia="宋体" w:cs="宋体"/>
          <w:spacing w:val="8"/>
          <w:sz w:val="20"/>
          <w:szCs w:val="20"/>
        </w:rPr>
        <w:t>3. 未按要求填报单价合同中分部分项工程清单项目的综合单价及合价的，招标人可</w:t>
      </w:r>
      <w:r>
        <w:rPr>
          <w:rFonts w:ascii="宋体" w:hAnsi="宋体" w:eastAsia="宋体" w:cs="宋体"/>
          <w:spacing w:val="7"/>
          <w:sz w:val="20"/>
          <w:szCs w:val="20"/>
        </w:rPr>
        <w:t>要求投标人</w:t>
      </w:r>
      <w:r>
        <w:rPr>
          <w:rFonts w:ascii="宋体" w:hAnsi="宋体" w:eastAsia="宋体" w:cs="宋体"/>
          <w:spacing w:val="11"/>
          <w:sz w:val="20"/>
          <w:szCs w:val="20"/>
        </w:rPr>
        <w:t>澄清或说明未填报清单项目的综合单价及合价，并确认由此增加的清单项</w:t>
      </w:r>
      <w:r>
        <w:rPr>
          <w:rFonts w:ascii="宋体" w:hAnsi="宋体" w:eastAsia="宋体" w:cs="宋体"/>
          <w:spacing w:val="10"/>
          <w:sz w:val="20"/>
          <w:szCs w:val="20"/>
        </w:rPr>
        <w:t>目合价从措施项目清单的</w:t>
      </w:r>
      <w:r>
        <w:rPr>
          <w:rFonts w:ascii="宋体" w:hAnsi="宋体" w:eastAsia="宋体" w:cs="宋体"/>
          <w:spacing w:val="11"/>
          <w:sz w:val="20"/>
          <w:szCs w:val="20"/>
        </w:rPr>
        <w:t>报价总额中扣减，且扣减的措施项目费用视为不影响投标人按合同要求履</w:t>
      </w:r>
      <w:r>
        <w:rPr>
          <w:rFonts w:ascii="宋体" w:hAnsi="宋体" w:eastAsia="宋体" w:cs="宋体"/>
          <w:spacing w:val="10"/>
          <w:sz w:val="20"/>
          <w:szCs w:val="20"/>
        </w:rPr>
        <w:t>行措施项目责任及其费用</w:t>
      </w:r>
    </w:p>
    <w:p>
      <w:pPr>
        <w:spacing w:line="321" w:lineRule="auto"/>
        <w:rPr>
          <w:rFonts w:ascii="宋体" w:hAnsi="宋体" w:eastAsia="宋体" w:cs="宋体"/>
          <w:sz w:val="20"/>
          <w:szCs w:val="20"/>
        </w:rPr>
        <w:sectPr>
          <w:footerReference r:id="rId53" w:type="default"/>
          <w:pgSz w:w="11905" w:h="16840"/>
          <w:pgMar w:top="1431" w:right="1249" w:bottom="1213" w:left="1418" w:header="0" w:footer="898" w:gutter="0"/>
        </w:sectPr>
      </w:pPr>
    </w:p>
    <w:p>
      <w:pPr>
        <w:spacing w:before="128" w:line="368" w:lineRule="auto"/>
        <w:ind w:left="4" w:right="64" w:hanging="4"/>
        <w:rPr>
          <w:rFonts w:ascii="宋体" w:hAnsi="宋体" w:eastAsia="宋体" w:cs="宋体"/>
          <w:sz w:val="20"/>
          <w:szCs w:val="20"/>
        </w:rPr>
      </w:pPr>
      <w:r>
        <w:rPr>
          <w:rFonts w:ascii="宋体" w:hAnsi="宋体" w:eastAsia="宋体" w:cs="宋体"/>
          <w:spacing w:val="11"/>
          <w:sz w:val="20"/>
          <w:szCs w:val="20"/>
        </w:rPr>
        <w:t>包干的约定，如措施项目清单的报价总额不足以扣除，不足部分可按比例分摊</w:t>
      </w:r>
      <w:r>
        <w:rPr>
          <w:rFonts w:ascii="宋体" w:hAnsi="宋体" w:eastAsia="宋体" w:cs="宋体"/>
          <w:spacing w:val="10"/>
          <w:sz w:val="20"/>
          <w:szCs w:val="20"/>
        </w:rPr>
        <w:t>到各分部分项工程量</w:t>
      </w:r>
      <w:r>
        <w:rPr>
          <w:rFonts w:ascii="宋体" w:hAnsi="宋体" w:eastAsia="宋体" w:cs="宋体"/>
          <w:spacing w:val="8"/>
          <w:sz w:val="20"/>
          <w:szCs w:val="20"/>
        </w:rPr>
        <w:t>清单项目的综合单价和合价中。</w:t>
      </w:r>
    </w:p>
    <w:p>
      <w:pPr>
        <w:spacing w:line="296" w:lineRule="auto"/>
        <w:ind w:right="64" w:firstLine="413"/>
        <w:rPr>
          <w:rFonts w:ascii="宋体" w:hAnsi="宋体" w:eastAsia="宋体" w:cs="宋体"/>
          <w:sz w:val="20"/>
          <w:szCs w:val="20"/>
        </w:rPr>
      </w:pPr>
      <w:r>
        <w:rPr>
          <w:rFonts w:ascii="宋体" w:hAnsi="宋体" w:eastAsia="宋体" w:cs="宋体"/>
          <w:spacing w:val="5"/>
          <w:sz w:val="20"/>
          <w:szCs w:val="20"/>
        </w:rPr>
        <w:t>（五）投标人回复的投标报价澄清或说明文件应包括提供国家计价标准第</w:t>
      </w:r>
      <w:r>
        <w:rPr>
          <w:rFonts w:ascii="宋体" w:hAnsi="宋体" w:eastAsia="宋体" w:cs="宋体"/>
          <w:spacing w:val="-27"/>
          <w:sz w:val="20"/>
          <w:szCs w:val="20"/>
        </w:rPr>
        <w:t xml:space="preserve"> </w:t>
      </w:r>
      <w:r>
        <w:rPr>
          <w:rFonts w:ascii="宋体" w:hAnsi="宋体" w:eastAsia="宋体" w:cs="宋体"/>
          <w:spacing w:val="5"/>
          <w:sz w:val="20"/>
          <w:szCs w:val="20"/>
        </w:rPr>
        <w:t>3.5.3</w:t>
      </w:r>
      <w:r>
        <w:rPr>
          <w:rFonts w:ascii="宋体" w:hAnsi="宋体" w:eastAsia="宋体" w:cs="宋体"/>
          <w:spacing w:val="-40"/>
          <w:sz w:val="20"/>
          <w:szCs w:val="20"/>
        </w:rPr>
        <w:t xml:space="preserve"> </w:t>
      </w:r>
      <w:r>
        <w:rPr>
          <w:rFonts w:ascii="宋体" w:hAnsi="宋体" w:eastAsia="宋体" w:cs="宋体"/>
          <w:spacing w:val="5"/>
          <w:sz w:val="20"/>
          <w:szCs w:val="20"/>
        </w:rPr>
        <w:t>条规定需提供的</w:t>
      </w:r>
      <w:r>
        <w:rPr>
          <w:rFonts w:ascii="宋体" w:hAnsi="宋体" w:eastAsia="宋体" w:cs="宋体"/>
          <w:spacing w:val="10"/>
          <w:sz w:val="20"/>
          <w:szCs w:val="20"/>
        </w:rPr>
        <w:t>证明其报价合理的支持文件，但不应涉及要求澄</w:t>
      </w:r>
      <w:r>
        <w:rPr>
          <w:rFonts w:ascii="宋体" w:hAnsi="宋体" w:eastAsia="宋体" w:cs="宋体"/>
          <w:spacing w:val="9"/>
          <w:sz w:val="20"/>
          <w:szCs w:val="20"/>
        </w:rPr>
        <w:t>清或说明文件中未要求回复的内容。</w:t>
      </w:r>
    </w:p>
    <w:p>
      <w:pPr>
        <w:spacing w:before="156" w:line="298" w:lineRule="auto"/>
        <w:ind w:firstLine="413"/>
        <w:rPr>
          <w:rFonts w:ascii="宋体" w:hAnsi="宋体" w:eastAsia="宋体" w:cs="宋体"/>
          <w:sz w:val="20"/>
          <w:szCs w:val="20"/>
        </w:rPr>
      </w:pPr>
      <w:r>
        <w:rPr>
          <w:rFonts w:ascii="宋体" w:hAnsi="宋体" w:eastAsia="宋体" w:cs="宋体"/>
          <w:spacing w:val="8"/>
          <w:sz w:val="20"/>
          <w:szCs w:val="20"/>
        </w:rPr>
        <w:t>（六）要求澄清或说明的文件应以书面形式发出给相</w:t>
      </w:r>
      <w:r>
        <w:rPr>
          <w:rFonts w:ascii="宋体" w:hAnsi="宋体" w:eastAsia="宋体" w:cs="宋体"/>
          <w:spacing w:val="7"/>
          <w:sz w:val="20"/>
          <w:szCs w:val="20"/>
        </w:rPr>
        <w:t>关投标人，投标人应以书面形式予以回复，</w:t>
      </w:r>
      <w:r>
        <w:rPr>
          <w:rFonts w:ascii="宋体" w:hAnsi="宋体" w:eastAsia="宋体" w:cs="宋体"/>
          <w:spacing w:val="9"/>
          <w:sz w:val="20"/>
          <w:szCs w:val="20"/>
        </w:rPr>
        <w:t>要求澄清或说明的文件及回复文件在评标、定标过程中应严格保密。</w:t>
      </w:r>
    </w:p>
    <w:p>
      <w:pPr>
        <w:spacing w:before="154" w:line="313" w:lineRule="auto"/>
        <w:ind w:left="3" w:right="64" w:firstLine="409"/>
        <w:rPr>
          <w:rFonts w:ascii="宋体" w:hAnsi="宋体" w:eastAsia="宋体" w:cs="宋体"/>
          <w:sz w:val="20"/>
          <w:szCs w:val="20"/>
        </w:rPr>
      </w:pPr>
      <w:r>
        <w:rPr>
          <w:rFonts w:ascii="宋体" w:hAnsi="宋体" w:eastAsia="宋体" w:cs="宋体"/>
          <w:spacing w:val="6"/>
          <w:sz w:val="20"/>
          <w:szCs w:val="20"/>
        </w:rPr>
        <w:t>（七）评标委员会(或定标委员会)宜结合要求澄清或说明的文件和投标人提交的澄清</w:t>
      </w:r>
      <w:r>
        <w:rPr>
          <w:rFonts w:ascii="宋体" w:hAnsi="宋体" w:eastAsia="宋体" w:cs="宋体"/>
          <w:spacing w:val="5"/>
          <w:sz w:val="20"/>
          <w:szCs w:val="20"/>
        </w:rPr>
        <w:t>或说明回复</w:t>
      </w:r>
      <w:r>
        <w:rPr>
          <w:rFonts w:ascii="宋体" w:hAnsi="宋体" w:eastAsia="宋体" w:cs="宋体"/>
          <w:spacing w:val="-1"/>
          <w:sz w:val="20"/>
          <w:szCs w:val="20"/>
        </w:rPr>
        <w:t>文件进行评标(或定标)。</w:t>
      </w:r>
    </w:p>
    <w:p>
      <w:pPr>
        <w:spacing w:before="123" w:line="331" w:lineRule="auto"/>
        <w:ind w:right="64" w:firstLine="412"/>
        <w:rPr>
          <w:rFonts w:ascii="宋体" w:hAnsi="宋体" w:eastAsia="宋体" w:cs="宋体"/>
          <w:sz w:val="20"/>
          <w:szCs w:val="20"/>
        </w:rPr>
      </w:pPr>
      <w:r>
        <w:rPr>
          <w:rFonts w:ascii="宋体" w:hAnsi="宋体" w:eastAsia="宋体" w:cs="宋体"/>
          <w:spacing w:val="11"/>
          <w:sz w:val="20"/>
          <w:szCs w:val="20"/>
        </w:rPr>
        <w:t>（八）如响应要求澄清或说明的文件，提交回复文件的投标人中标，则中标人接收的要求澄清或说明的文件和回复文件可构成合同文件的组成部分，其已标价工程量清单的</w:t>
      </w:r>
      <w:r>
        <w:rPr>
          <w:rFonts w:ascii="宋体" w:hAnsi="宋体" w:eastAsia="宋体" w:cs="宋体"/>
          <w:spacing w:val="10"/>
          <w:sz w:val="20"/>
          <w:szCs w:val="20"/>
        </w:rPr>
        <w:t>综合单价及其修正综</w:t>
      </w:r>
      <w:r>
        <w:rPr>
          <w:rFonts w:ascii="宋体" w:hAnsi="宋体" w:eastAsia="宋体" w:cs="宋体"/>
          <w:spacing w:val="9"/>
          <w:sz w:val="20"/>
          <w:szCs w:val="20"/>
        </w:rPr>
        <w:t>合单价可作为合同单价，应用于国家计价标准第</w:t>
      </w:r>
      <w:r>
        <w:rPr>
          <w:rFonts w:ascii="宋体" w:hAnsi="宋体" w:eastAsia="宋体" w:cs="宋体"/>
          <w:spacing w:val="-37"/>
          <w:sz w:val="20"/>
          <w:szCs w:val="20"/>
        </w:rPr>
        <w:t xml:space="preserve"> </w:t>
      </w:r>
      <w:r>
        <w:rPr>
          <w:rFonts w:ascii="宋体" w:hAnsi="宋体" w:eastAsia="宋体" w:cs="宋体"/>
          <w:spacing w:val="9"/>
          <w:sz w:val="20"/>
          <w:szCs w:val="20"/>
        </w:rPr>
        <w:t>8</w:t>
      </w:r>
      <w:r>
        <w:rPr>
          <w:rFonts w:ascii="宋体" w:hAnsi="宋体" w:eastAsia="宋体" w:cs="宋体"/>
          <w:spacing w:val="-43"/>
          <w:sz w:val="20"/>
          <w:szCs w:val="20"/>
        </w:rPr>
        <w:t xml:space="preserve"> </w:t>
      </w:r>
      <w:r>
        <w:rPr>
          <w:rFonts w:ascii="宋体" w:hAnsi="宋体" w:eastAsia="宋体" w:cs="宋体"/>
          <w:spacing w:val="9"/>
          <w:sz w:val="20"/>
          <w:szCs w:val="20"/>
        </w:rPr>
        <w:t>章规定的合同价款调整的计价。</w:t>
      </w:r>
    </w:p>
    <w:p>
      <w:pPr>
        <w:spacing w:before="122" w:line="333" w:lineRule="auto"/>
        <w:ind w:right="64" w:firstLine="412"/>
        <w:rPr>
          <w:rFonts w:ascii="宋体" w:hAnsi="宋体" w:eastAsia="宋体" w:cs="宋体"/>
          <w:sz w:val="20"/>
          <w:szCs w:val="20"/>
        </w:rPr>
      </w:pPr>
      <w:r>
        <w:rPr>
          <w:rFonts w:ascii="宋体" w:hAnsi="宋体" w:eastAsia="宋体" w:cs="宋体"/>
          <w:spacing w:val="11"/>
          <w:sz w:val="20"/>
          <w:szCs w:val="20"/>
        </w:rPr>
        <w:t>（九）投标报价澄清或说明报告应载明澄清或说明工作程序、存在的主要问题、要求澄清或说明的问题、相应回复意见的简述等内容。投标报价澄清或说明报告不得就投标</w:t>
      </w:r>
      <w:r>
        <w:rPr>
          <w:rFonts w:ascii="宋体" w:hAnsi="宋体" w:eastAsia="宋体" w:cs="宋体"/>
          <w:spacing w:val="10"/>
          <w:sz w:val="20"/>
          <w:szCs w:val="20"/>
        </w:rPr>
        <w:t>人是否实质性响应招</w:t>
      </w:r>
      <w:r>
        <w:rPr>
          <w:rFonts w:ascii="宋体" w:hAnsi="宋体" w:eastAsia="宋体" w:cs="宋体"/>
          <w:spacing w:val="11"/>
          <w:sz w:val="20"/>
          <w:szCs w:val="20"/>
        </w:rPr>
        <w:t>标文件进行评价，应将要求澄清或说明的问题、投标人的相应回复意见等内容</w:t>
      </w:r>
      <w:r>
        <w:rPr>
          <w:rFonts w:ascii="宋体" w:hAnsi="宋体" w:eastAsia="宋体" w:cs="宋体"/>
          <w:spacing w:val="10"/>
          <w:sz w:val="20"/>
          <w:szCs w:val="20"/>
        </w:rPr>
        <w:t>进行完整编排，并作</w:t>
      </w:r>
      <w:r>
        <w:rPr>
          <w:rFonts w:ascii="宋体" w:hAnsi="宋体" w:eastAsia="宋体" w:cs="宋体"/>
          <w:spacing w:val="8"/>
          <w:sz w:val="20"/>
          <w:szCs w:val="20"/>
        </w:rPr>
        <w:t>为澄清或说明报告附件。</w:t>
      </w:r>
    </w:p>
    <w:p>
      <w:pPr>
        <w:spacing w:before="159" w:line="230" w:lineRule="auto"/>
        <w:ind w:left="432"/>
        <w:rPr>
          <w:rFonts w:ascii="黑体" w:hAnsi="黑体" w:eastAsia="黑体" w:cs="黑体"/>
          <w:sz w:val="20"/>
          <w:szCs w:val="20"/>
        </w:rPr>
      </w:pPr>
      <w:r>
        <w:rPr>
          <w:rFonts w:ascii="黑体" w:hAnsi="黑体" w:eastAsia="黑体" w:cs="黑体"/>
          <w:spacing w:val="7"/>
          <w:sz w:val="20"/>
          <w:szCs w:val="20"/>
        </w:rPr>
        <w:t>六、合同工程计量</w:t>
      </w:r>
    </w:p>
    <w:p>
      <w:pPr>
        <w:spacing w:before="151" w:line="297" w:lineRule="auto"/>
        <w:ind w:right="86" w:firstLine="412"/>
        <w:rPr>
          <w:rFonts w:ascii="宋体" w:hAnsi="宋体" w:eastAsia="宋体" w:cs="宋体"/>
          <w:sz w:val="20"/>
          <w:szCs w:val="20"/>
        </w:rPr>
      </w:pPr>
      <w:r>
        <w:rPr>
          <w:rFonts w:ascii="宋体" w:hAnsi="宋体" w:eastAsia="宋体" w:cs="宋体"/>
          <w:spacing w:val="11"/>
          <w:sz w:val="20"/>
          <w:szCs w:val="20"/>
        </w:rPr>
        <w:t>（一）合同工程应以承包人按合同要求已完成且</w:t>
      </w:r>
      <w:r>
        <w:rPr>
          <w:rFonts w:ascii="宋体" w:hAnsi="宋体" w:eastAsia="宋体" w:cs="宋体"/>
          <w:spacing w:val="10"/>
          <w:sz w:val="20"/>
          <w:szCs w:val="20"/>
        </w:rPr>
        <w:t>应予计量的工程进行计量。工程数量应按发承包双方约定的相关工程国家及行业工程量计算</w:t>
      </w:r>
      <w:r>
        <w:rPr>
          <w:rFonts w:ascii="宋体" w:hAnsi="宋体" w:eastAsia="宋体" w:cs="宋体"/>
          <w:spacing w:val="9"/>
          <w:sz w:val="20"/>
          <w:szCs w:val="20"/>
        </w:rPr>
        <w:t>标准及补充的工程量计算规则计算。</w:t>
      </w:r>
    </w:p>
    <w:p>
      <w:pPr>
        <w:spacing w:before="156" w:line="312" w:lineRule="auto"/>
        <w:ind w:right="86" w:firstLine="412"/>
        <w:rPr>
          <w:rFonts w:ascii="宋体" w:hAnsi="宋体" w:eastAsia="宋体" w:cs="宋体"/>
          <w:sz w:val="20"/>
          <w:szCs w:val="20"/>
        </w:rPr>
      </w:pPr>
      <w:r>
        <w:rPr>
          <w:rFonts w:ascii="宋体" w:hAnsi="宋体" w:eastAsia="宋体" w:cs="宋体"/>
          <w:spacing w:val="11"/>
          <w:sz w:val="20"/>
          <w:szCs w:val="20"/>
        </w:rPr>
        <w:t>（二）发承包双方应在合同约定的时间节点、工</w:t>
      </w:r>
      <w:r>
        <w:rPr>
          <w:rFonts w:ascii="宋体" w:hAnsi="宋体" w:eastAsia="宋体" w:cs="宋体"/>
          <w:spacing w:val="10"/>
          <w:sz w:val="20"/>
          <w:szCs w:val="20"/>
        </w:rPr>
        <w:t>程形象目标节点或工程进度节点，按国家计价</w:t>
      </w:r>
      <w:r>
        <w:rPr>
          <w:rFonts w:ascii="宋体" w:hAnsi="宋体" w:eastAsia="宋体" w:cs="宋体"/>
          <w:spacing w:val="4"/>
          <w:sz w:val="20"/>
          <w:szCs w:val="20"/>
        </w:rPr>
        <w:t>标准第</w:t>
      </w:r>
      <w:r>
        <w:rPr>
          <w:rFonts w:ascii="宋体" w:hAnsi="宋体" w:eastAsia="宋体" w:cs="宋体"/>
          <w:spacing w:val="-41"/>
          <w:sz w:val="20"/>
          <w:szCs w:val="20"/>
        </w:rPr>
        <w:t xml:space="preserve"> </w:t>
      </w:r>
      <w:r>
        <w:rPr>
          <w:rFonts w:ascii="宋体" w:hAnsi="宋体" w:eastAsia="宋体" w:cs="宋体"/>
          <w:spacing w:val="4"/>
          <w:sz w:val="20"/>
          <w:szCs w:val="20"/>
        </w:rPr>
        <w:t>7.2</w:t>
      </w:r>
      <w:r>
        <w:rPr>
          <w:rFonts w:ascii="宋体" w:hAnsi="宋体" w:eastAsia="宋体" w:cs="宋体"/>
          <w:spacing w:val="-40"/>
          <w:sz w:val="20"/>
          <w:szCs w:val="20"/>
        </w:rPr>
        <w:t xml:space="preserve"> </w:t>
      </w:r>
      <w:r>
        <w:rPr>
          <w:rFonts w:ascii="宋体" w:hAnsi="宋体" w:eastAsia="宋体" w:cs="宋体"/>
          <w:spacing w:val="4"/>
          <w:sz w:val="20"/>
          <w:szCs w:val="20"/>
        </w:rPr>
        <w:t>节～第</w:t>
      </w:r>
      <w:r>
        <w:rPr>
          <w:rFonts w:ascii="宋体" w:hAnsi="宋体" w:eastAsia="宋体" w:cs="宋体"/>
          <w:spacing w:val="-43"/>
          <w:sz w:val="20"/>
          <w:szCs w:val="20"/>
        </w:rPr>
        <w:t xml:space="preserve"> </w:t>
      </w:r>
      <w:r>
        <w:rPr>
          <w:rFonts w:ascii="宋体" w:hAnsi="宋体" w:eastAsia="宋体" w:cs="宋体"/>
          <w:spacing w:val="4"/>
          <w:sz w:val="20"/>
          <w:szCs w:val="20"/>
        </w:rPr>
        <w:t>7.7</w:t>
      </w:r>
      <w:r>
        <w:rPr>
          <w:rFonts w:ascii="宋体" w:hAnsi="宋体" w:eastAsia="宋体" w:cs="宋体"/>
          <w:spacing w:val="-38"/>
          <w:sz w:val="20"/>
          <w:szCs w:val="20"/>
        </w:rPr>
        <w:t xml:space="preserve"> </w:t>
      </w:r>
      <w:r>
        <w:rPr>
          <w:rFonts w:ascii="宋体" w:hAnsi="宋体" w:eastAsia="宋体" w:cs="宋体"/>
          <w:spacing w:val="4"/>
          <w:sz w:val="20"/>
          <w:szCs w:val="20"/>
        </w:rPr>
        <w:t>节的规定进行工程计量。进度款计量可按国家计价标准第</w:t>
      </w:r>
      <w:r>
        <w:rPr>
          <w:rFonts w:ascii="宋体" w:hAnsi="宋体" w:eastAsia="宋体" w:cs="宋体"/>
          <w:spacing w:val="-42"/>
          <w:sz w:val="20"/>
          <w:szCs w:val="20"/>
        </w:rPr>
        <w:t xml:space="preserve"> </w:t>
      </w:r>
      <w:r>
        <w:rPr>
          <w:rFonts w:ascii="宋体" w:hAnsi="宋体" w:eastAsia="宋体" w:cs="宋体"/>
          <w:spacing w:val="4"/>
          <w:sz w:val="20"/>
          <w:szCs w:val="20"/>
        </w:rPr>
        <w:t>9.4</w:t>
      </w:r>
      <w:r>
        <w:rPr>
          <w:rFonts w:ascii="宋体" w:hAnsi="宋体" w:eastAsia="宋体" w:cs="宋体"/>
          <w:spacing w:val="-40"/>
          <w:sz w:val="20"/>
          <w:szCs w:val="20"/>
        </w:rPr>
        <w:t xml:space="preserve"> </w:t>
      </w:r>
      <w:r>
        <w:rPr>
          <w:rFonts w:ascii="宋体" w:hAnsi="宋体" w:eastAsia="宋体" w:cs="宋体"/>
          <w:spacing w:val="4"/>
          <w:sz w:val="20"/>
          <w:szCs w:val="20"/>
        </w:rPr>
        <w:t>节的规定</w:t>
      </w:r>
      <w:r>
        <w:rPr>
          <w:rFonts w:ascii="宋体" w:hAnsi="宋体" w:eastAsia="宋体" w:cs="宋体"/>
          <w:spacing w:val="3"/>
          <w:sz w:val="20"/>
          <w:szCs w:val="20"/>
        </w:rPr>
        <w:t>执行。</w:t>
      </w:r>
    </w:p>
    <w:p>
      <w:pPr>
        <w:spacing w:before="125" w:line="296" w:lineRule="auto"/>
        <w:ind w:left="18" w:right="64" w:firstLine="394"/>
        <w:rPr>
          <w:rFonts w:ascii="宋体" w:hAnsi="宋体" w:eastAsia="宋体" w:cs="宋体"/>
          <w:sz w:val="20"/>
          <w:szCs w:val="20"/>
        </w:rPr>
      </w:pPr>
      <w:r>
        <w:rPr>
          <w:rFonts w:ascii="宋体" w:hAnsi="宋体" w:eastAsia="宋体" w:cs="宋体"/>
          <w:spacing w:val="9"/>
          <w:sz w:val="20"/>
          <w:szCs w:val="20"/>
        </w:rPr>
        <w:t>（三）合同约定执行物价变化价格调整的分部分项工程项目清单，</w:t>
      </w:r>
      <w:r>
        <w:rPr>
          <w:rFonts w:ascii="宋体" w:hAnsi="宋体" w:eastAsia="宋体" w:cs="宋体"/>
          <w:spacing w:val="-16"/>
          <w:sz w:val="20"/>
          <w:szCs w:val="20"/>
        </w:rPr>
        <w:t xml:space="preserve"> </w:t>
      </w:r>
      <w:r>
        <w:rPr>
          <w:rFonts w:ascii="宋体" w:hAnsi="宋体" w:eastAsia="宋体" w:cs="宋体"/>
          <w:spacing w:val="9"/>
          <w:sz w:val="20"/>
          <w:szCs w:val="20"/>
        </w:rPr>
        <w:t>应按约定的调价周期相对应</w:t>
      </w:r>
      <w:r>
        <w:rPr>
          <w:rFonts w:ascii="宋体" w:hAnsi="宋体" w:eastAsia="宋体" w:cs="宋体"/>
          <w:spacing w:val="7"/>
          <w:sz w:val="20"/>
          <w:szCs w:val="20"/>
        </w:rPr>
        <w:t>的已完成工程进行分段计量。</w:t>
      </w:r>
    </w:p>
    <w:p>
      <w:pPr>
        <w:spacing w:before="158" w:line="277"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四）承包人实施的下列工程及工作不应予计量：</w:t>
      </w:r>
    </w:p>
    <w:p>
      <w:pPr>
        <w:spacing w:before="123" w:line="278" w:lineRule="exact"/>
        <w:ind w:left="440"/>
        <w:rPr>
          <w:rFonts w:ascii="宋体" w:hAnsi="宋体" w:eastAsia="宋体" w:cs="宋体"/>
          <w:sz w:val="20"/>
          <w:szCs w:val="20"/>
        </w:rPr>
      </w:pPr>
      <w:r>
        <w:rPr>
          <w:rFonts w:ascii="宋体" w:hAnsi="宋体" w:eastAsia="宋体" w:cs="宋体"/>
          <w:spacing w:val="7"/>
          <w:position w:val="1"/>
          <w:sz w:val="20"/>
          <w:szCs w:val="20"/>
        </w:rPr>
        <w:t>1. 承包人为完成永久工程所实施的临时工程，合同约定应予计量的临时工程除外；</w:t>
      </w:r>
    </w:p>
    <w:p>
      <w:pPr>
        <w:spacing w:before="121" w:line="277" w:lineRule="exact"/>
        <w:ind w:left="423"/>
        <w:rPr>
          <w:rFonts w:ascii="宋体" w:hAnsi="宋体" w:eastAsia="宋体" w:cs="宋体"/>
          <w:sz w:val="20"/>
          <w:szCs w:val="20"/>
        </w:rPr>
      </w:pPr>
      <w:r>
        <w:rPr>
          <w:rFonts w:ascii="宋体" w:hAnsi="宋体" w:eastAsia="宋体" w:cs="宋体"/>
          <w:spacing w:val="6"/>
          <w:position w:val="1"/>
          <w:sz w:val="20"/>
          <w:szCs w:val="20"/>
        </w:rPr>
        <w:t>2. 承包人原因引起超出合同约定工程范围的工程；</w:t>
      </w:r>
    </w:p>
    <w:p>
      <w:pPr>
        <w:spacing w:before="124" w:line="277" w:lineRule="exact"/>
        <w:ind w:left="426"/>
        <w:rPr>
          <w:rFonts w:ascii="宋体" w:hAnsi="宋体" w:eastAsia="宋体" w:cs="宋体"/>
          <w:sz w:val="20"/>
          <w:szCs w:val="20"/>
        </w:rPr>
      </w:pPr>
      <w:r>
        <w:rPr>
          <w:rFonts w:ascii="宋体" w:hAnsi="宋体" w:eastAsia="宋体" w:cs="宋体"/>
          <w:spacing w:val="7"/>
          <w:position w:val="1"/>
          <w:sz w:val="20"/>
          <w:szCs w:val="20"/>
        </w:rPr>
        <w:t>3. 承包人所完成、但不符合合同图纸及合同规范要求的</w:t>
      </w:r>
      <w:r>
        <w:rPr>
          <w:rFonts w:ascii="宋体" w:hAnsi="宋体" w:eastAsia="宋体" w:cs="宋体"/>
          <w:spacing w:val="6"/>
          <w:position w:val="1"/>
          <w:sz w:val="20"/>
          <w:szCs w:val="20"/>
        </w:rPr>
        <w:t>工程；</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4. 承包人拆除及迁离不符合合同图纸及合同规范要求的工程或工作；</w:t>
      </w:r>
    </w:p>
    <w:p>
      <w:pPr>
        <w:spacing w:before="121" w:line="277" w:lineRule="exact"/>
        <w:ind w:left="423"/>
        <w:rPr>
          <w:rFonts w:ascii="宋体" w:hAnsi="宋体" w:eastAsia="宋体" w:cs="宋体"/>
          <w:sz w:val="20"/>
          <w:szCs w:val="20"/>
        </w:rPr>
      </w:pPr>
      <w:r>
        <w:rPr>
          <w:rFonts w:ascii="宋体" w:hAnsi="宋体" w:eastAsia="宋体" w:cs="宋体"/>
          <w:spacing w:val="4"/>
          <w:position w:val="1"/>
          <w:sz w:val="20"/>
          <w:szCs w:val="20"/>
        </w:rPr>
        <w:t>5. 承包人责任造成的其他返工。</w:t>
      </w:r>
    </w:p>
    <w:p>
      <w:pPr>
        <w:spacing w:before="125" w:line="312" w:lineRule="auto"/>
        <w:ind w:left="6" w:right="5" w:firstLine="406"/>
        <w:rPr>
          <w:rFonts w:ascii="宋体" w:hAnsi="宋体" w:eastAsia="宋体" w:cs="宋体"/>
          <w:sz w:val="20"/>
          <w:szCs w:val="20"/>
        </w:rPr>
      </w:pPr>
      <w:r>
        <w:rPr>
          <w:rFonts w:ascii="宋体" w:hAnsi="宋体" w:eastAsia="宋体" w:cs="宋体"/>
          <w:spacing w:val="6"/>
          <w:sz w:val="20"/>
          <w:szCs w:val="20"/>
        </w:rPr>
        <w:t>（五）发承包双方应在达成一致的相关工程计量成果上签署确认，</w:t>
      </w:r>
      <w:r>
        <w:rPr>
          <w:rFonts w:ascii="宋体" w:hAnsi="宋体" w:eastAsia="宋体" w:cs="宋体"/>
          <w:spacing w:val="-40"/>
          <w:sz w:val="20"/>
          <w:szCs w:val="20"/>
        </w:rPr>
        <w:t xml:space="preserve"> </w:t>
      </w:r>
      <w:r>
        <w:rPr>
          <w:rFonts w:ascii="宋体" w:hAnsi="宋体" w:eastAsia="宋体" w:cs="宋体"/>
          <w:spacing w:val="6"/>
          <w:sz w:val="20"/>
          <w:szCs w:val="20"/>
        </w:rPr>
        <w:t>发承包双方通过核对、复核、</w:t>
      </w:r>
      <w:r>
        <w:rPr>
          <w:rFonts w:ascii="宋体" w:hAnsi="宋体" w:eastAsia="宋体" w:cs="宋体"/>
          <w:spacing w:val="8"/>
          <w:sz w:val="20"/>
          <w:szCs w:val="20"/>
        </w:rPr>
        <w:t>复查仍无法达成一致的，可按国家计价标准第</w:t>
      </w:r>
      <w:r>
        <w:rPr>
          <w:rFonts w:ascii="宋体" w:hAnsi="宋体" w:eastAsia="宋体" w:cs="宋体"/>
          <w:spacing w:val="-19"/>
          <w:sz w:val="20"/>
          <w:szCs w:val="20"/>
        </w:rPr>
        <w:t xml:space="preserve"> </w:t>
      </w:r>
      <w:r>
        <w:rPr>
          <w:rFonts w:ascii="宋体" w:hAnsi="宋体" w:eastAsia="宋体" w:cs="宋体"/>
          <w:spacing w:val="8"/>
          <w:sz w:val="20"/>
          <w:szCs w:val="20"/>
        </w:rPr>
        <w:t>11</w:t>
      </w:r>
      <w:r>
        <w:rPr>
          <w:rFonts w:ascii="宋体" w:hAnsi="宋体" w:eastAsia="宋体" w:cs="宋体"/>
          <w:spacing w:val="-39"/>
          <w:sz w:val="20"/>
          <w:szCs w:val="20"/>
        </w:rPr>
        <w:t xml:space="preserve"> </w:t>
      </w:r>
      <w:r>
        <w:rPr>
          <w:rFonts w:ascii="宋体" w:hAnsi="宋体" w:eastAsia="宋体" w:cs="宋体"/>
          <w:spacing w:val="8"/>
          <w:sz w:val="20"/>
          <w:szCs w:val="20"/>
        </w:rPr>
        <w:t>章规定的争议解决方式处理。</w:t>
      </w:r>
    </w:p>
    <w:p>
      <w:pPr>
        <w:spacing w:before="122" w:line="297" w:lineRule="auto"/>
        <w:ind w:left="7" w:right="88" w:firstLine="405"/>
        <w:rPr>
          <w:rFonts w:ascii="宋体" w:hAnsi="宋体" w:eastAsia="宋体" w:cs="宋体"/>
          <w:sz w:val="20"/>
          <w:szCs w:val="20"/>
        </w:rPr>
      </w:pPr>
      <w:r>
        <w:rPr>
          <w:rFonts w:ascii="宋体" w:hAnsi="宋体" w:eastAsia="宋体" w:cs="宋体"/>
          <w:spacing w:val="9"/>
          <w:sz w:val="20"/>
          <w:szCs w:val="20"/>
        </w:rPr>
        <w:t>（六）发承包双方签署确认的工程计量成果应作为合</w:t>
      </w:r>
      <w:r>
        <w:rPr>
          <w:rFonts w:ascii="宋体" w:hAnsi="宋体" w:eastAsia="宋体" w:cs="宋体"/>
          <w:spacing w:val="8"/>
          <w:sz w:val="20"/>
          <w:szCs w:val="20"/>
        </w:rPr>
        <w:t>同价款调整、</w:t>
      </w:r>
      <w:r>
        <w:rPr>
          <w:rFonts w:ascii="宋体" w:hAnsi="宋体" w:eastAsia="宋体" w:cs="宋体"/>
          <w:spacing w:val="-22"/>
          <w:sz w:val="20"/>
          <w:szCs w:val="20"/>
        </w:rPr>
        <w:t xml:space="preserve"> </w:t>
      </w:r>
      <w:r>
        <w:rPr>
          <w:rFonts w:ascii="宋体" w:hAnsi="宋体" w:eastAsia="宋体" w:cs="宋体"/>
          <w:spacing w:val="8"/>
          <w:sz w:val="20"/>
          <w:szCs w:val="20"/>
        </w:rPr>
        <w:t>工程结算的依据，合同另有</w:t>
      </w:r>
      <w:r>
        <w:rPr>
          <w:rFonts w:ascii="宋体" w:hAnsi="宋体" w:eastAsia="宋体" w:cs="宋体"/>
          <w:spacing w:val="9"/>
          <w:sz w:val="20"/>
          <w:szCs w:val="20"/>
        </w:rPr>
        <w:t>约定或发承包双方明确仅作为工程进度款支付依据及工程计量成果为粗略估算的除外。</w:t>
      </w:r>
    </w:p>
    <w:p>
      <w:pPr>
        <w:spacing w:before="158" w:line="278" w:lineRule="exact"/>
        <w:ind w:left="413"/>
        <w:rPr>
          <w:rFonts w:ascii="宋体" w:hAnsi="宋体" w:eastAsia="宋体" w:cs="宋体"/>
          <w:sz w:val="20"/>
          <w:szCs w:val="20"/>
        </w:rPr>
      </w:pPr>
      <w:r>
        <w:rPr>
          <w:rFonts w:ascii="宋体" w:hAnsi="宋体" w:eastAsia="宋体" w:cs="宋体"/>
          <w:spacing w:val="10"/>
          <w:position w:val="1"/>
          <w:sz w:val="20"/>
          <w:szCs w:val="20"/>
        </w:rPr>
        <w:t>（七）分部分项工程计量</w:t>
      </w:r>
    </w:p>
    <w:p>
      <w:pPr>
        <w:spacing w:before="120" w:line="276" w:lineRule="exact"/>
        <w:ind w:left="440"/>
        <w:rPr>
          <w:rFonts w:ascii="宋体" w:hAnsi="宋体" w:eastAsia="宋体" w:cs="宋体"/>
          <w:sz w:val="20"/>
          <w:szCs w:val="20"/>
        </w:rPr>
      </w:pPr>
      <w:r>
        <w:rPr>
          <w:rFonts w:ascii="宋体" w:hAnsi="宋体" w:eastAsia="宋体" w:cs="宋体"/>
          <w:spacing w:val="7"/>
          <w:position w:val="1"/>
          <w:sz w:val="20"/>
          <w:szCs w:val="20"/>
        </w:rPr>
        <w:t>1. 单价合同的分部分项工程项目清单工程量应按下列规定</w:t>
      </w:r>
      <w:r>
        <w:rPr>
          <w:rFonts w:ascii="宋体" w:hAnsi="宋体" w:eastAsia="宋体" w:cs="宋体"/>
          <w:spacing w:val="6"/>
          <w:position w:val="1"/>
          <w:sz w:val="20"/>
          <w:szCs w:val="20"/>
        </w:rPr>
        <w:t>计算 ：</w:t>
      </w:r>
    </w:p>
    <w:p>
      <w:pPr>
        <w:spacing w:before="125" w:line="276" w:lineRule="exact"/>
        <w:ind w:left="413"/>
        <w:rPr>
          <w:rFonts w:ascii="宋体" w:hAnsi="宋体" w:eastAsia="宋体" w:cs="宋体"/>
          <w:sz w:val="20"/>
          <w:szCs w:val="20"/>
        </w:rPr>
      </w:pPr>
      <w:r>
        <w:rPr>
          <w:rFonts w:ascii="宋体" w:hAnsi="宋体" w:eastAsia="宋体" w:cs="宋体"/>
          <w:spacing w:val="10"/>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10"/>
          <w:position w:val="1"/>
          <w:sz w:val="20"/>
          <w:szCs w:val="20"/>
        </w:rPr>
        <w:t>1）分部分项工程项目清单的单价计价清单项目应依据</w:t>
      </w:r>
      <w:r>
        <w:rPr>
          <w:rFonts w:ascii="宋体" w:hAnsi="宋体" w:eastAsia="宋体" w:cs="宋体"/>
          <w:spacing w:val="9"/>
          <w:position w:val="1"/>
          <w:sz w:val="20"/>
          <w:szCs w:val="20"/>
        </w:rPr>
        <w:t>发包人提供的工程实际施工图纸及颁</w:t>
      </w:r>
    </w:p>
    <w:p>
      <w:pPr>
        <w:spacing w:line="276" w:lineRule="exact"/>
        <w:rPr>
          <w:rFonts w:ascii="宋体" w:hAnsi="宋体" w:eastAsia="宋体" w:cs="宋体"/>
          <w:sz w:val="20"/>
          <w:szCs w:val="20"/>
        </w:rPr>
        <w:sectPr>
          <w:footerReference r:id="rId54" w:type="default"/>
          <w:pgSz w:w="11905" w:h="16840"/>
          <w:pgMar w:top="1431" w:right="1354" w:bottom="1213" w:left="1418" w:header="0" w:footer="898" w:gutter="0"/>
        </w:sectPr>
      </w:pPr>
    </w:p>
    <w:p>
      <w:pPr>
        <w:spacing w:before="128" w:line="364" w:lineRule="auto"/>
        <w:ind w:right="105" w:firstLine="3"/>
        <w:jc w:val="both"/>
        <w:rPr>
          <w:rFonts w:ascii="宋体" w:hAnsi="宋体" w:eastAsia="宋体" w:cs="宋体"/>
          <w:sz w:val="20"/>
          <w:szCs w:val="20"/>
        </w:rPr>
      </w:pPr>
      <w:r>
        <w:rPr>
          <w:rFonts w:ascii="宋体" w:hAnsi="宋体" w:eastAsia="宋体" w:cs="宋体"/>
          <w:spacing w:val="8"/>
          <w:sz w:val="20"/>
          <w:szCs w:val="20"/>
        </w:rPr>
        <w:t>发和确认的变更指令，按照合同约定的国家、省、市及行业工程量计算标准及补充的工程量计算规则进行重新计量，可作为计算分部分项工程项目清单价格的依据。其中：工程变更应按国家计价标</w:t>
      </w:r>
      <w:r>
        <w:rPr>
          <w:rFonts w:ascii="宋体" w:hAnsi="宋体" w:eastAsia="宋体" w:cs="宋体"/>
          <w:spacing w:val="6"/>
          <w:sz w:val="20"/>
          <w:szCs w:val="20"/>
        </w:rPr>
        <w:t>准第</w:t>
      </w:r>
      <w:r>
        <w:rPr>
          <w:rFonts w:ascii="宋体" w:hAnsi="宋体" w:eastAsia="宋体" w:cs="宋体"/>
          <w:spacing w:val="-41"/>
          <w:sz w:val="20"/>
          <w:szCs w:val="20"/>
        </w:rPr>
        <w:t xml:space="preserve"> </w:t>
      </w:r>
      <w:r>
        <w:rPr>
          <w:rFonts w:ascii="宋体" w:hAnsi="宋体" w:eastAsia="宋体" w:cs="宋体"/>
          <w:spacing w:val="6"/>
          <w:sz w:val="20"/>
          <w:szCs w:val="20"/>
        </w:rPr>
        <w:t>7.4.2</w:t>
      </w:r>
      <w:r>
        <w:rPr>
          <w:rFonts w:ascii="宋体" w:hAnsi="宋体" w:eastAsia="宋体" w:cs="宋体"/>
          <w:spacing w:val="-38"/>
          <w:sz w:val="20"/>
          <w:szCs w:val="20"/>
        </w:rPr>
        <w:t xml:space="preserve"> </w:t>
      </w:r>
      <w:r>
        <w:rPr>
          <w:rFonts w:ascii="宋体" w:hAnsi="宋体" w:eastAsia="宋体" w:cs="宋体"/>
          <w:spacing w:val="6"/>
          <w:sz w:val="20"/>
          <w:szCs w:val="20"/>
        </w:rPr>
        <w:t>条的规定计算工程量</w:t>
      </w:r>
      <w:r>
        <w:rPr>
          <w:rFonts w:ascii="宋体" w:hAnsi="宋体" w:eastAsia="宋体" w:cs="宋体"/>
          <w:spacing w:val="-60"/>
          <w:sz w:val="20"/>
          <w:szCs w:val="20"/>
        </w:rPr>
        <w:t xml:space="preserve"> </w:t>
      </w:r>
      <w:r>
        <w:rPr>
          <w:rFonts w:ascii="宋体" w:hAnsi="宋体" w:eastAsia="宋体" w:cs="宋体"/>
          <w:spacing w:val="6"/>
          <w:sz w:val="20"/>
          <w:szCs w:val="20"/>
        </w:rPr>
        <w:t>，并按国家计价标准第</w:t>
      </w:r>
      <w:r>
        <w:rPr>
          <w:rFonts w:ascii="宋体" w:hAnsi="宋体" w:eastAsia="宋体" w:cs="宋体"/>
          <w:spacing w:val="-34"/>
          <w:sz w:val="20"/>
          <w:szCs w:val="20"/>
        </w:rPr>
        <w:t xml:space="preserve"> </w:t>
      </w:r>
      <w:r>
        <w:rPr>
          <w:rFonts w:ascii="宋体" w:hAnsi="宋体" w:eastAsia="宋体" w:cs="宋体"/>
          <w:spacing w:val="6"/>
          <w:sz w:val="20"/>
          <w:szCs w:val="20"/>
        </w:rPr>
        <w:t>8.9</w:t>
      </w:r>
      <w:r>
        <w:rPr>
          <w:rFonts w:ascii="宋体" w:hAnsi="宋体" w:eastAsia="宋体" w:cs="宋体"/>
          <w:spacing w:val="-38"/>
          <w:sz w:val="20"/>
          <w:szCs w:val="20"/>
        </w:rPr>
        <w:t xml:space="preserve"> </w:t>
      </w:r>
      <w:r>
        <w:rPr>
          <w:rFonts w:ascii="宋体" w:hAnsi="宋体" w:eastAsia="宋体" w:cs="宋体"/>
          <w:spacing w:val="6"/>
          <w:sz w:val="20"/>
          <w:szCs w:val="20"/>
        </w:rPr>
        <w:t>节的规定调整合同价格；依</w:t>
      </w:r>
      <w:r>
        <w:rPr>
          <w:rFonts w:ascii="宋体" w:hAnsi="宋体" w:eastAsia="宋体" w:cs="宋体"/>
          <w:spacing w:val="5"/>
          <w:sz w:val="20"/>
          <w:szCs w:val="20"/>
        </w:rPr>
        <w:t>据合同图纸</w:t>
      </w:r>
      <w:r>
        <w:rPr>
          <w:rFonts w:ascii="宋体" w:hAnsi="宋体" w:eastAsia="宋体" w:cs="宋体"/>
          <w:spacing w:val="13"/>
          <w:sz w:val="20"/>
          <w:szCs w:val="20"/>
        </w:rPr>
        <w:t>计量的分部分项工程清单项目及其工程量与已标价工程量清单的清单项目及其工程量的差异为工</w:t>
      </w:r>
      <w:r>
        <w:rPr>
          <w:rFonts w:ascii="宋体" w:hAnsi="宋体" w:eastAsia="宋体" w:cs="宋体"/>
          <w:spacing w:val="8"/>
          <w:sz w:val="20"/>
          <w:szCs w:val="20"/>
        </w:rPr>
        <w:t>程量清单缺陷，应按国家计价标准第</w:t>
      </w:r>
      <w:r>
        <w:rPr>
          <w:rFonts w:ascii="宋体" w:hAnsi="宋体" w:eastAsia="宋体" w:cs="宋体"/>
          <w:spacing w:val="-36"/>
          <w:sz w:val="20"/>
          <w:szCs w:val="20"/>
        </w:rPr>
        <w:t xml:space="preserve"> </w:t>
      </w:r>
      <w:r>
        <w:rPr>
          <w:rFonts w:ascii="宋体" w:hAnsi="宋体" w:eastAsia="宋体" w:cs="宋体"/>
          <w:spacing w:val="8"/>
          <w:sz w:val="20"/>
          <w:szCs w:val="20"/>
        </w:rPr>
        <w:t>8.2</w:t>
      </w:r>
      <w:r>
        <w:rPr>
          <w:rFonts w:ascii="宋体" w:hAnsi="宋体" w:eastAsia="宋体" w:cs="宋体"/>
          <w:spacing w:val="-41"/>
          <w:sz w:val="20"/>
          <w:szCs w:val="20"/>
        </w:rPr>
        <w:t xml:space="preserve"> </w:t>
      </w:r>
      <w:r>
        <w:rPr>
          <w:rFonts w:ascii="宋体" w:hAnsi="宋体" w:eastAsia="宋体" w:cs="宋体"/>
          <w:spacing w:val="8"/>
          <w:sz w:val="20"/>
          <w:szCs w:val="20"/>
        </w:rPr>
        <w:t>节的规定调整合同价格</w:t>
      </w:r>
      <w:r>
        <w:rPr>
          <w:rFonts w:ascii="宋体" w:hAnsi="宋体" w:eastAsia="宋体" w:cs="宋体"/>
          <w:spacing w:val="7"/>
          <w:sz w:val="20"/>
          <w:szCs w:val="20"/>
        </w:rPr>
        <w:t>，但以项计价的分部分项工程清单</w:t>
      </w:r>
      <w:r>
        <w:rPr>
          <w:rFonts w:ascii="宋体" w:hAnsi="宋体" w:eastAsia="宋体" w:cs="宋体"/>
          <w:spacing w:val="8"/>
          <w:sz w:val="20"/>
          <w:szCs w:val="20"/>
        </w:rPr>
        <w:t>项目不应重新计量及调整。</w:t>
      </w:r>
    </w:p>
    <w:p>
      <w:pPr>
        <w:spacing w:before="29" w:line="369" w:lineRule="auto"/>
        <w:ind w:left="21" w:right="105" w:firstLine="391"/>
        <w:rPr>
          <w:rFonts w:ascii="宋体" w:hAnsi="宋体" w:eastAsia="宋体" w:cs="宋体"/>
          <w:sz w:val="20"/>
          <w:szCs w:val="20"/>
        </w:rPr>
      </w:pPr>
      <w:r>
        <w:rPr>
          <w:rFonts w:ascii="宋体" w:hAnsi="宋体" w:eastAsia="宋体" w:cs="宋体"/>
          <w:spacing w:val="11"/>
          <w:sz w:val="20"/>
          <w:szCs w:val="20"/>
        </w:rPr>
        <w:t>（2）以综合单价形式计价，在分部分项工程项目清单中所列属于措施项目的模板等</w:t>
      </w:r>
      <w:r>
        <w:rPr>
          <w:rFonts w:ascii="宋体" w:hAnsi="宋体" w:eastAsia="宋体" w:cs="宋体"/>
          <w:spacing w:val="10"/>
          <w:sz w:val="20"/>
          <w:szCs w:val="20"/>
        </w:rPr>
        <w:t>工程及合</w:t>
      </w:r>
      <w:r>
        <w:rPr>
          <w:rFonts w:ascii="宋体" w:hAnsi="宋体" w:eastAsia="宋体" w:cs="宋体"/>
          <w:spacing w:val="7"/>
          <w:sz w:val="20"/>
          <w:szCs w:val="20"/>
        </w:rPr>
        <w:t>同约定应予计量的其他措施项目，可按本条文第</w:t>
      </w:r>
      <w:r>
        <w:rPr>
          <w:rFonts w:ascii="宋体" w:hAnsi="宋体" w:eastAsia="宋体" w:cs="宋体"/>
          <w:spacing w:val="-9"/>
          <w:sz w:val="20"/>
          <w:szCs w:val="20"/>
        </w:rPr>
        <w:t xml:space="preserve"> </w:t>
      </w:r>
      <w:r>
        <w:rPr>
          <w:rFonts w:ascii="宋体" w:hAnsi="宋体" w:eastAsia="宋体" w:cs="宋体"/>
          <w:spacing w:val="7"/>
          <w:sz w:val="20"/>
          <w:szCs w:val="20"/>
        </w:rPr>
        <w:t>1</w:t>
      </w:r>
      <w:r>
        <w:rPr>
          <w:rFonts w:ascii="宋体" w:hAnsi="宋体" w:eastAsia="宋体" w:cs="宋体"/>
          <w:spacing w:val="-41"/>
          <w:sz w:val="20"/>
          <w:szCs w:val="20"/>
        </w:rPr>
        <w:t xml:space="preserve"> </w:t>
      </w:r>
      <w:r>
        <w:rPr>
          <w:rFonts w:ascii="宋体" w:hAnsi="宋体" w:eastAsia="宋体" w:cs="宋体"/>
          <w:spacing w:val="7"/>
          <w:sz w:val="20"/>
          <w:szCs w:val="20"/>
        </w:rPr>
        <w:t>款的规定执行。</w:t>
      </w:r>
    </w:p>
    <w:p>
      <w:pPr>
        <w:spacing w:before="2" w:line="277" w:lineRule="exact"/>
        <w:ind w:left="423"/>
        <w:rPr>
          <w:rFonts w:ascii="宋体" w:hAnsi="宋体" w:eastAsia="宋体" w:cs="宋体"/>
          <w:sz w:val="20"/>
          <w:szCs w:val="20"/>
        </w:rPr>
      </w:pPr>
      <w:r>
        <w:rPr>
          <w:rFonts w:ascii="宋体" w:hAnsi="宋体" w:eastAsia="宋体" w:cs="宋体"/>
          <w:spacing w:val="7"/>
          <w:position w:val="1"/>
          <w:sz w:val="20"/>
          <w:szCs w:val="20"/>
        </w:rPr>
        <w:t>2. 总价合同的分部分项工程项目清单工程量应按下列规定计算：</w:t>
      </w:r>
    </w:p>
    <w:p>
      <w:pPr>
        <w:spacing w:before="121" w:line="332" w:lineRule="auto"/>
        <w:ind w:right="105" w:firstLine="413"/>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1）分部分项工程项目清单可不重新计量，合同价格不</w:t>
      </w:r>
      <w:r>
        <w:rPr>
          <w:rFonts w:ascii="宋体" w:hAnsi="宋体" w:eastAsia="宋体" w:cs="宋体"/>
          <w:spacing w:val="9"/>
          <w:sz w:val="20"/>
          <w:szCs w:val="20"/>
        </w:rPr>
        <w:t>应因分部分项工程项目清单存在工程</w:t>
      </w:r>
      <w:r>
        <w:rPr>
          <w:rFonts w:ascii="宋体" w:hAnsi="宋体" w:eastAsia="宋体" w:cs="宋体"/>
          <w:spacing w:val="8"/>
          <w:sz w:val="20"/>
          <w:szCs w:val="20"/>
        </w:rPr>
        <w:t>量清单缺陷而调整，招标工程量清单中说明为暂定数量单价计价的分部分项工程项目清单和工程变</w:t>
      </w:r>
      <w:r>
        <w:rPr>
          <w:rFonts w:ascii="宋体" w:hAnsi="宋体" w:eastAsia="宋体" w:cs="宋体"/>
          <w:spacing w:val="7"/>
          <w:sz w:val="20"/>
          <w:szCs w:val="20"/>
        </w:rPr>
        <w:t>更可按本条文第</w:t>
      </w:r>
      <w:r>
        <w:rPr>
          <w:rFonts w:ascii="宋体" w:hAnsi="宋体" w:eastAsia="宋体" w:cs="宋体"/>
          <w:spacing w:val="-30"/>
          <w:sz w:val="20"/>
          <w:szCs w:val="20"/>
        </w:rPr>
        <w:t xml:space="preserve"> </w:t>
      </w:r>
      <w:r>
        <w:rPr>
          <w:rFonts w:ascii="宋体" w:hAnsi="宋体" w:eastAsia="宋体" w:cs="宋体"/>
          <w:spacing w:val="7"/>
          <w:sz w:val="20"/>
          <w:szCs w:val="20"/>
        </w:rPr>
        <w:t>2</w:t>
      </w:r>
      <w:r>
        <w:rPr>
          <w:rFonts w:ascii="宋体" w:hAnsi="宋体" w:eastAsia="宋体" w:cs="宋体"/>
          <w:spacing w:val="-41"/>
          <w:sz w:val="20"/>
          <w:szCs w:val="20"/>
        </w:rPr>
        <w:t xml:space="preserve"> </w:t>
      </w:r>
      <w:r>
        <w:rPr>
          <w:rFonts w:ascii="宋体" w:hAnsi="宋体" w:eastAsia="宋体" w:cs="宋体"/>
          <w:spacing w:val="7"/>
          <w:sz w:val="20"/>
          <w:szCs w:val="20"/>
        </w:rPr>
        <w:t>款的规定执行；</w:t>
      </w:r>
    </w:p>
    <w:p>
      <w:pPr>
        <w:spacing w:before="122" w:line="312" w:lineRule="auto"/>
        <w:ind w:left="3" w:right="105" w:firstLine="409"/>
        <w:rPr>
          <w:rFonts w:ascii="宋体" w:hAnsi="宋体" w:eastAsia="宋体" w:cs="宋体"/>
          <w:sz w:val="20"/>
          <w:szCs w:val="20"/>
        </w:rPr>
      </w:pPr>
      <w:r>
        <w:rPr>
          <w:rFonts w:ascii="宋体" w:hAnsi="宋体" w:eastAsia="宋体" w:cs="宋体"/>
          <w:spacing w:val="11"/>
          <w:sz w:val="20"/>
          <w:szCs w:val="20"/>
        </w:rPr>
        <w:t>（2）合同约定的分部分项工程项目清单工程量为暂定数量的单价计价清单项目，应</w:t>
      </w:r>
      <w:r>
        <w:rPr>
          <w:rFonts w:ascii="宋体" w:hAnsi="宋体" w:eastAsia="宋体" w:cs="宋体"/>
          <w:spacing w:val="10"/>
          <w:sz w:val="20"/>
          <w:szCs w:val="20"/>
        </w:rPr>
        <w:t>按国家计</w:t>
      </w:r>
      <w:r>
        <w:rPr>
          <w:rFonts w:ascii="宋体" w:hAnsi="宋体" w:eastAsia="宋体" w:cs="宋体"/>
          <w:spacing w:val="2"/>
          <w:sz w:val="20"/>
          <w:szCs w:val="20"/>
        </w:rPr>
        <w:t>价标准第7.2.1</w:t>
      </w:r>
      <w:r>
        <w:rPr>
          <w:rFonts w:ascii="宋体" w:hAnsi="宋体" w:eastAsia="宋体" w:cs="宋体"/>
          <w:spacing w:val="-34"/>
          <w:sz w:val="20"/>
          <w:szCs w:val="20"/>
        </w:rPr>
        <w:t xml:space="preserve"> </w:t>
      </w:r>
      <w:r>
        <w:rPr>
          <w:rFonts w:ascii="宋体" w:hAnsi="宋体" w:eastAsia="宋体" w:cs="宋体"/>
          <w:spacing w:val="2"/>
          <w:sz w:val="20"/>
          <w:szCs w:val="20"/>
        </w:rPr>
        <w:t>条第</w:t>
      </w:r>
      <w:r>
        <w:rPr>
          <w:rFonts w:ascii="宋体" w:hAnsi="宋体" w:eastAsia="宋体" w:cs="宋体"/>
          <w:spacing w:val="-23"/>
          <w:sz w:val="20"/>
          <w:szCs w:val="20"/>
        </w:rPr>
        <w:t xml:space="preserve"> </w:t>
      </w:r>
      <w:r>
        <w:rPr>
          <w:rFonts w:ascii="宋体" w:hAnsi="宋体" w:eastAsia="宋体" w:cs="宋体"/>
          <w:spacing w:val="2"/>
          <w:sz w:val="20"/>
          <w:szCs w:val="20"/>
        </w:rPr>
        <w:t>1</w:t>
      </w:r>
      <w:r>
        <w:rPr>
          <w:rFonts w:ascii="宋体" w:hAnsi="宋体" w:eastAsia="宋体" w:cs="宋体"/>
          <w:spacing w:val="-38"/>
          <w:sz w:val="20"/>
          <w:szCs w:val="20"/>
        </w:rPr>
        <w:t xml:space="preserve"> </w:t>
      </w:r>
      <w:r>
        <w:rPr>
          <w:rFonts w:ascii="宋体" w:hAnsi="宋体" w:eastAsia="宋体" w:cs="宋体"/>
          <w:spacing w:val="2"/>
          <w:sz w:val="20"/>
          <w:szCs w:val="20"/>
        </w:rPr>
        <w:t>款的规定计量；</w:t>
      </w:r>
    </w:p>
    <w:p>
      <w:pPr>
        <w:spacing w:before="124" w:line="276" w:lineRule="exact"/>
        <w:ind w:left="413"/>
        <w:rPr>
          <w:rFonts w:ascii="宋体" w:hAnsi="宋体" w:eastAsia="宋体" w:cs="宋体"/>
          <w:sz w:val="20"/>
          <w:szCs w:val="20"/>
        </w:rPr>
      </w:pPr>
      <w:r>
        <w:rPr>
          <w:rFonts w:ascii="宋体" w:hAnsi="宋体" w:eastAsia="宋体" w:cs="宋体"/>
          <w:spacing w:val="4"/>
          <w:position w:val="1"/>
          <w:sz w:val="20"/>
          <w:szCs w:val="20"/>
        </w:rPr>
        <w:t>（3）工程变更应按国家计价标准第</w:t>
      </w:r>
      <w:r>
        <w:rPr>
          <w:rFonts w:ascii="宋体" w:hAnsi="宋体" w:eastAsia="宋体" w:cs="宋体"/>
          <w:spacing w:val="-36"/>
          <w:position w:val="1"/>
          <w:sz w:val="20"/>
          <w:szCs w:val="20"/>
        </w:rPr>
        <w:t xml:space="preserve"> </w:t>
      </w:r>
      <w:r>
        <w:rPr>
          <w:rFonts w:ascii="宋体" w:hAnsi="宋体" w:eastAsia="宋体" w:cs="宋体"/>
          <w:spacing w:val="4"/>
          <w:position w:val="1"/>
          <w:sz w:val="20"/>
          <w:szCs w:val="20"/>
        </w:rPr>
        <w:t>7.4.3</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条的规定计量。</w:t>
      </w:r>
    </w:p>
    <w:p>
      <w:pPr>
        <w:spacing w:before="122" w:line="279" w:lineRule="exact"/>
        <w:ind w:left="413"/>
        <w:rPr>
          <w:rFonts w:ascii="宋体" w:hAnsi="宋体" w:eastAsia="宋体" w:cs="宋体"/>
          <w:sz w:val="20"/>
          <w:szCs w:val="20"/>
        </w:rPr>
      </w:pPr>
      <w:r>
        <w:rPr>
          <w:rFonts w:ascii="宋体" w:hAnsi="宋体" w:eastAsia="宋体" w:cs="宋体"/>
          <w:spacing w:val="10"/>
          <w:position w:val="1"/>
          <w:sz w:val="20"/>
          <w:szCs w:val="20"/>
        </w:rPr>
        <w:t>（八）措施项目计量</w:t>
      </w:r>
    </w:p>
    <w:p>
      <w:pPr>
        <w:spacing w:before="122" w:line="276" w:lineRule="exact"/>
        <w:ind w:left="413"/>
        <w:rPr>
          <w:rFonts w:ascii="宋体" w:hAnsi="宋体" w:eastAsia="宋体" w:cs="宋体"/>
          <w:sz w:val="20"/>
          <w:szCs w:val="20"/>
        </w:rPr>
      </w:pPr>
      <w:r>
        <w:rPr>
          <w:rFonts w:ascii="宋体" w:hAnsi="宋体" w:eastAsia="宋体" w:cs="宋体"/>
          <w:spacing w:val="10"/>
          <w:position w:val="1"/>
          <w:sz w:val="20"/>
          <w:szCs w:val="20"/>
        </w:rPr>
        <w:t>（一）除合同另有约定及下列规定外，已标价工程量清单的措施项目</w:t>
      </w:r>
      <w:r>
        <w:rPr>
          <w:rFonts w:ascii="宋体" w:hAnsi="宋体" w:eastAsia="宋体" w:cs="宋体"/>
          <w:spacing w:val="9"/>
          <w:position w:val="1"/>
          <w:sz w:val="20"/>
          <w:szCs w:val="20"/>
        </w:rPr>
        <w:t>不应予计量调整：</w:t>
      </w:r>
    </w:p>
    <w:p>
      <w:pPr>
        <w:spacing w:before="125" w:line="312" w:lineRule="auto"/>
        <w:ind w:right="105" w:firstLine="439"/>
        <w:rPr>
          <w:rFonts w:ascii="宋体" w:hAnsi="宋体" w:eastAsia="宋体" w:cs="宋体"/>
          <w:sz w:val="20"/>
          <w:szCs w:val="20"/>
        </w:rPr>
      </w:pPr>
      <w:r>
        <w:rPr>
          <w:rFonts w:ascii="宋体" w:hAnsi="宋体" w:eastAsia="宋体" w:cs="宋体"/>
          <w:spacing w:val="10"/>
          <w:sz w:val="20"/>
          <w:szCs w:val="20"/>
        </w:rPr>
        <w:t>1. 在分部分项工程项目清单列项的措施工程及合同约定应予计量的措施项目，应按国家计价</w:t>
      </w:r>
      <w:r>
        <w:rPr>
          <w:rFonts w:ascii="宋体" w:hAnsi="宋体" w:eastAsia="宋体" w:cs="宋体"/>
          <w:spacing w:val="-4"/>
          <w:sz w:val="20"/>
          <w:szCs w:val="20"/>
        </w:rPr>
        <w:t>标准第</w:t>
      </w:r>
      <w:r>
        <w:rPr>
          <w:rFonts w:ascii="宋体" w:hAnsi="宋体" w:eastAsia="宋体" w:cs="宋体"/>
          <w:spacing w:val="-29"/>
          <w:sz w:val="20"/>
          <w:szCs w:val="20"/>
        </w:rPr>
        <w:t xml:space="preserve"> </w:t>
      </w:r>
      <w:r>
        <w:rPr>
          <w:rFonts w:ascii="宋体" w:hAnsi="宋体" w:eastAsia="宋体" w:cs="宋体"/>
          <w:spacing w:val="-4"/>
          <w:sz w:val="20"/>
          <w:szCs w:val="20"/>
        </w:rPr>
        <w:t>7.2.1</w:t>
      </w:r>
      <w:r>
        <w:rPr>
          <w:rFonts w:ascii="宋体" w:hAnsi="宋体" w:eastAsia="宋体" w:cs="宋体"/>
          <w:spacing w:val="-41"/>
          <w:sz w:val="20"/>
          <w:szCs w:val="20"/>
        </w:rPr>
        <w:t xml:space="preserve"> </w:t>
      </w:r>
      <w:r>
        <w:rPr>
          <w:rFonts w:ascii="宋体" w:hAnsi="宋体" w:eastAsia="宋体" w:cs="宋体"/>
          <w:spacing w:val="-4"/>
          <w:sz w:val="20"/>
          <w:szCs w:val="20"/>
        </w:rPr>
        <w:t>条、第</w:t>
      </w:r>
      <w:r>
        <w:rPr>
          <w:rFonts w:ascii="宋体" w:hAnsi="宋体" w:eastAsia="宋体" w:cs="宋体"/>
          <w:spacing w:val="-43"/>
          <w:sz w:val="20"/>
          <w:szCs w:val="20"/>
        </w:rPr>
        <w:t xml:space="preserve"> </w:t>
      </w:r>
      <w:r>
        <w:rPr>
          <w:rFonts w:ascii="宋体" w:hAnsi="宋体" w:eastAsia="宋体" w:cs="宋体"/>
          <w:spacing w:val="-4"/>
          <w:sz w:val="20"/>
          <w:szCs w:val="20"/>
        </w:rPr>
        <w:t>7.2.2</w:t>
      </w:r>
      <w:r>
        <w:rPr>
          <w:rFonts w:ascii="宋体" w:hAnsi="宋体" w:eastAsia="宋体" w:cs="宋体"/>
          <w:spacing w:val="-40"/>
          <w:sz w:val="20"/>
          <w:szCs w:val="20"/>
        </w:rPr>
        <w:t xml:space="preserve"> </w:t>
      </w:r>
      <w:r>
        <w:rPr>
          <w:rFonts w:ascii="宋体" w:hAnsi="宋体" w:eastAsia="宋体" w:cs="宋体"/>
          <w:spacing w:val="-4"/>
          <w:sz w:val="20"/>
          <w:szCs w:val="20"/>
        </w:rPr>
        <w:t>条的规定执行；</w:t>
      </w:r>
    </w:p>
    <w:p>
      <w:pPr>
        <w:spacing w:before="123" w:line="278" w:lineRule="exact"/>
        <w:ind w:left="423"/>
        <w:rPr>
          <w:rFonts w:ascii="宋体" w:hAnsi="宋体" w:eastAsia="宋体" w:cs="宋体"/>
          <w:sz w:val="20"/>
          <w:szCs w:val="20"/>
        </w:rPr>
      </w:pPr>
      <w:r>
        <w:rPr>
          <w:rFonts w:ascii="宋体" w:hAnsi="宋体" w:eastAsia="宋体" w:cs="宋体"/>
          <w:spacing w:val="5"/>
          <w:position w:val="1"/>
          <w:sz w:val="20"/>
          <w:szCs w:val="20"/>
        </w:rPr>
        <w:t>2. 安全文明措施费用应按合同约定执行；</w:t>
      </w:r>
    </w:p>
    <w:p>
      <w:pPr>
        <w:spacing w:before="123" w:line="276" w:lineRule="exact"/>
        <w:ind w:left="426"/>
        <w:rPr>
          <w:rFonts w:ascii="宋体" w:hAnsi="宋体" w:eastAsia="宋体" w:cs="宋体"/>
          <w:sz w:val="20"/>
          <w:szCs w:val="20"/>
        </w:rPr>
      </w:pPr>
      <w:r>
        <w:rPr>
          <w:rFonts w:ascii="宋体" w:hAnsi="宋体" w:eastAsia="宋体" w:cs="宋体"/>
          <w:spacing w:val="4"/>
          <w:position w:val="1"/>
          <w:sz w:val="20"/>
          <w:szCs w:val="20"/>
        </w:rPr>
        <w:t>3. 工程变更引起的措施项目变化，应按国家计价标准第</w:t>
      </w:r>
      <w:r>
        <w:rPr>
          <w:rFonts w:ascii="宋体" w:hAnsi="宋体" w:eastAsia="宋体" w:cs="宋体"/>
          <w:spacing w:val="-43"/>
          <w:position w:val="1"/>
          <w:sz w:val="20"/>
          <w:szCs w:val="20"/>
        </w:rPr>
        <w:t xml:space="preserve"> </w:t>
      </w:r>
      <w:r>
        <w:rPr>
          <w:rFonts w:ascii="宋体" w:hAnsi="宋体" w:eastAsia="宋体" w:cs="宋体"/>
          <w:spacing w:val="4"/>
          <w:position w:val="1"/>
          <w:sz w:val="20"/>
          <w:szCs w:val="20"/>
        </w:rPr>
        <w:t>7.</w:t>
      </w:r>
      <w:r>
        <w:rPr>
          <w:rFonts w:ascii="宋体" w:hAnsi="宋体" w:eastAsia="宋体" w:cs="宋体"/>
          <w:spacing w:val="3"/>
          <w:position w:val="1"/>
          <w:sz w:val="20"/>
          <w:szCs w:val="20"/>
        </w:rPr>
        <w:t>4.4</w:t>
      </w:r>
      <w:r>
        <w:rPr>
          <w:rFonts w:ascii="宋体" w:hAnsi="宋体" w:eastAsia="宋体" w:cs="宋体"/>
          <w:spacing w:val="-41"/>
          <w:position w:val="1"/>
          <w:sz w:val="20"/>
          <w:szCs w:val="20"/>
        </w:rPr>
        <w:t xml:space="preserve"> </w:t>
      </w:r>
      <w:r>
        <w:rPr>
          <w:rFonts w:ascii="宋体" w:hAnsi="宋体" w:eastAsia="宋体" w:cs="宋体"/>
          <w:spacing w:val="3"/>
          <w:position w:val="1"/>
          <w:sz w:val="20"/>
          <w:szCs w:val="20"/>
        </w:rPr>
        <w:t>条的规定执行；</w:t>
      </w:r>
    </w:p>
    <w:p>
      <w:pPr>
        <w:spacing w:before="122" w:line="300" w:lineRule="auto"/>
        <w:ind w:right="105" w:firstLine="419"/>
        <w:rPr>
          <w:rFonts w:ascii="宋体" w:hAnsi="宋体" w:eastAsia="宋体" w:cs="宋体"/>
          <w:sz w:val="20"/>
          <w:szCs w:val="20"/>
        </w:rPr>
      </w:pPr>
      <w:r>
        <w:rPr>
          <w:rFonts w:ascii="宋体" w:hAnsi="宋体" w:eastAsia="宋体" w:cs="宋体"/>
          <w:spacing w:val="3"/>
          <w:sz w:val="20"/>
          <w:szCs w:val="20"/>
        </w:rPr>
        <w:t>4. 工程量清单缺陷引起的措施项目变化，应按国家计价标准第</w:t>
      </w:r>
      <w:r>
        <w:rPr>
          <w:rFonts w:ascii="宋体" w:hAnsi="宋体" w:eastAsia="宋体" w:cs="宋体"/>
          <w:spacing w:val="-28"/>
          <w:sz w:val="20"/>
          <w:szCs w:val="20"/>
        </w:rPr>
        <w:t xml:space="preserve"> </w:t>
      </w:r>
      <w:r>
        <w:rPr>
          <w:rFonts w:ascii="宋体" w:hAnsi="宋体" w:eastAsia="宋体" w:cs="宋体"/>
          <w:spacing w:val="3"/>
          <w:sz w:val="20"/>
          <w:szCs w:val="20"/>
        </w:rPr>
        <w:t>8.2.2</w:t>
      </w:r>
      <w:r>
        <w:rPr>
          <w:rFonts w:ascii="宋体" w:hAnsi="宋体" w:eastAsia="宋体" w:cs="宋体"/>
          <w:spacing w:val="-38"/>
          <w:sz w:val="20"/>
          <w:szCs w:val="20"/>
        </w:rPr>
        <w:t xml:space="preserve"> </w:t>
      </w:r>
      <w:r>
        <w:rPr>
          <w:rFonts w:ascii="宋体" w:hAnsi="宋体" w:eastAsia="宋体" w:cs="宋体"/>
          <w:spacing w:val="3"/>
          <w:sz w:val="20"/>
          <w:szCs w:val="20"/>
        </w:rPr>
        <w:t>条、第 8.2.3</w:t>
      </w:r>
      <w:r>
        <w:rPr>
          <w:rFonts w:ascii="宋体" w:hAnsi="宋体" w:eastAsia="宋体" w:cs="宋体"/>
          <w:spacing w:val="-38"/>
          <w:sz w:val="20"/>
          <w:szCs w:val="20"/>
        </w:rPr>
        <w:t xml:space="preserve"> </w:t>
      </w:r>
      <w:r>
        <w:rPr>
          <w:rFonts w:ascii="宋体" w:hAnsi="宋体" w:eastAsia="宋体" w:cs="宋体"/>
          <w:spacing w:val="3"/>
          <w:sz w:val="20"/>
          <w:szCs w:val="20"/>
        </w:rPr>
        <w:t>条的规定执</w:t>
      </w:r>
      <w:r>
        <w:rPr>
          <w:rFonts w:ascii="宋体" w:hAnsi="宋体" w:eastAsia="宋体" w:cs="宋体"/>
          <w:spacing w:val="2"/>
          <w:sz w:val="20"/>
          <w:szCs w:val="20"/>
        </w:rPr>
        <w:t>行；</w:t>
      </w:r>
    </w:p>
    <w:p>
      <w:pPr>
        <w:spacing w:before="152" w:line="312" w:lineRule="auto"/>
        <w:ind w:right="107" w:firstLine="422"/>
        <w:rPr>
          <w:rFonts w:ascii="宋体" w:hAnsi="宋体" w:eastAsia="宋体" w:cs="宋体"/>
          <w:sz w:val="20"/>
          <w:szCs w:val="20"/>
        </w:rPr>
      </w:pPr>
      <w:r>
        <w:rPr>
          <w:rFonts w:ascii="宋体" w:hAnsi="宋体" w:eastAsia="宋体" w:cs="宋体"/>
          <w:spacing w:val="10"/>
          <w:sz w:val="20"/>
          <w:szCs w:val="20"/>
        </w:rPr>
        <w:t>5. 暂列金额项目中所含未能完全预见或详细说明的工程引起的措施项目变化，应按国家计价</w:t>
      </w:r>
      <w:r>
        <w:rPr>
          <w:rFonts w:ascii="宋体" w:hAnsi="宋体" w:eastAsia="宋体" w:cs="宋体"/>
          <w:spacing w:val="-1"/>
          <w:sz w:val="20"/>
          <w:szCs w:val="20"/>
        </w:rPr>
        <w:t>标准第</w:t>
      </w:r>
      <w:r>
        <w:rPr>
          <w:rFonts w:ascii="宋体" w:hAnsi="宋体" w:eastAsia="宋体" w:cs="宋体"/>
          <w:spacing w:val="-40"/>
          <w:sz w:val="20"/>
          <w:szCs w:val="20"/>
        </w:rPr>
        <w:t xml:space="preserve"> </w:t>
      </w:r>
      <w:r>
        <w:rPr>
          <w:rFonts w:ascii="宋体" w:hAnsi="宋体" w:eastAsia="宋体" w:cs="宋体"/>
          <w:spacing w:val="-1"/>
          <w:sz w:val="20"/>
          <w:szCs w:val="20"/>
        </w:rPr>
        <w:t>7.7.2</w:t>
      </w:r>
      <w:r>
        <w:rPr>
          <w:rFonts w:ascii="宋体" w:hAnsi="宋体" w:eastAsia="宋体" w:cs="宋体"/>
          <w:spacing w:val="-40"/>
          <w:sz w:val="20"/>
          <w:szCs w:val="20"/>
        </w:rPr>
        <w:t xml:space="preserve"> </w:t>
      </w:r>
      <w:r>
        <w:rPr>
          <w:rFonts w:ascii="宋体" w:hAnsi="宋体" w:eastAsia="宋体" w:cs="宋体"/>
          <w:spacing w:val="-1"/>
          <w:sz w:val="20"/>
          <w:szCs w:val="20"/>
        </w:rPr>
        <w:t>条的规定执行。</w:t>
      </w:r>
    </w:p>
    <w:p>
      <w:pPr>
        <w:spacing w:before="123" w:line="277" w:lineRule="exact"/>
        <w:ind w:left="413"/>
        <w:rPr>
          <w:rFonts w:ascii="宋体" w:hAnsi="宋体" w:eastAsia="宋体" w:cs="宋体"/>
          <w:sz w:val="20"/>
          <w:szCs w:val="20"/>
        </w:rPr>
      </w:pPr>
      <w:r>
        <w:rPr>
          <w:rFonts w:ascii="宋体" w:hAnsi="宋体" w:eastAsia="宋体" w:cs="宋体"/>
          <w:spacing w:val="10"/>
          <w:position w:val="1"/>
          <w:sz w:val="20"/>
          <w:szCs w:val="20"/>
        </w:rPr>
        <w:t>（二）专业工程暂估价已包含其措施项目费用</w:t>
      </w:r>
      <w:r>
        <w:rPr>
          <w:rFonts w:ascii="宋体" w:hAnsi="宋体" w:eastAsia="宋体" w:cs="宋体"/>
          <w:spacing w:val="9"/>
          <w:position w:val="1"/>
          <w:sz w:val="20"/>
          <w:szCs w:val="20"/>
        </w:rPr>
        <w:t>，不应另外计算。</w:t>
      </w:r>
    </w:p>
    <w:p>
      <w:pPr>
        <w:spacing w:before="122" w:line="334" w:lineRule="auto"/>
        <w:ind w:left="3" w:right="105" w:firstLine="409"/>
        <w:rPr>
          <w:rFonts w:ascii="宋体" w:hAnsi="宋体" w:eastAsia="宋体" w:cs="宋体"/>
          <w:sz w:val="20"/>
          <w:szCs w:val="20"/>
        </w:rPr>
      </w:pPr>
      <w:r>
        <w:rPr>
          <w:rFonts w:ascii="宋体" w:hAnsi="宋体" w:eastAsia="宋体" w:cs="宋体"/>
          <w:spacing w:val="7"/>
          <w:sz w:val="20"/>
          <w:szCs w:val="20"/>
        </w:rPr>
        <w:t>（三）除合同另有约定及国家计价标准第</w:t>
      </w:r>
      <w:r>
        <w:rPr>
          <w:rFonts w:ascii="宋体" w:hAnsi="宋体" w:eastAsia="宋体" w:cs="宋体"/>
          <w:spacing w:val="-38"/>
          <w:sz w:val="20"/>
          <w:szCs w:val="20"/>
        </w:rPr>
        <w:t xml:space="preserve"> </w:t>
      </w:r>
      <w:r>
        <w:rPr>
          <w:rFonts w:ascii="宋体" w:hAnsi="宋体" w:eastAsia="宋体" w:cs="宋体"/>
          <w:spacing w:val="7"/>
          <w:sz w:val="20"/>
          <w:szCs w:val="20"/>
        </w:rPr>
        <w:t>3.2.6</w:t>
      </w:r>
      <w:r>
        <w:rPr>
          <w:rFonts w:ascii="宋体" w:hAnsi="宋体" w:eastAsia="宋体" w:cs="宋体"/>
          <w:spacing w:val="-38"/>
          <w:sz w:val="20"/>
          <w:szCs w:val="20"/>
        </w:rPr>
        <w:t xml:space="preserve"> </w:t>
      </w:r>
      <w:r>
        <w:rPr>
          <w:rFonts w:ascii="宋体" w:hAnsi="宋体" w:eastAsia="宋体" w:cs="宋体"/>
          <w:spacing w:val="7"/>
          <w:sz w:val="20"/>
          <w:szCs w:val="20"/>
        </w:rPr>
        <w:t>条第</w:t>
      </w:r>
      <w:r>
        <w:rPr>
          <w:rFonts w:ascii="宋体" w:hAnsi="宋体" w:eastAsia="宋体" w:cs="宋体"/>
          <w:spacing w:val="-39"/>
          <w:sz w:val="20"/>
          <w:szCs w:val="20"/>
        </w:rPr>
        <w:t xml:space="preserve"> </w:t>
      </w:r>
      <w:r>
        <w:rPr>
          <w:rFonts w:ascii="宋体" w:hAnsi="宋体" w:eastAsia="宋体" w:cs="宋体"/>
          <w:spacing w:val="7"/>
          <w:sz w:val="20"/>
          <w:szCs w:val="20"/>
        </w:rPr>
        <w:t>5</w:t>
      </w:r>
      <w:r>
        <w:rPr>
          <w:rFonts w:ascii="宋体" w:hAnsi="宋体" w:eastAsia="宋体" w:cs="宋体"/>
          <w:spacing w:val="-39"/>
          <w:sz w:val="20"/>
          <w:szCs w:val="20"/>
        </w:rPr>
        <w:t xml:space="preserve"> </w:t>
      </w:r>
      <w:r>
        <w:rPr>
          <w:rFonts w:ascii="宋体" w:hAnsi="宋体" w:eastAsia="宋体" w:cs="宋体"/>
          <w:spacing w:val="7"/>
          <w:sz w:val="20"/>
          <w:szCs w:val="20"/>
        </w:rPr>
        <w:t>款规定用于工程变更、新增工程、工程</w:t>
      </w:r>
      <w:r>
        <w:rPr>
          <w:rFonts w:ascii="宋体" w:hAnsi="宋体" w:eastAsia="宋体" w:cs="宋体"/>
          <w:spacing w:val="6"/>
          <w:sz w:val="20"/>
          <w:szCs w:val="20"/>
        </w:rPr>
        <w:t>索赔的暂列金额按国家计价标准第</w:t>
      </w:r>
      <w:r>
        <w:rPr>
          <w:rFonts w:ascii="宋体" w:hAnsi="宋体" w:eastAsia="宋体" w:cs="宋体"/>
          <w:spacing w:val="-31"/>
          <w:sz w:val="20"/>
          <w:szCs w:val="20"/>
        </w:rPr>
        <w:t xml:space="preserve"> </w:t>
      </w:r>
      <w:r>
        <w:rPr>
          <w:rFonts w:ascii="宋体" w:hAnsi="宋体" w:eastAsia="宋体" w:cs="宋体"/>
          <w:spacing w:val="6"/>
          <w:sz w:val="20"/>
          <w:szCs w:val="20"/>
        </w:rPr>
        <w:t>7.4</w:t>
      </w:r>
      <w:r>
        <w:rPr>
          <w:rFonts w:ascii="宋体" w:hAnsi="宋体" w:eastAsia="宋体" w:cs="宋体"/>
          <w:spacing w:val="-36"/>
          <w:sz w:val="20"/>
          <w:szCs w:val="20"/>
        </w:rPr>
        <w:t xml:space="preserve"> </w:t>
      </w:r>
      <w:r>
        <w:rPr>
          <w:rFonts w:ascii="宋体" w:hAnsi="宋体" w:eastAsia="宋体" w:cs="宋体"/>
          <w:spacing w:val="6"/>
          <w:sz w:val="20"/>
          <w:szCs w:val="20"/>
        </w:rPr>
        <w:t>节、第</w:t>
      </w:r>
      <w:r>
        <w:rPr>
          <w:rFonts w:ascii="宋体" w:hAnsi="宋体" w:eastAsia="宋体" w:cs="宋体"/>
          <w:spacing w:val="-41"/>
          <w:sz w:val="20"/>
          <w:szCs w:val="20"/>
        </w:rPr>
        <w:t xml:space="preserve"> </w:t>
      </w:r>
      <w:r>
        <w:rPr>
          <w:rFonts w:ascii="宋体" w:hAnsi="宋体" w:eastAsia="宋体" w:cs="宋体"/>
          <w:spacing w:val="6"/>
          <w:sz w:val="20"/>
          <w:szCs w:val="20"/>
        </w:rPr>
        <w:t>7.6</w:t>
      </w:r>
      <w:r>
        <w:rPr>
          <w:rFonts w:ascii="宋体" w:hAnsi="宋体" w:eastAsia="宋体" w:cs="宋体"/>
          <w:spacing w:val="-38"/>
          <w:sz w:val="20"/>
          <w:szCs w:val="20"/>
        </w:rPr>
        <w:t xml:space="preserve"> </w:t>
      </w:r>
      <w:r>
        <w:rPr>
          <w:rFonts w:ascii="宋体" w:hAnsi="宋体" w:eastAsia="宋体" w:cs="宋体"/>
          <w:spacing w:val="6"/>
          <w:sz w:val="20"/>
          <w:szCs w:val="20"/>
        </w:rPr>
        <w:t>节、第</w:t>
      </w:r>
      <w:r>
        <w:rPr>
          <w:rFonts w:ascii="宋体" w:hAnsi="宋体" w:eastAsia="宋体" w:cs="宋体"/>
          <w:spacing w:val="-38"/>
          <w:sz w:val="20"/>
          <w:szCs w:val="20"/>
        </w:rPr>
        <w:t xml:space="preserve"> </w:t>
      </w:r>
      <w:r>
        <w:rPr>
          <w:rFonts w:ascii="宋体" w:hAnsi="宋体" w:eastAsia="宋体" w:cs="宋体"/>
          <w:spacing w:val="6"/>
          <w:sz w:val="20"/>
          <w:szCs w:val="20"/>
        </w:rPr>
        <w:t>7.7</w:t>
      </w:r>
      <w:r>
        <w:rPr>
          <w:rFonts w:ascii="宋体" w:hAnsi="宋体" w:eastAsia="宋体" w:cs="宋体"/>
          <w:spacing w:val="-38"/>
          <w:sz w:val="20"/>
          <w:szCs w:val="20"/>
        </w:rPr>
        <w:t xml:space="preserve"> </w:t>
      </w:r>
      <w:r>
        <w:rPr>
          <w:rFonts w:ascii="宋体" w:hAnsi="宋体" w:eastAsia="宋体" w:cs="宋体"/>
          <w:spacing w:val="6"/>
          <w:sz w:val="20"/>
          <w:szCs w:val="20"/>
        </w:rPr>
        <w:t>节规定计量、用于未能完全预见或详</w:t>
      </w:r>
      <w:r>
        <w:rPr>
          <w:rFonts w:ascii="宋体" w:hAnsi="宋体" w:eastAsia="宋体" w:cs="宋体"/>
          <w:spacing w:val="8"/>
          <w:sz w:val="20"/>
          <w:szCs w:val="20"/>
        </w:rPr>
        <w:t>细说明的工程按国家计价标准第</w:t>
      </w:r>
      <w:r>
        <w:rPr>
          <w:rFonts w:ascii="宋体" w:hAnsi="宋体" w:eastAsia="宋体" w:cs="宋体"/>
          <w:spacing w:val="-41"/>
          <w:sz w:val="20"/>
          <w:szCs w:val="20"/>
        </w:rPr>
        <w:t xml:space="preserve"> </w:t>
      </w:r>
      <w:r>
        <w:rPr>
          <w:rFonts w:ascii="宋体" w:hAnsi="宋体" w:eastAsia="宋体" w:cs="宋体"/>
          <w:spacing w:val="8"/>
          <w:sz w:val="20"/>
          <w:szCs w:val="20"/>
        </w:rPr>
        <w:t>7.7</w:t>
      </w:r>
      <w:r>
        <w:rPr>
          <w:rFonts w:ascii="宋体" w:hAnsi="宋体" w:eastAsia="宋体" w:cs="宋体"/>
          <w:spacing w:val="-40"/>
          <w:sz w:val="20"/>
          <w:szCs w:val="20"/>
        </w:rPr>
        <w:t xml:space="preserve"> </w:t>
      </w:r>
      <w:r>
        <w:rPr>
          <w:rFonts w:ascii="宋体" w:hAnsi="宋体" w:eastAsia="宋体" w:cs="宋体"/>
          <w:spacing w:val="8"/>
          <w:sz w:val="20"/>
          <w:szCs w:val="20"/>
        </w:rPr>
        <w:t>节规定计量外，暂列金</w:t>
      </w:r>
      <w:r>
        <w:rPr>
          <w:rFonts w:ascii="宋体" w:hAnsi="宋体" w:eastAsia="宋体" w:cs="宋体"/>
          <w:spacing w:val="7"/>
          <w:sz w:val="20"/>
          <w:szCs w:val="20"/>
        </w:rPr>
        <w:t>额的措施项目费已包含在已标价工程量</w:t>
      </w:r>
      <w:r>
        <w:rPr>
          <w:rFonts w:ascii="宋体" w:hAnsi="宋体" w:eastAsia="宋体" w:cs="宋体"/>
          <w:spacing w:val="9"/>
          <w:sz w:val="20"/>
          <w:szCs w:val="20"/>
        </w:rPr>
        <w:t>清单的措施项目中，不应另外计量调整。</w:t>
      </w:r>
    </w:p>
    <w:p>
      <w:pPr>
        <w:spacing w:before="153" w:line="279" w:lineRule="exact"/>
        <w:ind w:left="413"/>
        <w:rPr>
          <w:rFonts w:ascii="宋体" w:hAnsi="宋体" w:eastAsia="宋体" w:cs="宋体"/>
          <w:sz w:val="20"/>
          <w:szCs w:val="20"/>
        </w:rPr>
      </w:pPr>
      <w:r>
        <w:rPr>
          <w:rFonts w:ascii="宋体" w:hAnsi="宋体" w:eastAsia="宋体" w:cs="宋体"/>
          <w:spacing w:val="10"/>
          <w:position w:val="1"/>
          <w:sz w:val="20"/>
          <w:szCs w:val="20"/>
        </w:rPr>
        <w:t>（九）工程变更计量</w:t>
      </w:r>
    </w:p>
    <w:p>
      <w:pPr>
        <w:spacing w:before="123" w:line="297" w:lineRule="auto"/>
        <w:ind w:left="2" w:right="21" w:firstLine="437"/>
        <w:rPr>
          <w:rFonts w:ascii="宋体" w:hAnsi="宋体" w:eastAsia="宋体" w:cs="宋体"/>
          <w:sz w:val="20"/>
          <w:szCs w:val="20"/>
        </w:rPr>
      </w:pPr>
      <w:r>
        <w:rPr>
          <w:rFonts w:ascii="宋体" w:hAnsi="宋体" w:eastAsia="宋体" w:cs="宋体"/>
          <w:spacing w:val="7"/>
          <w:sz w:val="20"/>
          <w:szCs w:val="20"/>
        </w:rPr>
        <w:t>1. 工程变更引起的应予计量的工程量，应按合同约定的工程量计算规则、适用的国家及行业工</w:t>
      </w:r>
      <w:r>
        <w:rPr>
          <w:rFonts w:ascii="宋体" w:hAnsi="宋体" w:eastAsia="宋体" w:cs="宋体"/>
          <w:spacing w:val="8"/>
          <w:sz w:val="20"/>
          <w:szCs w:val="20"/>
        </w:rPr>
        <w:t>程量计算标准计算。</w:t>
      </w:r>
    </w:p>
    <w:p>
      <w:pPr>
        <w:spacing w:before="155" w:line="298" w:lineRule="auto"/>
        <w:ind w:left="2" w:right="21" w:firstLine="420"/>
        <w:rPr>
          <w:rFonts w:ascii="宋体" w:hAnsi="宋体" w:eastAsia="宋体" w:cs="宋体"/>
          <w:sz w:val="20"/>
          <w:szCs w:val="20"/>
        </w:rPr>
      </w:pPr>
      <w:r>
        <w:rPr>
          <w:rFonts w:ascii="宋体" w:hAnsi="宋体" w:eastAsia="宋体" w:cs="宋体"/>
          <w:spacing w:val="8"/>
          <w:sz w:val="20"/>
          <w:szCs w:val="20"/>
        </w:rPr>
        <w:t>2. 采用单价合同的工程变更，应按发包人</w:t>
      </w:r>
      <w:r>
        <w:rPr>
          <w:rFonts w:ascii="宋体" w:hAnsi="宋体" w:eastAsia="宋体" w:cs="宋体"/>
          <w:spacing w:val="7"/>
          <w:sz w:val="20"/>
          <w:szCs w:val="20"/>
        </w:rPr>
        <w:t>颁发或确认的变更指令及实际施工图纸重新计算分部</w:t>
      </w:r>
      <w:r>
        <w:rPr>
          <w:rFonts w:ascii="宋体" w:hAnsi="宋体" w:eastAsia="宋体" w:cs="宋体"/>
          <w:spacing w:val="10"/>
          <w:sz w:val="20"/>
          <w:szCs w:val="20"/>
        </w:rPr>
        <w:t>分项工程清单项目及工程量，并与已纠正工程量清单缺陷的工程量清单项目及其工程量进行比较，</w:t>
      </w:r>
    </w:p>
    <w:p>
      <w:pPr>
        <w:spacing w:line="298" w:lineRule="auto"/>
        <w:rPr>
          <w:rFonts w:ascii="宋体" w:hAnsi="宋体" w:eastAsia="宋体" w:cs="宋体"/>
          <w:sz w:val="20"/>
          <w:szCs w:val="20"/>
        </w:rPr>
        <w:sectPr>
          <w:footerReference r:id="rId55" w:type="default"/>
          <w:pgSz w:w="11905" w:h="16840"/>
          <w:pgMar w:top="1431" w:right="1419" w:bottom="1213" w:left="1418" w:header="0" w:footer="898" w:gutter="0"/>
        </w:sectPr>
      </w:pPr>
    </w:p>
    <w:p>
      <w:pPr>
        <w:spacing w:before="128" w:line="222" w:lineRule="auto"/>
        <w:ind w:left="3"/>
        <w:rPr>
          <w:rFonts w:ascii="宋体" w:hAnsi="宋体" w:eastAsia="宋体" w:cs="宋体"/>
          <w:sz w:val="20"/>
          <w:szCs w:val="20"/>
        </w:rPr>
      </w:pPr>
      <w:r>
        <w:rPr>
          <w:rFonts w:ascii="宋体" w:hAnsi="宋体" w:eastAsia="宋体" w:cs="宋体"/>
          <w:spacing w:val="8"/>
          <w:sz w:val="20"/>
          <w:szCs w:val="20"/>
        </w:rPr>
        <w:t>确定增减变更项目及其工程量。</w:t>
      </w:r>
    </w:p>
    <w:p>
      <w:pPr>
        <w:spacing w:before="155" w:line="321" w:lineRule="auto"/>
        <w:ind w:right="2" w:firstLine="426"/>
        <w:rPr>
          <w:rFonts w:ascii="宋体" w:hAnsi="宋体" w:eastAsia="宋体" w:cs="宋体"/>
          <w:sz w:val="20"/>
          <w:szCs w:val="20"/>
        </w:rPr>
      </w:pPr>
      <w:r>
        <w:rPr>
          <w:rFonts w:ascii="宋体" w:hAnsi="宋体" w:eastAsia="宋体" w:cs="宋体"/>
          <w:spacing w:val="7"/>
          <w:sz w:val="20"/>
          <w:szCs w:val="20"/>
        </w:rPr>
        <w:t>3. 采用总价合同的工程变更，应按发包人颁发或确认的变更指令及实际施工图纸与合同图纸进</w:t>
      </w:r>
      <w:r>
        <w:rPr>
          <w:rFonts w:ascii="宋体" w:hAnsi="宋体" w:eastAsia="宋体" w:cs="宋体"/>
          <w:spacing w:val="6"/>
          <w:sz w:val="20"/>
          <w:szCs w:val="20"/>
        </w:rPr>
        <w:t>行比较，差异部分的分部分项工程项目清单即为工程变更项目，应按国家计价标准第7.4.1</w:t>
      </w:r>
      <w:r>
        <w:rPr>
          <w:rFonts w:ascii="宋体" w:hAnsi="宋体" w:eastAsia="宋体" w:cs="宋体"/>
          <w:spacing w:val="-32"/>
          <w:sz w:val="20"/>
          <w:szCs w:val="20"/>
        </w:rPr>
        <w:t xml:space="preserve"> </w:t>
      </w:r>
      <w:r>
        <w:rPr>
          <w:rFonts w:ascii="宋体" w:hAnsi="宋体" w:eastAsia="宋体" w:cs="宋体"/>
          <w:spacing w:val="6"/>
          <w:sz w:val="20"/>
          <w:szCs w:val="20"/>
        </w:rPr>
        <w:t>条的规定</w:t>
      </w:r>
      <w:r>
        <w:rPr>
          <w:rFonts w:ascii="宋体" w:hAnsi="宋体" w:eastAsia="宋体" w:cs="宋体"/>
          <w:spacing w:val="8"/>
          <w:sz w:val="20"/>
          <w:szCs w:val="20"/>
        </w:rPr>
        <w:t>计算变更项目及其工程量。</w:t>
      </w:r>
    </w:p>
    <w:p>
      <w:pPr>
        <w:spacing w:before="159" w:line="340" w:lineRule="auto"/>
        <w:ind w:right="2" w:firstLine="419"/>
        <w:rPr>
          <w:rFonts w:ascii="宋体" w:hAnsi="宋体" w:eastAsia="宋体" w:cs="宋体"/>
          <w:sz w:val="20"/>
          <w:szCs w:val="20"/>
        </w:rPr>
      </w:pPr>
      <w:r>
        <w:rPr>
          <w:rFonts w:ascii="宋体" w:hAnsi="宋体" w:eastAsia="宋体" w:cs="宋体"/>
          <w:spacing w:val="7"/>
          <w:sz w:val="20"/>
          <w:szCs w:val="20"/>
        </w:rPr>
        <w:t>4.</w:t>
      </w:r>
      <w:r>
        <w:rPr>
          <w:rFonts w:ascii="宋体" w:hAnsi="宋体" w:eastAsia="宋体" w:cs="宋体"/>
          <w:spacing w:val="36"/>
          <w:sz w:val="20"/>
          <w:szCs w:val="20"/>
        </w:rPr>
        <w:t xml:space="preserve"> </w:t>
      </w:r>
      <w:r>
        <w:rPr>
          <w:rFonts w:ascii="宋体" w:hAnsi="宋体" w:eastAsia="宋体" w:cs="宋体"/>
          <w:spacing w:val="7"/>
          <w:sz w:val="20"/>
          <w:szCs w:val="20"/>
        </w:rPr>
        <w:t>由于工程变更引起的措施项目变化，应按发包人批准的承包人专为工程变更拟</w:t>
      </w:r>
      <w:r>
        <w:rPr>
          <w:rFonts w:ascii="宋体" w:hAnsi="宋体" w:eastAsia="宋体" w:cs="宋体"/>
          <w:spacing w:val="6"/>
          <w:sz w:val="20"/>
          <w:szCs w:val="20"/>
        </w:rPr>
        <w:t>定的实施方案</w:t>
      </w:r>
      <w:r>
        <w:rPr>
          <w:rFonts w:ascii="宋体" w:hAnsi="宋体" w:eastAsia="宋体" w:cs="宋体"/>
          <w:spacing w:val="10"/>
          <w:sz w:val="20"/>
          <w:szCs w:val="20"/>
        </w:rPr>
        <w:t>或实际发生内容，计算其因工程变更而需要增加投入的施工管理人员、增加搭设的临时设施及其他</w:t>
      </w:r>
      <w:r>
        <w:rPr>
          <w:rFonts w:ascii="宋体" w:hAnsi="宋体" w:eastAsia="宋体" w:cs="宋体"/>
          <w:spacing w:val="5"/>
          <w:sz w:val="20"/>
          <w:szCs w:val="20"/>
        </w:rPr>
        <w:t>增加的施工措施工程(工作)量；工程变更引起合同工期变化的，应依据发包人批准的工期延长或缩短</w:t>
      </w:r>
      <w:r>
        <w:rPr>
          <w:rFonts w:ascii="宋体" w:hAnsi="宋体" w:eastAsia="宋体" w:cs="宋体"/>
          <w:spacing w:val="4"/>
          <w:sz w:val="20"/>
          <w:szCs w:val="20"/>
        </w:rPr>
        <w:t>的时间按国家计价标准第</w:t>
      </w:r>
      <w:r>
        <w:rPr>
          <w:rFonts w:ascii="宋体" w:hAnsi="宋体" w:eastAsia="宋体" w:cs="宋体"/>
          <w:spacing w:val="-27"/>
          <w:sz w:val="20"/>
          <w:szCs w:val="20"/>
        </w:rPr>
        <w:t xml:space="preserve"> </w:t>
      </w:r>
      <w:r>
        <w:rPr>
          <w:rFonts w:ascii="宋体" w:hAnsi="宋体" w:eastAsia="宋体" w:cs="宋体"/>
          <w:spacing w:val="4"/>
          <w:sz w:val="20"/>
          <w:szCs w:val="20"/>
        </w:rPr>
        <w:t>8.9.4</w:t>
      </w:r>
      <w:r>
        <w:rPr>
          <w:rFonts w:ascii="宋体" w:hAnsi="宋体" w:eastAsia="宋体" w:cs="宋体"/>
          <w:spacing w:val="-40"/>
          <w:sz w:val="20"/>
          <w:szCs w:val="20"/>
        </w:rPr>
        <w:t xml:space="preserve"> </w:t>
      </w:r>
      <w:r>
        <w:rPr>
          <w:rFonts w:ascii="宋体" w:hAnsi="宋体" w:eastAsia="宋体" w:cs="宋体"/>
          <w:spacing w:val="4"/>
          <w:sz w:val="20"/>
          <w:szCs w:val="20"/>
        </w:rPr>
        <w:t>条的规定计算调整，作为国家计价标准第</w:t>
      </w:r>
      <w:r>
        <w:rPr>
          <w:rFonts w:ascii="宋体" w:hAnsi="宋体" w:eastAsia="宋体" w:cs="宋体"/>
          <w:spacing w:val="-40"/>
          <w:sz w:val="20"/>
          <w:szCs w:val="20"/>
        </w:rPr>
        <w:t xml:space="preserve"> </w:t>
      </w:r>
      <w:r>
        <w:rPr>
          <w:rFonts w:ascii="宋体" w:hAnsi="宋体" w:eastAsia="宋体" w:cs="宋体"/>
          <w:spacing w:val="4"/>
          <w:sz w:val="20"/>
          <w:szCs w:val="20"/>
        </w:rPr>
        <w:t>8.9</w:t>
      </w:r>
      <w:r>
        <w:rPr>
          <w:rFonts w:ascii="宋体" w:hAnsi="宋体" w:eastAsia="宋体" w:cs="宋体"/>
          <w:spacing w:val="-38"/>
          <w:sz w:val="20"/>
          <w:szCs w:val="20"/>
        </w:rPr>
        <w:t xml:space="preserve"> </w:t>
      </w:r>
      <w:r>
        <w:rPr>
          <w:rFonts w:ascii="宋体" w:hAnsi="宋体" w:eastAsia="宋体" w:cs="宋体"/>
          <w:spacing w:val="4"/>
          <w:sz w:val="20"/>
          <w:szCs w:val="20"/>
        </w:rPr>
        <w:t>节规定计算变更工程价</w:t>
      </w:r>
      <w:r>
        <w:rPr>
          <w:rFonts w:ascii="宋体" w:hAnsi="宋体" w:eastAsia="宋体" w:cs="宋体"/>
          <w:spacing w:val="6"/>
          <w:sz w:val="20"/>
          <w:szCs w:val="20"/>
        </w:rPr>
        <w:t>格的依据。</w:t>
      </w:r>
    </w:p>
    <w:p>
      <w:pPr>
        <w:spacing w:before="155" w:line="277" w:lineRule="exact"/>
        <w:ind w:left="413"/>
        <w:rPr>
          <w:rFonts w:ascii="宋体" w:hAnsi="宋体" w:eastAsia="宋体" w:cs="宋体"/>
          <w:sz w:val="20"/>
          <w:szCs w:val="20"/>
        </w:rPr>
      </w:pPr>
      <w:r>
        <w:rPr>
          <w:rFonts w:ascii="宋体" w:hAnsi="宋体" w:eastAsia="宋体" w:cs="宋体"/>
          <w:spacing w:val="10"/>
          <w:position w:val="1"/>
          <w:sz w:val="20"/>
          <w:szCs w:val="20"/>
        </w:rPr>
        <w:t>（十）计日工计量 、返工工程计量、新增工程的计量按国</w:t>
      </w:r>
      <w:r>
        <w:rPr>
          <w:rFonts w:ascii="宋体" w:hAnsi="宋体" w:eastAsia="宋体" w:cs="宋体"/>
          <w:spacing w:val="9"/>
          <w:position w:val="1"/>
          <w:sz w:val="20"/>
          <w:szCs w:val="20"/>
        </w:rPr>
        <w:t>家清单计价标准的规定执行。</w:t>
      </w:r>
    </w:p>
    <w:p>
      <w:pPr>
        <w:spacing w:before="125" w:line="230" w:lineRule="auto"/>
        <w:ind w:left="424"/>
        <w:rPr>
          <w:rFonts w:ascii="黑体" w:hAnsi="黑体" w:eastAsia="黑体" w:cs="黑体"/>
          <w:sz w:val="20"/>
          <w:szCs w:val="20"/>
        </w:rPr>
      </w:pPr>
      <w:r>
        <w:rPr>
          <w:rFonts w:ascii="黑体" w:hAnsi="黑体" w:eastAsia="黑体" w:cs="黑体"/>
          <w:spacing w:val="-8"/>
          <w:sz w:val="20"/>
          <w:szCs w:val="20"/>
        </w:rPr>
        <w:t>七、合同价款调整</w:t>
      </w:r>
    </w:p>
    <w:p>
      <w:pPr>
        <w:spacing w:before="150" w:line="366" w:lineRule="auto"/>
        <w:ind w:left="8" w:firstLine="411"/>
        <w:rPr>
          <w:rFonts w:ascii="宋体" w:hAnsi="宋体" w:eastAsia="宋体" w:cs="宋体"/>
          <w:sz w:val="20"/>
          <w:szCs w:val="20"/>
        </w:rPr>
      </w:pPr>
      <w:r>
        <w:rPr>
          <w:rFonts w:ascii="宋体" w:hAnsi="宋体" w:eastAsia="宋体" w:cs="宋体"/>
          <w:spacing w:val="9"/>
          <w:sz w:val="20"/>
          <w:szCs w:val="20"/>
        </w:rPr>
        <w:t>合同履行过程发生下列事项，发承包双方可按国家计价标准第</w:t>
      </w:r>
      <w:r>
        <w:rPr>
          <w:rFonts w:ascii="宋体" w:hAnsi="宋体" w:eastAsia="宋体" w:cs="宋体"/>
          <w:spacing w:val="-27"/>
          <w:sz w:val="20"/>
          <w:szCs w:val="20"/>
        </w:rPr>
        <w:t xml:space="preserve"> </w:t>
      </w:r>
      <w:r>
        <w:rPr>
          <w:rFonts w:ascii="宋体" w:hAnsi="宋体" w:eastAsia="宋体" w:cs="宋体"/>
          <w:spacing w:val="9"/>
          <w:sz w:val="20"/>
          <w:szCs w:val="20"/>
        </w:rPr>
        <w:t>7</w:t>
      </w:r>
      <w:r>
        <w:rPr>
          <w:rFonts w:ascii="宋体" w:hAnsi="宋体" w:eastAsia="宋体" w:cs="宋体"/>
          <w:spacing w:val="-40"/>
          <w:sz w:val="20"/>
          <w:szCs w:val="20"/>
        </w:rPr>
        <w:t xml:space="preserve"> </w:t>
      </w:r>
      <w:r>
        <w:rPr>
          <w:rFonts w:ascii="宋体" w:hAnsi="宋体" w:eastAsia="宋体" w:cs="宋体"/>
          <w:spacing w:val="9"/>
          <w:sz w:val="20"/>
          <w:szCs w:val="20"/>
        </w:rPr>
        <w:t>章、第</w:t>
      </w:r>
      <w:r>
        <w:rPr>
          <w:rFonts w:ascii="宋体" w:hAnsi="宋体" w:eastAsia="宋体" w:cs="宋体"/>
          <w:spacing w:val="-37"/>
          <w:sz w:val="20"/>
          <w:szCs w:val="20"/>
        </w:rPr>
        <w:t xml:space="preserve"> </w:t>
      </w:r>
      <w:r>
        <w:rPr>
          <w:rFonts w:ascii="宋体" w:hAnsi="宋体" w:eastAsia="宋体" w:cs="宋体"/>
          <w:spacing w:val="9"/>
          <w:sz w:val="20"/>
          <w:szCs w:val="20"/>
        </w:rPr>
        <w:t>8</w:t>
      </w:r>
      <w:r>
        <w:rPr>
          <w:rFonts w:ascii="宋体" w:hAnsi="宋体" w:eastAsia="宋体" w:cs="宋体"/>
          <w:spacing w:val="-39"/>
          <w:sz w:val="20"/>
          <w:szCs w:val="20"/>
        </w:rPr>
        <w:t xml:space="preserve"> </w:t>
      </w:r>
      <w:r>
        <w:rPr>
          <w:rFonts w:ascii="宋体" w:hAnsi="宋体" w:eastAsia="宋体" w:cs="宋体"/>
          <w:spacing w:val="9"/>
          <w:sz w:val="20"/>
          <w:szCs w:val="20"/>
        </w:rPr>
        <w:t>章以及省清单计价指</w:t>
      </w:r>
      <w:r>
        <w:rPr>
          <w:rFonts w:ascii="宋体" w:hAnsi="宋体" w:eastAsia="宋体" w:cs="宋体"/>
          <w:spacing w:val="8"/>
          <w:sz w:val="20"/>
          <w:szCs w:val="20"/>
        </w:rPr>
        <w:t>引的规定调整相关合同价款：</w:t>
      </w:r>
    </w:p>
    <w:p>
      <w:pPr>
        <w:spacing w:before="6" w:line="279" w:lineRule="exact"/>
        <w:ind w:left="440"/>
        <w:rPr>
          <w:rFonts w:ascii="宋体" w:hAnsi="宋体" w:eastAsia="宋体" w:cs="宋体"/>
          <w:sz w:val="20"/>
          <w:szCs w:val="20"/>
        </w:rPr>
      </w:pPr>
      <w:r>
        <w:rPr>
          <w:rFonts w:ascii="宋体" w:hAnsi="宋体" w:eastAsia="宋体" w:cs="宋体"/>
          <w:position w:val="1"/>
          <w:sz w:val="20"/>
          <w:szCs w:val="20"/>
        </w:rPr>
        <w:t>1. 工程量清单缺陷；</w:t>
      </w:r>
    </w:p>
    <w:p>
      <w:pPr>
        <w:spacing w:before="122" w:line="278" w:lineRule="exact"/>
        <w:ind w:left="423"/>
        <w:rPr>
          <w:rFonts w:ascii="宋体" w:hAnsi="宋体" w:eastAsia="宋体" w:cs="宋体"/>
          <w:sz w:val="20"/>
          <w:szCs w:val="20"/>
        </w:rPr>
      </w:pPr>
      <w:r>
        <w:rPr>
          <w:rFonts w:ascii="宋体" w:hAnsi="宋体" w:eastAsia="宋体" w:cs="宋体"/>
          <w:spacing w:val="-3"/>
          <w:position w:val="1"/>
          <w:sz w:val="20"/>
          <w:szCs w:val="20"/>
        </w:rPr>
        <w:t>2.</w:t>
      </w:r>
      <w:r>
        <w:rPr>
          <w:rFonts w:ascii="宋体" w:hAnsi="宋体" w:eastAsia="宋体" w:cs="宋体"/>
          <w:spacing w:val="13"/>
          <w:position w:val="1"/>
          <w:sz w:val="20"/>
          <w:szCs w:val="20"/>
        </w:rPr>
        <w:t xml:space="preserve"> </w:t>
      </w:r>
      <w:r>
        <w:rPr>
          <w:rFonts w:ascii="宋体" w:hAnsi="宋体" w:eastAsia="宋体" w:cs="宋体"/>
          <w:spacing w:val="-3"/>
          <w:position w:val="1"/>
          <w:sz w:val="20"/>
          <w:szCs w:val="20"/>
        </w:rPr>
        <w:t>暂列金额；</w:t>
      </w:r>
    </w:p>
    <w:p>
      <w:pPr>
        <w:spacing w:before="120" w:line="277" w:lineRule="exact"/>
        <w:ind w:left="426"/>
        <w:rPr>
          <w:rFonts w:ascii="宋体" w:hAnsi="宋体" w:eastAsia="宋体" w:cs="宋体"/>
          <w:sz w:val="20"/>
          <w:szCs w:val="20"/>
        </w:rPr>
      </w:pPr>
      <w:r>
        <w:rPr>
          <w:rFonts w:ascii="宋体" w:hAnsi="宋体" w:eastAsia="宋体" w:cs="宋体"/>
          <w:spacing w:val="-6"/>
          <w:position w:val="1"/>
          <w:sz w:val="20"/>
          <w:szCs w:val="20"/>
        </w:rPr>
        <w:t>3.</w:t>
      </w:r>
      <w:r>
        <w:rPr>
          <w:rFonts w:ascii="宋体" w:hAnsi="宋体" w:eastAsia="宋体" w:cs="宋体"/>
          <w:spacing w:val="16"/>
          <w:position w:val="1"/>
          <w:sz w:val="20"/>
          <w:szCs w:val="20"/>
        </w:rPr>
        <w:t xml:space="preserve"> </w:t>
      </w:r>
      <w:r>
        <w:rPr>
          <w:rFonts w:ascii="宋体" w:hAnsi="宋体" w:eastAsia="宋体" w:cs="宋体"/>
          <w:spacing w:val="-6"/>
          <w:position w:val="1"/>
          <w:sz w:val="20"/>
          <w:szCs w:val="20"/>
        </w:rPr>
        <w:t>暂估价；</w:t>
      </w:r>
    </w:p>
    <w:p>
      <w:pPr>
        <w:spacing w:before="124" w:line="278" w:lineRule="exact"/>
        <w:ind w:left="420"/>
        <w:rPr>
          <w:rFonts w:ascii="宋体" w:hAnsi="宋体" w:eastAsia="宋体" w:cs="宋体"/>
          <w:sz w:val="20"/>
          <w:szCs w:val="20"/>
        </w:rPr>
      </w:pPr>
      <w:r>
        <w:rPr>
          <w:rFonts w:ascii="宋体" w:hAnsi="宋体" w:eastAsia="宋体" w:cs="宋体"/>
          <w:spacing w:val="-1"/>
          <w:position w:val="1"/>
          <w:sz w:val="20"/>
          <w:szCs w:val="20"/>
        </w:rPr>
        <w:t>4.</w:t>
      </w:r>
      <w:r>
        <w:rPr>
          <w:rFonts w:ascii="宋体" w:hAnsi="宋体" w:eastAsia="宋体" w:cs="宋体"/>
          <w:spacing w:val="24"/>
          <w:position w:val="1"/>
          <w:sz w:val="20"/>
          <w:szCs w:val="20"/>
        </w:rPr>
        <w:t xml:space="preserve"> </w:t>
      </w:r>
      <w:r>
        <w:rPr>
          <w:rFonts w:ascii="宋体" w:hAnsi="宋体" w:eastAsia="宋体" w:cs="宋体"/>
          <w:spacing w:val="-1"/>
          <w:position w:val="1"/>
          <w:sz w:val="20"/>
          <w:szCs w:val="20"/>
        </w:rPr>
        <w:t>总承包服务费；</w:t>
      </w:r>
    </w:p>
    <w:p>
      <w:pPr>
        <w:spacing w:before="123" w:line="279" w:lineRule="exact"/>
        <w:ind w:left="423"/>
        <w:rPr>
          <w:rFonts w:ascii="宋体" w:hAnsi="宋体" w:eastAsia="宋体" w:cs="宋体"/>
          <w:sz w:val="20"/>
          <w:szCs w:val="20"/>
        </w:rPr>
      </w:pPr>
      <w:r>
        <w:rPr>
          <w:rFonts w:ascii="宋体" w:hAnsi="宋体" w:eastAsia="宋体" w:cs="宋体"/>
          <w:spacing w:val="-5"/>
          <w:position w:val="1"/>
          <w:sz w:val="20"/>
          <w:szCs w:val="20"/>
        </w:rPr>
        <w:t>5.</w:t>
      </w:r>
      <w:r>
        <w:rPr>
          <w:rFonts w:ascii="宋体" w:hAnsi="宋体" w:eastAsia="宋体" w:cs="宋体"/>
          <w:spacing w:val="13"/>
          <w:position w:val="1"/>
          <w:sz w:val="20"/>
          <w:szCs w:val="20"/>
        </w:rPr>
        <w:t xml:space="preserve"> </w:t>
      </w:r>
      <w:r>
        <w:rPr>
          <w:rFonts w:ascii="宋体" w:hAnsi="宋体" w:eastAsia="宋体" w:cs="宋体"/>
          <w:spacing w:val="-5"/>
          <w:position w:val="1"/>
          <w:sz w:val="20"/>
          <w:szCs w:val="20"/>
        </w:rPr>
        <w:t>计日工；</w:t>
      </w:r>
    </w:p>
    <w:p>
      <w:pPr>
        <w:spacing w:before="119" w:line="277" w:lineRule="exact"/>
        <w:ind w:left="423"/>
        <w:rPr>
          <w:rFonts w:ascii="宋体" w:hAnsi="宋体" w:eastAsia="宋体" w:cs="宋体"/>
          <w:sz w:val="20"/>
          <w:szCs w:val="20"/>
        </w:rPr>
      </w:pPr>
      <w:r>
        <w:rPr>
          <w:rFonts w:ascii="宋体" w:hAnsi="宋体" w:eastAsia="宋体" w:cs="宋体"/>
          <w:spacing w:val="-4"/>
          <w:position w:val="1"/>
          <w:sz w:val="20"/>
          <w:szCs w:val="20"/>
        </w:rPr>
        <w:t>6.</w:t>
      </w:r>
      <w:r>
        <w:rPr>
          <w:rFonts w:ascii="宋体" w:hAnsi="宋体" w:eastAsia="宋体" w:cs="宋体"/>
          <w:spacing w:val="19"/>
          <w:position w:val="1"/>
          <w:sz w:val="20"/>
          <w:szCs w:val="20"/>
        </w:rPr>
        <w:t xml:space="preserve"> </w:t>
      </w:r>
      <w:r>
        <w:rPr>
          <w:rFonts w:ascii="宋体" w:hAnsi="宋体" w:eastAsia="宋体" w:cs="宋体"/>
          <w:spacing w:val="-4"/>
          <w:position w:val="1"/>
          <w:sz w:val="20"/>
          <w:szCs w:val="20"/>
        </w:rPr>
        <w:t>物价变化；</w:t>
      </w:r>
    </w:p>
    <w:p>
      <w:pPr>
        <w:spacing w:before="124" w:line="278" w:lineRule="exact"/>
        <w:ind w:left="421"/>
        <w:rPr>
          <w:rFonts w:ascii="宋体" w:hAnsi="宋体" w:eastAsia="宋体" w:cs="宋体"/>
          <w:sz w:val="20"/>
          <w:szCs w:val="20"/>
        </w:rPr>
      </w:pPr>
      <w:r>
        <w:rPr>
          <w:rFonts w:ascii="宋体" w:hAnsi="宋体" w:eastAsia="宋体" w:cs="宋体"/>
          <w:spacing w:val="3"/>
          <w:position w:val="1"/>
          <w:sz w:val="20"/>
          <w:szCs w:val="20"/>
        </w:rPr>
        <w:t>7. 法律法规及政策性变化；</w:t>
      </w:r>
    </w:p>
    <w:p>
      <w:pPr>
        <w:spacing w:before="123" w:line="279" w:lineRule="exact"/>
        <w:ind w:left="425"/>
        <w:rPr>
          <w:rFonts w:ascii="宋体" w:hAnsi="宋体" w:eastAsia="宋体" w:cs="宋体"/>
          <w:sz w:val="20"/>
          <w:szCs w:val="20"/>
        </w:rPr>
      </w:pPr>
      <w:r>
        <w:rPr>
          <w:rFonts w:ascii="宋体" w:hAnsi="宋体" w:eastAsia="宋体" w:cs="宋体"/>
          <w:spacing w:val="-3"/>
          <w:position w:val="1"/>
          <w:sz w:val="20"/>
          <w:szCs w:val="20"/>
        </w:rPr>
        <w:t>8.</w:t>
      </w:r>
      <w:r>
        <w:rPr>
          <w:rFonts w:ascii="宋体" w:hAnsi="宋体" w:eastAsia="宋体" w:cs="宋体"/>
          <w:spacing w:val="11"/>
          <w:position w:val="1"/>
          <w:sz w:val="20"/>
          <w:szCs w:val="20"/>
        </w:rPr>
        <w:t xml:space="preserve"> </w:t>
      </w:r>
      <w:r>
        <w:rPr>
          <w:rFonts w:ascii="宋体" w:hAnsi="宋体" w:eastAsia="宋体" w:cs="宋体"/>
          <w:spacing w:val="-3"/>
          <w:position w:val="1"/>
          <w:sz w:val="20"/>
          <w:szCs w:val="20"/>
        </w:rPr>
        <w:t>工程变更；</w:t>
      </w:r>
    </w:p>
    <w:p>
      <w:pPr>
        <w:spacing w:before="119" w:line="279" w:lineRule="exact"/>
        <w:ind w:left="423"/>
        <w:rPr>
          <w:rFonts w:ascii="宋体" w:hAnsi="宋体" w:eastAsia="宋体" w:cs="宋体"/>
          <w:sz w:val="20"/>
          <w:szCs w:val="20"/>
        </w:rPr>
      </w:pPr>
      <w:r>
        <w:rPr>
          <w:rFonts w:ascii="宋体" w:hAnsi="宋体" w:eastAsia="宋体" w:cs="宋体"/>
          <w:spacing w:val="-1"/>
          <w:position w:val="1"/>
          <w:sz w:val="20"/>
          <w:szCs w:val="20"/>
        </w:rPr>
        <w:t>9. 新增工程；</w:t>
      </w:r>
    </w:p>
    <w:p>
      <w:pPr>
        <w:spacing w:before="122" w:line="278" w:lineRule="exact"/>
        <w:ind w:left="440"/>
        <w:rPr>
          <w:rFonts w:ascii="宋体" w:hAnsi="宋体" w:eastAsia="宋体" w:cs="宋体"/>
          <w:sz w:val="20"/>
          <w:szCs w:val="20"/>
        </w:rPr>
      </w:pPr>
      <w:r>
        <w:rPr>
          <w:rFonts w:ascii="宋体" w:hAnsi="宋体" w:eastAsia="宋体" w:cs="宋体"/>
          <w:spacing w:val="-5"/>
          <w:position w:val="1"/>
          <w:sz w:val="20"/>
          <w:szCs w:val="20"/>
        </w:rPr>
        <w:t>10.</w:t>
      </w:r>
      <w:r>
        <w:rPr>
          <w:rFonts w:ascii="宋体" w:hAnsi="宋体" w:eastAsia="宋体" w:cs="宋体"/>
          <w:spacing w:val="18"/>
          <w:position w:val="1"/>
          <w:sz w:val="20"/>
          <w:szCs w:val="20"/>
        </w:rPr>
        <w:t xml:space="preserve"> </w:t>
      </w:r>
      <w:r>
        <w:rPr>
          <w:rFonts w:ascii="宋体" w:hAnsi="宋体" w:eastAsia="宋体" w:cs="宋体"/>
          <w:spacing w:val="-5"/>
          <w:position w:val="1"/>
          <w:sz w:val="20"/>
          <w:szCs w:val="20"/>
        </w:rPr>
        <w:t>工程索赔；</w:t>
      </w:r>
    </w:p>
    <w:p>
      <w:pPr>
        <w:spacing w:before="123" w:line="278" w:lineRule="exact"/>
        <w:ind w:left="440"/>
        <w:rPr>
          <w:rFonts w:ascii="宋体" w:hAnsi="宋体" w:eastAsia="宋体" w:cs="宋体"/>
          <w:sz w:val="20"/>
          <w:szCs w:val="20"/>
        </w:rPr>
      </w:pPr>
      <w:r>
        <w:rPr>
          <w:rFonts w:ascii="宋体" w:hAnsi="宋体" w:eastAsia="宋体" w:cs="宋体"/>
          <w:spacing w:val="4"/>
          <w:position w:val="1"/>
          <w:sz w:val="20"/>
          <w:szCs w:val="20"/>
        </w:rPr>
        <w:t>11. 发承包双方约定的其他调整事</w:t>
      </w:r>
    </w:p>
    <w:p>
      <w:pPr>
        <w:spacing w:before="122" w:line="229" w:lineRule="auto"/>
        <w:ind w:left="387"/>
        <w:rPr>
          <w:rFonts w:ascii="黑体" w:hAnsi="黑体" w:eastAsia="黑体" w:cs="黑体"/>
          <w:sz w:val="20"/>
          <w:szCs w:val="20"/>
        </w:rPr>
      </w:pPr>
      <w:r>
        <w:rPr>
          <w:rFonts w:ascii="黑体" w:hAnsi="黑体" w:eastAsia="黑体" w:cs="黑体"/>
          <w:spacing w:val="-9"/>
          <w:sz w:val="20"/>
          <w:szCs w:val="20"/>
        </w:rPr>
        <w:t>八、竣工（施工过程）结算</w:t>
      </w:r>
    </w:p>
    <w:p>
      <w:pPr>
        <w:spacing w:before="151" w:line="279" w:lineRule="exact"/>
        <w:ind w:left="413"/>
        <w:rPr>
          <w:rFonts w:ascii="宋体" w:hAnsi="宋体" w:eastAsia="宋体" w:cs="宋体"/>
          <w:sz w:val="20"/>
          <w:szCs w:val="20"/>
        </w:rPr>
      </w:pPr>
      <w:r>
        <w:rPr>
          <w:rFonts w:ascii="宋体" w:hAnsi="宋体" w:eastAsia="宋体" w:cs="宋体"/>
          <w:spacing w:val="10"/>
          <w:position w:val="1"/>
          <w:sz w:val="20"/>
          <w:szCs w:val="20"/>
        </w:rPr>
        <w:t>（一）一般规定</w:t>
      </w:r>
    </w:p>
    <w:p>
      <w:pPr>
        <w:spacing w:before="122" w:line="333" w:lineRule="auto"/>
        <w:ind w:right="88" w:firstLine="440"/>
        <w:rPr>
          <w:rFonts w:ascii="宋体" w:hAnsi="宋体" w:eastAsia="宋体" w:cs="宋体"/>
          <w:sz w:val="20"/>
          <w:szCs w:val="20"/>
        </w:rPr>
      </w:pPr>
      <w:r>
        <w:rPr>
          <w:rFonts w:ascii="宋体" w:hAnsi="宋体" w:eastAsia="宋体" w:cs="宋体"/>
          <w:spacing w:val="10"/>
          <w:sz w:val="20"/>
          <w:szCs w:val="20"/>
        </w:rPr>
        <w:t>1. 承包人应按合同约定的节点、时限提交工程结算文件及相关结算资料，发包人应在</w:t>
      </w:r>
      <w:r>
        <w:rPr>
          <w:rFonts w:ascii="宋体" w:hAnsi="宋体" w:eastAsia="宋体" w:cs="宋体"/>
          <w:spacing w:val="9"/>
          <w:sz w:val="20"/>
          <w:szCs w:val="20"/>
        </w:rPr>
        <w:t>合同约</w:t>
      </w:r>
      <w:r>
        <w:rPr>
          <w:rFonts w:ascii="宋体" w:hAnsi="宋体" w:eastAsia="宋体" w:cs="宋体"/>
          <w:spacing w:val="8"/>
          <w:sz w:val="20"/>
          <w:szCs w:val="20"/>
        </w:rPr>
        <w:t>定的时限内就承包人提交的工程结算进行审核。除合同另有约定外，工程结算办理需满足的条件及相关流程应符合《建设工程工程量清单计价标准》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39"/>
          <w:sz w:val="20"/>
          <w:szCs w:val="20"/>
        </w:rPr>
        <w:t xml:space="preserve"> </w:t>
      </w:r>
      <w:r>
        <w:rPr>
          <w:rFonts w:ascii="宋体" w:hAnsi="宋体" w:eastAsia="宋体" w:cs="宋体"/>
          <w:spacing w:val="8"/>
          <w:sz w:val="20"/>
          <w:szCs w:val="20"/>
        </w:rPr>
        <w:t>50500-2024 第 10 章工程结算与支</w:t>
      </w:r>
      <w:r>
        <w:rPr>
          <w:rFonts w:ascii="宋体" w:hAnsi="宋体" w:eastAsia="宋体" w:cs="宋体"/>
          <w:spacing w:val="7"/>
          <w:sz w:val="20"/>
          <w:szCs w:val="20"/>
        </w:rPr>
        <w:t>付的有</w:t>
      </w:r>
      <w:r>
        <w:rPr>
          <w:rFonts w:ascii="宋体" w:hAnsi="宋体" w:eastAsia="宋体" w:cs="宋体"/>
          <w:spacing w:val="6"/>
          <w:sz w:val="20"/>
          <w:szCs w:val="20"/>
        </w:rPr>
        <w:t>关规定。</w:t>
      </w:r>
    </w:p>
    <w:p>
      <w:pPr>
        <w:spacing w:before="155" w:line="277" w:lineRule="exact"/>
        <w:ind w:left="423"/>
        <w:rPr>
          <w:rFonts w:ascii="宋体" w:hAnsi="宋体" w:eastAsia="宋体" w:cs="宋体"/>
          <w:sz w:val="20"/>
          <w:szCs w:val="20"/>
        </w:rPr>
      </w:pPr>
      <w:r>
        <w:rPr>
          <w:rFonts w:ascii="宋体" w:hAnsi="宋体" w:eastAsia="宋体" w:cs="宋体"/>
          <w:spacing w:val="8"/>
          <w:position w:val="1"/>
          <w:sz w:val="20"/>
          <w:szCs w:val="20"/>
        </w:rPr>
        <w:t>2. 工程结算文件成果文件格式详见《</w:t>
      </w:r>
      <w:r>
        <w:rPr>
          <w:rFonts w:ascii="宋体" w:hAnsi="宋体" w:eastAsia="宋体" w:cs="宋体"/>
          <w:spacing w:val="-56"/>
          <w:position w:val="1"/>
          <w:sz w:val="20"/>
          <w:szCs w:val="20"/>
        </w:rPr>
        <w:t xml:space="preserve"> </w:t>
      </w:r>
      <w:r>
        <w:rPr>
          <w:rFonts w:ascii="宋体" w:hAnsi="宋体" w:eastAsia="宋体" w:cs="宋体"/>
          <w:spacing w:val="8"/>
          <w:position w:val="1"/>
          <w:sz w:val="20"/>
          <w:szCs w:val="20"/>
        </w:rPr>
        <w:t>&lt;建设工</w:t>
      </w:r>
      <w:r>
        <w:rPr>
          <w:rFonts w:ascii="宋体" w:hAnsi="宋体" w:eastAsia="宋体" w:cs="宋体"/>
          <w:spacing w:val="7"/>
          <w:position w:val="1"/>
          <w:sz w:val="20"/>
          <w:szCs w:val="20"/>
        </w:rPr>
        <w:t>程工程量清单计价标准&gt;实施指引》附录 B。</w:t>
      </w:r>
    </w:p>
    <w:p>
      <w:pPr>
        <w:spacing w:before="125" w:line="312" w:lineRule="auto"/>
        <w:ind w:right="12" w:firstLine="425"/>
        <w:rPr>
          <w:rFonts w:ascii="宋体" w:hAnsi="宋体" w:eastAsia="宋体" w:cs="宋体"/>
          <w:sz w:val="20"/>
          <w:szCs w:val="20"/>
        </w:rPr>
      </w:pPr>
      <w:r>
        <w:rPr>
          <w:rFonts w:ascii="宋体" w:hAnsi="宋体" w:eastAsia="宋体" w:cs="宋体"/>
          <w:spacing w:val="9"/>
          <w:sz w:val="20"/>
          <w:szCs w:val="20"/>
        </w:rPr>
        <w:t>3. 若发承包双方对施工过程结算、工程竣工结算存有异议</w:t>
      </w:r>
      <w:r>
        <w:rPr>
          <w:rFonts w:ascii="宋体" w:hAnsi="宋体" w:eastAsia="宋体" w:cs="宋体"/>
          <w:spacing w:val="-47"/>
          <w:sz w:val="20"/>
          <w:szCs w:val="20"/>
        </w:rPr>
        <w:t xml:space="preserve"> </w:t>
      </w:r>
      <w:r>
        <w:rPr>
          <w:rFonts w:ascii="宋体" w:hAnsi="宋体" w:eastAsia="宋体" w:cs="宋体"/>
          <w:spacing w:val="9"/>
          <w:sz w:val="20"/>
          <w:szCs w:val="20"/>
        </w:rPr>
        <w:t>，且经过核对、协商仍无法达成一</w:t>
      </w:r>
      <w:r>
        <w:rPr>
          <w:rFonts w:ascii="宋体" w:hAnsi="宋体" w:eastAsia="宋体" w:cs="宋体"/>
          <w:spacing w:val="6"/>
          <w:sz w:val="20"/>
          <w:szCs w:val="20"/>
        </w:rPr>
        <w:t>致的，可按《建设工程工程量清单计价标准》</w:t>
      </w:r>
      <w:r>
        <w:rPr>
          <w:rFonts w:ascii="宋体" w:hAnsi="宋体" w:eastAsia="宋体" w:cs="宋体"/>
          <w:sz w:val="20"/>
          <w:szCs w:val="20"/>
        </w:rPr>
        <w:t>GB</w:t>
      </w:r>
      <w:r>
        <w:rPr>
          <w:rFonts w:ascii="宋体" w:hAnsi="宋体" w:eastAsia="宋体" w:cs="宋体"/>
          <w:spacing w:val="6"/>
          <w:sz w:val="20"/>
          <w:szCs w:val="20"/>
        </w:rPr>
        <w:t>/</w:t>
      </w:r>
      <w:r>
        <w:rPr>
          <w:rFonts w:ascii="宋体" w:hAnsi="宋体" w:eastAsia="宋体" w:cs="宋体"/>
          <w:spacing w:val="5"/>
          <w:sz w:val="20"/>
          <w:szCs w:val="20"/>
        </w:rPr>
        <w:t>T</w:t>
      </w:r>
      <w:r>
        <w:rPr>
          <w:rFonts w:ascii="宋体" w:hAnsi="宋体" w:eastAsia="宋体" w:cs="宋体"/>
          <w:spacing w:val="-42"/>
          <w:sz w:val="20"/>
          <w:szCs w:val="20"/>
        </w:rPr>
        <w:t xml:space="preserve"> </w:t>
      </w:r>
      <w:r>
        <w:rPr>
          <w:rFonts w:ascii="宋体" w:hAnsi="宋体" w:eastAsia="宋体" w:cs="宋体"/>
          <w:spacing w:val="5"/>
          <w:sz w:val="20"/>
          <w:szCs w:val="20"/>
        </w:rPr>
        <w:t>50500-2024 第 11 章规定的争议解决方式处理。</w:t>
      </w:r>
    </w:p>
    <w:p>
      <w:pPr>
        <w:spacing w:before="122" w:line="278" w:lineRule="exact"/>
        <w:ind w:left="413"/>
        <w:rPr>
          <w:rFonts w:ascii="宋体" w:hAnsi="宋体" w:eastAsia="宋体" w:cs="宋体"/>
          <w:sz w:val="20"/>
          <w:szCs w:val="20"/>
        </w:rPr>
      </w:pPr>
      <w:r>
        <w:rPr>
          <w:rFonts w:ascii="宋体" w:hAnsi="宋体" w:eastAsia="宋体" w:cs="宋体"/>
          <w:spacing w:val="10"/>
          <w:position w:val="1"/>
          <w:sz w:val="20"/>
          <w:szCs w:val="20"/>
        </w:rPr>
        <w:t>（二）竣工结算</w:t>
      </w:r>
    </w:p>
    <w:p>
      <w:pPr>
        <w:spacing w:before="123" w:line="276" w:lineRule="exact"/>
        <w:ind w:left="440"/>
        <w:rPr>
          <w:rFonts w:ascii="宋体" w:hAnsi="宋体" w:eastAsia="宋体" w:cs="宋体"/>
          <w:sz w:val="20"/>
          <w:szCs w:val="20"/>
        </w:rPr>
      </w:pPr>
      <w:r>
        <w:rPr>
          <w:rFonts w:ascii="宋体" w:hAnsi="宋体" w:eastAsia="宋体" w:cs="宋体"/>
          <w:spacing w:val="7"/>
          <w:position w:val="1"/>
          <w:sz w:val="20"/>
          <w:szCs w:val="20"/>
        </w:rPr>
        <w:t>1. 工程竣工结算时，应对“竣工（过程）结算汇总表”中的各项内容分别计价并汇总。</w:t>
      </w:r>
    </w:p>
    <w:p>
      <w:pPr>
        <w:spacing w:line="276" w:lineRule="exact"/>
        <w:rPr>
          <w:rFonts w:ascii="宋体" w:hAnsi="宋体" w:eastAsia="宋体" w:cs="宋体"/>
          <w:sz w:val="20"/>
          <w:szCs w:val="20"/>
        </w:rPr>
        <w:sectPr>
          <w:footerReference r:id="rId56" w:type="default"/>
          <w:pgSz w:w="11905" w:h="16840"/>
          <w:pgMar w:top="1431" w:right="1438" w:bottom="1213" w:left="1418" w:header="0" w:footer="898" w:gutter="0"/>
        </w:sectPr>
      </w:pPr>
    </w:p>
    <w:p>
      <w:pPr>
        <w:spacing w:before="124" w:line="278" w:lineRule="exact"/>
        <w:ind w:left="422"/>
        <w:rPr>
          <w:rFonts w:ascii="宋体" w:hAnsi="宋体" w:eastAsia="宋体" w:cs="宋体"/>
          <w:sz w:val="20"/>
          <w:szCs w:val="20"/>
        </w:rPr>
      </w:pPr>
      <w:bookmarkStart w:id="34" w:name="bookmark144"/>
      <w:bookmarkEnd w:id="34"/>
      <w:r>
        <w:rPr>
          <w:rFonts w:ascii="宋体" w:hAnsi="宋体" w:eastAsia="宋体" w:cs="宋体"/>
          <w:spacing w:val="8"/>
          <w:position w:val="1"/>
          <w:sz w:val="20"/>
          <w:szCs w:val="20"/>
        </w:rPr>
        <w:t>2. 分部分项工程项目（含按分部分项工</w:t>
      </w:r>
      <w:r>
        <w:rPr>
          <w:rFonts w:ascii="宋体" w:hAnsi="宋体" w:eastAsia="宋体" w:cs="宋体"/>
          <w:spacing w:val="7"/>
          <w:position w:val="1"/>
          <w:sz w:val="20"/>
          <w:szCs w:val="20"/>
        </w:rPr>
        <w:t>程列项的措施项目）编制要求</w:t>
      </w:r>
    </w:p>
    <w:p>
      <w:pPr>
        <w:spacing w:before="123" w:line="277" w:lineRule="exact"/>
        <w:ind w:left="412"/>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1）合同清单内的分部分项工程项目按合同清单直接计</w:t>
      </w:r>
      <w:r>
        <w:rPr>
          <w:rFonts w:ascii="宋体" w:hAnsi="宋体" w:eastAsia="宋体" w:cs="宋体"/>
          <w:spacing w:val="7"/>
          <w:position w:val="1"/>
          <w:sz w:val="20"/>
          <w:szCs w:val="20"/>
        </w:rPr>
        <w:t>入竣工结算。</w:t>
      </w:r>
    </w:p>
    <w:p>
      <w:pPr>
        <w:spacing w:before="123" w:line="276" w:lineRule="exact"/>
        <w:ind w:left="412"/>
        <w:rPr>
          <w:rFonts w:ascii="宋体" w:hAnsi="宋体" w:eastAsia="宋体" w:cs="宋体"/>
          <w:sz w:val="20"/>
          <w:szCs w:val="20"/>
        </w:rPr>
      </w:pPr>
      <w:r>
        <w:rPr>
          <w:rFonts w:ascii="宋体" w:hAnsi="宋体" w:eastAsia="宋体" w:cs="宋体"/>
          <w:spacing w:val="10"/>
          <w:position w:val="1"/>
          <w:sz w:val="20"/>
          <w:szCs w:val="20"/>
        </w:rPr>
        <w:t>（2）单价合同的清单缺陷需编制“分部分项工程项目清单缺陷调整表 ”。</w:t>
      </w:r>
    </w:p>
    <w:p>
      <w:pPr>
        <w:spacing w:before="121" w:line="332" w:lineRule="auto"/>
        <w:ind w:left="2" w:right="105" w:firstLine="437"/>
        <w:rPr>
          <w:rFonts w:ascii="宋体" w:hAnsi="宋体" w:eastAsia="宋体" w:cs="宋体"/>
          <w:sz w:val="20"/>
          <w:szCs w:val="20"/>
        </w:rPr>
      </w:pPr>
      <w:r>
        <w:rPr>
          <w:rFonts w:ascii="宋体" w:hAnsi="宋体" w:eastAsia="宋体" w:cs="宋体"/>
          <w:spacing w:val="10"/>
          <w:sz w:val="20"/>
          <w:szCs w:val="20"/>
        </w:rPr>
        <w:t>1）清单缺陷引起合同清单已有项目工程量增加的，工程量增加在 1</w:t>
      </w:r>
      <w:r>
        <w:rPr>
          <w:rFonts w:ascii="宋体" w:hAnsi="宋体" w:eastAsia="宋体" w:cs="宋体"/>
          <w:spacing w:val="9"/>
          <w:sz w:val="20"/>
          <w:szCs w:val="20"/>
        </w:rPr>
        <w:t>5%以内的部分，按合同单</w:t>
      </w:r>
      <w:r>
        <w:rPr>
          <w:rFonts w:ascii="宋体" w:hAnsi="宋体" w:eastAsia="宋体" w:cs="宋体"/>
          <w:spacing w:val="13"/>
          <w:sz w:val="20"/>
          <w:szCs w:val="20"/>
        </w:rPr>
        <w:t>价（有修正的按修正后综合单价）进行计价；工程量增加超出 1</w:t>
      </w:r>
      <w:r>
        <w:rPr>
          <w:rFonts w:ascii="宋体" w:hAnsi="宋体" w:eastAsia="宋体" w:cs="宋体"/>
          <w:spacing w:val="12"/>
          <w:sz w:val="20"/>
          <w:szCs w:val="20"/>
        </w:rPr>
        <w:t>5%的部分，可按合同约定或协商</w:t>
      </w:r>
      <w:r>
        <w:rPr>
          <w:rFonts w:ascii="宋体" w:hAnsi="宋体" w:eastAsia="宋体" w:cs="宋体"/>
          <w:spacing w:val="9"/>
          <w:sz w:val="20"/>
          <w:szCs w:val="20"/>
        </w:rPr>
        <w:t>确定，在合同单价（有修正的按修正后综合单价）基础上合理下调。</w:t>
      </w:r>
    </w:p>
    <w:p>
      <w:pPr>
        <w:spacing w:before="121" w:line="332" w:lineRule="auto"/>
        <w:ind w:right="28" w:firstLine="422"/>
        <w:rPr>
          <w:rFonts w:ascii="宋体" w:hAnsi="宋体" w:eastAsia="宋体" w:cs="宋体"/>
          <w:sz w:val="20"/>
          <w:szCs w:val="20"/>
        </w:rPr>
      </w:pPr>
      <w:r>
        <w:rPr>
          <w:rFonts w:ascii="宋体" w:hAnsi="宋体" w:eastAsia="宋体" w:cs="宋体"/>
          <w:spacing w:val="10"/>
          <w:sz w:val="20"/>
          <w:szCs w:val="20"/>
        </w:rPr>
        <w:t>2）清单缺陷引起合同清单已有项目工程量减少的，工程量减少幅度 15%以内时，剩余工程量</w:t>
      </w:r>
      <w:r>
        <w:rPr>
          <w:rFonts w:ascii="宋体" w:hAnsi="宋体" w:eastAsia="宋体" w:cs="宋体"/>
          <w:spacing w:val="13"/>
          <w:sz w:val="20"/>
          <w:szCs w:val="20"/>
        </w:rPr>
        <w:t>按合同单价（有修正的按修正后综合单价）进行计价；工程量减少幅度</w:t>
      </w:r>
      <w:r>
        <w:rPr>
          <w:rFonts w:ascii="宋体" w:hAnsi="宋体" w:eastAsia="宋体" w:cs="宋体"/>
          <w:spacing w:val="12"/>
          <w:sz w:val="20"/>
          <w:szCs w:val="20"/>
        </w:rPr>
        <w:t>超出 15%时，剩余工程量</w:t>
      </w:r>
      <w:r>
        <w:rPr>
          <w:rFonts w:ascii="宋体" w:hAnsi="宋体" w:eastAsia="宋体" w:cs="宋体"/>
          <w:spacing w:val="5"/>
          <w:sz w:val="20"/>
          <w:szCs w:val="20"/>
        </w:rPr>
        <w:t>的综合单价可按合同约定或协商确定，在合同单价（有修正的按修正后综合单价）基础上合理上调。</w:t>
      </w:r>
    </w:p>
    <w:p>
      <w:pPr>
        <w:spacing w:before="123" w:line="312" w:lineRule="auto"/>
        <w:ind w:left="21" w:right="104" w:firstLine="403"/>
        <w:rPr>
          <w:rFonts w:ascii="宋体" w:hAnsi="宋体" w:eastAsia="宋体" w:cs="宋体"/>
          <w:sz w:val="20"/>
          <w:szCs w:val="20"/>
        </w:rPr>
      </w:pPr>
      <w:r>
        <w:rPr>
          <w:rFonts w:ascii="宋体" w:hAnsi="宋体" w:eastAsia="宋体" w:cs="宋体"/>
          <w:spacing w:val="3"/>
          <w:sz w:val="20"/>
          <w:szCs w:val="20"/>
        </w:rPr>
        <w:t>3）清单缺陷引起新增项目的，按合同约定或《建设工程工程量清单计价标准》</w:t>
      </w:r>
      <w:r>
        <w:rPr>
          <w:rFonts w:ascii="宋体" w:hAnsi="宋体" w:eastAsia="宋体" w:cs="宋体"/>
          <w:spacing w:val="-60"/>
          <w:sz w:val="20"/>
          <w:szCs w:val="20"/>
        </w:rPr>
        <w:t xml:space="preserve"> </w:t>
      </w:r>
      <w:r>
        <w:rPr>
          <w:rFonts w:ascii="宋体" w:hAnsi="宋体" w:eastAsia="宋体" w:cs="宋体"/>
          <w:sz w:val="20"/>
          <w:szCs w:val="20"/>
        </w:rPr>
        <w:t>GB</w:t>
      </w:r>
      <w:r>
        <w:rPr>
          <w:rFonts w:ascii="宋体" w:hAnsi="宋体" w:eastAsia="宋体" w:cs="宋体"/>
          <w:spacing w:val="3"/>
          <w:sz w:val="20"/>
          <w:szCs w:val="20"/>
        </w:rPr>
        <w:t>/T</w:t>
      </w:r>
      <w:r>
        <w:rPr>
          <w:rFonts w:ascii="宋体" w:hAnsi="宋体" w:eastAsia="宋体" w:cs="宋体"/>
          <w:spacing w:val="-42"/>
          <w:sz w:val="20"/>
          <w:szCs w:val="20"/>
        </w:rPr>
        <w:t xml:space="preserve"> </w:t>
      </w:r>
      <w:r>
        <w:rPr>
          <w:rFonts w:ascii="宋体" w:hAnsi="宋体" w:eastAsia="宋体" w:cs="宋体"/>
          <w:spacing w:val="3"/>
          <w:sz w:val="20"/>
          <w:szCs w:val="20"/>
        </w:rPr>
        <w:t>50500</w:t>
      </w:r>
      <w:r>
        <w:rPr>
          <w:rFonts w:ascii="宋体" w:hAnsi="宋体" w:eastAsia="宋体" w:cs="宋体"/>
          <w:spacing w:val="2"/>
          <w:sz w:val="20"/>
          <w:szCs w:val="20"/>
        </w:rPr>
        <w:t>-2024</w:t>
      </w:r>
      <w:r>
        <w:rPr>
          <w:rFonts w:ascii="宋体" w:hAnsi="宋体" w:eastAsia="宋体" w:cs="宋体"/>
          <w:spacing w:val="4"/>
          <w:sz w:val="20"/>
          <w:szCs w:val="20"/>
        </w:rPr>
        <w:t>中 8.9.1 条中的方式，换算调整或协商确定新增项目综合单价。</w:t>
      </w:r>
    </w:p>
    <w:p>
      <w:pPr>
        <w:spacing w:before="124" w:line="276" w:lineRule="exact"/>
        <w:ind w:left="412"/>
        <w:rPr>
          <w:rFonts w:ascii="宋体" w:hAnsi="宋体" w:eastAsia="宋体" w:cs="宋体"/>
          <w:sz w:val="20"/>
          <w:szCs w:val="20"/>
        </w:rPr>
      </w:pPr>
      <w:r>
        <w:rPr>
          <w:rFonts w:ascii="宋体" w:hAnsi="宋体" w:eastAsia="宋体" w:cs="宋体"/>
          <w:spacing w:val="9"/>
          <w:position w:val="1"/>
          <w:sz w:val="20"/>
          <w:szCs w:val="20"/>
        </w:rPr>
        <w:t>（3）总价合同的暂定数量项目需编制“暂定数量项目调整表 ”</w:t>
      </w:r>
      <w:r>
        <w:rPr>
          <w:rFonts w:ascii="宋体" w:hAnsi="宋体" w:eastAsia="宋体" w:cs="宋体"/>
          <w:spacing w:val="-69"/>
          <w:position w:val="1"/>
          <w:sz w:val="20"/>
          <w:szCs w:val="20"/>
        </w:rPr>
        <w:t xml:space="preserve"> </w:t>
      </w:r>
      <w:r>
        <w:rPr>
          <w:rFonts w:ascii="宋体" w:hAnsi="宋体" w:eastAsia="宋体" w:cs="宋体"/>
          <w:spacing w:val="9"/>
          <w:position w:val="1"/>
          <w:sz w:val="20"/>
          <w:szCs w:val="20"/>
        </w:rPr>
        <w:t>，计价方</w:t>
      </w:r>
      <w:r>
        <w:rPr>
          <w:rFonts w:ascii="宋体" w:hAnsi="宋体" w:eastAsia="宋体" w:cs="宋体"/>
          <w:spacing w:val="8"/>
          <w:position w:val="1"/>
          <w:sz w:val="20"/>
          <w:szCs w:val="20"/>
        </w:rPr>
        <w:t>式参照上述方法。</w:t>
      </w:r>
    </w:p>
    <w:p>
      <w:pPr>
        <w:spacing w:before="122" w:line="278" w:lineRule="exact"/>
        <w:ind w:left="425"/>
        <w:rPr>
          <w:rFonts w:ascii="宋体" w:hAnsi="宋体" w:eastAsia="宋体" w:cs="宋体"/>
          <w:sz w:val="20"/>
          <w:szCs w:val="20"/>
        </w:rPr>
      </w:pPr>
      <w:r>
        <w:rPr>
          <w:rFonts w:ascii="宋体" w:hAnsi="宋体" w:eastAsia="宋体" w:cs="宋体"/>
          <w:spacing w:val="5"/>
          <w:position w:val="1"/>
          <w:sz w:val="20"/>
          <w:szCs w:val="20"/>
        </w:rPr>
        <w:t>3. 措施项目（按项计量）编制要求</w:t>
      </w:r>
    </w:p>
    <w:p>
      <w:pPr>
        <w:spacing w:before="123" w:line="278" w:lineRule="exact"/>
        <w:ind w:left="412"/>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34"/>
          <w:position w:val="1"/>
          <w:sz w:val="20"/>
          <w:szCs w:val="20"/>
        </w:rPr>
        <w:t xml:space="preserve"> </w:t>
      </w:r>
      <w:r>
        <w:rPr>
          <w:rFonts w:ascii="宋体" w:hAnsi="宋体" w:eastAsia="宋体" w:cs="宋体"/>
          <w:spacing w:val="7"/>
          <w:position w:val="1"/>
          <w:sz w:val="20"/>
          <w:szCs w:val="20"/>
        </w:rPr>
        <w:t>1）合同清单内的措施项目按合同清单直接计入竣工结算。</w:t>
      </w:r>
    </w:p>
    <w:p>
      <w:pPr>
        <w:spacing w:before="122" w:line="297" w:lineRule="auto"/>
        <w:ind w:right="105" w:firstLine="411"/>
        <w:rPr>
          <w:rFonts w:ascii="宋体" w:hAnsi="宋体" w:eastAsia="宋体" w:cs="宋体"/>
          <w:sz w:val="20"/>
          <w:szCs w:val="20"/>
        </w:rPr>
      </w:pPr>
      <w:r>
        <w:rPr>
          <w:rFonts w:ascii="宋体" w:hAnsi="宋体" w:eastAsia="宋体" w:cs="宋体"/>
          <w:spacing w:val="11"/>
          <w:sz w:val="20"/>
          <w:szCs w:val="20"/>
        </w:rPr>
        <w:t>（2）安全生产、环境保护、文明施工、临时设施措施项目按调整后的计算基数及合</w:t>
      </w:r>
      <w:r>
        <w:rPr>
          <w:rFonts w:ascii="宋体" w:hAnsi="宋体" w:eastAsia="宋体" w:cs="宋体"/>
          <w:spacing w:val="10"/>
          <w:sz w:val="20"/>
          <w:szCs w:val="20"/>
        </w:rPr>
        <w:t>同约定费</w:t>
      </w:r>
      <w:r>
        <w:rPr>
          <w:rFonts w:ascii="宋体" w:hAnsi="宋体" w:eastAsia="宋体" w:cs="宋体"/>
          <w:spacing w:val="7"/>
          <w:sz w:val="20"/>
          <w:szCs w:val="20"/>
        </w:rPr>
        <w:t>率重新计算。</w:t>
      </w:r>
    </w:p>
    <w:p>
      <w:pPr>
        <w:spacing w:before="156" w:line="278" w:lineRule="exact"/>
        <w:ind w:left="419"/>
        <w:rPr>
          <w:rFonts w:ascii="宋体" w:hAnsi="宋体" w:eastAsia="宋体" w:cs="宋体"/>
          <w:sz w:val="20"/>
          <w:szCs w:val="20"/>
        </w:rPr>
      </w:pPr>
      <w:r>
        <w:rPr>
          <w:rFonts w:ascii="宋体" w:hAnsi="宋体" w:eastAsia="宋体" w:cs="宋体"/>
          <w:spacing w:val="3"/>
          <w:position w:val="1"/>
          <w:sz w:val="20"/>
          <w:szCs w:val="20"/>
        </w:rPr>
        <w:t>4. 暂列金额编制要求</w:t>
      </w:r>
    </w:p>
    <w:p>
      <w:pPr>
        <w:spacing w:before="123" w:line="312" w:lineRule="auto"/>
        <w:ind w:left="4" w:right="105" w:firstLine="407"/>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5"/>
          <w:sz w:val="20"/>
          <w:szCs w:val="20"/>
        </w:rPr>
        <w:t xml:space="preserve"> </w:t>
      </w:r>
      <w:r>
        <w:rPr>
          <w:rFonts w:ascii="宋体" w:hAnsi="宋体" w:eastAsia="宋体" w:cs="宋体"/>
          <w:spacing w:val="8"/>
          <w:sz w:val="20"/>
          <w:szCs w:val="20"/>
        </w:rPr>
        <w:t>1）用于未确定工程的暂列金额</w:t>
      </w:r>
      <w:r>
        <w:rPr>
          <w:rFonts w:ascii="宋体" w:hAnsi="宋体" w:eastAsia="宋体" w:cs="宋体"/>
          <w:spacing w:val="-59"/>
          <w:sz w:val="20"/>
          <w:szCs w:val="20"/>
        </w:rPr>
        <w:t xml:space="preserve"> </w:t>
      </w:r>
      <w:r>
        <w:rPr>
          <w:rFonts w:ascii="宋体" w:hAnsi="宋体" w:eastAsia="宋体" w:cs="宋体"/>
          <w:spacing w:val="8"/>
          <w:sz w:val="20"/>
          <w:szCs w:val="20"/>
        </w:rPr>
        <w:t>，按《建设工程工程量清单计价标准》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40"/>
          <w:sz w:val="20"/>
          <w:szCs w:val="20"/>
        </w:rPr>
        <w:t xml:space="preserve"> </w:t>
      </w:r>
      <w:r>
        <w:rPr>
          <w:rFonts w:ascii="宋体" w:hAnsi="宋体" w:eastAsia="宋体" w:cs="宋体"/>
          <w:spacing w:val="8"/>
          <w:sz w:val="20"/>
          <w:szCs w:val="20"/>
        </w:rPr>
        <w:t>50500-202</w:t>
      </w:r>
      <w:r>
        <w:rPr>
          <w:rFonts w:ascii="宋体" w:hAnsi="宋体" w:eastAsia="宋体" w:cs="宋体"/>
          <w:spacing w:val="7"/>
          <w:sz w:val="20"/>
          <w:szCs w:val="20"/>
        </w:rPr>
        <w:t>4</w:t>
      </w:r>
      <w:r>
        <w:rPr>
          <w:rFonts w:ascii="宋体" w:hAnsi="宋体" w:eastAsia="宋体" w:cs="宋体"/>
          <w:spacing w:val="33"/>
          <w:sz w:val="20"/>
          <w:szCs w:val="20"/>
        </w:rPr>
        <w:t xml:space="preserve"> </w:t>
      </w:r>
      <w:r>
        <w:rPr>
          <w:rFonts w:ascii="宋体" w:hAnsi="宋体" w:eastAsia="宋体" w:cs="宋体"/>
          <w:spacing w:val="7"/>
          <w:sz w:val="20"/>
          <w:szCs w:val="20"/>
        </w:rPr>
        <w:t>中</w:t>
      </w:r>
      <w:r>
        <w:rPr>
          <w:rFonts w:ascii="宋体" w:hAnsi="宋体" w:eastAsia="宋体" w:cs="宋体"/>
          <w:spacing w:val="-2"/>
          <w:sz w:val="20"/>
          <w:szCs w:val="20"/>
        </w:rPr>
        <w:t>8.3.2 条中的方式计算。</w:t>
      </w:r>
    </w:p>
    <w:p>
      <w:pPr>
        <w:spacing w:before="123" w:line="278" w:lineRule="exact"/>
        <w:ind w:left="412"/>
        <w:rPr>
          <w:rFonts w:ascii="宋体" w:hAnsi="宋体" w:eastAsia="宋体" w:cs="宋体"/>
          <w:sz w:val="20"/>
          <w:szCs w:val="20"/>
        </w:rPr>
      </w:pPr>
      <w:r>
        <w:rPr>
          <w:rFonts w:ascii="宋体" w:hAnsi="宋体" w:eastAsia="宋体" w:cs="宋体"/>
          <w:spacing w:val="10"/>
          <w:position w:val="1"/>
          <w:sz w:val="20"/>
          <w:szCs w:val="20"/>
        </w:rPr>
        <w:t>（2）用于未确定服务的暂列金额，按经发包方确认的实际</w:t>
      </w:r>
      <w:r>
        <w:rPr>
          <w:rFonts w:ascii="宋体" w:hAnsi="宋体" w:eastAsia="宋体" w:cs="宋体"/>
          <w:spacing w:val="9"/>
          <w:position w:val="1"/>
          <w:sz w:val="20"/>
          <w:szCs w:val="20"/>
        </w:rPr>
        <w:t>发生的服务费用计入竣工结算。</w:t>
      </w:r>
    </w:p>
    <w:p>
      <w:pPr>
        <w:spacing w:before="124" w:line="295" w:lineRule="auto"/>
        <w:ind w:left="17" w:right="105" w:firstLine="394"/>
        <w:rPr>
          <w:rFonts w:ascii="宋体" w:hAnsi="宋体" w:eastAsia="宋体" w:cs="宋体"/>
          <w:sz w:val="20"/>
          <w:szCs w:val="20"/>
        </w:rPr>
      </w:pPr>
      <w:r>
        <w:rPr>
          <w:rFonts w:ascii="宋体" w:hAnsi="宋体" w:eastAsia="宋体" w:cs="宋体"/>
          <w:spacing w:val="8"/>
          <w:sz w:val="20"/>
          <w:szCs w:val="20"/>
        </w:rPr>
        <w:t>（3）用于合同价款调整的暂列金额，在“竣工结算汇总表 ”中对应位置调整为以各调整事项</w:t>
      </w:r>
      <w:r>
        <w:rPr>
          <w:rFonts w:ascii="宋体" w:hAnsi="宋体" w:eastAsia="宋体" w:cs="宋体"/>
          <w:spacing w:val="6"/>
          <w:sz w:val="20"/>
          <w:szCs w:val="20"/>
        </w:rPr>
        <w:t>的形式分别列项计价。</w:t>
      </w:r>
    </w:p>
    <w:p>
      <w:pPr>
        <w:spacing w:before="159" w:line="276" w:lineRule="exact"/>
        <w:ind w:left="422"/>
        <w:rPr>
          <w:rFonts w:ascii="宋体" w:hAnsi="宋体" w:eastAsia="宋体" w:cs="宋体"/>
          <w:sz w:val="20"/>
          <w:szCs w:val="20"/>
        </w:rPr>
      </w:pPr>
      <w:r>
        <w:rPr>
          <w:rFonts w:ascii="宋体" w:hAnsi="宋体" w:eastAsia="宋体" w:cs="宋体"/>
          <w:spacing w:val="7"/>
          <w:position w:val="1"/>
          <w:sz w:val="20"/>
          <w:szCs w:val="20"/>
        </w:rPr>
        <w:t>5. 专业工程暂估价按招标或双方协商确定的含税工程价格计入竣工结算。</w:t>
      </w:r>
    </w:p>
    <w:p>
      <w:pPr>
        <w:spacing w:before="126" w:line="311" w:lineRule="auto"/>
        <w:ind w:right="105" w:firstLine="423"/>
        <w:rPr>
          <w:rFonts w:ascii="宋体" w:hAnsi="宋体" w:eastAsia="宋体" w:cs="宋体"/>
          <w:sz w:val="20"/>
          <w:szCs w:val="20"/>
        </w:rPr>
      </w:pPr>
      <w:r>
        <w:rPr>
          <w:rFonts w:ascii="宋体" w:hAnsi="宋体" w:eastAsia="宋体" w:cs="宋体"/>
          <w:spacing w:val="9"/>
          <w:sz w:val="20"/>
          <w:szCs w:val="20"/>
        </w:rPr>
        <w:t>6. 计日工按确认计量结果</w:t>
      </w:r>
      <w:r>
        <w:rPr>
          <w:rFonts w:ascii="宋体" w:hAnsi="宋体" w:eastAsia="宋体" w:cs="宋体"/>
          <w:spacing w:val="-42"/>
          <w:sz w:val="20"/>
          <w:szCs w:val="20"/>
        </w:rPr>
        <w:t xml:space="preserve"> </w:t>
      </w:r>
      <w:r>
        <w:rPr>
          <w:rFonts w:ascii="宋体" w:hAnsi="宋体" w:eastAsia="宋体" w:cs="宋体"/>
          <w:spacing w:val="9"/>
          <w:sz w:val="20"/>
          <w:szCs w:val="20"/>
        </w:rPr>
        <w:t>×合同清单中的计日工综合单价（或双方协商确认的其他计日工综</w:t>
      </w:r>
      <w:r>
        <w:rPr>
          <w:rFonts w:ascii="宋体" w:hAnsi="宋体" w:eastAsia="宋体" w:cs="宋体"/>
          <w:spacing w:val="7"/>
          <w:sz w:val="20"/>
          <w:szCs w:val="20"/>
        </w:rPr>
        <w:t>合单价）计算。</w:t>
      </w:r>
    </w:p>
    <w:p>
      <w:pPr>
        <w:spacing w:before="124" w:line="278" w:lineRule="exact"/>
        <w:ind w:left="420"/>
        <w:rPr>
          <w:rFonts w:ascii="宋体" w:hAnsi="宋体" w:eastAsia="宋体" w:cs="宋体"/>
          <w:sz w:val="20"/>
          <w:szCs w:val="20"/>
        </w:rPr>
      </w:pPr>
      <w:r>
        <w:rPr>
          <w:rFonts w:ascii="宋体" w:hAnsi="宋体" w:eastAsia="宋体" w:cs="宋体"/>
          <w:spacing w:val="4"/>
          <w:position w:val="1"/>
          <w:sz w:val="20"/>
          <w:szCs w:val="20"/>
        </w:rPr>
        <w:t>7. 总承包服务费编制要求</w:t>
      </w:r>
    </w:p>
    <w:p>
      <w:pPr>
        <w:spacing w:before="124" w:line="311" w:lineRule="auto"/>
        <w:ind w:left="2" w:right="105" w:firstLine="409"/>
        <w:rPr>
          <w:rFonts w:ascii="宋体" w:hAnsi="宋体" w:eastAsia="宋体" w:cs="宋体"/>
          <w:sz w:val="20"/>
          <w:szCs w:val="20"/>
        </w:rPr>
      </w:pPr>
      <w:r>
        <w:rPr>
          <w:rFonts w:ascii="宋体" w:hAnsi="宋体" w:eastAsia="宋体" w:cs="宋体"/>
          <w:spacing w:val="2"/>
          <w:sz w:val="20"/>
          <w:szCs w:val="20"/>
        </w:rPr>
        <w:t>（</w:t>
      </w:r>
      <w:r>
        <w:rPr>
          <w:rFonts w:ascii="宋体" w:hAnsi="宋体" w:eastAsia="宋体" w:cs="宋体"/>
          <w:spacing w:val="-39"/>
          <w:sz w:val="20"/>
          <w:szCs w:val="20"/>
        </w:rPr>
        <w:t xml:space="preserve"> </w:t>
      </w:r>
      <w:r>
        <w:rPr>
          <w:rFonts w:ascii="宋体" w:hAnsi="宋体" w:eastAsia="宋体" w:cs="宋体"/>
          <w:spacing w:val="2"/>
          <w:sz w:val="20"/>
          <w:szCs w:val="20"/>
        </w:rPr>
        <w:t>1）发包人提供材料的总承包服务费，采用费率计价的，按材料结算使用量（含有效损耗） ×</w:t>
      </w:r>
      <w:r>
        <w:rPr>
          <w:rFonts w:ascii="宋体" w:hAnsi="宋体" w:eastAsia="宋体" w:cs="宋体"/>
          <w:spacing w:val="8"/>
          <w:sz w:val="20"/>
          <w:szCs w:val="20"/>
        </w:rPr>
        <w:t>发包人提供材料的供货合同单价（不含增值税）</w:t>
      </w:r>
      <w:r>
        <w:rPr>
          <w:rFonts w:ascii="宋体" w:hAnsi="宋体" w:eastAsia="宋体" w:cs="宋体"/>
          <w:spacing w:val="74"/>
          <w:sz w:val="20"/>
          <w:szCs w:val="20"/>
        </w:rPr>
        <w:t xml:space="preserve"> </w:t>
      </w:r>
      <w:r>
        <w:rPr>
          <w:rFonts w:ascii="宋体" w:hAnsi="宋体" w:eastAsia="宋体" w:cs="宋体"/>
          <w:spacing w:val="8"/>
          <w:sz w:val="20"/>
          <w:szCs w:val="20"/>
        </w:rPr>
        <w:t>×对应总承包</w:t>
      </w:r>
      <w:r>
        <w:rPr>
          <w:rFonts w:ascii="宋体" w:hAnsi="宋体" w:eastAsia="宋体" w:cs="宋体"/>
          <w:spacing w:val="7"/>
          <w:sz w:val="20"/>
          <w:szCs w:val="20"/>
        </w:rPr>
        <w:t>服务费费率，进行计算。</w:t>
      </w:r>
    </w:p>
    <w:p>
      <w:pPr>
        <w:spacing w:before="126" w:line="331" w:lineRule="auto"/>
        <w:ind w:right="104" w:firstLine="411"/>
        <w:rPr>
          <w:rFonts w:ascii="宋体" w:hAnsi="宋体" w:eastAsia="宋体" w:cs="宋体"/>
          <w:sz w:val="20"/>
          <w:szCs w:val="20"/>
        </w:rPr>
      </w:pPr>
      <w:r>
        <w:rPr>
          <w:rFonts w:ascii="宋体" w:hAnsi="宋体" w:eastAsia="宋体" w:cs="宋体"/>
          <w:spacing w:val="10"/>
          <w:sz w:val="20"/>
          <w:szCs w:val="20"/>
        </w:rPr>
        <w:t>（2）专业分包工程及发包人直接发包的专业工程的总承包服务费</w:t>
      </w:r>
      <w:r>
        <w:rPr>
          <w:rFonts w:ascii="宋体" w:hAnsi="宋体" w:eastAsia="宋体" w:cs="宋体"/>
          <w:spacing w:val="-51"/>
          <w:sz w:val="20"/>
          <w:szCs w:val="20"/>
        </w:rPr>
        <w:t xml:space="preserve"> </w:t>
      </w:r>
      <w:r>
        <w:rPr>
          <w:rFonts w:ascii="宋体" w:hAnsi="宋体" w:eastAsia="宋体" w:cs="宋体"/>
          <w:spacing w:val="10"/>
          <w:sz w:val="20"/>
          <w:szCs w:val="20"/>
        </w:rPr>
        <w:t>，采用费率计价的</w:t>
      </w:r>
      <w:r>
        <w:rPr>
          <w:rFonts w:ascii="宋体" w:hAnsi="宋体" w:eastAsia="宋体" w:cs="宋体"/>
          <w:spacing w:val="-59"/>
          <w:sz w:val="20"/>
          <w:szCs w:val="20"/>
        </w:rPr>
        <w:t xml:space="preserve"> </w:t>
      </w:r>
      <w:r>
        <w:rPr>
          <w:rFonts w:ascii="宋体" w:hAnsi="宋体" w:eastAsia="宋体" w:cs="宋体"/>
          <w:spacing w:val="10"/>
          <w:sz w:val="20"/>
          <w:szCs w:val="20"/>
        </w:rPr>
        <w:t>，按《</w:t>
      </w:r>
      <w:r>
        <w:rPr>
          <w:rFonts w:ascii="宋体" w:hAnsi="宋体" w:eastAsia="宋体" w:cs="宋体"/>
          <w:spacing w:val="-52"/>
          <w:sz w:val="20"/>
          <w:szCs w:val="20"/>
        </w:rPr>
        <w:t xml:space="preserve"> </w:t>
      </w:r>
      <w:r>
        <w:rPr>
          <w:rFonts w:ascii="宋体" w:hAnsi="宋体" w:eastAsia="宋体" w:cs="宋体"/>
          <w:spacing w:val="10"/>
          <w:sz w:val="20"/>
          <w:szCs w:val="20"/>
        </w:rPr>
        <w:t>&lt;</w:t>
      </w:r>
      <w:r>
        <w:rPr>
          <w:rFonts w:ascii="宋体" w:hAnsi="宋体" w:eastAsia="宋体" w:cs="宋体"/>
          <w:spacing w:val="8"/>
          <w:sz w:val="20"/>
          <w:szCs w:val="20"/>
        </w:rPr>
        <w:t>建设工程工程量清单计价标准&gt;实施指引》 5.2.5 条调整</w:t>
      </w:r>
      <w:r>
        <w:rPr>
          <w:rFonts w:ascii="宋体" w:hAnsi="宋体" w:eastAsia="宋体" w:cs="宋体"/>
          <w:spacing w:val="7"/>
          <w:sz w:val="20"/>
          <w:szCs w:val="20"/>
        </w:rPr>
        <w:t>后的专业工程暂估价（不含承包人实施部</w:t>
      </w:r>
      <w:r>
        <w:rPr>
          <w:rFonts w:ascii="宋体" w:hAnsi="宋体" w:eastAsia="宋体" w:cs="宋体"/>
          <w:spacing w:val="9"/>
          <w:sz w:val="20"/>
          <w:szCs w:val="20"/>
        </w:rPr>
        <w:t>分）及对应的总包服务费费率计算。</w:t>
      </w:r>
    </w:p>
    <w:p>
      <w:pPr>
        <w:spacing w:before="124" w:line="298" w:lineRule="auto"/>
        <w:ind w:left="2" w:right="105" w:firstLine="409"/>
        <w:rPr>
          <w:rFonts w:ascii="宋体" w:hAnsi="宋体" w:eastAsia="宋体" w:cs="宋体"/>
          <w:sz w:val="20"/>
          <w:szCs w:val="20"/>
        </w:rPr>
      </w:pPr>
      <w:r>
        <w:rPr>
          <w:rFonts w:ascii="宋体" w:hAnsi="宋体" w:eastAsia="宋体" w:cs="宋体"/>
          <w:spacing w:val="11"/>
          <w:sz w:val="20"/>
          <w:szCs w:val="20"/>
        </w:rPr>
        <w:t>（3）采用总价计价的总承包服务费，发包人供应材料范围、种类或专业工程的类型</w:t>
      </w:r>
      <w:r>
        <w:rPr>
          <w:rFonts w:ascii="宋体" w:hAnsi="宋体" w:eastAsia="宋体" w:cs="宋体"/>
          <w:spacing w:val="10"/>
          <w:sz w:val="20"/>
          <w:szCs w:val="20"/>
        </w:rPr>
        <w:t>、内容未</w:t>
      </w:r>
      <w:r>
        <w:rPr>
          <w:rFonts w:ascii="宋体" w:hAnsi="宋体" w:eastAsia="宋体" w:cs="宋体"/>
          <w:spacing w:val="9"/>
          <w:sz w:val="20"/>
          <w:szCs w:val="20"/>
        </w:rPr>
        <w:t>发生变化的，总包服务费不调整；发生变化的，按服务事项价款调整比例进行折算。</w:t>
      </w:r>
    </w:p>
    <w:p>
      <w:pPr>
        <w:spacing w:before="153" w:line="312" w:lineRule="auto"/>
        <w:ind w:left="1" w:right="105" w:firstLine="410"/>
        <w:rPr>
          <w:rFonts w:ascii="宋体" w:hAnsi="宋体" w:eastAsia="宋体" w:cs="宋体"/>
          <w:sz w:val="20"/>
          <w:szCs w:val="20"/>
        </w:rPr>
      </w:pPr>
      <w:r>
        <w:rPr>
          <w:rFonts w:ascii="宋体" w:hAnsi="宋体" w:eastAsia="宋体" w:cs="宋体"/>
          <w:spacing w:val="11"/>
          <w:sz w:val="20"/>
          <w:szCs w:val="20"/>
        </w:rPr>
        <w:t>（4）发包人批准的专业分包工程变更或其他发包人原因引起专业分包工程、直接发</w:t>
      </w:r>
      <w:r>
        <w:rPr>
          <w:rFonts w:ascii="宋体" w:hAnsi="宋体" w:eastAsia="宋体" w:cs="宋体"/>
          <w:spacing w:val="10"/>
          <w:sz w:val="20"/>
          <w:szCs w:val="20"/>
        </w:rPr>
        <w:t>包的专业</w:t>
      </w:r>
      <w:r>
        <w:rPr>
          <w:rFonts w:ascii="宋体" w:hAnsi="宋体" w:eastAsia="宋体" w:cs="宋体"/>
          <w:spacing w:val="6"/>
          <w:sz w:val="20"/>
          <w:szCs w:val="20"/>
        </w:rPr>
        <w:t>工程发生实质性工期改变的，可按《建设工程工程量清单计价标准》</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pacing w:val="-37"/>
          <w:sz w:val="20"/>
          <w:szCs w:val="20"/>
        </w:rPr>
        <w:t xml:space="preserve"> </w:t>
      </w:r>
      <w:r>
        <w:rPr>
          <w:rFonts w:ascii="宋体" w:hAnsi="宋体" w:eastAsia="宋体" w:cs="宋体"/>
          <w:spacing w:val="6"/>
          <w:sz w:val="20"/>
          <w:szCs w:val="20"/>
        </w:rPr>
        <w:t>50500-2024</w:t>
      </w:r>
      <w:r>
        <w:rPr>
          <w:rFonts w:ascii="宋体" w:hAnsi="宋体" w:eastAsia="宋体" w:cs="宋体"/>
          <w:spacing w:val="33"/>
          <w:sz w:val="20"/>
          <w:szCs w:val="20"/>
        </w:rPr>
        <w:t xml:space="preserve"> </w:t>
      </w:r>
      <w:r>
        <w:rPr>
          <w:rFonts w:ascii="宋体" w:hAnsi="宋体" w:eastAsia="宋体" w:cs="宋体"/>
          <w:spacing w:val="6"/>
          <w:sz w:val="20"/>
          <w:szCs w:val="20"/>
        </w:rPr>
        <w:t>中 8.5.5</w:t>
      </w:r>
      <w:r>
        <w:rPr>
          <w:rFonts w:ascii="宋体" w:hAnsi="宋体" w:eastAsia="宋体" w:cs="宋体"/>
          <w:spacing w:val="-38"/>
          <w:sz w:val="20"/>
          <w:szCs w:val="20"/>
        </w:rPr>
        <w:t xml:space="preserve"> </w:t>
      </w:r>
      <w:r>
        <w:rPr>
          <w:rFonts w:ascii="宋体" w:hAnsi="宋体" w:eastAsia="宋体" w:cs="宋体"/>
          <w:spacing w:val="6"/>
          <w:sz w:val="20"/>
          <w:szCs w:val="20"/>
        </w:rPr>
        <w:t>条</w:t>
      </w:r>
    </w:p>
    <w:p>
      <w:pPr>
        <w:spacing w:line="312" w:lineRule="auto"/>
        <w:rPr>
          <w:rFonts w:ascii="宋体" w:hAnsi="宋体" w:eastAsia="宋体" w:cs="宋体"/>
          <w:sz w:val="20"/>
          <w:szCs w:val="20"/>
        </w:rPr>
        <w:sectPr>
          <w:footerReference r:id="rId57" w:type="default"/>
          <w:pgSz w:w="11905" w:h="16840"/>
          <w:pgMar w:top="1431" w:right="1419" w:bottom="1213" w:left="1419" w:header="0" w:footer="898" w:gutter="0"/>
        </w:sectPr>
      </w:pPr>
    </w:p>
    <w:p>
      <w:pPr>
        <w:spacing w:before="131" w:line="219" w:lineRule="auto"/>
        <w:ind w:left="29"/>
        <w:rPr>
          <w:rFonts w:ascii="宋体" w:hAnsi="宋体" w:eastAsia="宋体" w:cs="宋体"/>
          <w:sz w:val="20"/>
          <w:szCs w:val="20"/>
        </w:rPr>
      </w:pPr>
      <w:r>
        <w:rPr>
          <w:rFonts w:ascii="宋体" w:hAnsi="宋体" w:eastAsia="宋体" w:cs="宋体"/>
          <w:spacing w:val="7"/>
          <w:sz w:val="20"/>
          <w:szCs w:val="20"/>
        </w:rPr>
        <w:t>中的方式调整总承包服务费。</w:t>
      </w:r>
    </w:p>
    <w:p>
      <w:pPr>
        <w:spacing w:before="157" w:line="312" w:lineRule="auto"/>
        <w:ind w:left="8" w:right="80" w:firstLine="424"/>
        <w:rPr>
          <w:rFonts w:ascii="宋体" w:hAnsi="宋体" w:eastAsia="宋体" w:cs="宋体"/>
          <w:sz w:val="20"/>
          <w:szCs w:val="20"/>
        </w:rPr>
      </w:pPr>
      <w:r>
        <w:rPr>
          <w:rFonts w:ascii="宋体" w:hAnsi="宋体" w:eastAsia="宋体" w:cs="宋体"/>
          <w:spacing w:val="10"/>
          <w:sz w:val="20"/>
          <w:szCs w:val="20"/>
        </w:rPr>
        <w:t>8. 合同清单内的暂估价材料仅调整确认价格与暂估价格之间的价差，暂估价材料的价差列入</w:t>
      </w:r>
      <w:r>
        <w:rPr>
          <w:rFonts w:ascii="宋体" w:hAnsi="宋体" w:eastAsia="宋体" w:cs="宋体"/>
          <w:spacing w:val="9"/>
          <w:sz w:val="20"/>
          <w:szCs w:val="20"/>
        </w:rPr>
        <w:t>“材料暂估单价及调整表”</w:t>
      </w:r>
      <w:r>
        <w:rPr>
          <w:rFonts w:ascii="宋体" w:hAnsi="宋体" w:eastAsia="宋体" w:cs="宋体"/>
          <w:spacing w:val="-72"/>
          <w:sz w:val="20"/>
          <w:szCs w:val="20"/>
        </w:rPr>
        <w:t xml:space="preserve"> </w:t>
      </w:r>
      <w:r>
        <w:rPr>
          <w:rFonts w:ascii="宋体" w:hAnsi="宋体" w:eastAsia="宋体" w:cs="宋体"/>
          <w:spacing w:val="9"/>
          <w:sz w:val="20"/>
          <w:szCs w:val="20"/>
        </w:rPr>
        <w:t>，不计入使用暂估价材料的</w:t>
      </w:r>
      <w:r>
        <w:rPr>
          <w:rFonts w:ascii="宋体" w:hAnsi="宋体" w:eastAsia="宋体" w:cs="宋体"/>
          <w:spacing w:val="8"/>
          <w:sz w:val="20"/>
          <w:szCs w:val="20"/>
        </w:rPr>
        <w:t>各清单项目的综合单价。</w:t>
      </w:r>
    </w:p>
    <w:p>
      <w:pPr>
        <w:spacing w:before="120" w:line="341" w:lineRule="auto"/>
        <w:ind w:left="10" w:firstLine="420"/>
        <w:rPr>
          <w:rFonts w:ascii="宋体" w:hAnsi="宋体" w:eastAsia="宋体" w:cs="宋体"/>
          <w:sz w:val="20"/>
          <w:szCs w:val="20"/>
        </w:rPr>
      </w:pPr>
      <w:r>
        <w:rPr>
          <w:rFonts w:ascii="宋体" w:hAnsi="宋体" w:eastAsia="宋体" w:cs="宋体"/>
          <w:spacing w:val="9"/>
          <w:sz w:val="20"/>
          <w:szCs w:val="20"/>
        </w:rPr>
        <w:t>9. 市场价格波动幅度超出合同约定风险幅度的</w:t>
      </w:r>
      <w:r>
        <w:rPr>
          <w:rFonts w:ascii="宋体" w:hAnsi="宋体" w:eastAsia="宋体" w:cs="宋体"/>
          <w:spacing w:val="-41"/>
          <w:sz w:val="20"/>
          <w:szCs w:val="20"/>
        </w:rPr>
        <w:t xml:space="preserve"> </w:t>
      </w:r>
      <w:r>
        <w:rPr>
          <w:rFonts w:ascii="宋体" w:hAnsi="宋体" w:eastAsia="宋体" w:cs="宋体"/>
          <w:spacing w:val="9"/>
          <w:sz w:val="20"/>
          <w:szCs w:val="20"/>
        </w:rPr>
        <w:t>，应对合同约定调价项目（人工费、材料费及</w:t>
      </w:r>
      <w:r>
        <w:rPr>
          <w:rFonts w:ascii="宋体" w:hAnsi="宋体" w:eastAsia="宋体" w:cs="宋体"/>
          <w:spacing w:val="10"/>
          <w:sz w:val="20"/>
          <w:szCs w:val="20"/>
        </w:rPr>
        <w:t>机上燃油动力费）超出风险幅度部分的价格进行调整。合同未约定风险幅度的，可按 5%执行。合</w:t>
      </w:r>
      <w:r>
        <w:rPr>
          <w:rFonts w:ascii="宋体" w:hAnsi="宋体" w:eastAsia="宋体" w:cs="宋体"/>
          <w:spacing w:val="5"/>
          <w:sz w:val="20"/>
          <w:szCs w:val="20"/>
        </w:rPr>
        <w:t>同未对价格风险进行约定或约定不具体的，调整的范围可限定于主要材料。主要材料是指用量较大、</w:t>
      </w:r>
      <w:r>
        <w:rPr>
          <w:rFonts w:ascii="宋体" w:hAnsi="宋体" w:eastAsia="宋体" w:cs="宋体"/>
          <w:spacing w:val="11"/>
          <w:sz w:val="20"/>
          <w:szCs w:val="20"/>
        </w:rPr>
        <w:t>占工程造价比例较高，单种材料合价占合同价比例在 1%及以上的材料。</w:t>
      </w:r>
    </w:p>
    <w:p>
      <w:pPr>
        <w:spacing w:before="124" w:line="279" w:lineRule="exact"/>
        <w:ind w:left="447"/>
        <w:rPr>
          <w:rFonts w:ascii="宋体" w:hAnsi="宋体" w:eastAsia="宋体" w:cs="宋体"/>
          <w:sz w:val="20"/>
          <w:szCs w:val="20"/>
        </w:rPr>
      </w:pPr>
      <w:r>
        <w:rPr>
          <w:rFonts w:ascii="宋体" w:hAnsi="宋体" w:eastAsia="宋体" w:cs="宋体"/>
          <w:spacing w:val="-5"/>
          <w:position w:val="1"/>
          <w:sz w:val="20"/>
          <w:szCs w:val="20"/>
        </w:rPr>
        <w:t>10.</w:t>
      </w:r>
      <w:r>
        <w:rPr>
          <w:rFonts w:ascii="宋体" w:hAnsi="宋体" w:eastAsia="宋体" w:cs="宋体"/>
          <w:spacing w:val="18"/>
          <w:position w:val="1"/>
          <w:sz w:val="20"/>
          <w:szCs w:val="20"/>
        </w:rPr>
        <w:t xml:space="preserve"> </w:t>
      </w:r>
      <w:r>
        <w:rPr>
          <w:rFonts w:ascii="宋体" w:hAnsi="宋体" w:eastAsia="宋体" w:cs="宋体"/>
          <w:spacing w:val="-5"/>
          <w:position w:val="1"/>
          <w:sz w:val="20"/>
          <w:szCs w:val="20"/>
        </w:rPr>
        <w:t>工程变更。</w:t>
      </w:r>
    </w:p>
    <w:p>
      <w:pPr>
        <w:spacing w:before="122" w:line="333" w:lineRule="auto"/>
        <w:ind w:left="6" w:right="80" w:firstLine="413"/>
        <w:rPr>
          <w:rFonts w:ascii="宋体" w:hAnsi="宋体" w:eastAsia="宋体" w:cs="宋体"/>
          <w:sz w:val="20"/>
          <w:szCs w:val="20"/>
        </w:rPr>
      </w:pPr>
      <w:r>
        <w:rPr>
          <w:rFonts w:ascii="宋体" w:hAnsi="宋体" w:eastAsia="宋体" w:cs="宋体"/>
          <w:spacing w:val="3"/>
          <w:sz w:val="20"/>
          <w:szCs w:val="20"/>
        </w:rPr>
        <w:t>（</w:t>
      </w:r>
      <w:r>
        <w:rPr>
          <w:rFonts w:ascii="宋体" w:hAnsi="宋体" w:eastAsia="宋体" w:cs="宋体"/>
          <w:spacing w:val="-46"/>
          <w:sz w:val="20"/>
          <w:szCs w:val="20"/>
        </w:rPr>
        <w:t xml:space="preserve"> </w:t>
      </w:r>
      <w:r>
        <w:rPr>
          <w:rFonts w:ascii="宋体" w:hAnsi="宋体" w:eastAsia="宋体" w:cs="宋体"/>
          <w:spacing w:val="3"/>
          <w:sz w:val="20"/>
          <w:szCs w:val="20"/>
        </w:rPr>
        <w:t>1）工程变更涉及分部分项工程项目的，按《建设工程工程量清单计价标准》</w:t>
      </w:r>
      <w:r>
        <w:rPr>
          <w:rFonts w:ascii="宋体" w:hAnsi="宋体" w:eastAsia="宋体" w:cs="宋体"/>
          <w:sz w:val="20"/>
          <w:szCs w:val="20"/>
        </w:rPr>
        <w:t>GB</w:t>
      </w:r>
      <w:r>
        <w:rPr>
          <w:rFonts w:ascii="宋体" w:hAnsi="宋体" w:eastAsia="宋体" w:cs="宋体"/>
          <w:spacing w:val="3"/>
          <w:sz w:val="20"/>
          <w:szCs w:val="20"/>
        </w:rPr>
        <w:t>/T</w:t>
      </w:r>
      <w:r>
        <w:rPr>
          <w:rFonts w:ascii="宋体" w:hAnsi="宋体" w:eastAsia="宋体" w:cs="宋体"/>
          <w:spacing w:val="-43"/>
          <w:sz w:val="20"/>
          <w:szCs w:val="20"/>
        </w:rPr>
        <w:t xml:space="preserve"> </w:t>
      </w:r>
      <w:r>
        <w:rPr>
          <w:rFonts w:ascii="宋体" w:hAnsi="宋体" w:eastAsia="宋体" w:cs="宋体"/>
          <w:spacing w:val="3"/>
          <w:sz w:val="20"/>
          <w:szCs w:val="20"/>
        </w:rPr>
        <w:t>50500</w:t>
      </w:r>
      <w:r>
        <w:rPr>
          <w:rFonts w:ascii="宋体" w:hAnsi="宋体" w:eastAsia="宋体" w:cs="宋体"/>
          <w:spacing w:val="2"/>
          <w:sz w:val="20"/>
          <w:szCs w:val="20"/>
        </w:rPr>
        <w:t>-2024</w:t>
      </w:r>
      <w:r>
        <w:rPr>
          <w:rFonts w:ascii="宋体" w:hAnsi="宋体" w:eastAsia="宋体" w:cs="宋体"/>
          <w:spacing w:val="-3"/>
          <w:sz w:val="20"/>
          <w:szCs w:val="20"/>
        </w:rPr>
        <w:t>中 7.4.1、7.4.2、7.4.3 条规定进行</w:t>
      </w:r>
      <w:r>
        <w:rPr>
          <w:rFonts w:ascii="宋体" w:hAnsi="宋体" w:eastAsia="宋体" w:cs="宋体"/>
          <w:spacing w:val="-4"/>
          <w:sz w:val="20"/>
          <w:szCs w:val="20"/>
        </w:rPr>
        <w:t>计量，参照《&lt;建设工程工程量清单计价标准&gt;实施指引》</w:t>
      </w:r>
      <w:r>
        <w:rPr>
          <w:rFonts w:ascii="宋体" w:hAnsi="宋体" w:eastAsia="宋体" w:cs="宋体"/>
          <w:spacing w:val="-33"/>
          <w:sz w:val="20"/>
          <w:szCs w:val="20"/>
        </w:rPr>
        <w:t xml:space="preserve"> </w:t>
      </w:r>
      <w:r>
        <w:rPr>
          <w:rFonts w:ascii="宋体" w:hAnsi="宋体" w:eastAsia="宋体" w:cs="宋体"/>
          <w:spacing w:val="-4"/>
          <w:sz w:val="20"/>
          <w:szCs w:val="20"/>
        </w:rPr>
        <w:t>5.2.2 条</w:t>
      </w:r>
      <w:r>
        <w:rPr>
          <w:rFonts w:ascii="宋体" w:hAnsi="宋体" w:eastAsia="宋体" w:cs="宋体"/>
          <w:spacing w:val="10"/>
          <w:sz w:val="20"/>
          <w:szCs w:val="20"/>
        </w:rPr>
        <w:t>第 2 款进行计价。衡量变更工程量是否超出合同清单工程量的 15%时，以单项变更进行测算，不</w:t>
      </w:r>
      <w:r>
        <w:rPr>
          <w:rFonts w:ascii="宋体" w:hAnsi="宋体" w:eastAsia="宋体" w:cs="宋体"/>
          <w:spacing w:val="8"/>
          <w:sz w:val="20"/>
          <w:szCs w:val="20"/>
        </w:rPr>
        <w:t>以多项变更合并测算。</w:t>
      </w:r>
    </w:p>
    <w:p>
      <w:pPr>
        <w:spacing w:before="155" w:line="313" w:lineRule="auto"/>
        <w:ind w:left="29" w:right="80" w:firstLine="390"/>
        <w:rPr>
          <w:rFonts w:ascii="宋体" w:hAnsi="宋体" w:eastAsia="宋体" w:cs="宋体"/>
          <w:sz w:val="20"/>
          <w:szCs w:val="20"/>
        </w:rPr>
      </w:pPr>
      <w:r>
        <w:rPr>
          <w:rFonts w:ascii="宋体" w:hAnsi="宋体" w:eastAsia="宋体" w:cs="宋体"/>
          <w:spacing w:val="4"/>
          <w:sz w:val="20"/>
          <w:szCs w:val="20"/>
        </w:rPr>
        <w:t>（2）工程变更引起措施项目额外增加的，按《建设工程工程量清单计价标准》</w:t>
      </w:r>
      <w:r>
        <w:rPr>
          <w:rFonts w:ascii="宋体" w:hAnsi="宋体" w:eastAsia="宋体" w:cs="宋体"/>
          <w:sz w:val="20"/>
          <w:szCs w:val="20"/>
        </w:rPr>
        <w:t>GB</w:t>
      </w:r>
      <w:r>
        <w:rPr>
          <w:rFonts w:ascii="宋体" w:hAnsi="宋体" w:eastAsia="宋体" w:cs="宋体"/>
          <w:spacing w:val="4"/>
          <w:sz w:val="20"/>
          <w:szCs w:val="20"/>
        </w:rPr>
        <w:t>/T</w:t>
      </w:r>
      <w:r>
        <w:rPr>
          <w:rFonts w:ascii="宋体" w:hAnsi="宋体" w:eastAsia="宋体" w:cs="宋体"/>
          <w:spacing w:val="-41"/>
          <w:sz w:val="20"/>
          <w:szCs w:val="20"/>
        </w:rPr>
        <w:t xml:space="preserve"> </w:t>
      </w:r>
      <w:r>
        <w:rPr>
          <w:rFonts w:ascii="宋体" w:hAnsi="宋体" w:eastAsia="宋体" w:cs="宋体"/>
          <w:spacing w:val="4"/>
          <w:sz w:val="20"/>
          <w:szCs w:val="20"/>
        </w:rPr>
        <w:t>50500-2024</w:t>
      </w:r>
      <w:r>
        <w:rPr>
          <w:rFonts w:ascii="宋体" w:hAnsi="宋体" w:eastAsia="宋体" w:cs="宋体"/>
          <w:spacing w:val="-5"/>
          <w:sz w:val="20"/>
          <w:szCs w:val="20"/>
        </w:rPr>
        <w:t>中 7.4.4 及</w:t>
      </w:r>
      <w:r>
        <w:rPr>
          <w:rFonts w:ascii="宋体" w:hAnsi="宋体" w:eastAsia="宋体" w:cs="宋体"/>
          <w:spacing w:val="16"/>
          <w:sz w:val="20"/>
          <w:szCs w:val="20"/>
        </w:rPr>
        <w:t xml:space="preserve"> </w:t>
      </w:r>
      <w:r>
        <w:rPr>
          <w:rFonts w:ascii="宋体" w:hAnsi="宋体" w:eastAsia="宋体" w:cs="宋体"/>
          <w:spacing w:val="-5"/>
          <w:sz w:val="20"/>
          <w:szCs w:val="20"/>
        </w:rPr>
        <w:t>8.9.5</w:t>
      </w:r>
      <w:r>
        <w:rPr>
          <w:rFonts w:ascii="宋体" w:hAnsi="宋体" w:eastAsia="宋体" w:cs="宋体"/>
          <w:spacing w:val="12"/>
          <w:sz w:val="20"/>
          <w:szCs w:val="20"/>
        </w:rPr>
        <w:t xml:space="preserve"> </w:t>
      </w:r>
      <w:r>
        <w:rPr>
          <w:rFonts w:ascii="宋体" w:hAnsi="宋体" w:eastAsia="宋体" w:cs="宋体"/>
          <w:spacing w:val="-5"/>
          <w:sz w:val="20"/>
          <w:szCs w:val="20"/>
        </w:rPr>
        <w:t>条中的方式</w:t>
      </w:r>
      <w:r>
        <w:rPr>
          <w:rFonts w:ascii="宋体" w:hAnsi="宋体" w:eastAsia="宋体" w:cs="宋体"/>
          <w:spacing w:val="-6"/>
          <w:sz w:val="20"/>
          <w:szCs w:val="20"/>
        </w:rPr>
        <w:t>计算。</w:t>
      </w:r>
    </w:p>
    <w:p>
      <w:pPr>
        <w:spacing w:before="124" w:line="311" w:lineRule="auto"/>
        <w:ind w:left="7" w:right="81" w:firstLine="412"/>
        <w:rPr>
          <w:rFonts w:ascii="宋体" w:hAnsi="宋体" w:eastAsia="宋体" w:cs="宋体"/>
          <w:sz w:val="20"/>
          <w:szCs w:val="20"/>
        </w:rPr>
      </w:pPr>
      <w:r>
        <w:rPr>
          <w:rFonts w:ascii="宋体" w:hAnsi="宋体" w:eastAsia="宋体" w:cs="宋体"/>
          <w:spacing w:val="11"/>
          <w:sz w:val="20"/>
          <w:szCs w:val="20"/>
        </w:rPr>
        <w:t>（3）工程变更或发包人责任事件引起合同工期实质性延长和缩短的，按《建设工程</w:t>
      </w:r>
      <w:r>
        <w:rPr>
          <w:rFonts w:ascii="宋体" w:hAnsi="宋体" w:eastAsia="宋体" w:cs="宋体"/>
          <w:spacing w:val="10"/>
          <w:sz w:val="20"/>
          <w:szCs w:val="20"/>
        </w:rPr>
        <w:t>工程量清</w:t>
      </w:r>
      <w:r>
        <w:rPr>
          <w:rFonts w:ascii="宋体" w:hAnsi="宋体" w:eastAsia="宋体" w:cs="宋体"/>
          <w:spacing w:val="5"/>
          <w:sz w:val="20"/>
          <w:szCs w:val="20"/>
        </w:rPr>
        <w:t>单计价标准》</w:t>
      </w:r>
      <w:r>
        <w:rPr>
          <w:rFonts w:ascii="宋体" w:hAnsi="宋体" w:eastAsia="宋体" w:cs="宋体"/>
          <w:sz w:val="20"/>
          <w:szCs w:val="20"/>
        </w:rPr>
        <w:t>GB</w:t>
      </w:r>
      <w:r>
        <w:rPr>
          <w:rFonts w:ascii="宋体" w:hAnsi="宋体" w:eastAsia="宋体" w:cs="宋体"/>
          <w:spacing w:val="5"/>
          <w:sz w:val="20"/>
          <w:szCs w:val="20"/>
        </w:rPr>
        <w:t>/T</w:t>
      </w:r>
      <w:r>
        <w:rPr>
          <w:rFonts w:ascii="宋体" w:hAnsi="宋体" w:eastAsia="宋体" w:cs="宋体"/>
          <w:spacing w:val="-40"/>
          <w:sz w:val="20"/>
          <w:szCs w:val="20"/>
        </w:rPr>
        <w:t xml:space="preserve"> </w:t>
      </w:r>
      <w:r>
        <w:rPr>
          <w:rFonts w:ascii="宋体" w:hAnsi="宋体" w:eastAsia="宋体" w:cs="宋体"/>
          <w:spacing w:val="5"/>
          <w:sz w:val="20"/>
          <w:szCs w:val="20"/>
        </w:rPr>
        <w:t>50500-2024</w:t>
      </w:r>
      <w:r>
        <w:rPr>
          <w:rFonts w:ascii="宋体" w:hAnsi="宋体" w:eastAsia="宋体" w:cs="宋体"/>
          <w:spacing w:val="33"/>
          <w:sz w:val="20"/>
          <w:szCs w:val="20"/>
        </w:rPr>
        <w:t xml:space="preserve"> </w:t>
      </w:r>
      <w:r>
        <w:rPr>
          <w:rFonts w:ascii="宋体" w:hAnsi="宋体" w:eastAsia="宋体" w:cs="宋体"/>
          <w:spacing w:val="5"/>
          <w:sz w:val="20"/>
          <w:szCs w:val="20"/>
        </w:rPr>
        <w:t>中 8.</w:t>
      </w:r>
      <w:r>
        <w:rPr>
          <w:rFonts w:ascii="宋体" w:hAnsi="宋体" w:eastAsia="宋体" w:cs="宋体"/>
          <w:spacing w:val="4"/>
          <w:sz w:val="20"/>
          <w:szCs w:val="20"/>
        </w:rPr>
        <w:t>9.4 条中的方式计算需调整的措施费。</w:t>
      </w:r>
    </w:p>
    <w:p>
      <w:pPr>
        <w:spacing w:before="126" w:line="321" w:lineRule="auto"/>
        <w:ind w:left="8" w:right="80" w:firstLine="411"/>
        <w:rPr>
          <w:rFonts w:ascii="宋体" w:hAnsi="宋体" w:eastAsia="宋体" w:cs="宋体"/>
          <w:sz w:val="20"/>
          <w:szCs w:val="20"/>
        </w:rPr>
      </w:pPr>
      <w:r>
        <w:rPr>
          <w:rFonts w:ascii="宋体" w:hAnsi="宋体" w:eastAsia="宋体" w:cs="宋体"/>
          <w:spacing w:val="11"/>
          <w:sz w:val="20"/>
          <w:szCs w:val="20"/>
        </w:rPr>
        <w:t>（4）发包人供应材料规格、型号的变化，发包人供应材料与承包人供应材料的转换</w:t>
      </w:r>
      <w:r>
        <w:rPr>
          <w:rFonts w:ascii="宋体" w:hAnsi="宋体" w:eastAsia="宋体" w:cs="宋体"/>
          <w:spacing w:val="10"/>
          <w:sz w:val="20"/>
          <w:szCs w:val="20"/>
        </w:rPr>
        <w:t>，均按工</w:t>
      </w:r>
      <w:r>
        <w:rPr>
          <w:rFonts w:ascii="宋体" w:hAnsi="宋体" w:eastAsia="宋体" w:cs="宋体"/>
          <w:spacing w:val="8"/>
          <w:sz w:val="20"/>
          <w:szCs w:val="20"/>
        </w:rPr>
        <w:t>程变更处理。由此引起的工程价款变化，如材料有效损耗的变化、综合单价的调整等，由发承包双</w:t>
      </w:r>
      <w:r>
        <w:rPr>
          <w:rFonts w:ascii="宋体" w:hAnsi="宋体" w:eastAsia="宋体" w:cs="宋体"/>
          <w:spacing w:val="9"/>
          <w:sz w:val="20"/>
          <w:szCs w:val="20"/>
        </w:rPr>
        <w:t>方根据实际情况，协商确定计入工程变更。</w:t>
      </w:r>
    </w:p>
    <w:p>
      <w:pPr>
        <w:spacing w:before="156" w:line="368" w:lineRule="auto"/>
        <w:ind w:right="80" w:firstLine="447"/>
        <w:rPr>
          <w:rFonts w:ascii="宋体" w:hAnsi="宋体" w:eastAsia="宋体" w:cs="宋体"/>
          <w:sz w:val="20"/>
          <w:szCs w:val="20"/>
        </w:rPr>
      </w:pPr>
      <w:r>
        <w:rPr>
          <w:rFonts w:ascii="宋体" w:hAnsi="宋体" w:eastAsia="宋体" w:cs="宋体"/>
          <w:spacing w:val="8"/>
          <w:sz w:val="20"/>
          <w:szCs w:val="20"/>
        </w:rPr>
        <w:t>11. 承包人可以选择随合同工程一起提</w:t>
      </w:r>
      <w:r>
        <w:rPr>
          <w:rFonts w:ascii="宋体" w:hAnsi="宋体" w:eastAsia="宋体" w:cs="宋体"/>
          <w:spacing w:val="7"/>
          <w:sz w:val="20"/>
          <w:szCs w:val="20"/>
        </w:rPr>
        <w:t>交或单独提交新增工程结算。新增工程按新增工程合同</w:t>
      </w:r>
      <w:r>
        <w:rPr>
          <w:rFonts w:ascii="宋体" w:hAnsi="宋体" w:eastAsia="宋体" w:cs="宋体"/>
          <w:spacing w:val="9"/>
          <w:sz w:val="20"/>
          <w:szCs w:val="20"/>
        </w:rPr>
        <w:t>（或补充协议）的相关约定计算竣工结算价款。</w:t>
      </w:r>
    </w:p>
    <w:p>
      <w:pPr>
        <w:spacing w:before="1" w:line="278" w:lineRule="exact"/>
        <w:ind w:left="420"/>
        <w:rPr>
          <w:rFonts w:ascii="宋体" w:hAnsi="宋体" w:eastAsia="宋体" w:cs="宋体"/>
          <w:sz w:val="20"/>
          <w:szCs w:val="20"/>
        </w:rPr>
      </w:pPr>
      <w:r>
        <w:rPr>
          <w:rFonts w:ascii="宋体" w:hAnsi="宋体" w:eastAsia="宋体" w:cs="宋体"/>
          <w:spacing w:val="10"/>
          <w:position w:val="1"/>
          <w:sz w:val="20"/>
          <w:szCs w:val="20"/>
        </w:rPr>
        <w:t>（三）施工过程结算</w:t>
      </w:r>
    </w:p>
    <w:p>
      <w:pPr>
        <w:spacing w:before="124" w:line="297" w:lineRule="auto"/>
        <w:ind w:left="9" w:right="82" w:firstLine="437"/>
        <w:rPr>
          <w:rFonts w:ascii="宋体" w:hAnsi="宋体" w:eastAsia="宋体" w:cs="宋体"/>
          <w:sz w:val="20"/>
          <w:szCs w:val="20"/>
        </w:rPr>
      </w:pPr>
      <w:r>
        <w:rPr>
          <w:rFonts w:ascii="宋体" w:hAnsi="宋体" w:eastAsia="宋体" w:cs="宋体"/>
          <w:spacing w:val="3"/>
          <w:sz w:val="20"/>
          <w:szCs w:val="20"/>
        </w:rPr>
        <w:t>1. 实行施工过程结算的，应按合同约定并参照《&lt;建设</w:t>
      </w:r>
      <w:r>
        <w:rPr>
          <w:rFonts w:ascii="宋体" w:hAnsi="宋体" w:eastAsia="宋体" w:cs="宋体"/>
          <w:spacing w:val="2"/>
          <w:sz w:val="20"/>
          <w:szCs w:val="20"/>
        </w:rPr>
        <w:t>工程工程量清单计价标准&gt;实施指引》5.2</w:t>
      </w:r>
      <w:r>
        <w:rPr>
          <w:rFonts w:ascii="宋体" w:hAnsi="宋体" w:eastAsia="宋体" w:cs="宋体"/>
          <w:spacing w:val="9"/>
          <w:sz w:val="20"/>
          <w:szCs w:val="20"/>
        </w:rPr>
        <w:t>节竣工结算计价方法，另需符合下列要求。</w:t>
      </w:r>
    </w:p>
    <w:p>
      <w:pPr>
        <w:spacing w:before="155" w:line="278" w:lineRule="exact"/>
        <w:ind w:left="430"/>
        <w:rPr>
          <w:rFonts w:ascii="宋体" w:hAnsi="宋体" w:eastAsia="宋体" w:cs="宋体"/>
          <w:sz w:val="20"/>
          <w:szCs w:val="20"/>
        </w:rPr>
      </w:pPr>
      <w:r>
        <w:rPr>
          <w:rFonts w:ascii="宋体" w:hAnsi="宋体" w:eastAsia="宋体" w:cs="宋体"/>
          <w:spacing w:val="8"/>
          <w:position w:val="1"/>
          <w:sz w:val="20"/>
          <w:szCs w:val="20"/>
        </w:rPr>
        <w:t>2. 合同清单内的分部分项工程项目，按过程结算周期中完成的合同内</w:t>
      </w:r>
      <w:r>
        <w:rPr>
          <w:rFonts w:ascii="宋体" w:hAnsi="宋体" w:eastAsia="宋体" w:cs="宋体"/>
          <w:spacing w:val="7"/>
          <w:position w:val="1"/>
          <w:sz w:val="20"/>
          <w:szCs w:val="20"/>
        </w:rPr>
        <w:t>工作量进行计量。</w:t>
      </w:r>
    </w:p>
    <w:p>
      <w:pPr>
        <w:spacing w:before="124" w:line="321" w:lineRule="auto"/>
        <w:ind w:left="5" w:right="80" w:firstLine="414"/>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1）采用单价合同时</w:t>
      </w:r>
      <w:r>
        <w:rPr>
          <w:rFonts w:ascii="宋体" w:hAnsi="宋体" w:eastAsia="宋体" w:cs="宋体"/>
          <w:spacing w:val="-60"/>
          <w:sz w:val="20"/>
          <w:szCs w:val="20"/>
        </w:rPr>
        <w:t xml:space="preserve"> </w:t>
      </w:r>
      <w:r>
        <w:rPr>
          <w:rFonts w:ascii="宋体" w:hAnsi="宋体" w:eastAsia="宋体" w:cs="宋体"/>
          <w:spacing w:val="9"/>
          <w:sz w:val="20"/>
          <w:szCs w:val="20"/>
        </w:rPr>
        <w:t>，涉及工程量清单缺陷调整且当期未能判断是否超过</w:t>
      </w:r>
      <w:r>
        <w:rPr>
          <w:rFonts w:ascii="宋体" w:hAnsi="宋体" w:eastAsia="宋体" w:cs="宋体"/>
          <w:spacing w:val="33"/>
          <w:sz w:val="20"/>
          <w:szCs w:val="20"/>
        </w:rPr>
        <w:t xml:space="preserve"> </w:t>
      </w:r>
      <w:r>
        <w:rPr>
          <w:rFonts w:ascii="宋体" w:hAnsi="宋体" w:eastAsia="宋体" w:cs="宋体"/>
          <w:spacing w:val="9"/>
          <w:sz w:val="20"/>
          <w:szCs w:val="20"/>
        </w:rPr>
        <w:t>15%</w:t>
      </w:r>
      <w:r>
        <w:rPr>
          <w:rFonts w:ascii="宋体" w:hAnsi="宋体" w:eastAsia="宋体" w:cs="宋体"/>
          <w:spacing w:val="8"/>
          <w:sz w:val="20"/>
          <w:szCs w:val="20"/>
        </w:rPr>
        <w:t>的（见《</w:t>
      </w:r>
      <w:r>
        <w:rPr>
          <w:rFonts w:ascii="宋体" w:hAnsi="宋体" w:eastAsia="宋体" w:cs="宋体"/>
          <w:spacing w:val="-51"/>
          <w:sz w:val="20"/>
          <w:szCs w:val="20"/>
        </w:rPr>
        <w:t xml:space="preserve"> </w:t>
      </w:r>
      <w:r>
        <w:rPr>
          <w:rFonts w:ascii="宋体" w:hAnsi="宋体" w:eastAsia="宋体" w:cs="宋体"/>
          <w:spacing w:val="8"/>
          <w:sz w:val="20"/>
          <w:szCs w:val="20"/>
        </w:rPr>
        <w:t>&lt;建设工程工程量清单计价标准&gt;实施指引》5.2.</w:t>
      </w:r>
      <w:r>
        <w:rPr>
          <w:rFonts w:ascii="宋体" w:hAnsi="宋体" w:eastAsia="宋体" w:cs="宋体"/>
          <w:spacing w:val="7"/>
          <w:sz w:val="20"/>
          <w:szCs w:val="20"/>
        </w:rPr>
        <w:t>2</w:t>
      </w:r>
      <w:r>
        <w:rPr>
          <w:rFonts w:ascii="宋体" w:hAnsi="宋体" w:eastAsia="宋体" w:cs="宋体"/>
          <w:spacing w:val="-9"/>
          <w:sz w:val="20"/>
          <w:szCs w:val="20"/>
        </w:rPr>
        <w:t>）</w:t>
      </w:r>
      <w:r>
        <w:rPr>
          <w:rFonts w:ascii="宋体" w:hAnsi="宋体" w:eastAsia="宋体" w:cs="宋体"/>
          <w:spacing w:val="-50"/>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可待完成对应清单项目全部工程量后，在当个过</w:t>
      </w:r>
      <w:r>
        <w:rPr>
          <w:rFonts w:ascii="宋体" w:hAnsi="宋体" w:eastAsia="宋体" w:cs="宋体"/>
          <w:spacing w:val="9"/>
          <w:sz w:val="20"/>
          <w:szCs w:val="20"/>
        </w:rPr>
        <w:t>程结算周期进行清单缺陷调整，或在竣工结算时统一调整。</w:t>
      </w:r>
    </w:p>
    <w:p>
      <w:pPr>
        <w:spacing w:before="156" w:line="297" w:lineRule="auto"/>
        <w:ind w:left="8" w:right="80" w:firstLine="411"/>
        <w:rPr>
          <w:rFonts w:ascii="宋体" w:hAnsi="宋体" w:eastAsia="宋体" w:cs="宋体"/>
          <w:sz w:val="20"/>
          <w:szCs w:val="20"/>
        </w:rPr>
      </w:pPr>
      <w:r>
        <w:rPr>
          <w:rFonts w:ascii="宋体" w:hAnsi="宋体" w:eastAsia="宋体" w:cs="宋体"/>
          <w:spacing w:val="7"/>
          <w:sz w:val="20"/>
          <w:szCs w:val="20"/>
        </w:rPr>
        <w:t>（2）采用总价合同时，暂定数量的清单项目在过程结算中的计算方法参考（</w:t>
      </w:r>
      <w:r>
        <w:rPr>
          <w:rFonts w:ascii="宋体" w:hAnsi="宋体" w:eastAsia="宋体" w:cs="宋体"/>
          <w:spacing w:val="-47"/>
          <w:sz w:val="20"/>
          <w:szCs w:val="20"/>
        </w:rPr>
        <w:t xml:space="preserve"> </w:t>
      </w:r>
      <w:r>
        <w:rPr>
          <w:rFonts w:ascii="宋体" w:hAnsi="宋体" w:eastAsia="宋体" w:cs="宋体"/>
          <w:spacing w:val="7"/>
          <w:sz w:val="20"/>
          <w:szCs w:val="20"/>
        </w:rPr>
        <w:t>1）。其他分部分</w:t>
      </w:r>
      <w:r>
        <w:rPr>
          <w:rFonts w:ascii="宋体" w:hAnsi="宋体" w:eastAsia="宋体" w:cs="宋体"/>
          <w:spacing w:val="9"/>
          <w:sz w:val="20"/>
          <w:szCs w:val="20"/>
        </w:rPr>
        <w:t>项工程项目在各过程结算周期内的合计工程量不得超过合同清单工程量。</w:t>
      </w:r>
    </w:p>
    <w:p>
      <w:pPr>
        <w:spacing w:before="154" w:line="322" w:lineRule="auto"/>
        <w:ind w:left="6" w:right="80" w:firstLine="426"/>
        <w:rPr>
          <w:rFonts w:ascii="宋体" w:hAnsi="宋体" w:eastAsia="宋体" w:cs="宋体"/>
          <w:sz w:val="20"/>
          <w:szCs w:val="20"/>
        </w:rPr>
      </w:pPr>
      <w:r>
        <w:rPr>
          <w:rFonts w:ascii="宋体" w:hAnsi="宋体" w:eastAsia="宋体" w:cs="宋体"/>
          <w:spacing w:val="5"/>
          <w:sz w:val="20"/>
          <w:szCs w:val="20"/>
        </w:rPr>
        <w:t>3. 措施项目费用按《建设工程工程量清单计价标准》</w:t>
      </w:r>
      <w:r>
        <w:rPr>
          <w:rFonts w:ascii="宋体" w:hAnsi="宋体" w:eastAsia="宋体" w:cs="宋体"/>
          <w:sz w:val="20"/>
          <w:szCs w:val="20"/>
        </w:rPr>
        <w:t>GB</w:t>
      </w:r>
      <w:r>
        <w:rPr>
          <w:rFonts w:ascii="宋体" w:hAnsi="宋体" w:eastAsia="宋体" w:cs="宋体"/>
          <w:spacing w:val="5"/>
          <w:sz w:val="20"/>
          <w:szCs w:val="20"/>
        </w:rPr>
        <w:t>/T</w:t>
      </w:r>
      <w:r>
        <w:rPr>
          <w:rFonts w:ascii="宋体" w:hAnsi="宋体" w:eastAsia="宋体" w:cs="宋体"/>
          <w:spacing w:val="-40"/>
          <w:sz w:val="20"/>
          <w:szCs w:val="20"/>
        </w:rPr>
        <w:t xml:space="preserve"> </w:t>
      </w:r>
      <w:r>
        <w:rPr>
          <w:rFonts w:ascii="宋体" w:hAnsi="宋体" w:eastAsia="宋体" w:cs="宋体"/>
          <w:spacing w:val="5"/>
          <w:sz w:val="20"/>
          <w:szCs w:val="20"/>
        </w:rPr>
        <w:t>50500-2</w:t>
      </w:r>
      <w:r>
        <w:rPr>
          <w:rFonts w:ascii="宋体" w:hAnsi="宋体" w:eastAsia="宋体" w:cs="宋体"/>
          <w:spacing w:val="4"/>
          <w:sz w:val="20"/>
          <w:szCs w:val="20"/>
        </w:rPr>
        <w:t>024</w:t>
      </w:r>
      <w:r>
        <w:rPr>
          <w:rFonts w:ascii="宋体" w:hAnsi="宋体" w:eastAsia="宋体" w:cs="宋体"/>
          <w:spacing w:val="36"/>
          <w:sz w:val="20"/>
          <w:szCs w:val="20"/>
        </w:rPr>
        <w:t xml:space="preserve"> </w:t>
      </w:r>
      <w:r>
        <w:rPr>
          <w:rFonts w:ascii="宋体" w:hAnsi="宋体" w:eastAsia="宋体" w:cs="宋体"/>
          <w:spacing w:val="4"/>
          <w:sz w:val="20"/>
          <w:szCs w:val="20"/>
        </w:rPr>
        <w:t>中 10.2.5 条中的方式</w:t>
      </w:r>
      <w:r>
        <w:rPr>
          <w:rFonts w:ascii="宋体" w:hAnsi="宋体" w:eastAsia="宋体" w:cs="宋体"/>
          <w:spacing w:val="8"/>
          <w:sz w:val="20"/>
          <w:szCs w:val="20"/>
        </w:rPr>
        <w:t>计价。其中，已一次性全额支付的安全生产、环境保护、文明施工、临时设施措施费在施工过程结</w:t>
      </w:r>
      <w:r>
        <w:rPr>
          <w:rFonts w:ascii="宋体" w:hAnsi="宋体" w:eastAsia="宋体" w:cs="宋体"/>
          <w:spacing w:val="9"/>
          <w:sz w:val="20"/>
          <w:szCs w:val="20"/>
        </w:rPr>
        <w:t>算中不再重复计算，支付施工过程结算价款时也不扣回。</w:t>
      </w:r>
    </w:p>
    <w:p>
      <w:pPr>
        <w:spacing w:before="155" w:line="277" w:lineRule="exact"/>
        <w:ind w:left="426"/>
        <w:rPr>
          <w:rFonts w:ascii="宋体" w:hAnsi="宋体" w:eastAsia="宋体" w:cs="宋体"/>
          <w:sz w:val="20"/>
          <w:szCs w:val="20"/>
        </w:rPr>
      </w:pPr>
      <w:r>
        <w:rPr>
          <w:rFonts w:ascii="宋体" w:hAnsi="宋体" w:eastAsia="宋体" w:cs="宋体"/>
          <w:spacing w:val="5"/>
          <w:position w:val="1"/>
          <w:sz w:val="20"/>
          <w:szCs w:val="20"/>
        </w:rPr>
        <w:t>4. 总承包服务费按下列方式进行：</w:t>
      </w:r>
    </w:p>
    <w:p>
      <w:pPr>
        <w:spacing w:before="124" w:line="277" w:lineRule="exact"/>
        <w:ind w:left="420"/>
        <w:rPr>
          <w:rFonts w:ascii="宋体" w:hAnsi="宋体" w:eastAsia="宋体" w:cs="宋体"/>
          <w:sz w:val="20"/>
          <w:szCs w:val="20"/>
        </w:rPr>
      </w:pPr>
      <w:r>
        <w:rPr>
          <w:rFonts w:ascii="宋体" w:hAnsi="宋体" w:eastAsia="宋体" w:cs="宋体"/>
          <w:spacing w:val="10"/>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10"/>
          <w:position w:val="1"/>
          <w:sz w:val="20"/>
          <w:szCs w:val="20"/>
        </w:rPr>
        <w:t>1）发包人提供材料的总承包服务费按过程结算周期内</w:t>
      </w:r>
      <w:r>
        <w:rPr>
          <w:rFonts w:ascii="宋体" w:hAnsi="宋体" w:eastAsia="宋体" w:cs="宋体"/>
          <w:spacing w:val="9"/>
          <w:position w:val="1"/>
          <w:sz w:val="20"/>
          <w:szCs w:val="20"/>
        </w:rPr>
        <w:t>实际领用材料数量（不含超出有效损</w:t>
      </w:r>
    </w:p>
    <w:p>
      <w:pPr>
        <w:spacing w:line="277" w:lineRule="exact"/>
        <w:rPr>
          <w:rFonts w:ascii="宋体" w:hAnsi="宋体" w:eastAsia="宋体" w:cs="宋体"/>
          <w:sz w:val="20"/>
          <w:szCs w:val="20"/>
        </w:rPr>
        <w:sectPr>
          <w:footerReference r:id="rId58" w:type="default"/>
          <w:pgSz w:w="11905" w:h="16840"/>
          <w:pgMar w:top="1431" w:right="1444" w:bottom="1213" w:left="1411" w:header="0" w:footer="898" w:gutter="0"/>
        </w:sectPr>
      </w:pPr>
    </w:p>
    <w:p>
      <w:pPr>
        <w:spacing w:before="124" w:line="276" w:lineRule="exact"/>
        <w:rPr>
          <w:rFonts w:ascii="宋体" w:hAnsi="宋体" w:eastAsia="宋体" w:cs="宋体"/>
          <w:sz w:val="20"/>
          <w:szCs w:val="20"/>
        </w:rPr>
      </w:pPr>
      <w:r>
        <w:rPr>
          <w:rFonts w:ascii="宋体" w:hAnsi="宋体" w:eastAsia="宋体" w:cs="宋体"/>
          <w:spacing w:val="6"/>
          <w:position w:val="1"/>
          <w:sz w:val="20"/>
          <w:szCs w:val="20"/>
        </w:rPr>
        <w:t>耗部分损耗量）</w:t>
      </w:r>
      <w:r>
        <w:rPr>
          <w:rFonts w:ascii="宋体" w:hAnsi="宋体" w:eastAsia="宋体" w:cs="宋体"/>
          <w:spacing w:val="80"/>
          <w:position w:val="1"/>
          <w:sz w:val="20"/>
          <w:szCs w:val="20"/>
        </w:rPr>
        <w:t xml:space="preserve"> </w:t>
      </w:r>
      <w:r>
        <w:rPr>
          <w:rFonts w:ascii="宋体" w:hAnsi="宋体" w:eastAsia="宋体" w:cs="宋体"/>
          <w:spacing w:val="6"/>
          <w:position w:val="1"/>
          <w:sz w:val="20"/>
          <w:szCs w:val="20"/>
        </w:rPr>
        <w:t>×“发包人提供材料一览表 ”中材料单价</w:t>
      </w:r>
      <w:r>
        <w:rPr>
          <w:rFonts w:ascii="宋体" w:hAnsi="宋体" w:eastAsia="宋体" w:cs="宋体"/>
          <w:spacing w:val="-45"/>
          <w:position w:val="1"/>
          <w:sz w:val="20"/>
          <w:szCs w:val="20"/>
        </w:rPr>
        <w:t xml:space="preserve"> </w:t>
      </w:r>
      <w:r>
        <w:rPr>
          <w:rFonts w:ascii="宋体" w:hAnsi="宋体" w:eastAsia="宋体" w:cs="宋体"/>
          <w:spacing w:val="6"/>
          <w:position w:val="1"/>
          <w:sz w:val="20"/>
          <w:szCs w:val="20"/>
        </w:rPr>
        <w:t>×总承包服务费费率计算。</w:t>
      </w:r>
    </w:p>
    <w:p>
      <w:pPr>
        <w:spacing w:before="124" w:line="369" w:lineRule="auto"/>
        <w:ind w:left="4" w:right="105" w:firstLine="407"/>
        <w:rPr>
          <w:rFonts w:ascii="宋体" w:hAnsi="宋体" w:eastAsia="宋体" w:cs="宋体"/>
          <w:sz w:val="20"/>
          <w:szCs w:val="20"/>
        </w:rPr>
      </w:pPr>
      <w:r>
        <w:rPr>
          <w:rFonts w:ascii="宋体" w:hAnsi="宋体" w:eastAsia="宋体" w:cs="宋体"/>
          <w:spacing w:val="11"/>
          <w:sz w:val="20"/>
          <w:szCs w:val="20"/>
        </w:rPr>
        <w:t>（2）专业分包工程及直接发包的专业工程的总承包服务费，按《建设工程工程量清</w:t>
      </w:r>
      <w:r>
        <w:rPr>
          <w:rFonts w:ascii="宋体" w:hAnsi="宋体" w:eastAsia="宋体" w:cs="宋体"/>
          <w:spacing w:val="10"/>
          <w:sz w:val="20"/>
          <w:szCs w:val="20"/>
        </w:rPr>
        <w:t>单计价标</w:t>
      </w:r>
      <w:r>
        <w:rPr>
          <w:rFonts w:ascii="宋体" w:hAnsi="宋体" w:eastAsia="宋体" w:cs="宋体"/>
          <w:spacing w:val="2"/>
          <w:sz w:val="20"/>
          <w:szCs w:val="20"/>
        </w:rPr>
        <w:t>准》</w:t>
      </w:r>
      <w:r>
        <w:rPr>
          <w:rFonts w:ascii="宋体" w:hAnsi="宋体" w:eastAsia="宋体" w:cs="宋体"/>
          <w:sz w:val="20"/>
          <w:szCs w:val="20"/>
        </w:rPr>
        <w:t>GB</w:t>
      </w:r>
      <w:r>
        <w:rPr>
          <w:rFonts w:ascii="宋体" w:hAnsi="宋体" w:eastAsia="宋体" w:cs="宋体"/>
          <w:spacing w:val="2"/>
          <w:sz w:val="20"/>
          <w:szCs w:val="20"/>
        </w:rPr>
        <w:t>/T</w:t>
      </w:r>
      <w:r>
        <w:rPr>
          <w:rFonts w:ascii="宋体" w:hAnsi="宋体" w:eastAsia="宋体" w:cs="宋体"/>
          <w:spacing w:val="-40"/>
          <w:sz w:val="20"/>
          <w:szCs w:val="20"/>
        </w:rPr>
        <w:t xml:space="preserve"> </w:t>
      </w:r>
      <w:r>
        <w:rPr>
          <w:rFonts w:ascii="宋体" w:hAnsi="宋体" w:eastAsia="宋体" w:cs="宋体"/>
          <w:spacing w:val="2"/>
          <w:sz w:val="20"/>
          <w:szCs w:val="20"/>
        </w:rPr>
        <w:t>50500-2024</w:t>
      </w:r>
      <w:r>
        <w:rPr>
          <w:rFonts w:ascii="宋体" w:hAnsi="宋体" w:eastAsia="宋体" w:cs="宋体"/>
          <w:spacing w:val="33"/>
          <w:sz w:val="20"/>
          <w:szCs w:val="20"/>
        </w:rPr>
        <w:t xml:space="preserve"> </w:t>
      </w:r>
      <w:r>
        <w:rPr>
          <w:rFonts w:ascii="宋体" w:hAnsi="宋体" w:eastAsia="宋体" w:cs="宋体"/>
          <w:spacing w:val="2"/>
          <w:sz w:val="20"/>
          <w:szCs w:val="20"/>
        </w:rPr>
        <w:t>中</w:t>
      </w:r>
      <w:r>
        <w:rPr>
          <w:rFonts w:ascii="宋体" w:hAnsi="宋体" w:eastAsia="宋体" w:cs="宋体"/>
          <w:spacing w:val="28"/>
          <w:sz w:val="20"/>
          <w:szCs w:val="20"/>
        </w:rPr>
        <w:t xml:space="preserve"> </w:t>
      </w:r>
      <w:r>
        <w:rPr>
          <w:rFonts w:ascii="宋体" w:hAnsi="宋体" w:eastAsia="宋体" w:cs="宋体"/>
          <w:spacing w:val="2"/>
          <w:sz w:val="20"/>
          <w:szCs w:val="20"/>
        </w:rPr>
        <w:t>10.2.</w:t>
      </w:r>
      <w:r>
        <w:rPr>
          <w:rFonts w:ascii="宋体" w:hAnsi="宋体" w:eastAsia="宋体" w:cs="宋体"/>
          <w:spacing w:val="1"/>
          <w:sz w:val="20"/>
          <w:szCs w:val="20"/>
        </w:rPr>
        <w:t>6 条中的方式计算。</w:t>
      </w:r>
    </w:p>
    <w:p>
      <w:pPr>
        <w:spacing w:line="321" w:lineRule="auto"/>
        <w:ind w:right="105" w:firstLine="422"/>
        <w:rPr>
          <w:rFonts w:ascii="宋体" w:hAnsi="宋体" w:eastAsia="宋体" w:cs="宋体"/>
          <w:sz w:val="20"/>
          <w:szCs w:val="20"/>
        </w:rPr>
      </w:pPr>
      <w:r>
        <w:rPr>
          <w:rFonts w:ascii="宋体" w:hAnsi="宋体" w:eastAsia="宋体" w:cs="宋体"/>
          <w:spacing w:val="9"/>
          <w:sz w:val="20"/>
          <w:szCs w:val="20"/>
        </w:rPr>
        <w:t>5. 措施项目费和总承包服务费仅作为计算和支付施工过程结算价款的依据</w:t>
      </w:r>
      <w:r>
        <w:rPr>
          <w:rFonts w:ascii="宋体" w:hAnsi="宋体" w:eastAsia="宋体" w:cs="宋体"/>
          <w:spacing w:val="-41"/>
          <w:sz w:val="20"/>
          <w:szCs w:val="20"/>
        </w:rPr>
        <w:t xml:space="preserve"> </w:t>
      </w:r>
      <w:r>
        <w:rPr>
          <w:rFonts w:ascii="宋体" w:hAnsi="宋体" w:eastAsia="宋体" w:cs="宋体"/>
          <w:spacing w:val="9"/>
          <w:sz w:val="20"/>
          <w:szCs w:val="20"/>
        </w:rPr>
        <w:t>，不作为工程竣工</w:t>
      </w:r>
      <w:r>
        <w:rPr>
          <w:rFonts w:ascii="宋体" w:hAnsi="宋体" w:eastAsia="宋体" w:cs="宋体"/>
          <w:spacing w:val="8"/>
          <w:sz w:val="20"/>
          <w:szCs w:val="20"/>
        </w:rPr>
        <w:t>结算价款确定的依据。在合同工程整体竣工后进行工程竣工结算时，措施项目费和总承包服务费应依据合同约定计算确定。</w:t>
      </w:r>
    </w:p>
    <w:p>
      <w:pPr>
        <w:spacing w:before="155" w:line="277" w:lineRule="exact"/>
        <w:ind w:left="423"/>
        <w:rPr>
          <w:rFonts w:ascii="宋体" w:hAnsi="宋体" w:eastAsia="宋体" w:cs="宋体"/>
          <w:sz w:val="20"/>
          <w:szCs w:val="20"/>
        </w:rPr>
      </w:pPr>
      <w:r>
        <w:rPr>
          <w:rFonts w:ascii="宋体" w:hAnsi="宋体" w:eastAsia="宋体" w:cs="宋体"/>
          <w:spacing w:val="8"/>
          <w:position w:val="1"/>
          <w:sz w:val="20"/>
          <w:szCs w:val="20"/>
        </w:rPr>
        <w:t>6. 除另有说明外，施工过程结算中已确认的内容，在竣工结算</w:t>
      </w:r>
      <w:r>
        <w:rPr>
          <w:rFonts w:ascii="宋体" w:hAnsi="宋体" w:eastAsia="宋体" w:cs="宋体"/>
          <w:spacing w:val="7"/>
          <w:position w:val="1"/>
          <w:sz w:val="20"/>
          <w:szCs w:val="20"/>
        </w:rPr>
        <w:t>时不重新计量、计价。</w:t>
      </w:r>
    </w:p>
    <w:p>
      <w:pPr>
        <w:spacing w:before="125" w:line="297" w:lineRule="auto"/>
        <w:ind w:right="40" w:firstLine="420"/>
        <w:rPr>
          <w:rFonts w:ascii="宋体" w:hAnsi="宋体" w:eastAsia="宋体" w:cs="宋体"/>
          <w:sz w:val="20"/>
          <w:szCs w:val="20"/>
        </w:rPr>
      </w:pPr>
      <w:r>
        <w:rPr>
          <w:rFonts w:ascii="宋体" w:hAnsi="宋体" w:eastAsia="宋体" w:cs="宋体"/>
          <w:spacing w:val="7"/>
          <w:sz w:val="20"/>
          <w:szCs w:val="20"/>
        </w:rPr>
        <w:t>7. 过程结算周期内已经批准或确认的变更、计日工、工程索赔等事项，引起合同价款调整的，</w:t>
      </w:r>
      <w:r>
        <w:rPr>
          <w:rFonts w:ascii="宋体" w:hAnsi="宋体" w:eastAsia="宋体" w:cs="宋体"/>
          <w:spacing w:val="8"/>
          <w:sz w:val="20"/>
          <w:szCs w:val="20"/>
        </w:rPr>
        <w:t>应计入当期施工过程结算。</w:t>
      </w:r>
    </w:p>
    <w:p>
      <w:pPr>
        <w:spacing w:line="297" w:lineRule="auto"/>
        <w:rPr>
          <w:rFonts w:ascii="宋体" w:hAnsi="宋体" w:eastAsia="宋体" w:cs="宋体"/>
          <w:sz w:val="20"/>
          <w:szCs w:val="20"/>
        </w:rPr>
        <w:sectPr>
          <w:footerReference r:id="rId59" w:type="default"/>
          <w:pgSz w:w="11905" w:h="16840"/>
          <w:pgMar w:top="1431" w:right="1419" w:bottom="1132" w:left="1419" w:header="0" w:footer="919" w:gutter="0"/>
        </w:sectPr>
      </w:pPr>
    </w:p>
    <w:p>
      <w:pPr>
        <w:spacing w:line="315" w:lineRule="auto"/>
        <w:rPr>
          <w:rFonts w:ascii="Arial"/>
          <w:sz w:val="21"/>
        </w:rPr>
      </w:pPr>
    </w:p>
    <w:p>
      <w:pPr>
        <w:spacing w:line="315" w:lineRule="auto"/>
        <w:rPr>
          <w:rFonts w:ascii="Arial"/>
          <w:sz w:val="21"/>
        </w:rPr>
      </w:pPr>
    </w:p>
    <w:p>
      <w:pPr>
        <w:spacing w:line="316" w:lineRule="auto"/>
        <w:rPr>
          <w:rFonts w:ascii="Arial"/>
          <w:sz w:val="21"/>
        </w:rPr>
      </w:pPr>
    </w:p>
    <w:p>
      <w:pPr>
        <w:spacing w:before="97" w:line="215" w:lineRule="auto"/>
        <w:ind w:left="2429"/>
        <w:outlineLvl w:val="1"/>
        <w:rPr>
          <w:rFonts w:ascii="宋体" w:hAnsi="宋体" w:eastAsia="宋体" w:cs="宋体"/>
          <w:sz w:val="30"/>
          <w:szCs w:val="30"/>
        </w:rPr>
      </w:pPr>
      <w:bookmarkStart w:id="35" w:name="bookmark25"/>
      <w:bookmarkEnd w:id="35"/>
      <w:bookmarkStart w:id="36" w:name="bookmark24"/>
      <w:bookmarkEnd w:id="36"/>
      <w:r>
        <w:rPr>
          <w:rFonts w:ascii="宋体" w:hAnsi="宋体" w:eastAsia="宋体" w:cs="宋体"/>
          <w:b/>
          <w:bCs/>
          <w:spacing w:val="-3"/>
          <w:sz w:val="30"/>
          <w:szCs w:val="30"/>
        </w:rPr>
        <w:t>第二节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建设工程费用项目组成</w:t>
      </w:r>
    </w:p>
    <w:p>
      <w:pPr>
        <w:spacing w:before="277" w:line="277" w:lineRule="exact"/>
        <w:ind w:left="421"/>
        <w:rPr>
          <w:rFonts w:ascii="宋体" w:hAnsi="宋体" w:eastAsia="宋体" w:cs="宋体"/>
          <w:sz w:val="20"/>
          <w:szCs w:val="20"/>
        </w:rPr>
      </w:pPr>
      <w:r>
        <w:rPr>
          <w:rFonts w:ascii="宋体" w:hAnsi="宋体" w:eastAsia="宋体" w:cs="宋体"/>
          <w:spacing w:val="8"/>
          <w:position w:val="1"/>
          <w:sz w:val="20"/>
          <w:szCs w:val="20"/>
        </w:rPr>
        <w:t>建设工程费用项目组成如附表</w:t>
      </w:r>
      <w:r>
        <w:rPr>
          <w:rFonts w:ascii="宋体" w:hAnsi="宋体" w:eastAsia="宋体" w:cs="宋体"/>
          <w:spacing w:val="-20"/>
          <w:position w:val="1"/>
          <w:sz w:val="20"/>
          <w:szCs w:val="20"/>
        </w:rPr>
        <w:t xml:space="preserve"> </w:t>
      </w:r>
      <w:r>
        <w:rPr>
          <w:rFonts w:ascii="宋体" w:hAnsi="宋体" w:eastAsia="宋体" w:cs="宋体"/>
          <w:spacing w:val="8"/>
          <w:position w:val="1"/>
          <w:sz w:val="20"/>
          <w:szCs w:val="20"/>
        </w:rPr>
        <w:t>1</w:t>
      </w:r>
      <w:r>
        <w:rPr>
          <w:rFonts w:ascii="宋体" w:hAnsi="宋体" w:eastAsia="宋体" w:cs="宋体"/>
          <w:spacing w:val="-44"/>
          <w:position w:val="1"/>
          <w:sz w:val="20"/>
          <w:szCs w:val="20"/>
        </w:rPr>
        <w:t xml:space="preserve"> </w:t>
      </w:r>
      <w:r>
        <w:rPr>
          <w:rFonts w:ascii="宋体" w:hAnsi="宋体" w:eastAsia="宋体" w:cs="宋体"/>
          <w:spacing w:val="8"/>
          <w:position w:val="1"/>
          <w:sz w:val="20"/>
          <w:szCs w:val="20"/>
        </w:rPr>
        <w:t>所示，专业工程措施项目一览表如附表</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2</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所示。</w:t>
      </w:r>
    </w:p>
    <w:p>
      <w:pPr>
        <w:spacing w:line="358" w:lineRule="auto"/>
        <w:rPr>
          <w:rFonts w:ascii="Arial"/>
          <w:sz w:val="21"/>
        </w:rPr>
      </w:pPr>
    </w:p>
    <w:p>
      <w:pPr>
        <w:spacing w:before="78" w:line="222" w:lineRule="auto"/>
        <w:ind w:left="2839"/>
        <w:rPr>
          <w:rFonts w:ascii="黑体" w:hAnsi="黑体" w:eastAsia="黑体" w:cs="黑体"/>
          <w:sz w:val="24"/>
          <w:szCs w:val="24"/>
        </w:rPr>
      </w:pPr>
      <w:r>
        <w:rPr>
          <w:rFonts w:ascii="黑体" w:hAnsi="黑体" w:eastAsia="黑体" w:cs="黑体"/>
          <w:spacing w:val="-10"/>
          <w:sz w:val="24"/>
          <w:szCs w:val="24"/>
        </w:rPr>
        <w:t>附表 1</w:t>
      </w:r>
      <w:r>
        <w:rPr>
          <w:rFonts w:ascii="黑体" w:hAnsi="黑体" w:eastAsia="黑体" w:cs="黑体"/>
          <w:spacing w:val="90"/>
          <w:sz w:val="24"/>
          <w:szCs w:val="24"/>
        </w:rPr>
        <w:t xml:space="preserve"> </w:t>
      </w:r>
      <w:r>
        <w:rPr>
          <w:rFonts w:ascii="黑体" w:hAnsi="黑体" w:eastAsia="黑体" w:cs="黑体"/>
          <w:spacing w:val="-10"/>
          <w:sz w:val="24"/>
          <w:szCs w:val="24"/>
        </w:rPr>
        <w:t>建设工程费用项目组成表</w:t>
      </w:r>
    </w:p>
    <w:p>
      <w:pPr>
        <w:spacing w:line="282" w:lineRule="auto"/>
        <w:rPr>
          <w:rFonts w:ascii="Arial"/>
          <w:sz w:val="21"/>
        </w:rPr>
      </w:pPr>
    </w:p>
    <w:p>
      <w:pPr>
        <w:spacing w:line="282" w:lineRule="auto"/>
        <w:rPr>
          <w:rFonts w:ascii="Arial"/>
          <w:sz w:val="21"/>
        </w:rPr>
      </w:pPr>
      <w:r>
        <w:drawing>
          <wp:anchor distT="0" distB="0" distL="0" distR="0" simplePos="0" relativeHeight="253382656" behindDoc="0" locked="0" layoutInCell="1" allowOverlap="1">
            <wp:simplePos x="0" y="0"/>
            <wp:positionH relativeFrom="column">
              <wp:posOffset>2122170</wp:posOffset>
            </wp:positionH>
            <wp:positionV relativeFrom="paragraph">
              <wp:posOffset>199390</wp:posOffset>
            </wp:positionV>
            <wp:extent cx="50165" cy="163830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363"/>
                    <a:stretch>
                      <a:fillRect/>
                    </a:stretch>
                  </pic:blipFill>
                  <pic:spPr>
                    <a:xfrm>
                      <a:off x="0" y="0"/>
                      <a:ext cx="50292" cy="1638300"/>
                    </a:xfrm>
                    <a:prstGeom prst="rect">
                      <a:avLst/>
                    </a:prstGeom>
                  </pic:spPr>
                </pic:pic>
              </a:graphicData>
            </a:graphic>
          </wp:anchor>
        </w:drawing>
      </w:r>
    </w:p>
    <w:p>
      <w:pPr>
        <w:spacing w:before="62" w:line="230" w:lineRule="auto"/>
        <w:ind w:left="3658"/>
        <w:rPr>
          <w:rFonts w:ascii="宋体" w:hAnsi="宋体" w:eastAsia="宋体" w:cs="宋体"/>
          <w:sz w:val="19"/>
          <w:szCs w:val="19"/>
        </w:rPr>
      </w:pPr>
      <w:r>
        <w:rPr>
          <w:rFonts w:ascii="宋体" w:hAnsi="宋体" w:eastAsia="宋体" w:cs="宋体"/>
          <w:spacing w:val="16"/>
          <w:sz w:val="19"/>
          <w:szCs w:val="19"/>
        </w:rPr>
        <w:t>1.房屋建筑与装饰工程</w:t>
      </w:r>
    </w:p>
    <w:p>
      <w:pPr>
        <w:spacing w:before="32" w:line="227" w:lineRule="auto"/>
        <w:ind w:left="3625"/>
        <w:rPr>
          <w:rFonts w:ascii="宋体" w:hAnsi="宋体" w:eastAsia="宋体" w:cs="宋体"/>
          <w:sz w:val="19"/>
          <w:szCs w:val="19"/>
        </w:rPr>
      </w:pPr>
      <w:r>
        <w:rPr>
          <w:rFonts w:ascii="宋体" w:hAnsi="宋体" w:eastAsia="宋体" w:cs="宋体"/>
          <w:spacing w:val="20"/>
          <w:sz w:val="19"/>
          <w:szCs w:val="19"/>
        </w:rPr>
        <w:t>①土石方工程</w:t>
      </w:r>
    </w:p>
    <w:p>
      <w:pPr>
        <w:spacing w:before="37" w:line="227" w:lineRule="auto"/>
        <w:ind w:left="3624"/>
        <w:rPr>
          <w:rFonts w:ascii="宋体" w:hAnsi="宋体" w:eastAsia="宋体" w:cs="宋体"/>
          <w:sz w:val="19"/>
          <w:szCs w:val="19"/>
        </w:rPr>
      </w:pPr>
      <w:r>
        <w:rPr>
          <w:rFonts w:ascii="宋体" w:hAnsi="宋体" w:eastAsia="宋体" w:cs="宋体"/>
          <w:spacing w:val="25"/>
          <w:sz w:val="19"/>
          <w:szCs w:val="19"/>
        </w:rPr>
        <w:t>②地基处理与边坡支护工程</w:t>
      </w:r>
    </w:p>
    <w:p>
      <w:pPr>
        <w:spacing w:before="38" w:line="253" w:lineRule="auto"/>
        <w:ind w:left="3638" w:right="4739" w:hanging="14"/>
        <w:rPr>
          <w:rFonts w:ascii="宋体" w:hAnsi="宋体" w:eastAsia="宋体" w:cs="宋体"/>
          <w:sz w:val="19"/>
          <w:szCs w:val="19"/>
        </w:rPr>
      </w:pPr>
      <w:r>
        <w:pict>
          <v:shape id="_x0000_s1039" o:spid="_x0000_s1039" o:spt="202" type="#_x0000_t202" style="position:absolute;left:0pt;margin-left:64.15pt;margin-top:8.05pt;height:13.75pt;width:97.1pt;z-index:253380608;mso-width-relative:page;mso-height-relative:page;" filled="f" stroked="f" coordsize="21600,21600">
            <v:path/>
            <v:fill on="f" focussize="0,0"/>
            <v:stroke on="f"/>
            <v:imagedata o:title=""/>
            <o:lock v:ext="edit" aspectratio="f"/>
            <v:textbox inset="0mm,0mm,0mm,0mm">
              <w:txbxContent>
                <w:p>
                  <w:pPr>
                    <w:spacing w:before="20" w:line="228" w:lineRule="auto"/>
                    <w:ind w:left="20"/>
                    <w:rPr>
                      <w:rFonts w:ascii="宋体" w:hAnsi="宋体" w:eastAsia="宋体" w:cs="宋体"/>
                      <w:sz w:val="19"/>
                      <w:szCs w:val="19"/>
                    </w:rPr>
                  </w:pPr>
                  <w:r>
                    <w:rPr>
                      <w:rFonts w:ascii="宋体" w:hAnsi="宋体" w:eastAsia="宋体" w:cs="宋体"/>
                      <w:spacing w:val="22"/>
                      <w:sz w:val="19"/>
                      <w:szCs w:val="19"/>
                    </w:rPr>
                    <w:t>分部分项工程费</w:t>
                  </w:r>
                  <w:r>
                    <w:rPr>
                      <w:rFonts w:ascii="宋体" w:hAnsi="宋体" w:eastAsia="宋体" w:cs="宋体"/>
                      <w:spacing w:val="-79"/>
                      <w:sz w:val="19"/>
                      <w:szCs w:val="19"/>
                    </w:rPr>
                    <w:t xml:space="preserve"> </w:t>
                  </w:r>
                  <w:r>
                    <w:rPr>
                      <w:rFonts w:ascii="宋体" w:hAnsi="宋体" w:eastAsia="宋体" w:cs="宋体"/>
                      <w:strike/>
                      <w:sz w:val="19"/>
                      <w:szCs w:val="19"/>
                    </w:rPr>
                    <w:t xml:space="preserve">     </w:t>
                  </w:r>
                </w:p>
              </w:txbxContent>
            </v:textbox>
          </v:shape>
        </w:pict>
      </w:r>
      <w:r>
        <w:rPr>
          <w:rFonts w:ascii="宋体" w:hAnsi="宋体" w:eastAsia="宋体" w:cs="宋体"/>
          <w:spacing w:val="20"/>
          <w:sz w:val="19"/>
          <w:szCs w:val="19"/>
        </w:rPr>
        <w:t>③桩基工程</w:t>
      </w:r>
      <w:r>
        <w:rPr>
          <w:rFonts w:ascii="宋体" w:hAnsi="宋体" w:eastAsia="宋体" w:cs="宋体"/>
          <w:spacing w:val="1"/>
          <w:sz w:val="19"/>
          <w:szCs w:val="19"/>
        </w:rPr>
        <w:t>……</w:t>
      </w:r>
    </w:p>
    <w:p>
      <w:pPr>
        <w:spacing w:before="1" w:line="228" w:lineRule="auto"/>
        <w:ind w:left="3631"/>
        <w:rPr>
          <w:rFonts w:ascii="宋体" w:hAnsi="宋体" w:eastAsia="宋体" w:cs="宋体"/>
          <w:sz w:val="19"/>
          <w:szCs w:val="19"/>
        </w:rPr>
      </w:pPr>
      <w:r>
        <w:rPr>
          <w:rFonts w:ascii="宋体" w:hAnsi="宋体" w:eastAsia="宋体" w:cs="宋体"/>
          <w:spacing w:val="18"/>
          <w:sz w:val="19"/>
          <w:szCs w:val="19"/>
        </w:rPr>
        <w:t>2.通用安装工程</w:t>
      </w:r>
    </w:p>
    <w:p>
      <w:pPr>
        <w:spacing w:before="36" w:line="229" w:lineRule="auto"/>
        <w:ind w:left="3635"/>
        <w:rPr>
          <w:rFonts w:ascii="宋体" w:hAnsi="宋体" w:eastAsia="宋体" w:cs="宋体"/>
          <w:sz w:val="19"/>
          <w:szCs w:val="19"/>
        </w:rPr>
      </w:pPr>
      <w:r>
        <w:rPr>
          <w:rFonts w:ascii="宋体" w:hAnsi="宋体" w:eastAsia="宋体" w:cs="宋体"/>
          <w:spacing w:val="14"/>
          <w:sz w:val="19"/>
          <w:szCs w:val="19"/>
        </w:rPr>
        <w:t>3.市政工程</w:t>
      </w:r>
    </w:p>
    <w:p>
      <w:pPr>
        <w:spacing w:before="36" w:line="281" w:lineRule="auto"/>
        <w:ind w:left="3643" w:right="4324" w:hanging="13"/>
        <w:rPr>
          <w:rFonts w:ascii="宋体" w:hAnsi="宋体" w:eastAsia="宋体" w:cs="宋体"/>
          <w:sz w:val="19"/>
          <w:szCs w:val="19"/>
        </w:rPr>
      </w:pPr>
      <w:r>
        <w:rPr>
          <w:rFonts w:ascii="宋体" w:hAnsi="宋体" w:eastAsia="宋体" w:cs="宋体"/>
          <w:spacing w:val="16"/>
          <w:sz w:val="19"/>
          <w:szCs w:val="19"/>
        </w:rPr>
        <w:t>4.园林绿化工程</w:t>
      </w:r>
      <w:r>
        <w:rPr>
          <w:rFonts w:ascii="宋体" w:hAnsi="宋体" w:eastAsia="宋体" w:cs="宋体"/>
          <w:sz w:val="19"/>
          <w:szCs w:val="19"/>
        </w:rPr>
        <w:t>……</w:t>
      </w:r>
    </w:p>
    <w:p>
      <w:pPr>
        <w:spacing w:line="307" w:lineRule="auto"/>
        <w:rPr>
          <w:rFonts w:ascii="Arial"/>
          <w:sz w:val="21"/>
        </w:rPr>
      </w:pPr>
      <w:r>
        <w:drawing>
          <wp:anchor distT="0" distB="0" distL="0" distR="0" simplePos="0" relativeHeight="253376512" behindDoc="1" locked="0" layoutInCell="1" allowOverlap="1">
            <wp:simplePos x="0" y="0"/>
            <wp:positionH relativeFrom="column">
              <wp:posOffset>1709420</wp:posOffset>
            </wp:positionH>
            <wp:positionV relativeFrom="paragraph">
              <wp:posOffset>124460</wp:posOffset>
            </wp:positionV>
            <wp:extent cx="754380" cy="27368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364"/>
                    <a:stretch>
                      <a:fillRect/>
                    </a:stretch>
                  </pic:blipFill>
                  <pic:spPr>
                    <a:xfrm>
                      <a:off x="0" y="0"/>
                      <a:ext cx="754379" cy="2737104"/>
                    </a:xfrm>
                    <a:prstGeom prst="rect">
                      <a:avLst/>
                    </a:prstGeom>
                  </pic:spPr>
                </pic:pic>
              </a:graphicData>
            </a:graphic>
          </wp:anchor>
        </w:drawing>
      </w:r>
    </w:p>
    <w:p>
      <w:pPr>
        <w:spacing w:line="308" w:lineRule="auto"/>
        <w:rPr>
          <w:rFonts w:ascii="Arial"/>
          <w:sz w:val="21"/>
        </w:rPr>
      </w:pPr>
    </w:p>
    <w:p>
      <w:pPr>
        <w:spacing w:before="62" w:line="228" w:lineRule="auto"/>
        <w:ind w:left="4097"/>
        <w:rPr>
          <w:rFonts w:ascii="宋体" w:hAnsi="宋体" w:eastAsia="宋体" w:cs="宋体"/>
          <w:sz w:val="19"/>
          <w:szCs w:val="19"/>
        </w:rPr>
      </w:pPr>
      <w:r>
        <w:drawing>
          <wp:anchor distT="0" distB="0" distL="0" distR="0" simplePos="0" relativeHeight="253377536" behindDoc="1" locked="0" layoutInCell="1" allowOverlap="1">
            <wp:simplePos x="0" y="0"/>
            <wp:positionH relativeFrom="column">
              <wp:posOffset>3836670</wp:posOffset>
            </wp:positionH>
            <wp:positionV relativeFrom="paragraph">
              <wp:posOffset>-2055495</wp:posOffset>
            </wp:positionV>
            <wp:extent cx="1130935" cy="466344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365"/>
                    <a:stretch>
                      <a:fillRect/>
                    </a:stretch>
                  </pic:blipFill>
                  <pic:spPr>
                    <a:xfrm>
                      <a:off x="0" y="0"/>
                      <a:ext cx="1130808" cy="4663440"/>
                    </a:xfrm>
                    <a:prstGeom prst="rect">
                      <a:avLst/>
                    </a:prstGeom>
                  </pic:spPr>
                </pic:pic>
              </a:graphicData>
            </a:graphic>
          </wp:anchor>
        </w:drawing>
      </w:r>
      <w:r>
        <w:pict>
          <v:shape id="_x0000_s1040" o:spid="_x0000_s1040" o:spt="202" type="#_x0000_t202" style="position:absolute;left:0pt;margin-left:386.65pt;margin-top:-25.2pt;height:149.45pt;width:85.3pt;z-index:253378560;mso-width-relative:page;mso-height-relative:page;" filled="f" stroked="f" coordsize="21600,21600">
            <v:path/>
            <v:fill on="f" focussize="0,0"/>
            <v:stroke on="f"/>
            <v:imagedata o:title=""/>
            <o:lock v:ext="edit" aspectratio="f"/>
            <v:textbox inset="0mm,0mm,0mm,0mm">
              <w:txbxContent>
                <w:p>
                  <w:pPr>
                    <w:spacing w:before="20" w:line="228" w:lineRule="auto"/>
                    <w:ind w:left="52"/>
                    <w:rPr>
                      <w:rFonts w:ascii="宋体" w:hAnsi="宋体" w:eastAsia="宋体" w:cs="宋体"/>
                      <w:sz w:val="19"/>
                      <w:szCs w:val="19"/>
                    </w:rPr>
                  </w:pPr>
                  <w:r>
                    <w:rPr>
                      <w:rFonts w:ascii="宋体" w:hAnsi="宋体" w:eastAsia="宋体" w:cs="宋体"/>
                      <w:spacing w:val="5"/>
                      <w:sz w:val="19"/>
                      <w:szCs w:val="19"/>
                    </w:rPr>
                    <w:t>1.人工费</w:t>
                  </w:r>
                </w:p>
                <w:p>
                  <w:pPr>
                    <w:spacing w:line="378" w:lineRule="auto"/>
                    <w:rPr>
                      <w:rFonts w:ascii="Arial"/>
                      <w:sz w:val="21"/>
                    </w:rPr>
                  </w:pPr>
                </w:p>
                <w:p>
                  <w:pPr>
                    <w:spacing w:before="61" w:line="228" w:lineRule="auto"/>
                    <w:ind w:left="25"/>
                    <w:rPr>
                      <w:rFonts w:ascii="宋体" w:hAnsi="宋体" w:eastAsia="宋体" w:cs="宋体"/>
                      <w:sz w:val="19"/>
                      <w:szCs w:val="19"/>
                    </w:rPr>
                  </w:pPr>
                  <w:r>
                    <w:rPr>
                      <w:rFonts w:ascii="宋体" w:hAnsi="宋体" w:eastAsia="宋体" w:cs="宋体"/>
                      <w:spacing w:val="12"/>
                      <w:sz w:val="19"/>
                      <w:szCs w:val="19"/>
                    </w:rPr>
                    <w:t>2.材料费</w:t>
                  </w:r>
                </w:p>
                <w:p>
                  <w:pPr>
                    <w:spacing w:line="380" w:lineRule="auto"/>
                    <w:rPr>
                      <w:rFonts w:ascii="Arial"/>
                      <w:sz w:val="21"/>
                    </w:rPr>
                  </w:pPr>
                </w:p>
                <w:p>
                  <w:pPr>
                    <w:spacing w:before="61" w:line="227" w:lineRule="auto"/>
                    <w:ind w:left="27"/>
                    <w:rPr>
                      <w:rFonts w:ascii="宋体" w:hAnsi="宋体" w:eastAsia="宋体" w:cs="宋体"/>
                      <w:sz w:val="19"/>
                      <w:szCs w:val="19"/>
                    </w:rPr>
                  </w:pPr>
                  <w:r>
                    <w:rPr>
                      <w:rFonts w:ascii="宋体" w:hAnsi="宋体" w:eastAsia="宋体" w:cs="宋体"/>
                      <w:spacing w:val="15"/>
                      <w:sz w:val="19"/>
                      <w:szCs w:val="19"/>
                    </w:rPr>
                    <w:t>3.施工机具使用费</w:t>
                  </w:r>
                </w:p>
                <w:p>
                  <w:pPr>
                    <w:spacing w:line="379" w:lineRule="auto"/>
                    <w:rPr>
                      <w:rFonts w:ascii="Arial"/>
                      <w:sz w:val="21"/>
                    </w:rPr>
                  </w:pPr>
                </w:p>
                <w:p>
                  <w:pPr>
                    <w:spacing w:before="62" w:line="228" w:lineRule="auto"/>
                    <w:ind w:left="20"/>
                    <w:rPr>
                      <w:rFonts w:ascii="宋体" w:hAnsi="宋体" w:eastAsia="宋体" w:cs="宋体"/>
                      <w:sz w:val="19"/>
                      <w:szCs w:val="19"/>
                    </w:rPr>
                  </w:pPr>
                  <w:r>
                    <w:rPr>
                      <w:rFonts w:ascii="宋体" w:hAnsi="宋体" w:eastAsia="宋体" w:cs="宋体"/>
                      <w:spacing w:val="17"/>
                      <w:sz w:val="19"/>
                      <w:szCs w:val="19"/>
                    </w:rPr>
                    <w:t>4.企业管理费</w:t>
                  </w:r>
                </w:p>
                <w:p>
                  <w:pPr>
                    <w:spacing w:line="379" w:lineRule="auto"/>
                    <w:rPr>
                      <w:rFonts w:ascii="Arial"/>
                      <w:sz w:val="21"/>
                    </w:rPr>
                  </w:pPr>
                </w:p>
                <w:p>
                  <w:pPr>
                    <w:spacing w:before="62" w:line="230" w:lineRule="auto"/>
                    <w:ind w:left="29"/>
                    <w:rPr>
                      <w:rFonts w:ascii="宋体" w:hAnsi="宋体" w:eastAsia="宋体" w:cs="宋体"/>
                      <w:sz w:val="19"/>
                      <w:szCs w:val="19"/>
                    </w:rPr>
                  </w:pPr>
                  <w:r>
                    <w:rPr>
                      <w:rFonts w:ascii="宋体" w:hAnsi="宋体" w:eastAsia="宋体" w:cs="宋体"/>
                      <w:spacing w:val="7"/>
                      <w:sz w:val="19"/>
                      <w:szCs w:val="19"/>
                    </w:rPr>
                    <w:t>5.利润</w:t>
                  </w:r>
                </w:p>
              </w:txbxContent>
            </v:textbox>
          </v:shape>
        </w:pict>
      </w:r>
      <w:r>
        <w:rPr>
          <w:rFonts w:ascii="宋体" w:hAnsi="宋体" w:eastAsia="宋体" w:cs="宋体"/>
          <w:spacing w:val="12"/>
          <w:sz w:val="19"/>
          <w:szCs w:val="19"/>
        </w:rPr>
        <w:t>一、通用措施项</w:t>
      </w:r>
      <w:r>
        <w:rPr>
          <w:rFonts w:ascii="宋体" w:hAnsi="宋体" w:eastAsia="宋体" w:cs="宋体"/>
          <w:spacing w:val="-27"/>
          <w:sz w:val="19"/>
          <w:szCs w:val="19"/>
        </w:rPr>
        <w:t xml:space="preserve"> </w:t>
      </w:r>
      <w:r>
        <w:rPr>
          <w:rFonts w:ascii="宋体" w:hAnsi="宋体" w:eastAsia="宋体" w:cs="宋体"/>
          <w:spacing w:val="12"/>
          <w:sz w:val="19"/>
          <w:szCs w:val="19"/>
        </w:rPr>
        <w:t>目费：</w:t>
      </w:r>
    </w:p>
    <w:p>
      <w:pPr>
        <w:spacing w:before="37" w:line="228" w:lineRule="auto"/>
        <w:ind w:left="4121"/>
        <w:rPr>
          <w:rFonts w:ascii="宋体" w:hAnsi="宋体" w:eastAsia="宋体" w:cs="宋体"/>
          <w:sz w:val="19"/>
          <w:szCs w:val="19"/>
        </w:rPr>
      </w:pPr>
      <w:r>
        <w:rPr>
          <w:rFonts w:ascii="宋体" w:hAnsi="宋体" w:eastAsia="宋体" w:cs="宋体"/>
          <w:spacing w:val="15"/>
          <w:sz w:val="19"/>
          <w:szCs w:val="19"/>
        </w:rPr>
        <w:t>1.夜间施工增加费</w:t>
      </w:r>
    </w:p>
    <w:p>
      <w:pPr>
        <w:spacing w:before="36" w:line="228" w:lineRule="auto"/>
        <w:ind w:left="4094"/>
        <w:rPr>
          <w:rFonts w:ascii="宋体" w:hAnsi="宋体" w:eastAsia="宋体" w:cs="宋体"/>
          <w:sz w:val="19"/>
          <w:szCs w:val="19"/>
        </w:rPr>
      </w:pPr>
      <w:r>
        <w:pict>
          <v:shape id="_x0000_s1041" o:spid="_x0000_s1041" o:spt="202" type="#_x0000_t202" style="position:absolute;left:0pt;margin-left:2.6pt;margin-top:9.45pt;height:104pt;width:15.5pt;z-index:253379584;mso-width-relative:page;mso-height-relative:page;" filled="f" stroked="f" coordsize="21600,21600">
            <v:path/>
            <v:fill on="f" focussize="0,0"/>
            <v:stroke on="f"/>
            <v:imagedata o:title=""/>
            <o:lock v:ext="edit" aspectratio="f"/>
            <v:textbox inset="0mm,0mm,0mm,0mm" style="layout-flow:vertical-ideographic;">
              <w:txbxContent>
                <w:p>
                  <w:pPr>
                    <w:spacing w:before="19" w:line="202" w:lineRule="auto"/>
                    <w:ind w:left="20"/>
                    <w:rPr>
                      <w:rFonts w:ascii="宋体" w:hAnsi="宋体" w:eastAsia="宋体" w:cs="宋体"/>
                      <w:sz w:val="24"/>
                      <w:szCs w:val="24"/>
                    </w:rPr>
                  </w:pPr>
                  <w:r>
                    <w:rPr>
                      <w:rFonts w:ascii="宋体" w:hAnsi="宋体" w:eastAsia="宋体" w:cs="宋体"/>
                      <w:sz w:val="24"/>
                      <w:szCs w:val="24"/>
                    </w:rPr>
                    <w:t>建 设 工 程 费 用</w:t>
                  </w:r>
                </w:p>
              </w:txbxContent>
            </v:textbox>
          </v:shape>
        </w:pict>
      </w:r>
      <w:r>
        <w:rPr>
          <w:rFonts w:ascii="宋体" w:hAnsi="宋体" w:eastAsia="宋体" w:cs="宋体"/>
          <w:spacing w:val="17"/>
          <w:sz w:val="19"/>
          <w:szCs w:val="19"/>
        </w:rPr>
        <w:t>2.二次搬运费</w:t>
      </w:r>
    </w:p>
    <w:p>
      <w:pPr>
        <w:spacing w:before="37" w:line="228" w:lineRule="auto"/>
        <w:ind w:left="4098"/>
        <w:rPr>
          <w:rFonts w:ascii="宋体" w:hAnsi="宋体" w:eastAsia="宋体" w:cs="宋体"/>
          <w:sz w:val="19"/>
          <w:szCs w:val="19"/>
        </w:rPr>
      </w:pPr>
      <w:r>
        <w:rPr>
          <w:rFonts w:ascii="宋体" w:hAnsi="宋体" w:eastAsia="宋体" w:cs="宋体"/>
          <w:spacing w:val="18"/>
          <w:sz w:val="19"/>
          <w:szCs w:val="19"/>
        </w:rPr>
        <w:t>3.冬雨季施工增加费</w:t>
      </w:r>
    </w:p>
    <w:p>
      <w:pPr>
        <w:spacing w:before="39" w:line="228" w:lineRule="auto"/>
        <w:ind w:left="4088"/>
        <w:rPr>
          <w:rFonts w:ascii="宋体" w:hAnsi="宋体" w:eastAsia="宋体" w:cs="宋体"/>
          <w:sz w:val="19"/>
          <w:szCs w:val="19"/>
        </w:rPr>
      </w:pPr>
      <w:r>
        <w:pict>
          <v:shape id="_x0000_s1042" o:spid="_x0000_s1042" o:spt="202" type="#_x0000_t202" style="position:absolute;left:0pt;margin-left:74.6pt;margin-top:4.15pt;height:13.75pt;width:54.8pt;z-index:253381632;mso-width-relative:page;mso-height-relative:page;" filled="f" stroked="f" coordsize="21600,21600">
            <v:path/>
            <v:fill on="f" focussize="0,0"/>
            <v:stroke on="f"/>
            <v:imagedata o:title=""/>
            <o:lock v:ext="edit" aspectratio="f"/>
            <v:textbox inset="0mm,0mm,0mm,0mm">
              <w:txbxContent>
                <w:p>
                  <w:pPr>
                    <w:spacing w:before="20" w:line="228" w:lineRule="auto"/>
                    <w:ind w:left="20"/>
                    <w:rPr>
                      <w:rFonts w:ascii="宋体" w:hAnsi="宋体" w:eastAsia="宋体" w:cs="宋体"/>
                      <w:sz w:val="19"/>
                      <w:szCs w:val="19"/>
                    </w:rPr>
                  </w:pPr>
                  <w:r>
                    <w:rPr>
                      <w:rFonts w:ascii="宋体" w:hAnsi="宋体" w:eastAsia="宋体" w:cs="宋体"/>
                      <w:spacing w:val="10"/>
                      <w:sz w:val="19"/>
                      <w:szCs w:val="19"/>
                    </w:rPr>
                    <w:t>措施项</w:t>
                  </w:r>
                  <w:r>
                    <w:rPr>
                      <w:rFonts w:ascii="宋体" w:hAnsi="宋体" w:eastAsia="宋体" w:cs="宋体"/>
                      <w:spacing w:val="-32"/>
                      <w:sz w:val="19"/>
                      <w:szCs w:val="19"/>
                    </w:rPr>
                    <w:t xml:space="preserve"> </w:t>
                  </w:r>
                  <w:r>
                    <w:rPr>
                      <w:rFonts w:ascii="宋体" w:hAnsi="宋体" w:eastAsia="宋体" w:cs="宋体"/>
                      <w:spacing w:val="10"/>
                      <w:sz w:val="19"/>
                      <w:szCs w:val="19"/>
                    </w:rPr>
                    <w:t>目费</w:t>
                  </w:r>
                </w:p>
              </w:txbxContent>
            </v:textbox>
          </v:shape>
        </w:pict>
      </w:r>
      <w:r>
        <w:rPr>
          <w:rFonts w:ascii="宋体" w:hAnsi="宋体" w:eastAsia="宋体" w:cs="宋体"/>
          <w:spacing w:val="18"/>
          <w:sz w:val="19"/>
          <w:szCs w:val="19"/>
        </w:rPr>
        <w:t>4.</w:t>
      </w:r>
      <w:r>
        <w:rPr>
          <w:rFonts w:ascii="宋体" w:hAnsi="宋体" w:eastAsia="宋体" w:cs="宋体"/>
          <w:spacing w:val="-50"/>
          <w:sz w:val="19"/>
          <w:szCs w:val="19"/>
        </w:rPr>
        <w:t xml:space="preserve"> </w:t>
      </w:r>
      <w:r>
        <w:rPr>
          <w:rFonts w:ascii="宋体" w:hAnsi="宋体" w:eastAsia="宋体" w:cs="宋体"/>
          <w:spacing w:val="18"/>
          <w:sz w:val="19"/>
          <w:szCs w:val="19"/>
        </w:rPr>
        <w:t>已完工程及设备保护费</w:t>
      </w:r>
    </w:p>
    <w:p>
      <w:pPr>
        <w:spacing w:before="37" w:line="227" w:lineRule="auto"/>
        <w:ind w:left="4097"/>
        <w:rPr>
          <w:rFonts w:ascii="宋体" w:hAnsi="宋体" w:eastAsia="宋体" w:cs="宋体"/>
          <w:sz w:val="19"/>
          <w:szCs w:val="19"/>
        </w:rPr>
      </w:pPr>
      <w:r>
        <w:rPr>
          <w:rFonts w:ascii="宋体" w:hAnsi="宋体" w:eastAsia="宋体" w:cs="宋体"/>
          <w:spacing w:val="12"/>
          <w:sz w:val="19"/>
          <w:szCs w:val="19"/>
        </w:rPr>
        <w:t>二、专业措施项</w:t>
      </w:r>
      <w:r>
        <w:rPr>
          <w:rFonts w:ascii="宋体" w:hAnsi="宋体" w:eastAsia="宋体" w:cs="宋体"/>
          <w:spacing w:val="-27"/>
          <w:sz w:val="19"/>
          <w:szCs w:val="19"/>
        </w:rPr>
        <w:t xml:space="preserve"> </w:t>
      </w:r>
      <w:r>
        <w:rPr>
          <w:rFonts w:ascii="宋体" w:hAnsi="宋体" w:eastAsia="宋体" w:cs="宋体"/>
          <w:spacing w:val="12"/>
          <w:sz w:val="19"/>
          <w:szCs w:val="19"/>
        </w:rPr>
        <w:t>目费：</w:t>
      </w:r>
    </w:p>
    <w:p>
      <w:pPr>
        <w:spacing w:before="37" w:line="228" w:lineRule="auto"/>
        <w:ind w:left="4121"/>
        <w:rPr>
          <w:rFonts w:ascii="宋体" w:hAnsi="宋体" w:eastAsia="宋体" w:cs="宋体"/>
          <w:sz w:val="19"/>
          <w:szCs w:val="19"/>
        </w:rPr>
      </w:pPr>
      <w:r>
        <w:rPr>
          <w:rFonts w:ascii="宋体" w:hAnsi="宋体" w:eastAsia="宋体" w:cs="宋体"/>
          <w:spacing w:val="9"/>
          <w:sz w:val="19"/>
          <w:szCs w:val="19"/>
        </w:rPr>
        <w:t>1.脚手架费</w:t>
      </w:r>
    </w:p>
    <w:p>
      <w:pPr>
        <w:spacing w:before="36" w:line="252" w:lineRule="auto"/>
        <w:ind w:left="4118" w:right="4082" w:hanging="10"/>
        <w:rPr>
          <w:rFonts w:ascii="宋体" w:hAnsi="宋体" w:eastAsia="宋体" w:cs="宋体"/>
          <w:sz w:val="19"/>
          <w:szCs w:val="19"/>
        </w:rPr>
      </w:pPr>
      <w:r>
        <w:rPr>
          <w:rFonts w:ascii="宋体" w:hAnsi="宋体" w:eastAsia="宋体" w:cs="宋体"/>
          <w:spacing w:val="12"/>
          <w:sz w:val="19"/>
          <w:szCs w:val="19"/>
        </w:rPr>
        <w:t>2.垂直运输费</w:t>
      </w:r>
      <w:r>
        <w:rPr>
          <w:rFonts w:ascii="宋体" w:hAnsi="宋体" w:eastAsia="宋体" w:cs="宋体"/>
          <w:sz w:val="19"/>
          <w:szCs w:val="19"/>
        </w:rPr>
        <w:t>……</w:t>
      </w:r>
    </w:p>
    <w:p>
      <w:pPr>
        <w:spacing w:line="228" w:lineRule="auto"/>
        <w:ind w:left="4089"/>
        <w:rPr>
          <w:rFonts w:ascii="宋体" w:hAnsi="宋体" w:eastAsia="宋体" w:cs="宋体"/>
          <w:sz w:val="19"/>
          <w:szCs w:val="19"/>
        </w:rPr>
      </w:pPr>
      <w:r>
        <w:rPr>
          <w:rFonts w:ascii="宋体" w:hAnsi="宋体" w:eastAsia="宋体" w:cs="宋体"/>
          <w:spacing w:val="18"/>
          <w:sz w:val="19"/>
          <w:szCs w:val="19"/>
        </w:rPr>
        <w:t>三</w:t>
      </w:r>
      <w:r>
        <w:rPr>
          <w:rFonts w:ascii="宋体" w:hAnsi="宋体" w:eastAsia="宋体" w:cs="宋体"/>
          <w:spacing w:val="-49"/>
          <w:sz w:val="19"/>
          <w:szCs w:val="19"/>
        </w:rPr>
        <w:t xml:space="preserve"> </w:t>
      </w:r>
      <w:r>
        <w:rPr>
          <w:rFonts w:ascii="宋体" w:hAnsi="宋体" w:eastAsia="宋体" w:cs="宋体"/>
          <w:spacing w:val="18"/>
          <w:sz w:val="19"/>
          <w:szCs w:val="19"/>
        </w:rPr>
        <w:t>、安全文明措施费</w:t>
      </w:r>
    </w:p>
    <w:p>
      <w:pPr>
        <w:spacing w:before="34" w:line="228" w:lineRule="auto"/>
        <w:ind w:left="4121"/>
        <w:rPr>
          <w:rFonts w:ascii="宋体" w:hAnsi="宋体" w:eastAsia="宋体" w:cs="宋体"/>
          <w:sz w:val="19"/>
          <w:szCs w:val="19"/>
        </w:rPr>
      </w:pPr>
      <w:r>
        <w:rPr>
          <w:rFonts w:ascii="宋体" w:hAnsi="宋体" w:eastAsia="宋体" w:cs="宋体"/>
          <w:spacing w:val="12"/>
          <w:sz w:val="19"/>
          <w:szCs w:val="19"/>
        </w:rPr>
        <w:t>1.安全生产费</w:t>
      </w:r>
    </w:p>
    <w:p>
      <w:pPr>
        <w:spacing w:before="39" w:line="228" w:lineRule="auto"/>
        <w:ind w:left="4094"/>
        <w:rPr>
          <w:rFonts w:ascii="宋体" w:hAnsi="宋体" w:eastAsia="宋体" w:cs="宋体"/>
          <w:sz w:val="19"/>
          <w:szCs w:val="19"/>
        </w:rPr>
      </w:pPr>
      <w:r>
        <w:rPr>
          <w:rFonts w:ascii="宋体" w:hAnsi="宋体" w:eastAsia="宋体" w:cs="宋体"/>
          <w:spacing w:val="17"/>
          <w:sz w:val="19"/>
          <w:szCs w:val="19"/>
        </w:rPr>
        <w:t>2.环境保护费</w:t>
      </w:r>
    </w:p>
    <w:p>
      <w:pPr>
        <w:spacing w:before="39" w:line="228" w:lineRule="auto"/>
        <w:ind w:left="4098"/>
        <w:rPr>
          <w:rFonts w:ascii="宋体" w:hAnsi="宋体" w:eastAsia="宋体" w:cs="宋体"/>
          <w:sz w:val="19"/>
          <w:szCs w:val="19"/>
        </w:rPr>
      </w:pPr>
      <w:r>
        <w:rPr>
          <w:rFonts w:ascii="宋体" w:hAnsi="宋体" w:eastAsia="宋体" w:cs="宋体"/>
          <w:spacing w:val="15"/>
          <w:sz w:val="19"/>
          <w:szCs w:val="19"/>
        </w:rPr>
        <w:t>3.文明施工费</w:t>
      </w:r>
    </w:p>
    <w:p>
      <w:pPr>
        <w:spacing w:before="37" w:line="228" w:lineRule="auto"/>
        <w:ind w:left="4088"/>
        <w:rPr>
          <w:rFonts w:ascii="宋体" w:hAnsi="宋体" w:eastAsia="宋体" w:cs="宋体"/>
          <w:sz w:val="19"/>
          <w:szCs w:val="19"/>
        </w:rPr>
      </w:pPr>
      <w:r>
        <w:rPr>
          <w:rFonts w:ascii="宋体" w:hAnsi="宋体" w:eastAsia="宋体" w:cs="宋体"/>
          <w:spacing w:val="17"/>
          <w:sz w:val="19"/>
          <w:szCs w:val="19"/>
        </w:rPr>
        <w:t>4.临时设施费</w:t>
      </w:r>
    </w:p>
    <w:p>
      <w:pPr>
        <w:spacing w:before="196"/>
      </w:pPr>
    </w:p>
    <w:p>
      <w:pPr>
        <w:sectPr>
          <w:headerReference r:id="rId60" w:type="default"/>
          <w:footerReference r:id="rId61" w:type="default"/>
          <w:pgSz w:w="11905" w:h="16840"/>
          <w:pgMar w:top="400" w:right="1066" w:bottom="1213" w:left="1418" w:header="0" w:footer="898" w:gutter="0"/>
          <w:cols w:equalWidth="0" w:num="1">
            <w:col w:w="9420"/>
          </w:cols>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62" w:line="227" w:lineRule="auto"/>
        <w:ind w:left="1589"/>
        <w:rPr>
          <w:rFonts w:ascii="宋体" w:hAnsi="宋体" w:eastAsia="宋体" w:cs="宋体"/>
          <w:sz w:val="19"/>
          <w:szCs w:val="19"/>
        </w:rPr>
      </w:pPr>
      <w:r>
        <w:rPr>
          <w:rFonts w:ascii="宋体" w:hAnsi="宋体" w:eastAsia="宋体" w:cs="宋体"/>
          <w:spacing w:val="9"/>
          <w:sz w:val="19"/>
          <w:szCs w:val="19"/>
        </w:rPr>
        <w:t>其他项</w:t>
      </w:r>
      <w:r>
        <w:rPr>
          <w:rFonts w:ascii="宋体" w:hAnsi="宋体" w:eastAsia="宋体" w:cs="宋体"/>
          <w:spacing w:val="-35"/>
          <w:sz w:val="19"/>
          <w:szCs w:val="19"/>
        </w:rPr>
        <w:t xml:space="preserve"> </w:t>
      </w:r>
      <w:r>
        <w:rPr>
          <w:rFonts w:ascii="宋体" w:hAnsi="宋体" w:eastAsia="宋体" w:cs="宋体"/>
          <w:spacing w:val="9"/>
          <w:sz w:val="19"/>
          <w:szCs w:val="19"/>
        </w:rPr>
        <w:t>目费</w:t>
      </w:r>
    </w:p>
    <w:p>
      <w:pPr>
        <w:spacing w:before="37"/>
      </w:pPr>
    </w:p>
    <w:p>
      <w:pPr>
        <w:spacing w:before="37"/>
      </w:pPr>
    </w:p>
    <w:p>
      <w:pPr>
        <w:spacing w:before="37"/>
      </w:pPr>
    </w:p>
    <w:p>
      <w:pPr>
        <w:spacing w:before="37"/>
      </w:pPr>
    </w:p>
    <w:p>
      <w:pPr>
        <w:spacing w:before="37"/>
      </w:pPr>
    </w:p>
    <w:p>
      <w:pPr>
        <w:spacing w:before="37"/>
      </w:pPr>
    </w:p>
    <w:p>
      <w:pPr>
        <w:spacing w:line="14" w:lineRule="auto"/>
        <w:rPr>
          <w:rFonts w:ascii="Arial"/>
          <w:sz w:val="2"/>
        </w:rPr>
      </w:pPr>
      <w:r>
        <w:rPr>
          <w:rFonts w:ascii="Arial" w:hAnsi="Arial" w:eastAsia="Arial" w:cs="Arial"/>
          <w:sz w:val="2"/>
          <w:szCs w:val="2"/>
        </w:rPr>
        <w:br w:type="column"/>
      </w:r>
    </w:p>
    <w:p>
      <w:pPr>
        <w:spacing w:before="38" w:line="2633" w:lineRule="exact"/>
      </w:pPr>
      <w:r>
        <w:rPr>
          <w:position w:val="-52"/>
        </w:rPr>
        <w:drawing>
          <wp:inline distT="0" distB="0" distL="0" distR="0">
            <wp:extent cx="530225" cy="167132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366"/>
                    <a:stretch>
                      <a:fillRect/>
                    </a:stretch>
                  </pic:blipFill>
                  <pic:spPr>
                    <a:xfrm>
                      <a:off x="0" y="0"/>
                      <a:ext cx="530351" cy="1671828"/>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before="236" w:line="227" w:lineRule="auto"/>
        <w:ind w:left="29"/>
        <w:rPr>
          <w:rFonts w:ascii="宋体" w:hAnsi="宋体" w:eastAsia="宋体" w:cs="宋体"/>
          <w:sz w:val="19"/>
          <w:szCs w:val="19"/>
        </w:rPr>
      </w:pPr>
      <w:r>
        <w:rPr>
          <w:rFonts w:ascii="宋体" w:hAnsi="宋体" w:eastAsia="宋体" w:cs="宋体"/>
          <w:spacing w:val="8"/>
          <w:sz w:val="19"/>
          <w:szCs w:val="19"/>
        </w:rPr>
        <w:t>1.暂列金额</w:t>
      </w:r>
    </w:p>
    <w:p>
      <w:pPr>
        <w:spacing w:before="35" w:line="227" w:lineRule="auto"/>
        <w:ind w:left="5"/>
        <w:rPr>
          <w:rFonts w:ascii="宋体" w:hAnsi="宋体" w:eastAsia="宋体" w:cs="宋体"/>
          <w:sz w:val="19"/>
          <w:szCs w:val="19"/>
        </w:rPr>
      </w:pPr>
      <w:r>
        <w:rPr>
          <w:rFonts w:ascii="宋体" w:hAnsi="宋体" w:eastAsia="宋体" w:cs="宋体"/>
          <w:spacing w:val="18"/>
          <w:sz w:val="19"/>
          <w:szCs w:val="19"/>
        </w:rPr>
        <w:t>2.专业工程暂估价</w:t>
      </w:r>
    </w:p>
    <w:p>
      <w:pPr>
        <w:spacing w:before="40" w:line="230" w:lineRule="auto"/>
        <w:ind w:left="9"/>
        <w:rPr>
          <w:rFonts w:ascii="宋体" w:hAnsi="宋体" w:eastAsia="宋体" w:cs="宋体"/>
          <w:sz w:val="19"/>
          <w:szCs w:val="19"/>
        </w:rPr>
      </w:pPr>
      <w:r>
        <w:rPr>
          <w:rFonts w:ascii="宋体" w:hAnsi="宋体" w:eastAsia="宋体" w:cs="宋体"/>
          <w:spacing w:val="11"/>
          <w:sz w:val="19"/>
          <w:szCs w:val="19"/>
        </w:rPr>
        <w:t>3.计日工</w:t>
      </w:r>
    </w:p>
    <w:p>
      <w:pPr>
        <w:spacing w:before="35" w:line="228" w:lineRule="auto"/>
        <w:rPr>
          <w:rFonts w:ascii="宋体" w:hAnsi="宋体" w:eastAsia="宋体" w:cs="宋体"/>
          <w:sz w:val="19"/>
          <w:szCs w:val="19"/>
        </w:rPr>
      </w:pPr>
      <w:r>
        <w:rPr>
          <w:rFonts w:ascii="宋体" w:hAnsi="宋体" w:eastAsia="宋体" w:cs="宋体"/>
          <w:spacing w:val="18"/>
          <w:sz w:val="19"/>
          <w:szCs w:val="19"/>
        </w:rPr>
        <w:t>4.总承包服务费</w:t>
      </w:r>
    </w:p>
    <w:p>
      <w:pPr>
        <w:spacing w:before="36" w:line="229" w:lineRule="auto"/>
        <w:ind w:left="9"/>
        <w:rPr>
          <w:rFonts w:ascii="宋体" w:hAnsi="宋体" w:eastAsia="宋体" w:cs="宋体"/>
          <w:sz w:val="19"/>
          <w:szCs w:val="19"/>
        </w:rPr>
      </w:pPr>
      <w:r>
        <w:rPr>
          <w:rFonts w:ascii="宋体" w:hAnsi="宋体" w:eastAsia="宋体" w:cs="宋体"/>
          <w:spacing w:val="18"/>
          <w:sz w:val="19"/>
          <w:szCs w:val="19"/>
        </w:rPr>
        <w:t>5.建设项目工伤保险</w:t>
      </w:r>
    </w:p>
    <w:p>
      <w:pPr>
        <w:spacing w:before="33" w:line="227" w:lineRule="auto"/>
        <w:ind w:left="4"/>
        <w:rPr>
          <w:rFonts w:ascii="宋体" w:hAnsi="宋体" w:eastAsia="宋体" w:cs="宋体"/>
          <w:sz w:val="19"/>
          <w:szCs w:val="19"/>
        </w:rPr>
      </w:pPr>
      <w:r>
        <w:rPr>
          <w:rFonts w:ascii="宋体" w:hAnsi="宋体" w:eastAsia="宋体" w:cs="宋体"/>
          <w:spacing w:val="15"/>
          <w:sz w:val="19"/>
          <w:szCs w:val="19"/>
        </w:rPr>
        <w:t>6.优质优价费</w:t>
      </w:r>
    </w:p>
    <w:p>
      <w:pPr>
        <w:spacing w:before="42" w:line="227" w:lineRule="auto"/>
        <w:ind w:left="10"/>
        <w:rPr>
          <w:rFonts w:ascii="宋体" w:hAnsi="宋体" w:eastAsia="宋体" w:cs="宋体"/>
          <w:sz w:val="19"/>
          <w:szCs w:val="19"/>
        </w:rPr>
      </w:pPr>
      <w:r>
        <w:rPr>
          <w:rFonts w:ascii="宋体" w:hAnsi="宋体" w:eastAsia="宋体" w:cs="宋体"/>
          <w:spacing w:val="7"/>
          <w:sz w:val="19"/>
          <w:szCs w:val="19"/>
        </w:rPr>
        <w:t>7.其他</w:t>
      </w:r>
    </w:p>
    <w:p>
      <w:pPr>
        <w:spacing w:line="227" w:lineRule="auto"/>
        <w:rPr>
          <w:rFonts w:ascii="宋体" w:hAnsi="宋体" w:eastAsia="宋体" w:cs="宋体"/>
          <w:sz w:val="19"/>
          <w:szCs w:val="19"/>
        </w:rPr>
        <w:sectPr>
          <w:type w:val="continuous"/>
          <w:pgSz w:w="11905" w:h="16840"/>
          <w:pgMar w:top="400" w:right="1066" w:bottom="1213" w:left="1418" w:header="0" w:footer="898" w:gutter="0"/>
          <w:cols w:equalWidth="0" w:num="3">
            <w:col w:w="2778" w:space="100"/>
            <w:col w:w="836" w:space="93"/>
            <w:col w:w="5614"/>
          </w:cols>
        </w:sect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before="66" w:line="194" w:lineRule="auto"/>
        <w:ind w:left="2358"/>
        <w:rPr>
          <w:rFonts w:ascii="宋体" w:hAnsi="宋体" w:eastAsia="宋体" w:cs="宋体"/>
          <w:sz w:val="20"/>
          <w:szCs w:val="20"/>
        </w:rPr>
      </w:pPr>
      <w:r>
        <w:rPr>
          <w:rFonts w:ascii="宋体" w:hAnsi="宋体" w:eastAsia="宋体" w:cs="宋体"/>
          <w:spacing w:val="6"/>
          <w:sz w:val="20"/>
          <w:szCs w:val="20"/>
        </w:rPr>
        <w:t>增值税</w:t>
      </w:r>
    </w:p>
    <w:p>
      <w:pPr>
        <w:spacing w:line="194" w:lineRule="auto"/>
        <w:rPr>
          <w:rFonts w:ascii="宋体" w:hAnsi="宋体" w:eastAsia="宋体" w:cs="宋体"/>
          <w:sz w:val="20"/>
          <w:szCs w:val="20"/>
        </w:rPr>
        <w:sectPr>
          <w:type w:val="continuous"/>
          <w:pgSz w:w="11905" w:h="16840"/>
          <w:pgMar w:top="400" w:right="1066" w:bottom="1213" w:left="1418" w:header="0" w:footer="898" w:gutter="0"/>
          <w:cols w:equalWidth="0" w:num="1">
            <w:col w:w="9420"/>
          </w:cols>
        </w:sectPr>
      </w:pPr>
    </w:p>
    <w:p>
      <w:pPr>
        <w:spacing w:line="316" w:lineRule="auto"/>
        <w:rPr>
          <w:rFonts w:ascii="Arial"/>
          <w:sz w:val="21"/>
        </w:rPr>
      </w:pPr>
    </w:p>
    <w:p>
      <w:pPr>
        <w:spacing w:line="317" w:lineRule="auto"/>
        <w:rPr>
          <w:rFonts w:ascii="Arial"/>
          <w:sz w:val="21"/>
        </w:rPr>
      </w:pPr>
    </w:p>
    <w:p>
      <w:pPr>
        <w:spacing w:line="317" w:lineRule="auto"/>
        <w:rPr>
          <w:rFonts w:ascii="Arial"/>
          <w:sz w:val="21"/>
        </w:rPr>
      </w:pPr>
    </w:p>
    <w:p>
      <w:pPr>
        <w:pStyle w:val="2"/>
        <w:spacing w:before="102" w:line="200" w:lineRule="auto"/>
        <w:ind w:left="2951"/>
        <w:rPr>
          <w:rFonts w:ascii="黑体" w:hAnsi="黑体" w:eastAsia="黑体" w:cs="黑体"/>
          <w:sz w:val="24"/>
          <w:szCs w:val="24"/>
        </w:rPr>
      </w:pPr>
      <w:r>
        <w:rPr>
          <w:spacing w:val="13"/>
          <w:sz w:val="24"/>
          <w:szCs w:val="24"/>
        </w:rPr>
        <w:t>附表2</w:t>
      </w:r>
      <w:r>
        <w:rPr>
          <w:spacing w:val="14"/>
          <w:sz w:val="24"/>
          <w:szCs w:val="24"/>
        </w:rPr>
        <w:t xml:space="preserve">   </w:t>
      </w:r>
      <w:r>
        <w:rPr>
          <w:rFonts w:ascii="黑体" w:hAnsi="黑体" w:eastAsia="黑体" w:cs="黑体"/>
          <w:spacing w:val="13"/>
          <w:sz w:val="24"/>
          <w:szCs w:val="24"/>
        </w:rPr>
        <w:t>专业措施项目一览表</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5" w:line="187" w:lineRule="auto"/>
              <w:ind w:left="479"/>
              <w:rPr>
                <w:rFonts w:ascii="微软雅黑" w:hAnsi="微软雅黑" w:eastAsia="微软雅黑" w:cs="微软雅黑"/>
                <w:sz w:val="20"/>
                <w:szCs w:val="20"/>
              </w:rPr>
            </w:pPr>
            <w:r>
              <w:rPr>
                <w:rFonts w:ascii="微软雅黑" w:hAnsi="微软雅黑" w:eastAsia="微软雅黑" w:cs="微软雅黑"/>
                <w:spacing w:val="3"/>
                <w:sz w:val="20"/>
                <w:szCs w:val="20"/>
              </w:rPr>
              <w:t>序号</w:t>
            </w:r>
          </w:p>
        </w:tc>
        <w:tc>
          <w:tcPr>
            <w:tcW w:w="5182" w:type="dxa"/>
            <w:tcBorders>
              <w:top w:val="single" w:color="000000" w:sz="4" w:space="0"/>
            </w:tcBorders>
            <w:vAlign w:val="top"/>
          </w:tcPr>
          <w:p>
            <w:pPr>
              <w:spacing w:before="135" w:line="187" w:lineRule="auto"/>
              <w:ind w:left="2045"/>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2578" w:type="dxa"/>
            <w:tcBorders>
              <w:top w:val="single" w:color="000000" w:sz="4" w:space="0"/>
              <w:right w:val="single" w:color="000000" w:sz="4" w:space="0"/>
            </w:tcBorders>
            <w:vAlign w:val="top"/>
          </w:tcPr>
          <w:p>
            <w:pPr>
              <w:spacing w:before="135" w:line="187" w:lineRule="auto"/>
              <w:ind w:left="1123"/>
              <w:rPr>
                <w:rFonts w:ascii="微软雅黑" w:hAnsi="微软雅黑" w:eastAsia="微软雅黑" w:cs="微软雅黑"/>
                <w:sz w:val="20"/>
                <w:szCs w:val="20"/>
              </w:rPr>
            </w:pPr>
            <w:r>
              <w:rPr>
                <w:rFonts w:ascii="微软雅黑" w:hAnsi="微软雅黑" w:eastAsia="微软雅黑" w:cs="微软雅黑"/>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35" w:line="256" w:lineRule="exact"/>
              <w:ind w:left="641"/>
              <w:rPr>
                <w:rFonts w:ascii="宋体" w:hAnsi="宋体" w:eastAsia="宋体" w:cs="宋体"/>
                <w:sz w:val="18"/>
                <w:szCs w:val="18"/>
              </w:rPr>
            </w:pPr>
            <w:r>
              <w:rPr>
                <w:rFonts w:ascii="宋体" w:hAnsi="宋体" w:eastAsia="宋体" w:cs="宋体"/>
                <w:b/>
                <w:bCs/>
                <w:spacing w:val="-2"/>
                <w:position w:val="1"/>
                <w:sz w:val="18"/>
                <w:szCs w:val="18"/>
              </w:rPr>
              <w:t>1</w:t>
            </w:r>
          </w:p>
        </w:tc>
        <w:tc>
          <w:tcPr>
            <w:tcW w:w="5182" w:type="dxa"/>
            <w:vAlign w:val="top"/>
          </w:tcPr>
          <w:p>
            <w:pPr>
              <w:spacing w:before="126" w:line="215" w:lineRule="auto"/>
              <w:ind w:left="1786"/>
              <w:rPr>
                <w:rFonts w:ascii="宋体" w:hAnsi="宋体" w:eastAsia="宋体" w:cs="宋体"/>
                <w:sz w:val="18"/>
                <w:szCs w:val="18"/>
              </w:rPr>
            </w:pPr>
            <w:r>
              <w:rPr>
                <w:rFonts w:ascii="宋体" w:hAnsi="宋体" w:eastAsia="宋体" w:cs="宋体"/>
                <w:b/>
                <w:bCs/>
                <w:spacing w:val="-4"/>
                <w:sz w:val="18"/>
                <w:szCs w:val="18"/>
              </w:rPr>
              <w:t>建筑工程、装饰工程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36" w:line="254" w:lineRule="exact"/>
              <w:ind w:left="555"/>
              <w:rPr>
                <w:rFonts w:ascii="宋体" w:hAnsi="宋体" w:eastAsia="宋体" w:cs="宋体"/>
                <w:sz w:val="18"/>
                <w:szCs w:val="18"/>
              </w:rPr>
            </w:pPr>
            <w:r>
              <w:rPr>
                <w:rFonts w:ascii="宋体" w:hAnsi="宋体" w:eastAsia="宋体" w:cs="宋体"/>
                <w:spacing w:val="-23"/>
                <w:position w:val="1"/>
                <w:sz w:val="18"/>
                <w:szCs w:val="18"/>
              </w:rPr>
              <w:t>1.1</w:t>
            </w:r>
          </w:p>
        </w:tc>
        <w:tc>
          <w:tcPr>
            <w:tcW w:w="5182" w:type="dxa"/>
            <w:vAlign w:val="top"/>
          </w:tcPr>
          <w:p>
            <w:pPr>
              <w:spacing w:before="123"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38" w:line="252" w:lineRule="exact"/>
              <w:ind w:left="555"/>
              <w:rPr>
                <w:rFonts w:ascii="宋体" w:hAnsi="宋体" w:eastAsia="宋体" w:cs="宋体"/>
                <w:sz w:val="18"/>
                <w:szCs w:val="18"/>
              </w:rPr>
            </w:pPr>
            <w:r>
              <w:rPr>
                <w:rFonts w:ascii="宋体" w:hAnsi="宋体" w:eastAsia="宋体" w:cs="宋体"/>
                <w:spacing w:val="-23"/>
                <w:position w:val="1"/>
                <w:sz w:val="18"/>
                <w:szCs w:val="18"/>
              </w:rPr>
              <w:t>1.2</w:t>
            </w:r>
          </w:p>
        </w:tc>
        <w:tc>
          <w:tcPr>
            <w:tcW w:w="5182" w:type="dxa"/>
            <w:vAlign w:val="top"/>
          </w:tcPr>
          <w:p>
            <w:pPr>
              <w:spacing w:before="124" w:line="212" w:lineRule="auto"/>
              <w:ind w:left="104"/>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0" w:line="250" w:lineRule="exact"/>
              <w:ind w:left="555"/>
              <w:rPr>
                <w:rFonts w:ascii="宋体" w:hAnsi="宋体" w:eastAsia="宋体" w:cs="宋体"/>
                <w:sz w:val="18"/>
                <w:szCs w:val="18"/>
              </w:rPr>
            </w:pPr>
            <w:r>
              <w:rPr>
                <w:rFonts w:ascii="宋体" w:hAnsi="宋体" w:eastAsia="宋体" w:cs="宋体"/>
                <w:spacing w:val="-23"/>
                <w:position w:val="1"/>
                <w:sz w:val="18"/>
                <w:szCs w:val="18"/>
              </w:rPr>
              <w:t>1.3</w:t>
            </w:r>
          </w:p>
        </w:tc>
        <w:tc>
          <w:tcPr>
            <w:tcW w:w="5182" w:type="dxa"/>
            <w:vAlign w:val="top"/>
          </w:tcPr>
          <w:p>
            <w:pPr>
              <w:spacing w:before="125"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0" w:line="250" w:lineRule="exact"/>
              <w:ind w:left="555"/>
              <w:rPr>
                <w:rFonts w:ascii="宋体" w:hAnsi="宋体" w:eastAsia="宋体" w:cs="宋体"/>
                <w:sz w:val="18"/>
                <w:szCs w:val="18"/>
              </w:rPr>
            </w:pPr>
            <w:r>
              <w:rPr>
                <w:rFonts w:ascii="宋体" w:hAnsi="宋体" w:eastAsia="宋体" w:cs="宋体"/>
                <w:spacing w:val="-23"/>
                <w:position w:val="1"/>
                <w:sz w:val="18"/>
                <w:szCs w:val="18"/>
              </w:rPr>
              <w:t>1.4</w:t>
            </w:r>
          </w:p>
        </w:tc>
        <w:tc>
          <w:tcPr>
            <w:tcW w:w="5182" w:type="dxa"/>
            <w:vAlign w:val="top"/>
          </w:tcPr>
          <w:p>
            <w:pPr>
              <w:spacing w:before="116"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42" w:line="249" w:lineRule="exact"/>
              <w:ind w:left="555"/>
              <w:rPr>
                <w:rFonts w:ascii="宋体" w:hAnsi="宋体" w:eastAsia="宋体" w:cs="宋体"/>
                <w:sz w:val="18"/>
                <w:szCs w:val="18"/>
              </w:rPr>
            </w:pPr>
            <w:r>
              <w:rPr>
                <w:rFonts w:ascii="宋体" w:hAnsi="宋体" w:eastAsia="宋体" w:cs="宋体"/>
                <w:spacing w:val="-11"/>
                <w:position w:val="1"/>
                <w:sz w:val="18"/>
                <w:szCs w:val="18"/>
              </w:rPr>
              <w:t>1</w:t>
            </w:r>
            <w:r>
              <w:rPr>
                <w:rFonts w:ascii="宋体" w:hAnsi="宋体" w:eastAsia="宋体" w:cs="宋体"/>
                <w:spacing w:val="-52"/>
                <w:position w:val="1"/>
                <w:sz w:val="18"/>
                <w:szCs w:val="18"/>
              </w:rPr>
              <w:t xml:space="preserve"> </w:t>
            </w:r>
            <w:r>
              <w:rPr>
                <w:rFonts w:ascii="宋体" w:hAnsi="宋体" w:eastAsia="宋体" w:cs="宋体"/>
                <w:spacing w:val="-11"/>
                <w:position w:val="1"/>
                <w:sz w:val="18"/>
                <w:szCs w:val="18"/>
              </w:rPr>
              <w:t>5</w:t>
            </w:r>
          </w:p>
        </w:tc>
        <w:tc>
          <w:tcPr>
            <w:tcW w:w="5182" w:type="dxa"/>
            <w:vAlign w:val="top"/>
          </w:tcPr>
          <w:p>
            <w:pPr>
              <w:spacing w:before="128"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0" w:hRule="atLeast"/>
        </w:trPr>
        <w:tc>
          <w:tcPr>
            <w:tcW w:w="1319" w:type="dxa"/>
            <w:tcBorders>
              <w:left w:val="single" w:color="000000" w:sz="4" w:space="0"/>
            </w:tcBorders>
            <w:vAlign w:val="top"/>
          </w:tcPr>
          <w:p>
            <w:pPr>
              <w:spacing w:before="140" w:line="235" w:lineRule="auto"/>
              <w:ind w:left="555"/>
              <w:rPr>
                <w:rFonts w:ascii="宋体" w:hAnsi="宋体" w:eastAsia="宋体" w:cs="宋体"/>
                <w:sz w:val="18"/>
                <w:szCs w:val="18"/>
              </w:rPr>
            </w:pPr>
            <w:r>
              <w:rPr>
                <w:rFonts w:ascii="宋体" w:hAnsi="宋体" w:eastAsia="宋体" w:cs="宋体"/>
                <w:spacing w:val="-23"/>
                <w:sz w:val="18"/>
                <w:szCs w:val="18"/>
              </w:rPr>
              <w:t>1.6</w:t>
            </w:r>
          </w:p>
        </w:tc>
        <w:tc>
          <w:tcPr>
            <w:tcW w:w="5182" w:type="dxa"/>
            <w:vAlign w:val="top"/>
          </w:tcPr>
          <w:p>
            <w:pPr>
              <w:spacing w:before="145"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46" w:line="208" w:lineRule="auto"/>
              <w:ind w:left="75"/>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2" w:line="248" w:lineRule="exact"/>
              <w:ind w:left="555"/>
              <w:rPr>
                <w:rFonts w:ascii="宋体" w:hAnsi="宋体" w:eastAsia="宋体" w:cs="宋体"/>
                <w:sz w:val="18"/>
                <w:szCs w:val="18"/>
              </w:rPr>
            </w:pPr>
            <w:r>
              <w:rPr>
                <w:rFonts w:ascii="宋体" w:hAnsi="宋体" w:eastAsia="宋体" w:cs="宋体"/>
                <w:spacing w:val="-23"/>
                <w:position w:val="1"/>
                <w:sz w:val="18"/>
                <w:szCs w:val="18"/>
              </w:rPr>
              <w:t>1.7</w:t>
            </w:r>
          </w:p>
        </w:tc>
        <w:tc>
          <w:tcPr>
            <w:tcW w:w="5182" w:type="dxa"/>
            <w:vAlign w:val="top"/>
          </w:tcPr>
          <w:p>
            <w:pPr>
              <w:spacing w:before="142" w:line="241"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48" w:line="208" w:lineRule="auto"/>
              <w:ind w:left="75"/>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7" w:hRule="atLeast"/>
        </w:trPr>
        <w:tc>
          <w:tcPr>
            <w:tcW w:w="1319" w:type="dxa"/>
            <w:tcBorders>
              <w:left w:val="single" w:color="000000" w:sz="4" w:space="0"/>
            </w:tcBorders>
            <w:vAlign w:val="top"/>
          </w:tcPr>
          <w:p>
            <w:pPr>
              <w:spacing w:before="257" w:line="259" w:lineRule="exact"/>
              <w:ind w:left="555"/>
              <w:rPr>
                <w:rFonts w:ascii="宋体" w:hAnsi="宋体" w:eastAsia="宋体" w:cs="宋体"/>
                <w:sz w:val="18"/>
                <w:szCs w:val="18"/>
              </w:rPr>
            </w:pPr>
            <w:r>
              <w:rPr>
                <w:rFonts w:ascii="宋体" w:hAnsi="宋体" w:eastAsia="宋体" w:cs="宋体"/>
                <w:spacing w:val="-23"/>
                <w:position w:val="1"/>
                <w:sz w:val="18"/>
                <w:szCs w:val="18"/>
              </w:rPr>
              <w:t>1.8</w:t>
            </w:r>
          </w:p>
        </w:tc>
        <w:tc>
          <w:tcPr>
            <w:tcW w:w="5182" w:type="dxa"/>
            <w:vAlign w:val="top"/>
          </w:tcPr>
          <w:p>
            <w:pPr>
              <w:spacing w:before="261" w:line="211" w:lineRule="auto"/>
              <w:ind w:left="106"/>
              <w:rPr>
                <w:rFonts w:ascii="宋体" w:hAnsi="宋体" w:eastAsia="宋体" w:cs="宋体"/>
                <w:sz w:val="18"/>
                <w:szCs w:val="18"/>
              </w:rPr>
            </w:pPr>
            <w:r>
              <w:rPr>
                <w:rFonts w:ascii="宋体" w:hAnsi="宋体" w:eastAsia="宋体" w:cs="宋体"/>
                <w:spacing w:val="-3"/>
                <w:sz w:val="18"/>
                <w:szCs w:val="18"/>
              </w:rPr>
              <w:t>竣工清理</w:t>
            </w:r>
          </w:p>
        </w:tc>
        <w:tc>
          <w:tcPr>
            <w:tcW w:w="2578" w:type="dxa"/>
            <w:tcBorders>
              <w:right w:val="single" w:color="000000" w:sz="4" w:space="0"/>
            </w:tcBorders>
            <w:vAlign w:val="top"/>
          </w:tcPr>
          <w:p>
            <w:pPr>
              <w:spacing w:before="103" w:line="253" w:lineRule="auto"/>
              <w:ind w:left="73" w:right="164"/>
              <w:rPr>
                <w:rFonts w:ascii="宋体" w:hAnsi="宋体" w:eastAsia="宋体" w:cs="宋体"/>
                <w:sz w:val="18"/>
                <w:szCs w:val="18"/>
              </w:rPr>
            </w:pPr>
            <w:r>
              <w:rPr>
                <w:rFonts w:ascii="宋体" w:hAnsi="宋体" w:eastAsia="宋体" w:cs="宋体"/>
                <w:spacing w:val="-1"/>
                <w:sz w:val="18"/>
                <w:szCs w:val="18"/>
              </w:rPr>
              <w:t>竣工验收前的清理、清洁等工</w:t>
            </w:r>
            <w:r>
              <w:rPr>
                <w:rFonts w:ascii="宋体" w:hAnsi="宋体" w:eastAsia="宋体" w:cs="宋体"/>
                <w:spacing w:val="-4"/>
                <w:sz w:val="18"/>
                <w:szCs w:val="18"/>
              </w:rPr>
              <w:t>作内容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1319" w:type="dxa"/>
            <w:tcBorders>
              <w:left w:val="single" w:color="000000" w:sz="4" w:space="0"/>
            </w:tcBorders>
            <w:vAlign w:val="top"/>
          </w:tcPr>
          <w:p>
            <w:pPr>
              <w:spacing w:before="271" w:line="260" w:lineRule="exact"/>
              <w:ind w:left="555"/>
              <w:rPr>
                <w:rFonts w:ascii="宋体" w:hAnsi="宋体" w:eastAsia="宋体" w:cs="宋体"/>
                <w:sz w:val="18"/>
                <w:szCs w:val="18"/>
              </w:rPr>
            </w:pPr>
            <w:r>
              <w:rPr>
                <w:rFonts w:ascii="宋体" w:hAnsi="宋体" w:eastAsia="宋体" w:cs="宋体"/>
                <w:spacing w:val="-23"/>
                <w:position w:val="1"/>
                <w:sz w:val="18"/>
                <w:szCs w:val="18"/>
              </w:rPr>
              <w:t>1.9</w:t>
            </w:r>
          </w:p>
        </w:tc>
        <w:tc>
          <w:tcPr>
            <w:tcW w:w="5182" w:type="dxa"/>
            <w:vAlign w:val="top"/>
          </w:tcPr>
          <w:p>
            <w:pPr>
              <w:spacing w:before="276" w:line="216" w:lineRule="auto"/>
              <w:ind w:left="108"/>
              <w:rPr>
                <w:rFonts w:ascii="宋体" w:hAnsi="宋体" w:eastAsia="宋体" w:cs="宋体"/>
                <w:sz w:val="18"/>
                <w:szCs w:val="18"/>
              </w:rPr>
            </w:pPr>
            <w:r>
              <w:rPr>
                <w:rFonts w:ascii="宋体" w:hAnsi="宋体" w:eastAsia="宋体" w:cs="宋体"/>
                <w:spacing w:val="-3"/>
                <w:sz w:val="18"/>
                <w:szCs w:val="18"/>
              </w:rPr>
              <w:t>建筑工程智慧工地建设</w:t>
            </w:r>
          </w:p>
        </w:tc>
        <w:tc>
          <w:tcPr>
            <w:tcW w:w="2578" w:type="dxa"/>
            <w:tcBorders>
              <w:right w:val="single" w:color="000000" w:sz="4" w:space="0"/>
            </w:tcBorders>
            <w:vAlign w:val="top"/>
          </w:tcPr>
          <w:p>
            <w:pPr>
              <w:spacing w:before="107" w:line="252" w:lineRule="auto"/>
              <w:ind w:left="73" w:right="164" w:firstLine="4"/>
              <w:rPr>
                <w:rFonts w:ascii="宋体" w:hAnsi="宋体" w:eastAsia="宋体" w:cs="宋体"/>
                <w:sz w:val="18"/>
                <w:szCs w:val="18"/>
              </w:rPr>
            </w:pPr>
            <w:r>
              <w:rPr>
                <w:rFonts w:ascii="宋体" w:hAnsi="宋体" w:eastAsia="宋体" w:cs="宋体"/>
                <w:spacing w:val="-1"/>
                <w:sz w:val="18"/>
                <w:szCs w:val="18"/>
              </w:rPr>
              <w:t>不计取企业管理费、利润，仅</w:t>
            </w:r>
            <w:r>
              <w:rPr>
                <w:rFonts w:ascii="宋体" w:hAnsi="宋体" w:eastAsia="宋体" w:cs="宋体"/>
                <w:spacing w:val="-3"/>
                <w:sz w:val="18"/>
                <w:szCs w:val="18"/>
              </w:rPr>
              <w:t>计取增值税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1" w:line="235" w:lineRule="auto"/>
              <w:ind w:left="509"/>
              <w:rPr>
                <w:rFonts w:ascii="宋体" w:hAnsi="宋体" w:eastAsia="宋体" w:cs="宋体"/>
                <w:sz w:val="18"/>
                <w:szCs w:val="18"/>
              </w:rPr>
            </w:pPr>
            <w:r>
              <w:rPr>
                <w:rFonts w:ascii="宋体" w:hAnsi="宋体" w:eastAsia="宋体" w:cs="宋体"/>
                <w:spacing w:val="-19"/>
                <w:sz w:val="18"/>
                <w:szCs w:val="18"/>
              </w:rPr>
              <w:t>1.10</w:t>
            </w:r>
          </w:p>
        </w:tc>
        <w:tc>
          <w:tcPr>
            <w:tcW w:w="5182" w:type="dxa"/>
            <w:vAlign w:val="top"/>
          </w:tcPr>
          <w:p>
            <w:pPr>
              <w:spacing w:before="147"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615"/>
              <w:rPr>
                <w:rFonts w:ascii="宋体" w:hAnsi="宋体" w:eastAsia="宋体" w:cs="宋体"/>
                <w:sz w:val="18"/>
                <w:szCs w:val="18"/>
              </w:rPr>
            </w:pPr>
            <w:r>
              <w:rPr>
                <w:rFonts w:ascii="宋体" w:hAnsi="宋体" w:eastAsia="宋体" w:cs="宋体"/>
                <w:b/>
                <w:bCs/>
                <w:spacing w:val="-2"/>
                <w:sz w:val="18"/>
                <w:szCs w:val="18"/>
              </w:rPr>
              <w:t>2</w:t>
            </w:r>
          </w:p>
        </w:tc>
        <w:tc>
          <w:tcPr>
            <w:tcW w:w="5182" w:type="dxa"/>
            <w:vAlign w:val="top"/>
          </w:tcPr>
          <w:p>
            <w:pPr>
              <w:spacing w:before="148" w:line="212" w:lineRule="auto"/>
              <w:ind w:left="1433"/>
              <w:rPr>
                <w:rFonts w:ascii="宋体" w:hAnsi="宋体" w:eastAsia="宋体" w:cs="宋体"/>
                <w:sz w:val="18"/>
                <w:szCs w:val="18"/>
              </w:rPr>
            </w:pPr>
            <w:r>
              <w:rPr>
                <w:rFonts w:ascii="宋体" w:hAnsi="宋体" w:eastAsia="宋体" w:cs="宋体"/>
                <w:b/>
                <w:bCs/>
                <w:spacing w:val="-5"/>
                <w:sz w:val="18"/>
                <w:szCs w:val="18"/>
              </w:rPr>
              <w:t>安装工程、房屋修缮安装工程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2" w:line="235" w:lineRule="auto"/>
              <w:ind w:left="528"/>
              <w:rPr>
                <w:rFonts w:ascii="宋体" w:hAnsi="宋体" w:eastAsia="宋体" w:cs="宋体"/>
                <w:sz w:val="18"/>
                <w:szCs w:val="18"/>
              </w:rPr>
            </w:pPr>
            <w:r>
              <w:rPr>
                <w:rFonts w:ascii="宋体" w:hAnsi="宋体" w:eastAsia="宋体" w:cs="宋体"/>
                <w:spacing w:val="-19"/>
                <w:sz w:val="18"/>
                <w:szCs w:val="18"/>
              </w:rPr>
              <w:t>2.1</w:t>
            </w:r>
          </w:p>
        </w:tc>
        <w:tc>
          <w:tcPr>
            <w:tcW w:w="5182" w:type="dxa"/>
            <w:vAlign w:val="top"/>
          </w:tcPr>
          <w:p>
            <w:pPr>
              <w:spacing w:before="152"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1" w:line="235" w:lineRule="auto"/>
              <w:ind w:left="528"/>
              <w:rPr>
                <w:rFonts w:ascii="宋体" w:hAnsi="宋体" w:eastAsia="宋体" w:cs="宋体"/>
                <w:sz w:val="18"/>
                <w:szCs w:val="18"/>
              </w:rPr>
            </w:pPr>
            <w:r>
              <w:rPr>
                <w:rFonts w:ascii="宋体" w:hAnsi="宋体" w:eastAsia="宋体" w:cs="宋体"/>
                <w:spacing w:val="-19"/>
                <w:sz w:val="18"/>
                <w:szCs w:val="18"/>
              </w:rPr>
              <w:t>2.2</w:t>
            </w:r>
          </w:p>
        </w:tc>
        <w:tc>
          <w:tcPr>
            <w:tcW w:w="5182" w:type="dxa"/>
            <w:vAlign w:val="top"/>
          </w:tcPr>
          <w:p>
            <w:pPr>
              <w:spacing w:before="146" w:line="212" w:lineRule="auto"/>
              <w:ind w:left="112"/>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3" w:line="233" w:lineRule="auto"/>
              <w:ind w:left="528"/>
              <w:rPr>
                <w:rFonts w:ascii="宋体" w:hAnsi="宋体" w:eastAsia="宋体" w:cs="宋体"/>
                <w:sz w:val="18"/>
                <w:szCs w:val="18"/>
              </w:rPr>
            </w:pPr>
            <w:r>
              <w:rPr>
                <w:rFonts w:ascii="宋体" w:hAnsi="宋体" w:eastAsia="宋体" w:cs="宋体"/>
                <w:spacing w:val="-19"/>
                <w:sz w:val="18"/>
                <w:szCs w:val="18"/>
              </w:rPr>
              <w:t>2.3</w:t>
            </w:r>
          </w:p>
        </w:tc>
        <w:tc>
          <w:tcPr>
            <w:tcW w:w="5182" w:type="dxa"/>
            <w:vAlign w:val="top"/>
          </w:tcPr>
          <w:p>
            <w:pPr>
              <w:spacing w:before="149" w:line="215" w:lineRule="auto"/>
              <w:ind w:left="126"/>
              <w:rPr>
                <w:rFonts w:ascii="宋体" w:hAnsi="宋体" w:eastAsia="宋体" w:cs="宋体"/>
                <w:sz w:val="18"/>
                <w:szCs w:val="18"/>
              </w:rPr>
            </w:pPr>
            <w:r>
              <w:rPr>
                <w:rFonts w:ascii="宋体" w:hAnsi="宋体" w:eastAsia="宋体" w:cs="宋体"/>
                <w:spacing w:val="-7"/>
                <w:sz w:val="18"/>
                <w:szCs w:val="18"/>
              </w:rPr>
              <w:t>临时专用防护棚</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5" w:line="231" w:lineRule="auto"/>
              <w:ind w:left="528"/>
              <w:rPr>
                <w:rFonts w:ascii="宋体" w:hAnsi="宋体" w:eastAsia="宋体" w:cs="宋体"/>
                <w:sz w:val="18"/>
                <w:szCs w:val="18"/>
              </w:rPr>
            </w:pPr>
            <w:r>
              <w:rPr>
                <w:rFonts w:ascii="宋体" w:hAnsi="宋体" w:eastAsia="宋体" w:cs="宋体"/>
                <w:spacing w:val="-19"/>
                <w:sz w:val="18"/>
                <w:szCs w:val="18"/>
              </w:rPr>
              <w:t>2.4</w:t>
            </w:r>
          </w:p>
        </w:tc>
        <w:tc>
          <w:tcPr>
            <w:tcW w:w="5182" w:type="dxa"/>
            <w:vAlign w:val="top"/>
          </w:tcPr>
          <w:p>
            <w:pPr>
              <w:spacing w:before="151" w:line="214" w:lineRule="auto"/>
              <w:ind w:left="104"/>
              <w:rPr>
                <w:rFonts w:ascii="宋体" w:hAnsi="宋体" w:eastAsia="宋体" w:cs="宋体"/>
                <w:sz w:val="18"/>
                <w:szCs w:val="18"/>
              </w:rPr>
            </w:pPr>
            <w:r>
              <w:rPr>
                <w:rFonts w:ascii="宋体" w:hAnsi="宋体" w:eastAsia="宋体" w:cs="宋体"/>
                <w:spacing w:val="-4"/>
                <w:sz w:val="18"/>
                <w:szCs w:val="18"/>
              </w:rPr>
              <w:t>施工操作平台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4" w:line="233" w:lineRule="auto"/>
              <w:ind w:left="528"/>
              <w:rPr>
                <w:rFonts w:ascii="宋体" w:hAnsi="宋体" w:eastAsia="宋体" w:cs="宋体"/>
                <w:sz w:val="18"/>
                <w:szCs w:val="18"/>
              </w:rPr>
            </w:pPr>
            <w:r>
              <w:rPr>
                <w:rFonts w:ascii="宋体" w:hAnsi="宋体" w:eastAsia="宋体" w:cs="宋体"/>
                <w:spacing w:val="-19"/>
                <w:sz w:val="18"/>
                <w:szCs w:val="18"/>
              </w:rPr>
              <w:t>2.5</w:t>
            </w:r>
          </w:p>
        </w:tc>
        <w:tc>
          <w:tcPr>
            <w:tcW w:w="5182" w:type="dxa"/>
            <w:vAlign w:val="top"/>
          </w:tcPr>
          <w:p>
            <w:pPr>
              <w:spacing w:before="153" w:line="210" w:lineRule="auto"/>
              <w:ind w:left="126"/>
              <w:rPr>
                <w:rFonts w:ascii="宋体" w:hAnsi="宋体" w:eastAsia="宋体" w:cs="宋体"/>
                <w:sz w:val="18"/>
                <w:szCs w:val="18"/>
              </w:rPr>
            </w:pPr>
            <w:r>
              <w:rPr>
                <w:rFonts w:ascii="宋体" w:hAnsi="宋体" w:eastAsia="宋体" w:cs="宋体"/>
                <w:spacing w:val="-8"/>
                <w:sz w:val="18"/>
                <w:szCs w:val="18"/>
              </w:rPr>
              <w:t>临时支撑架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6" w:line="230" w:lineRule="auto"/>
              <w:ind w:left="528"/>
              <w:rPr>
                <w:rFonts w:ascii="宋体" w:hAnsi="宋体" w:eastAsia="宋体" w:cs="宋体"/>
                <w:sz w:val="18"/>
                <w:szCs w:val="18"/>
              </w:rPr>
            </w:pPr>
            <w:r>
              <w:rPr>
                <w:rFonts w:ascii="宋体" w:hAnsi="宋体" w:eastAsia="宋体" w:cs="宋体"/>
                <w:spacing w:val="-19"/>
                <w:sz w:val="18"/>
                <w:szCs w:val="18"/>
              </w:rPr>
              <w:t>2.6</w:t>
            </w:r>
          </w:p>
        </w:tc>
        <w:tc>
          <w:tcPr>
            <w:tcW w:w="5182" w:type="dxa"/>
            <w:vAlign w:val="top"/>
          </w:tcPr>
          <w:p>
            <w:pPr>
              <w:spacing w:before="149" w:line="215" w:lineRule="auto"/>
              <w:ind w:left="125"/>
              <w:rPr>
                <w:rFonts w:ascii="宋体" w:hAnsi="宋体" w:eastAsia="宋体" w:cs="宋体"/>
                <w:sz w:val="18"/>
                <w:szCs w:val="18"/>
              </w:rPr>
            </w:pPr>
            <w:r>
              <w:rPr>
                <w:rFonts w:ascii="宋体" w:hAnsi="宋体" w:eastAsia="宋体" w:cs="宋体"/>
                <w:spacing w:val="-3"/>
                <w:sz w:val="18"/>
                <w:szCs w:val="18"/>
              </w:rPr>
              <w:t>隧道内临时施工的通风、供水、供气、供电、照明及通信设施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5" w:line="231" w:lineRule="auto"/>
              <w:ind w:left="528"/>
              <w:rPr>
                <w:rFonts w:ascii="宋体" w:hAnsi="宋体" w:eastAsia="宋体" w:cs="宋体"/>
                <w:sz w:val="18"/>
                <w:szCs w:val="18"/>
              </w:rPr>
            </w:pPr>
            <w:r>
              <w:rPr>
                <w:rFonts w:ascii="宋体" w:hAnsi="宋体" w:eastAsia="宋体" w:cs="宋体"/>
                <w:spacing w:val="-19"/>
                <w:sz w:val="18"/>
                <w:szCs w:val="18"/>
              </w:rPr>
              <w:t>2.7</w:t>
            </w:r>
          </w:p>
        </w:tc>
        <w:tc>
          <w:tcPr>
            <w:tcW w:w="5182" w:type="dxa"/>
            <w:vAlign w:val="top"/>
          </w:tcPr>
          <w:p>
            <w:pPr>
              <w:spacing w:before="154" w:line="211" w:lineRule="auto"/>
              <w:ind w:left="148"/>
              <w:rPr>
                <w:rFonts w:ascii="宋体" w:hAnsi="宋体" w:eastAsia="宋体" w:cs="宋体"/>
                <w:sz w:val="18"/>
                <w:szCs w:val="18"/>
              </w:rPr>
            </w:pPr>
            <w:r>
              <w:rPr>
                <w:rFonts w:ascii="宋体" w:hAnsi="宋体" w:eastAsia="宋体" w:cs="宋体"/>
                <w:spacing w:val="-14"/>
                <w:sz w:val="18"/>
                <w:szCs w:val="18"/>
              </w:rPr>
              <w:t>吊装加固</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7" w:line="229" w:lineRule="auto"/>
              <w:ind w:left="528"/>
              <w:rPr>
                <w:rFonts w:ascii="宋体" w:hAnsi="宋体" w:eastAsia="宋体" w:cs="宋体"/>
                <w:sz w:val="18"/>
                <w:szCs w:val="18"/>
              </w:rPr>
            </w:pPr>
            <w:r>
              <w:rPr>
                <w:rFonts w:ascii="宋体" w:hAnsi="宋体" w:eastAsia="宋体" w:cs="宋体"/>
                <w:spacing w:val="-19"/>
                <w:sz w:val="18"/>
                <w:szCs w:val="18"/>
              </w:rPr>
              <w:t>2.8</w:t>
            </w:r>
          </w:p>
        </w:tc>
        <w:tc>
          <w:tcPr>
            <w:tcW w:w="5182" w:type="dxa"/>
            <w:vAlign w:val="top"/>
          </w:tcPr>
          <w:p>
            <w:pPr>
              <w:spacing w:before="148" w:line="241" w:lineRule="exact"/>
              <w:ind w:left="106"/>
              <w:rPr>
                <w:rFonts w:ascii="宋体" w:hAnsi="宋体" w:eastAsia="宋体" w:cs="宋体"/>
                <w:sz w:val="18"/>
                <w:szCs w:val="18"/>
              </w:rPr>
            </w:pPr>
            <w:r>
              <w:rPr>
                <w:rFonts w:ascii="宋体" w:hAnsi="宋体" w:eastAsia="宋体" w:cs="宋体"/>
                <w:spacing w:val="-1"/>
                <w:position w:val="1"/>
                <w:sz w:val="18"/>
                <w:szCs w:val="18"/>
              </w:rPr>
              <w:t>胎（模）具</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7" w:line="229" w:lineRule="auto"/>
              <w:ind w:left="528"/>
              <w:rPr>
                <w:rFonts w:ascii="宋体" w:hAnsi="宋体" w:eastAsia="宋体" w:cs="宋体"/>
                <w:sz w:val="18"/>
                <w:szCs w:val="18"/>
              </w:rPr>
            </w:pPr>
            <w:r>
              <w:rPr>
                <w:rFonts w:ascii="宋体" w:hAnsi="宋体" w:eastAsia="宋体" w:cs="宋体"/>
                <w:spacing w:val="-19"/>
                <w:sz w:val="18"/>
                <w:szCs w:val="18"/>
              </w:rPr>
              <w:t>2.9</w:t>
            </w:r>
          </w:p>
        </w:tc>
        <w:tc>
          <w:tcPr>
            <w:tcW w:w="5182" w:type="dxa"/>
            <w:vAlign w:val="top"/>
          </w:tcPr>
          <w:p>
            <w:pPr>
              <w:spacing w:before="150" w:line="240"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44"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9" w:line="228" w:lineRule="auto"/>
              <w:ind w:left="483"/>
              <w:rPr>
                <w:rFonts w:ascii="宋体" w:hAnsi="宋体" w:eastAsia="宋体" w:cs="宋体"/>
                <w:sz w:val="18"/>
                <w:szCs w:val="18"/>
              </w:rPr>
            </w:pPr>
            <w:r>
              <w:rPr>
                <w:rFonts w:ascii="宋体" w:hAnsi="宋体" w:eastAsia="宋体" w:cs="宋体"/>
                <w:spacing w:val="-15"/>
                <w:sz w:val="18"/>
                <w:szCs w:val="18"/>
              </w:rPr>
              <w:t>2.10</w:t>
            </w:r>
          </w:p>
        </w:tc>
        <w:tc>
          <w:tcPr>
            <w:tcW w:w="5182" w:type="dxa"/>
            <w:vAlign w:val="top"/>
          </w:tcPr>
          <w:p>
            <w:pPr>
              <w:spacing w:before="157" w:line="211" w:lineRule="auto"/>
              <w:ind w:left="106"/>
              <w:rPr>
                <w:rFonts w:ascii="宋体" w:hAnsi="宋体" w:eastAsia="宋体" w:cs="宋体"/>
                <w:sz w:val="18"/>
                <w:szCs w:val="18"/>
              </w:rPr>
            </w:pPr>
            <w:r>
              <w:rPr>
                <w:rFonts w:ascii="宋体" w:hAnsi="宋体" w:eastAsia="宋体" w:cs="宋体"/>
                <w:spacing w:val="-4"/>
                <w:sz w:val="18"/>
                <w:szCs w:val="18"/>
              </w:rPr>
              <w:t>顶升、提升装置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0" w:line="228" w:lineRule="auto"/>
              <w:ind w:left="483"/>
              <w:rPr>
                <w:rFonts w:ascii="宋体" w:hAnsi="宋体" w:eastAsia="宋体" w:cs="宋体"/>
                <w:sz w:val="18"/>
                <w:szCs w:val="18"/>
              </w:rPr>
            </w:pPr>
            <w:r>
              <w:rPr>
                <w:rFonts w:ascii="宋体" w:hAnsi="宋体" w:eastAsia="宋体" w:cs="宋体"/>
                <w:spacing w:val="-15"/>
                <w:sz w:val="18"/>
                <w:szCs w:val="18"/>
              </w:rPr>
              <w:t>2.11</w:t>
            </w:r>
          </w:p>
        </w:tc>
        <w:tc>
          <w:tcPr>
            <w:tcW w:w="5182" w:type="dxa"/>
            <w:vAlign w:val="top"/>
          </w:tcPr>
          <w:p>
            <w:pPr>
              <w:spacing w:before="158"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45"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0" w:line="228" w:lineRule="auto"/>
              <w:ind w:left="483"/>
              <w:rPr>
                <w:rFonts w:ascii="宋体" w:hAnsi="宋体" w:eastAsia="宋体" w:cs="宋体"/>
                <w:sz w:val="18"/>
                <w:szCs w:val="18"/>
              </w:rPr>
            </w:pPr>
            <w:r>
              <w:rPr>
                <w:rFonts w:ascii="宋体" w:hAnsi="宋体" w:eastAsia="宋体" w:cs="宋体"/>
                <w:spacing w:val="-15"/>
                <w:sz w:val="18"/>
                <w:szCs w:val="18"/>
              </w:rPr>
              <w:t>2.12</w:t>
            </w:r>
          </w:p>
        </w:tc>
        <w:tc>
          <w:tcPr>
            <w:tcW w:w="5182" w:type="dxa"/>
            <w:vAlign w:val="top"/>
          </w:tcPr>
          <w:p>
            <w:pPr>
              <w:spacing w:before="158" w:line="211" w:lineRule="auto"/>
              <w:ind w:left="111"/>
              <w:rPr>
                <w:rFonts w:ascii="宋体" w:hAnsi="宋体" w:eastAsia="宋体" w:cs="宋体"/>
                <w:sz w:val="18"/>
                <w:szCs w:val="18"/>
              </w:rPr>
            </w:pPr>
            <w:r>
              <w:rPr>
                <w:rFonts w:ascii="宋体" w:hAnsi="宋体" w:eastAsia="宋体" w:cs="宋体"/>
                <w:spacing w:val="-3"/>
                <w:sz w:val="18"/>
                <w:szCs w:val="18"/>
              </w:rPr>
              <w:t>安装与生产运行同时进行施工防护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319" w:type="dxa"/>
            <w:tcBorders>
              <w:left w:val="single" w:color="000000" w:sz="4" w:space="0"/>
            </w:tcBorders>
            <w:vAlign w:val="top"/>
          </w:tcPr>
          <w:p>
            <w:pPr>
              <w:spacing w:before="170" w:line="229" w:lineRule="auto"/>
              <w:ind w:left="483"/>
              <w:rPr>
                <w:rFonts w:ascii="宋体" w:hAnsi="宋体" w:eastAsia="宋体" w:cs="宋体"/>
                <w:sz w:val="18"/>
                <w:szCs w:val="18"/>
              </w:rPr>
            </w:pPr>
            <w:r>
              <w:rPr>
                <w:rFonts w:ascii="宋体" w:hAnsi="宋体" w:eastAsia="宋体" w:cs="宋体"/>
                <w:spacing w:val="-15"/>
                <w:sz w:val="18"/>
                <w:szCs w:val="18"/>
              </w:rPr>
              <w:t>2.13</w:t>
            </w:r>
          </w:p>
        </w:tc>
        <w:tc>
          <w:tcPr>
            <w:tcW w:w="5182" w:type="dxa"/>
            <w:vAlign w:val="top"/>
          </w:tcPr>
          <w:p>
            <w:pPr>
              <w:spacing w:before="155" w:line="216" w:lineRule="auto"/>
              <w:ind w:left="106"/>
              <w:rPr>
                <w:rFonts w:ascii="宋体" w:hAnsi="宋体" w:eastAsia="宋体" w:cs="宋体"/>
                <w:sz w:val="18"/>
                <w:szCs w:val="18"/>
              </w:rPr>
            </w:pPr>
            <w:r>
              <w:rPr>
                <w:rFonts w:ascii="宋体" w:hAnsi="宋体" w:eastAsia="宋体" w:cs="宋体"/>
                <w:spacing w:val="-2"/>
                <w:sz w:val="18"/>
                <w:szCs w:val="18"/>
              </w:rPr>
              <w:t>有害身体健康环境中施工防护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9" w:line="228" w:lineRule="auto"/>
              <w:ind w:left="483"/>
              <w:rPr>
                <w:rFonts w:ascii="宋体" w:hAnsi="宋体" w:eastAsia="宋体" w:cs="宋体"/>
                <w:sz w:val="18"/>
                <w:szCs w:val="18"/>
              </w:rPr>
            </w:pPr>
            <w:r>
              <w:rPr>
                <w:rFonts w:ascii="宋体" w:hAnsi="宋体" w:eastAsia="宋体" w:cs="宋体"/>
                <w:spacing w:val="-15"/>
                <w:sz w:val="18"/>
                <w:szCs w:val="18"/>
              </w:rPr>
              <w:t>2.14</w:t>
            </w:r>
          </w:p>
        </w:tc>
        <w:tc>
          <w:tcPr>
            <w:tcW w:w="5182" w:type="dxa"/>
            <w:vAlign w:val="top"/>
          </w:tcPr>
          <w:p>
            <w:pPr>
              <w:spacing w:before="158"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7" w:line="230" w:lineRule="auto"/>
              <w:ind w:left="620"/>
              <w:rPr>
                <w:rFonts w:ascii="宋体" w:hAnsi="宋体" w:eastAsia="宋体" w:cs="宋体"/>
                <w:sz w:val="18"/>
                <w:szCs w:val="18"/>
              </w:rPr>
            </w:pPr>
            <w:r>
              <w:rPr>
                <w:rFonts w:ascii="宋体" w:hAnsi="宋体" w:eastAsia="宋体" w:cs="宋体"/>
                <w:b/>
                <w:bCs/>
                <w:spacing w:val="-2"/>
                <w:sz w:val="18"/>
                <w:szCs w:val="18"/>
              </w:rPr>
              <w:t>3</w:t>
            </w:r>
          </w:p>
        </w:tc>
        <w:tc>
          <w:tcPr>
            <w:tcW w:w="5182" w:type="dxa"/>
            <w:vAlign w:val="top"/>
          </w:tcPr>
          <w:p>
            <w:pPr>
              <w:spacing w:before="163" w:line="210" w:lineRule="auto"/>
              <w:ind w:left="2238"/>
              <w:rPr>
                <w:rFonts w:ascii="宋体" w:hAnsi="宋体" w:eastAsia="宋体" w:cs="宋体"/>
                <w:sz w:val="18"/>
                <w:szCs w:val="18"/>
              </w:rPr>
            </w:pPr>
            <w:r>
              <w:rPr>
                <w:rFonts w:ascii="宋体" w:hAnsi="宋体" w:eastAsia="宋体" w:cs="宋体"/>
                <w:b/>
                <w:bCs/>
                <w:spacing w:val="-6"/>
                <w:sz w:val="18"/>
                <w:szCs w:val="18"/>
              </w:rPr>
              <w:t>市政工程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319" w:type="dxa"/>
            <w:tcBorders>
              <w:left w:val="single" w:color="000000" w:sz="4" w:space="0"/>
            </w:tcBorders>
            <w:vAlign w:val="top"/>
          </w:tcPr>
          <w:p>
            <w:pPr>
              <w:spacing w:before="173" w:line="227" w:lineRule="auto"/>
              <w:ind w:left="533"/>
              <w:rPr>
                <w:rFonts w:ascii="宋体" w:hAnsi="宋体" w:eastAsia="宋体" w:cs="宋体"/>
                <w:sz w:val="18"/>
                <w:szCs w:val="18"/>
              </w:rPr>
            </w:pPr>
            <w:r>
              <w:rPr>
                <w:rFonts w:ascii="宋体" w:hAnsi="宋体" w:eastAsia="宋体" w:cs="宋体"/>
                <w:spacing w:val="-20"/>
                <w:sz w:val="18"/>
                <w:szCs w:val="18"/>
              </w:rPr>
              <w:t>3.1</w:t>
            </w:r>
          </w:p>
        </w:tc>
        <w:tc>
          <w:tcPr>
            <w:tcW w:w="5182" w:type="dxa"/>
            <w:vAlign w:val="top"/>
          </w:tcPr>
          <w:p>
            <w:pPr>
              <w:spacing w:before="163"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4" w:line="224" w:lineRule="auto"/>
              <w:ind w:left="533"/>
              <w:rPr>
                <w:rFonts w:ascii="宋体" w:hAnsi="宋体" w:eastAsia="宋体" w:cs="宋体"/>
                <w:sz w:val="18"/>
                <w:szCs w:val="18"/>
              </w:rPr>
            </w:pPr>
            <w:r>
              <w:rPr>
                <w:rFonts w:ascii="宋体" w:hAnsi="宋体" w:eastAsia="宋体" w:cs="宋体"/>
                <w:spacing w:val="-20"/>
                <w:sz w:val="18"/>
                <w:szCs w:val="18"/>
              </w:rPr>
              <w:t>3.2</w:t>
            </w:r>
          </w:p>
        </w:tc>
        <w:tc>
          <w:tcPr>
            <w:tcW w:w="5182" w:type="dxa"/>
            <w:vAlign w:val="top"/>
          </w:tcPr>
          <w:p>
            <w:pPr>
              <w:spacing w:before="160" w:line="214" w:lineRule="auto"/>
              <w:ind w:left="107"/>
              <w:rPr>
                <w:rFonts w:ascii="宋体" w:hAnsi="宋体" w:eastAsia="宋体" w:cs="宋体"/>
                <w:sz w:val="18"/>
                <w:szCs w:val="18"/>
              </w:rPr>
            </w:pPr>
            <w:r>
              <w:rPr>
                <w:rFonts w:ascii="宋体" w:hAnsi="宋体" w:eastAsia="宋体" w:cs="宋体"/>
                <w:spacing w:val="-2"/>
                <w:sz w:val="18"/>
                <w:szCs w:val="18"/>
              </w:rPr>
              <w:t>水上桩基础支架、平台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319" w:type="dxa"/>
            <w:tcBorders>
              <w:left w:val="single" w:color="000000" w:sz="4" w:space="0"/>
            </w:tcBorders>
            <w:vAlign w:val="top"/>
          </w:tcPr>
          <w:p>
            <w:pPr>
              <w:spacing w:before="162" w:line="225" w:lineRule="auto"/>
              <w:ind w:left="533"/>
              <w:rPr>
                <w:rFonts w:ascii="宋体" w:hAnsi="宋体" w:eastAsia="宋体" w:cs="宋体"/>
                <w:sz w:val="18"/>
                <w:szCs w:val="18"/>
              </w:rPr>
            </w:pPr>
            <w:r>
              <w:rPr>
                <w:rFonts w:ascii="宋体" w:hAnsi="宋体" w:eastAsia="宋体" w:cs="宋体"/>
                <w:spacing w:val="-20"/>
                <w:sz w:val="18"/>
                <w:szCs w:val="18"/>
              </w:rPr>
              <w:t>3.3</w:t>
            </w:r>
          </w:p>
        </w:tc>
        <w:tc>
          <w:tcPr>
            <w:tcW w:w="5182" w:type="dxa"/>
            <w:vAlign w:val="top"/>
          </w:tcPr>
          <w:p>
            <w:pPr>
              <w:spacing w:before="150" w:line="211" w:lineRule="auto"/>
              <w:ind w:left="106"/>
              <w:rPr>
                <w:rFonts w:ascii="宋体" w:hAnsi="宋体" w:eastAsia="宋体" w:cs="宋体"/>
                <w:sz w:val="18"/>
                <w:szCs w:val="18"/>
              </w:rPr>
            </w:pPr>
            <w:r>
              <w:rPr>
                <w:rFonts w:ascii="宋体" w:hAnsi="宋体" w:eastAsia="宋体" w:cs="宋体"/>
                <w:spacing w:val="-3"/>
                <w:sz w:val="18"/>
                <w:szCs w:val="18"/>
              </w:rPr>
              <w:t>桥涵支架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bottom w:val="single" w:color="000000" w:sz="4" w:space="0"/>
            </w:tcBorders>
            <w:vAlign w:val="top"/>
          </w:tcPr>
          <w:p>
            <w:pPr>
              <w:spacing w:before="160" w:line="237" w:lineRule="auto"/>
              <w:ind w:left="533"/>
              <w:rPr>
                <w:rFonts w:ascii="宋体" w:hAnsi="宋体" w:eastAsia="宋体" w:cs="宋体"/>
                <w:sz w:val="18"/>
                <w:szCs w:val="18"/>
              </w:rPr>
            </w:pPr>
            <w:r>
              <w:rPr>
                <w:rFonts w:ascii="宋体" w:hAnsi="宋体" w:eastAsia="宋体" w:cs="宋体"/>
                <w:spacing w:val="-20"/>
                <w:sz w:val="18"/>
                <w:szCs w:val="18"/>
              </w:rPr>
              <w:t>3.4</w:t>
            </w:r>
          </w:p>
        </w:tc>
        <w:tc>
          <w:tcPr>
            <w:tcW w:w="5182" w:type="dxa"/>
            <w:tcBorders>
              <w:bottom w:val="single" w:color="000000" w:sz="4" w:space="0"/>
            </w:tcBorders>
            <w:vAlign w:val="top"/>
          </w:tcPr>
          <w:p>
            <w:pPr>
              <w:spacing w:before="137"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headerReference r:id="rId62" w:type="default"/>
          <w:footerReference r:id="rId63" w:type="default"/>
          <w:pgSz w:w="11905" w:h="16840"/>
          <w:pgMar w:top="400" w:right="1407" w:bottom="1132" w:left="1407" w:header="0" w:footer="919" w:gutter="0"/>
        </w:sectPr>
      </w:pPr>
    </w:p>
    <w:p>
      <w:pPr>
        <w:spacing w:before="13"/>
      </w:pPr>
    </w:p>
    <w:p>
      <w:pPr>
        <w:spacing w:before="13"/>
      </w:pPr>
    </w:p>
    <w:p>
      <w:pPr>
        <w:spacing w:before="13"/>
      </w:pPr>
    </w:p>
    <w:p>
      <w:pPr>
        <w:spacing w:before="12"/>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5" w:line="187" w:lineRule="auto"/>
              <w:ind w:left="458"/>
              <w:rPr>
                <w:rFonts w:ascii="微软雅黑" w:hAnsi="微软雅黑" w:eastAsia="微软雅黑" w:cs="微软雅黑"/>
                <w:sz w:val="20"/>
                <w:szCs w:val="20"/>
              </w:rPr>
            </w:pPr>
            <w:bookmarkStart w:id="37" w:name="bookmark145"/>
            <w:bookmarkEnd w:id="37"/>
            <w:r>
              <w:rPr>
                <w:rFonts w:ascii="微软雅黑" w:hAnsi="微软雅黑" w:eastAsia="微软雅黑" w:cs="微软雅黑"/>
                <w:spacing w:val="3"/>
                <w:sz w:val="20"/>
                <w:szCs w:val="20"/>
              </w:rPr>
              <w:t>序号</w:t>
            </w:r>
          </w:p>
        </w:tc>
        <w:tc>
          <w:tcPr>
            <w:tcW w:w="5182" w:type="dxa"/>
            <w:tcBorders>
              <w:top w:val="single" w:color="000000" w:sz="4" w:space="0"/>
            </w:tcBorders>
            <w:vAlign w:val="top"/>
          </w:tcPr>
          <w:p>
            <w:pPr>
              <w:spacing w:before="134" w:line="188" w:lineRule="auto"/>
              <w:ind w:left="2045"/>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2578" w:type="dxa"/>
            <w:tcBorders>
              <w:top w:val="single" w:color="000000" w:sz="4" w:space="0"/>
              <w:right w:val="single" w:color="000000" w:sz="4" w:space="0"/>
            </w:tcBorders>
            <w:vAlign w:val="top"/>
          </w:tcPr>
          <w:p>
            <w:pPr>
              <w:spacing w:before="135" w:line="187" w:lineRule="auto"/>
              <w:ind w:left="1123"/>
              <w:rPr>
                <w:rFonts w:ascii="微软雅黑" w:hAnsi="微软雅黑" w:eastAsia="微软雅黑" w:cs="微软雅黑"/>
                <w:sz w:val="20"/>
                <w:szCs w:val="20"/>
              </w:rPr>
            </w:pPr>
            <w:r>
              <w:rPr>
                <w:rFonts w:ascii="微软雅黑" w:hAnsi="微软雅黑" w:eastAsia="微软雅黑" w:cs="微软雅黑"/>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3" w:line="238" w:lineRule="exact"/>
              <w:ind w:left="533"/>
              <w:rPr>
                <w:rFonts w:ascii="宋体" w:hAnsi="宋体" w:eastAsia="宋体" w:cs="宋体"/>
                <w:sz w:val="18"/>
                <w:szCs w:val="18"/>
              </w:rPr>
            </w:pPr>
            <w:r>
              <w:rPr>
                <w:rFonts w:ascii="宋体" w:hAnsi="宋体" w:eastAsia="宋体" w:cs="宋体"/>
                <w:spacing w:val="-20"/>
                <w:position w:val="1"/>
                <w:sz w:val="18"/>
                <w:szCs w:val="18"/>
              </w:rPr>
              <w:t>3.5</w:t>
            </w:r>
          </w:p>
        </w:tc>
        <w:tc>
          <w:tcPr>
            <w:tcW w:w="5182" w:type="dxa"/>
            <w:vAlign w:val="top"/>
          </w:tcPr>
          <w:p>
            <w:pPr>
              <w:spacing w:before="139"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2" w:line="239" w:lineRule="exact"/>
              <w:ind w:left="533"/>
              <w:rPr>
                <w:rFonts w:ascii="宋体" w:hAnsi="宋体" w:eastAsia="宋体" w:cs="宋体"/>
                <w:sz w:val="18"/>
                <w:szCs w:val="18"/>
              </w:rPr>
            </w:pPr>
            <w:r>
              <w:rPr>
                <w:rFonts w:ascii="宋体" w:hAnsi="宋体" w:eastAsia="宋体" w:cs="宋体"/>
                <w:spacing w:val="-20"/>
                <w:position w:val="1"/>
                <w:sz w:val="18"/>
                <w:szCs w:val="18"/>
              </w:rPr>
              <w:t>3.6</w:t>
            </w:r>
          </w:p>
        </w:tc>
        <w:tc>
          <w:tcPr>
            <w:tcW w:w="5182" w:type="dxa"/>
            <w:vAlign w:val="top"/>
          </w:tcPr>
          <w:p>
            <w:pPr>
              <w:spacing w:before="146" w:line="206" w:lineRule="auto"/>
              <w:ind w:left="138"/>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3" w:line="237" w:lineRule="exact"/>
              <w:ind w:left="533"/>
              <w:rPr>
                <w:rFonts w:ascii="宋体" w:hAnsi="宋体" w:eastAsia="宋体" w:cs="宋体"/>
                <w:sz w:val="18"/>
                <w:szCs w:val="18"/>
              </w:rPr>
            </w:pPr>
            <w:r>
              <w:rPr>
                <w:rFonts w:ascii="宋体" w:hAnsi="宋体" w:eastAsia="宋体" w:cs="宋体"/>
                <w:spacing w:val="-20"/>
                <w:position w:val="1"/>
                <w:sz w:val="18"/>
                <w:szCs w:val="18"/>
              </w:rPr>
              <w:t>3.7</w:t>
            </w:r>
          </w:p>
        </w:tc>
        <w:tc>
          <w:tcPr>
            <w:tcW w:w="5182" w:type="dxa"/>
            <w:vAlign w:val="top"/>
          </w:tcPr>
          <w:p>
            <w:pPr>
              <w:spacing w:before="141" w:line="212" w:lineRule="auto"/>
              <w:ind w:left="109"/>
              <w:rPr>
                <w:rFonts w:ascii="宋体" w:hAnsi="宋体" w:eastAsia="宋体" w:cs="宋体"/>
                <w:sz w:val="18"/>
                <w:szCs w:val="18"/>
              </w:rPr>
            </w:pPr>
            <w:r>
              <w:rPr>
                <w:rFonts w:ascii="宋体" w:hAnsi="宋体" w:eastAsia="宋体" w:cs="宋体"/>
                <w:spacing w:val="-3"/>
                <w:sz w:val="18"/>
                <w:szCs w:val="18"/>
              </w:rPr>
              <w:t>筑岛</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5" w:line="242" w:lineRule="auto"/>
              <w:ind w:left="533"/>
              <w:rPr>
                <w:rFonts w:ascii="宋体" w:hAnsi="宋体" w:eastAsia="宋体" w:cs="宋体"/>
                <w:sz w:val="18"/>
                <w:szCs w:val="18"/>
              </w:rPr>
            </w:pPr>
            <w:r>
              <w:rPr>
                <w:rFonts w:ascii="宋体" w:hAnsi="宋体" w:eastAsia="宋体" w:cs="宋体"/>
                <w:spacing w:val="-20"/>
                <w:sz w:val="18"/>
                <w:szCs w:val="18"/>
              </w:rPr>
              <w:t>3.8</w:t>
            </w:r>
          </w:p>
        </w:tc>
        <w:tc>
          <w:tcPr>
            <w:tcW w:w="5182" w:type="dxa"/>
            <w:vAlign w:val="top"/>
          </w:tcPr>
          <w:p>
            <w:pPr>
              <w:spacing w:before="142" w:line="212" w:lineRule="auto"/>
              <w:ind w:left="104"/>
              <w:rPr>
                <w:rFonts w:ascii="宋体" w:hAnsi="宋体" w:eastAsia="宋体" w:cs="宋体"/>
                <w:sz w:val="18"/>
                <w:szCs w:val="18"/>
              </w:rPr>
            </w:pPr>
            <w:r>
              <w:rPr>
                <w:rFonts w:ascii="宋体" w:hAnsi="宋体" w:eastAsia="宋体" w:cs="宋体"/>
                <w:spacing w:val="-2"/>
                <w:sz w:val="18"/>
                <w:szCs w:val="18"/>
              </w:rPr>
              <w:t>便道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5" w:line="242" w:lineRule="auto"/>
              <w:ind w:left="533"/>
              <w:rPr>
                <w:rFonts w:ascii="宋体" w:hAnsi="宋体" w:eastAsia="宋体" w:cs="宋体"/>
                <w:sz w:val="18"/>
                <w:szCs w:val="18"/>
              </w:rPr>
            </w:pPr>
            <w:r>
              <w:rPr>
                <w:rFonts w:ascii="宋体" w:hAnsi="宋体" w:eastAsia="宋体" w:cs="宋体"/>
                <w:spacing w:val="-20"/>
                <w:sz w:val="18"/>
                <w:szCs w:val="18"/>
              </w:rPr>
              <w:t>3.9</w:t>
            </w:r>
          </w:p>
        </w:tc>
        <w:tc>
          <w:tcPr>
            <w:tcW w:w="5182" w:type="dxa"/>
            <w:vAlign w:val="top"/>
          </w:tcPr>
          <w:p>
            <w:pPr>
              <w:spacing w:before="142" w:line="212" w:lineRule="auto"/>
              <w:ind w:left="104"/>
              <w:rPr>
                <w:rFonts w:ascii="宋体" w:hAnsi="宋体" w:eastAsia="宋体" w:cs="宋体"/>
                <w:sz w:val="18"/>
                <w:szCs w:val="18"/>
              </w:rPr>
            </w:pPr>
            <w:r>
              <w:rPr>
                <w:rFonts w:ascii="宋体" w:hAnsi="宋体" w:eastAsia="宋体" w:cs="宋体"/>
                <w:spacing w:val="-2"/>
                <w:sz w:val="18"/>
                <w:szCs w:val="18"/>
              </w:rPr>
              <w:t>便桥</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7" w:line="241" w:lineRule="auto"/>
              <w:ind w:left="488"/>
              <w:rPr>
                <w:rFonts w:ascii="宋体" w:hAnsi="宋体" w:eastAsia="宋体" w:cs="宋体"/>
                <w:sz w:val="18"/>
                <w:szCs w:val="18"/>
              </w:rPr>
            </w:pPr>
            <w:r>
              <w:rPr>
                <w:rFonts w:ascii="宋体" w:hAnsi="宋体" w:eastAsia="宋体" w:cs="宋体"/>
                <w:spacing w:val="-16"/>
                <w:sz w:val="18"/>
                <w:szCs w:val="18"/>
              </w:rPr>
              <w:t>3.10</w:t>
            </w:r>
          </w:p>
        </w:tc>
        <w:tc>
          <w:tcPr>
            <w:tcW w:w="5182" w:type="dxa"/>
            <w:vAlign w:val="top"/>
          </w:tcPr>
          <w:p>
            <w:pPr>
              <w:spacing w:before="142" w:line="215" w:lineRule="auto"/>
              <w:ind w:left="108"/>
              <w:rPr>
                <w:rFonts w:ascii="宋体" w:hAnsi="宋体" w:eastAsia="宋体" w:cs="宋体"/>
                <w:sz w:val="18"/>
                <w:szCs w:val="18"/>
              </w:rPr>
            </w:pPr>
            <w:r>
              <w:rPr>
                <w:rFonts w:ascii="宋体" w:hAnsi="宋体" w:eastAsia="宋体" w:cs="宋体"/>
                <w:spacing w:val="-3"/>
                <w:sz w:val="18"/>
                <w:szCs w:val="18"/>
              </w:rPr>
              <w:t>洞内施工通风、供水、供电照明、通信设施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7"/>
              <w:ind w:left="488"/>
              <w:rPr>
                <w:rFonts w:ascii="宋体" w:hAnsi="宋体" w:eastAsia="宋体" w:cs="宋体"/>
                <w:sz w:val="18"/>
                <w:szCs w:val="18"/>
              </w:rPr>
            </w:pPr>
            <w:r>
              <w:rPr>
                <w:rFonts w:ascii="宋体" w:hAnsi="宋体" w:eastAsia="宋体" w:cs="宋体"/>
                <w:spacing w:val="-16"/>
                <w:sz w:val="18"/>
                <w:szCs w:val="18"/>
              </w:rPr>
              <w:t>3.11</w:t>
            </w:r>
          </w:p>
        </w:tc>
        <w:tc>
          <w:tcPr>
            <w:tcW w:w="5182" w:type="dxa"/>
            <w:vAlign w:val="top"/>
          </w:tcPr>
          <w:p>
            <w:pPr>
              <w:spacing w:before="142" w:line="211" w:lineRule="auto"/>
              <w:ind w:left="108"/>
              <w:rPr>
                <w:rFonts w:ascii="宋体" w:hAnsi="宋体" w:eastAsia="宋体" w:cs="宋体"/>
                <w:sz w:val="18"/>
                <w:szCs w:val="18"/>
              </w:rPr>
            </w:pPr>
            <w:r>
              <w:rPr>
                <w:rFonts w:ascii="宋体" w:hAnsi="宋体" w:eastAsia="宋体" w:cs="宋体"/>
                <w:spacing w:val="-4"/>
                <w:sz w:val="18"/>
                <w:szCs w:val="18"/>
              </w:rPr>
              <w:t>洞内外轨道铺设</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8" w:line="238" w:lineRule="auto"/>
              <w:ind w:left="488"/>
              <w:rPr>
                <w:rFonts w:ascii="宋体" w:hAnsi="宋体" w:eastAsia="宋体" w:cs="宋体"/>
                <w:sz w:val="18"/>
                <w:szCs w:val="18"/>
              </w:rPr>
            </w:pPr>
            <w:r>
              <w:rPr>
                <w:rFonts w:ascii="宋体" w:hAnsi="宋体" w:eastAsia="宋体" w:cs="宋体"/>
                <w:spacing w:val="-16"/>
                <w:sz w:val="18"/>
                <w:szCs w:val="18"/>
              </w:rPr>
              <w:t>3.12</w:t>
            </w:r>
          </w:p>
        </w:tc>
        <w:tc>
          <w:tcPr>
            <w:tcW w:w="5182" w:type="dxa"/>
            <w:vAlign w:val="top"/>
          </w:tcPr>
          <w:p>
            <w:pPr>
              <w:spacing w:before="143" w:line="212" w:lineRule="auto"/>
              <w:ind w:left="112"/>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6" w:line="242" w:lineRule="auto"/>
              <w:ind w:left="488"/>
              <w:rPr>
                <w:rFonts w:ascii="宋体" w:hAnsi="宋体" w:eastAsia="宋体" w:cs="宋体"/>
                <w:sz w:val="18"/>
                <w:szCs w:val="18"/>
              </w:rPr>
            </w:pPr>
            <w:r>
              <w:rPr>
                <w:rFonts w:ascii="宋体" w:hAnsi="宋体" w:eastAsia="宋体" w:cs="宋体"/>
                <w:spacing w:val="-16"/>
                <w:sz w:val="18"/>
                <w:szCs w:val="18"/>
              </w:rPr>
              <w:t>3.13</w:t>
            </w:r>
          </w:p>
        </w:tc>
        <w:tc>
          <w:tcPr>
            <w:tcW w:w="5182" w:type="dxa"/>
            <w:vAlign w:val="top"/>
          </w:tcPr>
          <w:p>
            <w:pPr>
              <w:spacing w:before="144" w:line="211" w:lineRule="auto"/>
              <w:ind w:left="106"/>
              <w:rPr>
                <w:rFonts w:ascii="宋体" w:hAnsi="宋体" w:eastAsia="宋体" w:cs="宋体"/>
                <w:sz w:val="18"/>
                <w:szCs w:val="18"/>
              </w:rPr>
            </w:pPr>
            <w:r>
              <w:rPr>
                <w:rFonts w:ascii="宋体" w:hAnsi="宋体" w:eastAsia="宋体" w:cs="宋体"/>
                <w:spacing w:val="-3"/>
                <w:sz w:val="18"/>
                <w:szCs w:val="18"/>
              </w:rPr>
              <w:t>立交箱涵顶进被交线路加固及防护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8" w:hRule="atLeast"/>
        </w:trPr>
        <w:tc>
          <w:tcPr>
            <w:tcW w:w="1319" w:type="dxa"/>
            <w:tcBorders>
              <w:left w:val="single" w:color="000000" w:sz="4" w:space="0"/>
            </w:tcBorders>
            <w:vAlign w:val="top"/>
          </w:tcPr>
          <w:p>
            <w:pPr>
              <w:pStyle w:val="6"/>
              <w:spacing w:line="288" w:lineRule="auto"/>
            </w:pPr>
          </w:p>
          <w:p>
            <w:pPr>
              <w:pStyle w:val="6"/>
              <w:spacing w:line="289" w:lineRule="auto"/>
            </w:pPr>
          </w:p>
          <w:p>
            <w:pPr>
              <w:spacing w:before="58" w:line="260" w:lineRule="exact"/>
              <w:ind w:left="488"/>
              <w:rPr>
                <w:rFonts w:ascii="宋体" w:hAnsi="宋体" w:eastAsia="宋体" w:cs="宋体"/>
                <w:sz w:val="18"/>
                <w:szCs w:val="18"/>
              </w:rPr>
            </w:pPr>
            <w:r>
              <w:rPr>
                <w:rFonts w:ascii="宋体" w:hAnsi="宋体" w:eastAsia="宋体" w:cs="宋体"/>
                <w:spacing w:val="-16"/>
                <w:position w:val="1"/>
                <w:sz w:val="18"/>
                <w:szCs w:val="18"/>
              </w:rPr>
              <w:t>3.14</w:t>
            </w:r>
          </w:p>
        </w:tc>
        <w:tc>
          <w:tcPr>
            <w:tcW w:w="5182" w:type="dxa"/>
            <w:vAlign w:val="top"/>
          </w:tcPr>
          <w:p>
            <w:pPr>
              <w:pStyle w:val="6"/>
              <w:spacing w:line="283" w:lineRule="auto"/>
            </w:pPr>
          </w:p>
          <w:p>
            <w:pPr>
              <w:pStyle w:val="6"/>
              <w:spacing w:line="284" w:lineRule="auto"/>
            </w:pPr>
          </w:p>
          <w:p>
            <w:pPr>
              <w:spacing w:before="58" w:line="211" w:lineRule="auto"/>
              <w:ind w:left="112"/>
              <w:rPr>
                <w:rFonts w:ascii="宋体" w:hAnsi="宋体" w:eastAsia="宋体" w:cs="宋体"/>
                <w:sz w:val="18"/>
                <w:szCs w:val="18"/>
              </w:rPr>
            </w:pPr>
            <w:r>
              <w:rPr>
                <w:rFonts w:ascii="宋体" w:hAnsi="宋体" w:eastAsia="宋体" w:cs="宋体"/>
                <w:spacing w:val="-3"/>
                <w:sz w:val="18"/>
                <w:szCs w:val="18"/>
              </w:rPr>
              <w:t>市政工程地下管线交叉处理</w:t>
            </w:r>
          </w:p>
        </w:tc>
        <w:tc>
          <w:tcPr>
            <w:tcW w:w="2578" w:type="dxa"/>
            <w:tcBorders>
              <w:right w:val="single" w:color="000000" w:sz="4" w:space="0"/>
            </w:tcBorders>
            <w:vAlign w:val="top"/>
          </w:tcPr>
          <w:p>
            <w:pPr>
              <w:spacing w:before="108" w:line="264" w:lineRule="auto"/>
              <w:ind w:left="118" w:right="106"/>
              <w:jc w:val="both"/>
              <w:rPr>
                <w:rFonts w:ascii="宋体" w:hAnsi="宋体" w:eastAsia="宋体" w:cs="宋体"/>
                <w:sz w:val="18"/>
                <w:szCs w:val="18"/>
              </w:rPr>
            </w:pPr>
            <w:r>
              <w:rPr>
                <w:rFonts w:ascii="宋体" w:hAnsi="宋体" w:eastAsia="宋体" w:cs="宋体"/>
                <w:sz w:val="18"/>
                <w:szCs w:val="18"/>
              </w:rPr>
              <w:t>对现有施工场地内各种地下交叉管线进行加固及处理所发生的费用，不包括地下管线改移</w:t>
            </w:r>
            <w:r>
              <w:rPr>
                <w:rFonts w:ascii="宋体" w:hAnsi="宋体" w:eastAsia="宋体" w:cs="宋体"/>
                <w:spacing w:val="-3"/>
                <w:sz w:val="18"/>
                <w:szCs w:val="18"/>
              </w:rPr>
              <w:t>发生的费用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0" w:line="237" w:lineRule="auto"/>
              <w:ind w:left="488"/>
              <w:rPr>
                <w:rFonts w:ascii="宋体" w:hAnsi="宋体" w:eastAsia="宋体" w:cs="宋体"/>
                <w:sz w:val="18"/>
                <w:szCs w:val="18"/>
              </w:rPr>
            </w:pPr>
            <w:r>
              <w:rPr>
                <w:rFonts w:ascii="宋体" w:hAnsi="宋体" w:eastAsia="宋体" w:cs="宋体"/>
                <w:spacing w:val="-16"/>
                <w:sz w:val="18"/>
                <w:szCs w:val="18"/>
              </w:rPr>
              <w:t>3.15</w:t>
            </w:r>
          </w:p>
        </w:tc>
        <w:tc>
          <w:tcPr>
            <w:tcW w:w="5182" w:type="dxa"/>
            <w:vAlign w:val="top"/>
          </w:tcPr>
          <w:p>
            <w:pPr>
              <w:spacing w:before="146" w:line="211" w:lineRule="auto"/>
              <w:ind w:left="104"/>
              <w:rPr>
                <w:rFonts w:ascii="宋体" w:hAnsi="宋体" w:eastAsia="宋体" w:cs="宋体"/>
                <w:sz w:val="18"/>
                <w:szCs w:val="18"/>
              </w:rPr>
            </w:pPr>
            <w:r>
              <w:rPr>
                <w:rFonts w:ascii="宋体" w:hAnsi="宋体" w:eastAsia="宋体" w:cs="宋体"/>
                <w:spacing w:val="-2"/>
                <w:sz w:val="18"/>
                <w:szCs w:val="18"/>
              </w:rPr>
              <w:t>施工监测、监控</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1" w:line="236" w:lineRule="auto"/>
              <w:ind w:left="488"/>
              <w:rPr>
                <w:rFonts w:ascii="宋体" w:hAnsi="宋体" w:eastAsia="宋体" w:cs="宋体"/>
                <w:sz w:val="18"/>
                <w:szCs w:val="18"/>
              </w:rPr>
            </w:pPr>
            <w:r>
              <w:rPr>
                <w:rFonts w:ascii="宋体" w:hAnsi="宋体" w:eastAsia="宋体" w:cs="宋体"/>
                <w:spacing w:val="-16"/>
                <w:sz w:val="18"/>
                <w:szCs w:val="18"/>
              </w:rPr>
              <w:t>3.16</w:t>
            </w:r>
          </w:p>
        </w:tc>
        <w:tc>
          <w:tcPr>
            <w:tcW w:w="5182" w:type="dxa"/>
            <w:vAlign w:val="top"/>
          </w:tcPr>
          <w:p>
            <w:pPr>
              <w:spacing w:before="147"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34"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8"/>
              <w:ind w:left="488"/>
              <w:rPr>
                <w:rFonts w:ascii="宋体" w:hAnsi="宋体" w:eastAsia="宋体" w:cs="宋体"/>
                <w:sz w:val="18"/>
                <w:szCs w:val="18"/>
              </w:rPr>
            </w:pPr>
            <w:r>
              <w:rPr>
                <w:rFonts w:ascii="宋体" w:hAnsi="宋体" w:eastAsia="宋体" w:cs="宋体"/>
                <w:spacing w:val="-16"/>
                <w:sz w:val="18"/>
                <w:szCs w:val="18"/>
              </w:rPr>
              <w:t>3.17</w:t>
            </w:r>
          </w:p>
        </w:tc>
        <w:tc>
          <w:tcPr>
            <w:tcW w:w="5182" w:type="dxa"/>
            <w:vAlign w:val="top"/>
          </w:tcPr>
          <w:p>
            <w:pPr>
              <w:spacing w:before="143" w:line="241"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35"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5" w:hRule="atLeast"/>
        </w:trPr>
        <w:tc>
          <w:tcPr>
            <w:tcW w:w="1319" w:type="dxa"/>
            <w:tcBorders>
              <w:left w:val="single" w:color="000000" w:sz="4" w:space="0"/>
            </w:tcBorders>
            <w:vAlign w:val="top"/>
          </w:tcPr>
          <w:p>
            <w:pPr>
              <w:pStyle w:val="6"/>
              <w:spacing w:line="405" w:lineRule="auto"/>
            </w:pPr>
          </w:p>
          <w:p>
            <w:pPr>
              <w:spacing w:before="58" w:line="260" w:lineRule="exact"/>
              <w:ind w:left="488"/>
              <w:rPr>
                <w:rFonts w:ascii="宋体" w:hAnsi="宋体" w:eastAsia="宋体" w:cs="宋体"/>
                <w:sz w:val="18"/>
                <w:szCs w:val="18"/>
              </w:rPr>
            </w:pPr>
            <w:r>
              <w:rPr>
                <w:rFonts w:ascii="宋体" w:hAnsi="宋体" w:eastAsia="宋体" w:cs="宋体"/>
                <w:spacing w:val="-16"/>
                <w:position w:val="1"/>
                <w:sz w:val="18"/>
                <w:szCs w:val="18"/>
              </w:rPr>
              <w:t>3.18</w:t>
            </w:r>
          </w:p>
        </w:tc>
        <w:tc>
          <w:tcPr>
            <w:tcW w:w="5182" w:type="dxa"/>
            <w:vAlign w:val="top"/>
          </w:tcPr>
          <w:p>
            <w:pPr>
              <w:pStyle w:val="6"/>
              <w:spacing w:line="395" w:lineRule="auto"/>
            </w:pPr>
          </w:p>
          <w:p>
            <w:pPr>
              <w:spacing w:before="58" w:line="207" w:lineRule="auto"/>
              <w:ind w:left="104"/>
              <w:rPr>
                <w:rFonts w:ascii="宋体" w:hAnsi="宋体" w:eastAsia="宋体" w:cs="宋体"/>
                <w:sz w:val="18"/>
                <w:szCs w:val="18"/>
              </w:rPr>
            </w:pPr>
            <w:r>
              <w:rPr>
                <w:rFonts w:ascii="宋体" w:hAnsi="宋体" w:eastAsia="宋体" w:cs="宋体"/>
                <w:spacing w:val="-3"/>
                <w:sz w:val="18"/>
                <w:szCs w:val="18"/>
              </w:rPr>
              <w:t>施工围挡</w:t>
            </w:r>
          </w:p>
        </w:tc>
        <w:tc>
          <w:tcPr>
            <w:tcW w:w="2578" w:type="dxa"/>
            <w:tcBorders>
              <w:right w:val="single" w:color="000000" w:sz="4" w:space="0"/>
            </w:tcBorders>
            <w:vAlign w:val="top"/>
          </w:tcPr>
          <w:p>
            <w:pPr>
              <w:spacing w:before="111" w:line="319" w:lineRule="auto"/>
              <w:ind w:left="125" w:right="114" w:firstLine="29"/>
              <w:jc w:val="both"/>
              <w:rPr>
                <w:rFonts w:ascii="宋体" w:hAnsi="宋体" w:eastAsia="宋体" w:cs="宋体"/>
                <w:sz w:val="18"/>
                <w:szCs w:val="18"/>
              </w:rPr>
            </w:pPr>
            <w:r>
              <w:rPr>
                <w:rFonts w:ascii="宋体" w:hAnsi="宋体" w:eastAsia="宋体" w:cs="宋体"/>
                <w:spacing w:val="-3"/>
                <w:sz w:val="18"/>
                <w:szCs w:val="18"/>
              </w:rPr>
              <w:t>固定式施工护栏的搭拆、运输</w:t>
            </w:r>
            <w:r>
              <w:rPr>
                <w:rFonts w:ascii="宋体" w:hAnsi="宋体" w:eastAsia="宋体" w:cs="宋体"/>
                <w:spacing w:val="-1"/>
                <w:sz w:val="18"/>
                <w:szCs w:val="18"/>
              </w:rPr>
              <w:t>费用，施工围挡购置费摊销或</w:t>
            </w:r>
            <w:r>
              <w:rPr>
                <w:rFonts w:ascii="宋体" w:hAnsi="宋体" w:eastAsia="宋体" w:cs="宋体"/>
                <w:spacing w:val="-3"/>
                <w:sz w:val="18"/>
                <w:szCs w:val="18"/>
              </w:rPr>
              <w:t>租赁使用费以及日常维护费用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08" w:hRule="atLeast"/>
        </w:trPr>
        <w:tc>
          <w:tcPr>
            <w:tcW w:w="1319" w:type="dxa"/>
            <w:tcBorders>
              <w:left w:val="single" w:color="000000" w:sz="4" w:space="0"/>
            </w:tcBorders>
            <w:vAlign w:val="top"/>
          </w:tcPr>
          <w:p>
            <w:pPr>
              <w:pStyle w:val="6"/>
              <w:spacing w:line="251" w:lineRule="auto"/>
            </w:pPr>
          </w:p>
          <w:p>
            <w:pPr>
              <w:pStyle w:val="6"/>
              <w:spacing w:line="251" w:lineRule="auto"/>
            </w:pPr>
          </w:p>
          <w:p>
            <w:pPr>
              <w:pStyle w:val="6"/>
              <w:spacing w:line="252" w:lineRule="auto"/>
            </w:pPr>
          </w:p>
          <w:p>
            <w:pPr>
              <w:spacing w:before="58" w:line="260" w:lineRule="exact"/>
              <w:ind w:left="488"/>
              <w:rPr>
                <w:rFonts w:ascii="宋体" w:hAnsi="宋体" w:eastAsia="宋体" w:cs="宋体"/>
                <w:sz w:val="18"/>
                <w:szCs w:val="18"/>
              </w:rPr>
            </w:pPr>
            <w:r>
              <w:rPr>
                <w:rFonts w:ascii="宋体" w:hAnsi="宋体" w:eastAsia="宋体" w:cs="宋体"/>
                <w:spacing w:val="-16"/>
                <w:position w:val="1"/>
                <w:sz w:val="18"/>
                <w:szCs w:val="18"/>
              </w:rPr>
              <w:t>3.19</w:t>
            </w:r>
          </w:p>
        </w:tc>
        <w:tc>
          <w:tcPr>
            <w:tcW w:w="5182" w:type="dxa"/>
            <w:vAlign w:val="top"/>
          </w:tcPr>
          <w:p>
            <w:pPr>
              <w:pStyle w:val="6"/>
              <w:spacing w:line="246" w:lineRule="auto"/>
            </w:pPr>
          </w:p>
          <w:p>
            <w:pPr>
              <w:pStyle w:val="6"/>
              <w:spacing w:line="247" w:lineRule="auto"/>
            </w:pPr>
          </w:p>
          <w:p>
            <w:pPr>
              <w:pStyle w:val="6"/>
              <w:spacing w:line="247" w:lineRule="auto"/>
            </w:pPr>
          </w:p>
          <w:p>
            <w:pPr>
              <w:spacing w:before="58" w:line="212" w:lineRule="auto"/>
              <w:ind w:left="110"/>
              <w:rPr>
                <w:rFonts w:ascii="宋体" w:hAnsi="宋体" w:eastAsia="宋体" w:cs="宋体"/>
                <w:sz w:val="18"/>
                <w:szCs w:val="18"/>
              </w:rPr>
            </w:pPr>
            <w:r>
              <w:rPr>
                <w:rFonts w:ascii="宋体" w:hAnsi="宋体" w:eastAsia="宋体" w:cs="宋体"/>
                <w:spacing w:val="-4"/>
                <w:sz w:val="18"/>
                <w:szCs w:val="18"/>
              </w:rPr>
              <w:t>交通维护及疏导</w:t>
            </w:r>
          </w:p>
        </w:tc>
        <w:tc>
          <w:tcPr>
            <w:tcW w:w="2578" w:type="dxa"/>
            <w:tcBorders>
              <w:right w:val="single" w:color="000000" w:sz="4" w:space="0"/>
            </w:tcBorders>
            <w:vAlign w:val="top"/>
          </w:tcPr>
          <w:p>
            <w:pPr>
              <w:spacing w:before="108" w:line="326" w:lineRule="auto"/>
              <w:ind w:left="123" w:right="114" w:firstLine="13"/>
              <w:jc w:val="both"/>
              <w:rPr>
                <w:rFonts w:ascii="宋体" w:hAnsi="宋体" w:eastAsia="宋体" w:cs="宋体"/>
                <w:sz w:val="18"/>
                <w:szCs w:val="18"/>
              </w:rPr>
            </w:pPr>
            <w:r>
              <w:rPr>
                <w:rFonts w:ascii="宋体" w:hAnsi="宋体" w:eastAsia="宋体" w:cs="宋体"/>
                <w:spacing w:val="13"/>
                <w:sz w:val="18"/>
                <w:szCs w:val="18"/>
              </w:rPr>
              <w:t>包括周边道路的交通诱导标</w:t>
            </w:r>
            <w:r>
              <w:rPr>
                <w:rFonts w:ascii="宋体" w:hAnsi="宋体" w:eastAsia="宋体" w:cs="宋体"/>
                <w:spacing w:val="-1"/>
                <w:sz w:val="18"/>
                <w:szCs w:val="18"/>
              </w:rPr>
              <w:t>志、临时红绿灯、交通协勤人员、现场路面隔离设施等。按相关管理部门批复的维护及疏</w:t>
            </w:r>
            <w:r>
              <w:rPr>
                <w:rFonts w:ascii="宋体" w:hAnsi="宋体" w:eastAsia="宋体" w:cs="宋体"/>
                <w:spacing w:val="-4"/>
                <w:sz w:val="18"/>
                <w:szCs w:val="18"/>
              </w:rPr>
              <w:t>导方案计取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6" w:hRule="atLeast"/>
        </w:trPr>
        <w:tc>
          <w:tcPr>
            <w:tcW w:w="1319" w:type="dxa"/>
            <w:tcBorders>
              <w:left w:val="single" w:color="000000" w:sz="4" w:space="0"/>
            </w:tcBorders>
            <w:vAlign w:val="top"/>
          </w:tcPr>
          <w:p>
            <w:pPr>
              <w:spacing w:before="277" w:line="260" w:lineRule="exact"/>
              <w:ind w:left="488"/>
              <w:rPr>
                <w:rFonts w:ascii="宋体" w:hAnsi="宋体" w:eastAsia="宋体" w:cs="宋体"/>
                <w:sz w:val="18"/>
                <w:szCs w:val="18"/>
              </w:rPr>
            </w:pPr>
            <w:r>
              <w:rPr>
                <w:rFonts w:ascii="宋体" w:hAnsi="宋体" w:eastAsia="宋体" w:cs="宋体"/>
                <w:spacing w:val="-16"/>
                <w:position w:val="2"/>
                <w:sz w:val="18"/>
                <w:szCs w:val="18"/>
              </w:rPr>
              <w:t>3.20</w:t>
            </w:r>
          </w:p>
        </w:tc>
        <w:tc>
          <w:tcPr>
            <w:tcW w:w="5182" w:type="dxa"/>
            <w:vAlign w:val="top"/>
          </w:tcPr>
          <w:p>
            <w:pPr>
              <w:spacing w:before="265" w:line="211" w:lineRule="auto"/>
              <w:ind w:left="112"/>
              <w:rPr>
                <w:rFonts w:ascii="宋体" w:hAnsi="宋体" w:eastAsia="宋体" w:cs="宋体"/>
                <w:sz w:val="18"/>
                <w:szCs w:val="18"/>
              </w:rPr>
            </w:pPr>
            <w:r>
              <w:rPr>
                <w:rFonts w:ascii="宋体" w:hAnsi="宋体" w:eastAsia="宋体" w:cs="宋体"/>
                <w:spacing w:val="-4"/>
                <w:sz w:val="18"/>
                <w:szCs w:val="18"/>
              </w:rPr>
              <w:t>市政工程定位复测</w:t>
            </w:r>
          </w:p>
        </w:tc>
        <w:tc>
          <w:tcPr>
            <w:tcW w:w="2578" w:type="dxa"/>
            <w:tcBorders>
              <w:right w:val="single" w:color="000000" w:sz="4" w:space="0"/>
            </w:tcBorders>
            <w:vAlign w:val="top"/>
          </w:tcPr>
          <w:p>
            <w:pPr>
              <w:spacing w:before="112" w:line="294" w:lineRule="auto"/>
              <w:ind w:left="120" w:right="106" w:firstLine="2"/>
              <w:rPr>
                <w:rFonts w:ascii="宋体" w:hAnsi="宋体" w:eastAsia="宋体" w:cs="宋体"/>
                <w:sz w:val="18"/>
                <w:szCs w:val="18"/>
              </w:rPr>
            </w:pPr>
            <w:r>
              <w:rPr>
                <w:rFonts w:ascii="宋体" w:hAnsi="宋体" w:eastAsia="宋体" w:cs="宋体"/>
                <w:sz w:val="18"/>
                <w:szCs w:val="18"/>
              </w:rPr>
              <w:t>工程施工过程中进行全部施工</w:t>
            </w:r>
            <w:r>
              <w:rPr>
                <w:rFonts w:ascii="宋体" w:hAnsi="宋体" w:eastAsia="宋体" w:cs="宋体"/>
                <w:spacing w:val="-2"/>
                <w:sz w:val="18"/>
                <w:szCs w:val="18"/>
              </w:rPr>
              <w:t>测量放线和复测工作的费用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8" w:hRule="atLeast"/>
        </w:trPr>
        <w:tc>
          <w:tcPr>
            <w:tcW w:w="1319" w:type="dxa"/>
            <w:tcBorders>
              <w:left w:val="single" w:color="000000" w:sz="4" w:space="0"/>
            </w:tcBorders>
            <w:vAlign w:val="top"/>
          </w:tcPr>
          <w:p>
            <w:pPr>
              <w:spacing w:before="227" w:line="259" w:lineRule="exact"/>
              <w:ind w:left="488"/>
              <w:rPr>
                <w:rFonts w:ascii="宋体" w:hAnsi="宋体" w:eastAsia="宋体" w:cs="宋体"/>
                <w:sz w:val="18"/>
                <w:szCs w:val="18"/>
              </w:rPr>
            </w:pPr>
            <w:r>
              <w:rPr>
                <w:rFonts w:ascii="宋体" w:hAnsi="宋体" w:eastAsia="宋体" w:cs="宋体"/>
                <w:spacing w:val="-16"/>
                <w:position w:val="1"/>
                <w:sz w:val="18"/>
                <w:szCs w:val="18"/>
              </w:rPr>
              <w:t>3.21</w:t>
            </w:r>
          </w:p>
        </w:tc>
        <w:tc>
          <w:tcPr>
            <w:tcW w:w="5182" w:type="dxa"/>
            <w:vAlign w:val="top"/>
          </w:tcPr>
          <w:p>
            <w:pPr>
              <w:spacing w:before="213" w:line="215" w:lineRule="auto"/>
              <w:ind w:left="112"/>
              <w:rPr>
                <w:rFonts w:ascii="宋体" w:hAnsi="宋体" w:eastAsia="宋体" w:cs="宋体"/>
                <w:sz w:val="18"/>
                <w:szCs w:val="18"/>
              </w:rPr>
            </w:pPr>
            <w:r>
              <w:rPr>
                <w:rFonts w:ascii="宋体" w:hAnsi="宋体" w:eastAsia="宋体" w:cs="宋体"/>
                <w:spacing w:val="-4"/>
                <w:sz w:val="18"/>
                <w:szCs w:val="18"/>
              </w:rPr>
              <w:t>市政工程智慧工地建设</w:t>
            </w:r>
          </w:p>
        </w:tc>
        <w:tc>
          <w:tcPr>
            <w:tcW w:w="2578" w:type="dxa"/>
            <w:tcBorders>
              <w:right w:val="single" w:color="000000" w:sz="4" w:space="0"/>
            </w:tcBorders>
            <w:vAlign w:val="top"/>
          </w:tcPr>
          <w:p>
            <w:pPr>
              <w:spacing w:before="92" w:line="244" w:lineRule="auto"/>
              <w:ind w:left="118" w:right="116"/>
              <w:rPr>
                <w:rFonts w:ascii="宋体" w:hAnsi="宋体" w:eastAsia="宋体" w:cs="宋体"/>
                <w:sz w:val="18"/>
                <w:szCs w:val="18"/>
              </w:rPr>
            </w:pPr>
            <w:r>
              <w:rPr>
                <w:rFonts w:ascii="宋体" w:hAnsi="宋体" w:eastAsia="宋体" w:cs="宋体"/>
                <w:spacing w:val="-1"/>
                <w:sz w:val="18"/>
                <w:szCs w:val="18"/>
              </w:rPr>
              <w:t>包括企业管理费、利润、增值</w:t>
            </w:r>
            <w:r>
              <w:rPr>
                <w:rFonts w:ascii="宋体" w:hAnsi="宋体" w:eastAsia="宋体" w:cs="宋体"/>
                <w:spacing w:val="-2"/>
                <w:sz w:val="18"/>
                <w:szCs w:val="18"/>
              </w:rPr>
              <w:t>税在内的全费用价格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7" w:line="230" w:lineRule="auto"/>
              <w:ind w:left="488"/>
              <w:rPr>
                <w:rFonts w:ascii="宋体" w:hAnsi="宋体" w:eastAsia="宋体" w:cs="宋体"/>
                <w:sz w:val="18"/>
                <w:szCs w:val="18"/>
              </w:rPr>
            </w:pPr>
            <w:r>
              <w:rPr>
                <w:rFonts w:ascii="宋体" w:hAnsi="宋体" w:eastAsia="宋体" w:cs="宋体"/>
                <w:spacing w:val="-16"/>
                <w:sz w:val="18"/>
                <w:szCs w:val="18"/>
              </w:rPr>
              <w:t>3.22</w:t>
            </w:r>
          </w:p>
        </w:tc>
        <w:tc>
          <w:tcPr>
            <w:tcW w:w="5182" w:type="dxa"/>
            <w:vAlign w:val="top"/>
          </w:tcPr>
          <w:p>
            <w:pPr>
              <w:spacing w:before="153"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5" w:line="231" w:lineRule="auto"/>
              <w:ind w:left="609"/>
              <w:rPr>
                <w:rFonts w:ascii="宋体" w:hAnsi="宋体" w:eastAsia="宋体" w:cs="宋体"/>
                <w:sz w:val="18"/>
                <w:szCs w:val="18"/>
              </w:rPr>
            </w:pPr>
            <w:r>
              <w:rPr>
                <w:rFonts w:ascii="宋体" w:hAnsi="宋体" w:eastAsia="宋体" w:cs="宋体"/>
                <w:b/>
                <w:bCs/>
                <w:spacing w:val="-2"/>
                <w:sz w:val="18"/>
                <w:szCs w:val="18"/>
              </w:rPr>
              <w:t>4</w:t>
            </w:r>
          </w:p>
        </w:tc>
        <w:tc>
          <w:tcPr>
            <w:tcW w:w="5182" w:type="dxa"/>
            <w:vAlign w:val="top"/>
          </w:tcPr>
          <w:p>
            <w:pPr>
              <w:spacing w:before="160" w:line="208" w:lineRule="auto"/>
              <w:ind w:left="2077"/>
              <w:rPr>
                <w:rFonts w:ascii="宋体" w:hAnsi="宋体" w:eastAsia="宋体" w:cs="宋体"/>
                <w:sz w:val="18"/>
                <w:szCs w:val="18"/>
              </w:rPr>
            </w:pPr>
            <w:r>
              <w:rPr>
                <w:rFonts w:ascii="宋体" w:hAnsi="宋体" w:eastAsia="宋体" w:cs="宋体"/>
                <w:b/>
                <w:bCs/>
                <w:spacing w:val="-9"/>
                <w:sz w:val="18"/>
                <w:szCs w:val="18"/>
              </w:rPr>
              <w:t>园林绿化工程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0" w:line="228" w:lineRule="auto"/>
              <w:ind w:left="523"/>
              <w:rPr>
                <w:rFonts w:ascii="宋体" w:hAnsi="宋体" w:eastAsia="宋体" w:cs="宋体"/>
                <w:sz w:val="18"/>
                <w:szCs w:val="18"/>
              </w:rPr>
            </w:pPr>
            <w:r>
              <w:rPr>
                <w:rFonts w:ascii="宋体" w:hAnsi="宋体" w:eastAsia="宋体" w:cs="宋体"/>
                <w:spacing w:val="-17"/>
                <w:sz w:val="18"/>
                <w:szCs w:val="18"/>
              </w:rPr>
              <w:t>4.1</w:t>
            </w:r>
          </w:p>
        </w:tc>
        <w:tc>
          <w:tcPr>
            <w:tcW w:w="5182" w:type="dxa"/>
            <w:vAlign w:val="top"/>
          </w:tcPr>
          <w:p>
            <w:pPr>
              <w:spacing w:before="157"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0" w:line="228" w:lineRule="auto"/>
              <w:ind w:left="523"/>
              <w:rPr>
                <w:rFonts w:ascii="宋体" w:hAnsi="宋体" w:eastAsia="宋体" w:cs="宋体"/>
                <w:sz w:val="18"/>
                <w:szCs w:val="18"/>
              </w:rPr>
            </w:pPr>
            <w:r>
              <w:rPr>
                <w:rFonts w:ascii="宋体" w:hAnsi="宋体" w:eastAsia="宋体" w:cs="宋体"/>
                <w:spacing w:val="-17"/>
                <w:sz w:val="18"/>
                <w:szCs w:val="18"/>
              </w:rPr>
              <w:t>4.2</w:t>
            </w:r>
          </w:p>
        </w:tc>
        <w:tc>
          <w:tcPr>
            <w:tcW w:w="5182" w:type="dxa"/>
            <w:vAlign w:val="top"/>
          </w:tcPr>
          <w:p>
            <w:pPr>
              <w:spacing w:before="157" w:line="212" w:lineRule="auto"/>
              <w:ind w:left="104"/>
              <w:rPr>
                <w:rFonts w:ascii="宋体" w:hAnsi="宋体" w:eastAsia="宋体" w:cs="宋体"/>
                <w:sz w:val="18"/>
                <w:szCs w:val="18"/>
              </w:rPr>
            </w:pPr>
            <w:r>
              <w:rPr>
                <w:rFonts w:ascii="宋体" w:hAnsi="宋体" w:eastAsia="宋体" w:cs="宋体"/>
                <w:spacing w:val="-3"/>
                <w:sz w:val="18"/>
                <w:szCs w:val="18"/>
              </w:rPr>
              <w:t>植物养护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319" w:type="dxa"/>
            <w:tcBorders>
              <w:left w:val="single" w:color="000000" w:sz="4" w:space="0"/>
            </w:tcBorders>
            <w:vAlign w:val="top"/>
          </w:tcPr>
          <w:p>
            <w:pPr>
              <w:spacing w:before="172" w:line="228" w:lineRule="auto"/>
              <w:ind w:left="523"/>
              <w:rPr>
                <w:rFonts w:ascii="宋体" w:hAnsi="宋体" w:eastAsia="宋体" w:cs="宋体"/>
                <w:sz w:val="18"/>
                <w:szCs w:val="18"/>
              </w:rPr>
            </w:pPr>
            <w:r>
              <w:rPr>
                <w:rFonts w:ascii="宋体" w:hAnsi="宋体" w:eastAsia="宋体" w:cs="宋体"/>
                <w:spacing w:val="-17"/>
                <w:sz w:val="18"/>
                <w:szCs w:val="18"/>
              </w:rPr>
              <w:t>4.3</w:t>
            </w:r>
          </w:p>
        </w:tc>
        <w:tc>
          <w:tcPr>
            <w:tcW w:w="5182" w:type="dxa"/>
            <w:vAlign w:val="top"/>
          </w:tcPr>
          <w:p>
            <w:pPr>
              <w:spacing w:before="162" w:line="208" w:lineRule="auto"/>
              <w:ind w:left="106"/>
              <w:rPr>
                <w:rFonts w:ascii="宋体" w:hAnsi="宋体" w:eastAsia="宋体" w:cs="宋体"/>
                <w:sz w:val="18"/>
                <w:szCs w:val="18"/>
              </w:rPr>
            </w:pPr>
            <w:r>
              <w:rPr>
                <w:rFonts w:ascii="宋体" w:hAnsi="宋体" w:eastAsia="宋体" w:cs="宋体"/>
                <w:spacing w:val="-3"/>
                <w:sz w:val="18"/>
                <w:szCs w:val="18"/>
              </w:rPr>
              <w:t>反季节栽植影响措施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left w:val="single" w:color="000000" w:sz="4" w:space="0"/>
            </w:tcBorders>
            <w:vAlign w:val="top"/>
          </w:tcPr>
          <w:p>
            <w:pPr>
              <w:spacing w:before="170" w:line="238" w:lineRule="auto"/>
              <w:ind w:left="523"/>
              <w:rPr>
                <w:rFonts w:ascii="宋体" w:hAnsi="宋体" w:eastAsia="宋体" w:cs="宋体"/>
                <w:sz w:val="18"/>
                <w:szCs w:val="18"/>
              </w:rPr>
            </w:pPr>
            <w:r>
              <w:rPr>
                <w:rFonts w:ascii="宋体" w:hAnsi="宋体" w:eastAsia="宋体" w:cs="宋体"/>
                <w:spacing w:val="-17"/>
                <w:sz w:val="18"/>
                <w:szCs w:val="18"/>
              </w:rPr>
              <w:t>4.4</w:t>
            </w:r>
          </w:p>
        </w:tc>
        <w:tc>
          <w:tcPr>
            <w:tcW w:w="5182" w:type="dxa"/>
            <w:vAlign w:val="top"/>
          </w:tcPr>
          <w:p>
            <w:pPr>
              <w:spacing w:before="158" w:line="211" w:lineRule="auto"/>
              <w:ind w:left="106"/>
              <w:rPr>
                <w:rFonts w:ascii="宋体" w:hAnsi="宋体" w:eastAsia="宋体" w:cs="宋体"/>
                <w:sz w:val="18"/>
                <w:szCs w:val="18"/>
              </w:rPr>
            </w:pPr>
            <w:r>
              <w:rPr>
                <w:rFonts w:ascii="宋体" w:hAnsi="宋体" w:eastAsia="宋体" w:cs="宋体"/>
                <w:spacing w:val="-4"/>
                <w:sz w:val="18"/>
                <w:szCs w:val="18"/>
              </w:rPr>
              <w:t>树木支撑架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left w:val="single" w:color="000000" w:sz="4" w:space="0"/>
            </w:tcBorders>
            <w:vAlign w:val="top"/>
          </w:tcPr>
          <w:p>
            <w:pPr>
              <w:spacing w:before="158" w:line="245" w:lineRule="exact"/>
              <w:ind w:left="523"/>
              <w:rPr>
                <w:rFonts w:ascii="宋体" w:hAnsi="宋体" w:eastAsia="宋体" w:cs="宋体"/>
                <w:sz w:val="18"/>
                <w:szCs w:val="18"/>
              </w:rPr>
            </w:pPr>
            <w:r>
              <w:rPr>
                <w:rFonts w:ascii="宋体" w:hAnsi="宋体" w:eastAsia="宋体" w:cs="宋体"/>
                <w:spacing w:val="-17"/>
                <w:position w:val="1"/>
                <w:sz w:val="18"/>
                <w:szCs w:val="18"/>
              </w:rPr>
              <w:t>4.5</w:t>
            </w:r>
          </w:p>
        </w:tc>
        <w:tc>
          <w:tcPr>
            <w:tcW w:w="5182" w:type="dxa"/>
            <w:vAlign w:val="top"/>
          </w:tcPr>
          <w:p>
            <w:pPr>
              <w:spacing w:before="145" w:line="211" w:lineRule="auto"/>
              <w:ind w:left="106"/>
              <w:rPr>
                <w:rFonts w:ascii="宋体" w:hAnsi="宋体" w:eastAsia="宋体" w:cs="宋体"/>
                <w:sz w:val="18"/>
                <w:szCs w:val="18"/>
              </w:rPr>
            </w:pPr>
            <w:r>
              <w:rPr>
                <w:rFonts w:ascii="宋体" w:hAnsi="宋体" w:eastAsia="宋体" w:cs="宋体"/>
                <w:spacing w:val="-3"/>
                <w:sz w:val="18"/>
                <w:szCs w:val="18"/>
              </w:rPr>
              <w:t>树木裹干</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1319" w:type="dxa"/>
            <w:tcBorders>
              <w:left w:val="single" w:color="000000" w:sz="4" w:space="0"/>
              <w:bottom w:val="single" w:color="000000" w:sz="4" w:space="0"/>
            </w:tcBorders>
            <w:vAlign w:val="top"/>
          </w:tcPr>
          <w:p>
            <w:pPr>
              <w:spacing w:before="160" w:line="253" w:lineRule="exact"/>
              <w:ind w:left="523"/>
              <w:rPr>
                <w:rFonts w:ascii="宋体" w:hAnsi="宋体" w:eastAsia="宋体" w:cs="宋体"/>
                <w:sz w:val="18"/>
                <w:szCs w:val="18"/>
              </w:rPr>
            </w:pPr>
            <w:r>
              <w:rPr>
                <w:rFonts w:ascii="宋体" w:hAnsi="宋体" w:eastAsia="宋体" w:cs="宋体"/>
                <w:spacing w:val="-17"/>
                <w:position w:val="1"/>
                <w:sz w:val="18"/>
                <w:szCs w:val="18"/>
              </w:rPr>
              <w:t>4.6</w:t>
            </w:r>
          </w:p>
        </w:tc>
        <w:tc>
          <w:tcPr>
            <w:tcW w:w="5182" w:type="dxa"/>
            <w:tcBorders>
              <w:bottom w:val="single" w:color="000000" w:sz="4" w:space="0"/>
            </w:tcBorders>
            <w:vAlign w:val="top"/>
          </w:tcPr>
          <w:p>
            <w:pPr>
              <w:spacing w:before="143" w:line="242" w:lineRule="exact"/>
              <w:ind w:left="104"/>
              <w:rPr>
                <w:rFonts w:ascii="宋体" w:hAnsi="宋体" w:eastAsia="宋体" w:cs="宋体"/>
                <w:sz w:val="18"/>
                <w:szCs w:val="18"/>
              </w:rPr>
            </w:pPr>
            <w:r>
              <w:rPr>
                <w:rFonts w:ascii="宋体" w:hAnsi="宋体" w:eastAsia="宋体" w:cs="宋体"/>
                <w:spacing w:val="-2"/>
                <w:position w:val="1"/>
                <w:sz w:val="18"/>
                <w:szCs w:val="18"/>
              </w:rPr>
              <w:t>搭设遮阴（防寒）棚</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64" w:type="default"/>
          <w:pgSz w:w="11905" w:h="16840"/>
          <w:pgMar w:top="400" w:right="1407" w:bottom="1213" w:left="1407" w:header="0" w:footer="898" w:gutter="0"/>
        </w:sectPr>
      </w:pPr>
    </w:p>
    <w:p>
      <w:pPr>
        <w:spacing w:before="13"/>
      </w:pPr>
    </w:p>
    <w:p>
      <w:pPr>
        <w:spacing w:before="13"/>
      </w:pPr>
    </w:p>
    <w:p>
      <w:pPr>
        <w:spacing w:before="13"/>
      </w:pPr>
    </w:p>
    <w:p>
      <w:pPr>
        <w:spacing w:before="12"/>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5" w:line="187" w:lineRule="auto"/>
              <w:ind w:left="479"/>
              <w:rPr>
                <w:rFonts w:ascii="微软雅黑" w:hAnsi="微软雅黑" w:eastAsia="微软雅黑" w:cs="微软雅黑"/>
                <w:sz w:val="20"/>
                <w:szCs w:val="20"/>
              </w:rPr>
            </w:pPr>
            <w:r>
              <w:rPr>
                <w:rFonts w:ascii="微软雅黑" w:hAnsi="微软雅黑" w:eastAsia="微软雅黑" w:cs="微软雅黑"/>
                <w:spacing w:val="3"/>
                <w:sz w:val="20"/>
                <w:szCs w:val="20"/>
              </w:rPr>
              <w:t>序号</w:t>
            </w:r>
          </w:p>
        </w:tc>
        <w:tc>
          <w:tcPr>
            <w:tcW w:w="5182" w:type="dxa"/>
            <w:tcBorders>
              <w:top w:val="single" w:color="000000" w:sz="4" w:space="0"/>
            </w:tcBorders>
            <w:vAlign w:val="top"/>
          </w:tcPr>
          <w:p>
            <w:pPr>
              <w:spacing w:before="134" w:line="188" w:lineRule="auto"/>
              <w:ind w:left="2045"/>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2578" w:type="dxa"/>
            <w:tcBorders>
              <w:top w:val="single" w:color="000000" w:sz="4" w:space="0"/>
              <w:right w:val="single" w:color="000000" w:sz="4" w:space="0"/>
            </w:tcBorders>
            <w:vAlign w:val="top"/>
          </w:tcPr>
          <w:p>
            <w:pPr>
              <w:spacing w:before="135" w:line="187" w:lineRule="auto"/>
              <w:ind w:left="1123"/>
              <w:rPr>
                <w:rFonts w:ascii="微软雅黑" w:hAnsi="微软雅黑" w:eastAsia="微软雅黑" w:cs="微软雅黑"/>
                <w:sz w:val="20"/>
                <w:szCs w:val="20"/>
              </w:rPr>
            </w:pPr>
            <w:r>
              <w:rPr>
                <w:rFonts w:ascii="微软雅黑" w:hAnsi="微软雅黑" w:eastAsia="微软雅黑" w:cs="微软雅黑"/>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81" w:line="260" w:lineRule="exact"/>
              <w:ind w:left="523"/>
              <w:rPr>
                <w:rFonts w:ascii="宋体" w:hAnsi="宋体" w:eastAsia="宋体" w:cs="宋体"/>
                <w:sz w:val="18"/>
                <w:szCs w:val="18"/>
              </w:rPr>
            </w:pPr>
            <w:r>
              <w:rPr>
                <w:rFonts w:ascii="宋体" w:hAnsi="宋体" w:eastAsia="宋体" w:cs="宋体"/>
                <w:spacing w:val="-17"/>
                <w:position w:val="2"/>
                <w:sz w:val="18"/>
                <w:szCs w:val="18"/>
              </w:rPr>
              <w:t>4.7</w:t>
            </w:r>
          </w:p>
        </w:tc>
        <w:tc>
          <w:tcPr>
            <w:tcW w:w="5182" w:type="dxa"/>
            <w:vAlign w:val="top"/>
          </w:tcPr>
          <w:p>
            <w:pPr>
              <w:spacing w:before="85" w:line="211" w:lineRule="auto"/>
              <w:ind w:left="106"/>
              <w:rPr>
                <w:rFonts w:ascii="宋体" w:hAnsi="宋体" w:eastAsia="宋体" w:cs="宋体"/>
                <w:sz w:val="18"/>
                <w:szCs w:val="18"/>
              </w:rPr>
            </w:pPr>
            <w:r>
              <w:rPr>
                <w:rFonts w:ascii="宋体" w:hAnsi="宋体" w:eastAsia="宋体" w:cs="宋体"/>
                <w:spacing w:val="-3"/>
                <w:sz w:val="18"/>
                <w:szCs w:val="18"/>
              </w:rPr>
              <w:t>树木输液</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77" w:line="260" w:lineRule="exact"/>
              <w:ind w:left="523"/>
              <w:rPr>
                <w:rFonts w:ascii="宋体" w:hAnsi="宋体" w:eastAsia="宋体" w:cs="宋体"/>
                <w:sz w:val="18"/>
                <w:szCs w:val="18"/>
              </w:rPr>
            </w:pPr>
            <w:r>
              <w:rPr>
                <w:rFonts w:ascii="宋体" w:hAnsi="宋体" w:eastAsia="宋体" w:cs="宋体"/>
                <w:spacing w:val="-17"/>
                <w:position w:val="2"/>
                <w:sz w:val="18"/>
                <w:szCs w:val="18"/>
              </w:rPr>
              <w:t>4.8</w:t>
            </w:r>
          </w:p>
        </w:tc>
        <w:tc>
          <w:tcPr>
            <w:tcW w:w="5182" w:type="dxa"/>
            <w:vAlign w:val="top"/>
          </w:tcPr>
          <w:p>
            <w:pPr>
              <w:spacing w:before="83" w:line="211" w:lineRule="auto"/>
              <w:ind w:left="106"/>
              <w:rPr>
                <w:rFonts w:ascii="宋体" w:hAnsi="宋体" w:eastAsia="宋体" w:cs="宋体"/>
                <w:sz w:val="18"/>
                <w:szCs w:val="18"/>
              </w:rPr>
            </w:pPr>
            <w:r>
              <w:rPr>
                <w:rFonts w:ascii="宋体" w:hAnsi="宋体" w:eastAsia="宋体" w:cs="宋体"/>
                <w:spacing w:val="-3"/>
                <w:sz w:val="18"/>
                <w:szCs w:val="18"/>
              </w:rPr>
              <w:t>树干涂白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78" w:line="260" w:lineRule="exact"/>
              <w:ind w:left="523"/>
              <w:rPr>
                <w:rFonts w:ascii="宋体" w:hAnsi="宋体" w:eastAsia="宋体" w:cs="宋体"/>
                <w:sz w:val="18"/>
                <w:szCs w:val="18"/>
              </w:rPr>
            </w:pPr>
            <w:r>
              <w:rPr>
                <w:rFonts w:ascii="宋体" w:hAnsi="宋体" w:eastAsia="宋体" w:cs="宋体"/>
                <w:spacing w:val="-17"/>
                <w:position w:val="2"/>
                <w:sz w:val="18"/>
                <w:szCs w:val="18"/>
              </w:rPr>
              <w:t>4.9</w:t>
            </w:r>
          </w:p>
        </w:tc>
        <w:tc>
          <w:tcPr>
            <w:tcW w:w="5182" w:type="dxa"/>
            <w:vAlign w:val="top"/>
          </w:tcPr>
          <w:p>
            <w:pPr>
              <w:spacing w:before="85" w:line="210" w:lineRule="auto"/>
              <w:ind w:left="105"/>
              <w:rPr>
                <w:rFonts w:ascii="宋体" w:hAnsi="宋体" w:eastAsia="宋体" w:cs="宋体"/>
                <w:sz w:val="18"/>
                <w:szCs w:val="18"/>
              </w:rPr>
            </w:pPr>
            <w:r>
              <w:rPr>
                <w:rFonts w:ascii="宋体" w:hAnsi="宋体" w:eastAsia="宋体" w:cs="宋体"/>
                <w:spacing w:val="-2"/>
                <w:sz w:val="18"/>
                <w:szCs w:val="18"/>
              </w:rPr>
              <w:t>假植</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0" w:line="260" w:lineRule="exact"/>
              <w:ind w:left="477"/>
              <w:rPr>
                <w:rFonts w:ascii="宋体" w:hAnsi="宋体" w:eastAsia="宋体" w:cs="宋体"/>
                <w:sz w:val="18"/>
                <w:szCs w:val="18"/>
              </w:rPr>
            </w:pPr>
            <w:r>
              <w:rPr>
                <w:rFonts w:ascii="宋体" w:hAnsi="宋体" w:eastAsia="宋体" w:cs="宋体"/>
                <w:spacing w:val="-14"/>
                <w:position w:val="1"/>
                <w:sz w:val="18"/>
                <w:szCs w:val="18"/>
              </w:rPr>
              <w:t>4.10</w:t>
            </w:r>
          </w:p>
        </w:tc>
        <w:tc>
          <w:tcPr>
            <w:tcW w:w="5182" w:type="dxa"/>
            <w:vAlign w:val="top"/>
          </w:tcPr>
          <w:p>
            <w:pPr>
              <w:spacing w:before="85" w:line="212" w:lineRule="auto"/>
              <w:ind w:left="105"/>
              <w:rPr>
                <w:rFonts w:ascii="宋体" w:hAnsi="宋体" w:eastAsia="宋体" w:cs="宋体"/>
                <w:sz w:val="18"/>
                <w:szCs w:val="18"/>
              </w:rPr>
            </w:pPr>
            <w:r>
              <w:rPr>
                <w:rFonts w:ascii="宋体" w:hAnsi="宋体" w:eastAsia="宋体" w:cs="宋体"/>
                <w:spacing w:val="-2"/>
                <w:sz w:val="18"/>
                <w:szCs w:val="18"/>
              </w:rPr>
              <w:t>设施顶面绿化垂直运输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2" w:line="260" w:lineRule="exact"/>
              <w:ind w:left="477"/>
              <w:rPr>
                <w:rFonts w:ascii="宋体" w:hAnsi="宋体" w:eastAsia="宋体" w:cs="宋体"/>
                <w:sz w:val="18"/>
                <w:szCs w:val="18"/>
              </w:rPr>
            </w:pPr>
            <w:r>
              <w:rPr>
                <w:rFonts w:ascii="宋体" w:hAnsi="宋体" w:eastAsia="宋体" w:cs="宋体"/>
                <w:spacing w:val="-14"/>
                <w:position w:val="1"/>
                <w:sz w:val="18"/>
                <w:szCs w:val="18"/>
              </w:rPr>
              <w:t>4.11</w:t>
            </w:r>
          </w:p>
        </w:tc>
        <w:tc>
          <w:tcPr>
            <w:tcW w:w="5182" w:type="dxa"/>
            <w:vAlign w:val="top"/>
          </w:tcPr>
          <w:p>
            <w:pPr>
              <w:spacing w:before="87" w:line="210" w:lineRule="auto"/>
              <w:ind w:left="112"/>
              <w:rPr>
                <w:rFonts w:ascii="宋体" w:hAnsi="宋体" w:eastAsia="宋体" w:cs="宋体"/>
                <w:sz w:val="18"/>
                <w:szCs w:val="18"/>
              </w:rPr>
            </w:pPr>
            <w:r>
              <w:rPr>
                <w:rFonts w:ascii="宋体" w:hAnsi="宋体" w:eastAsia="宋体" w:cs="宋体"/>
                <w:spacing w:val="-3"/>
                <w:sz w:val="18"/>
                <w:szCs w:val="18"/>
              </w:rPr>
              <w:t>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84" w:line="260" w:lineRule="exact"/>
              <w:ind w:left="477"/>
              <w:rPr>
                <w:rFonts w:ascii="宋体" w:hAnsi="宋体" w:eastAsia="宋体" w:cs="宋体"/>
                <w:sz w:val="18"/>
                <w:szCs w:val="18"/>
              </w:rPr>
            </w:pPr>
            <w:r>
              <w:rPr>
                <w:rFonts w:ascii="宋体" w:hAnsi="宋体" w:eastAsia="宋体" w:cs="宋体"/>
                <w:spacing w:val="-14"/>
                <w:position w:val="1"/>
                <w:sz w:val="18"/>
                <w:szCs w:val="18"/>
              </w:rPr>
              <w:t>4.12</w:t>
            </w:r>
          </w:p>
        </w:tc>
        <w:tc>
          <w:tcPr>
            <w:tcW w:w="5182" w:type="dxa"/>
            <w:vAlign w:val="top"/>
          </w:tcPr>
          <w:p>
            <w:pPr>
              <w:spacing w:before="93" w:line="206" w:lineRule="auto"/>
              <w:ind w:left="138"/>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3" w:line="259" w:lineRule="exact"/>
              <w:ind w:left="477"/>
              <w:rPr>
                <w:rFonts w:ascii="宋体" w:hAnsi="宋体" w:eastAsia="宋体" w:cs="宋体"/>
                <w:sz w:val="18"/>
                <w:szCs w:val="18"/>
              </w:rPr>
            </w:pPr>
            <w:r>
              <w:rPr>
                <w:rFonts w:ascii="宋体" w:hAnsi="宋体" w:eastAsia="宋体" w:cs="宋体"/>
                <w:spacing w:val="-14"/>
                <w:position w:val="1"/>
                <w:sz w:val="18"/>
                <w:szCs w:val="18"/>
              </w:rPr>
              <w:t>4.13</w:t>
            </w:r>
          </w:p>
        </w:tc>
        <w:tc>
          <w:tcPr>
            <w:tcW w:w="5182" w:type="dxa"/>
            <w:vAlign w:val="top"/>
          </w:tcPr>
          <w:p>
            <w:pPr>
              <w:spacing w:before="76"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2" w:hRule="atLeast"/>
        </w:trPr>
        <w:tc>
          <w:tcPr>
            <w:tcW w:w="1319" w:type="dxa"/>
            <w:tcBorders>
              <w:left w:val="single" w:color="000000" w:sz="4" w:space="0"/>
            </w:tcBorders>
            <w:vAlign w:val="top"/>
          </w:tcPr>
          <w:p>
            <w:pPr>
              <w:spacing w:before="84" w:line="233" w:lineRule="auto"/>
              <w:ind w:left="477"/>
              <w:rPr>
                <w:rFonts w:ascii="宋体" w:hAnsi="宋体" w:eastAsia="宋体" w:cs="宋体"/>
                <w:sz w:val="18"/>
                <w:szCs w:val="18"/>
              </w:rPr>
            </w:pPr>
            <w:r>
              <w:rPr>
                <w:rFonts w:ascii="宋体" w:hAnsi="宋体" w:eastAsia="宋体" w:cs="宋体"/>
                <w:spacing w:val="-14"/>
                <w:sz w:val="18"/>
                <w:szCs w:val="18"/>
              </w:rPr>
              <w:t>4.14</w:t>
            </w:r>
          </w:p>
        </w:tc>
        <w:tc>
          <w:tcPr>
            <w:tcW w:w="5182" w:type="dxa"/>
            <w:vAlign w:val="top"/>
          </w:tcPr>
          <w:p>
            <w:pPr>
              <w:spacing w:before="90"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76"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6" w:hRule="atLeast"/>
        </w:trPr>
        <w:tc>
          <w:tcPr>
            <w:tcW w:w="1319" w:type="dxa"/>
            <w:tcBorders>
              <w:left w:val="single" w:color="000000" w:sz="4" w:space="0"/>
            </w:tcBorders>
            <w:vAlign w:val="top"/>
          </w:tcPr>
          <w:p>
            <w:pPr>
              <w:spacing w:before="84" w:line="241" w:lineRule="exact"/>
              <w:ind w:left="477"/>
              <w:rPr>
                <w:rFonts w:ascii="宋体" w:hAnsi="宋体" w:eastAsia="宋体" w:cs="宋体"/>
                <w:sz w:val="18"/>
                <w:szCs w:val="18"/>
              </w:rPr>
            </w:pPr>
            <w:r>
              <w:rPr>
                <w:rFonts w:ascii="宋体" w:hAnsi="宋体" w:eastAsia="宋体" w:cs="宋体"/>
                <w:spacing w:val="-14"/>
                <w:position w:val="1"/>
                <w:sz w:val="18"/>
                <w:szCs w:val="18"/>
              </w:rPr>
              <w:t>4.15</w:t>
            </w:r>
          </w:p>
        </w:tc>
        <w:tc>
          <w:tcPr>
            <w:tcW w:w="5182" w:type="dxa"/>
            <w:vAlign w:val="top"/>
          </w:tcPr>
          <w:p>
            <w:pPr>
              <w:spacing w:before="84" w:line="241"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78"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4" w:line="260" w:lineRule="exact"/>
              <w:ind w:left="477"/>
              <w:rPr>
                <w:rFonts w:ascii="宋体" w:hAnsi="宋体" w:eastAsia="宋体" w:cs="宋体"/>
                <w:sz w:val="18"/>
                <w:szCs w:val="18"/>
              </w:rPr>
            </w:pPr>
            <w:r>
              <w:rPr>
                <w:rFonts w:ascii="宋体" w:hAnsi="宋体" w:eastAsia="宋体" w:cs="宋体"/>
                <w:spacing w:val="-14"/>
                <w:position w:val="1"/>
                <w:sz w:val="18"/>
                <w:szCs w:val="18"/>
              </w:rPr>
              <w:t>4.16</w:t>
            </w:r>
          </w:p>
        </w:tc>
        <w:tc>
          <w:tcPr>
            <w:tcW w:w="5182" w:type="dxa"/>
            <w:vAlign w:val="top"/>
          </w:tcPr>
          <w:p>
            <w:pPr>
              <w:spacing w:before="87"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8" w:line="261" w:lineRule="exact"/>
              <w:ind w:left="615"/>
              <w:rPr>
                <w:rFonts w:ascii="宋体" w:hAnsi="宋体" w:eastAsia="宋体" w:cs="宋体"/>
                <w:sz w:val="18"/>
                <w:szCs w:val="18"/>
              </w:rPr>
            </w:pPr>
            <w:r>
              <w:rPr>
                <w:rFonts w:ascii="宋体" w:hAnsi="宋体" w:eastAsia="宋体" w:cs="宋体"/>
                <w:b/>
                <w:bCs/>
                <w:spacing w:val="-2"/>
                <w:position w:val="2"/>
                <w:sz w:val="18"/>
                <w:szCs w:val="18"/>
              </w:rPr>
              <w:t>5</w:t>
            </w:r>
          </w:p>
        </w:tc>
        <w:tc>
          <w:tcPr>
            <w:tcW w:w="5182" w:type="dxa"/>
            <w:vAlign w:val="top"/>
          </w:tcPr>
          <w:p>
            <w:pPr>
              <w:spacing w:before="89" w:line="215" w:lineRule="auto"/>
              <w:ind w:left="2056"/>
              <w:rPr>
                <w:rFonts w:ascii="宋体" w:hAnsi="宋体" w:eastAsia="宋体" w:cs="宋体"/>
                <w:sz w:val="18"/>
                <w:szCs w:val="18"/>
              </w:rPr>
            </w:pPr>
            <w:r>
              <w:rPr>
                <w:rFonts w:ascii="宋体" w:hAnsi="宋体" w:eastAsia="宋体" w:cs="宋体"/>
                <w:b/>
                <w:bCs/>
                <w:spacing w:val="-5"/>
                <w:sz w:val="18"/>
                <w:szCs w:val="18"/>
              </w:rPr>
              <w:t>仿古建筑工程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71" w:line="260" w:lineRule="exact"/>
              <w:ind w:left="531"/>
              <w:rPr>
                <w:rFonts w:ascii="宋体" w:hAnsi="宋体" w:eastAsia="宋体" w:cs="宋体"/>
                <w:sz w:val="18"/>
                <w:szCs w:val="18"/>
              </w:rPr>
            </w:pPr>
            <w:r>
              <w:rPr>
                <w:rFonts w:ascii="宋体" w:hAnsi="宋体" w:eastAsia="宋体" w:cs="宋体"/>
                <w:spacing w:val="-19"/>
                <w:position w:val="1"/>
                <w:sz w:val="18"/>
                <w:szCs w:val="18"/>
              </w:rPr>
              <w:t>5.1</w:t>
            </w:r>
          </w:p>
        </w:tc>
        <w:tc>
          <w:tcPr>
            <w:tcW w:w="5182" w:type="dxa"/>
            <w:vAlign w:val="top"/>
          </w:tcPr>
          <w:p>
            <w:pPr>
              <w:spacing w:before="80"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9" w:line="260" w:lineRule="exact"/>
              <w:ind w:left="531"/>
              <w:rPr>
                <w:rFonts w:ascii="宋体" w:hAnsi="宋体" w:eastAsia="宋体" w:cs="宋体"/>
                <w:sz w:val="18"/>
                <w:szCs w:val="18"/>
              </w:rPr>
            </w:pPr>
            <w:r>
              <w:rPr>
                <w:rFonts w:ascii="宋体" w:hAnsi="宋体" w:eastAsia="宋体" w:cs="宋体"/>
                <w:spacing w:val="-19"/>
                <w:position w:val="2"/>
                <w:sz w:val="18"/>
                <w:szCs w:val="18"/>
              </w:rPr>
              <w:t>5.2</w:t>
            </w:r>
          </w:p>
        </w:tc>
        <w:tc>
          <w:tcPr>
            <w:tcW w:w="5182" w:type="dxa"/>
            <w:vAlign w:val="top"/>
          </w:tcPr>
          <w:p>
            <w:pPr>
              <w:spacing w:before="97" w:line="212" w:lineRule="auto"/>
              <w:ind w:left="104"/>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6" w:line="260" w:lineRule="exact"/>
              <w:ind w:left="531"/>
              <w:rPr>
                <w:rFonts w:ascii="宋体" w:hAnsi="宋体" w:eastAsia="宋体" w:cs="宋体"/>
                <w:sz w:val="18"/>
                <w:szCs w:val="18"/>
              </w:rPr>
            </w:pPr>
            <w:r>
              <w:rPr>
                <w:rFonts w:ascii="宋体" w:hAnsi="宋体" w:eastAsia="宋体" w:cs="宋体"/>
                <w:spacing w:val="-19"/>
                <w:position w:val="2"/>
                <w:sz w:val="18"/>
                <w:szCs w:val="18"/>
              </w:rPr>
              <w:t>5.3</w:t>
            </w:r>
          </w:p>
        </w:tc>
        <w:tc>
          <w:tcPr>
            <w:tcW w:w="5182" w:type="dxa"/>
            <w:vAlign w:val="top"/>
          </w:tcPr>
          <w:p>
            <w:pPr>
              <w:spacing w:before="92"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8" w:line="260" w:lineRule="exact"/>
              <w:ind w:left="531"/>
              <w:rPr>
                <w:rFonts w:ascii="宋体" w:hAnsi="宋体" w:eastAsia="宋体" w:cs="宋体"/>
                <w:sz w:val="18"/>
                <w:szCs w:val="18"/>
              </w:rPr>
            </w:pPr>
            <w:r>
              <w:rPr>
                <w:rFonts w:ascii="宋体" w:hAnsi="宋体" w:eastAsia="宋体" w:cs="宋体"/>
                <w:spacing w:val="-19"/>
                <w:position w:val="2"/>
                <w:sz w:val="18"/>
                <w:szCs w:val="18"/>
              </w:rPr>
              <w:t>5.4</w:t>
            </w:r>
          </w:p>
        </w:tc>
        <w:tc>
          <w:tcPr>
            <w:tcW w:w="5182" w:type="dxa"/>
            <w:vAlign w:val="top"/>
          </w:tcPr>
          <w:p>
            <w:pPr>
              <w:spacing w:before="84"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90" w:line="260" w:lineRule="exact"/>
              <w:ind w:left="531"/>
              <w:rPr>
                <w:rFonts w:ascii="宋体" w:hAnsi="宋体" w:eastAsia="宋体" w:cs="宋体"/>
                <w:sz w:val="18"/>
                <w:szCs w:val="18"/>
              </w:rPr>
            </w:pPr>
            <w:r>
              <w:rPr>
                <w:rFonts w:ascii="宋体" w:hAnsi="宋体" w:eastAsia="宋体" w:cs="宋体"/>
                <w:spacing w:val="-19"/>
                <w:position w:val="2"/>
                <w:sz w:val="18"/>
                <w:szCs w:val="18"/>
              </w:rPr>
              <w:t>5.5</w:t>
            </w:r>
          </w:p>
        </w:tc>
        <w:tc>
          <w:tcPr>
            <w:tcW w:w="5182" w:type="dxa"/>
            <w:vAlign w:val="top"/>
          </w:tcPr>
          <w:p>
            <w:pPr>
              <w:spacing w:before="96"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91" w:line="260" w:lineRule="exact"/>
              <w:ind w:left="531"/>
              <w:rPr>
                <w:rFonts w:ascii="宋体" w:hAnsi="宋体" w:eastAsia="宋体" w:cs="宋体"/>
                <w:sz w:val="18"/>
                <w:szCs w:val="18"/>
              </w:rPr>
            </w:pPr>
            <w:r>
              <w:rPr>
                <w:rFonts w:ascii="宋体" w:hAnsi="宋体" w:eastAsia="宋体" w:cs="宋体"/>
                <w:spacing w:val="-19"/>
                <w:position w:val="2"/>
                <w:sz w:val="18"/>
                <w:szCs w:val="18"/>
              </w:rPr>
              <w:t>5.6</w:t>
            </w:r>
          </w:p>
        </w:tc>
        <w:tc>
          <w:tcPr>
            <w:tcW w:w="5182" w:type="dxa"/>
            <w:vAlign w:val="top"/>
          </w:tcPr>
          <w:p>
            <w:pPr>
              <w:spacing w:before="96"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83"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93" w:line="260" w:lineRule="exact"/>
              <w:ind w:left="531"/>
              <w:rPr>
                <w:rFonts w:ascii="宋体" w:hAnsi="宋体" w:eastAsia="宋体" w:cs="宋体"/>
                <w:sz w:val="18"/>
                <w:szCs w:val="18"/>
              </w:rPr>
            </w:pPr>
            <w:r>
              <w:rPr>
                <w:rFonts w:ascii="宋体" w:hAnsi="宋体" w:eastAsia="宋体" w:cs="宋体"/>
                <w:spacing w:val="-19"/>
                <w:position w:val="2"/>
                <w:sz w:val="18"/>
                <w:szCs w:val="18"/>
              </w:rPr>
              <w:t>5.7</w:t>
            </w:r>
          </w:p>
        </w:tc>
        <w:tc>
          <w:tcPr>
            <w:tcW w:w="5182" w:type="dxa"/>
            <w:vAlign w:val="top"/>
          </w:tcPr>
          <w:p>
            <w:pPr>
              <w:spacing w:before="93" w:line="242"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85"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93" w:line="259" w:lineRule="exact"/>
              <w:ind w:left="531"/>
              <w:rPr>
                <w:rFonts w:ascii="宋体" w:hAnsi="宋体" w:eastAsia="宋体" w:cs="宋体"/>
                <w:sz w:val="18"/>
                <w:szCs w:val="18"/>
              </w:rPr>
            </w:pPr>
            <w:r>
              <w:rPr>
                <w:rFonts w:ascii="宋体" w:hAnsi="宋体" w:eastAsia="宋体" w:cs="宋体"/>
                <w:spacing w:val="-19"/>
                <w:position w:val="2"/>
                <w:sz w:val="18"/>
                <w:szCs w:val="18"/>
              </w:rPr>
              <w:t>5.8</w:t>
            </w:r>
          </w:p>
        </w:tc>
        <w:tc>
          <w:tcPr>
            <w:tcW w:w="5182" w:type="dxa"/>
            <w:vAlign w:val="top"/>
          </w:tcPr>
          <w:p>
            <w:pPr>
              <w:spacing w:before="96"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94" w:line="260" w:lineRule="exact"/>
              <w:ind w:left="618"/>
              <w:rPr>
                <w:rFonts w:ascii="宋体" w:hAnsi="宋体" w:eastAsia="宋体" w:cs="宋体"/>
                <w:sz w:val="18"/>
                <w:szCs w:val="18"/>
              </w:rPr>
            </w:pPr>
            <w:r>
              <w:rPr>
                <w:rFonts w:ascii="宋体" w:hAnsi="宋体" w:eastAsia="宋体" w:cs="宋体"/>
                <w:b/>
                <w:bCs/>
                <w:spacing w:val="-2"/>
                <w:position w:val="2"/>
                <w:sz w:val="18"/>
                <w:szCs w:val="18"/>
              </w:rPr>
              <w:t>6</w:t>
            </w:r>
          </w:p>
        </w:tc>
        <w:tc>
          <w:tcPr>
            <w:tcW w:w="5182" w:type="dxa"/>
            <w:vAlign w:val="top"/>
          </w:tcPr>
          <w:p>
            <w:pPr>
              <w:spacing w:before="96" w:line="215" w:lineRule="auto"/>
              <w:ind w:left="1878"/>
              <w:rPr>
                <w:rFonts w:ascii="宋体" w:hAnsi="宋体" w:eastAsia="宋体" w:cs="宋体"/>
                <w:sz w:val="18"/>
                <w:szCs w:val="18"/>
              </w:rPr>
            </w:pPr>
            <w:r>
              <w:rPr>
                <w:rFonts w:ascii="宋体" w:hAnsi="宋体" w:eastAsia="宋体" w:cs="宋体"/>
                <w:b/>
                <w:bCs/>
                <w:spacing w:val="-4"/>
                <w:sz w:val="18"/>
                <w:szCs w:val="18"/>
              </w:rPr>
              <w:t>房屋修缮建筑工程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79" w:line="260" w:lineRule="exact"/>
              <w:ind w:left="529"/>
              <w:rPr>
                <w:rFonts w:ascii="宋体" w:hAnsi="宋体" w:eastAsia="宋体" w:cs="宋体"/>
                <w:sz w:val="18"/>
                <w:szCs w:val="18"/>
              </w:rPr>
            </w:pPr>
            <w:r>
              <w:rPr>
                <w:rFonts w:ascii="宋体" w:hAnsi="宋体" w:eastAsia="宋体" w:cs="宋体"/>
                <w:spacing w:val="-19"/>
                <w:position w:val="1"/>
                <w:sz w:val="18"/>
                <w:szCs w:val="18"/>
              </w:rPr>
              <w:t>6.1</w:t>
            </w:r>
          </w:p>
        </w:tc>
        <w:tc>
          <w:tcPr>
            <w:tcW w:w="5182" w:type="dxa"/>
            <w:vAlign w:val="top"/>
          </w:tcPr>
          <w:p>
            <w:pPr>
              <w:spacing w:before="87"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0" w:line="260" w:lineRule="exact"/>
              <w:ind w:left="529"/>
              <w:rPr>
                <w:rFonts w:ascii="宋体" w:hAnsi="宋体" w:eastAsia="宋体" w:cs="宋体"/>
                <w:sz w:val="18"/>
                <w:szCs w:val="18"/>
              </w:rPr>
            </w:pPr>
            <w:r>
              <w:rPr>
                <w:rFonts w:ascii="宋体" w:hAnsi="宋体" w:eastAsia="宋体" w:cs="宋体"/>
                <w:spacing w:val="-19"/>
                <w:position w:val="2"/>
                <w:sz w:val="18"/>
                <w:szCs w:val="18"/>
              </w:rPr>
              <w:t>6.2</w:t>
            </w:r>
          </w:p>
        </w:tc>
        <w:tc>
          <w:tcPr>
            <w:tcW w:w="5182" w:type="dxa"/>
            <w:vAlign w:val="top"/>
          </w:tcPr>
          <w:p>
            <w:pPr>
              <w:spacing w:before="83" w:line="212" w:lineRule="auto"/>
              <w:ind w:left="104"/>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2" w:line="260" w:lineRule="exact"/>
              <w:ind w:left="529"/>
              <w:rPr>
                <w:rFonts w:ascii="宋体" w:hAnsi="宋体" w:eastAsia="宋体" w:cs="宋体"/>
                <w:sz w:val="18"/>
                <w:szCs w:val="18"/>
              </w:rPr>
            </w:pPr>
            <w:r>
              <w:rPr>
                <w:rFonts w:ascii="宋体" w:hAnsi="宋体" w:eastAsia="宋体" w:cs="宋体"/>
                <w:spacing w:val="-19"/>
                <w:position w:val="2"/>
                <w:sz w:val="18"/>
                <w:szCs w:val="18"/>
              </w:rPr>
              <w:t>6.3</w:t>
            </w:r>
          </w:p>
        </w:tc>
        <w:tc>
          <w:tcPr>
            <w:tcW w:w="5182" w:type="dxa"/>
            <w:vAlign w:val="top"/>
          </w:tcPr>
          <w:p>
            <w:pPr>
              <w:spacing w:before="86"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79" w:line="260" w:lineRule="exact"/>
              <w:ind w:left="529"/>
              <w:rPr>
                <w:rFonts w:ascii="宋体" w:hAnsi="宋体" w:eastAsia="宋体" w:cs="宋体"/>
                <w:sz w:val="18"/>
                <w:szCs w:val="18"/>
              </w:rPr>
            </w:pPr>
            <w:r>
              <w:rPr>
                <w:rFonts w:ascii="宋体" w:hAnsi="宋体" w:eastAsia="宋体" w:cs="宋体"/>
                <w:spacing w:val="-18"/>
                <w:w w:val="99"/>
                <w:position w:val="2"/>
                <w:sz w:val="18"/>
                <w:szCs w:val="18"/>
              </w:rPr>
              <w:t>6.4</w:t>
            </w:r>
          </w:p>
        </w:tc>
        <w:tc>
          <w:tcPr>
            <w:tcW w:w="5182" w:type="dxa"/>
            <w:vAlign w:val="top"/>
          </w:tcPr>
          <w:p>
            <w:pPr>
              <w:spacing w:before="75"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81" w:line="260" w:lineRule="exact"/>
              <w:ind w:left="529"/>
              <w:rPr>
                <w:rFonts w:ascii="宋体" w:hAnsi="宋体" w:eastAsia="宋体" w:cs="宋体"/>
                <w:sz w:val="18"/>
                <w:szCs w:val="18"/>
              </w:rPr>
            </w:pPr>
            <w:r>
              <w:rPr>
                <w:rFonts w:ascii="宋体" w:hAnsi="宋体" w:eastAsia="宋体" w:cs="宋体"/>
                <w:spacing w:val="-19"/>
                <w:position w:val="2"/>
                <w:sz w:val="18"/>
                <w:szCs w:val="18"/>
              </w:rPr>
              <w:t>6.5</w:t>
            </w:r>
          </w:p>
        </w:tc>
        <w:tc>
          <w:tcPr>
            <w:tcW w:w="5182" w:type="dxa"/>
            <w:vAlign w:val="top"/>
          </w:tcPr>
          <w:p>
            <w:pPr>
              <w:spacing w:before="87"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2" w:line="260" w:lineRule="exact"/>
              <w:ind w:left="529"/>
              <w:rPr>
                <w:rFonts w:ascii="宋体" w:hAnsi="宋体" w:eastAsia="宋体" w:cs="宋体"/>
                <w:sz w:val="18"/>
                <w:szCs w:val="18"/>
              </w:rPr>
            </w:pPr>
            <w:r>
              <w:rPr>
                <w:rFonts w:ascii="宋体" w:hAnsi="宋体" w:eastAsia="宋体" w:cs="宋体"/>
                <w:spacing w:val="-19"/>
                <w:position w:val="2"/>
                <w:sz w:val="18"/>
                <w:szCs w:val="18"/>
              </w:rPr>
              <w:t>6.6</w:t>
            </w:r>
          </w:p>
        </w:tc>
        <w:tc>
          <w:tcPr>
            <w:tcW w:w="5182" w:type="dxa"/>
            <w:vAlign w:val="top"/>
          </w:tcPr>
          <w:p>
            <w:pPr>
              <w:spacing w:before="89"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91" w:line="208" w:lineRule="auto"/>
              <w:ind w:left="75"/>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2" w:hRule="atLeast"/>
        </w:trPr>
        <w:tc>
          <w:tcPr>
            <w:tcW w:w="1319" w:type="dxa"/>
            <w:tcBorders>
              <w:left w:val="single" w:color="000000" w:sz="4" w:space="0"/>
            </w:tcBorders>
            <w:vAlign w:val="top"/>
          </w:tcPr>
          <w:p>
            <w:pPr>
              <w:spacing w:before="84" w:line="247" w:lineRule="exact"/>
              <w:ind w:left="529"/>
              <w:rPr>
                <w:rFonts w:ascii="宋体" w:hAnsi="宋体" w:eastAsia="宋体" w:cs="宋体"/>
                <w:sz w:val="18"/>
                <w:szCs w:val="18"/>
              </w:rPr>
            </w:pPr>
            <w:r>
              <w:rPr>
                <w:rFonts w:ascii="宋体" w:hAnsi="宋体" w:eastAsia="宋体" w:cs="宋体"/>
                <w:spacing w:val="-19"/>
                <w:position w:val="1"/>
                <w:sz w:val="18"/>
                <w:szCs w:val="18"/>
              </w:rPr>
              <w:t>6.7</w:t>
            </w:r>
          </w:p>
        </w:tc>
        <w:tc>
          <w:tcPr>
            <w:tcW w:w="5182" w:type="dxa"/>
            <w:vAlign w:val="top"/>
          </w:tcPr>
          <w:p>
            <w:pPr>
              <w:spacing w:before="84" w:line="242"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90" w:line="208" w:lineRule="auto"/>
              <w:ind w:left="75"/>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5" w:line="260" w:lineRule="exact"/>
              <w:ind w:left="529"/>
              <w:rPr>
                <w:rFonts w:ascii="宋体" w:hAnsi="宋体" w:eastAsia="宋体" w:cs="宋体"/>
                <w:sz w:val="18"/>
                <w:szCs w:val="18"/>
              </w:rPr>
            </w:pPr>
            <w:r>
              <w:rPr>
                <w:rFonts w:ascii="宋体" w:hAnsi="宋体" w:eastAsia="宋体" w:cs="宋体"/>
                <w:spacing w:val="-19"/>
                <w:position w:val="2"/>
                <w:sz w:val="18"/>
                <w:szCs w:val="18"/>
              </w:rPr>
              <w:t>6.8</w:t>
            </w:r>
          </w:p>
        </w:tc>
        <w:tc>
          <w:tcPr>
            <w:tcW w:w="5182" w:type="dxa"/>
            <w:vAlign w:val="top"/>
          </w:tcPr>
          <w:p>
            <w:pPr>
              <w:spacing w:before="88"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87" w:line="261" w:lineRule="exact"/>
              <w:ind w:left="616"/>
              <w:rPr>
                <w:rFonts w:ascii="宋体" w:hAnsi="宋体" w:eastAsia="宋体" w:cs="宋体"/>
                <w:sz w:val="18"/>
                <w:szCs w:val="18"/>
              </w:rPr>
            </w:pPr>
            <w:r>
              <w:rPr>
                <w:rFonts w:ascii="宋体" w:hAnsi="宋体" w:eastAsia="宋体" w:cs="宋体"/>
                <w:b/>
                <w:bCs/>
                <w:spacing w:val="-2"/>
                <w:position w:val="2"/>
                <w:sz w:val="18"/>
                <w:szCs w:val="18"/>
              </w:rPr>
              <w:t>7</w:t>
            </w:r>
          </w:p>
        </w:tc>
        <w:tc>
          <w:tcPr>
            <w:tcW w:w="5182" w:type="dxa"/>
            <w:vAlign w:val="top"/>
          </w:tcPr>
          <w:p>
            <w:pPr>
              <w:spacing w:before="101" w:line="215" w:lineRule="auto"/>
              <w:ind w:left="1966"/>
              <w:rPr>
                <w:rFonts w:ascii="宋体" w:hAnsi="宋体" w:eastAsia="宋体" w:cs="宋体"/>
                <w:sz w:val="18"/>
                <w:szCs w:val="18"/>
              </w:rPr>
            </w:pPr>
            <w:r>
              <w:rPr>
                <w:rFonts w:ascii="宋体" w:hAnsi="宋体" w:eastAsia="宋体" w:cs="宋体"/>
                <w:b/>
                <w:bCs/>
                <w:spacing w:val="-5"/>
                <w:sz w:val="18"/>
                <w:szCs w:val="18"/>
              </w:rPr>
              <w:t>古建筑修缮工程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left w:val="single" w:color="000000" w:sz="4" w:space="0"/>
            </w:tcBorders>
            <w:vAlign w:val="top"/>
          </w:tcPr>
          <w:p>
            <w:pPr>
              <w:spacing w:before="87" w:line="259" w:lineRule="exact"/>
              <w:ind w:left="529"/>
              <w:rPr>
                <w:rFonts w:ascii="宋体" w:hAnsi="宋体" w:eastAsia="宋体" w:cs="宋体"/>
                <w:sz w:val="18"/>
                <w:szCs w:val="18"/>
              </w:rPr>
            </w:pPr>
            <w:r>
              <w:rPr>
                <w:rFonts w:ascii="宋体" w:hAnsi="宋体" w:eastAsia="宋体" w:cs="宋体"/>
                <w:spacing w:val="-18"/>
                <w:position w:val="1"/>
                <w:sz w:val="18"/>
                <w:szCs w:val="18"/>
              </w:rPr>
              <w:t>7.1</w:t>
            </w:r>
          </w:p>
        </w:tc>
        <w:tc>
          <w:tcPr>
            <w:tcW w:w="5182" w:type="dxa"/>
            <w:vAlign w:val="top"/>
          </w:tcPr>
          <w:p>
            <w:pPr>
              <w:spacing w:before="93"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left w:val="single" w:color="000000" w:sz="4" w:space="0"/>
            </w:tcBorders>
            <w:vAlign w:val="top"/>
          </w:tcPr>
          <w:p>
            <w:pPr>
              <w:spacing w:before="86" w:line="260" w:lineRule="exact"/>
              <w:ind w:left="529"/>
              <w:rPr>
                <w:rFonts w:ascii="宋体" w:hAnsi="宋体" w:eastAsia="宋体" w:cs="宋体"/>
                <w:sz w:val="18"/>
                <w:szCs w:val="18"/>
              </w:rPr>
            </w:pPr>
            <w:r>
              <w:rPr>
                <w:rFonts w:ascii="宋体" w:hAnsi="宋体" w:eastAsia="宋体" w:cs="宋体"/>
                <w:spacing w:val="-18"/>
                <w:position w:val="2"/>
                <w:sz w:val="18"/>
                <w:szCs w:val="18"/>
              </w:rPr>
              <w:t>7.2</w:t>
            </w:r>
          </w:p>
        </w:tc>
        <w:tc>
          <w:tcPr>
            <w:tcW w:w="5182" w:type="dxa"/>
            <w:vAlign w:val="top"/>
          </w:tcPr>
          <w:p>
            <w:pPr>
              <w:spacing w:before="96" w:line="212" w:lineRule="auto"/>
              <w:ind w:left="104"/>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4" w:hRule="atLeast"/>
        </w:trPr>
        <w:tc>
          <w:tcPr>
            <w:tcW w:w="1319" w:type="dxa"/>
            <w:tcBorders>
              <w:left w:val="single" w:color="000000" w:sz="4" w:space="0"/>
            </w:tcBorders>
            <w:vAlign w:val="top"/>
          </w:tcPr>
          <w:p>
            <w:pPr>
              <w:spacing w:before="88" w:line="255" w:lineRule="exact"/>
              <w:ind w:left="529"/>
              <w:rPr>
                <w:rFonts w:ascii="宋体" w:hAnsi="宋体" w:eastAsia="宋体" w:cs="宋体"/>
                <w:sz w:val="18"/>
                <w:szCs w:val="18"/>
              </w:rPr>
            </w:pPr>
            <w:r>
              <w:rPr>
                <w:rFonts w:ascii="宋体" w:hAnsi="宋体" w:eastAsia="宋体" w:cs="宋体"/>
                <w:spacing w:val="-18"/>
                <w:position w:val="1"/>
                <w:sz w:val="18"/>
                <w:szCs w:val="18"/>
              </w:rPr>
              <w:t>7.3</w:t>
            </w:r>
          </w:p>
        </w:tc>
        <w:tc>
          <w:tcPr>
            <w:tcW w:w="5182" w:type="dxa"/>
            <w:vAlign w:val="top"/>
          </w:tcPr>
          <w:p>
            <w:pPr>
              <w:spacing w:before="92"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1" w:hRule="atLeast"/>
        </w:trPr>
        <w:tc>
          <w:tcPr>
            <w:tcW w:w="1319" w:type="dxa"/>
            <w:tcBorders>
              <w:left w:val="single" w:color="000000" w:sz="4" w:space="0"/>
              <w:bottom w:val="single" w:color="000000" w:sz="4" w:space="0"/>
            </w:tcBorders>
            <w:vAlign w:val="top"/>
          </w:tcPr>
          <w:p>
            <w:pPr>
              <w:spacing w:before="89" w:line="237" w:lineRule="auto"/>
              <w:ind w:left="529"/>
              <w:rPr>
                <w:rFonts w:ascii="宋体" w:hAnsi="宋体" w:eastAsia="宋体" w:cs="宋体"/>
                <w:sz w:val="18"/>
                <w:szCs w:val="18"/>
              </w:rPr>
            </w:pPr>
            <w:r>
              <w:rPr>
                <w:rFonts w:ascii="宋体" w:hAnsi="宋体" w:eastAsia="宋体" w:cs="宋体"/>
                <w:spacing w:val="-18"/>
                <w:sz w:val="18"/>
                <w:szCs w:val="18"/>
              </w:rPr>
              <w:t>7.4</w:t>
            </w:r>
          </w:p>
        </w:tc>
        <w:tc>
          <w:tcPr>
            <w:tcW w:w="5182" w:type="dxa"/>
            <w:tcBorders>
              <w:bottom w:val="single" w:color="000000" w:sz="4" w:space="0"/>
            </w:tcBorders>
            <w:vAlign w:val="top"/>
          </w:tcPr>
          <w:p>
            <w:pPr>
              <w:spacing w:before="82"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65" w:type="default"/>
          <w:pgSz w:w="11905" w:h="16840"/>
          <w:pgMar w:top="400" w:right="1407" w:bottom="1213" w:left="1407" w:header="0" w:footer="898" w:gutter="0"/>
        </w:sectPr>
      </w:pPr>
    </w:p>
    <w:p>
      <w:pPr>
        <w:spacing w:before="13"/>
      </w:pPr>
    </w:p>
    <w:p>
      <w:pPr>
        <w:spacing w:before="13"/>
      </w:pPr>
    </w:p>
    <w:p>
      <w:pPr>
        <w:spacing w:before="13"/>
      </w:pPr>
    </w:p>
    <w:p>
      <w:pPr>
        <w:spacing w:before="12"/>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2" w:line="231" w:lineRule="auto"/>
              <w:ind w:left="483"/>
              <w:rPr>
                <w:rFonts w:ascii="黑体" w:hAnsi="黑体" w:eastAsia="黑体" w:cs="黑体"/>
                <w:sz w:val="20"/>
                <w:szCs w:val="20"/>
              </w:rPr>
            </w:pPr>
            <w:r>
              <w:rPr>
                <w:rFonts w:ascii="黑体" w:hAnsi="黑体" w:eastAsia="黑体" w:cs="黑体"/>
                <w:spacing w:val="1"/>
                <w:sz w:val="20"/>
                <w:szCs w:val="20"/>
              </w:rPr>
              <w:t>序号</w:t>
            </w:r>
          </w:p>
        </w:tc>
        <w:tc>
          <w:tcPr>
            <w:tcW w:w="5182" w:type="dxa"/>
            <w:tcBorders>
              <w:top w:val="single" w:color="000000" w:sz="4" w:space="0"/>
            </w:tcBorders>
            <w:vAlign w:val="top"/>
          </w:tcPr>
          <w:p>
            <w:pPr>
              <w:spacing w:before="132" w:line="230" w:lineRule="auto"/>
              <w:ind w:left="2045"/>
              <w:rPr>
                <w:rFonts w:ascii="黑体" w:hAnsi="黑体" w:eastAsia="黑体" w:cs="黑体"/>
                <w:sz w:val="20"/>
                <w:szCs w:val="20"/>
              </w:rPr>
            </w:pPr>
            <w:r>
              <w:rPr>
                <w:rFonts w:ascii="黑体" w:hAnsi="黑体" w:eastAsia="黑体" w:cs="黑体"/>
                <w:spacing w:val="12"/>
                <w:sz w:val="20"/>
                <w:szCs w:val="20"/>
              </w:rPr>
              <w:t>措施项目名称</w:t>
            </w:r>
          </w:p>
        </w:tc>
        <w:tc>
          <w:tcPr>
            <w:tcW w:w="2578" w:type="dxa"/>
            <w:tcBorders>
              <w:top w:val="single" w:color="000000" w:sz="4" w:space="0"/>
              <w:right w:val="single" w:color="000000" w:sz="4" w:space="0"/>
            </w:tcBorders>
            <w:vAlign w:val="top"/>
          </w:tcPr>
          <w:p>
            <w:pPr>
              <w:spacing w:before="132" w:line="230" w:lineRule="auto"/>
              <w:ind w:left="1123"/>
              <w:rPr>
                <w:rFonts w:ascii="黑体" w:hAnsi="黑体" w:eastAsia="黑体" w:cs="黑体"/>
                <w:sz w:val="20"/>
                <w:szCs w:val="20"/>
              </w:rPr>
            </w:pPr>
            <w:r>
              <w:rPr>
                <w:rFonts w:ascii="黑体" w:hAnsi="黑体" w:eastAsia="黑体" w:cs="黑体"/>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3" w:line="238" w:lineRule="exact"/>
              <w:ind w:left="529"/>
              <w:rPr>
                <w:rFonts w:ascii="宋体" w:hAnsi="宋体" w:eastAsia="宋体" w:cs="宋体"/>
                <w:sz w:val="18"/>
                <w:szCs w:val="18"/>
              </w:rPr>
            </w:pPr>
            <w:r>
              <w:rPr>
                <w:rFonts w:ascii="宋体" w:hAnsi="宋体" w:eastAsia="宋体" w:cs="宋体"/>
                <w:spacing w:val="-18"/>
                <w:position w:val="1"/>
                <w:sz w:val="18"/>
                <w:szCs w:val="18"/>
              </w:rPr>
              <w:t>7.5</w:t>
            </w:r>
          </w:p>
        </w:tc>
        <w:tc>
          <w:tcPr>
            <w:tcW w:w="5182" w:type="dxa"/>
            <w:vAlign w:val="top"/>
          </w:tcPr>
          <w:p>
            <w:pPr>
              <w:spacing w:before="139"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4" w:line="236" w:lineRule="exact"/>
              <w:ind w:left="529"/>
              <w:rPr>
                <w:rFonts w:ascii="宋体" w:hAnsi="宋体" w:eastAsia="宋体" w:cs="宋体"/>
                <w:sz w:val="18"/>
                <w:szCs w:val="18"/>
              </w:rPr>
            </w:pPr>
            <w:r>
              <w:rPr>
                <w:rFonts w:ascii="宋体" w:hAnsi="宋体" w:eastAsia="宋体" w:cs="宋体"/>
                <w:spacing w:val="-18"/>
                <w:position w:val="1"/>
                <w:sz w:val="18"/>
                <w:szCs w:val="18"/>
              </w:rPr>
              <w:t>7.6</w:t>
            </w:r>
          </w:p>
        </w:tc>
        <w:tc>
          <w:tcPr>
            <w:tcW w:w="5182" w:type="dxa"/>
            <w:vAlign w:val="top"/>
          </w:tcPr>
          <w:p>
            <w:pPr>
              <w:spacing w:before="142"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26"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29"/>
              <w:rPr>
                <w:rFonts w:ascii="宋体" w:hAnsi="宋体" w:eastAsia="宋体" w:cs="宋体"/>
                <w:sz w:val="18"/>
                <w:szCs w:val="18"/>
              </w:rPr>
            </w:pPr>
            <w:r>
              <w:rPr>
                <w:rFonts w:ascii="宋体" w:hAnsi="宋体" w:eastAsia="宋体" w:cs="宋体"/>
                <w:spacing w:val="-18"/>
                <w:sz w:val="18"/>
                <w:szCs w:val="18"/>
              </w:rPr>
              <w:t>7.7</w:t>
            </w:r>
          </w:p>
        </w:tc>
        <w:tc>
          <w:tcPr>
            <w:tcW w:w="5182" w:type="dxa"/>
            <w:vAlign w:val="top"/>
          </w:tcPr>
          <w:p>
            <w:pPr>
              <w:spacing w:before="139" w:line="242"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29"/>
              <w:rPr>
                <w:rFonts w:ascii="宋体" w:hAnsi="宋体" w:eastAsia="宋体" w:cs="宋体"/>
                <w:sz w:val="18"/>
                <w:szCs w:val="18"/>
              </w:rPr>
            </w:pPr>
            <w:r>
              <w:rPr>
                <w:rFonts w:ascii="宋体" w:hAnsi="宋体" w:eastAsia="宋体" w:cs="宋体"/>
                <w:spacing w:val="-18"/>
                <w:sz w:val="18"/>
                <w:szCs w:val="18"/>
              </w:rPr>
              <w:t>7.8</w:t>
            </w:r>
          </w:p>
        </w:tc>
        <w:tc>
          <w:tcPr>
            <w:tcW w:w="5182" w:type="dxa"/>
            <w:vAlign w:val="top"/>
          </w:tcPr>
          <w:p>
            <w:pPr>
              <w:spacing w:before="142"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0" w:line="240" w:lineRule="exact"/>
              <w:ind w:left="617"/>
              <w:rPr>
                <w:rFonts w:ascii="宋体" w:hAnsi="宋体" w:eastAsia="宋体" w:cs="宋体"/>
                <w:sz w:val="18"/>
                <w:szCs w:val="18"/>
              </w:rPr>
            </w:pPr>
            <w:r>
              <w:rPr>
                <w:rFonts w:ascii="宋体" w:hAnsi="宋体" w:eastAsia="宋体" w:cs="宋体"/>
                <w:b/>
                <w:bCs/>
                <w:spacing w:val="-2"/>
                <w:position w:val="1"/>
                <w:sz w:val="18"/>
                <w:szCs w:val="18"/>
              </w:rPr>
              <w:t>8</w:t>
            </w:r>
          </w:p>
        </w:tc>
        <w:tc>
          <w:tcPr>
            <w:tcW w:w="5182" w:type="dxa"/>
            <w:vAlign w:val="top"/>
          </w:tcPr>
          <w:p>
            <w:pPr>
              <w:spacing w:before="145" w:line="212" w:lineRule="auto"/>
              <w:ind w:left="1878"/>
              <w:rPr>
                <w:rFonts w:ascii="宋体" w:hAnsi="宋体" w:eastAsia="宋体" w:cs="宋体"/>
                <w:sz w:val="18"/>
                <w:szCs w:val="18"/>
              </w:rPr>
            </w:pPr>
            <w:r>
              <w:rPr>
                <w:rFonts w:ascii="宋体" w:hAnsi="宋体" w:eastAsia="宋体" w:cs="宋体"/>
                <w:b/>
                <w:bCs/>
                <w:spacing w:val="-5"/>
                <w:sz w:val="18"/>
                <w:szCs w:val="18"/>
              </w:rPr>
              <w:t>市政养护维修工程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7"/>
              <w:ind w:left="528"/>
              <w:rPr>
                <w:rFonts w:ascii="宋体" w:hAnsi="宋体" w:eastAsia="宋体" w:cs="宋体"/>
                <w:sz w:val="18"/>
                <w:szCs w:val="18"/>
              </w:rPr>
            </w:pPr>
            <w:r>
              <w:rPr>
                <w:rFonts w:ascii="宋体" w:hAnsi="宋体" w:eastAsia="宋体" w:cs="宋体"/>
                <w:spacing w:val="-18"/>
                <w:sz w:val="18"/>
                <w:szCs w:val="18"/>
              </w:rPr>
              <w:t>8.1</w:t>
            </w:r>
          </w:p>
        </w:tc>
        <w:tc>
          <w:tcPr>
            <w:tcW w:w="5182" w:type="dxa"/>
            <w:vAlign w:val="top"/>
          </w:tcPr>
          <w:p>
            <w:pPr>
              <w:spacing w:before="144" w:line="208" w:lineRule="auto"/>
              <w:ind w:left="105"/>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8" w:line="238" w:lineRule="auto"/>
              <w:ind w:left="528"/>
              <w:rPr>
                <w:rFonts w:ascii="宋体" w:hAnsi="宋体" w:eastAsia="宋体" w:cs="宋体"/>
                <w:sz w:val="18"/>
                <w:szCs w:val="18"/>
              </w:rPr>
            </w:pPr>
            <w:r>
              <w:rPr>
                <w:rFonts w:ascii="宋体" w:hAnsi="宋体" w:eastAsia="宋体" w:cs="宋体"/>
                <w:spacing w:val="-18"/>
                <w:sz w:val="18"/>
                <w:szCs w:val="18"/>
              </w:rPr>
              <w:t>8.2</w:t>
            </w:r>
          </w:p>
        </w:tc>
        <w:tc>
          <w:tcPr>
            <w:tcW w:w="5182" w:type="dxa"/>
            <w:vAlign w:val="top"/>
          </w:tcPr>
          <w:p>
            <w:pPr>
              <w:spacing w:before="132" w:line="222" w:lineRule="auto"/>
              <w:ind w:left="104"/>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528"/>
              <w:rPr>
                <w:rFonts w:ascii="宋体" w:hAnsi="宋体" w:eastAsia="宋体" w:cs="宋体"/>
                <w:sz w:val="18"/>
                <w:szCs w:val="18"/>
              </w:rPr>
            </w:pPr>
            <w:r>
              <w:rPr>
                <w:rFonts w:ascii="宋体" w:hAnsi="宋体" w:eastAsia="宋体" w:cs="宋体"/>
                <w:spacing w:val="-18"/>
                <w:sz w:val="18"/>
                <w:szCs w:val="18"/>
              </w:rPr>
              <w:t>8.3</w:t>
            </w:r>
          </w:p>
        </w:tc>
        <w:tc>
          <w:tcPr>
            <w:tcW w:w="5182" w:type="dxa"/>
            <w:vAlign w:val="top"/>
          </w:tcPr>
          <w:p>
            <w:pPr>
              <w:spacing w:before="144" w:line="214" w:lineRule="auto"/>
              <w:ind w:left="104"/>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9" w:line="237" w:lineRule="auto"/>
              <w:ind w:left="528"/>
              <w:rPr>
                <w:rFonts w:ascii="宋体" w:hAnsi="宋体" w:eastAsia="宋体" w:cs="宋体"/>
                <w:sz w:val="18"/>
                <w:szCs w:val="18"/>
              </w:rPr>
            </w:pPr>
            <w:r>
              <w:rPr>
                <w:rFonts w:ascii="宋体" w:hAnsi="宋体" w:eastAsia="宋体" w:cs="宋体"/>
                <w:spacing w:val="-17"/>
                <w:w w:val="98"/>
                <w:sz w:val="18"/>
                <w:szCs w:val="18"/>
              </w:rPr>
              <w:t>8.4</w:t>
            </w:r>
          </w:p>
        </w:tc>
        <w:tc>
          <w:tcPr>
            <w:tcW w:w="5182" w:type="dxa"/>
            <w:vAlign w:val="top"/>
          </w:tcPr>
          <w:p>
            <w:pPr>
              <w:spacing w:before="152" w:line="206" w:lineRule="auto"/>
              <w:ind w:left="138"/>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1" w:line="236" w:lineRule="auto"/>
              <w:ind w:left="528"/>
              <w:rPr>
                <w:rFonts w:ascii="宋体" w:hAnsi="宋体" w:eastAsia="宋体" w:cs="宋体"/>
                <w:sz w:val="18"/>
                <w:szCs w:val="18"/>
              </w:rPr>
            </w:pPr>
            <w:r>
              <w:rPr>
                <w:rFonts w:ascii="宋体" w:hAnsi="宋体" w:eastAsia="宋体" w:cs="宋体"/>
                <w:spacing w:val="-18"/>
                <w:sz w:val="18"/>
                <w:szCs w:val="18"/>
              </w:rPr>
              <w:t>8.5</w:t>
            </w:r>
          </w:p>
        </w:tc>
        <w:tc>
          <w:tcPr>
            <w:tcW w:w="5182" w:type="dxa"/>
            <w:vAlign w:val="top"/>
          </w:tcPr>
          <w:p>
            <w:pPr>
              <w:spacing w:before="150" w:line="212" w:lineRule="auto"/>
              <w:ind w:left="109"/>
              <w:rPr>
                <w:rFonts w:ascii="宋体" w:hAnsi="宋体" w:eastAsia="宋体" w:cs="宋体"/>
                <w:sz w:val="18"/>
                <w:szCs w:val="18"/>
              </w:rPr>
            </w:pPr>
            <w:r>
              <w:rPr>
                <w:rFonts w:ascii="宋体" w:hAnsi="宋体" w:eastAsia="宋体" w:cs="宋体"/>
                <w:spacing w:val="-3"/>
                <w:sz w:val="18"/>
                <w:szCs w:val="18"/>
              </w:rPr>
              <w:t>筑岛</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0" w:line="236" w:lineRule="auto"/>
              <w:ind w:left="528"/>
              <w:rPr>
                <w:rFonts w:ascii="宋体" w:hAnsi="宋体" w:eastAsia="宋体" w:cs="宋体"/>
                <w:sz w:val="18"/>
                <w:szCs w:val="18"/>
              </w:rPr>
            </w:pPr>
            <w:r>
              <w:rPr>
                <w:rFonts w:ascii="宋体" w:hAnsi="宋体" w:eastAsia="宋体" w:cs="宋体"/>
                <w:spacing w:val="-18"/>
                <w:sz w:val="18"/>
                <w:szCs w:val="18"/>
              </w:rPr>
              <w:t>8.6</w:t>
            </w:r>
          </w:p>
        </w:tc>
        <w:tc>
          <w:tcPr>
            <w:tcW w:w="5182" w:type="dxa"/>
            <w:vAlign w:val="top"/>
          </w:tcPr>
          <w:p>
            <w:pPr>
              <w:spacing w:before="145" w:line="212" w:lineRule="auto"/>
              <w:ind w:left="104"/>
              <w:rPr>
                <w:rFonts w:ascii="宋体" w:hAnsi="宋体" w:eastAsia="宋体" w:cs="宋体"/>
                <w:sz w:val="18"/>
                <w:szCs w:val="18"/>
              </w:rPr>
            </w:pPr>
            <w:r>
              <w:rPr>
                <w:rFonts w:ascii="宋体" w:hAnsi="宋体" w:eastAsia="宋体" w:cs="宋体"/>
                <w:spacing w:val="-2"/>
                <w:sz w:val="18"/>
                <w:szCs w:val="18"/>
              </w:rPr>
              <w:t>便道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2" w:line="234" w:lineRule="auto"/>
              <w:ind w:left="528"/>
              <w:rPr>
                <w:rFonts w:ascii="宋体" w:hAnsi="宋体" w:eastAsia="宋体" w:cs="宋体"/>
                <w:sz w:val="18"/>
                <w:szCs w:val="18"/>
              </w:rPr>
            </w:pPr>
            <w:r>
              <w:rPr>
                <w:rFonts w:ascii="宋体" w:hAnsi="宋体" w:eastAsia="宋体" w:cs="宋体"/>
                <w:spacing w:val="-18"/>
                <w:sz w:val="18"/>
                <w:szCs w:val="18"/>
              </w:rPr>
              <w:t>8.7</w:t>
            </w:r>
          </w:p>
        </w:tc>
        <w:tc>
          <w:tcPr>
            <w:tcW w:w="5182" w:type="dxa"/>
            <w:vAlign w:val="top"/>
          </w:tcPr>
          <w:p>
            <w:pPr>
              <w:spacing w:before="147" w:line="212" w:lineRule="auto"/>
              <w:ind w:left="104"/>
              <w:rPr>
                <w:rFonts w:ascii="宋体" w:hAnsi="宋体" w:eastAsia="宋体" w:cs="宋体"/>
                <w:sz w:val="18"/>
                <w:szCs w:val="18"/>
              </w:rPr>
            </w:pPr>
            <w:r>
              <w:rPr>
                <w:rFonts w:ascii="宋体" w:hAnsi="宋体" w:eastAsia="宋体" w:cs="宋体"/>
                <w:spacing w:val="-2"/>
                <w:sz w:val="18"/>
                <w:szCs w:val="18"/>
              </w:rPr>
              <w:t>便桥</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2" w:line="235" w:lineRule="auto"/>
              <w:ind w:left="528"/>
              <w:rPr>
                <w:rFonts w:ascii="宋体" w:hAnsi="宋体" w:eastAsia="宋体" w:cs="宋体"/>
                <w:sz w:val="18"/>
                <w:szCs w:val="18"/>
              </w:rPr>
            </w:pPr>
            <w:r>
              <w:rPr>
                <w:rFonts w:ascii="宋体" w:hAnsi="宋体" w:eastAsia="宋体" w:cs="宋体"/>
                <w:spacing w:val="-18"/>
                <w:sz w:val="18"/>
                <w:szCs w:val="18"/>
              </w:rPr>
              <w:t>8.8</w:t>
            </w:r>
          </w:p>
        </w:tc>
        <w:tc>
          <w:tcPr>
            <w:tcW w:w="5182" w:type="dxa"/>
            <w:vAlign w:val="top"/>
          </w:tcPr>
          <w:p>
            <w:pPr>
              <w:spacing w:before="146" w:line="215" w:lineRule="auto"/>
              <w:ind w:left="108"/>
              <w:rPr>
                <w:rFonts w:ascii="宋体" w:hAnsi="宋体" w:eastAsia="宋体" w:cs="宋体"/>
                <w:sz w:val="18"/>
                <w:szCs w:val="18"/>
              </w:rPr>
            </w:pPr>
            <w:r>
              <w:rPr>
                <w:rFonts w:ascii="宋体" w:hAnsi="宋体" w:eastAsia="宋体" w:cs="宋体"/>
                <w:spacing w:val="-3"/>
                <w:sz w:val="18"/>
                <w:szCs w:val="18"/>
              </w:rPr>
              <w:t>洞内施工通风、供水、供电照明、通信设施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3" w:line="233" w:lineRule="auto"/>
              <w:ind w:left="528"/>
              <w:rPr>
                <w:rFonts w:ascii="宋体" w:hAnsi="宋体" w:eastAsia="宋体" w:cs="宋体"/>
                <w:sz w:val="18"/>
                <w:szCs w:val="18"/>
              </w:rPr>
            </w:pPr>
            <w:r>
              <w:rPr>
                <w:rFonts w:ascii="宋体" w:hAnsi="宋体" w:eastAsia="宋体" w:cs="宋体"/>
                <w:spacing w:val="-18"/>
                <w:sz w:val="18"/>
                <w:szCs w:val="18"/>
              </w:rPr>
              <w:t>8.9</w:t>
            </w:r>
          </w:p>
        </w:tc>
        <w:tc>
          <w:tcPr>
            <w:tcW w:w="5182" w:type="dxa"/>
            <w:vAlign w:val="top"/>
          </w:tcPr>
          <w:p>
            <w:pPr>
              <w:spacing w:before="150" w:line="211" w:lineRule="auto"/>
              <w:ind w:left="108"/>
              <w:rPr>
                <w:rFonts w:ascii="宋体" w:hAnsi="宋体" w:eastAsia="宋体" w:cs="宋体"/>
                <w:sz w:val="18"/>
                <w:szCs w:val="18"/>
              </w:rPr>
            </w:pPr>
            <w:r>
              <w:rPr>
                <w:rFonts w:ascii="宋体" w:hAnsi="宋体" w:eastAsia="宋体" w:cs="宋体"/>
                <w:spacing w:val="-4"/>
                <w:sz w:val="18"/>
                <w:szCs w:val="18"/>
              </w:rPr>
              <w:t>洞内外轨道铺设</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5" w:line="231" w:lineRule="auto"/>
              <w:ind w:left="485"/>
              <w:rPr>
                <w:rFonts w:ascii="宋体" w:hAnsi="宋体" w:eastAsia="宋体" w:cs="宋体"/>
                <w:sz w:val="18"/>
                <w:szCs w:val="18"/>
              </w:rPr>
            </w:pPr>
            <w:r>
              <w:rPr>
                <w:rFonts w:ascii="宋体" w:hAnsi="宋体" w:eastAsia="宋体" w:cs="宋体"/>
                <w:spacing w:val="-15"/>
                <w:sz w:val="18"/>
                <w:szCs w:val="18"/>
              </w:rPr>
              <w:t>8.10</w:t>
            </w:r>
          </w:p>
        </w:tc>
        <w:tc>
          <w:tcPr>
            <w:tcW w:w="5182" w:type="dxa"/>
            <w:vAlign w:val="top"/>
          </w:tcPr>
          <w:p>
            <w:pPr>
              <w:spacing w:before="149" w:line="212" w:lineRule="auto"/>
              <w:ind w:left="112"/>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11" w:hRule="atLeast"/>
        </w:trPr>
        <w:tc>
          <w:tcPr>
            <w:tcW w:w="1319" w:type="dxa"/>
            <w:tcBorders>
              <w:left w:val="single" w:color="000000" w:sz="4" w:space="0"/>
            </w:tcBorders>
            <w:vAlign w:val="top"/>
          </w:tcPr>
          <w:p>
            <w:pPr>
              <w:pStyle w:val="6"/>
              <w:spacing w:line="292" w:lineRule="auto"/>
            </w:pPr>
          </w:p>
          <w:p>
            <w:pPr>
              <w:pStyle w:val="6"/>
              <w:spacing w:line="293" w:lineRule="auto"/>
            </w:pPr>
          </w:p>
          <w:p>
            <w:pPr>
              <w:spacing w:before="58" w:line="260" w:lineRule="exact"/>
              <w:ind w:left="485"/>
              <w:rPr>
                <w:rFonts w:ascii="宋体" w:hAnsi="宋体" w:eastAsia="宋体" w:cs="宋体"/>
                <w:sz w:val="18"/>
                <w:szCs w:val="18"/>
              </w:rPr>
            </w:pPr>
            <w:r>
              <w:rPr>
                <w:rFonts w:ascii="宋体" w:hAnsi="宋体" w:eastAsia="宋体" w:cs="宋体"/>
                <w:spacing w:val="-15"/>
                <w:position w:val="1"/>
                <w:sz w:val="18"/>
                <w:szCs w:val="18"/>
              </w:rPr>
              <w:t>8.11</w:t>
            </w:r>
          </w:p>
        </w:tc>
        <w:tc>
          <w:tcPr>
            <w:tcW w:w="5182" w:type="dxa"/>
            <w:vAlign w:val="top"/>
          </w:tcPr>
          <w:p>
            <w:pPr>
              <w:pStyle w:val="6"/>
              <w:spacing w:line="286" w:lineRule="auto"/>
            </w:pPr>
          </w:p>
          <w:p>
            <w:pPr>
              <w:pStyle w:val="6"/>
              <w:spacing w:line="287" w:lineRule="auto"/>
            </w:pPr>
          </w:p>
          <w:p>
            <w:pPr>
              <w:spacing w:before="58" w:line="211" w:lineRule="auto"/>
              <w:ind w:left="112"/>
              <w:rPr>
                <w:rFonts w:ascii="宋体" w:hAnsi="宋体" w:eastAsia="宋体" w:cs="宋体"/>
                <w:sz w:val="18"/>
                <w:szCs w:val="18"/>
              </w:rPr>
            </w:pPr>
            <w:r>
              <w:rPr>
                <w:rFonts w:ascii="宋体" w:hAnsi="宋体" w:eastAsia="宋体" w:cs="宋体"/>
                <w:spacing w:val="-3"/>
                <w:sz w:val="18"/>
                <w:szCs w:val="18"/>
              </w:rPr>
              <w:t>市政工程地下管线交叉处理</w:t>
            </w:r>
          </w:p>
        </w:tc>
        <w:tc>
          <w:tcPr>
            <w:tcW w:w="2578" w:type="dxa"/>
            <w:tcBorders>
              <w:right w:val="single" w:color="000000" w:sz="4" w:space="0"/>
            </w:tcBorders>
            <w:vAlign w:val="top"/>
          </w:tcPr>
          <w:p>
            <w:pPr>
              <w:spacing w:before="114" w:line="330" w:lineRule="auto"/>
              <w:ind w:left="118" w:right="116"/>
              <w:jc w:val="both"/>
              <w:rPr>
                <w:rFonts w:ascii="宋体" w:hAnsi="宋体" w:eastAsia="宋体" w:cs="宋体"/>
                <w:sz w:val="18"/>
                <w:szCs w:val="18"/>
              </w:rPr>
            </w:pPr>
            <w:r>
              <w:rPr>
                <w:rFonts w:ascii="宋体" w:hAnsi="宋体" w:eastAsia="宋体" w:cs="宋体"/>
                <w:spacing w:val="-1"/>
                <w:sz w:val="18"/>
                <w:szCs w:val="18"/>
              </w:rPr>
              <w:t>对现有施工场地内各种地下交叉管线进行加固及处理所发生的费用，不包括地下管线改移</w:t>
            </w:r>
            <w:r>
              <w:rPr>
                <w:rFonts w:ascii="宋体" w:hAnsi="宋体" w:eastAsia="宋体" w:cs="宋体"/>
                <w:spacing w:val="-3"/>
                <w:sz w:val="18"/>
                <w:szCs w:val="18"/>
              </w:rPr>
              <w:t>发生的费用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7" w:line="230" w:lineRule="auto"/>
              <w:ind w:left="485"/>
              <w:rPr>
                <w:rFonts w:ascii="宋体" w:hAnsi="宋体" w:eastAsia="宋体" w:cs="宋体"/>
                <w:sz w:val="18"/>
                <w:szCs w:val="18"/>
              </w:rPr>
            </w:pPr>
            <w:r>
              <w:rPr>
                <w:rFonts w:ascii="宋体" w:hAnsi="宋体" w:eastAsia="宋体" w:cs="宋体"/>
                <w:spacing w:val="-15"/>
                <w:sz w:val="18"/>
                <w:szCs w:val="18"/>
              </w:rPr>
              <w:t>8.12</w:t>
            </w:r>
          </w:p>
        </w:tc>
        <w:tc>
          <w:tcPr>
            <w:tcW w:w="5182" w:type="dxa"/>
            <w:vAlign w:val="top"/>
          </w:tcPr>
          <w:p>
            <w:pPr>
              <w:spacing w:before="155"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39"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8" w:line="229" w:lineRule="auto"/>
              <w:ind w:left="485"/>
              <w:rPr>
                <w:rFonts w:ascii="宋体" w:hAnsi="宋体" w:eastAsia="宋体" w:cs="宋体"/>
                <w:sz w:val="18"/>
                <w:szCs w:val="18"/>
              </w:rPr>
            </w:pPr>
            <w:r>
              <w:rPr>
                <w:rFonts w:ascii="宋体" w:hAnsi="宋体" w:eastAsia="宋体" w:cs="宋体"/>
                <w:spacing w:val="-15"/>
                <w:sz w:val="18"/>
                <w:szCs w:val="18"/>
              </w:rPr>
              <w:t>8.13</w:t>
            </w:r>
          </w:p>
        </w:tc>
        <w:tc>
          <w:tcPr>
            <w:tcW w:w="5182" w:type="dxa"/>
            <w:vAlign w:val="top"/>
          </w:tcPr>
          <w:p>
            <w:pPr>
              <w:spacing w:before="151" w:line="241" w:lineRule="exact"/>
              <w:ind w:left="122"/>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40"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4" w:hRule="atLeast"/>
        </w:trPr>
        <w:tc>
          <w:tcPr>
            <w:tcW w:w="1319" w:type="dxa"/>
            <w:tcBorders>
              <w:left w:val="single" w:color="000000" w:sz="4" w:space="0"/>
            </w:tcBorders>
            <w:vAlign w:val="top"/>
          </w:tcPr>
          <w:p>
            <w:pPr>
              <w:pStyle w:val="6"/>
              <w:spacing w:line="415" w:lineRule="auto"/>
            </w:pPr>
          </w:p>
          <w:p>
            <w:pPr>
              <w:spacing w:before="59" w:line="259" w:lineRule="exact"/>
              <w:ind w:left="485"/>
              <w:rPr>
                <w:rFonts w:ascii="宋体" w:hAnsi="宋体" w:eastAsia="宋体" w:cs="宋体"/>
                <w:sz w:val="18"/>
                <w:szCs w:val="18"/>
              </w:rPr>
            </w:pPr>
            <w:r>
              <w:rPr>
                <w:rFonts w:ascii="宋体" w:hAnsi="宋体" w:eastAsia="宋体" w:cs="宋体"/>
                <w:spacing w:val="-15"/>
                <w:position w:val="1"/>
                <w:sz w:val="18"/>
                <w:szCs w:val="18"/>
              </w:rPr>
              <w:t>8.14</w:t>
            </w:r>
          </w:p>
        </w:tc>
        <w:tc>
          <w:tcPr>
            <w:tcW w:w="5182" w:type="dxa"/>
            <w:vAlign w:val="top"/>
          </w:tcPr>
          <w:p>
            <w:pPr>
              <w:pStyle w:val="6"/>
              <w:spacing w:line="405" w:lineRule="auto"/>
            </w:pPr>
          </w:p>
          <w:p>
            <w:pPr>
              <w:spacing w:before="59" w:line="207" w:lineRule="auto"/>
              <w:ind w:left="104"/>
              <w:rPr>
                <w:rFonts w:ascii="宋体" w:hAnsi="宋体" w:eastAsia="宋体" w:cs="宋体"/>
                <w:sz w:val="18"/>
                <w:szCs w:val="18"/>
              </w:rPr>
            </w:pPr>
            <w:r>
              <w:rPr>
                <w:rFonts w:ascii="宋体" w:hAnsi="宋体" w:eastAsia="宋体" w:cs="宋体"/>
                <w:spacing w:val="-3"/>
                <w:sz w:val="18"/>
                <w:szCs w:val="18"/>
              </w:rPr>
              <w:t>施工围挡</w:t>
            </w:r>
          </w:p>
        </w:tc>
        <w:tc>
          <w:tcPr>
            <w:tcW w:w="2578" w:type="dxa"/>
            <w:tcBorders>
              <w:right w:val="single" w:color="000000" w:sz="4" w:space="0"/>
            </w:tcBorders>
            <w:vAlign w:val="top"/>
          </w:tcPr>
          <w:p>
            <w:pPr>
              <w:spacing w:before="119" w:line="316" w:lineRule="auto"/>
              <w:ind w:left="125" w:right="114" w:firstLine="29"/>
              <w:jc w:val="both"/>
              <w:rPr>
                <w:rFonts w:ascii="宋体" w:hAnsi="宋体" w:eastAsia="宋体" w:cs="宋体"/>
                <w:sz w:val="18"/>
                <w:szCs w:val="18"/>
              </w:rPr>
            </w:pPr>
            <w:r>
              <w:rPr>
                <w:rFonts w:ascii="宋体" w:hAnsi="宋体" w:eastAsia="宋体" w:cs="宋体"/>
                <w:spacing w:val="-3"/>
                <w:sz w:val="18"/>
                <w:szCs w:val="18"/>
              </w:rPr>
              <w:t>固定式施工护栏的搭拆、运输</w:t>
            </w:r>
            <w:r>
              <w:rPr>
                <w:rFonts w:ascii="宋体" w:hAnsi="宋体" w:eastAsia="宋体" w:cs="宋体"/>
                <w:spacing w:val="-1"/>
                <w:sz w:val="18"/>
                <w:szCs w:val="18"/>
              </w:rPr>
              <w:t>费用，施工围挡购置费摊销或</w:t>
            </w:r>
            <w:r>
              <w:rPr>
                <w:rFonts w:ascii="宋体" w:hAnsi="宋体" w:eastAsia="宋体" w:cs="宋体"/>
                <w:spacing w:val="-3"/>
                <w:sz w:val="18"/>
                <w:szCs w:val="18"/>
              </w:rPr>
              <w:t>租赁使用费以及日常维护费用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68" w:hRule="atLeast"/>
        </w:trPr>
        <w:tc>
          <w:tcPr>
            <w:tcW w:w="1319" w:type="dxa"/>
            <w:tcBorders>
              <w:left w:val="single" w:color="000000" w:sz="4" w:space="0"/>
            </w:tcBorders>
            <w:vAlign w:val="top"/>
          </w:tcPr>
          <w:p>
            <w:pPr>
              <w:pStyle w:val="6"/>
              <w:spacing w:line="254" w:lineRule="auto"/>
            </w:pPr>
          </w:p>
          <w:p>
            <w:pPr>
              <w:pStyle w:val="6"/>
              <w:spacing w:line="254" w:lineRule="auto"/>
            </w:pPr>
          </w:p>
          <w:p>
            <w:pPr>
              <w:pStyle w:val="6"/>
              <w:spacing w:line="255" w:lineRule="auto"/>
            </w:pPr>
          </w:p>
          <w:p>
            <w:pPr>
              <w:spacing w:before="58" w:line="260" w:lineRule="exact"/>
              <w:ind w:left="485"/>
              <w:rPr>
                <w:rFonts w:ascii="宋体" w:hAnsi="宋体" w:eastAsia="宋体" w:cs="宋体"/>
                <w:sz w:val="18"/>
                <w:szCs w:val="18"/>
              </w:rPr>
            </w:pPr>
            <w:r>
              <w:rPr>
                <w:rFonts w:ascii="宋体" w:hAnsi="宋体" w:eastAsia="宋体" w:cs="宋体"/>
                <w:spacing w:val="-15"/>
                <w:position w:val="1"/>
                <w:sz w:val="18"/>
                <w:szCs w:val="18"/>
              </w:rPr>
              <w:t>8.15</w:t>
            </w:r>
          </w:p>
        </w:tc>
        <w:tc>
          <w:tcPr>
            <w:tcW w:w="5182" w:type="dxa"/>
            <w:vAlign w:val="top"/>
          </w:tcPr>
          <w:p>
            <w:pPr>
              <w:pStyle w:val="6"/>
              <w:spacing w:line="249" w:lineRule="auto"/>
            </w:pPr>
          </w:p>
          <w:p>
            <w:pPr>
              <w:pStyle w:val="6"/>
              <w:spacing w:line="250" w:lineRule="auto"/>
            </w:pPr>
          </w:p>
          <w:p>
            <w:pPr>
              <w:pStyle w:val="6"/>
              <w:spacing w:line="250" w:lineRule="auto"/>
            </w:pPr>
          </w:p>
          <w:p>
            <w:pPr>
              <w:spacing w:before="58" w:line="212" w:lineRule="auto"/>
              <w:ind w:left="110"/>
              <w:rPr>
                <w:rFonts w:ascii="宋体" w:hAnsi="宋体" w:eastAsia="宋体" w:cs="宋体"/>
                <w:sz w:val="18"/>
                <w:szCs w:val="18"/>
              </w:rPr>
            </w:pPr>
            <w:r>
              <w:rPr>
                <w:rFonts w:ascii="宋体" w:hAnsi="宋体" w:eastAsia="宋体" w:cs="宋体"/>
                <w:spacing w:val="-4"/>
                <w:sz w:val="18"/>
                <w:szCs w:val="18"/>
              </w:rPr>
              <w:t>交通维护及疏导</w:t>
            </w:r>
          </w:p>
        </w:tc>
        <w:tc>
          <w:tcPr>
            <w:tcW w:w="2578" w:type="dxa"/>
            <w:tcBorders>
              <w:right w:val="single" w:color="000000" w:sz="4" w:space="0"/>
            </w:tcBorders>
            <w:vAlign w:val="top"/>
          </w:tcPr>
          <w:p>
            <w:pPr>
              <w:spacing w:before="119" w:line="336" w:lineRule="auto"/>
              <w:ind w:left="119" w:right="106"/>
              <w:rPr>
                <w:rFonts w:ascii="宋体" w:hAnsi="宋体" w:eastAsia="宋体" w:cs="宋体"/>
                <w:sz w:val="18"/>
                <w:szCs w:val="18"/>
              </w:rPr>
            </w:pPr>
            <w:r>
              <w:rPr>
                <w:rFonts w:ascii="宋体" w:hAnsi="宋体" w:eastAsia="宋体" w:cs="宋体"/>
                <w:spacing w:val="30"/>
                <w:sz w:val="18"/>
                <w:szCs w:val="18"/>
              </w:rPr>
              <w:t>包括周边道路的交通诱导</w:t>
            </w:r>
            <w:r>
              <w:rPr>
                <w:rFonts w:ascii="宋体" w:hAnsi="宋体" w:eastAsia="宋体" w:cs="宋体"/>
                <w:spacing w:val="-3"/>
                <w:sz w:val="18"/>
                <w:szCs w:val="18"/>
              </w:rPr>
              <w:t>标</w:t>
            </w:r>
            <w:r>
              <w:rPr>
                <w:rFonts w:ascii="宋体" w:hAnsi="宋体" w:eastAsia="宋体" w:cs="宋体"/>
                <w:spacing w:val="-48"/>
                <w:sz w:val="18"/>
                <w:szCs w:val="18"/>
              </w:rPr>
              <w:t xml:space="preserve"> </w:t>
            </w:r>
            <w:r>
              <w:rPr>
                <w:rFonts w:ascii="宋体" w:hAnsi="宋体" w:eastAsia="宋体" w:cs="宋体"/>
                <w:spacing w:val="-3"/>
                <w:sz w:val="18"/>
                <w:szCs w:val="18"/>
              </w:rPr>
              <w:t>志、临时红绿灯、交通协勤</w:t>
            </w:r>
            <w:r>
              <w:rPr>
                <w:rFonts w:ascii="宋体" w:hAnsi="宋体" w:eastAsia="宋体" w:cs="宋体"/>
                <w:sz w:val="18"/>
                <w:szCs w:val="18"/>
              </w:rPr>
              <w:t>人员、现场路面隔离设施等。按相关管理部门批复的维护及</w:t>
            </w:r>
            <w:r>
              <w:rPr>
                <w:rFonts w:ascii="宋体" w:hAnsi="宋体" w:eastAsia="宋体" w:cs="宋体"/>
                <w:spacing w:val="-3"/>
                <w:sz w:val="18"/>
                <w:szCs w:val="18"/>
              </w:rPr>
              <w:t>疏导方案计取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319" w:type="dxa"/>
            <w:tcBorders>
              <w:left w:val="single" w:color="000000" w:sz="4" w:space="0"/>
              <w:bottom w:val="single" w:color="000000" w:sz="4" w:space="0"/>
            </w:tcBorders>
            <w:vAlign w:val="top"/>
          </w:tcPr>
          <w:p>
            <w:pPr>
              <w:spacing w:before="174" w:line="243" w:lineRule="exact"/>
              <w:ind w:left="485"/>
              <w:rPr>
                <w:rFonts w:ascii="宋体" w:hAnsi="宋体" w:eastAsia="宋体" w:cs="宋体"/>
                <w:sz w:val="18"/>
                <w:szCs w:val="18"/>
              </w:rPr>
            </w:pPr>
            <w:r>
              <w:rPr>
                <w:rFonts w:ascii="宋体" w:hAnsi="宋体" w:eastAsia="宋体" w:cs="宋体"/>
                <w:spacing w:val="-15"/>
                <w:position w:val="1"/>
                <w:sz w:val="18"/>
                <w:szCs w:val="18"/>
              </w:rPr>
              <w:t>8.16</w:t>
            </w:r>
          </w:p>
        </w:tc>
        <w:tc>
          <w:tcPr>
            <w:tcW w:w="5182" w:type="dxa"/>
            <w:tcBorders>
              <w:bottom w:val="single" w:color="000000" w:sz="4" w:space="0"/>
            </w:tcBorders>
            <w:vAlign w:val="top"/>
          </w:tcPr>
          <w:p>
            <w:pPr>
              <w:spacing w:before="160"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66" w:type="default"/>
          <w:pgSz w:w="11905" w:h="16840"/>
          <w:pgMar w:top="400" w:right="1407" w:bottom="1213" w:left="1407" w:header="0" w:footer="898" w:gutter="0"/>
        </w:sect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97" w:line="215" w:lineRule="auto"/>
        <w:ind w:left="2429"/>
        <w:outlineLvl w:val="1"/>
        <w:rPr>
          <w:rFonts w:ascii="宋体" w:hAnsi="宋体" w:eastAsia="宋体" w:cs="宋体"/>
          <w:sz w:val="30"/>
          <w:szCs w:val="30"/>
        </w:rPr>
      </w:pPr>
      <w:bookmarkStart w:id="38" w:name="bookmark27"/>
      <w:bookmarkEnd w:id="38"/>
      <w:bookmarkStart w:id="39" w:name="bookmark26"/>
      <w:bookmarkEnd w:id="39"/>
      <w:r>
        <w:rPr>
          <w:rFonts w:ascii="宋体" w:hAnsi="宋体" w:eastAsia="宋体" w:cs="宋体"/>
          <w:b/>
          <w:bCs/>
          <w:spacing w:val="-3"/>
          <w:sz w:val="30"/>
          <w:szCs w:val="30"/>
        </w:rPr>
        <w:t>第三节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建设工程费用计算程序</w:t>
      </w:r>
    </w:p>
    <w:p>
      <w:pPr>
        <w:spacing w:before="189" w:line="222" w:lineRule="auto"/>
        <w:ind w:left="4121"/>
        <w:rPr>
          <w:rFonts w:ascii="黑体" w:hAnsi="黑体" w:eastAsia="黑体" w:cs="黑体"/>
          <w:sz w:val="28"/>
          <w:szCs w:val="28"/>
        </w:rPr>
      </w:pPr>
      <w:r>
        <w:rPr>
          <w:rFonts w:ascii="黑体" w:hAnsi="黑体" w:eastAsia="黑体" w:cs="黑体"/>
          <w:spacing w:val="-8"/>
          <w:sz w:val="28"/>
          <w:szCs w:val="28"/>
        </w:rPr>
        <w:t>说</w:t>
      </w:r>
      <w:r>
        <w:rPr>
          <w:rFonts w:ascii="黑体" w:hAnsi="黑体" w:eastAsia="黑体" w:cs="黑体"/>
          <w:spacing w:val="27"/>
          <w:sz w:val="28"/>
          <w:szCs w:val="28"/>
        </w:rPr>
        <w:t xml:space="preserve">  </w:t>
      </w:r>
      <w:r>
        <w:rPr>
          <w:rFonts w:ascii="黑体" w:hAnsi="黑体" w:eastAsia="黑体" w:cs="黑体"/>
          <w:spacing w:val="-8"/>
          <w:sz w:val="28"/>
          <w:szCs w:val="28"/>
        </w:rPr>
        <w:t>明</w:t>
      </w:r>
    </w:p>
    <w:p>
      <w:pPr>
        <w:spacing w:line="435" w:lineRule="auto"/>
        <w:rPr>
          <w:rFonts w:ascii="Arial"/>
          <w:sz w:val="21"/>
        </w:rPr>
      </w:pPr>
    </w:p>
    <w:p>
      <w:pPr>
        <w:spacing w:before="65" w:line="223" w:lineRule="auto"/>
        <w:ind w:left="434"/>
        <w:rPr>
          <w:rFonts w:ascii="宋体" w:hAnsi="宋体" w:eastAsia="宋体" w:cs="宋体"/>
          <w:sz w:val="20"/>
          <w:szCs w:val="20"/>
        </w:rPr>
      </w:pPr>
      <w:r>
        <w:rPr>
          <w:rFonts w:ascii="宋体" w:hAnsi="宋体" w:eastAsia="宋体" w:cs="宋体"/>
          <w:spacing w:val="9"/>
          <w:sz w:val="20"/>
          <w:szCs w:val="20"/>
        </w:rPr>
        <w:t>一、按照招投标和结算两个阶段，分别列出建设工程费用计算程序。</w:t>
      </w:r>
    </w:p>
    <w:p>
      <w:pPr>
        <w:spacing w:before="153" w:line="321" w:lineRule="auto"/>
        <w:ind w:left="4" w:firstLine="430"/>
        <w:rPr>
          <w:rFonts w:ascii="宋体" w:hAnsi="宋体" w:eastAsia="宋体" w:cs="宋体"/>
          <w:sz w:val="20"/>
          <w:szCs w:val="20"/>
        </w:rPr>
      </w:pPr>
      <w:r>
        <w:rPr>
          <w:rFonts w:ascii="宋体" w:hAnsi="宋体" w:eastAsia="宋体" w:cs="宋体"/>
          <w:spacing w:val="10"/>
          <w:sz w:val="20"/>
          <w:szCs w:val="20"/>
        </w:rPr>
        <w:t>二、分部分项工程费中的人工费、材料费、施工机具使用费，在编制最高投</w:t>
      </w:r>
      <w:r>
        <w:rPr>
          <w:rFonts w:ascii="宋体" w:hAnsi="宋体" w:eastAsia="宋体" w:cs="宋体"/>
          <w:spacing w:val="9"/>
          <w:sz w:val="20"/>
          <w:szCs w:val="20"/>
        </w:rPr>
        <w:t>标限价、投标报价</w:t>
      </w:r>
      <w:r>
        <w:rPr>
          <w:rFonts w:ascii="宋体" w:hAnsi="宋体" w:eastAsia="宋体" w:cs="宋体"/>
          <w:spacing w:val="7"/>
          <w:sz w:val="20"/>
          <w:szCs w:val="20"/>
        </w:rPr>
        <w:t>时，应全面考虑工程特点、交付标准、工期、市场行情、价格变化预期、企业装备管理水平等因素，</w:t>
      </w:r>
      <w:r>
        <w:rPr>
          <w:rFonts w:ascii="宋体" w:hAnsi="宋体" w:eastAsia="宋体" w:cs="宋体"/>
          <w:spacing w:val="9"/>
          <w:sz w:val="20"/>
          <w:szCs w:val="20"/>
        </w:rPr>
        <w:t>采取科学的计价方法和计价依据合理确定价格。</w:t>
      </w:r>
    </w:p>
    <w:p>
      <w:pPr>
        <w:spacing w:before="156" w:line="332" w:lineRule="auto"/>
        <w:ind w:left="10" w:right="64" w:firstLine="427"/>
        <w:rPr>
          <w:rFonts w:ascii="宋体" w:hAnsi="宋体" w:eastAsia="宋体" w:cs="宋体"/>
          <w:sz w:val="20"/>
          <w:szCs w:val="20"/>
        </w:rPr>
      </w:pPr>
      <w:r>
        <w:rPr>
          <w:rFonts w:ascii="宋体" w:hAnsi="宋体" w:eastAsia="宋体" w:cs="宋体"/>
          <w:spacing w:val="10"/>
          <w:sz w:val="20"/>
          <w:szCs w:val="20"/>
        </w:rPr>
        <w:t>三、企业管理费、利润、措施费（通用、专业）、总承包服务费等费</w:t>
      </w:r>
      <w:r>
        <w:rPr>
          <w:rFonts w:ascii="宋体" w:hAnsi="宋体" w:eastAsia="宋体" w:cs="宋体"/>
          <w:spacing w:val="9"/>
          <w:sz w:val="20"/>
          <w:szCs w:val="20"/>
        </w:rPr>
        <w:t>用项目，在编制最高投标</w:t>
      </w:r>
      <w:r>
        <w:rPr>
          <w:rFonts w:ascii="宋体" w:hAnsi="宋体" w:eastAsia="宋体" w:cs="宋体"/>
          <w:spacing w:val="6"/>
          <w:sz w:val="20"/>
          <w:szCs w:val="20"/>
        </w:rPr>
        <w:t>限价、投标报价时，应根据发包工程特点和企业实际情况确定计算方法。本规则</w:t>
      </w:r>
      <w:r>
        <w:rPr>
          <w:rFonts w:ascii="宋体" w:hAnsi="宋体" w:eastAsia="宋体" w:cs="宋体"/>
          <w:spacing w:val="5"/>
          <w:sz w:val="20"/>
          <w:szCs w:val="20"/>
        </w:rPr>
        <w:t>规定的计算方法（及</w:t>
      </w:r>
      <w:r>
        <w:rPr>
          <w:rFonts w:ascii="宋体" w:hAnsi="宋体" w:eastAsia="宋体" w:cs="宋体"/>
          <w:spacing w:val="7"/>
          <w:sz w:val="20"/>
          <w:szCs w:val="20"/>
        </w:rPr>
        <w:t>费率）仅供参考。</w:t>
      </w:r>
    </w:p>
    <w:p>
      <w:pPr>
        <w:spacing w:before="125" w:line="222" w:lineRule="auto"/>
        <w:ind w:left="455"/>
        <w:rPr>
          <w:rFonts w:ascii="宋体" w:hAnsi="宋体" w:eastAsia="宋体" w:cs="宋体"/>
          <w:sz w:val="20"/>
          <w:szCs w:val="20"/>
        </w:rPr>
      </w:pPr>
      <w:r>
        <w:rPr>
          <w:rFonts w:ascii="宋体" w:hAnsi="宋体" w:eastAsia="宋体" w:cs="宋体"/>
          <w:b/>
          <w:bCs/>
          <w:spacing w:val="8"/>
          <w:sz w:val="20"/>
          <w:szCs w:val="20"/>
        </w:rPr>
        <w:t>四、安全文明措施费应按照本章规定的方法计算，</w:t>
      </w:r>
      <w:r>
        <w:rPr>
          <w:rFonts w:ascii="宋体" w:hAnsi="宋体" w:eastAsia="宋体" w:cs="宋体"/>
          <w:b/>
          <w:bCs/>
          <w:spacing w:val="7"/>
          <w:sz w:val="20"/>
          <w:szCs w:val="20"/>
        </w:rPr>
        <w:t>费率应不低于第三章规定的费率。</w:t>
      </w:r>
    </w:p>
    <w:p>
      <w:pPr>
        <w:spacing w:before="158" w:line="320" w:lineRule="auto"/>
        <w:ind w:right="93" w:firstLine="438"/>
        <w:rPr>
          <w:rFonts w:ascii="宋体" w:hAnsi="宋体" w:eastAsia="宋体" w:cs="宋体"/>
          <w:sz w:val="20"/>
          <w:szCs w:val="20"/>
        </w:rPr>
      </w:pPr>
      <w:r>
        <w:rPr>
          <w:rFonts w:ascii="宋体" w:hAnsi="宋体" w:eastAsia="宋体" w:cs="宋体"/>
          <w:spacing w:val="10"/>
          <w:sz w:val="20"/>
          <w:szCs w:val="20"/>
        </w:rPr>
        <w:t>五、采取增值税一般计税方法的建设工程，建设工程费用税前各个</w:t>
      </w:r>
      <w:r>
        <w:rPr>
          <w:rFonts w:ascii="宋体" w:hAnsi="宋体" w:eastAsia="宋体" w:cs="宋体"/>
          <w:spacing w:val="9"/>
          <w:sz w:val="20"/>
          <w:szCs w:val="20"/>
        </w:rPr>
        <w:t>构成要素（除专业分包工程</w:t>
      </w:r>
      <w:r>
        <w:rPr>
          <w:rFonts w:ascii="宋体" w:hAnsi="宋体" w:eastAsia="宋体" w:cs="宋体"/>
          <w:spacing w:val="10"/>
          <w:sz w:val="20"/>
          <w:szCs w:val="20"/>
        </w:rPr>
        <w:t>费外）均以不包含增值税的价格计算；采取增值税简易计税方法的，税前各构成要素均</w:t>
      </w:r>
      <w:r>
        <w:rPr>
          <w:rFonts w:ascii="宋体" w:hAnsi="宋体" w:eastAsia="宋体" w:cs="宋体"/>
          <w:spacing w:val="9"/>
          <w:sz w:val="20"/>
          <w:szCs w:val="20"/>
        </w:rPr>
        <w:t>以包含增值</w:t>
      </w:r>
      <w:r>
        <w:rPr>
          <w:rFonts w:ascii="宋体" w:hAnsi="宋体" w:eastAsia="宋体" w:cs="宋体"/>
          <w:spacing w:val="7"/>
          <w:sz w:val="20"/>
          <w:szCs w:val="20"/>
        </w:rPr>
        <w:t>税的价格计算。</w:t>
      </w:r>
    </w:p>
    <w:p>
      <w:pPr>
        <w:spacing w:line="320" w:lineRule="auto"/>
        <w:rPr>
          <w:rFonts w:ascii="宋体" w:hAnsi="宋体" w:eastAsia="宋体" w:cs="宋体"/>
          <w:sz w:val="20"/>
          <w:szCs w:val="20"/>
        </w:rPr>
        <w:sectPr>
          <w:footerReference r:id="rId67" w:type="default"/>
          <w:pgSz w:w="11905" w:h="16840"/>
          <w:pgMar w:top="400" w:right="1354" w:bottom="1213" w:left="1418" w:header="0" w:footer="898" w:gutter="0"/>
        </w:sect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2"/>
        <w:spacing w:before="103" w:line="202" w:lineRule="auto"/>
        <w:ind w:left="487"/>
        <w:rPr>
          <w:sz w:val="24"/>
          <w:szCs w:val="24"/>
        </w:rPr>
      </w:pPr>
      <w:r>
        <w:rPr>
          <w:spacing w:val="-5"/>
          <w:sz w:val="24"/>
          <w:szCs w:val="24"/>
        </w:rPr>
        <w:t>一、工程招投标阶段</w:t>
      </w:r>
    </w:p>
    <w:p>
      <w:pPr>
        <w:spacing w:line="73" w:lineRule="exact"/>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2"/>
        <w:gridCol w:w="3366"/>
        <w:gridCol w:w="48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892" w:type="dxa"/>
            <w:tcBorders>
              <w:top w:val="single" w:color="000000" w:sz="4" w:space="0"/>
              <w:left w:val="single" w:color="000000" w:sz="4" w:space="0"/>
            </w:tcBorders>
            <w:vAlign w:val="top"/>
          </w:tcPr>
          <w:p>
            <w:pPr>
              <w:spacing w:before="135" w:line="187" w:lineRule="auto"/>
              <w:ind w:left="286"/>
              <w:rPr>
                <w:rFonts w:ascii="微软雅黑" w:hAnsi="微软雅黑" w:eastAsia="微软雅黑" w:cs="微软雅黑"/>
                <w:sz w:val="20"/>
                <w:szCs w:val="20"/>
              </w:rPr>
            </w:pPr>
            <w:r>
              <w:rPr>
                <w:rFonts w:ascii="微软雅黑" w:hAnsi="微软雅黑" w:eastAsia="微软雅黑" w:cs="微软雅黑"/>
                <w:spacing w:val="3"/>
                <w:sz w:val="20"/>
                <w:szCs w:val="20"/>
              </w:rPr>
              <w:t>序号</w:t>
            </w:r>
          </w:p>
        </w:tc>
        <w:tc>
          <w:tcPr>
            <w:tcW w:w="3366" w:type="dxa"/>
            <w:tcBorders>
              <w:top w:val="single" w:color="000000" w:sz="4" w:space="0"/>
            </w:tcBorders>
            <w:vAlign w:val="top"/>
          </w:tcPr>
          <w:p>
            <w:pPr>
              <w:spacing w:before="135" w:line="187" w:lineRule="auto"/>
              <w:ind w:left="1345"/>
              <w:rPr>
                <w:rFonts w:ascii="微软雅黑" w:hAnsi="微软雅黑" w:eastAsia="微软雅黑" w:cs="微软雅黑"/>
                <w:sz w:val="20"/>
                <w:szCs w:val="20"/>
              </w:rPr>
            </w:pPr>
            <w:r>
              <w:rPr>
                <w:rFonts w:ascii="微软雅黑" w:hAnsi="微软雅黑" w:eastAsia="微软雅黑" w:cs="微软雅黑"/>
                <w:spacing w:val="-2"/>
                <w:sz w:val="20"/>
                <w:szCs w:val="20"/>
              </w:rPr>
              <w:t>费用名称</w:t>
            </w:r>
          </w:p>
        </w:tc>
        <w:tc>
          <w:tcPr>
            <w:tcW w:w="4821" w:type="dxa"/>
            <w:tcBorders>
              <w:top w:val="single" w:color="000000" w:sz="4" w:space="0"/>
              <w:right w:val="single" w:color="000000" w:sz="4" w:space="0"/>
            </w:tcBorders>
            <w:vAlign w:val="top"/>
          </w:tcPr>
          <w:p>
            <w:pPr>
              <w:spacing w:before="132" w:line="189" w:lineRule="auto"/>
              <w:ind w:left="1923"/>
              <w:rPr>
                <w:rFonts w:ascii="微软雅黑" w:hAnsi="微软雅黑" w:eastAsia="微软雅黑" w:cs="微软雅黑"/>
                <w:sz w:val="20"/>
                <w:szCs w:val="20"/>
              </w:rPr>
            </w:pPr>
            <w:r>
              <w:rPr>
                <w:rFonts w:ascii="微软雅黑" w:hAnsi="微软雅黑" w:eastAsia="微软雅黑" w:cs="微软雅黑"/>
                <w:spacing w:val="1"/>
                <w:sz w:val="20"/>
                <w:szCs w:val="20"/>
              </w:rPr>
              <w:t>计  算</w:t>
            </w:r>
            <w:r>
              <w:rPr>
                <w:rFonts w:ascii="微软雅黑" w:hAnsi="微软雅黑" w:eastAsia="微软雅黑" w:cs="微软雅黑"/>
                <w:spacing w:val="56"/>
                <w:w w:val="101"/>
                <w:sz w:val="20"/>
                <w:szCs w:val="20"/>
              </w:rPr>
              <w:t xml:space="preserve"> </w:t>
            </w:r>
            <w:r>
              <w:rPr>
                <w:rFonts w:ascii="微软雅黑" w:hAnsi="微软雅黑" w:eastAsia="微软雅黑" w:cs="微软雅黑"/>
                <w:spacing w:val="1"/>
                <w:sz w:val="20"/>
                <w:szCs w:val="20"/>
              </w:rPr>
              <w:t>方  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2" w:hRule="atLeast"/>
        </w:trPr>
        <w:tc>
          <w:tcPr>
            <w:tcW w:w="892" w:type="dxa"/>
            <w:vMerge w:val="restart"/>
            <w:tcBorders>
              <w:left w:val="single" w:color="000000" w:sz="4" w:space="0"/>
              <w:bottom w:val="nil"/>
            </w:tcBorders>
            <w:vAlign w:val="top"/>
          </w:tcPr>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6" w:lineRule="auto"/>
            </w:pPr>
          </w:p>
          <w:p>
            <w:pPr>
              <w:pStyle w:val="6"/>
              <w:spacing w:line="256" w:lineRule="auto"/>
            </w:pPr>
          </w:p>
          <w:p>
            <w:pPr>
              <w:spacing w:before="65" w:line="157" w:lineRule="exact"/>
              <w:ind w:left="361"/>
              <w:rPr>
                <w:rFonts w:ascii="宋体" w:hAnsi="宋体" w:eastAsia="宋体" w:cs="宋体"/>
                <w:sz w:val="20"/>
                <w:szCs w:val="20"/>
              </w:rPr>
            </w:pPr>
            <w:r>
              <w:rPr>
                <w:rFonts w:ascii="宋体" w:hAnsi="宋体" w:eastAsia="宋体" w:cs="宋体"/>
                <w:spacing w:val="4"/>
                <w:position w:val="-4"/>
                <w:sz w:val="20"/>
                <w:szCs w:val="20"/>
              </w:rPr>
              <w:t>一</w:t>
            </w:r>
          </w:p>
        </w:tc>
        <w:tc>
          <w:tcPr>
            <w:tcW w:w="3366" w:type="dxa"/>
            <w:vAlign w:val="top"/>
          </w:tcPr>
          <w:p>
            <w:pPr>
              <w:spacing w:before="128" w:line="220" w:lineRule="auto"/>
              <w:ind w:left="110"/>
              <w:rPr>
                <w:rFonts w:ascii="宋体" w:hAnsi="宋体" w:eastAsia="宋体" w:cs="宋体"/>
                <w:sz w:val="20"/>
                <w:szCs w:val="20"/>
              </w:rPr>
            </w:pPr>
            <w:r>
              <w:rPr>
                <w:rFonts w:ascii="宋体" w:hAnsi="宋体" w:eastAsia="宋体" w:cs="宋体"/>
                <w:sz w:val="20"/>
                <w:szCs w:val="20"/>
              </w:rPr>
              <w:t>分部分项工程费</w:t>
            </w:r>
          </w:p>
        </w:tc>
        <w:tc>
          <w:tcPr>
            <w:tcW w:w="4821" w:type="dxa"/>
            <w:tcBorders>
              <w:right w:val="single" w:color="000000" w:sz="4" w:space="0"/>
            </w:tcBorders>
            <w:vAlign w:val="top"/>
          </w:tcPr>
          <w:p>
            <w:pPr>
              <w:spacing w:before="137" w:line="284" w:lineRule="exact"/>
              <w:ind w:left="163"/>
              <w:rPr>
                <w:rFonts w:ascii="宋体" w:hAnsi="宋体" w:eastAsia="宋体" w:cs="宋体"/>
                <w:sz w:val="20"/>
                <w:szCs w:val="20"/>
              </w:rPr>
            </w:pPr>
            <w:r>
              <w:rPr>
                <w:rFonts w:ascii="宋体" w:hAnsi="宋体" w:eastAsia="宋体" w:cs="宋体"/>
                <w:spacing w:val="-13"/>
                <w:position w:val="2"/>
                <w:sz w:val="20"/>
                <w:szCs w:val="20"/>
              </w:rPr>
              <w:t>∑（Ji</w:t>
            </w:r>
            <w:r>
              <w:rPr>
                <w:rFonts w:ascii="宋体" w:hAnsi="宋体" w:eastAsia="宋体" w:cs="宋体"/>
                <w:spacing w:val="46"/>
                <w:position w:val="2"/>
                <w:sz w:val="20"/>
                <w:szCs w:val="20"/>
              </w:rPr>
              <w:t xml:space="preserve"> </w:t>
            </w:r>
            <w:r>
              <w:rPr>
                <w:rFonts w:ascii="宋体" w:hAnsi="宋体" w:eastAsia="宋体" w:cs="宋体"/>
                <w:spacing w:val="-13"/>
                <w:position w:val="2"/>
                <w:sz w:val="20"/>
                <w:szCs w:val="20"/>
              </w:rPr>
              <w:t>×分部分项工程量）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0"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4" w:line="219" w:lineRule="auto"/>
              <w:ind w:left="110"/>
              <w:rPr>
                <w:rFonts w:ascii="宋体" w:hAnsi="宋体" w:eastAsia="宋体" w:cs="宋体"/>
                <w:sz w:val="20"/>
                <w:szCs w:val="20"/>
              </w:rPr>
            </w:pPr>
            <w:r>
              <w:rPr>
                <w:rFonts w:ascii="宋体" w:hAnsi="宋体" w:eastAsia="宋体" w:cs="宋体"/>
                <w:spacing w:val="7"/>
                <w:sz w:val="20"/>
                <w:szCs w:val="20"/>
              </w:rPr>
              <w:t>分部分项工程综合单价</w:t>
            </w:r>
          </w:p>
        </w:tc>
        <w:tc>
          <w:tcPr>
            <w:tcW w:w="4821" w:type="dxa"/>
            <w:tcBorders>
              <w:right w:val="single" w:color="000000" w:sz="4" w:space="0"/>
            </w:tcBorders>
            <w:vAlign w:val="top"/>
          </w:tcPr>
          <w:p>
            <w:pPr>
              <w:spacing w:before="134" w:line="286" w:lineRule="exact"/>
              <w:ind w:left="112"/>
              <w:rPr>
                <w:rFonts w:ascii="宋体" w:hAnsi="宋体" w:eastAsia="宋体" w:cs="宋体"/>
                <w:sz w:val="20"/>
                <w:szCs w:val="20"/>
              </w:rPr>
            </w:pPr>
            <w:r>
              <w:rPr>
                <w:rFonts w:ascii="宋体" w:hAnsi="宋体" w:eastAsia="宋体" w:cs="宋体"/>
                <w:spacing w:val="-20"/>
                <w:position w:val="2"/>
                <w:sz w:val="20"/>
                <w:szCs w:val="20"/>
              </w:rPr>
              <w:t>Ji</w:t>
            </w:r>
            <w:r>
              <w:rPr>
                <w:rFonts w:ascii="宋体" w:hAnsi="宋体" w:eastAsia="宋体" w:cs="宋体"/>
                <w:spacing w:val="-20"/>
                <w:position w:val="3"/>
                <w:sz w:val="20"/>
                <w:szCs w:val="20"/>
              </w:rPr>
              <w:t>=1.1＋</w:t>
            </w:r>
            <w:r>
              <w:rPr>
                <w:rFonts w:ascii="宋体" w:hAnsi="宋体" w:eastAsia="宋体" w:cs="宋体"/>
                <w:spacing w:val="-38"/>
                <w:position w:val="3"/>
                <w:sz w:val="20"/>
                <w:szCs w:val="20"/>
              </w:rPr>
              <w:t xml:space="preserve"> </w:t>
            </w:r>
            <w:r>
              <w:rPr>
                <w:rFonts w:ascii="宋体" w:hAnsi="宋体" w:eastAsia="宋体" w:cs="宋体"/>
                <w:spacing w:val="-20"/>
                <w:position w:val="3"/>
                <w:sz w:val="20"/>
                <w:szCs w:val="20"/>
              </w:rPr>
              <w:t>1.2＋</w:t>
            </w:r>
            <w:r>
              <w:rPr>
                <w:rFonts w:ascii="宋体" w:hAnsi="宋体" w:eastAsia="宋体" w:cs="宋体"/>
                <w:spacing w:val="-45"/>
                <w:position w:val="3"/>
                <w:sz w:val="20"/>
                <w:szCs w:val="20"/>
              </w:rPr>
              <w:t xml:space="preserve"> </w:t>
            </w:r>
            <w:r>
              <w:rPr>
                <w:rFonts w:ascii="宋体" w:hAnsi="宋体" w:eastAsia="宋体" w:cs="宋体"/>
                <w:spacing w:val="-20"/>
                <w:position w:val="3"/>
                <w:sz w:val="20"/>
                <w:szCs w:val="20"/>
              </w:rPr>
              <w:t>1.3＋</w:t>
            </w:r>
            <w:r>
              <w:rPr>
                <w:rFonts w:ascii="宋体" w:hAnsi="宋体" w:eastAsia="宋体" w:cs="宋体"/>
                <w:spacing w:val="-44"/>
                <w:position w:val="3"/>
                <w:sz w:val="20"/>
                <w:szCs w:val="20"/>
              </w:rPr>
              <w:t xml:space="preserve"> </w:t>
            </w:r>
            <w:r>
              <w:rPr>
                <w:rFonts w:ascii="宋体" w:hAnsi="宋体" w:eastAsia="宋体" w:cs="宋体"/>
                <w:spacing w:val="-20"/>
                <w:position w:val="3"/>
                <w:sz w:val="20"/>
                <w:szCs w:val="20"/>
              </w:rPr>
              <w:t>1.4＋</w:t>
            </w:r>
            <w:r>
              <w:rPr>
                <w:rFonts w:ascii="宋体" w:hAnsi="宋体" w:eastAsia="宋体" w:cs="宋体"/>
                <w:spacing w:val="-47"/>
                <w:position w:val="3"/>
                <w:sz w:val="20"/>
                <w:szCs w:val="20"/>
              </w:rPr>
              <w:t xml:space="preserve"> </w:t>
            </w:r>
            <w:r>
              <w:rPr>
                <w:rFonts w:ascii="宋体" w:hAnsi="宋体" w:eastAsia="宋体" w:cs="宋体"/>
                <w:spacing w:val="-20"/>
                <w:position w:val="3"/>
                <w:sz w:val="20"/>
                <w:szCs w:val="20"/>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4" w:line="266" w:lineRule="exact"/>
              <w:ind w:left="137"/>
              <w:rPr>
                <w:rFonts w:ascii="宋体" w:hAnsi="宋体" w:eastAsia="宋体" w:cs="宋体"/>
                <w:sz w:val="20"/>
                <w:szCs w:val="20"/>
              </w:rPr>
            </w:pPr>
            <w:r>
              <w:rPr>
                <w:rFonts w:ascii="宋体" w:hAnsi="宋体" w:eastAsia="宋体" w:cs="宋体"/>
                <w:spacing w:val="-7"/>
                <w:position w:val="1"/>
                <w:sz w:val="20"/>
                <w:szCs w:val="20"/>
              </w:rPr>
              <w:t>1.1人工费</w:t>
            </w:r>
          </w:p>
        </w:tc>
        <w:tc>
          <w:tcPr>
            <w:tcW w:w="4821" w:type="dxa"/>
            <w:tcBorders>
              <w:right w:val="single" w:color="000000" w:sz="4" w:space="0"/>
            </w:tcBorders>
            <w:vAlign w:val="top"/>
          </w:tcPr>
          <w:p>
            <w:pPr>
              <w:spacing w:before="124" w:line="266" w:lineRule="exact"/>
              <w:ind w:left="119"/>
              <w:rPr>
                <w:rFonts w:ascii="宋体" w:hAnsi="宋体" w:eastAsia="宋体" w:cs="宋体"/>
                <w:sz w:val="20"/>
                <w:szCs w:val="20"/>
              </w:rPr>
            </w:pPr>
            <w:r>
              <w:rPr>
                <w:rFonts w:ascii="宋体" w:hAnsi="宋体" w:eastAsia="宋体" w:cs="宋体"/>
                <w:spacing w:val="-13"/>
                <w:position w:val="1"/>
                <w:sz w:val="20"/>
                <w:szCs w:val="20"/>
              </w:rPr>
              <w:t>每计量单位∑（工日消耗量</w:t>
            </w:r>
            <w:r>
              <w:rPr>
                <w:rFonts w:ascii="宋体" w:hAnsi="宋体" w:eastAsia="宋体" w:cs="宋体"/>
                <w:spacing w:val="-62"/>
                <w:position w:val="1"/>
                <w:sz w:val="20"/>
                <w:szCs w:val="20"/>
              </w:rPr>
              <w:t xml:space="preserve"> </w:t>
            </w:r>
            <w:r>
              <w:rPr>
                <w:rFonts w:ascii="宋体" w:hAnsi="宋体" w:eastAsia="宋体" w:cs="宋体"/>
                <w:spacing w:val="-13"/>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37"/>
              <w:rPr>
                <w:rFonts w:ascii="宋体" w:hAnsi="宋体" w:eastAsia="宋体" w:cs="宋体"/>
                <w:sz w:val="20"/>
                <w:szCs w:val="20"/>
              </w:rPr>
            </w:pPr>
            <w:r>
              <w:rPr>
                <w:rFonts w:ascii="宋体" w:hAnsi="宋体" w:eastAsia="宋体" w:cs="宋体"/>
                <w:spacing w:val="-7"/>
                <w:position w:val="1"/>
                <w:sz w:val="20"/>
                <w:szCs w:val="20"/>
              </w:rPr>
              <w:t>1.2材料费</w:t>
            </w:r>
          </w:p>
        </w:tc>
        <w:tc>
          <w:tcPr>
            <w:tcW w:w="4821" w:type="dxa"/>
            <w:tcBorders>
              <w:right w:val="single" w:color="000000" w:sz="4" w:space="0"/>
            </w:tcBorders>
            <w:vAlign w:val="top"/>
          </w:tcPr>
          <w:p>
            <w:pPr>
              <w:spacing w:before="126" w:line="264" w:lineRule="exact"/>
              <w:ind w:left="119"/>
              <w:rPr>
                <w:rFonts w:ascii="宋体" w:hAnsi="宋体" w:eastAsia="宋体" w:cs="宋体"/>
                <w:sz w:val="20"/>
                <w:szCs w:val="20"/>
              </w:rPr>
            </w:pPr>
            <w:r>
              <w:rPr>
                <w:rFonts w:ascii="宋体" w:hAnsi="宋体" w:eastAsia="宋体" w:cs="宋体"/>
                <w:spacing w:val="-13"/>
                <w:position w:val="1"/>
                <w:sz w:val="20"/>
                <w:szCs w:val="20"/>
              </w:rPr>
              <w:t>每计量单位∑（材料消耗量</w:t>
            </w:r>
            <w:r>
              <w:rPr>
                <w:rFonts w:ascii="宋体" w:hAnsi="宋体" w:eastAsia="宋体" w:cs="宋体"/>
                <w:spacing w:val="-62"/>
                <w:position w:val="1"/>
                <w:sz w:val="20"/>
                <w:szCs w:val="20"/>
              </w:rPr>
              <w:t xml:space="preserve"> </w:t>
            </w:r>
            <w:r>
              <w:rPr>
                <w:rFonts w:ascii="宋体" w:hAnsi="宋体" w:eastAsia="宋体" w:cs="宋体"/>
                <w:spacing w:val="-13"/>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37"/>
              <w:rPr>
                <w:rFonts w:ascii="宋体" w:hAnsi="宋体" w:eastAsia="宋体" w:cs="宋体"/>
                <w:sz w:val="20"/>
                <w:szCs w:val="20"/>
              </w:rPr>
            </w:pPr>
            <w:r>
              <w:rPr>
                <w:rFonts w:ascii="宋体" w:hAnsi="宋体" w:eastAsia="宋体" w:cs="宋体"/>
                <w:spacing w:val="-1"/>
                <w:position w:val="1"/>
                <w:sz w:val="20"/>
                <w:szCs w:val="20"/>
              </w:rPr>
              <w:t>1.3施工机具使用费</w:t>
            </w:r>
          </w:p>
        </w:tc>
        <w:tc>
          <w:tcPr>
            <w:tcW w:w="4821" w:type="dxa"/>
            <w:tcBorders>
              <w:right w:val="single" w:color="000000" w:sz="4" w:space="0"/>
            </w:tcBorders>
            <w:vAlign w:val="top"/>
          </w:tcPr>
          <w:p>
            <w:pPr>
              <w:spacing w:before="123" w:line="267" w:lineRule="exact"/>
              <w:ind w:left="119"/>
              <w:rPr>
                <w:rFonts w:ascii="宋体" w:hAnsi="宋体" w:eastAsia="宋体" w:cs="宋体"/>
                <w:sz w:val="20"/>
                <w:szCs w:val="20"/>
              </w:rPr>
            </w:pPr>
            <w:r>
              <w:rPr>
                <w:rFonts w:ascii="宋体" w:hAnsi="宋体" w:eastAsia="宋体" w:cs="宋体"/>
                <w:spacing w:val="-1"/>
                <w:position w:val="1"/>
                <w:sz w:val="20"/>
                <w:szCs w:val="20"/>
              </w:rPr>
              <w:t>每计量单位∑（机械台班消耗量</w:t>
            </w:r>
            <w:r>
              <w:rPr>
                <w:rFonts w:ascii="宋体" w:hAnsi="宋体" w:eastAsia="宋体" w:cs="宋体"/>
                <w:spacing w:val="-47"/>
                <w:position w:val="1"/>
                <w:sz w:val="20"/>
                <w:szCs w:val="20"/>
              </w:rPr>
              <w:t xml:space="preserve"> </w:t>
            </w:r>
            <w:r>
              <w:rPr>
                <w:rFonts w:ascii="宋体" w:hAnsi="宋体" w:eastAsia="宋体" w:cs="宋体"/>
                <w:spacing w:val="-1"/>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8" w:line="263" w:lineRule="exact"/>
              <w:ind w:left="137"/>
              <w:rPr>
                <w:rFonts w:ascii="宋体" w:hAnsi="宋体" w:eastAsia="宋体" w:cs="宋体"/>
                <w:sz w:val="20"/>
                <w:szCs w:val="20"/>
              </w:rPr>
            </w:pPr>
            <w:r>
              <w:rPr>
                <w:rFonts w:ascii="宋体" w:hAnsi="宋体" w:eastAsia="宋体" w:cs="宋体"/>
                <w:spacing w:val="-3"/>
                <w:position w:val="1"/>
                <w:sz w:val="20"/>
                <w:szCs w:val="20"/>
              </w:rPr>
              <w:t>1.4企业管理费</w:t>
            </w:r>
          </w:p>
        </w:tc>
        <w:tc>
          <w:tcPr>
            <w:tcW w:w="4821" w:type="dxa"/>
            <w:tcBorders>
              <w:right w:val="single" w:color="000000" w:sz="4" w:space="0"/>
            </w:tcBorders>
            <w:vAlign w:val="top"/>
          </w:tcPr>
          <w:p>
            <w:pPr>
              <w:spacing w:before="128" w:line="263" w:lineRule="exact"/>
              <w:ind w:left="116"/>
              <w:rPr>
                <w:rFonts w:ascii="宋体" w:hAnsi="宋体" w:eastAsia="宋体" w:cs="宋体"/>
                <w:sz w:val="20"/>
                <w:szCs w:val="20"/>
              </w:rPr>
            </w:pPr>
            <w:r>
              <w:rPr>
                <w:rFonts w:ascii="宋体" w:hAnsi="宋体" w:eastAsia="宋体" w:cs="宋体"/>
                <w:spacing w:val="-7"/>
                <w:position w:val="1"/>
                <w:sz w:val="20"/>
                <w:szCs w:val="20"/>
              </w:rPr>
              <w:t>（计费基础 1）</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26" w:line="265" w:lineRule="exact"/>
              <w:ind w:left="137"/>
              <w:rPr>
                <w:rFonts w:ascii="宋体" w:hAnsi="宋体" w:eastAsia="宋体" w:cs="宋体"/>
                <w:sz w:val="20"/>
                <w:szCs w:val="20"/>
              </w:rPr>
            </w:pPr>
            <w:r>
              <w:rPr>
                <w:rFonts w:ascii="宋体" w:hAnsi="宋体" w:eastAsia="宋体" w:cs="宋体"/>
                <w:spacing w:val="-9"/>
                <w:position w:val="1"/>
                <w:sz w:val="20"/>
                <w:szCs w:val="20"/>
              </w:rPr>
              <w:t>1.5利润</w:t>
            </w:r>
          </w:p>
        </w:tc>
        <w:tc>
          <w:tcPr>
            <w:tcW w:w="4821" w:type="dxa"/>
            <w:tcBorders>
              <w:right w:val="single" w:color="000000" w:sz="4" w:space="0"/>
            </w:tcBorders>
            <w:vAlign w:val="top"/>
          </w:tcPr>
          <w:p>
            <w:pPr>
              <w:spacing w:before="126" w:line="265" w:lineRule="exact"/>
              <w:ind w:left="116"/>
              <w:rPr>
                <w:rFonts w:ascii="宋体" w:hAnsi="宋体" w:eastAsia="宋体" w:cs="宋体"/>
                <w:sz w:val="20"/>
                <w:szCs w:val="20"/>
              </w:rPr>
            </w:pPr>
            <w:r>
              <w:rPr>
                <w:rFonts w:ascii="宋体" w:hAnsi="宋体" w:eastAsia="宋体" w:cs="宋体"/>
                <w:spacing w:val="-7"/>
                <w:position w:val="1"/>
                <w:sz w:val="20"/>
                <w:szCs w:val="20"/>
              </w:rPr>
              <w:t>（计费基础</w:t>
            </w:r>
            <w:r>
              <w:rPr>
                <w:rFonts w:ascii="宋体" w:hAnsi="宋体" w:eastAsia="宋体" w:cs="宋体"/>
                <w:spacing w:val="-21"/>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55"/>
                <w:position w:val="1"/>
                <w:sz w:val="20"/>
                <w:szCs w:val="20"/>
              </w:rPr>
              <w:t xml:space="preserve"> </w:t>
            </w:r>
            <w:r>
              <w:rPr>
                <w:rFonts w:ascii="宋体" w:hAnsi="宋体" w:eastAsia="宋体" w:cs="宋体"/>
                <w:spacing w:val="-7"/>
                <w:position w:val="1"/>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1" w:hRule="atLeast"/>
        </w:trPr>
        <w:tc>
          <w:tcPr>
            <w:tcW w:w="892" w:type="dxa"/>
            <w:vMerge w:val="restart"/>
            <w:tcBorders>
              <w:left w:val="single" w:color="000000" w:sz="4" w:space="0"/>
              <w:bottom w:val="nil"/>
            </w:tcBorders>
            <w:vAlign w:val="top"/>
          </w:tcPr>
          <w:p>
            <w:pPr>
              <w:pStyle w:val="6"/>
              <w:spacing w:line="299" w:lineRule="auto"/>
            </w:pPr>
          </w:p>
          <w:p>
            <w:pPr>
              <w:pStyle w:val="6"/>
              <w:spacing w:line="299" w:lineRule="auto"/>
            </w:pPr>
          </w:p>
          <w:p>
            <w:pPr>
              <w:pStyle w:val="6"/>
              <w:spacing w:line="299" w:lineRule="auto"/>
            </w:pPr>
          </w:p>
          <w:p>
            <w:pPr>
              <w:spacing w:before="65" w:line="192" w:lineRule="auto"/>
              <w:ind w:left="361"/>
              <w:rPr>
                <w:rFonts w:ascii="宋体" w:hAnsi="宋体" w:eastAsia="宋体" w:cs="宋体"/>
                <w:sz w:val="20"/>
                <w:szCs w:val="20"/>
              </w:rPr>
            </w:pPr>
            <w:r>
              <w:rPr>
                <w:rFonts w:ascii="宋体" w:hAnsi="宋体" w:eastAsia="宋体" w:cs="宋体"/>
                <w:spacing w:val="4"/>
                <w:sz w:val="20"/>
                <w:szCs w:val="20"/>
              </w:rPr>
              <w:t>二</w:t>
            </w:r>
          </w:p>
        </w:tc>
        <w:tc>
          <w:tcPr>
            <w:tcW w:w="3366" w:type="dxa"/>
            <w:vAlign w:val="top"/>
          </w:tcPr>
          <w:p>
            <w:pPr>
              <w:spacing w:before="135" w:line="219" w:lineRule="auto"/>
              <w:ind w:left="106"/>
              <w:rPr>
                <w:rFonts w:ascii="宋体" w:hAnsi="宋体" w:eastAsia="宋体" w:cs="宋体"/>
                <w:sz w:val="20"/>
                <w:szCs w:val="20"/>
              </w:rPr>
            </w:pPr>
            <w:r>
              <w:rPr>
                <w:rFonts w:ascii="宋体" w:hAnsi="宋体" w:eastAsia="宋体" w:cs="宋体"/>
                <w:spacing w:val="5"/>
                <w:sz w:val="20"/>
                <w:szCs w:val="20"/>
              </w:rPr>
              <w:t>措施项目费</w:t>
            </w:r>
          </w:p>
        </w:tc>
        <w:tc>
          <w:tcPr>
            <w:tcW w:w="4821" w:type="dxa"/>
            <w:tcBorders>
              <w:right w:val="single" w:color="000000" w:sz="4" w:space="0"/>
            </w:tcBorders>
            <w:vAlign w:val="top"/>
          </w:tcPr>
          <w:p>
            <w:pPr>
              <w:spacing w:before="144" w:line="266" w:lineRule="exact"/>
              <w:ind w:left="119"/>
              <w:rPr>
                <w:rFonts w:ascii="宋体" w:hAnsi="宋体" w:eastAsia="宋体" w:cs="宋体"/>
                <w:sz w:val="20"/>
                <w:szCs w:val="20"/>
              </w:rPr>
            </w:pPr>
            <w:r>
              <w:rPr>
                <w:rFonts w:ascii="宋体" w:hAnsi="宋体" w:eastAsia="宋体" w:cs="宋体"/>
                <w:spacing w:val="-11"/>
                <w:position w:val="1"/>
                <w:sz w:val="20"/>
                <w:szCs w:val="20"/>
              </w:rPr>
              <w:t>2.1＋2.2＋2.3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10"/>
              <w:rPr>
                <w:rFonts w:ascii="宋体" w:hAnsi="宋体" w:eastAsia="宋体" w:cs="宋体"/>
                <w:sz w:val="20"/>
                <w:szCs w:val="20"/>
              </w:rPr>
            </w:pPr>
            <w:r>
              <w:rPr>
                <w:rFonts w:ascii="宋体" w:hAnsi="宋体" w:eastAsia="宋体" w:cs="宋体"/>
                <w:spacing w:val="2"/>
                <w:position w:val="1"/>
                <w:sz w:val="20"/>
                <w:szCs w:val="20"/>
              </w:rPr>
              <w:t>2.1通用措施项目费</w:t>
            </w:r>
          </w:p>
        </w:tc>
        <w:tc>
          <w:tcPr>
            <w:tcW w:w="4821" w:type="dxa"/>
            <w:tcBorders>
              <w:right w:val="single" w:color="000000" w:sz="4" w:space="0"/>
            </w:tcBorders>
            <w:vAlign w:val="top"/>
          </w:tcPr>
          <w:p>
            <w:pPr>
              <w:spacing w:before="126" w:line="264" w:lineRule="exact"/>
              <w:ind w:left="163"/>
              <w:rPr>
                <w:rFonts w:ascii="宋体" w:hAnsi="宋体" w:eastAsia="宋体" w:cs="宋体"/>
                <w:sz w:val="20"/>
                <w:szCs w:val="20"/>
              </w:rPr>
            </w:pPr>
            <w:r>
              <w:rPr>
                <w:rFonts w:ascii="宋体" w:hAnsi="宋体" w:eastAsia="宋体" w:cs="宋体"/>
                <w:spacing w:val="-9"/>
                <w:position w:val="1"/>
                <w:sz w:val="20"/>
                <w:szCs w:val="20"/>
              </w:rPr>
              <w:t>∑（计费基础2</w:t>
            </w:r>
            <w:r>
              <w:rPr>
                <w:rFonts w:ascii="宋体" w:hAnsi="宋体" w:eastAsia="宋体" w:cs="宋体"/>
                <w:spacing w:val="-44"/>
                <w:position w:val="1"/>
                <w:sz w:val="20"/>
                <w:szCs w:val="20"/>
              </w:rPr>
              <w:t xml:space="preserve"> </w:t>
            </w:r>
            <w:r>
              <w:rPr>
                <w:rFonts w:ascii="宋体" w:hAnsi="宋体" w:eastAsia="宋体" w:cs="宋体"/>
                <w:spacing w:val="-9"/>
                <w:position w:val="1"/>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8" w:line="242" w:lineRule="auto"/>
              <w:ind w:left="110"/>
              <w:rPr>
                <w:rFonts w:ascii="宋体" w:hAnsi="宋体" w:eastAsia="宋体" w:cs="宋体"/>
                <w:sz w:val="20"/>
                <w:szCs w:val="20"/>
              </w:rPr>
            </w:pPr>
            <w:r>
              <w:rPr>
                <w:rFonts w:ascii="宋体" w:hAnsi="宋体" w:eastAsia="宋体" w:cs="宋体"/>
                <w:spacing w:val="2"/>
                <w:sz w:val="20"/>
                <w:szCs w:val="20"/>
              </w:rPr>
              <w:t>2.2专业措施项目费</w:t>
            </w:r>
          </w:p>
        </w:tc>
        <w:tc>
          <w:tcPr>
            <w:tcW w:w="4821" w:type="dxa"/>
            <w:tcBorders>
              <w:right w:val="single" w:color="000000" w:sz="4" w:space="0"/>
            </w:tcBorders>
            <w:vAlign w:val="top"/>
          </w:tcPr>
          <w:p>
            <w:pPr>
              <w:spacing w:before="131" w:line="223" w:lineRule="auto"/>
              <w:ind w:left="117"/>
              <w:rPr>
                <w:rFonts w:ascii="宋体" w:hAnsi="宋体" w:eastAsia="宋体" w:cs="宋体"/>
                <w:sz w:val="20"/>
                <w:szCs w:val="20"/>
              </w:rPr>
            </w:pPr>
            <w:r>
              <w:rPr>
                <w:rFonts w:ascii="宋体" w:hAnsi="宋体" w:eastAsia="宋体" w:cs="宋体"/>
                <w:spacing w:val="7"/>
                <w:sz w:val="20"/>
                <w:szCs w:val="20"/>
              </w:rPr>
              <w:t>按各专业工程措施项目计算方法计算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32"/>
              <w:ind w:left="110"/>
              <w:rPr>
                <w:rFonts w:ascii="宋体" w:hAnsi="宋体" w:eastAsia="宋体" w:cs="宋体"/>
                <w:sz w:val="20"/>
                <w:szCs w:val="20"/>
              </w:rPr>
            </w:pPr>
            <w:r>
              <w:rPr>
                <w:rFonts w:ascii="宋体" w:hAnsi="宋体" w:eastAsia="宋体" w:cs="宋体"/>
                <w:spacing w:val="2"/>
                <w:sz w:val="20"/>
                <w:szCs w:val="20"/>
              </w:rPr>
              <w:t>2.3安全文明措施费</w:t>
            </w:r>
          </w:p>
        </w:tc>
        <w:tc>
          <w:tcPr>
            <w:tcW w:w="4821" w:type="dxa"/>
            <w:tcBorders>
              <w:right w:val="single" w:color="000000" w:sz="4" w:space="0"/>
            </w:tcBorders>
            <w:vAlign w:val="top"/>
          </w:tcPr>
          <w:p>
            <w:pPr>
              <w:spacing w:before="132"/>
              <w:ind w:left="16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0"/>
                <w:sz w:val="20"/>
                <w:szCs w:val="20"/>
              </w:rPr>
              <w:t>｛［（</w:t>
            </w:r>
            <w:r>
              <w:rPr>
                <w:rFonts w:ascii="宋体" w:hAnsi="宋体" w:eastAsia="宋体" w:cs="宋体"/>
                <w:spacing w:val="-7"/>
                <w:sz w:val="20"/>
                <w:szCs w:val="20"/>
              </w:rPr>
              <w:t>一</w:t>
            </w:r>
            <w:r>
              <w:rPr>
                <w:rFonts w:ascii="宋体" w:hAnsi="宋体" w:eastAsia="宋体" w:cs="宋体"/>
                <w:spacing w:val="-30"/>
                <w:sz w:val="20"/>
                <w:szCs w:val="20"/>
              </w:rPr>
              <w:t>）＋</w:t>
            </w:r>
            <w:r>
              <w:rPr>
                <w:rFonts w:ascii="宋体" w:hAnsi="宋体" w:eastAsia="宋体" w:cs="宋体"/>
                <w:spacing w:val="-7"/>
                <w:sz w:val="20"/>
                <w:szCs w:val="20"/>
              </w:rPr>
              <w:t>2.1＋2.2＋A.1］</w:t>
            </w:r>
            <w:r>
              <w:rPr>
                <w:rFonts w:ascii="宋体" w:hAnsi="宋体" w:eastAsia="宋体" w:cs="宋体"/>
                <w:spacing w:val="-53"/>
                <w:sz w:val="20"/>
                <w:szCs w:val="20"/>
              </w:rPr>
              <w:t xml:space="preserve"> </w:t>
            </w:r>
            <w:r>
              <w:rPr>
                <w:rFonts w:ascii="宋体" w:hAnsi="宋体" w:eastAsia="宋体" w:cs="宋体"/>
                <w:spacing w:val="-7"/>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 w:hRule="atLeast"/>
        </w:trPr>
        <w:tc>
          <w:tcPr>
            <w:tcW w:w="892" w:type="dxa"/>
            <w:vMerge w:val="restart"/>
            <w:tcBorders>
              <w:left w:val="single" w:color="000000" w:sz="4" w:space="0"/>
              <w:bottom w:val="nil"/>
            </w:tcBorders>
            <w:vAlign w:val="top"/>
          </w:tcPr>
          <w:p>
            <w:pPr>
              <w:pStyle w:val="6"/>
              <w:spacing w:line="245" w:lineRule="auto"/>
            </w:pPr>
          </w:p>
          <w:p>
            <w:pPr>
              <w:pStyle w:val="6"/>
              <w:spacing w:line="245" w:lineRule="auto"/>
            </w:pPr>
          </w:p>
          <w:p>
            <w:pPr>
              <w:pStyle w:val="6"/>
              <w:spacing w:line="245"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spacing w:before="65" w:line="201" w:lineRule="auto"/>
              <w:ind w:left="362"/>
              <w:rPr>
                <w:rFonts w:ascii="宋体" w:hAnsi="宋体" w:eastAsia="宋体" w:cs="宋体"/>
                <w:sz w:val="20"/>
                <w:szCs w:val="20"/>
              </w:rPr>
            </w:pPr>
            <w:r>
              <w:rPr>
                <w:rFonts w:ascii="宋体" w:hAnsi="宋体" w:eastAsia="宋体" w:cs="宋体"/>
                <w:sz w:val="20"/>
                <w:szCs w:val="20"/>
              </w:rPr>
              <w:t>三</w:t>
            </w:r>
          </w:p>
        </w:tc>
        <w:tc>
          <w:tcPr>
            <w:tcW w:w="3366" w:type="dxa"/>
            <w:vAlign w:val="top"/>
          </w:tcPr>
          <w:p>
            <w:pPr>
              <w:spacing w:before="136" w:line="223" w:lineRule="auto"/>
              <w:ind w:left="106"/>
              <w:rPr>
                <w:rFonts w:ascii="宋体" w:hAnsi="宋体" w:eastAsia="宋体" w:cs="宋体"/>
                <w:sz w:val="20"/>
                <w:szCs w:val="20"/>
              </w:rPr>
            </w:pPr>
            <w:r>
              <w:rPr>
                <w:rFonts w:ascii="宋体" w:hAnsi="宋体" w:eastAsia="宋体" w:cs="宋体"/>
                <w:spacing w:val="5"/>
                <w:sz w:val="20"/>
                <w:szCs w:val="20"/>
              </w:rPr>
              <w:t>其他项目费</w:t>
            </w:r>
          </w:p>
        </w:tc>
        <w:tc>
          <w:tcPr>
            <w:tcW w:w="4821" w:type="dxa"/>
            <w:tcBorders>
              <w:right w:val="single" w:color="000000" w:sz="4" w:space="0"/>
            </w:tcBorders>
            <w:vAlign w:val="top"/>
          </w:tcPr>
          <w:p>
            <w:pPr>
              <w:spacing w:before="149" w:line="265" w:lineRule="exact"/>
              <w:ind w:left="122"/>
              <w:rPr>
                <w:rFonts w:ascii="宋体" w:hAnsi="宋体" w:eastAsia="宋体" w:cs="宋体"/>
                <w:sz w:val="20"/>
                <w:szCs w:val="20"/>
              </w:rPr>
            </w:pPr>
            <w:r>
              <w:rPr>
                <w:rFonts w:ascii="宋体" w:hAnsi="宋体" w:eastAsia="宋体" w:cs="宋体"/>
                <w:spacing w:val="-8"/>
                <w:position w:val="1"/>
                <w:sz w:val="20"/>
                <w:szCs w:val="20"/>
              </w:rPr>
              <w:t>3.1</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3.2</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3.3+…+3.7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2"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3" w:line="278" w:lineRule="exact"/>
              <w:ind w:left="116"/>
              <w:rPr>
                <w:rFonts w:ascii="宋体" w:hAnsi="宋体" w:eastAsia="宋体" w:cs="宋体"/>
                <w:sz w:val="20"/>
                <w:szCs w:val="20"/>
              </w:rPr>
            </w:pPr>
            <w:r>
              <w:rPr>
                <w:rFonts w:ascii="宋体" w:hAnsi="宋体" w:eastAsia="宋体" w:cs="宋体"/>
                <w:spacing w:val="-8"/>
                <w:position w:val="1"/>
                <w:sz w:val="20"/>
                <w:szCs w:val="20"/>
              </w:rPr>
              <w:t>3.1</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暂列金额</w:t>
            </w:r>
          </w:p>
        </w:tc>
        <w:tc>
          <w:tcPr>
            <w:tcW w:w="4821" w:type="dxa"/>
            <w:vMerge w:val="restart"/>
            <w:tcBorders>
              <w:bottom w:val="nil"/>
              <w:right w:val="single" w:color="000000" w:sz="4" w:space="0"/>
            </w:tcBorders>
            <w:vAlign w:val="top"/>
          </w:tcPr>
          <w:p>
            <w:pPr>
              <w:pStyle w:val="6"/>
              <w:spacing w:line="438" w:lineRule="auto"/>
            </w:pPr>
          </w:p>
          <w:p>
            <w:pPr>
              <w:spacing w:before="65" w:line="255" w:lineRule="auto"/>
              <w:ind w:left="119" w:right="2" w:hanging="2"/>
              <w:rPr>
                <w:rFonts w:ascii="宋体" w:hAnsi="宋体" w:eastAsia="宋体" w:cs="宋体"/>
                <w:sz w:val="20"/>
                <w:szCs w:val="20"/>
              </w:rPr>
            </w:pPr>
            <w:r>
              <w:rPr>
                <w:rFonts w:ascii="宋体" w:hAnsi="宋体" w:eastAsia="宋体" w:cs="宋体"/>
                <w:spacing w:val="4"/>
                <w:sz w:val="20"/>
                <w:szCs w:val="20"/>
              </w:rPr>
              <w:t>按《山东省建设工程费用项目组成及计算规则》第一</w:t>
            </w:r>
            <w:r>
              <w:rPr>
                <w:rFonts w:ascii="宋体" w:hAnsi="宋体" w:eastAsia="宋体" w:cs="宋体"/>
                <w:spacing w:val="7"/>
                <w:sz w:val="20"/>
                <w:szCs w:val="20"/>
              </w:rPr>
              <w:t>章相应规定计算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4" w:line="239" w:lineRule="auto"/>
              <w:ind w:left="116"/>
              <w:rPr>
                <w:rFonts w:ascii="宋体" w:hAnsi="宋体" w:eastAsia="宋体" w:cs="宋体"/>
                <w:sz w:val="20"/>
                <w:szCs w:val="20"/>
              </w:rPr>
            </w:pPr>
            <w:r>
              <w:rPr>
                <w:rFonts w:ascii="宋体" w:hAnsi="宋体" w:eastAsia="宋体" w:cs="宋体"/>
                <w:spacing w:val="1"/>
                <w:sz w:val="20"/>
                <w:szCs w:val="20"/>
              </w:rPr>
              <w:t>3.2专业工程暂估价</w:t>
            </w:r>
          </w:p>
        </w:tc>
        <w:tc>
          <w:tcPr>
            <w:tcW w:w="4821"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5" w:line="241" w:lineRule="auto"/>
              <w:ind w:left="116"/>
              <w:rPr>
                <w:rFonts w:ascii="宋体" w:hAnsi="宋体" w:eastAsia="宋体" w:cs="宋体"/>
                <w:sz w:val="20"/>
                <w:szCs w:val="20"/>
              </w:rPr>
            </w:pPr>
            <w:r>
              <w:rPr>
                <w:rFonts w:ascii="宋体" w:hAnsi="宋体" w:eastAsia="宋体" w:cs="宋体"/>
                <w:spacing w:val="-3"/>
                <w:sz w:val="20"/>
                <w:szCs w:val="20"/>
              </w:rPr>
              <w:t>3.3计日工</w:t>
            </w:r>
          </w:p>
        </w:tc>
        <w:tc>
          <w:tcPr>
            <w:tcW w:w="4821"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7"/>
              <w:ind w:left="116"/>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36"/>
                <w:sz w:val="20"/>
                <w:szCs w:val="20"/>
              </w:rPr>
              <w:t xml:space="preserve"> </w:t>
            </w:r>
            <w:r>
              <w:rPr>
                <w:rFonts w:ascii="宋体" w:hAnsi="宋体" w:eastAsia="宋体" w:cs="宋体"/>
                <w:spacing w:val="-5"/>
                <w:sz w:val="20"/>
                <w:szCs w:val="20"/>
              </w:rPr>
              <w:t>总承包服务费</w:t>
            </w:r>
          </w:p>
        </w:tc>
        <w:tc>
          <w:tcPr>
            <w:tcW w:w="4821"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8" w:line="238" w:lineRule="auto"/>
              <w:ind w:left="116"/>
              <w:rPr>
                <w:rFonts w:ascii="宋体" w:hAnsi="宋体" w:eastAsia="宋体" w:cs="宋体"/>
                <w:sz w:val="20"/>
                <w:szCs w:val="20"/>
              </w:rPr>
            </w:pPr>
            <w:r>
              <w:rPr>
                <w:rFonts w:ascii="宋体" w:hAnsi="宋体" w:eastAsia="宋体" w:cs="宋体"/>
                <w:spacing w:val="-4"/>
                <w:sz w:val="20"/>
                <w:szCs w:val="20"/>
              </w:rPr>
              <w:t>3.5</w:t>
            </w:r>
            <w:r>
              <w:rPr>
                <w:rFonts w:ascii="宋体" w:hAnsi="宋体" w:eastAsia="宋体" w:cs="宋体"/>
                <w:spacing w:val="-34"/>
                <w:sz w:val="20"/>
                <w:szCs w:val="20"/>
              </w:rPr>
              <w:t xml:space="preserve"> </w:t>
            </w:r>
            <w:r>
              <w:rPr>
                <w:rFonts w:ascii="宋体" w:hAnsi="宋体" w:eastAsia="宋体" w:cs="宋体"/>
                <w:spacing w:val="-4"/>
                <w:sz w:val="20"/>
                <w:szCs w:val="20"/>
              </w:rPr>
              <w:t>建设项目工伤保险</w:t>
            </w:r>
          </w:p>
        </w:tc>
        <w:tc>
          <w:tcPr>
            <w:tcW w:w="4821" w:type="dxa"/>
            <w:tcBorders>
              <w:right w:val="single" w:color="000000" w:sz="4" w:space="0"/>
            </w:tcBorders>
            <w:vAlign w:val="top"/>
          </w:tcPr>
          <w:p>
            <w:pPr>
              <w:spacing w:before="138" w:line="238" w:lineRule="auto"/>
              <w:ind w:right="12"/>
              <w:jc w:val="right"/>
              <w:rPr>
                <w:rFonts w:ascii="宋体" w:hAnsi="宋体" w:eastAsia="宋体" w:cs="宋体"/>
                <w:sz w:val="20"/>
                <w:szCs w:val="20"/>
              </w:rPr>
            </w:pPr>
            <w:r>
              <w:rPr>
                <w:rFonts w:ascii="宋体" w:hAnsi="宋体" w:eastAsia="宋体" w:cs="宋体"/>
                <w:spacing w:val="-41"/>
                <w:sz w:val="20"/>
                <w:szCs w:val="20"/>
              </w:rPr>
              <w:t>［（</w:t>
            </w:r>
            <w:r>
              <w:rPr>
                <w:rFonts w:ascii="宋体" w:hAnsi="宋体" w:eastAsia="宋体" w:cs="宋体"/>
                <w:spacing w:val="-9"/>
                <w:sz w:val="20"/>
                <w:szCs w:val="20"/>
              </w:rPr>
              <w:t>一）+（二</w:t>
            </w:r>
            <w:r>
              <w:rPr>
                <w:rFonts w:ascii="宋体" w:hAnsi="宋体" w:eastAsia="宋体" w:cs="宋体"/>
                <w:spacing w:val="-51"/>
                <w:sz w:val="20"/>
                <w:szCs w:val="20"/>
              </w:rPr>
              <w:t xml:space="preserve"> </w:t>
            </w:r>
            <w:r>
              <w:rPr>
                <w:rFonts w:ascii="宋体" w:hAnsi="宋体" w:eastAsia="宋体" w:cs="宋体"/>
                <w:spacing w:val="-41"/>
                <w:sz w:val="20"/>
                <w:szCs w:val="20"/>
              </w:rPr>
              <w:t>）＋</w:t>
            </w:r>
            <w:r>
              <w:rPr>
                <w:rFonts w:ascii="宋体" w:hAnsi="宋体" w:eastAsia="宋体" w:cs="宋体"/>
                <w:spacing w:val="-29"/>
                <w:sz w:val="20"/>
                <w:szCs w:val="20"/>
              </w:rPr>
              <w:t xml:space="preserve"> </w:t>
            </w:r>
            <w:r>
              <w:rPr>
                <w:rFonts w:ascii="宋体" w:hAnsi="宋体" w:eastAsia="宋体" w:cs="宋体"/>
                <w:spacing w:val="-9"/>
                <w:sz w:val="20"/>
                <w:szCs w:val="20"/>
              </w:rPr>
              <w:t>3.1＋3.2＋3.3＋3.4</w:t>
            </w:r>
            <w:r>
              <w:rPr>
                <w:rFonts w:ascii="宋体" w:hAnsi="宋体" w:eastAsia="宋体" w:cs="宋体"/>
                <w:spacing w:val="26"/>
                <w:sz w:val="20"/>
                <w:szCs w:val="20"/>
              </w:rPr>
              <w:t xml:space="preserve"> </w:t>
            </w:r>
            <w:r>
              <w:rPr>
                <w:rFonts w:ascii="宋体" w:hAnsi="宋体" w:eastAsia="宋体" w:cs="宋体"/>
                <w:spacing w:val="-9"/>
                <w:sz w:val="20"/>
                <w:szCs w:val="20"/>
              </w:rPr>
              <w:t>］</w:t>
            </w:r>
            <w:r>
              <w:rPr>
                <w:rFonts w:ascii="宋体" w:hAnsi="宋体" w:eastAsia="宋体" w:cs="宋体"/>
                <w:spacing w:val="-59"/>
                <w:sz w:val="20"/>
                <w:szCs w:val="20"/>
              </w:rPr>
              <w:t xml:space="preserve"> </w:t>
            </w:r>
            <w:r>
              <w:rPr>
                <w:rFonts w:ascii="宋体" w:hAnsi="宋体" w:eastAsia="宋体" w:cs="宋体"/>
                <w:spacing w:val="-9"/>
                <w:sz w:val="20"/>
                <w:szCs w:val="20"/>
              </w:rPr>
              <w:t>× 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40" w:line="238" w:lineRule="auto"/>
              <w:ind w:left="116"/>
              <w:rPr>
                <w:rFonts w:ascii="宋体" w:hAnsi="宋体" w:eastAsia="宋体" w:cs="宋体"/>
                <w:sz w:val="20"/>
                <w:szCs w:val="20"/>
              </w:rPr>
            </w:pPr>
            <w:r>
              <w:rPr>
                <w:rFonts w:ascii="宋体" w:hAnsi="宋体" w:eastAsia="宋体" w:cs="宋体"/>
                <w:spacing w:val="-5"/>
                <w:sz w:val="20"/>
                <w:szCs w:val="20"/>
              </w:rPr>
              <w:t>3.6</w:t>
            </w:r>
            <w:r>
              <w:rPr>
                <w:rFonts w:ascii="宋体" w:hAnsi="宋体" w:eastAsia="宋体" w:cs="宋体"/>
                <w:spacing w:val="-21"/>
                <w:sz w:val="20"/>
                <w:szCs w:val="20"/>
              </w:rPr>
              <w:t xml:space="preserve"> </w:t>
            </w:r>
            <w:r>
              <w:rPr>
                <w:rFonts w:ascii="宋体" w:hAnsi="宋体" w:eastAsia="宋体" w:cs="宋体"/>
                <w:spacing w:val="-5"/>
                <w:sz w:val="20"/>
                <w:szCs w:val="20"/>
              </w:rPr>
              <w:t>优质优价费</w:t>
            </w:r>
          </w:p>
        </w:tc>
        <w:tc>
          <w:tcPr>
            <w:tcW w:w="4821" w:type="dxa"/>
            <w:tcBorders>
              <w:right w:val="single" w:color="000000" w:sz="4" w:space="0"/>
            </w:tcBorders>
            <w:vAlign w:val="top"/>
          </w:tcPr>
          <w:p>
            <w:pPr>
              <w:spacing w:before="142" w:line="236" w:lineRule="auto"/>
              <w:ind w:left="119"/>
              <w:rPr>
                <w:rFonts w:ascii="宋体" w:hAnsi="宋体" w:eastAsia="宋体" w:cs="宋体"/>
                <w:sz w:val="20"/>
                <w:szCs w:val="20"/>
              </w:rPr>
            </w:pPr>
            <w:r>
              <w:rPr>
                <w:rFonts w:ascii="宋体" w:hAnsi="宋体" w:eastAsia="宋体" w:cs="宋体"/>
                <w:spacing w:val="-42"/>
                <w:sz w:val="20"/>
                <w:szCs w:val="20"/>
              </w:rPr>
              <w:t>［（</w:t>
            </w:r>
            <w:r>
              <w:rPr>
                <w:rFonts w:ascii="宋体" w:hAnsi="宋体" w:eastAsia="宋体" w:cs="宋体"/>
                <w:spacing w:val="-9"/>
                <w:sz w:val="20"/>
                <w:szCs w:val="20"/>
              </w:rPr>
              <w:t>一）+（二</w:t>
            </w:r>
            <w:r>
              <w:rPr>
                <w:rFonts w:ascii="宋体" w:hAnsi="宋体" w:eastAsia="宋体" w:cs="宋体"/>
                <w:spacing w:val="-52"/>
                <w:sz w:val="20"/>
                <w:szCs w:val="20"/>
              </w:rPr>
              <w:t xml:space="preserve"> </w:t>
            </w:r>
            <w:r>
              <w:rPr>
                <w:rFonts w:ascii="宋体" w:hAnsi="宋体" w:eastAsia="宋体" w:cs="宋体"/>
                <w:spacing w:val="-42"/>
                <w:sz w:val="20"/>
                <w:szCs w:val="20"/>
              </w:rPr>
              <w:t>）＋</w:t>
            </w:r>
            <w:r>
              <w:rPr>
                <w:rFonts w:ascii="宋体" w:hAnsi="宋体" w:eastAsia="宋体" w:cs="宋体"/>
                <w:spacing w:val="-25"/>
                <w:sz w:val="20"/>
                <w:szCs w:val="20"/>
              </w:rPr>
              <w:t xml:space="preserve"> </w:t>
            </w:r>
            <w:r>
              <w:rPr>
                <w:rFonts w:ascii="宋体" w:hAnsi="宋体" w:eastAsia="宋体" w:cs="宋体"/>
                <w:spacing w:val="-9"/>
                <w:sz w:val="20"/>
                <w:szCs w:val="20"/>
              </w:rPr>
              <w:t>3.1＋3.3＋3.4</w:t>
            </w:r>
            <w:r>
              <w:rPr>
                <w:rFonts w:ascii="宋体" w:hAnsi="宋体" w:eastAsia="宋体" w:cs="宋体"/>
                <w:spacing w:val="21"/>
                <w:sz w:val="20"/>
                <w:szCs w:val="20"/>
              </w:rPr>
              <w:t xml:space="preserve"> </w:t>
            </w:r>
            <w:r>
              <w:rPr>
                <w:rFonts w:ascii="宋体" w:hAnsi="宋体" w:eastAsia="宋体" w:cs="宋体"/>
                <w:spacing w:val="-9"/>
                <w:sz w:val="20"/>
                <w:szCs w:val="20"/>
              </w:rPr>
              <w:t>］</w:t>
            </w:r>
            <w:r>
              <w:rPr>
                <w:rFonts w:ascii="宋体" w:hAnsi="宋体" w:eastAsia="宋体" w:cs="宋体"/>
                <w:spacing w:val="-63"/>
                <w:sz w:val="20"/>
                <w:szCs w:val="20"/>
              </w:rPr>
              <w:t xml:space="preserve"> </w:t>
            </w:r>
            <w:r>
              <w:rPr>
                <w:rFonts w:ascii="宋体" w:hAnsi="宋体" w:eastAsia="宋体" w:cs="宋体"/>
                <w:spacing w:val="-9"/>
                <w:sz w:val="20"/>
                <w:szCs w:val="20"/>
              </w:rPr>
              <w:t>× 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9"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42" w:line="237" w:lineRule="auto"/>
              <w:ind w:left="116"/>
              <w:rPr>
                <w:rFonts w:ascii="宋体" w:hAnsi="宋体" w:eastAsia="宋体" w:cs="宋体"/>
                <w:sz w:val="20"/>
                <w:szCs w:val="20"/>
              </w:rPr>
            </w:pPr>
            <w:r>
              <w:rPr>
                <w:rFonts w:ascii="宋体" w:hAnsi="宋体" w:eastAsia="宋体" w:cs="宋体"/>
                <w:spacing w:val="-10"/>
                <w:sz w:val="20"/>
                <w:szCs w:val="20"/>
              </w:rPr>
              <w:t>3.7</w:t>
            </w:r>
            <w:r>
              <w:rPr>
                <w:rFonts w:ascii="宋体" w:hAnsi="宋体" w:eastAsia="宋体" w:cs="宋体"/>
                <w:spacing w:val="-45"/>
                <w:sz w:val="20"/>
                <w:szCs w:val="20"/>
              </w:rPr>
              <w:t xml:space="preserve"> </w:t>
            </w:r>
            <w:r>
              <w:rPr>
                <w:rFonts w:ascii="宋体" w:hAnsi="宋体" w:eastAsia="宋体" w:cs="宋体"/>
                <w:spacing w:val="-10"/>
                <w:sz w:val="20"/>
                <w:szCs w:val="20"/>
              </w:rPr>
              <w:t>其他</w:t>
            </w:r>
          </w:p>
        </w:tc>
        <w:tc>
          <w:tcPr>
            <w:tcW w:w="4821" w:type="dxa"/>
            <w:tcBorders>
              <w:right w:val="single" w:color="000000" w:sz="4" w:space="0"/>
            </w:tcBorders>
            <w:vAlign w:val="top"/>
          </w:tcPr>
          <w:p>
            <w:pPr>
              <w:spacing w:before="146" w:line="220" w:lineRule="auto"/>
              <w:ind w:left="117"/>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2" w:hRule="atLeast"/>
        </w:trPr>
        <w:tc>
          <w:tcPr>
            <w:tcW w:w="892" w:type="dxa"/>
            <w:tcBorders>
              <w:left w:val="single" w:color="000000" w:sz="4" w:space="0"/>
            </w:tcBorders>
            <w:vAlign w:val="top"/>
          </w:tcPr>
          <w:p>
            <w:pPr>
              <w:spacing w:before="167" w:line="199" w:lineRule="auto"/>
              <w:ind w:left="396"/>
              <w:rPr>
                <w:rFonts w:ascii="宋体" w:hAnsi="宋体" w:eastAsia="宋体" w:cs="宋体"/>
                <w:sz w:val="20"/>
                <w:szCs w:val="20"/>
              </w:rPr>
            </w:pPr>
            <w:r>
              <w:rPr>
                <w:rFonts w:ascii="宋体" w:hAnsi="宋体" w:eastAsia="宋体" w:cs="宋体"/>
                <w:sz w:val="20"/>
                <w:szCs w:val="20"/>
              </w:rPr>
              <w:t>四</w:t>
            </w:r>
          </w:p>
        </w:tc>
        <w:tc>
          <w:tcPr>
            <w:tcW w:w="3366" w:type="dxa"/>
            <w:vAlign w:val="top"/>
          </w:tcPr>
          <w:p>
            <w:pPr>
              <w:spacing w:before="146" w:line="222" w:lineRule="auto"/>
              <w:ind w:left="106"/>
              <w:rPr>
                <w:rFonts w:ascii="宋体" w:hAnsi="宋体" w:eastAsia="宋体" w:cs="宋体"/>
                <w:sz w:val="20"/>
                <w:szCs w:val="20"/>
              </w:rPr>
            </w:pPr>
            <w:r>
              <w:rPr>
                <w:rFonts w:ascii="宋体" w:hAnsi="宋体" w:eastAsia="宋体" w:cs="宋体"/>
                <w:spacing w:val="4"/>
                <w:sz w:val="20"/>
                <w:szCs w:val="20"/>
              </w:rPr>
              <w:t>增值税</w:t>
            </w:r>
          </w:p>
        </w:tc>
        <w:tc>
          <w:tcPr>
            <w:tcW w:w="4821" w:type="dxa"/>
            <w:tcBorders>
              <w:right w:val="single" w:color="000000" w:sz="4" w:space="0"/>
            </w:tcBorders>
            <w:vAlign w:val="top"/>
          </w:tcPr>
          <w:p>
            <w:pPr>
              <w:spacing w:before="143" w:line="239" w:lineRule="auto"/>
              <w:ind w:left="119"/>
              <w:rPr>
                <w:rFonts w:ascii="宋体" w:hAnsi="宋体" w:eastAsia="宋体" w:cs="宋体"/>
                <w:sz w:val="20"/>
                <w:szCs w:val="20"/>
              </w:rPr>
            </w:pPr>
            <w:r>
              <w:rPr>
                <w:rFonts w:ascii="宋体" w:hAnsi="宋体" w:eastAsia="宋体" w:cs="宋体"/>
                <w:spacing w:val="-13"/>
                <w:sz w:val="20"/>
                <w:szCs w:val="20"/>
              </w:rPr>
              <w:t>［（</w:t>
            </w:r>
            <w:r>
              <w:rPr>
                <w:rFonts w:ascii="宋体" w:hAnsi="宋体" w:eastAsia="宋体" w:cs="宋体"/>
                <w:spacing w:val="-6"/>
                <w:sz w:val="20"/>
                <w:szCs w:val="20"/>
              </w:rPr>
              <w:t>一）+（二）+（三）-3.2</w:t>
            </w:r>
            <w:r>
              <w:rPr>
                <w:rFonts w:ascii="宋体" w:hAnsi="宋体" w:eastAsia="宋体" w:cs="宋体"/>
                <w:spacing w:val="-13"/>
                <w:sz w:val="20"/>
                <w:szCs w:val="20"/>
              </w:rPr>
              <w:t>）］</w:t>
            </w:r>
            <w:r>
              <w:rPr>
                <w:rFonts w:ascii="宋体" w:hAnsi="宋体" w:eastAsia="宋体" w:cs="宋体"/>
                <w:spacing w:val="-75"/>
                <w:sz w:val="20"/>
                <w:szCs w:val="20"/>
              </w:rPr>
              <w:t xml:space="preserve"> </w:t>
            </w:r>
            <w:r>
              <w:rPr>
                <w:rFonts w:ascii="宋体" w:hAnsi="宋体" w:eastAsia="宋体" w:cs="宋体"/>
                <w:spacing w:val="-6"/>
                <w:sz w:val="20"/>
                <w:szCs w:val="20"/>
              </w:rPr>
              <w:t>×</w:t>
            </w:r>
            <w:r>
              <w:rPr>
                <w:rFonts w:ascii="宋体" w:hAnsi="宋体" w:eastAsia="宋体" w:cs="宋体"/>
                <w:spacing w:val="-23"/>
                <w:sz w:val="20"/>
                <w:szCs w:val="20"/>
              </w:rPr>
              <w:t xml:space="preserve"> </w:t>
            </w:r>
            <w:r>
              <w:rPr>
                <w:rFonts w:ascii="宋体" w:hAnsi="宋体" w:eastAsia="宋体" w:cs="宋体"/>
                <w:spacing w:val="-6"/>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3" w:hRule="atLeast"/>
        </w:trPr>
        <w:tc>
          <w:tcPr>
            <w:tcW w:w="892" w:type="dxa"/>
            <w:tcBorders>
              <w:left w:val="single" w:color="000000" w:sz="4" w:space="0"/>
              <w:bottom w:val="single" w:color="000000" w:sz="4" w:space="0"/>
            </w:tcBorders>
            <w:vAlign w:val="top"/>
          </w:tcPr>
          <w:p>
            <w:pPr>
              <w:spacing w:before="176" w:line="201" w:lineRule="auto"/>
              <w:ind w:left="365"/>
              <w:rPr>
                <w:rFonts w:ascii="宋体" w:hAnsi="宋体" w:eastAsia="宋体" w:cs="宋体"/>
                <w:sz w:val="20"/>
                <w:szCs w:val="20"/>
              </w:rPr>
            </w:pPr>
            <w:r>
              <w:rPr>
                <w:rFonts w:ascii="宋体" w:hAnsi="宋体" w:eastAsia="宋体" w:cs="宋体"/>
                <w:sz w:val="20"/>
                <w:szCs w:val="20"/>
              </w:rPr>
              <w:t>五</w:t>
            </w:r>
          </w:p>
        </w:tc>
        <w:tc>
          <w:tcPr>
            <w:tcW w:w="3366" w:type="dxa"/>
            <w:tcBorders>
              <w:bottom w:val="single" w:color="000000" w:sz="4" w:space="0"/>
            </w:tcBorders>
            <w:vAlign w:val="top"/>
          </w:tcPr>
          <w:p>
            <w:pPr>
              <w:spacing w:before="146" w:line="223" w:lineRule="auto"/>
              <w:ind w:left="109"/>
              <w:rPr>
                <w:rFonts w:ascii="宋体" w:hAnsi="宋体" w:eastAsia="宋体" w:cs="宋体"/>
                <w:sz w:val="20"/>
                <w:szCs w:val="20"/>
              </w:rPr>
            </w:pPr>
            <w:r>
              <w:rPr>
                <w:rFonts w:ascii="宋体" w:hAnsi="宋体" w:eastAsia="宋体" w:cs="宋体"/>
                <w:spacing w:val="5"/>
                <w:sz w:val="20"/>
                <w:szCs w:val="20"/>
              </w:rPr>
              <w:t>建设工程费用合计</w:t>
            </w:r>
          </w:p>
        </w:tc>
        <w:tc>
          <w:tcPr>
            <w:tcW w:w="4821" w:type="dxa"/>
            <w:tcBorders>
              <w:bottom w:val="single" w:color="000000" w:sz="4" w:space="0"/>
              <w:right w:val="single" w:color="000000" w:sz="4" w:space="0"/>
            </w:tcBorders>
            <w:vAlign w:val="top"/>
          </w:tcPr>
          <w:p>
            <w:pPr>
              <w:spacing w:before="148" w:line="274" w:lineRule="exact"/>
              <w:ind w:left="116"/>
              <w:rPr>
                <w:rFonts w:ascii="宋体" w:hAnsi="宋体" w:eastAsia="宋体" w:cs="宋体"/>
                <w:sz w:val="20"/>
                <w:szCs w:val="20"/>
              </w:rPr>
            </w:pPr>
            <w:r>
              <w:rPr>
                <w:rFonts w:ascii="宋体" w:hAnsi="宋体" w:eastAsia="宋体" w:cs="宋体"/>
                <w:spacing w:val="-7"/>
                <w:position w:val="1"/>
                <w:sz w:val="20"/>
                <w:szCs w:val="20"/>
              </w:rPr>
              <w:t>（一）+（二）+（三）+（四）</w:t>
            </w:r>
          </w:p>
        </w:tc>
      </w:tr>
    </w:tbl>
    <w:p>
      <w:pPr>
        <w:spacing w:before="122" w:line="277" w:lineRule="exact"/>
        <w:ind w:left="388"/>
        <w:rPr>
          <w:rFonts w:ascii="宋体" w:hAnsi="宋体" w:eastAsia="宋体" w:cs="宋体"/>
          <w:sz w:val="20"/>
          <w:szCs w:val="20"/>
        </w:rPr>
      </w:pPr>
      <w:r>
        <w:rPr>
          <w:rFonts w:ascii="宋体" w:hAnsi="宋体" w:eastAsia="宋体" w:cs="宋体"/>
          <w:spacing w:val="-8"/>
          <w:position w:val="1"/>
          <w:sz w:val="20"/>
          <w:szCs w:val="20"/>
        </w:rPr>
        <w:t>附表：</w:t>
      </w:r>
    </w:p>
    <w:p>
      <w:pPr>
        <w:spacing w:line="70" w:lineRule="exact"/>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2"/>
        <w:gridCol w:w="3366"/>
        <w:gridCol w:w="48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892" w:type="dxa"/>
            <w:vMerge w:val="restart"/>
            <w:tcBorders>
              <w:top w:val="single" w:color="000000" w:sz="4" w:space="0"/>
              <w:left w:val="single" w:color="000000" w:sz="4" w:space="0"/>
              <w:bottom w:val="nil"/>
            </w:tcBorders>
            <w:vAlign w:val="top"/>
          </w:tcPr>
          <w:p>
            <w:pPr>
              <w:pStyle w:val="6"/>
              <w:spacing w:line="321" w:lineRule="auto"/>
            </w:pPr>
          </w:p>
          <w:p>
            <w:pPr>
              <w:pStyle w:val="6"/>
              <w:spacing w:line="321" w:lineRule="auto"/>
            </w:pPr>
          </w:p>
          <w:p>
            <w:pPr>
              <w:spacing w:before="65" w:line="189" w:lineRule="auto"/>
              <w:ind w:left="418"/>
              <w:rPr>
                <w:rFonts w:ascii="宋体" w:hAnsi="宋体" w:eastAsia="宋体" w:cs="宋体"/>
                <w:sz w:val="20"/>
                <w:szCs w:val="20"/>
              </w:rPr>
            </w:pPr>
            <w:r>
              <w:rPr>
                <w:rFonts w:ascii="宋体" w:hAnsi="宋体" w:eastAsia="宋体" w:cs="宋体"/>
                <w:spacing w:val="6"/>
                <w:w w:val="127"/>
                <w:sz w:val="20"/>
                <w:szCs w:val="20"/>
              </w:rPr>
              <w:t>A</w:t>
            </w:r>
          </w:p>
        </w:tc>
        <w:tc>
          <w:tcPr>
            <w:tcW w:w="3366" w:type="dxa"/>
            <w:tcBorders>
              <w:top w:val="single" w:color="000000" w:sz="4" w:space="0"/>
            </w:tcBorders>
            <w:vAlign w:val="top"/>
          </w:tcPr>
          <w:p>
            <w:pPr>
              <w:spacing w:before="137" w:line="221" w:lineRule="auto"/>
              <w:ind w:left="130"/>
              <w:rPr>
                <w:rFonts w:ascii="宋体" w:hAnsi="宋体" w:eastAsia="宋体" w:cs="宋体"/>
                <w:sz w:val="20"/>
                <w:szCs w:val="20"/>
              </w:rPr>
            </w:pPr>
            <w:r>
              <w:rPr>
                <w:rFonts w:ascii="宋体" w:hAnsi="宋体" w:eastAsia="宋体" w:cs="宋体"/>
                <w:spacing w:val="7"/>
                <w:sz w:val="20"/>
                <w:szCs w:val="20"/>
              </w:rPr>
              <w:t>另行计算的费用项目</w:t>
            </w:r>
          </w:p>
        </w:tc>
        <w:tc>
          <w:tcPr>
            <w:tcW w:w="4821" w:type="dxa"/>
            <w:tcBorders>
              <w:top w:val="single" w:color="000000" w:sz="4" w:space="0"/>
              <w:right w:val="single" w:color="000000" w:sz="4" w:space="0"/>
            </w:tcBorders>
            <w:vAlign w:val="top"/>
          </w:tcPr>
          <w:p>
            <w:pPr>
              <w:spacing w:before="138" w:line="223" w:lineRule="auto"/>
              <w:ind w:left="137"/>
              <w:rPr>
                <w:rFonts w:ascii="宋体" w:hAnsi="宋体" w:eastAsia="宋体" w:cs="宋体"/>
                <w:sz w:val="20"/>
                <w:szCs w:val="20"/>
              </w:rPr>
            </w:pPr>
            <w:r>
              <w:rPr>
                <w:rFonts w:ascii="宋体" w:hAnsi="宋体" w:eastAsia="宋体" w:cs="宋体"/>
                <w:spacing w:val="-10"/>
                <w:sz w:val="20"/>
                <w:szCs w:val="20"/>
              </w:rPr>
              <w:t>不计入建设工程费用合计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8"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0" w:line="238" w:lineRule="auto"/>
              <w:ind w:left="122"/>
              <w:rPr>
                <w:rFonts w:ascii="宋体" w:hAnsi="宋体" w:eastAsia="宋体" w:cs="宋体"/>
                <w:sz w:val="20"/>
                <w:szCs w:val="20"/>
              </w:rPr>
            </w:pPr>
            <w:r>
              <w:rPr>
                <w:rFonts w:ascii="宋体" w:hAnsi="宋体" w:eastAsia="宋体" w:cs="宋体"/>
                <w:spacing w:val="4"/>
                <w:sz w:val="20"/>
                <w:szCs w:val="20"/>
              </w:rPr>
              <w:t>A.1</w:t>
            </w:r>
            <w:r>
              <w:rPr>
                <w:rFonts w:ascii="宋体" w:hAnsi="宋体" w:eastAsia="宋体" w:cs="宋体"/>
                <w:spacing w:val="-51"/>
                <w:sz w:val="20"/>
                <w:szCs w:val="20"/>
              </w:rPr>
              <w:t xml:space="preserve"> </w:t>
            </w:r>
            <w:r>
              <w:rPr>
                <w:rFonts w:ascii="宋体" w:hAnsi="宋体" w:eastAsia="宋体" w:cs="宋体"/>
                <w:spacing w:val="4"/>
                <w:sz w:val="20"/>
                <w:szCs w:val="20"/>
              </w:rPr>
              <w:t>发包人提供的材料费</w:t>
            </w:r>
          </w:p>
        </w:tc>
        <w:tc>
          <w:tcPr>
            <w:tcW w:w="4821" w:type="dxa"/>
            <w:tcBorders>
              <w:right w:val="single" w:color="000000" w:sz="4" w:space="0"/>
            </w:tcBorders>
            <w:vAlign w:val="top"/>
          </w:tcPr>
          <w:p>
            <w:pPr>
              <w:spacing w:before="130" w:line="238" w:lineRule="auto"/>
              <w:ind w:left="133"/>
              <w:rPr>
                <w:rFonts w:ascii="宋体" w:hAnsi="宋体" w:eastAsia="宋体" w:cs="宋体"/>
                <w:sz w:val="20"/>
                <w:szCs w:val="20"/>
              </w:rPr>
            </w:pPr>
            <w:r>
              <w:rPr>
                <w:rFonts w:ascii="宋体" w:hAnsi="宋体" w:eastAsia="宋体" w:cs="宋体"/>
                <w:spacing w:val="-5"/>
                <w:sz w:val="20"/>
                <w:szCs w:val="20"/>
              </w:rPr>
              <w:t>作为</w:t>
            </w:r>
            <w:r>
              <w:rPr>
                <w:rFonts w:ascii="宋体" w:hAnsi="宋体" w:eastAsia="宋体" w:cs="宋体"/>
                <w:spacing w:val="-31"/>
                <w:sz w:val="20"/>
                <w:szCs w:val="20"/>
              </w:rPr>
              <w:t xml:space="preserve"> </w:t>
            </w:r>
            <w:r>
              <w:rPr>
                <w:rFonts w:ascii="宋体" w:hAnsi="宋体" w:eastAsia="宋体" w:cs="宋体"/>
                <w:spacing w:val="-5"/>
                <w:sz w:val="20"/>
                <w:szCs w:val="20"/>
              </w:rPr>
              <w:t>2.3</w:t>
            </w:r>
            <w:r>
              <w:rPr>
                <w:rFonts w:ascii="宋体" w:hAnsi="宋体" w:eastAsia="宋体" w:cs="宋体"/>
                <w:spacing w:val="-34"/>
                <w:sz w:val="20"/>
                <w:szCs w:val="20"/>
              </w:rPr>
              <w:t xml:space="preserve"> </w:t>
            </w:r>
            <w:r>
              <w:rPr>
                <w:rFonts w:ascii="宋体" w:hAnsi="宋体" w:eastAsia="宋体" w:cs="宋体"/>
                <w:spacing w:val="-5"/>
                <w:sz w:val="20"/>
                <w:szCs w:val="20"/>
              </w:rPr>
              <w:t>和</w:t>
            </w:r>
            <w:r>
              <w:rPr>
                <w:rFonts w:ascii="宋体" w:hAnsi="宋体" w:eastAsia="宋体" w:cs="宋体"/>
                <w:spacing w:val="-39"/>
                <w:sz w:val="20"/>
                <w:szCs w:val="20"/>
              </w:rPr>
              <w:t xml:space="preserve"> </w:t>
            </w:r>
            <w:r>
              <w:rPr>
                <w:rFonts w:ascii="宋体" w:hAnsi="宋体" w:eastAsia="宋体" w:cs="宋体"/>
                <w:spacing w:val="-5"/>
                <w:sz w:val="20"/>
                <w:szCs w:val="20"/>
              </w:rPr>
              <w:t>3.4</w:t>
            </w:r>
            <w:r>
              <w:rPr>
                <w:rFonts w:ascii="宋体" w:hAnsi="宋体" w:eastAsia="宋体" w:cs="宋体"/>
                <w:spacing w:val="-43"/>
                <w:sz w:val="20"/>
                <w:szCs w:val="20"/>
              </w:rPr>
              <w:t xml:space="preserve"> </w:t>
            </w:r>
            <w:r>
              <w:rPr>
                <w:rFonts w:ascii="宋体" w:hAnsi="宋体" w:eastAsia="宋体" w:cs="宋体"/>
                <w:spacing w:val="-5"/>
                <w:sz w:val="20"/>
                <w:szCs w:val="20"/>
              </w:rPr>
              <w:t>的计算基础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892" w:type="dxa"/>
            <w:vMerge w:val="continue"/>
            <w:tcBorders>
              <w:top w:val="nil"/>
              <w:left w:val="single" w:color="000000" w:sz="4" w:space="0"/>
              <w:bottom w:val="single" w:color="000000" w:sz="4" w:space="0"/>
            </w:tcBorders>
            <w:vAlign w:val="top"/>
          </w:tcPr>
          <w:p>
            <w:pPr>
              <w:pStyle w:val="6"/>
            </w:pPr>
          </w:p>
        </w:tc>
        <w:tc>
          <w:tcPr>
            <w:tcW w:w="3366" w:type="dxa"/>
            <w:tcBorders>
              <w:bottom w:val="single" w:color="000000" w:sz="4" w:space="0"/>
            </w:tcBorders>
            <w:vAlign w:val="top"/>
          </w:tcPr>
          <w:p>
            <w:pPr>
              <w:spacing w:before="137" w:line="271" w:lineRule="exact"/>
              <w:ind w:left="122"/>
              <w:rPr>
                <w:rFonts w:ascii="宋体" w:hAnsi="宋体" w:eastAsia="宋体" w:cs="宋体"/>
                <w:sz w:val="20"/>
                <w:szCs w:val="20"/>
              </w:rPr>
            </w:pPr>
            <w:r>
              <w:rPr>
                <w:rFonts w:ascii="宋体" w:hAnsi="宋体" w:eastAsia="宋体" w:cs="宋体"/>
                <w:spacing w:val="5"/>
                <w:position w:val="1"/>
                <w:sz w:val="20"/>
                <w:szCs w:val="20"/>
              </w:rPr>
              <w:t>A.2</w:t>
            </w:r>
            <w:r>
              <w:rPr>
                <w:rFonts w:ascii="宋体" w:hAnsi="宋体" w:eastAsia="宋体" w:cs="宋体"/>
                <w:spacing w:val="-43"/>
                <w:position w:val="1"/>
                <w:sz w:val="20"/>
                <w:szCs w:val="20"/>
              </w:rPr>
              <w:t xml:space="preserve"> </w:t>
            </w:r>
            <w:r>
              <w:rPr>
                <w:rFonts w:ascii="宋体" w:hAnsi="宋体" w:eastAsia="宋体" w:cs="宋体"/>
                <w:spacing w:val="5"/>
                <w:position w:val="1"/>
                <w:sz w:val="20"/>
                <w:szCs w:val="20"/>
              </w:rPr>
              <w:t>发包人直接发包的专业工程费</w:t>
            </w:r>
          </w:p>
        </w:tc>
        <w:tc>
          <w:tcPr>
            <w:tcW w:w="4821" w:type="dxa"/>
            <w:tcBorders>
              <w:bottom w:val="single" w:color="000000" w:sz="4" w:space="0"/>
              <w:right w:val="single" w:color="000000" w:sz="4" w:space="0"/>
            </w:tcBorders>
            <w:vAlign w:val="top"/>
          </w:tcPr>
          <w:p>
            <w:pPr>
              <w:spacing w:before="137" w:line="271" w:lineRule="exact"/>
              <w:ind w:left="133"/>
              <w:rPr>
                <w:rFonts w:ascii="宋体" w:hAnsi="宋体" w:eastAsia="宋体" w:cs="宋体"/>
                <w:sz w:val="20"/>
                <w:szCs w:val="20"/>
              </w:rPr>
            </w:pPr>
            <w:r>
              <w:rPr>
                <w:rFonts w:ascii="宋体" w:hAnsi="宋体" w:eastAsia="宋体" w:cs="宋体"/>
                <w:spacing w:val="-8"/>
                <w:position w:val="1"/>
                <w:sz w:val="20"/>
                <w:szCs w:val="20"/>
              </w:rPr>
              <w:t>作为3.4的计算依据</w:t>
            </w:r>
          </w:p>
        </w:tc>
      </w:tr>
    </w:tbl>
    <w:p>
      <w:pPr>
        <w:rPr>
          <w:rFonts w:ascii="Arial"/>
          <w:sz w:val="21"/>
        </w:rPr>
      </w:pPr>
    </w:p>
    <w:p>
      <w:pPr>
        <w:rPr>
          <w:rFonts w:ascii="Arial" w:hAnsi="Arial" w:eastAsia="Arial" w:cs="Arial"/>
          <w:sz w:val="21"/>
          <w:szCs w:val="21"/>
        </w:rPr>
        <w:sectPr>
          <w:footerReference r:id="rId68" w:type="default"/>
          <w:pgSz w:w="11905" w:h="16840"/>
          <w:pgMar w:top="400" w:right="1398" w:bottom="1213" w:left="1416" w:header="0" w:footer="898" w:gutter="0"/>
        </w:sect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2"/>
        <w:spacing w:before="86" w:line="209" w:lineRule="auto"/>
        <w:ind w:left="428"/>
        <w:rPr>
          <w:sz w:val="20"/>
          <w:szCs w:val="20"/>
        </w:rPr>
      </w:pPr>
      <w:r>
        <w:rPr>
          <w:spacing w:val="8"/>
          <w:sz w:val="20"/>
          <w:szCs w:val="20"/>
        </w:rPr>
        <w:t>工程招投标阶段计算程序说明：</w:t>
      </w:r>
    </w:p>
    <w:p>
      <w:pPr>
        <w:spacing w:before="107" w:line="312" w:lineRule="auto"/>
        <w:ind w:left="4" w:firstLine="449"/>
        <w:rPr>
          <w:rFonts w:ascii="宋体" w:hAnsi="宋体" w:eastAsia="宋体" w:cs="宋体"/>
          <w:sz w:val="20"/>
          <w:szCs w:val="20"/>
        </w:rPr>
      </w:pPr>
      <w:r>
        <w:rPr>
          <w:rFonts w:ascii="宋体" w:hAnsi="宋体" w:eastAsia="宋体" w:cs="宋体"/>
          <w:spacing w:val="9"/>
          <w:sz w:val="20"/>
          <w:szCs w:val="20"/>
        </w:rPr>
        <w:t>1. 对于建筑、装饰、安装、园林绿化、房屋修缮、古建筑修缮、仿古建筑工程，计费基础 1=</w:t>
      </w:r>
      <w:r>
        <w:rPr>
          <w:rFonts w:ascii="宋体" w:hAnsi="宋体" w:eastAsia="宋体" w:cs="宋体"/>
          <w:spacing w:val="5"/>
          <w:sz w:val="20"/>
          <w:szCs w:val="20"/>
        </w:rPr>
        <w:t xml:space="preserve">分部分项工程量清单综合单价中的“人工费 ”，计费基础 2=分部分项工程费中的“人工费合计 </w:t>
      </w:r>
      <w:r>
        <w:rPr>
          <w:rFonts w:ascii="宋体" w:hAnsi="宋体" w:eastAsia="宋体" w:cs="宋体"/>
          <w:spacing w:val="4"/>
          <w:sz w:val="20"/>
          <w:szCs w:val="20"/>
        </w:rPr>
        <w:t>”。</w:t>
      </w:r>
    </w:p>
    <w:p>
      <w:pPr>
        <w:spacing w:before="121" w:line="313" w:lineRule="auto"/>
        <w:ind w:right="74" w:firstLine="425"/>
        <w:rPr>
          <w:rFonts w:ascii="宋体" w:hAnsi="宋体" w:eastAsia="宋体" w:cs="宋体"/>
          <w:sz w:val="20"/>
          <w:szCs w:val="20"/>
        </w:rPr>
      </w:pPr>
      <w:r>
        <w:rPr>
          <w:rFonts w:ascii="宋体" w:hAnsi="宋体" w:eastAsia="宋体" w:cs="宋体"/>
          <w:spacing w:val="7"/>
          <w:sz w:val="20"/>
          <w:szCs w:val="20"/>
        </w:rPr>
        <w:t>2. 对于市政、市政养护维修工程，计费基础</w:t>
      </w:r>
      <w:r>
        <w:rPr>
          <w:rFonts w:ascii="宋体" w:hAnsi="宋体" w:eastAsia="宋体" w:cs="宋体"/>
          <w:spacing w:val="30"/>
          <w:sz w:val="20"/>
          <w:szCs w:val="20"/>
        </w:rPr>
        <w:t xml:space="preserve"> </w:t>
      </w:r>
      <w:r>
        <w:rPr>
          <w:rFonts w:ascii="宋体" w:hAnsi="宋体" w:eastAsia="宋体" w:cs="宋体"/>
          <w:spacing w:val="7"/>
          <w:sz w:val="20"/>
          <w:szCs w:val="20"/>
        </w:rPr>
        <w:t>1=分部分项工程量清单综合单价中的“人工费+施</w:t>
      </w:r>
      <w:r>
        <w:rPr>
          <w:rFonts w:ascii="宋体" w:hAnsi="宋体" w:eastAsia="宋体" w:cs="宋体"/>
          <w:spacing w:val="9"/>
          <w:sz w:val="20"/>
          <w:szCs w:val="20"/>
        </w:rPr>
        <w:t>工机具使用费 ”</w:t>
      </w:r>
      <w:r>
        <w:rPr>
          <w:rFonts w:ascii="宋体" w:hAnsi="宋体" w:eastAsia="宋体" w:cs="宋体"/>
          <w:spacing w:val="-60"/>
          <w:sz w:val="20"/>
          <w:szCs w:val="20"/>
        </w:rPr>
        <w:t xml:space="preserve"> </w:t>
      </w:r>
      <w:r>
        <w:rPr>
          <w:rFonts w:ascii="宋体" w:hAnsi="宋体" w:eastAsia="宋体" w:cs="宋体"/>
          <w:spacing w:val="9"/>
          <w:sz w:val="20"/>
          <w:szCs w:val="20"/>
        </w:rPr>
        <w:t>；计费基础 2=分部分项工程费中的“人工费合计+施工机具使用费合计 ”。</w:t>
      </w:r>
    </w:p>
    <w:p>
      <w:pPr>
        <w:spacing w:before="124" w:line="296" w:lineRule="auto"/>
        <w:ind w:left="40" w:right="88" w:firstLine="388"/>
        <w:rPr>
          <w:rFonts w:ascii="宋体" w:hAnsi="宋体" w:eastAsia="宋体" w:cs="宋体"/>
          <w:sz w:val="20"/>
          <w:szCs w:val="20"/>
        </w:rPr>
      </w:pPr>
      <w:r>
        <w:rPr>
          <w:rFonts w:ascii="宋体" w:hAnsi="宋体" w:eastAsia="宋体" w:cs="宋体"/>
          <w:spacing w:val="8"/>
          <w:sz w:val="20"/>
          <w:szCs w:val="20"/>
        </w:rPr>
        <w:t>3. 通用措施项目费和以费率计价的专业</w:t>
      </w:r>
      <w:r>
        <w:rPr>
          <w:rFonts w:ascii="宋体" w:hAnsi="宋体" w:eastAsia="宋体" w:cs="宋体"/>
          <w:spacing w:val="7"/>
          <w:sz w:val="20"/>
          <w:szCs w:val="20"/>
        </w:rPr>
        <w:t>措施项目费，其费率已包含相应的企业管理费和利润。</w:t>
      </w:r>
      <w:r>
        <w:rPr>
          <w:rFonts w:ascii="宋体" w:hAnsi="宋体" w:eastAsia="宋体" w:cs="宋体"/>
          <w:spacing w:val="9"/>
          <w:sz w:val="20"/>
          <w:szCs w:val="20"/>
        </w:rPr>
        <w:t>以单价计价形成的专业措施项目，应包含相应的企业管理费</w:t>
      </w:r>
      <w:r>
        <w:rPr>
          <w:rFonts w:ascii="宋体" w:hAnsi="宋体" w:eastAsia="宋体" w:cs="宋体"/>
          <w:spacing w:val="8"/>
          <w:sz w:val="20"/>
          <w:szCs w:val="20"/>
        </w:rPr>
        <w:t>和利润。</w:t>
      </w:r>
    </w:p>
    <w:p>
      <w:pPr>
        <w:spacing w:before="157" w:line="277" w:lineRule="exact"/>
        <w:ind w:left="417"/>
        <w:rPr>
          <w:rFonts w:ascii="宋体" w:hAnsi="宋体" w:eastAsia="宋体" w:cs="宋体"/>
          <w:sz w:val="20"/>
          <w:szCs w:val="20"/>
        </w:rPr>
      </w:pPr>
      <w:r>
        <w:rPr>
          <w:rFonts w:ascii="宋体" w:hAnsi="宋体" w:eastAsia="宋体" w:cs="宋体"/>
          <w:spacing w:val="5"/>
          <w:position w:val="1"/>
          <w:sz w:val="20"/>
          <w:szCs w:val="20"/>
        </w:rPr>
        <w:t>4. 发包人提供材料不计入材料费。</w:t>
      </w:r>
    </w:p>
    <w:p>
      <w:pPr>
        <w:spacing w:before="124" w:line="296" w:lineRule="auto"/>
        <w:ind w:right="74" w:firstLine="424"/>
        <w:rPr>
          <w:rFonts w:ascii="宋体" w:hAnsi="宋体" w:eastAsia="宋体" w:cs="宋体"/>
          <w:sz w:val="20"/>
          <w:szCs w:val="20"/>
        </w:rPr>
      </w:pPr>
      <w:r>
        <w:rPr>
          <w:rFonts w:ascii="宋体" w:hAnsi="宋体" w:eastAsia="宋体" w:cs="宋体"/>
          <w:spacing w:val="8"/>
          <w:sz w:val="20"/>
          <w:szCs w:val="20"/>
        </w:rPr>
        <w:t>5. 建筑工程智慧工地建设费用除增值税外不计取其他费用；市政工程智慧工地建</w:t>
      </w:r>
      <w:r>
        <w:rPr>
          <w:rFonts w:ascii="宋体" w:hAnsi="宋体" w:eastAsia="宋体" w:cs="宋体"/>
          <w:spacing w:val="7"/>
          <w:sz w:val="20"/>
          <w:szCs w:val="20"/>
        </w:rPr>
        <w:t>设费用是包含</w:t>
      </w:r>
      <w:r>
        <w:rPr>
          <w:rFonts w:ascii="宋体" w:hAnsi="宋体" w:eastAsia="宋体" w:cs="宋体"/>
          <w:spacing w:val="10"/>
          <w:sz w:val="20"/>
          <w:szCs w:val="20"/>
        </w:rPr>
        <w:t>增值税在内的全费用价格，直接汇总至“建设工程费用合计 ”。</w:t>
      </w:r>
    </w:p>
    <w:p>
      <w:pPr>
        <w:spacing w:before="157" w:line="321" w:lineRule="auto"/>
        <w:ind w:left="4" w:right="72" w:firstLine="419"/>
        <w:rPr>
          <w:rFonts w:ascii="宋体" w:hAnsi="宋体" w:eastAsia="宋体" w:cs="宋体"/>
          <w:sz w:val="20"/>
          <w:szCs w:val="20"/>
        </w:rPr>
      </w:pPr>
      <w:r>
        <w:rPr>
          <w:rFonts w:ascii="宋体" w:hAnsi="宋体" w:eastAsia="宋体" w:cs="宋体"/>
          <w:spacing w:val="8"/>
          <w:sz w:val="20"/>
          <w:szCs w:val="20"/>
        </w:rPr>
        <w:t>6. 总承包人的建设项目工伤保险费的计费基础包括合同范围内专业分包工程，合同</w:t>
      </w:r>
      <w:r>
        <w:rPr>
          <w:rFonts w:ascii="宋体" w:hAnsi="宋体" w:eastAsia="宋体" w:cs="宋体"/>
          <w:spacing w:val="7"/>
          <w:sz w:val="20"/>
          <w:szCs w:val="20"/>
        </w:rPr>
        <w:t>范围内专业</w:t>
      </w:r>
      <w:r>
        <w:rPr>
          <w:rFonts w:ascii="宋体" w:hAnsi="宋体" w:eastAsia="宋体" w:cs="宋体"/>
          <w:spacing w:val="11"/>
          <w:sz w:val="20"/>
          <w:szCs w:val="20"/>
        </w:rPr>
        <w:t>分包工程的费用中不再重复计列。发包人直接发包的专业工程，建设项</w:t>
      </w:r>
      <w:r>
        <w:rPr>
          <w:rFonts w:ascii="宋体" w:hAnsi="宋体" w:eastAsia="宋体" w:cs="宋体"/>
          <w:spacing w:val="10"/>
          <w:sz w:val="20"/>
          <w:szCs w:val="20"/>
        </w:rPr>
        <w:t>目工伤保险在其工程费用中</w:t>
      </w:r>
      <w:r>
        <w:rPr>
          <w:rFonts w:ascii="宋体" w:hAnsi="宋体" w:eastAsia="宋体" w:cs="宋体"/>
          <w:spacing w:val="6"/>
          <w:sz w:val="20"/>
          <w:szCs w:val="20"/>
        </w:rPr>
        <w:t>另行计取。</w:t>
      </w:r>
    </w:p>
    <w:p>
      <w:pPr>
        <w:spacing w:before="156" w:line="321" w:lineRule="auto"/>
        <w:ind w:left="2" w:right="72" w:firstLine="421"/>
        <w:rPr>
          <w:rFonts w:ascii="宋体" w:hAnsi="宋体" w:eastAsia="宋体" w:cs="宋体"/>
          <w:sz w:val="20"/>
          <w:szCs w:val="20"/>
        </w:rPr>
      </w:pPr>
      <w:r>
        <w:rPr>
          <w:rFonts w:ascii="宋体" w:hAnsi="宋体" w:eastAsia="宋体" w:cs="宋体"/>
          <w:spacing w:val="13"/>
          <w:sz w:val="20"/>
          <w:szCs w:val="20"/>
        </w:rPr>
        <w:t>7. 总承包人的优质优价费的计费基础不包括合同范围内专业分包工程和发包</w:t>
      </w:r>
      <w:r>
        <w:rPr>
          <w:rFonts w:ascii="宋体" w:hAnsi="宋体" w:eastAsia="宋体" w:cs="宋体"/>
          <w:spacing w:val="12"/>
          <w:sz w:val="20"/>
          <w:szCs w:val="20"/>
        </w:rPr>
        <w:t>人直接发包的专</w:t>
      </w:r>
      <w:r>
        <w:rPr>
          <w:rFonts w:ascii="宋体" w:hAnsi="宋体" w:eastAsia="宋体" w:cs="宋体"/>
          <w:spacing w:val="11"/>
          <w:sz w:val="20"/>
          <w:szCs w:val="20"/>
        </w:rPr>
        <w:t>业工程。工程有创奖要求的，合同范围内专业分包工程和发包人直接发包的</w:t>
      </w:r>
      <w:r>
        <w:rPr>
          <w:rFonts w:ascii="宋体" w:hAnsi="宋体" w:eastAsia="宋体" w:cs="宋体"/>
          <w:spacing w:val="10"/>
          <w:sz w:val="20"/>
          <w:szCs w:val="20"/>
        </w:rPr>
        <w:t>专业工程应按创建目标</w:t>
      </w:r>
      <w:r>
        <w:rPr>
          <w:rFonts w:ascii="宋体" w:hAnsi="宋体" w:eastAsia="宋体" w:cs="宋体"/>
          <w:spacing w:val="8"/>
          <w:sz w:val="20"/>
          <w:szCs w:val="20"/>
        </w:rPr>
        <w:t>计列优质优价费。</w:t>
      </w:r>
    </w:p>
    <w:p>
      <w:pPr>
        <w:spacing w:line="321" w:lineRule="auto"/>
        <w:rPr>
          <w:rFonts w:ascii="宋体" w:hAnsi="宋体" w:eastAsia="宋体" w:cs="宋体"/>
          <w:sz w:val="20"/>
          <w:szCs w:val="20"/>
        </w:rPr>
        <w:sectPr>
          <w:footerReference r:id="rId69" w:type="default"/>
          <w:pgSz w:w="11905" w:h="16840"/>
          <w:pgMar w:top="400" w:right="1344" w:bottom="1213" w:left="1420" w:header="0" w:footer="898" w:gutter="0"/>
        </w:sectPr>
      </w:pPr>
    </w:p>
    <w:p>
      <w:pPr>
        <w:spacing w:line="310" w:lineRule="auto"/>
        <w:rPr>
          <w:rFonts w:ascii="Arial"/>
          <w:sz w:val="21"/>
        </w:rPr>
      </w:pPr>
    </w:p>
    <w:p>
      <w:pPr>
        <w:spacing w:line="310" w:lineRule="auto"/>
        <w:rPr>
          <w:rFonts w:ascii="Arial"/>
          <w:sz w:val="21"/>
        </w:rPr>
      </w:pPr>
    </w:p>
    <w:p>
      <w:pPr>
        <w:spacing w:line="310" w:lineRule="auto"/>
        <w:rPr>
          <w:rFonts w:ascii="Arial"/>
          <w:sz w:val="21"/>
        </w:rPr>
      </w:pPr>
    </w:p>
    <w:p>
      <w:pPr>
        <w:pStyle w:val="2"/>
        <w:spacing w:before="103" w:line="202" w:lineRule="auto"/>
        <w:ind w:left="486"/>
        <w:rPr>
          <w:sz w:val="24"/>
          <w:szCs w:val="24"/>
        </w:rPr>
      </w:pPr>
      <w:r>
        <w:rPr>
          <w:spacing w:val="-5"/>
          <w:sz w:val="24"/>
          <w:szCs w:val="24"/>
        </w:rPr>
        <w:t>二、工程结算阶段</w:t>
      </w:r>
    </w:p>
    <w:p>
      <w:pPr>
        <w:spacing w:line="74" w:lineRule="exact"/>
      </w:pPr>
    </w:p>
    <w:tbl>
      <w:tblPr>
        <w:tblStyle w:val="5"/>
        <w:tblW w:w="9193"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2974"/>
        <w:gridCol w:w="55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4" w:hRule="atLeast"/>
        </w:trPr>
        <w:tc>
          <w:tcPr>
            <w:tcW w:w="691" w:type="dxa"/>
            <w:tcBorders>
              <w:top w:val="single" w:color="000000" w:sz="4" w:space="0"/>
              <w:left w:val="single" w:color="000000" w:sz="4" w:space="0"/>
            </w:tcBorders>
            <w:vAlign w:val="top"/>
          </w:tcPr>
          <w:p>
            <w:pPr>
              <w:spacing w:before="115" w:line="181" w:lineRule="auto"/>
              <w:ind w:left="185"/>
              <w:rPr>
                <w:rFonts w:ascii="微软雅黑" w:hAnsi="微软雅黑" w:eastAsia="微软雅黑" w:cs="微软雅黑"/>
                <w:sz w:val="20"/>
                <w:szCs w:val="20"/>
              </w:rPr>
            </w:pPr>
            <w:r>
              <w:rPr>
                <w:rFonts w:ascii="微软雅黑" w:hAnsi="微软雅黑" w:eastAsia="微软雅黑" w:cs="微软雅黑"/>
                <w:spacing w:val="3"/>
                <w:sz w:val="20"/>
                <w:szCs w:val="20"/>
              </w:rPr>
              <w:t>序号</w:t>
            </w:r>
          </w:p>
        </w:tc>
        <w:tc>
          <w:tcPr>
            <w:tcW w:w="2974" w:type="dxa"/>
            <w:tcBorders>
              <w:top w:val="single" w:color="000000" w:sz="4" w:space="0"/>
            </w:tcBorders>
            <w:vAlign w:val="top"/>
          </w:tcPr>
          <w:p>
            <w:pPr>
              <w:spacing w:before="115" w:line="181" w:lineRule="auto"/>
              <w:ind w:left="1210"/>
              <w:rPr>
                <w:rFonts w:ascii="微软雅黑" w:hAnsi="微软雅黑" w:eastAsia="微软雅黑" w:cs="微软雅黑"/>
                <w:sz w:val="20"/>
                <w:szCs w:val="20"/>
              </w:rPr>
            </w:pPr>
            <w:r>
              <w:rPr>
                <w:rFonts w:ascii="微软雅黑" w:hAnsi="微软雅黑" w:eastAsia="微软雅黑" w:cs="微软雅黑"/>
                <w:spacing w:val="-2"/>
                <w:sz w:val="20"/>
                <w:szCs w:val="20"/>
              </w:rPr>
              <w:t>费用名称</w:t>
            </w:r>
          </w:p>
        </w:tc>
        <w:tc>
          <w:tcPr>
            <w:tcW w:w="5528" w:type="dxa"/>
            <w:tcBorders>
              <w:top w:val="single" w:color="000000" w:sz="4" w:space="0"/>
              <w:right w:val="single" w:color="000000" w:sz="4" w:space="0"/>
            </w:tcBorders>
            <w:vAlign w:val="top"/>
          </w:tcPr>
          <w:p>
            <w:pPr>
              <w:spacing w:before="115" w:line="181" w:lineRule="auto"/>
              <w:ind w:left="2156"/>
              <w:rPr>
                <w:rFonts w:ascii="微软雅黑" w:hAnsi="微软雅黑" w:eastAsia="微软雅黑" w:cs="微软雅黑"/>
                <w:sz w:val="20"/>
                <w:szCs w:val="20"/>
              </w:rPr>
            </w:pPr>
            <w:r>
              <w:rPr>
                <w:rFonts w:ascii="微软雅黑" w:hAnsi="微软雅黑" w:eastAsia="微软雅黑" w:cs="微软雅黑"/>
                <w:spacing w:val="1"/>
                <w:sz w:val="20"/>
                <w:szCs w:val="20"/>
              </w:rPr>
              <w:t>计  算</w:t>
            </w:r>
            <w:r>
              <w:rPr>
                <w:rFonts w:ascii="微软雅黑" w:hAnsi="微软雅黑" w:eastAsia="微软雅黑" w:cs="微软雅黑"/>
                <w:spacing w:val="56"/>
                <w:w w:val="101"/>
                <w:sz w:val="20"/>
                <w:szCs w:val="20"/>
              </w:rPr>
              <w:t xml:space="preserve"> </w:t>
            </w:r>
            <w:r>
              <w:rPr>
                <w:rFonts w:ascii="微软雅黑" w:hAnsi="微软雅黑" w:eastAsia="微软雅黑" w:cs="微软雅黑"/>
                <w:spacing w:val="1"/>
                <w:sz w:val="20"/>
                <w:szCs w:val="20"/>
              </w:rPr>
              <w:t>方  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7" w:hRule="atLeast"/>
        </w:trPr>
        <w:tc>
          <w:tcPr>
            <w:tcW w:w="691" w:type="dxa"/>
            <w:tcBorders>
              <w:left w:val="single" w:color="000000" w:sz="4" w:space="0"/>
            </w:tcBorders>
            <w:vAlign w:val="top"/>
          </w:tcPr>
          <w:p>
            <w:pPr>
              <w:spacing w:before="221" w:line="145" w:lineRule="exact"/>
              <w:ind w:left="260"/>
              <w:rPr>
                <w:rFonts w:ascii="宋体" w:hAnsi="宋体" w:eastAsia="宋体" w:cs="宋体"/>
                <w:sz w:val="20"/>
                <w:szCs w:val="20"/>
              </w:rPr>
            </w:pPr>
            <w:r>
              <w:rPr>
                <w:rFonts w:ascii="宋体" w:hAnsi="宋体" w:eastAsia="宋体" w:cs="宋体"/>
                <w:spacing w:val="4"/>
                <w:position w:val="-4"/>
                <w:sz w:val="20"/>
                <w:szCs w:val="20"/>
              </w:rPr>
              <w:t>一</w:t>
            </w:r>
          </w:p>
        </w:tc>
        <w:tc>
          <w:tcPr>
            <w:tcW w:w="2974" w:type="dxa"/>
            <w:vAlign w:val="top"/>
          </w:tcPr>
          <w:p>
            <w:pPr>
              <w:spacing w:before="108" w:line="220" w:lineRule="auto"/>
              <w:ind w:left="109"/>
              <w:rPr>
                <w:rFonts w:ascii="宋体" w:hAnsi="宋体" w:eastAsia="宋体" w:cs="宋体"/>
                <w:sz w:val="20"/>
                <w:szCs w:val="20"/>
              </w:rPr>
            </w:pPr>
            <w:r>
              <w:rPr>
                <w:rFonts w:ascii="宋体" w:hAnsi="宋体" w:eastAsia="宋体" w:cs="宋体"/>
                <w:sz w:val="20"/>
                <w:szCs w:val="20"/>
              </w:rPr>
              <w:t>分部分项工程费</w:t>
            </w:r>
          </w:p>
        </w:tc>
        <w:tc>
          <w:tcPr>
            <w:tcW w:w="5528" w:type="dxa"/>
            <w:tcBorders>
              <w:right w:val="single" w:color="000000" w:sz="4" w:space="0"/>
            </w:tcBorders>
            <w:vAlign w:val="top"/>
          </w:tcPr>
          <w:p>
            <w:pPr>
              <w:spacing w:before="98"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691" w:type="dxa"/>
            <w:vMerge w:val="restart"/>
            <w:tcBorders>
              <w:left w:val="single" w:color="000000" w:sz="4" w:space="0"/>
              <w:bottom w:val="nil"/>
            </w:tcBorders>
            <w:vAlign w:val="top"/>
          </w:tcPr>
          <w:p>
            <w:pPr>
              <w:pStyle w:val="6"/>
              <w:spacing w:line="279" w:lineRule="auto"/>
            </w:pPr>
          </w:p>
          <w:p>
            <w:pPr>
              <w:pStyle w:val="6"/>
              <w:spacing w:line="279" w:lineRule="auto"/>
            </w:pPr>
          </w:p>
          <w:p>
            <w:pPr>
              <w:pStyle w:val="6"/>
              <w:spacing w:line="279" w:lineRule="auto"/>
            </w:pPr>
          </w:p>
          <w:p>
            <w:pPr>
              <w:spacing w:before="65" w:line="192" w:lineRule="auto"/>
              <w:ind w:left="301"/>
              <w:rPr>
                <w:rFonts w:ascii="宋体" w:hAnsi="宋体" w:eastAsia="宋体" w:cs="宋体"/>
                <w:sz w:val="20"/>
                <w:szCs w:val="20"/>
              </w:rPr>
            </w:pPr>
            <w:r>
              <w:rPr>
                <w:rFonts w:ascii="宋体" w:hAnsi="宋体" w:eastAsia="宋体" w:cs="宋体"/>
                <w:spacing w:val="4"/>
                <w:sz w:val="20"/>
                <w:szCs w:val="20"/>
              </w:rPr>
              <w:t>二</w:t>
            </w:r>
          </w:p>
        </w:tc>
        <w:tc>
          <w:tcPr>
            <w:tcW w:w="2974" w:type="dxa"/>
            <w:vAlign w:val="top"/>
          </w:tcPr>
          <w:p>
            <w:pPr>
              <w:spacing w:before="112" w:line="219" w:lineRule="auto"/>
              <w:ind w:left="105"/>
              <w:rPr>
                <w:rFonts w:ascii="宋体" w:hAnsi="宋体" w:eastAsia="宋体" w:cs="宋体"/>
                <w:sz w:val="20"/>
                <w:szCs w:val="20"/>
              </w:rPr>
            </w:pPr>
            <w:r>
              <w:rPr>
                <w:rFonts w:ascii="宋体" w:hAnsi="宋体" w:eastAsia="宋体" w:cs="宋体"/>
                <w:spacing w:val="5"/>
                <w:sz w:val="20"/>
                <w:szCs w:val="20"/>
              </w:rPr>
              <w:t>措施项目费</w:t>
            </w:r>
          </w:p>
        </w:tc>
        <w:tc>
          <w:tcPr>
            <w:tcW w:w="5528" w:type="dxa"/>
            <w:tcBorders>
              <w:right w:val="single" w:color="000000" w:sz="4" w:space="0"/>
            </w:tcBorders>
            <w:vAlign w:val="top"/>
          </w:tcPr>
          <w:p>
            <w:pPr>
              <w:spacing w:before="122" w:line="268" w:lineRule="exact"/>
              <w:ind w:left="117"/>
              <w:rPr>
                <w:rFonts w:ascii="宋体" w:hAnsi="宋体" w:eastAsia="宋体" w:cs="宋体"/>
                <w:sz w:val="20"/>
                <w:szCs w:val="20"/>
              </w:rPr>
            </w:pPr>
            <w:r>
              <w:rPr>
                <w:rFonts w:ascii="宋体" w:hAnsi="宋体" w:eastAsia="宋体" w:cs="宋体"/>
                <w:spacing w:val="-11"/>
                <w:position w:val="1"/>
                <w:sz w:val="20"/>
                <w:szCs w:val="20"/>
              </w:rPr>
              <w:t>2.1＋2.2＋2.3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7"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95" w:line="271" w:lineRule="exact"/>
              <w:ind w:left="110"/>
              <w:rPr>
                <w:rFonts w:ascii="宋体" w:hAnsi="宋体" w:eastAsia="宋体" w:cs="宋体"/>
                <w:sz w:val="20"/>
                <w:szCs w:val="20"/>
              </w:rPr>
            </w:pPr>
            <w:r>
              <w:rPr>
                <w:rFonts w:ascii="宋体" w:hAnsi="宋体" w:eastAsia="宋体" w:cs="宋体"/>
                <w:spacing w:val="2"/>
                <w:position w:val="1"/>
                <w:sz w:val="20"/>
                <w:szCs w:val="20"/>
              </w:rPr>
              <w:t>2.1通用措施项目费</w:t>
            </w:r>
          </w:p>
        </w:tc>
        <w:tc>
          <w:tcPr>
            <w:tcW w:w="5528" w:type="dxa"/>
            <w:tcBorders>
              <w:right w:val="single" w:color="000000" w:sz="4" w:space="0"/>
            </w:tcBorders>
            <w:vAlign w:val="top"/>
          </w:tcPr>
          <w:p>
            <w:pPr>
              <w:spacing w:before="107"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04" w:line="266" w:lineRule="exact"/>
              <w:ind w:left="110"/>
              <w:rPr>
                <w:rFonts w:ascii="宋体" w:hAnsi="宋体" w:eastAsia="宋体" w:cs="宋体"/>
                <w:sz w:val="20"/>
                <w:szCs w:val="20"/>
              </w:rPr>
            </w:pPr>
            <w:r>
              <w:rPr>
                <w:rFonts w:ascii="宋体" w:hAnsi="宋体" w:eastAsia="宋体" w:cs="宋体"/>
                <w:spacing w:val="2"/>
                <w:position w:val="1"/>
                <w:sz w:val="20"/>
                <w:szCs w:val="20"/>
              </w:rPr>
              <w:t>2.2专业措施项目费</w:t>
            </w:r>
          </w:p>
        </w:tc>
        <w:tc>
          <w:tcPr>
            <w:tcW w:w="5528" w:type="dxa"/>
            <w:tcBorders>
              <w:right w:val="single" w:color="000000" w:sz="4" w:space="0"/>
            </w:tcBorders>
            <w:vAlign w:val="top"/>
          </w:tcPr>
          <w:p>
            <w:pPr>
              <w:spacing w:before="109"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691" w:type="dxa"/>
            <w:vMerge w:val="continue"/>
            <w:tcBorders>
              <w:top w:val="nil"/>
              <w:left w:val="single" w:color="000000" w:sz="4" w:space="0"/>
            </w:tcBorders>
            <w:vAlign w:val="top"/>
          </w:tcPr>
          <w:p>
            <w:pPr>
              <w:pStyle w:val="6"/>
            </w:pPr>
          </w:p>
        </w:tc>
        <w:tc>
          <w:tcPr>
            <w:tcW w:w="2974" w:type="dxa"/>
            <w:vAlign w:val="top"/>
          </w:tcPr>
          <w:p>
            <w:pPr>
              <w:spacing w:before="175" w:line="278" w:lineRule="exact"/>
              <w:ind w:left="110"/>
              <w:rPr>
                <w:rFonts w:ascii="宋体" w:hAnsi="宋体" w:eastAsia="宋体" w:cs="宋体"/>
                <w:sz w:val="20"/>
                <w:szCs w:val="20"/>
              </w:rPr>
            </w:pPr>
            <w:r>
              <w:rPr>
                <w:rFonts w:ascii="宋体" w:hAnsi="宋体" w:eastAsia="宋体" w:cs="宋体"/>
                <w:spacing w:val="2"/>
                <w:position w:val="1"/>
                <w:sz w:val="20"/>
                <w:szCs w:val="20"/>
              </w:rPr>
              <w:t>2.3安全文明措施费</w:t>
            </w:r>
          </w:p>
        </w:tc>
        <w:tc>
          <w:tcPr>
            <w:tcW w:w="5528" w:type="dxa"/>
            <w:tcBorders>
              <w:right w:val="single" w:color="000000" w:sz="4" w:space="0"/>
            </w:tcBorders>
            <w:vAlign w:val="top"/>
          </w:tcPr>
          <w:p>
            <w:pPr>
              <w:spacing w:before="59" w:line="249" w:lineRule="auto"/>
              <w:ind w:left="160" w:right="1081" w:hanging="48"/>
              <w:rPr>
                <w:rFonts w:ascii="宋体" w:hAnsi="宋体" w:eastAsia="宋体" w:cs="宋体"/>
                <w:sz w:val="20"/>
                <w:szCs w:val="20"/>
              </w:rPr>
            </w:pPr>
            <w:r>
              <w:rPr>
                <w:rFonts w:ascii="宋体" w:hAnsi="宋体" w:eastAsia="宋体" w:cs="宋体"/>
                <w:spacing w:val="7"/>
                <w:sz w:val="20"/>
                <w:szCs w:val="20"/>
              </w:rPr>
              <w:t>按调整后的计算基数及合同约定费率重新计算</w:t>
            </w:r>
            <w:r>
              <w:rPr>
                <w:rFonts w:ascii="宋体" w:hAnsi="宋体" w:eastAsia="宋体" w:cs="宋体"/>
                <w:spacing w:val="-9"/>
                <w:sz w:val="20"/>
                <w:szCs w:val="20"/>
              </w:rPr>
              <w:t>∑</w:t>
            </w:r>
            <w:r>
              <w:rPr>
                <w:rFonts w:ascii="宋体" w:hAnsi="宋体" w:eastAsia="宋体" w:cs="宋体"/>
                <w:spacing w:val="-31"/>
                <w:sz w:val="20"/>
                <w:szCs w:val="20"/>
              </w:rPr>
              <w:t>｛［（</w:t>
            </w:r>
            <w:r>
              <w:rPr>
                <w:rFonts w:ascii="宋体" w:hAnsi="宋体" w:eastAsia="宋体" w:cs="宋体"/>
                <w:spacing w:val="-9"/>
                <w:sz w:val="20"/>
                <w:szCs w:val="20"/>
              </w:rPr>
              <w:t>一</w:t>
            </w:r>
            <w:r>
              <w:rPr>
                <w:rFonts w:ascii="宋体" w:hAnsi="宋体" w:eastAsia="宋体" w:cs="宋体"/>
                <w:spacing w:val="-31"/>
                <w:sz w:val="20"/>
                <w:szCs w:val="20"/>
              </w:rPr>
              <w:t>）＋</w:t>
            </w:r>
            <w:r>
              <w:rPr>
                <w:rFonts w:ascii="宋体" w:hAnsi="宋体" w:eastAsia="宋体" w:cs="宋体"/>
                <w:spacing w:val="-9"/>
                <w:sz w:val="20"/>
                <w:szCs w:val="20"/>
              </w:rPr>
              <w:t>2.1＋2.2＋3.1＋A.1］</w:t>
            </w:r>
            <w:r>
              <w:rPr>
                <w:rFonts w:ascii="宋体" w:hAnsi="宋体" w:eastAsia="宋体" w:cs="宋体"/>
                <w:spacing w:val="-52"/>
                <w:sz w:val="20"/>
                <w:szCs w:val="20"/>
              </w:rPr>
              <w:t xml:space="preserve"> </w:t>
            </w:r>
            <w:r>
              <w:rPr>
                <w:rFonts w:ascii="宋体" w:hAnsi="宋体" w:eastAsia="宋体" w:cs="宋体"/>
                <w:spacing w:val="-9"/>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691" w:type="dxa"/>
            <w:vMerge w:val="restart"/>
            <w:tcBorders>
              <w:left w:val="single" w:color="000000" w:sz="4" w:space="0"/>
              <w:bottom w:val="nil"/>
            </w:tcBorders>
            <w:vAlign w:val="top"/>
          </w:tcPr>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spacing w:before="65" w:line="201" w:lineRule="auto"/>
              <w:ind w:left="270"/>
              <w:rPr>
                <w:rFonts w:ascii="宋体" w:hAnsi="宋体" w:eastAsia="宋体" w:cs="宋体"/>
                <w:sz w:val="20"/>
                <w:szCs w:val="20"/>
              </w:rPr>
            </w:pPr>
            <w:r>
              <w:rPr>
                <w:rFonts w:ascii="宋体" w:hAnsi="宋体" w:eastAsia="宋体" w:cs="宋体"/>
                <w:sz w:val="20"/>
                <w:szCs w:val="20"/>
              </w:rPr>
              <w:t>三</w:t>
            </w:r>
          </w:p>
        </w:tc>
        <w:tc>
          <w:tcPr>
            <w:tcW w:w="2974" w:type="dxa"/>
            <w:vAlign w:val="top"/>
          </w:tcPr>
          <w:p>
            <w:pPr>
              <w:spacing w:before="111" w:line="223" w:lineRule="auto"/>
              <w:ind w:left="105"/>
              <w:rPr>
                <w:rFonts w:ascii="宋体" w:hAnsi="宋体" w:eastAsia="宋体" w:cs="宋体"/>
                <w:sz w:val="20"/>
                <w:szCs w:val="20"/>
              </w:rPr>
            </w:pPr>
            <w:r>
              <w:rPr>
                <w:rFonts w:ascii="宋体" w:hAnsi="宋体" w:eastAsia="宋体" w:cs="宋体"/>
                <w:spacing w:val="5"/>
                <w:sz w:val="20"/>
                <w:szCs w:val="20"/>
              </w:rPr>
              <w:t>其他项目费</w:t>
            </w:r>
          </w:p>
        </w:tc>
        <w:tc>
          <w:tcPr>
            <w:tcW w:w="5528" w:type="dxa"/>
            <w:tcBorders>
              <w:right w:val="single" w:color="000000" w:sz="4" w:space="0"/>
            </w:tcBorders>
            <w:vAlign w:val="top"/>
          </w:tcPr>
          <w:p>
            <w:pPr>
              <w:spacing w:before="125" w:line="266" w:lineRule="exact"/>
              <w:ind w:left="120"/>
              <w:rPr>
                <w:rFonts w:ascii="宋体" w:hAnsi="宋体" w:eastAsia="宋体" w:cs="宋体"/>
                <w:sz w:val="20"/>
                <w:szCs w:val="20"/>
              </w:rPr>
            </w:pPr>
            <w:r>
              <w:rPr>
                <w:rFonts w:ascii="宋体" w:hAnsi="宋体" w:eastAsia="宋体" w:cs="宋体"/>
                <w:spacing w:val="-8"/>
                <w:position w:val="1"/>
                <w:sz w:val="20"/>
                <w:szCs w:val="20"/>
              </w:rPr>
              <w:t>3.1</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3.2</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3.3+…+3.7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07" w:line="276" w:lineRule="exact"/>
              <w:ind w:left="113"/>
              <w:rPr>
                <w:rFonts w:ascii="宋体" w:hAnsi="宋体" w:eastAsia="宋体" w:cs="宋体"/>
                <w:sz w:val="20"/>
                <w:szCs w:val="20"/>
              </w:rPr>
            </w:pPr>
            <w:r>
              <w:rPr>
                <w:rFonts w:ascii="宋体" w:hAnsi="宋体" w:eastAsia="宋体" w:cs="宋体"/>
                <w:spacing w:val="-1"/>
                <w:position w:val="1"/>
                <w:sz w:val="20"/>
                <w:szCs w:val="20"/>
              </w:rPr>
              <w:t>3.1价款调整</w:t>
            </w:r>
          </w:p>
        </w:tc>
        <w:tc>
          <w:tcPr>
            <w:tcW w:w="5528" w:type="dxa"/>
            <w:tcBorders>
              <w:right w:val="single" w:color="000000" w:sz="4" w:space="0"/>
            </w:tcBorders>
            <w:vAlign w:val="top"/>
          </w:tcPr>
          <w:p>
            <w:pPr>
              <w:spacing w:before="126" w:line="268" w:lineRule="exact"/>
              <w:ind w:left="120"/>
              <w:rPr>
                <w:rFonts w:ascii="宋体" w:hAnsi="宋体" w:eastAsia="宋体" w:cs="宋体"/>
                <w:sz w:val="20"/>
                <w:szCs w:val="20"/>
              </w:rPr>
            </w:pPr>
            <w:r>
              <w:rPr>
                <w:rFonts w:ascii="宋体" w:hAnsi="宋体" w:eastAsia="宋体" w:cs="宋体"/>
                <w:spacing w:val="-12"/>
                <w:position w:val="1"/>
                <w:sz w:val="20"/>
                <w:szCs w:val="20"/>
              </w:rPr>
              <w:t>3.1.1</w:t>
            </w:r>
            <w:r>
              <w:rPr>
                <w:rFonts w:ascii="宋体" w:hAnsi="宋体" w:eastAsia="宋体" w:cs="宋体"/>
                <w:spacing w:val="-58"/>
                <w:position w:val="1"/>
                <w:sz w:val="20"/>
                <w:szCs w:val="20"/>
              </w:rPr>
              <w:t xml:space="preserve"> </w:t>
            </w:r>
            <w:r>
              <w:rPr>
                <w:rFonts w:ascii="宋体" w:hAnsi="宋体" w:eastAsia="宋体" w:cs="宋体"/>
                <w:spacing w:val="-12"/>
                <w:position w:val="1"/>
                <w:sz w:val="20"/>
                <w:szCs w:val="20"/>
              </w:rPr>
              <w:t>＋</w:t>
            </w:r>
            <w:r>
              <w:rPr>
                <w:rFonts w:ascii="宋体" w:hAnsi="宋体" w:eastAsia="宋体" w:cs="宋体"/>
                <w:spacing w:val="-46"/>
                <w:position w:val="1"/>
                <w:sz w:val="20"/>
                <w:szCs w:val="20"/>
              </w:rPr>
              <w:t xml:space="preserve"> </w:t>
            </w:r>
            <w:r>
              <w:rPr>
                <w:rFonts w:ascii="宋体" w:hAnsi="宋体" w:eastAsia="宋体" w:cs="宋体"/>
                <w:spacing w:val="-12"/>
                <w:position w:val="1"/>
                <w:sz w:val="20"/>
                <w:szCs w:val="20"/>
              </w:rPr>
              <w:t>3.1.2</w:t>
            </w:r>
            <w:r>
              <w:rPr>
                <w:rFonts w:ascii="宋体" w:hAnsi="宋体" w:eastAsia="宋体" w:cs="宋体"/>
                <w:spacing w:val="-58"/>
                <w:position w:val="1"/>
                <w:sz w:val="20"/>
                <w:szCs w:val="20"/>
              </w:rPr>
              <w:t xml:space="preserve"> </w:t>
            </w:r>
            <w:r>
              <w:rPr>
                <w:rFonts w:ascii="宋体" w:hAnsi="宋体" w:eastAsia="宋体" w:cs="宋体"/>
                <w:spacing w:val="-12"/>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12"/>
                <w:position w:val="1"/>
                <w:sz w:val="20"/>
                <w:szCs w:val="20"/>
              </w:rPr>
              <w:t>3.1.3+…+3.1</w:t>
            </w:r>
            <w:r>
              <w:rPr>
                <w:rFonts w:ascii="宋体" w:hAnsi="宋体" w:eastAsia="宋体" w:cs="宋体"/>
                <w:spacing w:val="-13"/>
                <w:position w:val="1"/>
                <w:sz w:val="20"/>
                <w:szCs w:val="20"/>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55" w:line="212" w:lineRule="auto"/>
              <w:ind w:left="126" w:right="111" w:firstLine="347"/>
              <w:rPr>
                <w:rFonts w:ascii="宋体" w:hAnsi="宋体" w:eastAsia="宋体" w:cs="宋体"/>
                <w:sz w:val="20"/>
                <w:szCs w:val="20"/>
              </w:rPr>
            </w:pPr>
            <w:r>
              <w:rPr>
                <w:rFonts w:ascii="宋体" w:hAnsi="宋体" w:eastAsia="宋体" w:cs="宋体"/>
                <w:sz w:val="20"/>
                <w:szCs w:val="20"/>
              </w:rPr>
              <w:t>3.1.1</w:t>
            </w:r>
            <w:r>
              <w:rPr>
                <w:rFonts w:ascii="宋体" w:hAnsi="宋体" w:eastAsia="宋体" w:cs="宋体"/>
                <w:spacing w:val="-18"/>
                <w:sz w:val="20"/>
                <w:szCs w:val="20"/>
              </w:rPr>
              <w:t xml:space="preserve"> </w:t>
            </w:r>
            <w:r>
              <w:rPr>
                <w:rFonts w:ascii="宋体" w:hAnsi="宋体" w:eastAsia="宋体" w:cs="宋体"/>
                <w:sz w:val="20"/>
                <w:szCs w:val="20"/>
              </w:rPr>
              <w:t>工程量清单缺陷引起</w:t>
            </w:r>
            <w:r>
              <w:rPr>
                <w:rFonts w:ascii="宋体" w:hAnsi="宋体" w:eastAsia="宋体" w:cs="宋体"/>
                <w:spacing w:val="5"/>
                <w:sz w:val="20"/>
                <w:szCs w:val="20"/>
              </w:rPr>
              <w:t>的分部分项工程费增减</w:t>
            </w:r>
          </w:p>
        </w:tc>
        <w:tc>
          <w:tcPr>
            <w:tcW w:w="5528" w:type="dxa"/>
            <w:tcBorders>
              <w:right w:val="single" w:color="000000" w:sz="4" w:space="0"/>
            </w:tcBorders>
            <w:vAlign w:val="top"/>
          </w:tcPr>
          <w:p>
            <w:pPr>
              <w:spacing w:before="177"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55" w:line="212" w:lineRule="auto"/>
              <w:ind w:left="109" w:right="108" w:firstLine="364"/>
              <w:rPr>
                <w:rFonts w:ascii="宋体" w:hAnsi="宋体" w:eastAsia="宋体" w:cs="宋体"/>
                <w:sz w:val="20"/>
                <w:szCs w:val="20"/>
              </w:rPr>
            </w:pPr>
            <w:r>
              <w:rPr>
                <w:rFonts w:ascii="宋体" w:hAnsi="宋体" w:eastAsia="宋体" w:cs="宋体"/>
                <w:spacing w:val="2"/>
                <w:sz w:val="20"/>
                <w:szCs w:val="20"/>
              </w:rPr>
              <w:t>3.1.2</w:t>
            </w:r>
            <w:r>
              <w:rPr>
                <w:rFonts w:ascii="宋体" w:hAnsi="宋体" w:eastAsia="宋体" w:cs="宋体"/>
                <w:spacing w:val="-43"/>
                <w:sz w:val="20"/>
                <w:szCs w:val="20"/>
              </w:rPr>
              <w:t xml:space="preserve"> </w:t>
            </w:r>
            <w:r>
              <w:rPr>
                <w:rFonts w:ascii="宋体" w:hAnsi="宋体" w:eastAsia="宋体" w:cs="宋体"/>
                <w:spacing w:val="2"/>
                <w:sz w:val="20"/>
                <w:szCs w:val="20"/>
              </w:rPr>
              <w:t>工程变更引起的分部</w:t>
            </w:r>
            <w:r>
              <w:rPr>
                <w:rFonts w:ascii="宋体" w:hAnsi="宋体" w:eastAsia="宋体" w:cs="宋体"/>
                <w:spacing w:val="7"/>
                <w:sz w:val="20"/>
                <w:szCs w:val="20"/>
              </w:rPr>
              <w:t>分项工程费增减</w:t>
            </w:r>
          </w:p>
        </w:tc>
        <w:tc>
          <w:tcPr>
            <w:tcW w:w="5528" w:type="dxa"/>
            <w:tcBorders>
              <w:right w:val="single" w:color="000000" w:sz="4" w:space="0"/>
            </w:tcBorders>
            <w:vAlign w:val="top"/>
          </w:tcPr>
          <w:p>
            <w:pPr>
              <w:spacing w:before="180"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6"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56" w:line="224" w:lineRule="auto"/>
              <w:ind w:left="112" w:right="111" w:firstLine="360"/>
              <w:rPr>
                <w:rFonts w:ascii="宋体" w:hAnsi="宋体" w:eastAsia="宋体" w:cs="宋体"/>
                <w:sz w:val="20"/>
                <w:szCs w:val="20"/>
              </w:rPr>
            </w:pPr>
            <w:r>
              <w:rPr>
                <w:rFonts w:ascii="宋体" w:hAnsi="宋体" w:eastAsia="宋体" w:cs="宋体"/>
                <w:sz w:val="20"/>
                <w:szCs w:val="20"/>
              </w:rPr>
              <w:t>3.1.3</w:t>
            </w:r>
            <w:r>
              <w:rPr>
                <w:rFonts w:ascii="宋体" w:hAnsi="宋体" w:eastAsia="宋体" w:cs="宋体"/>
                <w:spacing w:val="-18"/>
                <w:sz w:val="20"/>
                <w:szCs w:val="20"/>
              </w:rPr>
              <w:t xml:space="preserve"> </w:t>
            </w:r>
            <w:r>
              <w:rPr>
                <w:rFonts w:ascii="宋体" w:hAnsi="宋体" w:eastAsia="宋体" w:cs="宋体"/>
                <w:sz w:val="20"/>
                <w:szCs w:val="20"/>
              </w:rPr>
              <w:t>工程变更引起的措施</w:t>
            </w:r>
            <w:r>
              <w:rPr>
                <w:rFonts w:ascii="宋体" w:hAnsi="宋体" w:eastAsia="宋体" w:cs="宋体"/>
                <w:spacing w:val="6"/>
                <w:sz w:val="20"/>
                <w:szCs w:val="20"/>
              </w:rPr>
              <w:t>费增加</w:t>
            </w:r>
          </w:p>
        </w:tc>
        <w:tc>
          <w:tcPr>
            <w:tcW w:w="5528" w:type="dxa"/>
            <w:tcBorders>
              <w:right w:val="single" w:color="000000" w:sz="4" w:space="0"/>
            </w:tcBorders>
            <w:vAlign w:val="top"/>
          </w:tcPr>
          <w:p>
            <w:pPr>
              <w:spacing w:before="183" w:line="209" w:lineRule="auto"/>
              <w:ind w:left="111" w:right="1"/>
              <w:rPr>
                <w:rFonts w:ascii="宋体" w:hAnsi="宋体" w:eastAsia="宋体" w:cs="宋体"/>
                <w:sz w:val="20"/>
                <w:szCs w:val="20"/>
              </w:rPr>
            </w:pPr>
            <w:r>
              <w:rPr>
                <w:rFonts w:ascii="宋体" w:hAnsi="宋体" w:eastAsia="宋体" w:cs="宋体"/>
                <w:spacing w:val="8"/>
                <w:sz w:val="20"/>
                <w:szCs w:val="20"/>
              </w:rPr>
              <w:t>按发包人批准的施工方案、合同约定及清单计价标准</w:t>
            </w:r>
            <w:r>
              <w:rPr>
                <w:rFonts w:ascii="宋体" w:hAnsi="宋体" w:eastAsia="宋体" w:cs="宋体"/>
                <w:spacing w:val="7"/>
                <w:sz w:val="20"/>
                <w:szCs w:val="20"/>
              </w:rPr>
              <w:t>规定计</w:t>
            </w:r>
            <w:r>
              <w:rPr>
                <w:rFonts w:ascii="宋体" w:hAnsi="宋体" w:eastAsia="宋体" w:cs="宋体"/>
                <w:spacing w:val="6"/>
                <w:sz w:val="20"/>
                <w:szCs w:val="20"/>
              </w:rPr>
              <w:t>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9"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64" w:line="210" w:lineRule="auto"/>
              <w:ind w:left="122" w:right="125" w:firstLine="351"/>
              <w:rPr>
                <w:rFonts w:ascii="宋体" w:hAnsi="宋体" w:eastAsia="宋体" w:cs="宋体"/>
                <w:sz w:val="20"/>
                <w:szCs w:val="20"/>
              </w:rPr>
            </w:pPr>
            <w:r>
              <w:rPr>
                <w:rFonts w:ascii="宋体" w:hAnsi="宋体" w:eastAsia="宋体" w:cs="宋体"/>
                <w:spacing w:val="-1"/>
                <w:sz w:val="20"/>
                <w:szCs w:val="20"/>
              </w:rPr>
              <w:t>3.1.4</w:t>
            </w:r>
            <w:r>
              <w:rPr>
                <w:rFonts w:ascii="宋体" w:hAnsi="宋体" w:eastAsia="宋体" w:cs="宋体"/>
                <w:spacing w:val="-18"/>
                <w:sz w:val="20"/>
                <w:szCs w:val="20"/>
              </w:rPr>
              <w:t xml:space="preserve"> </w:t>
            </w:r>
            <w:r>
              <w:rPr>
                <w:rFonts w:ascii="宋体" w:hAnsi="宋体" w:eastAsia="宋体" w:cs="宋体"/>
                <w:spacing w:val="-1"/>
                <w:sz w:val="20"/>
                <w:szCs w:val="20"/>
              </w:rPr>
              <w:t>工期实质性延长（缩</w:t>
            </w:r>
            <w:r>
              <w:rPr>
                <w:rFonts w:ascii="宋体" w:hAnsi="宋体" w:eastAsia="宋体" w:cs="宋体"/>
                <w:spacing w:val="5"/>
                <w:sz w:val="20"/>
                <w:szCs w:val="20"/>
              </w:rPr>
              <w:t>短）引起措施费增减</w:t>
            </w:r>
          </w:p>
        </w:tc>
        <w:tc>
          <w:tcPr>
            <w:tcW w:w="5528" w:type="dxa"/>
            <w:tcBorders>
              <w:right w:val="single" w:color="000000" w:sz="4" w:space="0"/>
            </w:tcBorders>
            <w:vAlign w:val="top"/>
          </w:tcPr>
          <w:p>
            <w:pPr>
              <w:spacing w:before="68" w:line="208" w:lineRule="auto"/>
              <w:ind w:left="114" w:right="109" w:hanging="2"/>
              <w:rPr>
                <w:rFonts w:ascii="宋体" w:hAnsi="宋体" w:eastAsia="宋体" w:cs="宋体"/>
                <w:sz w:val="20"/>
                <w:szCs w:val="20"/>
              </w:rPr>
            </w:pPr>
            <w:r>
              <w:rPr>
                <w:rFonts w:ascii="宋体" w:hAnsi="宋体" w:eastAsia="宋体" w:cs="宋体"/>
                <w:spacing w:val="12"/>
                <w:sz w:val="20"/>
                <w:szCs w:val="20"/>
              </w:rPr>
              <w:t>按受影响的措施项目中期运行费用、合同约定及清</w:t>
            </w:r>
            <w:r>
              <w:rPr>
                <w:rFonts w:ascii="宋体" w:hAnsi="宋体" w:eastAsia="宋体" w:cs="宋体"/>
                <w:spacing w:val="11"/>
                <w:sz w:val="20"/>
                <w:szCs w:val="20"/>
              </w:rPr>
              <w:t>单计价</w:t>
            </w:r>
            <w:r>
              <w:rPr>
                <w:rFonts w:ascii="宋体" w:hAnsi="宋体" w:eastAsia="宋体" w:cs="宋体"/>
                <w:spacing w:val="6"/>
                <w:sz w:val="20"/>
                <w:szCs w:val="20"/>
              </w:rPr>
              <w:t>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15" w:line="210" w:lineRule="auto"/>
              <w:ind w:left="469" w:firstLine="4"/>
              <w:rPr>
                <w:rFonts w:ascii="宋体" w:hAnsi="宋体" w:eastAsia="宋体" w:cs="宋体"/>
                <w:sz w:val="20"/>
                <w:szCs w:val="20"/>
              </w:rPr>
            </w:pPr>
            <w:r>
              <w:rPr>
                <w:rFonts w:ascii="宋体" w:hAnsi="宋体" w:eastAsia="宋体" w:cs="宋体"/>
                <w:spacing w:val="8"/>
                <w:sz w:val="20"/>
                <w:szCs w:val="20"/>
              </w:rPr>
              <w:t>3.1.5</w:t>
            </w:r>
            <w:r>
              <w:rPr>
                <w:rFonts w:ascii="宋体" w:hAnsi="宋体" w:eastAsia="宋体" w:cs="宋体"/>
                <w:spacing w:val="-18"/>
                <w:sz w:val="20"/>
                <w:szCs w:val="20"/>
              </w:rPr>
              <w:t xml:space="preserve"> </w:t>
            </w:r>
            <w:r>
              <w:rPr>
                <w:rFonts w:ascii="宋体" w:hAnsi="宋体" w:eastAsia="宋体" w:cs="宋体"/>
                <w:spacing w:val="8"/>
                <w:sz w:val="20"/>
                <w:szCs w:val="20"/>
              </w:rPr>
              <w:t>法律法规及政策性变</w:t>
            </w:r>
            <w:r>
              <w:rPr>
                <w:rFonts w:ascii="宋体" w:hAnsi="宋体" w:eastAsia="宋体" w:cs="宋体"/>
                <w:spacing w:val="3"/>
                <w:sz w:val="20"/>
                <w:szCs w:val="20"/>
              </w:rPr>
              <w:t>化</w:t>
            </w:r>
          </w:p>
        </w:tc>
        <w:tc>
          <w:tcPr>
            <w:tcW w:w="5528" w:type="dxa"/>
            <w:tcBorders>
              <w:right w:val="single" w:color="000000" w:sz="4" w:space="0"/>
            </w:tcBorders>
            <w:vAlign w:val="top"/>
          </w:tcPr>
          <w:p>
            <w:pPr>
              <w:spacing w:before="119"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65" w:line="210" w:lineRule="auto"/>
              <w:ind w:left="106" w:right="113" w:firstLine="367"/>
              <w:rPr>
                <w:rFonts w:ascii="宋体" w:hAnsi="宋体" w:eastAsia="宋体" w:cs="宋体"/>
                <w:sz w:val="20"/>
                <w:szCs w:val="20"/>
              </w:rPr>
            </w:pPr>
            <w:r>
              <w:rPr>
                <w:rFonts w:ascii="宋体" w:hAnsi="宋体" w:eastAsia="宋体" w:cs="宋体"/>
                <w:spacing w:val="2"/>
                <w:sz w:val="20"/>
                <w:szCs w:val="20"/>
              </w:rPr>
              <w:t>3.1.6</w:t>
            </w:r>
            <w:r>
              <w:rPr>
                <w:rFonts w:ascii="宋体" w:hAnsi="宋体" w:eastAsia="宋体" w:cs="宋体"/>
                <w:spacing w:val="-48"/>
                <w:sz w:val="20"/>
                <w:szCs w:val="20"/>
              </w:rPr>
              <w:t xml:space="preserve"> </w:t>
            </w:r>
            <w:r>
              <w:rPr>
                <w:rFonts w:ascii="宋体" w:hAnsi="宋体" w:eastAsia="宋体" w:cs="宋体"/>
                <w:spacing w:val="2"/>
                <w:sz w:val="20"/>
                <w:szCs w:val="20"/>
              </w:rPr>
              <w:t>价差（物价变化、材</w:t>
            </w:r>
            <w:r>
              <w:rPr>
                <w:rFonts w:ascii="宋体" w:hAnsi="宋体" w:eastAsia="宋体" w:cs="宋体"/>
                <w:spacing w:val="8"/>
                <w:sz w:val="20"/>
                <w:szCs w:val="20"/>
              </w:rPr>
              <w:t>料暂估价）</w:t>
            </w:r>
          </w:p>
        </w:tc>
        <w:tc>
          <w:tcPr>
            <w:tcW w:w="5528" w:type="dxa"/>
            <w:tcBorders>
              <w:right w:val="single" w:color="000000" w:sz="4" w:space="0"/>
            </w:tcBorders>
            <w:vAlign w:val="top"/>
          </w:tcPr>
          <w:p>
            <w:pPr>
              <w:spacing w:before="185" w:line="239" w:lineRule="exact"/>
              <w:jc w:val="right"/>
            </w:pPr>
            <w:r>
              <w:rPr>
                <w:position w:val="-5"/>
              </w:rPr>
              <w:drawing>
                <wp:inline distT="0" distB="0" distL="0" distR="0">
                  <wp:extent cx="3402965" cy="15176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367"/>
                          <a:stretch>
                            <a:fillRect/>
                          </a:stretch>
                        </pic:blipFill>
                        <pic:spPr>
                          <a:xfrm>
                            <a:off x="0" y="0"/>
                            <a:ext cx="3403343" cy="152356"/>
                          </a:xfrm>
                          <a:prstGeom prst="rect">
                            <a:avLst/>
                          </a:prstGeom>
                        </pic:spPr>
                      </pic:pic>
                    </a:graphicData>
                  </a:graphic>
                </wp:inline>
              </w:drawing>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9"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66" w:line="209" w:lineRule="auto"/>
              <w:ind w:left="129" w:right="113" w:firstLine="343"/>
              <w:rPr>
                <w:rFonts w:ascii="宋体" w:hAnsi="宋体" w:eastAsia="宋体" w:cs="宋体"/>
                <w:sz w:val="20"/>
                <w:szCs w:val="20"/>
              </w:rPr>
            </w:pPr>
            <w:r>
              <w:rPr>
                <w:rFonts w:ascii="宋体" w:hAnsi="宋体" w:eastAsia="宋体" w:cs="宋体"/>
                <w:spacing w:val="2"/>
                <w:sz w:val="20"/>
                <w:szCs w:val="20"/>
              </w:rPr>
              <w:t>3.1.7</w:t>
            </w:r>
            <w:r>
              <w:rPr>
                <w:rFonts w:ascii="宋体" w:hAnsi="宋体" w:eastAsia="宋体" w:cs="宋体"/>
                <w:spacing w:val="-48"/>
                <w:sz w:val="20"/>
                <w:szCs w:val="20"/>
              </w:rPr>
              <w:t xml:space="preserve"> </w:t>
            </w:r>
            <w:r>
              <w:rPr>
                <w:rFonts w:ascii="宋体" w:hAnsi="宋体" w:eastAsia="宋体" w:cs="宋体"/>
                <w:spacing w:val="2"/>
                <w:sz w:val="20"/>
                <w:szCs w:val="20"/>
              </w:rPr>
              <w:t>招标时未能确定或详</w:t>
            </w:r>
            <w:r>
              <w:rPr>
                <w:rFonts w:ascii="宋体" w:hAnsi="宋体" w:eastAsia="宋体" w:cs="宋体"/>
                <w:spacing w:val="3"/>
                <w:sz w:val="20"/>
                <w:szCs w:val="20"/>
              </w:rPr>
              <w:t>细说明的工程</w:t>
            </w:r>
          </w:p>
        </w:tc>
        <w:tc>
          <w:tcPr>
            <w:tcW w:w="5528" w:type="dxa"/>
            <w:tcBorders>
              <w:right w:val="single" w:color="000000" w:sz="4" w:space="0"/>
            </w:tcBorders>
            <w:vAlign w:val="top"/>
          </w:tcPr>
          <w:p>
            <w:pPr>
              <w:spacing w:before="189"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67" w:line="209" w:lineRule="auto"/>
              <w:ind w:left="129" w:right="113" w:firstLine="343"/>
              <w:rPr>
                <w:rFonts w:ascii="宋体" w:hAnsi="宋体" w:eastAsia="宋体" w:cs="宋体"/>
                <w:sz w:val="20"/>
                <w:szCs w:val="20"/>
              </w:rPr>
            </w:pPr>
            <w:r>
              <w:rPr>
                <w:rFonts w:ascii="宋体" w:hAnsi="宋体" w:eastAsia="宋体" w:cs="宋体"/>
                <w:spacing w:val="2"/>
                <w:sz w:val="20"/>
                <w:szCs w:val="20"/>
              </w:rPr>
              <w:t>3.1.8</w:t>
            </w:r>
            <w:r>
              <w:rPr>
                <w:rFonts w:ascii="宋体" w:hAnsi="宋体" w:eastAsia="宋体" w:cs="宋体"/>
                <w:spacing w:val="-48"/>
                <w:sz w:val="20"/>
                <w:szCs w:val="20"/>
              </w:rPr>
              <w:t xml:space="preserve"> </w:t>
            </w:r>
            <w:r>
              <w:rPr>
                <w:rFonts w:ascii="宋体" w:hAnsi="宋体" w:eastAsia="宋体" w:cs="宋体"/>
                <w:spacing w:val="2"/>
                <w:sz w:val="20"/>
                <w:szCs w:val="20"/>
              </w:rPr>
              <w:t>招标时未能确定或详</w:t>
            </w:r>
            <w:r>
              <w:rPr>
                <w:rFonts w:ascii="宋体" w:hAnsi="宋体" w:eastAsia="宋体" w:cs="宋体"/>
                <w:spacing w:val="3"/>
                <w:sz w:val="20"/>
                <w:szCs w:val="20"/>
              </w:rPr>
              <w:t>细说明的服务</w:t>
            </w:r>
          </w:p>
        </w:tc>
        <w:tc>
          <w:tcPr>
            <w:tcW w:w="5528" w:type="dxa"/>
            <w:tcBorders>
              <w:right w:val="single" w:color="000000" w:sz="4" w:space="0"/>
            </w:tcBorders>
            <w:vAlign w:val="top"/>
          </w:tcPr>
          <w:p>
            <w:pPr>
              <w:spacing w:before="190"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21" w:line="276" w:lineRule="exact"/>
              <w:ind w:left="113"/>
              <w:rPr>
                <w:rFonts w:ascii="宋体" w:hAnsi="宋体" w:eastAsia="宋体" w:cs="宋体"/>
                <w:sz w:val="20"/>
                <w:szCs w:val="20"/>
              </w:rPr>
            </w:pPr>
            <w:r>
              <w:rPr>
                <w:rFonts w:ascii="宋体" w:hAnsi="宋体" w:eastAsia="宋体" w:cs="宋体"/>
                <w:spacing w:val="1"/>
                <w:position w:val="1"/>
                <w:sz w:val="20"/>
                <w:szCs w:val="20"/>
              </w:rPr>
              <w:t>3.2专业工程暂估价</w:t>
            </w:r>
          </w:p>
        </w:tc>
        <w:tc>
          <w:tcPr>
            <w:tcW w:w="5528" w:type="dxa"/>
            <w:tcBorders>
              <w:right w:val="single" w:color="000000" w:sz="4" w:space="0"/>
            </w:tcBorders>
            <w:vAlign w:val="top"/>
          </w:tcPr>
          <w:p>
            <w:pPr>
              <w:spacing w:before="111" w:line="209" w:lineRule="auto"/>
              <w:ind w:left="113" w:right="1" w:hanging="1"/>
              <w:rPr>
                <w:rFonts w:ascii="宋体" w:hAnsi="宋体" w:eastAsia="宋体" w:cs="宋体"/>
                <w:sz w:val="20"/>
                <w:szCs w:val="20"/>
              </w:rPr>
            </w:pPr>
            <w:r>
              <w:rPr>
                <w:rFonts w:ascii="宋体" w:hAnsi="宋体" w:eastAsia="宋体" w:cs="宋体"/>
                <w:spacing w:val="8"/>
                <w:sz w:val="20"/>
                <w:szCs w:val="20"/>
              </w:rPr>
              <w:t>按《山东省建设工程费用项目组成及计算规则》第一</w:t>
            </w:r>
            <w:r>
              <w:rPr>
                <w:rFonts w:ascii="宋体" w:hAnsi="宋体" w:eastAsia="宋体" w:cs="宋体"/>
                <w:spacing w:val="7"/>
                <w:sz w:val="20"/>
                <w:szCs w:val="20"/>
              </w:rPr>
              <w:t>章相应规定计算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26" w:line="234" w:lineRule="auto"/>
              <w:ind w:left="113"/>
              <w:rPr>
                <w:rFonts w:ascii="宋体" w:hAnsi="宋体" w:eastAsia="宋体" w:cs="宋体"/>
                <w:sz w:val="20"/>
                <w:szCs w:val="20"/>
              </w:rPr>
            </w:pPr>
            <w:r>
              <w:rPr>
                <w:rFonts w:ascii="宋体" w:hAnsi="宋体" w:eastAsia="宋体" w:cs="宋体"/>
                <w:spacing w:val="-3"/>
                <w:sz w:val="20"/>
                <w:szCs w:val="20"/>
              </w:rPr>
              <w:t>3.3计日工</w:t>
            </w:r>
          </w:p>
        </w:tc>
        <w:tc>
          <w:tcPr>
            <w:tcW w:w="5528" w:type="dxa"/>
            <w:tcBorders>
              <w:right w:val="single" w:color="000000" w:sz="4" w:space="0"/>
            </w:tcBorders>
            <w:vAlign w:val="top"/>
          </w:tcPr>
          <w:p>
            <w:pPr>
              <w:spacing w:before="128" w:line="219" w:lineRule="auto"/>
              <w:ind w:left="112"/>
              <w:rPr>
                <w:rFonts w:ascii="宋体" w:hAnsi="宋体" w:eastAsia="宋体" w:cs="宋体"/>
                <w:sz w:val="20"/>
                <w:szCs w:val="20"/>
              </w:rPr>
            </w:pPr>
            <w:r>
              <w:rPr>
                <w:rFonts w:ascii="宋体" w:hAnsi="宋体" w:eastAsia="宋体" w:cs="宋体"/>
                <w:spacing w:val="7"/>
                <w:sz w:val="20"/>
                <w:szCs w:val="20"/>
              </w:rPr>
              <w:t>按发承包双方确认的数量及合同约定单价计算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24" w:line="236" w:lineRule="auto"/>
              <w:ind w:left="113"/>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41"/>
                <w:sz w:val="20"/>
                <w:szCs w:val="20"/>
              </w:rPr>
              <w:t xml:space="preserve"> </w:t>
            </w:r>
            <w:r>
              <w:rPr>
                <w:rFonts w:ascii="宋体" w:hAnsi="宋体" w:eastAsia="宋体" w:cs="宋体"/>
                <w:spacing w:val="-5"/>
                <w:sz w:val="20"/>
                <w:szCs w:val="20"/>
              </w:rPr>
              <w:t>总承包服务费</w:t>
            </w:r>
          </w:p>
        </w:tc>
        <w:tc>
          <w:tcPr>
            <w:tcW w:w="5528" w:type="dxa"/>
            <w:tcBorders>
              <w:right w:val="single" w:color="000000" w:sz="4" w:space="0"/>
            </w:tcBorders>
            <w:vAlign w:val="top"/>
          </w:tcPr>
          <w:p>
            <w:pPr>
              <w:spacing w:before="121"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25" w:line="235" w:lineRule="auto"/>
              <w:ind w:left="113"/>
              <w:rPr>
                <w:rFonts w:ascii="宋体" w:hAnsi="宋体" w:eastAsia="宋体" w:cs="宋体"/>
                <w:sz w:val="20"/>
                <w:szCs w:val="20"/>
              </w:rPr>
            </w:pPr>
            <w:r>
              <w:rPr>
                <w:rFonts w:ascii="宋体" w:hAnsi="宋体" w:eastAsia="宋体" w:cs="宋体"/>
                <w:spacing w:val="-2"/>
                <w:sz w:val="20"/>
                <w:szCs w:val="20"/>
              </w:rPr>
              <w:t>3.5建设项目工伤保险</w:t>
            </w:r>
          </w:p>
        </w:tc>
        <w:tc>
          <w:tcPr>
            <w:tcW w:w="5528" w:type="dxa"/>
            <w:tcBorders>
              <w:right w:val="single" w:color="000000" w:sz="4" w:space="0"/>
            </w:tcBorders>
            <w:vAlign w:val="top"/>
          </w:tcPr>
          <w:p>
            <w:pPr>
              <w:spacing w:before="130" w:line="221" w:lineRule="auto"/>
              <w:ind w:left="112"/>
              <w:rPr>
                <w:rFonts w:ascii="宋体" w:hAnsi="宋体" w:eastAsia="宋体" w:cs="宋体"/>
                <w:sz w:val="20"/>
                <w:szCs w:val="20"/>
              </w:rPr>
            </w:pPr>
            <w:r>
              <w:rPr>
                <w:rFonts w:ascii="宋体" w:hAnsi="宋体" w:eastAsia="宋体" w:cs="宋体"/>
                <w:spacing w:val="5"/>
                <w:sz w:val="20"/>
                <w:szCs w:val="20"/>
              </w:rPr>
              <w:t>按缴费凭据计入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2974" w:type="dxa"/>
            <w:vAlign w:val="top"/>
          </w:tcPr>
          <w:p>
            <w:pPr>
              <w:spacing w:before="124" w:line="236" w:lineRule="auto"/>
              <w:ind w:left="113"/>
              <w:rPr>
                <w:rFonts w:ascii="宋体" w:hAnsi="宋体" w:eastAsia="宋体" w:cs="宋体"/>
                <w:sz w:val="20"/>
                <w:szCs w:val="20"/>
              </w:rPr>
            </w:pPr>
            <w:r>
              <w:rPr>
                <w:rFonts w:ascii="宋体" w:hAnsi="宋体" w:eastAsia="宋体" w:cs="宋体"/>
                <w:sz w:val="20"/>
                <w:szCs w:val="20"/>
              </w:rPr>
              <w:t>3.6优质优价费</w:t>
            </w:r>
          </w:p>
        </w:tc>
        <w:tc>
          <w:tcPr>
            <w:tcW w:w="5528" w:type="dxa"/>
            <w:tcBorders>
              <w:right w:val="single" w:color="000000" w:sz="4" w:space="0"/>
            </w:tcBorders>
            <w:vAlign w:val="top"/>
          </w:tcPr>
          <w:p>
            <w:pPr>
              <w:spacing w:before="131" w:line="220" w:lineRule="auto"/>
              <w:ind w:left="112"/>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691" w:type="dxa"/>
            <w:vMerge w:val="continue"/>
            <w:tcBorders>
              <w:top w:val="nil"/>
              <w:left w:val="single" w:color="000000" w:sz="4" w:space="0"/>
            </w:tcBorders>
            <w:vAlign w:val="top"/>
          </w:tcPr>
          <w:p>
            <w:pPr>
              <w:pStyle w:val="6"/>
            </w:pPr>
          </w:p>
        </w:tc>
        <w:tc>
          <w:tcPr>
            <w:tcW w:w="2974" w:type="dxa"/>
            <w:vAlign w:val="top"/>
          </w:tcPr>
          <w:p>
            <w:pPr>
              <w:spacing w:before="127" w:line="235" w:lineRule="auto"/>
              <w:ind w:left="113"/>
              <w:rPr>
                <w:rFonts w:ascii="宋体" w:hAnsi="宋体" w:eastAsia="宋体" w:cs="宋体"/>
                <w:sz w:val="20"/>
                <w:szCs w:val="20"/>
              </w:rPr>
            </w:pPr>
            <w:r>
              <w:rPr>
                <w:rFonts w:ascii="宋体" w:hAnsi="宋体" w:eastAsia="宋体" w:cs="宋体"/>
                <w:spacing w:val="-4"/>
                <w:sz w:val="20"/>
                <w:szCs w:val="20"/>
              </w:rPr>
              <w:t>3.7其他</w:t>
            </w:r>
          </w:p>
        </w:tc>
        <w:tc>
          <w:tcPr>
            <w:tcW w:w="5528" w:type="dxa"/>
            <w:tcBorders>
              <w:right w:val="single" w:color="000000" w:sz="4" w:space="0"/>
            </w:tcBorders>
            <w:vAlign w:val="top"/>
          </w:tcPr>
          <w:p>
            <w:pPr>
              <w:spacing w:before="132" w:line="220" w:lineRule="auto"/>
              <w:ind w:left="112"/>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5" w:hRule="atLeast"/>
        </w:trPr>
        <w:tc>
          <w:tcPr>
            <w:tcW w:w="691" w:type="dxa"/>
            <w:tcBorders>
              <w:left w:val="single" w:color="000000" w:sz="4" w:space="0"/>
            </w:tcBorders>
            <w:vAlign w:val="top"/>
          </w:tcPr>
          <w:p>
            <w:pPr>
              <w:spacing w:before="150" w:line="199" w:lineRule="auto"/>
              <w:ind w:left="296"/>
              <w:rPr>
                <w:rFonts w:ascii="宋体" w:hAnsi="宋体" w:eastAsia="宋体" w:cs="宋体"/>
                <w:sz w:val="20"/>
                <w:szCs w:val="20"/>
              </w:rPr>
            </w:pPr>
            <w:r>
              <w:rPr>
                <w:rFonts w:ascii="宋体" w:hAnsi="宋体" w:eastAsia="宋体" w:cs="宋体"/>
                <w:sz w:val="20"/>
                <w:szCs w:val="20"/>
              </w:rPr>
              <w:t>四</w:t>
            </w:r>
          </w:p>
        </w:tc>
        <w:tc>
          <w:tcPr>
            <w:tcW w:w="2974" w:type="dxa"/>
            <w:vAlign w:val="top"/>
          </w:tcPr>
          <w:p>
            <w:pPr>
              <w:spacing w:before="130" w:line="222" w:lineRule="auto"/>
              <w:ind w:left="105"/>
              <w:rPr>
                <w:rFonts w:ascii="宋体" w:hAnsi="宋体" w:eastAsia="宋体" w:cs="宋体"/>
                <w:sz w:val="20"/>
                <w:szCs w:val="20"/>
              </w:rPr>
            </w:pPr>
            <w:r>
              <w:rPr>
                <w:rFonts w:ascii="宋体" w:hAnsi="宋体" w:eastAsia="宋体" w:cs="宋体"/>
                <w:spacing w:val="4"/>
                <w:sz w:val="20"/>
                <w:szCs w:val="20"/>
              </w:rPr>
              <w:t>增值税</w:t>
            </w:r>
          </w:p>
        </w:tc>
        <w:tc>
          <w:tcPr>
            <w:tcW w:w="5528" w:type="dxa"/>
            <w:tcBorders>
              <w:right w:val="single" w:color="000000" w:sz="4" w:space="0"/>
            </w:tcBorders>
            <w:vAlign w:val="top"/>
          </w:tcPr>
          <w:p>
            <w:pPr>
              <w:spacing w:before="127" w:line="238" w:lineRule="auto"/>
              <w:ind w:left="117"/>
              <w:rPr>
                <w:rFonts w:ascii="宋体" w:hAnsi="宋体" w:eastAsia="宋体" w:cs="宋体"/>
                <w:sz w:val="20"/>
                <w:szCs w:val="20"/>
              </w:rPr>
            </w:pPr>
            <w:r>
              <w:rPr>
                <w:rFonts w:ascii="宋体" w:hAnsi="宋体" w:eastAsia="宋体" w:cs="宋体"/>
                <w:spacing w:val="-29"/>
                <w:sz w:val="20"/>
                <w:szCs w:val="20"/>
              </w:rPr>
              <w:t>［（</w:t>
            </w:r>
            <w:r>
              <w:rPr>
                <w:rFonts w:ascii="宋体" w:hAnsi="宋体" w:eastAsia="宋体" w:cs="宋体"/>
                <w:spacing w:val="4"/>
                <w:sz w:val="20"/>
                <w:szCs w:val="20"/>
              </w:rPr>
              <w:t>一</w:t>
            </w:r>
            <w:r>
              <w:rPr>
                <w:rFonts w:ascii="宋体" w:hAnsi="宋体" w:eastAsia="宋体" w:cs="宋体"/>
                <w:spacing w:val="-29"/>
                <w:sz w:val="20"/>
                <w:szCs w:val="20"/>
              </w:rPr>
              <w:t>）＋（</w:t>
            </w:r>
            <w:r>
              <w:rPr>
                <w:rFonts w:ascii="宋体" w:hAnsi="宋体" w:eastAsia="宋体" w:cs="宋体"/>
                <w:spacing w:val="4"/>
                <w:sz w:val="20"/>
                <w:szCs w:val="20"/>
              </w:rPr>
              <w:t>二</w:t>
            </w:r>
            <w:r>
              <w:rPr>
                <w:rFonts w:ascii="宋体" w:hAnsi="宋体" w:eastAsia="宋体" w:cs="宋体"/>
                <w:spacing w:val="-35"/>
                <w:sz w:val="20"/>
                <w:szCs w:val="20"/>
              </w:rPr>
              <w:t xml:space="preserve"> </w:t>
            </w:r>
            <w:r>
              <w:rPr>
                <w:rFonts w:ascii="宋体" w:hAnsi="宋体" w:eastAsia="宋体" w:cs="宋体"/>
                <w:spacing w:val="-29"/>
                <w:sz w:val="20"/>
                <w:szCs w:val="20"/>
              </w:rPr>
              <w:t>）＋（</w:t>
            </w:r>
            <w:r>
              <w:rPr>
                <w:rFonts w:ascii="宋体" w:hAnsi="宋体" w:eastAsia="宋体" w:cs="宋体"/>
                <w:spacing w:val="4"/>
                <w:sz w:val="20"/>
                <w:szCs w:val="20"/>
              </w:rPr>
              <w:t>三</w:t>
            </w:r>
            <w:r>
              <w:rPr>
                <w:rFonts w:ascii="宋体" w:hAnsi="宋体" w:eastAsia="宋体" w:cs="宋体"/>
                <w:spacing w:val="-29"/>
                <w:sz w:val="20"/>
                <w:szCs w:val="20"/>
              </w:rPr>
              <w:t>）－</w:t>
            </w:r>
            <w:r>
              <w:rPr>
                <w:rFonts w:ascii="宋体" w:hAnsi="宋体" w:eastAsia="宋体" w:cs="宋体"/>
                <w:spacing w:val="4"/>
                <w:sz w:val="20"/>
                <w:szCs w:val="20"/>
              </w:rPr>
              <w:t>3.2</w:t>
            </w:r>
            <w:r>
              <w:rPr>
                <w:rFonts w:ascii="宋体" w:hAnsi="宋体" w:eastAsia="宋体" w:cs="宋体"/>
                <w:spacing w:val="-29"/>
                <w:sz w:val="20"/>
                <w:szCs w:val="20"/>
              </w:rPr>
              <w:t>）］</w:t>
            </w:r>
            <w:r>
              <w:rPr>
                <w:rFonts w:ascii="宋体" w:hAnsi="宋体" w:eastAsia="宋体" w:cs="宋体"/>
                <w:spacing w:val="-76"/>
                <w:sz w:val="20"/>
                <w:szCs w:val="20"/>
              </w:rPr>
              <w:t xml:space="preserve"> </w:t>
            </w:r>
            <w:r>
              <w:rPr>
                <w:rFonts w:ascii="宋体" w:hAnsi="宋体" w:eastAsia="宋体" w:cs="宋体"/>
                <w:spacing w:val="4"/>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4" w:hRule="atLeast"/>
        </w:trPr>
        <w:tc>
          <w:tcPr>
            <w:tcW w:w="691" w:type="dxa"/>
            <w:tcBorders>
              <w:left w:val="single" w:color="000000" w:sz="4" w:space="0"/>
              <w:bottom w:val="single" w:color="000000" w:sz="4" w:space="0"/>
            </w:tcBorders>
            <w:vAlign w:val="top"/>
          </w:tcPr>
          <w:p>
            <w:pPr>
              <w:spacing w:before="155" w:line="201" w:lineRule="auto"/>
              <w:ind w:left="264"/>
              <w:rPr>
                <w:rFonts w:ascii="宋体" w:hAnsi="宋体" w:eastAsia="宋体" w:cs="宋体"/>
                <w:sz w:val="20"/>
                <w:szCs w:val="20"/>
              </w:rPr>
            </w:pPr>
            <w:r>
              <w:rPr>
                <w:rFonts w:ascii="宋体" w:hAnsi="宋体" w:eastAsia="宋体" w:cs="宋体"/>
                <w:sz w:val="20"/>
                <w:szCs w:val="20"/>
              </w:rPr>
              <w:t>五</w:t>
            </w:r>
          </w:p>
        </w:tc>
        <w:tc>
          <w:tcPr>
            <w:tcW w:w="2974" w:type="dxa"/>
            <w:tcBorders>
              <w:bottom w:val="single" w:color="000000" w:sz="4" w:space="0"/>
            </w:tcBorders>
            <w:vAlign w:val="top"/>
          </w:tcPr>
          <w:p>
            <w:pPr>
              <w:spacing w:before="128" w:line="223" w:lineRule="auto"/>
              <w:ind w:left="108"/>
              <w:rPr>
                <w:rFonts w:ascii="宋体" w:hAnsi="宋体" w:eastAsia="宋体" w:cs="宋体"/>
                <w:sz w:val="20"/>
                <w:szCs w:val="20"/>
              </w:rPr>
            </w:pPr>
            <w:r>
              <w:rPr>
                <w:rFonts w:ascii="宋体" w:hAnsi="宋体" w:eastAsia="宋体" w:cs="宋体"/>
                <w:spacing w:val="5"/>
                <w:sz w:val="20"/>
                <w:szCs w:val="20"/>
              </w:rPr>
              <w:t>建设工程费用合计</w:t>
            </w:r>
          </w:p>
        </w:tc>
        <w:tc>
          <w:tcPr>
            <w:tcW w:w="5528" w:type="dxa"/>
            <w:tcBorders>
              <w:bottom w:val="single" w:color="000000" w:sz="4" w:space="0"/>
              <w:right w:val="single" w:color="000000" w:sz="4" w:space="0"/>
            </w:tcBorders>
            <w:vAlign w:val="top"/>
          </w:tcPr>
          <w:p>
            <w:pPr>
              <w:spacing w:before="127" w:line="276" w:lineRule="exact"/>
              <w:ind w:left="114"/>
              <w:rPr>
                <w:rFonts w:ascii="宋体" w:hAnsi="宋体" w:eastAsia="宋体" w:cs="宋体"/>
                <w:sz w:val="20"/>
                <w:szCs w:val="20"/>
              </w:rPr>
            </w:pPr>
            <w:r>
              <w:rPr>
                <w:rFonts w:ascii="宋体" w:hAnsi="宋体" w:eastAsia="宋体" w:cs="宋体"/>
                <w:spacing w:val="21"/>
                <w:position w:val="1"/>
                <w:sz w:val="20"/>
                <w:szCs w:val="20"/>
              </w:rPr>
              <w:t>（一</w:t>
            </w:r>
            <w:r>
              <w:rPr>
                <w:rFonts w:ascii="宋体" w:hAnsi="宋体" w:eastAsia="宋体" w:cs="宋体"/>
                <w:spacing w:val="-34"/>
                <w:position w:val="1"/>
                <w:sz w:val="20"/>
                <w:szCs w:val="20"/>
              </w:rPr>
              <w:t>）＋（</w:t>
            </w:r>
            <w:r>
              <w:rPr>
                <w:rFonts w:ascii="宋体" w:hAnsi="宋体" w:eastAsia="宋体" w:cs="宋体"/>
                <w:spacing w:val="21"/>
                <w:position w:val="1"/>
                <w:sz w:val="20"/>
                <w:szCs w:val="20"/>
              </w:rPr>
              <w:t>二</w:t>
            </w:r>
            <w:r>
              <w:rPr>
                <w:rFonts w:ascii="宋体" w:hAnsi="宋体" w:eastAsia="宋体" w:cs="宋体"/>
                <w:spacing w:val="-34"/>
                <w:position w:val="1"/>
                <w:sz w:val="20"/>
                <w:szCs w:val="20"/>
              </w:rPr>
              <w:t xml:space="preserve"> ）＋（</w:t>
            </w:r>
            <w:r>
              <w:rPr>
                <w:rFonts w:ascii="宋体" w:hAnsi="宋体" w:eastAsia="宋体" w:cs="宋体"/>
                <w:spacing w:val="21"/>
                <w:position w:val="1"/>
                <w:sz w:val="20"/>
                <w:szCs w:val="20"/>
              </w:rPr>
              <w:t>三</w:t>
            </w:r>
            <w:r>
              <w:rPr>
                <w:rFonts w:ascii="宋体" w:hAnsi="宋体" w:eastAsia="宋体" w:cs="宋体"/>
                <w:spacing w:val="-34"/>
                <w:position w:val="1"/>
                <w:sz w:val="20"/>
                <w:szCs w:val="20"/>
              </w:rPr>
              <w:t>）＋（</w:t>
            </w:r>
            <w:r>
              <w:rPr>
                <w:rFonts w:ascii="宋体" w:hAnsi="宋体" w:eastAsia="宋体" w:cs="宋体"/>
                <w:spacing w:val="21"/>
                <w:position w:val="1"/>
                <w:sz w:val="20"/>
                <w:szCs w:val="20"/>
              </w:rPr>
              <w:t>四）</w:t>
            </w:r>
          </w:p>
        </w:tc>
      </w:tr>
    </w:tbl>
    <w:p>
      <w:pPr>
        <w:spacing w:before="103" w:line="277" w:lineRule="exact"/>
        <w:ind w:left="388"/>
        <w:rPr>
          <w:rFonts w:ascii="宋体" w:hAnsi="宋体" w:eastAsia="宋体" w:cs="宋体"/>
          <w:sz w:val="20"/>
          <w:szCs w:val="20"/>
        </w:rPr>
      </w:pPr>
      <w:r>
        <w:rPr>
          <w:rFonts w:ascii="宋体" w:hAnsi="宋体" w:eastAsia="宋体" w:cs="宋体"/>
          <w:spacing w:val="-8"/>
          <w:position w:val="1"/>
          <w:sz w:val="20"/>
          <w:szCs w:val="20"/>
        </w:rPr>
        <w:t>附表：</w:t>
      </w:r>
    </w:p>
    <w:p>
      <w:pPr>
        <w:spacing w:line="31" w:lineRule="exact"/>
      </w:pPr>
    </w:p>
    <w:tbl>
      <w:tblPr>
        <w:tblStyle w:val="5"/>
        <w:tblW w:w="9217"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3099"/>
        <w:gridCol w:w="54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691" w:type="dxa"/>
            <w:vMerge w:val="restart"/>
            <w:tcBorders>
              <w:top w:val="single" w:color="000000" w:sz="4" w:space="0"/>
              <w:left w:val="single" w:color="000000" w:sz="4" w:space="0"/>
              <w:bottom w:val="nil"/>
            </w:tcBorders>
            <w:vAlign w:val="top"/>
          </w:tcPr>
          <w:p>
            <w:pPr>
              <w:pStyle w:val="6"/>
              <w:spacing w:line="266" w:lineRule="auto"/>
            </w:pPr>
          </w:p>
          <w:p>
            <w:pPr>
              <w:pStyle w:val="6"/>
              <w:spacing w:line="267" w:lineRule="auto"/>
            </w:pPr>
          </w:p>
          <w:p>
            <w:pPr>
              <w:spacing w:before="65" w:line="189" w:lineRule="auto"/>
              <w:ind w:left="318"/>
              <w:rPr>
                <w:rFonts w:ascii="宋体" w:hAnsi="宋体" w:eastAsia="宋体" w:cs="宋体"/>
                <w:sz w:val="20"/>
                <w:szCs w:val="20"/>
              </w:rPr>
            </w:pPr>
            <w:r>
              <w:rPr>
                <w:rFonts w:ascii="宋体" w:hAnsi="宋体" w:eastAsia="宋体" w:cs="宋体"/>
                <w:spacing w:val="6"/>
                <w:w w:val="127"/>
                <w:sz w:val="20"/>
                <w:szCs w:val="20"/>
              </w:rPr>
              <w:t>A</w:t>
            </w:r>
          </w:p>
        </w:tc>
        <w:tc>
          <w:tcPr>
            <w:tcW w:w="3099" w:type="dxa"/>
            <w:tcBorders>
              <w:top w:val="single" w:color="000000" w:sz="4" w:space="0"/>
            </w:tcBorders>
            <w:vAlign w:val="top"/>
          </w:tcPr>
          <w:p>
            <w:pPr>
              <w:spacing w:before="132" w:line="221" w:lineRule="auto"/>
              <w:ind w:left="132"/>
              <w:rPr>
                <w:rFonts w:ascii="宋体" w:hAnsi="宋体" w:eastAsia="宋体" w:cs="宋体"/>
                <w:sz w:val="20"/>
                <w:szCs w:val="20"/>
              </w:rPr>
            </w:pPr>
            <w:r>
              <w:rPr>
                <w:rFonts w:ascii="宋体" w:hAnsi="宋体" w:eastAsia="宋体" w:cs="宋体"/>
                <w:spacing w:val="7"/>
                <w:sz w:val="20"/>
                <w:szCs w:val="20"/>
              </w:rPr>
              <w:t>另行计算的费用项目</w:t>
            </w:r>
          </w:p>
        </w:tc>
        <w:tc>
          <w:tcPr>
            <w:tcW w:w="5427" w:type="dxa"/>
            <w:tcBorders>
              <w:top w:val="single" w:color="000000" w:sz="4" w:space="0"/>
              <w:right w:val="single" w:color="000000" w:sz="4" w:space="0"/>
            </w:tcBorders>
            <w:vAlign w:val="top"/>
          </w:tcPr>
          <w:p>
            <w:pPr>
              <w:spacing w:before="128" w:line="223" w:lineRule="auto"/>
              <w:ind w:left="135"/>
              <w:rPr>
                <w:rFonts w:ascii="宋体" w:hAnsi="宋体" w:eastAsia="宋体" w:cs="宋体"/>
                <w:sz w:val="20"/>
                <w:szCs w:val="20"/>
              </w:rPr>
            </w:pPr>
            <w:r>
              <w:rPr>
                <w:rFonts w:ascii="宋体" w:hAnsi="宋体" w:eastAsia="宋体" w:cs="宋体"/>
                <w:spacing w:val="-10"/>
                <w:sz w:val="20"/>
                <w:szCs w:val="20"/>
              </w:rPr>
              <w:t>不计入建设工程费用合计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0" w:line="266" w:lineRule="exact"/>
              <w:ind w:left="121"/>
              <w:rPr>
                <w:rFonts w:ascii="宋体" w:hAnsi="宋体" w:eastAsia="宋体" w:cs="宋体"/>
                <w:sz w:val="20"/>
                <w:szCs w:val="20"/>
              </w:rPr>
            </w:pPr>
            <w:r>
              <w:rPr>
                <w:rFonts w:ascii="宋体" w:hAnsi="宋体" w:eastAsia="宋体" w:cs="宋体"/>
                <w:spacing w:val="4"/>
                <w:position w:val="1"/>
                <w:sz w:val="20"/>
                <w:szCs w:val="20"/>
              </w:rPr>
              <w:t>A.1</w:t>
            </w:r>
            <w:r>
              <w:rPr>
                <w:rFonts w:ascii="宋体" w:hAnsi="宋体" w:eastAsia="宋体" w:cs="宋体"/>
                <w:spacing w:val="-53"/>
                <w:position w:val="1"/>
                <w:sz w:val="20"/>
                <w:szCs w:val="20"/>
              </w:rPr>
              <w:t xml:space="preserve"> </w:t>
            </w:r>
            <w:r>
              <w:rPr>
                <w:rFonts w:ascii="宋体" w:hAnsi="宋体" w:eastAsia="宋体" w:cs="宋体"/>
                <w:spacing w:val="4"/>
                <w:position w:val="1"/>
                <w:sz w:val="20"/>
                <w:szCs w:val="20"/>
              </w:rPr>
              <w:t>发包人提供的材料费</w:t>
            </w:r>
          </w:p>
        </w:tc>
        <w:tc>
          <w:tcPr>
            <w:tcW w:w="5427" w:type="dxa"/>
            <w:tcBorders>
              <w:right w:val="single" w:color="000000" w:sz="4" w:space="0"/>
            </w:tcBorders>
            <w:vAlign w:val="top"/>
          </w:tcPr>
          <w:p>
            <w:pPr>
              <w:spacing w:before="125" w:line="221" w:lineRule="auto"/>
              <w:ind w:left="131"/>
              <w:rPr>
                <w:rFonts w:ascii="宋体" w:hAnsi="宋体" w:eastAsia="宋体" w:cs="宋体"/>
                <w:sz w:val="20"/>
                <w:szCs w:val="20"/>
              </w:rPr>
            </w:pPr>
            <w:r>
              <w:rPr>
                <w:rFonts w:ascii="宋体" w:hAnsi="宋体" w:eastAsia="宋体" w:cs="宋体"/>
                <w:spacing w:val="-10"/>
                <w:sz w:val="20"/>
                <w:szCs w:val="20"/>
              </w:rPr>
              <w:t>作为调整相关费用的计算基础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691" w:type="dxa"/>
            <w:vMerge w:val="continue"/>
            <w:tcBorders>
              <w:top w:val="nil"/>
              <w:left w:val="single" w:color="000000" w:sz="4" w:space="0"/>
              <w:bottom w:val="single" w:color="000000" w:sz="4" w:space="0"/>
            </w:tcBorders>
            <w:vAlign w:val="top"/>
          </w:tcPr>
          <w:p>
            <w:pPr>
              <w:pStyle w:val="6"/>
            </w:pPr>
          </w:p>
        </w:tc>
        <w:tc>
          <w:tcPr>
            <w:tcW w:w="3099" w:type="dxa"/>
            <w:tcBorders>
              <w:bottom w:val="single" w:color="000000" w:sz="4" w:space="0"/>
            </w:tcBorders>
            <w:vAlign w:val="top"/>
          </w:tcPr>
          <w:p>
            <w:pPr>
              <w:spacing w:before="126" w:line="271" w:lineRule="auto"/>
              <w:ind w:left="126" w:hanging="5"/>
              <w:rPr>
                <w:rFonts w:ascii="宋体" w:hAnsi="宋体" w:eastAsia="宋体" w:cs="宋体"/>
                <w:sz w:val="20"/>
                <w:szCs w:val="20"/>
              </w:rPr>
            </w:pPr>
            <w:r>
              <w:rPr>
                <w:rFonts w:ascii="宋体" w:hAnsi="宋体" w:eastAsia="宋体" w:cs="宋体"/>
                <w:spacing w:val="13"/>
                <w:sz w:val="20"/>
                <w:szCs w:val="20"/>
              </w:rPr>
              <w:t>A.2</w:t>
            </w:r>
            <w:r>
              <w:rPr>
                <w:rFonts w:ascii="宋体" w:hAnsi="宋体" w:eastAsia="宋体" w:cs="宋体"/>
                <w:spacing w:val="-24"/>
                <w:sz w:val="20"/>
                <w:szCs w:val="20"/>
              </w:rPr>
              <w:t xml:space="preserve"> </w:t>
            </w:r>
            <w:r>
              <w:rPr>
                <w:rFonts w:ascii="宋体" w:hAnsi="宋体" w:eastAsia="宋体" w:cs="宋体"/>
                <w:spacing w:val="13"/>
                <w:sz w:val="20"/>
                <w:szCs w:val="20"/>
              </w:rPr>
              <w:t>发包人直接发包的专业工程</w:t>
            </w:r>
            <w:r>
              <w:rPr>
                <w:rFonts w:ascii="宋体" w:hAnsi="宋体" w:eastAsia="宋体" w:cs="宋体"/>
                <w:sz w:val="20"/>
                <w:szCs w:val="20"/>
              </w:rPr>
              <w:t>费</w:t>
            </w:r>
          </w:p>
        </w:tc>
        <w:tc>
          <w:tcPr>
            <w:tcW w:w="5427" w:type="dxa"/>
            <w:tcBorders>
              <w:bottom w:val="single" w:color="000000" w:sz="4" w:space="0"/>
              <w:right w:val="single" w:color="000000" w:sz="4" w:space="0"/>
            </w:tcBorders>
            <w:vAlign w:val="top"/>
          </w:tcPr>
          <w:p>
            <w:pPr>
              <w:spacing w:before="133" w:line="221" w:lineRule="auto"/>
              <w:ind w:left="131"/>
              <w:rPr>
                <w:rFonts w:ascii="宋体" w:hAnsi="宋体" w:eastAsia="宋体" w:cs="宋体"/>
                <w:sz w:val="20"/>
                <w:szCs w:val="20"/>
              </w:rPr>
            </w:pPr>
            <w:r>
              <w:rPr>
                <w:rFonts w:ascii="宋体" w:hAnsi="宋体" w:eastAsia="宋体" w:cs="宋体"/>
                <w:spacing w:val="-10"/>
                <w:sz w:val="20"/>
                <w:szCs w:val="20"/>
              </w:rPr>
              <w:t>作为调整相关费用的计算依据</w:t>
            </w:r>
          </w:p>
        </w:tc>
      </w:tr>
    </w:tbl>
    <w:p>
      <w:pPr>
        <w:rPr>
          <w:rFonts w:ascii="Arial"/>
          <w:sz w:val="21"/>
        </w:rPr>
      </w:pPr>
    </w:p>
    <w:p>
      <w:pPr>
        <w:rPr>
          <w:rFonts w:ascii="Arial" w:hAnsi="Arial" w:eastAsia="Arial" w:cs="Arial"/>
          <w:sz w:val="21"/>
          <w:szCs w:val="21"/>
        </w:rPr>
        <w:sectPr>
          <w:footerReference r:id="rId70" w:type="default"/>
          <w:pgSz w:w="11905" w:h="16840"/>
          <w:pgMar w:top="400" w:right="1260" w:bottom="1184" w:left="1416" w:header="0" w:footer="869" w:gutter="0"/>
        </w:sect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2"/>
        <w:spacing w:before="86" w:line="209" w:lineRule="auto"/>
        <w:ind w:left="424"/>
        <w:rPr>
          <w:sz w:val="20"/>
          <w:szCs w:val="20"/>
        </w:rPr>
      </w:pPr>
      <w:r>
        <w:rPr>
          <w:spacing w:val="7"/>
          <w:sz w:val="20"/>
          <w:szCs w:val="20"/>
        </w:rPr>
        <w:t>工程结算阶段计算程序说明：</w:t>
      </w:r>
    </w:p>
    <w:p>
      <w:pPr>
        <w:spacing w:before="106" w:line="277" w:lineRule="exact"/>
        <w:ind w:right="35"/>
        <w:jc w:val="right"/>
        <w:rPr>
          <w:rFonts w:ascii="宋体" w:hAnsi="宋体" w:eastAsia="宋体" w:cs="宋体"/>
          <w:sz w:val="20"/>
          <w:szCs w:val="20"/>
        </w:rPr>
      </w:pPr>
      <w:r>
        <w:rPr>
          <w:rFonts w:ascii="宋体" w:hAnsi="宋体" w:eastAsia="宋体" w:cs="宋体"/>
          <w:spacing w:val="10"/>
          <w:position w:val="1"/>
          <w:sz w:val="20"/>
          <w:szCs w:val="20"/>
        </w:rPr>
        <w:t>本计算程序适用于采用单价合同的建设项目。除合同另</w:t>
      </w:r>
      <w:r>
        <w:rPr>
          <w:rFonts w:ascii="宋体" w:hAnsi="宋体" w:eastAsia="宋体" w:cs="宋体"/>
          <w:spacing w:val="9"/>
          <w:position w:val="1"/>
          <w:sz w:val="20"/>
          <w:szCs w:val="20"/>
        </w:rPr>
        <w:t>有约定外，工程结算按以下原则处理：</w:t>
      </w:r>
    </w:p>
    <w:p>
      <w:pPr>
        <w:spacing w:before="124" w:line="276" w:lineRule="exact"/>
        <w:ind w:left="449"/>
        <w:rPr>
          <w:rFonts w:ascii="宋体" w:hAnsi="宋体" w:eastAsia="宋体" w:cs="宋体"/>
          <w:sz w:val="20"/>
          <w:szCs w:val="20"/>
        </w:rPr>
      </w:pPr>
      <w:r>
        <w:rPr>
          <w:rFonts w:ascii="宋体" w:hAnsi="宋体" w:eastAsia="宋体" w:cs="宋体"/>
          <w:spacing w:val="5"/>
          <w:position w:val="1"/>
          <w:sz w:val="20"/>
          <w:szCs w:val="20"/>
        </w:rPr>
        <w:t>1. 以价款调整取代暂列金额计入建设工程费用。</w:t>
      </w:r>
    </w:p>
    <w:p>
      <w:pPr>
        <w:spacing w:before="122" w:line="276" w:lineRule="exact"/>
        <w:ind w:left="432"/>
        <w:rPr>
          <w:rFonts w:ascii="宋体" w:hAnsi="宋体" w:eastAsia="宋体" w:cs="宋体"/>
          <w:sz w:val="20"/>
          <w:szCs w:val="20"/>
        </w:rPr>
      </w:pPr>
      <w:r>
        <w:rPr>
          <w:rFonts w:ascii="宋体" w:hAnsi="宋体" w:eastAsia="宋体" w:cs="宋体"/>
          <w:spacing w:val="7"/>
          <w:position w:val="1"/>
          <w:sz w:val="20"/>
          <w:szCs w:val="20"/>
        </w:rPr>
        <w:t>2. 因物价变化和材料暂估价引起的价差，不计取企业管理费、利润。</w:t>
      </w:r>
    </w:p>
    <w:p>
      <w:pPr>
        <w:spacing w:before="124" w:line="297" w:lineRule="auto"/>
        <w:ind w:right="2" w:firstLine="436"/>
        <w:rPr>
          <w:rFonts w:ascii="宋体" w:hAnsi="宋体" w:eastAsia="宋体" w:cs="宋体"/>
          <w:sz w:val="20"/>
          <w:szCs w:val="20"/>
        </w:rPr>
      </w:pPr>
      <w:r>
        <w:rPr>
          <w:rFonts w:ascii="宋体" w:hAnsi="宋体" w:eastAsia="宋体" w:cs="宋体"/>
          <w:spacing w:val="10"/>
          <w:sz w:val="20"/>
          <w:szCs w:val="20"/>
        </w:rPr>
        <w:t>3. 按总价计价的分部分项清单项目和措施项目（除</w:t>
      </w:r>
      <w:r>
        <w:rPr>
          <w:rFonts w:ascii="宋体" w:hAnsi="宋体" w:eastAsia="宋体" w:cs="宋体"/>
          <w:spacing w:val="9"/>
          <w:sz w:val="20"/>
          <w:szCs w:val="20"/>
        </w:rPr>
        <w:t>安全文明措施费外</w:t>
      </w:r>
      <w:r>
        <w:rPr>
          <w:rFonts w:ascii="宋体" w:hAnsi="宋体" w:eastAsia="宋体" w:cs="宋体"/>
          <w:spacing w:val="-11"/>
          <w:sz w:val="20"/>
          <w:szCs w:val="20"/>
        </w:rPr>
        <w:t>）</w:t>
      </w:r>
      <w:r>
        <w:rPr>
          <w:rFonts w:ascii="宋体" w:hAnsi="宋体" w:eastAsia="宋体" w:cs="宋体"/>
          <w:spacing w:val="58"/>
          <w:sz w:val="20"/>
          <w:szCs w:val="20"/>
        </w:rPr>
        <w:t xml:space="preserve"> </w:t>
      </w:r>
      <w:r>
        <w:rPr>
          <w:rFonts w:ascii="宋体" w:hAnsi="宋体" w:eastAsia="宋体" w:cs="宋体"/>
          <w:spacing w:val="-11"/>
          <w:sz w:val="20"/>
          <w:szCs w:val="20"/>
        </w:rPr>
        <w:t>，</w:t>
      </w:r>
      <w:r>
        <w:rPr>
          <w:rFonts w:ascii="宋体" w:hAnsi="宋体" w:eastAsia="宋体" w:cs="宋体"/>
          <w:spacing w:val="9"/>
          <w:sz w:val="20"/>
          <w:szCs w:val="20"/>
        </w:rPr>
        <w:t>其费用不因物价变</w:t>
      </w:r>
      <w:r>
        <w:rPr>
          <w:rFonts w:ascii="宋体" w:hAnsi="宋体" w:eastAsia="宋体" w:cs="宋体"/>
          <w:spacing w:val="6"/>
          <w:sz w:val="20"/>
          <w:szCs w:val="20"/>
        </w:rPr>
        <w:t>化而调整。</w:t>
      </w:r>
    </w:p>
    <w:p>
      <w:pPr>
        <w:spacing w:before="155" w:line="314" w:lineRule="auto"/>
        <w:ind w:right="1" w:firstLine="428"/>
        <w:rPr>
          <w:rFonts w:ascii="宋体" w:hAnsi="宋体" w:eastAsia="宋体" w:cs="宋体"/>
          <w:sz w:val="20"/>
          <w:szCs w:val="20"/>
        </w:rPr>
      </w:pPr>
      <w:r>
        <w:rPr>
          <w:rFonts w:ascii="宋体" w:hAnsi="宋体" w:eastAsia="宋体" w:cs="宋体"/>
          <w:spacing w:val="8"/>
          <w:sz w:val="20"/>
          <w:szCs w:val="20"/>
        </w:rPr>
        <w:t>4. 措施项目（除安全文明措施费外）包干计价。措施项</w:t>
      </w:r>
      <w:r>
        <w:rPr>
          <w:rFonts w:ascii="宋体" w:hAnsi="宋体" w:eastAsia="宋体" w:cs="宋体"/>
          <w:spacing w:val="7"/>
          <w:sz w:val="20"/>
          <w:szCs w:val="20"/>
        </w:rPr>
        <w:t>目除因工程变更、工期实质性延长（缩</w:t>
      </w:r>
      <w:r>
        <w:rPr>
          <w:rFonts w:ascii="宋体" w:hAnsi="宋体" w:eastAsia="宋体" w:cs="宋体"/>
          <w:spacing w:val="9"/>
          <w:sz w:val="20"/>
          <w:szCs w:val="20"/>
        </w:rPr>
        <w:t>短）引起措施费调整外，其他情形不作调整。</w:t>
      </w:r>
    </w:p>
    <w:p>
      <w:pPr>
        <w:spacing w:before="122" w:line="276" w:lineRule="exact"/>
        <w:ind w:left="432"/>
        <w:rPr>
          <w:rFonts w:ascii="宋体" w:hAnsi="宋体" w:eastAsia="宋体" w:cs="宋体"/>
          <w:sz w:val="20"/>
          <w:szCs w:val="20"/>
        </w:rPr>
      </w:pPr>
      <w:r>
        <w:rPr>
          <w:rFonts w:ascii="宋体" w:hAnsi="宋体" w:eastAsia="宋体" w:cs="宋体"/>
          <w:spacing w:val="7"/>
          <w:position w:val="1"/>
          <w:sz w:val="20"/>
          <w:szCs w:val="20"/>
        </w:rPr>
        <w:t>5. 采用费率计价的安全文明措施费，根据计费基础变化情况重新计算。</w:t>
      </w:r>
    </w:p>
    <w:p>
      <w:pPr>
        <w:spacing w:before="122" w:line="278" w:lineRule="exact"/>
        <w:ind w:left="433"/>
        <w:rPr>
          <w:rFonts w:ascii="宋体" w:hAnsi="宋体" w:eastAsia="宋体" w:cs="宋体"/>
          <w:sz w:val="20"/>
          <w:szCs w:val="20"/>
        </w:rPr>
      </w:pPr>
      <w:r>
        <w:rPr>
          <w:rFonts w:ascii="宋体" w:hAnsi="宋体" w:eastAsia="宋体" w:cs="宋体"/>
          <w:spacing w:val="5"/>
          <w:position w:val="1"/>
          <w:sz w:val="20"/>
          <w:szCs w:val="20"/>
        </w:rPr>
        <w:t>6. 建设项目工伤保险按缴费凭据按实结算。</w:t>
      </w:r>
    </w:p>
    <w:p>
      <w:pPr>
        <w:spacing w:before="123" w:line="276" w:lineRule="exact"/>
        <w:ind w:left="431"/>
        <w:rPr>
          <w:rFonts w:ascii="宋体" w:hAnsi="宋体" w:eastAsia="宋体" w:cs="宋体"/>
          <w:sz w:val="20"/>
          <w:szCs w:val="20"/>
        </w:rPr>
      </w:pPr>
      <w:r>
        <w:rPr>
          <w:rFonts w:ascii="宋体" w:hAnsi="宋体" w:eastAsia="宋体" w:cs="宋体"/>
          <w:spacing w:val="6"/>
          <w:position w:val="1"/>
          <w:sz w:val="20"/>
          <w:szCs w:val="20"/>
        </w:rPr>
        <w:t>7. 采用总价合同的工程按国家清单计价标准规定结算。</w:t>
      </w:r>
    </w:p>
    <w:p>
      <w:pPr>
        <w:spacing w:line="276" w:lineRule="exact"/>
        <w:rPr>
          <w:rFonts w:ascii="宋体" w:hAnsi="宋体" w:eastAsia="宋体" w:cs="宋体"/>
          <w:sz w:val="20"/>
          <w:szCs w:val="20"/>
        </w:rPr>
        <w:sectPr>
          <w:footerReference r:id="rId71" w:type="default"/>
          <w:pgSz w:w="11905" w:h="16840"/>
          <w:pgMar w:top="400" w:right="1419" w:bottom="1213" w:left="1425" w:header="0" w:footer="898" w:gutter="0"/>
        </w:sect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97" w:line="215" w:lineRule="auto"/>
        <w:ind w:left="2731"/>
        <w:outlineLvl w:val="1"/>
        <w:rPr>
          <w:rFonts w:ascii="宋体" w:hAnsi="宋体" w:eastAsia="宋体" w:cs="宋体"/>
          <w:sz w:val="30"/>
          <w:szCs w:val="30"/>
        </w:rPr>
      </w:pPr>
      <w:bookmarkStart w:id="40" w:name="bookmark29"/>
      <w:bookmarkEnd w:id="40"/>
      <w:bookmarkStart w:id="41" w:name="bookmark28"/>
      <w:bookmarkEnd w:id="41"/>
      <w:r>
        <w:rPr>
          <w:rFonts w:ascii="宋体" w:hAnsi="宋体" w:eastAsia="宋体" w:cs="宋体"/>
          <w:b/>
          <w:bCs/>
          <w:spacing w:val="-3"/>
          <w:sz w:val="30"/>
          <w:szCs w:val="30"/>
        </w:rPr>
        <w:t>第四节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建设工程费用费率</w:t>
      </w:r>
    </w:p>
    <w:p>
      <w:pPr>
        <w:spacing w:line="268" w:lineRule="auto"/>
        <w:rPr>
          <w:rFonts w:ascii="Arial"/>
          <w:sz w:val="21"/>
        </w:rPr>
      </w:pPr>
    </w:p>
    <w:p>
      <w:pPr>
        <w:spacing w:line="268" w:lineRule="auto"/>
        <w:rPr>
          <w:rFonts w:ascii="Arial"/>
          <w:sz w:val="21"/>
        </w:rPr>
      </w:pPr>
    </w:p>
    <w:p>
      <w:pPr>
        <w:spacing w:before="65" w:line="321" w:lineRule="auto"/>
        <w:ind w:left="3" w:right="55" w:firstLine="467"/>
        <w:jc w:val="both"/>
        <w:rPr>
          <w:rFonts w:ascii="宋体" w:hAnsi="宋体" w:eastAsia="宋体" w:cs="宋体"/>
          <w:sz w:val="20"/>
          <w:szCs w:val="20"/>
        </w:rPr>
      </w:pPr>
      <w:r>
        <w:rPr>
          <w:rFonts w:ascii="宋体" w:hAnsi="宋体" w:eastAsia="宋体" w:cs="宋体"/>
          <w:spacing w:val="20"/>
          <w:sz w:val="20"/>
          <w:szCs w:val="20"/>
        </w:rPr>
        <w:t>企业管理费</w:t>
      </w:r>
      <w:r>
        <w:rPr>
          <w:rFonts w:ascii="宋体" w:hAnsi="宋体" w:eastAsia="宋体" w:cs="宋体"/>
          <w:spacing w:val="-34"/>
          <w:sz w:val="20"/>
          <w:szCs w:val="20"/>
        </w:rPr>
        <w:t xml:space="preserve"> </w:t>
      </w:r>
      <w:r>
        <w:rPr>
          <w:rFonts w:ascii="宋体" w:hAnsi="宋体" w:eastAsia="宋体" w:cs="宋体"/>
          <w:spacing w:val="20"/>
          <w:sz w:val="20"/>
          <w:szCs w:val="20"/>
        </w:rPr>
        <w:t>、利润</w:t>
      </w:r>
      <w:r>
        <w:rPr>
          <w:rFonts w:ascii="宋体" w:hAnsi="宋体" w:eastAsia="宋体" w:cs="宋体"/>
          <w:spacing w:val="-51"/>
          <w:sz w:val="20"/>
          <w:szCs w:val="20"/>
        </w:rPr>
        <w:t xml:space="preserve"> </w:t>
      </w:r>
      <w:r>
        <w:rPr>
          <w:rFonts w:ascii="宋体" w:hAnsi="宋体" w:eastAsia="宋体" w:cs="宋体"/>
          <w:spacing w:val="20"/>
          <w:sz w:val="20"/>
          <w:szCs w:val="20"/>
        </w:rPr>
        <w:t>、措施费（</w:t>
      </w:r>
      <w:r>
        <w:rPr>
          <w:rFonts w:ascii="宋体" w:hAnsi="宋体" w:eastAsia="宋体" w:cs="宋体"/>
          <w:spacing w:val="-12"/>
          <w:sz w:val="20"/>
          <w:szCs w:val="20"/>
        </w:rPr>
        <w:t xml:space="preserve"> </w:t>
      </w:r>
      <w:r>
        <w:rPr>
          <w:rFonts w:ascii="宋体" w:hAnsi="宋体" w:eastAsia="宋体" w:cs="宋体"/>
          <w:spacing w:val="20"/>
          <w:sz w:val="20"/>
          <w:szCs w:val="20"/>
        </w:rPr>
        <w:t>通用</w:t>
      </w:r>
      <w:r>
        <w:rPr>
          <w:rFonts w:ascii="宋体" w:hAnsi="宋体" w:eastAsia="宋体" w:cs="宋体"/>
          <w:spacing w:val="-51"/>
          <w:sz w:val="20"/>
          <w:szCs w:val="20"/>
        </w:rPr>
        <w:t xml:space="preserve"> </w:t>
      </w:r>
      <w:r>
        <w:rPr>
          <w:rFonts w:ascii="宋体" w:hAnsi="宋体" w:eastAsia="宋体" w:cs="宋体"/>
          <w:spacing w:val="20"/>
          <w:sz w:val="20"/>
          <w:szCs w:val="20"/>
        </w:rPr>
        <w:t>、专业</w:t>
      </w:r>
      <w:r>
        <w:rPr>
          <w:rFonts w:ascii="宋体" w:hAnsi="宋体" w:eastAsia="宋体" w:cs="宋体"/>
          <w:spacing w:val="-45"/>
          <w:sz w:val="20"/>
          <w:szCs w:val="20"/>
        </w:rPr>
        <w:t xml:space="preserve"> </w:t>
      </w:r>
      <w:r>
        <w:rPr>
          <w:rFonts w:ascii="宋体" w:hAnsi="宋体" w:eastAsia="宋体" w:cs="宋体"/>
          <w:spacing w:val="20"/>
          <w:sz w:val="20"/>
          <w:szCs w:val="20"/>
        </w:rPr>
        <w:t>）、总承包服务费等费用项</w:t>
      </w:r>
      <w:r>
        <w:rPr>
          <w:rFonts w:ascii="宋体" w:hAnsi="宋体" w:eastAsia="宋体" w:cs="宋体"/>
          <w:spacing w:val="-30"/>
          <w:sz w:val="20"/>
          <w:szCs w:val="20"/>
        </w:rPr>
        <w:t xml:space="preserve"> </w:t>
      </w:r>
      <w:r>
        <w:rPr>
          <w:rFonts w:ascii="宋体" w:hAnsi="宋体" w:eastAsia="宋体" w:cs="宋体"/>
          <w:spacing w:val="20"/>
          <w:sz w:val="20"/>
          <w:szCs w:val="20"/>
        </w:rPr>
        <w:t>目</w:t>
      </w:r>
      <w:r>
        <w:rPr>
          <w:rFonts w:ascii="宋体" w:hAnsi="宋体" w:eastAsia="宋体" w:cs="宋体"/>
          <w:spacing w:val="-40"/>
          <w:sz w:val="20"/>
          <w:szCs w:val="20"/>
        </w:rPr>
        <w:t xml:space="preserve"> </w:t>
      </w:r>
      <w:r>
        <w:rPr>
          <w:rFonts w:ascii="宋体" w:hAnsi="宋体" w:eastAsia="宋体" w:cs="宋体"/>
          <w:spacing w:val="20"/>
          <w:sz w:val="20"/>
          <w:szCs w:val="20"/>
        </w:rPr>
        <w:t>，在编制最高</w:t>
      </w:r>
      <w:r>
        <w:rPr>
          <w:rFonts w:ascii="宋体" w:hAnsi="宋体" w:eastAsia="宋体" w:cs="宋体"/>
          <w:spacing w:val="27"/>
          <w:sz w:val="20"/>
          <w:szCs w:val="20"/>
        </w:rPr>
        <w:t>投标限价</w:t>
      </w:r>
      <w:r>
        <w:rPr>
          <w:rFonts w:ascii="宋体" w:hAnsi="宋体" w:eastAsia="宋体" w:cs="宋体"/>
          <w:spacing w:val="-51"/>
          <w:sz w:val="20"/>
          <w:szCs w:val="20"/>
        </w:rPr>
        <w:t xml:space="preserve"> </w:t>
      </w:r>
      <w:r>
        <w:rPr>
          <w:rFonts w:ascii="宋体" w:hAnsi="宋体" w:eastAsia="宋体" w:cs="宋体"/>
          <w:spacing w:val="27"/>
          <w:sz w:val="20"/>
          <w:szCs w:val="20"/>
        </w:rPr>
        <w:t>、投标报价</w:t>
      </w:r>
      <w:r>
        <w:rPr>
          <w:rFonts w:ascii="宋体" w:hAnsi="宋体" w:eastAsia="宋体" w:cs="宋体"/>
          <w:spacing w:val="-60"/>
          <w:sz w:val="20"/>
          <w:szCs w:val="20"/>
        </w:rPr>
        <w:t xml:space="preserve"> </w:t>
      </w:r>
      <w:r>
        <w:rPr>
          <w:rFonts w:ascii="宋体" w:hAnsi="宋体" w:eastAsia="宋体" w:cs="宋体"/>
          <w:spacing w:val="27"/>
          <w:sz w:val="20"/>
          <w:szCs w:val="20"/>
        </w:rPr>
        <w:t>时</w:t>
      </w:r>
      <w:r>
        <w:rPr>
          <w:rFonts w:ascii="宋体" w:hAnsi="宋体" w:eastAsia="宋体" w:cs="宋体"/>
          <w:spacing w:val="-40"/>
          <w:sz w:val="20"/>
          <w:szCs w:val="20"/>
        </w:rPr>
        <w:t xml:space="preserve"> </w:t>
      </w:r>
      <w:r>
        <w:rPr>
          <w:rFonts w:ascii="宋体" w:hAnsi="宋体" w:eastAsia="宋体" w:cs="宋体"/>
          <w:spacing w:val="27"/>
          <w:sz w:val="20"/>
          <w:szCs w:val="20"/>
        </w:rPr>
        <w:t>，应根据发包工程特点和企业实际情况</w:t>
      </w:r>
      <w:r>
        <w:rPr>
          <w:rFonts w:ascii="宋体" w:hAnsi="宋体" w:eastAsia="宋体" w:cs="宋体"/>
          <w:spacing w:val="26"/>
          <w:sz w:val="20"/>
          <w:szCs w:val="20"/>
        </w:rPr>
        <w:t>确定计算方法</w:t>
      </w:r>
      <w:r>
        <w:rPr>
          <w:rFonts w:ascii="宋体" w:hAnsi="宋体" w:eastAsia="宋体" w:cs="宋体"/>
          <w:spacing w:val="-50"/>
          <w:sz w:val="20"/>
          <w:szCs w:val="20"/>
        </w:rPr>
        <w:t xml:space="preserve"> </w:t>
      </w:r>
      <w:r>
        <w:rPr>
          <w:rFonts w:ascii="宋体" w:hAnsi="宋体" w:eastAsia="宋体" w:cs="宋体"/>
          <w:spacing w:val="26"/>
          <w:sz w:val="20"/>
          <w:szCs w:val="20"/>
        </w:rPr>
        <w:t>。本节所列费</w:t>
      </w:r>
      <w:r>
        <w:rPr>
          <w:rFonts w:ascii="宋体" w:hAnsi="宋体" w:eastAsia="宋体" w:cs="宋体"/>
          <w:spacing w:val="28"/>
          <w:sz w:val="20"/>
          <w:szCs w:val="20"/>
        </w:rPr>
        <w:t>率仅供参考。安全文明措施费应按照规定</w:t>
      </w:r>
      <w:r>
        <w:rPr>
          <w:rFonts w:ascii="宋体" w:hAnsi="宋体" w:eastAsia="宋体" w:cs="宋体"/>
          <w:spacing w:val="-53"/>
          <w:sz w:val="20"/>
          <w:szCs w:val="20"/>
        </w:rPr>
        <w:t xml:space="preserve"> </w:t>
      </w:r>
      <w:r>
        <w:rPr>
          <w:rFonts w:ascii="宋体" w:hAnsi="宋体" w:eastAsia="宋体" w:cs="宋体"/>
          <w:spacing w:val="28"/>
          <w:sz w:val="20"/>
          <w:szCs w:val="20"/>
        </w:rPr>
        <w:t>的</w:t>
      </w:r>
      <w:r>
        <w:rPr>
          <w:rFonts w:ascii="宋体" w:hAnsi="宋体" w:eastAsia="宋体" w:cs="宋体"/>
          <w:spacing w:val="27"/>
          <w:sz w:val="20"/>
          <w:szCs w:val="20"/>
        </w:rPr>
        <w:t>方法计算</w:t>
      </w:r>
      <w:r>
        <w:rPr>
          <w:rFonts w:ascii="宋体" w:hAnsi="宋体" w:eastAsia="宋体" w:cs="宋体"/>
          <w:spacing w:val="-40"/>
          <w:sz w:val="20"/>
          <w:szCs w:val="20"/>
        </w:rPr>
        <w:t xml:space="preserve"> </w:t>
      </w:r>
      <w:r>
        <w:rPr>
          <w:rFonts w:ascii="宋体" w:hAnsi="宋体" w:eastAsia="宋体" w:cs="宋体"/>
          <w:spacing w:val="27"/>
          <w:sz w:val="20"/>
          <w:szCs w:val="20"/>
        </w:rPr>
        <w:t>，费率应不低于本节规定</w:t>
      </w:r>
      <w:r>
        <w:rPr>
          <w:rFonts w:ascii="宋体" w:hAnsi="宋体" w:eastAsia="宋体" w:cs="宋体"/>
          <w:spacing w:val="-53"/>
          <w:sz w:val="20"/>
          <w:szCs w:val="20"/>
        </w:rPr>
        <w:t xml:space="preserve"> </w:t>
      </w:r>
      <w:r>
        <w:rPr>
          <w:rFonts w:ascii="宋体" w:hAnsi="宋体" w:eastAsia="宋体" w:cs="宋体"/>
          <w:spacing w:val="27"/>
          <w:sz w:val="20"/>
          <w:szCs w:val="20"/>
        </w:rPr>
        <w:t>的费率。</w:t>
      </w:r>
    </w:p>
    <w:p>
      <w:pPr>
        <w:spacing w:line="292" w:lineRule="auto"/>
        <w:rPr>
          <w:rFonts w:ascii="Arial"/>
          <w:sz w:val="21"/>
        </w:rPr>
      </w:pPr>
    </w:p>
    <w:p>
      <w:pPr>
        <w:spacing w:line="293" w:lineRule="auto"/>
        <w:rPr>
          <w:rFonts w:ascii="Arial"/>
          <w:sz w:val="21"/>
        </w:rPr>
      </w:pPr>
    </w:p>
    <w:p>
      <w:pPr>
        <w:pStyle w:val="2"/>
        <w:spacing w:before="103" w:line="201" w:lineRule="auto"/>
        <w:ind w:left="482"/>
        <w:rPr>
          <w:sz w:val="24"/>
          <w:szCs w:val="24"/>
        </w:rPr>
      </w:pPr>
      <w:r>
        <w:rPr>
          <w:spacing w:val="-7"/>
          <w:sz w:val="24"/>
          <w:szCs w:val="24"/>
        </w:rPr>
        <w:t>一、措施项目费</w:t>
      </w:r>
    </w:p>
    <w:p>
      <w:pPr>
        <w:spacing w:before="144" w:line="214" w:lineRule="auto"/>
        <w:ind w:left="417"/>
        <w:rPr>
          <w:rFonts w:ascii="KaiTi_GB2312" w:hAnsi="KaiTi_GB2312" w:eastAsia="KaiTi_GB2312" w:cs="KaiTi_GB2312"/>
          <w:sz w:val="24"/>
          <w:szCs w:val="24"/>
        </w:rPr>
      </w:pPr>
      <w:r>
        <w:rPr>
          <w:rFonts w:ascii="KaiTi_GB2312" w:hAnsi="KaiTi_GB2312" w:eastAsia="KaiTi_GB2312" w:cs="KaiTi_GB2312"/>
          <w:spacing w:val="12"/>
          <w:sz w:val="24"/>
          <w:szCs w:val="24"/>
        </w:rPr>
        <w:t>（一）建筑、装饰、安装、</w:t>
      </w:r>
      <w:r>
        <w:rPr>
          <w:rFonts w:ascii="KaiTi_GB2312" w:hAnsi="KaiTi_GB2312" w:eastAsia="KaiTi_GB2312" w:cs="KaiTi_GB2312"/>
          <w:spacing w:val="-36"/>
          <w:sz w:val="24"/>
          <w:szCs w:val="24"/>
        </w:rPr>
        <w:t xml:space="preserve"> </w:t>
      </w:r>
      <w:r>
        <w:rPr>
          <w:rFonts w:ascii="KaiTi_GB2312" w:hAnsi="KaiTi_GB2312" w:eastAsia="KaiTi_GB2312" w:cs="KaiTi_GB2312"/>
          <w:spacing w:val="12"/>
          <w:sz w:val="24"/>
          <w:szCs w:val="24"/>
        </w:rPr>
        <w:t>园林绿化、房屋修缮、古</w:t>
      </w:r>
      <w:r>
        <w:rPr>
          <w:rFonts w:ascii="KaiTi_GB2312" w:hAnsi="KaiTi_GB2312" w:eastAsia="KaiTi_GB2312" w:cs="KaiTi_GB2312"/>
          <w:spacing w:val="11"/>
          <w:sz w:val="24"/>
          <w:szCs w:val="24"/>
        </w:rPr>
        <w:t>建筑修缮、仿古建筑工程</w:t>
      </w:r>
    </w:p>
    <w:p>
      <w:pPr>
        <w:spacing w:line="378" w:lineRule="auto"/>
        <w:rPr>
          <w:rFonts w:ascii="Arial"/>
          <w:sz w:val="21"/>
        </w:rPr>
      </w:pPr>
    </w:p>
    <w:p>
      <w:pPr>
        <w:spacing w:before="65" w:line="279" w:lineRule="exact"/>
        <w:ind w:left="453"/>
        <w:rPr>
          <w:rFonts w:ascii="宋体" w:hAnsi="宋体" w:eastAsia="宋体" w:cs="宋体"/>
          <w:sz w:val="20"/>
          <w:szCs w:val="20"/>
        </w:rPr>
      </w:pPr>
      <w:r>
        <w:rPr>
          <w:rFonts w:ascii="宋体" w:hAnsi="宋体" w:eastAsia="宋体" w:cs="宋体"/>
          <w:spacing w:val="14"/>
          <w:position w:val="1"/>
          <w:sz w:val="20"/>
          <w:szCs w:val="20"/>
        </w:rPr>
        <w:t>1.一般计税法（单位：</w:t>
      </w:r>
      <w:r>
        <w:rPr>
          <w:rFonts w:ascii="宋体" w:hAnsi="宋体" w:eastAsia="宋体" w:cs="宋体"/>
          <w:spacing w:val="-46"/>
          <w:position w:val="1"/>
          <w:sz w:val="20"/>
          <w:szCs w:val="20"/>
        </w:rPr>
        <w:t xml:space="preserve"> </w:t>
      </w:r>
      <w:r>
        <w:rPr>
          <w:rFonts w:ascii="宋体" w:hAnsi="宋体" w:eastAsia="宋体" w:cs="宋体"/>
          <w:spacing w:val="14"/>
          <w:position w:val="1"/>
          <w:sz w:val="20"/>
          <w:szCs w:val="20"/>
        </w:rPr>
        <w:t>%）</w:t>
      </w:r>
    </w:p>
    <w:p>
      <w:pPr>
        <w:spacing w:line="73" w:lineRule="auto"/>
        <w:rPr>
          <w:rFonts w:ascii="Arial"/>
          <w:sz w:val="2"/>
        </w:rPr>
      </w:pPr>
    </w:p>
    <w:tbl>
      <w:tblPr>
        <w:tblStyle w:val="5"/>
        <w:tblW w:w="9095"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1661"/>
        <w:gridCol w:w="1276"/>
        <w:gridCol w:w="1277"/>
        <w:gridCol w:w="1277"/>
        <w:gridCol w:w="1279"/>
        <w:gridCol w:w="14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13" w:hRule="atLeast"/>
        </w:trPr>
        <w:tc>
          <w:tcPr>
            <w:tcW w:w="2568" w:type="dxa"/>
            <w:gridSpan w:val="2"/>
            <w:tcBorders>
              <w:top w:val="single" w:color="000000" w:sz="4" w:space="0"/>
              <w:left w:val="single" w:color="000000" w:sz="4" w:space="0"/>
              <w:tl2br w:val="single" w:color="000000" w:sz="2" w:space="0"/>
            </w:tcBorders>
            <w:vAlign w:val="top"/>
          </w:tcPr>
          <w:p>
            <w:pPr>
              <w:spacing w:before="121" w:line="247" w:lineRule="auto"/>
              <w:ind w:left="124" w:right="372" w:firstLine="1356"/>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276" w:type="dxa"/>
            <w:tcBorders>
              <w:top w:val="single" w:color="000000" w:sz="4" w:space="0"/>
            </w:tcBorders>
            <w:vAlign w:val="top"/>
          </w:tcPr>
          <w:p>
            <w:pPr>
              <w:spacing w:before="129" w:line="243" w:lineRule="auto"/>
              <w:ind w:left="373" w:right="273"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277" w:type="dxa"/>
            <w:tcBorders>
              <w:top w:val="single" w:color="000000" w:sz="4" w:space="0"/>
            </w:tcBorders>
            <w:vAlign w:val="top"/>
          </w:tcPr>
          <w:p>
            <w:pPr>
              <w:spacing w:before="97" w:line="259" w:lineRule="auto"/>
              <w:ind w:left="323" w:right="427" w:firstLine="7"/>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8"/>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277" w:type="dxa"/>
            <w:tcBorders>
              <w:top w:val="single" w:color="000000" w:sz="4" w:space="0"/>
            </w:tcBorders>
            <w:vAlign w:val="top"/>
          </w:tcPr>
          <w:p>
            <w:pPr>
              <w:spacing w:before="128" w:line="223" w:lineRule="auto"/>
              <w:ind w:left="298"/>
              <w:rPr>
                <w:rFonts w:ascii="黑体" w:hAnsi="黑体" w:eastAsia="黑体" w:cs="黑体"/>
                <w:sz w:val="18"/>
                <w:szCs w:val="18"/>
              </w:rPr>
            </w:pPr>
            <w:r>
              <w:rPr>
                <w:rFonts w:ascii="黑体" w:hAnsi="黑体" w:eastAsia="黑体" w:cs="黑体"/>
                <w:spacing w:val="-3"/>
                <w:sz w:val="18"/>
                <w:szCs w:val="18"/>
              </w:rPr>
              <w:t>冬雨季施</w:t>
            </w:r>
          </w:p>
          <w:p>
            <w:pPr>
              <w:spacing w:before="17" w:line="223" w:lineRule="auto"/>
              <w:ind w:left="295"/>
              <w:rPr>
                <w:rFonts w:ascii="黑体" w:hAnsi="黑体" w:eastAsia="黑体" w:cs="黑体"/>
                <w:sz w:val="18"/>
                <w:szCs w:val="18"/>
              </w:rPr>
            </w:pPr>
            <w:r>
              <w:rPr>
                <w:rFonts w:ascii="黑体" w:hAnsi="黑体" w:eastAsia="黑体" w:cs="黑体"/>
                <w:spacing w:val="-5"/>
                <w:sz w:val="18"/>
                <w:szCs w:val="18"/>
              </w:rPr>
              <w:t>工增加费</w:t>
            </w:r>
          </w:p>
        </w:tc>
        <w:tc>
          <w:tcPr>
            <w:tcW w:w="1279" w:type="dxa"/>
            <w:tcBorders>
              <w:top w:val="single" w:color="000000" w:sz="4" w:space="0"/>
            </w:tcBorders>
            <w:vAlign w:val="top"/>
          </w:tcPr>
          <w:p>
            <w:pPr>
              <w:spacing w:before="128" w:line="221" w:lineRule="auto"/>
              <w:ind w:left="236"/>
              <w:rPr>
                <w:rFonts w:ascii="黑体" w:hAnsi="黑体" w:eastAsia="黑体" w:cs="黑体"/>
                <w:sz w:val="18"/>
                <w:szCs w:val="18"/>
              </w:rPr>
            </w:pPr>
            <w:r>
              <w:rPr>
                <w:rFonts w:ascii="黑体" w:hAnsi="黑体" w:eastAsia="黑体" w:cs="黑体"/>
                <w:spacing w:val="-6"/>
                <w:sz w:val="18"/>
                <w:szCs w:val="18"/>
              </w:rPr>
              <w:t>已完工程及</w:t>
            </w:r>
          </w:p>
          <w:p>
            <w:pPr>
              <w:spacing w:before="19" w:line="222" w:lineRule="auto"/>
              <w:ind w:left="208"/>
              <w:rPr>
                <w:rFonts w:ascii="黑体" w:hAnsi="黑体" w:eastAsia="黑体" w:cs="黑体"/>
                <w:sz w:val="18"/>
                <w:szCs w:val="18"/>
              </w:rPr>
            </w:pPr>
            <w:r>
              <w:rPr>
                <w:rFonts w:ascii="黑体" w:hAnsi="黑体" w:eastAsia="黑体" w:cs="黑体"/>
                <w:spacing w:val="-4"/>
                <w:sz w:val="18"/>
                <w:szCs w:val="18"/>
              </w:rPr>
              <w:t>设备保护费</w:t>
            </w:r>
          </w:p>
        </w:tc>
        <w:tc>
          <w:tcPr>
            <w:tcW w:w="1418" w:type="dxa"/>
            <w:tcBorders>
              <w:top w:val="single" w:color="000000" w:sz="4" w:space="0"/>
              <w:right w:val="single" w:color="000000" w:sz="4" w:space="0"/>
            </w:tcBorders>
            <w:vAlign w:val="top"/>
          </w:tcPr>
          <w:p>
            <w:pPr>
              <w:spacing w:before="128" w:line="243" w:lineRule="auto"/>
              <w:ind w:left="180" w:right="79" w:hanging="34"/>
              <w:rPr>
                <w:rFonts w:ascii="黑体" w:hAnsi="黑体" w:eastAsia="黑体" w:cs="黑体"/>
                <w:sz w:val="18"/>
                <w:szCs w:val="18"/>
              </w:rPr>
            </w:pPr>
            <w:r>
              <w:rPr>
                <w:rFonts w:ascii="黑体" w:hAnsi="黑体" w:eastAsia="黑体" w:cs="黑体"/>
                <w:spacing w:val="-11"/>
                <w:sz w:val="18"/>
                <w:szCs w:val="18"/>
              </w:rPr>
              <w:t>既有建（构）筑</w:t>
            </w:r>
            <w:r>
              <w:rPr>
                <w:rFonts w:ascii="黑体" w:hAnsi="黑体" w:eastAsia="黑体" w:cs="黑体"/>
                <w:spacing w:val="-4"/>
                <w:sz w:val="18"/>
                <w:szCs w:val="18"/>
              </w:rPr>
              <w:t>物及设施保护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568" w:type="dxa"/>
            <w:gridSpan w:val="2"/>
            <w:tcBorders>
              <w:left w:val="single" w:color="000000" w:sz="4" w:space="0"/>
            </w:tcBorders>
            <w:vAlign w:val="top"/>
          </w:tcPr>
          <w:p>
            <w:pPr>
              <w:spacing w:before="151" w:line="215" w:lineRule="auto"/>
              <w:ind w:left="928"/>
              <w:rPr>
                <w:rFonts w:ascii="宋体" w:hAnsi="宋体" w:eastAsia="宋体" w:cs="宋体"/>
                <w:sz w:val="18"/>
                <w:szCs w:val="18"/>
              </w:rPr>
            </w:pPr>
            <w:r>
              <w:rPr>
                <w:rFonts w:ascii="宋体" w:hAnsi="宋体" w:eastAsia="宋体" w:cs="宋体"/>
                <w:spacing w:val="-4"/>
                <w:sz w:val="18"/>
                <w:szCs w:val="18"/>
              </w:rPr>
              <w:t>建筑工程</w:t>
            </w:r>
          </w:p>
        </w:tc>
        <w:tc>
          <w:tcPr>
            <w:tcW w:w="1276" w:type="dxa"/>
            <w:vAlign w:val="top"/>
          </w:tcPr>
          <w:p>
            <w:pPr>
              <w:spacing w:before="141" w:line="248" w:lineRule="exact"/>
              <w:ind w:left="464"/>
              <w:rPr>
                <w:rFonts w:ascii="宋体" w:hAnsi="宋体" w:eastAsia="宋体" w:cs="宋体"/>
                <w:sz w:val="18"/>
                <w:szCs w:val="18"/>
              </w:rPr>
            </w:pPr>
            <w:r>
              <w:rPr>
                <w:rFonts w:ascii="宋体" w:hAnsi="宋体" w:eastAsia="宋体" w:cs="宋体"/>
                <w:spacing w:val="-15"/>
                <w:position w:val="1"/>
                <w:sz w:val="18"/>
                <w:szCs w:val="18"/>
              </w:rPr>
              <w:t>2.62</w:t>
            </w:r>
          </w:p>
        </w:tc>
        <w:tc>
          <w:tcPr>
            <w:tcW w:w="1277" w:type="dxa"/>
            <w:vAlign w:val="top"/>
          </w:tcPr>
          <w:p>
            <w:pPr>
              <w:spacing w:before="141" w:line="248" w:lineRule="exact"/>
              <w:ind w:left="470"/>
              <w:rPr>
                <w:rFonts w:ascii="宋体" w:hAnsi="宋体" w:eastAsia="宋体" w:cs="宋体"/>
                <w:sz w:val="18"/>
                <w:szCs w:val="18"/>
              </w:rPr>
            </w:pPr>
            <w:r>
              <w:rPr>
                <w:rFonts w:ascii="宋体" w:hAnsi="宋体" w:eastAsia="宋体" w:cs="宋体"/>
                <w:spacing w:val="-15"/>
                <w:position w:val="1"/>
                <w:sz w:val="18"/>
                <w:szCs w:val="18"/>
              </w:rPr>
              <w:t>2.24</w:t>
            </w:r>
          </w:p>
        </w:tc>
        <w:tc>
          <w:tcPr>
            <w:tcW w:w="1277" w:type="dxa"/>
            <w:vAlign w:val="top"/>
          </w:tcPr>
          <w:p>
            <w:pPr>
              <w:spacing w:before="141" w:line="248" w:lineRule="exact"/>
              <w:ind w:left="472"/>
              <w:rPr>
                <w:rFonts w:ascii="宋体" w:hAnsi="宋体" w:eastAsia="宋体" w:cs="宋体"/>
                <w:sz w:val="18"/>
                <w:szCs w:val="18"/>
              </w:rPr>
            </w:pPr>
            <w:r>
              <w:rPr>
                <w:rFonts w:ascii="宋体" w:hAnsi="宋体" w:eastAsia="宋体" w:cs="宋体"/>
                <w:spacing w:val="-15"/>
                <w:position w:val="1"/>
                <w:sz w:val="18"/>
                <w:szCs w:val="18"/>
              </w:rPr>
              <w:t>2.99</w:t>
            </w:r>
          </w:p>
        </w:tc>
        <w:tc>
          <w:tcPr>
            <w:tcW w:w="1279" w:type="dxa"/>
            <w:vAlign w:val="top"/>
          </w:tcPr>
          <w:p>
            <w:pPr>
              <w:spacing w:before="141" w:line="248" w:lineRule="exact"/>
              <w:ind w:left="476"/>
              <w:rPr>
                <w:rFonts w:ascii="宋体" w:hAnsi="宋体" w:eastAsia="宋体" w:cs="宋体"/>
                <w:sz w:val="18"/>
                <w:szCs w:val="18"/>
              </w:rPr>
            </w:pPr>
            <w:r>
              <w:rPr>
                <w:rFonts w:ascii="宋体" w:hAnsi="宋体" w:eastAsia="宋体" w:cs="宋体"/>
                <w:spacing w:val="-14"/>
                <w:position w:val="1"/>
                <w:sz w:val="18"/>
                <w:szCs w:val="18"/>
              </w:rPr>
              <w:t>0.56</w:t>
            </w:r>
          </w:p>
        </w:tc>
        <w:tc>
          <w:tcPr>
            <w:tcW w:w="1418" w:type="dxa"/>
            <w:tcBorders>
              <w:right w:val="single" w:color="000000" w:sz="4" w:space="0"/>
            </w:tcBorders>
            <w:vAlign w:val="top"/>
          </w:tcPr>
          <w:p>
            <w:pPr>
              <w:spacing w:before="273" w:line="116"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57" w:line="211" w:lineRule="auto"/>
              <w:ind w:left="925"/>
              <w:rPr>
                <w:rFonts w:ascii="宋体" w:hAnsi="宋体" w:eastAsia="宋体" w:cs="宋体"/>
                <w:sz w:val="18"/>
                <w:szCs w:val="18"/>
              </w:rPr>
            </w:pPr>
            <w:r>
              <w:rPr>
                <w:rFonts w:ascii="宋体" w:hAnsi="宋体" w:eastAsia="宋体" w:cs="宋体"/>
                <w:spacing w:val="-3"/>
                <w:sz w:val="18"/>
                <w:szCs w:val="18"/>
              </w:rPr>
              <w:t>装饰工程</w:t>
            </w:r>
          </w:p>
        </w:tc>
        <w:tc>
          <w:tcPr>
            <w:tcW w:w="1276" w:type="dxa"/>
            <w:vAlign w:val="top"/>
          </w:tcPr>
          <w:p>
            <w:pPr>
              <w:spacing w:before="142" w:line="247" w:lineRule="exact"/>
              <w:ind w:left="469"/>
              <w:rPr>
                <w:rFonts w:ascii="宋体" w:hAnsi="宋体" w:eastAsia="宋体" w:cs="宋体"/>
                <w:sz w:val="18"/>
                <w:szCs w:val="18"/>
              </w:rPr>
            </w:pPr>
            <w:r>
              <w:rPr>
                <w:rFonts w:ascii="宋体" w:hAnsi="宋体" w:eastAsia="宋体" w:cs="宋体"/>
                <w:spacing w:val="-16"/>
                <w:position w:val="1"/>
                <w:sz w:val="18"/>
                <w:szCs w:val="18"/>
              </w:rPr>
              <w:t>3.77</w:t>
            </w:r>
          </w:p>
        </w:tc>
        <w:tc>
          <w:tcPr>
            <w:tcW w:w="1277" w:type="dxa"/>
            <w:vAlign w:val="top"/>
          </w:tcPr>
          <w:p>
            <w:pPr>
              <w:spacing w:before="142" w:line="247" w:lineRule="exact"/>
              <w:ind w:left="475"/>
              <w:rPr>
                <w:rFonts w:ascii="宋体" w:hAnsi="宋体" w:eastAsia="宋体" w:cs="宋体"/>
                <w:sz w:val="18"/>
                <w:szCs w:val="18"/>
              </w:rPr>
            </w:pPr>
            <w:r>
              <w:rPr>
                <w:rFonts w:ascii="宋体" w:hAnsi="宋体" w:eastAsia="宋体" w:cs="宋体"/>
                <w:spacing w:val="-16"/>
                <w:position w:val="1"/>
                <w:sz w:val="18"/>
                <w:szCs w:val="18"/>
              </w:rPr>
              <w:t>3.40</w:t>
            </w:r>
          </w:p>
        </w:tc>
        <w:tc>
          <w:tcPr>
            <w:tcW w:w="1277" w:type="dxa"/>
            <w:vAlign w:val="top"/>
          </w:tcPr>
          <w:p>
            <w:pPr>
              <w:spacing w:before="142" w:line="247" w:lineRule="exact"/>
              <w:ind w:left="467"/>
              <w:rPr>
                <w:rFonts w:ascii="宋体" w:hAnsi="宋体" w:eastAsia="宋体" w:cs="宋体"/>
                <w:sz w:val="18"/>
                <w:szCs w:val="18"/>
              </w:rPr>
            </w:pPr>
            <w:r>
              <w:rPr>
                <w:rFonts w:ascii="宋体" w:hAnsi="宋体" w:eastAsia="宋体" w:cs="宋体"/>
                <w:spacing w:val="-14"/>
                <w:position w:val="1"/>
                <w:sz w:val="18"/>
                <w:szCs w:val="18"/>
              </w:rPr>
              <w:t>4.25</w:t>
            </w:r>
          </w:p>
        </w:tc>
        <w:tc>
          <w:tcPr>
            <w:tcW w:w="1279" w:type="dxa"/>
            <w:vAlign w:val="top"/>
          </w:tcPr>
          <w:p>
            <w:pPr>
              <w:spacing w:before="142" w:line="247" w:lineRule="exact"/>
              <w:ind w:left="476"/>
              <w:rPr>
                <w:rFonts w:ascii="宋体" w:hAnsi="宋体" w:eastAsia="宋体" w:cs="宋体"/>
                <w:sz w:val="18"/>
                <w:szCs w:val="18"/>
              </w:rPr>
            </w:pPr>
            <w:r>
              <w:rPr>
                <w:rFonts w:ascii="宋体" w:hAnsi="宋体" w:eastAsia="宋体" w:cs="宋体"/>
                <w:spacing w:val="-14"/>
                <w:position w:val="1"/>
                <w:sz w:val="18"/>
                <w:szCs w:val="18"/>
              </w:rPr>
              <w:t>0.56</w:t>
            </w:r>
          </w:p>
        </w:tc>
        <w:tc>
          <w:tcPr>
            <w:tcW w:w="1418" w:type="dxa"/>
            <w:tcBorders>
              <w:right w:val="single" w:color="000000" w:sz="4" w:space="0"/>
            </w:tcBorders>
            <w:vAlign w:val="top"/>
          </w:tcPr>
          <w:p>
            <w:pPr>
              <w:spacing w:before="275" w:line="115"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58" w:line="211" w:lineRule="auto"/>
              <w:ind w:left="931"/>
              <w:rPr>
                <w:rFonts w:ascii="宋体" w:hAnsi="宋体" w:eastAsia="宋体" w:cs="宋体"/>
                <w:sz w:val="18"/>
                <w:szCs w:val="18"/>
              </w:rPr>
            </w:pPr>
            <w:r>
              <w:rPr>
                <w:rFonts w:ascii="宋体" w:hAnsi="宋体" w:eastAsia="宋体" w:cs="宋体"/>
                <w:spacing w:val="-5"/>
                <w:sz w:val="18"/>
                <w:szCs w:val="18"/>
              </w:rPr>
              <w:t>安装工程</w:t>
            </w:r>
          </w:p>
        </w:tc>
        <w:tc>
          <w:tcPr>
            <w:tcW w:w="1276" w:type="dxa"/>
            <w:vAlign w:val="top"/>
          </w:tcPr>
          <w:p>
            <w:pPr>
              <w:spacing w:before="145" w:line="245" w:lineRule="exact"/>
              <w:ind w:left="469"/>
              <w:rPr>
                <w:rFonts w:ascii="宋体" w:hAnsi="宋体" w:eastAsia="宋体" w:cs="宋体"/>
                <w:sz w:val="18"/>
                <w:szCs w:val="18"/>
              </w:rPr>
            </w:pPr>
            <w:r>
              <w:rPr>
                <w:rFonts w:ascii="宋体" w:hAnsi="宋体" w:eastAsia="宋体" w:cs="宋体"/>
                <w:spacing w:val="-16"/>
                <w:position w:val="1"/>
                <w:sz w:val="18"/>
                <w:szCs w:val="18"/>
              </w:rPr>
              <w:t>3.28</w:t>
            </w:r>
          </w:p>
        </w:tc>
        <w:tc>
          <w:tcPr>
            <w:tcW w:w="1277" w:type="dxa"/>
            <w:vAlign w:val="top"/>
          </w:tcPr>
          <w:p>
            <w:pPr>
              <w:spacing w:before="145" w:line="245" w:lineRule="exact"/>
              <w:ind w:left="470"/>
              <w:rPr>
                <w:rFonts w:ascii="宋体" w:hAnsi="宋体" w:eastAsia="宋体" w:cs="宋体"/>
                <w:sz w:val="18"/>
                <w:szCs w:val="18"/>
              </w:rPr>
            </w:pPr>
            <w:r>
              <w:rPr>
                <w:rFonts w:ascii="宋体" w:hAnsi="宋体" w:eastAsia="宋体" w:cs="宋体"/>
                <w:spacing w:val="-15"/>
                <w:position w:val="1"/>
                <w:sz w:val="18"/>
                <w:szCs w:val="18"/>
              </w:rPr>
              <w:t>2.59</w:t>
            </w:r>
          </w:p>
        </w:tc>
        <w:tc>
          <w:tcPr>
            <w:tcW w:w="1277" w:type="dxa"/>
            <w:vAlign w:val="top"/>
          </w:tcPr>
          <w:p>
            <w:pPr>
              <w:spacing w:before="145" w:line="245" w:lineRule="exact"/>
              <w:ind w:left="477"/>
              <w:rPr>
                <w:rFonts w:ascii="宋体" w:hAnsi="宋体" w:eastAsia="宋体" w:cs="宋体"/>
                <w:sz w:val="18"/>
                <w:szCs w:val="18"/>
              </w:rPr>
            </w:pPr>
            <w:r>
              <w:rPr>
                <w:rFonts w:ascii="宋体" w:hAnsi="宋体" w:eastAsia="宋体" w:cs="宋体"/>
                <w:spacing w:val="-15"/>
                <w:position w:val="1"/>
                <w:sz w:val="18"/>
                <w:szCs w:val="18"/>
              </w:rPr>
              <w:t>3.45</w:t>
            </w:r>
          </w:p>
        </w:tc>
        <w:tc>
          <w:tcPr>
            <w:tcW w:w="1279" w:type="dxa"/>
            <w:vAlign w:val="top"/>
          </w:tcPr>
          <w:p>
            <w:pPr>
              <w:spacing w:before="145" w:line="245" w:lineRule="exact"/>
              <w:ind w:left="503"/>
              <w:rPr>
                <w:rFonts w:ascii="宋体" w:hAnsi="宋体" w:eastAsia="宋体" w:cs="宋体"/>
                <w:sz w:val="18"/>
                <w:szCs w:val="18"/>
              </w:rPr>
            </w:pPr>
            <w:r>
              <w:rPr>
                <w:rFonts w:ascii="宋体" w:hAnsi="宋体" w:eastAsia="宋体" w:cs="宋体"/>
                <w:spacing w:val="-19"/>
                <w:position w:val="1"/>
                <w:sz w:val="18"/>
                <w:szCs w:val="18"/>
              </w:rPr>
              <w:t>1.34</w:t>
            </w:r>
          </w:p>
        </w:tc>
        <w:tc>
          <w:tcPr>
            <w:tcW w:w="1418" w:type="dxa"/>
            <w:tcBorders>
              <w:right w:val="single" w:color="000000" w:sz="4" w:space="0"/>
            </w:tcBorders>
            <w:vAlign w:val="top"/>
          </w:tcPr>
          <w:p>
            <w:pPr>
              <w:spacing w:before="278" w:line="111"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568" w:type="dxa"/>
            <w:gridSpan w:val="2"/>
            <w:tcBorders>
              <w:left w:val="single" w:color="000000" w:sz="4" w:space="0"/>
            </w:tcBorders>
            <w:vAlign w:val="top"/>
          </w:tcPr>
          <w:p>
            <w:pPr>
              <w:spacing w:before="162" w:line="208" w:lineRule="auto"/>
              <w:ind w:left="774"/>
              <w:rPr>
                <w:rFonts w:ascii="宋体" w:hAnsi="宋体" w:eastAsia="宋体" w:cs="宋体"/>
                <w:sz w:val="18"/>
                <w:szCs w:val="18"/>
              </w:rPr>
            </w:pPr>
            <w:r>
              <w:rPr>
                <w:rFonts w:ascii="宋体" w:hAnsi="宋体" w:eastAsia="宋体" w:cs="宋体"/>
                <w:spacing w:val="-9"/>
                <w:sz w:val="18"/>
                <w:szCs w:val="18"/>
              </w:rPr>
              <w:t>园林绿化工程</w:t>
            </w:r>
          </w:p>
        </w:tc>
        <w:tc>
          <w:tcPr>
            <w:tcW w:w="1276" w:type="dxa"/>
            <w:vAlign w:val="top"/>
          </w:tcPr>
          <w:p>
            <w:pPr>
              <w:spacing w:before="172" w:line="230" w:lineRule="auto"/>
              <w:ind w:left="464"/>
              <w:rPr>
                <w:rFonts w:ascii="宋体" w:hAnsi="宋体" w:eastAsia="宋体" w:cs="宋体"/>
                <w:sz w:val="18"/>
                <w:szCs w:val="18"/>
              </w:rPr>
            </w:pPr>
            <w:r>
              <w:rPr>
                <w:rFonts w:ascii="宋体" w:hAnsi="宋体" w:eastAsia="宋体" w:cs="宋体"/>
                <w:spacing w:val="-15"/>
                <w:sz w:val="18"/>
                <w:szCs w:val="18"/>
              </w:rPr>
              <w:t>2.45</w:t>
            </w:r>
          </w:p>
        </w:tc>
        <w:tc>
          <w:tcPr>
            <w:tcW w:w="1277" w:type="dxa"/>
            <w:vAlign w:val="top"/>
          </w:tcPr>
          <w:p>
            <w:pPr>
              <w:spacing w:before="172" w:line="230" w:lineRule="auto"/>
              <w:ind w:left="465"/>
              <w:rPr>
                <w:rFonts w:ascii="宋体" w:hAnsi="宋体" w:eastAsia="宋体" w:cs="宋体"/>
                <w:sz w:val="18"/>
                <w:szCs w:val="18"/>
              </w:rPr>
            </w:pPr>
            <w:r>
              <w:rPr>
                <w:rFonts w:ascii="宋体" w:hAnsi="宋体" w:eastAsia="宋体" w:cs="宋体"/>
                <w:spacing w:val="-14"/>
                <w:sz w:val="18"/>
                <w:szCs w:val="18"/>
              </w:rPr>
              <w:t>4.90</w:t>
            </w:r>
          </w:p>
        </w:tc>
        <w:tc>
          <w:tcPr>
            <w:tcW w:w="1277" w:type="dxa"/>
            <w:vAlign w:val="top"/>
          </w:tcPr>
          <w:p>
            <w:pPr>
              <w:spacing w:before="172" w:line="230" w:lineRule="auto"/>
              <w:ind w:left="472"/>
              <w:rPr>
                <w:rFonts w:ascii="宋体" w:hAnsi="宋体" w:eastAsia="宋体" w:cs="宋体"/>
                <w:sz w:val="18"/>
                <w:szCs w:val="18"/>
              </w:rPr>
            </w:pPr>
            <w:r>
              <w:rPr>
                <w:rFonts w:ascii="宋体" w:hAnsi="宋体" w:eastAsia="宋体" w:cs="宋体"/>
                <w:spacing w:val="-15"/>
                <w:sz w:val="18"/>
                <w:szCs w:val="18"/>
              </w:rPr>
              <w:t>2.45</w:t>
            </w:r>
          </w:p>
        </w:tc>
        <w:tc>
          <w:tcPr>
            <w:tcW w:w="1279" w:type="dxa"/>
            <w:vAlign w:val="top"/>
          </w:tcPr>
          <w:p>
            <w:pPr>
              <w:spacing w:before="172" w:line="230" w:lineRule="auto"/>
              <w:ind w:left="477"/>
              <w:rPr>
                <w:rFonts w:ascii="宋体" w:hAnsi="宋体" w:eastAsia="宋体" w:cs="宋体"/>
                <w:sz w:val="18"/>
                <w:szCs w:val="18"/>
              </w:rPr>
            </w:pPr>
            <w:r>
              <w:rPr>
                <w:rFonts w:ascii="宋体" w:hAnsi="宋体" w:eastAsia="宋体" w:cs="宋体"/>
                <w:spacing w:val="-15"/>
                <w:sz w:val="18"/>
                <w:szCs w:val="18"/>
              </w:rPr>
              <w:t>6.53</w:t>
            </w:r>
          </w:p>
        </w:tc>
        <w:tc>
          <w:tcPr>
            <w:tcW w:w="1418" w:type="dxa"/>
            <w:tcBorders>
              <w:right w:val="single" w:color="000000" w:sz="4" w:space="0"/>
            </w:tcBorders>
            <w:vAlign w:val="top"/>
          </w:tcPr>
          <w:p>
            <w:pPr>
              <w:pStyle w:val="6"/>
              <w:spacing w:line="245" w:lineRule="auto"/>
            </w:pPr>
          </w:p>
          <w:p>
            <w:pPr>
              <w:spacing w:before="58" w:line="92" w:lineRule="exact"/>
              <w:ind w:left="674"/>
              <w:rPr>
                <w:rFonts w:ascii="宋体" w:hAnsi="宋体" w:eastAsia="宋体" w:cs="宋体"/>
                <w:sz w:val="18"/>
                <w:szCs w:val="18"/>
              </w:rPr>
            </w:pPr>
            <w:r>
              <w:rPr>
                <w:rFonts w:ascii="宋体" w:hAnsi="宋体" w:eastAsia="宋体" w:cs="宋体"/>
                <w:position w:val="-4"/>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907" w:type="dxa"/>
            <w:vMerge w:val="restart"/>
            <w:tcBorders>
              <w:left w:val="single" w:color="000000" w:sz="4" w:space="0"/>
              <w:bottom w:val="nil"/>
            </w:tcBorders>
            <w:vAlign w:val="top"/>
          </w:tcPr>
          <w:p>
            <w:pPr>
              <w:spacing w:before="235" w:line="326" w:lineRule="auto"/>
              <w:ind w:left="273" w:right="267" w:firstLine="1"/>
              <w:rPr>
                <w:rFonts w:ascii="宋体" w:hAnsi="宋体" w:eastAsia="宋体" w:cs="宋体"/>
                <w:sz w:val="18"/>
                <w:szCs w:val="18"/>
              </w:rPr>
            </w:pPr>
            <w:r>
              <w:rPr>
                <w:rFonts w:ascii="宋体" w:hAnsi="宋体" w:eastAsia="宋体" w:cs="宋体"/>
                <w:spacing w:val="-2"/>
                <w:sz w:val="18"/>
                <w:szCs w:val="18"/>
              </w:rPr>
              <w:t>房屋修缮</w:t>
            </w:r>
          </w:p>
        </w:tc>
        <w:tc>
          <w:tcPr>
            <w:tcW w:w="1661" w:type="dxa"/>
            <w:vAlign w:val="top"/>
          </w:tcPr>
          <w:p>
            <w:pPr>
              <w:spacing w:before="164" w:line="215" w:lineRule="auto"/>
              <w:ind w:left="468"/>
              <w:rPr>
                <w:rFonts w:ascii="宋体" w:hAnsi="宋体" w:eastAsia="宋体" w:cs="宋体"/>
                <w:sz w:val="18"/>
                <w:szCs w:val="18"/>
              </w:rPr>
            </w:pPr>
            <w:r>
              <w:rPr>
                <w:rFonts w:ascii="宋体" w:hAnsi="宋体" w:eastAsia="宋体" w:cs="宋体"/>
                <w:spacing w:val="-4"/>
                <w:sz w:val="18"/>
                <w:szCs w:val="18"/>
              </w:rPr>
              <w:t>建筑工程</w:t>
            </w:r>
          </w:p>
        </w:tc>
        <w:tc>
          <w:tcPr>
            <w:tcW w:w="1276" w:type="dxa"/>
            <w:vAlign w:val="top"/>
          </w:tcPr>
          <w:p>
            <w:pPr>
              <w:spacing w:before="152" w:line="237" w:lineRule="exact"/>
              <w:ind w:left="459"/>
              <w:rPr>
                <w:rFonts w:ascii="宋体" w:hAnsi="宋体" w:eastAsia="宋体" w:cs="宋体"/>
                <w:sz w:val="18"/>
                <w:szCs w:val="18"/>
              </w:rPr>
            </w:pPr>
            <w:r>
              <w:rPr>
                <w:rFonts w:ascii="宋体" w:hAnsi="宋体" w:eastAsia="宋体" w:cs="宋体"/>
                <w:spacing w:val="-14"/>
                <w:position w:val="1"/>
                <w:sz w:val="18"/>
                <w:szCs w:val="18"/>
              </w:rPr>
              <w:t>4.05</w:t>
            </w:r>
          </w:p>
        </w:tc>
        <w:tc>
          <w:tcPr>
            <w:tcW w:w="1277" w:type="dxa"/>
            <w:vAlign w:val="top"/>
          </w:tcPr>
          <w:p>
            <w:pPr>
              <w:spacing w:before="152" w:line="237" w:lineRule="exact"/>
              <w:ind w:left="475"/>
              <w:rPr>
                <w:rFonts w:ascii="宋体" w:hAnsi="宋体" w:eastAsia="宋体" w:cs="宋体"/>
                <w:sz w:val="18"/>
                <w:szCs w:val="18"/>
              </w:rPr>
            </w:pPr>
            <w:r>
              <w:rPr>
                <w:rFonts w:ascii="宋体" w:hAnsi="宋体" w:eastAsia="宋体" w:cs="宋体"/>
                <w:spacing w:val="-16"/>
                <w:position w:val="1"/>
                <w:sz w:val="18"/>
                <w:szCs w:val="18"/>
              </w:rPr>
              <w:t>3.59</w:t>
            </w:r>
          </w:p>
        </w:tc>
        <w:tc>
          <w:tcPr>
            <w:tcW w:w="1277" w:type="dxa"/>
            <w:vAlign w:val="top"/>
          </w:tcPr>
          <w:p>
            <w:pPr>
              <w:spacing w:before="152" w:line="237" w:lineRule="exact"/>
              <w:ind w:left="467"/>
              <w:rPr>
                <w:rFonts w:ascii="宋体" w:hAnsi="宋体" w:eastAsia="宋体" w:cs="宋体"/>
                <w:sz w:val="18"/>
                <w:szCs w:val="18"/>
              </w:rPr>
            </w:pPr>
            <w:r>
              <w:rPr>
                <w:rFonts w:ascii="宋体" w:hAnsi="宋体" w:eastAsia="宋体" w:cs="宋体"/>
                <w:spacing w:val="-14"/>
                <w:position w:val="1"/>
                <w:sz w:val="18"/>
                <w:szCs w:val="18"/>
              </w:rPr>
              <w:t>4.51</w:t>
            </w:r>
          </w:p>
        </w:tc>
        <w:tc>
          <w:tcPr>
            <w:tcW w:w="1279" w:type="dxa"/>
            <w:vAlign w:val="top"/>
          </w:tcPr>
          <w:p>
            <w:pPr>
              <w:spacing w:before="152" w:line="237" w:lineRule="exact"/>
              <w:ind w:left="476"/>
              <w:rPr>
                <w:rFonts w:ascii="宋体" w:hAnsi="宋体" w:eastAsia="宋体" w:cs="宋体"/>
                <w:sz w:val="18"/>
                <w:szCs w:val="18"/>
              </w:rPr>
            </w:pPr>
            <w:r>
              <w:rPr>
                <w:rFonts w:ascii="宋体" w:hAnsi="宋体" w:eastAsia="宋体" w:cs="宋体"/>
                <w:spacing w:val="-15"/>
                <w:position w:val="1"/>
                <w:sz w:val="18"/>
                <w:szCs w:val="18"/>
              </w:rPr>
              <w:t>2.93</w:t>
            </w:r>
          </w:p>
        </w:tc>
        <w:tc>
          <w:tcPr>
            <w:tcW w:w="1418" w:type="dxa"/>
            <w:tcBorders>
              <w:right w:val="single" w:color="000000" w:sz="4" w:space="0"/>
            </w:tcBorders>
            <w:vAlign w:val="top"/>
          </w:tcPr>
          <w:p>
            <w:pPr>
              <w:spacing w:before="284" w:line="105"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907" w:type="dxa"/>
            <w:vMerge w:val="continue"/>
            <w:tcBorders>
              <w:top w:val="nil"/>
              <w:left w:val="single" w:color="000000" w:sz="4" w:space="0"/>
            </w:tcBorders>
            <w:vAlign w:val="top"/>
          </w:tcPr>
          <w:p>
            <w:pPr>
              <w:pStyle w:val="6"/>
            </w:pPr>
          </w:p>
        </w:tc>
        <w:tc>
          <w:tcPr>
            <w:tcW w:w="1661" w:type="dxa"/>
            <w:vAlign w:val="top"/>
          </w:tcPr>
          <w:p>
            <w:pPr>
              <w:spacing w:before="168" w:line="211" w:lineRule="auto"/>
              <w:ind w:left="471"/>
              <w:rPr>
                <w:rFonts w:ascii="宋体" w:hAnsi="宋体" w:eastAsia="宋体" w:cs="宋体"/>
                <w:sz w:val="18"/>
                <w:szCs w:val="18"/>
              </w:rPr>
            </w:pPr>
            <w:r>
              <w:rPr>
                <w:rFonts w:ascii="宋体" w:hAnsi="宋体" w:eastAsia="宋体" w:cs="宋体"/>
                <w:spacing w:val="-5"/>
                <w:sz w:val="18"/>
                <w:szCs w:val="18"/>
              </w:rPr>
              <w:t>安装工程</w:t>
            </w:r>
          </w:p>
        </w:tc>
        <w:tc>
          <w:tcPr>
            <w:tcW w:w="1276" w:type="dxa"/>
            <w:vAlign w:val="top"/>
          </w:tcPr>
          <w:p>
            <w:pPr>
              <w:spacing w:before="156" w:line="259" w:lineRule="exact"/>
              <w:ind w:left="469"/>
              <w:rPr>
                <w:rFonts w:ascii="宋体" w:hAnsi="宋体" w:eastAsia="宋体" w:cs="宋体"/>
                <w:sz w:val="18"/>
                <w:szCs w:val="18"/>
              </w:rPr>
            </w:pPr>
            <w:r>
              <w:rPr>
                <w:rFonts w:ascii="宋体" w:hAnsi="宋体" w:eastAsia="宋体" w:cs="宋体"/>
                <w:spacing w:val="-16"/>
                <w:position w:val="2"/>
                <w:sz w:val="18"/>
                <w:szCs w:val="18"/>
              </w:rPr>
              <w:t>3.28</w:t>
            </w:r>
          </w:p>
        </w:tc>
        <w:tc>
          <w:tcPr>
            <w:tcW w:w="1277" w:type="dxa"/>
            <w:vAlign w:val="top"/>
          </w:tcPr>
          <w:p>
            <w:pPr>
              <w:spacing w:before="156" w:line="259" w:lineRule="exact"/>
              <w:ind w:left="475"/>
              <w:rPr>
                <w:rFonts w:ascii="宋体" w:hAnsi="宋体" w:eastAsia="宋体" w:cs="宋体"/>
                <w:sz w:val="18"/>
                <w:szCs w:val="18"/>
              </w:rPr>
            </w:pPr>
            <w:r>
              <w:rPr>
                <w:rFonts w:ascii="宋体" w:hAnsi="宋体" w:eastAsia="宋体" w:cs="宋体"/>
                <w:spacing w:val="-16"/>
                <w:position w:val="2"/>
                <w:sz w:val="18"/>
                <w:szCs w:val="18"/>
              </w:rPr>
              <w:t>3.33</w:t>
            </w:r>
          </w:p>
        </w:tc>
        <w:tc>
          <w:tcPr>
            <w:tcW w:w="1277" w:type="dxa"/>
            <w:vAlign w:val="top"/>
          </w:tcPr>
          <w:p>
            <w:pPr>
              <w:spacing w:before="156" w:line="259" w:lineRule="exact"/>
              <w:ind w:left="477"/>
              <w:rPr>
                <w:rFonts w:ascii="宋体" w:hAnsi="宋体" w:eastAsia="宋体" w:cs="宋体"/>
                <w:sz w:val="18"/>
                <w:szCs w:val="18"/>
              </w:rPr>
            </w:pPr>
            <w:r>
              <w:rPr>
                <w:rFonts w:ascii="宋体" w:hAnsi="宋体" w:eastAsia="宋体" w:cs="宋体"/>
                <w:spacing w:val="-15"/>
                <w:position w:val="2"/>
                <w:sz w:val="18"/>
                <w:szCs w:val="18"/>
              </w:rPr>
              <w:t>3.45</w:t>
            </w:r>
          </w:p>
        </w:tc>
        <w:tc>
          <w:tcPr>
            <w:tcW w:w="1279" w:type="dxa"/>
            <w:vAlign w:val="top"/>
          </w:tcPr>
          <w:p>
            <w:pPr>
              <w:spacing w:before="156" w:line="259" w:lineRule="exact"/>
              <w:ind w:left="503"/>
              <w:rPr>
                <w:rFonts w:ascii="宋体" w:hAnsi="宋体" w:eastAsia="宋体" w:cs="宋体"/>
                <w:sz w:val="18"/>
                <w:szCs w:val="18"/>
              </w:rPr>
            </w:pPr>
            <w:r>
              <w:rPr>
                <w:rFonts w:ascii="宋体" w:hAnsi="宋体" w:eastAsia="宋体" w:cs="宋体"/>
                <w:spacing w:val="-19"/>
                <w:position w:val="1"/>
                <w:sz w:val="18"/>
                <w:szCs w:val="18"/>
              </w:rPr>
              <w:t>1.90</w:t>
            </w:r>
          </w:p>
        </w:tc>
        <w:tc>
          <w:tcPr>
            <w:tcW w:w="1418" w:type="dxa"/>
            <w:tcBorders>
              <w:right w:val="single" w:color="000000" w:sz="4" w:space="0"/>
            </w:tcBorders>
            <w:vAlign w:val="top"/>
          </w:tcPr>
          <w:p>
            <w:pPr>
              <w:spacing w:before="288" w:line="126"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68" w:line="215" w:lineRule="auto"/>
              <w:ind w:left="662"/>
              <w:rPr>
                <w:rFonts w:ascii="宋体" w:hAnsi="宋体" w:eastAsia="宋体" w:cs="宋体"/>
                <w:sz w:val="18"/>
                <w:szCs w:val="18"/>
              </w:rPr>
            </w:pPr>
            <w:r>
              <w:rPr>
                <w:rFonts w:ascii="宋体" w:hAnsi="宋体" w:eastAsia="宋体" w:cs="宋体"/>
                <w:spacing w:val="-4"/>
                <w:sz w:val="18"/>
                <w:szCs w:val="18"/>
              </w:rPr>
              <w:t>古建筑修缮工程</w:t>
            </w:r>
          </w:p>
        </w:tc>
        <w:tc>
          <w:tcPr>
            <w:tcW w:w="1276" w:type="dxa"/>
            <w:vAlign w:val="top"/>
          </w:tcPr>
          <w:p>
            <w:pPr>
              <w:spacing w:before="156"/>
              <w:ind w:left="459"/>
              <w:rPr>
                <w:rFonts w:ascii="宋体" w:hAnsi="宋体" w:eastAsia="宋体" w:cs="宋体"/>
                <w:sz w:val="18"/>
                <w:szCs w:val="18"/>
              </w:rPr>
            </w:pPr>
            <w:r>
              <w:rPr>
                <w:rFonts w:ascii="宋体" w:hAnsi="宋体" w:eastAsia="宋体" w:cs="宋体"/>
                <w:spacing w:val="-14"/>
                <w:sz w:val="18"/>
                <w:szCs w:val="18"/>
              </w:rPr>
              <w:t>4.22</w:t>
            </w:r>
          </w:p>
        </w:tc>
        <w:tc>
          <w:tcPr>
            <w:tcW w:w="1277" w:type="dxa"/>
            <w:vAlign w:val="top"/>
          </w:tcPr>
          <w:p>
            <w:pPr>
              <w:spacing w:before="156"/>
              <w:ind w:left="475"/>
              <w:rPr>
                <w:rFonts w:ascii="宋体" w:hAnsi="宋体" w:eastAsia="宋体" w:cs="宋体"/>
                <w:sz w:val="18"/>
                <w:szCs w:val="18"/>
              </w:rPr>
            </w:pPr>
            <w:r>
              <w:rPr>
                <w:rFonts w:ascii="宋体" w:hAnsi="宋体" w:eastAsia="宋体" w:cs="宋体"/>
                <w:spacing w:val="-16"/>
                <w:sz w:val="18"/>
                <w:szCs w:val="18"/>
              </w:rPr>
              <w:t>3.73</w:t>
            </w:r>
          </w:p>
        </w:tc>
        <w:tc>
          <w:tcPr>
            <w:tcW w:w="1277" w:type="dxa"/>
            <w:vAlign w:val="top"/>
          </w:tcPr>
          <w:p>
            <w:pPr>
              <w:spacing w:before="156"/>
              <w:ind w:left="467"/>
              <w:rPr>
                <w:rFonts w:ascii="宋体" w:hAnsi="宋体" w:eastAsia="宋体" w:cs="宋体"/>
                <w:sz w:val="18"/>
                <w:szCs w:val="18"/>
              </w:rPr>
            </w:pPr>
            <w:r>
              <w:rPr>
                <w:rFonts w:ascii="宋体" w:hAnsi="宋体" w:eastAsia="宋体" w:cs="宋体"/>
                <w:spacing w:val="-14"/>
                <w:sz w:val="18"/>
                <w:szCs w:val="18"/>
              </w:rPr>
              <w:t>4.71</w:t>
            </w:r>
          </w:p>
        </w:tc>
        <w:tc>
          <w:tcPr>
            <w:tcW w:w="1279" w:type="dxa"/>
            <w:vAlign w:val="top"/>
          </w:tcPr>
          <w:p>
            <w:pPr>
              <w:spacing w:before="288" w:line="101" w:lineRule="exact"/>
              <w:ind w:left="609"/>
              <w:rPr>
                <w:rFonts w:ascii="宋体" w:hAnsi="宋体" w:eastAsia="宋体" w:cs="宋体"/>
                <w:sz w:val="18"/>
                <w:szCs w:val="18"/>
              </w:rPr>
            </w:pPr>
            <w:r>
              <w:rPr>
                <w:rFonts w:ascii="宋体" w:hAnsi="宋体" w:eastAsia="宋体" w:cs="宋体"/>
                <w:position w:val="-4"/>
                <w:sz w:val="18"/>
                <w:szCs w:val="18"/>
              </w:rPr>
              <w:t>-</w:t>
            </w:r>
          </w:p>
        </w:tc>
        <w:tc>
          <w:tcPr>
            <w:tcW w:w="1418" w:type="dxa"/>
            <w:tcBorders>
              <w:right w:val="single" w:color="000000" w:sz="4" w:space="0"/>
            </w:tcBorders>
            <w:vAlign w:val="top"/>
          </w:tcPr>
          <w:p>
            <w:pPr>
              <w:spacing w:before="156"/>
              <w:ind w:left="541"/>
              <w:rPr>
                <w:rFonts w:ascii="宋体" w:hAnsi="宋体" w:eastAsia="宋体" w:cs="宋体"/>
                <w:sz w:val="18"/>
                <w:szCs w:val="18"/>
              </w:rPr>
            </w:pPr>
            <w:r>
              <w:rPr>
                <w:rFonts w:ascii="宋体" w:hAnsi="宋体" w:eastAsia="宋体" w:cs="宋体"/>
                <w:spacing w:val="-14"/>
                <w:sz w:val="18"/>
                <w:szCs w:val="18"/>
              </w:rPr>
              <w:t>2.89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2568" w:type="dxa"/>
            <w:gridSpan w:val="2"/>
            <w:tcBorders>
              <w:left w:val="single" w:color="000000" w:sz="4" w:space="0"/>
              <w:bottom w:val="single" w:color="000000" w:sz="4" w:space="0"/>
            </w:tcBorders>
            <w:vAlign w:val="top"/>
          </w:tcPr>
          <w:p>
            <w:pPr>
              <w:spacing w:before="152" w:line="215" w:lineRule="auto"/>
              <w:ind w:left="748"/>
              <w:rPr>
                <w:rFonts w:ascii="宋体" w:hAnsi="宋体" w:eastAsia="宋体" w:cs="宋体"/>
                <w:sz w:val="18"/>
                <w:szCs w:val="18"/>
              </w:rPr>
            </w:pPr>
            <w:r>
              <w:rPr>
                <w:rFonts w:ascii="宋体" w:hAnsi="宋体" w:eastAsia="宋体" w:cs="宋体"/>
                <w:spacing w:val="-4"/>
                <w:sz w:val="18"/>
                <w:szCs w:val="18"/>
              </w:rPr>
              <w:t>仿古建筑工程</w:t>
            </w:r>
          </w:p>
        </w:tc>
        <w:tc>
          <w:tcPr>
            <w:tcW w:w="1276" w:type="dxa"/>
            <w:tcBorders>
              <w:bottom w:val="single" w:color="000000" w:sz="4" w:space="0"/>
            </w:tcBorders>
            <w:vAlign w:val="top"/>
          </w:tcPr>
          <w:p>
            <w:pPr>
              <w:spacing w:before="159" w:line="256" w:lineRule="exact"/>
              <w:ind w:left="463"/>
              <w:rPr>
                <w:rFonts w:ascii="宋体" w:hAnsi="宋体" w:eastAsia="宋体" w:cs="宋体"/>
                <w:sz w:val="18"/>
                <w:szCs w:val="18"/>
              </w:rPr>
            </w:pPr>
            <w:r>
              <w:rPr>
                <w:rFonts w:ascii="宋体" w:hAnsi="宋体" w:eastAsia="宋体" w:cs="宋体"/>
                <w:spacing w:val="-14"/>
                <w:position w:val="1"/>
                <w:sz w:val="18"/>
                <w:szCs w:val="18"/>
              </w:rPr>
              <w:t>0.66</w:t>
            </w:r>
          </w:p>
        </w:tc>
        <w:tc>
          <w:tcPr>
            <w:tcW w:w="1277" w:type="dxa"/>
            <w:tcBorders>
              <w:bottom w:val="single" w:color="000000" w:sz="4" w:space="0"/>
            </w:tcBorders>
            <w:vAlign w:val="top"/>
          </w:tcPr>
          <w:p>
            <w:pPr>
              <w:spacing w:before="159" w:line="256" w:lineRule="exact"/>
              <w:ind w:left="470"/>
              <w:rPr>
                <w:rFonts w:ascii="宋体" w:hAnsi="宋体" w:eastAsia="宋体" w:cs="宋体"/>
                <w:sz w:val="18"/>
                <w:szCs w:val="18"/>
              </w:rPr>
            </w:pPr>
            <w:r>
              <w:rPr>
                <w:rFonts w:ascii="宋体" w:hAnsi="宋体" w:eastAsia="宋体" w:cs="宋体"/>
                <w:spacing w:val="-15"/>
                <w:position w:val="1"/>
                <w:sz w:val="18"/>
                <w:szCs w:val="18"/>
              </w:rPr>
              <w:t>2.39</w:t>
            </w:r>
          </w:p>
        </w:tc>
        <w:tc>
          <w:tcPr>
            <w:tcW w:w="1277" w:type="dxa"/>
            <w:tcBorders>
              <w:bottom w:val="single" w:color="000000" w:sz="4" w:space="0"/>
            </w:tcBorders>
            <w:vAlign w:val="top"/>
          </w:tcPr>
          <w:p>
            <w:pPr>
              <w:spacing w:before="159" w:line="256" w:lineRule="exact"/>
              <w:ind w:left="472"/>
              <w:rPr>
                <w:rFonts w:ascii="宋体" w:hAnsi="宋体" w:eastAsia="宋体" w:cs="宋体"/>
                <w:sz w:val="18"/>
                <w:szCs w:val="18"/>
              </w:rPr>
            </w:pPr>
            <w:r>
              <w:rPr>
                <w:rFonts w:ascii="宋体" w:hAnsi="宋体" w:eastAsia="宋体" w:cs="宋体"/>
                <w:spacing w:val="-14"/>
                <w:position w:val="1"/>
                <w:sz w:val="18"/>
                <w:szCs w:val="18"/>
              </w:rPr>
              <w:t>2.57</w:t>
            </w:r>
          </w:p>
        </w:tc>
        <w:tc>
          <w:tcPr>
            <w:tcW w:w="1279" w:type="dxa"/>
            <w:tcBorders>
              <w:bottom w:val="single" w:color="000000" w:sz="4" w:space="0"/>
            </w:tcBorders>
            <w:vAlign w:val="top"/>
          </w:tcPr>
          <w:p>
            <w:pPr>
              <w:spacing w:before="159" w:line="256" w:lineRule="exact"/>
              <w:ind w:left="476"/>
              <w:rPr>
                <w:rFonts w:ascii="宋体" w:hAnsi="宋体" w:eastAsia="宋体" w:cs="宋体"/>
                <w:sz w:val="18"/>
                <w:szCs w:val="18"/>
              </w:rPr>
            </w:pPr>
            <w:r>
              <w:rPr>
                <w:rFonts w:ascii="宋体" w:hAnsi="宋体" w:eastAsia="宋体" w:cs="宋体"/>
                <w:spacing w:val="-15"/>
                <w:position w:val="1"/>
                <w:sz w:val="18"/>
                <w:szCs w:val="18"/>
              </w:rPr>
              <w:t>0.75</w:t>
            </w:r>
          </w:p>
        </w:tc>
        <w:tc>
          <w:tcPr>
            <w:tcW w:w="1418" w:type="dxa"/>
            <w:tcBorders>
              <w:bottom w:val="single" w:color="000000" w:sz="4" w:space="0"/>
              <w:right w:val="single" w:color="000000" w:sz="4" w:space="0"/>
            </w:tcBorders>
            <w:vAlign w:val="top"/>
          </w:tcPr>
          <w:p>
            <w:pPr>
              <w:spacing w:before="291" w:line="124" w:lineRule="exact"/>
              <w:ind w:left="674"/>
              <w:rPr>
                <w:rFonts w:ascii="宋体" w:hAnsi="宋体" w:eastAsia="宋体" w:cs="宋体"/>
                <w:sz w:val="18"/>
                <w:szCs w:val="18"/>
              </w:rPr>
            </w:pPr>
            <w:r>
              <w:rPr>
                <w:rFonts w:ascii="宋体" w:hAnsi="宋体" w:eastAsia="宋体" w:cs="宋体"/>
                <w:position w:val="-3"/>
                <w:sz w:val="18"/>
                <w:szCs w:val="18"/>
              </w:rPr>
              <w:t>-</w:t>
            </w:r>
          </w:p>
        </w:tc>
      </w:tr>
    </w:tbl>
    <w:p>
      <w:pPr>
        <w:spacing w:before="7"/>
      </w:pPr>
    </w:p>
    <w:p>
      <w:pPr>
        <w:spacing w:before="6"/>
      </w:pPr>
    </w:p>
    <w:p>
      <w:pPr>
        <w:spacing w:before="6"/>
      </w:pPr>
    </w:p>
    <w:p>
      <w:pPr>
        <w:spacing w:before="6"/>
      </w:pPr>
    </w:p>
    <w:tbl>
      <w:tblPr>
        <w:tblStyle w:val="5"/>
        <w:tblW w:w="9079"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2461"/>
        <w:gridCol w:w="1423"/>
        <w:gridCol w:w="1423"/>
        <w:gridCol w:w="1423"/>
        <w:gridCol w:w="1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trPr>
        <w:tc>
          <w:tcPr>
            <w:tcW w:w="3368" w:type="dxa"/>
            <w:gridSpan w:val="2"/>
            <w:tcBorders>
              <w:top w:val="single" w:color="000000" w:sz="4" w:space="0"/>
              <w:left w:val="single" w:color="000000" w:sz="4" w:space="0"/>
              <w:tl2br w:val="single" w:color="000000" w:sz="2" w:space="0"/>
            </w:tcBorders>
            <w:vAlign w:val="top"/>
          </w:tcPr>
          <w:p>
            <w:pPr>
              <w:spacing w:before="126" w:line="205" w:lineRule="auto"/>
              <w:ind w:left="123" w:right="770" w:firstLine="1762"/>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423" w:type="dxa"/>
            <w:tcBorders>
              <w:top w:val="single" w:color="000000" w:sz="4" w:space="0"/>
            </w:tcBorders>
            <w:vAlign w:val="top"/>
          </w:tcPr>
          <w:p>
            <w:pPr>
              <w:spacing w:before="234" w:line="202" w:lineRule="auto"/>
              <w:ind w:left="279"/>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423" w:type="dxa"/>
            <w:tcBorders>
              <w:top w:val="single" w:color="000000" w:sz="4" w:space="0"/>
            </w:tcBorders>
            <w:vAlign w:val="top"/>
          </w:tcPr>
          <w:p>
            <w:pPr>
              <w:spacing w:before="234" w:line="202" w:lineRule="auto"/>
              <w:ind w:left="271"/>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423" w:type="dxa"/>
            <w:tcBorders>
              <w:top w:val="single" w:color="000000" w:sz="4" w:space="0"/>
            </w:tcBorders>
            <w:vAlign w:val="top"/>
          </w:tcPr>
          <w:p>
            <w:pPr>
              <w:spacing w:before="234" w:line="202" w:lineRule="auto"/>
              <w:ind w:left="284"/>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442" w:type="dxa"/>
            <w:tcBorders>
              <w:top w:val="single" w:color="000000" w:sz="4" w:space="0"/>
              <w:right w:val="single" w:color="000000" w:sz="4" w:space="0"/>
            </w:tcBorders>
            <w:vAlign w:val="top"/>
          </w:tcPr>
          <w:p>
            <w:pPr>
              <w:spacing w:before="234" w:line="202" w:lineRule="auto"/>
              <w:ind w:left="299"/>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2" w:line="215" w:lineRule="auto"/>
              <w:ind w:left="1331"/>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42" w:line="246" w:lineRule="exact"/>
              <w:ind w:left="545"/>
              <w:rPr>
                <w:rFonts w:ascii="宋体" w:hAnsi="宋体" w:eastAsia="宋体" w:cs="宋体"/>
                <w:sz w:val="18"/>
                <w:szCs w:val="18"/>
              </w:rPr>
            </w:pPr>
            <w:r>
              <w:rPr>
                <w:rFonts w:ascii="宋体" w:hAnsi="宋体" w:eastAsia="宋体" w:cs="宋体"/>
                <w:spacing w:val="-16"/>
                <w:position w:val="1"/>
                <w:sz w:val="18"/>
                <w:szCs w:val="18"/>
              </w:rPr>
              <w:t>3.49</w:t>
            </w:r>
          </w:p>
        </w:tc>
        <w:tc>
          <w:tcPr>
            <w:tcW w:w="1423" w:type="dxa"/>
            <w:vAlign w:val="top"/>
          </w:tcPr>
          <w:p>
            <w:pPr>
              <w:spacing w:before="142" w:line="246" w:lineRule="exact"/>
              <w:ind w:left="544"/>
              <w:rPr>
                <w:rFonts w:ascii="宋体" w:hAnsi="宋体" w:eastAsia="宋体" w:cs="宋体"/>
                <w:sz w:val="18"/>
                <w:szCs w:val="18"/>
              </w:rPr>
            </w:pPr>
            <w:r>
              <w:rPr>
                <w:rFonts w:ascii="宋体" w:hAnsi="宋体" w:eastAsia="宋体" w:cs="宋体"/>
                <w:spacing w:val="-14"/>
                <w:position w:val="1"/>
                <w:sz w:val="18"/>
                <w:szCs w:val="18"/>
              </w:rPr>
              <w:t>0.57</w:t>
            </w:r>
          </w:p>
        </w:tc>
        <w:tc>
          <w:tcPr>
            <w:tcW w:w="1423" w:type="dxa"/>
            <w:vAlign w:val="top"/>
          </w:tcPr>
          <w:p>
            <w:pPr>
              <w:spacing w:before="142" w:line="246" w:lineRule="exact"/>
              <w:ind w:left="546"/>
              <w:rPr>
                <w:rFonts w:ascii="宋体" w:hAnsi="宋体" w:eastAsia="宋体" w:cs="宋体"/>
                <w:sz w:val="18"/>
                <w:szCs w:val="18"/>
              </w:rPr>
            </w:pPr>
            <w:r>
              <w:rPr>
                <w:rFonts w:ascii="宋体" w:hAnsi="宋体" w:eastAsia="宋体" w:cs="宋体"/>
                <w:spacing w:val="-14"/>
                <w:position w:val="1"/>
                <w:sz w:val="18"/>
                <w:szCs w:val="18"/>
              </w:rPr>
              <w:t>0.66</w:t>
            </w:r>
          </w:p>
        </w:tc>
        <w:tc>
          <w:tcPr>
            <w:tcW w:w="1442" w:type="dxa"/>
            <w:tcBorders>
              <w:right w:val="single" w:color="000000" w:sz="4" w:space="0"/>
            </w:tcBorders>
            <w:vAlign w:val="top"/>
          </w:tcPr>
          <w:p>
            <w:pPr>
              <w:spacing w:before="142" w:line="246" w:lineRule="exact"/>
              <w:ind w:left="551"/>
              <w:rPr>
                <w:rFonts w:ascii="宋体" w:hAnsi="宋体" w:eastAsia="宋体" w:cs="宋体"/>
                <w:sz w:val="18"/>
                <w:szCs w:val="18"/>
              </w:rPr>
            </w:pPr>
            <w:r>
              <w:rPr>
                <w:rFonts w:ascii="宋体" w:hAnsi="宋体" w:eastAsia="宋体" w:cs="宋体"/>
                <w:spacing w:val="-14"/>
                <w:position w:val="1"/>
                <w:sz w:val="18"/>
                <w:szCs w:val="18"/>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8" w:type="dxa"/>
            <w:gridSpan w:val="2"/>
            <w:tcBorders>
              <w:left w:val="single" w:color="000000" w:sz="4" w:space="0"/>
            </w:tcBorders>
            <w:vAlign w:val="top"/>
          </w:tcPr>
          <w:p>
            <w:pPr>
              <w:spacing w:before="159" w:line="211" w:lineRule="auto"/>
              <w:ind w:left="1328"/>
              <w:rPr>
                <w:rFonts w:ascii="宋体" w:hAnsi="宋体" w:eastAsia="宋体" w:cs="宋体"/>
                <w:sz w:val="18"/>
                <w:szCs w:val="18"/>
              </w:rPr>
            </w:pPr>
            <w:r>
              <w:rPr>
                <w:rFonts w:ascii="宋体" w:hAnsi="宋体" w:eastAsia="宋体" w:cs="宋体"/>
                <w:spacing w:val="-3"/>
                <w:sz w:val="18"/>
                <w:szCs w:val="18"/>
              </w:rPr>
              <w:t>装饰工程</w:t>
            </w:r>
          </w:p>
        </w:tc>
        <w:tc>
          <w:tcPr>
            <w:tcW w:w="1423" w:type="dxa"/>
            <w:vAlign w:val="top"/>
          </w:tcPr>
          <w:p>
            <w:pPr>
              <w:spacing w:before="144" w:line="246" w:lineRule="exact"/>
              <w:ind w:left="545"/>
              <w:rPr>
                <w:rFonts w:ascii="宋体" w:hAnsi="宋体" w:eastAsia="宋体" w:cs="宋体"/>
                <w:sz w:val="18"/>
                <w:szCs w:val="18"/>
              </w:rPr>
            </w:pPr>
            <w:r>
              <w:rPr>
                <w:rFonts w:ascii="宋体" w:hAnsi="宋体" w:eastAsia="宋体" w:cs="宋体"/>
                <w:spacing w:val="-16"/>
                <w:position w:val="1"/>
                <w:sz w:val="18"/>
                <w:szCs w:val="18"/>
              </w:rPr>
              <w:t>3.47</w:t>
            </w:r>
          </w:p>
        </w:tc>
        <w:tc>
          <w:tcPr>
            <w:tcW w:w="1423" w:type="dxa"/>
            <w:vAlign w:val="top"/>
          </w:tcPr>
          <w:p>
            <w:pPr>
              <w:spacing w:before="144" w:line="246" w:lineRule="exact"/>
              <w:ind w:left="544"/>
              <w:rPr>
                <w:rFonts w:ascii="宋体" w:hAnsi="宋体" w:eastAsia="宋体" w:cs="宋体"/>
                <w:sz w:val="18"/>
                <w:szCs w:val="18"/>
              </w:rPr>
            </w:pPr>
            <w:r>
              <w:rPr>
                <w:rFonts w:ascii="宋体" w:hAnsi="宋体" w:eastAsia="宋体" w:cs="宋体"/>
                <w:spacing w:val="-14"/>
                <w:position w:val="1"/>
                <w:sz w:val="18"/>
                <w:szCs w:val="18"/>
              </w:rPr>
              <w:t>0.12</w:t>
            </w:r>
          </w:p>
        </w:tc>
        <w:tc>
          <w:tcPr>
            <w:tcW w:w="1423" w:type="dxa"/>
            <w:vAlign w:val="top"/>
          </w:tcPr>
          <w:p>
            <w:pPr>
              <w:spacing w:before="144" w:line="246" w:lineRule="exact"/>
              <w:ind w:left="546"/>
              <w:rPr>
                <w:rFonts w:ascii="宋体" w:hAnsi="宋体" w:eastAsia="宋体" w:cs="宋体"/>
                <w:sz w:val="18"/>
                <w:szCs w:val="18"/>
              </w:rPr>
            </w:pPr>
            <w:r>
              <w:rPr>
                <w:rFonts w:ascii="宋体" w:hAnsi="宋体" w:eastAsia="宋体" w:cs="宋体"/>
                <w:spacing w:val="-14"/>
                <w:position w:val="1"/>
                <w:sz w:val="18"/>
                <w:szCs w:val="18"/>
              </w:rPr>
              <w:t>0.10</w:t>
            </w:r>
          </w:p>
        </w:tc>
        <w:tc>
          <w:tcPr>
            <w:tcW w:w="1442" w:type="dxa"/>
            <w:tcBorders>
              <w:right w:val="single" w:color="000000" w:sz="4" w:space="0"/>
            </w:tcBorders>
            <w:vAlign w:val="top"/>
          </w:tcPr>
          <w:p>
            <w:pPr>
              <w:spacing w:before="144" w:line="246" w:lineRule="exact"/>
              <w:ind w:left="579"/>
              <w:rPr>
                <w:rFonts w:ascii="宋体" w:hAnsi="宋体" w:eastAsia="宋体" w:cs="宋体"/>
                <w:sz w:val="18"/>
                <w:szCs w:val="18"/>
              </w:rPr>
            </w:pPr>
            <w:r>
              <w:rPr>
                <w:rFonts w:ascii="宋体" w:hAnsi="宋体" w:eastAsia="宋体" w:cs="宋体"/>
                <w:spacing w:val="-19"/>
                <w:position w:val="1"/>
                <w:sz w:val="18"/>
                <w:szCs w:val="18"/>
              </w:rPr>
              <w:t>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9" w:line="211" w:lineRule="auto"/>
              <w:ind w:left="1334"/>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47" w:line="241" w:lineRule="exact"/>
              <w:ind w:left="539"/>
              <w:rPr>
                <w:rFonts w:ascii="宋体" w:hAnsi="宋体" w:eastAsia="宋体" w:cs="宋体"/>
                <w:sz w:val="18"/>
                <w:szCs w:val="18"/>
              </w:rPr>
            </w:pPr>
            <w:r>
              <w:rPr>
                <w:rFonts w:ascii="宋体" w:hAnsi="宋体" w:eastAsia="宋体" w:cs="宋体"/>
                <w:spacing w:val="-15"/>
                <w:position w:val="1"/>
                <w:sz w:val="18"/>
                <w:szCs w:val="18"/>
              </w:rPr>
              <w:t>2.32</w:t>
            </w:r>
          </w:p>
        </w:tc>
        <w:tc>
          <w:tcPr>
            <w:tcW w:w="1423" w:type="dxa"/>
            <w:vAlign w:val="top"/>
          </w:tcPr>
          <w:p>
            <w:pPr>
              <w:spacing w:before="147" w:line="241" w:lineRule="exact"/>
              <w:ind w:left="544"/>
              <w:rPr>
                <w:rFonts w:ascii="宋体" w:hAnsi="宋体" w:eastAsia="宋体" w:cs="宋体"/>
                <w:sz w:val="18"/>
                <w:szCs w:val="18"/>
              </w:rPr>
            </w:pPr>
            <w:r>
              <w:rPr>
                <w:rFonts w:ascii="宋体" w:hAnsi="宋体" w:eastAsia="宋体" w:cs="宋体"/>
                <w:spacing w:val="-14"/>
                <w:position w:val="1"/>
                <w:sz w:val="18"/>
                <w:szCs w:val="18"/>
              </w:rPr>
              <w:t>0.31</w:t>
            </w:r>
          </w:p>
        </w:tc>
        <w:tc>
          <w:tcPr>
            <w:tcW w:w="1423" w:type="dxa"/>
            <w:vAlign w:val="top"/>
          </w:tcPr>
          <w:p>
            <w:pPr>
              <w:spacing w:before="147" w:line="241" w:lineRule="exact"/>
              <w:ind w:left="546"/>
              <w:rPr>
                <w:rFonts w:ascii="宋体" w:hAnsi="宋体" w:eastAsia="宋体" w:cs="宋体"/>
                <w:sz w:val="18"/>
                <w:szCs w:val="18"/>
              </w:rPr>
            </w:pPr>
            <w:r>
              <w:rPr>
                <w:rFonts w:ascii="宋体" w:hAnsi="宋体" w:eastAsia="宋体" w:cs="宋体"/>
                <w:spacing w:val="-14"/>
                <w:position w:val="1"/>
                <w:sz w:val="18"/>
                <w:szCs w:val="18"/>
              </w:rPr>
              <w:t>0.62</w:t>
            </w:r>
          </w:p>
        </w:tc>
        <w:tc>
          <w:tcPr>
            <w:tcW w:w="1442" w:type="dxa"/>
            <w:tcBorders>
              <w:right w:val="single" w:color="000000" w:sz="4" w:space="0"/>
            </w:tcBorders>
            <w:vAlign w:val="top"/>
          </w:tcPr>
          <w:p>
            <w:pPr>
              <w:spacing w:before="147" w:line="241" w:lineRule="exact"/>
              <w:ind w:left="579"/>
              <w:rPr>
                <w:rFonts w:ascii="宋体" w:hAnsi="宋体" w:eastAsia="宋体" w:cs="宋体"/>
                <w:sz w:val="18"/>
                <w:szCs w:val="18"/>
              </w:rPr>
            </w:pPr>
            <w:r>
              <w:rPr>
                <w:rFonts w:ascii="宋体" w:hAnsi="宋体" w:eastAsia="宋体" w:cs="宋体"/>
                <w:spacing w:val="-19"/>
                <w:position w:val="1"/>
                <w:sz w:val="18"/>
                <w:szCs w:val="18"/>
              </w:rPr>
              <w:t>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8" w:type="dxa"/>
            <w:gridSpan w:val="2"/>
            <w:tcBorders>
              <w:left w:val="single" w:color="000000" w:sz="4" w:space="0"/>
            </w:tcBorders>
            <w:vAlign w:val="top"/>
          </w:tcPr>
          <w:p>
            <w:pPr>
              <w:spacing w:before="165" w:line="208" w:lineRule="auto"/>
              <w:ind w:left="1176"/>
              <w:rPr>
                <w:rFonts w:ascii="宋体" w:hAnsi="宋体" w:eastAsia="宋体" w:cs="宋体"/>
                <w:sz w:val="18"/>
                <w:szCs w:val="18"/>
              </w:rPr>
            </w:pPr>
            <w:r>
              <w:rPr>
                <w:rFonts w:ascii="宋体" w:hAnsi="宋体" w:eastAsia="宋体" w:cs="宋体"/>
                <w:spacing w:val="-9"/>
                <w:sz w:val="18"/>
                <w:szCs w:val="18"/>
              </w:rPr>
              <w:t>园林绿化工程</w:t>
            </w:r>
          </w:p>
        </w:tc>
        <w:tc>
          <w:tcPr>
            <w:tcW w:w="1423" w:type="dxa"/>
            <w:vAlign w:val="top"/>
          </w:tcPr>
          <w:p>
            <w:pPr>
              <w:spacing w:before="149" w:line="241" w:lineRule="exact"/>
              <w:ind w:left="566"/>
              <w:rPr>
                <w:rFonts w:ascii="宋体" w:hAnsi="宋体" w:eastAsia="宋体" w:cs="宋体"/>
                <w:sz w:val="18"/>
                <w:szCs w:val="18"/>
              </w:rPr>
            </w:pPr>
            <w:r>
              <w:rPr>
                <w:rFonts w:ascii="宋体" w:hAnsi="宋体" w:eastAsia="宋体" w:cs="宋体"/>
                <w:spacing w:val="-19"/>
                <w:position w:val="1"/>
                <w:sz w:val="18"/>
                <w:szCs w:val="18"/>
              </w:rPr>
              <w:t>1.69</w:t>
            </w:r>
          </w:p>
        </w:tc>
        <w:tc>
          <w:tcPr>
            <w:tcW w:w="1423" w:type="dxa"/>
            <w:vAlign w:val="top"/>
          </w:tcPr>
          <w:p>
            <w:pPr>
              <w:spacing w:before="149" w:line="241" w:lineRule="exact"/>
              <w:ind w:left="544"/>
              <w:rPr>
                <w:rFonts w:ascii="宋体" w:hAnsi="宋体" w:eastAsia="宋体" w:cs="宋体"/>
                <w:sz w:val="18"/>
                <w:szCs w:val="18"/>
              </w:rPr>
            </w:pPr>
            <w:r>
              <w:rPr>
                <w:rFonts w:ascii="宋体" w:hAnsi="宋体" w:eastAsia="宋体" w:cs="宋体"/>
                <w:spacing w:val="-14"/>
                <w:position w:val="1"/>
                <w:sz w:val="18"/>
                <w:szCs w:val="18"/>
              </w:rPr>
              <w:t>0.15</w:t>
            </w:r>
          </w:p>
        </w:tc>
        <w:tc>
          <w:tcPr>
            <w:tcW w:w="1423" w:type="dxa"/>
            <w:vAlign w:val="top"/>
          </w:tcPr>
          <w:p>
            <w:pPr>
              <w:spacing w:before="149" w:line="241" w:lineRule="exact"/>
              <w:ind w:left="546"/>
              <w:rPr>
                <w:rFonts w:ascii="宋体" w:hAnsi="宋体" w:eastAsia="宋体" w:cs="宋体"/>
                <w:sz w:val="18"/>
                <w:szCs w:val="18"/>
              </w:rPr>
            </w:pPr>
            <w:r>
              <w:rPr>
                <w:rFonts w:ascii="宋体" w:hAnsi="宋体" w:eastAsia="宋体" w:cs="宋体"/>
                <w:spacing w:val="-14"/>
                <w:position w:val="1"/>
                <w:sz w:val="18"/>
                <w:szCs w:val="18"/>
              </w:rPr>
              <w:t>0.34</w:t>
            </w:r>
          </w:p>
        </w:tc>
        <w:tc>
          <w:tcPr>
            <w:tcW w:w="1442" w:type="dxa"/>
            <w:tcBorders>
              <w:right w:val="single" w:color="000000" w:sz="4" w:space="0"/>
            </w:tcBorders>
            <w:vAlign w:val="top"/>
          </w:tcPr>
          <w:p>
            <w:pPr>
              <w:spacing w:before="149" w:line="241" w:lineRule="exact"/>
              <w:ind w:left="579"/>
              <w:rPr>
                <w:rFonts w:ascii="宋体" w:hAnsi="宋体" w:eastAsia="宋体" w:cs="宋体"/>
                <w:sz w:val="18"/>
                <w:szCs w:val="18"/>
              </w:rPr>
            </w:pPr>
            <w:r>
              <w:rPr>
                <w:rFonts w:ascii="宋体" w:hAnsi="宋体" w:eastAsia="宋体" w:cs="宋体"/>
                <w:spacing w:val="-19"/>
                <w:position w:val="1"/>
                <w:sz w:val="18"/>
                <w:szCs w:val="18"/>
              </w:rPr>
              <w:t>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907" w:type="dxa"/>
            <w:vMerge w:val="restart"/>
            <w:tcBorders>
              <w:left w:val="single" w:color="000000" w:sz="4" w:space="0"/>
              <w:bottom w:val="nil"/>
            </w:tcBorders>
            <w:vAlign w:val="top"/>
          </w:tcPr>
          <w:p>
            <w:pPr>
              <w:spacing w:before="236" w:line="326" w:lineRule="auto"/>
              <w:ind w:left="275" w:right="265" w:firstLine="1"/>
              <w:rPr>
                <w:rFonts w:ascii="宋体" w:hAnsi="宋体" w:eastAsia="宋体" w:cs="宋体"/>
                <w:sz w:val="18"/>
                <w:szCs w:val="18"/>
              </w:rPr>
            </w:pPr>
            <w:r>
              <w:rPr>
                <w:rFonts w:ascii="宋体" w:hAnsi="宋体" w:eastAsia="宋体" w:cs="宋体"/>
                <w:spacing w:val="-2"/>
                <w:sz w:val="18"/>
                <w:szCs w:val="18"/>
              </w:rPr>
              <w:t>房屋修缮</w:t>
            </w:r>
          </w:p>
        </w:tc>
        <w:tc>
          <w:tcPr>
            <w:tcW w:w="2461" w:type="dxa"/>
            <w:vAlign w:val="top"/>
          </w:tcPr>
          <w:p>
            <w:pPr>
              <w:spacing w:before="164"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52" w:line="236" w:lineRule="exact"/>
              <w:ind w:left="545"/>
              <w:rPr>
                <w:rFonts w:ascii="宋体" w:hAnsi="宋体" w:eastAsia="宋体" w:cs="宋体"/>
                <w:sz w:val="18"/>
                <w:szCs w:val="18"/>
              </w:rPr>
            </w:pPr>
            <w:r>
              <w:rPr>
                <w:rFonts w:ascii="宋体" w:hAnsi="宋体" w:eastAsia="宋体" w:cs="宋体"/>
                <w:spacing w:val="-16"/>
                <w:position w:val="1"/>
                <w:sz w:val="18"/>
                <w:szCs w:val="18"/>
              </w:rPr>
              <w:t>3.47</w:t>
            </w:r>
          </w:p>
        </w:tc>
        <w:tc>
          <w:tcPr>
            <w:tcW w:w="1423" w:type="dxa"/>
            <w:vAlign w:val="top"/>
          </w:tcPr>
          <w:p>
            <w:pPr>
              <w:spacing w:before="152" w:line="236" w:lineRule="exact"/>
              <w:ind w:left="544"/>
              <w:rPr>
                <w:rFonts w:ascii="宋体" w:hAnsi="宋体" w:eastAsia="宋体" w:cs="宋体"/>
                <w:sz w:val="18"/>
                <w:szCs w:val="18"/>
              </w:rPr>
            </w:pPr>
            <w:r>
              <w:rPr>
                <w:rFonts w:ascii="宋体" w:hAnsi="宋体" w:eastAsia="宋体" w:cs="宋体"/>
                <w:spacing w:val="-14"/>
                <w:position w:val="1"/>
                <w:sz w:val="18"/>
                <w:szCs w:val="18"/>
              </w:rPr>
              <w:t>0.25</w:t>
            </w:r>
          </w:p>
        </w:tc>
        <w:tc>
          <w:tcPr>
            <w:tcW w:w="1423" w:type="dxa"/>
            <w:vAlign w:val="top"/>
          </w:tcPr>
          <w:p>
            <w:pPr>
              <w:spacing w:before="152" w:line="236" w:lineRule="exact"/>
              <w:ind w:left="546"/>
              <w:rPr>
                <w:rFonts w:ascii="宋体" w:hAnsi="宋体" w:eastAsia="宋体" w:cs="宋体"/>
                <w:sz w:val="18"/>
                <w:szCs w:val="18"/>
              </w:rPr>
            </w:pPr>
            <w:r>
              <w:rPr>
                <w:rFonts w:ascii="宋体" w:hAnsi="宋体" w:eastAsia="宋体" w:cs="宋体"/>
                <w:spacing w:val="-14"/>
                <w:position w:val="1"/>
                <w:sz w:val="18"/>
                <w:szCs w:val="18"/>
              </w:rPr>
              <w:t>0.53</w:t>
            </w:r>
          </w:p>
        </w:tc>
        <w:tc>
          <w:tcPr>
            <w:tcW w:w="1442" w:type="dxa"/>
            <w:tcBorders>
              <w:right w:val="single" w:color="000000" w:sz="4" w:space="0"/>
            </w:tcBorders>
            <w:vAlign w:val="top"/>
          </w:tcPr>
          <w:p>
            <w:pPr>
              <w:spacing w:before="152" w:line="236" w:lineRule="exact"/>
              <w:ind w:left="579"/>
              <w:rPr>
                <w:rFonts w:ascii="宋体" w:hAnsi="宋体" w:eastAsia="宋体" w:cs="宋体"/>
                <w:sz w:val="18"/>
                <w:szCs w:val="18"/>
              </w:rPr>
            </w:pPr>
            <w:r>
              <w:rPr>
                <w:rFonts w:ascii="宋体" w:hAnsi="宋体" w:eastAsia="宋体" w:cs="宋体"/>
                <w:spacing w:val="-19"/>
                <w:position w:val="1"/>
                <w:sz w:val="18"/>
                <w:szCs w:val="18"/>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8" w:hRule="atLeast"/>
        </w:trPr>
        <w:tc>
          <w:tcPr>
            <w:tcW w:w="907" w:type="dxa"/>
            <w:vMerge w:val="continue"/>
            <w:tcBorders>
              <w:top w:val="nil"/>
              <w:left w:val="single" w:color="000000" w:sz="4" w:space="0"/>
            </w:tcBorders>
            <w:vAlign w:val="top"/>
          </w:tcPr>
          <w:p>
            <w:pPr>
              <w:pStyle w:val="6"/>
            </w:pPr>
          </w:p>
        </w:tc>
        <w:tc>
          <w:tcPr>
            <w:tcW w:w="2461" w:type="dxa"/>
            <w:vAlign w:val="top"/>
          </w:tcPr>
          <w:p>
            <w:pPr>
              <w:spacing w:before="168"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56" w:line="259" w:lineRule="exact"/>
              <w:ind w:left="539"/>
              <w:rPr>
                <w:rFonts w:ascii="宋体" w:hAnsi="宋体" w:eastAsia="宋体" w:cs="宋体"/>
                <w:sz w:val="18"/>
                <w:szCs w:val="18"/>
              </w:rPr>
            </w:pPr>
            <w:r>
              <w:rPr>
                <w:rFonts w:ascii="宋体" w:hAnsi="宋体" w:eastAsia="宋体" w:cs="宋体"/>
                <w:spacing w:val="-15"/>
                <w:position w:val="2"/>
                <w:sz w:val="18"/>
                <w:szCs w:val="18"/>
              </w:rPr>
              <w:t>2.32</w:t>
            </w:r>
          </w:p>
        </w:tc>
        <w:tc>
          <w:tcPr>
            <w:tcW w:w="1423" w:type="dxa"/>
            <w:vAlign w:val="top"/>
          </w:tcPr>
          <w:p>
            <w:pPr>
              <w:spacing w:before="156" w:line="259" w:lineRule="exact"/>
              <w:ind w:left="544"/>
              <w:rPr>
                <w:rFonts w:ascii="宋体" w:hAnsi="宋体" w:eastAsia="宋体" w:cs="宋体"/>
                <w:sz w:val="18"/>
                <w:szCs w:val="18"/>
              </w:rPr>
            </w:pPr>
            <w:r>
              <w:rPr>
                <w:rFonts w:ascii="宋体" w:hAnsi="宋体" w:eastAsia="宋体" w:cs="宋体"/>
                <w:spacing w:val="-14"/>
                <w:position w:val="1"/>
                <w:sz w:val="18"/>
                <w:szCs w:val="18"/>
              </w:rPr>
              <w:t>0.31</w:t>
            </w:r>
          </w:p>
        </w:tc>
        <w:tc>
          <w:tcPr>
            <w:tcW w:w="1423" w:type="dxa"/>
            <w:vAlign w:val="top"/>
          </w:tcPr>
          <w:p>
            <w:pPr>
              <w:spacing w:before="156" w:line="259" w:lineRule="exact"/>
              <w:ind w:left="546"/>
              <w:rPr>
                <w:rFonts w:ascii="宋体" w:hAnsi="宋体" w:eastAsia="宋体" w:cs="宋体"/>
                <w:sz w:val="18"/>
                <w:szCs w:val="18"/>
              </w:rPr>
            </w:pPr>
            <w:r>
              <w:rPr>
                <w:rFonts w:ascii="宋体" w:hAnsi="宋体" w:eastAsia="宋体" w:cs="宋体"/>
                <w:spacing w:val="-14"/>
                <w:position w:val="2"/>
                <w:sz w:val="18"/>
                <w:szCs w:val="18"/>
              </w:rPr>
              <w:t>0.62</w:t>
            </w:r>
          </w:p>
        </w:tc>
        <w:tc>
          <w:tcPr>
            <w:tcW w:w="1442" w:type="dxa"/>
            <w:tcBorders>
              <w:right w:val="single" w:color="000000" w:sz="4" w:space="0"/>
            </w:tcBorders>
            <w:vAlign w:val="top"/>
          </w:tcPr>
          <w:p>
            <w:pPr>
              <w:spacing w:before="156" w:line="259" w:lineRule="exact"/>
              <w:ind w:left="579"/>
              <w:rPr>
                <w:rFonts w:ascii="宋体" w:hAnsi="宋体" w:eastAsia="宋体" w:cs="宋体"/>
                <w:sz w:val="18"/>
                <w:szCs w:val="18"/>
              </w:rPr>
            </w:pPr>
            <w:r>
              <w:rPr>
                <w:rFonts w:ascii="宋体" w:hAnsi="宋体" w:eastAsia="宋体" w:cs="宋体"/>
                <w:spacing w:val="-19"/>
                <w:position w:val="1"/>
                <w:sz w:val="18"/>
                <w:szCs w:val="18"/>
              </w:rPr>
              <w:t>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69" w:line="215" w:lineRule="auto"/>
              <w:ind w:left="1062"/>
              <w:rPr>
                <w:rFonts w:ascii="宋体" w:hAnsi="宋体" w:eastAsia="宋体" w:cs="宋体"/>
                <w:sz w:val="18"/>
                <w:szCs w:val="18"/>
              </w:rPr>
            </w:pPr>
            <w:r>
              <w:rPr>
                <w:rFonts w:ascii="宋体" w:hAnsi="宋体" w:eastAsia="宋体" w:cs="宋体"/>
                <w:spacing w:val="-4"/>
                <w:sz w:val="18"/>
                <w:szCs w:val="18"/>
              </w:rPr>
              <w:t>古建筑修缮工程</w:t>
            </w:r>
          </w:p>
        </w:tc>
        <w:tc>
          <w:tcPr>
            <w:tcW w:w="1423" w:type="dxa"/>
            <w:vAlign w:val="top"/>
          </w:tcPr>
          <w:p>
            <w:pPr>
              <w:spacing w:before="157" w:line="237" w:lineRule="auto"/>
              <w:ind w:left="545"/>
              <w:rPr>
                <w:rFonts w:ascii="宋体" w:hAnsi="宋体" w:eastAsia="宋体" w:cs="宋体"/>
                <w:sz w:val="18"/>
                <w:szCs w:val="18"/>
              </w:rPr>
            </w:pPr>
            <w:r>
              <w:rPr>
                <w:rFonts w:ascii="宋体" w:hAnsi="宋体" w:eastAsia="宋体" w:cs="宋体"/>
                <w:spacing w:val="-16"/>
                <w:sz w:val="18"/>
                <w:szCs w:val="18"/>
              </w:rPr>
              <w:t>3.44</w:t>
            </w:r>
          </w:p>
        </w:tc>
        <w:tc>
          <w:tcPr>
            <w:tcW w:w="1423" w:type="dxa"/>
            <w:vAlign w:val="top"/>
          </w:tcPr>
          <w:p>
            <w:pPr>
              <w:spacing w:before="157" w:line="237" w:lineRule="auto"/>
              <w:ind w:left="544"/>
              <w:rPr>
                <w:rFonts w:ascii="宋体" w:hAnsi="宋体" w:eastAsia="宋体" w:cs="宋体"/>
                <w:sz w:val="18"/>
                <w:szCs w:val="18"/>
              </w:rPr>
            </w:pPr>
            <w:r>
              <w:rPr>
                <w:rFonts w:ascii="宋体" w:hAnsi="宋体" w:eastAsia="宋体" w:cs="宋体"/>
                <w:spacing w:val="-14"/>
                <w:sz w:val="18"/>
                <w:szCs w:val="18"/>
              </w:rPr>
              <w:t>0.24</w:t>
            </w:r>
          </w:p>
        </w:tc>
        <w:tc>
          <w:tcPr>
            <w:tcW w:w="1423" w:type="dxa"/>
            <w:vAlign w:val="top"/>
          </w:tcPr>
          <w:p>
            <w:pPr>
              <w:spacing w:before="157" w:line="237" w:lineRule="auto"/>
              <w:ind w:left="546"/>
              <w:rPr>
                <w:rFonts w:ascii="宋体" w:hAnsi="宋体" w:eastAsia="宋体" w:cs="宋体"/>
                <w:sz w:val="18"/>
                <w:szCs w:val="18"/>
              </w:rPr>
            </w:pPr>
            <w:r>
              <w:rPr>
                <w:rFonts w:ascii="宋体" w:hAnsi="宋体" w:eastAsia="宋体" w:cs="宋体"/>
                <w:spacing w:val="-14"/>
                <w:sz w:val="18"/>
                <w:szCs w:val="18"/>
              </w:rPr>
              <w:t>0.52</w:t>
            </w:r>
          </w:p>
        </w:tc>
        <w:tc>
          <w:tcPr>
            <w:tcW w:w="1442" w:type="dxa"/>
            <w:tcBorders>
              <w:right w:val="single" w:color="000000" w:sz="4" w:space="0"/>
            </w:tcBorders>
            <w:vAlign w:val="top"/>
          </w:tcPr>
          <w:p>
            <w:pPr>
              <w:spacing w:before="157" w:line="237" w:lineRule="auto"/>
              <w:ind w:left="579"/>
              <w:rPr>
                <w:rFonts w:ascii="宋体" w:hAnsi="宋体" w:eastAsia="宋体" w:cs="宋体"/>
                <w:sz w:val="18"/>
                <w:szCs w:val="18"/>
              </w:rPr>
            </w:pPr>
            <w:r>
              <w:rPr>
                <w:rFonts w:ascii="宋体" w:hAnsi="宋体" w:eastAsia="宋体" w:cs="宋体"/>
                <w:spacing w:val="-19"/>
                <w:sz w:val="18"/>
                <w:szCs w:val="18"/>
              </w:rPr>
              <w:t>1.34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368" w:type="dxa"/>
            <w:gridSpan w:val="2"/>
            <w:tcBorders>
              <w:left w:val="single" w:color="000000" w:sz="4" w:space="0"/>
              <w:bottom w:val="single" w:color="000000" w:sz="4" w:space="0"/>
            </w:tcBorders>
            <w:vAlign w:val="top"/>
          </w:tcPr>
          <w:p>
            <w:pPr>
              <w:spacing w:before="155" w:line="215" w:lineRule="auto"/>
              <w:ind w:left="1150"/>
              <w:rPr>
                <w:rFonts w:ascii="宋体" w:hAnsi="宋体" w:eastAsia="宋体" w:cs="宋体"/>
                <w:sz w:val="18"/>
                <w:szCs w:val="18"/>
              </w:rPr>
            </w:pPr>
            <w:r>
              <w:rPr>
                <w:rFonts w:ascii="宋体" w:hAnsi="宋体" w:eastAsia="宋体" w:cs="宋体"/>
                <w:spacing w:val="-4"/>
                <w:sz w:val="18"/>
                <w:szCs w:val="18"/>
              </w:rPr>
              <w:t>仿古建筑工程</w:t>
            </w:r>
          </w:p>
        </w:tc>
        <w:tc>
          <w:tcPr>
            <w:tcW w:w="1423" w:type="dxa"/>
            <w:tcBorders>
              <w:bottom w:val="single" w:color="000000" w:sz="4" w:space="0"/>
            </w:tcBorders>
            <w:vAlign w:val="top"/>
          </w:tcPr>
          <w:p>
            <w:pPr>
              <w:spacing w:before="161" w:line="255" w:lineRule="exact"/>
              <w:ind w:left="545"/>
              <w:rPr>
                <w:rFonts w:ascii="宋体" w:hAnsi="宋体" w:eastAsia="宋体" w:cs="宋体"/>
                <w:sz w:val="18"/>
                <w:szCs w:val="18"/>
              </w:rPr>
            </w:pPr>
            <w:r>
              <w:rPr>
                <w:rFonts w:ascii="宋体" w:hAnsi="宋体" w:eastAsia="宋体" w:cs="宋体"/>
                <w:spacing w:val="-16"/>
                <w:position w:val="1"/>
                <w:sz w:val="18"/>
                <w:szCs w:val="18"/>
              </w:rPr>
              <w:t>3.44</w:t>
            </w:r>
          </w:p>
        </w:tc>
        <w:tc>
          <w:tcPr>
            <w:tcW w:w="1423" w:type="dxa"/>
            <w:tcBorders>
              <w:bottom w:val="single" w:color="000000" w:sz="4" w:space="0"/>
            </w:tcBorders>
            <w:vAlign w:val="top"/>
          </w:tcPr>
          <w:p>
            <w:pPr>
              <w:spacing w:before="161" w:line="255" w:lineRule="exact"/>
              <w:ind w:left="544"/>
              <w:rPr>
                <w:rFonts w:ascii="宋体" w:hAnsi="宋体" w:eastAsia="宋体" w:cs="宋体"/>
                <w:sz w:val="18"/>
                <w:szCs w:val="18"/>
              </w:rPr>
            </w:pPr>
            <w:r>
              <w:rPr>
                <w:rFonts w:ascii="宋体" w:hAnsi="宋体" w:eastAsia="宋体" w:cs="宋体"/>
                <w:spacing w:val="-14"/>
                <w:position w:val="1"/>
                <w:sz w:val="18"/>
                <w:szCs w:val="18"/>
              </w:rPr>
              <w:t>0.64</w:t>
            </w:r>
          </w:p>
        </w:tc>
        <w:tc>
          <w:tcPr>
            <w:tcW w:w="1423" w:type="dxa"/>
            <w:tcBorders>
              <w:bottom w:val="single" w:color="000000" w:sz="4" w:space="0"/>
            </w:tcBorders>
            <w:vAlign w:val="top"/>
          </w:tcPr>
          <w:p>
            <w:pPr>
              <w:spacing w:before="161" w:line="255" w:lineRule="exact"/>
              <w:ind w:left="546"/>
              <w:rPr>
                <w:rFonts w:ascii="宋体" w:hAnsi="宋体" w:eastAsia="宋体" w:cs="宋体"/>
                <w:sz w:val="18"/>
                <w:szCs w:val="18"/>
              </w:rPr>
            </w:pPr>
            <w:r>
              <w:rPr>
                <w:rFonts w:ascii="宋体" w:hAnsi="宋体" w:eastAsia="宋体" w:cs="宋体"/>
                <w:spacing w:val="-14"/>
                <w:position w:val="1"/>
                <w:sz w:val="18"/>
                <w:szCs w:val="18"/>
              </w:rPr>
              <w:t>0.55</w:t>
            </w:r>
          </w:p>
        </w:tc>
        <w:tc>
          <w:tcPr>
            <w:tcW w:w="1442" w:type="dxa"/>
            <w:tcBorders>
              <w:bottom w:val="single" w:color="000000" w:sz="4" w:space="0"/>
              <w:right w:val="single" w:color="000000" w:sz="4" w:space="0"/>
            </w:tcBorders>
            <w:vAlign w:val="top"/>
          </w:tcPr>
          <w:p>
            <w:pPr>
              <w:spacing w:before="161" w:line="255" w:lineRule="exact"/>
              <w:ind w:left="551"/>
              <w:rPr>
                <w:rFonts w:ascii="宋体" w:hAnsi="宋体" w:eastAsia="宋体" w:cs="宋体"/>
                <w:sz w:val="18"/>
                <w:szCs w:val="18"/>
              </w:rPr>
            </w:pPr>
            <w:r>
              <w:rPr>
                <w:rFonts w:ascii="宋体" w:hAnsi="宋体" w:eastAsia="宋体" w:cs="宋体"/>
                <w:spacing w:val="-14"/>
                <w:position w:val="1"/>
                <w:sz w:val="18"/>
                <w:szCs w:val="18"/>
              </w:rPr>
              <w:t>0.90</w:t>
            </w:r>
          </w:p>
        </w:tc>
      </w:tr>
    </w:tbl>
    <w:p>
      <w:pPr>
        <w:rPr>
          <w:rFonts w:ascii="Arial"/>
          <w:sz w:val="21"/>
        </w:rPr>
      </w:pPr>
    </w:p>
    <w:p>
      <w:pPr>
        <w:rPr>
          <w:rFonts w:ascii="Arial" w:hAnsi="Arial" w:eastAsia="Arial" w:cs="Arial"/>
          <w:sz w:val="21"/>
          <w:szCs w:val="21"/>
        </w:rPr>
        <w:sectPr>
          <w:footerReference r:id="rId72" w:type="default"/>
          <w:pgSz w:w="11905" w:h="16840"/>
          <w:pgMar w:top="400" w:right="1382"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7"/>
          <w:position w:val="1"/>
          <w:sz w:val="20"/>
          <w:szCs w:val="20"/>
        </w:rPr>
        <w:t>2.简易计税法（单位：</w:t>
      </w:r>
      <w:r>
        <w:rPr>
          <w:rFonts w:ascii="宋体" w:hAnsi="宋体" w:eastAsia="宋体" w:cs="宋体"/>
          <w:spacing w:val="-49"/>
          <w:position w:val="1"/>
          <w:sz w:val="20"/>
          <w:szCs w:val="20"/>
        </w:rPr>
        <w:t xml:space="preserve"> </w:t>
      </w:r>
      <w:r>
        <w:rPr>
          <w:rFonts w:ascii="宋体" w:hAnsi="宋体" w:eastAsia="宋体" w:cs="宋体"/>
          <w:spacing w:val="17"/>
          <w:position w:val="1"/>
          <w:sz w:val="20"/>
          <w:szCs w:val="20"/>
        </w:rPr>
        <w:t>%）</w:t>
      </w:r>
    </w:p>
    <w:p>
      <w:pPr>
        <w:spacing w:line="110" w:lineRule="auto"/>
        <w:rPr>
          <w:rFonts w:ascii="Arial"/>
          <w:sz w:val="2"/>
        </w:rPr>
      </w:pPr>
    </w:p>
    <w:tbl>
      <w:tblPr>
        <w:tblStyle w:val="5"/>
        <w:tblW w:w="9115"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792"/>
        <w:gridCol w:w="1236"/>
        <w:gridCol w:w="1236"/>
        <w:gridCol w:w="1236"/>
        <w:gridCol w:w="1235"/>
        <w:gridCol w:w="14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3" w:hRule="atLeast"/>
        </w:trPr>
        <w:tc>
          <w:tcPr>
            <w:tcW w:w="2721" w:type="dxa"/>
            <w:gridSpan w:val="2"/>
            <w:tcBorders>
              <w:top w:val="single" w:color="000000" w:sz="4" w:space="0"/>
              <w:left w:val="single" w:color="000000" w:sz="4" w:space="0"/>
              <w:tl2br w:val="single" w:color="000000" w:sz="2" w:space="0"/>
            </w:tcBorders>
            <w:vAlign w:val="top"/>
          </w:tcPr>
          <w:p>
            <w:pPr>
              <w:spacing w:before="121" w:line="247" w:lineRule="auto"/>
              <w:ind w:left="124" w:right="492" w:firstLine="1389"/>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236" w:type="dxa"/>
            <w:tcBorders>
              <w:top w:val="single" w:color="000000" w:sz="4" w:space="0"/>
            </w:tcBorders>
            <w:vAlign w:val="top"/>
          </w:tcPr>
          <w:p>
            <w:pPr>
              <w:spacing w:before="129" w:line="243" w:lineRule="auto"/>
              <w:ind w:left="352" w:right="252"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236" w:type="dxa"/>
            <w:tcBorders>
              <w:top w:val="single" w:color="000000" w:sz="4" w:space="0"/>
            </w:tcBorders>
            <w:vAlign w:val="top"/>
          </w:tcPr>
          <w:p>
            <w:pPr>
              <w:spacing w:before="97" w:line="259" w:lineRule="auto"/>
              <w:ind w:left="354" w:right="355" w:firstLine="7"/>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5"/>
                <w:w w:val="101"/>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236" w:type="dxa"/>
            <w:tcBorders>
              <w:top w:val="single" w:color="000000" w:sz="4" w:space="0"/>
            </w:tcBorders>
            <w:vAlign w:val="top"/>
          </w:tcPr>
          <w:p>
            <w:pPr>
              <w:spacing w:before="128" w:line="223" w:lineRule="auto"/>
              <w:ind w:left="276"/>
              <w:rPr>
                <w:rFonts w:ascii="黑体" w:hAnsi="黑体" w:eastAsia="黑体" w:cs="黑体"/>
                <w:sz w:val="18"/>
                <w:szCs w:val="18"/>
              </w:rPr>
            </w:pPr>
            <w:r>
              <w:rPr>
                <w:rFonts w:ascii="黑体" w:hAnsi="黑体" w:eastAsia="黑体" w:cs="黑体"/>
                <w:spacing w:val="-3"/>
                <w:sz w:val="18"/>
                <w:szCs w:val="18"/>
              </w:rPr>
              <w:t>冬雨季施</w:t>
            </w:r>
          </w:p>
          <w:p>
            <w:pPr>
              <w:spacing w:before="17" w:line="223" w:lineRule="auto"/>
              <w:ind w:left="273"/>
              <w:rPr>
                <w:rFonts w:ascii="黑体" w:hAnsi="黑体" w:eastAsia="黑体" w:cs="黑体"/>
                <w:sz w:val="18"/>
                <w:szCs w:val="18"/>
              </w:rPr>
            </w:pPr>
            <w:r>
              <w:rPr>
                <w:rFonts w:ascii="黑体" w:hAnsi="黑体" w:eastAsia="黑体" w:cs="黑体"/>
                <w:spacing w:val="-5"/>
                <w:sz w:val="18"/>
                <w:szCs w:val="18"/>
              </w:rPr>
              <w:t>工增加费</w:t>
            </w:r>
          </w:p>
        </w:tc>
        <w:tc>
          <w:tcPr>
            <w:tcW w:w="1235" w:type="dxa"/>
            <w:tcBorders>
              <w:top w:val="single" w:color="000000" w:sz="4" w:space="0"/>
            </w:tcBorders>
            <w:vAlign w:val="top"/>
          </w:tcPr>
          <w:p>
            <w:pPr>
              <w:spacing w:before="128" w:line="221" w:lineRule="auto"/>
              <w:ind w:left="212"/>
              <w:rPr>
                <w:rFonts w:ascii="黑体" w:hAnsi="黑体" w:eastAsia="黑体" w:cs="黑体"/>
                <w:sz w:val="18"/>
                <w:szCs w:val="18"/>
              </w:rPr>
            </w:pPr>
            <w:r>
              <w:rPr>
                <w:rFonts w:ascii="黑体" w:hAnsi="黑体" w:eastAsia="黑体" w:cs="黑体"/>
                <w:spacing w:val="-6"/>
                <w:sz w:val="18"/>
                <w:szCs w:val="18"/>
              </w:rPr>
              <w:t>已完工程及</w:t>
            </w:r>
          </w:p>
          <w:p>
            <w:pPr>
              <w:spacing w:before="19" w:line="222" w:lineRule="auto"/>
              <w:ind w:left="187"/>
              <w:rPr>
                <w:rFonts w:ascii="黑体" w:hAnsi="黑体" w:eastAsia="黑体" w:cs="黑体"/>
                <w:sz w:val="18"/>
                <w:szCs w:val="18"/>
              </w:rPr>
            </w:pPr>
            <w:r>
              <w:rPr>
                <w:rFonts w:ascii="黑体" w:hAnsi="黑体" w:eastAsia="黑体" w:cs="黑体"/>
                <w:spacing w:val="-4"/>
                <w:sz w:val="18"/>
                <w:szCs w:val="18"/>
              </w:rPr>
              <w:t>设备保护费</w:t>
            </w:r>
          </w:p>
        </w:tc>
        <w:tc>
          <w:tcPr>
            <w:tcW w:w="1451" w:type="dxa"/>
            <w:tcBorders>
              <w:top w:val="single" w:color="000000" w:sz="4" w:space="0"/>
              <w:right w:val="single" w:color="000000" w:sz="4" w:space="0"/>
            </w:tcBorders>
            <w:vAlign w:val="top"/>
          </w:tcPr>
          <w:p>
            <w:pPr>
              <w:spacing w:before="128" w:line="243" w:lineRule="auto"/>
              <w:ind w:left="195" w:right="89" w:hanging="50"/>
              <w:rPr>
                <w:rFonts w:ascii="黑体" w:hAnsi="黑体" w:eastAsia="黑体" w:cs="黑体"/>
                <w:sz w:val="18"/>
                <w:szCs w:val="18"/>
              </w:rPr>
            </w:pPr>
            <w:r>
              <w:rPr>
                <w:rFonts w:ascii="黑体" w:hAnsi="黑体" w:eastAsia="黑体" w:cs="黑体"/>
                <w:spacing w:val="-8"/>
                <w:sz w:val="18"/>
                <w:szCs w:val="18"/>
              </w:rPr>
              <w:t>既有建（构）筑</w:t>
            </w:r>
            <w:r>
              <w:rPr>
                <w:rFonts w:ascii="黑体" w:hAnsi="黑体" w:eastAsia="黑体" w:cs="黑体"/>
                <w:spacing w:val="-4"/>
                <w:sz w:val="18"/>
                <w:szCs w:val="18"/>
              </w:rPr>
              <w:t>物及设施保护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721" w:type="dxa"/>
            <w:gridSpan w:val="2"/>
            <w:tcBorders>
              <w:left w:val="single" w:color="000000" w:sz="4" w:space="0"/>
            </w:tcBorders>
            <w:vAlign w:val="top"/>
          </w:tcPr>
          <w:p>
            <w:pPr>
              <w:spacing w:before="151" w:line="215" w:lineRule="auto"/>
              <w:ind w:left="1005"/>
              <w:rPr>
                <w:rFonts w:ascii="宋体" w:hAnsi="宋体" w:eastAsia="宋体" w:cs="宋体"/>
                <w:sz w:val="18"/>
                <w:szCs w:val="18"/>
              </w:rPr>
            </w:pPr>
            <w:r>
              <w:rPr>
                <w:rFonts w:ascii="宋体" w:hAnsi="宋体" w:eastAsia="宋体" w:cs="宋体"/>
                <w:spacing w:val="-4"/>
                <w:sz w:val="18"/>
                <w:szCs w:val="18"/>
              </w:rPr>
              <w:t>建筑工程</w:t>
            </w:r>
          </w:p>
        </w:tc>
        <w:tc>
          <w:tcPr>
            <w:tcW w:w="1236" w:type="dxa"/>
            <w:vAlign w:val="top"/>
          </w:tcPr>
          <w:p>
            <w:pPr>
              <w:spacing w:before="141" w:line="248" w:lineRule="exact"/>
              <w:ind w:left="443"/>
              <w:rPr>
                <w:rFonts w:ascii="宋体" w:hAnsi="宋体" w:eastAsia="宋体" w:cs="宋体"/>
                <w:sz w:val="18"/>
                <w:szCs w:val="18"/>
              </w:rPr>
            </w:pPr>
            <w:r>
              <w:rPr>
                <w:rFonts w:ascii="宋体" w:hAnsi="宋体" w:eastAsia="宋体" w:cs="宋体"/>
                <w:spacing w:val="-15"/>
                <w:position w:val="1"/>
                <w:sz w:val="18"/>
                <w:szCs w:val="18"/>
              </w:rPr>
              <w:t>2.88</w:t>
            </w:r>
          </w:p>
        </w:tc>
        <w:tc>
          <w:tcPr>
            <w:tcW w:w="1236" w:type="dxa"/>
            <w:vAlign w:val="top"/>
          </w:tcPr>
          <w:p>
            <w:pPr>
              <w:spacing w:before="141" w:line="248" w:lineRule="exact"/>
              <w:ind w:left="445"/>
              <w:rPr>
                <w:rFonts w:ascii="宋体" w:hAnsi="宋体" w:eastAsia="宋体" w:cs="宋体"/>
                <w:sz w:val="18"/>
                <w:szCs w:val="18"/>
              </w:rPr>
            </w:pPr>
            <w:r>
              <w:rPr>
                <w:rFonts w:ascii="宋体" w:hAnsi="宋体" w:eastAsia="宋体" w:cs="宋体"/>
                <w:spacing w:val="-15"/>
                <w:position w:val="1"/>
                <w:sz w:val="18"/>
                <w:szCs w:val="18"/>
              </w:rPr>
              <w:t>2.47</w:t>
            </w:r>
          </w:p>
        </w:tc>
        <w:tc>
          <w:tcPr>
            <w:tcW w:w="1236" w:type="dxa"/>
            <w:vAlign w:val="top"/>
          </w:tcPr>
          <w:p>
            <w:pPr>
              <w:spacing w:before="141" w:line="248" w:lineRule="exact"/>
              <w:ind w:left="456"/>
              <w:rPr>
                <w:rFonts w:ascii="宋体" w:hAnsi="宋体" w:eastAsia="宋体" w:cs="宋体"/>
                <w:sz w:val="18"/>
                <w:szCs w:val="18"/>
              </w:rPr>
            </w:pPr>
            <w:r>
              <w:rPr>
                <w:rFonts w:ascii="宋体" w:hAnsi="宋体" w:eastAsia="宋体" w:cs="宋体"/>
                <w:spacing w:val="-16"/>
                <w:position w:val="1"/>
                <w:sz w:val="18"/>
                <w:szCs w:val="18"/>
              </w:rPr>
              <w:t>3.29</w:t>
            </w:r>
          </w:p>
        </w:tc>
        <w:tc>
          <w:tcPr>
            <w:tcW w:w="1235" w:type="dxa"/>
            <w:vAlign w:val="top"/>
          </w:tcPr>
          <w:p>
            <w:pPr>
              <w:spacing w:before="141" w:line="248" w:lineRule="exact"/>
              <w:ind w:left="452"/>
              <w:rPr>
                <w:rFonts w:ascii="宋体" w:hAnsi="宋体" w:eastAsia="宋体" w:cs="宋体"/>
                <w:sz w:val="18"/>
                <w:szCs w:val="18"/>
              </w:rPr>
            </w:pPr>
            <w:r>
              <w:rPr>
                <w:rFonts w:ascii="宋体" w:hAnsi="宋体" w:eastAsia="宋体" w:cs="宋体"/>
                <w:spacing w:val="-14"/>
                <w:position w:val="1"/>
                <w:sz w:val="18"/>
                <w:szCs w:val="18"/>
              </w:rPr>
              <w:t>0.56</w:t>
            </w:r>
          </w:p>
        </w:tc>
        <w:tc>
          <w:tcPr>
            <w:tcW w:w="1451" w:type="dxa"/>
            <w:tcBorders>
              <w:right w:val="single" w:color="000000" w:sz="4" w:space="0"/>
            </w:tcBorders>
            <w:vAlign w:val="top"/>
          </w:tcPr>
          <w:p>
            <w:pPr>
              <w:spacing w:before="273" w:line="116"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57" w:line="211" w:lineRule="auto"/>
              <w:ind w:left="1002"/>
              <w:rPr>
                <w:rFonts w:ascii="宋体" w:hAnsi="宋体" w:eastAsia="宋体" w:cs="宋体"/>
                <w:sz w:val="18"/>
                <w:szCs w:val="18"/>
              </w:rPr>
            </w:pPr>
            <w:r>
              <w:rPr>
                <w:rFonts w:ascii="宋体" w:hAnsi="宋体" w:eastAsia="宋体" w:cs="宋体"/>
                <w:spacing w:val="-3"/>
                <w:sz w:val="18"/>
                <w:szCs w:val="18"/>
              </w:rPr>
              <w:t>装饰工程</w:t>
            </w:r>
          </w:p>
        </w:tc>
        <w:tc>
          <w:tcPr>
            <w:tcW w:w="1236" w:type="dxa"/>
            <w:vAlign w:val="top"/>
          </w:tcPr>
          <w:p>
            <w:pPr>
              <w:spacing w:before="143" w:line="247" w:lineRule="exact"/>
              <w:ind w:left="438"/>
              <w:rPr>
                <w:rFonts w:ascii="宋体" w:hAnsi="宋体" w:eastAsia="宋体" w:cs="宋体"/>
                <w:sz w:val="18"/>
                <w:szCs w:val="18"/>
              </w:rPr>
            </w:pPr>
            <w:r>
              <w:rPr>
                <w:rFonts w:ascii="宋体" w:hAnsi="宋体" w:eastAsia="宋体" w:cs="宋体"/>
                <w:spacing w:val="-14"/>
                <w:position w:val="1"/>
                <w:sz w:val="18"/>
                <w:szCs w:val="18"/>
              </w:rPr>
              <w:t>4.14</w:t>
            </w:r>
          </w:p>
        </w:tc>
        <w:tc>
          <w:tcPr>
            <w:tcW w:w="1236" w:type="dxa"/>
            <w:vAlign w:val="top"/>
          </w:tcPr>
          <w:p>
            <w:pPr>
              <w:spacing w:before="143" w:line="247" w:lineRule="exact"/>
              <w:ind w:left="451"/>
              <w:rPr>
                <w:rFonts w:ascii="宋体" w:hAnsi="宋体" w:eastAsia="宋体" w:cs="宋体"/>
                <w:sz w:val="18"/>
                <w:szCs w:val="18"/>
              </w:rPr>
            </w:pPr>
            <w:r>
              <w:rPr>
                <w:rFonts w:ascii="宋体" w:hAnsi="宋体" w:eastAsia="宋体" w:cs="宋体"/>
                <w:spacing w:val="-15"/>
                <w:position w:val="1"/>
                <w:sz w:val="18"/>
                <w:szCs w:val="18"/>
              </w:rPr>
              <w:t>3.73</w:t>
            </w:r>
          </w:p>
        </w:tc>
        <w:tc>
          <w:tcPr>
            <w:tcW w:w="1236" w:type="dxa"/>
            <w:vAlign w:val="top"/>
          </w:tcPr>
          <w:p>
            <w:pPr>
              <w:spacing w:before="143" w:line="247" w:lineRule="exact"/>
              <w:ind w:left="445"/>
              <w:rPr>
                <w:rFonts w:ascii="宋体" w:hAnsi="宋体" w:eastAsia="宋体" w:cs="宋体"/>
                <w:sz w:val="18"/>
                <w:szCs w:val="18"/>
              </w:rPr>
            </w:pPr>
            <w:r>
              <w:rPr>
                <w:rFonts w:ascii="宋体" w:hAnsi="宋体" w:eastAsia="宋体" w:cs="宋体"/>
                <w:spacing w:val="-14"/>
                <w:position w:val="1"/>
                <w:sz w:val="18"/>
                <w:szCs w:val="18"/>
              </w:rPr>
              <w:t>4.66</w:t>
            </w:r>
          </w:p>
        </w:tc>
        <w:tc>
          <w:tcPr>
            <w:tcW w:w="1235" w:type="dxa"/>
            <w:vAlign w:val="top"/>
          </w:tcPr>
          <w:p>
            <w:pPr>
              <w:spacing w:before="143" w:line="247" w:lineRule="exact"/>
              <w:ind w:left="452"/>
              <w:rPr>
                <w:rFonts w:ascii="宋体" w:hAnsi="宋体" w:eastAsia="宋体" w:cs="宋体"/>
                <w:sz w:val="18"/>
                <w:szCs w:val="18"/>
              </w:rPr>
            </w:pPr>
            <w:r>
              <w:rPr>
                <w:rFonts w:ascii="宋体" w:hAnsi="宋体" w:eastAsia="宋体" w:cs="宋体"/>
                <w:spacing w:val="-14"/>
                <w:position w:val="1"/>
                <w:sz w:val="18"/>
                <w:szCs w:val="18"/>
              </w:rPr>
              <w:t>0.56</w:t>
            </w:r>
          </w:p>
        </w:tc>
        <w:tc>
          <w:tcPr>
            <w:tcW w:w="1451" w:type="dxa"/>
            <w:tcBorders>
              <w:right w:val="single" w:color="000000" w:sz="4" w:space="0"/>
            </w:tcBorders>
            <w:vAlign w:val="top"/>
          </w:tcPr>
          <w:p>
            <w:pPr>
              <w:spacing w:before="275" w:line="115"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58" w:line="211" w:lineRule="auto"/>
              <w:ind w:left="1008"/>
              <w:rPr>
                <w:rFonts w:ascii="宋体" w:hAnsi="宋体" w:eastAsia="宋体" w:cs="宋体"/>
                <w:sz w:val="18"/>
                <w:szCs w:val="18"/>
              </w:rPr>
            </w:pPr>
            <w:r>
              <w:rPr>
                <w:rFonts w:ascii="宋体" w:hAnsi="宋体" w:eastAsia="宋体" w:cs="宋体"/>
                <w:spacing w:val="-5"/>
                <w:sz w:val="18"/>
                <w:szCs w:val="18"/>
              </w:rPr>
              <w:t>安装工程</w:t>
            </w:r>
          </w:p>
        </w:tc>
        <w:tc>
          <w:tcPr>
            <w:tcW w:w="1236" w:type="dxa"/>
            <w:vAlign w:val="top"/>
          </w:tcPr>
          <w:p>
            <w:pPr>
              <w:spacing w:before="146" w:line="243" w:lineRule="exact"/>
              <w:ind w:left="448"/>
              <w:rPr>
                <w:rFonts w:ascii="宋体" w:hAnsi="宋体" w:eastAsia="宋体" w:cs="宋体"/>
                <w:sz w:val="18"/>
                <w:szCs w:val="18"/>
              </w:rPr>
            </w:pPr>
            <w:r>
              <w:rPr>
                <w:rFonts w:ascii="宋体" w:hAnsi="宋体" w:eastAsia="宋体" w:cs="宋体"/>
                <w:spacing w:val="-16"/>
                <w:position w:val="1"/>
                <w:sz w:val="18"/>
                <w:szCs w:val="18"/>
              </w:rPr>
              <w:t>3.49</w:t>
            </w:r>
          </w:p>
        </w:tc>
        <w:tc>
          <w:tcPr>
            <w:tcW w:w="1236" w:type="dxa"/>
            <w:vAlign w:val="top"/>
          </w:tcPr>
          <w:p>
            <w:pPr>
              <w:spacing w:before="146" w:line="243" w:lineRule="exact"/>
              <w:ind w:left="445"/>
              <w:rPr>
                <w:rFonts w:ascii="宋体" w:hAnsi="宋体" w:eastAsia="宋体" w:cs="宋体"/>
                <w:sz w:val="18"/>
                <w:szCs w:val="18"/>
              </w:rPr>
            </w:pPr>
            <w:r>
              <w:rPr>
                <w:rFonts w:ascii="宋体" w:hAnsi="宋体" w:eastAsia="宋体" w:cs="宋体"/>
                <w:spacing w:val="-15"/>
                <w:position w:val="1"/>
                <w:sz w:val="18"/>
                <w:szCs w:val="18"/>
              </w:rPr>
              <w:t>2.81</w:t>
            </w:r>
          </w:p>
        </w:tc>
        <w:tc>
          <w:tcPr>
            <w:tcW w:w="1236" w:type="dxa"/>
            <w:vAlign w:val="top"/>
          </w:tcPr>
          <w:p>
            <w:pPr>
              <w:spacing w:before="146" w:line="243" w:lineRule="exact"/>
              <w:ind w:left="456"/>
              <w:rPr>
                <w:rFonts w:ascii="宋体" w:hAnsi="宋体" w:eastAsia="宋体" w:cs="宋体"/>
                <w:sz w:val="18"/>
                <w:szCs w:val="18"/>
              </w:rPr>
            </w:pPr>
            <w:r>
              <w:rPr>
                <w:rFonts w:ascii="宋体" w:hAnsi="宋体" w:eastAsia="宋体" w:cs="宋体"/>
                <w:spacing w:val="-16"/>
                <w:position w:val="1"/>
                <w:sz w:val="18"/>
                <w:szCs w:val="18"/>
              </w:rPr>
              <w:t>3.75</w:t>
            </w:r>
          </w:p>
        </w:tc>
        <w:tc>
          <w:tcPr>
            <w:tcW w:w="1235" w:type="dxa"/>
            <w:vAlign w:val="top"/>
          </w:tcPr>
          <w:p>
            <w:pPr>
              <w:spacing w:before="146" w:line="243" w:lineRule="exact"/>
              <w:ind w:left="479"/>
              <w:rPr>
                <w:rFonts w:ascii="宋体" w:hAnsi="宋体" w:eastAsia="宋体" w:cs="宋体"/>
                <w:sz w:val="18"/>
                <w:szCs w:val="18"/>
              </w:rPr>
            </w:pPr>
            <w:r>
              <w:rPr>
                <w:rFonts w:ascii="宋体" w:hAnsi="宋体" w:eastAsia="宋体" w:cs="宋体"/>
                <w:spacing w:val="-19"/>
                <w:position w:val="1"/>
                <w:sz w:val="18"/>
                <w:szCs w:val="18"/>
              </w:rPr>
              <w:t>1.47</w:t>
            </w:r>
          </w:p>
        </w:tc>
        <w:tc>
          <w:tcPr>
            <w:tcW w:w="1451" w:type="dxa"/>
            <w:tcBorders>
              <w:right w:val="single" w:color="000000" w:sz="4" w:space="0"/>
            </w:tcBorders>
            <w:vAlign w:val="top"/>
          </w:tcPr>
          <w:p>
            <w:pPr>
              <w:spacing w:before="278" w:line="111"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721" w:type="dxa"/>
            <w:gridSpan w:val="2"/>
            <w:tcBorders>
              <w:left w:val="single" w:color="000000" w:sz="4" w:space="0"/>
            </w:tcBorders>
            <w:vAlign w:val="top"/>
          </w:tcPr>
          <w:p>
            <w:pPr>
              <w:spacing w:before="162" w:line="208" w:lineRule="auto"/>
              <w:ind w:left="850"/>
              <w:rPr>
                <w:rFonts w:ascii="宋体" w:hAnsi="宋体" w:eastAsia="宋体" w:cs="宋体"/>
                <w:sz w:val="18"/>
                <w:szCs w:val="18"/>
              </w:rPr>
            </w:pPr>
            <w:r>
              <w:rPr>
                <w:rFonts w:ascii="宋体" w:hAnsi="宋体" w:eastAsia="宋体" w:cs="宋体"/>
                <w:spacing w:val="-9"/>
                <w:sz w:val="18"/>
                <w:szCs w:val="18"/>
              </w:rPr>
              <w:t>园林绿化工程</w:t>
            </w:r>
          </w:p>
        </w:tc>
        <w:tc>
          <w:tcPr>
            <w:tcW w:w="1236" w:type="dxa"/>
            <w:vAlign w:val="top"/>
          </w:tcPr>
          <w:p>
            <w:pPr>
              <w:spacing w:before="146" w:line="243" w:lineRule="exact"/>
              <w:ind w:left="443"/>
              <w:rPr>
                <w:rFonts w:ascii="宋体" w:hAnsi="宋体" w:eastAsia="宋体" w:cs="宋体"/>
                <w:sz w:val="18"/>
                <w:szCs w:val="18"/>
              </w:rPr>
            </w:pPr>
            <w:r>
              <w:rPr>
                <w:rFonts w:ascii="宋体" w:hAnsi="宋体" w:eastAsia="宋体" w:cs="宋体"/>
                <w:spacing w:val="-14"/>
                <w:position w:val="1"/>
                <w:sz w:val="18"/>
                <w:szCs w:val="18"/>
              </w:rPr>
              <w:t>2.66</w:t>
            </w:r>
          </w:p>
        </w:tc>
        <w:tc>
          <w:tcPr>
            <w:tcW w:w="1236" w:type="dxa"/>
            <w:vAlign w:val="top"/>
          </w:tcPr>
          <w:p>
            <w:pPr>
              <w:spacing w:before="146" w:line="243" w:lineRule="exact"/>
              <w:ind w:left="448"/>
              <w:rPr>
                <w:rFonts w:ascii="宋体" w:hAnsi="宋体" w:eastAsia="宋体" w:cs="宋体"/>
                <w:sz w:val="18"/>
                <w:szCs w:val="18"/>
              </w:rPr>
            </w:pPr>
            <w:r>
              <w:rPr>
                <w:rFonts w:ascii="宋体" w:hAnsi="宋体" w:eastAsia="宋体" w:cs="宋体"/>
                <w:spacing w:val="-15"/>
                <w:position w:val="1"/>
                <w:sz w:val="18"/>
                <w:szCs w:val="18"/>
              </w:rPr>
              <w:t>5.32</w:t>
            </w:r>
          </w:p>
        </w:tc>
        <w:tc>
          <w:tcPr>
            <w:tcW w:w="1236" w:type="dxa"/>
            <w:vAlign w:val="top"/>
          </w:tcPr>
          <w:p>
            <w:pPr>
              <w:spacing w:before="146" w:line="243" w:lineRule="exact"/>
              <w:ind w:left="450"/>
              <w:rPr>
                <w:rFonts w:ascii="宋体" w:hAnsi="宋体" w:eastAsia="宋体" w:cs="宋体"/>
                <w:sz w:val="18"/>
                <w:szCs w:val="18"/>
              </w:rPr>
            </w:pPr>
            <w:r>
              <w:rPr>
                <w:rFonts w:ascii="宋体" w:hAnsi="宋体" w:eastAsia="宋体" w:cs="宋体"/>
                <w:spacing w:val="-14"/>
                <w:position w:val="1"/>
                <w:sz w:val="18"/>
                <w:szCs w:val="18"/>
              </w:rPr>
              <w:t>2.66</w:t>
            </w:r>
          </w:p>
        </w:tc>
        <w:tc>
          <w:tcPr>
            <w:tcW w:w="1235" w:type="dxa"/>
            <w:vAlign w:val="top"/>
          </w:tcPr>
          <w:p>
            <w:pPr>
              <w:spacing w:before="146" w:line="243" w:lineRule="exact"/>
              <w:ind w:left="454"/>
              <w:rPr>
                <w:rFonts w:ascii="宋体" w:hAnsi="宋体" w:eastAsia="宋体" w:cs="宋体"/>
                <w:sz w:val="18"/>
                <w:szCs w:val="18"/>
              </w:rPr>
            </w:pPr>
            <w:r>
              <w:rPr>
                <w:rFonts w:ascii="宋体" w:hAnsi="宋体" w:eastAsia="宋体" w:cs="宋体"/>
                <w:spacing w:val="-14"/>
                <w:position w:val="1"/>
                <w:sz w:val="18"/>
                <w:szCs w:val="18"/>
              </w:rPr>
              <w:t>7.10</w:t>
            </w:r>
          </w:p>
        </w:tc>
        <w:tc>
          <w:tcPr>
            <w:tcW w:w="1451" w:type="dxa"/>
            <w:tcBorders>
              <w:right w:val="single" w:color="000000" w:sz="4" w:space="0"/>
            </w:tcBorders>
            <w:vAlign w:val="top"/>
          </w:tcPr>
          <w:p>
            <w:pPr>
              <w:spacing w:before="279" w:line="110"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929" w:type="dxa"/>
            <w:vMerge w:val="restart"/>
            <w:tcBorders>
              <w:left w:val="single" w:color="000000" w:sz="4" w:space="0"/>
              <w:bottom w:val="nil"/>
            </w:tcBorders>
            <w:vAlign w:val="top"/>
          </w:tcPr>
          <w:p>
            <w:pPr>
              <w:spacing w:before="234" w:line="326" w:lineRule="auto"/>
              <w:ind w:left="285" w:right="277" w:firstLine="1"/>
              <w:rPr>
                <w:rFonts w:ascii="宋体" w:hAnsi="宋体" w:eastAsia="宋体" w:cs="宋体"/>
                <w:sz w:val="18"/>
                <w:szCs w:val="18"/>
              </w:rPr>
            </w:pPr>
            <w:r>
              <w:rPr>
                <w:rFonts w:ascii="宋体" w:hAnsi="宋体" w:eastAsia="宋体" w:cs="宋体"/>
                <w:spacing w:val="-2"/>
                <w:sz w:val="18"/>
                <w:szCs w:val="18"/>
              </w:rPr>
              <w:t>房屋修缮</w:t>
            </w:r>
          </w:p>
        </w:tc>
        <w:tc>
          <w:tcPr>
            <w:tcW w:w="1792" w:type="dxa"/>
            <w:vAlign w:val="top"/>
          </w:tcPr>
          <w:p>
            <w:pPr>
              <w:spacing w:before="163"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236" w:type="dxa"/>
            <w:vAlign w:val="top"/>
          </w:tcPr>
          <w:p>
            <w:pPr>
              <w:spacing w:before="150" w:line="239" w:lineRule="exact"/>
              <w:ind w:left="438"/>
              <w:rPr>
                <w:rFonts w:ascii="宋体" w:hAnsi="宋体" w:eastAsia="宋体" w:cs="宋体"/>
                <w:sz w:val="18"/>
                <w:szCs w:val="18"/>
              </w:rPr>
            </w:pPr>
            <w:r>
              <w:rPr>
                <w:rFonts w:ascii="宋体" w:hAnsi="宋体" w:eastAsia="宋体" w:cs="宋体"/>
                <w:spacing w:val="-14"/>
                <w:position w:val="1"/>
                <w:sz w:val="18"/>
                <w:szCs w:val="18"/>
              </w:rPr>
              <w:t>4.45</w:t>
            </w:r>
          </w:p>
        </w:tc>
        <w:tc>
          <w:tcPr>
            <w:tcW w:w="1236" w:type="dxa"/>
            <w:vAlign w:val="top"/>
          </w:tcPr>
          <w:p>
            <w:pPr>
              <w:spacing w:before="150" w:line="239" w:lineRule="exact"/>
              <w:ind w:left="451"/>
              <w:rPr>
                <w:rFonts w:ascii="宋体" w:hAnsi="宋体" w:eastAsia="宋体" w:cs="宋体"/>
                <w:sz w:val="18"/>
                <w:szCs w:val="18"/>
              </w:rPr>
            </w:pPr>
            <w:r>
              <w:rPr>
                <w:rFonts w:ascii="宋体" w:hAnsi="宋体" w:eastAsia="宋体" w:cs="宋体"/>
                <w:spacing w:val="-15"/>
                <w:position w:val="1"/>
                <w:sz w:val="18"/>
                <w:szCs w:val="18"/>
              </w:rPr>
              <w:t>3.94</w:t>
            </w:r>
          </w:p>
        </w:tc>
        <w:tc>
          <w:tcPr>
            <w:tcW w:w="1236" w:type="dxa"/>
            <w:vAlign w:val="top"/>
          </w:tcPr>
          <w:p>
            <w:pPr>
              <w:spacing w:before="150" w:line="239" w:lineRule="exact"/>
              <w:ind w:left="445"/>
              <w:rPr>
                <w:rFonts w:ascii="宋体" w:hAnsi="宋体" w:eastAsia="宋体" w:cs="宋体"/>
                <w:sz w:val="18"/>
                <w:szCs w:val="18"/>
              </w:rPr>
            </w:pPr>
            <w:r>
              <w:rPr>
                <w:rFonts w:ascii="宋体" w:hAnsi="宋体" w:eastAsia="宋体" w:cs="宋体"/>
                <w:spacing w:val="-14"/>
                <w:position w:val="1"/>
                <w:sz w:val="18"/>
                <w:szCs w:val="18"/>
              </w:rPr>
              <w:t>4.98</w:t>
            </w:r>
          </w:p>
        </w:tc>
        <w:tc>
          <w:tcPr>
            <w:tcW w:w="1235" w:type="dxa"/>
            <w:vAlign w:val="top"/>
          </w:tcPr>
          <w:p>
            <w:pPr>
              <w:spacing w:before="150" w:line="239" w:lineRule="exact"/>
              <w:ind w:left="458"/>
              <w:rPr>
                <w:rFonts w:ascii="宋体" w:hAnsi="宋体" w:eastAsia="宋体" w:cs="宋体"/>
                <w:sz w:val="18"/>
                <w:szCs w:val="18"/>
              </w:rPr>
            </w:pPr>
            <w:r>
              <w:rPr>
                <w:rFonts w:ascii="宋体" w:hAnsi="宋体" w:eastAsia="宋体" w:cs="宋体"/>
                <w:spacing w:val="-15"/>
                <w:position w:val="1"/>
                <w:sz w:val="18"/>
                <w:szCs w:val="18"/>
              </w:rPr>
              <w:t>3.20</w:t>
            </w:r>
          </w:p>
        </w:tc>
        <w:tc>
          <w:tcPr>
            <w:tcW w:w="1451" w:type="dxa"/>
            <w:tcBorders>
              <w:right w:val="single" w:color="000000" w:sz="4" w:space="0"/>
            </w:tcBorders>
            <w:vAlign w:val="top"/>
          </w:tcPr>
          <w:p>
            <w:pPr>
              <w:spacing w:before="283" w:line="106"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6" w:hRule="atLeast"/>
        </w:trPr>
        <w:tc>
          <w:tcPr>
            <w:tcW w:w="929" w:type="dxa"/>
            <w:vMerge w:val="continue"/>
            <w:tcBorders>
              <w:top w:val="nil"/>
              <w:left w:val="single" w:color="000000" w:sz="4" w:space="0"/>
            </w:tcBorders>
            <w:vAlign w:val="top"/>
          </w:tcPr>
          <w:p>
            <w:pPr>
              <w:pStyle w:val="6"/>
            </w:pPr>
          </w:p>
        </w:tc>
        <w:tc>
          <w:tcPr>
            <w:tcW w:w="1792" w:type="dxa"/>
            <w:vAlign w:val="top"/>
          </w:tcPr>
          <w:p>
            <w:pPr>
              <w:spacing w:before="167"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236" w:type="dxa"/>
            <w:vAlign w:val="top"/>
          </w:tcPr>
          <w:p>
            <w:pPr>
              <w:spacing w:before="154" w:line="260" w:lineRule="exact"/>
              <w:ind w:left="448"/>
              <w:rPr>
                <w:rFonts w:ascii="宋体" w:hAnsi="宋体" w:eastAsia="宋体" w:cs="宋体"/>
                <w:sz w:val="18"/>
                <w:szCs w:val="18"/>
              </w:rPr>
            </w:pPr>
            <w:r>
              <w:rPr>
                <w:rFonts w:ascii="宋体" w:hAnsi="宋体" w:eastAsia="宋体" w:cs="宋体"/>
                <w:spacing w:val="-16"/>
                <w:position w:val="2"/>
                <w:sz w:val="18"/>
                <w:szCs w:val="18"/>
              </w:rPr>
              <w:t>3.49</w:t>
            </w:r>
          </w:p>
        </w:tc>
        <w:tc>
          <w:tcPr>
            <w:tcW w:w="1236" w:type="dxa"/>
            <w:vAlign w:val="top"/>
          </w:tcPr>
          <w:p>
            <w:pPr>
              <w:spacing w:before="154" w:line="260" w:lineRule="exact"/>
              <w:ind w:left="451"/>
              <w:rPr>
                <w:rFonts w:ascii="宋体" w:hAnsi="宋体" w:eastAsia="宋体" w:cs="宋体"/>
                <w:sz w:val="18"/>
                <w:szCs w:val="18"/>
              </w:rPr>
            </w:pPr>
            <w:r>
              <w:rPr>
                <w:rFonts w:ascii="宋体" w:hAnsi="宋体" w:eastAsia="宋体" w:cs="宋体"/>
                <w:spacing w:val="-15"/>
                <w:position w:val="1"/>
                <w:sz w:val="18"/>
                <w:szCs w:val="18"/>
              </w:rPr>
              <w:t>3.61</w:t>
            </w:r>
          </w:p>
        </w:tc>
        <w:tc>
          <w:tcPr>
            <w:tcW w:w="1236" w:type="dxa"/>
            <w:vAlign w:val="top"/>
          </w:tcPr>
          <w:p>
            <w:pPr>
              <w:spacing w:before="154" w:line="260" w:lineRule="exact"/>
              <w:ind w:left="456"/>
              <w:rPr>
                <w:rFonts w:ascii="宋体" w:hAnsi="宋体" w:eastAsia="宋体" w:cs="宋体"/>
                <w:sz w:val="18"/>
                <w:szCs w:val="18"/>
              </w:rPr>
            </w:pPr>
            <w:r>
              <w:rPr>
                <w:rFonts w:ascii="宋体" w:hAnsi="宋体" w:eastAsia="宋体" w:cs="宋体"/>
                <w:spacing w:val="-16"/>
                <w:position w:val="2"/>
                <w:sz w:val="18"/>
                <w:szCs w:val="18"/>
              </w:rPr>
              <w:t>3.75</w:t>
            </w:r>
          </w:p>
        </w:tc>
        <w:tc>
          <w:tcPr>
            <w:tcW w:w="1235" w:type="dxa"/>
            <w:vAlign w:val="top"/>
          </w:tcPr>
          <w:p>
            <w:pPr>
              <w:spacing w:before="154" w:line="260" w:lineRule="exact"/>
              <w:ind w:left="453"/>
              <w:rPr>
                <w:rFonts w:ascii="宋体" w:hAnsi="宋体" w:eastAsia="宋体" w:cs="宋体"/>
                <w:sz w:val="18"/>
                <w:szCs w:val="18"/>
              </w:rPr>
            </w:pPr>
            <w:r>
              <w:rPr>
                <w:rFonts w:ascii="宋体" w:hAnsi="宋体" w:eastAsia="宋体" w:cs="宋体"/>
                <w:spacing w:val="-15"/>
                <w:position w:val="2"/>
                <w:sz w:val="18"/>
                <w:szCs w:val="18"/>
              </w:rPr>
              <w:t>2.09</w:t>
            </w:r>
          </w:p>
        </w:tc>
        <w:tc>
          <w:tcPr>
            <w:tcW w:w="1451" w:type="dxa"/>
            <w:tcBorders>
              <w:right w:val="single" w:color="000000" w:sz="4" w:space="0"/>
            </w:tcBorders>
            <w:vAlign w:val="top"/>
          </w:tcPr>
          <w:p>
            <w:pPr>
              <w:spacing w:before="287" w:line="126"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67" w:line="215" w:lineRule="auto"/>
              <w:ind w:left="739"/>
              <w:rPr>
                <w:rFonts w:ascii="宋体" w:hAnsi="宋体" w:eastAsia="宋体" w:cs="宋体"/>
                <w:sz w:val="18"/>
                <w:szCs w:val="18"/>
              </w:rPr>
            </w:pPr>
            <w:r>
              <w:rPr>
                <w:rFonts w:ascii="宋体" w:hAnsi="宋体" w:eastAsia="宋体" w:cs="宋体"/>
                <w:spacing w:val="-4"/>
                <w:sz w:val="18"/>
                <w:szCs w:val="18"/>
              </w:rPr>
              <w:t>古建筑修缮工程</w:t>
            </w:r>
          </w:p>
        </w:tc>
        <w:tc>
          <w:tcPr>
            <w:tcW w:w="1236" w:type="dxa"/>
            <w:vAlign w:val="top"/>
          </w:tcPr>
          <w:p>
            <w:pPr>
              <w:spacing w:before="158" w:line="237" w:lineRule="auto"/>
              <w:ind w:left="438"/>
              <w:rPr>
                <w:rFonts w:ascii="宋体" w:hAnsi="宋体" w:eastAsia="宋体" w:cs="宋体"/>
                <w:sz w:val="18"/>
                <w:szCs w:val="18"/>
              </w:rPr>
            </w:pPr>
            <w:r>
              <w:rPr>
                <w:rFonts w:ascii="宋体" w:hAnsi="宋体" w:eastAsia="宋体" w:cs="宋体"/>
                <w:spacing w:val="-14"/>
                <w:sz w:val="18"/>
                <w:szCs w:val="18"/>
              </w:rPr>
              <w:t>4.61</w:t>
            </w:r>
          </w:p>
        </w:tc>
        <w:tc>
          <w:tcPr>
            <w:tcW w:w="1236" w:type="dxa"/>
            <w:vAlign w:val="top"/>
          </w:tcPr>
          <w:p>
            <w:pPr>
              <w:spacing w:before="158" w:line="237" w:lineRule="auto"/>
              <w:ind w:left="440"/>
              <w:rPr>
                <w:rFonts w:ascii="宋体" w:hAnsi="宋体" w:eastAsia="宋体" w:cs="宋体"/>
                <w:sz w:val="18"/>
                <w:szCs w:val="18"/>
              </w:rPr>
            </w:pPr>
            <w:r>
              <w:rPr>
                <w:rFonts w:ascii="宋体" w:hAnsi="宋体" w:eastAsia="宋体" w:cs="宋体"/>
                <w:spacing w:val="-14"/>
                <w:sz w:val="18"/>
                <w:szCs w:val="18"/>
              </w:rPr>
              <w:t>4.07</w:t>
            </w:r>
          </w:p>
        </w:tc>
        <w:tc>
          <w:tcPr>
            <w:tcW w:w="1236" w:type="dxa"/>
            <w:vAlign w:val="top"/>
          </w:tcPr>
          <w:p>
            <w:pPr>
              <w:spacing w:before="158" w:line="237" w:lineRule="auto"/>
              <w:ind w:left="453"/>
              <w:rPr>
                <w:rFonts w:ascii="宋体" w:hAnsi="宋体" w:eastAsia="宋体" w:cs="宋体"/>
                <w:sz w:val="18"/>
                <w:szCs w:val="18"/>
              </w:rPr>
            </w:pPr>
            <w:r>
              <w:rPr>
                <w:rFonts w:ascii="宋体" w:hAnsi="宋体" w:eastAsia="宋体" w:cs="宋体"/>
                <w:spacing w:val="-15"/>
                <w:sz w:val="18"/>
                <w:szCs w:val="18"/>
              </w:rPr>
              <w:t>5.14</w:t>
            </w:r>
          </w:p>
        </w:tc>
        <w:tc>
          <w:tcPr>
            <w:tcW w:w="1235" w:type="dxa"/>
            <w:vAlign w:val="top"/>
          </w:tcPr>
          <w:p>
            <w:pPr>
              <w:spacing w:before="288" w:line="101" w:lineRule="exact"/>
              <w:ind w:left="588"/>
              <w:rPr>
                <w:rFonts w:ascii="宋体" w:hAnsi="宋体" w:eastAsia="宋体" w:cs="宋体"/>
                <w:sz w:val="18"/>
                <w:szCs w:val="18"/>
              </w:rPr>
            </w:pPr>
            <w:r>
              <w:rPr>
                <w:rFonts w:ascii="宋体" w:hAnsi="宋体" w:eastAsia="宋体" w:cs="宋体"/>
                <w:position w:val="-4"/>
                <w:sz w:val="18"/>
                <w:szCs w:val="18"/>
              </w:rPr>
              <w:t>-</w:t>
            </w:r>
          </w:p>
        </w:tc>
        <w:tc>
          <w:tcPr>
            <w:tcW w:w="1451" w:type="dxa"/>
            <w:tcBorders>
              <w:right w:val="single" w:color="000000" w:sz="4" w:space="0"/>
            </w:tcBorders>
            <w:vAlign w:val="top"/>
          </w:tcPr>
          <w:p>
            <w:pPr>
              <w:spacing w:before="158" w:line="237" w:lineRule="auto"/>
              <w:ind w:left="562"/>
              <w:rPr>
                <w:rFonts w:ascii="宋体" w:hAnsi="宋体" w:eastAsia="宋体" w:cs="宋体"/>
                <w:sz w:val="18"/>
                <w:szCs w:val="18"/>
              </w:rPr>
            </w:pPr>
            <w:r>
              <w:rPr>
                <w:rFonts w:ascii="宋体" w:hAnsi="宋体" w:eastAsia="宋体" w:cs="宋体"/>
                <w:spacing w:val="-15"/>
                <w:sz w:val="18"/>
                <w:szCs w:val="18"/>
              </w:rPr>
              <w:t>3.15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2721" w:type="dxa"/>
            <w:gridSpan w:val="2"/>
            <w:tcBorders>
              <w:left w:val="single" w:color="000000" w:sz="4" w:space="0"/>
              <w:bottom w:val="single" w:color="000000" w:sz="4" w:space="0"/>
            </w:tcBorders>
            <w:vAlign w:val="top"/>
          </w:tcPr>
          <w:p>
            <w:pPr>
              <w:spacing w:before="171" w:line="215" w:lineRule="auto"/>
              <w:ind w:left="824"/>
              <w:rPr>
                <w:rFonts w:ascii="宋体" w:hAnsi="宋体" w:eastAsia="宋体" w:cs="宋体"/>
                <w:sz w:val="18"/>
                <w:szCs w:val="18"/>
              </w:rPr>
            </w:pPr>
            <w:r>
              <w:rPr>
                <w:rFonts w:ascii="宋体" w:hAnsi="宋体" w:eastAsia="宋体" w:cs="宋体"/>
                <w:spacing w:val="-4"/>
                <w:sz w:val="18"/>
                <w:szCs w:val="18"/>
              </w:rPr>
              <w:t>仿古建筑工程</w:t>
            </w:r>
          </w:p>
        </w:tc>
        <w:tc>
          <w:tcPr>
            <w:tcW w:w="1236" w:type="dxa"/>
            <w:tcBorders>
              <w:bottom w:val="single" w:color="000000" w:sz="4" w:space="0"/>
            </w:tcBorders>
            <w:vAlign w:val="top"/>
          </w:tcPr>
          <w:p>
            <w:pPr>
              <w:spacing w:before="161" w:line="254" w:lineRule="exact"/>
              <w:ind w:left="442"/>
              <w:rPr>
                <w:rFonts w:ascii="宋体" w:hAnsi="宋体" w:eastAsia="宋体" w:cs="宋体"/>
                <w:sz w:val="18"/>
                <w:szCs w:val="18"/>
              </w:rPr>
            </w:pPr>
            <w:r>
              <w:rPr>
                <w:rFonts w:ascii="宋体" w:hAnsi="宋体" w:eastAsia="宋体" w:cs="宋体"/>
                <w:spacing w:val="-14"/>
                <w:position w:val="1"/>
                <w:sz w:val="18"/>
                <w:szCs w:val="18"/>
              </w:rPr>
              <w:t>0.73</w:t>
            </w:r>
          </w:p>
        </w:tc>
        <w:tc>
          <w:tcPr>
            <w:tcW w:w="1236" w:type="dxa"/>
            <w:tcBorders>
              <w:bottom w:val="single" w:color="000000" w:sz="4" w:space="0"/>
            </w:tcBorders>
            <w:vAlign w:val="top"/>
          </w:tcPr>
          <w:p>
            <w:pPr>
              <w:spacing w:before="161" w:line="254" w:lineRule="exact"/>
              <w:ind w:left="445"/>
              <w:rPr>
                <w:rFonts w:ascii="宋体" w:hAnsi="宋体" w:eastAsia="宋体" w:cs="宋体"/>
                <w:sz w:val="18"/>
                <w:szCs w:val="18"/>
              </w:rPr>
            </w:pPr>
            <w:r>
              <w:rPr>
                <w:rFonts w:ascii="宋体" w:hAnsi="宋体" w:eastAsia="宋体" w:cs="宋体"/>
                <w:spacing w:val="-14"/>
                <w:position w:val="1"/>
                <w:sz w:val="18"/>
                <w:szCs w:val="18"/>
              </w:rPr>
              <w:t>2.64</w:t>
            </w:r>
          </w:p>
        </w:tc>
        <w:tc>
          <w:tcPr>
            <w:tcW w:w="1236" w:type="dxa"/>
            <w:tcBorders>
              <w:bottom w:val="single" w:color="000000" w:sz="4" w:space="0"/>
            </w:tcBorders>
            <w:vAlign w:val="top"/>
          </w:tcPr>
          <w:p>
            <w:pPr>
              <w:spacing w:before="161" w:line="254" w:lineRule="exact"/>
              <w:ind w:left="450"/>
              <w:rPr>
                <w:rFonts w:ascii="宋体" w:hAnsi="宋体" w:eastAsia="宋体" w:cs="宋体"/>
                <w:sz w:val="18"/>
                <w:szCs w:val="18"/>
              </w:rPr>
            </w:pPr>
            <w:r>
              <w:rPr>
                <w:rFonts w:ascii="宋体" w:hAnsi="宋体" w:eastAsia="宋体" w:cs="宋体"/>
                <w:spacing w:val="-14"/>
                <w:position w:val="1"/>
                <w:sz w:val="18"/>
                <w:szCs w:val="18"/>
              </w:rPr>
              <w:t>2.84</w:t>
            </w:r>
          </w:p>
        </w:tc>
        <w:tc>
          <w:tcPr>
            <w:tcW w:w="1235" w:type="dxa"/>
            <w:tcBorders>
              <w:bottom w:val="single" w:color="000000" w:sz="4" w:space="0"/>
            </w:tcBorders>
            <w:vAlign w:val="top"/>
          </w:tcPr>
          <w:p>
            <w:pPr>
              <w:spacing w:before="161" w:line="254" w:lineRule="exact"/>
              <w:ind w:left="452"/>
              <w:rPr>
                <w:rFonts w:ascii="宋体" w:hAnsi="宋体" w:eastAsia="宋体" w:cs="宋体"/>
                <w:sz w:val="18"/>
                <w:szCs w:val="18"/>
              </w:rPr>
            </w:pPr>
            <w:r>
              <w:rPr>
                <w:rFonts w:ascii="宋体" w:hAnsi="宋体" w:eastAsia="宋体" w:cs="宋体"/>
                <w:spacing w:val="-14"/>
                <w:position w:val="1"/>
                <w:sz w:val="18"/>
                <w:szCs w:val="18"/>
              </w:rPr>
              <w:t>0.83</w:t>
            </w:r>
          </w:p>
        </w:tc>
        <w:tc>
          <w:tcPr>
            <w:tcW w:w="1451" w:type="dxa"/>
            <w:tcBorders>
              <w:bottom w:val="single" w:color="000000" w:sz="4" w:space="0"/>
              <w:right w:val="single" w:color="000000" w:sz="4" w:space="0"/>
            </w:tcBorders>
            <w:vAlign w:val="top"/>
          </w:tcPr>
          <w:p>
            <w:pPr>
              <w:spacing w:before="291" w:line="124" w:lineRule="exact"/>
              <w:ind w:left="692"/>
              <w:rPr>
                <w:rFonts w:ascii="宋体" w:hAnsi="宋体" w:eastAsia="宋体" w:cs="宋体"/>
                <w:sz w:val="18"/>
                <w:szCs w:val="18"/>
              </w:rPr>
            </w:pPr>
            <w:r>
              <w:rPr>
                <w:rFonts w:ascii="宋体" w:hAnsi="宋体" w:eastAsia="宋体" w:cs="宋体"/>
                <w:position w:val="-3"/>
                <w:sz w:val="18"/>
                <w:szCs w:val="18"/>
              </w:rPr>
              <w:t>-</w:t>
            </w:r>
          </w:p>
        </w:tc>
      </w:tr>
    </w:tbl>
    <w:p>
      <w:pPr>
        <w:spacing w:before="67"/>
      </w:pPr>
    </w:p>
    <w:p>
      <w:pPr>
        <w:spacing w:before="67"/>
      </w:pPr>
    </w:p>
    <w:tbl>
      <w:tblPr>
        <w:tblStyle w:val="5"/>
        <w:tblW w:w="9079"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2461"/>
        <w:gridCol w:w="1423"/>
        <w:gridCol w:w="1423"/>
        <w:gridCol w:w="1424"/>
        <w:gridCol w:w="14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3" w:hRule="atLeast"/>
        </w:trPr>
        <w:tc>
          <w:tcPr>
            <w:tcW w:w="3368" w:type="dxa"/>
            <w:gridSpan w:val="2"/>
            <w:tcBorders>
              <w:top w:val="single" w:color="000000" w:sz="4" w:space="0"/>
              <w:left w:val="single" w:color="000000" w:sz="4" w:space="0"/>
              <w:tl2br w:val="single" w:color="000000" w:sz="2" w:space="0"/>
            </w:tcBorders>
            <w:vAlign w:val="top"/>
          </w:tcPr>
          <w:p>
            <w:pPr>
              <w:spacing w:before="123" w:line="246" w:lineRule="auto"/>
              <w:ind w:left="125" w:right="770" w:firstLine="1757"/>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423" w:type="dxa"/>
            <w:tcBorders>
              <w:top w:val="single" w:color="000000" w:sz="4" w:space="0"/>
            </w:tcBorders>
            <w:vAlign w:val="top"/>
          </w:tcPr>
          <w:p>
            <w:pPr>
              <w:spacing w:before="230" w:line="223" w:lineRule="auto"/>
              <w:ind w:left="282"/>
              <w:rPr>
                <w:rFonts w:ascii="黑体" w:hAnsi="黑体" w:eastAsia="黑体" w:cs="黑体"/>
                <w:sz w:val="18"/>
                <w:szCs w:val="18"/>
              </w:rPr>
            </w:pPr>
            <w:r>
              <w:rPr>
                <w:rFonts w:ascii="黑体" w:hAnsi="黑体" w:eastAsia="黑体" w:cs="黑体"/>
                <w:spacing w:val="-7"/>
                <w:sz w:val="18"/>
                <w:szCs w:val="18"/>
              </w:rPr>
              <w:t>安全生产费</w:t>
            </w:r>
          </w:p>
        </w:tc>
        <w:tc>
          <w:tcPr>
            <w:tcW w:w="1423" w:type="dxa"/>
            <w:tcBorders>
              <w:top w:val="single" w:color="000000" w:sz="4" w:space="0"/>
            </w:tcBorders>
            <w:vAlign w:val="top"/>
          </w:tcPr>
          <w:p>
            <w:pPr>
              <w:spacing w:before="230" w:line="222" w:lineRule="auto"/>
              <w:ind w:left="272"/>
              <w:rPr>
                <w:rFonts w:ascii="黑体" w:hAnsi="黑体" w:eastAsia="黑体" w:cs="黑体"/>
                <w:sz w:val="18"/>
                <w:szCs w:val="18"/>
              </w:rPr>
            </w:pPr>
            <w:r>
              <w:rPr>
                <w:rFonts w:ascii="黑体" w:hAnsi="黑体" w:eastAsia="黑体" w:cs="黑体"/>
                <w:spacing w:val="-4"/>
                <w:sz w:val="18"/>
                <w:szCs w:val="18"/>
              </w:rPr>
              <w:t>环境保护费</w:t>
            </w:r>
          </w:p>
        </w:tc>
        <w:tc>
          <w:tcPr>
            <w:tcW w:w="1424" w:type="dxa"/>
            <w:tcBorders>
              <w:top w:val="single" w:color="000000" w:sz="4" w:space="0"/>
            </w:tcBorders>
            <w:vAlign w:val="top"/>
          </w:tcPr>
          <w:p>
            <w:pPr>
              <w:spacing w:before="230" w:line="221" w:lineRule="auto"/>
              <w:ind w:left="282"/>
              <w:rPr>
                <w:rFonts w:ascii="黑体" w:hAnsi="黑体" w:eastAsia="黑体" w:cs="黑体"/>
                <w:sz w:val="18"/>
                <w:szCs w:val="18"/>
              </w:rPr>
            </w:pPr>
            <w:r>
              <w:rPr>
                <w:rFonts w:ascii="黑体" w:hAnsi="黑体" w:eastAsia="黑体" w:cs="黑体"/>
                <w:spacing w:val="-5"/>
                <w:sz w:val="18"/>
                <w:szCs w:val="18"/>
              </w:rPr>
              <w:t>文明施工费</w:t>
            </w:r>
          </w:p>
        </w:tc>
        <w:tc>
          <w:tcPr>
            <w:tcW w:w="1441" w:type="dxa"/>
            <w:tcBorders>
              <w:top w:val="single" w:color="000000" w:sz="4" w:space="0"/>
              <w:right w:val="single" w:color="000000" w:sz="4" w:space="0"/>
            </w:tcBorders>
            <w:vAlign w:val="top"/>
          </w:tcPr>
          <w:p>
            <w:pPr>
              <w:spacing w:before="230" w:line="222" w:lineRule="auto"/>
              <w:ind w:left="297"/>
              <w:rPr>
                <w:rFonts w:ascii="黑体" w:hAnsi="黑体" w:eastAsia="黑体" w:cs="黑体"/>
                <w:sz w:val="18"/>
                <w:szCs w:val="18"/>
              </w:rPr>
            </w:pPr>
            <w:r>
              <w:rPr>
                <w:rFonts w:ascii="黑体" w:hAnsi="黑体" w:eastAsia="黑体" w:cs="黑体"/>
                <w:spacing w:val="-8"/>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0" w:line="215" w:lineRule="auto"/>
              <w:ind w:left="1330"/>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42" w:line="247" w:lineRule="exact"/>
              <w:ind w:left="544"/>
              <w:rPr>
                <w:rFonts w:ascii="宋体" w:hAnsi="宋体" w:eastAsia="宋体" w:cs="宋体"/>
                <w:sz w:val="18"/>
                <w:szCs w:val="18"/>
              </w:rPr>
            </w:pPr>
            <w:r>
              <w:rPr>
                <w:rFonts w:ascii="宋体" w:hAnsi="宋体" w:eastAsia="宋体" w:cs="宋体"/>
                <w:spacing w:val="-15"/>
                <w:position w:val="1"/>
                <w:sz w:val="18"/>
                <w:szCs w:val="18"/>
              </w:rPr>
              <w:t>3.29</w:t>
            </w:r>
          </w:p>
        </w:tc>
        <w:tc>
          <w:tcPr>
            <w:tcW w:w="1423" w:type="dxa"/>
            <w:vAlign w:val="top"/>
          </w:tcPr>
          <w:p>
            <w:pPr>
              <w:spacing w:before="142" w:line="247" w:lineRule="exact"/>
              <w:ind w:left="543"/>
              <w:rPr>
                <w:rFonts w:ascii="宋体" w:hAnsi="宋体" w:eastAsia="宋体" w:cs="宋体"/>
                <w:sz w:val="18"/>
                <w:szCs w:val="18"/>
              </w:rPr>
            </w:pPr>
            <w:r>
              <w:rPr>
                <w:rFonts w:ascii="宋体" w:hAnsi="宋体" w:eastAsia="宋体" w:cs="宋体"/>
                <w:spacing w:val="-14"/>
                <w:position w:val="1"/>
                <w:sz w:val="18"/>
                <w:szCs w:val="18"/>
              </w:rPr>
              <w:t>0.57</w:t>
            </w:r>
          </w:p>
        </w:tc>
        <w:tc>
          <w:tcPr>
            <w:tcW w:w="1424" w:type="dxa"/>
            <w:vAlign w:val="top"/>
          </w:tcPr>
          <w:p>
            <w:pPr>
              <w:spacing w:before="142" w:line="247" w:lineRule="exact"/>
              <w:ind w:left="548"/>
              <w:rPr>
                <w:rFonts w:ascii="宋体" w:hAnsi="宋体" w:eastAsia="宋体" w:cs="宋体"/>
                <w:sz w:val="18"/>
                <w:szCs w:val="18"/>
              </w:rPr>
            </w:pPr>
            <w:r>
              <w:rPr>
                <w:rFonts w:ascii="宋体" w:hAnsi="宋体" w:eastAsia="宋体" w:cs="宋体"/>
                <w:spacing w:val="-14"/>
                <w:position w:val="1"/>
                <w:sz w:val="18"/>
                <w:szCs w:val="18"/>
              </w:rPr>
              <w:t>0.66</w:t>
            </w:r>
          </w:p>
        </w:tc>
        <w:tc>
          <w:tcPr>
            <w:tcW w:w="1441" w:type="dxa"/>
            <w:tcBorders>
              <w:right w:val="single" w:color="000000" w:sz="4" w:space="0"/>
            </w:tcBorders>
            <w:vAlign w:val="top"/>
          </w:tcPr>
          <w:p>
            <w:pPr>
              <w:spacing w:before="142" w:line="247" w:lineRule="exact"/>
              <w:ind w:left="552"/>
              <w:rPr>
                <w:rFonts w:ascii="宋体" w:hAnsi="宋体" w:eastAsia="宋体" w:cs="宋体"/>
                <w:sz w:val="18"/>
                <w:szCs w:val="18"/>
              </w:rPr>
            </w:pPr>
            <w:r>
              <w:rPr>
                <w:rFonts w:ascii="宋体" w:hAnsi="宋体" w:eastAsia="宋体" w:cs="宋体"/>
                <w:spacing w:val="-14"/>
                <w:position w:val="1"/>
                <w:sz w:val="18"/>
                <w:szCs w:val="18"/>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6" w:line="211" w:lineRule="auto"/>
              <w:ind w:left="1330"/>
              <w:rPr>
                <w:rFonts w:ascii="宋体" w:hAnsi="宋体" w:eastAsia="宋体" w:cs="宋体"/>
                <w:sz w:val="18"/>
                <w:szCs w:val="18"/>
              </w:rPr>
            </w:pPr>
            <w:r>
              <w:rPr>
                <w:rFonts w:ascii="宋体" w:hAnsi="宋体" w:eastAsia="宋体" w:cs="宋体"/>
                <w:spacing w:val="-3"/>
                <w:sz w:val="18"/>
                <w:szCs w:val="18"/>
              </w:rPr>
              <w:t>装饰工程</w:t>
            </w:r>
          </w:p>
        </w:tc>
        <w:tc>
          <w:tcPr>
            <w:tcW w:w="1423" w:type="dxa"/>
            <w:vAlign w:val="top"/>
          </w:tcPr>
          <w:p>
            <w:pPr>
              <w:spacing w:before="141" w:line="248" w:lineRule="exact"/>
              <w:ind w:left="544"/>
              <w:rPr>
                <w:rFonts w:ascii="宋体" w:hAnsi="宋体" w:eastAsia="宋体" w:cs="宋体"/>
                <w:sz w:val="18"/>
                <w:szCs w:val="18"/>
              </w:rPr>
            </w:pPr>
            <w:r>
              <w:rPr>
                <w:rFonts w:ascii="宋体" w:hAnsi="宋体" w:eastAsia="宋体" w:cs="宋体"/>
                <w:spacing w:val="-15"/>
                <w:position w:val="1"/>
                <w:sz w:val="18"/>
                <w:szCs w:val="18"/>
              </w:rPr>
              <w:t>3.27</w:t>
            </w:r>
          </w:p>
        </w:tc>
        <w:tc>
          <w:tcPr>
            <w:tcW w:w="1423" w:type="dxa"/>
            <w:vAlign w:val="top"/>
          </w:tcPr>
          <w:p>
            <w:pPr>
              <w:spacing w:before="141" w:line="248" w:lineRule="exact"/>
              <w:ind w:left="543"/>
              <w:rPr>
                <w:rFonts w:ascii="宋体" w:hAnsi="宋体" w:eastAsia="宋体" w:cs="宋体"/>
                <w:sz w:val="18"/>
                <w:szCs w:val="18"/>
              </w:rPr>
            </w:pPr>
            <w:r>
              <w:rPr>
                <w:rFonts w:ascii="宋体" w:hAnsi="宋体" w:eastAsia="宋体" w:cs="宋体"/>
                <w:spacing w:val="-14"/>
                <w:position w:val="1"/>
                <w:sz w:val="18"/>
                <w:szCs w:val="18"/>
              </w:rPr>
              <w:t>0.12</w:t>
            </w:r>
          </w:p>
        </w:tc>
        <w:tc>
          <w:tcPr>
            <w:tcW w:w="1424" w:type="dxa"/>
            <w:vAlign w:val="top"/>
          </w:tcPr>
          <w:p>
            <w:pPr>
              <w:spacing w:before="141" w:line="248" w:lineRule="exact"/>
              <w:ind w:left="548"/>
              <w:rPr>
                <w:rFonts w:ascii="宋体" w:hAnsi="宋体" w:eastAsia="宋体" w:cs="宋体"/>
                <w:sz w:val="18"/>
                <w:szCs w:val="18"/>
              </w:rPr>
            </w:pPr>
            <w:r>
              <w:rPr>
                <w:rFonts w:ascii="宋体" w:hAnsi="宋体" w:eastAsia="宋体" w:cs="宋体"/>
                <w:spacing w:val="-14"/>
                <w:position w:val="1"/>
                <w:sz w:val="18"/>
                <w:szCs w:val="18"/>
              </w:rPr>
              <w:t>0.10</w:t>
            </w:r>
          </w:p>
        </w:tc>
        <w:tc>
          <w:tcPr>
            <w:tcW w:w="1441" w:type="dxa"/>
            <w:tcBorders>
              <w:right w:val="single" w:color="000000" w:sz="4" w:space="0"/>
            </w:tcBorders>
            <w:vAlign w:val="top"/>
          </w:tcPr>
          <w:p>
            <w:pPr>
              <w:spacing w:before="141" w:line="248" w:lineRule="exact"/>
              <w:ind w:left="580"/>
              <w:rPr>
                <w:rFonts w:ascii="宋体" w:hAnsi="宋体" w:eastAsia="宋体" w:cs="宋体"/>
                <w:sz w:val="18"/>
                <w:szCs w:val="18"/>
              </w:rPr>
            </w:pPr>
            <w:r>
              <w:rPr>
                <w:rFonts w:ascii="宋体" w:hAnsi="宋体" w:eastAsia="宋体" w:cs="宋体"/>
                <w:spacing w:val="-19"/>
                <w:position w:val="1"/>
                <w:sz w:val="18"/>
                <w:szCs w:val="18"/>
              </w:rPr>
              <w:t>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8" w:line="211" w:lineRule="auto"/>
              <w:ind w:left="1333"/>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45" w:line="244" w:lineRule="exact"/>
              <w:ind w:left="539"/>
              <w:rPr>
                <w:rFonts w:ascii="宋体" w:hAnsi="宋体" w:eastAsia="宋体" w:cs="宋体"/>
                <w:sz w:val="18"/>
                <w:szCs w:val="18"/>
              </w:rPr>
            </w:pPr>
            <w:r>
              <w:rPr>
                <w:rFonts w:ascii="宋体" w:hAnsi="宋体" w:eastAsia="宋体" w:cs="宋体"/>
                <w:spacing w:val="-15"/>
                <w:position w:val="1"/>
                <w:sz w:val="18"/>
                <w:szCs w:val="18"/>
              </w:rPr>
              <w:t>2.19</w:t>
            </w:r>
          </w:p>
        </w:tc>
        <w:tc>
          <w:tcPr>
            <w:tcW w:w="1423" w:type="dxa"/>
            <w:vAlign w:val="top"/>
          </w:tcPr>
          <w:p>
            <w:pPr>
              <w:spacing w:before="145" w:line="244" w:lineRule="exact"/>
              <w:ind w:left="543"/>
              <w:rPr>
                <w:rFonts w:ascii="宋体" w:hAnsi="宋体" w:eastAsia="宋体" w:cs="宋体"/>
                <w:sz w:val="18"/>
                <w:szCs w:val="18"/>
              </w:rPr>
            </w:pPr>
            <w:r>
              <w:rPr>
                <w:rFonts w:ascii="宋体" w:hAnsi="宋体" w:eastAsia="宋体" w:cs="宋体"/>
                <w:spacing w:val="-14"/>
                <w:position w:val="1"/>
                <w:sz w:val="18"/>
                <w:szCs w:val="18"/>
              </w:rPr>
              <w:t>0.32</w:t>
            </w:r>
          </w:p>
        </w:tc>
        <w:tc>
          <w:tcPr>
            <w:tcW w:w="1424" w:type="dxa"/>
            <w:vAlign w:val="top"/>
          </w:tcPr>
          <w:p>
            <w:pPr>
              <w:spacing w:before="145" w:line="244" w:lineRule="exact"/>
              <w:ind w:left="548"/>
              <w:rPr>
                <w:rFonts w:ascii="宋体" w:hAnsi="宋体" w:eastAsia="宋体" w:cs="宋体"/>
                <w:sz w:val="18"/>
                <w:szCs w:val="18"/>
              </w:rPr>
            </w:pPr>
            <w:r>
              <w:rPr>
                <w:rFonts w:ascii="宋体" w:hAnsi="宋体" w:eastAsia="宋体" w:cs="宋体"/>
                <w:spacing w:val="-14"/>
                <w:position w:val="1"/>
                <w:sz w:val="18"/>
                <w:szCs w:val="18"/>
              </w:rPr>
              <w:t>0.63</w:t>
            </w:r>
          </w:p>
        </w:tc>
        <w:tc>
          <w:tcPr>
            <w:tcW w:w="1441" w:type="dxa"/>
            <w:tcBorders>
              <w:right w:val="single" w:color="000000" w:sz="4" w:space="0"/>
            </w:tcBorders>
            <w:vAlign w:val="top"/>
          </w:tcPr>
          <w:p>
            <w:pPr>
              <w:spacing w:before="145" w:line="244" w:lineRule="exact"/>
              <w:ind w:left="580"/>
              <w:rPr>
                <w:rFonts w:ascii="宋体" w:hAnsi="宋体" w:eastAsia="宋体" w:cs="宋体"/>
                <w:sz w:val="18"/>
                <w:szCs w:val="18"/>
              </w:rPr>
            </w:pPr>
            <w:r>
              <w:rPr>
                <w:rFonts w:ascii="宋体" w:hAnsi="宋体" w:eastAsia="宋体" w:cs="宋体"/>
                <w:spacing w:val="-19"/>
                <w:position w:val="1"/>
                <w:sz w:val="18"/>
                <w:szCs w:val="18"/>
              </w:rPr>
              <w:t>1.90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63" w:line="208" w:lineRule="auto"/>
              <w:ind w:left="1176"/>
              <w:rPr>
                <w:rFonts w:ascii="宋体" w:hAnsi="宋体" w:eastAsia="宋体" w:cs="宋体"/>
                <w:sz w:val="18"/>
                <w:szCs w:val="18"/>
              </w:rPr>
            </w:pPr>
            <w:r>
              <w:rPr>
                <w:rFonts w:ascii="宋体" w:hAnsi="宋体" w:eastAsia="宋体" w:cs="宋体"/>
                <w:spacing w:val="-9"/>
                <w:sz w:val="18"/>
                <w:szCs w:val="18"/>
              </w:rPr>
              <w:t>园林绿化工程</w:t>
            </w:r>
          </w:p>
        </w:tc>
        <w:tc>
          <w:tcPr>
            <w:tcW w:w="1423" w:type="dxa"/>
            <w:vAlign w:val="top"/>
          </w:tcPr>
          <w:p>
            <w:pPr>
              <w:spacing w:before="147" w:line="242" w:lineRule="exact"/>
              <w:ind w:left="566"/>
              <w:rPr>
                <w:rFonts w:ascii="宋体" w:hAnsi="宋体" w:eastAsia="宋体" w:cs="宋体"/>
                <w:sz w:val="18"/>
                <w:szCs w:val="18"/>
              </w:rPr>
            </w:pPr>
            <w:r>
              <w:rPr>
                <w:rFonts w:ascii="宋体" w:hAnsi="宋体" w:eastAsia="宋体" w:cs="宋体"/>
                <w:spacing w:val="-19"/>
                <w:position w:val="1"/>
                <w:sz w:val="18"/>
                <w:szCs w:val="18"/>
              </w:rPr>
              <w:t>1.59</w:t>
            </w:r>
          </w:p>
        </w:tc>
        <w:tc>
          <w:tcPr>
            <w:tcW w:w="1423" w:type="dxa"/>
            <w:vAlign w:val="top"/>
          </w:tcPr>
          <w:p>
            <w:pPr>
              <w:spacing w:before="147" w:line="242" w:lineRule="exact"/>
              <w:ind w:left="543"/>
              <w:rPr>
                <w:rFonts w:ascii="宋体" w:hAnsi="宋体" w:eastAsia="宋体" w:cs="宋体"/>
                <w:sz w:val="18"/>
                <w:szCs w:val="18"/>
              </w:rPr>
            </w:pPr>
            <w:r>
              <w:rPr>
                <w:rFonts w:ascii="宋体" w:hAnsi="宋体" w:eastAsia="宋体" w:cs="宋体"/>
                <w:spacing w:val="-14"/>
                <w:position w:val="1"/>
                <w:sz w:val="18"/>
                <w:szCs w:val="18"/>
              </w:rPr>
              <w:t>0.15</w:t>
            </w:r>
          </w:p>
        </w:tc>
        <w:tc>
          <w:tcPr>
            <w:tcW w:w="1424" w:type="dxa"/>
            <w:vAlign w:val="top"/>
          </w:tcPr>
          <w:p>
            <w:pPr>
              <w:spacing w:before="147" w:line="242" w:lineRule="exact"/>
              <w:ind w:left="548"/>
              <w:rPr>
                <w:rFonts w:ascii="宋体" w:hAnsi="宋体" w:eastAsia="宋体" w:cs="宋体"/>
                <w:sz w:val="18"/>
                <w:szCs w:val="18"/>
              </w:rPr>
            </w:pPr>
            <w:r>
              <w:rPr>
                <w:rFonts w:ascii="宋体" w:hAnsi="宋体" w:eastAsia="宋体" w:cs="宋体"/>
                <w:spacing w:val="-14"/>
                <w:position w:val="1"/>
                <w:sz w:val="18"/>
                <w:szCs w:val="18"/>
              </w:rPr>
              <w:t>0.34</w:t>
            </w:r>
          </w:p>
        </w:tc>
        <w:tc>
          <w:tcPr>
            <w:tcW w:w="1441" w:type="dxa"/>
            <w:tcBorders>
              <w:right w:val="single" w:color="000000" w:sz="4" w:space="0"/>
            </w:tcBorders>
            <w:vAlign w:val="top"/>
          </w:tcPr>
          <w:p>
            <w:pPr>
              <w:spacing w:before="147" w:line="242" w:lineRule="exact"/>
              <w:ind w:left="580"/>
              <w:rPr>
                <w:rFonts w:ascii="宋体" w:hAnsi="宋体" w:eastAsia="宋体" w:cs="宋体"/>
                <w:sz w:val="18"/>
                <w:szCs w:val="18"/>
              </w:rPr>
            </w:pPr>
            <w:r>
              <w:rPr>
                <w:rFonts w:ascii="宋体" w:hAnsi="宋体" w:eastAsia="宋体" w:cs="宋体"/>
                <w:spacing w:val="-19"/>
                <w:position w:val="1"/>
                <w:sz w:val="18"/>
                <w:szCs w:val="18"/>
              </w:rPr>
              <w:t>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907" w:type="dxa"/>
            <w:vMerge w:val="restart"/>
            <w:tcBorders>
              <w:left w:val="single" w:color="000000" w:sz="4" w:space="0"/>
              <w:bottom w:val="nil"/>
            </w:tcBorders>
            <w:vAlign w:val="top"/>
          </w:tcPr>
          <w:p>
            <w:pPr>
              <w:spacing w:before="236" w:line="326" w:lineRule="auto"/>
              <w:ind w:left="274" w:right="265" w:firstLine="1"/>
              <w:rPr>
                <w:rFonts w:ascii="宋体" w:hAnsi="宋体" w:eastAsia="宋体" w:cs="宋体"/>
                <w:sz w:val="18"/>
                <w:szCs w:val="18"/>
              </w:rPr>
            </w:pPr>
            <w:r>
              <w:rPr>
                <w:rFonts w:ascii="宋体" w:hAnsi="宋体" w:eastAsia="宋体" w:cs="宋体"/>
                <w:spacing w:val="-2"/>
                <w:sz w:val="18"/>
                <w:szCs w:val="18"/>
              </w:rPr>
              <w:t>房屋修缮</w:t>
            </w:r>
          </w:p>
        </w:tc>
        <w:tc>
          <w:tcPr>
            <w:tcW w:w="2461" w:type="dxa"/>
            <w:vAlign w:val="top"/>
          </w:tcPr>
          <w:p>
            <w:pPr>
              <w:spacing w:before="163"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51" w:line="238" w:lineRule="exact"/>
              <w:ind w:left="544"/>
              <w:rPr>
                <w:rFonts w:ascii="宋体" w:hAnsi="宋体" w:eastAsia="宋体" w:cs="宋体"/>
                <w:sz w:val="18"/>
                <w:szCs w:val="18"/>
              </w:rPr>
            </w:pPr>
            <w:r>
              <w:rPr>
                <w:rFonts w:ascii="宋体" w:hAnsi="宋体" w:eastAsia="宋体" w:cs="宋体"/>
                <w:spacing w:val="-15"/>
                <w:position w:val="1"/>
                <w:sz w:val="18"/>
                <w:szCs w:val="18"/>
              </w:rPr>
              <w:t>3.27</w:t>
            </w:r>
          </w:p>
        </w:tc>
        <w:tc>
          <w:tcPr>
            <w:tcW w:w="1423" w:type="dxa"/>
            <w:vAlign w:val="top"/>
          </w:tcPr>
          <w:p>
            <w:pPr>
              <w:spacing w:before="151" w:line="238" w:lineRule="exact"/>
              <w:ind w:left="543"/>
              <w:rPr>
                <w:rFonts w:ascii="宋体" w:hAnsi="宋体" w:eastAsia="宋体" w:cs="宋体"/>
                <w:sz w:val="18"/>
                <w:szCs w:val="18"/>
              </w:rPr>
            </w:pPr>
            <w:r>
              <w:rPr>
                <w:rFonts w:ascii="宋体" w:hAnsi="宋体" w:eastAsia="宋体" w:cs="宋体"/>
                <w:spacing w:val="-14"/>
                <w:position w:val="1"/>
                <w:sz w:val="18"/>
                <w:szCs w:val="18"/>
              </w:rPr>
              <w:t>0.25</w:t>
            </w:r>
          </w:p>
        </w:tc>
        <w:tc>
          <w:tcPr>
            <w:tcW w:w="1424" w:type="dxa"/>
            <w:vAlign w:val="top"/>
          </w:tcPr>
          <w:p>
            <w:pPr>
              <w:spacing w:before="151" w:line="238" w:lineRule="exact"/>
              <w:ind w:left="548"/>
              <w:rPr>
                <w:rFonts w:ascii="宋体" w:hAnsi="宋体" w:eastAsia="宋体" w:cs="宋体"/>
                <w:sz w:val="18"/>
                <w:szCs w:val="18"/>
              </w:rPr>
            </w:pPr>
            <w:r>
              <w:rPr>
                <w:rFonts w:ascii="宋体" w:hAnsi="宋体" w:eastAsia="宋体" w:cs="宋体"/>
                <w:spacing w:val="-14"/>
                <w:position w:val="1"/>
                <w:sz w:val="18"/>
                <w:szCs w:val="18"/>
              </w:rPr>
              <w:t>0.53</w:t>
            </w:r>
          </w:p>
        </w:tc>
        <w:tc>
          <w:tcPr>
            <w:tcW w:w="1441" w:type="dxa"/>
            <w:tcBorders>
              <w:right w:val="single" w:color="000000" w:sz="4" w:space="0"/>
            </w:tcBorders>
            <w:vAlign w:val="top"/>
          </w:tcPr>
          <w:p>
            <w:pPr>
              <w:spacing w:before="151" w:line="238" w:lineRule="exact"/>
              <w:ind w:left="580"/>
              <w:rPr>
                <w:rFonts w:ascii="宋体" w:hAnsi="宋体" w:eastAsia="宋体" w:cs="宋体"/>
                <w:sz w:val="18"/>
                <w:szCs w:val="18"/>
              </w:rPr>
            </w:pPr>
            <w:r>
              <w:rPr>
                <w:rFonts w:ascii="宋体" w:hAnsi="宋体" w:eastAsia="宋体" w:cs="宋体"/>
                <w:spacing w:val="-19"/>
                <w:position w:val="1"/>
                <w:sz w:val="18"/>
                <w:szCs w:val="18"/>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907" w:type="dxa"/>
            <w:vMerge w:val="continue"/>
            <w:tcBorders>
              <w:top w:val="nil"/>
              <w:left w:val="single" w:color="000000" w:sz="4" w:space="0"/>
            </w:tcBorders>
            <w:vAlign w:val="top"/>
          </w:tcPr>
          <w:p>
            <w:pPr>
              <w:pStyle w:val="6"/>
            </w:pPr>
          </w:p>
        </w:tc>
        <w:tc>
          <w:tcPr>
            <w:tcW w:w="2461" w:type="dxa"/>
            <w:vAlign w:val="top"/>
          </w:tcPr>
          <w:p>
            <w:pPr>
              <w:spacing w:before="166"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54" w:line="260" w:lineRule="exact"/>
              <w:ind w:left="539"/>
              <w:rPr>
                <w:rFonts w:ascii="宋体" w:hAnsi="宋体" w:eastAsia="宋体" w:cs="宋体"/>
                <w:sz w:val="18"/>
                <w:szCs w:val="18"/>
              </w:rPr>
            </w:pPr>
            <w:r>
              <w:rPr>
                <w:rFonts w:ascii="宋体" w:hAnsi="宋体" w:eastAsia="宋体" w:cs="宋体"/>
                <w:spacing w:val="-15"/>
                <w:position w:val="1"/>
                <w:sz w:val="18"/>
                <w:szCs w:val="18"/>
              </w:rPr>
              <w:t>2.19</w:t>
            </w:r>
          </w:p>
        </w:tc>
        <w:tc>
          <w:tcPr>
            <w:tcW w:w="1423" w:type="dxa"/>
            <w:vAlign w:val="top"/>
          </w:tcPr>
          <w:p>
            <w:pPr>
              <w:spacing w:before="154" w:line="260" w:lineRule="exact"/>
              <w:ind w:left="543"/>
              <w:rPr>
                <w:rFonts w:ascii="宋体" w:hAnsi="宋体" w:eastAsia="宋体" w:cs="宋体"/>
                <w:sz w:val="18"/>
                <w:szCs w:val="18"/>
              </w:rPr>
            </w:pPr>
            <w:r>
              <w:rPr>
                <w:rFonts w:ascii="宋体" w:hAnsi="宋体" w:eastAsia="宋体" w:cs="宋体"/>
                <w:spacing w:val="-14"/>
                <w:position w:val="2"/>
                <w:sz w:val="18"/>
                <w:szCs w:val="18"/>
              </w:rPr>
              <w:t>0.32</w:t>
            </w:r>
          </w:p>
        </w:tc>
        <w:tc>
          <w:tcPr>
            <w:tcW w:w="1424" w:type="dxa"/>
            <w:vAlign w:val="top"/>
          </w:tcPr>
          <w:p>
            <w:pPr>
              <w:spacing w:before="154" w:line="260" w:lineRule="exact"/>
              <w:ind w:left="548"/>
              <w:rPr>
                <w:rFonts w:ascii="宋体" w:hAnsi="宋体" w:eastAsia="宋体" w:cs="宋体"/>
                <w:sz w:val="18"/>
                <w:szCs w:val="18"/>
              </w:rPr>
            </w:pPr>
            <w:r>
              <w:rPr>
                <w:rFonts w:ascii="宋体" w:hAnsi="宋体" w:eastAsia="宋体" w:cs="宋体"/>
                <w:spacing w:val="-14"/>
                <w:position w:val="2"/>
                <w:sz w:val="18"/>
                <w:szCs w:val="18"/>
              </w:rPr>
              <w:t>0.63</w:t>
            </w:r>
          </w:p>
        </w:tc>
        <w:tc>
          <w:tcPr>
            <w:tcW w:w="1441" w:type="dxa"/>
            <w:tcBorders>
              <w:right w:val="single" w:color="000000" w:sz="4" w:space="0"/>
            </w:tcBorders>
            <w:vAlign w:val="top"/>
          </w:tcPr>
          <w:p>
            <w:pPr>
              <w:spacing w:before="154" w:line="260" w:lineRule="exact"/>
              <w:ind w:left="580"/>
              <w:rPr>
                <w:rFonts w:ascii="宋体" w:hAnsi="宋体" w:eastAsia="宋体" w:cs="宋体"/>
                <w:sz w:val="18"/>
                <w:szCs w:val="18"/>
              </w:rPr>
            </w:pPr>
            <w:r>
              <w:rPr>
                <w:rFonts w:ascii="宋体" w:hAnsi="宋体" w:eastAsia="宋体" w:cs="宋体"/>
                <w:spacing w:val="-19"/>
                <w:position w:val="1"/>
                <w:sz w:val="18"/>
                <w:szCs w:val="18"/>
              </w:rPr>
              <w:t>1.90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8" w:type="dxa"/>
            <w:gridSpan w:val="2"/>
            <w:tcBorders>
              <w:left w:val="single" w:color="000000" w:sz="4" w:space="0"/>
            </w:tcBorders>
            <w:vAlign w:val="top"/>
          </w:tcPr>
          <w:p>
            <w:pPr>
              <w:spacing w:before="166" w:line="215" w:lineRule="auto"/>
              <w:ind w:left="1061"/>
              <w:rPr>
                <w:rFonts w:ascii="宋体" w:hAnsi="宋体" w:eastAsia="宋体" w:cs="宋体"/>
                <w:sz w:val="18"/>
                <w:szCs w:val="18"/>
              </w:rPr>
            </w:pPr>
            <w:r>
              <w:rPr>
                <w:rFonts w:ascii="宋体" w:hAnsi="宋体" w:eastAsia="宋体" w:cs="宋体"/>
                <w:spacing w:val="-4"/>
                <w:sz w:val="18"/>
                <w:szCs w:val="18"/>
              </w:rPr>
              <w:t>古建筑修缮工程</w:t>
            </w:r>
          </w:p>
        </w:tc>
        <w:tc>
          <w:tcPr>
            <w:tcW w:w="1423" w:type="dxa"/>
            <w:vAlign w:val="top"/>
          </w:tcPr>
          <w:p>
            <w:pPr>
              <w:spacing w:before="156" w:line="239" w:lineRule="auto"/>
              <w:ind w:left="544"/>
              <w:rPr>
                <w:rFonts w:ascii="宋体" w:hAnsi="宋体" w:eastAsia="宋体" w:cs="宋体"/>
                <w:sz w:val="18"/>
                <w:szCs w:val="18"/>
              </w:rPr>
            </w:pPr>
            <w:r>
              <w:rPr>
                <w:rFonts w:ascii="宋体" w:hAnsi="宋体" w:eastAsia="宋体" w:cs="宋体"/>
                <w:spacing w:val="-15"/>
                <w:sz w:val="18"/>
                <w:szCs w:val="18"/>
              </w:rPr>
              <w:t>3.24</w:t>
            </w:r>
          </w:p>
        </w:tc>
        <w:tc>
          <w:tcPr>
            <w:tcW w:w="1423" w:type="dxa"/>
            <w:vAlign w:val="top"/>
          </w:tcPr>
          <w:p>
            <w:pPr>
              <w:spacing w:before="156" w:line="239" w:lineRule="auto"/>
              <w:ind w:left="543"/>
              <w:rPr>
                <w:rFonts w:ascii="宋体" w:hAnsi="宋体" w:eastAsia="宋体" w:cs="宋体"/>
                <w:sz w:val="18"/>
                <w:szCs w:val="18"/>
              </w:rPr>
            </w:pPr>
            <w:r>
              <w:rPr>
                <w:rFonts w:ascii="宋体" w:hAnsi="宋体" w:eastAsia="宋体" w:cs="宋体"/>
                <w:spacing w:val="-14"/>
                <w:sz w:val="18"/>
                <w:szCs w:val="18"/>
              </w:rPr>
              <w:t>0.24</w:t>
            </w:r>
          </w:p>
        </w:tc>
        <w:tc>
          <w:tcPr>
            <w:tcW w:w="1424" w:type="dxa"/>
            <w:vAlign w:val="top"/>
          </w:tcPr>
          <w:p>
            <w:pPr>
              <w:spacing w:before="156" w:line="239" w:lineRule="auto"/>
              <w:ind w:left="548"/>
              <w:rPr>
                <w:rFonts w:ascii="宋体" w:hAnsi="宋体" w:eastAsia="宋体" w:cs="宋体"/>
                <w:sz w:val="18"/>
                <w:szCs w:val="18"/>
              </w:rPr>
            </w:pPr>
            <w:r>
              <w:rPr>
                <w:rFonts w:ascii="宋体" w:hAnsi="宋体" w:eastAsia="宋体" w:cs="宋体"/>
                <w:spacing w:val="-14"/>
                <w:sz w:val="18"/>
                <w:szCs w:val="18"/>
              </w:rPr>
              <w:t>0.52</w:t>
            </w:r>
          </w:p>
        </w:tc>
        <w:tc>
          <w:tcPr>
            <w:tcW w:w="1441" w:type="dxa"/>
            <w:tcBorders>
              <w:right w:val="single" w:color="000000" w:sz="4" w:space="0"/>
            </w:tcBorders>
            <w:vAlign w:val="top"/>
          </w:tcPr>
          <w:p>
            <w:pPr>
              <w:spacing w:before="156" w:line="239" w:lineRule="auto"/>
              <w:ind w:left="580"/>
              <w:rPr>
                <w:rFonts w:ascii="宋体" w:hAnsi="宋体" w:eastAsia="宋体" w:cs="宋体"/>
                <w:sz w:val="18"/>
                <w:szCs w:val="18"/>
              </w:rPr>
            </w:pPr>
            <w:r>
              <w:rPr>
                <w:rFonts w:ascii="宋体" w:hAnsi="宋体" w:eastAsia="宋体" w:cs="宋体"/>
                <w:spacing w:val="-19"/>
                <w:sz w:val="18"/>
                <w:szCs w:val="18"/>
              </w:rPr>
              <w:t>1.34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368" w:type="dxa"/>
            <w:gridSpan w:val="2"/>
            <w:tcBorders>
              <w:left w:val="single" w:color="000000" w:sz="4" w:space="0"/>
              <w:bottom w:val="single" w:color="000000" w:sz="4" w:space="0"/>
            </w:tcBorders>
            <w:vAlign w:val="top"/>
          </w:tcPr>
          <w:p>
            <w:pPr>
              <w:spacing w:before="153" w:line="215" w:lineRule="auto"/>
              <w:ind w:left="1150"/>
              <w:rPr>
                <w:rFonts w:ascii="宋体" w:hAnsi="宋体" w:eastAsia="宋体" w:cs="宋体"/>
                <w:sz w:val="18"/>
                <w:szCs w:val="18"/>
              </w:rPr>
            </w:pPr>
            <w:r>
              <w:rPr>
                <w:rFonts w:ascii="宋体" w:hAnsi="宋体" w:eastAsia="宋体" w:cs="宋体"/>
                <w:spacing w:val="-4"/>
                <w:sz w:val="18"/>
                <w:szCs w:val="18"/>
              </w:rPr>
              <w:t>仿古建筑工程</w:t>
            </w:r>
          </w:p>
        </w:tc>
        <w:tc>
          <w:tcPr>
            <w:tcW w:w="1423" w:type="dxa"/>
            <w:tcBorders>
              <w:bottom w:val="single" w:color="000000" w:sz="4" w:space="0"/>
            </w:tcBorders>
            <w:vAlign w:val="top"/>
          </w:tcPr>
          <w:p>
            <w:pPr>
              <w:spacing w:before="160" w:line="255" w:lineRule="exact"/>
              <w:ind w:left="544"/>
              <w:rPr>
                <w:rFonts w:ascii="宋体" w:hAnsi="宋体" w:eastAsia="宋体" w:cs="宋体"/>
                <w:sz w:val="18"/>
                <w:szCs w:val="18"/>
              </w:rPr>
            </w:pPr>
            <w:r>
              <w:rPr>
                <w:rFonts w:ascii="宋体" w:hAnsi="宋体" w:eastAsia="宋体" w:cs="宋体"/>
                <w:spacing w:val="-15"/>
                <w:position w:val="1"/>
                <w:sz w:val="18"/>
                <w:szCs w:val="18"/>
              </w:rPr>
              <w:t>3.24</w:t>
            </w:r>
          </w:p>
        </w:tc>
        <w:tc>
          <w:tcPr>
            <w:tcW w:w="1423" w:type="dxa"/>
            <w:tcBorders>
              <w:bottom w:val="single" w:color="000000" w:sz="4" w:space="0"/>
            </w:tcBorders>
            <w:vAlign w:val="top"/>
          </w:tcPr>
          <w:p>
            <w:pPr>
              <w:spacing w:before="160" w:line="255" w:lineRule="exact"/>
              <w:ind w:left="543"/>
              <w:rPr>
                <w:rFonts w:ascii="宋体" w:hAnsi="宋体" w:eastAsia="宋体" w:cs="宋体"/>
                <w:sz w:val="18"/>
                <w:szCs w:val="18"/>
              </w:rPr>
            </w:pPr>
            <w:r>
              <w:rPr>
                <w:rFonts w:ascii="宋体" w:hAnsi="宋体" w:eastAsia="宋体" w:cs="宋体"/>
                <w:spacing w:val="-14"/>
                <w:position w:val="1"/>
                <w:sz w:val="18"/>
                <w:szCs w:val="18"/>
              </w:rPr>
              <w:t>0.64</w:t>
            </w:r>
          </w:p>
        </w:tc>
        <w:tc>
          <w:tcPr>
            <w:tcW w:w="1424" w:type="dxa"/>
            <w:tcBorders>
              <w:bottom w:val="single" w:color="000000" w:sz="4" w:space="0"/>
            </w:tcBorders>
            <w:vAlign w:val="top"/>
          </w:tcPr>
          <w:p>
            <w:pPr>
              <w:spacing w:before="160" w:line="255" w:lineRule="exact"/>
              <w:ind w:left="548"/>
              <w:rPr>
                <w:rFonts w:ascii="宋体" w:hAnsi="宋体" w:eastAsia="宋体" w:cs="宋体"/>
                <w:sz w:val="18"/>
                <w:szCs w:val="18"/>
              </w:rPr>
            </w:pPr>
            <w:r>
              <w:rPr>
                <w:rFonts w:ascii="宋体" w:hAnsi="宋体" w:eastAsia="宋体" w:cs="宋体"/>
                <w:spacing w:val="-14"/>
                <w:position w:val="1"/>
                <w:sz w:val="18"/>
                <w:szCs w:val="18"/>
              </w:rPr>
              <w:t>0.55</w:t>
            </w:r>
          </w:p>
        </w:tc>
        <w:tc>
          <w:tcPr>
            <w:tcW w:w="1441" w:type="dxa"/>
            <w:tcBorders>
              <w:bottom w:val="single" w:color="000000" w:sz="4" w:space="0"/>
              <w:right w:val="single" w:color="000000" w:sz="4" w:space="0"/>
            </w:tcBorders>
            <w:vAlign w:val="top"/>
          </w:tcPr>
          <w:p>
            <w:pPr>
              <w:spacing w:before="160" w:line="255" w:lineRule="exact"/>
              <w:ind w:left="552"/>
              <w:rPr>
                <w:rFonts w:ascii="宋体" w:hAnsi="宋体" w:eastAsia="宋体" w:cs="宋体"/>
                <w:sz w:val="18"/>
                <w:szCs w:val="18"/>
              </w:rPr>
            </w:pPr>
            <w:r>
              <w:rPr>
                <w:rFonts w:ascii="宋体" w:hAnsi="宋体" w:eastAsia="宋体" w:cs="宋体"/>
                <w:spacing w:val="-14"/>
                <w:position w:val="1"/>
                <w:sz w:val="18"/>
                <w:szCs w:val="18"/>
              </w:rPr>
              <w:t>0.90</w:t>
            </w:r>
          </w:p>
        </w:tc>
      </w:tr>
    </w:tbl>
    <w:p>
      <w:pPr>
        <w:rPr>
          <w:rFonts w:ascii="Arial"/>
          <w:sz w:val="21"/>
        </w:rPr>
      </w:pPr>
    </w:p>
    <w:p>
      <w:pPr>
        <w:rPr>
          <w:rFonts w:ascii="Arial" w:hAnsi="Arial" w:eastAsia="Arial" w:cs="Arial"/>
          <w:sz w:val="21"/>
          <w:szCs w:val="21"/>
        </w:rPr>
        <w:sectPr>
          <w:footerReference r:id="rId73" w:type="default"/>
          <w:pgSz w:w="11905" w:h="16840"/>
          <w:pgMar w:top="400" w:right="1362" w:bottom="1213" w:left="1416" w:header="0" w:footer="898" w:gutter="0"/>
        </w:sect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before="78" w:line="214" w:lineRule="auto"/>
        <w:ind w:left="508"/>
        <w:rPr>
          <w:rFonts w:ascii="KaiTi_GB2312" w:hAnsi="KaiTi_GB2312" w:eastAsia="KaiTi_GB2312" w:cs="KaiTi_GB2312"/>
          <w:sz w:val="24"/>
          <w:szCs w:val="24"/>
        </w:rPr>
      </w:pPr>
      <w:r>
        <w:rPr>
          <w:rFonts w:ascii="KaiTi_GB2312" w:hAnsi="KaiTi_GB2312" w:eastAsia="KaiTi_GB2312" w:cs="KaiTi_GB2312"/>
          <w:spacing w:val="11"/>
          <w:sz w:val="24"/>
          <w:szCs w:val="24"/>
        </w:rPr>
        <w:t>（二）市政、市政养护维修工程</w:t>
      </w:r>
    </w:p>
    <w:p>
      <w:pPr>
        <w:spacing w:before="80" w:line="279" w:lineRule="exact"/>
        <w:ind w:left="475"/>
        <w:rPr>
          <w:rFonts w:ascii="宋体" w:hAnsi="宋体" w:eastAsia="宋体" w:cs="宋体"/>
          <w:sz w:val="20"/>
          <w:szCs w:val="20"/>
        </w:rPr>
      </w:pPr>
      <w:r>
        <w:rPr>
          <w:rFonts w:ascii="宋体" w:hAnsi="宋体" w:eastAsia="宋体" w:cs="宋体"/>
          <w:spacing w:val="14"/>
          <w:position w:val="1"/>
          <w:sz w:val="20"/>
          <w:szCs w:val="20"/>
        </w:rPr>
        <w:t>1.一般计税法（单位：</w:t>
      </w:r>
      <w:r>
        <w:rPr>
          <w:rFonts w:ascii="宋体" w:hAnsi="宋体" w:eastAsia="宋体" w:cs="宋体"/>
          <w:spacing w:val="-49"/>
          <w:position w:val="1"/>
          <w:sz w:val="20"/>
          <w:szCs w:val="20"/>
        </w:rPr>
        <w:t xml:space="preserve"> </w:t>
      </w:r>
      <w:r>
        <w:rPr>
          <w:rFonts w:ascii="宋体" w:hAnsi="宋体" w:eastAsia="宋体" w:cs="宋体"/>
          <w:spacing w:val="14"/>
          <w:position w:val="1"/>
          <w:sz w:val="20"/>
          <w:szCs w:val="20"/>
        </w:rPr>
        <w:t>%）</w:t>
      </w:r>
    </w:p>
    <w:p>
      <w:pPr>
        <w:spacing w:line="92" w:lineRule="auto"/>
        <w:rPr>
          <w:rFonts w:ascii="Arial"/>
          <w:sz w:val="2"/>
        </w:rPr>
      </w:pPr>
    </w:p>
    <w:tbl>
      <w:tblPr>
        <w:tblStyle w:val="5"/>
        <w:tblW w:w="9079"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795"/>
        <w:gridCol w:w="972"/>
        <w:gridCol w:w="1062"/>
        <w:gridCol w:w="1092"/>
        <w:gridCol w:w="1166"/>
        <w:gridCol w:w="1107"/>
        <w:gridCol w:w="12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6" w:hRule="atLeast"/>
        </w:trPr>
        <w:tc>
          <w:tcPr>
            <w:tcW w:w="2476" w:type="dxa"/>
            <w:gridSpan w:val="2"/>
            <w:tcBorders>
              <w:top w:val="single" w:color="000000" w:sz="4" w:space="0"/>
              <w:left w:val="single" w:color="000000" w:sz="4" w:space="0"/>
              <w:tl2br w:val="single" w:color="000000" w:sz="2" w:space="0"/>
            </w:tcBorders>
            <w:vAlign w:val="top"/>
          </w:tcPr>
          <w:p>
            <w:pPr>
              <w:spacing w:before="65" w:line="276" w:lineRule="auto"/>
              <w:ind w:left="125" w:right="685" w:firstLine="954"/>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972" w:type="dxa"/>
            <w:tcBorders>
              <w:top w:val="single" w:color="000000" w:sz="4" w:space="0"/>
            </w:tcBorders>
            <w:vAlign w:val="top"/>
          </w:tcPr>
          <w:p>
            <w:pPr>
              <w:spacing w:before="181" w:line="215" w:lineRule="auto"/>
              <w:ind w:left="221" w:right="119" w:hanging="84"/>
              <w:rPr>
                <w:rFonts w:ascii="微软雅黑" w:hAnsi="微软雅黑" w:eastAsia="微软雅黑" w:cs="微软雅黑"/>
                <w:sz w:val="18"/>
                <w:szCs w:val="18"/>
              </w:rPr>
            </w:pPr>
            <w:r>
              <w:rPr>
                <w:rFonts w:ascii="微软雅黑" w:hAnsi="微软雅黑" w:eastAsia="微软雅黑" w:cs="微软雅黑"/>
                <w:spacing w:val="-3"/>
                <w:sz w:val="18"/>
                <w:szCs w:val="18"/>
              </w:rPr>
              <w:t>夜间施工</w:t>
            </w:r>
            <w:r>
              <w:rPr>
                <w:rFonts w:ascii="微软雅黑" w:hAnsi="微软雅黑" w:eastAsia="微软雅黑" w:cs="微软雅黑"/>
                <w:spacing w:val="-4"/>
                <w:w w:val="99"/>
                <w:sz w:val="18"/>
                <w:szCs w:val="18"/>
              </w:rPr>
              <w:t>增加费</w:t>
            </w:r>
          </w:p>
        </w:tc>
        <w:tc>
          <w:tcPr>
            <w:tcW w:w="1062" w:type="dxa"/>
            <w:tcBorders>
              <w:top w:val="single" w:color="000000" w:sz="4" w:space="0"/>
            </w:tcBorders>
            <w:vAlign w:val="top"/>
          </w:tcPr>
          <w:p>
            <w:pPr>
              <w:spacing w:before="159" w:line="213" w:lineRule="auto"/>
              <w:ind w:left="307" w:right="228" w:firstLine="49"/>
              <w:rPr>
                <w:rFonts w:ascii="微软雅黑" w:hAnsi="微软雅黑" w:eastAsia="微软雅黑" w:cs="微软雅黑"/>
                <w:sz w:val="18"/>
                <w:szCs w:val="18"/>
              </w:rPr>
            </w:pPr>
            <w:r>
              <w:rPr>
                <w:rFonts w:ascii="微软雅黑" w:hAnsi="微软雅黑" w:eastAsia="微软雅黑" w:cs="微软雅黑"/>
                <w:spacing w:val="-6"/>
                <w:w w:val="98"/>
                <w:sz w:val="18"/>
                <w:szCs w:val="18"/>
              </w:rPr>
              <w:t>二</w:t>
            </w:r>
            <w:r>
              <w:rPr>
                <w:rFonts w:ascii="微软雅黑" w:hAnsi="微软雅黑" w:eastAsia="微软雅黑" w:cs="微软雅黑"/>
                <w:spacing w:val="33"/>
                <w:sz w:val="18"/>
                <w:szCs w:val="18"/>
              </w:rPr>
              <w:t xml:space="preserve"> </w:t>
            </w:r>
            <w:r>
              <w:rPr>
                <w:rFonts w:ascii="微软雅黑" w:hAnsi="微软雅黑" w:eastAsia="微软雅黑" w:cs="微软雅黑"/>
                <w:spacing w:val="-6"/>
                <w:w w:val="98"/>
                <w:sz w:val="18"/>
                <w:szCs w:val="18"/>
              </w:rPr>
              <w:t>次</w:t>
            </w:r>
            <w:r>
              <w:rPr>
                <w:rFonts w:ascii="微软雅黑" w:hAnsi="微软雅黑" w:eastAsia="微软雅黑" w:cs="微软雅黑"/>
                <w:spacing w:val="-4"/>
                <w:w w:val="98"/>
                <w:sz w:val="18"/>
                <w:szCs w:val="18"/>
              </w:rPr>
              <w:t>搬运费</w:t>
            </w:r>
          </w:p>
        </w:tc>
        <w:tc>
          <w:tcPr>
            <w:tcW w:w="1092" w:type="dxa"/>
            <w:tcBorders>
              <w:top w:val="single" w:color="000000" w:sz="4" w:space="0"/>
            </w:tcBorders>
            <w:vAlign w:val="top"/>
          </w:tcPr>
          <w:p>
            <w:pPr>
              <w:spacing w:before="181" w:line="215" w:lineRule="auto"/>
              <w:ind w:left="205" w:right="175" w:hanging="6"/>
              <w:rPr>
                <w:rFonts w:ascii="微软雅黑" w:hAnsi="微软雅黑" w:eastAsia="微软雅黑" w:cs="微软雅黑"/>
                <w:sz w:val="18"/>
                <w:szCs w:val="18"/>
              </w:rPr>
            </w:pPr>
            <w:r>
              <w:rPr>
                <w:rFonts w:ascii="微软雅黑" w:hAnsi="微软雅黑" w:eastAsia="微软雅黑" w:cs="微软雅黑"/>
                <w:spacing w:val="-2"/>
                <w:sz w:val="18"/>
                <w:szCs w:val="18"/>
              </w:rPr>
              <w:t>冬雨季施</w:t>
            </w:r>
            <w:r>
              <w:rPr>
                <w:rFonts w:ascii="微软雅黑" w:hAnsi="微软雅黑" w:eastAsia="微软雅黑" w:cs="微软雅黑"/>
                <w:spacing w:val="-5"/>
                <w:w w:val="99"/>
                <w:sz w:val="18"/>
                <w:szCs w:val="18"/>
              </w:rPr>
              <w:t>工增加费</w:t>
            </w:r>
          </w:p>
        </w:tc>
        <w:tc>
          <w:tcPr>
            <w:tcW w:w="1166" w:type="dxa"/>
            <w:tcBorders>
              <w:top w:val="single" w:color="000000" w:sz="4" w:space="0"/>
            </w:tcBorders>
            <w:vAlign w:val="top"/>
          </w:tcPr>
          <w:p>
            <w:pPr>
              <w:spacing w:before="181" w:line="215" w:lineRule="auto"/>
              <w:ind w:left="153" w:right="112" w:firstLine="28"/>
              <w:rPr>
                <w:rFonts w:ascii="微软雅黑" w:hAnsi="微软雅黑" w:eastAsia="微软雅黑" w:cs="微软雅黑"/>
                <w:sz w:val="18"/>
                <w:szCs w:val="18"/>
              </w:rPr>
            </w:pPr>
            <w:r>
              <w:rPr>
                <w:rFonts w:ascii="微软雅黑" w:hAnsi="微软雅黑" w:eastAsia="微软雅黑" w:cs="微软雅黑"/>
                <w:spacing w:val="-6"/>
                <w:w w:val="99"/>
                <w:sz w:val="18"/>
                <w:szCs w:val="18"/>
              </w:rPr>
              <w:t>已完工程及</w:t>
            </w:r>
            <w:r>
              <w:rPr>
                <w:rFonts w:ascii="微软雅黑" w:hAnsi="微软雅黑" w:eastAsia="微软雅黑" w:cs="微软雅黑"/>
                <w:spacing w:val="-3"/>
                <w:w w:val="99"/>
                <w:sz w:val="18"/>
                <w:szCs w:val="18"/>
              </w:rPr>
              <w:t>设备保护费</w:t>
            </w:r>
          </w:p>
        </w:tc>
        <w:tc>
          <w:tcPr>
            <w:tcW w:w="1107" w:type="dxa"/>
            <w:tcBorders>
              <w:top w:val="single" w:color="000000" w:sz="4" w:space="0"/>
            </w:tcBorders>
            <w:vAlign w:val="top"/>
          </w:tcPr>
          <w:p>
            <w:pPr>
              <w:spacing w:before="180" w:line="215" w:lineRule="auto"/>
              <w:ind w:left="309" w:right="175" w:hanging="92"/>
              <w:rPr>
                <w:rFonts w:ascii="微软雅黑" w:hAnsi="微软雅黑" w:eastAsia="微软雅黑" w:cs="微软雅黑"/>
                <w:sz w:val="18"/>
                <w:szCs w:val="18"/>
              </w:rPr>
            </w:pPr>
            <w:r>
              <w:rPr>
                <w:rFonts w:ascii="微软雅黑" w:hAnsi="微软雅黑" w:eastAsia="微软雅黑" w:cs="微软雅黑"/>
                <w:spacing w:val="-3"/>
                <w:sz w:val="18"/>
                <w:szCs w:val="18"/>
              </w:rPr>
              <w:t>工程定位</w:t>
            </w:r>
            <w:r>
              <w:rPr>
                <w:rFonts w:ascii="微软雅黑" w:hAnsi="微软雅黑" w:eastAsia="微软雅黑" w:cs="微软雅黑"/>
                <w:spacing w:val="-3"/>
                <w:w w:val="98"/>
                <w:sz w:val="18"/>
                <w:szCs w:val="18"/>
              </w:rPr>
              <w:t>复测费</w:t>
            </w:r>
          </w:p>
        </w:tc>
        <w:tc>
          <w:tcPr>
            <w:tcW w:w="1204" w:type="dxa"/>
            <w:tcBorders>
              <w:top w:val="single" w:color="000000" w:sz="4" w:space="0"/>
              <w:right w:val="single" w:color="000000" w:sz="4" w:space="0"/>
            </w:tcBorders>
            <w:vAlign w:val="top"/>
          </w:tcPr>
          <w:p>
            <w:pPr>
              <w:spacing w:before="183" w:line="214" w:lineRule="auto"/>
              <w:ind w:left="174" w:right="139" w:firstLine="80"/>
              <w:rPr>
                <w:rFonts w:ascii="微软雅黑" w:hAnsi="微软雅黑" w:eastAsia="微软雅黑" w:cs="微软雅黑"/>
                <w:sz w:val="18"/>
                <w:szCs w:val="18"/>
              </w:rPr>
            </w:pPr>
            <w:r>
              <w:rPr>
                <w:rFonts w:ascii="微软雅黑" w:hAnsi="微软雅黑" w:eastAsia="微软雅黑" w:cs="微软雅黑"/>
                <w:spacing w:val="20"/>
                <w:sz w:val="18"/>
                <w:szCs w:val="18"/>
              </w:rPr>
              <w:t>地下管线</w:t>
            </w:r>
            <w:r>
              <w:rPr>
                <w:rFonts w:ascii="微软雅黑" w:hAnsi="微软雅黑" w:eastAsia="微软雅黑" w:cs="微软雅黑"/>
                <w:spacing w:val="-4"/>
                <w:w w:val="98"/>
                <w:sz w:val="18"/>
                <w:szCs w:val="18"/>
              </w:rPr>
              <w:t>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restart"/>
            <w:tcBorders>
              <w:left w:val="single" w:color="000000" w:sz="4" w:space="0"/>
              <w:bottom w:val="nil"/>
            </w:tcBorders>
            <w:vAlign w:val="top"/>
          </w:tcPr>
          <w:p>
            <w:pPr>
              <w:pStyle w:val="6"/>
              <w:spacing w:line="261" w:lineRule="auto"/>
            </w:pPr>
          </w:p>
          <w:p>
            <w:pPr>
              <w:pStyle w:val="6"/>
              <w:spacing w:line="261" w:lineRule="auto"/>
            </w:pPr>
          </w:p>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spacing w:before="58" w:line="288" w:lineRule="auto"/>
              <w:ind w:left="164" w:right="148"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95" w:type="dxa"/>
            <w:vAlign w:val="top"/>
          </w:tcPr>
          <w:p>
            <w:pPr>
              <w:spacing w:before="112" w:line="212" w:lineRule="auto"/>
              <w:ind w:left="534"/>
              <w:rPr>
                <w:rFonts w:ascii="宋体" w:hAnsi="宋体" w:eastAsia="宋体" w:cs="宋体"/>
                <w:sz w:val="18"/>
                <w:szCs w:val="18"/>
              </w:rPr>
            </w:pPr>
            <w:r>
              <w:rPr>
                <w:rFonts w:ascii="宋体" w:hAnsi="宋体" w:eastAsia="宋体" w:cs="宋体"/>
                <w:spacing w:val="-3"/>
                <w:sz w:val="18"/>
                <w:szCs w:val="18"/>
              </w:rPr>
              <w:t>道路工程</w:t>
            </w:r>
          </w:p>
        </w:tc>
        <w:tc>
          <w:tcPr>
            <w:tcW w:w="972" w:type="dxa"/>
            <w:vAlign w:val="top"/>
          </w:tcPr>
          <w:p>
            <w:pPr>
              <w:spacing w:before="124" w:line="237" w:lineRule="exact"/>
              <w:ind w:left="309"/>
              <w:rPr>
                <w:rFonts w:ascii="宋体" w:hAnsi="宋体" w:eastAsia="宋体" w:cs="宋体"/>
                <w:sz w:val="18"/>
                <w:szCs w:val="18"/>
              </w:rPr>
            </w:pPr>
            <w:r>
              <w:rPr>
                <w:rFonts w:ascii="宋体" w:hAnsi="宋体" w:eastAsia="宋体" w:cs="宋体"/>
                <w:spacing w:val="-14"/>
                <w:position w:val="1"/>
                <w:sz w:val="18"/>
                <w:szCs w:val="18"/>
              </w:rPr>
              <w:t>0.66</w:t>
            </w:r>
          </w:p>
        </w:tc>
        <w:tc>
          <w:tcPr>
            <w:tcW w:w="1062" w:type="dxa"/>
            <w:vAlign w:val="top"/>
          </w:tcPr>
          <w:p>
            <w:pPr>
              <w:spacing w:before="124" w:line="237" w:lineRule="exact"/>
              <w:ind w:left="384"/>
              <w:rPr>
                <w:rFonts w:ascii="宋体" w:hAnsi="宋体" w:eastAsia="宋体" w:cs="宋体"/>
                <w:sz w:val="18"/>
                <w:szCs w:val="18"/>
              </w:rPr>
            </w:pPr>
            <w:r>
              <w:rPr>
                <w:rFonts w:ascii="宋体" w:hAnsi="宋体" w:eastAsia="宋体" w:cs="宋体"/>
                <w:spacing w:val="-19"/>
                <w:position w:val="1"/>
                <w:sz w:val="18"/>
                <w:szCs w:val="18"/>
              </w:rPr>
              <w:t>1.14</w:t>
            </w:r>
          </w:p>
        </w:tc>
        <w:tc>
          <w:tcPr>
            <w:tcW w:w="1092" w:type="dxa"/>
            <w:vAlign w:val="top"/>
          </w:tcPr>
          <w:p>
            <w:pPr>
              <w:spacing w:before="124" w:line="237" w:lineRule="exact"/>
              <w:ind w:left="375"/>
              <w:rPr>
                <w:rFonts w:ascii="宋体" w:hAnsi="宋体" w:eastAsia="宋体" w:cs="宋体"/>
                <w:sz w:val="18"/>
                <w:szCs w:val="18"/>
              </w:rPr>
            </w:pPr>
            <w:r>
              <w:rPr>
                <w:rFonts w:ascii="宋体" w:hAnsi="宋体" w:eastAsia="宋体" w:cs="宋体"/>
                <w:spacing w:val="-14"/>
                <w:position w:val="1"/>
                <w:sz w:val="18"/>
                <w:szCs w:val="18"/>
              </w:rPr>
              <w:t>0.41</w:t>
            </w:r>
          </w:p>
        </w:tc>
        <w:tc>
          <w:tcPr>
            <w:tcW w:w="1166" w:type="dxa"/>
            <w:vAlign w:val="top"/>
          </w:tcPr>
          <w:p>
            <w:pPr>
              <w:spacing w:before="124" w:line="237" w:lineRule="exact"/>
              <w:ind w:left="416"/>
              <w:rPr>
                <w:rFonts w:ascii="宋体" w:hAnsi="宋体" w:eastAsia="宋体" w:cs="宋体"/>
                <w:sz w:val="18"/>
                <w:szCs w:val="18"/>
              </w:rPr>
            </w:pPr>
            <w:r>
              <w:rPr>
                <w:rFonts w:ascii="宋体" w:hAnsi="宋体" w:eastAsia="宋体" w:cs="宋体"/>
                <w:spacing w:val="-14"/>
                <w:position w:val="1"/>
                <w:sz w:val="18"/>
                <w:szCs w:val="18"/>
              </w:rPr>
              <w:t>0.63</w:t>
            </w:r>
          </w:p>
        </w:tc>
        <w:tc>
          <w:tcPr>
            <w:tcW w:w="1107" w:type="dxa"/>
            <w:vAlign w:val="top"/>
          </w:tcPr>
          <w:p>
            <w:pPr>
              <w:spacing w:before="124" w:line="237" w:lineRule="exact"/>
              <w:ind w:left="390"/>
              <w:rPr>
                <w:rFonts w:ascii="宋体" w:hAnsi="宋体" w:eastAsia="宋体" w:cs="宋体"/>
                <w:sz w:val="18"/>
                <w:szCs w:val="18"/>
              </w:rPr>
            </w:pPr>
            <w:r>
              <w:rPr>
                <w:rFonts w:ascii="宋体" w:hAnsi="宋体" w:eastAsia="宋体" w:cs="宋体"/>
                <w:spacing w:val="-14"/>
                <w:position w:val="1"/>
                <w:sz w:val="18"/>
                <w:szCs w:val="18"/>
              </w:rPr>
              <w:t>0.13</w:t>
            </w:r>
          </w:p>
        </w:tc>
        <w:tc>
          <w:tcPr>
            <w:tcW w:w="1204" w:type="dxa"/>
            <w:tcBorders>
              <w:right w:val="single" w:color="000000" w:sz="4" w:space="0"/>
            </w:tcBorders>
            <w:vAlign w:val="top"/>
          </w:tcPr>
          <w:p>
            <w:pPr>
              <w:spacing w:before="124" w:line="237" w:lineRule="exact"/>
              <w:ind w:left="432"/>
              <w:rPr>
                <w:rFonts w:ascii="宋体" w:hAnsi="宋体" w:eastAsia="宋体" w:cs="宋体"/>
                <w:sz w:val="18"/>
                <w:szCs w:val="18"/>
              </w:rPr>
            </w:pPr>
            <w:r>
              <w:rPr>
                <w:rFonts w:ascii="宋体" w:hAnsi="宋体" w:eastAsia="宋体" w:cs="宋体"/>
                <w:spacing w:val="-14"/>
                <w:position w:val="1"/>
                <w:sz w:val="18"/>
                <w:szCs w:val="18"/>
              </w:rPr>
              <w:t>0.31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16" w:line="209" w:lineRule="auto"/>
              <w:ind w:left="534"/>
              <w:rPr>
                <w:rFonts w:ascii="宋体" w:hAnsi="宋体" w:eastAsia="宋体" w:cs="宋体"/>
                <w:sz w:val="18"/>
                <w:szCs w:val="18"/>
              </w:rPr>
            </w:pPr>
            <w:r>
              <w:rPr>
                <w:rFonts w:ascii="宋体" w:hAnsi="宋体" w:eastAsia="宋体" w:cs="宋体"/>
                <w:spacing w:val="-3"/>
                <w:sz w:val="18"/>
                <w:szCs w:val="18"/>
              </w:rPr>
              <w:t>桥涵工程</w:t>
            </w:r>
          </w:p>
        </w:tc>
        <w:tc>
          <w:tcPr>
            <w:tcW w:w="972" w:type="dxa"/>
            <w:vAlign w:val="top"/>
          </w:tcPr>
          <w:p>
            <w:pPr>
              <w:spacing w:before="127" w:line="241" w:lineRule="auto"/>
              <w:ind w:left="309"/>
              <w:rPr>
                <w:rFonts w:ascii="宋体" w:hAnsi="宋体" w:eastAsia="宋体" w:cs="宋体"/>
                <w:sz w:val="18"/>
                <w:szCs w:val="18"/>
              </w:rPr>
            </w:pPr>
            <w:r>
              <w:rPr>
                <w:rFonts w:ascii="宋体" w:hAnsi="宋体" w:eastAsia="宋体" w:cs="宋体"/>
                <w:spacing w:val="-14"/>
                <w:sz w:val="18"/>
                <w:szCs w:val="18"/>
              </w:rPr>
              <w:t>0.38</w:t>
            </w:r>
          </w:p>
        </w:tc>
        <w:tc>
          <w:tcPr>
            <w:tcW w:w="1062" w:type="dxa"/>
            <w:vAlign w:val="top"/>
          </w:tcPr>
          <w:p>
            <w:pPr>
              <w:spacing w:before="127" w:line="241" w:lineRule="auto"/>
              <w:ind w:left="384"/>
              <w:rPr>
                <w:rFonts w:ascii="宋体" w:hAnsi="宋体" w:eastAsia="宋体" w:cs="宋体"/>
                <w:sz w:val="18"/>
                <w:szCs w:val="18"/>
              </w:rPr>
            </w:pPr>
            <w:r>
              <w:rPr>
                <w:rFonts w:ascii="宋体" w:hAnsi="宋体" w:eastAsia="宋体" w:cs="宋体"/>
                <w:spacing w:val="-19"/>
                <w:sz w:val="18"/>
                <w:szCs w:val="18"/>
              </w:rPr>
              <w:t>1.51</w:t>
            </w:r>
          </w:p>
        </w:tc>
        <w:tc>
          <w:tcPr>
            <w:tcW w:w="1092" w:type="dxa"/>
            <w:vAlign w:val="top"/>
          </w:tcPr>
          <w:p>
            <w:pPr>
              <w:spacing w:before="127" w:line="241" w:lineRule="auto"/>
              <w:ind w:left="375"/>
              <w:rPr>
                <w:rFonts w:ascii="宋体" w:hAnsi="宋体" w:eastAsia="宋体" w:cs="宋体"/>
                <w:sz w:val="18"/>
                <w:szCs w:val="18"/>
              </w:rPr>
            </w:pPr>
            <w:r>
              <w:rPr>
                <w:rFonts w:ascii="宋体" w:hAnsi="宋体" w:eastAsia="宋体" w:cs="宋体"/>
                <w:spacing w:val="-14"/>
                <w:sz w:val="18"/>
                <w:szCs w:val="18"/>
              </w:rPr>
              <w:t>0.38</w:t>
            </w:r>
          </w:p>
        </w:tc>
        <w:tc>
          <w:tcPr>
            <w:tcW w:w="1166" w:type="dxa"/>
            <w:vAlign w:val="top"/>
          </w:tcPr>
          <w:p>
            <w:pPr>
              <w:spacing w:before="127" w:line="241" w:lineRule="auto"/>
              <w:ind w:left="416"/>
              <w:rPr>
                <w:rFonts w:ascii="宋体" w:hAnsi="宋体" w:eastAsia="宋体" w:cs="宋体"/>
                <w:sz w:val="18"/>
                <w:szCs w:val="18"/>
              </w:rPr>
            </w:pPr>
            <w:r>
              <w:rPr>
                <w:rFonts w:ascii="宋体" w:hAnsi="宋体" w:eastAsia="宋体" w:cs="宋体"/>
                <w:spacing w:val="-14"/>
                <w:sz w:val="18"/>
                <w:szCs w:val="18"/>
              </w:rPr>
              <w:t>0.63</w:t>
            </w:r>
          </w:p>
        </w:tc>
        <w:tc>
          <w:tcPr>
            <w:tcW w:w="1107" w:type="dxa"/>
            <w:vAlign w:val="top"/>
          </w:tcPr>
          <w:p>
            <w:pPr>
              <w:spacing w:before="127" w:line="241" w:lineRule="auto"/>
              <w:ind w:left="390"/>
              <w:rPr>
                <w:rFonts w:ascii="宋体" w:hAnsi="宋体" w:eastAsia="宋体" w:cs="宋体"/>
                <w:sz w:val="18"/>
                <w:szCs w:val="18"/>
              </w:rPr>
            </w:pPr>
            <w:r>
              <w:rPr>
                <w:rFonts w:ascii="宋体" w:hAnsi="宋体" w:eastAsia="宋体" w:cs="宋体"/>
                <w:spacing w:val="-14"/>
                <w:sz w:val="18"/>
                <w:szCs w:val="18"/>
              </w:rPr>
              <w:t>0.08</w:t>
            </w:r>
          </w:p>
        </w:tc>
        <w:tc>
          <w:tcPr>
            <w:tcW w:w="1204" w:type="dxa"/>
            <w:tcBorders>
              <w:right w:val="single" w:color="000000" w:sz="4" w:space="0"/>
            </w:tcBorders>
            <w:vAlign w:val="top"/>
          </w:tcPr>
          <w:p>
            <w:pPr>
              <w:spacing w:before="127" w:line="241" w:lineRule="auto"/>
              <w:ind w:left="432"/>
              <w:rPr>
                <w:rFonts w:ascii="宋体" w:hAnsi="宋体" w:eastAsia="宋体" w:cs="宋体"/>
                <w:sz w:val="18"/>
                <w:szCs w:val="18"/>
              </w:rPr>
            </w:pPr>
            <w:r>
              <w:rPr>
                <w:rFonts w:ascii="宋体" w:hAnsi="宋体" w:eastAsia="宋体" w:cs="宋体"/>
                <w:spacing w:val="-14"/>
                <w:sz w:val="18"/>
                <w:szCs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16" w:line="211" w:lineRule="auto"/>
              <w:ind w:left="553"/>
              <w:rPr>
                <w:rFonts w:ascii="宋体" w:hAnsi="宋体" w:eastAsia="宋体" w:cs="宋体"/>
                <w:sz w:val="18"/>
                <w:szCs w:val="18"/>
              </w:rPr>
            </w:pPr>
            <w:r>
              <w:rPr>
                <w:rFonts w:ascii="宋体" w:hAnsi="宋体" w:eastAsia="宋体" w:cs="宋体"/>
                <w:spacing w:val="-9"/>
                <w:sz w:val="18"/>
                <w:szCs w:val="18"/>
              </w:rPr>
              <w:t>隧道工程</w:t>
            </w:r>
          </w:p>
        </w:tc>
        <w:tc>
          <w:tcPr>
            <w:tcW w:w="972" w:type="dxa"/>
            <w:vAlign w:val="top"/>
          </w:tcPr>
          <w:p>
            <w:pPr>
              <w:spacing w:before="128" w:line="239" w:lineRule="auto"/>
              <w:ind w:left="309"/>
              <w:rPr>
                <w:rFonts w:ascii="宋体" w:hAnsi="宋体" w:eastAsia="宋体" w:cs="宋体"/>
                <w:sz w:val="18"/>
                <w:szCs w:val="18"/>
              </w:rPr>
            </w:pPr>
            <w:r>
              <w:rPr>
                <w:rFonts w:ascii="宋体" w:hAnsi="宋体" w:eastAsia="宋体" w:cs="宋体"/>
                <w:spacing w:val="-14"/>
                <w:sz w:val="18"/>
                <w:szCs w:val="18"/>
              </w:rPr>
              <w:t>0.32</w:t>
            </w:r>
          </w:p>
        </w:tc>
        <w:tc>
          <w:tcPr>
            <w:tcW w:w="1062" w:type="dxa"/>
            <w:vAlign w:val="top"/>
          </w:tcPr>
          <w:p>
            <w:pPr>
              <w:spacing w:before="128" w:line="239" w:lineRule="auto"/>
              <w:ind w:left="384"/>
              <w:rPr>
                <w:rFonts w:ascii="宋体" w:hAnsi="宋体" w:eastAsia="宋体" w:cs="宋体"/>
                <w:sz w:val="18"/>
                <w:szCs w:val="18"/>
              </w:rPr>
            </w:pPr>
            <w:r>
              <w:rPr>
                <w:rFonts w:ascii="宋体" w:hAnsi="宋体" w:eastAsia="宋体" w:cs="宋体"/>
                <w:spacing w:val="-19"/>
                <w:sz w:val="18"/>
                <w:szCs w:val="18"/>
              </w:rPr>
              <w:t>1.30</w:t>
            </w:r>
          </w:p>
        </w:tc>
        <w:tc>
          <w:tcPr>
            <w:tcW w:w="1092" w:type="dxa"/>
            <w:vAlign w:val="top"/>
          </w:tcPr>
          <w:p>
            <w:pPr>
              <w:spacing w:before="128" w:line="239" w:lineRule="auto"/>
              <w:ind w:left="375"/>
              <w:rPr>
                <w:rFonts w:ascii="宋体" w:hAnsi="宋体" w:eastAsia="宋体" w:cs="宋体"/>
                <w:sz w:val="18"/>
                <w:szCs w:val="18"/>
              </w:rPr>
            </w:pPr>
            <w:r>
              <w:rPr>
                <w:rFonts w:ascii="宋体" w:hAnsi="宋体" w:eastAsia="宋体" w:cs="宋体"/>
                <w:spacing w:val="-14"/>
                <w:sz w:val="18"/>
                <w:szCs w:val="18"/>
              </w:rPr>
              <w:t>0.33</w:t>
            </w:r>
          </w:p>
        </w:tc>
        <w:tc>
          <w:tcPr>
            <w:tcW w:w="1166" w:type="dxa"/>
            <w:vAlign w:val="top"/>
          </w:tcPr>
          <w:p>
            <w:pPr>
              <w:spacing w:before="128" w:line="239" w:lineRule="auto"/>
              <w:ind w:left="416"/>
              <w:rPr>
                <w:rFonts w:ascii="宋体" w:hAnsi="宋体" w:eastAsia="宋体" w:cs="宋体"/>
                <w:sz w:val="18"/>
                <w:szCs w:val="18"/>
              </w:rPr>
            </w:pPr>
            <w:r>
              <w:rPr>
                <w:rFonts w:ascii="宋体" w:hAnsi="宋体" w:eastAsia="宋体" w:cs="宋体"/>
                <w:spacing w:val="-14"/>
                <w:sz w:val="18"/>
                <w:szCs w:val="18"/>
              </w:rPr>
              <w:t>0.64</w:t>
            </w:r>
          </w:p>
        </w:tc>
        <w:tc>
          <w:tcPr>
            <w:tcW w:w="1107" w:type="dxa"/>
            <w:vAlign w:val="top"/>
          </w:tcPr>
          <w:p>
            <w:pPr>
              <w:spacing w:before="128" w:line="239" w:lineRule="auto"/>
              <w:ind w:left="390"/>
              <w:rPr>
                <w:rFonts w:ascii="宋体" w:hAnsi="宋体" w:eastAsia="宋体" w:cs="宋体"/>
                <w:sz w:val="18"/>
                <w:szCs w:val="18"/>
              </w:rPr>
            </w:pPr>
            <w:r>
              <w:rPr>
                <w:rFonts w:ascii="宋体" w:hAnsi="宋体" w:eastAsia="宋体" w:cs="宋体"/>
                <w:spacing w:val="-14"/>
                <w:sz w:val="18"/>
                <w:szCs w:val="18"/>
              </w:rPr>
              <w:t>0.08</w:t>
            </w:r>
          </w:p>
        </w:tc>
        <w:tc>
          <w:tcPr>
            <w:tcW w:w="1204" w:type="dxa"/>
            <w:tcBorders>
              <w:right w:val="single" w:color="000000" w:sz="4" w:space="0"/>
            </w:tcBorders>
            <w:vAlign w:val="top"/>
          </w:tcPr>
          <w:p>
            <w:pPr>
              <w:spacing w:before="128" w:line="239" w:lineRule="auto"/>
              <w:ind w:left="432"/>
              <w:rPr>
                <w:rFonts w:ascii="宋体" w:hAnsi="宋体" w:eastAsia="宋体" w:cs="宋体"/>
                <w:sz w:val="18"/>
                <w:szCs w:val="18"/>
              </w:rPr>
            </w:pPr>
            <w:r>
              <w:rPr>
                <w:rFonts w:ascii="宋体" w:hAnsi="宋体" w:eastAsia="宋体" w:cs="宋体"/>
                <w:spacing w:val="-14"/>
                <w:sz w:val="18"/>
                <w:szCs w:val="18"/>
              </w:rPr>
              <w:t>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19" w:line="211" w:lineRule="auto"/>
              <w:ind w:left="542"/>
              <w:rPr>
                <w:rFonts w:ascii="宋体" w:hAnsi="宋体" w:eastAsia="宋体" w:cs="宋体"/>
                <w:sz w:val="18"/>
                <w:szCs w:val="18"/>
              </w:rPr>
            </w:pPr>
            <w:r>
              <w:rPr>
                <w:rFonts w:ascii="宋体" w:hAnsi="宋体" w:eastAsia="宋体" w:cs="宋体"/>
                <w:spacing w:val="-5"/>
                <w:sz w:val="18"/>
                <w:szCs w:val="18"/>
              </w:rPr>
              <w:t>给水工程</w:t>
            </w:r>
          </w:p>
        </w:tc>
        <w:tc>
          <w:tcPr>
            <w:tcW w:w="972" w:type="dxa"/>
            <w:vAlign w:val="top"/>
          </w:tcPr>
          <w:p>
            <w:pPr>
              <w:spacing w:before="130" w:line="237" w:lineRule="auto"/>
              <w:ind w:left="336"/>
              <w:rPr>
                <w:rFonts w:ascii="宋体" w:hAnsi="宋体" w:eastAsia="宋体" w:cs="宋体"/>
                <w:sz w:val="18"/>
                <w:szCs w:val="18"/>
              </w:rPr>
            </w:pPr>
            <w:r>
              <w:rPr>
                <w:rFonts w:ascii="宋体" w:hAnsi="宋体" w:eastAsia="宋体" w:cs="宋体"/>
                <w:spacing w:val="-19"/>
                <w:sz w:val="18"/>
                <w:szCs w:val="18"/>
              </w:rPr>
              <w:t>1.53</w:t>
            </w:r>
          </w:p>
        </w:tc>
        <w:tc>
          <w:tcPr>
            <w:tcW w:w="1062" w:type="dxa"/>
            <w:vAlign w:val="top"/>
          </w:tcPr>
          <w:p>
            <w:pPr>
              <w:spacing w:before="130" w:line="237" w:lineRule="auto"/>
              <w:ind w:left="360"/>
              <w:rPr>
                <w:rFonts w:ascii="宋体" w:hAnsi="宋体" w:eastAsia="宋体" w:cs="宋体"/>
                <w:sz w:val="18"/>
                <w:szCs w:val="18"/>
              </w:rPr>
            </w:pPr>
            <w:r>
              <w:rPr>
                <w:rFonts w:ascii="宋体" w:hAnsi="宋体" w:eastAsia="宋体" w:cs="宋体"/>
                <w:spacing w:val="-15"/>
                <w:sz w:val="18"/>
                <w:szCs w:val="18"/>
              </w:rPr>
              <w:t>2.02</w:t>
            </w:r>
          </w:p>
        </w:tc>
        <w:tc>
          <w:tcPr>
            <w:tcW w:w="1092" w:type="dxa"/>
            <w:vAlign w:val="top"/>
          </w:tcPr>
          <w:p>
            <w:pPr>
              <w:spacing w:before="130" w:line="237" w:lineRule="auto"/>
              <w:ind w:left="402"/>
              <w:rPr>
                <w:rFonts w:ascii="宋体" w:hAnsi="宋体" w:eastAsia="宋体" w:cs="宋体"/>
                <w:sz w:val="18"/>
                <w:szCs w:val="18"/>
              </w:rPr>
            </w:pPr>
            <w:r>
              <w:rPr>
                <w:rFonts w:ascii="宋体" w:hAnsi="宋体" w:eastAsia="宋体" w:cs="宋体"/>
                <w:spacing w:val="-19"/>
                <w:sz w:val="18"/>
                <w:szCs w:val="18"/>
              </w:rPr>
              <w:t>1.53</w:t>
            </w:r>
          </w:p>
        </w:tc>
        <w:tc>
          <w:tcPr>
            <w:tcW w:w="1166" w:type="dxa"/>
            <w:vAlign w:val="top"/>
          </w:tcPr>
          <w:p>
            <w:pPr>
              <w:spacing w:before="130" w:line="237" w:lineRule="auto"/>
              <w:ind w:left="416"/>
              <w:rPr>
                <w:rFonts w:ascii="宋体" w:hAnsi="宋体" w:eastAsia="宋体" w:cs="宋体"/>
                <w:sz w:val="18"/>
                <w:szCs w:val="18"/>
              </w:rPr>
            </w:pPr>
            <w:r>
              <w:rPr>
                <w:rFonts w:ascii="宋体" w:hAnsi="宋体" w:eastAsia="宋体" w:cs="宋体"/>
                <w:spacing w:val="-14"/>
                <w:sz w:val="18"/>
                <w:szCs w:val="18"/>
              </w:rPr>
              <w:t>0.80</w:t>
            </w:r>
          </w:p>
        </w:tc>
        <w:tc>
          <w:tcPr>
            <w:tcW w:w="1107" w:type="dxa"/>
            <w:vAlign w:val="top"/>
          </w:tcPr>
          <w:p>
            <w:pPr>
              <w:spacing w:before="130" w:line="237" w:lineRule="auto"/>
              <w:ind w:left="390"/>
              <w:rPr>
                <w:rFonts w:ascii="宋体" w:hAnsi="宋体" w:eastAsia="宋体" w:cs="宋体"/>
                <w:sz w:val="18"/>
                <w:szCs w:val="18"/>
              </w:rPr>
            </w:pPr>
            <w:r>
              <w:rPr>
                <w:rFonts w:ascii="宋体" w:hAnsi="宋体" w:eastAsia="宋体" w:cs="宋体"/>
                <w:spacing w:val="-14"/>
                <w:sz w:val="18"/>
                <w:szCs w:val="18"/>
              </w:rPr>
              <w:t>0.33</w:t>
            </w:r>
          </w:p>
        </w:tc>
        <w:tc>
          <w:tcPr>
            <w:tcW w:w="1204" w:type="dxa"/>
            <w:tcBorders>
              <w:right w:val="single" w:color="000000" w:sz="4" w:space="0"/>
            </w:tcBorders>
            <w:vAlign w:val="top"/>
          </w:tcPr>
          <w:p>
            <w:pPr>
              <w:spacing w:before="130" w:line="237" w:lineRule="auto"/>
              <w:ind w:left="460"/>
              <w:rPr>
                <w:rFonts w:ascii="宋体" w:hAnsi="宋体" w:eastAsia="宋体" w:cs="宋体"/>
                <w:sz w:val="18"/>
                <w:szCs w:val="18"/>
              </w:rPr>
            </w:pPr>
            <w:r>
              <w:rPr>
                <w:rFonts w:ascii="宋体" w:hAnsi="宋体" w:eastAsia="宋体" w:cs="宋体"/>
                <w:spacing w:val="-19"/>
                <w:sz w:val="18"/>
                <w:szCs w:val="18"/>
              </w:rPr>
              <w:t>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09" w:line="222" w:lineRule="auto"/>
              <w:ind w:left="534"/>
              <w:rPr>
                <w:rFonts w:ascii="宋体" w:hAnsi="宋体" w:eastAsia="宋体" w:cs="宋体"/>
                <w:sz w:val="18"/>
                <w:szCs w:val="18"/>
              </w:rPr>
            </w:pPr>
            <w:r>
              <w:rPr>
                <w:rFonts w:ascii="宋体" w:hAnsi="宋体" w:eastAsia="宋体" w:cs="宋体"/>
                <w:spacing w:val="-3"/>
                <w:sz w:val="18"/>
                <w:szCs w:val="18"/>
              </w:rPr>
              <w:t>排水工程</w:t>
            </w:r>
          </w:p>
        </w:tc>
        <w:tc>
          <w:tcPr>
            <w:tcW w:w="972" w:type="dxa"/>
            <w:vAlign w:val="top"/>
          </w:tcPr>
          <w:p>
            <w:pPr>
              <w:spacing w:before="133" w:line="235" w:lineRule="auto"/>
              <w:ind w:left="309"/>
              <w:rPr>
                <w:rFonts w:ascii="宋体" w:hAnsi="宋体" w:eastAsia="宋体" w:cs="宋体"/>
                <w:sz w:val="18"/>
                <w:szCs w:val="18"/>
              </w:rPr>
            </w:pPr>
            <w:r>
              <w:rPr>
                <w:rFonts w:ascii="宋体" w:hAnsi="宋体" w:eastAsia="宋体" w:cs="宋体"/>
                <w:spacing w:val="-14"/>
                <w:sz w:val="18"/>
                <w:szCs w:val="18"/>
              </w:rPr>
              <w:t>0.42</w:t>
            </w:r>
          </w:p>
        </w:tc>
        <w:tc>
          <w:tcPr>
            <w:tcW w:w="1062" w:type="dxa"/>
            <w:vAlign w:val="top"/>
          </w:tcPr>
          <w:p>
            <w:pPr>
              <w:spacing w:before="133" w:line="235" w:lineRule="auto"/>
              <w:ind w:left="384"/>
              <w:rPr>
                <w:rFonts w:ascii="宋体" w:hAnsi="宋体" w:eastAsia="宋体" w:cs="宋体"/>
                <w:sz w:val="18"/>
                <w:szCs w:val="18"/>
              </w:rPr>
            </w:pPr>
            <w:r>
              <w:rPr>
                <w:rFonts w:ascii="宋体" w:hAnsi="宋体" w:eastAsia="宋体" w:cs="宋体"/>
                <w:spacing w:val="-19"/>
                <w:sz w:val="18"/>
                <w:szCs w:val="18"/>
              </w:rPr>
              <w:t>1.24</w:t>
            </w:r>
          </w:p>
        </w:tc>
        <w:tc>
          <w:tcPr>
            <w:tcW w:w="1092" w:type="dxa"/>
            <w:vAlign w:val="top"/>
          </w:tcPr>
          <w:p>
            <w:pPr>
              <w:spacing w:before="133" w:line="235" w:lineRule="auto"/>
              <w:ind w:left="375"/>
              <w:rPr>
                <w:rFonts w:ascii="宋体" w:hAnsi="宋体" w:eastAsia="宋体" w:cs="宋体"/>
                <w:sz w:val="18"/>
                <w:szCs w:val="18"/>
              </w:rPr>
            </w:pPr>
            <w:r>
              <w:rPr>
                <w:rFonts w:ascii="宋体" w:hAnsi="宋体" w:eastAsia="宋体" w:cs="宋体"/>
                <w:spacing w:val="-14"/>
                <w:sz w:val="18"/>
                <w:szCs w:val="18"/>
              </w:rPr>
              <w:t>0.43</w:t>
            </w:r>
          </w:p>
        </w:tc>
        <w:tc>
          <w:tcPr>
            <w:tcW w:w="1166" w:type="dxa"/>
            <w:vAlign w:val="top"/>
          </w:tcPr>
          <w:p>
            <w:pPr>
              <w:spacing w:before="133" w:line="235" w:lineRule="auto"/>
              <w:ind w:left="416"/>
              <w:rPr>
                <w:rFonts w:ascii="宋体" w:hAnsi="宋体" w:eastAsia="宋体" w:cs="宋体"/>
                <w:sz w:val="18"/>
                <w:szCs w:val="18"/>
              </w:rPr>
            </w:pPr>
            <w:r>
              <w:rPr>
                <w:rFonts w:ascii="宋体" w:hAnsi="宋体" w:eastAsia="宋体" w:cs="宋体"/>
                <w:spacing w:val="-14"/>
                <w:sz w:val="18"/>
                <w:szCs w:val="18"/>
              </w:rPr>
              <w:t>0.49</w:t>
            </w:r>
          </w:p>
        </w:tc>
        <w:tc>
          <w:tcPr>
            <w:tcW w:w="1107" w:type="dxa"/>
            <w:vAlign w:val="top"/>
          </w:tcPr>
          <w:p>
            <w:pPr>
              <w:spacing w:before="133" w:line="235" w:lineRule="auto"/>
              <w:ind w:left="390"/>
              <w:rPr>
                <w:rFonts w:ascii="宋体" w:hAnsi="宋体" w:eastAsia="宋体" w:cs="宋体"/>
                <w:sz w:val="18"/>
                <w:szCs w:val="18"/>
              </w:rPr>
            </w:pPr>
            <w:r>
              <w:rPr>
                <w:rFonts w:ascii="宋体" w:hAnsi="宋体" w:eastAsia="宋体" w:cs="宋体"/>
                <w:spacing w:val="-14"/>
                <w:sz w:val="18"/>
                <w:szCs w:val="18"/>
              </w:rPr>
              <w:t>0.10</w:t>
            </w:r>
          </w:p>
        </w:tc>
        <w:tc>
          <w:tcPr>
            <w:tcW w:w="1204" w:type="dxa"/>
            <w:tcBorders>
              <w:right w:val="single" w:color="000000" w:sz="4" w:space="0"/>
            </w:tcBorders>
            <w:vAlign w:val="top"/>
          </w:tcPr>
          <w:p>
            <w:pPr>
              <w:spacing w:before="133" w:line="235" w:lineRule="auto"/>
              <w:ind w:left="432"/>
              <w:rPr>
                <w:rFonts w:ascii="宋体" w:hAnsi="宋体" w:eastAsia="宋体" w:cs="宋体"/>
                <w:sz w:val="18"/>
                <w:szCs w:val="18"/>
              </w:rPr>
            </w:pPr>
            <w:r>
              <w:rPr>
                <w:rFonts w:ascii="宋体" w:hAnsi="宋体" w:eastAsia="宋体" w:cs="宋体"/>
                <w:spacing w:val="-14"/>
                <w:sz w:val="18"/>
                <w:szCs w:val="18"/>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22" w:line="214" w:lineRule="auto"/>
              <w:ind w:left="532"/>
              <w:rPr>
                <w:rFonts w:ascii="宋体" w:hAnsi="宋体" w:eastAsia="宋体" w:cs="宋体"/>
                <w:sz w:val="18"/>
                <w:szCs w:val="18"/>
              </w:rPr>
            </w:pPr>
            <w:r>
              <w:rPr>
                <w:rFonts w:ascii="宋体" w:hAnsi="宋体" w:eastAsia="宋体" w:cs="宋体"/>
                <w:spacing w:val="-3"/>
                <w:sz w:val="18"/>
                <w:szCs w:val="18"/>
              </w:rPr>
              <w:t>燃气工程</w:t>
            </w:r>
          </w:p>
        </w:tc>
        <w:tc>
          <w:tcPr>
            <w:tcW w:w="972" w:type="dxa"/>
            <w:vAlign w:val="top"/>
          </w:tcPr>
          <w:p>
            <w:pPr>
              <w:spacing w:before="134" w:line="233" w:lineRule="auto"/>
              <w:ind w:left="336"/>
              <w:rPr>
                <w:rFonts w:ascii="宋体" w:hAnsi="宋体" w:eastAsia="宋体" w:cs="宋体"/>
                <w:sz w:val="18"/>
                <w:szCs w:val="18"/>
              </w:rPr>
            </w:pPr>
            <w:r>
              <w:rPr>
                <w:rFonts w:ascii="宋体" w:hAnsi="宋体" w:eastAsia="宋体" w:cs="宋体"/>
                <w:spacing w:val="-19"/>
                <w:sz w:val="18"/>
                <w:szCs w:val="18"/>
              </w:rPr>
              <w:t>1.06</w:t>
            </w:r>
          </w:p>
        </w:tc>
        <w:tc>
          <w:tcPr>
            <w:tcW w:w="1062" w:type="dxa"/>
            <w:vAlign w:val="top"/>
          </w:tcPr>
          <w:p>
            <w:pPr>
              <w:spacing w:before="134" w:line="233" w:lineRule="auto"/>
              <w:ind w:left="384"/>
              <w:rPr>
                <w:rFonts w:ascii="宋体" w:hAnsi="宋体" w:eastAsia="宋体" w:cs="宋体"/>
                <w:sz w:val="18"/>
                <w:szCs w:val="18"/>
              </w:rPr>
            </w:pPr>
            <w:r>
              <w:rPr>
                <w:rFonts w:ascii="宋体" w:hAnsi="宋体" w:eastAsia="宋体" w:cs="宋体"/>
                <w:spacing w:val="-19"/>
                <w:sz w:val="18"/>
                <w:szCs w:val="18"/>
              </w:rPr>
              <w:t>1.32</w:t>
            </w:r>
          </w:p>
        </w:tc>
        <w:tc>
          <w:tcPr>
            <w:tcW w:w="1092" w:type="dxa"/>
            <w:vAlign w:val="top"/>
          </w:tcPr>
          <w:p>
            <w:pPr>
              <w:spacing w:before="134" w:line="233" w:lineRule="auto"/>
              <w:ind w:left="402"/>
              <w:rPr>
                <w:rFonts w:ascii="宋体" w:hAnsi="宋体" w:eastAsia="宋体" w:cs="宋体"/>
                <w:sz w:val="18"/>
                <w:szCs w:val="18"/>
              </w:rPr>
            </w:pPr>
            <w:r>
              <w:rPr>
                <w:rFonts w:ascii="宋体" w:hAnsi="宋体" w:eastAsia="宋体" w:cs="宋体"/>
                <w:spacing w:val="-19"/>
                <w:sz w:val="18"/>
                <w:szCs w:val="18"/>
              </w:rPr>
              <w:t>1.07</w:t>
            </w:r>
          </w:p>
        </w:tc>
        <w:tc>
          <w:tcPr>
            <w:tcW w:w="1166" w:type="dxa"/>
            <w:vAlign w:val="top"/>
          </w:tcPr>
          <w:p>
            <w:pPr>
              <w:spacing w:before="134" w:line="233" w:lineRule="auto"/>
              <w:ind w:left="416"/>
              <w:rPr>
                <w:rFonts w:ascii="宋体" w:hAnsi="宋体" w:eastAsia="宋体" w:cs="宋体"/>
                <w:sz w:val="18"/>
                <w:szCs w:val="18"/>
              </w:rPr>
            </w:pPr>
            <w:r>
              <w:rPr>
                <w:rFonts w:ascii="宋体" w:hAnsi="宋体" w:eastAsia="宋体" w:cs="宋体"/>
                <w:spacing w:val="-14"/>
                <w:sz w:val="18"/>
                <w:szCs w:val="18"/>
              </w:rPr>
              <w:t>0.68</w:t>
            </w:r>
          </w:p>
        </w:tc>
        <w:tc>
          <w:tcPr>
            <w:tcW w:w="1107" w:type="dxa"/>
            <w:vAlign w:val="top"/>
          </w:tcPr>
          <w:p>
            <w:pPr>
              <w:spacing w:before="134" w:line="233" w:lineRule="auto"/>
              <w:ind w:left="390"/>
              <w:rPr>
                <w:rFonts w:ascii="宋体" w:hAnsi="宋体" w:eastAsia="宋体" w:cs="宋体"/>
                <w:sz w:val="18"/>
                <w:szCs w:val="18"/>
              </w:rPr>
            </w:pPr>
            <w:r>
              <w:rPr>
                <w:rFonts w:ascii="宋体" w:hAnsi="宋体" w:eastAsia="宋体" w:cs="宋体"/>
                <w:spacing w:val="-14"/>
                <w:sz w:val="18"/>
                <w:szCs w:val="18"/>
              </w:rPr>
              <w:t>0.69</w:t>
            </w:r>
          </w:p>
        </w:tc>
        <w:tc>
          <w:tcPr>
            <w:tcW w:w="1204" w:type="dxa"/>
            <w:tcBorders>
              <w:right w:val="single" w:color="000000" w:sz="4" w:space="0"/>
            </w:tcBorders>
            <w:vAlign w:val="top"/>
          </w:tcPr>
          <w:p>
            <w:pPr>
              <w:spacing w:before="134" w:line="233" w:lineRule="auto"/>
              <w:ind w:left="432"/>
              <w:rPr>
                <w:rFonts w:ascii="宋体" w:hAnsi="宋体" w:eastAsia="宋体" w:cs="宋体"/>
                <w:sz w:val="18"/>
                <w:szCs w:val="18"/>
              </w:rPr>
            </w:pPr>
            <w:r>
              <w:rPr>
                <w:rFonts w:ascii="宋体" w:hAnsi="宋体" w:eastAsia="宋体" w:cs="宋体"/>
                <w:spacing w:val="-14"/>
                <w:sz w:val="18"/>
                <w:szCs w:val="18"/>
              </w:rPr>
              <w:t>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20" w:line="240" w:lineRule="exact"/>
              <w:ind w:left="533"/>
              <w:rPr>
                <w:rFonts w:ascii="宋体" w:hAnsi="宋体" w:eastAsia="宋体" w:cs="宋体"/>
                <w:sz w:val="18"/>
                <w:szCs w:val="18"/>
              </w:rPr>
            </w:pPr>
            <w:r>
              <w:rPr>
                <w:rFonts w:ascii="宋体" w:hAnsi="宋体" w:eastAsia="宋体" w:cs="宋体"/>
                <w:spacing w:val="-3"/>
                <w:position w:val="1"/>
                <w:sz w:val="18"/>
                <w:szCs w:val="18"/>
              </w:rPr>
              <w:t>供热工程</w:t>
            </w:r>
          </w:p>
        </w:tc>
        <w:tc>
          <w:tcPr>
            <w:tcW w:w="972" w:type="dxa"/>
            <w:vAlign w:val="top"/>
          </w:tcPr>
          <w:p>
            <w:pPr>
              <w:spacing w:before="136" w:line="232" w:lineRule="auto"/>
              <w:ind w:left="336"/>
              <w:rPr>
                <w:rFonts w:ascii="宋体" w:hAnsi="宋体" w:eastAsia="宋体" w:cs="宋体"/>
                <w:sz w:val="18"/>
                <w:szCs w:val="18"/>
              </w:rPr>
            </w:pPr>
            <w:r>
              <w:rPr>
                <w:rFonts w:ascii="宋体" w:hAnsi="宋体" w:eastAsia="宋体" w:cs="宋体"/>
                <w:spacing w:val="-19"/>
                <w:sz w:val="18"/>
                <w:szCs w:val="18"/>
              </w:rPr>
              <w:t>1.00</w:t>
            </w:r>
          </w:p>
        </w:tc>
        <w:tc>
          <w:tcPr>
            <w:tcW w:w="1062" w:type="dxa"/>
            <w:vAlign w:val="top"/>
          </w:tcPr>
          <w:p>
            <w:pPr>
              <w:spacing w:before="136" w:line="232" w:lineRule="auto"/>
              <w:ind w:left="384"/>
              <w:rPr>
                <w:rFonts w:ascii="宋体" w:hAnsi="宋体" w:eastAsia="宋体" w:cs="宋体"/>
                <w:sz w:val="18"/>
                <w:szCs w:val="18"/>
              </w:rPr>
            </w:pPr>
            <w:r>
              <w:rPr>
                <w:rFonts w:ascii="宋体" w:hAnsi="宋体" w:eastAsia="宋体" w:cs="宋体"/>
                <w:spacing w:val="-19"/>
                <w:sz w:val="18"/>
                <w:szCs w:val="18"/>
              </w:rPr>
              <w:t>1.31</w:t>
            </w:r>
          </w:p>
        </w:tc>
        <w:tc>
          <w:tcPr>
            <w:tcW w:w="1092" w:type="dxa"/>
            <w:vAlign w:val="top"/>
          </w:tcPr>
          <w:p>
            <w:pPr>
              <w:spacing w:before="136" w:line="232" w:lineRule="auto"/>
              <w:ind w:left="402"/>
              <w:rPr>
                <w:rFonts w:ascii="宋体" w:hAnsi="宋体" w:eastAsia="宋体" w:cs="宋体"/>
                <w:sz w:val="18"/>
                <w:szCs w:val="18"/>
              </w:rPr>
            </w:pPr>
            <w:r>
              <w:rPr>
                <w:rFonts w:ascii="宋体" w:hAnsi="宋体" w:eastAsia="宋体" w:cs="宋体"/>
                <w:spacing w:val="-19"/>
                <w:sz w:val="18"/>
                <w:szCs w:val="18"/>
              </w:rPr>
              <w:t>1.00</w:t>
            </w:r>
          </w:p>
        </w:tc>
        <w:tc>
          <w:tcPr>
            <w:tcW w:w="1166" w:type="dxa"/>
            <w:vAlign w:val="top"/>
          </w:tcPr>
          <w:p>
            <w:pPr>
              <w:spacing w:before="136" w:line="232" w:lineRule="auto"/>
              <w:ind w:left="416"/>
              <w:rPr>
                <w:rFonts w:ascii="宋体" w:hAnsi="宋体" w:eastAsia="宋体" w:cs="宋体"/>
                <w:sz w:val="18"/>
                <w:szCs w:val="18"/>
              </w:rPr>
            </w:pPr>
            <w:r>
              <w:rPr>
                <w:rFonts w:ascii="宋体" w:hAnsi="宋体" w:eastAsia="宋体" w:cs="宋体"/>
                <w:spacing w:val="-14"/>
                <w:sz w:val="18"/>
                <w:szCs w:val="18"/>
              </w:rPr>
              <w:t>0.53</w:t>
            </w:r>
          </w:p>
        </w:tc>
        <w:tc>
          <w:tcPr>
            <w:tcW w:w="1107" w:type="dxa"/>
            <w:vAlign w:val="top"/>
          </w:tcPr>
          <w:p>
            <w:pPr>
              <w:spacing w:before="136" w:line="232" w:lineRule="auto"/>
              <w:ind w:left="390"/>
              <w:rPr>
                <w:rFonts w:ascii="宋体" w:hAnsi="宋体" w:eastAsia="宋体" w:cs="宋体"/>
                <w:sz w:val="18"/>
                <w:szCs w:val="18"/>
              </w:rPr>
            </w:pPr>
            <w:r>
              <w:rPr>
                <w:rFonts w:ascii="宋体" w:hAnsi="宋体" w:eastAsia="宋体" w:cs="宋体"/>
                <w:spacing w:val="-14"/>
                <w:sz w:val="18"/>
                <w:szCs w:val="18"/>
              </w:rPr>
              <w:t>0.52</w:t>
            </w:r>
          </w:p>
        </w:tc>
        <w:tc>
          <w:tcPr>
            <w:tcW w:w="1204" w:type="dxa"/>
            <w:tcBorders>
              <w:right w:val="single" w:color="000000" w:sz="4" w:space="0"/>
            </w:tcBorders>
            <w:vAlign w:val="top"/>
          </w:tcPr>
          <w:p>
            <w:pPr>
              <w:spacing w:before="136" w:line="232" w:lineRule="auto"/>
              <w:ind w:left="432"/>
              <w:rPr>
                <w:rFonts w:ascii="宋体" w:hAnsi="宋体" w:eastAsia="宋体" w:cs="宋体"/>
                <w:sz w:val="18"/>
                <w:szCs w:val="18"/>
              </w:rPr>
            </w:pPr>
            <w:r>
              <w:rPr>
                <w:rFonts w:ascii="宋体" w:hAnsi="宋体" w:eastAsia="宋体" w:cs="宋体"/>
                <w:spacing w:val="-14"/>
                <w:sz w:val="18"/>
                <w:szCs w:val="18"/>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26" w:line="210" w:lineRule="auto"/>
              <w:ind w:left="449"/>
              <w:rPr>
                <w:rFonts w:ascii="宋体" w:hAnsi="宋体" w:eastAsia="宋体" w:cs="宋体"/>
                <w:sz w:val="18"/>
                <w:szCs w:val="18"/>
              </w:rPr>
            </w:pPr>
            <w:r>
              <w:rPr>
                <w:rFonts w:ascii="宋体" w:hAnsi="宋体" w:eastAsia="宋体" w:cs="宋体"/>
                <w:spacing w:val="-3"/>
                <w:sz w:val="18"/>
                <w:szCs w:val="18"/>
              </w:rPr>
              <w:t>水处理工程</w:t>
            </w:r>
          </w:p>
        </w:tc>
        <w:tc>
          <w:tcPr>
            <w:tcW w:w="972" w:type="dxa"/>
            <w:vAlign w:val="top"/>
          </w:tcPr>
          <w:p>
            <w:pPr>
              <w:spacing w:before="137" w:line="231" w:lineRule="auto"/>
              <w:ind w:left="309"/>
              <w:rPr>
                <w:rFonts w:ascii="宋体" w:hAnsi="宋体" w:eastAsia="宋体" w:cs="宋体"/>
                <w:sz w:val="18"/>
                <w:szCs w:val="18"/>
              </w:rPr>
            </w:pPr>
            <w:r>
              <w:rPr>
                <w:rFonts w:ascii="宋体" w:hAnsi="宋体" w:eastAsia="宋体" w:cs="宋体"/>
                <w:spacing w:val="-14"/>
                <w:sz w:val="18"/>
                <w:szCs w:val="18"/>
              </w:rPr>
              <w:t>0.50</w:t>
            </w:r>
          </w:p>
        </w:tc>
        <w:tc>
          <w:tcPr>
            <w:tcW w:w="1062" w:type="dxa"/>
            <w:vAlign w:val="top"/>
          </w:tcPr>
          <w:p>
            <w:pPr>
              <w:spacing w:before="137" w:line="231" w:lineRule="auto"/>
              <w:ind w:left="357"/>
              <w:rPr>
                <w:rFonts w:ascii="宋体" w:hAnsi="宋体" w:eastAsia="宋体" w:cs="宋体"/>
                <w:sz w:val="18"/>
                <w:szCs w:val="18"/>
              </w:rPr>
            </w:pPr>
            <w:r>
              <w:rPr>
                <w:rFonts w:ascii="宋体" w:hAnsi="宋体" w:eastAsia="宋体" w:cs="宋体"/>
                <w:spacing w:val="-14"/>
                <w:sz w:val="18"/>
                <w:szCs w:val="18"/>
              </w:rPr>
              <w:t>0.89</w:t>
            </w:r>
          </w:p>
        </w:tc>
        <w:tc>
          <w:tcPr>
            <w:tcW w:w="1092" w:type="dxa"/>
            <w:vAlign w:val="top"/>
          </w:tcPr>
          <w:p>
            <w:pPr>
              <w:spacing w:before="137" w:line="231" w:lineRule="auto"/>
              <w:ind w:left="375"/>
              <w:rPr>
                <w:rFonts w:ascii="宋体" w:hAnsi="宋体" w:eastAsia="宋体" w:cs="宋体"/>
                <w:sz w:val="18"/>
                <w:szCs w:val="18"/>
              </w:rPr>
            </w:pPr>
            <w:r>
              <w:rPr>
                <w:rFonts w:ascii="宋体" w:hAnsi="宋体" w:eastAsia="宋体" w:cs="宋体"/>
                <w:spacing w:val="-14"/>
                <w:sz w:val="18"/>
                <w:szCs w:val="18"/>
              </w:rPr>
              <w:t>0.52</w:t>
            </w:r>
          </w:p>
        </w:tc>
        <w:tc>
          <w:tcPr>
            <w:tcW w:w="1166" w:type="dxa"/>
            <w:vAlign w:val="top"/>
          </w:tcPr>
          <w:p>
            <w:pPr>
              <w:spacing w:before="137" w:line="231" w:lineRule="auto"/>
              <w:ind w:left="416"/>
              <w:rPr>
                <w:rFonts w:ascii="宋体" w:hAnsi="宋体" w:eastAsia="宋体" w:cs="宋体"/>
                <w:sz w:val="18"/>
                <w:szCs w:val="18"/>
              </w:rPr>
            </w:pPr>
            <w:r>
              <w:rPr>
                <w:rFonts w:ascii="宋体" w:hAnsi="宋体" w:eastAsia="宋体" w:cs="宋体"/>
                <w:spacing w:val="-14"/>
                <w:sz w:val="18"/>
                <w:szCs w:val="18"/>
              </w:rPr>
              <w:t>0.89</w:t>
            </w:r>
          </w:p>
        </w:tc>
        <w:tc>
          <w:tcPr>
            <w:tcW w:w="1107" w:type="dxa"/>
            <w:vAlign w:val="top"/>
          </w:tcPr>
          <w:p>
            <w:pPr>
              <w:spacing w:before="137" w:line="231" w:lineRule="auto"/>
              <w:ind w:left="390"/>
              <w:rPr>
                <w:rFonts w:ascii="宋体" w:hAnsi="宋体" w:eastAsia="宋体" w:cs="宋体"/>
                <w:sz w:val="18"/>
                <w:szCs w:val="18"/>
              </w:rPr>
            </w:pPr>
            <w:r>
              <w:rPr>
                <w:rFonts w:ascii="宋体" w:hAnsi="宋体" w:eastAsia="宋体" w:cs="宋体"/>
                <w:spacing w:val="-14"/>
                <w:sz w:val="18"/>
                <w:szCs w:val="18"/>
              </w:rPr>
              <w:t>0.11</w:t>
            </w:r>
          </w:p>
        </w:tc>
        <w:tc>
          <w:tcPr>
            <w:tcW w:w="1204" w:type="dxa"/>
            <w:tcBorders>
              <w:right w:val="single" w:color="000000" w:sz="4" w:space="0"/>
            </w:tcBorders>
            <w:vAlign w:val="top"/>
          </w:tcPr>
          <w:p>
            <w:pPr>
              <w:spacing w:before="137" w:line="231" w:lineRule="auto"/>
              <w:ind w:left="432"/>
              <w:rPr>
                <w:rFonts w:ascii="宋体" w:hAnsi="宋体" w:eastAsia="宋体" w:cs="宋体"/>
                <w:sz w:val="18"/>
                <w:szCs w:val="18"/>
              </w:rPr>
            </w:pPr>
            <w:r>
              <w:rPr>
                <w:rFonts w:ascii="宋体" w:hAnsi="宋体" w:eastAsia="宋体" w:cs="宋体"/>
                <w:spacing w:val="-14"/>
                <w:sz w:val="18"/>
                <w:szCs w:val="18"/>
              </w:rPr>
              <w:t>0.29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29" w:line="208" w:lineRule="auto"/>
              <w:ind w:left="178"/>
              <w:rPr>
                <w:rFonts w:ascii="宋体" w:hAnsi="宋体" w:eastAsia="宋体" w:cs="宋体"/>
                <w:sz w:val="18"/>
                <w:szCs w:val="18"/>
              </w:rPr>
            </w:pPr>
            <w:r>
              <w:rPr>
                <w:rFonts w:ascii="宋体" w:hAnsi="宋体" w:eastAsia="宋体" w:cs="宋体"/>
                <w:spacing w:val="-4"/>
                <w:sz w:val="18"/>
                <w:szCs w:val="18"/>
              </w:rPr>
              <w:t>生活垃圾处理工程</w:t>
            </w:r>
          </w:p>
        </w:tc>
        <w:tc>
          <w:tcPr>
            <w:tcW w:w="972" w:type="dxa"/>
            <w:vAlign w:val="top"/>
          </w:tcPr>
          <w:p>
            <w:pPr>
              <w:spacing w:before="139" w:line="228" w:lineRule="auto"/>
              <w:ind w:left="309"/>
              <w:rPr>
                <w:rFonts w:ascii="宋体" w:hAnsi="宋体" w:eastAsia="宋体" w:cs="宋体"/>
                <w:sz w:val="18"/>
                <w:szCs w:val="18"/>
              </w:rPr>
            </w:pPr>
            <w:r>
              <w:rPr>
                <w:rFonts w:ascii="宋体" w:hAnsi="宋体" w:eastAsia="宋体" w:cs="宋体"/>
                <w:spacing w:val="-14"/>
                <w:sz w:val="18"/>
                <w:szCs w:val="18"/>
              </w:rPr>
              <w:t>0.80</w:t>
            </w:r>
          </w:p>
        </w:tc>
        <w:tc>
          <w:tcPr>
            <w:tcW w:w="1062" w:type="dxa"/>
            <w:vAlign w:val="top"/>
          </w:tcPr>
          <w:p>
            <w:pPr>
              <w:spacing w:before="139" w:line="228" w:lineRule="auto"/>
              <w:ind w:left="384"/>
              <w:rPr>
                <w:rFonts w:ascii="宋体" w:hAnsi="宋体" w:eastAsia="宋体" w:cs="宋体"/>
                <w:sz w:val="18"/>
                <w:szCs w:val="18"/>
              </w:rPr>
            </w:pPr>
            <w:r>
              <w:rPr>
                <w:rFonts w:ascii="宋体" w:hAnsi="宋体" w:eastAsia="宋体" w:cs="宋体"/>
                <w:spacing w:val="-19"/>
                <w:sz w:val="18"/>
                <w:szCs w:val="18"/>
              </w:rPr>
              <w:t>1.31</w:t>
            </w:r>
          </w:p>
        </w:tc>
        <w:tc>
          <w:tcPr>
            <w:tcW w:w="1092" w:type="dxa"/>
            <w:vAlign w:val="top"/>
          </w:tcPr>
          <w:p>
            <w:pPr>
              <w:spacing w:before="139" w:line="228" w:lineRule="auto"/>
              <w:ind w:left="375"/>
              <w:rPr>
                <w:rFonts w:ascii="宋体" w:hAnsi="宋体" w:eastAsia="宋体" w:cs="宋体"/>
                <w:sz w:val="18"/>
                <w:szCs w:val="18"/>
              </w:rPr>
            </w:pPr>
            <w:r>
              <w:rPr>
                <w:rFonts w:ascii="宋体" w:hAnsi="宋体" w:eastAsia="宋体" w:cs="宋体"/>
                <w:spacing w:val="-14"/>
                <w:sz w:val="18"/>
                <w:szCs w:val="18"/>
              </w:rPr>
              <w:t>0.82</w:t>
            </w:r>
          </w:p>
        </w:tc>
        <w:tc>
          <w:tcPr>
            <w:tcW w:w="1166" w:type="dxa"/>
            <w:vAlign w:val="top"/>
          </w:tcPr>
          <w:p>
            <w:pPr>
              <w:spacing w:before="139" w:line="228" w:lineRule="auto"/>
              <w:ind w:left="416"/>
              <w:rPr>
                <w:rFonts w:ascii="宋体" w:hAnsi="宋体" w:eastAsia="宋体" w:cs="宋体"/>
                <w:sz w:val="18"/>
                <w:szCs w:val="18"/>
              </w:rPr>
            </w:pPr>
            <w:r>
              <w:rPr>
                <w:rFonts w:ascii="宋体" w:hAnsi="宋体" w:eastAsia="宋体" w:cs="宋体"/>
                <w:spacing w:val="-14"/>
                <w:sz w:val="18"/>
                <w:szCs w:val="18"/>
              </w:rPr>
              <w:t>0.57</w:t>
            </w:r>
          </w:p>
        </w:tc>
        <w:tc>
          <w:tcPr>
            <w:tcW w:w="1107" w:type="dxa"/>
            <w:vAlign w:val="top"/>
          </w:tcPr>
          <w:p>
            <w:pPr>
              <w:spacing w:before="139" w:line="228" w:lineRule="auto"/>
              <w:ind w:left="390"/>
              <w:rPr>
                <w:rFonts w:ascii="宋体" w:hAnsi="宋体" w:eastAsia="宋体" w:cs="宋体"/>
                <w:sz w:val="18"/>
                <w:szCs w:val="18"/>
              </w:rPr>
            </w:pPr>
            <w:r>
              <w:rPr>
                <w:rFonts w:ascii="宋体" w:hAnsi="宋体" w:eastAsia="宋体" w:cs="宋体"/>
                <w:spacing w:val="-14"/>
                <w:sz w:val="18"/>
                <w:szCs w:val="18"/>
              </w:rPr>
              <w:t>0.19</w:t>
            </w:r>
          </w:p>
        </w:tc>
        <w:tc>
          <w:tcPr>
            <w:tcW w:w="1204" w:type="dxa"/>
            <w:tcBorders>
              <w:right w:val="single" w:color="000000" w:sz="4" w:space="0"/>
            </w:tcBorders>
            <w:vAlign w:val="top"/>
          </w:tcPr>
          <w:p>
            <w:pPr>
              <w:spacing w:before="139" w:line="228" w:lineRule="auto"/>
              <w:ind w:left="432"/>
              <w:rPr>
                <w:rFonts w:ascii="宋体" w:hAnsi="宋体" w:eastAsia="宋体" w:cs="宋体"/>
                <w:sz w:val="18"/>
                <w:szCs w:val="18"/>
              </w:rPr>
            </w:pPr>
            <w:r>
              <w:rPr>
                <w:rFonts w:ascii="宋体" w:hAnsi="宋体" w:eastAsia="宋体" w:cs="宋体"/>
                <w:spacing w:val="-14"/>
                <w:sz w:val="18"/>
                <w:szCs w:val="18"/>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681" w:type="dxa"/>
            <w:vMerge w:val="continue"/>
            <w:tcBorders>
              <w:top w:val="nil"/>
              <w:left w:val="single" w:color="000000" w:sz="4" w:space="0"/>
              <w:bottom w:val="nil"/>
            </w:tcBorders>
            <w:vAlign w:val="top"/>
          </w:tcPr>
          <w:p>
            <w:pPr>
              <w:pStyle w:val="6"/>
            </w:pPr>
          </w:p>
        </w:tc>
        <w:tc>
          <w:tcPr>
            <w:tcW w:w="1795" w:type="dxa"/>
            <w:vAlign w:val="top"/>
          </w:tcPr>
          <w:p>
            <w:pPr>
              <w:spacing w:before="127" w:line="211" w:lineRule="auto"/>
              <w:ind w:left="537"/>
              <w:rPr>
                <w:rFonts w:ascii="宋体" w:hAnsi="宋体" w:eastAsia="宋体" w:cs="宋体"/>
                <w:sz w:val="18"/>
                <w:szCs w:val="18"/>
              </w:rPr>
            </w:pPr>
            <w:r>
              <w:rPr>
                <w:rFonts w:ascii="宋体" w:hAnsi="宋体" w:eastAsia="宋体" w:cs="宋体"/>
                <w:spacing w:val="-5"/>
                <w:sz w:val="18"/>
                <w:szCs w:val="18"/>
              </w:rPr>
              <w:t>路灯工程</w:t>
            </w:r>
          </w:p>
        </w:tc>
        <w:tc>
          <w:tcPr>
            <w:tcW w:w="972" w:type="dxa"/>
            <w:vAlign w:val="top"/>
          </w:tcPr>
          <w:p>
            <w:pPr>
              <w:spacing w:before="138" w:line="230" w:lineRule="auto"/>
              <w:ind w:left="309"/>
              <w:rPr>
                <w:rFonts w:ascii="宋体" w:hAnsi="宋体" w:eastAsia="宋体" w:cs="宋体"/>
                <w:sz w:val="18"/>
                <w:szCs w:val="18"/>
              </w:rPr>
            </w:pPr>
            <w:r>
              <w:rPr>
                <w:rFonts w:ascii="宋体" w:hAnsi="宋体" w:eastAsia="宋体" w:cs="宋体"/>
                <w:spacing w:val="-14"/>
                <w:sz w:val="18"/>
                <w:szCs w:val="18"/>
              </w:rPr>
              <w:t>0.56</w:t>
            </w:r>
          </w:p>
        </w:tc>
        <w:tc>
          <w:tcPr>
            <w:tcW w:w="1062" w:type="dxa"/>
            <w:vAlign w:val="top"/>
          </w:tcPr>
          <w:p>
            <w:pPr>
              <w:spacing w:before="138" w:line="230" w:lineRule="auto"/>
              <w:ind w:left="357"/>
              <w:rPr>
                <w:rFonts w:ascii="宋体" w:hAnsi="宋体" w:eastAsia="宋体" w:cs="宋体"/>
                <w:sz w:val="18"/>
                <w:szCs w:val="18"/>
              </w:rPr>
            </w:pPr>
            <w:r>
              <w:rPr>
                <w:rFonts w:ascii="宋体" w:hAnsi="宋体" w:eastAsia="宋体" w:cs="宋体"/>
                <w:spacing w:val="-14"/>
                <w:sz w:val="18"/>
                <w:szCs w:val="18"/>
              </w:rPr>
              <w:t>0.80</w:t>
            </w:r>
          </w:p>
        </w:tc>
        <w:tc>
          <w:tcPr>
            <w:tcW w:w="1092" w:type="dxa"/>
            <w:vAlign w:val="top"/>
          </w:tcPr>
          <w:p>
            <w:pPr>
              <w:spacing w:before="138" w:line="230" w:lineRule="auto"/>
              <w:ind w:left="375"/>
              <w:rPr>
                <w:rFonts w:ascii="宋体" w:hAnsi="宋体" w:eastAsia="宋体" w:cs="宋体"/>
                <w:sz w:val="18"/>
                <w:szCs w:val="18"/>
              </w:rPr>
            </w:pPr>
            <w:r>
              <w:rPr>
                <w:rFonts w:ascii="宋体" w:hAnsi="宋体" w:eastAsia="宋体" w:cs="宋体"/>
                <w:spacing w:val="-14"/>
                <w:sz w:val="18"/>
                <w:szCs w:val="18"/>
              </w:rPr>
              <w:t>0.79</w:t>
            </w:r>
          </w:p>
        </w:tc>
        <w:tc>
          <w:tcPr>
            <w:tcW w:w="1166" w:type="dxa"/>
            <w:vAlign w:val="top"/>
          </w:tcPr>
          <w:p>
            <w:pPr>
              <w:spacing w:before="138" w:line="230" w:lineRule="auto"/>
              <w:ind w:left="416"/>
              <w:rPr>
                <w:rFonts w:ascii="宋体" w:hAnsi="宋体" w:eastAsia="宋体" w:cs="宋体"/>
                <w:sz w:val="18"/>
                <w:szCs w:val="18"/>
              </w:rPr>
            </w:pPr>
            <w:r>
              <w:rPr>
                <w:rFonts w:ascii="宋体" w:hAnsi="宋体" w:eastAsia="宋体" w:cs="宋体"/>
                <w:spacing w:val="-14"/>
                <w:sz w:val="18"/>
                <w:szCs w:val="18"/>
              </w:rPr>
              <w:t>0.72</w:t>
            </w:r>
          </w:p>
        </w:tc>
        <w:tc>
          <w:tcPr>
            <w:tcW w:w="1107" w:type="dxa"/>
            <w:vAlign w:val="top"/>
          </w:tcPr>
          <w:p>
            <w:pPr>
              <w:spacing w:before="138" w:line="230" w:lineRule="auto"/>
              <w:ind w:left="390"/>
              <w:rPr>
                <w:rFonts w:ascii="宋体" w:hAnsi="宋体" w:eastAsia="宋体" w:cs="宋体"/>
                <w:sz w:val="18"/>
                <w:szCs w:val="18"/>
              </w:rPr>
            </w:pPr>
            <w:r>
              <w:rPr>
                <w:rFonts w:ascii="宋体" w:hAnsi="宋体" w:eastAsia="宋体" w:cs="宋体"/>
                <w:spacing w:val="-14"/>
                <w:sz w:val="18"/>
                <w:szCs w:val="18"/>
              </w:rPr>
              <w:t>0.10</w:t>
            </w:r>
          </w:p>
        </w:tc>
        <w:tc>
          <w:tcPr>
            <w:tcW w:w="1204" w:type="dxa"/>
            <w:tcBorders>
              <w:right w:val="single" w:color="000000" w:sz="4" w:space="0"/>
            </w:tcBorders>
            <w:vAlign w:val="top"/>
          </w:tcPr>
          <w:p>
            <w:pPr>
              <w:spacing w:before="138" w:line="230" w:lineRule="auto"/>
              <w:ind w:left="432"/>
              <w:rPr>
                <w:rFonts w:ascii="宋体" w:hAnsi="宋体" w:eastAsia="宋体" w:cs="宋体"/>
                <w:sz w:val="18"/>
                <w:szCs w:val="18"/>
              </w:rPr>
            </w:pPr>
            <w:r>
              <w:rPr>
                <w:rFonts w:ascii="宋体" w:hAnsi="宋体" w:eastAsia="宋体" w:cs="宋体"/>
                <w:spacing w:val="-14"/>
                <w:sz w:val="18"/>
                <w:szCs w:val="18"/>
              </w:rPr>
              <w:t>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681" w:type="dxa"/>
            <w:vMerge w:val="continue"/>
            <w:tcBorders>
              <w:top w:val="nil"/>
              <w:left w:val="single" w:color="000000" w:sz="4" w:space="0"/>
            </w:tcBorders>
            <w:vAlign w:val="top"/>
          </w:tcPr>
          <w:p>
            <w:pPr>
              <w:pStyle w:val="6"/>
            </w:pPr>
          </w:p>
        </w:tc>
        <w:tc>
          <w:tcPr>
            <w:tcW w:w="1795" w:type="dxa"/>
            <w:vAlign w:val="top"/>
          </w:tcPr>
          <w:p>
            <w:pPr>
              <w:spacing w:before="55" w:line="234" w:lineRule="auto"/>
              <w:ind w:left="540" w:right="359" w:hanging="186"/>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972" w:type="dxa"/>
            <w:vAlign w:val="top"/>
          </w:tcPr>
          <w:p>
            <w:pPr>
              <w:spacing w:before="190" w:line="260" w:lineRule="exact"/>
              <w:ind w:left="309"/>
              <w:rPr>
                <w:rFonts w:ascii="宋体" w:hAnsi="宋体" w:eastAsia="宋体" w:cs="宋体"/>
                <w:sz w:val="18"/>
                <w:szCs w:val="18"/>
              </w:rPr>
            </w:pPr>
            <w:r>
              <w:rPr>
                <w:rFonts w:ascii="宋体" w:hAnsi="宋体" w:eastAsia="宋体" w:cs="宋体"/>
                <w:spacing w:val="-14"/>
                <w:position w:val="2"/>
                <w:sz w:val="18"/>
                <w:szCs w:val="18"/>
              </w:rPr>
              <w:t>0.28</w:t>
            </w:r>
          </w:p>
        </w:tc>
        <w:tc>
          <w:tcPr>
            <w:tcW w:w="1062" w:type="dxa"/>
            <w:vAlign w:val="top"/>
          </w:tcPr>
          <w:p>
            <w:pPr>
              <w:spacing w:before="190" w:line="260" w:lineRule="exact"/>
              <w:ind w:left="360"/>
              <w:rPr>
                <w:rFonts w:ascii="宋体" w:hAnsi="宋体" w:eastAsia="宋体" w:cs="宋体"/>
                <w:sz w:val="18"/>
                <w:szCs w:val="18"/>
              </w:rPr>
            </w:pPr>
            <w:r>
              <w:rPr>
                <w:rFonts w:ascii="宋体" w:hAnsi="宋体" w:eastAsia="宋体" w:cs="宋体"/>
                <w:spacing w:val="-15"/>
                <w:position w:val="2"/>
                <w:sz w:val="18"/>
                <w:szCs w:val="18"/>
              </w:rPr>
              <w:t>2.04</w:t>
            </w:r>
          </w:p>
        </w:tc>
        <w:tc>
          <w:tcPr>
            <w:tcW w:w="1092" w:type="dxa"/>
            <w:vAlign w:val="top"/>
          </w:tcPr>
          <w:p>
            <w:pPr>
              <w:spacing w:before="190" w:line="260" w:lineRule="exact"/>
              <w:ind w:left="375"/>
              <w:rPr>
                <w:rFonts w:ascii="宋体" w:hAnsi="宋体" w:eastAsia="宋体" w:cs="宋体"/>
                <w:sz w:val="18"/>
                <w:szCs w:val="18"/>
              </w:rPr>
            </w:pPr>
            <w:r>
              <w:rPr>
                <w:rFonts w:ascii="宋体" w:hAnsi="宋体" w:eastAsia="宋体" w:cs="宋体"/>
                <w:spacing w:val="-14"/>
                <w:position w:val="2"/>
                <w:sz w:val="18"/>
                <w:szCs w:val="18"/>
              </w:rPr>
              <w:t>0.28</w:t>
            </w:r>
          </w:p>
        </w:tc>
        <w:tc>
          <w:tcPr>
            <w:tcW w:w="1166" w:type="dxa"/>
            <w:vAlign w:val="top"/>
          </w:tcPr>
          <w:p>
            <w:pPr>
              <w:spacing w:before="190" w:line="260" w:lineRule="exact"/>
              <w:ind w:left="416"/>
              <w:rPr>
                <w:rFonts w:ascii="宋体" w:hAnsi="宋体" w:eastAsia="宋体" w:cs="宋体"/>
                <w:sz w:val="18"/>
                <w:szCs w:val="18"/>
              </w:rPr>
            </w:pPr>
            <w:r>
              <w:rPr>
                <w:rFonts w:ascii="宋体" w:hAnsi="宋体" w:eastAsia="宋体" w:cs="宋体"/>
                <w:spacing w:val="-14"/>
                <w:position w:val="2"/>
                <w:sz w:val="18"/>
                <w:szCs w:val="18"/>
              </w:rPr>
              <w:t>0.52</w:t>
            </w:r>
          </w:p>
        </w:tc>
        <w:tc>
          <w:tcPr>
            <w:tcW w:w="1107" w:type="dxa"/>
            <w:vAlign w:val="top"/>
          </w:tcPr>
          <w:p>
            <w:pPr>
              <w:spacing w:before="190" w:line="260" w:lineRule="exact"/>
              <w:ind w:left="390"/>
              <w:rPr>
                <w:rFonts w:ascii="宋体" w:hAnsi="宋体" w:eastAsia="宋体" w:cs="宋体"/>
                <w:sz w:val="18"/>
                <w:szCs w:val="18"/>
              </w:rPr>
            </w:pPr>
            <w:r>
              <w:rPr>
                <w:rFonts w:ascii="宋体" w:hAnsi="宋体" w:eastAsia="宋体" w:cs="宋体"/>
                <w:spacing w:val="-14"/>
                <w:position w:val="2"/>
                <w:sz w:val="18"/>
                <w:szCs w:val="18"/>
              </w:rPr>
              <w:t>0.09</w:t>
            </w:r>
          </w:p>
        </w:tc>
        <w:tc>
          <w:tcPr>
            <w:tcW w:w="1204" w:type="dxa"/>
            <w:tcBorders>
              <w:right w:val="single" w:color="000000" w:sz="4" w:space="0"/>
            </w:tcBorders>
            <w:vAlign w:val="top"/>
          </w:tcPr>
          <w:p>
            <w:pPr>
              <w:spacing w:before="190" w:line="260" w:lineRule="exact"/>
              <w:ind w:left="432"/>
              <w:rPr>
                <w:rFonts w:ascii="宋体" w:hAnsi="宋体" w:eastAsia="宋体" w:cs="宋体"/>
                <w:sz w:val="18"/>
                <w:szCs w:val="18"/>
              </w:rPr>
            </w:pPr>
            <w:r>
              <w:rPr>
                <w:rFonts w:ascii="宋体" w:hAnsi="宋体" w:eastAsia="宋体" w:cs="宋体"/>
                <w:spacing w:val="-14"/>
                <w:position w:val="2"/>
                <w:sz w:val="18"/>
                <w:szCs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1" w:hRule="atLeast"/>
        </w:trPr>
        <w:tc>
          <w:tcPr>
            <w:tcW w:w="681" w:type="dxa"/>
            <w:vMerge w:val="restart"/>
            <w:tcBorders>
              <w:left w:val="single" w:color="000000" w:sz="4" w:space="0"/>
              <w:bottom w:val="nil"/>
            </w:tcBorders>
            <w:vAlign w:val="top"/>
          </w:tcPr>
          <w:p>
            <w:pPr>
              <w:spacing w:before="66" w:line="210" w:lineRule="auto"/>
              <w:ind w:left="170"/>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63"/>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66"/>
              <w:rPr>
                <w:rFonts w:ascii="宋体" w:hAnsi="宋体" w:eastAsia="宋体" w:cs="宋体"/>
                <w:sz w:val="18"/>
                <w:szCs w:val="18"/>
              </w:rPr>
            </w:pPr>
            <w:r>
              <w:rPr>
                <w:rFonts w:ascii="宋体" w:hAnsi="宋体" w:eastAsia="宋体" w:cs="宋体"/>
                <w:spacing w:val="-3"/>
                <w:sz w:val="18"/>
                <w:szCs w:val="18"/>
              </w:rPr>
              <w:t>维修</w:t>
            </w:r>
          </w:p>
          <w:p>
            <w:pPr>
              <w:spacing w:before="61" w:line="202" w:lineRule="auto"/>
              <w:ind w:left="164"/>
              <w:rPr>
                <w:rFonts w:ascii="宋体" w:hAnsi="宋体" w:eastAsia="宋体" w:cs="宋体"/>
                <w:sz w:val="18"/>
                <w:szCs w:val="18"/>
              </w:rPr>
            </w:pPr>
            <w:r>
              <w:rPr>
                <w:rFonts w:ascii="宋体" w:hAnsi="宋体" w:eastAsia="宋体" w:cs="宋体"/>
                <w:spacing w:val="-3"/>
                <w:sz w:val="18"/>
                <w:szCs w:val="18"/>
              </w:rPr>
              <w:t>工程</w:t>
            </w:r>
          </w:p>
        </w:tc>
        <w:tc>
          <w:tcPr>
            <w:tcW w:w="1795" w:type="dxa"/>
            <w:vAlign w:val="top"/>
          </w:tcPr>
          <w:p>
            <w:pPr>
              <w:spacing w:before="56" w:line="233" w:lineRule="auto"/>
              <w:ind w:left="102" w:right="120"/>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972" w:type="dxa"/>
            <w:vAlign w:val="top"/>
          </w:tcPr>
          <w:p>
            <w:pPr>
              <w:spacing w:before="191" w:line="260" w:lineRule="exact"/>
              <w:ind w:left="336"/>
              <w:rPr>
                <w:rFonts w:ascii="宋体" w:hAnsi="宋体" w:eastAsia="宋体" w:cs="宋体"/>
                <w:sz w:val="18"/>
                <w:szCs w:val="18"/>
              </w:rPr>
            </w:pPr>
            <w:r>
              <w:rPr>
                <w:rFonts w:ascii="宋体" w:hAnsi="宋体" w:eastAsia="宋体" w:cs="宋体"/>
                <w:spacing w:val="-19"/>
                <w:position w:val="1"/>
                <w:sz w:val="18"/>
                <w:szCs w:val="18"/>
              </w:rPr>
              <w:t>1.25</w:t>
            </w:r>
          </w:p>
        </w:tc>
        <w:tc>
          <w:tcPr>
            <w:tcW w:w="1062" w:type="dxa"/>
            <w:vAlign w:val="top"/>
          </w:tcPr>
          <w:p>
            <w:pPr>
              <w:spacing w:before="191" w:line="260" w:lineRule="exact"/>
              <w:ind w:left="384"/>
              <w:rPr>
                <w:rFonts w:ascii="宋体" w:hAnsi="宋体" w:eastAsia="宋体" w:cs="宋体"/>
                <w:sz w:val="18"/>
                <w:szCs w:val="18"/>
              </w:rPr>
            </w:pPr>
            <w:r>
              <w:rPr>
                <w:rFonts w:ascii="宋体" w:hAnsi="宋体" w:eastAsia="宋体" w:cs="宋体"/>
                <w:spacing w:val="-19"/>
                <w:position w:val="1"/>
                <w:sz w:val="18"/>
                <w:szCs w:val="18"/>
              </w:rPr>
              <w:t>1.56</w:t>
            </w:r>
          </w:p>
        </w:tc>
        <w:tc>
          <w:tcPr>
            <w:tcW w:w="1092" w:type="dxa"/>
            <w:vAlign w:val="top"/>
          </w:tcPr>
          <w:p>
            <w:pPr>
              <w:spacing w:before="191" w:line="260" w:lineRule="exact"/>
              <w:ind w:left="375"/>
              <w:rPr>
                <w:rFonts w:ascii="宋体" w:hAnsi="宋体" w:eastAsia="宋体" w:cs="宋体"/>
                <w:sz w:val="18"/>
                <w:szCs w:val="18"/>
              </w:rPr>
            </w:pPr>
            <w:r>
              <w:rPr>
                <w:rFonts w:ascii="宋体" w:hAnsi="宋体" w:eastAsia="宋体" w:cs="宋体"/>
                <w:spacing w:val="-14"/>
                <w:position w:val="2"/>
                <w:sz w:val="18"/>
                <w:szCs w:val="18"/>
              </w:rPr>
              <w:t>0.97</w:t>
            </w:r>
          </w:p>
        </w:tc>
        <w:tc>
          <w:tcPr>
            <w:tcW w:w="1166" w:type="dxa"/>
            <w:vAlign w:val="top"/>
          </w:tcPr>
          <w:p>
            <w:pPr>
              <w:spacing w:before="191" w:line="260" w:lineRule="exact"/>
              <w:ind w:left="416"/>
              <w:rPr>
                <w:rFonts w:ascii="宋体" w:hAnsi="宋体" w:eastAsia="宋体" w:cs="宋体"/>
                <w:sz w:val="18"/>
                <w:szCs w:val="18"/>
              </w:rPr>
            </w:pPr>
            <w:r>
              <w:rPr>
                <w:rFonts w:ascii="宋体" w:hAnsi="宋体" w:eastAsia="宋体" w:cs="宋体"/>
                <w:spacing w:val="-14"/>
                <w:position w:val="2"/>
                <w:sz w:val="18"/>
                <w:szCs w:val="18"/>
              </w:rPr>
              <w:t>0.43</w:t>
            </w:r>
          </w:p>
        </w:tc>
        <w:tc>
          <w:tcPr>
            <w:tcW w:w="1107" w:type="dxa"/>
            <w:vAlign w:val="top"/>
          </w:tcPr>
          <w:p>
            <w:pPr>
              <w:pStyle w:val="6"/>
              <w:spacing w:line="266" w:lineRule="auto"/>
            </w:pPr>
          </w:p>
          <w:p>
            <w:pPr>
              <w:spacing w:before="58" w:line="127" w:lineRule="exact"/>
              <w:ind w:left="528"/>
              <w:rPr>
                <w:rFonts w:ascii="宋体" w:hAnsi="宋体" w:eastAsia="宋体" w:cs="宋体"/>
                <w:sz w:val="18"/>
                <w:szCs w:val="18"/>
              </w:rPr>
            </w:pPr>
            <w:r>
              <w:rPr>
                <w:rFonts w:ascii="宋体" w:hAnsi="宋体" w:eastAsia="宋体" w:cs="宋体"/>
                <w:position w:val="-3"/>
                <w:sz w:val="18"/>
                <w:szCs w:val="18"/>
              </w:rPr>
              <w:t>-</w:t>
            </w:r>
          </w:p>
        </w:tc>
        <w:tc>
          <w:tcPr>
            <w:tcW w:w="1204" w:type="dxa"/>
            <w:tcBorders>
              <w:right w:val="single" w:color="000000" w:sz="4" w:space="0"/>
            </w:tcBorders>
            <w:vAlign w:val="top"/>
          </w:tcPr>
          <w:p>
            <w:pPr>
              <w:pStyle w:val="6"/>
              <w:spacing w:line="266" w:lineRule="auto"/>
            </w:pPr>
          </w:p>
          <w:p>
            <w:pPr>
              <w:spacing w:before="58" w:line="127" w:lineRule="exact"/>
              <w:ind w:left="570"/>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9" w:hRule="atLeast"/>
        </w:trPr>
        <w:tc>
          <w:tcPr>
            <w:tcW w:w="681" w:type="dxa"/>
            <w:vMerge w:val="continue"/>
            <w:tcBorders>
              <w:top w:val="nil"/>
              <w:left w:val="single" w:color="000000" w:sz="4" w:space="0"/>
              <w:bottom w:val="single" w:color="000000" w:sz="4" w:space="0"/>
            </w:tcBorders>
            <w:vAlign w:val="top"/>
          </w:tcPr>
          <w:p>
            <w:pPr>
              <w:pStyle w:val="6"/>
            </w:pPr>
          </w:p>
        </w:tc>
        <w:tc>
          <w:tcPr>
            <w:tcW w:w="1795" w:type="dxa"/>
            <w:tcBorders>
              <w:bottom w:val="single" w:color="000000" w:sz="4" w:space="0"/>
            </w:tcBorders>
            <w:vAlign w:val="top"/>
          </w:tcPr>
          <w:p>
            <w:pPr>
              <w:spacing w:before="63" w:line="247" w:lineRule="auto"/>
              <w:ind w:left="105" w:right="118"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972" w:type="dxa"/>
            <w:tcBorders>
              <w:bottom w:val="single" w:color="000000" w:sz="4" w:space="0"/>
            </w:tcBorders>
            <w:vAlign w:val="top"/>
          </w:tcPr>
          <w:p>
            <w:pPr>
              <w:spacing w:before="193" w:line="260" w:lineRule="exact"/>
              <w:ind w:left="336"/>
              <w:rPr>
                <w:rFonts w:ascii="宋体" w:hAnsi="宋体" w:eastAsia="宋体" w:cs="宋体"/>
                <w:sz w:val="18"/>
                <w:szCs w:val="18"/>
              </w:rPr>
            </w:pPr>
            <w:r>
              <w:rPr>
                <w:rFonts w:ascii="宋体" w:hAnsi="宋体" w:eastAsia="宋体" w:cs="宋体"/>
                <w:spacing w:val="-19"/>
                <w:position w:val="1"/>
                <w:sz w:val="18"/>
                <w:szCs w:val="18"/>
              </w:rPr>
              <w:t>1.98</w:t>
            </w:r>
          </w:p>
        </w:tc>
        <w:tc>
          <w:tcPr>
            <w:tcW w:w="1062" w:type="dxa"/>
            <w:tcBorders>
              <w:bottom w:val="single" w:color="000000" w:sz="4" w:space="0"/>
            </w:tcBorders>
            <w:vAlign w:val="top"/>
          </w:tcPr>
          <w:p>
            <w:pPr>
              <w:spacing w:before="193" w:line="260" w:lineRule="exact"/>
              <w:ind w:left="360"/>
              <w:rPr>
                <w:rFonts w:ascii="宋体" w:hAnsi="宋体" w:eastAsia="宋体" w:cs="宋体"/>
                <w:sz w:val="18"/>
                <w:szCs w:val="18"/>
              </w:rPr>
            </w:pPr>
            <w:r>
              <w:rPr>
                <w:rFonts w:ascii="宋体" w:hAnsi="宋体" w:eastAsia="宋体" w:cs="宋体"/>
                <w:spacing w:val="-15"/>
                <w:position w:val="1"/>
                <w:sz w:val="18"/>
                <w:szCs w:val="18"/>
              </w:rPr>
              <w:t>2.01</w:t>
            </w:r>
          </w:p>
        </w:tc>
        <w:tc>
          <w:tcPr>
            <w:tcW w:w="1092" w:type="dxa"/>
            <w:tcBorders>
              <w:bottom w:val="single" w:color="000000" w:sz="4" w:space="0"/>
            </w:tcBorders>
            <w:vAlign w:val="top"/>
          </w:tcPr>
          <w:p>
            <w:pPr>
              <w:spacing w:before="193" w:line="260" w:lineRule="exact"/>
              <w:ind w:left="378"/>
              <w:rPr>
                <w:rFonts w:ascii="宋体" w:hAnsi="宋体" w:eastAsia="宋体" w:cs="宋体"/>
                <w:sz w:val="18"/>
                <w:szCs w:val="18"/>
              </w:rPr>
            </w:pPr>
            <w:r>
              <w:rPr>
                <w:rFonts w:ascii="宋体" w:hAnsi="宋体" w:eastAsia="宋体" w:cs="宋体"/>
                <w:spacing w:val="-15"/>
                <w:position w:val="2"/>
                <w:sz w:val="18"/>
                <w:szCs w:val="18"/>
              </w:rPr>
              <w:t>2.07</w:t>
            </w:r>
          </w:p>
        </w:tc>
        <w:tc>
          <w:tcPr>
            <w:tcW w:w="1166" w:type="dxa"/>
            <w:tcBorders>
              <w:bottom w:val="single" w:color="000000" w:sz="4" w:space="0"/>
            </w:tcBorders>
            <w:vAlign w:val="top"/>
          </w:tcPr>
          <w:p>
            <w:pPr>
              <w:spacing w:before="193" w:line="260" w:lineRule="exact"/>
              <w:ind w:left="416"/>
              <w:rPr>
                <w:rFonts w:ascii="宋体" w:hAnsi="宋体" w:eastAsia="宋体" w:cs="宋体"/>
                <w:sz w:val="18"/>
                <w:szCs w:val="18"/>
              </w:rPr>
            </w:pPr>
            <w:r>
              <w:rPr>
                <w:rFonts w:ascii="宋体" w:hAnsi="宋体" w:eastAsia="宋体" w:cs="宋体"/>
                <w:spacing w:val="-14"/>
                <w:position w:val="2"/>
                <w:sz w:val="18"/>
                <w:szCs w:val="18"/>
              </w:rPr>
              <w:t>0.53</w:t>
            </w:r>
          </w:p>
        </w:tc>
        <w:tc>
          <w:tcPr>
            <w:tcW w:w="1107" w:type="dxa"/>
            <w:tcBorders>
              <w:bottom w:val="single" w:color="000000" w:sz="4" w:space="0"/>
            </w:tcBorders>
            <w:vAlign w:val="top"/>
          </w:tcPr>
          <w:p>
            <w:pPr>
              <w:pStyle w:val="6"/>
              <w:spacing w:line="265" w:lineRule="auto"/>
            </w:pPr>
          </w:p>
          <w:p>
            <w:pPr>
              <w:spacing w:before="59" w:line="126" w:lineRule="exact"/>
              <w:ind w:left="528"/>
              <w:rPr>
                <w:rFonts w:ascii="宋体" w:hAnsi="宋体" w:eastAsia="宋体" w:cs="宋体"/>
                <w:sz w:val="18"/>
                <w:szCs w:val="18"/>
              </w:rPr>
            </w:pPr>
            <w:r>
              <w:rPr>
                <w:rFonts w:ascii="宋体" w:hAnsi="宋体" w:eastAsia="宋体" w:cs="宋体"/>
                <w:position w:val="-3"/>
                <w:sz w:val="18"/>
                <w:szCs w:val="18"/>
              </w:rPr>
              <w:t>-</w:t>
            </w:r>
          </w:p>
        </w:tc>
        <w:tc>
          <w:tcPr>
            <w:tcW w:w="1204" w:type="dxa"/>
            <w:tcBorders>
              <w:bottom w:val="single" w:color="000000" w:sz="4" w:space="0"/>
              <w:right w:val="single" w:color="000000" w:sz="4" w:space="0"/>
            </w:tcBorders>
            <w:vAlign w:val="top"/>
          </w:tcPr>
          <w:p>
            <w:pPr>
              <w:pStyle w:val="6"/>
              <w:spacing w:line="265" w:lineRule="auto"/>
            </w:pPr>
          </w:p>
          <w:p>
            <w:pPr>
              <w:spacing w:before="59" w:line="126" w:lineRule="exact"/>
              <w:ind w:left="570"/>
              <w:rPr>
                <w:rFonts w:ascii="宋体" w:hAnsi="宋体" w:eastAsia="宋体" w:cs="宋体"/>
                <w:sz w:val="18"/>
                <w:szCs w:val="18"/>
              </w:rPr>
            </w:pPr>
            <w:r>
              <w:rPr>
                <w:rFonts w:ascii="宋体" w:hAnsi="宋体" w:eastAsia="宋体" w:cs="宋体"/>
                <w:position w:val="-3"/>
                <w:sz w:val="18"/>
                <w:szCs w:val="18"/>
              </w:rPr>
              <w:t>-</w:t>
            </w:r>
          </w:p>
        </w:tc>
      </w:tr>
    </w:tbl>
    <w:p>
      <w:pPr>
        <w:spacing w:before="63"/>
      </w:pPr>
    </w:p>
    <w:p>
      <w:pPr>
        <w:spacing w:before="63"/>
      </w:pPr>
    </w:p>
    <w:tbl>
      <w:tblPr>
        <w:tblStyle w:val="5"/>
        <w:tblW w:w="91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1795"/>
        <w:gridCol w:w="1650"/>
        <w:gridCol w:w="1650"/>
        <w:gridCol w:w="1650"/>
        <w:gridCol w:w="1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2503" w:type="dxa"/>
            <w:gridSpan w:val="2"/>
            <w:tcBorders>
              <w:top w:val="single" w:color="000000" w:sz="4" w:space="0"/>
              <w:left w:val="single" w:color="000000" w:sz="4" w:space="0"/>
              <w:tl2br w:val="single" w:color="000000" w:sz="4" w:space="0"/>
            </w:tcBorders>
            <w:vAlign w:val="top"/>
          </w:tcPr>
          <w:p>
            <w:pPr>
              <w:spacing w:before="49" w:line="217" w:lineRule="auto"/>
              <w:ind w:left="124" w:right="701" w:firstLine="962"/>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650" w:type="dxa"/>
            <w:tcBorders>
              <w:top w:val="single" w:color="000000" w:sz="4" w:space="0"/>
            </w:tcBorders>
            <w:vAlign w:val="top"/>
          </w:tcPr>
          <w:p>
            <w:pPr>
              <w:spacing w:before="162" w:line="223" w:lineRule="auto"/>
              <w:ind w:left="392"/>
              <w:rPr>
                <w:rFonts w:ascii="黑体" w:hAnsi="黑体" w:eastAsia="黑体" w:cs="黑体"/>
                <w:sz w:val="18"/>
                <w:szCs w:val="18"/>
              </w:rPr>
            </w:pPr>
            <w:r>
              <w:rPr>
                <w:rFonts w:ascii="黑体" w:hAnsi="黑体" w:eastAsia="黑体" w:cs="黑体"/>
                <w:spacing w:val="-7"/>
                <w:sz w:val="18"/>
                <w:szCs w:val="18"/>
              </w:rPr>
              <w:t>安全生产费</w:t>
            </w:r>
          </w:p>
        </w:tc>
        <w:tc>
          <w:tcPr>
            <w:tcW w:w="1650" w:type="dxa"/>
            <w:tcBorders>
              <w:top w:val="single" w:color="000000" w:sz="4" w:space="0"/>
            </w:tcBorders>
            <w:vAlign w:val="top"/>
          </w:tcPr>
          <w:p>
            <w:pPr>
              <w:spacing w:before="161" w:line="222" w:lineRule="auto"/>
              <w:ind w:left="386"/>
              <w:rPr>
                <w:rFonts w:ascii="黑体" w:hAnsi="黑体" w:eastAsia="黑体" w:cs="黑体"/>
                <w:sz w:val="18"/>
                <w:szCs w:val="18"/>
              </w:rPr>
            </w:pPr>
            <w:r>
              <w:rPr>
                <w:rFonts w:ascii="黑体" w:hAnsi="黑体" w:eastAsia="黑体" w:cs="黑体"/>
                <w:spacing w:val="-4"/>
                <w:sz w:val="18"/>
                <w:szCs w:val="18"/>
              </w:rPr>
              <w:t>环境保护费</w:t>
            </w:r>
          </w:p>
        </w:tc>
        <w:tc>
          <w:tcPr>
            <w:tcW w:w="1650" w:type="dxa"/>
            <w:tcBorders>
              <w:top w:val="single" w:color="000000" w:sz="4" w:space="0"/>
            </w:tcBorders>
            <w:vAlign w:val="top"/>
          </w:tcPr>
          <w:p>
            <w:pPr>
              <w:spacing w:before="162" w:line="221" w:lineRule="auto"/>
              <w:ind w:left="394"/>
              <w:rPr>
                <w:rFonts w:ascii="黑体" w:hAnsi="黑体" w:eastAsia="黑体" w:cs="黑体"/>
                <w:sz w:val="18"/>
                <w:szCs w:val="18"/>
              </w:rPr>
            </w:pPr>
            <w:r>
              <w:rPr>
                <w:rFonts w:ascii="黑体" w:hAnsi="黑体" w:eastAsia="黑体" w:cs="黑体"/>
                <w:spacing w:val="-5"/>
                <w:sz w:val="18"/>
                <w:szCs w:val="18"/>
              </w:rPr>
              <w:t>文明施工费</w:t>
            </w:r>
          </w:p>
        </w:tc>
        <w:tc>
          <w:tcPr>
            <w:tcW w:w="1667" w:type="dxa"/>
            <w:tcBorders>
              <w:top w:val="single" w:color="000000" w:sz="4" w:space="0"/>
              <w:right w:val="single" w:color="000000" w:sz="4" w:space="0"/>
            </w:tcBorders>
            <w:vAlign w:val="top"/>
          </w:tcPr>
          <w:p>
            <w:pPr>
              <w:spacing w:before="161" w:line="222" w:lineRule="auto"/>
              <w:ind w:left="411"/>
              <w:rPr>
                <w:rFonts w:ascii="黑体" w:hAnsi="黑体" w:eastAsia="黑体" w:cs="黑体"/>
                <w:sz w:val="18"/>
                <w:szCs w:val="18"/>
              </w:rPr>
            </w:pPr>
            <w:r>
              <w:rPr>
                <w:rFonts w:ascii="黑体" w:hAnsi="黑体" w:eastAsia="黑体" w:cs="黑体"/>
                <w:spacing w:val="-8"/>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restart"/>
            <w:tcBorders>
              <w:left w:val="single" w:color="000000" w:sz="4" w:space="0"/>
              <w:bottom w:val="nil"/>
            </w:tcBorders>
            <w:vAlign w:val="top"/>
          </w:tcPr>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2" w:lineRule="auto"/>
            </w:pPr>
          </w:p>
          <w:p>
            <w:pPr>
              <w:pStyle w:val="6"/>
              <w:spacing w:line="242" w:lineRule="auto"/>
            </w:pPr>
          </w:p>
          <w:p>
            <w:pPr>
              <w:spacing w:before="59" w:line="283" w:lineRule="auto"/>
              <w:ind w:left="175" w:right="164"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95" w:type="dxa"/>
            <w:vAlign w:val="top"/>
          </w:tcPr>
          <w:p>
            <w:pPr>
              <w:spacing w:before="95" w:line="212" w:lineRule="auto"/>
              <w:ind w:left="533"/>
              <w:rPr>
                <w:rFonts w:ascii="宋体" w:hAnsi="宋体" w:eastAsia="宋体" w:cs="宋体"/>
                <w:sz w:val="18"/>
                <w:szCs w:val="18"/>
              </w:rPr>
            </w:pPr>
            <w:r>
              <w:rPr>
                <w:rFonts w:ascii="宋体" w:hAnsi="宋体" w:eastAsia="宋体" w:cs="宋体"/>
                <w:spacing w:val="-3"/>
                <w:sz w:val="18"/>
                <w:szCs w:val="18"/>
              </w:rPr>
              <w:t>道路工程</w:t>
            </w:r>
          </w:p>
        </w:tc>
        <w:tc>
          <w:tcPr>
            <w:tcW w:w="1650" w:type="dxa"/>
            <w:vMerge w:val="restart"/>
            <w:tcBorders>
              <w:bottom w:val="nil"/>
            </w:tcBorders>
            <w:vAlign w:val="top"/>
          </w:tcPr>
          <w:p>
            <w:pPr>
              <w:pStyle w:val="6"/>
              <w:spacing w:line="255"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9" w:line="260" w:lineRule="exact"/>
              <w:ind w:left="676"/>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255"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9" w:line="260" w:lineRule="exact"/>
              <w:ind w:left="682"/>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255"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9" w:line="260" w:lineRule="exact"/>
              <w:ind w:left="658"/>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55"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9" w:line="260" w:lineRule="exact"/>
              <w:ind w:left="691"/>
              <w:rPr>
                <w:rFonts w:ascii="宋体" w:hAnsi="宋体" w:eastAsia="宋体" w:cs="宋体"/>
                <w:sz w:val="18"/>
                <w:szCs w:val="18"/>
              </w:rPr>
            </w:pPr>
            <w:r>
              <w:rPr>
                <w:rFonts w:ascii="宋体" w:hAnsi="宋体" w:eastAsia="宋体" w:cs="宋体"/>
                <w:spacing w:val="-19"/>
                <w:position w:val="1"/>
                <w:sz w:val="18"/>
                <w:szCs w:val="18"/>
              </w:rPr>
              <w:t>1.78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97" w:line="209" w:lineRule="auto"/>
              <w:ind w:left="535"/>
              <w:rPr>
                <w:rFonts w:ascii="宋体" w:hAnsi="宋体" w:eastAsia="宋体" w:cs="宋体"/>
                <w:sz w:val="18"/>
                <w:szCs w:val="18"/>
              </w:rPr>
            </w:pPr>
            <w:r>
              <w:rPr>
                <w:rFonts w:ascii="宋体" w:hAnsi="宋体" w:eastAsia="宋体" w:cs="宋体"/>
                <w:spacing w:val="-3"/>
                <w:sz w:val="18"/>
                <w:szCs w:val="18"/>
              </w:rPr>
              <w:t>桥涵工程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97" w:line="211" w:lineRule="auto"/>
              <w:ind w:left="552"/>
              <w:rPr>
                <w:rFonts w:ascii="宋体" w:hAnsi="宋体" w:eastAsia="宋体" w:cs="宋体"/>
                <w:sz w:val="18"/>
                <w:szCs w:val="18"/>
              </w:rPr>
            </w:pPr>
            <w:r>
              <w:rPr>
                <w:rFonts w:ascii="宋体" w:hAnsi="宋体" w:eastAsia="宋体" w:cs="宋体"/>
                <w:spacing w:val="-9"/>
                <w:sz w:val="18"/>
                <w:szCs w:val="18"/>
              </w:rPr>
              <w:t>隧道工程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87" w:line="222" w:lineRule="auto"/>
              <w:ind w:left="535"/>
              <w:rPr>
                <w:rFonts w:ascii="宋体" w:hAnsi="宋体" w:eastAsia="宋体" w:cs="宋体"/>
                <w:sz w:val="18"/>
                <w:szCs w:val="18"/>
              </w:rPr>
            </w:pPr>
            <w:r>
              <w:rPr>
                <w:rFonts w:ascii="宋体" w:hAnsi="宋体" w:eastAsia="宋体" w:cs="宋体"/>
                <w:spacing w:val="-3"/>
                <w:sz w:val="18"/>
                <w:szCs w:val="18"/>
              </w:rPr>
              <w:t>排水工程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2" w:line="210" w:lineRule="auto"/>
              <w:ind w:left="445"/>
              <w:rPr>
                <w:rFonts w:ascii="宋体" w:hAnsi="宋体" w:eastAsia="宋体" w:cs="宋体"/>
                <w:sz w:val="18"/>
                <w:szCs w:val="18"/>
              </w:rPr>
            </w:pPr>
            <w:r>
              <w:rPr>
                <w:rFonts w:ascii="宋体" w:hAnsi="宋体" w:eastAsia="宋体" w:cs="宋体"/>
                <w:spacing w:val="-3"/>
                <w:sz w:val="18"/>
                <w:szCs w:val="18"/>
              </w:rPr>
              <w:t>水处理工程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7" w:line="208" w:lineRule="auto"/>
              <w:ind w:left="177"/>
              <w:rPr>
                <w:rFonts w:ascii="宋体" w:hAnsi="宋体" w:eastAsia="宋体" w:cs="宋体"/>
                <w:sz w:val="18"/>
                <w:szCs w:val="18"/>
              </w:rPr>
            </w:pPr>
            <w:r>
              <w:rPr>
                <w:rFonts w:ascii="宋体" w:hAnsi="宋体" w:eastAsia="宋体" w:cs="宋体"/>
                <w:spacing w:val="-4"/>
                <w:sz w:val="18"/>
                <w:szCs w:val="18"/>
              </w:rPr>
              <w:t>生活垃圾处理工程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51" w:line="236" w:lineRule="auto"/>
              <w:ind w:left="538" w:right="358" w:hanging="183"/>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8" w:line="211" w:lineRule="auto"/>
              <w:ind w:left="540"/>
              <w:rPr>
                <w:rFonts w:ascii="宋体" w:hAnsi="宋体" w:eastAsia="宋体" w:cs="宋体"/>
                <w:sz w:val="18"/>
                <w:szCs w:val="18"/>
              </w:rPr>
            </w:pPr>
            <w:r>
              <w:rPr>
                <w:rFonts w:ascii="宋体" w:hAnsi="宋体" w:eastAsia="宋体" w:cs="宋体"/>
                <w:spacing w:val="-5"/>
                <w:sz w:val="18"/>
                <w:szCs w:val="18"/>
              </w:rPr>
              <w:t>给水工程</w:t>
            </w:r>
          </w:p>
        </w:tc>
        <w:tc>
          <w:tcPr>
            <w:tcW w:w="1650" w:type="dxa"/>
            <w:vMerge w:val="restart"/>
            <w:tcBorders>
              <w:bottom w:val="nil"/>
            </w:tcBorders>
            <w:vAlign w:val="top"/>
          </w:tcPr>
          <w:p>
            <w:pPr>
              <w:pStyle w:val="6"/>
              <w:spacing w:line="452" w:lineRule="auto"/>
            </w:pPr>
          </w:p>
          <w:p>
            <w:pPr>
              <w:spacing w:before="58" w:line="260" w:lineRule="exact"/>
              <w:ind w:left="676"/>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452" w:lineRule="auto"/>
            </w:pPr>
          </w:p>
          <w:p>
            <w:pPr>
              <w:spacing w:before="58" w:line="260" w:lineRule="exact"/>
              <w:ind w:left="682"/>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452" w:lineRule="auto"/>
            </w:pPr>
          </w:p>
          <w:p>
            <w:pPr>
              <w:spacing w:before="58" w:line="260" w:lineRule="exact"/>
              <w:ind w:left="658"/>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452" w:lineRule="auto"/>
            </w:pPr>
          </w:p>
          <w:p>
            <w:pPr>
              <w:spacing w:before="58" w:line="260" w:lineRule="exact"/>
              <w:ind w:left="664"/>
              <w:rPr>
                <w:rFonts w:ascii="宋体" w:hAnsi="宋体" w:eastAsia="宋体" w:cs="宋体"/>
                <w:sz w:val="18"/>
                <w:szCs w:val="18"/>
              </w:rPr>
            </w:pPr>
            <w:r>
              <w:rPr>
                <w:rFonts w:ascii="宋体" w:hAnsi="宋体" w:eastAsia="宋体" w:cs="宋体"/>
                <w:spacing w:val="-14"/>
                <w:position w:val="2"/>
                <w:sz w:val="18"/>
                <w:szCs w:val="18"/>
              </w:rPr>
              <w:t>0.89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8" w:line="214" w:lineRule="auto"/>
              <w:ind w:left="530"/>
              <w:rPr>
                <w:rFonts w:ascii="宋体" w:hAnsi="宋体" w:eastAsia="宋体" w:cs="宋体"/>
                <w:sz w:val="18"/>
                <w:szCs w:val="18"/>
              </w:rPr>
            </w:pPr>
            <w:r>
              <w:rPr>
                <w:rFonts w:ascii="宋体" w:hAnsi="宋体" w:eastAsia="宋体" w:cs="宋体"/>
                <w:spacing w:val="-3"/>
                <w:sz w:val="18"/>
                <w:szCs w:val="18"/>
              </w:rPr>
              <w:t>燃气工程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3" w:line="235" w:lineRule="auto"/>
              <w:ind w:left="534"/>
              <w:rPr>
                <w:rFonts w:ascii="宋体" w:hAnsi="宋体" w:eastAsia="宋体" w:cs="宋体"/>
                <w:sz w:val="18"/>
                <w:szCs w:val="18"/>
              </w:rPr>
            </w:pPr>
            <w:r>
              <w:rPr>
                <w:rFonts w:ascii="宋体" w:hAnsi="宋体" w:eastAsia="宋体" w:cs="宋体"/>
                <w:spacing w:val="-3"/>
                <w:sz w:val="18"/>
                <w:szCs w:val="18"/>
              </w:rPr>
              <w:t>供热工程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7" w:hRule="atLeast"/>
        </w:trPr>
        <w:tc>
          <w:tcPr>
            <w:tcW w:w="708" w:type="dxa"/>
            <w:vMerge w:val="continue"/>
            <w:tcBorders>
              <w:top w:val="nil"/>
              <w:left w:val="single" w:color="000000" w:sz="4" w:space="0"/>
            </w:tcBorders>
            <w:vAlign w:val="top"/>
          </w:tcPr>
          <w:p>
            <w:pPr>
              <w:pStyle w:val="6"/>
            </w:pPr>
          </w:p>
        </w:tc>
        <w:tc>
          <w:tcPr>
            <w:tcW w:w="1795" w:type="dxa"/>
            <w:vAlign w:val="top"/>
          </w:tcPr>
          <w:p>
            <w:pPr>
              <w:spacing w:before="113" w:line="211" w:lineRule="auto"/>
              <w:ind w:left="535"/>
              <w:rPr>
                <w:rFonts w:ascii="宋体" w:hAnsi="宋体" w:eastAsia="宋体" w:cs="宋体"/>
                <w:sz w:val="18"/>
                <w:szCs w:val="18"/>
              </w:rPr>
            </w:pPr>
            <w:r>
              <w:rPr>
                <w:rFonts w:ascii="宋体" w:hAnsi="宋体" w:eastAsia="宋体" w:cs="宋体"/>
                <w:spacing w:val="-5"/>
                <w:sz w:val="18"/>
                <w:szCs w:val="18"/>
              </w:rPr>
              <w:t>路灯工程</w:t>
            </w:r>
          </w:p>
        </w:tc>
        <w:tc>
          <w:tcPr>
            <w:tcW w:w="1650" w:type="dxa"/>
            <w:vAlign w:val="top"/>
          </w:tcPr>
          <w:p>
            <w:pPr>
              <w:spacing w:before="124" w:line="228" w:lineRule="auto"/>
              <w:ind w:left="676"/>
              <w:rPr>
                <w:rFonts w:ascii="宋体" w:hAnsi="宋体" w:eastAsia="宋体" w:cs="宋体"/>
                <w:sz w:val="18"/>
                <w:szCs w:val="18"/>
              </w:rPr>
            </w:pPr>
            <w:r>
              <w:rPr>
                <w:rFonts w:ascii="宋体" w:hAnsi="宋体" w:eastAsia="宋体" w:cs="宋体"/>
                <w:spacing w:val="-19"/>
                <w:sz w:val="18"/>
                <w:szCs w:val="18"/>
              </w:rPr>
              <w:t>1.73</w:t>
            </w:r>
          </w:p>
        </w:tc>
        <w:tc>
          <w:tcPr>
            <w:tcW w:w="1650" w:type="dxa"/>
            <w:vAlign w:val="top"/>
          </w:tcPr>
          <w:p>
            <w:pPr>
              <w:spacing w:before="124" w:line="228" w:lineRule="auto"/>
              <w:ind w:left="682"/>
              <w:rPr>
                <w:rFonts w:ascii="宋体" w:hAnsi="宋体" w:eastAsia="宋体" w:cs="宋体"/>
                <w:sz w:val="18"/>
                <w:szCs w:val="18"/>
              </w:rPr>
            </w:pPr>
            <w:r>
              <w:rPr>
                <w:rFonts w:ascii="宋体" w:hAnsi="宋体" w:eastAsia="宋体" w:cs="宋体"/>
                <w:spacing w:val="-19"/>
                <w:sz w:val="18"/>
                <w:szCs w:val="18"/>
              </w:rPr>
              <w:t>1.31</w:t>
            </w:r>
          </w:p>
        </w:tc>
        <w:tc>
          <w:tcPr>
            <w:tcW w:w="1650" w:type="dxa"/>
            <w:vAlign w:val="top"/>
          </w:tcPr>
          <w:p>
            <w:pPr>
              <w:spacing w:before="124" w:line="228" w:lineRule="auto"/>
              <w:ind w:left="658"/>
              <w:rPr>
                <w:rFonts w:ascii="宋体" w:hAnsi="宋体" w:eastAsia="宋体" w:cs="宋体"/>
                <w:sz w:val="18"/>
                <w:szCs w:val="18"/>
              </w:rPr>
            </w:pPr>
            <w:r>
              <w:rPr>
                <w:rFonts w:ascii="宋体" w:hAnsi="宋体" w:eastAsia="宋体" w:cs="宋体"/>
                <w:spacing w:val="-14"/>
                <w:sz w:val="18"/>
                <w:szCs w:val="18"/>
              </w:rPr>
              <w:t>0.82</w:t>
            </w:r>
          </w:p>
        </w:tc>
        <w:tc>
          <w:tcPr>
            <w:tcW w:w="1667" w:type="dxa"/>
            <w:tcBorders>
              <w:right w:val="single" w:color="000000" w:sz="4" w:space="0"/>
            </w:tcBorders>
            <w:vAlign w:val="top"/>
          </w:tcPr>
          <w:p>
            <w:pPr>
              <w:spacing w:before="124" w:line="228" w:lineRule="auto"/>
              <w:ind w:left="691"/>
              <w:rPr>
                <w:rFonts w:ascii="宋体" w:hAnsi="宋体" w:eastAsia="宋体" w:cs="宋体"/>
                <w:sz w:val="18"/>
                <w:szCs w:val="18"/>
              </w:rPr>
            </w:pPr>
            <w:r>
              <w:rPr>
                <w:rFonts w:ascii="宋体" w:hAnsi="宋体" w:eastAsia="宋体" w:cs="宋体"/>
                <w:spacing w:val="-19"/>
                <w:sz w:val="18"/>
                <w:szCs w:val="18"/>
              </w:rPr>
              <w:t>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5" w:hRule="atLeast"/>
        </w:trPr>
        <w:tc>
          <w:tcPr>
            <w:tcW w:w="708" w:type="dxa"/>
            <w:vMerge w:val="restart"/>
            <w:tcBorders>
              <w:left w:val="single" w:color="000000" w:sz="4" w:space="0"/>
              <w:bottom w:val="nil"/>
            </w:tcBorders>
            <w:vAlign w:val="top"/>
          </w:tcPr>
          <w:p>
            <w:pPr>
              <w:spacing w:before="147" w:line="210" w:lineRule="auto"/>
              <w:ind w:left="178"/>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5"/>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8"/>
              <w:rPr>
                <w:rFonts w:ascii="宋体" w:hAnsi="宋体" w:eastAsia="宋体" w:cs="宋体"/>
                <w:sz w:val="18"/>
                <w:szCs w:val="18"/>
              </w:rPr>
            </w:pPr>
            <w:r>
              <w:rPr>
                <w:rFonts w:ascii="宋体" w:hAnsi="宋体" w:eastAsia="宋体" w:cs="宋体"/>
                <w:spacing w:val="-3"/>
                <w:sz w:val="18"/>
                <w:szCs w:val="18"/>
              </w:rPr>
              <w:t>维修</w:t>
            </w:r>
          </w:p>
          <w:p>
            <w:pPr>
              <w:spacing w:before="68" w:line="202" w:lineRule="auto"/>
              <w:ind w:left="175"/>
              <w:rPr>
                <w:rFonts w:ascii="宋体" w:hAnsi="宋体" w:eastAsia="宋体" w:cs="宋体"/>
                <w:sz w:val="18"/>
                <w:szCs w:val="18"/>
              </w:rPr>
            </w:pPr>
            <w:r>
              <w:rPr>
                <w:rFonts w:ascii="宋体" w:hAnsi="宋体" w:eastAsia="宋体" w:cs="宋体"/>
                <w:spacing w:val="-3"/>
                <w:sz w:val="18"/>
                <w:szCs w:val="18"/>
              </w:rPr>
              <w:t>工程</w:t>
            </w:r>
          </w:p>
        </w:tc>
        <w:tc>
          <w:tcPr>
            <w:tcW w:w="1795" w:type="dxa"/>
            <w:vAlign w:val="top"/>
          </w:tcPr>
          <w:p>
            <w:pPr>
              <w:spacing w:before="137" w:line="250" w:lineRule="auto"/>
              <w:ind w:left="100" w:right="119"/>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1650" w:type="dxa"/>
            <w:vMerge w:val="restart"/>
            <w:tcBorders>
              <w:bottom w:val="nil"/>
            </w:tcBorders>
            <w:vAlign w:val="top"/>
          </w:tcPr>
          <w:p>
            <w:pPr>
              <w:pStyle w:val="6"/>
              <w:spacing w:line="245" w:lineRule="auto"/>
            </w:pPr>
          </w:p>
          <w:p>
            <w:pPr>
              <w:pStyle w:val="6"/>
              <w:spacing w:line="246" w:lineRule="auto"/>
            </w:pPr>
          </w:p>
          <w:p>
            <w:pPr>
              <w:spacing w:before="58" w:line="260" w:lineRule="exact"/>
              <w:ind w:left="676"/>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245" w:lineRule="auto"/>
            </w:pPr>
          </w:p>
          <w:p>
            <w:pPr>
              <w:pStyle w:val="6"/>
              <w:spacing w:line="246" w:lineRule="auto"/>
            </w:pPr>
          </w:p>
          <w:p>
            <w:pPr>
              <w:spacing w:before="58" w:line="260" w:lineRule="exact"/>
              <w:ind w:left="682"/>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245" w:lineRule="auto"/>
            </w:pPr>
          </w:p>
          <w:p>
            <w:pPr>
              <w:pStyle w:val="6"/>
              <w:spacing w:line="246" w:lineRule="auto"/>
            </w:pPr>
          </w:p>
          <w:p>
            <w:pPr>
              <w:spacing w:before="58" w:line="260" w:lineRule="exact"/>
              <w:ind w:left="658"/>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45" w:lineRule="auto"/>
            </w:pPr>
          </w:p>
          <w:p>
            <w:pPr>
              <w:pStyle w:val="6"/>
              <w:spacing w:line="246" w:lineRule="auto"/>
            </w:pPr>
          </w:p>
          <w:p>
            <w:pPr>
              <w:spacing w:before="58" w:line="260" w:lineRule="exact"/>
              <w:ind w:left="691"/>
              <w:rPr>
                <w:rFonts w:ascii="宋体" w:hAnsi="宋体" w:eastAsia="宋体" w:cs="宋体"/>
                <w:sz w:val="18"/>
                <w:szCs w:val="18"/>
              </w:rPr>
            </w:pPr>
            <w:r>
              <w:rPr>
                <w:rFonts w:ascii="宋体" w:hAnsi="宋体" w:eastAsia="宋体" w:cs="宋体"/>
                <w:spacing w:val="-19"/>
                <w:position w:val="1"/>
                <w:sz w:val="18"/>
                <w:szCs w:val="18"/>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6" w:hRule="atLeast"/>
        </w:trPr>
        <w:tc>
          <w:tcPr>
            <w:tcW w:w="708" w:type="dxa"/>
            <w:vMerge w:val="continue"/>
            <w:tcBorders>
              <w:top w:val="nil"/>
              <w:left w:val="single" w:color="000000" w:sz="4" w:space="0"/>
              <w:bottom w:val="single" w:color="000000" w:sz="4" w:space="0"/>
            </w:tcBorders>
            <w:vAlign w:val="top"/>
          </w:tcPr>
          <w:p>
            <w:pPr>
              <w:pStyle w:val="6"/>
            </w:pPr>
          </w:p>
        </w:tc>
        <w:tc>
          <w:tcPr>
            <w:tcW w:w="1795" w:type="dxa"/>
            <w:tcBorders>
              <w:bottom w:val="single" w:color="000000" w:sz="4" w:space="0"/>
            </w:tcBorders>
            <w:vAlign w:val="top"/>
          </w:tcPr>
          <w:p>
            <w:pPr>
              <w:spacing w:before="92" w:line="253" w:lineRule="auto"/>
              <w:ind w:left="103" w:right="119"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67" w:type="dxa"/>
            <w:vMerge w:val="continue"/>
            <w:tcBorders>
              <w:top w:val="nil"/>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74" w:type="default"/>
          <w:pgSz w:w="11905" w:h="16840"/>
          <w:pgMar w:top="400" w:right="1357"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7"/>
          <w:position w:val="1"/>
          <w:sz w:val="20"/>
          <w:szCs w:val="20"/>
        </w:rPr>
        <w:t>2.简易计税法（单位：</w:t>
      </w:r>
      <w:r>
        <w:rPr>
          <w:rFonts w:ascii="宋体" w:hAnsi="宋体" w:eastAsia="宋体" w:cs="宋体"/>
          <w:spacing w:val="-49"/>
          <w:position w:val="1"/>
          <w:sz w:val="20"/>
          <w:szCs w:val="20"/>
        </w:rPr>
        <w:t xml:space="preserve"> </w:t>
      </w:r>
      <w:r>
        <w:rPr>
          <w:rFonts w:ascii="宋体" w:hAnsi="宋体" w:eastAsia="宋体" w:cs="宋体"/>
          <w:spacing w:val="17"/>
          <w:position w:val="1"/>
          <w:sz w:val="20"/>
          <w:szCs w:val="20"/>
        </w:rPr>
        <w:t>%）</w:t>
      </w:r>
    </w:p>
    <w:p>
      <w:pPr>
        <w:spacing w:line="110" w:lineRule="auto"/>
        <w:rPr>
          <w:rFonts w:ascii="Arial"/>
          <w:sz w:val="2"/>
        </w:rPr>
      </w:pPr>
    </w:p>
    <w:tbl>
      <w:tblPr>
        <w:tblStyle w:val="5"/>
        <w:tblW w:w="9079"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6"/>
        <w:gridCol w:w="1770"/>
        <w:gridCol w:w="957"/>
        <w:gridCol w:w="1092"/>
        <w:gridCol w:w="1077"/>
        <w:gridCol w:w="1151"/>
        <w:gridCol w:w="1107"/>
        <w:gridCol w:w="12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6" w:hRule="atLeast"/>
        </w:trPr>
        <w:tc>
          <w:tcPr>
            <w:tcW w:w="2476" w:type="dxa"/>
            <w:gridSpan w:val="2"/>
            <w:tcBorders>
              <w:top w:val="single" w:color="000000" w:sz="4" w:space="0"/>
              <w:left w:val="single" w:color="000000" w:sz="4" w:space="0"/>
              <w:tl2br w:val="single" w:color="000000" w:sz="2" w:space="0"/>
            </w:tcBorders>
            <w:vAlign w:val="top"/>
          </w:tcPr>
          <w:p>
            <w:pPr>
              <w:spacing w:before="63" w:line="277" w:lineRule="auto"/>
              <w:ind w:left="124" w:right="684" w:firstLine="956"/>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957" w:type="dxa"/>
            <w:tcBorders>
              <w:top w:val="single" w:color="000000" w:sz="4" w:space="0"/>
            </w:tcBorders>
            <w:vAlign w:val="top"/>
          </w:tcPr>
          <w:p>
            <w:pPr>
              <w:spacing w:before="183" w:line="215" w:lineRule="auto"/>
              <w:ind w:left="213" w:right="115" w:hanging="84"/>
              <w:rPr>
                <w:rFonts w:ascii="微软雅黑" w:hAnsi="微软雅黑" w:eastAsia="微软雅黑" w:cs="微软雅黑"/>
                <w:sz w:val="18"/>
                <w:szCs w:val="18"/>
              </w:rPr>
            </w:pPr>
            <w:r>
              <w:rPr>
                <w:rFonts w:ascii="微软雅黑" w:hAnsi="微软雅黑" w:eastAsia="微软雅黑" w:cs="微软雅黑"/>
                <w:spacing w:val="-4"/>
                <w:sz w:val="18"/>
                <w:szCs w:val="18"/>
              </w:rPr>
              <w:t>夜间施工</w:t>
            </w:r>
            <w:r>
              <w:rPr>
                <w:rFonts w:ascii="微软雅黑" w:hAnsi="微软雅黑" w:eastAsia="微软雅黑" w:cs="微软雅黑"/>
                <w:spacing w:val="-4"/>
                <w:w w:val="99"/>
                <w:sz w:val="18"/>
                <w:szCs w:val="18"/>
              </w:rPr>
              <w:t>增加费</w:t>
            </w:r>
          </w:p>
        </w:tc>
        <w:tc>
          <w:tcPr>
            <w:tcW w:w="1092" w:type="dxa"/>
            <w:tcBorders>
              <w:top w:val="single" w:color="000000" w:sz="4" w:space="0"/>
            </w:tcBorders>
            <w:vAlign w:val="top"/>
          </w:tcPr>
          <w:p>
            <w:pPr>
              <w:spacing w:before="220" w:line="186" w:lineRule="auto"/>
              <w:ind w:left="280" w:right="273" w:firstLine="46"/>
              <w:rPr>
                <w:rFonts w:ascii="微软雅黑" w:hAnsi="微软雅黑" w:eastAsia="微软雅黑" w:cs="微软雅黑"/>
                <w:sz w:val="18"/>
                <w:szCs w:val="18"/>
              </w:rPr>
            </w:pPr>
            <w:r>
              <w:rPr>
                <w:rFonts w:ascii="微软雅黑" w:hAnsi="微软雅黑" w:eastAsia="微软雅黑" w:cs="微软雅黑"/>
                <w:spacing w:val="-6"/>
                <w:w w:val="98"/>
                <w:sz w:val="18"/>
                <w:szCs w:val="18"/>
              </w:rPr>
              <w:t>二</w:t>
            </w:r>
            <w:r>
              <w:rPr>
                <w:rFonts w:ascii="微软雅黑" w:hAnsi="微软雅黑" w:eastAsia="微软雅黑" w:cs="微软雅黑"/>
                <w:spacing w:val="45"/>
                <w:sz w:val="18"/>
                <w:szCs w:val="18"/>
              </w:rPr>
              <w:t xml:space="preserve"> </w:t>
            </w:r>
            <w:r>
              <w:rPr>
                <w:rFonts w:ascii="微软雅黑" w:hAnsi="微软雅黑" w:eastAsia="微软雅黑" w:cs="微软雅黑"/>
                <w:spacing w:val="-6"/>
                <w:w w:val="98"/>
                <w:sz w:val="18"/>
                <w:szCs w:val="18"/>
              </w:rPr>
              <w:t>次</w:t>
            </w:r>
            <w:r>
              <w:rPr>
                <w:rFonts w:ascii="微软雅黑" w:hAnsi="微软雅黑" w:eastAsia="微软雅黑" w:cs="微软雅黑"/>
                <w:spacing w:val="-3"/>
                <w:sz w:val="18"/>
                <w:szCs w:val="18"/>
              </w:rPr>
              <w:t>搬运费</w:t>
            </w:r>
          </w:p>
        </w:tc>
        <w:tc>
          <w:tcPr>
            <w:tcW w:w="1077" w:type="dxa"/>
            <w:tcBorders>
              <w:top w:val="single" w:color="000000" w:sz="4" w:space="0"/>
            </w:tcBorders>
            <w:vAlign w:val="top"/>
          </w:tcPr>
          <w:p>
            <w:pPr>
              <w:spacing w:before="183" w:line="215" w:lineRule="auto"/>
              <w:ind w:left="197" w:right="165" w:hanging="3"/>
              <w:rPr>
                <w:rFonts w:ascii="微软雅黑" w:hAnsi="微软雅黑" w:eastAsia="微软雅黑" w:cs="微软雅黑"/>
                <w:sz w:val="18"/>
                <w:szCs w:val="18"/>
              </w:rPr>
            </w:pPr>
            <w:r>
              <w:rPr>
                <w:rFonts w:ascii="微软雅黑" w:hAnsi="微软雅黑" w:eastAsia="微软雅黑" w:cs="微软雅黑"/>
                <w:spacing w:val="-2"/>
                <w:sz w:val="18"/>
                <w:szCs w:val="18"/>
              </w:rPr>
              <w:t>冬雨季施</w:t>
            </w:r>
            <w:r>
              <w:rPr>
                <w:rFonts w:ascii="微软雅黑" w:hAnsi="微软雅黑" w:eastAsia="微软雅黑" w:cs="微软雅黑"/>
                <w:spacing w:val="-5"/>
                <w:w w:val="99"/>
                <w:sz w:val="18"/>
                <w:szCs w:val="18"/>
              </w:rPr>
              <w:t>工增加费</w:t>
            </w:r>
          </w:p>
        </w:tc>
        <w:tc>
          <w:tcPr>
            <w:tcW w:w="1151" w:type="dxa"/>
            <w:tcBorders>
              <w:top w:val="single" w:color="000000" w:sz="4" w:space="0"/>
            </w:tcBorders>
            <w:vAlign w:val="top"/>
          </w:tcPr>
          <w:p>
            <w:pPr>
              <w:spacing w:before="183" w:line="215" w:lineRule="auto"/>
              <w:ind w:left="142" w:right="106" w:firstLine="30"/>
              <w:rPr>
                <w:rFonts w:ascii="微软雅黑" w:hAnsi="微软雅黑" w:eastAsia="微软雅黑" w:cs="微软雅黑"/>
                <w:sz w:val="18"/>
                <w:szCs w:val="18"/>
              </w:rPr>
            </w:pPr>
            <w:r>
              <w:rPr>
                <w:rFonts w:ascii="微软雅黑" w:hAnsi="微软雅黑" w:eastAsia="微软雅黑" w:cs="微软雅黑"/>
                <w:spacing w:val="-6"/>
                <w:w w:val="99"/>
                <w:sz w:val="18"/>
                <w:szCs w:val="18"/>
              </w:rPr>
              <w:t>已完工程及</w:t>
            </w:r>
            <w:r>
              <w:rPr>
                <w:rFonts w:ascii="微软雅黑" w:hAnsi="微软雅黑" w:eastAsia="微软雅黑" w:cs="微软雅黑"/>
                <w:spacing w:val="-3"/>
                <w:w w:val="99"/>
                <w:sz w:val="18"/>
                <w:szCs w:val="18"/>
              </w:rPr>
              <w:t>设备保护费</w:t>
            </w:r>
          </w:p>
        </w:tc>
        <w:tc>
          <w:tcPr>
            <w:tcW w:w="1107" w:type="dxa"/>
            <w:tcBorders>
              <w:top w:val="single" w:color="000000" w:sz="4" w:space="0"/>
            </w:tcBorders>
            <w:vAlign w:val="top"/>
          </w:tcPr>
          <w:p>
            <w:pPr>
              <w:spacing w:before="183" w:line="215" w:lineRule="auto"/>
              <w:ind w:left="311" w:right="174" w:hanging="92"/>
              <w:rPr>
                <w:rFonts w:ascii="微软雅黑" w:hAnsi="微软雅黑" w:eastAsia="微软雅黑" w:cs="微软雅黑"/>
                <w:sz w:val="18"/>
                <w:szCs w:val="18"/>
              </w:rPr>
            </w:pPr>
            <w:r>
              <w:rPr>
                <w:rFonts w:ascii="微软雅黑" w:hAnsi="微软雅黑" w:eastAsia="微软雅黑" w:cs="微软雅黑"/>
                <w:spacing w:val="-3"/>
                <w:sz w:val="18"/>
                <w:szCs w:val="18"/>
              </w:rPr>
              <w:t>工程定位</w:t>
            </w:r>
            <w:r>
              <w:rPr>
                <w:rFonts w:ascii="微软雅黑" w:hAnsi="微软雅黑" w:eastAsia="微软雅黑" w:cs="微软雅黑"/>
                <w:spacing w:val="-3"/>
                <w:w w:val="98"/>
                <w:sz w:val="18"/>
                <w:szCs w:val="18"/>
              </w:rPr>
              <w:t>复测费</w:t>
            </w:r>
          </w:p>
        </w:tc>
        <w:tc>
          <w:tcPr>
            <w:tcW w:w="1219" w:type="dxa"/>
            <w:tcBorders>
              <w:top w:val="single" w:color="000000" w:sz="4" w:space="0"/>
              <w:right w:val="single" w:color="000000" w:sz="4" w:space="0"/>
            </w:tcBorders>
            <w:vAlign w:val="top"/>
          </w:tcPr>
          <w:p>
            <w:pPr>
              <w:spacing w:before="185" w:line="214" w:lineRule="auto"/>
              <w:ind w:left="182" w:right="147" w:firstLine="78"/>
              <w:rPr>
                <w:rFonts w:ascii="微软雅黑" w:hAnsi="微软雅黑" w:eastAsia="微软雅黑" w:cs="微软雅黑"/>
                <w:sz w:val="18"/>
                <w:szCs w:val="18"/>
              </w:rPr>
            </w:pPr>
            <w:r>
              <w:rPr>
                <w:rFonts w:ascii="微软雅黑" w:hAnsi="微软雅黑" w:eastAsia="微软雅黑" w:cs="微软雅黑"/>
                <w:spacing w:val="20"/>
                <w:sz w:val="18"/>
                <w:szCs w:val="18"/>
              </w:rPr>
              <w:t>地下管线</w:t>
            </w:r>
            <w:r>
              <w:rPr>
                <w:rFonts w:ascii="微软雅黑" w:hAnsi="微软雅黑" w:eastAsia="微软雅黑" w:cs="微软雅黑"/>
                <w:spacing w:val="-4"/>
                <w:w w:val="98"/>
                <w:sz w:val="18"/>
                <w:szCs w:val="18"/>
              </w:rPr>
              <w:t>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restart"/>
            <w:tcBorders>
              <w:left w:val="single" w:color="000000" w:sz="4" w:space="0"/>
              <w:bottom w:val="nil"/>
            </w:tcBorders>
            <w:vAlign w:val="top"/>
          </w:tcPr>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spacing w:before="58" w:line="287" w:lineRule="auto"/>
              <w:ind w:left="177" w:right="160"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70" w:type="dxa"/>
            <w:vAlign w:val="top"/>
          </w:tcPr>
          <w:p>
            <w:pPr>
              <w:spacing w:before="111" w:line="212" w:lineRule="auto"/>
              <w:ind w:left="522"/>
              <w:rPr>
                <w:rFonts w:ascii="宋体" w:hAnsi="宋体" w:eastAsia="宋体" w:cs="宋体"/>
                <w:sz w:val="18"/>
                <w:szCs w:val="18"/>
              </w:rPr>
            </w:pPr>
            <w:r>
              <w:rPr>
                <w:rFonts w:ascii="宋体" w:hAnsi="宋体" w:eastAsia="宋体" w:cs="宋体"/>
                <w:spacing w:val="-3"/>
                <w:sz w:val="18"/>
                <w:szCs w:val="18"/>
              </w:rPr>
              <w:t>道路工程</w:t>
            </w:r>
          </w:p>
        </w:tc>
        <w:tc>
          <w:tcPr>
            <w:tcW w:w="957" w:type="dxa"/>
            <w:vAlign w:val="top"/>
          </w:tcPr>
          <w:p>
            <w:pPr>
              <w:spacing w:before="124" w:line="237" w:lineRule="exact"/>
              <w:ind w:left="303"/>
              <w:rPr>
                <w:rFonts w:ascii="宋体" w:hAnsi="宋体" w:eastAsia="宋体" w:cs="宋体"/>
                <w:sz w:val="18"/>
                <w:szCs w:val="18"/>
              </w:rPr>
            </w:pPr>
            <w:r>
              <w:rPr>
                <w:rFonts w:ascii="宋体" w:hAnsi="宋体" w:eastAsia="宋体" w:cs="宋体"/>
                <w:spacing w:val="-14"/>
                <w:position w:val="1"/>
                <w:sz w:val="18"/>
                <w:szCs w:val="18"/>
              </w:rPr>
              <w:t>0.67</w:t>
            </w:r>
          </w:p>
        </w:tc>
        <w:tc>
          <w:tcPr>
            <w:tcW w:w="1092" w:type="dxa"/>
            <w:vAlign w:val="top"/>
          </w:tcPr>
          <w:p>
            <w:pPr>
              <w:spacing w:before="124" w:line="237" w:lineRule="exact"/>
              <w:ind w:left="400"/>
              <w:rPr>
                <w:rFonts w:ascii="宋体" w:hAnsi="宋体" w:eastAsia="宋体" w:cs="宋体"/>
                <w:sz w:val="18"/>
                <w:szCs w:val="18"/>
              </w:rPr>
            </w:pPr>
            <w:r>
              <w:rPr>
                <w:rFonts w:ascii="宋体" w:hAnsi="宋体" w:eastAsia="宋体" w:cs="宋体"/>
                <w:spacing w:val="-19"/>
                <w:position w:val="1"/>
                <w:sz w:val="18"/>
                <w:szCs w:val="18"/>
              </w:rPr>
              <w:t>1.16</w:t>
            </w:r>
          </w:p>
        </w:tc>
        <w:tc>
          <w:tcPr>
            <w:tcW w:w="1077" w:type="dxa"/>
            <w:vAlign w:val="top"/>
          </w:tcPr>
          <w:p>
            <w:pPr>
              <w:spacing w:before="124" w:line="237" w:lineRule="exact"/>
              <w:ind w:left="371"/>
              <w:rPr>
                <w:rFonts w:ascii="宋体" w:hAnsi="宋体" w:eastAsia="宋体" w:cs="宋体"/>
                <w:sz w:val="18"/>
                <w:szCs w:val="18"/>
              </w:rPr>
            </w:pPr>
            <w:r>
              <w:rPr>
                <w:rFonts w:ascii="宋体" w:hAnsi="宋体" w:eastAsia="宋体" w:cs="宋体"/>
                <w:spacing w:val="-14"/>
                <w:position w:val="1"/>
                <w:sz w:val="18"/>
                <w:szCs w:val="18"/>
              </w:rPr>
              <w:t>0.42</w:t>
            </w:r>
          </w:p>
        </w:tc>
        <w:tc>
          <w:tcPr>
            <w:tcW w:w="1151" w:type="dxa"/>
            <w:vAlign w:val="top"/>
          </w:tcPr>
          <w:p>
            <w:pPr>
              <w:spacing w:before="124" w:line="237" w:lineRule="exact"/>
              <w:ind w:left="410"/>
              <w:rPr>
                <w:rFonts w:ascii="宋体" w:hAnsi="宋体" w:eastAsia="宋体" w:cs="宋体"/>
                <w:sz w:val="18"/>
                <w:szCs w:val="18"/>
              </w:rPr>
            </w:pPr>
            <w:r>
              <w:rPr>
                <w:rFonts w:ascii="宋体" w:hAnsi="宋体" w:eastAsia="宋体" w:cs="宋体"/>
                <w:spacing w:val="-14"/>
                <w:position w:val="1"/>
                <w:sz w:val="18"/>
                <w:szCs w:val="18"/>
              </w:rPr>
              <w:t>0.64</w:t>
            </w:r>
          </w:p>
        </w:tc>
        <w:tc>
          <w:tcPr>
            <w:tcW w:w="1107" w:type="dxa"/>
            <w:vAlign w:val="top"/>
          </w:tcPr>
          <w:p>
            <w:pPr>
              <w:spacing w:before="124" w:line="237" w:lineRule="exact"/>
              <w:ind w:left="391"/>
              <w:rPr>
                <w:rFonts w:ascii="宋体" w:hAnsi="宋体" w:eastAsia="宋体" w:cs="宋体"/>
                <w:sz w:val="18"/>
                <w:szCs w:val="18"/>
              </w:rPr>
            </w:pPr>
            <w:r>
              <w:rPr>
                <w:rFonts w:ascii="宋体" w:hAnsi="宋体" w:eastAsia="宋体" w:cs="宋体"/>
                <w:spacing w:val="-14"/>
                <w:position w:val="1"/>
                <w:sz w:val="18"/>
                <w:szCs w:val="18"/>
              </w:rPr>
              <w:t>0.13</w:t>
            </w:r>
          </w:p>
        </w:tc>
        <w:tc>
          <w:tcPr>
            <w:tcW w:w="1219" w:type="dxa"/>
            <w:tcBorders>
              <w:right w:val="single" w:color="000000" w:sz="4" w:space="0"/>
            </w:tcBorders>
            <w:vAlign w:val="top"/>
          </w:tcPr>
          <w:p>
            <w:pPr>
              <w:spacing w:before="124" w:line="237" w:lineRule="exact"/>
              <w:ind w:left="441"/>
              <w:rPr>
                <w:rFonts w:ascii="宋体" w:hAnsi="宋体" w:eastAsia="宋体" w:cs="宋体"/>
                <w:sz w:val="18"/>
                <w:szCs w:val="18"/>
              </w:rPr>
            </w:pPr>
            <w:r>
              <w:rPr>
                <w:rFonts w:ascii="宋体" w:hAnsi="宋体" w:eastAsia="宋体" w:cs="宋体"/>
                <w:spacing w:val="-14"/>
                <w:position w:val="1"/>
                <w:sz w:val="18"/>
                <w:szCs w:val="18"/>
              </w:rPr>
              <w:t>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09" w:lineRule="auto"/>
              <w:ind w:left="522"/>
              <w:rPr>
                <w:rFonts w:ascii="宋体" w:hAnsi="宋体" w:eastAsia="宋体" w:cs="宋体"/>
                <w:sz w:val="18"/>
                <w:szCs w:val="18"/>
              </w:rPr>
            </w:pPr>
            <w:r>
              <w:rPr>
                <w:rFonts w:ascii="宋体" w:hAnsi="宋体" w:eastAsia="宋体" w:cs="宋体"/>
                <w:spacing w:val="-3"/>
                <w:sz w:val="18"/>
                <w:szCs w:val="18"/>
              </w:rPr>
              <w:t>桥涵工程</w:t>
            </w:r>
          </w:p>
        </w:tc>
        <w:tc>
          <w:tcPr>
            <w:tcW w:w="957" w:type="dxa"/>
            <w:vAlign w:val="top"/>
          </w:tcPr>
          <w:p>
            <w:pPr>
              <w:spacing w:before="127" w:line="241" w:lineRule="auto"/>
              <w:ind w:left="303"/>
              <w:rPr>
                <w:rFonts w:ascii="宋体" w:hAnsi="宋体" w:eastAsia="宋体" w:cs="宋体"/>
                <w:sz w:val="18"/>
                <w:szCs w:val="18"/>
              </w:rPr>
            </w:pPr>
            <w:r>
              <w:rPr>
                <w:rFonts w:ascii="宋体" w:hAnsi="宋体" w:eastAsia="宋体" w:cs="宋体"/>
                <w:spacing w:val="-14"/>
                <w:sz w:val="18"/>
                <w:szCs w:val="18"/>
              </w:rPr>
              <w:t>0.40</w:t>
            </w:r>
          </w:p>
        </w:tc>
        <w:tc>
          <w:tcPr>
            <w:tcW w:w="1092" w:type="dxa"/>
            <w:vAlign w:val="top"/>
          </w:tcPr>
          <w:p>
            <w:pPr>
              <w:spacing w:before="127" w:line="241" w:lineRule="auto"/>
              <w:ind w:left="400"/>
              <w:rPr>
                <w:rFonts w:ascii="宋体" w:hAnsi="宋体" w:eastAsia="宋体" w:cs="宋体"/>
                <w:sz w:val="18"/>
                <w:szCs w:val="18"/>
              </w:rPr>
            </w:pPr>
            <w:r>
              <w:rPr>
                <w:rFonts w:ascii="宋体" w:hAnsi="宋体" w:eastAsia="宋体" w:cs="宋体"/>
                <w:spacing w:val="-19"/>
                <w:sz w:val="18"/>
                <w:szCs w:val="18"/>
              </w:rPr>
              <w:t>1.62</w:t>
            </w:r>
          </w:p>
        </w:tc>
        <w:tc>
          <w:tcPr>
            <w:tcW w:w="1077" w:type="dxa"/>
            <w:vAlign w:val="top"/>
          </w:tcPr>
          <w:p>
            <w:pPr>
              <w:spacing w:before="127" w:line="241" w:lineRule="auto"/>
              <w:ind w:left="371"/>
              <w:rPr>
                <w:rFonts w:ascii="宋体" w:hAnsi="宋体" w:eastAsia="宋体" w:cs="宋体"/>
                <w:sz w:val="18"/>
                <w:szCs w:val="18"/>
              </w:rPr>
            </w:pPr>
            <w:r>
              <w:rPr>
                <w:rFonts w:ascii="宋体" w:hAnsi="宋体" w:eastAsia="宋体" w:cs="宋体"/>
                <w:spacing w:val="-14"/>
                <w:sz w:val="18"/>
                <w:szCs w:val="18"/>
              </w:rPr>
              <w:t>0.41</w:t>
            </w:r>
          </w:p>
        </w:tc>
        <w:tc>
          <w:tcPr>
            <w:tcW w:w="1151" w:type="dxa"/>
            <w:vAlign w:val="top"/>
          </w:tcPr>
          <w:p>
            <w:pPr>
              <w:spacing w:before="127" w:line="241" w:lineRule="auto"/>
              <w:ind w:left="410"/>
              <w:rPr>
                <w:rFonts w:ascii="宋体" w:hAnsi="宋体" w:eastAsia="宋体" w:cs="宋体"/>
                <w:sz w:val="18"/>
                <w:szCs w:val="18"/>
              </w:rPr>
            </w:pPr>
            <w:r>
              <w:rPr>
                <w:rFonts w:ascii="宋体" w:hAnsi="宋体" w:eastAsia="宋体" w:cs="宋体"/>
                <w:spacing w:val="-14"/>
                <w:sz w:val="18"/>
                <w:szCs w:val="18"/>
              </w:rPr>
              <w:t>0.66</w:t>
            </w:r>
          </w:p>
        </w:tc>
        <w:tc>
          <w:tcPr>
            <w:tcW w:w="1107" w:type="dxa"/>
            <w:vAlign w:val="top"/>
          </w:tcPr>
          <w:p>
            <w:pPr>
              <w:spacing w:before="127" w:line="241" w:lineRule="auto"/>
              <w:ind w:left="391"/>
              <w:rPr>
                <w:rFonts w:ascii="宋体" w:hAnsi="宋体" w:eastAsia="宋体" w:cs="宋体"/>
                <w:sz w:val="18"/>
                <w:szCs w:val="18"/>
              </w:rPr>
            </w:pPr>
            <w:r>
              <w:rPr>
                <w:rFonts w:ascii="宋体" w:hAnsi="宋体" w:eastAsia="宋体" w:cs="宋体"/>
                <w:spacing w:val="-14"/>
                <w:sz w:val="18"/>
                <w:szCs w:val="18"/>
              </w:rPr>
              <w:t>0.09</w:t>
            </w:r>
          </w:p>
        </w:tc>
        <w:tc>
          <w:tcPr>
            <w:tcW w:w="1219" w:type="dxa"/>
            <w:tcBorders>
              <w:right w:val="single" w:color="000000" w:sz="4" w:space="0"/>
            </w:tcBorders>
            <w:vAlign w:val="top"/>
          </w:tcPr>
          <w:p>
            <w:pPr>
              <w:spacing w:before="127" w:line="241" w:lineRule="auto"/>
              <w:ind w:left="441"/>
              <w:rPr>
                <w:rFonts w:ascii="宋体" w:hAnsi="宋体" w:eastAsia="宋体" w:cs="宋体"/>
                <w:sz w:val="18"/>
                <w:szCs w:val="18"/>
              </w:rPr>
            </w:pPr>
            <w:r>
              <w:rPr>
                <w:rFonts w:ascii="宋体" w:hAnsi="宋体" w:eastAsia="宋体" w:cs="宋体"/>
                <w:spacing w:val="-14"/>
                <w:sz w:val="18"/>
                <w:szCs w:val="18"/>
              </w:rPr>
              <w:t>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11" w:lineRule="auto"/>
              <w:ind w:left="541"/>
              <w:rPr>
                <w:rFonts w:ascii="宋体" w:hAnsi="宋体" w:eastAsia="宋体" w:cs="宋体"/>
                <w:sz w:val="18"/>
                <w:szCs w:val="18"/>
              </w:rPr>
            </w:pPr>
            <w:r>
              <w:rPr>
                <w:rFonts w:ascii="宋体" w:hAnsi="宋体" w:eastAsia="宋体" w:cs="宋体"/>
                <w:spacing w:val="-9"/>
                <w:sz w:val="18"/>
                <w:szCs w:val="18"/>
              </w:rPr>
              <w:t>隧道工程</w:t>
            </w:r>
          </w:p>
        </w:tc>
        <w:tc>
          <w:tcPr>
            <w:tcW w:w="957" w:type="dxa"/>
            <w:vAlign w:val="top"/>
          </w:tcPr>
          <w:p>
            <w:pPr>
              <w:spacing w:before="129"/>
              <w:ind w:left="303"/>
              <w:rPr>
                <w:rFonts w:ascii="宋体" w:hAnsi="宋体" w:eastAsia="宋体" w:cs="宋体"/>
                <w:sz w:val="18"/>
                <w:szCs w:val="18"/>
              </w:rPr>
            </w:pPr>
            <w:r>
              <w:rPr>
                <w:rFonts w:ascii="宋体" w:hAnsi="宋体" w:eastAsia="宋体" w:cs="宋体"/>
                <w:spacing w:val="-14"/>
                <w:sz w:val="18"/>
                <w:szCs w:val="18"/>
              </w:rPr>
              <w:t>0.33</w:t>
            </w:r>
          </w:p>
        </w:tc>
        <w:tc>
          <w:tcPr>
            <w:tcW w:w="1092" w:type="dxa"/>
            <w:vAlign w:val="top"/>
          </w:tcPr>
          <w:p>
            <w:pPr>
              <w:spacing w:before="129"/>
              <w:ind w:left="400"/>
              <w:rPr>
                <w:rFonts w:ascii="宋体" w:hAnsi="宋体" w:eastAsia="宋体" w:cs="宋体"/>
                <w:sz w:val="18"/>
                <w:szCs w:val="18"/>
              </w:rPr>
            </w:pPr>
            <w:r>
              <w:rPr>
                <w:rFonts w:ascii="宋体" w:hAnsi="宋体" w:eastAsia="宋体" w:cs="宋体"/>
                <w:spacing w:val="-19"/>
                <w:sz w:val="18"/>
                <w:szCs w:val="18"/>
              </w:rPr>
              <w:t>1.35</w:t>
            </w:r>
          </w:p>
        </w:tc>
        <w:tc>
          <w:tcPr>
            <w:tcW w:w="1077" w:type="dxa"/>
            <w:vAlign w:val="top"/>
          </w:tcPr>
          <w:p>
            <w:pPr>
              <w:spacing w:before="129"/>
              <w:ind w:left="371"/>
              <w:rPr>
                <w:rFonts w:ascii="宋体" w:hAnsi="宋体" w:eastAsia="宋体" w:cs="宋体"/>
                <w:sz w:val="18"/>
                <w:szCs w:val="18"/>
              </w:rPr>
            </w:pPr>
            <w:r>
              <w:rPr>
                <w:rFonts w:ascii="宋体" w:hAnsi="宋体" w:eastAsia="宋体" w:cs="宋体"/>
                <w:spacing w:val="-14"/>
                <w:sz w:val="18"/>
                <w:szCs w:val="18"/>
              </w:rPr>
              <w:t>0.34</w:t>
            </w:r>
          </w:p>
        </w:tc>
        <w:tc>
          <w:tcPr>
            <w:tcW w:w="1151" w:type="dxa"/>
            <w:vAlign w:val="top"/>
          </w:tcPr>
          <w:p>
            <w:pPr>
              <w:spacing w:before="129"/>
              <w:ind w:left="410"/>
              <w:rPr>
                <w:rFonts w:ascii="宋体" w:hAnsi="宋体" w:eastAsia="宋体" w:cs="宋体"/>
                <w:sz w:val="18"/>
                <w:szCs w:val="18"/>
              </w:rPr>
            </w:pPr>
            <w:r>
              <w:rPr>
                <w:rFonts w:ascii="宋体" w:hAnsi="宋体" w:eastAsia="宋体" w:cs="宋体"/>
                <w:spacing w:val="-14"/>
                <w:sz w:val="18"/>
                <w:szCs w:val="18"/>
              </w:rPr>
              <w:t>0.67</w:t>
            </w:r>
          </w:p>
        </w:tc>
        <w:tc>
          <w:tcPr>
            <w:tcW w:w="1107" w:type="dxa"/>
            <w:vAlign w:val="top"/>
          </w:tcPr>
          <w:p>
            <w:pPr>
              <w:spacing w:before="129"/>
              <w:ind w:left="391"/>
              <w:rPr>
                <w:rFonts w:ascii="宋体" w:hAnsi="宋体" w:eastAsia="宋体" w:cs="宋体"/>
                <w:sz w:val="18"/>
                <w:szCs w:val="18"/>
              </w:rPr>
            </w:pPr>
            <w:r>
              <w:rPr>
                <w:rFonts w:ascii="宋体" w:hAnsi="宋体" w:eastAsia="宋体" w:cs="宋体"/>
                <w:spacing w:val="-14"/>
                <w:sz w:val="18"/>
                <w:szCs w:val="18"/>
              </w:rPr>
              <w:t>0.08</w:t>
            </w:r>
          </w:p>
        </w:tc>
        <w:tc>
          <w:tcPr>
            <w:tcW w:w="1219" w:type="dxa"/>
            <w:tcBorders>
              <w:right w:val="single" w:color="000000" w:sz="4" w:space="0"/>
            </w:tcBorders>
            <w:vAlign w:val="top"/>
          </w:tcPr>
          <w:p>
            <w:pPr>
              <w:spacing w:before="129"/>
              <w:ind w:left="441"/>
              <w:rPr>
                <w:rFonts w:ascii="宋体" w:hAnsi="宋体" w:eastAsia="宋体" w:cs="宋体"/>
                <w:sz w:val="18"/>
                <w:szCs w:val="18"/>
              </w:rPr>
            </w:pPr>
            <w:r>
              <w:rPr>
                <w:rFonts w:ascii="宋体" w:hAnsi="宋体" w:eastAsia="宋体" w:cs="宋体"/>
                <w:spacing w:val="-14"/>
                <w:sz w:val="18"/>
                <w:szCs w:val="18"/>
              </w:rPr>
              <w:t>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8" w:line="211" w:lineRule="auto"/>
              <w:ind w:left="527"/>
              <w:rPr>
                <w:rFonts w:ascii="宋体" w:hAnsi="宋体" w:eastAsia="宋体" w:cs="宋体"/>
                <w:sz w:val="18"/>
                <w:szCs w:val="18"/>
              </w:rPr>
            </w:pPr>
            <w:r>
              <w:rPr>
                <w:rFonts w:ascii="宋体" w:hAnsi="宋体" w:eastAsia="宋体" w:cs="宋体"/>
                <w:spacing w:val="-5"/>
                <w:sz w:val="18"/>
                <w:szCs w:val="18"/>
              </w:rPr>
              <w:t>给水工程</w:t>
            </w:r>
          </w:p>
        </w:tc>
        <w:tc>
          <w:tcPr>
            <w:tcW w:w="957" w:type="dxa"/>
            <w:vAlign w:val="top"/>
          </w:tcPr>
          <w:p>
            <w:pPr>
              <w:spacing w:before="129" w:line="238" w:lineRule="auto"/>
              <w:ind w:left="330"/>
              <w:rPr>
                <w:rFonts w:ascii="宋体" w:hAnsi="宋体" w:eastAsia="宋体" w:cs="宋体"/>
                <w:sz w:val="18"/>
                <w:szCs w:val="18"/>
              </w:rPr>
            </w:pPr>
            <w:r>
              <w:rPr>
                <w:rFonts w:ascii="宋体" w:hAnsi="宋体" w:eastAsia="宋体" w:cs="宋体"/>
                <w:spacing w:val="-19"/>
                <w:sz w:val="18"/>
                <w:szCs w:val="18"/>
              </w:rPr>
              <w:t>1.61</w:t>
            </w:r>
          </w:p>
        </w:tc>
        <w:tc>
          <w:tcPr>
            <w:tcW w:w="1092" w:type="dxa"/>
            <w:vAlign w:val="top"/>
          </w:tcPr>
          <w:p>
            <w:pPr>
              <w:spacing w:before="129" w:line="238" w:lineRule="auto"/>
              <w:ind w:left="374"/>
              <w:rPr>
                <w:rFonts w:ascii="宋体" w:hAnsi="宋体" w:eastAsia="宋体" w:cs="宋体"/>
                <w:sz w:val="18"/>
                <w:szCs w:val="18"/>
              </w:rPr>
            </w:pPr>
            <w:r>
              <w:rPr>
                <w:rFonts w:ascii="宋体" w:hAnsi="宋体" w:eastAsia="宋体" w:cs="宋体"/>
                <w:spacing w:val="-15"/>
                <w:sz w:val="18"/>
                <w:szCs w:val="18"/>
              </w:rPr>
              <w:t>2.14</w:t>
            </w:r>
          </w:p>
        </w:tc>
        <w:tc>
          <w:tcPr>
            <w:tcW w:w="1077" w:type="dxa"/>
            <w:vAlign w:val="top"/>
          </w:tcPr>
          <w:p>
            <w:pPr>
              <w:spacing w:before="129" w:line="238" w:lineRule="auto"/>
              <w:ind w:left="396"/>
              <w:rPr>
                <w:rFonts w:ascii="宋体" w:hAnsi="宋体" w:eastAsia="宋体" w:cs="宋体"/>
                <w:sz w:val="18"/>
                <w:szCs w:val="18"/>
              </w:rPr>
            </w:pPr>
            <w:r>
              <w:rPr>
                <w:rFonts w:ascii="宋体" w:hAnsi="宋体" w:eastAsia="宋体" w:cs="宋体"/>
                <w:spacing w:val="-19"/>
                <w:sz w:val="18"/>
                <w:szCs w:val="18"/>
              </w:rPr>
              <w:t>1.63</w:t>
            </w:r>
          </w:p>
        </w:tc>
        <w:tc>
          <w:tcPr>
            <w:tcW w:w="1151" w:type="dxa"/>
            <w:vAlign w:val="top"/>
          </w:tcPr>
          <w:p>
            <w:pPr>
              <w:spacing w:before="129" w:line="238" w:lineRule="auto"/>
              <w:ind w:left="410"/>
              <w:rPr>
                <w:rFonts w:ascii="宋体" w:hAnsi="宋体" w:eastAsia="宋体" w:cs="宋体"/>
                <w:sz w:val="18"/>
                <w:szCs w:val="18"/>
              </w:rPr>
            </w:pPr>
            <w:r>
              <w:rPr>
                <w:rFonts w:ascii="宋体" w:hAnsi="宋体" w:eastAsia="宋体" w:cs="宋体"/>
                <w:spacing w:val="-14"/>
                <w:sz w:val="18"/>
                <w:szCs w:val="18"/>
              </w:rPr>
              <w:t>0.85</w:t>
            </w:r>
          </w:p>
        </w:tc>
        <w:tc>
          <w:tcPr>
            <w:tcW w:w="1107" w:type="dxa"/>
            <w:vAlign w:val="top"/>
          </w:tcPr>
          <w:p>
            <w:pPr>
              <w:spacing w:before="129" w:line="238" w:lineRule="auto"/>
              <w:ind w:left="391"/>
              <w:rPr>
                <w:rFonts w:ascii="宋体" w:hAnsi="宋体" w:eastAsia="宋体" w:cs="宋体"/>
                <w:sz w:val="18"/>
                <w:szCs w:val="18"/>
              </w:rPr>
            </w:pPr>
            <w:r>
              <w:rPr>
                <w:rFonts w:ascii="宋体" w:hAnsi="宋体" w:eastAsia="宋体" w:cs="宋体"/>
                <w:spacing w:val="-14"/>
                <w:sz w:val="18"/>
                <w:szCs w:val="18"/>
              </w:rPr>
              <w:t>0.35</w:t>
            </w:r>
          </w:p>
        </w:tc>
        <w:tc>
          <w:tcPr>
            <w:tcW w:w="1219" w:type="dxa"/>
            <w:tcBorders>
              <w:right w:val="single" w:color="000000" w:sz="4" w:space="0"/>
            </w:tcBorders>
            <w:vAlign w:val="top"/>
          </w:tcPr>
          <w:p>
            <w:pPr>
              <w:spacing w:before="129" w:line="238" w:lineRule="auto"/>
              <w:ind w:left="469"/>
              <w:rPr>
                <w:rFonts w:ascii="宋体" w:hAnsi="宋体" w:eastAsia="宋体" w:cs="宋体"/>
                <w:sz w:val="18"/>
                <w:szCs w:val="18"/>
              </w:rPr>
            </w:pPr>
            <w:r>
              <w:rPr>
                <w:rFonts w:ascii="宋体" w:hAnsi="宋体" w:eastAsia="宋体" w:cs="宋体"/>
                <w:spacing w:val="-19"/>
                <w:sz w:val="18"/>
                <w:szCs w:val="18"/>
              </w:rPr>
              <w:t>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08" w:line="222" w:lineRule="auto"/>
              <w:ind w:left="522"/>
              <w:rPr>
                <w:rFonts w:ascii="宋体" w:hAnsi="宋体" w:eastAsia="宋体" w:cs="宋体"/>
                <w:sz w:val="18"/>
                <w:szCs w:val="18"/>
              </w:rPr>
            </w:pPr>
            <w:r>
              <w:rPr>
                <w:rFonts w:ascii="宋体" w:hAnsi="宋体" w:eastAsia="宋体" w:cs="宋体"/>
                <w:spacing w:val="-3"/>
                <w:sz w:val="18"/>
                <w:szCs w:val="18"/>
              </w:rPr>
              <w:t>排水工程</w:t>
            </w:r>
          </w:p>
        </w:tc>
        <w:tc>
          <w:tcPr>
            <w:tcW w:w="957" w:type="dxa"/>
            <w:vAlign w:val="top"/>
          </w:tcPr>
          <w:p>
            <w:pPr>
              <w:spacing w:before="131" w:line="237" w:lineRule="auto"/>
              <w:ind w:left="303"/>
              <w:rPr>
                <w:rFonts w:ascii="宋体" w:hAnsi="宋体" w:eastAsia="宋体" w:cs="宋体"/>
                <w:sz w:val="18"/>
                <w:szCs w:val="18"/>
              </w:rPr>
            </w:pPr>
            <w:r>
              <w:rPr>
                <w:rFonts w:ascii="宋体" w:hAnsi="宋体" w:eastAsia="宋体" w:cs="宋体"/>
                <w:spacing w:val="-14"/>
                <w:sz w:val="18"/>
                <w:szCs w:val="18"/>
              </w:rPr>
              <w:t>0.44</w:t>
            </w:r>
          </w:p>
        </w:tc>
        <w:tc>
          <w:tcPr>
            <w:tcW w:w="1092" w:type="dxa"/>
            <w:vAlign w:val="top"/>
          </w:tcPr>
          <w:p>
            <w:pPr>
              <w:spacing w:before="131" w:line="237" w:lineRule="auto"/>
              <w:ind w:left="400"/>
              <w:rPr>
                <w:rFonts w:ascii="宋体" w:hAnsi="宋体" w:eastAsia="宋体" w:cs="宋体"/>
                <w:sz w:val="18"/>
                <w:szCs w:val="18"/>
              </w:rPr>
            </w:pPr>
            <w:r>
              <w:rPr>
                <w:rFonts w:ascii="宋体" w:hAnsi="宋体" w:eastAsia="宋体" w:cs="宋体"/>
                <w:spacing w:val="-19"/>
                <w:sz w:val="18"/>
                <w:szCs w:val="18"/>
              </w:rPr>
              <w:t>1.31</w:t>
            </w:r>
          </w:p>
        </w:tc>
        <w:tc>
          <w:tcPr>
            <w:tcW w:w="1077" w:type="dxa"/>
            <w:vAlign w:val="top"/>
          </w:tcPr>
          <w:p>
            <w:pPr>
              <w:spacing w:before="131" w:line="237" w:lineRule="auto"/>
              <w:ind w:left="371"/>
              <w:rPr>
                <w:rFonts w:ascii="宋体" w:hAnsi="宋体" w:eastAsia="宋体" w:cs="宋体"/>
                <w:sz w:val="18"/>
                <w:szCs w:val="18"/>
              </w:rPr>
            </w:pPr>
            <w:r>
              <w:rPr>
                <w:rFonts w:ascii="宋体" w:hAnsi="宋体" w:eastAsia="宋体" w:cs="宋体"/>
                <w:spacing w:val="-14"/>
                <w:sz w:val="18"/>
                <w:szCs w:val="18"/>
              </w:rPr>
              <w:t>0.45</w:t>
            </w:r>
          </w:p>
        </w:tc>
        <w:tc>
          <w:tcPr>
            <w:tcW w:w="1151" w:type="dxa"/>
            <w:vAlign w:val="top"/>
          </w:tcPr>
          <w:p>
            <w:pPr>
              <w:spacing w:before="131" w:line="237" w:lineRule="auto"/>
              <w:ind w:left="410"/>
              <w:rPr>
                <w:rFonts w:ascii="宋体" w:hAnsi="宋体" w:eastAsia="宋体" w:cs="宋体"/>
                <w:sz w:val="18"/>
                <w:szCs w:val="18"/>
              </w:rPr>
            </w:pPr>
            <w:r>
              <w:rPr>
                <w:rFonts w:ascii="宋体" w:hAnsi="宋体" w:eastAsia="宋体" w:cs="宋体"/>
                <w:spacing w:val="-14"/>
                <w:sz w:val="18"/>
                <w:szCs w:val="18"/>
              </w:rPr>
              <w:t>0.52</w:t>
            </w:r>
          </w:p>
        </w:tc>
        <w:tc>
          <w:tcPr>
            <w:tcW w:w="1107" w:type="dxa"/>
            <w:vAlign w:val="top"/>
          </w:tcPr>
          <w:p>
            <w:pPr>
              <w:spacing w:before="131" w:line="237" w:lineRule="auto"/>
              <w:ind w:left="391"/>
              <w:rPr>
                <w:rFonts w:ascii="宋体" w:hAnsi="宋体" w:eastAsia="宋体" w:cs="宋体"/>
                <w:sz w:val="18"/>
                <w:szCs w:val="18"/>
              </w:rPr>
            </w:pPr>
            <w:r>
              <w:rPr>
                <w:rFonts w:ascii="宋体" w:hAnsi="宋体" w:eastAsia="宋体" w:cs="宋体"/>
                <w:spacing w:val="-14"/>
                <w:sz w:val="18"/>
                <w:szCs w:val="18"/>
              </w:rPr>
              <w:t>0.11</w:t>
            </w:r>
          </w:p>
        </w:tc>
        <w:tc>
          <w:tcPr>
            <w:tcW w:w="1219" w:type="dxa"/>
            <w:tcBorders>
              <w:right w:val="single" w:color="000000" w:sz="4" w:space="0"/>
            </w:tcBorders>
            <w:vAlign w:val="top"/>
          </w:tcPr>
          <w:p>
            <w:pPr>
              <w:spacing w:before="131" w:line="237" w:lineRule="auto"/>
              <w:ind w:left="441"/>
              <w:rPr>
                <w:rFonts w:ascii="宋体" w:hAnsi="宋体" w:eastAsia="宋体" w:cs="宋体"/>
                <w:sz w:val="18"/>
                <w:szCs w:val="18"/>
              </w:rPr>
            </w:pPr>
            <w:r>
              <w:rPr>
                <w:rFonts w:ascii="宋体" w:hAnsi="宋体" w:eastAsia="宋体" w:cs="宋体"/>
                <w:spacing w:val="-14"/>
                <w:sz w:val="18"/>
                <w:szCs w:val="18"/>
              </w:rPr>
              <w:t>0.79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1" w:line="214" w:lineRule="auto"/>
              <w:ind w:left="520"/>
              <w:rPr>
                <w:rFonts w:ascii="宋体" w:hAnsi="宋体" w:eastAsia="宋体" w:cs="宋体"/>
                <w:sz w:val="18"/>
                <w:szCs w:val="18"/>
              </w:rPr>
            </w:pPr>
            <w:r>
              <w:rPr>
                <w:rFonts w:ascii="宋体" w:hAnsi="宋体" w:eastAsia="宋体" w:cs="宋体"/>
                <w:spacing w:val="-3"/>
                <w:sz w:val="18"/>
                <w:szCs w:val="18"/>
              </w:rPr>
              <w:t>燃气工程</w:t>
            </w:r>
          </w:p>
        </w:tc>
        <w:tc>
          <w:tcPr>
            <w:tcW w:w="957" w:type="dxa"/>
            <w:vAlign w:val="top"/>
          </w:tcPr>
          <w:p>
            <w:pPr>
              <w:spacing w:before="133" w:line="234" w:lineRule="auto"/>
              <w:ind w:left="330"/>
              <w:rPr>
                <w:rFonts w:ascii="宋体" w:hAnsi="宋体" w:eastAsia="宋体" w:cs="宋体"/>
                <w:sz w:val="18"/>
                <w:szCs w:val="18"/>
              </w:rPr>
            </w:pPr>
            <w:r>
              <w:rPr>
                <w:rFonts w:ascii="宋体" w:hAnsi="宋体" w:eastAsia="宋体" w:cs="宋体"/>
                <w:spacing w:val="-19"/>
                <w:sz w:val="18"/>
                <w:szCs w:val="18"/>
              </w:rPr>
              <w:t>1.12</w:t>
            </w:r>
          </w:p>
        </w:tc>
        <w:tc>
          <w:tcPr>
            <w:tcW w:w="1092" w:type="dxa"/>
            <w:vAlign w:val="top"/>
          </w:tcPr>
          <w:p>
            <w:pPr>
              <w:spacing w:before="133" w:line="234" w:lineRule="auto"/>
              <w:ind w:left="400"/>
              <w:rPr>
                <w:rFonts w:ascii="宋体" w:hAnsi="宋体" w:eastAsia="宋体" w:cs="宋体"/>
                <w:sz w:val="18"/>
                <w:szCs w:val="18"/>
              </w:rPr>
            </w:pPr>
            <w:r>
              <w:rPr>
                <w:rFonts w:ascii="宋体" w:hAnsi="宋体" w:eastAsia="宋体" w:cs="宋体"/>
                <w:spacing w:val="-19"/>
                <w:sz w:val="18"/>
                <w:szCs w:val="18"/>
              </w:rPr>
              <w:t>1.39</w:t>
            </w:r>
          </w:p>
        </w:tc>
        <w:tc>
          <w:tcPr>
            <w:tcW w:w="1077" w:type="dxa"/>
            <w:vAlign w:val="top"/>
          </w:tcPr>
          <w:p>
            <w:pPr>
              <w:spacing w:before="133" w:line="234" w:lineRule="auto"/>
              <w:ind w:left="396"/>
              <w:rPr>
                <w:rFonts w:ascii="宋体" w:hAnsi="宋体" w:eastAsia="宋体" w:cs="宋体"/>
                <w:sz w:val="18"/>
                <w:szCs w:val="18"/>
              </w:rPr>
            </w:pPr>
            <w:r>
              <w:rPr>
                <w:rFonts w:ascii="宋体" w:hAnsi="宋体" w:eastAsia="宋体" w:cs="宋体"/>
                <w:spacing w:val="-19"/>
                <w:sz w:val="18"/>
                <w:szCs w:val="18"/>
              </w:rPr>
              <w:t>1.13</w:t>
            </w:r>
          </w:p>
        </w:tc>
        <w:tc>
          <w:tcPr>
            <w:tcW w:w="1151" w:type="dxa"/>
            <w:vAlign w:val="top"/>
          </w:tcPr>
          <w:p>
            <w:pPr>
              <w:spacing w:before="133" w:line="234" w:lineRule="auto"/>
              <w:ind w:left="410"/>
              <w:rPr>
                <w:rFonts w:ascii="宋体" w:hAnsi="宋体" w:eastAsia="宋体" w:cs="宋体"/>
                <w:sz w:val="18"/>
                <w:szCs w:val="18"/>
              </w:rPr>
            </w:pPr>
            <w:r>
              <w:rPr>
                <w:rFonts w:ascii="宋体" w:hAnsi="宋体" w:eastAsia="宋体" w:cs="宋体"/>
                <w:spacing w:val="-14"/>
                <w:sz w:val="18"/>
                <w:szCs w:val="18"/>
              </w:rPr>
              <w:t>0.71</w:t>
            </w:r>
          </w:p>
        </w:tc>
        <w:tc>
          <w:tcPr>
            <w:tcW w:w="1107" w:type="dxa"/>
            <w:vAlign w:val="top"/>
          </w:tcPr>
          <w:p>
            <w:pPr>
              <w:spacing w:before="133" w:line="234" w:lineRule="auto"/>
              <w:ind w:left="391"/>
              <w:rPr>
                <w:rFonts w:ascii="宋体" w:hAnsi="宋体" w:eastAsia="宋体" w:cs="宋体"/>
                <w:sz w:val="18"/>
                <w:szCs w:val="18"/>
              </w:rPr>
            </w:pPr>
            <w:r>
              <w:rPr>
                <w:rFonts w:ascii="宋体" w:hAnsi="宋体" w:eastAsia="宋体" w:cs="宋体"/>
                <w:spacing w:val="-14"/>
                <w:sz w:val="18"/>
                <w:szCs w:val="18"/>
              </w:rPr>
              <w:t>0.73</w:t>
            </w:r>
          </w:p>
        </w:tc>
        <w:tc>
          <w:tcPr>
            <w:tcW w:w="1219" w:type="dxa"/>
            <w:tcBorders>
              <w:right w:val="single" w:color="000000" w:sz="4" w:space="0"/>
            </w:tcBorders>
            <w:vAlign w:val="top"/>
          </w:tcPr>
          <w:p>
            <w:pPr>
              <w:spacing w:before="133" w:line="234" w:lineRule="auto"/>
              <w:ind w:left="441"/>
              <w:rPr>
                <w:rFonts w:ascii="宋体" w:hAnsi="宋体" w:eastAsia="宋体" w:cs="宋体"/>
                <w:sz w:val="18"/>
                <w:szCs w:val="18"/>
              </w:rPr>
            </w:pPr>
            <w:r>
              <w:rPr>
                <w:rFonts w:ascii="宋体" w:hAnsi="宋体" w:eastAsia="宋体" w:cs="宋体"/>
                <w:spacing w:val="-14"/>
                <w:sz w:val="18"/>
                <w:szCs w:val="18"/>
              </w:rPr>
              <w:t>0.95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40" w:lineRule="exact"/>
              <w:ind w:left="521"/>
              <w:rPr>
                <w:rFonts w:ascii="宋体" w:hAnsi="宋体" w:eastAsia="宋体" w:cs="宋体"/>
                <w:sz w:val="18"/>
                <w:szCs w:val="18"/>
              </w:rPr>
            </w:pPr>
            <w:r>
              <w:rPr>
                <w:rFonts w:ascii="宋体" w:hAnsi="宋体" w:eastAsia="宋体" w:cs="宋体"/>
                <w:spacing w:val="-3"/>
                <w:position w:val="1"/>
                <w:sz w:val="18"/>
                <w:szCs w:val="18"/>
              </w:rPr>
              <w:t>供热工程</w:t>
            </w:r>
          </w:p>
        </w:tc>
        <w:tc>
          <w:tcPr>
            <w:tcW w:w="957" w:type="dxa"/>
            <w:vAlign w:val="top"/>
          </w:tcPr>
          <w:p>
            <w:pPr>
              <w:spacing w:before="135" w:line="233" w:lineRule="auto"/>
              <w:ind w:left="330"/>
              <w:rPr>
                <w:rFonts w:ascii="宋体" w:hAnsi="宋体" w:eastAsia="宋体" w:cs="宋体"/>
                <w:sz w:val="18"/>
                <w:szCs w:val="18"/>
              </w:rPr>
            </w:pPr>
            <w:r>
              <w:rPr>
                <w:rFonts w:ascii="宋体" w:hAnsi="宋体" w:eastAsia="宋体" w:cs="宋体"/>
                <w:spacing w:val="-19"/>
                <w:sz w:val="18"/>
                <w:szCs w:val="18"/>
              </w:rPr>
              <w:t>1.03</w:t>
            </w:r>
          </w:p>
        </w:tc>
        <w:tc>
          <w:tcPr>
            <w:tcW w:w="1092" w:type="dxa"/>
            <w:vAlign w:val="top"/>
          </w:tcPr>
          <w:p>
            <w:pPr>
              <w:spacing w:before="135" w:line="233" w:lineRule="auto"/>
              <w:ind w:left="400"/>
              <w:rPr>
                <w:rFonts w:ascii="宋体" w:hAnsi="宋体" w:eastAsia="宋体" w:cs="宋体"/>
                <w:sz w:val="18"/>
                <w:szCs w:val="18"/>
              </w:rPr>
            </w:pPr>
            <w:r>
              <w:rPr>
                <w:rFonts w:ascii="宋体" w:hAnsi="宋体" w:eastAsia="宋体" w:cs="宋体"/>
                <w:spacing w:val="-19"/>
                <w:sz w:val="18"/>
                <w:szCs w:val="18"/>
              </w:rPr>
              <w:t>1.35</w:t>
            </w:r>
          </w:p>
        </w:tc>
        <w:tc>
          <w:tcPr>
            <w:tcW w:w="1077" w:type="dxa"/>
            <w:vAlign w:val="top"/>
          </w:tcPr>
          <w:p>
            <w:pPr>
              <w:spacing w:before="135" w:line="233" w:lineRule="auto"/>
              <w:ind w:left="396"/>
              <w:rPr>
                <w:rFonts w:ascii="宋体" w:hAnsi="宋体" w:eastAsia="宋体" w:cs="宋体"/>
                <w:sz w:val="18"/>
                <w:szCs w:val="18"/>
              </w:rPr>
            </w:pPr>
            <w:r>
              <w:rPr>
                <w:rFonts w:ascii="宋体" w:hAnsi="宋体" w:eastAsia="宋体" w:cs="宋体"/>
                <w:spacing w:val="-19"/>
                <w:sz w:val="18"/>
                <w:szCs w:val="18"/>
              </w:rPr>
              <w:t>1.03</w:t>
            </w:r>
          </w:p>
        </w:tc>
        <w:tc>
          <w:tcPr>
            <w:tcW w:w="1151" w:type="dxa"/>
            <w:vAlign w:val="top"/>
          </w:tcPr>
          <w:p>
            <w:pPr>
              <w:spacing w:before="135" w:line="233" w:lineRule="auto"/>
              <w:ind w:left="410"/>
              <w:rPr>
                <w:rFonts w:ascii="宋体" w:hAnsi="宋体" w:eastAsia="宋体" w:cs="宋体"/>
                <w:sz w:val="18"/>
                <w:szCs w:val="18"/>
              </w:rPr>
            </w:pPr>
            <w:r>
              <w:rPr>
                <w:rFonts w:ascii="宋体" w:hAnsi="宋体" w:eastAsia="宋体" w:cs="宋体"/>
                <w:spacing w:val="-14"/>
                <w:sz w:val="18"/>
                <w:szCs w:val="18"/>
              </w:rPr>
              <w:t>0.55</w:t>
            </w:r>
          </w:p>
        </w:tc>
        <w:tc>
          <w:tcPr>
            <w:tcW w:w="1107" w:type="dxa"/>
            <w:vAlign w:val="top"/>
          </w:tcPr>
          <w:p>
            <w:pPr>
              <w:spacing w:before="135" w:line="233" w:lineRule="auto"/>
              <w:ind w:left="391"/>
              <w:rPr>
                <w:rFonts w:ascii="宋体" w:hAnsi="宋体" w:eastAsia="宋体" w:cs="宋体"/>
                <w:sz w:val="18"/>
                <w:szCs w:val="18"/>
              </w:rPr>
            </w:pPr>
            <w:r>
              <w:rPr>
                <w:rFonts w:ascii="宋体" w:hAnsi="宋体" w:eastAsia="宋体" w:cs="宋体"/>
                <w:spacing w:val="-14"/>
                <w:sz w:val="18"/>
                <w:szCs w:val="18"/>
              </w:rPr>
              <w:t>0.54</w:t>
            </w:r>
          </w:p>
        </w:tc>
        <w:tc>
          <w:tcPr>
            <w:tcW w:w="1219" w:type="dxa"/>
            <w:tcBorders>
              <w:right w:val="single" w:color="000000" w:sz="4" w:space="0"/>
            </w:tcBorders>
            <w:vAlign w:val="top"/>
          </w:tcPr>
          <w:p>
            <w:pPr>
              <w:spacing w:before="135" w:line="233" w:lineRule="auto"/>
              <w:ind w:left="441"/>
              <w:rPr>
                <w:rFonts w:ascii="宋体" w:hAnsi="宋体" w:eastAsia="宋体" w:cs="宋体"/>
                <w:sz w:val="18"/>
                <w:szCs w:val="18"/>
              </w:rPr>
            </w:pPr>
            <w:r>
              <w:rPr>
                <w:rFonts w:ascii="宋体" w:hAnsi="宋体" w:eastAsia="宋体" w:cs="宋体"/>
                <w:spacing w:val="-14"/>
                <w:sz w:val="18"/>
                <w:szCs w:val="18"/>
              </w:rPr>
              <w:t>0.82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4" w:line="210" w:lineRule="auto"/>
              <w:ind w:left="435"/>
              <w:rPr>
                <w:rFonts w:ascii="宋体" w:hAnsi="宋体" w:eastAsia="宋体" w:cs="宋体"/>
                <w:sz w:val="18"/>
                <w:szCs w:val="18"/>
              </w:rPr>
            </w:pPr>
            <w:r>
              <w:rPr>
                <w:rFonts w:ascii="宋体" w:hAnsi="宋体" w:eastAsia="宋体" w:cs="宋体"/>
                <w:spacing w:val="-3"/>
                <w:sz w:val="18"/>
                <w:szCs w:val="18"/>
              </w:rPr>
              <w:t>水处理工程</w:t>
            </w:r>
          </w:p>
        </w:tc>
        <w:tc>
          <w:tcPr>
            <w:tcW w:w="957" w:type="dxa"/>
            <w:vAlign w:val="top"/>
          </w:tcPr>
          <w:p>
            <w:pPr>
              <w:spacing w:before="136" w:line="232" w:lineRule="auto"/>
              <w:ind w:left="303"/>
              <w:rPr>
                <w:rFonts w:ascii="宋体" w:hAnsi="宋体" w:eastAsia="宋体" w:cs="宋体"/>
                <w:sz w:val="18"/>
                <w:szCs w:val="18"/>
              </w:rPr>
            </w:pPr>
            <w:r>
              <w:rPr>
                <w:rFonts w:ascii="宋体" w:hAnsi="宋体" w:eastAsia="宋体" w:cs="宋体"/>
                <w:spacing w:val="-14"/>
                <w:sz w:val="18"/>
                <w:szCs w:val="18"/>
              </w:rPr>
              <w:t>0.54</w:t>
            </w:r>
          </w:p>
        </w:tc>
        <w:tc>
          <w:tcPr>
            <w:tcW w:w="1092" w:type="dxa"/>
            <w:vAlign w:val="top"/>
          </w:tcPr>
          <w:p>
            <w:pPr>
              <w:spacing w:before="136" w:line="232" w:lineRule="auto"/>
              <w:ind w:left="373"/>
              <w:rPr>
                <w:rFonts w:ascii="宋体" w:hAnsi="宋体" w:eastAsia="宋体" w:cs="宋体"/>
                <w:sz w:val="18"/>
                <w:szCs w:val="18"/>
              </w:rPr>
            </w:pPr>
            <w:r>
              <w:rPr>
                <w:rFonts w:ascii="宋体" w:hAnsi="宋体" w:eastAsia="宋体" w:cs="宋体"/>
                <w:spacing w:val="-14"/>
                <w:sz w:val="18"/>
                <w:szCs w:val="18"/>
              </w:rPr>
              <w:t>0.95</w:t>
            </w:r>
          </w:p>
        </w:tc>
        <w:tc>
          <w:tcPr>
            <w:tcW w:w="1077" w:type="dxa"/>
            <w:vAlign w:val="top"/>
          </w:tcPr>
          <w:p>
            <w:pPr>
              <w:spacing w:before="136" w:line="232" w:lineRule="auto"/>
              <w:ind w:left="371"/>
              <w:rPr>
                <w:rFonts w:ascii="宋体" w:hAnsi="宋体" w:eastAsia="宋体" w:cs="宋体"/>
                <w:sz w:val="18"/>
                <w:szCs w:val="18"/>
              </w:rPr>
            </w:pPr>
            <w:r>
              <w:rPr>
                <w:rFonts w:ascii="宋体" w:hAnsi="宋体" w:eastAsia="宋体" w:cs="宋体"/>
                <w:spacing w:val="-14"/>
                <w:sz w:val="18"/>
                <w:szCs w:val="18"/>
              </w:rPr>
              <w:t>0.56</w:t>
            </w:r>
          </w:p>
        </w:tc>
        <w:tc>
          <w:tcPr>
            <w:tcW w:w="1151" w:type="dxa"/>
            <w:vAlign w:val="top"/>
          </w:tcPr>
          <w:p>
            <w:pPr>
              <w:spacing w:before="136" w:line="232" w:lineRule="auto"/>
              <w:ind w:left="410"/>
              <w:rPr>
                <w:rFonts w:ascii="宋体" w:hAnsi="宋体" w:eastAsia="宋体" w:cs="宋体"/>
                <w:sz w:val="18"/>
                <w:szCs w:val="18"/>
              </w:rPr>
            </w:pPr>
            <w:r>
              <w:rPr>
                <w:rFonts w:ascii="宋体" w:hAnsi="宋体" w:eastAsia="宋体" w:cs="宋体"/>
                <w:spacing w:val="-14"/>
                <w:sz w:val="18"/>
                <w:szCs w:val="18"/>
              </w:rPr>
              <w:t>0.95</w:t>
            </w:r>
          </w:p>
        </w:tc>
        <w:tc>
          <w:tcPr>
            <w:tcW w:w="1107" w:type="dxa"/>
            <w:vAlign w:val="top"/>
          </w:tcPr>
          <w:p>
            <w:pPr>
              <w:spacing w:before="136" w:line="232" w:lineRule="auto"/>
              <w:ind w:left="391"/>
              <w:rPr>
                <w:rFonts w:ascii="宋体" w:hAnsi="宋体" w:eastAsia="宋体" w:cs="宋体"/>
                <w:sz w:val="18"/>
                <w:szCs w:val="18"/>
              </w:rPr>
            </w:pPr>
            <w:r>
              <w:rPr>
                <w:rFonts w:ascii="宋体" w:hAnsi="宋体" w:eastAsia="宋体" w:cs="宋体"/>
                <w:spacing w:val="-14"/>
                <w:sz w:val="18"/>
                <w:szCs w:val="18"/>
              </w:rPr>
              <w:t>0.12</w:t>
            </w:r>
          </w:p>
        </w:tc>
        <w:tc>
          <w:tcPr>
            <w:tcW w:w="1219" w:type="dxa"/>
            <w:tcBorders>
              <w:right w:val="single" w:color="000000" w:sz="4" w:space="0"/>
            </w:tcBorders>
            <w:vAlign w:val="top"/>
          </w:tcPr>
          <w:p>
            <w:pPr>
              <w:spacing w:before="136" w:line="232" w:lineRule="auto"/>
              <w:ind w:left="441"/>
              <w:rPr>
                <w:rFonts w:ascii="宋体" w:hAnsi="宋体" w:eastAsia="宋体" w:cs="宋体"/>
                <w:sz w:val="18"/>
                <w:szCs w:val="18"/>
              </w:rPr>
            </w:pPr>
            <w:r>
              <w:rPr>
                <w:rFonts w:ascii="宋体" w:hAnsi="宋体" w:eastAsia="宋体" w:cs="宋体"/>
                <w:spacing w:val="-14"/>
                <w:sz w:val="18"/>
                <w:szCs w:val="18"/>
              </w:rPr>
              <w:t>0.31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8" w:line="208" w:lineRule="auto"/>
              <w:ind w:left="166"/>
              <w:rPr>
                <w:rFonts w:ascii="宋体" w:hAnsi="宋体" w:eastAsia="宋体" w:cs="宋体"/>
                <w:sz w:val="18"/>
                <w:szCs w:val="18"/>
              </w:rPr>
            </w:pPr>
            <w:r>
              <w:rPr>
                <w:rFonts w:ascii="宋体" w:hAnsi="宋体" w:eastAsia="宋体" w:cs="宋体"/>
                <w:spacing w:val="-4"/>
                <w:sz w:val="18"/>
                <w:szCs w:val="18"/>
              </w:rPr>
              <w:t>生活垃圾处理工程</w:t>
            </w:r>
          </w:p>
        </w:tc>
        <w:tc>
          <w:tcPr>
            <w:tcW w:w="957" w:type="dxa"/>
            <w:vAlign w:val="top"/>
          </w:tcPr>
          <w:p>
            <w:pPr>
              <w:spacing w:before="137" w:line="230" w:lineRule="auto"/>
              <w:ind w:left="303"/>
              <w:rPr>
                <w:rFonts w:ascii="宋体" w:hAnsi="宋体" w:eastAsia="宋体" w:cs="宋体"/>
                <w:sz w:val="18"/>
                <w:szCs w:val="18"/>
              </w:rPr>
            </w:pPr>
            <w:r>
              <w:rPr>
                <w:rFonts w:ascii="宋体" w:hAnsi="宋体" w:eastAsia="宋体" w:cs="宋体"/>
                <w:spacing w:val="-14"/>
                <w:sz w:val="18"/>
                <w:szCs w:val="18"/>
              </w:rPr>
              <w:t>0.85</w:t>
            </w:r>
          </w:p>
        </w:tc>
        <w:tc>
          <w:tcPr>
            <w:tcW w:w="1092" w:type="dxa"/>
            <w:vAlign w:val="top"/>
          </w:tcPr>
          <w:p>
            <w:pPr>
              <w:spacing w:before="137" w:line="230" w:lineRule="auto"/>
              <w:ind w:left="400"/>
              <w:rPr>
                <w:rFonts w:ascii="宋体" w:hAnsi="宋体" w:eastAsia="宋体" w:cs="宋体"/>
                <w:sz w:val="18"/>
                <w:szCs w:val="18"/>
              </w:rPr>
            </w:pPr>
            <w:r>
              <w:rPr>
                <w:rFonts w:ascii="宋体" w:hAnsi="宋体" w:eastAsia="宋体" w:cs="宋体"/>
                <w:spacing w:val="-19"/>
                <w:sz w:val="18"/>
                <w:szCs w:val="18"/>
              </w:rPr>
              <w:t>1.41</w:t>
            </w:r>
          </w:p>
        </w:tc>
        <w:tc>
          <w:tcPr>
            <w:tcW w:w="1077" w:type="dxa"/>
            <w:vAlign w:val="top"/>
          </w:tcPr>
          <w:p>
            <w:pPr>
              <w:spacing w:before="137" w:line="230" w:lineRule="auto"/>
              <w:ind w:left="371"/>
              <w:rPr>
                <w:rFonts w:ascii="宋体" w:hAnsi="宋体" w:eastAsia="宋体" w:cs="宋体"/>
                <w:sz w:val="18"/>
                <w:szCs w:val="18"/>
              </w:rPr>
            </w:pPr>
            <w:r>
              <w:rPr>
                <w:rFonts w:ascii="宋体" w:hAnsi="宋体" w:eastAsia="宋体" w:cs="宋体"/>
                <w:spacing w:val="-14"/>
                <w:sz w:val="18"/>
                <w:szCs w:val="18"/>
              </w:rPr>
              <w:t>0.87</w:t>
            </w:r>
          </w:p>
        </w:tc>
        <w:tc>
          <w:tcPr>
            <w:tcW w:w="1151" w:type="dxa"/>
            <w:vAlign w:val="top"/>
          </w:tcPr>
          <w:p>
            <w:pPr>
              <w:spacing w:before="137" w:line="230" w:lineRule="auto"/>
              <w:ind w:left="410"/>
              <w:rPr>
                <w:rFonts w:ascii="宋体" w:hAnsi="宋体" w:eastAsia="宋体" w:cs="宋体"/>
                <w:sz w:val="18"/>
                <w:szCs w:val="18"/>
              </w:rPr>
            </w:pPr>
            <w:r>
              <w:rPr>
                <w:rFonts w:ascii="宋体" w:hAnsi="宋体" w:eastAsia="宋体" w:cs="宋体"/>
                <w:spacing w:val="-14"/>
                <w:sz w:val="18"/>
                <w:szCs w:val="18"/>
              </w:rPr>
              <w:t>0.61</w:t>
            </w:r>
          </w:p>
        </w:tc>
        <w:tc>
          <w:tcPr>
            <w:tcW w:w="1107" w:type="dxa"/>
            <w:vAlign w:val="top"/>
          </w:tcPr>
          <w:p>
            <w:pPr>
              <w:spacing w:before="137" w:line="230" w:lineRule="auto"/>
              <w:ind w:left="391"/>
              <w:rPr>
                <w:rFonts w:ascii="宋体" w:hAnsi="宋体" w:eastAsia="宋体" w:cs="宋体"/>
                <w:sz w:val="18"/>
                <w:szCs w:val="18"/>
              </w:rPr>
            </w:pPr>
            <w:r>
              <w:rPr>
                <w:rFonts w:ascii="宋体" w:hAnsi="宋体" w:eastAsia="宋体" w:cs="宋体"/>
                <w:spacing w:val="-14"/>
                <w:sz w:val="18"/>
                <w:szCs w:val="18"/>
              </w:rPr>
              <w:t>0.20</w:t>
            </w:r>
          </w:p>
        </w:tc>
        <w:tc>
          <w:tcPr>
            <w:tcW w:w="1219" w:type="dxa"/>
            <w:tcBorders>
              <w:right w:val="single" w:color="000000" w:sz="4" w:space="0"/>
            </w:tcBorders>
            <w:vAlign w:val="top"/>
          </w:tcPr>
          <w:p>
            <w:pPr>
              <w:spacing w:before="137" w:line="230" w:lineRule="auto"/>
              <w:ind w:left="441"/>
              <w:rPr>
                <w:rFonts w:ascii="宋体" w:hAnsi="宋体" w:eastAsia="宋体" w:cs="宋体"/>
                <w:sz w:val="18"/>
                <w:szCs w:val="18"/>
              </w:rPr>
            </w:pPr>
            <w:r>
              <w:rPr>
                <w:rFonts w:ascii="宋体" w:hAnsi="宋体" w:eastAsia="宋体" w:cs="宋体"/>
                <w:spacing w:val="-14"/>
                <w:sz w:val="18"/>
                <w:szCs w:val="18"/>
              </w:rPr>
              <w:t>0.85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6" w:line="211" w:lineRule="auto"/>
              <w:ind w:left="525"/>
              <w:rPr>
                <w:rFonts w:ascii="宋体" w:hAnsi="宋体" w:eastAsia="宋体" w:cs="宋体"/>
                <w:sz w:val="18"/>
                <w:szCs w:val="18"/>
              </w:rPr>
            </w:pPr>
            <w:r>
              <w:rPr>
                <w:rFonts w:ascii="宋体" w:hAnsi="宋体" w:eastAsia="宋体" w:cs="宋体"/>
                <w:spacing w:val="-5"/>
                <w:sz w:val="18"/>
                <w:szCs w:val="18"/>
              </w:rPr>
              <w:t>路灯工程</w:t>
            </w:r>
          </w:p>
        </w:tc>
        <w:tc>
          <w:tcPr>
            <w:tcW w:w="957" w:type="dxa"/>
            <w:vAlign w:val="top"/>
          </w:tcPr>
          <w:p>
            <w:pPr>
              <w:spacing w:before="137" w:line="230" w:lineRule="auto"/>
              <w:ind w:left="303"/>
              <w:rPr>
                <w:rFonts w:ascii="宋体" w:hAnsi="宋体" w:eastAsia="宋体" w:cs="宋体"/>
                <w:sz w:val="18"/>
                <w:szCs w:val="18"/>
              </w:rPr>
            </w:pPr>
            <w:r>
              <w:rPr>
                <w:rFonts w:ascii="宋体" w:hAnsi="宋体" w:eastAsia="宋体" w:cs="宋体"/>
                <w:spacing w:val="-14"/>
                <w:sz w:val="18"/>
                <w:szCs w:val="18"/>
              </w:rPr>
              <w:t>0.60</w:t>
            </w:r>
          </w:p>
        </w:tc>
        <w:tc>
          <w:tcPr>
            <w:tcW w:w="1092" w:type="dxa"/>
            <w:vAlign w:val="top"/>
          </w:tcPr>
          <w:p>
            <w:pPr>
              <w:spacing w:before="137" w:line="230" w:lineRule="auto"/>
              <w:ind w:left="373"/>
              <w:rPr>
                <w:rFonts w:ascii="宋体" w:hAnsi="宋体" w:eastAsia="宋体" w:cs="宋体"/>
                <w:sz w:val="18"/>
                <w:szCs w:val="18"/>
              </w:rPr>
            </w:pPr>
            <w:r>
              <w:rPr>
                <w:rFonts w:ascii="宋体" w:hAnsi="宋体" w:eastAsia="宋体" w:cs="宋体"/>
                <w:spacing w:val="-14"/>
                <w:sz w:val="18"/>
                <w:szCs w:val="18"/>
              </w:rPr>
              <w:t>0.86</w:t>
            </w:r>
          </w:p>
        </w:tc>
        <w:tc>
          <w:tcPr>
            <w:tcW w:w="1077" w:type="dxa"/>
            <w:vAlign w:val="top"/>
          </w:tcPr>
          <w:p>
            <w:pPr>
              <w:spacing w:before="137" w:line="230" w:lineRule="auto"/>
              <w:ind w:left="371"/>
              <w:rPr>
                <w:rFonts w:ascii="宋体" w:hAnsi="宋体" w:eastAsia="宋体" w:cs="宋体"/>
                <w:sz w:val="18"/>
                <w:szCs w:val="18"/>
              </w:rPr>
            </w:pPr>
            <w:r>
              <w:rPr>
                <w:rFonts w:ascii="宋体" w:hAnsi="宋体" w:eastAsia="宋体" w:cs="宋体"/>
                <w:spacing w:val="-14"/>
                <w:sz w:val="18"/>
                <w:szCs w:val="18"/>
              </w:rPr>
              <w:t>0.85</w:t>
            </w:r>
          </w:p>
        </w:tc>
        <w:tc>
          <w:tcPr>
            <w:tcW w:w="1151" w:type="dxa"/>
            <w:vAlign w:val="top"/>
          </w:tcPr>
          <w:p>
            <w:pPr>
              <w:spacing w:before="137" w:line="230" w:lineRule="auto"/>
              <w:ind w:left="410"/>
              <w:rPr>
                <w:rFonts w:ascii="宋体" w:hAnsi="宋体" w:eastAsia="宋体" w:cs="宋体"/>
                <w:sz w:val="18"/>
                <w:szCs w:val="18"/>
              </w:rPr>
            </w:pPr>
            <w:r>
              <w:rPr>
                <w:rFonts w:ascii="宋体" w:hAnsi="宋体" w:eastAsia="宋体" w:cs="宋体"/>
                <w:spacing w:val="-14"/>
                <w:sz w:val="18"/>
                <w:szCs w:val="18"/>
              </w:rPr>
              <w:t>0.78</w:t>
            </w:r>
          </w:p>
        </w:tc>
        <w:tc>
          <w:tcPr>
            <w:tcW w:w="1107" w:type="dxa"/>
            <w:vAlign w:val="top"/>
          </w:tcPr>
          <w:p>
            <w:pPr>
              <w:spacing w:before="137" w:line="230" w:lineRule="auto"/>
              <w:ind w:left="391"/>
              <w:rPr>
                <w:rFonts w:ascii="宋体" w:hAnsi="宋体" w:eastAsia="宋体" w:cs="宋体"/>
                <w:sz w:val="18"/>
                <w:szCs w:val="18"/>
              </w:rPr>
            </w:pPr>
            <w:r>
              <w:rPr>
                <w:rFonts w:ascii="宋体" w:hAnsi="宋体" w:eastAsia="宋体" w:cs="宋体"/>
                <w:spacing w:val="-14"/>
                <w:sz w:val="18"/>
                <w:szCs w:val="18"/>
              </w:rPr>
              <w:t>0.11</w:t>
            </w:r>
          </w:p>
        </w:tc>
        <w:tc>
          <w:tcPr>
            <w:tcW w:w="1219" w:type="dxa"/>
            <w:tcBorders>
              <w:right w:val="single" w:color="000000" w:sz="4" w:space="0"/>
            </w:tcBorders>
            <w:vAlign w:val="top"/>
          </w:tcPr>
          <w:p>
            <w:pPr>
              <w:spacing w:before="137" w:line="230" w:lineRule="auto"/>
              <w:ind w:left="441"/>
              <w:rPr>
                <w:rFonts w:ascii="宋体" w:hAnsi="宋体" w:eastAsia="宋体" w:cs="宋体"/>
                <w:sz w:val="18"/>
                <w:szCs w:val="18"/>
              </w:rPr>
            </w:pPr>
            <w:r>
              <w:rPr>
                <w:rFonts w:ascii="宋体" w:hAnsi="宋体" w:eastAsia="宋体" w:cs="宋体"/>
                <w:spacing w:val="-14"/>
                <w:sz w:val="18"/>
                <w:szCs w:val="18"/>
              </w:rPr>
              <w:t>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6" w:type="dxa"/>
            <w:vMerge w:val="continue"/>
            <w:tcBorders>
              <w:top w:val="nil"/>
              <w:left w:val="single" w:color="000000" w:sz="4" w:space="0"/>
            </w:tcBorders>
            <w:vAlign w:val="top"/>
          </w:tcPr>
          <w:p>
            <w:pPr>
              <w:pStyle w:val="6"/>
            </w:pPr>
          </w:p>
        </w:tc>
        <w:tc>
          <w:tcPr>
            <w:tcW w:w="1770" w:type="dxa"/>
            <w:vAlign w:val="top"/>
          </w:tcPr>
          <w:p>
            <w:pPr>
              <w:spacing w:before="55" w:line="234" w:lineRule="auto"/>
              <w:ind w:left="525" w:right="346" w:hanging="183"/>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957" w:type="dxa"/>
            <w:vAlign w:val="top"/>
          </w:tcPr>
          <w:p>
            <w:pPr>
              <w:spacing w:before="190" w:line="260" w:lineRule="exact"/>
              <w:ind w:left="303"/>
              <w:rPr>
                <w:rFonts w:ascii="宋体" w:hAnsi="宋体" w:eastAsia="宋体" w:cs="宋体"/>
                <w:sz w:val="18"/>
                <w:szCs w:val="18"/>
              </w:rPr>
            </w:pPr>
            <w:r>
              <w:rPr>
                <w:rFonts w:ascii="宋体" w:hAnsi="宋体" w:eastAsia="宋体" w:cs="宋体"/>
                <w:spacing w:val="-14"/>
                <w:position w:val="2"/>
                <w:sz w:val="18"/>
                <w:szCs w:val="18"/>
              </w:rPr>
              <w:t>0.30</w:t>
            </w:r>
          </w:p>
        </w:tc>
        <w:tc>
          <w:tcPr>
            <w:tcW w:w="1092" w:type="dxa"/>
            <w:vAlign w:val="top"/>
          </w:tcPr>
          <w:p>
            <w:pPr>
              <w:spacing w:before="190" w:line="260" w:lineRule="exact"/>
              <w:ind w:left="374"/>
              <w:rPr>
                <w:rFonts w:ascii="宋体" w:hAnsi="宋体" w:eastAsia="宋体" w:cs="宋体"/>
                <w:sz w:val="18"/>
                <w:szCs w:val="18"/>
              </w:rPr>
            </w:pPr>
            <w:r>
              <w:rPr>
                <w:rFonts w:ascii="宋体" w:hAnsi="宋体" w:eastAsia="宋体" w:cs="宋体"/>
                <w:spacing w:val="-15"/>
                <w:position w:val="1"/>
                <w:sz w:val="18"/>
                <w:szCs w:val="18"/>
              </w:rPr>
              <w:t>2.18</w:t>
            </w:r>
          </w:p>
        </w:tc>
        <w:tc>
          <w:tcPr>
            <w:tcW w:w="1077" w:type="dxa"/>
            <w:vAlign w:val="top"/>
          </w:tcPr>
          <w:p>
            <w:pPr>
              <w:spacing w:before="190" w:line="260" w:lineRule="exact"/>
              <w:ind w:left="371"/>
              <w:rPr>
                <w:rFonts w:ascii="宋体" w:hAnsi="宋体" w:eastAsia="宋体" w:cs="宋体"/>
                <w:sz w:val="18"/>
                <w:szCs w:val="18"/>
              </w:rPr>
            </w:pPr>
            <w:r>
              <w:rPr>
                <w:rFonts w:ascii="宋体" w:hAnsi="宋体" w:eastAsia="宋体" w:cs="宋体"/>
                <w:spacing w:val="-14"/>
                <w:position w:val="2"/>
                <w:sz w:val="18"/>
                <w:szCs w:val="18"/>
              </w:rPr>
              <w:t>0.30</w:t>
            </w:r>
          </w:p>
        </w:tc>
        <w:tc>
          <w:tcPr>
            <w:tcW w:w="1151" w:type="dxa"/>
            <w:vAlign w:val="top"/>
          </w:tcPr>
          <w:p>
            <w:pPr>
              <w:spacing w:before="190" w:line="260" w:lineRule="exact"/>
              <w:ind w:left="410"/>
              <w:rPr>
                <w:rFonts w:ascii="宋体" w:hAnsi="宋体" w:eastAsia="宋体" w:cs="宋体"/>
                <w:sz w:val="18"/>
                <w:szCs w:val="18"/>
              </w:rPr>
            </w:pPr>
            <w:r>
              <w:rPr>
                <w:rFonts w:ascii="宋体" w:hAnsi="宋体" w:eastAsia="宋体" w:cs="宋体"/>
                <w:spacing w:val="-14"/>
                <w:position w:val="2"/>
                <w:sz w:val="18"/>
                <w:szCs w:val="18"/>
              </w:rPr>
              <w:t>0.55</w:t>
            </w:r>
          </w:p>
        </w:tc>
        <w:tc>
          <w:tcPr>
            <w:tcW w:w="1107" w:type="dxa"/>
            <w:vAlign w:val="top"/>
          </w:tcPr>
          <w:p>
            <w:pPr>
              <w:spacing w:before="190" w:line="260" w:lineRule="exact"/>
              <w:ind w:left="391"/>
              <w:rPr>
                <w:rFonts w:ascii="宋体" w:hAnsi="宋体" w:eastAsia="宋体" w:cs="宋体"/>
                <w:sz w:val="18"/>
                <w:szCs w:val="18"/>
              </w:rPr>
            </w:pPr>
            <w:r>
              <w:rPr>
                <w:rFonts w:ascii="宋体" w:hAnsi="宋体" w:eastAsia="宋体" w:cs="宋体"/>
                <w:spacing w:val="-14"/>
                <w:position w:val="1"/>
                <w:sz w:val="18"/>
                <w:szCs w:val="18"/>
              </w:rPr>
              <w:t>0.10</w:t>
            </w:r>
          </w:p>
        </w:tc>
        <w:tc>
          <w:tcPr>
            <w:tcW w:w="1219" w:type="dxa"/>
            <w:tcBorders>
              <w:right w:val="single" w:color="000000" w:sz="4" w:space="0"/>
            </w:tcBorders>
            <w:vAlign w:val="top"/>
          </w:tcPr>
          <w:p>
            <w:pPr>
              <w:spacing w:before="190" w:line="260" w:lineRule="exact"/>
              <w:ind w:left="441"/>
              <w:rPr>
                <w:rFonts w:ascii="宋体" w:hAnsi="宋体" w:eastAsia="宋体" w:cs="宋体"/>
                <w:sz w:val="18"/>
                <w:szCs w:val="18"/>
              </w:rPr>
            </w:pPr>
            <w:r>
              <w:rPr>
                <w:rFonts w:ascii="宋体" w:hAnsi="宋体" w:eastAsia="宋体" w:cs="宋体"/>
                <w:spacing w:val="-14"/>
                <w:position w:val="2"/>
                <w:sz w:val="18"/>
                <w:szCs w:val="18"/>
              </w:rPr>
              <w:t>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1" w:hRule="atLeast"/>
        </w:trPr>
        <w:tc>
          <w:tcPr>
            <w:tcW w:w="706" w:type="dxa"/>
            <w:vMerge w:val="restart"/>
            <w:tcBorders>
              <w:left w:val="single" w:color="000000" w:sz="4" w:space="0"/>
              <w:bottom w:val="nil"/>
            </w:tcBorders>
            <w:vAlign w:val="top"/>
          </w:tcPr>
          <w:p>
            <w:pPr>
              <w:spacing w:before="66" w:line="210" w:lineRule="auto"/>
              <w:ind w:left="180"/>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4"/>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7"/>
              <w:rPr>
                <w:rFonts w:ascii="宋体" w:hAnsi="宋体" w:eastAsia="宋体" w:cs="宋体"/>
                <w:sz w:val="18"/>
                <w:szCs w:val="18"/>
              </w:rPr>
            </w:pPr>
            <w:r>
              <w:rPr>
                <w:rFonts w:ascii="宋体" w:hAnsi="宋体" w:eastAsia="宋体" w:cs="宋体"/>
                <w:spacing w:val="-3"/>
                <w:sz w:val="18"/>
                <w:szCs w:val="18"/>
              </w:rPr>
              <w:t>维修</w:t>
            </w:r>
          </w:p>
          <w:p>
            <w:pPr>
              <w:spacing w:before="61" w:line="202" w:lineRule="auto"/>
              <w:ind w:left="177"/>
              <w:rPr>
                <w:rFonts w:ascii="宋体" w:hAnsi="宋体" w:eastAsia="宋体" w:cs="宋体"/>
                <w:sz w:val="18"/>
                <w:szCs w:val="18"/>
              </w:rPr>
            </w:pPr>
            <w:r>
              <w:rPr>
                <w:rFonts w:ascii="宋体" w:hAnsi="宋体" w:eastAsia="宋体" w:cs="宋体"/>
                <w:spacing w:val="-3"/>
                <w:sz w:val="18"/>
                <w:szCs w:val="18"/>
              </w:rPr>
              <w:t>工程</w:t>
            </w:r>
          </w:p>
        </w:tc>
        <w:tc>
          <w:tcPr>
            <w:tcW w:w="1770" w:type="dxa"/>
            <w:vAlign w:val="top"/>
          </w:tcPr>
          <w:p>
            <w:pPr>
              <w:spacing w:before="58" w:line="232" w:lineRule="auto"/>
              <w:ind w:left="104" w:right="90"/>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957" w:type="dxa"/>
            <w:vAlign w:val="top"/>
          </w:tcPr>
          <w:p>
            <w:pPr>
              <w:spacing w:before="191" w:line="260" w:lineRule="exact"/>
              <w:ind w:left="330"/>
              <w:rPr>
                <w:rFonts w:ascii="宋体" w:hAnsi="宋体" w:eastAsia="宋体" w:cs="宋体"/>
                <w:sz w:val="18"/>
                <w:szCs w:val="18"/>
              </w:rPr>
            </w:pPr>
            <w:r>
              <w:rPr>
                <w:rFonts w:ascii="宋体" w:hAnsi="宋体" w:eastAsia="宋体" w:cs="宋体"/>
                <w:spacing w:val="-19"/>
                <w:position w:val="1"/>
                <w:sz w:val="18"/>
                <w:szCs w:val="18"/>
              </w:rPr>
              <w:t>1.31</w:t>
            </w:r>
          </w:p>
        </w:tc>
        <w:tc>
          <w:tcPr>
            <w:tcW w:w="1092" w:type="dxa"/>
            <w:vAlign w:val="top"/>
          </w:tcPr>
          <w:p>
            <w:pPr>
              <w:spacing w:before="191" w:line="260" w:lineRule="exact"/>
              <w:ind w:left="400"/>
              <w:rPr>
                <w:rFonts w:ascii="宋体" w:hAnsi="宋体" w:eastAsia="宋体" w:cs="宋体"/>
                <w:sz w:val="18"/>
                <w:szCs w:val="18"/>
              </w:rPr>
            </w:pPr>
            <w:r>
              <w:rPr>
                <w:rFonts w:ascii="宋体" w:hAnsi="宋体" w:eastAsia="宋体" w:cs="宋体"/>
                <w:spacing w:val="-19"/>
                <w:position w:val="1"/>
                <w:sz w:val="18"/>
                <w:szCs w:val="18"/>
              </w:rPr>
              <w:t>1.65</w:t>
            </w:r>
          </w:p>
        </w:tc>
        <w:tc>
          <w:tcPr>
            <w:tcW w:w="1077" w:type="dxa"/>
            <w:vAlign w:val="top"/>
          </w:tcPr>
          <w:p>
            <w:pPr>
              <w:spacing w:before="191" w:line="260" w:lineRule="exact"/>
              <w:ind w:left="396"/>
              <w:rPr>
                <w:rFonts w:ascii="宋体" w:hAnsi="宋体" w:eastAsia="宋体" w:cs="宋体"/>
                <w:sz w:val="18"/>
                <w:szCs w:val="18"/>
              </w:rPr>
            </w:pPr>
            <w:r>
              <w:rPr>
                <w:rFonts w:ascii="宋体" w:hAnsi="宋体" w:eastAsia="宋体" w:cs="宋体"/>
                <w:spacing w:val="-19"/>
                <w:position w:val="1"/>
                <w:sz w:val="18"/>
                <w:szCs w:val="18"/>
              </w:rPr>
              <w:t>1.02</w:t>
            </w:r>
          </w:p>
        </w:tc>
        <w:tc>
          <w:tcPr>
            <w:tcW w:w="1151" w:type="dxa"/>
            <w:vAlign w:val="top"/>
          </w:tcPr>
          <w:p>
            <w:pPr>
              <w:spacing w:before="191" w:line="260" w:lineRule="exact"/>
              <w:ind w:left="410"/>
              <w:rPr>
                <w:rFonts w:ascii="宋体" w:hAnsi="宋体" w:eastAsia="宋体" w:cs="宋体"/>
                <w:sz w:val="18"/>
                <w:szCs w:val="18"/>
              </w:rPr>
            </w:pPr>
            <w:r>
              <w:rPr>
                <w:rFonts w:ascii="宋体" w:hAnsi="宋体" w:eastAsia="宋体" w:cs="宋体"/>
                <w:spacing w:val="-14"/>
                <w:position w:val="2"/>
                <w:sz w:val="18"/>
                <w:szCs w:val="18"/>
              </w:rPr>
              <w:t>0.49</w:t>
            </w:r>
          </w:p>
        </w:tc>
        <w:tc>
          <w:tcPr>
            <w:tcW w:w="1107" w:type="dxa"/>
            <w:vAlign w:val="top"/>
          </w:tcPr>
          <w:p>
            <w:pPr>
              <w:pStyle w:val="6"/>
              <w:spacing w:line="266" w:lineRule="auto"/>
            </w:pPr>
          </w:p>
          <w:p>
            <w:pPr>
              <w:spacing w:before="58" w:line="126" w:lineRule="exact"/>
              <w:ind w:left="527"/>
              <w:rPr>
                <w:rFonts w:ascii="宋体" w:hAnsi="宋体" w:eastAsia="宋体" w:cs="宋体"/>
                <w:sz w:val="18"/>
                <w:szCs w:val="18"/>
              </w:rPr>
            </w:pPr>
            <w:r>
              <w:rPr>
                <w:rFonts w:ascii="宋体" w:hAnsi="宋体" w:eastAsia="宋体" w:cs="宋体"/>
                <w:position w:val="-3"/>
                <w:sz w:val="18"/>
                <w:szCs w:val="18"/>
              </w:rPr>
              <w:t>-</w:t>
            </w:r>
          </w:p>
        </w:tc>
        <w:tc>
          <w:tcPr>
            <w:tcW w:w="1219" w:type="dxa"/>
            <w:tcBorders>
              <w:right w:val="single" w:color="000000" w:sz="4" w:space="0"/>
            </w:tcBorders>
            <w:vAlign w:val="top"/>
          </w:tcPr>
          <w:p>
            <w:pPr>
              <w:pStyle w:val="6"/>
              <w:spacing w:line="266" w:lineRule="auto"/>
            </w:pPr>
          </w:p>
          <w:p>
            <w:pPr>
              <w:spacing w:before="58" w:line="126" w:lineRule="exact"/>
              <w:ind w:left="577"/>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8" w:hRule="atLeast"/>
        </w:trPr>
        <w:tc>
          <w:tcPr>
            <w:tcW w:w="706" w:type="dxa"/>
            <w:vMerge w:val="continue"/>
            <w:tcBorders>
              <w:top w:val="nil"/>
              <w:left w:val="single" w:color="000000" w:sz="4" w:space="0"/>
              <w:bottom w:val="single" w:color="000000" w:sz="4" w:space="0"/>
            </w:tcBorders>
            <w:vAlign w:val="top"/>
          </w:tcPr>
          <w:p>
            <w:pPr>
              <w:pStyle w:val="6"/>
            </w:pPr>
          </w:p>
        </w:tc>
        <w:tc>
          <w:tcPr>
            <w:tcW w:w="1770" w:type="dxa"/>
            <w:tcBorders>
              <w:bottom w:val="single" w:color="000000" w:sz="4" w:space="0"/>
            </w:tcBorders>
            <w:vAlign w:val="top"/>
          </w:tcPr>
          <w:p>
            <w:pPr>
              <w:spacing w:before="63" w:line="247" w:lineRule="auto"/>
              <w:ind w:left="105" w:right="93"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957" w:type="dxa"/>
            <w:tcBorders>
              <w:bottom w:val="single" w:color="000000" w:sz="4" w:space="0"/>
            </w:tcBorders>
            <w:vAlign w:val="top"/>
          </w:tcPr>
          <w:p>
            <w:pPr>
              <w:spacing w:before="193" w:line="260" w:lineRule="exact"/>
              <w:ind w:left="303"/>
              <w:rPr>
                <w:rFonts w:ascii="宋体" w:hAnsi="宋体" w:eastAsia="宋体" w:cs="宋体"/>
                <w:sz w:val="18"/>
                <w:szCs w:val="18"/>
              </w:rPr>
            </w:pPr>
            <w:r>
              <w:rPr>
                <w:rFonts w:ascii="宋体" w:hAnsi="宋体" w:eastAsia="宋体" w:cs="宋体"/>
                <w:spacing w:val="-15"/>
                <w:position w:val="1"/>
                <w:sz w:val="18"/>
                <w:szCs w:val="18"/>
              </w:rPr>
              <w:t>2.13</w:t>
            </w:r>
          </w:p>
        </w:tc>
        <w:tc>
          <w:tcPr>
            <w:tcW w:w="1092" w:type="dxa"/>
            <w:tcBorders>
              <w:bottom w:val="single" w:color="000000" w:sz="4" w:space="0"/>
            </w:tcBorders>
            <w:vAlign w:val="top"/>
          </w:tcPr>
          <w:p>
            <w:pPr>
              <w:spacing w:before="193" w:line="260" w:lineRule="exact"/>
              <w:ind w:left="374"/>
              <w:rPr>
                <w:rFonts w:ascii="宋体" w:hAnsi="宋体" w:eastAsia="宋体" w:cs="宋体"/>
                <w:sz w:val="18"/>
                <w:szCs w:val="18"/>
              </w:rPr>
            </w:pPr>
            <w:r>
              <w:rPr>
                <w:rFonts w:ascii="宋体" w:hAnsi="宋体" w:eastAsia="宋体" w:cs="宋体"/>
                <w:spacing w:val="-15"/>
                <w:position w:val="2"/>
                <w:sz w:val="18"/>
                <w:szCs w:val="18"/>
              </w:rPr>
              <w:t>2.26</w:t>
            </w:r>
          </w:p>
        </w:tc>
        <w:tc>
          <w:tcPr>
            <w:tcW w:w="1077" w:type="dxa"/>
            <w:tcBorders>
              <w:bottom w:val="single" w:color="000000" w:sz="4" w:space="0"/>
            </w:tcBorders>
            <w:vAlign w:val="top"/>
          </w:tcPr>
          <w:p>
            <w:pPr>
              <w:spacing w:before="193" w:line="260" w:lineRule="exact"/>
              <w:ind w:left="371"/>
              <w:rPr>
                <w:rFonts w:ascii="宋体" w:hAnsi="宋体" w:eastAsia="宋体" w:cs="宋体"/>
                <w:sz w:val="18"/>
                <w:szCs w:val="18"/>
              </w:rPr>
            </w:pPr>
            <w:r>
              <w:rPr>
                <w:rFonts w:ascii="宋体" w:hAnsi="宋体" w:eastAsia="宋体" w:cs="宋体"/>
                <w:spacing w:val="-15"/>
                <w:position w:val="1"/>
                <w:sz w:val="18"/>
                <w:szCs w:val="18"/>
              </w:rPr>
              <w:t>2.13</w:t>
            </w:r>
          </w:p>
        </w:tc>
        <w:tc>
          <w:tcPr>
            <w:tcW w:w="1151" w:type="dxa"/>
            <w:tcBorders>
              <w:bottom w:val="single" w:color="000000" w:sz="4" w:space="0"/>
            </w:tcBorders>
            <w:vAlign w:val="top"/>
          </w:tcPr>
          <w:p>
            <w:pPr>
              <w:spacing w:before="193" w:line="260" w:lineRule="exact"/>
              <w:ind w:left="410"/>
              <w:rPr>
                <w:rFonts w:ascii="宋体" w:hAnsi="宋体" w:eastAsia="宋体" w:cs="宋体"/>
                <w:sz w:val="18"/>
                <w:szCs w:val="18"/>
              </w:rPr>
            </w:pPr>
            <w:r>
              <w:rPr>
                <w:rFonts w:ascii="宋体" w:hAnsi="宋体" w:eastAsia="宋体" w:cs="宋体"/>
                <w:spacing w:val="-14"/>
                <w:position w:val="2"/>
                <w:sz w:val="18"/>
                <w:szCs w:val="18"/>
              </w:rPr>
              <w:t>0.56</w:t>
            </w:r>
          </w:p>
        </w:tc>
        <w:tc>
          <w:tcPr>
            <w:tcW w:w="1107" w:type="dxa"/>
            <w:tcBorders>
              <w:bottom w:val="single" w:color="000000" w:sz="4" w:space="0"/>
            </w:tcBorders>
            <w:vAlign w:val="top"/>
          </w:tcPr>
          <w:p>
            <w:pPr>
              <w:pStyle w:val="6"/>
              <w:spacing w:line="265" w:lineRule="auto"/>
            </w:pPr>
          </w:p>
          <w:p>
            <w:pPr>
              <w:spacing w:before="59" w:line="126" w:lineRule="exact"/>
              <w:ind w:left="527"/>
              <w:rPr>
                <w:rFonts w:ascii="宋体" w:hAnsi="宋体" w:eastAsia="宋体" w:cs="宋体"/>
                <w:sz w:val="18"/>
                <w:szCs w:val="18"/>
              </w:rPr>
            </w:pPr>
            <w:r>
              <w:rPr>
                <w:rFonts w:ascii="宋体" w:hAnsi="宋体" w:eastAsia="宋体" w:cs="宋体"/>
                <w:position w:val="-3"/>
                <w:sz w:val="18"/>
                <w:szCs w:val="18"/>
              </w:rPr>
              <w:t>-</w:t>
            </w:r>
          </w:p>
        </w:tc>
        <w:tc>
          <w:tcPr>
            <w:tcW w:w="1219" w:type="dxa"/>
            <w:tcBorders>
              <w:bottom w:val="single" w:color="000000" w:sz="4" w:space="0"/>
              <w:right w:val="single" w:color="000000" w:sz="4" w:space="0"/>
            </w:tcBorders>
            <w:vAlign w:val="top"/>
          </w:tcPr>
          <w:p>
            <w:pPr>
              <w:pStyle w:val="6"/>
              <w:spacing w:line="265" w:lineRule="auto"/>
            </w:pPr>
          </w:p>
          <w:p>
            <w:pPr>
              <w:spacing w:before="59" w:line="126" w:lineRule="exact"/>
              <w:ind w:left="577"/>
              <w:rPr>
                <w:rFonts w:ascii="宋体" w:hAnsi="宋体" w:eastAsia="宋体" w:cs="宋体"/>
                <w:sz w:val="18"/>
                <w:szCs w:val="18"/>
              </w:rPr>
            </w:pPr>
            <w:r>
              <w:rPr>
                <w:rFonts w:ascii="宋体" w:hAnsi="宋体" w:eastAsia="宋体" w:cs="宋体"/>
                <w:position w:val="-3"/>
                <w:sz w:val="18"/>
                <w:szCs w:val="18"/>
              </w:rPr>
              <w:t>-</w:t>
            </w:r>
          </w:p>
        </w:tc>
      </w:tr>
    </w:tbl>
    <w:p>
      <w:pPr>
        <w:spacing w:before="64"/>
      </w:pPr>
    </w:p>
    <w:tbl>
      <w:tblPr>
        <w:tblStyle w:val="5"/>
        <w:tblW w:w="91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1795"/>
        <w:gridCol w:w="1650"/>
        <w:gridCol w:w="1650"/>
        <w:gridCol w:w="1650"/>
        <w:gridCol w:w="1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6" w:hRule="atLeast"/>
        </w:trPr>
        <w:tc>
          <w:tcPr>
            <w:tcW w:w="2503" w:type="dxa"/>
            <w:gridSpan w:val="2"/>
            <w:tcBorders>
              <w:top w:val="single" w:color="000000" w:sz="4" w:space="0"/>
              <w:left w:val="single" w:color="000000" w:sz="4" w:space="0"/>
              <w:tl2br w:val="single" w:color="000000" w:sz="4" w:space="0"/>
            </w:tcBorders>
            <w:vAlign w:val="top"/>
          </w:tcPr>
          <w:p>
            <w:pPr>
              <w:spacing w:before="65" w:line="276" w:lineRule="auto"/>
              <w:ind w:left="124" w:right="699" w:firstLine="968"/>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650" w:type="dxa"/>
            <w:tcBorders>
              <w:top w:val="single" w:color="000000" w:sz="4" w:space="0"/>
            </w:tcBorders>
            <w:vAlign w:val="top"/>
          </w:tcPr>
          <w:p>
            <w:pPr>
              <w:spacing w:before="282" w:line="202" w:lineRule="auto"/>
              <w:ind w:left="389"/>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650" w:type="dxa"/>
            <w:tcBorders>
              <w:top w:val="single" w:color="000000" w:sz="4" w:space="0"/>
            </w:tcBorders>
            <w:vAlign w:val="top"/>
          </w:tcPr>
          <w:p>
            <w:pPr>
              <w:spacing w:before="282" w:line="202" w:lineRule="auto"/>
              <w:ind w:left="385"/>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650" w:type="dxa"/>
            <w:tcBorders>
              <w:top w:val="single" w:color="000000" w:sz="4" w:space="0"/>
            </w:tcBorders>
            <w:vAlign w:val="top"/>
          </w:tcPr>
          <w:p>
            <w:pPr>
              <w:spacing w:before="282" w:line="202" w:lineRule="auto"/>
              <w:ind w:left="396"/>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667" w:type="dxa"/>
            <w:tcBorders>
              <w:top w:val="single" w:color="000000" w:sz="4" w:space="0"/>
              <w:right w:val="single" w:color="000000" w:sz="4" w:space="0"/>
            </w:tcBorders>
            <w:vAlign w:val="top"/>
          </w:tcPr>
          <w:p>
            <w:pPr>
              <w:spacing w:before="282" w:line="202" w:lineRule="auto"/>
              <w:ind w:left="412"/>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restart"/>
            <w:tcBorders>
              <w:left w:val="single" w:color="000000" w:sz="4" w:space="0"/>
              <w:bottom w:val="nil"/>
            </w:tcBorders>
            <w:vAlign w:val="top"/>
          </w:tcPr>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spacing w:before="58" w:line="283" w:lineRule="auto"/>
              <w:ind w:left="178" w:right="161"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95" w:type="dxa"/>
            <w:vAlign w:val="top"/>
          </w:tcPr>
          <w:p>
            <w:pPr>
              <w:spacing w:before="113" w:line="212" w:lineRule="auto"/>
              <w:ind w:left="535"/>
              <w:rPr>
                <w:rFonts w:ascii="宋体" w:hAnsi="宋体" w:eastAsia="宋体" w:cs="宋体"/>
                <w:sz w:val="18"/>
                <w:szCs w:val="18"/>
              </w:rPr>
            </w:pPr>
            <w:r>
              <w:rPr>
                <w:rFonts w:ascii="宋体" w:hAnsi="宋体" w:eastAsia="宋体" w:cs="宋体"/>
                <w:spacing w:val="-3"/>
                <w:sz w:val="18"/>
                <w:szCs w:val="18"/>
              </w:rPr>
              <w:t>道路工程</w:t>
            </w:r>
          </w:p>
        </w:tc>
        <w:tc>
          <w:tcPr>
            <w:tcW w:w="1650" w:type="dxa"/>
            <w:vMerge w:val="restart"/>
            <w:tcBorders>
              <w:bottom w:val="nil"/>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7" w:lineRule="auto"/>
            </w:pPr>
          </w:p>
          <w:p>
            <w:pPr>
              <w:spacing w:before="59" w:line="259"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7" w:lineRule="auto"/>
            </w:pPr>
          </w:p>
          <w:p>
            <w:pPr>
              <w:spacing w:before="59" w:line="259"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7" w:lineRule="auto"/>
            </w:pPr>
          </w:p>
          <w:p>
            <w:pPr>
              <w:spacing w:before="59" w:line="259"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7" w:lineRule="auto"/>
            </w:pPr>
          </w:p>
          <w:p>
            <w:pPr>
              <w:spacing w:before="59" w:line="259" w:lineRule="exact"/>
              <w:ind w:left="691"/>
              <w:rPr>
                <w:rFonts w:ascii="宋体" w:hAnsi="宋体" w:eastAsia="宋体" w:cs="宋体"/>
                <w:sz w:val="18"/>
                <w:szCs w:val="18"/>
              </w:rPr>
            </w:pPr>
            <w:r>
              <w:rPr>
                <w:rFonts w:ascii="宋体" w:hAnsi="宋体" w:eastAsia="宋体" w:cs="宋体"/>
                <w:spacing w:val="-19"/>
                <w:position w:val="1"/>
                <w:sz w:val="18"/>
                <w:szCs w:val="18"/>
              </w:rPr>
              <w:t>1.79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18" w:line="209" w:lineRule="auto"/>
              <w:ind w:left="535"/>
              <w:rPr>
                <w:rFonts w:ascii="宋体" w:hAnsi="宋体" w:eastAsia="宋体" w:cs="宋体"/>
                <w:sz w:val="18"/>
                <w:szCs w:val="18"/>
              </w:rPr>
            </w:pPr>
            <w:r>
              <w:rPr>
                <w:rFonts w:ascii="宋体" w:hAnsi="宋体" w:eastAsia="宋体" w:cs="宋体"/>
                <w:spacing w:val="-3"/>
                <w:sz w:val="18"/>
                <w:szCs w:val="18"/>
              </w:rPr>
              <w:t>桥涵工程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18" w:line="211" w:lineRule="auto"/>
              <w:ind w:left="554"/>
              <w:rPr>
                <w:rFonts w:ascii="宋体" w:hAnsi="宋体" w:eastAsia="宋体" w:cs="宋体"/>
                <w:sz w:val="18"/>
                <w:szCs w:val="18"/>
              </w:rPr>
            </w:pPr>
            <w:r>
              <w:rPr>
                <w:rFonts w:ascii="宋体" w:hAnsi="宋体" w:eastAsia="宋体" w:cs="宋体"/>
                <w:spacing w:val="-9"/>
                <w:sz w:val="18"/>
                <w:szCs w:val="18"/>
              </w:rPr>
              <w:t>隧道工程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8" w:line="222" w:lineRule="auto"/>
              <w:ind w:left="535"/>
              <w:rPr>
                <w:rFonts w:ascii="宋体" w:hAnsi="宋体" w:eastAsia="宋体" w:cs="宋体"/>
                <w:sz w:val="18"/>
                <w:szCs w:val="18"/>
              </w:rPr>
            </w:pPr>
            <w:r>
              <w:rPr>
                <w:rFonts w:ascii="宋体" w:hAnsi="宋体" w:eastAsia="宋体" w:cs="宋体"/>
                <w:spacing w:val="-3"/>
                <w:sz w:val="18"/>
                <w:szCs w:val="18"/>
              </w:rPr>
              <w:t>排水工程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1" w:line="210" w:lineRule="auto"/>
              <w:ind w:left="445"/>
              <w:rPr>
                <w:rFonts w:ascii="宋体" w:hAnsi="宋体" w:eastAsia="宋体" w:cs="宋体"/>
                <w:sz w:val="18"/>
                <w:szCs w:val="18"/>
              </w:rPr>
            </w:pPr>
            <w:r>
              <w:rPr>
                <w:rFonts w:ascii="宋体" w:hAnsi="宋体" w:eastAsia="宋体" w:cs="宋体"/>
                <w:spacing w:val="-3"/>
                <w:sz w:val="18"/>
                <w:szCs w:val="18"/>
              </w:rPr>
              <w:t>水处理工程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6" w:line="208" w:lineRule="auto"/>
              <w:ind w:left="179"/>
              <w:rPr>
                <w:rFonts w:ascii="宋体" w:hAnsi="宋体" w:eastAsia="宋体" w:cs="宋体"/>
                <w:sz w:val="18"/>
                <w:szCs w:val="18"/>
              </w:rPr>
            </w:pPr>
            <w:r>
              <w:rPr>
                <w:rFonts w:ascii="宋体" w:hAnsi="宋体" w:eastAsia="宋体" w:cs="宋体"/>
                <w:spacing w:val="-4"/>
                <w:sz w:val="18"/>
                <w:szCs w:val="18"/>
              </w:rPr>
              <w:t>生活垃圾处理工程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51" w:line="236" w:lineRule="auto"/>
              <w:ind w:left="538" w:right="358" w:hanging="183"/>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3" w:line="211" w:lineRule="auto"/>
              <w:ind w:left="540"/>
              <w:rPr>
                <w:rFonts w:ascii="宋体" w:hAnsi="宋体" w:eastAsia="宋体" w:cs="宋体"/>
                <w:sz w:val="18"/>
                <w:szCs w:val="18"/>
              </w:rPr>
            </w:pPr>
            <w:r>
              <w:rPr>
                <w:rFonts w:ascii="宋体" w:hAnsi="宋体" w:eastAsia="宋体" w:cs="宋体"/>
                <w:spacing w:val="-5"/>
                <w:sz w:val="18"/>
                <w:szCs w:val="18"/>
              </w:rPr>
              <w:t>给水工程</w:t>
            </w:r>
          </w:p>
        </w:tc>
        <w:tc>
          <w:tcPr>
            <w:tcW w:w="1650" w:type="dxa"/>
            <w:vMerge w:val="restart"/>
            <w:tcBorders>
              <w:bottom w:val="nil"/>
            </w:tcBorders>
            <w:vAlign w:val="top"/>
          </w:tcPr>
          <w:p>
            <w:pPr>
              <w:pStyle w:val="6"/>
              <w:spacing w:line="250" w:lineRule="auto"/>
            </w:pPr>
          </w:p>
          <w:p>
            <w:pPr>
              <w:pStyle w:val="6"/>
              <w:spacing w:line="250" w:lineRule="auto"/>
            </w:pPr>
          </w:p>
          <w:p>
            <w:pPr>
              <w:spacing w:before="59" w:line="260"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250" w:lineRule="auto"/>
            </w:pPr>
          </w:p>
          <w:p>
            <w:pPr>
              <w:pStyle w:val="6"/>
              <w:spacing w:line="250" w:lineRule="auto"/>
            </w:pPr>
          </w:p>
          <w:p>
            <w:pPr>
              <w:spacing w:before="59" w:line="260"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250" w:lineRule="auto"/>
            </w:pPr>
          </w:p>
          <w:p>
            <w:pPr>
              <w:pStyle w:val="6"/>
              <w:spacing w:line="250" w:lineRule="auto"/>
            </w:pPr>
          </w:p>
          <w:p>
            <w:pPr>
              <w:spacing w:before="59" w:line="260"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50" w:lineRule="auto"/>
            </w:pPr>
          </w:p>
          <w:p>
            <w:pPr>
              <w:pStyle w:val="6"/>
              <w:spacing w:line="250" w:lineRule="auto"/>
            </w:pPr>
          </w:p>
          <w:p>
            <w:pPr>
              <w:spacing w:before="59" w:line="260" w:lineRule="exact"/>
              <w:ind w:left="664"/>
              <w:rPr>
                <w:rFonts w:ascii="宋体" w:hAnsi="宋体" w:eastAsia="宋体" w:cs="宋体"/>
                <w:sz w:val="18"/>
                <w:szCs w:val="18"/>
              </w:rPr>
            </w:pPr>
            <w:r>
              <w:rPr>
                <w:rFonts w:ascii="宋体" w:hAnsi="宋体" w:eastAsia="宋体" w:cs="宋体"/>
                <w:spacing w:val="-14"/>
                <w:position w:val="2"/>
                <w:sz w:val="18"/>
                <w:szCs w:val="18"/>
              </w:rPr>
              <w:t>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5" w:line="214" w:lineRule="auto"/>
              <w:ind w:left="533"/>
              <w:rPr>
                <w:rFonts w:ascii="宋体" w:hAnsi="宋体" w:eastAsia="宋体" w:cs="宋体"/>
                <w:sz w:val="18"/>
                <w:szCs w:val="18"/>
              </w:rPr>
            </w:pPr>
            <w:r>
              <w:rPr>
                <w:rFonts w:ascii="宋体" w:hAnsi="宋体" w:eastAsia="宋体" w:cs="宋体"/>
                <w:spacing w:val="-3"/>
                <w:sz w:val="18"/>
                <w:szCs w:val="18"/>
              </w:rPr>
              <w:t>燃气工程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1" w:line="240" w:lineRule="exact"/>
              <w:ind w:left="534"/>
              <w:rPr>
                <w:rFonts w:ascii="宋体" w:hAnsi="宋体" w:eastAsia="宋体" w:cs="宋体"/>
                <w:sz w:val="18"/>
                <w:szCs w:val="18"/>
              </w:rPr>
            </w:pPr>
            <w:r>
              <w:rPr>
                <w:rFonts w:ascii="宋体" w:hAnsi="宋体" w:eastAsia="宋体" w:cs="宋体"/>
                <w:spacing w:val="-3"/>
                <w:position w:val="1"/>
                <w:sz w:val="18"/>
                <w:szCs w:val="18"/>
              </w:rPr>
              <w:t>供热工程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tcBorders>
            <w:vAlign w:val="top"/>
          </w:tcPr>
          <w:p>
            <w:pPr>
              <w:pStyle w:val="6"/>
            </w:pPr>
          </w:p>
        </w:tc>
        <w:tc>
          <w:tcPr>
            <w:tcW w:w="1795" w:type="dxa"/>
            <w:vAlign w:val="top"/>
          </w:tcPr>
          <w:p>
            <w:pPr>
              <w:spacing w:before="129" w:line="211" w:lineRule="auto"/>
              <w:ind w:left="538"/>
              <w:rPr>
                <w:rFonts w:ascii="宋体" w:hAnsi="宋体" w:eastAsia="宋体" w:cs="宋体"/>
                <w:sz w:val="18"/>
                <w:szCs w:val="18"/>
              </w:rPr>
            </w:pPr>
            <w:r>
              <w:rPr>
                <w:rFonts w:ascii="宋体" w:hAnsi="宋体" w:eastAsia="宋体" w:cs="宋体"/>
                <w:spacing w:val="-5"/>
                <w:sz w:val="18"/>
                <w:szCs w:val="18"/>
              </w:rPr>
              <w:t>路灯工程</w:t>
            </w:r>
          </w:p>
        </w:tc>
        <w:tc>
          <w:tcPr>
            <w:tcW w:w="1650" w:type="dxa"/>
            <w:vAlign w:val="top"/>
          </w:tcPr>
          <w:p>
            <w:pPr>
              <w:spacing w:before="140" w:line="228" w:lineRule="auto"/>
              <w:ind w:left="676"/>
              <w:rPr>
                <w:rFonts w:ascii="宋体" w:hAnsi="宋体" w:eastAsia="宋体" w:cs="宋体"/>
                <w:sz w:val="18"/>
                <w:szCs w:val="18"/>
              </w:rPr>
            </w:pPr>
            <w:r>
              <w:rPr>
                <w:rFonts w:ascii="宋体" w:hAnsi="宋体" w:eastAsia="宋体" w:cs="宋体"/>
                <w:spacing w:val="-19"/>
                <w:sz w:val="18"/>
                <w:szCs w:val="18"/>
              </w:rPr>
              <w:t>1.63</w:t>
            </w:r>
          </w:p>
        </w:tc>
        <w:tc>
          <w:tcPr>
            <w:tcW w:w="1650" w:type="dxa"/>
            <w:vAlign w:val="top"/>
          </w:tcPr>
          <w:p>
            <w:pPr>
              <w:spacing w:before="140" w:line="228" w:lineRule="auto"/>
              <w:ind w:left="682"/>
              <w:rPr>
                <w:rFonts w:ascii="宋体" w:hAnsi="宋体" w:eastAsia="宋体" w:cs="宋体"/>
                <w:sz w:val="18"/>
                <w:szCs w:val="18"/>
              </w:rPr>
            </w:pPr>
            <w:r>
              <w:rPr>
                <w:rFonts w:ascii="宋体" w:hAnsi="宋体" w:eastAsia="宋体" w:cs="宋体"/>
                <w:spacing w:val="-19"/>
                <w:sz w:val="18"/>
                <w:szCs w:val="18"/>
              </w:rPr>
              <w:t>1.33</w:t>
            </w:r>
          </w:p>
        </w:tc>
        <w:tc>
          <w:tcPr>
            <w:tcW w:w="1650" w:type="dxa"/>
            <w:vAlign w:val="top"/>
          </w:tcPr>
          <w:p>
            <w:pPr>
              <w:spacing w:before="140" w:line="228" w:lineRule="auto"/>
              <w:ind w:left="660"/>
              <w:rPr>
                <w:rFonts w:ascii="宋体" w:hAnsi="宋体" w:eastAsia="宋体" w:cs="宋体"/>
                <w:sz w:val="18"/>
                <w:szCs w:val="18"/>
              </w:rPr>
            </w:pPr>
            <w:r>
              <w:rPr>
                <w:rFonts w:ascii="宋体" w:hAnsi="宋体" w:eastAsia="宋体" w:cs="宋体"/>
                <w:spacing w:val="-14"/>
                <w:sz w:val="18"/>
                <w:szCs w:val="18"/>
              </w:rPr>
              <w:t>0.82</w:t>
            </w:r>
          </w:p>
        </w:tc>
        <w:tc>
          <w:tcPr>
            <w:tcW w:w="1667" w:type="dxa"/>
            <w:tcBorders>
              <w:right w:val="single" w:color="000000" w:sz="4" w:space="0"/>
            </w:tcBorders>
            <w:vAlign w:val="top"/>
          </w:tcPr>
          <w:p>
            <w:pPr>
              <w:spacing w:before="140" w:line="228" w:lineRule="auto"/>
              <w:ind w:left="691"/>
              <w:rPr>
                <w:rFonts w:ascii="宋体" w:hAnsi="宋体" w:eastAsia="宋体" w:cs="宋体"/>
                <w:sz w:val="18"/>
                <w:szCs w:val="18"/>
              </w:rPr>
            </w:pPr>
            <w:r>
              <w:rPr>
                <w:rFonts w:ascii="宋体" w:hAnsi="宋体" w:eastAsia="宋体" w:cs="宋体"/>
                <w:spacing w:val="-19"/>
                <w:sz w:val="18"/>
                <w:szCs w:val="18"/>
              </w:rPr>
              <w:t>1.24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1" w:hRule="atLeast"/>
        </w:trPr>
        <w:tc>
          <w:tcPr>
            <w:tcW w:w="708" w:type="dxa"/>
            <w:vMerge w:val="restart"/>
            <w:tcBorders>
              <w:left w:val="single" w:color="000000" w:sz="4" w:space="0"/>
              <w:bottom w:val="nil"/>
            </w:tcBorders>
            <w:vAlign w:val="top"/>
          </w:tcPr>
          <w:p>
            <w:pPr>
              <w:spacing w:before="67" w:line="210" w:lineRule="auto"/>
              <w:ind w:left="181"/>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5"/>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8"/>
              <w:rPr>
                <w:rFonts w:ascii="宋体" w:hAnsi="宋体" w:eastAsia="宋体" w:cs="宋体"/>
                <w:sz w:val="18"/>
                <w:szCs w:val="18"/>
              </w:rPr>
            </w:pPr>
            <w:r>
              <w:rPr>
                <w:rFonts w:ascii="宋体" w:hAnsi="宋体" w:eastAsia="宋体" w:cs="宋体"/>
                <w:spacing w:val="-3"/>
                <w:sz w:val="18"/>
                <w:szCs w:val="18"/>
              </w:rPr>
              <w:t>维修</w:t>
            </w:r>
          </w:p>
          <w:p>
            <w:pPr>
              <w:spacing w:before="59" w:line="202" w:lineRule="auto"/>
              <w:ind w:left="178"/>
              <w:rPr>
                <w:rFonts w:ascii="宋体" w:hAnsi="宋体" w:eastAsia="宋体" w:cs="宋体"/>
                <w:sz w:val="18"/>
                <w:szCs w:val="18"/>
              </w:rPr>
            </w:pPr>
            <w:r>
              <w:rPr>
                <w:rFonts w:ascii="宋体" w:hAnsi="宋体" w:eastAsia="宋体" w:cs="宋体"/>
                <w:spacing w:val="-3"/>
                <w:sz w:val="18"/>
                <w:szCs w:val="18"/>
              </w:rPr>
              <w:t>工程</w:t>
            </w:r>
          </w:p>
        </w:tc>
        <w:tc>
          <w:tcPr>
            <w:tcW w:w="1795" w:type="dxa"/>
            <w:vAlign w:val="top"/>
          </w:tcPr>
          <w:p>
            <w:pPr>
              <w:spacing w:before="56" w:line="233" w:lineRule="auto"/>
              <w:ind w:left="103" w:right="119"/>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1650" w:type="dxa"/>
            <w:vMerge w:val="restart"/>
            <w:tcBorders>
              <w:bottom w:val="nil"/>
            </w:tcBorders>
            <w:vAlign w:val="top"/>
          </w:tcPr>
          <w:p>
            <w:pPr>
              <w:pStyle w:val="6"/>
              <w:spacing w:line="405" w:lineRule="auto"/>
            </w:pPr>
          </w:p>
          <w:p>
            <w:pPr>
              <w:spacing w:before="58" w:line="260"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405" w:lineRule="auto"/>
            </w:pPr>
          </w:p>
          <w:p>
            <w:pPr>
              <w:spacing w:before="58" w:line="260"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405" w:lineRule="auto"/>
            </w:pPr>
          </w:p>
          <w:p>
            <w:pPr>
              <w:spacing w:before="58" w:line="260"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405" w:lineRule="auto"/>
            </w:pPr>
          </w:p>
          <w:p>
            <w:pPr>
              <w:spacing w:before="58" w:line="260" w:lineRule="exact"/>
              <w:ind w:left="691"/>
              <w:rPr>
                <w:rFonts w:ascii="宋体" w:hAnsi="宋体" w:eastAsia="宋体" w:cs="宋体"/>
                <w:sz w:val="18"/>
                <w:szCs w:val="18"/>
              </w:rPr>
            </w:pPr>
            <w:r>
              <w:rPr>
                <w:rFonts w:ascii="宋体" w:hAnsi="宋体" w:eastAsia="宋体" w:cs="宋体"/>
                <w:spacing w:val="-19"/>
                <w:position w:val="1"/>
                <w:sz w:val="18"/>
                <w:szCs w:val="18"/>
              </w:rPr>
              <w:t>1.42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9" w:hRule="atLeast"/>
        </w:trPr>
        <w:tc>
          <w:tcPr>
            <w:tcW w:w="708" w:type="dxa"/>
            <w:vMerge w:val="continue"/>
            <w:tcBorders>
              <w:top w:val="nil"/>
              <w:left w:val="single" w:color="000000" w:sz="4" w:space="0"/>
              <w:bottom w:val="single" w:color="000000" w:sz="4" w:space="0"/>
            </w:tcBorders>
            <w:vAlign w:val="top"/>
          </w:tcPr>
          <w:p>
            <w:pPr>
              <w:pStyle w:val="6"/>
            </w:pPr>
          </w:p>
        </w:tc>
        <w:tc>
          <w:tcPr>
            <w:tcW w:w="1795" w:type="dxa"/>
            <w:tcBorders>
              <w:bottom w:val="single" w:color="000000" w:sz="4" w:space="0"/>
            </w:tcBorders>
            <w:vAlign w:val="top"/>
          </w:tcPr>
          <w:p>
            <w:pPr>
              <w:spacing w:before="64" w:line="245" w:lineRule="auto"/>
              <w:ind w:left="103" w:right="119"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67" w:type="dxa"/>
            <w:vMerge w:val="continue"/>
            <w:tcBorders>
              <w:top w:val="nil"/>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75" w:type="default"/>
          <w:pgSz w:w="11905" w:h="16840"/>
          <w:pgMar w:top="400" w:right="1357" w:bottom="1213" w:left="1416" w:header="0" w:footer="898" w:gutter="0"/>
        </w:sect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before="78" w:line="214" w:lineRule="auto"/>
        <w:ind w:left="504"/>
        <w:rPr>
          <w:rFonts w:ascii="KaiTi_GB2312" w:hAnsi="KaiTi_GB2312" w:eastAsia="KaiTi_GB2312" w:cs="KaiTi_GB2312"/>
          <w:sz w:val="24"/>
          <w:szCs w:val="24"/>
        </w:rPr>
      </w:pPr>
      <w:bookmarkStart w:id="42" w:name="bookmark146"/>
      <w:bookmarkEnd w:id="42"/>
      <w:r>
        <w:rPr>
          <w:rFonts w:ascii="KaiTi_GB2312" w:hAnsi="KaiTi_GB2312" w:eastAsia="KaiTi_GB2312" w:cs="KaiTi_GB2312"/>
          <w:spacing w:val="9"/>
          <w:sz w:val="24"/>
          <w:szCs w:val="24"/>
        </w:rPr>
        <w:t>（三）智慧工地建设费</w:t>
      </w:r>
    </w:p>
    <w:p>
      <w:pPr>
        <w:spacing w:line="475" w:lineRule="auto"/>
        <w:rPr>
          <w:rFonts w:ascii="Arial"/>
          <w:sz w:val="21"/>
        </w:rPr>
      </w:pPr>
    </w:p>
    <w:p>
      <w:pPr>
        <w:spacing w:before="65" w:line="277" w:lineRule="exact"/>
        <w:ind w:left="457"/>
        <w:rPr>
          <w:rFonts w:ascii="宋体" w:hAnsi="宋体" w:eastAsia="宋体" w:cs="宋体"/>
          <w:sz w:val="20"/>
          <w:szCs w:val="20"/>
        </w:rPr>
      </w:pPr>
      <w:r>
        <w:rPr>
          <w:rFonts w:ascii="宋体" w:hAnsi="宋体" w:eastAsia="宋体" w:cs="宋体"/>
          <w:spacing w:val="12"/>
          <w:position w:val="1"/>
          <w:sz w:val="20"/>
          <w:szCs w:val="20"/>
        </w:rPr>
        <w:t>1.建筑工程（单位：元/平方米）</w:t>
      </w:r>
    </w:p>
    <w:p>
      <w:pPr>
        <w:spacing w:line="98" w:lineRule="auto"/>
        <w:rPr>
          <w:rFonts w:ascii="Arial"/>
          <w:sz w:val="2"/>
        </w:rPr>
      </w:pPr>
    </w:p>
    <w:tbl>
      <w:tblPr>
        <w:tblStyle w:val="5"/>
        <w:tblW w:w="9079"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6"/>
        <w:gridCol w:w="2002"/>
        <w:gridCol w:w="2001"/>
        <w:gridCol w:w="2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70" w:hRule="atLeast"/>
        </w:trPr>
        <w:tc>
          <w:tcPr>
            <w:tcW w:w="3056" w:type="dxa"/>
            <w:tcBorders>
              <w:top w:val="single" w:color="000000" w:sz="4" w:space="0"/>
              <w:left w:val="single" w:color="000000" w:sz="4" w:space="0"/>
              <w:tl2br w:val="single" w:color="000000" w:sz="2" w:space="0"/>
            </w:tcBorders>
            <w:vAlign w:val="top"/>
          </w:tcPr>
          <w:p>
            <w:pPr>
              <w:spacing w:before="107" w:line="203" w:lineRule="auto"/>
              <w:ind w:left="2125"/>
              <w:rPr>
                <w:rFonts w:ascii="微软雅黑" w:hAnsi="微软雅黑" w:eastAsia="微软雅黑" w:cs="微软雅黑"/>
                <w:sz w:val="18"/>
                <w:szCs w:val="18"/>
              </w:rPr>
            </w:pPr>
            <w:r>
              <w:rPr>
                <w:rFonts w:ascii="微软雅黑" w:hAnsi="微软雅黑" w:eastAsia="微软雅黑" w:cs="微软雅黑"/>
                <w:spacing w:val="-4"/>
                <w:sz w:val="18"/>
                <w:szCs w:val="18"/>
              </w:rPr>
              <w:t>级别</w:t>
            </w:r>
          </w:p>
          <w:p>
            <w:pPr>
              <w:pStyle w:val="6"/>
              <w:spacing w:line="301" w:lineRule="auto"/>
            </w:pPr>
          </w:p>
          <w:p>
            <w:pPr>
              <w:spacing w:before="77" w:line="164" w:lineRule="auto"/>
              <w:ind w:left="120"/>
              <w:rPr>
                <w:rFonts w:ascii="微软雅黑" w:hAnsi="微软雅黑" w:eastAsia="微软雅黑" w:cs="微软雅黑"/>
                <w:sz w:val="18"/>
                <w:szCs w:val="18"/>
              </w:rPr>
            </w:pPr>
            <w:r>
              <w:rPr>
                <w:rFonts w:ascii="微软雅黑" w:hAnsi="微软雅黑" w:eastAsia="微软雅黑" w:cs="微软雅黑"/>
                <w:spacing w:val="-4"/>
                <w:sz w:val="18"/>
                <w:szCs w:val="18"/>
              </w:rPr>
              <w:t>计算方法</w:t>
            </w:r>
          </w:p>
        </w:tc>
        <w:tc>
          <w:tcPr>
            <w:tcW w:w="2002" w:type="dxa"/>
            <w:tcBorders>
              <w:top w:val="single" w:color="000000" w:sz="4" w:space="0"/>
            </w:tcBorders>
            <w:vAlign w:val="top"/>
          </w:tcPr>
          <w:p>
            <w:pPr>
              <w:pStyle w:val="6"/>
              <w:spacing w:line="331" w:lineRule="auto"/>
            </w:pPr>
          </w:p>
          <w:p>
            <w:pPr>
              <w:spacing w:before="77" w:line="203" w:lineRule="auto"/>
              <w:ind w:left="746"/>
              <w:rPr>
                <w:rFonts w:ascii="微软雅黑" w:hAnsi="微软雅黑" w:eastAsia="微软雅黑" w:cs="微软雅黑"/>
                <w:sz w:val="18"/>
                <w:szCs w:val="18"/>
              </w:rPr>
            </w:pPr>
            <w:r>
              <w:rPr>
                <w:rFonts w:ascii="微软雅黑" w:hAnsi="微软雅黑" w:eastAsia="微软雅黑" w:cs="微软雅黑"/>
                <w:spacing w:val="-4"/>
                <w:w w:val="98"/>
                <w:sz w:val="18"/>
                <w:szCs w:val="18"/>
              </w:rPr>
              <w:t>一星级</w:t>
            </w:r>
          </w:p>
        </w:tc>
        <w:tc>
          <w:tcPr>
            <w:tcW w:w="2001" w:type="dxa"/>
            <w:tcBorders>
              <w:top w:val="single" w:color="000000" w:sz="4" w:space="0"/>
            </w:tcBorders>
            <w:vAlign w:val="top"/>
          </w:tcPr>
          <w:p>
            <w:pPr>
              <w:pStyle w:val="6"/>
              <w:spacing w:line="331" w:lineRule="auto"/>
            </w:pPr>
          </w:p>
          <w:p>
            <w:pPr>
              <w:spacing w:before="77" w:line="203" w:lineRule="auto"/>
              <w:ind w:left="749"/>
              <w:rPr>
                <w:rFonts w:ascii="微软雅黑" w:hAnsi="微软雅黑" w:eastAsia="微软雅黑" w:cs="微软雅黑"/>
                <w:sz w:val="18"/>
                <w:szCs w:val="18"/>
              </w:rPr>
            </w:pPr>
            <w:r>
              <w:rPr>
                <w:rFonts w:ascii="微软雅黑" w:hAnsi="微软雅黑" w:eastAsia="微软雅黑" w:cs="微软雅黑"/>
                <w:spacing w:val="-6"/>
                <w:sz w:val="18"/>
                <w:szCs w:val="18"/>
              </w:rPr>
              <w:t>二星级</w:t>
            </w:r>
          </w:p>
        </w:tc>
        <w:tc>
          <w:tcPr>
            <w:tcW w:w="2020" w:type="dxa"/>
            <w:tcBorders>
              <w:top w:val="single" w:color="000000" w:sz="4" w:space="0"/>
              <w:right w:val="single" w:color="000000" w:sz="4" w:space="0"/>
            </w:tcBorders>
            <w:vAlign w:val="top"/>
          </w:tcPr>
          <w:p>
            <w:pPr>
              <w:pStyle w:val="6"/>
              <w:spacing w:line="331" w:lineRule="auto"/>
            </w:pPr>
          </w:p>
          <w:p>
            <w:pPr>
              <w:spacing w:before="77" w:line="203" w:lineRule="auto"/>
              <w:ind w:left="758"/>
              <w:rPr>
                <w:rFonts w:ascii="微软雅黑" w:hAnsi="微软雅黑" w:eastAsia="微软雅黑" w:cs="微软雅黑"/>
                <w:sz w:val="18"/>
                <w:szCs w:val="18"/>
              </w:rPr>
            </w:pPr>
            <w:r>
              <w:rPr>
                <w:rFonts w:ascii="微软雅黑" w:hAnsi="微软雅黑" w:eastAsia="微软雅黑" w:cs="微软雅黑"/>
                <w:spacing w:val="-7"/>
                <w:sz w:val="18"/>
                <w:szCs w:val="18"/>
              </w:rPr>
              <w:t>三星级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056" w:type="dxa"/>
            <w:tcBorders>
              <w:left w:val="single" w:color="000000" w:sz="4" w:space="0"/>
              <w:bottom w:val="single" w:color="000000" w:sz="4" w:space="0"/>
            </w:tcBorders>
            <w:vAlign w:val="top"/>
          </w:tcPr>
          <w:p>
            <w:pPr>
              <w:spacing w:before="233" w:line="215" w:lineRule="auto"/>
              <w:ind w:left="272"/>
              <w:rPr>
                <w:rFonts w:ascii="宋体" w:hAnsi="宋体" w:eastAsia="宋体" w:cs="宋体"/>
                <w:sz w:val="18"/>
                <w:szCs w:val="18"/>
              </w:rPr>
            </w:pPr>
            <w:r>
              <w:rPr>
                <w:rFonts w:ascii="宋体" w:hAnsi="宋体" w:eastAsia="宋体" w:cs="宋体"/>
                <w:spacing w:val="-2"/>
                <w:sz w:val="18"/>
                <w:szCs w:val="18"/>
              </w:rPr>
              <w:t>按建设项目的建筑面积进行计算</w:t>
            </w:r>
          </w:p>
        </w:tc>
        <w:tc>
          <w:tcPr>
            <w:tcW w:w="2002" w:type="dxa"/>
            <w:tcBorders>
              <w:bottom w:val="single" w:color="000000" w:sz="4" w:space="0"/>
            </w:tcBorders>
            <w:vAlign w:val="top"/>
          </w:tcPr>
          <w:p>
            <w:pPr>
              <w:spacing w:before="250" w:line="260" w:lineRule="exact"/>
              <w:ind w:left="830"/>
              <w:rPr>
                <w:rFonts w:ascii="宋体" w:hAnsi="宋体" w:eastAsia="宋体" w:cs="宋体"/>
                <w:sz w:val="18"/>
                <w:szCs w:val="18"/>
              </w:rPr>
            </w:pPr>
            <w:r>
              <w:rPr>
                <w:rFonts w:ascii="宋体" w:hAnsi="宋体" w:eastAsia="宋体" w:cs="宋体"/>
                <w:spacing w:val="-7"/>
                <w:position w:val="2"/>
                <w:sz w:val="18"/>
                <w:szCs w:val="18"/>
              </w:rPr>
              <w:t>2～5</w:t>
            </w:r>
          </w:p>
        </w:tc>
        <w:tc>
          <w:tcPr>
            <w:tcW w:w="2001" w:type="dxa"/>
            <w:tcBorders>
              <w:bottom w:val="single" w:color="000000" w:sz="4" w:space="0"/>
            </w:tcBorders>
            <w:vAlign w:val="top"/>
          </w:tcPr>
          <w:p>
            <w:pPr>
              <w:spacing w:before="250" w:line="260" w:lineRule="exact"/>
              <w:ind w:left="827"/>
              <w:rPr>
                <w:rFonts w:ascii="宋体" w:hAnsi="宋体" w:eastAsia="宋体" w:cs="宋体"/>
                <w:sz w:val="18"/>
                <w:szCs w:val="18"/>
              </w:rPr>
            </w:pPr>
            <w:r>
              <w:rPr>
                <w:rFonts w:ascii="宋体" w:hAnsi="宋体" w:eastAsia="宋体" w:cs="宋体"/>
                <w:spacing w:val="-14"/>
                <w:position w:val="2"/>
                <w:sz w:val="18"/>
                <w:szCs w:val="18"/>
              </w:rPr>
              <w:t>4～</w:t>
            </w:r>
            <w:r>
              <w:rPr>
                <w:rFonts w:ascii="宋体" w:hAnsi="宋体" w:eastAsia="宋体" w:cs="宋体"/>
                <w:spacing w:val="-53"/>
                <w:position w:val="2"/>
                <w:sz w:val="18"/>
                <w:szCs w:val="18"/>
              </w:rPr>
              <w:t xml:space="preserve"> </w:t>
            </w:r>
            <w:r>
              <w:rPr>
                <w:rFonts w:ascii="宋体" w:hAnsi="宋体" w:eastAsia="宋体" w:cs="宋体"/>
                <w:spacing w:val="-14"/>
                <w:position w:val="2"/>
                <w:sz w:val="18"/>
                <w:szCs w:val="18"/>
              </w:rPr>
              <w:t>8</w:t>
            </w:r>
          </w:p>
        </w:tc>
        <w:tc>
          <w:tcPr>
            <w:tcW w:w="2020" w:type="dxa"/>
            <w:tcBorders>
              <w:bottom w:val="single" w:color="000000" w:sz="4" w:space="0"/>
              <w:right w:val="single" w:color="000000" w:sz="4" w:space="0"/>
            </w:tcBorders>
            <w:vAlign w:val="top"/>
          </w:tcPr>
          <w:p>
            <w:pPr>
              <w:spacing w:before="250" w:line="260" w:lineRule="exact"/>
              <w:ind w:left="798"/>
              <w:rPr>
                <w:rFonts w:ascii="宋体" w:hAnsi="宋体" w:eastAsia="宋体" w:cs="宋体"/>
                <w:sz w:val="18"/>
                <w:szCs w:val="18"/>
              </w:rPr>
            </w:pPr>
            <w:r>
              <w:rPr>
                <w:rFonts w:ascii="宋体" w:hAnsi="宋体" w:eastAsia="宋体" w:cs="宋体"/>
                <w:spacing w:val="-17"/>
                <w:position w:val="1"/>
                <w:sz w:val="18"/>
                <w:szCs w:val="18"/>
              </w:rPr>
              <w:t>6～</w:t>
            </w:r>
            <w:r>
              <w:rPr>
                <w:rFonts w:ascii="宋体" w:hAnsi="宋体" w:eastAsia="宋体" w:cs="宋体"/>
                <w:spacing w:val="-41"/>
                <w:position w:val="1"/>
                <w:sz w:val="18"/>
                <w:szCs w:val="18"/>
              </w:rPr>
              <w:t xml:space="preserve"> </w:t>
            </w:r>
            <w:r>
              <w:rPr>
                <w:rFonts w:ascii="宋体" w:hAnsi="宋体" w:eastAsia="宋体" w:cs="宋体"/>
                <w:spacing w:val="-17"/>
                <w:position w:val="1"/>
                <w:sz w:val="18"/>
                <w:szCs w:val="18"/>
              </w:rPr>
              <w:t>10</w:t>
            </w:r>
          </w:p>
        </w:tc>
      </w:tr>
    </w:tbl>
    <w:p>
      <w:pPr>
        <w:spacing w:before="120" w:line="239" w:lineRule="exact"/>
        <w:ind w:left="5"/>
        <w:rPr>
          <w:rFonts w:ascii="宋体" w:hAnsi="宋体" w:eastAsia="宋体" w:cs="宋体"/>
          <w:sz w:val="18"/>
          <w:szCs w:val="18"/>
        </w:rPr>
      </w:pPr>
      <w:r>
        <w:rPr>
          <w:rFonts w:ascii="宋体" w:hAnsi="宋体" w:eastAsia="宋体" w:cs="宋体"/>
          <w:spacing w:val="-2"/>
          <w:position w:val="1"/>
          <w:sz w:val="18"/>
          <w:szCs w:val="18"/>
        </w:rPr>
        <w:t>注：1.参照相关评价标准，区分不同星级按照建设项目的建筑面积进行计算。</w:t>
      </w:r>
    </w:p>
    <w:p>
      <w:pPr>
        <w:spacing w:before="20" w:line="240" w:lineRule="exact"/>
        <w:ind w:left="362"/>
        <w:rPr>
          <w:rFonts w:ascii="宋体" w:hAnsi="宋体" w:eastAsia="宋体" w:cs="宋体"/>
          <w:sz w:val="18"/>
          <w:szCs w:val="18"/>
        </w:rPr>
      </w:pPr>
      <w:r>
        <w:rPr>
          <w:rFonts w:ascii="宋体" w:hAnsi="宋体" w:eastAsia="宋体" w:cs="宋体"/>
          <w:spacing w:val="-2"/>
          <w:position w:val="1"/>
          <w:sz w:val="18"/>
          <w:szCs w:val="18"/>
        </w:rPr>
        <w:t>2.该费用不再计取企业管理费、利润，仅计取增值</w:t>
      </w:r>
      <w:r>
        <w:rPr>
          <w:rFonts w:ascii="宋体" w:hAnsi="宋体" w:eastAsia="宋体" w:cs="宋体"/>
          <w:spacing w:val="-3"/>
          <w:position w:val="1"/>
          <w:sz w:val="18"/>
          <w:szCs w:val="18"/>
        </w:rPr>
        <w:t>税。</w:t>
      </w:r>
    </w:p>
    <w:p>
      <w:pPr>
        <w:spacing w:line="460" w:lineRule="auto"/>
        <w:rPr>
          <w:rFonts w:ascii="Arial"/>
          <w:sz w:val="21"/>
        </w:rPr>
      </w:pPr>
    </w:p>
    <w:p>
      <w:pPr>
        <w:spacing w:before="66" w:line="278" w:lineRule="exact"/>
        <w:ind w:left="427"/>
        <w:rPr>
          <w:rFonts w:ascii="宋体" w:hAnsi="宋体" w:eastAsia="宋体" w:cs="宋体"/>
          <w:sz w:val="20"/>
          <w:szCs w:val="20"/>
        </w:rPr>
      </w:pPr>
      <w:r>
        <w:rPr>
          <w:rFonts w:ascii="宋体" w:hAnsi="宋体" w:eastAsia="宋体" w:cs="宋体"/>
          <w:spacing w:val="16"/>
          <w:position w:val="1"/>
          <w:sz w:val="20"/>
          <w:szCs w:val="20"/>
        </w:rPr>
        <w:t>2.市政工程（单位：</w:t>
      </w:r>
      <w:r>
        <w:rPr>
          <w:rFonts w:ascii="宋体" w:hAnsi="宋体" w:eastAsia="宋体" w:cs="宋体"/>
          <w:spacing w:val="-43"/>
          <w:position w:val="1"/>
          <w:sz w:val="20"/>
          <w:szCs w:val="20"/>
        </w:rPr>
        <w:t xml:space="preserve"> </w:t>
      </w:r>
      <w:r>
        <w:rPr>
          <w:rFonts w:ascii="宋体" w:hAnsi="宋体" w:eastAsia="宋体" w:cs="宋体"/>
          <w:spacing w:val="16"/>
          <w:position w:val="1"/>
          <w:sz w:val="20"/>
          <w:szCs w:val="20"/>
        </w:rPr>
        <w:t>%）</w:t>
      </w:r>
    </w:p>
    <w:p>
      <w:pPr>
        <w:spacing w:line="93" w:lineRule="auto"/>
        <w:rPr>
          <w:rFonts w:ascii="Arial"/>
          <w:sz w:val="2"/>
        </w:rPr>
      </w:pPr>
    </w:p>
    <w:tbl>
      <w:tblPr>
        <w:tblStyle w:val="5"/>
        <w:tblW w:w="9079"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6"/>
        <w:gridCol w:w="1975"/>
        <w:gridCol w:w="1975"/>
        <w:gridCol w:w="19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8" w:hRule="atLeast"/>
        </w:trPr>
        <w:tc>
          <w:tcPr>
            <w:tcW w:w="3136" w:type="dxa"/>
            <w:tcBorders>
              <w:top w:val="single" w:color="000000" w:sz="4" w:space="0"/>
              <w:left w:val="single" w:color="000000" w:sz="4" w:space="0"/>
              <w:tl2br w:val="single" w:color="000000" w:sz="2" w:space="0"/>
            </w:tcBorders>
            <w:vAlign w:val="top"/>
          </w:tcPr>
          <w:p>
            <w:pPr>
              <w:spacing w:before="146" w:line="203" w:lineRule="auto"/>
              <w:ind w:left="2209"/>
              <w:rPr>
                <w:rFonts w:ascii="微软雅黑" w:hAnsi="微软雅黑" w:eastAsia="微软雅黑" w:cs="微软雅黑"/>
                <w:sz w:val="18"/>
                <w:szCs w:val="18"/>
              </w:rPr>
            </w:pPr>
            <w:r>
              <w:rPr>
                <w:rFonts w:ascii="微软雅黑" w:hAnsi="微软雅黑" w:eastAsia="微软雅黑" w:cs="微软雅黑"/>
                <w:spacing w:val="-4"/>
                <w:sz w:val="18"/>
                <w:szCs w:val="18"/>
              </w:rPr>
              <w:t>级别</w:t>
            </w:r>
          </w:p>
          <w:p>
            <w:pPr>
              <w:pStyle w:val="6"/>
              <w:spacing w:line="313" w:lineRule="auto"/>
            </w:pPr>
          </w:p>
          <w:p>
            <w:pPr>
              <w:spacing w:before="77" w:line="169" w:lineRule="auto"/>
              <w:ind w:left="120"/>
              <w:rPr>
                <w:rFonts w:ascii="微软雅黑" w:hAnsi="微软雅黑" w:eastAsia="微软雅黑" w:cs="微软雅黑"/>
                <w:sz w:val="18"/>
                <w:szCs w:val="18"/>
              </w:rPr>
            </w:pPr>
            <w:r>
              <w:rPr>
                <w:rFonts w:ascii="微软雅黑" w:hAnsi="微软雅黑" w:eastAsia="微软雅黑" w:cs="微软雅黑"/>
                <w:spacing w:val="-4"/>
                <w:sz w:val="18"/>
                <w:szCs w:val="18"/>
              </w:rPr>
              <w:t>计费造价</w:t>
            </w:r>
          </w:p>
        </w:tc>
        <w:tc>
          <w:tcPr>
            <w:tcW w:w="1975" w:type="dxa"/>
            <w:tcBorders>
              <w:top w:val="single" w:color="000000" w:sz="4" w:space="0"/>
            </w:tcBorders>
            <w:vAlign w:val="top"/>
          </w:tcPr>
          <w:p>
            <w:pPr>
              <w:pStyle w:val="6"/>
              <w:spacing w:line="374" w:lineRule="auto"/>
            </w:pPr>
          </w:p>
          <w:p>
            <w:pPr>
              <w:spacing w:before="78" w:line="203" w:lineRule="auto"/>
              <w:ind w:left="735"/>
              <w:rPr>
                <w:rFonts w:ascii="微软雅黑" w:hAnsi="微软雅黑" w:eastAsia="微软雅黑" w:cs="微软雅黑"/>
                <w:sz w:val="18"/>
                <w:szCs w:val="18"/>
              </w:rPr>
            </w:pPr>
            <w:r>
              <w:rPr>
                <w:rFonts w:ascii="微软雅黑" w:hAnsi="微软雅黑" w:eastAsia="微软雅黑" w:cs="微软雅黑"/>
                <w:spacing w:val="-4"/>
                <w:w w:val="98"/>
                <w:sz w:val="18"/>
                <w:szCs w:val="18"/>
              </w:rPr>
              <w:t>一星级</w:t>
            </w:r>
          </w:p>
        </w:tc>
        <w:tc>
          <w:tcPr>
            <w:tcW w:w="1975" w:type="dxa"/>
            <w:tcBorders>
              <w:top w:val="single" w:color="000000" w:sz="4" w:space="0"/>
            </w:tcBorders>
            <w:vAlign w:val="top"/>
          </w:tcPr>
          <w:p>
            <w:pPr>
              <w:pStyle w:val="6"/>
              <w:spacing w:line="374" w:lineRule="auto"/>
            </w:pPr>
          </w:p>
          <w:p>
            <w:pPr>
              <w:spacing w:before="78" w:line="203" w:lineRule="auto"/>
              <w:ind w:left="740"/>
              <w:rPr>
                <w:rFonts w:ascii="微软雅黑" w:hAnsi="微软雅黑" w:eastAsia="微软雅黑" w:cs="微软雅黑"/>
                <w:sz w:val="18"/>
                <w:szCs w:val="18"/>
              </w:rPr>
            </w:pPr>
            <w:r>
              <w:rPr>
                <w:rFonts w:ascii="微软雅黑" w:hAnsi="微软雅黑" w:eastAsia="微软雅黑" w:cs="微软雅黑"/>
                <w:spacing w:val="-6"/>
                <w:sz w:val="18"/>
                <w:szCs w:val="18"/>
              </w:rPr>
              <w:t>二星级</w:t>
            </w:r>
          </w:p>
        </w:tc>
        <w:tc>
          <w:tcPr>
            <w:tcW w:w="1993" w:type="dxa"/>
            <w:tcBorders>
              <w:top w:val="single" w:color="000000" w:sz="4" w:space="0"/>
              <w:right w:val="single" w:color="000000" w:sz="4" w:space="0"/>
            </w:tcBorders>
            <w:vAlign w:val="top"/>
          </w:tcPr>
          <w:p>
            <w:pPr>
              <w:pStyle w:val="6"/>
              <w:spacing w:line="374" w:lineRule="auto"/>
            </w:pPr>
          </w:p>
          <w:p>
            <w:pPr>
              <w:spacing w:before="78" w:line="203" w:lineRule="auto"/>
              <w:ind w:left="745"/>
              <w:rPr>
                <w:rFonts w:ascii="微软雅黑" w:hAnsi="微软雅黑" w:eastAsia="微软雅黑" w:cs="微软雅黑"/>
                <w:sz w:val="18"/>
                <w:szCs w:val="18"/>
              </w:rPr>
            </w:pPr>
            <w:r>
              <w:rPr>
                <w:rFonts w:ascii="微软雅黑" w:hAnsi="微软雅黑" w:eastAsia="微软雅黑" w:cs="微软雅黑"/>
                <w:spacing w:val="-7"/>
                <w:sz w:val="18"/>
                <w:szCs w:val="18"/>
              </w:rPr>
              <w:t>三星级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40" w:line="241" w:lineRule="exact"/>
              <w:ind w:left="193"/>
              <w:rPr>
                <w:rFonts w:ascii="宋体" w:hAnsi="宋体" w:eastAsia="宋体" w:cs="宋体"/>
                <w:sz w:val="18"/>
                <w:szCs w:val="18"/>
              </w:rPr>
            </w:pPr>
            <w:r>
              <w:rPr>
                <w:rFonts w:ascii="宋体" w:hAnsi="宋体" w:eastAsia="宋体" w:cs="宋体"/>
                <w:spacing w:val="-8"/>
                <w:position w:val="1"/>
                <w:sz w:val="18"/>
                <w:szCs w:val="18"/>
              </w:rPr>
              <w:t>≤0.5亿元部分（按0.5亿元计算）</w:t>
            </w:r>
          </w:p>
        </w:tc>
        <w:tc>
          <w:tcPr>
            <w:tcW w:w="1975" w:type="dxa"/>
            <w:vAlign w:val="top"/>
          </w:tcPr>
          <w:p>
            <w:pPr>
              <w:spacing w:before="157" w:line="259" w:lineRule="exact"/>
              <w:ind w:left="815"/>
              <w:rPr>
                <w:rFonts w:ascii="宋体" w:hAnsi="宋体" w:eastAsia="宋体" w:cs="宋体"/>
                <w:sz w:val="18"/>
                <w:szCs w:val="18"/>
              </w:rPr>
            </w:pPr>
            <w:r>
              <w:rPr>
                <w:rFonts w:ascii="宋体" w:hAnsi="宋体" w:eastAsia="宋体" w:cs="宋体"/>
                <w:spacing w:val="-14"/>
                <w:position w:val="2"/>
                <w:sz w:val="18"/>
                <w:szCs w:val="18"/>
              </w:rPr>
              <w:t>0.24</w:t>
            </w:r>
          </w:p>
        </w:tc>
        <w:tc>
          <w:tcPr>
            <w:tcW w:w="1975" w:type="dxa"/>
            <w:vAlign w:val="top"/>
          </w:tcPr>
          <w:p>
            <w:pPr>
              <w:spacing w:before="157" w:line="259" w:lineRule="exact"/>
              <w:ind w:left="820"/>
              <w:rPr>
                <w:rFonts w:ascii="宋体" w:hAnsi="宋体" w:eastAsia="宋体" w:cs="宋体"/>
                <w:sz w:val="18"/>
                <w:szCs w:val="18"/>
              </w:rPr>
            </w:pPr>
            <w:r>
              <w:rPr>
                <w:rFonts w:ascii="宋体" w:hAnsi="宋体" w:eastAsia="宋体" w:cs="宋体"/>
                <w:spacing w:val="-14"/>
                <w:position w:val="2"/>
                <w:sz w:val="18"/>
                <w:szCs w:val="18"/>
              </w:rPr>
              <w:t>0.34</w:t>
            </w:r>
          </w:p>
        </w:tc>
        <w:tc>
          <w:tcPr>
            <w:tcW w:w="1993" w:type="dxa"/>
            <w:tcBorders>
              <w:right w:val="single" w:color="000000" w:sz="4" w:space="0"/>
            </w:tcBorders>
            <w:vAlign w:val="top"/>
          </w:tcPr>
          <w:p>
            <w:pPr>
              <w:spacing w:before="157" w:line="259" w:lineRule="exact"/>
              <w:ind w:left="825"/>
              <w:rPr>
                <w:rFonts w:ascii="宋体" w:hAnsi="宋体" w:eastAsia="宋体" w:cs="宋体"/>
                <w:sz w:val="18"/>
                <w:szCs w:val="18"/>
              </w:rPr>
            </w:pPr>
            <w:r>
              <w:rPr>
                <w:rFonts w:ascii="宋体" w:hAnsi="宋体" w:eastAsia="宋体" w:cs="宋体"/>
                <w:spacing w:val="-14"/>
                <w:position w:val="2"/>
                <w:sz w:val="18"/>
                <w:szCs w:val="18"/>
              </w:rPr>
              <w:t>0.44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42" w:line="241" w:lineRule="exact"/>
              <w:ind w:left="558"/>
              <w:rPr>
                <w:rFonts w:ascii="宋体" w:hAnsi="宋体" w:eastAsia="宋体" w:cs="宋体"/>
                <w:sz w:val="18"/>
                <w:szCs w:val="18"/>
              </w:rPr>
            </w:pPr>
            <w:r>
              <w:rPr>
                <w:rFonts w:ascii="宋体" w:hAnsi="宋体" w:eastAsia="宋体" w:cs="宋体"/>
                <w:spacing w:val="-1"/>
                <w:position w:val="1"/>
                <w:sz w:val="18"/>
                <w:szCs w:val="18"/>
              </w:rPr>
              <w:t>&gt;0.5</w:t>
            </w:r>
            <w:r>
              <w:rPr>
                <w:rFonts w:ascii="宋体" w:hAnsi="宋体" w:eastAsia="宋体" w:cs="宋体"/>
                <w:spacing w:val="-46"/>
                <w:position w:val="1"/>
                <w:sz w:val="18"/>
                <w:szCs w:val="18"/>
              </w:rPr>
              <w:t xml:space="preserve"> </w:t>
            </w:r>
            <w:r>
              <w:rPr>
                <w:rFonts w:ascii="宋体" w:hAnsi="宋体" w:eastAsia="宋体" w:cs="宋体"/>
                <w:spacing w:val="-1"/>
                <w:position w:val="1"/>
                <w:sz w:val="18"/>
                <w:szCs w:val="18"/>
              </w:rPr>
              <w:t>亿元、</w:t>
            </w:r>
            <w:r>
              <w:rPr>
                <w:rFonts w:ascii="宋体" w:hAnsi="宋体" w:eastAsia="宋体" w:cs="宋体"/>
                <w:spacing w:val="-62"/>
                <w:position w:val="1"/>
                <w:sz w:val="18"/>
                <w:szCs w:val="18"/>
              </w:rPr>
              <w:t xml:space="preserve"> </w:t>
            </w:r>
            <w:r>
              <w:rPr>
                <w:rFonts w:ascii="宋体" w:hAnsi="宋体" w:eastAsia="宋体" w:cs="宋体"/>
                <w:spacing w:val="-1"/>
                <w:position w:val="1"/>
                <w:sz w:val="18"/>
                <w:szCs w:val="18"/>
              </w:rPr>
              <w:t>≤1亿元部分</w:t>
            </w:r>
          </w:p>
        </w:tc>
        <w:tc>
          <w:tcPr>
            <w:tcW w:w="1975" w:type="dxa"/>
            <w:vAlign w:val="top"/>
          </w:tcPr>
          <w:p>
            <w:pPr>
              <w:spacing w:before="159" w:line="258" w:lineRule="exact"/>
              <w:ind w:left="815"/>
              <w:rPr>
                <w:rFonts w:ascii="宋体" w:hAnsi="宋体" w:eastAsia="宋体" w:cs="宋体"/>
                <w:sz w:val="18"/>
                <w:szCs w:val="18"/>
              </w:rPr>
            </w:pPr>
            <w:r>
              <w:rPr>
                <w:rFonts w:ascii="宋体" w:hAnsi="宋体" w:eastAsia="宋体" w:cs="宋体"/>
                <w:spacing w:val="-14"/>
                <w:position w:val="1"/>
                <w:sz w:val="18"/>
                <w:szCs w:val="18"/>
              </w:rPr>
              <w:t>0.13</w:t>
            </w:r>
          </w:p>
        </w:tc>
        <w:tc>
          <w:tcPr>
            <w:tcW w:w="1975" w:type="dxa"/>
            <w:vAlign w:val="top"/>
          </w:tcPr>
          <w:p>
            <w:pPr>
              <w:spacing w:before="159" w:line="258" w:lineRule="exact"/>
              <w:ind w:left="820"/>
              <w:rPr>
                <w:rFonts w:ascii="宋体" w:hAnsi="宋体" w:eastAsia="宋体" w:cs="宋体"/>
                <w:sz w:val="18"/>
                <w:szCs w:val="18"/>
              </w:rPr>
            </w:pPr>
            <w:r>
              <w:rPr>
                <w:rFonts w:ascii="宋体" w:hAnsi="宋体" w:eastAsia="宋体" w:cs="宋体"/>
                <w:spacing w:val="-14"/>
                <w:position w:val="1"/>
                <w:sz w:val="18"/>
                <w:szCs w:val="18"/>
              </w:rPr>
              <w:t>0.21</w:t>
            </w:r>
          </w:p>
        </w:tc>
        <w:tc>
          <w:tcPr>
            <w:tcW w:w="1993" w:type="dxa"/>
            <w:tcBorders>
              <w:right w:val="single" w:color="000000" w:sz="4" w:space="0"/>
            </w:tcBorders>
            <w:vAlign w:val="top"/>
          </w:tcPr>
          <w:p>
            <w:pPr>
              <w:spacing w:before="159" w:line="258" w:lineRule="exact"/>
              <w:ind w:left="825"/>
              <w:rPr>
                <w:rFonts w:ascii="宋体" w:hAnsi="宋体" w:eastAsia="宋体" w:cs="宋体"/>
                <w:sz w:val="18"/>
                <w:szCs w:val="18"/>
              </w:rPr>
            </w:pPr>
            <w:r>
              <w:rPr>
                <w:rFonts w:ascii="宋体" w:hAnsi="宋体" w:eastAsia="宋体" w:cs="宋体"/>
                <w:spacing w:val="-14"/>
                <w:position w:val="1"/>
                <w:sz w:val="18"/>
                <w:szCs w:val="18"/>
              </w:rPr>
              <w:t>0.26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47" w:line="241" w:lineRule="exact"/>
              <w:ind w:left="649"/>
              <w:rPr>
                <w:rFonts w:ascii="宋体" w:hAnsi="宋体" w:eastAsia="宋体" w:cs="宋体"/>
                <w:sz w:val="18"/>
                <w:szCs w:val="18"/>
              </w:rPr>
            </w:pPr>
            <w:r>
              <w:rPr>
                <w:rFonts w:ascii="宋体" w:hAnsi="宋体" w:eastAsia="宋体" w:cs="宋体"/>
                <w:spacing w:val="5"/>
                <w:position w:val="1"/>
                <w:sz w:val="18"/>
                <w:szCs w:val="18"/>
              </w:rPr>
              <w:t>&gt;1</w:t>
            </w:r>
            <w:r>
              <w:rPr>
                <w:rFonts w:ascii="宋体" w:hAnsi="宋体" w:eastAsia="宋体" w:cs="宋体"/>
                <w:spacing w:val="-26"/>
                <w:position w:val="1"/>
                <w:sz w:val="18"/>
                <w:szCs w:val="18"/>
              </w:rPr>
              <w:t xml:space="preserve"> </w:t>
            </w:r>
            <w:r>
              <w:rPr>
                <w:rFonts w:ascii="宋体" w:hAnsi="宋体" w:eastAsia="宋体" w:cs="宋体"/>
                <w:spacing w:val="5"/>
                <w:position w:val="1"/>
                <w:sz w:val="18"/>
                <w:szCs w:val="18"/>
              </w:rPr>
              <w:t>亿元</w:t>
            </w:r>
            <w:r>
              <w:rPr>
                <w:rFonts w:ascii="宋体" w:hAnsi="宋体" w:eastAsia="宋体" w:cs="宋体"/>
                <w:spacing w:val="-51"/>
                <w:position w:val="1"/>
                <w:sz w:val="18"/>
                <w:szCs w:val="18"/>
              </w:rPr>
              <w:t xml:space="preserve"> </w:t>
            </w:r>
            <w:r>
              <w:rPr>
                <w:rFonts w:ascii="宋体" w:hAnsi="宋体" w:eastAsia="宋体" w:cs="宋体"/>
                <w:spacing w:val="5"/>
                <w:position w:val="1"/>
                <w:sz w:val="18"/>
                <w:szCs w:val="18"/>
              </w:rPr>
              <w:t>、</w:t>
            </w:r>
            <w:r>
              <w:rPr>
                <w:rFonts w:ascii="宋体" w:hAnsi="宋体" w:eastAsia="宋体" w:cs="宋体"/>
                <w:spacing w:val="-53"/>
                <w:position w:val="1"/>
                <w:sz w:val="18"/>
                <w:szCs w:val="18"/>
              </w:rPr>
              <w:t xml:space="preserve"> </w:t>
            </w:r>
            <w:r>
              <w:rPr>
                <w:rFonts w:ascii="宋体" w:hAnsi="宋体" w:eastAsia="宋体" w:cs="宋体"/>
                <w:spacing w:val="5"/>
                <w:position w:val="1"/>
                <w:sz w:val="18"/>
                <w:szCs w:val="18"/>
              </w:rPr>
              <w:t>≤</w:t>
            </w:r>
            <w:r>
              <w:rPr>
                <w:rFonts w:ascii="宋体" w:hAnsi="宋体" w:eastAsia="宋体" w:cs="宋体"/>
                <w:spacing w:val="-63"/>
                <w:position w:val="1"/>
                <w:sz w:val="18"/>
                <w:szCs w:val="18"/>
              </w:rPr>
              <w:t xml:space="preserve"> </w:t>
            </w:r>
            <w:r>
              <w:rPr>
                <w:rFonts w:ascii="宋体" w:hAnsi="宋体" w:eastAsia="宋体" w:cs="宋体"/>
                <w:spacing w:val="5"/>
                <w:position w:val="1"/>
                <w:sz w:val="18"/>
                <w:szCs w:val="18"/>
              </w:rPr>
              <w:t>3亿元部分</w:t>
            </w:r>
          </w:p>
        </w:tc>
        <w:tc>
          <w:tcPr>
            <w:tcW w:w="1975" w:type="dxa"/>
            <w:vAlign w:val="top"/>
          </w:tcPr>
          <w:p>
            <w:pPr>
              <w:spacing w:before="164" w:line="253" w:lineRule="exact"/>
              <w:ind w:left="815"/>
              <w:rPr>
                <w:rFonts w:ascii="宋体" w:hAnsi="宋体" w:eastAsia="宋体" w:cs="宋体"/>
                <w:sz w:val="18"/>
                <w:szCs w:val="18"/>
              </w:rPr>
            </w:pPr>
            <w:r>
              <w:rPr>
                <w:rFonts w:ascii="宋体" w:hAnsi="宋体" w:eastAsia="宋体" w:cs="宋体"/>
                <w:spacing w:val="-14"/>
                <w:position w:val="1"/>
                <w:sz w:val="18"/>
                <w:szCs w:val="18"/>
              </w:rPr>
              <w:t>0.06</w:t>
            </w:r>
          </w:p>
        </w:tc>
        <w:tc>
          <w:tcPr>
            <w:tcW w:w="1975" w:type="dxa"/>
            <w:vAlign w:val="top"/>
          </w:tcPr>
          <w:p>
            <w:pPr>
              <w:spacing w:before="164" w:line="253" w:lineRule="exact"/>
              <w:ind w:left="820"/>
              <w:rPr>
                <w:rFonts w:ascii="宋体" w:hAnsi="宋体" w:eastAsia="宋体" w:cs="宋体"/>
                <w:sz w:val="18"/>
                <w:szCs w:val="18"/>
              </w:rPr>
            </w:pPr>
            <w:r>
              <w:rPr>
                <w:rFonts w:ascii="宋体" w:hAnsi="宋体" w:eastAsia="宋体" w:cs="宋体"/>
                <w:spacing w:val="-14"/>
                <w:position w:val="1"/>
                <w:sz w:val="18"/>
                <w:szCs w:val="18"/>
              </w:rPr>
              <w:t>0.09</w:t>
            </w:r>
          </w:p>
        </w:tc>
        <w:tc>
          <w:tcPr>
            <w:tcW w:w="1993" w:type="dxa"/>
            <w:tcBorders>
              <w:right w:val="single" w:color="000000" w:sz="4" w:space="0"/>
            </w:tcBorders>
            <w:vAlign w:val="top"/>
          </w:tcPr>
          <w:p>
            <w:pPr>
              <w:spacing w:before="164" w:line="253" w:lineRule="exact"/>
              <w:ind w:left="825"/>
              <w:rPr>
                <w:rFonts w:ascii="宋体" w:hAnsi="宋体" w:eastAsia="宋体" w:cs="宋体"/>
                <w:sz w:val="18"/>
                <w:szCs w:val="18"/>
              </w:rPr>
            </w:pPr>
            <w:r>
              <w:rPr>
                <w:rFonts w:ascii="宋体" w:hAnsi="宋体" w:eastAsia="宋体" w:cs="宋体"/>
                <w:spacing w:val="-14"/>
                <w:position w:val="1"/>
                <w:sz w:val="18"/>
                <w:szCs w:val="18"/>
              </w:rPr>
              <w:t>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136" w:type="dxa"/>
            <w:tcBorders>
              <w:left w:val="single" w:color="000000" w:sz="4" w:space="0"/>
            </w:tcBorders>
            <w:vAlign w:val="top"/>
          </w:tcPr>
          <w:p>
            <w:pPr>
              <w:spacing w:before="150" w:line="240" w:lineRule="exact"/>
              <w:ind w:left="601"/>
              <w:rPr>
                <w:rFonts w:ascii="宋体" w:hAnsi="宋体" w:eastAsia="宋体" w:cs="宋体"/>
                <w:sz w:val="18"/>
                <w:szCs w:val="18"/>
              </w:rPr>
            </w:pPr>
            <w:r>
              <w:rPr>
                <w:rFonts w:ascii="宋体" w:hAnsi="宋体" w:eastAsia="宋体" w:cs="宋体"/>
                <w:spacing w:val="6"/>
                <w:position w:val="1"/>
                <w:sz w:val="18"/>
                <w:szCs w:val="18"/>
              </w:rPr>
              <w:t>&gt;3亿元、</w:t>
            </w:r>
            <w:r>
              <w:rPr>
                <w:rFonts w:ascii="宋体" w:hAnsi="宋体" w:eastAsia="宋体" w:cs="宋体"/>
                <w:spacing w:val="-58"/>
                <w:position w:val="1"/>
                <w:sz w:val="18"/>
                <w:szCs w:val="18"/>
              </w:rPr>
              <w:t xml:space="preserve"> </w:t>
            </w:r>
            <w:r>
              <w:rPr>
                <w:rFonts w:ascii="宋体" w:hAnsi="宋体" w:eastAsia="宋体" w:cs="宋体"/>
                <w:spacing w:val="6"/>
                <w:position w:val="1"/>
                <w:sz w:val="18"/>
                <w:szCs w:val="18"/>
              </w:rPr>
              <w:t>≤10亿元部分</w:t>
            </w:r>
          </w:p>
        </w:tc>
        <w:tc>
          <w:tcPr>
            <w:tcW w:w="1975" w:type="dxa"/>
            <w:vAlign w:val="top"/>
          </w:tcPr>
          <w:p>
            <w:pPr>
              <w:spacing w:before="166" w:line="249" w:lineRule="exact"/>
              <w:ind w:left="815"/>
              <w:rPr>
                <w:rFonts w:ascii="宋体" w:hAnsi="宋体" w:eastAsia="宋体" w:cs="宋体"/>
                <w:sz w:val="18"/>
                <w:szCs w:val="18"/>
              </w:rPr>
            </w:pPr>
            <w:r>
              <w:rPr>
                <w:rFonts w:ascii="宋体" w:hAnsi="宋体" w:eastAsia="宋体" w:cs="宋体"/>
                <w:spacing w:val="-14"/>
                <w:position w:val="1"/>
                <w:sz w:val="18"/>
                <w:szCs w:val="18"/>
              </w:rPr>
              <w:t>0.04</w:t>
            </w:r>
          </w:p>
        </w:tc>
        <w:tc>
          <w:tcPr>
            <w:tcW w:w="1975" w:type="dxa"/>
            <w:vAlign w:val="top"/>
          </w:tcPr>
          <w:p>
            <w:pPr>
              <w:spacing w:before="166" w:line="249" w:lineRule="exact"/>
              <w:ind w:left="820"/>
              <w:rPr>
                <w:rFonts w:ascii="宋体" w:hAnsi="宋体" w:eastAsia="宋体" w:cs="宋体"/>
                <w:sz w:val="18"/>
                <w:szCs w:val="18"/>
              </w:rPr>
            </w:pPr>
            <w:r>
              <w:rPr>
                <w:rFonts w:ascii="宋体" w:hAnsi="宋体" w:eastAsia="宋体" w:cs="宋体"/>
                <w:spacing w:val="-14"/>
                <w:position w:val="1"/>
                <w:sz w:val="18"/>
                <w:szCs w:val="18"/>
              </w:rPr>
              <w:t>0.06</w:t>
            </w:r>
          </w:p>
        </w:tc>
        <w:tc>
          <w:tcPr>
            <w:tcW w:w="1993" w:type="dxa"/>
            <w:tcBorders>
              <w:right w:val="single" w:color="000000" w:sz="4" w:space="0"/>
            </w:tcBorders>
            <w:vAlign w:val="top"/>
          </w:tcPr>
          <w:p>
            <w:pPr>
              <w:spacing w:before="166" w:line="249" w:lineRule="exact"/>
              <w:ind w:left="825"/>
              <w:rPr>
                <w:rFonts w:ascii="宋体" w:hAnsi="宋体" w:eastAsia="宋体" w:cs="宋体"/>
                <w:sz w:val="18"/>
                <w:szCs w:val="18"/>
              </w:rPr>
            </w:pPr>
            <w:r>
              <w:rPr>
                <w:rFonts w:ascii="宋体" w:hAnsi="宋体" w:eastAsia="宋体" w:cs="宋体"/>
                <w:spacing w:val="-14"/>
                <w:position w:val="1"/>
                <w:sz w:val="18"/>
                <w:szCs w:val="18"/>
              </w:rPr>
              <w:t>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2" w:hRule="atLeast"/>
        </w:trPr>
        <w:tc>
          <w:tcPr>
            <w:tcW w:w="3136" w:type="dxa"/>
            <w:tcBorders>
              <w:left w:val="single" w:color="000000" w:sz="4" w:space="0"/>
              <w:bottom w:val="single" w:color="000000" w:sz="4" w:space="0"/>
            </w:tcBorders>
            <w:vAlign w:val="top"/>
          </w:tcPr>
          <w:p>
            <w:pPr>
              <w:spacing w:before="153" w:line="241" w:lineRule="exact"/>
              <w:ind w:left="1031"/>
              <w:rPr>
                <w:rFonts w:ascii="宋体" w:hAnsi="宋体" w:eastAsia="宋体" w:cs="宋体"/>
                <w:sz w:val="18"/>
                <w:szCs w:val="18"/>
              </w:rPr>
            </w:pPr>
            <w:r>
              <w:rPr>
                <w:rFonts w:ascii="宋体" w:hAnsi="宋体" w:eastAsia="宋体" w:cs="宋体"/>
                <w:spacing w:val="13"/>
                <w:position w:val="1"/>
                <w:sz w:val="18"/>
                <w:szCs w:val="18"/>
              </w:rPr>
              <w:t>&gt;10亿元部分</w:t>
            </w:r>
          </w:p>
        </w:tc>
        <w:tc>
          <w:tcPr>
            <w:tcW w:w="1975" w:type="dxa"/>
            <w:tcBorders>
              <w:bottom w:val="single" w:color="000000" w:sz="4" w:space="0"/>
            </w:tcBorders>
            <w:vAlign w:val="top"/>
          </w:tcPr>
          <w:p>
            <w:pPr>
              <w:spacing w:before="170" w:line="259" w:lineRule="exact"/>
              <w:ind w:left="815"/>
              <w:rPr>
                <w:rFonts w:ascii="宋体" w:hAnsi="宋体" w:eastAsia="宋体" w:cs="宋体"/>
                <w:sz w:val="18"/>
                <w:szCs w:val="18"/>
              </w:rPr>
            </w:pPr>
            <w:r>
              <w:rPr>
                <w:rFonts w:ascii="宋体" w:hAnsi="宋体" w:eastAsia="宋体" w:cs="宋体"/>
                <w:spacing w:val="-14"/>
                <w:position w:val="2"/>
                <w:sz w:val="18"/>
                <w:szCs w:val="18"/>
              </w:rPr>
              <w:t>0.02</w:t>
            </w:r>
          </w:p>
        </w:tc>
        <w:tc>
          <w:tcPr>
            <w:tcW w:w="1975" w:type="dxa"/>
            <w:tcBorders>
              <w:bottom w:val="single" w:color="000000" w:sz="4" w:space="0"/>
            </w:tcBorders>
            <w:vAlign w:val="top"/>
          </w:tcPr>
          <w:p>
            <w:pPr>
              <w:spacing w:before="170" w:line="259" w:lineRule="exact"/>
              <w:ind w:left="820"/>
              <w:rPr>
                <w:rFonts w:ascii="宋体" w:hAnsi="宋体" w:eastAsia="宋体" w:cs="宋体"/>
                <w:sz w:val="18"/>
                <w:szCs w:val="18"/>
              </w:rPr>
            </w:pPr>
            <w:r>
              <w:rPr>
                <w:rFonts w:ascii="宋体" w:hAnsi="宋体" w:eastAsia="宋体" w:cs="宋体"/>
                <w:spacing w:val="-14"/>
                <w:position w:val="2"/>
                <w:sz w:val="18"/>
                <w:szCs w:val="18"/>
              </w:rPr>
              <w:t>0.03</w:t>
            </w:r>
          </w:p>
        </w:tc>
        <w:tc>
          <w:tcPr>
            <w:tcW w:w="1993" w:type="dxa"/>
            <w:tcBorders>
              <w:bottom w:val="single" w:color="000000" w:sz="4" w:space="0"/>
              <w:right w:val="single" w:color="000000" w:sz="4" w:space="0"/>
            </w:tcBorders>
            <w:vAlign w:val="top"/>
          </w:tcPr>
          <w:p>
            <w:pPr>
              <w:spacing w:before="170" w:line="259" w:lineRule="exact"/>
              <w:ind w:left="825"/>
              <w:rPr>
                <w:rFonts w:ascii="宋体" w:hAnsi="宋体" w:eastAsia="宋体" w:cs="宋体"/>
                <w:sz w:val="18"/>
                <w:szCs w:val="18"/>
              </w:rPr>
            </w:pPr>
            <w:r>
              <w:rPr>
                <w:rFonts w:ascii="宋体" w:hAnsi="宋体" w:eastAsia="宋体" w:cs="宋体"/>
                <w:spacing w:val="-14"/>
                <w:position w:val="2"/>
                <w:sz w:val="18"/>
                <w:szCs w:val="18"/>
              </w:rPr>
              <w:t>0.04</w:t>
            </w:r>
          </w:p>
        </w:tc>
      </w:tr>
    </w:tbl>
    <w:p>
      <w:pPr>
        <w:spacing w:before="84" w:line="240" w:lineRule="exact"/>
        <w:ind w:left="5"/>
        <w:rPr>
          <w:rFonts w:ascii="宋体" w:hAnsi="宋体" w:eastAsia="宋体" w:cs="宋体"/>
          <w:sz w:val="18"/>
          <w:szCs w:val="18"/>
        </w:rPr>
      </w:pPr>
      <w:r>
        <w:rPr>
          <w:rFonts w:ascii="宋体" w:hAnsi="宋体" w:eastAsia="宋体" w:cs="宋体"/>
          <w:spacing w:val="-1"/>
          <w:position w:val="1"/>
          <w:sz w:val="18"/>
          <w:szCs w:val="18"/>
        </w:rPr>
        <w:t>注：1.该费用包括基础项和推广项要求的各项内容，已综合考虑了与安全文明措施费等</w:t>
      </w:r>
      <w:r>
        <w:rPr>
          <w:rFonts w:ascii="宋体" w:hAnsi="宋体" w:eastAsia="宋体" w:cs="宋体"/>
          <w:spacing w:val="-2"/>
          <w:position w:val="1"/>
          <w:sz w:val="18"/>
          <w:szCs w:val="18"/>
        </w:rPr>
        <w:t>项目的交叉部分。</w:t>
      </w:r>
    </w:p>
    <w:p>
      <w:pPr>
        <w:spacing w:before="60" w:line="239" w:lineRule="exact"/>
        <w:ind w:left="362"/>
        <w:rPr>
          <w:rFonts w:ascii="宋体" w:hAnsi="宋体" w:eastAsia="宋体" w:cs="宋体"/>
          <w:sz w:val="18"/>
          <w:szCs w:val="18"/>
        </w:rPr>
      </w:pPr>
      <w:r>
        <w:rPr>
          <w:rFonts w:ascii="宋体" w:hAnsi="宋体" w:eastAsia="宋体" w:cs="宋体"/>
          <w:spacing w:val="-2"/>
          <w:position w:val="1"/>
          <w:sz w:val="18"/>
          <w:szCs w:val="18"/>
        </w:rPr>
        <w:t>2.该费用为包括企业管理费、利润、增值税在内的全费用价格。</w:t>
      </w:r>
    </w:p>
    <w:p>
      <w:pPr>
        <w:spacing w:before="61" w:line="287" w:lineRule="auto"/>
        <w:ind w:left="1" w:right="30" w:firstLine="368"/>
        <w:rPr>
          <w:rFonts w:ascii="宋体" w:hAnsi="宋体" w:eastAsia="宋体" w:cs="宋体"/>
          <w:sz w:val="18"/>
          <w:szCs w:val="18"/>
        </w:rPr>
      </w:pPr>
      <w:r>
        <w:rPr>
          <w:rFonts w:ascii="宋体" w:hAnsi="宋体" w:eastAsia="宋体" w:cs="宋体"/>
          <w:sz w:val="18"/>
          <w:szCs w:val="18"/>
        </w:rPr>
        <w:t>3.“市政工程智慧工地建设费 ”计取时，以不含设备费的工程造价（</w:t>
      </w:r>
      <w:r>
        <w:rPr>
          <w:rFonts w:ascii="宋体" w:hAnsi="宋体" w:eastAsia="宋体" w:cs="宋体"/>
          <w:spacing w:val="-32"/>
          <w:sz w:val="18"/>
          <w:szCs w:val="18"/>
        </w:rPr>
        <w:t xml:space="preserve"> </w:t>
      </w:r>
      <w:r>
        <w:rPr>
          <w:rFonts w:ascii="宋体" w:hAnsi="宋体" w:eastAsia="宋体" w:cs="宋体"/>
          <w:sz w:val="18"/>
          <w:szCs w:val="18"/>
        </w:rPr>
        <w:t>以下简称“计费造价 ”）为基数，区分</w:t>
      </w:r>
      <w:r>
        <w:rPr>
          <w:rFonts w:ascii="宋体" w:hAnsi="宋体" w:eastAsia="宋体" w:cs="宋体"/>
          <w:spacing w:val="-3"/>
          <w:sz w:val="18"/>
          <w:szCs w:val="18"/>
        </w:rPr>
        <w:t>0.5</w:t>
      </w:r>
      <w:r>
        <w:rPr>
          <w:rFonts w:ascii="宋体" w:hAnsi="宋体" w:eastAsia="宋体" w:cs="宋体"/>
          <w:spacing w:val="-41"/>
          <w:sz w:val="18"/>
          <w:szCs w:val="18"/>
        </w:rPr>
        <w:t xml:space="preserve"> </w:t>
      </w:r>
      <w:r>
        <w:rPr>
          <w:rFonts w:ascii="宋体" w:hAnsi="宋体" w:eastAsia="宋体" w:cs="宋体"/>
          <w:spacing w:val="-3"/>
          <w:sz w:val="18"/>
          <w:szCs w:val="18"/>
        </w:rPr>
        <w:t>亿元以内、0.5～1</w:t>
      </w:r>
      <w:r>
        <w:rPr>
          <w:rFonts w:ascii="宋体" w:hAnsi="宋体" w:eastAsia="宋体" w:cs="宋体"/>
          <w:spacing w:val="-43"/>
          <w:sz w:val="18"/>
          <w:szCs w:val="18"/>
        </w:rPr>
        <w:t xml:space="preserve"> </w:t>
      </w:r>
      <w:r>
        <w:rPr>
          <w:rFonts w:ascii="宋体" w:hAnsi="宋体" w:eastAsia="宋体" w:cs="宋体"/>
          <w:spacing w:val="-3"/>
          <w:sz w:val="18"/>
          <w:szCs w:val="18"/>
        </w:rPr>
        <w:t>亿元、1～</w:t>
      </w:r>
      <w:r>
        <w:rPr>
          <w:rFonts w:ascii="宋体" w:hAnsi="宋体" w:eastAsia="宋体" w:cs="宋体"/>
          <w:spacing w:val="-49"/>
          <w:sz w:val="18"/>
          <w:szCs w:val="18"/>
        </w:rPr>
        <w:t xml:space="preserve"> </w:t>
      </w:r>
      <w:r>
        <w:rPr>
          <w:rFonts w:ascii="宋体" w:hAnsi="宋体" w:eastAsia="宋体" w:cs="宋体"/>
          <w:spacing w:val="-3"/>
          <w:sz w:val="18"/>
          <w:szCs w:val="18"/>
        </w:rPr>
        <w:t>3 亿元</w:t>
      </w:r>
      <w:r>
        <w:rPr>
          <w:rFonts w:ascii="宋体" w:hAnsi="宋体" w:eastAsia="宋体" w:cs="宋体"/>
          <w:spacing w:val="-4"/>
          <w:sz w:val="18"/>
          <w:szCs w:val="18"/>
        </w:rPr>
        <w:t>、3～</w:t>
      </w:r>
      <w:r>
        <w:rPr>
          <w:rFonts w:ascii="宋体" w:hAnsi="宋体" w:eastAsia="宋体" w:cs="宋体"/>
          <w:spacing w:val="-36"/>
          <w:sz w:val="18"/>
          <w:szCs w:val="18"/>
        </w:rPr>
        <w:t xml:space="preserve"> </w:t>
      </w:r>
      <w:r>
        <w:rPr>
          <w:rFonts w:ascii="宋体" w:hAnsi="宋体" w:eastAsia="宋体" w:cs="宋体"/>
          <w:spacing w:val="-4"/>
          <w:sz w:val="18"/>
          <w:szCs w:val="18"/>
        </w:rPr>
        <w:t>10 亿元、10 亿元以上等档位，采用差额定率累进方式，各档位内计费</w:t>
      </w:r>
      <w:r>
        <w:rPr>
          <w:rFonts w:ascii="宋体" w:hAnsi="宋体" w:eastAsia="宋体" w:cs="宋体"/>
          <w:spacing w:val="-1"/>
          <w:sz w:val="18"/>
          <w:szCs w:val="18"/>
        </w:rPr>
        <w:t>造价分别乘以相应费率计算。计费造价不足0.5</w:t>
      </w:r>
      <w:r>
        <w:rPr>
          <w:rFonts w:ascii="宋体" w:hAnsi="宋体" w:eastAsia="宋体" w:cs="宋体"/>
          <w:spacing w:val="-2"/>
          <w:sz w:val="18"/>
          <w:szCs w:val="18"/>
        </w:rPr>
        <w:t xml:space="preserve"> 亿元的，按 0.5 亿元计算。</w:t>
      </w:r>
    </w:p>
    <w:p>
      <w:pPr>
        <w:spacing w:before="61" w:line="240" w:lineRule="exact"/>
        <w:ind w:left="364"/>
        <w:rPr>
          <w:rFonts w:ascii="宋体" w:hAnsi="宋体" w:eastAsia="宋体" w:cs="宋体"/>
          <w:sz w:val="18"/>
          <w:szCs w:val="18"/>
        </w:rPr>
      </w:pPr>
      <w:r>
        <w:rPr>
          <w:rFonts w:ascii="宋体" w:hAnsi="宋体" w:eastAsia="宋体" w:cs="宋体"/>
          <w:position w:val="1"/>
          <w:sz w:val="18"/>
          <w:szCs w:val="18"/>
        </w:rPr>
        <w:t>4.BIM 施工模型、建筑机器人、智慧厂站和智慧展馆建设等费用不含在上</w:t>
      </w:r>
      <w:r>
        <w:rPr>
          <w:rFonts w:ascii="宋体" w:hAnsi="宋体" w:eastAsia="宋体" w:cs="宋体"/>
          <w:spacing w:val="-1"/>
          <w:position w:val="1"/>
          <w:sz w:val="18"/>
          <w:szCs w:val="18"/>
        </w:rPr>
        <w:t>述费率中，发生时另行计算。</w:t>
      </w:r>
    </w:p>
    <w:p>
      <w:pPr>
        <w:spacing w:line="450" w:lineRule="auto"/>
        <w:rPr>
          <w:rFonts w:ascii="Arial"/>
          <w:sz w:val="21"/>
        </w:rPr>
      </w:pPr>
    </w:p>
    <w:p>
      <w:pPr>
        <w:spacing w:before="78" w:line="214" w:lineRule="auto"/>
        <w:ind w:left="420"/>
        <w:rPr>
          <w:rFonts w:ascii="KaiTi_GB2312" w:hAnsi="KaiTi_GB2312" w:eastAsia="KaiTi_GB2312" w:cs="KaiTi_GB2312"/>
          <w:sz w:val="24"/>
          <w:szCs w:val="24"/>
        </w:rPr>
      </w:pPr>
      <w:r>
        <w:rPr>
          <w:rFonts w:ascii="KaiTi_GB2312" w:hAnsi="KaiTi_GB2312" w:eastAsia="KaiTi_GB2312" w:cs="KaiTi_GB2312"/>
          <w:spacing w:val="4"/>
          <w:sz w:val="24"/>
          <w:szCs w:val="24"/>
        </w:rPr>
        <w:t>（</w:t>
      </w:r>
      <w:r>
        <w:rPr>
          <w:rFonts w:ascii="KaiTi_GB2312" w:hAnsi="KaiTi_GB2312" w:eastAsia="KaiTi_GB2312" w:cs="KaiTi_GB2312"/>
          <w:spacing w:val="-40"/>
          <w:sz w:val="24"/>
          <w:szCs w:val="24"/>
        </w:rPr>
        <w:t xml:space="preserve"> </w:t>
      </w:r>
      <w:r>
        <w:rPr>
          <w:rFonts w:ascii="KaiTi_GB2312" w:hAnsi="KaiTi_GB2312" w:eastAsia="KaiTi_GB2312" w:cs="KaiTi_GB2312"/>
          <w:spacing w:val="4"/>
          <w:sz w:val="24"/>
          <w:szCs w:val="24"/>
        </w:rPr>
        <w:t>四）二次搬运费补充说明</w:t>
      </w:r>
    </w:p>
    <w:p>
      <w:pPr>
        <w:spacing w:line="285" w:lineRule="auto"/>
        <w:rPr>
          <w:rFonts w:ascii="Arial"/>
          <w:sz w:val="21"/>
        </w:rPr>
      </w:pPr>
    </w:p>
    <w:p>
      <w:pPr>
        <w:spacing w:before="66" w:line="273" w:lineRule="auto"/>
        <w:ind w:right="32" w:firstLine="420"/>
        <w:jc w:val="both"/>
        <w:rPr>
          <w:rFonts w:ascii="宋体" w:hAnsi="宋体" w:eastAsia="宋体" w:cs="宋体"/>
          <w:sz w:val="20"/>
          <w:szCs w:val="20"/>
        </w:rPr>
      </w:pPr>
      <w:r>
        <w:rPr>
          <w:rFonts w:ascii="宋体" w:hAnsi="宋体" w:eastAsia="宋体" w:cs="宋体"/>
          <w:spacing w:val="11"/>
          <w:sz w:val="20"/>
          <w:szCs w:val="20"/>
        </w:rPr>
        <w:t>施工现场的场地，受工程规模、工程地点、周边情况等因素影响而不同。若确因</w:t>
      </w:r>
      <w:r>
        <w:rPr>
          <w:rFonts w:ascii="宋体" w:hAnsi="宋体" w:eastAsia="宋体" w:cs="宋体"/>
          <w:spacing w:val="10"/>
          <w:sz w:val="20"/>
          <w:szCs w:val="20"/>
        </w:rPr>
        <w:t>场地因素无法</w:t>
      </w:r>
      <w:r>
        <w:rPr>
          <w:rFonts w:ascii="宋体" w:hAnsi="宋体" w:eastAsia="宋体" w:cs="宋体"/>
          <w:spacing w:val="11"/>
          <w:sz w:val="20"/>
          <w:szCs w:val="20"/>
        </w:rPr>
        <w:t>满足存放材料的条件，必须在施工现场之外存放材料、或必须在施工现场采用立</w:t>
      </w:r>
      <w:r>
        <w:rPr>
          <w:rFonts w:ascii="宋体" w:hAnsi="宋体" w:eastAsia="宋体" w:cs="宋体"/>
          <w:spacing w:val="10"/>
          <w:sz w:val="20"/>
          <w:szCs w:val="20"/>
        </w:rPr>
        <w:t>体架构形式存放材</w:t>
      </w:r>
      <w:r>
        <w:rPr>
          <w:rFonts w:ascii="宋体" w:hAnsi="宋体" w:eastAsia="宋体" w:cs="宋体"/>
          <w:spacing w:val="8"/>
          <w:sz w:val="20"/>
          <w:szCs w:val="20"/>
        </w:rPr>
        <w:t>料时，其由场外到场内的运输费用、或立体架构所发生的搭设费用， 由发承包双方协商处理，另行</w:t>
      </w:r>
      <w:r>
        <w:rPr>
          <w:rFonts w:ascii="宋体" w:hAnsi="宋体" w:eastAsia="宋体" w:cs="宋体"/>
          <w:spacing w:val="5"/>
          <w:sz w:val="20"/>
          <w:szCs w:val="20"/>
        </w:rPr>
        <w:t>计算。</w:t>
      </w:r>
    </w:p>
    <w:p>
      <w:pPr>
        <w:spacing w:line="273" w:lineRule="auto"/>
        <w:rPr>
          <w:rFonts w:ascii="宋体" w:hAnsi="宋体" w:eastAsia="宋体" w:cs="宋体"/>
          <w:sz w:val="20"/>
          <w:szCs w:val="20"/>
        </w:rPr>
        <w:sectPr>
          <w:footerReference r:id="rId76" w:type="default"/>
          <w:pgSz w:w="11905" w:h="16840"/>
          <w:pgMar w:top="400" w:right="1386" w:bottom="1213" w:left="1418" w:header="0" w:footer="898" w:gutter="0"/>
        </w:sect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8" w:line="221" w:lineRule="auto"/>
        <w:ind w:left="485"/>
        <w:rPr>
          <w:rFonts w:ascii="黑体" w:hAnsi="黑体" w:eastAsia="黑体" w:cs="黑体"/>
          <w:sz w:val="24"/>
          <w:szCs w:val="24"/>
        </w:rPr>
      </w:pPr>
      <w:r>
        <w:rPr>
          <w:rFonts w:ascii="黑体" w:hAnsi="黑体" w:eastAsia="黑体" w:cs="黑体"/>
          <w:spacing w:val="-5"/>
          <w:sz w:val="24"/>
          <w:szCs w:val="24"/>
        </w:rPr>
        <w:t>二、企业管理费、利润</w:t>
      </w:r>
    </w:p>
    <w:p>
      <w:pPr>
        <w:spacing w:before="237" w:line="279" w:lineRule="exact"/>
        <w:ind w:left="446"/>
        <w:rPr>
          <w:rFonts w:ascii="宋体" w:hAnsi="宋体" w:eastAsia="宋体" w:cs="宋体"/>
          <w:sz w:val="20"/>
          <w:szCs w:val="20"/>
        </w:rPr>
      </w:pPr>
      <w:r>
        <w:rPr>
          <w:rFonts w:ascii="宋体" w:hAnsi="宋体" w:eastAsia="宋体" w:cs="宋体"/>
          <w:spacing w:val="14"/>
          <w:position w:val="1"/>
          <w:sz w:val="20"/>
          <w:szCs w:val="20"/>
        </w:rPr>
        <w:t>1.一般计税法（单位：</w:t>
      </w:r>
      <w:r>
        <w:rPr>
          <w:rFonts w:ascii="宋体" w:hAnsi="宋体" w:eastAsia="宋体" w:cs="宋体"/>
          <w:spacing w:val="-46"/>
          <w:position w:val="1"/>
          <w:sz w:val="20"/>
          <w:szCs w:val="20"/>
        </w:rPr>
        <w:t xml:space="preserve"> </w:t>
      </w:r>
      <w:r>
        <w:rPr>
          <w:rFonts w:ascii="宋体" w:hAnsi="宋体" w:eastAsia="宋体" w:cs="宋体"/>
          <w:spacing w:val="14"/>
          <w:position w:val="1"/>
          <w:sz w:val="20"/>
          <w:szCs w:val="20"/>
        </w:rPr>
        <w:t>%）</w:t>
      </w:r>
    </w:p>
    <w:p>
      <w:pPr>
        <w:spacing w:line="75"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1"/>
        <w:gridCol w:w="2379"/>
        <w:gridCol w:w="872"/>
        <w:gridCol w:w="955"/>
        <w:gridCol w:w="956"/>
        <w:gridCol w:w="955"/>
        <w:gridCol w:w="956"/>
        <w:gridCol w:w="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0" w:hRule="atLeast"/>
        </w:trPr>
        <w:tc>
          <w:tcPr>
            <w:tcW w:w="3410" w:type="dxa"/>
            <w:gridSpan w:val="2"/>
            <w:vMerge w:val="restart"/>
            <w:tcBorders>
              <w:top w:val="single" w:color="000000" w:sz="4" w:space="0"/>
              <w:left w:val="single" w:color="000000" w:sz="4" w:space="0"/>
              <w:bottom w:val="nil"/>
              <w:tl2br w:val="single" w:color="000000" w:sz="4" w:space="0"/>
            </w:tcBorders>
            <w:vAlign w:val="top"/>
          </w:tcPr>
          <w:p>
            <w:pPr>
              <w:spacing w:before="284" w:line="249" w:lineRule="auto"/>
              <w:ind w:left="213" w:right="746" w:firstLine="1738"/>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2783" w:type="dxa"/>
            <w:gridSpan w:val="3"/>
            <w:tcBorders>
              <w:top w:val="single" w:color="000000" w:sz="4" w:space="0"/>
            </w:tcBorders>
            <w:vAlign w:val="top"/>
          </w:tcPr>
          <w:p>
            <w:pPr>
              <w:spacing w:before="186" w:line="202" w:lineRule="auto"/>
              <w:ind w:left="953"/>
              <w:rPr>
                <w:rFonts w:ascii="微软雅黑" w:hAnsi="微软雅黑" w:eastAsia="微软雅黑" w:cs="微软雅黑"/>
                <w:sz w:val="18"/>
                <w:szCs w:val="18"/>
              </w:rPr>
            </w:pPr>
            <w:r>
              <w:rPr>
                <w:rFonts w:ascii="微软雅黑" w:hAnsi="微软雅黑" w:eastAsia="微软雅黑" w:cs="微软雅黑"/>
                <w:spacing w:val="-4"/>
                <w:sz w:val="18"/>
                <w:szCs w:val="18"/>
              </w:rPr>
              <w:t>企业管理费</w:t>
            </w:r>
          </w:p>
        </w:tc>
        <w:tc>
          <w:tcPr>
            <w:tcW w:w="2886" w:type="dxa"/>
            <w:gridSpan w:val="3"/>
            <w:tcBorders>
              <w:top w:val="single" w:color="000000" w:sz="4" w:space="0"/>
              <w:right w:val="single" w:color="000000" w:sz="4" w:space="0"/>
            </w:tcBorders>
            <w:vAlign w:val="top"/>
          </w:tcPr>
          <w:p>
            <w:pPr>
              <w:spacing w:before="186" w:line="203" w:lineRule="auto"/>
              <w:ind w:left="1275"/>
              <w:rPr>
                <w:rFonts w:ascii="微软雅黑" w:hAnsi="微软雅黑" w:eastAsia="微软雅黑" w:cs="微软雅黑"/>
                <w:sz w:val="18"/>
                <w:szCs w:val="18"/>
              </w:rPr>
            </w:pPr>
            <w:r>
              <w:rPr>
                <w:rFonts w:ascii="微软雅黑" w:hAnsi="微软雅黑" w:eastAsia="微软雅黑" w:cs="微软雅黑"/>
                <w:spacing w:val="-5"/>
                <w:sz w:val="18"/>
                <w:szCs w:val="18"/>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3410" w:type="dxa"/>
            <w:gridSpan w:val="2"/>
            <w:vMerge w:val="continue"/>
            <w:tcBorders>
              <w:top w:val="nil"/>
              <w:left w:val="single" w:color="000000" w:sz="4" w:space="0"/>
              <w:tl2br w:val="single" w:color="000000" w:sz="4" w:space="0"/>
            </w:tcBorders>
            <w:vAlign w:val="top"/>
          </w:tcPr>
          <w:p>
            <w:pPr>
              <w:pStyle w:val="6"/>
            </w:pPr>
          </w:p>
        </w:tc>
        <w:tc>
          <w:tcPr>
            <w:tcW w:w="872" w:type="dxa"/>
            <w:vAlign w:val="top"/>
          </w:tcPr>
          <w:p>
            <w:pPr>
              <w:spacing w:before="192" w:line="257" w:lineRule="exact"/>
              <w:ind w:left="408"/>
              <w:rPr>
                <w:rFonts w:ascii="宋体" w:hAnsi="宋体" w:eastAsia="宋体" w:cs="宋体"/>
                <w:sz w:val="18"/>
                <w:szCs w:val="18"/>
              </w:rPr>
            </w:pPr>
            <w:r>
              <w:rPr>
                <w:rFonts w:ascii="宋体" w:hAnsi="宋体" w:eastAsia="宋体" w:cs="宋体"/>
                <w:position w:val="1"/>
                <w:sz w:val="18"/>
                <w:szCs w:val="18"/>
              </w:rPr>
              <w:t>I</w:t>
            </w:r>
          </w:p>
        </w:tc>
        <w:tc>
          <w:tcPr>
            <w:tcW w:w="955" w:type="dxa"/>
            <w:vAlign w:val="top"/>
          </w:tcPr>
          <w:p>
            <w:pPr>
              <w:spacing w:before="204" w:line="197" w:lineRule="auto"/>
              <w:ind w:left="466"/>
              <w:rPr>
                <w:rFonts w:ascii="宋体" w:hAnsi="宋体" w:eastAsia="宋体" w:cs="宋体"/>
                <w:sz w:val="18"/>
                <w:szCs w:val="18"/>
              </w:rPr>
            </w:pPr>
            <w:r>
              <w:rPr>
                <w:rFonts w:ascii="宋体" w:hAnsi="宋体" w:eastAsia="宋体" w:cs="宋体"/>
                <w:sz w:val="18"/>
                <w:szCs w:val="18"/>
              </w:rPr>
              <w:t>Ⅱ</w:t>
            </w:r>
          </w:p>
        </w:tc>
        <w:tc>
          <w:tcPr>
            <w:tcW w:w="956" w:type="dxa"/>
            <w:vAlign w:val="top"/>
          </w:tcPr>
          <w:p>
            <w:pPr>
              <w:spacing w:before="205" w:line="195" w:lineRule="auto"/>
              <w:ind w:left="422"/>
              <w:rPr>
                <w:rFonts w:ascii="宋体" w:hAnsi="宋体" w:eastAsia="宋体" w:cs="宋体"/>
                <w:sz w:val="18"/>
                <w:szCs w:val="18"/>
              </w:rPr>
            </w:pPr>
            <w:r>
              <w:rPr>
                <w:rFonts w:ascii="宋体" w:hAnsi="宋体" w:eastAsia="宋体" w:cs="宋体"/>
                <w:sz w:val="18"/>
                <w:szCs w:val="18"/>
              </w:rPr>
              <w:t>Ⅲ</w:t>
            </w:r>
          </w:p>
        </w:tc>
        <w:tc>
          <w:tcPr>
            <w:tcW w:w="955" w:type="dxa"/>
            <w:vAlign w:val="top"/>
          </w:tcPr>
          <w:p>
            <w:pPr>
              <w:spacing w:before="192" w:line="257" w:lineRule="exact"/>
              <w:ind w:left="457"/>
              <w:rPr>
                <w:rFonts w:ascii="宋体" w:hAnsi="宋体" w:eastAsia="宋体" w:cs="宋体"/>
                <w:sz w:val="18"/>
                <w:szCs w:val="18"/>
              </w:rPr>
            </w:pPr>
            <w:r>
              <w:rPr>
                <w:rFonts w:ascii="宋体" w:hAnsi="宋体" w:eastAsia="宋体" w:cs="宋体"/>
                <w:position w:val="1"/>
                <w:sz w:val="18"/>
                <w:szCs w:val="18"/>
              </w:rPr>
              <w:t>I</w:t>
            </w:r>
          </w:p>
        </w:tc>
        <w:tc>
          <w:tcPr>
            <w:tcW w:w="956" w:type="dxa"/>
            <w:vAlign w:val="top"/>
          </w:tcPr>
          <w:p>
            <w:pPr>
              <w:spacing w:before="204" w:line="197" w:lineRule="auto"/>
              <w:ind w:left="472"/>
              <w:rPr>
                <w:rFonts w:ascii="宋体" w:hAnsi="宋体" w:eastAsia="宋体" w:cs="宋体"/>
                <w:sz w:val="18"/>
                <w:szCs w:val="18"/>
              </w:rPr>
            </w:pPr>
            <w:r>
              <w:rPr>
                <w:rFonts w:ascii="宋体" w:hAnsi="宋体" w:eastAsia="宋体" w:cs="宋体"/>
                <w:sz w:val="18"/>
                <w:szCs w:val="18"/>
              </w:rPr>
              <w:t>Ⅱ</w:t>
            </w:r>
          </w:p>
        </w:tc>
        <w:tc>
          <w:tcPr>
            <w:tcW w:w="975" w:type="dxa"/>
            <w:tcBorders>
              <w:right w:val="single" w:color="000000" w:sz="4" w:space="0"/>
            </w:tcBorders>
            <w:vAlign w:val="top"/>
          </w:tcPr>
          <w:p>
            <w:pPr>
              <w:spacing w:before="205" w:line="195" w:lineRule="auto"/>
              <w:ind w:left="428"/>
              <w:rPr>
                <w:rFonts w:ascii="宋体" w:hAnsi="宋体" w:eastAsia="宋体" w:cs="宋体"/>
                <w:sz w:val="18"/>
                <w:szCs w:val="18"/>
              </w:rPr>
            </w:pPr>
            <w:r>
              <w:rPr>
                <w:rFonts w:ascii="宋体" w:hAnsi="宋体" w:eastAsia="宋体" w:cs="宋体"/>
                <w:sz w:val="18"/>
                <w:szCs w:val="18"/>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restart"/>
            <w:tcBorders>
              <w:left w:val="single" w:color="000000" w:sz="4" w:space="0"/>
              <w:bottom w:val="nil"/>
            </w:tcBorders>
            <w:vAlign w:val="top"/>
          </w:tcPr>
          <w:p>
            <w:pPr>
              <w:pStyle w:val="6"/>
              <w:spacing w:line="292" w:lineRule="auto"/>
            </w:pPr>
          </w:p>
          <w:p>
            <w:pPr>
              <w:pStyle w:val="6"/>
              <w:spacing w:line="293" w:lineRule="auto"/>
            </w:pPr>
          </w:p>
          <w:p>
            <w:pPr>
              <w:pStyle w:val="6"/>
              <w:spacing w:line="293" w:lineRule="auto"/>
            </w:pPr>
          </w:p>
          <w:p>
            <w:pPr>
              <w:spacing w:before="59" w:line="215" w:lineRule="auto"/>
              <w:ind w:left="158"/>
              <w:rPr>
                <w:rFonts w:ascii="宋体" w:hAnsi="宋体" w:eastAsia="宋体" w:cs="宋体"/>
                <w:sz w:val="18"/>
                <w:szCs w:val="18"/>
              </w:rPr>
            </w:pPr>
            <w:r>
              <w:rPr>
                <w:rFonts w:ascii="宋体" w:hAnsi="宋体" w:eastAsia="宋体" w:cs="宋体"/>
                <w:spacing w:val="-4"/>
                <w:sz w:val="18"/>
                <w:szCs w:val="18"/>
              </w:rPr>
              <w:t>建筑工程</w:t>
            </w:r>
          </w:p>
        </w:tc>
        <w:tc>
          <w:tcPr>
            <w:tcW w:w="2379" w:type="dxa"/>
            <w:vAlign w:val="top"/>
          </w:tcPr>
          <w:p>
            <w:pPr>
              <w:spacing w:before="162" w:line="215" w:lineRule="auto"/>
              <w:ind w:left="833"/>
              <w:rPr>
                <w:rFonts w:ascii="宋体" w:hAnsi="宋体" w:eastAsia="宋体" w:cs="宋体"/>
                <w:sz w:val="18"/>
                <w:szCs w:val="18"/>
              </w:rPr>
            </w:pPr>
            <w:r>
              <w:rPr>
                <w:rFonts w:ascii="宋体" w:hAnsi="宋体" w:eastAsia="宋体" w:cs="宋体"/>
                <w:spacing w:val="-4"/>
                <w:sz w:val="18"/>
                <w:szCs w:val="18"/>
              </w:rPr>
              <w:t>建筑工程</w:t>
            </w:r>
          </w:p>
        </w:tc>
        <w:tc>
          <w:tcPr>
            <w:tcW w:w="872" w:type="dxa"/>
            <w:vAlign w:val="top"/>
          </w:tcPr>
          <w:p>
            <w:pPr>
              <w:spacing w:before="164" w:line="260" w:lineRule="exact"/>
              <w:ind w:left="225"/>
              <w:rPr>
                <w:rFonts w:ascii="宋体" w:hAnsi="宋体" w:eastAsia="宋体" w:cs="宋体"/>
                <w:sz w:val="18"/>
                <w:szCs w:val="18"/>
              </w:rPr>
            </w:pPr>
            <w:r>
              <w:rPr>
                <w:rFonts w:ascii="宋体" w:hAnsi="宋体" w:eastAsia="宋体" w:cs="宋体"/>
                <w:spacing w:val="-13"/>
                <w:position w:val="1"/>
                <w:sz w:val="18"/>
                <w:szCs w:val="18"/>
              </w:rPr>
              <w:t>39.15</w:t>
            </w:r>
          </w:p>
        </w:tc>
        <w:tc>
          <w:tcPr>
            <w:tcW w:w="955" w:type="dxa"/>
            <w:vAlign w:val="top"/>
          </w:tcPr>
          <w:p>
            <w:pPr>
              <w:spacing w:before="164" w:line="260" w:lineRule="exact"/>
              <w:ind w:left="267"/>
              <w:rPr>
                <w:rFonts w:ascii="宋体" w:hAnsi="宋体" w:eastAsia="宋体" w:cs="宋体"/>
                <w:sz w:val="18"/>
                <w:szCs w:val="18"/>
              </w:rPr>
            </w:pPr>
            <w:r>
              <w:rPr>
                <w:rFonts w:ascii="宋体" w:hAnsi="宋体" w:eastAsia="宋体" w:cs="宋体"/>
                <w:spacing w:val="-13"/>
                <w:position w:val="1"/>
                <w:sz w:val="18"/>
                <w:szCs w:val="18"/>
              </w:rPr>
              <w:t>30.11</w:t>
            </w:r>
          </w:p>
        </w:tc>
        <w:tc>
          <w:tcPr>
            <w:tcW w:w="956" w:type="dxa"/>
            <w:vAlign w:val="top"/>
          </w:tcPr>
          <w:p>
            <w:pPr>
              <w:spacing w:before="164" w:line="260" w:lineRule="exact"/>
              <w:ind w:left="267"/>
              <w:rPr>
                <w:rFonts w:ascii="宋体" w:hAnsi="宋体" w:eastAsia="宋体" w:cs="宋体"/>
                <w:sz w:val="18"/>
                <w:szCs w:val="18"/>
              </w:rPr>
            </w:pPr>
            <w:r>
              <w:rPr>
                <w:rFonts w:ascii="宋体" w:hAnsi="宋体" w:eastAsia="宋体" w:cs="宋体"/>
                <w:spacing w:val="-12"/>
                <w:position w:val="2"/>
                <w:sz w:val="18"/>
                <w:szCs w:val="18"/>
              </w:rPr>
              <w:t>23.27</w:t>
            </w:r>
          </w:p>
        </w:tc>
        <w:tc>
          <w:tcPr>
            <w:tcW w:w="955" w:type="dxa"/>
            <w:vAlign w:val="top"/>
          </w:tcPr>
          <w:p>
            <w:pPr>
              <w:spacing w:before="164" w:line="260" w:lineRule="exact"/>
              <w:ind w:left="274"/>
              <w:rPr>
                <w:rFonts w:ascii="宋体" w:hAnsi="宋体" w:eastAsia="宋体" w:cs="宋体"/>
                <w:sz w:val="18"/>
                <w:szCs w:val="18"/>
              </w:rPr>
            </w:pPr>
            <w:r>
              <w:rPr>
                <w:rFonts w:ascii="宋体" w:hAnsi="宋体" w:eastAsia="宋体" w:cs="宋体"/>
                <w:spacing w:val="-13"/>
                <w:position w:val="1"/>
                <w:sz w:val="18"/>
                <w:szCs w:val="18"/>
              </w:rPr>
              <w:t>32.13</w:t>
            </w:r>
          </w:p>
        </w:tc>
        <w:tc>
          <w:tcPr>
            <w:tcW w:w="956" w:type="dxa"/>
            <w:vAlign w:val="top"/>
          </w:tcPr>
          <w:p>
            <w:pPr>
              <w:spacing w:before="164" w:line="260" w:lineRule="exact"/>
              <w:ind w:left="296"/>
              <w:rPr>
                <w:rFonts w:ascii="宋体" w:hAnsi="宋体" w:eastAsia="宋体" w:cs="宋体"/>
                <w:sz w:val="18"/>
                <w:szCs w:val="18"/>
              </w:rPr>
            </w:pPr>
            <w:r>
              <w:rPr>
                <w:rFonts w:ascii="宋体" w:hAnsi="宋体" w:eastAsia="宋体" w:cs="宋体"/>
                <w:spacing w:val="-16"/>
                <w:position w:val="1"/>
                <w:sz w:val="18"/>
                <w:szCs w:val="18"/>
              </w:rPr>
              <w:t>17.61</w:t>
            </w:r>
          </w:p>
        </w:tc>
        <w:tc>
          <w:tcPr>
            <w:tcW w:w="975" w:type="dxa"/>
            <w:tcBorders>
              <w:right w:val="single" w:color="000000" w:sz="4" w:space="0"/>
            </w:tcBorders>
            <w:vAlign w:val="top"/>
          </w:tcPr>
          <w:p>
            <w:pPr>
              <w:spacing w:before="164" w:line="260" w:lineRule="exact"/>
              <w:ind w:left="300"/>
              <w:rPr>
                <w:rFonts w:ascii="宋体" w:hAnsi="宋体" w:eastAsia="宋体" w:cs="宋体"/>
                <w:sz w:val="18"/>
                <w:szCs w:val="18"/>
              </w:rPr>
            </w:pPr>
            <w:r>
              <w:rPr>
                <w:rFonts w:ascii="宋体" w:hAnsi="宋体" w:eastAsia="宋体" w:cs="宋体"/>
                <w:spacing w:val="-16"/>
                <w:position w:val="1"/>
                <w:sz w:val="18"/>
                <w:szCs w:val="18"/>
              </w:rPr>
              <w:t>13.59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3" w:line="212" w:lineRule="auto"/>
              <w:ind w:left="743"/>
              <w:rPr>
                <w:rFonts w:ascii="宋体" w:hAnsi="宋体" w:eastAsia="宋体" w:cs="宋体"/>
                <w:sz w:val="18"/>
                <w:szCs w:val="18"/>
              </w:rPr>
            </w:pPr>
            <w:r>
              <w:rPr>
                <w:rFonts w:ascii="宋体" w:hAnsi="宋体" w:eastAsia="宋体" w:cs="宋体"/>
                <w:spacing w:val="-4"/>
                <w:sz w:val="18"/>
                <w:szCs w:val="18"/>
              </w:rPr>
              <w:t>构筑物工程</w:t>
            </w:r>
          </w:p>
        </w:tc>
        <w:tc>
          <w:tcPr>
            <w:tcW w:w="872" w:type="dxa"/>
            <w:vAlign w:val="top"/>
          </w:tcPr>
          <w:p>
            <w:pPr>
              <w:spacing w:before="162" w:line="260" w:lineRule="exact"/>
              <w:ind w:left="225"/>
              <w:rPr>
                <w:rFonts w:ascii="宋体" w:hAnsi="宋体" w:eastAsia="宋体" w:cs="宋体"/>
                <w:sz w:val="18"/>
                <w:szCs w:val="18"/>
              </w:rPr>
            </w:pPr>
            <w:r>
              <w:rPr>
                <w:rFonts w:ascii="宋体" w:hAnsi="宋体" w:eastAsia="宋体" w:cs="宋体"/>
                <w:spacing w:val="-13"/>
                <w:position w:val="1"/>
                <w:sz w:val="18"/>
                <w:szCs w:val="18"/>
              </w:rPr>
              <w:t>31.30</w:t>
            </w:r>
          </w:p>
        </w:tc>
        <w:tc>
          <w:tcPr>
            <w:tcW w:w="955" w:type="dxa"/>
            <w:vAlign w:val="top"/>
          </w:tcPr>
          <w:p>
            <w:pPr>
              <w:spacing w:before="162" w:line="260" w:lineRule="exact"/>
              <w:ind w:left="264"/>
              <w:rPr>
                <w:rFonts w:ascii="宋体" w:hAnsi="宋体" w:eastAsia="宋体" w:cs="宋体"/>
                <w:sz w:val="18"/>
                <w:szCs w:val="18"/>
              </w:rPr>
            </w:pPr>
            <w:r>
              <w:rPr>
                <w:rFonts w:ascii="宋体" w:hAnsi="宋体" w:eastAsia="宋体" w:cs="宋体"/>
                <w:spacing w:val="-12"/>
                <w:position w:val="1"/>
                <w:sz w:val="18"/>
                <w:szCs w:val="18"/>
              </w:rPr>
              <w:t>27.16</w:t>
            </w:r>
          </w:p>
        </w:tc>
        <w:tc>
          <w:tcPr>
            <w:tcW w:w="956" w:type="dxa"/>
            <w:vAlign w:val="top"/>
          </w:tcPr>
          <w:p>
            <w:pPr>
              <w:spacing w:before="162" w:line="260" w:lineRule="exact"/>
              <w:ind w:left="294"/>
              <w:rPr>
                <w:rFonts w:ascii="宋体" w:hAnsi="宋体" w:eastAsia="宋体" w:cs="宋体"/>
                <w:sz w:val="18"/>
                <w:szCs w:val="18"/>
              </w:rPr>
            </w:pPr>
            <w:r>
              <w:rPr>
                <w:rFonts w:ascii="宋体" w:hAnsi="宋体" w:eastAsia="宋体" w:cs="宋体"/>
                <w:spacing w:val="-16"/>
                <w:position w:val="1"/>
                <w:sz w:val="18"/>
                <w:szCs w:val="18"/>
              </w:rPr>
              <w:t>18.91</w:t>
            </w:r>
          </w:p>
        </w:tc>
        <w:tc>
          <w:tcPr>
            <w:tcW w:w="955" w:type="dxa"/>
            <w:vAlign w:val="top"/>
          </w:tcPr>
          <w:p>
            <w:pPr>
              <w:spacing w:before="162" w:line="260" w:lineRule="exact"/>
              <w:ind w:left="269"/>
              <w:rPr>
                <w:rFonts w:ascii="宋体" w:hAnsi="宋体" w:eastAsia="宋体" w:cs="宋体"/>
                <w:sz w:val="18"/>
                <w:szCs w:val="18"/>
              </w:rPr>
            </w:pPr>
            <w:r>
              <w:rPr>
                <w:rFonts w:ascii="宋体" w:hAnsi="宋体" w:eastAsia="宋体" w:cs="宋体"/>
                <w:spacing w:val="-12"/>
                <w:position w:val="2"/>
                <w:sz w:val="18"/>
                <w:szCs w:val="18"/>
              </w:rPr>
              <w:t>26.93</w:t>
            </w:r>
          </w:p>
        </w:tc>
        <w:tc>
          <w:tcPr>
            <w:tcW w:w="956" w:type="dxa"/>
            <w:vAlign w:val="top"/>
          </w:tcPr>
          <w:p>
            <w:pPr>
              <w:spacing w:before="162" w:line="260" w:lineRule="exact"/>
              <w:ind w:left="271"/>
              <w:rPr>
                <w:rFonts w:ascii="宋体" w:hAnsi="宋体" w:eastAsia="宋体" w:cs="宋体"/>
                <w:sz w:val="18"/>
                <w:szCs w:val="18"/>
              </w:rPr>
            </w:pPr>
            <w:r>
              <w:rPr>
                <w:rFonts w:ascii="宋体" w:hAnsi="宋体" w:eastAsia="宋体" w:cs="宋体"/>
                <w:spacing w:val="-12"/>
                <w:position w:val="2"/>
                <w:sz w:val="18"/>
                <w:szCs w:val="18"/>
              </w:rPr>
              <w:t>20.99</w:t>
            </w:r>
          </w:p>
        </w:tc>
        <w:tc>
          <w:tcPr>
            <w:tcW w:w="975" w:type="dxa"/>
            <w:tcBorders>
              <w:right w:val="single" w:color="000000" w:sz="4" w:space="0"/>
            </w:tcBorders>
            <w:vAlign w:val="top"/>
          </w:tcPr>
          <w:p>
            <w:pPr>
              <w:spacing w:before="162" w:line="260" w:lineRule="exact"/>
              <w:ind w:left="300"/>
              <w:rPr>
                <w:rFonts w:ascii="宋体" w:hAnsi="宋体" w:eastAsia="宋体" w:cs="宋体"/>
                <w:sz w:val="18"/>
                <w:szCs w:val="18"/>
              </w:rPr>
            </w:pPr>
            <w:r>
              <w:rPr>
                <w:rFonts w:ascii="宋体" w:hAnsi="宋体" w:eastAsia="宋体" w:cs="宋体"/>
                <w:spacing w:val="-16"/>
                <w:position w:val="1"/>
                <w:sz w:val="18"/>
                <w:szCs w:val="18"/>
              </w:rPr>
              <w:t>10.51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2" w:line="213" w:lineRule="auto"/>
              <w:ind w:left="559"/>
              <w:rPr>
                <w:rFonts w:ascii="宋体" w:hAnsi="宋体" w:eastAsia="宋体" w:cs="宋体"/>
                <w:sz w:val="18"/>
                <w:szCs w:val="18"/>
              </w:rPr>
            </w:pPr>
            <w:r>
              <w:rPr>
                <w:rFonts w:ascii="宋体" w:hAnsi="宋体" w:eastAsia="宋体" w:cs="宋体"/>
                <w:spacing w:val="-4"/>
                <w:sz w:val="18"/>
                <w:szCs w:val="18"/>
              </w:rPr>
              <w:t>单独土石方工程</w:t>
            </w:r>
          </w:p>
        </w:tc>
        <w:tc>
          <w:tcPr>
            <w:tcW w:w="872" w:type="dxa"/>
            <w:vAlign w:val="top"/>
          </w:tcPr>
          <w:p>
            <w:pPr>
              <w:spacing w:before="165" w:line="260" w:lineRule="exact"/>
              <w:ind w:left="220"/>
              <w:rPr>
                <w:rFonts w:ascii="宋体" w:hAnsi="宋体" w:eastAsia="宋体" w:cs="宋体"/>
                <w:sz w:val="18"/>
                <w:szCs w:val="18"/>
              </w:rPr>
            </w:pPr>
            <w:r>
              <w:rPr>
                <w:rFonts w:ascii="宋体" w:hAnsi="宋体" w:eastAsia="宋体" w:cs="宋体"/>
                <w:spacing w:val="-12"/>
                <w:position w:val="2"/>
                <w:sz w:val="18"/>
                <w:szCs w:val="18"/>
              </w:rPr>
              <w:t>26.07</w:t>
            </w:r>
          </w:p>
        </w:tc>
        <w:tc>
          <w:tcPr>
            <w:tcW w:w="955" w:type="dxa"/>
            <w:vAlign w:val="top"/>
          </w:tcPr>
          <w:p>
            <w:pPr>
              <w:spacing w:before="165" w:line="260" w:lineRule="exact"/>
              <w:ind w:left="289"/>
              <w:rPr>
                <w:rFonts w:ascii="宋体" w:hAnsi="宋体" w:eastAsia="宋体" w:cs="宋体"/>
                <w:sz w:val="18"/>
                <w:szCs w:val="18"/>
              </w:rPr>
            </w:pPr>
            <w:r>
              <w:rPr>
                <w:rFonts w:ascii="宋体" w:hAnsi="宋体" w:eastAsia="宋体" w:cs="宋体"/>
                <w:spacing w:val="-16"/>
                <w:position w:val="1"/>
                <w:sz w:val="18"/>
                <w:szCs w:val="18"/>
              </w:rPr>
              <w:t>18.05</w:t>
            </w:r>
          </w:p>
        </w:tc>
        <w:tc>
          <w:tcPr>
            <w:tcW w:w="956" w:type="dxa"/>
            <w:vAlign w:val="top"/>
          </w:tcPr>
          <w:p>
            <w:pPr>
              <w:spacing w:before="165" w:line="260" w:lineRule="exact"/>
              <w:ind w:left="294"/>
              <w:rPr>
                <w:rFonts w:ascii="宋体" w:hAnsi="宋体" w:eastAsia="宋体" w:cs="宋体"/>
                <w:sz w:val="18"/>
                <w:szCs w:val="18"/>
              </w:rPr>
            </w:pPr>
            <w:r>
              <w:rPr>
                <w:rFonts w:ascii="宋体" w:hAnsi="宋体" w:eastAsia="宋体" w:cs="宋体"/>
                <w:spacing w:val="-16"/>
                <w:position w:val="1"/>
                <w:sz w:val="18"/>
                <w:szCs w:val="18"/>
              </w:rPr>
              <w:t>11.91</w:t>
            </w:r>
          </w:p>
        </w:tc>
        <w:tc>
          <w:tcPr>
            <w:tcW w:w="955" w:type="dxa"/>
            <w:vAlign w:val="top"/>
          </w:tcPr>
          <w:p>
            <w:pPr>
              <w:spacing w:before="165" w:line="260" w:lineRule="exact"/>
              <w:ind w:left="269"/>
              <w:rPr>
                <w:rFonts w:ascii="宋体" w:hAnsi="宋体" w:eastAsia="宋体" w:cs="宋体"/>
                <w:sz w:val="18"/>
                <w:szCs w:val="18"/>
              </w:rPr>
            </w:pPr>
            <w:r>
              <w:rPr>
                <w:rFonts w:ascii="宋体" w:hAnsi="宋体" w:eastAsia="宋体" w:cs="宋体"/>
                <w:spacing w:val="-12"/>
                <w:position w:val="2"/>
                <w:sz w:val="18"/>
                <w:szCs w:val="18"/>
              </w:rPr>
              <w:t>20.02</w:t>
            </w:r>
          </w:p>
        </w:tc>
        <w:tc>
          <w:tcPr>
            <w:tcW w:w="956" w:type="dxa"/>
            <w:vAlign w:val="top"/>
          </w:tcPr>
          <w:p>
            <w:pPr>
              <w:spacing w:before="165" w:line="260" w:lineRule="exact"/>
              <w:ind w:left="296"/>
              <w:rPr>
                <w:rFonts w:ascii="宋体" w:hAnsi="宋体" w:eastAsia="宋体" w:cs="宋体"/>
                <w:sz w:val="18"/>
                <w:szCs w:val="18"/>
              </w:rPr>
            </w:pPr>
            <w:r>
              <w:rPr>
                <w:rFonts w:ascii="宋体" w:hAnsi="宋体" w:eastAsia="宋体" w:cs="宋体"/>
                <w:spacing w:val="-16"/>
                <w:position w:val="1"/>
                <w:sz w:val="18"/>
                <w:szCs w:val="18"/>
              </w:rPr>
              <w:t>13.88</w:t>
            </w:r>
          </w:p>
        </w:tc>
        <w:tc>
          <w:tcPr>
            <w:tcW w:w="975" w:type="dxa"/>
            <w:tcBorders>
              <w:right w:val="single" w:color="000000" w:sz="4" w:space="0"/>
            </w:tcBorders>
            <w:vAlign w:val="top"/>
          </w:tcPr>
          <w:p>
            <w:pPr>
              <w:spacing w:before="165" w:line="260" w:lineRule="exact"/>
              <w:ind w:left="322"/>
              <w:rPr>
                <w:rFonts w:ascii="宋体" w:hAnsi="宋体" w:eastAsia="宋体" w:cs="宋体"/>
                <w:sz w:val="18"/>
                <w:szCs w:val="18"/>
              </w:rPr>
            </w:pPr>
            <w:r>
              <w:rPr>
                <w:rFonts w:ascii="宋体" w:hAnsi="宋体" w:eastAsia="宋体" w:cs="宋体"/>
                <w:spacing w:val="-15"/>
                <w:position w:val="1"/>
                <w:sz w:val="18"/>
                <w:szCs w:val="18"/>
              </w:rPr>
              <w:t>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65" w:line="208" w:lineRule="auto"/>
              <w:ind w:left="740"/>
              <w:rPr>
                <w:rFonts w:ascii="宋体" w:hAnsi="宋体" w:eastAsia="宋体" w:cs="宋体"/>
                <w:sz w:val="18"/>
                <w:szCs w:val="18"/>
              </w:rPr>
            </w:pPr>
            <w:r>
              <w:rPr>
                <w:rFonts w:ascii="宋体" w:hAnsi="宋体" w:eastAsia="宋体" w:cs="宋体"/>
                <w:spacing w:val="-4"/>
                <w:sz w:val="18"/>
                <w:szCs w:val="18"/>
              </w:rPr>
              <w:t>桩基础工程</w:t>
            </w:r>
          </w:p>
        </w:tc>
        <w:tc>
          <w:tcPr>
            <w:tcW w:w="872" w:type="dxa"/>
            <w:vAlign w:val="top"/>
          </w:tcPr>
          <w:p>
            <w:pPr>
              <w:spacing w:before="168" w:line="260" w:lineRule="exact"/>
              <w:ind w:left="220"/>
              <w:rPr>
                <w:rFonts w:ascii="宋体" w:hAnsi="宋体" w:eastAsia="宋体" w:cs="宋体"/>
                <w:sz w:val="18"/>
                <w:szCs w:val="18"/>
              </w:rPr>
            </w:pPr>
            <w:r>
              <w:rPr>
                <w:rFonts w:ascii="宋体" w:hAnsi="宋体" w:eastAsia="宋体" w:cs="宋体"/>
                <w:spacing w:val="-12"/>
                <w:position w:val="2"/>
                <w:sz w:val="18"/>
                <w:szCs w:val="18"/>
              </w:rPr>
              <w:t>20.93</w:t>
            </w:r>
          </w:p>
        </w:tc>
        <w:tc>
          <w:tcPr>
            <w:tcW w:w="955" w:type="dxa"/>
            <w:vAlign w:val="top"/>
          </w:tcPr>
          <w:p>
            <w:pPr>
              <w:spacing w:before="168" w:line="260" w:lineRule="exact"/>
              <w:ind w:left="289"/>
              <w:rPr>
                <w:rFonts w:ascii="宋体" w:hAnsi="宋体" w:eastAsia="宋体" w:cs="宋体"/>
                <w:sz w:val="18"/>
                <w:szCs w:val="18"/>
              </w:rPr>
            </w:pPr>
            <w:r>
              <w:rPr>
                <w:rFonts w:ascii="宋体" w:hAnsi="宋体" w:eastAsia="宋体" w:cs="宋体"/>
                <w:spacing w:val="-16"/>
                <w:position w:val="1"/>
                <w:sz w:val="18"/>
                <w:szCs w:val="18"/>
              </w:rPr>
              <w:t>15.53</w:t>
            </w:r>
          </w:p>
        </w:tc>
        <w:tc>
          <w:tcPr>
            <w:tcW w:w="956" w:type="dxa"/>
            <w:vAlign w:val="top"/>
          </w:tcPr>
          <w:p>
            <w:pPr>
              <w:spacing w:before="168" w:line="260" w:lineRule="exact"/>
              <w:ind w:left="294"/>
              <w:rPr>
                <w:rFonts w:ascii="宋体" w:hAnsi="宋体" w:eastAsia="宋体" w:cs="宋体"/>
                <w:sz w:val="18"/>
                <w:szCs w:val="18"/>
              </w:rPr>
            </w:pPr>
            <w:r>
              <w:rPr>
                <w:rFonts w:ascii="宋体" w:hAnsi="宋体" w:eastAsia="宋体" w:cs="宋体"/>
                <w:spacing w:val="-16"/>
                <w:position w:val="1"/>
                <w:sz w:val="18"/>
                <w:szCs w:val="18"/>
              </w:rPr>
              <w:t>11.91</w:t>
            </w:r>
          </w:p>
        </w:tc>
        <w:tc>
          <w:tcPr>
            <w:tcW w:w="955" w:type="dxa"/>
            <w:vAlign w:val="top"/>
          </w:tcPr>
          <w:p>
            <w:pPr>
              <w:spacing w:before="168" w:line="260" w:lineRule="exact"/>
              <w:ind w:left="293"/>
              <w:rPr>
                <w:rFonts w:ascii="宋体" w:hAnsi="宋体" w:eastAsia="宋体" w:cs="宋体"/>
                <w:sz w:val="18"/>
                <w:szCs w:val="18"/>
              </w:rPr>
            </w:pPr>
            <w:r>
              <w:rPr>
                <w:rFonts w:ascii="宋体" w:hAnsi="宋体" w:eastAsia="宋体" w:cs="宋体"/>
                <w:spacing w:val="-16"/>
                <w:position w:val="1"/>
                <w:sz w:val="18"/>
                <w:szCs w:val="18"/>
              </w:rPr>
              <w:t>15.17</w:t>
            </w:r>
          </w:p>
        </w:tc>
        <w:tc>
          <w:tcPr>
            <w:tcW w:w="956" w:type="dxa"/>
            <w:vAlign w:val="top"/>
          </w:tcPr>
          <w:p>
            <w:pPr>
              <w:spacing w:before="168" w:line="260" w:lineRule="exact"/>
              <w:ind w:left="296"/>
              <w:rPr>
                <w:rFonts w:ascii="宋体" w:hAnsi="宋体" w:eastAsia="宋体" w:cs="宋体"/>
                <w:sz w:val="18"/>
                <w:szCs w:val="18"/>
              </w:rPr>
            </w:pPr>
            <w:r>
              <w:rPr>
                <w:rFonts w:ascii="宋体" w:hAnsi="宋体" w:eastAsia="宋体" w:cs="宋体"/>
                <w:spacing w:val="-16"/>
                <w:position w:val="1"/>
                <w:sz w:val="18"/>
                <w:szCs w:val="18"/>
              </w:rPr>
              <w:t>11.36</w:t>
            </w:r>
          </w:p>
        </w:tc>
        <w:tc>
          <w:tcPr>
            <w:tcW w:w="975" w:type="dxa"/>
            <w:tcBorders>
              <w:right w:val="single" w:color="000000" w:sz="4" w:space="0"/>
            </w:tcBorders>
            <w:vAlign w:val="top"/>
          </w:tcPr>
          <w:p>
            <w:pPr>
              <w:spacing w:before="168" w:line="260" w:lineRule="exact"/>
              <w:ind w:left="313"/>
              <w:rPr>
                <w:rFonts w:ascii="宋体" w:hAnsi="宋体" w:eastAsia="宋体" w:cs="宋体"/>
                <w:sz w:val="18"/>
                <w:szCs w:val="18"/>
              </w:rPr>
            </w:pPr>
            <w:r>
              <w:rPr>
                <w:rFonts w:ascii="宋体" w:hAnsi="宋体" w:eastAsia="宋体" w:cs="宋体"/>
                <w:spacing w:val="-14"/>
                <w:position w:val="2"/>
                <w:sz w:val="18"/>
                <w:szCs w:val="18"/>
              </w:rPr>
              <w:t>4.35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410" w:type="dxa"/>
            <w:gridSpan w:val="2"/>
            <w:tcBorders>
              <w:left w:val="single" w:color="000000" w:sz="4" w:space="0"/>
            </w:tcBorders>
            <w:vAlign w:val="top"/>
          </w:tcPr>
          <w:p>
            <w:pPr>
              <w:spacing w:before="168" w:line="211" w:lineRule="auto"/>
              <w:ind w:left="1350"/>
              <w:rPr>
                <w:rFonts w:ascii="宋体" w:hAnsi="宋体" w:eastAsia="宋体" w:cs="宋体"/>
                <w:sz w:val="18"/>
                <w:szCs w:val="18"/>
              </w:rPr>
            </w:pPr>
            <w:r>
              <w:rPr>
                <w:rFonts w:ascii="宋体" w:hAnsi="宋体" w:eastAsia="宋体" w:cs="宋体"/>
                <w:spacing w:val="-3"/>
                <w:sz w:val="18"/>
                <w:szCs w:val="18"/>
              </w:rPr>
              <w:t>装饰工程</w:t>
            </w:r>
          </w:p>
        </w:tc>
        <w:tc>
          <w:tcPr>
            <w:tcW w:w="872" w:type="dxa"/>
            <w:vAlign w:val="top"/>
          </w:tcPr>
          <w:p>
            <w:pPr>
              <w:spacing w:before="165" w:line="260" w:lineRule="exact"/>
              <w:ind w:left="218"/>
              <w:rPr>
                <w:rFonts w:ascii="宋体" w:hAnsi="宋体" w:eastAsia="宋体" w:cs="宋体"/>
                <w:sz w:val="18"/>
                <w:szCs w:val="18"/>
              </w:rPr>
            </w:pPr>
            <w:r>
              <w:rPr>
                <w:rFonts w:ascii="宋体" w:hAnsi="宋体" w:eastAsia="宋体" w:cs="宋体"/>
                <w:spacing w:val="-12"/>
                <w:position w:val="1"/>
                <w:sz w:val="18"/>
                <w:szCs w:val="18"/>
              </w:rPr>
              <w:t>61.57</w:t>
            </w:r>
          </w:p>
        </w:tc>
        <w:tc>
          <w:tcPr>
            <w:tcW w:w="955" w:type="dxa"/>
            <w:vAlign w:val="top"/>
          </w:tcPr>
          <w:p>
            <w:pPr>
              <w:spacing w:before="165" w:line="260" w:lineRule="exact"/>
              <w:ind w:left="259"/>
              <w:rPr>
                <w:rFonts w:ascii="宋体" w:hAnsi="宋体" w:eastAsia="宋体" w:cs="宋体"/>
                <w:sz w:val="18"/>
                <w:szCs w:val="18"/>
              </w:rPr>
            </w:pPr>
            <w:r>
              <w:rPr>
                <w:rFonts w:ascii="宋体" w:hAnsi="宋体" w:eastAsia="宋体" w:cs="宋体"/>
                <w:spacing w:val="-12"/>
                <w:position w:val="2"/>
                <w:sz w:val="18"/>
                <w:szCs w:val="18"/>
              </w:rPr>
              <w:t>47.03</w:t>
            </w:r>
          </w:p>
        </w:tc>
        <w:tc>
          <w:tcPr>
            <w:tcW w:w="956" w:type="dxa"/>
            <w:vAlign w:val="top"/>
          </w:tcPr>
          <w:p>
            <w:pPr>
              <w:spacing w:before="165" w:line="260" w:lineRule="exact"/>
              <w:ind w:left="267"/>
              <w:rPr>
                <w:rFonts w:ascii="宋体" w:hAnsi="宋体" w:eastAsia="宋体" w:cs="宋体"/>
                <w:sz w:val="18"/>
                <w:szCs w:val="18"/>
              </w:rPr>
            </w:pPr>
            <w:r>
              <w:rPr>
                <w:rFonts w:ascii="宋体" w:hAnsi="宋体" w:eastAsia="宋体" w:cs="宋体"/>
                <w:spacing w:val="-12"/>
                <w:position w:val="1"/>
                <w:sz w:val="18"/>
                <w:szCs w:val="18"/>
              </w:rPr>
              <w:t>29.81</w:t>
            </w:r>
          </w:p>
        </w:tc>
        <w:tc>
          <w:tcPr>
            <w:tcW w:w="955" w:type="dxa"/>
            <w:vAlign w:val="top"/>
          </w:tcPr>
          <w:p>
            <w:pPr>
              <w:spacing w:before="165" w:line="260" w:lineRule="exact"/>
              <w:ind w:left="274"/>
              <w:rPr>
                <w:rFonts w:ascii="宋体" w:hAnsi="宋体" w:eastAsia="宋体" w:cs="宋体"/>
                <w:sz w:val="18"/>
                <w:szCs w:val="18"/>
              </w:rPr>
            </w:pPr>
            <w:r>
              <w:rPr>
                <w:rFonts w:ascii="宋体" w:hAnsi="宋体" w:eastAsia="宋体" w:cs="宋体"/>
                <w:spacing w:val="-13"/>
                <w:position w:val="2"/>
                <w:sz w:val="18"/>
                <w:szCs w:val="18"/>
              </w:rPr>
              <w:t>34.87</w:t>
            </w:r>
          </w:p>
        </w:tc>
        <w:tc>
          <w:tcPr>
            <w:tcW w:w="956" w:type="dxa"/>
            <w:vAlign w:val="top"/>
          </w:tcPr>
          <w:p>
            <w:pPr>
              <w:spacing w:before="165" w:line="260" w:lineRule="exact"/>
              <w:ind w:left="271"/>
              <w:rPr>
                <w:rFonts w:ascii="宋体" w:hAnsi="宋体" w:eastAsia="宋体" w:cs="宋体"/>
                <w:sz w:val="18"/>
                <w:szCs w:val="18"/>
              </w:rPr>
            </w:pPr>
            <w:r>
              <w:rPr>
                <w:rFonts w:ascii="宋体" w:hAnsi="宋体" w:eastAsia="宋体" w:cs="宋体"/>
                <w:spacing w:val="-12"/>
                <w:position w:val="1"/>
                <w:sz w:val="18"/>
                <w:szCs w:val="18"/>
              </w:rPr>
              <w:t>21.30</w:t>
            </w:r>
          </w:p>
        </w:tc>
        <w:tc>
          <w:tcPr>
            <w:tcW w:w="975" w:type="dxa"/>
            <w:tcBorders>
              <w:right w:val="single" w:color="000000" w:sz="4" w:space="0"/>
            </w:tcBorders>
            <w:vAlign w:val="top"/>
          </w:tcPr>
          <w:p>
            <w:pPr>
              <w:spacing w:before="165" w:line="260" w:lineRule="exact"/>
              <w:ind w:left="300"/>
              <w:rPr>
                <w:rFonts w:ascii="宋体" w:hAnsi="宋体" w:eastAsia="宋体" w:cs="宋体"/>
                <w:sz w:val="18"/>
                <w:szCs w:val="18"/>
              </w:rPr>
            </w:pPr>
            <w:r>
              <w:rPr>
                <w:rFonts w:ascii="宋体" w:hAnsi="宋体" w:eastAsia="宋体" w:cs="宋体"/>
                <w:spacing w:val="-16"/>
                <w:position w:val="1"/>
                <w:sz w:val="18"/>
                <w:szCs w:val="18"/>
              </w:rPr>
              <w:t>16.37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410" w:type="dxa"/>
            <w:gridSpan w:val="2"/>
            <w:tcBorders>
              <w:left w:val="single" w:color="000000" w:sz="4" w:space="0"/>
            </w:tcBorders>
            <w:vAlign w:val="top"/>
          </w:tcPr>
          <w:p>
            <w:pPr>
              <w:spacing w:before="166" w:line="211" w:lineRule="auto"/>
              <w:ind w:left="1354"/>
              <w:rPr>
                <w:rFonts w:ascii="宋体" w:hAnsi="宋体" w:eastAsia="宋体" w:cs="宋体"/>
                <w:sz w:val="18"/>
                <w:szCs w:val="18"/>
              </w:rPr>
            </w:pPr>
            <w:r>
              <w:rPr>
                <w:rFonts w:ascii="宋体" w:hAnsi="宋体" w:eastAsia="宋体" w:cs="宋体"/>
                <w:spacing w:val="-5"/>
                <w:sz w:val="18"/>
                <w:szCs w:val="18"/>
              </w:rPr>
              <w:t>安装工程</w:t>
            </w:r>
          </w:p>
        </w:tc>
        <w:tc>
          <w:tcPr>
            <w:tcW w:w="2783" w:type="dxa"/>
            <w:gridSpan w:val="3"/>
            <w:vAlign w:val="top"/>
          </w:tcPr>
          <w:p>
            <w:pPr>
              <w:spacing w:before="166" w:line="260" w:lineRule="exact"/>
              <w:ind w:left="1172"/>
              <w:rPr>
                <w:rFonts w:ascii="宋体" w:hAnsi="宋体" w:eastAsia="宋体" w:cs="宋体"/>
                <w:sz w:val="18"/>
                <w:szCs w:val="18"/>
              </w:rPr>
            </w:pPr>
            <w:r>
              <w:rPr>
                <w:rFonts w:ascii="宋体" w:hAnsi="宋体" w:eastAsia="宋体" w:cs="宋体"/>
                <w:spacing w:val="-11"/>
                <w:position w:val="2"/>
                <w:sz w:val="18"/>
                <w:szCs w:val="18"/>
              </w:rPr>
              <w:t>48.08</w:t>
            </w:r>
          </w:p>
        </w:tc>
        <w:tc>
          <w:tcPr>
            <w:tcW w:w="2886" w:type="dxa"/>
            <w:gridSpan w:val="3"/>
            <w:tcBorders>
              <w:right w:val="single" w:color="000000" w:sz="4" w:space="0"/>
            </w:tcBorders>
            <w:vAlign w:val="top"/>
          </w:tcPr>
          <w:p>
            <w:pPr>
              <w:spacing w:before="166" w:line="260" w:lineRule="exact"/>
              <w:ind w:left="1229"/>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restart"/>
            <w:tcBorders>
              <w:left w:val="single" w:color="000000" w:sz="4" w:space="0"/>
              <w:bottom w:val="nil"/>
            </w:tcBorders>
            <w:vAlign w:val="top"/>
          </w:tcPr>
          <w:p>
            <w:pPr>
              <w:pStyle w:val="6"/>
            </w:pPr>
          </w:p>
          <w:p>
            <w:pPr>
              <w:pStyle w:val="6"/>
            </w:pPr>
          </w:p>
          <w:p>
            <w:pPr>
              <w:pStyle w:val="6"/>
            </w:pPr>
          </w:p>
          <w:p>
            <w:pPr>
              <w:pStyle w:val="6"/>
            </w:pPr>
          </w:p>
          <w:p>
            <w:pPr>
              <w:pStyle w:val="6"/>
            </w:pPr>
          </w:p>
          <w:p>
            <w:pPr>
              <w:pStyle w:val="6"/>
            </w:pPr>
          </w:p>
          <w:p>
            <w:pPr>
              <w:pStyle w:val="6"/>
            </w:pPr>
          </w:p>
          <w:p>
            <w:pPr>
              <w:pStyle w:val="6"/>
            </w:pPr>
          </w:p>
          <w:p>
            <w:pPr>
              <w:pStyle w:val="6"/>
              <w:spacing w:line="241" w:lineRule="auto"/>
            </w:pPr>
          </w:p>
          <w:p>
            <w:pPr>
              <w:pStyle w:val="6"/>
              <w:spacing w:line="241" w:lineRule="auto"/>
            </w:pPr>
          </w:p>
          <w:p>
            <w:pPr>
              <w:pStyle w:val="6"/>
              <w:spacing w:line="241" w:lineRule="auto"/>
            </w:pPr>
          </w:p>
          <w:p>
            <w:pPr>
              <w:spacing w:before="58" w:line="210" w:lineRule="auto"/>
              <w:ind w:left="162"/>
              <w:rPr>
                <w:rFonts w:ascii="宋体" w:hAnsi="宋体" w:eastAsia="宋体" w:cs="宋体"/>
                <w:sz w:val="18"/>
                <w:szCs w:val="18"/>
              </w:rPr>
            </w:pPr>
            <w:r>
              <w:rPr>
                <w:rFonts w:ascii="宋体" w:hAnsi="宋体" w:eastAsia="宋体" w:cs="宋体"/>
                <w:spacing w:val="-5"/>
                <w:sz w:val="18"/>
                <w:szCs w:val="18"/>
              </w:rPr>
              <w:t>市政工程</w:t>
            </w:r>
          </w:p>
        </w:tc>
        <w:tc>
          <w:tcPr>
            <w:tcW w:w="2379" w:type="dxa"/>
            <w:vAlign w:val="top"/>
          </w:tcPr>
          <w:p>
            <w:pPr>
              <w:spacing w:before="166" w:line="212" w:lineRule="auto"/>
              <w:ind w:left="829"/>
              <w:rPr>
                <w:rFonts w:ascii="宋体" w:hAnsi="宋体" w:eastAsia="宋体" w:cs="宋体"/>
                <w:sz w:val="18"/>
                <w:szCs w:val="18"/>
              </w:rPr>
            </w:pPr>
            <w:r>
              <w:rPr>
                <w:rFonts w:ascii="宋体" w:hAnsi="宋体" w:eastAsia="宋体" w:cs="宋体"/>
                <w:spacing w:val="-3"/>
                <w:sz w:val="18"/>
                <w:szCs w:val="18"/>
              </w:rPr>
              <w:t>道路工程</w:t>
            </w:r>
          </w:p>
        </w:tc>
        <w:tc>
          <w:tcPr>
            <w:tcW w:w="2783" w:type="dxa"/>
            <w:gridSpan w:val="3"/>
            <w:vAlign w:val="top"/>
          </w:tcPr>
          <w:p>
            <w:pPr>
              <w:spacing w:before="181" w:line="257" w:lineRule="exact"/>
              <w:ind w:left="1202"/>
              <w:rPr>
                <w:rFonts w:ascii="宋体" w:hAnsi="宋体" w:eastAsia="宋体" w:cs="宋体"/>
                <w:sz w:val="18"/>
                <w:szCs w:val="18"/>
              </w:rPr>
            </w:pPr>
            <w:r>
              <w:rPr>
                <w:rFonts w:ascii="宋体" w:hAnsi="宋体" w:eastAsia="宋体" w:cs="宋体"/>
                <w:spacing w:val="-16"/>
                <w:position w:val="1"/>
                <w:sz w:val="18"/>
                <w:szCs w:val="18"/>
              </w:rPr>
              <w:t>19.35</w:t>
            </w:r>
          </w:p>
        </w:tc>
        <w:tc>
          <w:tcPr>
            <w:tcW w:w="2886" w:type="dxa"/>
            <w:gridSpan w:val="3"/>
            <w:tcBorders>
              <w:right w:val="single" w:color="000000" w:sz="4" w:space="0"/>
            </w:tcBorders>
            <w:vAlign w:val="top"/>
          </w:tcPr>
          <w:p>
            <w:pPr>
              <w:spacing w:before="181" w:line="257" w:lineRule="exact"/>
              <w:ind w:left="1253"/>
              <w:rPr>
                <w:rFonts w:ascii="宋体" w:hAnsi="宋体" w:eastAsia="宋体" w:cs="宋体"/>
                <w:sz w:val="18"/>
                <w:szCs w:val="18"/>
              </w:rPr>
            </w:pPr>
            <w:r>
              <w:rPr>
                <w:rFonts w:ascii="宋体" w:hAnsi="宋体" w:eastAsia="宋体" w:cs="宋体"/>
                <w:spacing w:val="-16"/>
                <w:position w:val="1"/>
                <w:sz w:val="18"/>
                <w:szCs w:val="18"/>
              </w:rPr>
              <w:t>10.36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9" w:line="209" w:lineRule="auto"/>
              <w:ind w:left="832"/>
              <w:rPr>
                <w:rFonts w:ascii="宋体" w:hAnsi="宋体" w:eastAsia="宋体" w:cs="宋体"/>
                <w:sz w:val="18"/>
                <w:szCs w:val="18"/>
              </w:rPr>
            </w:pPr>
            <w:r>
              <w:rPr>
                <w:rFonts w:ascii="宋体" w:hAnsi="宋体" w:eastAsia="宋体" w:cs="宋体"/>
                <w:spacing w:val="-3"/>
                <w:sz w:val="18"/>
                <w:szCs w:val="18"/>
              </w:rPr>
              <w:t>桥涵工程</w:t>
            </w:r>
          </w:p>
        </w:tc>
        <w:tc>
          <w:tcPr>
            <w:tcW w:w="2783" w:type="dxa"/>
            <w:gridSpan w:val="3"/>
            <w:vAlign w:val="top"/>
          </w:tcPr>
          <w:p>
            <w:pPr>
              <w:spacing w:before="179" w:line="258" w:lineRule="exact"/>
              <w:ind w:left="1202"/>
              <w:rPr>
                <w:rFonts w:ascii="宋体" w:hAnsi="宋体" w:eastAsia="宋体" w:cs="宋体"/>
                <w:sz w:val="18"/>
                <w:szCs w:val="18"/>
              </w:rPr>
            </w:pPr>
            <w:r>
              <w:rPr>
                <w:rFonts w:ascii="宋体" w:hAnsi="宋体" w:eastAsia="宋体" w:cs="宋体"/>
                <w:spacing w:val="-16"/>
                <w:position w:val="1"/>
                <w:sz w:val="18"/>
                <w:szCs w:val="18"/>
              </w:rPr>
              <w:t>18.66</w:t>
            </w:r>
          </w:p>
        </w:tc>
        <w:tc>
          <w:tcPr>
            <w:tcW w:w="2886" w:type="dxa"/>
            <w:gridSpan w:val="3"/>
            <w:tcBorders>
              <w:right w:val="single" w:color="000000" w:sz="4" w:space="0"/>
            </w:tcBorders>
            <w:vAlign w:val="top"/>
          </w:tcPr>
          <w:p>
            <w:pPr>
              <w:spacing w:before="179" w:line="258" w:lineRule="exact"/>
              <w:ind w:left="1253"/>
              <w:rPr>
                <w:rFonts w:ascii="宋体" w:hAnsi="宋体" w:eastAsia="宋体" w:cs="宋体"/>
                <w:sz w:val="18"/>
                <w:szCs w:val="18"/>
              </w:rPr>
            </w:pPr>
            <w:r>
              <w:rPr>
                <w:rFonts w:ascii="宋体" w:hAnsi="宋体" w:eastAsia="宋体" w:cs="宋体"/>
                <w:spacing w:val="-16"/>
                <w:position w:val="1"/>
                <w:sz w:val="18"/>
                <w:szCs w:val="18"/>
              </w:rPr>
              <w:t>11.27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7" w:line="211" w:lineRule="auto"/>
              <w:ind w:left="850"/>
              <w:rPr>
                <w:rFonts w:ascii="宋体" w:hAnsi="宋体" w:eastAsia="宋体" w:cs="宋体"/>
                <w:sz w:val="18"/>
                <w:szCs w:val="18"/>
              </w:rPr>
            </w:pPr>
            <w:r>
              <w:rPr>
                <w:rFonts w:ascii="宋体" w:hAnsi="宋体" w:eastAsia="宋体" w:cs="宋体"/>
                <w:spacing w:val="-9"/>
                <w:sz w:val="18"/>
                <w:szCs w:val="18"/>
              </w:rPr>
              <w:t>隧道工程</w:t>
            </w:r>
          </w:p>
        </w:tc>
        <w:tc>
          <w:tcPr>
            <w:tcW w:w="2783" w:type="dxa"/>
            <w:gridSpan w:val="3"/>
            <w:vAlign w:val="top"/>
          </w:tcPr>
          <w:p>
            <w:pPr>
              <w:spacing w:before="182" w:line="257" w:lineRule="exact"/>
              <w:ind w:left="1202"/>
              <w:rPr>
                <w:rFonts w:ascii="宋体" w:hAnsi="宋体" w:eastAsia="宋体" w:cs="宋体"/>
                <w:sz w:val="18"/>
                <w:szCs w:val="18"/>
              </w:rPr>
            </w:pPr>
            <w:r>
              <w:rPr>
                <w:rFonts w:ascii="宋体" w:hAnsi="宋体" w:eastAsia="宋体" w:cs="宋体"/>
                <w:spacing w:val="-16"/>
                <w:position w:val="1"/>
                <w:sz w:val="18"/>
                <w:szCs w:val="18"/>
              </w:rPr>
              <w:t>14.13</w:t>
            </w:r>
          </w:p>
        </w:tc>
        <w:tc>
          <w:tcPr>
            <w:tcW w:w="2886" w:type="dxa"/>
            <w:gridSpan w:val="3"/>
            <w:tcBorders>
              <w:right w:val="single" w:color="000000" w:sz="4" w:space="0"/>
            </w:tcBorders>
            <w:vAlign w:val="top"/>
          </w:tcPr>
          <w:p>
            <w:pPr>
              <w:spacing w:before="182" w:line="257" w:lineRule="exact"/>
              <w:ind w:left="1272"/>
              <w:rPr>
                <w:rFonts w:ascii="宋体" w:hAnsi="宋体" w:eastAsia="宋体" w:cs="宋体"/>
                <w:sz w:val="18"/>
                <w:szCs w:val="18"/>
              </w:rPr>
            </w:pPr>
            <w:r>
              <w:rPr>
                <w:rFonts w:ascii="宋体" w:hAnsi="宋体" w:eastAsia="宋体" w:cs="宋体"/>
                <w:spacing w:val="-14"/>
                <w:position w:val="1"/>
                <w:sz w:val="18"/>
                <w:szCs w:val="18"/>
              </w:rPr>
              <w:t>9.62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8" w:line="211" w:lineRule="auto"/>
              <w:ind w:left="837"/>
              <w:rPr>
                <w:rFonts w:ascii="宋体" w:hAnsi="宋体" w:eastAsia="宋体" w:cs="宋体"/>
                <w:sz w:val="18"/>
                <w:szCs w:val="18"/>
              </w:rPr>
            </w:pPr>
            <w:r>
              <w:rPr>
                <w:rFonts w:ascii="宋体" w:hAnsi="宋体" w:eastAsia="宋体" w:cs="宋体"/>
                <w:spacing w:val="-5"/>
                <w:sz w:val="18"/>
                <w:szCs w:val="18"/>
              </w:rPr>
              <w:t>给水工程</w:t>
            </w:r>
          </w:p>
        </w:tc>
        <w:tc>
          <w:tcPr>
            <w:tcW w:w="2783" w:type="dxa"/>
            <w:gridSpan w:val="3"/>
            <w:vAlign w:val="top"/>
          </w:tcPr>
          <w:p>
            <w:pPr>
              <w:spacing w:before="179" w:line="258" w:lineRule="exact"/>
              <w:ind w:left="1180"/>
              <w:rPr>
                <w:rFonts w:ascii="宋体" w:hAnsi="宋体" w:eastAsia="宋体" w:cs="宋体"/>
                <w:sz w:val="18"/>
                <w:szCs w:val="18"/>
              </w:rPr>
            </w:pPr>
            <w:r>
              <w:rPr>
                <w:rFonts w:ascii="宋体" w:hAnsi="宋体" w:eastAsia="宋体" w:cs="宋体"/>
                <w:spacing w:val="-13"/>
                <w:position w:val="1"/>
                <w:sz w:val="18"/>
                <w:szCs w:val="18"/>
              </w:rPr>
              <w:t>36.22</w:t>
            </w:r>
          </w:p>
        </w:tc>
        <w:tc>
          <w:tcPr>
            <w:tcW w:w="2886" w:type="dxa"/>
            <w:gridSpan w:val="3"/>
            <w:tcBorders>
              <w:right w:val="single" w:color="000000" w:sz="4" w:space="0"/>
            </w:tcBorders>
            <w:vAlign w:val="top"/>
          </w:tcPr>
          <w:p>
            <w:pPr>
              <w:spacing w:before="179" w:line="258" w:lineRule="exact"/>
              <w:ind w:left="1229"/>
              <w:rPr>
                <w:rFonts w:ascii="宋体" w:hAnsi="宋体" w:eastAsia="宋体" w:cs="宋体"/>
                <w:sz w:val="18"/>
                <w:szCs w:val="18"/>
              </w:rPr>
            </w:pPr>
            <w:r>
              <w:rPr>
                <w:rFonts w:ascii="宋体" w:hAnsi="宋体" w:eastAsia="宋体" w:cs="宋体"/>
                <w:spacing w:val="-12"/>
                <w:position w:val="1"/>
                <w:sz w:val="18"/>
                <w:szCs w:val="18"/>
              </w:rPr>
              <w:t>22.89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59" w:line="222" w:lineRule="auto"/>
              <w:ind w:left="831"/>
              <w:rPr>
                <w:rFonts w:ascii="宋体" w:hAnsi="宋体" w:eastAsia="宋体" w:cs="宋体"/>
                <w:sz w:val="18"/>
                <w:szCs w:val="18"/>
              </w:rPr>
            </w:pPr>
            <w:r>
              <w:rPr>
                <w:rFonts w:ascii="宋体" w:hAnsi="宋体" w:eastAsia="宋体" w:cs="宋体"/>
                <w:spacing w:val="-3"/>
                <w:sz w:val="18"/>
                <w:szCs w:val="18"/>
              </w:rPr>
              <w:t>排水工程</w:t>
            </w:r>
          </w:p>
        </w:tc>
        <w:tc>
          <w:tcPr>
            <w:tcW w:w="2783" w:type="dxa"/>
            <w:gridSpan w:val="3"/>
            <w:vAlign w:val="top"/>
          </w:tcPr>
          <w:p>
            <w:pPr>
              <w:spacing w:before="182" w:line="255" w:lineRule="exact"/>
              <w:ind w:left="1202"/>
              <w:rPr>
                <w:rFonts w:ascii="宋体" w:hAnsi="宋体" w:eastAsia="宋体" w:cs="宋体"/>
                <w:sz w:val="18"/>
                <w:szCs w:val="18"/>
              </w:rPr>
            </w:pPr>
            <w:r>
              <w:rPr>
                <w:rFonts w:ascii="宋体" w:hAnsi="宋体" w:eastAsia="宋体" w:cs="宋体"/>
                <w:spacing w:val="-16"/>
                <w:position w:val="1"/>
                <w:sz w:val="18"/>
                <w:szCs w:val="18"/>
              </w:rPr>
              <w:t>17.08</w:t>
            </w:r>
          </w:p>
        </w:tc>
        <w:tc>
          <w:tcPr>
            <w:tcW w:w="2886" w:type="dxa"/>
            <w:gridSpan w:val="3"/>
            <w:tcBorders>
              <w:right w:val="single" w:color="000000" w:sz="4" w:space="0"/>
            </w:tcBorders>
            <w:vAlign w:val="top"/>
          </w:tcPr>
          <w:p>
            <w:pPr>
              <w:spacing w:before="182" w:line="255" w:lineRule="exact"/>
              <w:ind w:left="1275"/>
              <w:rPr>
                <w:rFonts w:ascii="宋体" w:hAnsi="宋体" w:eastAsia="宋体" w:cs="宋体"/>
                <w:sz w:val="18"/>
                <w:szCs w:val="18"/>
              </w:rPr>
            </w:pPr>
            <w:r>
              <w:rPr>
                <w:rFonts w:ascii="宋体" w:hAnsi="宋体" w:eastAsia="宋体" w:cs="宋体"/>
                <w:spacing w:val="-15"/>
                <w:position w:val="1"/>
                <w:sz w:val="18"/>
                <w:szCs w:val="18"/>
              </w:rPr>
              <w:t>7.88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1" w:line="214" w:lineRule="auto"/>
              <w:ind w:left="826"/>
              <w:rPr>
                <w:rFonts w:ascii="宋体" w:hAnsi="宋体" w:eastAsia="宋体" w:cs="宋体"/>
                <w:sz w:val="18"/>
                <w:szCs w:val="18"/>
              </w:rPr>
            </w:pPr>
            <w:r>
              <w:rPr>
                <w:rFonts w:ascii="宋体" w:hAnsi="宋体" w:eastAsia="宋体" w:cs="宋体"/>
                <w:spacing w:val="-3"/>
                <w:sz w:val="18"/>
                <w:szCs w:val="18"/>
              </w:rPr>
              <w:t>燃气工程</w:t>
            </w:r>
          </w:p>
        </w:tc>
        <w:tc>
          <w:tcPr>
            <w:tcW w:w="2783" w:type="dxa"/>
            <w:gridSpan w:val="3"/>
            <w:vAlign w:val="top"/>
          </w:tcPr>
          <w:p>
            <w:pPr>
              <w:spacing w:before="183" w:line="254" w:lineRule="exact"/>
              <w:ind w:left="1177"/>
              <w:rPr>
                <w:rFonts w:ascii="宋体" w:hAnsi="宋体" w:eastAsia="宋体" w:cs="宋体"/>
                <w:sz w:val="18"/>
                <w:szCs w:val="18"/>
              </w:rPr>
            </w:pPr>
            <w:r>
              <w:rPr>
                <w:rFonts w:ascii="宋体" w:hAnsi="宋体" w:eastAsia="宋体" w:cs="宋体"/>
                <w:spacing w:val="-12"/>
                <w:position w:val="1"/>
                <w:sz w:val="18"/>
                <w:szCs w:val="18"/>
              </w:rPr>
              <w:t>24.19</w:t>
            </w:r>
          </w:p>
        </w:tc>
        <w:tc>
          <w:tcPr>
            <w:tcW w:w="2886" w:type="dxa"/>
            <w:gridSpan w:val="3"/>
            <w:tcBorders>
              <w:right w:val="single" w:color="000000" w:sz="4" w:space="0"/>
            </w:tcBorders>
            <w:vAlign w:val="top"/>
          </w:tcPr>
          <w:p>
            <w:pPr>
              <w:spacing w:before="183" w:line="254" w:lineRule="exact"/>
              <w:ind w:left="1253"/>
              <w:rPr>
                <w:rFonts w:ascii="宋体" w:hAnsi="宋体" w:eastAsia="宋体" w:cs="宋体"/>
                <w:sz w:val="18"/>
                <w:szCs w:val="18"/>
              </w:rPr>
            </w:pPr>
            <w:r>
              <w:rPr>
                <w:rFonts w:ascii="宋体" w:hAnsi="宋体" w:eastAsia="宋体" w:cs="宋体"/>
                <w:spacing w:val="-16"/>
                <w:position w:val="1"/>
                <w:sz w:val="18"/>
                <w:szCs w:val="18"/>
              </w:rPr>
              <w:t>18.00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7" w:line="240" w:lineRule="exact"/>
              <w:ind w:left="830"/>
              <w:rPr>
                <w:rFonts w:ascii="宋体" w:hAnsi="宋体" w:eastAsia="宋体" w:cs="宋体"/>
                <w:sz w:val="18"/>
                <w:szCs w:val="18"/>
              </w:rPr>
            </w:pPr>
            <w:r>
              <w:rPr>
                <w:rFonts w:ascii="宋体" w:hAnsi="宋体" w:eastAsia="宋体" w:cs="宋体"/>
                <w:spacing w:val="-3"/>
                <w:position w:val="1"/>
                <w:sz w:val="18"/>
                <w:szCs w:val="18"/>
              </w:rPr>
              <w:t>供热工程</w:t>
            </w:r>
          </w:p>
        </w:tc>
        <w:tc>
          <w:tcPr>
            <w:tcW w:w="2783" w:type="dxa"/>
            <w:gridSpan w:val="3"/>
            <w:vAlign w:val="top"/>
          </w:tcPr>
          <w:p>
            <w:pPr>
              <w:spacing w:before="186" w:line="253" w:lineRule="exact"/>
              <w:ind w:left="1177"/>
              <w:rPr>
                <w:rFonts w:ascii="宋体" w:hAnsi="宋体" w:eastAsia="宋体" w:cs="宋体"/>
                <w:sz w:val="18"/>
                <w:szCs w:val="18"/>
              </w:rPr>
            </w:pPr>
            <w:r>
              <w:rPr>
                <w:rFonts w:ascii="宋体" w:hAnsi="宋体" w:eastAsia="宋体" w:cs="宋体"/>
                <w:spacing w:val="-12"/>
                <w:position w:val="1"/>
                <w:sz w:val="18"/>
                <w:szCs w:val="18"/>
              </w:rPr>
              <w:t>26.50</w:t>
            </w:r>
          </w:p>
        </w:tc>
        <w:tc>
          <w:tcPr>
            <w:tcW w:w="2886" w:type="dxa"/>
            <w:gridSpan w:val="3"/>
            <w:tcBorders>
              <w:right w:val="single" w:color="000000" w:sz="4" w:space="0"/>
            </w:tcBorders>
            <w:vAlign w:val="top"/>
          </w:tcPr>
          <w:p>
            <w:pPr>
              <w:spacing w:before="186" w:line="253" w:lineRule="exact"/>
              <w:ind w:left="1253"/>
              <w:rPr>
                <w:rFonts w:ascii="宋体" w:hAnsi="宋体" w:eastAsia="宋体" w:cs="宋体"/>
                <w:sz w:val="18"/>
                <w:szCs w:val="18"/>
              </w:rPr>
            </w:pPr>
            <w:r>
              <w:rPr>
                <w:rFonts w:ascii="宋体" w:hAnsi="宋体" w:eastAsia="宋体" w:cs="宋体"/>
                <w:spacing w:val="-16"/>
                <w:position w:val="1"/>
                <w:sz w:val="18"/>
                <w:szCs w:val="18"/>
              </w:rPr>
              <w:t>19.80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1" w:line="210" w:lineRule="auto"/>
              <w:ind w:left="741"/>
              <w:rPr>
                <w:rFonts w:ascii="宋体" w:hAnsi="宋体" w:eastAsia="宋体" w:cs="宋体"/>
                <w:sz w:val="18"/>
                <w:szCs w:val="18"/>
              </w:rPr>
            </w:pPr>
            <w:r>
              <w:rPr>
                <w:rFonts w:ascii="宋体" w:hAnsi="宋体" w:eastAsia="宋体" w:cs="宋体"/>
                <w:spacing w:val="-3"/>
                <w:sz w:val="18"/>
                <w:szCs w:val="18"/>
              </w:rPr>
              <w:t>水处理工程</w:t>
            </w:r>
          </w:p>
        </w:tc>
        <w:tc>
          <w:tcPr>
            <w:tcW w:w="2783" w:type="dxa"/>
            <w:gridSpan w:val="3"/>
            <w:vAlign w:val="top"/>
          </w:tcPr>
          <w:p>
            <w:pPr>
              <w:spacing w:before="183" w:line="254" w:lineRule="exact"/>
              <w:ind w:left="1202"/>
              <w:rPr>
                <w:rFonts w:ascii="宋体" w:hAnsi="宋体" w:eastAsia="宋体" w:cs="宋体"/>
                <w:sz w:val="18"/>
                <w:szCs w:val="18"/>
              </w:rPr>
            </w:pPr>
            <w:r>
              <w:rPr>
                <w:rFonts w:ascii="宋体" w:hAnsi="宋体" w:eastAsia="宋体" w:cs="宋体"/>
                <w:spacing w:val="-16"/>
                <w:position w:val="1"/>
                <w:sz w:val="18"/>
                <w:szCs w:val="18"/>
              </w:rPr>
              <w:t>17.00</w:t>
            </w:r>
          </w:p>
        </w:tc>
        <w:tc>
          <w:tcPr>
            <w:tcW w:w="2886" w:type="dxa"/>
            <w:gridSpan w:val="3"/>
            <w:tcBorders>
              <w:right w:val="single" w:color="000000" w:sz="4" w:space="0"/>
            </w:tcBorders>
            <w:vAlign w:val="top"/>
          </w:tcPr>
          <w:p>
            <w:pPr>
              <w:spacing w:before="183" w:line="254" w:lineRule="exact"/>
              <w:ind w:left="1253"/>
              <w:rPr>
                <w:rFonts w:ascii="宋体" w:hAnsi="宋体" w:eastAsia="宋体" w:cs="宋体"/>
                <w:sz w:val="18"/>
                <w:szCs w:val="18"/>
              </w:rPr>
            </w:pPr>
            <w:r>
              <w:rPr>
                <w:rFonts w:ascii="宋体" w:hAnsi="宋体" w:eastAsia="宋体" w:cs="宋体"/>
                <w:spacing w:val="-16"/>
                <w:position w:val="1"/>
                <w:sz w:val="18"/>
                <w:szCs w:val="18"/>
              </w:rPr>
              <w:t>10.14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4" w:line="208" w:lineRule="auto"/>
              <w:ind w:left="473"/>
              <w:rPr>
                <w:rFonts w:ascii="宋体" w:hAnsi="宋体" w:eastAsia="宋体" w:cs="宋体"/>
                <w:sz w:val="18"/>
                <w:szCs w:val="18"/>
              </w:rPr>
            </w:pPr>
            <w:r>
              <w:rPr>
                <w:rFonts w:ascii="宋体" w:hAnsi="宋体" w:eastAsia="宋体" w:cs="宋体"/>
                <w:spacing w:val="-4"/>
                <w:sz w:val="18"/>
                <w:szCs w:val="18"/>
              </w:rPr>
              <w:t>生活垃圾处理工程</w:t>
            </w:r>
          </w:p>
        </w:tc>
        <w:tc>
          <w:tcPr>
            <w:tcW w:w="2783" w:type="dxa"/>
            <w:gridSpan w:val="3"/>
            <w:vAlign w:val="top"/>
          </w:tcPr>
          <w:p>
            <w:pPr>
              <w:spacing w:before="186" w:line="253" w:lineRule="exact"/>
              <w:ind w:left="1180"/>
              <w:rPr>
                <w:rFonts w:ascii="宋体" w:hAnsi="宋体" w:eastAsia="宋体" w:cs="宋体"/>
                <w:sz w:val="18"/>
                <w:szCs w:val="18"/>
              </w:rPr>
            </w:pPr>
            <w:r>
              <w:rPr>
                <w:rFonts w:ascii="宋体" w:hAnsi="宋体" w:eastAsia="宋体" w:cs="宋体"/>
                <w:spacing w:val="-13"/>
                <w:position w:val="1"/>
                <w:sz w:val="18"/>
                <w:szCs w:val="18"/>
              </w:rPr>
              <w:t>38.10</w:t>
            </w:r>
          </w:p>
        </w:tc>
        <w:tc>
          <w:tcPr>
            <w:tcW w:w="2886" w:type="dxa"/>
            <w:gridSpan w:val="3"/>
            <w:tcBorders>
              <w:right w:val="single" w:color="000000" w:sz="4" w:space="0"/>
            </w:tcBorders>
            <w:vAlign w:val="top"/>
          </w:tcPr>
          <w:p>
            <w:pPr>
              <w:spacing w:before="186" w:line="253" w:lineRule="exact"/>
              <w:ind w:left="1253"/>
              <w:rPr>
                <w:rFonts w:ascii="宋体" w:hAnsi="宋体" w:eastAsia="宋体" w:cs="宋体"/>
                <w:sz w:val="18"/>
                <w:szCs w:val="18"/>
              </w:rPr>
            </w:pPr>
            <w:r>
              <w:rPr>
                <w:rFonts w:ascii="宋体" w:hAnsi="宋体" w:eastAsia="宋体" w:cs="宋体"/>
                <w:spacing w:val="-16"/>
                <w:position w:val="1"/>
                <w:sz w:val="18"/>
                <w:szCs w:val="18"/>
              </w:rPr>
              <w:t>14.22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2" w:line="211" w:lineRule="auto"/>
              <w:ind w:left="832"/>
              <w:rPr>
                <w:rFonts w:ascii="宋体" w:hAnsi="宋体" w:eastAsia="宋体" w:cs="宋体"/>
                <w:sz w:val="18"/>
                <w:szCs w:val="18"/>
              </w:rPr>
            </w:pPr>
            <w:r>
              <w:rPr>
                <w:rFonts w:ascii="宋体" w:hAnsi="宋体" w:eastAsia="宋体" w:cs="宋体"/>
                <w:spacing w:val="-5"/>
                <w:sz w:val="18"/>
                <w:szCs w:val="18"/>
              </w:rPr>
              <w:t>路灯工程</w:t>
            </w:r>
          </w:p>
        </w:tc>
        <w:tc>
          <w:tcPr>
            <w:tcW w:w="2783" w:type="dxa"/>
            <w:gridSpan w:val="3"/>
            <w:vAlign w:val="top"/>
          </w:tcPr>
          <w:p>
            <w:pPr>
              <w:spacing w:before="183" w:line="254" w:lineRule="exact"/>
              <w:ind w:left="1177"/>
              <w:rPr>
                <w:rFonts w:ascii="宋体" w:hAnsi="宋体" w:eastAsia="宋体" w:cs="宋体"/>
                <w:sz w:val="18"/>
                <w:szCs w:val="18"/>
              </w:rPr>
            </w:pPr>
            <w:r>
              <w:rPr>
                <w:rFonts w:ascii="宋体" w:hAnsi="宋体" w:eastAsia="宋体" w:cs="宋体"/>
                <w:spacing w:val="-12"/>
                <w:position w:val="1"/>
                <w:sz w:val="18"/>
                <w:szCs w:val="18"/>
              </w:rPr>
              <w:t>24.05</w:t>
            </w:r>
          </w:p>
        </w:tc>
        <w:tc>
          <w:tcPr>
            <w:tcW w:w="2886" w:type="dxa"/>
            <w:gridSpan w:val="3"/>
            <w:tcBorders>
              <w:right w:val="single" w:color="000000" w:sz="4" w:space="0"/>
            </w:tcBorders>
            <w:vAlign w:val="top"/>
          </w:tcPr>
          <w:p>
            <w:pPr>
              <w:spacing w:before="183" w:line="254" w:lineRule="exact"/>
              <w:ind w:left="1272"/>
              <w:rPr>
                <w:rFonts w:ascii="宋体" w:hAnsi="宋体" w:eastAsia="宋体" w:cs="宋体"/>
                <w:sz w:val="18"/>
                <w:szCs w:val="18"/>
              </w:rPr>
            </w:pPr>
            <w:r>
              <w:rPr>
                <w:rFonts w:ascii="宋体" w:hAnsi="宋体" w:eastAsia="宋体" w:cs="宋体"/>
                <w:spacing w:val="-14"/>
                <w:position w:val="1"/>
                <w:sz w:val="18"/>
                <w:szCs w:val="18"/>
              </w:rPr>
              <w:t>9.83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74" w:line="212" w:lineRule="auto"/>
              <w:ind w:left="292"/>
              <w:rPr>
                <w:rFonts w:ascii="宋体" w:hAnsi="宋体" w:eastAsia="宋体" w:cs="宋体"/>
                <w:sz w:val="18"/>
                <w:szCs w:val="18"/>
              </w:rPr>
            </w:pPr>
            <w:r>
              <w:rPr>
                <w:rFonts w:ascii="宋体" w:hAnsi="宋体" w:eastAsia="宋体" w:cs="宋体"/>
                <w:spacing w:val="-3"/>
                <w:sz w:val="18"/>
                <w:szCs w:val="18"/>
              </w:rPr>
              <w:t>城市地下综合管廊工程</w:t>
            </w:r>
          </w:p>
        </w:tc>
        <w:tc>
          <w:tcPr>
            <w:tcW w:w="2783" w:type="dxa"/>
            <w:gridSpan w:val="3"/>
            <w:vAlign w:val="top"/>
          </w:tcPr>
          <w:p>
            <w:pPr>
              <w:spacing w:before="186" w:line="253" w:lineRule="exact"/>
              <w:ind w:left="1202"/>
              <w:rPr>
                <w:rFonts w:ascii="宋体" w:hAnsi="宋体" w:eastAsia="宋体" w:cs="宋体"/>
                <w:sz w:val="18"/>
                <w:szCs w:val="18"/>
              </w:rPr>
            </w:pPr>
            <w:r>
              <w:rPr>
                <w:rFonts w:ascii="宋体" w:hAnsi="宋体" w:eastAsia="宋体" w:cs="宋体"/>
                <w:spacing w:val="-16"/>
                <w:position w:val="1"/>
                <w:sz w:val="18"/>
                <w:szCs w:val="18"/>
              </w:rPr>
              <w:t>18.84</w:t>
            </w:r>
          </w:p>
        </w:tc>
        <w:tc>
          <w:tcPr>
            <w:tcW w:w="2886" w:type="dxa"/>
            <w:gridSpan w:val="3"/>
            <w:tcBorders>
              <w:right w:val="single" w:color="000000" w:sz="4" w:space="0"/>
            </w:tcBorders>
            <w:vAlign w:val="top"/>
          </w:tcPr>
          <w:p>
            <w:pPr>
              <w:spacing w:before="186" w:line="253" w:lineRule="exact"/>
              <w:ind w:left="1272"/>
              <w:rPr>
                <w:rFonts w:ascii="宋体" w:hAnsi="宋体" w:eastAsia="宋体" w:cs="宋体"/>
                <w:sz w:val="18"/>
                <w:szCs w:val="18"/>
              </w:rPr>
            </w:pPr>
            <w:r>
              <w:rPr>
                <w:rFonts w:ascii="宋体" w:hAnsi="宋体" w:eastAsia="宋体" w:cs="宋体"/>
                <w:spacing w:val="-14"/>
                <w:position w:val="1"/>
                <w:sz w:val="18"/>
                <w:szCs w:val="18"/>
              </w:rPr>
              <w:t>9.71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2" w:hRule="atLeast"/>
        </w:trPr>
        <w:tc>
          <w:tcPr>
            <w:tcW w:w="3410" w:type="dxa"/>
            <w:gridSpan w:val="2"/>
            <w:tcBorders>
              <w:left w:val="single" w:color="000000" w:sz="4" w:space="0"/>
            </w:tcBorders>
            <w:vAlign w:val="top"/>
          </w:tcPr>
          <w:p>
            <w:pPr>
              <w:spacing w:before="281" w:line="208" w:lineRule="auto"/>
              <w:ind w:left="1203"/>
              <w:rPr>
                <w:rFonts w:ascii="宋体" w:hAnsi="宋体" w:eastAsia="宋体" w:cs="宋体"/>
                <w:sz w:val="18"/>
                <w:szCs w:val="18"/>
              </w:rPr>
            </w:pPr>
            <w:r>
              <w:rPr>
                <w:rFonts w:ascii="宋体" w:hAnsi="宋体" w:eastAsia="宋体" w:cs="宋体"/>
                <w:spacing w:val="-9"/>
                <w:sz w:val="18"/>
                <w:szCs w:val="18"/>
              </w:rPr>
              <w:t>园林绿化工程</w:t>
            </w:r>
          </w:p>
        </w:tc>
        <w:tc>
          <w:tcPr>
            <w:tcW w:w="2783" w:type="dxa"/>
            <w:gridSpan w:val="3"/>
            <w:vAlign w:val="top"/>
          </w:tcPr>
          <w:p>
            <w:pPr>
              <w:spacing w:before="186" w:line="260" w:lineRule="exact"/>
              <w:ind w:left="1177"/>
              <w:rPr>
                <w:rFonts w:ascii="宋体" w:hAnsi="宋体" w:eastAsia="宋体" w:cs="宋体"/>
                <w:sz w:val="18"/>
                <w:szCs w:val="18"/>
              </w:rPr>
            </w:pPr>
            <w:r>
              <w:rPr>
                <w:rFonts w:ascii="宋体" w:hAnsi="宋体" w:eastAsia="宋体" w:cs="宋体"/>
                <w:spacing w:val="-12"/>
                <w:position w:val="2"/>
                <w:sz w:val="18"/>
                <w:szCs w:val="18"/>
              </w:rPr>
              <w:t>52.33</w:t>
            </w:r>
          </w:p>
        </w:tc>
        <w:tc>
          <w:tcPr>
            <w:tcW w:w="2886" w:type="dxa"/>
            <w:gridSpan w:val="3"/>
            <w:tcBorders>
              <w:right w:val="single" w:color="000000" w:sz="4" w:space="0"/>
            </w:tcBorders>
            <w:vAlign w:val="top"/>
          </w:tcPr>
          <w:p>
            <w:pPr>
              <w:spacing w:before="186" w:line="260" w:lineRule="exact"/>
              <w:ind w:left="1229"/>
              <w:rPr>
                <w:rFonts w:ascii="宋体" w:hAnsi="宋体" w:eastAsia="宋体" w:cs="宋体"/>
                <w:sz w:val="18"/>
                <w:szCs w:val="18"/>
              </w:rPr>
            </w:pPr>
            <w:r>
              <w:rPr>
                <w:rFonts w:ascii="宋体" w:hAnsi="宋体" w:eastAsia="宋体" w:cs="宋体"/>
                <w:spacing w:val="-12"/>
                <w:position w:val="2"/>
                <w:sz w:val="18"/>
                <w:szCs w:val="18"/>
              </w:rPr>
              <w:t>27.26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restart"/>
            <w:tcBorders>
              <w:left w:val="single" w:color="000000" w:sz="4" w:space="0"/>
              <w:bottom w:val="nil"/>
            </w:tcBorders>
            <w:vAlign w:val="top"/>
          </w:tcPr>
          <w:p>
            <w:pPr>
              <w:spacing w:before="284" w:line="330" w:lineRule="auto"/>
              <w:ind w:left="335" w:right="328" w:firstLine="1"/>
              <w:rPr>
                <w:rFonts w:ascii="宋体" w:hAnsi="宋体" w:eastAsia="宋体" w:cs="宋体"/>
                <w:sz w:val="18"/>
                <w:szCs w:val="18"/>
              </w:rPr>
            </w:pPr>
            <w:r>
              <w:rPr>
                <w:rFonts w:ascii="宋体" w:hAnsi="宋体" w:eastAsia="宋体" w:cs="宋体"/>
                <w:spacing w:val="-2"/>
                <w:sz w:val="18"/>
                <w:szCs w:val="18"/>
              </w:rPr>
              <w:t>房屋修缮</w:t>
            </w:r>
          </w:p>
        </w:tc>
        <w:tc>
          <w:tcPr>
            <w:tcW w:w="2379" w:type="dxa"/>
            <w:vAlign w:val="top"/>
          </w:tcPr>
          <w:p>
            <w:pPr>
              <w:spacing w:before="189" w:line="215" w:lineRule="auto"/>
              <w:ind w:left="833"/>
              <w:rPr>
                <w:rFonts w:ascii="宋体" w:hAnsi="宋体" w:eastAsia="宋体" w:cs="宋体"/>
                <w:sz w:val="18"/>
                <w:szCs w:val="18"/>
              </w:rPr>
            </w:pPr>
            <w:r>
              <w:rPr>
                <w:rFonts w:ascii="宋体" w:hAnsi="宋体" w:eastAsia="宋体" w:cs="宋体"/>
                <w:spacing w:val="-4"/>
                <w:sz w:val="18"/>
                <w:szCs w:val="18"/>
              </w:rPr>
              <w:t>建筑工程</w:t>
            </w:r>
          </w:p>
        </w:tc>
        <w:tc>
          <w:tcPr>
            <w:tcW w:w="2783" w:type="dxa"/>
            <w:gridSpan w:val="3"/>
            <w:vAlign w:val="top"/>
          </w:tcPr>
          <w:p>
            <w:pPr>
              <w:spacing w:before="176" w:line="260" w:lineRule="exact"/>
              <w:ind w:left="1172"/>
              <w:rPr>
                <w:rFonts w:ascii="宋体" w:hAnsi="宋体" w:eastAsia="宋体" w:cs="宋体"/>
                <w:sz w:val="18"/>
                <w:szCs w:val="18"/>
              </w:rPr>
            </w:pPr>
            <w:r>
              <w:rPr>
                <w:rFonts w:ascii="宋体" w:hAnsi="宋体" w:eastAsia="宋体" w:cs="宋体"/>
                <w:spacing w:val="-11"/>
                <w:position w:val="1"/>
                <w:sz w:val="18"/>
                <w:szCs w:val="18"/>
              </w:rPr>
              <w:t>46.16</w:t>
            </w:r>
          </w:p>
        </w:tc>
        <w:tc>
          <w:tcPr>
            <w:tcW w:w="2886" w:type="dxa"/>
            <w:gridSpan w:val="3"/>
            <w:tcBorders>
              <w:right w:val="single" w:color="000000" w:sz="4" w:space="0"/>
            </w:tcBorders>
            <w:vAlign w:val="top"/>
          </w:tcPr>
          <w:p>
            <w:pPr>
              <w:spacing w:before="176" w:line="260" w:lineRule="exact"/>
              <w:ind w:left="1229"/>
              <w:rPr>
                <w:rFonts w:ascii="宋体" w:hAnsi="宋体" w:eastAsia="宋体" w:cs="宋体"/>
                <w:sz w:val="18"/>
                <w:szCs w:val="18"/>
              </w:rPr>
            </w:pPr>
            <w:r>
              <w:rPr>
                <w:rFonts w:ascii="宋体" w:hAnsi="宋体" w:eastAsia="宋体" w:cs="宋体"/>
                <w:spacing w:val="-12"/>
                <w:position w:val="1"/>
                <w:sz w:val="18"/>
                <w:szCs w:val="18"/>
              </w:rPr>
              <w:t>24.15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5"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92" w:line="211" w:lineRule="auto"/>
              <w:ind w:left="836"/>
              <w:rPr>
                <w:rFonts w:ascii="宋体" w:hAnsi="宋体" w:eastAsia="宋体" w:cs="宋体"/>
                <w:sz w:val="18"/>
                <w:szCs w:val="18"/>
              </w:rPr>
            </w:pPr>
            <w:r>
              <w:rPr>
                <w:rFonts w:ascii="宋体" w:hAnsi="宋体" w:eastAsia="宋体" w:cs="宋体"/>
                <w:spacing w:val="-5"/>
                <w:sz w:val="18"/>
                <w:szCs w:val="18"/>
              </w:rPr>
              <w:t>安装工程</w:t>
            </w:r>
          </w:p>
        </w:tc>
        <w:tc>
          <w:tcPr>
            <w:tcW w:w="2783" w:type="dxa"/>
            <w:gridSpan w:val="3"/>
            <w:vAlign w:val="top"/>
          </w:tcPr>
          <w:p>
            <w:pPr>
              <w:spacing w:before="177" w:line="259" w:lineRule="exact"/>
              <w:ind w:left="1172"/>
              <w:rPr>
                <w:rFonts w:ascii="宋体" w:hAnsi="宋体" w:eastAsia="宋体" w:cs="宋体"/>
                <w:sz w:val="18"/>
                <w:szCs w:val="18"/>
              </w:rPr>
            </w:pPr>
            <w:r>
              <w:rPr>
                <w:rFonts w:ascii="宋体" w:hAnsi="宋体" w:eastAsia="宋体" w:cs="宋体"/>
                <w:spacing w:val="-11"/>
                <w:position w:val="2"/>
                <w:sz w:val="18"/>
                <w:szCs w:val="18"/>
              </w:rPr>
              <w:t>48.08</w:t>
            </w:r>
          </w:p>
        </w:tc>
        <w:tc>
          <w:tcPr>
            <w:tcW w:w="2886" w:type="dxa"/>
            <w:gridSpan w:val="3"/>
            <w:tcBorders>
              <w:right w:val="single" w:color="000000" w:sz="4" w:space="0"/>
            </w:tcBorders>
            <w:vAlign w:val="top"/>
          </w:tcPr>
          <w:p>
            <w:pPr>
              <w:spacing w:before="177" w:line="259" w:lineRule="exact"/>
              <w:ind w:left="1229"/>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3410" w:type="dxa"/>
            <w:gridSpan w:val="2"/>
            <w:tcBorders>
              <w:left w:val="single" w:color="000000" w:sz="4" w:space="0"/>
            </w:tcBorders>
            <w:vAlign w:val="top"/>
          </w:tcPr>
          <w:p>
            <w:pPr>
              <w:spacing w:before="188" w:line="215" w:lineRule="auto"/>
              <w:ind w:left="1084"/>
              <w:rPr>
                <w:rFonts w:ascii="宋体" w:hAnsi="宋体" w:eastAsia="宋体" w:cs="宋体"/>
                <w:sz w:val="18"/>
                <w:szCs w:val="18"/>
              </w:rPr>
            </w:pPr>
            <w:r>
              <w:rPr>
                <w:rFonts w:ascii="宋体" w:hAnsi="宋体" w:eastAsia="宋体" w:cs="宋体"/>
                <w:spacing w:val="-4"/>
                <w:sz w:val="18"/>
                <w:szCs w:val="18"/>
              </w:rPr>
              <w:t>古建筑修缮工程</w:t>
            </w:r>
          </w:p>
        </w:tc>
        <w:tc>
          <w:tcPr>
            <w:tcW w:w="2783" w:type="dxa"/>
            <w:gridSpan w:val="3"/>
            <w:vAlign w:val="top"/>
          </w:tcPr>
          <w:p>
            <w:pPr>
              <w:spacing w:before="181" w:line="260" w:lineRule="exact"/>
              <w:ind w:left="1172"/>
              <w:rPr>
                <w:rFonts w:ascii="宋体" w:hAnsi="宋体" w:eastAsia="宋体" w:cs="宋体"/>
                <w:sz w:val="18"/>
                <w:szCs w:val="18"/>
              </w:rPr>
            </w:pPr>
            <w:r>
              <w:rPr>
                <w:rFonts w:ascii="宋体" w:hAnsi="宋体" w:eastAsia="宋体" w:cs="宋体"/>
                <w:spacing w:val="-11"/>
                <w:position w:val="1"/>
                <w:sz w:val="18"/>
                <w:szCs w:val="18"/>
              </w:rPr>
              <w:t>47.81</w:t>
            </w:r>
          </w:p>
        </w:tc>
        <w:tc>
          <w:tcPr>
            <w:tcW w:w="2886" w:type="dxa"/>
            <w:gridSpan w:val="3"/>
            <w:tcBorders>
              <w:right w:val="single" w:color="000000" w:sz="4" w:space="0"/>
            </w:tcBorders>
            <w:vAlign w:val="top"/>
          </w:tcPr>
          <w:p>
            <w:pPr>
              <w:spacing w:before="181" w:line="260" w:lineRule="exact"/>
              <w:ind w:left="1229"/>
              <w:rPr>
                <w:rFonts w:ascii="宋体" w:hAnsi="宋体" w:eastAsia="宋体" w:cs="宋体"/>
                <w:sz w:val="18"/>
                <w:szCs w:val="18"/>
              </w:rPr>
            </w:pPr>
            <w:r>
              <w:rPr>
                <w:rFonts w:ascii="宋体" w:hAnsi="宋体" w:eastAsia="宋体" w:cs="宋体"/>
                <w:spacing w:val="-12"/>
                <w:position w:val="2"/>
                <w:sz w:val="18"/>
                <w:szCs w:val="18"/>
              </w:rPr>
              <w:t>28.47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6" w:hRule="atLeast"/>
        </w:trPr>
        <w:tc>
          <w:tcPr>
            <w:tcW w:w="1031" w:type="dxa"/>
            <w:vMerge w:val="restart"/>
            <w:tcBorders>
              <w:left w:val="single" w:color="000000" w:sz="4" w:space="0"/>
              <w:bottom w:val="nil"/>
            </w:tcBorders>
            <w:vAlign w:val="top"/>
          </w:tcPr>
          <w:p>
            <w:pPr>
              <w:spacing w:before="126" w:line="210" w:lineRule="auto"/>
              <w:ind w:left="342"/>
              <w:rPr>
                <w:rFonts w:ascii="宋体" w:hAnsi="宋体" w:eastAsia="宋体" w:cs="宋体"/>
                <w:sz w:val="18"/>
                <w:szCs w:val="18"/>
              </w:rPr>
            </w:pPr>
            <w:r>
              <w:rPr>
                <w:rFonts w:ascii="宋体" w:hAnsi="宋体" w:eastAsia="宋体" w:cs="宋体"/>
                <w:spacing w:val="-3"/>
                <w:sz w:val="18"/>
                <w:szCs w:val="18"/>
              </w:rPr>
              <w:t>市政</w:t>
            </w:r>
          </w:p>
          <w:p>
            <w:pPr>
              <w:spacing w:before="125" w:line="212" w:lineRule="auto"/>
              <w:ind w:left="335"/>
              <w:rPr>
                <w:rFonts w:ascii="宋体" w:hAnsi="宋体" w:eastAsia="宋体" w:cs="宋体"/>
                <w:sz w:val="18"/>
                <w:szCs w:val="18"/>
              </w:rPr>
            </w:pPr>
            <w:r>
              <w:rPr>
                <w:rFonts w:ascii="宋体" w:hAnsi="宋体" w:eastAsia="宋体" w:cs="宋体"/>
                <w:spacing w:val="-2"/>
                <w:sz w:val="18"/>
                <w:szCs w:val="18"/>
              </w:rPr>
              <w:t>养护</w:t>
            </w:r>
          </w:p>
          <w:p>
            <w:pPr>
              <w:spacing w:before="124" w:line="212" w:lineRule="auto"/>
              <w:ind w:left="338"/>
              <w:rPr>
                <w:rFonts w:ascii="宋体" w:hAnsi="宋体" w:eastAsia="宋体" w:cs="宋体"/>
                <w:sz w:val="18"/>
                <w:szCs w:val="18"/>
              </w:rPr>
            </w:pPr>
            <w:r>
              <w:rPr>
                <w:rFonts w:ascii="宋体" w:hAnsi="宋体" w:eastAsia="宋体" w:cs="宋体"/>
                <w:spacing w:val="-3"/>
                <w:sz w:val="18"/>
                <w:szCs w:val="18"/>
              </w:rPr>
              <w:t>维修</w:t>
            </w:r>
          </w:p>
          <w:p>
            <w:pPr>
              <w:spacing w:before="119" w:line="202" w:lineRule="auto"/>
              <w:ind w:left="338"/>
              <w:rPr>
                <w:rFonts w:ascii="宋体" w:hAnsi="宋体" w:eastAsia="宋体" w:cs="宋体"/>
                <w:sz w:val="18"/>
                <w:szCs w:val="18"/>
              </w:rPr>
            </w:pPr>
            <w:r>
              <w:rPr>
                <w:rFonts w:ascii="宋体" w:hAnsi="宋体" w:eastAsia="宋体" w:cs="宋体"/>
                <w:spacing w:val="-3"/>
                <w:sz w:val="18"/>
                <w:szCs w:val="18"/>
              </w:rPr>
              <w:t>工程</w:t>
            </w:r>
          </w:p>
        </w:tc>
        <w:tc>
          <w:tcPr>
            <w:tcW w:w="2379" w:type="dxa"/>
            <w:vAlign w:val="top"/>
          </w:tcPr>
          <w:p>
            <w:pPr>
              <w:spacing w:before="137" w:line="266" w:lineRule="auto"/>
              <w:ind w:left="468" w:right="423" w:hanging="88"/>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2783" w:type="dxa"/>
            <w:gridSpan w:val="3"/>
            <w:vAlign w:val="top"/>
          </w:tcPr>
          <w:p>
            <w:pPr>
              <w:spacing w:before="260" w:line="260" w:lineRule="exact"/>
              <w:ind w:left="1177"/>
              <w:rPr>
                <w:rFonts w:ascii="宋体" w:hAnsi="宋体" w:eastAsia="宋体" w:cs="宋体"/>
                <w:sz w:val="18"/>
                <w:szCs w:val="18"/>
              </w:rPr>
            </w:pPr>
            <w:r>
              <w:rPr>
                <w:rFonts w:ascii="宋体" w:hAnsi="宋体" w:eastAsia="宋体" w:cs="宋体"/>
                <w:spacing w:val="-12"/>
                <w:position w:val="2"/>
                <w:sz w:val="18"/>
                <w:szCs w:val="18"/>
              </w:rPr>
              <w:t>20.07</w:t>
            </w:r>
          </w:p>
        </w:tc>
        <w:tc>
          <w:tcPr>
            <w:tcW w:w="2886" w:type="dxa"/>
            <w:gridSpan w:val="3"/>
            <w:tcBorders>
              <w:right w:val="single" w:color="000000" w:sz="4" w:space="0"/>
            </w:tcBorders>
            <w:vAlign w:val="top"/>
          </w:tcPr>
          <w:p>
            <w:pPr>
              <w:spacing w:before="260" w:line="260" w:lineRule="exact"/>
              <w:ind w:left="1253"/>
              <w:rPr>
                <w:rFonts w:ascii="宋体" w:hAnsi="宋体" w:eastAsia="宋体" w:cs="宋体"/>
                <w:sz w:val="18"/>
                <w:szCs w:val="18"/>
              </w:rPr>
            </w:pPr>
            <w:r>
              <w:rPr>
                <w:rFonts w:ascii="宋体" w:hAnsi="宋体" w:eastAsia="宋体" w:cs="宋体"/>
                <w:spacing w:val="-16"/>
                <w:position w:val="1"/>
                <w:sz w:val="18"/>
                <w:szCs w:val="18"/>
              </w:rPr>
              <w:t>11.79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5"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34" w:line="267" w:lineRule="auto"/>
              <w:ind w:left="471" w:right="426" w:hanging="86"/>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2783" w:type="dxa"/>
            <w:gridSpan w:val="3"/>
            <w:vAlign w:val="top"/>
          </w:tcPr>
          <w:p>
            <w:pPr>
              <w:spacing w:before="259" w:line="259" w:lineRule="exact"/>
              <w:ind w:left="1177"/>
              <w:rPr>
                <w:rFonts w:ascii="宋体" w:hAnsi="宋体" w:eastAsia="宋体" w:cs="宋体"/>
                <w:sz w:val="18"/>
                <w:szCs w:val="18"/>
              </w:rPr>
            </w:pPr>
            <w:r>
              <w:rPr>
                <w:rFonts w:ascii="宋体" w:hAnsi="宋体" w:eastAsia="宋体" w:cs="宋体"/>
                <w:spacing w:val="-12"/>
                <w:position w:val="1"/>
                <w:sz w:val="18"/>
                <w:szCs w:val="18"/>
              </w:rPr>
              <w:t>25.19</w:t>
            </w:r>
          </w:p>
        </w:tc>
        <w:tc>
          <w:tcPr>
            <w:tcW w:w="2886" w:type="dxa"/>
            <w:gridSpan w:val="3"/>
            <w:tcBorders>
              <w:right w:val="single" w:color="000000" w:sz="4" w:space="0"/>
            </w:tcBorders>
            <w:vAlign w:val="top"/>
          </w:tcPr>
          <w:p>
            <w:pPr>
              <w:spacing w:before="259" w:line="259" w:lineRule="exact"/>
              <w:ind w:left="1253"/>
              <w:rPr>
                <w:rFonts w:ascii="宋体" w:hAnsi="宋体" w:eastAsia="宋体" w:cs="宋体"/>
                <w:sz w:val="18"/>
                <w:szCs w:val="18"/>
              </w:rPr>
            </w:pPr>
            <w:r>
              <w:rPr>
                <w:rFonts w:ascii="宋体" w:hAnsi="宋体" w:eastAsia="宋体" w:cs="宋体"/>
                <w:spacing w:val="-16"/>
                <w:position w:val="1"/>
                <w:sz w:val="18"/>
                <w:szCs w:val="18"/>
              </w:rPr>
              <w:t>14.86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7" w:hRule="atLeast"/>
        </w:trPr>
        <w:tc>
          <w:tcPr>
            <w:tcW w:w="3410" w:type="dxa"/>
            <w:gridSpan w:val="2"/>
            <w:tcBorders>
              <w:left w:val="single" w:color="000000" w:sz="4" w:space="0"/>
              <w:bottom w:val="single" w:color="000000" w:sz="4" w:space="0"/>
            </w:tcBorders>
            <w:vAlign w:val="top"/>
          </w:tcPr>
          <w:p>
            <w:pPr>
              <w:spacing w:before="201" w:line="215" w:lineRule="auto"/>
              <w:ind w:left="1172"/>
              <w:rPr>
                <w:rFonts w:ascii="宋体" w:hAnsi="宋体" w:eastAsia="宋体" w:cs="宋体"/>
                <w:sz w:val="18"/>
                <w:szCs w:val="18"/>
              </w:rPr>
            </w:pPr>
            <w:r>
              <w:rPr>
                <w:rFonts w:ascii="宋体" w:hAnsi="宋体" w:eastAsia="宋体" w:cs="宋体"/>
                <w:spacing w:val="-4"/>
                <w:sz w:val="18"/>
                <w:szCs w:val="18"/>
              </w:rPr>
              <w:t>仿古建筑工程</w:t>
            </w:r>
          </w:p>
        </w:tc>
        <w:tc>
          <w:tcPr>
            <w:tcW w:w="2783" w:type="dxa"/>
            <w:gridSpan w:val="3"/>
            <w:tcBorders>
              <w:bottom w:val="single" w:color="000000" w:sz="4" w:space="0"/>
            </w:tcBorders>
            <w:vAlign w:val="top"/>
          </w:tcPr>
          <w:p>
            <w:pPr>
              <w:spacing w:before="191" w:line="260" w:lineRule="exact"/>
              <w:ind w:left="1180"/>
              <w:rPr>
                <w:rFonts w:ascii="宋体" w:hAnsi="宋体" w:eastAsia="宋体" w:cs="宋体"/>
                <w:sz w:val="18"/>
                <w:szCs w:val="18"/>
              </w:rPr>
            </w:pPr>
            <w:r>
              <w:rPr>
                <w:rFonts w:ascii="宋体" w:hAnsi="宋体" w:eastAsia="宋体" w:cs="宋体"/>
                <w:spacing w:val="-13"/>
                <w:position w:val="2"/>
                <w:sz w:val="18"/>
                <w:szCs w:val="18"/>
              </w:rPr>
              <w:t>30.59</w:t>
            </w:r>
          </w:p>
        </w:tc>
        <w:tc>
          <w:tcPr>
            <w:tcW w:w="2886" w:type="dxa"/>
            <w:gridSpan w:val="3"/>
            <w:tcBorders>
              <w:bottom w:val="single" w:color="000000" w:sz="4" w:space="0"/>
              <w:right w:val="single" w:color="000000" w:sz="4" w:space="0"/>
            </w:tcBorders>
            <w:vAlign w:val="top"/>
          </w:tcPr>
          <w:p>
            <w:pPr>
              <w:spacing w:before="191" w:line="260" w:lineRule="exact"/>
              <w:ind w:left="1253"/>
              <w:rPr>
                <w:rFonts w:ascii="宋体" w:hAnsi="宋体" w:eastAsia="宋体" w:cs="宋体"/>
                <w:sz w:val="18"/>
                <w:szCs w:val="18"/>
              </w:rPr>
            </w:pPr>
            <w:r>
              <w:rPr>
                <w:rFonts w:ascii="宋体" w:hAnsi="宋体" w:eastAsia="宋体" w:cs="宋体"/>
                <w:spacing w:val="-16"/>
                <w:position w:val="1"/>
                <w:sz w:val="18"/>
                <w:szCs w:val="18"/>
              </w:rPr>
              <w:t>13.13</w:t>
            </w:r>
          </w:p>
        </w:tc>
      </w:tr>
    </w:tbl>
    <w:p>
      <w:pPr>
        <w:rPr>
          <w:rFonts w:ascii="Arial"/>
          <w:sz w:val="21"/>
        </w:rPr>
      </w:pPr>
    </w:p>
    <w:p>
      <w:pPr>
        <w:rPr>
          <w:rFonts w:ascii="Arial" w:hAnsi="Arial" w:eastAsia="Arial" w:cs="Arial"/>
          <w:sz w:val="21"/>
          <w:szCs w:val="21"/>
        </w:rPr>
        <w:sectPr>
          <w:footerReference r:id="rId77" w:type="default"/>
          <w:pgSz w:w="11905" w:h="16840"/>
          <w:pgMar w:top="400" w:right="1398"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7"/>
          <w:position w:val="1"/>
          <w:sz w:val="20"/>
          <w:szCs w:val="20"/>
        </w:rPr>
        <w:t>2.简易计税法（单位：</w:t>
      </w:r>
      <w:r>
        <w:rPr>
          <w:rFonts w:ascii="宋体" w:hAnsi="宋体" w:eastAsia="宋体" w:cs="宋体"/>
          <w:spacing w:val="-49"/>
          <w:position w:val="1"/>
          <w:sz w:val="20"/>
          <w:szCs w:val="20"/>
        </w:rPr>
        <w:t xml:space="preserve"> </w:t>
      </w:r>
      <w:r>
        <w:rPr>
          <w:rFonts w:ascii="宋体" w:hAnsi="宋体" w:eastAsia="宋体" w:cs="宋体"/>
          <w:spacing w:val="17"/>
          <w:position w:val="1"/>
          <w:sz w:val="20"/>
          <w:szCs w:val="20"/>
        </w:rPr>
        <w:t>%）</w:t>
      </w:r>
    </w:p>
    <w:p>
      <w:pPr>
        <w:spacing w:line="110"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2"/>
        <w:gridCol w:w="2254"/>
        <w:gridCol w:w="949"/>
        <w:gridCol w:w="950"/>
        <w:gridCol w:w="948"/>
        <w:gridCol w:w="950"/>
        <w:gridCol w:w="949"/>
        <w:gridCol w:w="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0" w:hRule="atLeast"/>
        </w:trPr>
        <w:tc>
          <w:tcPr>
            <w:tcW w:w="3366" w:type="dxa"/>
            <w:gridSpan w:val="2"/>
            <w:vMerge w:val="restart"/>
            <w:tcBorders>
              <w:top w:val="single" w:color="000000" w:sz="4" w:space="0"/>
              <w:left w:val="single" w:color="000000" w:sz="4" w:space="0"/>
              <w:bottom w:val="nil"/>
              <w:tl2br w:val="single" w:color="000000" w:sz="4" w:space="0"/>
            </w:tcBorders>
            <w:vAlign w:val="top"/>
          </w:tcPr>
          <w:p>
            <w:pPr>
              <w:spacing w:before="252" w:line="260" w:lineRule="auto"/>
              <w:ind w:left="304" w:right="453" w:firstLine="1897"/>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2847" w:type="dxa"/>
            <w:gridSpan w:val="3"/>
            <w:tcBorders>
              <w:top w:val="single" w:color="000000" w:sz="4" w:space="0"/>
            </w:tcBorders>
            <w:vAlign w:val="top"/>
          </w:tcPr>
          <w:p>
            <w:pPr>
              <w:spacing w:before="158" w:line="202" w:lineRule="auto"/>
              <w:ind w:left="985"/>
              <w:rPr>
                <w:rFonts w:ascii="微软雅黑" w:hAnsi="微软雅黑" w:eastAsia="微软雅黑" w:cs="微软雅黑"/>
                <w:sz w:val="18"/>
                <w:szCs w:val="18"/>
              </w:rPr>
            </w:pPr>
            <w:r>
              <w:rPr>
                <w:rFonts w:ascii="微软雅黑" w:hAnsi="微软雅黑" w:eastAsia="微软雅黑" w:cs="微软雅黑"/>
                <w:spacing w:val="-4"/>
                <w:sz w:val="18"/>
                <w:szCs w:val="18"/>
              </w:rPr>
              <w:t>企业管理费</w:t>
            </w:r>
          </w:p>
        </w:tc>
        <w:tc>
          <w:tcPr>
            <w:tcW w:w="2866" w:type="dxa"/>
            <w:gridSpan w:val="3"/>
            <w:tcBorders>
              <w:top w:val="single" w:color="000000" w:sz="4" w:space="0"/>
              <w:right w:val="single" w:color="000000" w:sz="4" w:space="0"/>
            </w:tcBorders>
            <w:vAlign w:val="top"/>
          </w:tcPr>
          <w:p>
            <w:pPr>
              <w:spacing w:before="160" w:line="203" w:lineRule="auto"/>
              <w:ind w:left="1265"/>
              <w:rPr>
                <w:rFonts w:ascii="微软雅黑" w:hAnsi="微软雅黑" w:eastAsia="微软雅黑" w:cs="微软雅黑"/>
                <w:sz w:val="18"/>
                <w:szCs w:val="18"/>
              </w:rPr>
            </w:pPr>
            <w:r>
              <w:rPr>
                <w:rFonts w:ascii="微软雅黑" w:hAnsi="微软雅黑" w:eastAsia="微软雅黑" w:cs="微软雅黑"/>
                <w:spacing w:val="-5"/>
                <w:sz w:val="18"/>
                <w:szCs w:val="18"/>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trPr>
        <w:tc>
          <w:tcPr>
            <w:tcW w:w="3366" w:type="dxa"/>
            <w:gridSpan w:val="2"/>
            <w:vMerge w:val="continue"/>
            <w:tcBorders>
              <w:top w:val="nil"/>
              <w:left w:val="single" w:color="000000" w:sz="4" w:space="0"/>
              <w:tl2br w:val="single" w:color="000000" w:sz="4" w:space="0"/>
            </w:tcBorders>
            <w:vAlign w:val="top"/>
          </w:tcPr>
          <w:p>
            <w:pPr>
              <w:pStyle w:val="6"/>
            </w:pPr>
          </w:p>
        </w:tc>
        <w:tc>
          <w:tcPr>
            <w:tcW w:w="949" w:type="dxa"/>
            <w:vAlign w:val="top"/>
          </w:tcPr>
          <w:p>
            <w:pPr>
              <w:spacing w:before="190" w:line="256" w:lineRule="exact"/>
              <w:ind w:left="447"/>
              <w:rPr>
                <w:rFonts w:ascii="宋体" w:hAnsi="宋体" w:eastAsia="宋体" w:cs="宋体"/>
                <w:sz w:val="18"/>
                <w:szCs w:val="18"/>
              </w:rPr>
            </w:pPr>
            <w:r>
              <w:rPr>
                <w:rFonts w:ascii="宋体" w:hAnsi="宋体" w:eastAsia="宋体" w:cs="宋体"/>
                <w:position w:val="1"/>
                <w:sz w:val="18"/>
                <w:szCs w:val="18"/>
              </w:rPr>
              <w:t>I</w:t>
            </w:r>
          </w:p>
        </w:tc>
        <w:tc>
          <w:tcPr>
            <w:tcW w:w="950" w:type="dxa"/>
            <w:vAlign w:val="top"/>
          </w:tcPr>
          <w:p>
            <w:pPr>
              <w:spacing w:before="204" w:line="197" w:lineRule="auto"/>
              <w:ind w:left="461"/>
              <w:rPr>
                <w:rFonts w:ascii="宋体" w:hAnsi="宋体" w:eastAsia="宋体" w:cs="宋体"/>
                <w:sz w:val="18"/>
                <w:szCs w:val="18"/>
              </w:rPr>
            </w:pPr>
            <w:r>
              <w:rPr>
                <w:rFonts w:ascii="宋体" w:hAnsi="宋体" w:eastAsia="宋体" w:cs="宋体"/>
                <w:sz w:val="18"/>
                <w:szCs w:val="18"/>
              </w:rPr>
              <w:t>Ⅱ</w:t>
            </w:r>
          </w:p>
        </w:tc>
        <w:tc>
          <w:tcPr>
            <w:tcW w:w="948" w:type="dxa"/>
            <w:vAlign w:val="top"/>
          </w:tcPr>
          <w:p>
            <w:pPr>
              <w:spacing w:before="205" w:line="195" w:lineRule="auto"/>
              <w:ind w:left="418"/>
              <w:rPr>
                <w:rFonts w:ascii="宋体" w:hAnsi="宋体" w:eastAsia="宋体" w:cs="宋体"/>
                <w:sz w:val="18"/>
                <w:szCs w:val="18"/>
              </w:rPr>
            </w:pPr>
            <w:r>
              <w:rPr>
                <w:rFonts w:ascii="宋体" w:hAnsi="宋体" w:eastAsia="宋体" w:cs="宋体"/>
                <w:sz w:val="18"/>
                <w:szCs w:val="18"/>
              </w:rPr>
              <w:t>Ⅲ</w:t>
            </w:r>
          </w:p>
        </w:tc>
        <w:tc>
          <w:tcPr>
            <w:tcW w:w="950" w:type="dxa"/>
            <w:vAlign w:val="top"/>
          </w:tcPr>
          <w:p>
            <w:pPr>
              <w:spacing w:before="190" w:line="256" w:lineRule="exact"/>
              <w:ind w:left="456"/>
              <w:rPr>
                <w:rFonts w:ascii="宋体" w:hAnsi="宋体" w:eastAsia="宋体" w:cs="宋体"/>
                <w:sz w:val="18"/>
                <w:szCs w:val="18"/>
              </w:rPr>
            </w:pPr>
            <w:r>
              <w:rPr>
                <w:rFonts w:ascii="宋体" w:hAnsi="宋体" w:eastAsia="宋体" w:cs="宋体"/>
                <w:position w:val="1"/>
                <w:sz w:val="18"/>
                <w:szCs w:val="18"/>
              </w:rPr>
              <w:t>I</w:t>
            </w:r>
          </w:p>
        </w:tc>
        <w:tc>
          <w:tcPr>
            <w:tcW w:w="949" w:type="dxa"/>
            <w:vAlign w:val="top"/>
          </w:tcPr>
          <w:p>
            <w:pPr>
              <w:spacing w:before="204" w:line="197" w:lineRule="auto"/>
              <w:ind w:left="469"/>
              <w:rPr>
                <w:rFonts w:ascii="宋体" w:hAnsi="宋体" w:eastAsia="宋体" w:cs="宋体"/>
                <w:sz w:val="18"/>
                <w:szCs w:val="18"/>
              </w:rPr>
            </w:pPr>
            <w:r>
              <w:rPr>
                <w:rFonts w:ascii="宋体" w:hAnsi="宋体" w:eastAsia="宋体" w:cs="宋体"/>
                <w:sz w:val="18"/>
                <w:szCs w:val="18"/>
              </w:rPr>
              <w:t>Ⅱ</w:t>
            </w:r>
          </w:p>
        </w:tc>
        <w:tc>
          <w:tcPr>
            <w:tcW w:w="967" w:type="dxa"/>
            <w:tcBorders>
              <w:right w:val="single" w:color="000000" w:sz="4" w:space="0"/>
            </w:tcBorders>
            <w:vAlign w:val="top"/>
          </w:tcPr>
          <w:p>
            <w:pPr>
              <w:spacing w:before="205" w:line="195" w:lineRule="auto"/>
              <w:ind w:left="427"/>
              <w:rPr>
                <w:rFonts w:ascii="宋体" w:hAnsi="宋体" w:eastAsia="宋体" w:cs="宋体"/>
                <w:sz w:val="18"/>
                <w:szCs w:val="18"/>
              </w:rPr>
            </w:pPr>
            <w:r>
              <w:rPr>
                <w:rFonts w:ascii="宋体" w:hAnsi="宋体" w:eastAsia="宋体" w:cs="宋体"/>
                <w:sz w:val="18"/>
                <w:szCs w:val="18"/>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restart"/>
            <w:tcBorders>
              <w:left w:val="single" w:color="000000" w:sz="4" w:space="0"/>
              <w:bottom w:val="nil"/>
            </w:tcBorders>
            <w:vAlign w:val="top"/>
          </w:tcPr>
          <w:p>
            <w:pPr>
              <w:pStyle w:val="6"/>
              <w:spacing w:line="292" w:lineRule="auto"/>
            </w:pPr>
          </w:p>
          <w:p>
            <w:pPr>
              <w:pStyle w:val="6"/>
              <w:spacing w:line="292" w:lineRule="auto"/>
            </w:pPr>
          </w:p>
          <w:p>
            <w:pPr>
              <w:pStyle w:val="6"/>
              <w:spacing w:line="293" w:lineRule="auto"/>
            </w:pPr>
          </w:p>
          <w:p>
            <w:pPr>
              <w:spacing w:before="58" w:line="215" w:lineRule="auto"/>
              <w:ind w:left="201"/>
              <w:rPr>
                <w:rFonts w:ascii="宋体" w:hAnsi="宋体" w:eastAsia="宋体" w:cs="宋体"/>
                <w:sz w:val="18"/>
                <w:szCs w:val="18"/>
              </w:rPr>
            </w:pPr>
            <w:r>
              <w:rPr>
                <w:rFonts w:ascii="宋体" w:hAnsi="宋体" w:eastAsia="宋体" w:cs="宋体"/>
                <w:spacing w:val="-4"/>
                <w:sz w:val="18"/>
                <w:szCs w:val="18"/>
              </w:rPr>
              <w:t>建筑工程</w:t>
            </w:r>
          </w:p>
        </w:tc>
        <w:tc>
          <w:tcPr>
            <w:tcW w:w="2254" w:type="dxa"/>
            <w:vAlign w:val="top"/>
          </w:tcPr>
          <w:p>
            <w:pPr>
              <w:spacing w:before="161" w:line="215" w:lineRule="auto"/>
              <w:ind w:left="769"/>
              <w:rPr>
                <w:rFonts w:ascii="宋体" w:hAnsi="宋体" w:eastAsia="宋体" w:cs="宋体"/>
                <w:sz w:val="18"/>
                <w:szCs w:val="18"/>
              </w:rPr>
            </w:pPr>
            <w:r>
              <w:rPr>
                <w:rFonts w:ascii="宋体" w:hAnsi="宋体" w:eastAsia="宋体" w:cs="宋体"/>
                <w:spacing w:val="-4"/>
                <w:sz w:val="18"/>
                <w:szCs w:val="18"/>
              </w:rPr>
              <w:t>建筑工程</w:t>
            </w:r>
          </w:p>
        </w:tc>
        <w:tc>
          <w:tcPr>
            <w:tcW w:w="949" w:type="dxa"/>
            <w:vAlign w:val="top"/>
          </w:tcPr>
          <w:p>
            <w:pPr>
              <w:spacing w:before="163" w:line="259" w:lineRule="exact"/>
              <w:ind w:left="262"/>
              <w:rPr>
                <w:rFonts w:ascii="宋体" w:hAnsi="宋体" w:eastAsia="宋体" w:cs="宋体"/>
                <w:sz w:val="18"/>
                <w:szCs w:val="18"/>
              </w:rPr>
            </w:pPr>
            <w:r>
              <w:rPr>
                <w:rFonts w:ascii="宋体" w:hAnsi="宋体" w:eastAsia="宋体" w:cs="宋体"/>
                <w:spacing w:val="-13"/>
                <w:position w:val="2"/>
                <w:sz w:val="18"/>
                <w:szCs w:val="18"/>
              </w:rPr>
              <w:t>38.97</w:t>
            </w:r>
          </w:p>
        </w:tc>
        <w:tc>
          <w:tcPr>
            <w:tcW w:w="950" w:type="dxa"/>
            <w:vAlign w:val="top"/>
          </w:tcPr>
          <w:p>
            <w:pPr>
              <w:spacing w:before="163" w:line="259" w:lineRule="exact"/>
              <w:ind w:left="260"/>
              <w:rPr>
                <w:rFonts w:ascii="宋体" w:hAnsi="宋体" w:eastAsia="宋体" w:cs="宋体"/>
                <w:sz w:val="18"/>
                <w:szCs w:val="18"/>
              </w:rPr>
            </w:pPr>
            <w:r>
              <w:rPr>
                <w:rFonts w:ascii="宋体" w:hAnsi="宋体" w:eastAsia="宋体" w:cs="宋体"/>
                <w:spacing w:val="-12"/>
                <w:position w:val="2"/>
                <w:sz w:val="18"/>
                <w:szCs w:val="18"/>
              </w:rPr>
              <w:t>29.93</w:t>
            </w:r>
          </w:p>
        </w:tc>
        <w:tc>
          <w:tcPr>
            <w:tcW w:w="948" w:type="dxa"/>
            <w:vAlign w:val="top"/>
          </w:tcPr>
          <w:p>
            <w:pPr>
              <w:spacing w:before="163" w:line="259" w:lineRule="exact"/>
              <w:ind w:left="263"/>
              <w:rPr>
                <w:rFonts w:ascii="宋体" w:hAnsi="宋体" w:eastAsia="宋体" w:cs="宋体"/>
                <w:sz w:val="18"/>
                <w:szCs w:val="18"/>
              </w:rPr>
            </w:pPr>
            <w:r>
              <w:rPr>
                <w:rFonts w:ascii="宋体" w:hAnsi="宋体" w:eastAsia="宋体" w:cs="宋体"/>
                <w:spacing w:val="-12"/>
                <w:position w:val="2"/>
                <w:sz w:val="18"/>
                <w:szCs w:val="18"/>
              </w:rPr>
              <w:t>23.09</w:t>
            </w:r>
          </w:p>
        </w:tc>
        <w:tc>
          <w:tcPr>
            <w:tcW w:w="950" w:type="dxa"/>
            <w:vAlign w:val="top"/>
          </w:tcPr>
          <w:p>
            <w:pPr>
              <w:spacing w:before="163" w:line="259" w:lineRule="exact"/>
              <w:ind w:left="271"/>
              <w:rPr>
                <w:rFonts w:ascii="宋体" w:hAnsi="宋体" w:eastAsia="宋体" w:cs="宋体"/>
                <w:sz w:val="18"/>
                <w:szCs w:val="18"/>
              </w:rPr>
            </w:pPr>
            <w:r>
              <w:rPr>
                <w:rFonts w:ascii="宋体" w:hAnsi="宋体" w:eastAsia="宋体" w:cs="宋体"/>
                <w:spacing w:val="-13"/>
                <w:position w:val="1"/>
                <w:sz w:val="18"/>
                <w:szCs w:val="18"/>
              </w:rPr>
              <w:t>32.13</w:t>
            </w:r>
          </w:p>
        </w:tc>
        <w:tc>
          <w:tcPr>
            <w:tcW w:w="949" w:type="dxa"/>
            <w:vAlign w:val="top"/>
          </w:tcPr>
          <w:p>
            <w:pPr>
              <w:spacing w:before="163" w:line="259" w:lineRule="exact"/>
              <w:ind w:left="293"/>
              <w:rPr>
                <w:rFonts w:ascii="宋体" w:hAnsi="宋体" w:eastAsia="宋体" w:cs="宋体"/>
                <w:sz w:val="18"/>
                <w:szCs w:val="18"/>
              </w:rPr>
            </w:pPr>
            <w:r>
              <w:rPr>
                <w:rFonts w:ascii="宋体" w:hAnsi="宋体" w:eastAsia="宋体" w:cs="宋体"/>
                <w:spacing w:val="-16"/>
                <w:position w:val="1"/>
                <w:sz w:val="18"/>
                <w:szCs w:val="18"/>
              </w:rPr>
              <w:t>17.61</w:t>
            </w:r>
          </w:p>
        </w:tc>
        <w:tc>
          <w:tcPr>
            <w:tcW w:w="967" w:type="dxa"/>
            <w:tcBorders>
              <w:right w:val="single" w:color="000000" w:sz="4" w:space="0"/>
            </w:tcBorders>
            <w:vAlign w:val="top"/>
          </w:tcPr>
          <w:p>
            <w:pPr>
              <w:spacing w:before="163" w:line="259" w:lineRule="exact"/>
              <w:ind w:left="299"/>
              <w:rPr>
                <w:rFonts w:ascii="宋体" w:hAnsi="宋体" w:eastAsia="宋体" w:cs="宋体"/>
                <w:sz w:val="18"/>
                <w:szCs w:val="18"/>
              </w:rPr>
            </w:pPr>
            <w:r>
              <w:rPr>
                <w:rFonts w:ascii="宋体" w:hAnsi="宋体" w:eastAsia="宋体" w:cs="宋体"/>
                <w:spacing w:val="-16"/>
                <w:position w:val="1"/>
                <w:sz w:val="18"/>
                <w:szCs w:val="18"/>
              </w:rPr>
              <w:t>13.59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4" w:line="212" w:lineRule="auto"/>
              <w:ind w:left="682"/>
              <w:rPr>
                <w:rFonts w:ascii="宋体" w:hAnsi="宋体" w:eastAsia="宋体" w:cs="宋体"/>
                <w:sz w:val="18"/>
                <w:szCs w:val="18"/>
              </w:rPr>
            </w:pPr>
            <w:r>
              <w:rPr>
                <w:rFonts w:ascii="宋体" w:hAnsi="宋体" w:eastAsia="宋体" w:cs="宋体"/>
                <w:spacing w:val="-4"/>
                <w:sz w:val="18"/>
                <w:szCs w:val="18"/>
              </w:rPr>
              <w:t>构筑物工程</w:t>
            </w:r>
          </w:p>
        </w:tc>
        <w:tc>
          <w:tcPr>
            <w:tcW w:w="949" w:type="dxa"/>
            <w:vAlign w:val="top"/>
          </w:tcPr>
          <w:p>
            <w:pPr>
              <w:spacing w:before="163" w:line="260" w:lineRule="exact"/>
              <w:ind w:left="262"/>
              <w:rPr>
                <w:rFonts w:ascii="宋体" w:hAnsi="宋体" w:eastAsia="宋体" w:cs="宋体"/>
                <w:sz w:val="18"/>
                <w:szCs w:val="18"/>
              </w:rPr>
            </w:pPr>
            <w:r>
              <w:rPr>
                <w:rFonts w:ascii="宋体" w:hAnsi="宋体" w:eastAsia="宋体" w:cs="宋体"/>
                <w:spacing w:val="-13"/>
                <w:position w:val="1"/>
                <w:sz w:val="18"/>
                <w:szCs w:val="18"/>
              </w:rPr>
              <w:t>31.12</w:t>
            </w:r>
          </w:p>
        </w:tc>
        <w:tc>
          <w:tcPr>
            <w:tcW w:w="950" w:type="dxa"/>
            <w:vAlign w:val="top"/>
          </w:tcPr>
          <w:p>
            <w:pPr>
              <w:spacing w:before="163" w:line="260" w:lineRule="exact"/>
              <w:ind w:left="260"/>
              <w:rPr>
                <w:rFonts w:ascii="宋体" w:hAnsi="宋体" w:eastAsia="宋体" w:cs="宋体"/>
                <w:sz w:val="18"/>
                <w:szCs w:val="18"/>
              </w:rPr>
            </w:pPr>
            <w:r>
              <w:rPr>
                <w:rFonts w:ascii="宋体" w:hAnsi="宋体" w:eastAsia="宋体" w:cs="宋体"/>
                <w:spacing w:val="-12"/>
                <w:position w:val="2"/>
                <w:sz w:val="18"/>
                <w:szCs w:val="18"/>
              </w:rPr>
              <w:t>27.07</w:t>
            </w:r>
          </w:p>
        </w:tc>
        <w:tc>
          <w:tcPr>
            <w:tcW w:w="948" w:type="dxa"/>
            <w:vAlign w:val="top"/>
          </w:tcPr>
          <w:p>
            <w:pPr>
              <w:spacing w:before="163" w:line="260" w:lineRule="exact"/>
              <w:ind w:left="290"/>
              <w:rPr>
                <w:rFonts w:ascii="宋体" w:hAnsi="宋体" w:eastAsia="宋体" w:cs="宋体"/>
                <w:sz w:val="18"/>
                <w:szCs w:val="18"/>
              </w:rPr>
            </w:pPr>
            <w:r>
              <w:rPr>
                <w:rFonts w:ascii="宋体" w:hAnsi="宋体" w:eastAsia="宋体" w:cs="宋体"/>
                <w:spacing w:val="-16"/>
                <w:position w:val="1"/>
                <w:sz w:val="18"/>
                <w:szCs w:val="18"/>
              </w:rPr>
              <w:t>18.81</w:t>
            </w:r>
          </w:p>
        </w:tc>
        <w:tc>
          <w:tcPr>
            <w:tcW w:w="950" w:type="dxa"/>
            <w:vAlign w:val="top"/>
          </w:tcPr>
          <w:p>
            <w:pPr>
              <w:spacing w:before="163" w:line="260" w:lineRule="exact"/>
              <w:ind w:left="268"/>
              <w:rPr>
                <w:rFonts w:ascii="宋体" w:hAnsi="宋体" w:eastAsia="宋体" w:cs="宋体"/>
                <w:sz w:val="18"/>
                <w:szCs w:val="18"/>
              </w:rPr>
            </w:pPr>
            <w:r>
              <w:rPr>
                <w:rFonts w:ascii="宋体" w:hAnsi="宋体" w:eastAsia="宋体" w:cs="宋体"/>
                <w:spacing w:val="-12"/>
                <w:position w:val="2"/>
                <w:sz w:val="18"/>
                <w:szCs w:val="18"/>
              </w:rPr>
              <w:t>26.93</w:t>
            </w:r>
          </w:p>
        </w:tc>
        <w:tc>
          <w:tcPr>
            <w:tcW w:w="949" w:type="dxa"/>
            <w:vAlign w:val="top"/>
          </w:tcPr>
          <w:p>
            <w:pPr>
              <w:spacing w:before="163" w:line="260" w:lineRule="exact"/>
              <w:ind w:left="268"/>
              <w:rPr>
                <w:rFonts w:ascii="宋体" w:hAnsi="宋体" w:eastAsia="宋体" w:cs="宋体"/>
                <w:sz w:val="18"/>
                <w:szCs w:val="18"/>
              </w:rPr>
            </w:pPr>
            <w:r>
              <w:rPr>
                <w:rFonts w:ascii="宋体" w:hAnsi="宋体" w:eastAsia="宋体" w:cs="宋体"/>
                <w:spacing w:val="-12"/>
                <w:position w:val="2"/>
                <w:sz w:val="18"/>
                <w:szCs w:val="18"/>
              </w:rPr>
              <w:t>20.99</w:t>
            </w:r>
          </w:p>
        </w:tc>
        <w:tc>
          <w:tcPr>
            <w:tcW w:w="967" w:type="dxa"/>
            <w:tcBorders>
              <w:right w:val="single" w:color="000000" w:sz="4" w:space="0"/>
            </w:tcBorders>
            <w:vAlign w:val="top"/>
          </w:tcPr>
          <w:p>
            <w:pPr>
              <w:spacing w:before="163" w:line="260" w:lineRule="exact"/>
              <w:ind w:left="299"/>
              <w:rPr>
                <w:rFonts w:ascii="宋体" w:hAnsi="宋体" w:eastAsia="宋体" w:cs="宋体"/>
                <w:sz w:val="18"/>
                <w:szCs w:val="18"/>
              </w:rPr>
            </w:pPr>
            <w:r>
              <w:rPr>
                <w:rFonts w:ascii="宋体" w:hAnsi="宋体" w:eastAsia="宋体" w:cs="宋体"/>
                <w:spacing w:val="-16"/>
                <w:position w:val="1"/>
                <w:sz w:val="18"/>
                <w:szCs w:val="18"/>
              </w:rPr>
              <w:t>10.51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3" w:line="213" w:lineRule="auto"/>
              <w:ind w:left="497"/>
              <w:rPr>
                <w:rFonts w:ascii="宋体" w:hAnsi="宋体" w:eastAsia="宋体" w:cs="宋体"/>
                <w:sz w:val="18"/>
                <w:szCs w:val="18"/>
              </w:rPr>
            </w:pPr>
            <w:r>
              <w:rPr>
                <w:rFonts w:ascii="宋体" w:hAnsi="宋体" w:eastAsia="宋体" w:cs="宋体"/>
                <w:spacing w:val="-4"/>
                <w:sz w:val="18"/>
                <w:szCs w:val="18"/>
              </w:rPr>
              <w:t>单独土石方工程</w:t>
            </w:r>
          </w:p>
        </w:tc>
        <w:tc>
          <w:tcPr>
            <w:tcW w:w="949" w:type="dxa"/>
            <w:vAlign w:val="top"/>
          </w:tcPr>
          <w:p>
            <w:pPr>
              <w:spacing w:before="166" w:line="260" w:lineRule="exact"/>
              <w:ind w:left="259"/>
              <w:rPr>
                <w:rFonts w:ascii="宋体" w:hAnsi="宋体" w:eastAsia="宋体" w:cs="宋体"/>
                <w:sz w:val="18"/>
                <w:szCs w:val="18"/>
              </w:rPr>
            </w:pPr>
            <w:r>
              <w:rPr>
                <w:rFonts w:ascii="宋体" w:hAnsi="宋体" w:eastAsia="宋体" w:cs="宋体"/>
                <w:spacing w:val="-12"/>
                <w:position w:val="2"/>
                <w:sz w:val="18"/>
                <w:szCs w:val="18"/>
              </w:rPr>
              <w:t>25.98</w:t>
            </w:r>
          </w:p>
        </w:tc>
        <w:tc>
          <w:tcPr>
            <w:tcW w:w="950" w:type="dxa"/>
            <w:vAlign w:val="top"/>
          </w:tcPr>
          <w:p>
            <w:pPr>
              <w:spacing w:before="166" w:line="260" w:lineRule="exact"/>
              <w:ind w:left="285"/>
              <w:rPr>
                <w:rFonts w:ascii="宋体" w:hAnsi="宋体" w:eastAsia="宋体" w:cs="宋体"/>
                <w:sz w:val="18"/>
                <w:szCs w:val="18"/>
              </w:rPr>
            </w:pPr>
            <w:r>
              <w:rPr>
                <w:rFonts w:ascii="宋体" w:hAnsi="宋体" w:eastAsia="宋体" w:cs="宋体"/>
                <w:spacing w:val="-16"/>
                <w:position w:val="1"/>
                <w:sz w:val="18"/>
                <w:szCs w:val="18"/>
              </w:rPr>
              <w:t>17.96</w:t>
            </w:r>
          </w:p>
        </w:tc>
        <w:tc>
          <w:tcPr>
            <w:tcW w:w="948" w:type="dxa"/>
            <w:vAlign w:val="top"/>
          </w:tcPr>
          <w:p>
            <w:pPr>
              <w:spacing w:before="166" w:line="260" w:lineRule="exact"/>
              <w:ind w:left="290"/>
              <w:rPr>
                <w:rFonts w:ascii="宋体" w:hAnsi="宋体" w:eastAsia="宋体" w:cs="宋体"/>
                <w:sz w:val="18"/>
                <w:szCs w:val="18"/>
              </w:rPr>
            </w:pPr>
            <w:r>
              <w:rPr>
                <w:rFonts w:ascii="宋体" w:hAnsi="宋体" w:eastAsia="宋体" w:cs="宋体"/>
                <w:spacing w:val="-16"/>
                <w:position w:val="1"/>
                <w:sz w:val="18"/>
                <w:szCs w:val="18"/>
              </w:rPr>
              <w:t>11.82</w:t>
            </w:r>
          </w:p>
        </w:tc>
        <w:tc>
          <w:tcPr>
            <w:tcW w:w="950" w:type="dxa"/>
            <w:vAlign w:val="top"/>
          </w:tcPr>
          <w:p>
            <w:pPr>
              <w:spacing w:before="166" w:line="260" w:lineRule="exact"/>
              <w:ind w:left="268"/>
              <w:rPr>
                <w:rFonts w:ascii="宋体" w:hAnsi="宋体" w:eastAsia="宋体" w:cs="宋体"/>
                <w:sz w:val="18"/>
                <w:szCs w:val="18"/>
              </w:rPr>
            </w:pPr>
            <w:r>
              <w:rPr>
                <w:rFonts w:ascii="宋体" w:hAnsi="宋体" w:eastAsia="宋体" w:cs="宋体"/>
                <w:spacing w:val="-12"/>
                <w:position w:val="2"/>
                <w:sz w:val="18"/>
                <w:szCs w:val="18"/>
              </w:rPr>
              <w:t>20.02</w:t>
            </w:r>
          </w:p>
        </w:tc>
        <w:tc>
          <w:tcPr>
            <w:tcW w:w="949" w:type="dxa"/>
            <w:vAlign w:val="top"/>
          </w:tcPr>
          <w:p>
            <w:pPr>
              <w:spacing w:before="166" w:line="260" w:lineRule="exact"/>
              <w:ind w:left="293"/>
              <w:rPr>
                <w:rFonts w:ascii="宋体" w:hAnsi="宋体" w:eastAsia="宋体" w:cs="宋体"/>
                <w:sz w:val="18"/>
                <w:szCs w:val="18"/>
              </w:rPr>
            </w:pPr>
            <w:r>
              <w:rPr>
                <w:rFonts w:ascii="宋体" w:hAnsi="宋体" w:eastAsia="宋体" w:cs="宋体"/>
                <w:spacing w:val="-16"/>
                <w:position w:val="1"/>
                <w:sz w:val="18"/>
                <w:szCs w:val="18"/>
              </w:rPr>
              <w:t>13.88</w:t>
            </w:r>
          </w:p>
        </w:tc>
        <w:tc>
          <w:tcPr>
            <w:tcW w:w="967" w:type="dxa"/>
            <w:tcBorders>
              <w:right w:val="single" w:color="000000" w:sz="4" w:space="0"/>
            </w:tcBorders>
            <w:vAlign w:val="top"/>
          </w:tcPr>
          <w:p>
            <w:pPr>
              <w:spacing w:before="166" w:line="260" w:lineRule="exact"/>
              <w:ind w:left="316"/>
              <w:rPr>
                <w:rFonts w:ascii="宋体" w:hAnsi="宋体" w:eastAsia="宋体" w:cs="宋体"/>
                <w:sz w:val="18"/>
                <w:szCs w:val="18"/>
              </w:rPr>
            </w:pPr>
            <w:r>
              <w:rPr>
                <w:rFonts w:ascii="宋体" w:hAnsi="宋体" w:eastAsia="宋体" w:cs="宋体"/>
                <w:spacing w:val="-15"/>
                <w:position w:val="1"/>
                <w:sz w:val="18"/>
                <w:szCs w:val="18"/>
              </w:rPr>
              <w:t>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66" w:line="208" w:lineRule="auto"/>
              <w:ind w:left="679"/>
              <w:rPr>
                <w:rFonts w:ascii="宋体" w:hAnsi="宋体" w:eastAsia="宋体" w:cs="宋体"/>
                <w:sz w:val="18"/>
                <w:szCs w:val="18"/>
              </w:rPr>
            </w:pPr>
            <w:r>
              <w:rPr>
                <w:rFonts w:ascii="宋体" w:hAnsi="宋体" w:eastAsia="宋体" w:cs="宋体"/>
                <w:spacing w:val="-4"/>
                <w:sz w:val="18"/>
                <w:szCs w:val="18"/>
              </w:rPr>
              <w:t>桩基础工程</w:t>
            </w:r>
          </w:p>
        </w:tc>
        <w:tc>
          <w:tcPr>
            <w:tcW w:w="949" w:type="dxa"/>
            <w:vAlign w:val="top"/>
          </w:tcPr>
          <w:p>
            <w:pPr>
              <w:spacing w:before="167" w:line="260" w:lineRule="exact"/>
              <w:ind w:left="259"/>
              <w:rPr>
                <w:rFonts w:ascii="宋体" w:hAnsi="宋体" w:eastAsia="宋体" w:cs="宋体"/>
                <w:sz w:val="18"/>
                <w:szCs w:val="18"/>
              </w:rPr>
            </w:pPr>
            <w:r>
              <w:rPr>
                <w:rFonts w:ascii="宋体" w:hAnsi="宋体" w:eastAsia="宋体" w:cs="宋体"/>
                <w:spacing w:val="-12"/>
                <w:position w:val="2"/>
                <w:sz w:val="18"/>
                <w:szCs w:val="18"/>
              </w:rPr>
              <w:t>20.84</w:t>
            </w:r>
          </w:p>
        </w:tc>
        <w:tc>
          <w:tcPr>
            <w:tcW w:w="950" w:type="dxa"/>
            <w:vAlign w:val="top"/>
          </w:tcPr>
          <w:p>
            <w:pPr>
              <w:spacing w:before="167" w:line="260" w:lineRule="exact"/>
              <w:ind w:left="285"/>
              <w:rPr>
                <w:rFonts w:ascii="宋体" w:hAnsi="宋体" w:eastAsia="宋体" w:cs="宋体"/>
                <w:sz w:val="18"/>
                <w:szCs w:val="18"/>
              </w:rPr>
            </w:pPr>
            <w:r>
              <w:rPr>
                <w:rFonts w:ascii="宋体" w:hAnsi="宋体" w:eastAsia="宋体" w:cs="宋体"/>
                <w:spacing w:val="-16"/>
                <w:position w:val="1"/>
                <w:sz w:val="18"/>
                <w:szCs w:val="18"/>
              </w:rPr>
              <w:t>15.44</w:t>
            </w:r>
          </w:p>
        </w:tc>
        <w:tc>
          <w:tcPr>
            <w:tcW w:w="948" w:type="dxa"/>
            <w:vAlign w:val="top"/>
          </w:tcPr>
          <w:p>
            <w:pPr>
              <w:spacing w:before="167" w:line="260" w:lineRule="exact"/>
              <w:ind w:left="290"/>
              <w:rPr>
                <w:rFonts w:ascii="宋体" w:hAnsi="宋体" w:eastAsia="宋体" w:cs="宋体"/>
                <w:sz w:val="18"/>
                <w:szCs w:val="18"/>
              </w:rPr>
            </w:pPr>
            <w:r>
              <w:rPr>
                <w:rFonts w:ascii="宋体" w:hAnsi="宋体" w:eastAsia="宋体" w:cs="宋体"/>
                <w:spacing w:val="-16"/>
                <w:position w:val="1"/>
                <w:sz w:val="18"/>
                <w:szCs w:val="18"/>
              </w:rPr>
              <w:t>11.82</w:t>
            </w:r>
          </w:p>
        </w:tc>
        <w:tc>
          <w:tcPr>
            <w:tcW w:w="950" w:type="dxa"/>
            <w:vAlign w:val="top"/>
          </w:tcPr>
          <w:p>
            <w:pPr>
              <w:spacing w:before="167" w:line="260" w:lineRule="exact"/>
              <w:ind w:left="292"/>
              <w:rPr>
                <w:rFonts w:ascii="宋体" w:hAnsi="宋体" w:eastAsia="宋体" w:cs="宋体"/>
                <w:sz w:val="18"/>
                <w:szCs w:val="18"/>
              </w:rPr>
            </w:pPr>
            <w:r>
              <w:rPr>
                <w:rFonts w:ascii="宋体" w:hAnsi="宋体" w:eastAsia="宋体" w:cs="宋体"/>
                <w:spacing w:val="-16"/>
                <w:position w:val="1"/>
                <w:sz w:val="18"/>
                <w:szCs w:val="18"/>
              </w:rPr>
              <w:t>15.17</w:t>
            </w:r>
          </w:p>
        </w:tc>
        <w:tc>
          <w:tcPr>
            <w:tcW w:w="949" w:type="dxa"/>
            <w:vAlign w:val="top"/>
          </w:tcPr>
          <w:p>
            <w:pPr>
              <w:spacing w:before="167" w:line="260" w:lineRule="exact"/>
              <w:ind w:left="293"/>
              <w:rPr>
                <w:rFonts w:ascii="宋体" w:hAnsi="宋体" w:eastAsia="宋体" w:cs="宋体"/>
                <w:sz w:val="18"/>
                <w:szCs w:val="18"/>
              </w:rPr>
            </w:pPr>
            <w:r>
              <w:rPr>
                <w:rFonts w:ascii="宋体" w:hAnsi="宋体" w:eastAsia="宋体" w:cs="宋体"/>
                <w:spacing w:val="-16"/>
                <w:position w:val="1"/>
                <w:sz w:val="18"/>
                <w:szCs w:val="18"/>
              </w:rPr>
              <w:t>11.36</w:t>
            </w:r>
          </w:p>
        </w:tc>
        <w:tc>
          <w:tcPr>
            <w:tcW w:w="967" w:type="dxa"/>
            <w:tcBorders>
              <w:right w:val="single" w:color="000000" w:sz="4" w:space="0"/>
            </w:tcBorders>
            <w:vAlign w:val="top"/>
          </w:tcPr>
          <w:p>
            <w:pPr>
              <w:spacing w:before="167" w:line="260" w:lineRule="exact"/>
              <w:ind w:left="310"/>
              <w:rPr>
                <w:rFonts w:ascii="宋体" w:hAnsi="宋体" w:eastAsia="宋体" w:cs="宋体"/>
                <w:sz w:val="18"/>
                <w:szCs w:val="18"/>
              </w:rPr>
            </w:pPr>
            <w:r>
              <w:rPr>
                <w:rFonts w:ascii="宋体" w:hAnsi="宋体" w:eastAsia="宋体" w:cs="宋体"/>
                <w:spacing w:val="-14"/>
                <w:position w:val="2"/>
                <w:sz w:val="18"/>
                <w:szCs w:val="18"/>
              </w:rPr>
              <w:t>4.35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366" w:type="dxa"/>
            <w:gridSpan w:val="2"/>
            <w:tcBorders>
              <w:left w:val="single" w:color="000000" w:sz="4" w:space="0"/>
            </w:tcBorders>
            <w:vAlign w:val="top"/>
          </w:tcPr>
          <w:p>
            <w:pPr>
              <w:spacing w:before="168" w:line="211" w:lineRule="auto"/>
              <w:ind w:left="1326"/>
              <w:rPr>
                <w:rFonts w:ascii="宋体" w:hAnsi="宋体" w:eastAsia="宋体" w:cs="宋体"/>
                <w:sz w:val="18"/>
                <w:szCs w:val="18"/>
              </w:rPr>
            </w:pPr>
            <w:r>
              <w:rPr>
                <w:rFonts w:ascii="宋体" w:hAnsi="宋体" w:eastAsia="宋体" w:cs="宋体"/>
                <w:spacing w:val="-3"/>
                <w:sz w:val="18"/>
                <w:szCs w:val="18"/>
              </w:rPr>
              <w:t>装饰工程</w:t>
            </w:r>
          </w:p>
        </w:tc>
        <w:tc>
          <w:tcPr>
            <w:tcW w:w="949" w:type="dxa"/>
            <w:vAlign w:val="top"/>
          </w:tcPr>
          <w:p>
            <w:pPr>
              <w:spacing w:before="168" w:line="259" w:lineRule="exact"/>
              <w:ind w:left="260"/>
              <w:rPr>
                <w:rFonts w:ascii="宋体" w:hAnsi="宋体" w:eastAsia="宋体" w:cs="宋体"/>
                <w:sz w:val="18"/>
                <w:szCs w:val="18"/>
              </w:rPr>
            </w:pPr>
            <w:r>
              <w:rPr>
                <w:rFonts w:ascii="宋体" w:hAnsi="宋体" w:eastAsia="宋体" w:cs="宋体"/>
                <w:spacing w:val="-12"/>
                <w:position w:val="1"/>
                <w:sz w:val="18"/>
                <w:szCs w:val="18"/>
              </w:rPr>
              <w:t>61.29</w:t>
            </w:r>
          </w:p>
        </w:tc>
        <w:tc>
          <w:tcPr>
            <w:tcW w:w="950" w:type="dxa"/>
            <w:vAlign w:val="top"/>
          </w:tcPr>
          <w:p>
            <w:pPr>
              <w:spacing w:before="168" w:line="259" w:lineRule="exact"/>
              <w:ind w:left="255"/>
              <w:rPr>
                <w:rFonts w:ascii="宋体" w:hAnsi="宋体" w:eastAsia="宋体" w:cs="宋体"/>
                <w:sz w:val="18"/>
                <w:szCs w:val="18"/>
              </w:rPr>
            </w:pPr>
            <w:r>
              <w:rPr>
                <w:rFonts w:ascii="宋体" w:hAnsi="宋体" w:eastAsia="宋体" w:cs="宋体"/>
                <w:spacing w:val="-11"/>
                <w:position w:val="2"/>
                <w:sz w:val="18"/>
                <w:szCs w:val="18"/>
              </w:rPr>
              <w:t>46.76</w:t>
            </w:r>
          </w:p>
        </w:tc>
        <w:tc>
          <w:tcPr>
            <w:tcW w:w="948" w:type="dxa"/>
            <w:vAlign w:val="top"/>
          </w:tcPr>
          <w:p>
            <w:pPr>
              <w:spacing w:before="168" w:line="259" w:lineRule="exact"/>
              <w:ind w:left="263"/>
              <w:rPr>
                <w:rFonts w:ascii="宋体" w:hAnsi="宋体" w:eastAsia="宋体" w:cs="宋体"/>
                <w:sz w:val="18"/>
                <w:szCs w:val="18"/>
              </w:rPr>
            </w:pPr>
            <w:r>
              <w:rPr>
                <w:rFonts w:ascii="宋体" w:hAnsi="宋体" w:eastAsia="宋体" w:cs="宋体"/>
                <w:spacing w:val="-12"/>
                <w:position w:val="2"/>
                <w:sz w:val="18"/>
                <w:szCs w:val="18"/>
              </w:rPr>
              <w:t>29.62</w:t>
            </w:r>
          </w:p>
        </w:tc>
        <w:tc>
          <w:tcPr>
            <w:tcW w:w="950" w:type="dxa"/>
            <w:vAlign w:val="top"/>
          </w:tcPr>
          <w:p>
            <w:pPr>
              <w:spacing w:before="168" w:line="259" w:lineRule="exact"/>
              <w:ind w:left="271"/>
              <w:rPr>
                <w:rFonts w:ascii="宋体" w:hAnsi="宋体" w:eastAsia="宋体" w:cs="宋体"/>
                <w:sz w:val="18"/>
                <w:szCs w:val="18"/>
              </w:rPr>
            </w:pPr>
            <w:r>
              <w:rPr>
                <w:rFonts w:ascii="宋体" w:hAnsi="宋体" w:eastAsia="宋体" w:cs="宋体"/>
                <w:spacing w:val="-13"/>
                <w:position w:val="2"/>
                <w:sz w:val="18"/>
                <w:szCs w:val="18"/>
              </w:rPr>
              <w:t>34.87</w:t>
            </w:r>
          </w:p>
        </w:tc>
        <w:tc>
          <w:tcPr>
            <w:tcW w:w="949" w:type="dxa"/>
            <w:vAlign w:val="top"/>
          </w:tcPr>
          <w:p>
            <w:pPr>
              <w:spacing w:before="168" w:line="259" w:lineRule="exact"/>
              <w:ind w:left="268"/>
              <w:rPr>
                <w:rFonts w:ascii="宋体" w:hAnsi="宋体" w:eastAsia="宋体" w:cs="宋体"/>
                <w:sz w:val="18"/>
                <w:szCs w:val="18"/>
              </w:rPr>
            </w:pPr>
            <w:r>
              <w:rPr>
                <w:rFonts w:ascii="宋体" w:hAnsi="宋体" w:eastAsia="宋体" w:cs="宋体"/>
                <w:spacing w:val="-12"/>
                <w:position w:val="1"/>
                <w:sz w:val="18"/>
                <w:szCs w:val="18"/>
              </w:rPr>
              <w:t>21.30</w:t>
            </w:r>
          </w:p>
        </w:tc>
        <w:tc>
          <w:tcPr>
            <w:tcW w:w="967" w:type="dxa"/>
            <w:tcBorders>
              <w:right w:val="single" w:color="000000" w:sz="4" w:space="0"/>
            </w:tcBorders>
            <w:vAlign w:val="top"/>
          </w:tcPr>
          <w:p>
            <w:pPr>
              <w:spacing w:before="168" w:line="259" w:lineRule="exact"/>
              <w:ind w:left="299"/>
              <w:rPr>
                <w:rFonts w:ascii="宋体" w:hAnsi="宋体" w:eastAsia="宋体" w:cs="宋体"/>
                <w:sz w:val="18"/>
                <w:szCs w:val="18"/>
              </w:rPr>
            </w:pPr>
            <w:r>
              <w:rPr>
                <w:rFonts w:ascii="宋体" w:hAnsi="宋体" w:eastAsia="宋体" w:cs="宋体"/>
                <w:spacing w:val="-16"/>
                <w:position w:val="1"/>
                <w:sz w:val="18"/>
                <w:szCs w:val="18"/>
              </w:rPr>
              <w:t>16.37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366" w:type="dxa"/>
            <w:gridSpan w:val="2"/>
            <w:tcBorders>
              <w:left w:val="single" w:color="000000" w:sz="4" w:space="0"/>
            </w:tcBorders>
            <w:vAlign w:val="top"/>
          </w:tcPr>
          <w:p>
            <w:pPr>
              <w:spacing w:before="168" w:line="211" w:lineRule="auto"/>
              <w:ind w:left="1330"/>
              <w:rPr>
                <w:rFonts w:ascii="宋体" w:hAnsi="宋体" w:eastAsia="宋体" w:cs="宋体"/>
                <w:sz w:val="18"/>
                <w:szCs w:val="18"/>
              </w:rPr>
            </w:pPr>
            <w:r>
              <w:rPr>
                <w:rFonts w:ascii="宋体" w:hAnsi="宋体" w:eastAsia="宋体" w:cs="宋体"/>
                <w:spacing w:val="-5"/>
                <w:sz w:val="18"/>
                <w:szCs w:val="18"/>
              </w:rPr>
              <w:t>安装工程</w:t>
            </w:r>
          </w:p>
        </w:tc>
        <w:tc>
          <w:tcPr>
            <w:tcW w:w="2847" w:type="dxa"/>
            <w:gridSpan w:val="3"/>
            <w:vAlign w:val="top"/>
          </w:tcPr>
          <w:p>
            <w:pPr>
              <w:spacing w:before="167" w:line="260" w:lineRule="exact"/>
              <w:ind w:left="1204"/>
              <w:rPr>
                <w:rFonts w:ascii="宋体" w:hAnsi="宋体" w:eastAsia="宋体" w:cs="宋体"/>
                <w:sz w:val="18"/>
                <w:szCs w:val="18"/>
              </w:rPr>
            </w:pPr>
            <w:r>
              <w:rPr>
                <w:rFonts w:ascii="宋体" w:hAnsi="宋体" w:eastAsia="宋体" w:cs="宋体"/>
                <w:spacing w:val="-11"/>
                <w:position w:val="2"/>
                <w:sz w:val="18"/>
                <w:szCs w:val="18"/>
              </w:rPr>
              <w:t>47.37</w:t>
            </w:r>
          </w:p>
        </w:tc>
        <w:tc>
          <w:tcPr>
            <w:tcW w:w="2866" w:type="dxa"/>
            <w:gridSpan w:val="3"/>
            <w:tcBorders>
              <w:right w:val="single" w:color="000000" w:sz="4" w:space="0"/>
            </w:tcBorders>
            <w:vAlign w:val="top"/>
          </w:tcPr>
          <w:p>
            <w:pPr>
              <w:spacing w:before="167" w:line="260" w:lineRule="exact"/>
              <w:ind w:left="1218"/>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restart"/>
            <w:tcBorders>
              <w:left w:val="single" w:color="000000" w:sz="4" w:space="0"/>
              <w:bottom w:val="nil"/>
            </w:tcBorders>
            <w:vAlign w:val="top"/>
          </w:tcPr>
          <w:p>
            <w:pPr>
              <w:pStyle w:val="6"/>
            </w:pPr>
          </w:p>
          <w:p>
            <w:pPr>
              <w:pStyle w:val="6"/>
            </w:pPr>
          </w:p>
          <w:p>
            <w:pPr>
              <w:pStyle w:val="6"/>
            </w:pPr>
          </w:p>
          <w:p>
            <w:pPr>
              <w:pStyle w:val="6"/>
            </w:pPr>
          </w:p>
          <w:p>
            <w:pPr>
              <w:pStyle w:val="6"/>
            </w:pPr>
          </w:p>
          <w:p>
            <w:pPr>
              <w:pStyle w:val="6"/>
            </w:pPr>
          </w:p>
          <w:p>
            <w:pPr>
              <w:pStyle w:val="6"/>
            </w:pPr>
          </w:p>
          <w:p>
            <w:pPr>
              <w:pStyle w:val="6"/>
              <w:spacing w:line="241" w:lineRule="auto"/>
            </w:pPr>
          </w:p>
          <w:p>
            <w:pPr>
              <w:pStyle w:val="6"/>
              <w:spacing w:line="241" w:lineRule="auto"/>
            </w:pPr>
          </w:p>
          <w:p>
            <w:pPr>
              <w:pStyle w:val="6"/>
              <w:spacing w:line="241" w:lineRule="auto"/>
            </w:pPr>
          </w:p>
          <w:p>
            <w:pPr>
              <w:pStyle w:val="6"/>
              <w:spacing w:line="241" w:lineRule="auto"/>
            </w:pPr>
          </w:p>
          <w:p>
            <w:pPr>
              <w:spacing w:before="59" w:line="210" w:lineRule="auto"/>
              <w:ind w:left="205"/>
              <w:rPr>
                <w:rFonts w:ascii="宋体" w:hAnsi="宋体" w:eastAsia="宋体" w:cs="宋体"/>
                <w:sz w:val="18"/>
                <w:szCs w:val="18"/>
              </w:rPr>
            </w:pPr>
            <w:r>
              <w:rPr>
                <w:rFonts w:ascii="宋体" w:hAnsi="宋体" w:eastAsia="宋体" w:cs="宋体"/>
                <w:spacing w:val="-5"/>
                <w:sz w:val="18"/>
                <w:szCs w:val="18"/>
              </w:rPr>
              <w:t>市政工程</w:t>
            </w:r>
          </w:p>
        </w:tc>
        <w:tc>
          <w:tcPr>
            <w:tcW w:w="2254" w:type="dxa"/>
            <w:vAlign w:val="top"/>
          </w:tcPr>
          <w:p>
            <w:pPr>
              <w:spacing w:before="167" w:line="212" w:lineRule="auto"/>
              <w:ind w:left="767"/>
              <w:rPr>
                <w:rFonts w:ascii="宋体" w:hAnsi="宋体" w:eastAsia="宋体" w:cs="宋体"/>
                <w:sz w:val="18"/>
                <w:szCs w:val="18"/>
              </w:rPr>
            </w:pPr>
            <w:r>
              <w:rPr>
                <w:rFonts w:ascii="宋体" w:hAnsi="宋体" w:eastAsia="宋体" w:cs="宋体"/>
                <w:spacing w:val="-3"/>
                <w:sz w:val="18"/>
                <w:szCs w:val="18"/>
              </w:rPr>
              <w:t>道路工程</w:t>
            </w:r>
          </w:p>
        </w:tc>
        <w:tc>
          <w:tcPr>
            <w:tcW w:w="2847" w:type="dxa"/>
            <w:gridSpan w:val="3"/>
            <w:vAlign w:val="top"/>
          </w:tcPr>
          <w:p>
            <w:pPr>
              <w:spacing w:before="180" w:line="258" w:lineRule="exact"/>
              <w:ind w:left="1234"/>
              <w:rPr>
                <w:rFonts w:ascii="宋体" w:hAnsi="宋体" w:eastAsia="宋体" w:cs="宋体"/>
                <w:sz w:val="18"/>
                <w:szCs w:val="18"/>
              </w:rPr>
            </w:pPr>
            <w:r>
              <w:rPr>
                <w:rFonts w:ascii="宋体" w:hAnsi="宋体" w:eastAsia="宋体" w:cs="宋体"/>
                <w:spacing w:val="-16"/>
                <w:position w:val="1"/>
                <w:sz w:val="18"/>
                <w:szCs w:val="18"/>
              </w:rPr>
              <w:t>17.19</w:t>
            </w:r>
          </w:p>
        </w:tc>
        <w:tc>
          <w:tcPr>
            <w:tcW w:w="2866" w:type="dxa"/>
            <w:gridSpan w:val="3"/>
            <w:tcBorders>
              <w:right w:val="single" w:color="000000" w:sz="4" w:space="0"/>
            </w:tcBorders>
            <w:vAlign w:val="top"/>
          </w:tcPr>
          <w:p>
            <w:pPr>
              <w:spacing w:before="180" w:line="258" w:lineRule="exact"/>
              <w:ind w:left="1261"/>
              <w:rPr>
                <w:rFonts w:ascii="宋体" w:hAnsi="宋体" w:eastAsia="宋体" w:cs="宋体"/>
                <w:sz w:val="18"/>
                <w:szCs w:val="18"/>
              </w:rPr>
            </w:pPr>
            <w:r>
              <w:rPr>
                <w:rFonts w:ascii="宋体" w:hAnsi="宋体" w:eastAsia="宋体" w:cs="宋体"/>
                <w:spacing w:val="-14"/>
                <w:position w:val="1"/>
                <w:sz w:val="18"/>
                <w:szCs w:val="18"/>
              </w:rPr>
              <w:t>9.56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0" w:line="209" w:lineRule="auto"/>
              <w:ind w:left="767"/>
              <w:rPr>
                <w:rFonts w:ascii="宋体" w:hAnsi="宋体" w:eastAsia="宋体" w:cs="宋体"/>
                <w:sz w:val="18"/>
                <w:szCs w:val="18"/>
              </w:rPr>
            </w:pPr>
            <w:r>
              <w:rPr>
                <w:rFonts w:ascii="宋体" w:hAnsi="宋体" w:eastAsia="宋体" w:cs="宋体"/>
                <w:spacing w:val="-3"/>
                <w:sz w:val="18"/>
                <w:szCs w:val="18"/>
              </w:rPr>
              <w:t>桥涵工程</w:t>
            </w:r>
          </w:p>
        </w:tc>
        <w:tc>
          <w:tcPr>
            <w:tcW w:w="2847" w:type="dxa"/>
            <w:gridSpan w:val="3"/>
            <w:vAlign w:val="top"/>
          </w:tcPr>
          <w:p>
            <w:pPr>
              <w:spacing w:before="180" w:line="258" w:lineRule="exact"/>
              <w:ind w:left="1234"/>
              <w:rPr>
                <w:rFonts w:ascii="宋体" w:hAnsi="宋体" w:eastAsia="宋体" w:cs="宋体"/>
                <w:sz w:val="18"/>
                <w:szCs w:val="18"/>
              </w:rPr>
            </w:pPr>
            <w:r>
              <w:rPr>
                <w:rFonts w:ascii="宋体" w:hAnsi="宋体" w:eastAsia="宋体" w:cs="宋体"/>
                <w:spacing w:val="-16"/>
                <w:position w:val="1"/>
                <w:sz w:val="18"/>
                <w:szCs w:val="18"/>
              </w:rPr>
              <w:t>17.31</w:t>
            </w:r>
          </w:p>
        </w:tc>
        <w:tc>
          <w:tcPr>
            <w:tcW w:w="2866" w:type="dxa"/>
            <w:gridSpan w:val="3"/>
            <w:tcBorders>
              <w:right w:val="single" w:color="000000" w:sz="4" w:space="0"/>
            </w:tcBorders>
            <w:vAlign w:val="top"/>
          </w:tcPr>
          <w:p>
            <w:pPr>
              <w:spacing w:before="180" w:line="258" w:lineRule="exact"/>
              <w:ind w:left="1243"/>
              <w:rPr>
                <w:rFonts w:ascii="宋体" w:hAnsi="宋体" w:eastAsia="宋体" w:cs="宋体"/>
                <w:sz w:val="18"/>
                <w:szCs w:val="18"/>
              </w:rPr>
            </w:pPr>
            <w:r>
              <w:rPr>
                <w:rFonts w:ascii="宋体" w:hAnsi="宋体" w:eastAsia="宋体" w:cs="宋体"/>
                <w:spacing w:val="-16"/>
                <w:position w:val="1"/>
                <w:sz w:val="18"/>
                <w:szCs w:val="18"/>
              </w:rPr>
              <w:t>10.89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9" w:line="211" w:lineRule="auto"/>
              <w:ind w:left="786"/>
              <w:rPr>
                <w:rFonts w:ascii="宋体" w:hAnsi="宋体" w:eastAsia="宋体" w:cs="宋体"/>
                <w:sz w:val="18"/>
                <w:szCs w:val="18"/>
              </w:rPr>
            </w:pPr>
            <w:r>
              <w:rPr>
                <w:rFonts w:ascii="宋体" w:hAnsi="宋体" w:eastAsia="宋体" w:cs="宋体"/>
                <w:spacing w:val="-9"/>
                <w:sz w:val="18"/>
                <w:szCs w:val="18"/>
              </w:rPr>
              <w:t>隧道工程</w:t>
            </w:r>
          </w:p>
        </w:tc>
        <w:tc>
          <w:tcPr>
            <w:tcW w:w="2847" w:type="dxa"/>
            <w:gridSpan w:val="3"/>
            <w:vAlign w:val="top"/>
          </w:tcPr>
          <w:p>
            <w:pPr>
              <w:spacing w:before="181" w:line="256" w:lineRule="exact"/>
              <w:ind w:left="1234"/>
              <w:rPr>
                <w:rFonts w:ascii="宋体" w:hAnsi="宋体" w:eastAsia="宋体" w:cs="宋体"/>
                <w:sz w:val="18"/>
                <w:szCs w:val="18"/>
              </w:rPr>
            </w:pPr>
            <w:r>
              <w:rPr>
                <w:rFonts w:ascii="宋体" w:hAnsi="宋体" w:eastAsia="宋体" w:cs="宋体"/>
                <w:spacing w:val="-16"/>
                <w:position w:val="1"/>
                <w:sz w:val="18"/>
                <w:szCs w:val="18"/>
              </w:rPr>
              <w:t>12.93</w:t>
            </w:r>
          </w:p>
        </w:tc>
        <w:tc>
          <w:tcPr>
            <w:tcW w:w="2866" w:type="dxa"/>
            <w:gridSpan w:val="3"/>
            <w:tcBorders>
              <w:right w:val="single" w:color="000000" w:sz="4" w:space="0"/>
            </w:tcBorders>
            <w:vAlign w:val="top"/>
          </w:tcPr>
          <w:p>
            <w:pPr>
              <w:spacing w:before="181" w:line="256" w:lineRule="exact"/>
              <w:ind w:left="1261"/>
              <w:rPr>
                <w:rFonts w:ascii="宋体" w:hAnsi="宋体" w:eastAsia="宋体" w:cs="宋体"/>
                <w:sz w:val="18"/>
                <w:szCs w:val="18"/>
              </w:rPr>
            </w:pPr>
            <w:r>
              <w:rPr>
                <w:rFonts w:ascii="宋体" w:hAnsi="宋体" w:eastAsia="宋体" w:cs="宋体"/>
                <w:spacing w:val="-14"/>
                <w:position w:val="1"/>
                <w:sz w:val="18"/>
                <w:szCs w:val="18"/>
              </w:rPr>
              <w:t>9.24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0" w:line="211" w:lineRule="auto"/>
              <w:ind w:left="772"/>
              <w:rPr>
                <w:rFonts w:ascii="宋体" w:hAnsi="宋体" w:eastAsia="宋体" w:cs="宋体"/>
                <w:sz w:val="18"/>
                <w:szCs w:val="18"/>
              </w:rPr>
            </w:pPr>
            <w:r>
              <w:rPr>
                <w:rFonts w:ascii="宋体" w:hAnsi="宋体" w:eastAsia="宋体" w:cs="宋体"/>
                <w:spacing w:val="-5"/>
                <w:sz w:val="18"/>
                <w:szCs w:val="18"/>
              </w:rPr>
              <w:t>给水工程</w:t>
            </w:r>
          </w:p>
        </w:tc>
        <w:tc>
          <w:tcPr>
            <w:tcW w:w="2847" w:type="dxa"/>
            <w:gridSpan w:val="3"/>
            <w:vAlign w:val="top"/>
          </w:tcPr>
          <w:p>
            <w:pPr>
              <w:spacing w:before="182" w:line="255" w:lineRule="exact"/>
              <w:ind w:left="1212"/>
              <w:rPr>
                <w:rFonts w:ascii="宋体" w:hAnsi="宋体" w:eastAsia="宋体" w:cs="宋体"/>
                <w:sz w:val="18"/>
                <w:szCs w:val="18"/>
              </w:rPr>
            </w:pPr>
            <w:r>
              <w:rPr>
                <w:rFonts w:ascii="宋体" w:hAnsi="宋体" w:eastAsia="宋体" w:cs="宋体"/>
                <w:spacing w:val="-13"/>
                <w:position w:val="1"/>
                <w:sz w:val="18"/>
                <w:szCs w:val="18"/>
              </w:rPr>
              <w:t>33.55</w:t>
            </w:r>
          </w:p>
        </w:tc>
        <w:tc>
          <w:tcPr>
            <w:tcW w:w="2866" w:type="dxa"/>
            <w:gridSpan w:val="3"/>
            <w:tcBorders>
              <w:right w:val="single" w:color="000000" w:sz="4" w:space="0"/>
            </w:tcBorders>
            <w:vAlign w:val="top"/>
          </w:tcPr>
          <w:p>
            <w:pPr>
              <w:spacing w:before="182" w:line="255" w:lineRule="exact"/>
              <w:ind w:left="1218"/>
              <w:rPr>
                <w:rFonts w:ascii="宋体" w:hAnsi="宋体" w:eastAsia="宋体" w:cs="宋体"/>
                <w:sz w:val="18"/>
                <w:szCs w:val="18"/>
              </w:rPr>
            </w:pPr>
            <w:r>
              <w:rPr>
                <w:rFonts w:ascii="宋体" w:hAnsi="宋体" w:eastAsia="宋体" w:cs="宋体"/>
                <w:spacing w:val="-12"/>
                <w:position w:val="1"/>
                <w:sz w:val="18"/>
                <w:szCs w:val="18"/>
              </w:rPr>
              <w:t>22.16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1" w:line="222" w:lineRule="auto"/>
              <w:ind w:left="767"/>
              <w:rPr>
                <w:rFonts w:ascii="宋体" w:hAnsi="宋体" w:eastAsia="宋体" w:cs="宋体"/>
                <w:sz w:val="18"/>
                <w:szCs w:val="18"/>
              </w:rPr>
            </w:pPr>
            <w:r>
              <w:rPr>
                <w:rFonts w:ascii="宋体" w:hAnsi="宋体" w:eastAsia="宋体" w:cs="宋体"/>
                <w:spacing w:val="-3"/>
                <w:sz w:val="18"/>
                <w:szCs w:val="18"/>
              </w:rPr>
              <w:t>排水工程</w:t>
            </w:r>
          </w:p>
        </w:tc>
        <w:tc>
          <w:tcPr>
            <w:tcW w:w="2847" w:type="dxa"/>
            <w:gridSpan w:val="3"/>
            <w:vAlign w:val="top"/>
          </w:tcPr>
          <w:p>
            <w:pPr>
              <w:spacing w:before="185" w:line="252" w:lineRule="exact"/>
              <w:ind w:left="1234"/>
              <w:rPr>
                <w:rFonts w:ascii="宋体" w:hAnsi="宋体" w:eastAsia="宋体" w:cs="宋体"/>
                <w:sz w:val="18"/>
                <w:szCs w:val="18"/>
              </w:rPr>
            </w:pPr>
            <w:r>
              <w:rPr>
                <w:rFonts w:ascii="宋体" w:hAnsi="宋体" w:eastAsia="宋体" w:cs="宋体"/>
                <w:spacing w:val="-16"/>
                <w:position w:val="1"/>
                <w:sz w:val="18"/>
                <w:szCs w:val="18"/>
              </w:rPr>
              <w:t>16.02</w:t>
            </w:r>
          </w:p>
        </w:tc>
        <w:tc>
          <w:tcPr>
            <w:tcW w:w="2866" w:type="dxa"/>
            <w:gridSpan w:val="3"/>
            <w:tcBorders>
              <w:right w:val="single" w:color="000000" w:sz="4" w:space="0"/>
            </w:tcBorders>
            <w:vAlign w:val="top"/>
          </w:tcPr>
          <w:p>
            <w:pPr>
              <w:spacing w:before="185" w:line="252" w:lineRule="exact"/>
              <w:ind w:left="1263"/>
              <w:rPr>
                <w:rFonts w:ascii="宋体" w:hAnsi="宋体" w:eastAsia="宋体" w:cs="宋体"/>
                <w:sz w:val="18"/>
                <w:szCs w:val="18"/>
              </w:rPr>
            </w:pPr>
            <w:r>
              <w:rPr>
                <w:rFonts w:ascii="宋体" w:hAnsi="宋体" w:eastAsia="宋体" w:cs="宋体"/>
                <w:spacing w:val="-14"/>
                <w:position w:val="1"/>
                <w:sz w:val="18"/>
                <w:szCs w:val="18"/>
              </w:rPr>
              <w:t>7.60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3" w:line="214" w:lineRule="auto"/>
              <w:ind w:left="765"/>
              <w:rPr>
                <w:rFonts w:ascii="宋体" w:hAnsi="宋体" w:eastAsia="宋体" w:cs="宋体"/>
                <w:sz w:val="18"/>
                <w:szCs w:val="18"/>
              </w:rPr>
            </w:pPr>
            <w:r>
              <w:rPr>
                <w:rFonts w:ascii="宋体" w:hAnsi="宋体" w:eastAsia="宋体" w:cs="宋体"/>
                <w:spacing w:val="-3"/>
                <w:sz w:val="18"/>
                <w:szCs w:val="18"/>
              </w:rPr>
              <w:t>燃气工程</w:t>
            </w:r>
          </w:p>
        </w:tc>
        <w:tc>
          <w:tcPr>
            <w:tcW w:w="2847" w:type="dxa"/>
            <w:gridSpan w:val="3"/>
            <w:vAlign w:val="top"/>
          </w:tcPr>
          <w:p>
            <w:pPr>
              <w:spacing w:before="185" w:line="254" w:lineRule="exact"/>
              <w:ind w:left="1209"/>
              <w:rPr>
                <w:rFonts w:ascii="宋体" w:hAnsi="宋体" w:eastAsia="宋体" w:cs="宋体"/>
                <w:sz w:val="18"/>
                <w:szCs w:val="18"/>
              </w:rPr>
            </w:pPr>
            <w:r>
              <w:rPr>
                <w:rFonts w:ascii="宋体" w:hAnsi="宋体" w:eastAsia="宋体" w:cs="宋体"/>
                <w:spacing w:val="-12"/>
                <w:position w:val="1"/>
                <w:sz w:val="18"/>
                <w:szCs w:val="18"/>
              </w:rPr>
              <w:t>22.03</w:t>
            </w:r>
          </w:p>
        </w:tc>
        <w:tc>
          <w:tcPr>
            <w:tcW w:w="2866" w:type="dxa"/>
            <w:gridSpan w:val="3"/>
            <w:tcBorders>
              <w:right w:val="single" w:color="000000" w:sz="4" w:space="0"/>
            </w:tcBorders>
            <w:vAlign w:val="top"/>
          </w:tcPr>
          <w:p>
            <w:pPr>
              <w:spacing w:before="185" w:line="254" w:lineRule="exact"/>
              <w:ind w:left="1243"/>
              <w:rPr>
                <w:rFonts w:ascii="宋体" w:hAnsi="宋体" w:eastAsia="宋体" w:cs="宋体"/>
                <w:sz w:val="18"/>
                <w:szCs w:val="18"/>
              </w:rPr>
            </w:pPr>
            <w:r>
              <w:rPr>
                <w:rFonts w:ascii="宋体" w:hAnsi="宋体" w:eastAsia="宋体" w:cs="宋体"/>
                <w:spacing w:val="-16"/>
                <w:position w:val="1"/>
                <w:sz w:val="18"/>
                <w:szCs w:val="18"/>
              </w:rPr>
              <w:t>17.20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6" w:line="240" w:lineRule="exact"/>
              <w:ind w:left="766"/>
              <w:rPr>
                <w:rFonts w:ascii="宋体" w:hAnsi="宋体" w:eastAsia="宋体" w:cs="宋体"/>
                <w:sz w:val="18"/>
                <w:szCs w:val="18"/>
              </w:rPr>
            </w:pPr>
            <w:r>
              <w:rPr>
                <w:rFonts w:ascii="宋体" w:hAnsi="宋体" w:eastAsia="宋体" w:cs="宋体"/>
                <w:spacing w:val="-3"/>
                <w:position w:val="1"/>
                <w:sz w:val="18"/>
                <w:szCs w:val="18"/>
              </w:rPr>
              <w:t>供热工程</w:t>
            </w:r>
          </w:p>
        </w:tc>
        <w:tc>
          <w:tcPr>
            <w:tcW w:w="2847" w:type="dxa"/>
            <w:gridSpan w:val="3"/>
            <w:vAlign w:val="top"/>
          </w:tcPr>
          <w:p>
            <w:pPr>
              <w:spacing w:before="185" w:line="252" w:lineRule="exact"/>
              <w:ind w:left="1209"/>
              <w:rPr>
                <w:rFonts w:ascii="宋体" w:hAnsi="宋体" w:eastAsia="宋体" w:cs="宋体"/>
                <w:sz w:val="18"/>
                <w:szCs w:val="18"/>
              </w:rPr>
            </w:pPr>
            <w:r>
              <w:rPr>
                <w:rFonts w:ascii="宋体" w:hAnsi="宋体" w:eastAsia="宋体" w:cs="宋体"/>
                <w:spacing w:val="-12"/>
                <w:position w:val="1"/>
                <w:sz w:val="18"/>
                <w:szCs w:val="18"/>
              </w:rPr>
              <w:t>23.37</w:t>
            </w:r>
          </w:p>
        </w:tc>
        <w:tc>
          <w:tcPr>
            <w:tcW w:w="2866" w:type="dxa"/>
            <w:gridSpan w:val="3"/>
            <w:tcBorders>
              <w:right w:val="single" w:color="000000" w:sz="4" w:space="0"/>
            </w:tcBorders>
            <w:vAlign w:val="top"/>
          </w:tcPr>
          <w:p>
            <w:pPr>
              <w:spacing w:before="185" w:line="252" w:lineRule="exact"/>
              <w:ind w:left="1243"/>
              <w:rPr>
                <w:rFonts w:ascii="宋体" w:hAnsi="宋体" w:eastAsia="宋体" w:cs="宋体"/>
                <w:sz w:val="18"/>
                <w:szCs w:val="18"/>
              </w:rPr>
            </w:pPr>
            <w:r>
              <w:rPr>
                <w:rFonts w:ascii="宋体" w:hAnsi="宋体" w:eastAsia="宋体" w:cs="宋体"/>
                <w:spacing w:val="-16"/>
                <w:position w:val="1"/>
                <w:sz w:val="18"/>
                <w:szCs w:val="18"/>
              </w:rPr>
              <w:t>18.68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3" w:line="210" w:lineRule="auto"/>
              <w:ind w:left="680"/>
              <w:rPr>
                <w:rFonts w:ascii="宋体" w:hAnsi="宋体" w:eastAsia="宋体" w:cs="宋体"/>
                <w:sz w:val="18"/>
                <w:szCs w:val="18"/>
              </w:rPr>
            </w:pPr>
            <w:r>
              <w:rPr>
                <w:rFonts w:ascii="宋体" w:hAnsi="宋体" w:eastAsia="宋体" w:cs="宋体"/>
                <w:spacing w:val="-3"/>
                <w:sz w:val="18"/>
                <w:szCs w:val="18"/>
              </w:rPr>
              <w:t>水处理工程</w:t>
            </w:r>
          </w:p>
        </w:tc>
        <w:tc>
          <w:tcPr>
            <w:tcW w:w="2847" w:type="dxa"/>
            <w:gridSpan w:val="3"/>
            <w:vAlign w:val="top"/>
          </w:tcPr>
          <w:p>
            <w:pPr>
              <w:spacing w:before="185" w:line="254" w:lineRule="exact"/>
              <w:ind w:left="1234"/>
              <w:rPr>
                <w:rFonts w:ascii="宋体" w:hAnsi="宋体" w:eastAsia="宋体" w:cs="宋体"/>
                <w:sz w:val="18"/>
                <w:szCs w:val="18"/>
              </w:rPr>
            </w:pPr>
            <w:r>
              <w:rPr>
                <w:rFonts w:ascii="宋体" w:hAnsi="宋体" w:eastAsia="宋体" w:cs="宋体"/>
                <w:spacing w:val="-16"/>
                <w:position w:val="1"/>
                <w:sz w:val="18"/>
                <w:szCs w:val="18"/>
              </w:rPr>
              <w:t>16.38</w:t>
            </w:r>
          </w:p>
        </w:tc>
        <w:tc>
          <w:tcPr>
            <w:tcW w:w="2866" w:type="dxa"/>
            <w:gridSpan w:val="3"/>
            <w:tcBorders>
              <w:right w:val="single" w:color="000000" w:sz="4" w:space="0"/>
            </w:tcBorders>
            <w:vAlign w:val="top"/>
          </w:tcPr>
          <w:p>
            <w:pPr>
              <w:spacing w:before="185" w:line="254" w:lineRule="exact"/>
              <w:ind w:left="1261"/>
              <w:rPr>
                <w:rFonts w:ascii="宋体" w:hAnsi="宋体" w:eastAsia="宋体" w:cs="宋体"/>
                <w:sz w:val="18"/>
                <w:szCs w:val="18"/>
              </w:rPr>
            </w:pPr>
            <w:r>
              <w:rPr>
                <w:rFonts w:ascii="宋体" w:hAnsi="宋体" w:eastAsia="宋体" w:cs="宋体"/>
                <w:spacing w:val="-14"/>
                <w:position w:val="1"/>
                <w:sz w:val="18"/>
                <w:szCs w:val="18"/>
              </w:rPr>
              <w:t>9.92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6" w:line="208" w:lineRule="auto"/>
              <w:ind w:left="409"/>
              <w:rPr>
                <w:rFonts w:ascii="宋体" w:hAnsi="宋体" w:eastAsia="宋体" w:cs="宋体"/>
                <w:sz w:val="18"/>
                <w:szCs w:val="18"/>
              </w:rPr>
            </w:pPr>
            <w:r>
              <w:rPr>
                <w:rFonts w:ascii="宋体" w:hAnsi="宋体" w:eastAsia="宋体" w:cs="宋体"/>
                <w:spacing w:val="-4"/>
                <w:sz w:val="18"/>
                <w:szCs w:val="18"/>
              </w:rPr>
              <w:t>生活垃圾处理工程</w:t>
            </w:r>
          </w:p>
        </w:tc>
        <w:tc>
          <w:tcPr>
            <w:tcW w:w="2847" w:type="dxa"/>
            <w:gridSpan w:val="3"/>
            <w:vAlign w:val="top"/>
          </w:tcPr>
          <w:p>
            <w:pPr>
              <w:spacing w:before="185" w:line="252" w:lineRule="exact"/>
              <w:ind w:left="1212"/>
              <w:rPr>
                <w:rFonts w:ascii="宋体" w:hAnsi="宋体" w:eastAsia="宋体" w:cs="宋体"/>
                <w:sz w:val="18"/>
                <w:szCs w:val="18"/>
              </w:rPr>
            </w:pPr>
            <w:r>
              <w:rPr>
                <w:rFonts w:ascii="宋体" w:hAnsi="宋体" w:eastAsia="宋体" w:cs="宋体"/>
                <w:spacing w:val="-13"/>
                <w:position w:val="1"/>
                <w:sz w:val="18"/>
                <w:szCs w:val="18"/>
              </w:rPr>
              <w:t>36.04</w:t>
            </w:r>
          </w:p>
        </w:tc>
        <w:tc>
          <w:tcPr>
            <w:tcW w:w="2866" w:type="dxa"/>
            <w:gridSpan w:val="3"/>
            <w:tcBorders>
              <w:right w:val="single" w:color="000000" w:sz="4" w:space="0"/>
            </w:tcBorders>
            <w:vAlign w:val="top"/>
          </w:tcPr>
          <w:p>
            <w:pPr>
              <w:spacing w:before="185" w:line="252" w:lineRule="exact"/>
              <w:ind w:left="1243"/>
              <w:rPr>
                <w:rFonts w:ascii="宋体" w:hAnsi="宋体" w:eastAsia="宋体" w:cs="宋体"/>
                <w:sz w:val="18"/>
                <w:szCs w:val="18"/>
              </w:rPr>
            </w:pPr>
            <w:r>
              <w:rPr>
                <w:rFonts w:ascii="宋体" w:hAnsi="宋体" w:eastAsia="宋体" w:cs="宋体"/>
                <w:spacing w:val="-16"/>
                <w:position w:val="1"/>
                <w:sz w:val="18"/>
                <w:szCs w:val="18"/>
              </w:rPr>
              <w:t>13.83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4" w:line="211" w:lineRule="auto"/>
              <w:ind w:left="767"/>
              <w:rPr>
                <w:rFonts w:ascii="宋体" w:hAnsi="宋体" w:eastAsia="宋体" w:cs="宋体"/>
                <w:sz w:val="18"/>
                <w:szCs w:val="18"/>
              </w:rPr>
            </w:pPr>
            <w:r>
              <w:rPr>
                <w:rFonts w:ascii="宋体" w:hAnsi="宋体" w:eastAsia="宋体" w:cs="宋体"/>
                <w:spacing w:val="-5"/>
                <w:sz w:val="18"/>
                <w:szCs w:val="18"/>
              </w:rPr>
              <w:t>路灯工程</w:t>
            </w:r>
          </w:p>
        </w:tc>
        <w:tc>
          <w:tcPr>
            <w:tcW w:w="2847" w:type="dxa"/>
            <w:gridSpan w:val="3"/>
            <w:vAlign w:val="top"/>
          </w:tcPr>
          <w:p>
            <w:pPr>
              <w:spacing w:before="186" w:line="251" w:lineRule="exact"/>
              <w:ind w:left="1209"/>
              <w:rPr>
                <w:rFonts w:ascii="宋体" w:hAnsi="宋体" w:eastAsia="宋体" w:cs="宋体"/>
                <w:sz w:val="18"/>
                <w:szCs w:val="18"/>
              </w:rPr>
            </w:pPr>
            <w:r>
              <w:rPr>
                <w:rFonts w:ascii="宋体" w:hAnsi="宋体" w:eastAsia="宋体" w:cs="宋体"/>
                <w:spacing w:val="-12"/>
                <w:position w:val="1"/>
                <w:sz w:val="18"/>
                <w:szCs w:val="18"/>
              </w:rPr>
              <w:t>22.40</w:t>
            </w:r>
          </w:p>
        </w:tc>
        <w:tc>
          <w:tcPr>
            <w:tcW w:w="2866" w:type="dxa"/>
            <w:gridSpan w:val="3"/>
            <w:tcBorders>
              <w:right w:val="single" w:color="000000" w:sz="4" w:space="0"/>
            </w:tcBorders>
            <w:vAlign w:val="top"/>
          </w:tcPr>
          <w:p>
            <w:pPr>
              <w:spacing w:before="186" w:line="251" w:lineRule="exact"/>
              <w:ind w:left="1261"/>
              <w:rPr>
                <w:rFonts w:ascii="宋体" w:hAnsi="宋体" w:eastAsia="宋体" w:cs="宋体"/>
                <w:sz w:val="18"/>
                <w:szCs w:val="18"/>
              </w:rPr>
            </w:pPr>
            <w:r>
              <w:rPr>
                <w:rFonts w:ascii="宋体" w:hAnsi="宋体" w:eastAsia="宋体" w:cs="宋体"/>
                <w:spacing w:val="-14"/>
                <w:position w:val="1"/>
                <w:sz w:val="18"/>
                <w:szCs w:val="18"/>
              </w:rPr>
              <w:t>9.60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76" w:line="212" w:lineRule="auto"/>
              <w:ind w:left="227"/>
              <w:rPr>
                <w:rFonts w:ascii="宋体" w:hAnsi="宋体" w:eastAsia="宋体" w:cs="宋体"/>
                <w:sz w:val="18"/>
                <w:szCs w:val="18"/>
              </w:rPr>
            </w:pPr>
            <w:r>
              <w:rPr>
                <w:rFonts w:ascii="宋体" w:hAnsi="宋体" w:eastAsia="宋体" w:cs="宋体"/>
                <w:spacing w:val="-3"/>
                <w:sz w:val="18"/>
                <w:szCs w:val="18"/>
              </w:rPr>
              <w:t>城市地下综合管廊工程</w:t>
            </w:r>
          </w:p>
        </w:tc>
        <w:tc>
          <w:tcPr>
            <w:tcW w:w="2847" w:type="dxa"/>
            <w:gridSpan w:val="3"/>
            <w:vAlign w:val="top"/>
          </w:tcPr>
          <w:p>
            <w:pPr>
              <w:spacing w:before="189" w:line="248" w:lineRule="exact"/>
              <w:ind w:left="1234"/>
              <w:rPr>
                <w:rFonts w:ascii="宋体" w:hAnsi="宋体" w:eastAsia="宋体" w:cs="宋体"/>
                <w:sz w:val="18"/>
                <w:szCs w:val="18"/>
              </w:rPr>
            </w:pPr>
            <w:r>
              <w:rPr>
                <w:rFonts w:ascii="宋体" w:hAnsi="宋体" w:eastAsia="宋体" w:cs="宋体"/>
                <w:spacing w:val="-16"/>
                <w:position w:val="1"/>
                <w:sz w:val="18"/>
                <w:szCs w:val="18"/>
              </w:rPr>
              <w:t>17.17</w:t>
            </w:r>
          </w:p>
        </w:tc>
        <w:tc>
          <w:tcPr>
            <w:tcW w:w="2866" w:type="dxa"/>
            <w:gridSpan w:val="3"/>
            <w:tcBorders>
              <w:right w:val="single" w:color="000000" w:sz="4" w:space="0"/>
            </w:tcBorders>
            <w:vAlign w:val="top"/>
          </w:tcPr>
          <w:p>
            <w:pPr>
              <w:spacing w:before="189" w:line="248" w:lineRule="exact"/>
              <w:ind w:left="1261"/>
              <w:rPr>
                <w:rFonts w:ascii="宋体" w:hAnsi="宋体" w:eastAsia="宋体" w:cs="宋体"/>
                <w:sz w:val="18"/>
                <w:szCs w:val="18"/>
              </w:rPr>
            </w:pPr>
            <w:r>
              <w:rPr>
                <w:rFonts w:ascii="宋体" w:hAnsi="宋体" w:eastAsia="宋体" w:cs="宋体"/>
                <w:spacing w:val="-14"/>
                <w:position w:val="1"/>
                <w:sz w:val="18"/>
                <w:szCs w:val="18"/>
              </w:rPr>
              <w:t>9.24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8" w:hRule="atLeast"/>
        </w:trPr>
        <w:tc>
          <w:tcPr>
            <w:tcW w:w="3366" w:type="dxa"/>
            <w:gridSpan w:val="2"/>
            <w:tcBorders>
              <w:left w:val="single" w:color="000000" w:sz="4" w:space="0"/>
            </w:tcBorders>
            <w:vAlign w:val="top"/>
          </w:tcPr>
          <w:p>
            <w:pPr>
              <w:spacing w:before="179" w:line="208" w:lineRule="auto"/>
              <w:ind w:left="1174"/>
              <w:rPr>
                <w:rFonts w:ascii="宋体" w:hAnsi="宋体" w:eastAsia="宋体" w:cs="宋体"/>
                <w:sz w:val="18"/>
                <w:szCs w:val="18"/>
              </w:rPr>
            </w:pPr>
            <w:r>
              <w:rPr>
                <w:rFonts w:ascii="宋体" w:hAnsi="宋体" w:eastAsia="宋体" w:cs="宋体"/>
                <w:spacing w:val="-9"/>
                <w:sz w:val="18"/>
                <w:szCs w:val="18"/>
              </w:rPr>
              <w:t>园林绿化工程</w:t>
            </w:r>
          </w:p>
        </w:tc>
        <w:tc>
          <w:tcPr>
            <w:tcW w:w="2847" w:type="dxa"/>
            <w:gridSpan w:val="3"/>
            <w:vAlign w:val="top"/>
          </w:tcPr>
          <w:p>
            <w:pPr>
              <w:spacing w:before="189" w:line="260" w:lineRule="exact"/>
              <w:ind w:left="1204"/>
              <w:rPr>
                <w:rFonts w:ascii="宋体" w:hAnsi="宋体" w:eastAsia="宋体" w:cs="宋体"/>
                <w:sz w:val="18"/>
                <w:szCs w:val="18"/>
              </w:rPr>
            </w:pPr>
            <w:r>
              <w:rPr>
                <w:rFonts w:ascii="宋体" w:hAnsi="宋体" w:eastAsia="宋体" w:cs="宋体"/>
                <w:spacing w:val="-11"/>
                <w:position w:val="2"/>
                <w:sz w:val="18"/>
                <w:szCs w:val="18"/>
              </w:rPr>
              <w:t>49.34</w:t>
            </w:r>
          </w:p>
        </w:tc>
        <w:tc>
          <w:tcPr>
            <w:tcW w:w="2866" w:type="dxa"/>
            <w:gridSpan w:val="3"/>
            <w:tcBorders>
              <w:right w:val="single" w:color="000000" w:sz="4" w:space="0"/>
            </w:tcBorders>
            <w:vAlign w:val="top"/>
          </w:tcPr>
          <w:p>
            <w:pPr>
              <w:spacing w:before="189" w:line="260" w:lineRule="exact"/>
              <w:ind w:left="1218"/>
              <w:rPr>
                <w:rFonts w:ascii="宋体" w:hAnsi="宋体" w:eastAsia="宋体" w:cs="宋体"/>
                <w:sz w:val="18"/>
                <w:szCs w:val="18"/>
              </w:rPr>
            </w:pPr>
            <w:r>
              <w:rPr>
                <w:rFonts w:ascii="宋体" w:hAnsi="宋体" w:eastAsia="宋体" w:cs="宋体"/>
                <w:spacing w:val="-12"/>
                <w:position w:val="2"/>
                <w:sz w:val="18"/>
                <w:szCs w:val="18"/>
              </w:rPr>
              <w:t>27.26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restart"/>
            <w:tcBorders>
              <w:left w:val="single" w:color="000000" w:sz="4" w:space="0"/>
              <w:bottom w:val="nil"/>
            </w:tcBorders>
            <w:vAlign w:val="top"/>
          </w:tcPr>
          <w:p>
            <w:pPr>
              <w:spacing w:before="286" w:line="330" w:lineRule="auto"/>
              <w:ind w:left="379" w:right="366" w:firstLine="1"/>
              <w:rPr>
                <w:rFonts w:ascii="宋体" w:hAnsi="宋体" w:eastAsia="宋体" w:cs="宋体"/>
                <w:sz w:val="18"/>
                <w:szCs w:val="18"/>
              </w:rPr>
            </w:pPr>
            <w:r>
              <w:rPr>
                <w:rFonts w:ascii="宋体" w:hAnsi="宋体" w:eastAsia="宋体" w:cs="宋体"/>
                <w:spacing w:val="-2"/>
                <w:sz w:val="18"/>
                <w:szCs w:val="18"/>
              </w:rPr>
              <w:t>房屋修缮</w:t>
            </w:r>
          </w:p>
        </w:tc>
        <w:tc>
          <w:tcPr>
            <w:tcW w:w="2254" w:type="dxa"/>
            <w:vAlign w:val="top"/>
          </w:tcPr>
          <w:p>
            <w:pPr>
              <w:spacing w:before="190" w:line="215" w:lineRule="auto"/>
              <w:ind w:left="769"/>
              <w:rPr>
                <w:rFonts w:ascii="宋体" w:hAnsi="宋体" w:eastAsia="宋体" w:cs="宋体"/>
                <w:sz w:val="18"/>
                <w:szCs w:val="18"/>
              </w:rPr>
            </w:pPr>
            <w:r>
              <w:rPr>
                <w:rFonts w:ascii="宋体" w:hAnsi="宋体" w:eastAsia="宋体" w:cs="宋体"/>
                <w:spacing w:val="-4"/>
                <w:sz w:val="18"/>
                <w:szCs w:val="18"/>
              </w:rPr>
              <w:t>建筑工程</w:t>
            </w:r>
          </w:p>
        </w:tc>
        <w:tc>
          <w:tcPr>
            <w:tcW w:w="2847" w:type="dxa"/>
            <w:gridSpan w:val="3"/>
            <w:vAlign w:val="top"/>
          </w:tcPr>
          <w:p>
            <w:pPr>
              <w:spacing w:before="178" w:line="259" w:lineRule="exact"/>
              <w:ind w:left="1204"/>
              <w:rPr>
                <w:rFonts w:ascii="宋体" w:hAnsi="宋体" w:eastAsia="宋体" w:cs="宋体"/>
                <w:sz w:val="18"/>
                <w:szCs w:val="18"/>
              </w:rPr>
            </w:pPr>
            <w:r>
              <w:rPr>
                <w:rFonts w:ascii="宋体" w:hAnsi="宋体" w:eastAsia="宋体" w:cs="宋体"/>
                <w:spacing w:val="-11"/>
                <w:position w:val="2"/>
                <w:sz w:val="18"/>
                <w:szCs w:val="18"/>
              </w:rPr>
              <w:t>45.89</w:t>
            </w:r>
          </w:p>
        </w:tc>
        <w:tc>
          <w:tcPr>
            <w:tcW w:w="2866" w:type="dxa"/>
            <w:gridSpan w:val="3"/>
            <w:tcBorders>
              <w:right w:val="single" w:color="000000" w:sz="4" w:space="0"/>
            </w:tcBorders>
            <w:vAlign w:val="top"/>
          </w:tcPr>
          <w:p>
            <w:pPr>
              <w:spacing w:before="178" w:line="259" w:lineRule="exact"/>
              <w:ind w:left="1218"/>
              <w:rPr>
                <w:rFonts w:ascii="宋体" w:hAnsi="宋体" w:eastAsia="宋体" w:cs="宋体"/>
                <w:sz w:val="18"/>
                <w:szCs w:val="18"/>
              </w:rPr>
            </w:pPr>
            <w:r>
              <w:rPr>
                <w:rFonts w:ascii="宋体" w:hAnsi="宋体" w:eastAsia="宋体" w:cs="宋体"/>
                <w:spacing w:val="-12"/>
                <w:position w:val="1"/>
                <w:sz w:val="18"/>
                <w:szCs w:val="18"/>
              </w:rPr>
              <w:t>24.15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92" w:line="211" w:lineRule="auto"/>
              <w:ind w:left="770"/>
              <w:rPr>
                <w:rFonts w:ascii="宋体" w:hAnsi="宋体" w:eastAsia="宋体" w:cs="宋体"/>
                <w:sz w:val="18"/>
                <w:szCs w:val="18"/>
              </w:rPr>
            </w:pPr>
            <w:r>
              <w:rPr>
                <w:rFonts w:ascii="宋体" w:hAnsi="宋体" w:eastAsia="宋体" w:cs="宋体"/>
                <w:spacing w:val="-5"/>
                <w:sz w:val="18"/>
                <w:szCs w:val="18"/>
              </w:rPr>
              <w:t>安装工程</w:t>
            </w:r>
          </w:p>
        </w:tc>
        <w:tc>
          <w:tcPr>
            <w:tcW w:w="2847" w:type="dxa"/>
            <w:gridSpan w:val="3"/>
            <w:vAlign w:val="top"/>
          </w:tcPr>
          <w:p>
            <w:pPr>
              <w:spacing w:before="177" w:line="260" w:lineRule="exact"/>
              <w:ind w:left="1204"/>
              <w:rPr>
                <w:rFonts w:ascii="宋体" w:hAnsi="宋体" w:eastAsia="宋体" w:cs="宋体"/>
                <w:sz w:val="18"/>
                <w:szCs w:val="18"/>
              </w:rPr>
            </w:pPr>
            <w:r>
              <w:rPr>
                <w:rFonts w:ascii="宋体" w:hAnsi="宋体" w:eastAsia="宋体" w:cs="宋体"/>
                <w:spacing w:val="-11"/>
                <w:position w:val="2"/>
                <w:sz w:val="18"/>
                <w:szCs w:val="18"/>
              </w:rPr>
              <w:t>47.37</w:t>
            </w:r>
          </w:p>
        </w:tc>
        <w:tc>
          <w:tcPr>
            <w:tcW w:w="2866" w:type="dxa"/>
            <w:gridSpan w:val="3"/>
            <w:tcBorders>
              <w:right w:val="single" w:color="000000" w:sz="4" w:space="0"/>
            </w:tcBorders>
            <w:vAlign w:val="top"/>
          </w:tcPr>
          <w:p>
            <w:pPr>
              <w:spacing w:before="177" w:line="260" w:lineRule="exact"/>
              <w:ind w:left="1218"/>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trPr>
        <w:tc>
          <w:tcPr>
            <w:tcW w:w="3366" w:type="dxa"/>
            <w:gridSpan w:val="2"/>
            <w:tcBorders>
              <w:left w:val="single" w:color="000000" w:sz="4" w:space="0"/>
            </w:tcBorders>
            <w:vAlign w:val="top"/>
          </w:tcPr>
          <w:p>
            <w:pPr>
              <w:spacing w:before="190" w:line="215" w:lineRule="auto"/>
              <w:ind w:left="1063"/>
              <w:rPr>
                <w:rFonts w:ascii="宋体" w:hAnsi="宋体" w:eastAsia="宋体" w:cs="宋体"/>
                <w:sz w:val="18"/>
                <w:szCs w:val="18"/>
              </w:rPr>
            </w:pPr>
            <w:r>
              <w:rPr>
                <w:rFonts w:ascii="宋体" w:hAnsi="宋体" w:eastAsia="宋体" w:cs="宋体"/>
                <w:spacing w:val="-4"/>
                <w:sz w:val="18"/>
                <w:szCs w:val="18"/>
              </w:rPr>
              <w:t>古建筑修缮工程</w:t>
            </w:r>
          </w:p>
        </w:tc>
        <w:tc>
          <w:tcPr>
            <w:tcW w:w="2847" w:type="dxa"/>
            <w:gridSpan w:val="3"/>
            <w:vAlign w:val="top"/>
          </w:tcPr>
          <w:p>
            <w:pPr>
              <w:spacing w:before="181" w:line="259" w:lineRule="exact"/>
              <w:ind w:left="1204"/>
              <w:rPr>
                <w:rFonts w:ascii="宋体" w:hAnsi="宋体" w:eastAsia="宋体" w:cs="宋体"/>
                <w:sz w:val="18"/>
                <w:szCs w:val="18"/>
              </w:rPr>
            </w:pPr>
            <w:r>
              <w:rPr>
                <w:rFonts w:ascii="宋体" w:hAnsi="宋体" w:eastAsia="宋体" w:cs="宋体"/>
                <w:spacing w:val="-11"/>
                <w:position w:val="2"/>
                <w:sz w:val="18"/>
                <w:szCs w:val="18"/>
              </w:rPr>
              <w:t>47.09</w:t>
            </w:r>
          </w:p>
        </w:tc>
        <w:tc>
          <w:tcPr>
            <w:tcW w:w="2866" w:type="dxa"/>
            <w:gridSpan w:val="3"/>
            <w:tcBorders>
              <w:right w:val="single" w:color="000000" w:sz="4" w:space="0"/>
            </w:tcBorders>
            <w:vAlign w:val="top"/>
          </w:tcPr>
          <w:p>
            <w:pPr>
              <w:spacing w:before="181" w:line="259" w:lineRule="exact"/>
              <w:ind w:left="1218"/>
              <w:rPr>
                <w:rFonts w:ascii="宋体" w:hAnsi="宋体" w:eastAsia="宋体" w:cs="宋体"/>
                <w:sz w:val="18"/>
                <w:szCs w:val="18"/>
              </w:rPr>
            </w:pPr>
            <w:r>
              <w:rPr>
                <w:rFonts w:ascii="宋体" w:hAnsi="宋体" w:eastAsia="宋体" w:cs="宋体"/>
                <w:spacing w:val="-12"/>
                <w:position w:val="2"/>
                <w:sz w:val="18"/>
                <w:szCs w:val="18"/>
              </w:rPr>
              <w:t>28.47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6" w:hRule="atLeast"/>
        </w:trPr>
        <w:tc>
          <w:tcPr>
            <w:tcW w:w="1112" w:type="dxa"/>
            <w:vMerge w:val="restart"/>
            <w:tcBorders>
              <w:left w:val="single" w:color="000000" w:sz="4" w:space="0"/>
              <w:bottom w:val="nil"/>
            </w:tcBorders>
            <w:vAlign w:val="top"/>
          </w:tcPr>
          <w:p>
            <w:pPr>
              <w:spacing w:before="127" w:line="210" w:lineRule="auto"/>
              <w:ind w:left="385"/>
              <w:rPr>
                <w:rFonts w:ascii="宋体" w:hAnsi="宋体" w:eastAsia="宋体" w:cs="宋体"/>
                <w:sz w:val="18"/>
                <w:szCs w:val="18"/>
              </w:rPr>
            </w:pPr>
            <w:r>
              <w:rPr>
                <w:rFonts w:ascii="宋体" w:hAnsi="宋体" w:eastAsia="宋体" w:cs="宋体"/>
                <w:spacing w:val="-3"/>
                <w:sz w:val="18"/>
                <w:szCs w:val="18"/>
              </w:rPr>
              <w:t>市政</w:t>
            </w:r>
          </w:p>
          <w:p>
            <w:pPr>
              <w:spacing w:before="125" w:line="212" w:lineRule="auto"/>
              <w:ind w:left="379"/>
              <w:rPr>
                <w:rFonts w:ascii="宋体" w:hAnsi="宋体" w:eastAsia="宋体" w:cs="宋体"/>
                <w:sz w:val="18"/>
                <w:szCs w:val="18"/>
              </w:rPr>
            </w:pPr>
            <w:r>
              <w:rPr>
                <w:rFonts w:ascii="宋体" w:hAnsi="宋体" w:eastAsia="宋体" w:cs="宋体"/>
                <w:spacing w:val="-2"/>
                <w:sz w:val="18"/>
                <w:szCs w:val="18"/>
              </w:rPr>
              <w:t>养护</w:t>
            </w:r>
          </w:p>
          <w:p>
            <w:pPr>
              <w:spacing w:before="124" w:line="212" w:lineRule="auto"/>
              <w:ind w:left="382"/>
              <w:rPr>
                <w:rFonts w:ascii="宋体" w:hAnsi="宋体" w:eastAsia="宋体" w:cs="宋体"/>
                <w:sz w:val="18"/>
                <w:szCs w:val="18"/>
              </w:rPr>
            </w:pPr>
            <w:r>
              <w:rPr>
                <w:rFonts w:ascii="宋体" w:hAnsi="宋体" w:eastAsia="宋体" w:cs="宋体"/>
                <w:spacing w:val="-3"/>
                <w:sz w:val="18"/>
                <w:szCs w:val="18"/>
              </w:rPr>
              <w:t>维修</w:t>
            </w:r>
          </w:p>
          <w:p>
            <w:pPr>
              <w:spacing w:before="119" w:line="202" w:lineRule="auto"/>
              <w:ind w:left="382"/>
              <w:rPr>
                <w:rFonts w:ascii="宋体" w:hAnsi="宋体" w:eastAsia="宋体" w:cs="宋体"/>
                <w:sz w:val="18"/>
                <w:szCs w:val="18"/>
              </w:rPr>
            </w:pPr>
            <w:r>
              <w:rPr>
                <w:rFonts w:ascii="宋体" w:hAnsi="宋体" w:eastAsia="宋体" w:cs="宋体"/>
                <w:spacing w:val="-3"/>
                <w:sz w:val="18"/>
                <w:szCs w:val="18"/>
              </w:rPr>
              <w:t>工程</w:t>
            </w:r>
          </w:p>
        </w:tc>
        <w:tc>
          <w:tcPr>
            <w:tcW w:w="2254" w:type="dxa"/>
            <w:vAlign w:val="top"/>
          </w:tcPr>
          <w:p>
            <w:pPr>
              <w:spacing w:before="139" w:line="265" w:lineRule="auto"/>
              <w:ind w:left="406" w:right="363" w:hanging="90"/>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2847" w:type="dxa"/>
            <w:gridSpan w:val="3"/>
            <w:vAlign w:val="top"/>
          </w:tcPr>
          <w:p>
            <w:pPr>
              <w:spacing w:before="259" w:line="259" w:lineRule="exact"/>
              <w:ind w:left="1234"/>
              <w:rPr>
                <w:rFonts w:ascii="宋体" w:hAnsi="宋体" w:eastAsia="宋体" w:cs="宋体"/>
                <w:sz w:val="18"/>
                <w:szCs w:val="18"/>
              </w:rPr>
            </w:pPr>
            <w:r>
              <w:rPr>
                <w:rFonts w:ascii="宋体" w:hAnsi="宋体" w:eastAsia="宋体" w:cs="宋体"/>
                <w:spacing w:val="-16"/>
                <w:position w:val="1"/>
                <w:sz w:val="18"/>
                <w:szCs w:val="18"/>
              </w:rPr>
              <w:t>18.92</w:t>
            </w:r>
          </w:p>
        </w:tc>
        <w:tc>
          <w:tcPr>
            <w:tcW w:w="2866" w:type="dxa"/>
            <w:gridSpan w:val="3"/>
            <w:tcBorders>
              <w:right w:val="single" w:color="000000" w:sz="4" w:space="0"/>
            </w:tcBorders>
            <w:vAlign w:val="top"/>
          </w:tcPr>
          <w:p>
            <w:pPr>
              <w:spacing w:before="259" w:line="259" w:lineRule="exact"/>
              <w:ind w:left="1243"/>
              <w:rPr>
                <w:rFonts w:ascii="宋体" w:hAnsi="宋体" w:eastAsia="宋体" w:cs="宋体"/>
                <w:sz w:val="18"/>
                <w:szCs w:val="18"/>
              </w:rPr>
            </w:pPr>
            <w:r>
              <w:rPr>
                <w:rFonts w:ascii="宋体" w:hAnsi="宋体" w:eastAsia="宋体" w:cs="宋体"/>
                <w:spacing w:val="-16"/>
                <w:position w:val="1"/>
                <w:sz w:val="18"/>
                <w:szCs w:val="18"/>
              </w:rPr>
              <w:t>11.28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5"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34" w:line="267" w:lineRule="auto"/>
              <w:ind w:left="407" w:right="363" w:hanging="83"/>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2847" w:type="dxa"/>
            <w:gridSpan w:val="3"/>
            <w:vAlign w:val="top"/>
          </w:tcPr>
          <w:p>
            <w:pPr>
              <w:spacing w:before="260" w:line="259" w:lineRule="exact"/>
              <w:ind w:left="1209"/>
              <w:rPr>
                <w:rFonts w:ascii="宋体" w:hAnsi="宋体" w:eastAsia="宋体" w:cs="宋体"/>
                <w:sz w:val="18"/>
                <w:szCs w:val="18"/>
              </w:rPr>
            </w:pPr>
            <w:r>
              <w:rPr>
                <w:rFonts w:ascii="宋体" w:hAnsi="宋体" w:eastAsia="宋体" w:cs="宋体"/>
                <w:spacing w:val="-12"/>
                <w:position w:val="2"/>
                <w:sz w:val="18"/>
                <w:szCs w:val="18"/>
              </w:rPr>
              <w:t>23.64</w:t>
            </w:r>
          </w:p>
        </w:tc>
        <w:tc>
          <w:tcPr>
            <w:tcW w:w="2866" w:type="dxa"/>
            <w:gridSpan w:val="3"/>
            <w:tcBorders>
              <w:right w:val="single" w:color="000000" w:sz="4" w:space="0"/>
            </w:tcBorders>
            <w:vAlign w:val="top"/>
          </w:tcPr>
          <w:p>
            <w:pPr>
              <w:spacing w:before="260" w:line="259" w:lineRule="exact"/>
              <w:ind w:left="1243"/>
              <w:rPr>
                <w:rFonts w:ascii="宋体" w:hAnsi="宋体" w:eastAsia="宋体" w:cs="宋体"/>
                <w:sz w:val="18"/>
                <w:szCs w:val="18"/>
              </w:rPr>
            </w:pPr>
            <w:r>
              <w:rPr>
                <w:rFonts w:ascii="宋体" w:hAnsi="宋体" w:eastAsia="宋体" w:cs="宋体"/>
                <w:spacing w:val="-16"/>
                <w:position w:val="1"/>
                <w:sz w:val="18"/>
                <w:szCs w:val="18"/>
              </w:rPr>
              <w:t>14.10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9" w:hRule="atLeast"/>
        </w:trPr>
        <w:tc>
          <w:tcPr>
            <w:tcW w:w="3366" w:type="dxa"/>
            <w:gridSpan w:val="2"/>
            <w:tcBorders>
              <w:left w:val="single" w:color="000000" w:sz="4" w:space="0"/>
              <w:bottom w:val="single" w:color="000000" w:sz="4" w:space="0"/>
            </w:tcBorders>
            <w:vAlign w:val="top"/>
          </w:tcPr>
          <w:p>
            <w:pPr>
              <w:spacing w:before="202" w:line="215" w:lineRule="auto"/>
              <w:ind w:left="1148"/>
              <w:rPr>
                <w:rFonts w:ascii="宋体" w:hAnsi="宋体" w:eastAsia="宋体" w:cs="宋体"/>
                <w:sz w:val="18"/>
                <w:szCs w:val="18"/>
              </w:rPr>
            </w:pPr>
            <w:r>
              <w:rPr>
                <w:rFonts w:ascii="宋体" w:hAnsi="宋体" w:eastAsia="宋体" w:cs="宋体"/>
                <w:spacing w:val="-4"/>
                <w:sz w:val="18"/>
                <w:szCs w:val="18"/>
              </w:rPr>
              <w:t>仿古建筑工程</w:t>
            </w:r>
          </w:p>
        </w:tc>
        <w:tc>
          <w:tcPr>
            <w:tcW w:w="2847" w:type="dxa"/>
            <w:gridSpan w:val="3"/>
            <w:tcBorders>
              <w:bottom w:val="single" w:color="000000" w:sz="4" w:space="0"/>
            </w:tcBorders>
            <w:vAlign w:val="top"/>
          </w:tcPr>
          <w:p>
            <w:pPr>
              <w:spacing w:before="190" w:line="259" w:lineRule="exact"/>
              <w:ind w:left="1212"/>
              <w:rPr>
                <w:rFonts w:ascii="宋体" w:hAnsi="宋体" w:eastAsia="宋体" w:cs="宋体"/>
                <w:sz w:val="18"/>
                <w:szCs w:val="18"/>
              </w:rPr>
            </w:pPr>
            <w:r>
              <w:rPr>
                <w:rFonts w:ascii="宋体" w:hAnsi="宋体" w:eastAsia="宋体" w:cs="宋体"/>
                <w:spacing w:val="-13"/>
                <w:position w:val="1"/>
                <w:sz w:val="18"/>
                <w:szCs w:val="18"/>
              </w:rPr>
              <w:t>30.16</w:t>
            </w:r>
          </w:p>
        </w:tc>
        <w:tc>
          <w:tcPr>
            <w:tcW w:w="2866" w:type="dxa"/>
            <w:gridSpan w:val="3"/>
            <w:tcBorders>
              <w:bottom w:val="single" w:color="000000" w:sz="4" w:space="0"/>
              <w:right w:val="single" w:color="000000" w:sz="4" w:space="0"/>
            </w:tcBorders>
            <w:vAlign w:val="top"/>
          </w:tcPr>
          <w:p>
            <w:pPr>
              <w:spacing w:before="190" w:line="259" w:lineRule="exact"/>
              <w:ind w:left="1243"/>
              <w:rPr>
                <w:rFonts w:ascii="宋体" w:hAnsi="宋体" w:eastAsia="宋体" w:cs="宋体"/>
                <w:sz w:val="18"/>
                <w:szCs w:val="18"/>
              </w:rPr>
            </w:pPr>
            <w:r>
              <w:rPr>
                <w:rFonts w:ascii="宋体" w:hAnsi="宋体" w:eastAsia="宋体" w:cs="宋体"/>
                <w:spacing w:val="-16"/>
                <w:position w:val="1"/>
                <w:sz w:val="18"/>
                <w:szCs w:val="18"/>
              </w:rPr>
              <w:t>13.13</w:t>
            </w:r>
          </w:p>
        </w:tc>
      </w:tr>
    </w:tbl>
    <w:p>
      <w:pPr>
        <w:rPr>
          <w:rFonts w:ascii="Arial"/>
          <w:sz w:val="21"/>
        </w:rPr>
      </w:pPr>
    </w:p>
    <w:p>
      <w:pPr>
        <w:rPr>
          <w:rFonts w:ascii="Arial" w:hAnsi="Arial" w:eastAsia="Arial" w:cs="Arial"/>
          <w:sz w:val="21"/>
          <w:szCs w:val="21"/>
        </w:rPr>
        <w:sectPr>
          <w:footerReference r:id="rId78" w:type="default"/>
          <w:pgSz w:w="11905" w:h="16840"/>
          <w:pgMar w:top="400" w:right="1398" w:bottom="1213" w:left="1416" w:header="0" w:footer="898" w:gutter="0"/>
        </w:sect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2"/>
        <w:spacing w:before="103" w:line="201" w:lineRule="auto"/>
        <w:ind w:left="484"/>
        <w:rPr>
          <w:sz w:val="24"/>
          <w:szCs w:val="24"/>
        </w:rPr>
      </w:pPr>
      <w:r>
        <w:rPr>
          <w:spacing w:val="-7"/>
          <w:sz w:val="24"/>
          <w:szCs w:val="24"/>
        </w:rPr>
        <w:t>三、其他项目费</w:t>
      </w:r>
    </w:p>
    <w:p>
      <w:pPr>
        <w:spacing w:before="149" w:line="214" w:lineRule="auto"/>
        <w:ind w:left="409"/>
        <w:rPr>
          <w:rFonts w:ascii="KaiTi_GB2312" w:hAnsi="KaiTi_GB2312" w:eastAsia="KaiTi_GB2312" w:cs="KaiTi_GB2312"/>
          <w:sz w:val="24"/>
          <w:szCs w:val="24"/>
        </w:rPr>
      </w:pPr>
      <w:r>
        <w:rPr>
          <w:rFonts w:ascii="KaiTi_GB2312" w:hAnsi="KaiTi_GB2312" w:eastAsia="KaiTi_GB2312" w:cs="KaiTi_GB2312"/>
          <w:spacing w:val="9"/>
          <w:sz w:val="24"/>
          <w:szCs w:val="24"/>
        </w:rPr>
        <w:t>（</w:t>
      </w:r>
      <w:r>
        <w:rPr>
          <w:rFonts w:ascii="KaiTi_GB2312" w:hAnsi="KaiTi_GB2312" w:eastAsia="KaiTi_GB2312" w:cs="KaiTi_GB2312"/>
          <w:spacing w:val="-44"/>
          <w:sz w:val="24"/>
          <w:szCs w:val="24"/>
        </w:rPr>
        <w:t xml:space="preserve"> </w:t>
      </w:r>
      <w:r>
        <w:rPr>
          <w:rFonts w:ascii="KaiTi_GB2312" w:hAnsi="KaiTi_GB2312" w:eastAsia="KaiTi_GB2312" w:cs="KaiTi_GB2312"/>
          <w:spacing w:val="9"/>
          <w:sz w:val="24"/>
          <w:szCs w:val="24"/>
        </w:rPr>
        <w:t>一）建设项目工伤保险、优质优价费</w:t>
      </w:r>
    </w:p>
    <w:p>
      <w:pPr>
        <w:spacing w:line="377" w:lineRule="auto"/>
        <w:rPr>
          <w:rFonts w:ascii="Arial"/>
          <w:sz w:val="21"/>
        </w:rPr>
      </w:pPr>
    </w:p>
    <w:p>
      <w:pPr>
        <w:spacing w:before="65" w:line="278" w:lineRule="exact"/>
        <w:ind w:left="465"/>
        <w:rPr>
          <w:rFonts w:ascii="宋体" w:hAnsi="宋体" w:eastAsia="宋体" w:cs="宋体"/>
          <w:sz w:val="20"/>
          <w:szCs w:val="20"/>
        </w:rPr>
      </w:pPr>
      <w:r>
        <w:rPr>
          <w:rFonts w:ascii="宋体" w:hAnsi="宋体" w:eastAsia="宋体" w:cs="宋体"/>
          <w:spacing w:val="14"/>
          <w:position w:val="1"/>
          <w:sz w:val="20"/>
          <w:szCs w:val="20"/>
        </w:rPr>
        <w:t>1.一般计税法（单位：</w:t>
      </w:r>
      <w:r>
        <w:rPr>
          <w:rFonts w:ascii="宋体" w:hAnsi="宋体" w:eastAsia="宋体" w:cs="宋体"/>
          <w:spacing w:val="-46"/>
          <w:position w:val="1"/>
          <w:sz w:val="20"/>
          <w:szCs w:val="20"/>
        </w:rPr>
        <w:t xml:space="preserve"> </w:t>
      </w:r>
      <w:r>
        <w:rPr>
          <w:rFonts w:ascii="宋体" w:hAnsi="宋体" w:eastAsia="宋体" w:cs="宋体"/>
          <w:spacing w:val="14"/>
          <w:position w:val="1"/>
          <w:sz w:val="20"/>
          <w:szCs w:val="20"/>
        </w:rPr>
        <w:t>%）</w:t>
      </w:r>
    </w:p>
    <w:p>
      <w:pPr>
        <w:spacing w:line="76" w:lineRule="auto"/>
        <w:rPr>
          <w:rFonts w:ascii="Arial"/>
          <w:sz w:val="2"/>
        </w:rPr>
      </w:pPr>
    </w:p>
    <w:tbl>
      <w:tblPr>
        <w:tblStyle w:val="5"/>
        <w:tblW w:w="9053"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5"/>
        <w:gridCol w:w="1141"/>
        <w:gridCol w:w="644"/>
        <w:gridCol w:w="643"/>
        <w:gridCol w:w="645"/>
        <w:gridCol w:w="673"/>
        <w:gridCol w:w="666"/>
        <w:gridCol w:w="799"/>
        <w:gridCol w:w="680"/>
        <w:gridCol w:w="676"/>
        <w:gridCol w:w="678"/>
        <w:gridCol w:w="6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256" w:type="dxa"/>
            <w:gridSpan w:val="2"/>
            <w:vMerge w:val="restart"/>
            <w:tcBorders>
              <w:top w:val="single" w:color="000000" w:sz="4" w:space="0"/>
              <w:left w:val="single" w:color="000000" w:sz="4" w:space="0"/>
              <w:bottom w:val="nil"/>
            </w:tcBorders>
            <w:vAlign w:val="top"/>
          </w:tcPr>
          <w:p>
            <w:pPr>
              <w:spacing w:before="230" w:line="214" w:lineRule="auto"/>
              <w:ind w:left="134" w:right="405" w:firstLine="1004"/>
              <w:rPr>
                <w:rFonts w:ascii="微软雅黑" w:hAnsi="微软雅黑" w:eastAsia="微软雅黑" w:cs="微软雅黑"/>
                <w:sz w:val="18"/>
                <w:szCs w:val="18"/>
              </w:rPr>
            </w:pPr>
            <w:r>
              <w:drawing>
                <wp:anchor distT="0" distB="0" distL="0" distR="0" simplePos="0" relativeHeight="253919232" behindDoc="1" locked="0" layoutInCell="1" allowOverlap="1">
                  <wp:simplePos x="0" y="0"/>
                  <wp:positionH relativeFrom="column">
                    <wp:posOffset>1270</wp:posOffset>
                  </wp:positionH>
                  <wp:positionV relativeFrom="paragraph">
                    <wp:posOffset>-1905</wp:posOffset>
                  </wp:positionV>
                  <wp:extent cx="1427480" cy="539115"/>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368"/>
                          <a:stretch>
                            <a:fillRect/>
                          </a:stretch>
                        </pic:blipFill>
                        <pic:spPr>
                          <a:xfrm>
                            <a:off x="0" y="0"/>
                            <a:ext cx="1427607" cy="539267"/>
                          </a:xfrm>
                          <a:prstGeom prst="rect">
                            <a:avLst/>
                          </a:prstGeom>
                        </pic:spPr>
                      </pic:pic>
                    </a:graphicData>
                  </a:graphic>
                </wp:anchor>
              </w:drawing>
            </w:r>
            <w:r>
              <w:rPr>
                <w:rFonts w:ascii="微软雅黑" w:hAnsi="微软雅黑" w:eastAsia="微软雅黑" w:cs="微软雅黑"/>
                <w:spacing w:val="-4"/>
                <w:sz w:val="18"/>
                <w:szCs w:val="18"/>
              </w:rPr>
              <w:t>专业名称</w:t>
            </w:r>
            <w:r>
              <w:rPr>
                <w:rFonts w:ascii="微软雅黑" w:hAnsi="微软雅黑" w:eastAsia="微软雅黑" w:cs="微软雅黑"/>
                <w:spacing w:val="-4"/>
                <w:w w:val="97"/>
                <w:sz w:val="18"/>
                <w:szCs w:val="18"/>
              </w:rPr>
              <w:t>费用名称</w:t>
            </w:r>
          </w:p>
        </w:tc>
        <w:tc>
          <w:tcPr>
            <w:tcW w:w="644" w:type="dxa"/>
            <w:vMerge w:val="restart"/>
            <w:tcBorders>
              <w:top w:val="single" w:color="000000" w:sz="4" w:space="0"/>
              <w:bottom w:val="nil"/>
            </w:tcBorders>
            <w:vAlign w:val="top"/>
          </w:tcPr>
          <w:p>
            <w:pPr>
              <w:pStyle w:val="6"/>
              <w:spacing w:line="275" w:lineRule="auto"/>
            </w:pPr>
          </w:p>
          <w:p>
            <w:pPr>
              <w:spacing w:before="77" w:line="203" w:lineRule="auto"/>
              <w:ind w:left="151"/>
              <w:rPr>
                <w:rFonts w:ascii="微软雅黑" w:hAnsi="微软雅黑" w:eastAsia="微软雅黑" w:cs="微软雅黑"/>
                <w:sz w:val="18"/>
                <w:szCs w:val="18"/>
              </w:rPr>
            </w:pPr>
            <w:r>
              <w:rPr>
                <w:rFonts w:ascii="微软雅黑" w:hAnsi="微软雅黑" w:eastAsia="微软雅黑" w:cs="微软雅黑"/>
                <w:spacing w:val="-4"/>
                <w:sz w:val="18"/>
                <w:szCs w:val="18"/>
              </w:rPr>
              <w:t>建筑</w:t>
            </w:r>
          </w:p>
        </w:tc>
        <w:tc>
          <w:tcPr>
            <w:tcW w:w="643" w:type="dxa"/>
            <w:vMerge w:val="restart"/>
            <w:tcBorders>
              <w:top w:val="single" w:color="000000" w:sz="4" w:space="0"/>
              <w:bottom w:val="nil"/>
            </w:tcBorders>
            <w:vAlign w:val="top"/>
          </w:tcPr>
          <w:p>
            <w:pPr>
              <w:pStyle w:val="6"/>
              <w:spacing w:line="275" w:lineRule="auto"/>
            </w:pPr>
          </w:p>
          <w:p>
            <w:pPr>
              <w:spacing w:before="78" w:line="202" w:lineRule="auto"/>
              <w:ind w:left="149"/>
              <w:rPr>
                <w:rFonts w:ascii="微软雅黑" w:hAnsi="微软雅黑" w:eastAsia="微软雅黑" w:cs="微软雅黑"/>
                <w:sz w:val="18"/>
                <w:szCs w:val="18"/>
              </w:rPr>
            </w:pPr>
            <w:r>
              <w:rPr>
                <w:rFonts w:ascii="微软雅黑" w:hAnsi="微软雅黑" w:eastAsia="微软雅黑" w:cs="微软雅黑"/>
                <w:spacing w:val="-3"/>
                <w:sz w:val="18"/>
                <w:szCs w:val="18"/>
              </w:rPr>
              <w:t>装饰</w:t>
            </w:r>
          </w:p>
        </w:tc>
        <w:tc>
          <w:tcPr>
            <w:tcW w:w="645" w:type="dxa"/>
            <w:vMerge w:val="restart"/>
            <w:tcBorders>
              <w:top w:val="single" w:color="000000" w:sz="4" w:space="0"/>
              <w:bottom w:val="nil"/>
            </w:tcBorders>
            <w:vAlign w:val="top"/>
          </w:tcPr>
          <w:p>
            <w:pPr>
              <w:pStyle w:val="6"/>
              <w:spacing w:line="275" w:lineRule="auto"/>
            </w:pPr>
          </w:p>
          <w:p>
            <w:pPr>
              <w:spacing w:before="78" w:line="202" w:lineRule="auto"/>
              <w:ind w:left="159"/>
              <w:rPr>
                <w:rFonts w:ascii="微软雅黑" w:hAnsi="微软雅黑" w:eastAsia="微软雅黑" w:cs="微软雅黑"/>
                <w:sz w:val="18"/>
                <w:szCs w:val="18"/>
              </w:rPr>
            </w:pPr>
            <w:r>
              <w:rPr>
                <w:rFonts w:ascii="微软雅黑" w:hAnsi="微软雅黑" w:eastAsia="微软雅黑" w:cs="微软雅黑"/>
                <w:spacing w:val="-5"/>
                <w:w w:val="99"/>
                <w:sz w:val="18"/>
                <w:szCs w:val="18"/>
              </w:rPr>
              <w:t>安装</w:t>
            </w:r>
          </w:p>
        </w:tc>
        <w:tc>
          <w:tcPr>
            <w:tcW w:w="1339" w:type="dxa"/>
            <w:gridSpan w:val="2"/>
            <w:tcBorders>
              <w:top w:val="single" w:color="000000" w:sz="4" w:space="0"/>
            </w:tcBorders>
            <w:vAlign w:val="top"/>
          </w:tcPr>
          <w:p>
            <w:pPr>
              <w:spacing w:before="128" w:line="202" w:lineRule="auto"/>
              <w:ind w:left="318"/>
              <w:rPr>
                <w:rFonts w:ascii="微软雅黑" w:hAnsi="微软雅黑" w:eastAsia="微软雅黑" w:cs="微软雅黑"/>
                <w:sz w:val="18"/>
                <w:szCs w:val="18"/>
              </w:rPr>
            </w:pPr>
            <w:r>
              <w:rPr>
                <w:rFonts w:ascii="微软雅黑" w:hAnsi="微软雅黑" w:eastAsia="微软雅黑" w:cs="微软雅黑"/>
                <w:spacing w:val="-3"/>
                <w:sz w:val="18"/>
                <w:szCs w:val="18"/>
              </w:rPr>
              <w:t>房屋修缮</w:t>
            </w:r>
          </w:p>
        </w:tc>
        <w:tc>
          <w:tcPr>
            <w:tcW w:w="799" w:type="dxa"/>
            <w:vMerge w:val="restart"/>
            <w:tcBorders>
              <w:top w:val="single" w:color="000000" w:sz="4" w:space="0"/>
              <w:bottom w:val="nil"/>
            </w:tcBorders>
            <w:vAlign w:val="top"/>
          </w:tcPr>
          <w:p>
            <w:pPr>
              <w:spacing w:before="228" w:line="215" w:lineRule="auto"/>
              <w:ind w:left="232" w:right="116" w:hanging="78"/>
              <w:rPr>
                <w:rFonts w:ascii="微软雅黑" w:hAnsi="微软雅黑" w:eastAsia="微软雅黑" w:cs="微软雅黑"/>
                <w:sz w:val="18"/>
                <w:szCs w:val="18"/>
              </w:rPr>
            </w:pPr>
            <w:r>
              <w:rPr>
                <w:rFonts w:ascii="微软雅黑" w:hAnsi="微软雅黑" w:eastAsia="微软雅黑" w:cs="微软雅黑"/>
                <w:spacing w:val="-3"/>
                <w:w w:val="98"/>
                <w:sz w:val="18"/>
                <w:szCs w:val="18"/>
              </w:rPr>
              <w:t>古建筑</w:t>
            </w:r>
            <w:r>
              <w:rPr>
                <w:rFonts w:ascii="微软雅黑" w:hAnsi="微软雅黑" w:eastAsia="微软雅黑" w:cs="微软雅黑"/>
                <w:spacing w:val="-3"/>
                <w:sz w:val="18"/>
                <w:szCs w:val="18"/>
              </w:rPr>
              <w:t>修缮</w:t>
            </w:r>
          </w:p>
        </w:tc>
        <w:tc>
          <w:tcPr>
            <w:tcW w:w="680" w:type="dxa"/>
            <w:vMerge w:val="restart"/>
            <w:tcBorders>
              <w:top w:val="single" w:color="000000" w:sz="4" w:space="0"/>
              <w:bottom w:val="nil"/>
            </w:tcBorders>
            <w:vAlign w:val="top"/>
          </w:tcPr>
          <w:p>
            <w:pPr>
              <w:spacing w:before="230" w:line="215" w:lineRule="auto"/>
              <w:ind w:left="182" w:right="131" w:firstLine="23"/>
              <w:rPr>
                <w:rFonts w:ascii="微软雅黑" w:hAnsi="微软雅黑" w:eastAsia="微软雅黑" w:cs="微软雅黑"/>
                <w:sz w:val="18"/>
                <w:szCs w:val="18"/>
              </w:rPr>
            </w:pPr>
            <w:r>
              <w:rPr>
                <w:rFonts w:ascii="微软雅黑" w:hAnsi="微软雅黑" w:eastAsia="微软雅黑" w:cs="微软雅黑"/>
                <w:spacing w:val="-12"/>
                <w:sz w:val="18"/>
                <w:szCs w:val="18"/>
              </w:rPr>
              <w:t>园林</w:t>
            </w:r>
            <w:r>
              <w:rPr>
                <w:rFonts w:ascii="微软雅黑" w:hAnsi="微软雅黑" w:eastAsia="微软雅黑" w:cs="微软雅黑"/>
                <w:spacing w:val="-4"/>
                <w:sz w:val="18"/>
                <w:szCs w:val="18"/>
              </w:rPr>
              <w:t>绿化</w:t>
            </w:r>
          </w:p>
        </w:tc>
        <w:tc>
          <w:tcPr>
            <w:tcW w:w="676" w:type="dxa"/>
            <w:vMerge w:val="restart"/>
            <w:tcBorders>
              <w:top w:val="single" w:color="000000" w:sz="4" w:space="0"/>
              <w:bottom w:val="nil"/>
            </w:tcBorders>
            <w:vAlign w:val="top"/>
          </w:tcPr>
          <w:p>
            <w:pPr>
              <w:spacing w:before="229" w:line="215" w:lineRule="auto"/>
              <w:ind w:left="181" w:right="138" w:hanging="1"/>
              <w:rPr>
                <w:rFonts w:ascii="微软雅黑" w:hAnsi="微软雅黑" w:eastAsia="微软雅黑" w:cs="微软雅黑"/>
                <w:sz w:val="18"/>
                <w:szCs w:val="18"/>
              </w:rPr>
            </w:pPr>
            <w:r>
              <w:rPr>
                <w:rFonts w:ascii="微软雅黑" w:hAnsi="微软雅黑" w:eastAsia="微软雅黑" w:cs="微软雅黑"/>
                <w:spacing w:val="-4"/>
                <w:sz w:val="18"/>
                <w:szCs w:val="18"/>
              </w:rPr>
              <w:t>仿古</w:t>
            </w:r>
            <w:r>
              <w:rPr>
                <w:rFonts w:ascii="微软雅黑" w:hAnsi="微软雅黑" w:eastAsia="微软雅黑" w:cs="微软雅黑"/>
                <w:spacing w:val="-3"/>
                <w:w w:val="97"/>
                <w:sz w:val="18"/>
                <w:szCs w:val="18"/>
              </w:rPr>
              <w:t>建筑</w:t>
            </w:r>
          </w:p>
        </w:tc>
        <w:tc>
          <w:tcPr>
            <w:tcW w:w="678" w:type="dxa"/>
            <w:vMerge w:val="restart"/>
            <w:tcBorders>
              <w:top w:val="single" w:color="000000" w:sz="4" w:space="0"/>
              <w:bottom w:val="nil"/>
            </w:tcBorders>
            <w:vAlign w:val="top"/>
          </w:tcPr>
          <w:p>
            <w:pPr>
              <w:pStyle w:val="6"/>
              <w:spacing w:line="273" w:lineRule="auto"/>
            </w:pPr>
          </w:p>
          <w:p>
            <w:pPr>
              <w:spacing w:before="77" w:line="202" w:lineRule="auto"/>
              <w:ind w:left="191"/>
              <w:rPr>
                <w:rFonts w:ascii="微软雅黑" w:hAnsi="微软雅黑" w:eastAsia="微软雅黑" w:cs="微软雅黑"/>
                <w:sz w:val="18"/>
                <w:szCs w:val="18"/>
              </w:rPr>
            </w:pPr>
            <w:r>
              <w:rPr>
                <w:rFonts w:ascii="微软雅黑" w:hAnsi="微软雅黑" w:eastAsia="微软雅黑" w:cs="微软雅黑"/>
                <w:spacing w:val="-6"/>
                <w:sz w:val="18"/>
                <w:szCs w:val="18"/>
              </w:rPr>
              <w:t>市政</w:t>
            </w:r>
          </w:p>
        </w:tc>
        <w:tc>
          <w:tcPr>
            <w:tcW w:w="693" w:type="dxa"/>
            <w:vMerge w:val="restart"/>
            <w:tcBorders>
              <w:top w:val="single" w:color="000000" w:sz="4" w:space="0"/>
              <w:bottom w:val="nil"/>
              <w:right w:val="single" w:color="000000" w:sz="4" w:space="0"/>
            </w:tcBorders>
            <w:vAlign w:val="top"/>
          </w:tcPr>
          <w:p>
            <w:pPr>
              <w:spacing w:before="97" w:line="201" w:lineRule="auto"/>
              <w:ind w:left="192"/>
              <w:rPr>
                <w:rFonts w:ascii="微软雅黑" w:hAnsi="微软雅黑" w:eastAsia="微软雅黑" w:cs="微软雅黑"/>
                <w:sz w:val="18"/>
                <w:szCs w:val="18"/>
              </w:rPr>
            </w:pPr>
            <w:r>
              <w:rPr>
                <w:rFonts w:ascii="微软雅黑" w:hAnsi="微软雅黑" w:eastAsia="微软雅黑" w:cs="微软雅黑"/>
                <w:spacing w:val="-6"/>
                <w:sz w:val="18"/>
                <w:szCs w:val="18"/>
              </w:rPr>
              <w:t>市政</w:t>
            </w:r>
          </w:p>
          <w:p>
            <w:pPr>
              <w:spacing w:line="201" w:lineRule="auto"/>
              <w:ind w:left="186"/>
              <w:rPr>
                <w:rFonts w:ascii="微软雅黑" w:hAnsi="微软雅黑" w:eastAsia="微软雅黑" w:cs="微软雅黑"/>
                <w:sz w:val="18"/>
                <w:szCs w:val="18"/>
              </w:rPr>
            </w:pPr>
            <w:r>
              <w:rPr>
                <w:rFonts w:ascii="微软雅黑" w:hAnsi="微软雅黑" w:eastAsia="微软雅黑" w:cs="微软雅黑"/>
                <w:spacing w:val="-5"/>
                <w:sz w:val="18"/>
                <w:szCs w:val="18"/>
              </w:rPr>
              <w:t>养护</w:t>
            </w:r>
          </w:p>
          <w:p>
            <w:pPr>
              <w:spacing w:line="170" w:lineRule="auto"/>
              <w:ind w:left="187"/>
              <w:rPr>
                <w:rFonts w:ascii="微软雅黑" w:hAnsi="微软雅黑" w:eastAsia="微软雅黑" w:cs="微软雅黑"/>
                <w:sz w:val="18"/>
                <w:szCs w:val="18"/>
              </w:rPr>
            </w:pPr>
            <w:r>
              <w:rPr>
                <w:rFonts w:ascii="微软雅黑" w:hAnsi="微软雅黑" w:eastAsia="微软雅黑" w:cs="微软雅黑"/>
                <w:spacing w:val="-4"/>
                <w:sz w:val="18"/>
                <w:szCs w:val="18"/>
              </w:rPr>
              <w:t>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3" w:hRule="atLeast"/>
        </w:trPr>
        <w:tc>
          <w:tcPr>
            <w:tcW w:w="2256" w:type="dxa"/>
            <w:gridSpan w:val="2"/>
            <w:vMerge w:val="continue"/>
            <w:tcBorders>
              <w:top w:val="nil"/>
              <w:left w:val="single" w:color="000000" w:sz="4" w:space="0"/>
            </w:tcBorders>
            <w:vAlign w:val="top"/>
          </w:tcPr>
          <w:p>
            <w:pPr>
              <w:pStyle w:val="6"/>
            </w:pPr>
          </w:p>
        </w:tc>
        <w:tc>
          <w:tcPr>
            <w:tcW w:w="644" w:type="dxa"/>
            <w:vMerge w:val="continue"/>
            <w:tcBorders>
              <w:top w:val="nil"/>
            </w:tcBorders>
            <w:vAlign w:val="top"/>
          </w:tcPr>
          <w:p>
            <w:pPr>
              <w:pStyle w:val="6"/>
            </w:pPr>
          </w:p>
        </w:tc>
        <w:tc>
          <w:tcPr>
            <w:tcW w:w="643" w:type="dxa"/>
            <w:vMerge w:val="continue"/>
            <w:tcBorders>
              <w:top w:val="nil"/>
            </w:tcBorders>
            <w:vAlign w:val="top"/>
          </w:tcPr>
          <w:p>
            <w:pPr>
              <w:pStyle w:val="6"/>
            </w:pPr>
          </w:p>
        </w:tc>
        <w:tc>
          <w:tcPr>
            <w:tcW w:w="645" w:type="dxa"/>
            <w:vMerge w:val="continue"/>
            <w:tcBorders>
              <w:top w:val="nil"/>
            </w:tcBorders>
            <w:vAlign w:val="top"/>
          </w:tcPr>
          <w:p>
            <w:pPr>
              <w:pStyle w:val="6"/>
            </w:pPr>
          </w:p>
        </w:tc>
        <w:tc>
          <w:tcPr>
            <w:tcW w:w="673" w:type="dxa"/>
            <w:vAlign w:val="top"/>
          </w:tcPr>
          <w:p>
            <w:pPr>
              <w:spacing w:before="124" w:line="203" w:lineRule="auto"/>
              <w:ind w:left="170"/>
              <w:rPr>
                <w:rFonts w:ascii="微软雅黑" w:hAnsi="微软雅黑" w:eastAsia="微软雅黑" w:cs="微软雅黑"/>
                <w:sz w:val="18"/>
                <w:szCs w:val="18"/>
              </w:rPr>
            </w:pPr>
            <w:r>
              <w:rPr>
                <w:rFonts w:ascii="微软雅黑" w:hAnsi="微软雅黑" w:eastAsia="微软雅黑" w:cs="微软雅黑"/>
                <w:spacing w:val="-4"/>
                <w:sz w:val="18"/>
                <w:szCs w:val="18"/>
              </w:rPr>
              <w:t>建筑</w:t>
            </w:r>
          </w:p>
        </w:tc>
        <w:tc>
          <w:tcPr>
            <w:tcW w:w="666" w:type="dxa"/>
            <w:vAlign w:val="top"/>
          </w:tcPr>
          <w:p>
            <w:pPr>
              <w:spacing w:before="125" w:line="202" w:lineRule="auto"/>
              <w:ind w:left="173"/>
              <w:rPr>
                <w:rFonts w:ascii="微软雅黑" w:hAnsi="微软雅黑" w:eastAsia="微软雅黑" w:cs="微软雅黑"/>
                <w:sz w:val="18"/>
                <w:szCs w:val="18"/>
              </w:rPr>
            </w:pPr>
            <w:r>
              <w:rPr>
                <w:rFonts w:ascii="微软雅黑" w:hAnsi="微软雅黑" w:eastAsia="微软雅黑" w:cs="微软雅黑"/>
                <w:spacing w:val="-5"/>
                <w:w w:val="99"/>
                <w:sz w:val="18"/>
                <w:szCs w:val="18"/>
              </w:rPr>
              <w:t>安装</w:t>
            </w:r>
          </w:p>
        </w:tc>
        <w:tc>
          <w:tcPr>
            <w:tcW w:w="799" w:type="dxa"/>
            <w:vMerge w:val="continue"/>
            <w:tcBorders>
              <w:top w:val="nil"/>
            </w:tcBorders>
            <w:vAlign w:val="top"/>
          </w:tcPr>
          <w:p>
            <w:pPr>
              <w:pStyle w:val="6"/>
            </w:pPr>
          </w:p>
        </w:tc>
        <w:tc>
          <w:tcPr>
            <w:tcW w:w="680" w:type="dxa"/>
            <w:vMerge w:val="continue"/>
            <w:tcBorders>
              <w:top w:val="nil"/>
            </w:tcBorders>
            <w:vAlign w:val="top"/>
          </w:tcPr>
          <w:p>
            <w:pPr>
              <w:pStyle w:val="6"/>
            </w:pPr>
          </w:p>
        </w:tc>
        <w:tc>
          <w:tcPr>
            <w:tcW w:w="676" w:type="dxa"/>
            <w:vMerge w:val="continue"/>
            <w:tcBorders>
              <w:top w:val="nil"/>
            </w:tcBorders>
            <w:vAlign w:val="top"/>
          </w:tcPr>
          <w:p>
            <w:pPr>
              <w:pStyle w:val="6"/>
            </w:pPr>
          </w:p>
        </w:tc>
        <w:tc>
          <w:tcPr>
            <w:tcW w:w="678" w:type="dxa"/>
            <w:vMerge w:val="continue"/>
            <w:tcBorders>
              <w:top w:val="nil"/>
            </w:tcBorders>
            <w:vAlign w:val="top"/>
          </w:tcPr>
          <w:p>
            <w:pPr>
              <w:pStyle w:val="6"/>
            </w:pPr>
          </w:p>
        </w:tc>
        <w:tc>
          <w:tcPr>
            <w:tcW w:w="693"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2256" w:type="dxa"/>
            <w:gridSpan w:val="2"/>
            <w:tcBorders>
              <w:left w:val="single" w:color="000000" w:sz="4" w:space="0"/>
            </w:tcBorders>
            <w:vAlign w:val="top"/>
          </w:tcPr>
          <w:p>
            <w:pPr>
              <w:spacing w:before="156" w:line="242" w:lineRule="auto"/>
              <w:ind w:left="428"/>
              <w:rPr>
                <w:rFonts w:ascii="宋体" w:hAnsi="宋体" w:eastAsia="宋体" w:cs="宋体"/>
                <w:sz w:val="18"/>
                <w:szCs w:val="18"/>
              </w:rPr>
            </w:pPr>
            <w:r>
              <w:rPr>
                <w:rFonts w:ascii="宋体" w:hAnsi="宋体" w:eastAsia="宋体" w:cs="宋体"/>
                <w:spacing w:val="-8"/>
                <w:sz w:val="18"/>
                <w:szCs w:val="18"/>
              </w:rPr>
              <w:t>建设项目工伤保险</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98" w:line="260" w:lineRule="exact"/>
              <w:ind w:left="155"/>
              <w:rPr>
                <w:rFonts w:ascii="宋体" w:hAnsi="宋体" w:eastAsia="宋体" w:cs="宋体"/>
                <w:sz w:val="18"/>
                <w:szCs w:val="18"/>
              </w:rPr>
            </w:pPr>
            <w:r>
              <w:rPr>
                <w:rFonts w:ascii="宋体" w:hAnsi="宋体" w:eastAsia="宋体" w:cs="宋体"/>
                <w:spacing w:val="-12"/>
                <w:position w:val="2"/>
                <w:sz w:val="18"/>
                <w:szCs w:val="18"/>
              </w:rPr>
              <w:t>0.077</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98" w:line="260" w:lineRule="exact"/>
              <w:ind w:left="90"/>
              <w:rPr>
                <w:rFonts w:ascii="宋体" w:hAnsi="宋体" w:eastAsia="宋体" w:cs="宋体"/>
                <w:sz w:val="18"/>
                <w:szCs w:val="18"/>
              </w:rPr>
            </w:pPr>
            <w:r>
              <w:rPr>
                <w:rFonts w:ascii="宋体" w:hAnsi="宋体" w:eastAsia="宋体" w:cs="宋体"/>
                <w:spacing w:val="-12"/>
                <w:position w:val="2"/>
                <w:sz w:val="18"/>
                <w:szCs w:val="18"/>
              </w:rPr>
              <w:t>0.083</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115" w:type="dxa"/>
            <w:vMerge w:val="restart"/>
            <w:tcBorders>
              <w:left w:val="single" w:color="000000" w:sz="4" w:space="0"/>
              <w:bottom w:val="nil"/>
            </w:tcBorders>
            <w:vAlign w:val="top"/>
          </w:tcPr>
          <w:p>
            <w:pPr>
              <w:pStyle w:val="6"/>
              <w:spacing w:line="281" w:lineRule="auto"/>
            </w:pPr>
          </w:p>
          <w:p>
            <w:pPr>
              <w:pStyle w:val="6"/>
              <w:spacing w:line="281" w:lineRule="auto"/>
            </w:pPr>
          </w:p>
          <w:p>
            <w:pPr>
              <w:spacing w:before="59" w:line="211" w:lineRule="auto"/>
              <w:ind w:left="116"/>
              <w:rPr>
                <w:rFonts w:ascii="宋体" w:hAnsi="宋体" w:eastAsia="宋体" w:cs="宋体"/>
                <w:sz w:val="18"/>
                <w:szCs w:val="18"/>
              </w:rPr>
            </w:pPr>
            <w:r>
              <w:rPr>
                <w:rFonts w:ascii="宋体" w:hAnsi="宋体" w:eastAsia="宋体" w:cs="宋体"/>
                <w:spacing w:val="-6"/>
                <w:sz w:val="18"/>
                <w:szCs w:val="18"/>
              </w:rPr>
              <w:t>优质优价费</w:t>
            </w:r>
          </w:p>
        </w:tc>
        <w:tc>
          <w:tcPr>
            <w:tcW w:w="1141" w:type="dxa"/>
            <w:vAlign w:val="top"/>
          </w:tcPr>
          <w:p>
            <w:pPr>
              <w:spacing w:before="166" w:line="211" w:lineRule="auto"/>
              <w:ind w:left="337"/>
              <w:rPr>
                <w:rFonts w:ascii="宋体" w:hAnsi="宋体" w:eastAsia="宋体" w:cs="宋体"/>
                <w:sz w:val="18"/>
                <w:szCs w:val="18"/>
              </w:rPr>
            </w:pPr>
            <w:r>
              <w:rPr>
                <w:rFonts w:ascii="宋体" w:hAnsi="宋体" w:eastAsia="宋体" w:cs="宋体"/>
                <w:spacing w:val="-14"/>
                <w:sz w:val="18"/>
                <w:szCs w:val="18"/>
              </w:rPr>
              <w:t>国家级</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101" w:line="260" w:lineRule="exact"/>
              <w:ind w:left="220"/>
              <w:rPr>
                <w:rFonts w:ascii="宋体" w:hAnsi="宋体" w:eastAsia="宋体" w:cs="宋体"/>
                <w:sz w:val="18"/>
                <w:szCs w:val="18"/>
              </w:rPr>
            </w:pPr>
            <w:r>
              <w:rPr>
                <w:rFonts w:ascii="宋体" w:hAnsi="宋体" w:eastAsia="宋体" w:cs="宋体"/>
                <w:spacing w:val="-19"/>
                <w:position w:val="1"/>
                <w:sz w:val="18"/>
                <w:szCs w:val="18"/>
              </w:rPr>
              <w:t>1.61</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101" w:line="260" w:lineRule="exact"/>
              <w:ind w:left="156"/>
              <w:rPr>
                <w:rFonts w:ascii="宋体" w:hAnsi="宋体" w:eastAsia="宋体" w:cs="宋体"/>
                <w:sz w:val="18"/>
                <w:szCs w:val="18"/>
              </w:rPr>
            </w:pPr>
            <w:r>
              <w:rPr>
                <w:rFonts w:ascii="宋体" w:hAnsi="宋体" w:eastAsia="宋体" w:cs="宋体"/>
                <w:spacing w:val="-19"/>
                <w:position w:val="1"/>
                <w:sz w:val="18"/>
                <w:szCs w:val="18"/>
              </w:rPr>
              <w:t>1.64</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115" w:type="dxa"/>
            <w:vMerge w:val="continue"/>
            <w:tcBorders>
              <w:top w:val="nil"/>
              <w:left w:val="single" w:color="000000" w:sz="4" w:space="0"/>
              <w:bottom w:val="nil"/>
            </w:tcBorders>
            <w:vAlign w:val="top"/>
          </w:tcPr>
          <w:p>
            <w:pPr>
              <w:pStyle w:val="6"/>
            </w:pPr>
          </w:p>
        </w:tc>
        <w:tc>
          <w:tcPr>
            <w:tcW w:w="1141" w:type="dxa"/>
            <w:vAlign w:val="top"/>
          </w:tcPr>
          <w:p>
            <w:pPr>
              <w:spacing w:before="171" w:line="207" w:lineRule="auto"/>
              <w:ind w:left="306"/>
              <w:rPr>
                <w:rFonts w:ascii="宋体" w:hAnsi="宋体" w:eastAsia="宋体" w:cs="宋体"/>
                <w:sz w:val="18"/>
                <w:szCs w:val="18"/>
              </w:rPr>
            </w:pPr>
            <w:r>
              <w:rPr>
                <w:rFonts w:ascii="宋体" w:hAnsi="宋体" w:eastAsia="宋体" w:cs="宋体"/>
                <w:spacing w:val="-3"/>
                <w:sz w:val="18"/>
                <w:szCs w:val="18"/>
              </w:rPr>
              <w:t>省</w:t>
            </w:r>
            <w:r>
              <w:rPr>
                <w:rFonts w:ascii="宋体" w:hAnsi="宋体" w:eastAsia="宋体" w:cs="宋体"/>
                <w:spacing w:val="6"/>
                <w:sz w:val="18"/>
                <w:szCs w:val="18"/>
              </w:rPr>
              <w:t xml:space="preserve">  </w:t>
            </w:r>
            <w:r>
              <w:rPr>
                <w:rFonts w:ascii="宋体" w:hAnsi="宋体" w:eastAsia="宋体" w:cs="宋体"/>
                <w:spacing w:val="-3"/>
                <w:sz w:val="18"/>
                <w:szCs w:val="18"/>
              </w:rPr>
              <w:t>级</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101" w:line="260" w:lineRule="exact"/>
              <w:ind w:left="220"/>
              <w:rPr>
                <w:rFonts w:ascii="宋体" w:hAnsi="宋体" w:eastAsia="宋体" w:cs="宋体"/>
                <w:sz w:val="18"/>
                <w:szCs w:val="18"/>
              </w:rPr>
            </w:pPr>
            <w:r>
              <w:rPr>
                <w:rFonts w:ascii="宋体" w:hAnsi="宋体" w:eastAsia="宋体" w:cs="宋体"/>
                <w:spacing w:val="-19"/>
                <w:position w:val="1"/>
                <w:sz w:val="18"/>
                <w:szCs w:val="18"/>
              </w:rPr>
              <w:t>1.06</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101" w:line="260" w:lineRule="exact"/>
              <w:ind w:left="156"/>
              <w:rPr>
                <w:rFonts w:ascii="宋体" w:hAnsi="宋体" w:eastAsia="宋体" w:cs="宋体"/>
                <w:sz w:val="18"/>
                <w:szCs w:val="18"/>
              </w:rPr>
            </w:pPr>
            <w:r>
              <w:rPr>
                <w:rFonts w:ascii="宋体" w:hAnsi="宋体" w:eastAsia="宋体" w:cs="宋体"/>
                <w:spacing w:val="-19"/>
                <w:position w:val="1"/>
                <w:sz w:val="18"/>
                <w:szCs w:val="18"/>
              </w:rPr>
              <w:t>1.08</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115" w:type="dxa"/>
            <w:vMerge w:val="continue"/>
            <w:tcBorders>
              <w:top w:val="nil"/>
              <w:left w:val="single" w:color="000000" w:sz="4" w:space="0"/>
              <w:bottom w:val="single" w:color="000000" w:sz="4" w:space="0"/>
            </w:tcBorders>
            <w:vAlign w:val="top"/>
          </w:tcPr>
          <w:p>
            <w:pPr>
              <w:pStyle w:val="6"/>
            </w:pPr>
          </w:p>
        </w:tc>
        <w:tc>
          <w:tcPr>
            <w:tcW w:w="1141" w:type="dxa"/>
            <w:tcBorders>
              <w:bottom w:val="single" w:color="000000" w:sz="4" w:space="0"/>
            </w:tcBorders>
            <w:vAlign w:val="top"/>
          </w:tcPr>
          <w:p>
            <w:pPr>
              <w:spacing w:before="173" w:line="210" w:lineRule="auto"/>
              <w:ind w:left="308"/>
              <w:rPr>
                <w:rFonts w:ascii="宋体" w:hAnsi="宋体" w:eastAsia="宋体" w:cs="宋体"/>
                <w:sz w:val="18"/>
                <w:szCs w:val="18"/>
              </w:rPr>
            </w:pPr>
            <w:r>
              <w:rPr>
                <w:rFonts w:ascii="宋体" w:hAnsi="宋体" w:eastAsia="宋体" w:cs="宋体"/>
                <w:spacing w:val="-3"/>
                <w:sz w:val="18"/>
                <w:szCs w:val="18"/>
              </w:rPr>
              <w:t>市</w:t>
            </w:r>
            <w:r>
              <w:rPr>
                <w:rFonts w:ascii="宋体" w:hAnsi="宋体" w:eastAsia="宋体" w:cs="宋体"/>
                <w:spacing w:val="4"/>
                <w:sz w:val="18"/>
                <w:szCs w:val="18"/>
              </w:rPr>
              <w:t xml:space="preserve">  </w:t>
            </w:r>
            <w:r>
              <w:rPr>
                <w:rFonts w:ascii="宋体" w:hAnsi="宋体" w:eastAsia="宋体" w:cs="宋体"/>
                <w:spacing w:val="-3"/>
                <w:sz w:val="18"/>
                <w:szCs w:val="18"/>
              </w:rPr>
              <w:t>级</w:t>
            </w:r>
          </w:p>
        </w:tc>
        <w:tc>
          <w:tcPr>
            <w:tcW w:w="644" w:type="dxa"/>
            <w:tcBorders>
              <w:bottom w:val="single" w:color="000000" w:sz="4" w:space="0"/>
              <w:right w:val="nil"/>
            </w:tcBorders>
            <w:vAlign w:val="top"/>
          </w:tcPr>
          <w:p>
            <w:pPr>
              <w:pStyle w:val="6"/>
            </w:pPr>
          </w:p>
        </w:tc>
        <w:tc>
          <w:tcPr>
            <w:tcW w:w="643" w:type="dxa"/>
            <w:tcBorders>
              <w:left w:val="nil"/>
              <w:bottom w:val="single" w:color="000000" w:sz="4" w:space="0"/>
              <w:right w:val="nil"/>
            </w:tcBorders>
            <w:vAlign w:val="top"/>
          </w:tcPr>
          <w:p>
            <w:pPr>
              <w:pStyle w:val="6"/>
            </w:pPr>
          </w:p>
        </w:tc>
        <w:tc>
          <w:tcPr>
            <w:tcW w:w="645" w:type="dxa"/>
            <w:tcBorders>
              <w:left w:val="nil"/>
              <w:bottom w:val="single" w:color="000000" w:sz="4" w:space="0"/>
              <w:right w:val="nil"/>
            </w:tcBorders>
            <w:vAlign w:val="top"/>
          </w:tcPr>
          <w:p>
            <w:pPr>
              <w:spacing w:before="111" w:line="260" w:lineRule="exact"/>
              <w:ind w:left="198"/>
              <w:rPr>
                <w:rFonts w:ascii="宋体" w:hAnsi="宋体" w:eastAsia="宋体" w:cs="宋体"/>
                <w:sz w:val="18"/>
                <w:szCs w:val="18"/>
              </w:rPr>
            </w:pPr>
            <w:r>
              <w:rPr>
                <w:rFonts w:ascii="宋体" w:hAnsi="宋体" w:eastAsia="宋体" w:cs="宋体"/>
                <w:spacing w:val="-14"/>
                <w:position w:val="2"/>
                <w:sz w:val="18"/>
                <w:szCs w:val="18"/>
              </w:rPr>
              <w:t>0.86</w:t>
            </w:r>
          </w:p>
        </w:tc>
        <w:tc>
          <w:tcPr>
            <w:tcW w:w="673" w:type="dxa"/>
            <w:tcBorders>
              <w:left w:val="nil"/>
              <w:bottom w:val="single" w:color="000000" w:sz="4" w:space="0"/>
              <w:right w:val="nil"/>
            </w:tcBorders>
            <w:vAlign w:val="top"/>
          </w:tcPr>
          <w:p>
            <w:pPr>
              <w:pStyle w:val="6"/>
            </w:pPr>
          </w:p>
        </w:tc>
        <w:tc>
          <w:tcPr>
            <w:tcW w:w="666" w:type="dxa"/>
            <w:tcBorders>
              <w:left w:val="nil"/>
              <w:bottom w:val="single" w:color="000000" w:sz="4" w:space="0"/>
            </w:tcBorders>
            <w:vAlign w:val="top"/>
          </w:tcPr>
          <w:p>
            <w:pPr>
              <w:pStyle w:val="6"/>
            </w:pPr>
          </w:p>
        </w:tc>
        <w:tc>
          <w:tcPr>
            <w:tcW w:w="799" w:type="dxa"/>
            <w:tcBorders>
              <w:bottom w:val="single" w:color="000000" w:sz="4" w:space="0"/>
              <w:right w:val="nil"/>
            </w:tcBorders>
            <w:vAlign w:val="top"/>
          </w:tcPr>
          <w:p>
            <w:pPr>
              <w:pStyle w:val="6"/>
            </w:pPr>
          </w:p>
        </w:tc>
        <w:tc>
          <w:tcPr>
            <w:tcW w:w="680" w:type="dxa"/>
            <w:tcBorders>
              <w:left w:val="nil"/>
              <w:bottom w:val="single" w:color="000000" w:sz="4" w:space="0"/>
              <w:right w:val="nil"/>
            </w:tcBorders>
            <w:vAlign w:val="top"/>
          </w:tcPr>
          <w:p>
            <w:pPr>
              <w:pStyle w:val="6"/>
            </w:pPr>
          </w:p>
        </w:tc>
        <w:tc>
          <w:tcPr>
            <w:tcW w:w="676" w:type="dxa"/>
            <w:tcBorders>
              <w:left w:val="nil"/>
              <w:bottom w:val="single" w:color="000000" w:sz="4" w:space="0"/>
              <w:right w:val="nil"/>
            </w:tcBorders>
            <w:vAlign w:val="top"/>
          </w:tcPr>
          <w:p>
            <w:pPr>
              <w:spacing w:before="111" w:line="260" w:lineRule="exact"/>
              <w:ind w:left="133"/>
              <w:rPr>
                <w:rFonts w:ascii="宋体" w:hAnsi="宋体" w:eastAsia="宋体" w:cs="宋体"/>
                <w:sz w:val="18"/>
                <w:szCs w:val="18"/>
              </w:rPr>
            </w:pPr>
            <w:r>
              <w:rPr>
                <w:rFonts w:ascii="宋体" w:hAnsi="宋体" w:eastAsia="宋体" w:cs="宋体"/>
                <w:spacing w:val="-14"/>
                <w:position w:val="2"/>
                <w:sz w:val="18"/>
                <w:szCs w:val="18"/>
              </w:rPr>
              <w:t>0.86</w:t>
            </w:r>
          </w:p>
        </w:tc>
        <w:tc>
          <w:tcPr>
            <w:tcW w:w="678" w:type="dxa"/>
            <w:tcBorders>
              <w:left w:val="nil"/>
              <w:bottom w:val="single" w:color="000000" w:sz="4" w:space="0"/>
              <w:right w:val="nil"/>
            </w:tcBorders>
            <w:vAlign w:val="top"/>
          </w:tcPr>
          <w:p>
            <w:pPr>
              <w:pStyle w:val="6"/>
            </w:pPr>
          </w:p>
        </w:tc>
        <w:tc>
          <w:tcPr>
            <w:tcW w:w="693" w:type="dxa"/>
            <w:tcBorders>
              <w:left w:val="nil"/>
              <w:bottom w:val="single" w:color="000000" w:sz="4" w:space="0"/>
              <w:right w:val="single" w:color="000000" w:sz="4" w:space="0"/>
            </w:tcBorders>
            <w:vAlign w:val="top"/>
          </w:tcPr>
          <w:p>
            <w:pPr>
              <w:pStyle w:val="6"/>
            </w:pPr>
          </w:p>
        </w:tc>
      </w:tr>
    </w:tbl>
    <w:p>
      <w:pPr>
        <w:spacing w:before="54"/>
        <w:ind w:left="174"/>
        <w:rPr>
          <w:rFonts w:ascii="宋体" w:hAnsi="宋体" w:eastAsia="宋体" w:cs="宋体"/>
          <w:sz w:val="18"/>
          <w:szCs w:val="18"/>
        </w:rPr>
      </w:pPr>
      <w:r>
        <w:rPr>
          <w:rFonts w:ascii="宋体" w:hAnsi="宋体" w:eastAsia="宋体" w:cs="宋体"/>
          <w:spacing w:val="-2"/>
          <w:sz w:val="18"/>
          <w:szCs w:val="18"/>
        </w:rPr>
        <w:t>注：表中建设项目工伤保险费率依据鲁人社字〔2020</w:t>
      </w:r>
      <w:r>
        <w:rPr>
          <w:position w:val="-3"/>
          <w:sz w:val="18"/>
          <w:szCs w:val="18"/>
        </w:rPr>
        <w:drawing>
          <wp:inline distT="0" distB="0" distL="0" distR="0">
            <wp:extent cx="76200" cy="14605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369"/>
                    <a:stretch>
                      <a:fillRect/>
                    </a:stretch>
                  </pic:blipFill>
                  <pic:spPr>
                    <a:xfrm>
                      <a:off x="0" y="0"/>
                      <a:ext cx="76802" cy="146596"/>
                    </a:xfrm>
                    <a:prstGeom prst="rect">
                      <a:avLst/>
                    </a:prstGeom>
                  </pic:spPr>
                </pic:pic>
              </a:graphicData>
            </a:graphic>
          </wp:inline>
        </w:drawing>
      </w:r>
      <w:r>
        <w:rPr>
          <w:rFonts w:ascii="宋体" w:hAnsi="宋体" w:eastAsia="宋体" w:cs="宋体"/>
          <w:spacing w:val="-16"/>
          <w:sz w:val="18"/>
          <w:szCs w:val="18"/>
        </w:rPr>
        <w:t xml:space="preserve"> </w:t>
      </w:r>
      <w:r>
        <w:rPr>
          <w:rFonts w:ascii="宋体" w:hAnsi="宋体" w:eastAsia="宋体" w:cs="宋体"/>
          <w:spacing w:val="-2"/>
          <w:sz w:val="18"/>
          <w:szCs w:val="18"/>
        </w:rPr>
        <w:t>69</w:t>
      </w:r>
      <w:r>
        <w:rPr>
          <w:rFonts w:ascii="宋体" w:hAnsi="宋体" w:eastAsia="宋体" w:cs="宋体"/>
          <w:spacing w:val="-33"/>
          <w:sz w:val="18"/>
          <w:szCs w:val="18"/>
        </w:rPr>
        <w:t xml:space="preserve"> </w:t>
      </w:r>
      <w:r>
        <w:rPr>
          <w:rFonts w:ascii="宋体" w:hAnsi="宋体" w:eastAsia="宋体" w:cs="宋体"/>
          <w:spacing w:val="-2"/>
          <w:sz w:val="18"/>
          <w:szCs w:val="18"/>
        </w:rPr>
        <w:t>号、鲁人社函〔2025</w:t>
      </w:r>
      <w:r>
        <w:rPr>
          <w:position w:val="-3"/>
          <w:sz w:val="18"/>
          <w:szCs w:val="18"/>
        </w:rPr>
        <w:drawing>
          <wp:inline distT="0" distB="0" distL="0" distR="0">
            <wp:extent cx="76200" cy="14605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370"/>
                    <a:stretch>
                      <a:fillRect/>
                    </a:stretch>
                  </pic:blipFill>
                  <pic:spPr>
                    <a:xfrm>
                      <a:off x="0" y="0"/>
                      <a:ext cx="76802" cy="146596"/>
                    </a:xfrm>
                    <a:prstGeom prst="rect">
                      <a:avLst/>
                    </a:prstGeom>
                  </pic:spPr>
                </pic:pic>
              </a:graphicData>
            </a:graphic>
          </wp:inline>
        </w:drawing>
      </w:r>
      <w:r>
        <w:rPr>
          <w:rFonts w:ascii="宋体" w:hAnsi="宋体" w:eastAsia="宋体" w:cs="宋体"/>
          <w:spacing w:val="-31"/>
          <w:sz w:val="18"/>
          <w:szCs w:val="18"/>
        </w:rPr>
        <w:t xml:space="preserve"> </w:t>
      </w:r>
      <w:r>
        <w:rPr>
          <w:rFonts w:ascii="宋体" w:hAnsi="宋体" w:eastAsia="宋体" w:cs="宋体"/>
          <w:spacing w:val="-2"/>
          <w:sz w:val="18"/>
          <w:szCs w:val="18"/>
        </w:rPr>
        <w:t>5号相关规定确定。</w:t>
      </w:r>
    </w:p>
    <w:p>
      <w:pPr>
        <w:spacing w:line="383" w:lineRule="auto"/>
        <w:rPr>
          <w:rFonts w:ascii="Arial"/>
          <w:sz w:val="21"/>
        </w:rPr>
      </w:pPr>
    </w:p>
    <w:p>
      <w:pPr>
        <w:spacing w:before="65" w:line="273" w:lineRule="exact"/>
        <w:ind w:left="417"/>
        <w:rPr>
          <w:rFonts w:ascii="宋体" w:hAnsi="宋体" w:eastAsia="宋体" w:cs="宋体"/>
          <w:sz w:val="20"/>
          <w:szCs w:val="20"/>
        </w:rPr>
      </w:pPr>
      <w:r>
        <w:rPr>
          <w:rFonts w:ascii="宋体" w:hAnsi="宋体" w:eastAsia="宋体" w:cs="宋体"/>
          <w:spacing w:val="17"/>
          <w:position w:val="1"/>
          <w:sz w:val="20"/>
          <w:szCs w:val="20"/>
        </w:rPr>
        <w:t>2.简易计税法（单位：</w:t>
      </w:r>
      <w:r>
        <w:rPr>
          <w:rFonts w:ascii="宋体" w:hAnsi="宋体" w:eastAsia="宋体" w:cs="宋体"/>
          <w:spacing w:val="-49"/>
          <w:position w:val="1"/>
          <w:sz w:val="20"/>
          <w:szCs w:val="20"/>
        </w:rPr>
        <w:t xml:space="preserve"> </w:t>
      </w:r>
      <w:r>
        <w:rPr>
          <w:rFonts w:ascii="宋体" w:hAnsi="宋体" w:eastAsia="宋体" w:cs="宋体"/>
          <w:spacing w:val="17"/>
          <w:position w:val="1"/>
          <w:sz w:val="20"/>
          <w:szCs w:val="20"/>
        </w:rPr>
        <w:t>%）</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6"/>
        <w:gridCol w:w="1140"/>
        <w:gridCol w:w="649"/>
        <w:gridCol w:w="628"/>
        <w:gridCol w:w="656"/>
        <w:gridCol w:w="661"/>
        <w:gridCol w:w="673"/>
        <w:gridCol w:w="794"/>
        <w:gridCol w:w="681"/>
        <w:gridCol w:w="681"/>
        <w:gridCol w:w="681"/>
        <w:gridCol w:w="6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276" w:type="dxa"/>
            <w:gridSpan w:val="2"/>
            <w:vMerge w:val="restart"/>
            <w:tcBorders>
              <w:top w:val="single" w:color="000000" w:sz="4" w:space="0"/>
              <w:left w:val="single" w:color="000000" w:sz="4" w:space="0"/>
              <w:bottom w:val="nil"/>
            </w:tcBorders>
            <w:vAlign w:val="top"/>
          </w:tcPr>
          <w:p>
            <w:pPr>
              <w:spacing w:before="231" w:line="214" w:lineRule="auto"/>
              <w:ind w:left="135" w:right="416" w:firstLine="1011"/>
              <w:rPr>
                <w:rFonts w:ascii="微软雅黑" w:hAnsi="微软雅黑" w:eastAsia="微软雅黑" w:cs="微软雅黑"/>
                <w:sz w:val="18"/>
                <w:szCs w:val="18"/>
              </w:rPr>
            </w:pPr>
            <w:r>
              <w:drawing>
                <wp:anchor distT="0" distB="0" distL="0" distR="0" simplePos="0" relativeHeight="253918208" behindDoc="1" locked="0" layoutInCell="1" allowOverlap="1">
                  <wp:simplePos x="0" y="0"/>
                  <wp:positionH relativeFrom="column">
                    <wp:posOffset>-1905</wp:posOffset>
                  </wp:positionH>
                  <wp:positionV relativeFrom="paragraph">
                    <wp:posOffset>-635</wp:posOffset>
                  </wp:positionV>
                  <wp:extent cx="1443355" cy="542925"/>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371"/>
                          <a:stretch>
                            <a:fillRect/>
                          </a:stretch>
                        </pic:blipFill>
                        <pic:spPr>
                          <a:xfrm>
                            <a:off x="0" y="0"/>
                            <a:ext cx="1443482" cy="543077"/>
                          </a:xfrm>
                          <a:prstGeom prst="rect">
                            <a:avLst/>
                          </a:prstGeom>
                        </pic:spPr>
                      </pic:pic>
                    </a:graphicData>
                  </a:graphic>
                </wp:anchor>
              </w:drawing>
            </w:r>
            <w:r>
              <w:rPr>
                <w:rFonts w:ascii="微软雅黑" w:hAnsi="微软雅黑" w:eastAsia="微软雅黑" w:cs="微软雅黑"/>
                <w:spacing w:val="-4"/>
                <w:sz w:val="18"/>
                <w:szCs w:val="18"/>
              </w:rPr>
              <w:t>专业名称</w:t>
            </w:r>
            <w:r>
              <w:rPr>
                <w:rFonts w:ascii="微软雅黑" w:hAnsi="微软雅黑" w:eastAsia="微软雅黑" w:cs="微软雅黑"/>
                <w:spacing w:val="-4"/>
                <w:w w:val="97"/>
                <w:sz w:val="18"/>
                <w:szCs w:val="18"/>
              </w:rPr>
              <w:t>费用名称</w:t>
            </w:r>
          </w:p>
        </w:tc>
        <w:tc>
          <w:tcPr>
            <w:tcW w:w="649" w:type="dxa"/>
            <w:vMerge w:val="restart"/>
            <w:tcBorders>
              <w:top w:val="single" w:color="000000" w:sz="4" w:space="0"/>
              <w:bottom w:val="nil"/>
            </w:tcBorders>
            <w:vAlign w:val="top"/>
          </w:tcPr>
          <w:p>
            <w:pPr>
              <w:pStyle w:val="6"/>
              <w:spacing w:line="273" w:lineRule="auto"/>
            </w:pPr>
          </w:p>
          <w:p>
            <w:pPr>
              <w:spacing w:before="78" w:line="203" w:lineRule="auto"/>
              <w:ind w:left="153"/>
              <w:rPr>
                <w:rFonts w:ascii="微软雅黑" w:hAnsi="微软雅黑" w:eastAsia="微软雅黑" w:cs="微软雅黑"/>
                <w:sz w:val="18"/>
                <w:szCs w:val="18"/>
              </w:rPr>
            </w:pPr>
            <w:r>
              <w:rPr>
                <w:rFonts w:ascii="微软雅黑" w:hAnsi="微软雅黑" w:eastAsia="微软雅黑" w:cs="微软雅黑"/>
                <w:spacing w:val="-4"/>
                <w:sz w:val="18"/>
                <w:szCs w:val="18"/>
              </w:rPr>
              <w:t>建筑</w:t>
            </w:r>
          </w:p>
        </w:tc>
        <w:tc>
          <w:tcPr>
            <w:tcW w:w="628" w:type="dxa"/>
            <w:vMerge w:val="restart"/>
            <w:tcBorders>
              <w:top w:val="single" w:color="000000" w:sz="4" w:space="0"/>
              <w:bottom w:val="nil"/>
            </w:tcBorders>
            <w:vAlign w:val="top"/>
          </w:tcPr>
          <w:p>
            <w:pPr>
              <w:pStyle w:val="6"/>
              <w:spacing w:line="274" w:lineRule="auto"/>
            </w:pPr>
          </w:p>
          <w:p>
            <w:pPr>
              <w:spacing w:before="77" w:line="202" w:lineRule="auto"/>
              <w:ind w:left="141"/>
              <w:rPr>
                <w:rFonts w:ascii="微软雅黑" w:hAnsi="微软雅黑" w:eastAsia="微软雅黑" w:cs="微软雅黑"/>
                <w:sz w:val="18"/>
                <w:szCs w:val="18"/>
              </w:rPr>
            </w:pPr>
            <w:r>
              <w:rPr>
                <w:rFonts w:ascii="微软雅黑" w:hAnsi="微软雅黑" w:eastAsia="微软雅黑" w:cs="微软雅黑"/>
                <w:spacing w:val="-3"/>
                <w:sz w:val="18"/>
                <w:szCs w:val="18"/>
              </w:rPr>
              <w:t>装饰</w:t>
            </w:r>
          </w:p>
        </w:tc>
        <w:tc>
          <w:tcPr>
            <w:tcW w:w="656" w:type="dxa"/>
            <w:vMerge w:val="restart"/>
            <w:tcBorders>
              <w:top w:val="single" w:color="000000" w:sz="4" w:space="0"/>
              <w:bottom w:val="nil"/>
            </w:tcBorders>
            <w:vAlign w:val="top"/>
          </w:tcPr>
          <w:p>
            <w:pPr>
              <w:pStyle w:val="6"/>
              <w:spacing w:line="274" w:lineRule="auto"/>
            </w:pPr>
          </w:p>
          <w:p>
            <w:pPr>
              <w:spacing w:before="77" w:line="202" w:lineRule="auto"/>
              <w:ind w:left="167"/>
              <w:rPr>
                <w:rFonts w:ascii="微软雅黑" w:hAnsi="微软雅黑" w:eastAsia="微软雅黑" w:cs="微软雅黑"/>
                <w:sz w:val="18"/>
                <w:szCs w:val="18"/>
              </w:rPr>
            </w:pPr>
            <w:r>
              <w:rPr>
                <w:rFonts w:ascii="微软雅黑" w:hAnsi="微软雅黑" w:eastAsia="微软雅黑" w:cs="微软雅黑"/>
                <w:spacing w:val="-5"/>
                <w:w w:val="99"/>
                <w:sz w:val="18"/>
                <w:szCs w:val="18"/>
              </w:rPr>
              <w:t>安装</w:t>
            </w:r>
          </w:p>
        </w:tc>
        <w:tc>
          <w:tcPr>
            <w:tcW w:w="1334" w:type="dxa"/>
            <w:gridSpan w:val="2"/>
            <w:tcBorders>
              <w:top w:val="single" w:color="000000" w:sz="4" w:space="0"/>
            </w:tcBorders>
            <w:vAlign w:val="top"/>
          </w:tcPr>
          <w:p>
            <w:pPr>
              <w:spacing w:before="129" w:line="202" w:lineRule="auto"/>
              <w:ind w:left="317"/>
              <w:rPr>
                <w:rFonts w:ascii="微软雅黑" w:hAnsi="微软雅黑" w:eastAsia="微软雅黑" w:cs="微软雅黑"/>
                <w:sz w:val="18"/>
                <w:szCs w:val="18"/>
              </w:rPr>
            </w:pPr>
            <w:r>
              <w:rPr>
                <w:rFonts w:ascii="微软雅黑" w:hAnsi="微软雅黑" w:eastAsia="微软雅黑" w:cs="微软雅黑"/>
                <w:spacing w:val="-3"/>
                <w:sz w:val="18"/>
                <w:szCs w:val="18"/>
              </w:rPr>
              <w:t>房屋修缮</w:t>
            </w:r>
          </w:p>
        </w:tc>
        <w:tc>
          <w:tcPr>
            <w:tcW w:w="794" w:type="dxa"/>
            <w:vMerge w:val="restart"/>
            <w:tcBorders>
              <w:top w:val="single" w:color="000000" w:sz="4" w:space="0"/>
              <w:bottom w:val="nil"/>
            </w:tcBorders>
            <w:vAlign w:val="top"/>
          </w:tcPr>
          <w:p>
            <w:pPr>
              <w:spacing w:before="229" w:line="215" w:lineRule="auto"/>
              <w:ind w:left="229" w:right="114" w:hanging="78"/>
              <w:rPr>
                <w:rFonts w:ascii="微软雅黑" w:hAnsi="微软雅黑" w:eastAsia="微软雅黑" w:cs="微软雅黑"/>
                <w:sz w:val="18"/>
                <w:szCs w:val="18"/>
              </w:rPr>
            </w:pPr>
            <w:r>
              <w:rPr>
                <w:rFonts w:ascii="微软雅黑" w:hAnsi="微软雅黑" w:eastAsia="微软雅黑" w:cs="微软雅黑"/>
                <w:spacing w:val="-3"/>
                <w:w w:val="98"/>
                <w:sz w:val="18"/>
                <w:szCs w:val="18"/>
              </w:rPr>
              <w:t>古建筑</w:t>
            </w:r>
            <w:r>
              <w:rPr>
                <w:rFonts w:ascii="微软雅黑" w:hAnsi="微软雅黑" w:eastAsia="微软雅黑" w:cs="微软雅黑"/>
                <w:spacing w:val="-3"/>
                <w:sz w:val="18"/>
                <w:szCs w:val="18"/>
              </w:rPr>
              <w:t>修缮</w:t>
            </w:r>
          </w:p>
        </w:tc>
        <w:tc>
          <w:tcPr>
            <w:tcW w:w="681" w:type="dxa"/>
            <w:vMerge w:val="restart"/>
            <w:tcBorders>
              <w:top w:val="single" w:color="000000" w:sz="4" w:space="0"/>
              <w:bottom w:val="nil"/>
            </w:tcBorders>
            <w:vAlign w:val="top"/>
          </w:tcPr>
          <w:p>
            <w:pPr>
              <w:spacing w:before="231" w:line="215" w:lineRule="auto"/>
              <w:ind w:left="182" w:right="130" w:firstLine="23"/>
              <w:rPr>
                <w:rFonts w:ascii="微软雅黑" w:hAnsi="微软雅黑" w:eastAsia="微软雅黑" w:cs="微软雅黑"/>
                <w:sz w:val="18"/>
                <w:szCs w:val="18"/>
              </w:rPr>
            </w:pPr>
            <w:r>
              <w:rPr>
                <w:rFonts w:ascii="微软雅黑" w:hAnsi="微软雅黑" w:eastAsia="微软雅黑" w:cs="微软雅黑"/>
                <w:spacing w:val="-11"/>
                <w:sz w:val="18"/>
                <w:szCs w:val="18"/>
              </w:rPr>
              <w:t>园林</w:t>
            </w:r>
            <w:r>
              <w:rPr>
                <w:rFonts w:ascii="微软雅黑" w:hAnsi="微软雅黑" w:eastAsia="微软雅黑" w:cs="微软雅黑"/>
                <w:spacing w:val="-4"/>
                <w:sz w:val="18"/>
                <w:szCs w:val="18"/>
              </w:rPr>
              <w:t>绿化</w:t>
            </w:r>
          </w:p>
        </w:tc>
        <w:tc>
          <w:tcPr>
            <w:tcW w:w="681" w:type="dxa"/>
            <w:vMerge w:val="restart"/>
            <w:tcBorders>
              <w:top w:val="single" w:color="000000" w:sz="4" w:space="0"/>
              <w:bottom w:val="nil"/>
            </w:tcBorders>
            <w:vAlign w:val="top"/>
          </w:tcPr>
          <w:p>
            <w:pPr>
              <w:spacing w:before="230" w:line="215" w:lineRule="auto"/>
              <w:ind w:left="182" w:right="142" w:hanging="1"/>
              <w:rPr>
                <w:rFonts w:ascii="微软雅黑" w:hAnsi="微软雅黑" w:eastAsia="微软雅黑" w:cs="微软雅黑"/>
                <w:sz w:val="18"/>
                <w:szCs w:val="18"/>
              </w:rPr>
            </w:pPr>
            <w:r>
              <w:rPr>
                <w:rFonts w:ascii="微软雅黑" w:hAnsi="微软雅黑" w:eastAsia="微软雅黑" w:cs="微软雅黑"/>
                <w:spacing w:val="-4"/>
                <w:sz w:val="18"/>
                <w:szCs w:val="18"/>
              </w:rPr>
              <w:t>仿古</w:t>
            </w:r>
            <w:r>
              <w:rPr>
                <w:rFonts w:ascii="微软雅黑" w:hAnsi="微软雅黑" w:eastAsia="微软雅黑" w:cs="微软雅黑"/>
                <w:spacing w:val="-3"/>
                <w:w w:val="97"/>
                <w:sz w:val="18"/>
                <w:szCs w:val="18"/>
              </w:rPr>
              <w:t>建筑</w:t>
            </w:r>
          </w:p>
        </w:tc>
        <w:tc>
          <w:tcPr>
            <w:tcW w:w="681" w:type="dxa"/>
            <w:vMerge w:val="restart"/>
            <w:tcBorders>
              <w:top w:val="single" w:color="000000" w:sz="4" w:space="0"/>
              <w:bottom w:val="nil"/>
            </w:tcBorders>
            <w:vAlign w:val="top"/>
          </w:tcPr>
          <w:p>
            <w:pPr>
              <w:pStyle w:val="6"/>
              <w:spacing w:line="274" w:lineRule="auto"/>
            </w:pPr>
          </w:p>
          <w:p>
            <w:pPr>
              <w:spacing w:before="77" w:line="202" w:lineRule="auto"/>
              <w:ind w:left="192"/>
              <w:rPr>
                <w:rFonts w:ascii="微软雅黑" w:hAnsi="微软雅黑" w:eastAsia="微软雅黑" w:cs="微软雅黑"/>
                <w:sz w:val="18"/>
                <w:szCs w:val="18"/>
              </w:rPr>
            </w:pPr>
            <w:r>
              <w:rPr>
                <w:rFonts w:ascii="微软雅黑" w:hAnsi="微软雅黑" w:eastAsia="微软雅黑" w:cs="微软雅黑"/>
                <w:spacing w:val="-6"/>
                <w:sz w:val="18"/>
                <w:szCs w:val="18"/>
              </w:rPr>
              <w:t>市政</w:t>
            </w:r>
          </w:p>
        </w:tc>
        <w:tc>
          <w:tcPr>
            <w:tcW w:w="699" w:type="dxa"/>
            <w:vMerge w:val="restart"/>
            <w:tcBorders>
              <w:top w:val="single" w:color="000000" w:sz="4" w:space="0"/>
              <w:bottom w:val="nil"/>
              <w:right w:val="single" w:color="000000" w:sz="4" w:space="0"/>
            </w:tcBorders>
            <w:vAlign w:val="top"/>
          </w:tcPr>
          <w:p>
            <w:pPr>
              <w:spacing w:before="96" w:line="201" w:lineRule="auto"/>
              <w:ind w:left="195"/>
              <w:rPr>
                <w:rFonts w:ascii="微软雅黑" w:hAnsi="微软雅黑" w:eastAsia="微软雅黑" w:cs="微软雅黑"/>
                <w:sz w:val="18"/>
                <w:szCs w:val="18"/>
              </w:rPr>
            </w:pPr>
            <w:r>
              <w:rPr>
                <w:rFonts w:ascii="微软雅黑" w:hAnsi="微软雅黑" w:eastAsia="微软雅黑" w:cs="微软雅黑"/>
                <w:spacing w:val="-6"/>
                <w:sz w:val="18"/>
                <w:szCs w:val="18"/>
              </w:rPr>
              <w:t>市政</w:t>
            </w:r>
          </w:p>
          <w:p>
            <w:pPr>
              <w:spacing w:line="201" w:lineRule="auto"/>
              <w:ind w:left="188"/>
              <w:rPr>
                <w:rFonts w:ascii="微软雅黑" w:hAnsi="微软雅黑" w:eastAsia="微软雅黑" w:cs="微软雅黑"/>
                <w:sz w:val="18"/>
                <w:szCs w:val="18"/>
              </w:rPr>
            </w:pPr>
            <w:r>
              <w:rPr>
                <w:rFonts w:ascii="微软雅黑" w:hAnsi="微软雅黑" w:eastAsia="微软雅黑" w:cs="微软雅黑"/>
                <w:spacing w:val="-5"/>
                <w:sz w:val="18"/>
                <w:szCs w:val="18"/>
              </w:rPr>
              <w:t>养护</w:t>
            </w:r>
          </w:p>
          <w:p>
            <w:pPr>
              <w:spacing w:line="170" w:lineRule="auto"/>
              <w:ind w:left="189"/>
              <w:rPr>
                <w:rFonts w:ascii="微软雅黑" w:hAnsi="微软雅黑" w:eastAsia="微软雅黑" w:cs="微软雅黑"/>
                <w:sz w:val="18"/>
                <w:szCs w:val="18"/>
              </w:rPr>
            </w:pPr>
            <w:r>
              <w:rPr>
                <w:rFonts w:ascii="微软雅黑" w:hAnsi="微软雅黑" w:eastAsia="微软雅黑" w:cs="微软雅黑"/>
                <w:spacing w:val="-4"/>
                <w:sz w:val="18"/>
                <w:szCs w:val="18"/>
              </w:rPr>
              <w:t>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2" w:hRule="atLeast"/>
        </w:trPr>
        <w:tc>
          <w:tcPr>
            <w:tcW w:w="2276" w:type="dxa"/>
            <w:gridSpan w:val="2"/>
            <w:vMerge w:val="continue"/>
            <w:tcBorders>
              <w:top w:val="nil"/>
              <w:left w:val="single" w:color="000000" w:sz="4" w:space="0"/>
            </w:tcBorders>
            <w:vAlign w:val="top"/>
          </w:tcPr>
          <w:p>
            <w:pPr>
              <w:pStyle w:val="6"/>
            </w:pPr>
          </w:p>
        </w:tc>
        <w:tc>
          <w:tcPr>
            <w:tcW w:w="649" w:type="dxa"/>
            <w:vMerge w:val="continue"/>
            <w:tcBorders>
              <w:top w:val="nil"/>
            </w:tcBorders>
            <w:vAlign w:val="top"/>
          </w:tcPr>
          <w:p>
            <w:pPr>
              <w:pStyle w:val="6"/>
            </w:pPr>
          </w:p>
        </w:tc>
        <w:tc>
          <w:tcPr>
            <w:tcW w:w="628" w:type="dxa"/>
            <w:vMerge w:val="continue"/>
            <w:tcBorders>
              <w:top w:val="nil"/>
            </w:tcBorders>
            <w:vAlign w:val="top"/>
          </w:tcPr>
          <w:p>
            <w:pPr>
              <w:pStyle w:val="6"/>
            </w:pPr>
          </w:p>
        </w:tc>
        <w:tc>
          <w:tcPr>
            <w:tcW w:w="656" w:type="dxa"/>
            <w:vMerge w:val="continue"/>
            <w:tcBorders>
              <w:top w:val="nil"/>
            </w:tcBorders>
            <w:vAlign w:val="top"/>
          </w:tcPr>
          <w:p>
            <w:pPr>
              <w:pStyle w:val="6"/>
            </w:pPr>
          </w:p>
        </w:tc>
        <w:tc>
          <w:tcPr>
            <w:tcW w:w="661" w:type="dxa"/>
            <w:vAlign w:val="top"/>
          </w:tcPr>
          <w:p>
            <w:pPr>
              <w:spacing w:before="122" w:line="222" w:lineRule="auto"/>
              <w:ind w:left="164"/>
              <w:rPr>
                <w:rFonts w:ascii="黑体" w:hAnsi="黑体" w:eastAsia="黑体" w:cs="黑体"/>
                <w:sz w:val="18"/>
                <w:szCs w:val="18"/>
              </w:rPr>
            </w:pPr>
            <w:r>
              <w:rPr>
                <w:rFonts w:ascii="黑体" w:hAnsi="黑体" w:eastAsia="黑体" w:cs="黑体"/>
                <w:spacing w:val="-4"/>
                <w:sz w:val="18"/>
                <w:szCs w:val="18"/>
              </w:rPr>
              <w:t>建筑</w:t>
            </w:r>
          </w:p>
        </w:tc>
        <w:tc>
          <w:tcPr>
            <w:tcW w:w="673" w:type="dxa"/>
            <w:vAlign w:val="top"/>
          </w:tcPr>
          <w:p>
            <w:pPr>
              <w:spacing w:before="122" w:line="223" w:lineRule="auto"/>
              <w:ind w:left="180"/>
              <w:rPr>
                <w:rFonts w:ascii="黑体" w:hAnsi="黑体" w:eastAsia="黑体" w:cs="黑体"/>
                <w:sz w:val="18"/>
                <w:szCs w:val="18"/>
              </w:rPr>
            </w:pPr>
            <w:r>
              <w:rPr>
                <w:rFonts w:ascii="黑体" w:hAnsi="黑体" w:eastAsia="黑体" w:cs="黑体"/>
                <w:spacing w:val="-8"/>
                <w:sz w:val="18"/>
                <w:szCs w:val="18"/>
              </w:rPr>
              <w:t>安装</w:t>
            </w:r>
          </w:p>
        </w:tc>
        <w:tc>
          <w:tcPr>
            <w:tcW w:w="794"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99"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2276" w:type="dxa"/>
            <w:gridSpan w:val="2"/>
            <w:tcBorders>
              <w:left w:val="single" w:color="000000" w:sz="4" w:space="0"/>
            </w:tcBorders>
            <w:vAlign w:val="top"/>
          </w:tcPr>
          <w:p>
            <w:pPr>
              <w:spacing w:before="155" w:line="237" w:lineRule="exact"/>
              <w:ind w:left="439"/>
              <w:rPr>
                <w:rFonts w:ascii="宋体" w:hAnsi="宋体" w:eastAsia="宋体" w:cs="宋体"/>
                <w:sz w:val="18"/>
                <w:szCs w:val="18"/>
              </w:rPr>
            </w:pPr>
            <w:r>
              <w:rPr>
                <w:rFonts w:ascii="宋体" w:hAnsi="宋体" w:eastAsia="宋体" w:cs="宋体"/>
                <w:spacing w:val="-8"/>
                <w:position w:val="1"/>
                <w:sz w:val="18"/>
                <w:szCs w:val="18"/>
              </w:rPr>
              <w:t>建设项目工伤保险</w:t>
            </w:r>
          </w:p>
        </w:tc>
        <w:tc>
          <w:tcPr>
            <w:tcW w:w="649" w:type="dxa"/>
            <w:tcBorders>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100" w:line="260" w:lineRule="exact"/>
              <w:ind w:left="165"/>
              <w:rPr>
                <w:rFonts w:ascii="宋体" w:hAnsi="宋体" w:eastAsia="宋体" w:cs="宋体"/>
                <w:sz w:val="18"/>
                <w:szCs w:val="18"/>
              </w:rPr>
            </w:pPr>
            <w:r>
              <w:rPr>
                <w:rFonts w:ascii="宋体" w:hAnsi="宋体" w:eastAsia="宋体" w:cs="宋体"/>
                <w:spacing w:val="-12"/>
                <w:position w:val="2"/>
                <w:sz w:val="18"/>
                <w:szCs w:val="18"/>
              </w:rPr>
              <w:t>0.073</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100" w:line="260" w:lineRule="exact"/>
              <w:ind w:left="101"/>
              <w:rPr>
                <w:rFonts w:ascii="宋体" w:hAnsi="宋体" w:eastAsia="宋体" w:cs="宋体"/>
                <w:sz w:val="18"/>
                <w:szCs w:val="18"/>
              </w:rPr>
            </w:pPr>
            <w:r>
              <w:rPr>
                <w:rFonts w:ascii="宋体" w:hAnsi="宋体" w:eastAsia="宋体" w:cs="宋体"/>
                <w:spacing w:val="-12"/>
                <w:position w:val="2"/>
                <w:sz w:val="18"/>
                <w:szCs w:val="18"/>
              </w:rPr>
              <w:t>0.079</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136" w:type="dxa"/>
            <w:vMerge w:val="restart"/>
            <w:tcBorders>
              <w:left w:val="single" w:color="000000" w:sz="4" w:space="0"/>
              <w:bottom w:val="nil"/>
            </w:tcBorders>
            <w:vAlign w:val="top"/>
          </w:tcPr>
          <w:p>
            <w:pPr>
              <w:pStyle w:val="6"/>
              <w:spacing w:line="280" w:lineRule="auto"/>
            </w:pPr>
          </w:p>
          <w:p>
            <w:pPr>
              <w:pStyle w:val="6"/>
              <w:spacing w:line="281" w:lineRule="auto"/>
            </w:pPr>
          </w:p>
          <w:p>
            <w:pPr>
              <w:spacing w:before="58" w:line="211" w:lineRule="auto"/>
              <w:ind w:left="129"/>
              <w:rPr>
                <w:rFonts w:ascii="宋体" w:hAnsi="宋体" w:eastAsia="宋体" w:cs="宋体"/>
                <w:sz w:val="18"/>
                <w:szCs w:val="18"/>
              </w:rPr>
            </w:pPr>
            <w:r>
              <w:rPr>
                <w:rFonts w:ascii="宋体" w:hAnsi="宋体" w:eastAsia="宋体" w:cs="宋体"/>
                <w:spacing w:val="-6"/>
                <w:sz w:val="18"/>
                <w:szCs w:val="18"/>
              </w:rPr>
              <w:t>优质优价费</w:t>
            </w:r>
          </w:p>
        </w:tc>
        <w:tc>
          <w:tcPr>
            <w:tcW w:w="1140" w:type="dxa"/>
            <w:vAlign w:val="top"/>
          </w:tcPr>
          <w:p>
            <w:pPr>
              <w:spacing w:before="164" w:line="211" w:lineRule="auto"/>
              <w:ind w:left="336"/>
              <w:rPr>
                <w:rFonts w:ascii="宋体" w:hAnsi="宋体" w:eastAsia="宋体" w:cs="宋体"/>
                <w:sz w:val="18"/>
                <w:szCs w:val="18"/>
              </w:rPr>
            </w:pPr>
            <w:r>
              <w:rPr>
                <w:rFonts w:ascii="宋体" w:hAnsi="宋体" w:eastAsia="宋体" w:cs="宋体"/>
                <w:spacing w:val="-14"/>
                <w:sz w:val="18"/>
                <w:szCs w:val="18"/>
              </w:rPr>
              <w:t>国家级</w:t>
            </w:r>
          </w:p>
        </w:tc>
        <w:tc>
          <w:tcPr>
            <w:tcW w:w="649" w:type="dxa"/>
            <w:tcBorders>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100" w:line="260" w:lineRule="exact"/>
              <w:ind w:left="228"/>
              <w:rPr>
                <w:rFonts w:ascii="宋体" w:hAnsi="宋体" w:eastAsia="宋体" w:cs="宋体"/>
                <w:sz w:val="18"/>
                <w:szCs w:val="18"/>
              </w:rPr>
            </w:pPr>
            <w:r>
              <w:rPr>
                <w:rFonts w:ascii="宋体" w:hAnsi="宋体" w:eastAsia="宋体" w:cs="宋体"/>
                <w:spacing w:val="-19"/>
                <w:position w:val="1"/>
                <w:sz w:val="18"/>
                <w:szCs w:val="18"/>
              </w:rPr>
              <w:t>1.52</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100" w:line="260" w:lineRule="exact"/>
              <w:ind w:left="164"/>
              <w:rPr>
                <w:rFonts w:ascii="宋体" w:hAnsi="宋体" w:eastAsia="宋体" w:cs="宋体"/>
                <w:sz w:val="18"/>
                <w:szCs w:val="18"/>
              </w:rPr>
            </w:pPr>
            <w:r>
              <w:rPr>
                <w:rFonts w:ascii="宋体" w:hAnsi="宋体" w:eastAsia="宋体" w:cs="宋体"/>
                <w:spacing w:val="-19"/>
                <w:position w:val="1"/>
                <w:sz w:val="18"/>
                <w:szCs w:val="18"/>
              </w:rPr>
              <w:t>1.55</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136" w:type="dxa"/>
            <w:vMerge w:val="continue"/>
            <w:tcBorders>
              <w:top w:val="nil"/>
              <w:left w:val="single" w:color="000000" w:sz="4" w:space="0"/>
              <w:bottom w:val="nil"/>
            </w:tcBorders>
            <w:vAlign w:val="top"/>
          </w:tcPr>
          <w:p>
            <w:pPr>
              <w:pStyle w:val="6"/>
            </w:pPr>
          </w:p>
        </w:tc>
        <w:tc>
          <w:tcPr>
            <w:tcW w:w="1140" w:type="dxa"/>
            <w:vAlign w:val="top"/>
          </w:tcPr>
          <w:p>
            <w:pPr>
              <w:spacing w:before="170" w:line="207" w:lineRule="auto"/>
              <w:ind w:left="305"/>
              <w:rPr>
                <w:rFonts w:ascii="宋体" w:hAnsi="宋体" w:eastAsia="宋体" w:cs="宋体"/>
                <w:sz w:val="18"/>
                <w:szCs w:val="18"/>
              </w:rPr>
            </w:pPr>
            <w:r>
              <w:rPr>
                <w:rFonts w:ascii="宋体" w:hAnsi="宋体" w:eastAsia="宋体" w:cs="宋体"/>
                <w:spacing w:val="-3"/>
                <w:sz w:val="18"/>
                <w:szCs w:val="18"/>
              </w:rPr>
              <w:t>省</w:t>
            </w:r>
            <w:r>
              <w:rPr>
                <w:rFonts w:ascii="宋体" w:hAnsi="宋体" w:eastAsia="宋体" w:cs="宋体"/>
                <w:spacing w:val="6"/>
                <w:sz w:val="18"/>
                <w:szCs w:val="18"/>
              </w:rPr>
              <w:t xml:space="preserve">  </w:t>
            </w:r>
            <w:r>
              <w:rPr>
                <w:rFonts w:ascii="宋体" w:hAnsi="宋体" w:eastAsia="宋体" w:cs="宋体"/>
                <w:spacing w:val="-3"/>
                <w:sz w:val="18"/>
                <w:szCs w:val="18"/>
              </w:rPr>
              <w:t>级</w:t>
            </w:r>
          </w:p>
        </w:tc>
        <w:tc>
          <w:tcPr>
            <w:tcW w:w="649" w:type="dxa"/>
            <w:tcBorders>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103" w:line="260" w:lineRule="exact"/>
              <w:ind w:left="228"/>
              <w:rPr>
                <w:rFonts w:ascii="宋体" w:hAnsi="宋体" w:eastAsia="宋体" w:cs="宋体"/>
                <w:sz w:val="18"/>
                <w:szCs w:val="18"/>
              </w:rPr>
            </w:pPr>
            <w:r>
              <w:rPr>
                <w:rFonts w:ascii="宋体" w:hAnsi="宋体" w:eastAsia="宋体" w:cs="宋体"/>
                <w:spacing w:val="-19"/>
                <w:position w:val="1"/>
                <w:sz w:val="18"/>
                <w:szCs w:val="18"/>
              </w:rPr>
              <w:t>1.01</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103" w:line="260" w:lineRule="exact"/>
              <w:ind w:left="164"/>
              <w:rPr>
                <w:rFonts w:ascii="宋体" w:hAnsi="宋体" w:eastAsia="宋体" w:cs="宋体"/>
                <w:sz w:val="18"/>
                <w:szCs w:val="18"/>
              </w:rPr>
            </w:pPr>
            <w:r>
              <w:rPr>
                <w:rFonts w:ascii="宋体" w:hAnsi="宋体" w:eastAsia="宋体" w:cs="宋体"/>
                <w:spacing w:val="-19"/>
                <w:position w:val="1"/>
                <w:sz w:val="18"/>
                <w:szCs w:val="18"/>
              </w:rPr>
              <w:t>1.02</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136" w:type="dxa"/>
            <w:vMerge w:val="continue"/>
            <w:tcBorders>
              <w:top w:val="nil"/>
              <w:left w:val="single" w:color="000000" w:sz="4" w:space="0"/>
              <w:bottom w:val="single" w:color="000000" w:sz="4" w:space="0"/>
            </w:tcBorders>
            <w:vAlign w:val="top"/>
          </w:tcPr>
          <w:p>
            <w:pPr>
              <w:pStyle w:val="6"/>
            </w:pPr>
          </w:p>
        </w:tc>
        <w:tc>
          <w:tcPr>
            <w:tcW w:w="1140" w:type="dxa"/>
            <w:tcBorders>
              <w:bottom w:val="single" w:color="000000" w:sz="4" w:space="0"/>
            </w:tcBorders>
            <w:vAlign w:val="top"/>
          </w:tcPr>
          <w:p>
            <w:pPr>
              <w:spacing w:before="173" w:line="210" w:lineRule="auto"/>
              <w:ind w:left="307"/>
              <w:rPr>
                <w:rFonts w:ascii="宋体" w:hAnsi="宋体" w:eastAsia="宋体" w:cs="宋体"/>
                <w:sz w:val="18"/>
                <w:szCs w:val="18"/>
              </w:rPr>
            </w:pPr>
            <w:r>
              <w:rPr>
                <w:rFonts w:ascii="宋体" w:hAnsi="宋体" w:eastAsia="宋体" w:cs="宋体"/>
                <w:spacing w:val="-3"/>
                <w:sz w:val="18"/>
                <w:szCs w:val="18"/>
              </w:rPr>
              <w:t>市</w:t>
            </w:r>
            <w:r>
              <w:rPr>
                <w:rFonts w:ascii="宋体" w:hAnsi="宋体" w:eastAsia="宋体" w:cs="宋体"/>
                <w:spacing w:val="4"/>
                <w:sz w:val="18"/>
                <w:szCs w:val="18"/>
              </w:rPr>
              <w:t xml:space="preserve">  </w:t>
            </w:r>
            <w:r>
              <w:rPr>
                <w:rFonts w:ascii="宋体" w:hAnsi="宋体" w:eastAsia="宋体" w:cs="宋体"/>
                <w:spacing w:val="-3"/>
                <w:sz w:val="18"/>
                <w:szCs w:val="18"/>
              </w:rPr>
              <w:t>级</w:t>
            </w:r>
          </w:p>
        </w:tc>
        <w:tc>
          <w:tcPr>
            <w:tcW w:w="649" w:type="dxa"/>
            <w:tcBorders>
              <w:bottom w:val="single" w:color="000000" w:sz="4" w:space="0"/>
              <w:right w:val="nil"/>
            </w:tcBorders>
            <w:vAlign w:val="top"/>
          </w:tcPr>
          <w:p>
            <w:pPr>
              <w:pStyle w:val="6"/>
            </w:pPr>
          </w:p>
        </w:tc>
        <w:tc>
          <w:tcPr>
            <w:tcW w:w="628" w:type="dxa"/>
            <w:tcBorders>
              <w:left w:val="nil"/>
              <w:bottom w:val="single" w:color="000000" w:sz="4" w:space="0"/>
              <w:right w:val="nil"/>
            </w:tcBorders>
            <w:vAlign w:val="top"/>
          </w:tcPr>
          <w:p>
            <w:pPr>
              <w:pStyle w:val="6"/>
            </w:pPr>
          </w:p>
        </w:tc>
        <w:tc>
          <w:tcPr>
            <w:tcW w:w="656" w:type="dxa"/>
            <w:tcBorders>
              <w:left w:val="nil"/>
              <w:bottom w:val="single" w:color="000000" w:sz="4" w:space="0"/>
              <w:right w:val="nil"/>
            </w:tcBorders>
            <w:vAlign w:val="top"/>
          </w:tcPr>
          <w:p>
            <w:pPr>
              <w:spacing w:before="111" w:line="259" w:lineRule="exact"/>
              <w:ind w:left="206"/>
              <w:rPr>
                <w:rFonts w:ascii="宋体" w:hAnsi="宋体" w:eastAsia="宋体" w:cs="宋体"/>
                <w:sz w:val="18"/>
                <w:szCs w:val="18"/>
              </w:rPr>
            </w:pPr>
            <w:r>
              <w:rPr>
                <w:rFonts w:ascii="宋体" w:hAnsi="宋体" w:eastAsia="宋体" w:cs="宋体"/>
                <w:spacing w:val="-14"/>
                <w:position w:val="1"/>
                <w:sz w:val="18"/>
                <w:szCs w:val="18"/>
              </w:rPr>
              <w:t>0.81</w:t>
            </w:r>
          </w:p>
        </w:tc>
        <w:tc>
          <w:tcPr>
            <w:tcW w:w="661" w:type="dxa"/>
            <w:tcBorders>
              <w:left w:val="nil"/>
              <w:bottom w:val="single" w:color="000000" w:sz="4" w:space="0"/>
              <w:right w:val="nil"/>
            </w:tcBorders>
            <w:vAlign w:val="top"/>
          </w:tcPr>
          <w:p>
            <w:pPr>
              <w:pStyle w:val="6"/>
            </w:pPr>
          </w:p>
        </w:tc>
        <w:tc>
          <w:tcPr>
            <w:tcW w:w="673" w:type="dxa"/>
            <w:tcBorders>
              <w:left w:val="nil"/>
              <w:bottom w:val="single" w:color="000000" w:sz="4" w:space="0"/>
            </w:tcBorders>
            <w:vAlign w:val="top"/>
          </w:tcPr>
          <w:p>
            <w:pPr>
              <w:pStyle w:val="6"/>
            </w:pPr>
          </w:p>
        </w:tc>
        <w:tc>
          <w:tcPr>
            <w:tcW w:w="794" w:type="dxa"/>
            <w:tcBorders>
              <w:bottom w:val="single" w:color="000000" w:sz="4" w:space="0"/>
              <w:right w:val="nil"/>
            </w:tcBorders>
            <w:vAlign w:val="top"/>
          </w:tcPr>
          <w:p>
            <w:pPr>
              <w:pStyle w:val="6"/>
            </w:pPr>
          </w:p>
        </w:tc>
        <w:tc>
          <w:tcPr>
            <w:tcW w:w="681" w:type="dxa"/>
            <w:tcBorders>
              <w:left w:val="nil"/>
              <w:bottom w:val="single" w:color="000000" w:sz="4" w:space="0"/>
              <w:right w:val="nil"/>
            </w:tcBorders>
            <w:vAlign w:val="top"/>
          </w:tcPr>
          <w:p>
            <w:pPr>
              <w:pStyle w:val="6"/>
            </w:pPr>
          </w:p>
        </w:tc>
        <w:tc>
          <w:tcPr>
            <w:tcW w:w="681" w:type="dxa"/>
            <w:tcBorders>
              <w:left w:val="nil"/>
              <w:bottom w:val="single" w:color="000000" w:sz="4" w:space="0"/>
              <w:right w:val="nil"/>
            </w:tcBorders>
            <w:vAlign w:val="top"/>
          </w:tcPr>
          <w:p>
            <w:pPr>
              <w:spacing w:before="111" w:line="259" w:lineRule="exact"/>
              <w:ind w:left="144"/>
              <w:rPr>
                <w:rFonts w:ascii="宋体" w:hAnsi="宋体" w:eastAsia="宋体" w:cs="宋体"/>
                <w:sz w:val="18"/>
                <w:szCs w:val="18"/>
              </w:rPr>
            </w:pPr>
            <w:r>
              <w:rPr>
                <w:rFonts w:ascii="宋体" w:hAnsi="宋体" w:eastAsia="宋体" w:cs="宋体"/>
                <w:spacing w:val="-14"/>
                <w:position w:val="1"/>
                <w:sz w:val="18"/>
                <w:szCs w:val="18"/>
              </w:rPr>
              <w:t>0.81</w:t>
            </w:r>
          </w:p>
        </w:tc>
        <w:tc>
          <w:tcPr>
            <w:tcW w:w="681" w:type="dxa"/>
            <w:tcBorders>
              <w:left w:val="nil"/>
              <w:bottom w:val="single" w:color="000000" w:sz="4" w:space="0"/>
              <w:right w:val="nil"/>
            </w:tcBorders>
            <w:vAlign w:val="top"/>
          </w:tcPr>
          <w:p>
            <w:pPr>
              <w:pStyle w:val="6"/>
            </w:pPr>
          </w:p>
        </w:tc>
        <w:tc>
          <w:tcPr>
            <w:tcW w:w="699" w:type="dxa"/>
            <w:tcBorders>
              <w:left w:val="nil"/>
              <w:bottom w:val="single" w:color="000000" w:sz="4" w:space="0"/>
              <w:right w:val="single" w:color="000000" w:sz="4" w:space="0"/>
            </w:tcBorders>
            <w:vAlign w:val="top"/>
          </w:tcPr>
          <w:p>
            <w:pPr>
              <w:pStyle w:val="6"/>
            </w:pPr>
          </w:p>
        </w:tc>
      </w:tr>
    </w:tbl>
    <w:p>
      <w:pPr>
        <w:spacing w:before="55"/>
        <w:ind w:left="174"/>
        <w:rPr>
          <w:rFonts w:ascii="宋体" w:hAnsi="宋体" w:eastAsia="宋体" w:cs="宋体"/>
          <w:sz w:val="18"/>
          <w:szCs w:val="18"/>
        </w:rPr>
      </w:pPr>
      <w:r>
        <w:rPr>
          <w:rFonts w:ascii="宋体" w:hAnsi="宋体" w:eastAsia="宋体" w:cs="宋体"/>
          <w:sz w:val="18"/>
          <w:szCs w:val="18"/>
        </w:rPr>
        <w:t>注：表中建设项目工伤保险费率依据鲁人社字〔2020</w:t>
      </w:r>
      <w:r>
        <w:rPr>
          <w:position w:val="-3"/>
          <w:sz w:val="18"/>
          <w:szCs w:val="18"/>
        </w:rPr>
        <w:drawing>
          <wp:inline distT="0" distB="0" distL="0" distR="0">
            <wp:extent cx="76200" cy="14605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372"/>
                    <a:stretch>
                      <a:fillRect/>
                    </a:stretch>
                  </pic:blipFill>
                  <pic:spPr>
                    <a:xfrm>
                      <a:off x="0" y="0"/>
                      <a:ext cx="76663" cy="146596"/>
                    </a:xfrm>
                    <a:prstGeom prst="rect">
                      <a:avLst/>
                    </a:prstGeom>
                  </pic:spPr>
                </pic:pic>
              </a:graphicData>
            </a:graphic>
          </wp:inline>
        </w:drawing>
      </w:r>
      <w:r>
        <w:rPr>
          <w:rFonts w:ascii="宋体" w:hAnsi="宋体" w:eastAsia="宋体" w:cs="宋体"/>
          <w:spacing w:val="-30"/>
          <w:sz w:val="18"/>
          <w:szCs w:val="18"/>
        </w:rPr>
        <w:t xml:space="preserve"> </w:t>
      </w:r>
      <w:r>
        <w:rPr>
          <w:rFonts w:ascii="宋体" w:hAnsi="宋体" w:eastAsia="宋体" w:cs="宋体"/>
          <w:spacing w:val="-1"/>
          <w:sz w:val="18"/>
          <w:szCs w:val="18"/>
        </w:rPr>
        <w:t>69号、鲁人社函〔2025</w:t>
      </w:r>
      <w:r>
        <w:rPr>
          <w:position w:val="-3"/>
          <w:sz w:val="18"/>
          <w:szCs w:val="18"/>
        </w:rPr>
        <w:drawing>
          <wp:inline distT="0" distB="0" distL="0" distR="0">
            <wp:extent cx="76200" cy="14605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373"/>
                    <a:stretch>
                      <a:fillRect/>
                    </a:stretch>
                  </pic:blipFill>
                  <pic:spPr>
                    <a:xfrm>
                      <a:off x="0" y="0"/>
                      <a:ext cx="76663" cy="146596"/>
                    </a:xfrm>
                    <a:prstGeom prst="rect">
                      <a:avLst/>
                    </a:prstGeom>
                  </pic:spPr>
                </pic:pic>
              </a:graphicData>
            </a:graphic>
          </wp:inline>
        </w:drawing>
      </w:r>
      <w:r>
        <w:rPr>
          <w:rFonts w:ascii="宋体" w:hAnsi="宋体" w:eastAsia="宋体" w:cs="宋体"/>
          <w:spacing w:val="-32"/>
          <w:sz w:val="18"/>
          <w:szCs w:val="18"/>
        </w:rPr>
        <w:t xml:space="preserve"> </w:t>
      </w:r>
      <w:r>
        <w:rPr>
          <w:rFonts w:ascii="宋体" w:hAnsi="宋体" w:eastAsia="宋体" w:cs="宋体"/>
          <w:spacing w:val="-1"/>
          <w:sz w:val="18"/>
          <w:szCs w:val="18"/>
        </w:rPr>
        <w:t>5号相关规定确定。</w:t>
      </w:r>
    </w:p>
    <w:p>
      <w:pPr>
        <w:spacing w:line="317" w:lineRule="auto"/>
        <w:rPr>
          <w:rFonts w:ascii="Arial"/>
          <w:sz w:val="21"/>
        </w:rPr>
      </w:pPr>
    </w:p>
    <w:p>
      <w:pPr>
        <w:spacing w:before="78" w:line="213" w:lineRule="auto"/>
        <w:ind w:left="505"/>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66"/>
          <w:sz w:val="24"/>
          <w:szCs w:val="24"/>
        </w:rPr>
        <w:t xml:space="preserve"> </w:t>
      </w:r>
      <w:r>
        <w:rPr>
          <w:rFonts w:ascii="KaiTi_GB2312" w:hAnsi="KaiTi_GB2312" w:eastAsia="KaiTi_GB2312" w:cs="KaiTi_GB2312"/>
          <w:spacing w:val="7"/>
          <w:sz w:val="24"/>
          <w:szCs w:val="24"/>
        </w:rPr>
        <w:t>二）总承包服务费（单位：%）</w:t>
      </w:r>
    </w:p>
    <w:p>
      <w:pPr>
        <w:spacing w:before="127"/>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0"/>
        <w:gridCol w:w="2484"/>
        <w:gridCol w:w="2609"/>
        <w:gridCol w:w="26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3844" w:type="dxa"/>
            <w:gridSpan w:val="2"/>
            <w:tcBorders>
              <w:top w:val="single" w:color="000000" w:sz="4" w:space="0"/>
              <w:left w:val="single" w:color="000000" w:sz="4" w:space="0"/>
            </w:tcBorders>
            <w:vAlign w:val="top"/>
          </w:tcPr>
          <w:p>
            <w:pPr>
              <w:spacing w:before="130" w:line="202" w:lineRule="auto"/>
              <w:ind w:left="1585"/>
              <w:rPr>
                <w:rFonts w:ascii="微软雅黑" w:hAnsi="微软雅黑" w:eastAsia="微软雅黑" w:cs="微软雅黑"/>
                <w:sz w:val="18"/>
                <w:szCs w:val="18"/>
              </w:rPr>
            </w:pPr>
            <w:r>
              <w:rPr>
                <w:rFonts w:ascii="微软雅黑" w:hAnsi="微软雅黑" w:eastAsia="微软雅黑" w:cs="微软雅黑"/>
                <w:spacing w:val="-4"/>
                <w:w w:val="97"/>
                <w:sz w:val="18"/>
                <w:szCs w:val="18"/>
              </w:rPr>
              <w:t>费用名称</w:t>
            </w:r>
          </w:p>
        </w:tc>
        <w:tc>
          <w:tcPr>
            <w:tcW w:w="2609" w:type="dxa"/>
            <w:tcBorders>
              <w:top w:val="single" w:color="000000" w:sz="4" w:space="0"/>
            </w:tcBorders>
            <w:vAlign w:val="top"/>
          </w:tcPr>
          <w:p>
            <w:pPr>
              <w:spacing w:before="131" w:line="202" w:lineRule="auto"/>
              <w:ind w:left="956"/>
              <w:rPr>
                <w:rFonts w:ascii="微软雅黑" w:hAnsi="微软雅黑" w:eastAsia="微软雅黑" w:cs="微软雅黑"/>
                <w:sz w:val="18"/>
                <w:szCs w:val="18"/>
              </w:rPr>
            </w:pPr>
            <w:r>
              <w:rPr>
                <w:rFonts w:ascii="微软雅黑" w:hAnsi="微软雅黑" w:eastAsia="微软雅黑" w:cs="微软雅黑"/>
                <w:spacing w:val="-4"/>
                <w:sz w:val="18"/>
                <w:szCs w:val="18"/>
              </w:rPr>
              <w:t>计费基础</w:t>
            </w:r>
          </w:p>
        </w:tc>
        <w:tc>
          <w:tcPr>
            <w:tcW w:w="2626" w:type="dxa"/>
            <w:tcBorders>
              <w:top w:val="single" w:color="000000" w:sz="4" w:space="0"/>
              <w:right w:val="single" w:color="000000" w:sz="4" w:space="0"/>
            </w:tcBorders>
            <w:vAlign w:val="top"/>
          </w:tcPr>
          <w:p>
            <w:pPr>
              <w:spacing w:before="131" w:line="202" w:lineRule="auto"/>
              <w:ind w:left="1158"/>
              <w:rPr>
                <w:rFonts w:ascii="微软雅黑" w:hAnsi="微软雅黑" w:eastAsia="微软雅黑" w:cs="微软雅黑"/>
                <w:sz w:val="18"/>
                <w:szCs w:val="18"/>
              </w:rPr>
            </w:pPr>
            <w:r>
              <w:rPr>
                <w:rFonts w:ascii="微软雅黑" w:hAnsi="微软雅黑" w:eastAsia="微软雅黑" w:cs="微软雅黑"/>
                <w:spacing w:val="-6"/>
                <w:sz w:val="18"/>
                <w:szCs w:val="18"/>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360" w:type="dxa"/>
            <w:vMerge w:val="restart"/>
            <w:tcBorders>
              <w:left w:val="single" w:color="000000" w:sz="4" w:space="0"/>
              <w:bottom w:val="nil"/>
            </w:tcBorders>
            <w:vAlign w:val="top"/>
          </w:tcPr>
          <w:p>
            <w:pPr>
              <w:pStyle w:val="6"/>
              <w:spacing w:line="323" w:lineRule="auto"/>
            </w:pPr>
          </w:p>
          <w:p>
            <w:pPr>
              <w:pStyle w:val="6"/>
              <w:spacing w:line="323" w:lineRule="auto"/>
            </w:pPr>
          </w:p>
          <w:p>
            <w:pPr>
              <w:spacing w:before="58" w:line="211" w:lineRule="auto"/>
              <w:ind w:left="151"/>
              <w:rPr>
                <w:rFonts w:ascii="宋体" w:hAnsi="宋体" w:eastAsia="宋体" w:cs="宋体"/>
                <w:sz w:val="18"/>
                <w:szCs w:val="18"/>
              </w:rPr>
            </w:pPr>
            <w:r>
              <w:rPr>
                <w:rFonts w:ascii="宋体" w:hAnsi="宋体" w:eastAsia="宋体" w:cs="宋体"/>
                <w:spacing w:val="-5"/>
                <w:sz w:val="18"/>
                <w:szCs w:val="18"/>
              </w:rPr>
              <w:t>总承包服务费</w:t>
            </w:r>
          </w:p>
        </w:tc>
        <w:tc>
          <w:tcPr>
            <w:tcW w:w="2484" w:type="dxa"/>
            <w:vAlign w:val="top"/>
          </w:tcPr>
          <w:p>
            <w:pPr>
              <w:spacing w:before="119" w:line="240" w:lineRule="exact"/>
              <w:ind w:left="616"/>
              <w:rPr>
                <w:rFonts w:ascii="宋体" w:hAnsi="宋体" w:eastAsia="宋体" w:cs="宋体"/>
                <w:sz w:val="18"/>
                <w:szCs w:val="18"/>
              </w:rPr>
            </w:pPr>
            <w:r>
              <w:rPr>
                <w:rFonts w:ascii="宋体" w:hAnsi="宋体" w:eastAsia="宋体" w:cs="宋体"/>
                <w:spacing w:val="-4"/>
                <w:position w:val="1"/>
                <w:sz w:val="18"/>
                <w:szCs w:val="18"/>
              </w:rPr>
              <w:t>发包人提供材料</w:t>
            </w:r>
          </w:p>
        </w:tc>
        <w:tc>
          <w:tcPr>
            <w:tcW w:w="2609" w:type="dxa"/>
            <w:vAlign w:val="top"/>
          </w:tcPr>
          <w:p>
            <w:pPr>
              <w:spacing w:before="119" w:line="240" w:lineRule="exact"/>
              <w:ind w:left="506"/>
              <w:rPr>
                <w:rFonts w:ascii="宋体" w:hAnsi="宋体" w:eastAsia="宋体" w:cs="宋体"/>
                <w:sz w:val="18"/>
                <w:szCs w:val="18"/>
              </w:rPr>
            </w:pPr>
            <w:r>
              <w:rPr>
                <w:rFonts w:ascii="宋体" w:hAnsi="宋体" w:eastAsia="宋体" w:cs="宋体"/>
                <w:spacing w:val="-4"/>
                <w:position w:val="1"/>
                <w:sz w:val="18"/>
                <w:szCs w:val="18"/>
              </w:rPr>
              <w:t>发包人提供的材料费</w:t>
            </w:r>
          </w:p>
        </w:tc>
        <w:tc>
          <w:tcPr>
            <w:tcW w:w="2626" w:type="dxa"/>
            <w:tcBorders>
              <w:right w:val="single" w:color="000000" w:sz="4" w:space="0"/>
            </w:tcBorders>
            <w:vAlign w:val="top"/>
          </w:tcPr>
          <w:p>
            <w:pPr>
              <w:spacing w:before="138" w:line="244" w:lineRule="exact"/>
              <w:ind w:left="1303"/>
              <w:rPr>
                <w:rFonts w:ascii="宋体" w:hAnsi="宋体" w:eastAsia="宋体" w:cs="宋体"/>
                <w:sz w:val="18"/>
                <w:szCs w:val="18"/>
              </w:rPr>
            </w:pPr>
            <w:r>
              <w:rPr>
                <w:rFonts w:ascii="宋体" w:hAnsi="宋体" w:eastAsia="宋体" w:cs="宋体"/>
                <w:position w:val="1"/>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6" w:hRule="atLeast"/>
        </w:trPr>
        <w:tc>
          <w:tcPr>
            <w:tcW w:w="1360" w:type="dxa"/>
            <w:vMerge w:val="continue"/>
            <w:tcBorders>
              <w:top w:val="nil"/>
              <w:left w:val="single" w:color="000000" w:sz="4" w:space="0"/>
              <w:bottom w:val="nil"/>
            </w:tcBorders>
            <w:vAlign w:val="top"/>
          </w:tcPr>
          <w:p>
            <w:pPr>
              <w:pStyle w:val="6"/>
            </w:pPr>
          </w:p>
        </w:tc>
        <w:tc>
          <w:tcPr>
            <w:tcW w:w="2484" w:type="dxa"/>
            <w:vAlign w:val="top"/>
          </w:tcPr>
          <w:p>
            <w:pPr>
              <w:spacing w:before="102" w:line="294" w:lineRule="auto"/>
              <w:ind w:left="347" w:right="254" w:hanging="95"/>
              <w:rPr>
                <w:rFonts w:ascii="宋体" w:hAnsi="宋体" w:eastAsia="宋体" w:cs="宋体"/>
                <w:sz w:val="18"/>
                <w:szCs w:val="18"/>
              </w:rPr>
            </w:pPr>
            <w:r>
              <w:rPr>
                <w:rFonts w:ascii="宋体" w:hAnsi="宋体" w:eastAsia="宋体" w:cs="宋体"/>
                <w:spacing w:val="-1"/>
                <w:sz w:val="18"/>
                <w:szCs w:val="18"/>
              </w:rPr>
              <w:t>合同范围内专业分包工程</w:t>
            </w:r>
            <w:r>
              <w:rPr>
                <w:rFonts w:ascii="宋体" w:hAnsi="宋体" w:eastAsia="宋体" w:cs="宋体"/>
                <w:spacing w:val="-3"/>
                <w:sz w:val="18"/>
                <w:szCs w:val="18"/>
              </w:rPr>
              <w:t>（承包人实施的除外）</w:t>
            </w:r>
          </w:p>
        </w:tc>
        <w:tc>
          <w:tcPr>
            <w:tcW w:w="2609" w:type="dxa"/>
            <w:vAlign w:val="top"/>
          </w:tcPr>
          <w:p>
            <w:pPr>
              <w:spacing w:before="85" w:line="213" w:lineRule="auto"/>
              <w:ind w:left="593"/>
              <w:rPr>
                <w:rFonts w:ascii="宋体" w:hAnsi="宋体" w:eastAsia="宋体" w:cs="宋体"/>
                <w:sz w:val="18"/>
                <w:szCs w:val="18"/>
              </w:rPr>
            </w:pPr>
            <w:r>
              <w:rPr>
                <w:rFonts w:ascii="宋体" w:hAnsi="宋体" w:eastAsia="宋体" w:cs="宋体"/>
                <w:spacing w:val="-2"/>
                <w:sz w:val="18"/>
                <w:szCs w:val="18"/>
              </w:rPr>
              <w:t>专业工程暂估价或</w:t>
            </w:r>
          </w:p>
          <w:p>
            <w:pPr>
              <w:spacing w:before="135" w:line="213" w:lineRule="auto"/>
              <w:ind w:left="503"/>
              <w:rPr>
                <w:rFonts w:ascii="宋体" w:hAnsi="宋体" w:eastAsia="宋体" w:cs="宋体"/>
                <w:sz w:val="18"/>
                <w:szCs w:val="18"/>
              </w:rPr>
            </w:pPr>
            <w:r>
              <w:rPr>
                <w:rFonts w:ascii="宋体" w:hAnsi="宋体" w:eastAsia="宋体" w:cs="宋体"/>
                <w:spacing w:val="-3"/>
                <w:sz w:val="18"/>
                <w:szCs w:val="18"/>
              </w:rPr>
              <w:t>确认的专业工程价款</w:t>
            </w:r>
          </w:p>
        </w:tc>
        <w:tc>
          <w:tcPr>
            <w:tcW w:w="2626" w:type="dxa"/>
            <w:tcBorders>
              <w:right w:val="single" w:color="000000" w:sz="4" w:space="0"/>
            </w:tcBorders>
            <w:vAlign w:val="top"/>
          </w:tcPr>
          <w:p>
            <w:pPr>
              <w:spacing w:before="257" w:line="261" w:lineRule="exact"/>
              <w:ind w:left="1281"/>
              <w:rPr>
                <w:rFonts w:ascii="宋体" w:hAnsi="宋体" w:eastAsia="宋体" w:cs="宋体"/>
                <w:sz w:val="18"/>
                <w:szCs w:val="18"/>
              </w:rPr>
            </w:pPr>
            <w:r>
              <w:rPr>
                <w:rFonts w:ascii="宋体" w:hAnsi="宋体" w:eastAsia="宋体" w:cs="宋体"/>
                <w:position w:val="2"/>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1360" w:type="dxa"/>
            <w:vMerge w:val="continue"/>
            <w:tcBorders>
              <w:top w:val="nil"/>
              <w:left w:val="single" w:color="000000" w:sz="4" w:space="0"/>
              <w:bottom w:val="single" w:color="000000" w:sz="4" w:space="0"/>
            </w:tcBorders>
            <w:vAlign w:val="top"/>
          </w:tcPr>
          <w:p>
            <w:pPr>
              <w:pStyle w:val="6"/>
            </w:pPr>
          </w:p>
        </w:tc>
        <w:tc>
          <w:tcPr>
            <w:tcW w:w="2484" w:type="dxa"/>
            <w:tcBorders>
              <w:bottom w:val="single" w:color="000000" w:sz="4" w:space="0"/>
            </w:tcBorders>
            <w:vAlign w:val="top"/>
          </w:tcPr>
          <w:p>
            <w:pPr>
              <w:spacing w:before="143" w:line="215" w:lineRule="auto"/>
              <w:ind w:left="167"/>
              <w:rPr>
                <w:rFonts w:ascii="宋体" w:hAnsi="宋体" w:eastAsia="宋体" w:cs="宋体"/>
                <w:sz w:val="18"/>
                <w:szCs w:val="18"/>
              </w:rPr>
            </w:pPr>
            <w:r>
              <w:rPr>
                <w:rFonts w:ascii="宋体" w:hAnsi="宋体" w:eastAsia="宋体" w:cs="宋体"/>
                <w:spacing w:val="-3"/>
                <w:sz w:val="18"/>
                <w:szCs w:val="18"/>
              </w:rPr>
              <w:t>发包人直接发包的专业工程</w:t>
            </w:r>
          </w:p>
        </w:tc>
        <w:tc>
          <w:tcPr>
            <w:tcW w:w="5235" w:type="dxa"/>
            <w:gridSpan w:val="2"/>
            <w:tcBorders>
              <w:bottom w:val="single" w:color="000000" w:sz="4" w:space="0"/>
              <w:right w:val="single" w:color="000000" w:sz="4" w:space="0"/>
            </w:tcBorders>
            <w:vAlign w:val="top"/>
          </w:tcPr>
          <w:p>
            <w:pPr>
              <w:spacing w:before="144" w:line="212" w:lineRule="auto"/>
              <w:ind w:left="1629"/>
              <w:rPr>
                <w:rFonts w:ascii="宋体" w:hAnsi="宋体" w:eastAsia="宋体" w:cs="宋体"/>
                <w:sz w:val="18"/>
                <w:szCs w:val="18"/>
              </w:rPr>
            </w:pPr>
            <w:r>
              <w:rPr>
                <w:rFonts w:ascii="宋体" w:hAnsi="宋体" w:eastAsia="宋体" w:cs="宋体"/>
                <w:spacing w:val="-6"/>
                <w:sz w:val="18"/>
                <w:szCs w:val="18"/>
              </w:rPr>
              <w:t>按合同约定以“项”计算</w:t>
            </w:r>
          </w:p>
        </w:tc>
      </w:tr>
    </w:tbl>
    <w:p>
      <w:pPr>
        <w:spacing w:line="386" w:lineRule="auto"/>
        <w:rPr>
          <w:rFonts w:ascii="Arial"/>
          <w:sz w:val="21"/>
        </w:rPr>
      </w:pPr>
    </w:p>
    <w:p>
      <w:pPr>
        <w:pStyle w:val="2"/>
        <w:spacing w:before="103" w:line="203" w:lineRule="auto"/>
        <w:ind w:left="483"/>
        <w:rPr>
          <w:sz w:val="24"/>
          <w:szCs w:val="24"/>
        </w:rPr>
      </w:pPr>
      <w:r>
        <w:rPr>
          <w:spacing w:val="-13"/>
          <w:sz w:val="24"/>
          <w:szCs w:val="24"/>
        </w:rPr>
        <w:t>四、增值税</w:t>
      </w:r>
    </w:p>
    <w:p>
      <w:pPr>
        <w:spacing w:before="106" w:line="237" w:lineRule="auto"/>
        <w:ind w:right="14"/>
        <w:jc w:val="right"/>
        <w:rPr>
          <w:rFonts w:ascii="宋体" w:hAnsi="宋体" w:eastAsia="宋体" w:cs="宋体"/>
          <w:sz w:val="18"/>
          <w:szCs w:val="18"/>
        </w:rPr>
      </w:pPr>
      <w:r>
        <w:rPr>
          <w:rFonts w:ascii="宋体" w:hAnsi="宋体" w:eastAsia="宋体" w:cs="宋体"/>
          <w:spacing w:val="10"/>
          <w:sz w:val="18"/>
          <w:szCs w:val="18"/>
        </w:rPr>
        <w:t>单位：%</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59"/>
        <w:gridCol w:w="3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6059" w:type="dxa"/>
            <w:tcBorders>
              <w:top w:val="single" w:color="000000" w:sz="4" w:space="0"/>
              <w:left w:val="single" w:color="000000" w:sz="4" w:space="0"/>
            </w:tcBorders>
            <w:vAlign w:val="top"/>
          </w:tcPr>
          <w:p>
            <w:pPr>
              <w:spacing w:before="161" w:line="211" w:lineRule="auto"/>
              <w:ind w:left="2693"/>
              <w:rPr>
                <w:rFonts w:ascii="宋体" w:hAnsi="宋体" w:eastAsia="宋体" w:cs="宋体"/>
                <w:sz w:val="18"/>
                <w:szCs w:val="18"/>
              </w:rPr>
            </w:pPr>
            <w:r>
              <w:rPr>
                <w:rFonts w:ascii="宋体" w:hAnsi="宋体" w:eastAsia="宋体" w:cs="宋体"/>
                <w:spacing w:val="-8"/>
                <w:sz w:val="18"/>
                <w:szCs w:val="18"/>
              </w:rPr>
              <w:t>费用名称</w:t>
            </w:r>
          </w:p>
        </w:tc>
        <w:tc>
          <w:tcPr>
            <w:tcW w:w="3020" w:type="dxa"/>
            <w:tcBorders>
              <w:top w:val="single" w:color="000000" w:sz="4" w:space="0"/>
              <w:right w:val="single" w:color="000000" w:sz="4" w:space="0"/>
            </w:tcBorders>
            <w:vAlign w:val="top"/>
          </w:tcPr>
          <w:p>
            <w:pPr>
              <w:spacing w:before="157" w:line="214" w:lineRule="auto"/>
              <w:ind w:left="1336"/>
              <w:rPr>
                <w:rFonts w:ascii="宋体" w:hAnsi="宋体" w:eastAsia="宋体" w:cs="宋体"/>
                <w:sz w:val="18"/>
                <w:szCs w:val="18"/>
              </w:rPr>
            </w:pPr>
            <w:r>
              <w:rPr>
                <w:rFonts w:ascii="宋体" w:hAnsi="宋体" w:eastAsia="宋体" w:cs="宋体"/>
                <w:spacing w:val="-2"/>
                <w:sz w:val="18"/>
                <w:szCs w:val="18"/>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6059" w:type="dxa"/>
            <w:tcBorders>
              <w:left w:val="single" w:color="000000" w:sz="4" w:space="0"/>
            </w:tcBorders>
            <w:vAlign w:val="top"/>
          </w:tcPr>
          <w:p>
            <w:pPr>
              <w:spacing w:before="151" w:line="241" w:lineRule="exact"/>
              <w:ind w:left="2228"/>
              <w:rPr>
                <w:rFonts w:ascii="宋体" w:hAnsi="宋体" w:eastAsia="宋体" w:cs="宋体"/>
                <w:sz w:val="18"/>
                <w:szCs w:val="18"/>
              </w:rPr>
            </w:pPr>
            <w:r>
              <w:rPr>
                <w:rFonts w:ascii="宋体" w:hAnsi="宋体" w:eastAsia="宋体" w:cs="宋体"/>
                <w:spacing w:val="-2"/>
                <w:position w:val="1"/>
                <w:sz w:val="18"/>
                <w:szCs w:val="18"/>
              </w:rPr>
              <w:t>增值税（一般计税）</w:t>
            </w:r>
          </w:p>
        </w:tc>
        <w:tc>
          <w:tcPr>
            <w:tcW w:w="3020" w:type="dxa"/>
            <w:tcBorders>
              <w:right w:val="single" w:color="000000" w:sz="4" w:space="0"/>
            </w:tcBorders>
            <w:vAlign w:val="top"/>
          </w:tcPr>
          <w:p>
            <w:pPr>
              <w:spacing w:before="170" w:line="229" w:lineRule="auto"/>
              <w:ind w:left="1473"/>
              <w:rPr>
                <w:rFonts w:ascii="宋体" w:hAnsi="宋体" w:eastAsia="宋体" w:cs="宋体"/>
                <w:sz w:val="18"/>
                <w:szCs w:val="18"/>
              </w:rPr>
            </w:pPr>
            <w:r>
              <w:rPr>
                <w:rFonts w:ascii="宋体" w:hAnsi="宋体" w:eastAsia="宋体" w:cs="宋体"/>
                <w:sz w:val="18"/>
                <w:szCs w:val="18"/>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6059" w:type="dxa"/>
            <w:tcBorders>
              <w:left w:val="single" w:color="000000" w:sz="4" w:space="0"/>
              <w:bottom w:val="single" w:color="000000" w:sz="4" w:space="0"/>
            </w:tcBorders>
            <w:vAlign w:val="top"/>
          </w:tcPr>
          <w:p>
            <w:pPr>
              <w:spacing w:before="160" w:line="240" w:lineRule="exact"/>
              <w:ind w:left="2228"/>
              <w:rPr>
                <w:rFonts w:ascii="宋体" w:hAnsi="宋体" w:eastAsia="宋体" w:cs="宋体"/>
                <w:sz w:val="18"/>
                <w:szCs w:val="18"/>
              </w:rPr>
            </w:pPr>
            <w:r>
              <w:rPr>
                <w:rFonts w:ascii="宋体" w:hAnsi="宋体" w:eastAsia="宋体" w:cs="宋体"/>
                <w:spacing w:val="-2"/>
                <w:position w:val="1"/>
                <w:sz w:val="18"/>
                <w:szCs w:val="18"/>
              </w:rPr>
              <w:t>增值税（简易计税）</w:t>
            </w:r>
          </w:p>
        </w:tc>
        <w:tc>
          <w:tcPr>
            <w:tcW w:w="3020" w:type="dxa"/>
            <w:tcBorders>
              <w:bottom w:val="single" w:color="000000" w:sz="4" w:space="0"/>
              <w:right w:val="single" w:color="000000" w:sz="4" w:space="0"/>
            </w:tcBorders>
            <w:vAlign w:val="top"/>
          </w:tcPr>
          <w:p>
            <w:pPr>
              <w:spacing w:before="155" w:line="253" w:lineRule="exact"/>
              <w:ind w:left="1478"/>
              <w:rPr>
                <w:rFonts w:ascii="宋体" w:hAnsi="宋体" w:eastAsia="宋体" w:cs="宋体"/>
                <w:sz w:val="18"/>
                <w:szCs w:val="18"/>
              </w:rPr>
            </w:pPr>
            <w:r>
              <w:rPr>
                <w:rFonts w:ascii="宋体" w:hAnsi="宋体" w:eastAsia="宋体" w:cs="宋体"/>
                <w:position w:val="1"/>
                <w:sz w:val="18"/>
                <w:szCs w:val="18"/>
              </w:rPr>
              <w:t>3</w:t>
            </w:r>
          </w:p>
        </w:tc>
      </w:tr>
    </w:tbl>
    <w:p>
      <w:pPr>
        <w:rPr>
          <w:rFonts w:ascii="Arial"/>
          <w:sz w:val="21"/>
        </w:rPr>
      </w:pPr>
    </w:p>
    <w:p>
      <w:pPr>
        <w:rPr>
          <w:rFonts w:ascii="Arial" w:hAnsi="Arial" w:eastAsia="Arial" w:cs="Arial"/>
          <w:sz w:val="21"/>
          <w:szCs w:val="21"/>
        </w:rPr>
        <w:sectPr>
          <w:footerReference r:id="rId79" w:type="default"/>
          <w:pgSz w:w="11905" w:h="16840"/>
          <w:pgMar w:top="400" w:right="1398" w:bottom="1213" w:left="1416" w:header="0" w:footer="898" w:gutter="0"/>
        </w:sectPr>
      </w:pPr>
    </w:p>
    <w:p>
      <w:pPr>
        <w:spacing w:line="316" w:lineRule="auto"/>
        <w:rPr>
          <w:rFonts w:ascii="Arial"/>
          <w:sz w:val="21"/>
        </w:rPr>
      </w:pPr>
    </w:p>
    <w:p>
      <w:pPr>
        <w:spacing w:line="316" w:lineRule="auto"/>
        <w:rPr>
          <w:rFonts w:ascii="Arial"/>
          <w:sz w:val="21"/>
        </w:rPr>
      </w:pPr>
    </w:p>
    <w:p>
      <w:pPr>
        <w:spacing w:line="316" w:lineRule="auto"/>
        <w:rPr>
          <w:rFonts w:ascii="Arial"/>
          <w:sz w:val="21"/>
        </w:rPr>
      </w:pPr>
    </w:p>
    <w:p>
      <w:pPr>
        <w:spacing w:before="97" w:line="213" w:lineRule="auto"/>
        <w:ind w:left="2729"/>
        <w:outlineLvl w:val="1"/>
        <w:rPr>
          <w:rFonts w:ascii="宋体" w:hAnsi="宋体" w:eastAsia="宋体" w:cs="宋体"/>
          <w:sz w:val="30"/>
          <w:szCs w:val="30"/>
        </w:rPr>
      </w:pPr>
      <w:bookmarkStart w:id="43" w:name="bookmark31"/>
      <w:bookmarkEnd w:id="43"/>
      <w:bookmarkStart w:id="44" w:name="bookmark30"/>
      <w:bookmarkEnd w:id="44"/>
      <w:r>
        <w:rPr>
          <w:rFonts w:ascii="宋体" w:hAnsi="宋体" w:eastAsia="宋体" w:cs="宋体"/>
          <w:b/>
          <w:bCs/>
          <w:spacing w:val="-3"/>
          <w:sz w:val="30"/>
          <w:szCs w:val="30"/>
        </w:rPr>
        <w:t>第五节</w:t>
      </w:r>
      <w:r>
        <w:rPr>
          <w:rFonts w:ascii="宋体" w:hAnsi="宋体" w:eastAsia="宋体" w:cs="宋体"/>
          <w:spacing w:val="-3"/>
          <w:sz w:val="30"/>
          <w:szCs w:val="30"/>
        </w:rPr>
        <w:t xml:space="preserve">  </w:t>
      </w:r>
      <w:r>
        <w:rPr>
          <w:rFonts w:ascii="宋体" w:hAnsi="宋体" w:eastAsia="宋体" w:cs="宋体"/>
          <w:b/>
          <w:bCs/>
          <w:spacing w:val="-3"/>
          <w:sz w:val="30"/>
          <w:szCs w:val="30"/>
        </w:rPr>
        <w:t>工程类别划分标准</w:t>
      </w:r>
    </w:p>
    <w:p>
      <w:pPr>
        <w:spacing w:before="257" w:line="222" w:lineRule="auto"/>
        <w:ind w:left="4121"/>
        <w:rPr>
          <w:rFonts w:ascii="黑体" w:hAnsi="黑体" w:eastAsia="黑体" w:cs="黑体"/>
          <w:sz w:val="28"/>
          <w:szCs w:val="28"/>
        </w:rPr>
      </w:pPr>
      <w:r>
        <w:rPr>
          <w:rFonts w:ascii="黑体" w:hAnsi="黑体" w:eastAsia="黑体" w:cs="黑体"/>
          <w:spacing w:val="-8"/>
          <w:sz w:val="28"/>
          <w:szCs w:val="28"/>
        </w:rPr>
        <w:t>说</w:t>
      </w:r>
      <w:r>
        <w:rPr>
          <w:rFonts w:ascii="黑体" w:hAnsi="黑体" w:eastAsia="黑体" w:cs="黑体"/>
          <w:spacing w:val="27"/>
          <w:sz w:val="28"/>
          <w:szCs w:val="28"/>
        </w:rPr>
        <w:t xml:space="preserve">  </w:t>
      </w:r>
      <w:r>
        <w:rPr>
          <w:rFonts w:ascii="黑体" w:hAnsi="黑体" w:eastAsia="黑体" w:cs="黑体"/>
          <w:spacing w:val="-8"/>
          <w:sz w:val="28"/>
          <w:szCs w:val="28"/>
        </w:rPr>
        <w:t>明</w:t>
      </w:r>
    </w:p>
    <w:p>
      <w:pPr>
        <w:spacing w:line="256" w:lineRule="auto"/>
        <w:rPr>
          <w:rFonts w:ascii="Arial"/>
          <w:sz w:val="21"/>
        </w:rPr>
      </w:pPr>
    </w:p>
    <w:p>
      <w:pPr>
        <w:spacing w:line="256" w:lineRule="auto"/>
        <w:rPr>
          <w:rFonts w:ascii="Arial"/>
          <w:sz w:val="21"/>
        </w:rPr>
      </w:pPr>
    </w:p>
    <w:p>
      <w:pPr>
        <w:spacing w:before="65" w:line="222" w:lineRule="auto"/>
        <w:jc w:val="right"/>
        <w:rPr>
          <w:rFonts w:ascii="宋体" w:hAnsi="宋体" w:eastAsia="宋体" w:cs="宋体"/>
          <w:sz w:val="20"/>
          <w:szCs w:val="20"/>
        </w:rPr>
      </w:pPr>
      <w:r>
        <w:rPr>
          <w:rFonts w:ascii="宋体" w:hAnsi="宋体" w:eastAsia="宋体" w:cs="宋体"/>
          <w:spacing w:val="6"/>
          <w:sz w:val="20"/>
          <w:szCs w:val="20"/>
        </w:rPr>
        <w:t>一、本节中的工程类别划分标准是结合山东省实际，根据不同专业工程的施</w:t>
      </w:r>
      <w:r>
        <w:rPr>
          <w:rFonts w:ascii="宋体" w:hAnsi="宋体" w:eastAsia="宋体" w:cs="宋体"/>
          <w:spacing w:val="5"/>
          <w:sz w:val="20"/>
          <w:szCs w:val="20"/>
        </w:rPr>
        <w:t>工难易程度确定的。</w:t>
      </w:r>
    </w:p>
    <w:p>
      <w:pPr>
        <w:spacing w:before="149" w:line="300" w:lineRule="auto"/>
        <w:ind w:left="1" w:right="7" w:firstLine="427"/>
        <w:rPr>
          <w:rFonts w:ascii="宋体" w:hAnsi="宋体" w:eastAsia="宋体" w:cs="宋体"/>
          <w:sz w:val="20"/>
          <w:szCs w:val="20"/>
        </w:rPr>
      </w:pPr>
      <w:r>
        <w:rPr>
          <w:rFonts w:ascii="宋体" w:hAnsi="宋体" w:eastAsia="宋体" w:cs="宋体"/>
          <w:spacing w:val="11"/>
          <w:sz w:val="20"/>
          <w:szCs w:val="20"/>
        </w:rPr>
        <w:t>二、确定工程类别以单位工程为划分对象。一个单项工程可</w:t>
      </w:r>
      <w:r>
        <w:rPr>
          <w:rFonts w:ascii="宋体" w:hAnsi="宋体" w:eastAsia="宋体" w:cs="宋体"/>
          <w:spacing w:val="10"/>
          <w:sz w:val="20"/>
          <w:szCs w:val="20"/>
        </w:rPr>
        <w:t>包括建筑工程、装饰工程、给排水工程、暖通工程、电气工程等若干个相对独立的单位工</w:t>
      </w:r>
      <w:r>
        <w:rPr>
          <w:rFonts w:ascii="宋体" w:hAnsi="宋体" w:eastAsia="宋体" w:cs="宋体"/>
          <w:spacing w:val="9"/>
          <w:sz w:val="20"/>
          <w:szCs w:val="20"/>
        </w:rPr>
        <w:t>程。一个单位工程只能确定一个工程类别。</w:t>
      </w:r>
    </w:p>
    <w:p>
      <w:pPr>
        <w:spacing w:before="161" w:line="222" w:lineRule="auto"/>
        <w:ind w:left="432"/>
        <w:rPr>
          <w:rFonts w:ascii="宋体" w:hAnsi="宋体" w:eastAsia="宋体" w:cs="宋体"/>
          <w:sz w:val="20"/>
          <w:szCs w:val="20"/>
        </w:rPr>
      </w:pPr>
      <w:r>
        <w:rPr>
          <w:rFonts w:ascii="宋体" w:hAnsi="宋体" w:eastAsia="宋体" w:cs="宋体"/>
          <w:spacing w:val="9"/>
          <w:sz w:val="20"/>
          <w:szCs w:val="20"/>
        </w:rPr>
        <w:t>三、工程类别划分标准缺项时，发承包双方根据招标文件和合同约定协商处理。</w:t>
      </w:r>
    </w:p>
    <w:p>
      <w:pPr>
        <w:spacing w:before="159" w:line="295" w:lineRule="auto"/>
        <w:ind w:left="1" w:right="74" w:firstLine="448"/>
        <w:rPr>
          <w:rFonts w:ascii="宋体" w:hAnsi="宋体" w:eastAsia="宋体" w:cs="宋体"/>
          <w:sz w:val="20"/>
          <w:szCs w:val="20"/>
        </w:rPr>
      </w:pPr>
      <w:r>
        <w:rPr>
          <w:rFonts w:ascii="宋体" w:hAnsi="宋体" w:eastAsia="宋体" w:cs="宋体"/>
          <w:spacing w:val="9"/>
          <w:sz w:val="20"/>
          <w:szCs w:val="20"/>
        </w:rPr>
        <w:t>四、安装工程、市政工程、园林绿化工程、房</w:t>
      </w:r>
      <w:r>
        <w:rPr>
          <w:rFonts w:ascii="宋体" w:hAnsi="宋体" w:eastAsia="宋体" w:cs="宋体"/>
          <w:spacing w:val="8"/>
          <w:sz w:val="20"/>
          <w:szCs w:val="20"/>
        </w:rPr>
        <w:t>屋修缮工程、古建筑修缮工程、市政养护维修工</w:t>
      </w:r>
      <w:r>
        <w:rPr>
          <w:rFonts w:ascii="宋体" w:hAnsi="宋体" w:eastAsia="宋体" w:cs="宋体"/>
          <w:spacing w:val="9"/>
          <w:sz w:val="20"/>
          <w:szCs w:val="20"/>
        </w:rPr>
        <w:t>程、仿古建筑工程不区分工程类别等级。</w:t>
      </w:r>
    </w:p>
    <w:p>
      <w:pPr>
        <w:spacing w:line="295" w:lineRule="auto"/>
        <w:rPr>
          <w:rFonts w:ascii="宋体" w:hAnsi="宋体" w:eastAsia="宋体" w:cs="宋体"/>
          <w:sz w:val="20"/>
          <w:szCs w:val="20"/>
        </w:rPr>
        <w:sectPr>
          <w:footerReference r:id="rId80" w:type="default"/>
          <w:pgSz w:w="11905" w:h="16840"/>
          <w:pgMar w:top="400" w:right="1412" w:bottom="1213" w:left="1418" w:header="0" w:footer="898" w:gutter="0"/>
        </w:sectPr>
      </w:pPr>
    </w:p>
    <w:p>
      <w:pPr>
        <w:spacing w:line="309" w:lineRule="auto"/>
        <w:rPr>
          <w:rFonts w:ascii="Arial"/>
          <w:sz w:val="21"/>
        </w:rPr>
      </w:pPr>
    </w:p>
    <w:p>
      <w:pPr>
        <w:spacing w:line="309" w:lineRule="auto"/>
        <w:rPr>
          <w:rFonts w:ascii="Arial"/>
          <w:sz w:val="21"/>
        </w:rPr>
      </w:pPr>
    </w:p>
    <w:p>
      <w:pPr>
        <w:spacing w:line="310" w:lineRule="auto"/>
        <w:rPr>
          <w:rFonts w:ascii="Arial"/>
          <w:sz w:val="21"/>
        </w:rPr>
      </w:pPr>
    </w:p>
    <w:p>
      <w:pPr>
        <w:pStyle w:val="2"/>
        <w:spacing w:before="102" w:line="203" w:lineRule="auto"/>
        <w:ind w:left="491"/>
        <w:rPr>
          <w:sz w:val="24"/>
          <w:szCs w:val="24"/>
        </w:rPr>
      </w:pPr>
      <w:r>
        <w:rPr>
          <w:spacing w:val="-7"/>
          <w:sz w:val="24"/>
          <w:szCs w:val="24"/>
        </w:rPr>
        <w:t>一、建筑工程</w:t>
      </w:r>
    </w:p>
    <w:p>
      <w:pPr>
        <w:spacing w:before="146" w:line="215" w:lineRule="auto"/>
        <w:ind w:left="426"/>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59"/>
          <w:sz w:val="24"/>
          <w:szCs w:val="24"/>
        </w:rPr>
        <w:t xml:space="preserve"> </w:t>
      </w:r>
      <w:r>
        <w:rPr>
          <w:rFonts w:ascii="KaiTi_GB2312" w:hAnsi="KaiTi_GB2312" w:eastAsia="KaiTi_GB2312" w:cs="KaiTi_GB2312"/>
          <w:spacing w:val="7"/>
          <w:sz w:val="24"/>
          <w:szCs w:val="24"/>
        </w:rPr>
        <w:t>一）建筑工程类别划分标准</w:t>
      </w:r>
    </w:p>
    <w:p>
      <w:pPr>
        <w:spacing w:line="70"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2"/>
        <w:gridCol w:w="803"/>
        <w:gridCol w:w="853"/>
        <w:gridCol w:w="1525"/>
        <w:gridCol w:w="673"/>
        <w:gridCol w:w="1531"/>
        <w:gridCol w:w="1531"/>
        <w:gridCol w:w="15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328" w:hRule="atLeast"/>
        </w:trPr>
        <w:tc>
          <w:tcPr>
            <w:tcW w:w="3793" w:type="dxa"/>
            <w:gridSpan w:val="4"/>
            <w:vMerge w:val="restart"/>
            <w:tcBorders>
              <w:top w:val="single" w:color="000000" w:sz="4" w:space="0"/>
              <w:left w:val="single" w:color="000000" w:sz="4" w:space="0"/>
              <w:bottom w:val="nil"/>
            </w:tcBorders>
            <w:vAlign w:val="top"/>
          </w:tcPr>
          <w:p>
            <w:pPr>
              <w:spacing w:before="249" w:line="203" w:lineRule="auto"/>
              <w:ind w:left="1553"/>
              <w:rPr>
                <w:rFonts w:ascii="微软雅黑" w:hAnsi="微软雅黑" w:eastAsia="微软雅黑" w:cs="微软雅黑"/>
                <w:sz w:val="18"/>
                <w:szCs w:val="18"/>
              </w:rPr>
            </w:pPr>
            <w:r>
              <w:rPr>
                <w:rFonts w:ascii="微软雅黑" w:hAnsi="微软雅黑" w:eastAsia="微软雅黑" w:cs="微软雅黑"/>
                <w:spacing w:val="-3"/>
                <w:w w:val="98"/>
                <w:sz w:val="18"/>
                <w:szCs w:val="18"/>
              </w:rPr>
              <w:t>工程特征</w:t>
            </w:r>
          </w:p>
        </w:tc>
        <w:tc>
          <w:tcPr>
            <w:tcW w:w="673" w:type="dxa"/>
            <w:vMerge w:val="restart"/>
            <w:tcBorders>
              <w:top w:val="single" w:color="000000" w:sz="4" w:space="0"/>
              <w:bottom w:val="nil"/>
            </w:tcBorders>
            <w:vAlign w:val="top"/>
          </w:tcPr>
          <w:p>
            <w:pPr>
              <w:spacing w:before="248" w:line="203" w:lineRule="auto"/>
              <w:ind w:left="171"/>
              <w:rPr>
                <w:rFonts w:ascii="微软雅黑" w:hAnsi="微软雅黑" w:eastAsia="微软雅黑" w:cs="微软雅黑"/>
                <w:sz w:val="18"/>
                <w:szCs w:val="18"/>
              </w:rPr>
            </w:pPr>
            <w:r>
              <w:rPr>
                <w:rFonts w:ascii="微软雅黑" w:hAnsi="微软雅黑" w:eastAsia="微软雅黑" w:cs="微软雅黑"/>
                <w:spacing w:val="-6"/>
                <w:sz w:val="18"/>
                <w:szCs w:val="18"/>
              </w:rPr>
              <w:t>单位</w:t>
            </w:r>
          </w:p>
        </w:tc>
        <w:tc>
          <w:tcPr>
            <w:tcW w:w="4613" w:type="dxa"/>
            <w:gridSpan w:val="3"/>
            <w:tcBorders>
              <w:top w:val="single" w:color="000000" w:sz="4" w:space="0"/>
              <w:right w:val="single" w:color="000000" w:sz="4" w:space="0"/>
            </w:tcBorders>
            <w:vAlign w:val="top"/>
          </w:tcPr>
          <w:p>
            <w:pPr>
              <w:spacing w:before="87" w:line="179" w:lineRule="auto"/>
              <w:ind w:left="1961"/>
              <w:rPr>
                <w:rFonts w:ascii="微软雅黑" w:hAnsi="微软雅黑" w:eastAsia="微软雅黑" w:cs="微软雅黑"/>
                <w:sz w:val="18"/>
                <w:szCs w:val="18"/>
              </w:rPr>
            </w:pPr>
            <w:r>
              <w:rPr>
                <w:rFonts w:ascii="微软雅黑" w:hAnsi="微软雅黑" w:eastAsia="微软雅黑" w:cs="微软雅黑"/>
                <w:spacing w:val="-5"/>
                <w:w w:val="99"/>
                <w:sz w:val="18"/>
                <w:szCs w:val="18"/>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8" w:hRule="atLeast"/>
        </w:trPr>
        <w:tc>
          <w:tcPr>
            <w:tcW w:w="3793" w:type="dxa"/>
            <w:gridSpan w:val="4"/>
            <w:vMerge w:val="continue"/>
            <w:tcBorders>
              <w:top w:val="nil"/>
              <w:left w:val="single" w:color="000000" w:sz="4" w:space="0"/>
            </w:tcBorders>
            <w:vAlign w:val="top"/>
          </w:tcPr>
          <w:p>
            <w:pPr>
              <w:pStyle w:val="6"/>
            </w:pPr>
          </w:p>
        </w:tc>
        <w:tc>
          <w:tcPr>
            <w:tcW w:w="673" w:type="dxa"/>
            <w:vMerge w:val="continue"/>
            <w:tcBorders>
              <w:top w:val="nil"/>
            </w:tcBorders>
            <w:vAlign w:val="top"/>
          </w:tcPr>
          <w:p>
            <w:pPr>
              <w:pStyle w:val="6"/>
            </w:pPr>
          </w:p>
        </w:tc>
        <w:tc>
          <w:tcPr>
            <w:tcW w:w="1531" w:type="dxa"/>
            <w:vAlign w:val="top"/>
          </w:tcPr>
          <w:p>
            <w:pPr>
              <w:spacing w:before="97" w:line="236" w:lineRule="auto"/>
              <w:ind w:left="741"/>
              <w:rPr>
                <w:rFonts w:ascii="宋体" w:hAnsi="宋体" w:eastAsia="宋体" w:cs="宋体"/>
                <w:sz w:val="18"/>
                <w:szCs w:val="18"/>
              </w:rPr>
            </w:pPr>
            <w:r>
              <w:rPr>
                <w:rFonts w:ascii="宋体" w:hAnsi="宋体" w:eastAsia="宋体" w:cs="宋体"/>
                <w:sz w:val="18"/>
                <w:szCs w:val="18"/>
              </w:rPr>
              <w:t>I</w:t>
            </w:r>
          </w:p>
        </w:tc>
        <w:tc>
          <w:tcPr>
            <w:tcW w:w="1531" w:type="dxa"/>
            <w:vAlign w:val="top"/>
          </w:tcPr>
          <w:p>
            <w:pPr>
              <w:spacing w:before="97" w:line="236" w:lineRule="auto"/>
              <w:ind w:left="700"/>
              <w:rPr>
                <w:rFonts w:ascii="宋体" w:hAnsi="宋体" w:eastAsia="宋体" w:cs="宋体"/>
                <w:sz w:val="18"/>
                <w:szCs w:val="18"/>
              </w:rPr>
            </w:pPr>
            <w:r>
              <w:rPr>
                <w:rFonts w:ascii="宋体" w:hAnsi="宋体" w:eastAsia="宋体" w:cs="宋体"/>
                <w:spacing w:val="-18"/>
                <w:sz w:val="18"/>
                <w:szCs w:val="18"/>
              </w:rPr>
              <w:t>II</w:t>
            </w:r>
          </w:p>
        </w:tc>
        <w:tc>
          <w:tcPr>
            <w:tcW w:w="1551" w:type="dxa"/>
            <w:tcBorders>
              <w:right w:val="single" w:color="000000" w:sz="4" w:space="0"/>
            </w:tcBorders>
            <w:vAlign w:val="top"/>
          </w:tcPr>
          <w:p>
            <w:pPr>
              <w:spacing w:before="97" w:line="236" w:lineRule="auto"/>
              <w:ind w:left="662"/>
              <w:rPr>
                <w:rFonts w:ascii="宋体" w:hAnsi="宋体" w:eastAsia="宋体" w:cs="宋体"/>
                <w:sz w:val="18"/>
                <w:szCs w:val="18"/>
              </w:rPr>
            </w:pPr>
            <w:r>
              <w:rPr>
                <w:rFonts w:ascii="宋体" w:hAnsi="宋体" w:eastAsia="宋体" w:cs="宋体"/>
                <w:spacing w:val="-23"/>
                <w:sz w:val="18"/>
                <w:szCs w:val="18"/>
              </w:rPr>
              <w:t>III</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2" w:hRule="atLeast"/>
        </w:trPr>
        <w:tc>
          <w:tcPr>
            <w:tcW w:w="612" w:type="dxa"/>
            <w:vMerge w:val="restart"/>
            <w:tcBorders>
              <w:left w:val="single" w:color="000000" w:sz="4" w:space="0"/>
              <w:bottom w:val="nil"/>
            </w:tcBorders>
            <w:textDirection w:val="tbRlV"/>
            <w:vAlign w:val="top"/>
          </w:tcPr>
          <w:p>
            <w:pPr>
              <w:spacing w:before="207" w:line="223" w:lineRule="auto"/>
              <w:ind w:left="282"/>
              <w:rPr>
                <w:rFonts w:ascii="宋体" w:hAnsi="宋体" w:eastAsia="宋体" w:cs="宋体"/>
                <w:sz w:val="18"/>
                <w:szCs w:val="18"/>
              </w:rPr>
            </w:pPr>
            <w:r>
              <w:rPr>
                <w:rFonts w:ascii="宋体" w:hAnsi="宋体" w:eastAsia="宋体" w:cs="宋体"/>
                <w:spacing w:val="4"/>
                <w:sz w:val="18"/>
                <w:szCs w:val="18"/>
              </w:rPr>
              <w:t>工业厂房</w:t>
            </w:r>
            <w:r>
              <w:rPr>
                <w:rFonts w:ascii="宋体" w:hAnsi="宋体" w:eastAsia="宋体" w:cs="宋体"/>
                <w:spacing w:val="-40"/>
                <w:sz w:val="18"/>
                <w:szCs w:val="18"/>
              </w:rPr>
              <w:t xml:space="preserve"> </w:t>
            </w:r>
            <w:r>
              <w:rPr>
                <w:rFonts w:ascii="宋体" w:hAnsi="宋体" w:eastAsia="宋体" w:cs="宋体"/>
                <w:spacing w:val="4"/>
                <w:sz w:val="18"/>
                <w:szCs w:val="18"/>
              </w:rPr>
              <w:t>工程</w:t>
            </w:r>
          </w:p>
        </w:tc>
        <w:tc>
          <w:tcPr>
            <w:tcW w:w="1656" w:type="dxa"/>
            <w:gridSpan w:val="2"/>
            <w:vAlign w:val="top"/>
          </w:tcPr>
          <w:p>
            <w:pPr>
              <w:spacing w:before="239" w:line="210" w:lineRule="auto"/>
              <w:ind w:left="553"/>
              <w:rPr>
                <w:rFonts w:ascii="宋体" w:hAnsi="宋体" w:eastAsia="宋体" w:cs="宋体"/>
                <w:sz w:val="18"/>
                <w:szCs w:val="18"/>
              </w:rPr>
            </w:pPr>
            <w:r>
              <w:rPr>
                <w:rFonts w:ascii="宋体" w:hAnsi="宋体" w:eastAsia="宋体" w:cs="宋体"/>
                <w:spacing w:val="-4"/>
                <w:sz w:val="18"/>
                <w:szCs w:val="18"/>
              </w:rPr>
              <w:t>钢结构</w:t>
            </w:r>
          </w:p>
        </w:tc>
        <w:tc>
          <w:tcPr>
            <w:tcW w:w="1525" w:type="dxa"/>
            <w:vAlign w:val="top"/>
          </w:tcPr>
          <w:p>
            <w:pPr>
              <w:spacing w:before="82" w:line="212" w:lineRule="auto"/>
              <w:ind w:left="582"/>
              <w:rPr>
                <w:rFonts w:ascii="宋体" w:hAnsi="宋体" w:eastAsia="宋体" w:cs="宋体"/>
                <w:sz w:val="18"/>
                <w:szCs w:val="18"/>
              </w:rPr>
            </w:pPr>
            <w:r>
              <w:rPr>
                <w:rFonts w:ascii="宋体" w:hAnsi="宋体" w:eastAsia="宋体" w:cs="宋体"/>
                <w:spacing w:val="-1"/>
                <w:sz w:val="18"/>
                <w:szCs w:val="18"/>
              </w:rPr>
              <w:t>跨度</w:t>
            </w:r>
          </w:p>
          <w:p>
            <w:pPr>
              <w:spacing w:before="135"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vAlign w:val="top"/>
          </w:tcPr>
          <w:p>
            <w:pPr>
              <w:spacing w:before="97"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2" w:line="240"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97" w:line="261" w:lineRule="exact"/>
              <w:ind w:left="616"/>
              <w:rPr>
                <w:rFonts w:ascii="宋体" w:hAnsi="宋体" w:eastAsia="宋体" w:cs="宋体"/>
                <w:sz w:val="18"/>
                <w:szCs w:val="18"/>
              </w:rPr>
            </w:pPr>
            <w:r>
              <w:rPr>
                <w:rFonts w:ascii="宋体" w:hAnsi="宋体" w:eastAsia="宋体" w:cs="宋体"/>
                <w:spacing w:val="14"/>
                <w:position w:val="1"/>
                <w:sz w:val="18"/>
                <w:szCs w:val="18"/>
              </w:rPr>
              <w:t>&gt;30</w:t>
            </w:r>
          </w:p>
          <w:p>
            <w:pPr>
              <w:spacing w:before="84" w:line="235" w:lineRule="auto"/>
              <w:ind w:left="479"/>
              <w:rPr>
                <w:rFonts w:ascii="宋体" w:hAnsi="宋体" w:eastAsia="宋体" w:cs="宋体"/>
                <w:sz w:val="18"/>
                <w:szCs w:val="18"/>
              </w:rPr>
            </w:pPr>
            <w:r>
              <w:rPr>
                <w:rFonts w:ascii="宋体" w:hAnsi="宋体" w:eastAsia="宋体" w:cs="宋体"/>
                <w:spacing w:val="7"/>
                <w:sz w:val="18"/>
                <w:szCs w:val="18"/>
              </w:rPr>
              <w:t>&gt;25000</w:t>
            </w:r>
          </w:p>
        </w:tc>
        <w:tc>
          <w:tcPr>
            <w:tcW w:w="1531" w:type="dxa"/>
            <w:vAlign w:val="top"/>
          </w:tcPr>
          <w:p>
            <w:pPr>
              <w:spacing w:before="97" w:line="261" w:lineRule="exact"/>
              <w:ind w:left="621"/>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18</w:t>
            </w:r>
          </w:p>
          <w:p>
            <w:pPr>
              <w:spacing w:before="84" w:line="235"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2" w:line="257" w:lineRule="exact"/>
              <w:ind w:left="642"/>
              <w:rPr>
                <w:rFonts w:ascii="宋体" w:hAnsi="宋体" w:eastAsia="宋体" w:cs="宋体"/>
                <w:sz w:val="18"/>
                <w:szCs w:val="18"/>
              </w:rPr>
            </w:pPr>
            <w:r>
              <w:rPr>
                <w:rFonts w:ascii="宋体" w:hAnsi="宋体" w:eastAsia="宋体" w:cs="宋体"/>
                <w:spacing w:val="-14"/>
                <w:position w:val="1"/>
                <w:sz w:val="18"/>
                <w:szCs w:val="18"/>
              </w:rPr>
              <w:t>≤18</w:t>
            </w:r>
          </w:p>
          <w:p>
            <w:pPr>
              <w:spacing w:before="88"/>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3" w:hRule="atLeast"/>
        </w:trPr>
        <w:tc>
          <w:tcPr>
            <w:tcW w:w="612" w:type="dxa"/>
            <w:vMerge w:val="continue"/>
            <w:tcBorders>
              <w:top w:val="nil"/>
              <w:left w:val="single" w:color="000000" w:sz="4" w:space="0"/>
              <w:bottom w:val="nil"/>
            </w:tcBorders>
            <w:textDirection w:val="tbRlV"/>
            <w:vAlign w:val="top"/>
          </w:tcPr>
          <w:p>
            <w:pPr>
              <w:pStyle w:val="6"/>
            </w:pPr>
          </w:p>
        </w:tc>
        <w:tc>
          <w:tcPr>
            <w:tcW w:w="803" w:type="dxa"/>
            <w:vMerge w:val="restart"/>
            <w:tcBorders>
              <w:bottom w:val="nil"/>
            </w:tcBorders>
            <w:vAlign w:val="top"/>
          </w:tcPr>
          <w:p>
            <w:pPr>
              <w:pStyle w:val="6"/>
              <w:spacing w:line="394" w:lineRule="auto"/>
            </w:pPr>
          </w:p>
          <w:p>
            <w:pPr>
              <w:spacing w:before="58" w:line="374" w:lineRule="auto"/>
              <w:ind w:left="222" w:right="218" w:hanging="3"/>
              <w:rPr>
                <w:rFonts w:ascii="宋体" w:hAnsi="宋体" w:eastAsia="宋体" w:cs="宋体"/>
                <w:sz w:val="18"/>
                <w:szCs w:val="18"/>
              </w:rPr>
            </w:pPr>
            <w:r>
              <w:rPr>
                <w:rFonts w:ascii="宋体" w:hAnsi="宋体" w:eastAsia="宋体" w:cs="宋体"/>
                <w:spacing w:val="-1"/>
                <w:sz w:val="18"/>
                <w:szCs w:val="18"/>
              </w:rPr>
              <w:t>其他</w:t>
            </w:r>
            <w:r>
              <w:rPr>
                <w:rFonts w:ascii="宋体" w:hAnsi="宋体" w:eastAsia="宋体" w:cs="宋体"/>
                <w:spacing w:val="-8"/>
                <w:sz w:val="18"/>
                <w:szCs w:val="18"/>
              </w:rPr>
              <w:t>结构</w:t>
            </w:r>
          </w:p>
        </w:tc>
        <w:tc>
          <w:tcPr>
            <w:tcW w:w="853" w:type="dxa"/>
            <w:vAlign w:val="top"/>
          </w:tcPr>
          <w:p>
            <w:pPr>
              <w:spacing w:before="240" w:line="211" w:lineRule="auto"/>
              <w:ind w:left="244"/>
              <w:rPr>
                <w:rFonts w:ascii="宋体" w:hAnsi="宋体" w:eastAsia="宋体" w:cs="宋体"/>
                <w:sz w:val="18"/>
                <w:szCs w:val="18"/>
              </w:rPr>
            </w:pPr>
            <w:r>
              <w:rPr>
                <w:rFonts w:ascii="宋体" w:hAnsi="宋体" w:eastAsia="宋体" w:cs="宋体"/>
                <w:spacing w:val="-2"/>
                <w:sz w:val="18"/>
                <w:szCs w:val="18"/>
              </w:rPr>
              <w:t>单层</w:t>
            </w:r>
          </w:p>
        </w:tc>
        <w:tc>
          <w:tcPr>
            <w:tcW w:w="1525" w:type="dxa"/>
            <w:vAlign w:val="top"/>
          </w:tcPr>
          <w:p>
            <w:pPr>
              <w:spacing w:before="86" w:line="212" w:lineRule="auto"/>
              <w:ind w:left="582"/>
              <w:rPr>
                <w:rFonts w:ascii="宋体" w:hAnsi="宋体" w:eastAsia="宋体" w:cs="宋体"/>
                <w:sz w:val="18"/>
                <w:szCs w:val="18"/>
              </w:rPr>
            </w:pPr>
            <w:r>
              <w:rPr>
                <w:rFonts w:ascii="宋体" w:hAnsi="宋体" w:eastAsia="宋体" w:cs="宋体"/>
                <w:spacing w:val="-1"/>
                <w:sz w:val="18"/>
                <w:szCs w:val="18"/>
              </w:rPr>
              <w:t>跨度</w:t>
            </w:r>
          </w:p>
          <w:p>
            <w:pPr>
              <w:spacing w:before="132"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vAlign w:val="top"/>
          </w:tcPr>
          <w:p>
            <w:pPr>
              <w:spacing w:before="99"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line="237"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99" w:line="261" w:lineRule="exact"/>
              <w:ind w:left="616"/>
              <w:rPr>
                <w:rFonts w:ascii="宋体" w:hAnsi="宋体" w:eastAsia="宋体" w:cs="宋体"/>
                <w:sz w:val="18"/>
                <w:szCs w:val="18"/>
              </w:rPr>
            </w:pPr>
            <w:r>
              <w:rPr>
                <w:rFonts w:ascii="宋体" w:hAnsi="宋体" w:eastAsia="宋体" w:cs="宋体"/>
                <w:spacing w:val="14"/>
                <w:position w:val="1"/>
                <w:sz w:val="18"/>
                <w:szCs w:val="18"/>
              </w:rPr>
              <w:t>&gt;24</w:t>
            </w:r>
          </w:p>
          <w:p>
            <w:pPr>
              <w:spacing w:before="84" w:line="234" w:lineRule="auto"/>
              <w:ind w:left="479"/>
              <w:rPr>
                <w:rFonts w:ascii="宋体" w:hAnsi="宋体" w:eastAsia="宋体" w:cs="宋体"/>
                <w:sz w:val="18"/>
                <w:szCs w:val="18"/>
              </w:rPr>
            </w:pPr>
            <w:r>
              <w:rPr>
                <w:rFonts w:ascii="宋体" w:hAnsi="宋体" w:eastAsia="宋体" w:cs="宋体"/>
                <w:spacing w:val="7"/>
                <w:sz w:val="18"/>
                <w:szCs w:val="18"/>
              </w:rPr>
              <w:t>&gt;15000</w:t>
            </w:r>
          </w:p>
        </w:tc>
        <w:tc>
          <w:tcPr>
            <w:tcW w:w="1531" w:type="dxa"/>
            <w:vAlign w:val="top"/>
          </w:tcPr>
          <w:p>
            <w:pPr>
              <w:spacing w:before="99" w:line="260" w:lineRule="exact"/>
              <w:ind w:left="621"/>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18</w:t>
            </w:r>
          </w:p>
          <w:p>
            <w:pPr>
              <w:spacing w:before="85" w:line="234" w:lineRule="auto"/>
              <w:ind w:left="484"/>
              <w:rPr>
                <w:rFonts w:ascii="宋体" w:hAnsi="宋体" w:eastAsia="宋体" w:cs="宋体"/>
                <w:sz w:val="18"/>
                <w:szCs w:val="18"/>
              </w:rPr>
            </w:pPr>
            <w:r>
              <w:rPr>
                <w:rFonts w:ascii="宋体" w:hAnsi="宋体" w:eastAsia="宋体" w:cs="宋体"/>
                <w:spacing w:val="7"/>
                <w:sz w:val="18"/>
                <w:szCs w:val="18"/>
              </w:rPr>
              <w:t>&gt;10000</w:t>
            </w:r>
          </w:p>
        </w:tc>
        <w:tc>
          <w:tcPr>
            <w:tcW w:w="1551" w:type="dxa"/>
            <w:tcBorders>
              <w:right w:val="single" w:color="000000" w:sz="4" w:space="0"/>
            </w:tcBorders>
            <w:vAlign w:val="top"/>
          </w:tcPr>
          <w:p>
            <w:pPr>
              <w:spacing w:before="94" w:line="257" w:lineRule="exact"/>
              <w:ind w:left="642"/>
              <w:rPr>
                <w:rFonts w:ascii="宋体" w:hAnsi="宋体" w:eastAsia="宋体" w:cs="宋体"/>
                <w:sz w:val="18"/>
                <w:szCs w:val="18"/>
              </w:rPr>
            </w:pPr>
            <w:r>
              <w:rPr>
                <w:rFonts w:ascii="宋体" w:hAnsi="宋体" w:eastAsia="宋体" w:cs="宋体"/>
                <w:spacing w:val="-14"/>
                <w:position w:val="1"/>
                <w:sz w:val="18"/>
                <w:szCs w:val="18"/>
              </w:rPr>
              <w:t>≤18</w:t>
            </w:r>
          </w:p>
          <w:p>
            <w:pPr>
              <w:spacing w:before="88" w:line="239" w:lineRule="auto"/>
              <w:ind w:left="507"/>
              <w:rPr>
                <w:rFonts w:ascii="宋体" w:hAnsi="宋体" w:eastAsia="宋体" w:cs="宋体"/>
                <w:sz w:val="18"/>
                <w:szCs w:val="18"/>
              </w:rPr>
            </w:pPr>
            <w:r>
              <w:rPr>
                <w:rFonts w:ascii="宋体" w:hAnsi="宋体" w:eastAsia="宋体" w:cs="宋体"/>
                <w:spacing w:val="-8"/>
                <w:sz w:val="18"/>
                <w:szCs w:val="18"/>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3" w:hRule="atLeast"/>
        </w:trPr>
        <w:tc>
          <w:tcPr>
            <w:tcW w:w="612" w:type="dxa"/>
            <w:vMerge w:val="continue"/>
            <w:tcBorders>
              <w:top w:val="nil"/>
              <w:left w:val="single" w:color="000000" w:sz="4" w:space="0"/>
            </w:tcBorders>
            <w:textDirection w:val="tbRlV"/>
            <w:vAlign w:val="top"/>
          </w:tcPr>
          <w:p>
            <w:pPr>
              <w:pStyle w:val="6"/>
            </w:pPr>
          </w:p>
        </w:tc>
        <w:tc>
          <w:tcPr>
            <w:tcW w:w="803" w:type="dxa"/>
            <w:vMerge w:val="continue"/>
            <w:tcBorders>
              <w:top w:val="nil"/>
            </w:tcBorders>
            <w:vAlign w:val="top"/>
          </w:tcPr>
          <w:p>
            <w:pPr>
              <w:pStyle w:val="6"/>
            </w:pPr>
          </w:p>
        </w:tc>
        <w:tc>
          <w:tcPr>
            <w:tcW w:w="853" w:type="dxa"/>
            <w:vAlign w:val="top"/>
          </w:tcPr>
          <w:p>
            <w:pPr>
              <w:spacing w:before="242" w:line="205" w:lineRule="auto"/>
              <w:ind w:left="254"/>
              <w:rPr>
                <w:rFonts w:ascii="宋体" w:hAnsi="宋体" w:eastAsia="宋体" w:cs="宋体"/>
                <w:sz w:val="18"/>
                <w:szCs w:val="18"/>
              </w:rPr>
            </w:pPr>
            <w:r>
              <w:rPr>
                <w:rFonts w:ascii="宋体" w:hAnsi="宋体" w:eastAsia="宋体" w:cs="宋体"/>
                <w:spacing w:val="-5"/>
                <w:sz w:val="18"/>
                <w:szCs w:val="18"/>
              </w:rPr>
              <w:t>多层</w:t>
            </w:r>
          </w:p>
        </w:tc>
        <w:tc>
          <w:tcPr>
            <w:tcW w:w="1525" w:type="dxa"/>
            <w:vAlign w:val="top"/>
          </w:tcPr>
          <w:p>
            <w:pPr>
              <w:spacing w:before="80" w:line="304"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97"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line="239"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0"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3" w:lineRule="auto"/>
              <w:ind w:left="479"/>
              <w:rPr>
                <w:rFonts w:ascii="宋体" w:hAnsi="宋体" w:eastAsia="宋体" w:cs="宋体"/>
                <w:sz w:val="18"/>
                <w:szCs w:val="18"/>
              </w:rPr>
            </w:pPr>
            <w:r>
              <w:rPr>
                <w:rFonts w:ascii="宋体" w:hAnsi="宋体" w:eastAsia="宋体" w:cs="宋体"/>
                <w:spacing w:val="7"/>
                <w:sz w:val="18"/>
                <w:szCs w:val="18"/>
              </w:rPr>
              <w:t>&gt;20000</w:t>
            </w:r>
          </w:p>
        </w:tc>
        <w:tc>
          <w:tcPr>
            <w:tcW w:w="1531" w:type="dxa"/>
            <w:vAlign w:val="top"/>
          </w:tcPr>
          <w:p>
            <w:pPr>
              <w:spacing w:before="100" w:line="260" w:lineRule="exact"/>
              <w:ind w:left="621"/>
              <w:rPr>
                <w:rFonts w:ascii="宋体" w:hAnsi="宋体" w:eastAsia="宋体" w:cs="宋体"/>
                <w:sz w:val="18"/>
                <w:szCs w:val="18"/>
              </w:rPr>
            </w:pPr>
            <w:r>
              <w:rPr>
                <w:rFonts w:ascii="宋体" w:hAnsi="宋体" w:eastAsia="宋体" w:cs="宋体"/>
                <w:spacing w:val="14"/>
                <w:position w:val="1"/>
                <w:sz w:val="18"/>
                <w:szCs w:val="18"/>
              </w:rPr>
              <w:t>&gt;30</w:t>
            </w:r>
          </w:p>
          <w:p>
            <w:pPr>
              <w:spacing w:before="85" w:line="233"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5" w:line="257" w:lineRule="exact"/>
              <w:ind w:left="642"/>
              <w:rPr>
                <w:rFonts w:ascii="宋体" w:hAnsi="宋体" w:eastAsia="宋体" w:cs="宋体"/>
                <w:sz w:val="18"/>
                <w:szCs w:val="18"/>
              </w:rPr>
            </w:pPr>
            <w:r>
              <w:rPr>
                <w:rFonts w:ascii="宋体" w:hAnsi="宋体" w:eastAsia="宋体" w:cs="宋体"/>
                <w:spacing w:val="-14"/>
                <w:position w:val="1"/>
                <w:sz w:val="18"/>
                <w:szCs w:val="18"/>
              </w:rPr>
              <w:t>≤30</w:t>
            </w:r>
          </w:p>
          <w:p>
            <w:pPr>
              <w:spacing w:before="88" w:line="238"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restart"/>
            <w:tcBorders>
              <w:left w:val="single" w:color="000000" w:sz="4" w:space="0"/>
              <w:bottom w:val="nil"/>
            </w:tcBorders>
            <w:textDirection w:val="tbRlV"/>
            <w:vAlign w:val="top"/>
          </w:tcPr>
          <w:p>
            <w:pPr>
              <w:spacing w:before="208" w:line="221" w:lineRule="auto"/>
              <w:ind w:left="820"/>
              <w:rPr>
                <w:rFonts w:ascii="宋体" w:hAnsi="宋体" w:eastAsia="宋体" w:cs="宋体"/>
                <w:sz w:val="18"/>
                <w:szCs w:val="18"/>
              </w:rPr>
            </w:pPr>
            <w:r>
              <w:rPr>
                <w:rFonts w:ascii="宋体" w:hAnsi="宋体" w:eastAsia="宋体" w:cs="宋体"/>
                <w:spacing w:val="6"/>
                <w:sz w:val="18"/>
                <w:szCs w:val="18"/>
              </w:rPr>
              <w:t>民用建筑</w:t>
            </w:r>
            <w:r>
              <w:rPr>
                <w:rFonts w:ascii="宋体" w:hAnsi="宋体" w:eastAsia="宋体" w:cs="宋体"/>
                <w:spacing w:val="-48"/>
                <w:sz w:val="18"/>
                <w:szCs w:val="18"/>
              </w:rPr>
              <w:t xml:space="preserve"> </w:t>
            </w:r>
            <w:r>
              <w:rPr>
                <w:rFonts w:ascii="宋体" w:hAnsi="宋体" w:eastAsia="宋体" w:cs="宋体"/>
                <w:spacing w:val="6"/>
                <w:sz w:val="18"/>
                <w:szCs w:val="18"/>
              </w:rPr>
              <w:t>工程</w:t>
            </w:r>
          </w:p>
        </w:tc>
        <w:tc>
          <w:tcPr>
            <w:tcW w:w="1656" w:type="dxa"/>
            <w:gridSpan w:val="2"/>
            <w:vAlign w:val="top"/>
          </w:tcPr>
          <w:p>
            <w:pPr>
              <w:spacing w:before="245" w:line="210" w:lineRule="auto"/>
              <w:ind w:left="553"/>
              <w:rPr>
                <w:rFonts w:ascii="宋体" w:hAnsi="宋体" w:eastAsia="宋体" w:cs="宋体"/>
                <w:sz w:val="18"/>
                <w:szCs w:val="18"/>
              </w:rPr>
            </w:pPr>
            <w:r>
              <w:rPr>
                <w:rFonts w:ascii="宋体" w:hAnsi="宋体" w:eastAsia="宋体" w:cs="宋体"/>
                <w:spacing w:val="-4"/>
                <w:sz w:val="18"/>
                <w:szCs w:val="18"/>
              </w:rPr>
              <w:t>钢结构</w:t>
            </w:r>
          </w:p>
        </w:tc>
        <w:tc>
          <w:tcPr>
            <w:tcW w:w="1525" w:type="dxa"/>
            <w:vAlign w:val="top"/>
          </w:tcPr>
          <w:p>
            <w:pPr>
              <w:spacing w:before="81" w:line="304"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101" w:line="261"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5" w:line="242" w:lineRule="auto"/>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1"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3" w:lineRule="auto"/>
              <w:ind w:left="479"/>
              <w:rPr>
                <w:rFonts w:ascii="宋体" w:hAnsi="宋体" w:eastAsia="宋体" w:cs="宋体"/>
                <w:sz w:val="18"/>
                <w:szCs w:val="18"/>
              </w:rPr>
            </w:pPr>
            <w:r>
              <w:rPr>
                <w:rFonts w:ascii="宋体" w:hAnsi="宋体" w:eastAsia="宋体" w:cs="宋体"/>
                <w:spacing w:val="7"/>
                <w:sz w:val="18"/>
                <w:szCs w:val="18"/>
              </w:rPr>
              <w:t>&gt;30000</w:t>
            </w:r>
          </w:p>
        </w:tc>
        <w:tc>
          <w:tcPr>
            <w:tcW w:w="1531" w:type="dxa"/>
            <w:vAlign w:val="top"/>
          </w:tcPr>
          <w:p>
            <w:pPr>
              <w:spacing w:before="101" w:line="260" w:lineRule="exact"/>
              <w:ind w:left="621"/>
              <w:rPr>
                <w:rFonts w:ascii="宋体" w:hAnsi="宋体" w:eastAsia="宋体" w:cs="宋体"/>
                <w:sz w:val="18"/>
                <w:szCs w:val="18"/>
              </w:rPr>
            </w:pPr>
            <w:r>
              <w:rPr>
                <w:rFonts w:ascii="宋体" w:hAnsi="宋体" w:eastAsia="宋体" w:cs="宋体"/>
                <w:spacing w:val="14"/>
                <w:position w:val="1"/>
                <w:sz w:val="18"/>
                <w:szCs w:val="18"/>
              </w:rPr>
              <w:t>&gt;30</w:t>
            </w:r>
          </w:p>
          <w:p>
            <w:pPr>
              <w:spacing w:before="85" w:line="233"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8" w:line="257" w:lineRule="exact"/>
              <w:ind w:left="642"/>
              <w:rPr>
                <w:rFonts w:ascii="宋体" w:hAnsi="宋体" w:eastAsia="宋体" w:cs="宋体"/>
                <w:sz w:val="18"/>
                <w:szCs w:val="18"/>
              </w:rPr>
            </w:pPr>
            <w:r>
              <w:rPr>
                <w:rFonts w:ascii="宋体" w:hAnsi="宋体" w:eastAsia="宋体" w:cs="宋体"/>
                <w:spacing w:val="-14"/>
                <w:position w:val="1"/>
                <w:sz w:val="18"/>
                <w:szCs w:val="18"/>
              </w:rPr>
              <w:t>≤30</w:t>
            </w:r>
          </w:p>
          <w:p>
            <w:pPr>
              <w:spacing w:before="86" w:line="238"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continue"/>
            <w:tcBorders>
              <w:top w:val="nil"/>
              <w:left w:val="single" w:color="000000" w:sz="4" w:space="0"/>
              <w:bottom w:val="nil"/>
            </w:tcBorders>
            <w:textDirection w:val="tbRlV"/>
            <w:vAlign w:val="top"/>
          </w:tcPr>
          <w:p>
            <w:pPr>
              <w:pStyle w:val="6"/>
            </w:pPr>
          </w:p>
        </w:tc>
        <w:tc>
          <w:tcPr>
            <w:tcW w:w="1656" w:type="dxa"/>
            <w:gridSpan w:val="2"/>
            <w:vAlign w:val="top"/>
          </w:tcPr>
          <w:p>
            <w:pPr>
              <w:spacing w:before="247" w:line="210" w:lineRule="auto"/>
              <w:ind w:left="376"/>
              <w:rPr>
                <w:rFonts w:ascii="宋体" w:hAnsi="宋体" w:eastAsia="宋体" w:cs="宋体"/>
                <w:sz w:val="18"/>
                <w:szCs w:val="18"/>
              </w:rPr>
            </w:pPr>
            <w:r>
              <w:rPr>
                <w:rFonts w:ascii="宋体" w:hAnsi="宋体" w:eastAsia="宋体" w:cs="宋体"/>
                <w:spacing w:val="-4"/>
                <w:sz w:val="18"/>
                <w:szCs w:val="18"/>
              </w:rPr>
              <w:t>混凝土结构</w:t>
            </w:r>
          </w:p>
        </w:tc>
        <w:tc>
          <w:tcPr>
            <w:tcW w:w="1525" w:type="dxa"/>
            <w:vAlign w:val="top"/>
          </w:tcPr>
          <w:p>
            <w:pPr>
              <w:spacing w:before="87" w:line="301"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103"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3"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1" w:lineRule="auto"/>
              <w:ind w:left="479"/>
              <w:rPr>
                <w:rFonts w:ascii="宋体" w:hAnsi="宋体" w:eastAsia="宋体" w:cs="宋体"/>
                <w:sz w:val="18"/>
                <w:szCs w:val="18"/>
              </w:rPr>
            </w:pPr>
            <w:r>
              <w:rPr>
                <w:rFonts w:ascii="宋体" w:hAnsi="宋体" w:eastAsia="宋体" w:cs="宋体"/>
                <w:spacing w:val="7"/>
                <w:sz w:val="18"/>
                <w:szCs w:val="18"/>
              </w:rPr>
              <w:t>&gt;20000</w:t>
            </w:r>
          </w:p>
        </w:tc>
        <w:tc>
          <w:tcPr>
            <w:tcW w:w="1531" w:type="dxa"/>
            <w:vAlign w:val="top"/>
          </w:tcPr>
          <w:p>
            <w:pPr>
              <w:spacing w:before="103" w:line="260" w:lineRule="exact"/>
              <w:ind w:left="621"/>
              <w:rPr>
                <w:rFonts w:ascii="宋体" w:hAnsi="宋体" w:eastAsia="宋体" w:cs="宋体"/>
                <w:sz w:val="18"/>
                <w:szCs w:val="18"/>
              </w:rPr>
            </w:pPr>
            <w:r>
              <w:rPr>
                <w:rFonts w:ascii="宋体" w:hAnsi="宋体" w:eastAsia="宋体" w:cs="宋体"/>
                <w:spacing w:val="14"/>
                <w:position w:val="1"/>
                <w:sz w:val="18"/>
                <w:szCs w:val="18"/>
              </w:rPr>
              <w:t>&gt;30</w:t>
            </w:r>
          </w:p>
          <w:p>
            <w:pPr>
              <w:spacing w:before="85" w:line="231" w:lineRule="auto"/>
              <w:ind w:left="484"/>
              <w:rPr>
                <w:rFonts w:ascii="宋体" w:hAnsi="宋体" w:eastAsia="宋体" w:cs="宋体"/>
                <w:sz w:val="18"/>
                <w:szCs w:val="18"/>
              </w:rPr>
            </w:pPr>
            <w:r>
              <w:rPr>
                <w:rFonts w:ascii="宋体" w:hAnsi="宋体" w:eastAsia="宋体" w:cs="宋体"/>
                <w:spacing w:val="7"/>
                <w:sz w:val="18"/>
                <w:szCs w:val="18"/>
              </w:rPr>
              <w:t>&gt;10000</w:t>
            </w:r>
          </w:p>
        </w:tc>
        <w:tc>
          <w:tcPr>
            <w:tcW w:w="1551" w:type="dxa"/>
            <w:tcBorders>
              <w:right w:val="single" w:color="000000" w:sz="4" w:space="0"/>
            </w:tcBorders>
            <w:vAlign w:val="top"/>
          </w:tcPr>
          <w:p>
            <w:pPr>
              <w:spacing w:before="100" w:line="257" w:lineRule="exact"/>
              <w:ind w:left="642"/>
              <w:rPr>
                <w:rFonts w:ascii="宋体" w:hAnsi="宋体" w:eastAsia="宋体" w:cs="宋体"/>
                <w:sz w:val="18"/>
                <w:szCs w:val="18"/>
              </w:rPr>
            </w:pPr>
            <w:r>
              <w:rPr>
                <w:rFonts w:ascii="宋体" w:hAnsi="宋体" w:eastAsia="宋体" w:cs="宋体"/>
                <w:spacing w:val="-14"/>
                <w:position w:val="1"/>
                <w:sz w:val="18"/>
                <w:szCs w:val="18"/>
              </w:rPr>
              <w:t>≤30</w:t>
            </w:r>
          </w:p>
          <w:p>
            <w:pPr>
              <w:spacing w:before="89" w:line="233" w:lineRule="auto"/>
              <w:ind w:left="507"/>
              <w:rPr>
                <w:rFonts w:ascii="宋体" w:hAnsi="宋体" w:eastAsia="宋体" w:cs="宋体"/>
                <w:sz w:val="18"/>
                <w:szCs w:val="18"/>
              </w:rPr>
            </w:pPr>
            <w:r>
              <w:rPr>
                <w:rFonts w:ascii="宋体" w:hAnsi="宋体" w:eastAsia="宋体" w:cs="宋体"/>
                <w:spacing w:val="-8"/>
                <w:sz w:val="18"/>
                <w:szCs w:val="18"/>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bottom w:val="nil"/>
            </w:tcBorders>
            <w:textDirection w:val="tbRlV"/>
            <w:vAlign w:val="top"/>
          </w:tcPr>
          <w:p>
            <w:pPr>
              <w:pStyle w:val="6"/>
            </w:pPr>
          </w:p>
        </w:tc>
        <w:tc>
          <w:tcPr>
            <w:tcW w:w="1656" w:type="dxa"/>
            <w:gridSpan w:val="2"/>
            <w:vAlign w:val="top"/>
          </w:tcPr>
          <w:p>
            <w:pPr>
              <w:spacing w:before="250" w:line="211" w:lineRule="auto"/>
              <w:ind w:left="464"/>
              <w:rPr>
                <w:rFonts w:ascii="宋体" w:hAnsi="宋体" w:eastAsia="宋体" w:cs="宋体"/>
                <w:sz w:val="18"/>
                <w:szCs w:val="18"/>
              </w:rPr>
            </w:pPr>
            <w:r>
              <w:rPr>
                <w:rFonts w:ascii="宋体" w:hAnsi="宋体" w:eastAsia="宋体" w:cs="宋体"/>
                <w:spacing w:val="-3"/>
                <w:sz w:val="18"/>
                <w:szCs w:val="18"/>
              </w:rPr>
              <w:t>其他结构</w:t>
            </w:r>
          </w:p>
        </w:tc>
        <w:tc>
          <w:tcPr>
            <w:tcW w:w="1525" w:type="dxa"/>
            <w:vAlign w:val="top"/>
          </w:tcPr>
          <w:p>
            <w:pPr>
              <w:spacing w:before="93" w:line="210" w:lineRule="auto"/>
              <w:ind w:left="584"/>
              <w:rPr>
                <w:rFonts w:ascii="宋体" w:hAnsi="宋体" w:eastAsia="宋体" w:cs="宋体"/>
                <w:sz w:val="18"/>
                <w:szCs w:val="18"/>
              </w:rPr>
            </w:pPr>
            <w:r>
              <w:rPr>
                <w:rFonts w:ascii="宋体" w:hAnsi="宋体" w:eastAsia="宋体" w:cs="宋体"/>
                <w:spacing w:val="-2"/>
                <w:sz w:val="18"/>
                <w:szCs w:val="18"/>
              </w:rPr>
              <w:t>层数</w:t>
            </w:r>
          </w:p>
          <w:p>
            <w:pPr>
              <w:spacing w:before="138"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textDirection w:val="tbRlV"/>
            <w:vAlign w:val="top"/>
          </w:tcPr>
          <w:p>
            <w:pPr>
              <w:spacing w:before="236" w:line="216" w:lineRule="auto"/>
              <w:ind w:left="116"/>
              <w:rPr>
                <w:rFonts w:ascii="宋体" w:hAnsi="宋体" w:eastAsia="宋体" w:cs="宋体"/>
                <w:sz w:val="18"/>
                <w:szCs w:val="18"/>
              </w:rPr>
            </w:pPr>
            <w:r>
              <w:rPr>
                <w:rFonts w:ascii="宋体" w:hAnsi="宋体" w:eastAsia="宋体" w:cs="宋体"/>
                <w:spacing w:val="-9"/>
                <w:sz w:val="18"/>
                <w:szCs w:val="18"/>
              </w:rPr>
              <w:t>层</w:t>
            </w:r>
            <w:r>
              <w:rPr>
                <w:rFonts w:ascii="宋体" w:hAnsi="宋体" w:eastAsia="宋体" w:cs="宋体"/>
                <w:spacing w:val="46"/>
                <w:sz w:val="18"/>
                <w:szCs w:val="18"/>
              </w:rPr>
              <w:t xml:space="preserve"> </w:t>
            </w:r>
            <w:r>
              <w:rPr>
                <w:rFonts w:ascii="宋体" w:hAnsi="宋体" w:eastAsia="宋体" w:cs="宋体"/>
                <w:spacing w:val="-9"/>
                <w:sz w:val="18"/>
                <w:szCs w:val="18"/>
              </w:rPr>
              <w:t>㎡</w:t>
            </w:r>
          </w:p>
        </w:tc>
        <w:tc>
          <w:tcPr>
            <w:tcW w:w="1531" w:type="dxa"/>
            <w:vAlign w:val="top"/>
          </w:tcPr>
          <w:p>
            <w:pPr>
              <w:spacing w:before="223" w:line="123" w:lineRule="exact"/>
              <w:ind w:left="677"/>
              <w:rPr>
                <w:rFonts w:ascii="宋体" w:hAnsi="宋体" w:eastAsia="宋体" w:cs="宋体"/>
                <w:sz w:val="18"/>
                <w:szCs w:val="18"/>
              </w:rPr>
            </w:pPr>
            <w:r>
              <w:rPr>
                <w:rFonts w:ascii="宋体" w:hAnsi="宋体" w:eastAsia="宋体" w:cs="宋体"/>
                <w:position w:val="-3"/>
                <w:sz w:val="18"/>
                <w:szCs w:val="18"/>
              </w:rPr>
              <w:t>—</w:t>
            </w:r>
          </w:p>
          <w:p>
            <w:pPr>
              <w:spacing w:before="188" w:line="123" w:lineRule="exact"/>
              <w:ind w:left="677"/>
              <w:rPr>
                <w:rFonts w:ascii="宋体" w:hAnsi="宋体" w:eastAsia="宋体" w:cs="宋体"/>
                <w:sz w:val="18"/>
                <w:szCs w:val="18"/>
              </w:rPr>
            </w:pPr>
            <w:r>
              <w:rPr>
                <w:rFonts w:ascii="宋体" w:hAnsi="宋体" w:eastAsia="宋体" w:cs="宋体"/>
                <w:position w:val="-3"/>
                <w:sz w:val="18"/>
                <w:szCs w:val="18"/>
              </w:rPr>
              <w:t>—</w:t>
            </w:r>
          </w:p>
        </w:tc>
        <w:tc>
          <w:tcPr>
            <w:tcW w:w="1531" w:type="dxa"/>
            <w:vAlign w:val="top"/>
          </w:tcPr>
          <w:p>
            <w:pPr>
              <w:spacing w:before="107" w:line="261" w:lineRule="exact"/>
              <w:ind w:left="621"/>
              <w:rPr>
                <w:rFonts w:ascii="宋体" w:hAnsi="宋体" w:eastAsia="宋体" w:cs="宋体"/>
                <w:sz w:val="18"/>
                <w:szCs w:val="18"/>
              </w:rPr>
            </w:pPr>
            <w:r>
              <w:rPr>
                <w:rFonts w:ascii="宋体" w:hAnsi="宋体" w:eastAsia="宋体" w:cs="宋体"/>
                <w:spacing w:val="14"/>
                <w:position w:val="1"/>
                <w:sz w:val="18"/>
                <w:szCs w:val="18"/>
              </w:rPr>
              <w:t>&gt;10</w:t>
            </w:r>
          </w:p>
          <w:p>
            <w:pPr>
              <w:spacing w:before="82" w:line="230"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105" w:line="257" w:lineRule="exact"/>
              <w:ind w:left="642"/>
              <w:rPr>
                <w:rFonts w:ascii="宋体" w:hAnsi="宋体" w:eastAsia="宋体" w:cs="宋体"/>
                <w:sz w:val="18"/>
                <w:szCs w:val="18"/>
              </w:rPr>
            </w:pPr>
            <w:r>
              <w:rPr>
                <w:rFonts w:ascii="宋体" w:hAnsi="宋体" w:eastAsia="宋体" w:cs="宋体"/>
                <w:spacing w:val="-14"/>
                <w:position w:val="1"/>
                <w:sz w:val="18"/>
                <w:szCs w:val="18"/>
              </w:rPr>
              <w:t>≤10</w:t>
            </w:r>
          </w:p>
          <w:p>
            <w:pPr>
              <w:spacing w:before="86" w:line="232"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tcBorders>
            <w:textDirection w:val="tbRlV"/>
            <w:vAlign w:val="top"/>
          </w:tcPr>
          <w:p>
            <w:pPr>
              <w:pStyle w:val="6"/>
            </w:pPr>
          </w:p>
        </w:tc>
        <w:tc>
          <w:tcPr>
            <w:tcW w:w="1656" w:type="dxa"/>
            <w:gridSpan w:val="2"/>
            <w:vAlign w:val="top"/>
          </w:tcPr>
          <w:p>
            <w:pPr>
              <w:spacing w:before="248" w:line="240" w:lineRule="exact"/>
              <w:ind w:left="103"/>
              <w:rPr>
                <w:rFonts w:ascii="宋体" w:hAnsi="宋体" w:eastAsia="宋体" w:cs="宋体"/>
                <w:sz w:val="18"/>
                <w:szCs w:val="18"/>
              </w:rPr>
            </w:pPr>
            <w:r>
              <w:rPr>
                <w:rFonts w:ascii="宋体" w:hAnsi="宋体" w:eastAsia="宋体" w:cs="宋体"/>
                <w:spacing w:val="-9"/>
                <w:position w:val="1"/>
                <w:sz w:val="18"/>
                <w:szCs w:val="18"/>
              </w:rPr>
              <w:t>独栋别墅</w:t>
            </w:r>
            <w:r>
              <w:rPr>
                <w:rFonts w:ascii="宋体" w:hAnsi="宋体" w:eastAsia="宋体" w:cs="宋体"/>
                <w:spacing w:val="-49"/>
                <w:position w:val="1"/>
                <w:sz w:val="18"/>
                <w:szCs w:val="18"/>
              </w:rPr>
              <w:t xml:space="preserve"> </w:t>
            </w:r>
            <w:r>
              <w:rPr>
                <w:rFonts w:ascii="宋体" w:hAnsi="宋体" w:eastAsia="宋体" w:cs="宋体"/>
                <w:spacing w:val="-9"/>
                <w:position w:val="1"/>
                <w:sz w:val="18"/>
                <w:szCs w:val="18"/>
              </w:rPr>
              <w:t>(≤3层）</w:t>
            </w:r>
          </w:p>
        </w:tc>
        <w:tc>
          <w:tcPr>
            <w:tcW w:w="1525" w:type="dxa"/>
            <w:vAlign w:val="top"/>
          </w:tcPr>
          <w:p>
            <w:pPr>
              <w:spacing w:before="96" w:line="211" w:lineRule="auto"/>
              <w:ind w:left="584"/>
              <w:rPr>
                <w:rFonts w:ascii="宋体" w:hAnsi="宋体" w:eastAsia="宋体" w:cs="宋体"/>
                <w:sz w:val="18"/>
                <w:szCs w:val="18"/>
              </w:rPr>
            </w:pPr>
            <w:r>
              <w:rPr>
                <w:rFonts w:ascii="宋体" w:hAnsi="宋体" w:eastAsia="宋体" w:cs="宋体"/>
                <w:spacing w:val="-2"/>
                <w:sz w:val="18"/>
                <w:szCs w:val="18"/>
              </w:rPr>
              <w:t>栋数</w:t>
            </w:r>
          </w:p>
          <w:p>
            <w:pPr>
              <w:spacing w:before="135"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textDirection w:val="tbRlV"/>
            <w:vAlign w:val="top"/>
          </w:tcPr>
          <w:p>
            <w:pPr>
              <w:spacing w:before="236" w:line="217" w:lineRule="auto"/>
              <w:ind w:left="115"/>
              <w:rPr>
                <w:rFonts w:ascii="宋体" w:hAnsi="宋体" w:eastAsia="宋体" w:cs="宋体"/>
                <w:sz w:val="18"/>
                <w:szCs w:val="18"/>
              </w:rPr>
            </w:pPr>
            <w:r>
              <w:rPr>
                <w:rFonts w:ascii="宋体" w:hAnsi="宋体" w:eastAsia="宋体" w:cs="宋体"/>
                <w:spacing w:val="-6"/>
                <w:sz w:val="18"/>
                <w:szCs w:val="18"/>
              </w:rPr>
              <w:t>栋</w:t>
            </w:r>
            <w:r>
              <w:rPr>
                <w:rFonts w:ascii="宋体" w:hAnsi="宋体" w:eastAsia="宋体" w:cs="宋体"/>
                <w:spacing w:val="43"/>
                <w:sz w:val="18"/>
                <w:szCs w:val="18"/>
              </w:rPr>
              <w:t xml:space="preserve"> </w:t>
            </w:r>
            <w:r>
              <w:rPr>
                <w:rFonts w:ascii="宋体" w:hAnsi="宋体" w:eastAsia="宋体" w:cs="宋体"/>
                <w:spacing w:val="-6"/>
                <w:sz w:val="18"/>
                <w:szCs w:val="18"/>
              </w:rPr>
              <w:t>㎡</w:t>
            </w:r>
          </w:p>
        </w:tc>
        <w:tc>
          <w:tcPr>
            <w:tcW w:w="1531" w:type="dxa"/>
            <w:vAlign w:val="top"/>
          </w:tcPr>
          <w:p>
            <w:pPr>
              <w:spacing w:before="106" w:line="257" w:lineRule="exact"/>
              <w:ind w:left="675"/>
              <w:rPr>
                <w:rFonts w:ascii="宋体" w:hAnsi="宋体" w:eastAsia="宋体" w:cs="宋体"/>
                <w:sz w:val="18"/>
                <w:szCs w:val="18"/>
              </w:rPr>
            </w:pPr>
            <w:r>
              <w:rPr>
                <w:rFonts w:ascii="宋体" w:hAnsi="宋体" w:eastAsia="宋体" w:cs="宋体"/>
                <w:spacing w:val="-15"/>
                <w:position w:val="1"/>
                <w:sz w:val="18"/>
                <w:szCs w:val="18"/>
              </w:rPr>
              <w:t>≤5</w:t>
            </w:r>
          </w:p>
          <w:p>
            <w:pPr>
              <w:spacing w:before="86" w:line="231" w:lineRule="auto"/>
              <w:ind w:left="586"/>
              <w:rPr>
                <w:rFonts w:ascii="宋体" w:hAnsi="宋体" w:eastAsia="宋体" w:cs="宋体"/>
                <w:sz w:val="18"/>
                <w:szCs w:val="18"/>
              </w:rPr>
            </w:pPr>
            <w:r>
              <w:rPr>
                <w:rFonts w:ascii="宋体" w:hAnsi="宋体" w:eastAsia="宋体" w:cs="宋体"/>
                <w:spacing w:val="-11"/>
                <w:sz w:val="18"/>
                <w:szCs w:val="18"/>
              </w:rPr>
              <w:t>≤500</w:t>
            </w:r>
          </w:p>
        </w:tc>
        <w:tc>
          <w:tcPr>
            <w:tcW w:w="1531" w:type="dxa"/>
            <w:vAlign w:val="top"/>
          </w:tcPr>
          <w:p>
            <w:pPr>
              <w:spacing w:before="106" w:line="257" w:lineRule="exact"/>
              <w:ind w:left="637"/>
              <w:rPr>
                <w:rFonts w:ascii="宋体" w:hAnsi="宋体" w:eastAsia="宋体" w:cs="宋体"/>
                <w:sz w:val="18"/>
                <w:szCs w:val="18"/>
              </w:rPr>
            </w:pPr>
            <w:r>
              <w:rPr>
                <w:rFonts w:ascii="宋体" w:hAnsi="宋体" w:eastAsia="宋体" w:cs="宋体"/>
                <w:spacing w:val="-14"/>
                <w:position w:val="1"/>
                <w:sz w:val="18"/>
                <w:szCs w:val="18"/>
              </w:rPr>
              <w:t>≤10</w:t>
            </w:r>
          </w:p>
          <w:p>
            <w:pPr>
              <w:spacing w:before="86" w:line="231" w:lineRule="auto"/>
              <w:ind w:left="591"/>
              <w:rPr>
                <w:rFonts w:ascii="宋体" w:hAnsi="宋体" w:eastAsia="宋体" w:cs="宋体"/>
                <w:sz w:val="18"/>
                <w:szCs w:val="18"/>
              </w:rPr>
            </w:pPr>
            <w:r>
              <w:rPr>
                <w:rFonts w:ascii="宋体" w:hAnsi="宋体" w:eastAsia="宋体" w:cs="宋体"/>
                <w:spacing w:val="-11"/>
                <w:sz w:val="18"/>
                <w:szCs w:val="18"/>
              </w:rPr>
              <w:t>≤700</w:t>
            </w:r>
          </w:p>
        </w:tc>
        <w:tc>
          <w:tcPr>
            <w:tcW w:w="1551" w:type="dxa"/>
            <w:tcBorders>
              <w:right w:val="single" w:color="000000" w:sz="4" w:space="0"/>
            </w:tcBorders>
            <w:vAlign w:val="top"/>
          </w:tcPr>
          <w:p>
            <w:pPr>
              <w:spacing w:before="109" w:line="260" w:lineRule="exact"/>
              <w:ind w:left="626"/>
              <w:rPr>
                <w:rFonts w:ascii="宋体" w:hAnsi="宋体" w:eastAsia="宋体" w:cs="宋体"/>
                <w:sz w:val="18"/>
                <w:szCs w:val="18"/>
              </w:rPr>
            </w:pPr>
            <w:r>
              <w:rPr>
                <w:rFonts w:ascii="宋体" w:hAnsi="宋体" w:eastAsia="宋体" w:cs="宋体"/>
                <w:spacing w:val="14"/>
                <w:position w:val="1"/>
                <w:sz w:val="18"/>
                <w:szCs w:val="18"/>
              </w:rPr>
              <w:t>&gt;10</w:t>
            </w:r>
          </w:p>
          <w:p>
            <w:pPr>
              <w:spacing w:before="83" w:line="228" w:lineRule="auto"/>
              <w:ind w:left="580"/>
              <w:rPr>
                <w:rFonts w:ascii="宋体" w:hAnsi="宋体" w:eastAsia="宋体" w:cs="宋体"/>
                <w:sz w:val="18"/>
                <w:szCs w:val="18"/>
              </w:rPr>
            </w:pPr>
            <w:r>
              <w:rPr>
                <w:rFonts w:ascii="宋体" w:hAnsi="宋体" w:eastAsia="宋体" w:cs="宋体"/>
                <w:spacing w:val="10"/>
                <w:sz w:val="18"/>
                <w:szCs w:val="18"/>
              </w:rPr>
              <w:t>&gt;700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7" w:hRule="atLeast"/>
        </w:trPr>
        <w:tc>
          <w:tcPr>
            <w:tcW w:w="612" w:type="dxa"/>
            <w:vMerge w:val="restart"/>
            <w:tcBorders>
              <w:left w:val="single" w:color="000000" w:sz="4" w:space="0"/>
              <w:bottom w:val="nil"/>
            </w:tcBorders>
            <w:textDirection w:val="tbRlV"/>
            <w:vAlign w:val="top"/>
          </w:tcPr>
          <w:p>
            <w:pPr>
              <w:spacing w:before="208" w:line="216" w:lineRule="auto"/>
              <w:ind w:left="816"/>
              <w:rPr>
                <w:rFonts w:ascii="宋体" w:hAnsi="宋体" w:eastAsia="宋体" w:cs="宋体"/>
                <w:sz w:val="18"/>
                <w:szCs w:val="18"/>
              </w:rPr>
            </w:pPr>
            <w:r>
              <w:rPr>
                <w:rFonts w:ascii="宋体" w:hAnsi="宋体" w:eastAsia="宋体" w:cs="宋体"/>
                <w:spacing w:val="13"/>
                <w:sz w:val="18"/>
                <w:szCs w:val="18"/>
              </w:rPr>
              <w:t>构筑物工程</w:t>
            </w:r>
          </w:p>
        </w:tc>
        <w:tc>
          <w:tcPr>
            <w:tcW w:w="1656" w:type="dxa"/>
            <w:gridSpan w:val="2"/>
            <w:vAlign w:val="top"/>
          </w:tcPr>
          <w:p>
            <w:pPr>
              <w:spacing w:before="255" w:line="209" w:lineRule="auto"/>
              <w:ind w:left="649"/>
              <w:rPr>
                <w:rFonts w:ascii="宋体" w:hAnsi="宋体" w:eastAsia="宋体" w:cs="宋体"/>
                <w:sz w:val="18"/>
                <w:szCs w:val="18"/>
              </w:rPr>
            </w:pPr>
            <w:r>
              <w:rPr>
                <w:rFonts w:ascii="宋体" w:hAnsi="宋体" w:eastAsia="宋体" w:cs="宋体"/>
                <w:spacing w:val="-4"/>
                <w:sz w:val="18"/>
                <w:szCs w:val="18"/>
              </w:rPr>
              <w:t>烟囱</w:t>
            </w:r>
          </w:p>
        </w:tc>
        <w:tc>
          <w:tcPr>
            <w:tcW w:w="1525" w:type="dxa"/>
            <w:vAlign w:val="top"/>
          </w:tcPr>
          <w:p>
            <w:pPr>
              <w:spacing w:before="113" w:line="294" w:lineRule="auto"/>
              <w:ind w:left="311" w:right="129" w:hanging="175"/>
              <w:rPr>
                <w:rFonts w:ascii="宋体" w:hAnsi="宋体" w:eastAsia="宋体" w:cs="宋体"/>
                <w:sz w:val="18"/>
                <w:szCs w:val="18"/>
              </w:rPr>
            </w:pPr>
            <w:r>
              <w:rPr>
                <w:rFonts w:ascii="宋体" w:hAnsi="宋体" w:eastAsia="宋体" w:cs="宋体"/>
                <w:spacing w:val="-1"/>
                <w:sz w:val="18"/>
                <w:szCs w:val="18"/>
              </w:rPr>
              <w:t>混凝土结构高度</w:t>
            </w:r>
            <w:r>
              <w:rPr>
                <w:rFonts w:ascii="宋体" w:hAnsi="宋体" w:eastAsia="宋体" w:cs="宋体"/>
                <w:spacing w:val="-3"/>
                <w:sz w:val="18"/>
                <w:szCs w:val="18"/>
              </w:rPr>
              <w:t>砖结构高度</w:t>
            </w:r>
          </w:p>
        </w:tc>
        <w:tc>
          <w:tcPr>
            <w:tcW w:w="673" w:type="dxa"/>
            <w:vAlign w:val="top"/>
          </w:tcPr>
          <w:p>
            <w:pPr>
              <w:spacing w:before="110"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80"/>
              <w:ind w:left="292"/>
              <w:rPr>
                <w:rFonts w:ascii="宋体" w:hAnsi="宋体" w:eastAsia="宋体" w:cs="宋体"/>
                <w:sz w:val="18"/>
                <w:szCs w:val="18"/>
              </w:rPr>
            </w:pPr>
            <w:r>
              <w:rPr>
                <w:rFonts w:ascii="宋体" w:hAnsi="宋体" w:eastAsia="宋体" w:cs="宋体"/>
                <w:spacing w:val="2"/>
                <w:w w:val="135"/>
                <w:sz w:val="18"/>
                <w:szCs w:val="18"/>
              </w:rPr>
              <w:t>m</w:t>
            </w:r>
          </w:p>
        </w:tc>
        <w:tc>
          <w:tcPr>
            <w:tcW w:w="1531" w:type="dxa"/>
            <w:vAlign w:val="top"/>
          </w:tcPr>
          <w:p>
            <w:pPr>
              <w:spacing w:before="110" w:line="260" w:lineRule="exact"/>
              <w:ind w:left="570"/>
              <w:rPr>
                <w:rFonts w:ascii="宋体" w:hAnsi="宋体" w:eastAsia="宋体" w:cs="宋体"/>
                <w:sz w:val="18"/>
                <w:szCs w:val="18"/>
              </w:rPr>
            </w:pPr>
            <w:r>
              <w:rPr>
                <w:rFonts w:ascii="宋体" w:hAnsi="宋体" w:eastAsia="宋体" w:cs="宋体"/>
                <w:spacing w:val="10"/>
                <w:position w:val="1"/>
                <w:sz w:val="18"/>
                <w:szCs w:val="18"/>
              </w:rPr>
              <w:t>&gt;100</w:t>
            </w:r>
          </w:p>
          <w:p>
            <w:pPr>
              <w:spacing w:before="82"/>
              <w:ind w:left="616"/>
              <w:rPr>
                <w:rFonts w:ascii="宋体" w:hAnsi="宋体" w:eastAsia="宋体" w:cs="宋体"/>
                <w:sz w:val="18"/>
                <w:szCs w:val="18"/>
              </w:rPr>
            </w:pPr>
            <w:r>
              <w:rPr>
                <w:rFonts w:ascii="宋体" w:hAnsi="宋体" w:eastAsia="宋体" w:cs="宋体"/>
                <w:spacing w:val="14"/>
                <w:sz w:val="18"/>
                <w:szCs w:val="18"/>
              </w:rPr>
              <w:t>&gt;60</w:t>
            </w:r>
          </w:p>
        </w:tc>
        <w:tc>
          <w:tcPr>
            <w:tcW w:w="1531" w:type="dxa"/>
            <w:vAlign w:val="top"/>
          </w:tcPr>
          <w:p>
            <w:pPr>
              <w:spacing w:before="110" w:line="260" w:lineRule="exact"/>
              <w:ind w:left="621"/>
              <w:rPr>
                <w:rFonts w:ascii="宋体" w:hAnsi="宋体" w:eastAsia="宋体" w:cs="宋体"/>
                <w:sz w:val="18"/>
                <w:szCs w:val="18"/>
              </w:rPr>
            </w:pPr>
            <w:r>
              <w:rPr>
                <w:rFonts w:ascii="宋体" w:hAnsi="宋体" w:eastAsia="宋体" w:cs="宋体"/>
                <w:spacing w:val="14"/>
                <w:position w:val="1"/>
                <w:sz w:val="18"/>
                <w:szCs w:val="18"/>
              </w:rPr>
              <w:t>&gt;60</w:t>
            </w:r>
          </w:p>
          <w:p>
            <w:pPr>
              <w:spacing w:before="82"/>
              <w:ind w:left="621"/>
              <w:rPr>
                <w:rFonts w:ascii="宋体" w:hAnsi="宋体" w:eastAsia="宋体" w:cs="宋体"/>
                <w:sz w:val="18"/>
                <w:szCs w:val="18"/>
              </w:rPr>
            </w:pPr>
            <w:r>
              <w:rPr>
                <w:rFonts w:ascii="宋体" w:hAnsi="宋体" w:eastAsia="宋体" w:cs="宋体"/>
                <w:spacing w:val="15"/>
                <w:sz w:val="18"/>
                <w:szCs w:val="18"/>
              </w:rPr>
              <w:t>&gt;40</w:t>
            </w:r>
          </w:p>
        </w:tc>
        <w:tc>
          <w:tcPr>
            <w:tcW w:w="1551" w:type="dxa"/>
            <w:tcBorders>
              <w:right w:val="single" w:color="000000" w:sz="4" w:space="0"/>
            </w:tcBorders>
            <w:vAlign w:val="top"/>
          </w:tcPr>
          <w:p>
            <w:pPr>
              <w:spacing w:before="107" w:line="257" w:lineRule="exact"/>
              <w:ind w:left="642"/>
              <w:rPr>
                <w:rFonts w:ascii="宋体" w:hAnsi="宋体" w:eastAsia="宋体" w:cs="宋体"/>
                <w:sz w:val="18"/>
                <w:szCs w:val="18"/>
              </w:rPr>
            </w:pPr>
            <w:r>
              <w:rPr>
                <w:rFonts w:ascii="宋体" w:hAnsi="宋体" w:eastAsia="宋体" w:cs="宋体"/>
                <w:spacing w:val="-14"/>
                <w:position w:val="1"/>
                <w:sz w:val="18"/>
                <w:szCs w:val="18"/>
              </w:rPr>
              <w:t>≤60</w:t>
            </w:r>
          </w:p>
          <w:p>
            <w:pPr>
              <w:spacing w:before="88"/>
              <w:ind w:left="642"/>
              <w:rPr>
                <w:rFonts w:ascii="宋体" w:hAnsi="宋体" w:eastAsia="宋体" w:cs="宋体"/>
                <w:sz w:val="18"/>
                <w:szCs w:val="18"/>
              </w:rPr>
            </w:pPr>
            <w:r>
              <w:rPr>
                <w:rFonts w:ascii="宋体" w:hAnsi="宋体" w:eastAsia="宋体" w:cs="宋体"/>
                <w:spacing w:val="-14"/>
                <w:sz w:val="18"/>
                <w:szCs w:val="18"/>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bottom w:val="nil"/>
            </w:tcBorders>
            <w:textDirection w:val="tbRlV"/>
            <w:vAlign w:val="top"/>
          </w:tcPr>
          <w:p>
            <w:pPr>
              <w:pStyle w:val="6"/>
            </w:pPr>
          </w:p>
        </w:tc>
        <w:tc>
          <w:tcPr>
            <w:tcW w:w="1656" w:type="dxa"/>
            <w:gridSpan w:val="2"/>
            <w:vAlign w:val="top"/>
          </w:tcPr>
          <w:p>
            <w:pPr>
              <w:spacing w:before="255" w:line="210" w:lineRule="auto"/>
              <w:ind w:left="646"/>
              <w:rPr>
                <w:rFonts w:ascii="宋体" w:hAnsi="宋体" w:eastAsia="宋体" w:cs="宋体"/>
                <w:sz w:val="18"/>
                <w:szCs w:val="18"/>
              </w:rPr>
            </w:pPr>
            <w:r>
              <w:rPr>
                <w:rFonts w:ascii="宋体" w:hAnsi="宋体" w:eastAsia="宋体" w:cs="宋体"/>
                <w:spacing w:val="-2"/>
                <w:sz w:val="18"/>
                <w:szCs w:val="18"/>
              </w:rPr>
              <w:t>水塔</w:t>
            </w:r>
          </w:p>
        </w:tc>
        <w:tc>
          <w:tcPr>
            <w:tcW w:w="1525" w:type="dxa"/>
            <w:vAlign w:val="top"/>
          </w:tcPr>
          <w:p>
            <w:pPr>
              <w:spacing w:before="99" w:line="211" w:lineRule="auto"/>
              <w:ind w:left="593"/>
              <w:rPr>
                <w:rFonts w:ascii="宋体" w:hAnsi="宋体" w:eastAsia="宋体" w:cs="宋体"/>
                <w:sz w:val="18"/>
                <w:szCs w:val="18"/>
              </w:rPr>
            </w:pPr>
            <w:r>
              <w:rPr>
                <w:rFonts w:ascii="宋体" w:hAnsi="宋体" w:eastAsia="宋体" w:cs="宋体"/>
                <w:spacing w:val="-4"/>
                <w:sz w:val="18"/>
                <w:szCs w:val="18"/>
              </w:rPr>
              <w:t>高度</w:t>
            </w:r>
          </w:p>
          <w:p>
            <w:pPr>
              <w:spacing w:before="138" w:line="211" w:lineRule="auto"/>
              <w:ind w:left="588"/>
              <w:rPr>
                <w:rFonts w:ascii="宋体" w:hAnsi="宋体" w:eastAsia="宋体" w:cs="宋体"/>
                <w:sz w:val="18"/>
                <w:szCs w:val="18"/>
              </w:rPr>
            </w:pPr>
            <w:r>
              <w:rPr>
                <w:rFonts w:ascii="宋体" w:hAnsi="宋体" w:eastAsia="宋体" w:cs="宋体"/>
                <w:spacing w:val="-3"/>
                <w:sz w:val="18"/>
                <w:szCs w:val="18"/>
              </w:rPr>
              <w:t>容积</w:t>
            </w:r>
          </w:p>
        </w:tc>
        <w:tc>
          <w:tcPr>
            <w:tcW w:w="673" w:type="dxa"/>
            <w:vAlign w:val="top"/>
          </w:tcPr>
          <w:p>
            <w:pPr>
              <w:spacing w:before="111"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pStyle w:val="6"/>
              <w:spacing w:before="79" w:line="228" w:lineRule="auto"/>
              <w:ind w:left="270"/>
              <w:rPr>
                <w:sz w:val="18"/>
                <w:szCs w:val="18"/>
              </w:rPr>
            </w:pPr>
            <w:r>
              <w:rPr>
                <w:rFonts w:ascii="宋体" w:hAnsi="宋体" w:eastAsia="宋体" w:cs="宋体"/>
                <w:spacing w:val="17"/>
                <w:sz w:val="18"/>
                <w:szCs w:val="18"/>
              </w:rPr>
              <w:t>m</w:t>
            </w:r>
            <w:r>
              <w:rPr>
                <w:spacing w:val="17"/>
                <w:sz w:val="18"/>
                <w:szCs w:val="18"/>
              </w:rPr>
              <w:t>³</w:t>
            </w:r>
          </w:p>
        </w:tc>
        <w:tc>
          <w:tcPr>
            <w:tcW w:w="1531" w:type="dxa"/>
            <w:vAlign w:val="top"/>
          </w:tcPr>
          <w:p>
            <w:pPr>
              <w:spacing w:before="111"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2" w:line="226" w:lineRule="auto"/>
              <w:ind w:left="570"/>
              <w:rPr>
                <w:rFonts w:ascii="宋体" w:hAnsi="宋体" w:eastAsia="宋体" w:cs="宋体"/>
                <w:sz w:val="18"/>
                <w:szCs w:val="18"/>
              </w:rPr>
            </w:pPr>
            <w:r>
              <w:rPr>
                <w:rFonts w:ascii="宋体" w:hAnsi="宋体" w:eastAsia="宋体" w:cs="宋体"/>
                <w:spacing w:val="10"/>
                <w:sz w:val="18"/>
                <w:szCs w:val="18"/>
              </w:rPr>
              <w:t>&gt;100</w:t>
            </w:r>
          </w:p>
        </w:tc>
        <w:tc>
          <w:tcPr>
            <w:tcW w:w="1531" w:type="dxa"/>
            <w:vAlign w:val="top"/>
          </w:tcPr>
          <w:p>
            <w:pPr>
              <w:spacing w:before="111" w:line="260" w:lineRule="exact"/>
              <w:ind w:left="621"/>
              <w:rPr>
                <w:rFonts w:ascii="宋体" w:hAnsi="宋体" w:eastAsia="宋体" w:cs="宋体"/>
                <w:sz w:val="18"/>
                <w:szCs w:val="18"/>
              </w:rPr>
            </w:pPr>
            <w:r>
              <w:rPr>
                <w:rFonts w:ascii="宋体" w:hAnsi="宋体" w:eastAsia="宋体" w:cs="宋体"/>
                <w:spacing w:val="15"/>
                <w:position w:val="1"/>
                <w:sz w:val="18"/>
                <w:szCs w:val="18"/>
              </w:rPr>
              <w:t>&gt;40</w:t>
            </w:r>
          </w:p>
          <w:p>
            <w:pPr>
              <w:spacing w:before="82" w:line="226" w:lineRule="auto"/>
              <w:ind w:left="621"/>
              <w:rPr>
                <w:rFonts w:ascii="宋体" w:hAnsi="宋体" w:eastAsia="宋体" w:cs="宋体"/>
                <w:sz w:val="18"/>
                <w:szCs w:val="18"/>
              </w:rPr>
            </w:pPr>
            <w:r>
              <w:rPr>
                <w:rFonts w:ascii="宋体" w:hAnsi="宋体" w:eastAsia="宋体" w:cs="宋体"/>
                <w:spacing w:val="14"/>
                <w:sz w:val="18"/>
                <w:szCs w:val="18"/>
              </w:rPr>
              <w:t>&gt;60</w:t>
            </w:r>
          </w:p>
        </w:tc>
        <w:tc>
          <w:tcPr>
            <w:tcW w:w="1551" w:type="dxa"/>
            <w:tcBorders>
              <w:right w:val="single" w:color="000000" w:sz="4" w:space="0"/>
            </w:tcBorders>
            <w:vAlign w:val="top"/>
          </w:tcPr>
          <w:p>
            <w:pPr>
              <w:spacing w:before="106" w:line="257" w:lineRule="exact"/>
              <w:ind w:left="642"/>
              <w:rPr>
                <w:rFonts w:ascii="宋体" w:hAnsi="宋体" w:eastAsia="宋体" w:cs="宋体"/>
                <w:sz w:val="18"/>
                <w:szCs w:val="18"/>
              </w:rPr>
            </w:pPr>
            <w:r>
              <w:rPr>
                <w:rFonts w:ascii="宋体" w:hAnsi="宋体" w:eastAsia="宋体" w:cs="宋体"/>
                <w:spacing w:val="-14"/>
                <w:position w:val="1"/>
                <w:sz w:val="18"/>
                <w:szCs w:val="18"/>
              </w:rPr>
              <w:t>≤40</w:t>
            </w:r>
          </w:p>
          <w:p>
            <w:pPr>
              <w:spacing w:before="89" w:line="228" w:lineRule="auto"/>
              <w:ind w:left="642"/>
              <w:rPr>
                <w:rFonts w:ascii="宋体" w:hAnsi="宋体" w:eastAsia="宋体" w:cs="宋体"/>
                <w:sz w:val="18"/>
                <w:szCs w:val="18"/>
              </w:rPr>
            </w:pPr>
            <w:r>
              <w:rPr>
                <w:rFonts w:ascii="宋体" w:hAnsi="宋体" w:eastAsia="宋体" w:cs="宋体"/>
                <w:spacing w:val="-14"/>
                <w:sz w:val="18"/>
                <w:szCs w:val="18"/>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continue"/>
            <w:tcBorders>
              <w:top w:val="nil"/>
              <w:left w:val="single" w:color="000000" w:sz="4" w:space="0"/>
              <w:bottom w:val="nil"/>
            </w:tcBorders>
            <w:textDirection w:val="tbRlV"/>
            <w:vAlign w:val="top"/>
          </w:tcPr>
          <w:p>
            <w:pPr>
              <w:pStyle w:val="6"/>
            </w:pPr>
          </w:p>
        </w:tc>
        <w:tc>
          <w:tcPr>
            <w:tcW w:w="1656" w:type="dxa"/>
            <w:gridSpan w:val="2"/>
            <w:vAlign w:val="top"/>
          </w:tcPr>
          <w:p>
            <w:pPr>
              <w:spacing w:before="255" w:line="209" w:lineRule="auto"/>
              <w:ind w:left="647"/>
              <w:rPr>
                <w:rFonts w:ascii="宋体" w:hAnsi="宋体" w:eastAsia="宋体" w:cs="宋体"/>
                <w:sz w:val="18"/>
                <w:szCs w:val="18"/>
              </w:rPr>
            </w:pPr>
            <w:r>
              <w:rPr>
                <w:rFonts w:ascii="宋体" w:hAnsi="宋体" w:eastAsia="宋体" w:cs="宋体"/>
                <w:spacing w:val="-2"/>
                <w:sz w:val="18"/>
                <w:szCs w:val="18"/>
              </w:rPr>
              <w:t>筒仓</w:t>
            </w:r>
          </w:p>
        </w:tc>
        <w:tc>
          <w:tcPr>
            <w:tcW w:w="1525" w:type="dxa"/>
            <w:vAlign w:val="top"/>
          </w:tcPr>
          <w:p>
            <w:pPr>
              <w:spacing w:before="97" w:line="211" w:lineRule="auto"/>
              <w:ind w:left="593"/>
              <w:rPr>
                <w:rFonts w:ascii="宋体" w:hAnsi="宋体" w:eastAsia="宋体" w:cs="宋体"/>
                <w:sz w:val="18"/>
                <w:szCs w:val="18"/>
              </w:rPr>
            </w:pPr>
            <w:r>
              <w:rPr>
                <w:rFonts w:ascii="宋体" w:hAnsi="宋体" w:eastAsia="宋体" w:cs="宋体"/>
                <w:spacing w:val="-4"/>
                <w:sz w:val="18"/>
                <w:szCs w:val="18"/>
              </w:rPr>
              <w:t>高度</w:t>
            </w:r>
          </w:p>
          <w:p>
            <w:pPr>
              <w:spacing w:before="135" w:line="241" w:lineRule="auto"/>
              <w:ind w:left="228"/>
              <w:rPr>
                <w:rFonts w:ascii="宋体" w:hAnsi="宋体" w:eastAsia="宋体" w:cs="宋体"/>
                <w:sz w:val="18"/>
                <w:szCs w:val="18"/>
              </w:rPr>
            </w:pPr>
            <w:r>
              <w:rPr>
                <w:rFonts w:ascii="宋体" w:hAnsi="宋体" w:eastAsia="宋体" w:cs="宋体"/>
                <w:spacing w:val="-4"/>
                <w:sz w:val="18"/>
                <w:szCs w:val="18"/>
              </w:rPr>
              <w:t>容积（单体）</w:t>
            </w:r>
          </w:p>
        </w:tc>
        <w:tc>
          <w:tcPr>
            <w:tcW w:w="673" w:type="dxa"/>
            <w:vAlign w:val="top"/>
          </w:tcPr>
          <w:p>
            <w:pPr>
              <w:spacing w:before="112"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pStyle w:val="6"/>
              <w:spacing w:before="79" w:line="226" w:lineRule="auto"/>
              <w:ind w:left="270"/>
              <w:rPr>
                <w:sz w:val="18"/>
                <w:szCs w:val="18"/>
              </w:rPr>
            </w:pPr>
            <w:r>
              <w:rPr>
                <w:rFonts w:ascii="宋体" w:hAnsi="宋体" w:eastAsia="宋体" w:cs="宋体"/>
                <w:spacing w:val="17"/>
                <w:sz w:val="18"/>
                <w:szCs w:val="18"/>
              </w:rPr>
              <w:t>m</w:t>
            </w:r>
            <w:r>
              <w:rPr>
                <w:spacing w:val="17"/>
                <w:sz w:val="18"/>
                <w:szCs w:val="18"/>
              </w:rPr>
              <w:t>³</w:t>
            </w:r>
          </w:p>
        </w:tc>
        <w:tc>
          <w:tcPr>
            <w:tcW w:w="1531" w:type="dxa"/>
            <w:vAlign w:val="top"/>
          </w:tcPr>
          <w:p>
            <w:pPr>
              <w:spacing w:before="112" w:line="261" w:lineRule="exact"/>
              <w:ind w:left="616"/>
              <w:rPr>
                <w:rFonts w:ascii="宋体" w:hAnsi="宋体" w:eastAsia="宋体" w:cs="宋体"/>
                <w:sz w:val="18"/>
                <w:szCs w:val="18"/>
              </w:rPr>
            </w:pPr>
            <w:r>
              <w:rPr>
                <w:rFonts w:ascii="宋体" w:hAnsi="宋体" w:eastAsia="宋体" w:cs="宋体"/>
                <w:spacing w:val="15"/>
                <w:position w:val="1"/>
                <w:sz w:val="18"/>
                <w:szCs w:val="18"/>
              </w:rPr>
              <w:t>&gt;35</w:t>
            </w:r>
          </w:p>
          <w:p>
            <w:pPr>
              <w:spacing w:before="80" w:line="226" w:lineRule="auto"/>
              <w:ind w:left="524"/>
              <w:rPr>
                <w:rFonts w:ascii="宋体" w:hAnsi="宋体" w:eastAsia="宋体" w:cs="宋体"/>
                <w:sz w:val="18"/>
                <w:szCs w:val="18"/>
              </w:rPr>
            </w:pPr>
            <w:r>
              <w:rPr>
                <w:rFonts w:ascii="宋体" w:hAnsi="宋体" w:eastAsia="宋体" w:cs="宋体"/>
                <w:spacing w:val="9"/>
                <w:sz w:val="18"/>
                <w:szCs w:val="18"/>
              </w:rPr>
              <w:t>&gt;2500</w:t>
            </w:r>
          </w:p>
        </w:tc>
        <w:tc>
          <w:tcPr>
            <w:tcW w:w="1531" w:type="dxa"/>
            <w:vAlign w:val="top"/>
          </w:tcPr>
          <w:p>
            <w:pPr>
              <w:spacing w:before="112" w:line="261" w:lineRule="exact"/>
              <w:ind w:left="621"/>
              <w:rPr>
                <w:rFonts w:ascii="宋体" w:hAnsi="宋体" w:eastAsia="宋体" w:cs="宋体"/>
                <w:sz w:val="18"/>
                <w:szCs w:val="18"/>
              </w:rPr>
            </w:pPr>
            <w:r>
              <w:rPr>
                <w:rFonts w:ascii="宋体" w:hAnsi="宋体" w:eastAsia="宋体" w:cs="宋体"/>
                <w:spacing w:val="14"/>
                <w:position w:val="1"/>
                <w:sz w:val="18"/>
                <w:szCs w:val="18"/>
              </w:rPr>
              <w:t>&gt;20</w:t>
            </w:r>
          </w:p>
          <w:p>
            <w:pPr>
              <w:spacing w:before="80" w:line="226" w:lineRule="auto"/>
              <w:ind w:left="529"/>
              <w:rPr>
                <w:rFonts w:ascii="宋体" w:hAnsi="宋体" w:eastAsia="宋体" w:cs="宋体"/>
                <w:sz w:val="18"/>
                <w:szCs w:val="18"/>
              </w:rPr>
            </w:pPr>
            <w:r>
              <w:rPr>
                <w:rFonts w:ascii="宋体" w:hAnsi="宋体" w:eastAsia="宋体" w:cs="宋体"/>
                <w:spacing w:val="9"/>
                <w:sz w:val="18"/>
                <w:szCs w:val="18"/>
              </w:rPr>
              <w:t>&gt;1500</w:t>
            </w:r>
          </w:p>
        </w:tc>
        <w:tc>
          <w:tcPr>
            <w:tcW w:w="1551" w:type="dxa"/>
            <w:tcBorders>
              <w:right w:val="single" w:color="000000" w:sz="4" w:space="0"/>
            </w:tcBorders>
            <w:vAlign w:val="top"/>
          </w:tcPr>
          <w:p>
            <w:pPr>
              <w:spacing w:before="110" w:line="257" w:lineRule="exact"/>
              <w:ind w:left="642"/>
              <w:rPr>
                <w:rFonts w:ascii="宋体" w:hAnsi="宋体" w:eastAsia="宋体" w:cs="宋体"/>
                <w:sz w:val="18"/>
                <w:szCs w:val="18"/>
              </w:rPr>
            </w:pPr>
            <w:r>
              <w:rPr>
                <w:rFonts w:ascii="宋体" w:hAnsi="宋体" w:eastAsia="宋体" w:cs="宋体"/>
                <w:spacing w:val="-14"/>
                <w:position w:val="1"/>
                <w:sz w:val="18"/>
                <w:szCs w:val="18"/>
              </w:rPr>
              <w:t>≤20</w:t>
            </w:r>
          </w:p>
          <w:p>
            <w:pPr>
              <w:spacing w:before="86" w:line="226" w:lineRule="auto"/>
              <w:ind w:left="553"/>
              <w:rPr>
                <w:rFonts w:ascii="宋体" w:hAnsi="宋体" w:eastAsia="宋体" w:cs="宋体"/>
                <w:sz w:val="18"/>
                <w:szCs w:val="18"/>
              </w:rPr>
            </w:pPr>
            <w:r>
              <w:rPr>
                <w:rFonts w:ascii="宋体" w:hAnsi="宋体" w:eastAsia="宋体" w:cs="宋体"/>
                <w:spacing w:val="-10"/>
                <w:sz w:val="18"/>
                <w:szCs w:val="18"/>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612" w:type="dxa"/>
            <w:vMerge w:val="continue"/>
            <w:tcBorders>
              <w:top w:val="nil"/>
              <w:left w:val="single" w:color="000000" w:sz="4" w:space="0"/>
            </w:tcBorders>
            <w:textDirection w:val="tbRlV"/>
            <w:vAlign w:val="top"/>
          </w:tcPr>
          <w:p>
            <w:pPr>
              <w:pStyle w:val="6"/>
            </w:pPr>
          </w:p>
        </w:tc>
        <w:tc>
          <w:tcPr>
            <w:tcW w:w="1656" w:type="dxa"/>
            <w:gridSpan w:val="2"/>
            <w:vAlign w:val="top"/>
          </w:tcPr>
          <w:p>
            <w:pPr>
              <w:spacing w:before="168" w:line="211" w:lineRule="auto"/>
              <w:ind w:left="642"/>
              <w:rPr>
                <w:rFonts w:ascii="宋体" w:hAnsi="宋体" w:eastAsia="宋体" w:cs="宋体"/>
                <w:sz w:val="18"/>
                <w:szCs w:val="18"/>
              </w:rPr>
            </w:pPr>
            <w:r>
              <w:rPr>
                <w:rFonts w:ascii="宋体" w:hAnsi="宋体" w:eastAsia="宋体" w:cs="宋体"/>
                <w:spacing w:val="-1"/>
                <w:sz w:val="18"/>
                <w:szCs w:val="18"/>
              </w:rPr>
              <w:t>贮池</w:t>
            </w:r>
          </w:p>
        </w:tc>
        <w:tc>
          <w:tcPr>
            <w:tcW w:w="1525" w:type="dxa"/>
            <w:vAlign w:val="top"/>
          </w:tcPr>
          <w:p>
            <w:pPr>
              <w:spacing w:before="162" w:line="242" w:lineRule="exact"/>
              <w:ind w:left="228"/>
              <w:rPr>
                <w:rFonts w:ascii="宋体" w:hAnsi="宋体" w:eastAsia="宋体" w:cs="宋体"/>
                <w:sz w:val="18"/>
                <w:szCs w:val="18"/>
              </w:rPr>
            </w:pPr>
            <w:r>
              <w:rPr>
                <w:rFonts w:ascii="宋体" w:hAnsi="宋体" w:eastAsia="宋体" w:cs="宋体"/>
                <w:spacing w:val="-4"/>
                <w:position w:val="1"/>
                <w:sz w:val="18"/>
                <w:szCs w:val="18"/>
              </w:rPr>
              <w:t>容积（单体）</w:t>
            </w:r>
          </w:p>
        </w:tc>
        <w:tc>
          <w:tcPr>
            <w:tcW w:w="673" w:type="dxa"/>
            <w:vAlign w:val="top"/>
          </w:tcPr>
          <w:p>
            <w:pPr>
              <w:pStyle w:val="6"/>
              <w:spacing w:before="179" w:line="258" w:lineRule="exact"/>
              <w:ind w:left="270"/>
              <w:rPr>
                <w:sz w:val="18"/>
                <w:szCs w:val="18"/>
              </w:rPr>
            </w:pPr>
            <w:r>
              <w:rPr>
                <w:rFonts w:ascii="宋体" w:hAnsi="宋体" w:eastAsia="宋体" w:cs="宋体"/>
                <w:spacing w:val="17"/>
                <w:position w:val="1"/>
                <w:sz w:val="18"/>
                <w:szCs w:val="18"/>
              </w:rPr>
              <w:t>m</w:t>
            </w:r>
            <w:r>
              <w:rPr>
                <w:spacing w:val="17"/>
                <w:position w:val="1"/>
                <w:sz w:val="18"/>
                <w:szCs w:val="18"/>
              </w:rPr>
              <w:t>³</w:t>
            </w:r>
          </w:p>
        </w:tc>
        <w:tc>
          <w:tcPr>
            <w:tcW w:w="1531" w:type="dxa"/>
            <w:vAlign w:val="top"/>
          </w:tcPr>
          <w:p>
            <w:pPr>
              <w:spacing w:before="179" w:line="258" w:lineRule="exact"/>
              <w:ind w:left="524"/>
              <w:rPr>
                <w:rFonts w:ascii="宋体" w:hAnsi="宋体" w:eastAsia="宋体" w:cs="宋体"/>
                <w:sz w:val="18"/>
                <w:szCs w:val="18"/>
              </w:rPr>
            </w:pPr>
            <w:r>
              <w:rPr>
                <w:rFonts w:ascii="宋体" w:hAnsi="宋体" w:eastAsia="宋体" w:cs="宋体"/>
                <w:spacing w:val="9"/>
                <w:position w:val="1"/>
                <w:sz w:val="18"/>
                <w:szCs w:val="18"/>
              </w:rPr>
              <w:t>&gt;3000</w:t>
            </w:r>
          </w:p>
        </w:tc>
        <w:tc>
          <w:tcPr>
            <w:tcW w:w="1531" w:type="dxa"/>
            <w:vAlign w:val="top"/>
          </w:tcPr>
          <w:p>
            <w:pPr>
              <w:spacing w:before="179" w:line="258" w:lineRule="exact"/>
              <w:ind w:left="529"/>
              <w:rPr>
                <w:rFonts w:ascii="宋体" w:hAnsi="宋体" w:eastAsia="宋体" w:cs="宋体"/>
                <w:sz w:val="18"/>
                <w:szCs w:val="18"/>
              </w:rPr>
            </w:pPr>
            <w:r>
              <w:rPr>
                <w:rFonts w:ascii="宋体" w:hAnsi="宋体" w:eastAsia="宋体" w:cs="宋体"/>
                <w:spacing w:val="9"/>
                <w:position w:val="1"/>
                <w:sz w:val="18"/>
                <w:szCs w:val="18"/>
              </w:rPr>
              <w:t>&gt;1500</w:t>
            </w:r>
          </w:p>
        </w:tc>
        <w:tc>
          <w:tcPr>
            <w:tcW w:w="1551" w:type="dxa"/>
            <w:tcBorders>
              <w:right w:val="single" w:color="000000" w:sz="4" w:space="0"/>
            </w:tcBorders>
            <w:vAlign w:val="top"/>
          </w:tcPr>
          <w:p>
            <w:pPr>
              <w:spacing w:before="177" w:line="257" w:lineRule="exact"/>
              <w:ind w:left="553"/>
              <w:rPr>
                <w:rFonts w:ascii="宋体" w:hAnsi="宋体" w:eastAsia="宋体" w:cs="宋体"/>
                <w:sz w:val="18"/>
                <w:szCs w:val="18"/>
              </w:rPr>
            </w:pPr>
            <w:r>
              <w:rPr>
                <w:rFonts w:ascii="宋体" w:hAnsi="宋体" w:eastAsia="宋体" w:cs="宋体"/>
                <w:spacing w:val="-10"/>
                <w:position w:val="1"/>
                <w:sz w:val="18"/>
                <w:szCs w:val="18"/>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2268" w:type="dxa"/>
            <w:gridSpan w:val="3"/>
            <w:tcBorders>
              <w:left w:val="single" w:color="000000" w:sz="4" w:space="0"/>
            </w:tcBorders>
            <w:vAlign w:val="top"/>
          </w:tcPr>
          <w:p>
            <w:pPr>
              <w:spacing w:before="156" w:line="208" w:lineRule="auto"/>
              <w:ind w:left="777"/>
              <w:rPr>
                <w:rFonts w:ascii="宋体" w:hAnsi="宋体" w:eastAsia="宋体" w:cs="宋体"/>
                <w:sz w:val="18"/>
                <w:szCs w:val="18"/>
              </w:rPr>
            </w:pPr>
            <w:r>
              <w:rPr>
                <w:rFonts w:ascii="宋体" w:hAnsi="宋体" w:eastAsia="宋体" w:cs="宋体"/>
                <w:spacing w:val="-3"/>
                <w:sz w:val="18"/>
                <w:szCs w:val="18"/>
              </w:rPr>
              <w:t>桩基工程</w:t>
            </w:r>
          </w:p>
        </w:tc>
        <w:tc>
          <w:tcPr>
            <w:tcW w:w="1525" w:type="dxa"/>
            <w:vAlign w:val="top"/>
          </w:tcPr>
          <w:p>
            <w:pPr>
              <w:spacing w:before="157" w:line="207" w:lineRule="auto"/>
              <w:ind w:left="585"/>
              <w:rPr>
                <w:rFonts w:ascii="宋体" w:hAnsi="宋体" w:eastAsia="宋体" w:cs="宋体"/>
                <w:sz w:val="18"/>
                <w:szCs w:val="18"/>
              </w:rPr>
            </w:pPr>
            <w:r>
              <w:rPr>
                <w:rFonts w:ascii="宋体" w:hAnsi="宋体" w:eastAsia="宋体" w:cs="宋体"/>
                <w:spacing w:val="-3"/>
                <w:sz w:val="18"/>
                <w:szCs w:val="18"/>
              </w:rPr>
              <w:t>桩长</w:t>
            </w:r>
          </w:p>
        </w:tc>
        <w:tc>
          <w:tcPr>
            <w:tcW w:w="673" w:type="dxa"/>
            <w:vAlign w:val="top"/>
          </w:tcPr>
          <w:p>
            <w:pPr>
              <w:spacing w:before="166" w:line="243"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tc>
        <w:tc>
          <w:tcPr>
            <w:tcW w:w="1531" w:type="dxa"/>
            <w:vAlign w:val="top"/>
          </w:tcPr>
          <w:p>
            <w:pPr>
              <w:spacing w:before="166" w:line="243" w:lineRule="exact"/>
              <w:ind w:left="616"/>
              <w:rPr>
                <w:rFonts w:ascii="宋体" w:hAnsi="宋体" w:eastAsia="宋体" w:cs="宋体"/>
                <w:sz w:val="18"/>
                <w:szCs w:val="18"/>
              </w:rPr>
            </w:pPr>
            <w:r>
              <w:rPr>
                <w:rFonts w:ascii="宋体" w:hAnsi="宋体" w:eastAsia="宋体" w:cs="宋体"/>
                <w:spacing w:val="14"/>
                <w:position w:val="1"/>
                <w:sz w:val="18"/>
                <w:szCs w:val="18"/>
              </w:rPr>
              <w:t>&gt;30</w:t>
            </w:r>
          </w:p>
        </w:tc>
        <w:tc>
          <w:tcPr>
            <w:tcW w:w="1531" w:type="dxa"/>
            <w:vAlign w:val="top"/>
          </w:tcPr>
          <w:p>
            <w:pPr>
              <w:spacing w:before="166" w:line="243" w:lineRule="exact"/>
              <w:ind w:left="621"/>
              <w:rPr>
                <w:rFonts w:ascii="宋体" w:hAnsi="宋体" w:eastAsia="宋体" w:cs="宋体"/>
                <w:sz w:val="18"/>
                <w:szCs w:val="18"/>
              </w:rPr>
            </w:pPr>
            <w:r>
              <w:rPr>
                <w:rFonts w:ascii="宋体" w:hAnsi="宋体" w:eastAsia="宋体" w:cs="宋体"/>
                <w:spacing w:val="15"/>
                <w:position w:val="1"/>
                <w:sz w:val="18"/>
                <w:szCs w:val="18"/>
              </w:rPr>
              <w:t>&gt;12</w:t>
            </w:r>
          </w:p>
        </w:tc>
        <w:tc>
          <w:tcPr>
            <w:tcW w:w="1551" w:type="dxa"/>
            <w:tcBorders>
              <w:right w:val="single" w:color="000000" w:sz="4" w:space="0"/>
            </w:tcBorders>
            <w:vAlign w:val="top"/>
          </w:tcPr>
          <w:p>
            <w:pPr>
              <w:spacing w:before="164" w:line="245" w:lineRule="exact"/>
              <w:ind w:left="642"/>
              <w:rPr>
                <w:rFonts w:ascii="宋体" w:hAnsi="宋体" w:eastAsia="宋体" w:cs="宋体"/>
                <w:sz w:val="18"/>
                <w:szCs w:val="18"/>
              </w:rPr>
            </w:pPr>
            <w:r>
              <w:rPr>
                <w:rFonts w:ascii="宋体" w:hAnsi="宋体" w:eastAsia="宋体" w:cs="宋体"/>
                <w:spacing w:val="-14"/>
                <w:position w:val="1"/>
                <w:sz w:val="18"/>
                <w:szCs w:val="18"/>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4" w:hRule="atLeast"/>
        </w:trPr>
        <w:tc>
          <w:tcPr>
            <w:tcW w:w="2268" w:type="dxa"/>
            <w:gridSpan w:val="3"/>
            <w:tcBorders>
              <w:left w:val="single" w:color="000000" w:sz="4" w:space="0"/>
              <w:bottom w:val="single" w:color="000000" w:sz="4" w:space="0"/>
            </w:tcBorders>
            <w:vAlign w:val="top"/>
          </w:tcPr>
          <w:p>
            <w:pPr>
              <w:spacing w:before="260" w:line="213" w:lineRule="auto"/>
              <w:ind w:left="507"/>
              <w:rPr>
                <w:rFonts w:ascii="宋体" w:hAnsi="宋体" w:eastAsia="宋体" w:cs="宋体"/>
                <w:sz w:val="18"/>
                <w:szCs w:val="18"/>
              </w:rPr>
            </w:pPr>
            <w:r>
              <w:rPr>
                <w:rFonts w:ascii="宋体" w:hAnsi="宋体" w:eastAsia="宋体" w:cs="宋体"/>
                <w:spacing w:val="-4"/>
                <w:sz w:val="18"/>
                <w:szCs w:val="18"/>
              </w:rPr>
              <w:t>单独土石方工程</w:t>
            </w:r>
          </w:p>
        </w:tc>
        <w:tc>
          <w:tcPr>
            <w:tcW w:w="1525" w:type="dxa"/>
            <w:tcBorders>
              <w:bottom w:val="single" w:color="000000" w:sz="4" w:space="0"/>
            </w:tcBorders>
            <w:vAlign w:val="top"/>
          </w:tcPr>
          <w:p>
            <w:pPr>
              <w:spacing w:before="262" w:line="210" w:lineRule="auto"/>
              <w:ind w:left="500"/>
              <w:rPr>
                <w:rFonts w:ascii="宋体" w:hAnsi="宋体" w:eastAsia="宋体" w:cs="宋体"/>
                <w:sz w:val="18"/>
                <w:szCs w:val="18"/>
              </w:rPr>
            </w:pPr>
            <w:r>
              <w:rPr>
                <w:rFonts w:ascii="宋体" w:hAnsi="宋体" w:eastAsia="宋体" w:cs="宋体"/>
                <w:spacing w:val="-5"/>
                <w:sz w:val="18"/>
                <w:szCs w:val="18"/>
              </w:rPr>
              <w:t>土石方</w:t>
            </w:r>
          </w:p>
        </w:tc>
        <w:tc>
          <w:tcPr>
            <w:tcW w:w="673" w:type="dxa"/>
            <w:tcBorders>
              <w:bottom w:val="single" w:color="000000" w:sz="4" w:space="0"/>
            </w:tcBorders>
            <w:vAlign w:val="top"/>
          </w:tcPr>
          <w:p>
            <w:pPr>
              <w:pStyle w:val="6"/>
              <w:spacing w:before="273" w:line="262" w:lineRule="exact"/>
              <w:ind w:left="270"/>
              <w:rPr>
                <w:sz w:val="18"/>
                <w:szCs w:val="18"/>
              </w:rPr>
            </w:pPr>
            <w:r>
              <w:rPr>
                <w:rFonts w:ascii="宋体" w:hAnsi="宋体" w:eastAsia="宋体" w:cs="宋体"/>
                <w:spacing w:val="17"/>
                <w:position w:val="1"/>
                <w:sz w:val="18"/>
                <w:szCs w:val="18"/>
              </w:rPr>
              <w:t>m</w:t>
            </w:r>
            <w:r>
              <w:rPr>
                <w:spacing w:val="17"/>
                <w:position w:val="1"/>
                <w:sz w:val="18"/>
                <w:szCs w:val="18"/>
              </w:rPr>
              <w:t>³</w:t>
            </w:r>
          </w:p>
        </w:tc>
        <w:tc>
          <w:tcPr>
            <w:tcW w:w="1531" w:type="dxa"/>
            <w:tcBorders>
              <w:bottom w:val="single" w:color="000000" w:sz="4" w:space="0"/>
            </w:tcBorders>
            <w:vAlign w:val="top"/>
          </w:tcPr>
          <w:p>
            <w:pPr>
              <w:spacing w:before="275" w:line="261" w:lineRule="exact"/>
              <w:ind w:left="479"/>
              <w:rPr>
                <w:rFonts w:ascii="宋体" w:hAnsi="宋体" w:eastAsia="宋体" w:cs="宋体"/>
                <w:sz w:val="18"/>
                <w:szCs w:val="18"/>
              </w:rPr>
            </w:pPr>
            <w:r>
              <w:rPr>
                <w:rFonts w:ascii="宋体" w:hAnsi="宋体" w:eastAsia="宋体" w:cs="宋体"/>
                <w:spacing w:val="7"/>
                <w:position w:val="1"/>
                <w:sz w:val="18"/>
                <w:szCs w:val="18"/>
              </w:rPr>
              <w:t>&gt;30000</w:t>
            </w:r>
          </w:p>
        </w:tc>
        <w:tc>
          <w:tcPr>
            <w:tcW w:w="1531" w:type="dxa"/>
            <w:tcBorders>
              <w:bottom w:val="single" w:color="000000" w:sz="4" w:space="0"/>
            </w:tcBorders>
            <w:vAlign w:val="top"/>
          </w:tcPr>
          <w:p>
            <w:pPr>
              <w:spacing w:before="275" w:line="261" w:lineRule="exact"/>
              <w:ind w:left="484"/>
              <w:rPr>
                <w:rFonts w:ascii="宋体" w:hAnsi="宋体" w:eastAsia="宋体" w:cs="宋体"/>
                <w:sz w:val="18"/>
                <w:szCs w:val="18"/>
              </w:rPr>
            </w:pPr>
            <w:r>
              <w:rPr>
                <w:rFonts w:ascii="宋体" w:hAnsi="宋体" w:eastAsia="宋体" w:cs="宋体"/>
                <w:spacing w:val="7"/>
                <w:position w:val="1"/>
                <w:sz w:val="18"/>
                <w:szCs w:val="18"/>
              </w:rPr>
              <w:t>&gt;12000</w:t>
            </w:r>
          </w:p>
        </w:tc>
        <w:tc>
          <w:tcPr>
            <w:tcW w:w="1551" w:type="dxa"/>
            <w:tcBorders>
              <w:bottom w:val="single" w:color="000000" w:sz="4" w:space="0"/>
              <w:right w:val="single" w:color="000000" w:sz="4" w:space="0"/>
            </w:tcBorders>
            <w:vAlign w:val="top"/>
          </w:tcPr>
          <w:p>
            <w:pPr>
              <w:spacing w:before="239" w:line="257" w:lineRule="exact"/>
              <w:ind w:left="459"/>
              <w:rPr>
                <w:rFonts w:ascii="宋体" w:hAnsi="宋体" w:eastAsia="宋体" w:cs="宋体"/>
                <w:sz w:val="18"/>
                <w:szCs w:val="18"/>
              </w:rPr>
            </w:pPr>
            <w:r>
              <w:rPr>
                <w:rFonts w:ascii="宋体" w:hAnsi="宋体" w:eastAsia="宋体" w:cs="宋体"/>
                <w:spacing w:val="-10"/>
                <w:position w:val="1"/>
                <w:sz w:val="18"/>
                <w:szCs w:val="18"/>
              </w:rPr>
              <w:t>≤</w:t>
            </w:r>
            <w:r>
              <w:rPr>
                <w:rFonts w:ascii="宋体" w:hAnsi="宋体" w:eastAsia="宋体" w:cs="宋体"/>
                <w:spacing w:val="23"/>
                <w:position w:val="1"/>
                <w:sz w:val="18"/>
                <w:szCs w:val="18"/>
              </w:rPr>
              <w:t xml:space="preserve"> </w:t>
            </w:r>
            <w:r>
              <w:rPr>
                <w:rFonts w:ascii="宋体" w:hAnsi="宋体" w:eastAsia="宋体" w:cs="宋体"/>
                <w:spacing w:val="-10"/>
                <w:position w:val="1"/>
                <w:sz w:val="18"/>
                <w:szCs w:val="18"/>
              </w:rPr>
              <w:t>12000</w:t>
            </w:r>
          </w:p>
        </w:tc>
      </w:tr>
    </w:tbl>
    <w:p>
      <w:pPr>
        <w:rPr>
          <w:rFonts w:ascii="Arial"/>
          <w:sz w:val="21"/>
        </w:rPr>
      </w:pPr>
    </w:p>
    <w:p>
      <w:pPr>
        <w:rPr>
          <w:rFonts w:ascii="Arial" w:hAnsi="Arial" w:eastAsia="Arial" w:cs="Arial"/>
          <w:sz w:val="21"/>
          <w:szCs w:val="21"/>
        </w:rPr>
        <w:sectPr>
          <w:footerReference r:id="rId81" w:type="default"/>
          <w:pgSz w:w="11905" w:h="16840"/>
          <w:pgMar w:top="400" w:right="1407" w:bottom="1132" w:left="1407" w:header="0" w:footer="919" w:gutter="0"/>
        </w:sect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78" w:line="218" w:lineRule="auto"/>
        <w:ind w:left="506"/>
        <w:rPr>
          <w:rFonts w:ascii="KaiTi_GB2312" w:hAnsi="KaiTi_GB2312" w:eastAsia="KaiTi_GB2312" w:cs="KaiTi_GB2312"/>
          <w:sz w:val="24"/>
          <w:szCs w:val="24"/>
        </w:rPr>
      </w:pPr>
      <w:r>
        <w:rPr>
          <w:rFonts w:ascii="KaiTi_GB2312" w:hAnsi="KaiTi_GB2312" w:eastAsia="KaiTi_GB2312" w:cs="KaiTi_GB2312"/>
          <w:spacing w:val="10"/>
          <w:sz w:val="24"/>
          <w:szCs w:val="24"/>
        </w:rPr>
        <w:t>（ 二）建筑工程类别划分说明</w:t>
      </w:r>
    </w:p>
    <w:p>
      <w:pPr>
        <w:spacing w:before="104" w:line="223" w:lineRule="auto"/>
        <w:ind w:left="438"/>
        <w:rPr>
          <w:rFonts w:ascii="宋体" w:hAnsi="宋体" w:eastAsia="宋体" w:cs="宋体"/>
          <w:sz w:val="20"/>
          <w:szCs w:val="20"/>
        </w:rPr>
      </w:pPr>
      <w:r>
        <w:rPr>
          <w:rFonts w:ascii="宋体" w:hAnsi="宋体" w:eastAsia="宋体" w:cs="宋体"/>
          <w:spacing w:val="9"/>
          <w:sz w:val="20"/>
          <w:szCs w:val="20"/>
        </w:rPr>
        <w:t>工程类别划分标准中有两个指标的，确定类别时需满足其中一项指标。</w:t>
      </w:r>
    </w:p>
    <w:p>
      <w:pPr>
        <w:spacing w:before="116" w:line="332" w:lineRule="auto"/>
        <w:ind w:left="2" w:right="1" w:firstLine="453"/>
        <w:jc w:val="both"/>
        <w:rPr>
          <w:rFonts w:ascii="宋体" w:hAnsi="宋体" w:eastAsia="宋体" w:cs="宋体"/>
          <w:sz w:val="20"/>
          <w:szCs w:val="20"/>
        </w:rPr>
      </w:pPr>
      <w:r>
        <w:rPr>
          <w:rFonts w:ascii="宋体" w:hAnsi="宋体" w:eastAsia="宋体" w:cs="宋体"/>
          <w:spacing w:val="6"/>
          <w:sz w:val="20"/>
          <w:szCs w:val="20"/>
        </w:rPr>
        <w:t>1. 建筑工程确定类别时，应首先确定工程类型。工程类型</w:t>
      </w:r>
      <w:r>
        <w:rPr>
          <w:rFonts w:ascii="宋体" w:hAnsi="宋体" w:eastAsia="宋体" w:cs="宋体"/>
          <w:spacing w:val="5"/>
          <w:sz w:val="20"/>
          <w:szCs w:val="20"/>
        </w:rPr>
        <w:t>按工业厂房工程、民用建筑工程、构</w:t>
      </w:r>
      <w:r>
        <w:rPr>
          <w:rFonts w:ascii="宋体" w:hAnsi="宋体" w:eastAsia="宋体" w:cs="宋体"/>
          <w:spacing w:val="9"/>
          <w:sz w:val="20"/>
          <w:szCs w:val="20"/>
        </w:rPr>
        <w:t>筑物工程、桩基工程、单独土石方工程等五个类型分列。同一单体建筑工程包含多个工程类型时，按建（构）筑物主要功能确定其工程类别。</w:t>
      </w:r>
    </w:p>
    <w:p>
      <w:pPr>
        <w:spacing w:line="277" w:lineRule="exact"/>
        <w:ind w:left="429"/>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9"/>
          <w:position w:val="1"/>
          <w:sz w:val="20"/>
          <w:szCs w:val="20"/>
        </w:rPr>
        <w:t xml:space="preserve"> </w:t>
      </w:r>
      <w:r>
        <w:rPr>
          <w:rFonts w:ascii="宋体" w:hAnsi="宋体" w:eastAsia="宋体" w:cs="宋体"/>
          <w:spacing w:val="8"/>
          <w:position w:val="1"/>
          <w:sz w:val="20"/>
          <w:szCs w:val="20"/>
        </w:rPr>
        <w:t>1）工业厂房工程：直接从事物质生产的</w:t>
      </w:r>
      <w:r>
        <w:rPr>
          <w:rFonts w:ascii="宋体" w:hAnsi="宋体" w:eastAsia="宋体" w:cs="宋体"/>
          <w:spacing w:val="7"/>
          <w:position w:val="1"/>
          <w:sz w:val="20"/>
          <w:szCs w:val="20"/>
        </w:rPr>
        <w:t>生产厂房或生产车间。</w:t>
      </w:r>
    </w:p>
    <w:p>
      <w:pPr>
        <w:spacing w:before="85" w:line="331" w:lineRule="auto"/>
        <w:ind w:left="5" w:right="1" w:firstLine="432"/>
        <w:rPr>
          <w:rFonts w:ascii="宋体" w:hAnsi="宋体" w:eastAsia="宋体" w:cs="宋体"/>
          <w:sz w:val="20"/>
          <w:szCs w:val="20"/>
        </w:rPr>
      </w:pPr>
      <w:r>
        <w:rPr>
          <w:rFonts w:ascii="宋体" w:hAnsi="宋体" w:eastAsia="宋体" w:cs="宋体"/>
          <w:spacing w:val="9"/>
          <w:sz w:val="20"/>
          <w:szCs w:val="20"/>
        </w:rPr>
        <w:t>工业建筑中，为物质生产配套和服务的实验室、化验室、食堂、宿舍、</w:t>
      </w:r>
      <w:r>
        <w:rPr>
          <w:rFonts w:ascii="宋体" w:hAnsi="宋体" w:eastAsia="宋体" w:cs="宋体"/>
          <w:spacing w:val="8"/>
          <w:sz w:val="20"/>
          <w:szCs w:val="20"/>
        </w:rPr>
        <w:t>医疗、卫生及管理用房</w:t>
      </w:r>
      <w:r>
        <w:rPr>
          <w:rFonts w:ascii="宋体" w:hAnsi="宋体" w:eastAsia="宋体" w:cs="宋体"/>
          <w:spacing w:val="9"/>
          <w:sz w:val="20"/>
          <w:szCs w:val="20"/>
        </w:rPr>
        <w:t>等独立建筑物，按民用建筑工程确定工程类别。</w:t>
      </w:r>
    </w:p>
    <w:p>
      <w:pPr>
        <w:spacing w:line="277" w:lineRule="exact"/>
        <w:ind w:left="429"/>
        <w:rPr>
          <w:rFonts w:ascii="宋体" w:hAnsi="宋体" w:eastAsia="宋体" w:cs="宋体"/>
          <w:sz w:val="20"/>
          <w:szCs w:val="20"/>
        </w:rPr>
      </w:pPr>
      <w:r>
        <w:rPr>
          <w:rFonts w:ascii="宋体" w:hAnsi="宋体" w:eastAsia="宋体" w:cs="宋体"/>
          <w:spacing w:val="10"/>
          <w:position w:val="1"/>
          <w:sz w:val="20"/>
          <w:szCs w:val="20"/>
        </w:rPr>
        <w:t>（2）民用建筑工程：直接用于满足人们物质</w:t>
      </w:r>
      <w:r>
        <w:rPr>
          <w:rFonts w:ascii="宋体" w:hAnsi="宋体" w:eastAsia="宋体" w:cs="宋体"/>
          <w:spacing w:val="9"/>
          <w:position w:val="1"/>
          <w:sz w:val="20"/>
          <w:szCs w:val="20"/>
        </w:rPr>
        <w:t>和文化生活需要的非生产性建筑物。</w:t>
      </w:r>
    </w:p>
    <w:p>
      <w:pPr>
        <w:spacing w:before="84" w:line="278" w:lineRule="auto"/>
        <w:ind w:right="27" w:firstLine="429"/>
        <w:rPr>
          <w:rFonts w:ascii="宋体" w:hAnsi="宋体" w:eastAsia="宋体" w:cs="宋体"/>
          <w:sz w:val="20"/>
          <w:szCs w:val="20"/>
        </w:rPr>
      </w:pPr>
      <w:r>
        <w:rPr>
          <w:rFonts w:ascii="宋体" w:hAnsi="宋体" w:eastAsia="宋体" w:cs="宋体"/>
          <w:spacing w:val="11"/>
          <w:sz w:val="20"/>
          <w:szCs w:val="20"/>
        </w:rPr>
        <w:t>（3）构筑物工程：与工业或民用建筑配套、并独立于工业与民用建筑之外</w:t>
      </w:r>
      <w:r>
        <w:rPr>
          <w:rFonts w:ascii="宋体" w:hAnsi="宋体" w:eastAsia="宋体" w:cs="宋体"/>
          <w:spacing w:val="10"/>
          <w:sz w:val="20"/>
          <w:szCs w:val="20"/>
        </w:rPr>
        <w:t>，如烟囱、水塔、</w:t>
      </w:r>
      <w:r>
        <w:rPr>
          <w:rFonts w:ascii="宋体" w:hAnsi="宋体" w:eastAsia="宋体" w:cs="宋体"/>
          <w:spacing w:val="8"/>
          <w:sz w:val="20"/>
          <w:szCs w:val="20"/>
        </w:rPr>
        <w:t>贮仓、水池等工程。</w:t>
      </w:r>
    </w:p>
    <w:p>
      <w:pPr>
        <w:spacing w:before="117" w:line="296" w:lineRule="auto"/>
        <w:ind w:left="4" w:right="2" w:firstLine="425"/>
        <w:rPr>
          <w:rFonts w:ascii="宋体" w:hAnsi="宋体" w:eastAsia="宋体" w:cs="宋体"/>
          <w:sz w:val="20"/>
          <w:szCs w:val="20"/>
        </w:rPr>
      </w:pPr>
      <w:r>
        <w:rPr>
          <w:rFonts w:ascii="宋体" w:hAnsi="宋体" w:eastAsia="宋体" w:cs="宋体"/>
          <w:spacing w:val="11"/>
          <w:sz w:val="20"/>
          <w:szCs w:val="20"/>
        </w:rPr>
        <w:t>（4）桩基工程：浅基础不能满足建筑物的稳定性要求而采用的一种深基础工艺，主要包括各种现浇和预制混凝土桩、 以及其他材质的桩基础。桩基础工程类别适用于单独发承包桩基础工程</w:t>
      </w:r>
      <w:r>
        <w:rPr>
          <w:rFonts w:ascii="宋体" w:hAnsi="宋体" w:eastAsia="宋体" w:cs="宋体"/>
          <w:spacing w:val="6"/>
          <w:sz w:val="20"/>
          <w:szCs w:val="20"/>
        </w:rPr>
        <w:t>的情况。</w:t>
      </w:r>
    </w:p>
    <w:p>
      <w:pPr>
        <w:spacing w:before="118" w:line="294" w:lineRule="auto"/>
        <w:ind w:left="4" w:right="1" w:firstLine="425"/>
        <w:rPr>
          <w:rFonts w:ascii="宋体" w:hAnsi="宋体" w:eastAsia="宋体" w:cs="宋体"/>
          <w:sz w:val="20"/>
          <w:szCs w:val="20"/>
        </w:rPr>
      </w:pPr>
      <w:r>
        <w:rPr>
          <w:rFonts w:ascii="宋体" w:hAnsi="宋体" w:eastAsia="宋体" w:cs="宋体"/>
          <w:spacing w:val="9"/>
          <w:sz w:val="20"/>
          <w:szCs w:val="20"/>
        </w:rPr>
        <w:t>（5）单独土石方工程：单独发承包的，为使施工场地达到预设标高（设计</w:t>
      </w:r>
      <w:r>
        <w:rPr>
          <w:rFonts w:ascii="宋体" w:hAnsi="宋体" w:eastAsia="宋体" w:cs="宋体"/>
          <w:spacing w:val="8"/>
          <w:sz w:val="20"/>
          <w:szCs w:val="20"/>
        </w:rPr>
        <w:t>室外标高/设计室外</w:t>
      </w:r>
      <w:r>
        <w:rPr>
          <w:rFonts w:ascii="宋体" w:hAnsi="宋体" w:eastAsia="宋体" w:cs="宋体"/>
          <w:spacing w:val="7"/>
          <w:sz w:val="20"/>
          <w:szCs w:val="20"/>
        </w:rPr>
        <w:t>地面做法底标高/委托人指定标高）所进行的土石方工程。</w:t>
      </w:r>
    </w:p>
    <w:p>
      <w:pPr>
        <w:spacing w:before="82" w:line="279" w:lineRule="exact"/>
        <w:ind w:left="439"/>
        <w:rPr>
          <w:rFonts w:ascii="宋体" w:hAnsi="宋体" w:eastAsia="宋体" w:cs="宋体"/>
          <w:sz w:val="20"/>
          <w:szCs w:val="20"/>
        </w:rPr>
      </w:pPr>
      <w:r>
        <w:rPr>
          <w:rFonts w:ascii="宋体" w:hAnsi="宋体" w:eastAsia="宋体" w:cs="宋体"/>
          <w:spacing w:val="4"/>
          <w:position w:val="1"/>
          <w:sz w:val="20"/>
          <w:szCs w:val="20"/>
        </w:rPr>
        <w:t>2. 房屋建筑工程的结构形式</w:t>
      </w:r>
    </w:p>
    <w:p>
      <w:pPr>
        <w:spacing w:before="81" w:line="277" w:lineRule="exact"/>
        <w:ind w:left="429"/>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9"/>
          <w:position w:val="1"/>
          <w:sz w:val="20"/>
          <w:szCs w:val="20"/>
        </w:rPr>
        <w:t xml:space="preserve"> </w:t>
      </w:r>
      <w:r>
        <w:rPr>
          <w:rFonts w:ascii="宋体" w:hAnsi="宋体" w:eastAsia="宋体" w:cs="宋体"/>
          <w:spacing w:val="8"/>
          <w:position w:val="1"/>
          <w:sz w:val="20"/>
          <w:szCs w:val="20"/>
        </w:rPr>
        <w:t>1）钢结构是指柱、梁（屋架）、板等承重构件用钢材制作的建</w:t>
      </w:r>
      <w:r>
        <w:rPr>
          <w:rFonts w:ascii="宋体" w:hAnsi="宋体" w:eastAsia="宋体" w:cs="宋体"/>
          <w:spacing w:val="7"/>
          <w:position w:val="1"/>
          <w:sz w:val="20"/>
          <w:szCs w:val="20"/>
        </w:rPr>
        <w:t>筑物。</w:t>
      </w:r>
    </w:p>
    <w:p>
      <w:pPr>
        <w:spacing w:before="83" w:line="278" w:lineRule="auto"/>
        <w:ind w:left="6" w:right="2" w:firstLine="422"/>
        <w:rPr>
          <w:rFonts w:ascii="宋体" w:hAnsi="宋体" w:eastAsia="宋体" w:cs="宋体"/>
          <w:sz w:val="20"/>
          <w:szCs w:val="20"/>
        </w:rPr>
      </w:pPr>
      <w:r>
        <w:rPr>
          <w:rFonts w:ascii="宋体" w:hAnsi="宋体" w:eastAsia="宋体" w:cs="宋体"/>
          <w:spacing w:val="11"/>
          <w:sz w:val="20"/>
          <w:szCs w:val="20"/>
        </w:rPr>
        <w:t>（2）混凝土结构是指柱、梁（屋架）、板等承重构件用现浇或预制的钢筋混凝土制作的建筑</w:t>
      </w:r>
      <w:r>
        <w:rPr>
          <w:rFonts w:ascii="宋体" w:hAnsi="宋体" w:eastAsia="宋体" w:cs="宋体"/>
          <w:sz w:val="20"/>
          <w:szCs w:val="20"/>
        </w:rPr>
        <w:t>物。</w:t>
      </w:r>
    </w:p>
    <w:p>
      <w:pPr>
        <w:spacing w:before="118" w:line="278" w:lineRule="exact"/>
        <w:ind w:left="429"/>
        <w:rPr>
          <w:rFonts w:ascii="宋体" w:hAnsi="宋体" w:eastAsia="宋体" w:cs="宋体"/>
          <w:sz w:val="20"/>
          <w:szCs w:val="20"/>
        </w:rPr>
      </w:pPr>
      <w:r>
        <w:rPr>
          <w:rFonts w:ascii="宋体" w:hAnsi="宋体" w:eastAsia="宋体" w:cs="宋体"/>
          <w:spacing w:val="9"/>
          <w:position w:val="1"/>
          <w:sz w:val="20"/>
          <w:szCs w:val="20"/>
        </w:rPr>
        <w:t>（3）同一建筑物结构形式不同时，按建筑面积大的结构形式确定其工程类别。</w:t>
      </w:r>
    </w:p>
    <w:p>
      <w:pPr>
        <w:spacing w:before="82" w:line="278" w:lineRule="exact"/>
        <w:ind w:left="442"/>
        <w:rPr>
          <w:rFonts w:ascii="宋体" w:hAnsi="宋体" w:eastAsia="宋体" w:cs="宋体"/>
          <w:sz w:val="20"/>
          <w:szCs w:val="20"/>
        </w:rPr>
      </w:pPr>
      <w:r>
        <w:rPr>
          <w:rFonts w:ascii="宋体" w:hAnsi="宋体" w:eastAsia="宋体" w:cs="宋体"/>
          <w:spacing w:val="-4"/>
          <w:position w:val="1"/>
          <w:sz w:val="20"/>
          <w:szCs w:val="20"/>
        </w:rPr>
        <w:t>3.</w:t>
      </w:r>
      <w:r>
        <w:rPr>
          <w:rFonts w:ascii="宋体" w:hAnsi="宋体" w:eastAsia="宋体" w:cs="宋体"/>
          <w:spacing w:val="10"/>
          <w:position w:val="1"/>
          <w:sz w:val="20"/>
          <w:szCs w:val="20"/>
        </w:rPr>
        <w:t xml:space="preserve"> </w:t>
      </w:r>
      <w:r>
        <w:rPr>
          <w:rFonts w:ascii="宋体" w:hAnsi="宋体" w:eastAsia="宋体" w:cs="宋体"/>
          <w:spacing w:val="-4"/>
          <w:position w:val="1"/>
          <w:sz w:val="20"/>
          <w:szCs w:val="20"/>
        </w:rPr>
        <w:t>工程特征</w:t>
      </w:r>
    </w:p>
    <w:p>
      <w:pPr>
        <w:spacing w:before="83" w:line="294" w:lineRule="auto"/>
        <w:ind w:left="11" w:right="2" w:firstLine="418"/>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2"/>
          <w:sz w:val="20"/>
          <w:szCs w:val="20"/>
        </w:rPr>
        <w:t xml:space="preserve"> </w:t>
      </w:r>
      <w:r>
        <w:rPr>
          <w:rFonts w:ascii="宋体" w:hAnsi="宋体" w:eastAsia="宋体" w:cs="宋体"/>
          <w:spacing w:val="10"/>
          <w:sz w:val="20"/>
          <w:szCs w:val="20"/>
        </w:rPr>
        <w:t>1）建筑物檐高是指设计室外地坪至檐口滴水（或屋面板板顶）的高度。突出建筑物主体屋</w:t>
      </w:r>
      <w:r>
        <w:rPr>
          <w:rFonts w:ascii="宋体" w:hAnsi="宋体" w:eastAsia="宋体" w:cs="宋体"/>
          <w:spacing w:val="9"/>
          <w:sz w:val="20"/>
          <w:szCs w:val="20"/>
        </w:rPr>
        <w:t>面楼梯间、电梯间、水箱间部分高度不计入檐口高度。</w:t>
      </w:r>
    </w:p>
    <w:p>
      <w:pPr>
        <w:spacing w:before="82" w:line="277" w:lineRule="exact"/>
        <w:ind w:left="429"/>
        <w:rPr>
          <w:rFonts w:ascii="宋体" w:hAnsi="宋体" w:eastAsia="宋体" w:cs="宋体"/>
          <w:sz w:val="20"/>
          <w:szCs w:val="20"/>
        </w:rPr>
      </w:pPr>
      <w:r>
        <w:rPr>
          <w:rFonts w:ascii="宋体" w:hAnsi="宋体" w:eastAsia="宋体" w:cs="宋体"/>
          <w:spacing w:val="9"/>
          <w:position w:val="1"/>
          <w:sz w:val="20"/>
          <w:szCs w:val="20"/>
        </w:rPr>
        <w:t>（2）建筑物的跨度是指设计图示轴线间的宽度。</w:t>
      </w:r>
    </w:p>
    <w:p>
      <w:pPr>
        <w:spacing w:before="83" w:line="278" w:lineRule="exact"/>
        <w:ind w:left="429"/>
        <w:rPr>
          <w:rFonts w:ascii="宋体" w:hAnsi="宋体" w:eastAsia="宋体" w:cs="宋体"/>
          <w:sz w:val="20"/>
          <w:szCs w:val="20"/>
        </w:rPr>
      </w:pPr>
      <w:r>
        <w:rPr>
          <w:rFonts w:ascii="宋体" w:hAnsi="宋体" w:eastAsia="宋体" w:cs="宋体"/>
          <w:spacing w:val="9"/>
          <w:position w:val="1"/>
          <w:sz w:val="20"/>
          <w:szCs w:val="20"/>
        </w:rPr>
        <w:t>（3）建筑物的建筑面积是按建筑面积计算规范的规定计算。</w:t>
      </w:r>
    </w:p>
    <w:p>
      <w:pPr>
        <w:spacing w:before="82" w:line="278" w:lineRule="exact"/>
        <w:ind w:left="429"/>
        <w:rPr>
          <w:rFonts w:ascii="宋体" w:hAnsi="宋体" w:eastAsia="宋体" w:cs="宋体"/>
          <w:sz w:val="20"/>
          <w:szCs w:val="20"/>
        </w:rPr>
      </w:pPr>
      <w:r>
        <w:rPr>
          <w:rFonts w:ascii="宋体" w:hAnsi="宋体" w:eastAsia="宋体" w:cs="宋体"/>
          <w:spacing w:val="9"/>
          <w:position w:val="1"/>
          <w:sz w:val="20"/>
          <w:szCs w:val="20"/>
        </w:rPr>
        <w:t>（4）构筑物高度是指设计室外地坪至构筑物主体结构顶坪的高度。</w:t>
      </w:r>
    </w:p>
    <w:p>
      <w:pPr>
        <w:spacing w:before="82" w:line="279" w:lineRule="exact"/>
        <w:ind w:left="429"/>
        <w:rPr>
          <w:rFonts w:ascii="宋体" w:hAnsi="宋体" w:eastAsia="宋体" w:cs="宋体"/>
          <w:sz w:val="20"/>
          <w:szCs w:val="20"/>
        </w:rPr>
      </w:pPr>
      <w:r>
        <w:rPr>
          <w:rFonts w:ascii="宋体" w:hAnsi="宋体" w:eastAsia="宋体" w:cs="宋体"/>
          <w:spacing w:val="9"/>
          <w:position w:val="1"/>
          <w:sz w:val="20"/>
          <w:szCs w:val="20"/>
        </w:rPr>
        <w:t>（5）构筑物的容积是指设计净容积。</w:t>
      </w:r>
    </w:p>
    <w:p>
      <w:pPr>
        <w:spacing w:before="81" w:line="278" w:lineRule="exact"/>
        <w:ind w:left="429"/>
        <w:rPr>
          <w:rFonts w:ascii="宋体" w:hAnsi="宋体" w:eastAsia="宋体" w:cs="宋体"/>
          <w:sz w:val="20"/>
          <w:szCs w:val="20"/>
        </w:rPr>
      </w:pPr>
      <w:r>
        <w:rPr>
          <w:rFonts w:ascii="宋体" w:hAnsi="宋体" w:eastAsia="宋体" w:cs="宋体"/>
          <w:spacing w:val="8"/>
          <w:position w:val="1"/>
          <w:sz w:val="20"/>
          <w:szCs w:val="20"/>
        </w:rPr>
        <w:t>（6）桩长是指设计桩长（包括桩尖长度）。</w:t>
      </w:r>
    </w:p>
    <w:p>
      <w:pPr>
        <w:spacing w:before="74" w:line="320" w:lineRule="auto"/>
        <w:ind w:left="2" w:right="1" w:firstLine="433"/>
        <w:rPr>
          <w:rFonts w:ascii="宋体" w:hAnsi="宋体" w:eastAsia="宋体" w:cs="宋体"/>
          <w:sz w:val="20"/>
          <w:szCs w:val="20"/>
        </w:rPr>
      </w:pPr>
      <w:r>
        <w:rPr>
          <w:rFonts w:ascii="宋体" w:hAnsi="宋体" w:eastAsia="宋体" w:cs="宋体"/>
          <w:spacing w:val="6"/>
          <w:sz w:val="20"/>
          <w:szCs w:val="20"/>
        </w:rPr>
        <w:t>4. 与建筑物配套的零星项目，如：水表井、消防水泵接合器井、热力入户井、排水检查井、雨</w:t>
      </w:r>
      <w:r>
        <w:rPr>
          <w:rFonts w:ascii="宋体" w:hAnsi="宋体" w:eastAsia="宋体" w:cs="宋体"/>
          <w:spacing w:val="9"/>
          <w:sz w:val="20"/>
          <w:szCs w:val="20"/>
        </w:rPr>
        <w:t>水沉砂池等，按相应建筑物的类别确定工程类别。</w:t>
      </w:r>
    </w:p>
    <w:p>
      <w:pPr>
        <w:spacing w:before="36" w:line="316" w:lineRule="auto"/>
        <w:ind w:left="2" w:firstLine="434"/>
        <w:rPr>
          <w:rFonts w:ascii="宋体" w:hAnsi="宋体" w:eastAsia="宋体" w:cs="宋体"/>
          <w:sz w:val="20"/>
          <w:szCs w:val="20"/>
        </w:rPr>
      </w:pPr>
      <w:r>
        <w:rPr>
          <w:rFonts w:ascii="宋体" w:hAnsi="宋体" w:eastAsia="宋体" w:cs="宋体"/>
          <w:spacing w:val="9"/>
          <w:sz w:val="20"/>
          <w:szCs w:val="20"/>
        </w:rPr>
        <w:t>其他附属项目，如：场区大门、围墙、挡土墙、庭院甬路、室外地面铺装、室外</w:t>
      </w:r>
      <w:r>
        <w:rPr>
          <w:rFonts w:ascii="宋体" w:hAnsi="宋体" w:eastAsia="宋体" w:cs="宋体"/>
          <w:spacing w:val="8"/>
          <w:sz w:val="20"/>
          <w:szCs w:val="20"/>
        </w:rPr>
        <w:t>管道支架等，按建筑工程Ⅲ类确定工程类别。</w:t>
      </w:r>
    </w:p>
    <w:p>
      <w:pPr>
        <w:spacing w:before="15" w:line="313" w:lineRule="auto"/>
        <w:ind w:left="3" w:right="1" w:firstLine="435"/>
        <w:rPr>
          <w:rFonts w:ascii="宋体" w:hAnsi="宋体" w:eastAsia="宋体" w:cs="宋体"/>
          <w:sz w:val="20"/>
          <w:szCs w:val="20"/>
        </w:rPr>
      </w:pPr>
      <w:r>
        <w:rPr>
          <w:rFonts w:ascii="宋体" w:hAnsi="宋体" w:eastAsia="宋体" w:cs="宋体"/>
          <w:spacing w:val="5"/>
          <w:sz w:val="20"/>
          <w:szCs w:val="20"/>
        </w:rPr>
        <w:t>5. 工业厂房的设备基础，单体混凝土体</w:t>
      </w:r>
      <w:r>
        <w:rPr>
          <w:rFonts w:ascii="宋体" w:hAnsi="宋体" w:eastAsia="宋体" w:cs="宋体"/>
          <w:spacing w:val="4"/>
          <w:sz w:val="20"/>
          <w:szCs w:val="20"/>
        </w:rPr>
        <w:t>积＞</w:t>
      </w:r>
      <w:r>
        <w:rPr>
          <w:rFonts w:ascii="宋体" w:hAnsi="宋体" w:eastAsia="宋体" w:cs="宋体"/>
          <w:spacing w:val="-40"/>
          <w:sz w:val="20"/>
          <w:szCs w:val="20"/>
        </w:rPr>
        <w:t xml:space="preserve"> </w:t>
      </w:r>
      <w:r>
        <w:rPr>
          <w:rFonts w:ascii="宋体" w:hAnsi="宋体" w:eastAsia="宋体" w:cs="宋体"/>
          <w:spacing w:val="4"/>
          <w:sz w:val="20"/>
          <w:szCs w:val="20"/>
        </w:rPr>
        <w:t>1000m</w:t>
      </w:r>
      <w:r>
        <w:rPr>
          <w:rFonts w:ascii="宋体" w:hAnsi="宋体" w:eastAsia="宋体" w:cs="宋体"/>
          <w:spacing w:val="4"/>
          <w:position w:val="10"/>
          <w:sz w:val="10"/>
          <w:szCs w:val="10"/>
        </w:rPr>
        <w:t>3</w:t>
      </w:r>
      <w:r>
        <w:rPr>
          <w:rFonts w:ascii="宋体" w:hAnsi="宋体" w:eastAsia="宋体" w:cs="宋体"/>
          <w:spacing w:val="-14"/>
          <w:position w:val="10"/>
          <w:sz w:val="10"/>
          <w:szCs w:val="10"/>
        </w:rPr>
        <w:t xml:space="preserve"> </w:t>
      </w:r>
      <w:r>
        <w:rPr>
          <w:rFonts w:ascii="宋体" w:hAnsi="宋体" w:eastAsia="宋体" w:cs="宋体"/>
          <w:spacing w:val="4"/>
          <w:sz w:val="20"/>
          <w:szCs w:val="20"/>
        </w:rPr>
        <w:t>，按构筑物工程</w:t>
      </w:r>
      <w:r>
        <w:rPr>
          <w:rFonts w:ascii="宋体" w:hAnsi="宋体" w:eastAsia="宋体" w:cs="宋体"/>
          <w:spacing w:val="81"/>
          <w:sz w:val="20"/>
          <w:szCs w:val="20"/>
        </w:rPr>
        <w:t xml:space="preserve"> </w:t>
      </w:r>
      <w:r>
        <w:rPr>
          <w:rFonts w:ascii="宋体" w:hAnsi="宋体" w:eastAsia="宋体" w:cs="宋体"/>
          <w:spacing w:val="4"/>
          <w:sz w:val="20"/>
          <w:szCs w:val="20"/>
        </w:rPr>
        <w:t>Ⅰ类；单体混凝土体积＞</w:t>
      </w:r>
      <w:r>
        <w:rPr>
          <w:rFonts w:ascii="宋体" w:hAnsi="宋体" w:eastAsia="宋体" w:cs="宋体"/>
          <w:sz w:val="20"/>
          <w:szCs w:val="20"/>
        </w:rPr>
        <w:t xml:space="preserve"> </w:t>
      </w:r>
      <w:r>
        <w:rPr>
          <w:rFonts w:ascii="宋体" w:hAnsi="宋体" w:eastAsia="宋体" w:cs="宋体"/>
          <w:spacing w:val="8"/>
          <w:sz w:val="20"/>
          <w:szCs w:val="20"/>
        </w:rPr>
        <w:t>600m</w:t>
      </w:r>
      <w:r>
        <w:rPr>
          <w:rFonts w:ascii="宋体" w:hAnsi="宋体" w:eastAsia="宋体" w:cs="宋体"/>
          <w:spacing w:val="8"/>
          <w:position w:val="10"/>
          <w:sz w:val="10"/>
          <w:szCs w:val="10"/>
        </w:rPr>
        <w:t>3</w:t>
      </w:r>
      <w:r>
        <w:rPr>
          <w:rFonts w:ascii="宋体" w:hAnsi="宋体" w:eastAsia="宋体" w:cs="宋体"/>
          <w:spacing w:val="-2"/>
          <w:position w:val="10"/>
          <w:sz w:val="10"/>
          <w:szCs w:val="10"/>
        </w:rPr>
        <w:t xml:space="preserve"> </w:t>
      </w:r>
      <w:r>
        <w:rPr>
          <w:rFonts w:ascii="宋体" w:hAnsi="宋体" w:eastAsia="宋体" w:cs="宋体"/>
          <w:spacing w:val="8"/>
          <w:sz w:val="20"/>
          <w:szCs w:val="20"/>
        </w:rPr>
        <w:t>，按构筑物工程Ⅱ类；单体混凝土体积≤600m</w:t>
      </w:r>
      <w:r>
        <w:rPr>
          <w:rFonts w:ascii="宋体" w:hAnsi="宋体" w:eastAsia="宋体" w:cs="宋体"/>
          <w:spacing w:val="8"/>
          <w:position w:val="10"/>
          <w:sz w:val="10"/>
          <w:szCs w:val="10"/>
        </w:rPr>
        <w:t>3</w:t>
      </w:r>
      <w:r>
        <w:rPr>
          <w:rFonts w:ascii="宋体" w:hAnsi="宋体" w:eastAsia="宋体" w:cs="宋体"/>
          <w:spacing w:val="-30"/>
          <w:position w:val="10"/>
          <w:sz w:val="10"/>
          <w:szCs w:val="10"/>
        </w:rPr>
        <w:t xml:space="preserve"> </w:t>
      </w:r>
      <w:r>
        <w:rPr>
          <w:rFonts w:ascii="宋体" w:hAnsi="宋体" w:eastAsia="宋体" w:cs="宋体"/>
          <w:spacing w:val="8"/>
          <w:sz w:val="20"/>
          <w:szCs w:val="20"/>
        </w:rPr>
        <w:t>、且＞</w:t>
      </w:r>
      <w:r>
        <w:rPr>
          <w:rFonts w:ascii="宋体" w:hAnsi="宋体" w:eastAsia="宋体" w:cs="宋体"/>
          <w:spacing w:val="-60"/>
          <w:sz w:val="20"/>
          <w:szCs w:val="20"/>
        </w:rPr>
        <w:t xml:space="preserve"> </w:t>
      </w:r>
      <w:r>
        <w:rPr>
          <w:rFonts w:ascii="宋体" w:hAnsi="宋体" w:eastAsia="宋体" w:cs="宋体"/>
          <w:spacing w:val="8"/>
          <w:sz w:val="20"/>
          <w:szCs w:val="20"/>
        </w:rPr>
        <w:t>50m</w:t>
      </w:r>
      <w:r>
        <w:rPr>
          <w:rFonts w:ascii="宋体" w:hAnsi="宋体" w:eastAsia="宋体" w:cs="宋体"/>
          <w:spacing w:val="8"/>
          <w:position w:val="10"/>
          <w:sz w:val="10"/>
          <w:szCs w:val="10"/>
        </w:rPr>
        <w:t>3</w:t>
      </w:r>
      <w:r>
        <w:rPr>
          <w:rFonts w:ascii="宋体" w:hAnsi="宋体" w:eastAsia="宋体" w:cs="宋体"/>
          <w:spacing w:val="-14"/>
          <w:position w:val="10"/>
          <w:sz w:val="10"/>
          <w:szCs w:val="10"/>
        </w:rPr>
        <w:t xml:space="preserve"> </w:t>
      </w:r>
      <w:r>
        <w:rPr>
          <w:rFonts w:ascii="宋体" w:hAnsi="宋体" w:eastAsia="宋体" w:cs="宋体"/>
          <w:spacing w:val="8"/>
          <w:sz w:val="20"/>
          <w:szCs w:val="20"/>
        </w:rPr>
        <w:t>，按构筑物工程Ⅲ类；单体混凝土</w:t>
      </w:r>
      <w:r>
        <w:rPr>
          <w:rFonts w:ascii="宋体" w:hAnsi="宋体" w:eastAsia="宋体" w:cs="宋体"/>
          <w:spacing w:val="9"/>
          <w:sz w:val="20"/>
          <w:szCs w:val="20"/>
        </w:rPr>
        <w:t>体积≤50m</w:t>
      </w:r>
      <w:r>
        <w:rPr>
          <w:rFonts w:ascii="宋体" w:hAnsi="宋体" w:eastAsia="宋体" w:cs="宋体"/>
          <w:spacing w:val="9"/>
          <w:position w:val="10"/>
          <w:sz w:val="10"/>
          <w:szCs w:val="10"/>
        </w:rPr>
        <w:t>3</w:t>
      </w:r>
      <w:r>
        <w:rPr>
          <w:rFonts w:ascii="宋体" w:hAnsi="宋体" w:eastAsia="宋体" w:cs="宋体"/>
          <w:spacing w:val="-13"/>
          <w:position w:val="10"/>
          <w:sz w:val="10"/>
          <w:szCs w:val="10"/>
        </w:rPr>
        <w:t xml:space="preserve"> </w:t>
      </w:r>
      <w:r>
        <w:rPr>
          <w:rFonts w:ascii="宋体" w:hAnsi="宋体" w:eastAsia="宋体" w:cs="宋体"/>
          <w:spacing w:val="9"/>
          <w:sz w:val="20"/>
          <w:szCs w:val="20"/>
        </w:rPr>
        <w:t>，按相应建筑物或构筑物的工程类别确定工程</w:t>
      </w:r>
      <w:r>
        <w:rPr>
          <w:rFonts w:ascii="宋体" w:hAnsi="宋体" w:eastAsia="宋体" w:cs="宋体"/>
          <w:spacing w:val="8"/>
          <w:sz w:val="20"/>
          <w:szCs w:val="20"/>
        </w:rPr>
        <w:t>类别。</w:t>
      </w:r>
    </w:p>
    <w:p>
      <w:pPr>
        <w:spacing w:before="82" w:line="278" w:lineRule="exact"/>
        <w:ind w:left="440"/>
        <w:rPr>
          <w:rFonts w:ascii="宋体" w:hAnsi="宋体" w:eastAsia="宋体" w:cs="宋体"/>
          <w:sz w:val="20"/>
          <w:szCs w:val="20"/>
        </w:rPr>
      </w:pPr>
      <w:r>
        <w:rPr>
          <w:rFonts w:ascii="宋体" w:hAnsi="宋体" w:eastAsia="宋体" w:cs="宋体"/>
          <w:spacing w:val="7"/>
          <w:position w:val="1"/>
          <w:sz w:val="20"/>
          <w:szCs w:val="20"/>
        </w:rPr>
        <w:t>6. 单独发承包的强夯工程按单独土石方工程Ⅱ类确定工程类别。</w:t>
      </w:r>
    </w:p>
    <w:p>
      <w:pPr>
        <w:spacing w:line="278" w:lineRule="exact"/>
        <w:rPr>
          <w:rFonts w:ascii="宋体" w:hAnsi="宋体" w:eastAsia="宋体" w:cs="宋体"/>
          <w:sz w:val="20"/>
          <w:szCs w:val="20"/>
        </w:rPr>
        <w:sectPr>
          <w:footerReference r:id="rId82" w:type="default"/>
          <w:pgSz w:w="11905" w:h="16840"/>
          <w:pgMar w:top="400" w:right="1484" w:bottom="1213" w:left="1418" w:header="0" w:footer="898" w:gutter="0"/>
        </w:sect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2"/>
        <w:spacing w:before="103" w:line="202" w:lineRule="auto"/>
        <w:ind w:left="506"/>
        <w:rPr>
          <w:sz w:val="24"/>
          <w:szCs w:val="24"/>
        </w:rPr>
      </w:pPr>
      <w:r>
        <w:rPr>
          <w:spacing w:val="-7"/>
          <w:sz w:val="24"/>
          <w:szCs w:val="24"/>
        </w:rPr>
        <w:t>二、装饰工程</w:t>
      </w:r>
    </w:p>
    <w:p>
      <w:pPr>
        <w:spacing w:before="142" w:line="214" w:lineRule="auto"/>
        <w:ind w:left="446"/>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62"/>
          <w:sz w:val="24"/>
          <w:szCs w:val="24"/>
        </w:rPr>
        <w:t xml:space="preserve"> </w:t>
      </w:r>
      <w:r>
        <w:rPr>
          <w:rFonts w:ascii="KaiTi_GB2312" w:hAnsi="KaiTi_GB2312" w:eastAsia="KaiTi_GB2312" w:cs="KaiTi_GB2312"/>
          <w:spacing w:val="7"/>
          <w:sz w:val="24"/>
          <w:szCs w:val="24"/>
        </w:rPr>
        <w:t>一）装饰工程类别划分标准</w:t>
      </w:r>
    </w:p>
    <w:p>
      <w:pPr>
        <w:spacing w:line="116" w:lineRule="auto"/>
        <w:rPr>
          <w:rFonts w:ascii="Arial"/>
          <w:sz w:val="2"/>
        </w:rPr>
      </w:pPr>
    </w:p>
    <w:tbl>
      <w:tblPr>
        <w:tblStyle w:val="5"/>
        <w:tblW w:w="918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79"/>
        <w:gridCol w:w="2106"/>
        <w:gridCol w:w="2106"/>
        <w:gridCol w:w="21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2779" w:type="dxa"/>
            <w:vMerge w:val="restart"/>
            <w:tcBorders>
              <w:top w:val="single" w:color="000000" w:sz="4" w:space="0"/>
              <w:left w:val="single" w:color="000000" w:sz="4" w:space="0"/>
              <w:bottom w:val="nil"/>
            </w:tcBorders>
            <w:vAlign w:val="top"/>
          </w:tcPr>
          <w:p>
            <w:pPr>
              <w:spacing w:before="287" w:line="210" w:lineRule="auto"/>
              <w:ind w:left="1026"/>
              <w:rPr>
                <w:rFonts w:ascii="微软雅黑" w:hAnsi="微软雅黑" w:eastAsia="微软雅黑" w:cs="微软雅黑"/>
                <w:sz w:val="20"/>
                <w:szCs w:val="20"/>
              </w:rPr>
            </w:pPr>
            <w:r>
              <w:rPr>
                <w:rFonts w:ascii="微软雅黑" w:hAnsi="微软雅黑" w:eastAsia="微软雅黑" w:cs="微软雅黑"/>
                <w:spacing w:val="1"/>
                <w:sz w:val="20"/>
                <w:szCs w:val="20"/>
              </w:rPr>
              <w:t>工程特征</w:t>
            </w:r>
          </w:p>
        </w:tc>
        <w:tc>
          <w:tcPr>
            <w:tcW w:w="6410" w:type="dxa"/>
            <w:gridSpan w:val="3"/>
            <w:tcBorders>
              <w:top w:val="single" w:color="000000" w:sz="4" w:space="0"/>
              <w:right w:val="single" w:color="000000" w:sz="4" w:space="0"/>
            </w:tcBorders>
            <w:vAlign w:val="top"/>
          </w:tcPr>
          <w:p>
            <w:pPr>
              <w:spacing w:before="105" w:line="176" w:lineRule="auto"/>
              <w:ind w:left="4209"/>
              <w:rPr>
                <w:rFonts w:ascii="微软雅黑" w:hAnsi="微软雅黑" w:eastAsia="微软雅黑" w:cs="微软雅黑"/>
                <w:sz w:val="20"/>
                <w:szCs w:val="20"/>
              </w:rPr>
            </w:pPr>
            <w:r>
              <w:rPr>
                <w:rFonts w:ascii="微软雅黑" w:hAnsi="微软雅黑" w:eastAsia="微软雅黑" w:cs="微软雅黑"/>
                <w:spacing w:val="1"/>
                <w:sz w:val="20"/>
                <w:szCs w:val="20"/>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9" w:hRule="atLeast"/>
        </w:trPr>
        <w:tc>
          <w:tcPr>
            <w:tcW w:w="2779" w:type="dxa"/>
            <w:vMerge w:val="continue"/>
            <w:tcBorders>
              <w:top w:val="nil"/>
              <w:left w:val="single" w:color="000000" w:sz="4" w:space="0"/>
            </w:tcBorders>
            <w:vAlign w:val="top"/>
          </w:tcPr>
          <w:p>
            <w:pPr>
              <w:pStyle w:val="6"/>
            </w:pPr>
          </w:p>
        </w:tc>
        <w:tc>
          <w:tcPr>
            <w:tcW w:w="2106" w:type="dxa"/>
            <w:vAlign w:val="top"/>
          </w:tcPr>
          <w:p>
            <w:pPr>
              <w:spacing w:before="105" w:line="225" w:lineRule="auto"/>
              <w:ind w:left="1024"/>
              <w:rPr>
                <w:rFonts w:ascii="宋体" w:hAnsi="宋体" w:eastAsia="宋体" w:cs="宋体"/>
                <w:sz w:val="20"/>
                <w:szCs w:val="20"/>
              </w:rPr>
            </w:pPr>
            <w:r>
              <w:rPr>
                <w:rFonts w:ascii="宋体" w:hAnsi="宋体" w:eastAsia="宋体" w:cs="宋体"/>
                <w:sz w:val="20"/>
                <w:szCs w:val="20"/>
              </w:rPr>
              <w:t>I</w:t>
            </w:r>
          </w:p>
        </w:tc>
        <w:tc>
          <w:tcPr>
            <w:tcW w:w="2106" w:type="dxa"/>
            <w:vAlign w:val="top"/>
          </w:tcPr>
          <w:p>
            <w:pPr>
              <w:spacing w:before="123" w:line="204" w:lineRule="auto"/>
              <w:ind w:left="1049"/>
              <w:rPr>
                <w:rFonts w:ascii="宋体" w:hAnsi="宋体" w:eastAsia="宋体" w:cs="宋体"/>
                <w:sz w:val="20"/>
                <w:szCs w:val="20"/>
              </w:rPr>
            </w:pPr>
            <w:r>
              <w:rPr>
                <w:rFonts w:ascii="宋体" w:hAnsi="宋体" w:eastAsia="宋体" w:cs="宋体"/>
                <w:sz w:val="20"/>
                <w:szCs w:val="20"/>
              </w:rPr>
              <w:t>Ⅱ</w:t>
            </w:r>
          </w:p>
        </w:tc>
        <w:tc>
          <w:tcPr>
            <w:tcW w:w="2198" w:type="dxa"/>
            <w:tcBorders>
              <w:right w:val="single" w:color="000000" w:sz="4" w:space="0"/>
            </w:tcBorders>
            <w:vAlign w:val="top"/>
          </w:tcPr>
          <w:p>
            <w:pPr>
              <w:spacing w:before="125" w:line="201" w:lineRule="auto"/>
              <w:ind w:left="1007"/>
              <w:rPr>
                <w:rFonts w:ascii="宋体" w:hAnsi="宋体" w:eastAsia="宋体" w:cs="宋体"/>
                <w:sz w:val="20"/>
                <w:szCs w:val="20"/>
              </w:rPr>
            </w:pPr>
            <w:r>
              <w:rPr>
                <w:rFonts w:ascii="宋体" w:hAnsi="宋体" w:eastAsia="宋体" w:cs="宋体"/>
                <w:sz w:val="20"/>
                <w:szCs w:val="20"/>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36" w:hRule="atLeast"/>
        </w:trPr>
        <w:tc>
          <w:tcPr>
            <w:tcW w:w="2779" w:type="dxa"/>
            <w:vMerge w:val="restart"/>
            <w:tcBorders>
              <w:left w:val="single" w:color="000000" w:sz="4" w:space="0"/>
              <w:bottom w:val="nil"/>
            </w:tcBorders>
            <w:vAlign w:val="top"/>
          </w:tcPr>
          <w:p>
            <w:pPr>
              <w:pStyle w:val="6"/>
              <w:spacing w:line="254" w:lineRule="auto"/>
            </w:pPr>
          </w:p>
          <w:p>
            <w:pPr>
              <w:pStyle w:val="6"/>
              <w:spacing w:line="254" w:lineRule="auto"/>
            </w:pPr>
          </w:p>
          <w:p>
            <w:pPr>
              <w:pStyle w:val="6"/>
              <w:spacing w:line="254" w:lineRule="auto"/>
            </w:pPr>
          </w:p>
          <w:p>
            <w:pPr>
              <w:spacing w:before="65" w:line="223" w:lineRule="auto"/>
              <w:ind w:left="671"/>
              <w:rPr>
                <w:rFonts w:ascii="宋体" w:hAnsi="宋体" w:eastAsia="宋体" w:cs="宋体"/>
                <w:sz w:val="20"/>
                <w:szCs w:val="20"/>
              </w:rPr>
            </w:pPr>
            <w:r>
              <w:rPr>
                <w:rFonts w:ascii="宋体" w:hAnsi="宋体" w:eastAsia="宋体" w:cs="宋体"/>
                <w:spacing w:val="5"/>
                <w:sz w:val="20"/>
                <w:szCs w:val="20"/>
              </w:rPr>
              <w:t>工业与民用建筑</w:t>
            </w:r>
          </w:p>
        </w:tc>
        <w:tc>
          <w:tcPr>
            <w:tcW w:w="2106" w:type="dxa"/>
            <w:vAlign w:val="top"/>
          </w:tcPr>
          <w:p>
            <w:pPr>
              <w:spacing w:before="106" w:line="277" w:lineRule="exact"/>
              <w:ind w:left="124"/>
              <w:rPr>
                <w:rFonts w:ascii="宋体" w:hAnsi="宋体" w:eastAsia="宋体" w:cs="宋体"/>
                <w:sz w:val="20"/>
                <w:szCs w:val="20"/>
              </w:rPr>
            </w:pPr>
            <w:r>
              <w:rPr>
                <w:rFonts w:ascii="宋体" w:hAnsi="宋体" w:eastAsia="宋体" w:cs="宋体"/>
                <w:spacing w:val="-7"/>
                <w:position w:val="1"/>
                <w:sz w:val="20"/>
                <w:szCs w:val="20"/>
              </w:rPr>
              <w:t>特殊公共建筑，包括：</w:t>
            </w:r>
          </w:p>
          <w:p>
            <w:pPr>
              <w:spacing w:before="85" w:line="224" w:lineRule="auto"/>
              <w:ind w:left="113"/>
              <w:rPr>
                <w:rFonts w:ascii="宋体" w:hAnsi="宋体" w:eastAsia="宋体" w:cs="宋体"/>
                <w:sz w:val="20"/>
                <w:szCs w:val="20"/>
              </w:rPr>
            </w:pPr>
            <w:r>
              <w:rPr>
                <w:rFonts w:ascii="宋体" w:hAnsi="宋体" w:eastAsia="宋体" w:cs="宋体"/>
                <w:spacing w:val="-6"/>
                <w:sz w:val="20"/>
                <w:szCs w:val="20"/>
              </w:rPr>
              <w:t>观演展览建筑、交通建</w:t>
            </w:r>
          </w:p>
          <w:p>
            <w:pPr>
              <w:spacing w:before="116" w:line="223" w:lineRule="auto"/>
              <w:ind w:left="154"/>
              <w:rPr>
                <w:rFonts w:ascii="宋体" w:hAnsi="宋体" w:eastAsia="宋体" w:cs="宋体"/>
                <w:sz w:val="20"/>
                <w:szCs w:val="20"/>
              </w:rPr>
            </w:pPr>
            <w:r>
              <w:rPr>
                <w:rFonts w:ascii="宋体" w:hAnsi="宋体" w:eastAsia="宋体" w:cs="宋体"/>
                <w:spacing w:val="6"/>
                <w:sz w:val="20"/>
                <w:szCs w:val="20"/>
              </w:rPr>
              <w:t>筑、体育场馆、高级</w:t>
            </w:r>
          </w:p>
          <w:p>
            <w:pPr>
              <w:spacing w:before="119" w:line="218" w:lineRule="auto"/>
              <w:ind w:left="767"/>
              <w:rPr>
                <w:rFonts w:ascii="宋体" w:hAnsi="宋体" w:eastAsia="宋体" w:cs="宋体"/>
                <w:sz w:val="20"/>
                <w:szCs w:val="20"/>
              </w:rPr>
            </w:pPr>
            <w:r>
              <w:rPr>
                <w:rFonts w:ascii="宋体" w:hAnsi="宋体" w:eastAsia="宋体" w:cs="宋体"/>
                <w:spacing w:val="7"/>
                <w:sz w:val="20"/>
                <w:szCs w:val="20"/>
              </w:rPr>
              <w:t>会堂等</w:t>
            </w:r>
          </w:p>
        </w:tc>
        <w:tc>
          <w:tcPr>
            <w:tcW w:w="2106" w:type="dxa"/>
            <w:vAlign w:val="top"/>
          </w:tcPr>
          <w:p>
            <w:pPr>
              <w:spacing w:before="106" w:line="277" w:lineRule="exact"/>
              <w:ind w:left="130"/>
              <w:rPr>
                <w:rFonts w:ascii="宋体" w:hAnsi="宋体" w:eastAsia="宋体" w:cs="宋体"/>
                <w:sz w:val="20"/>
                <w:szCs w:val="20"/>
              </w:rPr>
            </w:pPr>
            <w:r>
              <w:rPr>
                <w:rFonts w:ascii="宋体" w:hAnsi="宋体" w:eastAsia="宋体" w:cs="宋体"/>
                <w:spacing w:val="-6"/>
                <w:position w:val="1"/>
                <w:sz w:val="20"/>
                <w:szCs w:val="20"/>
              </w:rPr>
              <w:t>一般公共建筑，包括：</w:t>
            </w:r>
          </w:p>
          <w:p>
            <w:pPr>
              <w:spacing w:before="84" w:line="223" w:lineRule="auto"/>
              <w:ind w:left="118"/>
              <w:rPr>
                <w:rFonts w:ascii="宋体" w:hAnsi="宋体" w:eastAsia="宋体" w:cs="宋体"/>
                <w:sz w:val="20"/>
                <w:szCs w:val="20"/>
              </w:rPr>
            </w:pPr>
            <w:r>
              <w:rPr>
                <w:rFonts w:ascii="宋体" w:hAnsi="宋体" w:eastAsia="宋体" w:cs="宋体"/>
                <w:spacing w:val="-6"/>
                <w:sz w:val="20"/>
                <w:szCs w:val="20"/>
              </w:rPr>
              <w:t>办公建筑、文教卫生建</w:t>
            </w:r>
          </w:p>
          <w:p>
            <w:pPr>
              <w:spacing w:before="118" w:line="222" w:lineRule="auto"/>
              <w:ind w:left="160"/>
              <w:rPr>
                <w:rFonts w:ascii="宋体" w:hAnsi="宋体" w:eastAsia="宋体" w:cs="宋体"/>
                <w:sz w:val="20"/>
                <w:szCs w:val="20"/>
              </w:rPr>
            </w:pPr>
            <w:r>
              <w:rPr>
                <w:rFonts w:ascii="宋体" w:hAnsi="宋体" w:eastAsia="宋体" w:cs="宋体"/>
                <w:spacing w:val="6"/>
                <w:sz w:val="20"/>
                <w:szCs w:val="20"/>
              </w:rPr>
              <w:t>筑、科研建筑、商业</w:t>
            </w:r>
          </w:p>
          <w:p>
            <w:pPr>
              <w:spacing w:before="119" w:line="219" w:lineRule="auto"/>
              <w:ind w:left="775"/>
              <w:rPr>
                <w:rFonts w:ascii="宋体" w:hAnsi="宋体" w:eastAsia="宋体" w:cs="宋体"/>
                <w:sz w:val="20"/>
                <w:szCs w:val="20"/>
              </w:rPr>
            </w:pPr>
            <w:r>
              <w:rPr>
                <w:rFonts w:ascii="宋体" w:hAnsi="宋体" w:eastAsia="宋体" w:cs="宋体"/>
                <w:spacing w:val="6"/>
                <w:sz w:val="20"/>
                <w:szCs w:val="20"/>
              </w:rPr>
              <w:t>建筑等</w:t>
            </w:r>
          </w:p>
        </w:tc>
        <w:tc>
          <w:tcPr>
            <w:tcW w:w="2198" w:type="dxa"/>
            <w:tcBorders>
              <w:right w:val="single" w:color="000000" w:sz="4" w:space="0"/>
            </w:tcBorders>
            <w:vAlign w:val="top"/>
          </w:tcPr>
          <w:p>
            <w:pPr>
              <w:pStyle w:val="6"/>
              <w:spacing w:line="401" w:lineRule="auto"/>
            </w:pPr>
          </w:p>
          <w:p>
            <w:pPr>
              <w:spacing w:before="65" w:line="223" w:lineRule="auto"/>
              <w:ind w:left="752"/>
              <w:rPr>
                <w:rFonts w:ascii="宋体" w:hAnsi="宋体" w:eastAsia="宋体" w:cs="宋体"/>
                <w:sz w:val="20"/>
                <w:szCs w:val="20"/>
              </w:rPr>
            </w:pPr>
            <w:r>
              <w:rPr>
                <w:rFonts w:ascii="宋体" w:hAnsi="宋体" w:eastAsia="宋体" w:cs="宋体"/>
                <w:spacing w:val="3"/>
                <w:sz w:val="20"/>
                <w:szCs w:val="20"/>
              </w:rPr>
              <w:t>居住建筑</w:t>
            </w:r>
          </w:p>
          <w:p>
            <w:pPr>
              <w:spacing w:before="120" w:line="219" w:lineRule="auto"/>
              <w:ind w:left="540"/>
              <w:rPr>
                <w:rFonts w:ascii="宋体" w:hAnsi="宋体" w:eastAsia="宋体" w:cs="宋体"/>
                <w:sz w:val="20"/>
                <w:szCs w:val="20"/>
              </w:rPr>
            </w:pPr>
            <w:r>
              <w:rPr>
                <w:rFonts w:ascii="宋体" w:hAnsi="宋体" w:eastAsia="宋体" w:cs="宋体"/>
                <w:spacing w:val="5"/>
                <w:sz w:val="20"/>
                <w:szCs w:val="20"/>
              </w:rPr>
              <w:t>工业厂房工程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9" w:hRule="atLeast"/>
        </w:trPr>
        <w:tc>
          <w:tcPr>
            <w:tcW w:w="2779" w:type="dxa"/>
            <w:vMerge w:val="continue"/>
            <w:tcBorders>
              <w:top w:val="nil"/>
              <w:left w:val="single" w:color="000000" w:sz="4" w:space="0"/>
            </w:tcBorders>
            <w:vAlign w:val="top"/>
          </w:tcPr>
          <w:p>
            <w:pPr>
              <w:pStyle w:val="6"/>
            </w:pPr>
          </w:p>
        </w:tc>
        <w:tc>
          <w:tcPr>
            <w:tcW w:w="2106" w:type="dxa"/>
            <w:vAlign w:val="top"/>
          </w:tcPr>
          <w:p>
            <w:pPr>
              <w:spacing w:before="115" w:line="216" w:lineRule="auto"/>
              <w:ind w:left="297"/>
              <w:rPr>
                <w:rFonts w:ascii="宋体" w:hAnsi="宋体" w:eastAsia="宋体" w:cs="宋体"/>
                <w:sz w:val="20"/>
                <w:szCs w:val="20"/>
              </w:rPr>
            </w:pPr>
            <w:r>
              <w:rPr>
                <w:rFonts w:ascii="宋体" w:hAnsi="宋体" w:eastAsia="宋体" w:cs="宋体"/>
                <w:spacing w:val="1"/>
                <w:sz w:val="20"/>
                <w:szCs w:val="20"/>
              </w:rPr>
              <w:t>四星级及以上宾馆</w:t>
            </w:r>
          </w:p>
        </w:tc>
        <w:tc>
          <w:tcPr>
            <w:tcW w:w="2106" w:type="dxa"/>
            <w:vAlign w:val="top"/>
          </w:tcPr>
          <w:p>
            <w:pPr>
              <w:spacing w:before="115" w:line="216" w:lineRule="auto"/>
              <w:ind w:left="575"/>
              <w:rPr>
                <w:rFonts w:ascii="宋体" w:hAnsi="宋体" w:eastAsia="宋体" w:cs="宋体"/>
                <w:sz w:val="20"/>
                <w:szCs w:val="20"/>
              </w:rPr>
            </w:pPr>
            <w:r>
              <w:rPr>
                <w:rFonts w:ascii="宋体" w:hAnsi="宋体" w:eastAsia="宋体" w:cs="宋体"/>
                <w:spacing w:val="4"/>
                <w:sz w:val="20"/>
                <w:szCs w:val="20"/>
              </w:rPr>
              <w:t>三星级宾馆</w:t>
            </w:r>
          </w:p>
        </w:tc>
        <w:tc>
          <w:tcPr>
            <w:tcW w:w="2198" w:type="dxa"/>
            <w:tcBorders>
              <w:right w:val="single" w:color="000000" w:sz="4" w:space="0"/>
            </w:tcBorders>
            <w:vAlign w:val="top"/>
          </w:tcPr>
          <w:p>
            <w:pPr>
              <w:spacing w:before="115" w:line="216" w:lineRule="auto"/>
              <w:ind w:left="412"/>
              <w:rPr>
                <w:rFonts w:ascii="宋体" w:hAnsi="宋体" w:eastAsia="宋体" w:cs="宋体"/>
                <w:sz w:val="20"/>
                <w:szCs w:val="20"/>
              </w:rPr>
            </w:pPr>
            <w:r>
              <w:rPr>
                <w:rFonts w:ascii="宋体" w:hAnsi="宋体" w:eastAsia="宋体" w:cs="宋体"/>
                <w:spacing w:val="5"/>
                <w:sz w:val="20"/>
                <w:szCs w:val="20"/>
              </w:rPr>
              <w:t>二星级以下宾馆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8" w:hRule="atLeast"/>
        </w:trPr>
        <w:tc>
          <w:tcPr>
            <w:tcW w:w="2779" w:type="dxa"/>
            <w:tcBorders>
              <w:left w:val="single" w:color="000000" w:sz="4" w:space="0"/>
            </w:tcBorders>
            <w:vAlign w:val="top"/>
          </w:tcPr>
          <w:p>
            <w:pPr>
              <w:spacing w:before="110" w:line="276" w:lineRule="auto"/>
              <w:ind w:left="464" w:right="161" w:hanging="322"/>
              <w:rPr>
                <w:rFonts w:ascii="宋体" w:hAnsi="宋体" w:eastAsia="宋体" w:cs="宋体"/>
                <w:sz w:val="20"/>
                <w:szCs w:val="20"/>
              </w:rPr>
            </w:pPr>
            <w:r>
              <w:rPr>
                <w:rFonts w:ascii="宋体" w:hAnsi="宋体" w:eastAsia="宋体" w:cs="宋体"/>
                <w:spacing w:val="5"/>
                <w:sz w:val="20"/>
                <w:szCs w:val="20"/>
              </w:rPr>
              <w:t>单独外墙装饰（包括幕墙、</w:t>
            </w:r>
            <w:r>
              <w:rPr>
                <w:rFonts w:ascii="宋体" w:hAnsi="宋体" w:eastAsia="宋体" w:cs="宋体"/>
                <w:spacing w:val="6"/>
                <w:sz w:val="20"/>
                <w:szCs w:val="20"/>
              </w:rPr>
              <w:t>各种外墙干挂工程）</w:t>
            </w:r>
          </w:p>
        </w:tc>
        <w:tc>
          <w:tcPr>
            <w:tcW w:w="2106" w:type="dxa"/>
            <w:vAlign w:val="top"/>
          </w:tcPr>
          <w:p>
            <w:pPr>
              <w:spacing w:before="290" w:line="277" w:lineRule="exact"/>
              <w:ind w:left="386"/>
              <w:rPr>
                <w:rFonts w:ascii="宋体" w:hAnsi="宋体" w:eastAsia="宋体" w:cs="宋体"/>
                <w:sz w:val="20"/>
                <w:szCs w:val="20"/>
              </w:rPr>
            </w:pPr>
            <w:r>
              <w:rPr>
                <w:rFonts w:ascii="宋体" w:hAnsi="宋体" w:eastAsia="宋体" w:cs="宋体"/>
                <w:spacing w:val="11"/>
                <w:position w:val="1"/>
                <w:sz w:val="20"/>
                <w:szCs w:val="20"/>
              </w:rPr>
              <w:t>幕墙高度＞50m</w:t>
            </w:r>
          </w:p>
        </w:tc>
        <w:tc>
          <w:tcPr>
            <w:tcW w:w="2106" w:type="dxa"/>
            <w:vAlign w:val="top"/>
          </w:tcPr>
          <w:p>
            <w:pPr>
              <w:spacing w:before="290" w:line="277" w:lineRule="exact"/>
              <w:ind w:left="390"/>
              <w:rPr>
                <w:rFonts w:ascii="宋体" w:hAnsi="宋体" w:eastAsia="宋体" w:cs="宋体"/>
                <w:sz w:val="20"/>
                <w:szCs w:val="20"/>
              </w:rPr>
            </w:pPr>
            <w:r>
              <w:rPr>
                <w:rFonts w:ascii="宋体" w:hAnsi="宋体" w:eastAsia="宋体" w:cs="宋体"/>
                <w:spacing w:val="11"/>
                <w:position w:val="1"/>
                <w:sz w:val="20"/>
                <w:szCs w:val="20"/>
              </w:rPr>
              <w:t>幕墙高度＞30m</w:t>
            </w:r>
          </w:p>
        </w:tc>
        <w:tc>
          <w:tcPr>
            <w:tcW w:w="2198" w:type="dxa"/>
            <w:tcBorders>
              <w:right w:val="single" w:color="000000" w:sz="4" w:space="0"/>
            </w:tcBorders>
            <w:vAlign w:val="top"/>
          </w:tcPr>
          <w:p>
            <w:pPr>
              <w:spacing w:before="290" w:line="277" w:lineRule="exact"/>
              <w:ind w:left="434"/>
              <w:rPr>
                <w:rFonts w:ascii="宋体" w:hAnsi="宋体" w:eastAsia="宋体" w:cs="宋体"/>
                <w:sz w:val="20"/>
                <w:szCs w:val="20"/>
              </w:rPr>
            </w:pPr>
            <w:r>
              <w:rPr>
                <w:rFonts w:ascii="宋体" w:hAnsi="宋体" w:eastAsia="宋体" w:cs="宋体"/>
                <w:spacing w:val="11"/>
                <w:position w:val="1"/>
                <w:sz w:val="20"/>
                <w:szCs w:val="20"/>
              </w:rPr>
              <w:t>幕墙高度≤30m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0" w:hRule="atLeast"/>
        </w:trPr>
        <w:tc>
          <w:tcPr>
            <w:tcW w:w="2779" w:type="dxa"/>
            <w:tcBorders>
              <w:left w:val="single" w:color="000000" w:sz="4" w:space="0"/>
              <w:bottom w:val="single" w:color="000000" w:sz="4" w:space="0"/>
            </w:tcBorders>
            <w:vAlign w:val="top"/>
          </w:tcPr>
          <w:p>
            <w:pPr>
              <w:spacing w:before="116" w:line="221" w:lineRule="auto"/>
              <w:ind w:left="197"/>
              <w:rPr>
                <w:rFonts w:ascii="宋体" w:hAnsi="宋体" w:eastAsia="宋体" w:cs="宋体"/>
                <w:sz w:val="20"/>
                <w:szCs w:val="20"/>
              </w:rPr>
            </w:pPr>
            <w:r>
              <w:rPr>
                <w:rFonts w:ascii="宋体" w:hAnsi="宋体" w:eastAsia="宋体" w:cs="宋体"/>
                <w:spacing w:val="7"/>
                <w:sz w:val="20"/>
                <w:szCs w:val="20"/>
              </w:rPr>
              <w:t>单独招牌、灯箱、美术字等</w:t>
            </w:r>
          </w:p>
          <w:p>
            <w:pPr>
              <w:spacing w:before="132" w:line="209" w:lineRule="auto"/>
              <w:ind w:left="1238"/>
              <w:rPr>
                <w:rFonts w:ascii="宋体" w:hAnsi="宋体" w:eastAsia="宋体" w:cs="宋体"/>
                <w:sz w:val="20"/>
                <w:szCs w:val="20"/>
              </w:rPr>
            </w:pPr>
            <w:r>
              <w:rPr>
                <w:rFonts w:ascii="宋体" w:hAnsi="宋体" w:eastAsia="宋体" w:cs="宋体"/>
                <w:spacing w:val="6"/>
                <w:sz w:val="20"/>
                <w:szCs w:val="20"/>
              </w:rPr>
              <w:t>工程</w:t>
            </w:r>
          </w:p>
        </w:tc>
        <w:tc>
          <w:tcPr>
            <w:tcW w:w="2106" w:type="dxa"/>
            <w:tcBorders>
              <w:bottom w:val="single" w:color="000000" w:sz="4" w:space="0"/>
            </w:tcBorders>
            <w:vAlign w:val="top"/>
          </w:tcPr>
          <w:p>
            <w:pPr>
              <w:pStyle w:val="6"/>
              <w:tabs>
                <w:tab w:val="left" w:pos="1170"/>
              </w:tabs>
              <w:spacing w:before="235"/>
              <w:ind w:left="962"/>
            </w:pPr>
            <w:r>
              <w:rPr>
                <w:u w:val="single" w:color="auto"/>
              </w:rPr>
              <w:tab/>
            </w:r>
          </w:p>
        </w:tc>
        <w:tc>
          <w:tcPr>
            <w:tcW w:w="2106" w:type="dxa"/>
            <w:tcBorders>
              <w:bottom w:val="single" w:color="000000" w:sz="4" w:space="0"/>
            </w:tcBorders>
            <w:vAlign w:val="top"/>
          </w:tcPr>
          <w:p>
            <w:pPr>
              <w:pStyle w:val="6"/>
              <w:tabs>
                <w:tab w:val="left" w:pos="1176"/>
              </w:tabs>
              <w:spacing w:before="235"/>
              <w:ind w:left="968"/>
            </w:pPr>
            <w:r>
              <w:rPr>
                <w:u w:val="single" w:color="auto"/>
              </w:rPr>
              <w:tab/>
            </w:r>
          </w:p>
        </w:tc>
        <w:tc>
          <w:tcPr>
            <w:tcW w:w="2198" w:type="dxa"/>
            <w:tcBorders>
              <w:bottom w:val="single" w:color="000000" w:sz="4" w:space="0"/>
              <w:right w:val="single" w:color="000000" w:sz="4" w:space="0"/>
            </w:tcBorders>
            <w:vAlign w:val="top"/>
          </w:tcPr>
          <w:p>
            <w:pPr>
              <w:spacing w:before="117" w:line="278" w:lineRule="auto"/>
              <w:ind w:left="695" w:right="56" w:hanging="622"/>
              <w:rPr>
                <w:rFonts w:ascii="宋体" w:hAnsi="宋体" w:eastAsia="宋体" w:cs="宋体"/>
                <w:sz w:val="20"/>
                <w:szCs w:val="20"/>
              </w:rPr>
            </w:pPr>
            <w:r>
              <w:rPr>
                <w:rFonts w:ascii="宋体" w:hAnsi="宋体" w:eastAsia="宋体" w:cs="宋体"/>
                <w:spacing w:val="6"/>
                <w:sz w:val="20"/>
                <w:szCs w:val="20"/>
              </w:rPr>
              <w:t>单独招牌、灯箱、美术字等工程</w:t>
            </w:r>
          </w:p>
        </w:tc>
      </w:tr>
    </w:tbl>
    <w:p>
      <w:pPr>
        <w:spacing w:line="420" w:lineRule="auto"/>
        <w:rPr>
          <w:rFonts w:ascii="Arial"/>
          <w:sz w:val="21"/>
        </w:rPr>
      </w:pPr>
    </w:p>
    <w:p>
      <w:pPr>
        <w:spacing w:before="78" w:line="214" w:lineRule="auto"/>
        <w:ind w:left="449"/>
        <w:rPr>
          <w:rFonts w:ascii="KaiTi_GB2312" w:hAnsi="KaiTi_GB2312" w:eastAsia="KaiTi_GB2312" w:cs="KaiTi_GB2312"/>
          <w:sz w:val="24"/>
          <w:szCs w:val="24"/>
        </w:rPr>
      </w:pPr>
      <w:r>
        <w:rPr>
          <w:rFonts w:ascii="KaiTi_GB2312" w:hAnsi="KaiTi_GB2312" w:eastAsia="KaiTi_GB2312" w:cs="KaiTi_GB2312"/>
          <w:spacing w:val="11"/>
          <w:sz w:val="24"/>
          <w:szCs w:val="24"/>
        </w:rPr>
        <w:t>（二）装饰工程类别划分说明</w:t>
      </w:r>
    </w:p>
    <w:p>
      <w:pPr>
        <w:spacing w:before="137" w:line="352" w:lineRule="auto"/>
        <w:ind w:left="33" w:right="172" w:firstLine="450"/>
        <w:rPr>
          <w:rFonts w:ascii="宋体" w:hAnsi="宋体" w:eastAsia="宋体" w:cs="宋体"/>
          <w:sz w:val="20"/>
          <w:szCs w:val="20"/>
        </w:rPr>
      </w:pPr>
      <w:r>
        <w:rPr>
          <w:rFonts w:ascii="宋体" w:hAnsi="宋体" w:eastAsia="宋体" w:cs="宋体"/>
          <w:spacing w:val="6"/>
          <w:sz w:val="20"/>
          <w:szCs w:val="20"/>
        </w:rPr>
        <w:t>1. 装饰工程指建筑物主体结构完成后，在主体结构表面</w:t>
      </w:r>
      <w:r>
        <w:rPr>
          <w:rFonts w:ascii="宋体" w:hAnsi="宋体" w:eastAsia="宋体" w:cs="宋体"/>
          <w:spacing w:val="5"/>
          <w:sz w:val="20"/>
          <w:szCs w:val="20"/>
        </w:rPr>
        <w:t>及相关部位进行抹灰、镶贴和铺装面层</w:t>
      </w:r>
      <w:r>
        <w:rPr>
          <w:rFonts w:ascii="宋体" w:hAnsi="宋体" w:eastAsia="宋体" w:cs="宋体"/>
          <w:spacing w:val="9"/>
          <w:sz w:val="20"/>
          <w:szCs w:val="20"/>
        </w:rPr>
        <w:t>等施工，以达到建筑设计效果的施工内容。</w:t>
      </w:r>
    </w:p>
    <w:p>
      <w:pPr>
        <w:spacing w:before="39" w:line="277" w:lineRule="exact"/>
        <w:ind w:left="451"/>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1）通常情况下，楼地面工程至其他装饰工程（第十一章至第十五章）属于装饰工程。</w:t>
      </w:r>
    </w:p>
    <w:p>
      <w:pPr>
        <w:spacing w:before="121" w:line="277" w:lineRule="exact"/>
        <w:ind w:left="451"/>
        <w:rPr>
          <w:rFonts w:ascii="宋体" w:hAnsi="宋体" w:eastAsia="宋体" w:cs="宋体"/>
          <w:sz w:val="20"/>
          <w:szCs w:val="20"/>
        </w:rPr>
      </w:pPr>
      <w:r>
        <w:rPr>
          <w:rFonts w:ascii="宋体" w:hAnsi="宋体" w:eastAsia="宋体" w:cs="宋体"/>
          <w:spacing w:val="10"/>
          <w:position w:val="1"/>
          <w:sz w:val="20"/>
          <w:szCs w:val="20"/>
        </w:rPr>
        <w:t>（2）使用上述章节子目计价，但附着于垫层、或</w:t>
      </w:r>
      <w:r>
        <w:rPr>
          <w:rFonts w:ascii="宋体" w:hAnsi="宋体" w:eastAsia="宋体" w:cs="宋体"/>
          <w:spacing w:val="9"/>
          <w:position w:val="1"/>
          <w:sz w:val="20"/>
          <w:szCs w:val="20"/>
        </w:rPr>
        <w:t>者主体结构的找平层属于建筑工程。</w:t>
      </w:r>
    </w:p>
    <w:p>
      <w:pPr>
        <w:spacing w:before="124" w:line="298" w:lineRule="auto"/>
        <w:ind w:left="32" w:right="55" w:firstLine="419"/>
        <w:rPr>
          <w:rFonts w:ascii="宋体" w:hAnsi="宋体" w:eastAsia="宋体" w:cs="宋体"/>
          <w:sz w:val="20"/>
          <w:szCs w:val="20"/>
        </w:rPr>
      </w:pPr>
      <w:r>
        <w:rPr>
          <w:rFonts w:ascii="宋体" w:hAnsi="宋体" w:eastAsia="宋体" w:cs="宋体"/>
          <w:spacing w:val="3"/>
          <w:sz w:val="20"/>
          <w:szCs w:val="20"/>
        </w:rPr>
        <w:t>（3）使用上述章节子目计价，防水层、保温层的找平层、保护层（兼具装饰层找平作用的除外</w:t>
      </w:r>
      <w:r>
        <w:rPr>
          <w:rFonts w:ascii="宋体" w:hAnsi="宋体" w:eastAsia="宋体" w:cs="宋体"/>
          <w:spacing w:val="-47"/>
          <w:w w:val="89"/>
          <w:sz w:val="20"/>
          <w:szCs w:val="20"/>
        </w:rPr>
        <w:t>），</w:t>
      </w:r>
      <w:r>
        <w:rPr>
          <w:rFonts w:ascii="宋体" w:hAnsi="宋体" w:eastAsia="宋体" w:cs="宋体"/>
          <w:spacing w:val="7"/>
          <w:sz w:val="20"/>
          <w:szCs w:val="20"/>
        </w:rPr>
        <w:t>属于建筑工程。</w:t>
      </w:r>
    </w:p>
    <w:p>
      <w:pPr>
        <w:spacing w:before="154" w:line="297" w:lineRule="auto"/>
        <w:ind w:left="34" w:right="214" w:firstLine="417"/>
        <w:rPr>
          <w:rFonts w:ascii="宋体" w:hAnsi="宋体" w:eastAsia="宋体" w:cs="宋体"/>
          <w:sz w:val="20"/>
          <w:szCs w:val="20"/>
        </w:rPr>
      </w:pPr>
      <w:r>
        <w:rPr>
          <w:rFonts w:ascii="宋体" w:hAnsi="宋体" w:eastAsia="宋体" w:cs="宋体"/>
          <w:spacing w:val="11"/>
          <w:sz w:val="20"/>
          <w:szCs w:val="20"/>
        </w:rPr>
        <w:t>（4）为整体工程或主体结构工程服务的措施项目</w:t>
      </w:r>
      <w:r>
        <w:rPr>
          <w:rFonts w:ascii="宋体" w:hAnsi="宋体" w:eastAsia="宋体" w:cs="宋体"/>
          <w:spacing w:val="10"/>
          <w:sz w:val="20"/>
          <w:szCs w:val="20"/>
        </w:rPr>
        <w:t>，属于建筑工程；单独为装饰工程服务的，</w:t>
      </w:r>
      <w:r>
        <w:rPr>
          <w:rFonts w:ascii="宋体" w:hAnsi="宋体" w:eastAsia="宋体" w:cs="宋体"/>
          <w:spacing w:val="7"/>
          <w:sz w:val="20"/>
          <w:szCs w:val="20"/>
        </w:rPr>
        <w:t>属于装饰工程。</w:t>
      </w:r>
    </w:p>
    <w:p>
      <w:pPr>
        <w:spacing w:before="158" w:line="277" w:lineRule="exact"/>
        <w:ind w:right="11"/>
        <w:jc w:val="right"/>
        <w:rPr>
          <w:rFonts w:ascii="宋体" w:hAnsi="宋体" w:eastAsia="宋体" w:cs="宋体"/>
          <w:sz w:val="20"/>
          <w:szCs w:val="20"/>
        </w:rPr>
      </w:pPr>
      <w:r>
        <w:rPr>
          <w:rFonts w:ascii="宋体" w:hAnsi="宋体" w:eastAsia="宋体" w:cs="宋体"/>
          <w:spacing w:val="7"/>
          <w:position w:val="1"/>
          <w:sz w:val="20"/>
          <w:szCs w:val="20"/>
        </w:rPr>
        <w:t>（5）建筑工程的施工增加（第二十章</w:t>
      </w:r>
      <w:r>
        <w:rPr>
          <w:rFonts w:ascii="宋体" w:hAnsi="宋体" w:eastAsia="宋体" w:cs="宋体"/>
          <w:spacing w:val="-14"/>
          <w:position w:val="1"/>
          <w:sz w:val="20"/>
          <w:szCs w:val="20"/>
        </w:rPr>
        <w:t>），</w:t>
      </w:r>
      <w:r>
        <w:rPr>
          <w:rFonts w:ascii="宋体" w:hAnsi="宋体" w:eastAsia="宋体" w:cs="宋体"/>
          <w:spacing w:val="7"/>
          <w:position w:val="1"/>
          <w:sz w:val="20"/>
          <w:szCs w:val="20"/>
        </w:rPr>
        <w:t>属于建筑工程；装饰工程</w:t>
      </w:r>
      <w:r>
        <w:rPr>
          <w:rFonts w:ascii="宋体" w:hAnsi="宋体" w:eastAsia="宋体" w:cs="宋体"/>
          <w:spacing w:val="6"/>
          <w:position w:val="1"/>
          <w:sz w:val="20"/>
          <w:szCs w:val="20"/>
        </w:rPr>
        <w:t>的施工增加，属于装饰工程。</w:t>
      </w:r>
    </w:p>
    <w:p>
      <w:pPr>
        <w:spacing w:before="121" w:line="332" w:lineRule="auto"/>
        <w:ind w:left="29" w:right="24" w:firstLine="423"/>
        <w:rPr>
          <w:rFonts w:ascii="宋体" w:hAnsi="宋体" w:eastAsia="宋体" w:cs="宋体"/>
          <w:sz w:val="20"/>
          <w:szCs w:val="20"/>
        </w:rPr>
      </w:pPr>
      <w:r>
        <w:rPr>
          <w:rFonts w:ascii="宋体" w:hAnsi="宋体" w:eastAsia="宋体" w:cs="宋体"/>
          <w:spacing w:val="5"/>
          <w:sz w:val="20"/>
          <w:szCs w:val="20"/>
        </w:rPr>
        <w:t>2. 特殊公共建筑包括：观演展览建筑（如影剧院、影视制作播放建筑</w:t>
      </w:r>
      <w:r>
        <w:rPr>
          <w:rFonts w:ascii="宋体" w:hAnsi="宋体" w:eastAsia="宋体" w:cs="宋体"/>
          <w:b/>
          <w:bCs/>
          <w:spacing w:val="5"/>
          <w:sz w:val="20"/>
          <w:szCs w:val="20"/>
        </w:rPr>
        <w:t>、</w:t>
      </w:r>
      <w:r>
        <w:rPr>
          <w:rFonts w:ascii="宋体" w:hAnsi="宋体" w:eastAsia="宋体" w:cs="宋体"/>
          <w:spacing w:val="5"/>
          <w:sz w:val="20"/>
          <w:szCs w:val="20"/>
        </w:rPr>
        <w:t>城市级图书馆、博物馆、</w:t>
      </w:r>
      <w:r>
        <w:rPr>
          <w:rFonts w:ascii="宋体" w:hAnsi="宋体" w:eastAsia="宋体" w:cs="宋体"/>
          <w:spacing w:val="11"/>
          <w:sz w:val="20"/>
          <w:szCs w:val="20"/>
        </w:rPr>
        <w:t>展览馆、纪念馆等）、交通建筑（如汽车、火车、飞机、轮船的站房建筑等</w:t>
      </w:r>
      <w:r>
        <w:rPr>
          <w:rFonts w:ascii="宋体" w:hAnsi="宋体" w:eastAsia="宋体" w:cs="宋体"/>
          <w:spacing w:val="10"/>
          <w:sz w:val="20"/>
          <w:szCs w:val="20"/>
        </w:rPr>
        <w:t>）、体育场馆（如体育</w:t>
      </w:r>
      <w:r>
        <w:rPr>
          <w:rFonts w:ascii="宋体" w:hAnsi="宋体" w:eastAsia="宋体" w:cs="宋体"/>
          <w:spacing w:val="9"/>
          <w:sz w:val="20"/>
          <w:szCs w:val="20"/>
        </w:rPr>
        <w:t>训练、比赛场馆等）、高级会堂等。</w:t>
      </w:r>
    </w:p>
    <w:p>
      <w:pPr>
        <w:spacing w:before="121" w:line="313" w:lineRule="auto"/>
        <w:ind w:left="28" w:right="128" w:firstLine="429"/>
        <w:rPr>
          <w:rFonts w:ascii="宋体" w:hAnsi="宋体" w:eastAsia="宋体" w:cs="宋体"/>
          <w:sz w:val="20"/>
          <w:szCs w:val="20"/>
        </w:rPr>
      </w:pPr>
      <w:r>
        <w:rPr>
          <w:rFonts w:ascii="宋体" w:hAnsi="宋体" w:eastAsia="宋体" w:cs="宋体"/>
          <w:spacing w:val="5"/>
          <w:sz w:val="20"/>
          <w:szCs w:val="20"/>
        </w:rPr>
        <w:t>3. 一般公共建筑包括：办公建筑、文教卫生建筑（如教学楼、实验楼、学校图</w:t>
      </w:r>
      <w:r>
        <w:rPr>
          <w:rFonts w:ascii="宋体" w:hAnsi="宋体" w:eastAsia="宋体" w:cs="宋体"/>
          <w:spacing w:val="4"/>
          <w:sz w:val="20"/>
          <w:szCs w:val="20"/>
        </w:rPr>
        <w:t>书馆、 门诊楼、</w:t>
      </w:r>
      <w:r>
        <w:rPr>
          <w:rFonts w:ascii="宋体" w:hAnsi="宋体" w:eastAsia="宋体" w:cs="宋体"/>
          <w:spacing w:val="9"/>
          <w:sz w:val="20"/>
          <w:szCs w:val="20"/>
        </w:rPr>
        <w:t>病房楼、检验化验楼等）、科研建筑、商业建筑等。</w:t>
      </w:r>
    </w:p>
    <w:p>
      <w:pPr>
        <w:spacing w:before="123" w:line="297" w:lineRule="auto"/>
        <w:ind w:left="26" w:right="273" w:firstLine="420"/>
        <w:rPr>
          <w:rFonts w:ascii="宋体" w:hAnsi="宋体" w:eastAsia="宋体" w:cs="宋体"/>
          <w:sz w:val="20"/>
          <w:szCs w:val="20"/>
        </w:rPr>
      </w:pPr>
      <w:r>
        <w:rPr>
          <w:rFonts w:ascii="宋体" w:hAnsi="宋体" w:eastAsia="宋体" w:cs="宋体"/>
          <w:spacing w:val="9"/>
          <w:sz w:val="20"/>
          <w:szCs w:val="20"/>
        </w:rPr>
        <w:t>4. 宾馆、饭店的星级按《旅游涉外饭店星级标准》确定。不定星级的宾馆、饭店，按照一般公共建筑Ⅱ类确定工程类别。</w:t>
      </w:r>
    </w:p>
    <w:p>
      <w:pPr>
        <w:spacing w:before="156" w:line="297" w:lineRule="auto"/>
        <w:ind w:left="29" w:right="271" w:firstLine="425"/>
        <w:rPr>
          <w:rFonts w:ascii="宋体" w:hAnsi="宋体" w:eastAsia="宋体" w:cs="宋体"/>
          <w:sz w:val="20"/>
          <w:szCs w:val="20"/>
        </w:rPr>
      </w:pPr>
      <w:r>
        <w:rPr>
          <w:rFonts w:ascii="宋体" w:hAnsi="宋体" w:eastAsia="宋体" w:cs="宋体"/>
          <w:spacing w:val="9"/>
          <w:sz w:val="20"/>
          <w:szCs w:val="20"/>
        </w:rPr>
        <w:t>5. 单独外墙装饰的类别适用于单独发承包外墙装饰工程（包括幕墙、各种外墙</w:t>
      </w:r>
      <w:r>
        <w:rPr>
          <w:rFonts w:ascii="宋体" w:hAnsi="宋体" w:eastAsia="宋体" w:cs="宋体"/>
          <w:spacing w:val="8"/>
          <w:sz w:val="20"/>
          <w:szCs w:val="20"/>
        </w:rPr>
        <w:t>干挂工程）的</w:t>
      </w:r>
      <w:r>
        <w:rPr>
          <w:rFonts w:ascii="宋体" w:hAnsi="宋体" w:eastAsia="宋体" w:cs="宋体"/>
          <w:spacing w:val="5"/>
          <w:sz w:val="20"/>
          <w:szCs w:val="20"/>
        </w:rPr>
        <w:t>情况。</w:t>
      </w:r>
    </w:p>
    <w:p>
      <w:pPr>
        <w:spacing w:before="156" w:line="278" w:lineRule="exact"/>
        <w:ind w:left="453"/>
        <w:rPr>
          <w:rFonts w:ascii="宋体" w:hAnsi="宋体" w:eastAsia="宋体" w:cs="宋体"/>
          <w:sz w:val="20"/>
          <w:szCs w:val="20"/>
        </w:rPr>
      </w:pPr>
      <w:r>
        <w:rPr>
          <w:rFonts w:ascii="宋体" w:hAnsi="宋体" w:eastAsia="宋体" w:cs="宋体"/>
          <w:spacing w:val="7"/>
          <w:position w:val="1"/>
          <w:sz w:val="20"/>
          <w:szCs w:val="20"/>
        </w:rPr>
        <w:t>6. 单独招牌、灯箱、美术字等工程的类别仅适用于单独发承包的情况。</w:t>
      </w:r>
    </w:p>
    <w:p>
      <w:pPr>
        <w:spacing w:line="278" w:lineRule="exact"/>
        <w:rPr>
          <w:rFonts w:ascii="宋体" w:hAnsi="宋体" w:eastAsia="宋体" w:cs="宋体"/>
          <w:sz w:val="20"/>
          <w:szCs w:val="20"/>
        </w:rPr>
        <w:sectPr>
          <w:footerReference r:id="rId83" w:type="default"/>
          <w:pgSz w:w="11905" w:h="16840"/>
          <w:pgMar w:top="400" w:right="1313" w:bottom="1132" w:left="1391" w:header="0" w:footer="919" w:gutter="0"/>
        </w:sect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before="97" w:line="307" w:lineRule="auto"/>
        <w:ind w:left="2869" w:right="1491" w:hanging="1493"/>
        <w:outlineLvl w:val="1"/>
        <w:rPr>
          <w:rFonts w:ascii="宋体" w:hAnsi="宋体" w:eastAsia="宋体" w:cs="宋体"/>
          <w:sz w:val="30"/>
          <w:szCs w:val="30"/>
        </w:rPr>
      </w:pPr>
      <w:bookmarkStart w:id="45" w:name="bookmark32"/>
      <w:bookmarkEnd w:id="45"/>
      <w:r>
        <w:rPr>
          <w:rFonts w:ascii="宋体" w:hAnsi="宋体" w:eastAsia="宋体" w:cs="宋体"/>
          <w:b/>
          <w:bCs/>
          <w:spacing w:val="-2"/>
          <w:sz w:val="30"/>
          <w:szCs w:val="30"/>
        </w:rPr>
        <w:t>第六节</w:t>
      </w:r>
      <w:r>
        <w:rPr>
          <w:rFonts w:ascii="宋体" w:hAnsi="宋体" w:eastAsia="宋体" w:cs="宋体"/>
          <w:spacing w:val="-2"/>
          <w:sz w:val="30"/>
          <w:szCs w:val="30"/>
        </w:rPr>
        <w:t xml:space="preserve">  </w:t>
      </w:r>
      <w:r>
        <w:rPr>
          <w:rFonts w:ascii="宋体" w:hAnsi="宋体" w:eastAsia="宋体" w:cs="宋体"/>
          <w:b/>
          <w:bCs/>
          <w:spacing w:val="-2"/>
          <w:sz w:val="30"/>
          <w:szCs w:val="30"/>
        </w:rPr>
        <w:t>建设工程工程量清单计价有关问</w:t>
      </w:r>
      <w:r>
        <w:rPr>
          <w:rFonts w:ascii="宋体" w:hAnsi="宋体" w:eastAsia="宋体" w:cs="宋体"/>
          <w:b/>
          <w:bCs/>
          <w:spacing w:val="-3"/>
          <w:sz w:val="30"/>
          <w:szCs w:val="30"/>
        </w:rPr>
        <w:t>题说明</w:t>
      </w:r>
      <w:bookmarkStart w:id="46" w:name="bookmark32"/>
      <w:bookmarkEnd w:id="46"/>
      <w:r>
        <w:rPr>
          <w:rFonts w:ascii="宋体" w:hAnsi="宋体" w:eastAsia="宋体" w:cs="宋体"/>
          <w:b/>
          <w:bCs/>
          <w:spacing w:val="-1"/>
          <w:sz w:val="30"/>
          <w:szCs w:val="30"/>
        </w:rPr>
        <w:t>（房屋建筑与装饰工程）</w:t>
      </w:r>
    </w:p>
    <w:p>
      <w:pPr>
        <w:spacing w:line="409" w:lineRule="auto"/>
        <w:rPr>
          <w:rFonts w:ascii="Arial"/>
          <w:sz w:val="21"/>
        </w:rPr>
      </w:pPr>
    </w:p>
    <w:p>
      <w:pPr>
        <w:spacing w:before="65" w:line="368" w:lineRule="auto"/>
        <w:ind w:left="7" w:firstLine="397"/>
        <w:jc w:val="both"/>
        <w:rPr>
          <w:rFonts w:ascii="宋体" w:hAnsi="宋体" w:eastAsia="宋体" w:cs="宋体"/>
          <w:sz w:val="20"/>
          <w:szCs w:val="20"/>
        </w:rPr>
      </w:pPr>
      <w:r>
        <w:rPr>
          <w:rFonts w:ascii="宋体" w:hAnsi="宋体" w:eastAsia="宋体" w:cs="宋体"/>
          <w:spacing w:val="5"/>
          <w:sz w:val="20"/>
          <w:szCs w:val="20"/>
        </w:rPr>
        <w:t>《建设工程工程量清单计价标准》</w:t>
      </w:r>
      <w:r>
        <w:rPr>
          <w:rFonts w:ascii="宋体" w:hAnsi="宋体" w:eastAsia="宋体" w:cs="宋体"/>
          <w:sz w:val="20"/>
          <w:szCs w:val="20"/>
        </w:rPr>
        <w:t>GB</w:t>
      </w:r>
      <w:r>
        <w:rPr>
          <w:rFonts w:ascii="宋体" w:hAnsi="宋体" w:eastAsia="宋体" w:cs="宋体"/>
          <w:spacing w:val="5"/>
          <w:sz w:val="20"/>
          <w:szCs w:val="20"/>
        </w:rPr>
        <w:t>/T</w:t>
      </w:r>
      <w:r>
        <w:rPr>
          <w:rFonts w:ascii="宋体" w:hAnsi="宋体" w:eastAsia="宋体" w:cs="宋体"/>
          <w:spacing w:val="-29"/>
          <w:sz w:val="20"/>
          <w:szCs w:val="20"/>
        </w:rPr>
        <w:t xml:space="preserve"> </w:t>
      </w:r>
      <w:r>
        <w:rPr>
          <w:rFonts w:ascii="宋体" w:hAnsi="宋体" w:eastAsia="宋体" w:cs="宋体"/>
          <w:spacing w:val="5"/>
          <w:sz w:val="20"/>
          <w:szCs w:val="20"/>
        </w:rPr>
        <w:t>50500-2024</w:t>
      </w:r>
      <w:r>
        <w:rPr>
          <w:rFonts w:ascii="宋体" w:hAnsi="宋体" w:eastAsia="宋体" w:cs="宋体"/>
          <w:spacing w:val="-27"/>
          <w:sz w:val="20"/>
          <w:szCs w:val="20"/>
        </w:rPr>
        <w:t xml:space="preserve"> </w:t>
      </w:r>
      <w:r>
        <w:rPr>
          <w:rFonts w:ascii="宋体" w:hAnsi="宋体" w:eastAsia="宋体" w:cs="宋体"/>
          <w:spacing w:val="5"/>
          <w:sz w:val="20"/>
          <w:szCs w:val="20"/>
        </w:rPr>
        <w:t>以及《房屋建筑与装饰工程工程量计算标准》</w:t>
      </w:r>
      <w:r>
        <w:rPr>
          <w:rFonts w:ascii="宋体" w:hAnsi="宋体" w:eastAsia="宋体" w:cs="宋体"/>
          <w:sz w:val="20"/>
          <w:szCs w:val="20"/>
        </w:rPr>
        <w:t xml:space="preserve"> GB</w:t>
      </w:r>
      <w:r>
        <w:rPr>
          <w:rFonts w:ascii="宋体" w:hAnsi="宋体" w:eastAsia="宋体" w:cs="宋体"/>
          <w:spacing w:val="9"/>
          <w:sz w:val="20"/>
          <w:szCs w:val="20"/>
        </w:rPr>
        <w:t>/T</w:t>
      </w:r>
      <w:r>
        <w:rPr>
          <w:rFonts w:ascii="宋体" w:hAnsi="宋体" w:eastAsia="宋体" w:cs="宋体"/>
          <w:spacing w:val="-42"/>
          <w:sz w:val="20"/>
          <w:szCs w:val="20"/>
        </w:rPr>
        <w:t xml:space="preserve"> </w:t>
      </w:r>
      <w:r>
        <w:rPr>
          <w:rFonts w:ascii="宋体" w:hAnsi="宋体" w:eastAsia="宋体" w:cs="宋体"/>
          <w:spacing w:val="9"/>
          <w:sz w:val="20"/>
          <w:szCs w:val="20"/>
        </w:rPr>
        <w:t>50854-2024、《构筑物工程工程量计算标准》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42"/>
          <w:sz w:val="20"/>
          <w:szCs w:val="20"/>
        </w:rPr>
        <w:t xml:space="preserve"> </w:t>
      </w:r>
      <w:r>
        <w:rPr>
          <w:rFonts w:ascii="宋体" w:hAnsi="宋体" w:eastAsia="宋体" w:cs="宋体"/>
          <w:spacing w:val="9"/>
          <w:sz w:val="20"/>
          <w:szCs w:val="20"/>
        </w:rPr>
        <w:t>50860-20</w:t>
      </w:r>
      <w:r>
        <w:rPr>
          <w:rFonts w:ascii="宋体" w:hAnsi="宋体" w:eastAsia="宋体" w:cs="宋体"/>
          <w:spacing w:val="8"/>
          <w:sz w:val="20"/>
          <w:szCs w:val="20"/>
        </w:rPr>
        <w:t>24、《爆破工程工程量计算规范》</w:t>
      </w:r>
      <w:r>
        <w:rPr>
          <w:rFonts w:ascii="宋体" w:hAnsi="宋体" w:eastAsia="宋体" w:cs="宋体"/>
          <w:sz w:val="20"/>
          <w:szCs w:val="20"/>
        </w:rPr>
        <w:t xml:space="preserve"> GB</w:t>
      </w:r>
      <w:r>
        <w:rPr>
          <w:rFonts w:ascii="宋体" w:hAnsi="宋体" w:eastAsia="宋体" w:cs="宋体"/>
          <w:spacing w:val="7"/>
          <w:sz w:val="20"/>
          <w:szCs w:val="20"/>
        </w:rPr>
        <w:t>/T</w:t>
      </w:r>
      <w:r>
        <w:rPr>
          <w:rFonts w:ascii="宋体" w:hAnsi="宋体" w:eastAsia="宋体" w:cs="宋体"/>
          <w:spacing w:val="-42"/>
          <w:sz w:val="20"/>
          <w:szCs w:val="20"/>
        </w:rPr>
        <w:t xml:space="preserve"> </w:t>
      </w:r>
      <w:r>
        <w:rPr>
          <w:rFonts w:ascii="宋体" w:hAnsi="宋体" w:eastAsia="宋体" w:cs="宋体"/>
          <w:spacing w:val="7"/>
          <w:sz w:val="20"/>
          <w:szCs w:val="20"/>
        </w:rPr>
        <w:t>50862-2024</w:t>
      </w:r>
      <w:r>
        <w:rPr>
          <w:rFonts w:ascii="宋体" w:hAnsi="宋体" w:eastAsia="宋体" w:cs="宋体"/>
          <w:spacing w:val="-36"/>
          <w:sz w:val="20"/>
          <w:szCs w:val="20"/>
        </w:rPr>
        <w:t xml:space="preserve"> </w:t>
      </w:r>
      <w:r>
        <w:rPr>
          <w:rFonts w:ascii="宋体" w:hAnsi="宋体" w:eastAsia="宋体" w:cs="宋体"/>
          <w:spacing w:val="7"/>
          <w:sz w:val="20"/>
          <w:szCs w:val="20"/>
        </w:rPr>
        <w:t>为国家标准，由中华人民共和国住房和城乡建设部发布</w:t>
      </w:r>
      <w:r>
        <w:rPr>
          <w:rFonts w:ascii="宋体" w:hAnsi="宋体" w:eastAsia="宋体" w:cs="宋体"/>
          <w:spacing w:val="-41"/>
          <w:sz w:val="20"/>
          <w:szCs w:val="20"/>
        </w:rPr>
        <w:t xml:space="preserve"> </w:t>
      </w:r>
      <w:r>
        <w:rPr>
          <w:rFonts w:ascii="宋体" w:hAnsi="宋体" w:eastAsia="宋体" w:cs="宋体"/>
          <w:spacing w:val="7"/>
          <w:sz w:val="20"/>
          <w:szCs w:val="20"/>
        </w:rPr>
        <w:t>202</w:t>
      </w:r>
      <w:r>
        <w:rPr>
          <w:rFonts w:ascii="宋体" w:hAnsi="宋体" w:eastAsia="宋体" w:cs="宋体"/>
          <w:spacing w:val="6"/>
          <w:sz w:val="20"/>
          <w:szCs w:val="20"/>
        </w:rPr>
        <w:t>4</w:t>
      </w:r>
      <w:r>
        <w:rPr>
          <w:rFonts w:ascii="宋体" w:hAnsi="宋体" w:eastAsia="宋体" w:cs="宋体"/>
          <w:spacing w:val="-39"/>
          <w:sz w:val="20"/>
          <w:szCs w:val="20"/>
        </w:rPr>
        <w:t xml:space="preserve"> </w:t>
      </w:r>
      <w:r>
        <w:rPr>
          <w:rFonts w:ascii="宋体" w:hAnsi="宋体" w:eastAsia="宋体" w:cs="宋体"/>
          <w:spacing w:val="6"/>
          <w:sz w:val="20"/>
          <w:szCs w:val="20"/>
        </w:rPr>
        <w:t>年第</w:t>
      </w:r>
      <w:r>
        <w:rPr>
          <w:rFonts w:ascii="宋体" w:hAnsi="宋体" w:eastAsia="宋体" w:cs="宋体"/>
          <w:spacing w:val="-40"/>
          <w:sz w:val="20"/>
          <w:szCs w:val="20"/>
        </w:rPr>
        <w:t xml:space="preserve"> </w:t>
      </w:r>
      <w:r>
        <w:rPr>
          <w:rFonts w:ascii="宋体" w:hAnsi="宋体" w:eastAsia="宋体" w:cs="宋体"/>
          <w:spacing w:val="6"/>
          <w:sz w:val="20"/>
          <w:szCs w:val="20"/>
        </w:rPr>
        <w:t>212</w:t>
      </w:r>
      <w:r>
        <w:rPr>
          <w:rFonts w:ascii="宋体" w:hAnsi="宋体" w:eastAsia="宋体" w:cs="宋体"/>
          <w:spacing w:val="-39"/>
          <w:sz w:val="20"/>
          <w:szCs w:val="20"/>
        </w:rPr>
        <w:t xml:space="preserve"> </w:t>
      </w:r>
      <w:r>
        <w:rPr>
          <w:rFonts w:ascii="宋体" w:hAnsi="宋体" w:eastAsia="宋体" w:cs="宋体"/>
          <w:spacing w:val="6"/>
          <w:sz w:val="20"/>
          <w:szCs w:val="20"/>
        </w:rPr>
        <w:t>号、191</w:t>
      </w:r>
      <w:r>
        <w:rPr>
          <w:rFonts w:ascii="宋体" w:hAnsi="宋体" w:eastAsia="宋体" w:cs="宋体"/>
          <w:spacing w:val="-37"/>
          <w:sz w:val="20"/>
          <w:szCs w:val="20"/>
        </w:rPr>
        <w:t xml:space="preserve"> </w:t>
      </w:r>
      <w:r>
        <w:rPr>
          <w:rFonts w:ascii="宋体" w:hAnsi="宋体" w:eastAsia="宋体" w:cs="宋体"/>
          <w:spacing w:val="6"/>
          <w:sz w:val="20"/>
          <w:szCs w:val="20"/>
        </w:rPr>
        <w:t>号、</w:t>
      </w:r>
      <w:r>
        <w:rPr>
          <w:rFonts w:ascii="宋体" w:hAnsi="宋体" w:eastAsia="宋体" w:cs="宋体"/>
          <w:sz w:val="20"/>
          <w:szCs w:val="20"/>
        </w:rPr>
        <w:t xml:space="preserve"> 197</w:t>
      </w:r>
      <w:r>
        <w:rPr>
          <w:rFonts w:ascii="宋体" w:hAnsi="宋体" w:eastAsia="宋体" w:cs="宋体"/>
          <w:spacing w:val="-33"/>
          <w:sz w:val="20"/>
          <w:szCs w:val="20"/>
        </w:rPr>
        <w:t xml:space="preserve"> </w:t>
      </w:r>
      <w:r>
        <w:rPr>
          <w:rFonts w:ascii="宋体" w:hAnsi="宋体" w:eastAsia="宋体" w:cs="宋体"/>
          <w:sz w:val="20"/>
          <w:szCs w:val="20"/>
        </w:rPr>
        <w:t>号、199</w:t>
      </w:r>
      <w:r>
        <w:rPr>
          <w:rFonts w:ascii="宋体" w:hAnsi="宋体" w:eastAsia="宋体" w:cs="宋体"/>
          <w:spacing w:val="-37"/>
          <w:sz w:val="20"/>
          <w:szCs w:val="20"/>
        </w:rPr>
        <w:t xml:space="preserve"> </w:t>
      </w:r>
      <w:r>
        <w:rPr>
          <w:rFonts w:ascii="宋体" w:hAnsi="宋体" w:eastAsia="宋体" w:cs="宋体"/>
          <w:sz w:val="20"/>
          <w:szCs w:val="20"/>
        </w:rPr>
        <w:t>号公告，</w:t>
      </w:r>
      <w:r>
        <w:rPr>
          <w:rFonts w:ascii="宋体" w:hAnsi="宋体" w:eastAsia="宋体" w:cs="宋体"/>
          <w:spacing w:val="-57"/>
          <w:sz w:val="20"/>
          <w:szCs w:val="20"/>
        </w:rPr>
        <w:t xml:space="preserve"> </w:t>
      </w:r>
      <w:r>
        <w:rPr>
          <w:rFonts w:ascii="宋体" w:hAnsi="宋体" w:eastAsia="宋体" w:cs="宋体"/>
          <w:sz w:val="20"/>
          <w:szCs w:val="20"/>
        </w:rPr>
        <w:t>自</w:t>
      </w:r>
      <w:r>
        <w:rPr>
          <w:rFonts w:ascii="宋体" w:hAnsi="宋体" w:eastAsia="宋体" w:cs="宋体"/>
          <w:spacing w:val="-42"/>
          <w:sz w:val="20"/>
          <w:szCs w:val="20"/>
        </w:rPr>
        <w:t xml:space="preserve"> </w:t>
      </w:r>
      <w:r>
        <w:rPr>
          <w:rFonts w:ascii="宋体" w:hAnsi="宋体" w:eastAsia="宋体" w:cs="宋体"/>
          <w:sz w:val="20"/>
          <w:szCs w:val="20"/>
        </w:rPr>
        <w:t>2025</w:t>
      </w:r>
      <w:r>
        <w:rPr>
          <w:rFonts w:ascii="宋体" w:hAnsi="宋体" w:eastAsia="宋体" w:cs="宋体"/>
          <w:spacing w:val="-39"/>
          <w:sz w:val="20"/>
          <w:szCs w:val="20"/>
        </w:rPr>
        <w:t xml:space="preserve"> </w:t>
      </w:r>
      <w:r>
        <w:rPr>
          <w:rFonts w:ascii="宋体" w:hAnsi="宋体" w:eastAsia="宋体" w:cs="宋体"/>
          <w:sz w:val="20"/>
          <w:szCs w:val="20"/>
        </w:rPr>
        <w:t>年</w:t>
      </w:r>
      <w:r>
        <w:rPr>
          <w:rFonts w:ascii="宋体" w:hAnsi="宋体" w:eastAsia="宋体" w:cs="宋体"/>
          <w:spacing w:val="-39"/>
          <w:sz w:val="20"/>
          <w:szCs w:val="20"/>
        </w:rPr>
        <w:t xml:space="preserve"> </w:t>
      </w:r>
      <w:r>
        <w:rPr>
          <w:rFonts w:ascii="宋体" w:hAnsi="宋体" w:eastAsia="宋体" w:cs="宋体"/>
          <w:sz w:val="20"/>
          <w:szCs w:val="20"/>
        </w:rPr>
        <w:t>9</w:t>
      </w:r>
      <w:r>
        <w:rPr>
          <w:rFonts w:ascii="宋体" w:hAnsi="宋体" w:eastAsia="宋体" w:cs="宋体"/>
          <w:spacing w:val="-40"/>
          <w:sz w:val="20"/>
          <w:szCs w:val="20"/>
        </w:rPr>
        <w:t xml:space="preserve"> </w:t>
      </w:r>
      <w:r>
        <w:rPr>
          <w:rFonts w:ascii="宋体" w:hAnsi="宋体" w:eastAsia="宋体" w:cs="宋体"/>
          <w:sz w:val="20"/>
          <w:szCs w:val="20"/>
        </w:rPr>
        <w:t>月</w:t>
      </w:r>
      <w:r>
        <w:rPr>
          <w:rFonts w:ascii="宋体" w:hAnsi="宋体" w:eastAsia="宋体" w:cs="宋体"/>
          <w:spacing w:val="-25"/>
          <w:sz w:val="20"/>
          <w:szCs w:val="20"/>
        </w:rPr>
        <w:t xml:space="preserve"> </w:t>
      </w:r>
      <w:r>
        <w:rPr>
          <w:rFonts w:ascii="宋体" w:hAnsi="宋体" w:eastAsia="宋体" w:cs="宋体"/>
          <w:sz w:val="20"/>
          <w:szCs w:val="20"/>
        </w:rPr>
        <w:t>1 日起实施。</w:t>
      </w:r>
    </w:p>
    <w:p>
      <w:pPr>
        <w:spacing w:before="4" w:line="278" w:lineRule="exact"/>
        <w:ind w:left="420"/>
        <w:rPr>
          <w:rFonts w:ascii="宋体" w:hAnsi="宋体" w:eastAsia="宋体" w:cs="宋体"/>
          <w:sz w:val="20"/>
          <w:szCs w:val="20"/>
        </w:rPr>
      </w:pPr>
      <w:r>
        <w:rPr>
          <w:rFonts w:ascii="宋体" w:hAnsi="宋体" w:eastAsia="宋体" w:cs="宋体"/>
          <w:spacing w:val="9"/>
          <w:position w:val="1"/>
          <w:sz w:val="20"/>
          <w:szCs w:val="20"/>
        </w:rPr>
        <w:t>使用《房屋建筑与装饰工程工程量计算标准》</w:t>
      </w:r>
      <w:r>
        <w:rPr>
          <w:rFonts w:ascii="宋体" w:hAnsi="宋体" w:eastAsia="宋体" w:cs="宋体"/>
          <w:position w:val="1"/>
          <w:sz w:val="20"/>
          <w:szCs w:val="20"/>
        </w:rPr>
        <w:t>GB</w:t>
      </w:r>
      <w:r>
        <w:rPr>
          <w:rFonts w:ascii="宋体" w:hAnsi="宋体" w:eastAsia="宋体" w:cs="宋体"/>
          <w:spacing w:val="9"/>
          <w:position w:val="1"/>
          <w:sz w:val="20"/>
          <w:szCs w:val="20"/>
        </w:rPr>
        <w:t>/T50854-2024，应按照以下规定执行：</w:t>
      </w:r>
    </w:p>
    <w:p>
      <w:pPr>
        <w:pStyle w:val="2"/>
        <w:spacing w:before="116" w:line="209" w:lineRule="auto"/>
        <w:ind w:left="430"/>
        <w:rPr>
          <w:sz w:val="20"/>
          <w:szCs w:val="20"/>
        </w:rPr>
      </w:pPr>
      <w:r>
        <w:rPr>
          <w:spacing w:val="7"/>
          <w:sz w:val="20"/>
          <w:szCs w:val="20"/>
        </w:rPr>
        <w:t>一、基本规定</w:t>
      </w:r>
    </w:p>
    <w:p>
      <w:pPr>
        <w:spacing w:before="106" w:line="333" w:lineRule="auto"/>
        <w:ind w:right="118" w:firstLine="440"/>
        <w:rPr>
          <w:rFonts w:ascii="宋体" w:hAnsi="宋体" w:eastAsia="宋体" w:cs="宋体"/>
          <w:sz w:val="20"/>
          <w:szCs w:val="20"/>
        </w:rPr>
      </w:pPr>
      <w:r>
        <w:rPr>
          <w:rFonts w:ascii="宋体" w:hAnsi="宋体" w:eastAsia="宋体" w:cs="宋体"/>
          <w:spacing w:val="8"/>
          <w:sz w:val="20"/>
          <w:szCs w:val="20"/>
        </w:rPr>
        <w:t>1. 工程量清单的项目特征应结合图纸和规范的要求</w:t>
      </w:r>
      <w:r>
        <w:rPr>
          <w:rFonts w:ascii="宋体" w:hAnsi="宋体" w:eastAsia="宋体" w:cs="宋体"/>
          <w:spacing w:val="7"/>
          <w:sz w:val="20"/>
          <w:szCs w:val="20"/>
        </w:rPr>
        <w:t>进行描述。《房屋建筑与装饰工程工程量计</w:t>
      </w:r>
      <w:r>
        <w:rPr>
          <w:rFonts w:ascii="宋体" w:hAnsi="宋体" w:eastAsia="宋体" w:cs="宋体"/>
          <w:spacing w:val="11"/>
          <w:sz w:val="20"/>
          <w:szCs w:val="20"/>
        </w:rPr>
        <w:t>算标准》附录</w:t>
      </w:r>
      <w:r>
        <w:rPr>
          <w:rFonts w:ascii="宋体" w:hAnsi="宋体" w:eastAsia="宋体" w:cs="宋体"/>
          <w:spacing w:val="-28"/>
          <w:sz w:val="20"/>
          <w:szCs w:val="20"/>
        </w:rPr>
        <w:t xml:space="preserve"> </w:t>
      </w:r>
      <w:r>
        <w:rPr>
          <w:rFonts w:ascii="宋体" w:hAnsi="宋体" w:eastAsia="宋体" w:cs="宋体"/>
          <w:spacing w:val="11"/>
          <w:sz w:val="20"/>
          <w:szCs w:val="20"/>
        </w:rPr>
        <w:t>A～附录</w:t>
      </w:r>
      <w:r>
        <w:rPr>
          <w:rFonts w:ascii="宋体" w:hAnsi="宋体" w:eastAsia="宋体" w:cs="宋体"/>
          <w:spacing w:val="-37"/>
          <w:sz w:val="20"/>
          <w:szCs w:val="20"/>
        </w:rPr>
        <w:t xml:space="preserve"> </w:t>
      </w:r>
      <w:r>
        <w:rPr>
          <w:rFonts w:ascii="宋体" w:hAnsi="宋体" w:eastAsia="宋体" w:cs="宋体"/>
          <w:spacing w:val="11"/>
          <w:sz w:val="20"/>
          <w:szCs w:val="20"/>
        </w:rPr>
        <w:t>R</w:t>
      </w:r>
      <w:r>
        <w:rPr>
          <w:rFonts w:ascii="宋体" w:hAnsi="宋体" w:eastAsia="宋体" w:cs="宋体"/>
          <w:spacing w:val="-43"/>
          <w:sz w:val="20"/>
          <w:szCs w:val="20"/>
        </w:rPr>
        <w:t xml:space="preserve"> </w:t>
      </w:r>
      <w:r>
        <w:rPr>
          <w:rFonts w:ascii="宋体" w:hAnsi="宋体" w:eastAsia="宋体" w:cs="宋体"/>
          <w:spacing w:val="11"/>
          <w:sz w:val="20"/>
          <w:szCs w:val="20"/>
        </w:rPr>
        <w:t>项目的工作内容仅列出了主要内容，除另有规定和说明外，应视为已包含完成该清单项目所需的必要工作。即：除特殊规定外，清单项目应包含图纸和相</w:t>
      </w:r>
      <w:r>
        <w:rPr>
          <w:rFonts w:ascii="宋体" w:hAnsi="宋体" w:eastAsia="宋体" w:cs="宋体"/>
          <w:spacing w:val="10"/>
          <w:sz w:val="20"/>
          <w:szCs w:val="20"/>
        </w:rPr>
        <w:t>关规范要求的完成</w:t>
      </w:r>
      <w:r>
        <w:rPr>
          <w:rFonts w:ascii="宋体" w:hAnsi="宋体" w:eastAsia="宋体" w:cs="宋体"/>
          <w:spacing w:val="8"/>
          <w:sz w:val="20"/>
          <w:szCs w:val="20"/>
        </w:rPr>
        <w:t>该清单项目的全部工作内容。</w:t>
      </w:r>
    </w:p>
    <w:p>
      <w:pPr>
        <w:spacing w:before="157" w:line="313" w:lineRule="auto"/>
        <w:ind w:left="2" w:right="53" w:firstLine="420"/>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pacing w:val="-49"/>
          <w:sz w:val="20"/>
          <w:szCs w:val="20"/>
        </w:rPr>
        <w:t xml:space="preserve"> </w:t>
      </w:r>
      <w:r>
        <w:rPr>
          <w:rFonts w:ascii="宋体" w:hAnsi="宋体" w:eastAsia="宋体" w:cs="宋体"/>
          <w:spacing w:val="6"/>
          <w:sz w:val="20"/>
          <w:szCs w:val="20"/>
        </w:rPr>
        <w:t>《房屋建筑与装饰工程工程量计算标准》附录</w:t>
      </w:r>
      <w:r>
        <w:rPr>
          <w:rFonts w:ascii="宋体" w:hAnsi="宋体" w:eastAsia="宋体" w:cs="宋体"/>
          <w:spacing w:val="-40"/>
          <w:sz w:val="20"/>
          <w:szCs w:val="20"/>
        </w:rPr>
        <w:t xml:space="preserve"> </w:t>
      </w:r>
      <w:r>
        <w:rPr>
          <w:rFonts w:ascii="宋体" w:hAnsi="宋体" w:eastAsia="宋体" w:cs="宋体"/>
          <w:spacing w:val="6"/>
          <w:sz w:val="20"/>
          <w:szCs w:val="20"/>
        </w:rPr>
        <w:t>A～附录</w:t>
      </w:r>
      <w:r>
        <w:rPr>
          <w:rFonts w:ascii="宋体" w:hAnsi="宋体" w:eastAsia="宋体" w:cs="宋体"/>
          <w:spacing w:val="-37"/>
          <w:sz w:val="20"/>
          <w:szCs w:val="20"/>
        </w:rPr>
        <w:t xml:space="preserve"> </w:t>
      </w:r>
      <w:r>
        <w:rPr>
          <w:rFonts w:ascii="宋体" w:hAnsi="宋体" w:eastAsia="宋体" w:cs="宋体"/>
          <w:spacing w:val="6"/>
          <w:sz w:val="20"/>
          <w:szCs w:val="20"/>
        </w:rPr>
        <w:t>R</w:t>
      </w:r>
      <w:r>
        <w:rPr>
          <w:rFonts w:ascii="宋体" w:hAnsi="宋体" w:eastAsia="宋体" w:cs="宋体"/>
          <w:spacing w:val="-25"/>
          <w:sz w:val="20"/>
          <w:szCs w:val="20"/>
        </w:rPr>
        <w:t xml:space="preserve"> </w:t>
      </w:r>
      <w:r>
        <w:rPr>
          <w:rFonts w:ascii="宋体" w:hAnsi="宋体" w:eastAsia="宋体" w:cs="宋体"/>
          <w:spacing w:val="6"/>
          <w:sz w:val="20"/>
          <w:szCs w:val="20"/>
        </w:rPr>
        <w:t>的工程量清单项目，除另有说明外，</w:t>
      </w:r>
      <w:r>
        <w:rPr>
          <w:rFonts w:ascii="宋体" w:hAnsi="宋体" w:eastAsia="宋体" w:cs="宋体"/>
          <w:spacing w:val="7"/>
          <w:sz w:val="20"/>
          <w:szCs w:val="20"/>
        </w:rPr>
        <w:t>工作内容均包含材料（半成品、成品</w:t>
      </w:r>
      <w:r>
        <w:rPr>
          <w:rFonts w:ascii="宋体" w:hAnsi="宋体" w:eastAsia="宋体" w:cs="宋体"/>
          <w:spacing w:val="-32"/>
          <w:sz w:val="20"/>
          <w:szCs w:val="20"/>
        </w:rPr>
        <w:t xml:space="preserve"> </w:t>
      </w:r>
      <w:r>
        <w:rPr>
          <w:rFonts w:ascii="宋体" w:hAnsi="宋体" w:eastAsia="宋体" w:cs="宋体"/>
          <w:spacing w:val="7"/>
          <w:sz w:val="20"/>
          <w:szCs w:val="20"/>
        </w:rPr>
        <w:t>）、构件或设备的场内运输。</w:t>
      </w:r>
    </w:p>
    <w:p>
      <w:pPr>
        <w:spacing w:before="122" w:line="297" w:lineRule="auto"/>
        <w:ind w:left="1" w:right="37" w:firstLine="424"/>
        <w:rPr>
          <w:rFonts w:ascii="宋体" w:hAnsi="宋体" w:eastAsia="宋体" w:cs="宋体"/>
          <w:sz w:val="20"/>
          <w:szCs w:val="20"/>
        </w:rPr>
      </w:pPr>
      <w:r>
        <w:rPr>
          <w:rFonts w:ascii="宋体" w:hAnsi="宋体" w:eastAsia="宋体" w:cs="宋体"/>
          <w:spacing w:val="5"/>
          <w:sz w:val="20"/>
          <w:szCs w:val="20"/>
        </w:rPr>
        <w:t>3. 工程量清单应根据《房屋建筑与装饰工程工程量计算标准》附录</w:t>
      </w:r>
      <w:r>
        <w:rPr>
          <w:rFonts w:ascii="宋体" w:hAnsi="宋体" w:eastAsia="宋体" w:cs="宋体"/>
          <w:spacing w:val="-23"/>
          <w:sz w:val="20"/>
          <w:szCs w:val="20"/>
        </w:rPr>
        <w:t xml:space="preserve"> </w:t>
      </w:r>
      <w:r>
        <w:rPr>
          <w:rFonts w:ascii="宋体" w:hAnsi="宋体" w:eastAsia="宋体" w:cs="宋体"/>
          <w:spacing w:val="5"/>
          <w:sz w:val="20"/>
          <w:szCs w:val="20"/>
        </w:rPr>
        <w:t>A～附录</w:t>
      </w:r>
      <w:r>
        <w:rPr>
          <w:rFonts w:ascii="宋体" w:hAnsi="宋体" w:eastAsia="宋体" w:cs="宋体"/>
          <w:spacing w:val="-35"/>
          <w:sz w:val="20"/>
          <w:szCs w:val="20"/>
        </w:rPr>
        <w:t xml:space="preserve"> </w:t>
      </w:r>
      <w:r>
        <w:rPr>
          <w:rFonts w:ascii="宋体" w:hAnsi="宋体" w:eastAsia="宋体" w:cs="宋体"/>
          <w:spacing w:val="5"/>
          <w:sz w:val="20"/>
          <w:szCs w:val="20"/>
        </w:rPr>
        <w:t>Q</w:t>
      </w:r>
      <w:r>
        <w:rPr>
          <w:rFonts w:ascii="宋体" w:hAnsi="宋体" w:eastAsia="宋体" w:cs="宋体"/>
          <w:spacing w:val="-42"/>
          <w:sz w:val="20"/>
          <w:szCs w:val="20"/>
        </w:rPr>
        <w:t xml:space="preserve"> </w:t>
      </w:r>
      <w:r>
        <w:rPr>
          <w:rFonts w:ascii="宋体" w:hAnsi="宋体" w:eastAsia="宋体" w:cs="宋体"/>
          <w:spacing w:val="5"/>
          <w:sz w:val="20"/>
          <w:szCs w:val="20"/>
        </w:rPr>
        <w:t>规定的项目编码、</w:t>
      </w:r>
      <w:r>
        <w:rPr>
          <w:rFonts w:ascii="宋体" w:hAnsi="宋体" w:eastAsia="宋体" w:cs="宋体"/>
          <w:spacing w:val="9"/>
          <w:sz w:val="20"/>
          <w:szCs w:val="20"/>
        </w:rPr>
        <w:t>项目名称、项目特征、计量单位和工程量计算规则进行编制。</w:t>
      </w:r>
    </w:p>
    <w:p>
      <w:pPr>
        <w:spacing w:before="161" w:line="366" w:lineRule="auto"/>
        <w:ind w:left="1" w:right="118" w:firstLine="420"/>
        <w:jc w:val="both"/>
        <w:rPr>
          <w:rFonts w:ascii="宋体" w:hAnsi="宋体" w:eastAsia="宋体" w:cs="宋体"/>
          <w:sz w:val="20"/>
          <w:szCs w:val="20"/>
        </w:rPr>
      </w:pPr>
      <w:r>
        <w:rPr>
          <w:rFonts w:ascii="宋体" w:hAnsi="宋体" w:eastAsia="宋体" w:cs="宋体"/>
          <w:spacing w:val="11"/>
          <w:sz w:val="20"/>
          <w:szCs w:val="20"/>
        </w:rPr>
        <w:t>虽然清单在表现形式上只有五大要件，但清单计价标准中的工作内容作为清</w:t>
      </w:r>
      <w:r>
        <w:rPr>
          <w:rFonts w:ascii="宋体" w:hAnsi="宋体" w:eastAsia="宋体" w:cs="宋体"/>
          <w:spacing w:val="10"/>
          <w:sz w:val="20"/>
          <w:szCs w:val="20"/>
        </w:rPr>
        <w:t>单计量标准的重要</w:t>
      </w:r>
      <w:r>
        <w:rPr>
          <w:rFonts w:ascii="宋体" w:hAnsi="宋体" w:eastAsia="宋体" w:cs="宋体"/>
          <w:spacing w:val="11"/>
          <w:sz w:val="20"/>
          <w:szCs w:val="20"/>
        </w:rPr>
        <w:t>组成部分，是在编制工程量清单时需考虑的重要内容。不应将工作内容中已经</w:t>
      </w:r>
      <w:r>
        <w:rPr>
          <w:rFonts w:ascii="宋体" w:hAnsi="宋体" w:eastAsia="宋体" w:cs="宋体"/>
          <w:spacing w:val="10"/>
          <w:sz w:val="20"/>
          <w:szCs w:val="20"/>
        </w:rPr>
        <w:t>包含的工作拆分再列清单，比如挖基坑土方清单工作内容中已经包含</w:t>
      </w:r>
      <w:r>
        <w:rPr>
          <w:rFonts w:ascii="宋体" w:hAnsi="宋体" w:eastAsia="宋体" w:cs="宋体"/>
          <w:spacing w:val="9"/>
          <w:sz w:val="20"/>
          <w:szCs w:val="20"/>
        </w:rPr>
        <w:t>基底钎探，不应再单列基底钎探清单。</w:t>
      </w:r>
    </w:p>
    <w:p>
      <w:pPr>
        <w:pStyle w:val="2"/>
        <w:spacing w:line="209" w:lineRule="auto"/>
        <w:ind w:left="429"/>
        <w:rPr>
          <w:sz w:val="20"/>
          <w:szCs w:val="20"/>
        </w:rPr>
      </w:pPr>
      <w:r>
        <w:rPr>
          <w:spacing w:val="8"/>
          <w:sz w:val="20"/>
          <w:szCs w:val="20"/>
        </w:rPr>
        <w:t>二、土石方工程</w:t>
      </w:r>
    </w:p>
    <w:p>
      <w:pPr>
        <w:spacing w:before="107" w:line="297" w:lineRule="auto"/>
        <w:ind w:left="1" w:right="115" w:firstLine="438"/>
        <w:rPr>
          <w:rFonts w:ascii="宋体" w:hAnsi="宋体" w:eastAsia="宋体" w:cs="宋体"/>
          <w:sz w:val="20"/>
          <w:szCs w:val="20"/>
        </w:rPr>
      </w:pPr>
      <w:r>
        <w:rPr>
          <w:rFonts w:ascii="宋体" w:hAnsi="宋体" w:eastAsia="宋体" w:cs="宋体"/>
          <w:spacing w:val="8"/>
          <w:sz w:val="20"/>
          <w:szCs w:val="20"/>
        </w:rPr>
        <w:t>1. 土石方的开挖、回填，均按开挖前的天然密实状态计算</w:t>
      </w:r>
      <w:r>
        <w:rPr>
          <w:rFonts w:ascii="宋体" w:hAnsi="宋体" w:eastAsia="宋体" w:cs="宋体"/>
          <w:spacing w:val="7"/>
          <w:sz w:val="20"/>
          <w:szCs w:val="20"/>
        </w:rPr>
        <w:t>，不考虑不同密实状态的土、石体积</w:t>
      </w:r>
      <w:r>
        <w:rPr>
          <w:rFonts w:ascii="宋体" w:hAnsi="宋体" w:eastAsia="宋体" w:cs="宋体"/>
          <w:spacing w:val="4"/>
          <w:sz w:val="20"/>
          <w:szCs w:val="20"/>
        </w:rPr>
        <w:t>折算。</w:t>
      </w:r>
    </w:p>
    <w:p>
      <w:pPr>
        <w:spacing w:before="157" w:line="312" w:lineRule="auto"/>
        <w:ind w:left="2" w:right="118" w:firstLine="420"/>
        <w:rPr>
          <w:rFonts w:ascii="宋体" w:hAnsi="宋体" w:eastAsia="宋体" w:cs="宋体"/>
          <w:sz w:val="20"/>
          <w:szCs w:val="20"/>
        </w:rPr>
      </w:pPr>
      <w:r>
        <w:rPr>
          <w:rFonts w:ascii="宋体" w:hAnsi="宋体" w:eastAsia="宋体" w:cs="宋体"/>
          <w:spacing w:val="8"/>
          <w:sz w:val="20"/>
          <w:szCs w:val="20"/>
        </w:rPr>
        <w:t>2. 挖基础土石方的工作面的宽度应按设计要求进行计算，无设计要求时按照《房屋建筑与装饰</w:t>
      </w:r>
      <w:r>
        <w:rPr>
          <w:rFonts w:ascii="宋体" w:hAnsi="宋体" w:eastAsia="宋体" w:cs="宋体"/>
          <w:spacing w:val="9"/>
          <w:sz w:val="20"/>
          <w:szCs w:val="20"/>
        </w:rPr>
        <w:t>工程工程量计算标准》附录</w:t>
      </w:r>
      <w:r>
        <w:rPr>
          <w:rFonts w:ascii="宋体" w:hAnsi="宋体" w:eastAsia="宋体" w:cs="宋体"/>
          <w:spacing w:val="-40"/>
          <w:sz w:val="20"/>
          <w:szCs w:val="20"/>
        </w:rPr>
        <w:t xml:space="preserve"> </w:t>
      </w:r>
      <w:r>
        <w:rPr>
          <w:rFonts w:ascii="宋体" w:hAnsi="宋体" w:eastAsia="宋体" w:cs="宋体"/>
          <w:spacing w:val="9"/>
          <w:sz w:val="20"/>
          <w:szCs w:val="20"/>
        </w:rPr>
        <w:t>A</w:t>
      </w:r>
      <w:r>
        <w:rPr>
          <w:rFonts w:ascii="宋体" w:hAnsi="宋体" w:eastAsia="宋体" w:cs="宋体"/>
          <w:spacing w:val="-22"/>
          <w:sz w:val="20"/>
          <w:szCs w:val="20"/>
        </w:rPr>
        <w:t xml:space="preserve"> </w:t>
      </w:r>
      <w:r>
        <w:rPr>
          <w:rFonts w:ascii="宋体" w:hAnsi="宋体" w:eastAsia="宋体" w:cs="宋体"/>
          <w:spacing w:val="9"/>
          <w:sz w:val="20"/>
          <w:szCs w:val="20"/>
        </w:rPr>
        <w:t>中的附表进行计算。</w:t>
      </w:r>
    </w:p>
    <w:p>
      <w:pPr>
        <w:spacing w:before="128" w:line="365" w:lineRule="auto"/>
        <w:ind w:right="116" w:firstLine="439"/>
        <w:jc w:val="both"/>
        <w:rPr>
          <w:rFonts w:ascii="宋体" w:hAnsi="宋体" w:eastAsia="宋体" w:cs="宋体"/>
          <w:sz w:val="20"/>
          <w:szCs w:val="20"/>
        </w:rPr>
      </w:pPr>
      <w:r>
        <w:rPr>
          <w:rFonts w:ascii="宋体" w:hAnsi="宋体" w:eastAsia="宋体" w:cs="宋体"/>
          <w:spacing w:val="10"/>
          <w:sz w:val="20"/>
          <w:szCs w:val="20"/>
        </w:rPr>
        <w:t>因土方放坡会与工程的坐落位置、土质情况、开挖方式、边坡支护等各种实际情况有关，其方</w:t>
      </w:r>
      <w:r>
        <w:rPr>
          <w:rFonts w:ascii="宋体" w:hAnsi="宋体" w:eastAsia="宋体" w:cs="宋体"/>
          <w:spacing w:val="11"/>
          <w:sz w:val="20"/>
          <w:szCs w:val="20"/>
        </w:rPr>
        <w:t>式方法并不唯一，所以挖基础土石方的工程量中不计算放坡工程量，土石方工</w:t>
      </w:r>
      <w:r>
        <w:rPr>
          <w:rFonts w:ascii="宋体" w:hAnsi="宋体" w:eastAsia="宋体" w:cs="宋体"/>
          <w:spacing w:val="10"/>
          <w:sz w:val="20"/>
          <w:szCs w:val="20"/>
        </w:rPr>
        <w:t>程，将可能发生的放坡、挡土板围护增加在相应工作内容中，其中“（若有）</w:t>
      </w:r>
      <w:r>
        <w:rPr>
          <w:rFonts w:ascii="宋体" w:hAnsi="宋体" w:eastAsia="宋体" w:cs="宋体"/>
          <w:spacing w:val="-63"/>
          <w:sz w:val="20"/>
          <w:szCs w:val="20"/>
        </w:rPr>
        <w:t xml:space="preserve"> </w:t>
      </w:r>
      <w:r>
        <w:rPr>
          <w:rFonts w:ascii="宋体" w:hAnsi="宋体" w:eastAsia="宋体" w:cs="宋体"/>
          <w:spacing w:val="10"/>
          <w:sz w:val="20"/>
          <w:szCs w:val="20"/>
        </w:rPr>
        <w:t>”表示如有发生时已包含在相应工作内容</w:t>
      </w:r>
      <w:r>
        <w:rPr>
          <w:rFonts w:ascii="宋体" w:hAnsi="宋体" w:eastAsia="宋体" w:cs="宋体"/>
          <w:spacing w:val="9"/>
          <w:sz w:val="20"/>
          <w:szCs w:val="20"/>
        </w:rPr>
        <w:t>中，不再单独计算，需由投标人在投标报价中综合考虑。</w:t>
      </w:r>
    </w:p>
    <w:p>
      <w:pPr>
        <w:spacing w:before="14" w:line="321" w:lineRule="auto"/>
        <w:ind w:right="118" w:firstLine="426"/>
        <w:rPr>
          <w:rFonts w:ascii="宋体" w:hAnsi="宋体" w:eastAsia="宋体" w:cs="宋体"/>
          <w:sz w:val="20"/>
          <w:szCs w:val="20"/>
        </w:rPr>
      </w:pPr>
      <w:r>
        <w:rPr>
          <w:rFonts w:ascii="宋体" w:hAnsi="宋体" w:eastAsia="宋体" w:cs="宋体"/>
          <w:spacing w:val="8"/>
          <w:sz w:val="20"/>
          <w:szCs w:val="20"/>
        </w:rPr>
        <w:t>3. 基础回填工程量按设计图示基础（含垫层）底面积另加工作面面积乘以回填深度</w:t>
      </w:r>
      <w:r>
        <w:rPr>
          <w:rFonts w:ascii="宋体" w:hAnsi="宋体" w:eastAsia="宋体" w:cs="宋体"/>
          <w:spacing w:val="7"/>
          <w:sz w:val="20"/>
          <w:szCs w:val="20"/>
        </w:rPr>
        <w:t>，减去回填</w:t>
      </w:r>
      <w:r>
        <w:rPr>
          <w:rFonts w:ascii="宋体" w:hAnsi="宋体" w:eastAsia="宋体" w:cs="宋体"/>
          <w:spacing w:val="11"/>
          <w:sz w:val="20"/>
          <w:szCs w:val="20"/>
        </w:rPr>
        <w:t>范围内建筑物（构筑物）、基础（含垫层）、管道，以体积计算。管沟的回填按照</w:t>
      </w:r>
      <w:r>
        <w:rPr>
          <w:rFonts w:ascii="宋体" w:hAnsi="宋体" w:eastAsia="宋体" w:cs="宋体"/>
          <w:spacing w:val="10"/>
          <w:sz w:val="20"/>
          <w:szCs w:val="20"/>
        </w:rPr>
        <w:t>“基础回填”的</w:t>
      </w:r>
      <w:r>
        <w:rPr>
          <w:rFonts w:ascii="宋体" w:hAnsi="宋体" w:eastAsia="宋体" w:cs="宋体"/>
          <w:spacing w:val="8"/>
          <w:sz w:val="20"/>
          <w:szCs w:val="20"/>
        </w:rPr>
        <w:t>计算规则进行计算。</w:t>
      </w:r>
    </w:p>
    <w:p>
      <w:pPr>
        <w:spacing w:before="158" w:line="297" w:lineRule="auto"/>
        <w:ind w:left="3" w:right="118" w:firstLine="416"/>
        <w:rPr>
          <w:rFonts w:ascii="宋体" w:hAnsi="宋体" w:eastAsia="宋体" w:cs="宋体"/>
          <w:sz w:val="20"/>
          <w:szCs w:val="20"/>
        </w:rPr>
      </w:pPr>
      <w:r>
        <w:rPr>
          <w:rFonts w:ascii="宋体" w:hAnsi="宋体" w:eastAsia="宋体" w:cs="宋体"/>
          <w:spacing w:val="8"/>
          <w:sz w:val="20"/>
          <w:szCs w:val="20"/>
        </w:rPr>
        <w:t>4. 平整场地按设计图示尺寸以建筑物首层建筑面积计算。建筑物地下室结构外边线突出首层结</w:t>
      </w:r>
      <w:r>
        <w:rPr>
          <w:rFonts w:ascii="宋体" w:hAnsi="宋体" w:eastAsia="宋体" w:cs="宋体"/>
          <w:spacing w:val="9"/>
          <w:sz w:val="20"/>
          <w:szCs w:val="20"/>
        </w:rPr>
        <w:t>构外边线时，其突出部分的建筑面积合并计算。</w:t>
      </w:r>
    </w:p>
    <w:p>
      <w:pPr>
        <w:spacing w:line="297" w:lineRule="auto"/>
        <w:rPr>
          <w:rFonts w:ascii="宋体" w:hAnsi="宋体" w:eastAsia="宋体" w:cs="宋体"/>
          <w:sz w:val="20"/>
          <w:szCs w:val="20"/>
        </w:rPr>
        <w:sectPr>
          <w:footerReference r:id="rId84" w:type="default"/>
          <w:pgSz w:w="11905" w:h="16840"/>
          <w:pgMar w:top="400" w:right="1300"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8" w:lineRule="exact"/>
        <w:ind w:left="423"/>
        <w:rPr>
          <w:rFonts w:ascii="宋体" w:hAnsi="宋体" w:eastAsia="宋体" w:cs="宋体"/>
          <w:sz w:val="20"/>
          <w:szCs w:val="20"/>
        </w:rPr>
      </w:pPr>
      <w:bookmarkStart w:id="47" w:name="bookmark147"/>
      <w:bookmarkEnd w:id="47"/>
      <w:r>
        <w:rPr>
          <w:rFonts w:ascii="宋体" w:hAnsi="宋体" w:eastAsia="宋体" w:cs="宋体"/>
          <w:b/>
          <w:bCs/>
          <w:spacing w:val="5"/>
          <w:position w:val="1"/>
          <w:sz w:val="20"/>
          <w:szCs w:val="20"/>
        </w:rPr>
        <w:t>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单独土石方、平整场地和基础土石方的划分</w:t>
      </w:r>
    </w:p>
    <w:p>
      <w:pPr>
        <w:spacing w:before="121" w:line="369" w:lineRule="auto"/>
        <w:ind w:left="3" w:right="176" w:firstLine="416"/>
        <w:rPr>
          <w:rFonts w:ascii="宋体" w:hAnsi="宋体" w:eastAsia="宋体" w:cs="宋体"/>
          <w:sz w:val="20"/>
          <w:szCs w:val="20"/>
        </w:rPr>
      </w:pPr>
      <w:r>
        <w:rPr>
          <w:rFonts w:ascii="宋体" w:hAnsi="宋体" w:eastAsia="宋体" w:cs="宋体"/>
          <w:b/>
          <w:bCs/>
          <w:spacing w:val="9"/>
          <w:sz w:val="20"/>
          <w:szCs w:val="20"/>
        </w:rPr>
        <w:t>单独土石方项目</w:t>
      </w:r>
      <w:r>
        <w:rPr>
          <w:rFonts w:ascii="宋体" w:hAnsi="宋体" w:eastAsia="宋体" w:cs="宋体"/>
          <w:spacing w:val="-47"/>
          <w:sz w:val="20"/>
          <w:szCs w:val="20"/>
        </w:rPr>
        <w:t xml:space="preserve"> </w:t>
      </w:r>
      <w:r>
        <w:rPr>
          <w:rFonts w:ascii="宋体" w:hAnsi="宋体" w:eastAsia="宋体" w:cs="宋体"/>
          <w:b/>
          <w:bCs/>
          <w:spacing w:val="9"/>
          <w:sz w:val="20"/>
          <w:szCs w:val="20"/>
        </w:rPr>
        <w:t>，</w:t>
      </w:r>
      <w:r>
        <w:rPr>
          <w:rFonts w:ascii="宋体" w:hAnsi="宋体" w:eastAsia="宋体" w:cs="宋体"/>
          <w:spacing w:val="9"/>
          <w:sz w:val="20"/>
          <w:szCs w:val="20"/>
        </w:rPr>
        <w:t>是指为使施工场地达到预设标高（设计室外标高/设计室外地面做法底标高/委托人指定标高）所进行的土石方工程。（对某一个工程项目来说有可能不发生）。</w:t>
      </w:r>
    </w:p>
    <w:p>
      <w:pPr>
        <w:spacing w:before="1" w:line="352" w:lineRule="auto"/>
        <w:ind w:right="179" w:firstLine="420"/>
        <w:rPr>
          <w:rFonts w:ascii="宋体" w:hAnsi="宋体" w:eastAsia="宋体" w:cs="宋体"/>
          <w:sz w:val="20"/>
          <w:szCs w:val="20"/>
        </w:rPr>
      </w:pPr>
      <w:r>
        <w:rPr>
          <w:rFonts w:ascii="宋体" w:hAnsi="宋体" w:eastAsia="宋体" w:cs="宋体"/>
          <w:b/>
          <w:bCs/>
          <w:spacing w:val="12"/>
          <w:sz w:val="20"/>
          <w:szCs w:val="20"/>
        </w:rPr>
        <w:t>平整场地，</w:t>
      </w:r>
      <w:r>
        <w:rPr>
          <w:rFonts w:ascii="宋体" w:hAnsi="宋体" w:eastAsia="宋体" w:cs="宋体"/>
          <w:spacing w:val="12"/>
          <w:sz w:val="20"/>
          <w:szCs w:val="20"/>
        </w:rPr>
        <w:t>是指基础土石方施工前，对建筑物所在场</w:t>
      </w:r>
      <w:r>
        <w:rPr>
          <w:rFonts w:ascii="宋体" w:hAnsi="宋体" w:eastAsia="宋体" w:cs="宋体"/>
          <w:spacing w:val="11"/>
          <w:sz w:val="20"/>
          <w:szCs w:val="20"/>
        </w:rPr>
        <w:t>地标高±300</w:t>
      </w:r>
      <w:r>
        <w:rPr>
          <w:rFonts w:ascii="宋体" w:hAnsi="宋体" w:eastAsia="宋体" w:cs="宋体"/>
          <w:sz w:val="20"/>
          <w:szCs w:val="20"/>
        </w:rPr>
        <w:t>mm</w:t>
      </w:r>
      <w:r>
        <w:rPr>
          <w:rFonts w:ascii="宋体" w:hAnsi="宋体" w:eastAsia="宋体" w:cs="宋体"/>
          <w:spacing w:val="-40"/>
          <w:sz w:val="20"/>
          <w:szCs w:val="20"/>
        </w:rPr>
        <w:t xml:space="preserve"> </w:t>
      </w:r>
      <w:r>
        <w:rPr>
          <w:rFonts w:ascii="宋体" w:hAnsi="宋体" w:eastAsia="宋体" w:cs="宋体"/>
          <w:spacing w:val="11"/>
          <w:sz w:val="20"/>
          <w:szCs w:val="20"/>
        </w:rPr>
        <w:t>之间的就地挖、填、运及</w:t>
      </w:r>
      <w:r>
        <w:rPr>
          <w:rFonts w:ascii="宋体" w:hAnsi="宋体" w:eastAsia="宋体" w:cs="宋体"/>
          <w:spacing w:val="8"/>
          <w:sz w:val="20"/>
          <w:szCs w:val="20"/>
        </w:rPr>
        <w:t>平整。</w:t>
      </w:r>
      <w:r>
        <w:rPr>
          <w:rFonts w:ascii="宋体" w:hAnsi="宋体" w:eastAsia="宋体" w:cs="宋体"/>
          <w:b/>
          <w:bCs/>
          <w:spacing w:val="8"/>
          <w:sz w:val="20"/>
          <w:szCs w:val="20"/>
        </w:rPr>
        <w:t>如单独土石方和基础土石方由同一单位连续施工时，不再单列平整场地清单项。</w:t>
      </w:r>
    </w:p>
    <w:p>
      <w:pPr>
        <w:spacing w:before="42" w:line="374" w:lineRule="auto"/>
        <w:ind w:right="179" w:firstLine="420"/>
        <w:rPr>
          <w:rFonts w:ascii="宋体" w:hAnsi="宋体" w:eastAsia="宋体" w:cs="宋体"/>
          <w:sz w:val="20"/>
          <w:szCs w:val="20"/>
        </w:rPr>
      </w:pPr>
      <w:r>
        <w:rPr>
          <w:rFonts w:ascii="宋体" w:hAnsi="宋体" w:eastAsia="宋体" w:cs="宋体"/>
          <w:b/>
          <w:bCs/>
          <w:spacing w:val="10"/>
          <w:sz w:val="20"/>
          <w:szCs w:val="20"/>
        </w:rPr>
        <w:t>基础土石方项目，</w:t>
      </w:r>
      <w:r>
        <w:rPr>
          <w:rFonts w:ascii="宋体" w:hAnsi="宋体" w:eastAsia="宋体" w:cs="宋体"/>
          <w:spacing w:val="10"/>
          <w:sz w:val="20"/>
          <w:szCs w:val="20"/>
        </w:rPr>
        <w:t>是指预设标高以下为实施基础施工所进行的土石方工程。基础土石方只分为</w:t>
      </w:r>
      <w:r>
        <w:rPr>
          <w:rFonts w:ascii="宋体" w:hAnsi="宋体" w:eastAsia="宋体" w:cs="宋体"/>
          <w:spacing w:val="9"/>
          <w:sz w:val="20"/>
          <w:szCs w:val="20"/>
        </w:rPr>
        <w:t>沟槽和基坑两种形式（底宽≤3m</w:t>
      </w:r>
      <w:r>
        <w:rPr>
          <w:rFonts w:ascii="宋体" w:hAnsi="宋体" w:eastAsia="宋体" w:cs="宋体"/>
          <w:spacing w:val="-27"/>
          <w:sz w:val="20"/>
          <w:szCs w:val="20"/>
        </w:rPr>
        <w:t xml:space="preserve"> </w:t>
      </w:r>
      <w:r>
        <w:rPr>
          <w:rFonts w:ascii="宋体" w:hAnsi="宋体" w:eastAsia="宋体" w:cs="宋体"/>
          <w:spacing w:val="9"/>
          <w:sz w:val="20"/>
          <w:szCs w:val="20"/>
        </w:rPr>
        <w:t>且底长＞</w:t>
      </w:r>
      <w:r>
        <w:rPr>
          <w:rFonts w:ascii="宋体" w:hAnsi="宋体" w:eastAsia="宋体" w:cs="宋体"/>
          <w:spacing w:val="-57"/>
          <w:sz w:val="20"/>
          <w:szCs w:val="20"/>
        </w:rPr>
        <w:t xml:space="preserve"> </w:t>
      </w:r>
      <w:r>
        <w:rPr>
          <w:rFonts w:ascii="宋体" w:hAnsi="宋体" w:eastAsia="宋体" w:cs="宋体"/>
          <w:spacing w:val="9"/>
          <w:sz w:val="20"/>
          <w:szCs w:val="20"/>
        </w:rPr>
        <w:t>3</w:t>
      </w:r>
      <w:r>
        <w:rPr>
          <w:rFonts w:ascii="宋体" w:hAnsi="宋体" w:eastAsia="宋体" w:cs="宋体"/>
          <w:spacing w:val="-47"/>
          <w:sz w:val="20"/>
          <w:szCs w:val="20"/>
        </w:rPr>
        <w:t xml:space="preserve"> </w:t>
      </w:r>
      <w:r>
        <w:rPr>
          <w:rFonts w:ascii="宋体" w:hAnsi="宋体" w:eastAsia="宋体" w:cs="宋体"/>
          <w:spacing w:val="9"/>
          <w:sz w:val="20"/>
          <w:szCs w:val="20"/>
        </w:rPr>
        <w:t>倍底宽的为沟槽，超出上述范围的为基坑，其中底宽、</w:t>
      </w:r>
      <w:r>
        <w:rPr>
          <w:rFonts w:ascii="宋体" w:hAnsi="宋体" w:eastAsia="宋体" w:cs="宋体"/>
          <w:spacing w:val="8"/>
          <w:sz w:val="20"/>
          <w:szCs w:val="20"/>
        </w:rPr>
        <w:t>底长均不包含工作面尺寸）。</w:t>
      </w:r>
    </w:p>
    <w:p>
      <w:pPr>
        <w:spacing w:before="106" w:line="1404" w:lineRule="exact"/>
        <w:ind w:firstLine="83"/>
      </w:pPr>
      <w:r>
        <w:rPr>
          <w:position w:val="-28"/>
        </w:rPr>
        <w:drawing>
          <wp:inline distT="0" distB="0" distL="0" distR="0">
            <wp:extent cx="5267960" cy="89154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374"/>
                    <a:stretch>
                      <a:fillRect/>
                    </a:stretch>
                  </pic:blipFill>
                  <pic:spPr>
                    <a:xfrm>
                      <a:off x="0" y="0"/>
                      <a:ext cx="5268467" cy="891540"/>
                    </a:xfrm>
                    <a:prstGeom prst="rect">
                      <a:avLst/>
                    </a:prstGeom>
                  </pic:spPr>
                </pic:pic>
              </a:graphicData>
            </a:graphic>
          </wp:inline>
        </w:drawing>
      </w:r>
    </w:p>
    <w:p>
      <w:pPr>
        <w:spacing w:line="401" w:lineRule="auto"/>
        <w:rPr>
          <w:rFonts w:ascii="Arial"/>
          <w:sz w:val="21"/>
        </w:rPr>
      </w:pPr>
    </w:p>
    <w:p>
      <w:pPr>
        <w:spacing w:before="66" w:line="368" w:lineRule="auto"/>
        <w:ind w:left="1" w:right="177" w:firstLine="422"/>
        <w:jc w:val="both"/>
        <w:rPr>
          <w:rFonts w:ascii="宋体" w:hAnsi="宋体" w:eastAsia="宋体" w:cs="宋体"/>
          <w:sz w:val="20"/>
          <w:szCs w:val="20"/>
        </w:rPr>
      </w:pPr>
      <w:r>
        <w:rPr>
          <w:rFonts w:ascii="宋体" w:hAnsi="宋体" w:eastAsia="宋体" w:cs="宋体"/>
          <w:b/>
          <w:bCs/>
          <w:spacing w:val="8"/>
          <w:sz w:val="20"/>
          <w:szCs w:val="20"/>
        </w:rPr>
        <w:t>6.</w:t>
      </w:r>
      <w:r>
        <w:rPr>
          <w:rFonts w:ascii="宋体" w:hAnsi="宋体" w:eastAsia="宋体" w:cs="宋体"/>
          <w:spacing w:val="8"/>
          <w:sz w:val="20"/>
          <w:szCs w:val="20"/>
        </w:rPr>
        <w:t xml:space="preserve"> </w:t>
      </w:r>
      <w:r>
        <w:rPr>
          <w:rFonts w:ascii="宋体" w:hAnsi="宋体" w:eastAsia="宋体" w:cs="宋体"/>
          <w:b/>
          <w:bCs/>
          <w:spacing w:val="8"/>
          <w:sz w:val="20"/>
          <w:szCs w:val="20"/>
        </w:rPr>
        <w:t>余方弃置</w:t>
      </w:r>
      <w:r>
        <w:rPr>
          <w:rFonts w:ascii="宋体" w:hAnsi="宋体" w:eastAsia="宋体" w:cs="宋体"/>
          <w:spacing w:val="8"/>
          <w:sz w:val="20"/>
          <w:szCs w:val="20"/>
        </w:rPr>
        <w:t>包括施工现场至指定弃置点的土石方装卸、运输</w:t>
      </w:r>
      <w:r>
        <w:rPr>
          <w:rFonts w:ascii="宋体" w:hAnsi="宋体" w:eastAsia="宋体" w:cs="宋体"/>
          <w:spacing w:val="7"/>
          <w:sz w:val="20"/>
          <w:szCs w:val="20"/>
        </w:rPr>
        <w:t>，且应满足国家及当地建设行政主</w:t>
      </w:r>
      <w:r>
        <w:rPr>
          <w:rFonts w:ascii="宋体" w:hAnsi="宋体" w:eastAsia="宋体" w:cs="宋体"/>
          <w:spacing w:val="11"/>
          <w:sz w:val="20"/>
          <w:szCs w:val="20"/>
        </w:rPr>
        <w:t>管部门关于建筑垃圾消纳和处置的要求。其工程量计算规则为：按挖方清单项目工</w:t>
      </w:r>
      <w:r>
        <w:rPr>
          <w:rFonts w:ascii="宋体" w:hAnsi="宋体" w:eastAsia="宋体" w:cs="宋体"/>
          <w:spacing w:val="10"/>
          <w:sz w:val="20"/>
          <w:szCs w:val="20"/>
        </w:rPr>
        <w:t>程量减回填清单</w:t>
      </w:r>
      <w:r>
        <w:rPr>
          <w:rFonts w:ascii="宋体" w:hAnsi="宋体" w:eastAsia="宋体" w:cs="宋体"/>
          <w:spacing w:val="9"/>
          <w:sz w:val="20"/>
          <w:szCs w:val="20"/>
        </w:rPr>
        <w:t>项目工程量（可利用</w:t>
      </w:r>
      <w:r>
        <w:rPr>
          <w:rFonts w:ascii="宋体" w:hAnsi="宋体" w:eastAsia="宋体" w:cs="宋体"/>
          <w:spacing w:val="-3"/>
          <w:sz w:val="20"/>
          <w:szCs w:val="20"/>
        </w:rPr>
        <w:t>）</w:t>
      </w:r>
      <w:r>
        <w:rPr>
          <w:rFonts w:ascii="宋体" w:hAnsi="宋体" w:eastAsia="宋体" w:cs="宋体"/>
          <w:spacing w:val="-53"/>
          <w:sz w:val="20"/>
          <w:szCs w:val="20"/>
        </w:rPr>
        <w:t xml:space="preserve"> </w:t>
      </w:r>
      <w:r>
        <w:rPr>
          <w:rFonts w:ascii="宋体" w:hAnsi="宋体" w:eastAsia="宋体" w:cs="宋体"/>
          <w:spacing w:val="-3"/>
          <w:sz w:val="20"/>
          <w:szCs w:val="20"/>
        </w:rPr>
        <w:t>，</w:t>
      </w:r>
      <w:r>
        <w:rPr>
          <w:rFonts w:ascii="宋体" w:hAnsi="宋体" w:eastAsia="宋体" w:cs="宋体"/>
          <w:spacing w:val="9"/>
          <w:sz w:val="20"/>
          <w:szCs w:val="20"/>
        </w:rPr>
        <w:t>以体积计算。在具体应用时</w:t>
      </w:r>
      <w:r>
        <w:rPr>
          <w:rFonts w:ascii="宋体" w:hAnsi="宋体" w:eastAsia="宋体" w:cs="宋体"/>
          <w:spacing w:val="8"/>
          <w:sz w:val="20"/>
          <w:szCs w:val="20"/>
        </w:rPr>
        <w:t>应注意以下两点：</w:t>
      </w:r>
    </w:p>
    <w:p>
      <w:pPr>
        <w:spacing w:before="3" w:line="297" w:lineRule="auto"/>
        <w:ind w:left="18" w:right="179" w:firstLine="394"/>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1）理想状态下余方弃置的工程量为两个工程量数量相减，且不考虑体积折算的理论数值，可以理解为是几何尺寸的体积。</w:t>
      </w:r>
    </w:p>
    <w:p>
      <w:pPr>
        <w:spacing w:before="158" w:line="321" w:lineRule="auto"/>
        <w:ind w:right="179" w:firstLine="413"/>
        <w:rPr>
          <w:rFonts w:ascii="宋体" w:hAnsi="宋体" w:eastAsia="宋体" w:cs="宋体"/>
          <w:sz w:val="20"/>
          <w:szCs w:val="20"/>
        </w:rPr>
      </w:pPr>
      <w:r>
        <w:rPr>
          <w:rFonts w:ascii="宋体" w:hAnsi="宋体" w:eastAsia="宋体" w:cs="宋体"/>
          <w:spacing w:val="8"/>
          <w:sz w:val="20"/>
          <w:szCs w:val="20"/>
        </w:rPr>
        <w:t>（2）现实情况比较复杂，就产生了“可利用</w:t>
      </w:r>
      <w:r>
        <w:rPr>
          <w:rFonts w:ascii="宋体" w:hAnsi="宋体" w:eastAsia="宋体" w:cs="宋体"/>
          <w:spacing w:val="-70"/>
          <w:sz w:val="20"/>
          <w:szCs w:val="20"/>
        </w:rPr>
        <w:t xml:space="preserve"> </w:t>
      </w:r>
      <w:r>
        <w:rPr>
          <w:rFonts w:ascii="宋体" w:hAnsi="宋体" w:eastAsia="宋体" w:cs="宋体"/>
          <w:spacing w:val="8"/>
          <w:sz w:val="20"/>
          <w:szCs w:val="20"/>
        </w:rPr>
        <w:t>”的说法。一是要根</w:t>
      </w:r>
      <w:r>
        <w:rPr>
          <w:rFonts w:ascii="宋体" w:hAnsi="宋体" w:eastAsia="宋体" w:cs="宋体"/>
          <w:spacing w:val="7"/>
          <w:sz w:val="20"/>
          <w:szCs w:val="20"/>
        </w:rPr>
        <w:t>据地勘情况合理预判挖出的土</w:t>
      </w:r>
      <w:r>
        <w:rPr>
          <w:rFonts w:ascii="宋体" w:hAnsi="宋体" w:eastAsia="宋体" w:cs="宋体"/>
          <w:spacing w:val="11"/>
          <w:sz w:val="20"/>
          <w:szCs w:val="20"/>
        </w:rPr>
        <w:t>石是否可以利用及可利用比例，二是要根据施工场地现状及工程所在地的城市管</w:t>
      </w:r>
      <w:r>
        <w:rPr>
          <w:rFonts w:ascii="宋体" w:hAnsi="宋体" w:eastAsia="宋体" w:cs="宋体"/>
          <w:spacing w:val="10"/>
          <w:sz w:val="20"/>
          <w:szCs w:val="20"/>
        </w:rPr>
        <w:t>理规定，提前确定</w:t>
      </w:r>
      <w:r>
        <w:rPr>
          <w:rFonts w:ascii="宋体" w:hAnsi="宋体" w:eastAsia="宋体" w:cs="宋体"/>
          <w:spacing w:val="9"/>
          <w:sz w:val="20"/>
          <w:szCs w:val="20"/>
        </w:rPr>
        <w:t>施工现场是否可堆放开挖土石及堆放容量。</w:t>
      </w:r>
    </w:p>
    <w:p>
      <w:pPr>
        <w:pStyle w:val="2"/>
        <w:spacing w:before="150" w:line="209" w:lineRule="auto"/>
        <w:ind w:left="432"/>
        <w:rPr>
          <w:sz w:val="20"/>
          <w:szCs w:val="20"/>
        </w:rPr>
      </w:pPr>
      <w:r>
        <w:rPr>
          <w:spacing w:val="8"/>
          <w:sz w:val="20"/>
          <w:szCs w:val="20"/>
        </w:rPr>
        <w:t>三、地基处理与边坡支护工程</w:t>
      </w:r>
    </w:p>
    <w:p>
      <w:pPr>
        <w:spacing w:before="107" w:line="298" w:lineRule="auto"/>
        <w:ind w:left="2" w:right="179" w:firstLine="437"/>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45"/>
          <w:sz w:val="20"/>
          <w:szCs w:val="20"/>
        </w:rPr>
        <w:t xml:space="preserve"> </w:t>
      </w:r>
      <w:r>
        <w:rPr>
          <w:rFonts w:ascii="宋体" w:hAnsi="宋体" w:eastAsia="宋体" w:cs="宋体"/>
          <w:spacing w:val="7"/>
          <w:sz w:val="20"/>
          <w:szCs w:val="20"/>
        </w:rPr>
        <w:t>国家计算标准附录</w:t>
      </w:r>
      <w:r>
        <w:rPr>
          <w:rFonts w:ascii="宋体" w:hAnsi="宋体" w:eastAsia="宋体" w:cs="宋体"/>
          <w:spacing w:val="-54"/>
          <w:sz w:val="20"/>
          <w:szCs w:val="20"/>
        </w:rPr>
        <w:t xml:space="preserve"> </w:t>
      </w:r>
      <w:r>
        <w:rPr>
          <w:rFonts w:ascii="宋体" w:hAnsi="宋体" w:eastAsia="宋体" w:cs="宋体"/>
          <w:spacing w:val="7"/>
          <w:sz w:val="20"/>
          <w:szCs w:val="20"/>
        </w:rPr>
        <w:t>B</w:t>
      </w:r>
      <w:r>
        <w:rPr>
          <w:rFonts w:ascii="宋体" w:hAnsi="宋体" w:eastAsia="宋体" w:cs="宋体"/>
          <w:spacing w:val="-60"/>
          <w:sz w:val="20"/>
          <w:szCs w:val="20"/>
        </w:rPr>
        <w:t xml:space="preserve"> </w:t>
      </w:r>
      <w:r>
        <w:rPr>
          <w:rFonts w:ascii="宋体" w:hAnsi="宋体" w:eastAsia="宋体" w:cs="宋体"/>
          <w:spacing w:val="7"/>
          <w:sz w:val="20"/>
          <w:szCs w:val="20"/>
        </w:rPr>
        <w:t>各清单项目工作内容均包括无法自行移动的大型施工机械的场内就位及</w:t>
      </w:r>
      <w:r>
        <w:rPr>
          <w:rFonts w:ascii="宋体" w:hAnsi="宋体" w:eastAsia="宋体" w:cs="宋体"/>
          <w:spacing w:val="9"/>
          <w:sz w:val="20"/>
          <w:szCs w:val="20"/>
        </w:rPr>
        <w:t>移位，也包括各清单项目全面实施前的试夯、试打等现场试验工序。</w:t>
      </w:r>
    </w:p>
    <w:p>
      <w:pPr>
        <w:spacing w:before="153" w:line="277" w:lineRule="exact"/>
        <w:jc w:val="right"/>
        <w:rPr>
          <w:rFonts w:ascii="宋体" w:hAnsi="宋体" w:eastAsia="宋体" w:cs="宋体"/>
          <w:sz w:val="20"/>
          <w:szCs w:val="20"/>
        </w:rPr>
      </w:pPr>
      <w:r>
        <w:rPr>
          <w:rFonts w:ascii="宋体" w:hAnsi="宋体" w:eastAsia="宋体" w:cs="宋体"/>
          <w:spacing w:val="7"/>
          <w:position w:val="1"/>
          <w:sz w:val="20"/>
          <w:szCs w:val="20"/>
        </w:rPr>
        <w:t>2. 除另有说明外，本附录基坑与边坡支护各清单项目中均包括施工过程中所必须的土石方挖填。</w:t>
      </w:r>
    </w:p>
    <w:p>
      <w:pPr>
        <w:spacing w:before="124" w:line="331" w:lineRule="auto"/>
        <w:ind w:left="2" w:right="79" w:firstLine="424"/>
        <w:rPr>
          <w:rFonts w:ascii="宋体" w:hAnsi="宋体" w:eastAsia="宋体" w:cs="宋体"/>
          <w:sz w:val="20"/>
          <w:szCs w:val="20"/>
        </w:rPr>
      </w:pPr>
      <w:r>
        <w:rPr>
          <w:rFonts w:ascii="宋体" w:hAnsi="宋体" w:eastAsia="宋体" w:cs="宋体"/>
          <w:spacing w:val="6"/>
          <w:sz w:val="20"/>
          <w:szCs w:val="20"/>
        </w:rPr>
        <w:t>3. 泥浆外运的“泥浆来源”应按泥浆所</w:t>
      </w:r>
      <w:r>
        <w:rPr>
          <w:rFonts w:ascii="宋体" w:hAnsi="宋体" w:eastAsia="宋体" w:cs="宋体"/>
          <w:spacing w:val="5"/>
          <w:sz w:val="20"/>
          <w:szCs w:val="20"/>
        </w:rPr>
        <w:t>产生的清单项目进行描述，包括将施工现场的泥浆处置、</w:t>
      </w:r>
      <w:r>
        <w:rPr>
          <w:rFonts w:ascii="宋体" w:hAnsi="宋体" w:eastAsia="宋体" w:cs="宋体"/>
          <w:spacing w:val="13"/>
          <w:sz w:val="20"/>
          <w:szCs w:val="20"/>
        </w:rPr>
        <w:t>运输到指定地点，应满足国家及当地行政主管部门关于建筑垃圾消纳和处置的要求。“泥浆外运”</w:t>
      </w:r>
      <w:r>
        <w:rPr>
          <w:rFonts w:ascii="宋体" w:hAnsi="宋体" w:eastAsia="宋体" w:cs="宋体"/>
          <w:spacing w:val="9"/>
          <w:sz w:val="20"/>
          <w:szCs w:val="20"/>
        </w:rPr>
        <w:t>的工程量计算规则：按成槽、成孔尺寸，以体积计算。</w:t>
      </w:r>
    </w:p>
    <w:p>
      <w:pPr>
        <w:spacing w:before="125" w:line="297" w:lineRule="auto"/>
        <w:ind w:left="6" w:right="179" w:firstLine="413"/>
        <w:rPr>
          <w:rFonts w:ascii="宋体" w:hAnsi="宋体" w:eastAsia="宋体" w:cs="宋体"/>
          <w:sz w:val="20"/>
          <w:szCs w:val="20"/>
        </w:rPr>
      </w:pPr>
      <w:r>
        <w:rPr>
          <w:rFonts w:ascii="宋体" w:hAnsi="宋体" w:eastAsia="宋体" w:cs="宋体"/>
          <w:spacing w:val="7"/>
          <w:sz w:val="20"/>
          <w:szCs w:val="20"/>
        </w:rPr>
        <w:t>4.</w:t>
      </w:r>
      <w:r>
        <w:rPr>
          <w:rFonts w:ascii="宋体" w:hAnsi="宋体" w:eastAsia="宋体" w:cs="宋体"/>
          <w:spacing w:val="33"/>
          <w:sz w:val="20"/>
          <w:szCs w:val="20"/>
        </w:rPr>
        <w:t xml:space="preserve"> </w:t>
      </w:r>
      <w:r>
        <w:rPr>
          <w:rFonts w:ascii="宋体" w:hAnsi="宋体" w:eastAsia="宋体" w:cs="宋体"/>
          <w:spacing w:val="7"/>
          <w:sz w:val="20"/>
          <w:szCs w:val="20"/>
        </w:rPr>
        <w:t>国家计算标准附录</w:t>
      </w:r>
      <w:r>
        <w:rPr>
          <w:rFonts w:ascii="宋体" w:hAnsi="宋体" w:eastAsia="宋体" w:cs="宋体"/>
          <w:spacing w:val="-37"/>
          <w:sz w:val="20"/>
          <w:szCs w:val="20"/>
        </w:rPr>
        <w:t xml:space="preserve"> </w:t>
      </w:r>
      <w:r>
        <w:rPr>
          <w:rFonts w:ascii="宋体" w:hAnsi="宋体" w:eastAsia="宋体" w:cs="宋体"/>
          <w:spacing w:val="7"/>
          <w:sz w:val="20"/>
          <w:szCs w:val="20"/>
        </w:rPr>
        <w:t>B</w:t>
      </w:r>
      <w:r>
        <w:rPr>
          <w:rFonts w:ascii="宋体" w:hAnsi="宋体" w:eastAsia="宋体" w:cs="宋体"/>
          <w:spacing w:val="-22"/>
          <w:sz w:val="20"/>
          <w:szCs w:val="20"/>
        </w:rPr>
        <w:t xml:space="preserve"> </w:t>
      </w:r>
      <w:r>
        <w:rPr>
          <w:rFonts w:ascii="宋体" w:hAnsi="宋体" w:eastAsia="宋体" w:cs="宋体"/>
          <w:spacing w:val="7"/>
          <w:sz w:val="20"/>
          <w:szCs w:val="20"/>
        </w:rPr>
        <w:t>中，同类桩的重复套</w:t>
      </w:r>
      <w:r>
        <w:rPr>
          <w:rFonts w:ascii="宋体" w:hAnsi="宋体" w:eastAsia="宋体" w:cs="宋体"/>
          <w:spacing w:val="6"/>
          <w:sz w:val="20"/>
          <w:szCs w:val="20"/>
        </w:rPr>
        <w:t>打、截面咬合均不增加相应工程量。水泥土搅拌桩</w:t>
      </w:r>
      <w:r>
        <w:rPr>
          <w:rFonts w:ascii="宋体" w:hAnsi="宋体" w:eastAsia="宋体" w:cs="宋体"/>
          <w:spacing w:val="9"/>
          <w:sz w:val="20"/>
          <w:szCs w:val="20"/>
        </w:rPr>
        <w:t>复合地基、地下连续墙、型钢水泥土搅拌墙等项目按照设计成墙或者成桩的体积进行计算。</w:t>
      </w:r>
    </w:p>
    <w:p>
      <w:pPr>
        <w:pStyle w:val="2"/>
        <w:spacing w:before="150" w:line="210" w:lineRule="auto"/>
        <w:ind w:left="441"/>
        <w:rPr>
          <w:sz w:val="20"/>
          <w:szCs w:val="20"/>
        </w:rPr>
      </w:pPr>
      <w:r>
        <w:rPr>
          <w:spacing w:val="5"/>
          <w:sz w:val="20"/>
          <w:szCs w:val="20"/>
        </w:rPr>
        <w:t>四、桩基工程</w:t>
      </w:r>
    </w:p>
    <w:p>
      <w:pPr>
        <w:spacing w:before="106" w:line="296" w:lineRule="auto"/>
        <w:ind w:right="179" w:firstLine="439"/>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32"/>
          <w:sz w:val="20"/>
          <w:szCs w:val="20"/>
        </w:rPr>
        <w:t xml:space="preserve"> </w:t>
      </w:r>
      <w:r>
        <w:rPr>
          <w:rFonts w:ascii="宋体" w:hAnsi="宋体" w:eastAsia="宋体" w:cs="宋体"/>
          <w:spacing w:val="6"/>
          <w:sz w:val="20"/>
          <w:szCs w:val="20"/>
        </w:rPr>
        <w:t>国家计算标准附录</w:t>
      </w:r>
      <w:r>
        <w:rPr>
          <w:rFonts w:ascii="宋体" w:hAnsi="宋体" w:eastAsia="宋体" w:cs="宋体"/>
          <w:spacing w:val="-36"/>
          <w:sz w:val="20"/>
          <w:szCs w:val="20"/>
        </w:rPr>
        <w:t xml:space="preserve"> </w:t>
      </w:r>
      <w:r>
        <w:rPr>
          <w:rFonts w:ascii="宋体" w:hAnsi="宋体" w:eastAsia="宋体" w:cs="宋体"/>
          <w:spacing w:val="6"/>
          <w:sz w:val="20"/>
          <w:szCs w:val="20"/>
        </w:rPr>
        <w:t>C</w:t>
      </w:r>
      <w:r>
        <w:rPr>
          <w:rFonts w:ascii="宋体" w:hAnsi="宋体" w:eastAsia="宋体" w:cs="宋体"/>
          <w:spacing w:val="-43"/>
          <w:sz w:val="20"/>
          <w:szCs w:val="20"/>
        </w:rPr>
        <w:t xml:space="preserve"> </w:t>
      </w:r>
      <w:r>
        <w:rPr>
          <w:rFonts w:ascii="宋体" w:hAnsi="宋体" w:eastAsia="宋体" w:cs="宋体"/>
          <w:spacing w:val="6"/>
          <w:sz w:val="20"/>
          <w:szCs w:val="20"/>
        </w:rPr>
        <w:t>各清单项目产生泥浆涉</w:t>
      </w:r>
      <w:r>
        <w:rPr>
          <w:rFonts w:ascii="宋体" w:hAnsi="宋体" w:eastAsia="宋体" w:cs="宋体"/>
          <w:spacing w:val="5"/>
          <w:sz w:val="20"/>
          <w:szCs w:val="20"/>
        </w:rPr>
        <w:t>及处置、运输、消纳的，按照附录</w:t>
      </w:r>
      <w:r>
        <w:rPr>
          <w:rFonts w:ascii="宋体" w:hAnsi="宋体" w:eastAsia="宋体" w:cs="宋体"/>
          <w:spacing w:val="-36"/>
          <w:sz w:val="20"/>
          <w:szCs w:val="20"/>
        </w:rPr>
        <w:t xml:space="preserve"> </w:t>
      </w:r>
      <w:r>
        <w:rPr>
          <w:rFonts w:ascii="宋体" w:hAnsi="宋体" w:eastAsia="宋体" w:cs="宋体"/>
          <w:spacing w:val="5"/>
          <w:sz w:val="20"/>
          <w:szCs w:val="20"/>
        </w:rPr>
        <w:t>B</w:t>
      </w:r>
      <w:r>
        <w:rPr>
          <w:rFonts w:ascii="宋体" w:hAnsi="宋体" w:eastAsia="宋体" w:cs="宋体"/>
          <w:spacing w:val="-22"/>
          <w:sz w:val="20"/>
          <w:szCs w:val="20"/>
        </w:rPr>
        <w:t xml:space="preserve"> </w:t>
      </w:r>
      <w:r>
        <w:rPr>
          <w:rFonts w:ascii="宋体" w:hAnsi="宋体" w:eastAsia="宋体" w:cs="宋体"/>
          <w:spacing w:val="5"/>
          <w:sz w:val="20"/>
          <w:szCs w:val="20"/>
        </w:rPr>
        <w:t>中的“泥浆</w:t>
      </w:r>
      <w:r>
        <w:rPr>
          <w:rFonts w:ascii="宋体" w:hAnsi="宋体" w:eastAsia="宋体" w:cs="宋体"/>
          <w:spacing w:val="4"/>
          <w:sz w:val="20"/>
          <w:szCs w:val="20"/>
        </w:rPr>
        <w:t>外运</w:t>
      </w:r>
      <w:r>
        <w:rPr>
          <w:rFonts w:ascii="宋体" w:hAnsi="宋体" w:eastAsia="宋体" w:cs="宋体"/>
          <w:spacing w:val="-68"/>
          <w:sz w:val="20"/>
          <w:szCs w:val="20"/>
        </w:rPr>
        <w:t xml:space="preserve"> </w:t>
      </w:r>
      <w:r>
        <w:rPr>
          <w:rFonts w:ascii="宋体" w:hAnsi="宋体" w:eastAsia="宋体" w:cs="宋体"/>
          <w:spacing w:val="4"/>
          <w:sz w:val="20"/>
          <w:szCs w:val="20"/>
        </w:rPr>
        <w:t>”编码列项。</w:t>
      </w:r>
    </w:p>
    <w:p>
      <w:pPr>
        <w:spacing w:before="158" w:line="313" w:lineRule="auto"/>
        <w:ind w:left="2" w:right="134" w:firstLine="420"/>
        <w:rPr>
          <w:rFonts w:ascii="宋体" w:hAnsi="宋体" w:eastAsia="宋体" w:cs="宋体"/>
          <w:sz w:val="20"/>
          <w:szCs w:val="20"/>
        </w:rPr>
      </w:pPr>
      <w:r>
        <w:rPr>
          <w:rFonts w:ascii="宋体" w:hAnsi="宋体" w:eastAsia="宋体" w:cs="宋体"/>
          <w:spacing w:val="8"/>
          <w:sz w:val="20"/>
          <w:szCs w:val="20"/>
        </w:rPr>
        <w:t>2.</w:t>
      </w:r>
      <w:r>
        <w:rPr>
          <w:rFonts w:ascii="宋体" w:hAnsi="宋体" w:eastAsia="宋体" w:cs="宋体"/>
          <w:spacing w:val="32"/>
          <w:sz w:val="20"/>
          <w:szCs w:val="20"/>
        </w:rPr>
        <w:t xml:space="preserve"> </w:t>
      </w:r>
      <w:r>
        <w:rPr>
          <w:rFonts w:ascii="宋体" w:hAnsi="宋体" w:eastAsia="宋体" w:cs="宋体"/>
          <w:spacing w:val="8"/>
          <w:sz w:val="20"/>
          <w:szCs w:val="20"/>
        </w:rPr>
        <w:t>国家计算标准附录</w:t>
      </w:r>
      <w:r>
        <w:rPr>
          <w:rFonts w:ascii="宋体" w:hAnsi="宋体" w:eastAsia="宋体" w:cs="宋体"/>
          <w:spacing w:val="-53"/>
          <w:sz w:val="20"/>
          <w:szCs w:val="20"/>
        </w:rPr>
        <w:t xml:space="preserve"> </w:t>
      </w:r>
      <w:r>
        <w:rPr>
          <w:rFonts w:ascii="宋体" w:hAnsi="宋体" w:eastAsia="宋体" w:cs="宋体"/>
          <w:spacing w:val="8"/>
          <w:sz w:val="20"/>
          <w:szCs w:val="20"/>
        </w:rPr>
        <w:t>C</w:t>
      </w:r>
      <w:r>
        <w:rPr>
          <w:rFonts w:ascii="宋体" w:hAnsi="宋体" w:eastAsia="宋体" w:cs="宋体"/>
          <w:spacing w:val="-60"/>
          <w:sz w:val="20"/>
          <w:szCs w:val="20"/>
        </w:rPr>
        <w:t xml:space="preserve"> </w:t>
      </w:r>
      <w:r>
        <w:rPr>
          <w:rFonts w:ascii="宋体" w:hAnsi="宋体" w:eastAsia="宋体" w:cs="宋体"/>
          <w:spacing w:val="8"/>
          <w:sz w:val="20"/>
          <w:szCs w:val="20"/>
        </w:rPr>
        <w:t>各清单项目工作内容均包括无法自行移动</w:t>
      </w:r>
      <w:r>
        <w:rPr>
          <w:rFonts w:ascii="宋体" w:hAnsi="宋体" w:eastAsia="宋体" w:cs="宋体"/>
          <w:spacing w:val="7"/>
          <w:sz w:val="20"/>
          <w:szCs w:val="20"/>
        </w:rPr>
        <w:t>的大型施工机械的场内就位及移位。打试验桩和打斜桩应按相应项目单独编码列项，并应在项目特征中注明试验桩或斜</w:t>
      </w:r>
      <w:r>
        <w:rPr>
          <w:rFonts w:ascii="宋体" w:hAnsi="宋体" w:eastAsia="宋体" w:cs="宋体"/>
          <w:spacing w:val="6"/>
          <w:sz w:val="20"/>
          <w:szCs w:val="20"/>
        </w:rPr>
        <w:t>桩(斜率)。</w:t>
      </w:r>
    </w:p>
    <w:p>
      <w:pPr>
        <w:spacing w:line="313" w:lineRule="auto"/>
        <w:rPr>
          <w:rFonts w:ascii="宋体" w:hAnsi="宋体" w:eastAsia="宋体" w:cs="宋体"/>
          <w:sz w:val="20"/>
          <w:szCs w:val="20"/>
        </w:rPr>
        <w:sectPr>
          <w:footerReference r:id="rId85" w:type="default"/>
          <w:pgSz w:w="11905" w:h="16840"/>
          <w:pgMar w:top="400" w:right="1239"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7" w:lineRule="auto"/>
        <w:ind w:left="6" w:right="100" w:firstLine="420"/>
        <w:jc w:val="both"/>
        <w:rPr>
          <w:rFonts w:ascii="宋体" w:hAnsi="宋体" w:eastAsia="宋体" w:cs="宋体"/>
          <w:sz w:val="20"/>
          <w:szCs w:val="20"/>
        </w:rPr>
      </w:pPr>
      <w:r>
        <w:rPr>
          <w:rFonts w:ascii="宋体" w:hAnsi="宋体" w:eastAsia="宋体" w:cs="宋体"/>
          <w:spacing w:val="8"/>
          <w:sz w:val="20"/>
          <w:szCs w:val="20"/>
        </w:rPr>
        <w:t>3. 预制桩的工作内容中包括了接桩和送桩，不需要单独列项，应在综合单价中考虑</w:t>
      </w:r>
      <w:r>
        <w:rPr>
          <w:rFonts w:ascii="宋体" w:hAnsi="宋体" w:eastAsia="宋体" w:cs="宋体"/>
          <w:spacing w:val="7"/>
          <w:sz w:val="20"/>
          <w:szCs w:val="20"/>
        </w:rPr>
        <w:t>。同时还应</w:t>
      </w:r>
      <w:r>
        <w:rPr>
          <w:rFonts w:ascii="宋体" w:hAnsi="宋体" w:eastAsia="宋体" w:cs="宋体"/>
          <w:spacing w:val="11"/>
          <w:sz w:val="20"/>
          <w:szCs w:val="20"/>
        </w:rPr>
        <w:t>注意，桩基础项目中，为设计提供依据的试验桩检测如极限承载力</w:t>
      </w:r>
      <w:r>
        <w:rPr>
          <w:rFonts w:ascii="宋体" w:hAnsi="宋体" w:eastAsia="宋体" w:cs="宋体"/>
          <w:spacing w:val="10"/>
          <w:sz w:val="20"/>
          <w:szCs w:val="20"/>
        </w:rPr>
        <w:t>检测等，应包含在试桩清单项目</w:t>
      </w:r>
      <w:r>
        <w:rPr>
          <w:rFonts w:ascii="宋体" w:hAnsi="宋体" w:eastAsia="宋体" w:cs="宋体"/>
          <w:spacing w:val="11"/>
          <w:sz w:val="20"/>
          <w:szCs w:val="20"/>
        </w:rPr>
        <w:t>的综合单价中；施工过程中或施工后的工程桩检测如桩身完整性检</w:t>
      </w:r>
      <w:r>
        <w:rPr>
          <w:rFonts w:ascii="宋体" w:hAnsi="宋体" w:eastAsia="宋体" w:cs="宋体"/>
          <w:spacing w:val="10"/>
          <w:sz w:val="20"/>
          <w:szCs w:val="20"/>
        </w:rPr>
        <w:t>测等，应包含在相应桩基清单项</w:t>
      </w:r>
      <w:r>
        <w:rPr>
          <w:rFonts w:ascii="宋体" w:hAnsi="宋体" w:eastAsia="宋体" w:cs="宋体"/>
          <w:spacing w:val="7"/>
          <w:sz w:val="20"/>
          <w:szCs w:val="20"/>
        </w:rPr>
        <w:t>目的综合单价中。</w:t>
      </w:r>
    </w:p>
    <w:p>
      <w:pPr>
        <w:pStyle w:val="2"/>
        <w:spacing w:before="3" w:line="209" w:lineRule="auto"/>
        <w:ind w:left="428"/>
        <w:rPr>
          <w:sz w:val="20"/>
          <w:szCs w:val="20"/>
        </w:rPr>
      </w:pPr>
      <w:r>
        <w:rPr>
          <w:spacing w:val="7"/>
          <w:sz w:val="20"/>
          <w:szCs w:val="20"/>
        </w:rPr>
        <w:t>五、砌筑工程</w:t>
      </w:r>
    </w:p>
    <w:p>
      <w:pPr>
        <w:spacing w:before="109" w:line="331" w:lineRule="auto"/>
        <w:ind w:left="8" w:right="100" w:firstLine="431"/>
        <w:rPr>
          <w:rFonts w:ascii="宋体" w:hAnsi="宋体" w:eastAsia="宋体" w:cs="宋体"/>
          <w:sz w:val="20"/>
          <w:szCs w:val="20"/>
        </w:rPr>
      </w:pPr>
      <w:r>
        <w:rPr>
          <w:rFonts w:ascii="宋体" w:hAnsi="宋体" w:eastAsia="宋体" w:cs="宋体"/>
          <w:spacing w:val="5"/>
          <w:sz w:val="20"/>
          <w:szCs w:val="20"/>
        </w:rPr>
        <w:t>1. 基础与墙(柱)身使用同一种材料时，以设计室内地面为界(有地下室者，以地下室室内设计地</w:t>
      </w:r>
      <w:r>
        <w:rPr>
          <w:rFonts w:ascii="宋体" w:hAnsi="宋体" w:eastAsia="宋体" w:cs="宋体"/>
          <w:spacing w:val="1"/>
          <w:sz w:val="20"/>
          <w:szCs w:val="20"/>
        </w:rPr>
        <w:t>面为界),以下为基础，以上为墙(柱)身。基础与墙(柱)身使用不同材料时，材料分界线位于设计室内地</w:t>
      </w:r>
      <w:r>
        <w:rPr>
          <w:rFonts w:ascii="宋体" w:hAnsi="宋体" w:eastAsia="宋体" w:cs="宋体"/>
          <w:spacing w:val="12"/>
          <w:sz w:val="20"/>
          <w:szCs w:val="20"/>
        </w:rPr>
        <w:t>面高度±300</w:t>
      </w:r>
      <w:r>
        <w:rPr>
          <w:rFonts w:ascii="宋体" w:hAnsi="宋体" w:eastAsia="宋体" w:cs="宋体"/>
          <w:sz w:val="20"/>
          <w:szCs w:val="20"/>
        </w:rPr>
        <w:t>mm</w:t>
      </w:r>
      <w:r>
        <w:rPr>
          <w:rFonts w:ascii="宋体" w:hAnsi="宋体" w:eastAsia="宋体" w:cs="宋体"/>
          <w:spacing w:val="-24"/>
          <w:sz w:val="20"/>
          <w:szCs w:val="20"/>
        </w:rPr>
        <w:t xml:space="preserve"> </w:t>
      </w:r>
      <w:r>
        <w:rPr>
          <w:rFonts w:ascii="宋体" w:hAnsi="宋体" w:eastAsia="宋体" w:cs="宋体"/>
          <w:spacing w:val="12"/>
          <w:sz w:val="20"/>
          <w:szCs w:val="20"/>
        </w:rPr>
        <w:t>以内的，以不同材料分界线为界；</w:t>
      </w:r>
      <w:r>
        <w:rPr>
          <w:rFonts w:ascii="宋体" w:hAnsi="宋体" w:eastAsia="宋体" w:cs="宋体"/>
          <w:spacing w:val="-76"/>
          <w:sz w:val="20"/>
          <w:szCs w:val="20"/>
        </w:rPr>
        <w:t xml:space="preserve"> </w:t>
      </w:r>
      <w:r>
        <w:rPr>
          <w:rFonts w:ascii="宋体" w:hAnsi="宋体" w:eastAsia="宋体" w:cs="宋体"/>
          <w:spacing w:val="12"/>
          <w:sz w:val="20"/>
          <w:szCs w:val="20"/>
        </w:rPr>
        <w:t>±300</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12"/>
          <w:sz w:val="20"/>
          <w:szCs w:val="20"/>
        </w:rPr>
        <w:t>以外的，以设计室内</w:t>
      </w:r>
      <w:r>
        <w:rPr>
          <w:rFonts w:ascii="宋体" w:hAnsi="宋体" w:eastAsia="宋体" w:cs="宋体"/>
          <w:spacing w:val="11"/>
          <w:sz w:val="20"/>
          <w:szCs w:val="20"/>
        </w:rPr>
        <w:t>地面为界。</w:t>
      </w:r>
    </w:p>
    <w:p>
      <w:pPr>
        <w:spacing w:before="125" w:line="331" w:lineRule="auto"/>
        <w:ind w:right="33" w:firstLine="423"/>
        <w:rPr>
          <w:rFonts w:ascii="宋体" w:hAnsi="宋体" w:eastAsia="宋体" w:cs="宋体"/>
          <w:sz w:val="20"/>
          <w:szCs w:val="20"/>
        </w:rPr>
      </w:pPr>
      <w:r>
        <w:rPr>
          <w:rFonts w:ascii="宋体" w:hAnsi="宋体" w:eastAsia="宋体" w:cs="宋体"/>
          <w:spacing w:val="4"/>
          <w:sz w:val="20"/>
          <w:szCs w:val="20"/>
        </w:rPr>
        <w:t>2.</w:t>
      </w:r>
      <w:r>
        <w:rPr>
          <w:rFonts w:ascii="宋体" w:hAnsi="宋体" w:eastAsia="宋体" w:cs="宋体"/>
          <w:spacing w:val="28"/>
          <w:sz w:val="20"/>
          <w:szCs w:val="20"/>
        </w:rPr>
        <w:t xml:space="preserve"> </w:t>
      </w:r>
      <w:r>
        <w:rPr>
          <w:rFonts w:ascii="宋体" w:hAnsi="宋体" w:eastAsia="宋体" w:cs="宋体"/>
          <w:spacing w:val="4"/>
          <w:sz w:val="20"/>
          <w:szCs w:val="20"/>
        </w:rPr>
        <w:t>以下构件应按“零星砌砖</w:t>
      </w:r>
      <w:r>
        <w:rPr>
          <w:rFonts w:ascii="宋体" w:hAnsi="宋体" w:eastAsia="宋体" w:cs="宋体"/>
          <w:spacing w:val="-70"/>
          <w:sz w:val="20"/>
          <w:szCs w:val="20"/>
        </w:rPr>
        <w:t xml:space="preserve"> </w:t>
      </w:r>
      <w:r>
        <w:rPr>
          <w:rFonts w:ascii="宋体" w:hAnsi="宋体" w:eastAsia="宋体" w:cs="宋体"/>
          <w:spacing w:val="4"/>
          <w:sz w:val="20"/>
          <w:szCs w:val="20"/>
        </w:rPr>
        <w:t>”项目编码列项：砖</w:t>
      </w:r>
      <w:r>
        <w:rPr>
          <w:rFonts w:ascii="宋体" w:hAnsi="宋体" w:eastAsia="宋体" w:cs="宋体"/>
          <w:spacing w:val="3"/>
          <w:sz w:val="20"/>
          <w:szCs w:val="20"/>
        </w:rPr>
        <w:t>砌台阶、台阶挡墙、梯带、花台、花池、栏板；</w:t>
      </w:r>
      <w:r>
        <w:rPr>
          <w:rFonts w:ascii="宋体" w:hAnsi="宋体" w:eastAsia="宋体" w:cs="宋体"/>
          <w:spacing w:val="11"/>
          <w:sz w:val="20"/>
          <w:szCs w:val="20"/>
        </w:rPr>
        <w:t>砖砌锅台、炉灶、蹲台、池槽、池槽腿、地垄墙；砖砌腰线、挑檐、压顶、窗台</w:t>
      </w:r>
      <w:r>
        <w:rPr>
          <w:rFonts w:ascii="宋体" w:hAnsi="宋体" w:eastAsia="宋体" w:cs="宋体"/>
          <w:spacing w:val="10"/>
          <w:sz w:val="20"/>
          <w:szCs w:val="20"/>
        </w:rPr>
        <w:t>线、虎头砖、门窗</w:t>
      </w:r>
      <w:r>
        <w:rPr>
          <w:rFonts w:ascii="宋体" w:hAnsi="宋体" w:eastAsia="宋体" w:cs="宋体"/>
          <w:spacing w:val="8"/>
          <w:sz w:val="20"/>
          <w:szCs w:val="20"/>
        </w:rPr>
        <w:t>套凸出墙面的部分及单个面积≤0.3m²的孔洞填塞等。</w:t>
      </w:r>
    </w:p>
    <w:p>
      <w:pPr>
        <w:spacing w:before="123" w:line="322" w:lineRule="auto"/>
        <w:ind w:right="100" w:firstLine="425"/>
        <w:rPr>
          <w:rFonts w:ascii="宋体" w:hAnsi="宋体" w:eastAsia="宋体" w:cs="宋体"/>
          <w:sz w:val="20"/>
          <w:szCs w:val="20"/>
        </w:rPr>
      </w:pPr>
      <w:r>
        <w:rPr>
          <w:rFonts w:ascii="宋体" w:hAnsi="宋体" w:eastAsia="宋体" w:cs="宋体"/>
          <w:spacing w:val="8"/>
          <w:sz w:val="20"/>
          <w:szCs w:val="20"/>
        </w:rPr>
        <w:t>3. 石基础、石勒脚、石墙的划分：基础与勒脚应以设计室外地坪为界。勒脚与墙身</w:t>
      </w:r>
      <w:r>
        <w:rPr>
          <w:rFonts w:ascii="宋体" w:hAnsi="宋体" w:eastAsia="宋体" w:cs="宋体"/>
          <w:spacing w:val="7"/>
          <w:sz w:val="20"/>
          <w:szCs w:val="20"/>
        </w:rPr>
        <w:t>应以设计室</w:t>
      </w:r>
      <w:r>
        <w:rPr>
          <w:rFonts w:ascii="宋体" w:hAnsi="宋体" w:eastAsia="宋体" w:cs="宋体"/>
          <w:spacing w:val="11"/>
          <w:sz w:val="20"/>
          <w:szCs w:val="20"/>
        </w:rPr>
        <w:t>内地面为界。石围墙以设计室外地坪为界，两侧地坪标高不同时，应以较低地</w:t>
      </w:r>
      <w:r>
        <w:rPr>
          <w:rFonts w:ascii="宋体" w:hAnsi="宋体" w:eastAsia="宋体" w:cs="宋体"/>
          <w:spacing w:val="10"/>
          <w:sz w:val="20"/>
          <w:szCs w:val="20"/>
        </w:rPr>
        <w:t>坪标高为界，以下为</w:t>
      </w:r>
      <w:r>
        <w:rPr>
          <w:rFonts w:ascii="宋体" w:hAnsi="宋体" w:eastAsia="宋体" w:cs="宋体"/>
          <w:spacing w:val="9"/>
          <w:sz w:val="20"/>
          <w:szCs w:val="20"/>
        </w:rPr>
        <w:t>基础，以上为墙身；当两侧标高之差为挡土墙时，挡土墙以上为墙身。</w:t>
      </w:r>
    </w:p>
    <w:p>
      <w:pPr>
        <w:spacing w:before="152" w:line="297" w:lineRule="auto"/>
        <w:ind w:left="1" w:firstLine="418"/>
        <w:rPr>
          <w:rFonts w:ascii="宋体" w:hAnsi="宋体" w:eastAsia="宋体" w:cs="宋体"/>
          <w:sz w:val="20"/>
          <w:szCs w:val="20"/>
        </w:rPr>
      </w:pPr>
      <w:r>
        <w:rPr>
          <w:rFonts w:ascii="宋体" w:hAnsi="宋体" w:eastAsia="宋体" w:cs="宋体"/>
          <w:spacing w:val="10"/>
          <w:sz w:val="20"/>
          <w:szCs w:val="20"/>
        </w:rPr>
        <w:t>4. 依附构件或者依附墙体砌筑的贴砌砖（如地下室外墙防水</w:t>
      </w:r>
      <w:r>
        <w:rPr>
          <w:rFonts w:ascii="宋体" w:hAnsi="宋体" w:eastAsia="宋体" w:cs="宋体"/>
          <w:spacing w:val="9"/>
          <w:sz w:val="20"/>
          <w:szCs w:val="20"/>
        </w:rPr>
        <w:t>层的保护砖墙</w:t>
      </w:r>
      <w:r>
        <w:rPr>
          <w:rFonts w:ascii="宋体" w:hAnsi="宋体" w:eastAsia="宋体" w:cs="宋体"/>
          <w:spacing w:val="-13"/>
          <w:sz w:val="20"/>
          <w:szCs w:val="20"/>
        </w:rPr>
        <w:t>）</w:t>
      </w:r>
      <w:r>
        <w:rPr>
          <w:rFonts w:ascii="宋体" w:hAnsi="宋体" w:eastAsia="宋体" w:cs="宋体"/>
          <w:spacing w:val="-55"/>
          <w:sz w:val="20"/>
          <w:szCs w:val="20"/>
        </w:rPr>
        <w:t xml:space="preserve"> </w:t>
      </w:r>
      <w:r>
        <w:rPr>
          <w:rFonts w:ascii="宋体" w:hAnsi="宋体" w:eastAsia="宋体" w:cs="宋体"/>
          <w:spacing w:val="-13"/>
          <w:sz w:val="20"/>
          <w:szCs w:val="20"/>
        </w:rPr>
        <w:t>，</w:t>
      </w:r>
      <w:r>
        <w:rPr>
          <w:rFonts w:ascii="宋体" w:hAnsi="宋体" w:eastAsia="宋体" w:cs="宋体"/>
          <w:spacing w:val="9"/>
          <w:sz w:val="20"/>
          <w:szCs w:val="20"/>
        </w:rPr>
        <w:t>按“贴砌砖墙</w:t>
      </w:r>
      <w:r>
        <w:rPr>
          <w:rFonts w:ascii="宋体" w:hAnsi="宋体" w:eastAsia="宋体" w:cs="宋体"/>
          <w:spacing w:val="-70"/>
          <w:sz w:val="20"/>
          <w:szCs w:val="20"/>
        </w:rPr>
        <w:t xml:space="preserve"> </w:t>
      </w:r>
      <w:r>
        <w:rPr>
          <w:rFonts w:ascii="宋体" w:hAnsi="宋体" w:eastAsia="宋体" w:cs="宋体"/>
          <w:spacing w:val="9"/>
          <w:sz w:val="20"/>
          <w:szCs w:val="20"/>
        </w:rPr>
        <w:t>”项目编码列项，工程量计算规则为按设计图示尺寸以体积计算。</w:t>
      </w:r>
    </w:p>
    <w:p>
      <w:pPr>
        <w:spacing w:before="155" w:line="297" w:lineRule="auto"/>
        <w:ind w:left="1" w:right="100" w:firstLine="421"/>
        <w:rPr>
          <w:rFonts w:ascii="宋体" w:hAnsi="宋体" w:eastAsia="宋体" w:cs="宋体"/>
          <w:sz w:val="20"/>
          <w:szCs w:val="20"/>
        </w:rPr>
      </w:pPr>
      <w:r>
        <w:rPr>
          <w:rFonts w:ascii="宋体" w:hAnsi="宋体" w:eastAsia="宋体" w:cs="宋体"/>
          <w:spacing w:val="8"/>
          <w:sz w:val="20"/>
          <w:szCs w:val="20"/>
        </w:rPr>
        <w:t>5. 因多孔砖、空心砖、砌块墙的工作内容中已包括墙体顶缝、侧缝填塞处理，墙体顶缝、侧缝填塞处理应在综合单价中考虑。</w:t>
      </w:r>
    </w:p>
    <w:p>
      <w:pPr>
        <w:spacing w:before="157" w:line="296" w:lineRule="auto"/>
        <w:ind w:left="14" w:right="100" w:firstLine="409"/>
        <w:rPr>
          <w:rFonts w:ascii="宋体" w:hAnsi="宋体" w:eastAsia="宋体" w:cs="宋体"/>
          <w:sz w:val="20"/>
          <w:szCs w:val="20"/>
        </w:rPr>
      </w:pPr>
      <w:r>
        <w:rPr>
          <w:rFonts w:ascii="宋体" w:hAnsi="宋体" w:eastAsia="宋体" w:cs="宋体"/>
          <w:spacing w:val="8"/>
          <w:sz w:val="20"/>
          <w:szCs w:val="20"/>
        </w:rPr>
        <w:t>6. 砖砌体、砌块砌体清单项目的工作内容中综合了刮缝，如按设计要求需做墙面勾缝时，</w:t>
      </w:r>
      <w:r>
        <w:rPr>
          <w:rFonts w:ascii="宋体" w:hAnsi="宋体" w:eastAsia="宋体" w:cs="宋体"/>
          <w:spacing w:val="7"/>
          <w:sz w:val="20"/>
          <w:szCs w:val="20"/>
        </w:rPr>
        <w:t>应按</w:t>
      </w:r>
      <w:r>
        <w:rPr>
          <w:rFonts w:ascii="宋体" w:hAnsi="宋体" w:eastAsia="宋体" w:cs="宋体"/>
          <w:spacing w:val="9"/>
          <w:sz w:val="20"/>
          <w:szCs w:val="20"/>
        </w:rPr>
        <w:t>附录</w:t>
      </w:r>
      <w:r>
        <w:rPr>
          <w:rFonts w:ascii="宋体" w:hAnsi="宋体" w:eastAsia="宋体" w:cs="宋体"/>
          <w:spacing w:val="-36"/>
          <w:sz w:val="20"/>
          <w:szCs w:val="20"/>
        </w:rPr>
        <w:t xml:space="preserve"> </w:t>
      </w:r>
      <w:r>
        <w:rPr>
          <w:rFonts w:ascii="宋体" w:hAnsi="宋体" w:eastAsia="宋体" w:cs="宋体"/>
          <w:spacing w:val="9"/>
          <w:sz w:val="20"/>
          <w:szCs w:val="20"/>
        </w:rPr>
        <w:t>M</w:t>
      </w:r>
      <w:r>
        <w:rPr>
          <w:rFonts w:ascii="宋体" w:hAnsi="宋体" w:eastAsia="宋体" w:cs="宋体"/>
          <w:spacing w:val="-20"/>
          <w:sz w:val="20"/>
          <w:szCs w:val="20"/>
        </w:rPr>
        <w:t xml:space="preserve"> </w:t>
      </w:r>
      <w:r>
        <w:rPr>
          <w:rFonts w:ascii="宋体" w:hAnsi="宋体" w:eastAsia="宋体" w:cs="宋体"/>
          <w:spacing w:val="9"/>
          <w:sz w:val="20"/>
          <w:szCs w:val="20"/>
        </w:rPr>
        <w:t>中“墙、柱面勾缝”编码列项。</w:t>
      </w:r>
    </w:p>
    <w:p>
      <w:pPr>
        <w:pStyle w:val="2"/>
        <w:spacing w:before="153" w:line="209" w:lineRule="auto"/>
        <w:ind w:left="429"/>
        <w:rPr>
          <w:sz w:val="20"/>
          <w:szCs w:val="20"/>
        </w:rPr>
      </w:pPr>
      <w:r>
        <w:rPr>
          <w:spacing w:val="8"/>
          <w:sz w:val="20"/>
          <w:szCs w:val="20"/>
        </w:rPr>
        <w:t>六、混凝土及钢筋混凝土工程</w:t>
      </w:r>
    </w:p>
    <w:p>
      <w:pPr>
        <w:spacing w:before="106" w:line="278" w:lineRule="exact"/>
        <w:ind w:left="423"/>
        <w:rPr>
          <w:rFonts w:ascii="宋体" w:hAnsi="宋体" w:eastAsia="宋体" w:cs="宋体"/>
          <w:sz w:val="20"/>
          <w:szCs w:val="20"/>
        </w:rPr>
      </w:pPr>
      <w:r>
        <w:rPr>
          <w:rFonts w:ascii="宋体" w:hAnsi="宋体" w:eastAsia="宋体" w:cs="宋体"/>
          <w:b/>
          <w:bCs/>
          <w:spacing w:val="2"/>
          <w:position w:val="1"/>
          <w:sz w:val="20"/>
          <w:szCs w:val="20"/>
        </w:rPr>
        <w:t>E.2</w:t>
      </w:r>
      <w:r>
        <w:rPr>
          <w:rFonts w:ascii="宋体" w:hAnsi="宋体" w:eastAsia="宋体" w:cs="宋体"/>
          <w:spacing w:val="-36"/>
          <w:position w:val="1"/>
          <w:sz w:val="20"/>
          <w:szCs w:val="20"/>
        </w:rPr>
        <w:t xml:space="preserve"> </w:t>
      </w:r>
      <w:r>
        <w:rPr>
          <w:rFonts w:ascii="宋体" w:hAnsi="宋体" w:eastAsia="宋体" w:cs="宋体"/>
          <w:b/>
          <w:bCs/>
          <w:spacing w:val="2"/>
          <w:position w:val="1"/>
          <w:sz w:val="20"/>
          <w:szCs w:val="20"/>
        </w:rPr>
        <w:t>现浇混凝土构件</w:t>
      </w:r>
    </w:p>
    <w:p>
      <w:pPr>
        <w:spacing w:before="124" w:line="299" w:lineRule="auto"/>
        <w:ind w:left="2" w:right="100" w:firstLine="437"/>
        <w:rPr>
          <w:rFonts w:ascii="宋体" w:hAnsi="宋体" w:eastAsia="宋体" w:cs="宋体"/>
          <w:sz w:val="20"/>
          <w:szCs w:val="20"/>
        </w:rPr>
      </w:pPr>
      <w:r>
        <w:rPr>
          <w:rFonts w:ascii="宋体" w:hAnsi="宋体" w:eastAsia="宋体" w:cs="宋体"/>
          <w:spacing w:val="7"/>
          <w:sz w:val="20"/>
          <w:szCs w:val="20"/>
        </w:rPr>
        <w:t>1. 项目特征中的“混凝土种类”可描述为预拌(商品)混凝土、现拌混凝土，清水混凝土、彩色</w:t>
      </w:r>
      <w:r>
        <w:rPr>
          <w:rFonts w:ascii="宋体" w:hAnsi="宋体" w:eastAsia="宋体" w:cs="宋体"/>
          <w:spacing w:val="9"/>
          <w:sz w:val="20"/>
          <w:szCs w:val="20"/>
        </w:rPr>
        <w:t>混凝土，防水混凝土、耐酸混凝土，毛石混凝土、轻骨料混凝土等；</w:t>
      </w:r>
    </w:p>
    <w:p>
      <w:pPr>
        <w:spacing w:before="150" w:line="297" w:lineRule="auto"/>
        <w:ind w:left="12" w:right="100" w:firstLine="411"/>
        <w:rPr>
          <w:rFonts w:ascii="宋体" w:hAnsi="宋体" w:eastAsia="宋体" w:cs="宋体"/>
          <w:sz w:val="20"/>
          <w:szCs w:val="20"/>
        </w:rPr>
      </w:pPr>
      <w:r>
        <w:rPr>
          <w:rFonts w:ascii="宋体" w:hAnsi="宋体" w:eastAsia="宋体" w:cs="宋体"/>
          <w:spacing w:val="8"/>
          <w:sz w:val="20"/>
          <w:szCs w:val="20"/>
        </w:rPr>
        <w:t>2. 现浇钢筋混凝土构件，均不扣除构件内钢筋、螺栓、预埋铁件、张拉孔道所占体积，但应扣除劲性骨架的型钢所占体积。</w:t>
      </w:r>
    </w:p>
    <w:p>
      <w:pPr>
        <w:spacing w:before="158" w:line="298" w:lineRule="auto"/>
        <w:ind w:left="6" w:right="100" w:firstLine="420"/>
        <w:rPr>
          <w:rFonts w:ascii="宋体" w:hAnsi="宋体" w:eastAsia="宋体" w:cs="宋体"/>
          <w:sz w:val="20"/>
          <w:szCs w:val="20"/>
        </w:rPr>
      </w:pPr>
      <w:r>
        <w:rPr>
          <w:rFonts w:ascii="宋体" w:hAnsi="宋体" w:eastAsia="宋体" w:cs="宋体"/>
          <w:spacing w:val="8"/>
          <w:sz w:val="20"/>
          <w:szCs w:val="20"/>
        </w:rPr>
        <w:t>3. 现浇混凝土构件关于墙与其他构件界线划分：墙与柱连接时墙算至柱边；墙与梁</w:t>
      </w:r>
      <w:r>
        <w:rPr>
          <w:rFonts w:ascii="宋体" w:hAnsi="宋体" w:eastAsia="宋体" w:cs="宋体"/>
          <w:spacing w:val="7"/>
          <w:sz w:val="20"/>
          <w:szCs w:val="20"/>
        </w:rPr>
        <w:t>连接时墙算</w:t>
      </w:r>
      <w:r>
        <w:rPr>
          <w:rFonts w:ascii="宋体" w:hAnsi="宋体" w:eastAsia="宋体" w:cs="宋体"/>
          <w:spacing w:val="8"/>
          <w:sz w:val="20"/>
          <w:szCs w:val="20"/>
        </w:rPr>
        <w:t>至梁底；墙与板连接时板算至墙侧。</w:t>
      </w:r>
    </w:p>
    <w:p>
      <w:pPr>
        <w:spacing w:before="155" w:line="331" w:lineRule="auto"/>
        <w:ind w:left="1" w:right="100" w:firstLine="418"/>
        <w:rPr>
          <w:rFonts w:ascii="宋体" w:hAnsi="宋体" w:eastAsia="宋体" w:cs="宋体"/>
          <w:sz w:val="20"/>
          <w:szCs w:val="20"/>
        </w:rPr>
      </w:pPr>
      <w:r>
        <w:rPr>
          <w:rFonts w:ascii="宋体" w:hAnsi="宋体" w:eastAsia="宋体" w:cs="宋体"/>
          <w:spacing w:val="8"/>
          <w:sz w:val="20"/>
          <w:szCs w:val="20"/>
        </w:rPr>
        <w:t>4. 楼梯项目的“楼梯形式”可描述为直形、弧形、螺旋、板式、梁式、单跑、双跑、三跑等。</w:t>
      </w:r>
      <w:r>
        <w:rPr>
          <w:rFonts w:ascii="宋体" w:hAnsi="宋体" w:eastAsia="宋体" w:cs="宋体"/>
          <w:spacing w:val="11"/>
          <w:sz w:val="20"/>
          <w:szCs w:val="20"/>
        </w:rPr>
        <w:t>楼梯包括楼梯梯段、楼梯梁、楼梯休息平台、平台梁。当楼梯与楼板无楼梯梁</w:t>
      </w:r>
      <w:r>
        <w:rPr>
          <w:rFonts w:ascii="宋体" w:hAnsi="宋体" w:eastAsia="宋体" w:cs="宋体"/>
          <w:spacing w:val="10"/>
          <w:sz w:val="20"/>
          <w:szCs w:val="20"/>
        </w:rPr>
        <w:t>连接时，以楼梯的最</w:t>
      </w:r>
      <w:r>
        <w:rPr>
          <w:rFonts w:ascii="宋体" w:hAnsi="宋体" w:eastAsia="宋体" w:cs="宋体"/>
          <w:spacing w:val="12"/>
          <w:sz w:val="20"/>
          <w:szCs w:val="20"/>
        </w:rPr>
        <w:t>上一级踏步边缘加</w:t>
      </w:r>
      <w:r>
        <w:rPr>
          <w:rFonts w:ascii="宋体" w:hAnsi="宋体" w:eastAsia="宋体" w:cs="宋体"/>
          <w:spacing w:val="-28"/>
          <w:sz w:val="20"/>
          <w:szCs w:val="20"/>
        </w:rPr>
        <w:t xml:space="preserve"> </w:t>
      </w:r>
      <w:r>
        <w:rPr>
          <w:rFonts w:ascii="宋体" w:hAnsi="宋体" w:eastAsia="宋体" w:cs="宋体"/>
          <w:spacing w:val="12"/>
          <w:sz w:val="20"/>
          <w:szCs w:val="20"/>
        </w:rPr>
        <w:t>300</w:t>
      </w:r>
      <w:r>
        <w:rPr>
          <w:rFonts w:ascii="宋体" w:hAnsi="宋体" w:eastAsia="宋体" w:cs="宋体"/>
          <w:sz w:val="20"/>
          <w:szCs w:val="20"/>
        </w:rPr>
        <w:t>mm</w:t>
      </w:r>
      <w:r>
        <w:rPr>
          <w:rFonts w:ascii="宋体" w:hAnsi="宋体" w:eastAsia="宋体" w:cs="宋体"/>
          <w:spacing w:val="-36"/>
          <w:sz w:val="20"/>
          <w:szCs w:val="20"/>
        </w:rPr>
        <w:t xml:space="preserve"> </w:t>
      </w:r>
      <w:r>
        <w:rPr>
          <w:rFonts w:ascii="宋体" w:hAnsi="宋体" w:eastAsia="宋体" w:cs="宋体"/>
          <w:spacing w:val="12"/>
          <w:sz w:val="20"/>
          <w:szCs w:val="20"/>
        </w:rPr>
        <w:t>为界 。</w:t>
      </w:r>
    </w:p>
    <w:p>
      <w:pPr>
        <w:spacing w:before="123" w:line="278" w:lineRule="exact"/>
        <w:ind w:left="528"/>
        <w:rPr>
          <w:rFonts w:ascii="宋体" w:hAnsi="宋体" w:eastAsia="宋体" w:cs="宋体"/>
          <w:sz w:val="20"/>
          <w:szCs w:val="20"/>
        </w:rPr>
      </w:pPr>
      <w:r>
        <w:rPr>
          <w:rFonts w:ascii="宋体" w:hAnsi="宋体" w:eastAsia="宋体" w:cs="宋体"/>
          <w:spacing w:val="6"/>
          <w:position w:val="1"/>
          <w:sz w:val="20"/>
          <w:szCs w:val="20"/>
        </w:rPr>
        <w:t>5. 架空式混凝土台阶应按“楼梯”项目编码列项。</w:t>
      </w:r>
    </w:p>
    <w:p>
      <w:pPr>
        <w:spacing w:before="123" w:line="297" w:lineRule="auto"/>
        <w:ind w:left="3" w:right="97" w:firstLine="526"/>
        <w:rPr>
          <w:rFonts w:ascii="宋体" w:hAnsi="宋体" w:eastAsia="宋体" w:cs="宋体"/>
          <w:sz w:val="20"/>
          <w:szCs w:val="20"/>
        </w:rPr>
      </w:pPr>
      <w:r>
        <w:rPr>
          <w:rFonts w:ascii="宋体" w:hAnsi="宋体" w:eastAsia="宋体" w:cs="宋体"/>
          <w:spacing w:val="8"/>
          <w:sz w:val="20"/>
          <w:szCs w:val="20"/>
        </w:rPr>
        <w:t>6. 扶手、压顶、小型池槽、垫块、门窗框及其他单体体积≤0.1m</w:t>
      </w:r>
      <w:r>
        <w:rPr>
          <w:rFonts w:ascii="Arial" w:hAnsi="Arial" w:eastAsia="Arial" w:cs="Arial"/>
          <w:spacing w:val="8"/>
          <w:sz w:val="20"/>
          <w:szCs w:val="20"/>
        </w:rPr>
        <w:t>³</w:t>
      </w:r>
      <w:r>
        <w:rPr>
          <w:rFonts w:ascii="宋体" w:hAnsi="宋体" w:eastAsia="宋体" w:cs="宋体"/>
          <w:spacing w:val="8"/>
          <w:sz w:val="20"/>
          <w:szCs w:val="20"/>
        </w:rPr>
        <w:t>同类构件，应按“零星现浇</w:t>
      </w:r>
      <w:r>
        <w:rPr>
          <w:rFonts w:ascii="宋体" w:hAnsi="宋体" w:eastAsia="宋体" w:cs="宋体"/>
          <w:spacing w:val="9"/>
          <w:sz w:val="20"/>
          <w:szCs w:val="20"/>
        </w:rPr>
        <w:t>构件”项目分别编码列项，并描述构件名称。</w:t>
      </w:r>
    </w:p>
    <w:p>
      <w:pPr>
        <w:spacing w:before="156" w:line="277" w:lineRule="exact"/>
        <w:ind w:left="421"/>
        <w:rPr>
          <w:rFonts w:ascii="宋体" w:hAnsi="宋体" w:eastAsia="宋体" w:cs="宋体"/>
          <w:sz w:val="20"/>
          <w:szCs w:val="20"/>
        </w:rPr>
      </w:pPr>
      <w:r>
        <w:rPr>
          <w:rFonts w:ascii="宋体" w:hAnsi="宋体" w:eastAsia="宋体" w:cs="宋体"/>
          <w:spacing w:val="7"/>
          <w:position w:val="1"/>
          <w:sz w:val="20"/>
          <w:szCs w:val="20"/>
        </w:rPr>
        <w:t>7. 坡道板项目是指满足通行要求的架空式坡道，其“坡道形式</w:t>
      </w:r>
      <w:r>
        <w:rPr>
          <w:rFonts w:ascii="宋体" w:hAnsi="宋体" w:eastAsia="宋体" w:cs="宋体"/>
          <w:spacing w:val="-57"/>
          <w:position w:val="1"/>
          <w:sz w:val="20"/>
          <w:szCs w:val="20"/>
        </w:rPr>
        <w:t xml:space="preserve"> </w:t>
      </w:r>
      <w:r>
        <w:rPr>
          <w:rFonts w:ascii="宋体" w:hAnsi="宋体" w:eastAsia="宋体" w:cs="宋体"/>
          <w:spacing w:val="7"/>
          <w:position w:val="1"/>
          <w:sz w:val="20"/>
          <w:szCs w:val="20"/>
        </w:rPr>
        <w:t>”可描述为直线式、曲线式、组</w:t>
      </w:r>
    </w:p>
    <w:p>
      <w:pPr>
        <w:spacing w:line="277" w:lineRule="exact"/>
        <w:rPr>
          <w:rFonts w:ascii="宋体" w:hAnsi="宋体" w:eastAsia="宋体" w:cs="宋体"/>
          <w:sz w:val="20"/>
          <w:szCs w:val="20"/>
        </w:rPr>
        <w:sectPr>
          <w:footerReference r:id="rId86" w:type="default"/>
          <w:pgSz w:w="11905" w:h="16840"/>
          <w:pgMar w:top="400" w:right="1319" w:bottom="1213" w:left="1418" w:header="0" w:footer="898"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1" w:lineRule="auto"/>
        <w:rPr>
          <w:rFonts w:ascii="宋体" w:hAnsi="宋体" w:eastAsia="宋体" w:cs="宋体"/>
          <w:sz w:val="20"/>
          <w:szCs w:val="20"/>
        </w:rPr>
      </w:pPr>
      <w:r>
        <w:rPr>
          <w:rFonts w:ascii="宋体" w:hAnsi="宋体" w:eastAsia="宋体" w:cs="宋体"/>
          <w:spacing w:val="6"/>
          <w:sz w:val="20"/>
          <w:szCs w:val="20"/>
        </w:rPr>
        <w:t>合式等。</w:t>
      </w:r>
    </w:p>
    <w:p>
      <w:pPr>
        <w:spacing w:before="157" w:line="278" w:lineRule="exact"/>
        <w:ind w:left="425"/>
        <w:rPr>
          <w:rFonts w:ascii="宋体" w:hAnsi="宋体" w:eastAsia="宋体" w:cs="宋体"/>
          <w:sz w:val="20"/>
          <w:szCs w:val="20"/>
        </w:rPr>
      </w:pPr>
      <w:r>
        <w:rPr>
          <w:rFonts w:ascii="宋体" w:hAnsi="宋体" w:eastAsia="宋体" w:cs="宋体"/>
          <w:spacing w:val="8"/>
          <w:position w:val="1"/>
          <w:sz w:val="20"/>
          <w:szCs w:val="20"/>
        </w:rPr>
        <w:t>8. 填充混凝土项目适用于已完成的结构体内，为满足设计要</w:t>
      </w:r>
      <w:r>
        <w:rPr>
          <w:rFonts w:ascii="宋体" w:hAnsi="宋体" w:eastAsia="宋体" w:cs="宋体"/>
          <w:spacing w:val="7"/>
          <w:position w:val="1"/>
          <w:sz w:val="20"/>
          <w:szCs w:val="20"/>
        </w:rPr>
        <w:t>求而进行的混凝土浇筑。</w:t>
      </w:r>
    </w:p>
    <w:p>
      <w:pPr>
        <w:spacing w:before="122" w:line="297" w:lineRule="auto"/>
        <w:ind w:left="2" w:right="66" w:firstLine="420"/>
        <w:rPr>
          <w:rFonts w:ascii="宋体" w:hAnsi="宋体" w:eastAsia="宋体" w:cs="宋体"/>
          <w:sz w:val="20"/>
          <w:szCs w:val="20"/>
        </w:rPr>
      </w:pPr>
      <w:r>
        <w:rPr>
          <w:rFonts w:ascii="宋体" w:hAnsi="宋体" w:eastAsia="宋体" w:cs="宋体"/>
          <w:spacing w:val="8"/>
          <w:sz w:val="20"/>
          <w:szCs w:val="20"/>
        </w:rPr>
        <w:t>9. 台阶项目的计算规则为“按设计图示尺寸以水平投影面积计算。与上部平台相连时，算至最</w:t>
      </w:r>
      <w:r>
        <w:rPr>
          <w:rFonts w:ascii="宋体" w:hAnsi="宋体" w:eastAsia="宋体" w:cs="宋体"/>
          <w:spacing w:val="10"/>
          <w:sz w:val="20"/>
          <w:szCs w:val="20"/>
        </w:rPr>
        <w:t>上一级踏步踏面，该踏面无设计宽度时，按下一级踏面宽度计算”。</w:t>
      </w:r>
    </w:p>
    <w:p>
      <w:pPr>
        <w:spacing w:before="155" w:line="298" w:lineRule="auto"/>
        <w:ind w:right="67" w:firstLine="440"/>
        <w:rPr>
          <w:rFonts w:ascii="宋体" w:hAnsi="宋体" w:eastAsia="宋体" w:cs="宋体"/>
          <w:sz w:val="20"/>
          <w:szCs w:val="20"/>
        </w:rPr>
      </w:pPr>
      <w:r>
        <w:rPr>
          <w:rFonts w:ascii="宋体" w:hAnsi="宋体" w:eastAsia="宋体" w:cs="宋体"/>
          <w:spacing w:val="9"/>
          <w:sz w:val="20"/>
          <w:szCs w:val="20"/>
        </w:rPr>
        <w:t>10. 现浇构件的上翻部分</w:t>
      </w:r>
      <w:r>
        <w:rPr>
          <w:rFonts w:ascii="宋体" w:hAnsi="宋体" w:eastAsia="宋体" w:cs="宋体"/>
          <w:spacing w:val="-60"/>
          <w:sz w:val="20"/>
          <w:szCs w:val="20"/>
        </w:rPr>
        <w:t xml:space="preserve"> </w:t>
      </w:r>
      <w:r>
        <w:rPr>
          <w:rFonts w:ascii="宋体" w:hAnsi="宋体" w:eastAsia="宋体" w:cs="宋体"/>
          <w:spacing w:val="9"/>
          <w:sz w:val="20"/>
          <w:szCs w:val="20"/>
        </w:rPr>
        <w:t>，板的上翻归并到板中计算，如某些挑板的上翻沿；上翻部位按</w:t>
      </w:r>
      <w:r>
        <w:rPr>
          <w:rFonts w:ascii="宋体" w:hAnsi="宋体" w:eastAsia="宋体" w:cs="宋体"/>
          <w:spacing w:val="8"/>
          <w:sz w:val="20"/>
          <w:szCs w:val="20"/>
        </w:rPr>
        <w:t>梁设</w:t>
      </w:r>
      <w:r>
        <w:rPr>
          <w:rFonts w:ascii="宋体" w:hAnsi="宋体" w:eastAsia="宋体" w:cs="宋体"/>
          <w:spacing w:val="10"/>
          <w:sz w:val="20"/>
          <w:szCs w:val="20"/>
        </w:rPr>
        <w:t>计的则按梁计算，此时板算至上翻梁侧面，如住宅卫</w:t>
      </w:r>
      <w:r>
        <w:rPr>
          <w:rFonts w:ascii="宋体" w:hAnsi="宋体" w:eastAsia="宋体" w:cs="宋体"/>
          <w:spacing w:val="9"/>
          <w:sz w:val="20"/>
          <w:szCs w:val="20"/>
        </w:rPr>
        <w:t>生间部位墙体下面的混凝土上翻梁。</w:t>
      </w:r>
    </w:p>
    <w:p>
      <w:pPr>
        <w:spacing w:before="154" w:line="277" w:lineRule="exact"/>
        <w:ind w:left="440"/>
        <w:rPr>
          <w:rFonts w:ascii="宋体" w:hAnsi="宋体" w:eastAsia="宋体" w:cs="宋体"/>
          <w:sz w:val="20"/>
          <w:szCs w:val="20"/>
        </w:rPr>
      </w:pPr>
      <w:r>
        <w:rPr>
          <w:rFonts w:ascii="宋体" w:hAnsi="宋体" w:eastAsia="宋体" w:cs="宋体"/>
          <w:spacing w:val="7"/>
          <w:position w:val="1"/>
          <w:sz w:val="20"/>
          <w:szCs w:val="20"/>
        </w:rPr>
        <w:t>11. 楼梯按设计图示尺寸以体积计算。嵌入砌体墙内的部分并入楼梯体</w:t>
      </w:r>
      <w:r>
        <w:rPr>
          <w:rFonts w:ascii="宋体" w:hAnsi="宋体" w:eastAsia="宋体" w:cs="宋体"/>
          <w:spacing w:val="6"/>
          <w:position w:val="1"/>
          <w:sz w:val="20"/>
          <w:szCs w:val="20"/>
        </w:rPr>
        <w:t>积内。</w:t>
      </w:r>
    </w:p>
    <w:p>
      <w:pPr>
        <w:spacing w:before="122" w:line="341" w:lineRule="auto"/>
        <w:ind w:firstLine="440"/>
        <w:rPr>
          <w:rFonts w:ascii="宋体" w:hAnsi="宋体" w:eastAsia="宋体" w:cs="宋体"/>
          <w:sz w:val="20"/>
          <w:szCs w:val="20"/>
        </w:rPr>
      </w:pPr>
      <w:r>
        <w:rPr>
          <w:rFonts w:ascii="宋体" w:hAnsi="宋体" w:eastAsia="宋体" w:cs="宋体"/>
          <w:spacing w:val="9"/>
          <w:sz w:val="20"/>
          <w:szCs w:val="20"/>
        </w:rPr>
        <w:t>12. 建筑物中，起挡土作用的地下室外围护墙按“地下室外墙</w:t>
      </w:r>
      <w:r>
        <w:rPr>
          <w:rFonts w:ascii="宋体" w:hAnsi="宋体" w:eastAsia="宋体" w:cs="宋体"/>
          <w:spacing w:val="-62"/>
          <w:sz w:val="20"/>
          <w:szCs w:val="20"/>
        </w:rPr>
        <w:t xml:space="preserve"> </w:t>
      </w:r>
      <w:r>
        <w:rPr>
          <w:rFonts w:ascii="宋体" w:hAnsi="宋体" w:eastAsia="宋体" w:cs="宋体"/>
          <w:spacing w:val="9"/>
          <w:sz w:val="20"/>
          <w:szCs w:val="20"/>
        </w:rPr>
        <w:t>”项目编码列项，其余现浇混凝</w:t>
      </w:r>
      <w:r>
        <w:rPr>
          <w:rFonts w:ascii="宋体" w:hAnsi="宋体" w:eastAsia="宋体" w:cs="宋体"/>
          <w:spacing w:val="10"/>
          <w:sz w:val="20"/>
          <w:szCs w:val="20"/>
        </w:rPr>
        <w:t>土墙按“钢筋混凝土墙</w:t>
      </w:r>
      <w:r>
        <w:rPr>
          <w:rFonts w:ascii="宋体" w:hAnsi="宋体" w:eastAsia="宋体" w:cs="宋体"/>
          <w:spacing w:val="-65"/>
          <w:sz w:val="20"/>
          <w:szCs w:val="20"/>
        </w:rPr>
        <w:t xml:space="preserve"> </w:t>
      </w:r>
      <w:r>
        <w:rPr>
          <w:rFonts w:ascii="宋体" w:hAnsi="宋体" w:eastAsia="宋体" w:cs="宋体"/>
          <w:spacing w:val="10"/>
          <w:sz w:val="20"/>
          <w:szCs w:val="20"/>
        </w:rPr>
        <w:t>”项目编码列项。钢筋混凝土墙除剪力墙身（简称墙身）外，还包括剪力墙</w:t>
      </w:r>
      <w:r>
        <w:rPr>
          <w:rFonts w:ascii="宋体" w:hAnsi="宋体" w:eastAsia="宋体" w:cs="宋体"/>
          <w:spacing w:val="11"/>
          <w:sz w:val="20"/>
          <w:szCs w:val="20"/>
        </w:rPr>
        <w:t>柱（简称墙柱）和剪力墙梁（简称墙梁）。墙柱指约束边缘构件、构造边缘构件</w:t>
      </w:r>
      <w:r>
        <w:rPr>
          <w:rFonts w:ascii="宋体" w:hAnsi="宋体" w:eastAsia="宋体" w:cs="宋体"/>
          <w:spacing w:val="10"/>
          <w:sz w:val="20"/>
          <w:szCs w:val="20"/>
        </w:rPr>
        <w:t>、非边缘暗柱、扶</w:t>
      </w:r>
      <w:r>
        <w:rPr>
          <w:rFonts w:ascii="宋体" w:hAnsi="宋体" w:eastAsia="宋体" w:cs="宋体"/>
          <w:spacing w:val="4"/>
          <w:sz w:val="20"/>
          <w:szCs w:val="20"/>
        </w:rPr>
        <w:t>壁柱，呈＋</w:t>
      </w:r>
      <w:r>
        <w:rPr>
          <w:rFonts w:ascii="宋体" w:hAnsi="宋体" w:eastAsia="宋体" w:cs="宋体"/>
          <w:spacing w:val="-45"/>
          <w:sz w:val="20"/>
          <w:szCs w:val="20"/>
        </w:rPr>
        <w:t xml:space="preserve"> </w:t>
      </w:r>
      <w:r>
        <w:rPr>
          <w:rFonts w:ascii="宋体" w:hAnsi="宋体" w:eastAsia="宋体" w:cs="宋体"/>
          <w:spacing w:val="4"/>
          <w:sz w:val="20"/>
          <w:szCs w:val="20"/>
        </w:rPr>
        <w:t>、T、Y、L、—字等形状，按柱式配筋，墙柱与墙</w:t>
      </w:r>
      <w:r>
        <w:rPr>
          <w:rFonts w:ascii="宋体" w:hAnsi="宋体" w:eastAsia="宋体" w:cs="宋体"/>
          <w:spacing w:val="3"/>
          <w:sz w:val="20"/>
          <w:szCs w:val="20"/>
        </w:rPr>
        <w:t>身相连还可能形成工、［</w:t>
      </w:r>
      <w:r>
        <w:rPr>
          <w:rFonts w:ascii="宋体" w:hAnsi="宋体" w:eastAsia="宋体" w:cs="宋体"/>
          <w:spacing w:val="-45"/>
          <w:sz w:val="20"/>
          <w:szCs w:val="20"/>
        </w:rPr>
        <w:t xml:space="preserve"> </w:t>
      </w:r>
      <w:r>
        <w:rPr>
          <w:rFonts w:ascii="宋体" w:hAnsi="宋体" w:eastAsia="宋体" w:cs="宋体"/>
          <w:spacing w:val="3"/>
          <w:sz w:val="20"/>
          <w:szCs w:val="20"/>
        </w:rPr>
        <w:t>、Z</w:t>
      </w:r>
      <w:r>
        <w:rPr>
          <w:rFonts w:ascii="宋体" w:hAnsi="宋体" w:eastAsia="宋体" w:cs="宋体"/>
          <w:spacing w:val="-43"/>
          <w:sz w:val="20"/>
          <w:szCs w:val="20"/>
        </w:rPr>
        <w:t xml:space="preserve"> </w:t>
      </w:r>
      <w:r>
        <w:rPr>
          <w:rFonts w:ascii="宋体" w:hAnsi="宋体" w:eastAsia="宋体" w:cs="宋体"/>
          <w:spacing w:val="3"/>
          <w:sz w:val="20"/>
          <w:szCs w:val="20"/>
        </w:rPr>
        <w:t>字等形状；</w:t>
      </w:r>
      <w:r>
        <w:rPr>
          <w:rFonts w:ascii="宋体" w:hAnsi="宋体" w:eastAsia="宋体" w:cs="宋体"/>
          <w:spacing w:val="10"/>
          <w:sz w:val="20"/>
          <w:szCs w:val="20"/>
        </w:rPr>
        <w:t>墙梁指连梁、暗梁、边框梁，处于填充墙大</w:t>
      </w:r>
      <w:r>
        <w:rPr>
          <w:rFonts w:ascii="宋体" w:hAnsi="宋体" w:eastAsia="宋体" w:cs="宋体"/>
          <w:spacing w:val="9"/>
          <w:sz w:val="20"/>
          <w:szCs w:val="20"/>
        </w:rPr>
        <w:t>洞口或其它洞口上方，按梁式配筋。</w:t>
      </w:r>
    </w:p>
    <w:p>
      <w:pPr>
        <w:spacing w:before="117" w:line="3507" w:lineRule="exact"/>
        <w:ind w:firstLine="1502"/>
      </w:pPr>
      <w:r>
        <w:rPr>
          <w:position w:val="-70"/>
        </w:rPr>
        <w:drawing>
          <wp:inline distT="0" distB="0" distL="0" distR="0">
            <wp:extent cx="3627120" cy="222631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375"/>
                    <a:stretch>
                      <a:fillRect/>
                    </a:stretch>
                  </pic:blipFill>
                  <pic:spPr>
                    <a:xfrm>
                      <a:off x="0" y="0"/>
                      <a:ext cx="3627120" cy="2226563"/>
                    </a:xfrm>
                    <a:prstGeom prst="rect">
                      <a:avLst/>
                    </a:prstGeom>
                  </pic:spPr>
                </pic:pic>
              </a:graphicData>
            </a:graphic>
          </wp:inline>
        </w:drawing>
      </w:r>
    </w:p>
    <w:p>
      <w:pPr>
        <w:spacing w:line="464" w:lineRule="auto"/>
        <w:rPr>
          <w:rFonts w:ascii="Arial"/>
          <w:sz w:val="21"/>
        </w:rPr>
      </w:pPr>
    </w:p>
    <w:p>
      <w:pPr>
        <w:spacing w:before="65" w:line="362" w:lineRule="auto"/>
        <w:ind w:left="1" w:right="2" w:firstLine="419"/>
        <w:jc w:val="both"/>
        <w:rPr>
          <w:rFonts w:ascii="宋体" w:hAnsi="宋体" w:eastAsia="宋体" w:cs="宋体"/>
          <w:sz w:val="20"/>
          <w:szCs w:val="20"/>
        </w:rPr>
      </w:pPr>
      <w:r>
        <w:rPr>
          <w:rFonts w:ascii="宋体" w:hAnsi="宋体" w:eastAsia="宋体" w:cs="宋体"/>
          <w:spacing w:val="8"/>
          <w:sz w:val="20"/>
          <w:szCs w:val="20"/>
        </w:rPr>
        <w:t>按照平法图集中的标注（如上图</w:t>
      </w:r>
      <w:r>
        <w:rPr>
          <w:rFonts w:ascii="宋体" w:hAnsi="宋体" w:eastAsia="宋体" w:cs="宋体"/>
          <w:spacing w:val="4"/>
          <w:sz w:val="20"/>
          <w:szCs w:val="20"/>
        </w:rPr>
        <w:t>），</w:t>
      </w:r>
      <w:r>
        <w:rPr>
          <w:rFonts w:ascii="宋体" w:hAnsi="宋体" w:eastAsia="宋体" w:cs="宋体"/>
          <w:spacing w:val="8"/>
          <w:sz w:val="20"/>
          <w:szCs w:val="20"/>
        </w:rPr>
        <w:t>连梁、暗梁、边</w:t>
      </w:r>
      <w:r>
        <w:rPr>
          <w:rFonts w:ascii="宋体" w:hAnsi="宋体" w:eastAsia="宋体" w:cs="宋体"/>
          <w:spacing w:val="7"/>
          <w:sz w:val="20"/>
          <w:szCs w:val="20"/>
        </w:rPr>
        <w:t>框梁皆为墙梁，不管其尺寸是否突出墙面，</w:t>
      </w:r>
      <w:r>
        <w:rPr>
          <w:rFonts w:ascii="宋体" w:hAnsi="宋体" w:eastAsia="宋体" w:cs="宋体"/>
          <w:spacing w:val="11"/>
          <w:sz w:val="20"/>
          <w:szCs w:val="20"/>
        </w:rPr>
        <w:t>都应按钢筋混凝土墙清单编码列项。如剪力墙结构中标注为墙梁以外的梁，按</w:t>
      </w:r>
      <w:r>
        <w:rPr>
          <w:rFonts w:ascii="宋体" w:hAnsi="宋体" w:eastAsia="宋体" w:cs="宋体"/>
          <w:spacing w:val="10"/>
          <w:sz w:val="20"/>
          <w:szCs w:val="20"/>
        </w:rPr>
        <w:t>照相应梁的清单编码</w:t>
      </w:r>
      <w:r>
        <w:rPr>
          <w:rFonts w:ascii="宋体" w:hAnsi="宋体" w:eastAsia="宋体" w:cs="宋体"/>
          <w:spacing w:val="4"/>
          <w:sz w:val="20"/>
          <w:szCs w:val="20"/>
        </w:rPr>
        <w:t>列项。</w:t>
      </w:r>
    </w:p>
    <w:p>
      <w:pPr>
        <w:spacing w:before="22" w:line="278" w:lineRule="exact"/>
        <w:ind w:left="440"/>
        <w:rPr>
          <w:rFonts w:ascii="宋体" w:hAnsi="宋体" w:eastAsia="宋体" w:cs="宋体"/>
          <w:sz w:val="20"/>
          <w:szCs w:val="20"/>
        </w:rPr>
      </w:pPr>
      <w:r>
        <w:rPr>
          <w:rFonts w:ascii="宋体" w:hAnsi="宋体" w:eastAsia="宋体" w:cs="宋体"/>
          <w:spacing w:val="5"/>
          <w:position w:val="1"/>
          <w:sz w:val="20"/>
          <w:szCs w:val="20"/>
        </w:rPr>
        <w:t>13. 现浇混凝土构件关于异形柱和墙的界线划分：</w:t>
      </w:r>
    </w:p>
    <w:p>
      <w:pPr>
        <w:spacing w:before="123" w:line="293" w:lineRule="auto"/>
        <w:ind w:left="5" w:right="64" w:firstLine="417"/>
        <w:rPr>
          <w:rFonts w:ascii="宋体" w:hAnsi="宋体" w:eastAsia="宋体" w:cs="宋体"/>
          <w:sz w:val="20"/>
          <w:szCs w:val="20"/>
        </w:rPr>
      </w:pPr>
      <w:r>
        <w:rPr>
          <w:rFonts w:ascii="宋体" w:hAnsi="宋体" w:eastAsia="宋体" w:cs="宋体"/>
          <w:spacing w:val="10"/>
          <w:sz w:val="20"/>
          <w:szCs w:val="20"/>
        </w:rPr>
        <w:t>异形柱水平各方向上截面高度与厚度之比均</w:t>
      </w:r>
      <w:r>
        <w:rPr>
          <w:rFonts w:ascii="宋体" w:hAnsi="宋体" w:eastAsia="宋体" w:cs="宋体"/>
          <w:spacing w:val="9"/>
          <w:sz w:val="20"/>
          <w:szCs w:val="20"/>
        </w:rPr>
        <w:t>大于</w:t>
      </w:r>
      <w:r>
        <w:rPr>
          <w:rFonts w:ascii="宋体" w:hAnsi="宋体" w:eastAsia="宋体" w:cs="宋体"/>
          <w:spacing w:val="-42"/>
          <w:sz w:val="20"/>
          <w:szCs w:val="20"/>
        </w:rPr>
        <w:t xml:space="preserve"> </w:t>
      </w:r>
      <w:r>
        <w:rPr>
          <w:rFonts w:ascii="宋体" w:hAnsi="宋体" w:eastAsia="宋体" w:cs="宋体"/>
          <w:spacing w:val="9"/>
          <w:sz w:val="20"/>
          <w:szCs w:val="20"/>
        </w:rPr>
        <w:t>4</w:t>
      </w:r>
      <w:r>
        <w:rPr>
          <w:rFonts w:ascii="宋体" w:hAnsi="宋体" w:eastAsia="宋体" w:cs="宋体"/>
          <w:spacing w:val="-31"/>
          <w:sz w:val="20"/>
          <w:szCs w:val="20"/>
        </w:rPr>
        <w:t xml:space="preserve"> </w:t>
      </w:r>
      <w:r>
        <w:rPr>
          <w:rFonts w:ascii="宋体" w:hAnsi="宋体" w:eastAsia="宋体" w:cs="宋体"/>
          <w:spacing w:val="9"/>
          <w:sz w:val="20"/>
          <w:szCs w:val="20"/>
        </w:rPr>
        <w:t>时，按“钢筋混凝土墙</w:t>
      </w:r>
      <w:r>
        <w:rPr>
          <w:rFonts w:ascii="宋体" w:hAnsi="宋体" w:eastAsia="宋体" w:cs="宋体"/>
          <w:spacing w:val="-70"/>
          <w:sz w:val="20"/>
          <w:szCs w:val="20"/>
        </w:rPr>
        <w:t xml:space="preserve"> </w:t>
      </w:r>
      <w:r>
        <w:rPr>
          <w:rFonts w:ascii="宋体" w:hAnsi="宋体" w:eastAsia="宋体" w:cs="宋体"/>
          <w:spacing w:val="9"/>
          <w:sz w:val="20"/>
          <w:szCs w:val="20"/>
        </w:rPr>
        <w:t>”项目编码列项。按</w:t>
      </w:r>
      <w:r>
        <w:rPr>
          <w:rFonts w:ascii="宋体" w:hAnsi="宋体" w:eastAsia="宋体" w:cs="宋体"/>
          <w:spacing w:val="10"/>
          <w:sz w:val="20"/>
          <w:szCs w:val="20"/>
        </w:rPr>
        <w:t>照结构设计要求，异形柱截面各肢肢高与肢厚之比不应大于4，因此大于</w:t>
      </w:r>
      <w:r>
        <w:rPr>
          <w:rFonts w:ascii="宋体" w:hAnsi="宋体" w:eastAsia="宋体" w:cs="宋体"/>
          <w:spacing w:val="-43"/>
          <w:sz w:val="20"/>
          <w:szCs w:val="20"/>
        </w:rPr>
        <w:t xml:space="preserve"> </w:t>
      </w:r>
      <w:r>
        <w:rPr>
          <w:rFonts w:ascii="宋体" w:hAnsi="宋体" w:eastAsia="宋体" w:cs="宋体"/>
          <w:spacing w:val="10"/>
          <w:sz w:val="20"/>
          <w:szCs w:val="20"/>
        </w:rPr>
        <w:t>4</w:t>
      </w:r>
      <w:r>
        <w:rPr>
          <w:rFonts w:ascii="宋体" w:hAnsi="宋体" w:eastAsia="宋体" w:cs="宋体"/>
          <w:spacing w:val="-33"/>
          <w:sz w:val="20"/>
          <w:szCs w:val="20"/>
        </w:rPr>
        <w:t xml:space="preserve"> </w:t>
      </w:r>
      <w:r>
        <w:rPr>
          <w:rFonts w:ascii="宋体" w:hAnsi="宋体" w:eastAsia="宋体" w:cs="宋体"/>
          <w:spacing w:val="10"/>
          <w:sz w:val="20"/>
          <w:szCs w:val="20"/>
        </w:rPr>
        <w:t>时应按墙编码列项。</w:t>
      </w:r>
    </w:p>
    <w:p>
      <w:pPr>
        <w:spacing w:line="2473" w:lineRule="exact"/>
        <w:ind w:firstLine="549"/>
      </w:pPr>
      <w:r>
        <w:rPr>
          <w:position w:val="-49"/>
        </w:rPr>
        <w:drawing>
          <wp:inline distT="0" distB="0" distL="0" distR="0">
            <wp:extent cx="4890135" cy="156972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376"/>
                    <a:stretch>
                      <a:fillRect/>
                    </a:stretch>
                  </pic:blipFill>
                  <pic:spPr>
                    <a:xfrm>
                      <a:off x="0" y="0"/>
                      <a:ext cx="4890515" cy="1570309"/>
                    </a:xfrm>
                    <a:prstGeom prst="rect">
                      <a:avLst/>
                    </a:prstGeom>
                  </pic:spPr>
                </pic:pic>
              </a:graphicData>
            </a:graphic>
          </wp:inline>
        </w:drawing>
      </w:r>
    </w:p>
    <w:p>
      <w:pPr>
        <w:spacing w:line="2473" w:lineRule="exact"/>
        <w:sectPr>
          <w:footerReference r:id="rId87" w:type="default"/>
          <w:pgSz w:w="11905" w:h="16840"/>
          <w:pgMar w:top="400" w:right="1352"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3"/>
        <w:rPr>
          <w:rFonts w:ascii="宋体" w:hAnsi="宋体" w:eastAsia="宋体" w:cs="宋体"/>
          <w:sz w:val="20"/>
          <w:szCs w:val="20"/>
        </w:rPr>
      </w:pPr>
      <w:r>
        <w:rPr>
          <w:rFonts w:ascii="宋体" w:hAnsi="宋体" w:eastAsia="宋体" w:cs="宋体"/>
          <w:b/>
          <w:bCs/>
          <w:spacing w:val="3"/>
          <w:position w:val="1"/>
          <w:sz w:val="20"/>
          <w:szCs w:val="20"/>
        </w:rPr>
        <w:t>E.3</w:t>
      </w:r>
      <w:r>
        <w:rPr>
          <w:rFonts w:ascii="宋体" w:hAnsi="宋体" w:eastAsia="宋体" w:cs="宋体"/>
          <w:spacing w:val="-34"/>
          <w:position w:val="1"/>
          <w:sz w:val="20"/>
          <w:szCs w:val="20"/>
        </w:rPr>
        <w:t xml:space="preserve"> </w:t>
      </w:r>
      <w:r>
        <w:rPr>
          <w:rFonts w:ascii="宋体" w:hAnsi="宋体" w:eastAsia="宋体" w:cs="宋体"/>
          <w:b/>
          <w:bCs/>
          <w:spacing w:val="3"/>
          <w:position w:val="1"/>
          <w:sz w:val="20"/>
          <w:szCs w:val="20"/>
        </w:rPr>
        <w:t>一般预制混凝土构件</w:t>
      </w:r>
    </w:p>
    <w:p>
      <w:pPr>
        <w:spacing w:before="122" w:line="297" w:lineRule="auto"/>
        <w:ind w:right="16" w:firstLine="440"/>
        <w:rPr>
          <w:rFonts w:ascii="宋体" w:hAnsi="宋体" w:eastAsia="宋体" w:cs="宋体"/>
          <w:sz w:val="20"/>
          <w:szCs w:val="20"/>
        </w:rPr>
      </w:pPr>
      <w:r>
        <w:rPr>
          <w:rFonts w:ascii="宋体" w:hAnsi="宋体" w:eastAsia="宋体" w:cs="宋体"/>
          <w:spacing w:val="4"/>
          <w:sz w:val="20"/>
          <w:szCs w:val="20"/>
        </w:rPr>
        <w:t>1. 小型池槽、压顶、扶手、垫块、墩块、隔热板、花格等应</w:t>
      </w:r>
      <w:r>
        <w:rPr>
          <w:rFonts w:ascii="宋体" w:hAnsi="宋体" w:eastAsia="宋体" w:cs="宋体"/>
          <w:spacing w:val="3"/>
          <w:sz w:val="20"/>
          <w:szCs w:val="20"/>
        </w:rPr>
        <w:t>按“其他构件</w:t>
      </w:r>
      <w:r>
        <w:rPr>
          <w:rFonts w:ascii="宋体" w:hAnsi="宋体" w:eastAsia="宋体" w:cs="宋体"/>
          <w:spacing w:val="-70"/>
          <w:sz w:val="20"/>
          <w:szCs w:val="20"/>
        </w:rPr>
        <w:t xml:space="preserve"> </w:t>
      </w:r>
      <w:r>
        <w:rPr>
          <w:rFonts w:ascii="宋体" w:hAnsi="宋体" w:eastAsia="宋体" w:cs="宋体"/>
          <w:spacing w:val="3"/>
          <w:sz w:val="20"/>
          <w:szCs w:val="20"/>
        </w:rPr>
        <w:t>”项目分别编码列项，</w:t>
      </w:r>
      <w:r>
        <w:rPr>
          <w:rFonts w:ascii="宋体" w:hAnsi="宋体" w:eastAsia="宋体" w:cs="宋体"/>
          <w:spacing w:val="8"/>
          <w:sz w:val="20"/>
          <w:szCs w:val="20"/>
        </w:rPr>
        <w:t>并描述构件名称。</w:t>
      </w:r>
    </w:p>
    <w:p>
      <w:pPr>
        <w:spacing w:before="156" w:line="297" w:lineRule="auto"/>
        <w:ind w:left="2" w:right="80" w:firstLine="420"/>
        <w:rPr>
          <w:rFonts w:ascii="宋体" w:hAnsi="宋体" w:eastAsia="宋体" w:cs="宋体"/>
          <w:sz w:val="20"/>
          <w:szCs w:val="20"/>
        </w:rPr>
      </w:pPr>
      <w:r>
        <w:rPr>
          <w:rFonts w:ascii="宋体" w:hAnsi="宋体" w:eastAsia="宋体" w:cs="宋体"/>
          <w:spacing w:val="8"/>
          <w:sz w:val="20"/>
          <w:szCs w:val="20"/>
        </w:rPr>
        <w:t>2. 一般预制混凝土构件的工作内容中不包含使用大型垂直运输机械进行的吊装工作，大型垂直</w:t>
      </w:r>
      <w:r>
        <w:rPr>
          <w:rFonts w:ascii="宋体" w:hAnsi="宋体" w:eastAsia="宋体" w:cs="宋体"/>
          <w:spacing w:val="10"/>
          <w:sz w:val="20"/>
          <w:szCs w:val="20"/>
        </w:rPr>
        <w:t>运输机械的使用应包含在国家计算标准附录</w:t>
      </w:r>
      <w:r>
        <w:rPr>
          <w:rFonts w:ascii="宋体" w:hAnsi="宋体" w:eastAsia="宋体" w:cs="宋体"/>
          <w:spacing w:val="-37"/>
          <w:sz w:val="20"/>
          <w:szCs w:val="20"/>
        </w:rPr>
        <w:t xml:space="preserve"> </w:t>
      </w:r>
      <w:r>
        <w:rPr>
          <w:rFonts w:ascii="宋体" w:hAnsi="宋体" w:eastAsia="宋体" w:cs="宋体"/>
          <w:spacing w:val="10"/>
          <w:sz w:val="20"/>
          <w:szCs w:val="20"/>
        </w:rPr>
        <w:t>R 措施</w:t>
      </w:r>
      <w:r>
        <w:rPr>
          <w:rFonts w:ascii="宋体" w:hAnsi="宋体" w:eastAsia="宋体" w:cs="宋体"/>
          <w:spacing w:val="9"/>
          <w:sz w:val="20"/>
          <w:szCs w:val="20"/>
        </w:rPr>
        <w:t>项目中。</w:t>
      </w:r>
    </w:p>
    <w:p>
      <w:pPr>
        <w:spacing w:before="157" w:line="321" w:lineRule="auto"/>
        <w:ind w:right="80" w:firstLine="425"/>
        <w:rPr>
          <w:rFonts w:ascii="宋体" w:hAnsi="宋体" w:eastAsia="宋体" w:cs="宋体"/>
          <w:sz w:val="20"/>
          <w:szCs w:val="20"/>
        </w:rPr>
      </w:pPr>
      <w:r>
        <w:rPr>
          <w:rFonts w:ascii="宋体" w:hAnsi="宋体" w:eastAsia="宋体" w:cs="宋体"/>
          <w:spacing w:val="8"/>
          <w:sz w:val="20"/>
          <w:szCs w:val="20"/>
        </w:rPr>
        <w:t>3. 一般预制混凝土构件小节按照成品或半成品预制构件进行编码列项，因此工作内</w:t>
      </w:r>
      <w:r>
        <w:rPr>
          <w:rFonts w:ascii="宋体" w:hAnsi="宋体" w:eastAsia="宋体" w:cs="宋体"/>
          <w:spacing w:val="7"/>
          <w:sz w:val="20"/>
          <w:szCs w:val="20"/>
        </w:rPr>
        <w:t>容中不再考</w:t>
      </w:r>
      <w:r>
        <w:rPr>
          <w:rFonts w:ascii="宋体" w:hAnsi="宋体" w:eastAsia="宋体" w:cs="宋体"/>
          <w:spacing w:val="11"/>
          <w:sz w:val="20"/>
          <w:szCs w:val="20"/>
        </w:rPr>
        <w:t>虑模板制作、安装、拆除和除混凝土制作、运输、浇筑、养护等。相应的，预制</w:t>
      </w:r>
      <w:r>
        <w:rPr>
          <w:rFonts w:ascii="宋体" w:hAnsi="宋体" w:eastAsia="宋体" w:cs="宋体"/>
          <w:spacing w:val="10"/>
          <w:sz w:val="20"/>
          <w:szCs w:val="20"/>
        </w:rPr>
        <w:t>混凝土构件应包含</w:t>
      </w:r>
      <w:r>
        <w:rPr>
          <w:rFonts w:ascii="宋体" w:hAnsi="宋体" w:eastAsia="宋体" w:cs="宋体"/>
          <w:spacing w:val="7"/>
          <w:sz w:val="20"/>
          <w:szCs w:val="20"/>
        </w:rPr>
        <w:t>其自身的钢筋。</w:t>
      </w:r>
    </w:p>
    <w:p>
      <w:pPr>
        <w:spacing w:before="157" w:line="296" w:lineRule="auto"/>
        <w:ind w:left="2" w:right="80" w:firstLine="417"/>
        <w:rPr>
          <w:rFonts w:ascii="宋体" w:hAnsi="宋体" w:eastAsia="宋体" w:cs="宋体"/>
          <w:sz w:val="20"/>
          <w:szCs w:val="20"/>
        </w:rPr>
      </w:pPr>
      <w:r>
        <w:rPr>
          <w:rFonts w:ascii="宋体" w:hAnsi="宋体" w:eastAsia="宋体" w:cs="宋体"/>
          <w:spacing w:val="8"/>
          <w:sz w:val="20"/>
          <w:szCs w:val="20"/>
        </w:rPr>
        <w:t>4. 一般预制混凝土构件的工作内容中不包含使用大型垂直运输机械进行的吊装工作，大型垂直</w:t>
      </w:r>
      <w:r>
        <w:rPr>
          <w:rFonts w:ascii="宋体" w:hAnsi="宋体" w:eastAsia="宋体" w:cs="宋体"/>
          <w:spacing w:val="10"/>
          <w:sz w:val="20"/>
          <w:szCs w:val="20"/>
        </w:rPr>
        <w:t>运输机械的使用应包含在国家计算标准附录</w:t>
      </w:r>
      <w:r>
        <w:rPr>
          <w:rFonts w:ascii="宋体" w:hAnsi="宋体" w:eastAsia="宋体" w:cs="宋体"/>
          <w:spacing w:val="-37"/>
          <w:sz w:val="20"/>
          <w:szCs w:val="20"/>
        </w:rPr>
        <w:t xml:space="preserve"> </w:t>
      </w:r>
      <w:r>
        <w:rPr>
          <w:rFonts w:ascii="宋体" w:hAnsi="宋体" w:eastAsia="宋体" w:cs="宋体"/>
          <w:spacing w:val="10"/>
          <w:sz w:val="20"/>
          <w:szCs w:val="20"/>
        </w:rPr>
        <w:t>R</w:t>
      </w:r>
      <w:r>
        <w:rPr>
          <w:rFonts w:ascii="宋体" w:hAnsi="宋体" w:eastAsia="宋体" w:cs="宋体"/>
          <w:spacing w:val="-44"/>
          <w:sz w:val="20"/>
          <w:szCs w:val="20"/>
        </w:rPr>
        <w:t xml:space="preserve"> </w:t>
      </w:r>
      <w:r>
        <w:rPr>
          <w:rFonts w:ascii="宋体" w:hAnsi="宋体" w:eastAsia="宋体" w:cs="宋体"/>
          <w:spacing w:val="10"/>
          <w:sz w:val="20"/>
          <w:szCs w:val="20"/>
        </w:rPr>
        <w:t>措施项目中。</w:t>
      </w:r>
    </w:p>
    <w:p>
      <w:pPr>
        <w:spacing w:before="158" w:line="276" w:lineRule="exact"/>
        <w:ind w:left="423"/>
        <w:rPr>
          <w:rFonts w:ascii="宋体" w:hAnsi="宋体" w:eastAsia="宋体" w:cs="宋体"/>
          <w:sz w:val="20"/>
          <w:szCs w:val="20"/>
        </w:rPr>
      </w:pPr>
      <w:r>
        <w:rPr>
          <w:rFonts w:ascii="宋体" w:hAnsi="宋体" w:eastAsia="宋体" w:cs="宋体"/>
          <w:spacing w:val="8"/>
          <w:position w:val="1"/>
          <w:sz w:val="20"/>
          <w:szCs w:val="20"/>
        </w:rPr>
        <w:t>5. 一般预制混凝土构件如发生现场预制，现场预制构件发生的相应费用应计入</w:t>
      </w:r>
      <w:r>
        <w:rPr>
          <w:rFonts w:ascii="宋体" w:hAnsi="宋体" w:eastAsia="宋体" w:cs="宋体"/>
          <w:spacing w:val="7"/>
          <w:position w:val="1"/>
          <w:sz w:val="20"/>
          <w:szCs w:val="20"/>
        </w:rPr>
        <w:t>综合单价。</w:t>
      </w:r>
    </w:p>
    <w:p>
      <w:pPr>
        <w:spacing w:before="125" w:line="277" w:lineRule="exact"/>
        <w:ind w:left="423"/>
        <w:rPr>
          <w:rFonts w:ascii="宋体" w:hAnsi="宋体" w:eastAsia="宋体" w:cs="宋体"/>
          <w:sz w:val="20"/>
          <w:szCs w:val="20"/>
        </w:rPr>
      </w:pPr>
      <w:r>
        <w:rPr>
          <w:rFonts w:ascii="宋体" w:hAnsi="宋体" w:eastAsia="宋体" w:cs="宋体"/>
          <w:b/>
          <w:bCs/>
          <w:spacing w:val="4"/>
          <w:position w:val="1"/>
          <w:sz w:val="20"/>
          <w:szCs w:val="20"/>
        </w:rPr>
        <w:t>E.4</w:t>
      </w:r>
      <w:r>
        <w:rPr>
          <w:rFonts w:ascii="宋体" w:hAnsi="宋体" w:eastAsia="宋体" w:cs="宋体"/>
          <w:spacing w:val="-41"/>
          <w:position w:val="1"/>
          <w:sz w:val="20"/>
          <w:szCs w:val="20"/>
        </w:rPr>
        <w:t xml:space="preserve"> </w:t>
      </w:r>
      <w:r>
        <w:rPr>
          <w:rFonts w:ascii="宋体" w:hAnsi="宋体" w:eastAsia="宋体" w:cs="宋体"/>
          <w:b/>
          <w:bCs/>
          <w:spacing w:val="4"/>
          <w:position w:val="1"/>
          <w:sz w:val="20"/>
          <w:szCs w:val="20"/>
        </w:rPr>
        <w:t>装配式预制混凝土构件</w:t>
      </w:r>
    </w:p>
    <w:p>
      <w:pPr>
        <w:spacing w:before="122" w:line="295" w:lineRule="auto"/>
        <w:ind w:right="80" w:firstLine="439"/>
        <w:rPr>
          <w:rFonts w:ascii="宋体" w:hAnsi="宋体" w:eastAsia="宋体" w:cs="宋体"/>
          <w:sz w:val="20"/>
          <w:szCs w:val="20"/>
        </w:rPr>
      </w:pPr>
      <w:r>
        <w:rPr>
          <w:rFonts w:ascii="宋体" w:hAnsi="宋体" w:eastAsia="宋体" w:cs="宋体"/>
          <w:spacing w:val="6"/>
          <w:sz w:val="20"/>
          <w:szCs w:val="20"/>
        </w:rPr>
        <w:t>1. 装配式构件自带钢筋之外的钢筋应按国家计算标准附录</w:t>
      </w:r>
      <w:r>
        <w:rPr>
          <w:rFonts w:ascii="宋体" w:hAnsi="宋体" w:eastAsia="宋体" w:cs="宋体"/>
          <w:spacing w:val="-40"/>
          <w:sz w:val="20"/>
          <w:szCs w:val="20"/>
        </w:rPr>
        <w:t xml:space="preserve"> </w:t>
      </w:r>
      <w:r>
        <w:rPr>
          <w:rFonts w:ascii="宋体" w:hAnsi="宋体" w:eastAsia="宋体" w:cs="宋体"/>
          <w:spacing w:val="6"/>
          <w:sz w:val="20"/>
          <w:szCs w:val="20"/>
        </w:rPr>
        <w:t>E.6 钢筋及螺栓、铁件的</w:t>
      </w:r>
      <w:r>
        <w:rPr>
          <w:rFonts w:ascii="宋体" w:hAnsi="宋体" w:eastAsia="宋体" w:cs="宋体"/>
          <w:spacing w:val="5"/>
          <w:sz w:val="20"/>
          <w:szCs w:val="20"/>
        </w:rPr>
        <w:t>相应项目编</w:t>
      </w:r>
      <w:r>
        <w:rPr>
          <w:rFonts w:ascii="宋体" w:hAnsi="宋体" w:eastAsia="宋体" w:cs="宋体"/>
          <w:spacing w:val="6"/>
          <w:sz w:val="20"/>
          <w:szCs w:val="20"/>
        </w:rPr>
        <w:t>码列项。</w:t>
      </w:r>
    </w:p>
    <w:p>
      <w:pPr>
        <w:spacing w:before="162" w:line="312" w:lineRule="auto"/>
        <w:ind w:left="3" w:right="80" w:firstLine="420"/>
        <w:rPr>
          <w:rFonts w:ascii="宋体" w:hAnsi="宋体" w:eastAsia="宋体" w:cs="宋体"/>
          <w:sz w:val="20"/>
          <w:szCs w:val="20"/>
        </w:rPr>
      </w:pPr>
      <w:r>
        <w:rPr>
          <w:rFonts w:ascii="宋体" w:hAnsi="宋体" w:eastAsia="宋体" w:cs="宋体"/>
          <w:spacing w:val="8"/>
          <w:sz w:val="20"/>
          <w:szCs w:val="20"/>
        </w:rPr>
        <w:t>2. 装配式构件安装包括构件固定所需临时支撑的搭设及拆除，如采用特殊工艺，则应在项目特</w:t>
      </w:r>
      <w:r>
        <w:rPr>
          <w:rFonts w:ascii="宋体" w:hAnsi="宋体" w:eastAsia="宋体" w:cs="宋体"/>
          <w:spacing w:val="5"/>
          <w:sz w:val="20"/>
          <w:szCs w:val="20"/>
        </w:rPr>
        <w:t>征中描述支撑(含支撑用预埋铁件)的种类及搭设方式。</w:t>
      </w:r>
    </w:p>
    <w:p>
      <w:pPr>
        <w:spacing w:before="123" w:line="297" w:lineRule="auto"/>
        <w:ind w:left="2" w:firstLine="424"/>
        <w:rPr>
          <w:rFonts w:ascii="宋体" w:hAnsi="宋体" w:eastAsia="宋体" w:cs="宋体"/>
          <w:sz w:val="20"/>
          <w:szCs w:val="20"/>
        </w:rPr>
      </w:pPr>
      <w:r>
        <w:rPr>
          <w:rFonts w:ascii="宋体" w:hAnsi="宋体" w:eastAsia="宋体" w:cs="宋体"/>
          <w:spacing w:val="5"/>
          <w:sz w:val="20"/>
          <w:szCs w:val="20"/>
        </w:rPr>
        <w:t>3. 装配式构件工程量计算规则中的预埋部件，是指预埋钢板、螺栓、套筒、螺母、线盒、电盒、</w:t>
      </w:r>
      <w:r>
        <w:rPr>
          <w:rFonts w:ascii="宋体" w:hAnsi="宋体" w:eastAsia="宋体" w:cs="宋体"/>
          <w:spacing w:val="7"/>
          <w:sz w:val="20"/>
          <w:szCs w:val="20"/>
        </w:rPr>
        <w:t>线管、木砖等。</w:t>
      </w:r>
    </w:p>
    <w:p>
      <w:pPr>
        <w:spacing w:before="155" w:line="277" w:lineRule="exact"/>
        <w:ind w:left="420"/>
        <w:rPr>
          <w:rFonts w:ascii="宋体" w:hAnsi="宋体" w:eastAsia="宋体" w:cs="宋体"/>
          <w:sz w:val="20"/>
          <w:szCs w:val="20"/>
        </w:rPr>
      </w:pPr>
      <w:r>
        <w:rPr>
          <w:rFonts w:ascii="宋体" w:hAnsi="宋体" w:eastAsia="宋体" w:cs="宋体"/>
          <w:spacing w:val="7"/>
          <w:position w:val="1"/>
          <w:sz w:val="20"/>
          <w:szCs w:val="20"/>
        </w:rPr>
        <w:t>4. 叠合楼板的预制板之间的后浇混凝土板带，并入“叠合梁、板后浇混凝土</w:t>
      </w:r>
      <w:r>
        <w:rPr>
          <w:rFonts w:ascii="宋体" w:hAnsi="宋体" w:eastAsia="宋体" w:cs="宋体"/>
          <w:spacing w:val="-65"/>
          <w:position w:val="1"/>
          <w:sz w:val="20"/>
          <w:szCs w:val="20"/>
        </w:rPr>
        <w:t xml:space="preserve"> </w:t>
      </w:r>
      <w:r>
        <w:rPr>
          <w:rFonts w:ascii="宋体" w:hAnsi="宋体" w:eastAsia="宋体" w:cs="宋体"/>
          <w:spacing w:val="7"/>
          <w:position w:val="1"/>
          <w:sz w:val="20"/>
          <w:szCs w:val="20"/>
        </w:rPr>
        <w:t>”内计算。</w:t>
      </w:r>
    </w:p>
    <w:p>
      <w:pPr>
        <w:spacing w:before="124" w:line="277" w:lineRule="exact"/>
        <w:ind w:left="423"/>
        <w:rPr>
          <w:rFonts w:ascii="宋体" w:hAnsi="宋体" w:eastAsia="宋体" w:cs="宋体"/>
          <w:sz w:val="20"/>
          <w:szCs w:val="20"/>
        </w:rPr>
      </w:pPr>
      <w:r>
        <w:rPr>
          <w:rFonts w:ascii="宋体" w:hAnsi="宋体" w:eastAsia="宋体" w:cs="宋体"/>
          <w:b/>
          <w:bCs/>
          <w:spacing w:val="1"/>
          <w:position w:val="1"/>
          <w:sz w:val="20"/>
          <w:szCs w:val="20"/>
        </w:rPr>
        <w:t>E.5</w:t>
      </w:r>
      <w:r>
        <w:rPr>
          <w:rFonts w:ascii="宋体" w:hAnsi="宋体" w:eastAsia="宋体" w:cs="宋体"/>
          <w:spacing w:val="-42"/>
          <w:position w:val="1"/>
          <w:sz w:val="20"/>
          <w:szCs w:val="20"/>
        </w:rPr>
        <w:t xml:space="preserve"> </w:t>
      </w:r>
      <w:r>
        <w:rPr>
          <w:rFonts w:ascii="宋体" w:hAnsi="宋体" w:eastAsia="宋体" w:cs="宋体"/>
          <w:b/>
          <w:bCs/>
          <w:spacing w:val="1"/>
          <w:position w:val="1"/>
          <w:sz w:val="20"/>
          <w:szCs w:val="20"/>
        </w:rPr>
        <w:t>混凝土模板</w:t>
      </w:r>
    </w:p>
    <w:p>
      <w:pPr>
        <w:spacing w:before="126" w:line="333" w:lineRule="auto"/>
        <w:ind w:right="80" w:firstLine="440"/>
        <w:rPr>
          <w:rFonts w:ascii="宋体" w:hAnsi="宋体" w:eastAsia="宋体" w:cs="宋体"/>
          <w:sz w:val="20"/>
          <w:szCs w:val="20"/>
        </w:rPr>
      </w:pPr>
      <w:r>
        <w:rPr>
          <w:rFonts w:ascii="宋体" w:hAnsi="宋体" w:eastAsia="宋体" w:cs="宋体"/>
          <w:spacing w:val="8"/>
          <w:sz w:val="20"/>
          <w:szCs w:val="20"/>
        </w:rPr>
        <w:t>1. 设计图纸或交工标准对现浇混凝土构件表面有特</w:t>
      </w:r>
      <w:r>
        <w:rPr>
          <w:rFonts w:ascii="宋体" w:hAnsi="宋体" w:eastAsia="宋体" w:cs="宋体"/>
          <w:spacing w:val="7"/>
          <w:sz w:val="20"/>
          <w:szCs w:val="20"/>
        </w:rPr>
        <w:t>殊要求的，如清水混凝土、表面纹饰造型混</w:t>
      </w:r>
      <w:r>
        <w:rPr>
          <w:rFonts w:ascii="宋体" w:hAnsi="宋体" w:eastAsia="宋体" w:cs="宋体"/>
          <w:spacing w:val="10"/>
          <w:sz w:val="20"/>
          <w:szCs w:val="20"/>
        </w:rPr>
        <w:t>凝土等，其模板项目特征中需增加“混凝土表面要求”</w:t>
      </w:r>
      <w:r>
        <w:rPr>
          <w:rFonts w:ascii="宋体" w:hAnsi="宋体" w:eastAsia="宋体" w:cs="宋体"/>
          <w:spacing w:val="-64"/>
          <w:sz w:val="20"/>
          <w:szCs w:val="20"/>
        </w:rPr>
        <w:t xml:space="preserve"> </w:t>
      </w:r>
      <w:r>
        <w:rPr>
          <w:rFonts w:ascii="宋体" w:hAnsi="宋体" w:eastAsia="宋体" w:cs="宋体"/>
          <w:spacing w:val="10"/>
          <w:sz w:val="20"/>
          <w:szCs w:val="20"/>
        </w:rPr>
        <w:t>；设计图纸要求使用定制模板浇筑异型混凝土构件的，其模板项目特征中需增加“模板定制要求”</w:t>
      </w:r>
      <w:r>
        <w:rPr>
          <w:rFonts w:ascii="宋体" w:hAnsi="宋体" w:eastAsia="宋体" w:cs="宋体"/>
          <w:spacing w:val="-62"/>
          <w:sz w:val="20"/>
          <w:szCs w:val="20"/>
        </w:rPr>
        <w:t xml:space="preserve"> </w:t>
      </w:r>
      <w:r>
        <w:rPr>
          <w:rFonts w:ascii="宋体" w:hAnsi="宋体" w:eastAsia="宋体" w:cs="宋体"/>
          <w:spacing w:val="10"/>
          <w:sz w:val="20"/>
          <w:szCs w:val="20"/>
        </w:rPr>
        <w:t>；发包人对模板材质、支模方式等有特</w:t>
      </w:r>
      <w:r>
        <w:rPr>
          <w:rFonts w:ascii="宋体" w:hAnsi="宋体" w:eastAsia="宋体" w:cs="宋体"/>
          <w:spacing w:val="9"/>
          <w:sz w:val="20"/>
          <w:szCs w:val="20"/>
        </w:rPr>
        <w:t>殊要求的，可在项目特征中补充描述。</w:t>
      </w:r>
    </w:p>
    <w:p>
      <w:pPr>
        <w:spacing w:before="153" w:line="298" w:lineRule="auto"/>
        <w:ind w:left="1" w:firstLine="421"/>
        <w:rPr>
          <w:rFonts w:ascii="宋体" w:hAnsi="宋体" w:eastAsia="宋体" w:cs="宋体"/>
          <w:sz w:val="20"/>
          <w:szCs w:val="20"/>
        </w:rPr>
      </w:pPr>
      <w:r>
        <w:rPr>
          <w:rFonts w:ascii="宋体" w:hAnsi="宋体" w:eastAsia="宋体" w:cs="宋体"/>
          <w:spacing w:val="5"/>
          <w:sz w:val="20"/>
          <w:szCs w:val="20"/>
        </w:rPr>
        <w:t>2. 墙与柱连接时算至柱边；墙与梁连接时墙算至梁底；墙与板连接时板算至墙侧；柱、墙、梁、</w:t>
      </w:r>
      <w:r>
        <w:rPr>
          <w:rFonts w:ascii="宋体" w:hAnsi="宋体" w:eastAsia="宋体" w:cs="宋体"/>
          <w:spacing w:val="9"/>
          <w:sz w:val="20"/>
          <w:szCs w:val="20"/>
        </w:rPr>
        <w:t>板、栏板相互连接的重叠部分，应扣除重叠部分的模板面积。</w:t>
      </w:r>
    </w:p>
    <w:p>
      <w:pPr>
        <w:spacing w:before="157" w:line="295" w:lineRule="auto"/>
        <w:ind w:left="2" w:right="80" w:firstLine="424"/>
        <w:rPr>
          <w:rFonts w:ascii="宋体" w:hAnsi="宋体" w:eastAsia="宋体" w:cs="宋体"/>
          <w:sz w:val="20"/>
          <w:szCs w:val="20"/>
        </w:rPr>
      </w:pPr>
      <w:r>
        <w:rPr>
          <w:rFonts w:ascii="宋体" w:hAnsi="宋体" w:eastAsia="宋体" w:cs="宋体"/>
          <w:spacing w:val="8"/>
          <w:sz w:val="20"/>
          <w:szCs w:val="20"/>
        </w:rPr>
        <w:t>3. 梁模板项目的计算规则为“按模板与现浇混凝土构件的接触面积计算。梁板连接</w:t>
      </w:r>
      <w:r>
        <w:rPr>
          <w:rFonts w:ascii="宋体" w:hAnsi="宋体" w:eastAsia="宋体" w:cs="宋体"/>
          <w:spacing w:val="7"/>
          <w:sz w:val="20"/>
          <w:szCs w:val="20"/>
        </w:rPr>
        <w:t>时，边缘处</w:t>
      </w:r>
      <w:r>
        <w:rPr>
          <w:rFonts w:ascii="宋体" w:hAnsi="宋体" w:eastAsia="宋体" w:cs="宋体"/>
          <w:spacing w:val="10"/>
          <w:sz w:val="20"/>
          <w:szCs w:val="20"/>
        </w:rPr>
        <w:t>梁侧模不扣除板厚”。</w:t>
      </w:r>
    </w:p>
    <w:p>
      <w:pPr>
        <w:spacing w:before="159" w:line="277" w:lineRule="exact"/>
        <w:ind w:left="420"/>
        <w:rPr>
          <w:rFonts w:ascii="宋体" w:hAnsi="宋体" w:eastAsia="宋体" w:cs="宋体"/>
          <w:sz w:val="20"/>
          <w:szCs w:val="20"/>
        </w:rPr>
      </w:pPr>
      <w:r>
        <w:rPr>
          <w:rFonts w:ascii="宋体" w:hAnsi="宋体" w:eastAsia="宋体" w:cs="宋体"/>
          <w:spacing w:val="8"/>
          <w:position w:val="1"/>
          <w:sz w:val="20"/>
          <w:szCs w:val="20"/>
        </w:rPr>
        <w:t>4. 楼梯模板项目的计算规则为“按模板</w:t>
      </w:r>
      <w:r>
        <w:rPr>
          <w:rFonts w:ascii="宋体" w:hAnsi="宋体" w:eastAsia="宋体" w:cs="宋体"/>
          <w:spacing w:val="7"/>
          <w:position w:val="1"/>
          <w:sz w:val="20"/>
          <w:szCs w:val="20"/>
        </w:rPr>
        <w:t>与现浇混凝土构件的接触面积计算</w:t>
      </w:r>
      <w:r>
        <w:rPr>
          <w:rFonts w:ascii="宋体" w:hAnsi="宋体" w:eastAsia="宋体" w:cs="宋体"/>
          <w:spacing w:val="-70"/>
          <w:position w:val="1"/>
          <w:sz w:val="20"/>
          <w:szCs w:val="20"/>
        </w:rPr>
        <w:t xml:space="preserve"> </w:t>
      </w:r>
      <w:r>
        <w:rPr>
          <w:rFonts w:ascii="宋体" w:hAnsi="宋体" w:eastAsia="宋体" w:cs="宋体"/>
          <w:spacing w:val="7"/>
          <w:position w:val="1"/>
          <w:sz w:val="20"/>
          <w:szCs w:val="20"/>
        </w:rPr>
        <w:t>”。</w:t>
      </w:r>
    </w:p>
    <w:p>
      <w:pPr>
        <w:spacing w:before="124" w:line="296" w:lineRule="auto"/>
        <w:ind w:right="80" w:firstLine="423"/>
        <w:rPr>
          <w:rFonts w:ascii="宋体" w:hAnsi="宋体" w:eastAsia="宋体" w:cs="宋体"/>
          <w:sz w:val="20"/>
          <w:szCs w:val="20"/>
        </w:rPr>
      </w:pPr>
      <w:r>
        <w:rPr>
          <w:rFonts w:ascii="宋体" w:hAnsi="宋体" w:eastAsia="宋体" w:cs="宋体"/>
          <w:spacing w:val="8"/>
          <w:sz w:val="20"/>
          <w:szCs w:val="20"/>
        </w:rPr>
        <w:t>5. 构造柱模板项目的计算规则为“按混凝土外露宽度乘以柱高以面积计算。与砌体嵌接处按混</w:t>
      </w:r>
      <w:r>
        <w:rPr>
          <w:rFonts w:ascii="宋体" w:hAnsi="宋体" w:eastAsia="宋体" w:cs="宋体"/>
          <w:spacing w:val="10"/>
          <w:sz w:val="20"/>
          <w:szCs w:val="20"/>
        </w:rPr>
        <w:t>凝土外露面最大宽度计算”。</w:t>
      </w:r>
    </w:p>
    <w:p>
      <w:pPr>
        <w:spacing w:before="158" w:line="313" w:lineRule="auto"/>
        <w:ind w:left="12" w:right="80" w:firstLine="411"/>
        <w:rPr>
          <w:rFonts w:ascii="宋体" w:hAnsi="宋体" w:eastAsia="宋体" w:cs="宋体"/>
          <w:sz w:val="20"/>
          <w:szCs w:val="20"/>
        </w:rPr>
      </w:pPr>
      <w:r>
        <w:rPr>
          <w:rFonts w:ascii="宋体" w:hAnsi="宋体" w:eastAsia="宋体" w:cs="宋体"/>
          <w:spacing w:val="8"/>
          <w:sz w:val="20"/>
          <w:szCs w:val="20"/>
        </w:rPr>
        <w:t>6. 圈梁模板项目的计算规则为“按模板与现浇混凝土构件的接触面积计算。圈梁与构造柱</w:t>
      </w:r>
      <w:r>
        <w:rPr>
          <w:rFonts w:ascii="宋体" w:hAnsi="宋体" w:eastAsia="宋体" w:cs="宋体"/>
          <w:spacing w:val="7"/>
          <w:sz w:val="20"/>
          <w:szCs w:val="20"/>
        </w:rPr>
        <w:t>连接</w:t>
      </w:r>
      <w:r>
        <w:rPr>
          <w:rFonts w:ascii="宋体" w:hAnsi="宋体" w:eastAsia="宋体" w:cs="宋体"/>
          <w:spacing w:val="10"/>
          <w:sz w:val="20"/>
          <w:szCs w:val="20"/>
        </w:rPr>
        <w:t>时，梁长算至构造柱（含马牙槎）的侧面”。</w:t>
      </w:r>
    </w:p>
    <w:p>
      <w:pPr>
        <w:spacing w:before="121" w:line="278" w:lineRule="exact"/>
        <w:ind w:left="423"/>
        <w:rPr>
          <w:rFonts w:ascii="宋体" w:hAnsi="宋体" w:eastAsia="宋体" w:cs="宋体"/>
          <w:sz w:val="20"/>
          <w:szCs w:val="20"/>
        </w:rPr>
      </w:pPr>
      <w:r>
        <w:rPr>
          <w:rFonts w:ascii="宋体" w:hAnsi="宋体" w:eastAsia="宋体" w:cs="宋体"/>
          <w:b/>
          <w:bCs/>
          <w:spacing w:val="3"/>
          <w:position w:val="1"/>
          <w:sz w:val="20"/>
          <w:szCs w:val="20"/>
        </w:rPr>
        <w:t>E.6</w:t>
      </w:r>
      <w:r>
        <w:rPr>
          <w:rFonts w:ascii="宋体" w:hAnsi="宋体" w:eastAsia="宋体" w:cs="宋体"/>
          <w:spacing w:val="-40"/>
          <w:position w:val="1"/>
          <w:sz w:val="20"/>
          <w:szCs w:val="20"/>
        </w:rPr>
        <w:t xml:space="preserve"> </w:t>
      </w:r>
      <w:r>
        <w:rPr>
          <w:rFonts w:ascii="宋体" w:hAnsi="宋体" w:eastAsia="宋体" w:cs="宋体"/>
          <w:b/>
          <w:bCs/>
          <w:spacing w:val="3"/>
          <w:position w:val="1"/>
          <w:sz w:val="20"/>
          <w:szCs w:val="20"/>
        </w:rPr>
        <w:t>钢筋及螺栓、铁件</w:t>
      </w:r>
    </w:p>
    <w:p>
      <w:pPr>
        <w:spacing w:before="123" w:line="278" w:lineRule="exact"/>
        <w:ind w:left="440"/>
        <w:rPr>
          <w:rFonts w:ascii="宋体" w:hAnsi="宋体" w:eastAsia="宋体" w:cs="宋体"/>
          <w:sz w:val="20"/>
          <w:szCs w:val="20"/>
        </w:rPr>
      </w:pPr>
      <w:r>
        <w:rPr>
          <w:rFonts w:ascii="宋体" w:hAnsi="宋体" w:eastAsia="宋体" w:cs="宋体"/>
          <w:spacing w:val="8"/>
          <w:position w:val="1"/>
          <w:sz w:val="20"/>
          <w:szCs w:val="20"/>
        </w:rPr>
        <w:t>1. 现浇混凝土构件的钢筋应按构件的钢筋项目分别</w:t>
      </w:r>
      <w:r>
        <w:rPr>
          <w:rFonts w:ascii="宋体" w:hAnsi="宋体" w:eastAsia="宋体" w:cs="宋体"/>
          <w:spacing w:val="7"/>
          <w:position w:val="1"/>
          <w:sz w:val="20"/>
          <w:szCs w:val="20"/>
        </w:rPr>
        <w:t>编码列项；一般预制混凝土构件及装配式预</w:t>
      </w:r>
    </w:p>
    <w:p>
      <w:pPr>
        <w:spacing w:line="278" w:lineRule="exact"/>
        <w:rPr>
          <w:rFonts w:ascii="宋体" w:hAnsi="宋体" w:eastAsia="宋体" w:cs="宋体"/>
          <w:sz w:val="20"/>
          <w:szCs w:val="20"/>
        </w:rPr>
        <w:sectPr>
          <w:footerReference r:id="rId88" w:type="default"/>
          <w:pgSz w:w="11905" w:h="16840"/>
          <w:pgMar w:top="400" w:right="1338" w:bottom="1213" w:left="1418" w:header="0" w:footer="898"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2" w:lineRule="auto"/>
        <w:ind w:left="2"/>
        <w:rPr>
          <w:rFonts w:ascii="宋体" w:hAnsi="宋体" w:eastAsia="宋体" w:cs="宋体"/>
          <w:sz w:val="20"/>
          <w:szCs w:val="20"/>
        </w:rPr>
      </w:pPr>
      <w:r>
        <w:rPr>
          <w:rFonts w:ascii="宋体" w:hAnsi="宋体" w:eastAsia="宋体" w:cs="宋体"/>
          <w:spacing w:val="9"/>
          <w:sz w:val="20"/>
          <w:szCs w:val="20"/>
        </w:rPr>
        <w:t>制混凝土构件中的钢筋，包含在相应构件中，不单独列项计量。</w:t>
      </w:r>
    </w:p>
    <w:p>
      <w:pPr>
        <w:spacing w:before="155" w:line="278" w:lineRule="exact"/>
        <w:ind w:left="423"/>
        <w:rPr>
          <w:rFonts w:ascii="宋体" w:hAnsi="宋体" w:eastAsia="宋体" w:cs="宋体"/>
          <w:sz w:val="20"/>
          <w:szCs w:val="20"/>
        </w:rPr>
      </w:pPr>
      <w:r>
        <w:rPr>
          <w:rFonts w:ascii="宋体" w:hAnsi="宋体" w:eastAsia="宋体" w:cs="宋体"/>
          <w:spacing w:val="8"/>
          <w:position w:val="1"/>
          <w:sz w:val="20"/>
          <w:szCs w:val="20"/>
        </w:rPr>
        <w:t>2. 构造柱、圈梁、过梁等构件的钢筋，按“现浇混凝土二次结构钢筋</w:t>
      </w:r>
      <w:r>
        <w:rPr>
          <w:rFonts w:ascii="宋体" w:hAnsi="宋体" w:eastAsia="宋体" w:cs="宋体"/>
          <w:spacing w:val="7"/>
          <w:position w:val="1"/>
          <w:sz w:val="20"/>
          <w:szCs w:val="20"/>
        </w:rPr>
        <w:t>”项目编码列项。</w:t>
      </w:r>
    </w:p>
    <w:p>
      <w:pPr>
        <w:spacing w:before="123" w:line="277" w:lineRule="exact"/>
        <w:ind w:left="426"/>
        <w:rPr>
          <w:rFonts w:ascii="宋体" w:hAnsi="宋体" w:eastAsia="宋体" w:cs="宋体"/>
          <w:sz w:val="20"/>
          <w:szCs w:val="20"/>
        </w:rPr>
      </w:pPr>
      <w:r>
        <w:rPr>
          <w:rFonts w:ascii="宋体" w:hAnsi="宋体" w:eastAsia="宋体" w:cs="宋体"/>
          <w:spacing w:val="8"/>
          <w:position w:val="1"/>
          <w:sz w:val="20"/>
          <w:szCs w:val="20"/>
        </w:rPr>
        <w:t>3. 预应力钢筋、钢丝束、钢绞线应区分材料种类</w:t>
      </w:r>
      <w:r>
        <w:rPr>
          <w:rFonts w:ascii="宋体" w:hAnsi="宋体" w:eastAsia="宋体" w:cs="宋体"/>
          <w:spacing w:val="7"/>
          <w:position w:val="1"/>
          <w:sz w:val="20"/>
          <w:szCs w:val="20"/>
        </w:rPr>
        <w:t>、规格等项目特征分别编码列项。</w:t>
      </w:r>
    </w:p>
    <w:p>
      <w:pPr>
        <w:spacing w:before="121" w:line="277" w:lineRule="exact"/>
        <w:ind w:left="420"/>
        <w:rPr>
          <w:rFonts w:ascii="宋体" w:hAnsi="宋体" w:eastAsia="宋体" w:cs="宋体"/>
          <w:sz w:val="20"/>
          <w:szCs w:val="20"/>
        </w:rPr>
      </w:pPr>
      <w:r>
        <w:rPr>
          <w:rFonts w:ascii="宋体" w:hAnsi="宋体" w:eastAsia="宋体" w:cs="宋体"/>
          <w:spacing w:val="4"/>
          <w:position w:val="1"/>
          <w:sz w:val="20"/>
          <w:szCs w:val="20"/>
        </w:rPr>
        <w:t>4. 各钢筋项目除设计(包括规范规定)标明的搭接外，其他</w:t>
      </w:r>
      <w:r>
        <w:rPr>
          <w:rFonts w:ascii="宋体" w:hAnsi="宋体" w:eastAsia="宋体" w:cs="宋体"/>
          <w:spacing w:val="3"/>
          <w:position w:val="1"/>
          <w:sz w:val="20"/>
          <w:szCs w:val="20"/>
        </w:rPr>
        <w:t>施工搭接(如定尺搭接)不计算工程量。</w:t>
      </w:r>
    </w:p>
    <w:p>
      <w:pPr>
        <w:spacing w:before="123" w:line="278" w:lineRule="exact"/>
        <w:ind w:left="423"/>
        <w:rPr>
          <w:rFonts w:ascii="宋体" w:hAnsi="宋体" w:eastAsia="宋体" w:cs="宋体"/>
          <w:sz w:val="20"/>
          <w:szCs w:val="20"/>
        </w:rPr>
      </w:pPr>
      <w:r>
        <w:rPr>
          <w:rFonts w:ascii="宋体" w:hAnsi="宋体" w:eastAsia="宋体" w:cs="宋体"/>
          <w:spacing w:val="8"/>
          <w:position w:val="1"/>
          <w:sz w:val="20"/>
          <w:szCs w:val="20"/>
        </w:rPr>
        <w:t>5. 各钢筋项目均不计算非设计要求的马凳筋、斜撑筋、抗浮筋、垫铁等措施钢筋的</w:t>
      </w:r>
      <w:r>
        <w:rPr>
          <w:rFonts w:ascii="宋体" w:hAnsi="宋体" w:eastAsia="宋体" w:cs="宋体"/>
          <w:spacing w:val="7"/>
          <w:position w:val="1"/>
          <w:sz w:val="20"/>
          <w:szCs w:val="20"/>
        </w:rPr>
        <w:t>工程量。</w:t>
      </w:r>
    </w:p>
    <w:p>
      <w:pPr>
        <w:spacing w:before="123" w:line="297" w:lineRule="auto"/>
        <w:ind w:left="1" w:right="64" w:firstLine="422"/>
        <w:rPr>
          <w:rFonts w:ascii="宋体" w:hAnsi="宋体" w:eastAsia="宋体" w:cs="宋体"/>
          <w:sz w:val="20"/>
          <w:szCs w:val="20"/>
        </w:rPr>
      </w:pPr>
      <w:r>
        <w:rPr>
          <w:rFonts w:ascii="宋体" w:hAnsi="宋体" w:eastAsia="宋体" w:cs="宋体"/>
          <w:spacing w:val="8"/>
          <w:sz w:val="20"/>
          <w:szCs w:val="20"/>
        </w:rPr>
        <w:t>6. 非设计要求的植筋，均不单独列项计量。如设计有要求时，应按对应构件钢筋项目分别</w:t>
      </w:r>
      <w:r>
        <w:rPr>
          <w:rFonts w:ascii="宋体" w:hAnsi="宋体" w:eastAsia="宋体" w:cs="宋体"/>
          <w:spacing w:val="7"/>
          <w:sz w:val="20"/>
          <w:szCs w:val="20"/>
        </w:rPr>
        <w:t>编码</w:t>
      </w:r>
      <w:r>
        <w:rPr>
          <w:rFonts w:ascii="宋体" w:hAnsi="宋体" w:eastAsia="宋体" w:cs="宋体"/>
          <w:spacing w:val="8"/>
          <w:sz w:val="20"/>
          <w:szCs w:val="20"/>
        </w:rPr>
        <w:t>列项，并增加对植入要求的描述。</w:t>
      </w:r>
    </w:p>
    <w:p>
      <w:pPr>
        <w:spacing w:before="155" w:line="296" w:lineRule="auto"/>
        <w:ind w:left="7" w:right="64" w:firstLine="414"/>
        <w:rPr>
          <w:rFonts w:ascii="宋体" w:hAnsi="宋体" w:eastAsia="宋体" w:cs="宋体"/>
          <w:sz w:val="20"/>
          <w:szCs w:val="20"/>
        </w:rPr>
      </w:pPr>
      <w:r>
        <w:rPr>
          <w:rFonts w:ascii="宋体" w:hAnsi="宋体" w:eastAsia="宋体" w:cs="宋体"/>
          <w:spacing w:val="8"/>
          <w:sz w:val="20"/>
          <w:szCs w:val="20"/>
        </w:rPr>
        <w:t>7. 虽然钢筋工程的清单项目按照现浇构件名称进行列项，但是仍需要依据钢筋种类、规格进行</w:t>
      </w:r>
      <w:r>
        <w:rPr>
          <w:rFonts w:ascii="宋体" w:hAnsi="宋体" w:eastAsia="宋体" w:cs="宋体"/>
          <w:spacing w:val="5"/>
          <w:sz w:val="20"/>
          <w:szCs w:val="20"/>
        </w:rPr>
        <w:t>编码列项。</w:t>
      </w:r>
    </w:p>
    <w:p>
      <w:pPr>
        <w:spacing w:before="158" w:line="298" w:lineRule="auto"/>
        <w:ind w:left="6" w:right="64" w:firstLine="419"/>
        <w:rPr>
          <w:rFonts w:ascii="宋体" w:hAnsi="宋体" w:eastAsia="宋体" w:cs="宋体"/>
          <w:sz w:val="20"/>
          <w:szCs w:val="20"/>
        </w:rPr>
      </w:pPr>
      <w:r>
        <w:rPr>
          <w:rFonts w:ascii="宋体" w:hAnsi="宋体" w:eastAsia="宋体" w:cs="宋体"/>
          <w:spacing w:val="8"/>
          <w:sz w:val="20"/>
          <w:szCs w:val="20"/>
        </w:rPr>
        <w:t>8. 伸出各现浇构件的锚固钢筋，按设计要求确定长度，并入该构件的钢筋工程量内。</w:t>
      </w:r>
      <w:r>
        <w:rPr>
          <w:rFonts w:ascii="宋体" w:hAnsi="宋体" w:eastAsia="宋体" w:cs="宋体"/>
          <w:spacing w:val="7"/>
          <w:sz w:val="20"/>
          <w:szCs w:val="20"/>
        </w:rPr>
        <w:t>现浇混凝</w:t>
      </w:r>
      <w:r>
        <w:rPr>
          <w:rFonts w:ascii="宋体" w:hAnsi="宋体" w:eastAsia="宋体" w:cs="宋体"/>
          <w:spacing w:val="10"/>
          <w:sz w:val="20"/>
          <w:szCs w:val="20"/>
        </w:rPr>
        <w:t>土结构中的后浇带部位的钢筋不单独列项计量</w:t>
      </w:r>
      <w:r>
        <w:rPr>
          <w:rFonts w:ascii="宋体" w:hAnsi="宋体" w:eastAsia="宋体" w:cs="宋体"/>
          <w:spacing w:val="9"/>
          <w:sz w:val="20"/>
          <w:szCs w:val="20"/>
        </w:rPr>
        <w:t>，其工程量并入与其对应的现浇构件钢筋工程量中。</w:t>
      </w:r>
    </w:p>
    <w:p>
      <w:pPr>
        <w:spacing w:before="157" w:line="320" w:lineRule="auto"/>
        <w:ind w:firstLine="423"/>
        <w:rPr>
          <w:rFonts w:ascii="宋体" w:hAnsi="宋体" w:eastAsia="宋体" w:cs="宋体"/>
          <w:sz w:val="20"/>
          <w:szCs w:val="20"/>
        </w:rPr>
      </w:pPr>
      <w:r>
        <w:rPr>
          <w:rFonts w:ascii="宋体" w:hAnsi="宋体" w:eastAsia="宋体" w:cs="宋体"/>
          <w:spacing w:val="8"/>
          <w:sz w:val="20"/>
          <w:szCs w:val="20"/>
        </w:rPr>
        <w:t>9. 预应力钢筋项目的计算规则为“按设计图示钢筋(丝束、绞线)中心线长</w:t>
      </w:r>
      <w:r>
        <w:rPr>
          <w:rFonts w:ascii="宋体" w:hAnsi="宋体" w:eastAsia="宋体" w:cs="宋体"/>
          <w:spacing w:val="7"/>
          <w:sz w:val="20"/>
          <w:szCs w:val="20"/>
        </w:rPr>
        <w:t>度乘单位理论质量计</w:t>
      </w:r>
      <w:r>
        <w:rPr>
          <w:rFonts w:ascii="宋体" w:hAnsi="宋体" w:eastAsia="宋体" w:cs="宋体"/>
          <w:spacing w:val="8"/>
          <w:sz w:val="20"/>
          <w:szCs w:val="20"/>
        </w:rPr>
        <w:t>算”。因预应力钢筋项目中采用的不同锚具和张拉</w:t>
      </w:r>
      <w:r>
        <w:rPr>
          <w:rFonts w:ascii="宋体" w:hAnsi="宋体" w:eastAsia="宋体" w:cs="宋体"/>
          <w:spacing w:val="7"/>
          <w:sz w:val="20"/>
          <w:szCs w:val="20"/>
        </w:rPr>
        <w:t>方法，在设计图示尺寸中无体现端头锚具的长度，</w:t>
      </w:r>
      <w:r>
        <w:rPr>
          <w:rFonts w:ascii="宋体" w:hAnsi="宋体" w:eastAsia="宋体" w:cs="宋体"/>
          <w:spacing w:val="9"/>
          <w:sz w:val="20"/>
          <w:szCs w:val="20"/>
        </w:rPr>
        <w:t>所以端头锚具应在综合单价中进行考虑。</w:t>
      </w:r>
    </w:p>
    <w:p>
      <w:pPr>
        <w:spacing w:before="159" w:line="312" w:lineRule="auto"/>
        <w:ind w:right="64" w:firstLine="439"/>
        <w:rPr>
          <w:rFonts w:ascii="宋体" w:hAnsi="宋体" w:eastAsia="宋体" w:cs="宋体"/>
          <w:sz w:val="20"/>
          <w:szCs w:val="20"/>
        </w:rPr>
      </w:pPr>
      <w:r>
        <w:rPr>
          <w:rFonts w:ascii="宋体" w:hAnsi="宋体" w:eastAsia="宋体" w:cs="宋体"/>
          <w:spacing w:val="10"/>
          <w:sz w:val="20"/>
          <w:szCs w:val="20"/>
        </w:rPr>
        <w:t>10. 现浇构件的钢筋项目按设计图示钢筋中心线长度乘单位理论质量计算。设计（</w:t>
      </w:r>
      <w:r>
        <w:rPr>
          <w:rFonts w:ascii="宋体" w:hAnsi="宋体" w:eastAsia="宋体" w:cs="宋体"/>
          <w:spacing w:val="9"/>
          <w:sz w:val="20"/>
          <w:szCs w:val="20"/>
        </w:rPr>
        <w:t>包括规范规定）标明的搭接和锚固长度应并入计算。</w:t>
      </w:r>
    </w:p>
    <w:p>
      <w:pPr>
        <w:pStyle w:val="2"/>
        <w:spacing w:before="117" w:line="209" w:lineRule="auto"/>
        <w:ind w:left="426"/>
        <w:rPr>
          <w:sz w:val="20"/>
          <w:szCs w:val="20"/>
        </w:rPr>
      </w:pPr>
      <w:r>
        <w:rPr>
          <w:spacing w:val="8"/>
          <w:sz w:val="20"/>
          <w:szCs w:val="20"/>
        </w:rPr>
        <w:t>七、金属结构工程</w:t>
      </w:r>
    </w:p>
    <w:p>
      <w:pPr>
        <w:spacing w:before="108" w:line="321" w:lineRule="auto"/>
        <w:ind w:left="1" w:right="64" w:firstLine="439"/>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33"/>
          <w:sz w:val="20"/>
          <w:szCs w:val="20"/>
        </w:rPr>
        <w:t xml:space="preserve"> </w:t>
      </w:r>
      <w:r>
        <w:rPr>
          <w:rFonts w:ascii="宋体" w:hAnsi="宋体" w:eastAsia="宋体" w:cs="宋体"/>
          <w:spacing w:val="7"/>
          <w:sz w:val="20"/>
          <w:szCs w:val="20"/>
        </w:rPr>
        <w:t>国家计算标准附录</w:t>
      </w:r>
      <w:r>
        <w:rPr>
          <w:rFonts w:ascii="宋体" w:hAnsi="宋体" w:eastAsia="宋体" w:cs="宋体"/>
          <w:spacing w:val="-38"/>
          <w:sz w:val="20"/>
          <w:szCs w:val="20"/>
        </w:rPr>
        <w:t xml:space="preserve"> </w:t>
      </w:r>
      <w:r>
        <w:rPr>
          <w:rFonts w:ascii="宋体" w:hAnsi="宋体" w:eastAsia="宋体" w:cs="宋体"/>
          <w:spacing w:val="7"/>
          <w:sz w:val="20"/>
          <w:szCs w:val="20"/>
        </w:rPr>
        <w:t>F</w:t>
      </w:r>
      <w:r>
        <w:rPr>
          <w:rFonts w:ascii="宋体" w:hAnsi="宋体" w:eastAsia="宋体" w:cs="宋体"/>
          <w:spacing w:val="-44"/>
          <w:sz w:val="20"/>
          <w:szCs w:val="20"/>
        </w:rPr>
        <w:t xml:space="preserve"> </w:t>
      </w:r>
      <w:r>
        <w:rPr>
          <w:rFonts w:ascii="宋体" w:hAnsi="宋体" w:eastAsia="宋体" w:cs="宋体"/>
          <w:spacing w:val="7"/>
          <w:sz w:val="20"/>
          <w:szCs w:val="20"/>
        </w:rPr>
        <w:t>各钢构件项目均按半成品</w:t>
      </w:r>
      <w:r>
        <w:rPr>
          <w:rFonts w:ascii="宋体" w:hAnsi="宋体" w:eastAsia="宋体" w:cs="宋体"/>
          <w:spacing w:val="6"/>
          <w:sz w:val="20"/>
          <w:szCs w:val="20"/>
        </w:rPr>
        <w:t>编制，工作内容不包含构件制作，半成品加工过程中的刷漆要求应在项目特征“构件涂(镀)层要求”中进行描述。若构件为现场制作，</w:t>
      </w:r>
      <w:r>
        <w:rPr>
          <w:rFonts w:ascii="宋体" w:hAnsi="宋体" w:eastAsia="宋体" w:cs="宋体"/>
          <w:spacing w:val="5"/>
          <w:sz w:val="20"/>
          <w:szCs w:val="20"/>
        </w:rPr>
        <w:t>应按本附录</w:t>
      </w:r>
      <w:r>
        <w:rPr>
          <w:rFonts w:ascii="宋体" w:hAnsi="宋体" w:eastAsia="宋体" w:cs="宋体"/>
          <w:spacing w:val="8"/>
          <w:sz w:val="20"/>
          <w:szCs w:val="20"/>
        </w:rPr>
        <w:t>“钢构件制作”项目编码列项。</w:t>
      </w:r>
    </w:p>
    <w:p>
      <w:pPr>
        <w:spacing w:before="158" w:line="294" w:lineRule="auto"/>
        <w:ind w:left="1" w:right="64" w:firstLine="421"/>
        <w:rPr>
          <w:rFonts w:ascii="宋体" w:hAnsi="宋体" w:eastAsia="宋体" w:cs="宋体"/>
          <w:sz w:val="20"/>
          <w:szCs w:val="20"/>
        </w:rPr>
      </w:pPr>
      <w:r>
        <w:rPr>
          <w:rFonts w:ascii="宋体" w:hAnsi="宋体" w:eastAsia="宋体" w:cs="宋体"/>
          <w:spacing w:val="8"/>
          <w:sz w:val="20"/>
          <w:szCs w:val="20"/>
        </w:rPr>
        <w:t>2. 高强螺栓、支座、剪力栓钉的质量不计入相应钢构件的工程量中，应区分不同种类单独编码</w:t>
      </w:r>
      <w:r>
        <w:rPr>
          <w:rFonts w:ascii="宋体" w:hAnsi="宋体" w:eastAsia="宋体" w:cs="宋体"/>
          <w:spacing w:val="4"/>
          <w:sz w:val="20"/>
          <w:szCs w:val="20"/>
        </w:rPr>
        <w:t>列项。</w:t>
      </w:r>
    </w:p>
    <w:p>
      <w:pPr>
        <w:spacing w:before="162" w:line="333" w:lineRule="auto"/>
        <w:ind w:firstLine="425"/>
        <w:rPr>
          <w:rFonts w:ascii="宋体" w:hAnsi="宋体" w:eastAsia="宋体" w:cs="宋体"/>
          <w:sz w:val="20"/>
          <w:szCs w:val="20"/>
        </w:rPr>
      </w:pPr>
      <w:r>
        <w:rPr>
          <w:rFonts w:ascii="宋体" w:hAnsi="宋体" w:eastAsia="宋体" w:cs="宋体"/>
          <w:spacing w:val="8"/>
          <w:sz w:val="20"/>
          <w:szCs w:val="20"/>
        </w:rPr>
        <w:t>3. 钢构件施工过程中刷油漆及防火涂料等</w:t>
      </w:r>
      <w:r>
        <w:rPr>
          <w:rFonts w:ascii="宋体" w:hAnsi="宋体" w:eastAsia="宋体" w:cs="宋体"/>
          <w:spacing w:val="7"/>
          <w:sz w:val="20"/>
          <w:szCs w:val="20"/>
        </w:rPr>
        <w:t>，应按国家计算标准附录</w:t>
      </w:r>
      <w:r>
        <w:rPr>
          <w:rFonts w:ascii="宋体" w:hAnsi="宋体" w:eastAsia="宋体" w:cs="宋体"/>
          <w:spacing w:val="-40"/>
          <w:sz w:val="20"/>
          <w:szCs w:val="20"/>
        </w:rPr>
        <w:t xml:space="preserve"> </w:t>
      </w:r>
      <w:r>
        <w:rPr>
          <w:rFonts w:ascii="宋体" w:hAnsi="宋体" w:eastAsia="宋体" w:cs="宋体"/>
          <w:spacing w:val="7"/>
          <w:sz w:val="20"/>
          <w:szCs w:val="20"/>
        </w:rPr>
        <w:t>P</w:t>
      </w:r>
      <w:r>
        <w:rPr>
          <w:rFonts w:ascii="宋体" w:hAnsi="宋体" w:eastAsia="宋体" w:cs="宋体"/>
          <w:spacing w:val="-42"/>
          <w:sz w:val="20"/>
          <w:szCs w:val="20"/>
        </w:rPr>
        <w:t xml:space="preserve"> </w:t>
      </w:r>
      <w:r>
        <w:rPr>
          <w:rFonts w:ascii="宋体" w:hAnsi="宋体" w:eastAsia="宋体" w:cs="宋体"/>
          <w:spacing w:val="7"/>
          <w:sz w:val="20"/>
          <w:szCs w:val="20"/>
        </w:rPr>
        <w:t>油漆、涂料、裱糊工程中</w:t>
      </w:r>
      <w:r>
        <w:rPr>
          <w:rFonts w:ascii="宋体" w:hAnsi="宋体" w:eastAsia="宋体" w:cs="宋体"/>
          <w:spacing w:val="10"/>
          <w:sz w:val="20"/>
          <w:szCs w:val="20"/>
        </w:rPr>
        <w:t>相关项目编码列项。需注意与清单项目工作内</w:t>
      </w:r>
      <w:r>
        <w:rPr>
          <w:rFonts w:ascii="宋体" w:hAnsi="宋体" w:eastAsia="宋体" w:cs="宋体"/>
          <w:spacing w:val="9"/>
          <w:sz w:val="20"/>
          <w:szCs w:val="20"/>
        </w:rPr>
        <w:t>容中“补刷油漆</w:t>
      </w:r>
      <w:r>
        <w:rPr>
          <w:rFonts w:ascii="宋体" w:hAnsi="宋体" w:eastAsia="宋体" w:cs="宋体"/>
          <w:spacing w:val="-70"/>
          <w:sz w:val="20"/>
          <w:szCs w:val="20"/>
        </w:rPr>
        <w:t xml:space="preserve"> </w:t>
      </w:r>
      <w:r>
        <w:rPr>
          <w:rFonts w:ascii="宋体" w:hAnsi="宋体" w:eastAsia="宋体" w:cs="宋体"/>
          <w:spacing w:val="9"/>
          <w:sz w:val="20"/>
          <w:szCs w:val="20"/>
        </w:rPr>
        <w:t>”区别，“补刷油漆</w:t>
      </w:r>
      <w:r>
        <w:rPr>
          <w:rFonts w:ascii="宋体" w:hAnsi="宋体" w:eastAsia="宋体" w:cs="宋体"/>
          <w:spacing w:val="-70"/>
          <w:sz w:val="20"/>
          <w:szCs w:val="20"/>
        </w:rPr>
        <w:t xml:space="preserve"> </w:t>
      </w:r>
      <w:r>
        <w:rPr>
          <w:rFonts w:ascii="宋体" w:hAnsi="宋体" w:eastAsia="宋体" w:cs="宋体"/>
          <w:spacing w:val="9"/>
          <w:sz w:val="20"/>
          <w:szCs w:val="20"/>
        </w:rPr>
        <w:t>”指的是成品或</w:t>
      </w:r>
      <w:r>
        <w:rPr>
          <w:rFonts w:ascii="宋体" w:hAnsi="宋体" w:eastAsia="宋体" w:cs="宋体"/>
          <w:spacing w:val="8"/>
          <w:sz w:val="20"/>
          <w:szCs w:val="20"/>
        </w:rPr>
        <w:t>半成品钢构件因现场施工导致局部涂镀层损坏，</w:t>
      </w:r>
      <w:r>
        <w:rPr>
          <w:rFonts w:ascii="宋体" w:hAnsi="宋体" w:eastAsia="宋体" w:cs="宋体"/>
          <w:spacing w:val="7"/>
          <w:sz w:val="20"/>
          <w:szCs w:val="20"/>
        </w:rPr>
        <w:t>需进行的补刷工作，应包含在清单项目综合单价中，</w:t>
      </w:r>
      <w:r>
        <w:rPr>
          <w:rFonts w:ascii="宋体" w:hAnsi="宋体" w:eastAsia="宋体" w:cs="宋体"/>
          <w:spacing w:val="8"/>
          <w:sz w:val="20"/>
          <w:szCs w:val="20"/>
        </w:rPr>
        <w:t>不需要另外列项计算工程量。</w:t>
      </w:r>
    </w:p>
    <w:p>
      <w:pPr>
        <w:pStyle w:val="2"/>
        <w:spacing w:before="150" w:line="210" w:lineRule="auto"/>
        <w:ind w:left="423"/>
        <w:rPr>
          <w:sz w:val="20"/>
          <w:szCs w:val="20"/>
        </w:rPr>
      </w:pPr>
      <w:r>
        <w:rPr>
          <w:spacing w:val="8"/>
          <w:sz w:val="20"/>
          <w:szCs w:val="20"/>
        </w:rPr>
        <w:t>八、木结构工程</w:t>
      </w:r>
    </w:p>
    <w:p>
      <w:pPr>
        <w:spacing w:before="105" w:line="352" w:lineRule="auto"/>
        <w:ind w:left="1" w:right="64" w:firstLine="412"/>
        <w:rPr>
          <w:rFonts w:ascii="宋体" w:hAnsi="宋体" w:eastAsia="宋体" w:cs="宋体"/>
          <w:sz w:val="20"/>
          <w:szCs w:val="20"/>
        </w:rPr>
      </w:pPr>
      <w:r>
        <w:rPr>
          <w:rFonts w:ascii="宋体" w:hAnsi="宋体" w:eastAsia="宋体" w:cs="宋体"/>
          <w:spacing w:val="11"/>
          <w:sz w:val="20"/>
          <w:szCs w:val="20"/>
        </w:rPr>
        <w:t>“装配式木楼梯</w:t>
      </w:r>
      <w:r>
        <w:rPr>
          <w:rFonts w:ascii="宋体" w:hAnsi="宋体" w:eastAsia="宋体" w:cs="宋体"/>
          <w:spacing w:val="-72"/>
          <w:sz w:val="20"/>
          <w:szCs w:val="20"/>
        </w:rPr>
        <w:t xml:space="preserve"> </w:t>
      </w:r>
      <w:r>
        <w:rPr>
          <w:rFonts w:ascii="宋体" w:hAnsi="宋体" w:eastAsia="宋体" w:cs="宋体"/>
          <w:spacing w:val="11"/>
          <w:sz w:val="20"/>
          <w:szCs w:val="20"/>
        </w:rPr>
        <w:t>”按设计图示尺寸以水平投影面积计算，不扣除套管、线盒及宽度≤30</w:t>
      </w:r>
      <w:r>
        <w:rPr>
          <w:rFonts w:ascii="宋体" w:hAnsi="宋体" w:eastAsia="宋体" w:cs="宋体"/>
          <w:spacing w:val="10"/>
          <w:sz w:val="20"/>
          <w:szCs w:val="20"/>
        </w:rPr>
        <w:t>0</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10"/>
          <w:sz w:val="20"/>
          <w:szCs w:val="20"/>
        </w:rPr>
        <w:t>的</w:t>
      </w:r>
      <w:r>
        <w:rPr>
          <w:rFonts w:ascii="宋体" w:hAnsi="宋体" w:eastAsia="宋体" w:cs="宋体"/>
          <w:spacing w:val="9"/>
          <w:sz w:val="20"/>
          <w:szCs w:val="20"/>
        </w:rPr>
        <w:t>楼梯井所占的面积，伸出梯板的连接件面积亦不增加。</w:t>
      </w:r>
    </w:p>
    <w:p>
      <w:pPr>
        <w:pStyle w:val="2"/>
        <w:spacing w:before="31" w:line="210" w:lineRule="auto"/>
        <w:ind w:left="427"/>
        <w:rPr>
          <w:sz w:val="20"/>
          <w:szCs w:val="20"/>
        </w:rPr>
      </w:pPr>
      <w:r>
        <w:rPr>
          <w:spacing w:val="8"/>
          <w:sz w:val="20"/>
          <w:szCs w:val="20"/>
        </w:rPr>
        <w:t>九、屋面及防水工程</w:t>
      </w:r>
    </w:p>
    <w:p>
      <w:pPr>
        <w:spacing w:before="107" w:line="296" w:lineRule="auto"/>
        <w:ind w:right="64" w:firstLine="545"/>
        <w:rPr>
          <w:rFonts w:ascii="宋体" w:hAnsi="宋体" w:eastAsia="宋体" w:cs="宋体"/>
          <w:sz w:val="20"/>
          <w:szCs w:val="20"/>
        </w:rPr>
      </w:pPr>
      <w:r>
        <w:rPr>
          <w:rFonts w:ascii="宋体" w:hAnsi="宋体" w:eastAsia="宋体" w:cs="宋体"/>
          <w:spacing w:val="9"/>
          <w:sz w:val="20"/>
          <w:szCs w:val="20"/>
        </w:rPr>
        <w:t>1. 随幕墙工程设计的“金属板幕墙顶”应按本附录编码列项</w:t>
      </w:r>
      <w:r>
        <w:rPr>
          <w:rFonts w:ascii="宋体" w:hAnsi="宋体" w:eastAsia="宋体" w:cs="宋体"/>
          <w:spacing w:val="-58"/>
          <w:sz w:val="20"/>
          <w:szCs w:val="20"/>
        </w:rPr>
        <w:t xml:space="preserve"> </w:t>
      </w:r>
      <w:r>
        <w:rPr>
          <w:rFonts w:ascii="宋体" w:hAnsi="宋体" w:eastAsia="宋体" w:cs="宋体"/>
          <w:spacing w:val="9"/>
          <w:sz w:val="20"/>
          <w:szCs w:val="20"/>
        </w:rPr>
        <w:t>，其他形式的金属板屋面应按本标准附录</w:t>
      </w:r>
      <w:r>
        <w:rPr>
          <w:rFonts w:ascii="宋体" w:hAnsi="宋体" w:eastAsia="宋体" w:cs="宋体"/>
          <w:spacing w:val="-38"/>
          <w:sz w:val="20"/>
          <w:szCs w:val="20"/>
        </w:rPr>
        <w:t xml:space="preserve"> </w:t>
      </w:r>
      <w:r>
        <w:rPr>
          <w:rFonts w:ascii="宋体" w:hAnsi="宋体" w:eastAsia="宋体" w:cs="宋体"/>
          <w:spacing w:val="9"/>
          <w:sz w:val="20"/>
          <w:szCs w:val="20"/>
        </w:rPr>
        <w:t>F</w:t>
      </w:r>
      <w:r>
        <w:rPr>
          <w:rFonts w:ascii="宋体" w:hAnsi="宋体" w:eastAsia="宋体" w:cs="宋体"/>
          <w:spacing w:val="-44"/>
          <w:sz w:val="20"/>
          <w:szCs w:val="20"/>
        </w:rPr>
        <w:t xml:space="preserve"> </w:t>
      </w:r>
      <w:r>
        <w:rPr>
          <w:rFonts w:ascii="宋体" w:hAnsi="宋体" w:eastAsia="宋体" w:cs="宋体"/>
          <w:spacing w:val="9"/>
          <w:sz w:val="20"/>
          <w:szCs w:val="20"/>
        </w:rPr>
        <w:t>金属结构工程“钢屋面板”项目编码列项。</w:t>
      </w:r>
    </w:p>
    <w:p>
      <w:pPr>
        <w:spacing w:before="160" w:line="331" w:lineRule="auto"/>
        <w:ind w:right="64" w:firstLine="422"/>
        <w:rPr>
          <w:rFonts w:ascii="宋体" w:hAnsi="宋体" w:eastAsia="宋体" w:cs="宋体"/>
          <w:sz w:val="20"/>
          <w:szCs w:val="20"/>
        </w:rPr>
      </w:pPr>
      <w:r>
        <w:rPr>
          <w:rFonts w:ascii="宋体" w:hAnsi="宋体" w:eastAsia="宋体" w:cs="宋体"/>
          <w:spacing w:val="8"/>
          <w:sz w:val="20"/>
          <w:szCs w:val="20"/>
        </w:rPr>
        <w:t>2. 屋面工程中的找平层、保护层及刚性隔离层应按“屋面刚性层”项目编码列项，并在“刚性</w:t>
      </w:r>
      <w:r>
        <w:rPr>
          <w:rFonts w:ascii="宋体" w:hAnsi="宋体" w:eastAsia="宋体" w:cs="宋体"/>
          <w:spacing w:val="11"/>
          <w:sz w:val="20"/>
          <w:szCs w:val="20"/>
        </w:rPr>
        <w:t>层作用”项目特征中进行描述；屋面保温材料形成的找坡层、屋面防水保温一体</w:t>
      </w:r>
      <w:r>
        <w:rPr>
          <w:rFonts w:ascii="宋体" w:hAnsi="宋体" w:eastAsia="宋体" w:cs="宋体"/>
          <w:spacing w:val="10"/>
          <w:sz w:val="20"/>
          <w:szCs w:val="20"/>
        </w:rPr>
        <w:t>化工程应按本标准附录</w:t>
      </w:r>
      <w:r>
        <w:rPr>
          <w:rFonts w:ascii="宋体" w:hAnsi="宋体" w:eastAsia="宋体" w:cs="宋体"/>
          <w:spacing w:val="-36"/>
          <w:sz w:val="20"/>
          <w:szCs w:val="20"/>
        </w:rPr>
        <w:t xml:space="preserve"> </w:t>
      </w:r>
      <w:r>
        <w:rPr>
          <w:rFonts w:ascii="宋体" w:hAnsi="宋体" w:eastAsia="宋体" w:cs="宋体"/>
          <w:spacing w:val="10"/>
          <w:sz w:val="20"/>
          <w:szCs w:val="20"/>
        </w:rPr>
        <w:t>K 保温、隔热、防腐工程“保温隔热屋面”项目编码</w:t>
      </w:r>
      <w:r>
        <w:rPr>
          <w:rFonts w:ascii="宋体" w:hAnsi="宋体" w:eastAsia="宋体" w:cs="宋体"/>
          <w:spacing w:val="9"/>
          <w:sz w:val="20"/>
          <w:szCs w:val="20"/>
        </w:rPr>
        <w:t>列项。</w:t>
      </w:r>
    </w:p>
    <w:p>
      <w:pPr>
        <w:spacing w:line="331" w:lineRule="auto"/>
        <w:rPr>
          <w:rFonts w:ascii="宋体" w:hAnsi="宋体" w:eastAsia="宋体" w:cs="宋体"/>
          <w:sz w:val="20"/>
          <w:szCs w:val="20"/>
        </w:rPr>
        <w:sectPr>
          <w:footerReference r:id="rId89" w:type="default"/>
          <w:pgSz w:w="11905" w:h="16840"/>
          <w:pgMar w:top="400" w:right="1354"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13" w:lineRule="auto"/>
        <w:ind w:left="2" w:right="80" w:firstLine="424"/>
        <w:rPr>
          <w:rFonts w:ascii="宋体" w:hAnsi="宋体" w:eastAsia="宋体" w:cs="宋体"/>
          <w:sz w:val="20"/>
          <w:szCs w:val="20"/>
        </w:rPr>
      </w:pPr>
      <w:r>
        <w:rPr>
          <w:rFonts w:ascii="宋体" w:hAnsi="宋体" w:eastAsia="宋体" w:cs="宋体"/>
          <w:spacing w:val="8"/>
          <w:sz w:val="20"/>
          <w:szCs w:val="20"/>
        </w:rPr>
        <w:t>3. 本附录各变形缝项目均应按单侧做法的项目特征进行描述。若为双侧做法且做法</w:t>
      </w:r>
      <w:r>
        <w:rPr>
          <w:rFonts w:ascii="宋体" w:hAnsi="宋体" w:eastAsia="宋体" w:cs="宋体"/>
          <w:spacing w:val="7"/>
          <w:sz w:val="20"/>
          <w:szCs w:val="20"/>
        </w:rPr>
        <w:t>一致时，工</w:t>
      </w:r>
      <w:r>
        <w:rPr>
          <w:rFonts w:ascii="宋体" w:hAnsi="宋体" w:eastAsia="宋体" w:cs="宋体"/>
          <w:spacing w:val="9"/>
          <w:sz w:val="20"/>
          <w:szCs w:val="20"/>
        </w:rPr>
        <w:t>程量乘以系数</w:t>
      </w:r>
      <w:r>
        <w:rPr>
          <w:rFonts w:ascii="宋体" w:hAnsi="宋体" w:eastAsia="宋体" w:cs="宋体"/>
          <w:spacing w:val="-39"/>
          <w:sz w:val="20"/>
          <w:szCs w:val="20"/>
        </w:rPr>
        <w:t xml:space="preserve"> </w:t>
      </w:r>
      <w:r>
        <w:rPr>
          <w:rFonts w:ascii="宋体" w:hAnsi="宋体" w:eastAsia="宋体" w:cs="宋体"/>
          <w:spacing w:val="9"/>
          <w:sz w:val="20"/>
          <w:szCs w:val="20"/>
        </w:rPr>
        <w:t>2；双侧做法不一致时，两侧应分别</w:t>
      </w:r>
      <w:r>
        <w:rPr>
          <w:rFonts w:ascii="宋体" w:hAnsi="宋体" w:eastAsia="宋体" w:cs="宋体"/>
          <w:spacing w:val="8"/>
          <w:sz w:val="20"/>
          <w:szCs w:val="20"/>
        </w:rPr>
        <w:t>编码列项。</w:t>
      </w:r>
    </w:p>
    <w:p>
      <w:pPr>
        <w:spacing w:before="122" w:line="321" w:lineRule="auto"/>
        <w:ind w:left="3" w:right="80" w:firstLine="416"/>
        <w:rPr>
          <w:rFonts w:ascii="宋体" w:hAnsi="宋体" w:eastAsia="宋体" w:cs="宋体"/>
          <w:sz w:val="20"/>
          <w:szCs w:val="20"/>
        </w:rPr>
      </w:pPr>
      <w:r>
        <w:rPr>
          <w:rFonts w:ascii="宋体" w:hAnsi="宋体" w:eastAsia="宋体" w:cs="宋体"/>
          <w:spacing w:val="7"/>
          <w:sz w:val="20"/>
          <w:szCs w:val="20"/>
        </w:rPr>
        <w:t>4.</w:t>
      </w:r>
      <w:r>
        <w:rPr>
          <w:rFonts w:ascii="宋体" w:hAnsi="宋体" w:eastAsia="宋体" w:cs="宋体"/>
          <w:spacing w:val="33"/>
          <w:sz w:val="20"/>
          <w:szCs w:val="20"/>
        </w:rPr>
        <w:t xml:space="preserve"> </w:t>
      </w:r>
      <w:r>
        <w:rPr>
          <w:rFonts w:ascii="宋体" w:hAnsi="宋体" w:eastAsia="宋体" w:cs="宋体"/>
          <w:spacing w:val="7"/>
          <w:sz w:val="20"/>
          <w:szCs w:val="20"/>
        </w:rPr>
        <w:t>国家计算标准附录</w:t>
      </w:r>
      <w:r>
        <w:rPr>
          <w:rFonts w:ascii="宋体" w:hAnsi="宋体" w:eastAsia="宋体" w:cs="宋体"/>
          <w:spacing w:val="-47"/>
          <w:sz w:val="20"/>
          <w:szCs w:val="20"/>
        </w:rPr>
        <w:t xml:space="preserve"> </w:t>
      </w:r>
      <w:r>
        <w:rPr>
          <w:rFonts w:ascii="宋体" w:hAnsi="宋体" w:eastAsia="宋体" w:cs="宋体"/>
          <w:spacing w:val="7"/>
          <w:sz w:val="20"/>
          <w:szCs w:val="20"/>
        </w:rPr>
        <w:t>J</w:t>
      </w:r>
      <w:r>
        <w:rPr>
          <w:rFonts w:ascii="宋体" w:hAnsi="宋体" w:eastAsia="宋体" w:cs="宋体"/>
          <w:spacing w:val="-27"/>
          <w:sz w:val="20"/>
          <w:szCs w:val="20"/>
        </w:rPr>
        <w:t xml:space="preserve"> </w:t>
      </w:r>
      <w:r>
        <w:rPr>
          <w:rFonts w:ascii="宋体" w:hAnsi="宋体" w:eastAsia="宋体" w:cs="宋体"/>
          <w:spacing w:val="7"/>
          <w:sz w:val="20"/>
          <w:szCs w:val="20"/>
        </w:rPr>
        <w:t>防水层、隔离层的搭接、拼缝、压边、留槎用量及为满</w:t>
      </w:r>
      <w:r>
        <w:rPr>
          <w:rFonts w:ascii="宋体" w:hAnsi="宋体" w:eastAsia="宋体" w:cs="宋体"/>
          <w:spacing w:val="6"/>
          <w:sz w:val="20"/>
          <w:szCs w:val="20"/>
        </w:rPr>
        <w:t>足施工规范所需</w:t>
      </w:r>
      <w:r>
        <w:rPr>
          <w:rFonts w:ascii="宋体" w:hAnsi="宋体" w:eastAsia="宋体" w:cs="宋体"/>
          <w:spacing w:val="11"/>
          <w:sz w:val="20"/>
          <w:szCs w:val="20"/>
        </w:rPr>
        <w:t>的附加层用量均不另行计算。但设计文件中标注具体尺寸的附加层，应计</w:t>
      </w:r>
      <w:r>
        <w:rPr>
          <w:rFonts w:ascii="宋体" w:hAnsi="宋体" w:eastAsia="宋体" w:cs="宋体"/>
          <w:spacing w:val="10"/>
          <w:sz w:val="20"/>
          <w:szCs w:val="20"/>
        </w:rPr>
        <w:t>算工程量，并按附加层材</w:t>
      </w:r>
      <w:r>
        <w:rPr>
          <w:rFonts w:ascii="宋体" w:hAnsi="宋体" w:eastAsia="宋体" w:cs="宋体"/>
          <w:spacing w:val="8"/>
          <w:sz w:val="20"/>
          <w:szCs w:val="20"/>
        </w:rPr>
        <w:t>质、做法等项目特征单独编码列项。</w:t>
      </w:r>
    </w:p>
    <w:p>
      <w:pPr>
        <w:spacing w:before="159" w:line="333" w:lineRule="auto"/>
        <w:ind w:right="80" w:firstLine="422"/>
        <w:rPr>
          <w:rFonts w:ascii="宋体" w:hAnsi="宋体" w:eastAsia="宋体" w:cs="宋体"/>
          <w:sz w:val="20"/>
          <w:szCs w:val="20"/>
        </w:rPr>
      </w:pPr>
      <w:r>
        <w:rPr>
          <w:rFonts w:ascii="宋体" w:hAnsi="宋体" w:eastAsia="宋体" w:cs="宋体"/>
          <w:spacing w:val="8"/>
          <w:sz w:val="20"/>
          <w:szCs w:val="20"/>
        </w:rPr>
        <w:t>5. 瓦屋面项目中增加了铺设及搭接、卧瓦层、持钉层、顺水条挂瓦条等特征。瓦屋面的“瓦品</w:t>
      </w:r>
      <w:r>
        <w:rPr>
          <w:rFonts w:ascii="宋体" w:hAnsi="宋体" w:eastAsia="宋体" w:cs="宋体"/>
          <w:spacing w:val="11"/>
          <w:sz w:val="20"/>
          <w:szCs w:val="20"/>
        </w:rPr>
        <w:t>种”可描述为块瓦、沥青瓦、波形瓦等，如设计为卧瓦，应对卧瓦层进行描述；</w:t>
      </w:r>
      <w:r>
        <w:rPr>
          <w:rFonts w:ascii="宋体" w:hAnsi="宋体" w:eastAsia="宋体" w:cs="宋体"/>
          <w:spacing w:val="10"/>
          <w:sz w:val="20"/>
          <w:szCs w:val="20"/>
        </w:rPr>
        <w:t>如设计为挂瓦，应</w:t>
      </w:r>
      <w:r>
        <w:rPr>
          <w:rFonts w:ascii="宋体" w:hAnsi="宋体" w:eastAsia="宋体" w:cs="宋体"/>
          <w:spacing w:val="11"/>
          <w:sz w:val="20"/>
          <w:szCs w:val="20"/>
        </w:rPr>
        <w:t>对顺水条、挂瓦条及持钉层进行描述；如设计为直接钉瓦，应对持钉层进行描</w:t>
      </w:r>
      <w:r>
        <w:rPr>
          <w:rFonts w:ascii="宋体" w:hAnsi="宋体" w:eastAsia="宋体" w:cs="宋体"/>
          <w:spacing w:val="10"/>
          <w:sz w:val="20"/>
          <w:szCs w:val="20"/>
        </w:rPr>
        <w:t>述，以屋面木基层或</w:t>
      </w:r>
      <w:r>
        <w:rPr>
          <w:rFonts w:ascii="宋体" w:hAnsi="宋体" w:eastAsia="宋体" w:cs="宋体"/>
          <w:spacing w:val="9"/>
          <w:sz w:val="20"/>
          <w:szCs w:val="20"/>
        </w:rPr>
        <w:t>钢筋混凝土基层作为持钉层的，持钉层可不描述。</w:t>
      </w:r>
    </w:p>
    <w:p>
      <w:pPr>
        <w:pStyle w:val="2"/>
        <w:spacing w:before="148" w:line="209" w:lineRule="auto"/>
        <w:ind w:left="431"/>
        <w:rPr>
          <w:sz w:val="20"/>
          <w:szCs w:val="20"/>
        </w:rPr>
      </w:pPr>
      <w:r>
        <w:rPr>
          <w:spacing w:val="8"/>
          <w:sz w:val="20"/>
          <w:szCs w:val="20"/>
        </w:rPr>
        <w:t>十、保温、隔热、防腐工程</w:t>
      </w:r>
    </w:p>
    <w:p>
      <w:pPr>
        <w:spacing w:before="106" w:line="352" w:lineRule="auto"/>
        <w:ind w:left="1" w:right="105" w:firstLine="418"/>
        <w:rPr>
          <w:rFonts w:ascii="宋体" w:hAnsi="宋体" w:eastAsia="宋体" w:cs="宋体"/>
          <w:sz w:val="20"/>
          <w:szCs w:val="20"/>
        </w:rPr>
      </w:pPr>
      <w:r>
        <w:rPr>
          <w:rFonts w:ascii="宋体" w:hAnsi="宋体" w:eastAsia="宋体" w:cs="宋体"/>
          <w:spacing w:val="10"/>
          <w:sz w:val="20"/>
          <w:szCs w:val="20"/>
        </w:rPr>
        <w:t>保温、隔热项目特征中的“保温隔热方式”可描述为干铺、铺钉、填塞、点粘、满粘、干挂、</w:t>
      </w:r>
      <w:r>
        <w:rPr>
          <w:rFonts w:ascii="宋体" w:hAnsi="宋体" w:eastAsia="宋体" w:cs="宋体"/>
          <w:spacing w:val="8"/>
          <w:sz w:val="20"/>
          <w:szCs w:val="20"/>
        </w:rPr>
        <w:t>挂钉、喷涂、抹压、浇筑等。</w:t>
      </w:r>
    </w:p>
    <w:p>
      <w:pPr>
        <w:pStyle w:val="2"/>
        <w:spacing w:before="31" w:line="210" w:lineRule="auto"/>
        <w:ind w:left="431"/>
        <w:rPr>
          <w:sz w:val="20"/>
          <w:szCs w:val="20"/>
        </w:rPr>
      </w:pPr>
      <w:r>
        <w:rPr>
          <w:spacing w:val="8"/>
          <w:sz w:val="20"/>
          <w:szCs w:val="20"/>
        </w:rPr>
        <w:t>十一、楼地面装饰工程</w:t>
      </w:r>
    </w:p>
    <w:p>
      <w:pPr>
        <w:spacing w:before="106" w:line="278" w:lineRule="exact"/>
        <w:ind w:left="440"/>
        <w:rPr>
          <w:rFonts w:ascii="宋体" w:hAnsi="宋体" w:eastAsia="宋体" w:cs="宋体"/>
          <w:sz w:val="20"/>
          <w:szCs w:val="20"/>
        </w:rPr>
      </w:pPr>
      <w:r>
        <w:rPr>
          <w:rFonts w:ascii="宋体" w:hAnsi="宋体" w:eastAsia="宋体" w:cs="宋体"/>
          <w:spacing w:val="6"/>
          <w:position w:val="1"/>
          <w:sz w:val="20"/>
          <w:szCs w:val="20"/>
        </w:rPr>
        <w:t>1. 楼地面基层需做处理时，应在项目特征的找平层中进行描述。</w:t>
      </w:r>
    </w:p>
    <w:p>
      <w:pPr>
        <w:spacing w:before="123" w:line="278" w:lineRule="exact"/>
        <w:ind w:left="423"/>
        <w:rPr>
          <w:rFonts w:ascii="宋体" w:hAnsi="宋体" w:eastAsia="宋体" w:cs="宋体"/>
          <w:sz w:val="20"/>
          <w:szCs w:val="20"/>
        </w:rPr>
      </w:pPr>
      <w:r>
        <w:rPr>
          <w:rFonts w:ascii="宋体" w:hAnsi="宋体" w:eastAsia="宋体" w:cs="宋体"/>
          <w:spacing w:val="7"/>
          <w:position w:val="1"/>
          <w:sz w:val="20"/>
          <w:szCs w:val="20"/>
        </w:rPr>
        <w:t>2. 楼梯面层的“楼梯部位”可描述为楼梯踏步、休息平台、楼梯侧面等。</w:t>
      </w:r>
    </w:p>
    <w:p>
      <w:pPr>
        <w:spacing w:before="121" w:line="333" w:lineRule="auto"/>
        <w:ind w:firstLine="426"/>
        <w:rPr>
          <w:rFonts w:ascii="宋体" w:hAnsi="宋体" w:eastAsia="宋体" w:cs="宋体"/>
          <w:sz w:val="20"/>
          <w:szCs w:val="20"/>
        </w:rPr>
      </w:pPr>
      <w:r>
        <w:rPr>
          <w:rFonts w:ascii="宋体" w:hAnsi="宋体" w:eastAsia="宋体" w:cs="宋体"/>
          <w:spacing w:val="3"/>
          <w:sz w:val="20"/>
          <w:szCs w:val="20"/>
        </w:rPr>
        <w:t>3.</w:t>
      </w:r>
      <w:r>
        <w:rPr>
          <w:rFonts w:ascii="宋体" w:hAnsi="宋体" w:eastAsia="宋体" w:cs="宋体"/>
          <w:spacing w:val="46"/>
          <w:sz w:val="20"/>
          <w:szCs w:val="20"/>
        </w:rPr>
        <w:t xml:space="preserve"> </w:t>
      </w:r>
      <w:r>
        <w:rPr>
          <w:rFonts w:ascii="宋体" w:hAnsi="宋体" w:eastAsia="宋体" w:cs="宋体"/>
          <w:spacing w:val="3"/>
          <w:sz w:val="20"/>
          <w:szCs w:val="20"/>
        </w:rPr>
        <w:t>国家计算标准附录</w:t>
      </w:r>
      <w:r>
        <w:rPr>
          <w:rFonts w:ascii="宋体" w:hAnsi="宋体" w:eastAsia="宋体" w:cs="宋体"/>
          <w:spacing w:val="-38"/>
          <w:sz w:val="20"/>
          <w:szCs w:val="20"/>
        </w:rPr>
        <w:t xml:space="preserve"> </w:t>
      </w:r>
      <w:r>
        <w:rPr>
          <w:rFonts w:ascii="宋体" w:hAnsi="宋体" w:eastAsia="宋体" w:cs="宋体"/>
          <w:spacing w:val="3"/>
          <w:sz w:val="20"/>
          <w:szCs w:val="20"/>
        </w:rPr>
        <w:t>L.1</w:t>
      </w:r>
      <w:r>
        <w:rPr>
          <w:rFonts w:ascii="宋体" w:hAnsi="宋体" w:eastAsia="宋体" w:cs="宋体"/>
          <w:spacing w:val="-20"/>
          <w:sz w:val="20"/>
          <w:szCs w:val="20"/>
        </w:rPr>
        <w:t xml:space="preserve"> </w:t>
      </w:r>
      <w:r>
        <w:rPr>
          <w:rFonts w:ascii="宋体" w:hAnsi="宋体" w:eastAsia="宋体" w:cs="宋体"/>
          <w:spacing w:val="3"/>
          <w:sz w:val="20"/>
          <w:szCs w:val="20"/>
        </w:rPr>
        <w:t>中找平层项目适用于楼地面工程中需单独做找平层的情况，以及防水、</w:t>
      </w:r>
      <w:r>
        <w:rPr>
          <w:rFonts w:ascii="宋体" w:hAnsi="宋体" w:eastAsia="宋体" w:cs="宋体"/>
          <w:spacing w:val="7"/>
          <w:sz w:val="20"/>
          <w:szCs w:val="20"/>
        </w:rPr>
        <w:t>保温、防腐等工程的找平层。例如，橡塑面层、其他材料面层项目中如涉及到找平</w:t>
      </w:r>
      <w:r>
        <w:rPr>
          <w:rFonts w:ascii="宋体" w:hAnsi="宋体" w:eastAsia="宋体" w:cs="宋体"/>
          <w:spacing w:val="6"/>
          <w:sz w:val="20"/>
          <w:szCs w:val="20"/>
        </w:rPr>
        <w:t>层，另按附录</w:t>
      </w:r>
      <w:r>
        <w:rPr>
          <w:rFonts w:ascii="宋体" w:hAnsi="宋体" w:eastAsia="宋体" w:cs="宋体"/>
          <w:spacing w:val="-40"/>
          <w:sz w:val="20"/>
          <w:szCs w:val="20"/>
        </w:rPr>
        <w:t xml:space="preserve"> </w:t>
      </w:r>
      <w:r>
        <w:rPr>
          <w:rFonts w:ascii="宋体" w:hAnsi="宋体" w:eastAsia="宋体" w:cs="宋体"/>
          <w:spacing w:val="6"/>
          <w:sz w:val="20"/>
          <w:szCs w:val="20"/>
        </w:rPr>
        <w:t>L.1</w:t>
      </w:r>
      <w:r>
        <w:rPr>
          <w:rFonts w:ascii="宋体" w:hAnsi="宋体" w:eastAsia="宋体" w:cs="宋体"/>
          <w:spacing w:val="11"/>
          <w:sz w:val="20"/>
          <w:szCs w:val="20"/>
        </w:rPr>
        <w:t>的找平层相关项目编码列项。本附录整体面层、石材及块料面层等项目已包含相</w:t>
      </w:r>
      <w:r>
        <w:rPr>
          <w:rFonts w:ascii="宋体" w:hAnsi="宋体" w:eastAsia="宋体" w:cs="宋体"/>
          <w:spacing w:val="10"/>
          <w:sz w:val="20"/>
          <w:szCs w:val="20"/>
        </w:rPr>
        <w:t>应找平层，其找平</w:t>
      </w:r>
      <w:r>
        <w:rPr>
          <w:rFonts w:ascii="宋体" w:hAnsi="宋体" w:eastAsia="宋体" w:cs="宋体"/>
          <w:spacing w:val="8"/>
          <w:sz w:val="20"/>
          <w:szCs w:val="20"/>
        </w:rPr>
        <w:t>层无需单独列项。</w:t>
      </w:r>
    </w:p>
    <w:p>
      <w:pPr>
        <w:spacing w:before="158" w:line="298" w:lineRule="auto"/>
        <w:ind w:left="1" w:right="80" w:firstLine="418"/>
        <w:rPr>
          <w:rFonts w:ascii="宋体" w:hAnsi="宋体" w:eastAsia="宋体" w:cs="宋体"/>
          <w:sz w:val="20"/>
          <w:szCs w:val="20"/>
        </w:rPr>
      </w:pPr>
      <w:r>
        <w:rPr>
          <w:rFonts w:ascii="宋体" w:hAnsi="宋体" w:eastAsia="宋体" w:cs="宋体"/>
          <w:spacing w:val="8"/>
          <w:sz w:val="20"/>
          <w:szCs w:val="20"/>
        </w:rPr>
        <w:t>4. 楼梯、台阶面层按设计图示尺寸以面层展开面积计算。“楼梯部位”的项目特征，可描述为</w:t>
      </w:r>
      <w:r>
        <w:rPr>
          <w:rFonts w:ascii="宋体" w:hAnsi="宋体" w:eastAsia="宋体" w:cs="宋体"/>
          <w:spacing w:val="9"/>
          <w:sz w:val="20"/>
          <w:szCs w:val="20"/>
        </w:rPr>
        <w:t>楼梯踏步、休息平台、楼梯侧面等。</w:t>
      </w:r>
    </w:p>
    <w:p>
      <w:pPr>
        <w:spacing w:before="153" w:line="297" w:lineRule="auto"/>
        <w:ind w:left="1" w:right="80" w:firstLine="421"/>
        <w:rPr>
          <w:rFonts w:ascii="宋体" w:hAnsi="宋体" w:eastAsia="宋体" w:cs="宋体"/>
          <w:sz w:val="20"/>
          <w:szCs w:val="20"/>
        </w:rPr>
      </w:pPr>
      <w:r>
        <w:rPr>
          <w:rFonts w:ascii="宋体" w:hAnsi="宋体" w:eastAsia="宋体" w:cs="宋体"/>
          <w:spacing w:val="8"/>
          <w:sz w:val="20"/>
          <w:szCs w:val="20"/>
        </w:rPr>
        <w:t>5. 踢脚线按设计图示尺寸以长度计算，楼梯踏步边踢脚线应按踢脚线斜长计算，并增加相应部</w:t>
      </w:r>
      <w:r>
        <w:rPr>
          <w:rFonts w:ascii="宋体" w:hAnsi="宋体" w:eastAsia="宋体" w:cs="宋体"/>
          <w:spacing w:val="7"/>
          <w:sz w:val="20"/>
          <w:szCs w:val="20"/>
        </w:rPr>
        <w:t>位的特征描述。</w:t>
      </w:r>
    </w:p>
    <w:p>
      <w:pPr>
        <w:pStyle w:val="2"/>
        <w:spacing w:before="151" w:line="209" w:lineRule="auto"/>
        <w:ind w:left="431"/>
        <w:rPr>
          <w:sz w:val="20"/>
          <w:szCs w:val="20"/>
        </w:rPr>
      </w:pPr>
      <w:r>
        <w:rPr>
          <w:spacing w:val="9"/>
          <w:sz w:val="20"/>
          <w:szCs w:val="20"/>
        </w:rPr>
        <w:t>十二、墙、柱面装饰与隔断、幕墙工程</w:t>
      </w:r>
    </w:p>
    <w:p>
      <w:pPr>
        <w:spacing w:before="106" w:line="277" w:lineRule="exact"/>
        <w:ind w:left="440"/>
        <w:rPr>
          <w:rFonts w:ascii="宋体" w:hAnsi="宋体" w:eastAsia="宋体" w:cs="宋体"/>
          <w:sz w:val="20"/>
          <w:szCs w:val="20"/>
        </w:rPr>
      </w:pPr>
      <w:r>
        <w:rPr>
          <w:rFonts w:ascii="宋体" w:hAnsi="宋体" w:eastAsia="宋体" w:cs="宋体"/>
          <w:spacing w:val="8"/>
          <w:position w:val="1"/>
          <w:sz w:val="20"/>
          <w:szCs w:val="20"/>
        </w:rPr>
        <w:t>1. 如墙、柱面基层需做处理或抹灰时需贴压</w:t>
      </w:r>
      <w:r>
        <w:rPr>
          <w:rFonts w:ascii="宋体" w:hAnsi="宋体" w:eastAsia="宋体" w:cs="宋体"/>
          <w:spacing w:val="7"/>
          <w:position w:val="1"/>
          <w:sz w:val="20"/>
          <w:szCs w:val="20"/>
        </w:rPr>
        <w:t>网格布，应在项目特征的各层做法中进行描述。</w:t>
      </w:r>
    </w:p>
    <w:p>
      <w:pPr>
        <w:spacing w:before="124" w:line="277" w:lineRule="exact"/>
        <w:ind w:left="423"/>
        <w:rPr>
          <w:rFonts w:ascii="宋体" w:hAnsi="宋体" w:eastAsia="宋体" w:cs="宋体"/>
          <w:sz w:val="20"/>
          <w:szCs w:val="20"/>
        </w:rPr>
      </w:pPr>
      <w:r>
        <w:rPr>
          <w:rFonts w:ascii="宋体" w:hAnsi="宋体" w:eastAsia="宋体" w:cs="宋体"/>
          <w:spacing w:val="8"/>
          <w:position w:val="1"/>
          <w:sz w:val="20"/>
          <w:szCs w:val="20"/>
        </w:rPr>
        <w:t>2. 块料面层项目的“安装方式”可描述为</w:t>
      </w:r>
      <w:r>
        <w:rPr>
          <w:rFonts w:ascii="宋体" w:hAnsi="宋体" w:eastAsia="宋体" w:cs="宋体"/>
          <w:spacing w:val="7"/>
          <w:position w:val="1"/>
          <w:sz w:val="20"/>
          <w:szCs w:val="20"/>
        </w:rPr>
        <w:t>砂浆或粘结剂粘贴、挂贴、干挂等。</w:t>
      </w:r>
    </w:p>
    <w:p>
      <w:pPr>
        <w:spacing w:before="125" w:line="320" w:lineRule="auto"/>
        <w:ind w:right="80" w:firstLine="426"/>
        <w:rPr>
          <w:rFonts w:ascii="宋体" w:hAnsi="宋体" w:eastAsia="宋体" w:cs="宋体"/>
          <w:sz w:val="20"/>
          <w:szCs w:val="20"/>
        </w:rPr>
      </w:pPr>
      <w:r>
        <w:rPr>
          <w:rFonts w:ascii="宋体" w:hAnsi="宋体" w:eastAsia="宋体" w:cs="宋体"/>
          <w:spacing w:val="8"/>
          <w:sz w:val="20"/>
          <w:szCs w:val="20"/>
        </w:rPr>
        <w:t>3. 挑檐、天沟、腰线、窗台线、门窗套、飘窗板、空调搁板、压顶、扶手、雨篷周</w:t>
      </w:r>
      <w:r>
        <w:rPr>
          <w:rFonts w:ascii="宋体" w:hAnsi="宋体" w:eastAsia="宋体" w:cs="宋体"/>
          <w:spacing w:val="7"/>
          <w:sz w:val="20"/>
          <w:szCs w:val="20"/>
        </w:rPr>
        <w:t>边和壁柜、</w:t>
      </w:r>
      <w:r>
        <w:rPr>
          <w:rFonts w:ascii="宋体" w:hAnsi="宋体" w:eastAsia="宋体" w:cs="宋体"/>
          <w:spacing w:val="8"/>
          <w:sz w:val="20"/>
          <w:szCs w:val="20"/>
        </w:rPr>
        <w:t>碗柜、池槽、花台，以及面积≤0.5m</w:t>
      </w:r>
      <w:r>
        <w:rPr>
          <w:rFonts w:ascii="Arial" w:hAnsi="Arial" w:eastAsia="Arial" w:cs="Arial"/>
          <w:spacing w:val="8"/>
          <w:sz w:val="20"/>
          <w:szCs w:val="20"/>
        </w:rPr>
        <w:t>²</w:t>
      </w:r>
      <w:r>
        <w:rPr>
          <w:rFonts w:ascii="宋体" w:hAnsi="宋体" w:eastAsia="宋体" w:cs="宋体"/>
          <w:spacing w:val="8"/>
          <w:sz w:val="20"/>
          <w:szCs w:val="20"/>
        </w:rPr>
        <w:t>的少量分散的墙、柱面块料面</w:t>
      </w:r>
      <w:r>
        <w:rPr>
          <w:rFonts w:ascii="宋体" w:hAnsi="宋体" w:eastAsia="宋体" w:cs="宋体"/>
          <w:spacing w:val="7"/>
          <w:sz w:val="20"/>
          <w:szCs w:val="20"/>
        </w:rPr>
        <w:t>层应按本附录</w:t>
      </w:r>
      <w:r>
        <w:rPr>
          <w:rFonts w:ascii="宋体" w:hAnsi="宋体" w:eastAsia="宋体" w:cs="宋体"/>
          <w:spacing w:val="-38"/>
          <w:sz w:val="20"/>
          <w:szCs w:val="20"/>
        </w:rPr>
        <w:t xml:space="preserve"> </w:t>
      </w:r>
      <w:r>
        <w:rPr>
          <w:rFonts w:ascii="宋体" w:hAnsi="宋体" w:eastAsia="宋体" w:cs="宋体"/>
          <w:spacing w:val="7"/>
          <w:sz w:val="20"/>
          <w:szCs w:val="20"/>
        </w:rPr>
        <w:t>M.4</w:t>
      </w:r>
      <w:r>
        <w:rPr>
          <w:rFonts w:ascii="宋体" w:hAnsi="宋体" w:eastAsia="宋体" w:cs="宋体"/>
          <w:spacing w:val="-24"/>
          <w:sz w:val="20"/>
          <w:szCs w:val="20"/>
        </w:rPr>
        <w:t xml:space="preserve"> </w:t>
      </w:r>
      <w:r>
        <w:rPr>
          <w:rFonts w:ascii="宋体" w:hAnsi="宋体" w:eastAsia="宋体" w:cs="宋体"/>
          <w:spacing w:val="7"/>
          <w:sz w:val="20"/>
          <w:szCs w:val="20"/>
        </w:rPr>
        <w:t>的零星块料面</w:t>
      </w:r>
      <w:r>
        <w:rPr>
          <w:rFonts w:ascii="宋体" w:hAnsi="宋体" w:eastAsia="宋体" w:cs="宋体"/>
          <w:spacing w:val="8"/>
          <w:sz w:val="20"/>
          <w:szCs w:val="20"/>
        </w:rPr>
        <w:t>层相关项目编码列项。</w:t>
      </w:r>
    </w:p>
    <w:p>
      <w:pPr>
        <w:spacing w:before="159" w:line="297" w:lineRule="auto"/>
        <w:ind w:left="2" w:right="80" w:firstLine="417"/>
        <w:rPr>
          <w:rFonts w:ascii="宋体" w:hAnsi="宋体" w:eastAsia="宋体" w:cs="宋体"/>
          <w:sz w:val="20"/>
          <w:szCs w:val="20"/>
        </w:rPr>
      </w:pPr>
      <w:r>
        <w:rPr>
          <w:rFonts w:ascii="宋体" w:hAnsi="宋体" w:eastAsia="宋体" w:cs="宋体"/>
          <w:spacing w:val="8"/>
          <w:sz w:val="20"/>
          <w:szCs w:val="20"/>
        </w:rPr>
        <w:t>4. 幕墙工程需综合相应的骨架，增加特征描述，在综合单价中进行组价。骨架中包含相应的埋件，不单独计算。</w:t>
      </w:r>
    </w:p>
    <w:p>
      <w:pPr>
        <w:spacing w:before="156" w:line="276" w:lineRule="exact"/>
        <w:ind w:left="423"/>
        <w:rPr>
          <w:rFonts w:ascii="宋体" w:hAnsi="宋体" w:eastAsia="宋体" w:cs="宋体"/>
          <w:sz w:val="20"/>
          <w:szCs w:val="20"/>
        </w:rPr>
      </w:pPr>
      <w:r>
        <w:rPr>
          <w:rFonts w:ascii="宋体" w:hAnsi="宋体" w:eastAsia="宋体" w:cs="宋体"/>
          <w:spacing w:val="7"/>
          <w:position w:val="1"/>
          <w:sz w:val="20"/>
          <w:szCs w:val="20"/>
        </w:rPr>
        <w:t>5. 幕墙工程中的玻璃采光顶和金属板幕墙顶按照附录</w:t>
      </w:r>
      <w:r>
        <w:rPr>
          <w:rFonts w:ascii="宋体" w:hAnsi="宋体" w:eastAsia="宋体" w:cs="宋体"/>
          <w:spacing w:val="-40"/>
          <w:position w:val="1"/>
          <w:sz w:val="20"/>
          <w:szCs w:val="20"/>
        </w:rPr>
        <w:t xml:space="preserve"> </w:t>
      </w:r>
      <w:r>
        <w:rPr>
          <w:rFonts w:ascii="宋体" w:hAnsi="宋体" w:eastAsia="宋体" w:cs="宋体"/>
          <w:spacing w:val="7"/>
          <w:position w:val="1"/>
          <w:sz w:val="20"/>
          <w:szCs w:val="20"/>
        </w:rPr>
        <w:t>J</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屋面及防水工程中相关项目编码列项。</w:t>
      </w:r>
    </w:p>
    <w:p>
      <w:pPr>
        <w:spacing w:before="125" w:line="296" w:lineRule="auto"/>
        <w:ind w:right="80" w:firstLine="423"/>
        <w:rPr>
          <w:rFonts w:ascii="宋体" w:hAnsi="宋体" w:eastAsia="宋体" w:cs="宋体"/>
          <w:sz w:val="20"/>
          <w:szCs w:val="20"/>
        </w:rPr>
      </w:pPr>
      <w:r>
        <w:rPr>
          <w:rFonts w:ascii="宋体" w:hAnsi="宋体" w:eastAsia="宋体" w:cs="宋体"/>
          <w:spacing w:val="8"/>
          <w:sz w:val="20"/>
          <w:szCs w:val="20"/>
        </w:rPr>
        <w:t>6. 外墙、内墙、柱面均按设计尺寸计算抹灰面积。有吊顶天棚的墙面抹灰高度，按设计要</w:t>
      </w:r>
      <w:r>
        <w:rPr>
          <w:rFonts w:ascii="宋体" w:hAnsi="宋体" w:eastAsia="宋体" w:cs="宋体"/>
          <w:spacing w:val="7"/>
          <w:sz w:val="20"/>
          <w:szCs w:val="20"/>
        </w:rPr>
        <w:t>求进</w:t>
      </w:r>
      <w:r>
        <w:rPr>
          <w:rFonts w:ascii="宋体" w:hAnsi="宋体" w:eastAsia="宋体" w:cs="宋体"/>
          <w:spacing w:val="6"/>
          <w:sz w:val="20"/>
          <w:szCs w:val="20"/>
        </w:rPr>
        <w:t>行计算。</w:t>
      </w:r>
    </w:p>
    <w:p>
      <w:pPr>
        <w:spacing w:before="157" w:line="277" w:lineRule="exact"/>
        <w:ind w:left="421"/>
        <w:rPr>
          <w:rFonts w:ascii="宋体" w:hAnsi="宋体" w:eastAsia="宋体" w:cs="宋体"/>
          <w:sz w:val="20"/>
          <w:szCs w:val="20"/>
        </w:rPr>
      </w:pPr>
      <w:r>
        <w:rPr>
          <w:rFonts w:ascii="宋体" w:hAnsi="宋体" w:eastAsia="宋体" w:cs="宋体"/>
          <w:spacing w:val="8"/>
          <w:position w:val="1"/>
          <w:sz w:val="20"/>
          <w:szCs w:val="20"/>
        </w:rPr>
        <w:t>7. 墙、柱面块料面层和零星块料面层按设计图示镶贴后表面积计算。墙、柱面饰面板以饰面板</w:t>
      </w:r>
    </w:p>
    <w:p>
      <w:pPr>
        <w:spacing w:line="277" w:lineRule="exact"/>
        <w:rPr>
          <w:rFonts w:ascii="宋体" w:hAnsi="宋体" w:eastAsia="宋体" w:cs="宋体"/>
          <w:sz w:val="20"/>
          <w:szCs w:val="20"/>
        </w:rPr>
        <w:sectPr>
          <w:footerReference r:id="rId90" w:type="default"/>
          <w:pgSz w:w="11905" w:h="16840"/>
          <w:pgMar w:top="400" w:right="1338" w:bottom="1213" w:left="1418" w:header="0" w:footer="898"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219" w:lineRule="auto"/>
        <w:rPr>
          <w:rFonts w:ascii="宋体" w:hAnsi="宋体" w:eastAsia="宋体" w:cs="宋体"/>
          <w:sz w:val="20"/>
          <w:szCs w:val="20"/>
        </w:rPr>
      </w:pPr>
      <w:bookmarkStart w:id="48" w:name="bookmark148"/>
      <w:bookmarkEnd w:id="48"/>
      <w:r>
        <w:rPr>
          <w:rFonts w:ascii="宋体" w:hAnsi="宋体" w:eastAsia="宋体" w:cs="宋体"/>
          <w:spacing w:val="8"/>
          <w:sz w:val="20"/>
          <w:szCs w:val="20"/>
        </w:rPr>
        <w:t>外围尺寸进行计算。</w:t>
      </w:r>
    </w:p>
    <w:p>
      <w:pPr>
        <w:pStyle w:val="2"/>
        <w:spacing w:before="151" w:line="210" w:lineRule="auto"/>
        <w:ind w:left="431"/>
        <w:rPr>
          <w:sz w:val="20"/>
          <w:szCs w:val="20"/>
        </w:rPr>
      </w:pPr>
      <w:r>
        <w:rPr>
          <w:spacing w:val="7"/>
          <w:sz w:val="20"/>
          <w:szCs w:val="20"/>
        </w:rPr>
        <w:t>十三、天棚工程</w:t>
      </w:r>
    </w:p>
    <w:p>
      <w:pPr>
        <w:spacing w:before="106" w:line="321" w:lineRule="auto"/>
        <w:ind w:left="1" w:firstLine="438"/>
        <w:rPr>
          <w:rFonts w:ascii="宋体" w:hAnsi="宋体" w:eastAsia="宋体" w:cs="宋体"/>
          <w:sz w:val="20"/>
          <w:szCs w:val="20"/>
        </w:rPr>
      </w:pPr>
      <w:r>
        <w:rPr>
          <w:rFonts w:ascii="宋体" w:hAnsi="宋体" w:eastAsia="宋体" w:cs="宋体"/>
          <w:spacing w:val="10"/>
          <w:sz w:val="20"/>
          <w:szCs w:val="20"/>
        </w:rPr>
        <w:t>1. 天棚面层不在同一标高的一般直线型吊顶天棚</w:t>
      </w:r>
      <w:r>
        <w:rPr>
          <w:rFonts w:ascii="宋体" w:hAnsi="宋体" w:eastAsia="宋体" w:cs="宋体"/>
          <w:spacing w:val="9"/>
          <w:sz w:val="20"/>
          <w:szCs w:val="20"/>
        </w:rPr>
        <w:t>，高差≤400</w:t>
      </w:r>
      <w:r>
        <w:rPr>
          <w:rFonts w:ascii="宋体" w:hAnsi="宋体" w:eastAsia="宋体" w:cs="宋体"/>
          <w:sz w:val="20"/>
          <w:szCs w:val="20"/>
        </w:rPr>
        <w:t>mm</w:t>
      </w:r>
      <w:r>
        <w:rPr>
          <w:rFonts w:ascii="宋体" w:hAnsi="宋体" w:eastAsia="宋体" w:cs="宋体"/>
          <w:spacing w:val="-43"/>
          <w:sz w:val="20"/>
          <w:szCs w:val="20"/>
        </w:rPr>
        <w:t xml:space="preserve"> </w:t>
      </w:r>
      <w:r>
        <w:rPr>
          <w:rFonts w:ascii="宋体" w:hAnsi="宋体" w:eastAsia="宋体" w:cs="宋体"/>
          <w:spacing w:val="9"/>
          <w:sz w:val="20"/>
          <w:szCs w:val="20"/>
        </w:rPr>
        <w:t>且跌级≤3</w:t>
      </w:r>
      <w:r>
        <w:rPr>
          <w:rFonts w:ascii="宋体" w:hAnsi="宋体" w:eastAsia="宋体" w:cs="宋体"/>
          <w:spacing w:val="-39"/>
          <w:sz w:val="20"/>
          <w:szCs w:val="20"/>
        </w:rPr>
        <w:t xml:space="preserve"> </w:t>
      </w:r>
      <w:r>
        <w:rPr>
          <w:rFonts w:ascii="宋体" w:hAnsi="宋体" w:eastAsia="宋体" w:cs="宋体"/>
          <w:spacing w:val="9"/>
          <w:sz w:val="20"/>
          <w:szCs w:val="20"/>
        </w:rPr>
        <w:t>级时，应按本附录</w:t>
      </w:r>
      <w:r>
        <w:rPr>
          <w:rFonts w:ascii="宋体" w:hAnsi="宋体" w:eastAsia="宋体" w:cs="宋体"/>
          <w:spacing w:val="11"/>
          <w:sz w:val="20"/>
          <w:szCs w:val="20"/>
        </w:rPr>
        <w:t>的“跌级吊顶天棚”项目编码列项；高差&gt;400</w:t>
      </w:r>
      <w:r>
        <w:rPr>
          <w:rFonts w:ascii="宋体" w:hAnsi="宋体" w:eastAsia="宋体" w:cs="宋体"/>
          <w:sz w:val="20"/>
          <w:szCs w:val="20"/>
        </w:rPr>
        <w:t>mm</w:t>
      </w:r>
      <w:r>
        <w:rPr>
          <w:rFonts w:ascii="宋体" w:hAnsi="宋体" w:eastAsia="宋体" w:cs="宋体"/>
          <w:spacing w:val="11"/>
          <w:sz w:val="20"/>
          <w:szCs w:val="20"/>
        </w:rPr>
        <w:t xml:space="preserve"> 或跌级&gt;3</w:t>
      </w:r>
      <w:r>
        <w:rPr>
          <w:rFonts w:ascii="宋体" w:hAnsi="宋体" w:eastAsia="宋体" w:cs="宋体"/>
          <w:spacing w:val="-36"/>
          <w:sz w:val="20"/>
          <w:szCs w:val="20"/>
        </w:rPr>
        <w:t xml:space="preserve"> </w:t>
      </w:r>
      <w:r>
        <w:rPr>
          <w:rFonts w:ascii="宋体" w:hAnsi="宋体" w:eastAsia="宋体" w:cs="宋体"/>
          <w:spacing w:val="11"/>
          <w:sz w:val="20"/>
          <w:szCs w:val="20"/>
        </w:rPr>
        <w:t>级时，应按本附录“艺术造型吊顶天棚”</w:t>
      </w:r>
      <w:r>
        <w:rPr>
          <w:rFonts w:ascii="宋体" w:hAnsi="宋体" w:eastAsia="宋体" w:cs="宋体"/>
          <w:spacing w:val="10"/>
          <w:sz w:val="20"/>
          <w:szCs w:val="20"/>
        </w:rPr>
        <w:t>项目编码列项。圆弧形、拱形等造型天棚应按本附录</w:t>
      </w:r>
      <w:r>
        <w:rPr>
          <w:rFonts w:ascii="宋体" w:hAnsi="宋体" w:eastAsia="宋体" w:cs="宋体"/>
          <w:spacing w:val="9"/>
          <w:sz w:val="20"/>
          <w:szCs w:val="20"/>
        </w:rPr>
        <w:t>“艺术造型吊顶天棚”项目编码列项。</w:t>
      </w:r>
    </w:p>
    <w:p>
      <w:pPr>
        <w:spacing w:before="157" w:line="296" w:lineRule="auto"/>
        <w:ind w:left="1" w:firstLine="421"/>
        <w:rPr>
          <w:rFonts w:ascii="宋体" w:hAnsi="宋体" w:eastAsia="宋体" w:cs="宋体"/>
          <w:sz w:val="20"/>
          <w:szCs w:val="20"/>
        </w:rPr>
      </w:pPr>
      <w:r>
        <w:rPr>
          <w:rFonts w:ascii="宋体" w:hAnsi="宋体" w:eastAsia="宋体" w:cs="宋体"/>
          <w:spacing w:val="6"/>
          <w:sz w:val="20"/>
          <w:szCs w:val="20"/>
        </w:rPr>
        <w:t>2. 无天棚的独立梁抹灰按“天棚抹灰”项目编码</w:t>
      </w:r>
      <w:r>
        <w:rPr>
          <w:rFonts w:ascii="宋体" w:hAnsi="宋体" w:eastAsia="宋体" w:cs="宋体"/>
          <w:spacing w:val="5"/>
          <w:sz w:val="20"/>
          <w:szCs w:val="20"/>
        </w:rPr>
        <w:t>列项,梁各个抹灰面面积并入计算。“块料梁面”</w:t>
      </w:r>
      <w:r>
        <w:rPr>
          <w:rFonts w:ascii="宋体" w:hAnsi="宋体" w:eastAsia="宋体" w:cs="宋体"/>
          <w:sz w:val="20"/>
          <w:szCs w:val="20"/>
        </w:rPr>
        <w:t xml:space="preserve"> </w:t>
      </w:r>
      <w:r>
        <w:rPr>
          <w:rFonts w:ascii="宋体" w:hAnsi="宋体" w:eastAsia="宋体" w:cs="宋体"/>
          <w:spacing w:val="10"/>
          <w:sz w:val="20"/>
          <w:szCs w:val="20"/>
        </w:rPr>
        <w:t>“装饰板梁面”适用于无天棚的独立梁装饰以及梁面装饰与所在</w:t>
      </w:r>
      <w:r>
        <w:rPr>
          <w:rFonts w:ascii="宋体" w:hAnsi="宋体" w:eastAsia="宋体" w:cs="宋体"/>
          <w:spacing w:val="9"/>
          <w:sz w:val="20"/>
          <w:szCs w:val="20"/>
        </w:rPr>
        <w:t>天棚吊顶装饰做法不同时的情况。</w:t>
      </w:r>
    </w:p>
    <w:p>
      <w:pPr>
        <w:spacing w:before="158" w:line="278" w:lineRule="exact"/>
        <w:ind w:left="426"/>
        <w:rPr>
          <w:rFonts w:ascii="宋体" w:hAnsi="宋体" w:eastAsia="宋体" w:cs="宋体"/>
          <w:sz w:val="20"/>
          <w:szCs w:val="20"/>
        </w:rPr>
      </w:pPr>
      <w:r>
        <w:rPr>
          <w:rFonts w:ascii="宋体" w:hAnsi="宋体" w:eastAsia="宋体" w:cs="宋体"/>
          <w:spacing w:val="8"/>
          <w:position w:val="1"/>
          <w:sz w:val="20"/>
          <w:szCs w:val="20"/>
        </w:rPr>
        <w:t>3. 无天棚的独立梁抹灰按“天棚抹灰”项目编码列项，梁</w:t>
      </w:r>
      <w:r>
        <w:rPr>
          <w:rFonts w:ascii="宋体" w:hAnsi="宋体" w:eastAsia="宋体" w:cs="宋体"/>
          <w:spacing w:val="7"/>
          <w:position w:val="1"/>
          <w:sz w:val="20"/>
          <w:szCs w:val="20"/>
        </w:rPr>
        <w:t>各个抹灰面面积并入计算。</w:t>
      </w:r>
    </w:p>
    <w:p>
      <w:pPr>
        <w:spacing w:before="123" w:line="296" w:lineRule="auto"/>
        <w:ind w:left="2" w:right="205" w:firstLine="417"/>
        <w:rPr>
          <w:rFonts w:ascii="宋体" w:hAnsi="宋体" w:eastAsia="宋体" w:cs="宋体"/>
          <w:sz w:val="20"/>
          <w:szCs w:val="20"/>
        </w:rPr>
      </w:pPr>
      <w:r>
        <w:rPr>
          <w:rFonts w:ascii="宋体" w:hAnsi="宋体" w:eastAsia="宋体" w:cs="宋体"/>
          <w:spacing w:val="8"/>
          <w:sz w:val="20"/>
          <w:szCs w:val="20"/>
        </w:rPr>
        <w:t>4. “块料梁面”、“装饰板梁面”项目适用于无天棚的独立梁装饰以及梁面装饰与所在天棚吊顶装饰做法不同的情况。</w:t>
      </w:r>
    </w:p>
    <w:p>
      <w:pPr>
        <w:pStyle w:val="2"/>
        <w:spacing w:before="149" w:line="210" w:lineRule="auto"/>
        <w:ind w:left="431"/>
        <w:rPr>
          <w:sz w:val="20"/>
          <w:szCs w:val="20"/>
        </w:rPr>
      </w:pPr>
      <w:r>
        <w:rPr>
          <w:spacing w:val="8"/>
          <w:sz w:val="20"/>
          <w:szCs w:val="20"/>
        </w:rPr>
        <w:t>十四、油漆、涂料、裱糊工程</w:t>
      </w:r>
    </w:p>
    <w:p>
      <w:pPr>
        <w:spacing w:before="109" w:line="277" w:lineRule="exact"/>
        <w:ind w:left="440"/>
        <w:rPr>
          <w:rFonts w:ascii="宋体" w:hAnsi="宋体" w:eastAsia="宋体" w:cs="宋体"/>
          <w:sz w:val="20"/>
          <w:szCs w:val="20"/>
        </w:rPr>
      </w:pPr>
      <w:r>
        <w:rPr>
          <w:rFonts w:ascii="宋体" w:hAnsi="宋体" w:eastAsia="宋体" w:cs="宋体"/>
          <w:spacing w:val="7"/>
          <w:position w:val="1"/>
          <w:sz w:val="20"/>
          <w:szCs w:val="20"/>
        </w:rPr>
        <w:t>1. 墙面油漆和喷刷涂料外墙时，项目特征中应注明墙面分割界缝做法描述。</w:t>
      </w:r>
    </w:p>
    <w:p>
      <w:pPr>
        <w:spacing w:before="121" w:line="297" w:lineRule="auto"/>
        <w:ind w:left="6" w:right="205" w:firstLine="416"/>
        <w:rPr>
          <w:rFonts w:ascii="宋体" w:hAnsi="宋体" w:eastAsia="宋体" w:cs="宋体"/>
          <w:sz w:val="20"/>
          <w:szCs w:val="20"/>
        </w:rPr>
      </w:pPr>
      <w:r>
        <w:rPr>
          <w:rFonts w:ascii="宋体" w:hAnsi="宋体" w:eastAsia="宋体" w:cs="宋体"/>
          <w:spacing w:val="8"/>
          <w:sz w:val="20"/>
          <w:szCs w:val="20"/>
        </w:rPr>
        <w:t>2. 抹灰面油漆和刷涂料工作内容中包括刮腻子。本附录中“刮腻子”项目仅适用于单独进行满</w:t>
      </w:r>
      <w:r>
        <w:rPr>
          <w:rFonts w:ascii="宋体" w:hAnsi="宋体" w:eastAsia="宋体" w:cs="宋体"/>
          <w:spacing w:val="7"/>
          <w:sz w:val="20"/>
          <w:szCs w:val="20"/>
        </w:rPr>
        <w:t>刮腻子的设计做法。</w:t>
      </w:r>
    </w:p>
    <w:p>
      <w:pPr>
        <w:spacing w:before="158" w:line="277" w:lineRule="exact"/>
        <w:ind w:left="426"/>
        <w:rPr>
          <w:rFonts w:ascii="宋体" w:hAnsi="宋体" w:eastAsia="宋体" w:cs="宋体"/>
          <w:sz w:val="20"/>
          <w:szCs w:val="20"/>
        </w:rPr>
      </w:pPr>
      <w:r>
        <w:rPr>
          <w:rFonts w:ascii="宋体" w:hAnsi="宋体" w:eastAsia="宋体" w:cs="宋体"/>
          <w:spacing w:val="6"/>
          <w:position w:val="1"/>
          <w:sz w:val="20"/>
          <w:szCs w:val="20"/>
        </w:rPr>
        <w:t>3. 油漆踢脚线应按“抹灰线条油漆”项目编码列项。</w:t>
      </w:r>
    </w:p>
    <w:p>
      <w:pPr>
        <w:spacing w:before="121" w:line="313" w:lineRule="auto"/>
        <w:ind w:left="17" w:right="205" w:firstLine="402"/>
        <w:rPr>
          <w:rFonts w:ascii="宋体" w:hAnsi="宋体" w:eastAsia="宋体" w:cs="宋体"/>
          <w:sz w:val="20"/>
          <w:szCs w:val="20"/>
        </w:rPr>
      </w:pPr>
      <w:r>
        <w:rPr>
          <w:rFonts w:ascii="宋体" w:hAnsi="宋体" w:eastAsia="宋体" w:cs="宋体"/>
          <w:spacing w:val="8"/>
          <w:sz w:val="20"/>
          <w:szCs w:val="20"/>
        </w:rPr>
        <w:t>4. 本附录所列分部工程，仅适用于发生于施工现场的油漆、涂料、裱糊工程。预制或定做的成</w:t>
      </w:r>
      <w:r>
        <w:rPr>
          <w:rFonts w:ascii="宋体" w:hAnsi="宋体" w:eastAsia="宋体" w:cs="宋体"/>
          <w:spacing w:val="9"/>
          <w:sz w:val="20"/>
          <w:szCs w:val="20"/>
        </w:rPr>
        <w:t>品、半成品构件在制作过程中的涂（镀）层要求，不在本附录考虑范围内。</w:t>
      </w:r>
    </w:p>
    <w:p>
      <w:pPr>
        <w:pStyle w:val="2"/>
        <w:spacing w:before="116" w:line="210" w:lineRule="auto"/>
        <w:ind w:left="431"/>
        <w:rPr>
          <w:sz w:val="20"/>
          <w:szCs w:val="20"/>
        </w:rPr>
      </w:pPr>
      <w:r>
        <w:rPr>
          <w:spacing w:val="8"/>
          <w:sz w:val="20"/>
          <w:szCs w:val="20"/>
        </w:rPr>
        <w:t>十五、其他装饰工程</w:t>
      </w:r>
    </w:p>
    <w:p>
      <w:pPr>
        <w:spacing w:before="106" w:line="277" w:lineRule="exact"/>
        <w:ind w:left="440"/>
        <w:rPr>
          <w:rFonts w:ascii="宋体" w:hAnsi="宋体" w:eastAsia="宋体" w:cs="宋体"/>
          <w:sz w:val="20"/>
          <w:szCs w:val="20"/>
        </w:rPr>
      </w:pPr>
      <w:r>
        <w:rPr>
          <w:rFonts w:ascii="宋体" w:hAnsi="宋体" w:eastAsia="宋体" w:cs="宋体"/>
          <w:spacing w:val="6"/>
          <w:position w:val="1"/>
          <w:sz w:val="20"/>
          <w:szCs w:val="20"/>
        </w:rPr>
        <w:t>1. 柜、架、台小节的项目按设计图示尺寸以正投影面积计算。</w:t>
      </w:r>
    </w:p>
    <w:p>
      <w:pPr>
        <w:spacing w:before="124" w:line="277" w:lineRule="exact"/>
        <w:ind w:left="423"/>
        <w:rPr>
          <w:rFonts w:ascii="宋体" w:hAnsi="宋体" w:eastAsia="宋体" w:cs="宋体"/>
          <w:sz w:val="20"/>
          <w:szCs w:val="20"/>
        </w:rPr>
      </w:pPr>
      <w:r>
        <w:rPr>
          <w:rFonts w:ascii="宋体" w:hAnsi="宋体" w:eastAsia="宋体" w:cs="宋体"/>
          <w:spacing w:val="7"/>
          <w:position w:val="1"/>
          <w:sz w:val="20"/>
          <w:szCs w:val="20"/>
        </w:rPr>
        <w:t>2. “成品装饰线条”按设计图示尺寸以中心</w:t>
      </w:r>
      <w:r>
        <w:rPr>
          <w:rFonts w:ascii="宋体" w:hAnsi="宋体" w:eastAsia="宋体" w:cs="宋体"/>
          <w:spacing w:val="6"/>
          <w:position w:val="1"/>
          <w:sz w:val="20"/>
          <w:szCs w:val="20"/>
        </w:rPr>
        <w:t>线长度计算。</w:t>
      </w:r>
    </w:p>
    <w:p>
      <w:pPr>
        <w:spacing w:before="123" w:line="297" w:lineRule="auto"/>
        <w:ind w:right="205" w:firstLine="425"/>
        <w:rPr>
          <w:rFonts w:ascii="宋体" w:hAnsi="宋体" w:eastAsia="宋体" w:cs="宋体"/>
          <w:sz w:val="20"/>
          <w:szCs w:val="20"/>
        </w:rPr>
      </w:pPr>
      <w:r>
        <w:rPr>
          <w:rFonts w:ascii="宋体" w:hAnsi="宋体" w:eastAsia="宋体" w:cs="宋体"/>
          <w:spacing w:val="8"/>
          <w:sz w:val="20"/>
          <w:szCs w:val="20"/>
        </w:rPr>
        <w:t>3. 扶手、栏杆、栏板装饰小节的清单项目均按按设计图示中心线长度计算。其中“</w:t>
      </w:r>
      <w:r>
        <w:rPr>
          <w:rFonts w:ascii="宋体" w:hAnsi="宋体" w:eastAsia="宋体" w:cs="宋体"/>
          <w:spacing w:val="7"/>
          <w:sz w:val="20"/>
          <w:szCs w:val="20"/>
        </w:rPr>
        <w:t>扶手”项目</w:t>
      </w:r>
      <w:r>
        <w:rPr>
          <w:rFonts w:ascii="宋体" w:hAnsi="宋体" w:eastAsia="宋体" w:cs="宋体"/>
          <w:spacing w:val="10"/>
          <w:sz w:val="20"/>
          <w:szCs w:val="20"/>
        </w:rPr>
        <w:t>按照设计图示以扶手中心线长度计算，如扶手端部</w:t>
      </w:r>
      <w:r>
        <w:rPr>
          <w:rFonts w:ascii="宋体" w:hAnsi="宋体" w:eastAsia="宋体" w:cs="宋体"/>
          <w:spacing w:val="9"/>
          <w:sz w:val="20"/>
          <w:szCs w:val="20"/>
        </w:rPr>
        <w:t>有弯折，弯折部位长度应并入计算。</w:t>
      </w:r>
    </w:p>
    <w:p>
      <w:pPr>
        <w:spacing w:before="157" w:line="297" w:lineRule="auto"/>
        <w:ind w:left="41" w:right="205" w:firstLine="378"/>
        <w:rPr>
          <w:rFonts w:ascii="宋体" w:hAnsi="宋体" w:eastAsia="宋体" w:cs="宋体"/>
          <w:sz w:val="20"/>
          <w:szCs w:val="20"/>
        </w:rPr>
      </w:pPr>
      <w:r>
        <w:rPr>
          <w:rFonts w:ascii="宋体" w:hAnsi="宋体" w:eastAsia="宋体" w:cs="宋体"/>
          <w:spacing w:val="8"/>
          <w:sz w:val="20"/>
          <w:szCs w:val="20"/>
        </w:rPr>
        <w:t>4. 装饰板雨篷的“装饰板材料品种”可描述为玻璃、阳光板、金属板等。注意装饰板雨篷的项</w:t>
      </w:r>
      <w:r>
        <w:rPr>
          <w:rFonts w:ascii="宋体" w:hAnsi="宋体" w:eastAsia="宋体" w:cs="宋体"/>
          <w:spacing w:val="7"/>
          <w:sz w:val="20"/>
          <w:szCs w:val="20"/>
        </w:rPr>
        <w:t>目特征和工作内容中均包含了骨架的相关内容。</w:t>
      </w:r>
    </w:p>
    <w:p>
      <w:pPr>
        <w:pStyle w:val="2"/>
        <w:spacing w:before="151" w:line="208" w:lineRule="auto"/>
        <w:ind w:left="431"/>
        <w:rPr>
          <w:sz w:val="20"/>
          <w:szCs w:val="20"/>
        </w:rPr>
      </w:pPr>
      <w:r>
        <w:rPr>
          <w:spacing w:val="7"/>
          <w:sz w:val="20"/>
          <w:szCs w:val="20"/>
        </w:rPr>
        <w:t>十六、措施项目</w:t>
      </w:r>
    </w:p>
    <w:p>
      <w:pPr>
        <w:spacing w:before="99" w:line="324" w:lineRule="auto"/>
        <w:ind w:right="205" w:firstLine="439"/>
        <w:rPr>
          <w:rFonts w:ascii="宋体" w:hAnsi="宋体" w:eastAsia="宋体" w:cs="宋体"/>
          <w:sz w:val="20"/>
          <w:szCs w:val="20"/>
        </w:rPr>
      </w:pPr>
      <w:r>
        <w:rPr>
          <w:rFonts w:ascii="宋体" w:hAnsi="宋体" w:eastAsia="宋体" w:cs="宋体"/>
          <w:spacing w:val="8"/>
          <w:sz w:val="20"/>
          <w:szCs w:val="20"/>
        </w:rPr>
        <w:t>1. “脚手架”“垂直运输”“其他大型机械进出场及</w:t>
      </w:r>
      <w:r>
        <w:rPr>
          <w:rFonts w:ascii="宋体" w:hAnsi="宋体" w:eastAsia="宋体" w:cs="宋体"/>
          <w:spacing w:val="7"/>
          <w:sz w:val="20"/>
          <w:szCs w:val="20"/>
        </w:rPr>
        <w:t>安拆”“施工降水”“施工排水”等总价</w:t>
      </w:r>
      <w:r>
        <w:rPr>
          <w:rFonts w:ascii="宋体" w:hAnsi="宋体" w:eastAsia="宋体" w:cs="宋体"/>
          <w:spacing w:val="11"/>
          <w:sz w:val="20"/>
          <w:szCs w:val="20"/>
        </w:rPr>
        <w:t>措施项目，以“项”计算，“夜间施工”、“二次搬运”、“冬雨季施工”等属</w:t>
      </w:r>
      <w:r>
        <w:rPr>
          <w:rFonts w:ascii="宋体" w:hAnsi="宋体" w:eastAsia="宋体" w:cs="宋体"/>
          <w:spacing w:val="10"/>
          <w:sz w:val="20"/>
          <w:szCs w:val="20"/>
        </w:rPr>
        <w:t>于完成全面工程所</w:t>
      </w:r>
      <w:r>
        <w:rPr>
          <w:rFonts w:ascii="宋体" w:hAnsi="宋体" w:eastAsia="宋体" w:cs="宋体"/>
          <w:spacing w:val="8"/>
          <w:sz w:val="20"/>
          <w:szCs w:val="20"/>
        </w:rPr>
        <w:t>发生的费用，也按“项”计算。</w:t>
      </w:r>
    </w:p>
    <w:p>
      <w:pPr>
        <w:spacing w:before="156" w:line="297" w:lineRule="auto"/>
        <w:ind w:right="205" w:firstLine="423"/>
        <w:rPr>
          <w:rFonts w:ascii="宋体" w:hAnsi="宋体" w:eastAsia="宋体" w:cs="宋体"/>
          <w:sz w:val="20"/>
          <w:szCs w:val="20"/>
        </w:rPr>
      </w:pPr>
      <w:r>
        <w:rPr>
          <w:rFonts w:ascii="宋体" w:hAnsi="宋体" w:eastAsia="宋体" w:cs="宋体"/>
          <w:spacing w:val="7"/>
          <w:sz w:val="20"/>
          <w:szCs w:val="20"/>
        </w:rPr>
        <w:t>2. 附录</w:t>
      </w:r>
      <w:r>
        <w:rPr>
          <w:rFonts w:ascii="宋体" w:hAnsi="宋体" w:eastAsia="宋体" w:cs="宋体"/>
          <w:spacing w:val="-37"/>
          <w:sz w:val="20"/>
          <w:szCs w:val="20"/>
        </w:rPr>
        <w:t xml:space="preserve"> </w:t>
      </w:r>
      <w:r>
        <w:rPr>
          <w:rFonts w:ascii="宋体" w:hAnsi="宋体" w:eastAsia="宋体" w:cs="宋体"/>
          <w:spacing w:val="7"/>
          <w:sz w:val="20"/>
          <w:szCs w:val="20"/>
        </w:rPr>
        <w:t>R</w:t>
      </w:r>
      <w:r>
        <w:rPr>
          <w:rFonts w:ascii="宋体" w:hAnsi="宋体" w:eastAsia="宋体" w:cs="宋体"/>
          <w:spacing w:val="-43"/>
          <w:sz w:val="20"/>
          <w:szCs w:val="20"/>
        </w:rPr>
        <w:t xml:space="preserve"> </w:t>
      </w:r>
      <w:r>
        <w:rPr>
          <w:rFonts w:ascii="宋体" w:hAnsi="宋体" w:eastAsia="宋体" w:cs="宋体"/>
          <w:spacing w:val="7"/>
          <w:sz w:val="20"/>
          <w:szCs w:val="20"/>
        </w:rPr>
        <w:t>措施项目中的“脚手架</w:t>
      </w:r>
      <w:r>
        <w:rPr>
          <w:rFonts w:ascii="宋体" w:hAnsi="宋体" w:eastAsia="宋体" w:cs="宋体"/>
          <w:spacing w:val="-70"/>
          <w:sz w:val="20"/>
          <w:szCs w:val="20"/>
        </w:rPr>
        <w:t xml:space="preserve"> </w:t>
      </w:r>
      <w:r>
        <w:rPr>
          <w:rFonts w:ascii="宋体" w:hAnsi="宋体" w:eastAsia="宋体" w:cs="宋体"/>
          <w:spacing w:val="7"/>
          <w:sz w:val="20"/>
          <w:szCs w:val="20"/>
        </w:rPr>
        <w:t>”包括工程施工过程中，按照相关规范要求</w:t>
      </w:r>
      <w:r>
        <w:rPr>
          <w:rFonts w:ascii="宋体" w:hAnsi="宋体" w:eastAsia="宋体" w:cs="宋体"/>
          <w:spacing w:val="6"/>
          <w:sz w:val="20"/>
          <w:szCs w:val="20"/>
        </w:rPr>
        <w:t>及满足施工作业的</w:t>
      </w:r>
      <w:r>
        <w:rPr>
          <w:rFonts w:ascii="宋体" w:hAnsi="宋体" w:eastAsia="宋体" w:cs="宋体"/>
          <w:spacing w:val="8"/>
          <w:sz w:val="20"/>
          <w:szCs w:val="20"/>
        </w:rPr>
        <w:t>需求所搭设的全部脚手架。</w:t>
      </w:r>
    </w:p>
    <w:p>
      <w:pPr>
        <w:spacing w:before="154" w:line="298" w:lineRule="auto"/>
        <w:ind w:right="205" w:firstLine="425"/>
        <w:rPr>
          <w:rFonts w:ascii="宋体" w:hAnsi="宋体" w:eastAsia="宋体" w:cs="宋体"/>
          <w:sz w:val="20"/>
          <w:szCs w:val="20"/>
        </w:rPr>
      </w:pPr>
      <w:r>
        <w:rPr>
          <w:rFonts w:ascii="宋体" w:hAnsi="宋体" w:eastAsia="宋体" w:cs="宋体"/>
          <w:spacing w:val="7"/>
          <w:sz w:val="20"/>
          <w:szCs w:val="20"/>
        </w:rPr>
        <w:t>3. 附录</w:t>
      </w:r>
      <w:r>
        <w:rPr>
          <w:rFonts w:ascii="宋体" w:hAnsi="宋体" w:eastAsia="宋体" w:cs="宋体"/>
          <w:spacing w:val="-37"/>
          <w:sz w:val="20"/>
          <w:szCs w:val="20"/>
        </w:rPr>
        <w:t xml:space="preserve"> </w:t>
      </w:r>
      <w:r>
        <w:rPr>
          <w:rFonts w:ascii="宋体" w:hAnsi="宋体" w:eastAsia="宋体" w:cs="宋体"/>
          <w:spacing w:val="7"/>
          <w:sz w:val="20"/>
          <w:szCs w:val="20"/>
        </w:rPr>
        <w:t>R</w:t>
      </w:r>
      <w:r>
        <w:rPr>
          <w:rFonts w:ascii="宋体" w:hAnsi="宋体" w:eastAsia="宋体" w:cs="宋体"/>
          <w:spacing w:val="-44"/>
          <w:sz w:val="20"/>
          <w:szCs w:val="20"/>
        </w:rPr>
        <w:t xml:space="preserve"> </w:t>
      </w:r>
      <w:r>
        <w:rPr>
          <w:rFonts w:ascii="宋体" w:hAnsi="宋体" w:eastAsia="宋体" w:cs="宋体"/>
          <w:spacing w:val="7"/>
          <w:sz w:val="20"/>
          <w:szCs w:val="20"/>
        </w:rPr>
        <w:t>措施项目中的“垂直运输</w:t>
      </w:r>
      <w:r>
        <w:rPr>
          <w:rFonts w:ascii="宋体" w:hAnsi="宋体" w:eastAsia="宋体" w:cs="宋体"/>
          <w:spacing w:val="-70"/>
          <w:sz w:val="20"/>
          <w:szCs w:val="20"/>
        </w:rPr>
        <w:t xml:space="preserve"> </w:t>
      </w:r>
      <w:r>
        <w:rPr>
          <w:rFonts w:ascii="宋体" w:hAnsi="宋体" w:eastAsia="宋体" w:cs="宋体"/>
          <w:spacing w:val="7"/>
          <w:sz w:val="20"/>
          <w:szCs w:val="20"/>
        </w:rPr>
        <w:t>”仅包括工程施工过程中的大型垂</w:t>
      </w:r>
      <w:r>
        <w:rPr>
          <w:rFonts w:ascii="宋体" w:hAnsi="宋体" w:eastAsia="宋体" w:cs="宋体"/>
          <w:spacing w:val="6"/>
          <w:sz w:val="20"/>
          <w:szCs w:val="20"/>
        </w:rPr>
        <w:t>直运输机械。使用其他吊</w:t>
      </w:r>
      <w:r>
        <w:rPr>
          <w:rFonts w:ascii="宋体" w:hAnsi="宋体" w:eastAsia="宋体" w:cs="宋体"/>
          <w:spacing w:val="9"/>
          <w:sz w:val="20"/>
          <w:szCs w:val="20"/>
        </w:rPr>
        <w:t>装机械及人力辅助工器具进行的垂直运输，包含在相应分部分项工作内容中。</w:t>
      </w:r>
    </w:p>
    <w:p>
      <w:pPr>
        <w:spacing w:before="157" w:line="278" w:lineRule="exact"/>
        <w:ind w:left="420"/>
        <w:rPr>
          <w:rFonts w:ascii="宋体" w:hAnsi="宋体" w:eastAsia="宋体" w:cs="宋体"/>
          <w:sz w:val="20"/>
          <w:szCs w:val="20"/>
        </w:rPr>
      </w:pPr>
      <w:r>
        <w:rPr>
          <w:rFonts w:ascii="宋体" w:hAnsi="宋体" w:eastAsia="宋体" w:cs="宋体"/>
          <w:spacing w:val="8"/>
          <w:position w:val="1"/>
          <w:sz w:val="20"/>
          <w:szCs w:val="20"/>
        </w:rPr>
        <w:t>4. 关于安全文明措施费（安全生产费、环境</w:t>
      </w:r>
      <w:r>
        <w:rPr>
          <w:rFonts w:ascii="宋体" w:hAnsi="宋体" w:eastAsia="宋体" w:cs="宋体"/>
          <w:spacing w:val="7"/>
          <w:position w:val="1"/>
          <w:sz w:val="20"/>
          <w:szCs w:val="20"/>
        </w:rPr>
        <w:t>保护费、文明施工费</w:t>
      </w:r>
      <w:r>
        <w:rPr>
          <w:rFonts w:ascii="宋体" w:hAnsi="宋体" w:eastAsia="宋体" w:cs="宋体"/>
          <w:spacing w:val="7"/>
          <w:position w:val="1"/>
          <w:sz w:val="19"/>
          <w:szCs w:val="19"/>
        </w:rPr>
        <w:t>、</w:t>
      </w:r>
      <w:r>
        <w:rPr>
          <w:rFonts w:ascii="宋体" w:hAnsi="宋体" w:eastAsia="宋体" w:cs="宋体"/>
          <w:spacing w:val="7"/>
          <w:position w:val="1"/>
          <w:sz w:val="20"/>
          <w:szCs w:val="20"/>
        </w:rPr>
        <w:t>临时设施费）</w:t>
      </w:r>
    </w:p>
    <w:p>
      <w:pPr>
        <w:spacing w:before="119" w:line="352" w:lineRule="auto"/>
        <w:ind w:right="165" w:firstLine="413"/>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3"/>
          <w:sz w:val="20"/>
          <w:szCs w:val="20"/>
        </w:rPr>
        <w:t xml:space="preserve"> </w:t>
      </w:r>
      <w:r>
        <w:rPr>
          <w:rFonts w:ascii="宋体" w:hAnsi="宋体" w:eastAsia="宋体" w:cs="宋体"/>
          <w:spacing w:val="8"/>
          <w:sz w:val="20"/>
          <w:szCs w:val="20"/>
        </w:rPr>
        <w:t>1）安全生产费：承包人按照国家及地方主管部门要求，采取措施完善和改进安全生产条件、</w:t>
      </w:r>
      <w:r>
        <w:rPr>
          <w:rFonts w:ascii="宋体" w:hAnsi="宋体" w:eastAsia="宋体" w:cs="宋体"/>
          <w:spacing w:val="10"/>
          <w:sz w:val="20"/>
          <w:szCs w:val="20"/>
        </w:rPr>
        <w:t>保证安全生产所发生的费用。安全生产措施应符合国</w:t>
      </w:r>
      <w:r>
        <w:rPr>
          <w:rFonts w:ascii="宋体" w:hAnsi="宋体" w:eastAsia="宋体" w:cs="宋体"/>
          <w:spacing w:val="9"/>
          <w:sz w:val="20"/>
          <w:szCs w:val="20"/>
        </w:rPr>
        <w:t>家和省有关规定及技术标准要求。</w:t>
      </w:r>
    </w:p>
    <w:p>
      <w:pPr>
        <w:spacing w:line="352" w:lineRule="auto"/>
        <w:rPr>
          <w:rFonts w:ascii="宋体" w:hAnsi="宋体" w:eastAsia="宋体" w:cs="宋体"/>
          <w:sz w:val="20"/>
          <w:szCs w:val="20"/>
        </w:rPr>
        <w:sectPr>
          <w:footerReference r:id="rId91" w:type="default"/>
          <w:pgSz w:w="11905" w:h="16840"/>
          <w:pgMar w:top="400" w:right="1213" w:bottom="1213" w:left="1418" w:header="0" w:footer="898"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22" w:lineRule="auto"/>
        <w:ind w:firstLine="413"/>
        <w:rPr>
          <w:rFonts w:ascii="宋体" w:hAnsi="宋体" w:eastAsia="宋体" w:cs="宋体"/>
          <w:sz w:val="20"/>
          <w:szCs w:val="20"/>
        </w:rPr>
      </w:pPr>
      <w:r>
        <w:rPr>
          <w:rFonts w:ascii="宋体" w:hAnsi="宋体" w:eastAsia="宋体" w:cs="宋体"/>
          <w:spacing w:val="8"/>
          <w:sz w:val="20"/>
          <w:szCs w:val="20"/>
        </w:rPr>
        <w:t>（2）环境保护费：承包人按照环保等部门要求，采取措施避免或减少施工过程对环境产生的垃</w:t>
      </w:r>
      <w:r>
        <w:rPr>
          <w:rFonts w:ascii="宋体" w:hAnsi="宋体" w:eastAsia="宋体" w:cs="宋体"/>
          <w:spacing w:val="11"/>
          <w:sz w:val="20"/>
          <w:szCs w:val="20"/>
        </w:rPr>
        <w:t>圾、扬尘、气体、污水、噪声等各类污染所发生的费用。环境保护措施应符合国</w:t>
      </w:r>
      <w:r>
        <w:rPr>
          <w:rFonts w:ascii="宋体" w:hAnsi="宋体" w:eastAsia="宋体" w:cs="宋体"/>
          <w:spacing w:val="10"/>
          <w:sz w:val="20"/>
          <w:szCs w:val="20"/>
        </w:rPr>
        <w:t>家和省有关规定及</w:t>
      </w:r>
      <w:r>
        <w:rPr>
          <w:rFonts w:ascii="宋体" w:hAnsi="宋体" w:eastAsia="宋体" w:cs="宋体"/>
          <w:spacing w:val="7"/>
          <w:sz w:val="20"/>
          <w:szCs w:val="20"/>
        </w:rPr>
        <w:t>技术标准要求。</w:t>
      </w:r>
    </w:p>
    <w:p>
      <w:pPr>
        <w:spacing w:before="153" w:line="298" w:lineRule="auto"/>
        <w:ind w:firstLine="412"/>
        <w:rPr>
          <w:rFonts w:ascii="宋体" w:hAnsi="宋体" w:eastAsia="宋体" w:cs="宋体"/>
          <w:sz w:val="20"/>
          <w:szCs w:val="20"/>
        </w:rPr>
      </w:pPr>
      <w:r>
        <w:rPr>
          <w:rFonts w:ascii="宋体" w:hAnsi="宋体" w:eastAsia="宋体" w:cs="宋体"/>
          <w:spacing w:val="8"/>
          <w:sz w:val="20"/>
          <w:szCs w:val="20"/>
        </w:rPr>
        <w:t>（3）文明施工费：施工现场文明施工所需要的各项费用。文明施工措施应符合国家和省有关规定及技术标准要求。</w:t>
      </w:r>
    </w:p>
    <w:p>
      <w:pPr>
        <w:spacing w:before="157" w:line="340" w:lineRule="auto"/>
        <w:ind w:firstLine="413"/>
        <w:rPr>
          <w:rFonts w:ascii="宋体" w:hAnsi="宋体" w:eastAsia="宋体" w:cs="宋体"/>
          <w:sz w:val="20"/>
          <w:szCs w:val="20"/>
        </w:rPr>
      </w:pPr>
      <w:r>
        <w:rPr>
          <w:rFonts w:ascii="宋体" w:hAnsi="宋体" w:eastAsia="宋体" w:cs="宋体"/>
          <w:spacing w:val="8"/>
          <w:sz w:val="20"/>
          <w:szCs w:val="20"/>
        </w:rPr>
        <w:t>（4）临时设施费：承包人为进行建设工程施工所必须搭设的生活和生产用的临时建筑物、构筑</w:t>
      </w:r>
      <w:r>
        <w:rPr>
          <w:rFonts w:ascii="宋体" w:hAnsi="宋体" w:eastAsia="宋体" w:cs="宋体"/>
          <w:spacing w:val="11"/>
          <w:sz w:val="20"/>
          <w:szCs w:val="20"/>
        </w:rPr>
        <w:t>物和其他临时设施费用，包括临时设施的搭设、维修、拆除、清理费或摊销费等</w:t>
      </w:r>
      <w:r>
        <w:rPr>
          <w:rFonts w:ascii="宋体" w:hAnsi="宋体" w:eastAsia="宋体" w:cs="宋体"/>
          <w:spacing w:val="10"/>
          <w:sz w:val="20"/>
          <w:szCs w:val="20"/>
        </w:rPr>
        <w:t>。临时设施指办公</w:t>
      </w:r>
      <w:r>
        <w:rPr>
          <w:rFonts w:ascii="宋体" w:hAnsi="宋体" w:eastAsia="宋体" w:cs="宋体"/>
          <w:spacing w:val="11"/>
          <w:sz w:val="20"/>
          <w:szCs w:val="20"/>
        </w:rPr>
        <w:t>室、加工场（棚）、仓库、堆放场地、宿舍、卫生间、食堂、文化卫生用房与构</w:t>
      </w:r>
      <w:r>
        <w:rPr>
          <w:rFonts w:ascii="宋体" w:hAnsi="宋体" w:eastAsia="宋体" w:cs="宋体"/>
          <w:spacing w:val="10"/>
          <w:sz w:val="20"/>
          <w:szCs w:val="20"/>
        </w:rPr>
        <w:t>筑物，以及规定范</w:t>
      </w:r>
      <w:r>
        <w:rPr>
          <w:rFonts w:ascii="宋体" w:hAnsi="宋体" w:eastAsia="宋体" w:cs="宋体"/>
          <w:spacing w:val="11"/>
          <w:sz w:val="20"/>
          <w:szCs w:val="20"/>
        </w:rPr>
        <w:t>围内的道路、水、电、管线等临时设施和小型临时设施等。临时设施措施应符合</w:t>
      </w:r>
      <w:r>
        <w:rPr>
          <w:rFonts w:ascii="宋体" w:hAnsi="宋体" w:eastAsia="宋体" w:cs="宋体"/>
          <w:spacing w:val="10"/>
          <w:sz w:val="20"/>
          <w:szCs w:val="20"/>
        </w:rPr>
        <w:t>国家和省有关规定</w:t>
      </w:r>
      <w:r>
        <w:rPr>
          <w:rFonts w:ascii="宋体" w:hAnsi="宋体" w:eastAsia="宋体" w:cs="宋体"/>
          <w:spacing w:val="8"/>
          <w:sz w:val="20"/>
          <w:szCs w:val="20"/>
        </w:rPr>
        <w:t>及技术标准要求。</w:t>
      </w:r>
    </w:p>
    <w:p>
      <w:pPr>
        <w:spacing w:before="157" w:line="333" w:lineRule="auto"/>
        <w:ind w:left="1" w:firstLine="421"/>
        <w:rPr>
          <w:rFonts w:ascii="宋体" w:hAnsi="宋体" w:eastAsia="宋体" w:cs="宋体"/>
          <w:sz w:val="20"/>
          <w:szCs w:val="20"/>
        </w:rPr>
      </w:pPr>
      <w:r>
        <w:rPr>
          <w:rFonts w:ascii="宋体" w:hAnsi="宋体" w:eastAsia="宋体" w:cs="宋体"/>
          <w:spacing w:val="8"/>
          <w:sz w:val="20"/>
          <w:szCs w:val="20"/>
        </w:rPr>
        <w:t>5. 承包人应承担自身调整施工方案所引起的措施项目费用增加的风险。除工程变更、暂列金额</w:t>
      </w:r>
      <w:r>
        <w:rPr>
          <w:rFonts w:ascii="宋体" w:hAnsi="宋体" w:eastAsia="宋体" w:cs="宋体"/>
          <w:spacing w:val="11"/>
          <w:sz w:val="20"/>
          <w:szCs w:val="20"/>
        </w:rPr>
        <w:t>中未能完全预见或详细说明的工程，以及发包人原因引起承包人提供的措施项</w:t>
      </w:r>
      <w:r>
        <w:rPr>
          <w:rFonts w:ascii="宋体" w:hAnsi="宋体" w:eastAsia="宋体" w:cs="宋体"/>
          <w:spacing w:val="10"/>
          <w:sz w:val="20"/>
          <w:szCs w:val="20"/>
        </w:rPr>
        <w:t>目发生延期使用、拆改、增加、重复提供相关措施项目而增加其措施项目费用应按本标准第</w:t>
      </w:r>
      <w:r>
        <w:rPr>
          <w:rFonts w:ascii="宋体" w:hAnsi="宋体" w:eastAsia="宋体" w:cs="宋体"/>
          <w:spacing w:val="-26"/>
          <w:sz w:val="20"/>
          <w:szCs w:val="20"/>
        </w:rPr>
        <w:t xml:space="preserve"> </w:t>
      </w:r>
      <w:r>
        <w:rPr>
          <w:rFonts w:ascii="宋体" w:hAnsi="宋体" w:eastAsia="宋体" w:cs="宋体"/>
          <w:spacing w:val="10"/>
          <w:sz w:val="20"/>
          <w:szCs w:val="20"/>
        </w:rPr>
        <w:t>8</w:t>
      </w:r>
      <w:r>
        <w:rPr>
          <w:rFonts w:ascii="宋体" w:hAnsi="宋体" w:eastAsia="宋体" w:cs="宋体"/>
          <w:spacing w:val="-40"/>
          <w:sz w:val="20"/>
          <w:szCs w:val="20"/>
        </w:rPr>
        <w:t xml:space="preserve"> </w:t>
      </w:r>
      <w:r>
        <w:rPr>
          <w:rFonts w:ascii="宋体" w:hAnsi="宋体" w:eastAsia="宋体" w:cs="宋体"/>
          <w:spacing w:val="10"/>
          <w:sz w:val="20"/>
          <w:szCs w:val="20"/>
        </w:rPr>
        <w:t>章的相关规定调整外，其</w:t>
      </w:r>
      <w:r>
        <w:rPr>
          <w:rFonts w:ascii="宋体" w:hAnsi="宋体" w:eastAsia="宋体" w:cs="宋体"/>
          <w:spacing w:val="7"/>
          <w:sz w:val="20"/>
          <w:szCs w:val="20"/>
        </w:rPr>
        <w:t>他不作调整。</w:t>
      </w:r>
    </w:p>
    <w:p>
      <w:pPr>
        <w:spacing w:before="156" w:line="321" w:lineRule="auto"/>
        <w:ind w:firstLine="423"/>
        <w:rPr>
          <w:rFonts w:ascii="宋体" w:hAnsi="宋体" w:eastAsia="宋体" w:cs="宋体"/>
          <w:sz w:val="20"/>
          <w:szCs w:val="20"/>
        </w:rPr>
      </w:pPr>
      <w:r>
        <w:rPr>
          <w:rFonts w:ascii="宋体" w:hAnsi="宋体" w:eastAsia="宋体" w:cs="宋体"/>
          <w:spacing w:val="8"/>
          <w:sz w:val="20"/>
          <w:szCs w:val="20"/>
        </w:rPr>
        <w:t>6. 如发包人提供设计图纸并要求承包人按图施工的措施项目，应按照分部分项工程量清单</w:t>
      </w:r>
      <w:r>
        <w:rPr>
          <w:rFonts w:ascii="宋体" w:hAnsi="宋体" w:eastAsia="宋体" w:cs="宋体"/>
          <w:spacing w:val="7"/>
          <w:sz w:val="20"/>
          <w:szCs w:val="20"/>
        </w:rPr>
        <w:t>的编</w:t>
      </w:r>
      <w:r>
        <w:rPr>
          <w:rFonts w:ascii="宋体" w:hAnsi="宋体" w:eastAsia="宋体" w:cs="宋体"/>
          <w:spacing w:val="11"/>
          <w:sz w:val="20"/>
          <w:szCs w:val="20"/>
        </w:rPr>
        <w:t>制方法进行编制，列入分部分项工程量清单中，计量和计价均按照分部分项工程</w:t>
      </w:r>
      <w:r>
        <w:rPr>
          <w:rFonts w:ascii="宋体" w:hAnsi="宋体" w:eastAsia="宋体" w:cs="宋体"/>
          <w:spacing w:val="10"/>
          <w:sz w:val="20"/>
          <w:szCs w:val="20"/>
        </w:rPr>
        <w:t>量清单的原则，不</w:t>
      </w:r>
      <w:r>
        <w:rPr>
          <w:rFonts w:ascii="宋体" w:hAnsi="宋体" w:eastAsia="宋体" w:cs="宋体"/>
          <w:spacing w:val="8"/>
          <w:sz w:val="20"/>
          <w:szCs w:val="20"/>
        </w:rPr>
        <w:t>再作为措施项目清单列项。</w:t>
      </w:r>
    </w:p>
    <w:p>
      <w:pPr>
        <w:spacing w:line="321" w:lineRule="auto"/>
        <w:rPr>
          <w:rFonts w:ascii="宋体" w:hAnsi="宋体" w:eastAsia="宋体" w:cs="宋体"/>
          <w:sz w:val="20"/>
          <w:szCs w:val="20"/>
        </w:rPr>
        <w:sectPr>
          <w:footerReference r:id="rId92" w:type="default"/>
          <w:pgSz w:w="11905" w:h="16840"/>
          <w:pgMar w:top="400" w:right="1419" w:bottom="1213" w:left="1418" w:header="0" w:footer="898" w:gutter="0"/>
        </w:sectPr>
      </w:pPr>
    </w:p>
    <w:p>
      <w:pPr>
        <w:spacing w:line="316" w:lineRule="auto"/>
        <w:rPr>
          <w:rFonts w:ascii="Arial"/>
          <w:sz w:val="21"/>
        </w:rPr>
      </w:pPr>
    </w:p>
    <w:p>
      <w:pPr>
        <w:spacing w:line="316" w:lineRule="auto"/>
        <w:rPr>
          <w:rFonts w:ascii="Arial"/>
          <w:sz w:val="21"/>
        </w:rPr>
      </w:pPr>
    </w:p>
    <w:p>
      <w:pPr>
        <w:spacing w:line="316" w:lineRule="auto"/>
        <w:rPr>
          <w:rFonts w:ascii="Arial"/>
          <w:sz w:val="21"/>
        </w:rPr>
      </w:pPr>
    </w:p>
    <w:p>
      <w:pPr>
        <w:spacing w:before="97" w:line="292" w:lineRule="auto"/>
        <w:ind w:left="3320" w:right="1437" w:hanging="1944"/>
        <w:outlineLvl w:val="1"/>
        <w:rPr>
          <w:rFonts w:ascii="宋体" w:hAnsi="宋体" w:eastAsia="宋体" w:cs="宋体"/>
          <w:sz w:val="30"/>
          <w:szCs w:val="30"/>
        </w:rPr>
      </w:pPr>
      <w:bookmarkStart w:id="49" w:name="bookmark33"/>
      <w:bookmarkEnd w:id="49"/>
      <w:bookmarkStart w:id="50" w:name="bookmark34"/>
      <w:bookmarkEnd w:id="50"/>
      <w:r>
        <w:rPr>
          <w:rFonts w:ascii="宋体" w:hAnsi="宋体" w:eastAsia="宋体" w:cs="宋体"/>
          <w:b/>
          <w:bCs/>
          <w:spacing w:val="-2"/>
          <w:sz w:val="30"/>
          <w:szCs w:val="30"/>
        </w:rPr>
        <w:t>第七节</w:t>
      </w:r>
      <w:r>
        <w:rPr>
          <w:rFonts w:ascii="宋体" w:hAnsi="宋体" w:eastAsia="宋体" w:cs="宋体"/>
          <w:spacing w:val="-2"/>
          <w:sz w:val="30"/>
          <w:szCs w:val="30"/>
        </w:rPr>
        <w:t xml:space="preserve">  </w:t>
      </w:r>
      <w:r>
        <w:rPr>
          <w:rFonts w:ascii="宋体" w:hAnsi="宋体" w:eastAsia="宋体" w:cs="宋体"/>
          <w:b/>
          <w:bCs/>
          <w:spacing w:val="-2"/>
          <w:sz w:val="30"/>
          <w:szCs w:val="30"/>
        </w:rPr>
        <w:t>建设工程工程量清单计价有关问</w:t>
      </w:r>
      <w:r>
        <w:rPr>
          <w:rFonts w:ascii="宋体" w:hAnsi="宋体" w:eastAsia="宋体" w:cs="宋体"/>
          <w:b/>
          <w:bCs/>
          <w:spacing w:val="-3"/>
          <w:sz w:val="30"/>
          <w:szCs w:val="30"/>
        </w:rPr>
        <w:t>题说明</w:t>
      </w:r>
      <w:bookmarkStart w:id="51" w:name="bookmark33"/>
      <w:bookmarkEnd w:id="51"/>
      <w:r>
        <w:rPr>
          <w:rFonts w:ascii="宋体" w:hAnsi="宋体" w:eastAsia="宋体" w:cs="宋体"/>
          <w:b/>
          <w:bCs/>
          <w:sz w:val="30"/>
          <w:szCs w:val="30"/>
        </w:rPr>
        <w:t>（通用安装工程）</w:t>
      </w:r>
    </w:p>
    <w:p>
      <w:pPr>
        <w:spacing w:before="244" w:line="349" w:lineRule="auto"/>
        <w:ind w:right="63" w:firstLine="404"/>
        <w:jc w:val="both"/>
        <w:rPr>
          <w:rFonts w:ascii="宋体" w:hAnsi="宋体" w:eastAsia="宋体" w:cs="宋体"/>
          <w:sz w:val="20"/>
          <w:szCs w:val="20"/>
        </w:rPr>
      </w:pPr>
      <w:r>
        <w:rPr>
          <w:rFonts w:ascii="宋体" w:hAnsi="宋体" w:eastAsia="宋体" w:cs="宋体"/>
          <w:spacing w:val="8"/>
          <w:sz w:val="20"/>
          <w:szCs w:val="20"/>
        </w:rPr>
        <w:t>《建设工程工程量清单计价标准》</w:t>
      </w:r>
      <w:r>
        <w:rPr>
          <w:rFonts w:ascii="宋体" w:hAnsi="宋体" w:eastAsia="宋体" w:cs="宋体"/>
          <w:sz w:val="20"/>
          <w:szCs w:val="20"/>
        </w:rPr>
        <w:t>GB</w:t>
      </w:r>
      <w:r>
        <w:rPr>
          <w:rFonts w:ascii="宋体" w:hAnsi="宋体" w:eastAsia="宋体" w:cs="宋体"/>
          <w:spacing w:val="8"/>
          <w:sz w:val="20"/>
          <w:szCs w:val="20"/>
        </w:rPr>
        <w:t>/T50500-2024</w:t>
      </w:r>
      <w:r>
        <w:rPr>
          <w:rFonts w:ascii="宋体" w:hAnsi="宋体" w:eastAsia="宋体" w:cs="宋体"/>
          <w:spacing w:val="-7"/>
          <w:sz w:val="20"/>
          <w:szCs w:val="20"/>
        </w:rPr>
        <w:t xml:space="preserve"> </w:t>
      </w:r>
      <w:r>
        <w:rPr>
          <w:rFonts w:ascii="宋体" w:hAnsi="宋体" w:eastAsia="宋体" w:cs="宋体"/>
          <w:spacing w:val="8"/>
          <w:sz w:val="20"/>
          <w:szCs w:val="20"/>
        </w:rPr>
        <w:t>以及《通用安装工程工程量计算标准》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z w:val="20"/>
          <w:szCs w:val="20"/>
        </w:rPr>
        <w:t xml:space="preserve"> </w:t>
      </w:r>
      <w:r>
        <w:rPr>
          <w:rFonts w:ascii="宋体" w:hAnsi="宋体" w:eastAsia="宋体" w:cs="宋体"/>
          <w:spacing w:val="7"/>
          <w:sz w:val="20"/>
          <w:szCs w:val="20"/>
        </w:rPr>
        <w:t>50856-2024</w:t>
      </w:r>
      <w:r>
        <w:rPr>
          <w:rFonts w:ascii="宋体" w:hAnsi="宋体" w:eastAsia="宋体" w:cs="宋体"/>
          <w:spacing w:val="-23"/>
          <w:sz w:val="20"/>
          <w:szCs w:val="20"/>
        </w:rPr>
        <w:t xml:space="preserve"> </w:t>
      </w:r>
      <w:r>
        <w:rPr>
          <w:rFonts w:ascii="宋体" w:hAnsi="宋体" w:eastAsia="宋体" w:cs="宋体"/>
          <w:spacing w:val="7"/>
          <w:sz w:val="20"/>
          <w:szCs w:val="20"/>
        </w:rPr>
        <w:t>为国家标准</w:t>
      </w:r>
      <w:r>
        <w:rPr>
          <w:rFonts w:ascii="宋体" w:hAnsi="宋体" w:eastAsia="宋体" w:cs="宋体"/>
          <w:spacing w:val="-60"/>
          <w:sz w:val="20"/>
          <w:szCs w:val="20"/>
        </w:rPr>
        <w:t xml:space="preserve"> </w:t>
      </w:r>
      <w:r>
        <w:rPr>
          <w:rFonts w:ascii="宋体" w:hAnsi="宋体" w:eastAsia="宋体" w:cs="宋体"/>
          <w:spacing w:val="7"/>
          <w:sz w:val="20"/>
          <w:szCs w:val="20"/>
        </w:rPr>
        <w:t>，由中华人民共和国住房和城乡建设部公告</w:t>
      </w:r>
      <w:r>
        <w:rPr>
          <w:rFonts w:ascii="宋体" w:hAnsi="宋体" w:eastAsia="宋体" w:cs="宋体"/>
          <w:spacing w:val="-37"/>
          <w:sz w:val="20"/>
          <w:szCs w:val="20"/>
        </w:rPr>
        <w:t xml:space="preserve"> </w:t>
      </w:r>
      <w:r>
        <w:rPr>
          <w:rFonts w:ascii="宋体" w:hAnsi="宋体" w:eastAsia="宋体" w:cs="宋体"/>
          <w:spacing w:val="7"/>
          <w:sz w:val="20"/>
          <w:szCs w:val="20"/>
        </w:rPr>
        <w:t>2024</w:t>
      </w:r>
      <w:r>
        <w:rPr>
          <w:rFonts w:ascii="宋体" w:hAnsi="宋体" w:eastAsia="宋体" w:cs="宋体"/>
          <w:spacing w:val="-36"/>
          <w:sz w:val="20"/>
          <w:szCs w:val="20"/>
        </w:rPr>
        <w:t xml:space="preserve"> </w:t>
      </w:r>
      <w:r>
        <w:rPr>
          <w:rFonts w:ascii="宋体" w:hAnsi="宋体" w:eastAsia="宋体" w:cs="宋体"/>
          <w:spacing w:val="7"/>
          <w:sz w:val="20"/>
          <w:szCs w:val="20"/>
        </w:rPr>
        <w:t>年第</w:t>
      </w:r>
      <w:r>
        <w:rPr>
          <w:rFonts w:ascii="宋体" w:hAnsi="宋体" w:eastAsia="宋体" w:cs="宋体"/>
          <w:spacing w:val="-39"/>
          <w:sz w:val="20"/>
          <w:szCs w:val="20"/>
        </w:rPr>
        <w:t xml:space="preserve"> </w:t>
      </w:r>
      <w:r>
        <w:rPr>
          <w:rFonts w:ascii="宋体" w:hAnsi="宋体" w:eastAsia="宋体" w:cs="宋体"/>
          <w:spacing w:val="7"/>
          <w:sz w:val="20"/>
          <w:szCs w:val="20"/>
        </w:rPr>
        <w:t>212</w:t>
      </w:r>
      <w:r>
        <w:rPr>
          <w:rFonts w:ascii="宋体" w:hAnsi="宋体" w:eastAsia="宋体" w:cs="宋体"/>
          <w:spacing w:val="-38"/>
          <w:sz w:val="20"/>
          <w:szCs w:val="20"/>
        </w:rPr>
        <w:t xml:space="preserve"> </w:t>
      </w:r>
      <w:r>
        <w:rPr>
          <w:rFonts w:ascii="宋体" w:hAnsi="宋体" w:eastAsia="宋体" w:cs="宋体"/>
          <w:spacing w:val="7"/>
          <w:sz w:val="20"/>
          <w:szCs w:val="20"/>
        </w:rPr>
        <w:t>号、第</w:t>
      </w:r>
      <w:r>
        <w:rPr>
          <w:rFonts w:ascii="宋体" w:hAnsi="宋体" w:eastAsia="宋体" w:cs="宋体"/>
          <w:spacing w:val="-22"/>
          <w:sz w:val="20"/>
          <w:szCs w:val="20"/>
        </w:rPr>
        <w:t xml:space="preserve"> </w:t>
      </w:r>
      <w:r>
        <w:rPr>
          <w:rFonts w:ascii="宋体" w:hAnsi="宋体" w:eastAsia="宋体" w:cs="宋体"/>
          <w:spacing w:val="7"/>
          <w:sz w:val="20"/>
          <w:szCs w:val="20"/>
        </w:rPr>
        <w:t>193</w:t>
      </w:r>
      <w:r>
        <w:rPr>
          <w:rFonts w:ascii="宋体" w:hAnsi="宋体" w:eastAsia="宋体" w:cs="宋体"/>
          <w:spacing w:val="-37"/>
          <w:sz w:val="20"/>
          <w:szCs w:val="20"/>
        </w:rPr>
        <w:t xml:space="preserve"> </w:t>
      </w:r>
      <w:r>
        <w:rPr>
          <w:rFonts w:ascii="宋体" w:hAnsi="宋体" w:eastAsia="宋体" w:cs="宋体"/>
          <w:spacing w:val="7"/>
          <w:sz w:val="20"/>
          <w:szCs w:val="20"/>
        </w:rPr>
        <w:t>号公</w:t>
      </w:r>
      <w:r>
        <w:rPr>
          <w:rFonts w:ascii="宋体" w:hAnsi="宋体" w:eastAsia="宋体" w:cs="宋体"/>
          <w:spacing w:val="-2"/>
          <w:sz w:val="20"/>
          <w:szCs w:val="20"/>
        </w:rPr>
        <w:t>告，</w:t>
      </w:r>
      <w:r>
        <w:rPr>
          <w:rFonts w:ascii="宋体" w:hAnsi="宋体" w:eastAsia="宋体" w:cs="宋体"/>
          <w:spacing w:val="-59"/>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2025</w:t>
      </w:r>
      <w:r>
        <w:rPr>
          <w:rFonts w:ascii="宋体" w:hAnsi="宋体" w:eastAsia="宋体" w:cs="宋体"/>
          <w:spacing w:val="-39"/>
          <w:sz w:val="20"/>
          <w:szCs w:val="20"/>
        </w:rPr>
        <w:t xml:space="preserve"> </w:t>
      </w:r>
      <w:r>
        <w:rPr>
          <w:rFonts w:ascii="宋体" w:hAnsi="宋体" w:eastAsia="宋体" w:cs="宋体"/>
          <w:spacing w:val="-2"/>
          <w:sz w:val="20"/>
          <w:szCs w:val="20"/>
        </w:rPr>
        <w:t>年</w:t>
      </w:r>
      <w:r>
        <w:rPr>
          <w:rFonts w:ascii="宋体" w:hAnsi="宋体" w:eastAsia="宋体" w:cs="宋体"/>
          <w:spacing w:val="-39"/>
          <w:sz w:val="20"/>
          <w:szCs w:val="20"/>
        </w:rPr>
        <w:t xml:space="preserve"> </w:t>
      </w:r>
      <w:r>
        <w:rPr>
          <w:rFonts w:ascii="宋体" w:hAnsi="宋体" w:eastAsia="宋体" w:cs="宋体"/>
          <w:spacing w:val="-2"/>
          <w:sz w:val="20"/>
          <w:szCs w:val="20"/>
        </w:rPr>
        <w:t>9</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5"/>
          <w:sz w:val="20"/>
          <w:szCs w:val="20"/>
        </w:rPr>
        <w:t xml:space="preserve"> </w:t>
      </w:r>
      <w:r>
        <w:rPr>
          <w:rFonts w:ascii="宋体" w:hAnsi="宋体" w:eastAsia="宋体" w:cs="宋体"/>
          <w:spacing w:val="-2"/>
          <w:sz w:val="20"/>
          <w:szCs w:val="20"/>
        </w:rPr>
        <w:t>1 日起实施。</w:t>
      </w:r>
    </w:p>
    <w:p>
      <w:pPr>
        <w:spacing w:before="6" w:line="277" w:lineRule="exact"/>
        <w:ind w:left="420"/>
        <w:rPr>
          <w:rFonts w:ascii="宋体" w:hAnsi="宋体" w:eastAsia="宋体" w:cs="宋体"/>
          <w:sz w:val="20"/>
          <w:szCs w:val="20"/>
        </w:rPr>
      </w:pPr>
      <w:r>
        <w:rPr>
          <w:rFonts w:ascii="宋体" w:hAnsi="宋体" w:eastAsia="宋体" w:cs="宋体"/>
          <w:spacing w:val="9"/>
          <w:position w:val="1"/>
          <w:sz w:val="20"/>
          <w:szCs w:val="20"/>
        </w:rPr>
        <w:t>使用《通用安装工程工程量计算标准》</w:t>
      </w:r>
      <w:r>
        <w:rPr>
          <w:rFonts w:ascii="宋体" w:hAnsi="宋体" w:eastAsia="宋体" w:cs="宋体"/>
          <w:position w:val="1"/>
          <w:sz w:val="20"/>
          <w:szCs w:val="20"/>
        </w:rPr>
        <w:t>GB</w:t>
      </w:r>
      <w:r>
        <w:rPr>
          <w:rFonts w:ascii="宋体" w:hAnsi="宋体" w:eastAsia="宋体" w:cs="宋体"/>
          <w:spacing w:val="9"/>
          <w:position w:val="1"/>
          <w:sz w:val="20"/>
          <w:szCs w:val="20"/>
        </w:rPr>
        <w:t>/T</w:t>
      </w:r>
      <w:r>
        <w:rPr>
          <w:rFonts w:ascii="宋体" w:hAnsi="宋体" w:eastAsia="宋体" w:cs="宋体"/>
          <w:spacing w:val="-42"/>
          <w:position w:val="1"/>
          <w:sz w:val="20"/>
          <w:szCs w:val="20"/>
        </w:rPr>
        <w:t xml:space="preserve"> </w:t>
      </w:r>
      <w:r>
        <w:rPr>
          <w:rFonts w:ascii="宋体" w:hAnsi="宋体" w:eastAsia="宋体" w:cs="宋体"/>
          <w:spacing w:val="9"/>
          <w:position w:val="1"/>
          <w:sz w:val="20"/>
          <w:szCs w:val="20"/>
        </w:rPr>
        <w:t>50856-2024，应按</w:t>
      </w:r>
      <w:r>
        <w:rPr>
          <w:rFonts w:ascii="宋体" w:hAnsi="宋体" w:eastAsia="宋体" w:cs="宋体"/>
          <w:spacing w:val="8"/>
          <w:position w:val="1"/>
          <w:sz w:val="20"/>
          <w:szCs w:val="20"/>
        </w:rPr>
        <w:t>照以下规定执行：</w:t>
      </w:r>
    </w:p>
    <w:p>
      <w:pPr>
        <w:spacing w:before="108" w:line="217" w:lineRule="auto"/>
        <w:ind w:left="422"/>
        <w:rPr>
          <w:rFonts w:ascii="宋体" w:hAnsi="宋体" w:eastAsia="宋体" w:cs="宋体"/>
          <w:sz w:val="20"/>
          <w:szCs w:val="20"/>
        </w:rPr>
      </w:pPr>
      <w:r>
        <w:rPr>
          <w:rFonts w:ascii="宋体" w:hAnsi="宋体" w:eastAsia="宋体" w:cs="宋体"/>
          <w:b/>
          <w:bCs/>
          <w:spacing w:val="7"/>
          <w:sz w:val="20"/>
          <w:szCs w:val="20"/>
        </w:rPr>
        <w:t>一、基本规定</w:t>
      </w:r>
    </w:p>
    <w:p>
      <w:pPr>
        <w:spacing w:before="138" w:line="289" w:lineRule="auto"/>
        <w:ind w:right="64" w:firstLine="439"/>
        <w:rPr>
          <w:rFonts w:ascii="宋体" w:hAnsi="宋体" w:eastAsia="宋体" w:cs="宋体"/>
          <w:sz w:val="20"/>
          <w:szCs w:val="20"/>
        </w:rPr>
      </w:pPr>
      <w:r>
        <w:rPr>
          <w:rFonts w:ascii="宋体" w:hAnsi="宋体" w:eastAsia="宋体" w:cs="宋体"/>
          <w:spacing w:val="8"/>
          <w:sz w:val="20"/>
          <w:szCs w:val="20"/>
        </w:rPr>
        <w:t>1. 工程量清单的项目特征应结合图纸和规范的要求进行描述。本标准附录</w:t>
      </w:r>
      <w:r>
        <w:rPr>
          <w:rFonts w:ascii="宋体" w:hAnsi="宋体" w:eastAsia="宋体" w:cs="宋体"/>
          <w:spacing w:val="-35"/>
          <w:sz w:val="20"/>
          <w:szCs w:val="20"/>
        </w:rPr>
        <w:t xml:space="preserve"> </w:t>
      </w:r>
      <w:r>
        <w:rPr>
          <w:rFonts w:ascii="宋体" w:hAnsi="宋体" w:eastAsia="宋体" w:cs="宋体"/>
          <w:spacing w:val="8"/>
          <w:sz w:val="20"/>
          <w:szCs w:val="20"/>
        </w:rPr>
        <w:t>A～附录</w:t>
      </w:r>
      <w:r>
        <w:rPr>
          <w:rFonts w:ascii="宋体" w:hAnsi="宋体" w:eastAsia="宋体" w:cs="宋体"/>
          <w:spacing w:val="-40"/>
          <w:sz w:val="20"/>
          <w:szCs w:val="20"/>
        </w:rPr>
        <w:t xml:space="preserve"> </w:t>
      </w:r>
      <w:r>
        <w:rPr>
          <w:rFonts w:ascii="宋体" w:hAnsi="宋体" w:eastAsia="宋体" w:cs="宋体"/>
          <w:spacing w:val="8"/>
          <w:sz w:val="20"/>
          <w:szCs w:val="20"/>
        </w:rPr>
        <w:t>P</w:t>
      </w:r>
      <w:r>
        <w:rPr>
          <w:rFonts w:ascii="宋体" w:hAnsi="宋体" w:eastAsia="宋体" w:cs="宋体"/>
          <w:spacing w:val="-43"/>
          <w:sz w:val="20"/>
          <w:szCs w:val="20"/>
        </w:rPr>
        <w:t xml:space="preserve"> </w:t>
      </w:r>
      <w:r>
        <w:rPr>
          <w:rFonts w:ascii="宋体" w:hAnsi="宋体" w:eastAsia="宋体" w:cs="宋体"/>
          <w:spacing w:val="8"/>
          <w:sz w:val="20"/>
          <w:szCs w:val="20"/>
        </w:rPr>
        <w:t>项目的工</w:t>
      </w:r>
      <w:r>
        <w:rPr>
          <w:rFonts w:ascii="宋体" w:hAnsi="宋体" w:eastAsia="宋体" w:cs="宋体"/>
          <w:spacing w:val="10"/>
          <w:sz w:val="20"/>
          <w:szCs w:val="20"/>
        </w:rPr>
        <w:t>作内容仅列出了主要内容，除另有规定和说明外，应视为已</w:t>
      </w:r>
      <w:r>
        <w:rPr>
          <w:rFonts w:ascii="宋体" w:hAnsi="宋体" w:eastAsia="宋体" w:cs="宋体"/>
          <w:spacing w:val="9"/>
          <w:sz w:val="20"/>
          <w:szCs w:val="20"/>
        </w:rPr>
        <w:t>包含完成该清单项目所需的必要工作。</w:t>
      </w:r>
    </w:p>
    <w:p>
      <w:pPr>
        <w:spacing w:before="134" w:line="303" w:lineRule="auto"/>
        <w:ind w:left="17" w:right="64" w:firstLine="405"/>
        <w:rPr>
          <w:rFonts w:ascii="宋体" w:hAnsi="宋体" w:eastAsia="宋体" w:cs="宋体"/>
          <w:sz w:val="20"/>
          <w:szCs w:val="20"/>
        </w:rPr>
      </w:pPr>
      <w:r>
        <w:rPr>
          <w:rFonts w:ascii="宋体" w:hAnsi="宋体" w:eastAsia="宋体" w:cs="宋体"/>
          <w:spacing w:val="6"/>
          <w:sz w:val="20"/>
          <w:szCs w:val="20"/>
        </w:rPr>
        <w:t>2. 本标准附录</w:t>
      </w:r>
      <w:r>
        <w:rPr>
          <w:rFonts w:ascii="宋体" w:hAnsi="宋体" w:eastAsia="宋体" w:cs="宋体"/>
          <w:spacing w:val="-43"/>
          <w:sz w:val="20"/>
          <w:szCs w:val="20"/>
        </w:rPr>
        <w:t xml:space="preserve"> </w:t>
      </w:r>
      <w:r>
        <w:rPr>
          <w:rFonts w:ascii="宋体" w:hAnsi="宋体" w:eastAsia="宋体" w:cs="宋体"/>
          <w:spacing w:val="6"/>
          <w:sz w:val="20"/>
          <w:szCs w:val="20"/>
        </w:rPr>
        <w:t>A～附录</w:t>
      </w:r>
      <w:r>
        <w:rPr>
          <w:rFonts w:ascii="宋体" w:hAnsi="宋体" w:eastAsia="宋体" w:cs="宋体"/>
          <w:spacing w:val="-40"/>
          <w:sz w:val="20"/>
          <w:szCs w:val="20"/>
        </w:rPr>
        <w:t xml:space="preserve"> </w:t>
      </w:r>
      <w:r>
        <w:rPr>
          <w:rFonts w:ascii="宋体" w:hAnsi="宋体" w:eastAsia="宋体" w:cs="宋体"/>
          <w:spacing w:val="6"/>
          <w:sz w:val="20"/>
          <w:szCs w:val="20"/>
        </w:rPr>
        <w:t>P</w:t>
      </w:r>
      <w:r>
        <w:rPr>
          <w:rFonts w:ascii="宋体" w:hAnsi="宋体" w:eastAsia="宋体" w:cs="宋体"/>
          <w:spacing w:val="-26"/>
          <w:sz w:val="20"/>
          <w:szCs w:val="20"/>
        </w:rPr>
        <w:t xml:space="preserve"> </w:t>
      </w:r>
      <w:r>
        <w:rPr>
          <w:rFonts w:ascii="宋体" w:hAnsi="宋体" w:eastAsia="宋体" w:cs="宋体"/>
          <w:spacing w:val="6"/>
          <w:sz w:val="20"/>
          <w:szCs w:val="20"/>
        </w:rPr>
        <w:t>的工程量清单项目，除另有说明外，工作内</w:t>
      </w:r>
      <w:r>
        <w:rPr>
          <w:rFonts w:ascii="宋体" w:hAnsi="宋体" w:eastAsia="宋体" w:cs="宋体"/>
          <w:spacing w:val="5"/>
          <w:sz w:val="20"/>
          <w:szCs w:val="20"/>
        </w:rPr>
        <w:t>容均包括材料(半成品、成</w:t>
      </w:r>
      <w:r>
        <w:rPr>
          <w:rFonts w:ascii="宋体" w:hAnsi="宋体" w:eastAsia="宋体" w:cs="宋体"/>
          <w:spacing w:val="4"/>
          <w:sz w:val="20"/>
          <w:szCs w:val="20"/>
        </w:rPr>
        <w:t>品)、构件或设备的场内运输。</w:t>
      </w:r>
    </w:p>
    <w:p>
      <w:pPr>
        <w:spacing w:before="105" w:line="287" w:lineRule="auto"/>
        <w:ind w:left="8" w:right="64" w:firstLine="417"/>
        <w:rPr>
          <w:rFonts w:ascii="宋体" w:hAnsi="宋体" w:eastAsia="宋体" w:cs="宋体"/>
          <w:sz w:val="20"/>
          <w:szCs w:val="20"/>
        </w:rPr>
      </w:pPr>
      <w:r>
        <w:rPr>
          <w:rFonts w:ascii="宋体" w:hAnsi="宋体" w:eastAsia="宋体" w:cs="宋体"/>
          <w:spacing w:val="8"/>
          <w:sz w:val="20"/>
          <w:szCs w:val="20"/>
        </w:rPr>
        <w:t>3. 工程量清单应根据本标准附录</w:t>
      </w:r>
      <w:r>
        <w:rPr>
          <w:rFonts w:ascii="宋体" w:hAnsi="宋体" w:eastAsia="宋体" w:cs="宋体"/>
          <w:spacing w:val="-26"/>
          <w:sz w:val="20"/>
          <w:szCs w:val="20"/>
        </w:rPr>
        <w:t xml:space="preserve"> </w:t>
      </w:r>
      <w:r>
        <w:rPr>
          <w:rFonts w:ascii="宋体" w:hAnsi="宋体" w:eastAsia="宋体" w:cs="宋体"/>
          <w:spacing w:val="8"/>
          <w:sz w:val="20"/>
          <w:szCs w:val="20"/>
        </w:rPr>
        <w:t>A～附录</w:t>
      </w:r>
      <w:r>
        <w:rPr>
          <w:rFonts w:ascii="宋体" w:hAnsi="宋体" w:eastAsia="宋体" w:cs="宋体"/>
          <w:spacing w:val="-37"/>
          <w:sz w:val="20"/>
          <w:szCs w:val="20"/>
        </w:rPr>
        <w:t xml:space="preserve"> </w:t>
      </w:r>
      <w:r>
        <w:rPr>
          <w:rFonts w:ascii="宋体" w:hAnsi="宋体" w:eastAsia="宋体" w:cs="宋体"/>
          <w:spacing w:val="8"/>
          <w:sz w:val="20"/>
          <w:szCs w:val="20"/>
        </w:rPr>
        <w:t>N</w:t>
      </w:r>
      <w:r>
        <w:rPr>
          <w:rFonts w:ascii="宋体" w:hAnsi="宋体" w:eastAsia="宋体" w:cs="宋体"/>
          <w:spacing w:val="-42"/>
          <w:sz w:val="20"/>
          <w:szCs w:val="20"/>
        </w:rPr>
        <w:t xml:space="preserve"> </w:t>
      </w:r>
      <w:r>
        <w:rPr>
          <w:rFonts w:ascii="宋体" w:hAnsi="宋体" w:eastAsia="宋体" w:cs="宋体"/>
          <w:spacing w:val="8"/>
          <w:sz w:val="20"/>
          <w:szCs w:val="20"/>
        </w:rPr>
        <w:t>规定的项目编码、项目名称、项目特征、计量单位和工程量计算规则进行编制。</w:t>
      </w:r>
    </w:p>
    <w:p>
      <w:pPr>
        <w:spacing w:before="137" w:line="335" w:lineRule="auto"/>
        <w:ind w:right="61" w:firstLine="419"/>
        <w:rPr>
          <w:rFonts w:ascii="宋体" w:hAnsi="宋体" w:eastAsia="宋体" w:cs="宋体"/>
          <w:sz w:val="20"/>
          <w:szCs w:val="20"/>
        </w:rPr>
      </w:pPr>
      <w:r>
        <w:rPr>
          <w:rFonts w:ascii="宋体" w:hAnsi="宋体" w:eastAsia="宋体" w:cs="宋体"/>
          <w:spacing w:val="8"/>
          <w:sz w:val="20"/>
          <w:szCs w:val="20"/>
        </w:rPr>
        <w:t>4. 除本标准另有规定外，通用安装工程涉及的土方开挖、回填、垫层、砌筑、抹灰、沟盖板、</w:t>
      </w:r>
      <w:r>
        <w:rPr>
          <w:rFonts w:ascii="宋体" w:hAnsi="宋体" w:eastAsia="宋体" w:cs="宋体"/>
          <w:spacing w:val="10"/>
          <w:sz w:val="20"/>
          <w:szCs w:val="20"/>
        </w:rPr>
        <w:t>现浇基础工程的项目，应按现行国家标准《房屋建筑与装饰</w:t>
      </w:r>
      <w:r>
        <w:rPr>
          <w:rFonts w:ascii="宋体" w:hAnsi="宋体" w:eastAsia="宋体" w:cs="宋体"/>
          <w:spacing w:val="9"/>
          <w:sz w:val="20"/>
          <w:szCs w:val="20"/>
        </w:rPr>
        <w:t>工程工程量计算标准》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42"/>
          <w:sz w:val="20"/>
          <w:szCs w:val="20"/>
        </w:rPr>
        <w:t xml:space="preserve"> </w:t>
      </w:r>
      <w:r>
        <w:rPr>
          <w:rFonts w:ascii="宋体" w:hAnsi="宋体" w:eastAsia="宋体" w:cs="宋体"/>
          <w:spacing w:val="9"/>
          <w:sz w:val="20"/>
          <w:szCs w:val="20"/>
        </w:rPr>
        <w:t>50854</w:t>
      </w:r>
      <w:r>
        <w:rPr>
          <w:rFonts w:ascii="宋体" w:hAnsi="宋体" w:eastAsia="宋体" w:cs="宋体"/>
          <w:spacing w:val="-22"/>
          <w:sz w:val="20"/>
          <w:szCs w:val="20"/>
        </w:rPr>
        <w:t xml:space="preserve"> </w:t>
      </w:r>
      <w:r>
        <w:rPr>
          <w:rFonts w:ascii="宋体" w:hAnsi="宋体" w:eastAsia="宋体" w:cs="宋体"/>
          <w:spacing w:val="9"/>
          <w:sz w:val="20"/>
          <w:szCs w:val="20"/>
        </w:rPr>
        <w:t>的相</w:t>
      </w:r>
      <w:r>
        <w:rPr>
          <w:rFonts w:ascii="宋体" w:hAnsi="宋体" w:eastAsia="宋体" w:cs="宋体"/>
          <w:spacing w:val="11"/>
          <w:sz w:val="20"/>
          <w:szCs w:val="20"/>
        </w:rPr>
        <w:t>应项目执行；涉及井、预制管道、管道支墩、新旧管连接、临时放水管线、警</w:t>
      </w:r>
      <w:r>
        <w:rPr>
          <w:rFonts w:ascii="宋体" w:hAnsi="宋体" w:eastAsia="宋体" w:cs="宋体"/>
          <w:spacing w:val="10"/>
          <w:sz w:val="20"/>
          <w:szCs w:val="20"/>
        </w:rPr>
        <w:t>示带、警示桩、警示</w:t>
      </w:r>
      <w:r>
        <w:rPr>
          <w:rFonts w:ascii="宋体" w:hAnsi="宋体" w:eastAsia="宋体" w:cs="宋体"/>
          <w:spacing w:val="11"/>
          <w:sz w:val="20"/>
          <w:szCs w:val="20"/>
        </w:rPr>
        <w:t>牌、垃圾焚烧炉及辅助设备安装工程的项目，应按现行国家标准《市政工程工程</w:t>
      </w:r>
      <w:r>
        <w:rPr>
          <w:rFonts w:ascii="宋体" w:hAnsi="宋体" w:eastAsia="宋体" w:cs="宋体"/>
          <w:spacing w:val="10"/>
          <w:sz w:val="20"/>
          <w:szCs w:val="20"/>
        </w:rPr>
        <w:t>量计算标准》</w:t>
      </w:r>
      <w:r>
        <w:rPr>
          <w:rFonts w:ascii="宋体" w:hAnsi="宋体" w:eastAsia="宋体" w:cs="宋体"/>
          <w:sz w:val="20"/>
          <w:szCs w:val="20"/>
        </w:rPr>
        <w:t>GB</w:t>
      </w:r>
      <w:r>
        <w:rPr>
          <w:rFonts w:ascii="宋体" w:hAnsi="宋体" w:eastAsia="宋体" w:cs="宋体"/>
          <w:spacing w:val="10"/>
          <w:sz w:val="20"/>
          <w:szCs w:val="20"/>
        </w:rPr>
        <w:t>/T</w:t>
      </w:r>
      <w:r>
        <w:rPr>
          <w:rFonts w:ascii="宋体" w:hAnsi="宋体" w:eastAsia="宋体" w:cs="宋体"/>
          <w:sz w:val="20"/>
          <w:szCs w:val="20"/>
        </w:rPr>
        <w:t xml:space="preserve"> </w:t>
      </w:r>
      <w:r>
        <w:rPr>
          <w:rFonts w:ascii="宋体" w:hAnsi="宋体" w:eastAsia="宋体" w:cs="宋体"/>
          <w:spacing w:val="10"/>
          <w:sz w:val="20"/>
          <w:szCs w:val="20"/>
        </w:rPr>
        <w:t>50857</w:t>
      </w:r>
      <w:r>
        <w:rPr>
          <w:rFonts w:ascii="宋体" w:hAnsi="宋体" w:eastAsia="宋体" w:cs="宋体"/>
          <w:spacing w:val="-22"/>
          <w:sz w:val="20"/>
          <w:szCs w:val="20"/>
        </w:rPr>
        <w:t xml:space="preserve"> </w:t>
      </w:r>
      <w:r>
        <w:rPr>
          <w:rFonts w:ascii="宋体" w:hAnsi="宋体" w:eastAsia="宋体" w:cs="宋体"/>
          <w:spacing w:val="10"/>
          <w:sz w:val="20"/>
          <w:szCs w:val="20"/>
        </w:rPr>
        <w:t>的相应项目执行；涉及的喷泉、雾森、灌溉系统工程的项目</w:t>
      </w:r>
      <w:r>
        <w:rPr>
          <w:rFonts w:ascii="宋体" w:hAnsi="宋体" w:eastAsia="宋体" w:cs="宋体"/>
          <w:spacing w:val="-59"/>
          <w:sz w:val="20"/>
          <w:szCs w:val="20"/>
        </w:rPr>
        <w:t xml:space="preserve"> </w:t>
      </w:r>
      <w:r>
        <w:rPr>
          <w:rFonts w:ascii="宋体" w:hAnsi="宋体" w:eastAsia="宋体" w:cs="宋体"/>
          <w:spacing w:val="10"/>
          <w:sz w:val="20"/>
          <w:szCs w:val="20"/>
        </w:rPr>
        <w:t>，应按现行国家标准《</w:t>
      </w:r>
      <w:r>
        <w:rPr>
          <w:rFonts w:ascii="宋体" w:hAnsi="宋体" w:eastAsia="宋体" w:cs="宋体"/>
          <w:spacing w:val="9"/>
          <w:sz w:val="20"/>
          <w:szCs w:val="20"/>
        </w:rPr>
        <w:t>园林绿化</w:t>
      </w:r>
      <w:r>
        <w:rPr>
          <w:rFonts w:ascii="宋体" w:hAnsi="宋体" w:eastAsia="宋体" w:cs="宋体"/>
          <w:spacing w:val="8"/>
          <w:sz w:val="20"/>
          <w:szCs w:val="20"/>
        </w:rPr>
        <w:t>工程工程量计算标准》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40"/>
          <w:sz w:val="20"/>
          <w:szCs w:val="20"/>
        </w:rPr>
        <w:t xml:space="preserve"> </w:t>
      </w:r>
      <w:r>
        <w:rPr>
          <w:rFonts w:ascii="宋体" w:hAnsi="宋体" w:eastAsia="宋体" w:cs="宋体"/>
          <w:spacing w:val="8"/>
          <w:sz w:val="20"/>
          <w:szCs w:val="20"/>
        </w:rPr>
        <w:t>50858</w:t>
      </w:r>
      <w:r>
        <w:rPr>
          <w:rFonts w:ascii="宋体" w:hAnsi="宋体" w:eastAsia="宋体" w:cs="宋体"/>
          <w:spacing w:val="-24"/>
          <w:sz w:val="20"/>
          <w:szCs w:val="20"/>
        </w:rPr>
        <w:t xml:space="preserve"> </w:t>
      </w:r>
      <w:r>
        <w:rPr>
          <w:rFonts w:ascii="宋体" w:hAnsi="宋体" w:eastAsia="宋体" w:cs="宋体"/>
          <w:spacing w:val="8"/>
          <w:sz w:val="20"/>
          <w:szCs w:val="20"/>
        </w:rPr>
        <w:t>的相应项</w:t>
      </w:r>
      <w:r>
        <w:rPr>
          <w:rFonts w:ascii="宋体" w:hAnsi="宋体" w:eastAsia="宋体" w:cs="宋体"/>
          <w:spacing w:val="7"/>
          <w:sz w:val="20"/>
          <w:szCs w:val="20"/>
        </w:rPr>
        <w:t>目执行。</w:t>
      </w:r>
    </w:p>
    <w:p>
      <w:pPr>
        <w:spacing w:before="100" w:line="305" w:lineRule="auto"/>
        <w:ind w:left="2" w:right="64" w:firstLine="420"/>
        <w:rPr>
          <w:rFonts w:ascii="宋体" w:hAnsi="宋体" w:eastAsia="宋体" w:cs="宋体"/>
          <w:sz w:val="20"/>
          <w:szCs w:val="20"/>
        </w:rPr>
      </w:pPr>
      <w:r>
        <w:rPr>
          <w:rFonts w:ascii="宋体" w:hAnsi="宋体" w:eastAsia="宋体" w:cs="宋体"/>
          <w:spacing w:val="7"/>
          <w:sz w:val="20"/>
          <w:szCs w:val="20"/>
        </w:rPr>
        <w:t>5. 本标准与现行国家标准《市政工程工程量计算标准》</w:t>
      </w:r>
      <w:r>
        <w:rPr>
          <w:rFonts w:ascii="宋体" w:hAnsi="宋体" w:eastAsia="宋体" w:cs="宋体"/>
          <w:sz w:val="20"/>
          <w:szCs w:val="20"/>
        </w:rPr>
        <w:t>GB</w:t>
      </w:r>
      <w:r>
        <w:rPr>
          <w:rFonts w:ascii="宋体" w:hAnsi="宋体" w:eastAsia="宋体" w:cs="宋体"/>
          <w:spacing w:val="7"/>
          <w:sz w:val="20"/>
          <w:szCs w:val="20"/>
        </w:rPr>
        <w:t>/T</w:t>
      </w:r>
      <w:r>
        <w:rPr>
          <w:rFonts w:ascii="宋体" w:hAnsi="宋体" w:eastAsia="宋体" w:cs="宋体"/>
          <w:spacing w:val="-32"/>
          <w:sz w:val="20"/>
          <w:szCs w:val="20"/>
        </w:rPr>
        <w:t xml:space="preserve"> </w:t>
      </w:r>
      <w:r>
        <w:rPr>
          <w:rFonts w:ascii="宋体" w:hAnsi="宋体" w:eastAsia="宋体" w:cs="宋体"/>
          <w:spacing w:val="7"/>
          <w:sz w:val="20"/>
          <w:szCs w:val="20"/>
        </w:rPr>
        <w:t>50857</w:t>
      </w:r>
      <w:r>
        <w:rPr>
          <w:rFonts w:ascii="宋体" w:hAnsi="宋体" w:eastAsia="宋体" w:cs="宋体"/>
          <w:spacing w:val="-40"/>
          <w:sz w:val="20"/>
          <w:szCs w:val="20"/>
        </w:rPr>
        <w:t xml:space="preserve"> </w:t>
      </w:r>
      <w:r>
        <w:rPr>
          <w:rFonts w:ascii="宋体" w:hAnsi="宋体" w:eastAsia="宋体" w:cs="宋体"/>
          <w:spacing w:val="7"/>
          <w:sz w:val="20"/>
          <w:szCs w:val="20"/>
        </w:rPr>
        <w:t>相关内容在执行上的划分界</w:t>
      </w:r>
      <w:r>
        <w:rPr>
          <w:rFonts w:ascii="宋体" w:hAnsi="宋体" w:eastAsia="宋体" w:cs="宋体"/>
          <w:spacing w:val="6"/>
          <w:sz w:val="20"/>
          <w:szCs w:val="20"/>
        </w:rPr>
        <w:t>线如下：</w:t>
      </w:r>
    </w:p>
    <w:p>
      <w:pPr>
        <w:spacing w:before="102" w:line="320" w:lineRule="auto"/>
        <w:ind w:left="2" w:right="24" w:firstLine="410"/>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3"/>
          <w:sz w:val="20"/>
          <w:szCs w:val="20"/>
        </w:rPr>
        <w:t xml:space="preserve"> </w:t>
      </w:r>
      <w:r>
        <w:rPr>
          <w:rFonts w:ascii="宋体" w:hAnsi="宋体" w:eastAsia="宋体" w:cs="宋体"/>
          <w:spacing w:val="8"/>
          <w:sz w:val="20"/>
          <w:szCs w:val="20"/>
        </w:rPr>
        <w:t>1）本标准内的电气设备安装工程与市政工程路灯工程的界定：厂区、住宅小区的道路路灯、</w:t>
      </w:r>
      <w:r>
        <w:rPr>
          <w:rFonts w:ascii="宋体" w:hAnsi="宋体" w:eastAsia="宋体" w:cs="宋体"/>
          <w:spacing w:val="11"/>
          <w:sz w:val="20"/>
          <w:szCs w:val="20"/>
        </w:rPr>
        <w:t>景观照明、公园、广场、公共庭院等电气设备安装工程，应按本标准内电气</w:t>
      </w:r>
      <w:r>
        <w:rPr>
          <w:rFonts w:ascii="宋体" w:hAnsi="宋体" w:eastAsia="宋体" w:cs="宋体"/>
          <w:spacing w:val="10"/>
          <w:sz w:val="20"/>
          <w:szCs w:val="20"/>
        </w:rPr>
        <w:t>设备安装工程的相应项</w:t>
      </w:r>
      <w:r>
        <w:rPr>
          <w:rFonts w:ascii="宋体" w:hAnsi="宋体" w:eastAsia="宋体" w:cs="宋体"/>
          <w:spacing w:val="11"/>
          <w:sz w:val="20"/>
          <w:szCs w:val="20"/>
        </w:rPr>
        <w:t>目编码列项；涉及城市道路照明系统应按现行国家标准《市政工程工程量计算标准》</w:t>
      </w:r>
      <w:r>
        <w:rPr>
          <w:rFonts w:ascii="宋体" w:hAnsi="宋体" w:eastAsia="宋体" w:cs="宋体"/>
          <w:sz w:val="20"/>
          <w:szCs w:val="20"/>
        </w:rPr>
        <w:t>GB</w:t>
      </w:r>
      <w:r>
        <w:rPr>
          <w:rFonts w:ascii="宋体" w:hAnsi="宋体" w:eastAsia="宋体" w:cs="宋体"/>
          <w:spacing w:val="10"/>
          <w:sz w:val="20"/>
          <w:szCs w:val="20"/>
        </w:rPr>
        <w:t>/T50857</w:t>
      </w:r>
      <w:r>
        <w:rPr>
          <w:rFonts w:ascii="宋体" w:hAnsi="宋体" w:eastAsia="宋体" w:cs="宋体"/>
          <w:spacing w:val="-24"/>
          <w:sz w:val="20"/>
          <w:szCs w:val="20"/>
        </w:rPr>
        <w:t xml:space="preserve"> </w:t>
      </w:r>
      <w:r>
        <w:rPr>
          <w:rFonts w:ascii="宋体" w:hAnsi="宋体" w:eastAsia="宋体" w:cs="宋体"/>
          <w:spacing w:val="10"/>
          <w:sz w:val="20"/>
          <w:szCs w:val="20"/>
        </w:rPr>
        <w:t>的</w:t>
      </w:r>
      <w:r>
        <w:rPr>
          <w:rFonts w:ascii="宋体" w:hAnsi="宋体" w:eastAsia="宋体" w:cs="宋体"/>
          <w:spacing w:val="8"/>
          <w:sz w:val="20"/>
          <w:szCs w:val="20"/>
        </w:rPr>
        <w:t>相应项目编码列项；</w:t>
      </w:r>
    </w:p>
    <w:p>
      <w:pPr>
        <w:spacing w:before="124" w:line="308" w:lineRule="auto"/>
        <w:ind w:left="3" w:right="64" w:firstLine="409"/>
        <w:rPr>
          <w:rFonts w:ascii="宋体" w:hAnsi="宋体" w:eastAsia="宋体" w:cs="宋体"/>
          <w:sz w:val="20"/>
          <w:szCs w:val="20"/>
        </w:rPr>
      </w:pPr>
      <w:r>
        <w:rPr>
          <w:rFonts w:ascii="宋体" w:hAnsi="宋体" w:eastAsia="宋体" w:cs="宋体"/>
          <w:spacing w:val="8"/>
          <w:sz w:val="20"/>
          <w:szCs w:val="20"/>
        </w:rPr>
        <w:t>（2）本标准内的工业管道与市政工程管网工程的界定：给水管道以厂区入口水表井为界，排水管道以厂区围墙外第一个污水井为界，热力和燃气以厂区入口第一个计量表（</w:t>
      </w:r>
      <w:r>
        <w:rPr>
          <w:rFonts w:ascii="宋体" w:hAnsi="宋体" w:eastAsia="宋体" w:cs="宋体"/>
          <w:spacing w:val="-39"/>
          <w:sz w:val="20"/>
          <w:szCs w:val="20"/>
        </w:rPr>
        <w:t xml:space="preserve"> </w:t>
      </w:r>
      <w:r>
        <w:rPr>
          <w:rFonts w:ascii="宋体" w:hAnsi="宋体" w:eastAsia="宋体" w:cs="宋体"/>
          <w:spacing w:val="8"/>
          <w:sz w:val="20"/>
          <w:szCs w:val="20"/>
        </w:rPr>
        <w:t>阀门）为界；</w:t>
      </w:r>
    </w:p>
    <w:p>
      <w:pPr>
        <w:spacing w:before="94" w:line="291" w:lineRule="auto"/>
        <w:ind w:left="1" w:right="89" w:firstLine="411"/>
        <w:rPr>
          <w:rFonts w:ascii="宋体" w:hAnsi="宋体" w:eastAsia="宋体" w:cs="宋体"/>
          <w:sz w:val="20"/>
          <w:szCs w:val="20"/>
        </w:rPr>
      </w:pPr>
      <w:r>
        <w:rPr>
          <w:rFonts w:ascii="宋体" w:hAnsi="宋体" w:eastAsia="宋体" w:cs="宋体"/>
          <w:spacing w:val="8"/>
          <w:sz w:val="20"/>
          <w:szCs w:val="20"/>
        </w:rPr>
        <w:t>（3）本标准内的给排水、采暖、燃气工程(含消防管道)与</w:t>
      </w:r>
      <w:r>
        <w:rPr>
          <w:rFonts w:ascii="宋体" w:hAnsi="宋体" w:eastAsia="宋体" w:cs="宋体"/>
          <w:spacing w:val="7"/>
          <w:sz w:val="20"/>
          <w:szCs w:val="20"/>
        </w:rPr>
        <w:t>市政管网工程的界定：室外给排水、</w:t>
      </w:r>
      <w:r>
        <w:rPr>
          <w:rFonts w:ascii="宋体" w:hAnsi="宋体" w:eastAsia="宋体" w:cs="宋体"/>
          <w:spacing w:val="9"/>
          <w:sz w:val="20"/>
          <w:szCs w:val="20"/>
        </w:rPr>
        <w:t>采暖、燃气管道以市政管道碰头井为界。</w:t>
      </w:r>
    </w:p>
    <w:p>
      <w:pPr>
        <w:spacing w:before="137" w:line="287" w:lineRule="auto"/>
        <w:ind w:firstLine="423"/>
        <w:rPr>
          <w:rFonts w:ascii="宋体" w:hAnsi="宋体" w:eastAsia="宋体" w:cs="宋体"/>
          <w:sz w:val="20"/>
          <w:szCs w:val="20"/>
        </w:rPr>
      </w:pPr>
      <w:r>
        <w:rPr>
          <w:rFonts w:ascii="宋体" w:hAnsi="宋体" w:eastAsia="宋体" w:cs="宋体"/>
          <w:spacing w:val="4"/>
          <w:sz w:val="20"/>
          <w:szCs w:val="20"/>
        </w:rPr>
        <w:t>6. 本标准中涉及的过梁/墙/楼板的钢套管（塑料套管</w:t>
      </w:r>
      <w:r>
        <w:rPr>
          <w:rFonts w:ascii="宋体" w:hAnsi="宋体" w:eastAsia="宋体" w:cs="宋体"/>
          <w:spacing w:val="-7"/>
          <w:sz w:val="20"/>
          <w:szCs w:val="20"/>
        </w:rPr>
        <w:t>）</w:t>
      </w:r>
      <w:r>
        <w:rPr>
          <w:rFonts w:ascii="宋体" w:hAnsi="宋体" w:eastAsia="宋体" w:cs="宋体"/>
          <w:spacing w:val="-52"/>
          <w:sz w:val="20"/>
          <w:szCs w:val="20"/>
        </w:rPr>
        <w:t xml:space="preserve"> </w:t>
      </w:r>
      <w:r>
        <w:rPr>
          <w:rFonts w:ascii="宋体" w:hAnsi="宋体" w:eastAsia="宋体" w:cs="宋体"/>
          <w:spacing w:val="-7"/>
          <w:sz w:val="20"/>
          <w:szCs w:val="20"/>
        </w:rPr>
        <w:t>，</w:t>
      </w:r>
      <w:r>
        <w:rPr>
          <w:rFonts w:ascii="宋体" w:hAnsi="宋体" w:eastAsia="宋体" w:cs="宋体"/>
          <w:spacing w:val="4"/>
          <w:sz w:val="20"/>
          <w:szCs w:val="20"/>
        </w:rPr>
        <w:t>凿（压、切割）槽、打洞（孔）项目，</w:t>
      </w:r>
      <w:r>
        <w:rPr>
          <w:rFonts w:ascii="宋体" w:hAnsi="宋体" w:eastAsia="宋体" w:cs="宋体"/>
          <w:spacing w:val="10"/>
          <w:sz w:val="20"/>
          <w:szCs w:val="20"/>
        </w:rPr>
        <w:t>应按本标准附录</w:t>
      </w:r>
      <w:r>
        <w:rPr>
          <w:rFonts w:ascii="宋体" w:hAnsi="宋体" w:eastAsia="宋体" w:cs="宋体"/>
          <w:spacing w:val="-37"/>
          <w:sz w:val="20"/>
          <w:szCs w:val="20"/>
        </w:rPr>
        <w:t xml:space="preserve"> </w:t>
      </w:r>
      <w:r>
        <w:rPr>
          <w:rFonts w:ascii="宋体" w:hAnsi="宋体" w:eastAsia="宋体" w:cs="宋体"/>
          <w:spacing w:val="10"/>
          <w:sz w:val="20"/>
          <w:szCs w:val="20"/>
        </w:rPr>
        <w:t>N</w:t>
      </w:r>
      <w:r>
        <w:rPr>
          <w:rFonts w:ascii="宋体" w:hAnsi="宋体" w:eastAsia="宋体" w:cs="宋体"/>
          <w:spacing w:val="-44"/>
          <w:sz w:val="20"/>
          <w:szCs w:val="20"/>
        </w:rPr>
        <w:t xml:space="preserve"> </w:t>
      </w:r>
      <w:r>
        <w:rPr>
          <w:rFonts w:ascii="宋体" w:hAnsi="宋体" w:eastAsia="宋体" w:cs="宋体"/>
          <w:spacing w:val="10"/>
          <w:sz w:val="20"/>
          <w:szCs w:val="20"/>
        </w:rPr>
        <w:t>其他及附属工程的相应项目编码列项。</w:t>
      </w:r>
    </w:p>
    <w:p>
      <w:pPr>
        <w:spacing w:before="136" w:line="320" w:lineRule="auto"/>
        <w:ind w:right="64" w:firstLine="421"/>
        <w:rPr>
          <w:rFonts w:ascii="宋体" w:hAnsi="宋体" w:eastAsia="宋体" w:cs="宋体"/>
          <w:sz w:val="20"/>
          <w:szCs w:val="20"/>
        </w:rPr>
      </w:pPr>
      <w:r>
        <w:rPr>
          <w:rFonts w:ascii="宋体" w:hAnsi="宋体" w:eastAsia="宋体" w:cs="宋体"/>
          <w:spacing w:val="8"/>
          <w:sz w:val="20"/>
          <w:szCs w:val="20"/>
        </w:rPr>
        <w:t>7. 本标准设备、管道和附件安装项目的工作内容，均应包括安装完毕后底、面漆的修补。若设</w:t>
      </w:r>
      <w:r>
        <w:rPr>
          <w:rFonts w:ascii="宋体" w:hAnsi="宋体" w:eastAsia="宋体" w:cs="宋体"/>
          <w:spacing w:val="10"/>
          <w:sz w:val="20"/>
          <w:szCs w:val="20"/>
        </w:rPr>
        <w:t>计说明要求在现场完成油漆的以及改、扩建项目中对原有设备、管道重新刷漆的，应按</w:t>
      </w:r>
      <w:r>
        <w:rPr>
          <w:rFonts w:ascii="宋体" w:hAnsi="宋体" w:eastAsia="宋体" w:cs="宋体"/>
          <w:spacing w:val="9"/>
          <w:sz w:val="20"/>
          <w:szCs w:val="20"/>
        </w:rPr>
        <w:t>本标准附录</w:t>
      </w:r>
      <w:r>
        <w:rPr>
          <w:rFonts w:ascii="宋体" w:hAnsi="宋体" w:eastAsia="宋体" w:cs="宋体"/>
          <w:spacing w:val="11"/>
          <w:sz w:val="20"/>
          <w:szCs w:val="20"/>
        </w:rPr>
        <w:t>M</w:t>
      </w:r>
      <w:r>
        <w:rPr>
          <w:rFonts w:ascii="宋体" w:hAnsi="宋体" w:eastAsia="宋体" w:cs="宋体"/>
          <w:spacing w:val="-32"/>
          <w:sz w:val="20"/>
          <w:szCs w:val="20"/>
        </w:rPr>
        <w:t xml:space="preserve"> </w:t>
      </w:r>
      <w:r>
        <w:rPr>
          <w:rFonts w:ascii="宋体" w:hAnsi="宋体" w:eastAsia="宋体" w:cs="宋体"/>
          <w:spacing w:val="11"/>
          <w:sz w:val="20"/>
          <w:szCs w:val="20"/>
        </w:rPr>
        <w:t>刷油、防腐蚀、绝热工程的相应项目编码列项。</w:t>
      </w:r>
    </w:p>
    <w:p>
      <w:pPr>
        <w:spacing w:before="102" w:line="288" w:lineRule="auto"/>
        <w:ind w:left="3" w:right="64" w:firstLine="422"/>
        <w:rPr>
          <w:rFonts w:ascii="宋体" w:hAnsi="宋体" w:eastAsia="宋体" w:cs="宋体"/>
          <w:sz w:val="20"/>
          <w:szCs w:val="20"/>
        </w:rPr>
      </w:pPr>
      <w:r>
        <w:rPr>
          <w:rFonts w:ascii="宋体" w:hAnsi="宋体" w:eastAsia="宋体" w:cs="宋体"/>
          <w:spacing w:val="8"/>
          <w:sz w:val="20"/>
          <w:szCs w:val="20"/>
        </w:rPr>
        <w:t>8. 本标准除机械设备安装工程已标注灌浆外，虽其他设备项目的工作内容未标灌浆，</w:t>
      </w:r>
      <w:r>
        <w:rPr>
          <w:rFonts w:ascii="宋体" w:hAnsi="宋体" w:eastAsia="宋体" w:cs="宋体"/>
          <w:spacing w:val="7"/>
          <w:sz w:val="20"/>
          <w:szCs w:val="20"/>
        </w:rPr>
        <w:t>但均应包</w:t>
      </w:r>
      <w:r>
        <w:rPr>
          <w:rFonts w:ascii="宋体" w:hAnsi="宋体" w:eastAsia="宋体" w:cs="宋体"/>
          <w:spacing w:val="9"/>
          <w:sz w:val="20"/>
          <w:szCs w:val="20"/>
        </w:rPr>
        <w:t>括完成相关项目所需的灌浆的工作内容。</w:t>
      </w:r>
    </w:p>
    <w:p>
      <w:pPr>
        <w:spacing w:line="288" w:lineRule="auto"/>
        <w:rPr>
          <w:rFonts w:ascii="宋体" w:hAnsi="宋体" w:eastAsia="宋体" w:cs="宋体"/>
          <w:sz w:val="20"/>
          <w:szCs w:val="20"/>
        </w:rPr>
        <w:sectPr>
          <w:footerReference r:id="rId93" w:type="default"/>
          <w:pgSz w:w="11905" w:h="16840"/>
          <w:pgMar w:top="400" w:right="1354" w:bottom="1213" w:left="1418" w:header="0" w:footer="898" w:gutter="0"/>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before="65" w:line="308" w:lineRule="auto"/>
        <w:ind w:right="80" w:firstLine="423"/>
        <w:rPr>
          <w:rFonts w:ascii="宋体" w:hAnsi="宋体" w:eastAsia="宋体" w:cs="宋体"/>
          <w:sz w:val="20"/>
          <w:szCs w:val="20"/>
        </w:rPr>
      </w:pPr>
      <w:r>
        <w:rPr>
          <w:rFonts w:ascii="宋体" w:hAnsi="宋体" w:eastAsia="宋体" w:cs="宋体"/>
          <w:spacing w:val="8"/>
          <w:sz w:val="20"/>
          <w:szCs w:val="20"/>
        </w:rPr>
        <w:t>9. 本标准设备、管道和附件安装项目的工作内容，均包括支架、吊架、基础型钢的制作、安装</w:t>
      </w:r>
      <w:r>
        <w:rPr>
          <w:rFonts w:ascii="宋体" w:hAnsi="宋体" w:eastAsia="宋体" w:cs="宋体"/>
          <w:spacing w:val="12"/>
          <w:sz w:val="20"/>
          <w:szCs w:val="20"/>
        </w:rPr>
        <w:t>及刷油，若有专项设计要求的，应按本标准附录</w:t>
      </w:r>
      <w:r>
        <w:rPr>
          <w:rFonts w:ascii="宋体" w:hAnsi="宋体" w:eastAsia="宋体" w:cs="宋体"/>
          <w:spacing w:val="-29"/>
          <w:sz w:val="20"/>
          <w:szCs w:val="20"/>
        </w:rPr>
        <w:t xml:space="preserve"> </w:t>
      </w:r>
      <w:r>
        <w:rPr>
          <w:rFonts w:ascii="宋体" w:hAnsi="宋体" w:eastAsia="宋体" w:cs="宋体"/>
          <w:spacing w:val="12"/>
          <w:sz w:val="20"/>
          <w:szCs w:val="20"/>
        </w:rPr>
        <w:t>N 其他及附属工程或附录</w:t>
      </w:r>
      <w:r>
        <w:rPr>
          <w:rFonts w:ascii="宋体" w:hAnsi="宋体" w:eastAsia="宋体" w:cs="宋体"/>
          <w:spacing w:val="-33"/>
          <w:sz w:val="20"/>
          <w:szCs w:val="20"/>
        </w:rPr>
        <w:t xml:space="preserve"> </w:t>
      </w:r>
      <w:r>
        <w:rPr>
          <w:rFonts w:ascii="宋体" w:hAnsi="宋体" w:eastAsia="宋体" w:cs="宋体"/>
          <w:spacing w:val="12"/>
          <w:sz w:val="20"/>
          <w:szCs w:val="20"/>
        </w:rPr>
        <w:t>M 刷油、防腐蚀、绝热</w:t>
      </w:r>
      <w:r>
        <w:rPr>
          <w:rFonts w:ascii="宋体" w:hAnsi="宋体" w:eastAsia="宋体" w:cs="宋体"/>
          <w:spacing w:val="8"/>
          <w:sz w:val="20"/>
          <w:szCs w:val="20"/>
        </w:rPr>
        <w:t>工程的相应项目编码列项。</w:t>
      </w:r>
    </w:p>
    <w:p>
      <w:pPr>
        <w:spacing w:before="140" w:line="276" w:lineRule="exact"/>
        <w:ind w:left="440"/>
        <w:rPr>
          <w:rFonts w:ascii="宋体" w:hAnsi="宋体" w:eastAsia="宋体" w:cs="宋体"/>
          <w:sz w:val="20"/>
          <w:szCs w:val="20"/>
        </w:rPr>
      </w:pPr>
      <w:r>
        <w:rPr>
          <w:rFonts w:ascii="宋体" w:hAnsi="宋体" w:eastAsia="宋体" w:cs="宋体"/>
          <w:spacing w:val="7"/>
          <w:position w:val="1"/>
          <w:sz w:val="20"/>
          <w:szCs w:val="20"/>
        </w:rPr>
        <w:t>10. 本标准内的设备安装工作内容均包括设备的本体</w:t>
      </w:r>
      <w:r>
        <w:rPr>
          <w:rFonts w:ascii="宋体" w:hAnsi="宋体" w:eastAsia="宋体" w:cs="宋体"/>
          <w:spacing w:val="6"/>
          <w:position w:val="1"/>
          <w:sz w:val="20"/>
          <w:szCs w:val="20"/>
        </w:rPr>
        <w:t>调试、单机试运转。</w:t>
      </w:r>
    </w:p>
    <w:p>
      <w:pPr>
        <w:spacing w:before="102" w:line="277" w:lineRule="exact"/>
        <w:ind w:left="440"/>
        <w:rPr>
          <w:rFonts w:ascii="宋体" w:hAnsi="宋体" w:eastAsia="宋体" w:cs="宋体"/>
          <w:sz w:val="20"/>
          <w:szCs w:val="20"/>
        </w:rPr>
      </w:pPr>
      <w:r>
        <w:rPr>
          <w:rFonts w:ascii="宋体" w:hAnsi="宋体" w:eastAsia="宋体" w:cs="宋体"/>
          <w:spacing w:val="7"/>
          <w:position w:val="1"/>
          <w:sz w:val="20"/>
          <w:szCs w:val="20"/>
        </w:rPr>
        <w:t>11. 本标准的项目操作高度超高增加包含</w:t>
      </w:r>
      <w:r>
        <w:rPr>
          <w:rFonts w:ascii="宋体" w:hAnsi="宋体" w:eastAsia="宋体" w:cs="宋体"/>
          <w:spacing w:val="6"/>
          <w:position w:val="1"/>
          <w:sz w:val="20"/>
          <w:szCs w:val="20"/>
        </w:rPr>
        <w:t>在分部分项工程清单项目中。</w:t>
      </w:r>
    </w:p>
    <w:p>
      <w:pPr>
        <w:spacing w:before="106" w:line="220" w:lineRule="auto"/>
        <w:ind w:left="422"/>
        <w:rPr>
          <w:rFonts w:ascii="宋体" w:hAnsi="宋体" w:eastAsia="宋体" w:cs="宋体"/>
          <w:sz w:val="20"/>
          <w:szCs w:val="20"/>
        </w:rPr>
      </w:pPr>
      <w:r>
        <w:rPr>
          <w:rFonts w:ascii="宋体" w:hAnsi="宋体" w:eastAsia="宋体" w:cs="宋体"/>
          <w:b/>
          <w:bCs/>
          <w:spacing w:val="8"/>
          <w:sz w:val="20"/>
          <w:szCs w:val="20"/>
        </w:rPr>
        <w:t>二、机械设备安装工程</w:t>
      </w:r>
    </w:p>
    <w:p>
      <w:pPr>
        <w:spacing w:before="140" w:line="308" w:lineRule="auto"/>
        <w:ind w:right="78" w:firstLine="439"/>
        <w:rPr>
          <w:rFonts w:ascii="宋体" w:hAnsi="宋体" w:eastAsia="宋体" w:cs="宋体"/>
          <w:sz w:val="20"/>
          <w:szCs w:val="20"/>
        </w:rPr>
      </w:pPr>
      <w:r>
        <w:rPr>
          <w:rFonts w:ascii="宋体" w:hAnsi="宋体" w:eastAsia="宋体" w:cs="宋体"/>
          <w:spacing w:val="7"/>
          <w:sz w:val="20"/>
          <w:szCs w:val="20"/>
        </w:rPr>
        <w:t>1. 设备安装所需钢结构制作、安装应按本标准附录</w:t>
      </w:r>
      <w:r>
        <w:rPr>
          <w:rFonts w:ascii="宋体" w:hAnsi="宋体" w:eastAsia="宋体" w:cs="宋体"/>
          <w:spacing w:val="-33"/>
          <w:sz w:val="20"/>
          <w:szCs w:val="20"/>
        </w:rPr>
        <w:t xml:space="preserve"> </w:t>
      </w:r>
      <w:r>
        <w:rPr>
          <w:rFonts w:ascii="宋体" w:hAnsi="宋体" w:eastAsia="宋体" w:cs="宋体"/>
          <w:spacing w:val="7"/>
          <w:sz w:val="20"/>
          <w:szCs w:val="20"/>
        </w:rPr>
        <w:t>C</w:t>
      </w:r>
      <w:r>
        <w:rPr>
          <w:rFonts w:ascii="宋体" w:hAnsi="宋体" w:eastAsia="宋体" w:cs="宋体"/>
          <w:spacing w:val="-43"/>
          <w:sz w:val="20"/>
          <w:szCs w:val="20"/>
        </w:rPr>
        <w:t xml:space="preserve"> </w:t>
      </w:r>
      <w:r>
        <w:rPr>
          <w:rFonts w:ascii="宋体" w:hAnsi="宋体" w:eastAsia="宋体" w:cs="宋体"/>
          <w:spacing w:val="7"/>
          <w:sz w:val="20"/>
          <w:szCs w:val="20"/>
        </w:rPr>
        <w:t>静置设备与工艺金属结构制作安装工程的</w:t>
      </w:r>
      <w:r>
        <w:rPr>
          <w:rFonts w:ascii="宋体" w:hAnsi="宋体" w:eastAsia="宋体" w:cs="宋体"/>
          <w:spacing w:val="10"/>
          <w:sz w:val="20"/>
          <w:szCs w:val="20"/>
        </w:rPr>
        <w:t>相应项目编码列项。若有专项设计要求的设备安装所需支吊架制作安装应按本标准附录</w:t>
      </w:r>
      <w:r>
        <w:rPr>
          <w:rFonts w:ascii="宋体" w:hAnsi="宋体" w:eastAsia="宋体" w:cs="宋体"/>
          <w:spacing w:val="-22"/>
          <w:sz w:val="20"/>
          <w:szCs w:val="20"/>
        </w:rPr>
        <w:t xml:space="preserve"> </w:t>
      </w:r>
      <w:r>
        <w:rPr>
          <w:rFonts w:ascii="宋体" w:hAnsi="宋体" w:eastAsia="宋体" w:cs="宋体"/>
          <w:spacing w:val="10"/>
          <w:sz w:val="20"/>
          <w:szCs w:val="20"/>
        </w:rPr>
        <w:t>N</w:t>
      </w:r>
      <w:r>
        <w:rPr>
          <w:rFonts w:ascii="宋体" w:hAnsi="宋体" w:eastAsia="宋体" w:cs="宋体"/>
          <w:spacing w:val="-41"/>
          <w:sz w:val="20"/>
          <w:szCs w:val="20"/>
        </w:rPr>
        <w:t xml:space="preserve"> </w:t>
      </w:r>
      <w:r>
        <w:rPr>
          <w:rFonts w:ascii="宋体" w:hAnsi="宋体" w:eastAsia="宋体" w:cs="宋体"/>
          <w:spacing w:val="10"/>
          <w:sz w:val="20"/>
          <w:szCs w:val="20"/>
        </w:rPr>
        <w:t>支吊架制</w:t>
      </w:r>
      <w:r>
        <w:rPr>
          <w:rFonts w:ascii="宋体" w:hAnsi="宋体" w:eastAsia="宋体" w:cs="宋体"/>
          <w:spacing w:val="8"/>
          <w:sz w:val="20"/>
          <w:szCs w:val="20"/>
        </w:rPr>
        <w:t>作的相关安装项目编码列项。</w:t>
      </w:r>
    </w:p>
    <w:p>
      <w:pPr>
        <w:spacing w:before="139" w:line="285" w:lineRule="auto"/>
        <w:ind w:left="1" w:right="80" w:firstLine="421"/>
        <w:rPr>
          <w:rFonts w:ascii="宋体" w:hAnsi="宋体" w:eastAsia="宋体" w:cs="宋体"/>
          <w:sz w:val="20"/>
          <w:szCs w:val="20"/>
        </w:rPr>
      </w:pPr>
      <w:r>
        <w:rPr>
          <w:rFonts w:ascii="宋体" w:hAnsi="宋体" w:eastAsia="宋体" w:cs="宋体"/>
          <w:spacing w:val="7"/>
          <w:sz w:val="20"/>
          <w:szCs w:val="20"/>
        </w:rPr>
        <w:t>2. 起重设备安装中，起重设备电气安装与调试按本标准附录</w:t>
      </w:r>
      <w:r>
        <w:rPr>
          <w:rFonts w:ascii="宋体" w:hAnsi="宋体" w:eastAsia="宋体" w:cs="宋体"/>
          <w:spacing w:val="-35"/>
          <w:sz w:val="20"/>
          <w:szCs w:val="20"/>
        </w:rPr>
        <w:t xml:space="preserve"> </w:t>
      </w:r>
      <w:r>
        <w:rPr>
          <w:rFonts w:ascii="宋体" w:hAnsi="宋体" w:eastAsia="宋体" w:cs="宋体"/>
          <w:spacing w:val="7"/>
          <w:sz w:val="20"/>
          <w:szCs w:val="20"/>
        </w:rPr>
        <w:t>D</w:t>
      </w:r>
      <w:r>
        <w:rPr>
          <w:rFonts w:ascii="宋体" w:hAnsi="宋体" w:eastAsia="宋体" w:cs="宋体"/>
          <w:spacing w:val="-23"/>
          <w:sz w:val="20"/>
          <w:szCs w:val="20"/>
        </w:rPr>
        <w:t xml:space="preserve"> </w:t>
      </w:r>
      <w:r>
        <w:rPr>
          <w:rFonts w:ascii="宋体" w:hAnsi="宋体" w:eastAsia="宋体" w:cs="宋体"/>
          <w:spacing w:val="7"/>
          <w:sz w:val="20"/>
          <w:szCs w:val="20"/>
        </w:rPr>
        <w:t>电气设备安装工程相应项目编码</w:t>
      </w:r>
      <w:r>
        <w:rPr>
          <w:rFonts w:ascii="宋体" w:hAnsi="宋体" w:eastAsia="宋体" w:cs="宋体"/>
          <w:spacing w:val="4"/>
          <w:sz w:val="20"/>
          <w:szCs w:val="20"/>
        </w:rPr>
        <w:t>列项。</w:t>
      </w:r>
    </w:p>
    <w:p>
      <w:pPr>
        <w:spacing w:before="140" w:line="277" w:lineRule="exact"/>
        <w:ind w:left="426"/>
        <w:rPr>
          <w:rFonts w:ascii="宋体" w:hAnsi="宋体" w:eastAsia="宋体" w:cs="宋体"/>
          <w:sz w:val="20"/>
          <w:szCs w:val="20"/>
        </w:rPr>
      </w:pPr>
      <w:r>
        <w:rPr>
          <w:rFonts w:ascii="宋体" w:hAnsi="宋体" w:eastAsia="宋体" w:cs="宋体"/>
          <w:spacing w:val="5"/>
          <w:position w:val="1"/>
          <w:sz w:val="20"/>
          <w:szCs w:val="20"/>
        </w:rPr>
        <w:t>3. 其他机械安装中的有关问题说明：</w:t>
      </w:r>
    </w:p>
    <w:p>
      <w:pPr>
        <w:spacing w:before="105" w:line="276"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1）冷凝器结构形式是指立式管壳式、卧式管壳式、淋水式、蒸发式</w:t>
      </w:r>
      <w:r>
        <w:rPr>
          <w:rFonts w:ascii="宋体" w:hAnsi="宋体" w:eastAsia="宋体" w:cs="宋体"/>
          <w:spacing w:val="7"/>
          <w:position w:val="1"/>
          <w:sz w:val="20"/>
          <w:szCs w:val="20"/>
        </w:rPr>
        <w:t>等；</w:t>
      </w:r>
    </w:p>
    <w:p>
      <w:pPr>
        <w:spacing w:before="103" w:line="277" w:lineRule="exact"/>
        <w:ind w:left="413"/>
        <w:rPr>
          <w:rFonts w:ascii="宋体" w:hAnsi="宋体" w:eastAsia="宋体" w:cs="宋体"/>
          <w:sz w:val="20"/>
          <w:szCs w:val="20"/>
        </w:rPr>
      </w:pPr>
      <w:r>
        <w:rPr>
          <w:rFonts w:ascii="宋体" w:hAnsi="宋体" w:eastAsia="宋体" w:cs="宋体"/>
          <w:spacing w:val="9"/>
          <w:position w:val="1"/>
          <w:sz w:val="20"/>
          <w:szCs w:val="20"/>
        </w:rPr>
        <w:t>（2）分离器形式是指氨油、氨液、空气等。</w:t>
      </w:r>
    </w:p>
    <w:p>
      <w:pPr>
        <w:spacing w:before="102" w:line="278" w:lineRule="exact"/>
        <w:ind w:left="425"/>
        <w:rPr>
          <w:rFonts w:ascii="宋体" w:hAnsi="宋体" w:eastAsia="宋体" w:cs="宋体"/>
          <w:sz w:val="20"/>
          <w:szCs w:val="20"/>
        </w:rPr>
      </w:pPr>
      <w:r>
        <w:rPr>
          <w:rFonts w:ascii="宋体" w:hAnsi="宋体" w:eastAsia="宋体" w:cs="宋体"/>
          <w:b/>
          <w:bCs/>
          <w:spacing w:val="7"/>
          <w:position w:val="1"/>
          <w:sz w:val="20"/>
          <w:szCs w:val="20"/>
        </w:rPr>
        <w:t>三、热力设备安装工程</w:t>
      </w:r>
    </w:p>
    <w:p>
      <w:pPr>
        <w:spacing w:before="103" w:line="287" w:lineRule="auto"/>
        <w:ind w:left="18" w:right="78" w:firstLine="421"/>
        <w:rPr>
          <w:rFonts w:ascii="宋体" w:hAnsi="宋体" w:eastAsia="宋体" w:cs="宋体"/>
          <w:sz w:val="20"/>
          <w:szCs w:val="20"/>
        </w:rPr>
      </w:pPr>
      <w:r>
        <w:rPr>
          <w:rFonts w:ascii="宋体" w:hAnsi="宋体" w:eastAsia="宋体" w:cs="宋体"/>
          <w:spacing w:val="5"/>
          <w:sz w:val="20"/>
          <w:szCs w:val="20"/>
        </w:rPr>
        <w:t>1. 热力设备安装工程适用于</w:t>
      </w:r>
      <w:r>
        <w:rPr>
          <w:rFonts w:ascii="宋体" w:hAnsi="宋体" w:eastAsia="宋体" w:cs="宋体"/>
          <w:spacing w:val="-23"/>
          <w:sz w:val="20"/>
          <w:szCs w:val="20"/>
        </w:rPr>
        <w:t xml:space="preserve"> </w:t>
      </w:r>
      <w:r>
        <w:rPr>
          <w:rFonts w:ascii="宋体" w:hAnsi="宋体" w:eastAsia="宋体" w:cs="宋体"/>
          <w:spacing w:val="5"/>
          <w:sz w:val="20"/>
          <w:szCs w:val="20"/>
        </w:rPr>
        <w:t>220t/h</w:t>
      </w:r>
      <w:r>
        <w:rPr>
          <w:rFonts w:ascii="宋体" w:hAnsi="宋体" w:eastAsia="宋体" w:cs="宋体"/>
          <w:spacing w:val="-21"/>
          <w:sz w:val="20"/>
          <w:szCs w:val="20"/>
        </w:rPr>
        <w:t xml:space="preserve"> </w:t>
      </w:r>
      <w:r>
        <w:rPr>
          <w:rFonts w:ascii="宋体" w:hAnsi="宋体" w:eastAsia="宋体" w:cs="宋体"/>
          <w:spacing w:val="5"/>
          <w:sz w:val="20"/>
          <w:szCs w:val="20"/>
        </w:rPr>
        <w:t>以下，压力在</w:t>
      </w:r>
      <w:r>
        <w:rPr>
          <w:rFonts w:ascii="宋体" w:hAnsi="宋体" w:eastAsia="宋体" w:cs="宋体"/>
          <w:spacing w:val="-23"/>
          <w:sz w:val="20"/>
          <w:szCs w:val="20"/>
        </w:rPr>
        <w:t xml:space="preserve"> </w:t>
      </w:r>
      <w:r>
        <w:rPr>
          <w:rFonts w:ascii="宋体" w:hAnsi="宋体" w:eastAsia="宋体" w:cs="宋体"/>
          <w:spacing w:val="5"/>
          <w:sz w:val="20"/>
          <w:szCs w:val="20"/>
        </w:rPr>
        <w:t>13.7</w:t>
      </w:r>
      <w:r>
        <w:rPr>
          <w:rFonts w:ascii="宋体" w:hAnsi="宋体" w:eastAsia="宋体" w:cs="宋体"/>
          <w:sz w:val="20"/>
          <w:szCs w:val="20"/>
        </w:rPr>
        <w:t>MPa</w:t>
      </w:r>
      <w:r>
        <w:rPr>
          <w:rFonts w:ascii="宋体" w:hAnsi="宋体" w:eastAsia="宋体" w:cs="宋体"/>
          <w:spacing w:val="-22"/>
          <w:sz w:val="20"/>
          <w:szCs w:val="20"/>
        </w:rPr>
        <w:t xml:space="preserve"> </w:t>
      </w:r>
      <w:r>
        <w:rPr>
          <w:rFonts w:ascii="宋体" w:hAnsi="宋体" w:eastAsia="宋体" w:cs="宋体"/>
          <w:spacing w:val="5"/>
          <w:sz w:val="20"/>
          <w:szCs w:val="20"/>
        </w:rPr>
        <w:t>以下的锅炉和</w:t>
      </w:r>
      <w:r>
        <w:rPr>
          <w:rFonts w:ascii="宋体" w:hAnsi="宋体" w:eastAsia="宋体" w:cs="宋体"/>
          <w:spacing w:val="-39"/>
          <w:sz w:val="20"/>
          <w:szCs w:val="20"/>
        </w:rPr>
        <w:t xml:space="preserve"> </w:t>
      </w:r>
      <w:r>
        <w:rPr>
          <w:rFonts w:ascii="宋体" w:hAnsi="宋体" w:eastAsia="宋体" w:cs="宋体"/>
          <w:spacing w:val="5"/>
          <w:sz w:val="20"/>
          <w:szCs w:val="20"/>
        </w:rPr>
        <w:t>2.5</w:t>
      </w:r>
      <w:r>
        <w:rPr>
          <w:rFonts w:ascii="宋体" w:hAnsi="宋体" w:eastAsia="宋体" w:cs="宋体"/>
          <w:spacing w:val="-38"/>
          <w:sz w:val="20"/>
          <w:szCs w:val="20"/>
        </w:rPr>
        <w:t xml:space="preserve"> </w:t>
      </w:r>
      <w:r>
        <w:rPr>
          <w:rFonts w:ascii="宋体" w:hAnsi="宋体" w:eastAsia="宋体" w:cs="宋体"/>
          <w:spacing w:val="5"/>
          <w:sz w:val="20"/>
          <w:szCs w:val="20"/>
        </w:rPr>
        <w:t>万</w:t>
      </w:r>
      <w:r>
        <w:rPr>
          <w:rFonts w:ascii="宋体" w:hAnsi="宋体" w:eastAsia="宋体" w:cs="宋体"/>
          <w:spacing w:val="-36"/>
          <w:sz w:val="20"/>
          <w:szCs w:val="20"/>
        </w:rPr>
        <w:t xml:space="preserve"> </w:t>
      </w:r>
      <w:r>
        <w:rPr>
          <w:rFonts w:ascii="宋体" w:hAnsi="宋体" w:eastAsia="宋体" w:cs="宋体"/>
          <w:sz w:val="20"/>
          <w:szCs w:val="20"/>
        </w:rPr>
        <w:t>kW</w:t>
      </w:r>
      <w:r>
        <w:rPr>
          <w:rFonts w:ascii="宋体" w:hAnsi="宋体" w:eastAsia="宋体" w:cs="宋体"/>
          <w:spacing w:val="5"/>
          <w:sz w:val="20"/>
          <w:szCs w:val="20"/>
        </w:rPr>
        <w:t>(25</w:t>
      </w:r>
      <w:r>
        <w:rPr>
          <w:rFonts w:ascii="宋体" w:hAnsi="宋体" w:eastAsia="宋体" w:cs="宋体"/>
          <w:sz w:val="20"/>
          <w:szCs w:val="20"/>
        </w:rPr>
        <w:t>MW</w:t>
      </w:r>
      <w:r>
        <w:rPr>
          <w:rFonts w:ascii="宋体" w:hAnsi="宋体" w:eastAsia="宋体" w:cs="宋体"/>
          <w:spacing w:val="5"/>
          <w:sz w:val="20"/>
          <w:szCs w:val="20"/>
        </w:rPr>
        <w:t>)以下</w:t>
      </w:r>
      <w:r>
        <w:rPr>
          <w:rFonts w:ascii="宋体" w:hAnsi="宋体" w:eastAsia="宋体" w:cs="宋体"/>
          <w:spacing w:val="9"/>
          <w:sz w:val="20"/>
          <w:szCs w:val="20"/>
        </w:rPr>
        <w:t>的汽轮发电机组及其配套的辅机、燃料、除灰、水处理设备安</w:t>
      </w:r>
      <w:r>
        <w:rPr>
          <w:rFonts w:ascii="宋体" w:hAnsi="宋体" w:eastAsia="宋体" w:cs="宋体"/>
          <w:spacing w:val="8"/>
          <w:sz w:val="20"/>
          <w:szCs w:val="20"/>
        </w:rPr>
        <w:t>装工程。</w:t>
      </w:r>
    </w:p>
    <w:p>
      <w:pPr>
        <w:spacing w:before="137" w:line="278" w:lineRule="exact"/>
        <w:ind w:left="423"/>
        <w:rPr>
          <w:rFonts w:ascii="宋体" w:hAnsi="宋体" w:eastAsia="宋体" w:cs="宋体"/>
          <w:sz w:val="20"/>
          <w:szCs w:val="20"/>
        </w:rPr>
      </w:pPr>
      <w:r>
        <w:rPr>
          <w:rFonts w:ascii="宋体" w:hAnsi="宋体" w:eastAsia="宋体" w:cs="宋体"/>
          <w:spacing w:val="6"/>
          <w:position w:val="1"/>
          <w:sz w:val="20"/>
          <w:szCs w:val="20"/>
        </w:rPr>
        <w:t>2. 锅炉压力等级的划分，以锅炉出口蒸汽参数为限：</w:t>
      </w:r>
    </w:p>
    <w:p>
      <w:pPr>
        <w:spacing w:before="104"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1）蒸汽出口压力小于或等于</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2.45</w:t>
      </w:r>
      <w:r>
        <w:rPr>
          <w:rFonts w:ascii="宋体" w:hAnsi="宋体" w:eastAsia="宋体" w:cs="宋体"/>
          <w:position w:val="1"/>
          <w:sz w:val="20"/>
          <w:szCs w:val="20"/>
        </w:rPr>
        <w:t>MPa</w:t>
      </w:r>
      <w:r>
        <w:rPr>
          <w:rFonts w:ascii="宋体" w:hAnsi="宋体" w:eastAsia="宋体" w:cs="宋体"/>
          <w:spacing w:val="8"/>
          <w:position w:val="1"/>
          <w:sz w:val="20"/>
          <w:szCs w:val="20"/>
        </w:rPr>
        <w:t>，蒸</w:t>
      </w:r>
      <w:r>
        <w:rPr>
          <w:rFonts w:ascii="宋体" w:hAnsi="宋体" w:eastAsia="宋体" w:cs="宋体"/>
          <w:spacing w:val="7"/>
          <w:position w:val="1"/>
          <w:sz w:val="20"/>
          <w:szCs w:val="20"/>
        </w:rPr>
        <w:t>汽出口温度小于或等于</w:t>
      </w:r>
      <w:r>
        <w:rPr>
          <w:rFonts w:ascii="宋体" w:hAnsi="宋体" w:eastAsia="宋体" w:cs="宋体"/>
          <w:spacing w:val="-43"/>
          <w:position w:val="1"/>
          <w:sz w:val="20"/>
          <w:szCs w:val="20"/>
        </w:rPr>
        <w:t xml:space="preserve"> </w:t>
      </w:r>
      <w:r>
        <w:rPr>
          <w:rFonts w:ascii="宋体" w:hAnsi="宋体" w:eastAsia="宋体" w:cs="宋体"/>
          <w:spacing w:val="7"/>
          <w:position w:val="1"/>
          <w:sz w:val="20"/>
          <w:szCs w:val="20"/>
        </w:rPr>
        <w:t>400℃时为低压锅炉；</w:t>
      </w:r>
    </w:p>
    <w:p>
      <w:pPr>
        <w:spacing w:before="102" w:line="278" w:lineRule="exact"/>
        <w:ind w:left="413"/>
        <w:rPr>
          <w:rFonts w:ascii="宋体" w:hAnsi="宋体" w:eastAsia="宋体" w:cs="宋体"/>
          <w:sz w:val="20"/>
          <w:szCs w:val="20"/>
        </w:rPr>
      </w:pPr>
      <w:r>
        <w:rPr>
          <w:rFonts w:ascii="宋体" w:hAnsi="宋体" w:eastAsia="宋体" w:cs="宋体"/>
          <w:spacing w:val="8"/>
          <w:position w:val="1"/>
          <w:sz w:val="20"/>
          <w:szCs w:val="20"/>
        </w:rPr>
        <w:t>（2）蒸汽出口压力在</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2.94</w:t>
      </w:r>
      <w:r>
        <w:rPr>
          <w:rFonts w:ascii="宋体" w:hAnsi="宋体" w:eastAsia="宋体" w:cs="宋体"/>
          <w:position w:val="1"/>
          <w:sz w:val="20"/>
          <w:szCs w:val="20"/>
        </w:rPr>
        <w:t>MPa</w:t>
      </w:r>
      <w:r>
        <w:rPr>
          <w:rFonts w:ascii="宋体" w:hAnsi="宋体" w:eastAsia="宋体" w:cs="宋体"/>
          <w:spacing w:val="8"/>
          <w:position w:val="1"/>
          <w:sz w:val="20"/>
          <w:szCs w:val="20"/>
        </w:rPr>
        <w:t>～4.9</w:t>
      </w:r>
      <w:r>
        <w:rPr>
          <w:rFonts w:ascii="宋体" w:hAnsi="宋体" w:eastAsia="宋体" w:cs="宋体"/>
          <w:position w:val="1"/>
          <w:sz w:val="20"/>
          <w:szCs w:val="20"/>
        </w:rPr>
        <w:t>MPa</w:t>
      </w:r>
      <w:r>
        <w:rPr>
          <w:rFonts w:ascii="宋体" w:hAnsi="宋体" w:eastAsia="宋体" w:cs="宋体"/>
          <w:spacing w:val="-26"/>
          <w:position w:val="1"/>
          <w:sz w:val="20"/>
          <w:szCs w:val="20"/>
        </w:rPr>
        <w:t xml:space="preserve"> </w:t>
      </w:r>
      <w:r>
        <w:rPr>
          <w:rFonts w:ascii="宋体" w:hAnsi="宋体" w:eastAsia="宋体" w:cs="宋体"/>
          <w:spacing w:val="8"/>
          <w:position w:val="1"/>
          <w:sz w:val="20"/>
          <w:szCs w:val="20"/>
        </w:rPr>
        <w:t>区间，蒸汽出口温度</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450℃时为中压锅炉；</w:t>
      </w:r>
    </w:p>
    <w:p>
      <w:pPr>
        <w:spacing w:before="101" w:line="278" w:lineRule="exact"/>
        <w:ind w:left="413"/>
        <w:rPr>
          <w:rFonts w:ascii="宋体" w:hAnsi="宋体" w:eastAsia="宋体" w:cs="宋体"/>
          <w:sz w:val="20"/>
          <w:szCs w:val="20"/>
        </w:rPr>
      </w:pPr>
      <w:r>
        <w:rPr>
          <w:rFonts w:ascii="宋体" w:hAnsi="宋体" w:eastAsia="宋体" w:cs="宋体"/>
          <w:spacing w:val="5"/>
          <w:position w:val="1"/>
          <w:sz w:val="20"/>
          <w:szCs w:val="20"/>
        </w:rPr>
        <w:t>（3）蒸汽出口压力在</w:t>
      </w:r>
      <w:r>
        <w:rPr>
          <w:rFonts w:ascii="宋体" w:hAnsi="宋体" w:eastAsia="宋体" w:cs="宋体"/>
          <w:spacing w:val="-33"/>
          <w:position w:val="1"/>
          <w:sz w:val="20"/>
          <w:szCs w:val="20"/>
        </w:rPr>
        <w:t xml:space="preserve"> </w:t>
      </w:r>
      <w:r>
        <w:rPr>
          <w:rFonts w:ascii="宋体" w:hAnsi="宋体" w:eastAsia="宋体" w:cs="宋体"/>
          <w:spacing w:val="5"/>
          <w:position w:val="1"/>
          <w:sz w:val="20"/>
          <w:szCs w:val="20"/>
        </w:rPr>
        <w:t>7.84</w:t>
      </w:r>
      <w:r>
        <w:rPr>
          <w:rFonts w:ascii="宋体" w:hAnsi="宋体" w:eastAsia="宋体" w:cs="宋体"/>
          <w:position w:val="1"/>
          <w:sz w:val="20"/>
          <w:szCs w:val="20"/>
        </w:rPr>
        <w:t>MPa</w:t>
      </w:r>
      <w:r>
        <w:rPr>
          <w:rFonts w:ascii="宋体" w:hAnsi="宋体" w:eastAsia="宋体" w:cs="宋体"/>
          <w:spacing w:val="-54"/>
          <w:position w:val="1"/>
          <w:sz w:val="20"/>
          <w:szCs w:val="20"/>
        </w:rPr>
        <w:t xml:space="preserve"> </w:t>
      </w:r>
      <w:r>
        <w:rPr>
          <w:rFonts w:ascii="宋体" w:hAnsi="宋体" w:eastAsia="宋体" w:cs="宋体"/>
          <w:spacing w:val="5"/>
          <w:position w:val="1"/>
          <w:sz w:val="20"/>
          <w:szCs w:val="20"/>
        </w:rPr>
        <w:t>～</w:t>
      </w:r>
      <w:r>
        <w:rPr>
          <w:rFonts w:ascii="宋体" w:hAnsi="宋体" w:eastAsia="宋体" w:cs="宋体"/>
          <w:spacing w:val="-37"/>
          <w:position w:val="1"/>
          <w:sz w:val="20"/>
          <w:szCs w:val="20"/>
        </w:rPr>
        <w:t xml:space="preserve"> </w:t>
      </w:r>
      <w:r>
        <w:rPr>
          <w:rFonts w:ascii="宋体" w:hAnsi="宋体" w:eastAsia="宋体" w:cs="宋体"/>
          <w:spacing w:val="5"/>
          <w:position w:val="1"/>
          <w:sz w:val="20"/>
          <w:szCs w:val="20"/>
        </w:rPr>
        <w:t>10.8</w:t>
      </w:r>
      <w:r>
        <w:rPr>
          <w:rFonts w:ascii="宋体" w:hAnsi="宋体" w:eastAsia="宋体" w:cs="宋体"/>
          <w:position w:val="1"/>
          <w:sz w:val="20"/>
          <w:szCs w:val="20"/>
        </w:rPr>
        <w:t>MPa</w:t>
      </w:r>
      <w:r>
        <w:rPr>
          <w:rFonts w:ascii="宋体" w:hAnsi="宋体" w:eastAsia="宋体" w:cs="宋体"/>
          <w:spacing w:val="-26"/>
          <w:position w:val="1"/>
          <w:sz w:val="20"/>
          <w:szCs w:val="20"/>
        </w:rPr>
        <w:t xml:space="preserve"> </w:t>
      </w:r>
      <w:r>
        <w:rPr>
          <w:rFonts w:ascii="宋体" w:hAnsi="宋体" w:eastAsia="宋体" w:cs="宋体"/>
          <w:spacing w:val="5"/>
          <w:position w:val="1"/>
          <w:sz w:val="20"/>
          <w:szCs w:val="20"/>
        </w:rPr>
        <w:t>区间，蒸汽出口温度</w:t>
      </w:r>
      <w:r>
        <w:rPr>
          <w:rFonts w:ascii="宋体" w:hAnsi="宋体" w:eastAsia="宋体" w:cs="宋体"/>
          <w:spacing w:val="-39"/>
          <w:position w:val="1"/>
          <w:sz w:val="20"/>
          <w:szCs w:val="20"/>
        </w:rPr>
        <w:t xml:space="preserve"> </w:t>
      </w:r>
      <w:r>
        <w:rPr>
          <w:rFonts w:ascii="宋体" w:hAnsi="宋体" w:eastAsia="宋体" w:cs="宋体"/>
          <w:spacing w:val="5"/>
          <w:position w:val="1"/>
          <w:sz w:val="20"/>
          <w:szCs w:val="20"/>
        </w:rPr>
        <w:t>540℃时为高压锅炉。</w:t>
      </w:r>
    </w:p>
    <w:p>
      <w:pPr>
        <w:spacing w:before="104" w:line="333" w:lineRule="auto"/>
        <w:ind w:left="26" w:right="80" w:firstLine="400"/>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45"/>
          <w:sz w:val="20"/>
          <w:szCs w:val="20"/>
        </w:rPr>
        <w:t xml:space="preserve"> </w:t>
      </w:r>
      <w:r>
        <w:rPr>
          <w:rFonts w:ascii="宋体" w:hAnsi="宋体" w:eastAsia="宋体" w:cs="宋体"/>
          <w:spacing w:val="7"/>
          <w:sz w:val="20"/>
          <w:szCs w:val="20"/>
        </w:rPr>
        <w:t>由设备制造厂配套供货的平台、扶梯及围栏的制作不包括在安装项目中，未配套供应的，可由业主单位委托施工单位另行处理。</w:t>
      </w:r>
    </w:p>
    <w:p>
      <w:pPr>
        <w:spacing w:before="41" w:line="220" w:lineRule="auto"/>
        <w:ind w:left="443"/>
        <w:rPr>
          <w:rFonts w:ascii="宋体" w:hAnsi="宋体" w:eastAsia="宋体" w:cs="宋体"/>
          <w:sz w:val="20"/>
          <w:szCs w:val="20"/>
        </w:rPr>
      </w:pPr>
      <w:r>
        <w:rPr>
          <w:rFonts w:ascii="宋体" w:hAnsi="宋体" w:eastAsia="宋体" w:cs="宋体"/>
          <w:b/>
          <w:bCs/>
          <w:spacing w:val="7"/>
          <w:sz w:val="20"/>
          <w:szCs w:val="20"/>
        </w:rPr>
        <w:t>四、静置设备与工艺金属结构制作安装工程</w:t>
      </w:r>
    </w:p>
    <w:p>
      <w:pPr>
        <w:spacing w:before="139" w:line="277" w:lineRule="exact"/>
        <w:ind w:left="440"/>
        <w:rPr>
          <w:rFonts w:ascii="宋体" w:hAnsi="宋体" w:eastAsia="宋体" w:cs="宋体"/>
          <w:sz w:val="20"/>
          <w:szCs w:val="20"/>
        </w:rPr>
      </w:pPr>
      <w:r>
        <w:rPr>
          <w:rFonts w:ascii="宋体" w:hAnsi="宋体" w:eastAsia="宋体" w:cs="宋体"/>
          <w:spacing w:val="8"/>
          <w:position w:val="1"/>
          <w:sz w:val="20"/>
          <w:szCs w:val="20"/>
        </w:rPr>
        <w:t>1. 设备本体第一片法兰外的管线安装应按本标准附录</w:t>
      </w:r>
      <w:r>
        <w:rPr>
          <w:rFonts w:ascii="宋体" w:hAnsi="宋体" w:eastAsia="宋体" w:cs="宋体"/>
          <w:spacing w:val="-32"/>
          <w:position w:val="1"/>
          <w:sz w:val="20"/>
          <w:szCs w:val="20"/>
        </w:rPr>
        <w:t xml:space="preserve"> </w:t>
      </w:r>
      <w:r>
        <w:rPr>
          <w:rFonts w:ascii="宋体" w:hAnsi="宋体" w:eastAsia="宋体" w:cs="宋体"/>
          <w:spacing w:val="8"/>
          <w:position w:val="1"/>
          <w:sz w:val="20"/>
          <w:szCs w:val="20"/>
        </w:rPr>
        <w:t>H</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工业管道工程的相应项目编码列项。</w:t>
      </w:r>
    </w:p>
    <w:p>
      <w:pPr>
        <w:spacing w:before="102" w:line="303" w:lineRule="auto"/>
        <w:ind w:left="3" w:right="80" w:firstLine="420"/>
        <w:rPr>
          <w:rFonts w:ascii="宋体" w:hAnsi="宋体" w:eastAsia="宋体" w:cs="宋体"/>
          <w:sz w:val="20"/>
          <w:szCs w:val="20"/>
        </w:rPr>
      </w:pPr>
      <w:r>
        <w:rPr>
          <w:rFonts w:ascii="宋体" w:hAnsi="宋体" w:eastAsia="宋体" w:cs="宋体"/>
          <w:spacing w:val="8"/>
          <w:sz w:val="20"/>
          <w:szCs w:val="20"/>
        </w:rPr>
        <w:t>2. 污水处理设备、其他水处理设备的安装应按现行国家标准《市政工程工程量计算标准》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z w:val="20"/>
          <w:szCs w:val="20"/>
        </w:rPr>
        <w:t xml:space="preserve"> </w:t>
      </w:r>
      <w:r>
        <w:rPr>
          <w:rFonts w:ascii="宋体" w:hAnsi="宋体" w:eastAsia="宋体" w:cs="宋体"/>
          <w:spacing w:val="5"/>
          <w:sz w:val="20"/>
          <w:szCs w:val="20"/>
        </w:rPr>
        <w:t>50857</w:t>
      </w:r>
      <w:r>
        <w:rPr>
          <w:rFonts w:ascii="宋体" w:hAnsi="宋体" w:eastAsia="宋体" w:cs="宋体"/>
          <w:spacing w:val="-20"/>
          <w:sz w:val="20"/>
          <w:szCs w:val="20"/>
        </w:rPr>
        <w:t xml:space="preserve"> </w:t>
      </w:r>
      <w:r>
        <w:rPr>
          <w:rFonts w:ascii="宋体" w:hAnsi="宋体" w:eastAsia="宋体" w:cs="宋体"/>
          <w:spacing w:val="5"/>
          <w:sz w:val="20"/>
          <w:szCs w:val="20"/>
        </w:rPr>
        <w:t>的相应项目编码列项。</w:t>
      </w:r>
    </w:p>
    <w:p>
      <w:pPr>
        <w:spacing w:before="104" w:line="278" w:lineRule="exact"/>
        <w:ind w:left="426"/>
        <w:rPr>
          <w:rFonts w:ascii="宋体" w:hAnsi="宋体" w:eastAsia="宋体" w:cs="宋体"/>
          <w:sz w:val="20"/>
          <w:szCs w:val="20"/>
        </w:rPr>
      </w:pPr>
      <w:r>
        <w:rPr>
          <w:rFonts w:ascii="宋体" w:hAnsi="宋体" w:eastAsia="宋体" w:cs="宋体"/>
          <w:spacing w:val="7"/>
          <w:position w:val="1"/>
          <w:sz w:val="20"/>
          <w:szCs w:val="20"/>
        </w:rPr>
        <w:t>3. 球形罐的工作内容应包括焊接工艺评定，以及胎具的制作、安装与拆除。</w:t>
      </w:r>
    </w:p>
    <w:p>
      <w:pPr>
        <w:spacing w:before="106" w:line="223" w:lineRule="auto"/>
        <w:ind w:left="426"/>
        <w:rPr>
          <w:rFonts w:ascii="宋体" w:hAnsi="宋体" w:eastAsia="宋体" w:cs="宋体"/>
          <w:sz w:val="20"/>
          <w:szCs w:val="20"/>
        </w:rPr>
      </w:pPr>
      <w:r>
        <w:rPr>
          <w:rFonts w:ascii="宋体" w:hAnsi="宋体" w:eastAsia="宋体" w:cs="宋体"/>
          <w:b/>
          <w:bCs/>
          <w:spacing w:val="7"/>
          <w:sz w:val="20"/>
          <w:szCs w:val="20"/>
        </w:rPr>
        <w:t>五、电气设备安装工程</w:t>
      </w:r>
    </w:p>
    <w:p>
      <w:pPr>
        <w:spacing w:before="114" w:line="291" w:lineRule="exact"/>
        <w:ind w:left="440"/>
        <w:rPr>
          <w:rFonts w:ascii="宋体" w:hAnsi="宋体" w:eastAsia="宋体" w:cs="宋体"/>
          <w:sz w:val="20"/>
          <w:szCs w:val="20"/>
        </w:rPr>
      </w:pPr>
      <w:r>
        <w:rPr>
          <w:rFonts w:ascii="宋体" w:hAnsi="宋体" w:eastAsia="宋体" w:cs="宋体"/>
          <w:spacing w:val="6"/>
          <w:position w:val="2"/>
          <w:sz w:val="20"/>
          <w:szCs w:val="20"/>
        </w:rPr>
        <w:t>1.</w:t>
      </w:r>
      <w:r>
        <w:rPr>
          <w:rFonts w:ascii="宋体" w:hAnsi="宋体" w:eastAsia="宋体" w:cs="宋体"/>
          <w:spacing w:val="46"/>
          <w:position w:val="2"/>
          <w:sz w:val="20"/>
          <w:szCs w:val="20"/>
        </w:rPr>
        <w:t xml:space="preserve"> </w:t>
      </w:r>
      <w:r>
        <w:rPr>
          <w:rFonts w:ascii="宋体" w:hAnsi="宋体" w:eastAsia="宋体" w:cs="宋体"/>
          <w:spacing w:val="6"/>
          <w:position w:val="2"/>
          <w:sz w:val="20"/>
          <w:szCs w:val="20"/>
        </w:rPr>
        <w:t>电缆防火涂料项目计量单位为“m</w:t>
      </w:r>
      <w:r>
        <w:rPr>
          <w:rFonts w:ascii="宋体" w:hAnsi="宋体" w:eastAsia="宋体" w:cs="宋体"/>
          <w:spacing w:val="6"/>
          <w:position w:val="12"/>
          <w:sz w:val="10"/>
          <w:szCs w:val="10"/>
        </w:rPr>
        <w:t>2</w:t>
      </w:r>
      <w:r>
        <w:rPr>
          <w:rFonts w:ascii="宋体" w:hAnsi="宋体" w:eastAsia="宋体" w:cs="宋体"/>
          <w:spacing w:val="6"/>
          <w:position w:val="2"/>
          <w:sz w:val="20"/>
          <w:szCs w:val="20"/>
        </w:rPr>
        <w:t>”</w:t>
      </w:r>
      <w:r>
        <w:rPr>
          <w:rFonts w:ascii="宋体" w:hAnsi="宋体" w:eastAsia="宋体" w:cs="宋体"/>
          <w:spacing w:val="-62"/>
          <w:position w:val="2"/>
          <w:sz w:val="20"/>
          <w:szCs w:val="20"/>
        </w:rPr>
        <w:t xml:space="preserve"> </w:t>
      </w:r>
      <w:r>
        <w:rPr>
          <w:rFonts w:ascii="宋体" w:hAnsi="宋体" w:eastAsia="宋体" w:cs="宋体"/>
          <w:spacing w:val="6"/>
          <w:position w:val="2"/>
          <w:sz w:val="20"/>
          <w:szCs w:val="20"/>
        </w:rPr>
        <w:t>，防火堵料（包）项目计量单位为“</w:t>
      </w:r>
      <w:r>
        <w:rPr>
          <w:rFonts w:ascii="宋体" w:hAnsi="宋体" w:eastAsia="宋体" w:cs="宋体"/>
          <w:position w:val="2"/>
          <w:sz w:val="20"/>
          <w:szCs w:val="20"/>
        </w:rPr>
        <w:t>kg</w:t>
      </w:r>
      <w:r>
        <w:rPr>
          <w:rFonts w:ascii="宋体" w:hAnsi="宋体" w:eastAsia="宋体" w:cs="宋体"/>
          <w:spacing w:val="6"/>
          <w:position w:val="2"/>
          <w:sz w:val="20"/>
          <w:szCs w:val="20"/>
        </w:rPr>
        <w:t>”。</w:t>
      </w:r>
    </w:p>
    <w:p>
      <w:pPr>
        <w:spacing w:before="103" w:line="289" w:lineRule="auto"/>
        <w:ind w:left="7" w:right="80" w:firstLine="415"/>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pacing w:val="45"/>
          <w:sz w:val="20"/>
          <w:szCs w:val="20"/>
        </w:rPr>
        <w:t xml:space="preserve"> </w:t>
      </w:r>
      <w:r>
        <w:rPr>
          <w:rFonts w:ascii="宋体" w:hAnsi="宋体" w:eastAsia="宋体" w:cs="宋体"/>
          <w:spacing w:val="6"/>
          <w:sz w:val="20"/>
          <w:szCs w:val="20"/>
        </w:rPr>
        <w:t>电缆排管、管道包封应按现行国家标准《市政工程工程量计算标准》</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pacing w:val="-42"/>
          <w:sz w:val="20"/>
          <w:szCs w:val="20"/>
        </w:rPr>
        <w:t xml:space="preserve"> </w:t>
      </w:r>
      <w:r>
        <w:rPr>
          <w:rFonts w:ascii="宋体" w:hAnsi="宋体" w:eastAsia="宋体" w:cs="宋体"/>
          <w:spacing w:val="6"/>
          <w:sz w:val="20"/>
          <w:szCs w:val="20"/>
        </w:rPr>
        <w:t>50857</w:t>
      </w:r>
      <w:r>
        <w:rPr>
          <w:rFonts w:ascii="宋体" w:hAnsi="宋体" w:eastAsia="宋体" w:cs="宋体"/>
          <w:spacing w:val="-24"/>
          <w:sz w:val="20"/>
          <w:szCs w:val="20"/>
        </w:rPr>
        <w:t xml:space="preserve"> </w:t>
      </w:r>
      <w:r>
        <w:rPr>
          <w:rFonts w:ascii="宋体" w:hAnsi="宋体" w:eastAsia="宋体" w:cs="宋体"/>
          <w:spacing w:val="6"/>
          <w:sz w:val="20"/>
          <w:szCs w:val="20"/>
        </w:rPr>
        <w:t>的相应项目</w:t>
      </w:r>
      <w:r>
        <w:rPr>
          <w:rFonts w:ascii="宋体" w:hAnsi="宋体" w:eastAsia="宋体" w:cs="宋体"/>
          <w:spacing w:val="5"/>
          <w:sz w:val="20"/>
          <w:szCs w:val="20"/>
        </w:rPr>
        <w:t>编码列项。</w:t>
      </w:r>
    </w:p>
    <w:p>
      <w:pPr>
        <w:spacing w:before="140" w:line="287" w:lineRule="auto"/>
        <w:ind w:left="21" w:firstLine="405"/>
        <w:rPr>
          <w:rFonts w:ascii="宋体" w:hAnsi="宋体" w:eastAsia="宋体" w:cs="宋体"/>
          <w:sz w:val="20"/>
          <w:szCs w:val="20"/>
        </w:rPr>
      </w:pPr>
      <w:r>
        <w:rPr>
          <w:rFonts w:ascii="宋体" w:hAnsi="宋体" w:eastAsia="宋体" w:cs="宋体"/>
          <w:spacing w:val="6"/>
          <w:sz w:val="20"/>
          <w:szCs w:val="20"/>
        </w:rPr>
        <w:t>3.</w:t>
      </w:r>
      <w:r>
        <w:rPr>
          <w:rFonts w:ascii="宋体" w:hAnsi="宋体" w:eastAsia="宋体" w:cs="宋体"/>
          <w:spacing w:val="31"/>
          <w:sz w:val="20"/>
          <w:szCs w:val="20"/>
        </w:rPr>
        <w:t xml:space="preserve"> </w:t>
      </w:r>
      <w:r>
        <w:rPr>
          <w:rFonts w:ascii="宋体" w:hAnsi="宋体" w:eastAsia="宋体" w:cs="宋体"/>
          <w:spacing w:val="6"/>
          <w:sz w:val="20"/>
          <w:szCs w:val="20"/>
        </w:rPr>
        <w:t>电机检查接线中微型电机的类型包括不超过</w:t>
      </w:r>
      <w:r>
        <w:rPr>
          <w:rFonts w:ascii="宋体" w:hAnsi="宋体" w:eastAsia="宋体" w:cs="宋体"/>
          <w:spacing w:val="-40"/>
          <w:sz w:val="20"/>
          <w:szCs w:val="20"/>
        </w:rPr>
        <w:t xml:space="preserve"> </w:t>
      </w:r>
      <w:r>
        <w:rPr>
          <w:rFonts w:ascii="宋体" w:hAnsi="宋体" w:eastAsia="宋体" w:cs="宋体"/>
          <w:spacing w:val="6"/>
          <w:sz w:val="20"/>
          <w:szCs w:val="20"/>
        </w:rPr>
        <w:t>0.75</w:t>
      </w:r>
      <w:r>
        <w:rPr>
          <w:rFonts w:ascii="宋体" w:hAnsi="宋体" w:eastAsia="宋体" w:cs="宋体"/>
          <w:sz w:val="20"/>
          <w:szCs w:val="20"/>
        </w:rPr>
        <w:t>kW</w:t>
      </w:r>
      <w:r>
        <w:rPr>
          <w:rFonts w:ascii="宋体" w:hAnsi="宋体" w:eastAsia="宋体" w:cs="宋体"/>
          <w:spacing w:val="-24"/>
          <w:sz w:val="20"/>
          <w:szCs w:val="20"/>
        </w:rPr>
        <w:t xml:space="preserve"> </w:t>
      </w:r>
      <w:r>
        <w:rPr>
          <w:rFonts w:ascii="宋体" w:hAnsi="宋体" w:eastAsia="宋体" w:cs="宋体"/>
          <w:spacing w:val="6"/>
          <w:sz w:val="20"/>
          <w:szCs w:val="20"/>
        </w:rPr>
        <w:t>的小功率驱动微型电机、控制</w:t>
      </w:r>
      <w:r>
        <w:rPr>
          <w:rFonts w:ascii="宋体" w:hAnsi="宋体" w:eastAsia="宋体" w:cs="宋体"/>
          <w:spacing w:val="5"/>
          <w:sz w:val="20"/>
          <w:szCs w:val="20"/>
        </w:rPr>
        <w:t>微型电机、</w:t>
      </w:r>
      <w:r>
        <w:rPr>
          <w:rFonts w:ascii="宋体" w:hAnsi="宋体" w:eastAsia="宋体" w:cs="宋体"/>
          <w:spacing w:val="6"/>
          <w:sz w:val="20"/>
          <w:szCs w:val="20"/>
        </w:rPr>
        <w:t>电源微型电机三类。</w:t>
      </w:r>
    </w:p>
    <w:p>
      <w:pPr>
        <w:spacing w:before="138" w:line="278" w:lineRule="exact"/>
        <w:ind w:left="420"/>
        <w:rPr>
          <w:rFonts w:ascii="宋体" w:hAnsi="宋体" w:eastAsia="宋体" w:cs="宋体"/>
          <w:sz w:val="20"/>
          <w:szCs w:val="20"/>
        </w:rPr>
      </w:pPr>
      <w:r>
        <w:rPr>
          <w:rFonts w:ascii="宋体" w:hAnsi="宋体" w:eastAsia="宋体" w:cs="宋体"/>
          <w:spacing w:val="5"/>
          <w:position w:val="1"/>
          <w:sz w:val="20"/>
          <w:szCs w:val="20"/>
        </w:rPr>
        <w:t>4. 开关盒、插座盒按接线盒编码列项。</w:t>
      </w:r>
    </w:p>
    <w:p>
      <w:pPr>
        <w:spacing w:before="104" w:line="223" w:lineRule="auto"/>
        <w:ind w:left="421"/>
        <w:rPr>
          <w:rFonts w:ascii="宋体" w:hAnsi="宋体" w:eastAsia="宋体" w:cs="宋体"/>
          <w:sz w:val="20"/>
          <w:szCs w:val="20"/>
        </w:rPr>
      </w:pPr>
      <w:r>
        <w:rPr>
          <w:rFonts w:ascii="宋体" w:hAnsi="宋体" w:eastAsia="宋体" w:cs="宋体"/>
          <w:b/>
          <w:bCs/>
          <w:spacing w:val="8"/>
          <w:sz w:val="20"/>
          <w:szCs w:val="20"/>
        </w:rPr>
        <w:t>六、建筑智能化工程</w:t>
      </w:r>
    </w:p>
    <w:p>
      <w:pPr>
        <w:spacing w:before="137" w:line="277" w:lineRule="exact"/>
        <w:ind w:left="440"/>
        <w:rPr>
          <w:rFonts w:ascii="宋体" w:hAnsi="宋体" w:eastAsia="宋体" w:cs="宋体"/>
          <w:sz w:val="20"/>
          <w:szCs w:val="20"/>
        </w:rPr>
      </w:pPr>
      <w:r>
        <w:rPr>
          <w:rFonts w:ascii="宋体" w:hAnsi="宋体" w:eastAsia="宋体" w:cs="宋体"/>
          <w:spacing w:val="7"/>
          <w:position w:val="1"/>
          <w:sz w:val="20"/>
          <w:szCs w:val="20"/>
        </w:rPr>
        <w:t>1. 本章与本标准附录</w:t>
      </w:r>
      <w:r>
        <w:rPr>
          <w:rFonts w:ascii="宋体" w:hAnsi="宋体" w:eastAsia="宋体" w:cs="宋体"/>
          <w:spacing w:val="-33"/>
          <w:position w:val="1"/>
          <w:sz w:val="20"/>
          <w:szCs w:val="20"/>
        </w:rPr>
        <w:t xml:space="preserve"> </w:t>
      </w:r>
      <w:r>
        <w:rPr>
          <w:rFonts w:ascii="宋体" w:hAnsi="宋体" w:eastAsia="宋体" w:cs="宋体"/>
          <w:spacing w:val="7"/>
          <w:position w:val="1"/>
          <w:sz w:val="20"/>
          <w:szCs w:val="20"/>
        </w:rPr>
        <w:t>L</w:t>
      </w:r>
      <w:r>
        <w:rPr>
          <w:rFonts w:ascii="宋体" w:hAnsi="宋体" w:eastAsia="宋体" w:cs="宋体"/>
          <w:spacing w:val="-43"/>
          <w:position w:val="1"/>
          <w:sz w:val="20"/>
          <w:szCs w:val="20"/>
        </w:rPr>
        <w:t xml:space="preserve"> </w:t>
      </w:r>
      <w:r>
        <w:rPr>
          <w:rFonts w:ascii="宋体" w:hAnsi="宋体" w:eastAsia="宋体" w:cs="宋体"/>
          <w:spacing w:val="7"/>
          <w:position w:val="1"/>
          <w:sz w:val="20"/>
          <w:szCs w:val="20"/>
        </w:rPr>
        <w:t>通信设备及线路工程的界限以总平第一口弱电井为界，该弱电井内的归</w:t>
      </w:r>
    </w:p>
    <w:p>
      <w:pPr>
        <w:spacing w:line="277" w:lineRule="exact"/>
        <w:rPr>
          <w:rFonts w:ascii="宋体" w:hAnsi="宋体" w:eastAsia="宋体" w:cs="宋体"/>
          <w:sz w:val="20"/>
          <w:szCs w:val="20"/>
        </w:rPr>
        <w:sectPr>
          <w:footerReference r:id="rId94" w:type="default"/>
          <w:pgSz w:w="11905" w:h="16840"/>
          <w:pgMar w:top="400" w:right="1338" w:bottom="1213" w:left="1418" w:header="0" w:footer="898" w:gutter="0"/>
        </w:sect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before="65" w:line="219" w:lineRule="auto"/>
        <w:ind w:left="1"/>
        <w:rPr>
          <w:rFonts w:ascii="宋体" w:hAnsi="宋体" w:eastAsia="宋体" w:cs="宋体"/>
          <w:sz w:val="20"/>
          <w:szCs w:val="20"/>
        </w:rPr>
      </w:pPr>
      <w:r>
        <w:rPr>
          <w:rFonts w:ascii="宋体" w:hAnsi="宋体" w:eastAsia="宋体" w:cs="宋体"/>
          <w:spacing w:val="7"/>
          <w:sz w:val="20"/>
          <w:szCs w:val="20"/>
        </w:rPr>
        <w:t>入本章范围。</w:t>
      </w:r>
    </w:p>
    <w:p>
      <w:pPr>
        <w:spacing w:before="136" w:line="288" w:lineRule="auto"/>
        <w:ind w:left="2" w:right="182" w:firstLine="420"/>
        <w:rPr>
          <w:rFonts w:ascii="宋体" w:hAnsi="宋体" w:eastAsia="宋体" w:cs="宋体"/>
          <w:sz w:val="20"/>
          <w:szCs w:val="20"/>
        </w:rPr>
      </w:pPr>
      <w:r>
        <w:rPr>
          <w:rFonts w:ascii="宋体" w:hAnsi="宋体" w:eastAsia="宋体" w:cs="宋体"/>
          <w:spacing w:val="8"/>
          <w:sz w:val="20"/>
          <w:szCs w:val="20"/>
        </w:rPr>
        <w:t>2. 本章说明的建筑智能化工程相关的电气设备、电气器件、蓄电池组、防雷接地系统、立杆工</w:t>
      </w:r>
      <w:r>
        <w:rPr>
          <w:rFonts w:ascii="宋体" w:hAnsi="宋体" w:eastAsia="宋体" w:cs="宋体"/>
          <w:spacing w:val="10"/>
          <w:sz w:val="20"/>
          <w:szCs w:val="20"/>
        </w:rPr>
        <w:t>程、配管工程、线槽、桥架和接线盒等应按本</w:t>
      </w:r>
      <w:r>
        <w:rPr>
          <w:rFonts w:ascii="宋体" w:hAnsi="宋体" w:eastAsia="宋体" w:cs="宋体"/>
          <w:spacing w:val="9"/>
          <w:sz w:val="20"/>
          <w:szCs w:val="20"/>
        </w:rPr>
        <w:t>标准附录</w:t>
      </w:r>
      <w:r>
        <w:rPr>
          <w:rFonts w:ascii="宋体" w:hAnsi="宋体" w:eastAsia="宋体" w:cs="宋体"/>
          <w:spacing w:val="-36"/>
          <w:sz w:val="20"/>
          <w:szCs w:val="20"/>
        </w:rPr>
        <w:t xml:space="preserve"> </w:t>
      </w:r>
      <w:r>
        <w:rPr>
          <w:rFonts w:ascii="宋体" w:hAnsi="宋体" w:eastAsia="宋体" w:cs="宋体"/>
          <w:spacing w:val="9"/>
          <w:sz w:val="20"/>
          <w:szCs w:val="20"/>
        </w:rPr>
        <w:t>D</w:t>
      </w:r>
      <w:r>
        <w:rPr>
          <w:rFonts w:ascii="宋体" w:hAnsi="宋体" w:eastAsia="宋体" w:cs="宋体"/>
          <w:spacing w:val="-24"/>
          <w:sz w:val="20"/>
          <w:szCs w:val="20"/>
        </w:rPr>
        <w:t xml:space="preserve"> </w:t>
      </w:r>
      <w:r>
        <w:rPr>
          <w:rFonts w:ascii="宋体" w:hAnsi="宋体" w:eastAsia="宋体" w:cs="宋体"/>
          <w:spacing w:val="9"/>
          <w:sz w:val="20"/>
          <w:szCs w:val="20"/>
        </w:rPr>
        <w:t>电气设备安装工程的相应项目编码列项。</w:t>
      </w:r>
    </w:p>
    <w:p>
      <w:pPr>
        <w:spacing w:before="137" w:line="303" w:lineRule="auto"/>
        <w:ind w:left="3" w:right="182" w:firstLine="423"/>
        <w:rPr>
          <w:rFonts w:ascii="宋体" w:hAnsi="宋体" w:eastAsia="宋体" w:cs="宋体"/>
          <w:sz w:val="20"/>
          <w:szCs w:val="20"/>
        </w:rPr>
      </w:pPr>
      <w:r>
        <w:rPr>
          <w:rFonts w:ascii="宋体" w:hAnsi="宋体" w:eastAsia="宋体" w:cs="宋体"/>
          <w:spacing w:val="8"/>
          <w:sz w:val="20"/>
          <w:szCs w:val="20"/>
        </w:rPr>
        <w:t>3. 缆线应有余量以适应成端、终接、检测和变更，线缆的附加及预留长度应按下列</w:t>
      </w:r>
      <w:r>
        <w:rPr>
          <w:rFonts w:ascii="宋体" w:hAnsi="宋体" w:eastAsia="宋体" w:cs="宋体"/>
          <w:spacing w:val="7"/>
          <w:sz w:val="20"/>
          <w:szCs w:val="20"/>
        </w:rPr>
        <w:t>规则计入线</w:t>
      </w:r>
      <w:r>
        <w:rPr>
          <w:rFonts w:ascii="宋体" w:hAnsi="宋体" w:eastAsia="宋体" w:cs="宋体"/>
          <w:spacing w:val="9"/>
          <w:sz w:val="20"/>
          <w:szCs w:val="20"/>
        </w:rPr>
        <w:t>缆工程量内，有特殊要求的应按设计要求计算预留长度：</w:t>
      </w:r>
    </w:p>
    <w:p>
      <w:pPr>
        <w:spacing w:before="101" w:line="305" w:lineRule="auto"/>
        <w:ind w:left="1" w:right="182" w:firstLine="411"/>
        <w:rPr>
          <w:rFonts w:ascii="宋体" w:hAnsi="宋体" w:eastAsia="宋体" w:cs="宋体"/>
          <w:sz w:val="20"/>
          <w:szCs w:val="20"/>
        </w:rPr>
      </w:pPr>
      <w:r>
        <w:rPr>
          <w:rFonts w:ascii="宋体" w:hAnsi="宋体" w:eastAsia="宋体" w:cs="宋体"/>
          <w:spacing w:val="6"/>
          <w:sz w:val="20"/>
          <w:szCs w:val="20"/>
        </w:rPr>
        <w:t>（1）对绞电缆(含双绞线)预留长度：在工作区为</w:t>
      </w:r>
      <w:r>
        <w:rPr>
          <w:rFonts w:ascii="宋体" w:hAnsi="宋体" w:eastAsia="宋体" w:cs="宋体"/>
          <w:spacing w:val="-35"/>
          <w:sz w:val="20"/>
          <w:szCs w:val="20"/>
        </w:rPr>
        <w:t xml:space="preserve"> </w:t>
      </w:r>
      <w:r>
        <w:rPr>
          <w:rFonts w:ascii="宋体" w:hAnsi="宋体" w:eastAsia="宋体" w:cs="宋体"/>
          <w:spacing w:val="6"/>
          <w:sz w:val="20"/>
          <w:szCs w:val="20"/>
        </w:rPr>
        <w:t>30</w:t>
      </w:r>
      <w:r>
        <w:rPr>
          <w:rFonts w:ascii="宋体" w:hAnsi="宋体" w:eastAsia="宋体" w:cs="宋体"/>
          <w:sz w:val="20"/>
          <w:szCs w:val="20"/>
        </w:rPr>
        <w:t>cm</w:t>
      </w:r>
      <w:r>
        <w:rPr>
          <w:rFonts w:ascii="宋体" w:hAnsi="宋体" w:eastAsia="宋体" w:cs="宋体"/>
          <w:spacing w:val="6"/>
          <w:sz w:val="20"/>
          <w:szCs w:val="20"/>
        </w:rPr>
        <w:t>，插座底盒内为</w:t>
      </w:r>
      <w:r>
        <w:rPr>
          <w:rFonts w:ascii="宋体" w:hAnsi="宋体" w:eastAsia="宋体" w:cs="宋体"/>
          <w:spacing w:val="-36"/>
          <w:sz w:val="20"/>
          <w:szCs w:val="20"/>
        </w:rPr>
        <w:t xml:space="preserve"> </w:t>
      </w:r>
      <w:r>
        <w:rPr>
          <w:rFonts w:ascii="宋体" w:hAnsi="宋体" w:eastAsia="宋体" w:cs="宋体"/>
          <w:spacing w:val="6"/>
          <w:sz w:val="20"/>
          <w:szCs w:val="20"/>
        </w:rPr>
        <w:t>3</w:t>
      </w:r>
      <w:r>
        <w:rPr>
          <w:rFonts w:ascii="宋体" w:hAnsi="宋体" w:eastAsia="宋体" w:cs="宋体"/>
          <w:sz w:val="20"/>
          <w:szCs w:val="20"/>
        </w:rPr>
        <w:t>cm</w:t>
      </w:r>
      <w:r>
        <w:rPr>
          <w:rFonts w:ascii="宋体" w:hAnsi="宋体" w:eastAsia="宋体" w:cs="宋体"/>
          <w:spacing w:val="6"/>
          <w:sz w:val="20"/>
          <w:szCs w:val="20"/>
        </w:rPr>
        <w:t>，电信间为</w:t>
      </w:r>
      <w:r>
        <w:rPr>
          <w:rFonts w:ascii="宋体" w:hAnsi="宋体" w:eastAsia="宋体" w:cs="宋体"/>
          <w:spacing w:val="-40"/>
          <w:sz w:val="20"/>
          <w:szCs w:val="20"/>
        </w:rPr>
        <w:t xml:space="preserve"> </w:t>
      </w:r>
      <w:r>
        <w:rPr>
          <w:rFonts w:ascii="宋体" w:hAnsi="宋体" w:eastAsia="宋体" w:cs="宋体"/>
          <w:spacing w:val="6"/>
          <w:sz w:val="20"/>
          <w:szCs w:val="20"/>
        </w:rPr>
        <w:t>0.5m，设</w:t>
      </w:r>
      <w:r>
        <w:rPr>
          <w:rFonts w:ascii="宋体" w:hAnsi="宋体" w:eastAsia="宋体" w:cs="宋体"/>
          <w:spacing w:val="11"/>
          <w:sz w:val="20"/>
          <w:szCs w:val="20"/>
        </w:rPr>
        <w:t>备间为</w:t>
      </w:r>
      <w:r>
        <w:rPr>
          <w:rFonts w:ascii="宋体" w:hAnsi="宋体" w:eastAsia="宋体" w:cs="宋体"/>
          <w:spacing w:val="-34"/>
          <w:sz w:val="20"/>
          <w:szCs w:val="20"/>
        </w:rPr>
        <w:t xml:space="preserve"> </w:t>
      </w:r>
      <w:r>
        <w:rPr>
          <w:rFonts w:ascii="宋体" w:hAnsi="宋体" w:eastAsia="宋体" w:cs="宋体"/>
          <w:spacing w:val="11"/>
          <w:sz w:val="20"/>
          <w:szCs w:val="20"/>
        </w:rPr>
        <w:t>3m；</w:t>
      </w:r>
    </w:p>
    <w:p>
      <w:pPr>
        <w:spacing w:before="99" w:line="309" w:lineRule="auto"/>
        <w:ind w:right="182" w:firstLine="413"/>
        <w:rPr>
          <w:rFonts w:ascii="宋体" w:hAnsi="宋体" w:eastAsia="宋体" w:cs="宋体"/>
          <w:sz w:val="20"/>
          <w:szCs w:val="20"/>
        </w:rPr>
      </w:pPr>
      <w:r>
        <w:rPr>
          <w:rFonts w:ascii="宋体" w:hAnsi="宋体" w:eastAsia="宋体" w:cs="宋体"/>
          <w:spacing w:val="10"/>
          <w:sz w:val="20"/>
          <w:szCs w:val="20"/>
        </w:rPr>
        <w:t>（2）光缆布放路由盘留，预留长度为</w:t>
      </w:r>
      <w:r>
        <w:rPr>
          <w:rFonts w:ascii="宋体" w:hAnsi="宋体" w:eastAsia="宋体" w:cs="宋体"/>
          <w:spacing w:val="-38"/>
          <w:sz w:val="20"/>
          <w:szCs w:val="20"/>
        </w:rPr>
        <w:t xml:space="preserve"> </w:t>
      </w:r>
      <w:r>
        <w:rPr>
          <w:rFonts w:ascii="宋体" w:hAnsi="宋体" w:eastAsia="宋体" w:cs="宋体"/>
          <w:spacing w:val="10"/>
          <w:sz w:val="20"/>
          <w:szCs w:val="20"/>
        </w:rPr>
        <w:t>3m，光缆在配线柜处预留长度为</w:t>
      </w:r>
      <w:r>
        <w:rPr>
          <w:rFonts w:ascii="宋体" w:hAnsi="宋体" w:eastAsia="宋体" w:cs="宋体"/>
          <w:spacing w:val="-36"/>
          <w:sz w:val="20"/>
          <w:szCs w:val="20"/>
        </w:rPr>
        <w:t xml:space="preserve"> </w:t>
      </w:r>
      <w:r>
        <w:rPr>
          <w:rFonts w:ascii="宋体" w:hAnsi="宋体" w:eastAsia="宋体" w:cs="宋体"/>
          <w:spacing w:val="10"/>
          <w:sz w:val="20"/>
          <w:szCs w:val="20"/>
        </w:rPr>
        <w:t>3m，楼层配线箱</w:t>
      </w:r>
      <w:r>
        <w:rPr>
          <w:rFonts w:ascii="宋体" w:hAnsi="宋体" w:eastAsia="宋体" w:cs="宋体"/>
          <w:spacing w:val="9"/>
          <w:sz w:val="20"/>
          <w:szCs w:val="20"/>
        </w:rPr>
        <w:t>处光纤</w:t>
      </w:r>
      <w:r>
        <w:rPr>
          <w:rFonts w:ascii="宋体" w:hAnsi="宋体" w:eastAsia="宋体" w:cs="宋体"/>
          <w:spacing w:val="8"/>
          <w:sz w:val="20"/>
          <w:szCs w:val="20"/>
        </w:rPr>
        <w:t>预留长度为</w:t>
      </w:r>
      <w:r>
        <w:rPr>
          <w:rFonts w:ascii="宋体" w:hAnsi="宋体" w:eastAsia="宋体" w:cs="宋体"/>
          <w:spacing w:val="-10"/>
          <w:sz w:val="20"/>
          <w:szCs w:val="20"/>
        </w:rPr>
        <w:t xml:space="preserve"> </w:t>
      </w:r>
      <w:r>
        <w:rPr>
          <w:rFonts w:ascii="宋体" w:hAnsi="宋体" w:eastAsia="宋体" w:cs="宋体"/>
          <w:spacing w:val="8"/>
          <w:sz w:val="20"/>
          <w:szCs w:val="20"/>
        </w:rPr>
        <w:t>1.0m，配线箱终接时预留长度为0.5m，光缆纤芯在配线模块处不做终接时，应保留光缆</w:t>
      </w:r>
      <w:r>
        <w:rPr>
          <w:rFonts w:ascii="宋体" w:hAnsi="宋体" w:eastAsia="宋体" w:cs="宋体"/>
          <w:spacing w:val="7"/>
          <w:sz w:val="20"/>
          <w:szCs w:val="20"/>
        </w:rPr>
        <w:t>施工预留长度。</w:t>
      </w:r>
    </w:p>
    <w:p>
      <w:pPr>
        <w:spacing w:before="137" w:line="277" w:lineRule="exact"/>
        <w:ind w:left="420"/>
        <w:rPr>
          <w:rFonts w:ascii="宋体" w:hAnsi="宋体" w:eastAsia="宋体" w:cs="宋体"/>
          <w:sz w:val="20"/>
          <w:szCs w:val="20"/>
        </w:rPr>
      </w:pPr>
      <w:r>
        <w:rPr>
          <w:rFonts w:ascii="宋体" w:hAnsi="宋体" w:eastAsia="宋体" w:cs="宋体"/>
          <w:spacing w:val="6"/>
          <w:position w:val="1"/>
          <w:sz w:val="20"/>
          <w:szCs w:val="20"/>
        </w:rPr>
        <w:t>4. 本章的设备安装是按成套购置考虑，其工作内</w:t>
      </w:r>
      <w:r>
        <w:rPr>
          <w:rFonts w:ascii="宋体" w:hAnsi="宋体" w:eastAsia="宋体" w:cs="宋体"/>
          <w:spacing w:val="5"/>
          <w:position w:val="1"/>
          <w:sz w:val="20"/>
          <w:szCs w:val="20"/>
        </w:rPr>
        <w:t>容应包括构件、标准件、附件和设备内部连线。</w:t>
      </w:r>
    </w:p>
    <w:p>
      <w:pPr>
        <w:spacing w:before="105" w:line="222" w:lineRule="auto"/>
        <w:ind w:left="420"/>
        <w:rPr>
          <w:rFonts w:ascii="宋体" w:hAnsi="宋体" w:eastAsia="宋体" w:cs="宋体"/>
          <w:sz w:val="20"/>
          <w:szCs w:val="20"/>
        </w:rPr>
      </w:pPr>
      <w:r>
        <w:rPr>
          <w:rFonts w:ascii="宋体" w:hAnsi="宋体" w:eastAsia="宋体" w:cs="宋体"/>
          <w:b/>
          <w:bCs/>
          <w:spacing w:val="5"/>
          <w:sz w:val="20"/>
          <w:szCs w:val="20"/>
        </w:rPr>
        <w:t>七、</w:t>
      </w:r>
      <w:r>
        <w:rPr>
          <w:rFonts w:ascii="宋体" w:hAnsi="宋体" w:eastAsia="宋体" w:cs="宋体"/>
          <w:spacing w:val="-58"/>
          <w:sz w:val="20"/>
          <w:szCs w:val="20"/>
        </w:rPr>
        <w:t xml:space="preserve"> </w:t>
      </w:r>
      <w:r>
        <w:rPr>
          <w:rFonts w:ascii="宋体" w:hAnsi="宋体" w:eastAsia="宋体" w:cs="宋体"/>
          <w:b/>
          <w:bCs/>
          <w:spacing w:val="5"/>
          <w:sz w:val="20"/>
          <w:szCs w:val="20"/>
        </w:rPr>
        <w:t>自动化控制仪表安装工程</w:t>
      </w:r>
    </w:p>
    <w:p>
      <w:pPr>
        <w:spacing w:before="137" w:line="287" w:lineRule="auto"/>
        <w:ind w:left="2" w:right="182" w:firstLine="437"/>
        <w:rPr>
          <w:rFonts w:ascii="宋体" w:hAnsi="宋体" w:eastAsia="宋体" w:cs="宋体"/>
          <w:sz w:val="20"/>
          <w:szCs w:val="20"/>
        </w:rPr>
      </w:pPr>
      <w:r>
        <w:rPr>
          <w:rFonts w:ascii="宋体" w:hAnsi="宋体" w:eastAsia="宋体" w:cs="宋体"/>
          <w:spacing w:val="7"/>
          <w:sz w:val="20"/>
          <w:szCs w:val="20"/>
        </w:rPr>
        <w:t>1. 工厂对讲系统只适用于工业用途的建设项目，民用对讲系统应按本标准附录</w:t>
      </w:r>
      <w:r>
        <w:rPr>
          <w:rFonts w:ascii="宋体" w:hAnsi="宋体" w:eastAsia="宋体" w:cs="宋体"/>
          <w:spacing w:val="-32"/>
          <w:sz w:val="20"/>
          <w:szCs w:val="20"/>
        </w:rPr>
        <w:t xml:space="preserve"> </w:t>
      </w:r>
      <w:r>
        <w:rPr>
          <w:rFonts w:ascii="宋体" w:hAnsi="宋体" w:eastAsia="宋体" w:cs="宋体"/>
          <w:spacing w:val="7"/>
          <w:sz w:val="20"/>
          <w:szCs w:val="20"/>
        </w:rPr>
        <w:t>E</w:t>
      </w:r>
      <w:r>
        <w:rPr>
          <w:rFonts w:ascii="宋体" w:hAnsi="宋体" w:eastAsia="宋体" w:cs="宋体"/>
          <w:spacing w:val="-44"/>
          <w:sz w:val="20"/>
          <w:szCs w:val="20"/>
        </w:rPr>
        <w:t xml:space="preserve"> </w:t>
      </w:r>
      <w:r>
        <w:rPr>
          <w:rFonts w:ascii="宋体" w:hAnsi="宋体" w:eastAsia="宋体" w:cs="宋体"/>
          <w:spacing w:val="7"/>
          <w:sz w:val="20"/>
          <w:szCs w:val="20"/>
        </w:rPr>
        <w:t>建筑智能化工</w:t>
      </w:r>
      <w:r>
        <w:rPr>
          <w:rFonts w:ascii="宋体" w:hAnsi="宋体" w:eastAsia="宋体" w:cs="宋体"/>
          <w:spacing w:val="8"/>
          <w:sz w:val="20"/>
          <w:szCs w:val="20"/>
        </w:rPr>
        <w:t>程的相应项目编码列项。</w:t>
      </w:r>
    </w:p>
    <w:p>
      <w:pPr>
        <w:spacing w:before="138" w:line="277" w:lineRule="exact"/>
        <w:ind w:left="423"/>
        <w:rPr>
          <w:rFonts w:ascii="宋体" w:hAnsi="宋体" w:eastAsia="宋体" w:cs="宋体"/>
          <w:sz w:val="20"/>
          <w:szCs w:val="20"/>
        </w:rPr>
      </w:pPr>
      <w:r>
        <w:rPr>
          <w:rFonts w:ascii="宋体" w:hAnsi="宋体" w:eastAsia="宋体" w:cs="宋体"/>
          <w:spacing w:val="8"/>
          <w:position w:val="1"/>
          <w:sz w:val="20"/>
          <w:szCs w:val="20"/>
        </w:rPr>
        <w:t>2. 对于配套节流装置的仪表工作内容应包含节流装置吹扫后的二</w:t>
      </w:r>
      <w:r>
        <w:rPr>
          <w:rFonts w:ascii="宋体" w:hAnsi="宋体" w:eastAsia="宋体" w:cs="宋体"/>
          <w:spacing w:val="7"/>
          <w:position w:val="1"/>
          <w:sz w:val="20"/>
          <w:szCs w:val="20"/>
        </w:rPr>
        <w:t>次清理和二次安装。</w:t>
      </w:r>
    </w:p>
    <w:p>
      <w:pPr>
        <w:spacing w:before="104" w:line="278" w:lineRule="exact"/>
        <w:ind w:left="426"/>
        <w:rPr>
          <w:rFonts w:ascii="宋体" w:hAnsi="宋体" w:eastAsia="宋体" w:cs="宋体"/>
          <w:sz w:val="20"/>
          <w:szCs w:val="20"/>
        </w:rPr>
      </w:pPr>
      <w:r>
        <w:rPr>
          <w:rFonts w:ascii="宋体" w:hAnsi="宋体" w:eastAsia="宋体" w:cs="宋体"/>
          <w:spacing w:val="6"/>
          <w:position w:val="1"/>
          <w:sz w:val="20"/>
          <w:szCs w:val="20"/>
        </w:rPr>
        <w:t>3. 对于核辐射仪表工作内容应包含核辐射仪表安全保护。</w:t>
      </w:r>
    </w:p>
    <w:p>
      <w:pPr>
        <w:spacing w:before="101" w:line="287" w:lineRule="auto"/>
        <w:ind w:right="182" w:firstLine="420"/>
        <w:rPr>
          <w:rFonts w:ascii="宋体" w:hAnsi="宋体" w:eastAsia="宋体" w:cs="宋体"/>
          <w:sz w:val="20"/>
          <w:szCs w:val="20"/>
        </w:rPr>
      </w:pPr>
      <w:r>
        <w:rPr>
          <w:rFonts w:ascii="宋体" w:hAnsi="宋体" w:eastAsia="宋体" w:cs="宋体"/>
          <w:spacing w:val="8"/>
          <w:sz w:val="20"/>
          <w:szCs w:val="20"/>
        </w:rPr>
        <w:t>4. 仪表导压管敷设工程量计算不扣除阀门、管件所占长度，电伴热电缆工程量计算不扣除伴热</w:t>
      </w:r>
      <w:r>
        <w:rPr>
          <w:rFonts w:ascii="宋体" w:hAnsi="宋体" w:eastAsia="宋体" w:cs="宋体"/>
          <w:spacing w:val="7"/>
          <w:sz w:val="20"/>
          <w:szCs w:val="20"/>
        </w:rPr>
        <w:t>元件所占长度。</w:t>
      </w:r>
    </w:p>
    <w:p>
      <w:pPr>
        <w:spacing w:before="151" w:line="213" w:lineRule="auto"/>
        <w:ind w:left="419"/>
        <w:rPr>
          <w:rFonts w:ascii="宋体" w:hAnsi="宋体" w:eastAsia="宋体" w:cs="宋体"/>
          <w:sz w:val="20"/>
          <w:szCs w:val="20"/>
        </w:rPr>
      </w:pPr>
      <w:r>
        <w:rPr>
          <w:rFonts w:ascii="宋体" w:hAnsi="宋体" w:eastAsia="宋体" w:cs="宋体"/>
          <w:b/>
          <w:bCs/>
          <w:spacing w:val="8"/>
          <w:sz w:val="20"/>
          <w:szCs w:val="20"/>
        </w:rPr>
        <w:t>八、通风空调工程</w:t>
      </w:r>
    </w:p>
    <w:p>
      <w:pPr>
        <w:spacing w:before="137" w:line="277" w:lineRule="exact"/>
        <w:ind w:left="440"/>
        <w:rPr>
          <w:rFonts w:ascii="宋体" w:hAnsi="宋体" w:eastAsia="宋体" w:cs="宋体"/>
          <w:sz w:val="20"/>
          <w:szCs w:val="20"/>
        </w:rPr>
      </w:pPr>
      <w:r>
        <w:rPr>
          <w:rFonts w:ascii="宋体" w:hAnsi="宋体" w:eastAsia="宋体" w:cs="宋体"/>
          <w:spacing w:val="7"/>
          <w:position w:val="1"/>
          <w:sz w:val="20"/>
          <w:szCs w:val="20"/>
        </w:rPr>
        <w:t>1. 通风空调工程的电气系统应按本标准附录</w:t>
      </w:r>
      <w:r>
        <w:rPr>
          <w:rFonts w:ascii="宋体" w:hAnsi="宋体" w:eastAsia="宋体" w:cs="宋体"/>
          <w:spacing w:val="-26"/>
          <w:position w:val="1"/>
          <w:sz w:val="20"/>
          <w:szCs w:val="20"/>
        </w:rPr>
        <w:t xml:space="preserve"> </w:t>
      </w:r>
      <w:r>
        <w:rPr>
          <w:rFonts w:ascii="宋体" w:hAnsi="宋体" w:eastAsia="宋体" w:cs="宋体"/>
          <w:spacing w:val="7"/>
          <w:position w:val="1"/>
          <w:sz w:val="20"/>
          <w:szCs w:val="20"/>
        </w:rPr>
        <w:t>D</w:t>
      </w:r>
      <w:r>
        <w:rPr>
          <w:rFonts w:ascii="宋体" w:hAnsi="宋体" w:eastAsia="宋体" w:cs="宋体"/>
          <w:spacing w:val="-23"/>
          <w:position w:val="1"/>
          <w:sz w:val="20"/>
          <w:szCs w:val="20"/>
        </w:rPr>
        <w:t xml:space="preserve"> </w:t>
      </w:r>
      <w:r>
        <w:rPr>
          <w:rFonts w:ascii="宋体" w:hAnsi="宋体" w:eastAsia="宋体" w:cs="宋体"/>
          <w:spacing w:val="7"/>
          <w:position w:val="1"/>
          <w:sz w:val="20"/>
          <w:szCs w:val="20"/>
        </w:rPr>
        <w:t>电气设备安装工程的相应项目编码列项。</w:t>
      </w:r>
    </w:p>
    <w:p>
      <w:pPr>
        <w:spacing w:before="101" w:line="287" w:lineRule="auto"/>
        <w:ind w:left="1" w:right="182" w:firstLine="421"/>
        <w:rPr>
          <w:rFonts w:ascii="宋体" w:hAnsi="宋体" w:eastAsia="宋体" w:cs="宋体"/>
          <w:sz w:val="20"/>
          <w:szCs w:val="20"/>
        </w:rPr>
      </w:pPr>
      <w:r>
        <w:rPr>
          <w:rFonts w:ascii="宋体" w:hAnsi="宋体" w:eastAsia="宋体" w:cs="宋体"/>
          <w:spacing w:val="7"/>
          <w:sz w:val="20"/>
          <w:szCs w:val="20"/>
        </w:rPr>
        <w:t>2. 挡烟垂壁按现行国家标准《房屋建筑与装饰工程工程量计算标准》</w:t>
      </w:r>
      <w:r>
        <w:rPr>
          <w:rFonts w:ascii="宋体" w:hAnsi="宋体" w:eastAsia="宋体" w:cs="宋体"/>
          <w:sz w:val="20"/>
          <w:szCs w:val="20"/>
        </w:rPr>
        <w:t>GB</w:t>
      </w:r>
      <w:r>
        <w:rPr>
          <w:rFonts w:ascii="宋体" w:hAnsi="宋体" w:eastAsia="宋体" w:cs="宋体"/>
          <w:spacing w:val="7"/>
          <w:sz w:val="20"/>
          <w:szCs w:val="20"/>
        </w:rPr>
        <w:t>/T</w:t>
      </w:r>
      <w:r>
        <w:rPr>
          <w:rFonts w:ascii="宋体" w:hAnsi="宋体" w:eastAsia="宋体" w:cs="宋体"/>
          <w:spacing w:val="-32"/>
          <w:sz w:val="20"/>
          <w:szCs w:val="20"/>
        </w:rPr>
        <w:t xml:space="preserve"> </w:t>
      </w:r>
      <w:r>
        <w:rPr>
          <w:rFonts w:ascii="宋体" w:hAnsi="宋体" w:eastAsia="宋体" w:cs="宋体"/>
          <w:spacing w:val="7"/>
          <w:sz w:val="20"/>
          <w:szCs w:val="20"/>
        </w:rPr>
        <w:t>50854</w:t>
      </w:r>
      <w:r>
        <w:rPr>
          <w:rFonts w:ascii="宋体" w:hAnsi="宋体" w:eastAsia="宋体" w:cs="宋体"/>
          <w:spacing w:val="-40"/>
          <w:sz w:val="20"/>
          <w:szCs w:val="20"/>
        </w:rPr>
        <w:t xml:space="preserve"> </w:t>
      </w:r>
      <w:r>
        <w:rPr>
          <w:rFonts w:ascii="宋体" w:hAnsi="宋体" w:eastAsia="宋体" w:cs="宋体"/>
          <w:spacing w:val="7"/>
          <w:sz w:val="20"/>
          <w:szCs w:val="20"/>
        </w:rPr>
        <w:t>相应项目编码</w:t>
      </w:r>
      <w:r>
        <w:rPr>
          <w:rFonts w:ascii="宋体" w:hAnsi="宋体" w:eastAsia="宋体" w:cs="宋体"/>
          <w:spacing w:val="4"/>
          <w:sz w:val="20"/>
          <w:szCs w:val="20"/>
        </w:rPr>
        <w:t>列项。</w:t>
      </w:r>
    </w:p>
    <w:p>
      <w:pPr>
        <w:spacing w:before="140" w:line="277" w:lineRule="exact"/>
        <w:ind w:left="426"/>
        <w:rPr>
          <w:rFonts w:ascii="宋体" w:hAnsi="宋体" w:eastAsia="宋体" w:cs="宋体"/>
          <w:sz w:val="20"/>
          <w:szCs w:val="20"/>
        </w:rPr>
      </w:pPr>
      <w:r>
        <w:rPr>
          <w:rFonts w:ascii="宋体" w:hAnsi="宋体" w:eastAsia="宋体" w:cs="宋体"/>
          <w:spacing w:val="8"/>
          <w:position w:val="1"/>
          <w:sz w:val="20"/>
          <w:szCs w:val="20"/>
        </w:rPr>
        <w:t>3. 多联机室内机、空气幕均按风机盘管编码列项；多联机</w:t>
      </w:r>
      <w:r>
        <w:rPr>
          <w:rFonts w:ascii="宋体" w:hAnsi="宋体" w:eastAsia="宋体" w:cs="宋体"/>
          <w:spacing w:val="7"/>
          <w:position w:val="1"/>
          <w:sz w:val="20"/>
          <w:szCs w:val="20"/>
        </w:rPr>
        <w:t>室外机按空调器编码列项。</w:t>
      </w:r>
    </w:p>
    <w:p>
      <w:pPr>
        <w:spacing w:before="102" w:line="288" w:lineRule="auto"/>
        <w:ind w:right="190" w:firstLine="419"/>
        <w:rPr>
          <w:rFonts w:ascii="宋体" w:hAnsi="宋体" w:eastAsia="宋体" w:cs="宋体"/>
          <w:sz w:val="20"/>
          <w:szCs w:val="20"/>
        </w:rPr>
      </w:pPr>
      <w:r>
        <w:rPr>
          <w:rFonts w:ascii="宋体" w:hAnsi="宋体" w:eastAsia="宋体" w:cs="宋体"/>
          <w:spacing w:val="9"/>
          <w:sz w:val="20"/>
          <w:szCs w:val="20"/>
        </w:rPr>
        <w:t>4. 通风管道项目包括支吊架的制作、安装。若支吊架制作、安装需单列</w:t>
      </w:r>
      <w:r>
        <w:rPr>
          <w:rFonts w:ascii="宋体" w:hAnsi="宋体" w:eastAsia="宋体" w:cs="宋体"/>
          <w:spacing w:val="8"/>
          <w:sz w:val="20"/>
          <w:szCs w:val="20"/>
        </w:rPr>
        <w:t>的，应按本标准附录</w:t>
      </w:r>
      <w:r>
        <w:rPr>
          <w:rFonts w:ascii="宋体" w:hAnsi="宋体" w:eastAsia="宋体" w:cs="宋体"/>
          <w:spacing w:val="-39"/>
          <w:sz w:val="20"/>
          <w:szCs w:val="20"/>
        </w:rPr>
        <w:t xml:space="preserve"> </w:t>
      </w:r>
      <w:r>
        <w:rPr>
          <w:rFonts w:ascii="宋体" w:hAnsi="宋体" w:eastAsia="宋体" w:cs="宋体"/>
          <w:spacing w:val="8"/>
          <w:sz w:val="20"/>
          <w:szCs w:val="20"/>
        </w:rPr>
        <w:t>N</w:t>
      </w:r>
      <w:r>
        <w:rPr>
          <w:rFonts w:ascii="宋体" w:hAnsi="宋体" w:eastAsia="宋体" w:cs="宋体"/>
          <w:spacing w:val="9"/>
          <w:sz w:val="20"/>
          <w:szCs w:val="20"/>
        </w:rPr>
        <w:t>其他及附属工程的相应项目编码列项。</w:t>
      </w:r>
    </w:p>
    <w:p>
      <w:pPr>
        <w:spacing w:before="137" w:line="278" w:lineRule="exact"/>
        <w:ind w:left="423"/>
        <w:rPr>
          <w:rFonts w:ascii="宋体" w:hAnsi="宋体" w:eastAsia="宋体" w:cs="宋体"/>
          <w:sz w:val="20"/>
          <w:szCs w:val="20"/>
        </w:rPr>
      </w:pPr>
      <w:r>
        <w:rPr>
          <w:rFonts w:ascii="宋体" w:hAnsi="宋体" w:eastAsia="宋体" w:cs="宋体"/>
          <w:spacing w:val="7"/>
          <w:position w:val="1"/>
          <w:sz w:val="20"/>
          <w:szCs w:val="20"/>
        </w:rPr>
        <w:t>5. 风管漏光试验取消，漏风实验合并入通风工程检测、调试项目。</w:t>
      </w:r>
    </w:p>
    <w:p>
      <w:pPr>
        <w:spacing w:before="101" w:line="278" w:lineRule="exact"/>
        <w:ind w:left="423"/>
        <w:rPr>
          <w:rFonts w:ascii="宋体" w:hAnsi="宋体" w:eastAsia="宋体" w:cs="宋体"/>
          <w:sz w:val="20"/>
          <w:szCs w:val="20"/>
        </w:rPr>
      </w:pPr>
      <w:r>
        <w:rPr>
          <w:rFonts w:ascii="宋体" w:hAnsi="宋体" w:eastAsia="宋体" w:cs="宋体"/>
          <w:spacing w:val="7"/>
          <w:position w:val="1"/>
          <w:sz w:val="20"/>
          <w:szCs w:val="20"/>
        </w:rPr>
        <w:t>6. 通风工程检测、调试项目的系统指通风空调工程的全部风系统。</w:t>
      </w:r>
    </w:p>
    <w:p>
      <w:pPr>
        <w:spacing w:before="109" w:line="219" w:lineRule="auto"/>
        <w:ind w:left="423"/>
        <w:rPr>
          <w:rFonts w:ascii="宋体" w:hAnsi="宋体" w:eastAsia="宋体" w:cs="宋体"/>
          <w:sz w:val="20"/>
          <w:szCs w:val="20"/>
        </w:rPr>
      </w:pPr>
      <w:r>
        <w:rPr>
          <w:rFonts w:ascii="宋体" w:hAnsi="宋体" w:eastAsia="宋体" w:cs="宋体"/>
          <w:b/>
          <w:bCs/>
          <w:spacing w:val="7"/>
          <w:sz w:val="20"/>
          <w:szCs w:val="20"/>
        </w:rPr>
        <w:t>九、工业管道工程</w:t>
      </w:r>
    </w:p>
    <w:p>
      <w:pPr>
        <w:spacing w:before="128" w:line="292" w:lineRule="auto"/>
        <w:ind w:left="12" w:right="182" w:firstLine="427"/>
        <w:rPr>
          <w:rFonts w:ascii="宋体" w:hAnsi="宋体" w:eastAsia="宋体" w:cs="宋体"/>
          <w:sz w:val="20"/>
          <w:szCs w:val="20"/>
        </w:rPr>
      </w:pPr>
      <w:r>
        <w:rPr>
          <w:rFonts w:ascii="宋体" w:hAnsi="宋体" w:eastAsia="宋体" w:cs="宋体"/>
          <w:spacing w:val="7"/>
          <w:sz w:val="20"/>
          <w:szCs w:val="20"/>
        </w:rPr>
        <w:t>1. 厂区范围内的生活用给水、排水、蒸汽、燃气的管道安装工程应按本标准附录</w:t>
      </w:r>
      <w:r>
        <w:rPr>
          <w:rFonts w:ascii="宋体" w:hAnsi="宋体" w:eastAsia="宋体" w:cs="宋体"/>
          <w:spacing w:val="-36"/>
          <w:sz w:val="20"/>
          <w:szCs w:val="20"/>
        </w:rPr>
        <w:t xml:space="preserve"> </w:t>
      </w:r>
      <w:r>
        <w:rPr>
          <w:rFonts w:ascii="宋体" w:hAnsi="宋体" w:eastAsia="宋体" w:cs="宋体"/>
          <w:spacing w:val="7"/>
          <w:sz w:val="20"/>
          <w:szCs w:val="20"/>
        </w:rPr>
        <w:t>K</w:t>
      </w:r>
      <w:r>
        <w:rPr>
          <w:rFonts w:ascii="宋体" w:hAnsi="宋体" w:eastAsia="宋体" w:cs="宋体"/>
          <w:spacing w:val="-36"/>
          <w:sz w:val="20"/>
          <w:szCs w:val="20"/>
        </w:rPr>
        <w:t xml:space="preserve"> </w:t>
      </w:r>
      <w:r>
        <w:rPr>
          <w:rFonts w:ascii="宋体" w:hAnsi="宋体" w:eastAsia="宋体" w:cs="宋体"/>
          <w:spacing w:val="7"/>
          <w:sz w:val="20"/>
          <w:szCs w:val="20"/>
        </w:rPr>
        <w:t>给排</w:t>
      </w:r>
      <w:r>
        <w:rPr>
          <w:rFonts w:ascii="宋体" w:hAnsi="宋体" w:eastAsia="宋体" w:cs="宋体"/>
          <w:spacing w:val="6"/>
          <w:sz w:val="20"/>
          <w:szCs w:val="20"/>
        </w:rPr>
        <w:t>水、采</w:t>
      </w:r>
      <w:r>
        <w:rPr>
          <w:rFonts w:ascii="宋体" w:hAnsi="宋体" w:eastAsia="宋体" w:cs="宋体"/>
          <w:spacing w:val="8"/>
          <w:sz w:val="20"/>
          <w:szCs w:val="20"/>
        </w:rPr>
        <w:t>暖、燃气工程的相应项目编码列项。</w:t>
      </w:r>
    </w:p>
    <w:p>
      <w:pPr>
        <w:spacing w:before="136" w:line="286" w:lineRule="auto"/>
        <w:ind w:left="41" w:right="182" w:firstLine="381"/>
        <w:rPr>
          <w:rFonts w:ascii="宋体" w:hAnsi="宋体" w:eastAsia="宋体" w:cs="宋体"/>
          <w:sz w:val="20"/>
          <w:szCs w:val="20"/>
        </w:rPr>
      </w:pPr>
      <w:r>
        <w:rPr>
          <w:rFonts w:ascii="宋体" w:hAnsi="宋体" w:eastAsia="宋体" w:cs="宋体"/>
          <w:spacing w:val="8"/>
          <w:sz w:val="20"/>
          <w:szCs w:val="20"/>
        </w:rPr>
        <w:t>2. 组装平台搭拆、地下管道穿越建筑物保护等措施项目</w:t>
      </w:r>
      <w:r>
        <w:rPr>
          <w:rFonts w:ascii="宋体" w:hAnsi="宋体" w:eastAsia="宋体" w:cs="宋体"/>
          <w:spacing w:val="7"/>
          <w:sz w:val="20"/>
          <w:szCs w:val="20"/>
        </w:rPr>
        <w:t>，应按本标准附录</w:t>
      </w:r>
      <w:r>
        <w:rPr>
          <w:rFonts w:ascii="宋体" w:hAnsi="宋体" w:eastAsia="宋体" w:cs="宋体"/>
          <w:spacing w:val="-40"/>
          <w:sz w:val="20"/>
          <w:szCs w:val="20"/>
        </w:rPr>
        <w:t xml:space="preserve"> </w:t>
      </w:r>
      <w:r>
        <w:rPr>
          <w:rFonts w:ascii="宋体" w:hAnsi="宋体" w:eastAsia="宋体" w:cs="宋体"/>
          <w:spacing w:val="7"/>
          <w:sz w:val="20"/>
          <w:szCs w:val="20"/>
        </w:rPr>
        <w:t>P</w:t>
      </w:r>
      <w:r>
        <w:rPr>
          <w:rFonts w:ascii="宋体" w:hAnsi="宋体" w:eastAsia="宋体" w:cs="宋体"/>
          <w:spacing w:val="-44"/>
          <w:sz w:val="20"/>
          <w:szCs w:val="20"/>
        </w:rPr>
        <w:t xml:space="preserve"> </w:t>
      </w:r>
      <w:r>
        <w:rPr>
          <w:rFonts w:ascii="宋体" w:hAnsi="宋体" w:eastAsia="宋体" w:cs="宋体"/>
          <w:spacing w:val="7"/>
          <w:sz w:val="20"/>
          <w:szCs w:val="20"/>
        </w:rPr>
        <w:t>措施项目的相应项</w:t>
      </w:r>
      <w:r>
        <w:rPr>
          <w:rFonts w:ascii="宋体" w:hAnsi="宋体" w:eastAsia="宋体" w:cs="宋体"/>
          <w:sz w:val="20"/>
          <w:szCs w:val="20"/>
        </w:rPr>
        <w:t>目编码列项。</w:t>
      </w:r>
    </w:p>
    <w:p>
      <w:pPr>
        <w:spacing w:before="140" w:line="276" w:lineRule="exact"/>
        <w:jc w:val="right"/>
        <w:rPr>
          <w:rFonts w:ascii="宋体" w:hAnsi="宋体" w:eastAsia="宋体" w:cs="宋体"/>
          <w:sz w:val="20"/>
          <w:szCs w:val="20"/>
        </w:rPr>
      </w:pPr>
      <w:r>
        <w:rPr>
          <w:rFonts w:ascii="宋体" w:hAnsi="宋体" w:eastAsia="宋体" w:cs="宋体"/>
          <w:spacing w:val="7"/>
          <w:position w:val="1"/>
          <w:sz w:val="20"/>
          <w:szCs w:val="20"/>
        </w:rPr>
        <w:t>3. 高压管件中管件用法兰连接时应按本标准附录高压法兰的相关项目计算，不再计算管件项目。</w:t>
      </w:r>
    </w:p>
    <w:p>
      <w:pPr>
        <w:spacing w:before="97" w:line="286" w:lineRule="exact"/>
        <w:ind w:left="420"/>
        <w:rPr>
          <w:rFonts w:ascii="宋体" w:hAnsi="宋体" w:eastAsia="宋体" w:cs="宋体"/>
          <w:sz w:val="20"/>
          <w:szCs w:val="20"/>
        </w:rPr>
      </w:pPr>
      <w:r>
        <w:rPr>
          <w:rFonts w:ascii="宋体" w:hAnsi="宋体" w:eastAsia="宋体" w:cs="宋体"/>
          <w:spacing w:val="7"/>
          <w:position w:val="1"/>
          <w:sz w:val="20"/>
          <w:szCs w:val="20"/>
        </w:rPr>
        <w:t>4. 钢制排水漏斗制作安装，钢制排水漏斗的口径规格为下口公称直径。</w:t>
      </w:r>
    </w:p>
    <w:p>
      <w:pPr>
        <w:spacing w:before="109" w:line="217" w:lineRule="auto"/>
        <w:ind w:left="428"/>
        <w:rPr>
          <w:rFonts w:ascii="宋体" w:hAnsi="宋体" w:eastAsia="宋体" w:cs="宋体"/>
          <w:sz w:val="20"/>
          <w:szCs w:val="20"/>
        </w:rPr>
      </w:pPr>
      <w:r>
        <w:rPr>
          <w:rFonts w:ascii="宋体" w:hAnsi="宋体" w:eastAsia="宋体" w:cs="宋体"/>
          <w:b/>
          <w:bCs/>
          <w:spacing w:val="6"/>
          <w:sz w:val="20"/>
          <w:szCs w:val="20"/>
        </w:rPr>
        <w:t>十、消防工程</w:t>
      </w:r>
    </w:p>
    <w:p>
      <w:pPr>
        <w:spacing w:before="136" w:line="277" w:lineRule="exact"/>
        <w:ind w:left="440"/>
        <w:rPr>
          <w:rFonts w:ascii="宋体" w:hAnsi="宋体" w:eastAsia="宋体" w:cs="宋体"/>
          <w:sz w:val="20"/>
          <w:szCs w:val="20"/>
        </w:rPr>
      </w:pPr>
      <w:r>
        <w:rPr>
          <w:rFonts w:ascii="宋体" w:hAnsi="宋体" w:eastAsia="宋体" w:cs="宋体"/>
          <w:spacing w:val="8"/>
          <w:position w:val="1"/>
          <w:sz w:val="20"/>
          <w:szCs w:val="20"/>
        </w:rPr>
        <w:t>1. 泡沫灭火系统的管道、管件、阀门、法兰等应按</w:t>
      </w:r>
      <w:r>
        <w:rPr>
          <w:rFonts w:ascii="宋体" w:hAnsi="宋体" w:eastAsia="宋体" w:cs="宋体"/>
          <w:spacing w:val="7"/>
          <w:position w:val="1"/>
          <w:sz w:val="20"/>
          <w:szCs w:val="20"/>
        </w:rPr>
        <w:t>本标准附录</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H</w:t>
      </w:r>
      <w:r>
        <w:rPr>
          <w:rFonts w:ascii="宋体" w:hAnsi="宋体" w:eastAsia="宋体" w:cs="宋体"/>
          <w:spacing w:val="-27"/>
          <w:position w:val="1"/>
          <w:sz w:val="20"/>
          <w:szCs w:val="20"/>
        </w:rPr>
        <w:t xml:space="preserve"> </w:t>
      </w:r>
      <w:r>
        <w:rPr>
          <w:rFonts w:ascii="宋体" w:hAnsi="宋体" w:eastAsia="宋体" w:cs="宋体"/>
          <w:spacing w:val="7"/>
          <w:position w:val="1"/>
          <w:sz w:val="20"/>
          <w:szCs w:val="20"/>
        </w:rPr>
        <w:t>的相应项目编码列项。</w:t>
      </w:r>
    </w:p>
    <w:p>
      <w:pPr>
        <w:spacing w:before="105" w:line="277" w:lineRule="exact"/>
        <w:ind w:left="423"/>
        <w:rPr>
          <w:rFonts w:ascii="宋体" w:hAnsi="宋体" w:eastAsia="宋体" w:cs="宋体"/>
          <w:sz w:val="20"/>
          <w:szCs w:val="20"/>
        </w:rPr>
      </w:pPr>
      <w:r>
        <w:rPr>
          <w:rFonts w:ascii="宋体" w:hAnsi="宋体" w:eastAsia="宋体" w:cs="宋体"/>
          <w:spacing w:val="5"/>
          <w:position w:val="1"/>
          <w:sz w:val="20"/>
          <w:szCs w:val="20"/>
        </w:rPr>
        <w:t>2. 气体灭火系统中贮存装置内如需充装气体，应在项目特征内明确描述气体灭火剂品种、规格。</w:t>
      </w:r>
    </w:p>
    <w:p>
      <w:pPr>
        <w:spacing w:line="277" w:lineRule="exact"/>
        <w:rPr>
          <w:rFonts w:ascii="宋体" w:hAnsi="宋体" w:eastAsia="宋体" w:cs="宋体"/>
          <w:sz w:val="20"/>
          <w:szCs w:val="20"/>
        </w:rPr>
        <w:sectPr>
          <w:footerReference r:id="rId95" w:type="default"/>
          <w:pgSz w:w="11905" w:h="16840"/>
          <w:pgMar w:top="400" w:right="1237" w:bottom="1213" w:left="1418" w:header="0" w:footer="898" w:gutter="0"/>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before="65" w:line="277" w:lineRule="exact"/>
        <w:ind w:left="432"/>
        <w:rPr>
          <w:rFonts w:ascii="宋体" w:hAnsi="宋体" w:eastAsia="宋体" w:cs="宋体"/>
          <w:sz w:val="20"/>
          <w:szCs w:val="20"/>
        </w:rPr>
      </w:pPr>
      <w:bookmarkStart w:id="52" w:name="bookmark149"/>
      <w:bookmarkEnd w:id="52"/>
      <w:r>
        <w:rPr>
          <w:rFonts w:ascii="宋体" w:hAnsi="宋体" w:eastAsia="宋体" w:cs="宋体"/>
          <w:spacing w:val="5"/>
          <w:position w:val="1"/>
          <w:sz w:val="20"/>
          <w:szCs w:val="20"/>
        </w:rPr>
        <w:t>3. 消防警铃按本标准声光报警器编码列项。</w:t>
      </w:r>
    </w:p>
    <w:p>
      <w:pPr>
        <w:spacing w:before="101" w:line="303" w:lineRule="auto"/>
        <w:ind w:left="10" w:right="130" w:firstLine="416"/>
        <w:rPr>
          <w:rFonts w:ascii="宋体" w:hAnsi="宋体" w:eastAsia="宋体" w:cs="宋体"/>
          <w:sz w:val="20"/>
          <w:szCs w:val="20"/>
        </w:rPr>
      </w:pPr>
      <w:r>
        <w:rPr>
          <w:rFonts w:ascii="宋体" w:hAnsi="宋体" w:eastAsia="宋体" w:cs="宋体"/>
          <w:spacing w:val="8"/>
          <w:sz w:val="20"/>
          <w:szCs w:val="20"/>
        </w:rPr>
        <w:t>4. 消防系统调试中“按相应点数以系统</w:t>
      </w:r>
      <w:r>
        <w:rPr>
          <w:rFonts w:ascii="宋体" w:hAnsi="宋体" w:eastAsia="宋体" w:cs="宋体"/>
          <w:spacing w:val="7"/>
          <w:sz w:val="20"/>
          <w:szCs w:val="20"/>
        </w:rPr>
        <w:t>计算”</w:t>
      </w:r>
      <w:r>
        <w:rPr>
          <w:rFonts w:ascii="宋体" w:hAnsi="宋体" w:eastAsia="宋体" w:cs="宋体"/>
          <w:spacing w:val="-74"/>
          <w:sz w:val="20"/>
          <w:szCs w:val="20"/>
        </w:rPr>
        <w:t xml:space="preserve"> </w:t>
      </w:r>
      <w:r>
        <w:rPr>
          <w:rFonts w:ascii="宋体" w:hAnsi="宋体" w:eastAsia="宋体" w:cs="宋体"/>
          <w:spacing w:val="7"/>
          <w:sz w:val="20"/>
          <w:szCs w:val="20"/>
        </w:rPr>
        <w:t>，是指一台主机和所带设备器件为一个系统，其</w:t>
      </w:r>
      <w:r>
        <w:rPr>
          <w:rFonts w:ascii="宋体" w:hAnsi="宋体" w:eastAsia="宋体" w:cs="宋体"/>
          <w:spacing w:val="8"/>
          <w:sz w:val="20"/>
          <w:szCs w:val="20"/>
        </w:rPr>
        <w:t>点数为主机所带的设备器件数量。</w:t>
      </w:r>
    </w:p>
    <w:p>
      <w:pPr>
        <w:spacing w:before="96" w:line="233" w:lineRule="auto"/>
        <w:ind w:left="435"/>
        <w:rPr>
          <w:rFonts w:ascii="宋体" w:hAnsi="宋体" w:eastAsia="宋体" w:cs="宋体"/>
          <w:sz w:val="20"/>
          <w:szCs w:val="20"/>
        </w:rPr>
      </w:pPr>
      <w:r>
        <w:rPr>
          <w:rFonts w:ascii="宋体" w:hAnsi="宋体" w:eastAsia="宋体" w:cs="宋体"/>
          <w:b/>
          <w:bCs/>
          <w:spacing w:val="7"/>
          <w:sz w:val="20"/>
          <w:szCs w:val="20"/>
        </w:rPr>
        <w:t>十一、给排水、采暖、燃气工程</w:t>
      </w:r>
    </w:p>
    <w:p>
      <w:pPr>
        <w:spacing w:before="134" w:line="287" w:lineRule="auto"/>
        <w:ind w:left="4" w:right="131" w:firstLine="441"/>
        <w:rPr>
          <w:rFonts w:ascii="宋体" w:hAnsi="宋体" w:eastAsia="宋体" w:cs="宋体"/>
          <w:sz w:val="20"/>
          <w:szCs w:val="20"/>
        </w:rPr>
      </w:pPr>
      <w:r>
        <w:rPr>
          <w:rFonts w:ascii="宋体" w:hAnsi="宋体" w:eastAsia="宋体" w:cs="宋体"/>
          <w:spacing w:val="8"/>
          <w:sz w:val="20"/>
          <w:szCs w:val="20"/>
        </w:rPr>
        <w:t>1. 采暖管道室内外界限划分：以建筑物外墙皮</w:t>
      </w:r>
      <w:r>
        <w:rPr>
          <w:rFonts w:ascii="宋体" w:hAnsi="宋体" w:eastAsia="宋体" w:cs="宋体"/>
          <w:spacing w:val="-22"/>
          <w:sz w:val="20"/>
          <w:szCs w:val="20"/>
        </w:rPr>
        <w:t xml:space="preserve"> </w:t>
      </w:r>
      <w:r>
        <w:rPr>
          <w:rFonts w:ascii="宋体" w:hAnsi="宋体" w:eastAsia="宋体" w:cs="宋体"/>
          <w:spacing w:val="8"/>
          <w:sz w:val="20"/>
          <w:szCs w:val="20"/>
        </w:rPr>
        <w:t>1.5m</w:t>
      </w:r>
      <w:r>
        <w:rPr>
          <w:rFonts w:ascii="宋体" w:hAnsi="宋体" w:eastAsia="宋体" w:cs="宋体"/>
          <w:spacing w:val="-34"/>
          <w:sz w:val="20"/>
          <w:szCs w:val="20"/>
        </w:rPr>
        <w:t xml:space="preserve"> </w:t>
      </w:r>
      <w:r>
        <w:rPr>
          <w:rFonts w:ascii="宋体" w:hAnsi="宋体" w:eastAsia="宋体" w:cs="宋体"/>
          <w:spacing w:val="8"/>
          <w:sz w:val="20"/>
          <w:szCs w:val="20"/>
        </w:rPr>
        <w:t>为界，入口处设</w:t>
      </w:r>
      <w:r>
        <w:rPr>
          <w:rFonts w:ascii="宋体" w:hAnsi="宋体" w:eastAsia="宋体" w:cs="宋体"/>
          <w:spacing w:val="7"/>
          <w:sz w:val="20"/>
          <w:szCs w:val="20"/>
        </w:rPr>
        <w:t>阀门者以阀门为界</w:t>
      </w:r>
      <w:r>
        <w:rPr>
          <w:rFonts w:ascii="宋体" w:hAnsi="宋体" w:eastAsia="宋体" w:cs="宋体"/>
          <w:spacing w:val="-60"/>
          <w:sz w:val="20"/>
          <w:szCs w:val="20"/>
        </w:rPr>
        <w:t xml:space="preserve"> </w:t>
      </w:r>
      <w:r>
        <w:rPr>
          <w:rFonts w:ascii="宋体" w:hAnsi="宋体" w:eastAsia="宋体" w:cs="宋体"/>
          <w:spacing w:val="7"/>
          <w:sz w:val="20"/>
          <w:szCs w:val="20"/>
        </w:rPr>
        <w:t>，室外</w:t>
      </w:r>
      <w:r>
        <w:rPr>
          <w:rFonts w:ascii="宋体" w:hAnsi="宋体" w:eastAsia="宋体" w:cs="宋体"/>
          <w:spacing w:val="9"/>
          <w:sz w:val="20"/>
          <w:szCs w:val="20"/>
        </w:rPr>
        <w:t>设有采暖入口装置者以入口装置循环管三通为界。</w:t>
      </w:r>
    </w:p>
    <w:p>
      <w:pPr>
        <w:spacing w:before="140" w:line="277" w:lineRule="exact"/>
        <w:ind w:left="429"/>
        <w:rPr>
          <w:rFonts w:ascii="宋体" w:hAnsi="宋体" w:eastAsia="宋体" w:cs="宋体"/>
          <w:sz w:val="20"/>
          <w:szCs w:val="20"/>
        </w:rPr>
      </w:pPr>
      <w:r>
        <w:rPr>
          <w:rFonts w:ascii="宋体" w:hAnsi="宋体" w:eastAsia="宋体" w:cs="宋体"/>
          <w:spacing w:val="8"/>
          <w:position w:val="1"/>
          <w:sz w:val="20"/>
          <w:szCs w:val="20"/>
        </w:rPr>
        <w:t>2. 所有管道、设备的工作内容，均不包括完成安装后的脱脂、阀门研磨、介质充装</w:t>
      </w:r>
      <w:r>
        <w:rPr>
          <w:rFonts w:ascii="宋体" w:hAnsi="宋体" w:eastAsia="宋体" w:cs="宋体"/>
          <w:spacing w:val="7"/>
          <w:position w:val="1"/>
          <w:sz w:val="20"/>
          <w:szCs w:val="20"/>
        </w:rPr>
        <w:t>及置换。</w:t>
      </w:r>
    </w:p>
    <w:p>
      <w:pPr>
        <w:spacing w:before="103" w:line="309" w:lineRule="auto"/>
        <w:ind w:left="6" w:right="131" w:firstLine="426"/>
        <w:rPr>
          <w:rFonts w:ascii="宋体" w:hAnsi="宋体" w:eastAsia="宋体" w:cs="宋体"/>
          <w:sz w:val="20"/>
          <w:szCs w:val="20"/>
        </w:rPr>
      </w:pPr>
      <w:r>
        <w:rPr>
          <w:rFonts w:ascii="宋体" w:hAnsi="宋体" w:eastAsia="宋体" w:cs="宋体"/>
          <w:spacing w:val="8"/>
          <w:sz w:val="20"/>
          <w:szCs w:val="20"/>
        </w:rPr>
        <w:t>3. 所有管道项目的工作内容均应包括压力试验及吹扫与清洗，其中，压力试验包括</w:t>
      </w:r>
      <w:r>
        <w:rPr>
          <w:rFonts w:ascii="宋体" w:hAnsi="宋体" w:eastAsia="宋体" w:cs="宋体"/>
          <w:spacing w:val="7"/>
          <w:sz w:val="20"/>
          <w:szCs w:val="20"/>
        </w:rPr>
        <w:t>设计要求的</w:t>
      </w:r>
      <w:r>
        <w:rPr>
          <w:rFonts w:ascii="宋体" w:hAnsi="宋体" w:eastAsia="宋体" w:cs="宋体"/>
          <w:spacing w:val="11"/>
          <w:sz w:val="20"/>
          <w:szCs w:val="20"/>
        </w:rPr>
        <w:t>水压试验、气压试验、泄漏性试验、闭水试验、通球试验、真空试验等试验，吹</w:t>
      </w:r>
      <w:r>
        <w:rPr>
          <w:rFonts w:ascii="宋体" w:hAnsi="宋体" w:eastAsia="宋体" w:cs="宋体"/>
          <w:spacing w:val="10"/>
          <w:sz w:val="20"/>
          <w:szCs w:val="20"/>
        </w:rPr>
        <w:t>扫与清洗包括设计</w:t>
      </w:r>
      <w:r>
        <w:rPr>
          <w:rFonts w:ascii="宋体" w:hAnsi="宋体" w:eastAsia="宋体" w:cs="宋体"/>
          <w:spacing w:val="9"/>
          <w:sz w:val="20"/>
          <w:szCs w:val="20"/>
        </w:rPr>
        <w:t>要求的水冲洗、空气吹扫等吹扫与清洗。</w:t>
      </w:r>
    </w:p>
    <w:p>
      <w:pPr>
        <w:spacing w:before="135" w:line="277" w:lineRule="exact"/>
        <w:ind w:left="426"/>
        <w:rPr>
          <w:rFonts w:ascii="宋体" w:hAnsi="宋体" w:eastAsia="宋体" w:cs="宋体"/>
          <w:sz w:val="20"/>
          <w:szCs w:val="20"/>
        </w:rPr>
      </w:pPr>
      <w:r>
        <w:rPr>
          <w:rFonts w:ascii="宋体" w:hAnsi="宋体" w:eastAsia="宋体" w:cs="宋体"/>
          <w:spacing w:val="8"/>
          <w:position w:val="1"/>
          <w:sz w:val="20"/>
          <w:szCs w:val="20"/>
        </w:rPr>
        <w:t>4. 直埋式预制保温管应按本标准附录</w:t>
      </w:r>
      <w:r>
        <w:rPr>
          <w:rFonts w:ascii="宋体" w:hAnsi="宋体" w:eastAsia="宋体" w:cs="宋体"/>
          <w:spacing w:val="-27"/>
          <w:position w:val="1"/>
          <w:sz w:val="20"/>
          <w:szCs w:val="20"/>
        </w:rPr>
        <w:t xml:space="preserve"> </w:t>
      </w:r>
      <w:r>
        <w:rPr>
          <w:rFonts w:ascii="宋体" w:hAnsi="宋体" w:eastAsia="宋体" w:cs="宋体"/>
          <w:spacing w:val="8"/>
          <w:position w:val="1"/>
          <w:sz w:val="20"/>
          <w:szCs w:val="20"/>
        </w:rPr>
        <w:t>H</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工业管道工程的相应项目编码列项。</w:t>
      </w:r>
    </w:p>
    <w:p>
      <w:pPr>
        <w:spacing w:before="102" w:line="288" w:lineRule="auto"/>
        <w:ind w:left="7" w:right="162" w:firstLine="422"/>
        <w:rPr>
          <w:rFonts w:ascii="宋体" w:hAnsi="宋体" w:eastAsia="宋体" w:cs="宋体"/>
          <w:sz w:val="20"/>
          <w:szCs w:val="20"/>
        </w:rPr>
      </w:pPr>
      <w:r>
        <w:rPr>
          <w:rFonts w:ascii="宋体" w:hAnsi="宋体" w:eastAsia="宋体" w:cs="宋体"/>
          <w:spacing w:val="7"/>
          <w:sz w:val="20"/>
          <w:szCs w:val="20"/>
        </w:rPr>
        <w:t>5. 阀门类型包括螺纹阀门、螺纹法兰阀门、焊接法兰阀门、沟槽阀门，如仅为一侧连接法兰，</w:t>
      </w:r>
      <w:r>
        <w:rPr>
          <w:rFonts w:ascii="宋体" w:hAnsi="宋体" w:eastAsia="宋体" w:cs="宋体"/>
          <w:spacing w:val="9"/>
          <w:sz w:val="20"/>
          <w:szCs w:val="20"/>
        </w:rPr>
        <w:t>则在项目特征中描述。阀门的工作内容均不包括法兰、法兰式附件。</w:t>
      </w:r>
    </w:p>
    <w:p>
      <w:pPr>
        <w:spacing w:before="135" w:line="287" w:lineRule="auto"/>
        <w:ind w:left="8" w:right="131" w:firstLine="421"/>
        <w:rPr>
          <w:rFonts w:ascii="宋体" w:hAnsi="宋体" w:eastAsia="宋体" w:cs="宋体"/>
          <w:sz w:val="20"/>
          <w:szCs w:val="20"/>
        </w:rPr>
      </w:pPr>
      <w:r>
        <w:rPr>
          <w:rFonts w:ascii="宋体" w:hAnsi="宋体" w:eastAsia="宋体" w:cs="宋体"/>
          <w:spacing w:val="8"/>
          <w:sz w:val="20"/>
          <w:szCs w:val="20"/>
        </w:rPr>
        <w:t>6. 采暖工程系统调试、空调水工程系统调试：一个单位工程只能计算一个采暖工程系统调</w:t>
      </w:r>
      <w:r>
        <w:rPr>
          <w:rFonts w:ascii="宋体" w:hAnsi="宋体" w:eastAsia="宋体" w:cs="宋体"/>
          <w:spacing w:val="7"/>
          <w:sz w:val="20"/>
          <w:szCs w:val="20"/>
        </w:rPr>
        <w:t>试和</w:t>
      </w:r>
      <w:r>
        <w:rPr>
          <w:rFonts w:ascii="宋体" w:hAnsi="宋体" w:eastAsia="宋体" w:cs="宋体"/>
          <w:spacing w:val="8"/>
          <w:sz w:val="20"/>
          <w:szCs w:val="20"/>
        </w:rPr>
        <w:t>一个空调水工程系统调试。</w:t>
      </w:r>
    </w:p>
    <w:p>
      <w:pPr>
        <w:spacing w:before="144" w:line="224" w:lineRule="auto"/>
        <w:ind w:left="435"/>
        <w:rPr>
          <w:rFonts w:ascii="宋体" w:hAnsi="宋体" w:eastAsia="宋体" w:cs="宋体"/>
          <w:sz w:val="20"/>
          <w:szCs w:val="20"/>
        </w:rPr>
      </w:pPr>
      <w:r>
        <w:rPr>
          <w:rFonts w:ascii="宋体" w:hAnsi="宋体" w:eastAsia="宋体" w:cs="宋体"/>
          <w:b/>
          <w:bCs/>
          <w:spacing w:val="7"/>
          <w:sz w:val="20"/>
          <w:szCs w:val="20"/>
        </w:rPr>
        <w:t>十二、通信设备及线路工程</w:t>
      </w:r>
    </w:p>
    <w:p>
      <w:pPr>
        <w:spacing w:before="133" w:line="277" w:lineRule="exact"/>
        <w:ind w:left="439"/>
        <w:rPr>
          <w:rFonts w:ascii="宋体" w:hAnsi="宋体" w:eastAsia="宋体" w:cs="宋体"/>
          <w:sz w:val="20"/>
          <w:szCs w:val="20"/>
        </w:rPr>
      </w:pPr>
      <w:r>
        <w:rPr>
          <w:rFonts w:ascii="宋体" w:hAnsi="宋体" w:eastAsia="宋体" w:cs="宋体"/>
          <w:spacing w:val="7"/>
          <w:position w:val="1"/>
          <w:sz w:val="20"/>
          <w:szCs w:val="20"/>
        </w:rPr>
        <w:t>敷设光(电)缆工程量计算时，应考虑敷设的</w:t>
      </w:r>
      <w:r>
        <w:rPr>
          <w:rFonts w:ascii="宋体" w:hAnsi="宋体" w:eastAsia="宋体" w:cs="宋体"/>
          <w:spacing w:val="6"/>
          <w:position w:val="1"/>
          <w:sz w:val="20"/>
          <w:szCs w:val="20"/>
        </w:rPr>
        <w:t>长度和设计中规定的各种预留长度。</w:t>
      </w:r>
    </w:p>
    <w:p>
      <w:pPr>
        <w:spacing w:before="102" w:line="278" w:lineRule="exact"/>
        <w:ind w:left="446"/>
        <w:rPr>
          <w:rFonts w:ascii="宋体" w:hAnsi="宋体" w:eastAsia="宋体" w:cs="宋体"/>
          <w:sz w:val="20"/>
          <w:szCs w:val="20"/>
        </w:rPr>
      </w:pPr>
      <w:r>
        <w:rPr>
          <w:rFonts w:ascii="宋体" w:hAnsi="宋体" w:eastAsia="宋体" w:cs="宋体"/>
          <w:spacing w:val="5"/>
          <w:position w:val="1"/>
          <w:sz w:val="20"/>
          <w:szCs w:val="20"/>
        </w:rPr>
        <w:t>1. 光缆敷设安装的重叠、增长和预留长度可结合工程实际情况按表</w:t>
      </w:r>
      <w:r>
        <w:rPr>
          <w:rFonts w:ascii="宋体" w:hAnsi="宋体" w:eastAsia="宋体" w:cs="宋体"/>
          <w:spacing w:val="-20"/>
          <w:position w:val="1"/>
          <w:sz w:val="20"/>
          <w:szCs w:val="20"/>
        </w:rPr>
        <w:t xml:space="preserve"> </w:t>
      </w:r>
      <w:r>
        <w:rPr>
          <w:rFonts w:ascii="宋体" w:hAnsi="宋体" w:eastAsia="宋体" w:cs="宋体"/>
          <w:spacing w:val="5"/>
          <w:position w:val="1"/>
          <w:sz w:val="20"/>
          <w:szCs w:val="20"/>
        </w:rPr>
        <w:t>L.4.6-1确定 。</w:t>
      </w:r>
    </w:p>
    <w:p>
      <w:pPr>
        <w:spacing w:before="238" w:line="278" w:lineRule="exact"/>
        <w:ind w:left="2759"/>
        <w:rPr>
          <w:rFonts w:ascii="宋体" w:hAnsi="宋体" w:eastAsia="宋体" w:cs="宋体"/>
          <w:sz w:val="20"/>
          <w:szCs w:val="20"/>
        </w:rPr>
      </w:pPr>
      <w:r>
        <w:rPr>
          <w:rFonts w:ascii="宋体" w:hAnsi="宋体" w:eastAsia="宋体" w:cs="宋体"/>
          <w:b/>
          <w:bCs/>
          <w:spacing w:val="2"/>
          <w:position w:val="1"/>
          <w:sz w:val="20"/>
          <w:szCs w:val="20"/>
        </w:rPr>
        <w:t>表</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L.4.6-1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光缆增长和预留长度参考值</w:t>
      </w:r>
    </w:p>
    <w:p>
      <w:pPr>
        <w:spacing w:before="142"/>
      </w:pPr>
    </w:p>
    <w:tbl>
      <w:tblPr>
        <w:tblStyle w:val="5"/>
        <w:tblW w:w="91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94"/>
        <w:gridCol w:w="1016"/>
        <w:gridCol w:w="1016"/>
        <w:gridCol w:w="1017"/>
        <w:gridCol w:w="13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9" w:hRule="atLeast"/>
        </w:trPr>
        <w:tc>
          <w:tcPr>
            <w:tcW w:w="4794" w:type="dxa"/>
            <w:vMerge w:val="restart"/>
            <w:tcBorders>
              <w:bottom w:val="nil"/>
            </w:tcBorders>
            <w:vAlign w:val="top"/>
          </w:tcPr>
          <w:p>
            <w:pPr>
              <w:pStyle w:val="6"/>
              <w:spacing w:line="290" w:lineRule="auto"/>
            </w:pPr>
          </w:p>
          <w:p>
            <w:pPr>
              <w:spacing w:before="65" w:line="213" w:lineRule="auto"/>
              <w:ind w:left="2136"/>
              <w:rPr>
                <w:rFonts w:ascii="宋体" w:hAnsi="宋体" w:eastAsia="宋体" w:cs="宋体"/>
                <w:sz w:val="20"/>
                <w:szCs w:val="20"/>
              </w:rPr>
            </w:pPr>
            <w:r>
              <w:rPr>
                <w:rFonts w:ascii="宋体" w:hAnsi="宋体" w:eastAsia="宋体" w:cs="宋体"/>
                <w:spacing w:val="2"/>
                <w:sz w:val="20"/>
                <w:szCs w:val="20"/>
              </w:rPr>
              <w:t>项</w:t>
            </w:r>
            <w:r>
              <w:rPr>
                <w:rFonts w:ascii="宋体" w:hAnsi="宋体" w:eastAsia="宋体" w:cs="宋体"/>
                <w:spacing w:val="49"/>
                <w:sz w:val="20"/>
                <w:szCs w:val="20"/>
              </w:rPr>
              <w:t xml:space="preserve"> </w:t>
            </w:r>
            <w:r>
              <w:rPr>
                <w:rFonts w:ascii="宋体" w:hAnsi="宋体" w:eastAsia="宋体" w:cs="宋体"/>
                <w:spacing w:val="2"/>
                <w:sz w:val="20"/>
                <w:szCs w:val="20"/>
              </w:rPr>
              <w:t>目</w:t>
            </w:r>
          </w:p>
        </w:tc>
        <w:tc>
          <w:tcPr>
            <w:tcW w:w="4405" w:type="dxa"/>
            <w:gridSpan w:val="4"/>
            <w:vAlign w:val="top"/>
          </w:tcPr>
          <w:p>
            <w:pPr>
              <w:spacing w:before="149" w:line="220" w:lineRule="auto"/>
              <w:ind w:left="1782"/>
              <w:rPr>
                <w:rFonts w:ascii="宋体" w:hAnsi="宋体" w:eastAsia="宋体" w:cs="宋体"/>
                <w:sz w:val="20"/>
                <w:szCs w:val="20"/>
              </w:rPr>
            </w:pPr>
            <w:r>
              <w:rPr>
                <w:rFonts w:ascii="宋体" w:hAnsi="宋体" w:eastAsia="宋体" w:cs="宋体"/>
                <w:spacing w:val="8"/>
                <w:sz w:val="20"/>
                <w:szCs w:val="20"/>
              </w:rPr>
              <w:t>敷设方式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4794" w:type="dxa"/>
            <w:vMerge w:val="continue"/>
            <w:tcBorders>
              <w:top w:val="nil"/>
            </w:tcBorders>
            <w:vAlign w:val="top"/>
          </w:tcPr>
          <w:p>
            <w:pPr>
              <w:pStyle w:val="6"/>
            </w:pPr>
          </w:p>
        </w:tc>
        <w:tc>
          <w:tcPr>
            <w:tcW w:w="1016" w:type="dxa"/>
            <w:vAlign w:val="top"/>
          </w:tcPr>
          <w:p>
            <w:pPr>
              <w:spacing w:before="145" w:line="222" w:lineRule="auto"/>
              <w:ind w:left="300"/>
              <w:rPr>
                <w:rFonts w:ascii="宋体" w:hAnsi="宋体" w:eastAsia="宋体" w:cs="宋体"/>
                <w:sz w:val="20"/>
                <w:szCs w:val="20"/>
              </w:rPr>
            </w:pPr>
            <w:r>
              <w:rPr>
                <w:rFonts w:ascii="宋体" w:hAnsi="宋体" w:eastAsia="宋体" w:cs="宋体"/>
                <w:spacing w:val="6"/>
                <w:sz w:val="20"/>
                <w:szCs w:val="20"/>
              </w:rPr>
              <w:t>直埋</w:t>
            </w:r>
          </w:p>
        </w:tc>
        <w:tc>
          <w:tcPr>
            <w:tcW w:w="1016" w:type="dxa"/>
            <w:vAlign w:val="top"/>
          </w:tcPr>
          <w:p>
            <w:pPr>
              <w:spacing w:before="146" w:line="219" w:lineRule="auto"/>
              <w:ind w:left="303"/>
              <w:rPr>
                <w:rFonts w:ascii="宋体" w:hAnsi="宋体" w:eastAsia="宋体" w:cs="宋体"/>
                <w:sz w:val="20"/>
                <w:szCs w:val="20"/>
              </w:rPr>
            </w:pPr>
            <w:r>
              <w:rPr>
                <w:rFonts w:ascii="宋体" w:hAnsi="宋体" w:eastAsia="宋体" w:cs="宋体"/>
                <w:spacing w:val="5"/>
                <w:sz w:val="20"/>
                <w:szCs w:val="20"/>
              </w:rPr>
              <w:t>管道</w:t>
            </w:r>
          </w:p>
        </w:tc>
        <w:tc>
          <w:tcPr>
            <w:tcW w:w="1017" w:type="dxa"/>
            <w:vAlign w:val="top"/>
          </w:tcPr>
          <w:p>
            <w:pPr>
              <w:spacing w:before="147" w:line="218" w:lineRule="auto"/>
              <w:ind w:left="302"/>
              <w:rPr>
                <w:rFonts w:ascii="宋体" w:hAnsi="宋体" w:eastAsia="宋体" w:cs="宋体"/>
                <w:sz w:val="20"/>
                <w:szCs w:val="20"/>
              </w:rPr>
            </w:pPr>
            <w:r>
              <w:rPr>
                <w:rFonts w:ascii="宋体" w:hAnsi="宋体" w:eastAsia="宋体" w:cs="宋体"/>
                <w:spacing w:val="6"/>
                <w:sz w:val="20"/>
                <w:szCs w:val="20"/>
              </w:rPr>
              <w:t>架空</w:t>
            </w:r>
          </w:p>
        </w:tc>
        <w:tc>
          <w:tcPr>
            <w:tcW w:w="1356" w:type="dxa"/>
            <w:vAlign w:val="top"/>
          </w:tcPr>
          <w:p>
            <w:pPr>
              <w:spacing w:before="146" w:line="218" w:lineRule="auto"/>
              <w:ind w:left="467"/>
              <w:rPr>
                <w:rFonts w:ascii="宋体" w:hAnsi="宋体" w:eastAsia="宋体" w:cs="宋体"/>
                <w:sz w:val="20"/>
                <w:szCs w:val="20"/>
              </w:rPr>
            </w:pPr>
            <w:r>
              <w:rPr>
                <w:rFonts w:ascii="宋体" w:hAnsi="宋体" w:eastAsia="宋体" w:cs="宋体"/>
                <w:spacing w:val="7"/>
                <w:sz w:val="20"/>
                <w:szCs w:val="20"/>
              </w:rPr>
              <w:t>水底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4794" w:type="dxa"/>
            <w:vAlign w:val="top"/>
          </w:tcPr>
          <w:p>
            <w:pPr>
              <w:spacing w:before="145" w:line="220" w:lineRule="auto"/>
              <w:ind w:left="1562"/>
              <w:rPr>
                <w:rFonts w:ascii="宋体" w:hAnsi="宋体" w:eastAsia="宋体" w:cs="宋体"/>
                <w:sz w:val="20"/>
                <w:szCs w:val="20"/>
              </w:rPr>
            </w:pPr>
            <w:r>
              <w:rPr>
                <w:rFonts w:ascii="宋体" w:hAnsi="宋体" w:eastAsia="宋体" w:cs="宋体"/>
                <w:spacing w:val="9"/>
                <w:sz w:val="20"/>
                <w:szCs w:val="20"/>
              </w:rPr>
              <w:t>接头每侧预留长度</w:t>
            </w:r>
          </w:p>
        </w:tc>
        <w:tc>
          <w:tcPr>
            <w:tcW w:w="1016" w:type="dxa"/>
            <w:vAlign w:val="top"/>
          </w:tcPr>
          <w:p>
            <w:pPr>
              <w:spacing w:before="110" w:line="274" w:lineRule="exact"/>
              <w:ind w:left="34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10m</w:t>
            </w:r>
          </w:p>
        </w:tc>
        <w:tc>
          <w:tcPr>
            <w:tcW w:w="1016" w:type="dxa"/>
            <w:vAlign w:val="top"/>
          </w:tcPr>
          <w:p>
            <w:pPr>
              <w:spacing w:before="110" w:line="274"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10m</w:t>
            </w:r>
          </w:p>
        </w:tc>
        <w:tc>
          <w:tcPr>
            <w:tcW w:w="1017" w:type="dxa"/>
            <w:vAlign w:val="top"/>
          </w:tcPr>
          <w:p>
            <w:pPr>
              <w:spacing w:before="110" w:line="274"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10m</w:t>
            </w:r>
          </w:p>
        </w:tc>
        <w:tc>
          <w:tcPr>
            <w:tcW w:w="1356" w:type="dxa"/>
            <w:vAlign w:val="top"/>
          </w:tcPr>
          <w:p>
            <w:pPr>
              <w:spacing w:before="236" w:line="157" w:lineRule="exact"/>
              <w:ind w:left="575"/>
              <w:rPr>
                <w:rFonts w:ascii="宋体" w:hAnsi="宋体" w:eastAsia="宋体" w:cs="宋体"/>
                <w:sz w:val="20"/>
                <w:szCs w:val="20"/>
              </w:rPr>
            </w:pPr>
            <w:r>
              <w:rPr>
                <w:rFonts w:ascii="宋体" w:hAnsi="宋体" w:eastAsia="宋体" w:cs="宋体"/>
                <w:spacing w:val="4"/>
                <w:position w:val="-4"/>
                <w:sz w:val="20"/>
                <w:szCs w:val="20"/>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4794" w:type="dxa"/>
            <w:vAlign w:val="top"/>
          </w:tcPr>
          <w:p>
            <w:pPr>
              <w:spacing w:before="110" w:line="275" w:lineRule="exact"/>
              <w:ind w:left="1278"/>
              <w:rPr>
                <w:rFonts w:ascii="宋体" w:hAnsi="宋体" w:eastAsia="宋体" w:cs="宋体"/>
                <w:sz w:val="20"/>
                <w:szCs w:val="20"/>
              </w:rPr>
            </w:pPr>
            <w:r>
              <w:rPr>
                <w:rFonts w:ascii="宋体" w:hAnsi="宋体" w:eastAsia="宋体" w:cs="宋体"/>
                <w:spacing w:val="8"/>
                <w:position w:val="2"/>
                <w:sz w:val="20"/>
                <w:szCs w:val="20"/>
              </w:rPr>
              <w:t>人</w:t>
            </w:r>
            <w:r>
              <w:rPr>
                <w:rFonts w:ascii="Times New Roman" w:hAnsi="Times New Roman" w:eastAsia="Times New Roman" w:cs="Times New Roman"/>
                <w:spacing w:val="8"/>
                <w:position w:val="2"/>
                <w:sz w:val="20"/>
                <w:szCs w:val="20"/>
              </w:rPr>
              <w:t>(</w:t>
            </w:r>
            <w:r>
              <w:rPr>
                <w:rFonts w:ascii="宋体" w:hAnsi="宋体" w:eastAsia="宋体" w:cs="宋体"/>
                <w:spacing w:val="8"/>
                <w:position w:val="2"/>
                <w:sz w:val="20"/>
                <w:szCs w:val="20"/>
              </w:rPr>
              <w:t>手</w:t>
            </w:r>
            <w:r>
              <w:rPr>
                <w:rFonts w:ascii="Times New Roman" w:hAnsi="Times New Roman" w:eastAsia="Times New Roman" w:cs="Times New Roman"/>
                <w:spacing w:val="8"/>
                <w:position w:val="2"/>
                <w:sz w:val="20"/>
                <w:szCs w:val="20"/>
              </w:rPr>
              <w:t>)</w:t>
            </w:r>
            <w:r>
              <w:rPr>
                <w:rFonts w:ascii="宋体" w:hAnsi="宋体" w:eastAsia="宋体" w:cs="宋体"/>
                <w:spacing w:val="8"/>
                <w:position w:val="2"/>
                <w:sz w:val="20"/>
                <w:szCs w:val="20"/>
              </w:rPr>
              <w:t>孔内自然弯曲增长</w:t>
            </w:r>
          </w:p>
        </w:tc>
        <w:tc>
          <w:tcPr>
            <w:tcW w:w="1016" w:type="dxa"/>
            <w:vAlign w:val="top"/>
          </w:tcPr>
          <w:p>
            <w:pPr>
              <w:spacing w:before="237" w:line="156" w:lineRule="exact"/>
              <w:ind w:left="405"/>
              <w:rPr>
                <w:rFonts w:ascii="宋体" w:hAnsi="宋体" w:eastAsia="宋体" w:cs="宋体"/>
                <w:sz w:val="20"/>
                <w:szCs w:val="20"/>
              </w:rPr>
            </w:pPr>
            <w:r>
              <w:rPr>
                <w:rFonts w:ascii="宋体" w:hAnsi="宋体" w:eastAsia="宋体" w:cs="宋体"/>
                <w:spacing w:val="4"/>
                <w:position w:val="-4"/>
                <w:sz w:val="20"/>
                <w:szCs w:val="20"/>
              </w:rPr>
              <w:t>一</w:t>
            </w:r>
          </w:p>
        </w:tc>
        <w:tc>
          <w:tcPr>
            <w:tcW w:w="1016" w:type="dxa"/>
            <w:vAlign w:val="top"/>
          </w:tcPr>
          <w:p>
            <w:pPr>
              <w:spacing w:before="110" w:line="275" w:lineRule="exact"/>
              <w:ind w:left="398"/>
              <w:rPr>
                <w:rFonts w:ascii="Times New Roman" w:hAnsi="Times New Roman" w:eastAsia="Times New Roman" w:cs="Times New Roman"/>
                <w:sz w:val="20"/>
                <w:szCs w:val="20"/>
              </w:rPr>
            </w:pPr>
            <w:r>
              <w:rPr>
                <w:rFonts w:ascii="Times New Roman" w:hAnsi="Times New Roman" w:eastAsia="Times New Roman" w:cs="Times New Roman"/>
                <w:spacing w:val="-7"/>
                <w:position w:val="1"/>
                <w:sz w:val="20"/>
                <w:szCs w:val="20"/>
              </w:rPr>
              <w:t>1m</w:t>
            </w:r>
          </w:p>
        </w:tc>
        <w:tc>
          <w:tcPr>
            <w:tcW w:w="1017" w:type="dxa"/>
            <w:vAlign w:val="top"/>
          </w:tcPr>
          <w:p>
            <w:pPr>
              <w:spacing w:before="237" w:line="156" w:lineRule="exact"/>
              <w:ind w:left="406"/>
              <w:rPr>
                <w:rFonts w:ascii="宋体" w:hAnsi="宋体" w:eastAsia="宋体" w:cs="宋体"/>
                <w:sz w:val="20"/>
                <w:szCs w:val="20"/>
              </w:rPr>
            </w:pPr>
            <w:r>
              <w:rPr>
                <w:rFonts w:ascii="宋体" w:hAnsi="宋体" w:eastAsia="宋体" w:cs="宋体"/>
                <w:spacing w:val="4"/>
                <w:position w:val="-4"/>
                <w:sz w:val="20"/>
                <w:szCs w:val="20"/>
              </w:rPr>
              <w:t>一</w:t>
            </w:r>
          </w:p>
        </w:tc>
        <w:tc>
          <w:tcPr>
            <w:tcW w:w="1356" w:type="dxa"/>
            <w:vAlign w:val="top"/>
          </w:tcPr>
          <w:p>
            <w:pPr>
              <w:spacing w:before="237" w:line="156" w:lineRule="exact"/>
              <w:ind w:left="575"/>
              <w:rPr>
                <w:rFonts w:ascii="宋体" w:hAnsi="宋体" w:eastAsia="宋体" w:cs="宋体"/>
                <w:sz w:val="20"/>
                <w:szCs w:val="20"/>
              </w:rPr>
            </w:pPr>
            <w:r>
              <w:rPr>
                <w:rFonts w:ascii="宋体" w:hAnsi="宋体" w:eastAsia="宋体" w:cs="宋体"/>
                <w:spacing w:val="4"/>
                <w:position w:val="-4"/>
                <w:sz w:val="20"/>
                <w:szCs w:val="20"/>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4794" w:type="dxa"/>
            <w:vAlign w:val="top"/>
          </w:tcPr>
          <w:p>
            <w:pPr>
              <w:spacing w:before="147" w:line="220" w:lineRule="auto"/>
              <w:ind w:left="1244"/>
              <w:rPr>
                <w:rFonts w:ascii="宋体" w:hAnsi="宋体" w:eastAsia="宋体" w:cs="宋体"/>
                <w:sz w:val="20"/>
                <w:szCs w:val="20"/>
              </w:rPr>
            </w:pPr>
            <w:r>
              <w:rPr>
                <w:rFonts w:ascii="宋体" w:hAnsi="宋体" w:eastAsia="宋体" w:cs="宋体"/>
                <w:spacing w:val="9"/>
                <w:sz w:val="20"/>
                <w:szCs w:val="20"/>
              </w:rPr>
              <w:t>光缆沟或管道内弯曲增长</w:t>
            </w:r>
          </w:p>
        </w:tc>
        <w:tc>
          <w:tcPr>
            <w:tcW w:w="1016" w:type="dxa"/>
            <w:vAlign w:val="top"/>
          </w:tcPr>
          <w:p>
            <w:pPr>
              <w:spacing w:before="112" w:line="274" w:lineRule="exact"/>
              <w:ind w:left="35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7‰</w:t>
            </w:r>
          </w:p>
        </w:tc>
        <w:tc>
          <w:tcPr>
            <w:tcW w:w="1016" w:type="dxa"/>
            <w:vAlign w:val="top"/>
          </w:tcPr>
          <w:p>
            <w:pPr>
              <w:spacing w:before="112" w:line="274" w:lineRule="exact"/>
              <w:ind w:left="321"/>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w:t>
            </w:r>
          </w:p>
        </w:tc>
        <w:tc>
          <w:tcPr>
            <w:tcW w:w="1017" w:type="dxa"/>
            <w:vAlign w:val="top"/>
          </w:tcPr>
          <w:p>
            <w:pPr>
              <w:spacing w:before="238" w:line="156" w:lineRule="exact"/>
              <w:ind w:left="406"/>
              <w:rPr>
                <w:rFonts w:ascii="宋体" w:hAnsi="宋体" w:eastAsia="宋体" w:cs="宋体"/>
                <w:sz w:val="20"/>
                <w:szCs w:val="20"/>
              </w:rPr>
            </w:pPr>
            <w:r>
              <w:rPr>
                <w:rFonts w:ascii="宋体" w:hAnsi="宋体" w:eastAsia="宋体" w:cs="宋体"/>
                <w:spacing w:val="4"/>
                <w:position w:val="-4"/>
                <w:sz w:val="20"/>
                <w:szCs w:val="20"/>
              </w:rPr>
              <w:t>一</w:t>
            </w:r>
          </w:p>
        </w:tc>
        <w:tc>
          <w:tcPr>
            <w:tcW w:w="1356" w:type="dxa"/>
            <w:vAlign w:val="top"/>
          </w:tcPr>
          <w:p>
            <w:pPr>
              <w:spacing w:before="147" w:line="220" w:lineRule="auto"/>
              <w:ind w:left="153"/>
              <w:rPr>
                <w:rFonts w:ascii="宋体" w:hAnsi="宋体" w:eastAsia="宋体" w:cs="宋体"/>
                <w:sz w:val="20"/>
                <w:szCs w:val="20"/>
              </w:rPr>
            </w:pPr>
            <w:r>
              <w:rPr>
                <w:rFonts w:ascii="宋体" w:hAnsi="宋体" w:eastAsia="宋体" w:cs="宋体"/>
                <w:spacing w:val="9"/>
                <w:sz w:val="20"/>
                <w:szCs w:val="20"/>
              </w:rPr>
              <w:t>按实际计算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4794" w:type="dxa"/>
            <w:vAlign w:val="top"/>
          </w:tcPr>
          <w:p>
            <w:pPr>
              <w:spacing w:before="148" w:line="220" w:lineRule="auto"/>
              <w:ind w:left="1560"/>
              <w:rPr>
                <w:rFonts w:ascii="宋体" w:hAnsi="宋体" w:eastAsia="宋体" w:cs="宋体"/>
                <w:sz w:val="20"/>
                <w:szCs w:val="20"/>
              </w:rPr>
            </w:pPr>
            <w:r>
              <w:rPr>
                <w:rFonts w:ascii="宋体" w:hAnsi="宋体" w:eastAsia="宋体" w:cs="宋体"/>
                <w:spacing w:val="9"/>
                <w:sz w:val="20"/>
                <w:szCs w:val="20"/>
              </w:rPr>
              <w:t>架空光缆弯曲增长</w:t>
            </w:r>
          </w:p>
        </w:tc>
        <w:tc>
          <w:tcPr>
            <w:tcW w:w="1016" w:type="dxa"/>
            <w:vAlign w:val="top"/>
          </w:tcPr>
          <w:p>
            <w:pPr>
              <w:spacing w:before="240" w:line="154" w:lineRule="exact"/>
              <w:ind w:left="405"/>
              <w:rPr>
                <w:rFonts w:ascii="宋体" w:hAnsi="宋体" w:eastAsia="宋体" w:cs="宋体"/>
                <w:sz w:val="20"/>
                <w:szCs w:val="20"/>
              </w:rPr>
            </w:pPr>
            <w:r>
              <w:rPr>
                <w:rFonts w:ascii="宋体" w:hAnsi="宋体" w:eastAsia="宋体" w:cs="宋体"/>
                <w:spacing w:val="4"/>
                <w:position w:val="-4"/>
                <w:sz w:val="20"/>
                <w:szCs w:val="20"/>
              </w:rPr>
              <w:t>一</w:t>
            </w:r>
          </w:p>
        </w:tc>
        <w:tc>
          <w:tcPr>
            <w:tcW w:w="1016" w:type="dxa"/>
            <w:vAlign w:val="top"/>
          </w:tcPr>
          <w:p>
            <w:pPr>
              <w:spacing w:before="240" w:line="154" w:lineRule="exact"/>
              <w:ind w:left="407"/>
              <w:rPr>
                <w:rFonts w:ascii="宋体" w:hAnsi="宋体" w:eastAsia="宋体" w:cs="宋体"/>
                <w:sz w:val="20"/>
                <w:szCs w:val="20"/>
              </w:rPr>
            </w:pPr>
            <w:r>
              <w:rPr>
                <w:rFonts w:ascii="宋体" w:hAnsi="宋体" w:eastAsia="宋体" w:cs="宋体"/>
                <w:spacing w:val="4"/>
                <w:position w:val="-4"/>
                <w:sz w:val="20"/>
                <w:szCs w:val="20"/>
              </w:rPr>
              <w:t>一</w:t>
            </w:r>
          </w:p>
        </w:tc>
        <w:tc>
          <w:tcPr>
            <w:tcW w:w="1017" w:type="dxa"/>
            <w:vAlign w:val="top"/>
          </w:tcPr>
          <w:p>
            <w:pPr>
              <w:spacing w:before="113" w:line="274" w:lineRule="exact"/>
              <w:ind w:left="37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w:t>
            </w:r>
          </w:p>
        </w:tc>
        <w:tc>
          <w:tcPr>
            <w:tcW w:w="1356" w:type="dxa"/>
            <w:vAlign w:val="top"/>
          </w:tcPr>
          <w:p>
            <w:pPr>
              <w:spacing w:before="240" w:line="154" w:lineRule="exact"/>
              <w:ind w:left="575"/>
              <w:rPr>
                <w:rFonts w:ascii="宋体" w:hAnsi="宋体" w:eastAsia="宋体" w:cs="宋体"/>
                <w:sz w:val="20"/>
                <w:szCs w:val="20"/>
              </w:rPr>
            </w:pPr>
            <w:r>
              <w:rPr>
                <w:rFonts w:ascii="宋体" w:hAnsi="宋体" w:eastAsia="宋体" w:cs="宋体"/>
                <w:spacing w:val="4"/>
                <w:position w:val="-4"/>
                <w:sz w:val="20"/>
                <w:szCs w:val="20"/>
              </w:rPr>
              <w:t>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4794" w:type="dxa"/>
            <w:vAlign w:val="top"/>
          </w:tcPr>
          <w:p>
            <w:pPr>
              <w:spacing w:before="149" w:line="220" w:lineRule="auto"/>
              <w:ind w:left="1455"/>
              <w:rPr>
                <w:rFonts w:ascii="宋体" w:hAnsi="宋体" w:eastAsia="宋体" w:cs="宋体"/>
                <w:sz w:val="20"/>
                <w:szCs w:val="20"/>
              </w:rPr>
            </w:pPr>
            <w:r>
              <w:rPr>
                <w:rFonts w:ascii="宋体" w:hAnsi="宋体" w:eastAsia="宋体" w:cs="宋体"/>
                <w:spacing w:val="9"/>
                <w:sz w:val="20"/>
                <w:szCs w:val="20"/>
              </w:rPr>
              <w:t>地下局站内每侧预留</w:t>
            </w:r>
          </w:p>
        </w:tc>
        <w:tc>
          <w:tcPr>
            <w:tcW w:w="4405" w:type="dxa"/>
            <w:gridSpan w:val="4"/>
            <w:vAlign w:val="top"/>
          </w:tcPr>
          <w:p>
            <w:pPr>
              <w:spacing w:before="115" w:line="274" w:lineRule="exact"/>
              <w:ind w:left="1092"/>
              <w:rPr>
                <w:rFonts w:ascii="宋体" w:hAnsi="宋体" w:eastAsia="宋体" w:cs="宋体"/>
                <w:sz w:val="20"/>
                <w:szCs w:val="20"/>
              </w:rPr>
            </w:pPr>
            <w:r>
              <w:rPr>
                <w:rFonts w:ascii="Times New Roman" w:hAnsi="Times New Roman" w:eastAsia="Times New Roman" w:cs="Times New Roman"/>
                <w:spacing w:val="3"/>
                <w:position w:val="1"/>
                <w:sz w:val="20"/>
                <w:szCs w:val="20"/>
              </w:rPr>
              <w:t>10m</w:t>
            </w:r>
            <w:r>
              <w:rPr>
                <w:rFonts w:ascii="Times New Roman" w:hAnsi="Times New Roman" w:eastAsia="Times New Roman" w:cs="Times New Roman"/>
                <w:spacing w:val="-7"/>
                <w:position w:val="1"/>
                <w:sz w:val="20"/>
                <w:szCs w:val="20"/>
              </w:rPr>
              <w:t xml:space="preserve"> </w:t>
            </w:r>
            <w:r>
              <w:rPr>
                <w:rFonts w:ascii="宋体" w:hAnsi="宋体" w:eastAsia="宋体" w:cs="宋体"/>
                <w:spacing w:val="3"/>
                <w:position w:val="1"/>
                <w:sz w:val="20"/>
                <w:szCs w:val="20"/>
              </w:rPr>
              <w:t>，可按实际需要调整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4794" w:type="dxa"/>
            <w:vAlign w:val="top"/>
          </w:tcPr>
          <w:p>
            <w:pPr>
              <w:spacing w:before="150" w:line="220" w:lineRule="auto"/>
              <w:ind w:left="1455"/>
              <w:rPr>
                <w:rFonts w:ascii="宋体" w:hAnsi="宋体" w:eastAsia="宋体" w:cs="宋体"/>
                <w:sz w:val="20"/>
                <w:szCs w:val="20"/>
              </w:rPr>
            </w:pPr>
            <w:r>
              <w:rPr>
                <w:rFonts w:ascii="宋体" w:hAnsi="宋体" w:eastAsia="宋体" w:cs="宋体"/>
                <w:spacing w:val="9"/>
                <w:sz w:val="20"/>
                <w:szCs w:val="20"/>
              </w:rPr>
              <w:t>地面局站内每侧预留</w:t>
            </w:r>
          </w:p>
        </w:tc>
        <w:tc>
          <w:tcPr>
            <w:tcW w:w="4405" w:type="dxa"/>
            <w:gridSpan w:val="4"/>
            <w:vAlign w:val="top"/>
          </w:tcPr>
          <w:p>
            <w:pPr>
              <w:spacing w:before="115" w:line="274" w:lineRule="exact"/>
              <w:ind w:left="1072"/>
              <w:rPr>
                <w:rFonts w:ascii="宋体" w:hAnsi="宋体" w:eastAsia="宋体" w:cs="宋体"/>
                <w:sz w:val="20"/>
                <w:szCs w:val="20"/>
              </w:rPr>
            </w:pPr>
            <w:r>
              <w:rPr>
                <w:rFonts w:ascii="Times New Roman" w:hAnsi="Times New Roman" w:eastAsia="Times New Roman" w:cs="Times New Roman"/>
                <w:spacing w:val="5"/>
                <w:position w:val="1"/>
                <w:sz w:val="20"/>
                <w:szCs w:val="20"/>
              </w:rPr>
              <w:t>20m</w:t>
            </w:r>
            <w:r>
              <w:rPr>
                <w:rFonts w:ascii="Times New Roman" w:hAnsi="Times New Roman" w:eastAsia="Times New Roman" w:cs="Times New Roman"/>
                <w:spacing w:val="-10"/>
                <w:position w:val="1"/>
                <w:sz w:val="20"/>
                <w:szCs w:val="20"/>
              </w:rPr>
              <w:t xml:space="preserve"> </w:t>
            </w:r>
            <w:r>
              <w:rPr>
                <w:rFonts w:ascii="宋体" w:hAnsi="宋体" w:eastAsia="宋体" w:cs="宋体"/>
                <w:spacing w:val="5"/>
                <w:position w:val="1"/>
                <w:sz w:val="20"/>
                <w:szCs w:val="20"/>
              </w:rPr>
              <w:t>，可按实际需要调整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9" w:hRule="atLeast"/>
        </w:trPr>
        <w:tc>
          <w:tcPr>
            <w:tcW w:w="4794" w:type="dxa"/>
            <w:vAlign w:val="top"/>
          </w:tcPr>
          <w:p>
            <w:pPr>
              <w:spacing w:before="146" w:line="222" w:lineRule="auto"/>
              <w:ind w:left="422"/>
              <w:rPr>
                <w:rFonts w:ascii="宋体" w:hAnsi="宋体" w:eastAsia="宋体" w:cs="宋体"/>
                <w:sz w:val="20"/>
                <w:szCs w:val="20"/>
              </w:rPr>
            </w:pPr>
            <w:r>
              <w:rPr>
                <w:rFonts w:ascii="宋体" w:hAnsi="宋体" w:eastAsia="宋体" w:cs="宋体"/>
                <w:spacing w:val="8"/>
                <w:sz w:val="20"/>
                <w:szCs w:val="20"/>
              </w:rPr>
              <w:t>因水利、道路、桥梁等建设规划导致的预留</w:t>
            </w:r>
          </w:p>
        </w:tc>
        <w:tc>
          <w:tcPr>
            <w:tcW w:w="4405" w:type="dxa"/>
            <w:gridSpan w:val="4"/>
            <w:vAlign w:val="top"/>
          </w:tcPr>
          <w:p>
            <w:pPr>
              <w:spacing w:before="151" w:line="215" w:lineRule="auto"/>
              <w:ind w:left="1467"/>
              <w:rPr>
                <w:rFonts w:ascii="宋体" w:hAnsi="宋体" w:eastAsia="宋体" w:cs="宋体"/>
                <w:sz w:val="20"/>
                <w:szCs w:val="20"/>
              </w:rPr>
            </w:pPr>
            <w:r>
              <w:rPr>
                <w:rFonts w:ascii="宋体" w:hAnsi="宋体" w:eastAsia="宋体" w:cs="宋体"/>
                <w:spacing w:val="9"/>
                <w:sz w:val="20"/>
                <w:szCs w:val="20"/>
              </w:rPr>
              <w:t>按实际需要调整</w:t>
            </w:r>
          </w:p>
        </w:tc>
      </w:tr>
    </w:tbl>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66" w:line="364" w:lineRule="auto"/>
        <w:ind w:left="7" w:right="130" w:firstLine="420"/>
        <w:rPr>
          <w:rFonts w:ascii="宋体" w:hAnsi="宋体" w:eastAsia="宋体" w:cs="宋体"/>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电缆在人孔中的预留长度应按</w:t>
      </w:r>
      <w:r>
        <w:rPr>
          <w:rFonts w:ascii="宋体" w:hAnsi="宋体" w:eastAsia="宋体" w:cs="宋体"/>
          <w:spacing w:val="-28"/>
          <w:sz w:val="20"/>
          <w:szCs w:val="20"/>
        </w:rPr>
        <w:t xml:space="preserve"> </w:t>
      </w:r>
      <w:r>
        <w:rPr>
          <w:rFonts w:ascii="Times New Roman" w:hAnsi="Times New Roman" w:eastAsia="Times New Roman" w:cs="Times New Roman"/>
          <w:spacing w:val="7"/>
          <w:sz w:val="20"/>
          <w:szCs w:val="20"/>
        </w:rPr>
        <w:t>L=L</w:t>
      </w:r>
      <w:r>
        <w:rPr>
          <w:rFonts w:ascii="Times New Roman" w:hAnsi="Times New Roman" w:eastAsia="Times New Roman" w:cs="Times New Roman"/>
          <w:spacing w:val="-29"/>
          <w:sz w:val="20"/>
          <w:szCs w:val="20"/>
        </w:rPr>
        <w:t xml:space="preserve"> </w:t>
      </w:r>
      <w:r>
        <w:rPr>
          <w:rFonts w:ascii="Gulim" w:hAnsi="Gulim" w:eastAsia="Gulim" w:cs="Gulim"/>
          <w:spacing w:val="7"/>
          <w:sz w:val="20"/>
          <w:szCs w:val="20"/>
        </w:rPr>
        <w:t xml:space="preserve">1  </w:t>
      </w:r>
      <w:r>
        <w:rPr>
          <w:rFonts w:ascii="Times New Roman" w:hAnsi="Times New Roman" w:eastAsia="Times New Roman" w:cs="Times New Roman"/>
          <w:spacing w:val="7"/>
          <w:sz w:val="20"/>
          <w:szCs w:val="20"/>
        </w:rPr>
        <w:t>+L</w:t>
      </w:r>
      <w:r>
        <w:rPr>
          <w:rFonts w:ascii="Gulim" w:hAnsi="Gulim" w:eastAsia="Gulim" w:cs="Gulim"/>
          <w:spacing w:val="7"/>
          <w:sz w:val="20"/>
          <w:szCs w:val="20"/>
        </w:rPr>
        <w:t xml:space="preserve">2  </w:t>
      </w:r>
      <w:r>
        <w:rPr>
          <w:rFonts w:ascii="Times New Roman" w:hAnsi="Times New Roman" w:eastAsia="Times New Roman" w:cs="Times New Roman"/>
          <w:spacing w:val="7"/>
          <w:sz w:val="20"/>
          <w:szCs w:val="20"/>
        </w:rPr>
        <w:t>+L</w:t>
      </w:r>
      <w:r>
        <w:rPr>
          <w:rFonts w:ascii="Gulim" w:hAnsi="Gulim" w:eastAsia="Gulim" w:cs="Gulim"/>
          <w:spacing w:val="7"/>
          <w:sz w:val="20"/>
          <w:szCs w:val="20"/>
        </w:rPr>
        <w:t>3</w:t>
      </w:r>
      <w:r>
        <w:rPr>
          <w:rFonts w:ascii="Gulim" w:hAnsi="Gulim" w:eastAsia="Gulim" w:cs="Gulim"/>
          <w:spacing w:val="62"/>
          <w:sz w:val="20"/>
          <w:szCs w:val="20"/>
        </w:rPr>
        <w:t xml:space="preserve"> </w:t>
      </w:r>
      <w:r>
        <w:rPr>
          <w:rFonts w:ascii="Times New Roman" w:hAnsi="Times New Roman" w:eastAsia="Times New Roman" w:cs="Times New Roman"/>
          <w:spacing w:val="7"/>
          <w:sz w:val="20"/>
          <w:szCs w:val="20"/>
        </w:rPr>
        <w:t>+L</w:t>
      </w:r>
      <w:r>
        <w:rPr>
          <w:rFonts w:ascii="Gulim" w:hAnsi="Gulim" w:eastAsia="Gulim" w:cs="Gulim"/>
          <w:spacing w:val="7"/>
          <w:sz w:val="20"/>
          <w:szCs w:val="20"/>
        </w:rPr>
        <w:t>4</w:t>
      </w:r>
      <w:r>
        <w:rPr>
          <w:rFonts w:ascii="Gulim" w:hAnsi="Gulim" w:eastAsia="Gulim" w:cs="Gulim"/>
          <w:spacing w:val="64"/>
          <w:w w:val="101"/>
          <w:sz w:val="20"/>
          <w:szCs w:val="20"/>
        </w:rPr>
        <w:t xml:space="preserve"> </w:t>
      </w:r>
      <w:r>
        <w:rPr>
          <w:rFonts w:ascii="Times New Roman" w:hAnsi="Times New Roman" w:eastAsia="Times New Roman" w:cs="Times New Roman"/>
          <w:spacing w:val="7"/>
          <w:sz w:val="20"/>
          <w:szCs w:val="20"/>
        </w:rPr>
        <w:t>+L</w:t>
      </w:r>
      <w:r>
        <w:rPr>
          <w:rFonts w:ascii="MS UI Gothic" w:hAnsi="MS UI Gothic" w:eastAsia="MS UI Gothic" w:cs="MS UI Gothic"/>
          <w:spacing w:val="7"/>
          <w:sz w:val="20"/>
          <w:szCs w:val="20"/>
        </w:rPr>
        <w:t xml:space="preserve">5  </w:t>
      </w:r>
      <w:r>
        <w:rPr>
          <w:rFonts w:ascii="Times New Roman" w:hAnsi="Times New Roman" w:eastAsia="Times New Roman" w:cs="Times New Roman"/>
          <w:spacing w:val="7"/>
          <w:sz w:val="20"/>
          <w:szCs w:val="20"/>
        </w:rPr>
        <w:t>-L</w:t>
      </w:r>
      <w:r>
        <w:rPr>
          <w:rFonts w:ascii="MS UI Gothic" w:hAnsi="MS UI Gothic" w:eastAsia="MS UI Gothic" w:cs="MS UI Gothic"/>
          <w:spacing w:val="7"/>
          <w:sz w:val="20"/>
          <w:szCs w:val="20"/>
        </w:rPr>
        <w:t>6</w:t>
      </w:r>
      <w:r>
        <w:rPr>
          <w:rFonts w:ascii="MS UI Gothic" w:hAnsi="MS UI Gothic" w:eastAsia="MS UI Gothic" w:cs="MS UI Gothic"/>
          <w:spacing w:val="6"/>
          <w:sz w:val="20"/>
          <w:szCs w:val="20"/>
        </w:rPr>
        <w:t xml:space="preserve">    </w:t>
      </w:r>
      <w:r>
        <w:rPr>
          <w:rFonts w:ascii="宋体" w:hAnsi="宋体" w:eastAsia="宋体" w:cs="宋体"/>
          <w:spacing w:val="6"/>
          <w:sz w:val="20"/>
          <w:szCs w:val="20"/>
        </w:rPr>
        <w:t>计算</w:t>
      </w:r>
      <w:r>
        <w:rPr>
          <w:rFonts w:ascii="宋体" w:hAnsi="宋体" w:eastAsia="宋体" w:cs="宋体"/>
          <w:spacing w:val="-50"/>
          <w:sz w:val="20"/>
          <w:szCs w:val="20"/>
        </w:rPr>
        <w:t xml:space="preserve"> </w:t>
      </w:r>
      <w:r>
        <w:rPr>
          <w:rFonts w:ascii="宋体" w:hAnsi="宋体" w:eastAsia="宋体" w:cs="宋体"/>
          <w:spacing w:val="6"/>
          <w:sz w:val="20"/>
          <w:szCs w:val="20"/>
        </w:rPr>
        <w:t>，式中取值应符合表</w:t>
      </w:r>
      <w:r>
        <w:rPr>
          <w:rFonts w:ascii="Times New Roman" w:hAnsi="Times New Roman" w:eastAsia="Times New Roman" w:cs="Times New Roman"/>
          <w:spacing w:val="2"/>
          <w:sz w:val="20"/>
          <w:szCs w:val="20"/>
        </w:rPr>
        <w:t>L.4.6-2</w:t>
      </w:r>
      <w:r>
        <w:rPr>
          <w:rFonts w:ascii="Times New Roman" w:hAnsi="Times New Roman" w:eastAsia="Times New Roman" w:cs="Times New Roman"/>
          <w:spacing w:val="35"/>
          <w:sz w:val="20"/>
          <w:szCs w:val="20"/>
        </w:rPr>
        <w:t xml:space="preserve"> </w:t>
      </w:r>
      <w:r>
        <w:rPr>
          <w:rFonts w:ascii="宋体" w:hAnsi="宋体" w:eastAsia="宋体" w:cs="宋体"/>
          <w:spacing w:val="2"/>
          <w:sz w:val="20"/>
          <w:szCs w:val="20"/>
        </w:rPr>
        <w:t>的规定。</w:t>
      </w:r>
    </w:p>
    <w:p>
      <w:pPr>
        <w:spacing w:line="364" w:lineRule="auto"/>
        <w:rPr>
          <w:rFonts w:ascii="宋体" w:hAnsi="宋体" w:eastAsia="宋体" w:cs="宋体"/>
          <w:sz w:val="20"/>
          <w:szCs w:val="20"/>
        </w:rPr>
        <w:sectPr>
          <w:footerReference r:id="rId96" w:type="default"/>
          <w:pgSz w:w="11905" w:h="16840"/>
          <w:pgMar w:top="400" w:right="1288" w:bottom="1213" w:left="1412"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2759"/>
        <w:rPr>
          <w:rFonts w:ascii="宋体" w:hAnsi="宋体" w:eastAsia="宋体" w:cs="宋体"/>
          <w:sz w:val="20"/>
          <w:szCs w:val="20"/>
        </w:rPr>
      </w:pPr>
      <w:r>
        <w:rPr>
          <w:rFonts w:ascii="宋体" w:hAnsi="宋体" w:eastAsia="宋体" w:cs="宋体"/>
          <w:b/>
          <w:bCs/>
          <w:position w:val="1"/>
          <w:sz w:val="20"/>
          <w:szCs w:val="20"/>
        </w:rPr>
        <w:t>表</w:t>
      </w:r>
      <w:r>
        <w:rPr>
          <w:rFonts w:ascii="宋体" w:hAnsi="宋体" w:eastAsia="宋体" w:cs="宋体"/>
          <w:position w:val="1"/>
          <w:sz w:val="20"/>
          <w:szCs w:val="20"/>
        </w:rPr>
        <w:t xml:space="preserve"> </w:t>
      </w:r>
      <w:r>
        <w:rPr>
          <w:rFonts w:ascii="宋体" w:hAnsi="宋体" w:eastAsia="宋体" w:cs="宋体"/>
          <w:b/>
          <w:bCs/>
          <w:position w:val="1"/>
          <w:sz w:val="20"/>
          <w:szCs w:val="20"/>
        </w:rPr>
        <w:t>L.4.6-2</w:t>
      </w:r>
      <w:r>
        <w:rPr>
          <w:rFonts w:ascii="宋体" w:hAnsi="宋体" w:eastAsia="宋体" w:cs="宋体"/>
          <w:spacing w:val="25"/>
          <w:position w:val="1"/>
          <w:sz w:val="20"/>
          <w:szCs w:val="20"/>
        </w:rPr>
        <w:t xml:space="preserve">  </w:t>
      </w:r>
      <w:r>
        <w:rPr>
          <w:rFonts w:ascii="宋体" w:hAnsi="宋体" w:eastAsia="宋体" w:cs="宋体"/>
          <w:b/>
          <w:bCs/>
          <w:position w:val="1"/>
          <w:sz w:val="20"/>
          <w:szCs w:val="20"/>
        </w:rPr>
        <w:t>电缆在人孔中的预留长度</w:t>
      </w:r>
    </w:p>
    <w:p>
      <w:pPr>
        <w:spacing w:before="141"/>
      </w:pPr>
    </w:p>
    <w:tbl>
      <w:tblPr>
        <w:tblStyle w:val="5"/>
        <w:tblW w:w="9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3659"/>
        <w:gridCol w:w="1431"/>
        <w:gridCol w:w="31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853" w:type="dxa"/>
            <w:vAlign w:val="top"/>
          </w:tcPr>
          <w:p>
            <w:pPr>
              <w:spacing w:before="172" w:line="219" w:lineRule="auto"/>
              <w:ind w:left="219"/>
              <w:rPr>
                <w:rFonts w:ascii="宋体" w:hAnsi="宋体" w:eastAsia="宋体" w:cs="宋体"/>
                <w:sz w:val="20"/>
                <w:szCs w:val="20"/>
              </w:rPr>
            </w:pPr>
            <w:r>
              <w:rPr>
                <w:rFonts w:ascii="宋体" w:hAnsi="宋体" w:eastAsia="宋体" w:cs="宋体"/>
                <w:spacing w:val="6"/>
                <w:sz w:val="20"/>
                <w:szCs w:val="20"/>
              </w:rPr>
              <w:t>分类</w:t>
            </w:r>
          </w:p>
        </w:tc>
        <w:tc>
          <w:tcPr>
            <w:tcW w:w="3659" w:type="dxa"/>
            <w:vAlign w:val="top"/>
          </w:tcPr>
          <w:p>
            <w:pPr>
              <w:spacing w:before="171" w:line="219" w:lineRule="auto"/>
              <w:ind w:left="1461"/>
              <w:rPr>
                <w:rFonts w:ascii="宋体" w:hAnsi="宋体" w:eastAsia="宋体" w:cs="宋体"/>
                <w:sz w:val="20"/>
                <w:szCs w:val="20"/>
              </w:rPr>
            </w:pPr>
            <w:r>
              <w:rPr>
                <w:rFonts w:ascii="宋体" w:hAnsi="宋体" w:eastAsia="宋体" w:cs="宋体"/>
                <w:spacing w:val="6"/>
                <w:sz w:val="20"/>
                <w:szCs w:val="20"/>
              </w:rPr>
              <w:t>类</w:t>
            </w:r>
            <w:r>
              <w:rPr>
                <w:rFonts w:ascii="宋体" w:hAnsi="宋体" w:eastAsia="宋体" w:cs="宋体"/>
                <w:spacing w:val="5"/>
                <w:sz w:val="20"/>
                <w:szCs w:val="20"/>
              </w:rPr>
              <w:t xml:space="preserve">   </w:t>
            </w:r>
            <w:r>
              <w:rPr>
                <w:rFonts w:ascii="宋体" w:hAnsi="宋体" w:eastAsia="宋体" w:cs="宋体"/>
                <w:spacing w:val="6"/>
                <w:sz w:val="20"/>
                <w:szCs w:val="20"/>
              </w:rPr>
              <w:t>别</w:t>
            </w:r>
          </w:p>
        </w:tc>
        <w:tc>
          <w:tcPr>
            <w:tcW w:w="1431" w:type="dxa"/>
            <w:vAlign w:val="top"/>
          </w:tcPr>
          <w:p>
            <w:pPr>
              <w:spacing w:before="136" w:line="274" w:lineRule="exact"/>
              <w:ind w:left="292"/>
              <w:rPr>
                <w:rFonts w:ascii="Times New Roman" w:hAnsi="Times New Roman" w:eastAsia="Times New Roman" w:cs="Times New Roman"/>
                <w:sz w:val="20"/>
                <w:szCs w:val="20"/>
              </w:rPr>
            </w:pPr>
            <w:r>
              <w:rPr>
                <w:rFonts w:ascii="宋体" w:hAnsi="宋体" w:eastAsia="宋体" w:cs="宋体"/>
                <w:spacing w:val="4"/>
                <w:position w:val="2"/>
                <w:sz w:val="20"/>
                <w:szCs w:val="20"/>
              </w:rPr>
              <w:t>留长</w:t>
            </w:r>
            <w:r>
              <w:rPr>
                <w:rFonts w:ascii="Times New Roman" w:hAnsi="Times New Roman" w:eastAsia="Times New Roman" w:cs="Times New Roman"/>
                <w:spacing w:val="4"/>
                <w:position w:val="2"/>
                <w:sz w:val="20"/>
                <w:szCs w:val="20"/>
              </w:rPr>
              <w:t>(</w:t>
            </w:r>
            <w:r>
              <w:rPr>
                <w:rFonts w:ascii="Times New Roman" w:hAnsi="Times New Roman" w:eastAsia="Times New Roman" w:cs="Times New Roman"/>
                <w:position w:val="2"/>
                <w:sz w:val="20"/>
                <w:szCs w:val="20"/>
              </w:rPr>
              <w:t>mm</w:t>
            </w:r>
            <w:r>
              <w:rPr>
                <w:rFonts w:ascii="Times New Roman" w:hAnsi="Times New Roman" w:eastAsia="Times New Roman" w:cs="Times New Roman"/>
                <w:spacing w:val="4"/>
                <w:position w:val="2"/>
                <w:sz w:val="20"/>
                <w:szCs w:val="20"/>
              </w:rPr>
              <w:t>)</w:t>
            </w:r>
          </w:p>
        </w:tc>
        <w:tc>
          <w:tcPr>
            <w:tcW w:w="3171" w:type="dxa"/>
            <w:vAlign w:val="top"/>
          </w:tcPr>
          <w:p>
            <w:pPr>
              <w:spacing w:before="169" w:line="223" w:lineRule="auto"/>
              <w:ind w:left="1219"/>
              <w:rPr>
                <w:rFonts w:ascii="宋体" w:hAnsi="宋体" w:eastAsia="宋体" w:cs="宋体"/>
                <w:sz w:val="20"/>
                <w:szCs w:val="20"/>
              </w:rPr>
            </w:pPr>
            <w:r>
              <w:rPr>
                <w:rFonts w:ascii="宋体" w:hAnsi="宋体" w:eastAsia="宋体" w:cs="宋体"/>
                <w:spacing w:val="2"/>
                <w:sz w:val="20"/>
                <w:szCs w:val="20"/>
              </w:rPr>
              <w:t>备</w:t>
            </w:r>
            <w:r>
              <w:rPr>
                <w:rFonts w:ascii="宋体" w:hAnsi="宋体" w:eastAsia="宋体" w:cs="宋体"/>
                <w:spacing w:val="8"/>
                <w:sz w:val="20"/>
                <w:szCs w:val="20"/>
              </w:rPr>
              <w:t xml:space="preserve">   </w:t>
            </w:r>
            <w:r>
              <w:rPr>
                <w:rFonts w:ascii="宋体" w:hAnsi="宋体" w:eastAsia="宋体" w:cs="宋体"/>
                <w:spacing w:val="2"/>
                <w:sz w:val="20"/>
                <w:szCs w:val="20"/>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853" w:type="dxa"/>
            <w:vAlign w:val="top"/>
          </w:tcPr>
          <w:p>
            <w:pPr>
              <w:spacing w:before="198" w:line="199" w:lineRule="auto"/>
              <w:ind w:left="259"/>
              <w:rPr>
                <w:rFonts w:ascii="Gulim" w:hAnsi="Gulim" w:eastAsia="Gulim" w:cs="Gulim"/>
                <w:sz w:val="20"/>
                <w:szCs w:val="20"/>
              </w:rPr>
            </w:pPr>
            <w:r>
              <w:rPr>
                <w:rFonts w:ascii="Times New Roman" w:hAnsi="Times New Roman" w:eastAsia="Times New Roman" w:cs="Times New Roman"/>
                <w:spacing w:val="8"/>
                <w:sz w:val="20"/>
                <w:szCs w:val="20"/>
              </w:rPr>
              <w:t>L</w:t>
            </w:r>
            <w:r>
              <w:rPr>
                <w:rFonts w:ascii="Gulim" w:hAnsi="Gulim" w:eastAsia="Gulim" w:cs="Gulim"/>
                <w:spacing w:val="8"/>
                <w:sz w:val="20"/>
                <w:szCs w:val="20"/>
              </w:rPr>
              <w:t>1</w:t>
            </w:r>
          </w:p>
        </w:tc>
        <w:tc>
          <w:tcPr>
            <w:tcW w:w="3659" w:type="dxa"/>
            <w:vAlign w:val="top"/>
          </w:tcPr>
          <w:p>
            <w:pPr>
              <w:spacing w:before="164" w:line="220" w:lineRule="auto"/>
              <w:ind w:left="693"/>
              <w:rPr>
                <w:rFonts w:ascii="宋体" w:hAnsi="宋体" w:eastAsia="宋体" w:cs="宋体"/>
                <w:sz w:val="20"/>
                <w:szCs w:val="20"/>
              </w:rPr>
            </w:pPr>
            <w:r>
              <w:rPr>
                <w:rFonts w:ascii="宋体" w:hAnsi="宋体" w:eastAsia="宋体" w:cs="宋体"/>
                <w:spacing w:val="7"/>
                <w:sz w:val="20"/>
                <w:szCs w:val="20"/>
              </w:rPr>
              <w:t>电缆在人孔中的弯曲长度</w:t>
            </w:r>
          </w:p>
        </w:tc>
        <w:tc>
          <w:tcPr>
            <w:tcW w:w="1431" w:type="dxa"/>
            <w:vAlign w:val="top"/>
          </w:tcPr>
          <w:p>
            <w:pPr>
              <w:spacing w:before="164" w:line="220" w:lineRule="auto"/>
              <w:ind w:left="191"/>
              <w:rPr>
                <w:rFonts w:ascii="宋体" w:hAnsi="宋体" w:eastAsia="宋体" w:cs="宋体"/>
                <w:sz w:val="20"/>
                <w:szCs w:val="20"/>
              </w:rPr>
            </w:pPr>
            <w:r>
              <w:rPr>
                <w:rFonts w:ascii="宋体" w:hAnsi="宋体" w:eastAsia="宋体" w:cs="宋体"/>
                <w:spacing w:val="9"/>
                <w:sz w:val="20"/>
                <w:szCs w:val="20"/>
              </w:rPr>
              <w:t>按实际计算</w:t>
            </w:r>
          </w:p>
        </w:tc>
        <w:tc>
          <w:tcPr>
            <w:tcW w:w="3171" w:type="dxa"/>
            <w:vAlign w:val="top"/>
          </w:tcPr>
          <w:p>
            <w:pPr>
              <w:spacing w:before="163" w:line="221" w:lineRule="auto"/>
              <w:ind w:left="223"/>
              <w:rPr>
                <w:rFonts w:ascii="宋体" w:hAnsi="宋体" w:eastAsia="宋体" w:cs="宋体"/>
                <w:sz w:val="20"/>
                <w:szCs w:val="20"/>
              </w:rPr>
            </w:pPr>
            <w:r>
              <w:rPr>
                <w:rFonts w:ascii="宋体" w:hAnsi="宋体" w:eastAsia="宋体" w:cs="宋体"/>
                <w:spacing w:val="9"/>
                <w:sz w:val="20"/>
                <w:szCs w:val="20"/>
              </w:rPr>
              <w:t>管道口到第一电缆铁架的长度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853" w:type="dxa"/>
            <w:vAlign w:val="top"/>
          </w:tcPr>
          <w:p>
            <w:pPr>
              <w:spacing w:before="202" w:line="201" w:lineRule="auto"/>
              <w:ind w:left="259"/>
              <w:rPr>
                <w:rFonts w:ascii="Gulim" w:hAnsi="Gulim" w:eastAsia="Gulim" w:cs="Gulim"/>
                <w:sz w:val="20"/>
                <w:szCs w:val="20"/>
              </w:rPr>
            </w:pPr>
            <w:r>
              <w:rPr>
                <w:rFonts w:ascii="Times New Roman" w:hAnsi="Times New Roman" w:eastAsia="Times New Roman" w:cs="Times New Roman"/>
                <w:sz w:val="20"/>
                <w:szCs w:val="20"/>
              </w:rPr>
              <w:t>L</w:t>
            </w:r>
            <w:r>
              <w:rPr>
                <w:rFonts w:ascii="Gulim" w:hAnsi="Gulim" w:eastAsia="Gulim" w:cs="Gulim"/>
                <w:sz w:val="20"/>
                <w:szCs w:val="20"/>
              </w:rPr>
              <w:t>2</w:t>
            </w:r>
          </w:p>
        </w:tc>
        <w:tc>
          <w:tcPr>
            <w:tcW w:w="3659" w:type="dxa"/>
            <w:vAlign w:val="top"/>
          </w:tcPr>
          <w:p>
            <w:pPr>
              <w:spacing w:before="166" w:line="221" w:lineRule="auto"/>
              <w:ind w:left="43"/>
              <w:rPr>
                <w:rFonts w:ascii="宋体" w:hAnsi="宋体" w:eastAsia="宋体" w:cs="宋体"/>
                <w:sz w:val="20"/>
                <w:szCs w:val="20"/>
              </w:rPr>
            </w:pPr>
            <w:r>
              <w:rPr>
                <w:rFonts w:ascii="宋体" w:hAnsi="宋体" w:eastAsia="宋体" w:cs="宋体"/>
                <w:spacing w:val="9"/>
                <w:sz w:val="20"/>
                <w:szCs w:val="20"/>
              </w:rPr>
              <w:t>第一个电缆铁架至电缆接头的中心长度</w:t>
            </w:r>
          </w:p>
        </w:tc>
        <w:tc>
          <w:tcPr>
            <w:tcW w:w="1431" w:type="dxa"/>
            <w:vAlign w:val="top"/>
          </w:tcPr>
          <w:p>
            <w:pPr>
              <w:spacing w:before="132" w:line="274" w:lineRule="exact"/>
              <w:ind w:left="56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350</w:t>
            </w:r>
          </w:p>
        </w:tc>
        <w:tc>
          <w:tcPr>
            <w:tcW w:w="3171" w:type="dxa"/>
            <w:vAlign w:val="top"/>
          </w:tcPr>
          <w:p>
            <w:pPr>
              <w:spacing w:before="168" w:line="219" w:lineRule="auto"/>
              <w:ind w:left="553"/>
              <w:rPr>
                <w:rFonts w:ascii="宋体" w:hAnsi="宋体" w:eastAsia="宋体" w:cs="宋体"/>
                <w:sz w:val="20"/>
                <w:szCs w:val="20"/>
              </w:rPr>
            </w:pPr>
            <w:r>
              <w:rPr>
                <w:rFonts w:ascii="宋体" w:hAnsi="宋体" w:eastAsia="宋体" w:cs="宋体"/>
                <w:spacing w:val="7"/>
                <w:sz w:val="20"/>
                <w:szCs w:val="20"/>
              </w:rPr>
              <w:t>即铁架间的距离的一半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trPr>
        <w:tc>
          <w:tcPr>
            <w:tcW w:w="853" w:type="dxa"/>
            <w:vAlign w:val="top"/>
          </w:tcPr>
          <w:p>
            <w:pPr>
              <w:spacing w:before="202" w:line="201" w:lineRule="auto"/>
              <w:ind w:left="259"/>
              <w:rPr>
                <w:rFonts w:ascii="Gulim" w:hAnsi="Gulim" w:eastAsia="Gulim" w:cs="Gulim"/>
                <w:sz w:val="20"/>
                <w:szCs w:val="20"/>
              </w:rPr>
            </w:pPr>
            <w:r>
              <w:rPr>
                <w:rFonts w:ascii="Times New Roman" w:hAnsi="Times New Roman" w:eastAsia="Times New Roman" w:cs="Times New Roman"/>
                <w:spacing w:val="8"/>
                <w:sz w:val="20"/>
                <w:szCs w:val="20"/>
              </w:rPr>
              <w:t>L</w:t>
            </w:r>
            <w:r>
              <w:rPr>
                <w:rFonts w:ascii="Gulim" w:hAnsi="Gulim" w:eastAsia="Gulim" w:cs="Gulim"/>
                <w:spacing w:val="8"/>
                <w:sz w:val="20"/>
                <w:szCs w:val="20"/>
              </w:rPr>
              <w:t>3</w:t>
            </w:r>
          </w:p>
        </w:tc>
        <w:tc>
          <w:tcPr>
            <w:tcW w:w="3659" w:type="dxa"/>
            <w:vAlign w:val="top"/>
          </w:tcPr>
          <w:p>
            <w:pPr>
              <w:spacing w:before="167" w:line="219" w:lineRule="auto"/>
              <w:ind w:left="904"/>
              <w:rPr>
                <w:rFonts w:ascii="宋体" w:hAnsi="宋体" w:eastAsia="宋体" w:cs="宋体"/>
                <w:sz w:val="20"/>
                <w:szCs w:val="20"/>
              </w:rPr>
            </w:pPr>
            <w:r>
              <w:rPr>
                <w:rFonts w:ascii="宋体" w:hAnsi="宋体" w:eastAsia="宋体" w:cs="宋体"/>
                <w:spacing w:val="7"/>
                <w:sz w:val="20"/>
                <w:szCs w:val="20"/>
              </w:rPr>
              <w:t>电缆接续所需的长度</w:t>
            </w:r>
          </w:p>
        </w:tc>
        <w:tc>
          <w:tcPr>
            <w:tcW w:w="1431" w:type="dxa"/>
            <w:vAlign w:val="top"/>
          </w:tcPr>
          <w:p>
            <w:pPr>
              <w:spacing w:before="132" w:line="274" w:lineRule="exact"/>
              <w:ind w:left="559"/>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250</w:t>
            </w:r>
          </w:p>
        </w:tc>
        <w:tc>
          <w:tcPr>
            <w:tcW w:w="3171" w:type="dxa"/>
            <w:vAlign w:val="top"/>
          </w:tcPr>
          <w:p>
            <w:pPr>
              <w:spacing w:before="167" w:line="220" w:lineRule="auto"/>
              <w:ind w:left="366"/>
              <w:rPr>
                <w:rFonts w:ascii="宋体" w:hAnsi="宋体" w:eastAsia="宋体" w:cs="宋体"/>
                <w:sz w:val="20"/>
                <w:szCs w:val="20"/>
              </w:rPr>
            </w:pPr>
            <w:r>
              <w:rPr>
                <w:rFonts w:ascii="宋体" w:hAnsi="宋体" w:eastAsia="宋体" w:cs="宋体"/>
                <w:spacing w:val="6"/>
                <w:sz w:val="20"/>
                <w:szCs w:val="20"/>
              </w:rPr>
              <w:t>自电缆接头的中心开始起算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trPr>
        <w:tc>
          <w:tcPr>
            <w:tcW w:w="853" w:type="dxa"/>
            <w:vAlign w:val="top"/>
          </w:tcPr>
          <w:p>
            <w:pPr>
              <w:spacing w:before="202" w:line="201" w:lineRule="auto"/>
              <w:ind w:left="259"/>
              <w:rPr>
                <w:rFonts w:ascii="Gulim" w:hAnsi="Gulim" w:eastAsia="Gulim" w:cs="Gulim"/>
                <w:sz w:val="20"/>
                <w:szCs w:val="20"/>
              </w:rPr>
            </w:pPr>
            <w:r>
              <w:rPr>
                <w:rFonts w:ascii="Times New Roman" w:hAnsi="Times New Roman" w:eastAsia="Times New Roman" w:cs="Times New Roman"/>
                <w:sz w:val="20"/>
                <w:szCs w:val="20"/>
              </w:rPr>
              <w:t>L</w:t>
            </w:r>
            <w:r>
              <w:rPr>
                <w:rFonts w:ascii="Gulim" w:hAnsi="Gulim" w:eastAsia="Gulim" w:cs="Gulim"/>
                <w:sz w:val="20"/>
                <w:szCs w:val="20"/>
              </w:rPr>
              <w:t>4</w:t>
            </w:r>
          </w:p>
        </w:tc>
        <w:tc>
          <w:tcPr>
            <w:tcW w:w="3659" w:type="dxa"/>
            <w:vAlign w:val="top"/>
          </w:tcPr>
          <w:p>
            <w:pPr>
              <w:spacing w:before="167" w:line="219" w:lineRule="auto"/>
              <w:ind w:left="693"/>
              <w:rPr>
                <w:rFonts w:ascii="宋体" w:hAnsi="宋体" w:eastAsia="宋体" w:cs="宋体"/>
                <w:sz w:val="20"/>
                <w:szCs w:val="20"/>
              </w:rPr>
            </w:pPr>
            <w:r>
              <w:rPr>
                <w:rFonts w:ascii="宋体" w:hAnsi="宋体" w:eastAsia="宋体" w:cs="宋体"/>
                <w:spacing w:val="7"/>
                <w:sz w:val="20"/>
                <w:szCs w:val="20"/>
              </w:rPr>
              <w:t>电缆接续中所消耗的长度</w:t>
            </w:r>
          </w:p>
        </w:tc>
        <w:tc>
          <w:tcPr>
            <w:tcW w:w="1431" w:type="dxa"/>
            <w:vAlign w:val="top"/>
          </w:tcPr>
          <w:p>
            <w:pPr>
              <w:spacing w:before="132" w:line="275" w:lineRule="exact"/>
              <w:ind w:left="5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150</w:t>
            </w:r>
          </w:p>
        </w:tc>
        <w:tc>
          <w:tcPr>
            <w:tcW w:w="3171" w:type="dxa"/>
            <w:vAlign w:val="top"/>
          </w:tcPr>
          <w:p>
            <w:pPr>
              <w:spacing w:before="167" w:line="219" w:lineRule="auto"/>
              <w:ind w:left="642"/>
              <w:rPr>
                <w:rFonts w:ascii="宋体" w:hAnsi="宋体" w:eastAsia="宋体" w:cs="宋体"/>
                <w:sz w:val="20"/>
                <w:szCs w:val="20"/>
              </w:rPr>
            </w:pPr>
            <w:r>
              <w:rPr>
                <w:rFonts w:ascii="宋体" w:hAnsi="宋体" w:eastAsia="宋体" w:cs="宋体"/>
                <w:spacing w:val="9"/>
                <w:sz w:val="20"/>
                <w:szCs w:val="20"/>
              </w:rPr>
              <w:t>接续电缆芯线时损耗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trPr>
        <w:tc>
          <w:tcPr>
            <w:tcW w:w="853" w:type="dxa"/>
            <w:vAlign w:val="top"/>
          </w:tcPr>
          <w:p>
            <w:pPr>
              <w:spacing w:before="166" w:line="266" w:lineRule="exact"/>
              <w:ind w:left="259"/>
              <w:rPr>
                <w:rFonts w:ascii="MS UI Gothic" w:hAnsi="MS UI Gothic" w:eastAsia="MS UI Gothic" w:cs="MS UI Gothic"/>
                <w:sz w:val="20"/>
                <w:szCs w:val="20"/>
              </w:rPr>
            </w:pPr>
            <w:r>
              <w:rPr>
                <w:rFonts w:ascii="Times New Roman" w:hAnsi="Times New Roman" w:eastAsia="Times New Roman" w:cs="Times New Roman"/>
                <w:position w:val="1"/>
                <w:sz w:val="20"/>
                <w:szCs w:val="20"/>
              </w:rPr>
              <w:t>L</w:t>
            </w:r>
            <w:r>
              <w:rPr>
                <w:rFonts w:ascii="MS UI Gothic" w:hAnsi="MS UI Gothic" w:eastAsia="MS UI Gothic" w:cs="MS UI Gothic"/>
                <w:position w:val="1"/>
                <w:sz w:val="20"/>
                <w:szCs w:val="20"/>
              </w:rPr>
              <w:t>5</w:t>
            </w:r>
          </w:p>
        </w:tc>
        <w:tc>
          <w:tcPr>
            <w:tcW w:w="3659" w:type="dxa"/>
            <w:vAlign w:val="top"/>
          </w:tcPr>
          <w:p>
            <w:pPr>
              <w:spacing w:before="170" w:line="219" w:lineRule="auto"/>
              <w:ind w:left="379"/>
              <w:rPr>
                <w:rFonts w:ascii="宋体" w:hAnsi="宋体" w:eastAsia="宋体" w:cs="宋体"/>
                <w:sz w:val="20"/>
                <w:szCs w:val="20"/>
              </w:rPr>
            </w:pPr>
            <w:r>
              <w:rPr>
                <w:rFonts w:ascii="宋体" w:hAnsi="宋体" w:eastAsia="宋体" w:cs="宋体"/>
                <w:spacing w:val="8"/>
                <w:sz w:val="20"/>
                <w:szCs w:val="20"/>
              </w:rPr>
              <w:t>电缆接续前施工中所消耗的长度</w:t>
            </w:r>
          </w:p>
        </w:tc>
        <w:tc>
          <w:tcPr>
            <w:tcW w:w="1431" w:type="dxa"/>
            <w:vAlign w:val="top"/>
          </w:tcPr>
          <w:p>
            <w:pPr>
              <w:spacing w:before="135" w:line="274" w:lineRule="exact"/>
              <w:ind w:left="5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150</w:t>
            </w:r>
          </w:p>
        </w:tc>
        <w:tc>
          <w:tcPr>
            <w:tcW w:w="3171" w:type="dxa"/>
            <w:vAlign w:val="top"/>
          </w:tcPr>
          <w:p>
            <w:pPr>
              <w:spacing w:before="169" w:line="220" w:lineRule="auto"/>
              <w:ind w:left="116"/>
              <w:rPr>
                <w:rFonts w:ascii="宋体" w:hAnsi="宋体" w:eastAsia="宋体" w:cs="宋体"/>
                <w:sz w:val="20"/>
                <w:szCs w:val="20"/>
              </w:rPr>
            </w:pPr>
            <w:r>
              <w:rPr>
                <w:rFonts w:ascii="宋体" w:hAnsi="宋体" w:eastAsia="宋体" w:cs="宋体"/>
                <w:spacing w:val="9"/>
                <w:sz w:val="20"/>
                <w:szCs w:val="20"/>
              </w:rPr>
              <w:t>包括对号、牵引电缆时的损耗等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1" w:hRule="atLeast"/>
        </w:trPr>
        <w:tc>
          <w:tcPr>
            <w:tcW w:w="853" w:type="dxa"/>
            <w:vAlign w:val="top"/>
          </w:tcPr>
          <w:p>
            <w:pPr>
              <w:spacing w:before="166" w:line="266" w:lineRule="exact"/>
              <w:ind w:left="259"/>
              <w:rPr>
                <w:rFonts w:ascii="MS UI Gothic" w:hAnsi="MS UI Gothic" w:eastAsia="MS UI Gothic" w:cs="MS UI Gothic"/>
                <w:sz w:val="20"/>
                <w:szCs w:val="20"/>
              </w:rPr>
            </w:pPr>
            <w:r>
              <w:rPr>
                <w:rFonts w:ascii="Times New Roman" w:hAnsi="Times New Roman" w:eastAsia="Times New Roman" w:cs="Times New Roman"/>
                <w:position w:val="1"/>
                <w:sz w:val="20"/>
                <w:szCs w:val="20"/>
              </w:rPr>
              <w:t>L</w:t>
            </w:r>
            <w:r>
              <w:rPr>
                <w:rFonts w:ascii="MS UI Gothic" w:hAnsi="MS UI Gothic" w:eastAsia="MS UI Gothic" w:cs="MS UI Gothic"/>
                <w:position w:val="1"/>
                <w:sz w:val="20"/>
                <w:szCs w:val="20"/>
              </w:rPr>
              <w:t>6</w:t>
            </w:r>
          </w:p>
        </w:tc>
        <w:tc>
          <w:tcPr>
            <w:tcW w:w="3659" w:type="dxa"/>
            <w:vAlign w:val="top"/>
          </w:tcPr>
          <w:p>
            <w:pPr>
              <w:spacing w:before="172" w:line="217" w:lineRule="auto"/>
              <w:ind w:left="673"/>
              <w:rPr>
                <w:rFonts w:ascii="宋体" w:hAnsi="宋体" w:eastAsia="宋体" w:cs="宋体"/>
                <w:sz w:val="20"/>
                <w:szCs w:val="20"/>
              </w:rPr>
            </w:pPr>
            <w:r>
              <w:rPr>
                <w:rFonts w:ascii="宋体" w:hAnsi="宋体" w:eastAsia="宋体" w:cs="宋体"/>
                <w:spacing w:val="9"/>
                <w:sz w:val="20"/>
                <w:szCs w:val="20"/>
              </w:rPr>
              <w:t>人孔中心至人孔壁的距离</w:t>
            </w:r>
          </w:p>
        </w:tc>
        <w:tc>
          <w:tcPr>
            <w:tcW w:w="1431" w:type="dxa"/>
            <w:vAlign w:val="top"/>
          </w:tcPr>
          <w:p>
            <w:pPr>
              <w:spacing w:before="170" w:line="220" w:lineRule="auto"/>
              <w:ind w:left="191"/>
              <w:rPr>
                <w:rFonts w:ascii="宋体" w:hAnsi="宋体" w:eastAsia="宋体" w:cs="宋体"/>
                <w:sz w:val="20"/>
                <w:szCs w:val="20"/>
              </w:rPr>
            </w:pPr>
            <w:r>
              <w:rPr>
                <w:rFonts w:ascii="宋体" w:hAnsi="宋体" w:eastAsia="宋体" w:cs="宋体"/>
                <w:spacing w:val="9"/>
                <w:sz w:val="20"/>
                <w:szCs w:val="20"/>
              </w:rPr>
              <w:t>按实际计算</w:t>
            </w:r>
          </w:p>
        </w:tc>
        <w:tc>
          <w:tcPr>
            <w:tcW w:w="3171" w:type="dxa"/>
            <w:vAlign w:val="top"/>
          </w:tcPr>
          <w:p>
            <w:pPr>
              <w:pStyle w:val="6"/>
            </w:pPr>
          </w:p>
        </w:tc>
      </w:tr>
    </w:tbl>
    <w:p>
      <w:pPr>
        <w:spacing w:before="141" w:line="277" w:lineRule="exact"/>
        <w:ind w:left="435"/>
        <w:rPr>
          <w:rFonts w:ascii="宋体" w:hAnsi="宋体" w:eastAsia="宋体" w:cs="宋体"/>
          <w:sz w:val="20"/>
          <w:szCs w:val="20"/>
        </w:rPr>
      </w:pPr>
      <w:r>
        <w:rPr>
          <w:rFonts w:ascii="宋体" w:hAnsi="宋体" w:eastAsia="宋体" w:cs="宋体"/>
          <w:b/>
          <w:bCs/>
          <w:spacing w:val="7"/>
          <w:position w:val="1"/>
          <w:sz w:val="20"/>
          <w:szCs w:val="20"/>
        </w:rPr>
        <w:t>十三、刷油、防腐蚀、绝热工程</w:t>
      </w:r>
    </w:p>
    <w:p>
      <w:pPr>
        <w:spacing w:before="121" w:line="313" w:lineRule="auto"/>
        <w:ind w:left="15" w:right="46" w:firstLine="431"/>
        <w:rPr>
          <w:rFonts w:ascii="宋体" w:hAnsi="宋体" w:eastAsia="宋体" w:cs="宋体"/>
          <w:sz w:val="20"/>
          <w:szCs w:val="20"/>
        </w:rPr>
      </w:pPr>
      <w:r>
        <w:rPr>
          <w:rFonts w:ascii="宋体" w:hAnsi="宋体" w:eastAsia="宋体" w:cs="宋体"/>
          <w:spacing w:val="3"/>
          <w:sz w:val="20"/>
          <w:szCs w:val="20"/>
        </w:rPr>
        <w:t>1. 一般钢结构(包括吊、支、托架、梯子、栏杆、平台)、管廊钢结构以千克</w:t>
      </w:r>
      <w:r>
        <w:rPr>
          <w:rFonts w:ascii="宋体" w:hAnsi="宋体" w:eastAsia="宋体" w:cs="宋体"/>
          <w:spacing w:val="2"/>
          <w:sz w:val="20"/>
          <w:szCs w:val="20"/>
        </w:rPr>
        <w:t>(</w:t>
      </w:r>
      <w:r>
        <w:rPr>
          <w:rFonts w:ascii="宋体" w:hAnsi="宋体" w:eastAsia="宋体" w:cs="宋体"/>
          <w:sz w:val="20"/>
          <w:szCs w:val="20"/>
        </w:rPr>
        <w:t>kg</w:t>
      </w:r>
      <w:r>
        <w:rPr>
          <w:rFonts w:ascii="宋体" w:hAnsi="宋体" w:eastAsia="宋体" w:cs="宋体"/>
          <w:spacing w:val="2"/>
          <w:sz w:val="20"/>
          <w:szCs w:val="20"/>
        </w:rPr>
        <w:t>)为计量单位；大</w:t>
      </w:r>
      <w:r>
        <w:rPr>
          <w:rFonts w:ascii="宋体" w:hAnsi="宋体" w:eastAsia="宋体" w:cs="宋体"/>
          <w:spacing w:val="12"/>
          <w:sz w:val="20"/>
          <w:szCs w:val="20"/>
        </w:rPr>
        <w:t>于</w:t>
      </w:r>
      <w:r>
        <w:rPr>
          <w:rFonts w:ascii="宋体" w:hAnsi="宋体" w:eastAsia="宋体" w:cs="宋体"/>
          <w:spacing w:val="-37"/>
          <w:sz w:val="20"/>
          <w:szCs w:val="20"/>
        </w:rPr>
        <w:t xml:space="preserve"> </w:t>
      </w:r>
      <w:r>
        <w:rPr>
          <w:rFonts w:ascii="宋体" w:hAnsi="宋体" w:eastAsia="宋体" w:cs="宋体"/>
          <w:spacing w:val="12"/>
          <w:sz w:val="20"/>
          <w:szCs w:val="20"/>
        </w:rPr>
        <w:t>300</w:t>
      </w:r>
      <w:r>
        <w:rPr>
          <w:rFonts w:ascii="宋体" w:hAnsi="宋体" w:eastAsia="宋体" w:cs="宋体"/>
          <w:sz w:val="20"/>
          <w:szCs w:val="20"/>
        </w:rPr>
        <w:t>mm</w:t>
      </w:r>
      <w:r>
        <w:rPr>
          <w:rFonts w:ascii="宋体" w:hAnsi="宋体" w:eastAsia="宋体" w:cs="宋体"/>
          <w:spacing w:val="-36"/>
          <w:sz w:val="20"/>
          <w:szCs w:val="20"/>
        </w:rPr>
        <w:t xml:space="preserve"> </w:t>
      </w:r>
      <w:r>
        <w:rPr>
          <w:rFonts w:ascii="宋体" w:hAnsi="宋体" w:eastAsia="宋体" w:cs="宋体"/>
          <w:spacing w:val="12"/>
          <w:sz w:val="20"/>
          <w:szCs w:val="20"/>
        </w:rPr>
        <w:t>型钢及大于</w:t>
      </w:r>
      <w:r>
        <w:rPr>
          <w:rFonts w:ascii="宋体" w:hAnsi="宋体" w:eastAsia="宋体" w:cs="宋体"/>
          <w:spacing w:val="-36"/>
          <w:sz w:val="20"/>
          <w:szCs w:val="20"/>
        </w:rPr>
        <w:t xml:space="preserve"> </w:t>
      </w:r>
      <w:r>
        <w:rPr>
          <w:rFonts w:ascii="宋体" w:hAnsi="宋体" w:eastAsia="宋体" w:cs="宋体"/>
          <w:spacing w:val="12"/>
          <w:sz w:val="20"/>
          <w:szCs w:val="20"/>
        </w:rPr>
        <w:t>300</w:t>
      </w:r>
      <w:r>
        <w:rPr>
          <w:rFonts w:ascii="宋体" w:hAnsi="宋体" w:eastAsia="宋体" w:cs="宋体"/>
          <w:sz w:val="20"/>
          <w:szCs w:val="20"/>
        </w:rPr>
        <w:t>mmH</w:t>
      </w:r>
      <w:r>
        <w:rPr>
          <w:rFonts w:ascii="宋体" w:hAnsi="宋体" w:eastAsia="宋体" w:cs="宋体"/>
          <w:spacing w:val="-35"/>
          <w:sz w:val="20"/>
          <w:szCs w:val="20"/>
        </w:rPr>
        <w:t xml:space="preserve"> </w:t>
      </w:r>
      <w:r>
        <w:rPr>
          <w:rFonts w:ascii="宋体" w:hAnsi="宋体" w:eastAsia="宋体" w:cs="宋体"/>
          <w:spacing w:val="12"/>
          <w:sz w:val="20"/>
          <w:szCs w:val="20"/>
        </w:rPr>
        <w:t>型钢的钢结构以平方米(m</w:t>
      </w:r>
      <w:r>
        <w:rPr>
          <w:rFonts w:ascii="Times New Roman" w:hAnsi="Times New Roman" w:eastAsia="Times New Roman" w:cs="Times New Roman"/>
          <w:spacing w:val="12"/>
          <w:sz w:val="20"/>
          <w:szCs w:val="20"/>
        </w:rPr>
        <w:t>²</w:t>
      </w:r>
      <w:r>
        <w:rPr>
          <w:rFonts w:ascii="宋体" w:hAnsi="宋体" w:eastAsia="宋体" w:cs="宋体"/>
          <w:spacing w:val="12"/>
          <w:sz w:val="20"/>
          <w:szCs w:val="20"/>
        </w:rPr>
        <w:t>)为计量单位，按展开面积计算。</w:t>
      </w:r>
    </w:p>
    <w:p>
      <w:pPr>
        <w:spacing w:before="124" w:line="295" w:lineRule="auto"/>
        <w:ind w:left="9" w:right="46" w:firstLine="420"/>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49"/>
          <w:sz w:val="20"/>
          <w:szCs w:val="20"/>
        </w:rPr>
        <w:t xml:space="preserve"> </w:t>
      </w:r>
      <w:r>
        <w:rPr>
          <w:rFonts w:ascii="宋体" w:hAnsi="宋体" w:eastAsia="宋体" w:cs="宋体"/>
          <w:spacing w:val="7"/>
          <w:sz w:val="20"/>
          <w:szCs w:val="20"/>
        </w:rPr>
        <w:t>由钢管组成的金属结构的刷油按管道刷油相关项目编码，由型钢组成的金属结构的刷油按金</w:t>
      </w:r>
      <w:r>
        <w:rPr>
          <w:rFonts w:ascii="宋体" w:hAnsi="宋体" w:eastAsia="宋体" w:cs="宋体"/>
          <w:spacing w:val="8"/>
          <w:sz w:val="20"/>
          <w:szCs w:val="20"/>
        </w:rPr>
        <w:t>属结构刷油相关项目编码。</w:t>
      </w:r>
    </w:p>
    <w:p>
      <w:pPr>
        <w:spacing w:before="159" w:line="297" w:lineRule="auto"/>
        <w:ind w:left="7" w:right="46" w:firstLine="425"/>
        <w:rPr>
          <w:rFonts w:ascii="宋体" w:hAnsi="宋体" w:eastAsia="宋体" w:cs="宋体"/>
          <w:sz w:val="20"/>
          <w:szCs w:val="20"/>
        </w:rPr>
      </w:pPr>
      <w:r>
        <w:rPr>
          <w:rFonts w:ascii="宋体" w:hAnsi="宋体" w:eastAsia="宋体" w:cs="宋体"/>
          <w:spacing w:val="8"/>
          <w:sz w:val="20"/>
          <w:szCs w:val="20"/>
        </w:rPr>
        <w:t>3. 设备防腐蚀、埋地管道防腐蚀、管道防腐蚀、金属油罐内壁防静电的工程量，视</w:t>
      </w:r>
      <w:r>
        <w:rPr>
          <w:rFonts w:ascii="宋体" w:hAnsi="宋体" w:eastAsia="宋体" w:cs="宋体"/>
          <w:spacing w:val="7"/>
          <w:sz w:val="20"/>
          <w:szCs w:val="20"/>
        </w:rPr>
        <w:t>为已包括其</w:t>
      </w:r>
      <w:r>
        <w:rPr>
          <w:rFonts w:ascii="宋体" w:hAnsi="宋体" w:eastAsia="宋体" w:cs="宋体"/>
          <w:spacing w:val="9"/>
          <w:sz w:val="20"/>
          <w:szCs w:val="20"/>
        </w:rPr>
        <w:t>所附着的各种管件、阀门、人孔、管口凹凸部分的工程量。</w:t>
      </w:r>
    </w:p>
    <w:p>
      <w:pPr>
        <w:spacing w:before="156" w:line="313" w:lineRule="auto"/>
        <w:ind w:left="12" w:right="46" w:firstLine="413"/>
        <w:rPr>
          <w:rFonts w:ascii="宋体" w:hAnsi="宋体" w:eastAsia="宋体" w:cs="宋体"/>
          <w:sz w:val="20"/>
          <w:szCs w:val="20"/>
        </w:rPr>
      </w:pPr>
      <w:r>
        <w:rPr>
          <w:rFonts w:ascii="宋体" w:hAnsi="宋体" w:eastAsia="宋体" w:cs="宋体"/>
          <w:spacing w:val="11"/>
          <w:sz w:val="20"/>
          <w:szCs w:val="20"/>
        </w:rPr>
        <w:t>4. 法兰、阀门绝热工程量按本标准表</w:t>
      </w:r>
      <w:r>
        <w:rPr>
          <w:rFonts w:ascii="宋体" w:hAnsi="宋体" w:eastAsia="宋体" w:cs="宋体"/>
          <w:spacing w:val="-27"/>
          <w:sz w:val="20"/>
          <w:szCs w:val="20"/>
        </w:rPr>
        <w:t xml:space="preserve"> </w:t>
      </w:r>
      <w:r>
        <w:rPr>
          <w:rFonts w:ascii="宋体" w:hAnsi="宋体" w:eastAsia="宋体" w:cs="宋体"/>
          <w:spacing w:val="11"/>
          <w:sz w:val="20"/>
          <w:szCs w:val="20"/>
        </w:rPr>
        <w:t>M.11.10-1</w:t>
      </w:r>
      <w:r>
        <w:rPr>
          <w:rFonts w:ascii="宋体" w:hAnsi="宋体" w:eastAsia="宋体" w:cs="宋体"/>
          <w:spacing w:val="-33"/>
          <w:sz w:val="20"/>
          <w:szCs w:val="20"/>
        </w:rPr>
        <w:t xml:space="preserve"> </w:t>
      </w:r>
      <w:r>
        <w:rPr>
          <w:rFonts w:ascii="宋体" w:hAnsi="宋体" w:eastAsia="宋体" w:cs="宋体"/>
          <w:spacing w:val="11"/>
          <w:sz w:val="20"/>
          <w:szCs w:val="20"/>
        </w:rPr>
        <w:t>法兰、阀门绝热盒保护层工程量计算表及表</w:t>
      </w:r>
      <w:r>
        <w:rPr>
          <w:rFonts w:ascii="宋体" w:hAnsi="宋体" w:eastAsia="宋体" w:cs="宋体"/>
          <w:spacing w:val="6"/>
          <w:sz w:val="20"/>
          <w:szCs w:val="20"/>
        </w:rPr>
        <w:t>M.11.10-2</w:t>
      </w:r>
      <w:r>
        <w:rPr>
          <w:rFonts w:ascii="宋体" w:hAnsi="宋体" w:eastAsia="宋体" w:cs="宋体"/>
          <w:spacing w:val="-40"/>
          <w:sz w:val="20"/>
          <w:szCs w:val="20"/>
        </w:rPr>
        <w:t xml:space="preserve"> </w:t>
      </w:r>
      <w:r>
        <w:rPr>
          <w:rFonts w:ascii="宋体" w:hAnsi="宋体" w:eastAsia="宋体" w:cs="宋体"/>
          <w:spacing w:val="6"/>
          <w:sz w:val="20"/>
          <w:szCs w:val="20"/>
        </w:rPr>
        <w:t>法兰、阀门绝热盒绝热层工程量计算表执行。</w:t>
      </w:r>
    </w:p>
    <w:p>
      <w:pPr>
        <w:spacing w:before="128" w:line="220" w:lineRule="auto"/>
        <w:ind w:left="435"/>
        <w:rPr>
          <w:rFonts w:ascii="宋体" w:hAnsi="宋体" w:eastAsia="宋体" w:cs="宋体"/>
          <w:sz w:val="20"/>
          <w:szCs w:val="20"/>
        </w:rPr>
      </w:pPr>
      <w:r>
        <w:rPr>
          <w:rFonts w:ascii="宋体" w:hAnsi="宋体" w:eastAsia="宋体" w:cs="宋体"/>
          <w:b/>
          <w:bCs/>
          <w:spacing w:val="7"/>
          <w:sz w:val="20"/>
          <w:szCs w:val="20"/>
        </w:rPr>
        <w:t>十四、其他及附属工程</w:t>
      </w:r>
    </w:p>
    <w:p>
      <w:pPr>
        <w:spacing w:before="155" w:line="369" w:lineRule="auto"/>
        <w:ind w:left="31" w:right="46" w:firstLine="395"/>
        <w:rPr>
          <w:rFonts w:ascii="宋体" w:hAnsi="宋体" w:eastAsia="宋体" w:cs="宋体"/>
          <w:sz w:val="20"/>
          <w:szCs w:val="20"/>
        </w:rPr>
      </w:pPr>
      <w:r>
        <w:rPr>
          <w:rFonts w:ascii="宋体" w:hAnsi="宋体" w:eastAsia="宋体" w:cs="宋体"/>
          <w:spacing w:val="9"/>
          <w:sz w:val="20"/>
          <w:szCs w:val="20"/>
        </w:rPr>
        <w:t>本章为新增章节，是将“</w:t>
      </w:r>
      <w:r>
        <w:rPr>
          <w:rFonts w:ascii="宋体" w:hAnsi="宋体" w:eastAsia="宋体" w:cs="宋体"/>
          <w:spacing w:val="-75"/>
          <w:sz w:val="20"/>
          <w:szCs w:val="20"/>
        </w:rPr>
        <w:t xml:space="preserve"> </w:t>
      </w:r>
      <w:r>
        <w:rPr>
          <w:rFonts w:ascii="宋体" w:hAnsi="宋体" w:eastAsia="宋体" w:cs="宋体"/>
          <w:spacing w:val="9"/>
          <w:sz w:val="20"/>
          <w:szCs w:val="20"/>
        </w:rPr>
        <w:t>13</w:t>
      </w:r>
      <w:r>
        <w:rPr>
          <w:rFonts w:ascii="宋体" w:hAnsi="宋体" w:eastAsia="宋体" w:cs="宋体"/>
          <w:spacing w:val="-43"/>
          <w:sz w:val="20"/>
          <w:szCs w:val="20"/>
        </w:rPr>
        <w:t xml:space="preserve"> </w:t>
      </w:r>
      <w:r>
        <w:rPr>
          <w:rFonts w:ascii="宋体" w:hAnsi="宋体" w:eastAsia="宋体" w:cs="宋体"/>
          <w:spacing w:val="9"/>
          <w:sz w:val="20"/>
          <w:szCs w:val="20"/>
        </w:rPr>
        <w:t>规范”各章节涉及的凿（压、切</w:t>
      </w:r>
      <w:r>
        <w:rPr>
          <w:rFonts w:ascii="宋体" w:hAnsi="宋体" w:eastAsia="宋体" w:cs="宋体"/>
          <w:spacing w:val="8"/>
          <w:sz w:val="20"/>
          <w:szCs w:val="20"/>
        </w:rPr>
        <w:t>割）槽、开孔打洞、设备及管道支</w:t>
      </w:r>
      <w:r>
        <w:rPr>
          <w:rFonts w:ascii="宋体" w:hAnsi="宋体" w:eastAsia="宋体" w:cs="宋体"/>
          <w:spacing w:val="6"/>
          <w:sz w:val="20"/>
          <w:szCs w:val="20"/>
        </w:rPr>
        <w:t>吊架（含一般铁构件）、基础型钢、成品支架(含抗震支架)、套管均综合归并在本章中。</w:t>
      </w:r>
    </w:p>
    <w:p>
      <w:pPr>
        <w:spacing w:before="2" w:line="349" w:lineRule="auto"/>
        <w:ind w:left="25" w:right="46" w:firstLine="421"/>
        <w:rPr>
          <w:rFonts w:ascii="宋体" w:hAnsi="宋体" w:eastAsia="宋体" w:cs="宋体"/>
          <w:sz w:val="20"/>
          <w:szCs w:val="20"/>
        </w:rPr>
      </w:pPr>
      <w:r>
        <w:rPr>
          <w:rFonts w:ascii="宋体" w:hAnsi="宋体" w:eastAsia="宋体" w:cs="宋体"/>
          <w:spacing w:val="8"/>
          <w:sz w:val="20"/>
          <w:szCs w:val="20"/>
        </w:rPr>
        <w:t>1. 凿（压、切割）槽、开孔打洞仅适用于改扩建及</w:t>
      </w:r>
      <w:r>
        <w:rPr>
          <w:rFonts w:ascii="宋体" w:hAnsi="宋体" w:eastAsia="宋体" w:cs="宋体"/>
          <w:spacing w:val="7"/>
          <w:sz w:val="20"/>
          <w:szCs w:val="20"/>
        </w:rPr>
        <w:t>工程变更的项目，新建工程的此等项目均应</w:t>
      </w:r>
      <w:r>
        <w:rPr>
          <w:rFonts w:ascii="宋体" w:hAnsi="宋体" w:eastAsia="宋体" w:cs="宋体"/>
          <w:spacing w:val="9"/>
          <w:sz w:val="20"/>
          <w:szCs w:val="20"/>
        </w:rPr>
        <w:t>已包括在本标准其他相关附录内所列相关项</w:t>
      </w:r>
      <w:r>
        <w:rPr>
          <w:rFonts w:ascii="宋体" w:hAnsi="宋体" w:eastAsia="宋体" w:cs="宋体"/>
          <w:spacing w:val="8"/>
          <w:sz w:val="20"/>
          <w:szCs w:val="20"/>
        </w:rPr>
        <w:t>目的工作内容中。</w:t>
      </w:r>
    </w:p>
    <w:p>
      <w:pPr>
        <w:spacing w:before="43" w:line="368" w:lineRule="auto"/>
        <w:ind w:left="8" w:right="43" w:firstLine="417"/>
        <w:jc w:val="both"/>
        <w:rPr>
          <w:rFonts w:ascii="宋体" w:hAnsi="宋体" w:eastAsia="宋体" w:cs="宋体"/>
          <w:sz w:val="20"/>
          <w:szCs w:val="20"/>
        </w:rPr>
      </w:pPr>
      <w:r>
        <w:rPr>
          <w:rFonts w:ascii="宋体" w:hAnsi="宋体" w:eastAsia="宋体" w:cs="宋体"/>
          <w:spacing w:val="11"/>
          <w:sz w:val="20"/>
          <w:szCs w:val="20"/>
        </w:rPr>
        <w:t>新建工程正常配合主体施工中的凿（压、切割）槽、开孔打洞，均应包括在本标准其他</w:t>
      </w:r>
      <w:r>
        <w:rPr>
          <w:rFonts w:ascii="宋体" w:hAnsi="宋体" w:eastAsia="宋体" w:cs="宋体"/>
          <w:spacing w:val="10"/>
          <w:sz w:val="20"/>
          <w:szCs w:val="20"/>
        </w:rPr>
        <w:t>相关附</w:t>
      </w:r>
      <w:r>
        <w:rPr>
          <w:rFonts w:ascii="宋体" w:hAnsi="宋体" w:eastAsia="宋体" w:cs="宋体"/>
          <w:spacing w:val="11"/>
          <w:sz w:val="20"/>
          <w:szCs w:val="20"/>
        </w:rPr>
        <w:t>录内所列相关项目的工作内容，不应单独列项。如有设计变更、土建结构（</w:t>
      </w:r>
      <w:r>
        <w:rPr>
          <w:rFonts w:ascii="宋体" w:hAnsi="宋体" w:eastAsia="宋体" w:cs="宋体"/>
          <w:spacing w:val="10"/>
          <w:sz w:val="20"/>
          <w:szCs w:val="20"/>
        </w:rPr>
        <w:t>空心砖墙不宜预留、楼地面板厚度不宜直埋）等原因，按照本附录凿（压、切割</w:t>
      </w:r>
      <w:r>
        <w:rPr>
          <w:rFonts w:ascii="宋体" w:hAnsi="宋体" w:eastAsia="宋体" w:cs="宋体"/>
          <w:spacing w:val="9"/>
          <w:sz w:val="20"/>
          <w:szCs w:val="20"/>
        </w:rPr>
        <w:t>）槽、开孔打洞的相关项目编码列项。</w:t>
      </w:r>
    </w:p>
    <w:p>
      <w:pPr>
        <w:spacing w:before="6" w:line="333" w:lineRule="auto"/>
        <w:ind w:left="6" w:right="46" w:firstLine="423"/>
        <w:rPr>
          <w:rFonts w:ascii="宋体" w:hAnsi="宋体" w:eastAsia="宋体" w:cs="宋体"/>
          <w:sz w:val="20"/>
          <w:szCs w:val="20"/>
        </w:rPr>
      </w:pPr>
      <w:r>
        <w:rPr>
          <w:rFonts w:ascii="宋体" w:hAnsi="宋体" w:eastAsia="宋体" w:cs="宋体"/>
          <w:spacing w:val="8"/>
          <w:sz w:val="20"/>
          <w:szCs w:val="20"/>
        </w:rPr>
        <w:t>2. 套管适用于设计文件、建设工程有关的标准、规范要求设置的此类项目，设计文件、建设工</w:t>
      </w:r>
      <w:r>
        <w:rPr>
          <w:rFonts w:ascii="宋体" w:hAnsi="宋体" w:eastAsia="宋体" w:cs="宋体"/>
          <w:spacing w:val="11"/>
          <w:sz w:val="20"/>
          <w:szCs w:val="20"/>
        </w:rPr>
        <w:t>程有关的标准、规范未要求设置的套管已包括在本标准其他相关附录内所列管道</w:t>
      </w:r>
      <w:r>
        <w:rPr>
          <w:rFonts w:ascii="宋体" w:hAnsi="宋体" w:eastAsia="宋体" w:cs="宋体"/>
          <w:spacing w:val="10"/>
          <w:sz w:val="20"/>
          <w:szCs w:val="20"/>
        </w:rPr>
        <w:t>、管线项目的工作</w:t>
      </w:r>
      <w:r>
        <w:rPr>
          <w:rFonts w:ascii="宋体" w:hAnsi="宋体" w:eastAsia="宋体" w:cs="宋体"/>
          <w:spacing w:val="11"/>
          <w:sz w:val="20"/>
          <w:szCs w:val="20"/>
        </w:rPr>
        <w:t>内容中。套管名称是指穿基础、墙、梁、楼板、构筑物等部位的防水套管、一般</w:t>
      </w:r>
      <w:r>
        <w:rPr>
          <w:rFonts w:ascii="宋体" w:hAnsi="宋体" w:eastAsia="宋体" w:cs="宋体"/>
          <w:spacing w:val="10"/>
          <w:sz w:val="20"/>
          <w:szCs w:val="20"/>
        </w:rPr>
        <w:t>钢套管、人防套管及防火套管等，其中防水套管包括刚性套管和柔</w:t>
      </w:r>
      <w:r>
        <w:rPr>
          <w:rFonts w:ascii="宋体" w:hAnsi="宋体" w:eastAsia="宋体" w:cs="宋体"/>
          <w:spacing w:val="9"/>
          <w:sz w:val="20"/>
          <w:szCs w:val="20"/>
        </w:rPr>
        <w:t>性套管。不同类别套管应分别列项。</w:t>
      </w:r>
    </w:p>
    <w:p>
      <w:pPr>
        <w:spacing w:before="156" w:line="278" w:lineRule="exact"/>
        <w:ind w:left="432"/>
        <w:rPr>
          <w:rFonts w:ascii="宋体" w:hAnsi="宋体" w:eastAsia="宋体" w:cs="宋体"/>
          <w:sz w:val="20"/>
          <w:szCs w:val="20"/>
        </w:rPr>
      </w:pPr>
      <w:r>
        <w:rPr>
          <w:rFonts w:ascii="宋体" w:hAnsi="宋体" w:eastAsia="宋体" w:cs="宋体"/>
          <w:spacing w:val="5"/>
          <w:position w:val="1"/>
          <w:sz w:val="20"/>
          <w:szCs w:val="20"/>
        </w:rPr>
        <w:t>3. 抗震支架按成品支架项目编码列项。</w:t>
      </w:r>
    </w:p>
    <w:p>
      <w:pPr>
        <w:spacing w:before="120" w:line="332" w:lineRule="auto"/>
        <w:ind w:left="10" w:right="46" w:firstLine="416"/>
        <w:rPr>
          <w:rFonts w:ascii="宋体" w:hAnsi="宋体" w:eastAsia="宋体" w:cs="宋体"/>
          <w:sz w:val="20"/>
          <w:szCs w:val="20"/>
        </w:rPr>
      </w:pPr>
      <w:r>
        <w:rPr>
          <w:rFonts w:ascii="宋体" w:hAnsi="宋体" w:eastAsia="宋体" w:cs="宋体"/>
          <w:spacing w:val="8"/>
          <w:sz w:val="20"/>
          <w:szCs w:val="20"/>
        </w:rPr>
        <w:t>4. 若设计图纸要求支架需配置衬垫应在项目特征中注明，其中衬垫类别是指：防腐木垫、不锈</w:t>
      </w:r>
      <w:r>
        <w:rPr>
          <w:rFonts w:ascii="宋体" w:hAnsi="宋体" w:eastAsia="宋体" w:cs="宋体"/>
          <w:spacing w:val="11"/>
          <w:sz w:val="20"/>
          <w:szCs w:val="20"/>
        </w:rPr>
        <w:t>钢衬垫、铝衬垫等。采用弹簧减震器时，应在项目特征中注明是否做减</w:t>
      </w:r>
      <w:r>
        <w:rPr>
          <w:rFonts w:ascii="宋体" w:hAnsi="宋体" w:eastAsia="宋体" w:cs="宋体"/>
          <w:spacing w:val="10"/>
          <w:sz w:val="20"/>
          <w:szCs w:val="20"/>
        </w:rPr>
        <w:t>震试验。支吊架的防腐及刷油，应按本标准附录</w:t>
      </w:r>
      <w:r>
        <w:rPr>
          <w:rFonts w:ascii="宋体" w:hAnsi="宋体" w:eastAsia="宋体" w:cs="宋体"/>
          <w:spacing w:val="-20"/>
          <w:sz w:val="20"/>
          <w:szCs w:val="20"/>
        </w:rPr>
        <w:t xml:space="preserve"> </w:t>
      </w:r>
      <w:r>
        <w:rPr>
          <w:rFonts w:ascii="宋体" w:hAnsi="宋体" w:eastAsia="宋体" w:cs="宋体"/>
          <w:spacing w:val="10"/>
          <w:sz w:val="20"/>
          <w:szCs w:val="20"/>
        </w:rPr>
        <w:t>M</w:t>
      </w:r>
      <w:r>
        <w:rPr>
          <w:rFonts w:ascii="宋体" w:hAnsi="宋体" w:eastAsia="宋体" w:cs="宋体"/>
          <w:spacing w:val="-43"/>
          <w:sz w:val="20"/>
          <w:szCs w:val="20"/>
        </w:rPr>
        <w:t xml:space="preserve"> </w:t>
      </w:r>
      <w:r>
        <w:rPr>
          <w:rFonts w:ascii="宋体" w:hAnsi="宋体" w:eastAsia="宋体" w:cs="宋体"/>
          <w:spacing w:val="10"/>
          <w:sz w:val="20"/>
          <w:szCs w:val="20"/>
        </w:rPr>
        <w:t>刷油、防腐蚀、绝热工程的相应项目编码列项。</w:t>
      </w:r>
    </w:p>
    <w:p>
      <w:pPr>
        <w:spacing w:line="332" w:lineRule="auto"/>
        <w:rPr>
          <w:rFonts w:ascii="宋体" w:hAnsi="宋体" w:eastAsia="宋体" w:cs="宋体"/>
          <w:sz w:val="20"/>
          <w:szCs w:val="20"/>
        </w:rPr>
        <w:sectPr>
          <w:footerReference r:id="rId97" w:type="default"/>
          <w:pgSz w:w="11905" w:h="16840"/>
          <w:pgMar w:top="400" w:right="1373" w:bottom="1213" w:left="1412" w:header="0" w:footer="898" w:gutter="0"/>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65" w:line="301" w:lineRule="auto"/>
        <w:ind w:left="1" w:right="109" w:firstLine="420"/>
        <w:rPr>
          <w:rFonts w:ascii="宋体" w:hAnsi="宋体" w:eastAsia="宋体" w:cs="宋体"/>
          <w:sz w:val="20"/>
          <w:szCs w:val="20"/>
        </w:rPr>
      </w:pPr>
      <w:bookmarkStart w:id="53" w:name="bookmark150"/>
      <w:bookmarkEnd w:id="53"/>
      <w:r>
        <w:rPr>
          <w:rFonts w:ascii="宋体" w:hAnsi="宋体" w:eastAsia="宋体" w:cs="宋体"/>
          <w:spacing w:val="8"/>
          <w:sz w:val="20"/>
          <w:szCs w:val="20"/>
        </w:rPr>
        <w:t>5. 随设备到货的附件、支吊架、底座，以及管道安装采用管卡固定在墙面的支架、室内排水管</w:t>
      </w:r>
      <w:r>
        <w:rPr>
          <w:rFonts w:ascii="宋体" w:hAnsi="宋体" w:eastAsia="宋体" w:cs="宋体"/>
          <w:spacing w:val="9"/>
          <w:sz w:val="20"/>
          <w:szCs w:val="20"/>
        </w:rPr>
        <w:t>道的成品吊架的内容不应单独列项。</w:t>
      </w:r>
    </w:p>
    <w:p>
      <w:pPr>
        <w:spacing w:before="158" w:line="294" w:lineRule="auto"/>
        <w:ind w:left="1" w:right="109" w:firstLine="422"/>
        <w:rPr>
          <w:rFonts w:ascii="宋体" w:hAnsi="宋体" w:eastAsia="宋体" w:cs="宋体"/>
          <w:sz w:val="20"/>
          <w:szCs w:val="20"/>
        </w:rPr>
      </w:pPr>
      <w:r>
        <w:rPr>
          <w:rFonts w:ascii="宋体" w:hAnsi="宋体" w:eastAsia="宋体" w:cs="宋体"/>
          <w:spacing w:val="8"/>
          <w:sz w:val="20"/>
          <w:szCs w:val="20"/>
        </w:rPr>
        <w:t>6. 按照设计文件、标准图集、规范要求设置的支架、吊架基础型钢的制作、安装的内容应</w:t>
      </w:r>
      <w:r>
        <w:rPr>
          <w:rFonts w:ascii="宋体" w:hAnsi="宋体" w:eastAsia="宋体" w:cs="宋体"/>
          <w:spacing w:val="7"/>
          <w:sz w:val="20"/>
          <w:szCs w:val="20"/>
        </w:rPr>
        <w:t>单独</w:t>
      </w:r>
      <w:r>
        <w:rPr>
          <w:rFonts w:ascii="宋体" w:hAnsi="宋体" w:eastAsia="宋体" w:cs="宋体"/>
          <w:spacing w:val="4"/>
          <w:sz w:val="20"/>
          <w:szCs w:val="20"/>
        </w:rPr>
        <w:t>列项。</w:t>
      </w:r>
    </w:p>
    <w:p>
      <w:pPr>
        <w:spacing w:before="169" w:line="216" w:lineRule="auto"/>
        <w:ind w:left="428"/>
        <w:rPr>
          <w:rFonts w:ascii="宋体" w:hAnsi="宋体" w:eastAsia="宋体" w:cs="宋体"/>
          <w:sz w:val="20"/>
          <w:szCs w:val="20"/>
        </w:rPr>
      </w:pPr>
      <w:r>
        <w:rPr>
          <w:rFonts w:ascii="宋体" w:hAnsi="宋体" w:eastAsia="宋体" w:cs="宋体"/>
          <w:b/>
          <w:bCs/>
          <w:spacing w:val="7"/>
          <w:sz w:val="20"/>
          <w:szCs w:val="20"/>
        </w:rPr>
        <w:t>十五、措施项目</w:t>
      </w:r>
    </w:p>
    <w:p>
      <w:pPr>
        <w:spacing w:before="159" w:line="277" w:lineRule="exact"/>
        <w:ind w:left="439"/>
        <w:rPr>
          <w:rFonts w:ascii="宋体" w:hAnsi="宋体" w:eastAsia="宋体" w:cs="宋体"/>
          <w:sz w:val="20"/>
          <w:szCs w:val="20"/>
        </w:rPr>
      </w:pPr>
      <w:r>
        <w:rPr>
          <w:rFonts w:ascii="宋体" w:hAnsi="宋体" w:eastAsia="宋体" w:cs="宋体"/>
          <w:spacing w:val="8"/>
          <w:position w:val="1"/>
          <w:sz w:val="20"/>
          <w:szCs w:val="20"/>
        </w:rPr>
        <w:t>1. 发包人提供设计图纸并要求按其施工</w:t>
      </w:r>
      <w:r>
        <w:rPr>
          <w:rFonts w:ascii="宋体" w:hAnsi="宋体" w:eastAsia="宋体" w:cs="宋体"/>
          <w:spacing w:val="7"/>
          <w:position w:val="1"/>
          <w:sz w:val="20"/>
          <w:szCs w:val="20"/>
        </w:rPr>
        <w:t>的措施项目，可参照分部分项工程补充编码列项。</w:t>
      </w:r>
    </w:p>
    <w:p>
      <w:pPr>
        <w:spacing w:before="120" w:line="297" w:lineRule="auto"/>
        <w:ind w:left="1" w:right="109" w:firstLine="421"/>
        <w:rPr>
          <w:rFonts w:ascii="宋体" w:hAnsi="宋体" w:eastAsia="宋体" w:cs="宋体"/>
          <w:sz w:val="20"/>
          <w:szCs w:val="20"/>
        </w:rPr>
      </w:pPr>
      <w:r>
        <w:rPr>
          <w:rFonts w:ascii="宋体" w:hAnsi="宋体" w:eastAsia="宋体" w:cs="宋体"/>
          <w:spacing w:val="12"/>
          <w:sz w:val="20"/>
          <w:szCs w:val="20"/>
        </w:rPr>
        <w:t>2. 本附录“脚手架</w:t>
      </w:r>
      <w:r>
        <w:rPr>
          <w:rFonts w:ascii="宋体" w:hAnsi="宋体" w:eastAsia="宋体" w:cs="宋体"/>
          <w:spacing w:val="-61"/>
          <w:sz w:val="20"/>
          <w:szCs w:val="20"/>
        </w:rPr>
        <w:t xml:space="preserve"> </w:t>
      </w:r>
      <w:r>
        <w:rPr>
          <w:rFonts w:ascii="宋体" w:hAnsi="宋体" w:eastAsia="宋体" w:cs="宋体"/>
          <w:spacing w:val="12"/>
          <w:sz w:val="20"/>
          <w:szCs w:val="20"/>
        </w:rPr>
        <w:t>”包括工程施工过程中按照相关规范要求及满足施工作业需求所搭设的全</w:t>
      </w:r>
      <w:r>
        <w:rPr>
          <w:rFonts w:ascii="宋体" w:hAnsi="宋体" w:eastAsia="宋体" w:cs="宋体"/>
          <w:spacing w:val="7"/>
          <w:sz w:val="20"/>
          <w:szCs w:val="20"/>
        </w:rPr>
        <w:t>部脚手架内容。</w:t>
      </w:r>
    </w:p>
    <w:p>
      <w:pPr>
        <w:spacing w:before="158" w:line="296" w:lineRule="auto"/>
        <w:ind w:left="2" w:right="109" w:firstLine="423"/>
        <w:rPr>
          <w:rFonts w:ascii="宋体" w:hAnsi="宋体" w:eastAsia="宋体" w:cs="宋体"/>
          <w:sz w:val="20"/>
          <w:szCs w:val="20"/>
        </w:rPr>
      </w:pPr>
      <w:r>
        <w:rPr>
          <w:rFonts w:ascii="宋体" w:hAnsi="宋体" w:eastAsia="宋体" w:cs="宋体"/>
          <w:spacing w:val="5"/>
          <w:sz w:val="20"/>
          <w:szCs w:val="20"/>
        </w:rPr>
        <w:t>3. 本附录“临时设施</w:t>
      </w:r>
      <w:r>
        <w:rPr>
          <w:rFonts w:ascii="宋体" w:hAnsi="宋体" w:eastAsia="宋体" w:cs="宋体"/>
          <w:spacing w:val="-66"/>
          <w:sz w:val="20"/>
          <w:szCs w:val="20"/>
        </w:rPr>
        <w:t xml:space="preserve"> </w:t>
      </w:r>
      <w:r>
        <w:rPr>
          <w:rFonts w:ascii="宋体" w:hAnsi="宋体" w:eastAsia="宋体" w:cs="宋体"/>
          <w:spacing w:val="5"/>
          <w:sz w:val="20"/>
          <w:szCs w:val="20"/>
        </w:rPr>
        <w:t>”“文明施工</w:t>
      </w:r>
      <w:r>
        <w:rPr>
          <w:rFonts w:ascii="宋体" w:hAnsi="宋体" w:eastAsia="宋体" w:cs="宋体"/>
          <w:spacing w:val="-70"/>
          <w:sz w:val="20"/>
          <w:szCs w:val="20"/>
        </w:rPr>
        <w:t xml:space="preserve"> </w:t>
      </w:r>
      <w:r>
        <w:rPr>
          <w:rFonts w:ascii="宋体" w:hAnsi="宋体" w:eastAsia="宋体" w:cs="宋体"/>
          <w:spacing w:val="5"/>
          <w:sz w:val="20"/>
          <w:szCs w:val="20"/>
        </w:rPr>
        <w:t>”“环境保护</w:t>
      </w:r>
      <w:r>
        <w:rPr>
          <w:rFonts w:ascii="宋体" w:hAnsi="宋体" w:eastAsia="宋体" w:cs="宋体"/>
          <w:spacing w:val="-70"/>
          <w:sz w:val="20"/>
          <w:szCs w:val="20"/>
        </w:rPr>
        <w:t xml:space="preserve"> </w:t>
      </w:r>
      <w:r>
        <w:rPr>
          <w:rFonts w:ascii="宋体" w:hAnsi="宋体" w:eastAsia="宋体" w:cs="宋体"/>
          <w:spacing w:val="5"/>
          <w:sz w:val="20"/>
          <w:szCs w:val="20"/>
        </w:rPr>
        <w:t>”“安全生产</w:t>
      </w:r>
      <w:r>
        <w:rPr>
          <w:rFonts w:ascii="宋体" w:hAnsi="宋体" w:eastAsia="宋体" w:cs="宋体"/>
          <w:spacing w:val="-70"/>
          <w:sz w:val="20"/>
          <w:szCs w:val="20"/>
        </w:rPr>
        <w:t xml:space="preserve"> </w:t>
      </w:r>
      <w:r>
        <w:rPr>
          <w:rFonts w:ascii="宋体" w:hAnsi="宋体" w:eastAsia="宋体" w:cs="宋体"/>
          <w:spacing w:val="5"/>
          <w:sz w:val="20"/>
          <w:szCs w:val="20"/>
        </w:rPr>
        <w:t>”工作内容的包含范围，应参考</w:t>
      </w:r>
      <w:r>
        <w:rPr>
          <w:rFonts w:ascii="宋体" w:hAnsi="宋体" w:eastAsia="宋体" w:cs="宋体"/>
          <w:spacing w:val="9"/>
          <w:sz w:val="20"/>
          <w:szCs w:val="20"/>
        </w:rPr>
        <w:t>省、市或行业建设主管部门的相关规定进行补充。</w:t>
      </w:r>
    </w:p>
    <w:p>
      <w:pPr>
        <w:spacing w:before="158" w:line="278" w:lineRule="exact"/>
        <w:ind w:left="419"/>
        <w:rPr>
          <w:rFonts w:ascii="宋体" w:hAnsi="宋体" w:eastAsia="宋体" w:cs="宋体"/>
          <w:sz w:val="20"/>
          <w:szCs w:val="20"/>
        </w:rPr>
      </w:pPr>
      <w:r>
        <w:rPr>
          <w:rFonts w:ascii="宋体" w:hAnsi="宋体" w:eastAsia="宋体" w:cs="宋体"/>
          <w:spacing w:val="8"/>
          <w:position w:val="1"/>
          <w:sz w:val="20"/>
          <w:szCs w:val="20"/>
        </w:rPr>
        <w:t>4. 其他措施项目必须根据实际措施项目名称确定项目名称，明确描述工作内容及包含范围。</w:t>
      </w:r>
    </w:p>
    <w:p>
      <w:pPr>
        <w:spacing w:before="122" w:line="297" w:lineRule="auto"/>
        <w:ind w:firstLine="422"/>
        <w:rPr>
          <w:rFonts w:ascii="宋体" w:hAnsi="宋体" w:eastAsia="宋体" w:cs="宋体"/>
          <w:sz w:val="20"/>
          <w:szCs w:val="20"/>
        </w:rPr>
      </w:pPr>
      <w:r>
        <w:rPr>
          <w:rFonts w:ascii="宋体" w:hAnsi="宋体" w:eastAsia="宋体" w:cs="宋体"/>
          <w:spacing w:val="10"/>
          <w:sz w:val="20"/>
          <w:szCs w:val="20"/>
        </w:rPr>
        <w:t>5. “金属抱杆安装、拆除、移位”</w:t>
      </w:r>
      <w:r>
        <w:rPr>
          <w:rFonts w:ascii="宋体" w:hAnsi="宋体" w:eastAsia="宋体" w:cs="宋体"/>
          <w:spacing w:val="-69"/>
          <w:sz w:val="20"/>
          <w:szCs w:val="20"/>
        </w:rPr>
        <w:t xml:space="preserve"> </w:t>
      </w:r>
      <w:r>
        <w:rPr>
          <w:rFonts w:ascii="宋体" w:hAnsi="宋体" w:eastAsia="宋体" w:cs="宋体"/>
          <w:spacing w:val="10"/>
          <w:sz w:val="20"/>
          <w:szCs w:val="20"/>
        </w:rPr>
        <w:t>，如需采用可在其他措施项目中列项。</w:t>
      </w:r>
      <w:r>
        <w:rPr>
          <w:rFonts w:ascii="宋体" w:hAnsi="宋体" w:eastAsia="宋体" w:cs="宋体"/>
          <w:spacing w:val="9"/>
          <w:sz w:val="20"/>
          <w:szCs w:val="20"/>
        </w:rPr>
        <w:t>“平台铺设、拆除”</w:t>
      </w:r>
      <w:r>
        <w:rPr>
          <w:rFonts w:ascii="宋体" w:hAnsi="宋体" w:eastAsia="宋体" w:cs="宋体"/>
          <w:spacing w:val="10"/>
          <w:sz w:val="20"/>
          <w:szCs w:val="20"/>
        </w:rPr>
        <w:t>按“施工操作平台”列项。“焊接工艺评定”属于施工单位</w:t>
      </w:r>
      <w:r>
        <w:rPr>
          <w:rFonts w:ascii="宋体" w:hAnsi="宋体" w:eastAsia="宋体" w:cs="宋体"/>
          <w:spacing w:val="9"/>
          <w:sz w:val="20"/>
          <w:szCs w:val="20"/>
        </w:rPr>
        <w:t>必备的准备工作，不作为措施项目。</w:t>
      </w:r>
    </w:p>
    <w:p>
      <w:pPr>
        <w:spacing w:line="297" w:lineRule="auto"/>
        <w:rPr>
          <w:rFonts w:ascii="宋体" w:hAnsi="宋体" w:eastAsia="宋体" w:cs="宋体"/>
          <w:sz w:val="20"/>
          <w:szCs w:val="20"/>
        </w:rPr>
        <w:sectPr>
          <w:footerReference r:id="rId98" w:type="default"/>
          <w:pgSz w:w="11905" w:h="16840"/>
          <w:pgMar w:top="400" w:right="1309" w:bottom="1213" w:left="1418" w:header="0" w:footer="898" w:gutter="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97" w:line="305" w:lineRule="auto"/>
        <w:ind w:left="3624" w:right="1453" w:hanging="2246"/>
        <w:outlineLvl w:val="1"/>
        <w:rPr>
          <w:rFonts w:ascii="宋体" w:hAnsi="宋体" w:eastAsia="宋体" w:cs="宋体"/>
          <w:sz w:val="30"/>
          <w:szCs w:val="30"/>
        </w:rPr>
      </w:pPr>
      <w:bookmarkStart w:id="54" w:name="bookmark35"/>
      <w:bookmarkEnd w:id="54"/>
      <w:bookmarkStart w:id="55" w:name="bookmark36"/>
      <w:bookmarkEnd w:id="55"/>
      <w:r>
        <w:rPr>
          <w:rFonts w:ascii="宋体" w:hAnsi="宋体" w:eastAsia="宋体" w:cs="宋体"/>
          <w:b/>
          <w:bCs/>
          <w:spacing w:val="-2"/>
          <w:sz w:val="30"/>
          <w:szCs w:val="30"/>
        </w:rPr>
        <w:t>第八节</w:t>
      </w:r>
      <w:r>
        <w:rPr>
          <w:rFonts w:ascii="宋体" w:hAnsi="宋体" w:eastAsia="宋体" w:cs="宋体"/>
          <w:spacing w:val="-2"/>
          <w:sz w:val="30"/>
          <w:szCs w:val="30"/>
        </w:rPr>
        <w:t xml:space="preserve">  </w:t>
      </w:r>
      <w:r>
        <w:rPr>
          <w:rFonts w:ascii="宋体" w:hAnsi="宋体" w:eastAsia="宋体" w:cs="宋体"/>
          <w:b/>
          <w:bCs/>
          <w:spacing w:val="-2"/>
          <w:sz w:val="30"/>
          <w:szCs w:val="30"/>
        </w:rPr>
        <w:t>建设工程工程量清单计价有关问题</w:t>
      </w:r>
      <w:r>
        <w:rPr>
          <w:rFonts w:ascii="宋体" w:hAnsi="宋体" w:eastAsia="宋体" w:cs="宋体"/>
          <w:b/>
          <w:bCs/>
          <w:spacing w:val="-3"/>
          <w:sz w:val="30"/>
          <w:szCs w:val="30"/>
        </w:rPr>
        <w:t>说明</w:t>
      </w:r>
      <w:bookmarkStart w:id="56" w:name="bookmark35"/>
      <w:bookmarkEnd w:id="56"/>
      <w:r>
        <w:rPr>
          <w:rFonts w:ascii="宋体" w:hAnsi="宋体" w:eastAsia="宋体" w:cs="宋体"/>
          <w:b/>
          <w:bCs/>
          <w:sz w:val="30"/>
          <w:szCs w:val="30"/>
        </w:rPr>
        <w:t>（市政工程）</w:t>
      </w:r>
    </w:p>
    <w:p>
      <w:pPr>
        <w:spacing w:before="270" w:line="368" w:lineRule="auto"/>
        <w:ind w:left="5" w:right="61" w:firstLine="401"/>
        <w:jc w:val="both"/>
        <w:rPr>
          <w:rFonts w:ascii="宋体" w:hAnsi="宋体" w:eastAsia="宋体" w:cs="宋体"/>
          <w:sz w:val="20"/>
          <w:szCs w:val="20"/>
        </w:rPr>
      </w:pPr>
      <w:r>
        <w:rPr>
          <w:rFonts w:ascii="宋体" w:hAnsi="宋体" w:eastAsia="宋体" w:cs="宋体"/>
          <w:spacing w:val="16"/>
          <w:sz w:val="20"/>
          <w:szCs w:val="20"/>
        </w:rPr>
        <w:t>《建设工程工程量清单计价标准》</w:t>
      </w:r>
      <w:r>
        <w:rPr>
          <w:rFonts w:ascii="宋体" w:hAnsi="宋体" w:eastAsia="宋体" w:cs="宋体"/>
          <w:spacing w:val="-55"/>
          <w:sz w:val="20"/>
          <w:szCs w:val="20"/>
        </w:rPr>
        <w:t xml:space="preserve"> </w:t>
      </w:r>
      <w:r>
        <w:rPr>
          <w:rFonts w:ascii="宋体" w:hAnsi="宋体" w:eastAsia="宋体" w:cs="宋体"/>
          <w:sz w:val="20"/>
          <w:szCs w:val="20"/>
        </w:rPr>
        <w:t>GB</w:t>
      </w:r>
      <w:r>
        <w:rPr>
          <w:rFonts w:ascii="宋体" w:hAnsi="宋体" w:eastAsia="宋体" w:cs="宋体"/>
          <w:spacing w:val="16"/>
          <w:sz w:val="20"/>
          <w:szCs w:val="20"/>
        </w:rPr>
        <w:t>/T50500-202</w:t>
      </w:r>
      <w:r>
        <w:rPr>
          <w:rFonts w:ascii="宋体" w:hAnsi="宋体" w:eastAsia="宋体" w:cs="宋体"/>
          <w:spacing w:val="15"/>
          <w:sz w:val="20"/>
          <w:szCs w:val="20"/>
        </w:rPr>
        <w:t>4</w:t>
      </w:r>
      <w:r>
        <w:rPr>
          <w:rFonts w:ascii="宋体" w:hAnsi="宋体" w:eastAsia="宋体" w:cs="宋体"/>
          <w:spacing w:val="-14"/>
          <w:sz w:val="20"/>
          <w:szCs w:val="20"/>
        </w:rPr>
        <w:t xml:space="preserve"> </w:t>
      </w:r>
      <w:r>
        <w:rPr>
          <w:rFonts w:ascii="宋体" w:hAnsi="宋体" w:eastAsia="宋体" w:cs="宋体"/>
          <w:spacing w:val="15"/>
          <w:sz w:val="20"/>
          <w:szCs w:val="20"/>
        </w:rPr>
        <w:t>以及《市政工程工程量计算标准》</w:t>
      </w:r>
      <w:r>
        <w:rPr>
          <w:rFonts w:ascii="宋体" w:hAnsi="宋体" w:eastAsia="宋体" w:cs="宋体"/>
          <w:spacing w:val="-56"/>
          <w:sz w:val="20"/>
          <w:szCs w:val="20"/>
        </w:rPr>
        <w:t xml:space="preserve"> </w:t>
      </w:r>
      <w:r>
        <w:rPr>
          <w:rFonts w:ascii="宋体" w:hAnsi="宋体" w:eastAsia="宋体" w:cs="宋体"/>
          <w:sz w:val="20"/>
          <w:szCs w:val="20"/>
        </w:rPr>
        <w:t>GB</w:t>
      </w:r>
      <w:r>
        <w:rPr>
          <w:rFonts w:ascii="宋体" w:hAnsi="宋体" w:eastAsia="宋体" w:cs="宋体"/>
          <w:spacing w:val="15"/>
          <w:sz w:val="20"/>
          <w:szCs w:val="20"/>
        </w:rPr>
        <w:t>/T</w:t>
      </w:r>
      <w:r>
        <w:rPr>
          <w:rFonts w:ascii="宋体" w:hAnsi="宋体" w:eastAsia="宋体" w:cs="宋体"/>
          <w:sz w:val="20"/>
          <w:szCs w:val="20"/>
        </w:rPr>
        <w:t xml:space="preserve"> </w:t>
      </w:r>
      <w:r>
        <w:rPr>
          <w:rFonts w:ascii="宋体" w:hAnsi="宋体" w:eastAsia="宋体" w:cs="宋体"/>
          <w:spacing w:val="6"/>
          <w:sz w:val="20"/>
          <w:szCs w:val="20"/>
        </w:rPr>
        <w:t>50857-2024</w:t>
      </w:r>
      <w:r>
        <w:rPr>
          <w:rFonts w:ascii="宋体" w:hAnsi="宋体" w:eastAsia="宋体" w:cs="宋体"/>
          <w:spacing w:val="-32"/>
          <w:sz w:val="20"/>
          <w:szCs w:val="20"/>
        </w:rPr>
        <w:t xml:space="preserve"> </w:t>
      </w:r>
      <w:r>
        <w:rPr>
          <w:rFonts w:ascii="宋体" w:hAnsi="宋体" w:eastAsia="宋体" w:cs="宋体"/>
          <w:spacing w:val="6"/>
          <w:sz w:val="20"/>
          <w:szCs w:val="20"/>
        </w:rPr>
        <w:t>为国家标准，由中华人民共和国住房和城乡建设部</w:t>
      </w:r>
      <w:r>
        <w:rPr>
          <w:rFonts w:ascii="宋体" w:hAnsi="宋体" w:eastAsia="宋体" w:cs="宋体"/>
          <w:spacing w:val="-41"/>
          <w:sz w:val="20"/>
          <w:szCs w:val="20"/>
        </w:rPr>
        <w:t xml:space="preserve"> </w:t>
      </w:r>
      <w:r>
        <w:rPr>
          <w:rFonts w:ascii="宋体" w:hAnsi="宋体" w:eastAsia="宋体" w:cs="宋体"/>
          <w:spacing w:val="6"/>
          <w:sz w:val="20"/>
          <w:szCs w:val="20"/>
        </w:rPr>
        <w:t>2024</w:t>
      </w:r>
      <w:r>
        <w:rPr>
          <w:rFonts w:ascii="宋体" w:hAnsi="宋体" w:eastAsia="宋体" w:cs="宋体"/>
          <w:spacing w:val="-39"/>
          <w:sz w:val="20"/>
          <w:szCs w:val="20"/>
        </w:rPr>
        <w:t xml:space="preserve"> </w:t>
      </w:r>
      <w:r>
        <w:rPr>
          <w:rFonts w:ascii="宋体" w:hAnsi="宋体" w:eastAsia="宋体" w:cs="宋体"/>
          <w:spacing w:val="6"/>
          <w:sz w:val="20"/>
          <w:szCs w:val="20"/>
        </w:rPr>
        <w:t>年第</w:t>
      </w:r>
      <w:r>
        <w:rPr>
          <w:rFonts w:ascii="宋体" w:hAnsi="宋体" w:eastAsia="宋体" w:cs="宋体"/>
          <w:spacing w:val="-39"/>
          <w:sz w:val="20"/>
          <w:szCs w:val="20"/>
        </w:rPr>
        <w:t xml:space="preserve"> </w:t>
      </w:r>
      <w:r>
        <w:rPr>
          <w:rFonts w:ascii="宋体" w:hAnsi="宋体" w:eastAsia="宋体" w:cs="宋体"/>
          <w:spacing w:val="6"/>
          <w:sz w:val="20"/>
          <w:szCs w:val="20"/>
        </w:rPr>
        <w:t>212</w:t>
      </w:r>
      <w:r>
        <w:rPr>
          <w:rFonts w:ascii="宋体" w:hAnsi="宋体" w:eastAsia="宋体" w:cs="宋体"/>
          <w:spacing w:val="-40"/>
          <w:sz w:val="20"/>
          <w:szCs w:val="20"/>
        </w:rPr>
        <w:t xml:space="preserve"> </w:t>
      </w:r>
      <w:r>
        <w:rPr>
          <w:rFonts w:ascii="宋体" w:hAnsi="宋体" w:eastAsia="宋体" w:cs="宋体"/>
          <w:spacing w:val="6"/>
          <w:sz w:val="20"/>
          <w:szCs w:val="20"/>
        </w:rPr>
        <w:t>号、194</w:t>
      </w:r>
      <w:r>
        <w:rPr>
          <w:rFonts w:ascii="宋体" w:hAnsi="宋体" w:eastAsia="宋体" w:cs="宋体"/>
          <w:spacing w:val="-40"/>
          <w:sz w:val="20"/>
          <w:szCs w:val="20"/>
        </w:rPr>
        <w:t xml:space="preserve"> </w:t>
      </w:r>
      <w:r>
        <w:rPr>
          <w:rFonts w:ascii="宋体" w:hAnsi="宋体" w:eastAsia="宋体" w:cs="宋体"/>
          <w:spacing w:val="6"/>
          <w:sz w:val="20"/>
          <w:szCs w:val="20"/>
        </w:rPr>
        <w:t>号公告发布，</w:t>
      </w:r>
      <w:r>
        <w:rPr>
          <w:rFonts w:ascii="宋体" w:hAnsi="宋体" w:eastAsia="宋体" w:cs="宋体"/>
          <w:spacing w:val="-1"/>
          <w:sz w:val="20"/>
          <w:szCs w:val="20"/>
        </w:rPr>
        <w:t>自</w:t>
      </w:r>
      <w:r>
        <w:rPr>
          <w:rFonts w:ascii="宋体" w:hAnsi="宋体" w:eastAsia="宋体" w:cs="宋体"/>
          <w:spacing w:val="-39"/>
          <w:sz w:val="20"/>
          <w:szCs w:val="20"/>
        </w:rPr>
        <w:t xml:space="preserve"> </w:t>
      </w:r>
      <w:r>
        <w:rPr>
          <w:rFonts w:ascii="宋体" w:hAnsi="宋体" w:eastAsia="宋体" w:cs="宋体"/>
          <w:spacing w:val="-1"/>
          <w:sz w:val="20"/>
          <w:szCs w:val="20"/>
        </w:rPr>
        <w:t>2025</w:t>
      </w:r>
      <w:r>
        <w:rPr>
          <w:rFonts w:ascii="宋体" w:hAnsi="宋体" w:eastAsia="宋体" w:cs="宋体"/>
          <w:spacing w:val="-39"/>
          <w:sz w:val="20"/>
          <w:szCs w:val="20"/>
        </w:rPr>
        <w:t xml:space="preserve"> </w:t>
      </w:r>
      <w:r>
        <w:rPr>
          <w:rFonts w:ascii="宋体" w:hAnsi="宋体" w:eastAsia="宋体" w:cs="宋体"/>
          <w:spacing w:val="-1"/>
          <w:sz w:val="20"/>
          <w:szCs w:val="20"/>
        </w:rPr>
        <w:t>年</w:t>
      </w:r>
      <w:r>
        <w:rPr>
          <w:rFonts w:ascii="宋体" w:hAnsi="宋体" w:eastAsia="宋体" w:cs="宋体"/>
          <w:spacing w:val="-39"/>
          <w:sz w:val="20"/>
          <w:szCs w:val="20"/>
        </w:rPr>
        <w:t xml:space="preserve"> </w:t>
      </w:r>
      <w:r>
        <w:rPr>
          <w:rFonts w:ascii="宋体" w:hAnsi="宋体" w:eastAsia="宋体" w:cs="宋体"/>
          <w:spacing w:val="-1"/>
          <w:sz w:val="20"/>
          <w:szCs w:val="20"/>
        </w:rPr>
        <w:t>9</w:t>
      </w:r>
      <w:r>
        <w:rPr>
          <w:rFonts w:ascii="宋体" w:hAnsi="宋体" w:eastAsia="宋体" w:cs="宋体"/>
          <w:spacing w:val="-41"/>
          <w:sz w:val="20"/>
          <w:szCs w:val="20"/>
        </w:rPr>
        <w:t xml:space="preserve"> </w:t>
      </w:r>
      <w:r>
        <w:rPr>
          <w:rFonts w:ascii="宋体" w:hAnsi="宋体" w:eastAsia="宋体" w:cs="宋体"/>
          <w:spacing w:val="-1"/>
          <w:sz w:val="20"/>
          <w:szCs w:val="20"/>
        </w:rPr>
        <w:t>月</w:t>
      </w:r>
      <w:r>
        <w:rPr>
          <w:rFonts w:ascii="宋体" w:hAnsi="宋体" w:eastAsia="宋体" w:cs="宋体"/>
          <w:spacing w:val="-24"/>
          <w:sz w:val="20"/>
          <w:szCs w:val="20"/>
        </w:rPr>
        <w:t xml:space="preserve"> </w:t>
      </w:r>
      <w:r>
        <w:rPr>
          <w:rFonts w:ascii="宋体" w:hAnsi="宋体" w:eastAsia="宋体" w:cs="宋体"/>
          <w:spacing w:val="-1"/>
          <w:sz w:val="20"/>
          <w:szCs w:val="20"/>
        </w:rPr>
        <w:t>1 日起实施。</w:t>
      </w:r>
    </w:p>
    <w:p>
      <w:pPr>
        <w:spacing w:before="3" w:line="278" w:lineRule="exact"/>
        <w:ind w:left="423"/>
        <w:rPr>
          <w:rFonts w:ascii="宋体" w:hAnsi="宋体" w:eastAsia="宋体" w:cs="宋体"/>
          <w:sz w:val="20"/>
          <w:szCs w:val="20"/>
        </w:rPr>
      </w:pPr>
      <w:r>
        <w:rPr>
          <w:rFonts w:ascii="宋体" w:hAnsi="宋体" w:eastAsia="宋体" w:cs="宋体"/>
          <w:spacing w:val="9"/>
          <w:position w:val="1"/>
          <w:sz w:val="20"/>
          <w:szCs w:val="20"/>
        </w:rPr>
        <w:t>使用《市政工程工程量计算标准》</w:t>
      </w:r>
      <w:r>
        <w:rPr>
          <w:rFonts w:ascii="宋体" w:hAnsi="宋体" w:eastAsia="宋体" w:cs="宋体"/>
          <w:position w:val="1"/>
          <w:sz w:val="20"/>
          <w:szCs w:val="20"/>
        </w:rPr>
        <w:t>GB</w:t>
      </w:r>
      <w:r>
        <w:rPr>
          <w:rFonts w:ascii="宋体" w:hAnsi="宋体" w:eastAsia="宋体" w:cs="宋体"/>
          <w:spacing w:val="9"/>
          <w:position w:val="1"/>
          <w:sz w:val="20"/>
          <w:szCs w:val="20"/>
        </w:rPr>
        <w:t>/T</w:t>
      </w:r>
      <w:r>
        <w:rPr>
          <w:rFonts w:ascii="宋体" w:hAnsi="宋体" w:eastAsia="宋体" w:cs="宋体"/>
          <w:spacing w:val="-42"/>
          <w:position w:val="1"/>
          <w:sz w:val="20"/>
          <w:szCs w:val="20"/>
        </w:rPr>
        <w:t xml:space="preserve"> </w:t>
      </w:r>
      <w:r>
        <w:rPr>
          <w:rFonts w:ascii="宋体" w:hAnsi="宋体" w:eastAsia="宋体" w:cs="宋体"/>
          <w:spacing w:val="9"/>
          <w:position w:val="1"/>
          <w:sz w:val="20"/>
          <w:szCs w:val="20"/>
        </w:rPr>
        <w:t>50857-2024，</w:t>
      </w:r>
      <w:r>
        <w:rPr>
          <w:rFonts w:ascii="宋体" w:hAnsi="宋体" w:eastAsia="宋体" w:cs="宋体"/>
          <w:spacing w:val="8"/>
          <w:position w:val="1"/>
          <w:sz w:val="20"/>
          <w:szCs w:val="20"/>
        </w:rPr>
        <w:t>应按照以下规定执行：</w:t>
      </w:r>
    </w:p>
    <w:p>
      <w:pPr>
        <w:spacing w:before="127" w:line="217" w:lineRule="auto"/>
        <w:ind w:left="424"/>
        <w:rPr>
          <w:rFonts w:ascii="宋体" w:hAnsi="宋体" w:eastAsia="宋体" w:cs="宋体"/>
          <w:sz w:val="20"/>
          <w:szCs w:val="20"/>
        </w:rPr>
      </w:pPr>
      <w:r>
        <w:rPr>
          <w:rFonts w:ascii="宋体" w:hAnsi="宋体" w:eastAsia="宋体" w:cs="宋体"/>
          <w:b/>
          <w:bCs/>
          <w:spacing w:val="7"/>
          <w:sz w:val="20"/>
          <w:szCs w:val="20"/>
        </w:rPr>
        <w:t>一、基本规定</w:t>
      </w:r>
    </w:p>
    <w:p>
      <w:pPr>
        <w:spacing w:before="159" w:line="333" w:lineRule="auto"/>
        <w:ind w:left="4" w:right="78" w:firstLine="438"/>
        <w:rPr>
          <w:rFonts w:ascii="宋体" w:hAnsi="宋体" w:eastAsia="宋体" w:cs="宋体"/>
          <w:sz w:val="20"/>
          <w:szCs w:val="20"/>
        </w:rPr>
      </w:pPr>
      <w:r>
        <w:rPr>
          <w:rFonts w:ascii="宋体" w:hAnsi="宋体" w:eastAsia="宋体" w:cs="宋体"/>
          <w:spacing w:val="8"/>
          <w:sz w:val="20"/>
          <w:szCs w:val="20"/>
        </w:rPr>
        <w:t>1. 工程量清单的项目特征应结合图纸和规范的要求进</w:t>
      </w:r>
      <w:r>
        <w:rPr>
          <w:rFonts w:ascii="宋体" w:hAnsi="宋体" w:eastAsia="宋体" w:cs="宋体"/>
          <w:spacing w:val="7"/>
          <w:sz w:val="20"/>
          <w:szCs w:val="20"/>
        </w:rPr>
        <w:t>行描述。《市政工程工程量计算标准》附</w:t>
      </w:r>
      <w:r>
        <w:rPr>
          <w:rFonts w:ascii="宋体" w:hAnsi="宋体" w:eastAsia="宋体" w:cs="宋体"/>
          <w:spacing w:val="11"/>
          <w:sz w:val="20"/>
          <w:szCs w:val="20"/>
        </w:rPr>
        <w:t>录</w:t>
      </w:r>
      <w:r>
        <w:rPr>
          <w:rFonts w:ascii="宋体" w:hAnsi="宋体" w:eastAsia="宋体" w:cs="宋体"/>
          <w:spacing w:val="-27"/>
          <w:sz w:val="20"/>
          <w:szCs w:val="20"/>
        </w:rPr>
        <w:t xml:space="preserve"> </w:t>
      </w:r>
      <w:r>
        <w:rPr>
          <w:rFonts w:ascii="宋体" w:hAnsi="宋体" w:eastAsia="宋体" w:cs="宋体"/>
          <w:spacing w:val="11"/>
          <w:sz w:val="20"/>
          <w:szCs w:val="20"/>
        </w:rPr>
        <w:t>A～附录</w:t>
      </w:r>
      <w:r>
        <w:rPr>
          <w:rFonts w:ascii="宋体" w:hAnsi="宋体" w:eastAsia="宋体" w:cs="宋体"/>
          <w:spacing w:val="-38"/>
          <w:sz w:val="20"/>
          <w:szCs w:val="20"/>
        </w:rPr>
        <w:t xml:space="preserve"> </w:t>
      </w:r>
      <w:r>
        <w:rPr>
          <w:rFonts w:ascii="宋体" w:hAnsi="宋体" w:eastAsia="宋体" w:cs="宋体"/>
          <w:spacing w:val="11"/>
          <w:sz w:val="20"/>
          <w:szCs w:val="20"/>
        </w:rPr>
        <w:t>M</w:t>
      </w:r>
      <w:r>
        <w:rPr>
          <w:rFonts w:ascii="宋体" w:hAnsi="宋体" w:eastAsia="宋体" w:cs="宋体"/>
          <w:spacing w:val="-42"/>
          <w:sz w:val="20"/>
          <w:szCs w:val="20"/>
        </w:rPr>
        <w:t xml:space="preserve"> </w:t>
      </w:r>
      <w:r>
        <w:rPr>
          <w:rFonts w:ascii="宋体" w:hAnsi="宋体" w:eastAsia="宋体" w:cs="宋体"/>
          <w:spacing w:val="11"/>
          <w:sz w:val="20"/>
          <w:szCs w:val="20"/>
        </w:rPr>
        <w:t>项目的工作内容仅列出了主要内容，除另有规定和说明外，应视为已包含完成该清单项目所需的必要工作。即：除特殊规定外，清单项目应包含图纸和相关规范要</w:t>
      </w:r>
      <w:r>
        <w:rPr>
          <w:rFonts w:ascii="宋体" w:hAnsi="宋体" w:eastAsia="宋体" w:cs="宋体"/>
          <w:spacing w:val="10"/>
          <w:sz w:val="20"/>
          <w:szCs w:val="20"/>
        </w:rPr>
        <w:t>求的完成该清单项目</w:t>
      </w:r>
      <w:r>
        <w:rPr>
          <w:rFonts w:ascii="宋体" w:hAnsi="宋体" w:eastAsia="宋体" w:cs="宋体"/>
          <w:spacing w:val="8"/>
          <w:sz w:val="20"/>
          <w:szCs w:val="20"/>
        </w:rPr>
        <w:t>的全部工作内容。</w:t>
      </w:r>
    </w:p>
    <w:p>
      <w:pPr>
        <w:spacing w:before="157" w:line="312" w:lineRule="auto"/>
        <w:ind w:left="6" w:right="80" w:firstLine="419"/>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pacing w:val="-27"/>
          <w:sz w:val="20"/>
          <w:szCs w:val="20"/>
        </w:rPr>
        <w:t xml:space="preserve"> </w:t>
      </w:r>
      <w:r>
        <w:rPr>
          <w:rFonts w:ascii="宋体" w:hAnsi="宋体" w:eastAsia="宋体" w:cs="宋体"/>
          <w:spacing w:val="9"/>
          <w:sz w:val="20"/>
          <w:szCs w:val="20"/>
        </w:rPr>
        <w:t>《市政工程工程量计算标准》附录</w:t>
      </w:r>
      <w:r>
        <w:rPr>
          <w:rFonts w:ascii="宋体" w:hAnsi="宋体" w:eastAsia="宋体" w:cs="宋体"/>
          <w:spacing w:val="-40"/>
          <w:sz w:val="20"/>
          <w:szCs w:val="20"/>
        </w:rPr>
        <w:t xml:space="preserve"> </w:t>
      </w:r>
      <w:r>
        <w:rPr>
          <w:rFonts w:ascii="宋体" w:hAnsi="宋体" w:eastAsia="宋体" w:cs="宋体"/>
          <w:spacing w:val="9"/>
          <w:sz w:val="20"/>
          <w:szCs w:val="20"/>
        </w:rPr>
        <w:t>A～附录</w:t>
      </w:r>
      <w:r>
        <w:rPr>
          <w:rFonts w:ascii="宋体" w:hAnsi="宋体" w:eastAsia="宋体" w:cs="宋体"/>
          <w:spacing w:val="-38"/>
          <w:sz w:val="20"/>
          <w:szCs w:val="20"/>
        </w:rPr>
        <w:t xml:space="preserve"> </w:t>
      </w:r>
      <w:r>
        <w:rPr>
          <w:rFonts w:ascii="宋体" w:hAnsi="宋体" w:eastAsia="宋体" w:cs="宋体"/>
          <w:spacing w:val="9"/>
          <w:sz w:val="20"/>
          <w:szCs w:val="20"/>
        </w:rPr>
        <w:t>M</w:t>
      </w:r>
      <w:r>
        <w:rPr>
          <w:rFonts w:ascii="宋体" w:hAnsi="宋体" w:eastAsia="宋体" w:cs="宋体"/>
          <w:spacing w:val="-24"/>
          <w:sz w:val="20"/>
          <w:szCs w:val="20"/>
        </w:rPr>
        <w:t xml:space="preserve"> </w:t>
      </w:r>
      <w:r>
        <w:rPr>
          <w:rFonts w:ascii="宋体" w:hAnsi="宋体" w:eastAsia="宋体" w:cs="宋体"/>
          <w:spacing w:val="9"/>
          <w:sz w:val="20"/>
          <w:szCs w:val="20"/>
        </w:rPr>
        <w:t>的工程量清单项目，除另有说明</w:t>
      </w:r>
      <w:r>
        <w:rPr>
          <w:rFonts w:ascii="宋体" w:hAnsi="宋体" w:eastAsia="宋体" w:cs="宋体"/>
          <w:spacing w:val="8"/>
          <w:sz w:val="20"/>
          <w:szCs w:val="20"/>
        </w:rPr>
        <w:t>外，工作内容</w:t>
      </w:r>
      <w:r>
        <w:rPr>
          <w:rFonts w:ascii="宋体" w:hAnsi="宋体" w:eastAsia="宋体" w:cs="宋体"/>
          <w:spacing w:val="9"/>
          <w:sz w:val="20"/>
          <w:szCs w:val="20"/>
        </w:rPr>
        <w:t>均包含材料（半成品）、构件或设备的场内运输。</w:t>
      </w:r>
    </w:p>
    <w:p>
      <w:pPr>
        <w:spacing w:before="124" w:line="297" w:lineRule="auto"/>
        <w:ind w:left="4" w:firstLine="424"/>
        <w:rPr>
          <w:rFonts w:ascii="宋体" w:hAnsi="宋体" w:eastAsia="宋体" w:cs="宋体"/>
          <w:sz w:val="20"/>
          <w:szCs w:val="20"/>
        </w:rPr>
      </w:pPr>
      <w:r>
        <w:rPr>
          <w:rFonts w:ascii="宋体" w:hAnsi="宋体" w:eastAsia="宋体" w:cs="宋体"/>
          <w:spacing w:val="6"/>
          <w:sz w:val="20"/>
          <w:szCs w:val="20"/>
        </w:rPr>
        <w:t>3. 工程量清单应根据《市政工程工程量计算</w:t>
      </w:r>
      <w:r>
        <w:rPr>
          <w:rFonts w:ascii="宋体" w:hAnsi="宋体" w:eastAsia="宋体" w:cs="宋体"/>
          <w:spacing w:val="5"/>
          <w:sz w:val="20"/>
          <w:szCs w:val="20"/>
        </w:rPr>
        <w:t>标准》附录</w:t>
      </w:r>
      <w:r>
        <w:rPr>
          <w:rFonts w:ascii="宋体" w:hAnsi="宋体" w:eastAsia="宋体" w:cs="宋体"/>
          <w:spacing w:val="-40"/>
          <w:sz w:val="20"/>
          <w:szCs w:val="20"/>
        </w:rPr>
        <w:t xml:space="preserve"> </w:t>
      </w:r>
      <w:r>
        <w:rPr>
          <w:rFonts w:ascii="宋体" w:hAnsi="宋体" w:eastAsia="宋体" w:cs="宋体"/>
          <w:spacing w:val="5"/>
          <w:sz w:val="20"/>
          <w:szCs w:val="20"/>
        </w:rPr>
        <w:t>A～附录</w:t>
      </w:r>
      <w:r>
        <w:rPr>
          <w:rFonts w:ascii="宋体" w:hAnsi="宋体" w:eastAsia="宋体" w:cs="宋体"/>
          <w:spacing w:val="-38"/>
          <w:sz w:val="20"/>
          <w:szCs w:val="20"/>
        </w:rPr>
        <w:t xml:space="preserve"> </w:t>
      </w:r>
      <w:r>
        <w:rPr>
          <w:rFonts w:ascii="宋体" w:hAnsi="宋体" w:eastAsia="宋体" w:cs="宋体"/>
          <w:spacing w:val="5"/>
          <w:sz w:val="20"/>
          <w:szCs w:val="20"/>
        </w:rPr>
        <w:t>L</w:t>
      </w:r>
      <w:r>
        <w:rPr>
          <w:rFonts w:ascii="宋体" w:hAnsi="宋体" w:eastAsia="宋体" w:cs="宋体"/>
          <w:spacing w:val="-43"/>
          <w:sz w:val="20"/>
          <w:szCs w:val="20"/>
        </w:rPr>
        <w:t xml:space="preserve"> </w:t>
      </w:r>
      <w:r>
        <w:rPr>
          <w:rFonts w:ascii="宋体" w:hAnsi="宋体" w:eastAsia="宋体" w:cs="宋体"/>
          <w:spacing w:val="5"/>
          <w:sz w:val="20"/>
          <w:szCs w:val="20"/>
        </w:rPr>
        <w:t>规定的项目编码、项目名称、</w:t>
      </w:r>
      <w:r>
        <w:rPr>
          <w:rFonts w:ascii="宋体" w:hAnsi="宋体" w:eastAsia="宋体" w:cs="宋体"/>
          <w:spacing w:val="9"/>
          <w:sz w:val="20"/>
          <w:szCs w:val="20"/>
        </w:rPr>
        <w:t>项目特征、计量单位和工程量计算规则进行编制。</w:t>
      </w:r>
    </w:p>
    <w:p>
      <w:pPr>
        <w:spacing w:before="158" w:line="369" w:lineRule="auto"/>
        <w:ind w:left="3" w:right="80" w:firstLine="421"/>
        <w:jc w:val="both"/>
        <w:rPr>
          <w:rFonts w:ascii="宋体" w:hAnsi="宋体" w:eastAsia="宋体" w:cs="宋体"/>
          <w:sz w:val="20"/>
          <w:szCs w:val="20"/>
        </w:rPr>
      </w:pPr>
      <w:r>
        <w:rPr>
          <w:rFonts w:ascii="宋体" w:hAnsi="宋体" w:eastAsia="宋体" w:cs="宋体"/>
          <w:spacing w:val="11"/>
          <w:sz w:val="20"/>
          <w:szCs w:val="20"/>
        </w:rPr>
        <w:t>虽然清单在表现形式上只有五大要件，但清单计价标准中</w:t>
      </w:r>
      <w:r>
        <w:rPr>
          <w:rFonts w:ascii="宋体" w:hAnsi="宋体" w:eastAsia="宋体" w:cs="宋体"/>
          <w:spacing w:val="10"/>
          <w:sz w:val="20"/>
          <w:szCs w:val="20"/>
        </w:rPr>
        <w:t>的</w:t>
      </w:r>
      <w:r>
        <w:rPr>
          <w:rFonts w:ascii="宋体" w:hAnsi="宋体" w:eastAsia="宋体" w:cs="宋体"/>
          <w:b/>
          <w:bCs/>
          <w:spacing w:val="10"/>
          <w:sz w:val="20"/>
          <w:szCs w:val="20"/>
        </w:rPr>
        <w:t>工作内容</w:t>
      </w:r>
      <w:r>
        <w:rPr>
          <w:rFonts w:ascii="宋体" w:hAnsi="宋体" w:eastAsia="宋体" w:cs="宋体"/>
          <w:spacing w:val="10"/>
          <w:sz w:val="20"/>
          <w:szCs w:val="20"/>
        </w:rPr>
        <w:t>作为清单计量标准的重要</w:t>
      </w:r>
      <w:r>
        <w:rPr>
          <w:rFonts w:ascii="宋体" w:hAnsi="宋体" w:eastAsia="宋体" w:cs="宋体"/>
          <w:spacing w:val="11"/>
          <w:sz w:val="20"/>
          <w:szCs w:val="20"/>
        </w:rPr>
        <w:t>组成部分，是在编制工程量清单时需考虑的重要内容，不应将工作内容中已包</w:t>
      </w:r>
      <w:r>
        <w:rPr>
          <w:rFonts w:ascii="宋体" w:hAnsi="宋体" w:eastAsia="宋体" w:cs="宋体"/>
          <w:spacing w:val="10"/>
          <w:sz w:val="20"/>
          <w:szCs w:val="20"/>
        </w:rPr>
        <w:t>含的工作拆分再列清</w:t>
      </w:r>
      <w:r>
        <w:rPr>
          <w:rFonts w:ascii="宋体" w:hAnsi="宋体" w:eastAsia="宋体" w:cs="宋体"/>
          <w:spacing w:val="11"/>
          <w:sz w:val="20"/>
          <w:szCs w:val="20"/>
        </w:rPr>
        <w:t>单。清单工作内容仅列出了完成清单项目的主要工序，但并不意味着次要工序</w:t>
      </w:r>
      <w:r>
        <w:rPr>
          <w:rFonts w:ascii="宋体" w:hAnsi="宋体" w:eastAsia="宋体" w:cs="宋体"/>
          <w:spacing w:val="10"/>
          <w:sz w:val="20"/>
          <w:szCs w:val="20"/>
        </w:rPr>
        <w:t>没有包含，除另有规</w:t>
      </w:r>
      <w:r>
        <w:rPr>
          <w:rFonts w:ascii="宋体" w:hAnsi="宋体" w:eastAsia="宋体" w:cs="宋体"/>
          <w:spacing w:val="11"/>
          <w:sz w:val="20"/>
          <w:szCs w:val="20"/>
        </w:rPr>
        <w:t>定和说明外，清单项目应包含图纸和相关规范要求的全部工作内容。在按标准</w:t>
      </w:r>
      <w:r>
        <w:rPr>
          <w:rFonts w:ascii="宋体" w:hAnsi="宋体" w:eastAsia="宋体" w:cs="宋体"/>
          <w:spacing w:val="10"/>
          <w:sz w:val="20"/>
          <w:szCs w:val="20"/>
        </w:rPr>
        <w:t>编制清单时，不应随</w:t>
      </w:r>
      <w:r>
        <w:rPr>
          <w:rFonts w:ascii="宋体" w:hAnsi="宋体" w:eastAsia="宋体" w:cs="宋体"/>
          <w:spacing w:val="9"/>
          <w:sz w:val="20"/>
          <w:szCs w:val="20"/>
        </w:rPr>
        <w:t>意增加或减少清单项目包含的工作内容，防止由于口径不统一造成争议。</w:t>
      </w:r>
    </w:p>
    <w:p>
      <w:pPr>
        <w:spacing w:before="3" w:line="368" w:lineRule="auto"/>
        <w:ind w:right="78" w:firstLine="422"/>
        <w:jc w:val="both"/>
        <w:rPr>
          <w:rFonts w:ascii="宋体" w:hAnsi="宋体" w:eastAsia="宋体" w:cs="宋体"/>
          <w:sz w:val="20"/>
          <w:szCs w:val="20"/>
        </w:rPr>
      </w:pPr>
      <w:r>
        <w:rPr>
          <w:rFonts w:ascii="宋体" w:hAnsi="宋体" w:eastAsia="宋体" w:cs="宋体"/>
          <w:spacing w:val="8"/>
          <w:sz w:val="20"/>
          <w:szCs w:val="20"/>
        </w:rPr>
        <w:t>4. 除另有规定外，市政工程涉及房屋建筑和装饰装修工程的项目，按照现行国家标准《房屋建</w:t>
      </w:r>
      <w:r>
        <w:rPr>
          <w:rFonts w:ascii="宋体" w:hAnsi="宋体" w:eastAsia="宋体" w:cs="宋体"/>
          <w:spacing w:val="10"/>
          <w:sz w:val="20"/>
          <w:szCs w:val="20"/>
        </w:rPr>
        <w:t>筑与装饰工程工程量计算标准》</w:t>
      </w:r>
      <w:r>
        <w:rPr>
          <w:rFonts w:ascii="宋体" w:hAnsi="宋体" w:eastAsia="宋体" w:cs="宋体"/>
          <w:sz w:val="20"/>
          <w:szCs w:val="20"/>
        </w:rPr>
        <w:t>GB</w:t>
      </w:r>
      <w:r>
        <w:rPr>
          <w:rFonts w:ascii="宋体" w:hAnsi="宋体" w:eastAsia="宋体" w:cs="宋体"/>
          <w:spacing w:val="10"/>
          <w:sz w:val="20"/>
          <w:szCs w:val="20"/>
        </w:rPr>
        <w:t>/T</w:t>
      </w:r>
      <w:r>
        <w:rPr>
          <w:rFonts w:ascii="宋体" w:hAnsi="宋体" w:eastAsia="宋体" w:cs="宋体"/>
          <w:spacing w:val="-40"/>
          <w:sz w:val="20"/>
          <w:szCs w:val="20"/>
        </w:rPr>
        <w:t xml:space="preserve"> </w:t>
      </w:r>
      <w:r>
        <w:rPr>
          <w:rFonts w:ascii="宋体" w:hAnsi="宋体" w:eastAsia="宋体" w:cs="宋体"/>
          <w:spacing w:val="10"/>
          <w:sz w:val="20"/>
          <w:szCs w:val="20"/>
        </w:rPr>
        <w:t>50854</w:t>
      </w:r>
      <w:r>
        <w:rPr>
          <w:rFonts w:ascii="宋体" w:hAnsi="宋体" w:eastAsia="宋体" w:cs="宋体"/>
          <w:spacing w:val="-24"/>
          <w:sz w:val="20"/>
          <w:szCs w:val="20"/>
        </w:rPr>
        <w:t xml:space="preserve"> </w:t>
      </w:r>
      <w:r>
        <w:rPr>
          <w:rFonts w:ascii="宋体" w:hAnsi="宋体" w:eastAsia="宋体" w:cs="宋体"/>
          <w:spacing w:val="10"/>
          <w:sz w:val="20"/>
          <w:szCs w:val="20"/>
        </w:rPr>
        <w:t>的相应项目执行；</w:t>
      </w:r>
      <w:r>
        <w:rPr>
          <w:rFonts w:ascii="宋体" w:hAnsi="宋体" w:eastAsia="宋体" w:cs="宋体"/>
          <w:spacing w:val="9"/>
          <w:sz w:val="20"/>
          <w:szCs w:val="20"/>
        </w:rPr>
        <w:t>涉及电气、给排水、消防等安装工程</w:t>
      </w:r>
      <w:r>
        <w:rPr>
          <w:rFonts w:ascii="宋体" w:hAnsi="宋体" w:eastAsia="宋体" w:cs="宋体"/>
          <w:spacing w:val="10"/>
          <w:sz w:val="20"/>
          <w:szCs w:val="20"/>
        </w:rPr>
        <w:t>的项目，按照现行国家标准《通用安装工程工程量计算标准》</w:t>
      </w:r>
      <w:r>
        <w:rPr>
          <w:rFonts w:ascii="宋体" w:hAnsi="宋体" w:eastAsia="宋体" w:cs="宋体"/>
          <w:sz w:val="20"/>
          <w:szCs w:val="20"/>
        </w:rPr>
        <w:t>GB</w:t>
      </w:r>
      <w:r>
        <w:rPr>
          <w:rFonts w:ascii="宋体" w:hAnsi="宋体" w:eastAsia="宋体" w:cs="宋体"/>
          <w:spacing w:val="10"/>
          <w:sz w:val="20"/>
          <w:szCs w:val="20"/>
        </w:rPr>
        <w:t>/T</w:t>
      </w:r>
      <w:r>
        <w:rPr>
          <w:rFonts w:ascii="宋体" w:hAnsi="宋体" w:eastAsia="宋体" w:cs="宋体"/>
          <w:spacing w:val="-42"/>
          <w:sz w:val="20"/>
          <w:szCs w:val="20"/>
        </w:rPr>
        <w:t xml:space="preserve"> </w:t>
      </w:r>
      <w:r>
        <w:rPr>
          <w:rFonts w:ascii="宋体" w:hAnsi="宋体" w:eastAsia="宋体" w:cs="宋体"/>
          <w:spacing w:val="9"/>
          <w:sz w:val="20"/>
          <w:szCs w:val="20"/>
        </w:rPr>
        <w:t>50856</w:t>
      </w:r>
      <w:r>
        <w:rPr>
          <w:rFonts w:ascii="宋体" w:hAnsi="宋体" w:eastAsia="宋体" w:cs="宋体"/>
          <w:spacing w:val="-21"/>
          <w:sz w:val="20"/>
          <w:szCs w:val="20"/>
        </w:rPr>
        <w:t xml:space="preserve"> </w:t>
      </w:r>
      <w:r>
        <w:rPr>
          <w:rFonts w:ascii="宋体" w:hAnsi="宋体" w:eastAsia="宋体" w:cs="宋体"/>
          <w:spacing w:val="9"/>
          <w:sz w:val="20"/>
          <w:szCs w:val="20"/>
        </w:rPr>
        <w:t>的相应项目执行；涉及园</w:t>
      </w:r>
      <w:r>
        <w:rPr>
          <w:rFonts w:ascii="宋体" w:hAnsi="宋体" w:eastAsia="宋体" w:cs="宋体"/>
          <w:spacing w:val="10"/>
          <w:sz w:val="20"/>
          <w:szCs w:val="20"/>
        </w:rPr>
        <w:t>林绿化工程的项目，按照现行国家标准《园林绿化工程工程量计算</w:t>
      </w:r>
      <w:r>
        <w:rPr>
          <w:rFonts w:ascii="宋体" w:hAnsi="宋体" w:eastAsia="宋体" w:cs="宋体"/>
          <w:spacing w:val="9"/>
          <w:sz w:val="20"/>
          <w:szCs w:val="20"/>
        </w:rPr>
        <w:t>标准》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39"/>
          <w:sz w:val="20"/>
          <w:szCs w:val="20"/>
        </w:rPr>
        <w:t xml:space="preserve"> </w:t>
      </w:r>
      <w:r>
        <w:rPr>
          <w:rFonts w:ascii="宋体" w:hAnsi="宋体" w:eastAsia="宋体" w:cs="宋体"/>
          <w:spacing w:val="9"/>
          <w:sz w:val="20"/>
          <w:szCs w:val="20"/>
        </w:rPr>
        <w:t>50858</w:t>
      </w:r>
      <w:r>
        <w:rPr>
          <w:rFonts w:ascii="宋体" w:hAnsi="宋体" w:eastAsia="宋体" w:cs="宋体"/>
          <w:spacing w:val="-24"/>
          <w:sz w:val="20"/>
          <w:szCs w:val="20"/>
        </w:rPr>
        <w:t xml:space="preserve"> </w:t>
      </w:r>
      <w:r>
        <w:rPr>
          <w:rFonts w:ascii="宋体" w:hAnsi="宋体" w:eastAsia="宋体" w:cs="宋体"/>
          <w:spacing w:val="9"/>
          <w:sz w:val="20"/>
          <w:szCs w:val="20"/>
        </w:rPr>
        <w:t>的相应项目执</w:t>
      </w:r>
      <w:r>
        <w:rPr>
          <w:rFonts w:ascii="宋体" w:hAnsi="宋体" w:eastAsia="宋体" w:cs="宋体"/>
          <w:spacing w:val="10"/>
          <w:sz w:val="20"/>
          <w:szCs w:val="20"/>
        </w:rPr>
        <w:t>行；涉及爆破法施工的石方工程，按照现行国家标准《爆破工程工</w:t>
      </w:r>
      <w:r>
        <w:rPr>
          <w:rFonts w:ascii="宋体" w:hAnsi="宋体" w:eastAsia="宋体" w:cs="宋体"/>
          <w:spacing w:val="9"/>
          <w:sz w:val="20"/>
          <w:szCs w:val="20"/>
        </w:rPr>
        <w:t>程量计算标准》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42"/>
          <w:sz w:val="20"/>
          <w:szCs w:val="20"/>
        </w:rPr>
        <w:t xml:space="preserve"> </w:t>
      </w:r>
      <w:r>
        <w:rPr>
          <w:rFonts w:ascii="宋体" w:hAnsi="宋体" w:eastAsia="宋体" w:cs="宋体"/>
          <w:spacing w:val="9"/>
          <w:sz w:val="20"/>
          <w:szCs w:val="20"/>
        </w:rPr>
        <w:t>50862</w:t>
      </w:r>
      <w:r>
        <w:rPr>
          <w:rFonts w:ascii="宋体" w:hAnsi="宋体" w:eastAsia="宋体" w:cs="宋体"/>
          <w:spacing w:val="-21"/>
          <w:sz w:val="20"/>
          <w:szCs w:val="20"/>
        </w:rPr>
        <w:t xml:space="preserve"> </w:t>
      </w:r>
      <w:r>
        <w:rPr>
          <w:rFonts w:ascii="宋体" w:hAnsi="宋体" w:eastAsia="宋体" w:cs="宋体"/>
          <w:spacing w:val="9"/>
          <w:sz w:val="20"/>
          <w:szCs w:val="20"/>
        </w:rPr>
        <w:t>的相应项目执行。具体划分界限确定如下：</w:t>
      </w:r>
    </w:p>
    <w:p>
      <w:pPr>
        <w:spacing w:before="7" w:line="331" w:lineRule="auto"/>
        <w:ind w:left="2" w:right="3" w:firstLine="413"/>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1）《市政工程工程量计算标准》管网工程与现行国家标准《通用安装工程工程量计算标准》</w:t>
      </w:r>
      <w:r>
        <w:rPr>
          <w:rFonts w:ascii="宋体" w:hAnsi="宋体" w:eastAsia="宋体" w:cs="宋体"/>
          <w:sz w:val="20"/>
          <w:szCs w:val="20"/>
        </w:rPr>
        <w:t xml:space="preserve"> GB</w:t>
      </w:r>
      <w:r>
        <w:rPr>
          <w:rFonts w:ascii="宋体" w:hAnsi="宋体" w:eastAsia="宋体" w:cs="宋体"/>
          <w:spacing w:val="10"/>
          <w:sz w:val="20"/>
          <w:szCs w:val="20"/>
        </w:rPr>
        <w:t>/T</w:t>
      </w:r>
      <w:r>
        <w:rPr>
          <w:rFonts w:ascii="宋体" w:hAnsi="宋体" w:eastAsia="宋体" w:cs="宋体"/>
          <w:spacing w:val="-40"/>
          <w:sz w:val="20"/>
          <w:szCs w:val="20"/>
        </w:rPr>
        <w:t xml:space="preserve"> </w:t>
      </w:r>
      <w:r>
        <w:rPr>
          <w:rFonts w:ascii="宋体" w:hAnsi="宋体" w:eastAsia="宋体" w:cs="宋体"/>
          <w:spacing w:val="10"/>
          <w:sz w:val="20"/>
          <w:szCs w:val="20"/>
        </w:rPr>
        <w:t>50856</w:t>
      </w:r>
      <w:r>
        <w:rPr>
          <w:rFonts w:ascii="宋体" w:hAnsi="宋体" w:eastAsia="宋体" w:cs="宋体"/>
          <w:spacing w:val="-20"/>
          <w:sz w:val="20"/>
          <w:szCs w:val="20"/>
        </w:rPr>
        <w:t xml:space="preserve"> </w:t>
      </w:r>
      <w:r>
        <w:rPr>
          <w:rFonts w:ascii="宋体" w:hAnsi="宋体" w:eastAsia="宋体" w:cs="宋体"/>
          <w:spacing w:val="10"/>
          <w:sz w:val="20"/>
          <w:szCs w:val="20"/>
        </w:rPr>
        <w:t>中工业管道工程的界定：给水</w:t>
      </w:r>
      <w:r>
        <w:rPr>
          <w:rFonts w:ascii="宋体" w:hAnsi="宋体" w:eastAsia="宋体" w:cs="宋体"/>
          <w:spacing w:val="9"/>
          <w:sz w:val="20"/>
          <w:szCs w:val="20"/>
        </w:rPr>
        <w:t>管道以厂区入口水表井为界；排水管道以厂区围墙外第一</w:t>
      </w:r>
      <w:r>
        <w:rPr>
          <w:rFonts w:ascii="宋体" w:hAnsi="宋体" w:eastAsia="宋体" w:cs="宋体"/>
          <w:spacing w:val="8"/>
          <w:sz w:val="20"/>
          <w:szCs w:val="20"/>
        </w:rPr>
        <w:t>个雨、污水井为界；热力和燃气管道以厂区入口第一个计量表（</w:t>
      </w:r>
      <w:r>
        <w:rPr>
          <w:rFonts w:ascii="宋体" w:hAnsi="宋体" w:eastAsia="宋体" w:cs="宋体"/>
          <w:spacing w:val="-47"/>
          <w:sz w:val="20"/>
          <w:szCs w:val="20"/>
        </w:rPr>
        <w:t xml:space="preserve"> </w:t>
      </w:r>
      <w:r>
        <w:rPr>
          <w:rFonts w:ascii="宋体" w:hAnsi="宋体" w:eastAsia="宋体" w:cs="宋体"/>
          <w:spacing w:val="8"/>
          <w:sz w:val="20"/>
          <w:szCs w:val="20"/>
        </w:rPr>
        <w:t>阀门）为界。</w:t>
      </w:r>
    </w:p>
    <w:p>
      <w:pPr>
        <w:spacing w:before="124" w:line="320" w:lineRule="auto"/>
        <w:ind w:left="9" w:right="3" w:firstLine="405"/>
        <w:rPr>
          <w:rFonts w:ascii="宋体" w:hAnsi="宋体" w:eastAsia="宋体" w:cs="宋体"/>
          <w:sz w:val="20"/>
          <w:szCs w:val="20"/>
        </w:rPr>
      </w:pPr>
      <w:r>
        <w:rPr>
          <w:rFonts w:ascii="宋体" w:hAnsi="宋体" w:eastAsia="宋体" w:cs="宋体"/>
          <w:spacing w:val="10"/>
          <w:sz w:val="20"/>
          <w:szCs w:val="20"/>
        </w:rPr>
        <w:t xml:space="preserve">（2）《市政工程工程量计算标准》管网工程与现行国家标准《通用安装工程工程量计算标准》 </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27"/>
          <w:sz w:val="20"/>
          <w:szCs w:val="20"/>
        </w:rPr>
        <w:t xml:space="preserve"> </w:t>
      </w:r>
      <w:r>
        <w:rPr>
          <w:rFonts w:ascii="宋体" w:hAnsi="宋体" w:eastAsia="宋体" w:cs="宋体"/>
          <w:spacing w:val="9"/>
          <w:sz w:val="20"/>
          <w:szCs w:val="20"/>
        </w:rPr>
        <w:t>50856</w:t>
      </w:r>
      <w:r>
        <w:rPr>
          <w:rFonts w:ascii="宋体" w:hAnsi="宋体" w:eastAsia="宋体" w:cs="宋体"/>
          <w:spacing w:val="-20"/>
          <w:sz w:val="20"/>
          <w:szCs w:val="20"/>
        </w:rPr>
        <w:t xml:space="preserve"> </w:t>
      </w:r>
      <w:r>
        <w:rPr>
          <w:rFonts w:ascii="宋体" w:hAnsi="宋体" w:eastAsia="宋体" w:cs="宋体"/>
          <w:spacing w:val="9"/>
          <w:sz w:val="20"/>
          <w:szCs w:val="20"/>
        </w:rPr>
        <w:t>中给排水、采暖、燃气工程的界定：室外给排水、采暖、燃气管道以与市政管道碰头井</w:t>
      </w:r>
      <w:r>
        <w:rPr>
          <w:rFonts w:ascii="宋体" w:hAnsi="宋体" w:eastAsia="宋体" w:cs="宋体"/>
          <w:spacing w:val="2"/>
          <w:sz w:val="20"/>
          <w:szCs w:val="20"/>
        </w:rPr>
        <w:t>为界。</w:t>
      </w:r>
    </w:p>
    <w:p>
      <w:pPr>
        <w:spacing w:before="159" w:line="312" w:lineRule="auto"/>
        <w:ind w:left="4" w:right="80" w:firstLine="410"/>
        <w:rPr>
          <w:rFonts w:ascii="宋体" w:hAnsi="宋体" w:eastAsia="宋体" w:cs="宋体"/>
          <w:sz w:val="20"/>
          <w:szCs w:val="20"/>
        </w:rPr>
      </w:pPr>
      <w:r>
        <w:rPr>
          <w:rFonts w:ascii="宋体" w:hAnsi="宋体" w:eastAsia="宋体" w:cs="宋体"/>
          <w:spacing w:val="8"/>
          <w:sz w:val="20"/>
          <w:szCs w:val="20"/>
        </w:rPr>
        <w:t>（3）《市政工程工程量计算标准》水处理工程、生活垃圾处理工程与现行国家标准《通用安装</w:t>
      </w:r>
      <w:r>
        <w:rPr>
          <w:rFonts w:ascii="宋体" w:hAnsi="宋体" w:eastAsia="宋体" w:cs="宋体"/>
          <w:spacing w:val="9"/>
          <w:sz w:val="20"/>
          <w:szCs w:val="20"/>
        </w:rPr>
        <w:t>工程工程量计算标准》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22"/>
          <w:sz w:val="20"/>
          <w:szCs w:val="20"/>
        </w:rPr>
        <w:t xml:space="preserve"> </w:t>
      </w:r>
      <w:r>
        <w:rPr>
          <w:rFonts w:ascii="宋体" w:hAnsi="宋体" w:eastAsia="宋体" w:cs="宋体"/>
          <w:spacing w:val="9"/>
          <w:sz w:val="20"/>
          <w:szCs w:val="20"/>
        </w:rPr>
        <w:t>50856</w:t>
      </w:r>
      <w:r>
        <w:rPr>
          <w:rFonts w:ascii="宋体" w:hAnsi="宋体" w:eastAsia="宋体" w:cs="宋体"/>
          <w:spacing w:val="-20"/>
          <w:sz w:val="20"/>
          <w:szCs w:val="20"/>
        </w:rPr>
        <w:t xml:space="preserve"> </w:t>
      </w:r>
      <w:r>
        <w:rPr>
          <w:rFonts w:ascii="宋体" w:hAnsi="宋体" w:eastAsia="宋体" w:cs="宋体"/>
          <w:spacing w:val="9"/>
          <w:sz w:val="20"/>
          <w:szCs w:val="20"/>
        </w:rPr>
        <w:t>中设备安装工程的界定：《市政工程工程量计算标准》只列了水</w:t>
      </w:r>
    </w:p>
    <w:p>
      <w:pPr>
        <w:spacing w:line="312" w:lineRule="auto"/>
        <w:rPr>
          <w:rFonts w:ascii="宋体" w:hAnsi="宋体" w:eastAsia="宋体" w:cs="宋体"/>
          <w:sz w:val="20"/>
          <w:szCs w:val="20"/>
        </w:rPr>
        <w:sectPr>
          <w:footerReference r:id="rId99" w:type="default"/>
          <w:pgSz w:w="11905" w:h="16840"/>
          <w:pgMar w:top="400" w:right="1338" w:bottom="1213" w:left="1416" w:header="0" w:footer="898"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368" w:lineRule="auto"/>
        <w:ind w:left="4" w:right="77" w:hanging="3"/>
        <w:rPr>
          <w:rFonts w:ascii="宋体" w:hAnsi="宋体" w:eastAsia="宋体" w:cs="宋体"/>
          <w:sz w:val="20"/>
          <w:szCs w:val="20"/>
        </w:rPr>
      </w:pPr>
      <w:r>
        <w:rPr>
          <w:rFonts w:ascii="宋体" w:hAnsi="宋体" w:eastAsia="宋体" w:cs="宋体"/>
          <w:spacing w:val="11"/>
          <w:sz w:val="20"/>
          <w:szCs w:val="20"/>
        </w:rPr>
        <w:t>处理工程和生活垃圾处理工程专用设备的项目，各类仪表、泵、阀门等标准、</w:t>
      </w:r>
      <w:r>
        <w:rPr>
          <w:rFonts w:ascii="宋体" w:hAnsi="宋体" w:eastAsia="宋体" w:cs="宋体"/>
          <w:spacing w:val="10"/>
          <w:sz w:val="20"/>
          <w:szCs w:val="20"/>
        </w:rPr>
        <w:t>定型设备应按现行国</w:t>
      </w:r>
      <w:r>
        <w:rPr>
          <w:rFonts w:ascii="宋体" w:hAnsi="宋体" w:eastAsia="宋体" w:cs="宋体"/>
          <w:spacing w:val="8"/>
          <w:sz w:val="20"/>
          <w:szCs w:val="20"/>
        </w:rPr>
        <w:t>家标准《通用安装工程工程量计算标准》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36"/>
          <w:sz w:val="20"/>
          <w:szCs w:val="20"/>
        </w:rPr>
        <w:t xml:space="preserve"> </w:t>
      </w:r>
      <w:r>
        <w:rPr>
          <w:rFonts w:ascii="宋体" w:hAnsi="宋体" w:eastAsia="宋体" w:cs="宋体"/>
          <w:spacing w:val="8"/>
          <w:sz w:val="20"/>
          <w:szCs w:val="20"/>
        </w:rPr>
        <w:t>50856</w:t>
      </w:r>
      <w:r>
        <w:rPr>
          <w:rFonts w:ascii="宋体" w:hAnsi="宋体" w:eastAsia="宋体" w:cs="宋体"/>
          <w:spacing w:val="-20"/>
          <w:sz w:val="20"/>
          <w:szCs w:val="20"/>
        </w:rPr>
        <w:t xml:space="preserve"> </w:t>
      </w:r>
      <w:r>
        <w:rPr>
          <w:rFonts w:ascii="宋体" w:hAnsi="宋体" w:eastAsia="宋体" w:cs="宋体"/>
          <w:spacing w:val="8"/>
          <w:sz w:val="20"/>
          <w:szCs w:val="20"/>
        </w:rPr>
        <w:t>中相应项目执行。</w:t>
      </w:r>
    </w:p>
    <w:p>
      <w:pPr>
        <w:spacing w:before="3" w:line="340" w:lineRule="auto"/>
        <w:ind w:left="2" w:firstLine="410"/>
        <w:rPr>
          <w:rFonts w:ascii="宋体" w:hAnsi="宋体" w:eastAsia="宋体" w:cs="宋体"/>
          <w:sz w:val="20"/>
          <w:szCs w:val="20"/>
        </w:rPr>
      </w:pPr>
      <w:r>
        <w:rPr>
          <w:rFonts w:ascii="宋体" w:hAnsi="宋体" w:eastAsia="宋体" w:cs="宋体"/>
          <w:spacing w:val="10"/>
          <w:sz w:val="20"/>
          <w:szCs w:val="20"/>
        </w:rPr>
        <w:t xml:space="preserve">（4）《市政工程工程量计算标准》路灯工程与现行国家标准《通用安装工程工程量计算标准》 </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22"/>
          <w:sz w:val="20"/>
          <w:szCs w:val="20"/>
        </w:rPr>
        <w:t xml:space="preserve"> </w:t>
      </w:r>
      <w:r>
        <w:rPr>
          <w:rFonts w:ascii="宋体" w:hAnsi="宋体" w:eastAsia="宋体" w:cs="宋体"/>
          <w:spacing w:val="9"/>
          <w:sz w:val="20"/>
          <w:szCs w:val="20"/>
        </w:rPr>
        <w:t>50856</w:t>
      </w:r>
      <w:r>
        <w:rPr>
          <w:rFonts w:ascii="宋体" w:hAnsi="宋体" w:eastAsia="宋体" w:cs="宋体"/>
          <w:spacing w:val="-20"/>
          <w:sz w:val="20"/>
          <w:szCs w:val="20"/>
        </w:rPr>
        <w:t xml:space="preserve"> </w:t>
      </w:r>
      <w:r>
        <w:rPr>
          <w:rFonts w:ascii="宋体" w:hAnsi="宋体" w:eastAsia="宋体" w:cs="宋体"/>
          <w:spacing w:val="9"/>
          <w:sz w:val="20"/>
          <w:szCs w:val="20"/>
        </w:rPr>
        <w:t>中电气设备安装工程的界定：以城市道路照明系统与城市供电系统相交为界，界限以内</w:t>
      </w:r>
      <w:r>
        <w:rPr>
          <w:rFonts w:ascii="宋体" w:hAnsi="宋体" w:eastAsia="宋体" w:cs="宋体"/>
          <w:spacing w:val="6"/>
          <w:sz w:val="20"/>
          <w:szCs w:val="20"/>
        </w:rPr>
        <w:t>执行《市政工程工程量计算标准》；界限以外按现行国家标准《通用安装工程工程量计算标准》</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z w:val="20"/>
          <w:szCs w:val="20"/>
        </w:rPr>
        <w:t xml:space="preserve"> </w:t>
      </w:r>
      <w:r>
        <w:rPr>
          <w:rFonts w:ascii="宋体" w:hAnsi="宋体" w:eastAsia="宋体" w:cs="宋体"/>
          <w:spacing w:val="7"/>
          <w:sz w:val="20"/>
          <w:szCs w:val="20"/>
        </w:rPr>
        <w:t>50856</w:t>
      </w:r>
      <w:r>
        <w:rPr>
          <w:rFonts w:ascii="宋体" w:hAnsi="宋体" w:eastAsia="宋体" w:cs="宋体"/>
          <w:spacing w:val="-27"/>
          <w:sz w:val="20"/>
          <w:szCs w:val="20"/>
        </w:rPr>
        <w:t xml:space="preserve"> </w:t>
      </w:r>
      <w:r>
        <w:rPr>
          <w:rFonts w:ascii="宋体" w:hAnsi="宋体" w:eastAsia="宋体" w:cs="宋体"/>
          <w:spacing w:val="7"/>
          <w:sz w:val="20"/>
          <w:szCs w:val="20"/>
        </w:rPr>
        <w:t>附录</w:t>
      </w:r>
      <w:r>
        <w:rPr>
          <w:rFonts w:ascii="宋体" w:hAnsi="宋体" w:eastAsia="宋体" w:cs="宋体"/>
          <w:spacing w:val="-37"/>
          <w:sz w:val="20"/>
          <w:szCs w:val="20"/>
        </w:rPr>
        <w:t xml:space="preserve"> </w:t>
      </w:r>
      <w:r>
        <w:rPr>
          <w:rFonts w:ascii="宋体" w:hAnsi="宋体" w:eastAsia="宋体" w:cs="宋体"/>
          <w:spacing w:val="7"/>
          <w:sz w:val="20"/>
          <w:szCs w:val="20"/>
        </w:rPr>
        <w:t>D</w:t>
      </w:r>
      <w:r>
        <w:rPr>
          <w:rFonts w:ascii="宋体" w:hAnsi="宋体" w:eastAsia="宋体" w:cs="宋体"/>
          <w:spacing w:val="-23"/>
          <w:sz w:val="20"/>
          <w:szCs w:val="20"/>
        </w:rPr>
        <w:t xml:space="preserve"> </w:t>
      </w:r>
      <w:r>
        <w:rPr>
          <w:rFonts w:ascii="宋体" w:hAnsi="宋体" w:eastAsia="宋体" w:cs="宋体"/>
          <w:spacing w:val="7"/>
          <w:sz w:val="20"/>
          <w:szCs w:val="20"/>
        </w:rPr>
        <w:t>电气设备安装工程的相应项目执行。</w:t>
      </w:r>
    </w:p>
    <w:p>
      <w:pPr>
        <w:spacing w:before="121" w:line="332" w:lineRule="auto"/>
        <w:ind w:left="2" w:right="77" w:firstLine="410"/>
        <w:rPr>
          <w:rFonts w:ascii="宋体" w:hAnsi="宋体" w:eastAsia="宋体" w:cs="宋体"/>
          <w:sz w:val="20"/>
          <w:szCs w:val="20"/>
        </w:rPr>
      </w:pPr>
      <w:r>
        <w:rPr>
          <w:rFonts w:ascii="宋体" w:hAnsi="宋体" w:eastAsia="宋体" w:cs="宋体"/>
          <w:spacing w:val="8"/>
          <w:sz w:val="20"/>
          <w:szCs w:val="20"/>
        </w:rPr>
        <w:t>（5）《市政工程工程量计算标准》只列了地下综合管廊本体结构工程项目，管廊段附属门窗工</w:t>
      </w:r>
      <w:r>
        <w:rPr>
          <w:rFonts w:ascii="宋体" w:hAnsi="宋体" w:eastAsia="宋体" w:cs="宋体"/>
          <w:spacing w:val="10"/>
          <w:sz w:val="20"/>
          <w:szCs w:val="20"/>
        </w:rPr>
        <w:t>程及各类安装工程应按现行国家标准《房屋建筑与装饰工程工程量计算标</w:t>
      </w:r>
      <w:r>
        <w:rPr>
          <w:rFonts w:ascii="宋体" w:hAnsi="宋体" w:eastAsia="宋体" w:cs="宋体"/>
          <w:spacing w:val="9"/>
          <w:sz w:val="20"/>
          <w:szCs w:val="20"/>
        </w:rPr>
        <w:t>准》</w:t>
      </w:r>
      <w:r>
        <w:rPr>
          <w:rFonts w:ascii="宋体" w:hAnsi="宋体" w:eastAsia="宋体" w:cs="宋体"/>
          <w:sz w:val="20"/>
          <w:szCs w:val="20"/>
        </w:rPr>
        <w:t>GB</w:t>
      </w:r>
      <w:r>
        <w:rPr>
          <w:rFonts w:ascii="宋体" w:hAnsi="宋体" w:eastAsia="宋体" w:cs="宋体"/>
          <w:spacing w:val="9"/>
          <w:sz w:val="20"/>
          <w:szCs w:val="20"/>
        </w:rPr>
        <w:t>/T</w:t>
      </w:r>
      <w:r>
        <w:rPr>
          <w:rFonts w:ascii="宋体" w:hAnsi="宋体" w:eastAsia="宋体" w:cs="宋体"/>
          <w:spacing w:val="-40"/>
          <w:sz w:val="20"/>
          <w:szCs w:val="20"/>
        </w:rPr>
        <w:t xml:space="preserve"> </w:t>
      </w:r>
      <w:r>
        <w:rPr>
          <w:rFonts w:ascii="宋体" w:hAnsi="宋体" w:eastAsia="宋体" w:cs="宋体"/>
          <w:spacing w:val="9"/>
          <w:sz w:val="20"/>
          <w:szCs w:val="20"/>
        </w:rPr>
        <w:t>50854</w:t>
      </w:r>
      <w:r>
        <w:rPr>
          <w:rFonts w:ascii="宋体" w:hAnsi="宋体" w:eastAsia="宋体" w:cs="宋体"/>
          <w:spacing w:val="-34"/>
          <w:sz w:val="20"/>
          <w:szCs w:val="20"/>
        </w:rPr>
        <w:t xml:space="preserve"> </w:t>
      </w:r>
      <w:r>
        <w:rPr>
          <w:rFonts w:ascii="宋体" w:hAnsi="宋体" w:eastAsia="宋体" w:cs="宋体"/>
          <w:spacing w:val="9"/>
          <w:sz w:val="20"/>
          <w:szCs w:val="20"/>
        </w:rPr>
        <w:t>和《通用</w:t>
      </w:r>
      <w:r>
        <w:rPr>
          <w:rFonts w:ascii="宋体" w:hAnsi="宋体" w:eastAsia="宋体" w:cs="宋体"/>
          <w:spacing w:val="8"/>
          <w:sz w:val="20"/>
          <w:szCs w:val="20"/>
        </w:rPr>
        <w:t>安装工程工程量计算标准》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39"/>
          <w:sz w:val="20"/>
          <w:szCs w:val="20"/>
        </w:rPr>
        <w:t xml:space="preserve"> </w:t>
      </w:r>
      <w:r>
        <w:rPr>
          <w:rFonts w:ascii="宋体" w:hAnsi="宋体" w:eastAsia="宋体" w:cs="宋体"/>
          <w:spacing w:val="8"/>
          <w:sz w:val="20"/>
          <w:szCs w:val="20"/>
        </w:rPr>
        <w:t>50856</w:t>
      </w:r>
      <w:r>
        <w:rPr>
          <w:rFonts w:ascii="宋体" w:hAnsi="宋体" w:eastAsia="宋体" w:cs="宋体"/>
          <w:spacing w:val="-24"/>
          <w:sz w:val="20"/>
          <w:szCs w:val="20"/>
        </w:rPr>
        <w:t xml:space="preserve"> </w:t>
      </w:r>
      <w:r>
        <w:rPr>
          <w:rFonts w:ascii="宋体" w:hAnsi="宋体" w:eastAsia="宋体" w:cs="宋体"/>
          <w:spacing w:val="8"/>
          <w:sz w:val="20"/>
          <w:szCs w:val="20"/>
        </w:rPr>
        <w:t>的相应项目执</w:t>
      </w:r>
      <w:r>
        <w:rPr>
          <w:rFonts w:ascii="宋体" w:hAnsi="宋体" w:eastAsia="宋体" w:cs="宋体"/>
          <w:spacing w:val="7"/>
          <w:sz w:val="20"/>
          <w:szCs w:val="20"/>
        </w:rPr>
        <w:t>行。</w:t>
      </w:r>
    </w:p>
    <w:p>
      <w:pPr>
        <w:spacing w:before="127" w:line="217" w:lineRule="auto"/>
        <w:ind w:left="422"/>
        <w:rPr>
          <w:rFonts w:ascii="宋体" w:hAnsi="宋体" w:eastAsia="宋体" w:cs="宋体"/>
          <w:sz w:val="20"/>
          <w:szCs w:val="20"/>
        </w:rPr>
      </w:pPr>
      <w:r>
        <w:rPr>
          <w:rFonts w:ascii="宋体" w:hAnsi="宋体" w:eastAsia="宋体" w:cs="宋体"/>
          <w:b/>
          <w:bCs/>
          <w:spacing w:val="7"/>
          <w:sz w:val="20"/>
          <w:szCs w:val="20"/>
        </w:rPr>
        <w:t>二、土石方工程</w:t>
      </w:r>
    </w:p>
    <w:p>
      <w:pPr>
        <w:spacing w:before="160" w:line="312" w:lineRule="auto"/>
        <w:ind w:left="2" w:right="77" w:firstLine="437"/>
        <w:rPr>
          <w:rFonts w:ascii="宋体" w:hAnsi="宋体" w:eastAsia="宋体" w:cs="宋体"/>
          <w:sz w:val="20"/>
          <w:szCs w:val="20"/>
        </w:rPr>
      </w:pPr>
      <w:r>
        <w:rPr>
          <w:rFonts w:ascii="宋体" w:hAnsi="宋体" w:eastAsia="宋体" w:cs="宋体"/>
          <w:spacing w:val="8"/>
          <w:sz w:val="20"/>
          <w:szCs w:val="20"/>
        </w:rPr>
        <w:t>1. 项目特征中的“土类别”、“岩石类别”按照《市政工程工程量计算标准》表</w:t>
      </w:r>
      <w:r>
        <w:rPr>
          <w:rFonts w:ascii="宋体" w:hAnsi="宋体" w:eastAsia="宋体" w:cs="宋体"/>
          <w:spacing w:val="-37"/>
          <w:sz w:val="20"/>
          <w:szCs w:val="20"/>
        </w:rPr>
        <w:t xml:space="preserve"> </w:t>
      </w:r>
      <w:r>
        <w:rPr>
          <w:rFonts w:ascii="宋体" w:hAnsi="宋体" w:eastAsia="宋体" w:cs="宋体"/>
          <w:spacing w:val="8"/>
          <w:sz w:val="20"/>
          <w:szCs w:val="20"/>
        </w:rPr>
        <w:t>A.4.</w:t>
      </w:r>
      <w:r>
        <w:rPr>
          <w:rFonts w:ascii="宋体" w:hAnsi="宋体" w:eastAsia="宋体" w:cs="宋体"/>
          <w:spacing w:val="7"/>
          <w:sz w:val="20"/>
          <w:szCs w:val="20"/>
        </w:rPr>
        <w:t>3-1、表A.4.3-2</w:t>
      </w:r>
      <w:r>
        <w:rPr>
          <w:rFonts w:ascii="宋体" w:hAnsi="宋体" w:eastAsia="宋体" w:cs="宋体"/>
          <w:spacing w:val="-41"/>
          <w:sz w:val="20"/>
          <w:szCs w:val="20"/>
        </w:rPr>
        <w:t xml:space="preserve"> </w:t>
      </w:r>
      <w:r>
        <w:rPr>
          <w:rFonts w:ascii="宋体" w:hAnsi="宋体" w:eastAsia="宋体" w:cs="宋体"/>
          <w:spacing w:val="7"/>
          <w:sz w:val="20"/>
          <w:szCs w:val="20"/>
        </w:rPr>
        <w:t>进行确定，如土、岩类别不能准确划分时，可</w:t>
      </w:r>
      <w:r>
        <w:rPr>
          <w:rFonts w:ascii="宋体" w:hAnsi="宋体" w:eastAsia="宋体" w:cs="宋体"/>
          <w:spacing w:val="6"/>
          <w:sz w:val="20"/>
          <w:szCs w:val="20"/>
        </w:rPr>
        <w:t>依据地勘报告进行描述。</w:t>
      </w:r>
    </w:p>
    <w:p>
      <w:pPr>
        <w:spacing w:before="122" w:line="313" w:lineRule="auto"/>
        <w:ind w:right="77" w:firstLine="423"/>
        <w:rPr>
          <w:rFonts w:ascii="宋体" w:hAnsi="宋体" w:eastAsia="宋体" w:cs="宋体"/>
          <w:sz w:val="20"/>
          <w:szCs w:val="20"/>
        </w:rPr>
      </w:pPr>
      <w:r>
        <w:rPr>
          <w:rFonts w:ascii="宋体" w:hAnsi="宋体" w:eastAsia="宋体" w:cs="宋体"/>
          <w:spacing w:val="8"/>
          <w:sz w:val="20"/>
          <w:szCs w:val="20"/>
        </w:rPr>
        <w:t>2. 计算挖沟槽、基坑土（石）方的工程量时，将工作面并入计算，工作面宽度按设计要求进行</w:t>
      </w:r>
      <w:r>
        <w:rPr>
          <w:rFonts w:ascii="宋体" w:hAnsi="宋体" w:eastAsia="宋体" w:cs="宋体"/>
          <w:spacing w:val="7"/>
          <w:sz w:val="20"/>
          <w:szCs w:val="20"/>
        </w:rPr>
        <w:t>计算，无设计要求时按照《市政工程工程量计算标准》A.4</w:t>
      </w:r>
      <w:r>
        <w:rPr>
          <w:rFonts w:ascii="宋体" w:hAnsi="宋体" w:eastAsia="宋体" w:cs="宋体"/>
          <w:spacing w:val="6"/>
          <w:sz w:val="20"/>
          <w:szCs w:val="20"/>
        </w:rPr>
        <w:t>.2</w:t>
      </w:r>
      <w:r>
        <w:rPr>
          <w:rFonts w:ascii="宋体" w:hAnsi="宋体" w:eastAsia="宋体" w:cs="宋体"/>
          <w:spacing w:val="-40"/>
          <w:sz w:val="20"/>
          <w:szCs w:val="20"/>
        </w:rPr>
        <w:t xml:space="preserve"> </w:t>
      </w:r>
      <w:r>
        <w:rPr>
          <w:rFonts w:ascii="宋体" w:hAnsi="宋体" w:eastAsia="宋体" w:cs="宋体"/>
          <w:spacing w:val="6"/>
          <w:sz w:val="20"/>
          <w:szCs w:val="20"/>
        </w:rPr>
        <w:t>条规定进行计算。</w:t>
      </w:r>
    </w:p>
    <w:p>
      <w:pPr>
        <w:spacing w:before="123" w:line="278" w:lineRule="exact"/>
        <w:ind w:left="426"/>
        <w:rPr>
          <w:rFonts w:ascii="宋体" w:hAnsi="宋体" w:eastAsia="宋体" w:cs="宋体"/>
          <w:sz w:val="20"/>
          <w:szCs w:val="20"/>
        </w:rPr>
      </w:pPr>
      <w:r>
        <w:rPr>
          <w:rFonts w:ascii="宋体" w:hAnsi="宋体" w:eastAsia="宋体" w:cs="宋体"/>
          <w:spacing w:val="5"/>
          <w:position w:val="1"/>
          <w:sz w:val="20"/>
          <w:szCs w:val="20"/>
        </w:rPr>
        <w:t>3. 沟槽、基坑、一般土（石）方的划分：</w:t>
      </w:r>
    </w:p>
    <w:p>
      <w:pPr>
        <w:spacing w:before="121" w:line="354" w:lineRule="auto"/>
        <w:ind w:left="9" w:right="13" w:firstLine="416"/>
        <w:rPr>
          <w:rFonts w:ascii="宋体" w:hAnsi="宋体" w:eastAsia="宋体" w:cs="宋体"/>
          <w:sz w:val="20"/>
          <w:szCs w:val="20"/>
        </w:rPr>
      </w:pPr>
      <w:r>
        <w:rPr>
          <w:rFonts w:ascii="宋体" w:hAnsi="宋体" w:eastAsia="宋体" w:cs="宋体"/>
          <w:spacing w:val="4"/>
          <w:sz w:val="20"/>
          <w:szCs w:val="20"/>
        </w:rPr>
        <w:t>沟槽是指底宽≤7m</w:t>
      </w:r>
      <w:r>
        <w:rPr>
          <w:rFonts w:ascii="宋体" w:hAnsi="宋体" w:eastAsia="宋体" w:cs="宋体"/>
          <w:spacing w:val="-41"/>
          <w:sz w:val="20"/>
          <w:szCs w:val="20"/>
        </w:rPr>
        <w:t xml:space="preserve"> </w:t>
      </w:r>
      <w:r>
        <w:rPr>
          <w:rFonts w:ascii="宋体" w:hAnsi="宋体" w:eastAsia="宋体" w:cs="宋体"/>
          <w:spacing w:val="4"/>
          <w:sz w:val="20"/>
          <w:szCs w:val="20"/>
        </w:rPr>
        <w:t>且底长＞</w:t>
      </w:r>
      <w:r>
        <w:rPr>
          <w:rFonts w:ascii="宋体" w:hAnsi="宋体" w:eastAsia="宋体" w:cs="宋体"/>
          <w:spacing w:val="-57"/>
          <w:sz w:val="20"/>
          <w:szCs w:val="20"/>
        </w:rPr>
        <w:t xml:space="preserve"> </w:t>
      </w:r>
      <w:r>
        <w:rPr>
          <w:rFonts w:ascii="宋体" w:hAnsi="宋体" w:eastAsia="宋体" w:cs="宋体"/>
          <w:spacing w:val="4"/>
          <w:sz w:val="20"/>
          <w:szCs w:val="20"/>
        </w:rPr>
        <w:t>3</w:t>
      </w:r>
      <w:r>
        <w:rPr>
          <w:rFonts w:ascii="宋体" w:hAnsi="宋体" w:eastAsia="宋体" w:cs="宋体"/>
          <w:spacing w:val="-46"/>
          <w:sz w:val="20"/>
          <w:szCs w:val="20"/>
        </w:rPr>
        <w:t xml:space="preserve"> </w:t>
      </w:r>
      <w:r>
        <w:rPr>
          <w:rFonts w:ascii="宋体" w:hAnsi="宋体" w:eastAsia="宋体" w:cs="宋体"/>
          <w:spacing w:val="4"/>
          <w:sz w:val="20"/>
          <w:szCs w:val="20"/>
        </w:rPr>
        <w:t>倍底宽的梯（矩）形断面的土（石）方开挖（不包含加宽工作面</w:t>
      </w:r>
      <w:r>
        <w:rPr>
          <w:rFonts w:ascii="宋体" w:hAnsi="宋体" w:eastAsia="宋体" w:cs="宋体"/>
          <w:spacing w:val="-50"/>
          <w:w w:val="95"/>
          <w:sz w:val="20"/>
          <w:szCs w:val="20"/>
        </w:rPr>
        <w:t>），</w:t>
      </w:r>
      <w:r>
        <w:rPr>
          <w:rFonts w:ascii="宋体" w:hAnsi="宋体" w:eastAsia="宋体" w:cs="宋体"/>
          <w:spacing w:val="8"/>
          <w:sz w:val="20"/>
          <w:szCs w:val="20"/>
        </w:rPr>
        <w:t>主要用于各类地下管线的铺设；</w:t>
      </w:r>
    </w:p>
    <w:p>
      <w:pPr>
        <w:spacing w:before="35" w:line="351" w:lineRule="auto"/>
        <w:ind w:left="4" w:right="77" w:firstLine="416"/>
        <w:rPr>
          <w:rFonts w:ascii="宋体" w:hAnsi="宋体" w:eastAsia="宋体" w:cs="宋体"/>
          <w:sz w:val="20"/>
          <w:szCs w:val="20"/>
        </w:rPr>
      </w:pPr>
      <w:r>
        <w:rPr>
          <w:rFonts w:ascii="宋体" w:hAnsi="宋体" w:eastAsia="宋体" w:cs="宋体"/>
          <w:spacing w:val="10"/>
          <w:sz w:val="20"/>
          <w:szCs w:val="20"/>
        </w:rPr>
        <w:t>基坑是指建筑物基础施工的土（石）方开挖（不包含加宽工作面</w:t>
      </w:r>
      <w:r>
        <w:rPr>
          <w:rFonts w:ascii="宋体" w:hAnsi="宋体" w:eastAsia="宋体" w:cs="宋体"/>
          <w:spacing w:val="2"/>
          <w:sz w:val="20"/>
          <w:szCs w:val="20"/>
        </w:rPr>
        <w:t>）</w:t>
      </w:r>
      <w:r>
        <w:rPr>
          <w:rFonts w:ascii="宋体" w:hAnsi="宋体" w:eastAsia="宋体" w:cs="宋体"/>
          <w:spacing w:val="-49"/>
          <w:sz w:val="20"/>
          <w:szCs w:val="20"/>
        </w:rPr>
        <w:t xml:space="preserve"> </w:t>
      </w:r>
      <w:r>
        <w:rPr>
          <w:rFonts w:ascii="宋体" w:hAnsi="宋体" w:eastAsia="宋体" w:cs="宋体"/>
          <w:spacing w:val="2"/>
          <w:sz w:val="20"/>
          <w:szCs w:val="20"/>
        </w:rPr>
        <w:t>，</w:t>
      </w:r>
      <w:r>
        <w:rPr>
          <w:rFonts w:ascii="宋体" w:hAnsi="宋体" w:eastAsia="宋体" w:cs="宋体"/>
          <w:spacing w:val="10"/>
          <w:sz w:val="20"/>
          <w:szCs w:val="20"/>
        </w:rPr>
        <w:t>主要用于各类建（构）筑</w:t>
      </w:r>
      <w:r>
        <w:rPr>
          <w:rFonts w:ascii="宋体" w:hAnsi="宋体" w:eastAsia="宋体" w:cs="宋体"/>
          <w:spacing w:val="8"/>
          <w:sz w:val="20"/>
          <w:szCs w:val="20"/>
        </w:rPr>
        <w:t>物地下结构部分的建造；</w:t>
      </w:r>
    </w:p>
    <w:p>
      <w:pPr>
        <w:spacing w:before="42" w:line="367" w:lineRule="auto"/>
        <w:ind w:left="1" w:right="77" w:firstLine="420"/>
        <w:rPr>
          <w:rFonts w:ascii="宋体" w:hAnsi="宋体" w:eastAsia="宋体" w:cs="宋体"/>
          <w:sz w:val="20"/>
          <w:szCs w:val="20"/>
        </w:rPr>
      </w:pPr>
      <w:r>
        <w:rPr>
          <w:rFonts w:ascii="宋体" w:hAnsi="宋体" w:eastAsia="宋体" w:cs="宋体"/>
          <w:spacing w:val="11"/>
          <w:sz w:val="20"/>
          <w:szCs w:val="20"/>
        </w:rPr>
        <w:t>一般土石方是指除了沟槽和基坑以外的其他类型的土石方工程，主要用于山</w:t>
      </w:r>
      <w:r>
        <w:rPr>
          <w:rFonts w:ascii="宋体" w:hAnsi="宋体" w:eastAsia="宋体" w:cs="宋体"/>
          <w:spacing w:val="10"/>
          <w:sz w:val="20"/>
          <w:szCs w:val="20"/>
        </w:rPr>
        <w:t>坡的挖掘、道路的</w:t>
      </w:r>
      <w:r>
        <w:rPr>
          <w:rFonts w:ascii="宋体" w:hAnsi="宋体" w:eastAsia="宋体" w:cs="宋体"/>
          <w:spacing w:val="8"/>
          <w:sz w:val="20"/>
          <w:szCs w:val="20"/>
        </w:rPr>
        <w:t>修建、场平工程等。</w:t>
      </w:r>
    </w:p>
    <w:p>
      <w:pPr>
        <w:spacing w:line="298" w:lineRule="auto"/>
        <w:ind w:right="109" w:firstLine="419"/>
        <w:rPr>
          <w:rFonts w:ascii="宋体" w:hAnsi="宋体" w:eastAsia="宋体" w:cs="宋体"/>
          <w:sz w:val="20"/>
          <w:szCs w:val="20"/>
        </w:rPr>
      </w:pPr>
      <w:r>
        <w:rPr>
          <w:rFonts w:ascii="宋体" w:hAnsi="宋体" w:eastAsia="宋体" w:cs="宋体"/>
          <w:spacing w:val="8"/>
          <w:sz w:val="20"/>
          <w:szCs w:val="20"/>
        </w:rPr>
        <w:t>4. 土方开挖设计图纸未明确或未要求承包人按图施工的措施内容（如放坡、挡土板围护等</w:t>
      </w:r>
      <w:r>
        <w:rPr>
          <w:rFonts w:ascii="宋体" w:hAnsi="宋体" w:eastAsia="宋体" w:cs="宋体"/>
          <w:spacing w:val="-7"/>
          <w:sz w:val="20"/>
          <w:szCs w:val="20"/>
        </w:rPr>
        <w:t>），</w:t>
      </w:r>
      <w:r>
        <w:rPr>
          <w:rFonts w:ascii="宋体" w:hAnsi="宋体" w:eastAsia="宋体" w:cs="宋体"/>
          <w:spacing w:val="9"/>
          <w:sz w:val="20"/>
          <w:szCs w:val="20"/>
        </w:rPr>
        <w:t>应包含在相应工作内容中，不再单独计算。</w:t>
      </w:r>
    </w:p>
    <w:p>
      <w:pPr>
        <w:spacing w:before="156" w:line="297" w:lineRule="auto"/>
        <w:ind w:left="1" w:right="77" w:firstLine="421"/>
        <w:rPr>
          <w:rFonts w:ascii="宋体" w:hAnsi="宋体" w:eastAsia="宋体" w:cs="宋体"/>
          <w:sz w:val="20"/>
          <w:szCs w:val="20"/>
        </w:rPr>
      </w:pPr>
      <w:r>
        <w:rPr>
          <w:rFonts w:ascii="宋体" w:hAnsi="宋体" w:eastAsia="宋体" w:cs="宋体"/>
          <w:spacing w:val="8"/>
          <w:sz w:val="20"/>
          <w:szCs w:val="20"/>
        </w:rPr>
        <w:t>5. 挖沟槽、基坑、一般土石方、暗挖土方和挖淤泥、流砂清单项目的工作内容中仅包括了土石</w:t>
      </w:r>
      <w:r>
        <w:rPr>
          <w:rFonts w:ascii="宋体" w:hAnsi="宋体" w:eastAsia="宋体" w:cs="宋体"/>
          <w:spacing w:val="9"/>
          <w:sz w:val="20"/>
          <w:szCs w:val="20"/>
        </w:rPr>
        <w:t>方场内运输，如需土石方外运时可按“余方弃置”项目编码列项。</w:t>
      </w:r>
    </w:p>
    <w:p>
      <w:pPr>
        <w:spacing w:before="156" w:line="276" w:lineRule="exact"/>
        <w:ind w:left="423"/>
        <w:rPr>
          <w:rFonts w:ascii="宋体" w:hAnsi="宋体" w:eastAsia="宋体" w:cs="宋体"/>
          <w:sz w:val="20"/>
          <w:szCs w:val="20"/>
        </w:rPr>
      </w:pPr>
      <w:r>
        <w:rPr>
          <w:rFonts w:ascii="宋体" w:hAnsi="宋体" w:eastAsia="宋体" w:cs="宋体"/>
          <w:spacing w:val="7"/>
          <w:position w:val="1"/>
          <w:sz w:val="20"/>
          <w:szCs w:val="20"/>
        </w:rPr>
        <w:t>6. 石方爆破按现行国家标准《爆破工程工程量计算标准》</w:t>
      </w:r>
      <w:r>
        <w:rPr>
          <w:rFonts w:ascii="宋体" w:hAnsi="宋体" w:eastAsia="宋体" w:cs="宋体"/>
          <w:position w:val="1"/>
          <w:sz w:val="20"/>
          <w:szCs w:val="20"/>
        </w:rPr>
        <w:t>GB</w:t>
      </w:r>
      <w:r>
        <w:rPr>
          <w:rFonts w:ascii="宋体" w:hAnsi="宋体" w:eastAsia="宋体" w:cs="宋体"/>
          <w:spacing w:val="7"/>
          <w:position w:val="1"/>
          <w:sz w:val="20"/>
          <w:szCs w:val="20"/>
        </w:rPr>
        <w:t>/T</w:t>
      </w:r>
      <w:r>
        <w:rPr>
          <w:rFonts w:ascii="宋体" w:hAnsi="宋体" w:eastAsia="宋体" w:cs="宋体"/>
          <w:spacing w:val="-40"/>
          <w:position w:val="1"/>
          <w:sz w:val="20"/>
          <w:szCs w:val="20"/>
        </w:rPr>
        <w:t xml:space="preserve"> </w:t>
      </w:r>
      <w:r>
        <w:rPr>
          <w:rFonts w:ascii="宋体" w:hAnsi="宋体" w:eastAsia="宋体" w:cs="宋体"/>
          <w:spacing w:val="7"/>
          <w:position w:val="1"/>
          <w:sz w:val="20"/>
          <w:szCs w:val="20"/>
        </w:rPr>
        <w:t>50862</w:t>
      </w:r>
      <w:r>
        <w:rPr>
          <w:rFonts w:ascii="宋体" w:hAnsi="宋体" w:eastAsia="宋体" w:cs="宋体"/>
          <w:spacing w:val="-20"/>
          <w:position w:val="1"/>
          <w:sz w:val="20"/>
          <w:szCs w:val="20"/>
        </w:rPr>
        <w:t xml:space="preserve"> </w:t>
      </w:r>
      <w:r>
        <w:rPr>
          <w:rFonts w:ascii="宋体" w:hAnsi="宋体" w:eastAsia="宋体" w:cs="宋体"/>
          <w:spacing w:val="7"/>
          <w:position w:val="1"/>
          <w:sz w:val="20"/>
          <w:szCs w:val="20"/>
        </w:rPr>
        <w:t>中相关项目编码列项。</w:t>
      </w:r>
    </w:p>
    <w:p>
      <w:pPr>
        <w:spacing w:before="129" w:line="220" w:lineRule="auto"/>
        <w:ind w:left="425"/>
        <w:rPr>
          <w:rFonts w:ascii="宋体" w:hAnsi="宋体" w:eastAsia="宋体" w:cs="宋体"/>
          <w:sz w:val="20"/>
          <w:szCs w:val="20"/>
        </w:rPr>
      </w:pPr>
      <w:r>
        <w:rPr>
          <w:rFonts w:ascii="宋体" w:hAnsi="宋体" w:eastAsia="宋体" w:cs="宋体"/>
          <w:b/>
          <w:bCs/>
          <w:spacing w:val="6"/>
          <w:sz w:val="20"/>
          <w:szCs w:val="20"/>
        </w:rPr>
        <w:t>三、道路工程</w:t>
      </w:r>
    </w:p>
    <w:p>
      <w:pPr>
        <w:spacing w:before="156" w:line="277" w:lineRule="exact"/>
        <w:ind w:left="440"/>
        <w:rPr>
          <w:rFonts w:ascii="宋体" w:hAnsi="宋体" w:eastAsia="宋体" w:cs="宋体"/>
          <w:sz w:val="20"/>
          <w:szCs w:val="20"/>
        </w:rPr>
      </w:pPr>
      <w:r>
        <w:rPr>
          <w:rFonts w:ascii="宋体" w:hAnsi="宋体" w:eastAsia="宋体" w:cs="宋体"/>
          <w:spacing w:val="8"/>
          <w:position w:val="1"/>
          <w:sz w:val="20"/>
          <w:szCs w:val="20"/>
        </w:rPr>
        <w:t>1. 项目特征中的桩长应包括桩尖，空桩长度=孔深-桩长，孔深为自然地面至设</w:t>
      </w:r>
      <w:r>
        <w:rPr>
          <w:rFonts w:ascii="宋体" w:hAnsi="宋体" w:eastAsia="宋体" w:cs="宋体"/>
          <w:spacing w:val="7"/>
          <w:position w:val="1"/>
          <w:sz w:val="20"/>
          <w:szCs w:val="20"/>
        </w:rPr>
        <w:t>计桩底的深度。</w:t>
      </w:r>
    </w:p>
    <w:p>
      <w:pPr>
        <w:spacing w:before="123" w:line="277" w:lineRule="exact"/>
        <w:ind w:left="423"/>
        <w:rPr>
          <w:rFonts w:ascii="宋体" w:hAnsi="宋体" w:eastAsia="宋体" w:cs="宋体"/>
          <w:sz w:val="20"/>
          <w:szCs w:val="20"/>
        </w:rPr>
      </w:pPr>
      <w:r>
        <w:rPr>
          <w:rFonts w:ascii="宋体" w:hAnsi="宋体" w:eastAsia="宋体" w:cs="宋体"/>
          <w:spacing w:val="7"/>
          <w:position w:val="1"/>
          <w:sz w:val="20"/>
          <w:szCs w:val="20"/>
        </w:rPr>
        <w:t>2. 道路基层计量规则为按设计图示尺寸以顶面面积计算</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，不扣除各</w:t>
      </w:r>
      <w:r>
        <w:rPr>
          <w:rFonts w:ascii="宋体" w:hAnsi="宋体" w:eastAsia="宋体" w:cs="宋体"/>
          <w:spacing w:val="6"/>
          <w:position w:val="1"/>
          <w:sz w:val="20"/>
          <w:szCs w:val="20"/>
        </w:rPr>
        <w:t>类井所占面积。</w:t>
      </w:r>
    </w:p>
    <w:p>
      <w:pPr>
        <w:spacing w:before="124" w:line="278" w:lineRule="exact"/>
        <w:ind w:left="426"/>
        <w:rPr>
          <w:rFonts w:ascii="宋体" w:hAnsi="宋体" w:eastAsia="宋体" w:cs="宋体"/>
          <w:sz w:val="20"/>
          <w:szCs w:val="20"/>
        </w:rPr>
      </w:pPr>
      <w:r>
        <w:rPr>
          <w:rFonts w:ascii="宋体" w:hAnsi="宋体" w:eastAsia="宋体" w:cs="宋体"/>
          <w:spacing w:val="8"/>
          <w:position w:val="1"/>
          <w:sz w:val="20"/>
          <w:szCs w:val="20"/>
        </w:rPr>
        <w:t>3. 交通管理设施中“标线”、“横道线”计量规则为按设计图</w:t>
      </w:r>
      <w:r>
        <w:rPr>
          <w:rFonts w:ascii="宋体" w:hAnsi="宋体" w:eastAsia="宋体" w:cs="宋体"/>
          <w:spacing w:val="7"/>
          <w:position w:val="1"/>
          <w:sz w:val="20"/>
          <w:szCs w:val="20"/>
        </w:rPr>
        <w:t>示画线的实漆面积计算。</w:t>
      </w:r>
    </w:p>
    <w:p>
      <w:pPr>
        <w:spacing w:before="121" w:line="277" w:lineRule="exact"/>
        <w:ind w:left="420"/>
        <w:rPr>
          <w:rFonts w:ascii="宋体" w:hAnsi="宋体" w:eastAsia="宋体" w:cs="宋体"/>
          <w:sz w:val="20"/>
          <w:szCs w:val="20"/>
        </w:rPr>
      </w:pPr>
      <w:r>
        <w:rPr>
          <w:rFonts w:ascii="宋体" w:hAnsi="宋体" w:eastAsia="宋体" w:cs="宋体"/>
          <w:spacing w:val="8"/>
          <w:position w:val="1"/>
          <w:sz w:val="20"/>
          <w:szCs w:val="20"/>
        </w:rPr>
        <w:t>4. 水泥搅拌桩、粉喷桩、高压喷射注浆桩搭接及套打的重</w:t>
      </w:r>
      <w:r>
        <w:rPr>
          <w:rFonts w:ascii="宋体" w:hAnsi="宋体" w:eastAsia="宋体" w:cs="宋体"/>
          <w:spacing w:val="7"/>
          <w:position w:val="1"/>
          <w:sz w:val="20"/>
          <w:szCs w:val="20"/>
        </w:rPr>
        <w:t>复性施工工程量不计。</w:t>
      </w:r>
    </w:p>
    <w:p>
      <w:pPr>
        <w:spacing w:before="124" w:line="297" w:lineRule="auto"/>
        <w:ind w:left="3" w:right="77" w:firstLine="420"/>
        <w:rPr>
          <w:rFonts w:ascii="宋体" w:hAnsi="宋体" w:eastAsia="宋体" w:cs="宋体"/>
          <w:sz w:val="20"/>
          <w:szCs w:val="20"/>
        </w:rPr>
      </w:pPr>
      <w:r>
        <w:rPr>
          <w:rFonts w:ascii="宋体" w:hAnsi="宋体" w:eastAsia="宋体" w:cs="宋体"/>
          <w:spacing w:val="8"/>
          <w:sz w:val="20"/>
          <w:szCs w:val="20"/>
        </w:rPr>
        <w:t>5. 信号灯、监控摄像机、数码相机、可变信息情报板的工作内容均不含基础、杆件或门架，如</w:t>
      </w:r>
      <w:r>
        <w:rPr>
          <w:rFonts w:ascii="宋体" w:hAnsi="宋体" w:eastAsia="宋体" w:cs="宋体"/>
          <w:spacing w:val="7"/>
          <w:sz w:val="20"/>
          <w:szCs w:val="20"/>
        </w:rPr>
        <w:t>发生可按“交通标志杆”</w:t>
      </w:r>
      <w:r>
        <w:rPr>
          <w:rFonts w:ascii="宋体" w:hAnsi="宋体" w:eastAsia="宋体" w:cs="宋体"/>
          <w:spacing w:val="-76"/>
          <w:sz w:val="20"/>
          <w:szCs w:val="20"/>
        </w:rPr>
        <w:t xml:space="preserve"> </w:t>
      </w:r>
      <w:r>
        <w:rPr>
          <w:rFonts w:ascii="宋体" w:hAnsi="宋体" w:eastAsia="宋体" w:cs="宋体"/>
          <w:spacing w:val="7"/>
          <w:sz w:val="20"/>
          <w:szCs w:val="20"/>
        </w:rPr>
        <w:t>、“</w:t>
      </w:r>
      <w:r>
        <w:rPr>
          <w:rFonts w:ascii="宋体" w:hAnsi="宋体" w:eastAsia="宋体" w:cs="宋体"/>
          <w:spacing w:val="-74"/>
          <w:sz w:val="20"/>
          <w:szCs w:val="20"/>
        </w:rPr>
        <w:t xml:space="preserve"> </w:t>
      </w:r>
      <w:r>
        <w:rPr>
          <w:rFonts w:ascii="宋体" w:hAnsi="宋体" w:eastAsia="宋体" w:cs="宋体"/>
          <w:spacing w:val="7"/>
          <w:sz w:val="20"/>
          <w:szCs w:val="20"/>
        </w:rPr>
        <w:t>门架”项目列项计算。</w:t>
      </w:r>
    </w:p>
    <w:p>
      <w:pPr>
        <w:spacing w:before="155" w:line="298" w:lineRule="auto"/>
        <w:ind w:left="3" w:right="77" w:firstLine="420"/>
        <w:rPr>
          <w:rFonts w:ascii="宋体" w:hAnsi="宋体" w:eastAsia="宋体" w:cs="宋体"/>
          <w:sz w:val="20"/>
          <w:szCs w:val="20"/>
        </w:rPr>
      </w:pPr>
      <w:r>
        <w:rPr>
          <w:rFonts w:ascii="宋体" w:hAnsi="宋体" w:eastAsia="宋体" w:cs="宋体"/>
          <w:spacing w:val="8"/>
          <w:sz w:val="20"/>
          <w:szCs w:val="20"/>
        </w:rPr>
        <w:t>6. 本章涉及的“沟槽、基坑开挖、回填”、“余方、泥浆、废料外运及弃置”等工作均已</w:t>
      </w:r>
      <w:r>
        <w:rPr>
          <w:rFonts w:ascii="宋体" w:hAnsi="宋体" w:eastAsia="宋体" w:cs="宋体"/>
          <w:spacing w:val="7"/>
          <w:sz w:val="20"/>
          <w:szCs w:val="20"/>
        </w:rPr>
        <w:t>包含</w:t>
      </w:r>
      <w:r>
        <w:rPr>
          <w:rFonts w:ascii="宋体" w:hAnsi="宋体" w:eastAsia="宋体" w:cs="宋体"/>
          <w:spacing w:val="8"/>
          <w:sz w:val="20"/>
          <w:szCs w:val="20"/>
        </w:rPr>
        <w:t>在清单项目工作内容中，不再另计。</w:t>
      </w:r>
    </w:p>
    <w:p>
      <w:pPr>
        <w:spacing w:line="298" w:lineRule="auto"/>
        <w:rPr>
          <w:rFonts w:ascii="宋体" w:hAnsi="宋体" w:eastAsia="宋体" w:cs="宋体"/>
          <w:sz w:val="20"/>
          <w:szCs w:val="20"/>
        </w:rPr>
        <w:sectPr>
          <w:footerReference r:id="rId100" w:type="default"/>
          <w:pgSz w:w="11905" w:h="16840"/>
          <w:pgMar w:top="400" w:right="1341"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97" w:lineRule="auto"/>
        <w:ind w:left="1" w:right="118" w:firstLine="420"/>
        <w:rPr>
          <w:rFonts w:ascii="宋体" w:hAnsi="宋体" w:eastAsia="宋体" w:cs="宋体"/>
          <w:sz w:val="20"/>
          <w:szCs w:val="20"/>
        </w:rPr>
      </w:pPr>
      <w:r>
        <w:rPr>
          <w:rFonts w:ascii="宋体" w:hAnsi="宋体" w:eastAsia="宋体" w:cs="宋体"/>
          <w:spacing w:val="8"/>
          <w:sz w:val="20"/>
          <w:szCs w:val="20"/>
        </w:rPr>
        <w:t>7. 交通管理设施涉及送配电的项目按《市政工程</w:t>
      </w:r>
      <w:r>
        <w:rPr>
          <w:rFonts w:ascii="宋体" w:hAnsi="宋体" w:eastAsia="宋体" w:cs="宋体"/>
          <w:spacing w:val="7"/>
          <w:sz w:val="20"/>
          <w:szCs w:val="20"/>
        </w:rPr>
        <w:t>工程量计算标准》附录</w:t>
      </w:r>
      <w:r>
        <w:rPr>
          <w:rFonts w:ascii="宋体" w:hAnsi="宋体" w:eastAsia="宋体" w:cs="宋体"/>
          <w:spacing w:val="-39"/>
          <w:sz w:val="20"/>
          <w:szCs w:val="20"/>
        </w:rPr>
        <w:t xml:space="preserve"> </w:t>
      </w:r>
      <w:r>
        <w:rPr>
          <w:rFonts w:ascii="宋体" w:hAnsi="宋体" w:eastAsia="宋体" w:cs="宋体"/>
          <w:spacing w:val="7"/>
          <w:sz w:val="20"/>
          <w:szCs w:val="20"/>
        </w:rPr>
        <w:t>H</w:t>
      </w:r>
      <w:r>
        <w:rPr>
          <w:rFonts w:ascii="宋体" w:hAnsi="宋体" w:eastAsia="宋体" w:cs="宋体"/>
          <w:spacing w:val="-41"/>
          <w:sz w:val="20"/>
          <w:szCs w:val="20"/>
        </w:rPr>
        <w:t xml:space="preserve"> </w:t>
      </w:r>
      <w:r>
        <w:rPr>
          <w:rFonts w:ascii="宋体" w:hAnsi="宋体" w:eastAsia="宋体" w:cs="宋体"/>
          <w:spacing w:val="7"/>
          <w:sz w:val="20"/>
          <w:szCs w:val="20"/>
        </w:rPr>
        <w:t>路灯工程中相关项目</w:t>
      </w:r>
      <w:r>
        <w:rPr>
          <w:rFonts w:ascii="宋体" w:hAnsi="宋体" w:eastAsia="宋体" w:cs="宋体"/>
          <w:spacing w:val="6"/>
          <w:sz w:val="20"/>
          <w:szCs w:val="20"/>
        </w:rPr>
        <w:t>列项计算。</w:t>
      </w:r>
    </w:p>
    <w:p>
      <w:pPr>
        <w:spacing w:before="156" w:line="297" w:lineRule="auto"/>
        <w:ind w:left="2" w:right="118" w:firstLine="423"/>
        <w:rPr>
          <w:rFonts w:ascii="宋体" w:hAnsi="宋体" w:eastAsia="宋体" w:cs="宋体"/>
          <w:sz w:val="20"/>
          <w:szCs w:val="20"/>
        </w:rPr>
      </w:pPr>
      <w:r>
        <w:rPr>
          <w:rFonts w:ascii="宋体" w:hAnsi="宋体" w:eastAsia="宋体" w:cs="宋体"/>
          <w:spacing w:val="8"/>
          <w:sz w:val="20"/>
          <w:szCs w:val="20"/>
        </w:rPr>
        <w:t>8. 水泥混凝土、沥青混合料和各类稳定土混合料均按商品考虑，若使用现场制作，则</w:t>
      </w:r>
      <w:r>
        <w:rPr>
          <w:rFonts w:ascii="宋体" w:hAnsi="宋体" w:eastAsia="宋体" w:cs="宋体"/>
          <w:spacing w:val="7"/>
          <w:sz w:val="20"/>
          <w:szCs w:val="20"/>
        </w:rPr>
        <w:t>应包括现</w:t>
      </w:r>
      <w:r>
        <w:rPr>
          <w:rFonts w:ascii="宋体" w:hAnsi="宋体" w:eastAsia="宋体" w:cs="宋体"/>
          <w:spacing w:val="8"/>
          <w:sz w:val="20"/>
          <w:szCs w:val="20"/>
        </w:rPr>
        <w:t>场制作所需的所有工作。</w:t>
      </w:r>
    </w:p>
    <w:p>
      <w:pPr>
        <w:spacing w:before="156" w:line="277" w:lineRule="exact"/>
        <w:ind w:left="423"/>
        <w:rPr>
          <w:rFonts w:ascii="宋体" w:hAnsi="宋体" w:eastAsia="宋体" w:cs="宋体"/>
          <w:sz w:val="20"/>
          <w:szCs w:val="20"/>
        </w:rPr>
      </w:pPr>
      <w:r>
        <w:rPr>
          <w:rFonts w:ascii="宋体" w:hAnsi="宋体" w:eastAsia="宋体" w:cs="宋体"/>
          <w:spacing w:val="8"/>
          <w:position w:val="1"/>
          <w:sz w:val="20"/>
          <w:szCs w:val="20"/>
        </w:rPr>
        <w:t>9. 项目所表述的安装，除另有说明外，均包括材料（半成品）、构件或设备的供应</w:t>
      </w:r>
      <w:r>
        <w:rPr>
          <w:rFonts w:ascii="宋体" w:hAnsi="宋体" w:eastAsia="宋体" w:cs="宋体"/>
          <w:spacing w:val="7"/>
          <w:position w:val="1"/>
          <w:sz w:val="20"/>
          <w:szCs w:val="20"/>
        </w:rPr>
        <w:t>和安装。</w:t>
      </w:r>
    </w:p>
    <w:p>
      <w:pPr>
        <w:spacing w:before="131" w:line="217" w:lineRule="auto"/>
        <w:ind w:left="443"/>
        <w:rPr>
          <w:rFonts w:ascii="宋体" w:hAnsi="宋体" w:eastAsia="宋体" w:cs="宋体"/>
          <w:sz w:val="20"/>
          <w:szCs w:val="20"/>
        </w:rPr>
      </w:pPr>
      <w:r>
        <w:rPr>
          <w:rFonts w:ascii="宋体" w:hAnsi="宋体" w:eastAsia="宋体" w:cs="宋体"/>
          <w:b/>
          <w:bCs/>
          <w:spacing w:val="3"/>
          <w:sz w:val="20"/>
          <w:szCs w:val="20"/>
        </w:rPr>
        <w:t>四、桥涵工程</w:t>
      </w:r>
    </w:p>
    <w:p>
      <w:pPr>
        <w:spacing w:before="156" w:line="277" w:lineRule="exact"/>
        <w:ind w:left="440"/>
        <w:rPr>
          <w:rFonts w:ascii="宋体" w:hAnsi="宋体" w:eastAsia="宋体" w:cs="宋体"/>
          <w:sz w:val="20"/>
          <w:szCs w:val="20"/>
        </w:rPr>
      </w:pPr>
      <w:r>
        <w:rPr>
          <w:rFonts w:ascii="宋体" w:hAnsi="宋体" w:eastAsia="宋体" w:cs="宋体"/>
          <w:spacing w:val="7"/>
          <w:position w:val="1"/>
          <w:sz w:val="20"/>
          <w:szCs w:val="20"/>
        </w:rPr>
        <w:t>1. 各类桩基的截桩头、桩头处理均包含在工作内容中，不再</w:t>
      </w:r>
      <w:r>
        <w:rPr>
          <w:rFonts w:ascii="宋体" w:hAnsi="宋体" w:eastAsia="宋体" w:cs="宋体"/>
          <w:spacing w:val="6"/>
          <w:position w:val="1"/>
          <w:sz w:val="20"/>
          <w:szCs w:val="20"/>
        </w:rPr>
        <w:t>单独计量。</w:t>
      </w:r>
    </w:p>
    <w:p>
      <w:pPr>
        <w:spacing w:before="123" w:line="278" w:lineRule="exact"/>
        <w:ind w:left="423"/>
        <w:rPr>
          <w:rFonts w:ascii="宋体" w:hAnsi="宋体" w:eastAsia="宋体" w:cs="宋体"/>
          <w:sz w:val="20"/>
          <w:szCs w:val="20"/>
        </w:rPr>
      </w:pPr>
      <w:r>
        <w:rPr>
          <w:rFonts w:ascii="宋体" w:hAnsi="宋体" w:eastAsia="宋体" w:cs="宋体"/>
          <w:spacing w:val="7"/>
          <w:position w:val="1"/>
          <w:sz w:val="20"/>
          <w:szCs w:val="20"/>
        </w:rPr>
        <w:t>2. 桩基工作内容未包含桩基础的承载力检测、桩身完整性检测。</w:t>
      </w:r>
    </w:p>
    <w:p>
      <w:pPr>
        <w:spacing w:before="125" w:line="320" w:lineRule="auto"/>
        <w:ind w:left="14" w:firstLine="411"/>
        <w:rPr>
          <w:rFonts w:ascii="宋体" w:hAnsi="宋体" w:eastAsia="宋体" w:cs="宋体"/>
          <w:sz w:val="20"/>
          <w:szCs w:val="20"/>
        </w:rPr>
      </w:pPr>
      <w:r>
        <w:rPr>
          <w:rFonts w:ascii="宋体" w:hAnsi="宋体" w:eastAsia="宋体" w:cs="宋体"/>
          <w:spacing w:val="6"/>
          <w:sz w:val="20"/>
          <w:szCs w:val="20"/>
        </w:rPr>
        <w:t>3. “泥浆护壁成孔灌注桩”、“地下连续墙”项目的泥浆弃置应按《市政工程工程</w:t>
      </w:r>
      <w:r>
        <w:rPr>
          <w:rFonts w:ascii="宋体" w:hAnsi="宋体" w:eastAsia="宋体" w:cs="宋体"/>
          <w:spacing w:val="5"/>
          <w:sz w:val="20"/>
          <w:szCs w:val="20"/>
        </w:rPr>
        <w:t>量计算标准》</w:t>
      </w:r>
      <w:r>
        <w:rPr>
          <w:rFonts w:ascii="宋体" w:hAnsi="宋体" w:eastAsia="宋体" w:cs="宋体"/>
          <w:spacing w:val="10"/>
          <w:sz w:val="20"/>
          <w:szCs w:val="20"/>
        </w:rPr>
        <w:t>附录</w:t>
      </w:r>
      <w:r>
        <w:rPr>
          <w:rFonts w:ascii="宋体" w:hAnsi="宋体" w:eastAsia="宋体" w:cs="宋体"/>
          <w:spacing w:val="-43"/>
          <w:sz w:val="20"/>
          <w:szCs w:val="20"/>
        </w:rPr>
        <w:t xml:space="preserve"> </w:t>
      </w:r>
      <w:r>
        <w:rPr>
          <w:rFonts w:ascii="宋体" w:hAnsi="宋体" w:eastAsia="宋体" w:cs="宋体"/>
          <w:spacing w:val="10"/>
          <w:sz w:val="20"/>
          <w:szCs w:val="20"/>
        </w:rPr>
        <w:t>A</w:t>
      </w:r>
      <w:r>
        <w:rPr>
          <w:rFonts w:ascii="宋体" w:hAnsi="宋体" w:eastAsia="宋体" w:cs="宋体"/>
          <w:spacing w:val="-21"/>
          <w:sz w:val="20"/>
          <w:szCs w:val="20"/>
        </w:rPr>
        <w:t xml:space="preserve"> </w:t>
      </w:r>
      <w:r>
        <w:rPr>
          <w:rFonts w:ascii="宋体" w:hAnsi="宋体" w:eastAsia="宋体" w:cs="宋体"/>
          <w:spacing w:val="10"/>
          <w:sz w:val="20"/>
          <w:szCs w:val="20"/>
        </w:rPr>
        <w:t>中“泥浆弃置”清单项目列项计算，其他项目的余土、泥</w:t>
      </w:r>
      <w:r>
        <w:rPr>
          <w:rFonts w:ascii="宋体" w:hAnsi="宋体" w:eastAsia="宋体" w:cs="宋体"/>
          <w:spacing w:val="9"/>
          <w:sz w:val="20"/>
          <w:szCs w:val="20"/>
        </w:rPr>
        <w:t>浆外运及弃置均已包含在项目工作</w:t>
      </w:r>
      <w:r>
        <w:rPr>
          <w:rFonts w:ascii="宋体" w:hAnsi="宋体" w:eastAsia="宋体" w:cs="宋体"/>
          <w:spacing w:val="2"/>
          <w:sz w:val="20"/>
          <w:szCs w:val="20"/>
        </w:rPr>
        <w:t>内容中。</w:t>
      </w:r>
    </w:p>
    <w:p>
      <w:pPr>
        <w:spacing w:before="158" w:line="278" w:lineRule="exact"/>
        <w:ind w:left="420"/>
        <w:rPr>
          <w:rFonts w:ascii="宋体" w:hAnsi="宋体" w:eastAsia="宋体" w:cs="宋体"/>
          <w:sz w:val="20"/>
          <w:szCs w:val="20"/>
        </w:rPr>
      </w:pPr>
      <w:r>
        <w:rPr>
          <w:rFonts w:ascii="宋体" w:hAnsi="宋体" w:eastAsia="宋体" w:cs="宋体"/>
          <w:spacing w:val="8"/>
          <w:position w:val="1"/>
          <w:sz w:val="20"/>
          <w:szCs w:val="20"/>
        </w:rPr>
        <w:t>4. “型钢水泥土搅拌墙”清单项目的工作内容中已包括搭接及套打等重复性</w:t>
      </w:r>
      <w:r>
        <w:rPr>
          <w:rFonts w:ascii="宋体" w:hAnsi="宋体" w:eastAsia="宋体" w:cs="宋体"/>
          <w:spacing w:val="7"/>
          <w:position w:val="1"/>
          <w:sz w:val="20"/>
          <w:szCs w:val="20"/>
        </w:rPr>
        <w:t>施工工作。</w:t>
      </w:r>
    </w:p>
    <w:p>
      <w:pPr>
        <w:spacing w:before="121" w:line="277" w:lineRule="exact"/>
        <w:ind w:left="423"/>
        <w:rPr>
          <w:rFonts w:ascii="宋体" w:hAnsi="宋体" w:eastAsia="宋体" w:cs="宋体"/>
          <w:sz w:val="20"/>
          <w:szCs w:val="20"/>
        </w:rPr>
      </w:pPr>
      <w:r>
        <w:rPr>
          <w:rFonts w:ascii="宋体" w:hAnsi="宋体" w:eastAsia="宋体" w:cs="宋体"/>
          <w:spacing w:val="8"/>
          <w:position w:val="1"/>
          <w:sz w:val="20"/>
          <w:szCs w:val="20"/>
        </w:rPr>
        <w:t>5. 咬合灌注桩咬合部分的工程量不重复计算，并应考虑泥浆、余</w:t>
      </w:r>
      <w:r>
        <w:rPr>
          <w:rFonts w:ascii="宋体" w:hAnsi="宋体" w:eastAsia="宋体" w:cs="宋体"/>
          <w:spacing w:val="7"/>
          <w:position w:val="1"/>
          <w:sz w:val="20"/>
          <w:szCs w:val="20"/>
        </w:rPr>
        <w:t>土外运及弃置费用。</w:t>
      </w:r>
    </w:p>
    <w:p>
      <w:pPr>
        <w:spacing w:before="124" w:line="298" w:lineRule="auto"/>
        <w:ind w:left="2" w:right="118" w:firstLine="421"/>
        <w:rPr>
          <w:rFonts w:ascii="宋体" w:hAnsi="宋体" w:eastAsia="宋体" w:cs="宋体"/>
          <w:sz w:val="20"/>
          <w:szCs w:val="20"/>
        </w:rPr>
      </w:pPr>
      <w:r>
        <w:rPr>
          <w:rFonts w:ascii="宋体" w:hAnsi="宋体" w:eastAsia="宋体" w:cs="宋体"/>
          <w:spacing w:val="8"/>
          <w:sz w:val="20"/>
          <w:szCs w:val="20"/>
        </w:rPr>
        <w:t>6. 各类混凝土预制构件、金属结构构件以成品考虑，应包括成品购置的一切工作，若使用</w:t>
      </w:r>
      <w:r>
        <w:rPr>
          <w:rFonts w:ascii="宋体" w:hAnsi="宋体" w:eastAsia="宋体" w:cs="宋体"/>
          <w:spacing w:val="7"/>
          <w:sz w:val="20"/>
          <w:szCs w:val="20"/>
        </w:rPr>
        <w:t>现场</w:t>
      </w:r>
      <w:r>
        <w:rPr>
          <w:rFonts w:ascii="宋体" w:hAnsi="宋体" w:eastAsia="宋体" w:cs="宋体"/>
          <w:spacing w:val="9"/>
          <w:sz w:val="20"/>
          <w:szCs w:val="20"/>
        </w:rPr>
        <w:t>制作，则应包括现场制作所需的所有工作。</w:t>
      </w:r>
    </w:p>
    <w:p>
      <w:pPr>
        <w:spacing w:before="153" w:line="297" w:lineRule="auto"/>
        <w:ind w:left="2" w:right="118" w:firstLine="419"/>
        <w:rPr>
          <w:rFonts w:ascii="宋体" w:hAnsi="宋体" w:eastAsia="宋体" w:cs="宋体"/>
          <w:sz w:val="20"/>
          <w:szCs w:val="20"/>
        </w:rPr>
      </w:pPr>
      <w:r>
        <w:rPr>
          <w:rFonts w:ascii="宋体" w:hAnsi="宋体" w:eastAsia="宋体" w:cs="宋体"/>
          <w:spacing w:val="8"/>
          <w:sz w:val="20"/>
          <w:szCs w:val="20"/>
        </w:rPr>
        <w:t>7. 现浇钢筋混凝土项目中的钢筋制作、安装，应按《市政工程</w:t>
      </w:r>
      <w:r>
        <w:rPr>
          <w:rFonts w:ascii="宋体" w:hAnsi="宋体" w:eastAsia="宋体" w:cs="宋体"/>
          <w:spacing w:val="7"/>
          <w:sz w:val="20"/>
          <w:szCs w:val="20"/>
        </w:rPr>
        <w:t>工程量计算标准》附录</w:t>
      </w:r>
      <w:r>
        <w:rPr>
          <w:rFonts w:ascii="宋体" w:hAnsi="宋体" w:eastAsia="宋体" w:cs="宋体"/>
          <w:spacing w:val="-46"/>
          <w:sz w:val="20"/>
          <w:szCs w:val="20"/>
        </w:rPr>
        <w:t xml:space="preserve"> </w:t>
      </w:r>
      <w:r>
        <w:rPr>
          <w:rFonts w:ascii="宋体" w:hAnsi="宋体" w:eastAsia="宋体" w:cs="宋体"/>
          <w:spacing w:val="7"/>
          <w:sz w:val="20"/>
          <w:szCs w:val="20"/>
        </w:rPr>
        <w:t>J</w:t>
      </w:r>
      <w:r>
        <w:rPr>
          <w:rFonts w:ascii="宋体" w:hAnsi="宋体" w:eastAsia="宋体" w:cs="宋体"/>
          <w:spacing w:val="-40"/>
          <w:sz w:val="20"/>
          <w:szCs w:val="20"/>
        </w:rPr>
        <w:t xml:space="preserve"> </w:t>
      </w:r>
      <w:r>
        <w:rPr>
          <w:rFonts w:ascii="宋体" w:hAnsi="宋体" w:eastAsia="宋体" w:cs="宋体"/>
          <w:spacing w:val="7"/>
          <w:sz w:val="20"/>
          <w:szCs w:val="20"/>
        </w:rPr>
        <w:t>钢筋工</w:t>
      </w:r>
      <w:r>
        <w:rPr>
          <w:rFonts w:ascii="宋体" w:hAnsi="宋体" w:eastAsia="宋体" w:cs="宋体"/>
          <w:spacing w:val="8"/>
          <w:sz w:val="20"/>
          <w:szCs w:val="20"/>
        </w:rPr>
        <w:t>程中相关项目列项计算。</w:t>
      </w:r>
    </w:p>
    <w:p>
      <w:pPr>
        <w:spacing w:before="158" w:line="296" w:lineRule="auto"/>
        <w:ind w:left="1" w:right="118" w:firstLine="423"/>
        <w:rPr>
          <w:rFonts w:ascii="宋体" w:hAnsi="宋体" w:eastAsia="宋体" w:cs="宋体"/>
          <w:sz w:val="20"/>
          <w:szCs w:val="20"/>
        </w:rPr>
      </w:pPr>
      <w:r>
        <w:rPr>
          <w:rFonts w:ascii="宋体" w:hAnsi="宋体" w:eastAsia="宋体" w:cs="宋体"/>
          <w:spacing w:val="7"/>
          <w:sz w:val="20"/>
          <w:szCs w:val="20"/>
        </w:rPr>
        <w:t>8. 桩基若采用水上工作平台搭拆，应按《市政工程工程量计算标准》附录</w:t>
      </w:r>
      <w:r>
        <w:rPr>
          <w:rFonts w:ascii="宋体" w:hAnsi="宋体" w:eastAsia="宋体" w:cs="宋体"/>
          <w:spacing w:val="-19"/>
          <w:sz w:val="20"/>
          <w:szCs w:val="20"/>
        </w:rPr>
        <w:t xml:space="preserve"> </w:t>
      </w:r>
      <w:r>
        <w:rPr>
          <w:rFonts w:ascii="宋体" w:hAnsi="宋体" w:eastAsia="宋体" w:cs="宋体"/>
          <w:spacing w:val="7"/>
          <w:sz w:val="20"/>
          <w:szCs w:val="20"/>
        </w:rPr>
        <w:t>M</w:t>
      </w:r>
      <w:r>
        <w:rPr>
          <w:rFonts w:ascii="宋体" w:hAnsi="宋体" w:eastAsia="宋体" w:cs="宋体"/>
          <w:spacing w:val="-42"/>
          <w:sz w:val="20"/>
          <w:szCs w:val="20"/>
        </w:rPr>
        <w:t xml:space="preserve"> </w:t>
      </w:r>
      <w:r>
        <w:rPr>
          <w:rFonts w:ascii="宋体" w:hAnsi="宋体" w:eastAsia="宋体" w:cs="宋体"/>
          <w:spacing w:val="7"/>
          <w:sz w:val="20"/>
          <w:szCs w:val="20"/>
        </w:rPr>
        <w:t>措施项目相关项目</w:t>
      </w:r>
      <w:r>
        <w:rPr>
          <w:rFonts w:ascii="宋体" w:hAnsi="宋体" w:eastAsia="宋体" w:cs="宋体"/>
          <w:spacing w:val="6"/>
          <w:sz w:val="20"/>
          <w:szCs w:val="20"/>
        </w:rPr>
        <w:t>列项计算。</w:t>
      </w:r>
    </w:p>
    <w:p>
      <w:pPr>
        <w:spacing w:before="159" w:line="295" w:lineRule="auto"/>
        <w:ind w:left="1" w:right="118" w:firstLine="421"/>
        <w:rPr>
          <w:rFonts w:ascii="宋体" w:hAnsi="宋体" w:eastAsia="宋体" w:cs="宋体"/>
          <w:sz w:val="20"/>
          <w:szCs w:val="20"/>
        </w:rPr>
      </w:pPr>
      <w:r>
        <w:rPr>
          <w:rFonts w:ascii="宋体" w:hAnsi="宋体" w:eastAsia="宋体" w:cs="宋体"/>
          <w:spacing w:val="7"/>
          <w:sz w:val="20"/>
          <w:szCs w:val="20"/>
        </w:rPr>
        <w:t>9. 桥梁施工中如需采用临时支架，可按《市政工程工程量计算标准》附录</w:t>
      </w:r>
      <w:r>
        <w:rPr>
          <w:rFonts w:ascii="宋体" w:hAnsi="宋体" w:eastAsia="宋体" w:cs="宋体"/>
          <w:spacing w:val="-36"/>
          <w:sz w:val="20"/>
          <w:szCs w:val="20"/>
        </w:rPr>
        <w:t xml:space="preserve"> </w:t>
      </w:r>
      <w:r>
        <w:rPr>
          <w:rFonts w:ascii="宋体" w:hAnsi="宋体" w:eastAsia="宋体" w:cs="宋体"/>
          <w:spacing w:val="7"/>
          <w:sz w:val="20"/>
          <w:szCs w:val="20"/>
        </w:rPr>
        <w:t>M</w:t>
      </w:r>
      <w:r>
        <w:rPr>
          <w:rFonts w:ascii="宋体" w:hAnsi="宋体" w:eastAsia="宋体" w:cs="宋体"/>
          <w:spacing w:val="-20"/>
          <w:sz w:val="20"/>
          <w:szCs w:val="20"/>
        </w:rPr>
        <w:t xml:space="preserve"> </w:t>
      </w:r>
      <w:r>
        <w:rPr>
          <w:rFonts w:ascii="宋体" w:hAnsi="宋体" w:eastAsia="宋体" w:cs="宋体"/>
          <w:spacing w:val="7"/>
          <w:sz w:val="20"/>
          <w:szCs w:val="20"/>
        </w:rPr>
        <w:t>中相关项目编</w:t>
      </w:r>
      <w:r>
        <w:rPr>
          <w:rFonts w:ascii="宋体" w:hAnsi="宋体" w:eastAsia="宋体" w:cs="宋体"/>
          <w:spacing w:val="6"/>
          <w:sz w:val="20"/>
          <w:szCs w:val="20"/>
        </w:rPr>
        <w:t>码列</w:t>
      </w:r>
      <w:r>
        <w:rPr>
          <w:rFonts w:ascii="宋体" w:hAnsi="宋体" w:eastAsia="宋体" w:cs="宋体"/>
          <w:spacing w:val="2"/>
          <w:sz w:val="20"/>
          <w:szCs w:val="20"/>
        </w:rPr>
        <w:t>项。</w:t>
      </w:r>
    </w:p>
    <w:p>
      <w:pPr>
        <w:spacing w:before="159" w:line="296" w:lineRule="auto"/>
        <w:ind w:left="6" w:right="118" w:firstLine="433"/>
        <w:rPr>
          <w:rFonts w:ascii="宋体" w:hAnsi="宋体" w:eastAsia="宋体" w:cs="宋体"/>
          <w:sz w:val="20"/>
          <w:szCs w:val="20"/>
        </w:rPr>
      </w:pPr>
      <w:r>
        <w:rPr>
          <w:rFonts w:ascii="宋体" w:hAnsi="宋体" w:eastAsia="宋体" w:cs="宋体"/>
          <w:spacing w:val="6"/>
          <w:sz w:val="20"/>
          <w:szCs w:val="20"/>
        </w:rPr>
        <w:t>10. 立交箱涵的顶进工作坑开挖、支护及降水等可按《市政工程工程量计算标准》附录</w:t>
      </w:r>
      <w:r>
        <w:rPr>
          <w:rFonts w:ascii="宋体" w:hAnsi="宋体" w:eastAsia="宋体" w:cs="宋体"/>
          <w:spacing w:val="-38"/>
          <w:sz w:val="20"/>
          <w:szCs w:val="20"/>
        </w:rPr>
        <w:t xml:space="preserve"> </w:t>
      </w:r>
      <w:r>
        <w:rPr>
          <w:rFonts w:ascii="宋体" w:hAnsi="宋体" w:eastAsia="宋体" w:cs="宋体"/>
          <w:spacing w:val="6"/>
          <w:sz w:val="20"/>
          <w:szCs w:val="20"/>
        </w:rPr>
        <w:t>A、附录</w:t>
      </w:r>
      <w:r>
        <w:rPr>
          <w:rFonts w:ascii="宋体" w:hAnsi="宋体" w:eastAsia="宋体" w:cs="宋体"/>
          <w:spacing w:val="10"/>
          <w:sz w:val="20"/>
          <w:szCs w:val="20"/>
        </w:rPr>
        <w:t>C</w:t>
      </w:r>
      <w:r>
        <w:rPr>
          <w:rFonts w:ascii="宋体" w:hAnsi="宋体" w:eastAsia="宋体" w:cs="宋体"/>
          <w:spacing w:val="-35"/>
          <w:sz w:val="20"/>
          <w:szCs w:val="20"/>
        </w:rPr>
        <w:t xml:space="preserve"> </w:t>
      </w:r>
      <w:r>
        <w:rPr>
          <w:rFonts w:ascii="宋体" w:hAnsi="宋体" w:eastAsia="宋体" w:cs="宋体"/>
          <w:spacing w:val="10"/>
          <w:sz w:val="20"/>
          <w:szCs w:val="20"/>
        </w:rPr>
        <w:t>和附录</w:t>
      </w:r>
      <w:r>
        <w:rPr>
          <w:rFonts w:ascii="宋体" w:hAnsi="宋体" w:eastAsia="宋体" w:cs="宋体"/>
          <w:spacing w:val="-36"/>
          <w:sz w:val="20"/>
          <w:szCs w:val="20"/>
        </w:rPr>
        <w:t xml:space="preserve"> </w:t>
      </w:r>
      <w:r>
        <w:rPr>
          <w:rFonts w:ascii="宋体" w:hAnsi="宋体" w:eastAsia="宋体" w:cs="宋体"/>
          <w:spacing w:val="10"/>
          <w:sz w:val="20"/>
          <w:szCs w:val="20"/>
        </w:rPr>
        <w:t>M</w:t>
      </w:r>
      <w:r>
        <w:rPr>
          <w:rFonts w:ascii="宋体" w:hAnsi="宋体" w:eastAsia="宋体" w:cs="宋体"/>
          <w:spacing w:val="-23"/>
          <w:sz w:val="20"/>
          <w:szCs w:val="20"/>
        </w:rPr>
        <w:t xml:space="preserve"> </w:t>
      </w:r>
      <w:r>
        <w:rPr>
          <w:rFonts w:ascii="宋体" w:hAnsi="宋体" w:eastAsia="宋体" w:cs="宋体"/>
          <w:spacing w:val="10"/>
          <w:sz w:val="20"/>
          <w:szCs w:val="20"/>
        </w:rPr>
        <w:t>中相关项目编码列项。</w:t>
      </w:r>
    </w:p>
    <w:p>
      <w:pPr>
        <w:spacing w:before="160" w:line="312" w:lineRule="auto"/>
        <w:ind w:right="115" w:firstLine="440"/>
        <w:rPr>
          <w:rFonts w:ascii="宋体" w:hAnsi="宋体" w:eastAsia="宋体" w:cs="宋体"/>
          <w:sz w:val="20"/>
          <w:szCs w:val="20"/>
        </w:rPr>
      </w:pPr>
      <w:r>
        <w:rPr>
          <w:rFonts w:ascii="宋体" w:hAnsi="宋体" w:eastAsia="宋体" w:cs="宋体"/>
          <w:spacing w:val="10"/>
          <w:sz w:val="20"/>
          <w:szCs w:val="20"/>
        </w:rPr>
        <w:t>11. 箱涵顶进的工作内容中未包括被交线路的加固及防护，若需发生可按《市政工程工程</w:t>
      </w:r>
      <w:r>
        <w:rPr>
          <w:rFonts w:ascii="宋体" w:hAnsi="宋体" w:eastAsia="宋体" w:cs="宋体"/>
          <w:spacing w:val="9"/>
          <w:sz w:val="20"/>
          <w:szCs w:val="20"/>
        </w:rPr>
        <w:t>量计</w:t>
      </w:r>
      <w:r>
        <w:rPr>
          <w:rFonts w:ascii="宋体" w:hAnsi="宋体" w:eastAsia="宋体" w:cs="宋体"/>
          <w:spacing w:val="10"/>
          <w:sz w:val="20"/>
          <w:szCs w:val="20"/>
        </w:rPr>
        <w:t>算标准》附录</w:t>
      </w:r>
      <w:r>
        <w:rPr>
          <w:rFonts w:ascii="宋体" w:hAnsi="宋体" w:eastAsia="宋体" w:cs="宋体"/>
          <w:spacing w:val="-36"/>
          <w:sz w:val="20"/>
          <w:szCs w:val="20"/>
        </w:rPr>
        <w:t xml:space="preserve"> </w:t>
      </w:r>
      <w:r>
        <w:rPr>
          <w:rFonts w:ascii="宋体" w:hAnsi="宋体" w:eastAsia="宋体" w:cs="宋体"/>
          <w:spacing w:val="10"/>
          <w:sz w:val="20"/>
          <w:szCs w:val="20"/>
        </w:rPr>
        <w:t>M</w:t>
      </w:r>
      <w:r>
        <w:rPr>
          <w:rFonts w:ascii="宋体" w:hAnsi="宋体" w:eastAsia="宋体" w:cs="宋体"/>
          <w:spacing w:val="-20"/>
          <w:sz w:val="20"/>
          <w:szCs w:val="20"/>
        </w:rPr>
        <w:t xml:space="preserve"> </w:t>
      </w:r>
      <w:r>
        <w:rPr>
          <w:rFonts w:ascii="宋体" w:hAnsi="宋体" w:eastAsia="宋体" w:cs="宋体"/>
          <w:spacing w:val="10"/>
          <w:sz w:val="20"/>
          <w:szCs w:val="20"/>
        </w:rPr>
        <w:t>中相关项目编码列项。</w:t>
      </w:r>
    </w:p>
    <w:p>
      <w:pPr>
        <w:spacing w:before="123" w:line="278" w:lineRule="exact"/>
        <w:ind w:left="440"/>
        <w:rPr>
          <w:rFonts w:ascii="宋体" w:hAnsi="宋体" w:eastAsia="宋体" w:cs="宋体"/>
          <w:sz w:val="20"/>
          <w:szCs w:val="20"/>
        </w:rPr>
      </w:pPr>
      <w:r>
        <w:rPr>
          <w:rFonts w:ascii="宋体" w:hAnsi="宋体" w:eastAsia="宋体" w:cs="宋体"/>
          <w:spacing w:val="4"/>
          <w:position w:val="1"/>
          <w:sz w:val="20"/>
          <w:szCs w:val="20"/>
        </w:rPr>
        <w:t>12. 隔声屏障用于地面道路时，基础另计。</w:t>
      </w:r>
    </w:p>
    <w:p>
      <w:pPr>
        <w:spacing w:before="123" w:line="277" w:lineRule="exact"/>
        <w:ind w:left="440"/>
        <w:rPr>
          <w:rFonts w:ascii="宋体" w:hAnsi="宋体" w:eastAsia="宋体" w:cs="宋体"/>
          <w:sz w:val="20"/>
          <w:szCs w:val="20"/>
        </w:rPr>
      </w:pPr>
      <w:r>
        <w:rPr>
          <w:rFonts w:ascii="宋体" w:hAnsi="宋体" w:eastAsia="宋体" w:cs="宋体"/>
          <w:spacing w:val="8"/>
          <w:position w:val="1"/>
          <w:sz w:val="20"/>
          <w:szCs w:val="20"/>
        </w:rPr>
        <w:t>13. 项目所表述的安装，除另有说明外，均包括材</w:t>
      </w:r>
      <w:r>
        <w:rPr>
          <w:rFonts w:ascii="宋体" w:hAnsi="宋体" w:eastAsia="宋体" w:cs="宋体"/>
          <w:spacing w:val="7"/>
          <w:position w:val="1"/>
          <w:sz w:val="20"/>
          <w:szCs w:val="20"/>
        </w:rPr>
        <w:t>料（半成品）、构件或设备的供应和安装</w:t>
      </w:r>
    </w:p>
    <w:p>
      <w:pPr>
        <w:spacing w:before="122" w:line="277" w:lineRule="exact"/>
        <w:ind w:left="440"/>
        <w:rPr>
          <w:rFonts w:ascii="宋体" w:hAnsi="宋体" w:eastAsia="宋体" w:cs="宋体"/>
          <w:sz w:val="20"/>
          <w:szCs w:val="20"/>
        </w:rPr>
      </w:pPr>
      <w:r>
        <w:rPr>
          <w:rFonts w:ascii="宋体" w:hAnsi="宋体" w:eastAsia="宋体" w:cs="宋体"/>
          <w:spacing w:val="7"/>
          <w:position w:val="1"/>
          <w:sz w:val="20"/>
          <w:szCs w:val="20"/>
        </w:rPr>
        <w:t>14. 整体化现浇混凝土是指包括铰缝、湿接缝、先简支后连续现浇接头混凝土等。</w:t>
      </w:r>
    </w:p>
    <w:p>
      <w:pPr>
        <w:spacing w:before="129" w:line="219" w:lineRule="auto"/>
        <w:ind w:left="426"/>
        <w:rPr>
          <w:rFonts w:ascii="宋体" w:hAnsi="宋体" w:eastAsia="宋体" w:cs="宋体"/>
          <w:sz w:val="20"/>
          <w:szCs w:val="20"/>
        </w:rPr>
      </w:pPr>
      <w:r>
        <w:rPr>
          <w:rFonts w:ascii="宋体" w:hAnsi="宋体" w:eastAsia="宋体" w:cs="宋体"/>
          <w:b/>
          <w:bCs/>
          <w:spacing w:val="6"/>
          <w:sz w:val="20"/>
          <w:szCs w:val="20"/>
        </w:rPr>
        <w:t>五、管网工程</w:t>
      </w:r>
    </w:p>
    <w:p>
      <w:pPr>
        <w:spacing w:before="157" w:line="312" w:lineRule="auto"/>
        <w:ind w:right="118" w:firstLine="440"/>
        <w:rPr>
          <w:rFonts w:ascii="宋体" w:hAnsi="宋体" w:eastAsia="宋体" w:cs="宋体"/>
          <w:sz w:val="20"/>
          <w:szCs w:val="20"/>
        </w:rPr>
      </w:pPr>
      <w:r>
        <w:rPr>
          <w:rFonts w:ascii="宋体" w:hAnsi="宋体" w:eastAsia="宋体" w:cs="宋体"/>
          <w:spacing w:val="7"/>
          <w:sz w:val="20"/>
          <w:szCs w:val="20"/>
        </w:rPr>
        <w:t>1. 顶管工作井（坑）的支撑、围护应按《市政工程工程量计算标准》附录</w:t>
      </w:r>
      <w:r>
        <w:rPr>
          <w:rFonts w:ascii="宋体" w:hAnsi="宋体" w:eastAsia="宋体" w:cs="宋体"/>
          <w:spacing w:val="-38"/>
          <w:sz w:val="20"/>
          <w:szCs w:val="20"/>
        </w:rPr>
        <w:t xml:space="preserve"> </w:t>
      </w:r>
      <w:r>
        <w:rPr>
          <w:rFonts w:ascii="宋体" w:hAnsi="宋体" w:eastAsia="宋体" w:cs="宋体"/>
          <w:spacing w:val="7"/>
          <w:sz w:val="20"/>
          <w:szCs w:val="20"/>
        </w:rPr>
        <w:t>C.2</w:t>
      </w:r>
      <w:r>
        <w:rPr>
          <w:rFonts w:ascii="宋体" w:hAnsi="宋体" w:eastAsia="宋体" w:cs="宋体"/>
          <w:spacing w:val="-40"/>
          <w:sz w:val="20"/>
          <w:szCs w:val="20"/>
        </w:rPr>
        <w:t xml:space="preserve"> </w:t>
      </w:r>
      <w:r>
        <w:rPr>
          <w:rFonts w:ascii="宋体" w:hAnsi="宋体" w:eastAsia="宋体" w:cs="宋体"/>
          <w:spacing w:val="7"/>
          <w:sz w:val="20"/>
          <w:szCs w:val="20"/>
        </w:rPr>
        <w:t>基坑</w:t>
      </w:r>
      <w:r>
        <w:rPr>
          <w:rFonts w:ascii="宋体" w:hAnsi="宋体" w:eastAsia="宋体" w:cs="宋体"/>
          <w:spacing w:val="6"/>
          <w:sz w:val="20"/>
          <w:szCs w:val="20"/>
        </w:rPr>
        <w:t>与边坡支护</w:t>
      </w:r>
      <w:r>
        <w:rPr>
          <w:rFonts w:ascii="宋体" w:hAnsi="宋体" w:eastAsia="宋体" w:cs="宋体"/>
          <w:spacing w:val="7"/>
          <w:sz w:val="20"/>
          <w:szCs w:val="20"/>
        </w:rPr>
        <w:t>及附录</w:t>
      </w:r>
      <w:r>
        <w:rPr>
          <w:rFonts w:ascii="宋体" w:hAnsi="宋体" w:eastAsia="宋体" w:cs="宋体"/>
          <w:spacing w:val="-22"/>
          <w:sz w:val="20"/>
          <w:szCs w:val="20"/>
        </w:rPr>
        <w:t xml:space="preserve"> </w:t>
      </w:r>
      <w:r>
        <w:rPr>
          <w:rFonts w:ascii="宋体" w:hAnsi="宋体" w:eastAsia="宋体" w:cs="宋体"/>
          <w:spacing w:val="7"/>
          <w:sz w:val="20"/>
          <w:szCs w:val="20"/>
        </w:rPr>
        <w:t>M.1 措施项目中相关项目列项。</w:t>
      </w:r>
    </w:p>
    <w:p>
      <w:pPr>
        <w:spacing w:before="124" w:line="313" w:lineRule="auto"/>
        <w:ind w:right="118" w:firstLine="423"/>
        <w:rPr>
          <w:rFonts w:ascii="宋体" w:hAnsi="宋体" w:eastAsia="宋体" w:cs="宋体"/>
          <w:sz w:val="20"/>
          <w:szCs w:val="20"/>
        </w:rPr>
      </w:pPr>
      <w:r>
        <w:rPr>
          <w:rFonts w:ascii="宋体" w:hAnsi="宋体" w:eastAsia="宋体" w:cs="宋体"/>
          <w:spacing w:val="9"/>
          <w:sz w:val="20"/>
          <w:szCs w:val="20"/>
        </w:rPr>
        <w:t>2. 阴极保护及牺牲阳极应按现行国家标准《通用安装工程工程</w:t>
      </w:r>
      <w:r>
        <w:rPr>
          <w:rFonts w:ascii="宋体" w:hAnsi="宋体" w:eastAsia="宋体" w:cs="宋体"/>
          <w:spacing w:val="8"/>
          <w:sz w:val="20"/>
          <w:szCs w:val="20"/>
        </w:rPr>
        <w:t>量计算标准》 附录</w:t>
      </w:r>
      <w:r>
        <w:rPr>
          <w:rFonts w:ascii="宋体" w:hAnsi="宋体" w:eastAsia="宋体" w:cs="宋体"/>
          <w:spacing w:val="-38"/>
          <w:sz w:val="20"/>
          <w:szCs w:val="20"/>
        </w:rPr>
        <w:t xml:space="preserve"> </w:t>
      </w:r>
      <w:r>
        <w:rPr>
          <w:rFonts w:ascii="宋体" w:hAnsi="宋体" w:eastAsia="宋体" w:cs="宋体"/>
          <w:spacing w:val="8"/>
          <w:sz w:val="20"/>
          <w:szCs w:val="20"/>
        </w:rPr>
        <w:t>M 刷油、防</w:t>
      </w:r>
      <w:r>
        <w:rPr>
          <w:rFonts w:ascii="宋体" w:hAnsi="宋体" w:eastAsia="宋体" w:cs="宋体"/>
          <w:spacing w:val="9"/>
          <w:sz w:val="20"/>
          <w:szCs w:val="20"/>
        </w:rPr>
        <w:t>腐蚀、绝热工程中相关项目编码列项。</w:t>
      </w:r>
    </w:p>
    <w:p>
      <w:pPr>
        <w:spacing w:before="121" w:line="313" w:lineRule="auto"/>
        <w:ind w:left="2" w:right="118" w:firstLine="424"/>
        <w:rPr>
          <w:rFonts w:ascii="宋体" w:hAnsi="宋体" w:eastAsia="宋体" w:cs="宋体"/>
          <w:sz w:val="20"/>
          <w:szCs w:val="20"/>
        </w:rPr>
      </w:pPr>
      <w:r>
        <w:rPr>
          <w:rFonts w:ascii="宋体" w:hAnsi="宋体" w:eastAsia="宋体" w:cs="宋体"/>
          <w:spacing w:val="8"/>
          <w:sz w:val="20"/>
          <w:szCs w:val="20"/>
        </w:rPr>
        <w:t>3. 高压管道、不锈钢管及其管件和阀门安装、管道焊缝无损探伤应按现行国家标准</w:t>
      </w:r>
      <w:r>
        <w:rPr>
          <w:rFonts w:ascii="宋体" w:hAnsi="宋体" w:eastAsia="宋体" w:cs="宋体"/>
          <w:spacing w:val="7"/>
          <w:sz w:val="20"/>
          <w:szCs w:val="20"/>
        </w:rPr>
        <w:t>《通用安装</w:t>
      </w:r>
      <w:r>
        <w:rPr>
          <w:rFonts w:ascii="宋体" w:hAnsi="宋体" w:eastAsia="宋体" w:cs="宋体"/>
          <w:spacing w:val="10"/>
          <w:sz w:val="20"/>
          <w:szCs w:val="20"/>
        </w:rPr>
        <w:t>工程工程量计算标准》附录</w:t>
      </w:r>
      <w:r>
        <w:rPr>
          <w:rFonts w:ascii="宋体" w:hAnsi="宋体" w:eastAsia="宋体" w:cs="宋体"/>
          <w:spacing w:val="-29"/>
          <w:sz w:val="20"/>
          <w:szCs w:val="20"/>
        </w:rPr>
        <w:t xml:space="preserve"> </w:t>
      </w:r>
      <w:r>
        <w:rPr>
          <w:rFonts w:ascii="宋体" w:hAnsi="宋体" w:eastAsia="宋体" w:cs="宋体"/>
          <w:spacing w:val="10"/>
          <w:sz w:val="20"/>
          <w:szCs w:val="20"/>
        </w:rPr>
        <w:t>H</w:t>
      </w:r>
      <w:r>
        <w:rPr>
          <w:rFonts w:ascii="宋体" w:hAnsi="宋体" w:eastAsia="宋体" w:cs="宋体"/>
          <w:spacing w:val="-42"/>
          <w:sz w:val="20"/>
          <w:szCs w:val="20"/>
        </w:rPr>
        <w:t xml:space="preserve"> </w:t>
      </w:r>
      <w:r>
        <w:rPr>
          <w:rFonts w:ascii="宋体" w:hAnsi="宋体" w:eastAsia="宋体" w:cs="宋体"/>
          <w:spacing w:val="10"/>
          <w:sz w:val="20"/>
          <w:szCs w:val="20"/>
        </w:rPr>
        <w:t>工业管道工程中相关项目编码列项。</w:t>
      </w:r>
    </w:p>
    <w:p>
      <w:pPr>
        <w:spacing w:line="313" w:lineRule="auto"/>
        <w:rPr>
          <w:rFonts w:ascii="宋体" w:hAnsi="宋体" w:eastAsia="宋体" w:cs="宋体"/>
          <w:sz w:val="20"/>
          <w:szCs w:val="20"/>
        </w:rPr>
        <w:sectPr>
          <w:footerReference r:id="rId101" w:type="default"/>
          <w:pgSz w:w="11905" w:h="16840"/>
          <w:pgMar w:top="400" w:right="1300" w:bottom="1213" w:left="1418" w:header="0" w:footer="898"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0"/>
        <w:rPr>
          <w:rFonts w:ascii="宋体" w:hAnsi="宋体" w:eastAsia="宋体" w:cs="宋体"/>
          <w:sz w:val="20"/>
          <w:szCs w:val="20"/>
        </w:rPr>
      </w:pPr>
      <w:r>
        <w:rPr>
          <w:rFonts w:ascii="宋体" w:hAnsi="宋体" w:eastAsia="宋体" w:cs="宋体"/>
          <w:spacing w:val="6"/>
          <w:position w:val="1"/>
          <w:sz w:val="20"/>
          <w:szCs w:val="20"/>
        </w:rPr>
        <w:t>4. 燃气管道气体置换包含在相应管道工程中。</w:t>
      </w:r>
    </w:p>
    <w:p>
      <w:pPr>
        <w:spacing w:before="115" w:line="301" w:lineRule="auto"/>
        <w:ind w:left="1" w:firstLine="421"/>
        <w:rPr>
          <w:rFonts w:ascii="宋体" w:hAnsi="宋体" w:eastAsia="宋体" w:cs="宋体"/>
          <w:sz w:val="20"/>
          <w:szCs w:val="20"/>
        </w:rPr>
      </w:pPr>
      <w:r>
        <w:rPr>
          <w:rFonts w:ascii="宋体" w:hAnsi="宋体" w:eastAsia="宋体" w:cs="宋体"/>
          <w:spacing w:val="4"/>
          <w:sz w:val="20"/>
          <w:szCs w:val="20"/>
        </w:rPr>
        <w:t>5.</w:t>
      </w:r>
      <w:r>
        <w:rPr>
          <w:rFonts w:ascii="宋体" w:hAnsi="宋体" w:eastAsia="宋体" w:cs="宋体"/>
          <w:spacing w:val="29"/>
          <w:sz w:val="20"/>
          <w:szCs w:val="20"/>
        </w:rPr>
        <w:t xml:space="preserve"> </w:t>
      </w:r>
      <w:r>
        <w:rPr>
          <w:rFonts w:ascii="宋体" w:hAnsi="宋体" w:eastAsia="宋体" w:cs="宋体"/>
          <w:spacing w:val="4"/>
          <w:sz w:val="20"/>
          <w:szCs w:val="20"/>
        </w:rPr>
        <w:t>阀门电动机需单独安装，应按现行国家标准《通用安装工程工程量计算标准》附录</w:t>
      </w:r>
      <w:r>
        <w:rPr>
          <w:rFonts w:ascii="宋体" w:hAnsi="宋体" w:eastAsia="宋体" w:cs="宋体"/>
          <w:spacing w:val="-37"/>
          <w:sz w:val="20"/>
          <w:szCs w:val="20"/>
        </w:rPr>
        <w:t xml:space="preserve"> </w:t>
      </w:r>
      <w:r>
        <w:rPr>
          <w:rFonts w:ascii="宋体" w:hAnsi="宋体" w:eastAsia="宋体" w:cs="宋体"/>
          <w:spacing w:val="3"/>
          <w:sz w:val="20"/>
          <w:szCs w:val="20"/>
        </w:rPr>
        <w:t>K</w:t>
      </w:r>
      <w:r>
        <w:rPr>
          <w:rFonts w:ascii="宋体" w:hAnsi="宋体" w:eastAsia="宋体" w:cs="宋体"/>
          <w:spacing w:val="-36"/>
          <w:sz w:val="20"/>
          <w:szCs w:val="20"/>
        </w:rPr>
        <w:t xml:space="preserve"> </w:t>
      </w:r>
      <w:r>
        <w:rPr>
          <w:rFonts w:ascii="宋体" w:hAnsi="宋体" w:eastAsia="宋体" w:cs="宋体"/>
          <w:spacing w:val="3"/>
          <w:sz w:val="20"/>
          <w:szCs w:val="20"/>
        </w:rPr>
        <w:t>给排水、</w:t>
      </w:r>
      <w:r>
        <w:rPr>
          <w:rFonts w:ascii="宋体" w:hAnsi="宋体" w:eastAsia="宋体" w:cs="宋体"/>
          <w:spacing w:val="9"/>
          <w:sz w:val="20"/>
          <w:szCs w:val="20"/>
        </w:rPr>
        <w:t>采暖、燃气工程中相关项目编码列项。</w:t>
      </w:r>
    </w:p>
    <w:p>
      <w:pPr>
        <w:spacing w:before="154" w:line="297" w:lineRule="auto"/>
        <w:ind w:left="2" w:right="80" w:firstLine="421"/>
        <w:rPr>
          <w:rFonts w:ascii="宋体" w:hAnsi="宋体" w:eastAsia="宋体" w:cs="宋体"/>
          <w:sz w:val="20"/>
          <w:szCs w:val="20"/>
        </w:rPr>
      </w:pPr>
      <w:r>
        <w:rPr>
          <w:rFonts w:ascii="宋体" w:hAnsi="宋体" w:eastAsia="宋体" w:cs="宋体"/>
          <w:spacing w:val="6"/>
          <w:sz w:val="20"/>
          <w:szCs w:val="20"/>
        </w:rPr>
        <w:t>6. 管道架空跨越铺设的支架制作、安装应按《市政工程工程量计算标准》附录 E.3</w:t>
      </w:r>
      <w:r>
        <w:rPr>
          <w:rFonts w:ascii="宋体" w:hAnsi="宋体" w:eastAsia="宋体" w:cs="宋体"/>
          <w:spacing w:val="-28"/>
          <w:sz w:val="20"/>
          <w:szCs w:val="20"/>
        </w:rPr>
        <w:t xml:space="preserve"> </w:t>
      </w:r>
      <w:r>
        <w:rPr>
          <w:rFonts w:ascii="宋体" w:hAnsi="宋体" w:eastAsia="宋体" w:cs="宋体"/>
          <w:spacing w:val="6"/>
          <w:sz w:val="20"/>
          <w:szCs w:val="20"/>
        </w:rPr>
        <w:t>支墩、支架</w:t>
      </w:r>
      <w:r>
        <w:rPr>
          <w:rFonts w:ascii="宋体" w:hAnsi="宋体" w:eastAsia="宋体" w:cs="宋体"/>
          <w:spacing w:val="9"/>
          <w:sz w:val="20"/>
          <w:szCs w:val="20"/>
        </w:rPr>
        <w:t>制作及安装相关清单项目编码列项。</w:t>
      </w:r>
    </w:p>
    <w:p>
      <w:pPr>
        <w:spacing w:before="158" w:line="277" w:lineRule="exact"/>
        <w:ind w:left="421"/>
        <w:rPr>
          <w:rFonts w:ascii="宋体" w:hAnsi="宋体" w:eastAsia="宋体" w:cs="宋体"/>
          <w:sz w:val="20"/>
          <w:szCs w:val="20"/>
        </w:rPr>
      </w:pPr>
      <w:r>
        <w:rPr>
          <w:rFonts w:ascii="宋体" w:hAnsi="宋体" w:eastAsia="宋体" w:cs="宋体"/>
          <w:spacing w:val="7"/>
          <w:position w:val="1"/>
          <w:sz w:val="20"/>
          <w:szCs w:val="20"/>
        </w:rPr>
        <w:t>7. 夯管的工作内容中包括管内土方处理并考虑余土外运及处置费用。</w:t>
      </w:r>
    </w:p>
    <w:p>
      <w:pPr>
        <w:spacing w:before="121" w:line="297" w:lineRule="auto"/>
        <w:ind w:left="4" w:right="80" w:firstLine="420"/>
        <w:rPr>
          <w:rFonts w:ascii="宋体" w:hAnsi="宋体" w:eastAsia="宋体" w:cs="宋体"/>
          <w:sz w:val="20"/>
          <w:szCs w:val="20"/>
        </w:rPr>
      </w:pPr>
      <w:r>
        <w:rPr>
          <w:rFonts w:ascii="宋体" w:hAnsi="宋体" w:eastAsia="宋体" w:cs="宋体"/>
          <w:spacing w:val="7"/>
          <w:sz w:val="20"/>
          <w:szCs w:val="20"/>
        </w:rPr>
        <w:t>8. 沉井作为顶管工作井时，其清单项目应按《市政工程工程量计算标准》附录</w:t>
      </w:r>
      <w:r>
        <w:rPr>
          <w:rFonts w:ascii="宋体" w:hAnsi="宋体" w:eastAsia="宋体" w:cs="宋体"/>
          <w:spacing w:val="-26"/>
          <w:sz w:val="20"/>
          <w:szCs w:val="20"/>
        </w:rPr>
        <w:t xml:space="preserve"> </w:t>
      </w:r>
      <w:r>
        <w:rPr>
          <w:rFonts w:ascii="宋体" w:hAnsi="宋体" w:eastAsia="宋体" w:cs="宋体"/>
          <w:spacing w:val="7"/>
          <w:sz w:val="20"/>
          <w:szCs w:val="20"/>
        </w:rPr>
        <w:t>F.1</w:t>
      </w:r>
      <w:r>
        <w:rPr>
          <w:rFonts w:ascii="宋体" w:hAnsi="宋体" w:eastAsia="宋体" w:cs="宋体"/>
          <w:spacing w:val="-42"/>
          <w:sz w:val="20"/>
          <w:szCs w:val="20"/>
        </w:rPr>
        <w:t xml:space="preserve"> </w:t>
      </w:r>
      <w:r>
        <w:rPr>
          <w:rFonts w:ascii="宋体" w:hAnsi="宋体" w:eastAsia="宋体" w:cs="宋体"/>
          <w:spacing w:val="7"/>
          <w:sz w:val="20"/>
          <w:szCs w:val="20"/>
        </w:rPr>
        <w:t>水处理构筑物中相关项目列项。</w:t>
      </w:r>
    </w:p>
    <w:p>
      <w:pPr>
        <w:spacing w:before="164" w:line="218" w:lineRule="auto"/>
        <w:ind w:left="421"/>
        <w:rPr>
          <w:rFonts w:ascii="宋体" w:hAnsi="宋体" w:eastAsia="宋体" w:cs="宋体"/>
          <w:sz w:val="20"/>
          <w:szCs w:val="20"/>
        </w:rPr>
      </w:pPr>
      <w:r>
        <w:rPr>
          <w:rFonts w:ascii="宋体" w:hAnsi="宋体" w:eastAsia="宋体" w:cs="宋体"/>
          <w:b/>
          <w:bCs/>
          <w:spacing w:val="7"/>
          <w:sz w:val="20"/>
          <w:szCs w:val="20"/>
        </w:rPr>
        <w:t>六、水处理工程</w:t>
      </w:r>
    </w:p>
    <w:p>
      <w:pPr>
        <w:spacing w:before="157" w:line="313" w:lineRule="auto"/>
        <w:ind w:left="7" w:right="3" w:firstLine="432"/>
        <w:rPr>
          <w:rFonts w:ascii="宋体" w:hAnsi="宋体" w:eastAsia="宋体" w:cs="宋体"/>
          <w:sz w:val="20"/>
          <w:szCs w:val="20"/>
        </w:rPr>
      </w:pPr>
      <w:r>
        <w:rPr>
          <w:rFonts w:ascii="宋体" w:hAnsi="宋体" w:eastAsia="宋体" w:cs="宋体"/>
          <w:spacing w:val="8"/>
          <w:sz w:val="20"/>
          <w:szCs w:val="20"/>
        </w:rPr>
        <w:t>1. 水处理工程中建筑物应按现行国家标准《房屋建</w:t>
      </w:r>
      <w:r>
        <w:rPr>
          <w:rFonts w:ascii="宋体" w:hAnsi="宋体" w:eastAsia="宋体" w:cs="宋体"/>
          <w:spacing w:val="7"/>
          <w:sz w:val="20"/>
          <w:szCs w:val="20"/>
        </w:rPr>
        <w:t>筑与装饰工程工程量计算标准》中相关项目</w:t>
      </w:r>
      <w:r>
        <w:rPr>
          <w:rFonts w:ascii="宋体" w:hAnsi="宋体" w:eastAsia="宋体" w:cs="宋体"/>
          <w:spacing w:val="5"/>
          <w:sz w:val="20"/>
          <w:szCs w:val="20"/>
        </w:rPr>
        <w:t>编码列项；园林绿化项目应按现行国家标准《园林绿化工程工程量计算标准》 中相关项目编码列项。</w:t>
      </w:r>
    </w:p>
    <w:p>
      <w:pPr>
        <w:spacing w:before="123" w:line="312" w:lineRule="auto"/>
        <w:ind w:left="1" w:right="80" w:firstLine="421"/>
        <w:rPr>
          <w:rFonts w:ascii="宋体" w:hAnsi="宋体" w:eastAsia="宋体" w:cs="宋体"/>
          <w:sz w:val="20"/>
          <w:szCs w:val="20"/>
        </w:rPr>
      </w:pPr>
      <w:r>
        <w:rPr>
          <w:rFonts w:ascii="宋体" w:hAnsi="宋体" w:eastAsia="宋体" w:cs="宋体"/>
          <w:spacing w:val="8"/>
          <w:sz w:val="20"/>
          <w:szCs w:val="20"/>
        </w:rPr>
        <w:t>2. 本章设备安装工程只列了水处理工程专用设备的项目，各类仪表、泵、阀门等标准、定型设</w:t>
      </w:r>
      <w:r>
        <w:rPr>
          <w:rFonts w:ascii="宋体" w:hAnsi="宋体" w:eastAsia="宋体" w:cs="宋体"/>
          <w:spacing w:val="9"/>
          <w:sz w:val="20"/>
          <w:szCs w:val="20"/>
        </w:rPr>
        <w:t>备应按现行国家标准《通用安装工程工程量计算标准》中相关项目编码列项。</w:t>
      </w:r>
    </w:p>
    <w:p>
      <w:pPr>
        <w:spacing w:before="123" w:line="277" w:lineRule="exact"/>
        <w:ind w:left="426"/>
        <w:rPr>
          <w:rFonts w:ascii="宋体" w:hAnsi="宋体" w:eastAsia="宋体" w:cs="宋体"/>
          <w:sz w:val="20"/>
          <w:szCs w:val="20"/>
        </w:rPr>
      </w:pPr>
      <w:r>
        <w:rPr>
          <w:rFonts w:ascii="宋体" w:hAnsi="宋体" w:eastAsia="宋体" w:cs="宋体"/>
          <w:spacing w:val="6"/>
          <w:position w:val="1"/>
          <w:sz w:val="20"/>
          <w:szCs w:val="20"/>
        </w:rPr>
        <w:t>3. 沉井混凝土地梁工程量应并于底板内</w:t>
      </w:r>
      <w:r>
        <w:rPr>
          <w:rFonts w:ascii="宋体" w:hAnsi="宋体" w:eastAsia="宋体" w:cs="宋体"/>
          <w:spacing w:val="5"/>
          <w:position w:val="1"/>
          <w:sz w:val="20"/>
          <w:szCs w:val="20"/>
        </w:rPr>
        <w:t>计算。</w:t>
      </w:r>
    </w:p>
    <w:p>
      <w:pPr>
        <w:spacing w:before="124" w:line="277" w:lineRule="exact"/>
        <w:ind w:left="420"/>
        <w:rPr>
          <w:rFonts w:ascii="宋体" w:hAnsi="宋体" w:eastAsia="宋体" w:cs="宋体"/>
          <w:sz w:val="20"/>
          <w:szCs w:val="20"/>
        </w:rPr>
      </w:pPr>
      <w:r>
        <w:rPr>
          <w:rFonts w:ascii="宋体" w:hAnsi="宋体" w:eastAsia="宋体" w:cs="宋体"/>
          <w:spacing w:val="8"/>
          <w:position w:val="1"/>
          <w:sz w:val="20"/>
          <w:szCs w:val="20"/>
        </w:rPr>
        <w:t>4. 各类垫层应按《市政工程工程量计算标准》附录</w:t>
      </w:r>
      <w:r>
        <w:rPr>
          <w:rFonts w:ascii="宋体" w:hAnsi="宋体" w:eastAsia="宋体" w:cs="宋体"/>
          <w:spacing w:val="-36"/>
          <w:position w:val="1"/>
          <w:sz w:val="20"/>
          <w:szCs w:val="20"/>
        </w:rPr>
        <w:t xml:space="preserve"> </w:t>
      </w:r>
      <w:r>
        <w:rPr>
          <w:rFonts w:ascii="宋体" w:hAnsi="宋体" w:eastAsia="宋体" w:cs="宋体"/>
          <w:spacing w:val="8"/>
          <w:position w:val="1"/>
          <w:sz w:val="20"/>
          <w:szCs w:val="20"/>
        </w:rPr>
        <w:t>C</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桥梁工程相关清单项目</w:t>
      </w:r>
      <w:r>
        <w:rPr>
          <w:rFonts w:ascii="宋体" w:hAnsi="宋体" w:eastAsia="宋体" w:cs="宋体"/>
          <w:spacing w:val="7"/>
          <w:position w:val="1"/>
          <w:sz w:val="20"/>
          <w:szCs w:val="20"/>
        </w:rPr>
        <w:t>编码列项。</w:t>
      </w:r>
    </w:p>
    <w:p>
      <w:pPr>
        <w:spacing w:before="127" w:line="219" w:lineRule="auto"/>
        <w:ind w:left="420"/>
        <w:rPr>
          <w:rFonts w:ascii="宋体" w:hAnsi="宋体" w:eastAsia="宋体" w:cs="宋体"/>
          <w:sz w:val="20"/>
          <w:szCs w:val="20"/>
        </w:rPr>
      </w:pPr>
      <w:r>
        <w:rPr>
          <w:rFonts w:ascii="宋体" w:hAnsi="宋体" w:eastAsia="宋体" w:cs="宋体"/>
          <w:b/>
          <w:bCs/>
          <w:spacing w:val="7"/>
          <w:sz w:val="20"/>
          <w:szCs w:val="20"/>
        </w:rPr>
        <w:t>七、路灯工程</w:t>
      </w:r>
    </w:p>
    <w:p>
      <w:pPr>
        <w:spacing w:before="158" w:line="277" w:lineRule="exact"/>
        <w:ind w:left="440"/>
        <w:rPr>
          <w:rFonts w:ascii="宋体" w:hAnsi="宋体" w:eastAsia="宋体" w:cs="宋体"/>
          <w:sz w:val="20"/>
          <w:szCs w:val="20"/>
        </w:rPr>
      </w:pPr>
      <w:r>
        <w:rPr>
          <w:rFonts w:ascii="宋体" w:hAnsi="宋体" w:eastAsia="宋体" w:cs="宋体"/>
          <w:spacing w:val="8"/>
          <w:position w:val="1"/>
          <w:sz w:val="20"/>
          <w:szCs w:val="20"/>
        </w:rPr>
        <w:t>1. 如发生拆除工程，应按《市政工程工程量计算标准》附录</w:t>
      </w:r>
      <w:r>
        <w:rPr>
          <w:rFonts w:ascii="宋体" w:hAnsi="宋体" w:eastAsia="宋体" w:cs="宋体"/>
          <w:spacing w:val="-37"/>
          <w:position w:val="1"/>
          <w:sz w:val="20"/>
          <w:szCs w:val="20"/>
        </w:rPr>
        <w:t xml:space="preserve"> </w:t>
      </w:r>
      <w:r>
        <w:rPr>
          <w:rFonts w:ascii="宋体" w:hAnsi="宋体" w:eastAsia="宋体" w:cs="宋体"/>
          <w:spacing w:val="8"/>
          <w:position w:val="1"/>
          <w:sz w:val="20"/>
          <w:szCs w:val="20"/>
        </w:rPr>
        <w:t>K</w:t>
      </w:r>
      <w:r>
        <w:rPr>
          <w:rFonts w:ascii="宋体" w:hAnsi="宋体" w:eastAsia="宋体" w:cs="宋体"/>
          <w:spacing w:val="-44"/>
          <w:position w:val="1"/>
          <w:sz w:val="20"/>
          <w:szCs w:val="20"/>
        </w:rPr>
        <w:t xml:space="preserve"> </w:t>
      </w:r>
      <w:r>
        <w:rPr>
          <w:rFonts w:ascii="宋体" w:hAnsi="宋体" w:eastAsia="宋体" w:cs="宋体"/>
          <w:spacing w:val="8"/>
          <w:position w:val="1"/>
          <w:sz w:val="20"/>
          <w:szCs w:val="20"/>
        </w:rPr>
        <w:t>拆除工程相关项</w:t>
      </w:r>
      <w:r>
        <w:rPr>
          <w:rFonts w:ascii="宋体" w:hAnsi="宋体" w:eastAsia="宋体" w:cs="宋体"/>
          <w:spacing w:val="7"/>
          <w:position w:val="1"/>
          <w:sz w:val="20"/>
          <w:szCs w:val="20"/>
        </w:rPr>
        <w:t>目编码列项。</w:t>
      </w:r>
    </w:p>
    <w:p>
      <w:pPr>
        <w:spacing w:before="124" w:line="312" w:lineRule="auto"/>
        <w:ind w:left="20" w:right="80" w:firstLine="402"/>
        <w:rPr>
          <w:rFonts w:ascii="宋体" w:hAnsi="宋体" w:eastAsia="宋体" w:cs="宋体"/>
          <w:sz w:val="20"/>
          <w:szCs w:val="20"/>
        </w:rPr>
      </w:pPr>
      <w:r>
        <w:rPr>
          <w:rFonts w:ascii="宋体" w:hAnsi="宋体" w:eastAsia="宋体" w:cs="宋体"/>
          <w:spacing w:val="14"/>
          <w:sz w:val="20"/>
          <w:szCs w:val="20"/>
        </w:rPr>
        <w:t>2. 常规照明灯是指安装在高度</w:t>
      </w:r>
      <w:r>
        <w:rPr>
          <w:rFonts w:ascii="宋体" w:hAnsi="宋体" w:eastAsia="宋体" w:cs="宋体"/>
          <w:spacing w:val="-55"/>
          <w:sz w:val="20"/>
          <w:szCs w:val="20"/>
        </w:rPr>
        <w:t xml:space="preserve"> </w:t>
      </w:r>
      <w:r>
        <w:rPr>
          <w:rFonts w:ascii="宋体" w:hAnsi="宋体" w:eastAsia="宋体" w:cs="宋体"/>
          <w:spacing w:val="14"/>
          <w:sz w:val="20"/>
          <w:szCs w:val="20"/>
        </w:rPr>
        <w:t>＜</w:t>
      </w:r>
      <w:r>
        <w:rPr>
          <w:rFonts w:ascii="宋体" w:hAnsi="宋体" w:eastAsia="宋体" w:cs="宋体"/>
          <w:spacing w:val="-33"/>
          <w:sz w:val="20"/>
          <w:szCs w:val="20"/>
        </w:rPr>
        <w:t xml:space="preserve"> </w:t>
      </w:r>
      <w:r>
        <w:rPr>
          <w:rFonts w:ascii="宋体" w:hAnsi="宋体" w:eastAsia="宋体" w:cs="宋体"/>
          <w:spacing w:val="14"/>
          <w:sz w:val="20"/>
          <w:szCs w:val="20"/>
        </w:rPr>
        <w:t>15m 的灯杆上</w:t>
      </w:r>
      <w:r>
        <w:rPr>
          <w:rFonts w:ascii="宋体" w:hAnsi="宋体" w:eastAsia="宋体" w:cs="宋体"/>
          <w:spacing w:val="13"/>
          <w:sz w:val="20"/>
          <w:szCs w:val="20"/>
        </w:rPr>
        <w:t>的照明器具</w:t>
      </w:r>
      <w:r>
        <w:rPr>
          <w:rFonts w:ascii="宋体" w:hAnsi="宋体" w:eastAsia="宋体" w:cs="宋体"/>
          <w:spacing w:val="-52"/>
          <w:sz w:val="20"/>
          <w:szCs w:val="20"/>
        </w:rPr>
        <w:t xml:space="preserve"> </w:t>
      </w:r>
      <w:r>
        <w:rPr>
          <w:rFonts w:ascii="宋体" w:hAnsi="宋体" w:eastAsia="宋体" w:cs="宋体"/>
          <w:spacing w:val="13"/>
          <w:sz w:val="20"/>
          <w:szCs w:val="20"/>
        </w:rPr>
        <w:t>，半高杆照明灯是指安装在高度</w:t>
      </w:r>
      <w:r>
        <w:rPr>
          <w:rFonts w:ascii="宋体" w:hAnsi="宋体" w:eastAsia="宋体" w:cs="宋体"/>
          <w:spacing w:val="10"/>
          <w:sz w:val="20"/>
          <w:szCs w:val="20"/>
        </w:rPr>
        <w:t>15m~20m</w:t>
      </w:r>
      <w:r>
        <w:rPr>
          <w:rFonts w:ascii="宋体" w:hAnsi="宋体" w:eastAsia="宋体" w:cs="宋体"/>
          <w:spacing w:val="-13"/>
          <w:sz w:val="20"/>
          <w:szCs w:val="20"/>
        </w:rPr>
        <w:t xml:space="preserve"> </w:t>
      </w:r>
      <w:r>
        <w:rPr>
          <w:rFonts w:ascii="宋体" w:hAnsi="宋体" w:eastAsia="宋体" w:cs="宋体"/>
          <w:spacing w:val="10"/>
          <w:sz w:val="20"/>
          <w:szCs w:val="20"/>
        </w:rPr>
        <w:t>的灯杆上的照明器具，高杆照明灯是指安装在高度≥20m</w:t>
      </w:r>
      <w:r>
        <w:rPr>
          <w:rFonts w:ascii="宋体" w:hAnsi="宋体" w:eastAsia="宋体" w:cs="宋体"/>
          <w:spacing w:val="-25"/>
          <w:sz w:val="20"/>
          <w:szCs w:val="20"/>
        </w:rPr>
        <w:t xml:space="preserve"> </w:t>
      </w:r>
      <w:r>
        <w:rPr>
          <w:rFonts w:ascii="宋体" w:hAnsi="宋体" w:eastAsia="宋体" w:cs="宋体"/>
          <w:spacing w:val="10"/>
          <w:sz w:val="20"/>
          <w:szCs w:val="20"/>
        </w:rPr>
        <w:t>的灯杆上的照明器具。</w:t>
      </w:r>
    </w:p>
    <w:p>
      <w:pPr>
        <w:spacing w:before="122" w:line="297" w:lineRule="auto"/>
        <w:ind w:right="80" w:firstLine="425"/>
        <w:rPr>
          <w:rFonts w:ascii="宋体" w:hAnsi="宋体" w:eastAsia="宋体" w:cs="宋体"/>
          <w:sz w:val="20"/>
          <w:szCs w:val="20"/>
        </w:rPr>
      </w:pPr>
      <w:r>
        <w:rPr>
          <w:rFonts w:ascii="宋体" w:hAnsi="宋体" w:eastAsia="宋体" w:cs="宋体"/>
          <w:spacing w:val="8"/>
          <w:sz w:val="20"/>
          <w:szCs w:val="20"/>
        </w:rPr>
        <w:t>3. 涉及基础施工均应包含基础开挖、回填及余方外运、弃置的工作内容，混凝土基</w:t>
      </w:r>
      <w:r>
        <w:rPr>
          <w:rFonts w:ascii="宋体" w:hAnsi="宋体" w:eastAsia="宋体" w:cs="宋体"/>
          <w:spacing w:val="7"/>
          <w:sz w:val="20"/>
          <w:szCs w:val="20"/>
        </w:rPr>
        <w:t>础应包括制</w:t>
      </w:r>
      <w:r>
        <w:rPr>
          <w:rFonts w:ascii="宋体" w:hAnsi="宋体" w:eastAsia="宋体" w:cs="宋体"/>
          <w:spacing w:val="9"/>
          <w:sz w:val="20"/>
          <w:szCs w:val="20"/>
        </w:rPr>
        <w:t>作所需的模板、混凝土等所有相关工作。</w:t>
      </w:r>
    </w:p>
    <w:p>
      <w:pPr>
        <w:spacing w:before="157" w:line="297" w:lineRule="auto"/>
        <w:ind w:left="2" w:right="80" w:firstLine="417"/>
        <w:rPr>
          <w:rFonts w:ascii="宋体" w:hAnsi="宋体" w:eastAsia="宋体" w:cs="宋体"/>
          <w:sz w:val="20"/>
          <w:szCs w:val="20"/>
        </w:rPr>
      </w:pPr>
      <w:r>
        <w:rPr>
          <w:rFonts w:ascii="宋体" w:hAnsi="宋体" w:eastAsia="宋体" w:cs="宋体"/>
          <w:spacing w:val="5"/>
          <w:sz w:val="20"/>
          <w:szCs w:val="20"/>
        </w:rPr>
        <w:t>4. 现浇钢筋混凝土项目中的钢筋制作、安装 ，应按《市政工程工程量计算标准》附录</w:t>
      </w:r>
      <w:r>
        <w:rPr>
          <w:rFonts w:ascii="宋体" w:hAnsi="宋体" w:eastAsia="宋体" w:cs="宋体"/>
          <w:spacing w:val="-32"/>
          <w:sz w:val="20"/>
          <w:szCs w:val="20"/>
        </w:rPr>
        <w:t xml:space="preserve"> </w:t>
      </w:r>
      <w:r>
        <w:rPr>
          <w:rFonts w:ascii="宋体" w:hAnsi="宋体" w:eastAsia="宋体" w:cs="宋体"/>
          <w:spacing w:val="5"/>
          <w:sz w:val="20"/>
          <w:szCs w:val="20"/>
        </w:rPr>
        <w:t>J</w:t>
      </w:r>
      <w:r>
        <w:rPr>
          <w:rFonts w:ascii="宋体" w:hAnsi="宋体" w:eastAsia="宋体" w:cs="宋体"/>
          <w:spacing w:val="-42"/>
          <w:sz w:val="20"/>
          <w:szCs w:val="20"/>
        </w:rPr>
        <w:t xml:space="preserve"> </w:t>
      </w:r>
      <w:r>
        <w:rPr>
          <w:rFonts w:ascii="宋体" w:hAnsi="宋体" w:eastAsia="宋体" w:cs="宋体"/>
          <w:spacing w:val="5"/>
          <w:sz w:val="20"/>
          <w:szCs w:val="20"/>
        </w:rPr>
        <w:t>钢筋工</w:t>
      </w:r>
      <w:r>
        <w:rPr>
          <w:rFonts w:ascii="宋体" w:hAnsi="宋体" w:eastAsia="宋体" w:cs="宋体"/>
          <w:spacing w:val="8"/>
          <w:sz w:val="20"/>
          <w:szCs w:val="20"/>
        </w:rPr>
        <w:t>程中相关项目列项计算。</w:t>
      </w:r>
    </w:p>
    <w:p>
      <w:pPr>
        <w:spacing w:before="158" w:line="277" w:lineRule="exact"/>
        <w:ind w:left="423"/>
        <w:rPr>
          <w:rFonts w:ascii="宋体" w:hAnsi="宋体" w:eastAsia="宋体" w:cs="宋体"/>
          <w:sz w:val="20"/>
          <w:szCs w:val="20"/>
        </w:rPr>
      </w:pPr>
      <w:r>
        <w:rPr>
          <w:rFonts w:ascii="宋体" w:hAnsi="宋体" w:eastAsia="宋体" w:cs="宋体"/>
          <w:spacing w:val="7"/>
          <w:position w:val="1"/>
          <w:sz w:val="20"/>
          <w:szCs w:val="20"/>
        </w:rPr>
        <w:t>5. 各种支架、铁构件的制作安装包含在项目工作内容中，不再单独计量。</w:t>
      </w:r>
    </w:p>
    <w:p>
      <w:pPr>
        <w:spacing w:before="121" w:line="277" w:lineRule="exact"/>
        <w:ind w:left="423"/>
        <w:rPr>
          <w:rFonts w:ascii="宋体" w:hAnsi="宋体" w:eastAsia="宋体" w:cs="宋体"/>
          <w:sz w:val="20"/>
          <w:szCs w:val="20"/>
        </w:rPr>
      </w:pPr>
      <w:r>
        <w:rPr>
          <w:rFonts w:ascii="宋体" w:hAnsi="宋体" w:eastAsia="宋体" w:cs="宋体"/>
          <w:spacing w:val="7"/>
          <w:position w:val="1"/>
          <w:sz w:val="20"/>
          <w:szCs w:val="20"/>
        </w:rPr>
        <w:t>6. 母线、电线、电缆、架空导线等工程量中应计入预留长度及附加长度。</w:t>
      </w:r>
    </w:p>
    <w:p>
      <w:pPr>
        <w:spacing w:before="124" w:line="277" w:lineRule="exact"/>
        <w:ind w:left="421"/>
        <w:rPr>
          <w:rFonts w:ascii="宋体" w:hAnsi="宋体" w:eastAsia="宋体" w:cs="宋体"/>
          <w:sz w:val="20"/>
          <w:szCs w:val="20"/>
        </w:rPr>
      </w:pPr>
      <w:r>
        <w:rPr>
          <w:rFonts w:ascii="宋体" w:hAnsi="宋体" w:eastAsia="宋体" w:cs="宋体"/>
          <w:spacing w:val="8"/>
          <w:position w:val="1"/>
          <w:sz w:val="20"/>
          <w:szCs w:val="20"/>
        </w:rPr>
        <w:t>7. 项目所表述的安装，除另有说明外，均包括材料（半成品）、构件或设备的供应和</w:t>
      </w:r>
      <w:r>
        <w:rPr>
          <w:rFonts w:ascii="宋体" w:hAnsi="宋体" w:eastAsia="宋体" w:cs="宋体"/>
          <w:spacing w:val="7"/>
          <w:position w:val="1"/>
          <w:sz w:val="20"/>
          <w:szCs w:val="20"/>
        </w:rPr>
        <w:t>安装。</w:t>
      </w:r>
    </w:p>
    <w:p>
      <w:pPr>
        <w:spacing w:before="129" w:line="219" w:lineRule="auto"/>
        <w:ind w:left="419"/>
        <w:rPr>
          <w:rFonts w:ascii="宋体" w:hAnsi="宋体" w:eastAsia="宋体" w:cs="宋体"/>
          <w:sz w:val="20"/>
          <w:szCs w:val="20"/>
        </w:rPr>
      </w:pPr>
      <w:r>
        <w:rPr>
          <w:rFonts w:ascii="宋体" w:hAnsi="宋体" w:eastAsia="宋体" w:cs="宋体"/>
          <w:b/>
          <w:bCs/>
          <w:spacing w:val="8"/>
          <w:sz w:val="20"/>
          <w:szCs w:val="20"/>
        </w:rPr>
        <w:t>八、钢筋工程</w:t>
      </w:r>
    </w:p>
    <w:p>
      <w:pPr>
        <w:spacing w:before="154" w:line="322" w:lineRule="auto"/>
        <w:ind w:right="80" w:firstLine="440"/>
        <w:rPr>
          <w:rFonts w:ascii="宋体" w:hAnsi="宋体" w:eastAsia="宋体" w:cs="宋体"/>
          <w:sz w:val="20"/>
          <w:szCs w:val="20"/>
        </w:rPr>
      </w:pPr>
      <w:r>
        <w:rPr>
          <w:rFonts w:ascii="宋体" w:hAnsi="宋体" w:eastAsia="宋体" w:cs="宋体"/>
          <w:spacing w:val="8"/>
          <w:sz w:val="20"/>
          <w:szCs w:val="20"/>
        </w:rPr>
        <w:t>1. 现浇构件中伸出构件的锚固钢筋、预制构件的吊</w:t>
      </w:r>
      <w:r>
        <w:rPr>
          <w:rFonts w:ascii="宋体" w:hAnsi="宋体" w:eastAsia="宋体" w:cs="宋体"/>
          <w:spacing w:val="7"/>
          <w:sz w:val="20"/>
          <w:szCs w:val="20"/>
        </w:rPr>
        <w:t>钩和固定位置的支撑钢筋等，应并入钢筋工</w:t>
      </w:r>
      <w:r>
        <w:rPr>
          <w:rFonts w:ascii="宋体" w:hAnsi="宋体" w:eastAsia="宋体" w:cs="宋体"/>
          <w:spacing w:val="11"/>
          <w:sz w:val="20"/>
          <w:szCs w:val="20"/>
        </w:rPr>
        <w:t>程量内。除设计明确的搭接外，其他搭接不计算在工程量内。各钢筋项目均不计</w:t>
      </w:r>
      <w:r>
        <w:rPr>
          <w:rFonts w:ascii="宋体" w:hAnsi="宋体" w:eastAsia="宋体" w:cs="宋体"/>
          <w:spacing w:val="10"/>
          <w:sz w:val="20"/>
          <w:szCs w:val="20"/>
        </w:rPr>
        <w:t>算非设计要求的马</w:t>
      </w:r>
      <w:r>
        <w:rPr>
          <w:rFonts w:ascii="宋体" w:hAnsi="宋体" w:eastAsia="宋体" w:cs="宋体"/>
          <w:spacing w:val="9"/>
          <w:sz w:val="20"/>
          <w:szCs w:val="20"/>
        </w:rPr>
        <w:t>凳筋、斜撑筋、抗浮筋、垫铁等措施钢筋的工程量。</w:t>
      </w:r>
    </w:p>
    <w:p>
      <w:pPr>
        <w:spacing w:before="155" w:line="278" w:lineRule="exact"/>
        <w:ind w:left="423"/>
        <w:rPr>
          <w:rFonts w:ascii="宋体" w:hAnsi="宋体" w:eastAsia="宋体" w:cs="宋体"/>
          <w:sz w:val="20"/>
          <w:szCs w:val="20"/>
        </w:rPr>
      </w:pPr>
      <w:r>
        <w:rPr>
          <w:rFonts w:ascii="宋体" w:hAnsi="宋体" w:eastAsia="宋体" w:cs="宋体"/>
          <w:spacing w:val="8"/>
          <w:position w:val="1"/>
          <w:sz w:val="20"/>
          <w:szCs w:val="20"/>
        </w:rPr>
        <w:t>2. 型钢与钢筋组合（除预埋铁件外）的钢格栅，应</w:t>
      </w:r>
      <w:r>
        <w:rPr>
          <w:rFonts w:ascii="宋体" w:hAnsi="宋体" w:eastAsia="宋体" w:cs="宋体"/>
          <w:spacing w:val="7"/>
          <w:position w:val="1"/>
          <w:sz w:val="20"/>
          <w:szCs w:val="20"/>
        </w:rPr>
        <w:t>按型钢和钢筋分别列项计算。</w:t>
      </w:r>
    </w:p>
    <w:p>
      <w:pPr>
        <w:spacing w:before="128" w:line="219" w:lineRule="auto"/>
        <w:ind w:left="423"/>
        <w:rPr>
          <w:rFonts w:ascii="宋体" w:hAnsi="宋体" w:eastAsia="宋体" w:cs="宋体"/>
          <w:sz w:val="20"/>
          <w:szCs w:val="20"/>
        </w:rPr>
      </w:pPr>
      <w:r>
        <w:rPr>
          <w:rFonts w:ascii="宋体" w:hAnsi="宋体" w:eastAsia="宋体" w:cs="宋体"/>
          <w:b/>
          <w:bCs/>
          <w:spacing w:val="7"/>
          <w:sz w:val="20"/>
          <w:szCs w:val="20"/>
        </w:rPr>
        <w:t>九、拆除工程</w:t>
      </w:r>
    </w:p>
    <w:p>
      <w:pPr>
        <w:spacing w:before="159" w:line="296" w:lineRule="auto"/>
        <w:ind w:right="80" w:firstLine="439"/>
        <w:rPr>
          <w:rFonts w:ascii="宋体" w:hAnsi="宋体" w:eastAsia="宋体" w:cs="宋体"/>
          <w:sz w:val="20"/>
          <w:szCs w:val="20"/>
        </w:rPr>
      </w:pPr>
      <w:r>
        <w:rPr>
          <w:rFonts w:ascii="宋体" w:hAnsi="宋体" w:eastAsia="宋体" w:cs="宋体"/>
          <w:spacing w:val="8"/>
          <w:sz w:val="20"/>
          <w:szCs w:val="20"/>
        </w:rPr>
        <w:t>1. 拆除路面、人行道及管道清单项目的工作内容中</w:t>
      </w:r>
      <w:r>
        <w:rPr>
          <w:rFonts w:ascii="宋体" w:hAnsi="宋体" w:eastAsia="宋体" w:cs="宋体"/>
          <w:spacing w:val="7"/>
          <w:sz w:val="20"/>
          <w:szCs w:val="20"/>
        </w:rPr>
        <w:t>均不包括基础及垫层拆除，发生时按本章相</w:t>
      </w:r>
      <w:r>
        <w:rPr>
          <w:rFonts w:ascii="宋体" w:hAnsi="宋体" w:eastAsia="宋体" w:cs="宋体"/>
          <w:spacing w:val="8"/>
          <w:sz w:val="20"/>
          <w:szCs w:val="20"/>
        </w:rPr>
        <w:t>应清单项目编码列项。</w:t>
      </w:r>
    </w:p>
    <w:p>
      <w:pPr>
        <w:spacing w:before="157" w:line="278" w:lineRule="exact"/>
        <w:jc w:val="right"/>
        <w:rPr>
          <w:rFonts w:ascii="宋体" w:hAnsi="宋体" w:eastAsia="宋体" w:cs="宋体"/>
          <w:sz w:val="20"/>
          <w:szCs w:val="20"/>
        </w:rPr>
      </w:pPr>
      <w:r>
        <w:rPr>
          <w:rFonts w:ascii="宋体" w:hAnsi="宋体" w:eastAsia="宋体" w:cs="宋体"/>
          <w:spacing w:val="5"/>
          <w:position w:val="1"/>
          <w:sz w:val="20"/>
          <w:szCs w:val="20"/>
        </w:rPr>
        <w:t>2. 伐树、挖树蔸应按现行国家标准《园林绿化工程工程量计算标准》中相应清单项目编码列项。</w:t>
      </w:r>
    </w:p>
    <w:p>
      <w:pPr>
        <w:spacing w:line="278" w:lineRule="exact"/>
        <w:rPr>
          <w:rFonts w:ascii="宋体" w:hAnsi="宋体" w:eastAsia="宋体" w:cs="宋体"/>
          <w:sz w:val="20"/>
          <w:szCs w:val="20"/>
        </w:rPr>
        <w:sectPr>
          <w:footerReference r:id="rId102" w:type="default"/>
          <w:pgSz w:w="11905" w:h="16840"/>
          <w:pgMar w:top="400" w:right="1338" w:bottom="1213" w:left="1418" w:header="0" w:footer="898"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0" w:lineRule="auto"/>
        <w:ind w:right="39" w:firstLine="425"/>
        <w:rPr>
          <w:rFonts w:ascii="宋体" w:hAnsi="宋体" w:eastAsia="宋体" w:cs="宋体"/>
          <w:sz w:val="20"/>
          <w:szCs w:val="20"/>
        </w:rPr>
      </w:pPr>
      <w:r>
        <w:rPr>
          <w:rFonts w:ascii="宋体" w:hAnsi="宋体" w:eastAsia="宋体" w:cs="宋体"/>
          <w:spacing w:val="7"/>
          <w:sz w:val="20"/>
          <w:szCs w:val="20"/>
        </w:rPr>
        <w:t>3. 拆除工程所产生的废料应按《市政工程工程量计算标准》附录</w:t>
      </w:r>
      <w:r>
        <w:rPr>
          <w:rFonts w:ascii="宋体" w:hAnsi="宋体" w:eastAsia="宋体" w:cs="宋体"/>
          <w:spacing w:val="-40"/>
          <w:sz w:val="20"/>
          <w:szCs w:val="20"/>
        </w:rPr>
        <w:t xml:space="preserve"> </w:t>
      </w:r>
      <w:r>
        <w:rPr>
          <w:rFonts w:ascii="宋体" w:hAnsi="宋体" w:eastAsia="宋体" w:cs="宋体"/>
          <w:spacing w:val="7"/>
          <w:sz w:val="20"/>
          <w:szCs w:val="20"/>
        </w:rPr>
        <w:t>A</w:t>
      </w:r>
      <w:r>
        <w:rPr>
          <w:rFonts w:ascii="宋体" w:hAnsi="宋体" w:eastAsia="宋体" w:cs="宋体"/>
          <w:spacing w:val="-22"/>
          <w:sz w:val="20"/>
          <w:szCs w:val="20"/>
        </w:rPr>
        <w:t xml:space="preserve"> </w:t>
      </w:r>
      <w:r>
        <w:rPr>
          <w:rFonts w:ascii="宋体" w:hAnsi="宋体" w:eastAsia="宋体" w:cs="宋体"/>
          <w:spacing w:val="7"/>
          <w:sz w:val="20"/>
          <w:szCs w:val="20"/>
        </w:rPr>
        <w:t>中“废料弃置”清单项目编</w:t>
      </w:r>
      <w:r>
        <w:rPr>
          <w:rFonts w:ascii="宋体" w:hAnsi="宋体" w:eastAsia="宋体" w:cs="宋体"/>
          <w:spacing w:val="6"/>
          <w:sz w:val="20"/>
          <w:szCs w:val="20"/>
        </w:rPr>
        <w:t>码列项。</w:t>
      </w:r>
    </w:p>
    <w:p>
      <w:pPr>
        <w:spacing w:before="48" w:line="220" w:lineRule="auto"/>
        <w:ind w:left="428"/>
        <w:rPr>
          <w:rFonts w:ascii="宋体" w:hAnsi="宋体" w:eastAsia="宋体" w:cs="宋体"/>
          <w:sz w:val="20"/>
          <w:szCs w:val="20"/>
        </w:rPr>
      </w:pPr>
      <w:r>
        <w:rPr>
          <w:rFonts w:ascii="宋体" w:hAnsi="宋体" w:eastAsia="宋体" w:cs="宋体"/>
          <w:b/>
          <w:bCs/>
          <w:spacing w:val="7"/>
          <w:sz w:val="20"/>
          <w:szCs w:val="20"/>
        </w:rPr>
        <w:t>十、城市地下综合管廊工程</w:t>
      </w:r>
    </w:p>
    <w:p>
      <w:pPr>
        <w:spacing w:before="155" w:line="313" w:lineRule="auto"/>
        <w:ind w:left="4" w:right="39" w:firstLine="435"/>
        <w:rPr>
          <w:rFonts w:ascii="宋体" w:hAnsi="宋体" w:eastAsia="宋体" w:cs="宋体"/>
          <w:sz w:val="20"/>
          <w:szCs w:val="20"/>
        </w:rPr>
      </w:pPr>
      <w:r>
        <w:rPr>
          <w:rFonts w:ascii="宋体" w:hAnsi="宋体" w:eastAsia="宋体" w:cs="宋体"/>
          <w:spacing w:val="8"/>
          <w:sz w:val="20"/>
          <w:szCs w:val="20"/>
        </w:rPr>
        <w:t>1. 城市地下综合管廊中所涉及的建筑物，如管廊上</w:t>
      </w:r>
      <w:r>
        <w:rPr>
          <w:rFonts w:ascii="宋体" w:hAnsi="宋体" w:eastAsia="宋体" w:cs="宋体"/>
          <w:spacing w:val="7"/>
          <w:sz w:val="20"/>
          <w:szCs w:val="20"/>
        </w:rPr>
        <w:t>部建筑、控制中心、开闭所等，应按现行国</w:t>
      </w:r>
      <w:r>
        <w:rPr>
          <w:rFonts w:ascii="宋体" w:hAnsi="宋体" w:eastAsia="宋体" w:cs="宋体"/>
          <w:spacing w:val="9"/>
          <w:sz w:val="20"/>
          <w:szCs w:val="20"/>
        </w:rPr>
        <w:t>家标准《房屋建筑和装饰工程工程量计算标准》中相关项目编码列项。</w:t>
      </w:r>
    </w:p>
    <w:p>
      <w:pPr>
        <w:spacing w:before="122" w:line="295" w:lineRule="auto"/>
        <w:ind w:left="41" w:right="39" w:firstLine="381"/>
        <w:rPr>
          <w:rFonts w:ascii="宋体" w:hAnsi="宋体" w:eastAsia="宋体" w:cs="宋体"/>
          <w:sz w:val="20"/>
          <w:szCs w:val="20"/>
        </w:rPr>
      </w:pPr>
      <w:r>
        <w:rPr>
          <w:rFonts w:ascii="宋体" w:hAnsi="宋体" w:eastAsia="宋体" w:cs="宋体"/>
          <w:spacing w:val="8"/>
          <w:sz w:val="20"/>
          <w:szCs w:val="20"/>
        </w:rPr>
        <w:t>2. 城市地下综合管廊内安装工程应按现行国家标准《通用安装工程工程量计算标准》中相关项</w:t>
      </w:r>
      <w:r>
        <w:rPr>
          <w:rFonts w:ascii="宋体" w:hAnsi="宋体" w:eastAsia="宋体" w:cs="宋体"/>
          <w:sz w:val="20"/>
          <w:szCs w:val="20"/>
        </w:rPr>
        <w:t>目编码列项。</w:t>
      </w:r>
    </w:p>
    <w:p>
      <w:pPr>
        <w:spacing w:before="160" w:line="298" w:lineRule="auto"/>
        <w:ind w:right="39" w:firstLine="426"/>
        <w:rPr>
          <w:rFonts w:ascii="宋体" w:hAnsi="宋体" w:eastAsia="宋体" w:cs="宋体"/>
          <w:sz w:val="20"/>
          <w:szCs w:val="20"/>
        </w:rPr>
      </w:pPr>
      <w:r>
        <w:rPr>
          <w:rFonts w:ascii="宋体" w:hAnsi="宋体" w:eastAsia="宋体" w:cs="宋体"/>
          <w:spacing w:val="8"/>
          <w:sz w:val="20"/>
          <w:szCs w:val="20"/>
        </w:rPr>
        <w:t>3. 预制混凝土构件制作的工作内容应包括制作所需的模板、钢筋、预应力筋、混凝</w:t>
      </w:r>
      <w:r>
        <w:rPr>
          <w:rFonts w:ascii="宋体" w:hAnsi="宋体" w:eastAsia="宋体" w:cs="宋体"/>
          <w:spacing w:val="7"/>
          <w:sz w:val="20"/>
          <w:szCs w:val="20"/>
        </w:rPr>
        <w:t>土等所有相</w:t>
      </w:r>
      <w:r>
        <w:rPr>
          <w:rFonts w:ascii="宋体" w:hAnsi="宋体" w:eastAsia="宋体" w:cs="宋体"/>
          <w:spacing w:val="6"/>
          <w:sz w:val="20"/>
          <w:szCs w:val="20"/>
        </w:rPr>
        <w:t>关工作。</w:t>
      </w:r>
    </w:p>
    <w:p>
      <w:pPr>
        <w:spacing w:before="162" w:line="216" w:lineRule="auto"/>
        <w:ind w:left="428"/>
        <w:rPr>
          <w:rFonts w:ascii="宋体" w:hAnsi="宋体" w:eastAsia="宋体" w:cs="宋体"/>
          <w:sz w:val="20"/>
          <w:szCs w:val="20"/>
        </w:rPr>
      </w:pPr>
      <w:r>
        <w:rPr>
          <w:rFonts w:ascii="宋体" w:hAnsi="宋体" w:eastAsia="宋体" w:cs="宋体"/>
          <w:b/>
          <w:bCs/>
          <w:spacing w:val="6"/>
          <w:sz w:val="20"/>
          <w:szCs w:val="20"/>
        </w:rPr>
        <w:t>十一、</w:t>
      </w:r>
      <w:r>
        <w:rPr>
          <w:rFonts w:ascii="宋体" w:hAnsi="宋体" w:eastAsia="宋体" w:cs="宋体"/>
          <w:spacing w:val="6"/>
          <w:sz w:val="20"/>
          <w:szCs w:val="20"/>
        </w:rPr>
        <w:t xml:space="preserve"> </w:t>
      </w:r>
      <w:r>
        <w:rPr>
          <w:rFonts w:ascii="宋体" w:hAnsi="宋体" w:eastAsia="宋体" w:cs="宋体"/>
          <w:b/>
          <w:bCs/>
          <w:spacing w:val="6"/>
          <w:sz w:val="20"/>
          <w:szCs w:val="20"/>
        </w:rPr>
        <w:t>措施项目</w:t>
      </w:r>
    </w:p>
    <w:p>
      <w:pPr>
        <w:spacing w:before="158" w:line="297" w:lineRule="auto"/>
        <w:ind w:left="1" w:right="40" w:firstLine="438"/>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37"/>
          <w:sz w:val="20"/>
          <w:szCs w:val="20"/>
        </w:rPr>
        <w:t xml:space="preserve"> </w:t>
      </w:r>
      <w:r>
        <w:rPr>
          <w:rFonts w:ascii="宋体" w:hAnsi="宋体" w:eastAsia="宋体" w:cs="宋体"/>
          <w:spacing w:val="8"/>
          <w:sz w:val="20"/>
          <w:szCs w:val="20"/>
        </w:rPr>
        <w:t>“脚手架</w:t>
      </w:r>
      <w:r>
        <w:rPr>
          <w:rFonts w:ascii="宋体" w:hAnsi="宋体" w:eastAsia="宋体" w:cs="宋体"/>
          <w:spacing w:val="-70"/>
          <w:sz w:val="20"/>
          <w:szCs w:val="20"/>
        </w:rPr>
        <w:t xml:space="preserve"> </w:t>
      </w:r>
      <w:r>
        <w:rPr>
          <w:rFonts w:ascii="宋体" w:hAnsi="宋体" w:eastAsia="宋体" w:cs="宋体"/>
          <w:spacing w:val="8"/>
          <w:sz w:val="20"/>
          <w:szCs w:val="20"/>
        </w:rPr>
        <w:t>”项目包括工程施工过程中，按照相关规范要求及满足施工作业的需求所</w:t>
      </w:r>
      <w:r>
        <w:rPr>
          <w:rFonts w:ascii="宋体" w:hAnsi="宋体" w:eastAsia="宋体" w:cs="宋体"/>
          <w:spacing w:val="7"/>
          <w:sz w:val="20"/>
          <w:szCs w:val="20"/>
        </w:rPr>
        <w:t>搭设的全部脚手架内容。</w:t>
      </w:r>
    </w:p>
    <w:p>
      <w:pPr>
        <w:spacing w:before="156" w:line="278" w:lineRule="exact"/>
        <w:ind w:left="423"/>
        <w:rPr>
          <w:rFonts w:ascii="宋体" w:hAnsi="宋体" w:eastAsia="宋体" w:cs="宋体"/>
          <w:sz w:val="20"/>
          <w:szCs w:val="20"/>
        </w:rPr>
      </w:pPr>
      <w:r>
        <w:rPr>
          <w:rFonts w:ascii="宋体" w:hAnsi="宋体" w:eastAsia="宋体" w:cs="宋体"/>
          <w:spacing w:val="7"/>
          <w:position w:val="1"/>
          <w:sz w:val="20"/>
          <w:szCs w:val="20"/>
        </w:rPr>
        <w:t>2. 关于安全文明措施费（安全生产费、环境保护费、文明施工费</w:t>
      </w:r>
      <w:r>
        <w:rPr>
          <w:rFonts w:ascii="宋体" w:hAnsi="宋体" w:eastAsia="宋体" w:cs="宋体"/>
          <w:spacing w:val="7"/>
          <w:position w:val="1"/>
          <w:sz w:val="19"/>
          <w:szCs w:val="19"/>
        </w:rPr>
        <w:t>、</w:t>
      </w:r>
      <w:r>
        <w:rPr>
          <w:rFonts w:ascii="宋体" w:hAnsi="宋体" w:eastAsia="宋体" w:cs="宋体"/>
          <w:spacing w:val="7"/>
          <w:position w:val="1"/>
          <w:sz w:val="20"/>
          <w:szCs w:val="20"/>
        </w:rPr>
        <w:t>临时设施费）</w:t>
      </w:r>
    </w:p>
    <w:p>
      <w:pPr>
        <w:spacing w:before="123" w:line="298" w:lineRule="auto"/>
        <w:ind w:firstLine="413"/>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3"/>
          <w:sz w:val="20"/>
          <w:szCs w:val="20"/>
        </w:rPr>
        <w:t xml:space="preserve"> </w:t>
      </w:r>
      <w:r>
        <w:rPr>
          <w:rFonts w:ascii="宋体" w:hAnsi="宋体" w:eastAsia="宋体" w:cs="宋体"/>
          <w:spacing w:val="8"/>
          <w:sz w:val="20"/>
          <w:szCs w:val="20"/>
        </w:rPr>
        <w:t>1）安全生产费：承包人按照国家及地方主管部门要求，采取措施完善和改进安全生产条件、</w:t>
      </w:r>
      <w:r>
        <w:rPr>
          <w:rFonts w:ascii="宋体" w:hAnsi="宋体" w:eastAsia="宋体" w:cs="宋体"/>
          <w:spacing w:val="10"/>
          <w:sz w:val="20"/>
          <w:szCs w:val="20"/>
        </w:rPr>
        <w:t>保证安全生产所发生的费用。安全生产措施应符合国</w:t>
      </w:r>
      <w:r>
        <w:rPr>
          <w:rFonts w:ascii="宋体" w:hAnsi="宋体" w:eastAsia="宋体" w:cs="宋体"/>
          <w:spacing w:val="9"/>
          <w:sz w:val="20"/>
          <w:szCs w:val="20"/>
        </w:rPr>
        <w:t>家和省有关规定及技术标准要求。</w:t>
      </w:r>
    </w:p>
    <w:p>
      <w:pPr>
        <w:spacing w:before="153" w:line="322" w:lineRule="auto"/>
        <w:ind w:right="39" w:firstLine="413"/>
        <w:rPr>
          <w:rFonts w:ascii="宋体" w:hAnsi="宋体" w:eastAsia="宋体" w:cs="宋体"/>
          <w:sz w:val="20"/>
          <w:szCs w:val="20"/>
        </w:rPr>
      </w:pPr>
      <w:r>
        <w:rPr>
          <w:rFonts w:ascii="宋体" w:hAnsi="宋体" w:eastAsia="宋体" w:cs="宋体"/>
          <w:spacing w:val="8"/>
          <w:sz w:val="20"/>
          <w:szCs w:val="20"/>
        </w:rPr>
        <w:t>（2）环境保护费：承包人按照环保等部门要求，采取措施避免或减少施工过程对环境产生的垃</w:t>
      </w:r>
      <w:r>
        <w:rPr>
          <w:rFonts w:ascii="宋体" w:hAnsi="宋体" w:eastAsia="宋体" w:cs="宋体"/>
          <w:spacing w:val="11"/>
          <w:sz w:val="20"/>
          <w:szCs w:val="20"/>
        </w:rPr>
        <w:t>圾、扬尘、气体、污水、噪声等各类污染所发生的费用。环境保护措施应符合国</w:t>
      </w:r>
      <w:r>
        <w:rPr>
          <w:rFonts w:ascii="宋体" w:hAnsi="宋体" w:eastAsia="宋体" w:cs="宋体"/>
          <w:spacing w:val="10"/>
          <w:sz w:val="20"/>
          <w:szCs w:val="20"/>
        </w:rPr>
        <w:t>家和省有关规定及</w:t>
      </w:r>
      <w:r>
        <w:rPr>
          <w:rFonts w:ascii="宋体" w:hAnsi="宋体" w:eastAsia="宋体" w:cs="宋体"/>
          <w:spacing w:val="7"/>
          <w:sz w:val="20"/>
          <w:szCs w:val="20"/>
        </w:rPr>
        <w:t>技术标准要求。</w:t>
      </w:r>
    </w:p>
    <w:p>
      <w:pPr>
        <w:spacing w:before="154" w:line="298" w:lineRule="auto"/>
        <w:ind w:right="39" w:firstLine="412"/>
        <w:rPr>
          <w:rFonts w:ascii="宋体" w:hAnsi="宋体" w:eastAsia="宋体" w:cs="宋体"/>
          <w:sz w:val="20"/>
          <w:szCs w:val="20"/>
        </w:rPr>
      </w:pPr>
      <w:r>
        <w:rPr>
          <w:rFonts w:ascii="宋体" w:hAnsi="宋体" w:eastAsia="宋体" w:cs="宋体"/>
          <w:spacing w:val="8"/>
          <w:sz w:val="20"/>
          <w:szCs w:val="20"/>
        </w:rPr>
        <w:t>（3）文明施工费：施工现场文明施工所需要的各项费用。文明施工措施应符合国家和省有关规定及技术标准要求。</w:t>
      </w:r>
    </w:p>
    <w:p>
      <w:pPr>
        <w:spacing w:before="157" w:line="340" w:lineRule="auto"/>
        <w:ind w:right="39" w:firstLine="413"/>
        <w:rPr>
          <w:rFonts w:ascii="宋体" w:hAnsi="宋体" w:eastAsia="宋体" w:cs="宋体"/>
          <w:sz w:val="20"/>
          <w:szCs w:val="20"/>
        </w:rPr>
      </w:pPr>
      <w:r>
        <w:rPr>
          <w:rFonts w:ascii="宋体" w:hAnsi="宋体" w:eastAsia="宋体" w:cs="宋体"/>
          <w:spacing w:val="8"/>
          <w:sz w:val="20"/>
          <w:szCs w:val="20"/>
        </w:rPr>
        <w:t>（4）临时设施费：承包人为进行建设工程施工所必须搭设的生活和生产用的临时建筑物、构筑</w:t>
      </w:r>
      <w:r>
        <w:rPr>
          <w:rFonts w:ascii="宋体" w:hAnsi="宋体" w:eastAsia="宋体" w:cs="宋体"/>
          <w:spacing w:val="11"/>
          <w:sz w:val="20"/>
          <w:szCs w:val="20"/>
        </w:rPr>
        <w:t>物和其他临时设施费用，包括临时设施的搭设、维修、拆除、清理费或摊销费等</w:t>
      </w:r>
      <w:r>
        <w:rPr>
          <w:rFonts w:ascii="宋体" w:hAnsi="宋体" w:eastAsia="宋体" w:cs="宋体"/>
          <w:spacing w:val="10"/>
          <w:sz w:val="20"/>
          <w:szCs w:val="20"/>
        </w:rPr>
        <w:t>。临时设施指办公</w:t>
      </w:r>
      <w:r>
        <w:rPr>
          <w:rFonts w:ascii="宋体" w:hAnsi="宋体" w:eastAsia="宋体" w:cs="宋体"/>
          <w:spacing w:val="11"/>
          <w:sz w:val="20"/>
          <w:szCs w:val="20"/>
        </w:rPr>
        <w:t>室、加工场（棚）、仓库、堆放场地、宿舍、卫生间、食堂、文化卫生用房与构</w:t>
      </w:r>
      <w:r>
        <w:rPr>
          <w:rFonts w:ascii="宋体" w:hAnsi="宋体" w:eastAsia="宋体" w:cs="宋体"/>
          <w:spacing w:val="10"/>
          <w:sz w:val="20"/>
          <w:szCs w:val="20"/>
        </w:rPr>
        <w:t>筑物，以及规定范</w:t>
      </w:r>
      <w:r>
        <w:rPr>
          <w:rFonts w:ascii="宋体" w:hAnsi="宋体" w:eastAsia="宋体" w:cs="宋体"/>
          <w:spacing w:val="11"/>
          <w:sz w:val="20"/>
          <w:szCs w:val="20"/>
        </w:rPr>
        <w:t>围内的道路、水、电、管线等临时设施和小型临时设施等。临时设施措施应符合</w:t>
      </w:r>
      <w:r>
        <w:rPr>
          <w:rFonts w:ascii="宋体" w:hAnsi="宋体" w:eastAsia="宋体" w:cs="宋体"/>
          <w:spacing w:val="10"/>
          <w:sz w:val="20"/>
          <w:szCs w:val="20"/>
        </w:rPr>
        <w:t>国家和省有关规定</w:t>
      </w:r>
      <w:r>
        <w:rPr>
          <w:rFonts w:ascii="宋体" w:hAnsi="宋体" w:eastAsia="宋体" w:cs="宋体"/>
          <w:spacing w:val="8"/>
          <w:sz w:val="20"/>
          <w:szCs w:val="20"/>
        </w:rPr>
        <w:t>及技术标准要求。</w:t>
      </w:r>
    </w:p>
    <w:p>
      <w:pPr>
        <w:spacing w:before="150" w:line="335" w:lineRule="auto"/>
        <w:ind w:right="37" w:firstLine="426"/>
        <w:rPr>
          <w:rFonts w:ascii="宋体" w:hAnsi="宋体" w:eastAsia="宋体" w:cs="宋体"/>
          <w:sz w:val="20"/>
          <w:szCs w:val="20"/>
        </w:rPr>
      </w:pPr>
      <w:r>
        <w:rPr>
          <w:rFonts w:ascii="宋体" w:hAnsi="宋体" w:eastAsia="宋体" w:cs="宋体"/>
          <w:spacing w:val="5"/>
          <w:sz w:val="20"/>
          <w:szCs w:val="20"/>
        </w:rPr>
        <w:t>3. 设计文件中有施工排水或施工降水的专项设计时，参照《市政工程工程量计算标准》第4.3.2</w:t>
      </w:r>
      <w:r>
        <w:rPr>
          <w:rFonts w:ascii="宋体" w:hAnsi="宋体" w:eastAsia="宋体" w:cs="宋体"/>
          <w:spacing w:val="11"/>
          <w:sz w:val="20"/>
          <w:szCs w:val="20"/>
        </w:rPr>
        <w:t>条规定“发包人提供设计图纸并要求按其施工的措施项目，应按规定编制工程量清单，</w:t>
      </w:r>
      <w:r>
        <w:rPr>
          <w:rFonts w:ascii="宋体" w:hAnsi="宋体" w:eastAsia="宋体" w:cs="宋体"/>
          <w:spacing w:val="10"/>
          <w:sz w:val="20"/>
          <w:szCs w:val="20"/>
        </w:rPr>
        <w:t>列入分部分项工程量清单中”</w:t>
      </w:r>
      <w:r>
        <w:rPr>
          <w:rFonts w:ascii="宋体" w:hAnsi="宋体" w:eastAsia="宋体" w:cs="宋体"/>
          <w:spacing w:val="-65"/>
          <w:sz w:val="20"/>
          <w:szCs w:val="20"/>
        </w:rPr>
        <w:t xml:space="preserve"> </w:t>
      </w:r>
      <w:r>
        <w:rPr>
          <w:rFonts w:ascii="宋体" w:hAnsi="宋体" w:eastAsia="宋体" w:cs="宋体"/>
          <w:spacing w:val="10"/>
          <w:sz w:val="20"/>
          <w:szCs w:val="20"/>
        </w:rPr>
        <w:t>，施工排水、降水有可能部分或全部计入分部分项清单项目，因此在措施项目中</w:t>
      </w:r>
      <w:r>
        <w:rPr>
          <w:rFonts w:ascii="宋体" w:hAnsi="宋体" w:eastAsia="宋体" w:cs="宋体"/>
          <w:spacing w:val="9"/>
          <w:sz w:val="20"/>
          <w:szCs w:val="20"/>
        </w:rPr>
        <w:t>将施工排水、降水分别列项，方便发包人灵活使用。</w:t>
      </w:r>
    </w:p>
    <w:p>
      <w:pPr>
        <w:spacing w:before="155" w:line="312" w:lineRule="auto"/>
        <w:ind w:left="4" w:right="39" w:firstLine="415"/>
        <w:rPr>
          <w:rFonts w:ascii="宋体" w:hAnsi="宋体" w:eastAsia="宋体" w:cs="宋体"/>
          <w:sz w:val="20"/>
          <w:szCs w:val="20"/>
        </w:rPr>
      </w:pPr>
      <w:r>
        <w:rPr>
          <w:rFonts w:ascii="宋体" w:hAnsi="宋体" w:eastAsia="宋体" w:cs="宋体"/>
          <w:spacing w:val="8"/>
          <w:sz w:val="20"/>
          <w:szCs w:val="20"/>
        </w:rPr>
        <w:t>4. 如合同无特殊约定时，分部分项工程中发生的用水、用电应包含在相应材料、机械中；施工</w:t>
      </w:r>
      <w:bookmarkStart w:id="57" w:name="bookmark37"/>
      <w:bookmarkEnd w:id="57"/>
      <w:bookmarkStart w:id="58" w:name="bookmark38"/>
      <w:bookmarkEnd w:id="58"/>
      <w:r>
        <w:rPr>
          <w:rFonts w:ascii="宋体" w:hAnsi="宋体" w:eastAsia="宋体" w:cs="宋体"/>
          <w:spacing w:val="10"/>
          <w:sz w:val="20"/>
          <w:szCs w:val="20"/>
        </w:rPr>
        <w:t>现场临时用水、用电应包含在临时设施措施项目中</w:t>
      </w:r>
      <w:r>
        <w:rPr>
          <w:rFonts w:ascii="宋体" w:hAnsi="宋体" w:eastAsia="宋体" w:cs="宋体"/>
          <w:spacing w:val="9"/>
          <w:sz w:val="20"/>
          <w:szCs w:val="20"/>
        </w:rPr>
        <w:t>。承包人应向分包人提供用水、用电接驳点。</w:t>
      </w:r>
    </w:p>
    <w:p>
      <w:pPr>
        <w:spacing w:line="312" w:lineRule="auto"/>
        <w:rPr>
          <w:rFonts w:ascii="宋体" w:hAnsi="宋体" w:eastAsia="宋体" w:cs="宋体"/>
          <w:sz w:val="20"/>
          <w:szCs w:val="20"/>
        </w:rPr>
        <w:sectPr>
          <w:footerReference r:id="rId103" w:type="default"/>
          <w:pgSz w:w="11905" w:h="16840"/>
          <w:pgMar w:top="400" w:right="1379" w:bottom="1213" w:left="1418" w:header="0" w:footer="898" w:gutter="0"/>
        </w:sectPr>
      </w:pPr>
    </w:p>
    <w:p>
      <w:pPr>
        <w:spacing w:line="315" w:lineRule="auto"/>
        <w:rPr>
          <w:rFonts w:ascii="Arial"/>
          <w:sz w:val="21"/>
        </w:rPr>
      </w:pPr>
    </w:p>
    <w:p>
      <w:pPr>
        <w:spacing w:line="315" w:lineRule="auto"/>
        <w:rPr>
          <w:rFonts w:ascii="Arial"/>
          <w:sz w:val="21"/>
        </w:rPr>
      </w:pPr>
    </w:p>
    <w:p>
      <w:pPr>
        <w:spacing w:line="316" w:lineRule="auto"/>
        <w:rPr>
          <w:rFonts w:ascii="Arial"/>
          <w:sz w:val="21"/>
        </w:rPr>
      </w:pPr>
    </w:p>
    <w:p>
      <w:pPr>
        <w:spacing w:before="98" w:line="292" w:lineRule="auto"/>
        <w:ind w:left="3320" w:right="1491" w:hanging="1944"/>
        <w:outlineLvl w:val="1"/>
        <w:rPr>
          <w:rFonts w:ascii="宋体" w:hAnsi="宋体" w:eastAsia="宋体" w:cs="宋体"/>
          <w:sz w:val="30"/>
          <w:szCs w:val="30"/>
        </w:rPr>
      </w:pPr>
      <w:bookmarkStart w:id="59" w:name="bookmark151"/>
      <w:bookmarkEnd w:id="59"/>
      <w:r>
        <w:rPr>
          <w:rFonts w:ascii="宋体" w:hAnsi="宋体" w:eastAsia="宋体" w:cs="宋体"/>
          <w:b/>
          <w:bCs/>
          <w:spacing w:val="-2"/>
          <w:sz w:val="30"/>
          <w:szCs w:val="30"/>
        </w:rPr>
        <w:t>第九节</w:t>
      </w:r>
      <w:r>
        <w:rPr>
          <w:rFonts w:ascii="宋体" w:hAnsi="宋体" w:eastAsia="宋体" w:cs="宋体"/>
          <w:spacing w:val="-2"/>
          <w:sz w:val="30"/>
          <w:szCs w:val="30"/>
        </w:rPr>
        <w:t xml:space="preserve">  </w:t>
      </w:r>
      <w:r>
        <w:rPr>
          <w:rFonts w:ascii="宋体" w:hAnsi="宋体" w:eastAsia="宋体" w:cs="宋体"/>
          <w:b/>
          <w:bCs/>
          <w:spacing w:val="-2"/>
          <w:sz w:val="30"/>
          <w:szCs w:val="30"/>
        </w:rPr>
        <w:t>建设工程工程量清单计价有关问题</w:t>
      </w:r>
      <w:r>
        <w:rPr>
          <w:rFonts w:ascii="宋体" w:hAnsi="宋体" w:eastAsia="宋体" w:cs="宋体"/>
          <w:b/>
          <w:bCs/>
          <w:spacing w:val="-3"/>
          <w:sz w:val="30"/>
          <w:szCs w:val="30"/>
        </w:rPr>
        <w:t>说明</w:t>
      </w:r>
      <w:bookmarkStart w:id="60" w:name="bookmark151"/>
      <w:bookmarkEnd w:id="60"/>
      <w:r>
        <w:rPr>
          <w:rFonts w:ascii="宋体" w:hAnsi="宋体" w:eastAsia="宋体" w:cs="宋体"/>
          <w:b/>
          <w:bCs/>
          <w:spacing w:val="-9"/>
          <w:sz w:val="30"/>
          <w:szCs w:val="30"/>
        </w:rPr>
        <w:t>（</w:t>
      </w:r>
      <w:r>
        <w:rPr>
          <w:rFonts w:ascii="宋体" w:hAnsi="宋体" w:eastAsia="宋体" w:cs="宋体"/>
          <w:spacing w:val="-78"/>
          <w:sz w:val="30"/>
          <w:szCs w:val="30"/>
        </w:rPr>
        <w:t xml:space="preserve"> </w:t>
      </w:r>
      <w:r>
        <w:rPr>
          <w:rFonts w:ascii="宋体" w:hAnsi="宋体" w:eastAsia="宋体" w:cs="宋体"/>
          <w:b/>
          <w:bCs/>
          <w:spacing w:val="-9"/>
          <w:sz w:val="30"/>
          <w:szCs w:val="30"/>
        </w:rPr>
        <w:t>园林绿化工程）</w:t>
      </w:r>
    </w:p>
    <w:p>
      <w:pPr>
        <w:spacing w:line="276" w:lineRule="auto"/>
        <w:rPr>
          <w:rFonts w:ascii="Arial"/>
          <w:sz w:val="21"/>
        </w:rPr>
      </w:pPr>
    </w:p>
    <w:p>
      <w:pPr>
        <w:spacing w:line="276" w:lineRule="auto"/>
        <w:rPr>
          <w:rFonts w:ascii="Arial"/>
          <w:sz w:val="21"/>
        </w:rPr>
      </w:pPr>
    </w:p>
    <w:p>
      <w:pPr>
        <w:spacing w:before="65" w:line="369" w:lineRule="auto"/>
        <w:ind w:left="7" w:right="53" w:firstLine="397"/>
        <w:jc w:val="both"/>
        <w:rPr>
          <w:rFonts w:ascii="宋体" w:hAnsi="宋体" w:eastAsia="宋体" w:cs="宋体"/>
          <w:sz w:val="20"/>
          <w:szCs w:val="20"/>
        </w:rPr>
      </w:pPr>
      <w:r>
        <w:rPr>
          <w:rFonts w:ascii="宋体" w:hAnsi="宋体" w:eastAsia="宋体" w:cs="宋体"/>
          <w:spacing w:val="17"/>
          <w:sz w:val="20"/>
          <w:szCs w:val="20"/>
        </w:rPr>
        <w:t>《建设工程工程量清单计价标准》</w:t>
      </w:r>
      <w:r>
        <w:rPr>
          <w:rFonts w:ascii="宋体" w:hAnsi="宋体" w:eastAsia="宋体" w:cs="宋体"/>
          <w:spacing w:val="-56"/>
          <w:sz w:val="20"/>
          <w:szCs w:val="20"/>
        </w:rPr>
        <w:t xml:space="preserve"> </w:t>
      </w:r>
      <w:r>
        <w:rPr>
          <w:rFonts w:ascii="宋体" w:hAnsi="宋体" w:eastAsia="宋体" w:cs="宋体"/>
          <w:sz w:val="20"/>
          <w:szCs w:val="20"/>
        </w:rPr>
        <w:t>GB</w:t>
      </w:r>
      <w:r>
        <w:rPr>
          <w:rFonts w:ascii="宋体" w:hAnsi="宋体" w:eastAsia="宋体" w:cs="宋体"/>
          <w:spacing w:val="17"/>
          <w:sz w:val="20"/>
          <w:szCs w:val="20"/>
        </w:rPr>
        <w:t>/T50500-2024</w:t>
      </w:r>
      <w:r>
        <w:rPr>
          <w:rFonts w:ascii="宋体" w:hAnsi="宋体" w:eastAsia="宋体" w:cs="宋体"/>
          <w:spacing w:val="-11"/>
          <w:sz w:val="20"/>
          <w:szCs w:val="20"/>
        </w:rPr>
        <w:t xml:space="preserve"> </w:t>
      </w:r>
      <w:r>
        <w:rPr>
          <w:rFonts w:ascii="宋体" w:hAnsi="宋体" w:eastAsia="宋体" w:cs="宋体"/>
          <w:spacing w:val="17"/>
          <w:sz w:val="20"/>
          <w:szCs w:val="20"/>
        </w:rPr>
        <w:t>以及《园林绿化工程工</w:t>
      </w:r>
      <w:r>
        <w:rPr>
          <w:rFonts w:ascii="宋体" w:hAnsi="宋体" w:eastAsia="宋体" w:cs="宋体"/>
          <w:spacing w:val="16"/>
          <w:sz w:val="20"/>
          <w:szCs w:val="20"/>
        </w:rPr>
        <w:t>程量计算标准》</w:t>
      </w:r>
      <w:r>
        <w:rPr>
          <w:rFonts w:ascii="宋体" w:hAnsi="宋体" w:eastAsia="宋体" w:cs="宋体"/>
          <w:sz w:val="20"/>
          <w:szCs w:val="20"/>
        </w:rPr>
        <w:t xml:space="preserve"> GB</w:t>
      </w:r>
      <w:r>
        <w:rPr>
          <w:rFonts w:ascii="宋体" w:hAnsi="宋体" w:eastAsia="宋体" w:cs="宋体"/>
          <w:spacing w:val="3"/>
          <w:sz w:val="20"/>
          <w:szCs w:val="20"/>
        </w:rPr>
        <w:t>/T50858-2024</w:t>
      </w:r>
      <w:r>
        <w:rPr>
          <w:rFonts w:ascii="宋体" w:hAnsi="宋体" w:eastAsia="宋体" w:cs="宋体"/>
          <w:spacing w:val="-22"/>
          <w:sz w:val="20"/>
          <w:szCs w:val="20"/>
        </w:rPr>
        <w:t xml:space="preserve"> </w:t>
      </w:r>
      <w:r>
        <w:rPr>
          <w:rFonts w:ascii="宋体" w:hAnsi="宋体" w:eastAsia="宋体" w:cs="宋体"/>
          <w:spacing w:val="3"/>
          <w:sz w:val="20"/>
          <w:szCs w:val="20"/>
        </w:rPr>
        <w:t>为国家标准，由中华人民共和国住房和城乡建设部发布</w:t>
      </w:r>
      <w:r>
        <w:rPr>
          <w:rFonts w:ascii="宋体" w:hAnsi="宋体" w:eastAsia="宋体" w:cs="宋体"/>
          <w:spacing w:val="-39"/>
          <w:sz w:val="20"/>
          <w:szCs w:val="20"/>
        </w:rPr>
        <w:t xml:space="preserve"> </w:t>
      </w:r>
      <w:r>
        <w:rPr>
          <w:rFonts w:ascii="宋体" w:hAnsi="宋体" w:eastAsia="宋体" w:cs="宋体"/>
          <w:spacing w:val="3"/>
          <w:sz w:val="20"/>
          <w:szCs w:val="20"/>
        </w:rPr>
        <w:t>2024</w:t>
      </w:r>
      <w:r>
        <w:rPr>
          <w:rFonts w:ascii="宋体" w:hAnsi="宋体" w:eastAsia="宋体" w:cs="宋体"/>
          <w:spacing w:val="-41"/>
          <w:sz w:val="20"/>
          <w:szCs w:val="20"/>
        </w:rPr>
        <w:t xml:space="preserve"> </w:t>
      </w:r>
      <w:r>
        <w:rPr>
          <w:rFonts w:ascii="宋体" w:hAnsi="宋体" w:eastAsia="宋体" w:cs="宋体"/>
          <w:spacing w:val="3"/>
          <w:sz w:val="20"/>
          <w:szCs w:val="20"/>
        </w:rPr>
        <w:t>年第 212、195</w:t>
      </w:r>
      <w:r>
        <w:rPr>
          <w:rFonts w:ascii="宋体" w:hAnsi="宋体" w:eastAsia="宋体" w:cs="宋体"/>
          <w:spacing w:val="-37"/>
          <w:sz w:val="20"/>
          <w:szCs w:val="20"/>
        </w:rPr>
        <w:t xml:space="preserve"> </w:t>
      </w:r>
      <w:r>
        <w:rPr>
          <w:rFonts w:ascii="宋体" w:hAnsi="宋体" w:eastAsia="宋体" w:cs="宋体"/>
          <w:spacing w:val="3"/>
          <w:sz w:val="20"/>
          <w:szCs w:val="20"/>
        </w:rPr>
        <w:t>号公告，</w:t>
      </w:r>
      <w:r>
        <w:rPr>
          <w:rFonts w:ascii="宋体" w:hAnsi="宋体" w:eastAsia="宋体" w:cs="宋体"/>
          <w:spacing w:val="-2"/>
          <w:sz w:val="20"/>
          <w:szCs w:val="20"/>
        </w:rPr>
        <w:t>自</w:t>
      </w:r>
      <w:r>
        <w:rPr>
          <w:rFonts w:ascii="宋体" w:hAnsi="宋体" w:eastAsia="宋体" w:cs="宋体"/>
          <w:spacing w:val="-28"/>
          <w:sz w:val="20"/>
          <w:szCs w:val="20"/>
        </w:rPr>
        <w:t xml:space="preserve"> </w:t>
      </w:r>
      <w:r>
        <w:rPr>
          <w:rFonts w:ascii="宋体" w:hAnsi="宋体" w:eastAsia="宋体" w:cs="宋体"/>
          <w:spacing w:val="-2"/>
          <w:sz w:val="20"/>
          <w:szCs w:val="20"/>
        </w:rPr>
        <w:t>2025</w:t>
      </w:r>
      <w:r>
        <w:rPr>
          <w:rFonts w:ascii="宋体" w:hAnsi="宋体" w:eastAsia="宋体" w:cs="宋体"/>
          <w:spacing w:val="-39"/>
          <w:sz w:val="20"/>
          <w:szCs w:val="20"/>
        </w:rPr>
        <w:t xml:space="preserve"> </w:t>
      </w:r>
      <w:r>
        <w:rPr>
          <w:rFonts w:ascii="宋体" w:hAnsi="宋体" w:eastAsia="宋体" w:cs="宋体"/>
          <w:spacing w:val="-2"/>
          <w:sz w:val="20"/>
          <w:szCs w:val="20"/>
        </w:rPr>
        <w:t>年</w:t>
      </w:r>
      <w:r>
        <w:rPr>
          <w:rFonts w:ascii="宋体" w:hAnsi="宋体" w:eastAsia="宋体" w:cs="宋体"/>
          <w:spacing w:val="-40"/>
          <w:sz w:val="20"/>
          <w:szCs w:val="20"/>
        </w:rPr>
        <w:t xml:space="preserve"> </w:t>
      </w:r>
      <w:r>
        <w:rPr>
          <w:rFonts w:ascii="宋体" w:hAnsi="宋体" w:eastAsia="宋体" w:cs="宋体"/>
          <w:spacing w:val="-2"/>
          <w:sz w:val="20"/>
          <w:szCs w:val="20"/>
        </w:rPr>
        <w:t>9</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5"/>
          <w:sz w:val="20"/>
          <w:szCs w:val="20"/>
        </w:rPr>
        <w:t xml:space="preserve"> </w:t>
      </w:r>
      <w:r>
        <w:rPr>
          <w:rFonts w:ascii="宋体" w:hAnsi="宋体" w:eastAsia="宋体" w:cs="宋体"/>
          <w:spacing w:val="-2"/>
          <w:sz w:val="20"/>
          <w:szCs w:val="20"/>
        </w:rPr>
        <w:t>1 日起实施。</w:t>
      </w:r>
    </w:p>
    <w:p>
      <w:pPr>
        <w:spacing w:line="277" w:lineRule="exact"/>
        <w:ind w:left="420"/>
        <w:rPr>
          <w:rFonts w:ascii="宋体" w:hAnsi="宋体" w:eastAsia="宋体" w:cs="宋体"/>
          <w:sz w:val="20"/>
          <w:szCs w:val="20"/>
        </w:rPr>
      </w:pPr>
      <w:r>
        <w:rPr>
          <w:rFonts w:ascii="宋体" w:hAnsi="宋体" w:eastAsia="宋体" w:cs="宋体"/>
          <w:spacing w:val="9"/>
          <w:position w:val="1"/>
          <w:sz w:val="20"/>
          <w:szCs w:val="20"/>
        </w:rPr>
        <w:t>使用《园林绿化工程工程量计算标准》</w:t>
      </w:r>
      <w:r>
        <w:rPr>
          <w:rFonts w:ascii="宋体" w:hAnsi="宋体" w:eastAsia="宋体" w:cs="宋体"/>
          <w:position w:val="1"/>
          <w:sz w:val="20"/>
          <w:szCs w:val="20"/>
        </w:rPr>
        <w:t>GB</w:t>
      </w:r>
      <w:r>
        <w:rPr>
          <w:rFonts w:ascii="宋体" w:hAnsi="宋体" w:eastAsia="宋体" w:cs="宋体"/>
          <w:spacing w:val="9"/>
          <w:position w:val="1"/>
          <w:sz w:val="20"/>
          <w:szCs w:val="20"/>
        </w:rPr>
        <w:t>/T50858-2024，应按照以下规定</w:t>
      </w:r>
      <w:r>
        <w:rPr>
          <w:rFonts w:ascii="宋体" w:hAnsi="宋体" w:eastAsia="宋体" w:cs="宋体"/>
          <w:spacing w:val="8"/>
          <w:position w:val="1"/>
          <w:sz w:val="20"/>
          <w:szCs w:val="20"/>
        </w:rPr>
        <w:t>执行：</w:t>
      </w:r>
    </w:p>
    <w:p>
      <w:pPr>
        <w:spacing w:before="129" w:line="217" w:lineRule="auto"/>
        <w:ind w:left="422"/>
        <w:rPr>
          <w:rFonts w:ascii="宋体" w:hAnsi="宋体" w:eastAsia="宋体" w:cs="宋体"/>
          <w:sz w:val="20"/>
          <w:szCs w:val="20"/>
        </w:rPr>
      </w:pPr>
      <w:r>
        <w:rPr>
          <w:rFonts w:ascii="宋体" w:hAnsi="宋体" w:eastAsia="宋体" w:cs="宋体"/>
          <w:b/>
          <w:bCs/>
          <w:spacing w:val="7"/>
          <w:sz w:val="20"/>
          <w:szCs w:val="20"/>
        </w:rPr>
        <w:t>一、基本规定</w:t>
      </w:r>
    </w:p>
    <w:p>
      <w:pPr>
        <w:spacing w:before="160" w:line="333" w:lineRule="auto"/>
        <w:ind w:firstLine="439"/>
        <w:rPr>
          <w:rFonts w:ascii="宋体" w:hAnsi="宋体" w:eastAsia="宋体" w:cs="宋体"/>
          <w:sz w:val="20"/>
          <w:szCs w:val="20"/>
        </w:rPr>
      </w:pPr>
      <w:r>
        <w:rPr>
          <w:rFonts w:ascii="宋体" w:hAnsi="宋体" w:eastAsia="宋体" w:cs="宋体"/>
          <w:spacing w:val="6"/>
          <w:sz w:val="20"/>
          <w:szCs w:val="20"/>
        </w:rPr>
        <w:t>1. 工程量清单的项目特征应结合图纸和规范的要求</w:t>
      </w:r>
      <w:r>
        <w:rPr>
          <w:rFonts w:ascii="宋体" w:hAnsi="宋体" w:eastAsia="宋体" w:cs="宋体"/>
          <w:spacing w:val="5"/>
          <w:sz w:val="20"/>
          <w:szCs w:val="20"/>
        </w:rPr>
        <w:t>进行描述。《园林绿化工程工程量计算标准》</w:t>
      </w:r>
      <w:r>
        <w:rPr>
          <w:rFonts w:ascii="宋体" w:hAnsi="宋体" w:eastAsia="宋体" w:cs="宋体"/>
          <w:spacing w:val="11"/>
          <w:sz w:val="20"/>
          <w:szCs w:val="20"/>
        </w:rPr>
        <w:t>附录</w:t>
      </w:r>
      <w:r>
        <w:rPr>
          <w:rFonts w:ascii="宋体" w:hAnsi="宋体" w:eastAsia="宋体" w:cs="宋体"/>
          <w:spacing w:val="-29"/>
          <w:sz w:val="20"/>
          <w:szCs w:val="20"/>
        </w:rPr>
        <w:t xml:space="preserve"> </w:t>
      </w:r>
      <w:r>
        <w:rPr>
          <w:rFonts w:ascii="宋体" w:hAnsi="宋体" w:eastAsia="宋体" w:cs="宋体"/>
          <w:spacing w:val="11"/>
          <w:sz w:val="20"/>
          <w:szCs w:val="20"/>
        </w:rPr>
        <w:t>A～附录</w:t>
      </w:r>
      <w:r>
        <w:rPr>
          <w:rFonts w:ascii="宋体" w:hAnsi="宋体" w:eastAsia="宋体" w:cs="宋体"/>
          <w:spacing w:val="-37"/>
          <w:sz w:val="20"/>
          <w:szCs w:val="20"/>
        </w:rPr>
        <w:t xml:space="preserve"> </w:t>
      </w:r>
      <w:r>
        <w:rPr>
          <w:rFonts w:ascii="宋体" w:hAnsi="宋体" w:eastAsia="宋体" w:cs="宋体"/>
          <w:spacing w:val="11"/>
          <w:sz w:val="20"/>
          <w:szCs w:val="20"/>
        </w:rPr>
        <w:t>D</w:t>
      </w:r>
      <w:r>
        <w:rPr>
          <w:rFonts w:ascii="宋体" w:hAnsi="宋体" w:eastAsia="宋体" w:cs="宋体"/>
          <w:spacing w:val="-42"/>
          <w:sz w:val="20"/>
          <w:szCs w:val="20"/>
        </w:rPr>
        <w:t xml:space="preserve"> </w:t>
      </w:r>
      <w:r>
        <w:rPr>
          <w:rFonts w:ascii="宋体" w:hAnsi="宋体" w:eastAsia="宋体" w:cs="宋体"/>
          <w:spacing w:val="11"/>
          <w:sz w:val="20"/>
          <w:szCs w:val="20"/>
        </w:rPr>
        <w:t>项目的工作内容仅列出了主要内容，除另有规定和说明外，应视为已包含完成该清单项目所需的必要工作。即：除特殊规定外，清单项目应包含图纸和相关规范</w:t>
      </w:r>
      <w:r>
        <w:rPr>
          <w:rFonts w:ascii="宋体" w:hAnsi="宋体" w:eastAsia="宋体" w:cs="宋体"/>
          <w:spacing w:val="10"/>
          <w:sz w:val="20"/>
          <w:szCs w:val="20"/>
        </w:rPr>
        <w:t>要求的完成该清单项</w:t>
      </w:r>
      <w:r>
        <w:rPr>
          <w:rFonts w:ascii="宋体" w:hAnsi="宋体" w:eastAsia="宋体" w:cs="宋体"/>
          <w:spacing w:val="8"/>
          <w:sz w:val="20"/>
          <w:szCs w:val="20"/>
        </w:rPr>
        <w:t>目的全部工作内容。</w:t>
      </w:r>
    </w:p>
    <w:p>
      <w:pPr>
        <w:spacing w:before="154" w:line="313" w:lineRule="auto"/>
        <w:ind w:left="23" w:right="118" w:firstLine="399"/>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pacing w:val="-21"/>
          <w:sz w:val="20"/>
          <w:szCs w:val="20"/>
        </w:rPr>
        <w:t xml:space="preserve"> </w:t>
      </w:r>
      <w:r>
        <w:rPr>
          <w:rFonts w:ascii="宋体" w:hAnsi="宋体" w:eastAsia="宋体" w:cs="宋体"/>
          <w:spacing w:val="9"/>
          <w:sz w:val="20"/>
          <w:szCs w:val="20"/>
        </w:rPr>
        <w:t>《园林绿化工程工程量计算标准》附录</w:t>
      </w:r>
      <w:r>
        <w:rPr>
          <w:rFonts w:ascii="宋体" w:hAnsi="宋体" w:eastAsia="宋体" w:cs="宋体"/>
          <w:spacing w:val="-41"/>
          <w:sz w:val="20"/>
          <w:szCs w:val="20"/>
        </w:rPr>
        <w:t xml:space="preserve"> </w:t>
      </w:r>
      <w:r>
        <w:rPr>
          <w:rFonts w:ascii="宋体" w:hAnsi="宋体" w:eastAsia="宋体" w:cs="宋体"/>
          <w:spacing w:val="9"/>
          <w:sz w:val="20"/>
          <w:szCs w:val="20"/>
        </w:rPr>
        <w:t>A～附录</w:t>
      </w:r>
      <w:r>
        <w:rPr>
          <w:rFonts w:ascii="宋体" w:hAnsi="宋体" w:eastAsia="宋体" w:cs="宋体"/>
          <w:spacing w:val="-39"/>
          <w:sz w:val="20"/>
          <w:szCs w:val="20"/>
        </w:rPr>
        <w:t xml:space="preserve"> </w:t>
      </w:r>
      <w:r>
        <w:rPr>
          <w:rFonts w:ascii="宋体" w:hAnsi="宋体" w:eastAsia="宋体" w:cs="宋体"/>
          <w:spacing w:val="9"/>
          <w:sz w:val="20"/>
          <w:szCs w:val="20"/>
        </w:rPr>
        <w:t>D</w:t>
      </w:r>
      <w:r>
        <w:rPr>
          <w:rFonts w:ascii="宋体" w:hAnsi="宋体" w:eastAsia="宋体" w:cs="宋体"/>
          <w:spacing w:val="-25"/>
          <w:sz w:val="20"/>
          <w:szCs w:val="20"/>
        </w:rPr>
        <w:t xml:space="preserve"> </w:t>
      </w:r>
      <w:r>
        <w:rPr>
          <w:rFonts w:ascii="宋体" w:hAnsi="宋体" w:eastAsia="宋体" w:cs="宋体"/>
          <w:spacing w:val="9"/>
          <w:sz w:val="20"/>
          <w:szCs w:val="20"/>
        </w:rPr>
        <w:t>的工程量清单项目，</w:t>
      </w:r>
      <w:r>
        <w:rPr>
          <w:rFonts w:ascii="宋体" w:hAnsi="宋体" w:eastAsia="宋体" w:cs="宋体"/>
          <w:spacing w:val="8"/>
          <w:sz w:val="20"/>
          <w:szCs w:val="20"/>
        </w:rPr>
        <w:t>除另有说明外，工作内容均包含材料（半成品）、构件或设备的场内运输。</w:t>
      </w:r>
    </w:p>
    <w:p>
      <w:pPr>
        <w:spacing w:before="125" w:line="296" w:lineRule="auto"/>
        <w:ind w:left="3" w:right="118" w:firstLine="423"/>
        <w:rPr>
          <w:rFonts w:ascii="宋体" w:hAnsi="宋体" w:eastAsia="宋体" w:cs="宋体"/>
          <w:sz w:val="20"/>
          <w:szCs w:val="20"/>
        </w:rPr>
      </w:pPr>
      <w:r>
        <w:rPr>
          <w:rFonts w:ascii="宋体" w:hAnsi="宋体" w:eastAsia="宋体" w:cs="宋体"/>
          <w:spacing w:val="8"/>
          <w:sz w:val="20"/>
          <w:szCs w:val="20"/>
        </w:rPr>
        <w:t>3. 工程量清单应根据《园林绿化工程工程量计算标准》附录</w:t>
      </w:r>
      <w:r>
        <w:rPr>
          <w:rFonts w:ascii="宋体" w:hAnsi="宋体" w:eastAsia="宋体" w:cs="宋体"/>
          <w:spacing w:val="-26"/>
          <w:sz w:val="20"/>
          <w:szCs w:val="20"/>
        </w:rPr>
        <w:t xml:space="preserve"> </w:t>
      </w:r>
      <w:r>
        <w:rPr>
          <w:rFonts w:ascii="宋体" w:hAnsi="宋体" w:eastAsia="宋体" w:cs="宋体"/>
          <w:spacing w:val="8"/>
          <w:sz w:val="20"/>
          <w:szCs w:val="20"/>
        </w:rPr>
        <w:t>A～附录</w:t>
      </w:r>
      <w:r>
        <w:rPr>
          <w:rFonts w:ascii="宋体" w:hAnsi="宋体" w:eastAsia="宋体" w:cs="宋体"/>
          <w:spacing w:val="-36"/>
          <w:sz w:val="20"/>
          <w:szCs w:val="20"/>
        </w:rPr>
        <w:t xml:space="preserve"> </w:t>
      </w:r>
      <w:r>
        <w:rPr>
          <w:rFonts w:ascii="宋体" w:hAnsi="宋体" w:eastAsia="宋体" w:cs="宋体"/>
          <w:spacing w:val="8"/>
          <w:sz w:val="20"/>
          <w:szCs w:val="20"/>
        </w:rPr>
        <w:t>C</w:t>
      </w:r>
      <w:r>
        <w:rPr>
          <w:rFonts w:ascii="宋体" w:hAnsi="宋体" w:eastAsia="宋体" w:cs="宋体"/>
          <w:spacing w:val="-43"/>
          <w:sz w:val="20"/>
          <w:szCs w:val="20"/>
        </w:rPr>
        <w:t xml:space="preserve"> </w:t>
      </w:r>
      <w:r>
        <w:rPr>
          <w:rFonts w:ascii="宋体" w:hAnsi="宋体" w:eastAsia="宋体" w:cs="宋体"/>
          <w:spacing w:val="8"/>
          <w:sz w:val="20"/>
          <w:szCs w:val="20"/>
        </w:rPr>
        <w:t>规定的项目编码、项目</w:t>
      </w:r>
      <w:r>
        <w:rPr>
          <w:rFonts w:ascii="宋体" w:hAnsi="宋体" w:eastAsia="宋体" w:cs="宋体"/>
          <w:spacing w:val="9"/>
          <w:sz w:val="20"/>
          <w:szCs w:val="20"/>
        </w:rPr>
        <w:t>名称、项目特征、计量单位和工程量计算规则进行编制。</w:t>
      </w:r>
    </w:p>
    <w:p>
      <w:pPr>
        <w:spacing w:before="162" w:line="367" w:lineRule="auto"/>
        <w:ind w:right="118" w:firstLine="422"/>
        <w:jc w:val="both"/>
        <w:rPr>
          <w:rFonts w:ascii="宋体" w:hAnsi="宋体" w:eastAsia="宋体" w:cs="宋体"/>
          <w:sz w:val="20"/>
          <w:szCs w:val="20"/>
        </w:rPr>
      </w:pPr>
      <w:r>
        <w:rPr>
          <w:rFonts w:ascii="宋体" w:hAnsi="宋体" w:eastAsia="宋体" w:cs="宋体"/>
          <w:spacing w:val="11"/>
          <w:sz w:val="20"/>
          <w:szCs w:val="20"/>
        </w:rPr>
        <w:t>虽然清单在表现形式上只有五大要件，但清单计价标准中</w:t>
      </w:r>
      <w:r>
        <w:rPr>
          <w:rFonts w:ascii="宋体" w:hAnsi="宋体" w:eastAsia="宋体" w:cs="宋体"/>
          <w:spacing w:val="10"/>
          <w:sz w:val="20"/>
          <w:szCs w:val="20"/>
        </w:rPr>
        <w:t>的</w:t>
      </w:r>
      <w:r>
        <w:rPr>
          <w:rFonts w:ascii="宋体" w:hAnsi="宋体" w:eastAsia="宋体" w:cs="宋体"/>
          <w:b/>
          <w:bCs/>
          <w:spacing w:val="10"/>
          <w:sz w:val="20"/>
          <w:szCs w:val="20"/>
        </w:rPr>
        <w:t>工作内容</w:t>
      </w:r>
      <w:r>
        <w:rPr>
          <w:rFonts w:ascii="宋体" w:hAnsi="宋体" w:eastAsia="宋体" w:cs="宋体"/>
          <w:spacing w:val="10"/>
          <w:sz w:val="20"/>
          <w:szCs w:val="20"/>
        </w:rPr>
        <w:t>作为清单计量标准的重要</w:t>
      </w:r>
      <w:r>
        <w:rPr>
          <w:rFonts w:ascii="宋体" w:hAnsi="宋体" w:eastAsia="宋体" w:cs="宋体"/>
          <w:spacing w:val="11"/>
          <w:sz w:val="20"/>
          <w:szCs w:val="20"/>
        </w:rPr>
        <w:t>组成部分，是在编制工程量清单时需考虑的重要内容。附录中的工作内容仅列出了</w:t>
      </w:r>
      <w:r>
        <w:rPr>
          <w:rFonts w:ascii="宋体" w:hAnsi="宋体" w:eastAsia="宋体" w:cs="宋体"/>
          <w:spacing w:val="10"/>
          <w:sz w:val="20"/>
          <w:szCs w:val="20"/>
        </w:rPr>
        <w:t>主要施工内容，</w:t>
      </w:r>
      <w:r>
        <w:rPr>
          <w:rFonts w:ascii="宋体" w:hAnsi="宋体" w:eastAsia="宋体" w:cs="宋体"/>
          <w:spacing w:val="11"/>
          <w:sz w:val="20"/>
          <w:szCs w:val="20"/>
        </w:rPr>
        <w:t>施工过程中必然发生的机械移动、材料运输等辅助内容虽未列出，也应包括。对</w:t>
      </w:r>
      <w:r>
        <w:rPr>
          <w:rFonts w:ascii="宋体" w:hAnsi="宋体" w:eastAsia="宋体" w:cs="宋体"/>
          <w:spacing w:val="10"/>
          <w:sz w:val="20"/>
          <w:szCs w:val="20"/>
        </w:rPr>
        <w:t>于工作内容对应的</w:t>
      </w:r>
      <w:r>
        <w:rPr>
          <w:rFonts w:ascii="宋体" w:hAnsi="宋体" w:eastAsia="宋体" w:cs="宋体"/>
          <w:spacing w:val="11"/>
          <w:sz w:val="20"/>
          <w:szCs w:val="20"/>
        </w:rPr>
        <w:t>施工工序，除有特殊说明外，不应拆分另列清单。比如栽植乔木清单工作内容中</w:t>
      </w:r>
      <w:r>
        <w:rPr>
          <w:rFonts w:ascii="宋体" w:hAnsi="宋体" w:eastAsia="宋体" w:cs="宋体"/>
          <w:spacing w:val="10"/>
          <w:sz w:val="20"/>
          <w:szCs w:val="20"/>
        </w:rPr>
        <w:t>已经包含底部施基</w:t>
      </w:r>
      <w:r>
        <w:rPr>
          <w:rFonts w:ascii="宋体" w:hAnsi="宋体" w:eastAsia="宋体" w:cs="宋体"/>
          <w:spacing w:val="9"/>
          <w:sz w:val="20"/>
          <w:szCs w:val="20"/>
        </w:rPr>
        <w:t>肥，不应再单列底部施基肥清单。</w:t>
      </w:r>
    </w:p>
    <w:p>
      <w:pPr>
        <w:spacing w:before="4" w:line="362" w:lineRule="auto"/>
        <w:ind w:left="2" w:right="51" w:firstLine="417"/>
        <w:jc w:val="both"/>
        <w:rPr>
          <w:rFonts w:ascii="宋体" w:hAnsi="宋体" w:eastAsia="宋体" w:cs="宋体"/>
          <w:sz w:val="20"/>
          <w:szCs w:val="20"/>
        </w:rPr>
      </w:pPr>
      <w:r>
        <w:rPr>
          <w:rFonts w:ascii="宋体" w:hAnsi="宋体" w:eastAsia="宋体" w:cs="宋体"/>
          <w:spacing w:val="8"/>
          <w:sz w:val="20"/>
          <w:szCs w:val="20"/>
        </w:rPr>
        <w:t>4. 园林绿化工程(另有规定者除外)涉及普通公共建筑物等工程的项目，应按现行</w:t>
      </w:r>
      <w:r>
        <w:rPr>
          <w:rFonts w:ascii="宋体" w:hAnsi="宋体" w:eastAsia="宋体" w:cs="宋体"/>
          <w:spacing w:val="7"/>
          <w:sz w:val="20"/>
          <w:szCs w:val="20"/>
        </w:rPr>
        <w:t>国家标准《房</w:t>
      </w:r>
      <w:r>
        <w:rPr>
          <w:rFonts w:ascii="宋体" w:hAnsi="宋体" w:eastAsia="宋体" w:cs="宋体"/>
          <w:spacing w:val="10"/>
          <w:sz w:val="20"/>
          <w:szCs w:val="20"/>
        </w:rPr>
        <w:t>屋建筑与装饰工程工程量计算标准》</w:t>
      </w:r>
      <w:r>
        <w:rPr>
          <w:rFonts w:ascii="宋体" w:hAnsi="宋体" w:eastAsia="宋体" w:cs="宋体"/>
          <w:sz w:val="20"/>
          <w:szCs w:val="20"/>
        </w:rPr>
        <w:t>GB</w:t>
      </w:r>
      <w:r>
        <w:rPr>
          <w:rFonts w:ascii="宋体" w:hAnsi="宋体" w:eastAsia="宋体" w:cs="宋体"/>
          <w:spacing w:val="10"/>
          <w:sz w:val="20"/>
          <w:szCs w:val="20"/>
        </w:rPr>
        <w:t>/T</w:t>
      </w:r>
      <w:r>
        <w:rPr>
          <w:rFonts w:ascii="宋体" w:hAnsi="宋体" w:eastAsia="宋体" w:cs="宋体"/>
          <w:spacing w:val="-42"/>
          <w:sz w:val="20"/>
          <w:szCs w:val="20"/>
        </w:rPr>
        <w:t xml:space="preserve"> </w:t>
      </w:r>
      <w:r>
        <w:rPr>
          <w:rFonts w:ascii="宋体" w:hAnsi="宋体" w:eastAsia="宋体" w:cs="宋体"/>
          <w:spacing w:val="10"/>
          <w:sz w:val="20"/>
          <w:szCs w:val="20"/>
        </w:rPr>
        <w:t>50854</w:t>
      </w:r>
      <w:r>
        <w:rPr>
          <w:rFonts w:ascii="宋体" w:hAnsi="宋体" w:eastAsia="宋体" w:cs="宋体"/>
          <w:spacing w:val="-24"/>
          <w:sz w:val="20"/>
          <w:szCs w:val="20"/>
        </w:rPr>
        <w:t xml:space="preserve"> </w:t>
      </w:r>
      <w:r>
        <w:rPr>
          <w:rFonts w:ascii="宋体" w:hAnsi="宋体" w:eastAsia="宋体" w:cs="宋体"/>
          <w:spacing w:val="10"/>
          <w:sz w:val="20"/>
          <w:szCs w:val="20"/>
        </w:rPr>
        <w:t>的</w:t>
      </w:r>
      <w:r>
        <w:rPr>
          <w:rFonts w:ascii="宋体" w:hAnsi="宋体" w:eastAsia="宋体" w:cs="宋体"/>
          <w:spacing w:val="9"/>
          <w:sz w:val="20"/>
          <w:szCs w:val="20"/>
        </w:rPr>
        <w:t>相应项目执行；涉及仿古建筑工程的项目，应按</w:t>
      </w:r>
      <w:r>
        <w:rPr>
          <w:rFonts w:ascii="宋体" w:hAnsi="宋体" w:eastAsia="宋体" w:cs="宋体"/>
          <w:spacing w:val="10"/>
          <w:sz w:val="20"/>
          <w:szCs w:val="20"/>
        </w:rPr>
        <w:t>现行国家标准《仿古建筑工程工程量计算标准》</w:t>
      </w:r>
      <w:r>
        <w:rPr>
          <w:rFonts w:ascii="宋体" w:hAnsi="宋体" w:eastAsia="宋体" w:cs="宋体"/>
          <w:sz w:val="20"/>
          <w:szCs w:val="20"/>
        </w:rPr>
        <w:t>GB</w:t>
      </w:r>
      <w:r>
        <w:rPr>
          <w:rFonts w:ascii="宋体" w:hAnsi="宋体" w:eastAsia="宋体" w:cs="宋体"/>
          <w:spacing w:val="10"/>
          <w:sz w:val="20"/>
          <w:szCs w:val="20"/>
        </w:rPr>
        <w:t>/</w:t>
      </w:r>
      <w:r>
        <w:rPr>
          <w:rFonts w:ascii="宋体" w:hAnsi="宋体" w:eastAsia="宋体" w:cs="宋体"/>
          <w:spacing w:val="9"/>
          <w:sz w:val="20"/>
          <w:szCs w:val="20"/>
        </w:rPr>
        <w:t>T</w:t>
      </w:r>
      <w:r>
        <w:rPr>
          <w:rFonts w:ascii="宋体" w:hAnsi="宋体" w:eastAsia="宋体" w:cs="宋体"/>
          <w:spacing w:val="-40"/>
          <w:sz w:val="20"/>
          <w:szCs w:val="20"/>
        </w:rPr>
        <w:t xml:space="preserve"> </w:t>
      </w:r>
      <w:r>
        <w:rPr>
          <w:rFonts w:ascii="宋体" w:hAnsi="宋体" w:eastAsia="宋体" w:cs="宋体"/>
          <w:spacing w:val="9"/>
          <w:sz w:val="20"/>
          <w:szCs w:val="20"/>
        </w:rPr>
        <w:t>50855</w:t>
      </w:r>
      <w:r>
        <w:rPr>
          <w:rFonts w:ascii="宋体" w:hAnsi="宋体" w:eastAsia="宋体" w:cs="宋体"/>
          <w:spacing w:val="-24"/>
          <w:sz w:val="20"/>
          <w:szCs w:val="20"/>
        </w:rPr>
        <w:t xml:space="preserve"> </w:t>
      </w:r>
      <w:r>
        <w:rPr>
          <w:rFonts w:ascii="宋体" w:hAnsi="宋体" w:eastAsia="宋体" w:cs="宋体"/>
          <w:spacing w:val="9"/>
          <w:sz w:val="20"/>
          <w:szCs w:val="20"/>
        </w:rPr>
        <w:t>的相应项目执行；涉及电气、给排水等</w:t>
      </w:r>
      <w:r>
        <w:rPr>
          <w:rFonts w:ascii="宋体" w:hAnsi="宋体" w:eastAsia="宋体" w:cs="宋体"/>
          <w:spacing w:val="6"/>
          <w:sz w:val="20"/>
          <w:szCs w:val="20"/>
        </w:rPr>
        <w:t>安装工程的项目，应按现行国家标准《通用安装工程工程量计算标准》</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pacing w:val="-22"/>
          <w:sz w:val="20"/>
          <w:szCs w:val="20"/>
        </w:rPr>
        <w:t xml:space="preserve"> </w:t>
      </w:r>
      <w:r>
        <w:rPr>
          <w:rFonts w:ascii="宋体" w:hAnsi="宋体" w:eastAsia="宋体" w:cs="宋体"/>
          <w:spacing w:val="6"/>
          <w:sz w:val="20"/>
          <w:szCs w:val="20"/>
        </w:rPr>
        <w:t>50856</w:t>
      </w:r>
      <w:r>
        <w:rPr>
          <w:rFonts w:ascii="宋体" w:hAnsi="宋体" w:eastAsia="宋体" w:cs="宋体"/>
          <w:spacing w:val="-24"/>
          <w:sz w:val="20"/>
          <w:szCs w:val="20"/>
        </w:rPr>
        <w:t xml:space="preserve"> </w:t>
      </w:r>
      <w:r>
        <w:rPr>
          <w:rFonts w:ascii="宋体" w:hAnsi="宋体" w:eastAsia="宋体" w:cs="宋体"/>
          <w:spacing w:val="6"/>
          <w:sz w:val="20"/>
          <w:szCs w:val="20"/>
        </w:rPr>
        <w:t>的相应项目执行；</w:t>
      </w:r>
      <w:r>
        <w:rPr>
          <w:rFonts w:ascii="宋体" w:hAnsi="宋体" w:eastAsia="宋体" w:cs="宋体"/>
          <w:spacing w:val="7"/>
          <w:sz w:val="20"/>
          <w:szCs w:val="20"/>
        </w:rPr>
        <w:t>涉及市政道路、路灯等市政工程的项目，应按现行国家标准《</w:t>
      </w:r>
      <w:r>
        <w:rPr>
          <w:rFonts w:ascii="宋体" w:hAnsi="宋体" w:eastAsia="宋体" w:cs="宋体"/>
          <w:spacing w:val="6"/>
          <w:sz w:val="20"/>
          <w:szCs w:val="20"/>
        </w:rPr>
        <w:t>市政工程工程量计算标准》</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pacing w:val="-39"/>
          <w:sz w:val="20"/>
          <w:szCs w:val="20"/>
        </w:rPr>
        <w:t xml:space="preserve"> </w:t>
      </w:r>
      <w:r>
        <w:rPr>
          <w:rFonts w:ascii="宋体" w:hAnsi="宋体" w:eastAsia="宋体" w:cs="宋体"/>
          <w:spacing w:val="6"/>
          <w:sz w:val="20"/>
          <w:szCs w:val="20"/>
        </w:rPr>
        <w:t>50857</w:t>
      </w:r>
      <w:r>
        <w:rPr>
          <w:rFonts w:ascii="宋体" w:hAnsi="宋体" w:eastAsia="宋体" w:cs="宋体"/>
          <w:spacing w:val="8"/>
          <w:sz w:val="20"/>
          <w:szCs w:val="20"/>
        </w:rPr>
        <w:t>的相应项目执行。</w:t>
      </w:r>
    </w:p>
    <w:p>
      <w:pPr>
        <w:spacing w:before="57" w:line="217" w:lineRule="auto"/>
        <w:ind w:left="422"/>
        <w:rPr>
          <w:rFonts w:ascii="宋体" w:hAnsi="宋体" w:eastAsia="宋体" w:cs="宋体"/>
          <w:sz w:val="20"/>
          <w:szCs w:val="20"/>
        </w:rPr>
      </w:pPr>
      <w:r>
        <w:rPr>
          <w:rFonts w:ascii="宋体" w:hAnsi="宋体" w:eastAsia="宋体" w:cs="宋体"/>
          <w:b/>
          <w:bCs/>
          <w:spacing w:val="7"/>
          <w:sz w:val="20"/>
          <w:szCs w:val="20"/>
        </w:rPr>
        <w:t>二、绿化工程</w:t>
      </w:r>
    </w:p>
    <w:p>
      <w:pPr>
        <w:spacing w:before="158" w:line="278" w:lineRule="exact"/>
        <w:ind w:left="440"/>
        <w:rPr>
          <w:rFonts w:ascii="宋体" w:hAnsi="宋体" w:eastAsia="宋体" w:cs="宋体"/>
          <w:sz w:val="20"/>
          <w:szCs w:val="20"/>
        </w:rPr>
      </w:pPr>
      <w:r>
        <w:rPr>
          <w:rFonts w:ascii="宋体" w:hAnsi="宋体" w:eastAsia="宋体" w:cs="宋体"/>
          <w:spacing w:val="6"/>
          <w:position w:val="1"/>
          <w:sz w:val="20"/>
          <w:szCs w:val="20"/>
        </w:rPr>
        <w:t>1. 绿地整理小节的工作内容中包括废弃物运输，不单列清单。</w:t>
      </w:r>
    </w:p>
    <w:p>
      <w:pPr>
        <w:spacing w:before="122" w:line="297" w:lineRule="auto"/>
        <w:ind w:left="3" w:right="118" w:firstLine="420"/>
        <w:rPr>
          <w:rFonts w:ascii="宋体" w:hAnsi="宋体" w:eastAsia="宋体" w:cs="宋体"/>
          <w:sz w:val="20"/>
          <w:szCs w:val="20"/>
        </w:rPr>
      </w:pPr>
      <w:r>
        <w:rPr>
          <w:rFonts w:ascii="宋体" w:hAnsi="宋体" w:eastAsia="宋体" w:cs="宋体"/>
          <w:spacing w:val="8"/>
          <w:sz w:val="20"/>
          <w:szCs w:val="20"/>
        </w:rPr>
        <w:t>2. “砍伐乔木”项目，除另行特殊说明外，该清单中包括乔木砍伐后挖根。如果现场是仅有树根要挖，直接在植被清理清单中考虑。</w:t>
      </w:r>
    </w:p>
    <w:p>
      <w:pPr>
        <w:spacing w:before="157" w:line="277" w:lineRule="exact"/>
        <w:ind w:left="426"/>
        <w:rPr>
          <w:rFonts w:ascii="宋体" w:hAnsi="宋体" w:eastAsia="宋体" w:cs="宋体"/>
          <w:sz w:val="20"/>
          <w:szCs w:val="20"/>
        </w:rPr>
      </w:pPr>
      <w:r>
        <w:rPr>
          <w:rFonts w:ascii="宋体" w:hAnsi="宋体" w:eastAsia="宋体" w:cs="宋体"/>
          <w:spacing w:val="8"/>
          <w:position w:val="1"/>
          <w:sz w:val="20"/>
          <w:szCs w:val="20"/>
        </w:rPr>
        <w:t>3. 栽植土回（换）填、绿地起坡造型包含整理绿化用地工作内容，不另列整理绿化用</w:t>
      </w:r>
      <w:r>
        <w:rPr>
          <w:rFonts w:ascii="宋体" w:hAnsi="宋体" w:eastAsia="宋体" w:cs="宋体"/>
          <w:spacing w:val="7"/>
          <w:position w:val="1"/>
          <w:sz w:val="20"/>
          <w:szCs w:val="20"/>
        </w:rPr>
        <w:t>地清单。</w:t>
      </w:r>
    </w:p>
    <w:p>
      <w:pPr>
        <w:spacing w:before="123" w:line="277" w:lineRule="exact"/>
        <w:ind w:left="420"/>
        <w:rPr>
          <w:rFonts w:ascii="宋体" w:hAnsi="宋体" w:eastAsia="宋体" w:cs="宋体"/>
          <w:sz w:val="20"/>
          <w:szCs w:val="20"/>
        </w:rPr>
      </w:pPr>
      <w:r>
        <w:rPr>
          <w:rFonts w:ascii="宋体" w:hAnsi="宋体" w:eastAsia="宋体" w:cs="宋体"/>
          <w:spacing w:val="8"/>
          <w:position w:val="1"/>
          <w:sz w:val="20"/>
          <w:szCs w:val="20"/>
        </w:rPr>
        <w:t>4. “整理绿化用地”项目不考虑取土回填，如需要取土回填，需要另列栽植土回填子</w:t>
      </w:r>
      <w:r>
        <w:rPr>
          <w:rFonts w:ascii="宋体" w:hAnsi="宋体" w:eastAsia="宋体" w:cs="宋体"/>
          <w:spacing w:val="7"/>
          <w:position w:val="1"/>
          <w:sz w:val="20"/>
          <w:szCs w:val="20"/>
        </w:rPr>
        <w:t>目。</w:t>
      </w:r>
    </w:p>
    <w:p>
      <w:pPr>
        <w:spacing w:before="122" w:line="277" w:lineRule="exact"/>
        <w:ind w:left="423"/>
        <w:rPr>
          <w:rFonts w:ascii="宋体" w:hAnsi="宋体" w:eastAsia="宋体" w:cs="宋体"/>
          <w:sz w:val="20"/>
          <w:szCs w:val="20"/>
        </w:rPr>
      </w:pPr>
      <w:r>
        <w:rPr>
          <w:rFonts w:ascii="宋体" w:hAnsi="宋体" w:eastAsia="宋体" w:cs="宋体"/>
          <w:spacing w:val="8"/>
          <w:position w:val="1"/>
          <w:sz w:val="20"/>
          <w:szCs w:val="20"/>
        </w:rPr>
        <w:t>5. 移植花木小节仅适用于项目用地上原有花木迁移、种植到建设方指定地点或建设方在项目外</w:t>
      </w:r>
    </w:p>
    <w:p>
      <w:pPr>
        <w:spacing w:line="277" w:lineRule="exact"/>
        <w:rPr>
          <w:rFonts w:ascii="宋体" w:hAnsi="宋体" w:eastAsia="宋体" w:cs="宋体"/>
          <w:sz w:val="20"/>
          <w:szCs w:val="20"/>
        </w:rPr>
        <w:sectPr>
          <w:footerReference r:id="rId104" w:type="default"/>
          <w:pgSz w:w="11905" w:h="16840"/>
          <w:pgMar w:top="400" w:right="1300" w:bottom="1213" w:left="1418" w:header="0" w:footer="898" w:gutter="0"/>
        </w:sect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before="65" w:line="366" w:lineRule="auto"/>
        <w:ind w:right="24" w:firstLine="3"/>
        <w:jc w:val="both"/>
        <w:rPr>
          <w:rFonts w:ascii="宋体" w:hAnsi="宋体" w:eastAsia="宋体" w:cs="宋体"/>
          <w:sz w:val="20"/>
          <w:szCs w:val="20"/>
        </w:rPr>
      </w:pPr>
      <w:r>
        <w:rPr>
          <w:rFonts w:ascii="宋体" w:hAnsi="宋体" w:eastAsia="宋体" w:cs="宋体"/>
          <w:spacing w:val="11"/>
          <w:sz w:val="20"/>
          <w:szCs w:val="20"/>
        </w:rPr>
        <w:t>指定地点的花木移植到本项目用地的情况。如果建设单位要求施工企业</w:t>
      </w:r>
      <w:r>
        <w:rPr>
          <w:rFonts w:ascii="宋体" w:hAnsi="宋体" w:eastAsia="宋体" w:cs="宋体"/>
          <w:spacing w:val="10"/>
          <w:sz w:val="20"/>
          <w:szCs w:val="20"/>
        </w:rPr>
        <w:t>提前准备苗木，就近种植，</w:t>
      </w:r>
      <w:r>
        <w:rPr>
          <w:rFonts w:ascii="宋体" w:hAnsi="宋体" w:eastAsia="宋体" w:cs="宋体"/>
          <w:spacing w:val="11"/>
          <w:sz w:val="20"/>
          <w:szCs w:val="20"/>
        </w:rPr>
        <w:t>发生的移植费用也可按本标准列移植清单。但施工企业自行采取的预先种苗，</w:t>
      </w:r>
      <w:r>
        <w:rPr>
          <w:rFonts w:ascii="宋体" w:hAnsi="宋体" w:eastAsia="宋体" w:cs="宋体"/>
          <w:spacing w:val="10"/>
          <w:sz w:val="20"/>
          <w:szCs w:val="20"/>
        </w:rPr>
        <w:t>发生的移植费用不能</w:t>
      </w:r>
      <w:r>
        <w:rPr>
          <w:rFonts w:ascii="宋体" w:hAnsi="宋体" w:eastAsia="宋体" w:cs="宋体"/>
          <w:spacing w:val="6"/>
          <w:sz w:val="20"/>
          <w:szCs w:val="20"/>
        </w:rPr>
        <w:t>按此清单列项，</w:t>
      </w:r>
      <w:r>
        <w:rPr>
          <w:rFonts w:ascii="宋体" w:hAnsi="宋体" w:eastAsia="宋体" w:cs="宋体"/>
          <w:spacing w:val="-44"/>
          <w:sz w:val="20"/>
          <w:szCs w:val="20"/>
        </w:rPr>
        <w:t xml:space="preserve"> </w:t>
      </w:r>
      <w:r>
        <w:rPr>
          <w:rFonts w:ascii="宋体" w:hAnsi="宋体" w:eastAsia="宋体" w:cs="宋体"/>
          <w:spacing w:val="6"/>
          <w:sz w:val="20"/>
          <w:szCs w:val="20"/>
        </w:rPr>
        <w:t>自行在苗木价格中考虑。</w:t>
      </w:r>
    </w:p>
    <w:p>
      <w:pPr>
        <w:spacing w:before="11" w:line="332" w:lineRule="auto"/>
        <w:ind w:left="1" w:right="23" w:firstLine="422"/>
        <w:rPr>
          <w:rFonts w:ascii="宋体" w:hAnsi="宋体" w:eastAsia="宋体" w:cs="宋体"/>
          <w:sz w:val="20"/>
          <w:szCs w:val="20"/>
        </w:rPr>
      </w:pPr>
      <w:r>
        <w:rPr>
          <w:rFonts w:ascii="宋体" w:hAnsi="宋体" w:eastAsia="宋体" w:cs="宋体"/>
          <w:spacing w:val="8"/>
          <w:sz w:val="20"/>
          <w:szCs w:val="20"/>
        </w:rPr>
        <w:t>6. 栽植花木小节中的“设施立面绿化种植”清单项目，除墙体外，也用于构筑物立面等的</w:t>
      </w:r>
      <w:r>
        <w:rPr>
          <w:rFonts w:ascii="宋体" w:hAnsi="宋体" w:eastAsia="宋体" w:cs="宋体"/>
          <w:spacing w:val="7"/>
          <w:sz w:val="20"/>
          <w:szCs w:val="20"/>
        </w:rPr>
        <w:t>绿化</w:t>
      </w:r>
      <w:r>
        <w:rPr>
          <w:rFonts w:ascii="宋体" w:hAnsi="宋体" w:eastAsia="宋体" w:cs="宋体"/>
          <w:spacing w:val="11"/>
          <w:sz w:val="20"/>
          <w:szCs w:val="20"/>
        </w:rPr>
        <w:t>种植，与绿地整理中的“栽植设施立面处理”清单项目配合使用。固定支架、</w:t>
      </w:r>
      <w:r>
        <w:rPr>
          <w:rFonts w:ascii="宋体" w:hAnsi="宋体" w:eastAsia="宋体" w:cs="宋体"/>
          <w:spacing w:val="10"/>
          <w:sz w:val="20"/>
          <w:szCs w:val="20"/>
        </w:rPr>
        <w:t>龙骨、防水层在设施立面处理中考虑，栽植容器（包括栽植槽）</w:t>
      </w:r>
      <w:r>
        <w:rPr>
          <w:rFonts w:ascii="宋体" w:hAnsi="宋体" w:eastAsia="宋体" w:cs="宋体"/>
          <w:spacing w:val="9"/>
          <w:sz w:val="20"/>
          <w:szCs w:val="20"/>
        </w:rPr>
        <w:t>、种植毯等在设施立面绿化种植中考虑。</w:t>
      </w:r>
    </w:p>
    <w:p>
      <w:pPr>
        <w:spacing w:before="121" w:line="297" w:lineRule="auto"/>
        <w:ind w:left="3" w:right="23" w:firstLine="417"/>
        <w:rPr>
          <w:rFonts w:ascii="宋体" w:hAnsi="宋体" w:eastAsia="宋体" w:cs="宋体"/>
          <w:sz w:val="20"/>
          <w:szCs w:val="20"/>
        </w:rPr>
      </w:pPr>
      <w:r>
        <w:rPr>
          <w:rFonts w:ascii="宋体" w:hAnsi="宋体" w:eastAsia="宋体" w:cs="宋体"/>
          <w:spacing w:val="9"/>
          <w:sz w:val="20"/>
          <w:szCs w:val="20"/>
        </w:rPr>
        <w:t>7. 栽植花木小节中，在以面积计量的工程量计算时，单</w:t>
      </w:r>
      <w:r>
        <w:rPr>
          <w:rFonts w:ascii="宋体" w:hAnsi="宋体" w:eastAsia="宋体" w:cs="宋体"/>
          <w:spacing w:val="8"/>
          <w:sz w:val="20"/>
          <w:szCs w:val="20"/>
        </w:rPr>
        <w:t>个面积0.5</w:t>
      </w:r>
      <w:r>
        <w:rPr>
          <w:rFonts w:ascii="宋体" w:hAnsi="宋体" w:eastAsia="宋体" w:cs="宋体"/>
          <w:spacing w:val="-34"/>
          <w:sz w:val="20"/>
          <w:szCs w:val="20"/>
        </w:rPr>
        <w:t xml:space="preserve"> </w:t>
      </w:r>
      <w:r>
        <w:rPr>
          <w:rFonts w:ascii="宋体" w:hAnsi="宋体" w:eastAsia="宋体" w:cs="宋体"/>
          <w:spacing w:val="8"/>
          <w:sz w:val="20"/>
          <w:szCs w:val="20"/>
        </w:rPr>
        <w:t>㎡以内树（坑）穴、检查井</w:t>
      </w:r>
      <w:r>
        <w:rPr>
          <w:rFonts w:ascii="宋体" w:hAnsi="宋体" w:eastAsia="宋体" w:cs="宋体"/>
          <w:spacing w:val="7"/>
          <w:sz w:val="20"/>
          <w:szCs w:val="20"/>
        </w:rPr>
        <w:t>盖等不扣除。</w:t>
      </w:r>
    </w:p>
    <w:p>
      <w:pPr>
        <w:spacing w:before="158" w:line="333" w:lineRule="auto"/>
        <w:ind w:right="23" w:firstLine="424"/>
        <w:rPr>
          <w:rFonts w:ascii="宋体" w:hAnsi="宋体" w:eastAsia="宋体" w:cs="宋体"/>
          <w:sz w:val="20"/>
          <w:szCs w:val="20"/>
        </w:rPr>
      </w:pPr>
      <w:r>
        <w:rPr>
          <w:rFonts w:ascii="宋体" w:hAnsi="宋体" w:eastAsia="宋体" w:cs="宋体"/>
          <w:spacing w:val="8"/>
          <w:sz w:val="20"/>
          <w:szCs w:val="20"/>
        </w:rPr>
        <w:t>8. 栽植花木小节所有清单项目中，工作内容包含施工期养护（从苗木栽植后至竣工验</w:t>
      </w:r>
      <w:r>
        <w:rPr>
          <w:rFonts w:ascii="宋体" w:hAnsi="宋体" w:eastAsia="宋体" w:cs="宋体"/>
          <w:spacing w:val="7"/>
          <w:sz w:val="20"/>
          <w:szCs w:val="20"/>
        </w:rPr>
        <w:t>收的养护</w:t>
      </w:r>
      <w:r>
        <w:rPr>
          <w:rFonts w:ascii="宋体" w:hAnsi="宋体" w:eastAsia="宋体" w:cs="宋体"/>
          <w:spacing w:val="11"/>
          <w:sz w:val="20"/>
          <w:szCs w:val="20"/>
        </w:rPr>
        <w:t>管理）、洒生根剂、根枝消毒。苗木起挖、运输的费用包含在苗木的价格中，</w:t>
      </w:r>
      <w:r>
        <w:rPr>
          <w:rFonts w:ascii="宋体" w:hAnsi="宋体" w:eastAsia="宋体" w:cs="宋体"/>
          <w:spacing w:val="10"/>
          <w:sz w:val="20"/>
          <w:szCs w:val="20"/>
        </w:rPr>
        <w:t>不包含在现场工作内</w:t>
      </w:r>
      <w:r>
        <w:rPr>
          <w:rFonts w:ascii="宋体" w:hAnsi="宋体" w:eastAsia="宋体" w:cs="宋体"/>
          <w:spacing w:val="11"/>
          <w:sz w:val="20"/>
          <w:szCs w:val="20"/>
        </w:rPr>
        <w:t>容中，苗木价格为到工地价。土球包裹材料在苗木到工地价中考虑。树木输液</w:t>
      </w:r>
      <w:r>
        <w:rPr>
          <w:rFonts w:ascii="宋体" w:hAnsi="宋体" w:eastAsia="宋体" w:cs="宋体"/>
          <w:spacing w:val="10"/>
          <w:sz w:val="20"/>
          <w:szCs w:val="20"/>
        </w:rPr>
        <w:t>为栽植技术措施，在</w:t>
      </w:r>
      <w:r>
        <w:rPr>
          <w:rFonts w:ascii="宋体" w:hAnsi="宋体" w:eastAsia="宋体" w:cs="宋体"/>
          <w:spacing w:val="7"/>
          <w:sz w:val="20"/>
          <w:szCs w:val="20"/>
        </w:rPr>
        <w:t>措施费中考虑。</w:t>
      </w:r>
    </w:p>
    <w:p>
      <w:pPr>
        <w:spacing w:before="155" w:line="277" w:lineRule="exact"/>
        <w:ind w:left="423"/>
        <w:rPr>
          <w:rFonts w:ascii="宋体" w:hAnsi="宋体" w:eastAsia="宋体" w:cs="宋体"/>
          <w:sz w:val="20"/>
          <w:szCs w:val="20"/>
        </w:rPr>
      </w:pPr>
      <w:r>
        <w:rPr>
          <w:rFonts w:ascii="宋体" w:hAnsi="宋体" w:eastAsia="宋体" w:cs="宋体"/>
          <w:spacing w:val="7"/>
          <w:position w:val="1"/>
          <w:sz w:val="20"/>
          <w:szCs w:val="20"/>
        </w:rPr>
        <w:t>9. “植生格（板）种植”、“柔性生态袋种植”</w:t>
      </w:r>
      <w:r>
        <w:rPr>
          <w:rFonts w:ascii="宋体" w:hAnsi="宋体" w:eastAsia="宋体" w:cs="宋体"/>
          <w:spacing w:val="-62"/>
          <w:position w:val="1"/>
          <w:sz w:val="20"/>
          <w:szCs w:val="20"/>
        </w:rPr>
        <w:t xml:space="preserve"> </w:t>
      </w:r>
      <w:r>
        <w:rPr>
          <w:rFonts w:ascii="宋体" w:hAnsi="宋体" w:eastAsia="宋体" w:cs="宋体"/>
          <w:spacing w:val="7"/>
          <w:position w:val="1"/>
          <w:sz w:val="20"/>
          <w:szCs w:val="20"/>
        </w:rPr>
        <w:t>，“植生毯种植”清单主要用于生态护坡。</w:t>
      </w:r>
    </w:p>
    <w:p>
      <w:pPr>
        <w:spacing w:before="123" w:line="278" w:lineRule="exact"/>
        <w:ind w:left="440"/>
        <w:rPr>
          <w:rFonts w:ascii="宋体" w:hAnsi="宋体" w:eastAsia="宋体" w:cs="宋体"/>
          <w:sz w:val="20"/>
          <w:szCs w:val="20"/>
        </w:rPr>
      </w:pPr>
      <w:r>
        <w:rPr>
          <w:rFonts w:ascii="宋体" w:hAnsi="宋体" w:eastAsia="宋体" w:cs="宋体"/>
          <w:spacing w:val="5"/>
          <w:position w:val="1"/>
          <w:sz w:val="20"/>
          <w:szCs w:val="20"/>
        </w:rPr>
        <w:t>10.</w:t>
      </w:r>
      <w:r>
        <w:rPr>
          <w:rFonts w:ascii="宋体" w:hAnsi="宋体" w:eastAsia="宋体" w:cs="宋体"/>
          <w:spacing w:val="-37"/>
          <w:position w:val="1"/>
          <w:sz w:val="20"/>
          <w:szCs w:val="20"/>
        </w:rPr>
        <w:t xml:space="preserve"> </w:t>
      </w:r>
      <w:r>
        <w:rPr>
          <w:rFonts w:ascii="宋体" w:hAnsi="宋体" w:eastAsia="宋体" w:cs="宋体"/>
          <w:spacing w:val="5"/>
          <w:position w:val="1"/>
          <w:sz w:val="20"/>
          <w:szCs w:val="20"/>
        </w:rPr>
        <w:t>“槽栽植</w:t>
      </w:r>
      <w:r>
        <w:rPr>
          <w:rFonts w:ascii="宋体" w:hAnsi="宋体" w:eastAsia="宋体" w:cs="宋体"/>
          <w:spacing w:val="-70"/>
          <w:position w:val="1"/>
          <w:sz w:val="20"/>
          <w:szCs w:val="20"/>
        </w:rPr>
        <w:t xml:space="preserve"> </w:t>
      </w:r>
      <w:r>
        <w:rPr>
          <w:rFonts w:ascii="宋体" w:hAnsi="宋体" w:eastAsia="宋体" w:cs="宋体"/>
          <w:spacing w:val="5"/>
          <w:position w:val="1"/>
          <w:sz w:val="20"/>
          <w:szCs w:val="20"/>
        </w:rPr>
        <w:t>”清单适用于设施立面、顶面</w:t>
      </w:r>
      <w:r>
        <w:rPr>
          <w:rFonts w:ascii="宋体" w:hAnsi="宋体" w:eastAsia="宋体" w:cs="宋体"/>
          <w:spacing w:val="4"/>
          <w:position w:val="1"/>
          <w:sz w:val="20"/>
          <w:szCs w:val="20"/>
        </w:rPr>
        <w:t>、高架、栏杆等。</w:t>
      </w:r>
    </w:p>
    <w:p>
      <w:pPr>
        <w:spacing w:before="129" w:line="219" w:lineRule="auto"/>
        <w:ind w:left="425"/>
        <w:rPr>
          <w:rFonts w:ascii="宋体" w:hAnsi="宋体" w:eastAsia="宋体" w:cs="宋体"/>
          <w:sz w:val="20"/>
          <w:szCs w:val="20"/>
        </w:rPr>
      </w:pPr>
      <w:r>
        <w:rPr>
          <w:rFonts w:ascii="宋体" w:hAnsi="宋体" w:eastAsia="宋体" w:cs="宋体"/>
          <w:b/>
          <w:bCs/>
          <w:spacing w:val="7"/>
          <w:sz w:val="20"/>
          <w:szCs w:val="20"/>
        </w:rPr>
        <w:t>三、园路、园桥工程</w:t>
      </w:r>
    </w:p>
    <w:p>
      <w:pPr>
        <w:spacing w:before="155" w:line="277" w:lineRule="exact"/>
        <w:ind w:left="440"/>
        <w:rPr>
          <w:rFonts w:ascii="宋体" w:hAnsi="宋体" w:eastAsia="宋体" w:cs="宋体"/>
          <w:sz w:val="20"/>
          <w:szCs w:val="20"/>
        </w:rPr>
      </w:pPr>
      <w:r>
        <w:rPr>
          <w:rFonts w:ascii="宋体" w:hAnsi="宋体" w:eastAsia="宋体" w:cs="宋体"/>
          <w:spacing w:val="7"/>
          <w:position w:val="1"/>
          <w:sz w:val="20"/>
          <w:szCs w:val="20"/>
        </w:rPr>
        <w:t>1. “植草砖（格）地面”项目为按设计图示尺寸以面积计算，不扣除漏空部分面积。</w:t>
      </w:r>
    </w:p>
    <w:p>
      <w:pPr>
        <w:spacing w:before="124" w:line="298" w:lineRule="auto"/>
        <w:ind w:right="21" w:firstLine="423"/>
        <w:rPr>
          <w:rFonts w:ascii="宋体" w:hAnsi="宋体" w:eastAsia="宋体" w:cs="宋体"/>
          <w:sz w:val="20"/>
          <w:szCs w:val="20"/>
        </w:rPr>
      </w:pPr>
      <w:r>
        <w:rPr>
          <w:rFonts w:ascii="宋体" w:hAnsi="宋体" w:eastAsia="宋体" w:cs="宋体"/>
          <w:spacing w:val="8"/>
          <w:sz w:val="20"/>
          <w:szCs w:val="20"/>
        </w:rPr>
        <w:t>2. “桥基础”项目工作内容包含垫层铺筑，但工程量计算规则为按设计图示尺寸以桥基础体积计算，不含垫层体积。</w:t>
      </w:r>
    </w:p>
    <w:p>
      <w:pPr>
        <w:spacing w:before="161" w:line="216" w:lineRule="auto"/>
        <w:ind w:left="443"/>
        <w:rPr>
          <w:rFonts w:ascii="宋体" w:hAnsi="宋体" w:eastAsia="宋体" w:cs="宋体"/>
          <w:sz w:val="20"/>
          <w:szCs w:val="20"/>
        </w:rPr>
      </w:pPr>
      <w:r>
        <w:rPr>
          <w:rFonts w:ascii="宋体" w:hAnsi="宋体" w:eastAsia="宋体" w:cs="宋体"/>
          <w:b/>
          <w:bCs/>
          <w:spacing w:val="5"/>
          <w:sz w:val="20"/>
          <w:szCs w:val="20"/>
        </w:rPr>
        <w:t>四、园林景观工程</w:t>
      </w:r>
    </w:p>
    <w:p>
      <w:pPr>
        <w:spacing w:before="160" w:line="297" w:lineRule="auto"/>
        <w:ind w:firstLine="439"/>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6"/>
          <w:sz w:val="20"/>
          <w:szCs w:val="20"/>
        </w:rPr>
        <w:t xml:space="preserve"> </w:t>
      </w:r>
      <w:r>
        <w:rPr>
          <w:rFonts w:ascii="宋体" w:hAnsi="宋体" w:eastAsia="宋体" w:cs="宋体"/>
          <w:spacing w:val="5"/>
          <w:sz w:val="20"/>
          <w:szCs w:val="20"/>
        </w:rPr>
        <w:t>“堆筑土山丘</w:t>
      </w:r>
      <w:r>
        <w:rPr>
          <w:rFonts w:ascii="宋体" w:hAnsi="宋体" w:eastAsia="宋体" w:cs="宋体"/>
          <w:spacing w:val="-70"/>
          <w:sz w:val="20"/>
          <w:szCs w:val="20"/>
        </w:rPr>
        <w:t xml:space="preserve"> </w:t>
      </w:r>
      <w:r>
        <w:rPr>
          <w:rFonts w:ascii="宋体" w:hAnsi="宋体" w:eastAsia="宋体" w:cs="宋体"/>
          <w:spacing w:val="5"/>
          <w:sz w:val="20"/>
          <w:szCs w:val="20"/>
        </w:rPr>
        <w:t>”项目适用于坡顶与坡底高差大于</w:t>
      </w:r>
      <w:r>
        <w:rPr>
          <w:rFonts w:ascii="宋体" w:hAnsi="宋体" w:eastAsia="宋体" w:cs="宋体"/>
          <w:spacing w:val="-25"/>
          <w:sz w:val="20"/>
          <w:szCs w:val="20"/>
        </w:rPr>
        <w:t xml:space="preserve"> </w:t>
      </w:r>
      <w:r>
        <w:rPr>
          <w:rFonts w:ascii="宋体" w:hAnsi="宋体" w:eastAsia="宋体" w:cs="宋体"/>
          <w:spacing w:val="5"/>
          <w:sz w:val="20"/>
          <w:szCs w:val="20"/>
        </w:rPr>
        <w:t>1.0m</w:t>
      </w:r>
      <w:r>
        <w:rPr>
          <w:rFonts w:ascii="宋体" w:hAnsi="宋体" w:eastAsia="宋体" w:cs="宋体"/>
          <w:spacing w:val="-25"/>
          <w:sz w:val="20"/>
          <w:szCs w:val="20"/>
        </w:rPr>
        <w:t xml:space="preserve"> </w:t>
      </w:r>
      <w:r>
        <w:rPr>
          <w:rFonts w:ascii="宋体" w:hAnsi="宋体" w:eastAsia="宋体" w:cs="宋体"/>
          <w:spacing w:val="5"/>
          <w:sz w:val="20"/>
          <w:szCs w:val="20"/>
        </w:rPr>
        <w:t>的土</w:t>
      </w:r>
      <w:r>
        <w:rPr>
          <w:rFonts w:ascii="宋体" w:hAnsi="宋体" w:eastAsia="宋体" w:cs="宋体"/>
          <w:spacing w:val="4"/>
          <w:sz w:val="20"/>
          <w:szCs w:val="20"/>
        </w:rPr>
        <w:t>坡堆筑，与绿地起坡造型相区别。</w:t>
      </w:r>
      <w:r>
        <w:rPr>
          <w:rFonts w:ascii="宋体" w:hAnsi="宋体" w:eastAsia="宋体" w:cs="宋体"/>
          <w:spacing w:val="9"/>
          <w:sz w:val="20"/>
          <w:szCs w:val="20"/>
        </w:rPr>
        <w:t>其工程量计算规则为按设计图示山丘体积计算。</w:t>
      </w:r>
    </w:p>
    <w:p>
      <w:pPr>
        <w:spacing w:before="156" w:line="296" w:lineRule="auto"/>
        <w:ind w:left="3" w:right="24" w:firstLine="420"/>
        <w:rPr>
          <w:rFonts w:ascii="宋体" w:hAnsi="宋体" w:eastAsia="宋体" w:cs="宋体"/>
          <w:sz w:val="20"/>
          <w:szCs w:val="20"/>
        </w:rPr>
      </w:pPr>
      <w:r>
        <w:rPr>
          <w:rFonts w:ascii="宋体" w:hAnsi="宋体" w:eastAsia="宋体" w:cs="宋体"/>
          <w:spacing w:val="8"/>
          <w:sz w:val="20"/>
          <w:szCs w:val="20"/>
        </w:rPr>
        <w:t>2.</w:t>
      </w:r>
      <w:r>
        <w:rPr>
          <w:rFonts w:ascii="宋体" w:hAnsi="宋体" w:eastAsia="宋体" w:cs="宋体"/>
          <w:spacing w:val="-24"/>
          <w:sz w:val="20"/>
          <w:szCs w:val="20"/>
        </w:rPr>
        <w:t xml:space="preserve"> </w:t>
      </w:r>
      <w:r>
        <w:rPr>
          <w:rFonts w:ascii="宋体" w:hAnsi="宋体" w:eastAsia="宋体" w:cs="宋体"/>
          <w:spacing w:val="8"/>
          <w:sz w:val="20"/>
          <w:szCs w:val="20"/>
        </w:rPr>
        <w:t>“预制混凝土穹顶</w:t>
      </w:r>
      <w:r>
        <w:rPr>
          <w:rFonts w:ascii="宋体" w:hAnsi="宋体" w:eastAsia="宋体" w:cs="宋体"/>
          <w:spacing w:val="-70"/>
          <w:sz w:val="20"/>
          <w:szCs w:val="20"/>
        </w:rPr>
        <w:t xml:space="preserve"> </w:t>
      </w:r>
      <w:r>
        <w:rPr>
          <w:rFonts w:ascii="宋体" w:hAnsi="宋体" w:eastAsia="宋体" w:cs="宋体"/>
          <w:spacing w:val="8"/>
          <w:sz w:val="20"/>
          <w:szCs w:val="20"/>
        </w:rPr>
        <w:t>”、“预制混凝土花架柱、梁”项目中，模板制作、混凝土浇筑费用考虑在预制构件的价格中。</w:t>
      </w:r>
    </w:p>
    <w:p>
      <w:pPr>
        <w:spacing w:before="160" w:line="295" w:lineRule="auto"/>
        <w:ind w:right="23" w:firstLine="426"/>
        <w:rPr>
          <w:rFonts w:ascii="宋体" w:hAnsi="宋体" w:eastAsia="宋体" w:cs="宋体"/>
          <w:sz w:val="20"/>
          <w:szCs w:val="20"/>
        </w:rPr>
      </w:pPr>
      <w:r>
        <w:rPr>
          <w:rFonts w:ascii="宋体" w:hAnsi="宋体" w:eastAsia="宋体" w:cs="宋体"/>
          <w:spacing w:val="7"/>
          <w:sz w:val="20"/>
          <w:szCs w:val="20"/>
        </w:rPr>
        <w:t>3. 本节清单项目中涉及的挖土（石）方、回填等按《市政工程工程量计算标准》</w:t>
      </w:r>
      <w:r>
        <w:rPr>
          <w:rFonts w:ascii="宋体" w:hAnsi="宋体" w:eastAsia="宋体" w:cs="宋体"/>
          <w:sz w:val="20"/>
          <w:szCs w:val="20"/>
        </w:rPr>
        <w:t>GB</w:t>
      </w:r>
      <w:r>
        <w:rPr>
          <w:rFonts w:ascii="宋体" w:hAnsi="宋体" w:eastAsia="宋体" w:cs="宋体"/>
          <w:spacing w:val="7"/>
          <w:sz w:val="20"/>
          <w:szCs w:val="20"/>
        </w:rPr>
        <w:t>/T</w:t>
      </w:r>
      <w:r>
        <w:rPr>
          <w:rFonts w:ascii="宋体" w:hAnsi="宋体" w:eastAsia="宋体" w:cs="宋体"/>
          <w:spacing w:val="-35"/>
          <w:sz w:val="20"/>
          <w:szCs w:val="20"/>
        </w:rPr>
        <w:t xml:space="preserve"> </w:t>
      </w:r>
      <w:r>
        <w:rPr>
          <w:rFonts w:ascii="宋体" w:hAnsi="宋体" w:eastAsia="宋体" w:cs="宋体"/>
          <w:spacing w:val="7"/>
          <w:sz w:val="20"/>
          <w:szCs w:val="20"/>
        </w:rPr>
        <w:t>50857</w:t>
      </w:r>
      <w:r>
        <w:rPr>
          <w:rFonts w:ascii="宋体" w:hAnsi="宋体" w:eastAsia="宋体" w:cs="宋体"/>
          <w:spacing w:val="-41"/>
          <w:sz w:val="20"/>
          <w:szCs w:val="20"/>
        </w:rPr>
        <w:t xml:space="preserve"> </w:t>
      </w:r>
      <w:r>
        <w:rPr>
          <w:rFonts w:ascii="宋体" w:hAnsi="宋体" w:eastAsia="宋体" w:cs="宋体"/>
          <w:spacing w:val="7"/>
          <w:sz w:val="20"/>
          <w:szCs w:val="20"/>
        </w:rPr>
        <w:t>相</w:t>
      </w:r>
      <w:r>
        <w:rPr>
          <w:rFonts w:ascii="宋体" w:hAnsi="宋体" w:eastAsia="宋体" w:cs="宋体"/>
          <w:spacing w:val="8"/>
          <w:sz w:val="20"/>
          <w:szCs w:val="20"/>
        </w:rPr>
        <w:t>关项目编码列项。</w:t>
      </w:r>
    </w:p>
    <w:p>
      <w:pPr>
        <w:spacing w:before="160" w:line="313" w:lineRule="auto"/>
        <w:ind w:left="3" w:right="23" w:firstLine="416"/>
        <w:rPr>
          <w:rFonts w:ascii="宋体" w:hAnsi="宋体" w:eastAsia="宋体" w:cs="宋体"/>
          <w:sz w:val="20"/>
          <w:szCs w:val="20"/>
        </w:rPr>
      </w:pPr>
      <w:r>
        <w:rPr>
          <w:rFonts w:ascii="宋体" w:hAnsi="宋体" w:eastAsia="宋体" w:cs="宋体"/>
          <w:spacing w:val="13"/>
          <w:sz w:val="20"/>
          <w:szCs w:val="20"/>
        </w:rPr>
        <w:t>4. 混凝土构件中的钢筋项目应按现行国家标准《房屋建筑与装饰工程工程量计算标准》</w:t>
      </w:r>
      <w:r>
        <w:rPr>
          <w:rFonts w:ascii="宋体" w:hAnsi="宋体" w:eastAsia="宋体" w:cs="宋体"/>
          <w:sz w:val="20"/>
          <w:szCs w:val="20"/>
        </w:rPr>
        <w:t>GB</w:t>
      </w:r>
      <w:r>
        <w:rPr>
          <w:rFonts w:ascii="宋体" w:hAnsi="宋体" w:eastAsia="宋体" w:cs="宋体"/>
          <w:spacing w:val="13"/>
          <w:sz w:val="20"/>
          <w:szCs w:val="20"/>
        </w:rPr>
        <w:t>/T</w:t>
      </w:r>
      <w:r>
        <w:rPr>
          <w:rFonts w:ascii="宋体" w:hAnsi="宋体" w:eastAsia="宋体" w:cs="宋体"/>
          <w:sz w:val="20"/>
          <w:szCs w:val="20"/>
        </w:rPr>
        <w:t xml:space="preserve"> </w:t>
      </w:r>
      <w:r>
        <w:rPr>
          <w:rFonts w:ascii="宋体" w:hAnsi="宋体" w:eastAsia="宋体" w:cs="宋体"/>
          <w:spacing w:val="5"/>
          <w:sz w:val="20"/>
          <w:szCs w:val="20"/>
        </w:rPr>
        <w:t>50854</w:t>
      </w:r>
      <w:r>
        <w:rPr>
          <w:rFonts w:ascii="宋体" w:hAnsi="宋体" w:eastAsia="宋体" w:cs="宋体"/>
          <w:spacing w:val="-20"/>
          <w:sz w:val="20"/>
          <w:szCs w:val="20"/>
        </w:rPr>
        <w:t xml:space="preserve"> </w:t>
      </w:r>
      <w:r>
        <w:rPr>
          <w:rFonts w:ascii="宋体" w:hAnsi="宋体" w:eastAsia="宋体" w:cs="宋体"/>
          <w:spacing w:val="5"/>
          <w:sz w:val="20"/>
          <w:szCs w:val="20"/>
        </w:rPr>
        <w:t>中相应项目编码列项。</w:t>
      </w:r>
    </w:p>
    <w:p>
      <w:pPr>
        <w:spacing w:line="313" w:lineRule="auto"/>
        <w:rPr>
          <w:rFonts w:ascii="宋体" w:hAnsi="宋体" w:eastAsia="宋体" w:cs="宋体"/>
          <w:sz w:val="20"/>
          <w:szCs w:val="20"/>
        </w:rPr>
        <w:sectPr>
          <w:footerReference r:id="rId105" w:type="default"/>
          <w:pgSz w:w="11905" w:h="16840"/>
          <w:pgMar w:top="400" w:right="1395" w:bottom="1213" w:left="1418" w:header="0" w:footer="898"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167" w:line="239" w:lineRule="auto"/>
        <w:ind w:left="595"/>
        <w:outlineLvl w:val="0"/>
        <w:rPr>
          <w:rFonts w:ascii="方正小标宋简体" w:hAnsi="方正小标宋简体" w:eastAsia="方正小标宋简体" w:cs="方正小标宋简体"/>
          <w:sz w:val="43"/>
          <w:szCs w:val="43"/>
        </w:rPr>
      </w:pPr>
      <w:bookmarkStart w:id="61" w:name="bookmark39"/>
      <w:bookmarkEnd w:id="61"/>
      <w:r>
        <w:rPr>
          <w:rFonts w:ascii="方正小标宋简体" w:hAnsi="方正小标宋简体" w:eastAsia="方正小标宋简体" w:cs="方正小标宋简体"/>
          <w:spacing w:val="9"/>
          <w:sz w:val="43"/>
          <w:szCs w:val="43"/>
        </w:rPr>
        <w:t>第三部分    施工总承包计价（定额计价）</w:t>
      </w:r>
    </w:p>
    <w:p>
      <w:pPr>
        <w:spacing w:line="416" w:lineRule="auto"/>
        <w:rPr>
          <w:rFonts w:ascii="Arial"/>
          <w:sz w:val="21"/>
        </w:rPr>
      </w:pPr>
    </w:p>
    <w:p>
      <w:pPr>
        <w:pStyle w:val="2"/>
        <w:spacing w:before="133" w:line="207" w:lineRule="auto"/>
        <w:ind w:left="3444"/>
        <w:outlineLvl w:val="0"/>
      </w:pPr>
      <w:bookmarkStart w:id="62" w:name="bookmark40"/>
      <w:bookmarkEnd w:id="62"/>
      <w:r>
        <w:rPr>
          <w:spacing w:val="3"/>
        </w:rPr>
        <w:t>第一章</w:t>
      </w:r>
      <w:r>
        <w:rPr>
          <w:spacing w:val="23"/>
        </w:rPr>
        <w:t xml:space="preserve">   </w:t>
      </w:r>
      <w:r>
        <w:rPr>
          <w:spacing w:val="3"/>
        </w:rPr>
        <w:t>总说明</w:t>
      </w:r>
    </w:p>
    <w:p>
      <w:pPr>
        <w:spacing w:line="301" w:lineRule="auto"/>
        <w:rPr>
          <w:rFonts w:ascii="Arial"/>
          <w:sz w:val="21"/>
        </w:rPr>
      </w:pPr>
    </w:p>
    <w:p>
      <w:pPr>
        <w:spacing w:line="302" w:lineRule="auto"/>
        <w:rPr>
          <w:rFonts w:ascii="Arial"/>
          <w:sz w:val="21"/>
        </w:rPr>
      </w:pPr>
    </w:p>
    <w:p>
      <w:pPr>
        <w:spacing w:before="65" w:line="341" w:lineRule="auto"/>
        <w:ind w:left="15" w:right="118" w:firstLine="421"/>
        <w:rPr>
          <w:rFonts w:ascii="宋体" w:hAnsi="宋体" w:eastAsia="宋体" w:cs="宋体"/>
          <w:sz w:val="20"/>
          <w:szCs w:val="20"/>
        </w:rPr>
      </w:pPr>
      <w:r>
        <w:rPr>
          <w:rFonts w:ascii="宋体" w:hAnsi="宋体" w:eastAsia="宋体" w:cs="宋体"/>
          <w:spacing w:val="6"/>
          <w:sz w:val="20"/>
          <w:szCs w:val="20"/>
        </w:rPr>
        <w:t>一、2016</w:t>
      </w:r>
      <w:r>
        <w:rPr>
          <w:rFonts w:ascii="宋体" w:hAnsi="宋体" w:eastAsia="宋体" w:cs="宋体"/>
          <w:spacing w:val="-28"/>
          <w:sz w:val="20"/>
          <w:szCs w:val="20"/>
        </w:rPr>
        <w:t xml:space="preserve"> </w:t>
      </w:r>
      <w:r>
        <w:rPr>
          <w:rFonts w:ascii="宋体" w:hAnsi="宋体" w:eastAsia="宋体" w:cs="宋体"/>
          <w:spacing w:val="6"/>
          <w:sz w:val="20"/>
          <w:szCs w:val="20"/>
        </w:rPr>
        <w:t>年</w:t>
      </w:r>
      <w:r>
        <w:rPr>
          <w:rFonts w:ascii="宋体" w:hAnsi="宋体" w:eastAsia="宋体" w:cs="宋体"/>
          <w:spacing w:val="-25"/>
          <w:sz w:val="20"/>
          <w:szCs w:val="20"/>
        </w:rPr>
        <w:t xml:space="preserve"> </w:t>
      </w:r>
      <w:r>
        <w:rPr>
          <w:rFonts w:ascii="宋体" w:hAnsi="宋体" w:eastAsia="宋体" w:cs="宋体"/>
          <w:spacing w:val="6"/>
          <w:sz w:val="20"/>
          <w:szCs w:val="20"/>
        </w:rPr>
        <w:t>11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11 日，山东省住房和城乡建设厅发布《关于发布&lt;山东省建筑工程消耗量定</w:t>
      </w:r>
      <w:r>
        <w:rPr>
          <w:rFonts w:ascii="宋体" w:hAnsi="宋体" w:eastAsia="宋体" w:cs="宋体"/>
          <w:spacing w:val="10"/>
          <w:sz w:val="20"/>
          <w:szCs w:val="20"/>
        </w:rPr>
        <w:t>额&gt;、&lt;山东省安装工程消耗量定额&gt;、&lt;山东省市政工程消耗量定额&gt;、&lt;山东省园林绿化工程消耗量定额&gt;、&lt;山东省建设工程施工机械台班费用编制规则&gt;、&lt;山东省建设工程施工仪器仪表台班费用编</w:t>
      </w:r>
      <w:r>
        <w:rPr>
          <w:rFonts w:ascii="宋体" w:hAnsi="宋体" w:eastAsia="宋体" w:cs="宋体"/>
          <w:spacing w:val="3"/>
          <w:sz w:val="20"/>
          <w:szCs w:val="20"/>
        </w:rPr>
        <w:t>制规则&gt;的通知》（鲁建标字〔2016〕39</w:t>
      </w:r>
      <w:r>
        <w:rPr>
          <w:rFonts w:ascii="宋体" w:hAnsi="宋体" w:eastAsia="宋体" w:cs="宋体"/>
          <w:spacing w:val="-42"/>
          <w:sz w:val="20"/>
          <w:szCs w:val="20"/>
        </w:rPr>
        <w:t xml:space="preserve"> </w:t>
      </w:r>
      <w:r>
        <w:rPr>
          <w:rFonts w:ascii="宋体" w:hAnsi="宋体" w:eastAsia="宋体" w:cs="宋体"/>
          <w:spacing w:val="3"/>
          <w:sz w:val="20"/>
          <w:szCs w:val="20"/>
        </w:rPr>
        <w:t>号</w:t>
      </w:r>
      <w:r>
        <w:rPr>
          <w:rFonts w:ascii="宋体" w:hAnsi="宋体" w:eastAsia="宋体" w:cs="宋体"/>
          <w:spacing w:val="-6"/>
          <w:sz w:val="20"/>
          <w:szCs w:val="20"/>
        </w:rPr>
        <w:t>）</w:t>
      </w:r>
      <w:r>
        <w:rPr>
          <w:rFonts w:ascii="宋体" w:hAnsi="宋体" w:eastAsia="宋体" w:cs="宋体"/>
          <w:spacing w:val="-53"/>
          <w:sz w:val="20"/>
          <w:szCs w:val="20"/>
        </w:rPr>
        <w:t xml:space="preserve"> </w:t>
      </w:r>
      <w:r>
        <w:rPr>
          <w:rFonts w:ascii="宋体" w:hAnsi="宋体" w:eastAsia="宋体" w:cs="宋体"/>
          <w:spacing w:val="-6"/>
          <w:sz w:val="20"/>
          <w:szCs w:val="20"/>
        </w:rPr>
        <w:t>，</w:t>
      </w:r>
      <w:r>
        <w:rPr>
          <w:rFonts w:ascii="宋体" w:hAnsi="宋体" w:eastAsia="宋体" w:cs="宋体"/>
          <w:spacing w:val="-57"/>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2017</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39"/>
          <w:sz w:val="20"/>
          <w:szCs w:val="20"/>
        </w:rPr>
        <w:t xml:space="preserve"> </w:t>
      </w:r>
      <w:r>
        <w:rPr>
          <w:rFonts w:ascii="宋体" w:hAnsi="宋体" w:eastAsia="宋体" w:cs="宋体"/>
          <w:spacing w:val="3"/>
          <w:sz w:val="20"/>
          <w:szCs w:val="20"/>
        </w:rPr>
        <w:t>3</w:t>
      </w:r>
      <w:r>
        <w:rPr>
          <w:rFonts w:ascii="宋体" w:hAnsi="宋体" w:eastAsia="宋体" w:cs="宋体"/>
          <w:spacing w:val="-40"/>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日起施行。</w:t>
      </w:r>
    </w:p>
    <w:p>
      <w:pPr>
        <w:spacing w:before="126" w:line="348" w:lineRule="auto"/>
        <w:ind w:left="8" w:firstLine="378"/>
        <w:rPr>
          <w:rFonts w:ascii="宋体" w:hAnsi="宋体" w:eastAsia="宋体" w:cs="宋体"/>
          <w:sz w:val="20"/>
          <w:szCs w:val="20"/>
        </w:rPr>
      </w:pPr>
      <w:r>
        <w:rPr>
          <w:rFonts w:ascii="宋体" w:hAnsi="宋体" w:eastAsia="宋体" w:cs="宋体"/>
          <w:spacing w:val="5"/>
          <w:sz w:val="20"/>
          <w:szCs w:val="20"/>
        </w:rPr>
        <w:t>二、2025</w:t>
      </w:r>
      <w:r>
        <w:rPr>
          <w:rFonts w:ascii="宋体" w:hAnsi="宋体" w:eastAsia="宋体" w:cs="宋体"/>
          <w:spacing w:val="-41"/>
          <w:sz w:val="20"/>
          <w:szCs w:val="20"/>
        </w:rPr>
        <w:t xml:space="preserve"> </w:t>
      </w:r>
      <w:r>
        <w:rPr>
          <w:rFonts w:ascii="宋体" w:hAnsi="宋体" w:eastAsia="宋体" w:cs="宋体"/>
          <w:spacing w:val="5"/>
          <w:sz w:val="20"/>
          <w:szCs w:val="20"/>
        </w:rPr>
        <w:t>年</w:t>
      </w:r>
      <w:r>
        <w:rPr>
          <w:rFonts w:ascii="宋体" w:hAnsi="宋体" w:eastAsia="宋体" w:cs="宋体"/>
          <w:spacing w:val="-37"/>
          <w:sz w:val="20"/>
          <w:szCs w:val="20"/>
        </w:rPr>
        <w:t xml:space="preserve"> </w:t>
      </w:r>
      <w:r>
        <w:rPr>
          <w:rFonts w:ascii="宋体" w:hAnsi="宋体" w:eastAsia="宋体" w:cs="宋体"/>
          <w:spacing w:val="5"/>
          <w:sz w:val="20"/>
          <w:szCs w:val="20"/>
        </w:rPr>
        <w:t>8</w:t>
      </w:r>
      <w:r>
        <w:rPr>
          <w:rFonts w:ascii="宋体" w:hAnsi="宋体" w:eastAsia="宋体" w:cs="宋体"/>
          <w:spacing w:val="-40"/>
          <w:sz w:val="20"/>
          <w:szCs w:val="20"/>
        </w:rPr>
        <w:t xml:space="preserve"> </w:t>
      </w:r>
      <w:r>
        <w:rPr>
          <w:rFonts w:ascii="宋体" w:hAnsi="宋体" w:eastAsia="宋体" w:cs="宋体"/>
          <w:spacing w:val="5"/>
          <w:sz w:val="20"/>
          <w:szCs w:val="20"/>
        </w:rPr>
        <w:t>月29 日，山东省住房和城乡建设厅发布《关于发布建设工程造价计价依据的通知》</w:t>
      </w:r>
      <w:r>
        <w:rPr>
          <w:rFonts w:ascii="宋体" w:hAnsi="宋体" w:eastAsia="宋体" w:cs="宋体"/>
          <w:sz w:val="20"/>
          <w:szCs w:val="20"/>
        </w:rPr>
        <w:t xml:space="preserve"> </w:t>
      </w:r>
      <w:r>
        <w:rPr>
          <w:rFonts w:ascii="宋体" w:hAnsi="宋体" w:eastAsia="宋体" w:cs="宋体"/>
          <w:spacing w:val="11"/>
          <w:sz w:val="20"/>
          <w:szCs w:val="20"/>
        </w:rPr>
        <w:t>（鲁建标字〔2025〕7</w:t>
      </w:r>
      <w:r>
        <w:rPr>
          <w:rFonts w:ascii="宋体" w:hAnsi="宋体" w:eastAsia="宋体" w:cs="宋体"/>
          <w:spacing w:val="-38"/>
          <w:sz w:val="20"/>
          <w:szCs w:val="20"/>
        </w:rPr>
        <w:t xml:space="preserve"> </w:t>
      </w:r>
      <w:r>
        <w:rPr>
          <w:rFonts w:ascii="宋体" w:hAnsi="宋体" w:eastAsia="宋体" w:cs="宋体"/>
          <w:spacing w:val="11"/>
          <w:sz w:val="20"/>
          <w:szCs w:val="20"/>
        </w:rPr>
        <w:t>号</w:t>
      </w:r>
      <w:r>
        <w:rPr>
          <w:rFonts w:ascii="宋体" w:hAnsi="宋体" w:eastAsia="宋体" w:cs="宋体"/>
          <w:spacing w:val="-7"/>
          <w:sz w:val="20"/>
          <w:szCs w:val="20"/>
        </w:rPr>
        <w:t>）</w:t>
      </w:r>
      <w:r>
        <w:rPr>
          <w:rFonts w:ascii="宋体" w:hAnsi="宋体" w:eastAsia="宋体" w:cs="宋体"/>
          <w:spacing w:val="-48"/>
          <w:sz w:val="20"/>
          <w:szCs w:val="20"/>
        </w:rPr>
        <w:t xml:space="preserve"> </w:t>
      </w:r>
      <w:r>
        <w:rPr>
          <w:rFonts w:ascii="宋体" w:hAnsi="宋体" w:eastAsia="宋体" w:cs="宋体"/>
          <w:spacing w:val="-7"/>
          <w:sz w:val="20"/>
          <w:szCs w:val="20"/>
        </w:rPr>
        <w:t>，</w:t>
      </w:r>
      <w:r>
        <w:rPr>
          <w:rFonts w:ascii="宋体" w:hAnsi="宋体" w:eastAsia="宋体" w:cs="宋体"/>
          <w:spacing w:val="11"/>
          <w:sz w:val="20"/>
          <w:szCs w:val="20"/>
        </w:rPr>
        <w:t>对《山东省建设工程费用项目组成及计算规则》《山东省建筑工程消耗量定额》《山东省安装工程消耗量定额》《山东省市政工程消耗量定额》《山东省园林绿化工程消耗量定额》等系列建设工程造价计价依据进行了修编调整并予以发布。修编调整后的《山东省建筑工程消耗量定额》《山东省安装工程消耗量定额》《山东省市政工程消耗量定额》《山东省园林</w:t>
      </w:r>
      <w:r>
        <w:rPr>
          <w:rFonts w:ascii="宋体" w:hAnsi="宋体" w:eastAsia="宋体" w:cs="宋体"/>
          <w:spacing w:val="7"/>
          <w:sz w:val="20"/>
          <w:szCs w:val="20"/>
        </w:rPr>
        <w:t>绿化工程消耗量定额》执行日期为</w:t>
      </w:r>
      <w:r>
        <w:rPr>
          <w:rFonts w:ascii="宋体" w:hAnsi="宋体" w:eastAsia="宋体" w:cs="宋体"/>
          <w:spacing w:val="-26"/>
          <w:sz w:val="20"/>
          <w:szCs w:val="20"/>
        </w:rPr>
        <w:t xml:space="preserve"> </w:t>
      </w:r>
      <w:r>
        <w:rPr>
          <w:rFonts w:ascii="宋体" w:hAnsi="宋体" w:eastAsia="宋体" w:cs="宋体"/>
          <w:spacing w:val="7"/>
          <w:sz w:val="20"/>
          <w:szCs w:val="20"/>
        </w:rPr>
        <w:t>2025</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22"/>
          <w:sz w:val="20"/>
          <w:szCs w:val="20"/>
        </w:rPr>
        <w:t xml:space="preserve"> </w:t>
      </w:r>
      <w:r>
        <w:rPr>
          <w:rFonts w:ascii="宋体" w:hAnsi="宋体" w:eastAsia="宋体" w:cs="宋体"/>
          <w:spacing w:val="7"/>
          <w:sz w:val="20"/>
          <w:szCs w:val="20"/>
        </w:rPr>
        <w:t>11</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2"/>
          <w:sz w:val="20"/>
          <w:szCs w:val="20"/>
        </w:rPr>
        <w:t xml:space="preserve"> </w:t>
      </w:r>
      <w:r>
        <w:rPr>
          <w:rFonts w:ascii="宋体" w:hAnsi="宋体" w:eastAsia="宋体" w:cs="宋体"/>
          <w:spacing w:val="7"/>
          <w:sz w:val="20"/>
          <w:szCs w:val="20"/>
        </w:rPr>
        <w:t>1 日。之前已签订合同的工程仍按原合同及有关规</w:t>
      </w:r>
      <w:r>
        <w:rPr>
          <w:rFonts w:ascii="宋体" w:hAnsi="宋体" w:eastAsia="宋体" w:cs="宋体"/>
          <w:spacing w:val="8"/>
          <w:sz w:val="20"/>
          <w:szCs w:val="20"/>
        </w:rPr>
        <w:t>定执行。</w:t>
      </w:r>
    </w:p>
    <w:p>
      <w:pPr>
        <w:spacing w:before="158" w:line="341" w:lineRule="auto"/>
        <w:ind w:right="115" w:firstLine="390"/>
        <w:rPr>
          <w:rFonts w:ascii="宋体" w:hAnsi="宋体" w:eastAsia="宋体" w:cs="宋体"/>
          <w:sz w:val="20"/>
          <w:szCs w:val="20"/>
        </w:rPr>
      </w:pPr>
      <w:r>
        <w:rPr>
          <w:rFonts w:ascii="宋体" w:hAnsi="宋体" w:eastAsia="宋体" w:cs="宋体"/>
          <w:spacing w:val="5"/>
          <w:sz w:val="20"/>
          <w:szCs w:val="20"/>
        </w:rPr>
        <w:t>三、</w:t>
      </w:r>
      <w:r>
        <w:rPr>
          <w:rFonts w:ascii="宋体" w:hAnsi="宋体" w:eastAsia="宋体" w:cs="宋体"/>
          <w:spacing w:val="-47"/>
          <w:sz w:val="20"/>
          <w:szCs w:val="20"/>
        </w:rPr>
        <w:t xml:space="preserve"> </w:t>
      </w:r>
      <w:r>
        <w:rPr>
          <w:rFonts w:ascii="宋体" w:hAnsi="宋体" w:eastAsia="宋体" w:cs="宋体"/>
          <w:spacing w:val="5"/>
          <w:sz w:val="20"/>
          <w:szCs w:val="20"/>
        </w:rPr>
        <w:t>自</w:t>
      </w:r>
      <w:r>
        <w:rPr>
          <w:rFonts w:ascii="宋体" w:hAnsi="宋体" w:eastAsia="宋体" w:cs="宋体"/>
          <w:spacing w:val="-39"/>
          <w:sz w:val="20"/>
          <w:szCs w:val="20"/>
        </w:rPr>
        <w:t xml:space="preserve"> </w:t>
      </w:r>
      <w:r>
        <w:rPr>
          <w:rFonts w:ascii="宋体" w:hAnsi="宋体" w:eastAsia="宋体" w:cs="宋体"/>
          <w:spacing w:val="5"/>
          <w:sz w:val="20"/>
          <w:szCs w:val="20"/>
        </w:rPr>
        <w:t>2025</w:t>
      </w:r>
      <w:r>
        <w:rPr>
          <w:rFonts w:ascii="宋体" w:hAnsi="宋体" w:eastAsia="宋体" w:cs="宋体"/>
          <w:spacing w:val="-37"/>
          <w:sz w:val="20"/>
          <w:szCs w:val="20"/>
        </w:rPr>
        <w:t xml:space="preserve"> </w:t>
      </w:r>
      <w:r>
        <w:rPr>
          <w:rFonts w:ascii="宋体" w:hAnsi="宋体" w:eastAsia="宋体" w:cs="宋体"/>
          <w:spacing w:val="5"/>
          <w:sz w:val="20"/>
          <w:szCs w:val="20"/>
        </w:rPr>
        <w:t>年</w:t>
      </w:r>
      <w:r>
        <w:rPr>
          <w:rFonts w:ascii="宋体" w:hAnsi="宋体" w:eastAsia="宋体" w:cs="宋体"/>
          <w:spacing w:val="-22"/>
          <w:sz w:val="20"/>
          <w:szCs w:val="20"/>
        </w:rPr>
        <w:t xml:space="preserve"> </w:t>
      </w:r>
      <w:r>
        <w:rPr>
          <w:rFonts w:ascii="宋体" w:hAnsi="宋体" w:eastAsia="宋体" w:cs="宋体"/>
          <w:spacing w:val="5"/>
          <w:sz w:val="20"/>
          <w:szCs w:val="20"/>
        </w:rPr>
        <w:t>11</w:t>
      </w:r>
      <w:r>
        <w:rPr>
          <w:rFonts w:ascii="宋体" w:hAnsi="宋体" w:eastAsia="宋体" w:cs="宋体"/>
          <w:spacing w:val="-38"/>
          <w:sz w:val="20"/>
          <w:szCs w:val="20"/>
        </w:rPr>
        <w:t xml:space="preserve"> </w:t>
      </w:r>
      <w:r>
        <w:rPr>
          <w:rFonts w:ascii="宋体" w:hAnsi="宋体" w:eastAsia="宋体" w:cs="宋体"/>
          <w:spacing w:val="5"/>
          <w:sz w:val="20"/>
          <w:szCs w:val="20"/>
        </w:rPr>
        <w:t>月</w:t>
      </w:r>
      <w:r>
        <w:rPr>
          <w:rFonts w:ascii="宋体" w:hAnsi="宋体" w:eastAsia="宋体" w:cs="宋体"/>
          <w:spacing w:val="-22"/>
          <w:sz w:val="20"/>
          <w:szCs w:val="20"/>
        </w:rPr>
        <w:t xml:space="preserve"> </w:t>
      </w:r>
      <w:r>
        <w:rPr>
          <w:rFonts w:ascii="宋体" w:hAnsi="宋体" w:eastAsia="宋体" w:cs="宋体"/>
          <w:spacing w:val="5"/>
          <w:sz w:val="20"/>
          <w:szCs w:val="20"/>
        </w:rPr>
        <w:t>1 日起，原省住房城乡建设厅鲁建标字〔2016〕39</w:t>
      </w:r>
      <w:r>
        <w:rPr>
          <w:rFonts w:ascii="宋体" w:hAnsi="宋体" w:eastAsia="宋体" w:cs="宋体"/>
          <w:spacing w:val="-37"/>
          <w:sz w:val="20"/>
          <w:szCs w:val="20"/>
        </w:rPr>
        <w:t xml:space="preserve"> </w:t>
      </w:r>
      <w:r>
        <w:rPr>
          <w:rFonts w:ascii="宋体" w:hAnsi="宋体" w:eastAsia="宋体" w:cs="宋体"/>
          <w:spacing w:val="5"/>
          <w:sz w:val="20"/>
          <w:szCs w:val="20"/>
        </w:rPr>
        <w:t>号文件发布的相关定额</w:t>
      </w:r>
      <w:r>
        <w:rPr>
          <w:rFonts w:ascii="宋体" w:hAnsi="宋体" w:eastAsia="宋体" w:cs="宋体"/>
          <w:sz w:val="20"/>
          <w:szCs w:val="20"/>
        </w:rPr>
        <w:t>（《山东省建筑工程消耗量定额》（SD</w:t>
      </w:r>
      <w:r>
        <w:rPr>
          <w:rFonts w:ascii="宋体" w:hAnsi="宋体" w:eastAsia="宋体" w:cs="宋体"/>
          <w:spacing w:val="-41"/>
          <w:sz w:val="20"/>
          <w:szCs w:val="20"/>
        </w:rPr>
        <w:t xml:space="preserve"> </w:t>
      </w:r>
      <w:r>
        <w:rPr>
          <w:rFonts w:ascii="宋体" w:hAnsi="宋体" w:eastAsia="宋体" w:cs="宋体"/>
          <w:sz w:val="20"/>
          <w:szCs w:val="20"/>
        </w:rPr>
        <w:t>01-31-2</w:t>
      </w:r>
      <w:r>
        <w:rPr>
          <w:rFonts w:ascii="宋体" w:hAnsi="宋体" w:eastAsia="宋体" w:cs="宋体"/>
          <w:spacing w:val="-1"/>
          <w:sz w:val="20"/>
          <w:szCs w:val="20"/>
        </w:rPr>
        <w:t>016）《山东省安装工程消耗量定额》(SD</w:t>
      </w:r>
      <w:r>
        <w:rPr>
          <w:rFonts w:ascii="宋体" w:hAnsi="宋体" w:eastAsia="宋体" w:cs="宋体"/>
          <w:spacing w:val="-42"/>
          <w:sz w:val="20"/>
          <w:szCs w:val="20"/>
        </w:rPr>
        <w:t xml:space="preserve"> </w:t>
      </w:r>
      <w:r>
        <w:rPr>
          <w:rFonts w:ascii="宋体" w:hAnsi="宋体" w:eastAsia="宋体" w:cs="宋体"/>
          <w:spacing w:val="-1"/>
          <w:sz w:val="20"/>
          <w:szCs w:val="20"/>
        </w:rPr>
        <w:t>02-31-2016  )</w:t>
      </w:r>
      <w:r>
        <w:rPr>
          <w:rFonts w:ascii="宋体" w:hAnsi="宋体" w:eastAsia="宋体" w:cs="宋体"/>
          <w:sz w:val="20"/>
          <w:szCs w:val="20"/>
        </w:rPr>
        <w:t xml:space="preserve"> </w:t>
      </w:r>
      <w:r>
        <w:rPr>
          <w:rFonts w:ascii="宋体" w:hAnsi="宋体" w:eastAsia="宋体" w:cs="宋体"/>
          <w:spacing w:val="21"/>
          <w:sz w:val="20"/>
          <w:szCs w:val="20"/>
        </w:rPr>
        <w:t>《山东省市政工程消耗量定额》</w:t>
      </w:r>
      <w:r>
        <w:rPr>
          <w:rFonts w:ascii="宋体" w:hAnsi="宋体" w:eastAsia="宋体" w:cs="宋体"/>
          <w:spacing w:val="-36"/>
          <w:sz w:val="20"/>
          <w:szCs w:val="20"/>
        </w:rPr>
        <w:t xml:space="preserve"> </w:t>
      </w:r>
      <w:r>
        <w:rPr>
          <w:rFonts w:ascii="宋体" w:hAnsi="宋体" w:eastAsia="宋体" w:cs="宋体"/>
          <w:spacing w:val="21"/>
          <w:sz w:val="20"/>
          <w:szCs w:val="20"/>
        </w:rPr>
        <w:t>(</w:t>
      </w:r>
      <w:r>
        <w:rPr>
          <w:rFonts w:ascii="宋体" w:hAnsi="宋体" w:eastAsia="宋体" w:cs="宋体"/>
          <w:spacing w:val="-20"/>
          <w:sz w:val="20"/>
          <w:szCs w:val="20"/>
        </w:rPr>
        <w:t xml:space="preserve"> </w:t>
      </w:r>
      <w:r>
        <w:rPr>
          <w:rFonts w:ascii="宋体" w:hAnsi="宋体" w:eastAsia="宋体" w:cs="宋体"/>
          <w:sz w:val="20"/>
          <w:szCs w:val="20"/>
        </w:rPr>
        <w:t>SDA</w:t>
      </w:r>
      <w:r>
        <w:rPr>
          <w:rFonts w:ascii="宋体" w:hAnsi="宋体" w:eastAsia="宋体" w:cs="宋体"/>
          <w:spacing w:val="21"/>
          <w:sz w:val="20"/>
          <w:szCs w:val="20"/>
        </w:rPr>
        <w:t xml:space="preserve"> 1-31-2016</w:t>
      </w:r>
      <w:r>
        <w:rPr>
          <w:rFonts w:ascii="宋体" w:hAnsi="宋体" w:eastAsia="宋体" w:cs="宋体"/>
          <w:spacing w:val="-27"/>
          <w:sz w:val="20"/>
          <w:szCs w:val="20"/>
        </w:rPr>
        <w:t xml:space="preserve"> </w:t>
      </w:r>
      <w:r>
        <w:rPr>
          <w:rFonts w:ascii="宋体" w:hAnsi="宋体" w:eastAsia="宋体" w:cs="宋体"/>
          <w:spacing w:val="21"/>
          <w:sz w:val="20"/>
          <w:szCs w:val="20"/>
        </w:rPr>
        <w:t>)《山东省园林绿化工程消耗量</w:t>
      </w:r>
      <w:r>
        <w:rPr>
          <w:rFonts w:ascii="宋体" w:hAnsi="宋体" w:eastAsia="宋体" w:cs="宋体"/>
          <w:spacing w:val="20"/>
          <w:sz w:val="20"/>
          <w:szCs w:val="20"/>
        </w:rPr>
        <w:t>定额》</w:t>
      </w:r>
      <w:r>
        <w:rPr>
          <w:rFonts w:ascii="宋体" w:hAnsi="宋体" w:eastAsia="宋体" w:cs="宋体"/>
          <w:spacing w:val="-36"/>
          <w:sz w:val="20"/>
          <w:szCs w:val="20"/>
        </w:rPr>
        <w:t xml:space="preserve"> </w:t>
      </w:r>
      <w:r>
        <w:rPr>
          <w:rFonts w:ascii="宋体" w:hAnsi="宋体" w:eastAsia="宋体" w:cs="宋体"/>
          <w:spacing w:val="20"/>
          <w:sz w:val="20"/>
          <w:szCs w:val="20"/>
        </w:rPr>
        <w:t>(</w:t>
      </w:r>
      <w:r>
        <w:rPr>
          <w:rFonts w:ascii="宋体" w:hAnsi="宋体" w:eastAsia="宋体" w:cs="宋体"/>
          <w:sz w:val="20"/>
          <w:szCs w:val="20"/>
        </w:rPr>
        <w:t xml:space="preserve">SDA </w:t>
      </w:r>
      <w:r>
        <w:rPr>
          <w:rFonts w:ascii="宋体" w:hAnsi="宋体" w:eastAsia="宋体" w:cs="宋体"/>
          <w:spacing w:val="5"/>
          <w:sz w:val="20"/>
          <w:szCs w:val="20"/>
        </w:rPr>
        <w:t>2-31-2016）)同时停止使用。</w:t>
      </w:r>
    </w:p>
    <w:p>
      <w:pPr>
        <w:spacing w:before="119" w:line="321" w:lineRule="auto"/>
        <w:ind w:left="17" w:right="118" w:firstLine="390"/>
        <w:rPr>
          <w:rFonts w:ascii="宋体" w:hAnsi="宋体" w:eastAsia="宋体" w:cs="宋体"/>
          <w:sz w:val="20"/>
          <w:szCs w:val="20"/>
        </w:rPr>
      </w:pPr>
      <w:r>
        <w:rPr>
          <w:rFonts w:ascii="宋体" w:hAnsi="宋体" w:eastAsia="宋体" w:cs="宋体"/>
          <w:spacing w:val="12"/>
          <w:sz w:val="20"/>
          <w:szCs w:val="20"/>
        </w:rPr>
        <w:t>四、修编调整后的《山东省建筑工程消耗量定额</w:t>
      </w:r>
      <w:r>
        <w:rPr>
          <w:rFonts w:ascii="宋体" w:hAnsi="宋体" w:eastAsia="宋体" w:cs="宋体"/>
          <w:spacing w:val="11"/>
          <w:sz w:val="20"/>
          <w:szCs w:val="20"/>
        </w:rPr>
        <w:t>》《山东省安装工程消耗量定额》《山东省市政工程消耗量定额》《山东省园林绿化工程消耗量定额》是各相关专业建设</w:t>
      </w:r>
      <w:r>
        <w:rPr>
          <w:rFonts w:ascii="宋体" w:hAnsi="宋体" w:eastAsia="宋体" w:cs="宋体"/>
          <w:spacing w:val="10"/>
          <w:sz w:val="20"/>
          <w:szCs w:val="20"/>
        </w:rPr>
        <w:t>工程开展发包与承包计</w:t>
      </w:r>
      <w:r>
        <w:rPr>
          <w:rFonts w:ascii="宋体" w:hAnsi="宋体" w:eastAsia="宋体" w:cs="宋体"/>
          <w:spacing w:val="7"/>
          <w:sz w:val="20"/>
          <w:szCs w:val="20"/>
        </w:rPr>
        <w:t>价活动的参考。</w:t>
      </w:r>
    </w:p>
    <w:p>
      <w:pPr>
        <w:spacing w:line="321" w:lineRule="auto"/>
        <w:rPr>
          <w:rFonts w:ascii="宋体" w:hAnsi="宋体" w:eastAsia="宋体" w:cs="宋体"/>
          <w:sz w:val="20"/>
          <w:szCs w:val="20"/>
        </w:rPr>
        <w:sectPr>
          <w:footerReference r:id="rId106" w:type="default"/>
          <w:pgSz w:w="11905" w:h="16840"/>
          <w:pgMar w:top="400" w:right="1300" w:bottom="1213" w:left="1403" w:header="0" w:footer="898"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2"/>
        <w:spacing w:before="133" w:line="202" w:lineRule="auto"/>
        <w:ind w:left="868"/>
        <w:outlineLvl w:val="0"/>
      </w:pPr>
      <w:bookmarkStart w:id="63" w:name="bookmark152"/>
      <w:bookmarkEnd w:id="63"/>
      <w:r>
        <w:rPr>
          <w:spacing w:val="-5"/>
        </w:rPr>
        <w:t>第二章</w:t>
      </w:r>
      <w:r>
        <w:rPr>
          <w:spacing w:val="22"/>
        </w:rPr>
        <w:t xml:space="preserve">   </w:t>
      </w:r>
      <w:r>
        <w:rPr>
          <w:spacing w:val="-5"/>
        </w:rPr>
        <w:t>定额计价（ 适用于 2025 年 11 月</w:t>
      </w:r>
      <w:r>
        <w:rPr>
          <w:spacing w:val="19"/>
        </w:rPr>
        <w:t xml:space="preserve"> </w:t>
      </w:r>
      <w:r>
        <w:rPr>
          <w:spacing w:val="-5"/>
        </w:rPr>
        <w:t>1</w:t>
      </w:r>
      <w:r>
        <w:rPr>
          <w:spacing w:val="52"/>
        </w:rPr>
        <w:t xml:space="preserve"> </w:t>
      </w:r>
      <w:r>
        <w:rPr>
          <w:spacing w:val="-5"/>
        </w:rPr>
        <w:t>日之前 ）</w:t>
      </w:r>
    </w:p>
    <w:p>
      <w:pPr>
        <w:spacing w:line="355" w:lineRule="auto"/>
        <w:rPr>
          <w:rFonts w:ascii="Arial"/>
          <w:sz w:val="21"/>
        </w:rPr>
      </w:pPr>
    </w:p>
    <w:p>
      <w:pPr>
        <w:spacing w:line="355" w:lineRule="auto"/>
        <w:rPr>
          <w:rFonts w:ascii="Arial"/>
          <w:sz w:val="21"/>
        </w:rPr>
      </w:pPr>
    </w:p>
    <w:p>
      <w:pPr>
        <w:spacing w:before="97" w:line="215" w:lineRule="auto"/>
        <w:ind w:left="2489"/>
        <w:outlineLvl w:val="1"/>
        <w:rPr>
          <w:rFonts w:ascii="宋体" w:hAnsi="宋体" w:eastAsia="宋体" w:cs="宋体"/>
          <w:sz w:val="30"/>
          <w:szCs w:val="30"/>
        </w:rPr>
      </w:pPr>
      <w:bookmarkStart w:id="64" w:name="bookmark42"/>
      <w:bookmarkEnd w:id="64"/>
      <w:bookmarkStart w:id="65" w:name="bookmark41"/>
      <w:bookmarkEnd w:id="65"/>
      <w:bookmarkStart w:id="66" w:name="bookmark44"/>
      <w:bookmarkEnd w:id="66"/>
      <w:bookmarkStart w:id="67" w:name="bookmark43"/>
      <w:bookmarkEnd w:id="67"/>
      <w:r>
        <w:rPr>
          <w:rFonts w:ascii="宋体" w:hAnsi="宋体" w:eastAsia="宋体" w:cs="宋体"/>
          <w:b/>
          <w:bCs/>
          <w:spacing w:val="-3"/>
          <w:sz w:val="30"/>
          <w:szCs w:val="30"/>
        </w:rPr>
        <w:t>第一节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建设工程费用项目组成</w:t>
      </w:r>
    </w:p>
    <w:p>
      <w:pPr>
        <w:spacing w:before="277" w:line="331" w:lineRule="auto"/>
        <w:ind w:left="60" w:firstLine="420"/>
        <w:rPr>
          <w:rFonts w:ascii="宋体" w:hAnsi="宋体" w:eastAsia="宋体" w:cs="宋体"/>
          <w:sz w:val="20"/>
          <w:szCs w:val="20"/>
        </w:rPr>
      </w:pPr>
      <w:r>
        <w:rPr>
          <w:rFonts w:ascii="宋体" w:hAnsi="宋体" w:eastAsia="宋体" w:cs="宋体"/>
          <w:spacing w:val="10"/>
          <w:sz w:val="20"/>
          <w:szCs w:val="20"/>
        </w:rPr>
        <w:t>建设工程费按照费用构成要素划分如附表</w:t>
      </w:r>
      <w:r>
        <w:rPr>
          <w:rFonts w:ascii="宋体" w:hAnsi="宋体" w:eastAsia="宋体" w:cs="宋体"/>
          <w:spacing w:val="-23"/>
          <w:sz w:val="20"/>
          <w:szCs w:val="20"/>
        </w:rPr>
        <w:t xml:space="preserve"> </w:t>
      </w:r>
      <w:r>
        <w:rPr>
          <w:rFonts w:ascii="宋体" w:hAnsi="宋体" w:eastAsia="宋体" w:cs="宋体"/>
          <w:spacing w:val="10"/>
          <w:sz w:val="20"/>
          <w:szCs w:val="20"/>
        </w:rPr>
        <w:t>1</w:t>
      </w:r>
      <w:r>
        <w:rPr>
          <w:rFonts w:ascii="宋体" w:hAnsi="宋体" w:eastAsia="宋体" w:cs="宋体"/>
          <w:spacing w:val="-41"/>
          <w:sz w:val="20"/>
          <w:szCs w:val="20"/>
        </w:rPr>
        <w:t xml:space="preserve"> </w:t>
      </w:r>
      <w:r>
        <w:rPr>
          <w:rFonts w:ascii="宋体" w:hAnsi="宋体" w:eastAsia="宋体" w:cs="宋体"/>
          <w:spacing w:val="10"/>
          <w:sz w:val="20"/>
          <w:szCs w:val="20"/>
        </w:rPr>
        <w:t>所示，按</w:t>
      </w:r>
      <w:r>
        <w:rPr>
          <w:rFonts w:ascii="宋体" w:hAnsi="宋体" w:eastAsia="宋体" w:cs="宋体"/>
          <w:spacing w:val="9"/>
          <w:sz w:val="20"/>
          <w:szCs w:val="20"/>
        </w:rPr>
        <w:t>照造价形成划分如附表</w:t>
      </w:r>
      <w:r>
        <w:rPr>
          <w:rFonts w:ascii="宋体" w:hAnsi="宋体" w:eastAsia="宋体" w:cs="宋体"/>
          <w:spacing w:val="-40"/>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所示，专业工程措施项目一览表如附表</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45"/>
          <w:sz w:val="20"/>
          <w:szCs w:val="20"/>
        </w:rPr>
        <w:t xml:space="preserve"> </w:t>
      </w:r>
      <w:r>
        <w:rPr>
          <w:rFonts w:ascii="宋体" w:hAnsi="宋体" w:eastAsia="宋体" w:cs="宋体"/>
          <w:spacing w:val="9"/>
          <w:sz w:val="20"/>
          <w:szCs w:val="20"/>
        </w:rPr>
        <w:t>所示，建设工程安全文</w:t>
      </w:r>
      <w:r>
        <w:rPr>
          <w:rFonts w:ascii="宋体" w:hAnsi="宋体" w:eastAsia="宋体" w:cs="宋体"/>
          <w:spacing w:val="8"/>
          <w:sz w:val="20"/>
          <w:szCs w:val="20"/>
        </w:rPr>
        <w:t>明施工措施项目清单如附表</w:t>
      </w:r>
      <w:r>
        <w:rPr>
          <w:rFonts w:ascii="宋体" w:hAnsi="宋体" w:eastAsia="宋体" w:cs="宋体"/>
          <w:spacing w:val="-42"/>
          <w:sz w:val="20"/>
          <w:szCs w:val="20"/>
        </w:rPr>
        <w:t xml:space="preserve"> </w:t>
      </w:r>
      <w:r>
        <w:rPr>
          <w:rFonts w:ascii="宋体" w:hAnsi="宋体" w:eastAsia="宋体" w:cs="宋体"/>
          <w:spacing w:val="8"/>
          <w:sz w:val="20"/>
          <w:szCs w:val="20"/>
        </w:rPr>
        <w:t>4</w:t>
      </w:r>
      <w:r>
        <w:rPr>
          <w:rFonts w:ascii="宋体" w:hAnsi="宋体" w:eastAsia="宋体" w:cs="宋体"/>
          <w:spacing w:val="-42"/>
          <w:sz w:val="20"/>
          <w:szCs w:val="20"/>
        </w:rPr>
        <w:t xml:space="preserve"> </w:t>
      </w:r>
      <w:r>
        <w:rPr>
          <w:rFonts w:ascii="宋体" w:hAnsi="宋体" w:eastAsia="宋体" w:cs="宋体"/>
          <w:spacing w:val="8"/>
          <w:sz w:val="20"/>
          <w:szCs w:val="20"/>
        </w:rPr>
        <w:t>所示。</w:t>
      </w:r>
    </w:p>
    <w:p>
      <w:pPr>
        <w:spacing w:line="462" w:lineRule="auto"/>
        <w:rPr>
          <w:rFonts w:ascii="Arial"/>
          <w:sz w:val="21"/>
        </w:rPr>
      </w:pPr>
    </w:p>
    <w:p>
      <w:pPr>
        <w:pStyle w:val="2"/>
        <w:spacing w:before="103" w:line="201" w:lineRule="auto"/>
        <w:ind w:left="2681"/>
        <w:rPr>
          <w:sz w:val="24"/>
          <w:szCs w:val="24"/>
        </w:rPr>
      </w:pPr>
      <w:r>
        <w:rPr>
          <w:spacing w:val="-7"/>
          <w:sz w:val="24"/>
          <w:szCs w:val="24"/>
        </w:rPr>
        <w:t>附表 1  建</w:t>
      </w:r>
      <w:r>
        <w:rPr>
          <w:spacing w:val="-20"/>
          <w:sz w:val="24"/>
          <w:szCs w:val="24"/>
        </w:rPr>
        <w:t xml:space="preserve"> </w:t>
      </w:r>
      <w:r>
        <w:rPr>
          <w:spacing w:val="-7"/>
          <w:sz w:val="24"/>
          <w:szCs w:val="24"/>
        </w:rPr>
        <w:t>设</w:t>
      </w:r>
      <w:r>
        <w:rPr>
          <w:spacing w:val="-17"/>
          <w:sz w:val="24"/>
          <w:szCs w:val="24"/>
        </w:rPr>
        <w:t xml:space="preserve"> </w:t>
      </w:r>
      <w:r>
        <w:rPr>
          <w:spacing w:val="-7"/>
          <w:sz w:val="24"/>
          <w:szCs w:val="24"/>
        </w:rPr>
        <w:t>工</w:t>
      </w:r>
      <w:r>
        <w:rPr>
          <w:spacing w:val="-18"/>
          <w:sz w:val="24"/>
          <w:szCs w:val="24"/>
        </w:rPr>
        <w:t xml:space="preserve"> </w:t>
      </w:r>
      <w:r>
        <w:rPr>
          <w:spacing w:val="-7"/>
          <w:sz w:val="24"/>
          <w:szCs w:val="24"/>
        </w:rPr>
        <w:t>程</w:t>
      </w:r>
      <w:r>
        <w:rPr>
          <w:spacing w:val="-17"/>
          <w:sz w:val="24"/>
          <w:szCs w:val="24"/>
        </w:rPr>
        <w:t xml:space="preserve"> </w:t>
      </w:r>
      <w:r>
        <w:rPr>
          <w:spacing w:val="-7"/>
          <w:sz w:val="24"/>
          <w:szCs w:val="24"/>
        </w:rPr>
        <w:t>费</w:t>
      </w:r>
      <w:r>
        <w:rPr>
          <w:spacing w:val="-19"/>
          <w:sz w:val="24"/>
          <w:szCs w:val="24"/>
        </w:rPr>
        <w:t xml:space="preserve"> </w:t>
      </w:r>
      <w:r>
        <w:rPr>
          <w:spacing w:val="-7"/>
          <w:sz w:val="24"/>
          <w:szCs w:val="24"/>
        </w:rPr>
        <w:t>用</w:t>
      </w:r>
      <w:r>
        <w:rPr>
          <w:spacing w:val="-21"/>
          <w:sz w:val="24"/>
          <w:szCs w:val="24"/>
        </w:rPr>
        <w:t xml:space="preserve"> </w:t>
      </w:r>
      <w:r>
        <w:rPr>
          <w:spacing w:val="-7"/>
          <w:sz w:val="24"/>
          <w:szCs w:val="24"/>
        </w:rPr>
        <w:t>项目</w:t>
      </w:r>
      <w:r>
        <w:rPr>
          <w:spacing w:val="-17"/>
          <w:sz w:val="24"/>
          <w:szCs w:val="24"/>
        </w:rPr>
        <w:t xml:space="preserve"> </w:t>
      </w:r>
      <w:r>
        <w:rPr>
          <w:spacing w:val="-7"/>
          <w:sz w:val="24"/>
          <w:szCs w:val="24"/>
        </w:rPr>
        <w:t>组</w:t>
      </w:r>
      <w:r>
        <w:rPr>
          <w:spacing w:val="-26"/>
          <w:sz w:val="24"/>
          <w:szCs w:val="24"/>
        </w:rPr>
        <w:t xml:space="preserve"> </w:t>
      </w:r>
      <w:r>
        <w:rPr>
          <w:spacing w:val="-7"/>
          <w:sz w:val="24"/>
          <w:szCs w:val="24"/>
        </w:rPr>
        <w:t>成</w:t>
      </w:r>
      <w:r>
        <w:rPr>
          <w:spacing w:val="-24"/>
          <w:sz w:val="24"/>
          <w:szCs w:val="24"/>
        </w:rPr>
        <w:t xml:space="preserve"> </w:t>
      </w:r>
      <w:r>
        <w:rPr>
          <w:spacing w:val="-7"/>
          <w:sz w:val="24"/>
          <w:szCs w:val="24"/>
        </w:rPr>
        <w:t>表</w:t>
      </w:r>
    </w:p>
    <w:p>
      <w:pPr>
        <w:spacing w:before="50" w:line="277" w:lineRule="exact"/>
        <w:ind w:left="3213"/>
        <w:rPr>
          <w:rFonts w:ascii="宋体" w:hAnsi="宋体" w:eastAsia="宋体" w:cs="宋体"/>
          <w:sz w:val="20"/>
          <w:szCs w:val="20"/>
        </w:rPr>
      </w:pPr>
      <w:r>
        <w:rPr>
          <w:rFonts w:ascii="宋体" w:hAnsi="宋体" w:eastAsia="宋体" w:cs="宋体"/>
          <w:spacing w:val="35"/>
          <w:position w:val="1"/>
          <w:sz w:val="20"/>
          <w:szCs w:val="20"/>
        </w:rPr>
        <w:t>（</w:t>
      </w:r>
      <w:r>
        <w:rPr>
          <w:rFonts w:ascii="宋体" w:hAnsi="宋体" w:eastAsia="宋体" w:cs="宋体"/>
          <w:spacing w:val="-24"/>
          <w:position w:val="1"/>
          <w:sz w:val="20"/>
          <w:szCs w:val="20"/>
        </w:rPr>
        <w:t xml:space="preserve"> </w:t>
      </w:r>
      <w:r>
        <w:rPr>
          <w:rFonts w:ascii="宋体" w:hAnsi="宋体" w:eastAsia="宋体" w:cs="宋体"/>
          <w:spacing w:val="35"/>
          <w:position w:val="1"/>
          <w:sz w:val="20"/>
          <w:szCs w:val="20"/>
        </w:rPr>
        <w:t>按费用构成要素划分</w:t>
      </w:r>
      <w:r>
        <w:rPr>
          <w:rFonts w:ascii="宋体" w:hAnsi="宋体" w:eastAsia="宋体" w:cs="宋体"/>
          <w:spacing w:val="-29"/>
          <w:position w:val="1"/>
          <w:sz w:val="20"/>
          <w:szCs w:val="20"/>
        </w:rPr>
        <w:t xml:space="preserve"> </w:t>
      </w:r>
      <w:r>
        <w:rPr>
          <w:rFonts w:ascii="宋体" w:hAnsi="宋体" w:eastAsia="宋体" w:cs="宋体"/>
          <w:spacing w:val="35"/>
          <w:position w:val="1"/>
          <w:sz w:val="20"/>
          <w:szCs w:val="20"/>
        </w:rPr>
        <w:t>）</w:t>
      </w:r>
    </w:p>
    <w:p>
      <w:pPr>
        <w:tabs>
          <w:tab w:val="left" w:pos="587"/>
        </w:tabs>
        <w:spacing w:before="160"/>
        <w:ind w:left="336"/>
        <w:rPr>
          <w:rFonts w:ascii="宋体" w:hAnsi="宋体" w:eastAsia="宋体" w:cs="宋体"/>
          <w:sz w:val="18"/>
          <w:szCs w:val="18"/>
        </w:rPr>
      </w:pPr>
      <w:r>
        <w:pict>
          <v:shape id="_x0000_s1043" o:spid="_x0000_s1043" o:spt="202" type="#_x0000_t202" style="position:absolute;left:0pt;margin-left:85.35pt;margin-top:6.2pt;height:22.7pt;width:91.55pt;z-index:254818304;mso-width-relative:page;mso-height-relative:page;" filled="f" stroked="f" coordsize="21600,21600">
            <v:path/>
            <v:fill on="f" focussize="0,0"/>
            <v:stroke on="f"/>
            <v:imagedata o:title=""/>
            <o:lock v:ext="edit" aspectratio="f"/>
            <v:textbox inset="0mm,0mm,0mm,0mm">
              <w:txbxContent>
                <w:p>
                  <w:pPr>
                    <w:spacing w:before="20" w:line="185" w:lineRule="auto"/>
                    <w:ind w:left="31"/>
                    <w:rPr>
                      <w:rFonts w:ascii="宋体" w:hAnsi="宋体" w:eastAsia="宋体" w:cs="宋体"/>
                      <w:sz w:val="18"/>
                      <w:szCs w:val="18"/>
                    </w:rPr>
                  </w:pPr>
                  <w:r>
                    <w:rPr>
                      <w:rFonts w:ascii="宋体" w:hAnsi="宋体" w:eastAsia="宋体" w:cs="宋体"/>
                      <w:spacing w:val="-2"/>
                      <w:sz w:val="18"/>
                      <w:szCs w:val="18"/>
                    </w:rPr>
                    <w:t>1.计时工资或计件工资</w:t>
                  </w:r>
                </w:p>
                <w:p>
                  <w:pPr>
                    <w:spacing w:before="52" w:line="185" w:lineRule="auto"/>
                    <w:ind w:left="20"/>
                    <w:rPr>
                      <w:rFonts w:ascii="宋体" w:hAnsi="宋体" w:eastAsia="宋体" w:cs="宋体"/>
                      <w:sz w:val="18"/>
                      <w:szCs w:val="18"/>
                    </w:rPr>
                  </w:pPr>
                  <w:r>
                    <w:rPr>
                      <w:rFonts w:ascii="宋体" w:hAnsi="宋体" w:eastAsia="宋体" w:cs="宋体"/>
                      <w:spacing w:val="-3"/>
                      <w:sz w:val="18"/>
                      <w:szCs w:val="18"/>
                    </w:rPr>
                    <w:t>2.奖金</w:t>
                  </w:r>
                </w:p>
              </w:txbxContent>
            </v:textbox>
          </v:shape>
        </w:pict>
      </w:r>
      <w:r>
        <w:pict>
          <v:shape id="_x0000_s1044" o:spid="_x0000_s1044" o:spt="202" type="#_x0000_t202" style="position:absolute;left:0pt;margin-left:268.2pt;margin-top:20.35pt;height:317.5pt;width:37.4pt;z-index:-248507392;mso-width-relative:page;mso-height-relative:page;" filled="f" stroked="f" coordsize="21600,21600">
            <v:path/>
            <v:fill on="f" focussize="0,0"/>
            <v:stroke on="f"/>
            <v:imagedata o:title=""/>
            <o:lock v:ext="edit" aspectratio="f"/>
            <v:textbox inset="0mm,0mm,0mm,0mm">
              <w:txbxContent>
                <w:p>
                  <w:pPr>
                    <w:spacing w:before="20"/>
                    <w:ind w:left="20"/>
                    <w:rPr>
                      <w:rFonts w:ascii="宋体" w:hAnsi="宋体" w:eastAsia="宋体" w:cs="宋体"/>
                      <w:sz w:val="18"/>
                      <w:szCs w:val="18"/>
                    </w:rPr>
                  </w:pPr>
                  <w:r>
                    <w:rPr>
                      <w:rFonts w:ascii="宋体" w:hAnsi="宋体" w:eastAsia="宋体" w:cs="宋体"/>
                      <w:position w:val="-303"/>
                      <w:sz w:val="18"/>
                      <w:szCs w:val="18"/>
                    </w:rPr>
                    <w:drawing>
                      <wp:inline distT="0" distB="0" distL="0" distR="0">
                        <wp:extent cx="140335" cy="400685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377"/>
                                <a:stretch>
                                  <a:fillRect/>
                                </a:stretch>
                              </pic:blipFill>
                              <pic:spPr>
                                <a:xfrm>
                                  <a:off x="0" y="0"/>
                                  <a:ext cx="140805" cy="4006850"/>
                                </a:xfrm>
                                <a:prstGeom prst="rect">
                                  <a:avLst/>
                                </a:prstGeom>
                              </pic:spPr>
                            </pic:pic>
                          </a:graphicData>
                        </a:graphic>
                      </wp:inline>
                    </w:drawing>
                  </w:r>
                  <w:r>
                    <w:rPr>
                      <w:rFonts w:ascii="宋体" w:hAnsi="宋体" w:eastAsia="宋体" w:cs="宋体"/>
                      <w:spacing w:val="-19"/>
                      <w:sz w:val="18"/>
                      <w:szCs w:val="18"/>
                    </w:rPr>
                    <w:t>项目费</w:t>
                  </w:r>
                </w:p>
              </w:txbxContent>
            </v:textbox>
          </v:shape>
        </w:pict>
      </w:r>
      <w:r>
        <w:pict>
          <v:shape id="_x0000_s1045" o:spid="_x0000_s1045" o:spt="202" type="#_x0000_t202" style="position:absolute;left:0pt;margin-left:85.2pt;margin-top:39.8pt;height:95.4pt;width:226.45pt;z-index:254816256;mso-width-relative:page;mso-height-relative:page;" filled="f" stroked="f" coordsize="21600,21600">
            <v:path/>
            <v:fill on="f" focussize="0,0"/>
            <v:stroke on="f"/>
            <v:imagedata o:title=""/>
            <o:lock v:ext="edit" aspectratio="f"/>
            <v:textbox inset="0mm,0mm,0mm,0mm">
              <w:txbxContent>
                <w:p>
                  <w:pPr>
                    <w:spacing w:before="19" w:line="228" w:lineRule="auto"/>
                    <w:ind w:left="20"/>
                    <w:rPr>
                      <w:rFonts w:ascii="宋体" w:hAnsi="宋体" w:eastAsia="宋体" w:cs="宋体"/>
                      <w:sz w:val="18"/>
                      <w:szCs w:val="18"/>
                    </w:rPr>
                  </w:pPr>
                  <w:r>
                    <w:rPr>
                      <w:rFonts w:ascii="宋体" w:hAnsi="宋体" w:eastAsia="宋体" w:cs="宋体"/>
                      <w:position w:val="-1"/>
                      <w:sz w:val="18"/>
                      <w:szCs w:val="18"/>
                    </w:rPr>
                    <w:t xml:space="preserve">4.加班加点工资                   </w:t>
                  </w:r>
                  <w:r>
                    <w:rPr>
                      <w:rFonts w:ascii="宋体" w:hAnsi="宋体" w:eastAsia="宋体" w:cs="宋体"/>
                      <w:spacing w:val="-1"/>
                      <w:position w:val="-1"/>
                      <w:sz w:val="18"/>
                      <w:szCs w:val="18"/>
                    </w:rPr>
                    <w:t xml:space="preserve">         </w:t>
                  </w:r>
                  <w:r>
                    <w:rPr>
                      <w:rFonts w:ascii="宋体" w:hAnsi="宋体" w:eastAsia="宋体" w:cs="宋体"/>
                      <w:spacing w:val="-1"/>
                      <w:position w:val="1"/>
                      <w:sz w:val="18"/>
                      <w:szCs w:val="18"/>
                    </w:rPr>
                    <w:t>项工程费</w:t>
                  </w:r>
                </w:p>
                <w:p>
                  <w:pPr>
                    <w:spacing w:before="19" w:line="219" w:lineRule="auto"/>
                    <w:ind w:left="24"/>
                    <w:rPr>
                      <w:rFonts w:ascii="宋体" w:hAnsi="宋体" w:eastAsia="宋体" w:cs="宋体"/>
                      <w:sz w:val="18"/>
                      <w:szCs w:val="18"/>
                    </w:rPr>
                  </w:pPr>
                  <w:r>
                    <w:rPr>
                      <w:rFonts w:ascii="宋体" w:hAnsi="宋体" w:eastAsia="宋体" w:cs="宋体"/>
                      <w:spacing w:val="-1"/>
                      <w:sz w:val="18"/>
                      <w:szCs w:val="18"/>
                    </w:rPr>
                    <w:t>5.特殊情况下支付的工资</w:t>
                  </w:r>
                </w:p>
                <w:p>
                  <w:pPr>
                    <w:spacing w:line="281" w:lineRule="auto"/>
                    <w:rPr>
                      <w:rFonts w:ascii="Arial"/>
                      <w:sz w:val="21"/>
                    </w:rPr>
                  </w:pPr>
                </w:p>
                <w:p>
                  <w:pPr>
                    <w:spacing w:before="58" w:line="185" w:lineRule="auto"/>
                    <w:ind w:left="34"/>
                    <w:rPr>
                      <w:rFonts w:ascii="宋体" w:hAnsi="宋体" w:eastAsia="宋体" w:cs="宋体"/>
                      <w:sz w:val="18"/>
                      <w:szCs w:val="18"/>
                    </w:rPr>
                  </w:pPr>
                  <w:r>
                    <w:rPr>
                      <w:rFonts w:ascii="宋体" w:hAnsi="宋体" w:eastAsia="宋体" w:cs="宋体"/>
                      <w:spacing w:val="-10"/>
                      <w:sz w:val="18"/>
                      <w:szCs w:val="18"/>
                    </w:rPr>
                    <w:t>1.材料（设备）原价</w:t>
                  </w:r>
                  <w:r>
                    <w:rPr>
                      <w:rFonts w:ascii="宋体" w:hAnsi="宋体" w:eastAsia="宋体" w:cs="宋体"/>
                      <w:spacing w:val="10"/>
                      <w:sz w:val="18"/>
                      <w:szCs w:val="18"/>
                    </w:rPr>
                    <w:t xml:space="preserve">    </w:t>
                  </w:r>
                  <w:r>
                    <w:rPr>
                      <w:rFonts w:ascii="宋体" w:hAnsi="宋体" w:eastAsia="宋体" w:cs="宋体"/>
                      <w:sz w:val="18"/>
                      <w:szCs w:val="18"/>
                      <w:u w:val="single" w:color="auto"/>
                    </w:rPr>
                    <w:t xml:space="preserve">                   </w:t>
                  </w:r>
                </w:p>
                <w:p>
                  <w:pPr>
                    <w:spacing w:before="55" w:line="219" w:lineRule="auto"/>
                    <w:ind w:left="22"/>
                    <w:rPr>
                      <w:rFonts w:ascii="宋体" w:hAnsi="宋体" w:eastAsia="宋体" w:cs="宋体"/>
                      <w:sz w:val="18"/>
                      <w:szCs w:val="18"/>
                    </w:rPr>
                  </w:pPr>
                  <w:r>
                    <w:rPr>
                      <w:rFonts w:ascii="宋体" w:hAnsi="宋体" w:eastAsia="宋体" w:cs="宋体"/>
                      <w:spacing w:val="-2"/>
                      <w:sz w:val="18"/>
                      <w:szCs w:val="18"/>
                    </w:rPr>
                    <w:t>2.运杂费</w:t>
                  </w:r>
                </w:p>
                <w:p>
                  <w:pPr>
                    <w:spacing w:before="189" w:line="193" w:lineRule="auto"/>
                    <w:ind w:left="20"/>
                    <w:rPr>
                      <w:rFonts w:ascii="宋体" w:hAnsi="宋体" w:eastAsia="宋体" w:cs="宋体"/>
                      <w:sz w:val="18"/>
                      <w:szCs w:val="18"/>
                    </w:rPr>
                  </w:pPr>
                  <w:r>
                    <w:rPr>
                      <w:rFonts w:ascii="宋体" w:hAnsi="宋体" w:eastAsia="宋体" w:cs="宋体"/>
                      <w:spacing w:val="-1"/>
                      <w:position w:val="-2"/>
                      <w:sz w:val="18"/>
                      <w:szCs w:val="18"/>
                    </w:rPr>
                    <w:t>4.采购及保管费</w:t>
                  </w:r>
                  <w:r>
                    <w:rPr>
                      <w:rFonts w:ascii="宋体" w:hAnsi="宋体" w:eastAsia="宋体" w:cs="宋体"/>
                      <w:spacing w:val="5"/>
                      <w:position w:val="-2"/>
                      <w:sz w:val="18"/>
                      <w:szCs w:val="18"/>
                    </w:rPr>
                    <w:t xml:space="preserve">       </w:t>
                  </w:r>
                  <w:r>
                    <w:rPr>
                      <w:rFonts w:ascii="宋体" w:hAnsi="宋体" w:eastAsia="宋体" w:cs="宋体"/>
                      <w:spacing w:val="-1"/>
                      <w:position w:val="3"/>
                      <w:sz w:val="18"/>
                      <w:szCs w:val="18"/>
                    </w:rPr>
                    <w:t>②检修费</w:t>
                  </w:r>
                </w:p>
                <w:p>
                  <w:pPr>
                    <w:spacing w:line="179" w:lineRule="auto"/>
                    <w:ind w:left="1941"/>
                    <w:rPr>
                      <w:rFonts w:ascii="宋体" w:hAnsi="宋体" w:eastAsia="宋体" w:cs="宋体"/>
                      <w:sz w:val="18"/>
                      <w:szCs w:val="18"/>
                    </w:rPr>
                  </w:pPr>
                  <w:r>
                    <w:rPr>
                      <w:rFonts w:ascii="宋体" w:hAnsi="宋体" w:eastAsia="宋体" w:cs="宋体"/>
                      <w:spacing w:val="-2"/>
                      <w:sz w:val="18"/>
                      <w:szCs w:val="18"/>
                    </w:rPr>
                    <w:t>③维护费</w:t>
                  </w:r>
                </w:p>
              </w:txbxContent>
            </v:textbox>
          </v:shape>
        </w:pict>
      </w:r>
      <w:r>
        <w:drawing>
          <wp:anchor distT="0" distB="0" distL="0" distR="0" simplePos="0" relativeHeight="254810112" behindDoc="1" locked="0" layoutInCell="1" allowOverlap="1">
            <wp:simplePos x="0" y="0"/>
            <wp:positionH relativeFrom="column">
              <wp:posOffset>193675</wp:posOffset>
            </wp:positionH>
            <wp:positionV relativeFrom="paragraph">
              <wp:posOffset>100965</wp:posOffset>
            </wp:positionV>
            <wp:extent cx="64770" cy="5583555"/>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378"/>
                    <a:stretch>
                      <a:fillRect/>
                    </a:stretch>
                  </pic:blipFill>
                  <pic:spPr>
                    <a:xfrm>
                      <a:off x="0" y="0"/>
                      <a:ext cx="64922" cy="5583504"/>
                    </a:xfrm>
                    <a:prstGeom prst="rect">
                      <a:avLst/>
                    </a:prstGeom>
                  </pic:spPr>
                </pic:pic>
              </a:graphicData>
            </a:graphic>
          </wp:anchor>
        </w:drawing>
      </w:r>
      <w:r>
        <w:rPr>
          <w:rFonts w:ascii="宋体" w:hAnsi="宋体" w:eastAsia="宋体" w:cs="宋体"/>
          <w:position w:val="-4"/>
          <w:sz w:val="18"/>
          <w:szCs w:val="18"/>
          <w:u w:val="single" w:color="auto"/>
        </w:rPr>
        <w:tab/>
      </w:r>
      <w:r>
        <w:rPr>
          <w:rFonts w:ascii="宋体" w:hAnsi="宋体" w:eastAsia="宋体" w:cs="宋体"/>
          <w:spacing w:val="-23"/>
          <w:position w:val="-4"/>
          <w:sz w:val="18"/>
          <w:szCs w:val="18"/>
        </w:rPr>
        <w:t xml:space="preserve"> </w:t>
      </w:r>
      <w:r>
        <w:rPr>
          <w:rFonts w:ascii="宋体" w:hAnsi="宋体" w:eastAsia="宋体" w:cs="宋体"/>
          <w:spacing w:val="1"/>
          <w:position w:val="-4"/>
          <w:sz w:val="18"/>
          <w:szCs w:val="18"/>
        </w:rPr>
        <w:t>人工费</w:t>
      </w:r>
      <w:r>
        <w:rPr>
          <w:rFonts w:ascii="宋体" w:hAnsi="宋体" w:eastAsia="宋体" w:cs="宋体"/>
          <w:spacing w:val="-48"/>
          <w:position w:val="-4"/>
          <w:sz w:val="18"/>
          <w:szCs w:val="18"/>
        </w:rPr>
        <w:t xml:space="preserve"> </w:t>
      </w:r>
      <w:r>
        <w:rPr>
          <w:rFonts w:ascii="宋体" w:hAnsi="宋体" w:eastAsia="宋体" w:cs="宋体"/>
          <w:spacing w:val="25"/>
          <w:position w:val="-4"/>
          <w:sz w:val="18"/>
          <w:szCs w:val="18"/>
          <w:u w:val="single" w:color="auto"/>
        </w:rPr>
        <w:t xml:space="preserve">   </w:t>
      </w:r>
      <w:r>
        <w:rPr>
          <w:rFonts w:ascii="宋体" w:hAnsi="宋体" w:eastAsia="宋体" w:cs="宋体"/>
          <w:spacing w:val="-52"/>
          <w:position w:val="-4"/>
          <w:sz w:val="18"/>
          <w:szCs w:val="18"/>
        </w:rPr>
        <w:t xml:space="preserve"> </w:t>
      </w:r>
      <w:r>
        <w:rPr>
          <w:position w:val="-53"/>
          <w:sz w:val="18"/>
          <w:szCs w:val="18"/>
        </w:rPr>
        <w:drawing>
          <wp:inline distT="0" distB="0" distL="0" distR="0">
            <wp:extent cx="50800" cy="723265"/>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379"/>
                    <a:stretch>
                      <a:fillRect/>
                    </a:stretch>
                  </pic:blipFill>
                  <pic:spPr>
                    <a:xfrm>
                      <a:off x="0" y="0"/>
                      <a:ext cx="51269" cy="723899"/>
                    </a:xfrm>
                    <a:prstGeom prst="rect">
                      <a:avLst/>
                    </a:prstGeom>
                  </pic:spPr>
                </pic:pic>
              </a:graphicData>
            </a:graphic>
          </wp:inline>
        </w:drawing>
      </w:r>
      <w:r>
        <w:rPr>
          <w:rFonts w:ascii="宋体" w:hAnsi="宋体" w:eastAsia="宋体" w:cs="宋体"/>
          <w:spacing w:val="1"/>
          <w:sz w:val="18"/>
          <w:szCs w:val="18"/>
        </w:rPr>
        <w:t>3.津贴、补贴</w:t>
      </w:r>
      <w:r>
        <w:rPr>
          <w:rFonts w:ascii="宋体" w:hAnsi="宋体" w:eastAsia="宋体" w:cs="宋体"/>
          <w:spacing w:val="2"/>
          <w:sz w:val="18"/>
          <w:szCs w:val="18"/>
        </w:rPr>
        <w:t xml:space="preserve">          </w:t>
      </w:r>
      <w:r>
        <w:rPr>
          <w:rFonts w:ascii="宋体" w:hAnsi="宋体" w:eastAsia="宋体" w:cs="宋体"/>
          <w:spacing w:val="3"/>
          <w:sz w:val="18"/>
          <w:szCs w:val="18"/>
          <w:u w:val="single" w:color="auto"/>
        </w:rPr>
        <w:t xml:space="preserve">                 </w:t>
      </w:r>
      <w:r>
        <w:rPr>
          <w:rFonts w:ascii="宋体" w:hAnsi="宋体" w:eastAsia="宋体" w:cs="宋体"/>
          <w:spacing w:val="1"/>
          <w:sz w:val="18"/>
          <w:szCs w:val="18"/>
        </w:rPr>
        <w:t xml:space="preserve">  </w:t>
      </w:r>
      <w:r>
        <w:rPr>
          <w:rFonts w:ascii="宋体" w:hAnsi="宋体" w:eastAsia="宋体" w:cs="宋体"/>
          <w:spacing w:val="1"/>
          <w:position w:val="2"/>
          <w:sz w:val="18"/>
          <w:szCs w:val="18"/>
        </w:rPr>
        <w:t>1.分部分</w:t>
      </w:r>
    </w:p>
    <w:p>
      <w:pPr>
        <w:spacing w:line="322" w:lineRule="auto"/>
        <w:rPr>
          <w:rFonts w:ascii="Arial"/>
          <w:sz w:val="21"/>
        </w:rPr>
      </w:pPr>
    </w:p>
    <w:p>
      <w:pPr>
        <w:tabs>
          <w:tab w:val="left" w:pos="632"/>
        </w:tabs>
        <w:spacing w:before="59"/>
        <w:ind w:left="332"/>
        <w:rPr>
          <w:rFonts w:ascii="宋体" w:hAnsi="宋体" w:eastAsia="宋体" w:cs="宋体"/>
          <w:sz w:val="18"/>
          <w:szCs w:val="18"/>
        </w:rPr>
      </w:pPr>
      <w:r>
        <w:drawing>
          <wp:anchor distT="0" distB="0" distL="0" distR="0" simplePos="0" relativeHeight="254812160" behindDoc="1" locked="0" layoutInCell="1" allowOverlap="1">
            <wp:simplePos x="0" y="0"/>
            <wp:positionH relativeFrom="column">
              <wp:posOffset>2216150</wp:posOffset>
            </wp:positionH>
            <wp:positionV relativeFrom="paragraph">
              <wp:posOffset>243840</wp:posOffset>
            </wp:positionV>
            <wp:extent cx="53340" cy="1068705"/>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380"/>
                    <a:stretch>
                      <a:fillRect/>
                    </a:stretch>
                  </pic:blipFill>
                  <pic:spPr>
                    <a:xfrm>
                      <a:off x="0" y="0"/>
                      <a:ext cx="53238" cy="1068705"/>
                    </a:xfrm>
                    <a:prstGeom prst="rect">
                      <a:avLst/>
                    </a:prstGeom>
                  </pic:spPr>
                </pic:pic>
              </a:graphicData>
            </a:graphic>
          </wp:anchor>
        </w:drawing>
      </w:r>
      <w:r>
        <w:pict>
          <v:shape id="_x0000_s1046" o:spid="_x0000_s1046" o:spt="202" type="#_x0000_t202" style="position:absolute;left:0pt;margin-left:99.45pt;margin-top:49.8pt;height:11.05pt;width:76.4pt;z-index:254820352;mso-width-relative:page;mso-height-relative:page;" filled="f" stroked="f" coordsize="21600,21600">
            <v:path/>
            <v:fill on="f" focussize="0,0"/>
            <v:stroke on="f"/>
            <v:imagedata o:title=""/>
            <o:lock v:ext="edit" aspectratio="f"/>
            <v:textbox inset="0mm,0mm,0mm,0mm">
              <w:txbxContent>
                <w:p>
                  <w:pPr>
                    <w:spacing w:before="20" w:line="185" w:lineRule="auto"/>
                    <w:ind w:left="20"/>
                    <w:rPr>
                      <w:rFonts w:ascii="宋体" w:hAnsi="宋体" w:eastAsia="宋体" w:cs="宋体"/>
                      <w:sz w:val="18"/>
                      <w:szCs w:val="18"/>
                    </w:rPr>
                  </w:pPr>
                  <w:r>
                    <w:rPr>
                      <w:rFonts w:ascii="宋体" w:hAnsi="宋体" w:eastAsia="宋体" w:cs="宋体"/>
                      <w:spacing w:val="-3"/>
                      <w:sz w:val="18"/>
                      <w:szCs w:val="18"/>
                    </w:rPr>
                    <w:t>1.施工机械使用费</w:t>
                  </w:r>
                  <w:r>
                    <w:rPr>
                      <w:rFonts w:ascii="宋体" w:hAnsi="宋体" w:eastAsia="宋体" w:cs="宋体"/>
                      <w:spacing w:val="5"/>
                      <w:sz w:val="18"/>
                      <w:szCs w:val="18"/>
                    </w:rPr>
                    <w:t xml:space="preserve"> </w:t>
                  </w:r>
                </w:p>
              </w:txbxContent>
            </v:textbox>
          </v:shape>
        </w:pict>
      </w:r>
      <w:r>
        <w:pict>
          <v:shape id="_x0000_s1047" o:spid="_x0000_s1047" o:spt="202" type="#_x0000_t202" style="position:absolute;left:0pt;margin-left:15.6pt;margin-top:48.5pt;height:71.8pt;width:221.45pt;z-index:254817280;mso-width-relative:page;mso-height-relative:page;" filled="f" stroked="f" coordsize="21600,21600">
            <v:path/>
            <v:fill on="f" focussize="0,0"/>
            <v:stroke on="f"/>
            <v:imagedata o:title=""/>
            <o:lock v:ext="edit" aspectratio="f"/>
            <v:textbox inset="0mm,0mm,0mm,0mm">
              <w:txbxContent>
                <w:p>
                  <w:pPr>
                    <w:tabs>
                      <w:tab w:val="left" w:pos="180"/>
                    </w:tabs>
                    <w:spacing w:before="20"/>
                    <w:ind w:left="20"/>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1"/>
                      <w:sz w:val="18"/>
                      <w:szCs w:val="18"/>
                    </w:rPr>
                    <w:t>施工机具使用费</w:t>
                  </w:r>
                  <w:r>
                    <w:rPr>
                      <w:rFonts w:ascii="宋体" w:hAnsi="宋体" w:eastAsia="宋体" w:cs="宋体"/>
                      <w:spacing w:val="-82"/>
                      <w:sz w:val="18"/>
                      <w:szCs w:val="18"/>
                    </w:rPr>
                    <w:t xml:space="preserve"> </w:t>
                  </w:r>
                  <w:r>
                    <w:rPr>
                      <w:rFonts w:ascii="宋体" w:hAnsi="宋体" w:eastAsia="宋体" w:cs="宋体"/>
                      <w:strike/>
                      <w:spacing w:val="-33"/>
                      <w:sz w:val="18"/>
                      <w:szCs w:val="18"/>
                    </w:rPr>
                    <w:t xml:space="preserve"> </w:t>
                  </w:r>
                  <w:r>
                    <w:rPr>
                      <w:rFonts w:ascii="宋体" w:hAnsi="宋体" w:eastAsia="宋体" w:cs="宋体"/>
                      <w:spacing w:val="-41"/>
                      <w:sz w:val="18"/>
                      <w:szCs w:val="18"/>
                    </w:rPr>
                    <w:t xml:space="preserve"> </w:t>
                  </w:r>
                  <w:r>
                    <w:rPr>
                      <w:position w:val="-65"/>
                      <w:sz w:val="18"/>
                      <w:szCs w:val="18"/>
                    </w:rPr>
                    <w:drawing>
                      <wp:inline distT="0" distB="0" distL="0" distR="0">
                        <wp:extent cx="83820" cy="88582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381"/>
                                <a:stretch>
                                  <a:fillRect/>
                                </a:stretch>
                              </pic:blipFill>
                              <pic:spPr>
                                <a:xfrm>
                                  <a:off x="0" y="0"/>
                                  <a:ext cx="84213" cy="885825"/>
                                </a:xfrm>
                                <a:prstGeom prst="rect">
                                  <a:avLst/>
                                </a:prstGeom>
                              </pic:spPr>
                            </pic:pic>
                          </a:graphicData>
                        </a:graphic>
                      </wp:inline>
                    </w:drawing>
                  </w:r>
                  <w:r>
                    <w:rPr>
                      <w:rFonts w:ascii="宋体" w:hAnsi="宋体" w:eastAsia="宋体" w:cs="宋体"/>
                      <w:spacing w:val="1"/>
                      <w:sz w:val="18"/>
                      <w:szCs w:val="18"/>
                    </w:rPr>
                    <w:t xml:space="preserve">                  </w:t>
                  </w:r>
                  <w:r>
                    <w:rPr>
                      <w:rFonts w:ascii="宋体" w:hAnsi="宋体" w:eastAsia="宋体" w:cs="宋体"/>
                      <w:spacing w:val="-1"/>
                      <w:sz w:val="18"/>
                      <w:szCs w:val="18"/>
                    </w:rPr>
                    <w:t>⑥燃料动力费</w:t>
                  </w:r>
                </w:p>
              </w:txbxContent>
            </v:textbox>
          </v:shape>
        </w:pict>
      </w:r>
      <w:r>
        <w:rPr>
          <w:rFonts w:ascii="宋体" w:hAnsi="宋体" w:eastAsia="宋体" w:cs="宋体"/>
          <w:position w:val="-3"/>
          <w:sz w:val="18"/>
          <w:szCs w:val="18"/>
          <w:u w:val="single" w:color="auto"/>
        </w:rPr>
        <w:tab/>
      </w:r>
      <w:r>
        <w:rPr>
          <w:rFonts w:ascii="宋体" w:hAnsi="宋体" w:eastAsia="宋体" w:cs="宋体"/>
          <w:spacing w:val="-66"/>
          <w:position w:val="-3"/>
          <w:sz w:val="18"/>
          <w:szCs w:val="18"/>
        </w:rPr>
        <w:t xml:space="preserve"> </w:t>
      </w:r>
      <w:r>
        <w:rPr>
          <w:rFonts w:ascii="宋体" w:hAnsi="宋体" w:eastAsia="宋体" w:cs="宋体"/>
          <w:spacing w:val="-1"/>
          <w:position w:val="-3"/>
          <w:sz w:val="18"/>
          <w:szCs w:val="18"/>
        </w:rPr>
        <w:t>材料费</w:t>
      </w:r>
      <w:r>
        <w:rPr>
          <w:position w:val="-30"/>
          <w:sz w:val="18"/>
          <w:szCs w:val="18"/>
        </w:rPr>
        <w:drawing>
          <wp:inline distT="0" distB="0" distL="0" distR="0">
            <wp:extent cx="334645" cy="54292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382"/>
                    <a:stretch>
                      <a:fillRect/>
                    </a:stretch>
                  </pic:blipFill>
                  <pic:spPr>
                    <a:xfrm>
                      <a:off x="0" y="0"/>
                      <a:ext cx="334721" cy="542925"/>
                    </a:xfrm>
                    <a:prstGeom prst="rect">
                      <a:avLst/>
                    </a:prstGeom>
                  </pic:spPr>
                </pic:pic>
              </a:graphicData>
            </a:graphic>
          </wp:inline>
        </w:drawing>
      </w:r>
      <w:r>
        <w:rPr>
          <w:rFonts w:ascii="宋体" w:hAnsi="宋体" w:eastAsia="宋体" w:cs="宋体"/>
          <w:spacing w:val="-1"/>
          <w:position w:val="-1"/>
          <w:sz w:val="18"/>
          <w:szCs w:val="18"/>
        </w:rPr>
        <w:t>3.运输损耗费</w:t>
      </w:r>
      <w:r>
        <w:rPr>
          <w:rFonts w:ascii="宋体" w:hAnsi="宋体" w:eastAsia="宋体" w:cs="宋体"/>
          <w:spacing w:val="4"/>
          <w:position w:val="-1"/>
          <w:sz w:val="18"/>
          <w:szCs w:val="18"/>
        </w:rPr>
        <w:t xml:space="preserve">         </w:t>
      </w:r>
      <w:r>
        <w:rPr>
          <w:rFonts w:ascii="宋体" w:hAnsi="宋体" w:eastAsia="宋体" w:cs="宋体"/>
          <w:spacing w:val="-1"/>
          <w:position w:val="4"/>
          <w:sz w:val="18"/>
          <w:szCs w:val="18"/>
        </w:rPr>
        <w:t>①折旧费</w:t>
      </w:r>
    </w:p>
    <w:p>
      <w:pPr>
        <w:spacing w:before="201" w:line="228" w:lineRule="auto"/>
        <w:ind w:left="3646" w:right="3868"/>
        <w:rPr>
          <w:rFonts w:ascii="宋体" w:hAnsi="宋体" w:eastAsia="宋体" w:cs="宋体"/>
          <w:sz w:val="18"/>
          <w:szCs w:val="18"/>
        </w:rPr>
      </w:pPr>
      <w:r>
        <w:pict>
          <v:shape id="_x0000_s1048" o:spid="_x0000_s1048" o:spt="202" type="#_x0000_t202" style="position:absolute;left:0pt;margin-left:-2.7pt;margin-top:35.3pt;height:120.45pt;width:12.15pt;z-index:254819328;mso-width-relative:page;mso-height-relative:page;" filled="f" stroked="f" coordsize="21600,21600">
            <v:path/>
            <v:fill on="f" focussize="0,0"/>
            <v:stroke on="f"/>
            <v:imagedata o:title=""/>
            <o:lock v:ext="edit" aspectratio="f"/>
            <v:textbox inset="0mm,0mm,0mm,0mm" style="layout-flow:vertical-ideographic;">
              <w:txbxContent>
                <w:p>
                  <w:pPr>
                    <w:spacing w:before="19" w:line="202" w:lineRule="auto"/>
                    <w:ind w:left="20"/>
                    <w:rPr>
                      <w:rFonts w:ascii="宋体" w:hAnsi="宋体" w:eastAsia="宋体" w:cs="宋体"/>
                      <w:sz w:val="18"/>
                      <w:szCs w:val="18"/>
                    </w:rPr>
                  </w:pPr>
                  <w:r>
                    <w:rPr>
                      <w:rFonts w:ascii="宋体" w:hAnsi="宋体" w:eastAsia="宋体" w:cs="宋体"/>
                      <w:sz w:val="18"/>
                      <w:szCs w:val="18"/>
                    </w:rPr>
                    <w:t>建</w:t>
                  </w:r>
                  <w:r>
                    <w:rPr>
                      <w:rFonts w:ascii="宋体" w:hAnsi="宋体" w:eastAsia="宋体" w:cs="宋体"/>
                      <w:spacing w:val="80"/>
                      <w:sz w:val="18"/>
                      <w:szCs w:val="18"/>
                    </w:rPr>
                    <w:t xml:space="preserve"> </w:t>
                  </w:r>
                  <w:r>
                    <w:rPr>
                      <w:rFonts w:ascii="宋体" w:hAnsi="宋体" w:eastAsia="宋体" w:cs="宋体"/>
                      <w:sz w:val="18"/>
                      <w:szCs w:val="18"/>
                    </w:rPr>
                    <w:t>筑</w:t>
                  </w:r>
                  <w:r>
                    <w:rPr>
                      <w:rFonts w:ascii="宋体" w:hAnsi="宋体" w:eastAsia="宋体" w:cs="宋体"/>
                      <w:spacing w:val="-50"/>
                      <w:sz w:val="18"/>
                      <w:szCs w:val="18"/>
                    </w:rPr>
                    <w:t xml:space="preserve"> </w:t>
                  </w:r>
                  <w:r>
                    <w:rPr>
                      <w:rFonts w:ascii="宋体" w:hAnsi="宋体" w:eastAsia="宋体" w:cs="宋体"/>
                      <w:sz w:val="18"/>
                      <w:szCs w:val="18"/>
                    </w:rPr>
                    <w:t>、</w:t>
                  </w:r>
                  <w:r>
                    <w:rPr>
                      <w:rFonts w:ascii="宋体" w:hAnsi="宋体" w:eastAsia="宋体" w:cs="宋体"/>
                      <w:spacing w:val="-52"/>
                      <w:sz w:val="18"/>
                      <w:szCs w:val="18"/>
                    </w:rPr>
                    <w:t xml:space="preserve"> </w:t>
                  </w:r>
                  <w:r>
                    <w:rPr>
                      <w:rFonts w:ascii="宋体" w:hAnsi="宋体" w:eastAsia="宋体" w:cs="宋体"/>
                      <w:sz w:val="18"/>
                      <w:szCs w:val="18"/>
                    </w:rPr>
                    <w:t>装</w:t>
                  </w:r>
                  <w:r>
                    <w:rPr>
                      <w:rFonts w:ascii="宋体" w:hAnsi="宋体" w:eastAsia="宋体" w:cs="宋体"/>
                      <w:spacing w:val="81"/>
                      <w:sz w:val="18"/>
                      <w:szCs w:val="18"/>
                    </w:rPr>
                    <w:t xml:space="preserve"> </w:t>
                  </w:r>
                  <w:r>
                    <w:rPr>
                      <w:rFonts w:ascii="宋体" w:hAnsi="宋体" w:eastAsia="宋体" w:cs="宋体"/>
                      <w:sz w:val="18"/>
                      <w:szCs w:val="18"/>
                    </w:rPr>
                    <w:t>饰</w:t>
                  </w:r>
                  <w:r>
                    <w:rPr>
                      <w:rFonts w:ascii="宋体" w:hAnsi="宋体" w:eastAsia="宋体" w:cs="宋体"/>
                      <w:spacing w:val="80"/>
                      <w:sz w:val="18"/>
                      <w:szCs w:val="18"/>
                    </w:rPr>
                    <w:t xml:space="preserve"> </w:t>
                  </w:r>
                  <w:r>
                    <w:rPr>
                      <w:rFonts w:ascii="宋体" w:hAnsi="宋体" w:eastAsia="宋体" w:cs="宋体"/>
                      <w:sz w:val="18"/>
                      <w:szCs w:val="18"/>
                    </w:rPr>
                    <w:t>工</w:t>
                  </w:r>
                  <w:r>
                    <w:rPr>
                      <w:rFonts w:ascii="宋体" w:hAnsi="宋体" w:eastAsia="宋体" w:cs="宋体"/>
                      <w:spacing w:val="80"/>
                      <w:sz w:val="18"/>
                      <w:szCs w:val="18"/>
                    </w:rPr>
                    <w:t xml:space="preserve"> </w:t>
                  </w:r>
                  <w:r>
                    <w:rPr>
                      <w:rFonts w:ascii="宋体" w:hAnsi="宋体" w:eastAsia="宋体" w:cs="宋体"/>
                      <w:sz w:val="18"/>
                      <w:szCs w:val="18"/>
                    </w:rPr>
                    <w:t>程</w:t>
                  </w:r>
                  <w:r>
                    <w:rPr>
                      <w:rFonts w:ascii="宋体" w:hAnsi="宋体" w:eastAsia="宋体" w:cs="宋体"/>
                      <w:spacing w:val="78"/>
                      <w:sz w:val="18"/>
                      <w:szCs w:val="18"/>
                    </w:rPr>
                    <w:t xml:space="preserve"> </w:t>
                  </w:r>
                  <w:r>
                    <w:rPr>
                      <w:rFonts w:ascii="宋体" w:hAnsi="宋体" w:eastAsia="宋体" w:cs="宋体"/>
                      <w:sz w:val="18"/>
                      <w:szCs w:val="18"/>
                    </w:rPr>
                    <w:t>费</w:t>
                  </w:r>
                </w:p>
              </w:txbxContent>
            </v:textbox>
          </v:shape>
        </w:pict>
      </w:r>
      <w:r>
        <w:rPr>
          <w:rFonts w:ascii="宋体" w:hAnsi="宋体" w:eastAsia="宋体" w:cs="宋体"/>
          <w:spacing w:val="-1"/>
          <w:sz w:val="18"/>
          <w:szCs w:val="18"/>
        </w:rPr>
        <w:t>④安拆费及场外运费</w:t>
      </w:r>
      <w:r>
        <w:rPr>
          <w:rFonts w:ascii="宋体" w:hAnsi="宋体" w:eastAsia="宋体" w:cs="宋体"/>
          <w:spacing w:val="-2"/>
          <w:sz w:val="18"/>
          <w:szCs w:val="18"/>
        </w:rPr>
        <w:t>⑤人工费</w:t>
      </w:r>
    </w:p>
    <w:p>
      <w:pPr>
        <w:spacing w:before="133" w:line="172" w:lineRule="auto"/>
        <w:ind w:left="3646" w:right="3038" w:firstLine="1914"/>
        <w:rPr>
          <w:rFonts w:ascii="宋体" w:hAnsi="宋体" w:eastAsia="宋体" w:cs="宋体"/>
          <w:sz w:val="18"/>
          <w:szCs w:val="18"/>
        </w:rPr>
      </w:pPr>
      <w:r>
        <w:rPr>
          <w:rFonts w:ascii="宋体" w:hAnsi="宋体" w:eastAsia="宋体" w:cs="宋体"/>
          <w:spacing w:val="-3"/>
          <w:sz w:val="18"/>
          <w:szCs w:val="18"/>
        </w:rPr>
        <w:t>2.措施</w:t>
      </w:r>
      <w:r>
        <w:rPr>
          <w:rFonts w:ascii="宋体" w:hAnsi="宋体" w:eastAsia="宋体" w:cs="宋体"/>
          <w:spacing w:val="-2"/>
          <w:sz w:val="18"/>
          <w:szCs w:val="18"/>
        </w:rPr>
        <w:t>⑦其他费</w:t>
      </w:r>
      <w:r>
        <w:rPr>
          <w:rFonts w:ascii="宋体" w:hAnsi="宋体" w:eastAsia="宋体" w:cs="宋体"/>
          <w:spacing w:val="16"/>
          <w:sz w:val="18"/>
          <w:szCs w:val="18"/>
        </w:rPr>
        <w:t xml:space="preserve">   </w:t>
      </w:r>
      <w:r>
        <w:rPr>
          <w:rFonts w:ascii="宋体" w:hAnsi="宋体" w:eastAsia="宋体" w:cs="宋体"/>
          <w:sz w:val="18"/>
          <w:szCs w:val="18"/>
          <w:u w:val="single" w:color="auto"/>
        </w:rPr>
        <w:t xml:space="preserve">        </w:t>
      </w:r>
    </w:p>
    <w:p>
      <w:pPr>
        <w:spacing w:before="157" w:line="219" w:lineRule="auto"/>
        <w:ind w:left="1998"/>
        <w:rPr>
          <w:rFonts w:ascii="宋体" w:hAnsi="宋体" w:eastAsia="宋体" w:cs="宋体"/>
          <w:sz w:val="18"/>
          <w:szCs w:val="18"/>
        </w:rPr>
      </w:pPr>
      <w:r>
        <w:rPr>
          <w:rFonts w:ascii="宋体" w:hAnsi="宋体" w:eastAsia="宋体" w:cs="宋体"/>
          <w:spacing w:val="-1"/>
          <w:sz w:val="18"/>
          <w:szCs w:val="18"/>
        </w:rPr>
        <w:t>2.施工仪器仪表使用费</w:t>
      </w:r>
    </w:p>
    <w:p>
      <w:pPr>
        <w:spacing w:line="478" w:lineRule="auto"/>
        <w:rPr>
          <w:rFonts w:ascii="Arial"/>
          <w:sz w:val="21"/>
        </w:rPr>
      </w:pPr>
    </w:p>
    <w:p>
      <w:pPr>
        <w:tabs>
          <w:tab w:val="left" w:pos="577"/>
        </w:tabs>
        <w:spacing w:before="59"/>
        <w:ind w:left="336"/>
        <w:rPr>
          <w:rFonts w:ascii="宋体" w:hAnsi="宋体" w:eastAsia="宋体" w:cs="宋体"/>
          <w:sz w:val="18"/>
          <w:szCs w:val="18"/>
        </w:rPr>
      </w:pPr>
      <w:r>
        <w:pict>
          <v:shape id="_x0000_s1049" o:spid="_x0000_s1049" o:spt="202" type="#_x0000_t202" style="position:absolute;left:0pt;margin-left:96.5pt;margin-top:-2.1pt;height:13.85pt;width:162.95pt;z-index:254821376;mso-width-relative:page;mso-height-relative:page;" filled="f" stroked="f" coordsize="21600,21600">
            <v:path/>
            <v:fill on="f" focussize="0,0"/>
            <v:stroke on="f"/>
            <v:imagedata o:title=""/>
            <o:lock v:ext="edit" aspectratio="f"/>
            <v:textbox inset="0mm,0mm,0mm,0mm">
              <w:txbxContent>
                <w:p>
                  <w:pPr>
                    <w:spacing w:before="20" w:line="242" w:lineRule="auto"/>
                    <w:ind w:left="20"/>
                    <w:rPr>
                      <w:rFonts w:ascii="宋体" w:hAnsi="宋体" w:eastAsia="宋体" w:cs="宋体"/>
                      <w:sz w:val="18"/>
                      <w:szCs w:val="18"/>
                    </w:rPr>
                  </w:pPr>
                  <w:r>
                    <w:rPr>
                      <w:rFonts w:ascii="Times New Roman" w:hAnsi="Times New Roman" w:eastAsia="Times New Roman" w:cs="Times New Roman"/>
                      <w:spacing w:val="-1"/>
                      <w:sz w:val="18"/>
                      <w:szCs w:val="18"/>
                    </w:rPr>
                    <w:t>1.</w:t>
                  </w:r>
                  <w:r>
                    <w:rPr>
                      <w:rFonts w:ascii="宋体" w:hAnsi="宋体" w:eastAsia="宋体" w:cs="宋体"/>
                      <w:spacing w:val="-1"/>
                      <w:sz w:val="18"/>
                      <w:szCs w:val="18"/>
                    </w:rPr>
                    <w:t xml:space="preserve">管理人员工资         </w:t>
                  </w:r>
                  <w:r>
                    <w:rPr>
                      <w:rFonts w:ascii="Times New Roman" w:hAnsi="Times New Roman" w:eastAsia="Times New Roman" w:cs="Times New Roman"/>
                      <w:spacing w:val="-1"/>
                      <w:sz w:val="18"/>
                      <w:szCs w:val="18"/>
                    </w:rPr>
                    <w:t>9.</w:t>
                  </w:r>
                  <w:r>
                    <w:rPr>
                      <w:rFonts w:ascii="宋体" w:hAnsi="宋体" w:eastAsia="宋体" w:cs="宋体"/>
                      <w:spacing w:val="-1"/>
                      <w:sz w:val="18"/>
                      <w:szCs w:val="18"/>
                    </w:rPr>
                    <w:t>职工教育经费</w:t>
                  </w:r>
                </w:p>
              </w:txbxContent>
            </v:textbox>
          </v:shape>
        </w:pict>
      </w:r>
      <w:r>
        <w:pict>
          <v:shape id="_x0000_s1050" o:spid="_x0000_s1050" o:spt="202" type="#_x0000_t202" style="position:absolute;left:0pt;margin-left:15.8pt;margin-top:9.45pt;height:99.1pt;width:292.25pt;z-index:254815232;mso-width-relative:page;mso-height-relative:page;" filled="f" stroked="f" coordsize="21600,21600">
            <v:path/>
            <v:fill on="f" focussize="0,0"/>
            <v:stroke on="f"/>
            <v:imagedata o:title=""/>
            <o:lock v:ext="edit" aspectratio="f"/>
            <v:textbox inset="0mm,0mm,0mm,0mm">
              <w:txbxContent>
                <w:p>
                  <w:pPr>
                    <w:spacing w:before="19" w:line="242" w:lineRule="auto"/>
                    <w:ind w:left="1616"/>
                    <w:rPr>
                      <w:rFonts w:ascii="宋体" w:hAnsi="宋体" w:eastAsia="宋体" w:cs="宋体"/>
                      <w:sz w:val="18"/>
                      <w:szCs w:val="18"/>
                    </w:rPr>
                  </w:pPr>
                  <w:r>
                    <w:rPr>
                      <w:rFonts w:ascii="Times New Roman" w:hAnsi="Times New Roman" w:eastAsia="Times New Roman" w:cs="Times New Roman"/>
                      <w:spacing w:val="-2"/>
                      <w:sz w:val="18"/>
                      <w:szCs w:val="18"/>
                    </w:rPr>
                    <w:t>2.</w:t>
                  </w:r>
                  <w:r>
                    <w:rPr>
                      <w:rFonts w:ascii="宋体" w:hAnsi="宋体" w:eastAsia="宋体" w:cs="宋体"/>
                      <w:spacing w:val="-2"/>
                      <w:sz w:val="18"/>
                      <w:szCs w:val="18"/>
                    </w:rPr>
                    <w:t>办公费</w:t>
                  </w:r>
                  <w:r>
                    <w:rPr>
                      <w:rFonts w:ascii="宋体" w:hAnsi="宋体" w:eastAsia="宋体" w:cs="宋体"/>
                      <w:spacing w:val="1"/>
                      <w:sz w:val="18"/>
                      <w:szCs w:val="18"/>
                    </w:rPr>
                    <w:t xml:space="preserve">               </w:t>
                  </w:r>
                  <w:r>
                    <w:rPr>
                      <w:rFonts w:ascii="Times New Roman" w:hAnsi="Times New Roman" w:eastAsia="Times New Roman" w:cs="Times New Roman"/>
                      <w:spacing w:val="-2"/>
                      <w:sz w:val="18"/>
                      <w:szCs w:val="18"/>
                    </w:rPr>
                    <w:t>10.</w:t>
                  </w:r>
                  <w:r>
                    <w:rPr>
                      <w:rFonts w:ascii="宋体" w:hAnsi="宋体" w:eastAsia="宋体" w:cs="宋体"/>
                      <w:spacing w:val="-2"/>
                      <w:sz w:val="18"/>
                      <w:szCs w:val="18"/>
                    </w:rPr>
                    <w:t>财产保险费</w:t>
                  </w:r>
                </w:p>
                <w:p>
                  <w:pPr>
                    <w:spacing w:line="269" w:lineRule="exact"/>
                    <w:ind w:left="1620"/>
                    <w:rPr>
                      <w:rFonts w:ascii="宋体" w:hAnsi="宋体" w:eastAsia="宋体" w:cs="宋体"/>
                      <w:sz w:val="18"/>
                      <w:szCs w:val="18"/>
                    </w:rPr>
                  </w:pPr>
                  <w:r>
                    <w:rPr>
                      <w:rFonts w:ascii="Times New Roman" w:hAnsi="Times New Roman" w:eastAsia="Times New Roman" w:cs="Times New Roman"/>
                      <w:spacing w:val="-3"/>
                      <w:position w:val="2"/>
                      <w:sz w:val="18"/>
                      <w:szCs w:val="18"/>
                    </w:rPr>
                    <w:t>3.</w:t>
                  </w:r>
                  <w:r>
                    <w:rPr>
                      <w:rFonts w:ascii="宋体" w:hAnsi="宋体" w:eastAsia="宋体" w:cs="宋体"/>
                      <w:spacing w:val="-3"/>
                      <w:position w:val="2"/>
                      <w:sz w:val="18"/>
                      <w:szCs w:val="18"/>
                    </w:rPr>
                    <w:t>差旅交通费</w:t>
                  </w:r>
                  <w:r>
                    <w:rPr>
                      <w:rFonts w:ascii="宋体" w:hAnsi="宋体" w:eastAsia="宋体" w:cs="宋体"/>
                      <w:spacing w:val="2"/>
                      <w:position w:val="2"/>
                      <w:sz w:val="18"/>
                      <w:szCs w:val="18"/>
                    </w:rPr>
                    <w:t xml:space="preserve">           </w:t>
                  </w:r>
                  <w:r>
                    <w:rPr>
                      <w:rFonts w:ascii="Times New Roman" w:hAnsi="Times New Roman" w:eastAsia="Times New Roman" w:cs="Times New Roman"/>
                      <w:spacing w:val="-3"/>
                      <w:position w:val="2"/>
                      <w:sz w:val="18"/>
                      <w:szCs w:val="18"/>
                    </w:rPr>
                    <w:t>11.</w:t>
                  </w:r>
                  <w:r>
                    <w:rPr>
                      <w:rFonts w:ascii="宋体" w:hAnsi="宋体" w:eastAsia="宋体" w:cs="宋体"/>
                      <w:spacing w:val="-3"/>
                      <w:position w:val="2"/>
                      <w:sz w:val="18"/>
                      <w:szCs w:val="18"/>
                    </w:rPr>
                    <w:t>财务费</w:t>
                  </w:r>
                </w:p>
                <w:p>
                  <w:pPr>
                    <w:spacing w:before="195" w:line="242" w:lineRule="auto"/>
                    <w:ind w:left="1621"/>
                    <w:rPr>
                      <w:rFonts w:ascii="宋体" w:hAnsi="宋体" w:eastAsia="宋体" w:cs="宋体"/>
                      <w:sz w:val="18"/>
                      <w:szCs w:val="18"/>
                    </w:rPr>
                  </w:pPr>
                  <w:r>
                    <w:rPr>
                      <w:rFonts w:ascii="Times New Roman" w:hAnsi="Times New Roman" w:eastAsia="Times New Roman" w:cs="Times New Roman"/>
                      <w:spacing w:val="-3"/>
                      <w:sz w:val="18"/>
                      <w:szCs w:val="18"/>
                    </w:rPr>
                    <w:t>5.</w:t>
                  </w:r>
                  <w:r>
                    <w:rPr>
                      <w:rFonts w:ascii="宋体" w:hAnsi="宋体" w:eastAsia="宋体" w:cs="宋体"/>
                      <w:spacing w:val="-3"/>
                      <w:sz w:val="18"/>
                      <w:szCs w:val="18"/>
                    </w:rPr>
                    <w:t>工具用具使用费</w:t>
                  </w:r>
                  <w:r>
                    <w:rPr>
                      <w:rFonts w:ascii="宋体" w:hAnsi="宋体" w:eastAsia="宋体" w:cs="宋体"/>
                      <w:spacing w:val="4"/>
                      <w:sz w:val="18"/>
                      <w:szCs w:val="18"/>
                    </w:rPr>
                    <w:t xml:space="preserve">       </w:t>
                  </w:r>
                  <w:r>
                    <w:rPr>
                      <w:rFonts w:ascii="Times New Roman" w:hAnsi="Times New Roman" w:eastAsia="Times New Roman" w:cs="Times New Roman"/>
                      <w:spacing w:val="-3"/>
                      <w:sz w:val="18"/>
                      <w:szCs w:val="18"/>
                    </w:rPr>
                    <w:t>13.</w:t>
                  </w:r>
                  <w:r>
                    <w:rPr>
                      <w:rFonts w:ascii="宋体" w:hAnsi="宋体" w:eastAsia="宋体" w:cs="宋体"/>
                      <w:spacing w:val="-3"/>
                      <w:sz w:val="18"/>
                      <w:szCs w:val="18"/>
                    </w:rPr>
                    <w:t>其他</w:t>
                  </w:r>
                  <w:r>
                    <w:rPr>
                      <w:rFonts w:ascii="宋体" w:hAnsi="宋体" w:eastAsia="宋体" w:cs="宋体"/>
                      <w:spacing w:val="13"/>
                      <w:sz w:val="18"/>
                      <w:szCs w:val="18"/>
                    </w:rPr>
                    <w:t xml:space="preserve">     </w:t>
                  </w:r>
                  <w:r>
                    <w:rPr>
                      <w:rFonts w:ascii="宋体" w:hAnsi="宋体" w:eastAsia="宋体" w:cs="宋体"/>
                      <w:spacing w:val="1"/>
                      <w:sz w:val="18"/>
                      <w:szCs w:val="18"/>
                      <w:u w:val="single" w:color="auto"/>
                    </w:rPr>
                    <w:t xml:space="preserve">    </w:t>
                  </w:r>
                </w:p>
                <w:p>
                  <w:pPr>
                    <w:ind w:left="1620"/>
                    <w:rPr>
                      <w:rFonts w:ascii="宋体" w:hAnsi="宋体" w:eastAsia="宋体" w:cs="宋体"/>
                      <w:sz w:val="18"/>
                      <w:szCs w:val="18"/>
                    </w:rPr>
                  </w:pPr>
                  <w:r>
                    <w:rPr>
                      <w:rFonts w:ascii="Times New Roman" w:hAnsi="Times New Roman" w:eastAsia="Times New Roman" w:cs="Times New Roman"/>
                      <w:spacing w:val="-2"/>
                      <w:sz w:val="18"/>
                      <w:szCs w:val="18"/>
                    </w:rPr>
                    <w:t>6.</w:t>
                  </w:r>
                  <w:r>
                    <w:rPr>
                      <w:rFonts w:ascii="宋体" w:hAnsi="宋体" w:eastAsia="宋体" w:cs="宋体"/>
                      <w:spacing w:val="-2"/>
                      <w:sz w:val="18"/>
                      <w:szCs w:val="18"/>
                    </w:rPr>
                    <w:t>劳动保险和职工福利费</w:t>
                  </w:r>
                  <w:r>
                    <w:rPr>
                      <w:rFonts w:ascii="宋体" w:hAnsi="宋体" w:eastAsia="宋体" w:cs="宋体"/>
                      <w:spacing w:val="-16"/>
                      <w:sz w:val="18"/>
                      <w:szCs w:val="18"/>
                    </w:rPr>
                    <w:t xml:space="preserve"> </w:t>
                  </w:r>
                  <w:r>
                    <w:rPr>
                      <w:rFonts w:ascii="Times New Roman" w:hAnsi="Times New Roman" w:eastAsia="Times New Roman" w:cs="Times New Roman"/>
                      <w:spacing w:val="-2"/>
                      <w:sz w:val="18"/>
                      <w:szCs w:val="18"/>
                    </w:rPr>
                    <w:t>14.</w:t>
                  </w:r>
                  <w:r>
                    <w:rPr>
                      <w:rFonts w:ascii="宋体" w:hAnsi="宋体" w:eastAsia="宋体" w:cs="宋体"/>
                      <w:spacing w:val="-2"/>
                      <w:sz w:val="18"/>
                      <w:szCs w:val="18"/>
                    </w:rPr>
                    <w:t>检验试验费</w:t>
                  </w:r>
                </w:p>
                <w:p>
                  <w:pPr>
                    <w:spacing w:line="238" w:lineRule="auto"/>
                    <w:ind w:left="1619"/>
                    <w:rPr>
                      <w:rFonts w:ascii="宋体" w:hAnsi="宋体" w:eastAsia="宋体" w:cs="宋体"/>
                      <w:sz w:val="18"/>
                      <w:szCs w:val="18"/>
                    </w:rPr>
                  </w:pPr>
                  <w:r>
                    <w:rPr>
                      <w:rFonts w:ascii="Times New Roman" w:hAnsi="Times New Roman" w:eastAsia="Times New Roman" w:cs="Times New Roman"/>
                      <w:spacing w:val="-2"/>
                      <w:sz w:val="18"/>
                      <w:szCs w:val="18"/>
                    </w:rPr>
                    <w:t>7.</w:t>
                  </w:r>
                  <w:r>
                    <w:rPr>
                      <w:rFonts w:ascii="宋体" w:hAnsi="宋体" w:eastAsia="宋体" w:cs="宋体"/>
                      <w:spacing w:val="-2"/>
                      <w:sz w:val="18"/>
                      <w:szCs w:val="18"/>
                    </w:rPr>
                    <w:t>劳动保护费</w:t>
                  </w:r>
                  <w:r>
                    <w:rPr>
                      <w:rFonts w:ascii="宋体" w:hAnsi="宋体" w:eastAsia="宋体" w:cs="宋体"/>
                      <w:spacing w:val="2"/>
                      <w:sz w:val="18"/>
                      <w:szCs w:val="18"/>
                    </w:rPr>
                    <w:t xml:space="preserve">           </w:t>
                  </w:r>
                  <w:r>
                    <w:rPr>
                      <w:rFonts w:ascii="Times New Roman" w:hAnsi="Times New Roman" w:eastAsia="Times New Roman" w:cs="Times New Roman"/>
                      <w:spacing w:val="-2"/>
                      <w:sz w:val="18"/>
                      <w:szCs w:val="18"/>
                    </w:rPr>
                    <w:t>15.</w:t>
                  </w:r>
                  <w:r>
                    <w:rPr>
                      <w:rFonts w:ascii="宋体" w:hAnsi="宋体" w:eastAsia="宋体" w:cs="宋体"/>
                      <w:spacing w:val="-2"/>
                      <w:sz w:val="18"/>
                      <w:szCs w:val="18"/>
                    </w:rPr>
                    <w:t>总承包服务费</w:t>
                  </w:r>
                </w:p>
                <w:p>
                  <w:pPr>
                    <w:tabs>
                      <w:tab w:val="left" w:pos="271"/>
                    </w:tabs>
                    <w:spacing w:before="1" w:line="214" w:lineRule="auto"/>
                    <w:ind w:left="20" w:right="20" w:firstLine="1603"/>
                    <w:rPr>
                      <w:rFonts w:ascii="宋体" w:hAnsi="宋体" w:eastAsia="宋体" w:cs="宋体"/>
                      <w:sz w:val="18"/>
                      <w:szCs w:val="18"/>
                    </w:rPr>
                  </w:pPr>
                  <w:r>
                    <w:rPr>
                      <w:rFonts w:ascii="Times New Roman" w:hAnsi="Times New Roman" w:eastAsia="Times New Roman" w:cs="Times New Roman"/>
                      <w:spacing w:val="-3"/>
                      <w:position w:val="2"/>
                      <w:sz w:val="18"/>
                      <w:szCs w:val="18"/>
                    </w:rPr>
                    <w:t>8.</w:t>
                  </w:r>
                  <w:r>
                    <w:rPr>
                      <w:rFonts w:ascii="宋体" w:hAnsi="宋体" w:eastAsia="宋体" w:cs="宋体"/>
                      <w:spacing w:val="-3"/>
                      <w:position w:val="2"/>
                      <w:sz w:val="18"/>
                      <w:szCs w:val="18"/>
                    </w:rPr>
                    <w:t>工会经费</w:t>
                  </w:r>
                  <w:r>
                    <w:rPr>
                      <w:rFonts w:ascii="宋体" w:hAnsi="宋体" w:eastAsia="宋体" w:cs="宋体"/>
                      <w:spacing w:val="1"/>
                      <w:position w:val="2"/>
                      <w:sz w:val="18"/>
                      <w:szCs w:val="18"/>
                    </w:rPr>
                    <w:t xml:space="preserve">                               </w:t>
                  </w:r>
                  <w:r>
                    <w:rPr>
                      <w:rFonts w:ascii="宋体" w:hAnsi="宋体" w:eastAsia="宋体" w:cs="宋体"/>
                      <w:spacing w:val="-3"/>
                      <w:position w:val="-4"/>
                      <w:sz w:val="18"/>
                      <w:szCs w:val="18"/>
                    </w:rPr>
                    <w:t>3.其他</w:t>
                  </w:r>
                  <w:r>
                    <w:rPr>
                      <w:rFonts w:ascii="宋体" w:hAnsi="宋体" w:eastAsia="宋体" w:cs="宋体"/>
                      <w:strike/>
                      <w:position w:val="4"/>
                      <w:sz w:val="18"/>
                      <w:szCs w:val="18"/>
                    </w:rPr>
                    <w:tab/>
                  </w:r>
                  <w:r>
                    <w:rPr>
                      <w:rFonts w:ascii="宋体" w:hAnsi="宋体" w:eastAsia="宋体" w:cs="宋体"/>
                      <w:spacing w:val="-50"/>
                      <w:position w:val="4"/>
                      <w:sz w:val="18"/>
                      <w:szCs w:val="18"/>
                    </w:rPr>
                    <w:t xml:space="preserve"> </w:t>
                  </w:r>
                  <w:r>
                    <w:rPr>
                      <w:rFonts w:ascii="宋体" w:hAnsi="宋体" w:eastAsia="宋体" w:cs="宋体"/>
                      <w:spacing w:val="-4"/>
                      <w:position w:val="4"/>
                      <w:sz w:val="18"/>
                      <w:szCs w:val="18"/>
                    </w:rPr>
                    <w:t>利润</w:t>
                  </w:r>
                  <w:r>
                    <w:rPr>
                      <w:rFonts w:ascii="宋体" w:hAnsi="宋体" w:eastAsia="宋体" w:cs="宋体"/>
                      <w:spacing w:val="22"/>
                      <w:position w:val="4"/>
                      <w:sz w:val="18"/>
                      <w:szCs w:val="18"/>
                    </w:rPr>
                    <w:t xml:space="preserve"> </w:t>
                  </w:r>
                  <w:r>
                    <w:rPr>
                      <w:rFonts w:ascii="宋体" w:hAnsi="宋体" w:eastAsia="宋体" w:cs="宋体"/>
                      <w:strike/>
                      <w:spacing w:val="1"/>
                      <w:position w:val="4"/>
                      <w:sz w:val="18"/>
                      <w:szCs w:val="18"/>
                    </w:rPr>
                    <w:t xml:space="preserve">                                              </w:t>
                  </w:r>
                  <w:r>
                    <w:rPr>
                      <w:rFonts w:ascii="宋体" w:hAnsi="宋体" w:eastAsia="宋体" w:cs="宋体"/>
                      <w:spacing w:val="21"/>
                      <w:position w:val="4"/>
                      <w:sz w:val="18"/>
                      <w:szCs w:val="18"/>
                    </w:rPr>
                    <w:t xml:space="preserve">   </w:t>
                  </w:r>
                  <w:r>
                    <w:rPr>
                      <w:rFonts w:ascii="宋体" w:hAnsi="宋体" w:eastAsia="宋体" w:cs="宋体"/>
                      <w:spacing w:val="-4"/>
                      <w:position w:val="-2"/>
                      <w:sz w:val="18"/>
                      <w:szCs w:val="18"/>
                    </w:rPr>
                    <w:t>项目费</w:t>
                  </w:r>
                </w:p>
              </w:txbxContent>
            </v:textbox>
          </v:shape>
        </w:pict>
      </w:r>
      <w:r>
        <w:rPr>
          <w:rFonts w:ascii="宋体" w:hAnsi="宋体" w:eastAsia="宋体" w:cs="宋体"/>
          <w:position w:val="-4"/>
          <w:sz w:val="18"/>
          <w:szCs w:val="18"/>
          <w:u w:val="single" w:color="auto"/>
        </w:rPr>
        <w:tab/>
      </w:r>
      <w:r>
        <w:rPr>
          <w:rFonts w:ascii="宋体" w:hAnsi="宋体" w:eastAsia="宋体" w:cs="宋体"/>
          <w:spacing w:val="-1"/>
          <w:position w:val="-4"/>
          <w:sz w:val="18"/>
          <w:szCs w:val="18"/>
        </w:rPr>
        <w:t>企业管理费</w:t>
      </w:r>
      <w:r>
        <w:rPr>
          <w:rFonts w:ascii="宋体" w:hAnsi="宋体" w:eastAsia="宋体" w:cs="宋体"/>
          <w:spacing w:val="-2"/>
          <w:position w:val="-4"/>
          <w:sz w:val="18"/>
          <w:szCs w:val="18"/>
        </w:rPr>
        <w:t xml:space="preserve"> </w:t>
      </w:r>
      <w:r>
        <w:rPr>
          <w:position w:val="-94"/>
          <w:sz w:val="18"/>
          <w:szCs w:val="18"/>
        </w:rPr>
        <w:drawing>
          <wp:inline distT="0" distB="0" distL="0" distR="0">
            <wp:extent cx="219710" cy="111061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383"/>
                    <a:stretch>
                      <a:fillRect/>
                    </a:stretch>
                  </pic:blipFill>
                  <pic:spPr>
                    <a:xfrm>
                      <a:off x="0" y="0"/>
                      <a:ext cx="220053" cy="1110615"/>
                    </a:xfrm>
                    <a:prstGeom prst="rect">
                      <a:avLst/>
                    </a:prstGeom>
                  </pic:spPr>
                </pic:pic>
              </a:graphicData>
            </a:graphic>
          </wp:inline>
        </w:drawing>
      </w:r>
      <w:r>
        <w:rPr>
          <w:rFonts w:ascii="Times New Roman" w:hAnsi="Times New Roman" w:eastAsia="Times New Roman" w:cs="Times New Roman"/>
          <w:spacing w:val="-1"/>
          <w:position w:val="1"/>
          <w:sz w:val="19"/>
          <w:szCs w:val="19"/>
        </w:rPr>
        <w:t>4.</w:t>
      </w:r>
      <w:r>
        <w:rPr>
          <w:rFonts w:ascii="Times New Roman" w:hAnsi="Times New Roman" w:eastAsia="Times New Roman" w:cs="Times New Roman"/>
          <w:spacing w:val="-27"/>
          <w:position w:val="1"/>
          <w:sz w:val="19"/>
          <w:szCs w:val="19"/>
        </w:rPr>
        <w:t xml:space="preserve"> </w:t>
      </w:r>
      <w:r>
        <w:rPr>
          <w:rFonts w:ascii="宋体" w:hAnsi="宋体" w:eastAsia="宋体" w:cs="宋体"/>
          <w:spacing w:val="-1"/>
          <w:position w:val="1"/>
          <w:sz w:val="18"/>
          <w:szCs w:val="18"/>
        </w:rPr>
        <w:t xml:space="preserve">固定资产使用费       </w:t>
      </w:r>
      <w:r>
        <w:rPr>
          <w:rFonts w:ascii="Times New Roman" w:hAnsi="Times New Roman" w:eastAsia="Times New Roman" w:cs="Times New Roman"/>
          <w:spacing w:val="-1"/>
          <w:position w:val="1"/>
          <w:sz w:val="19"/>
          <w:szCs w:val="19"/>
        </w:rPr>
        <w:t>12.</w:t>
      </w:r>
      <w:r>
        <w:rPr>
          <w:rFonts w:ascii="宋体" w:hAnsi="宋体" w:eastAsia="宋体" w:cs="宋体"/>
          <w:spacing w:val="-1"/>
          <w:position w:val="1"/>
          <w:sz w:val="18"/>
          <w:szCs w:val="18"/>
        </w:rPr>
        <w:t>税金</w:t>
      </w:r>
    </w:p>
    <w:p>
      <w:pPr>
        <w:spacing w:line="388" w:lineRule="auto"/>
        <w:rPr>
          <w:rFonts w:ascii="Arial"/>
          <w:sz w:val="21"/>
        </w:rPr>
      </w:pPr>
      <w:r>
        <w:drawing>
          <wp:anchor distT="0" distB="0" distL="0" distR="0" simplePos="0" relativeHeight="254814208" behindDoc="1" locked="0" layoutInCell="1" allowOverlap="1">
            <wp:simplePos x="0" y="0"/>
            <wp:positionH relativeFrom="column">
              <wp:posOffset>2926080</wp:posOffset>
            </wp:positionH>
            <wp:positionV relativeFrom="paragraph">
              <wp:posOffset>260350</wp:posOffset>
            </wp:positionV>
            <wp:extent cx="75565" cy="587375"/>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384"/>
                    <a:stretch>
                      <a:fillRect/>
                    </a:stretch>
                  </pic:blipFill>
                  <pic:spPr>
                    <a:xfrm>
                      <a:off x="0" y="0"/>
                      <a:ext cx="75323" cy="587375"/>
                    </a:xfrm>
                    <a:prstGeom prst="rect">
                      <a:avLst/>
                    </a:prstGeom>
                  </pic:spPr>
                </pic:pic>
              </a:graphicData>
            </a:graphic>
          </wp:anchor>
        </w:drawing>
      </w:r>
    </w:p>
    <w:p>
      <w:pPr>
        <w:tabs>
          <w:tab w:val="left" w:pos="4616"/>
        </w:tabs>
        <w:spacing w:before="59" w:line="168" w:lineRule="auto"/>
        <w:ind w:left="2828"/>
        <w:rPr>
          <w:rFonts w:ascii="宋体" w:hAnsi="宋体" w:eastAsia="宋体" w:cs="宋体"/>
          <w:sz w:val="18"/>
          <w:szCs w:val="18"/>
        </w:rPr>
      </w:pPr>
      <w:r>
        <w:drawing>
          <wp:anchor distT="0" distB="0" distL="0" distR="0" simplePos="0" relativeHeight="254811136" behindDoc="1" locked="0" layoutInCell="1" allowOverlap="1">
            <wp:simplePos x="0" y="0"/>
            <wp:positionH relativeFrom="column">
              <wp:posOffset>791210</wp:posOffset>
            </wp:positionH>
            <wp:positionV relativeFrom="paragraph">
              <wp:posOffset>76200</wp:posOffset>
            </wp:positionV>
            <wp:extent cx="81280" cy="888365"/>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385"/>
                    <a:stretch>
                      <a:fillRect/>
                    </a:stretch>
                  </pic:blipFill>
                  <pic:spPr>
                    <a:xfrm>
                      <a:off x="0" y="0"/>
                      <a:ext cx="81076" cy="888365"/>
                    </a:xfrm>
                    <a:prstGeom prst="rect">
                      <a:avLst/>
                    </a:prstGeom>
                  </pic:spPr>
                </pic:pic>
              </a:graphicData>
            </a:graphic>
          </wp:anchor>
        </w:drawing>
      </w:r>
      <w:r>
        <w:rPr>
          <w:rFonts w:ascii="宋体" w:hAnsi="宋体" w:eastAsia="宋体" w:cs="宋体"/>
          <w:sz w:val="18"/>
          <w:szCs w:val="18"/>
          <w:u w:val="single" w:color="auto"/>
        </w:rPr>
        <w:tab/>
      </w:r>
      <w:r>
        <w:rPr>
          <w:rFonts w:ascii="宋体" w:hAnsi="宋体" w:eastAsia="宋体" w:cs="宋体"/>
          <w:spacing w:val="24"/>
          <w:sz w:val="18"/>
          <w:szCs w:val="18"/>
        </w:rPr>
        <w:t xml:space="preserve">  </w:t>
      </w:r>
      <w:r>
        <w:rPr>
          <w:rFonts w:ascii="宋体" w:hAnsi="宋体" w:eastAsia="宋体" w:cs="宋体"/>
          <w:spacing w:val="2"/>
          <w:sz w:val="18"/>
          <w:szCs w:val="18"/>
        </w:rPr>
        <w:t>①安全施工费</w:t>
      </w:r>
    </w:p>
    <w:p>
      <w:pPr>
        <w:spacing w:before="1" w:line="159" w:lineRule="auto"/>
        <w:ind w:left="1385"/>
        <w:rPr>
          <w:rFonts w:ascii="宋体" w:hAnsi="宋体" w:eastAsia="宋体" w:cs="宋体"/>
          <w:sz w:val="18"/>
          <w:szCs w:val="18"/>
        </w:rPr>
      </w:pPr>
      <w:r>
        <w:drawing>
          <wp:anchor distT="0" distB="0" distL="0" distR="0" simplePos="0" relativeHeight="254813184" behindDoc="1" locked="0" layoutInCell="1" allowOverlap="1">
            <wp:simplePos x="0" y="0"/>
            <wp:positionH relativeFrom="column">
              <wp:posOffset>2032000</wp:posOffset>
            </wp:positionH>
            <wp:positionV relativeFrom="paragraph">
              <wp:posOffset>67945</wp:posOffset>
            </wp:positionV>
            <wp:extent cx="70485" cy="691515"/>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386"/>
                    <a:stretch>
                      <a:fillRect/>
                    </a:stretch>
                  </pic:blipFill>
                  <pic:spPr>
                    <a:xfrm>
                      <a:off x="0" y="0"/>
                      <a:ext cx="70268" cy="691515"/>
                    </a:xfrm>
                    <a:prstGeom prst="rect">
                      <a:avLst/>
                    </a:prstGeom>
                  </pic:spPr>
                </pic:pic>
              </a:graphicData>
            </a:graphic>
          </wp:anchor>
        </w:drawing>
      </w:r>
      <w:r>
        <w:rPr>
          <w:rFonts w:ascii="宋体" w:hAnsi="宋体" w:eastAsia="宋体" w:cs="宋体"/>
          <w:position w:val="5"/>
          <w:sz w:val="18"/>
          <w:szCs w:val="18"/>
        </w:rPr>
        <w:t>1.安全文明施</w:t>
      </w:r>
      <w:r>
        <w:rPr>
          <w:rFonts w:ascii="宋体" w:hAnsi="宋体" w:eastAsia="宋体" w:cs="宋体"/>
          <w:position w:val="5"/>
          <w:sz w:val="18"/>
          <w:szCs w:val="18"/>
          <w:u w:val="single" w:color="auto"/>
        </w:rPr>
        <w:t xml:space="preserve">工费    </w:t>
      </w:r>
      <w:r>
        <w:rPr>
          <w:rFonts w:ascii="宋体" w:hAnsi="宋体" w:eastAsia="宋体" w:cs="宋体"/>
          <w:position w:val="5"/>
          <w:sz w:val="18"/>
          <w:szCs w:val="18"/>
        </w:rPr>
        <w:t xml:space="preserve">  </w:t>
      </w:r>
      <w:r>
        <w:rPr>
          <w:rFonts w:ascii="宋体" w:hAnsi="宋体" w:eastAsia="宋体" w:cs="宋体"/>
          <w:position w:val="-4"/>
          <w:sz w:val="18"/>
          <w:szCs w:val="18"/>
        </w:rPr>
        <w:t>①养老保险费</w:t>
      </w:r>
      <w:r>
        <w:rPr>
          <w:rFonts w:ascii="宋体" w:hAnsi="宋体" w:eastAsia="宋体" w:cs="宋体"/>
          <w:spacing w:val="8"/>
          <w:position w:val="-4"/>
          <w:sz w:val="18"/>
          <w:szCs w:val="18"/>
        </w:rPr>
        <w:t xml:space="preserve">    </w:t>
      </w:r>
      <w:r>
        <w:rPr>
          <w:rFonts w:ascii="宋体" w:hAnsi="宋体" w:eastAsia="宋体" w:cs="宋体"/>
          <w:position w:val="-2"/>
          <w:sz w:val="18"/>
          <w:szCs w:val="18"/>
        </w:rPr>
        <w:t>②环境</w:t>
      </w:r>
      <w:r>
        <w:rPr>
          <w:rFonts w:ascii="宋体" w:hAnsi="宋体" w:eastAsia="宋体" w:cs="宋体"/>
          <w:spacing w:val="-1"/>
          <w:position w:val="-2"/>
          <w:sz w:val="18"/>
          <w:szCs w:val="18"/>
        </w:rPr>
        <w:t>保护费</w:t>
      </w:r>
    </w:p>
    <w:p>
      <w:pPr>
        <w:spacing w:before="2" w:line="125" w:lineRule="auto"/>
        <w:ind w:left="313" w:right="3211" w:firstLine="1061"/>
        <w:rPr>
          <w:rFonts w:ascii="宋体" w:hAnsi="宋体" w:eastAsia="宋体" w:cs="宋体"/>
          <w:sz w:val="18"/>
          <w:szCs w:val="18"/>
        </w:rPr>
      </w:pPr>
      <w:r>
        <w:rPr>
          <w:rFonts w:ascii="宋体" w:hAnsi="宋体" w:eastAsia="宋体" w:cs="宋体"/>
          <w:position w:val="5"/>
          <w:sz w:val="18"/>
          <w:szCs w:val="18"/>
        </w:rPr>
        <w:t xml:space="preserve">2.社会保险费          </w:t>
      </w:r>
      <w:r>
        <w:rPr>
          <w:rFonts w:ascii="宋体" w:hAnsi="宋体" w:eastAsia="宋体" w:cs="宋体"/>
          <w:position w:val="-3"/>
          <w:sz w:val="18"/>
          <w:szCs w:val="18"/>
        </w:rPr>
        <w:t>②失业保险费</w:t>
      </w:r>
      <w:r>
        <w:rPr>
          <w:rFonts w:ascii="宋体" w:hAnsi="宋体" w:eastAsia="宋体" w:cs="宋体"/>
          <w:spacing w:val="10"/>
          <w:position w:val="-3"/>
          <w:sz w:val="18"/>
          <w:szCs w:val="18"/>
        </w:rPr>
        <w:t xml:space="preserve">    </w:t>
      </w:r>
      <w:r>
        <w:rPr>
          <w:rFonts w:ascii="宋体" w:hAnsi="宋体" w:eastAsia="宋体" w:cs="宋体"/>
          <w:position w:val="-2"/>
          <w:sz w:val="18"/>
          <w:szCs w:val="18"/>
        </w:rPr>
        <w:t>③文明施工费</w:t>
      </w:r>
      <w:r>
        <w:rPr>
          <w:rFonts w:ascii="Arial" w:hAnsi="Arial" w:eastAsia="Arial" w:cs="Arial"/>
          <w:position w:val="7"/>
          <w:sz w:val="25"/>
          <w:szCs w:val="25"/>
        </w:rPr>
        <w:t xml:space="preserve">— </w:t>
      </w:r>
      <w:r>
        <w:rPr>
          <w:rFonts w:ascii="宋体" w:hAnsi="宋体" w:eastAsia="宋体" w:cs="宋体"/>
          <w:position w:val="3"/>
          <w:sz w:val="18"/>
          <w:szCs w:val="18"/>
        </w:rPr>
        <w:t>规费</w:t>
      </w:r>
      <w:r>
        <w:rPr>
          <w:rFonts w:ascii="宋体" w:hAnsi="宋体" w:eastAsia="宋体" w:cs="宋体"/>
          <w:spacing w:val="-66"/>
          <w:position w:val="3"/>
          <w:sz w:val="18"/>
          <w:szCs w:val="18"/>
        </w:rPr>
        <w:t xml:space="preserve"> </w:t>
      </w:r>
      <w:r>
        <w:rPr>
          <w:rFonts w:ascii="宋体" w:hAnsi="宋体" w:eastAsia="宋体" w:cs="宋体"/>
          <w:strike/>
          <w:spacing w:val="37"/>
          <w:position w:val="3"/>
          <w:sz w:val="18"/>
          <w:szCs w:val="18"/>
        </w:rPr>
        <w:t xml:space="preserve">  </w:t>
      </w:r>
      <w:r>
        <w:rPr>
          <w:rFonts w:ascii="宋体" w:hAnsi="宋体" w:eastAsia="宋体" w:cs="宋体"/>
          <w:spacing w:val="29"/>
          <w:position w:val="3"/>
          <w:sz w:val="18"/>
          <w:szCs w:val="18"/>
        </w:rPr>
        <w:t xml:space="preserve"> </w:t>
      </w:r>
      <w:r>
        <w:rPr>
          <w:rFonts w:ascii="宋体" w:hAnsi="宋体" w:eastAsia="宋体" w:cs="宋体"/>
          <w:position w:val="3"/>
          <w:sz w:val="18"/>
          <w:szCs w:val="18"/>
        </w:rPr>
        <w:t xml:space="preserve">3.建设项目工伤保险    </w:t>
      </w:r>
      <w:r>
        <w:rPr>
          <w:rFonts w:ascii="宋体" w:hAnsi="宋体" w:eastAsia="宋体" w:cs="宋体"/>
          <w:position w:val="-5"/>
          <w:sz w:val="18"/>
          <w:szCs w:val="18"/>
        </w:rPr>
        <w:t>③医疗保险</w:t>
      </w:r>
      <w:r>
        <w:rPr>
          <w:rFonts w:ascii="宋体" w:hAnsi="宋体" w:eastAsia="宋体" w:cs="宋体"/>
          <w:spacing w:val="-1"/>
          <w:position w:val="-5"/>
          <w:sz w:val="18"/>
          <w:szCs w:val="18"/>
        </w:rPr>
        <w:t>费</w:t>
      </w:r>
      <w:r>
        <w:rPr>
          <w:rFonts w:ascii="宋体" w:hAnsi="宋体" w:eastAsia="宋体" w:cs="宋体"/>
          <w:spacing w:val="8"/>
          <w:position w:val="-5"/>
          <w:sz w:val="18"/>
          <w:szCs w:val="18"/>
        </w:rPr>
        <w:t xml:space="preserve">    </w:t>
      </w:r>
      <w:r>
        <w:rPr>
          <w:rFonts w:ascii="宋体" w:hAnsi="宋体" w:eastAsia="宋体" w:cs="宋体"/>
          <w:spacing w:val="-1"/>
          <w:position w:val="-3"/>
          <w:sz w:val="18"/>
          <w:szCs w:val="18"/>
        </w:rPr>
        <w:t>④临时设施费</w:t>
      </w:r>
    </w:p>
    <w:p>
      <w:pPr>
        <w:spacing w:line="161" w:lineRule="auto"/>
        <w:ind w:left="1371"/>
        <w:rPr>
          <w:rFonts w:ascii="宋体" w:hAnsi="宋体" w:eastAsia="宋体" w:cs="宋体"/>
          <w:sz w:val="18"/>
          <w:szCs w:val="18"/>
        </w:rPr>
      </w:pPr>
      <w:r>
        <w:rPr>
          <w:rFonts w:ascii="宋体" w:hAnsi="宋体" w:eastAsia="宋体" w:cs="宋体"/>
          <w:spacing w:val="-1"/>
          <w:position w:val="4"/>
          <w:sz w:val="18"/>
          <w:szCs w:val="18"/>
        </w:rPr>
        <w:t>4.优质优价费</w:t>
      </w:r>
      <w:r>
        <w:rPr>
          <w:rFonts w:ascii="宋体" w:hAnsi="宋体" w:eastAsia="宋体" w:cs="宋体"/>
          <w:spacing w:val="2"/>
          <w:position w:val="4"/>
          <w:sz w:val="18"/>
          <w:szCs w:val="18"/>
        </w:rPr>
        <w:t xml:space="preserve">          </w:t>
      </w:r>
      <w:r>
        <w:rPr>
          <w:rFonts w:ascii="宋体" w:hAnsi="宋体" w:eastAsia="宋体" w:cs="宋体"/>
          <w:spacing w:val="-1"/>
          <w:position w:val="-4"/>
          <w:sz w:val="18"/>
          <w:szCs w:val="18"/>
        </w:rPr>
        <w:t>④生育保险费</w:t>
      </w:r>
    </w:p>
    <w:p>
      <w:pPr>
        <w:spacing w:before="1" w:line="223" w:lineRule="auto"/>
        <w:ind w:left="1376"/>
        <w:rPr>
          <w:rFonts w:ascii="宋体" w:hAnsi="宋体" w:eastAsia="宋体" w:cs="宋体"/>
          <w:sz w:val="18"/>
          <w:szCs w:val="18"/>
        </w:rPr>
      </w:pPr>
      <w:r>
        <w:rPr>
          <w:rFonts w:ascii="宋体" w:hAnsi="宋体" w:eastAsia="宋体" w:cs="宋体"/>
          <w:spacing w:val="-2"/>
          <w:position w:val="3"/>
          <w:sz w:val="18"/>
          <w:szCs w:val="18"/>
        </w:rPr>
        <w:t>5.住房公积金</w:t>
      </w:r>
      <w:r>
        <w:rPr>
          <w:rFonts w:ascii="宋体" w:hAnsi="宋体" w:eastAsia="宋体" w:cs="宋体"/>
          <w:spacing w:val="3"/>
          <w:position w:val="3"/>
          <w:sz w:val="18"/>
          <w:szCs w:val="18"/>
        </w:rPr>
        <w:t xml:space="preserve">          </w:t>
      </w:r>
      <w:r>
        <w:rPr>
          <w:rFonts w:ascii="宋体" w:hAnsi="宋体" w:eastAsia="宋体" w:cs="宋体"/>
          <w:spacing w:val="-2"/>
          <w:position w:val="-3"/>
          <w:sz w:val="18"/>
          <w:szCs w:val="18"/>
        </w:rPr>
        <w:t>⑤工伤保险费</w:t>
      </w:r>
    </w:p>
    <w:p>
      <w:pPr>
        <w:spacing w:line="295" w:lineRule="auto"/>
        <w:rPr>
          <w:rFonts w:ascii="Arial"/>
          <w:sz w:val="21"/>
        </w:rPr>
      </w:pPr>
    </w:p>
    <w:p>
      <w:pPr>
        <w:tabs>
          <w:tab w:val="left" w:pos="512"/>
        </w:tabs>
        <w:spacing w:before="59" w:line="223" w:lineRule="auto"/>
        <w:ind w:left="334"/>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22"/>
          <w:sz w:val="18"/>
          <w:szCs w:val="18"/>
        </w:rPr>
        <w:t xml:space="preserve"> </w:t>
      </w:r>
      <w:r>
        <w:rPr>
          <w:rFonts w:ascii="宋体" w:hAnsi="宋体" w:eastAsia="宋体" w:cs="宋体"/>
          <w:spacing w:val="-3"/>
          <w:sz w:val="18"/>
          <w:szCs w:val="18"/>
        </w:rPr>
        <w:t>税金</w:t>
      </w:r>
      <w:r>
        <w:rPr>
          <w:rFonts w:ascii="宋体" w:hAnsi="宋体" w:eastAsia="宋体" w:cs="宋体"/>
          <w:spacing w:val="21"/>
          <w:sz w:val="18"/>
          <w:szCs w:val="18"/>
        </w:rPr>
        <w:t xml:space="preserve"> </w:t>
      </w:r>
      <w:r>
        <w:rPr>
          <w:rFonts w:ascii="宋体" w:hAnsi="宋体" w:eastAsia="宋体" w:cs="宋体"/>
          <w:strike/>
          <w:spacing w:val="3"/>
          <w:sz w:val="18"/>
          <w:szCs w:val="18"/>
        </w:rPr>
        <w:t xml:space="preserve">        </w:t>
      </w:r>
      <w:r>
        <w:rPr>
          <w:rFonts w:ascii="宋体" w:hAnsi="宋体" w:eastAsia="宋体" w:cs="宋体"/>
          <w:spacing w:val="-11"/>
          <w:sz w:val="18"/>
          <w:szCs w:val="18"/>
        </w:rPr>
        <w:t xml:space="preserve"> </w:t>
      </w:r>
      <w:r>
        <w:rPr>
          <w:rFonts w:ascii="宋体" w:hAnsi="宋体" w:eastAsia="宋体" w:cs="宋体"/>
          <w:spacing w:val="-3"/>
          <w:sz w:val="18"/>
          <w:szCs w:val="18"/>
        </w:rPr>
        <w:t>增值税</w:t>
      </w:r>
    </w:p>
    <w:p>
      <w:pPr>
        <w:spacing w:line="223" w:lineRule="auto"/>
        <w:rPr>
          <w:rFonts w:ascii="宋体" w:hAnsi="宋体" w:eastAsia="宋体" w:cs="宋体"/>
          <w:sz w:val="18"/>
          <w:szCs w:val="18"/>
        </w:rPr>
        <w:sectPr>
          <w:footerReference r:id="rId107" w:type="default"/>
          <w:pgSz w:w="11905" w:h="16840"/>
          <w:pgMar w:top="400" w:right="1416" w:bottom="1213" w:left="1358" w:header="0" w:footer="898" w:gutter="0"/>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2"/>
        <w:spacing w:before="103" w:line="201" w:lineRule="auto"/>
        <w:ind w:left="2560"/>
        <w:rPr>
          <w:sz w:val="24"/>
          <w:szCs w:val="24"/>
        </w:rPr>
      </w:pPr>
      <w:r>
        <w:rPr>
          <w:spacing w:val="-3"/>
          <w:sz w:val="24"/>
          <w:szCs w:val="24"/>
        </w:rPr>
        <w:t>附表2</w:t>
      </w:r>
      <w:r>
        <w:rPr>
          <w:spacing w:val="14"/>
          <w:sz w:val="24"/>
          <w:szCs w:val="24"/>
        </w:rPr>
        <w:t xml:space="preserve">   </w:t>
      </w:r>
      <w:r>
        <w:rPr>
          <w:spacing w:val="-3"/>
          <w:sz w:val="24"/>
          <w:szCs w:val="24"/>
        </w:rPr>
        <w:t>建</w:t>
      </w:r>
      <w:r>
        <w:rPr>
          <w:spacing w:val="-20"/>
          <w:sz w:val="24"/>
          <w:szCs w:val="24"/>
        </w:rPr>
        <w:t xml:space="preserve"> </w:t>
      </w:r>
      <w:r>
        <w:rPr>
          <w:spacing w:val="-3"/>
          <w:sz w:val="24"/>
          <w:szCs w:val="24"/>
        </w:rPr>
        <w:t>设</w:t>
      </w:r>
      <w:r>
        <w:rPr>
          <w:spacing w:val="-17"/>
          <w:sz w:val="24"/>
          <w:szCs w:val="24"/>
        </w:rPr>
        <w:t xml:space="preserve"> </w:t>
      </w:r>
      <w:r>
        <w:rPr>
          <w:spacing w:val="-3"/>
          <w:sz w:val="24"/>
          <w:szCs w:val="24"/>
        </w:rPr>
        <w:t>工</w:t>
      </w:r>
      <w:r>
        <w:rPr>
          <w:spacing w:val="-17"/>
          <w:sz w:val="24"/>
          <w:szCs w:val="24"/>
        </w:rPr>
        <w:t xml:space="preserve"> </w:t>
      </w:r>
      <w:r>
        <w:rPr>
          <w:spacing w:val="-3"/>
          <w:sz w:val="24"/>
          <w:szCs w:val="24"/>
        </w:rPr>
        <w:t>程</w:t>
      </w:r>
      <w:r>
        <w:rPr>
          <w:spacing w:val="-17"/>
          <w:sz w:val="24"/>
          <w:szCs w:val="24"/>
        </w:rPr>
        <w:t xml:space="preserve"> </w:t>
      </w:r>
      <w:r>
        <w:rPr>
          <w:spacing w:val="-3"/>
          <w:sz w:val="24"/>
          <w:szCs w:val="24"/>
        </w:rPr>
        <w:t>费</w:t>
      </w:r>
      <w:r>
        <w:rPr>
          <w:spacing w:val="-19"/>
          <w:sz w:val="24"/>
          <w:szCs w:val="24"/>
        </w:rPr>
        <w:t xml:space="preserve"> </w:t>
      </w:r>
      <w:r>
        <w:rPr>
          <w:spacing w:val="-3"/>
          <w:sz w:val="24"/>
          <w:szCs w:val="24"/>
        </w:rPr>
        <w:t>用</w:t>
      </w:r>
      <w:r>
        <w:rPr>
          <w:spacing w:val="-21"/>
          <w:sz w:val="24"/>
          <w:szCs w:val="24"/>
        </w:rPr>
        <w:t xml:space="preserve"> </w:t>
      </w:r>
      <w:r>
        <w:rPr>
          <w:spacing w:val="-3"/>
          <w:sz w:val="24"/>
          <w:szCs w:val="24"/>
        </w:rPr>
        <w:t>项目</w:t>
      </w:r>
      <w:r>
        <w:rPr>
          <w:spacing w:val="-17"/>
          <w:sz w:val="24"/>
          <w:szCs w:val="24"/>
        </w:rPr>
        <w:t xml:space="preserve"> </w:t>
      </w:r>
      <w:r>
        <w:rPr>
          <w:spacing w:val="-3"/>
          <w:sz w:val="24"/>
          <w:szCs w:val="24"/>
        </w:rPr>
        <w:t>组</w:t>
      </w:r>
      <w:r>
        <w:rPr>
          <w:spacing w:val="-26"/>
          <w:sz w:val="24"/>
          <w:szCs w:val="24"/>
        </w:rPr>
        <w:t xml:space="preserve"> </w:t>
      </w:r>
      <w:r>
        <w:rPr>
          <w:spacing w:val="-3"/>
          <w:sz w:val="24"/>
          <w:szCs w:val="24"/>
        </w:rPr>
        <w:t>成</w:t>
      </w:r>
      <w:r>
        <w:rPr>
          <w:spacing w:val="-24"/>
          <w:sz w:val="24"/>
          <w:szCs w:val="24"/>
        </w:rPr>
        <w:t xml:space="preserve"> </w:t>
      </w:r>
      <w:r>
        <w:rPr>
          <w:spacing w:val="-3"/>
          <w:sz w:val="24"/>
          <w:szCs w:val="24"/>
        </w:rPr>
        <w:t>表</w:t>
      </w:r>
    </w:p>
    <w:p>
      <w:pPr>
        <w:spacing w:before="49" w:line="276" w:lineRule="exact"/>
        <w:ind w:left="3403"/>
        <w:rPr>
          <w:rFonts w:ascii="宋体" w:hAnsi="宋体" w:eastAsia="宋体" w:cs="宋体"/>
          <w:sz w:val="20"/>
          <w:szCs w:val="20"/>
        </w:rPr>
      </w:pPr>
      <w:r>
        <w:rPr>
          <w:rFonts w:ascii="宋体" w:hAnsi="宋体" w:eastAsia="宋体" w:cs="宋体"/>
          <w:spacing w:val="32"/>
          <w:position w:val="1"/>
          <w:sz w:val="20"/>
          <w:szCs w:val="20"/>
        </w:rPr>
        <w:t>（</w:t>
      </w:r>
      <w:r>
        <w:rPr>
          <w:rFonts w:ascii="宋体" w:hAnsi="宋体" w:eastAsia="宋体" w:cs="宋体"/>
          <w:spacing w:val="-26"/>
          <w:position w:val="1"/>
          <w:sz w:val="20"/>
          <w:szCs w:val="20"/>
        </w:rPr>
        <w:t xml:space="preserve"> </w:t>
      </w:r>
      <w:r>
        <w:rPr>
          <w:rFonts w:ascii="宋体" w:hAnsi="宋体" w:eastAsia="宋体" w:cs="宋体"/>
          <w:spacing w:val="32"/>
          <w:position w:val="1"/>
          <w:sz w:val="20"/>
          <w:szCs w:val="20"/>
        </w:rPr>
        <w:t>按造价形成划分</w:t>
      </w:r>
      <w:r>
        <w:rPr>
          <w:rFonts w:ascii="宋体" w:hAnsi="宋体" w:eastAsia="宋体" w:cs="宋体"/>
          <w:spacing w:val="-32"/>
          <w:position w:val="1"/>
          <w:sz w:val="20"/>
          <w:szCs w:val="20"/>
        </w:rPr>
        <w:t xml:space="preserve"> </w:t>
      </w:r>
      <w:r>
        <w:rPr>
          <w:rFonts w:ascii="宋体" w:hAnsi="宋体" w:eastAsia="宋体" w:cs="宋体"/>
          <w:spacing w:val="32"/>
          <w:position w:val="1"/>
          <w:sz w:val="20"/>
          <w:szCs w:val="20"/>
        </w:rPr>
        <w:t>）</w:t>
      </w:r>
    </w:p>
    <w:p>
      <w:pPr>
        <w:spacing w:line="280" w:lineRule="auto"/>
        <w:rPr>
          <w:rFonts w:ascii="Arial"/>
          <w:sz w:val="21"/>
        </w:rPr>
      </w:pPr>
    </w:p>
    <w:p>
      <w:pPr>
        <w:spacing w:line="281" w:lineRule="auto"/>
        <w:rPr>
          <w:rFonts w:ascii="Arial"/>
          <w:sz w:val="21"/>
        </w:rPr>
      </w:pPr>
      <w:r>
        <w:drawing>
          <wp:anchor distT="0" distB="0" distL="0" distR="0" simplePos="0" relativeHeight="254848000" behindDoc="1" locked="0" layoutInCell="1" allowOverlap="1">
            <wp:simplePos x="0" y="0"/>
            <wp:positionH relativeFrom="column">
              <wp:posOffset>3526790</wp:posOffset>
            </wp:positionH>
            <wp:positionV relativeFrom="paragraph">
              <wp:posOffset>189230</wp:posOffset>
            </wp:positionV>
            <wp:extent cx="468630" cy="531749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387"/>
                    <a:stretch>
                      <a:fillRect/>
                    </a:stretch>
                  </pic:blipFill>
                  <pic:spPr>
                    <a:xfrm>
                      <a:off x="0" y="0"/>
                      <a:ext cx="468452" cy="5317464"/>
                    </a:xfrm>
                    <a:prstGeom prst="rect">
                      <a:avLst/>
                    </a:prstGeom>
                  </pic:spPr>
                </pic:pic>
              </a:graphicData>
            </a:graphic>
          </wp:anchor>
        </w:drawing>
      </w:r>
    </w:p>
    <w:p>
      <w:pPr>
        <w:spacing w:before="59" w:line="219" w:lineRule="auto"/>
        <w:ind w:left="5789"/>
        <w:rPr>
          <w:rFonts w:ascii="宋体" w:hAnsi="宋体" w:eastAsia="宋体" w:cs="宋体"/>
          <w:sz w:val="18"/>
          <w:szCs w:val="18"/>
        </w:rPr>
      </w:pPr>
      <w:r>
        <w:rPr>
          <w:rFonts w:ascii="宋体" w:hAnsi="宋体" w:eastAsia="宋体" w:cs="宋体"/>
          <w:spacing w:val="-5"/>
          <w:sz w:val="18"/>
          <w:szCs w:val="18"/>
        </w:rPr>
        <w:t>1.人工费</w:t>
      </w:r>
    </w:p>
    <w:p>
      <w:pPr>
        <w:spacing w:before="265" w:line="221" w:lineRule="auto"/>
        <w:ind w:left="2220"/>
        <w:rPr>
          <w:rFonts w:ascii="宋体" w:hAnsi="宋体" w:eastAsia="宋体" w:cs="宋体"/>
          <w:sz w:val="18"/>
          <w:szCs w:val="18"/>
        </w:rPr>
      </w:pPr>
      <w:r>
        <w:drawing>
          <wp:anchor distT="0" distB="0" distL="0" distR="0" simplePos="0" relativeHeight="254867456" behindDoc="0" locked="0" layoutInCell="1" allowOverlap="1">
            <wp:simplePos x="0" y="0"/>
            <wp:positionH relativeFrom="column">
              <wp:posOffset>1301115</wp:posOffset>
            </wp:positionH>
            <wp:positionV relativeFrom="paragraph">
              <wp:posOffset>55880</wp:posOffset>
            </wp:positionV>
            <wp:extent cx="121285" cy="1461135"/>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388"/>
                    <a:stretch>
                      <a:fillRect/>
                    </a:stretch>
                  </pic:blipFill>
                  <pic:spPr>
                    <a:xfrm>
                      <a:off x="0" y="0"/>
                      <a:ext cx="121094" cy="1461134"/>
                    </a:xfrm>
                    <a:prstGeom prst="rect">
                      <a:avLst/>
                    </a:prstGeom>
                  </pic:spPr>
                </pic:pic>
              </a:graphicData>
            </a:graphic>
          </wp:anchor>
        </w:drawing>
      </w:r>
      <w:r>
        <w:rPr>
          <w:rFonts w:ascii="宋体" w:hAnsi="宋体" w:eastAsia="宋体" w:cs="宋体"/>
          <w:spacing w:val="-2"/>
          <w:sz w:val="18"/>
          <w:szCs w:val="18"/>
        </w:rPr>
        <w:t>1.房屋建筑与装饰工程</w:t>
      </w:r>
    </w:p>
    <w:p>
      <w:pPr>
        <w:spacing w:before="17" w:line="221" w:lineRule="auto"/>
        <w:ind w:left="2217"/>
        <w:rPr>
          <w:rFonts w:ascii="宋体" w:hAnsi="宋体" w:eastAsia="宋体" w:cs="宋体"/>
          <w:sz w:val="18"/>
          <w:szCs w:val="18"/>
        </w:rPr>
      </w:pPr>
      <w:r>
        <w:pict>
          <v:shape id="_x0000_s1051" o:spid="_x0000_s1051" o:spt="202" type="#_x0000_t202" style="position:absolute;left:0pt;margin-left:21.15pt;margin-top:7.3pt;height:12.7pt;width:82.75pt;z-index:254857216;mso-width-relative:page;mso-height-relative:page;" filled="f" stroked="f" coordsize="21600,21600">
            <v:path/>
            <v:fill on="f" focussize="0,0"/>
            <v:stroke on="f"/>
            <v:imagedata o:title=""/>
            <o:lock v:ext="edit" aspectratio="f"/>
            <v:textbox inset="0mm,0mm,0mm,0mm">
              <w:txbxContent>
                <w:p>
                  <w:pPr>
                    <w:tabs>
                      <w:tab w:val="left" w:pos="186"/>
                    </w:tabs>
                    <w:spacing w:before="20" w:line="219" w:lineRule="auto"/>
                    <w:ind w:left="20"/>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49"/>
                      <w:sz w:val="18"/>
                      <w:szCs w:val="18"/>
                    </w:rPr>
                    <w:t xml:space="preserve"> </w:t>
                  </w:r>
                  <w:r>
                    <w:rPr>
                      <w:rFonts w:ascii="宋体" w:hAnsi="宋体" w:eastAsia="宋体" w:cs="宋体"/>
                      <w:spacing w:val="-2"/>
                      <w:sz w:val="18"/>
                      <w:szCs w:val="18"/>
                    </w:rPr>
                    <w:t>分部分项工程费</w:t>
                  </w:r>
                  <w:r>
                    <w:rPr>
                      <w:rFonts w:ascii="宋体" w:hAnsi="宋体" w:eastAsia="宋体" w:cs="宋体"/>
                      <w:strike/>
                      <w:sz w:val="18"/>
                      <w:szCs w:val="18"/>
                    </w:rPr>
                    <w:t xml:space="preserve">  </w:t>
                  </w:r>
                </w:p>
              </w:txbxContent>
            </v:textbox>
          </v:shape>
        </w:pict>
      </w:r>
      <w:r>
        <w:rPr>
          <w:rFonts w:ascii="宋体" w:hAnsi="宋体" w:eastAsia="宋体" w:cs="宋体"/>
          <w:spacing w:val="-2"/>
          <w:sz w:val="18"/>
          <w:szCs w:val="18"/>
        </w:rPr>
        <w:t>（1）土石方工程</w:t>
      </w:r>
    </w:p>
    <w:p>
      <w:pPr>
        <w:spacing w:before="17" w:line="221" w:lineRule="auto"/>
        <w:ind w:left="2217"/>
        <w:rPr>
          <w:rFonts w:ascii="宋体" w:hAnsi="宋体" w:eastAsia="宋体" w:cs="宋体"/>
          <w:sz w:val="18"/>
          <w:szCs w:val="18"/>
        </w:rPr>
      </w:pPr>
      <w:r>
        <w:drawing>
          <wp:anchor distT="0" distB="0" distL="0" distR="0" simplePos="0" relativeHeight="254864384" behindDoc="0" locked="0" layoutInCell="1" allowOverlap="1">
            <wp:simplePos x="0" y="0"/>
            <wp:positionH relativeFrom="column">
              <wp:posOffset>3025775</wp:posOffset>
            </wp:positionH>
            <wp:positionV relativeFrom="paragraph">
              <wp:posOffset>81280</wp:posOffset>
            </wp:positionV>
            <wp:extent cx="481965" cy="9525"/>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389"/>
                    <a:stretch>
                      <a:fillRect/>
                    </a:stretch>
                  </pic:blipFill>
                  <pic:spPr>
                    <a:xfrm>
                      <a:off x="0" y="0"/>
                      <a:ext cx="481965" cy="9525"/>
                    </a:xfrm>
                    <a:prstGeom prst="rect">
                      <a:avLst/>
                    </a:prstGeom>
                  </pic:spPr>
                </pic:pic>
              </a:graphicData>
            </a:graphic>
          </wp:anchor>
        </w:drawing>
      </w:r>
      <w:r>
        <w:rPr>
          <w:rFonts w:ascii="宋体" w:hAnsi="宋体" w:eastAsia="宋体" w:cs="宋体"/>
          <w:spacing w:val="-2"/>
          <w:sz w:val="18"/>
          <w:szCs w:val="18"/>
        </w:rPr>
        <w:t>（2）地基处理与边坡支护工程</w:t>
      </w:r>
    </w:p>
    <w:p>
      <w:pPr>
        <w:spacing w:before="18"/>
        <w:ind w:left="2398" w:right="5148" w:hanging="181"/>
        <w:rPr>
          <w:rFonts w:ascii="宋体" w:hAnsi="宋体" w:eastAsia="宋体" w:cs="宋体"/>
          <w:sz w:val="18"/>
          <w:szCs w:val="18"/>
        </w:rPr>
      </w:pPr>
      <w:r>
        <w:rPr>
          <w:rFonts w:ascii="宋体" w:hAnsi="宋体" w:eastAsia="宋体" w:cs="宋体"/>
          <w:spacing w:val="-2"/>
          <w:sz w:val="18"/>
          <w:szCs w:val="18"/>
        </w:rPr>
        <w:t>（3）桩基础工程</w:t>
      </w:r>
      <w:r>
        <w:rPr>
          <w:rFonts w:ascii="宋体" w:hAnsi="宋体" w:eastAsia="宋体" w:cs="宋体"/>
          <w:spacing w:val="-10"/>
          <w:sz w:val="18"/>
          <w:szCs w:val="18"/>
        </w:rPr>
        <w:t>……</w:t>
      </w:r>
    </w:p>
    <w:p>
      <w:pPr>
        <w:spacing w:line="220" w:lineRule="auto"/>
        <w:ind w:left="2209"/>
        <w:rPr>
          <w:rFonts w:ascii="宋体" w:hAnsi="宋体" w:eastAsia="宋体" w:cs="宋体"/>
          <w:sz w:val="18"/>
          <w:szCs w:val="18"/>
        </w:rPr>
      </w:pPr>
      <w:r>
        <w:pict>
          <v:shape id="_x0000_s1052" o:spid="_x0000_s1052" o:spt="202" type="#_x0000_t202" style="position:absolute;left:0pt;margin-left:287.9pt;margin-top:10pt;height:12.7pt;width:37.55pt;z-index:254861312;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2"/>
                      <w:sz w:val="18"/>
                      <w:szCs w:val="18"/>
                    </w:rPr>
                    <w:t>2.材料费</w:t>
                  </w:r>
                </w:p>
              </w:txbxContent>
            </v:textbox>
          </v:shape>
        </w:pict>
      </w:r>
      <w:r>
        <w:rPr>
          <w:rFonts w:ascii="宋体" w:hAnsi="宋体" w:eastAsia="宋体" w:cs="宋体"/>
          <w:spacing w:val="-2"/>
          <w:sz w:val="18"/>
          <w:szCs w:val="18"/>
        </w:rPr>
        <w:t>2.通用安装工程</w:t>
      </w:r>
    </w:p>
    <w:p>
      <w:pPr>
        <w:spacing w:before="18" w:line="220" w:lineRule="auto"/>
        <w:ind w:left="2210"/>
        <w:rPr>
          <w:rFonts w:ascii="宋体" w:hAnsi="宋体" w:eastAsia="宋体" w:cs="宋体"/>
          <w:sz w:val="18"/>
          <w:szCs w:val="18"/>
        </w:rPr>
      </w:pPr>
      <w:r>
        <w:rPr>
          <w:rFonts w:ascii="宋体" w:hAnsi="宋体" w:eastAsia="宋体" w:cs="宋体"/>
          <w:spacing w:val="-2"/>
          <w:sz w:val="18"/>
          <w:szCs w:val="18"/>
        </w:rPr>
        <w:t>3.市政工程</w:t>
      </w:r>
    </w:p>
    <w:p>
      <w:pPr>
        <w:spacing w:before="21" w:line="264" w:lineRule="auto"/>
        <w:ind w:left="2218" w:right="5240" w:hanging="12"/>
        <w:rPr>
          <w:rFonts w:ascii="宋体" w:hAnsi="宋体" w:eastAsia="宋体" w:cs="宋体"/>
          <w:sz w:val="18"/>
          <w:szCs w:val="18"/>
        </w:rPr>
      </w:pPr>
      <w:r>
        <w:drawing>
          <wp:anchor distT="0" distB="0" distL="0" distR="0" simplePos="0" relativeHeight="254850048" behindDoc="0" locked="0" layoutInCell="1" allowOverlap="1">
            <wp:simplePos x="0" y="0"/>
            <wp:positionH relativeFrom="column">
              <wp:posOffset>1009015</wp:posOffset>
            </wp:positionH>
            <wp:positionV relativeFrom="paragraph">
              <wp:posOffset>353695</wp:posOffset>
            </wp:positionV>
            <wp:extent cx="572770" cy="1444625"/>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390"/>
                    <a:stretch>
                      <a:fillRect/>
                    </a:stretch>
                  </pic:blipFill>
                  <pic:spPr>
                    <a:xfrm>
                      <a:off x="0" y="0"/>
                      <a:ext cx="573087" cy="1444599"/>
                    </a:xfrm>
                    <a:prstGeom prst="rect">
                      <a:avLst/>
                    </a:prstGeom>
                  </pic:spPr>
                </pic:pic>
              </a:graphicData>
            </a:graphic>
          </wp:anchor>
        </w:drawing>
      </w:r>
      <w:r>
        <w:rPr>
          <w:rFonts w:ascii="宋体" w:hAnsi="宋体" w:eastAsia="宋体" w:cs="宋体"/>
          <w:spacing w:val="-1"/>
          <w:sz w:val="18"/>
          <w:szCs w:val="18"/>
        </w:rPr>
        <w:t>4.园林绿化工程</w:t>
      </w:r>
      <w:r>
        <w:rPr>
          <w:rFonts w:ascii="宋体" w:hAnsi="宋体" w:eastAsia="宋体" w:cs="宋体"/>
          <w:spacing w:val="-10"/>
          <w:sz w:val="18"/>
          <w:szCs w:val="18"/>
        </w:rPr>
        <w:t>……</w:t>
      </w:r>
    </w:p>
    <w:p>
      <w:pPr>
        <w:spacing w:before="22" w:line="219" w:lineRule="auto"/>
        <w:ind w:left="2702"/>
        <w:rPr>
          <w:rFonts w:ascii="宋体" w:hAnsi="宋体" w:eastAsia="宋体" w:cs="宋体"/>
          <w:sz w:val="18"/>
          <w:szCs w:val="18"/>
        </w:rPr>
      </w:pPr>
      <w:r>
        <w:rPr>
          <w:rFonts w:ascii="宋体" w:hAnsi="宋体" w:eastAsia="宋体" w:cs="宋体"/>
          <w:spacing w:val="-2"/>
          <w:sz w:val="18"/>
          <w:szCs w:val="18"/>
        </w:rPr>
        <w:t>一.总价措施费：</w:t>
      </w:r>
    </w:p>
    <w:p>
      <w:pPr>
        <w:spacing w:before="20" w:line="219" w:lineRule="auto"/>
        <w:ind w:left="2712"/>
        <w:rPr>
          <w:rFonts w:ascii="宋体" w:hAnsi="宋体" w:eastAsia="宋体" w:cs="宋体"/>
          <w:sz w:val="18"/>
          <w:szCs w:val="18"/>
        </w:rPr>
      </w:pPr>
      <w:r>
        <w:drawing>
          <wp:anchor distT="0" distB="0" distL="0" distR="0" simplePos="0" relativeHeight="254866432" behindDoc="0" locked="0" layoutInCell="1" allowOverlap="1">
            <wp:simplePos x="0" y="0"/>
            <wp:positionH relativeFrom="column">
              <wp:posOffset>3018155</wp:posOffset>
            </wp:positionH>
            <wp:positionV relativeFrom="paragraph">
              <wp:posOffset>107315</wp:posOffset>
            </wp:positionV>
            <wp:extent cx="465455" cy="9525"/>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344"/>
                    <a:stretch>
                      <a:fillRect/>
                    </a:stretch>
                  </pic:blipFill>
                  <pic:spPr>
                    <a:xfrm>
                      <a:off x="0" y="0"/>
                      <a:ext cx="465454" cy="9525"/>
                    </a:xfrm>
                    <a:prstGeom prst="rect">
                      <a:avLst/>
                    </a:prstGeom>
                  </pic:spPr>
                </pic:pic>
              </a:graphicData>
            </a:graphic>
          </wp:anchor>
        </w:drawing>
      </w:r>
      <w:r>
        <w:rPr>
          <w:rFonts w:ascii="宋体" w:hAnsi="宋体" w:eastAsia="宋体" w:cs="宋体"/>
          <w:spacing w:val="-3"/>
          <w:sz w:val="18"/>
          <w:szCs w:val="18"/>
        </w:rPr>
        <w:t>1.夜间施工增加费</w:t>
      </w:r>
    </w:p>
    <w:p>
      <w:pPr>
        <w:spacing w:before="19" w:line="219" w:lineRule="auto"/>
        <w:ind w:left="2701"/>
        <w:rPr>
          <w:rFonts w:ascii="宋体" w:hAnsi="宋体" w:eastAsia="宋体" w:cs="宋体"/>
          <w:sz w:val="18"/>
          <w:szCs w:val="18"/>
        </w:rPr>
      </w:pPr>
      <w:r>
        <w:pict>
          <v:shape id="_x0000_s1053" o:spid="_x0000_s1053" o:spt="202" type="#_x0000_t202" style="position:absolute;left:0pt;margin-left:287.75pt;margin-top:7.5pt;height:106.1pt;width:37.7pt;z-index:254851072;mso-width-relative:page;mso-height-relative:page;" filled="f" stroked="f" coordsize="21600,21600">
            <v:path/>
            <v:fill on="f" focussize="0,0"/>
            <v:stroke on="f"/>
            <v:imagedata o:title=""/>
            <o:lock v:ext="edit" aspectratio="f"/>
            <v:textbox inset="0mm,0mm,0mm,0mm">
              <w:txbxContent>
                <w:p>
                  <w:pPr>
                    <w:spacing w:before="19"/>
                    <w:ind w:left="24" w:right="20"/>
                    <w:rPr>
                      <w:rFonts w:ascii="宋体" w:hAnsi="宋体" w:eastAsia="宋体" w:cs="宋体"/>
                      <w:sz w:val="18"/>
                      <w:szCs w:val="18"/>
                    </w:rPr>
                  </w:pPr>
                  <w:r>
                    <w:rPr>
                      <w:rFonts w:ascii="宋体" w:hAnsi="宋体" w:eastAsia="宋体" w:cs="宋体"/>
                      <w:spacing w:val="-3"/>
                      <w:sz w:val="18"/>
                      <w:szCs w:val="18"/>
                    </w:rPr>
                    <w:t>3.施工机具使用费</w:t>
                  </w: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before="59" w:line="229" w:lineRule="auto"/>
                    <w:ind w:left="24" w:right="200" w:hanging="4"/>
                    <w:rPr>
                      <w:rFonts w:ascii="宋体" w:hAnsi="宋体" w:eastAsia="宋体" w:cs="宋体"/>
                      <w:sz w:val="18"/>
                      <w:szCs w:val="18"/>
                    </w:rPr>
                  </w:pPr>
                  <w:r>
                    <w:rPr>
                      <w:rFonts w:ascii="宋体" w:hAnsi="宋体" w:eastAsia="宋体" w:cs="宋体"/>
                      <w:spacing w:val="-2"/>
                      <w:sz w:val="18"/>
                      <w:szCs w:val="18"/>
                    </w:rPr>
                    <w:t>4.企业</w:t>
                  </w:r>
                  <w:r>
                    <w:rPr>
                      <w:rFonts w:ascii="宋体" w:hAnsi="宋体" w:eastAsia="宋体" w:cs="宋体"/>
                      <w:spacing w:val="-4"/>
                      <w:sz w:val="18"/>
                      <w:szCs w:val="18"/>
                    </w:rPr>
                    <w:t>管理费</w:t>
                  </w:r>
                </w:p>
              </w:txbxContent>
            </v:textbox>
          </v:shape>
        </w:pict>
      </w:r>
      <w:r>
        <w:rPr>
          <w:rFonts w:ascii="宋体" w:hAnsi="宋体" w:eastAsia="宋体" w:cs="宋体"/>
          <w:spacing w:val="-2"/>
          <w:sz w:val="18"/>
          <w:szCs w:val="18"/>
        </w:rPr>
        <w:t>2.二次搬运费</w:t>
      </w:r>
    </w:p>
    <w:p>
      <w:pPr>
        <w:spacing w:before="20" w:line="219" w:lineRule="auto"/>
        <w:ind w:left="2702"/>
        <w:rPr>
          <w:rFonts w:ascii="宋体" w:hAnsi="宋体" w:eastAsia="宋体" w:cs="宋体"/>
          <w:sz w:val="18"/>
          <w:szCs w:val="18"/>
        </w:rPr>
      </w:pPr>
      <w:r>
        <w:rPr>
          <w:rFonts w:ascii="宋体" w:hAnsi="宋体" w:eastAsia="宋体" w:cs="宋体"/>
          <w:spacing w:val="-2"/>
          <w:sz w:val="18"/>
          <w:szCs w:val="18"/>
        </w:rPr>
        <w:t>3.冬雨季施工增加费</w:t>
      </w:r>
    </w:p>
    <w:p>
      <w:pPr>
        <w:spacing w:before="19" w:line="219" w:lineRule="auto"/>
        <w:ind w:left="2698"/>
        <w:rPr>
          <w:rFonts w:ascii="宋体" w:hAnsi="宋体" w:eastAsia="宋体" w:cs="宋体"/>
          <w:sz w:val="18"/>
          <w:szCs w:val="18"/>
        </w:rPr>
      </w:pPr>
      <w:r>
        <w:pict>
          <v:shape id="_x0000_s1054" o:spid="_x0000_s1054" o:spt="202" type="#_x0000_t202" style="position:absolute;left:0pt;margin-left:21.15pt;margin-top:2.95pt;height:12.7pt;width:56.3pt;z-index:254859264;mso-width-relative:page;mso-height-relative:page;" filled="f" stroked="f" coordsize="21600,21600">
            <v:path/>
            <v:fill on="f" focussize="0,0"/>
            <v:stroke on="f"/>
            <v:imagedata o:title=""/>
            <o:lock v:ext="edit" aspectratio="f"/>
            <v:textbox inset="0mm,0mm,0mm,0mm">
              <w:txbxContent>
                <w:p>
                  <w:pPr>
                    <w:tabs>
                      <w:tab w:val="left" w:pos="186"/>
                    </w:tabs>
                    <w:spacing w:before="20" w:line="219" w:lineRule="auto"/>
                    <w:ind w:left="20"/>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62"/>
                      <w:sz w:val="18"/>
                      <w:szCs w:val="18"/>
                    </w:rPr>
                    <w:t xml:space="preserve"> </w:t>
                  </w:r>
                  <w:r>
                    <w:rPr>
                      <w:rFonts w:ascii="宋体" w:hAnsi="宋体" w:eastAsia="宋体" w:cs="宋体"/>
                      <w:spacing w:val="-2"/>
                      <w:sz w:val="18"/>
                      <w:szCs w:val="18"/>
                    </w:rPr>
                    <w:t>措施项目费</w:t>
                  </w:r>
                </w:p>
              </w:txbxContent>
            </v:textbox>
          </v:shape>
        </w:pict>
      </w:r>
      <w:r>
        <w:rPr>
          <w:rFonts w:ascii="宋体" w:hAnsi="宋体" w:eastAsia="宋体" w:cs="宋体"/>
          <w:spacing w:val="-1"/>
          <w:sz w:val="18"/>
          <w:szCs w:val="18"/>
        </w:rPr>
        <w:t>4.已完工程及设备保护费</w:t>
      </w:r>
    </w:p>
    <w:p>
      <w:pPr>
        <w:spacing w:before="21"/>
        <w:ind w:left="2889" w:right="4568" w:hanging="187"/>
        <w:rPr>
          <w:rFonts w:ascii="宋体" w:hAnsi="宋体" w:eastAsia="宋体" w:cs="宋体"/>
          <w:sz w:val="18"/>
          <w:szCs w:val="18"/>
        </w:rPr>
      </w:pPr>
      <w:r>
        <w:pict>
          <v:shape id="_x0000_s1055" o:spid="_x0000_s1055" o:spt="202" type="#_x0000_t202" style="position:absolute;left:0pt;margin-left:-0.1pt;margin-top:12.4pt;height:120.45pt;width:12.15pt;z-index:254856192;mso-width-relative:page;mso-height-relative:page;" filled="f" stroked="f" coordsize="21600,21600">
            <v:path/>
            <v:fill on="f" focussize="0,0"/>
            <v:stroke on="f"/>
            <v:imagedata o:title=""/>
            <o:lock v:ext="edit" aspectratio="f"/>
            <v:textbox inset="0mm,0mm,0mm,0mm" style="layout-flow:vertical-ideographic;">
              <w:txbxContent>
                <w:p>
                  <w:pPr>
                    <w:spacing w:before="19" w:line="202" w:lineRule="auto"/>
                    <w:ind w:left="20"/>
                    <w:rPr>
                      <w:rFonts w:ascii="宋体" w:hAnsi="宋体" w:eastAsia="宋体" w:cs="宋体"/>
                      <w:sz w:val="18"/>
                      <w:szCs w:val="18"/>
                    </w:rPr>
                  </w:pPr>
                  <w:r>
                    <w:rPr>
                      <w:rFonts w:ascii="宋体" w:hAnsi="宋体" w:eastAsia="宋体" w:cs="宋体"/>
                      <w:sz w:val="18"/>
                      <w:szCs w:val="18"/>
                    </w:rPr>
                    <w:t>建</w:t>
                  </w:r>
                  <w:r>
                    <w:rPr>
                      <w:rFonts w:ascii="宋体" w:hAnsi="宋体" w:eastAsia="宋体" w:cs="宋体"/>
                      <w:spacing w:val="80"/>
                      <w:sz w:val="18"/>
                      <w:szCs w:val="18"/>
                    </w:rPr>
                    <w:t xml:space="preserve"> </w:t>
                  </w:r>
                  <w:r>
                    <w:rPr>
                      <w:rFonts w:ascii="宋体" w:hAnsi="宋体" w:eastAsia="宋体" w:cs="宋体"/>
                      <w:sz w:val="18"/>
                      <w:szCs w:val="18"/>
                    </w:rPr>
                    <w:t>筑</w:t>
                  </w:r>
                  <w:r>
                    <w:rPr>
                      <w:rFonts w:ascii="宋体" w:hAnsi="宋体" w:eastAsia="宋体" w:cs="宋体"/>
                      <w:spacing w:val="-50"/>
                      <w:sz w:val="18"/>
                      <w:szCs w:val="18"/>
                    </w:rPr>
                    <w:t xml:space="preserve"> </w:t>
                  </w:r>
                  <w:r>
                    <w:rPr>
                      <w:rFonts w:ascii="宋体" w:hAnsi="宋体" w:eastAsia="宋体" w:cs="宋体"/>
                      <w:sz w:val="18"/>
                      <w:szCs w:val="18"/>
                    </w:rPr>
                    <w:t>、</w:t>
                  </w:r>
                  <w:r>
                    <w:rPr>
                      <w:rFonts w:ascii="宋体" w:hAnsi="宋体" w:eastAsia="宋体" w:cs="宋体"/>
                      <w:spacing w:val="-52"/>
                      <w:sz w:val="18"/>
                      <w:szCs w:val="18"/>
                    </w:rPr>
                    <w:t xml:space="preserve"> </w:t>
                  </w:r>
                  <w:r>
                    <w:rPr>
                      <w:rFonts w:ascii="宋体" w:hAnsi="宋体" w:eastAsia="宋体" w:cs="宋体"/>
                      <w:sz w:val="18"/>
                      <w:szCs w:val="18"/>
                    </w:rPr>
                    <w:t>装</w:t>
                  </w:r>
                  <w:r>
                    <w:rPr>
                      <w:rFonts w:ascii="宋体" w:hAnsi="宋体" w:eastAsia="宋体" w:cs="宋体"/>
                      <w:spacing w:val="81"/>
                      <w:sz w:val="18"/>
                      <w:szCs w:val="18"/>
                    </w:rPr>
                    <w:t xml:space="preserve"> </w:t>
                  </w:r>
                  <w:r>
                    <w:rPr>
                      <w:rFonts w:ascii="宋体" w:hAnsi="宋体" w:eastAsia="宋体" w:cs="宋体"/>
                      <w:sz w:val="18"/>
                      <w:szCs w:val="18"/>
                    </w:rPr>
                    <w:t>饰</w:t>
                  </w:r>
                  <w:r>
                    <w:rPr>
                      <w:rFonts w:ascii="宋体" w:hAnsi="宋体" w:eastAsia="宋体" w:cs="宋体"/>
                      <w:spacing w:val="80"/>
                      <w:sz w:val="18"/>
                      <w:szCs w:val="18"/>
                    </w:rPr>
                    <w:t xml:space="preserve"> </w:t>
                  </w:r>
                  <w:r>
                    <w:rPr>
                      <w:rFonts w:ascii="宋体" w:hAnsi="宋体" w:eastAsia="宋体" w:cs="宋体"/>
                      <w:sz w:val="18"/>
                      <w:szCs w:val="18"/>
                    </w:rPr>
                    <w:t>工</w:t>
                  </w:r>
                  <w:r>
                    <w:rPr>
                      <w:rFonts w:ascii="宋体" w:hAnsi="宋体" w:eastAsia="宋体" w:cs="宋体"/>
                      <w:spacing w:val="80"/>
                      <w:sz w:val="18"/>
                      <w:szCs w:val="18"/>
                    </w:rPr>
                    <w:t xml:space="preserve"> </w:t>
                  </w:r>
                  <w:r>
                    <w:rPr>
                      <w:rFonts w:ascii="宋体" w:hAnsi="宋体" w:eastAsia="宋体" w:cs="宋体"/>
                      <w:sz w:val="18"/>
                      <w:szCs w:val="18"/>
                    </w:rPr>
                    <w:t>程</w:t>
                  </w:r>
                  <w:r>
                    <w:rPr>
                      <w:rFonts w:ascii="宋体" w:hAnsi="宋体" w:eastAsia="宋体" w:cs="宋体"/>
                      <w:spacing w:val="78"/>
                      <w:sz w:val="18"/>
                      <w:szCs w:val="18"/>
                    </w:rPr>
                    <w:t xml:space="preserve"> </w:t>
                  </w:r>
                  <w:r>
                    <w:rPr>
                      <w:rFonts w:ascii="宋体" w:hAnsi="宋体" w:eastAsia="宋体" w:cs="宋体"/>
                      <w:sz w:val="18"/>
                      <w:szCs w:val="18"/>
                    </w:rPr>
                    <w:t>费</w:t>
                  </w:r>
                </w:p>
              </w:txbxContent>
            </v:textbox>
          </v:shape>
        </w:pict>
      </w:r>
      <w:r>
        <w:rPr>
          <w:rFonts w:ascii="宋体" w:hAnsi="宋体" w:eastAsia="宋体" w:cs="宋体"/>
          <w:spacing w:val="-2"/>
          <w:sz w:val="18"/>
          <w:szCs w:val="18"/>
        </w:rPr>
        <w:t>5.工程定位复测费</w:t>
      </w:r>
      <w:r>
        <w:rPr>
          <w:rFonts w:ascii="宋体" w:hAnsi="宋体" w:eastAsia="宋体" w:cs="宋体"/>
          <w:spacing w:val="-10"/>
          <w:sz w:val="18"/>
          <w:szCs w:val="18"/>
        </w:rPr>
        <w:t>……</w:t>
      </w:r>
    </w:p>
    <w:p>
      <w:pPr>
        <w:spacing w:before="1" w:line="218" w:lineRule="auto"/>
        <w:ind w:left="2702"/>
        <w:rPr>
          <w:rFonts w:ascii="宋体" w:hAnsi="宋体" w:eastAsia="宋体" w:cs="宋体"/>
          <w:sz w:val="18"/>
          <w:szCs w:val="18"/>
        </w:rPr>
      </w:pPr>
      <w:r>
        <w:rPr>
          <w:rFonts w:ascii="宋体" w:hAnsi="宋体" w:eastAsia="宋体" w:cs="宋体"/>
          <w:spacing w:val="-2"/>
          <w:sz w:val="18"/>
          <w:szCs w:val="18"/>
        </w:rPr>
        <w:t>二.单价措施费：</w:t>
      </w:r>
    </w:p>
    <w:p>
      <w:pPr>
        <w:spacing w:before="20" w:line="219" w:lineRule="auto"/>
        <w:ind w:left="2712"/>
        <w:rPr>
          <w:rFonts w:ascii="宋体" w:hAnsi="宋体" w:eastAsia="宋体" w:cs="宋体"/>
          <w:sz w:val="18"/>
          <w:szCs w:val="18"/>
        </w:rPr>
      </w:pPr>
      <w:r>
        <w:rPr>
          <w:rFonts w:ascii="宋体" w:hAnsi="宋体" w:eastAsia="宋体" w:cs="宋体"/>
          <w:spacing w:val="-4"/>
          <w:sz w:val="18"/>
          <w:szCs w:val="18"/>
        </w:rPr>
        <w:t>1.脚手架费</w:t>
      </w:r>
    </w:p>
    <w:p>
      <w:pPr>
        <w:spacing w:before="19" w:line="264" w:lineRule="auto"/>
        <w:ind w:left="2890" w:right="4568" w:hanging="189"/>
        <w:rPr>
          <w:rFonts w:ascii="宋体" w:hAnsi="宋体" w:eastAsia="宋体" w:cs="宋体"/>
          <w:sz w:val="18"/>
          <w:szCs w:val="18"/>
        </w:rPr>
      </w:pPr>
      <w:r>
        <w:rPr>
          <w:rFonts w:ascii="宋体" w:hAnsi="宋体" w:eastAsia="宋体" w:cs="宋体"/>
          <w:spacing w:val="-2"/>
          <w:sz w:val="18"/>
          <w:szCs w:val="18"/>
        </w:rPr>
        <w:t>2.垂直运输机械费</w:t>
      </w:r>
      <w:r>
        <w:rPr>
          <w:rFonts w:ascii="宋体" w:hAnsi="宋体" w:eastAsia="宋体" w:cs="宋体"/>
          <w:spacing w:val="-10"/>
          <w:sz w:val="18"/>
          <w:szCs w:val="18"/>
        </w:rPr>
        <w:t>……</w:t>
      </w:r>
    </w:p>
    <w:p>
      <w:pPr>
        <w:spacing w:line="248" w:lineRule="auto"/>
        <w:rPr>
          <w:rFonts w:ascii="Arial"/>
          <w:sz w:val="21"/>
        </w:rPr>
      </w:pPr>
      <w:r>
        <w:drawing>
          <wp:anchor distT="0" distB="0" distL="0" distR="0" simplePos="0" relativeHeight="254860288" behindDoc="0" locked="0" layoutInCell="1" allowOverlap="1">
            <wp:simplePos x="0" y="0"/>
            <wp:positionH relativeFrom="column">
              <wp:posOffset>950595</wp:posOffset>
            </wp:positionH>
            <wp:positionV relativeFrom="paragraph">
              <wp:posOffset>0</wp:posOffset>
            </wp:positionV>
            <wp:extent cx="58420" cy="112903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391"/>
                    <a:stretch>
                      <a:fillRect/>
                    </a:stretch>
                  </pic:blipFill>
                  <pic:spPr>
                    <a:xfrm>
                      <a:off x="0" y="0"/>
                      <a:ext cx="58318" cy="1129029"/>
                    </a:xfrm>
                    <a:prstGeom prst="rect">
                      <a:avLst/>
                    </a:prstGeom>
                  </pic:spPr>
                </pic:pic>
              </a:graphicData>
            </a:graphic>
          </wp:anchor>
        </w:drawing>
      </w:r>
    </w:p>
    <w:p>
      <w:pPr>
        <w:spacing w:line="248" w:lineRule="auto"/>
        <w:rPr>
          <w:rFonts w:ascii="Arial"/>
          <w:sz w:val="21"/>
        </w:rPr>
      </w:pPr>
    </w:p>
    <w:p>
      <w:pPr>
        <w:spacing w:line="249" w:lineRule="auto"/>
        <w:rPr>
          <w:rFonts w:ascii="Arial"/>
          <w:sz w:val="21"/>
        </w:rPr>
      </w:pPr>
      <w:r>
        <w:drawing>
          <wp:anchor distT="0" distB="0" distL="0" distR="0" simplePos="0" relativeHeight="254865408" behindDoc="0" locked="0" layoutInCell="1" allowOverlap="1">
            <wp:simplePos x="0" y="0"/>
            <wp:positionH relativeFrom="column">
              <wp:posOffset>3013710</wp:posOffset>
            </wp:positionH>
            <wp:positionV relativeFrom="paragraph">
              <wp:posOffset>97155</wp:posOffset>
            </wp:positionV>
            <wp:extent cx="465455" cy="9525"/>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392"/>
                    <a:stretch>
                      <a:fillRect/>
                    </a:stretch>
                  </pic:blipFill>
                  <pic:spPr>
                    <a:xfrm>
                      <a:off x="0" y="0"/>
                      <a:ext cx="465454" cy="9525"/>
                    </a:xfrm>
                    <a:prstGeom prst="rect">
                      <a:avLst/>
                    </a:prstGeom>
                  </pic:spPr>
                </pic:pic>
              </a:graphicData>
            </a:graphic>
          </wp:anchor>
        </w:drawing>
      </w:r>
    </w:p>
    <w:p>
      <w:pPr>
        <w:spacing w:line="249" w:lineRule="auto"/>
        <w:rPr>
          <w:rFonts w:ascii="Arial"/>
          <w:sz w:val="21"/>
        </w:rPr>
      </w:pPr>
    </w:p>
    <w:p>
      <w:pPr>
        <w:spacing w:before="59" w:line="214" w:lineRule="auto"/>
        <w:ind w:left="413"/>
        <w:rPr>
          <w:rFonts w:ascii="宋体" w:hAnsi="宋体" w:eastAsia="宋体" w:cs="宋体"/>
          <w:sz w:val="18"/>
          <w:szCs w:val="18"/>
        </w:rPr>
      </w:pPr>
      <w:r>
        <w:drawing>
          <wp:anchor distT="0" distB="0" distL="0" distR="0" simplePos="0" relativeHeight="254846976" behindDoc="1" locked="0" layoutInCell="1" allowOverlap="1">
            <wp:simplePos x="0" y="0"/>
            <wp:positionH relativeFrom="column">
              <wp:posOffset>229235</wp:posOffset>
            </wp:positionH>
            <wp:positionV relativeFrom="paragraph">
              <wp:posOffset>-3502025</wp:posOffset>
            </wp:positionV>
            <wp:extent cx="118745" cy="575818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393"/>
                    <a:stretch>
                      <a:fillRect/>
                    </a:stretch>
                  </pic:blipFill>
                  <pic:spPr>
                    <a:xfrm>
                      <a:off x="0" y="0"/>
                      <a:ext cx="118681" cy="5758154"/>
                    </a:xfrm>
                    <a:prstGeom prst="rect">
                      <a:avLst/>
                    </a:prstGeom>
                  </pic:spPr>
                </pic:pic>
              </a:graphicData>
            </a:graphic>
          </wp:anchor>
        </w:drawing>
      </w:r>
      <w:r>
        <w:pict>
          <v:shape id="_x0000_s1056" o:spid="_x0000_s1056" o:spt="202" type="#_x0000_t202" style="position:absolute;left:0pt;margin-left:81pt;margin-top:-52.05pt;height:94.35pt;width:73.7pt;z-index:254849024;mso-width-relative:page;mso-height-relative:page;" filled="f" stroked="f" coordsize="21600,21600">
            <v:path/>
            <v:fill on="f" focussize="0,0"/>
            <v:stroke on="f"/>
            <v:imagedata o:title=""/>
            <o:lock v:ext="edit" aspectratio="f"/>
            <v:textbox inset="0mm,0mm,0mm,0mm">
              <w:txbxContent>
                <w:p>
                  <w:pPr>
                    <w:spacing w:before="19" w:line="219" w:lineRule="auto"/>
                    <w:ind w:left="34"/>
                    <w:rPr>
                      <w:rFonts w:ascii="宋体" w:hAnsi="宋体" w:eastAsia="宋体" w:cs="宋体"/>
                      <w:sz w:val="18"/>
                      <w:szCs w:val="18"/>
                    </w:rPr>
                  </w:pPr>
                  <w:r>
                    <w:rPr>
                      <w:rFonts w:ascii="宋体" w:hAnsi="宋体" w:eastAsia="宋体" w:cs="宋体"/>
                      <w:spacing w:val="-4"/>
                      <w:sz w:val="18"/>
                      <w:szCs w:val="18"/>
                    </w:rPr>
                    <w:t>1.暂列金额</w:t>
                  </w:r>
                </w:p>
                <w:p>
                  <w:pPr>
                    <w:spacing w:before="19" w:line="219" w:lineRule="auto"/>
                    <w:ind w:left="22"/>
                    <w:rPr>
                      <w:rFonts w:ascii="宋体" w:hAnsi="宋体" w:eastAsia="宋体" w:cs="宋体"/>
                      <w:sz w:val="18"/>
                      <w:szCs w:val="18"/>
                    </w:rPr>
                  </w:pPr>
                  <w:r>
                    <w:rPr>
                      <w:rFonts w:ascii="宋体" w:hAnsi="宋体" w:eastAsia="宋体" w:cs="宋体"/>
                      <w:spacing w:val="-2"/>
                      <w:sz w:val="18"/>
                      <w:szCs w:val="18"/>
                    </w:rPr>
                    <w:t>2.专业工程暂估价</w:t>
                  </w:r>
                </w:p>
                <w:p>
                  <w:pPr>
                    <w:spacing w:before="21" w:line="219" w:lineRule="auto"/>
                    <w:ind w:left="24"/>
                    <w:rPr>
                      <w:rFonts w:ascii="宋体" w:hAnsi="宋体" w:eastAsia="宋体" w:cs="宋体"/>
                      <w:sz w:val="18"/>
                      <w:szCs w:val="18"/>
                    </w:rPr>
                  </w:pPr>
                  <w:r>
                    <w:rPr>
                      <w:rFonts w:ascii="宋体" w:hAnsi="宋体" w:eastAsia="宋体" w:cs="宋体"/>
                      <w:spacing w:val="-2"/>
                      <w:sz w:val="18"/>
                      <w:szCs w:val="18"/>
                    </w:rPr>
                    <w:t>3.特殊项目暂估价</w:t>
                  </w:r>
                </w:p>
                <w:p>
                  <w:pPr>
                    <w:spacing w:before="19" w:line="222" w:lineRule="auto"/>
                    <w:ind w:left="20"/>
                    <w:rPr>
                      <w:rFonts w:ascii="宋体" w:hAnsi="宋体" w:eastAsia="宋体" w:cs="宋体"/>
                      <w:sz w:val="18"/>
                      <w:szCs w:val="18"/>
                    </w:rPr>
                  </w:pPr>
                  <w:r>
                    <w:rPr>
                      <w:rFonts w:ascii="宋体" w:hAnsi="宋体" w:eastAsia="宋体" w:cs="宋体"/>
                      <w:spacing w:val="-2"/>
                      <w:sz w:val="18"/>
                      <w:szCs w:val="18"/>
                    </w:rPr>
                    <w:t>4.计日工</w:t>
                  </w:r>
                </w:p>
                <w:p>
                  <w:pPr>
                    <w:spacing w:before="17" w:line="219" w:lineRule="auto"/>
                    <w:ind w:left="24"/>
                    <w:rPr>
                      <w:rFonts w:ascii="宋体" w:hAnsi="宋体" w:eastAsia="宋体" w:cs="宋体"/>
                      <w:sz w:val="18"/>
                      <w:szCs w:val="18"/>
                    </w:rPr>
                  </w:pPr>
                  <w:r>
                    <w:rPr>
                      <w:rFonts w:ascii="宋体" w:hAnsi="宋体" w:eastAsia="宋体" w:cs="宋体"/>
                      <w:spacing w:val="-2"/>
                      <w:sz w:val="18"/>
                      <w:szCs w:val="18"/>
                    </w:rPr>
                    <w:t>5.采购保管费</w:t>
                  </w:r>
                </w:p>
                <w:p>
                  <w:pPr>
                    <w:spacing w:before="21" w:line="216" w:lineRule="auto"/>
                    <w:ind w:left="22"/>
                    <w:rPr>
                      <w:rFonts w:ascii="宋体" w:hAnsi="宋体" w:eastAsia="宋体" w:cs="宋体"/>
                      <w:sz w:val="18"/>
                      <w:szCs w:val="18"/>
                    </w:rPr>
                  </w:pPr>
                  <w:r>
                    <w:rPr>
                      <w:rFonts w:ascii="宋体" w:hAnsi="宋体" w:eastAsia="宋体" w:cs="宋体"/>
                      <w:spacing w:val="-1"/>
                      <w:sz w:val="18"/>
                      <w:szCs w:val="18"/>
                    </w:rPr>
                    <w:t>6.其他检验试验费</w:t>
                  </w:r>
                </w:p>
                <w:p>
                  <w:pPr>
                    <w:spacing w:before="22" w:line="219" w:lineRule="auto"/>
                    <w:ind w:left="25"/>
                    <w:rPr>
                      <w:rFonts w:ascii="宋体" w:hAnsi="宋体" w:eastAsia="宋体" w:cs="宋体"/>
                      <w:sz w:val="18"/>
                      <w:szCs w:val="18"/>
                    </w:rPr>
                  </w:pPr>
                  <w:r>
                    <w:rPr>
                      <w:rFonts w:ascii="宋体" w:hAnsi="宋体" w:eastAsia="宋体" w:cs="宋体"/>
                      <w:spacing w:val="-2"/>
                      <w:sz w:val="18"/>
                      <w:szCs w:val="18"/>
                    </w:rPr>
                    <w:t>7.总承包服务费</w:t>
                  </w:r>
                </w:p>
                <w:p>
                  <w:pPr>
                    <w:spacing w:before="19" w:line="218" w:lineRule="auto"/>
                    <w:ind w:left="21"/>
                    <w:rPr>
                      <w:rFonts w:ascii="宋体" w:hAnsi="宋体" w:eastAsia="宋体" w:cs="宋体"/>
                      <w:sz w:val="18"/>
                      <w:szCs w:val="18"/>
                    </w:rPr>
                  </w:pPr>
                  <w:r>
                    <w:rPr>
                      <w:rFonts w:ascii="宋体" w:hAnsi="宋体" w:eastAsia="宋体" w:cs="宋体"/>
                      <w:spacing w:val="-2"/>
                      <w:sz w:val="18"/>
                      <w:szCs w:val="18"/>
                    </w:rPr>
                    <w:t>8.其他</w:t>
                  </w:r>
                </w:p>
              </w:txbxContent>
            </v:textbox>
          </v:shape>
        </w:pict>
      </w:r>
      <w:r>
        <w:rPr>
          <w:rFonts w:ascii="宋体" w:hAnsi="宋体" w:eastAsia="宋体" w:cs="宋体"/>
          <w:position w:val="5"/>
          <w:sz w:val="18"/>
          <w:szCs w:val="18"/>
        </w:rPr>
        <w:drawing>
          <wp:inline distT="0" distB="0" distL="0" distR="0">
            <wp:extent cx="50800" cy="1016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394"/>
                    <a:stretch>
                      <a:fillRect/>
                    </a:stretch>
                  </pic:blipFill>
                  <pic:spPr>
                    <a:xfrm>
                      <a:off x="0" y="0"/>
                      <a:ext cx="51028" cy="10794"/>
                    </a:xfrm>
                    <a:prstGeom prst="rect">
                      <a:avLst/>
                    </a:prstGeom>
                  </pic:spPr>
                </pic:pic>
              </a:graphicData>
            </a:graphic>
          </wp:inline>
        </w:drawing>
      </w:r>
      <w:r>
        <w:rPr>
          <w:rFonts w:ascii="宋体" w:hAnsi="宋体" w:eastAsia="宋体" w:cs="宋体"/>
          <w:spacing w:val="-46"/>
          <w:sz w:val="18"/>
          <w:szCs w:val="18"/>
        </w:rPr>
        <w:t xml:space="preserve"> </w:t>
      </w:r>
      <w:r>
        <w:rPr>
          <w:rFonts w:ascii="宋体" w:hAnsi="宋体" w:eastAsia="宋体" w:cs="宋体"/>
          <w:spacing w:val="-2"/>
          <w:sz w:val="18"/>
          <w:szCs w:val="18"/>
        </w:rPr>
        <w:t>其他项目费</w:t>
      </w:r>
    </w:p>
    <w:p>
      <w:pPr>
        <w:spacing w:before="1" w:line="220" w:lineRule="auto"/>
        <w:ind w:left="5779"/>
        <w:rPr>
          <w:rFonts w:ascii="宋体" w:hAnsi="宋体" w:eastAsia="宋体" w:cs="宋体"/>
          <w:sz w:val="18"/>
          <w:szCs w:val="18"/>
        </w:rPr>
      </w:pPr>
      <w:r>
        <w:rPr>
          <w:rFonts w:ascii="宋体" w:hAnsi="宋体" w:eastAsia="宋体" w:cs="宋体"/>
          <w:spacing w:val="-3"/>
          <w:sz w:val="18"/>
          <w:szCs w:val="18"/>
        </w:rPr>
        <w:t>5.利润</w:t>
      </w:r>
    </w:p>
    <w:p>
      <w:pPr>
        <w:spacing w:line="264" w:lineRule="auto"/>
        <w:rPr>
          <w:rFonts w:ascii="Arial"/>
          <w:sz w:val="21"/>
        </w:rPr>
      </w:pPr>
    </w:p>
    <w:p>
      <w:pPr>
        <w:spacing w:line="264" w:lineRule="auto"/>
        <w:rPr>
          <w:rFonts w:ascii="Arial"/>
          <w:sz w:val="21"/>
        </w:rPr>
      </w:pPr>
    </w:p>
    <w:p>
      <w:pPr>
        <w:spacing w:line="264" w:lineRule="auto"/>
        <w:rPr>
          <w:rFonts w:ascii="Arial"/>
          <w:sz w:val="21"/>
        </w:rPr>
      </w:pPr>
      <w:r>
        <w:pict>
          <v:shape id="_x0000_s1057" o:spid="_x0000_s1057" o:spt="202" type="#_x0000_t202" style="position:absolute;left:0pt;margin-left:320.1pt;margin-top:5pt;height:47.7pt;width:58.4pt;z-index:254853120;mso-width-relative:page;mso-height-relative:page;" filled="f" stroked="f" coordsize="21600,21600">
            <v:path/>
            <v:fill on="f" focussize="0,0"/>
            <v:stroke on="f"/>
            <v:imagedata o:title=""/>
            <o:lock v:ext="edit" aspectratio="f"/>
            <v:textbox inset="0mm,0mm,0mm,0mm">
              <w:txbxContent>
                <w:p>
                  <w:pPr>
                    <w:spacing w:before="19" w:line="218" w:lineRule="auto"/>
                    <w:ind w:left="20"/>
                    <w:rPr>
                      <w:rFonts w:ascii="宋体" w:hAnsi="宋体" w:eastAsia="宋体" w:cs="宋体"/>
                      <w:sz w:val="18"/>
                      <w:szCs w:val="18"/>
                    </w:rPr>
                  </w:pPr>
                  <w:r>
                    <w:rPr>
                      <w:rFonts w:ascii="宋体" w:hAnsi="宋体" w:eastAsia="宋体" w:cs="宋体"/>
                      <w:spacing w:val="7"/>
                      <w:sz w:val="18"/>
                      <w:szCs w:val="18"/>
                    </w:rPr>
                    <w:t>①安全施工费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②环境保护费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③文明施工费</w:t>
                  </w:r>
                </w:p>
                <w:p>
                  <w:pPr>
                    <w:spacing w:before="22" w:line="218" w:lineRule="auto"/>
                    <w:ind w:left="20"/>
                    <w:rPr>
                      <w:rFonts w:ascii="宋体" w:hAnsi="宋体" w:eastAsia="宋体" w:cs="宋体"/>
                      <w:sz w:val="18"/>
                      <w:szCs w:val="18"/>
                    </w:rPr>
                  </w:pPr>
                  <w:r>
                    <w:rPr>
                      <w:rFonts w:ascii="宋体" w:hAnsi="宋体" w:eastAsia="宋体" w:cs="宋体"/>
                      <w:spacing w:val="-1"/>
                      <w:sz w:val="18"/>
                      <w:szCs w:val="18"/>
                    </w:rPr>
                    <w:t>④临时设施费</w:t>
                  </w:r>
                </w:p>
              </w:txbxContent>
            </v:textbox>
          </v:shape>
        </w:pict>
      </w:r>
      <w:r>
        <w:drawing>
          <wp:anchor distT="0" distB="0" distL="0" distR="0" simplePos="0" relativeHeight="254855168" behindDoc="0" locked="0" layoutInCell="1" allowOverlap="1">
            <wp:simplePos x="0" y="0"/>
            <wp:positionH relativeFrom="column">
              <wp:posOffset>687070</wp:posOffset>
            </wp:positionH>
            <wp:positionV relativeFrom="paragraph">
              <wp:posOffset>147955</wp:posOffset>
            </wp:positionV>
            <wp:extent cx="228600" cy="83312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395"/>
                    <a:stretch>
                      <a:fillRect/>
                    </a:stretch>
                  </pic:blipFill>
                  <pic:spPr>
                    <a:xfrm>
                      <a:off x="0" y="0"/>
                      <a:ext cx="228714" cy="833119"/>
                    </a:xfrm>
                    <a:prstGeom prst="rect">
                      <a:avLst/>
                    </a:prstGeom>
                  </pic:spPr>
                </pic:pic>
              </a:graphicData>
            </a:graphic>
          </wp:anchor>
        </w:drawing>
      </w:r>
    </w:p>
    <w:p>
      <w:pPr>
        <w:spacing w:line="264" w:lineRule="auto"/>
        <w:rPr>
          <w:rFonts w:ascii="Arial"/>
          <w:sz w:val="21"/>
        </w:rPr>
      </w:pPr>
      <w:r>
        <w:pict>
          <v:shape id="_x0000_s1058" o:spid="_x0000_s1058" o:spt="202" type="#_x0000_t202" style="position:absolute;left:0pt;margin-left:73.75pt;margin-top:2.25pt;height:12.7pt;width:236.15pt;z-index:254854144;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18"/>
                      <w:szCs w:val="18"/>
                    </w:rPr>
                  </w:pPr>
                  <w:r>
                    <w:rPr>
                      <w:rFonts w:ascii="宋体" w:hAnsi="宋体" w:eastAsia="宋体" w:cs="宋体"/>
                      <w:spacing w:val="-2"/>
                      <w:sz w:val="18"/>
                      <w:szCs w:val="18"/>
                    </w:rPr>
                    <w:t xml:space="preserve">1.安全文明施工费 </w:t>
                  </w:r>
                  <w:r>
                    <w:rPr>
                      <w:rFonts w:ascii="宋体" w:hAnsi="宋体" w:eastAsia="宋体" w:cs="宋体"/>
                      <w:strike/>
                      <w:spacing w:val="-2"/>
                      <w:sz w:val="18"/>
                      <w:szCs w:val="18"/>
                    </w:rPr>
                    <w:t xml:space="preserve">                                    </w:t>
                  </w:r>
                </w:p>
              </w:txbxContent>
            </v:textbox>
          </v:shape>
        </w:pict>
      </w:r>
      <w:r>
        <w:pict>
          <v:shape id="_x0000_s1059" o:spid="_x0000_s1059" o:spt="202" type="#_x0000_t202" style="position:absolute;left:0pt;margin-left:225.05pt;margin-top:13.55pt;height:59.35pt;width:55.75pt;z-index:254852096;mso-width-relative:page;mso-height-relative:page;" filled="f" stroked="f" coordsize="21600,21600">
            <v:path/>
            <v:fill on="f" focussize="0,0"/>
            <v:stroke on="f"/>
            <v:imagedata o:title=""/>
            <o:lock v:ext="edit" aspectratio="f"/>
            <v:textbox inset="0mm,0mm,0mm,0mm">
              <w:txbxContent>
                <w:p>
                  <w:pPr>
                    <w:spacing w:before="19" w:line="218" w:lineRule="auto"/>
                    <w:ind w:left="20"/>
                    <w:rPr>
                      <w:rFonts w:ascii="宋体" w:hAnsi="宋体" w:eastAsia="宋体" w:cs="宋体"/>
                      <w:sz w:val="18"/>
                      <w:szCs w:val="18"/>
                    </w:rPr>
                  </w:pPr>
                  <w:r>
                    <w:rPr>
                      <w:rFonts w:ascii="宋体" w:hAnsi="宋体" w:eastAsia="宋体" w:cs="宋体"/>
                      <w:spacing w:val="-2"/>
                      <w:sz w:val="18"/>
                      <w:szCs w:val="18"/>
                    </w:rPr>
                    <w:t>①养老保险费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②失业保险费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③医疗保险费</w:t>
                  </w:r>
                </w:p>
                <w:p>
                  <w:pPr>
                    <w:spacing w:before="22" w:line="218" w:lineRule="auto"/>
                    <w:ind w:left="20"/>
                    <w:rPr>
                      <w:rFonts w:ascii="宋体" w:hAnsi="宋体" w:eastAsia="宋体" w:cs="宋体"/>
                      <w:sz w:val="18"/>
                      <w:szCs w:val="18"/>
                    </w:rPr>
                  </w:pPr>
                  <w:r>
                    <w:rPr>
                      <w:rFonts w:ascii="宋体" w:hAnsi="宋体" w:eastAsia="宋体" w:cs="宋体"/>
                      <w:spacing w:val="-1"/>
                      <w:sz w:val="18"/>
                      <w:szCs w:val="18"/>
                    </w:rPr>
                    <w:t>④生育保险费</w:t>
                  </w:r>
                </w:p>
                <w:p>
                  <w:pPr>
                    <w:spacing w:before="20" w:line="218" w:lineRule="auto"/>
                    <w:ind w:left="20"/>
                    <w:rPr>
                      <w:rFonts w:ascii="宋体" w:hAnsi="宋体" w:eastAsia="宋体" w:cs="宋体"/>
                      <w:sz w:val="18"/>
                      <w:szCs w:val="18"/>
                    </w:rPr>
                  </w:pPr>
                  <w:r>
                    <w:rPr>
                      <w:rFonts w:ascii="宋体" w:hAnsi="宋体" w:eastAsia="宋体" w:cs="宋体"/>
                      <w:spacing w:val="-1"/>
                      <w:sz w:val="18"/>
                      <w:szCs w:val="18"/>
                    </w:rPr>
                    <w:t>⑤工伤保险费</w:t>
                  </w:r>
                </w:p>
              </w:txbxContent>
            </v:textbox>
          </v:shape>
        </w:pict>
      </w:r>
      <w:r>
        <w:drawing>
          <wp:anchor distT="0" distB="0" distL="0" distR="0" simplePos="0" relativeHeight="254863360" behindDoc="0" locked="0" layoutInCell="1" allowOverlap="1">
            <wp:simplePos x="0" y="0"/>
            <wp:positionH relativeFrom="column">
              <wp:posOffset>2702560</wp:posOffset>
            </wp:positionH>
            <wp:positionV relativeFrom="paragraph">
              <wp:posOffset>182880</wp:posOffset>
            </wp:positionV>
            <wp:extent cx="50165" cy="73088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396"/>
                    <a:stretch>
                      <a:fillRect/>
                    </a:stretch>
                  </pic:blipFill>
                  <pic:spPr>
                    <a:xfrm>
                      <a:off x="0" y="0"/>
                      <a:ext cx="50012" cy="730884"/>
                    </a:xfrm>
                    <a:prstGeom prst="rect">
                      <a:avLst/>
                    </a:prstGeom>
                  </pic:spPr>
                </pic:pic>
              </a:graphicData>
            </a:graphic>
          </wp:anchor>
        </w:drawing>
      </w:r>
    </w:p>
    <w:p>
      <w:pPr>
        <w:spacing w:before="60" w:line="216" w:lineRule="auto"/>
        <w:ind w:left="1484"/>
        <w:rPr>
          <w:rFonts w:ascii="宋体" w:hAnsi="宋体" w:eastAsia="宋体" w:cs="宋体"/>
          <w:sz w:val="18"/>
          <w:szCs w:val="18"/>
        </w:rPr>
      </w:pPr>
      <w:r>
        <w:pict>
          <v:shape id="_x0000_s1060" o:spid="_x0000_s1060" o:spt="202" type="#_x0000_t202" style="position:absolute;left:0pt;margin-left:19.15pt;margin-top:10.35pt;height:12.7pt;width:30.95pt;z-index:254862336;mso-width-relative:page;mso-height-relative:page;" filled="f" stroked="f" coordsize="21600,21600">
            <v:path/>
            <v:fill on="f" focussize="0,0"/>
            <v:stroke on="f"/>
            <v:imagedata o:title=""/>
            <o:lock v:ext="edit" aspectratio="f"/>
            <v:textbox inset="0mm,0mm,0mm,0mm">
              <w:txbxContent>
                <w:p>
                  <w:pPr>
                    <w:tabs>
                      <w:tab w:val="left" w:pos="226"/>
                    </w:tabs>
                    <w:spacing w:before="20" w:line="219" w:lineRule="auto"/>
                    <w:ind w:left="20"/>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71"/>
                      <w:sz w:val="18"/>
                      <w:szCs w:val="18"/>
                    </w:rPr>
                    <w:t xml:space="preserve"> </w:t>
                  </w:r>
                  <w:r>
                    <w:rPr>
                      <w:rFonts w:ascii="宋体" w:hAnsi="宋体" w:eastAsia="宋体" w:cs="宋体"/>
                      <w:spacing w:val="-4"/>
                      <w:sz w:val="18"/>
                      <w:szCs w:val="18"/>
                    </w:rPr>
                    <w:t>规费</w:t>
                  </w:r>
                </w:p>
              </w:txbxContent>
            </v:textbox>
          </v:shape>
        </w:pict>
      </w:r>
      <w:r>
        <w:rPr>
          <w:rFonts w:ascii="宋体" w:hAnsi="宋体" w:eastAsia="宋体" w:cs="宋体"/>
          <w:spacing w:val="-3"/>
          <w:sz w:val="18"/>
          <w:szCs w:val="18"/>
        </w:rPr>
        <w:t xml:space="preserve">2.社会保险费 </w:t>
      </w:r>
      <w:r>
        <w:rPr>
          <w:rFonts w:ascii="宋体" w:hAnsi="宋体" w:eastAsia="宋体" w:cs="宋体"/>
          <w:strike/>
          <w:sz w:val="18"/>
          <w:szCs w:val="18"/>
        </w:rPr>
        <w:t xml:space="preserve">                 </w:t>
      </w:r>
    </w:p>
    <w:p>
      <w:pPr>
        <w:spacing w:before="33" w:line="220" w:lineRule="auto"/>
        <w:ind w:left="1486"/>
        <w:rPr>
          <w:rFonts w:ascii="宋体" w:hAnsi="宋体" w:eastAsia="宋体" w:cs="宋体"/>
          <w:sz w:val="18"/>
          <w:szCs w:val="18"/>
        </w:rPr>
      </w:pPr>
      <w:r>
        <w:rPr>
          <w:rFonts w:ascii="宋体" w:hAnsi="宋体" w:eastAsia="宋体" w:cs="宋体"/>
          <w:spacing w:val="-2"/>
          <w:sz w:val="18"/>
          <w:szCs w:val="18"/>
        </w:rPr>
        <w:t>3.建设项目工伤保险</w:t>
      </w:r>
    </w:p>
    <w:p>
      <w:pPr>
        <w:spacing w:before="25" w:line="219" w:lineRule="auto"/>
        <w:ind w:left="1481"/>
        <w:rPr>
          <w:rFonts w:ascii="宋体" w:hAnsi="宋体" w:eastAsia="宋体" w:cs="宋体"/>
          <w:sz w:val="18"/>
          <w:szCs w:val="18"/>
        </w:rPr>
      </w:pPr>
      <w:r>
        <w:rPr>
          <w:rFonts w:ascii="宋体" w:hAnsi="宋体" w:eastAsia="宋体" w:cs="宋体"/>
          <w:spacing w:val="-1"/>
          <w:sz w:val="18"/>
          <w:szCs w:val="18"/>
        </w:rPr>
        <w:t>4.优质优价费</w:t>
      </w:r>
    </w:p>
    <w:p>
      <w:pPr>
        <w:spacing w:before="27" w:line="220" w:lineRule="auto"/>
        <w:ind w:left="1486"/>
        <w:rPr>
          <w:rFonts w:ascii="宋体" w:hAnsi="宋体" w:eastAsia="宋体" w:cs="宋体"/>
          <w:sz w:val="18"/>
          <w:szCs w:val="18"/>
        </w:rPr>
      </w:pPr>
      <w:r>
        <w:rPr>
          <w:rFonts w:ascii="宋体" w:hAnsi="宋体" w:eastAsia="宋体" w:cs="宋体"/>
          <w:spacing w:val="-2"/>
          <w:sz w:val="18"/>
          <w:szCs w:val="18"/>
        </w:rPr>
        <w:t>5.住房公积金</w:t>
      </w:r>
    </w:p>
    <w:p>
      <w:pPr>
        <w:spacing w:line="299" w:lineRule="auto"/>
        <w:rPr>
          <w:rFonts w:ascii="Arial"/>
          <w:sz w:val="21"/>
        </w:rPr>
      </w:pPr>
    </w:p>
    <w:p>
      <w:pPr>
        <w:spacing w:line="300" w:lineRule="auto"/>
        <w:rPr>
          <w:rFonts w:ascii="Arial"/>
          <w:sz w:val="21"/>
        </w:rPr>
      </w:pPr>
    </w:p>
    <w:p>
      <w:pPr>
        <w:tabs>
          <w:tab w:val="left" w:pos="552"/>
        </w:tabs>
        <w:spacing w:before="59" w:line="221" w:lineRule="auto"/>
        <w:ind w:left="438"/>
        <w:rPr>
          <w:rFonts w:ascii="宋体" w:hAnsi="宋体" w:eastAsia="宋体" w:cs="宋体"/>
          <w:sz w:val="18"/>
          <w:szCs w:val="18"/>
        </w:rPr>
      </w:pPr>
      <w:r>
        <w:pict>
          <v:shape id="_x0000_s1061" o:spid="_x0000_s1061" o:spt="202" type="#_x0000_t202" style="position:absolute;left:0pt;margin-left:54.3pt;margin-top:1.2pt;height:12.75pt;width:58.8pt;z-index:254858240;mso-width-relative:page;mso-height-relative:page;" filled="f" stroked="f" coordsize="21600,21600">
            <v:path/>
            <v:fill on="f" focussize="0,0"/>
            <v:stroke on="f"/>
            <v:imagedata o:title=""/>
            <o:lock v:ext="edit" aspectratio="f"/>
            <v:textbox inset="0mm,0mm,0mm,0mm">
              <w:txbxContent>
                <w:p>
                  <w:pPr>
                    <w:tabs>
                      <w:tab w:val="left" w:pos="550"/>
                    </w:tabs>
                    <w:spacing w:before="20" w:line="220" w:lineRule="auto"/>
                    <w:ind w:left="20"/>
                    <w:rPr>
                      <w:rFonts w:ascii="宋体" w:hAnsi="宋体" w:eastAsia="宋体" w:cs="宋体"/>
                      <w:sz w:val="18"/>
                      <w:szCs w:val="18"/>
                    </w:rPr>
                  </w:pPr>
                  <w:r>
                    <w:rPr>
                      <w:rFonts w:ascii="宋体" w:hAnsi="宋体" w:eastAsia="宋体" w:cs="宋体"/>
                      <w:strike/>
                      <w:sz w:val="18"/>
                      <w:szCs w:val="18"/>
                    </w:rPr>
                    <w:tab/>
                  </w:r>
                  <w:r>
                    <w:rPr>
                      <w:rFonts w:ascii="宋体" w:hAnsi="宋体" w:eastAsia="宋体" w:cs="宋体"/>
                      <w:spacing w:val="-17"/>
                      <w:sz w:val="18"/>
                      <w:szCs w:val="18"/>
                    </w:rPr>
                    <w:t xml:space="preserve"> </w:t>
                  </w:r>
                  <w:r>
                    <w:rPr>
                      <w:rFonts w:ascii="宋体" w:hAnsi="宋体" w:eastAsia="宋体" w:cs="宋体"/>
                      <w:spacing w:val="-3"/>
                      <w:sz w:val="18"/>
                      <w:szCs w:val="18"/>
                    </w:rPr>
                    <w:t>增值税</w:t>
                  </w:r>
                </w:p>
              </w:txbxContent>
            </v:textbox>
          </v:shape>
        </w:pict>
      </w:r>
      <w:r>
        <w:rPr>
          <w:rFonts w:ascii="宋体" w:hAnsi="宋体" w:eastAsia="宋体" w:cs="宋体"/>
          <w:strike/>
          <w:sz w:val="18"/>
          <w:szCs w:val="18"/>
        </w:rPr>
        <w:tab/>
      </w:r>
      <w:r>
        <w:rPr>
          <w:rFonts w:ascii="宋体" w:hAnsi="宋体" w:eastAsia="宋体" w:cs="宋体"/>
          <w:spacing w:val="-15"/>
          <w:sz w:val="18"/>
          <w:szCs w:val="18"/>
        </w:rPr>
        <w:t xml:space="preserve"> </w:t>
      </w:r>
      <w:r>
        <w:rPr>
          <w:rFonts w:ascii="宋体" w:hAnsi="宋体" w:eastAsia="宋体" w:cs="宋体"/>
          <w:spacing w:val="-4"/>
          <w:sz w:val="18"/>
          <w:szCs w:val="18"/>
        </w:rPr>
        <w:t>税金</w:t>
      </w:r>
    </w:p>
    <w:p>
      <w:pPr>
        <w:spacing w:line="221" w:lineRule="auto"/>
        <w:rPr>
          <w:rFonts w:ascii="宋体" w:hAnsi="宋体" w:eastAsia="宋体" w:cs="宋体"/>
          <w:sz w:val="18"/>
          <w:szCs w:val="18"/>
        </w:rPr>
        <w:sectPr>
          <w:footerReference r:id="rId108" w:type="default"/>
          <w:pgSz w:w="11905" w:h="16840"/>
          <w:pgMar w:top="400" w:right="1785" w:bottom="1213" w:left="1418" w:header="0" w:footer="898" w:gutter="0"/>
        </w:sect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2"/>
        <w:spacing w:before="103" w:line="168" w:lineRule="auto"/>
        <w:ind w:left="2833"/>
        <w:rPr>
          <w:sz w:val="24"/>
          <w:szCs w:val="24"/>
        </w:rPr>
      </w:pPr>
      <w:r>
        <w:rPr>
          <w:spacing w:val="9"/>
          <w:sz w:val="24"/>
          <w:szCs w:val="24"/>
        </w:rPr>
        <w:t>附表3</w:t>
      </w:r>
      <w:r>
        <w:rPr>
          <w:spacing w:val="16"/>
          <w:sz w:val="24"/>
          <w:szCs w:val="24"/>
        </w:rPr>
        <w:t xml:space="preserve">   </w:t>
      </w:r>
      <w:r>
        <w:rPr>
          <w:spacing w:val="9"/>
          <w:sz w:val="24"/>
          <w:szCs w:val="24"/>
        </w:rPr>
        <w:t>专业工程措施项目一览表</w:t>
      </w:r>
    </w:p>
    <w:tbl>
      <w:tblPr>
        <w:tblStyle w:val="5"/>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4762"/>
        <w:gridCol w:w="1797"/>
        <w:gridCol w:w="18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923" w:type="dxa"/>
            <w:tcBorders>
              <w:top w:val="single" w:color="000000" w:sz="6" w:space="0"/>
              <w:left w:val="single" w:color="000000" w:sz="6" w:space="0"/>
            </w:tcBorders>
            <w:vAlign w:val="top"/>
          </w:tcPr>
          <w:p>
            <w:pPr>
              <w:spacing w:before="142" w:line="203" w:lineRule="auto"/>
              <w:ind w:left="244"/>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4762" w:type="dxa"/>
            <w:tcBorders>
              <w:top w:val="single" w:color="000000" w:sz="6" w:space="0"/>
            </w:tcBorders>
            <w:vAlign w:val="top"/>
          </w:tcPr>
          <w:p>
            <w:pPr>
              <w:spacing w:before="142" w:line="203" w:lineRule="auto"/>
              <w:ind w:left="1741"/>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1797" w:type="dxa"/>
            <w:tcBorders>
              <w:top w:val="single" w:color="000000" w:sz="6" w:space="0"/>
            </w:tcBorders>
            <w:vAlign w:val="top"/>
          </w:tcPr>
          <w:p>
            <w:pPr>
              <w:pStyle w:val="6"/>
            </w:pPr>
          </w:p>
        </w:tc>
        <w:tc>
          <w:tcPr>
            <w:tcW w:w="1807" w:type="dxa"/>
            <w:tcBorders>
              <w:top w:val="single" w:color="000000" w:sz="6" w:space="0"/>
              <w:right w:val="single" w:color="000000" w:sz="6" w:space="0"/>
            </w:tcBorders>
            <w:vAlign w:val="top"/>
          </w:tcPr>
          <w:p>
            <w:pPr>
              <w:spacing w:before="142" w:line="203" w:lineRule="auto"/>
              <w:ind w:left="702"/>
              <w:rPr>
                <w:rFonts w:ascii="微软雅黑" w:hAnsi="微软雅黑" w:eastAsia="微软雅黑" w:cs="微软雅黑"/>
                <w:sz w:val="20"/>
                <w:szCs w:val="20"/>
              </w:rPr>
            </w:pPr>
            <w:r>
              <w:rPr>
                <w:rFonts w:ascii="微软雅黑" w:hAnsi="微软雅黑" w:eastAsia="微软雅黑" w:cs="微软雅黑"/>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923" w:type="dxa"/>
            <w:tcBorders>
              <w:left w:val="single" w:color="000000" w:sz="6" w:space="0"/>
            </w:tcBorders>
            <w:vAlign w:val="top"/>
          </w:tcPr>
          <w:p>
            <w:pPr>
              <w:spacing w:before="120" w:line="238" w:lineRule="auto"/>
              <w:ind w:left="421"/>
              <w:rPr>
                <w:rFonts w:ascii="宋体" w:hAnsi="宋体" w:eastAsia="宋体" w:cs="宋体"/>
                <w:sz w:val="20"/>
                <w:szCs w:val="20"/>
              </w:rPr>
            </w:pPr>
            <w:r>
              <w:rPr>
                <w:rFonts w:ascii="宋体" w:hAnsi="宋体" w:eastAsia="宋体" w:cs="宋体"/>
                <w:sz w:val="20"/>
                <w:szCs w:val="20"/>
              </w:rPr>
              <w:t>1</w:t>
            </w:r>
          </w:p>
        </w:tc>
        <w:tc>
          <w:tcPr>
            <w:tcW w:w="4762" w:type="dxa"/>
            <w:vAlign w:val="top"/>
          </w:tcPr>
          <w:p>
            <w:pPr>
              <w:spacing w:before="122" w:line="223" w:lineRule="auto"/>
              <w:ind w:left="490"/>
              <w:rPr>
                <w:rFonts w:ascii="宋体" w:hAnsi="宋体" w:eastAsia="宋体" w:cs="宋体"/>
                <w:sz w:val="20"/>
                <w:szCs w:val="20"/>
              </w:rPr>
            </w:pPr>
            <w:r>
              <w:rPr>
                <w:rFonts w:ascii="宋体" w:hAnsi="宋体" w:eastAsia="宋体" w:cs="宋体"/>
                <w:spacing w:val="9"/>
                <w:sz w:val="20"/>
                <w:szCs w:val="20"/>
              </w:rPr>
              <w:t>建筑工程与装饰工程、房屋修缮建筑工程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8" w:line="228" w:lineRule="auto"/>
              <w:ind w:left="345"/>
              <w:rPr>
                <w:rFonts w:ascii="宋体" w:hAnsi="宋体" w:eastAsia="宋体" w:cs="宋体"/>
                <w:sz w:val="20"/>
                <w:szCs w:val="20"/>
              </w:rPr>
            </w:pPr>
            <w:r>
              <w:rPr>
                <w:rFonts w:ascii="宋体" w:hAnsi="宋体" w:eastAsia="宋体" w:cs="宋体"/>
                <w:spacing w:val="-22"/>
                <w:sz w:val="20"/>
                <w:szCs w:val="20"/>
              </w:rPr>
              <w:t>1.1</w:t>
            </w:r>
          </w:p>
        </w:tc>
        <w:tc>
          <w:tcPr>
            <w:tcW w:w="4762" w:type="dxa"/>
            <w:vAlign w:val="top"/>
          </w:tcPr>
          <w:p>
            <w:pPr>
              <w:spacing w:before="115" w:line="216" w:lineRule="auto"/>
              <w:ind w:left="103"/>
              <w:rPr>
                <w:rFonts w:ascii="宋体" w:hAnsi="宋体" w:eastAsia="宋体" w:cs="宋体"/>
                <w:sz w:val="20"/>
                <w:szCs w:val="20"/>
              </w:rPr>
            </w:pPr>
            <w:r>
              <w:rPr>
                <w:rFonts w:ascii="宋体" w:hAnsi="宋体" w:eastAsia="宋体" w:cs="宋体"/>
                <w:spacing w:val="8"/>
                <w:sz w:val="20"/>
                <w:szCs w:val="20"/>
              </w:rPr>
              <w:t>脚手架</w:t>
            </w:r>
          </w:p>
        </w:tc>
        <w:tc>
          <w:tcPr>
            <w:tcW w:w="1797" w:type="dxa"/>
            <w:vAlign w:val="top"/>
          </w:tcPr>
          <w:p>
            <w:pPr>
              <w:pStyle w:val="6"/>
            </w:pPr>
          </w:p>
        </w:tc>
        <w:tc>
          <w:tcPr>
            <w:tcW w:w="1807" w:type="dxa"/>
            <w:vMerge w:val="restart"/>
            <w:tcBorders>
              <w:bottom w:val="nil"/>
              <w:right w:val="single" w:color="000000" w:sz="6" w:space="0"/>
            </w:tcBorders>
            <w:vAlign w:val="top"/>
          </w:tcPr>
          <w:p>
            <w:pPr>
              <w:pStyle w:val="6"/>
              <w:spacing w:line="307" w:lineRule="auto"/>
            </w:pPr>
          </w:p>
          <w:p>
            <w:pPr>
              <w:pStyle w:val="6"/>
              <w:spacing w:line="308" w:lineRule="auto"/>
            </w:pPr>
          </w:p>
          <w:p>
            <w:pPr>
              <w:spacing w:before="65" w:line="333" w:lineRule="auto"/>
              <w:ind w:left="67" w:right="105" w:firstLine="8"/>
              <w:rPr>
                <w:rFonts w:ascii="宋体" w:hAnsi="宋体" w:eastAsia="宋体" w:cs="宋体"/>
                <w:sz w:val="20"/>
                <w:szCs w:val="20"/>
              </w:rPr>
            </w:pPr>
            <w:r>
              <w:rPr>
                <w:rFonts w:ascii="宋体" w:hAnsi="宋体" w:eastAsia="宋体" w:cs="宋体"/>
                <w:spacing w:val="8"/>
                <w:sz w:val="20"/>
                <w:szCs w:val="20"/>
              </w:rPr>
              <w:t>消耗量定额中列</w:t>
            </w:r>
            <w:r>
              <w:rPr>
                <w:rFonts w:ascii="宋体" w:hAnsi="宋体" w:eastAsia="宋体" w:cs="宋体"/>
                <w:spacing w:val="3"/>
                <w:sz w:val="20"/>
                <w:szCs w:val="20"/>
              </w:rPr>
              <w:t>有子目、并规定了</w:t>
            </w:r>
            <w:r>
              <w:rPr>
                <w:rFonts w:ascii="宋体" w:hAnsi="宋体" w:eastAsia="宋体" w:cs="宋体"/>
                <w:spacing w:val="9"/>
                <w:sz w:val="20"/>
                <w:szCs w:val="20"/>
              </w:rPr>
              <w:t>计算方法的单价</w:t>
            </w:r>
            <w:r>
              <w:rPr>
                <w:rFonts w:ascii="宋体" w:hAnsi="宋体" w:eastAsia="宋体" w:cs="宋体"/>
                <w:spacing w:val="8"/>
                <w:sz w:val="20"/>
                <w:szCs w:val="20"/>
              </w:rPr>
              <w:t>措施项目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8" w:line="228" w:lineRule="auto"/>
              <w:ind w:left="345"/>
              <w:rPr>
                <w:rFonts w:ascii="宋体" w:hAnsi="宋体" w:eastAsia="宋体" w:cs="宋体"/>
                <w:sz w:val="20"/>
                <w:szCs w:val="20"/>
              </w:rPr>
            </w:pPr>
            <w:r>
              <w:rPr>
                <w:rFonts w:ascii="宋体" w:hAnsi="宋体" w:eastAsia="宋体" w:cs="宋体"/>
                <w:spacing w:val="-22"/>
                <w:sz w:val="20"/>
                <w:szCs w:val="20"/>
              </w:rPr>
              <w:t>1.2</w:t>
            </w:r>
          </w:p>
        </w:tc>
        <w:tc>
          <w:tcPr>
            <w:tcW w:w="4762" w:type="dxa"/>
            <w:vAlign w:val="top"/>
          </w:tcPr>
          <w:p>
            <w:pPr>
              <w:spacing w:before="111" w:line="219" w:lineRule="auto"/>
              <w:ind w:left="102"/>
              <w:rPr>
                <w:rFonts w:ascii="宋体" w:hAnsi="宋体" w:eastAsia="宋体" w:cs="宋体"/>
                <w:sz w:val="20"/>
                <w:szCs w:val="20"/>
              </w:rPr>
            </w:pPr>
            <w:r>
              <w:rPr>
                <w:rFonts w:ascii="宋体" w:hAnsi="宋体" w:eastAsia="宋体" w:cs="宋体"/>
                <w:spacing w:val="9"/>
                <w:sz w:val="20"/>
                <w:szCs w:val="20"/>
              </w:rPr>
              <w:t>垂直运输机械</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8" w:line="228" w:lineRule="auto"/>
              <w:ind w:left="345"/>
              <w:rPr>
                <w:rFonts w:ascii="宋体" w:hAnsi="宋体" w:eastAsia="宋体" w:cs="宋体"/>
                <w:sz w:val="20"/>
                <w:szCs w:val="20"/>
              </w:rPr>
            </w:pPr>
            <w:r>
              <w:rPr>
                <w:rFonts w:ascii="宋体" w:hAnsi="宋体" w:eastAsia="宋体" w:cs="宋体"/>
                <w:spacing w:val="-22"/>
                <w:sz w:val="20"/>
                <w:szCs w:val="20"/>
              </w:rPr>
              <w:t>1.3</w:t>
            </w:r>
          </w:p>
        </w:tc>
        <w:tc>
          <w:tcPr>
            <w:tcW w:w="4762" w:type="dxa"/>
            <w:vAlign w:val="top"/>
          </w:tcPr>
          <w:p>
            <w:pPr>
              <w:spacing w:before="113" w:line="218" w:lineRule="auto"/>
              <w:ind w:left="106"/>
              <w:rPr>
                <w:rFonts w:ascii="宋体" w:hAnsi="宋体" w:eastAsia="宋体" w:cs="宋体"/>
                <w:sz w:val="20"/>
                <w:szCs w:val="20"/>
              </w:rPr>
            </w:pPr>
            <w:r>
              <w:rPr>
                <w:rFonts w:ascii="宋体" w:hAnsi="宋体" w:eastAsia="宋体" w:cs="宋体"/>
                <w:spacing w:val="8"/>
                <w:sz w:val="20"/>
                <w:szCs w:val="20"/>
              </w:rPr>
              <w:t>构件吊装机械</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10" w:line="226" w:lineRule="auto"/>
              <w:ind w:left="345"/>
              <w:rPr>
                <w:rFonts w:ascii="宋体" w:hAnsi="宋体" w:eastAsia="宋体" w:cs="宋体"/>
                <w:sz w:val="20"/>
                <w:szCs w:val="20"/>
              </w:rPr>
            </w:pPr>
            <w:r>
              <w:rPr>
                <w:rFonts w:ascii="宋体" w:hAnsi="宋体" w:eastAsia="宋体" w:cs="宋体"/>
                <w:spacing w:val="-22"/>
                <w:sz w:val="20"/>
                <w:szCs w:val="20"/>
              </w:rPr>
              <w:t>1.4</w:t>
            </w:r>
          </w:p>
        </w:tc>
        <w:tc>
          <w:tcPr>
            <w:tcW w:w="4762" w:type="dxa"/>
            <w:vAlign w:val="top"/>
          </w:tcPr>
          <w:p>
            <w:pPr>
              <w:spacing w:before="117" w:line="216" w:lineRule="auto"/>
              <w:ind w:left="105"/>
              <w:rPr>
                <w:rFonts w:ascii="宋体" w:hAnsi="宋体" w:eastAsia="宋体" w:cs="宋体"/>
                <w:sz w:val="20"/>
                <w:szCs w:val="20"/>
              </w:rPr>
            </w:pPr>
            <w:r>
              <w:rPr>
                <w:rFonts w:ascii="宋体" w:hAnsi="宋体" w:eastAsia="宋体" w:cs="宋体"/>
                <w:spacing w:val="8"/>
                <w:sz w:val="20"/>
                <w:szCs w:val="20"/>
              </w:rPr>
              <w:t>混凝土泵送</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9" w:line="227" w:lineRule="auto"/>
              <w:ind w:left="345"/>
              <w:rPr>
                <w:rFonts w:ascii="宋体" w:hAnsi="宋体" w:eastAsia="宋体" w:cs="宋体"/>
                <w:sz w:val="20"/>
                <w:szCs w:val="20"/>
              </w:rPr>
            </w:pPr>
            <w:r>
              <w:rPr>
                <w:rFonts w:ascii="宋体" w:hAnsi="宋体" w:eastAsia="宋体" w:cs="宋体"/>
                <w:spacing w:val="-22"/>
                <w:sz w:val="20"/>
                <w:szCs w:val="20"/>
              </w:rPr>
              <w:t>1.5</w:t>
            </w:r>
          </w:p>
        </w:tc>
        <w:tc>
          <w:tcPr>
            <w:tcW w:w="4762" w:type="dxa"/>
            <w:vAlign w:val="top"/>
          </w:tcPr>
          <w:p>
            <w:pPr>
              <w:spacing w:before="114" w:line="218" w:lineRule="auto"/>
              <w:ind w:left="105"/>
              <w:rPr>
                <w:rFonts w:ascii="宋体" w:hAnsi="宋体" w:eastAsia="宋体" w:cs="宋体"/>
                <w:sz w:val="20"/>
                <w:szCs w:val="20"/>
              </w:rPr>
            </w:pPr>
            <w:r>
              <w:rPr>
                <w:rFonts w:ascii="宋体" w:hAnsi="宋体" w:eastAsia="宋体" w:cs="宋体"/>
                <w:spacing w:val="9"/>
                <w:sz w:val="20"/>
                <w:szCs w:val="20"/>
              </w:rPr>
              <w:t>混凝土模板及支架</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9" w:line="227" w:lineRule="auto"/>
              <w:ind w:left="345"/>
              <w:rPr>
                <w:rFonts w:ascii="宋体" w:hAnsi="宋体" w:eastAsia="宋体" w:cs="宋体"/>
                <w:sz w:val="20"/>
                <w:szCs w:val="20"/>
              </w:rPr>
            </w:pPr>
            <w:r>
              <w:rPr>
                <w:rFonts w:ascii="宋体" w:hAnsi="宋体" w:eastAsia="宋体" w:cs="宋体"/>
                <w:spacing w:val="-22"/>
                <w:sz w:val="20"/>
                <w:szCs w:val="20"/>
              </w:rPr>
              <w:t>1.6</w:t>
            </w:r>
          </w:p>
        </w:tc>
        <w:tc>
          <w:tcPr>
            <w:tcW w:w="4762" w:type="dxa"/>
            <w:vAlign w:val="top"/>
          </w:tcPr>
          <w:p>
            <w:pPr>
              <w:spacing w:before="115" w:line="217" w:lineRule="auto"/>
              <w:ind w:left="109"/>
              <w:rPr>
                <w:rFonts w:ascii="宋体" w:hAnsi="宋体" w:eastAsia="宋体" w:cs="宋体"/>
                <w:sz w:val="20"/>
                <w:szCs w:val="20"/>
              </w:rPr>
            </w:pPr>
            <w:r>
              <w:rPr>
                <w:rFonts w:ascii="宋体" w:hAnsi="宋体" w:eastAsia="宋体" w:cs="宋体"/>
                <w:spacing w:val="8"/>
                <w:sz w:val="20"/>
                <w:szCs w:val="20"/>
              </w:rPr>
              <w:t>大型机械进出场</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923" w:type="dxa"/>
            <w:tcBorders>
              <w:left w:val="single" w:color="000000" w:sz="6" w:space="0"/>
            </w:tcBorders>
            <w:vAlign w:val="top"/>
          </w:tcPr>
          <w:p>
            <w:pPr>
              <w:spacing w:before="108" w:line="228" w:lineRule="auto"/>
              <w:ind w:left="345"/>
              <w:rPr>
                <w:rFonts w:ascii="宋体" w:hAnsi="宋体" w:eastAsia="宋体" w:cs="宋体"/>
                <w:sz w:val="20"/>
                <w:szCs w:val="20"/>
              </w:rPr>
            </w:pPr>
            <w:r>
              <w:rPr>
                <w:rFonts w:ascii="宋体" w:hAnsi="宋体" w:eastAsia="宋体" w:cs="宋体"/>
                <w:spacing w:val="-22"/>
                <w:sz w:val="20"/>
                <w:szCs w:val="20"/>
              </w:rPr>
              <w:t>1.7</w:t>
            </w:r>
          </w:p>
        </w:tc>
        <w:tc>
          <w:tcPr>
            <w:tcW w:w="4762" w:type="dxa"/>
            <w:vAlign w:val="top"/>
          </w:tcPr>
          <w:p>
            <w:pPr>
              <w:spacing w:before="101" w:line="232" w:lineRule="auto"/>
              <w:ind w:left="102"/>
              <w:rPr>
                <w:rFonts w:ascii="宋体" w:hAnsi="宋体" w:eastAsia="宋体" w:cs="宋体"/>
                <w:sz w:val="20"/>
                <w:szCs w:val="20"/>
              </w:rPr>
            </w:pPr>
            <w:r>
              <w:rPr>
                <w:rFonts w:ascii="宋体" w:hAnsi="宋体" w:eastAsia="宋体" w:cs="宋体"/>
                <w:spacing w:val="9"/>
                <w:sz w:val="20"/>
                <w:szCs w:val="20"/>
              </w:rPr>
              <w:t>施工降排水</w:t>
            </w:r>
          </w:p>
        </w:tc>
        <w:tc>
          <w:tcPr>
            <w:tcW w:w="1797" w:type="dxa"/>
            <w:vAlign w:val="top"/>
          </w:tcPr>
          <w:p>
            <w:pPr>
              <w:pStyle w:val="6"/>
            </w:pPr>
          </w:p>
        </w:tc>
        <w:tc>
          <w:tcPr>
            <w:tcW w:w="1807"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57" w:hRule="atLeast"/>
        </w:trPr>
        <w:tc>
          <w:tcPr>
            <w:tcW w:w="923" w:type="dxa"/>
            <w:tcBorders>
              <w:left w:val="single" w:color="000000" w:sz="6" w:space="0"/>
            </w:tcBorders>
            <w:vAlign w:val="top"/>
          </w:tcPr>
          <w:p>
            <w:pPr>
              <w:pStyle w:val="6"/>
              <w:spacing w:line="256" w:lineRule="auto"/>
            </w:pPr>
          </w:p>
          <w:p>
            <w:pPr>
              <w:pStyle w:val="6"/>
              <w:spacing w:line="256" w:lineRule="auto"/>
            </w:pPr>
          </w:p>
          <w:p>
            <w:pPr>
              <w:pStyle w:val="6"/>
              <w:spacing w:line="257" w:lineRule="auto"/>
            </w:pPr>
          </w:p>
          <w:p>
            <w:pPr>
              <w:pStyle w:val="6"/>
              <w:spacing w:line="257" w:lineRule="auto"/>
            </w:pPr>
          </w:p>
          <w:p>
            <w:pPr>
              <w:pStyle w:val="6"/>
              <w:spacing w:line="257" w:lineRule="auto"/>
            </w:pPr>
          </w:p>
          <w:p>
            <w:pPr>
              <w:spacing w:before="65" w:line="298" w:lineRule="exact"/>
              <w:ind w:left="345"/>
              <w:rPr>
                <w:rFonts w:ascii="宋体" w:hAnsi="宋体" w:eastAsia="宋体" w:cs="宋体"/>
                <w:sz w:val="20"/>
                <w:szCs w:val="20"/>
              </w:rPr>
            </w:pPr>
            <w:r>
              <w:rPr>
                <w:rFonts w:ascii="宋体" w:hAnsi="宋体" w:eastAsia="宋体" w:cs="宋体"/>
                <w:spacing w:val="-22"/>
                <w:position w:val="2"/>
                <w:sz w:val="20"/>
                <w:szCs w:val="20"/>
              </w:rPr>
              <w:t>1.8</w:t>
            </w:r>
          </w:p>
        </w:tc>
        <w:tc>
          <w:tcPr>
            <w:tcW w:w="4762" w:type="dxa"/>
            <w:vAlign w:val="top"/>
          </w:tcPr>
          <w:p>
            <w:pPr>
              <w:pStyle w:val="6"/>
              <w:spacing w:line="257"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spacing w:before="65" w:line="222" w:lineRule="auto"/>
              <w:ind w:left="104"/>
              <w:rPr>
                <w:rFonts w:ascii="宋体" w:hAnsi="宋体" w:eastAsia="宋体" w:cs="宋体"/>
                <w:sz w:val="20"/>
                <w:szCs w:val="20"/>
              </w:rPr>
            </w:pPr>
            <w:r>
              <w:rPr>
                <w:rFonts w:ascii="宋体" w:hAnsi="宋体" w:eastAsia="宋体" w:cs="宋体"/>
                <w:spacing w:val="8"/>
                <w:sz w:val="20"/>
                <w:szCs w:val="20"/>
              </w:rPr>
              <w:t>智慧工地</w:t>
            </w:r>
          </w:p>
        </w:tc>
        <w:tc>
          <w:tcPr>
            <w:tcW w:w="1797" w:type="dxa"/>
            <w:vAlign w:val="top"/>
          </w:tcPr>
          <w:p>
            <w:pPr>
              <w:pStyle w:val="6"/>
            </w:pPr>
          </w:p>
        </w:tc>
        <w:tc>
          <w:tcPr>
            <w:tcW w:w="1807" w:type="dxa"/>
            <w:tcBorders>
              <w:right w:val="single" w:color="000000" w:sz="6" w:space="0"/>
            </w:tcBorders>
            <w:vAlign w:val="top"/>
          </w:tcPr>
          <w:p>
            <w:pPr>
              <w:spacing w:before="108" w:line="316" w:lineRule="auto"/>
              <w:ind w:left="112" w:right="47"/>
              <w:jc w:val="both"/>
              <w:rPr>
                <w:rFonts w:ascii="宋体" w:hAnsi="宋体" w:eastAsia="宋体" w:cs="宋体"/>
                <w:sz w:val="20"/>
                <w:szCs w:val="20"/>
              </w:rPr>
            </w:pPr>
            <w:r>
              <w:rPr>
                <w:rFonts w:ascii="宋体" w:hAnsi="宋体" w:eastAsia="宋体" w:cs="宋体"/>
                <w:spacing w:val="25"/>
                <w:sz w:val="20"/>
                <w:szCs w:val="20"/>
              </w:rPr>
              <w:t>按建设项目的建</w:t>
            </w:r>
            <w:r>
              <w:rPr>
                <w:rFonts w:ascii="宋体" w:hAnsi="宋体" w:eastAsia="宋体" w:cs="宋体"/>
                <w:spacing w:val="4"/>
                <w:sz w:val="20"/>
                <w:szCs w:val="20"/>
              </w:rPr>
              <w:t>筑面积进行计算，</w:t>
            </w:r>
            <w:r>
              <w:rPr>
                <w:rFonts w:ascii="宋体" w:hAnsi="宋体" w:eastAsia="宋体" w:cs="宋体"/>
                <w:spacing w:val="25"/>
                <w:sz w:val="20"/>
                <w:szCs w:val="20"/>
              </w:rPr>
              <w:t>其中一星级每平</w:t>
            </w:r>
            <w:r>
              <w:rPr>
                <w:rFonts w:ascii="宋体" w:hAnsi="宋体" w:eastAsia="宋体" w:cs="宋体"/>
                <w:spacing w:val="-5"/>
                <w:sz w:val="20"/>
                <w:szCs w:val="20"/>
              </w:rPr>
              <w:t>方米</w:t>
            </w:r>
            <w:r>
              <w:rPr>
                <w:rFonts w:ascii="宋体" w:hAnsi="宋体" w:eastAsia="宋体" w:cs="宋体"/>
                <w:spacing w:val="-32"/>
                <w:sz w:val="20"/>
                <w:szCs w:val="20"/>
              </w:rPr>
              <w:t xml:space="preserve"> </w:t>
            </w:r>
            <w:r>
              <w:rPr>
                <w:rFonts w:ascii="宋体" w:hAnsi="宋体" w:eastAsia="宋体" w:cs="宋体"/>
                <w:spacing w:val="-5"/>
                <w:sz w:val="20"/>
                <w:szCs w:val="20"/>
              </w:rPr>
              <w:t>2-5</w:t>
            </w:r>
            <w:r>
              <w:rPr>
                <w:rFonts w:ascii="宋体" w:hAnsi="宋体" w:eastAsia="宋体" w:cs="宋体"/>
                <w:spacing w:val="-45"/>
                <w:sz w:val="20"/>
                <w:szCs w:val="20"/>
              </w:rPr>
              <w:t xml:space="preserve"> </w:t>
            </w:r>
            <w:r>
              <w:rPr>
                <w:rFonts w:ascii="宋体" w:hAnsi="宋体" w:eastAsia="宋体" w:cs="宋体"/>
                <w:spacing w:val="-5"/>
                <w:sz w:val="20"/>
                <w:szCs w:val="20"/>
              </w:rPr>
              <w:t>元，二星</w:t>
            </w:r>
            <w:r>
              <w:rPr>
                <w:rFonts w:ascii="宋体" w:hAnsi="宋体" w:eastAsia="宋体" w:cs="宋体"/>
                <w:spacing w:val="18"/>
                <w:sz w:val="20"/>
                <w:szCs w:val="20"/>
              </w:rPr>
              <w:t>级</w:t>
            </w:r>
            <w:r>
              <w:rPr>
                <w:rFonts w:ascii="宋体" w:hAnsi="宋体" w:eastAsia="宋体" w:cs="宋体"/>
                <w:spacing w:val="-52"/>
                <w:sz w:val="20"/>
                <w:szCs w:val="20"/>
              </w:rPr>
              <w:t xml:space="preserve"> </w:t>
            </w:r>
            <w:r>
              <w:rPr>
                <w:rFonts w:ascii="宋体" w:hAnsi="宋体" w:eastAsia="宋体" w:cs="宋体"/>
                <w:spacing w:val="18"/>
                <w:sz w:val="20"/>
                <w:szCs w:val="20"/>
              </w:rPr>
              <w:t>每平方米</w:t>
            </w:r>
            <w:r>
              <w:rPr>
                <w:rFonts w:ascii="宋体" w:hAnsi="宋体" w:eastAsia="宋体" w:cs="宋体"/>
                <w:spacing w:val="-14"/>
                <w:sz w:val="20"/>
                <w:szCs w:val="20"/>
              </w:rPr>
              <w:t xml:space="preserve"> </w:t>
            </w:r>
            <w:r>
              <w:rPr>
                <w:rFonts w:ascii="宋体" w:hAnsi="宋体" w:eastAsia="宋体" w:cs="宋体"/>
                <w:spacing w:val="18"/>
                <w:sz w:val="20"/>
                <w:szCs w:val="20"/>
              </w:rPr>
              <w:t>4-8</w:t>
            </w:r>
            <w:r>
              <w:rPr>
                <w:rFonts w:ascii="宋体" w:hAnsi="宋体" w:eastAsia="宋体" w:cs="宋体"/>
                <w:spacing w:val="-3"/>
                <w:sz w:val="20"/>
                <w:szCs w:val="20"/>
              </w:rPr>
              <w:t>元，三星级每平方</w:t>
            </w:r>
            <w:r>
              <w:rPr>
                <w:rFonts w:ascii="宋体" w:hAnsi="宋体" w:eastAsia="宋体" w:cs="宋体"/>
                <w:spacing w:val="6"/>
                <w:sz w:val="20"/>
                <w:szCs w:val="20"/>
              </w:rPr>
              <w:t>米</w:t>
            </w:r>
            <w:r>
              <w:rPr>
                <w:rFonts w:ascii="宋体" w:hAnsi="宋体" w:eastAsia="宋体" w:cs="宋体"/>
                <w:spacing w:val="-34"/>
                <w:sz w:val="20"/>
                <w:szCs w:val="20"/>
              </w:rPr>
              <w:t xml:space="preserve"> </w:t>
            </w:r>
            <w:r>
              <w:rPr>
                <w:rFonts w:ascii="宋体" w:hAnsi="宋体" w:eastAsia="宋体" w:cs="宋体"/>
                <w:spacing w:val="6"/>
                <w:sz w:val="20"/>
                <w:szCs w:val="20"/>
              </w:rPr>
              <w:t>6-10</w:t>
            </w:r>
            <w:r>
              <w:rPr>
                <w:rFonts w:ascii="宋体" w:hAnsi="宋体" w:eastAsia="宋体" w:cs="宋体"/>
                <w:spacing w:val="-40"/>
                <w:sz w:val="20"/>
                <w:szCs w:val="20"/>
              </w:rPr>
              <w:t xml:space="preserve"> </w:t>
            </w:r>
            <w:r>
              <w:rPr>
                <w:rFonts w:ascii="宋体" w:hAnsi="宋体" w:eastAsia="宋体" w:cs="宋体"/>
                <w:spacing w:val="6"/>
                <w:sz w:val="20"/>
                <w:szCs w:val="20"/>
              </w:rPr>
              <w:t>元。该费</w:t>
            </w:r>
            <w:r>
              <w:rPr>
                <w:rFonts w:ascii="宋体" w:hAnsi="宋体" w:eastAsia="宋体" w:cs="宋体"/>
                <w:spacing w:val="25"/>
                <w:sz w:val="20"/>
                <w:szCs w:val="20"/>
              </w:rPr>
              <w:t>用不再计取企业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38" w:line="269" w:lineRule="exact"/>
              <w:ind w:left="404"/>
              <w:rPr>
                <w:rFonts w:ascii="宋体" w:hAnsi="宋体" w:eastAsia="宋体" w:cs="宋体"/>
                <w:sz w:val="20"/>
                <w:szCs w:val="20"/>
              </w:rPr>
            </w:pPr>
            <w:r>
              <w:rPr>
                <w:rFonts w:ascii="宋体" w:hAnsi="宋体" w:eastAsia="宋体" w:cs="宋体"/>
                <w:position w:val="1"/>
                <w:sz w:val="20"/>
                <w:szCs w:val="20"/>
              </w:rPr>
              <w:t>2</w:t>
            </w:r>
          </w:p>
        </w:tc>
        <w:tc>
          <w:tcPr>
            <w:tcW w:w="4762" w:type="dxa"/>
            <w:vAlign w:val="top"/>
          </w:tcPr>
          <w:p>
            <w:pPr>
              <w:spacing w:before="142" w:line="220" w:lineRule="auto"/>
              <w:ind w:left="1017"/>
              <w:rPr>
                <w:rFonts w:ascii="宋体" w:hAnsi="宋体" w:eastAsia="宋体" w:cs="宋体"/>
                <w:sz w:val="20"/>
                <w:szCs w:val="20"/>
              </w:rPr>
            </w:pPr>
            <w:r>
              <w:rPr>
                <w:rFonts w:ascii="宋体" w:hAnsi="宋体" w:eastAsia="宋体" w:cs="宋体"/>
                <w:spacing w:val="9"/>
                <w:sz w:val="20"/>
                <w:szCs w:val="20"/>
              </w:rPr>
              <w:t>安装工程、房屋修缮安装工程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39" w:line="268" w:lineRule="exact"/>
              <w:ind w:left="328"/>
              <w:rPr>
                <w:rFonts w:ascii="宋体" w:hAnsi="宋体" w:eastAsia="宋体" w:cs="宋体"/>
                <w:sz w:val="20"/>
                <w:szCs w:val="20"/>
              </w:rPr>
            </w:pPr>
            <w:r>
              <w:rPr>
                <w:rFonts w:ascii="宋体" w:hAnsi="宋体" w:eastAsia="宋体" w:cs="宋体"/>
                <w:spacing w:val="-17"/>
                <w:position w:val="1"/>
                <w:sz w:val="20"/>
                <w:szCs w:val="20"/>
              </w:rPr>
              <w:t>2.1</w:t>
            </w:r>
          </w:p>
        </w:tc>
        <w:tc>
          <w:tcPr>
            <w:tcW w:w="4762" w:type="dxa"/>
            <w:vAlign w:val="top"/>
          </w:tcPr>
          <w:p>
            <w:pPr>
              <w:spacing w:before="145" w:line="219" w:lineRule="auto"/>
              <w:ind w:left="128"/>
              <w:rPr>
                <w:rFonts w:ascii="宋体" w:hAnsi="宋体" w:eastAsia="宋体" w:cs="宋体"/>
                <w:sz w:val="20"/>
                <w:szCs w:val="20"/>
              </w:rPr>
            </w:pPr>
            <w:r>
              <w:rPr>
                <w:rFonts w:ascii="宋体" w:hAnsi="宋体" w:eastAsia="宋体" w:cs="宋体"/>
                <w:spacing w:val="2"/>
                <w:sz w:val="20"/>
                <w:szCs w:val="20"/>
              </w:rPr>
              <w:t>吊装加固</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1" w:line="266" w:lineRule="exact"/>
              <w:ind w:left="328"/>
              <w:rPr>
                <w:rFonts w:ascii="宋体" w:hAnsi="宋体" w:eastAsia="宋体" w:cs="宋体"/>
                <w:sz w:val="20"/>
                <w:szCs w:val="20"/>
              </w:rPr>
            </w:pPr>
            <w:r>
              <w:rPr>
                <w:rFonts w:ascii="宋体" w:hAnsi="宋体" w:eastAsia="宋体" w:cs="宋体"/>
                <w:spacing w:val="-17"/>
                <w:position w:val="1"/>
                <w:sz w:val="20"/>
                <w:szCs w:val="20"/>
              </w:rPr>
              <w:t>2.2</w:t>
            </w:r>
          </w:p>
        </w:tc>
        <w:tc>
          <w:tcPr>
            <w:tcW w:w="4762" w:type="dxa"/>
            <w:vAlign w:val="top"/>
          </w:tcPr>
          <w:p>
            <w:pPr>
              <w:spacing w:before="146" w:line="219" w:lineRule="auto"/>
              <w:ind w:left="104"/>
              <w:rPr>
                <w:rFonts w:ascii="宋体" w:hAnsi="宋体" w:eastAsia="宋体" w:cs="宋体"/>
                <w:sz w:val="20"/>
                <w:szCs w:val="20"/>
              </w:rPr>
            </w:pPr>
            <w:r>
              <w:rPr>
                <w:rFonts w:ascii="宋体" w:hAnsi="宋体" w:eastAsia="宋体" w:cs="宋体"/>
                <w:spacing w:val="9"/>
                <w:sz w:val="20"/>
                <w:szCs w:val="20"/>
              </w:rPr>
              <w:t>金属抱杆安装、拆除、移位</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1" w:line="266" w:lineRule="exact"/>
              <w:ind w:left="328"/>
              <w:rPr>
                <w:rFonts w:ascii="宋体" w:hAnsi="宋体" w:eastAsia="宋体" w:cs="宋体"/>
                <w:sz w:val="20"/>
                <w:szCs w:val="20"/>
              </w:rPr>
            </w:pPr>
            <w:r>
              <w:rPr>
                <w:rFonts w:ascii="宋体" w:hAnsi="宋体" w:eastAsia="宋体" w:cs="宋体"/>
                <w:spacing w:val="-17"/>
                <w:position w:val="1"/>
                <w:sz w:val="20"/>
                <w:szCs w:val="20"/>
              </w:rPr>
              <w:t>2.3</w:t>
            </w:r>
          </w:p>
        </w:tc>
        <w:tc>
          <w:tcPr>
            <w:tcW w:w="4762" w:type="dxa"/>
            <w:vAlign w:val="top"/>
          </w:tcPr>
          <w:p>
            <w:pPr>
              <w:spacing w:before="144" w:line="222" w:lineRule="auto"/>
              <w:ind w:left="103"/>
              <w:rPr>
                <w:rFonts w:ascii="宋体" w:hAnsi="宋体" w:eastAsia="宋体" w:cs="宋体"/>
                <w:sz w:val="20"/>
                <w:szCs w:val="20"/>
              </w:rPr>
            </w:pPr>
            <w:r>
              <w:rPr>
                <w:rFonts w:ascii="宋体" w:hAnsi="宋体" w:eastAsia="宋体" w:cs="宋体"/>
                <w:spacing w:val="9"/>
                <w:sz w:val="20"/>
                <w:szCs w:val="20"/>
              </w:rPr>
              <w:t>平台铺设、拆除</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2" w:line="265" w:lineRule="exact"/>
              <w:ind w:left="328"/>
              <w:rPr>
                <w:rFonts w:ascii="宋体" w:hAnsi="宋体" w:eastAsia="宋体" w:cs="宋体"/>
                <w:sz w:val="20"/>
                <w:szCs w:val="20"/>
              </w:rPr>
            </w:pPr>
            <w:r>
              <w:rPr>
                <w:rFonts w:ascii="宋体" w:hAnsi="宋体" w:eastAsia="宋体" w:cs="宋体"/>
                <w:spacing w:val="-17"/>
                <w:position w:val="1"/>
                <w:sz w:val="20"/>
                <w:szCs w:val="20"/>
              </w:rPr>
              <w:t>2.4</w:t>
            </w:r>
          </w:p>
        </w:tc>
        <w:tc>
          <w:tcPr>
            <w:tcW w:w="4762" w:type="dxa"/>
            <w:vAlign w:val="top"/>
          </w:tcPr>
          <w:p>
            <w:pPr>
              <w:spacing w:before="147" w:line="219" w:lineRule="auto"/>
              <w:ind w:left="105"/>
              <w:rPr>
                <w:rFonts w:ascii="宋体" w:hAnsi="宋体" w:eastAsia="宋体" w:cs="宋体"/>
                <w:sz w:val="20"/>
                <w:szCs w:val="20"/>
              </w:rPr>
            </w:pPr>
            <w:r>
              <w:rPr>
                <w:rFonts w:ascii="宋体" w:hAnsi="宋体" w:eastAsia="宋体" w:cs="宋体"/>
                <w:spacing w:val="9"/>
                <w:sz w:val="20"/>
                <w:szCs w:val="20"/>
              </w:rPr>
              <w:t>顶升、提升装置</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4" w:line="263" w:lineRule="exact"/>
              <w:ind w:left="328"/>
              <w:rPr>
                <w:rFonts w:ascii="宋体" w:hAnsi="宋体" w:eastAsia="宋体" w:cs="宋体"/>
                <w:sz w:val="20"/>
                <w:szCs w:val="20"/>
              </w:rPr>
            </w:pPr>
            <w:r>
              <w:rPr>
                <w:rFonts w:ascii="宋体" w:hAnsi="宋体" w:eastAsia="宋体" w:cs="宋体"/>
                <w:spacing w:val="-17"/>
                <w:position w:val="1"/>
                <w:sz w:val="20"/>
                <w:szCs w:val="20"/>
              </w:rPr>
              <w:t>2.5</w:t>
            </w:r>
          </w:p>
        </w:tc>
        <w:tc>
          <w:tcPr>
            <w:tcW w:w="4762" w:type="dxa"/>
            <w:vAlign w:val="top"/>
          </w:tcPr>
          <w:p>
            <w:pPr>
              <w:spacing w:before="148" w:line="222" w:lineRule="auto"/>
              <w:ind w:left="109"/>
              <w:rPr>
                <w:rFonts w:ascii="宋体" w:hAnsi="宋体" w:eastAsia="宋体" w:cs="宋体"/>
                <w:sz w:val="20"/>
                <w:szCs w:val="20"/>
              </w:rPr>
            </w:pPr>
            <w:r>
              <w:rPr>
                <w:rFonts w:ascii="宋体" w:hAnsi="宋体" w:eastAsia="宋体" w:cs="宋体"/>
                <w:spacing w:val="8"/>
                <w:sz w:val="20"/>
                <w:szCs w:val="20"/>
              </w:rPr>
              <w:t>大型设备专用机具</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4" w:line="263" w:lineRule="exact"/>
              <w:ind w:left="328"/>
              <w:rPr>
                <w:rFonts w:ascii="宋体" w:hAnsi="宋体" w:eastAsia="宋体" w:cs="宋体"/>
                <w:sz w:val="20"/>
                <w:szCs w:val="20"/>
              </w:rPr>
            </w:pPr>
            <w:r>
              <w:rPr>
                <w:rFonts w:ascii="宋体" w:hAnsi="宋体" w:eastAsia="宋体" w:cs="宋体"/>
                <w:spacing w:val="-17"/>
                <w:position w:val="1"/>
                <w:sz w:val="20"/>
                <w:szCs w:val="20"/>
              </w:rPr>
              <w:t>2.6</w:t>
            </w:r>
          </w:p>
        </w:tc>
        <w:tc>
          <w:tcPr>
            <w:tcW w:w="4762" w:type="dxa"/>
            <w:vAlign w:val="top"/>
          </w:tcPr>
          <w:p>
            <w:pPr>
              <w:spacing w:before="150" w:line="218" w:lineRule="auto"/>
              <w:ind w:left="106"/>
              <w:rPr>
                <w:rFonts w:ascii="宋体" w:hAnsi="宋体" w:eastAsia="宋体" w:cs="宋体"/>
                <w:sz w:val="20"/>
                <w:szCs w:val="20"/>
              </w:rPr>
            </w:pPr>
            <w:r>
              <w:rPr>
                <w:rFonts w:ascii="宋体" w:hAnsi="宋体" w:eastAsia="宋体" w:cs="宋体"/>
                <w:spacing w:val="8"/>
                <w:sz w:val="20"/>
                <w:szCs w:val="20"/>
              </w:rPr>
              <w:t>焊接工艺评定</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5" w:line="242" w:lineRule="auto"/>
              <w:ind w:left="328"/>
              <w:rPr>
                <w:rFonts w:ascii="宋体" w:hAnsi="宋体" w:eastAsia="宋体" w:cs="宋体"/>
                <w:sz w:val="20"/>
                <w:szCs w:val="20"/>
              </w:rPr>
            </w:pPr>
            <w:r>
              <w:rPr>
                <w:rFonts w:ascii="宋体" w:hAnsi="宋体" w:eastAsia="宋体" w:cs="宋体"/>
                <w:spacing w:val="-17"/>
                <w:sz w:val="20"/>
                <w:szCs w:val="20"/>
              </w:rPr>
              <w:t>2.7</w:t>
            </w:r>
          </w:p>
        </w:tc>
        <w:tc>
          <w:tcPr>
            <w:tcW w:w="4762" w:type="dxa"/>
            <w:vAlign w:val="top"/>
          </w:tcPr>
          <w:p>
            <w:pPr>
              <w:spacing w:before="145" w:line="242" w:lineRule="auto"/>
              <w:ind w:left="105"/>
              <w:rPr>
                <w:rFonts w:ascii="宋体" w:hAnsi="宋体" w:eastAsia="宋体" w:cs="宋体"/>
                <w:sz w:val="20"/>
                <w:szCs w:val="20"/>
              </w:rPr>
            </w:pPr>
            <w:r>
              <w:rPr>
                <w:rFonts w:ascii="宋体" w:hAnsi="宋体" w:eastAsia="宋体" w:cs="宋体"/>
                <w:spacing w:val="9"/>
                <w:sz w:val="20"/>
                <w:szCs w:val="20"/>
              </w:rPr>
              <w:t>胎（模）具制作、安装、拆除</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7"/>
              <w:ind w:left="328"/>
              <w:rPr>
                <w:rFonts w:ascii="宋体" w:hAnsi="宋体" w:eastAsia="宋体" w:cs="宋体"/>
                <w:sz w:val="20"/>
                <w:szCs w:val="20"/>
              </w:rPr>
            </w:pPr>
            <w:r>
              <w:rPr>
                <w:rFonts w:ascii="宋体" w:hAnsi="宋体" w:eastAsia="宋体" w:cs="宋体"/>
                <w:spacing w:val="-17"/>
                <w:sz w:val="20"/>
                <w:szCs w:val="20"/>
              </w:rPr>
              <w:t>2.8</w:t>
            </w:r>
          </w:p>
        </w:tc>
        <w:tc>
          <w:tcPr>
            <w:tcW w:w="4762" w:type="dxa"/>
            <w:vAlign w:val="top"/>
          </w:tcPr>
          <w:p>
            <w:pPr>
              <w:spacing w:before="152" w:line="220" w:lineRule="auto"/>
              <w:ind w:left="119"/>
              <w:rPr>
                <w:rFonts w:ascii="宋体" w:hAnsi="宋体" w:eastAsia="宋体" w:cs="宋体"/>
                <w:sz w:val="20"/>
                <w:szCs w:val="20"/>
              </w:rPr>
            </w:pPr>
            <w:r>
              <w:rPr>
                <w:rFonts w:ascii="宋体" w:hAnsi="宋体" w:eastAsia="宋体" w:cs="宋体"/>
                <w:spacing w:val="8"/>
                <w:sz w:val="20"/>
                <w:szCs w:val="20"/>
              </w:rPr>
              <w:t>防护棚制作、安装、拆除</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46" w:line="241" w:lineRule="auto"/>
              <w:ind w:left="328"/>
              <w:rPr>
                <w:rFonts w:ascii="宋体" w:hAnsi="宋体" w:eastAsia="宋体" w:cs="宋体"/>
                <w:sz w:val="20"/>
                <w:szCs w:val="20"/>
              </w:rPr>
            </w:pPr>
            <w:r>
              <w:rPr>
                <w:rFonts w:ascii="宋体" w:hAnsi="宋体" w:eastAsia="宋体" w:cs="宋体"/>
                <w:spacing w:val="-17"/>
                <w:sz w:val="20"/>
                <w:szCs w:val="20"/>
              </w:rPr>
              <w:t>2.9</w:t>
            </w:r>
          </w:p>
        </w:tc>
        <w:tc>
          <w:tcPr>
            <w:tcW w:w="4762" w:type="dxa"/>
            <w:vAlign w:val="top"/>
          </w:tcPr>
          <w:p>
            <w:pPr>
              <w:spacing w:before="152" w:line="218" w:lineRule="auto"/>
              <w:ind w:left="106"/>
              <w:rPr>
                <w:rFonts w:ascii="宋体" w:hAnsi="宋体" w:eastAsia="宋体" w:cs="宋体"/>
                <w:sz w:val="20"/>
                <w:szCs w:val="20"/>
              </w:rPr>
            </w:pPr>
            <w:r>
              <w:rPr>
                <w:rFonts w:ascii="宋体" w:hAnsi="宋体" w:eastAsia="宋体" w:cs="宋体"/>
                <w:spacing w:val="8"/>
                <w:sz w:val="20"/>
                <w:szCs w:val="20"/>
              </w:rPr>
              <w:t>特殊地区施工增加</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923" w:type="dxa"/>
            <w:tcBorders>
              <w:left w:val="single" w:color="000000" w:sz="6" w:space="0"/>
            </w:tcBorders>
            <w:vAlign w:val="top"/>
          </w:tcPr>
          <w:p>
            <w:pPr>
              <w:spacing w:before="148"/>
              <w:ind w:left="275"/>
              <w:rPr>
                <w:rFonts w:ascii="宋体" w:hAnsi="宋体" w:eastAsia="宋体" w:cs="宋体"/>
                <w:sz w:val="20"/>
                <w:szCs w:val="20"/>
              </w:rPr>
            </w:pPr>
            <w:r>
              <w:rPr>
                <w:rFonts w:ascii="宋体" w:hAnsi="宋体" w:eastAsia="宋体" w:cs="宋体"/>
                <w:spacing w:val="-11"/>
                <w:sz w:val="20"/>
                <w:szCs w:val="20"/>
              </w:rPr>
              <w:t>2.10</w:t>
            </w:r>
          </w:p>
        </w:tc>
        <w:tc>
          <w:tcPr>
            <w:tcW w:w="4762" w:type="dxa"/>
            <w:vAlign w:val="top"/>
          </w:tcPr>
          <w:p>
            <w:pPr>
              <w:spacing w:before="153" w:line="219" w:lineRule="auto"/>
              <w:ind w:left="105"/>
              <w:rPr>
                <w:rFonts w:ascii="宋体" w:hAnsi="宋体" w:eastAsia="宋体" w:cs="宋体"/>
                <w:sz w:val="20"/>
                <w:szCs w:val="20"/>
              </w:rPr>
            </w:pPr>
            <w:r>
              <w:rPr>
                <w:rFonts w:ascii="宋体" w:hAnsi="宋体" w:eastAsia="宋体" w:cs="宋体"/>
                <w:spacing w:val="9"/>
                <w:sz w:val="20"/>
                <w:szCs w:val="20"/>
              </w:rPr>
              <w:t>安装与生产同时进行施工增加</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923" w:type="dxa"/>
            <w:tcBorders>
              <w:left w:val="single" w:color="000000" w:sz="6" w:space="0"/>
            </w:tcBorders>
            <w:vAlign w:val="top"/>
          </w:tcPr>
          <w:p>
            <w:pPr>
              <w:spacing w:before="150" w:line="239" w:lineRule="auto"/>
              <w:ind w:left="275"/>
              <w:rPr>
                <w:rFonts w:ascii="宋体" w:hAnsi="宋体" w:eastAsia="宋体" w:cs="宋体"/>
                <w:sz w:val="20"/>
                <w:szCs w:val="20"/>
              </w:rPr>
            </w:pPr>
            <w:r>
              <w:rPr>
                <w:rFonts w:ascii="宋体" w:hAnsi="宋体" w:eastAsia="宋体" w:cs="宋体"/>
                <w:spacing w:val="-11"/>
                <w:sz w:val="20"/>
                <w:szCs w:val="20"/>
              </w:rPr>
              <w:t>2.11</w:t>
            </w:r>
          </w:p>
        </w:tc>
        <w:tc>
          <w:tcPr>
            <w:tcW w:w="4762" w:type="dxa"/>
            <w:vAlign w:val="top"/>
          </w:tcPr>
          <w:p>
            <w:pPr>
              <w:spacing w:before="151" w:line="224" w:lineRule="auto"/>
              <w:ind w:left="106"/>
              <w:rPr>
                <w:rFonts w:ascii="宋体" w:hAnsi="宋体" w:eastAsia="宋体" w:cs="宋体"/>
                <w:sz w:val="20"/>
                <w:szCs w:val="20"/>
              </w:rPr>
            </w:pPr>
            <w:r>
              <w:rPr>
                <w:rFonts w:ascii="宋体" w:hAnsi="宋体" w:eastAsia="宋体" w:cs="宋体"/>
                <w:spacing w:val="9"/>
                <w:sz w:val="20"/>
                <w:szCs w:val="20"/>
              </w:rPr>
              <w:t>在有害身体健康环境施工增加</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923" w:type="dxa"/>
            <w:tcBorders>
              <w:left w:val="single" w:color="000000" w:sz="6" w:space="0"/>
            </w:tcBorders>
            <w:vAlign w:val="top"/>
          </w:tcPr>
          <w:p>
            <w:pPr>
              <w:spacing w:before="147" w:line="241" w:lineRule="auto"/>
              <w:ind w:left="275"/>
              <w:rPr>
                <w:rFonts w:ascii="宋体" w:hAnsi="宋体" w:eastAsia="宋体" w:cs="宋体"/>
                <w:sz w:val="20"/>
                <w:szCs w:val="20"/>
              </w:rPr>
            </w:pPr>
            <w:r>
              <w:rPr>
                <w:rFonts w:ascii="宋体" w:hAnsi="宋体" w:eastAsia="宋体" w:cs="宋体"/>
                <w:spacing w:val="-11"/>
                <w:sz w:val="20"/>
                <w:szCs w:val="20"/>
              </w:rPr>
              <w:t>2.12</w:t>
            </w:r>
          </w:p>
        </w:tc>
        <w:tc>
          <w:tcPr>
            <w:tcW w:w="4762" w:type="dxa"/>
            <w:vAlign w:val="top"/>
          </w:tcPr>
          <w:p>
            <w:pPr>
              <w:spacing w:before="153" w:line="218" w:lineRule="auto"/>
              <w:ind w:left="105"/>
              <w:rPr>
                <w:rFonts w:ascii="宋体" w:hAnsi="宋体" w:eastAsia="宋体" w:cs="宋体"/>
                <w:sz w:val="20"/>
                <w:szCs w:val="20"/>
              </w:rPr>
            </w:pPr>
            <w:r>
              <w:rPr>
                <w:rFonts w:ascii="宋体" w:hAnsi="宋体" w:eastAsia="宋体" w:cs="宋体"/>
                <w:spacing w:val="9"/>
                <w:sz w:val="20"/>
                <w:szCs w:val="20"/>
              </w:rPr>
              <w:t>工程系统检测、检验</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923" w:type="dxa"/>
            <w:tcBorders>
              <w:left w:val="single" w:color="000000" w:sz="6" w:space="0"/>
            </w:tcBorders>
            <w:vAlign w:val="top"/>
          </w:tcPr>
          <w:p>
            <w:pPr>
              <w:spacing w:before="148"/>
              <w:ind w:left="275"/>
              <w:rPr>
                <w:rFonts w:ascii="宋体" w:hAnsi="宋体" w:eastAsia="宋体" w:cs="宋体"/>
                <w:sz w:val="20"/>
                <w:szCs w:val="20"/>
              </w:rPr>
            </w:pPr>
            <w:r>
              <w:rPr>
                <w:rFonts w:ascii="宋体" w:hAnsi="宋体" w:eastAsia="宋体" w:cs="宋体"/>
                <w:spacing w:val="-11"/>
                <w:sz w:val="20"/>
                <w:szCs w:val="20"/>
              </w:rPr>
              <w:t>2.13</w:t>
            </w:r>
          </w:p>
        </w:tc>
        <w:tc>
          <w:tcPr>
            <w:tcW w:w="4762" w:type="dxa"/>
            <w:vAlign w:val="top"/>
          </w:tcPr>
          <w:p>
            <w:pPr>
              <w:spacing w:before="152" w:line="221" w:lineRule="auto"/>
              <w:ind w:left="101"/>
              <w:rPr>
                <w:rFonts w:ascii="宋体" w:hAnsi="宋体" w:eastAsia="宋体" w:cs="宋体"/>
                <w:sz w:val="20"/>
                <w:szCs w:val="20"/>
              </w:rPr>
            </w:pPr>
            <w:r>
              <w:rPr>
                <w:rFonts w:ascii="宋体" w:hAnsi="宋体" w:eastAsia="宋体" w:cs="宋体"/>
                <w:spacing w:val="9"/>
                <w:sz w:val="20"/>
                <w:szCs w:val="20"/>
              </w:rPr>
              <w:t>设备、管道施工的安全、防冻和焊接保护</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923" w:type="dxa"/>
            <w:tcBorders>
              <w:left w:val="single" w:color="000000" w:sz="6" w:space="0"/>
            </w:tcBorders>
            <w:vAlign w:val="top"/>
          </w:tcPr>
          <w:p>
            <w:pPr>
              <w:spacing w:before="150" w:line="238" w:lineRule="auto"/>
              <w:ind w:left="275"/>
              <w:rPr>
                <w:rFonts w:ascii="宋体" w:hAnsi="宋体" w:eastAsia="宋体" w:cs="宋体"/>
                <w:sz w:val="20"/>
                <w:szCs w:val="20"/>
              </w:rPr>
            </w:pPr>
            <w:r>
              <w:rPr>
                <w:rFonts w:ascii="宋体" w:hAnsi="宋体" w:eastAsia="宋体" w:cs="宋体"/>
                <w:spacing w:val="-11"/>
                <w:sz w:val="20"/>
                <w:szCs w:val="20"/>
              </w:rPr>
              <w:t>2.14</w:t>
            </w:r>
          </w:p>
        </w:tc>
        <w:tc>
          <w:tcPr>
            <w:tcW w:w="4762" w:type="dxa"/>
            <w:vAlign w:val="top"/>
          </w:tcPr>
          <w:p>
            <w:pPr>
              <w:spacing w:before="150" w:line="238" w:lineRule="auto"/>
              <w:ind w:left="106"/>
              <w:rPr>
                <w:rFonts w:ascii="宋体" w:hAnsi="宋体" w:eastAsia="宋体" w:cs="宋体"/>
                <w:sz w:val="20"/>
                <w:szCs w:val="20"/>
              </w:rPr>
            </w:pPr>
            <w:r>
              <w:rPr>
                <w:rFonts w:ascii="宋体" w:hAnsi="宋体" w:eastAsia="宋体" w:cs="宋体"/>
                <w:spacing w:val="9"/>
                <w:sz w:val="20"/>
                <w:szCs w:val="20"/>
              </w:rPr>
              <w:t>焦炉烘炉、热态工程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923" w:type="dxa"/>
            <w:tcBorders>
              <w:left w:val="single" w:color="000000" w:sz="6" w:space="0"/>
            </w:tcBorders>
            <w:vAlign w:val="top"/>
          </w:tcPr>
          <w:p>
            <w:pPr>
              <w:spacing w:before="148"/>
              <w:ind w:left="275"/>
              <w:rPr>
                <w:rFonts w:ascii="宋体" w:hAnsi="宋体" w:eastAsia="宋体" w:cs="宋体"/>
                <w:sz w:val="20"/>
                <w:szCs w:val="20"/>
              </w:rPr>
            </w:pPr>
            <w:r>
              <w:rPr>
                <w:rFonts w:ascii="宋体" w:hAnsi="宋体" w:eastAsia="宋体" w:cs="宋体"/>
                <w:spacing w:val="-11"/>
                <w:sz w:val="20"/>
                <w:szCs w:val="20"/>
              </w:rPr>
              <w:t>2.15</w:t>
            </w:r>
          </w:p>
        </w:tc>
        <w:tc>
          <w:tcPr>
            <w:tcW w:w="4762" w:type="dxa"/>
            <w:vAlign w:val="top"/>
          </w:tcPr>
          <w:p>
            <w:pPr>
              <w:spacing w:before="153" w:line="222" w:lineRule="auto"/>
              <w:ind w:left="106"/>
              <w:rPr>
                <w:rFonts w:ascii="宋体" w:hAnsi="宋体" w:eastAsia="宋体" w:cs="宋体"/>
                <w:sz w:val="20"/>
                <w:szCs w:val="20"/>
              </w:rPr>
            </w:pPr>
            <w:r>
              <w:rPr>
                <w:rFonts w:ascii="宋体" w:hAnsi="宋体" w:eastAsia="宋体" w:cs="宋体"/>
                <w:spacing w:val="9"/>
                <w:sz w:val="20"/>
                <w:szCs w:val="20"/>
              </w:rPr>
              <w:t>管道安拆后的充气保护</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923" w:type="dxa"/>
            <w:tcBorders>
              <w:left w:val="single" w:color="000000" w:sz="6" w:space="0"/>
              <w:bottom w:val="single" w:color="000000" w:sz="6" w:space="0"/>
            </w:tcBorders>
            <w:vAlign w:val="top"/>
          </w:tcPr>
          <w:p>
            <w:pPr>
              <w:spacing w:before="169" w:line="292" w:lineRule="exact"/>
              <w:ind w:left="275"/>
              <w:rPr>
                <w:rFonts w:ascii="宋体" w:hAnsi="宋体" w:eastAsia="宋体" w:cs="宋体"/>
                <w:sz w:val="20"/>
                <w:szCs w:val="20"/>
              </w:rPr>
            </w:pPr>
            <w:r>
              <w:rPr>
                <w:rFonts w:ascii="宋体" w:hAnsi="宋体" w:eastAsia="宋体" w:cs="宋体"/>
                <w:spacing w:val="-11"/>
                <w:position w:val="2"/>
                <w:sz w:val="20"/>
                <w:szCs w:val="20"/>
              </w:rPr>
              <w:t>2.16</w:t>
            </w:r>
          </w:p>
        </w:tc>
        <w:tc>
          <w:tcPr>
            <w:tcW w:w="4762" w:type="dxa"/>
            <w:tcBorders>
              <w:bottom w:val="single" w:color="000000" w:sz="6" w:space="0"/>
            </w:tcBorders>
            <w:vAlign w:val="top"/>
          </w:tcPr>
          <w:p>
            <w:pPr>
              <w:spacing w:before="127" w:line="222" w:lineRule="auto"/>
              <w:ind w:left="115"/>
              <w:rPr>
                <w:rFonts w:ascii="宋体" w:hAnsi="宋体" w:eastAsia="宋体" w:cs="宋体"/>
                <w:sz w:val="20"/>
                <w:szCs w:val="20"/>
              </w:rPr>
            </w:pPr>
            <w:r>
              <w:rPr>
                <w:rFonts w:ascii="宋体" w:hAnsi="宋体" w:eastAsia="宋体" w:cs="宋体"/>
                <w:spacing w:val="6"/>
                <w:sz w:val="20"/>
                <w:szCs w:val="20"/>
              </w:rPr>
              <w:t>隧道内施工的通风、供水、供气、供电、照明及通</w:t>
            </w:r>
          </w:p>
        </w:tc>
        <w:tc>
          <w:tcPr>
            <w:tcW w:w="1797" w:type="dxa"/>
            <w:tcBorders>
              <w:bottom w:val="single" w:color="000000" w:sz="6" w:space="0"/>
            </w:tcBorders>
            <w:vAlign w:val="top"/>
          </w:tcPr>
          <w:p>
            <w:pPr>
              <w:pStyle w:val="6"/>
            </w:pPr>
          </w:p>
        </w:tc>
        <w:tc>
          <w:tcPr>
            <w:tcW w:w="1807" w:type="dxa"/>
            <w:tcBorders>
              <w:bottom w:val="single" w:color="000000" w:sz="6" w:space="0"/>
              <w:right w:val="single" w:color="000000" w:sz="6" w:space="0"/>
            </w:tcBorders>
            <w:vAlign w:val="top"/>
          </w:tcPr>
          <w:p>
            <w:pPr>
              <w:pStyle w:val="6"/>
            </w:pPr>
          </w:p>
        </w:tc>
      </w:tr>
    </w:tbl>
    <w:p>
      <w:pPr>
        <w:rPr>
          <w:rFonts w:ascii="Arial"/>
          <w:sz w:val="21"/>
        </w:rPr>
      </w:pPr>
    </w:p>
    <w:p>
      <w:pPr>
        <w:rPr>
          <w:rFonts w:ascii="Arial" w:hAnsi="Arial" w:eastAsia="Arial" w:cs="Arial"/>
          <w:sz w:val="21"/>
          <w:szCs w:val="21"/>
        </w:rPr>
        <w:sectPr>
          <w:footerReference r:id="rId109" w:type="default"/>
          <w:pgSz w:w="11905" w:h="16840"/>
          <w:pgMar w:top="400" w:right="1301" w:bottom="1213" w:left="1299" w:header="0" w:footer="898" w:gutter="0"/>
        </w:sectPr>
      </w:pPr>
    </w:p>
    <w:p>
      <w:pPr>
        <w:spacing w:before="13"/>
      </w:pPr>
    </w:p>
    <w:p>
      <w:pPr>
        <w:spacing w:before="13"/>
      </w:pPr>
    </w:p>
    <w:p>
      <w:pPr>
        <w:spacing w:before="13"/>
      </w:pPr>
    </w:p>
    <w:p>
      <w:pPr>
        <w:spacing w:before="12"/>
      </w:pPr>
    </w:p>
    <w:tbl>
      <w:tblPr>
        <w:tblStyle w:val="5"/>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4762"/>
        <w:gridCol w:w="1797"/>
        <w:gridCol w:w="18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923" w:type="dxa"/>
            <w:tcBorders>
              <w:top w:val="single" w:color="000000" w:sz="6" w:space="0"/>
              <w:left w:val="single" w:color="000000" w:sz="6" w:space="0"/>
            </w:tcBorders>
            <w:vAlign w:val="top"/>
          </w:tcPr>
          <w:p>
            <w:pPr>
              <w:spacing w:before="142" w:line="203" w:lineRule="auto"/>
              <w:ind w:left="244"/>
              <w:rPr>
                <w:rFonts w:ascii="微软雅黑" w:hAnsi="微软雅黑" w:eastAsia="微软雅黑" w:cs="微软雅黑"/>
                <w:sz w:val="20"/>
                <w:szCs w:val="20"/>
              </w:rPr>
            </w:pPr>
            <w:bookmarkStart w:id="68" w:name="bookmark153"/>
            <w:bookmarkEnd w:id="68"/>
            <w:r>
              <w:rPr>
                <w:rFonts w:ascii="微软雅黑" w:hAnsi="微软雅黑" w:eastAsia="微软雅黑" w:cs="微软雅黑"/>
                <w:spacing w:val="6"/>
                <w:sz w:val="20"/>
                <w:szCs w:val="20"/>
              </w:rPr>
              <w:t>序号</w:t>
            </w:r>
          </w:p>
        </w:tc>
        <w:tc>
          <w:tcPr>
            <w:tcW w:w="4762" w:type="dxa"/>
            <w:tcBorders>
              <w:top w:val="single" w:color="000000" w:sz="6" w:space="0"/>
            </w:tcBorders>
            <w:vAlign w:val="top"/>
          </w:tcPr>
          <w:p>
            <w:pPr>
              <w:spacing w:before="142" w:line="203" w:lineRule="auto"/>
              <w:ind w:left="1741"/>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1797" w:type="dxa"/>
            <w:tcBorders>
              <w:top w:val="single" w:color="000000" w:sz="6" w:space="0"/>
            </w:tcBorders>
            <w:vAlign w:val="top"/>
          </w:tcPr>
          <w:p>
            <w:pPr>
              <w:pStyle w:val="6"/>
            </w:pPr>
          </w:p>
        </w:tc>
        <w:tc>
          <w:tcPr>
            <w:tcW w:w="1807" w:type="dxa"/>
            <w:tcBorders>
              <w:top w:val="single" w:color="000000" w:sz="6" w:space="0"/>
              <w:right w:val="single" w:color="000000" w:sz="6" w:space="0"/>
            </w:tcBorders>
            <w:vAlign w:val="top"/>
          </w:tcPr>
          <w:p>
            <w:pPr>
              <w:spacing w:before="142" w:line="203" w:lineRule="auto"/>
              <w:ind w:left="702"/>
              <w:rPr>
                <w:rFonts w:ascii="微软雅黑" w:hAnsi="微软雅黑" w:eastAsia="微软雅黑" w:cs="微软雅黑"/>
                <w:sz w:val="20"/>
                <w:szCs w:val="20"/>
              </w:rPr>
            </w:pPr>
            <w:r>
              <w:rPr>
                <w:rFonts w:ascii="微软雅黑" w:hAnsi="微软雅黑" w:eastAsia="微软雅黑" w:cs="微软雅黑"/>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5" w:line="294" w:lineRule="exact"/>
              <w:ind w:left="275"/>
              <w:rPr>
                <w:rFonts w:ascii="宋体" w:hAnsi="宋体" w:eastAsia="宋体" w:cs="宋体"/>
                <w:sz w:val="20"/>
                <w:szCs w:val="20"/>
              </w:rPr>
            </w:pPr>
            <w:r>
              <w:rPr>
                <w:rFonts w:ascii="宋体" w:hAnsi="宋体" w:eastAsia="宋体" w:cs="宋体"/>
                <w:spacing w:val="-11"/>
                <w:position w:val="2"/>
                <w:sz w:val="20"/>
                <w:szCs w:val="20"/>
              </w:rPr>
              <w:t>2.17</w:t>
            </w:r>
          </w:p>
        </w:tc>
        <w:tc>
          <w:tcPr>
            <w:tcW w:w="4762" w:type="dxa"/>
            <w:vAlign w:val="top"/>
          </w:tcPr>
          <w:p>
            <w:pPr>
              <w:spacing w:before="161" w:line="218" w:lineRule="auto"/>
              <w:ind w:left="103"/>
              <w:rPr>
                <w:rFonts w:ascii="宋体" w:hAnsi="宋体" w:eastAsia="宋体" w:cs="宋体"/>
                <w:sz w:val="20"/>
                <w:szCs w:val="20"/>
              </w:rPr>
            </w:pPr>
            <w:r>
              <w:rPr>
                <w:rFonts w:ascii="宋体" w:hAnsi="宋体" w:eastAsia="宋体" w:cs="宋体"/>
                <w:spacing w:val="9"/>
                <w:sz w:val="20"/>
                <w:szCs w:val="20"/>
              </w:rPr>
              <w:t>脚手架搭拆</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7" w:line="292" w:lineRule="exact"/>
              <w:ind w:left="275"/>
              <w:rPr>
                <w:rFonts w:ascii="宋体" w:hAnsi="宋体" w:eastAsia="宋体" w:cs="宋体"/>
                <w:sz w:val="20"/>
                <w:szCs w:val="20"/>
              </w:rPr>
            </w:pPr>
            <w:r>
              <w:rPr>
                <w:rFonts w:ascii="宋体" w:hAnsi="宋体" w:eastAsia="宋体" w:cs="宋体"/>
                <w:spacing w:val="-11"/>
                <w:position w:val="2"/>
                <w:sz w:val="20"/>
                <w:szCs w:val="20"/>
              </w:rPr>
              <w:t>2.18</w:t>
            </w:r>
          </w:p>
        </w:tc>
        <w:tc>
          <w:tcPr>
            <w:tcW w:w="4762" w:type="dxa"/>
            <w:vAlign w:val="top"/>
          </w:tcPr>
          <w:p>
            <w:pPr>
              <w:spacing w:before="162" w:line="218" w:lineRule="auto"/>
              <w:ind w:left="105"/>
              <w:rPr>
                <w:rFonts w:ascii="宋体" w:hAnsi="宋体" w:eastAsia="宋体" w:cs="宋体"/>
                <w:sz w:val="20"/>
                <w:szCs w:val="20"/>
              </w:rPr>
            </w:pPr>
            <w:r>
              <w:rPr>
                <w:rFonts w:ascii="宋体" w:hAnsi="宋体" w:eastAsia="宋体" w:cs="宋体"/>
                <w:spacing w:val="9"/>
                <w:sz w:val="20"/>
                <w:szCs w:val="20"/>
              </w:rPr>
              <w:t>非夜间施工增加</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6" w:line="293" w:lineRule="exact"/>
              <w:ind w:left="275"/>
              <w:rPr>
                <w:rFonts w:ascii="宋体" w:hAnsi="宋体" w:eastAsia="宋体" w:cs="宋体"/>
                <w:sz w:val="20"/>
                <w:szCs w:val="20"/>
              </w:rPr>
            </w:pPr>
            <w:r>
              <w:rPr>
                <w:rFonts w:ascii="宋体" w:hAnsi="宋体" w:eastAsia="宋体" w:cs="宋体"/>
                <w:spacing w:val="-11"/>
                <w:position w:val="2"/>
                <w:sz w:val="20"/>
                <w:szCs w:val="20"/>
              </w:rPr>
              <w:t>2.19</w:t>
            </w:r>
          </w:p>
        </w:tc>
        <w:tc>
          <w:tcPr>
            <w:tcW w:w="4762" w:type="dxa"/>
            <w:vAlign w:val="top"/>
          </w:tcPr>
          <w:p>
            <w:pPr>
              <w:spacing w:before="161" w:line="219" w:lineRule="auto"/>
              <w:ind w:left="108"/>
              <w:rPr>
                <w:rFonts w:ascii="宋体" w:hAnsi="宋体" w:eastAsia="宋体" w:cs="宋体"/>
                <w:sz w:val="20"/>
                <w:szCs w:val="20"/>
              </w:rPr>
            </w:pPr>
            <w:r>
              <w:rPr>
                <w:rFonts w:ascii="宋体" w:hAnsi="宋体" w:eastAsia="宋体" w:cs="宋体"/>
                <w:spacing w:val="8"/>
                <w:sz w:val="20"/>
                <w:szCs w:val="20"/>
              </w:rPr>
              <w:t>高层施工增加</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8" w:line="291" w:lineRule="exact"/>
              <w:ind w:left="408"/>
              <w:rPr>
                <w:rFonts w:ascii="宋体" w:hAnsi="宋体" w:eastAsia="宋体" w:cs="宋体"/>
                <w:sz w:val="20"/>
                <w:szCs w:val="20"/>
              </w:rPr>
            </w:pPr>
            <w:r>
              <w:rPr>
                <w:rFonts w:ascii="宋体" w:hAnsi="宋体" w:eastAsia="宋体" w:cs="宋体"/>
                <w:position w:val="2"/>
                <w:sz w:val="20"/>
                <w:szCs w:val="20"/>
              </w:rPr>
              <w:t>3</w:t>
            </w:r>
          </w:p>
        </w:tc>
        <w:tc>
          <w:tcPr>
            <w:tcW w:w="4762" w:type="dxa"/>
            <w:vAlign w:val="top"/>
          </w:tcPr>
          <w:p>
            <w:pPr>
              <w:spacing w:before="163" w:line="220" w:lineRule="auto"/>
              <w:ind w:left="1018"/>
              <w:rPr>
                <w:rFonts w:ascii="宋体" w:hAnsi="宋体" w:eastAsia="宋体" w:cs="宋体"/>
                <w:sz w:val="20"/>
                <w:szCs w:val="20"/>
              </w:rPr>
            </w:pPr>
            <w:r>
              <w:rPr>
                <w:rFonts w:ascii="宋体" w:hAnsi="宋体" w:eastAsia="宋体" w:cs="宋体"/>
                <w:spacing w:val="9"/>
                <w:sz w:val="20"/>
                <w:szCs w:val="20"/>
              </w:rPr>
              <w:t>市政工程、市政养护维修工程</w:t>
            </w:r>
          </w:p>
        </w:tc>
        <w:tc>
          <w:tcPr>
            <w:tcW w:w="1797" w:type="dxa"/>
            <w:vAlign w:val="top"/>
          </w:tcPr>
          <w:p>
            <w:pPr>
              <w:pStyle w:val="6"/>
            </w:pPr>
          </w:p>
        </w:tc>
        <w:tc>
          <w:tcPr>
            <w:tcW w:w="1807" w:type="dxa"/>
            <w:vMerge w:val="restart"/>
            <w:tcBorders>
              <w:bottom w:val="nil"/>
              <w:right w:val="single" w:color="000000" w:sz="6" w:space="0"/>
            </w:tcBorders>
            <w:vAlign w:val="top"/>
          </w:tcPr>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50" w:lineRule="auto"/>
            </w:pPr>
          </w:p>
          <w:p>
            <w:pPr>
              <w:pStyle w:val="6"/>
              <w:spacing w:line="250" w:lineRule="auto"/>
            </w:pPr>
          </w:p>
          <w:p>
            <w:pPr>
              <w:spacing w:before="65" w:line="334" w:lineRule="auto"/>
              <w:ind w:left="112" w:right="31"/>
              <w:jc w:val="both"/>
              <w:rPr>
                <w:rFonts w:ascii="宋体" w:hAnsi="宋体" w:eastAsia="宋体" w:cs="宋体"/>
                <w:sz w:val="20"/>
                <w:szCs w:val="20"/>
              </w:rPr>
            </w:pPr>
            <w:r>
              <w:rPr>
                <w:rFonts w:ascii="宋体" w:hAnsi="宋体" w:eastAsia="宋体" w:cs="宋体"/>
                <w:spacing w:val="-3"/>
                <w:sz w:val="20"/>
                <w:szCs w:val="20"/>
              </w:rPr>
              <w:t>施工围挡：是指施</w:t>
            </w:r>
            <w:r>
              <w:rPr>
                <w:rFonts w:ascii="宋体" w:hAnsi="宋体" w:eastAsia="宋体" w:cs="宋体"/>
                <w:spacing w:val="18"/>
                <w:sz w:val="20"/>
                <w:szCs w:val="20"/>
              </w:rPr>
              <w:t>工需要的</w:t>
            </w:r>
            <w:r>
              <w:rPr>
                <w:rFonts w:ascii="宋体" w:hAnsi="宋体" w:eastAsia="宋体" w:cs="宋体"/>
                <w:spacing w:val="-48"/>
                <w:sz w:val="20"/>
                <w:szCs w:val="20"/>
              </w:rPr>
              <w:t xml:space="preserve"> </w:t>
            </w:r>
            <w:r>
              <w:rPr>
                <w:rFonts w:ascii="宋体" w:hAnsi="宋体" w:eastAsia="宋体" w:cs="宋体"/>
                <w:spacing w:val="18"/>
                <w:sz w:val="20"/>
                <w:szCs w:val="20"/>
              </w:rPr>
              <w:t>固定式</w:t>
            </w:r>
            <w:r>
              <w:rPr>
                <w:rFonts w:ascii="宋体" w:hAnsi="宋体" w:eastAsia="宋体" w:cs="宋体"/>
                <w:spacing w:val="6"/>
                <w:sz w:val="20"/>
                <w:szCs w:val="20"/>
              </w:rPr>
              <w:t>施工护栏的搭拆、</w:t>
            </w:r>
            <w:r>
              <w:rPr>
                <w:rFonts w:ascii="宋体" w:hAnsi="宋体" w:eastAsia="宋体" w:cs="宋体"/>
                <w:spacing w:val="-3"/>
                <w:sz w:val="20"/>
                <w:szCs w:val="20"/>
              </w:rPr>
              <w:t>运输费用，施工围</w:t>
            </w:r>
            <w:r>
              <w:rPr>
                <w:rFonts w:ascii="宋体" w:hAnsi="宋体" w:eastAsia="宋体" w:cs="宋体"/>
                <w:spacing w:val="19"/>
                <w:sz w:val="20"/>
                <w:szCs w:val="20"/>
              </w:rPr>
              <w:t>挡购置费</w:t>
            </w:r>
            <w:r>
              <w:rPr>
                <w:rFonts w:ascii="宋体" w:hAnsi="宋体" w:eastAsia="宋体" w:cs="宋体"/>
                <w:spacing w:val="-55"/>
                <w:sz w:val="20"/>
                <w:szCs w:val="20"/>
              </w:rPr>
              <w:t xml:space="preserve"> </w:t>
            </w:r>
            <w:r>
              <w:rPr>
                <w:rFonts w:ascii="宋体" w:hAnsi="宋体" w:eastAsia="宋体" w:cs="宋体"/>
                <w:spacing w:val="19"/>
                <w:sz w:val="20"/>
                <w:szCs w:val="20"/>
              </w:rPr>
              <w:t>的摊销</w:t>
            </w:r>
            <w:r>
              <w:rPr>
                <w:rFonts w:ascii="宋体" w:hAnsi="宋体" w:eastAsia="宋体" w:cs="宋体"/>
                <w:spacing w:val="25"/>
                <w:sz w:val="20"/>
                <w:szCs w:val="20"/>
              </w:rPr>
              <w:t>或租赁使用费以</w:t>
            </w:r>
            <w:r>
              <w:rPr>
                <w:rFonts w:ascii="宋体" w:hAnsi="宋体" w:eastAsia="宋体" w:cs="宋体"/>
                <w:spacing w:val="9"/>
                <w:sz w:val="20"/>
                <w:szCs w:val="20"/>
              </w:rPr>
              <w:t>及日常维护费用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9" w:line="290" w:lineRule="exact"/>
              <w:ind w:left="331"/>
              <w:rPr>
                <w:rFonts w:ascii="宋体" w:hAnsi="宋体" w:eastAsia="宋体" w:cs="宋体"/>
                <w:sz w:val="20"/>
                <w:szCs w:val="20"/>
              </w:rPr>
            </w:pPr>
            <w:r>
              <w:rPr>
                <w:rFonts w:ascii="宋体" w:hAnsi="宋体" w:eastAsia="宋体" w:cs="宋体"/>
                <w:spacing w:val="-18"/>
                <w:position w:val="2"/>
                <w:sz w:val="20"/>
                <w:szCs w:val="20"/>
              </w:rPr>
              <w:t>3.1</w:t>
            </w:r>
          </w:p>
        </w:tc>
        <w:tc>
          <w:tcPr>
            <w:tcW w:w="4762" w:type="dxa"/>
            <w:vAlign w:val="top"/>
          </w:tcPr>
          <w:p>
            <w:pPr>
              <w:spacing w:before="165" w:line="218" w:lineRule="auto"/>
              <w:ind w:left="105"/>
              <w:rPr>
                <w:rFonts w:ascii="宋体" w:hAnsi="宋体" w:eastAsia="宋体" w:cs="宋体"/>
                <w:sz w:val="20"/>
                <w:szCs w:val="20"/>
              </w:rPr>
            </w:pPr>
            <w:r>
              <w:rPr>
                <w:rFonts w:ascii="宋体" w:hAnsi="宋体" w:eastAsia="宋体" w:cs="宋体"/>
                <w:spacing w:val="9"/>
                <w:sz w:val="20"/>
                <w:szCs w:val="20"/>
              </w:rPr>
              <w:t>混凝土模板及支架</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1" w:line="288" w:lineRule="exact"/>
              <w:ind w:left="331"/>
              <w:rPr>
                <w:rFonts w:ascii="宋体" w:hAnsi="宋体" w:eastAsia="宋体" w:cs="宋体"/>
                <w:sz w:val="20"/>
                <w:szCs w:val="20"/>
              </w:rPr>
            </w:pPr>
            <w:r>
              <w:rPr>
                <w:rFonts w:ascii="宋体" w:hAnsi="宋体" w:eastAsia="宋体" w:cs="宋体"/>
                <w:spacing w:val="-18"/>
                <w:position w:val="2"/>
                <w:sz w:val="20"/>
                <w:szCs w:val="20"/>
              </w:rPr>
              <w:t>3.2</w:t>
            </w:r>
          </w:p>
        </w:tc>
        <w:tc>
          <w:tcPr>
            <w:tcW w:w="4762" w:type="dxa"/>
            <w:vAlign w:val="top"/>
          </w:tcPr>
          <w:p>
            <w:pPr>
              <w:spacing w:before="168" w:line="216" w:lineRule="auto"/>
              <w:ind w:left="103"/>
              <w:rPr>
                <w:rFonts w:ascii="宋体" w:hAnsi="宋体" w:eastAsia="宋体" w:cs="宋体"/>
                <w:sz w:val="20"/>
                <w:szCs w:val="20"/>
              </w:rPr>
            </w:pPr>
            <w:r>
              <w:rPr>
                <w:rFonts w:ascii="宋体" w:hAnsi="宋体" w:eastAsia="宋体" w:cs="宋体"/>
                <w:spacing w:val="8"/>
                <w:sz w:val="20"/>
                <w:szCs w:val="20"/>
              </w:rPr>
              <w:t>脚手架</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0" w:line="289" w:lineRule="exact"/>
              <w:ind w:left="331"/>
              <w:rPr>
                <w:rFonts w:ascii="宋体" w:hAnsi="宋体" w:eastAsia="宋体" w:cs="宋体"/>
                <w:sz w:val="20"/>
                <w:szCs w:val="20"/>
              </w:rPr>
            </w:pPr>
            <w:r>
              <w:rPr>
                <w:rFonts w:ascii="宋体" w:hAnsi="宋体" w:eastAsia="宋体" w:cs="宋体"/>
                <w:spacing w:val="-18"/>
                <w:position w:val="2"/>
                <w:sz w:val="20"/>
                <w:szCs w:val="20"/>
              </w:rPr>
              <w:t>3.3</w:t>
            </w:r>
          </w:p>
        </w:tc>
        <w:tc>
          <w:tcPr>
            <w:tcW w:w="4762" w:type="dxa"/>
            <w:vAlign w:val="top"/>
          </w:tcPr>
          <w:p>
            <w:pPr>
              <w:spacing w:before="167" w:line="217" w:lineRule="auto"/>
              <w:ind w:left="109"/>
              <w:rPr>
                <w:rFonts w:ascii="宋体" w:hAnsi="宋体" w:eastAsia="宋体" w:cs="宋体"/>
                <w:sz w:val="20"/>
                <w:szCs w:val="20"/>
              </w:rPr>
            </w:pPr>
            <w:r>
              <w:rPr>
                <w:rFonts w:ascii="宋体" w:hAnsi="宋体" w:eastAsia="宋体" w:cs="宋体"/>
                <w:spacing w:val="8"/>
                <w:sz w:val="20"/>
                <w:szCs w:val="20"/>
              </w:rPr>
              <w:t>大型机械进出场</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2" w:line="287" w:lineRule="exact"/>
              <w:ind w:left="331"/>
              <w:rPr>
                <w:rFonts w:ascii="宋体" w:hAnsi="宋体" w:eastAsia="宋体" w:cs="宋体"/>
                <w:sz w:val="20"/>
                <w:szCs w:val="20"/>
              </w:rPr>
            </w:pPr>
            <w:r>
              <w:rPr>
                <w:rFonts w:ascii="宋体" w:hAnsi="宋体" w:eastAsia="宋体" w:cs="宋体"/>
                <w:spacing w:val="-18"/>
                <w:position w:val="2"/>
                <w:sz w:val="20"/>
                <w:szCs w:val="20"/>
              </w:rPr>
              <w:t>3.4</w:t>
            </w:r>
          </w:p>
        </w:tc>
        <w:tc>
          <w:tcPr>
            <w:tcW w:w="4762" w:type="dxa"/>
            <w:vAlign w:val="top"/>
          </w:tcPr>
          <w:p>
            <w:pPr>
              <w:spacing w:before="167" w:line="220" w:lineRule="auto"/>
              <w:ind w:left="106"/>
              <w:rPr>
                <w:rFonts w:ascii="宋体" w:hAnsi="宋体" w:eastAsia="宋体" w:cs="宋体"/>
                <w:sz w:val="20"/>
                <w:szCs w:val="20"/>
              </w:rPr>
            </w:pPr>
            <w:r>
              <w:rPr>
                <w:rFonts w:ascii="宋体" w:hAnsi="宋体" w:eastAsia="宋体" w:cs="宋体"/>
                <w:spacing w:val="8"/>
                <w:sz w:val="20"/>
                <w:szCs w:val="20"/>
              </w:rPr>
              <w:t>筑岛、围堰</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3" w:line="286" w:lineRule="exact"/>
              <w:ind w:left="331"/>
              <w:rPr>
                <w:rFonts w:ascii="宋体" w:hAnsi="宋体" w:eastAsia="宋体" w:cs="宋体"/>
                <w:sz w:val="20"/>
                <w:szCs w:val="20"/>
              </w:rPr>
            </w:pPr>
            <w:r>
              <w:rPr>
                <w:rFonts w:ascii="宋体" w:hAnsi="宋体" w:eastAsia="宋体" w:cs="宋体"/>
                <w:spacing w:val="-18"/>
                <w:position w:val="2"/>
                <w:sz w:val="20"/>
                <w:szCs w:val="20"/>
              </w:rPr>
              <w:t>3.5</w:t>
            </w:r>
          </w:p>
        </w:tc>
        <w:tc>
          <w:tcPr>
            <w:tcW w:w="4762" w:type="dxa"/>
            <w:vAlign w:val="top"/>
          </w:tcPr>
          <w:p>
            <w:pPr>
              <w:spacing w:before="168" w:line="220" w:lineRule="auto"/>
              <w:ind w:left="102"/>
              <w:rPr>
                <w:rFonts w:ascii="宋体" w:hAnsi="宋体" w:eastAsia="宋体" w:cs="宋体"/>
                <w:sz w:val="20"/>
                <w:szCs w:val="20"/>
              </w:rPr>
            </w:pPr>
            <w:r>
              <w:rPr>
                <w:rFonts w:ascii="宋体" w:hAnsi="宋体" w:eastAsia="宋体" w:cs="宋体"/>
                <w:spacing w:val="9"/>
                <w:sz w:val="20"/>
                <w:szCs w:val="20"/>
              </w:rPr>
              <w:t>便道、便桥</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5" w:line="284" w:lineRule="exact"/>
              <w:ind w:left="331"/>
              <w:rPr>
                <w:rFonts w:ascii="宋体" w:hAnsi="宋体" w:eastAsia="宋体" w:cs="宋体"/>
                <w:sz w:val="20"/>
                <w:szCs w:val="20"/>
              </w:rPr>
            </w:pPr>
            <w:r>
              <w:rPr>
                <w:rFonts w:ascii="宋体" w:hAnsi="宋体" w:eastAsia="宋体" w:cs="宋体"/>
                <w:spacing w:val="-18"/>
                <w:position w:val="2"/>
                <w:sz w:val="20"/>
                <w:szCs w:val="20"/>
              </w:rPr>
              <w:t>3.6</w:t>
            </w:r>
          </w:p>
        </w:tc>
        <w:tc>
          <w:tcPr>
            <w:tcW w:w="4762" w:type="dxa"/>
            <w:vAlign w:val="top"/>
          </w:tcPr>
          <w:p>
            <w:pPr>
              <w:spacing w:before="173" w:line="216" w:lineRule="auto"/>
              <w:ind w:left="105"/>
              <w:rPr>
                <w:rFonts w:ascii="宋体" w:hAnsi="宋体" w:eastAsia="宋体" w:cs="宋体"/>
                <w:sz w:val="20"/>
                <w:szCs w:val="20"/>
              </w:rPr>
            </w:pPr>
            <w:r>
              <w:rPr>
                <w:rFonts w:ascii="宋体" w:hAnsi="宋体" w:eastAsia="宋体" w:cs="宋体"/>
                <w:spacing w:val="8"/>
                <w:sz w:val="20"/>
                <w:szCs w:val="20"/>
              </w:rPr>
              <w:t>混凝土泵送</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4" w:line="286" w:lineRule="exact"/>
              <w:ind w:left="331"/>
              <w:rPr>
                <w:rFonts w:ascii="宋体" w:hAnsi="宋体" w:eastAsia="宋体" w:cs="宋体"/>
                <w:sz w:val="20"/>
                <w:szCs w:val="20"/>
              </w:rPr>
            </w:pPr>
            <w:r>
              <w:rPr>
                <w:rFonts w:ascii="宋体" w:hAnsi="宋体" w:eastAsia="宋体" w:cs="宋体"/>
                <w:spacing w:val="-18"/>
                <w:position w:val="2"/>
                <w:sz w:val="20"/>
                <w:szCs w:val="20"/>
              </w:rPr>
              <w:t>3.7</w:t>
            </w:r>
          </w:p>
        </w:tc>
        <w:tc>
          <w:tcPr>
            <w:tcW w:w="4762" w:type="dxa"/>
            <w:vAlign w:val="top"/>
          </w:tcPr>
          <w:p>
            <w:pPr>
              <w:spacing w:before="172" w:line="215" w:lineRule="auto"/>
              <w:ind w:left="102"/>
              <w:rPr>
                <w:rFonts w:ascii="宋体" w:hAnsi="宋体" w:eastAsia="宋体" w:cs="宋体"/>
                <w:sz w:val="20"/>
                <w:szCs w:val="20"/>
              </w:rPr>
            </w:pPr>
            <w:r>
              <w:rPr>
                <w:rFonts w:ascii="宋体" w:hAnsi="宋体" w:eastAsia="宋体" w:cs="宋体"/>
                <w:spacing w:val="8"/>
                <w:sz w:val="20"/>
                <w:szCs w:val="20"/>
              </w:rPr>
              <w:t>施工围挡</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5" w:line="284" w:lineRule="exact"/>
              <w:ind w:left="331"/>
              <w:rPr>
                <w:rFonts w:ascii="宋体" w:hAnsi="宋体" w:eastAsia="宋体" w:cs="宋体"/>
                <w:sz w:val="20"/>
                <w:szCs w:val="20"/>
              </w:rPr>
            </w:pPr>
            <w:r>
              <w:rPr>
                <w:rFonts w:ascii="宋体" w:hAnsi="宋体" w:eastAsia="宋体" w:cs="宋体"/>
                <w:spacing w:val="-18"/>
                <w:position w:val="2"/>
                <w:sz w:val="20"/>
                <w:szCs w:val="20"/>
              </w:rPr>
              <w:t>3.8</w:t>
            </w:r>
          </w:p>
        </w:tc>
        <w:tc>
          <w:tcPr>
            <w:tcW w:w="4762" w:type="dxa"/>
            <w:vAlign w:val="top"/>
          </w:tcPr>
          <w:p>
            <w:pPr>
              <w:spacing w:before="157" w:line="232" w:lineRule="auto"/>
              <w:ind w:left="102"/>
              <w:rPr>
                <w:rFonts w:ascii="宋体" w:hAnsi="宋体" w:eastAsia="宋体" w:cs="宋体"/>
                <w:sz w:val="20"/>
                <w:szCs w:val="20"/>
              </w:rPr>
            </w:pPr>
            <w:r>
              <w:rPr>
                <w:rFonts w:ascii="宋体" w:hAnsi="宋体" w:eastAsia="宋体" w:cs="宋体"/>
                <w:spacing w:val="9"/>
                <w:sz w:val="20"/>
                <w:szCs w:val="20"/>
              </w:rPr>
              <w:t>施工排水、降水</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81" w:hRule="atLeast"/>
        </w:trPr>
        <w:tc>
          <w:tcPr>
            <w:tcW w:w="923" w:type="dxa"/>
            <w:tcBorders>
              <w:left w:val="single" w:color="000000" w:sz="6" w:space="0"/>
            </w:tcBorders>
            <w:vAlign w:val="top"/>
          </w:tcPr>
          <w:p>
            <w:pPr>
              <w:pStyle w:val="6"/>
              <w:spacing w:line="458" w:lineRule="auto"/>
            </w:pPr>
          </w:p>
          <w:p>
            <w:pPr>
              <w:spacing w:before="65" w:line="299" w:lineRule="exact"/>
              <w:ind w:left="331"/>
              <w:rPr>
                <w:rFonts w:ascii="宋体" w:hAnsi="宋体" w:eastAsia="宋体" w:cs="宋体"/>
                <w:sz w:val="20"/>
                <w:szCs w:val="20"/>
              </w:rPr>
            </w:pPr>
            <w:r>
              <w:rPr>
                <w:rFonts w:ascii="宋体" w:hAnsi="宋体" w:eastAsia="宋体" w:cs="宋体"/>
                <w:spacing w:val="-18"/>
                <w:position w:val="2"/>
                <w:sz w:val="20"/>
                <w:szCs w:val="20"/>
              </w:rPr>
              <w:t>3.9</w:t>
            </w:r>
          </w:p>
        </w:tc>
        <w:tc>
          <w:tcPr>
            <w:tcW w:w="4762" w:type="dxa"/>
            <w:vAlign w:val="top"/>
          </w:tcPr>
          <w:p>
            <w:pPr>
              <w:spacing w:before="166" w:line="309" w:lineRule="auto"/>
              <w:ind w:left="104" w:right="103"/>
              <w:jc w:val="both"/>
              <w:rPr>
                <w:rFonts w:ascii="宋体" w:hAnsi="宋体" w:eastAsia="宋体" w:cs="宋体"/>
                <w:sz w:val="20"/>
                <w:szCs w:val="20"/>
              </w:rPr>
            </w:pPr>
            <w:r>
              <w:rPr>
                <w:rFonts w:ascii="宋体" w:hAnsi="宋体" w:eastAsia="宋体" w:cs="宋体"/>
                <w:spacing w:val="6"/>
                <w:sz w:val="20"/>
                <w:szCs w:val="20"/>
              </w:rPr>
              <w:t>地上、地下设施、建筑物临时保护措施（包括对已建成地上、地下设施和建筑物进行遮盖、封闭、隔</w:t>
            </w:r>
            <w:r>
              <w:rPr>
                <w:rFonts w:ascii="宋体" w:hAnsi="宋体" w:eastAsia="宋体" w:cs="宋体"/>
                <w:spacing w:val="9"/>
                <w:sz w:val="20"/>
                <w:szCs w:val="20"/>
              </w:rPr>
              <w:t>离等必要保护措施）</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99" w:hRule="atLeast"/>
        </w:trPr>
        <w:tc>
          <w:tcPr>
            <w:tcW w:w="923" w:type="dxa"/>
            <w:tcBorders>
              <w:left w:val="single" w:color="000000" w:sz="6" w:space="0"/>
            </w:tcBorders>
            <w:vAlign w:val="top"/>
          </w:tcPr>
          <w:p>
            <w:pPr>
              <w:pStyle w:val="6"/>
              <w:spacing w:line="320" w:lineRule="auto"/>
            </w:pPr>
          </w:p>
          <w:p>
            <w:pPr>
              <w:spacing w:before="65" w:line="299" w:lineRule="exact"/>
              <w:ind w:left="278"/>
              <w:rPr>
                <w:rFonts w:ascii="宋体" w:hAnsi="宋体" w:eastAsia="宋体" w:cs="宋体"/>
                <w:sz w:val="20"/>
                <w:szCs w:val="20"/>
              </w:rPr>
            </w:pPr>
            <w:r>
              <w:rPr>
                <w:rFonts w:ascii="宋体" w:hAnsi="宋体" w:eastAsia="宋体" w:cs="宋体"/>
                <w:spacing w:val="-12"/>
                <w:position w:val="2"/>
                <w:sz w:val="20"/>
                <w:szCs w:val="20"/>
              </w:rPr>
              <w:t>3.10</w:t>
            </w:r>
          </w:p>
        </w:tc>
        <w:tc>
          <w:tcPr>
            <w:tcW w:w="4762" w:type="dxa"/>
            <w:vAlign w:val="top"/>
          </w:tcPr>
          <w:p>
            <w:pPr>
              <w:spacing w:before="206" w:line="315" w:lineRule="auto"/>
              <w:ind w:left="120" w:right="105" w:hanging="14"/>
              <w:rPr>
                <w:rFonts w:ascii="宋体" w:hAnsi="宋体" w:eastAsia="宋体" w:cs="宋体"/>
                <w:sz w:val="20"/>
                <w:szCs w:val="20"/>
              </w:rPr>
            </w:pPr>
            <w:r>
              <w:rPr>
                <w:rFonts w:ascii="宋体" w:hAnsi="宋体" w:eastAsia="宋体" w:cs="宋体"/>
                <w:spacing w:val="6"/>
                <w:sz w:val="20"/>
                <w:szCs w:val="20"/>
              </w:rPr>
              <w:t>洞内临时设施（包括通风、供水、供气、供电、照</w:t>
            </w:r>
            <w:r>
              <w:rPr>
                <w:rFonts w:ascii="宋体" w:hAnsi="宋体" w:eastAsia="宋体" w:cs="宋体"/>
                <w:spacing w:val="8"/>
                <w:sz w:val="20"/>
                <w:szCs w:val="20"/>
              </w:rPr>
              <w:t>明、通信及洞内外轨道铺设）</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15" w:hRule="atLeast"/>
        </w:trPr>
        <w:tc>
          <w:tcPr>
            <w:tcW w:w="923" w:type="dxa"/>
            <w:tcBorders>
              <w:left w:val="single" w:color="000000" w:sz="6" w:space="0"/>
            </w:tcBorders>
            <w:vAlign w:val="top"/>
          </w:tcPr>
          <w:p>
            <w:pPr>
              <w:pStyle w:val="6"/>
              <w:spacing w:line="478" w:lineRule="auto"/>
            </w:pPr>
          </w:p>
          <w:p>
            <w:pPr>
              <w:spacing w:before="65" w:line="299" w:lineRule="exact"/>
              <w:ind w:left="278"/>
              <w:rPr>
                <w:rFonts w:ascii="宋体" w:hAnsi="宋体" w:eastAsia="宋体" w:cs="宋体"/>
                <w:sz w:val="20"/>
                <w:szCs w:val="20"/>
              </w:rPr>
            </w:pPr>
            <w:r>
              <w:rPr>
                <w:rFonts w:ascii="宋体" w:hAnsi="宋体" w:eastAsia="宋体" w:cs="宋体"/>
                <w:spacing w:val="-12"/>
                <w:position w:val="2"/>
                <w:sz w:val="20"/>
                <w:szCs w:val="20"/>
              </w:rPr>
              <w:t>3.11</w:t>
            </w:r>
          </w:p>
        </w:tc>
        <w:tc>
          <w:tcPr>
            <w:tcW w:w="4762" w:type="dxa"/>
            <w:vAlign w:val="top"/>
          </w:tcPr>
          <w:p>
            <w:pPr>
              <w:spacing w:before="187" w:line="313" w:lineRule="auto"/>
              <w:ind w:left="103" w:right="41"/>
              <w:jc w:val="both"/>
              <w:rPr>
                <w:rFonts w:ascii="宋体" w:hAnsi="宋体" w:eastAsia="宋体" w:cs="宋体"/>
                <w:sz w:val="20"/>
                <w:szCs w:val="20"/>
              </w:rPr>
            </w:pPr>
            <w:r>
              <w:rPr>
                <w:rFonts w:ascii="宋体" w:hAnsi="宋体" w:eastAsia="宋体" w:cs="宋体"/>
                <w:spacing w:val="9"/>
                <w:sz w:val="20"/>
                <w:szCs w:val="20"/>
              </w:rPr>
              <w:t>交通维护及疏导（包括周边道路的交通诱导标志、</w:t>
            </w:r>
            <w:r>
              <w:rPr>
                <w:rFonts w:ascii="宋体" w:hAnsi="宋体" w:eastAsia="宋体" w:cs="宋体"/>
                <w:sz w:val="20"/>
                <w:szCs w:val="20"/>
              </w:rPr>
              <w:t>临时红绿灯、交通协勤人员、现场路面隔离设施等，</w:t>
            </w:r>
            <w:r>
              <w:rPr>
                <w:rFonts w:ascii="宋体" w:hAnsi="宋体" w:eastAsia="宋体" w:cs="宋体"/>
                <w:spacing w:val="9"/>
                <w:sz w:val="20"/>
                <w:szCs w:val="20"/>
              </w:rPr>
              <w:t>按实际发生计取）</w:t>
            </w:r>
          </w:p>
        </w:tc>
        <w:tc>
          <w:tcPr>
            <w:tcW w:w="1797" w:type="dxa"/>
            <w:vAlign w:val="top"/>
          </w:tcPr>
          <w:p>
            <w:pPr>
              <w:pStyle w:val="6"/>
            </w:pPr>
          </w:p>
        </w:tc>
        <w:tc>
          <w:tcPr>
            <w:tcW w:w="1807"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8" w:line="282" w:lineRule="exact"/>
              <w:ind w:left="278"/>
              <w:rPr>
                <w:rFonts w:ascii="宋体" w:hAnsi="宋体" w:eastAsia="宋体" w:cs="宋体"/>
                <w:sz w:val="20"/>
                <w:szCs w:val="20"/>
              </w:rPr>
            </w:pPr>
            <w:r>
              <w:rPr>
                <w:rFonts w:ascii="宋体" w:hAnsi="宋体" w:eastAsia="宋体" w:cs="宋体"/>
                <w:spacing w:val="-12"/>
                <w:position w:val="1"/>
                <w:sz w:val="20"/>
                <w:szCs w:val="20"/>
              </w:rPr>
              <w:t>3.12</w:t>
            </w:r>
          </w:p>
        </w:tc>
        <w:tc>
          <w:tcPr>
            <w:tcW w:w="4762" w:type="dxa"/>
            <w:vAlign w:val="top"/>
          </w:tcPr>
          <w:p>
            <w:pPr>
              <w:spacing w:before="172" w:line="222" w:lineRule="auto"/>
              <w:ind w:left="103"/>
              <w:rPr>
                <w:rFonts w:ascii="宋体" w:hAnsi="宋体" w:eastAsia="宋体" w:cs="宋体"/>
                <w:sz w:val="20"/>
                <w:szCs w:val="20"/>
              </w:rPr>
            </w:pPr>
            <w:r>
              <w:rPr>
                <w:rFonts w:ascii="宋体" w:hAnsi="宋体" w:eastAsia="宋体" w:cs="宋体"/>
                <w:spacing w:val="9"/>
                <w:sz w:val="20"/>
                <w:szCs w:val="20"/>
              </w:rPr>
              <w:t>其他措施项目</w:t>
            </w:r>
          </w:p>
        </w:tc>
        <w:tc>
          <w:tcPr>
            <w:tcW w:w="1797" w:type="dxa"/>
            <w:vAlign w:val="top"/>
          </w:tcPr>
          <w:p>
            <w:pPr>
              <w:pStyle w:val="6"/>
            </w:pPr>
          </w:p>
        </w:tc>
        <w:tc>
          <w:tcPr>
            <w:tcW w:w="1807"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9" w:line="281" w:lineRule="exact"/>
              <w:ind w:left="401"/>
              <w:rPr>
                <w:rFonts w:ascii="宋体" w:hAnsi="宋体" w:eastAsia="宋体" w:cs="宋体"/>
                <w:sz w:val="20"/>
                <w:szCs w:val="20"/>
              </w:rPr>
            </w:pPr>
            <w:r>
              <w:rPr>
                <w:rFonts w:ascii="宋体" w:hAnsi="宋体" w:eastAsia="宋体" w:cs="宋体"/>
                <w:spacing w:val="1"/>
                <w:position w:val="1"/>
                <w:sz w:val="20"/>
                <w:szCs w:val="20"/>
              </w:rPr>
              <w:t>4</w:t>
            </w:r>
          </w:p>
        </w:tc>
        <w:tc>
          <w:tcPr>
            <w:tcW w:w="4762" w:type="dxa"/>
            <w:vAlign w:val="top"/>
          </w:tcPr>
          <w:p>
            <w:pPr>
              <w:spacing w:before="177" w:line="216" w:lineRule="auto"/>
              <w:ind w:left="1766"/>
              <w:rPr>
                <w:rFonts w:ascii="宋体" w:hAnsi="宋体" w:eastAsia="宋体" w:cs="宋体"/>
                <w:sz w:val="20"/>
                <w:szCs w:val="20"/>
              </w:rPr>
            </w:pPr>
            <w:r>
              <w:rPr>
                <w:rFonts w:ascii="宋体" w:hAnsi="宋体" w:eastAsia="宋体" w:cs="宋体"/>
                <w:spacing w:val="6"/>
                <w:sz w:val="20"/>
                <w:szCs w:val="20"/>
              </w:rPr>
              <w:t>园林绿化工程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70" w:line="280" w:lineRule="exact"/>
              <w:ind w:left="324"/>
              <w:rPr>
                <w:rFonts w:ascii="宋体" w:hAnsi="宋体" w:eastAsia="宋体" w:cs="宋体"/>
                <w:sz w:val="20"/>
                <w:szCs w:val="20"/>
              </w:rPr>
            </w:pPr>
            <w:r>
              <w:rPr>
                <w:rFonts w:ascii="宋体" w:hAnsi="宋体" w:eastAsia="宋体" w:cs="宋体"/>
                <w:spacing w:val="-16"/>
                <w:position w:val="1"/>
                <w:sz w:val="20"/>
                <w:szCs w:val="20"/>
              </w:rPr>
              <w:t>4.1</w:t>
            </w:r>
          </w:p>
        </w:tc>
        <w:tc>
          <w:tcPr>
            <w:tcW w:w="4762" w:type="dxa"/>
            <w:vAlign w:val="top"/>
          </w:tcPr>
          <w:p>
            <w:pPr>
              <w:spacing w:before="175" w:line="218" w:lineRule="auto"/>
              <w:ind w:left="105"/>
              <w:rPr>
                <w:rFonts w:ascii="宋体" w:hAnsi="宋体" w:eastAsia="宋体" w:cs="宋体"/>
                <w:sz w:val="20"/>
                <w:szCs w:val="20"/>
              </w:rPr>
            </w:pPr>
            <w:r>
              <w:rPr>
                <w:rFonts w:ascii="宋体" w:hAnsi="宋体" w:eastAsia="宋体" w:cs="宋体"/>
                <w:spacing w:val="9"/>
                <w:sz w:val="20"/>
                <w:szCs w:val="20"/>
              </w:rPr>
              <w:t>混凝土模板及支架</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70" w:line="280" w:lineRule="exact"/>
              <w:ind w:left="324"/>
              <w:rPr>
                <w:rFonts w:ascii="宋体" w:hAnsi="宋体" w:eastAsia="宋体" w:cs="宋体"/>
                <w:sz w:val="20"/>
                <w:szCs w:val="20"/>
              </w:rPr>
            </w:pPr>
            <w:r>
              <w:rPr>
                <w:rFonts w:ascii="宋体" w:hAnsi="宋体" w:eastAsia="宋体" w:cs="宋体"/>
                <w:spacing w:val="-16"/>
                <w:position w:val="1"/>
                <w:sz w:val="20"/>
                <w:szCs w:val="20"/>
              </w:rPr>
              <w:t>4.2</w:t>
            </w:r>
          </w:p>
        </w:tc>
        <w:tc>
          <w:tcPr>
            <w:tcW w:w="4762" w:type="dxa"/>
            <w:vAlign w:val="top"/>
          </w:tcPr>
          <w:p>
            <w:pPr>
              <w:spacing w:before="177" w:line="216" w:lineRule="auto"/>
              <w:ind w:left="103"/>
              <w:rPr>
                <w:rFonts w:ascii="宋体" w:hAnsi="宋体" w:eastAsia="宋体" w:cs="宋体"/>
                <w:sz w:val="20"/>
                <w:szCs w:val="20"/>
              </w:rPr>
            </w:pPr>
            <w:r>
              <w:rPr>
                <w:rFonts w:ascii="宋体" w:hAnsi="宋体" w:eastAsia="宋体" w:cs="宋体"/>
                <w:spacing w:val="8"/>
                <w:sz w:val="20"/>
                <w:szCs w:val="20"/>
              </w:rPr>
              <w:t>脚手架</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8" w:line="282" w:lineRule="exact"/>
              <w:ind w:left="324"/>
              <w:rPr>
                <w:rFonts w:ascii="宋体" w:hAnsi="宋体" w:eastAsia="宋体" w:cs="宋体"/>
                <w:sz w:val="20"/>
                <w:szCs w:val="20"/>
              </w:rPr>
            </w:pPr>
            <w:r>
              <w:rPr>
                <w:rFonts w:ascii="宋体" w:hAnsi="宋体" w:eastAsia="宋体" w:cs="宋体"/>
                <w:spacing w:val="-16"/>
                <w:position w:val="1"/>
                <w:sz w:val="20"/>
                <w:szCs w:val="20"/>
              </w:rPr>
              <w:t>4.3</w:t>
            </w:r>
          </w:p>
        </w:tc>
        <w:tc>
          <w:tcPr>
            <w:tcW w:w="4762" w:type="dxa"/>
            <w:vAlign w:val="top"/>
          </w:tcPr>
          <w:p>
            <w:pPr>
              <w:spacing w:before="173" w:line="220" w:lineRule="auto"/>
              <w:ind w:left="106"/>
              <w:rPr>
                <w:rFonts w:ascii="宋体" w:hAnsi="宋体" w:eastAsia="宋体" w:cs="宋体"/>
                <w:sz w:val="20"/>
                <w:szCs w:val="20"/>
              </w:rPr>
            </w:pPr>
            <w:r>
              <w:rPr>
                <w:rFonts w:ascii="宋体" w:hAnsi="宋体" w:eastAsia="宋体" w:cs="宋体"/>
                <w:spacing w:val="8"/>
                <w:sz w:val="20"/>
                <w:szCs w:val="20"/>
              </w:rPr>
              <w:t>苗木保护措施</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9" w:line="281" w:lineRule="exact"/>
              <w:ind w:left="324"/>
              <w:rPr>
                <w:rFonts w:ascii="宋体" w:hAnsi="宋体" w:eastAsia="宋体" w:cs="宋体"/>
                <w:sz w:val="20"/>
                <w:szCs w:val="20"/>
              </w:rPr>
            </w:pPr>
            <w:r>
              <w:rPr>
                <w:rFonts w:ascii="宋体" w:hAnsi="宋体" w:eastAsia="宋体" w:cs="宋体"/>
                <w:spacing w:val="-16"/>
                <w:position w:val="1"/>
                <w:sz w:val="20"/>
                <w:szCs w:val="20"/>
              </w:rPr>
              <w:t>4.4</w:t>
            </w:r>
          </w:p>
        </w:tc>
        <w:tc>
          <w:tcPr>
            <w:tcW w:w="4762" w:type="dxa"/>
            <w:vAlign w:val="top"/>
          </w:tcPr>
          <w:p>
            <w:pPr>
              <w:spacing w:before="180" w:line="213" w:lineRule="auto"/>
              <w:ind w:left="123"/>
              <w:rPr>
                <w:rFonts w:ascii="宋体" w:hAnsi="宋体" w:eastAsia="宋体" w:cs="宋体"/>
                <w:sz w:val="20"/>
                <w:szCs w:val="20"/>
              </w:rPr>
            </w:pPr>
            <w:r>
              <w:rPr>
                <w:rFonts w:ascii="宋体" w:hAnsi="宋体" w:eastAsia="宋体" w:cs="宋体"/>
                <w:spacing w:val="-3"/>
                <w:sz w:val="20"/>
                <w:szCs w:val="20"/>
              </w:rPr>
              <w:t>围堰</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70" w:line="280" w:lineRule="exact"/>
              <w:ind w:left="324"/>
              <w:rPr>
                <w:rFonts w:ascii="宋体" w:hAnsi="宋体" w:eastAsia="宋体" w:cs="宋体"/>
                <w:sz w:val="20"/>
                <w:szCs w:val="20"/>
              </w:rPr>
            </w:pPr>
            <w:r>
              <w:rPr>
                <w:rFonts w:ascii="宋体" w:hAnsi="宋体" w:eastAsia="宋体" w:cs="宋体"/>
                <w:spacing w:val="-16"/>
                <w:position w:val="1"/>
                <w:sz w:val="20"/>
                <w:szCs w:val="20"/>
              </w:rPr>
              <w:t>4.5</w:t>
            </w:r>
          </w:p>
        </w:tc>
        <w:tc>
          <w:tcPr>
            <w:tcW w:w="4762" w:type="dxa"/>
            <w:vAlign w:val="top"/>
          </w:tcPr>
          <w:p>
            <w:pPr>
              <w:spacing w:before="162" w:line="232" w:lineRule="auto"/>
              <w:ind w:left="102"/>
              <w:rPr>
                <w:rFonts w:ascii="宋体" w:hAnsi="宋体" w:eastAsia="宋体" w:cs="宋体"/>
                <w:sz w:val="20"/>
                <w:szCs w:val="20"/>
              </w:rPr>
            </w:pPr>
            <w:r>
              <w:rPr>
                <w:rFonts w:ascii="宋体" w:hAnsi="宋体" w:eastAsia="宋体" w:cs="宋体"/>
                <w:spacing w:val="9"/>
                <w:sz w:val="20"/>
                <w:szCs w:val="20"/>
              </w:rPr>
              <w:t>施工排水、降水</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70" w:line="280" w:lineRule="exact"/>
              <w:ind w:left="324"/>
              <w:rPr>
                <w:rFonts w:ascii="宋体" w:hAnsi="宋体" w:eastAsia="宋体" w:cs="宋体"/>
                <w:sz w:val="20"/>
                <w:szCs w:val="20"/>
              </w:rPr>
            </w:pPr>
            <w:r>
              <w:rPr>
                <w:rFonts w:ascii="宋体" w:hAnsi="宋体" w:eastAsia="宋体" w:cs="宋体"/>
                <w:spacing w:val="-16"/>
                <w:position w:val="1"/>
                <w:sz w:val="20"/>
                <w:szCs w:val="20"/>
              </w:rPr>
              <w:t>4.6</w:t>
            </w:r>
          </w:p>
        </w:tc>
        <w:tc>
          <w:tcPr>
            <w:tcW w:w="4762" w:type="dxa"/>
            <w:vAlign w:val="top"/>
          </w:tcPr>
          <w:p>
            <w:pPr>
              <w:spacing w:before="174" w:line="222" w:lineRule="auto"/>
              <w:ind w:left="103"/>
              <w:rPr>
                <w:rFonts w:ascii="宋体" w:hAnsi="宋体" w:eastAsia="宋体" w:cs="宋体"/>
                <w:sz w:val="20"/>
                <w:szCs w:val="20"/>
              </w:rPr>
            </w:pPr>
            <w:r>
              <w:rPr>
                <w:rFonts w:ascii="宋体" w:hAnsi="宋体" w:eastAsia="宋体" w:cs="宋体"/>
                <w:spacing w:val="9"/>
                <w:sz w:val="20"/>
                <w:szCs w:val="20"/>
              </w:rPr>
              <w:t>其他措施项目</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8" w:line="282" w:lineRule="exact"/>
              <w:ind w:left="404"/>
              <w:rPr>
                <w:rFonts w:ascii="宋体" w:hAnsi="宋体" w:eastAsia="宋体" w:cs="宋体"/>
                <w:sz w:val="20"/>
                <w:szCs w:val="20"/>
              </w:rPr>
            </w:pPr>
            <w:r>
              <w:rPr>
                <w:rFonts w:ascii="宋体" w:hAnsi="宋体" w:eastAsia="宋体" w:cs="宋体"/>
                <w:position w:val="2"/>
                <w:sz w:val="20"/>
                <w:szCs w:val="20"/>
              </w:rPr>
              <w:t>5</w:t>
            </w:r>
          </w:p>
        </w:tc>
        <w:tc>
          <w:tcPr>
            <w:tcW w:w="4762" w:type="dxa"/>
            <w:vAlign w:val="top"/>
          </w:tcPr>
          <w:p>
            <w:pPr>
              <w:spacing w:before="173" w:line="220" w:lineRule="auto"/>
              <w:ind w:left="1331"/>
              <w:rPr>
                <w:rFonts w:ascii="宋体" w:hAnsi="宋体" w:eastAsia="宋体" w:cs="宋体"/>
                <w:sz w:val="20"/>
                <w:szCs w:val="20"/>
              </w:rPr>
            </w:pPr>
            <w:r>
              <w:rPr>
                <w:rFonts w:ascii="宋体" w:hAnsi="宋体" w:eastAsia="宋体" w:cs="宋体"/>
                <w:spacing w:val="9"/>
                <w:sz w:val="20"/>
                <w:szCs w:val="20"/>
              </w:rPr>
              <w:t>城市地下综合管廊工程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923" w:type="dxa"/>
            <w:tcBorders>
              <w:left w:val="single" w:color="000000" w:sz="6" w:space="0"/>
              <w:bottom w:val="single" w:color="000000" w:sz="6" w:space="0"/>
            </w:tcBorders>
            <w:vAlign w:val="top"/>
          </w:tcPr>
          <w:p>
            <w:pPr>
              <w:spacing w:before="169" w:line="292" w:lineRule="exact"/>
              <w:ind w:left="328"/>
              <w:rPr>
                <w:rFonts w:ascii="宋体" w:hAnsi="宋体" w:eastAsia="宋体" w:cs="宋体"/>
                <w:sz w:val="20"/>
                <w:szCs w:val="20"/>
              </w:rPr>
            </w:pPr>
            <w:r>
              <w:rPr>
                <w:rFonts w:ascii="宋体" w:hAnsi="宋体" w:eastAsia="宋体" w:cs="宋体"/>
                <w:spacing w:val="-17"/>
                <w:position w:val="2"/>
                <w:sz w:val="20"/>
                <w:szCs w:val="20"/>
              </w:rPr>
              <w:t>5.1</w:t>
            </w:r>
          </w:p>
        </w:tc>
        <w:tc>
          <w:tcPr>
            <w:tcW w:w="4762" w:type="dxa"/>
            <w:tcBorders>
              <w:bottom w:val="single" w:color="000000" w:sz="6" w:space="0"/>
            </w:tcBorders>
            <w:vAlign w:val="top"/>
          </w:tcPr>
          <w:p>
            <w:pPr>
              <w:spacing w:before="176" w:line="216" w:lineRule="auto"/>
              <w:ind w:left="103"/>
              <w:rPr>
                <w:rFonts w:ascii="宋体" w:hAnsi="宋体" w:eastAsia="宋体" w:cs="宋体"/>
                <w:sz w:val="20"/>
                <w:szCs w:val="20"/>
              </w:rPr>
            </w:pPr>
            <w:r>
              <w:rPr>
                <w:rFonts w:ascii="宋体" w:hAnsi="宋体" w:eastAsia="宋体" w:cs="宋体"/>
                <w:spacing w:val="8"/>
                <w:sz w:val="20"/>
                <w:szCs w:val="20"/>
              </w:rPr>
              <w:t>脚手架</w:t>
            </w:r>
          </w:p>
        </w:tc>
        <w:tc>
          <w:tcPr>
            <w:tcW w:w="1797" w:type="dxa"/>
            <w:tcBorders>
              <w:bottom w:val="single" w:color="000000" w:sz="6" w:space="0"/>
            </w:tcBorders>
            <w:vAlign w:val="top"/>
          </w:tcPr>
          <w:p>
            <w:pPr>
              <w:pStyle w:val="6"/>
            </w:pPr>
          </w:p>
        </w:tc>
        <w:tc>
          <w:tcPr>
            <w:tcW w:w="1807" w:type="dxa"/>
            <w:tcBorders>
              <w:bottom w:val="single" w:color="000000" w:sz="6" w:space="0"/>
              <w:right w:val="single" w:color="000000" w:sz="6" w:space="0"/>
            </w:tcBorders>
            <w:vAlign w:val="top"/>
          </w:tcPr>
          <w:p>
            <w:pPr>
              <w:pStyle w:val="6"/>
            </w:pPr>
          </w:p>
        </w:tc>
      </w:tr>
    </w:tbl>
    <w:p>
      <w:pPr>
        <w:spacing w:line="184" w:lineRule="exact"/>
        <w:rPr>
          <w:rFonts w:ascii="Arial"/>
          <w:sz w:val="16"/>
        </w:rPr>
      </w:pPr>
    </w:p>
    <w:p>
      <w:pPr>
        <w:spacing w:line="184" w:lineRule="exact"/>
        <w:rPr>
          <w:rFonts w:ascii="Arial" w:hAnsi="Arial" w:eastAsia="Arial" w:cs="Arial"/>
          <w:sz w:val="16"/>
          <w:szCs w:val="16"/>
        </w:rPr>
        <w:sectPr>
          <w:footerReference r:id="rId110" w:type="default"/>
          <w:pgSz w:w="11905" w:h="16840"/>
          <w:pgMar w:top="400" w:right="1301" w:bottom="1213" w:left="1299" w:header="0" w:footer="898" w:gutter="0"/>
        </w:sectPr>
      </w:pPr>
    </w:p>
    <w:p>
      <w:pPr>
        <w:spacing w:before="13"/>
      </w:pPr>
    </w:p>
    <w:p>
      <w:pPr>
        <w:spacing w:before="13"/>
      </w:pPr>
    </w:p>
    <w:p>
      <w:pPr>
        <w:spacing w:before="13"/>
      </w:pPr>
    </w:p>
    <w:p>
      <w:pPr>
        <w:spacing w:before="12"/>
      </w:pPr>
    </w:p>
    <w:tbl>
      <w:tblPr>
        <w:tblStyle w:val="5"/>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4762"/>
        <w:gridCol w:w="1797"/>
        <w:gridCol w:w="18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923" w:type="dxa"/>
            <w:tcBorders>
              <w:top w:val="single" w:color="000000" w:sz="6" w:space="0"/>
              <w:left w:val="single" w:color="000000" w:sz="6" w:space="0"/>
            </w:tcBorders>
            <w:vAlign w:val="top"/>
          </w:tcPr>
          <w:p>
            <w:pPr>
              <w:spacing w:before="142" w:line="203" w:lineRule="auto"/>
              <w:ind w:left="244"/>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4762" w:type="dxa"/>
            <w:tcBorders>
              <w:top w:val="single" w:color="000000" w:sz="6" w:space="0"/>
            </w:tcBorders>
            <w:vAlign w:val="top"/>
          </w:tcPr>
          <w:p>
            <w:pPr>
              <w:spacing w:before="142" w:line="203" w:lineRule="auto"/>
              <w:ind w:left="1741"/>
              <w:rPr>
                <w:rFonts w:ascii="微软雅黑" w:hAnsi="微软雅黑" w:eastAsia="微软雅黑" w:cs="微软雅黑"/>
                <w:sz w:val="20"/>
                <w:szCs w:val="20"/>
              </w:rPr>
            </w:pPr>
            <w:r>
              <w:rPr>
                <w:rFonts w:ascii="微软雅黑" w:hAnsi="微软雅黑" w:eastAsia="微软雅黑" w:cs="微软雅黑"/>
                <w:spacing w:val="12"/>
                <w:sz w:val="20"/>
                <w:szCs w:val="20"/>
              </w:rPr>
              <w:t>措施项目名称</w:t>
            </w:r>
          </w:p>
        </w:tc>
        <w:tc>
          <w:tcPr>
            <w:tcW w:w="1797" w:type="dxa"/>
            <w:tcBorders>
              <w:top w:val="single" w:color="000000" w:sz="6" w:space="0"/>
            </w:tcBorders>
            <w:vAlign w:val="top"/>
          </w:tcPr>
          <w:p>
            <w:pPr>
              <w:pStyle w:val="6"/>
            </w:pPr>
          </w:p>
        </w:tc>
        <w:tc>
          <w:tcPr>
            <w:tcW w:w="1807" w:type="dxa"/>
            <w:tcBorders>
              <w:top w:val="single" w:color="000000" w:sz="6" w:space="0"/>
              <w:right w:val="single" w:color="000000" w:sz="6" w:space="0"/>
            </w:tcBorders>
            <w:vAlign w:val="top"/>
          </w:tcPr>
          <w:p>
            <w:pPr>
              <w:spacing w:before="142" w:line="203" w:lineRule="auto"/>
              <w:ind w:left="702"/>
              <w:rPr>
                <w:rFonts w:ascii="微软雅黑" w:hAnsi="微软雅黑" w:eastAsia="微软雅黑" w:cs="微软雅黑"/>
                <w:sz w:val="20"/>
                <w:szCs w:val="20"/>
              </w:rPr>
            </w:pPr>
            <w:r>
              <w:rPr>
                <w:rFonts w:ascii="微软雅黑" w:hAnsi="微软雅黑" w:eastAsia="微软雅黑" w:cs="微软雅黑"/>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5" w:line="294" w:lineRule="exact"/>
              <w:ind w:left="328"/>
              <w:rPr>
                <w:rFonts w:ascii="宋体" w:hAnsi="宋体" w:eastAsia="宋体" w:cs="宋体"/>
                <w:sz w:val="20"/>
                <w:szCs w:val="20"/>
              </w:rPr>
            </w:pPr>
            <w:r>
              <w:rPr>
                <w:rFonts w:ascii="宋体" w:hAnsi="宋体" w:eastAsia="宋体" w:cs="宋体"/>
                <w:spacing w:val="-17"/>
                <w:position w:val="2"/>
                <w:sz w:val="20"/>
                <w:szCs w:val="20"/>
              </w:rPr>
              <w:t>5.2</w:t>
            </w:r>
          </w:p>
        </w:tc>
        <w:tc>
          <w:tcPr>
            <w:tcW w:w="4762" w:type="dxa"/>
            <w:vAlign w:val="top"/>
          </w:tcPr>
          <w:p>
            <w:pPr>
              <w:spacing w:before="161" w:line="218" w:lineRule="auto"/>
              <w:ind w:left="105"/>
              <w:rPr>
                <w:rFonts w:ascii="宋体" w:hAnsi="宋体" w:eastAsia="宋体" w:cs="宋体"/>
                <w:sz w:val="20"/>
                <w:szCs w:val="20"/>
              </w:rPr>
            </w:pPr>
            <w:r>
              <w:rPr>
                <w:rFonts w:ascii="宋体" w:hAnsi="宋体" w:eastAsia="宋体" w:cs="宋体"/>
                <w:spacing w:val="9"/>
                <w:sz w:val="20"/>
                <w:szCs w:val="20"/>
              </w:rPr>
              <w:t>混凝土模板及支架</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7" w:line="292" w:lineRule="exact"/>
              <w:ind w:left="328"/>
              <w:rPr>
                <w:rFonts w:ascii="宋体" w:hAnsi="宋体" w:eastAsia="宋体" w:cs="宋体"/>
                <w:sz w:val="20"/>
                <w:szCs w:val="20"/>
              </w:rPr>
            </w:pPr>
            <w:r>
              <w:rPr>
                <w:rFonts w:ascii="宋体" w:hAnsi="宋体" w:eastAsia="宋体" w:cs="宋体"/>
                <w:spacing w:val="-17"/>
                <w:position w:val="2"/>
                <w:sz w:val="20"/>
                <w:szCs w:val="20"/>
              </w:rPr>
              <w:t>5.3</w:t>
            </w:r>
          </w:p>
        </w:tc>
        <w:tc>
          <w:tcPr>
            <w:tcW w:w="4762" w:type="dxa"/>
            <w:vAlign w:val="top"/>
          </w:tcPr>
          <w:p>
            <w:pPr>
              <w:spacing w:before="163" w:line="217" w:lineRule="auto"/>
              <w:ind w:left="109"/>
              <w:rPr>
                <w:rFonts w:ascii="宋体" w:hAnsi="宋体" w:eastAsia="宋体" w:cs="宋体"/>
                <w:sz w:val="20"/>
                <w:szCs w:val="20"/>
              </w:rPr>
            </w:pPr>
            <w:r>
              <w:rPr>
                <w:rFonts w:ascii="宋体" w:hAnsi="宋体" w:eastAsia="宋体" w:cs="宋体"/>
                <w:spacing w:val="8"/>
                <w:sz w:val="20"/>
                <w:szCs w:val="20"/>
              </w:rPr>
              <w:t>大型机械进出场</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6" w:line="293" w:lineRule="exact"/>
              <w:ind w:left="328"/>
              <w:rPr>
                <w:rFonts w:ascii="宋体" w:hAnsi="宋体" w:eastAsia="宋体" w:cs="宋体"/>
                <w:sz w:val="20"/>
                <w:szCs w:val="20"/>
              </w:rPr>
            </w:pPr>
            <w:r>
              <w:rPr>
                <w:rFonts w:ascii="宋体" w:hAnsi="宋体" w:eastAsia="宋体" w:cs="宋体"/>
                <w:spacing w:val="-17"/>
                <w:position w:val="2"/>
                <w:sz w:val="20"/>
                <w:szCs w:val="20"/>
              </w:rPr>
              <w:t>5.4</w:t>
            </w:r>
          </w:p>
        </w:tc>
        <w:tc>
          <w:tcPr>
            <w:tcW w:w="4762" w:type="dxa"/>
            <w:vAlign w:val="top"/>
          </w:tcPr>
          <w:p>
            <w:pPr>
              <w:spacing w:before="162" w:line="220" w:lineRule="auto"/>
              <w:ind w:left="106"/>
              <w:rPr>
                <w:rFonts w:ascii="宋体" w:hAnsi="宋体" w:eastAsia="宋体" w:cs="宋体"/>
                <w:sz w:val="20"/>
                <w:szCs w:val="20"/>
              </w:rPr>
            </w:pPr>
            <w:r>
              <w:rPr>
                <w:rFonts w:ascii="宋体" w:hAnsi="宋体" w:eastAsia="宋体" w:cs="宋体"/>
                <w:spacing w:val="8"/>
                <w:sz w:val="20"/>
                <w:szCs w:val="20"/>
              </w:rPr>
              <w:t>筑岛、围堰</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8" w:line="291" w:lineRule="exact"/>
              <w:ind w:left="328"/>
              <w:rPr>
                <w:rFonts w:ascii="宋体" w:hAnsi="宋体" w:eastAsia="宋体" w:cs="宋体"/>
                <w:sz w:val="20"/>
                <w:szCs w:val="20"/>
              </w:rPr>
            </w:pPr>
            <w:r>
              <w:rPr>
                <w:rFonts w:ascii="宋体" w:hAnsi="宋体" w:eastAsia="宋体" w:cs="宋体"/>
                <w:spacing w:val="-17"/>
                <w:position w:val="2"/>
                <w:sz w:val="20"/>
                <w:szCs w:val="20"/>
              </w:rPr>
              <w:t>5.5</w:t>
            </w:r>
          </w:p>
        </w:tc>
        <w:tc>
          <w:tcPr>
            <w:tcW w:w="4762" w:type="dxa"/>
            <w:vAlign w:val="top"/>
          </w:tcPr>
          <w:p>
            <w:pPr>
              <w:spacing w:before="163" w:line="220" w:lineRule="auto"/>
              <w:ind w:left="102"/>
              <w:rPr>
                <w:rFonts w:ascii="宋体" w:hAnsi="宋体" w:eastAsia="宋体" w:cs="宋体"/>
                <w:sz w:val="20"/>
                <w:szCs w:val="20"/>
              </w:rPr>
            </w:pPr>
            <w:r>
              <w:rPr>
                <w:rFonts w:ascii="宋体" w:hAnsi="宋体" w:eastAsia="宋体" w:cs="宋体"/>
                <w:spacing w:val="9"/>
                <w:sz w:val="20"/>
                <w:szCs w:val="20"/>
              </w:rPr>
              <w:t>便道、便桥</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59" w:line="290" w:lineRule="exact"/>
              <w:ind w:left="328"/>
              <w:rPr>
                <w:rFonts w:ascii="宋体" w:hAnsi="宋体" w:eastAsia="宋体" w:cs="宋体"/>
                <w:sz w:val="20"/>
                <w:szCs w:val="20"/>
              </w:rPr>
            </w:pPr>
            <w:r>
              <w:rPr>
                <w:rFonts w:ascii="宋体" w:hAnsi="宋体" w:eastAsia="宋体" w:cs="宋体"/>
                <w:spacing w:val="-17"/>
                <w:position w:val="2"/>
                <w:sz w:val="20"/>
                <w:szCs w:val="20"/>
              </w:rPr>
              <w:t>5.6</w:t>
            </w:r>
          </w:p>
        </w:tc>
        <w:tc>
          <w:tcPr>
            <w:tcW w:w="4762" w:type="dxa"/>
            <w:vAlign w:val="top"/>
          </w:tcPr>
          <w:p>
            <w:pPr>
              <w:spacing w:before="167" w:line="215" w:lineRule="auto"/>
              <w:ind w:left="102"/>
              <w:rPr>
                <w:rFonts w:ascii="宋体" w:hAnsi="宋体" w:eastAsia="宋体" w:cs="宋体"/>
                <w:sz w:val="20"/>
                <w:szCs w:val="20"/>
              </w:rPr>
            </w:pPr>
            <w:r>
              <w:rPr>
                <w:rFonts w:ascii="宋体" w:hAnsi="宋体" w:eastAsia="宋体" w:cs="宋体"/>
                <w:spacing w:val="8"/>
                <w:sz w:val="20"/>
                <w:szCs w:val="20"/>
              </w:rPr>
              <w:t>施工围挡</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1" w:line="288" w:lineRule="exact"/>
              <w:ind w:left="328"/>
              <w:rPr>
                <w:rFonts w:ascii="宋体" w:hAnsi="宋体" w:eastAsia="宋体" w:cs="宋体"/>
                <w:sz w:val="20"/>
                <w:szCs w:val="20"/>
              </w:rPr>
            </w:pPr>
            <w:r>
              <w:rPr>
                <w:rFonts w:ascii="宋体" w:hAnsi="宋体" w:eastAsia="宋体" w:cs="宋体"/>
                <w:spacing w:val="-17"/>
                <w:position w:val="2"/>
                <w:sz w:val="20"/>
                <w:szCs w:val="20"/>
              </w:rPr>
              <w:t>5.7</w:t>
            </w:r>
          </w:p>
        </w:tc>
        <w:tc>
          <w:tcPr>
            <w:tcW w:w="4762" w:type="dxa"/>
            <w:vAlign w:val="top"/>
          </w:tcPr>
          <w:p>
            <w:pPr>
              <w:spacing w:before="154" w:line="232" w:lineRule="auto"/>
              <w:ind w:left="102"/>
              <w:rPr>
                <w:rFonts w:ascii="宋体" w:hAnsi="宋体" w:eastAsia="宋体" w:cs="宋体"/>
                <w:sz w:val="20"/>
                <w:szCs w:val="20"/>
              </w:rPr>
            </w:pPr>
            <w:r>
              <w:rPr>
                <w:rFonts w:ascii="宋体" w:hAnsi="宋体" w:eastAsia="宋体" w:cs="宋体"/>
                <w:spacing w:val="9"/>
                <w:sz w:val="20"/>
                <w:szCs w:val="20"/>
              </w:rPr>
              <w:t>施工排水、降水</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0" w:line="289" w:lineRule="exact"/>
              <w:ind w:left="328"/>
              <w:rPr>
                <w:rFonts w:ascii="宋体" w:hAnsi="宋体" w:eastAsia="宋体" w:cs="宋体"/>
                <w:sz w:val="20"/>
                <w:szCs w:val="20"/>
              </w:rPr>
            </w:pPr>
            <w:r>
              <w:rPr>
                <w:rFonts w:ascii="宋体" w:hAnsi="宋体" w:eastAsia="宋体" w:cs="宋体"/>
                <w:spacing w:val="-17"/>
                <w:position w:val="2"/>
                <w:sz w:val="20"/>
                <w:szCs w:val="20"/>
              </w:rPr>
              <w:t>5.8</w:t>
            </w:r>
          </w:p>
        </w:tc>
        <w:tc>
          <w:tcPr>
            <w:tcW w:w="4762" w:type="dxa"/>
            <w:vAlign w:val="top"/>
          </w:tcPr>
          <w:p>
            <w:pPr>
              <w:spacing w:before="163" w:line="223" w:lineRule="auto"/>
              <w:ind w:left="105"/>
              <w:rPr>
                <w:rFonts w:ascii="宋体" w:hAnsi="宋体" w:eastAsia="宋体" w:cs="宋体"/>
                <w:sz w:val="20"/>
                <w:szCs w:val="20"/>
              </w:rPr>
            </w:pPr>
            <w:r>
              <w:rPr>
                <w:rFonts w:ascii="宋体" w:hAnsi="宋体" w:eastAsia="宋体" w:cs="宋体"/>
                <w:spacing w:val="9"/>
                <w:sz w:val="20"/>
                <w:szCs w:val="20"/>
              </w:rPr>
              <w:t>地上、地下设施、建筑物临时保护措施</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2" w:line="287" w:lineRule="exact"/>
              <w:ind w:left="328"/>
              <w:rPr>
                <w:rFonts w:ascii="宋体" w:hAnsi="宋体" w:eastAsia="宋体" w:cs="宋体"/>
                <w:sz w:val="20"/>
                <w:szCs w:val="20"/>
              </w:rPr>
            </w:pPr>
            <w:r>
              <w:rPr>
                <w:rFonts w:ascii="宋体" w:hAnsi="宋体" w:eastAsia="宋体" w:cs="宋体"/>
                <w:spacing w:val="-17"/>
                <w:position w:val="2"/>
                <w:sz w:val="20"/>
                <w:szCs w:val="20"/>
              </w:rPr>
              <w:t>5.9</w:t>
            </w:r>
          </w:p>
        </w:tc>
        <w:tc>
          <w:tcPr>
            <w:tcW w:w="4762" w:type="dxa"/>
            <w:vAlign w:val="top"/>
          </w:tcPr>
          <w:p>
            <w:pPr>
              <w:spacing w:before="165" w:line="220" w:lineRule="auto"/>
              <w:ind w:left="104"/>
              <w:rPr>
                <w:rFonts w:ascii="宋体" w:hAnsi="宋体" w:eastAsia="宋体" w:cs="宋体"/>
                <w:sz w:val="20"/>
                <w:szCs w:val="20"/>
              </w:rPr>
            </w:pPr>
            <w:r>
              <w:rPr>
                <w:rFonts w:ascii="宋体" w:hAnsi="宋体" w:eastAsia="宋体" w:cs="宋体"/>
                <w:spacing w:val="9"/>
                <w:sz w:val="20"/>
                <w:szCs w:val="20"/>
              </w:rPr>
              <w:t>交通维护及疏导</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3" w:line="286" w:lineRule="exact"/>
              <w:ind w:left="275"/>
              <w:rPr>
                <w:rFonts w:ascii="宋体" w:hAnsi="宋体" w:eastAsia="宋体" w:cs="宋体"/>
                <w:sz w:val="20"/>
                <w:szCs w:val="20"/>
              </w:rPr>
            </w:pPr>
            <w:r>
              <w:rPr>
                <w:rFonts w:ascii="宋体" w:hAnsi="宋体" w:eastAsia="宋体" w:cs="宋体"/>
                <w:spacing w:val="-11"/>
                <w:position w:val="2"/>
                <w:sz w:val="20"/>
                <w:szCs w:val="20"/>
              </w:rPr>
              <w:t>5.10</w:t>
            </w:r>
          </w:p>
        </w:tc>
        <w:tc>
          <w:tcPr>
            <w:tcW w:w="4762" w:type="dxa"/>
            <w:vAlign w:val="top"/>
          </w:tcPr>
          <w:p>
            <w:pPr>
              <w:spacing w:before="169" w:line="219" w:lineRule="auto"/>
              <w:ind w:left="103"/>
              <w:rPr>
                <w:rFonts w:ascii="宋体" w:hAnsi="宋体" w:eastAsia="宋体" w:cs="宋体"/>
                <w:sz w:val="20"/>
                <w:szCs w:val="20"/>
              </w:rPr>
            </w:pPr>
            <w:r>
              <w:rPr>
                <w:rFonts w:ascii="宋体" w:hAnsi="宋体" w:eastAsia="宋体" w:cs="宋体"/>
                <w:spacing w:val="9"/>
                <w:sz w:val="20"/>
                <w:szCs w:val="20"/>
              </w:rPr>
              <w:t>监测、监控</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5" w:line="284" w:lineRule="exact"/>
              <w:ind w:left="275"/>
              <w:rPr>
                <w:rFonts w:ascii="宋体" w:hAnsi="宋体" w:eastAsia="宋体" w:cs="宋体"/>
                <w:sz w:val="20"/>
                <w:szCs w:val="20"/>
              </w:rPr>
            </w:pPr>
            <w:r>
              <w:rPr>
                <w:rFonts w:ascii="宋体" w:hAnsi="宋体" w:eastAsia="宋体" w:cs="宋体"/>
                <w:spacing w:val="-11"/>
                <w:position w:val="2"/>
                <w:sz w:val="20"/>
                <w:szCs w:val="20"/>
              </w:rPr>
              <w:t>5.11</w:t>
            </w:r>
          </w:p>
        </w:tc>
        <w:tc>
          <w:tcPr>
            <w:tcW w:w="4762" w:type="dxa"/>
            <w:vAlign w:val="top"/>
          </w:tcPr>
          <w:p>
            <w:pPr>
              <w:spacing w:before="168" w:line="222" w:lineRule="auto"/>
              <w:ind w:left="103"/>
              <w:rPr>
                <w:rFonts w:ascii="宋体" w:hAnsi="宋体" w:eastAsia="宋体" w:cs="宋体"/>
                <w:sz w:val="20"/>
                <w:szCs w:val="20"/>
              </w:rPr>
            </w:pPr>
            <w:r>
              <w:rPr>
                <w:rFonts w:ascii="宋体" w:hAnsi="宋体" w:eastAsia="宋体" w:cs="宋体"/>
                <w:spacing w:val="9"/>
                <w:sz w:val="20"/>
                <w:szCs w:val="20"/>
              </w:rPr>
              <w:t>其他措施项目</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4" w:line="286" w:lineRule="exact"/>
              <w:ind w:left="405"/>
              <w:rPr>
                <w:rFonts w:ascii="宋体" w:hAnsi="宋体" w:eastAsia="宋体" w:cs="宋体"/>
                <w:sz w:val="20"/>
                <w:szCs w:val="20"/>
              </w:rPr>
            </w:pPr>
            <w:r>
              <w:rPr>
                <w:rFonts w:ascii="宋体" w:hAnsi="宋体" w:eastAsia="宋体" w:cs="宋体"/>
                <w:position w:val="2"/>
                <w:sz w:val="20"/>
                <w:szCs w:val="20"/>
              </w:rPr>
              <w:t>6</w:t>
            </w:r>
          </w:p>
        </w:tc>
        <w:tc>
          <w:tcPr>
            <w:tcW w:w="4762" w:type="dxa"/>
            <w:vAlign w:val="top"/>
          </w:tcPr>
          <w:p>
            <w:pPr>
              <w:spacing w:before="167" w:line="223" w:lineRule="auto"/>
              <w:ind w:left="1750"/>
              <w:rPr>
                <w:rFonts w:ascii="宋体" w:hAnsi="宋体" w:eastAsia="宋体" w:cs="宋体"/>
                <w:sz w:val="20"/>
                <w:szCs w:val="20"/>
              </w:rPr>
            </w:pPr>
            <w:r>
              <w:rPr>
                <w:rFonts w:ascii="宋体" w:hAnsi="宋体" w:eastAsia="宋体" w:cs="宋体"/>
                <w:spacing w:val="9"/>
                <w:sz w:val="20"/>
                <w:szCs w:val="20"/>
              </w:rPr>
              <w:t>仿古建筑工程</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5" w:line="284" w:lineRule="exact"/>
              <w:ind w:left="328"/>
              <w:rPr>
                <w:rFonts w:ascii="宋体" w:hAnsi="宋体" w:eastAsia="宋体" w:cs="宋体"/>
                <w:sz w:val="20"/>
                <w:szCs w:val="20"/>
              </w:rPr>
            </w:pPr>
            <w:r>
              <w:rPr>
                <w:rFonts w:ascii="宋体" w:hAnsi="宋体" w:eastAsia="宋体" w:cs="宋体"/>
                <w:spacing w:val="-17"/>
                <w:position w:val="2"/>
                <w:sz w:val="20"/>
                <w:szCs w:val="20"/>
              </w:rPr>
              <w:t>6.1</w:t>
            </w:r>
          </w:p>
        </w:tc>
        <w:tc>
          <w:tcPr>
            <w:tcW w:w="4762" w:type="dxa"/>
            <w:vAlign w:val="top"/>
          </w:tcPr>
          <w:p>
            <w:pPr>
              <w:spacing w:before="172" w:line="216" w:lineRule="auto"/>
              <w:ind w:left="103"/>
              <w:rPr>
                <w:rFonts w:ascii="宋体" w:hAnsi="宋体" w:eastAsia="宋体" w:cs="宋体"/>
                <w:sz w:val="20"/>
                <w:szCs w:val="20"/>
              </w:rPr>
            </w:pPr>
            <w:r>
              <w:rPr>
                <w:rFonts w:ascii="宋体" w:hAnsi="宋体" w:eastAsia="宋体" w:cs="宋体"/>
                <w:spacing w:val="8"/>
                <w:sz w:val="20"/>
                <w:szCs w:val="20"/>
              </w:rPr>
              <w:t>脚手架</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6" w:line="283" w:lineRule="exact"/>
              <w:ind w:left="328"/>
              <w:rPr>
                <w:rFonts w:ascii="宋体" w:hAnsi="宋体" w:eastAsia="宋体" w:cs="宋体"/>
                <w:sz w:val="20"/>
                <w:szCs w:val="20"/>
              </w:rPr>
            </w:pPr>
            <w:r>
              <w:rPr>
                <w:rFonts w:ascii="宋体" w:hAnsi="宋体" w:eastAsia="宋体" w:cs="宋体"/>
                <w:spacing w:val="-17"/>
                <w:position w:val="2"/>
                <w:sz w:val="20"/>
                <w:szCs w:val="20"/>
              </w:rPr>
              <w:t>6.2</w:t>
            </w:r>
          </w:p>
        </w:tc>
        <w:tc>
          <w:tcPr>
            <w:tcW w:w="4762" w:type="dxa"/>
            <w:vAlign w:val="top"/>
          </w:tcPr>
          <w:p>
            <w:pPr>
              <w:spacing w:before="170" w:line="219" w:lineRule="auto"/>
              <w:ind w:left="102"/>
              <w:rPr>
                <w:rFonts w:ascii="宋体" w:hAnsi="宋体" w:eastAsia="宋体" w:cs="宋体"/>
                <w:sz w:val="20"/>
                <w:szCs w:val="20"/>
              </w:rPr>
            </w:pPr>
            <w:r>
              <w:rPr>
                <w:rFonts w:ascii="宋体" w:hAnsi="宋体" w:eastAsia="宋体" w:cs="宋体"/>
                <w:spacing w:val="9"/>
                <w:sz w:val="20"/>
                <w:szCs w:val="20"/>
              </w:rPr>
              <w:t>垂直运输机械</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8" w:line="281" w:lineRule="exact"/>
              <w:ind w:left="328"/>
              <w:rPr>
                <w:rFonts w:ascii="宋体" w:hAnsi="宋体" w:eastAsia="宋体" w:cs="宋体"/>
                <w:sz w:val="20"/>
                <w:szCs w:val="20"/>
              </w:rPr>
            </w:pPr>
            <w:r>
              <w:rPr>
                <w:rFonts w:ascii="宋体" w:hAnsi="宋体" w:eastAsia="宋体" w:cs="宋体"/>
                <w:spacing w:val="-17"/>
                <w:position w:val="1"/>
                <w:sz w:val="20"/>
                <w:szCs w:val="20"/>
              </w:rPr>
              <w:t>6.3</w:t>
            </w:r>
          </w:p>
        </w:tc>
        <w:tc>
          <w:tcPr>
            <w:tcW w:w="4762" w:type="dxa"/>
            <w:vAlign w:val="top"/>
          </w:tcPr>
          <w:p>
            <w:pPr>
              <w:spacing w:before="173" w:line="218" w:lineRule="auto"/>
              <w:ind w:left="106"/>
              <w:rPr>
                <w:rFonts w:ascii="宋体" w:hAnsi="宋体" w:eastAsia="宋体" w:cs="宋体"/>
                <w:sz w:val="20"/>
                <w:szCs w:val="20"/>
              </w:rPr>
            </w:pPr>
            <w:r>
              <w:rPr>
                <w:rFonts w:ascii="宋体" w:hAnsi="宋体" w:eastAsia="宋体" w:cs="宋体"/>
                <w:spacing w:val="8"/>
                <w:sz w:val="20"/>
                <w:szCs w:val="20"/>
              </w:rPr>
              <w:t>构件吊装机械</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923" w:type="dxa"/>
            <w:tcBorders>
              <w:left w:val="single" w:color="000000" w:sz="6" w:space="0"/>
            </w:tcBorders>
            <w:vAlign w:val="top"/>
          </w:tcPr>
          <w:p>
            <w:pPr>
              <w:spacing w:before="167" w:line="282" w:lineRule="exact"/>
              <w:ind w:left="328"/>
              <w:rPr>
                <w:rFonts w:ascii="宋体" w:hAnsi="宋体" w:eastAsia="宋体" w:cs="宋体"/>
                <w:sz w:val="20"/>
                <w:szCs w:val="20"/>
              </w:rPr>
            </w:pPr>
            <w:r>
              <w:rPr>
                <w:rFonts w:ascii="宋体" w:hAnsi="宋体" w:eastAsia="宋体" w:cs="宋体"/>
                <w:spacing w:val="-17"/>
                <w:position w:val="1"/>
                <w:sz w:val="20"/>
                <w:szCs w:val="20"/>
              </w:rPr>
              <w:t>6.4</w:t>
            </w:r>
          </w:p>
        </w:tc>
        <w:tc>
          <w:tcPr>
            <w:tcW w:w="4762" w:type="dxa"/>
            <w:vAlign w:val="top"/>
          </w:tcPr>
          <w:p>
            <w:pPr>
              <w:spacing w:before="175" w:line="216" w:lineRule="auto"/>
              <w:ind w:left="105"/>
              <w:rPr>
                <w:rFonts w:ascii="宋体" w:hAnsi="宋体" w:eastAsia="宋体" w:cs="宋体"/>
                <w:sz w:val="20"/>
                <w:szCs w:val="20"/>
              </w:rPr>
            </w:pPr>
            <w:r>
              <w:rPr>
                <w:rFonts w:ascii="宋体" w:hAnsi="宋体" w:eastAsia="宋体" w:cs="宋体"/>
                <w:spacing w:val="8"/>
                <w:sz w:val="20"/>
                <w:szCs w:val="20"/>
              </w:rPr>
              <w:t>混凝土泵送</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9" w:line="281" w:lineRule="exact"/>
              <w:ind w:left="328"/>
              <w:rPr>
                <w:rFonts w:ascii="宋体" w:hAnsi="宋体" w:eastAsia="宋体" w:cs="宋体"/>
                <w:sz w:val="20"/>
                <w:szCs w:val="20"/>
              </w:rPr>
            </w:pPr>
            <w:r>
              <w:rPr>
                <w:rFonts w:ascii="宋体" w:hAnsi="宋体" w:eastAsia="宋体" w:cs="宋体"/>
                <w:spacing w:val="-17"/>
                <w:position w:val="1"/>
                <w:sz w:val="20"/>
                <w:szCs w:val="20"/>
              </w:rPr>
              <w:t>6.5</w:t>
            </w:r>
          </w:p>
        </w:tc>
        <w:tc>
          <w:tcPr>
            <w:tcW w:w="4762" w:type="dxa"/>
            <w:vAlign w:val="top"/>
          </w:tcPr>
          <w:p>
            <w:pPr>
              <w:spacing w:before="174" w:line="218" w:lineRule="auto"/>
              <w:ind w:left="105"/>
              <w:rPr>
                <w:rFonts w:ascii="宋体" w:hAnsi="宋体" w:eastAsia="宋体" w:cs="宋体"/>
                <w:sz w:val="20"/>
                <w:szCs w:val="20"/>
              </w:rPr>
            </w:pPr>
            <w:r>
              <w:rPr>
                <w:rFonts w:ascii="宋体" w:hAnsi="宋体" w:eastAsia="宋体" w:cs="宋体"/>
                <w:spacing w:val="9"/>
                <w:sz w:val="20"/>
                <w:szCs w:val="20"/>
              </w:rPr>
              <w:t>混凝土模板及支架</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69" w:line="281" w:lineRule="exact"/>
              <w:ind w:left="328"/>
              <w:rPr>
                <w:rFonts w:ascii="宋体" w:hAnsi="宋体" w:eastAsia="宋体" w:cs="宋体"/>
                <w:sz w:val="20"/>
                <w:szCs w:val="20"/>
              </w:rPr>
            </w:pPr>
            <w:r>
              <w:rPr>
                <w:rFonts w:ascii="宋体" w:hAnsi="宋体" w:eastAsia="宋体" w:cs="宋体"/>
                <w:spacing w:val="-17"/>
                <w:position w:val="1"/>
                <w:sz w:val="20"/>
                <w:szCs w:val="20"/>
              </w:rPr>
              <w:t>6.6</w:t>
            </w:r>
          </w:p>
        </w:tc>
        <w:tc>
          <w:tcPr>
            <w:tcW w:w="4762" w:type="dxa"/>
            <w:vAlign w:val="top"/>
          </w:tcPr>
          <w:p>
            <w:pPr>
              <w:spacing w:before="176" w:line="217" w:lineRule="auto"/>
              <w:ind w:left="109"/>
              <w:rPr>
                <w:rFonts w:ascii="宋体" w:hAnsi="宋体" w:eastAsia="宋体" w:cs="宋体"/>
                <w:sz w:val="20"/>
                <w:szCs w:val="20"/>
              </w:rPr>
            </w:pPr>
            <w:r>
              <w:rPr>
                <w:rFonts w:ascii="宋体" w:hAnsi="宋体" w:eastAsia="宋体" w:cs="宋体"/>
                <w:spacing w:val="8"/>
                <w:sz w:val="20"/>
                <w:szCs w:val="20"/>
              </w:rPr>
              <w:t>大型机械进出场</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923" w:type="dxa"/>
            <w:tcBorders>
              <w:left w:val="single" w:color="000000" w:sz="6" w:space="0"/>
            </w:tcBorders>
            <w:vAlign w:val="top"/>
          </w:tcPr>
          <w:p>
            <w:pPr>
              <w:spacing w:before="170" w:line="280" w:lineRule="exact"/>
              <w:ind w:left="328"/>
              <w:rPr>
                <w:rFonts w:ascii="宋体" w:hAnsi="宋体" w:eastAsia="宋体" w:cs="宋体"/>
                <w:sz w:val="20"/>
                <w:szCs w:val="20"/>
              </w:rPr>
            </w:pPr>
            <w:r>
              <w:rPr>
                <w:rFonts w:ascii="宋体" w:hAnsi="宋体" w:eastAsia="宋体" w:cs="宋体"/>
                <w:spacing w:val="-17"/>
                <w:position w:val="1"/>
                <w:sz w:val="20"/>
                <w:szCs w:val="20"/>
              </w:rPr>
              <w:t>6.7</w:t>
            </w:r>
          </w:p>
        </w:tc>
        <w:tc>
          <w:tcPr>
            <w:tcW w:w="4762" w:type="dxa"/>
            <w:vAlign w:val="top"/>
          </w:tcPr>
          <w:p>
            <w:pPr>
              <w:spacing w:before="163" w:line="232" w:lineRule="auto"/>
              <w:ind w:left="102"/>
              <w:rPr>
                <w:rFonts w:ascii="宋体" w:hAnsi="宋体" w:eastAsia="宋体" w:cs="宋体"/>
                <w:sz w:val="20"/>
                <w:szCs w:val="20"/>
              </w:rPr>
            </w:pPr>
            <w:r>
              <w:rPr>
                <w:rFonts w:ascii="宋体" w:hAnsi="宋体" w:eastAsia="宋体" w:cs="宋体"/>
                <w:spacing w:val="9"/>
                <w:sz w:val="20"/>
                <w:szCs w:val="20"/>
              </w:rPr>
              <w:t>施工排水、降水</w:t>
            </w:r>
          </w:p>
        </w:tc>
        <w:tc>
          <w:tcPr>
            <w:tcW w:w="1797" w:type="dxa"/>
            <w:vAlign w:val="top"/>
          </w:tcPr>
          <w:p>
            <w:pPr>
              <w:pStyle w:val="6"/>
            </w:pPr>
          </w:p>
        </w:tc>
        <w:tc>
          <w:tcPr>
            <w:tcW w:w="1807"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4" w:hRule="atLeast"/>
        </w:trPr>
        <w:tc>
          <w:tcPr>
            <w:tcW w:w="923" w:type="dxa"/>
            <w:tcBorders>
              <w:left w:val="single" w:color="000000" w:sz="6" w:space="0"/>
              <w:bottom w:val="single" w:color="000000" w:sz="6" w:space="0"/>
            </w:tcBorders>
            <w:vAlign w:val="top"/>
          </w:tcPr>
          <w:p>
            <w:pPr>
              <w:spacing w:before="168" w:line="296" w:lineRule="exact"/>
              <w:ind w:left="328"/>
              <w:rPr>
                <w:rFonts w:ascii="宋体" w:hAnsi="宋体" w:eastAsia="宋体" w:cs="宋体"/>
                <w:sz w:val="20"/>
                <w:szCs w:val="20"/>
              </w:rPr>
            </w:pPr>
            <w:r>
              <w:rPr>
                <w:rFonts w:ascii="宋体" w:hAnsi="宋体" w:eastAsia="宋体" w:cs="宋体"/>
                <w:spacing w:val="-17"/>
                <w:position w:val="2"/>
                <w:sz w:val="20"/>
                <w:szCs w:val="20"/>
              </w:rPr>
              <w:t>6.8</w:t>
            </w:r>
          </w:p>
        </w:tc>
        <w:tc>
          <w:tcPr>
            <w:tcW w:w="4762" w:type="dxa"/>
            <w:tcBorders>
              <w:bottom w:val="single" w:color="000000" w:sz="6" w:space="0"/>
            </w:tcBorders>
            <w:vAlign w:val="top"/>
          </w:tcPr>
          <w:p>
            <w:pPr>
              <w:spacing w:before="172" w:line="222" w:lineRule="auto"/>
              <w:ind w:left="103"/>
              <w:rPr>
                <w:rFonts w:ascii="宋体" w:hAnsi="宋体" w:eastAsia="宋体" w:cs="宋体"/>
                <w:sz w:val="20"/>
                <w:szCs w:val="20"/>
              </w:rPr>
            </w:pPr>
            <w:r>
              <w:rPr>
                <w:rFonts w:ascii="宋体" w:hAnsi="宋体" w:eastAsia="宋体" w:cs="宋体"/>
                <w:spacing w:val="9"/>
                <w:sz w:val="20"/>
                <w:szCs w:val="20"/>
              </w:rPr>
              <w:t>其他措施项目</w:t>
            </w:r>
          </w:p>
        </w:tc>
        <w:tc>
          <w:tcPr>
            <w:tcW w:w="1797" w:type="dxa"/>
            <w:tcBorders>
              <w:bottom w:val="single" w:color="000000" w:sz="6" w:space="0"/>
            </w:tcBorders>
            <w:vAlign w:val="top"/>
          </w:tcPr>
          <w:p>
            <w:pPr>
              <w:pStyle w:val="6"/>
            </w:pPr>
          </w:p>
        </w:tc>
        <w:tc>
          <w:tcPr>
            <w:tcW w:w="1807" w:type="dxa"/>
            <w:tcBorders>
              <w:bottom w:val="single" w:color="000000" w:sz="6" w:space="0"/>
              <w:right w:val="single" w:color="000000" w:sz="6" w:space="0"/>
            </w:tcBorders>
            <w:vAlign w:val="top"/>
          </w:tcPr>
          <w:p>
            <w:pPr>
              <w:pStyle w:val="6"/>
            </w:pPr>
          </w:p>
        </w:tc>
      </w:tr>
    </w:tbl>
    <w:p>
      <w:pPr>
        <w:rPr>
          <w:rFonts w:ascii="Arial"/>
          <w:sz w:val="21"/>
        </w:rPr>
      </w:pPr>
    </w:p>
    <w:p>
      <w:pPr>
        <w:rPr>
          <w:rFonts w:ascii="Arial" w:hAnsi="Arial" w:eastAsia="Arial" w:cs="Arial"/>
          <w:sz w:val="21"/>
          <w:szCs w:val="21"/>
        </w:rPr>
        <w:sectPr>
          <w:footerReference r:id="rId111" w:type="default"/>
          <w:pgSz w:w="11905" w:h="16840"/>
          <w:pgMar w:top="400" w:right="1301" w:bottom="1213" w:left="1299" w:header="0" w:footer="898" w:gutter="0"/>
        </w:sect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2"/>
        <w:spacing w:before="103" w:line="168" w:lineRule="auto"/>
        <w:ind w:left="2182"/>
        <w:rPr>
          <w:sz w:val="24"/>
          <w:szCs w:val="24"/>
        </w:rPr>
      </w:pPr>
      <w:r>
        <w:rPr>
          <w:spacing w:val="2"/>
          <w:sz w:val="24"/>
          <w:szCs w:val="24"/>
        </w:rPr>
        <w:t>附表4   建设工程安全文明施工措施项目清单</w:t>
      </w:r>
    </w:p>
    <w:tbl>
      <w:tblPr>
        <w:tblStyle w:val="5"/>
        <w:tblW w:w="9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7"/>
        <w:gridCol w:w="1631"/>
        <w:gridCol w:w="808"/>
        <w:gridCol w:w="51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1487" w:type="dxa"/>
            <w:vAlign w:val="top"/>
          </w:tcPr>
          <w:p>
            <w:pPr>
              <w:spacing w:before="117" w:line="219" w:lineRule="auto"/>
              <w:ind w:left="532"/>
              <w:rPr>
                <w:rFonts w:ascii="宋体" w:hAnsi="宋体" w:eastAsia="宋体" w:cs="宋体"/>
                <w:sz w:val="20"/>
                <w:szCs w:val="20"/>
              </w:rPr>
            </w:pPr>
            <w:r>
              <w:rPr>
                <w:rFonts w:ascii="宋体" w:hAnsi="宋体" w:eastAsia="宋体" w:cs="宋体"/>
                <w:spacing w:val="7"/>
                <w:sz w:val="20"/>
                <w:szCs w:val="20"/>
              </w:rPr>
              <w:t>类别</w:t>
            </w:r>
          </w:p>
        </w:tc>
        <w:tc>
          <w:tcPr>
            <w:tcW w:w="7592" w:type="dxa"/>
            <w:gridSpan w:val="3"/>
            <w:vAlign w:val="top"/>
          </w:tcPr>
          <w:p>
            <w:pPr>
              <w:spacing w:before="119" w:line="217" w:lineRule="auto"/>
              <w:ind w:left="3374"/>
              <w:rPr>
                <w:rFonts w:ascii="宋体" w:hAnsi="宋体" w:eastAsia="宋体" w:cs="宋体"/>
                <w:sz w:val="20"/>
                <w:szCs w:val="20"/>
              </w:rPr>
            </w:pPr>
            <w:r>
              <w:rPr>
                <w:rFonts w:ascii="宋体" w:hAnsi="宋体" w:eastAsia="宋体" w:cs="宋体"/>
                <w:spacing w:val="8"/>
                <w:sz w:val="20"/>
                <w:szCs w:val="20"/>
              </w:rPr>
              <w:t>项目名称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restart"/>
            <w:tcBorders>
              <w:bottom w:val="nil"/>
            </w:tcBorders>
            <w:vAlign w:val="top"/>
          </w:tcPr>
          <w:p>
            <w:pPr>
              <w:pStyle w:val="6"/>
              <w:spacing w:line="245"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spacing w:before="65" w:line="219" w:lineRule="auto"/>
              <w:ind w:left="220"/>
              <w:rPr>
                <w:rFonts w:ascii="宋体" w:hAnsi="宋体" w:eastAsia="宋体" w:cs="宋体"/>
                <w:sz w:val="20"/>
                <w:szCs w:val="20"/>
              </w:rPr>
            </w:pPr>
            <w:r>
              <w:rPr>
                <w:rFonts w:ascii="宋体" w:hAnsi="宋体" w:eastAsia="宋体" w:cs="宋体"/>
                <w:spacing w:val="8"/>
                <w:sz w:val="20"/>
                <w:szCs w:val="20"/>
              </w:rPr>
              <w:t>安全施工费</w:t>
            </w:r>
          </w:p>
        </w:tc>
        <w:tc>
          <w:tcPr>
            <w:tcW w:w="1631" w:type="dxa"/>
            <w:vMerge w:val="restart"/>
            <w:tcBorders>
              <w:bottom w:val="nil"/>
            </w:tcBorders>
            <w:vAlign w:val="top"/>
          </w:tcPr>
          <w:p>
            <w:pPr>
              <w:pStyle w:val="6"/>
              <w:spacing w:line="367" w:lineRule="auto"/>
            </w:pPr>
          </w:p>
          <w:p>
            <w:pPr>
              <w:spacing w:before="65" w:line="219" w:lineRule="auto"/>
              <w:ind w:left="397"/>
              <w:rPr>
                <w:rFonts w:ascii="宋体" w:hAnsi="宋体" w:eastAsia="宋体" w:cs="宋体"/>
                <w:sz w:val="20"/>
                <w:szCs w:val="20"/>
              </w:rPr>
            </w:pPr>
            <w:r>
              <w:rPr>
                <w:rFonts w:ascii="宋体" w:hAnsi="宋体" w:eastAsia="宋体" w:cs="宋体"/>
                <w:spacing w:val="8"/>
                <w:sz w:val="20"/>
                <w:szCs w:val="20"/>
              </w:rPr>
              <w:t>一般防护</w:t>
            </w:r>
          </w:p>
        </w:tc>
        <w:tc>
          <w:tcPr>
            <w:tcW w:w="808" w:type="dxa"/>
            <w:vAlign w:val="top"/>
          </w:tcPr>
          <w:p>
            <w:pPr>
              <w:spacing w:before="59" w:line="296" w:lineRule="exact"/>
              <w:ind w:left="293"/>
              <w:rPr>
                <w:rFonts w:ascii="宋体" w:hAnsi="宋体" w:eastAsia="宋体" w:cs="宋体"/>
                <w:sz w:val="20"/>
                <w:szCs w:val="20"/>
              </w:rPr>
            </w:pPr>
            <w:r>
              <w:rPr>
                <w:rFonts w:ascii="宋体" w:hAnsi="宋体" w:eastAsia="宋体" w:cs="宋体"/>
                <w:spacing w:val="-22"/>
                <w:position w:val="2"/>
                <w:sz w:val="20"/>
                <w:szCs w:val="20"/>
              </w:rPr>
              <w:t>1.1</w:t>
            </w:r>
          </w:p>
        </w:tc>
        <w:tc>
          <w:tcPr>
            <w:tcW w:w="5153" w:type="dxa"/>
            <w:vAlign w:val="top"/>
          </w:tcPr>
          <w:p>
            <w:pPr>
              <w:spacing w:before="115" w:line="216" w:lineRule="auto"/>
              <w:ind w:left="427"/>
              <w:rPr>
                <w:rFonts w:ascii="宋体" w:hAnsi="宋体" w:eastAsia="宋体" w:cs="宋体"/>
                <w:sz w:val="20"/>
                <w:szCs w:val="20"/>
              </w:rPr>
            </w:pPr>
            <w:r>
              <w:rPr>
                <w:rFonts w:ascii="宋体" w:hAnsi="宋体" w:eastAsia="宋体" w:cs="宋体"/>
                <w:spacing w:val="8"/>
                <w:sz w:val="20"/>
                <w:szCs w:val="20"/>
              </w:rPr>
              <w:t>安全网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59" w:line="296" w:lineRule="exact"/>
              <w:ind w:left="293"/>
              <w:rPr>
                <w:rFonts w:ascii="宋体" w:hAnsi="宋体" w:eastAsia="宋体" w:cs="宋体"/>
                <w:sz w:val="20"/>
                <w:szCs w:val="20"/>
              </w:rPr>
            </w:pPr>
            <w:r>
              <w:rPr>
                <w:rFonts w:ascii="宋体" w:hAnsi="宋体" w:eastAsia="宋体" w:cs="宋体"/>
                <w:spacing w:val="-22"/>
                <w:position w:val="2"/>
                <w:sz w:val="20"/>
                <w:szCs w:val="20"/>
              </w:rPr>
              <w:t>1.2</w:t>
            </w:r>
          </w:p>
        </w:tc>
        <w:tc>
          <w:tcPr>
            <w:tcW w:w="5153" w:type="dxa"/>
            <w:vAlign w:val="top"/>
          </w:tcPr>
          <w:p>
            <w:pPr>
              <w:spacing w:before="114" w:line="215" w:lineRule="auto"/>
              <w:ind w:left="427"/>
              <w:rPr>
                <w:rFonts w:ascii="宋体" w:hAnsi="宋体" w:eastAsia="宋体" w:cs="宋体"/>
                <w:sz w:val="20"/>
                <w:szCs w:val="20"/>
              </w:rPr>
            </w:pPr>
            <w:r>
              <w:rPr>
                <w:rFonts w:ascii="宋体" w:hAnsi="宋体" w:eastAsia="宋体" w:cs="宋体"/>
                <w:spacing w:val="8"/>
                <w:sz w:val="20"/>
                <w:szCs w:val="20"/>
              </w:rPr>
              <w:t>安全帽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61" w:line="293" w:lineRule="exact"/>
              <w:ind w:left="293"/>
              <w:rPr>
                <w:rFonts w:ascii="宋体" w:hAnsi="宋体" w:eastAsia="宋体" w:cs="宋体"/>
                <w:sz w:val="20"/>
                <w:szCs w:val="20"/>
              </w:rPr>
            </w:pPr>
            <w:r>
              <w:rPr>
                <w:rFonts w:ascii="宋体" w:hAnsi="宋体" w:eastAsia="宋体" w:cs="宋体"/>
                <w:spacing w:val="-22"/>
                <w:position w:val="2"/>
                <w:sz w:val="20"/>
                <w:szCs w:val="20"/>
              </w:rPr>
              <w:t>1.3</w:t>
            </w:r>
          </w:p>
        </w:tc>
        <w:tc>
          <w:tcPr>
            <w:tcW w:w="5153" w:type="dxa"/>
            <w:vAlign w:val="top"/>
          </w:tcPr>
          <w:p>
            <w:pPr>
              <w:spacing w:before="114" w:line="218" w:lineRule="auto"/>
              <w:ind w:left="427"/>
              <w:rPr>
                <w:rFonts w:ascii="宋体" w:hAnsi="宋体" w:eastAsia="宋体" w:cs="宋体"/>
                <w:sz w:val="20"/>
                <w:szCs w:val="20"/>
              </w:rPr>
            </w:pPr>
            <w:r>
              <w:rPr>
                <w:rFonts w:ascii="宋体" w:hAnsi="宋体" w:eastAsia="宋体" w:cs="宋体"/>
                <w:spacing w:val="8"/>
                <w:sz w:val="20"/>
                <w:szCs w:val="20"/>
              </w:rPr>
              <w:t>安全带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Align w:val="top"/>
          </w:tcPr>
          <w:p>
            <w:pPr>
              <w:spacing w:before="65" w:line="220" w:lineRule="auto"/>
              <w:ind w:left="502"/>
              <w:rPr>
                <w:rFonts w:ascii="宋体" w:hAnsi="宋体" w:eastAsia="宋体" w:cs="宋体"/>
                <w:sz w:val="20"/>
                <w:szCs w:val="20"/>
              </w:rPr>
            </w:pPr>
            <w:r>
              <w:rPr>
                <w:rFonts w:ascii="宋体" w:hAnsi="宋体" w:eastAsia="宋体" w:cs="宋体"/>
                <w:spacing w:val="8"/>
                <w:sz w:val="20"/>
                <w:szCs w:val="20"/>
              </w:rPr>
              <w:t>通道棚</w:t>
            </w:r>
          </w:p>
        </w:tc>
        <w:tc>
          <w:tcPr>
            <w:tcW w:w="808" w:type="dxa"/>
            <w:vAlign w:val="top"/>
          </w:tcPr>
          <w:p>
            <w:pPr>
              <w:spacing w:before="61" w:line="293" w:lineRule="exact"/>
              <w:ind w:left="293"/>
              <w:rPr>
                <w:rFonts w:ascii="宋体" w:hAnsi="宋体" w:eastAsia="宋体" w:cs="宋体"/>
                <w:sz w:val="20"/>
                <w:szCs w:val="20"/>
              </w:rPr>
            </w:pPr>
            <w:r>
              <w:rPr>
                <w:rFonts w:ascii="宋体" w:hAnsi="宋体" w:eastAsia="宋体" w:cs="宋体"/>
                <w:spacing w:val="-22"/>
                <w:position w:val="2"/>
                <w:sz w:val="20"/>
                <w:szCs w:val="20"/>
              </w:rPr>
              <w:t>1.4</w:t>
            </w:r>
          </w:p>
        </w:tc>
        <w:tc>
          <w:tcPr>
            <w:tcW w:w="5153" w:type="dxa"/>
            <w:vAlign w:val="top"/>
          </w:tcPr>
          <w:p>
            <w:pPr>
              <w:spacing w:before="114" w:line="218" w:lineRule="auto"/>
              <w:ind w:left="427"/>
              <w:rPr>
                <w:rFonts w:ascii="宋体" w:hAnsi="宋体" w:eastAsia="宋体" w:cs="宋体"/>
                <w:sz w:val="20"/>
                <w:szCs w:val="20"/>
              </w:rPr>
            </w:pPr>
            <w:r>
              <w:rPr>
                <w:rFonts w:ascii="宋体" w:hAnsi="宋体" w:eastAsia="宋体" w:cs="宋体"/>
                <w:spacing w:val="9"/>
                <w:sz w:val="20"/>
                <w:szCs w:val="20"/>
              </w:rPr>
              <w:t>杆架、扣件、脚手板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76" w:lineRule="auto"/>
            </w:pPr>
          </w:p>
          <w:p>
            <w:pPr>
              <w:pStyle w:val="6"/>
              <w:spacing w:line="276" w:lineRule="auto"/>
            </w:pPr>
          </w:p>
          <w:p>
            <w:pPr>
              <w:spacing w:before="65" w:line="218" w:lineRule="auto"/>
              <w:ind w:left="411"/>
              <w:rPr>
                <w:rFonts w:ascii="宋体" w:hAnsi="宋体" w:eastAsia="宋体" w:cs="宋体"/>
                <w:sz w:val="20"/>
                <w:szCs w:val="20"/>
              </w:rPr>
            </w:pPr>
            <w:r>
              <w:rPr>
                <w:rFonts w:ascii="宋体" w:hAnsi="宋体" w:eastAsia="宋体" w:cs="宋体"/>
                <w:spacing w:val="4"/>
                <w:sz w:val="20"/>
                <w:szCs w:val="20"/>
              </w:rPr>
              <w:t>防护围栏</w:t>
            </w:r>
          </w:p>
        </w:tc>
        <w:tc>
          <w:tcPr>
            <w:tcW w:w="808" w:type="dxa"/>
            <w:vAlign w:val="top"/>
          </w:tcPr>
          <w:p>
            <w:pPr>
              <w:spacing w:before="60" w:line="295" w:lineRule="exact"/>
              <w:ind w:left="293"/>
              <w:rPr>
                <w:rFonts w:ascii="宋体" w:hAnsi="宋体" w:eastAsia="宋体" w:cs="宋体"/>
                <w:sz w:val="20"/>
                <w:szCs w:val="20"/>
              </w:rPr>
            </w:pPr>
            <w:r>
              <w:rPr>
                <w:rFonts w:ascii="宋体" w:hAnsi="宋体" w:eastAsia="宋体" w:cs="宋体"/>
                <w:spacing w:val="-22"/>
                <w:position w:val="2"/>
                <w:sz w:val="20"/>
                <w:szCs w:val="20"/>
              </w:rPr>
              <w:t>1.5</w:t>
            </w:r>
          </w:p>
        </w:tc>
        <w:tc>
          <w:tcPr>
            <w:tcW w:w="5153" w:type="dxa"/>
            <w:vAlign w:val="top"/>
          </w:tcPr>
          <w:p>
            <w:pPr>
              <w:spacing w:before="112" w:line="220" w:lineRule="auto"/>
              <w:ind w:left="430"/>
              <w:rPr>
                <w:rFonts w:ascii="宋体" w:hAnsi="宋体" w:eastAsia="宋体" w:cs="宋体"/>
                <w:sz w:val="20"/>
                <w:szCs w:val="20"/>
              </w:rPr>
            </w:pPr>
            <w:r>
              <w:rPr>
                <w:rFonts w:ascii="宋体" w:hAnsi="宋体" w:eastAsia="宋体" w:cs="宋体"/>
                <w:spacing w:val="9"/>
                <w:sz w:val="20"/>
                <w:szCs w:val="20"/>
              </w:rPr>
              <w:t>配电箱、施工机械等防护棚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93"/>
              <w:rPr>
                <w:rFonts w:ascii="宋体" w:hAnsi="宋体" w:eastAsia="宋体" w:cs="宋体"/>
                <w:sz w:val="20"/>
                <w:szCs w:val="20"/>
              </w:rPr>
            </w:pPr>
            <w:r>
              <w:rPr>
                <w:rFonts w:ascii="宋体" w:hAnsi="宋体" w:eastAsia="宋体" w:cs="宋体"/>
                <w:spacing w:val="-22"/>
                <w:position w:val="2"/>
                <w:sz w:val="20"/>
                <w:szCs w:val="20"/>
              </w:rPr>
              <w:t>1.6</w:t>
            </w:r>
          </w:p>
        </w:tc>
        <w:tc>
          <w:tcPr>
            <w:tcW w:w="5153" w:type="dxa"/>
            <w:vAlign w:val="top"/>
          </w:tcPr>
          <w:p>
            <w:pPr>
              <w:spacing w:before="115" w:line="218" w:lineRule="auto"/>
              <w:ind w:left="425"/>
              <w:rPr>
                <w:rFonts w:ascii="宋体" w:hAnsi="宋体" w:eastAsia="宋体" w:cs="宋体"/>
                <w:sz w:val="20"/>
                <w:szCs w:val="20"/>
              </w:rPr>
            </w:pPr>
            <w:r>
              <w:rPr>
                <w:rFonts w:ascii="宋体" w:hAnsi="宋体" w:eastAsia="宋体" w:cs="宋体"/>
                <w:spacing w:val="9"/>
                <w:sz w:val="20"/>
                <w:szCs w:val="20"/>
              </w:rPr>
              <w:t>起重机械安全防护费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59" w:line="296" w:lineRule="exact"/>
              <w:ind w:left="293"/>
              <w:rPr>
                <w:rFonts w:ascii="宋体" w:hAnsi="宋体" w:eastAsia="宋体" w:cs="宋体"/>
                <w:sz w:val="20"/>
                <w:szCs w:val="20"/>
              </w:rPr>
            </w:pPr>
            <w:r>
              <w:rPr>
                <w:rFonts w:ascii="宋体" w:hAnsi="宋体" w:eastAsia="宋体" w:cs="宋体"/>
                <w:spacing w:val="-22"/>
                <w:position w:val="2"/>
                <w:sz w:val="20"/>
                <w:szCs w:val="20"/>
              </w:rPr>
              <w:t>1.7</w:t>
            </w:r>
          </w:p>
        </w:tc>
        <w:tc>
          <w:tcPr>
            <w:tcW w:w="5153" w:type="dxa"/>
            <w:vAlign w:val="top"/>
          </w:tcPr>
          <w:p>
            <w:pPr>
              <w:spacing w:before="114" w:line="218" w:lineRule="auto"/>
              <w:ind w:left="425"/>
              <w:rPr>
                <w:rFonts w:ascii="宋体" w:hAnsi="宋体" w:eastAsia="宋体" w:cs="宋体"/>
                <w:sz w:val="20"/>
                <w:szCs w:val="20"/>
              </w:rPr>
            </w:pPr>
            <w:r>
              <w:rPr>
                <w:rFonts w:ascii="宋体" w:hAnsi="宋体" w:eastAsia="宋体" w:cs="宋体"/>
                <w:spacing w:val="9"/>
                <w:sz w:val="20"/>
                <w:szCs w:val="20"/>
              </w:rPr>
              <w:t>施工机具安全防护设施费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59" w:line="296" w:lineRule="exact"/>
              <w:ind w:left="293"/>
              <w:rPr>
                <w:rFonts w:ascii="宋体" w:hAnsi="宋体" w:eastAsia="宋体" w:cs="宋体"/>
                <w:sz w:val="20"/>
                <w:szCs w:val="20"/>
              </w:rPr>
            </w:pPr>
            <w:r>
              <w:rPr>
                <w:rFonts w:ascii="宋体" w:hAnsi="宋体" w:eastAsia="宋体" w:cs="宋体"/>
                <w:spacing w:val="-22"/>
                <w:position w:val="2"/>
                <w:sz w:val="20"/>
                <w:szCs w:val="20"/>
              </w:rPr>
              <w:t>1.8</w:t>
            </w:r>
          </w:p>
        </w:tc>
        <w:tc>
          <w:tcPr>
            <w:tcW w:w="5153" w:type="dxa"/>
            <w:vAlign w:val="top"/>
          </w:tcPr>
          <w:p>
            <w:pPr>
              <w:spacing w:before="114" w:line="216" w:lineRule="auto"/>
              <w:ind w:left="427"/>
              <w:rPr>
                <w:rFonts w:ascii="宋体" w:hAnsi="宋体" w:eastAsia="宋体" w:cs="宋体"/>
                <w:sz w:val="20"/>
                <w:szCs w:val="20"/>
              </w:rPr>
            </w:pPr>
            <w:r>
              <w:rPr>
                <w:rFonts w:ascii="宋体" w:hAnsi="宋体" w:eastAsia="宋体" w:cs="宋体"/>
                <w:spacing w:val="9"/>
                <w:sz w:val="20"/>
                <w:szCs w:val="20"/>
              </w:rPr>
              <w:t>卷扬机安全防护设施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65" w:line="216" w:lineRule="auto"/>
              <w:ind w:left="191"/>
              <w:rPr>
                <w:rFonts w:ascii="宋体" w:hAnsi="宋体" w:eastAsia="宋体" w:cs="宋体"/>
                <w:sz w:val="20"/>
                <w:szCs w:val="20"/>
              </w:rPr>
            </w:pPr>
            <w:r>
              <w:rPr>
                <w:rFonts w:ascii="宋体" w:hAnsi="宋体" w:eastAsia="宋体" w:cs="宋体"/>
                <w:spacing w:val="7"/>
                <w:sz w:val="20"/>
                <w:szCs w:val="20"/>
              </w:rPr>
              <w:t>消防安全防护</w:t>
            </w:r>
          </w:p>
        </w:tc>
        <w:tc>
          <w:tcPr>
            <w:tcW w:w="808" w:type="dxa"/>
            <w:vAlign w:val="top"/>
          </w:tcPr>
          <w:p>
            <w:pPr>
              <w:spacing w:before="61" w:line="293" w:lineRule="exact"/>
              <w:ind w:left="293"/>
              <w:rPr>
                <w:rFonts w:ascii="宋体" w:hAnsi="宋体" w:eastAsia="宋体" w:cs="宋体"/>
                <w:sz w:val="20"/>
                <w:szCs w:val="20"/>
              </w:rPr>
            </w:pPr>
            <w:r>
              <w:rPr>
                <w:rFonts w:ascii="宋体" w:hAnsi="宋体" w:eastAsia="宋体" w:cs="宋体"/>
                <w:spacing w:val="-22"/>
                <w:position w:val="2"/>
                <w:sz w:val="20"/>
                <w:szCs w:val="20"/>
              </w:rPr>
              <w:t>1.9</w:t>
            </w:r>
          </w:p>
        </w:tc>
        <w:tc>
          <w:tcPr>
            <w:tcW w:w="5153" w:type="dxa"/>
            <w:vAlign w:val="top"/>
          </w:tcPr>
          <w:p>
            <w:pPr>
              <w:spacing w:before="117" w:line="215" w:lineRule="auto"/>
              <w:ind w:left="461"/>
              <w:rPr>
                <w:rFonts w:ascii="宋体" w:hAnsi="宋体" w:eastAsia="宋体" w:cs="宋体"/>
                <w:sz w:val="20"/>
                <w:szCs w:val="20"/>
              </w:rPr>
            </w:pPr>
            <w:r>
              <w:rPr>
                <w:rFonts w:ascii="宋体" w:hAnsi="宋体" w:eastAsia="宋体" w:cs="宋体"/>
                <w:spacing w:val="-11"/>
                <w:sz w:val="20"/>
                <w:szCs w:val="20"/>
              </w:rPr>
              <w:t>口罩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1.10</w:t>
            </w:r>
          </w:p>
        </w:tc>
        <w:tc>
          <w:tcPr>
            <w:tcW w:w="5153" w:type="dxa"/>
            <w:vAlign w:val="top"/>
          </w:tcPr>
          <w:p>
            <w:pPr>
              <w:spacing w:before="117" w:line="214" w:lineRule="auto"/>
              <w:ind w:left="426"/>
              <w:rPr>
                <w:rFonts w:ascii="宋体" w:hAnsi="宋体" w:eastAsia="宋体" w:cs="宋体"/>
                <w:sz w:val="20"/>
                <w:szCs w:val="20"/>
              </w:rPr>
            </w:pPr>
            <w:r>
              <w:rPr>
                <w:rFonts w:ascii="宋体" w:hAnsi="宋体" w:eastAsia="宋体" w:cs="宋体"/>
                <w:spacing w:val="8"/>
                <w:sz w:val="20"/>
                <w:szCs w:val="20"/>
              </w:rPr>
              <w:t>灭火器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1.11</w:t>
            </w:r>
          </w:p>
        </w:tc>
        <w:tc>
          <w:tcPr>
            <w:tcW w:w="5153" w:type="dxa"/>
            <w:vAlign w:val="top"/>
          </w:tcPr>
          <w:p>
            <w:pPr>
              <w:spacing w:before="114" w:line="218" w:lineRule="auto"/>
              <w:ind w:left="433"/>
              <w:rPr>
                <w:rFonts w:ascii="宋体" w:hAnsi="宋体" w:eastAsia="宋体" w:cs="宋体"/>
                <w:sz w:val="20"/>
                <w:szCs w:val="20"/>
              </w:rPr>
            </w:pPr>
            <w:r>
              <w:rPr>
                <w:rFonts w:ascii="宋体" w:hAnsi="宋体" w:eastAsia="宋体" w:cs="宋体"/>
                <w:spacing w:val="6"/>
                <w:sz w:val="20"/>
                <w:szCs w:val="20"/>
              </w:rPr>
              <w:t>消防栏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1.12</w:t>
            </w:r>
          </w:p>
        </w:tc>
        <w:tc>
          <w:tcPr>
            <w:tcW w:w="5153" w:type="dxa"/>
            <w:vAlign w:val="top"/>
          </w:tcPr>
          <w:p>
            <w:pPr>
              <w:spacing w:before="114" w:line="219" w:lineRule="auto"/>
              <w:ind w:left="426"/>
              <w:rPr>
                <w:rFonts w:ascii="宋体" w:hAnsi="宋体" w:eastAsia="宋体" w:cs="宋体"/>
                <w:sz w:val="20"/>
                <w:szCs w:val="20"/>
              </w:rPr>
            </w:pPr>
            <w:r>
              <w:rPr>
                <w:rFonts w:ascii="宋体" w:hAnsi="宋体" w:eastAsia="宋体" w:cs="宋体"/>
                <w:spacing w:val="9"/>
                <w:sz w:val="20"/>
                <w:szCs w:val="20"/>
              </w:rPr>
              <w:t>砂箱、砂池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59" w:line="295" w:lineRule="exact"/>
              <w:ind w:left="240"/>
              <w:rPr>
                <w:rFonts w:ascii="宋体" w:hAnsi="宋体" w:eastAsia="宋体" w:cs="宋体"/>
                <w:sz w:val="20"/>
                <w:szCs w:val="20"/>
              </w:rPr>
            </w:pPr>
            <w:r>
              <w:rPr>
                <w:rFonts w:ascii="宋体" w:hAnsi="宋体" w:eastAsia="宋体" w:cs="宋体"/>
                <w:spacing w:val="-15"/>
                <w:position w:val="2"/>
                <w:sz w:val="20"/>
                <w:szCs w:val="20"/>
              </w:rPr>
              <w:t>1.13</w:t>
            </w:r>
          </w:p>
        </w:tc>
        <w:tc>
          <w:tcPr>
            <w:tcW w:w="5153" w:type="dxa"/>
            <w:vAlign w:val="top"/>
          </w:tcPr>
          <w:p>
            <w:pPr>
              <w:spacing w:before="113" w:line="218" w:lineRule="auto"/>
              <w:ind w:left="433"/>
              <w:rPr>
                <w:rFonts w:ascii="宋体" w:hAnsi="宋体" w:eastAsia="宋体" w:cs="宋体"/>
                <w:sz w:val="20"/>
                <w:szCs w:val="20"/>
              </w:rPr>
            </w:pPr>
            <w:r>
              <w:rPr>
                <w:rFonts w:ascii="宋体" w:hAnsi="宋体" w:eastAsia="宋体" w:cs="宋体"/>
                <w:spacing w:val="6"/>
                <w:sz w:val="20"/>
                <w:szCs w:val="20"/>
              </w:rPr>
              <w:t>消防水桶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1.14</w:t>
            </w:r>
          </w:p>
        </w:tc>
        <w:tc>
          <w:tcPr>
            <w:tcW w:w="5153" w:type="dxa"/>
            <w:vAlign w:val="top"/>
          </w:tcPr>
          <w:p>
            <w:pPr>
              <w:spacing w:before="114" w:line="219" w:lineRule="auto"/>
              <w:ind w:left="433"/>
              <w:rPr>
                <w:rFonts w:ascii="宋体" w:hAnsi="宋体" w:eastAsia="宋体" w:cs="宋体"/>
                <w:sz w:val="20"/>
                <w:szCs w:val="20"/>
              </w:rPr>
            </w:pPr>
            <w:r>
              <w:rPr>
                <w:rFonts w:ascii="宋体" w:hAnsi="宋体" w:eastAsia="宋体" w:cs="宋体"/>
                <w:spacing w:val="6"/>
                <w:sz w:val="20"/>
                <w:szCs w:val="20"/>
              </w:rPr>
              <w:t>消防铁锨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1.15</w:t>
            </w:r>
          </w:p>
        </w:tc>
        <w:tc>
          <w:tcPr>
            <w:tcW w:w="5153" w:type="dxa"/>
            <w:vAlign w:val="top"/>
          </w:tcPr>
          <w:p>
            <w:pPr>
              <w:spacing w:before="115" w:line="219" w:lineRule="auto"/>
              <w:ind w:left="433"/>
              <w:rPr>
                <w:rFonts w:ascii="宋体" w:hAnsi="宋体" w:eastAsia="宋体" w:cs="宋体"/>
                <w:sz w:val="20"/>
                <w:szCs w:val="20"/>
              </w:rPr>
            </w:pPr>
            <w:r>
              <w:rPr>
                <w:rFonts w:ascii="宋体" w:hAnsi="宋体" w:eastAsia="宋体" w:cs="宋体"/>
                <w:spacing w:val="6"/>
                <w:sz w:val="20"/>
                <w:szCs w:val="20"/>
              </w:rPr>
              <w:t>消防水管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1.16</w:t>
            </w:r>
          </w:p>
        </w:tc>
        <w:tc>
          <w:tcPr>
            <w:tcW w:w="5153" w:type="dxa"/>
            <w:vAlign w:val="top"/>
          </w:tcPr>
          <w:p>
            <w:pPr>
              <w:spacing w:before="115" w:line="218" w:lineRule="auto"/>
              <w:ind w:left="427"/>
              <w:rPr>
                <w:rFonts w:ascii="宋体" w:hAnsi="宋体" w:eastAsia="宋体" w:cs="宋体"/>
                <w:sz w:val="20"/>
                <w:szCs w:val="20"/>
              </w:rPr>
            </w:pPr>
            <w:r>
              <w:rPr>
                <w:rFonts w:ascii="宋体" w:hAnsi="宋体" w:eastAsia="宋体" w:cs="宋体"/>
                <w:spacing w:val="8"/>
                <w:sz w:val="20"/>
                <w:szCs w:val="20"/>
              </w:rPr>
              <w:t>加压泵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1.17</w:t>
            </w:r>
          </w:p>
        </w:tc>
        <w:tc>
          <w:tcPr>
            <w:tcW w:w="5153" w:type="dxa"/>
            <w:vAlign w:val="top"/>
          </w:tcPr>
          <w:p>
            <w:pPr>
              <w:spacing w:before="115" w:line="218" w:lineRule="auto"/>
              <w:ind w:left="433"/>
              <w:rPr>
                <w:rFonts w:ascii="宋体" w:hAnsi="宋体" w:eastAsia="宋体" w:cs="宋体"/>
                <w:sz w:val="20"/>
                <w:szCs w:val="20"/>
              </w:rPr>
            </w:pPr>
            <w:r>
              <w:rPr>
                <w:rFonts w:ascii="宋体" w:hAnsi="宋体" w:eastAsia="宋体" w:cs="宋体"/>
                <w:spacing w:val="6"/>
                <w:sz w:val="20"/>
                <w:szCs w:val="20"/>
              </w:rPr>
              <w:t>消防用水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1.18</w:t>
            </w:r>
          </w:p>
        </w:tc>
        <w:tc>
          <w:tcPr>
            <w:tcW w:w="5153" w:type="dxa"/>
            <w:vAlign w:val="top"/>
          </w:tcPr>
          <w:p>
            <w:pPr>
              <w:spacing w:before="114" w:line="219" w:lineRule="auto"/>
              <w:ind w:left="426"/>
              <w:rPr>
                <w:rFonts w:ascii="宋体" w:hAnsi="宋体" w:eastAsia="宋体" w:cs="宋体"/>
                <w:sz w:val="20"/>
                <w:szCs w:val="20"/>
              </w:rPr>
            </w:pPr>
            <w:r>
              <w:rPr>
                <w:rFonts w:ascii="宋体" w:hAnsi="宋体" w:eastAsia="宋体" w:cs="宋体"/>
                <w:spacing w:val="7"/>
                <w:sz w:val="20"/>
                <w:szCs w:val="20"/>
              </w:rPr>
              <w:t>水池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316" w:lineRule="auto"/>
            </w:pPr>
          </w:p>
          <w:p>
            <w:pPr>
              <w:pStyle w:val="6"/>
              <w:spacing w:line="316" w:lineRule="auto"/>
            </w:pPr>
          </w:p>
          <w:p>
            <w:pPr>
              <w:pStyle w:val="6"/>
              <w:spacing w:line="317" w:lineRule="auto"/>
            </w:pPr>
          </w:p>
          <w:p>
            <w:pPr>
              <w:spacing w:before="65" w:line="293" w:lineRule="auto"/>
              <w:ind w:left="189" w:right="187" w:firstLine="8"/>
              <w:rPr>
                <w:rFonts w:ascii="宋体" w:hAnsi="宋体" w:eastAsia="宋体" w:cs="宋体"/>
                <w:sz w:val="20"/>
                <w:szCs w:val="20"/>
              </w:rPr>
            </w:pPr>
            <w:r>
              <w:rPr>
                <w:rFonts w:ascii="宋体" w:hAnsi="宋体" w:eastAsia="宋体" w:cs="宋体"/>
                <w:spacing w:val="6"/>
                <w:sz w:val="20"/>
                <w:szCs w:val="20"/>
              </w:rPr>
              <w:t>临边洞口交叉</w:t>
            </w:r>
            <w:r>
              <w:rPr>
                <w:rFonts w:ascii="宋体" w:hAnsi="宋体" w:eastAsia="宋体" w:cs="宋体"/>
                <w:spacing w:val="8"/>
                <w:sz w:val="20"/>
                <w:szCs w:val="20"/>
              </w:rPr>
              <w:t>高处作业防护</w:t>
            </w: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1.19</w:t>
            </w:r>
          </w:p>
        </w:tc>
        <w:tc>
          <w:tcPr>
            <w:tcW w:w="5153" w:type="dxa"/>
            <w:vAlign w:val="top"/>
          </w:tcPr>
          <w:p>
            <w:pPr>
              <w:spacing w:before="112" w:line="220" w:lineRule="auto"/>
              <w:ind w:left="426"/>
              <w:rPr>
                <w:rFonts w:ascii="宋体" w:hAnsi="宋体" w:eastAsia="宋体" w:cs="宋体"/>
                <w:sz w:val="20"/>
                <w:szCs w:val="20"/>
              </w:rPr>
            </w:pPr>
            <w:r>
              <w:rPr>
                <w:rFonts w:ascii="宋体" w:hAnsi="宋体" w:eastAsia="宋体" w:cs="宋体"/>
                <w:spacing w:val="9"/>
                <w:sz w:val="20"/>
                <w:szCs w:val="20"/>
              </w:rPr>
              <w:t>楼板、屋面、阳台、槽坑等临边防护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1.20</w:t>
            </w:r>
          </w:p>
        </w:tc>
        <w:tc>
          <w:tcPr>
            <w:tcW w:w="5153" w:type="dxa"/>
            <w:vAlign w:val="top"/>
          </w:tcPr>
          <w:p>
            <w:pPr>
              <w:spacing w:before="112" w:line="219" w:lineRule="auto"/>
              <w:ind w:left="427"/>
              <w:rPr>
                <w:rFonts w:ascii="宋体" w:hAnsi="宋体" w:eastAsia="宋体" w:cs="宋体"/>
                <w:sz w:val="20"/>
                <w:szCs w:val="20"/>
              </w:rPr>
            </w:pPr>
            <w:r>
              <w:rPr>
                <w:rFonts w:ascii="宋体" w:hAnsi="宋体" w:eastAsia="宋体" w:cs="宋体"/>
                <w:spacing w:val="8"/>
                <w:sz w:val="20"/>
                <w:szCs w:val="20"/>
              </w:rPr>
              <w:t>通道口防护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1.21</w:t>
            </w:r>
          </w:p>
        </w:tc>
        <w:tc>
          <w:tcPr>
            <w:tcW w:w="5153" w:type="dxa"/>
            <w:vAlign w:val="top"/>
          </w:tcPr>
          <w:p>
            <w:pPr>
              <w:spacing w:before="117" w:line="216" w:lineRule="auto"/>
              <w:ind w:left="430"/>
              <w:rPr>
                <w:rFonts w:ascii="宋体" w:hAnsi="宋体" w:eastAsia="宋体" w:cs="宋体"/>
                <w:sz w:val="20"/>
                <w:szCs w:val="20"/>
              </w:rPr>
            </w:pPr>
            <w:r>
              <w:rPr>
                <w:rFonts w:ascii="宋体" w:hAnsi="宋体" w:eastAsia="宋体" w:cs="宋体"/>
                <w:spacing w:val="8"/>
                <w:sz w:val="20"/>
                <w:szCs w:val="20"/>
              </w:rPr>
              <w:t>预留洞口防护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1.22</w:t>
            </w:r>
          </w:p>
        </w:tc>
        <w:tc>
          <w:tcPr>
            <w:tcW w:w="5153" w:type="dxa"/>
            <w:vAlign w:val="top"/>
          </w:tcPr>
          <w:p>
            <w:pPr>
              <w:spacing w:before="117" w:line="216" w:lineRule="auto"/>
              <w:ind w:left="446"/>
              <w:rPr>
                <w:rFonts w:ascii="宋体" w:hAnsi="宋体" w:eastAsia="宋体" w:cs="宋体"/>
                <w:sz w:val="20"/>
                <w:szCs w:val="20"/>
              </w:rPr>
            </w:pPr>
            <w:r>
              <w:rPr>
                <w:rFonts w:ascii="宋体" w:hAnsi="宋体" w:eastAsia="宋体" w:cs="宋体"/>
                <w:spacing w:val="5"/>
                <w:sz w:val="20"/>
                <w:szCs w:val="20"/>
              </w:rPr>
              <w:t>电梯井口防护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1.23</w:t>
            </w:r>
          </w:p>
        </w:tc>
        <w:tc>
          <w:tcPr>
            <w:tcW w:w="5153" w:type="dxa"/>
            <w:vAlign w:val="top"/>
          </w:tcPr>
          <w:p>
            <w:pPr>
              <w:spacing w:before="116" w:line="217" w:lineRule="auto"/>
              <w:ind w:left="426"/>
              <w:rPr>
                <w:rFonts w:ascii="宋体" w:hAnsi="宋体" w:eastAsia="宋体" w:cs="宋体"/>
                <w:sz w:val="20"/>
                <w:szCs w:val="20"/>
              </w:rPr>
            </w:pPr>
            <w:r>
              <w:rPr>
                <w:rFonts w:ascii="宋体" w:hAnsi="宋体" w:eastAsia="宋体" w:cs="宋体"/>
                <w:spacing w:val="8"/>
                <w:sz w:val="20"/>
                <w:szCs w:val="20"/>
              </w:rPr>
              <w:t>楼梯口防护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1.24</w:t>
            </w:r>
          </w:p>
        </w:tc>
        <w:tc>
          <w:tcPr>
            <w:tcW w:w="5153" w:type="dxa"/>
            <w:vAlign w:val="top"/>
          </w:tcPr>
          <w:p>
            <w:pPr>
              <w:spacing w:before="112" w:line="222" w:lineRule="auto"/>
              <w:ind w:left="425"/>
              <w:rPr>
                <w:rFonts w:ascii="宋体" w:hAnsi="宋体" w:eastAsia="宋体" w:cs="宋体"/>
                <w:sz w:val="20"/>
                <w:szCs w:val="20"/>
              </w:rPr>
            </w:pPr>
            <w:r>
              <w:rPr>
                <w:rFonts w:ascii="宋体" w:hAnsi="宋体" w:eastAsia="宋体" w:cs="宋体"/>
                <w:spacing w:val="9"/>
                <w:sz w:val="20"/>
                <w:szCs w:val="20"/>
              </w:rPr>
              <w:t>垂直方向交叉作业防护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1.25</w:t>
            </w:r>
          </w:p>
        </w:tc>
        <w:tc>
          <w:tcPr>
            <w:tcW w:w="5153" w:type="dxa"/>
            <w:vAlign w:val="top"/>
          </w:tcPr>
          <w:p>
            <w:pPr>
              <w:spacing w:before="113" w:line="220" w:lineRule="auto"/>
              <w:ind w:left="430"/>
              <w:rPr>
                <w:rFonts w:ascii="宋体" w:hAnsi="宋体" w:eastAsia="宋体" w:cs="宋体"/>
                <w:sz w:val="20"/>
                <w:szCs w:val="20"/>
              </w:rPr>
            </w:pPr>
            <w:r>
              <w:rPr>
                <w:rFonts w:ascii="宋体" w:hAnsi="宋体" w:eastAsia="宋体" w:cs="宋体"/>
                <w:spacing w:val="8"/>
                <w:sz w:val="20"/>
                <w:szCs w:val="20"/>
              </w:rPr>
              <w:t>高空作业防护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Align w:val="top"/>
          </w:tcPr>
          <w:p>
            <w:pPr>
              <w:spacing w:before="65" w:line="219" w:lineRule="auto"/>
              <w:ind w:left="82"/>
              <w:rPr>
                <w:rFonts w:ascii="宋体" w:hAnsi="宋体" w:eastAsia="宋体" w:cs="宋体"/>
                <w:sz w:val="20"/>
                <w:szCs w:val="20"/>
              </w:rPr>
            </w:pPr>
            <w:r>
              <w:rPr>
                <w:rFonts w:ascii="宋体" w:hAnsi="宋体" w:eastAsia="宋体" w:cs="宋体"/>
                <w:spacing w:val="9"/>
                <w:sz w:val="20"/>
                <w:szCs w:val="20"/>
              </w:rPr>
              <w:t>安全警示标志牌</w:t>
            </w: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1.26</w:t>
            </w:r>
          </w:p>
        </w:tc>
        <w:tc>
          <w:tcPr>
            <w:tcW w:w="5153" w:type="dxa"/>
            <w:vAlign w:val="top"/>
          </w:tcPr>
          <w:p>
            <w:pPr>
              <w:spacing w:before="113" w:line="220" w:lineRule="auto"/>
              <w:ind w:left="427"/>
              <w:rPr>
                <w:rFonts w:ascii="宋体" w:hAnsi="宋体" w:eastAsia="宋体" w:cs="宋体"/>
                <w:sz w:val="20"/>
                <w:szCs w:val="20"/>
              </w:rPr>
            </w:pPr>
            <w:r>
              <w:rPr>
                <w:rFonts w:ascii="宋体" w:hAnsi="宋体" w:eastAsia="宋体" w:cs="宋体"/>
                <w:spacing w:val="9"/>
                <w:sz w:val="20"/>
                <w:szCs w:val="20"/>
              </w:rPr>
              <w:t>安全警示牌及操作规程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68" w:lineRule="auto"/>
            </w:pPr>
          </w:p>
          <w:p>
            <w:pPr>
              <w:pStyle w:val="6"/>
              <w:spacing w:line="268" w:lineRule="auto"/>
            </w:pPr>
          </w:p>
          <w:p>
            <w:pPr>
              <w:pStyle w:val="6"/>
              <w:spacing w:line="268" w:lineRule="auto"/>
            </w:pPr>
          </w:p>
          <w:p>
            <w:pPr>
              <w:pStyle w:val="6"/>
              <w:spacing w:line="269" w:lineRule="auto"/>
            </w:pPr>
          </w:p>
          <w:p>
            <w:pPr>
              <w:pStyle w:val="6"/>
              <w:spacing w:line="269" w:lineRule="auto"/>
            </w:pPr>
          </w:p>
          <w:p>
            <w:pPr>
              <w:pStyle w:val="6"/>
              <w:spacing w:line="269" w:lineRule="auto"/>
            </w:pPr>
          </w:p>
          <w:p>
            <w:pPr>
              <w:spacing w:before="65" w:line="222" w:lineRule="auto"/>
              <w:ind w:left="395"/>
              <w:rPr>
                <w:rFonts w:ascii="宋体" w:hAnsi="宋体" w:eastAsia="宋体" w:cs="宋体"/>
                <w:sz w:val="20"/>
                <w:szCs w:val="20"/>
              </w:rPr>
            </w:pPr>
            <w:r>
              <w:rPr>
                <w:rFonts w:ascii="宋体" w:hAnsi="宋体" w:eastAsia="宋体" w:cs="宋体"/>
                <w:spacing w:val="8"/>
                <w:sz w:val="20"/>
                <w:szCs w:val="20"/>
              </w:rPr>
              <w:t>其他补充</w:t>
            </w: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1.27</w:t>
            </w:r>
          </w:p>
        </w:tc>
        <w:tc>
          <w:tcPr>
            <w:tcW w:w="5153" w:type="dxa"/>
            <w:vAlign w:val="top"/>
          </w:tcPr>
          <w:p>
            <w:pPr>
              <w:spacing w:before="112" w:line="223" w:lineRule="auto"/>
              <w:ind w:left="426"/>
              <w:rPr>
                <w:rFonts w:ascii="宋体" w:hAnsi="宋体" w:eastAsia="宋体" w:cs="宋体"/>
                <w:sz w:val="20"/>
                <w:szCs w:val="20"/>
              </w:rPr>
            </w:pPr>
            <w:r>
              <w:rPr>
                <w:rFonts w:ascii="宋体" w:hAnsi="宋体" w:eastAsia="宋体" w:cs="宋体"/>
                <w:spacing w:val="8"/>
                <w:sz w:val="20"/>
                <w:szCs w:val="20"/>
              </w:rPr>
              <w:t>对讲机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2" w:line="292" w:lineRule="exact"/>
              <w:ind w:left="240"/>
              <w:rPr>
                <w:rFonts w:ascii="宋体" w:hAnsi="宋体" w:eastAsia="宋体" w:cs="宋体"/>
                <w:sz w:val="20"/>
                <w:szCs w:val="20"/>
              </w:rPr>
            </w:pPr>
            <w:r>
              <w:rPr>
                <w:rFonts w:ascii="宋体" w:hAnsi="宋体" w:eastAsia="宋体" w:cs="宋体"/>
                <w:spacing w:val="-15"/>
                <w:position w:val="2"/>
                <w:sz w:val="20"/>
                <w:szCs w:val="20"/>
              </w:rPr>
              <w:t>1.28</w:t>
            </w:r>
          </w:p>
        </w:tc>
        <w:tc>
          <w:tcPr>
            <w:tcW w:w="5153" w:type="dxa"/>
            <w:vAlign w:val="top"/>
          </w:tcPr>
          <w:p>
            <w:pPr>
              <w:spacing w:before="114" w:line="221" w:lineRule="auto"/>
              <w:ind w:left="427"/>
              <w:rPr>
                <w:rFonts w:ascii="宋体" w:hAnsi="宋体" w:eastAsia="宋体" w:cs="宋体"/>
                <w:sz w:val="20"/>
                <w:szCs w:val="20"/>
              </w:rPr>
            </w:pPr>
            <w:r>
              <w:rPr>
                <w:rFonts w:ascii="宋体" w:hAnsi="宋体" w:eastAsia="宋体" w:cs="宋体"/>
                <w:spacing w:val="8"/>
                <w:sz w:val="20"/>
                <w:szCs w:val="20"/>
              </w:rPr>
              <w:t>工人工作证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1.29</w:t>
            </w:r>
          </w:p>
        </w:tc>
        <w:tc>
          <w:tcPr>
            <w:tcW w:w="5153" w:type="dxa"/>
            <w:vAlign w:val="top"/>
          </w:tcPr>
          <w:p>
            <w:pPr>
              <w:spacing w:before="113" w:line="221" w:lineRule="auto"/>
              <w:ind w:left="426"/>
              <w:rPr>
                <w:rFonts w:ascii="宋体" w:hAnsi="宋体" w:eastAsia="宋体" w:cs="宋体"/>
                <w:sz w:val="20"/>
                <w:szCs w:val="20"/>
              </w:rPr>
            </w:pPr>
            <w:r>
              <w:rPr>
                <w:rFonts w:ascii="宋体" w:hAnsi="宋体" w:eastAsia="宋体" w:cs="宋体"/>
                <w:spacing w:val="9"/>
                <w:sz w:val="20"/>
                <w:szCs w:val="20"/>
              </w:rPr>
              <w:t>作业人员其他必备安全防护用品胶鞋、雨衣等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1" w:line="293" w:lineRule="exact"/>
              <w:ind w:left="240"/>
              <w:rPr>
                <w:rFonts w:ascii="宋体" w:hAnsi="宋体" w:eastAsia="宋体" w:cs="宋体"/>
                <w:sz w:val="20"/>
                <w:szCs w:val="20"/>
              </w:rPr>
            </w:pPr>
            <w:r>
              <w:rPr>
                <w:rFonts w:ascii="宋体" w:hAnsi="宋体" w:eastAsia="宋体" w:cs="宋体"/>
                <w:spacing w:val="-15"/>
                <w:position w:val="2"/>
                <w:sz w:val="20"/>
                <w:szCs w:val="20"/>
              </w:rPr>
              <w:t>1.30</w:t>
            </w:r>
          </w:p>
        </w:tc>
        <w:tc>
          <w:tcPr>
            <w:tcW w:w="5153" w:type="dxa"/>
            <w:vAlign w:val="top"/>
          </w:tcPr>
          <w:p>
            <w:pPr>
              <w:spacing w:before="116" w:line="217" w:lineRule="auto"/>
              <w:ind w:left="427"/>
              <w:rPr>
                <w:rFonts w:ascii="宋体" w:hAnsi="宋体" w:eastAsia="宋体" w:cs="宋体"/>
                <w:sz w:val="20"/>
                <w:szCs w:val="20"/>
              </w:rPr>
            </w:pPr>
            <w:r>
              <w:rPr>
                <w:rFonts w:ascii="宋体" w:hAnsi="宋体" w:eastAsia="宋体" w:cs="宋体"/>
                <w:spacing w:val="8"/>
                <w:sz w:val="20"/>
                <w:szCs w:val="20"/>
              </w:rPr>
              <w:t>安全培训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60" w:line="295" w:lineRule="exact"/>
              <w:ind w:left="240"/>
              <w:rPr>
                <w:rFonts w:ascii="宋体" w:hAnsi="宋体" w:eastAsia="宋体" w:cs="宋体"/>
                <w:sz w:val="20"/>
                <w:szCs w:val="20"/>
              </w:rPr>
            </w:pPr>
            <w:r>
              <w:rPr>
                <w:rFonts w:ascii="宋体" w:hAnsi="宋体" w:eastAsia="宋体" w:cs="宋体"/>
                <w:spacing w:val="-15"/>
                <w:position w:val="2"/>
                <w:sz w:val="20"/>
                <w:szCs w:val="20"/>
              </w:rPr>
              <w:t>1.31</w:t>
            </w:r>
          </w:p>
        </w:tc>
        <w:tc>
          <w:tcPr>
            <w:tcW w:w="5153" w:type="dxa"/>
            <w:vAlign w:val="top"/>
          </w:tcPr>
          <w:p>
            <w:pPr>
              <w:spacing w:before="116" w:line="217" w:lineRule="auto"/>
              <w:ind w:left="427"/>
              <w:rPr>
                <w:rFonts w:ascii="宋体" w:hAnsi="宋体" w:eastAsia="宋体" w:cs="宋体"/>
                <w:sz w:val="20"/>
                <w:szCs w:val="20"/>
              </w:rPr>
            </w:pPr>
            <w:r>
              <w:rPr>
                <w:rFonts w:ascii="宋体" w:hAnsi="宋体" w:eastAsia="宋体" w:cs="宋体"/>
                <w:spacing w:val="8"/>
                <w:sz w:val="20"/>
                <w:szCs w:val="20"/>
              </w:rPr>
              <w:t>安全员培训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79" w:line="299" w:lineRule="exact"/>
              <w:ind w:left="240"/>
              <w:rPr>
                <w:rFonts w:ascii="宋体" w:hAnsi="宋体" w:eastAsia="宋体" w:cs="宋体"/>
                <w:sz w:val="20"/>
                <w:szCs w:val="20"/>
              </w:rPr>
            </w:pPr>
            <w:r>
              <w:rPr>
                <w:rFonts w:ascii="宋体" w:hAnsi="宋体" w:eastAsia="宋体" w:cs="宋体"/>
                <w:spacing w:val="-15"/>
                <w:position w:val="2"/>
                <w:sz w:val="20"/>
                <w:szCs w:val="20"/>
              </w:rPr>
              <w:t>1.32</w:t>
            </w:r>
          </w:p>
        </w:tc>
        <w:tc>
          <w:tcPr>
            <w:tcW w:w="5153" w:type="dxa"/>
            <w:vAlign w:val="top"/>
          </w:tcPr>
          <w:p>
            <w:pPr>
              <w:spacing w:before="134" w:line="217" w:lineRule="auto"/>
              <w:ind w:left="429"/>
              <w:rPr>
                <w:rFonts w:ascii="宋体" w:hAnsi="宋体" w:eastAsia="宋体" w:cs="宋体"/>
                <w:sz w:val="20"/>
                <w:szCs w:val="20"/>
              </w:rPr>
            </w:pPr>
            <w:r>
              <w:rPr>
                <w:rFonts w:ascii="宋体" w:hAnsi="宋体" w:eastAsia="宋体" w:cs="宋体"/>
                <w:spacing w:val="8"/>
                <w:sz w:val="20"/>
                <w:szCs w:val="20"/>
              </w:rPr>
              <w:t>特殊工种培训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7" w:line="299" w:lineRule="exact"/>
              <w:ind w:left="240"/>
              <w:rPr>
                <w:rFonts w:ascii="宋体" w:hAnsi="宋体" w:eastAsia="宋体" w:cs="宋体"/>
                <w:sz w:val="20"/>
                <w:szCs w:val="20"/>
              </w:rPr>
            </w:pPr>
            <w:r>
              <w:rPr>
                <w:rFonts w:ascii="宋体" w:hAnsi="宋体" w:eastAsia="宋体" w:cs="宋体"/>
                <w:spacing w:val="-15"/>
                <w:position w:val="2"/>
                <w:sz w:val="20"/>
                <w:szCs w:val="20"/>
              </w:rPr>
              <w:t>1.33</w:t>
            </w:r>
          </w:p>
        </w:tc>
        <w:tc>
          <w:tcPr>
            <w:tcW w:w="5153" w:type="dxa"/>
            <w:vAlign w:val="top"/>
          </w:tcPr>
          <w:p>
            <w:pPr>
              <w:spacing w:before="115" w:line="219" w:lineRule="auto"/>
              <w:ind w:left="426"/>
              <w:rPr>
                <w:rFonts w:ascii="宋体" w:hAnsi="宋体" w:eastAsia="宋体" w:cs="宋体"/>
                <w:sz w:val="20"/>
                <w:szCs w:val="20"/>
              </w:rPr>
            </w:pPr>
            <w:r>
              <w:rPr>
                <w:rFonts w:ascii="宋体" w:hAnsi="宋体" w:eastAsia="宋体" w:cs="宋体"/>
                <w:spacing w:val="9"/>
                <w:sz w:val="20"/>
                <w:szCs w:val="20"/>
              </w:rPr>
              <w:t>塔吊防碰撞系统、空间限制器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83" w:line="298" w:lineRule="exact"/>
              <w:ind w:left="240"/>
              <w:rPr>
                <w:rFonts w:ascii="宋体" w:hAnsi="宋体" w:eastAsia="宋体" w:cs="宋体"/>
                <w:sz w:val="20"/>
                <w:szCs w:val="20"/>
              </w:rPr>
            </w:pPr>
            <w:r>
              <w:rPr>
                <w:rFonts w:ascii="宋体" w:hAnsi="宋体" w:eastAsia="宋体" w:cs="宋体"/>
                <w:spacing w:val="-15"/>
                <w:position w:val="2"/>
                <w:sz w:val="20"/>
                <w:szCs w:val="20"/>
              </w:rPr>
              <w:t>1.34</w:t>
            </w:r>
          </w:p>
        </w:tc>
        <w:tc>
          <w:tcPr>
            <w:tcW w:w="5153" w:type="dxa"/>
            <w:vAlign w:val="top"/>
          </w:tcPr>
          <w:p>
            <w:pPr>
              <w:spacing w:before="115" w:line="222" w:lineRule="auto"/>
              <w:ind w:left="446"/>
              <w:rPr>
                <w:rFonts w:ascii="宋体" w:hAnsi="宋体" w:eastAsia="宋体" w:cs="宋体"/>
                <w:sz w:val="20"/>
                <w:szCs w:val="20"/>
              </w:rPr>
            </w:pPr>
            <w:r>
              <w:rPr>
                <w:rFonts w:ascii="宋体" w:hAnsi="宋体" w:eastAsia="宋体" w:cs="宋体"/>
                <w:spacing w:val="8"/>
                <w:sz w:val="20"/>
                <w:szCs w:val="20"/>
              </w:rPr>
              <w:t>电阻仪、力矩扳手、漏保测试仪等检测器具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1487" w:type="dxa"/>
            <w:vMerge w:val="continue"/>
            <w:tcBorders>
              <w:top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22" w:line="299" w:lineRule="exact"/>
              <w:ind w:left="240"/>
              <w:rPr>
                <w:rFonts w:ascii="宋体" w:hAnsi="宋体" w:eastAsia="宋体" w:cs="宋体"/>
                <w:sz w:val="20"/>
                <w:szCs w:val="20"/>
              </w:rPr>
            </w:pPr>
            <w:r>
              <w:rPr>
                <w:rFonts w:ascii="宋体" w:hAnsi="宋体" w:eastAsia="宋体" w:cs="宋体"/>
                <w:spacing w:val="-15"/>
                <w:position w:val="2"/>
                <w:sz w:val="20"/>
                <w:szCs w:val="20"/>
              </w:rPr>
              <w:t>1.35</w:t>
            </w:r>
          </w:p>
        </w:tc>
        <w:tc>
          <w:tcPr>
            <w:tcW w:w="5153" w:type="dxa"/>
            <w:vAlign w:val="top"/>
          </w:tcPr>
          <w:p>
            <w:pPr>
              <w:spacing w:before="170" w:line="278" w:lineRule="exact"/>
              <w:ind w:left="427"/>
              <w:rPr>
                <w:rFonts w:ascii="宋体" w:hAnsi="宋体" w:eastAsia="宋体" w:cs="宋体"/>
                <w:sz w:val="20"/>
                <w:szCs w:val="20"/>
              </w:rPr>
            </w:pPr>
            <w:r>
              <w:rPr>
                <w:rFonts w:ascii="宋体" w:hAnsi="宋体" w:eastAsia="宋体" w:cs="宋体"/>
                <w:spacing w:val="9"/>
                <w:position w:val="1"/>
                <w:sz w:val="20"/>
                <w:szCs w:val="20"/>
              </w:rPr>
              <w:t>安全生产责任保险</w:t>
            </w:r>
          </w:p>
        </w:tc>
      </w:tr>
    </w:tbl>
    <w:p>
      <w:pPr>
        <w:spacing w:line="229" w:lineRule="exact"/>
        <w:rPr>
          <w:rFonts w:ascii="Arial"/>
          <w:sz w:val="19"/>
        </w:rPr>
      </w:pPr>
    </w:p>
    <w:p>
      <w:pPr>
        <w:spacing w:line="229" w:lineRule="exact"/>
        <w:rPr>
          <w:rFonts w:ascii="Arial" w:hAnsi="Arial" w:eastAsia="Arial" w:cs="Arial"/>
          <w:sz w:val="19"/>
          <w:szCs w:val="19"/>
        </w:rPr>
        <w:sectPr>
          <w:footerReference r:id="rId112" w:type="default"/>
          <w:pgSz w:w="11905" w:h="16840"/>
          <w:pgMar w:top="400" w:right="1402" w:bottom="1213" w:left="1418" w:header="0" w:footer="898" w:gutter="0"/>
        </w:sectPr>
      </w:pPr>
    </w:p>
    <w:p>
      <w:pPr>
        <w:spacing w:before="13"/>
      </w:pPr>
    </w:p>
    <w:p>
      <w:pPr>
        <w:spacing w:before="13"/>
      </w:pPr>
    </w:p>
    <w:p>
      <w:pPr>
        <w:spacing w:before="13"/>
      </w:pPr>
    </w:p>
    <w:p>
      <w:pPr>
        <w:spacing w:before="12"/>
      </w:pPr>
    </w:p>
    <w:tbl>
      <w:tblPr>
        <w:tblStyle w:val="5"/>
        <w:tblW w:w="9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7"/>
        <w:gridCol w:w="1631"/>
        <w:gridCol w:w="808"/>
        <w:gridCol w:w="51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1487" w:type="dxa"/>
            <w:vMerge w:val="restart"/>
            <w:tcBorders>
              <w:bottom w:val="nil"/>
            </w:tcBorders>
            <w:vAlign w:val="top"/>
          </w:tcPr>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1" w:lineRule="auto"/>
            </w:pPr>
          </w:p>
          <w:p>
            <w:pPr>
              <w:pStyle w:val="6"/>
              <w:spacing w:line="252" w:lineRule="auto"/>
            </w:pPr>
          </w:p>
          <w:p>
            <w:pPr>
              <w:pStyle w:val="6"/>
              <w:spacing w:line="252" w:lineRule="auto"/>
            </w:pPr>
          </w:p>
          <w:p>
            <w:pPr>
              <w:pStyle w:val="6"/>
              <w:spacing w:line="252" w:lineRule="auto"/>
            </w:pPr>
          </w:p>
          <w:p>
            <w:pPr>
              <w:pStyle w:val="6"/>
              <w:spacing w:line="252" w:lineRule="auto"/>
            </w:pPr>
          </w:p>
          <w:p>
            <w:pPr>
              <w:pStyle w:val="6"/>
              <w:spacing w:line="252" w:lineRule="auto"/>
            </w:pPr>
          </w:p>
          <w:p>
            <w:pPr>
              <w:spacing w:before="65" w:line="222" w:lineRule="auto"/>
              <w:ind w:left="221"/>
              <w:rPr>
                <w:rFonts w:ascii="宋体" w:hAnsi="宋体" w:eastAsia="宋体" w:cs="宋体"/>
                <w:sz w:val="20"/>
                <w:szCs w:val="20"/>
              </w:rPr>
            </w:pPr>
            <w:r>
              <w:rPr>
                <w:rFonts w:ascii="宋体" w:hAnsi="宋体" w:eastAsia="宋体" w:cs="宋体"/>
                <w:spacing w:val="8"/>
                <w:sz w:val="20"/>
                <w:szCs w:val="20"/>
              </w:rPr>
              <w:t>环境保护费</w:t>
            </w:r>
          </w:p>
        </w:tc>
        <w:tc>
          <w:tcPr>
            <w:tcW w:w="1631" w:type="dxa"/>
            <w:vAlign w:val="top"/>
          </w:tcPr>
          <w:p>
            <w:pPr>
              <w:spacing w:before="112" w:line="228" w:lineRule="auto"/>
              <w:ind w:left="397"/>
              <w:rPr>
                <w:rFonts w:ascii="宋体" w:hAnsi="宋体" w:eastAsia="宋体" w:cs="宋体"/>
                <w:sz w:val="20"/>
                <w:szCs w:val="20"/>
              </w:rPr>
            </w:pPr>
            <w:r>
              <w:rPr>
                <w:rFonts w:ascii="宋体" w:hAnsi="宋体" w:eastAsia="宋体" w:cs="宋体"/>
                <w:spacing w:val="8"/>
                <w:sz w:val="20"/>
                <w:szCs w:val="20"/>
              </w:rPr>
              <w:t>材料堆放</w:t>
            </w:r>
          </w:p>
        </w:tc>
        <w:tc>
          <w:tcPr>
            <w:tcW w:w="808" w:type="dxa"/>
            <w:vAlign w:val="top"/>
          </w:tcPr>
          <w:p>
            <w:pPr>
              <w:spacing w:before="112" w:line="228" w:lineRule="auto"/>
              <w:ind w:left="276"/>
              <w:rPr>
                <w:rFonts w:ascii="宋体" w:hAnsi="宋体" w:eastAsia="宋体" w:cs="宋体"/>
                <w:sz w:val="20"/>
                <w:szCs w:val="20"/>
              </w:rPr>
            </w:pPr>
            <w:r>
              <w:rPr>
                <w:rFonts w:ascii="宋体" w:hAnsi="宋体" w:eastAsia="宋体" w:cs="宋体"/>
                <w:spacing w:val="-17"/>
                <w:sz w:val="20"/>
                <w:szCs w:val="20"/>
              </w:rPr>
              <w:t>2.1</w:t>
            </w:r>
          </w:p>
        </w:tc>
        <w:tc>
          <w:tcPr>
            <w:tcW w:w="5153" w:type="dxa"/>
            <w:vAlign w:val="top"/>
          </w:tcPr>
          <w:p>
            <w:pPr>
              <w:spacing w:before="112" w:line="228" w:lineRule="auto"/>
              <w:ind w:left="428"/>
              <w:rPr>
                <w:rFonts w:ascii="宋体" w:hAnsi="宋体" w:eastAsia="宋体" w:cs="宋体"/>
                <w:sz w:val="20"/>
                <w:szCs w:val="20"/>
              </w:rPr>
            </w:pPr>
            <w:r>
              <w:rPr>
                <w:rFonts w:ascii="宋体" w:hAnsi="宋体" w:eastAsia="宋体" w:cs="宋体"/>
                <w:spacing w:val="9"/>
                <w:sz w:val="20"/>
                <w:szCs w:val="20"/>
              </w:rPr>
              <w:t>材料堆放标牌、覆盖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415" w:lineRule="auto"/>
            </w:pPr>
          </w:p>
          <w:p>
            <w:pPr>
              <w:spacing w:before="65" w:line="219" w:lineRule="auto"/>
              <w:ind w:left="398"/>
              <w:rPr>
                <w:rFonts w:ascii="宋体" w:hAnsi="宋体" w:eastAsia="宋体" w:cs="宋体"/>
                <w:sz w:val="20"/>
                <w:szCs w:val="20"/>
              </w:rPr>
            </w:pPr>
            <w:r>
              <w:rPr>
                <w:rFonts w:ascii="宋体" w:hAnsi="宋体" w:eastAsia="宋体" w:cs="宋体"/>
                <w:spacing w:val="7"/>
                <w:sz w:val="20"/>
                <w:szCs w:val="20"/>
              </w:rPr>
              <w:t>垃圾清运</w:t>
            </w:r>
          </w:p>
        </w:tc>
        <w:tc>
          <w:tcPr>
            <w:tcW w:w="808" w:type="dxa"/>
            <w:vAlign w:val="top"/>
          </w:tcPr>
          <w:p>
            <w:pPr>
              <w:spacing w:before="108" w:line="227" w:lineRule="auto"/>
              <w:ind w:left="276"/>
              <w:rPr>
                <w:rFonts w:ascii="宋体" w:hAnsi="宋体" w:eastAsia="宋体" w:cs="宋体"/>
                <w:sz w:val="20"/>
                <w:szCs w:val="20"/>
              </w:rPr>
            </w:pPr>
            <w:r>
              <w:rPr>
                <w:rFonts w:ascii="宋体" w:hAnsi="宋体" w:eastAsia="宋体" w:cs="宋体"/>
                <w:spacing w:val="-17"/>
                <w:sz w:val="20"/>
                <w:szCs w:val="20"/>
              </w:rPr>
              <w:t>2.2</w:t>
            </w:r>
          </w:p>
        </w:tc>
        <w:tc>
          <w:tcPr>
            <w:tcW w:w="5153" w:type="dxa"/>
            <w:vAlign w:val="top"/>
          </w:tcPr>
          <w:p>
            <w:pPr>
              <w:spacing w:before="113" w:line="219" w:lineRule="auto"/>
              <w:ind w:left="429"/>
              <w:rPr>
                <w:rFonts w:ascii="宋体" w:hAnsi="宋体" w:eastAsia="宋体" w:cs="宋体"/>
                <w:sz w:val="20"/>
                <w:szCs w:val="20"/>
              </w:rPr>
            </w:pPr>
            <w:r>
              <w:rPr>
                <w:rFonts w:ascii="宋体" w:hAnsi="宋体" w:eastAsia="宋体" w:cs="宋体"/>
                <w:spacing w:val="7"/>
                <w:sz w:val="20"/>
                <w:szCs w:val="20"/>
              </w:rPr>
              <w:t>垃圾清运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8" w:line="227" w:lineRule="auto"/>
              <w:ind w:left="276"/>
              <w:rPr>
                <w:rFonts w:ascii="宋体" w:hAnsi="宋体" w:eastAsia="宋体" w:cs="宋体"/>
                <w:sz w:val="20"/>
                <w:szCs w:val="20"/>
              </w:rPr>
            </w:pPr>
            <w:r>
              <w:rPr>
                <w:rFonts w:ascii="宋体" w:hAnsi="宋体" w:eastAsia="宋体" w:cs="宋体"/>
                <w:spacing w:val="-17"/>
                <w:sz w:val="20"/>
                <w:szCs w:val="20"/>
              </w:rPr>
              <w:t>2.3</w:t>
            </w:r>
          </w:p>
        </w:tc>
        <w:tc>
          <w:tcPr>
            <w:tcW w:w="5153" w:type="dxa"/>
            <w:vAlign w:val="top"/>
          </w:tcPr>
          <w:p>
            <w:pPr>
              <w:spacing w:before="112" w:line="218" w:lineRule="auto"/>
              <w:ind w:left="429"/>
              <w:rPr>
                <w:rFonts w:ascii="宋体" w:hAnsi="宋体" w:eastAsia="宋体" w:cs="宋体"/>
                <w:sz w:val="20"/>
                <w:szCs w:val="20"/>
              </w:rPr>
            </w:pPr>
            <w:r>
              <w:rPr>
                <w:rFonts w:ascii="宋体" w:hAnsi="宋体" w:eastAsia="宋体" w:cs="宋体"/>
                <w:spacing w:val="7"/>
                <w:sz w:val="20"/>
                <w:szCs w:val="20"/>
              </w:rPr>
              <w:t>垃圾通道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1" w:line="224" w:lineRule="auto"/>
              <w:ind w:left="276"/>
              <w:rPr>
                <w:rFonts w:ascii="宋体" w:hAnsi="宋体" w:eastAsia="宋体" w:cs="宋体"/>
                <w:sz w:val="20"/>
                <w:szCs w:val="20"/>
              </w:rPr>
            </w:pPr>
            <w:r>
              <w:rPr>
                <w:rFonts w:ascii="宋体" w:hAnsi="宋体" w:eastAsia="宋体" w:cs="宋体"/>
                <w:spacing w:val="-17"/>
                <w:sz w:val="20"/>
                <w:szCs w:val="20"/>
              </w:rPr>
              <w:t>2.4</w:t>
            </w:r>
          </w:p>
        </w:tc>
        <w:tc>
          <w:tcPr>
            <w:tcW w:w="5153" w:type="dxa"/>
            <w:vAlign w:val="top"/>
          </w:tcPr>
          <w:p>
            <w:pPr>
              <w:spacing w:before="120" w:line="216" w:lineRule="auto"/>
              <w:ind w:left="429"/>
              <w:rPr>
                <w:rFonts w:ascii="宋体" w:hAnsi="宋体" w:eastAsia="宋体" w:cs="宋体"/>
                <w:sz w:val="20"/>
                <w:szCs w:val="20"/>
              </w:rPr>
            </w:pPr>
            <w:r>
              <w:rPr>
                <w:rFonts w:ascii="宋体" w:hAnsi="宋体" w:eastAsia="宋体" w:cs="宋体"/>
                <w:spacing w:val="7"/>
                <w:sz w:val="20"/>
                <w:szCs w:val="20"/>
              </w:rPr>
              <w:t>垃圾池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419" w:lineRule="auto"/>
            </w:pPr>
          </w:p>
          <w:p>
            <w:pPr>
              <w:spacing w:before="66" w:line="219" w:lineRule="auto"/>
              <w:ind w:left="294"/>
              <w:rPr>
                <w:rFonts w:ascii="宋体" w:hAnsi="宋体" w:eastAsia="宋体" w:cs="宋体"/>
                <w:sz w:val="20"/>
                <w:szCs w:val="20"/>
              </w:rPr>
            </w:pPr>
            <w:r>
              <w:rPr>
                <w:rFonts w:ascii="宋体" w:hAnsi="宋体" w:eastAsia="宋体" w:cs="宋体"/>
                <w:spacing w:val="8"/>
                <w:sz w:val="20"/>
                <w:szCs w:val="20"/>
              </w:rPr>
              <w:t>污染源控制</w:t>
            </w:r>
          </w:p>
        </w:tc>
        <w:tc>
          <w:tcPr>
            <w:tcW w:w="808" w:type="dxa"/>
            <w:vAlign w:val="top"/>
          </w:tcPr>
          <w:p>
            <w:pPr>
              <w:spacing w:before="112" w:line="224" w:lineRule="auto"/>
              <w:ind w:left="276"/>
              <w:rPr>
                <w:rFonts w:ascii="宋体" w:hAnsi="宋体" w:eastAsia="宋体" w:cs="宋体"/>
                <w:sz w:val="20"/>
                <w:szCs w:val="20"/>
              </w:rPr>
            </w:pPr>
            <w:r>
              <w:rPr>
                <w:rFonts w:ascii="宋体" w:hAnsi="宋体" w:eastAsia="宋体" w:cs="宋体"/>
                <w:spacing w:val="-17"/>
                <w:sz w:val="20"/>
                <w:szCs w:val="20"/>
              </w:rPr>
              <w:t>2.5</w:t>
            </w:r>
          </w:p>
        </w:tc>
        <w:tc>
          <w:tcPr>
            <w:tcW w:w="5153" w:type="dxa"/>
            <w:vAlign w:val="top"/>
          </w:tcPr>
          <w:p>
            <w:pPr>
              <w:spacing w:before="116" w:line="220" w:lineRule="auto"/>
              <w:ind w:left="426"/>
              <w:rPr>
                <w:rFonts w:ascii="宋体" w:hAnsi="宋体" w:eastAsia="宋体" w:cs="宋体"/>
                <w:sz w:val="20"/>
                <w:szCs w:val="20"/>
              </w:rPr>
            </w:pPr>
            <w:r>
              <w:rPr>
                <w:rFonts w:ascii="宋体" w:hAnsi="宋体" w:eastAsia="宋体" w:cs="宋体"/>
                <w:spacing w:val="9"/>
                <w:sz w:val="20"/>
                <w:szCs w:val="20"/>
              </w:rPr>
              <w:t>有毒有害气味控制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76"/>
              <w:rPr>
                <w:rFonts w:ascii="宋体" w:hAnsi="宋体" w:eastAsia="宋体" w:cs="宋体"/>
                <w:sz w:val="20"/>
                <w:szCs w:val="20"/>
              </w:rPr>
            </w:pPr>
            <w:r>
              <w:rPr>
                <w:rFonts w:ascii="宋体" w:hAnsi="宋体" w:eastAsia="宋体" w:cs="宋体"/>
                <w:spacing w:val="-17"/>
                <w:sz w:val="20"/>
                <w:szCs w:val="20"/>
              </w:rPr>
              <w:t>2.6</w:t>
            </w:r>
          </w:p>
        </w:tc>
        <w:tc>
          <w:tcPr>
            <w:tcW w:w="5153" w:type="dxa"/>
            <w:vAlign w:val="top"/>
          </w:tcPr>
          <w:p>
            <w:pPr>
              <w:spacing w:before="117" w:line="219" w:lineRule="auto"/>
              <w:ind w:left="437"/>
              <w:rPr>
                <w:rFonts w:ascii="宋体" w:hAnsi="宋体" w:eastAsia="宋体" w:cs="宋体"/>
                <w:sz w:val="20"/>
                <w:szCs w:val="20"/>
              </w:rPr>
            </w:pPr>
            <w:r>
              <w:rPr>
                <w:rFonts w:ascii="宋体" w:hAnsi="宋体" w:eastAsia="宋体" w:cs="宋体"/>
                <w:spacing w:val="4"/>
                <w:sz w:val="20"/>
                <w:szCs w:val="20"/>
              </w:rPr>
              <w:t>除“</w:t>
            </w:r>
            <w:r>
              <w:rPr>
                <w:rFonts w:ascii="宋体" w:hAnsi="宋体" w:eastAsia="宋体" w:cs="宋体"/>
                <w:spacing w:val="-66"/>
                <w:sz w:val="20"/>
                <w:szCs w:val="20"/>
              </w:rPr>
              <w:t xml:space="preserve"> </w:t>
            </w:r>
            <w:r>
              <w:rPr>
                <w:rFonts w:ascii="宋体" w:hAnsi="宋体" w:eastAsia="宋体" w:cs="宋体"/>
                <w:spacing w:val="4"/>
                <w:sz w:val="20"/>
                <w:szCs w:val="20"/>
              </w:rPr>
              <w:t>四害”措施费用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1" w:line="225" w:lineRule="auto"/>
              <w:ind w:left="276"/>
              <w:rPr>
                <w:rFonts w:ascii="宋体" w:hAnsi="宋体" w:eastAsia="宋体" w:cs="宋体"/>
                <w:sz w:val="20"/>
                <w:szCs w:val="20"/>
              </w:rPr>
            </w:pPr>
            <w:r>
              <w:rPr>
                <w:rFonts w:ascii="宋体" w:hAnsi="宋体" w:eastAsia="宋体" w:cs="宋体"/>
                <w:spacing w:val="-17"/>
                <w:sz w:val="20"/>
                <w:szCs w:val="20"/>
              </w:rPr>
              <w:t>2.7</w:t>
            </w:r>
          </w:p>
        </w:tc>
        <w:tc>
          <w:tcPr>
            <w:tcW w:w="5153" w:type="dxa"/>
            <w:vAlign w:val="top"/>
          </w:tcPr>
          <w:p>
            <w:pPr>
              <w:spacing w:before="103" w:line="231" w:lineRule="auto"/>
              <w:ind w:left="430"/>
              <w:rPr>
                <w:rFonts w:ascii="宋体" w:hAnsi="宋体" w:eastAsia="宋体" w:cs="宋体"/>
                <w:sz w:val="20"/>
                <w:szCs w:val="20"/>
              </w:rPr>
            </w:pPr>
            <w:r>
              <w:rPr>
                <w:rFonts w:ascii="宋体" w:hAnsi="宋体" w:eastAsia="宋体" w:cs="宋体"/>
                <w:spacing w:val="9"/>
                <w:sz w:val="20"/>
                <w:szCs w:val="20"/>
              </w:rPr>
              <w:t>开挖、预埋污水排放管线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53" w:lineRule="auto"/>
            </w:pPr>
          </w:p>
          <w:p>
            <w:pPr>
              <w:pStyle w:val="6"/>
              <w:spacing w:line="253"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spacing w:before="65" w:line="219" w:lineRule="auto"/>
              <w:ind w:left="186"/>
              <w:rPr>
                <w:rFonts w:ascii="宋体" w:hAnsi="宋体" w:eastAsia="宋体" w:cs="宋体"/>
                <w:sz w:val="20"/>
                <w:szCs w:val="20"/>
              </w:rPr>
            </w:pPr>
            <w:r>
              <w:rPr>
                <w:rFonts w:ascii="宋体" w:hAnsi="宋体" w:eastAsia="宋体" w:cs="宋体"/>
                <w:spacing w:val="8"/>
                <w:sz w:val="20"/>
                <w:szCs w:val="20"/>
              </w:rPr>
              <w:t>粉尘噪音控制</w:t>
            </w:r>
          </w:p>
        </w:tc>
        <w:tc>
          <w:tcPr>
            <w:tcW w:w="808" w:type="dxa"/>
            <w:vAlign w:val="top"/>
          </w:tcPr>
          <w:p>
            <w:pPr>
              <w:spacing w:before="111" w:line="225" w:lineRule="auto"/>
              <w:ind w:left="276"/>
              <w:rPr>
                <w:rFonts w:ascii="宋体" w:hAnsi="宋体" w:eastAsia="宋体" w:cs="宋体"/>
                <w:sz w:val="20"/>
                <w:szCs w:val="20"/>
              </w:rPr>
            </w:pPr>
            <w:r>
              <w:rPr>
                <w:rFonts w:ascii="宋体" w:hAnsi="宋体" w:eastAsia="宋体" w:cs="宋体"/>
                <w:spacing w:val="-17"/>
                <w:sz w:val="20"/>
                <w:szCs w:val="20"/>
              </w:rPr>
              <w:t>2.8</w:t>
            </w:r>
          </w:p>
        </w:tc>
        <w:tc>
          <w:tcPr>
            <w:tcW w:w="5153" w:type="dxa"/>
            <w:vAlign w:val="top"/>
          </w:tcPr>
          <w:p>
            <w:pPr>
              <w:spacing w:before="114" w:line="222" w:lineRule="auto"/>
              <w:ind w:left="426"/>
              <w:rPr>
                <w:rFonts w:ascii="宋体" w:hAnsi="宋体" w:eastAsia="宋体" w:cs="宋体"/>
                <w:sz w:val="20"/>
                <w:szCs w:val="20"/>
              </w:rPr>
            </w:pPr>
            <w:r>
              <w:rPr>
                <w:rFonts w:ascii="宋体" w:hAnsi="宋体" w:eastAsia="宋体" w:cs="宋体"/>
                <w:spacing w:val="9"/>
                <w:sz w:val="20"/>
                <w:szCs w:val="20"/>
              </w:rPr>
              <w:t>视频监控及扬尘噪声监测仪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0" w:line="226" w:lineRule="auto"/>
              <w:ind w:left="276"/>
              <w:rPr>
                <w:rFonts w:ascii="宋体" w:hAnsi="宋体" w:eastAsia="宋体" w:cs="宋体"/>
                <w:sz w:val="20"/>
                <w:szCs w:val="20"/>
              </w:rPr>
            </w:pPr>
            <w:r>
              <w:rPr>
                <w:rFonts w:ascii="宋体" w:hAnsi="宋体" w:eastAsia="宋体" w:cs="宋体"/>
                <w:spacing w:val="-17"/>
                <w:sz w:val="20"/>
                <w:szCs w:val="20"/>
              </w:rPr>
              <w:t>2.9</w:t>
            </w:r>
          </w:p>
        </w:tc>
        <w:tc>
          <w:tcPr>
            <w:tcW w:w="5153" w:type="dxa"/>
            <w:vAlign w:val="top"/>
          </w:tcPr>
          <w:p>
            <w:pPr>
              <w:spacing w:before="116" w:line="219" w:lineRule="auto"/>
              <w:ind w:left="437"/>
              <w:rPr>
                <w:rFonts w:ascii="宋体" w:hAnsi="宋体" w:eastAsia="宋体" w:cs="宋体"/>
                <w:sz w:val="20"/>
                <w:szCs w:val="20"/>
              </w:rPr>
            </w:pPr>
            <w:r>
              <w:rPr>
                <w:rFonts w:ascii="宋体" w:hAnsi="宋体" w:eastAsia="宋体" w:cs="宋体"/>
                <w:spacing w:val="5"/>
                <w:sz w:val="20"/>
                <w:szCs w:val="20"/>
              </w:rPr>
              <w:t>噪音控制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3"/>
              <w:rPr>
                <w:rFonts w:ascii="宋体" w:hAnsi="宋体" w:eastAsia="宋体" w:cs="宋体"/>
                <w:sz w:val="20"/>
                <w:szCs w:val="20"/>
              </w:rPr>
            </w:pPr>
            <w:r>
              <w:rPr>
                <w:rFonts w:ascii="宋体" w:hAnsi="宋体" w:eastAsia="宋体" w:cs="宋体"/>
                <w:spacing w:val="-11"/>
                <w:sz w:val="20"/>
                <w:szCs w:val="20"/>
              </w:rPr>
              <w:t>2.10</w:t>
            </w:r>
          </w:p>
        </w:tc>
        <w:tc>
          <w:tcPr>
            <w:tcW w:w="5153" w:type="dxa"/>
            <w:vAlign w:val="top"/>
          </w:tcPr>
          <w:p>
            <w:pPr>
              <w:spacing w:before="119" w:line="217" w:lineRule="auto"/>
              <w:ind w:left="430"/>
              <w:rPr>
                <w:rFonts w:ascii="宋体" w:hAnsi="宋体" w:eastAsia="宋体" w:cs="宋体"/>
                <w:sz w:val="20"/>
                <w:szCs w:val="20"/>
              </w:rPr>
            </w:pPr>
            <w:r>
              <w:rPr>
                <w:rFonts w:ascii="宋体" w:hAnsi="宋体" w:eastAsia="宋体" w:cs="宋体"/>
                <w:spacing w:val="7"/>
                <w:sz w:val="20"/>
                <w:szCs w:val="20"/>
              </w:rPr>
              <w:t>密目网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3"/>
              <w:rPr>
                <w:rFonts w:ascii="宋体" w:hAnsi="宋体" w:eastAsia="宋体" w:cs="宋体"/>
                <w:sz w:val="20"/>
                <w:szCs w:val="20"/>
              </w:rPr>
            </w:pPr>
            <w:r>
              <w:rPr>
                <w:rFonts w:ascii="宋体" w:hAnsi="宋体" w:eastAsia="宋体" w:cs="宋体"/>
                <w:spacing w:val="-11"/>
                <w:sz w:val="20"/>
                <w:szCs w:val="20"/>
              </w:rPr>
              <w:t>2.11</w:t>
            </w:r>
          </w:p>
        </w:tc>
        <w:tc>
          <w:tcPr>
            <w:tcW w:w="5153" w:type="dxa"/>
            <w:vAlign w:val="top"/>
          </w:tcPr>
          <w:p>
            <w:pPr>
              <w:spacing w:before="117" w:line="219" w:lineRule="auto"/>
              <w:ind w:left="426"/>
              <w:rPr>
                <w:rFonts w:ascii="宋体" w:hAnsi="宋体" w:eastAsia="宋体" w:cs="宋体"/>
                <w:sz w:val="20"/>
                <w:szCs w:val="20"/>
              </w:rPr>
            </w:pPr>
            <w:r>
              <w:rPr>
                <w:rFonts w:ascii="宋体" w:hAnsi="宋体" w:eastAsia="宋体" w:cs="宋体"/>
                <w:spacing w:val="7"/>
                <w:sz w:val="20"/>
                <w:szCs w:val="20"/>
              </w:rPr>
              <w:t>雾炮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23"/>
              <w:rPr>
                <w:rFonts w:ascii="宋体" w:hAnsi="宋体" w:eastAsia="宋体" w:cs="宋体"/>
                <w:sz w:val="20"/>
                <w:szCs w:val="20"/>
              </w:rPr>
            </w:pPr>
            <w:r>
              <w:rPr>
                <w:rFonts w:ascii="宋体" w:hAnsi="宋体" w:eastAsia="宋体" w:cs="宋体"/>
                <w:spacing w:val="-11"/>
                <w:sz w:val="20"/>
                <w:szCs w:val="20"/>
              </w:rPr>
              <w:t>2.12</w:t>
            </w:r>
          </w:p>
        </w:tc>
        <w:tc>
          <w:tcPr>
            <w:tcW w:w="5153" w:type="dxa"/>
            <w:vAlign w:val="top"/>
          </w:tcPr>
          <w:p>
            <w:pPr>
              <w:spacing w:before="117" w:line="219" w:lineRule="auto"/>
              <w:ind w:left="435"/>
              <w:rPr>
                <w:rFonts w:ascii="宋体" w:hAnsi="宋体" w:eastAsia="宋体" w:cs="宋体"/>
                <w:sz w:val="20"/>
                <w:szCs w:val="20"/>
              </w:rPr>
            </w:pPr>
            <w:r>
              <w:rPr>
                <w:rFonts w:ascii="宋体" w:hAnsi="宋体" w:eastAsia="宋体" w:cs="宋体"/>
                <w:spacing w:val="6"/>
                <w:sz w:val="20"/>
                <w:szCs w:val="20"/>
              </w:rPr>
              <w:t>喷淋设施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23"/>
              <w:rPr>
                <w:rFonts w:ascii="宋体" w:hAnsi="宋体" w:eastAsia="宋体" w:cs="宋体"/>
                <w:sz w:val="20"/>
                <w:szCs w:val="20"/>
              </w:rPr>
            </w:pPr>
            <w:r>
              <w:rPr>
                <w:rFonts w:ascii="宋体" w:hAnsi="宋体" w:eastAsia="宋体" w:cs="宋体"/>
                <w:spacing w:val="-11"/>
                <w:sz w:val="20"/>
                <w:szCs w:val="20"/>
              </w:rPr>
              <w:t>2.13</w:t>
            </w:r>
          </w:p>
        </w:tc>
        <w:tc>
          <w:tcPr>
            <w:tcW w:w="5153" w:type="dxa"/>
            <w:vAlign w:val="top"/>
          </w:tcPr>
          <w:p>
            <w:pPr>
              <w:spacing w:before="116" w:line="219" w:lineRule="auto"/>
              <w:ind w:left="426"/>
              <w:rPr>
                <w:rFonts w:ascii="宋体" w:hAnsi="宋体" w:eastAsia="宋体" w:cs="宋体"/>
                <w:sz w:val="20"/>
                <w:szCs w:val="20"/>
              </w:rPr>
            </w:pPr>
            <w:r>
              <w:rPr>
                <w:rFonts w:ascii="宋体" w:hAnsi="宋体" w:eastAsia="宋体" w:cs="宋体"/>
                <w:spacing w:val="8"/>
                <w:sz w:val="20"/>
                <w:szCs w:val="20"/>
              </w:rPr>
              <w:t>洒水车及人工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23"/>
              <w:rPr>
                <w:rFonts w:ascii="宋体" w:hAnsi="宋体" w:eastAsia="宋体" w:cs="宋体"/>
                <w:sz w:val="20"/>
                <w:szCs w:val="20"/>
              </w:rPr>
            </w:pPr>
            <w:r>
              <w:rPr>
                <w:rFonts w:ascii="宋体" w:hAnsi="宋体" w:eastAsia="宋体" w:cs="宋体"/>
                <w:spacing w:val="-11"/>
                <w:sz w:val="20"/>
                <w:szCs w:val="20"/>
              </w:rPr>
              <w:t>2.14</w:t>
            </w:r>
          </w:p>
        </w:tc>
        <w:tc>
          <w:tcPr>
            <w:tcW w:w="5153" w:type="dxa"/>
            <w:vAlign w:val="top"/>
          </w:tcPr>
          <w:p>
            <w:pPr>
              <w:spacing w:before="114" w:line="222" w:lineRule="auto"/>
              <w:ind w:left="426"/>
              <w:rPr>
                <w:rFonts w:ascii="宋体" w:hAnsi="宋体" w:eastAsia="宋体" w:cs="宋体"/>
                <w:sz w:val="20"/>
                <w:szCs w:val="20"/>
              </w:rPr>
            </w:pPr>
            <w:r>
              <w:rPr>
                <w:rFonts w:ascii="宋体" w:hAnsi="宋体" w:eastAsia="宋体" w:cs="宋体"/>
                <w:spacing w:val="9"/>
                <w:sz w:val="20"/>
                <w:szCs w:val="20"/>
              </w:rPr>
              <w:t>洗车平台及基础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0" w:line="225" w:lineRule="auto"/>
              <w:ind w:left="223"/>
              <w:rPr>
                <w:rFonts w:ascii="宋体" w:hAnsi="宋体" w:eastAsia="宋体" w:cs="宋体"/>
                <w:sz w:val="20"/>
                <w:szCs w:val="20"/>
              </w:rPr>
            </w:pPr>
            <w:r>
              <w:rPr>
                <w:rFonts w:ascii="宋体" w:hAnsi="宋体" w:eastAsia="宋体" w:cs="宋体"/>
                <w:spacing w:val="-11"/>
                <w:sz w:val="20"/>
                <w:szCs w:val="20"/>
              </w:rPr>
              <w:t>2.15</w:t>
            </w:r>
          </w:p>
        </w:tc>
        <w:tc>
          <w:tcPr>
            <w:tcW w:w="5153" w:type="dxa"/>
            <w:vAlign w:val="top"/>
          </w:tcPr>
          <w:p>
            <w:pPr>
              <w:spacing w:before="115" w:line="220" w:lineRule="auto"/>
              <w:ind w:left="426"/>
              <w:rPr>
                <w:rFonts w:ascii="宋体" w:hAnsi="宋体" w:eastAsia="宋体" w:cs="宋体"/>
                <w:sz w:val="20"/>
                <w:szCs w:val="20"/>
              </w:rPr>
            </w:pPr>
            <w:r>
              <w:rPr>
                <w:rFonts w:ascii="宋体" w:hAnsi="宋体" w:eastAsia="宋体" w:cs="宋体"/>
                <w:spacing w:val="8"/>
                <w:sz w:val="20"/>
                <w:szCs w:val="20"/>
              </w:rPr>
              <w:t>洗车泵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3" w:line="223" w:lineRule="auto"/>
              <w:ind w:left="223"/>
              <w:rPr>
                <w:rFonts w:ascii="宋体" w:hAnsi="宋体" w:eastAsia="宋体" w:cs="宋体"/>
                <w:sz w:val="20"/>
                <w:szCs w:val="20"/>
              </w:rPr>
            </w:pPr>
            <w:r>
              <w:rPr>
                <w:rFonts w:ascii="宋体" w:hAnsi="宋体" w:eastAsia="宋体" w:cs="宋体"/>
                <w:spacing w:val="-11"/>
                <w:sz w:val="20"/>
                <w:szCs w:val="20"/>
              </w:rPr>
              <w:t>2.16</w:t>
            </w:r>
          </w:p>
        </w:tc>
        <w:tc>
          <w:tcPr>
            <w:tcW w:w="5153" w:type="dxa"/>
            <w:vAlign w:val="top"/>
          </w:tcPr>
          <w:p>
            <w:pPr>
              <w:spacing w:before="113" w:line="223" w:lineRule="auto"/>
              <w:ind w:left="427"/>
              <w:rPr>
                <w:rFonts w:ascii="宋体" w:hAnsi="宋体" w:eastAsia="宋体" w:cs="宋体"/>
                <w:sz w:val="20"/>
                <w:szCs w:val="20"/>
              </w:rPr>
            </w:pPr>
            <w:r>
              <w:rPr>
                <w:rFonts w:ascii="宋体" w:hAnsi="宋体" w:eastAsia="宋体" w:cs="宋体"/>
                <w:spacing w:val="11"/>
                <w:sz w:val="20"/>
                <w:szCs w:val="20"/>
              </w:rPr>
              <w:t>渣土车辆</w:t>
            </w:r>
            <w:r>
              <w:rPr>
                <w:rFonts w:ascii="宋体" w:hAnsi="宋体" w:eastAsia="宋体" w:cs="宋体"/>
                <w:spacing w:val="-21"/>
                <w:sz w:val="20"/>
                <w:szCs w:val="20"/>
              </w:rPr>
              <w:t xml:space="preserve"> </w:t>
            </w:r>
            <w:r>
              <w:rPr>
                <w:rFonts w:ascii="宋体" w:hAnsi="宋体" w:eastAsia="宋体" w:cs="宋体"/>
                <w:spacing w:val="11"/>
                <w:sz w:val="20"/>
                <w:szCs w:val="20"/>
              </w:rPr>
              <w:t>100%密闭运输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89" w:lineRule="auto"/>
            </w:pPr>
          </w:p>
          <w:p>
            <w:pPr>
              <w:pStyle w:val="6"/>
              <w:spacing w:line="290" w:lineRule="auto"/>
            </w:pPr>
          </w:p>
          <w:p>
            <w:pPr>
              <w:spacing w:before="65" w:line="219" w:lineRule="auto"/>
              <w:ind w:left="184"/>
              <w:rPr>
                <w:rFonts w:ascii="宋体" w:hAnsi="宋体" w:eastAsia="宋体" w:cs="宋体"/>
                <w:sz w:val="20"/>
                <w:szCs w:val="20"/>
              </w:rPr>
            </w:pPr>
            <w:r>
              <w:rPr>
                <w:rFonts w:ascii="宋体" w:hAnsi="宋体" w:eastAsia="宋体" w:cs="宋体"/>
                <w:spacing w:val="9"/>
                <w:sz w:val="20"/>
                <w:szCs w:val="20"/>
              </w:rPr>
              <w:t>扬尘治理补充</w:t>
            </w:r>
          </w:p>
        </w:tc>
        <w:tc>
          <w:tcPr>
            <w:tcW w:w="808" w:type="dxa"/>
            <w:vAlign w:val="top"/>
          </w:tcPr>
          <w:p>
            <w:pPr>
              <w:spacing w:before="113" w:line="211" w:lineRule="auto"/>
              <w:ind w:left="223"/>
              <w:rPr>
                <w:rFonts w:ascii="宋体" w:hAnsi="宋体" w:eastAsia="宋体" w:cs="宋体"/>
                <w:sz w:val="20"/>
                <w:szCs w:val="20"/>
              </w:rPr>
            </w:pPr>
            <w:r>
              <w:rPr>
                <w:rFonts w:ascii="宋体" w:hAnsi="宋体" w:eastAsia="宋体" w:cs="宋体"/>
                <w:spacing w:val="-11"/>
                <w:sz w:val="20"/>
                <w:szCs w:val="20"/>
              </w:rPr>
              <w:t>2.17</w:t>
            </w:r>
          </w:p>
        </w:tc>
        <w:tc>
          <w:tcPr>
            <w:tcW w:w="5153" w:type="dxa"/>
            <w:vAlign w:val="top"/>
          </w:tcPr>
          <w:p>
            <w:pPr>
              <w:spacing w:before="71" w:line="219" w:lineRule="auto"/>
              <w:ind w:left="426"/>
              <w:rPr>
                <w:rFonts w:ascii="宋体" w:hAnsi="宋体" w:eastAsia="宋体" w:cs="宋体"/>
                <w:sz w:val="20"/>
                <w:szCs w:val="20"/>
              </w:rPr>
            </w:pPr>
            <w:r>
              <w:rPr>
                <w:rFonts w:ascii="宋体" w:hAnsi="宋体" w:eastAsia="宋体" w:cs="宋体"/>
                <w:spacing w:val="9"/>
                <w:sz w:val="20"/>
                <w:szCs w:val="20"/>
              </w:rPr>
              <w:t>扬尘治理用水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23"/>
              <w:rPr>
                <w:rFonts w:ascii="宋体" w:hAnsi="宋体" w:eastAsia="宋体" w:cs="宋体"/>
                <w:sz w:val="20"/>
                <w:szCs w:val="20"/>
              </w:rPr>
            </w:pPr>
            <w:r>
              <w:rPr>
                <w:rFonts w:ascii="宋体" w:hAnsi="宋体" w:eastAsia="宋体" w:cs="宋体"/>
                <w:spacing w:val="-11"/>
                <w:sz w:val="20"/>
                <w:szCs w:val="20"/>
              </w:rPr>
              <w:t>2.18</w:t>
            </w:r>
          </w:p>
        </w:tc>
        <w:tc>
          <w:tcPr>
            <w:tcW w:w="5153" w:type="dxa"/>
            <w:vAlign w:val="top"/>
          </w:tcPr>
          <w:p>
            <w:pPr>
              <w:spacing w:before="72" w:line="220" w:lineRule="auto"/>
              <w:ind w:left="426"/>
              <w:rPr>
                <w:rFonts w:ascii="宋体" w:hAnsi="宋体" w:eastAsia="宋体" w:cs="宋体"/>
                <w:sz w:val="20"/>
                <w:szCs w:val="20"/>
              </w:rPr>
            </w:pPr>
            <w:r>
              <w:rPr>
                <w:rFonts w:ascii="宋体" w:hAnsi="宋体" w:eastAsia="宋体" w:cs="宋体"/>
                <w:spacing w:val="9"/>
                <w:sz w:val="20"/>
                <w:szCs w:val="20"/>
              </w:rPr>
              <w:t>扬尘治理用电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12" w:lineRule="auto"/>
              <w:ind w:left="223"/>
              <w:rPr>
                <w:rFonts w:ascii="宋体" w:hAnsi="宋体" w:eastAsia="宋体" w:cs="宋体"/>
                <w:sz w:val="20"/>
                <w:szCs w:val="20"/>
              </w:rPr>
            </w:pPr>
            <w:r>
              <w:rPr>
                <w:rFonts w:ascii="宋体" w:hAnsi="宋体" w:eastAsia="宋体" w:cs="宋体"/>
                <w:spacing w:val="-11"/>
                <w:sz w:val="20"/>
                <w:szCs w:val="20"/>
              </w:rPr>
              <w:t>2.19</w:t>
            </w:r>
          </w:p>
        </w:tc>
        <w:tc>
          <w:tcPr>
            <w:tcW w:w="5153" w:type="dxa"/>
            <w:vAlign w:val="top"/>
          </w:tcPr>
          <w:p>
            <w:pPr>
              <w:spacing w:before="69" w:line="219" w:lineRule="auto"/>
              <w:ind w:left="426"/>
              <w:rPr>
                <w:rFonts w:ascii="宋体" w:hAnsi="宋体" w:eastAsia="宋体" w:cs="宋体"/>
                <w:sz w:val="20"/>
                <w:szCs w:val="20"/>
              </w:rPr>
            </w:pPr>
            <w:r>
              <w:rPr>
                <w:rFonts w:ascii="宋体" w:hAnsi="宋体" w:eastAsia="宋体" w:cs="宋体"/>
                <w:spacing w:val="9"/>
                <w:sz w:val="20"/>
                <w:szCs w:val="20"/>
              </w:rPr>
              <w:t>人工清理路面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2" w:line="212" w:lineRule="auto"/>
              <w:ind w:left="223"/>
              <w:rPr>
                <w:rFonts w:ascii="宋体" w:hAnsi="宋体" w:eastAsia="宋体" w:cs="宋体"/>
                <w:sz w:val="20"/>
                <w:szCs w:val="20"/>
              </w:rPr>
            </w:pPr>
            <w:r>
              <w:rPr>
                <w:rFonts w:ascii="宋体" w:hAnsi="宋体" w:eastAsia="宋体" w:cs="宋体"/>
                <w:spacing w:val="-11"/>
                <w:sz w:val="20"/>
                <w:szCs w:val="20"/>
              </w:rPr>
              <w:t>2.20</w:t>
            </w:r>
          </w:p>
        </w:tc>
        <w:tc>
          <w:tcPr>
            <w:tcW w:w="5153" w:type="dxa"/>
            <w:vAlign w:val="top"/>
          </w:tcPr>
          <w:p>
            <w:pPr>
              <w:spacing w:before="71" w:line="218" w:lineRule="auto"/>
              <w:ind w:left="438"/>
              <w:rPr>
                <w:rFonts w:ascii="宋体" w:hAnsi="宋体" w:eastAsia="宋体" w:cs="宋体"/>
                <w:sz w:val="20"/>
                <w:szCs w:val="20"/>
              </w:rPr>
            </w:pPr>
            <w:r>
              <w:rPr>
                <w:rFonts w:ascii="宋体" w:hAnsi="宋体" w:eastAsia="宋体" w:cs="宋体"/>
                <w:spacing w:val="7"/>
                <w:sz w:val="20"/>
                <w:szCs w:val="20"/>
              </w:rPr>
              <w:t>司机、汽柴油费用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restart"/>
            <w:tcBorders>
              <w:bottom w:val="nil"/>
            </w:tcBorders>
            <w:vAlign w:val="top"/>
          </w:tcPr>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6" w:lineRule="auto"/>
            </w:pPr>
          </w:p>
          <w:p>
            <w:pPr>
              <w:pStyle w:val="6"/>
              <w:spacing w:line="256" w:lineRule="auto"/>
            </w:pPr>
          </w:p>
          <w:p>
            <w:pPr>
              <w:spacing w:before="65" w:line="219" w:lineRule="auto"/>
              <w:ind w:left="222"/>
              <w:rPr>
                <w:rFonts w:ascii="宋体" w:hAnsi="宋体" w:eastAsia="宋体" w:cs="宋体"/>
                <w:sz w:val="20"/>
                <w:szCs w:val="20"/>
              </w:rPr>
            </w:pPr>
            <w:r>
              <w:rPr>
                <w:rFonts w:ascii="宋体" w:hAnsi="宋体" w:eastAsia="宋体" w:cs="宋体"/>
                <w:spacing w:val="8"/>
                <w:sz w:val="20"/>
                <w:szCs w:val="20"/>
              </w:rPr>
              <w:t>文明施工费</w:t>
            </w:r>
          </w:p>
        </w:tc>
        <w:tc>
          <w:tcPr>
            <w:tcW w:w="1631" w:type="dxa"/>
            <w:vAlign w:val="top"/>
          </w:tcPr>
          <w:p>
            <w:pPr>
              <w:spacing w:before="119" w:line="205" w:lineRule="auto"/>
              <w:ind w:left="183"/>
              <w:rPr>
                <w:rFonts w:ascii="宋体" w:hAnsi="宋体" w:eastAsia="宋体" w:cs="宋体"/>
                <w:sz w:val="20"/>
                <w:szCs w:val="20"/>
              </w:rPr>
            </w:pPr>
            <w:r>
              <w:rPr>
                <w:rFonts w:ascii="宋体" w:hAnsi="宋体" w:eastAsia="宋体" w:cs="宋体"/>
                <w:spacing w:val="9"/>
                <w:sz w:val="20"/>
                <w:szCs w:val="20"/>
              </w:rPr>
              <w:t>施工现场围挡</w:t>
            </w:r>
          </w:p>
        </w:tc>
        <w:tc>
          <w:tcPr>
            <w:tcW w:w="808" w:type="dxa"/>
            <w:vAlign w:val="top"/>
          </w:tcPr>
          <w:p>
            <w:pPr>
              <w:spacing w:before="113" w:line="211" w:lineRule="auto"/>
              <w:ind w:left="279"/>
              <w:rPr>
                <w:rFonts w:ascii="宋体" w:hAnsi="宋体" w:eastAsia="宋体" w:cs="宋体"/>
                <w:sz w:val="20"/>
                <w:szCs w:val="20"/>
              </w:rPr>
            </w:pPr>
            <w:r>
              <w:rPr>
                <w:rFonts w:ascii="宋体" w:hAnsi="宋体" w:eastAsia="宋体" w:cs="宋体"/>
                <w:spacing w:val="-18"/>
                <w:sz w:val="20"/>
                <w:szCs w:val="20"/>
              </w:rPr>
              <w:t>3.1</w:t>
            </w:r>
          </w:p>
        </w:tc>
        <w:tc>
          <w:tcPr>
            <w:tcW w:w="5153" w:type="dxa"/>
            <w:vAlign w:val="top"/>
          </w:tcPr>
          <w:p>
            <w:pPr>
              <w:spacing w:before="71" w:line="217" w:lineRule="auto"/>
              <w:ind w:left="430"/>
              <w:rPr>
                <w:rFonts w:ascii="宋体" w:hAnsi="宋体" w:eastAsia="宋体" w:cs="宋体"/>
                <w:sz w:val="20"/>
                <w:szCs w:val="20"/>
              </w:rPr>
            </w:pPr>
            <w:r>
              <w:rPr>
                <w:rFonts w:ascii="宋体" w:hAnsi="宋体" w:eastAsia="宋体" w:cs="宋体"/>
                <w:spacing w:val="9"/>
                <w:sz w:val="20"/>
                <w:szCs w:val="20"/>
              </w:rPr>
              <w:t>现场及生活区彩钢围挡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spacing w:before="292" w:line="212" w:lineRule="auto"/>
              <w:ind w:left="401"/>
              <w:rPr>
                <w:rFonts w:ascii="宋体" w:hAnsi="宋体" w:eastAsia="宋体" w:cs="宋体"/>
                <w:sz w:val="20"/>
                <w:szCs w:val="20"/>
              </w:rPr>
            </w:pPr>
            <w:r>
              <w:rPr>
                <w:rFonts w:ascii="宋体" w:hAnsi="宋体" w:eastAsia="宋体" w:cs="宋体"/>
                <w:spacing w:val="7"/>
                <w:sz w:val="20"/>
                <w:szCs w:val="20"/>
              </w:rPr>
              <w:t>五板一图</w:t>
            </w:r>
          </w:p>
        </w:tc>
        <w:tc>
          <w:tcPr>
            <w:tcW w:w="808" w:type="dxa"/>
            <w:vAlign w:val="top"/>
          </w:tcPr>
          <w:p>
            <w:pPr>
              <w:spacing w:before="113" w:line="211" w:lineRule="auto"/>
              <w:ind w:left="279"/>
              <w:rPr>
                <w:rFonts w:ascii="宋体" w:hAnsi="宋体" w:eastAsia="宋体" w:cs="宋体"/>
                <w:sz w:val="20"/>
                <w:szCs w:val="20"/>
              </w:rPr>
            </w:pPr>
            <w:r>
              <w:rPr>
                <w:rFonts w:ascii="宋体" w:hAnsi="宋体" w:eastAsia="宋体" w:cs="宋体"/>
                <w:spacing w:val="-18"/>
                <w:sz w:val="20"/>
                <w:szCs w:val="20"/>
              </w:rPr>
              <w:t>3.2</w:t>
            </w:r>
          </w:p>
        </w:tc>
        <w:tc>
          <w:tcPr>
            <w:tcW w:w="5153" w:type="dxa"/>
            <w:vAlign w:val="top"/>
          </w:tcPr>
          <w:p>
            <w:pPr>
              <w:spacing w:before="73" w:line="215" w:lineRule="auto"/>
              <w:ind w:left="424"/>
              <w:rPr>
                <w:rFonts w:ascii="宋体" w:hAnsi="宋体" w:eastAsia="宋体" w:cs="宋体"/>
                <w:sz w:val="20"/>
                <w:szCs w:val="20"/>
              </w:rPr>
            </w:pPr>
            <w:r>
              <w:rPr>
                <w:rFonts w:ascii="宋体" w:hAnsi="宋体" w:eastAsia="宋体" w:cs="宋体"/>
                <w:spacing w:val="9"/>
                <w:sz w:val="20"/>
                <w:szCs w:val="20"/>
              </w:rPr>
              <w:t>八牌二图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2" w:line="212" w:lineRule="auto"/>
              <w:ind w:left="279"/>
              <w:rPr>
                <w:rFonts w:ascii="宋体" w:hAnsi="宋体" w:eastAsia="宋体" w:cs="宋体"/>
                <w:sz w:val="20"/>
                <w:szCs w:val="20"/>
              </w:rPr>
            </w:pPr>
            <w:r>
              <w:rPr>
                <w:rFonts w:ascii="宋体" w:hAnsi="宋体" w:eastAsia="宋体" w:cs="宋体"/>
                <w:spacing w:val="-18"/>
                <w:sz w:val="20"/>
                <w:szCs w:val="20"/>
              </w:rPr>
              <w:t>3.3</w:t>
            </w:r>
          </w:p>
        </w:tc>
        <w:tc>
          <w:tcPr>
            <w:tcW w:w="5153" w:type="dxa"/>
            <w:vAlign w:val="top"/>
          </w:tcPr>
          <w:p>
            <w:pPr>
              <w:spacing w:before="68" w:line="219" w:lineRule="auto"/>
              <w:ind w:left="426"/>
              <w:rPr>
                <w:rFonts w:ascii="宋体" w:hAnsi="宋体" w:eastAsia="宋体" w:cs="宋体"/>
                <w:sz w:val="20"/>
                <w:szCs w:val="20"/>
              </w:rPr>
            </w:pPr>
            <w:r>
              <w:rPr>
                <w:rFonts w:ascii="宋体" w:hAnsi="宋体" w:eastAsia="宋体" w:cs="宋体"/>
                <w:spacing w:val="9"/>
                <w:sz w:val="20"/>
                <w:szCs w:val="20"/>
              </w:rPr>
              <w:t>项目岗位职责牌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88" w:lineRule="auto"/>
            </w:pPr>
          </w:p>
          <w:p>
            <w:pPr>
              <w:pStyle w:val="6"/>
              <w:spacing w:line="288" w:lineRule="auto"/>
            </w:pPr>
          </w:p>
          <w:p>
            <w:pPr>
              <w:spacing w:before="66" w:line="219" w:lineRule="auto"/>
              <w:ind w:left="396"/>
              <w:rPr>
                <w:rFonts w:ascii="宋体" w:hAnsi="宋体" w:eastAsia="宋体" w:cs="宋体"/>
                <w:sz w:val="20"/>
                <w:szCs w:val="20"/>
              </w:rPr>
            </w:pPr>
            <w:r>
              <w:rPr>
                <w:rFonts w:ascii="宋体" w:hAnsi="宋体" w:eastAsia="宋体" w:cs="宋体"/>
                <w:spacing w:val="8"/>
                <w:sz w:val="20"/>
                <w:szCs w:val="20"/>
              </w:rPr>
              <w:t>企业标志</w:t>
            </w:r>
          </w:p>
        </w:tc>
        <w:tc>
          <w:tcPr>
            <w:tcW w:w="808" w:type="dxa"/>
            <w:vAlign w:val="top"/>
          </w:tcPr>
          <w:p>
            <w:pPr>
              <w:spacing w:before="112" w:line="212" w:lineRule="auto"/>
              <w:ind w:left="279"/>
              <w:rPr>
                <w:rFonts w:ascii="宋体" w:hAnsi="宋体" w:eastAsia="宋体" w:cs="宋体"/>
                <w:sz w:val="20"/>
                <w:szCs w:val="20"/>
              </w:rPr>
            </w:pPr>
            <w:r>
              <w:rPr>
                <w:rFonts w:ascii="宋体" w:hAnsi="宋体" w:eastAsia="宋体" w:cs="宋体"/>
                <w:spacing w:val="-18"/>
                <w:sz w:val="20"/>
                <w:szCs w:val="20"/>
              </w:rPr>
              <w:t>3.4</w:t>
            </w:r>
          </w:p>
        </w:tc>
        <w:tc>
          <w:tcPr>
            <w:tcW w:w="5153" w:type="dxa"/>
            <w:vAlign w:val="top"/>
          </w:tcPr>
          <w:p>
            <w:pPr>
              <w:spacing w:before="68" w:line="221" w:lineRule="auto"/>
              <w:ind w:left="426"/>
              <w:rPr>
                <w:rFonts w:ascii="宋体" w:hAnsi="宋体" w:eastAsia="宋体" w:cs="宋体"/>
                <w:sz w:val="20"/>
                <w:szCs w:val="20"/>
              </w:rPr>
            </w:pPr>
            <w:r>
              <w:rPr>
                <w:rFonts w:ascii="宋体" w:hAnsi="宋体" w:eastAsia="宋体" w:cs="宋体"/>
                <w:spacing w:val="9"/>
                <w:sz w:val="20"/>
                <w:szCs w:val="20"/>
              </w:rPr>
              <w:t>企业标志及企业宣传图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79"/>
              <w:rPr>
                <w:rFonts w:ascii="宋体" w:hAnsi="宋体" w:eastAsia="宋体" w:cs="宋体"/>
                <w:sz w:val="20"/>
                <w:szCs w:val="20"/>
              </w:rPr>
            </w:pPr>
            <w:r>
              <w:rPr>
                <w:rFonts w:ascii="宋体" w:hAnsi="宋体" w:eastAsia="宋体" w:cs="宋体"/>
                <w:spacing w:val="-18"/>
                <w:sz w:val="20"/>
                <w:szCs w:val="20"/>
              </w:rPr>
              <w:t>3.5</w:t>
            </w:r>
          </w:p>
        </w:tc>
        <w:tc>
          <w:tcPr>
            <w:tcW w:w="5153" w:type="dxa"/>
            <w:vAlign w:val="top"/>
          </w:tcPr>
          <w:p>
            <w:pPr>
              <w:spacing w:before="70" w:line="219" w:lineRule="auto"/>
              <w:ind w:left="426"/>
              <w:rPr>
                <w:rFonts w:ascii="宋体" w:hAnsi="宋体" w:eastAsia="宋体" w:cs="宋体"/>
                <w:sz w:val="20"/>
                <w:szCs w:val="20"/>
              </w:rPr>
            </w:pPr>
            <w:r>
              <w:rPr>
                <w:rFonts w:ascii="宋体" w:hAnsi="宋体" w:eastAsia="宋体" w:cs="宋体"/>
                <w:spacing w:val="8"/>
                <w:sz w:val="20"/>
                <w:szCs w:val="20"/>
              </w:rPr>
              <w:t>企业各类图表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79"/>
              <w:rPr>
                <w:rFonts w:ascii="宋体" w:hAnsi="宋体" w:eastAsia="宋体" w:cs="宋体"/>
                <w:sz w:val="20"/>
                <w:szCs w:val="20"/>
              </w:rPr>
            </w:pPr>
            <w:r>
              <w:rPr>
                <w:rFonts w:ascii="宋体" w:hAnsi="宋体" w:eastAsia="宋体" w:cs="宋体"/>
                <w:spacing w:val="-18"/>
                <w:sz w:val="20"/>
                <w:szCs w:val="20"/>
              </w:rPr>
              <w:t>3.6</w:t>
            </w:r>
          </w:p>
        </w:tc>
        <w:tc>
          <w:tcPr>
            <w:tcW w:w="5153" w:type="dxa"/>
            <w:vAlign w:val="top"/>
          </w:tcPr>
          <w:p>
            <w:pPr>
              <w:spacing w:before="70" w:line="219" w:lineRule="auto"/>
              <w:ind w:left="424"/>
              <w:rPr>
                <w:rFonts w:ascii="宋体" w:hAnsi="宋体" w:eastAsia="宋体" w:cs="宋体"/>
                <w:sz w:val="20"/>
                <w:szCs w:val="20"/>
              </w:rPr>
            </w:pPr>
            <w:r>
              <w:rPr>
                <w:rFonts w:ascii="宋体" w:hAnsi="宋体" w:eastAsia="宋体" w:cs="宋体"/>
                <w:spacing w:val="9"/>
                <w:sz w:val="20"/>
                <w:szCs w:val="20"/>
              </w:rPr>
              <w:t>会议室形象墙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2" w:line="212" w:lineRule="auto"/>
              <w:ind w:left="279"/>
              <w:rPr>
                <w:rFonts w:ascii="宋体" w:hAnsi="宋体" w:eastAsia="宋体" w:cs="宋体"/>
                <w:sz w:val="20"/>
                <w:szCs w:val="20"/>
              </w:rPr>
            </w:pPr>
            <w:r>
              <w:rPr>
                <w:rFonts w:ascii="宋体" w:hAnsi="宋体" w:eastAsia="宋体" w:cs="宋体"/>
                <w:spacing w:val="-18"/>
                <w:sz w:val="20"/>
                <w:szCs w:val="20"/>
              </w:rPr>
              <w:t>3.7</w:t>
            </w:r>
          </w:p>
        </w:tc>
        <w:tc>
          <w:tcPr>
            <w:tcW w:w="5153" w:type="dxa"/>
            <w:vAlign w:val="top"/>
          </w:tcPr>
          <w:p>
            <w:pPr>
              <w:spacing w:before="69" w:line="219" w:lineRule="auto"/>
              <w:ind w:left="426"/>
              <w:rPr>
                <w:rFonts w:ascii="宋体" w:hAnsi="宋体" w:eastAsia="宋体" w:cs="宋体"/>
                <w:sz w:val="20"/>
                <w:szCs w:val="20"/>
              </w:rPr>
            </w:pPr>
            <w:r>
              <w:rPr>
                <w:rFonts w:ascii="宋体" w:hAnsi="宋体" w:eastAsia="宋体" w:cs="宋体"/>
                <w:spacing w:val="8"/>
                <w:sz w:val="20"/>
                <w:szCs w:val="20"/>
              </w:rPr>
              <w:t>效果图及架子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310" w:lineRule="auto"/>
            </w:pPr>
          </w:p>
          <w:p>
            <w:pPr>
              <w:pStyle w:val="6"/>
              <w:spacing w:line="310" w:lineRule="auto"/>
            </w:pPr>
          </w:p>
          <w:p>
            <w:pPr>
              <w:pStyle w:val="6"/>
              <w:spacing w:line="311" w:lineRule="auto"/>
            </w:pPr>
          </w:p>
          <w:p>
            <w:pPr>
              <w:spacing w:before="65" w:line="219" w:lineRule="auto"/>
              <w:ind w:left="397"/>
              <w:rPr>
                <w:rFonts w:ascii="宋体" w:hAnsi="宋体" w:eastAsia="宋体" w:cs="宋体"/>
                <w:sz w:val="20"/>
                <w:szCs w:val="20"/>
              </w:rPr>
            </w:pPr>
            <w:r>
              <w:rPr>
                <w:rFonts w:ascii="宋体" w:hAnsi="宋体" w:eastAsia="宋体" w:cs="宋体"/>
                <w:spacing w:val="8"/>
                <w:sz w:val="20"/>
                <w:szCs w:val="20"/>
              </w:rPr>
              <w:t>场容场貌</w:t>
            </w:r>
          </w:p>
        </w:tc>
        <w:tc>
          <w:tcPr>
            <w:tcW w:w="808" w:type="dxa"/>
            <w:vAlign w:val="top"/>
          </w:tcPr>
          <w:p>
            <w:pPr>
              <w:spacing w:before="112" w:line="212" w:lineRule="auto"/>
              <w:ind w:left="279"/>
              <w:rPr>
                <w:rFonts w:ascii="宋体" w:hAnsi="宋体" w:eastAsia="宋体" w:cs="宋体"/>
                <w:sz w:val="20"/>
                <w:szCs w:val="20"/>
              </w:rPr>
            </w:pPr>
            <w:r>
              <w:rPr>
                <w:rFonts w:ascii="宋体" w:hAnsi="宋体" w:eastAsia="宋体" w:cs="宋体"/>
                <w:spacing w:val="-18"/>
                <w:sz w:val="20"/>
                <w:szCs w:val="20"/>
              </w:rPr>
              <w:t>3.8</w:t>
            </w:r>
          </w:p>
        </w:tc>
        <w:tc>
          <w:tcPr>
            <w:tcW w:w="5153" w:type="dxa"/>
            <w:vAlign w:val="top"/>
          </w:tcPr>
          <w:p>
            <w:pPr>
              <w:spacing w:before="70" w:line="218" w:lineRule="auto"/>
              <w:ind w:left="430"/>
              <w:rPr>
                <w:rFonts w:ascii="宋体" w:hAnsi="宋体" w:eastAsia="宋体" w:cs="宋体"/>
                <w:sz w:val="20"/>
                <w:szCs w:val="20"/>
              </w:rPr>
            </w:pPr>
            <w:r>
              <w:rPr>
                <w:rFonts w:ascii="宋体" w:hAnsi="宋体" w:eastAsia="宋体" w:cs="宋体"/>
                <w:spacing w:val="9"/>
                <w:sz w:val="20"/>
                <w:szCs w:val="20"/>
              </w:rPr>
              <w:t>现场及生活区地面硬化处理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79"/>
              <w:rPr>
                <w:rFonts w:ascii="宋体" w:hAnsi="宋体" w:eastAsia="宋体" w:cs="宋体"/>
                <w:sz w:val="20"/>
                <w:szCs w:val="20"/>
              </w:rPr>
            </w:pPr>
            <w:r>
              <w:rPr>
                <w:rFonts w:ascii="宋体" w:hAnsi="宋体" w:eastAsia="宋体" w:cs="宋体"/>
                <w:spacing w:val="-18"/>
                <w:sz w:val="20"/>
                <w:szCs w:val="20"/>
              </w:rPr>
              <w:t>3.9</w:t>
            </w:r>
          </w:p>
        </w:tc>
        <w:tc>
          <w:tcPr>
            <w:tcW w:w="5153" w:type="dxa"/>
            <w:vAlign w:val="top"/>
          </w:tcPr>
          <w:p>
            <w:pPr>
              <w:spacing w:before="72" w:line="217" w:lineRule="auto"/>
              <w:ind w:left="427"/>
              <w:rPr>
                <w:rFonts w:ascii="宋体" w:hAnsi="宋体" w:eastAsia="宋体" w:cs="宋体"/>
                <w:sz w:val="20"/>
                <w:szCs w:val="20"/>
              </w:rPr>
            </w:pPr>
            <w:r>
              <w:rPr>
                <w:rFonts w:ascii="宋体" w:hAnsi="宋体" w:eastAsia="宋体" w:cs="宋体"/>
                <w:spacing w:val="6"/>
                <w:sz w:val="20"/>
                <w:szCs w:val="20"/>
              </w:rPr>
              <w:t>绿化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26"/>
              <w:rPr>
                <w:rFonts w:ascii="宋体" w:hAnsi="宋体" w:eastAsia="宋体" w:cs="宋体"/>
                <w:sz w:val="20"/>
                <w:szCs w:val="20"/>
              </w:rPr>
            </w:pPr>
            <w:r>
              <w:rPr>
                <w:rFonts w:ascii="宋体" w:hAnsi="宋体" w:eastAsia="宋体" w:cs="宋体"/>
                <w:spacing w:val="-12"/>
                <w:sz w:val="20"/>
                <w:szCs w:val="20"/>
              </w:rPr>
              <w:t>3.10</w:t>
            </w:r>
          </w:p>
        </w:tc>
        <w:tc>
          <w:tcPr>
            <w:tcW w:w="5153" w:type="dxa"/>
            <w:vAlign w:val="top"/>
          </w:tcPr>
          <w:p>
            <w:pPr>
              <w:spacing w:before="71" w:line="220" w:lineRule="auto"/>
              <w:ind w:left="428"/>
              <w:rPr>
                <w:rFonts w:ascii="宋体" w:hAnsi="宋体" w:eastAsia="宋体" w:cs="宋体"/>
                <w:sz w:val="20"/>
                <w:szCs w:val="20"/>
              </w:rPr>
            </w:pPr>
            <w:r>
              <w:rPr>
                <w:rFonts w:ascii="宋体" w:hAnsi="宋体" w:eastAsia="宋体" w:cs="宋体"/>
                <w:spacing w:val="6"/>
                <w:sz w:val="20"/>
                <w:szCs w:val="20"/>
              </w:rPr>
              <w:t>彩旗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12" w:lineRule="auto"/>
              <w:ind w:left="226"/>
              <w:rPr>
                <w:rFonts w:ascii="宋体" w:hAnsi="宋体" w:eastAsia="宋体" w:cs="宋体"/>
                <w:sz w:val="20"/>
                <w:szCs w:val="20"/>
              </w:rPr>
            </w:pPr>
            <w:r>
              <w:rPr>
                <w:rFonts w:ascii="宋体" w:hAnsi="宋体" w:eastAsia="宋体" w:cs="宋体"/>
                <w:spacing w:val="-12"/>
                <w:sz w:val="20"/>
                <w:szCs w:val="20"/>
              </w:rPr>
              <w:t>3.11</w:t>
            </w:r>
          </w:p>
        </w:tc>
        <w:tc>
          <w:tcPr>
            <w:tcW w:w="5153" w:type="dxa"/>
            <w:vAlign w:val="top"/>
          </w:tcPr>
          <w:p>
            <w:pPr>
              <w:spacing w:before="70" w:line="221" w:lineRule="auto"/>
              <w:ind w:left="430"/>
              <w:rPr>
                <w:rFonts w:ascii="宋体" w:hAnsi="宋体" w:eastAsia="宋体" w:cs="宋体"/>
                <w:sz w:val="20"/>
                <w:szCs w:val="20"/>
              </w:rPr>
            </w:pPr>
            <w:r>
              <w:rPr>
                <w:rFonts w:ascii="宋体" w:hAnsi="宋体" w:eastAsia="宋体" w:cs="宋体"/>
                <w:spacing w:val="8"/>
                <w:sz w:val="20"/>
                <w:szCs w:val="20"/>
              </w:rPr>
              <w:t>现场画面喷涂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12" w:lineRule="auto"/>
              <w:ind w:left="226"/>
              <w:rPr>
                <w:rFonts w:ascii="宋体" w:hAnsi="宋体" w:eastAsia="宋体" w:cs="宋体"/>
                <w:sz w:val="20"/>
                <w:szCs w:val="20"/>
              </w:rPr>
            </w:pPr>
            <w:r>
              <w:rPr>
                <w:rFonts w:ascii="宋体" w:hAnsi="宋体" w:eastAsia="宋体" w:cs="宋体"/>
                <w:spacing w:val="-12"/>
                <w:sz w:val="20"/>
                <w:szCs w:val="20"/>
              </w:rPr>
              <w:t>3.12</w:t>
            </w:r>
          </w:p>
        </w:tc>
        <w:tc>
          <w:tcPr>
            <w:tcW w:w="5153" w:type="dxa"/>
            <w:vAlign w:val="top"/>
          </w:tcPr>
          <w:p>
            <w:pPr>
              <w:spacing w:before="67" w:line="219" w:lineRule="auto"/>
              <w:ind w:left="430"/>
              <w:rPr>
                <w:rFonts w:ascii="宋体" w:hAnsi="宋体" w:eastAsia="宋体" w:cs="宋体"/>
                <w:sz w:val="20"/>
                <w:szCs w:val="20"/>
              </w:rPr>
            </w:pPr>
            <w:r>
              <w:rPr>
                <w:rFonts w:ascii="宋体" w:hAnsi="宋体" w:eastAsia="宋体" w:cs="宋体"/>
                <w:spacing w:val="8"/>
                <w:sz w:val="20"/>
                <w:szCs w:val="20"/>
              </w:rPr>
              <w:t>现场标语条幅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3" w:line="211" w:lineRule="auto"/>
              <w:ind w:left="226"/>
              <w:rPr>
                <w:rFonts w:ascii="宋体" w:hAnsi="宋体" w:eastAsia="宋体" w:cs="宋体"/>
                <w:sz w:val="20"/>
                <w:szCs w:val="20"/>
              </w:rPr>
            </w:pPr>
            <w:r>
              <w:rPr>
                <w:rFonts w:ascii="宋体" w:hAnsi="宋体" w:eastAsia="宋体" w:cs="宋体"/>
                <w:spacing w:val="-12"/>
                <w:sz w:val="20"/>
                <w:szCs w:val="20"/>
              </w:rPr>
              <w:t>3.13</w:t>
            </w:r>
          </w:p>
        </w:tc>
        <w:tc>
          <w:tcPr>
            <w:tcW w:w="5153" w:type="dxa"/>
            <w:vAlign w:val="top"/>
          </w:tcPr>
          <w:p>
            <w:pPr>
              <w:spacing w:before="72" w:line="217" w:lineRule="auto"/>
              <w:ind w:left="445"/>
              <w:rPr>
                <w:rFonts w:ascii="宋体" w:hAnsi="宋体" w:eastAsia="宋体" w:cs="宋体"/>
                <w:sz w:val="20"/>
                <w:szCs w:val="20"/>
              </w:rPr>
            </w:pPr>
            <w:r>
              <w:rPr>
                <w:rFonts w:ascii="宋体" w:hAnsi="宋体" w:eastAsia="宋体" w:cs="宋体"/>
                <w:spacing w:val="5"/>
                <w:sz w:val="20"/>
                <w:szCs w:val="20"/>
              </w:rPr>
              <w:t>围墙墙面美化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51" w:lineRule="auto"/>
            </w:pPr>
          </w:p>
          <w:p>
            <w:pPr>
              <w:pStyle w:val="6"/>
              <w:spacing w:line="251" w:lineRule="auto"/>
            </w:pPr>
          </w:p>
          <w:p>
            <w:pPr>
              <w:pStyle w:val="6"/>
              <w:spacing w:line="251" w:lineRule="auto"/>
            </w:pPr>
          </w:p>
          <w:p>
            <w:pPr>
              <w:spacing w:before="65" w:line="222" w:lineRule="auto"/>
              <w:ind w:left="395"/>
              <w:rPr>
                <w:rFonts w:ascii="宋体" w:hAnsi="宋体" w:eastAsia="宋体" w:cs="宋体"/>
                <w:sz w:val="20"/>
                <w:szCs w:val="20"/>
              </w:rPr>
            </w:pPr>
            <w:r>
              <w:rPr>
                <w:rFonts w:ascii="宋体" w:hAnsi="宋体" w:eastAsia="宋体" w:cs="宋体"/>
                <w:spacing w:val="8"/>
                <w:sz w:val="20"/>
                <w:szCs w:val="20"/>
              </w:rPr>
              <w:t>其他补充</w:t>
            </w:r>
          </w:p>
        </w:tc>
        <w:tc>
          <w:tcPr>
            <w:tcW w:w="808" w:type="dxa"/>
            <w:vAlign w:val="top"/>
          </w:tcPr>
          <w:p>
            <w:pPr>
              <w:spacing w:before="113" w:line="211" w:lineRule="auto"/>
              <w:ind w:left="226"/>
              <w:rPr>
                <w:rFonts w:ascii="宋体" w:hAnsi="宋体" w:eastAsia="宋体" w:cs="宋体"/>
                <w:sz w:val="20"/>
                <w:szCs w:val="20"/>
              </w:rPr>
            </w:pPr>
            <w:r>
              <w:rPr>
                <w:rFonts w:ascii="宋体" w:hAnsi="宋体" w:eastAsia="宋体" w:cs="宋体"/>
                <w:spacing w:val="-12"/>
                <w:sz w:val="20"/>
                <w:szCs w:val="20"/>
              </w:rPr>
              <w:t>3.14</w:t>
            </w:r>
          </w:p>
        </w:tc>
        <w:tc>
          <w:tcPr>
            <w:tcW w:w="5153" w:type="dxa"/>
            <w:vAlign w:val="top"/>
          </w:tcPr>
          <w:p>
            <w:pPr>
              <w:spacing w:before="69" w:line="222" w:lineRule="auto"/>
              <w:ind w:left="427"/>
              <w:rPr>
                <w:rFonts w:ascii="宋体" w:hAnsi="宋体" w:eastAsia="宋体" w:cs="宋体"/>
                <w:sz w:val="20"/>
                <w:szCs w:val="20"/>
              </w:rPr>
            </w:pPr>
            <w:r>
              <w:rPr>
                <w:rFonts w:ascii="宋体" w:hAnsi="宋体" w:eastAsia="宋体" w:cs="宋体"/>
                <w:spacing w:val="9"/>
                <w:sz w:val="20"/>
                <w:szCs w:val="20"/>
              </w:rPr>
              <w:t>工人防暑降温、防蚊虫叮咬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12" w:lineRule="auto"/>
              <w:ind w:left="226"/>
              <w:rPr>
                <w:rFonts w:ascii="宋体" w:hAnsi="宋体" w:eastAsia="宋体" w:cs="宋体"/>
                <w:sz w:val="20"/>
                <w:szCs w:val="20"/>
              </w:rPr>
            </w:pPr>
            <w:r>
              <w:rPr>
                <w:rFonts w:ascii="宋体" w:hAnsi="宋体" w:eastAsia="宋体" w:cs="宋体"/>
                <w:spacing w:val="-12"/>
                <w:sz w:val="20"/>
                <w:szCs w:val="20"/>
              </w:rPr>
              <w:t>3.15</w:t>
            </w:r>
          </w:p>
        </w:tc>
        <w:tc>
          <w:tcPr>
            <w:tcW w:w="5153" w:type="dxa"/>
            <w:vAlign w:val="top"/>
          </w:tcPr>
          <w:p>
            <w:pPr>
              <w:spacing w:before="68" w:line="221" w:lineRule="auto"/>
              <w:ind w:left="424"/>
              <w:rPr>
                <w:rFonts w:ascii="宋体" w:hAnsi="宋体" w:eastAsia="宋体" w:cs="宋体"/>
                <w:sz w:val="20"/>
                <w:szCs w:val="20"/>
              </w:rPr>
            </w:pPr>
            <w:r>
              <w:rPr>
                <w:rFonts w:ascii="宋体" w:hAnsi="宋体" w:eastAsia="宋体" w:cs="宋体"/>
                <w:spacing w:val="9"/>
                <w:sz w:val="20"/>
                <w:szCs w:val="20"/>
              </w:rPr>
              <w:t>食堂洗涤、消毒设施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12" w:lineRule="auto"/>
              <w:ind w:left="226"/>
              <w:rPr>
                <w:rFonts w:ascii="宋体" w:hAnsi="宋体" w:eastAsia="宋体" w:cs="宋体"/>
                <w:sz w:val="20"/>
                <w:szCs w:val="20"/>
              </w:rPr>
            </w:pPr>
            <w:r>
              <w:rPr>
                <w:rFonts w:ascii="宋体" w:hAnsi="宋体" w:eastAsia="宋体" w:cs="宋体"/>
                <w:spacing w:val="-12"/>
                <w:sz w:val="20"/>
                <w:szCs w:val="20"/>
              </w:rPr>
              <w:t>3.16</w:t>
            </w:r>
          </w:p>
        </w:tc>
        <w:tc>
          <w:tcPr>
            <w:tcW w:w="5153" w:type="dxa"/>
            <w:vAlign w:val="top"/>
          </w:tcPr>
          <w:p>
            <w:pPr>
              <w:spacing w:before="69" w:line="221" w:lineRule="auto"/>
              <w:ind w:left="425"/>
              <w:rPr>
                <w:rFonts w:ascii="宋体" w:hAnsi="宋体" w:eastAsia="宋体" w:cs="宋体"/>
                <w:sz w:val="20"/>
                <w:szCs w:val="20"/>
              </w:rPr>
            </w:pPr>
            <w:r>
              <w:rPr>
                <w:rFonts w:ascii="宋体" w:hAnsi="宋体" w:eastAsia="宋体" w:cs="宋体"/>
                <w:spacing w:val="9"/>
                <w:sz w:val="20"/>
                <w:szCs w:val="20"/>
              </w:rPr>
              <w:t>施工现场各门禁保安服务费用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11" w:lineRule="auto"/>
              <w:ind w:left="226"/>
              <w:rPr>
                <w:rFonts w:ascii="宋体" w:hAnsi="宋体" w:eastAsia="宋体" w:cs="宋体"/>
                <w:sz w:val="20"/>
                <w:szCs w:val="20"/>
              </w:rPr>
            </w:pPr>
            <w:r>
              <w:rPr>
                <w:rFonts w:ascii="宋体" w:hAnsi="宋体" w:eastAsia="宋体" w:cs="宋体"/>
                <w:spacing w:val="-12"/>
                <w:sz w:val="20"/>
                <w:szCs w:val="20"/>
              </w:rPr>
              <w:t>3.17</w:t>
            </w:r>
          </w:p>
        </w:tc>
        <w:tc>
          <w:tcPr>
            <w:tcW w:w="5153" w:type="dxa"/>
            <w:vAlign w:val="top"/>
          </w:tcPr>
          <w:p>
            <w:pPr>
              <w:spacing w:before="69" w:line="222" w:lineRule="auto"/>
              <w:ind w:left="430"/>
              <w:rPr>
                <w:rFonts w:ascii="宋体" w:hAnsi="宋体" w:eastAsia="宋体" w:cs="宋体"/>
                <w:sz w:val="20"/>
                <w:szCs w:val="20"/>
              </w:rPr>
            </w:pPr>
            <w:r>
              <w:rPr>
                <w:rFonts w:ascii="宋体" w:hAnsi="宋体" w:eastAsia="宋体" w:cs="宋体"/>
                <w:spacing w:val="8"/>
                <w:sz w:val="20"/>
                <w:szCs w:val="20"/>
              </w:rPr>
              <w:t>职业病预防及保健费用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4" w:hRule="atLeast"/>
        </w:trPr>
        <w:tc>
          <w:tcPr>
            <w:tcW w:w="1487" w:type="dxa"/>
            <w:vMerge w:val="continue"/>
            <w:tcBorders>
              <w:top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3" w:line="213" w:lineRule="auto"/>
              <w:ind w:left="226"/>
              <w:rPr>
                <w:rFonts w:ascii="宋体" w:hAnsi="宋体" w:eastAsia="宋体" w:cs="宋体"/>
                <w:sz w:val="20"/>
                <w:szCs w:val="20"/>
              </w:rPr>
            </w:pPr>
            <w:r>
              <w:rPr>
                <w:rFonts w:ascii="宋体" w:hAnsi="宋体" w:eastAsia="宋体" w:cs="宋体"/>
                <w:spacing w:val="-12"/>
                <w:sz w:val="20"/>
                <w:szCs w:val="20"/>
              </w:rPr>
              <w:t>3.18</w:t>
            </w:r>
          </w:p>
        </w:tc>
        <w:tc>
          <w:tcPr>
            <w:tcW w:w="5153" w:type="dxa"/>
            <w:vAlign w:val="top"/>
          </w:tcPr>
          <w:p>
            <w:pPr>
              <w:spacing w:before="65" w:line="277" w:lineRule="exact"/>
              <w:ind w:left="430"/>
              <w:rPr>
                <w:rFonts w:ascii="宋体" w:hAnsi="宋体" w:eastAsia="宋体" w:cs="宋体"/>
                <w:sz w:val="20"/>
                <w:szCs w:val="20"/>
              </w:rPr>
            </w:pPr>
            <w:r>
              <w:rPr>
                <w:rFonts w:ascii="宋体" w:hAnsi="宋体" w:eastAsia="宋体" w:cs="宋体"/>
                <w:spacing w:val="9"/>
                <w:position w:val="1"/>
                <w:sz w:val="20"/>
                <w:szCs w:val="20"/>
              </w:rPr>
              <w:t>现场医药、器材急救措施</w:t>
            </w:r>
          </w:p>
        </w:tc>
      </w:tr>
    </w:tbl>
    <w:p>
      <w:pPr>
        <w:rPr>
          <w:rFonts w:ascii="Arial"/>
          <w:sz w:val="21"/>
        </w:rPr>
      </w:pPr>
    </w:p>
    <w:p>
      <w:pPr>
        <w:rPr>
          <w:rFonts w:ascii="Arial" w:hAnsi="Arial" w:eastAsia="Arial" w:cs="Arial"/>
          <w:sz w:val="21"/>
          <w:szCs w:val="21"/>
        </w:rPr>
        <w:sectPr>
          <w:footerReference r:id="rId113" w:type="default"/>
          <w:pgSz w:w="11905" w:h="16840"/>
          <w:pgMar w:top="400" w:right="1402" w:bottom="1213" w:left="1418" w:header="0" w:footer="898" w:gutter="0"/>
        </w:sectPr>
      </w:pPr>
    </w:p>
    <w:p>
      <w:pPr>
        <w:spacing w:before="13"/>
      </w:pPr>
    </w:p>
    <w:p>
      <w:pPr>
        <w:spacing w:before="13"/>
      </w:pPr>
    </w:p>
    <w:p>
      <w:pPr>
        <w:spacing w:before="13"/>
      </w:pPr>
    </w:p>
    <w:p>
      <w:pPr>
        <w:spacing w:before="12"/>
      </w:pPr>
    </w:p>
    <w:tbl>
      <w:tblPr>
        <w:tblStyle w:val="5"/>
        <w:tblW w:w="9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7"/>
        <w:gridCol w:w="1631"/>
        <w:gridCol w:w="808"/>
        <w:gridCol w:w="51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487" w:type="dxa"/>
            <w:vMerge w:val="restart"/>
            <w:tcBorders>
              <w:bottom w:val="nil"/>
            </w:tcBorders>
            <w:vAlign w:val="top"/>
          </w:tcPr>
          <w:p>
            <w:pPr>
              <w:pStyle w:val="6"/>
              <w:spacing w:line="257" w:lineRule="auto"/>
            </w:pPr>
          </w:p>
          <w:p>
            <w:pPr>
              <w:pStyle w:val="6"/>
              <w:spacing w:line="258" w:lineRule="auto"/>
            </w:pPr>
          </w:p>
          <w:p>
            <w:pPr>
              <w:pStyle w:val="6"/>
              <w:spacing w:line="258" w:lineRule="auto"/>
            </w:pPr>
          </w:p>
          <w:p>
            <w:pPr>
              <w:pStyle w:val="6"/>
              <w:spacing w:line="258" w:lineRule="auto"/>
            </w:pPr>
          </w:p>
          <w:p>
            <w:pPr>
              <w:pStyle w:val="6"/>
              <w:spacing w:line="258" w:lineRule="auto"/>
            </w:pPr>
          </w:p>
          <w:p>
            <w:pPr>
              <w:spacing w:before="65" w:line="219" w:lineRule="auto"/>
              <w:ind w:left="222"/>
              <w:rPr>
                <w:rFonts w:ascii="宋体" w:hAnsi="宋体" w:eastAsia="宋体" w:cs="宋体"/>
                <w:sz w:val="20"/>
                <w:szCs w:val="20"/>
              </w:rPr>
            </w:pPr>
            <w:r>
              <w:rPr>
                <w:rFonts w:ascii="宋体" w:hAnsi="宋体" w:eastAsia="宋体" w:cs="宋体"/>
                <w:spacing w:val="8"/>
                <w:sz w:val="20"/>
                <w:szCs w:val="20"/>
              </w:rPr>
              <w:t>文明施工费</w:t>
            </w:r>
          </w:p>
        </w:tc>
        <w:tc>
          <w:tcPr>
            <w:tcW w:w="1631" w:type="dxa"/>
            <w:vMerge w:val="restart"/>
            <w:tcBorders>
              <w:bottom w:val="nil"/>
            </w:tcBorders>
            <w:vAlign w:val="top"/>
          </w:tcPr>
          <w:p>
            <w:pPr>
              <w:pStyle w:val="6"/>
              <w:spacing w:line="257" w:lineRule="auto"/>
            </w:pPr>
          </w:p>
          <w:p>
            <w:pPr>
              <w:pStyle w:val="6"/>
              <w:spacing w:line="257" w:lineRule="auto"/>
            </w:pPr>
          </w:p>
          <w:p>
            <w:pPr>
              <w:pStyle w:val="6"/>
              <w:spacing w:line="257" w:lineRule="auto"/>
            </w:pPr>
          </w:p>
          <w:p>
            <w:pPr>
              <w:pStyle w:val="6"/>
              <w:spacing w:line="257" w:lineRule="auto"/>
            </w:pPr>
          </w:p>
          <w:p>
            <w:pPr>
              <w:pStyle w:val="6"/>
              <w:spacing w:line="258" w:lineRule="auto"/>
            </w:pPr>
          </w:p>
          <w:p>
            <w:pPr>
              <w:spacing w:before="65" w:line="222" w:lineRule="auto"/>
              <w:ind w:left="424"/>
              <w:rPr>
                <w:rFonts w:ascii="宋体" w:hAnsi="宋体" w:eastAsia="宋体" w:cs="宋体"/>
                <w:sz w:val="20"/>
                <w:szCs w:val="20"/>
              </w:rPr>
            </w:pPr>
            <w:r>
              <w:rPr>
                <w:rFonts w:ascii="宋体" w:hAnsi="宋体" w:eastAsia="宋体" w:cs="宋体"/>
                <w:spacing w:val="8"/>
                <w:sz w:val="20"/>
                <w:szCs w:val="20"/>
              </w:rPr>
              <w:t>其他补充</w:t>
            </w:r>
          </w:p>
        </w:tc>
        <w:tc>
          <w:tcPr>
            <w:tcW w:w="808" w:type="dxa"/>
            <w:vAlign w:val="top"/>
          </w:tcPr>
          <w:p>
            <w:pPr>
              <w:spacing w:before="111" w:line="216" w:lineRule="auto"/>
              <w:ind w:left="226"/>
              <w:rPr>
                <w:rFonts w:ascii="宋体" w:hAnsi="宋体" w:eastAsia="宋体" w:cs="宋体"/>
                <w:sz w:val="20"/>
                <w:szCs w:val="20"/>
              </w:rPr>
            </w:pPr>
            <w:r>
              <w:rPr>
                <w:rFonts w:ascii="宋体" w:hAnsi="宋体" w:eastAsia="宋体" w:cs="宋体"/>
                <w:spacing w:val="-12"/>
                <w:sz w:val="20"/>
                <w:szCs w:val="20"/>
              </w:rPr>
              <w:t>3.19</w:t>
            </w:r>
          </w:p>
        </w:tc>
        <w:tc>
          <w:tcPr>
            <w:tcW w:w="5153" w:type="dxa"/>
            <w:vAlign w:val="top"/>
          </w:tcPr>
          <w:p>
            <w:pPr>
              <w:spacing w:before="70" w:line="217" w:lineRule="auto"/>
              <w:ind w:left="430"/>
              <w:rPr>
                <w:rFonts w:ascii="宋体" w:hAnsi="宋体" w:eastAsia="宋体" w:cs="宋体"/>
                <w:sz w:val="20"/>
                <w:szCs w:val="20"/>
              </w:rPr>
            </w:pPr>
            <w:r>
              <w:rPr>
                <w:rFonts w:ascii="宋体" w:hAnsi="宋体" w:eastAsia="宋体" w:cs="宋体"/>
                <w:spacing w:val="19"/>
                <w:sz w:val="20"/>
                <w:szCs w:val="20"/>
              </w:rPr>
              <w:t xml:space="preserve">室外 </w:t>
            </w:r>
            <w:r>
              <w:rPr>
                <w:rFonts w:ascii="宋体" w:hAnsi="宋体" w:eastAsia="宋体" w:cs="宋体"/>
                <w:sz w:val="20"/>
                <w:szCs w:val="20"/>
              </w:rPr>
              <w:t>LED</w:t>
            </w:r>
            <w:r>
              <w:rPr>
                <w:rFonts w:ascii="宋体" w:hAnsi="宋体" w:eastAsia="宋体" w:cs="宋体"/>
                <w:spacing w:val="19"/>
                <w:sz w:val="20"/>
                <w:szCs w:val="20"/>
              </w:rPr>
              <w:t xml:space="preserve"> 显示屏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26"/>
              <w:rPr>
                <w:rFonts w:ascii="宋体" w:hAnsi="宋体" w:eastAsia="宋体" w:cs="宋体"/>
                <w:sz w:val="20"/>
                <w:szCs w:val="20"/>
              </w:rPr>
            </w:pPr>
            <w:r>
              <w:rPr>
                <w:rFonts w:ascii="宋体" w:hAnsi="宋体" w:eastAsia="宋体" w:cs="宋体"/>
                <w:spacing w:val="-12"/>
                <w:sz w:val="20"/>
                <w:szCs w:val="20"/>
              </w:rPr>
              <w:t>3.20</w:t>
            </w:r>
          </w:p>
        </w:tc>
        <w:tc>
          <w:tcPr>
            <w:tcW w:w="5153" w:type="dxa"/>
            <w:vAlign w:val="top"/>
          </w:tcPr>
          <w:p>
            <w:pPr>
              <w:spacing w:before="66" w:line="219" w:lineRule="auto"/>
              <w:ind w:left="427"/>
              <w:rPr>
                <w:rFonts w:ascii="宋体" w:hAnsi="宋体" w:eastAsia="宋体" w:cs="宋体"/>
                <w:sz w:val="20"/>
                <w:szCs w:val="20"/>
              </w:rPr>
            </w:pPr>
            <w:r>
              <w:rPr>
                <w:rFonts w:ascii="宋体" w:hAnsi="宋体" w:eastAsia="宋体" w:cs="宋体"/>
                <w:spacing w:val="8"/>
                <w:sz w:val="20"/>
                <w:szCs w:val="20"/>
              </w:rPr>
              <w:t>不锈钢伸缩门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26"/>
              <w:rPr>
                <w:rFonts w:ascii="宋体" w:hAnsi="宋体" w:eastAsia="宋体" w:cs="宋体"/>
                <w:sz w:val="20"/>
                <w:szCs w:val="20"/>
              </w:rPr>
            </w:pPr>
            <w:r>
              <w:rPr>
                <w:rFonts w:ascii="宋体" w:hAnsi="宋体" w:eastAsia="宋体" w:cs="宋体"/>
                <w:spacing w:val="-12"/>
                <w:sz w:val="20"/>
                <w:szCs w:val="20"/>
              </w:rPr>
              <w:t>3.21</w:t>
            </w:r>
          </w:p>
        </w:tc>
        <w:tc>
          <w:tcPr>
            <w:tcW w:w="5153" w:type="dxa"/>
            <w:vAlign w:val="top"/>
          </w:tcPr>
          <w:p>
            <w:pPr>
              <w:spacing w:before="66" w:line="219" w:lineRule="auto"/>
              <w:ind w:left="424"/>
              <w:rPr>
                <w:rFonts w:ascii="宋体" w:hAnsi="宋体" w:eastAsia="宋体" w:cs="宋体"/>
                <w:sz w:val="20"/>
                <w:szCs w:val="20"/>
              </w:rPr>
            </w:pPr>
            <w:r>
              <w:rPr>
                <w:rFonts w:ascii="宋体" w:hAnsi="宋体" w:eastAsia="宋体" w:cs="宋体"/>
                <w:spacing w:val="9"/>
                <w:sz w:val="20"/>
                <w:szCs w:val="20"/>
              </w:rPr>
              <w:t>铺设钢板路面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7" w:line="216" w:lineRule="auto"/>
              <w:ind w:left="226"/>
              <w:rPr>
                <w:rFonts w:ascii="宋体" w:hAnsi="宋体" w:eastAsia="宋体" w:cs="宋体"/>
                <w:sz w:val="20"/>
                <w:szCs w:val="20"/>
              </w:rPr>
            </w:pPr>
            <w:r>
              <w:rPr>
                <w:rFonts w:ascii="宋体" w:hAnsi="宋体" w:eastAsia="宋体" w:cs="宋体"/>
                <w:spacing w:val="-12"/>
                <w:sz w:val="20"/>
                <w:szCs w:val="20"/>
              </w:rPr>
              <w:t>3.22</w:t>
            </w:r>
          </w:p>
        </w:tc>
        <w:tc>
          <w:tcPr>
            <w:tcW w:w="5153" w:type="dxa"/>
            <w:vAlign w:val="top"/>
          </w:tcPr>
          <w:p>
            <w:pPr>
              <w:spacing w:before="65" w:line="219" w:lineRule="auto"/>
              <w:ind w:left="425"/>
              <w:rPr>
                <w:rFonts w:ascii="宋体" w:hAnsi="宋体" w:eastAsia="宋体" w:cs="宋体"/>
                <w:sz w:val="20"/>
                <w:szCs w:val="20"/>
              </w:rPr>
            </w:pPr>
            <w:r>
              <w:rPr>
                <w:rFonts w:ascii="宋体" w:hAnsi="宋体" w:eastAsia="宋体" w:cs="宋体"/>
                <w:spacing w:val="9"/>
                <w:sz w:val="20"/>
                <w:szCs w:val="20"/>
              </w:rPr>
              <w:t>施工现场铺设砖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7" w:line="216" w:lineRule="auto"/>
              <w:ind w:left="226"/>
              <w:rPr>
                <w:rFonts w:ascii="宋体" w:hAnsi="宋体" w:eastAsia="宋体" w:cs="宋体"/>
                <w:sz w:val="20"/>
                <w:szCs w:val="20"/>
              </w:rPr>
            </w:pPr>
            <w:r>
              <w:rPr>
                <w:rFonts w:ascii="宋体" w:hAnsi="宋体" w:eastAsia="宋体" w:cs="宋体"/>
                <w:spacing w:val="-12"/>
                <w:sz w:val="20"/>
                <w:szCs w:val="20"/>
              </w:rPr>
              <w:t>3.23</w:t>
            </w:r>
          </w:p>
        </w:tc>
        <w:tc>
          <w:tcPr>
            <w:tcW w:w="5153" w:type="dxa"/>
            <w:vAlign w:val="top"/>
          </w:tcPr>
          <w:p>
            <w:pPr>
              <w:spacing w:before="66" w:line="219" w:lineRule="auto"/>
              <w:ind w:left="425"/>
              <w:rPr>
                <w:rFonts w:ascii="宋体" w:hAnsi="宋体" w:eastAsia="宋体" w:cs="宋体"/>
                <w:sz w:val="20"/>
                <w:szCs w:val="20"/>
              </w:rPr>
            </w:pPr>
            <w:r>
              <w:rPr>
                <w:rFonts w:ascii="宋体" w:hAnsi="宋体" w:eastAsia="宋体" w:cs="宋体"/>
                <w:spacing w:val="8"/>
                <w:sz w:val="20"/>
                <w:szCs w:val="20"/>
              </w:rPr>
              <w:t>砖砌围墙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26"/>
              <w:rPr>
                <w:rFonts w:ascii="宋体" w:hAnsi="宋体" w:eastAsia="宋体" w:cs="宋体"/>
                <w:sz w:val="20"/>
                <w:szCs w:val="20"/>
              </w:rPr>
            </w:pPr>
            <w:r>
              <w:rPr>
                <w:rFonts w:ascii="宋体" w:hAnsi="宋体" w:eastAsia="宋体" w:cs="宋体"/>
                <w:spacing w:val="-12"/>
                <w:sz w:val="20"/>
                <w:szCs w:val="20"/>
              </w:rPr>
              <w:t>3.24</w:t>
            </w:r>
          </w:p>
        </w:tc>
        <w:tc>
          <w:tcPr>
            <w:tcW w:w="5153" w:type="dxa"/>
            <w:vAlign w:val="top"/>
          </w:tcPr>
          <w:p>
            <w:pPr>
              <w:spacing w:before="67" w:line="221" w:lineRule="auto"/>
              <w:ind w:left="431"/>
              <w:rPr>
                <w:rFonts w:ascii="宋体" w:hAnsi="宋体" w:eastAsia="宋体" w:cs="宋体"/>
                <w:sz w:val="20"/>
                <w:szCs w:val="20"/>
              </w:rPr>
            </w:pPr>
            <w:r>
              <w:rPr>
                <w:rFonts w:ascii="宋体" w:hAnsi="宋体" w:eastAsia="宋体" w:cs="宋体"/>
                <w:spacing w:val="7"/>
                <w:sz w:val="20"/>
                <w:szCs w:val="20"/>
              </w:rPr>
              <w:t>大门及喷绘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26"/>
              <w:rPr>
                <w:rFonts w:ascii="宋体" w:hAnsi="宋体" w:eastAsia="宋体" w:cs="宋体"/>
                <w:sz w:val="20"/>
                <w:szCs w:val="20"/>
              </w:rPr>
            </w:pPr>
            <w:r>
              <w:rPr>
                <w:rFonts w:ascii="宋体" w:hAnsi="宋体" w:eastAsia="宋体" w:cs="宋体"/>
                <w:spacing w:val="-12"/>
                <w:sz w:val="20"/>
                <w:szCs w:val="20"/>
              </w:rPr>
              <w:t>3.25</w:t>
            </w:r>
          </w:p>
        </w:tc>
        <w:tc>
          <w:tcPr>
            <w:tcW w:w="5153" w:type="dxa"/>
            <w:vAlign w:val="top"/>
          </w:tcPr>
          <w:p>
            <w:pPr>
              <w:spacing w:before="61" w:line="278" w:lineRule="exact"/>
              <w:ind w:left="424"/>
              <w:rPr>
                <w:rFonts w:ascii="宋体" w:hAnsi="宋体" w:eastAsia="宋体" w:cs="宋体"/>
                <w:sz w:val="20"/>
                <w:szCs w:val="20"/>
              </w:rPr>
            </w:pPr>
            <w:r>
              <w:rPr>
                <w:rFonts w:ascii="宋体" w:hAnsi="宋体" w:eastAsia="宋体" w:cs="宋体"/>
                <w:spacing w:val="6"/>
                <w:position w:val="1"/>
                <w:sz w:val="20"/>
                <w:szCs w:val="20"/>
              </w:rPr>
              <w:t>槽边、路边防护栏杆等设施 (含底部砖墙)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07" w:line="216" w:lineRule="auto"/>
              <w:ind w:left="226"/>
              <w:rPr>
                <w:rFonts w:ascii="宋体" w:hAnsi="宋体" w:eastAsia="宋体" w:cs="宋体"/>
                <w:sz w:val="20"/>
                <w:szCs w:val="20"/>
              </w:rPr>
            </w:pPr>
            <w:r>
              <w:rPr>
                <w:rFonts w:ascii="宋体" w:hAnsi="宋体" w:eastAsia="宋体" w:cs="宋体"/>
                <w:spacing w:val="-12"/>
                <w:sz w:val="20"/>
                <w:szCs w:val="20"/>
              </w:rPr>
              <w:t>3.26</w:t>
            </w:r>
          </w:p>
        </w:tc>
        <w:tc>
          <w:tcPr>
            <w:tcW w:w="5153" w:type="dxa"/>
            <w:vAlign w:val="top"/>
          </w:tcPr>
          <w:p>
            <w:pPr>
              <w:spacing w:before="65" w:line="219" w:lineRule="auto"/>
              <w:ind w:left="427"/>
              <w:rPr>
                <w:rFonts w:ascii="宋体" w:hAnsi="宋体" w:eastAsia="宋体" w:cs="宋体"/>
                <w:sz w:val="20"/>
                <w:szCs w:val="20"/>
              </w:rPr>
            </w:pPr>
            <w:r>
              <w:rPr>
                <w:rFonts w:ascii="宋体" w:hAnsi="宋体" w:eastAsia="宋体" w:cs="宋体"/>
                <w:spacing w:val="6"/>
                <w:sz w:val="20"/>
                <w:szCs w:val="20"/>
              </w:rPr>
              <w:t>路灯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restart"/>
            <w:tcBorders>
              <w:bottom w:val="nil"/>
            </w:tcBorders>
            <w:vAlign w:val="top"/>
          </w:tcPr>
          <w:p>
            <w:pPr>
              <w:pStyle w:val="6"/>
              <w:spacing w:line="246"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pStyle w:val="6"/>
              <w:spacing w:line="247" w:lineRule="auto"/>
            </w:pPr>
          </w:p>
          <w:p>
            <w:pPr>
              <w:spacing w:before="65" w:line="219" w:lineRule="auto"/>
              <w:ind w:left="232"/>
              <w:rPr>
                <w:rFonts w:ascii="宋体" w:hAnsi="宋体" w:eastAsia="宋体" w:cs="宋体"/>
                <w:sz w:val="20"/>
                <w:szCs w:val="20"/>
              </w:rPr>
            </w:pPr>
            <w:r>
              <w:rPr>
                <w:rFonts w:ascii="宋体" w:hAnsi="宋体" w:eastAsia="宋体" w:cs="宋体"/>
                <w:spacing w:val="6"/>
                <w:sz w:val="20"/>
                <w:szCs w:val="20"/>
              </w:rPr>
              <w:t>临时设施费</w:t>
            </w:r>
          </w:p>
        </w:tc>
        <w:tc>
          <w:tcPr>
            <w:tcW w:w="1631" w:type="dxa"/>
            <w:vMerge w:val="restart"/>
            <w:tcBorders>
              <w:bottom w:val="nil"/>
            </w:tcBorders>
            <w:vAlign w:val="top"/>
          </w:tcPr>
          <w:p>
            <w:pPr>
              <w:pStyle w:val="6"/>
              <w:spacing w:line="253"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spacing w:before="65" w:line="334" w:lineRule="auto"/>
              <w:ind w:left="398" w:right="396"/>
              <w:rPr>
                <w:rFonts w:ascii="宋体" w:hAnsi="宋体" w:eastAsia="宋体" w:cs="宋体"/>
                <w:sz w:val="20"/>
                <w:szCs w:val="20"/>
              </w:rPr>
            </w:pPr>
            <w:r>
              <w:rPr>
                <w:rFonts w:ascii="宋体" w:hAnsi="宋体" w:eastAsia="宋体" w:cs="宋体"/>
                <w:spacing w:val="7"/>
                <w:sz w:val="20"/>
                <w:szCs w:val="20"/>
              </w:rPr>
              <w:t>现场办公生活设施</w:t>
            </w:r>
          </w:p>
        </w:tc>
        <w:tc>
          <w:tcPr>
            <w:tcW w:w="808" w:type="dxa"/>
            <w:vAlign w:val="top"/>
          </w:tcPr>
          <w:p>
            <w:pPr>
              <w:spacing w:before="107" w:line="216" w:lineRule="auto"/>
              <w:ind w:left="273"/>
              <w:rPr>
                <w:rFonts w:ascii="宋体" w:hAnsi="宋体" w:eastAsia="宋体" w:cs="宋体"/>
                <w:sz w:val="20"/>
                <w:szCs w:val="20"/>
              </w:rPr>
            </w:pPr>
            <w:r>
              <w:rPr>
                <w:rFonts w:ascii="宋体" w:hAnsi="宋体" w:eastAsia="宋体" w:cs="宋体"/>
                <w:spacing w:val="-16"/>
                <w:sz w:val="20"/>
                <w:szCs w:val="20"/>
              </w:rPr>
              <w:t>4.1</w:t>
            </w:r>
          </w:p>
        </w:tc>
        <w:tc>
          <w:tcPr>
            <w:tcW w:w="5153" w:type="dxa"/>
            <w:vAlign w:val="top"/>
          </w:tcPr>
          <w:p>
            <w:pPr>
              <w:spacing w:before="66" w:line="217" w:lineRule="auto"/>
              <w:ind w:left="427"/>
              <w:rPr>
                <w:rFonts w:ascii="宋体" w:hAnsi="宋体" w:eastAsia="宋体" w:cs="宋体"/>
                <w:sz w:val="20"/>
                <w:szCs w:val="20"/>
              </w:rPr>
            </w:pPr>
            <w:r>
              <w:rPr>
                <w:rFonts w:ascii="宋体" w:hAnsi="宋体" w:eastAsia="宋体" w:cs="宋体"/>
                <w:spacing w:val="9"/>
                <w:sz w:val="20"/>
                <w:szCs w:val="20"/>
              </w:rPr>
              <w:t>工地办公室、宿舍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73"/>
              <w:rPr>
                <w:rFonts w:ascii="宋体" w:hAnsi="宋体" w:eastAsia="宋体" w:cs="宋体"/>
                <w:sz w:val="20"/>
                <w:szCs w:val="20"/>
              </w:rPr>
            </w:pPr>
            <w:r>
              <w:rPr>
                <w:rFonts w:ascii="宋体" w:hAnsi="宋体" w:eastAsia="宋体" w:cs="宋体"/>
                <w:spacing w:val="-16"/>
                <w:sz w:val="20"/>
                <w:szCs w:val="20"/>
              </w:rPr>
              <w:t>4.2</w:t>
            </w:r>
          </w:p>
        </w:tc>
        <w:tc>
          <w:tcPr>
            <w:tcW w:w="5153" w:type="dxa"/>
            <w:vAlign w:val="top"/>
          </w:tcPr>
          <w:p>
            <w:pPr>
              <w:spacing w:before="65" w:line="220" w:lineRule="auto"/>
              <w:ind w:left="430"/>
              <w:rPr>
                <w:rFonts w:ascii="宋体" w:hAnsi="宋体" w:eastAsia="宋体" w:cs="宋体"/>
                <w:sz w:val="20"/>
                <w:szCs w:val="20"/>
              </w:rPr>
            </w:pPr>
            <w:r>
              <w:rPr>
                <w:rFonts w:ascii="宋体" w:hAnsi="宋体" w:eastAsia="宋体" w:cs="宋体"/>
                <w:spacing w:val="9"/>
                <w:sz w:val="20"/>
                <w:szCs w:val="20"/>
              </w:rPr>
              <w:t>现场监控线路及摄像头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73"/>
              <w:rPr>
                <w:rFonts w:ascii="宋体" w:hAnsi="宋体" w:eastAsia="宋体" w:cs="宋体"/>
                <w:sz w:val="20"/>
                <w:szCs w:val="20"/>
              </w:rPr>
            </w:pPr>
            <w:r>
              <w:rPr>
                <w:rFonts w:ascii="宋体" w:hAnsi="宋体" w:eastAsia="宋体" w:cs="宋体"/>
                <w:spacing w:val="-16"/>
                <w:sz w:val="20"/>
                <w:szCs w:val="20"/>
              </w:rPr>
              <w:t>4.3</w:t>
            </w:r>
          </w:p>
        </w:tc>
        <w:tc>
          <w:tcPr>
            <w:tcW w:w="5153" w:type="dxa"/>
            <w:vAlign w:val="top"/>
          </w:tcPr>
          <w:p>
            <w:pPr>
              <w:spacing w:before="61" w:line="278" w:lineRule="exact"/>
              <w:ind w:left="429"/>
              <w:rPr>
                <w:rFonts w:ascii="宋体" w:hAnsi="宋体" w:eastAsia="宋体" w:cs="宋体"/>
                <w:sz w:val="20"/>
                <w:szCs w:val="20"/>
              </w:rPr>
            </w:pPr>
            <w:r>
              <w:rPr>
                <w:rFonts w:ascii="宋体" w:hAnsi="宋体" w:eastAsia="宋体" w:cs="宋体"/>
                <w:spacing w:val="9"/>
                <w:position w:val="1"/>
                <w:sz w:val="20"/>
                <w:szCs w:val="20"/>
              </w:rPr>
              <w:t>办公室、宿舍热水器等设施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7" w:line="216" w:lineRule="auto"/>
              <w:ind w:left="273"/>
              <w:rPr>
                <w:rFonts w:ascii="宋体" w:hAnsi="宋体" w:eastAsia="宋体" w:cs="宋体"/>
                <w:sz w:val="20"/>
                <w:szCs w:val="20"/>
              </w:rPr>
            </w:pPr>
            <w:r>
              <w:rPr>
                <w:rFonts w:ascii="宋体" w:hAnsi="宋体" w:eastAsia="宋体" w:cs="宋体"/>
                <w:spacing w:val="-16"/>
                <w:sz w:val="20"/>
                <w:szCs w:val="20"/>
              </w:rPr>
              <w:t>4.4</w:t>
            </w:r>
          </w:p>
        </w:tc>
        <w:tc>
          <w:tcPr>
            <w:tcW w:w="5153" w:type="dxa"/>
            <w:vAlign w:val="top"/>
          </w:tcPr>
          <w:p>
            <w:pPr>
              <w:spacing w:before="64" w:line="219" w:lineRule="auto"/>
              <w:ind w:left="424"/>
              <w:rPr>
                <w:rFonts w:ascii="宋体" w:hAnsi="宋体" w:eastAsia="宋体" w:cs="宋体"/>
                <w:sz w:val="20"/>
                <w:szCs w:val="20"/>
              </w:rPr>
            </w:pPr>
            <w:r>
              <w:rPr>
                <w:rFonts w:ascii="宋体" w:hAnsi="宋体" w:eastAsia="宋体" w:cs="宋体"/>
                <w:spacing w:val="9"/>
                <w:sz w:val="20"/>
                <w:szCs w:val="20"/>
              </w:rPr>
              <w:t>食堂、卫生间、淋浴室、娱乐室、急救室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7" w:line="216" w:lineRule="auto"/>
              <w:ind w:left="273"/>
              <w:rPr>
                <w:rFonts w:ascii="宋体" w:hAnsi="宋体" w:eastAsia="宋体" w:cs="宋体"/>
                <w:sz w:val="20"/>
                <w:szCs w:val="20"/>
              </w:rPr>
            </w:pPr>
            <w:r>
              <w:rPr>
                <w:rFonts w:ascii="宋体" w:hAnsi="宋体" w:eastAsia="宋体" w:cs="宋体"/>
                <w:spacing w:val="-16"/>
                <w:sz w:val="20"/>
                <w:szCs w:val="20"/>
              </w:rPr>
              <w:t>4.5</w:t>
            </w:r>
          </w:p>
        </w:tc>
        <w:tc>
          <w:tcPr>
            <w:tcW w:w="5153" w:type="dxa"/>
            <w:vAlign w:val="top"/>
          </w:tcPr>
          <w:p>
            <w:pPr>
              <w:spacing w:before="71" w:line="211" w:lineRule="auto"/>
              <w:ind w:left="430"/>
              <w:rPr>
                <w:rFonts w:ascii="宋体" w:hAnsi="宋体" w:eastAsia="宋体" w:cs="宋体"/>
                <w:sz w:val="20"/>
                <w:szCs w:val="20"/>
              </w:rPr>
            </w:pPr>
            <w:r>
              <w:rPr>
                <w:rFonts w:ascii="宋体" w:hAnsi="宋体" w:eastAsia="宋体" w:cs="宋体"/>
                <w:spacing w:val="4"/>
                <w:sz w:val="20"/>
                <w:szCs w:val="20"/>
              </w:rPr>
              <w:t>空调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73"/>
              <w:rPr>
                <w:rFonts w:ascii="宋体" w:hAnsi="宋体" w:eastAsia="宋体" w:cs="宋体"/>
                <w:sz w:val="20"/>
                <w:szCs w:val="20"/>
              </w:rPr>
            </w:pPr>
            <w:r>
              <w:rPr>
                <w:rFonts w:ascii="宋体" w:hAnsi="宋体" w:eastAsia="宋体" w:cs="宋体"/>
                <w:spacing w:val="-16"/>
                <w:sz w:val="20"/>
                <w:szCs w:val="20"/>
              </w:rPr>
              <w:t>4.6</w:t>
            </w:r>
          </w:p>
        </w:tc>
        <w:tc>
          <w:tcPr>
            <w:tcW w:w="5153" w:type="dxa"/>
            <w:vAlign w:val="top"/>
          </w:tcPr>
          <w:p>
            <w:pPr>
              <w:spacing w:before="65" w:line="219" w:lineRule="auto"/>
              <w:ind w:left="443"/>
              <w:rPr>
                <w:rFonts w:ascii="宋体" w:hAnsi="宋体" w:eastAsia="宋体" w:cs="宋体"/>
                <w:sz w:val="20"/>
                <w:szCs w:val="20"/>
              </w:rPr>
            </w:pPr>
            <w:r>
              <w:rPr>
                <w:rFonts w:ascii="宋体" w:hAnsi="宋体" w:eastAsia="宋体" w:cs="宋体"/>
                <w:spacing w:val="2"/>
                <w:sz w:val="20"/>
                <w:szCs w:val="20"/>
              </w:rPr>
              <w:t>阅读栏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15" w:lineRule="auto"/>
              <w:ind w:left="273"/>
              <w:rPr>
                <w:rFonts w:ascii="宋体" w:hAnsi="宋体" w:eastAsia="宋体" w:cs="宋体"/>
                <w:sz w:val="20"/>
                <w:szCs w:val="20"/>
              </w:rPr>
            </w:pPr>
            <w:r>
              <w:rPr>
                <w:rFonts w:ascii="宋体" w:hAnsi="宋体" w:eastAsia="宋体" w:cs="宋体"/>
                <w:spacing w:val="-16"/>
                <w:sz w:val="20"/>
                <w:szCs w:val="20"/>
              </w:rPr>
              <w:t>4.7</w:t>
            </w:r>
          </w:p>
        </w:tc>
        <w:tc>
          <w:tcPr>
            <w:tcW w:w="5153" w:type="dxa"/>
            <w:vAlign w:val="top"/>
          </w:tcPr>
          <w:p>
            <w:pPr>
              <w:spacing w:before="65" w:line="221" w:lineRule="auto"/>
              <w:ind w:left="429"/>
              <w:rPr>
                <w:rFonts w:ascii="宋体" w:hAnsi="宋体" w:eastAsia="宋体" w:cs="宋体"/>
                <w:sz w:val="20"/>
                <w:szCs w:val="20"/>
              </w:rPr>
            </w:pPr>
            <w:r>
              <w:rPr>
                <w:rFonts w:ascii="宋体" w:hAnsi="宋体" w:eastAsia="宋体" w:cs="宋体"/>
                <w:spacing w:val="8"/>
                <w:sz w:val="20"/>
                <w:szCs w:val="20"/>
              </w:rPr>
              <w:t>生活区衣架等设施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2"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8" w:line="216" w:lineRule="auto"/>
              <w:ind w:left="273"/>
              <w:rPr>
                <w:rFonts w:ascii="宋体" w:hAnsi="宋体" w:eastAsia="宋体" w:cs="宋体"/>
                <w:sz w:val="20"/>
                <w:szCs w:val="20"/>
              </w:rPr>
            </w:pPr>
            <w:r>
              <w:rPr>
                <w:rFonts w:ascii="宋体" w:hAnsi="宋体" w:eastAsia="宋体" w:cs="宋体"/>
                <w:spacing w:val="-16"/>
                <w:sz w:val="20"/>
                <w:szCs w:val="20"/>
              </w:rPr>
              <w:t>4.8</w:t>
            </w:r>
          </w:p>
        </w:tc>
        <w:tc>
          <w:tcPr>
            <w:tcW w:w="5153" w:type="dxa"/>
            <w:vAlign w:val="top"/>
          </w:tcPr>
          <w:p>
            <w:pPr>
              <w:spacing w:before="63" w:line="222" w:lineRule="auto"/>
              <w:ind w:left="429"/>
              <w:rPr>
                <w:rFonts w:ascii="宋体" w:hAnsi="宋体" w:eastAsia="宋体" w:cs="宋体"/>
                <w:sz w:val="20"/>
                <w:szCs w:val="20"/>
              </w:rPr>
            </w:pPr>
            <w:r>
              <w:rPr>
                <w:rFonts w:ascii="宋体" w:hAnsi="宋体" w:eastAsia="宋体" w:cs="宋体"/>
                <w:spacing w:val="8"/>
                <w:sz w:val="20"/>
                <w:szCs w:val="20"/>
              </w:rPr>
              <w:t>生活区喷绘宣传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9"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08" w:line="185" w:lineRule="auto"/>
              <w:ind w:left="273"/>
              <w:rPr>
                <w:rFonts w:ascii="宋体" w:hAnsi="宋体" w:eastAsia="宋体" w:cs="宋体"/>
                <w:sz w:val="20"/>
                <w:szCs w:val="20"/>
              </w:rPr>
            </w:pPr>
            <w:r>
              <w:rPr>
                <w:rFonts w:ascii="宋体" w:hAnsi="宋体" w:eastAsia="宋体" w:cs="宋体"/>
                <w:spacing w:val="-16"/>
                <w:sz w:val="20"/>
                <w:szCs w:val="20"/>
              </w:rPr>
              <w:t>4.9</w:t>
            </w:r>
          </w:p>
        </w:tc>
        <w:tc>
          <w:tcPr>
            <w:tcW w:w="5153" w:type="dxa"/>
            <w:vAlign w:val="top"/>
          </w:tcPr>
          <w:p>
            <w:pPr>
              <w:spacing w:before="66" w:line="218" w:lineRule="auto"/>
              <w:ind w:left="430"/>
              <w:rPr>
                <w:rFonts w:ascii="宋体" w:hAnsi="宋体" w:eastAsia="宋体" w:cs="宋体"/>
                <w:sz w:val="20"/>
                <w:szCs w:val="20"/>
              </w:rPr>
            </w:pPr>
            <w:r>
              <w:rPr>
                <w:rFonts w:ascii="宋体" w:hAnsi="宋体" w:eastAsia="宋体" w:cs="宋体"/>
                <w:spacing w:val="8"/>
                <w:sz w:val="20"/>
                <w:szCs w:val="20"/>
              </w:rPr>
              <w:t>宿舍区外墙大牌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43" w:lineRule="auto"/>
            </w:pPr>
          </w:p>
          <w:p>
            <w:pPr>
              <w:pStyle w:val="6"/>
              <w:spacing w:line="244" w:lineRule="auto"/>
            </w:pPr>
          </w:p>
          <w:p>
            <w:pPr>
              <w:pStyle w:val="6"/>
              <w:spacing w:line="244" w:lineRule="auto"/>
            </w:pPr>
          </w:p>
          <w:p>
            <w:pPr>
              <w:pStyle w:val="6"/>
              <w:spacing w:line="244" w:lineRule="auto"/>
            </w:pPr>
          </w:p>
          <w:p>
            <w:pPr>
              <w:spacing w:before="65" w:line="334" w:lineRule="auto"/>
              <w:ind w:left="407" w:right="396" w:hanging="13"/>
              <w:rPr>
                <w:rFonts w:ascii="宋体" w:hAnsi="宋体" w:eastAsia="宋体" w:cs="宋体"/>
                <w:sz w:val="20"/>
                <w:szCs w:val="20"/>
              </w:rPr>
            </w:pPr>
            <w:r>
              <w:rPr>
                <w:rFonts w:ascii="宋体" w:hAnsi="宋体" w:eastAsia="宋体" w:cs="宋体"/>
                <w:spacing w:val="8"/>
                <w:sz w:val="20"/>
                <w:szCs w:val="20"/>
              </w:rPr>
              <w:t>施工现场</w:t>
            </w:r>
            <w:r>
              <w:rPr>
                <w:rFonts w:ascii="宋体" w:hAnsi="宋体" w:eastAsia="宋体" w:cs="宋体"/>
                <w:spacing w:val="5"/>
                <w:sz w:val="20"/>
                <w:szCs w:val="20"/>
              </w:rPr>
              <w:t>临时用电</w:t>
            </w:r>
          </w:p>
        </w:tc>
        <w:tc>
          <w:tcPr>
            <w:tcW w:w="808" w:type="dxa"/>
            <w:vAlign w:val="top"/>
          </w:tcPr>
          <w:p>
            <w:pPr>
              <w:spacing w:before="108" w:line="227" w:lineRule="auto"/>
              <w:ind w:left="220"/>
              <w:rPr>
                <w:rFonts w:ascii="宋体" w:hAnsi="宋体" w:eastAsia="宋体" w:cs="宋体"/>
                <w:sz w:val="20"/>
                <w:szCs w:val="20"/>
              </w:rPr>
            </w:pPr>
            <w:r>
              <w:rPr>
                <w:rFonts w:ascii="宋体" w:hAnsi="宋体" w:eastAsia="宋体" w:cs="宋体"/>
                <w:spacing w:val="-10"/>
                <w:sz w:val="20"/>
                <w:szCs w:val="20"/>
              </w:rPr>
              <w:t>4.10</w:t>
            </w:r>
          </w:p>
        </w:tc>
        <w:tc>
          <w:tcPr>
            <w:tcW w:w="5153" w:type="dxa"/>
            <w:vAlign w:val="top"/>
          </w:tcPr>
          <w:p>
            <w:pPr>
              <w:spacing w:before="114" w:line="219" w:lineRule="auto"/>
              <w:ind w:left="430"/>
              <w:rPr>
                <w:rFonts w:ascii="宋体" w:hAnsi="宋体" w:eastAsia="宋体" w:cs="宋体"/>
                <w:sz w:val="20"/>
                <w:szCs w:val="20"/>
              </w:rPr>
            </w:pPr>
            <w:r>
              <w:rPr>
                <w:rFonts w:ascii="宋体" w:hAnsi="宋体" w:eastAsia="宋体" w:cs="宋体"/>
                <w:spacing w:val="8"/>
                <w:sz w:val="20"/>
                <w:szCs w:val="20"/>
              </w:rPr>
              <w:t>配电线路电缆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26" w:lineRule="auto"/>
              <w:ind w:left="220"/>
              <w:rPr>
                <w:rFonts w:ascii="宋体" w:hAnsi="宋体" w:eastAsia="宋体" w:cs="宋体"/>
                <w:sz w:val="20"/>
                <w:szCs w:val="20"/>
              </w:rPr>
            </w:pPr>
            <w:r>
              <w:rPr>
                <w:rFonts w:ascii="宋体" w:hAnsi="宋体" w:eastAsia="宋体" w:cs="宋体"/>
                <w:spacing w:val="-10"/>
                <w:sz w:val="20"/>
                <w:szCs w:val="20"/>
              </w:rPr>
              <w:t>4.11</w:t>
            </w:r>
          </w:p>
        </w:tc>
        <w:tc>
          <w:tcPr>
            <w:tcW w:w="5153" w:type="dxa"/>
            <w:vAlign w:val="top"/>
          </w:tcPr>
          <w:p>
            <w:pPr>
              <w:spacing w:before="114" w:line="219" w:lineRule="auto"/>
              <w:ind w:left="430"/>
              <w:rPr>
                <w:rFonts w:ascii="宋体" w:hAnsi="宋体" w:eastAsia="宋体" w:cs="宋体"/>
                <w:sz w:val="20"/>
                <w:szCs w:val="20"/>
              </w:rPr>
            </w:pPr>
            <w:r>
              <w:rPr>
                <w:rFonts w:ascii="宋体" w:hAnsi="宋体" w:eastAsia="宋体" w:cs="宋体"/>
                <w:spacing w:val="8"/>
                <w:sz w:val="20"/>
                <w:szCs w:val="20"/>
              </w:rPr>
              <w:t>配电总箱及维护架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09" w:line="226" w:lineRule="auto"/>
              <w:ind w:left="220"/>
              <w:rPr>
                <w:rFonts w:ascii="宋体" w:hAnsi="宋体" w:eastAsia="宋体" w:cs="宋体"/>
                <w:sz w:val="20"/>
                <w:szCs w:val="20"/>
              </w:rPr>
            </w:pPr>
            <w:r>
              <w:rPr>
                <w:rFonts w:ascii="宋体" w:hAnsi="宋体" w:eastAsia="宋体" w:cs="宋体"/>
                <w:spacing w:val="-10"/>
                <w:sz w:val="20"/>
                <w:szCs w:val="20"/>
              </w:rPr>
              <w:t>4.12</w:t>
            </w:r>
          </w:p>
        </w:tc>
        <w:tc>
          <w:tcPr>
            <w:tcW w:w="5153" w:type="dxa"/>
            <w:vAlign w:val="top"/>
          </w:tcPr>
          <w:p>
            <w:pPr>
              <w:spacing w:before="115" w:line="220" w:lineRule="auto"/>
              <w:ind w:left="430"/>
              <w:rPr>
                <w:rFonts w:ascii="宋体" w:hAnsi="宋体" w:eastAsia="宋体" w:cs="宋体"/>
                <w:sz w:val="20"/>
                <w:szCs w:val="20"/>
              </w:rPr>
            </w:pPr>
            <w:r>
              <w:rPr>
                <w:rFonts w:ascii="宋体" w:hAnsi="宋体" w:eastAsia="宋体" w:cs="宋体"/>
                <w:spacing w:val="8"/>
                <w:sz w:val="20"/>
                <w:szCs w:val="20"/>
              </w:rPr>
              <w:t>配电分箱及维护架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3" w:lineRule="auto"/>
              <w:ind w:left="220"/>
              <w:rPr>
                <w:rFonts w:ascii="宋体" w:hAnsi="宋体" w:eastAsia="宋体" w:cs="宋体"/>
                <w:sz w:val="20"/>
                <w:szCs w:val="20"/>
              </w:rPr>
            </w:pPr>
            <w:r>
              <w:rPr>
                <w:rFonts w:ascii="宋体" w:hAnsi="宋体" w:eastAsia="宋体" w:cs="宋体"/>
                <w:spacing w:val="-10"/>
                <w:sz w:val="20"/>
                <w:szCs w:val="20"/>
              </w:rPr>
              <w:t>4.13</w:t>
            </w:r>
          </w:p>
        </w:tc>
        <w:tc>
          <w:tcPr>
            <w:tcW w:w="5153" w:type="dxa"/>
            <w:vAlign w:val="top"/>
          </w:tcPr>
          <w:p>
            <w:pPr>
              <w:spacing w:before="117" w:line="218" w:lineRule="auto"/>
              <w:ind w:left="430"/>
              <w:rPr>
                <w:rFonts w:ascii="宋体" w:hAnsi="宋体" w:eastAsia="宋体" w:cs="宋体"/>
                <w:sz w:val="20"/>
                <w:szCs w:val="20"/>
              </w:rPr>
            </w:pPr>
            <w:r>
              <w:rPr>
                <w:rFonts w:ascii="宋体" w:hAnsi="宋体" w:eastAsia="宋体" w:cs="宋体"/>
                <w:spacing w:val="9"/>
                <w:sz w:val="20"/>
                <w:szCs w:val="20"/>
              </w:rPr>
              <w:t>配电开关箱及维护架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23" w:lineRule="auto"/>
              <w:ind w:left="220"/>
              <w:rPr>
                <w:rFonts w:ascii="宋体" w:hAnsi="宋体" w:eastAsia="宋体" w:cs="宋体"/>
                <w:sz w:val="20"/>
                <w:szCs w:val="20"/>
              </w:rPr>
            </w:pPr>
            <w:r>
              <w:rPr>
                <w:rFonts w:ascii="宋体" w:hAnsi="宋体" w:eastAsia="宋体" w:cs="宋体"/>
                <w:spacing w:val="-10"/>
                <w:sz w:val="20"/>
                <w:szCs w:val="20"/>
              </w:rPr>
              <w:t>4.14</w:t>
            </w:r>
          </w:p>
        </w:tc>
        <w:tc>
          <w:tcPr>
            <w:tcW w:w="5153" w:type="dxa"/>
            <w:vAlign w:val="top"/>
          </w:tcPr>
          <w:p>
            <w:pPr>
              <w:spacing w:before="117" w:line="219" w:lineRule="auto"/>
              <w:ind w:left="428"/>
              <w:rPr>
                <w:rFonts w:ascii="宋体" w:hAnsi="宋体" w:eastAsia="宋体" w:cs="宋体"/>
                <w:sz w:val="20"/>
                <w:szCs w:val="20"/>
              </w:rPr>
            </w:pPr>
            <w:r>
              <w:rPr>
                <w:rFonts w:ascii="宋体" w:hAnsi="宋体" w:eastAsia="宋体" w:cs="宋体"/>
                <w:spacing w:val="8"/>
                <w:sz w:val="20"/>
                <w:szCs w:val="20"/>
              </w:rPr>
              <w:t>接地保护装置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4.15</w:t>
            </w:r>
          </w:p>
        </w:tc>
        <w:tc>
          <w:tcPr>
            <w:tcW w:w="5153" w:type="dxa"/>
            <w:vAlign w:val="top"/>
          </w:tcPr>
          <w:p>
            <w:pPr>
              <w:spacing w:before="117" w:line="219" w:lineRule="auto"/>
              <w:ind w:left="426"/>
              <w:rPr>
                <w:rFonts w:ascii="宋体" w:hAnsi="宋体" w:eastAsia="宋体" w:cs="宋体"/>
                <w:sz w:val="20"/>
                <w:szCs w:val="20"/>
              </w:rPr>
            </w:pPr>
            <w:r>
              <w:rPr>
                <w:rFonts w:ascii="宋体" w:hAnsi="宋体" w:eastAsia="宋体" w:cs="宋体"/>
                <w:spacing w:val="9"/>
                <w:sz w:val="20"/>
                <w:szCs w:val="20"/>
              </w:rPr>
              <w:t>漏电开关保护装置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4.16</w:t>
            </w:r>
          </w:p>
        </w:tc>
        <w:tc>
          <w:tcPr>
            <w:tcW w:w="5153" w:type="dxa"/>
            <w:vAlign w:val="top"/>
          </w:tcPr>
          <w:p>
            <w:pPr>
              <w:spacing w:before="116" w:line="220" w:lineRule="auto"/>
              <w:ind w:left="446"/>
              <w:rPr>
                <w:rFonts w:ascii="宋体" w:hAnsi="宋体" w:eastAsia="宋体" w:cs="宋体"/>
                <w:sz w:val="20"/>
                <w:szCs w:val="20"/>
              </w:rPr>
            </w:pPr>
            <w:r>
              <w:rPr>
                <w:rFonts w:ascii="宋体" w:hAnsi="宋体" w:eastAsia="宋体" w:cs="宋体"/>
                <w:spacing w:val="5"/>
                <w:sz w:val="20"/>
                <w:szCs w:val="20"/>
              </w:rPr>
              <w:t>电源线路敷设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428" w:lineRule="auto"/>
            </w:pPr>
          </w:p>
          <w:p>
            <w:pPr>
              <w:spacing w:before="65" w:line="334" w:lineRule="auto"/>
              <w:ind w:left="407" w:right="396" w:hanging="13"/>
              <w:rPr>
                <w:rFonts w:ascii="宋体" w:hAnsi="宋体" w:eastAsia="宋体" w:cs="宋体"/>
                <w:sz w:val="20"/>
                <w:szCs w:val="20"/>
              </w:rPr>
            </w:pPr>
            <w:r>
              <w:rPr>
                <w:rFonts w:ascii="宋体" w:hAnsi="宋体" w:eastAsia="宋体" w:cs="宋体"/>
                <w:spacing w:val="8"/>
                <w:sz w:val="20"/>
                <w:szCs w:val="20"/>
              </w:rPr>
              <w:t>施工现场</w:t>
            </w:r>
            <w:r>
              <w:rPr>
                <w:rFonts w:ascii="宋体" w:hAnsi="宋体" w:eastAsia="宋体" w:cs="宋体"/>
                <w:spacing w:val="5"/>
                <w:sz w:val="20"/>
                <w:szCs w:val="20"/>
              </w:rPr>
              <w:t>临时用水</w:t>
            </w: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4.17</w:t>
            </w:r>
          </w:p>
        </w:tc>
        <w:tc>
          <w:tcPr>
            <w:tcW w:w="5153" w:type="dxa"/>
            <w:vAlign w:val="top"/>
          </w:tcPr>
          <w:p>
            <w:pPr>
              <w:spacing w:before="116" w:line="219" w:lineRule="auto"/>
              <w:ind w:left="425"/>
              <w:rPr>
                <w:rFonts w:ascii="宋体" w:hAnsi="宋体" w:eastAsia="宋体" w:cs="宋体"/>
                <w:sz w:val="20"/>
                <w:szCs w:val="20"/>
              </w:rPr>
            </w:pPr>
            <w:r>
              <w:rPr>
                <w:rFonts w:ascii="宋体" w:hAnsi="宋体" w:eastAsia="宋体" w:cs="宋体"/>
                <w:spacing w:val="9"/>
                <w:sz w:val="20"/>
                <w:szCs w:val="20"/>
              </w:rPr>
              <w:t>施工现场饮用水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20"/>
              <w:rPr>
                <w:rFonts w:ascii="宋体" w:hAnsi="宋体" w:eastAsia="宋体" w:cs="宋体"/>
                <w:sz w:val="20"/>
                <w:szCs w:val="20"/>
              </w:rPr>
            </w:pPr>
            <w:r>
              <w:rPr>
                <w:rFonts w:ascii="宋体" w:hAnsi="宋体" w:eastAsia="宋体" w:cs="宋体"/>
                <w:spacing w:val="-10"/>
                <w:sz w:val="20"/>
                <w:szCs w:val="20"/>
              </w:rPr>
              <w:t>4.18</w:t>
            </w:r>
          </w:p>
        </w:tc>
        <w:tc>
          <w:tcPr>
            <w:tcW w:w="5153" w:type="dxa"/>
            <w:vAlign w:val="top"/>
          </w:tcPr>
          <w:p>
            <w:pPr>
              <w:spacing w:before="116" w:line="218" w:lineRule="auto"/>
              <w:ind w:left="429"/>
              <w:rPr>
                <w:rFonts w:ascii="宋体" w:hAnsi="宋体" w:eastAsia="宋体" w:cs="宋体"/>
                <w:sz w:val="20"/>
                <w:szCs w:val="20"/>
              </w:rPr>
            </w:pPr>
            <w:r>
              <w:rPr>
                <w:rFonts w:ascii="宋体" w:hAnsi="宋体" w:eastAsia="宋体" w:cs="宋体"/>
                <w:spacing w:val="7"/>
                <w:sz w:val="20"/>
                <w:szCs w:val="20"/>
              </w:rPr>
              <w:t>生活用水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23" w:lineRule="auto"/>
              <w:ind w:left="220"/>
              <w:rPr>
                <w:rFonts w:ascii="宋体" w:hAnsi="宋体" w:eastAsia="宋体" w:cs="宋体"/>
                <w:sz w:val="20"/>
                <w:szCs w:val="20"/>
              </w:rPr>
            </w:pPr>
            <w:r>
              <w:rPr>
                <w:rFonts w:ascii="宋体" w:hAnsi="宋体" w:eastAsia="宋体" w:cs="宋体"/>
                <w:spacing w:val="-10"/>
                <w:sz w:val="20"/>
                <w:szCs w:val="20"/>
              </w:rPr>
              <w:t>4.19</w:t>
            </w:r>
          </w:p>
        </w:tc>
        <w:tc>
          <w:tcPr>
            <w:tcW w:w="5153" w:type="dxa"/>
            <w:vAlign w:val="top"/>
          </w:tcPr>
          <w:p>
            <w:pPr>
              <w:spacing w:before="118" w:line="218" w:lineRule="auto"/>
              <w:ind w:left="425"/>
              <w:rPr>
                <w:rFonts w:ascii="宋体" w:hAnsi="宋体" w:eastAsia="宋体" w:cs="宋体"/>
                <w:sz w:val="20"/>
                <w:szCs w:val="20"/>
              </w:rPr>
            </w:pPr>
            <w:r>
              <w:rPr>
                <w:rFonts w:ascii="宋体" w:hAnsi="宋体" w:eastAsia="宋体" w:cs="宋体"/>
                <w:spacing w:val="8"/>
                <w:sz w:val="20"/>
                <w:szCs w:val="20"/>
              </w:rPr>
              <w:t>施工用水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3" w:line="223" w:lineRule="auto"/>
              <w:ind w:left="220"/>
              <w:rPr>
                <w:rFonts w:ascii="宋体" w:hAnsi="宋体" w:eastAsia="宋体" w:cs="宋体"/>
                <w:sz w:val="20"/>
                <w:szCs w:val="20"/>
              </w:rPr>
            </w:pPr>
            <w:r>
              <w:rPr>
                <w:rFonts w:ascii="宋体" w:hAnsi="宋体" w:eastAsia="宋体" w:cs="宋体"/>
                <w:spacing w:val="-10"/>
                <w:sz w:val="20"/>
                <w:szCs w:val="20"/>
              </w:rPr>
              <w:t>4.20</w:t>
            </w:r>
          </w:p>
        </w:tc>
        <w:tc>
          <w:tcPr>
            <w:tcW w:w="5153" w:type="dxa"/>
            <w:vAlign w:val="top"/>
          </w:tcPr>
          <w:p>
            <w:pPr>
              <w:spacing w:before="104" w:line="231" w:lineRule="auto"/>
              <w:ind w:left="439"/>
              <w:rPr>
                <w:rFonts w:ascii="宋体" w:hAnsi="宋体" w:eastAsia="宋体" w:cs="宋体"/>
                <w:sz w:val="20"/>
                <w:szCs w:val="20"/>
              </w:rPr>
            </w:pPr>
            <w:r>
              <w:rPr>
                <w:rFonts w:ascii="宋体" w:hAnsi="宋体" w:eastAsia="宋体" w:cs="宋体"/>
                <w:spacing w:val="7"/>
                <w:sz w:val="20"/>
                <w:szCs w:val="20"/>
              </w:rPr>
              <w:t>临时给排水设施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restart"/>
            <w:tcBorders>
              <w:bottom w:val="nil"/>
            </w:tcBorders>
            <w:vAlign w:val="top"/>
          </w:tcPr>
          <w:p>
            <w:pPr>
              <w:pStyle w:val="6"/>
              <w:spacing w:line="267" w:lineRule="auto"/>
            </w:pPr>
          </w:p>
          <w:p>
            <w:pPr>
              <w:pStyle w:val="6"/>
              <w:spacing w:line="267" w:lineRule="auto"/>
            </w:pPr>
          </w:p>
          <w:p>
            <w:pPr>
              <w:pStyle w:val="6"/>
              <w:spacing w:line="268" w:lineRule="auto"/>
            </w:pPr>
          </w:p>
          <w:p>
            <w:pPr>
              <w:pStyle w:val="6"/>
              <w:spacing w:line="268" w:lineRule="auto"/>
            </w:pPr>
          </w:p>
          <w:p>
            <w:pPr>
              <w:pStyle w:val="6"/>
              <w:spacing w:line="268" w:lineRule="auto"/>
            </w:pPr>
          </w:p>
          <w:p>
            <w:pPr>
              <w:spacing w:before="65" w:line="222" w:lineRule="auto"/>
              <w:ind w:left="395"/>
              <w:rPr>
                <w:rFonts w:ascii="宋体" w:hAnsi="宋体" w:eastAsia="宋体" w:cs="宋体"/>
                <w:sz w:val="20"/>
                <w:szCs w:val="20"/>
              </w:rPr>
            </w:pPr>
            <w:r>
              <w:rPr>
                <w:rFonts w:ascii="宋体" w:hAnsi="宋体" w:eastAsia="宋体" w:cs="宋体"/>
                <w:spacing w:val="8"/>
                <w:sz w:val="20"/>
                <w:szCs w:val="20"/>
              </w:rPr>
              <w:t>其他补充</w:t>
            </w: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4.21</w:t>
            </w:r>
          </w:p>
        </w:tc>
        <w:tc>
          <w:tcPr>
            <w:tcW w:w="5153" w:type="dxa"/>
            <w:vAlign w:val="top"/>
          </w:tcPr>
          <w:p>
            <w:pPr>
              <w:spacing w:before="117" w:line="219" w:lineRule="auto"/>
              <w:ind w:left="427"/>
              <w:rPr>
                <w:rFonts w:ascii="宋体" w:hAnsi="宋体" w:eastAsia="宋体" w:cs="宋体"/>
                <w:sz w:val="20"/>
                <w:szCs w:val="20"/>
              </w:rPr>
            </w:pPr>
            <w:r>
              <w:rPr>
                <w:rFonts w:ascii="宋体" w:hAnsi="宋体" w:eastAsia="宋体" w:cs="宋体"/>
                <w:spacing w:val="9"/>
                <w:sz w:val="20"/>
                <w:szCs w:val="20"/>
              </w:rPr>
              <w:t>木工棚、钢筋棚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4.22</w:t>
            </w:r>
          </w:p>
        </w:tc>
        <w:tc>
          <w:tcPr>
            <w:tcW w:w="5153" w:type="dxa"/>
            <w:vAlign w:val="top"/>
          </w:tcPr>
          <w:p>
            <w:pPr>
              <w:spacing w:before="119" w:line="216" w:lineRule="auto"/>
              <w:ind w:left="426"/>
              <w:rPr>
                <w:rFonts w:ascii="宋体" w:hAnsi="宋体" w:eastAsia="宋体" w:cs="宋体"/>
                <w:sz w:val="20"/>
                <w:szCs w:val="20"/>
              </w:rPr>
            </w:pPr>
            <w:r>
              <w:rPr>
                <w:rFonts w:ascii="宋体" w:hAnsi="宋体" w:eastAsia="宋体" w:cs="宋体"/>
                <w:spacing w:val="8"/>
                <w:sz w:val="20"/>
                <w:szCs w:val="20"/>
              </w:rPr>
              <w:t>太阳能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4.23</w:t>
            </w:r>
          </w:p>
        </w:tc>
        <w:tc>
          <w:tcPr>
            <w:tcW w:w="5153" w:type="dxa"/>
            <w:vAlign w:val="top"/>
          </w:tcPr>
          <w:p>
            <w:pPr>
              <w:spacing w:before="117" w:line="219" w:lineRule="auto"/>
              <w:ind w:left="430"/>
              <w:rPr>
                <w:rFonts w:ascii="宋体" w:hAnsi="宋体" w:eastAsia="宋体" w:cs="宋体"/>
                <w:sz w:val="20"/>
                <w:szCs w:val="20"/>
              </w:rPr>
            </w:pPr>
            <w:r>
              <w:rPr>
                <w:rFonts w:ascii="宋体" w:hAnsi="宋体" w:eastAsia="宋体" w:cs="宋体"/>
                <w:spacing w:val="6"/>
                <w:sz w:val="20"/>
                <w:szCs w:val="20"/>
              </w:rPr>
              <w:t>空气能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1" w:line="225" w:lineRule="auto"/>
              <w:ind w:left="220"/>
              <w:rPr>
                <w:rFonts w:ascii="宋体" w:hAnsi="宋体" w:eastAsia="宋体" w:cs="宋体"/>
                <w:sz w:val="20"/>
                <w:szCs w:val="20"/>
              </w:rPr>
            </w:pPr>
            <w:r>
              <w:rPr>
                <w:rFonts w:ascii="宋体" w:hAnsi="宋体" w:eastAsia="宋体" w:cs="宋体"/>
                <w:spacing w:val="-10"/>
                <w:sz w:val="20"/>
                <w:szCs w:val="20"/>
              </w:rPr>
              <w:t>4.24</w:t>
            </w:r>
          </w:p>
        </w:tc>
        <w:tc>
          <w:tcPr>
            <w:tcW w:w="5153" w:type="dxa"/>
            <w:vAlign w:val="top"/>
          </w:tcPr>
          <w:p>
            <w:pPr>
              <w:spacing w:before="119" w:line="215" w:lineRule="auto"/>
              <w:ind w:left="429"/>
              <w:rPr>
                <w:rFonts w:ascii="宋体" w:hAnsi="宋体" w:eastAsia="宋体" w:cs="宋体"/>
                <w:sz w:val="20"/>
                <w:szCs w:val="20"/>
              </w:rPr>
            </w:pPr>
            <w:r>
              <w:rPr>
                <w:rFonts w:ascii="宋体" w:hAnsi="宋体" w:eastAsia="宋体" w:cs="宋体"/>
                <w:spacing w:val="8"/>
                <w:sz w:val="20"/>
                <w:szCs w:val="20"/>
              </w:rPr>
              <w:t>办公区及生活用电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23" w:lineRule="auto"/>
              <w:ind w:left="220"/>
              <w:rPr>
                <w:rFonts w:ascii="宋体" w:hAnsi="宋体" w:eastAsia="宋体" w:cs="宋体"/>
                <w:sz w:val="20"/>
                <w:szCs w:val="20"/>
              </w:rPr>
            </w:pPr>
            <w:r>
              <w:rPr>
                <w:rFonts w:ascii="宋体" w:hAnsi="宋体" w:eastAsia="宋体" w:cs="宋体"/>
                <w:spacing w:val="-10"/>
                <w:sz w:val="20"/>
                <w:szCs w:val="20"/>
              </w:rPr>
              <w:t>4.25</w:t>
            </w:r>
          </w:p>
        </w:tc>
        <w:tc>
          <w:tcPr>
            <w:tcW w:w="5153" w:type="dxa"/>
            <w:vAlign w:val="top"/>
          </w:tcPr>
          <w:p>
            <w:pPr>
              <w:spacing w:before="117" w:line="219" w:lineRule="auto"/>
              <w:ind w:left="427"/>
              <w:rPr>
                <w:rFonts w:ascii="宋体" w:hAnsi="宋体" w:eastAsia="宋体" w:cs="宋体"/>
                <w:sz w:val="20"/>
                <w:szCs w:val="20"/>
              </w:rPr>
            </w:pPr>
            <w:r>
              <w:rPr>
                <w:rFonts w:ascii="宋体" w:hAnsi="宋体" w:eastAsia="宋体" w:cs="宋体"/>
                <w:spacing w:val="9"/>
                <w:sz w:val="20"/>
                <w:szCs w:val="20"/>
              </w:rPr>
              <w:t>工人宿舍场外租赁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3" w:line="223" w:lineRule="auto"/>
              <w:ind w:left="220"/>
              <w:rPr>
                <w:rFonts w:ascii="宋体" w:hAnsi="宋体" w:eastAsia="宋体" w:cs="宋体"/>
                <w:sz w:val="20"/>
                <w:szCs w:val="20"/>
              </w:rPr>
            </w:pPr>
            <w:r>
              <w:rPr>
                <w:rFonts w:ascii="宋体" w:hAnsi="宋体" w:eastAsia="宋体" w:cs="宋体"/>
                <w:spacing w:val="-10"/>
                <w:sz w:val="20"/>
                <w:szCs w:val="20"/>
              </w:rPr>
              <w:t>4.26</w:t>
            </w:r>
          </w:p>
        </w:tc>
        <w:tc>
          <w:tcPr>
            <w:tcW w:w="5153" w:type="dxa"/>
            <w:vAlign w:val="top"/>
          </w:tcPr>
          <w:p>
            <w:pPr>
              <w:spacing w:before="120" w:line="215" w:lineRule="auto"/>
              <w:ind w:left="439"/>
              <w:rPr>
                <w:rFonts w:ascii="宋体" w:hAnsi="宋体" w:eastAsia="宋体" w:cs="宋体"/>
                <w:sz w:val="20"/>
                <w:szCs w:val="20"/>
              </w:rPr>
            </w:pPr>
            <w:r>
              <w:rPr>
                <w:rFonts w:ascii="宋体" w:hAnsi="宋体" w:eastAsia="宋体" w:cs="宋体"/>
                <w:spacing w:val="5"/>
                <w:sz w:val="20"/>
                <w:szCs w:val="20"/>
              </w:rPr>
              <w:t>临时用电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487" w:type="dxa"/>
            <w:vMerge w:val="continue"/>
            <w:tcBorders>
              <w:top w:val="nil"/>
              <w:bottom w:val="nil"/>
            </w:tcBorders>
            <w:vAlign w:val="top"/>
          </w:tcPr>
          <w:p>
            <w:pPr>
              <w:pStyle w:val="6"/>
            </w:pPr>
          </w:p>
        </w:tc>
        <w:tc>
          <w:tcPr>
            <w:tcW w:w="1631" w:type="dxa"/>
            <w:vMerge w:val="continue"/>
            <w:tcBorders>
              <w:top w:val="nil"/>
              <w:bottom w:val="nil"/>
            </w:tcBorders>
            <w:vAlign w:val="top"/>
          </w:tcPr>
          <w:p>
            <w:pPr>
              <w:pStyle w:val="6"/>
            </w:pPr>
          </w:p>
        </w:tc>
        <w:tc>
          <w:tcPr>
            <w:tcW w:w="808" w:type="dxa"/>
            <w:vAlign w:val="top"/>
          </w:tcPr>
          <w:p>
            <w:pPr>
              <w:spacing w:before="112" w:line="224" w:lineRule="auto"/>
              <w:ind w:left="220"/>
              <w:rPr>
                <w:rFonts w:ascii="宋体" w:hAnsi="宋体" w:eastAsia="宋体" w:cs="宋体"/>
                <w:sz w:val="20"/>
                <w:szCs w:val="20"/>
              </w:rPr>
            </w:pPr>
            <w:r>
              <w:rPr>
                <w:rFonts w:ascii="宋体" w:hAnsi="宋体" w:eastAsia="宋体" w:cs="宋体"/>
                <w:spacing w:val="-10"/>
                <w:sz w:val="20"/>
                <w:szCs w:val="20"/>
              </w:rPr>
              <w:t>4.27</w:t>
            </w:r>
          </w:p>
        </w:tc>
        <w:tc>
          <w:tcPr>
            <w:tcW w:w="5153" w:type="dxa"/>
            <w:vAlign w:val="top"/>
          </w:tcPr>
          <w:p>
            <w:pPr>
              <w:spacing w:before="116" w:line="220" w:lineRule="auto"/>
              <w:ind w:left="427"/>
              <w:rPr>
                <w:rFonts w:ascii="宋体" w:hAnsi="宋体" w:eastAsia="宋体" w:cs="宋体"/>
                <w:sz w:val="20"/>
                <w:szCs w:val="20"/>
              </w:rPr>
            </w:pPr>
            <w:r>
              <w:rPr>
                <w:rFonts w:ascii="宋体" w:hAnsi="宋体" w:eastAsia="宋体" w:cs="宋体"/>
                <w:spacing w:val="9"/>
                <w:sz w:val="20"/>
                <w:szCs w:val="20"/>
              </w:rPr>
              <w:t>化粪池、仓库、楼层临时厕所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1487" w:type="dxa"/>
            <w:vMerge w:val="continue"/>
            <w:tcBorders>
              <w:top w:val="nil"/>
            </w:tcBorders>
            <w:vAlign w:val="top"/>
          </w:tcPr>
          <w:p>
            <w:pPr>
              <w:pStyle w:val="6"/>
            </w:pPr>
          </w:p>
        </w:tc>
        <w:tc>
          <w:tcPr>
            <w:tcW w:w="1631" w:type="dxa"/>
            <w:vMerge w:val="continue"/>
            <w:tcBorders>
              <w:top w:val="nil"/>
            </w:tcBorders>
            <w:vAlign w:val="top"/>
          </w:tcPr>
          <w:p>
            <w:pPr>
              <w:pStyle w:val="6"/>
            </w:pPr>
          </w:p>
        </w:tc>
        <w:tc>
          <w:tcPr>
            <w:tcW w:w="808" w:type="dxa"/>
            <w:vAlign w:val="top"/>
          </w:tcPr>
          <w:p>
            <w:pPr>
              <w:spacing w:before="111" w:line="228" w:lineRule="auto"/>
              <w:ind w:left="220"/>
              <w:rPr>
                <w:rFonts w:ascii="宋体" w:hAnsi="宋体" w:eastAsia="宋体" w:cs="宋体"/>
                <w:sz w:val="20"/>
                <w:szCs w:val="20"/>
              </w:rPr>
            </w:pPr>
            <w:r>
              <w:rPr>
                <w:rFonts w:ascii="宋体" w:hAnsi="宋体" w:eastAsia="宋体" w:cs="宋体"/>
                <w:spacing w:val="-10"/>
                <w:sz w:val="20"/>
                <w:szCs w:val="20"/>
              </w:rPr>
              <w:t>4.28</w:t>
            </w:r>
          </w:p>
        </w:tc>
        <w:tc>
          <w:tcPr>
            <w:tcW w:w="5153" w:type="dxa"/>
            <w:vAlign w:val="top"/>
          </w:tcPr>
          <w:p>
            <w:pPr>
              <w:spacing w:before="119" w:line="216" w:lineRule="auto"/>
              <w:ind w:left="429"/>
              <w:rPr>
                <w:rFonts w:ascii="宋体" w:hAnsi="宋体" w:eastAsia="宋体" w:cs="宋体"/>
                <w:sz w:val="20"/>
                <w:szCs w:val="20"/>
              </w:rPr>
            </w:pPr>
            <w:r>
              <w:rPr>
                <w:rFonts w:ascii="宋体" w:hAnsi="宋体" w:eastAsia="宋体" w:cs="宋体"/>
                <w:spacing w:val="7"/>
                <w:sz w:val="20"/>
                <w:szCs w:val="20"/>
              </w:rPr>
              <w:t>变频柜</w:t>
            </w:r>
          </w:p>
        </w:tc>
      </w:tr>
    </w:tbl>
    <w:p>
      <w:pPr>
        <w:rPr>
          <w:rFonts w:ascii="Arial"/>
          <w:sz w:val="21"/>
        </w:rPr>
      </w:pPr>
    </w:p>
    <w:p>
      <w:pPr>
        <w:rPr>
          <w:rFonts w:ascii="Arial" w:hAnsi="Arial" w:eastAsia="Arial" w:cs="Arial"/>
          <w:sz w:val="21"/>
          <w:szCs w:val="21"/>
        </w:rPr>
        <w:sectPr>
          <w:footerReference r:id="rId114" w:type="default"/>
          <w:pgSz w:w="11905" w:h="16840"/>
          <w:pgMar w:top="400" w:right="1402" w:bottom="1213" w:left="1418" w:header="0" w:footer="898" w:gutter="0"/>
        </w:sect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before="98" w:line="202" w:lineRule="auto"/>
        <w:ind w:left="2406"/>
        <w:outlineLvl w:val="1"/>
        <w:rPr>
          <w:rFonts w:ascii="宋体" w:hAnsi="宋体" w:eastAsia="宋体" w:cs="宋体"/>
          <w:sz w:val="30"/>
          <w:szCs w:val="30"/>
        </w:rPr>
      </w:pPr>
      <w:bookmarkStart w:id="69" w:name="bookmark46"/>
      <w:bookmarkEnd w:id="69"/>
      <w:bookmarkStart w:id="70" w:name="bookmark45"/>
      <w:bookmarkEnd w:id="70"/>
      <w:r>
        <w:rPr>
          <w:rFonts w:ascii="宋体" w:hAnsi="宋体" w:eastAsia="宋体" w:cs="宋体"/>
          <w:b/>
          <w:bCs/>
          <w:spacing w:val="-3"/>
          <w:sz w:val="30"/>
          <w:szCs w:val="30"/>
        </w:rPr>
        <w:t>第二节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建设工程费用计算程序</w:t>
      </w:r>
    </w:p>
    <w:tbl>
      <w:tblPr>
        <w:tblStyle w:val="5"/>
        <w:tblW w:w="941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2"/>
        <w:gridCol w:w="2443"/>
        <w:gridCol w:w="62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682" w:type="dxa"/>
            <w:tcBorders>
              <w:top w:val="single" w:color="000000" w:sz="6" w:space="0"/>
              <w:left w:val="single" w:color="000000" w:sz="6" w:space="0"/>
            </w:tcBorders>
            <w:vAlign w:val="top"/>
          </w:tcPr>
          <w:p>
            <w:pPr>
              <w:spacing w:before="125" w:line="189" w:lineRule="auto"/>
              <w:ind w:left="146"/>
              <w:rPr>
                <w:rFonts w:ascii="微软雅黑" w:hAnsi="微软雅黑" w:eastAsia="微软雅黑" w:cs="微软雅黑"/>
                <w:sz w:val="20"/>
                <w:szCs w:val="20"/>
              </w:rPr>
            </w:pPr>
            <w:r>
              <w:rPr>
                <w:rFonts w:ascii="微软雅黑" w:hAnsi="微软雅黑" w:eastAsia="微软雅黑" w:cs="微软雅黑"/>
                <w:spacing w:val="2"/>
                <w:sz w:val="20"/>
                <w:szCs w:val="20"/>
              </w:rPr>
              <w:t>序号</w:t>
            </w:r>
          </w:p>
        </w:tc>
        <w:tc>
          <w:tcPr>
            <w:tcW w:w="2443" w:type="dxa"/>
            <w:tcBorders>
              <w:top w:val="single" w:color="000000" w:sz="6" w:space="0"/>
            </w:tcBorders>
            <w:vAlign w:val="top"/>
          </w:tcPr>
          <w:p>
            <w:pPr>
              <w:spacing w:before="125" w:line="189" w:lineRule="auto"/>
              <w:ind w:left="597"/>
              <w:rPr>
                <w:rFonts w:ascii="微软雅黑" w:hAnsi="微软雅黑" w:eastAsia="微软雅黑" w:cs="微软雅黑"/>
                <w:sz w:val="20"/>
                <w:szCs w:val="20"/>
              </w:rPr>
            </w:pPr>
            <w:r>
              <w:rPr>
                <w:rFonts w:ascii="微软雅黑" w:hAnsi="微软雅黑" w:eastAsia="微软雅黑" w:cs="微软雅黑"/>
                <w:spacing w:val="7"/>
                <w:sz w:val="20"/>
                <w:szCs w:val="20"/>
              </w:rPr>
              <w:t>费用项目名称</w:t>
            </w:r>
          </w:p>
        </w:tc>
        <w:tc>
          <w:tcPr>
            <w:tcW w:w="6289" w:type="dxa"/>
            <w:tcBorders>
              <w:top w:val="single" w:color="000000" w:sz="6" w:space="0"/>
              <w:right w:val="single" w:color="000000" w:sz="6" w:space="0"/>
            </w:tcBorders>
            <w:vAlign w:val="top"/>
          </w:tcPr>
          <w:p>
            <w:pPr>
              <w:spacing w:before="125" w:line="189" w:lineRule="auto"/>
              <w:ind w:left="2570"/>
              <w:rPr>
                <w:rFonts w:ascii="微软雅黑" w:hAnsi="微软雅黑" w:eastAsia="微软雅黑" w:cs="微软雅黑"/>
                <w:sz w:val="20"/>
                <w:szCs w:val="20"/>
              </w:rPr>
            </w:pPr>
            <w:r>
              <w:rPr>
                <w:rFonts w:ascii="微软雅黑" w:hAnsi="微软雅黑" w:eastAsia="微软雅黑" w:cs="微软雅黑"/>
                <w:sz w:val="20"/>
                <w:szCs w:val="20"/>
              </w:rPr>
              <w:t>计</w:t>
            </w:r>
            <w:r>
              <w:rPr>
                <w:rFonts w:ascii="微软雅黑" w:hAnsi="微软雅黑" w:eastAsia="微软雅黑" w:cs="微软雅黑"/>
                <w:spacing w:val="54"/>
                <w:sz w:val="20"/>
                <w:szCs w:val="20"/>
              </w:rPr>
              <w:t xml:space="preserve"> </w:t>
            </w:r>
            <w:r>
              <w:rPr>
                <w:rFonts w:ascii="微软雅黑" w:hAnsi="微软雅黑" w:eastAsia="微软雅黑" w:cs="微软雅黑"/>
                <w:sz w:val="20"/>
                <w:szCs w:val="20"/>
              </w:rPr>
              <w:t>算</w:t>
            </w:r>
            <w:r>
              <w:rPr>
                <w:rFonts w:ascii="微软雅黑" w:hAnsi="微软雅黑" w:eastAsia="微软雅黑" w:cs="微软雅黑"/>
                <w:spacing w:val="57"/>
                <w:sz w:val="20"/>
                <w:szCs w:val="20"/>
              </w:rPr>
              <w:t xml:space="preserve"> </w:t>
            </w:r>
            <w:r>
              <w:rPr>
                <w:rFonts w:ascii="微软雅黑" w:hAnsi="微软雅黑" w:eastAsia="微软雅黑" w:cs="微软雅黑"/>
                <w:sz w:val="20"/>
                <w:szCs w:val="20"/>
              </w:rPr>
              <w:t>方</w:t>
            </w:r>
            <w:r>
              <w:rPr>
                <w:rFonts w:ascii="微软雅黑" w:hAnsi="微软雅黑" w:eastAsia="微软雅黑" w:cs="微软雅黑"/>
                <w:spacing w:val="57"/>
                <w:w w:val="101"/>
                <w:sz w:val="20"/>
                <w:szCs w:val="20"/>
              </w:rPr>
              <w:t xml:space="preserve"> </w:t>
            </w:r>
            <w:r>
              <w:rPr>
                <w:rFonts w:ascii="微软雅黑" w:hAnsi="微软雅黑" w:eastAsia="微软雅黑" w:cs="微软雅黑"/>
                <w:sz w:val="20"/>
                <w:szCs w:val="20"/>
              </w:rPr>
              <w:t>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68" w:hRule="atLeast"/>
        </w:trPr>
        <w:tc>
          <w:tcPr>
            <w:tcW w:w="682" w:type="dxa"/>
            <w:vMerge w:val="restart"/>
            <w:tcBorders>
              <w:left w:val="single" w:color="000000" w:sz="6" w:space="0"/>
              <w:bottom w:val="nil"/>
            </w:tcBorders>
            <w:vAlign w:val="top"/>
          </w:tcPr>
          <w:p>
            <w:pPr>
              <w:pStyle w:val="6"/>
              <w:spacing w:line="312" w:lineRule="auto"/>
            </w:pPr>
          </w:p>
          <w:p>
            <w:pPr>
              <w:pStyle w:val="6"/>
              <w:spacing w:line="313" w:lineRule="auto"/>
            </w:pPr>
          </w:p>
          <w:p>
            <w:pPr>
              <w:spacing w:before="65" w:line="156" w:lineRule="exact"/>
              <w:ind w:left="230"/>
              <w:rPr>
                <w:rFonts w:ascii="宋体" w:hAnsi="宋体" w:eastAsia="宋体" w:cs="宋体"/>
                <w:sz w:val="20"/>
                <w:szCs w:val="20"/>
              </w:rPr>
            </w:pPr>
            <w:r>
              <w:rPr>
                <w:rFonts w:ascii="宋体" w:hAnsi="宋体" w:eastAsia="宋体" w:cs="宋体"/>
                <w:spacing w:val="4"/>
                <w:position w:val="-4"/>
                <w:sz w:val="20"/>
                <w:szCs w:val="20"/>
              </w:rPr>
              <w:t>一</w:t>
            </w:r>
          </w:p>
        </w:tc>
        <w:tc>
          <w:tcPr>
            <w:tcW w:w="2443" w:type="dxa"/>
            <w:vAlign w:val="top"/>
          </w:tcPr>
          <w:p>
            <w:pPr>
              <w:pStyle w:val="6"/>
              <w:spacing w:line="348" w:lineRule="auto"/>
            </w:pPr>
          </w:p>
          <w:p>
            <w:pPr>
              <w:spacing w:before="65" w:line="220" w:lineRule="auto"/>
              <w:ind w:left="103"/>
              <w:rPr>
                <w:rFonts w:ascii="宋体" w:hAnsi="宋体" w:eastAsia="宋体" w:cs="宋体"/>
                <w:sz w:val="20"/>
                <w:szCs w:val="20"/>
              </w:rPr>
            </w:pPr>
            <w:r>
              <w:rPr>
                <w:rFonts w:ascii="宋体" w:hAnsi="宋体" w:eastAsia="宋体" w:cs="宋体"/>
                <w:spacing w:val="5"/>
                <w:sz w:val="20"/>
                <w:szCs w:val="20"/>
              </w:rPr>
              <w:t>分部分项工程费</w:t>
            </w:r>
          </w:p>
        </w:tc>
        <w:tc>
          <w:tcPr>
            <w:tcW w:w="6289" w:type="dxa"/>
            <w:tcBorders>
              <w:right w:val="single" w:color="000000" w:sz="6" w:space="0"/>
            </w:tcBorders>
            <w:vAlign w:val="top"/>
          </w:tcPr>
          <w:p>
            <w:pPr>
              <w:spacing w:before="237" w:line="295" w:lineRule="auto"/>
              <w:ind w:left="158" w:hanging="22"/>
              <w:rPr>
                <w:rFonts w:ascii="宋体" w:hAnsi="宋体" w:eastAsia="宋体" w:cs="宋体"/>
                <w:sz w:val="20"/>
                <w:szCs w:val="20"/>
              </w:rPr>
            </w:pPr>
            <w:r>
              <w:rPr>
                <w:rFonts w:ascii="宋体" w:hAnsi="宋体" w:eastAsia="宋体" w:cs="宋体"/>
                <w:spacing w:val="-11"/>
                <w:sz w:val="20"/>
                <w:szCs w:val="20"/>
              </w:rPr>
              <w:t>∑｛〔定额∑（工日消耗量</w:t>
            </w:r>
            <w:r>
              <w:rPr>
                <w:rFonts w:ascii="宋体" w:hAnsi="宋体" w:eastAsia="宋体" w:cs="宋体"/>
                <w:spacing w:val="-41"/>
                <w:sz w:val="20"/>
                <w:szCs w:val="20"/>
              </w:rPr>
              <w:t xml:space="preserve"> </w:t>
            </w:r>
            <w:r>
              <w:rPr>
                <w:rFonts w:ascii="宋体" w:hAnsi="宋体" w:eastAsia="宋体" w:cs="宋体"/>
                <w:spacing w:val="-11"/>
                <w:sz w:val="20"/>
                <w:szCs w:val="20"/>
              </w:rPr>
              <w:t>×人工单价）+ ∑（材料消耗量</w:t>
            </w:r>
            <w:r>
              <w:rPr>
                <w:rFonts w:ascii="宋体" w:hAnsi="宋体" w:eastAsia="宋体" w:cs="宋体"/>
                <w:spacing w:val="-55"/>
                <w:sz w:val="20"/>
                <w:szCs w:val="20"/>
              </w:rPr>
              <w:t xml:space="preserve"> </w:t>
            </w:r>
            <w:r>
              <w:rPr>
                <w:rFonts w:ascii="宋体" w:hAnsi="宋体" w:eastAsia="宋体" w:cs="宋体"/>
                <w:spacing w:val="-11"/>
                <w:sz w:val="20"/>
                <w:szCs w:val="20"/>
              </w:rPr>
              <w:t>×材料单价）</w:t>
            </w:r>
            <w:r>
              <w:rPr>
                <w:rFonts w:ascii="宋体" w:hAnsi="宋体" w:eastAsia="宋体" w:cs="宋体"/>
                <w:sz w:val="20"/>
                <w:szCs w:val="20"/>
              </w:rPr>
              <w:t xml:space="preserve"> + ∑（机械台班消耗量</w:t>
            </w:r>
            <w:r>
              <w:rPr>
                <w:rFonts w:ascii="宋体" w:hAnsi="宋体" w:eastAsia="宋体" w:cs="宋体"/>
                <w:spacing w:val="-34"/>
                <w:sz w:val="20"/>
                <w:szCs w:val="20"/>
              </w:rPr>
              <w:t xml:space="preserve"> </w:t>
            </w:r>
            <w:r>
              <w:rPr>
                <w:rFonts w:ascii="宋体" w:hAnsi="宋体" w:eastAsia="宋体" w:cs="宋体"/>
                <w:sz w:val="20"/>
                <w:szCs w:val="20"/>
              </w:rPr>
              <w:t>×</w:t>
            </w:r>
            <w:r>
              <w:rPr>
                <w:rFonts w:ascii="宋体" w:hAnsi="宋体" w:eastAsia="宋体" w:cs="宋体"/>
                <w:spacing w:val="-77"/>
                <w:sz w:val="20"/>
                <w:szCs w:val="20"/>
              </w:rPr>
              <w:t xml:space="preserve"> </w:t>
            </w:r>
            <w:r>
              <w:rPr>
                <w:rFonts w:ascii="宋体" w:hAnsi="宋体" w:eastAsia="宋体" w:cs="宋体"/>
                <w:sz w:val="20"/>
                <w:szCs w:val="20"/>
              </w:rPr>
              <w:t>台班单价）</w:t>
            </w:r>
            <w:r>
              <w:rPr>
                <w:rFonts w:ascii="宋体" w:hAnsi="宋体" w:eastAsia="宋体" w:cs="宋体"/>
                <w:spacing w:val="-37"/>
                <w:sz w:val="20"/>
                <w:szCs w:val="20"/>
              </w:rPr>
              <w:t xml:space="preserve"> </w:t>
            </w:r>
            <w:r>
              <w:rPr>
                <w:rFonts w:ascii="宋体" w:hAnsi="宋体" w:eastAsia="宋体" w:cs="宋体"/>
                <w:sz w:val="20"/>
                <w:szCs w:val="20"/>
              </w:rPr>
              <w:t>〕×分部分项工程量</w:t>
            </w:r>
            <w:r>
              <w:rPr>
                <w:rFonts w:ascii="宋体" w:hAnsi="宋体" w:eastAsia="宋体" w:cs="宋体"/>
                <w:spacing w:val="-54"/>
                <w:sz w:val="20"/>
                <w:szCs w:val="20"/>
              </w:rPr>
              <w:t xml:space="preserve"> </w:t>
            </w:r>
            <w:r>
              <w:rPr>
                <w:rFonts w:ascii="宋体" w:hAnsi="宋体" w:eastAsia="宋体" w:cs="宋体"/>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tcBorders>
            <w:vAlign w:val="top"/>
          </w:tcPr>
          <w:p>
            <w:pPr>
              <w:pStyle w:val="6"/>
            </w:pPr>
          </w:p>
        </w:tc>
        <w:tc>
          <w:tcPr>
            <w:tcW w:w="2443" w:type="dxa"/>
            <w:vAlign w:val="top"/>
          </w:tcPr>
          <w:p>
            <w:pPr>
              <w:spacing w:before="112" w:line="227" w:lineRule="auto"/>
              <w:ind w:left="101"/>
              <w:rPr>
                <w:rFonts w:ascii="宋体" w:hAnsi="宋体" w:eastAsia="宋体" w:cs="宋体"/>
                <w:sz w:val="20"/>
                <w:szCs w:val="20"/>
              </w:rPr>
            </w:pPr>
            <w:r>
              <w:rPr>
                <w:rFonts w:ascii="宋体" w:hAnsi="宋体" w:eastAsia="宋体" w:cs="宋体"/>
                <w:spacing w:val="11"/>
                <w:sz w:val="20"/>
                <w:szCs w:val="20"/>
              </w:rPr>
              <w:t>计费基础</w:t>
            </w:r>
            <w:r>
              <w:rPr>
                <w:rFonts w:ascii="宋体" w:hAnsi="宋体" w:eastAsia="宋体" w:cs="宋体"/>
                <w:spacing w:val="-42"/>
                <w:sz w:val="20"/>
                <w:szCs w:val="20"/>
              </w:rPr>
              <w:t xml:space="preserve"> </w:t>
            </w:r>
            <w:r>
              <w:rPr>
                <w:rFonts w:ascii="宋体" w:hAnsi="宋体" w:eastAsia="宋体" w:cs="宋体"/>
                <w:sz w:val="20"/>
                <w:szCs w:val="20"/>
              </w:rPr>
              <w:t>JD</w:t>
            </w:r>
            <w:r>
              <w:rPr>
                <w:rFonts w:ascii="宋体" w:hAnsi="宋体" w:eastAsia="宋体" w:cs="宋体"/>
                <w:spacing w:val="11"/>
                <w:sz w:val="20"/>
                <w:szCs w:val="20"/>
              </w:rPr>
              <w:t>1</w:t>
            </w:r>
          </w:p>
        </w:tc>
        <w:tc>
          <w:tcPr>
            <w:tcW w:w="6289" w:type="dxa"/>
            <w:tcBorders>
              <w:right w:val="single" w:color="000000" w:sz="6" w:space="0"/>
            </w:tcBorders>
            <w:vAlign w:val="top"/>
          </w:tcPr>
          <w:p>
            <w:pPr>
              <w:spacing w:before="105" w:line="218" w:lineRule="auto"/>
              <w:ind w:left="107"/>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682" w:type="dxa"/>
            <w:vMerge w:val="restart"/>
            <w:tcBorders>
              <w:left w:val="single" w:color="000000" w:sz="6" w:space="0"/>
              <w:bottom w:val="nil"/>
            </w:tcBorders>
            <w:vAlign w:val="top"/>
          </w:tcPr>
          <w:p>
            <w:pPr>
              <w:pStyle w:val="6"/>
              <w:spacing w:line="311" w:lineRule="auto"/>
            </w:pPr>
          </w:p>
          <w:p>
            <w:pPr>
              <w:pStyle w:val="6"/>
              <w:spacing w:line="312" w:lineRule="auto"/>
            </w:pPr>
          </w:p>
          <w:p>
            <w:pPr>
              <w:pStyle w:val="6"/>
              <w:spacing w:line="312" w:lineRule="auto"/>
            </w:pPr>
          </w:p>
          <w:p>
            <w:pPr>
              <w:spacing w:before="65" w:line="192" w:lineRule="auto"/>
              <w:ind w:left="230"/>
              <w:rPr>
                <w:rFonts w:ascii="宋体" w:hAnsi="宋体" w:eastAsia="宋体" w:cs="宋体"/>
                <w:sz w:val="20"/>
                <w:szCs w:val="20"/>
              </w:rPr>
            </w:pPr>
            <w:r>
              <w:rPr>
                <w:rFonts w:ascii="宋体" w:hAnsi="宋体" w:eastAsia="宋体" w:cs="宋体"/>
                <w:spacing w:val="4"/>
                <w:sz w:val="20"/>
                <w:szCs w:val="20"/>
              </w:rPr>
              <w:t>二</w:t>
            </w:r>
          </w:p>
        </w:tc>
        <w:tc>
          <w:tcPr>
            <w:tcW w:w="2443" w:type="dxa"/>
            <w:vAlign w:val="top"/>
          </w:tcPr>
          <w:p>
            <w:pPr>
              <w:spacing w:before="118" w:line="219" w:lineRule="auto"/>
              <w:ind w:left="101"/>
              <w:rPr>
                <w:rFonts w:ascii="宋体" w:hAnsi="宋体" w:eastAsia="宋体" w:cs="宋体"/>
                <w:sz w:val="20"/>
                <w:szCs w:val="20"/>
              </w:rPr>
            </w:pPr>
            <w:r>
              <w:rPr>
                <w:rFonts w:ascii="宋体" w:hAnsi="宋体" w:eastAsia="宋体" w:cs="宋体"/>
                <w:spacing w:val="9"/>
                <w:sz w:val="20"/>
                <w:szCs w:val="20"/>
              </w:rPr>
              <w:t>措施项目费</w:t>
            </w:r>
          </w:p>
        </w:tc>
        <w:tc>
          <w:tcPr>
            <w:tcW w:w="6289" w:type="dxa"/>
            <w:tcBorders>
              <w:right w:val="single" w:color="000000" w:sz="6" w:space="0"/>
            </w:tcBorders>
            <w:vAlign w:val="top"/>
          </w:tcPr>
          <w:p>
            <w:pPr>
              <w:spacing w:before="99"/>
              <w:ind w:left="109"/>
              <w:rPr>
                <w:rFonts w:ascii="宋体" w:hAnsi="宋体" w:eastAsia="宋体" w:cs="宋体"/>
                <w:sz w:val="20"/>
                <w:szCs w:val="20"/>
              </w:rPr>
            </w:pPr>
            <w:r>
              <w:rPr>
                <w:rFonts w:ascii="宋体" w:hAnsi="宋体" w:eastAsia="宋体" w:cs="宋体"/>
                <w:spacing w:val="-12"/>
                <w:sz w:val="20"/>
                <w:szCs w:val="20"/>
              </w:rPr>
              <w:t>2.1＋2.2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pStyle w:val="6"/>
              <w:spacing w:line="346" w:lineRule="auto"/>
            </w:pPr>
          </w:p>
          <w:p>
            <w:pPr>
              <w:spacing w:before="65" w:line="276" w:lineRule="exact"/>
              <w:ind w:left="104"/>
              <w:rPr>
                <w:rFonts w:ascii="宋体" w:hAnsi="宋体" w:eastAsia="宋体" w:cs="宋体"/>
                <w:sz w:val="20"/>
                <w:szCs w:val="20"/>
              </w:rPr>
            </w:pPr>
            <w:r>
              <w:rPr>
                <w:rFonts w:ascii="宋体" w:hAnsi="宋体" w:eastAsia="宋体" w:cs="宋体"/>
                <w:spacing w:val="-1"/>
                <w:position w:val="1"/>
                <w:sz w:val="20"/>
                <w:szCs w:val="20"/>
              </w:rPr>
              <w:t>2.1</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单价措施费</w:t>
            </w:r>
          </w:p>
        </w:tc>
        <w:tc>
          <w:tcPr>
            <w:tcW w:w="6289" w:type="dxa"/>
            <w:tcBorders>
              <w:right w:val="single" w:color="000000" w:sz="6" w:space="0"/>
            </w:tcBorders>
            <w:vAlign w:val="top"/>
          </w:tcPr>
          <w:p>
            <w:pPr>
              <w:spacing w:before="240" w:line="293" w:lineRule="auto"/>
              <w:ind w:left="158" w:hanging="22"/>
              <w:rPr>
                <w:rFonts w:ascii="宋体" w:hAnsi="宋体" w:eastAsia="宋体" w:cs="宋体"/>
                <w:sz w:val="20"/>
                <w:szCs w:val="20"/>
              </w:rPr>
            </w:pPr>
            <w:r>
              <w:rPr>
                <w:rFonts w:ascii="宋体" w:hAnsi="宋体" w:eastAsia="宋体" w:cs="宋体"/>
                <w:spacing w:val="-11"/>
                <w:sz w:val="20"/>
                <w:szCs w:val="20"/>
              </w:rPr>
              <w:t>∑｛〔定额∑（工日消耗量</w:t>
            </w:r>
            <w:r>
              <w:rPr>
                <w:rFonts w:ascii="宋体" w:hAnsi="宋体" w:eastAsia="宋体" w:cs="宋体"/>
                <w:spacing w:val="-41"/>
                <w:sz w:val="20"/>
                <w:szCs w:val="20"/>
              </w:rPr>
              <w:t xml:space="preserve"> </w:t>
            </w:r>
            <w:r>
              <w:rPr>
                <w:rFonts w:ascii="宋体" w:hAnsi="宋体" w:eastAsia="宋体" w:cs="宋体"/>
                <w:spacing w:val="-11"/>
                <w:sz w:val="20"/>
                <w:szCs w:val="20"/>
              </w:rPr>
              <w:t>×人工单价）+ ∑（材料消耗量</w:t>
            </w:r>
            <w:r>
              <w:rPr>
                <w:rFonts w:ascii="宋体" w:hAnsi="宋体" w:eastAsia="宋体" w:cs="宋体"/>
                <w:spacing w:val="-55"/>
                <w:sz w:val="20"/>
                <w:szCs w:val="20"/>
              </w:rPr>
              <w:t xml:space="preserve"> </w:t>
            </w:r>
            <w:r>
              <w:rPr>
                <w:rFonts w:ascii="宋体" w:hAnsi="宋体" w:eastAsia="宋体" w:cs="宋体"/>
                <w:spacing w:val="-11"/>
                <w:sz w:val="20"/>
                <w:szCs w:val="20"/>
              </w:rPr>
              <w:t>×材料单价）</w:t>
            </w:r>
            <w:r>
              <w:rPr>
                <w:rFonts w:ascii="宋体" w:hAnsi="宋体" w:eastAsia="宋体" w:cs="宋体"/>
                <w:sz w:val="20"/>
                <w:szCs w:val="20"/>
              </w:rPr>
              <w:t xml:space="preserve"> </w:t>
            </w:r>
            <w:r>
              <w:rPr>
                <w:rFonts w:ascii="宋体" w:hAnsi="宋体" w:eastAsia="宋体" w:cs="宋体"/>
                <w:spacing w:val="1"/>
                <w:sz w:val="20"/>
                <w:szCs w:val="20"/>
              </w:rPr>
              <w:t>+ ∑（机械台班消耗量</w:t>
            </w:r>
            <w:r>
              <w:rPr>
                <w:rFonts w:ascii="宋体" w:hAnsi="宋体" w:eastAsia="宋体" w:cs="宋体"/>
                <w:spacing w:val="-41"/>
                <w:sz w:val="20"/>
                <w:szCs w:val="20"/>
              </w:rPr>
              <w:t xml:space="preserve"> </w:t>
            </w:r>
            <w:r>
              <w:rPr>
                <w:rFonts w:ascii="宋体" w:hAnsi="宋体" w:eastAsia="宋体" w:cs="宋体"/>
                <w:spacing w:val="1"/>
                <w:sz w:val="20"/>
                <w:szCs w:val="20"/>
              </w:rPr>
              <w:t>×</w:t>
            </w:r>
            <w:r>
              <w:rPr>
                <w:rFonts w:ascii="宋体" w:hAnsi="宋体" w:eastAsia="宋体" w:cs="宋体"/>
                <w:spacing w:val="-78"/>
                <w:sz w:val="20"/>
                <w:szCs w:val="20"/>
              </w:rPr>
              <w:t xml:space="preserve"> </w:t>
            </w:r>
            <w:r>
              <w:rPr>
                <w:rFonts w:ascii="宋体" w:hAnsi="宋体" w:eastAsia="宋体" w:cs="宋体"/>
                <w:spacing w:val="1"/>
                <w:sz w:val="20"/>
                <w:szCs w:val="20"/>
              </w:rPr>
              <w:t>台班单价）</w:t>
            </w:r>
            <w:r>
              <w:rPr>
                <w:rFonts w:ascii="宋体" w:hAnsi="宋体" w:eastAsia="宋体" w:cs="宋体"/>
                <w:spacing w:val="-37"/>
                <w:sz w:val="20"/>
                <w:szCs w:val="20"/>
              </w:rPr>
              <w:t xml:space="preserve"> </w:t>
            </w:r>
            <w:r>
              <w:rPr>
                <w:rFonts w:ascii="宋体" w:hAnsi="宋体" w:eastAsia="宋体" w:cs="宋体"/>
                <w:spacing w:val="1"/>
                <w:sz w:val="20"/>
                <w:szCs w:val="20"/>
              </w:rPr>
              <w:t>〕×单价措施项目工程量</w:t>
            </w:r>
            <w:r>
              <w:rPr>
                <w:rFonts w:ascii="宋体" w:hAnsi="宋体" w:eastAsia="宋体" w:cs="宋体"/>
                <w:spacing w:val="-51"/>
                <w:sz w:val="20"/>
                <w:szCs w:val="20"/>
              </w:rPr>
              <w:t xml:space="preserve"> </w:t>
            </w:r>
            <w:r>
              <w:rPr>
                <w:rFonts w:ascii="宋体" w:hAnsi="宋体" w:eastAsia="宋体" w:cs="宋体"/>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2" w:line="227" w:lineRule="auto"/>
              <w:ind w:left="104"/>
              <w:rPr>
                <w:rFonts w:ascii="宋体" w:hAnsi="宋体" w:eastAsia="宋体" w:cs="宋体"/>
                <w:sz w:val="20"/>
                <w:szCs w:val="20"/>
              </w:rPr>
            </w:pPr>
            <w:r>
              <w:rPr>
                <w:rFonts w:ascii="宋体" w:hAnsi="宋体" w:eastAsia="宋体" w:cs="宋体"/>
                <w:spacing w:val="-2"/>
                <w:sz w:val="20"/>
                <w:szCs w:val="20"/>
              </w:rPr>
              <w:t>2.2</w:t>
            </w:r>
            <w:r>
              <w:rPr>
                <w:rFonts w:ascii="宋体" w:hAnsi="宋体" w:eastAsia="宋体" w:cs="宋体"/>
                <w:spacing w:val="-30"/>
                <w:sz w:val="20"/>
                <w:szCs w:val="20"/>
              </w:rPr>
              <w:t xml:space="preserve"> </w:t>
            </w:r>
            <w:r>
              <w:rPr>
                <w:rFonts w:ascii="宋体" w:hAnsi="宋体" w:eastAsia="宋体" w:cs="宋体"/>
                <w:spacing w:val="-2"/>
                <w:sz w:val="20"/>
                <w:szCs w:val="20"/>
              </w:rPr>
              <w:t>总价措施费</w:t>
            </w:r>
          </w:p>
        </w:tc>
        <w:tc>
          <w:tcPr>
            <w:tcW w:w="6289" w:type="dxa"/>
            <w:tcBorders>
              <w:right w:val="single" w:color="000000" w:sz="6" w:space="0"/>
            </w:tcBorders>
            <w:vAlign w:val="top"/>
          </w:tcPr>
          <w:p>
            <w:pPr>
              <w:spacing w:before="100" w:line="238" w:lineRule="auto"/>
              <w:ind w:left="104"/>
              <w:rPr>
                <w:rFonts w:ascii="宋体" w:hAnsi="宋体" w:eastAsia="宋体" w:cs="宋体"/>
                <w:sz w:val="20"/>
                <w:szCs w:val="20"/>
              </w:rPr>
            </w:pPr>
            <w:r>
              <w:rPr>
                <w:rFonts w:ascii="宋体" w:hAnsi="宋体" w:eastAsia="宋体" w:cs="宋体"/>
                <w:spacing w:val="-1"/>
                <w:sz w:val="20"/>
                <w:szCs w:val="20"/>
              </w:rPr>
              <w:t>JD1</w:t>
            </w:r>
            <w:r>
              <w:rPr>
                <w:rFonts w:ascii="宋体" w:hAnsi="宋体" w:eastAsia="宋体" w:cs="宋体"/>
                <w:spacing w:val="-45"/>
                <w:sz w:val="20"/>
                <w:szCs w:val="20"/>
              </w:rPr>
              <w:t xml:space="preserve"> </w:t>
            </w:r>
            <w:r>
              <w:rPr>
                <w:rFonts w:ascii="宋体" w:hAnsi="宋体" w:eastAsia="宋体" w:cs="宋体"/>
                <w:spacing w:val="-1"/>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tcBorders>
            <w:vAlign w:val="top"/>
          </w:tcPr>
          <w:p>
            <w:pPr>
              <w:pStyle w:val="6"/>
            </w:pPr>
          </w:p>
        </w:tc>
        <w:tc>
          <w:tcPr>
            <w:tcW w:w="2443" w:type="dxa"/>
            <w:vAlign w:val="top"/>
          </w:tcPr>
          <w:p>
            <w:pPr>
              <w:spacing w:before="111" w:line="228" w:lineRule="auto"/>
              <w:ind w:left="101"/>
              <w:rPr>
                <w:rFonts w:ascii="宋体" w:hAnsi="宋体" w:eastAsia="宋体" w:cs="宋体"/>
                <w:sz w:val="20"/>
                <w:szCs w:val="20"/>
              </w:rPr>
            </w:pPr>
            <w:r>
              <w:rPr>
                <w:rFonts w:ascii="宋体" w:hAnsi="宋体" w:eastAsia="宋体" w:cs="宋体"/>
                <w:spacing w:val="11"/>
                <w:sz w:val="20"/>
                <w:szCs w:val="20"/>
              </w:rPr>
              <w:t>计费基础</w:t>
            </w:r>
            <w:r>
              <w:rPr>
                <w:rFonts w:ascii="宋体" w:hAnsi="宋体" w:eastAsia="宋体" w:cs="宋体"/>
                <w:spacing w:val="-42"/>
                <w:sz w:val="20"/>
                <w:szCs w:val="20"/>
              </w:rPr>
              <w:t xml:space="preserve"> </w:t>
            </w:r>
            <w:r>
              <w:rPr>
                <w:rFonts w:ascii="宋体" w:hAnsi="宋体" w:eastAsia="宋体" w:cs="宋体"/>
                <w:sz w:val="20"/>
                <w:szCs w:val="20"/>
              </w:rPr>
              <w:t>JD</w:t>
            </w:r>
            <w:r>
              <w:rPr>
                <w:rFonts w:ascii="宋体" w:hAnsi="宋体" w:eastAsia="宋体" w:cs="宋体"/>
                <w:spacing w:val="11"/>
                <w:sz w:val="20"/>
                <w:szCs w:val="20"/>
              </w:rPr>
              <w:t>2</w:t>
            </w:r>
          </w:p>
        </w:tc>
        <w:tc>
          <w:tcPr>
            <w:tcW w:w="6289" w:type="dxa"/>
            <w:tcBorders>
              <w:right w:val="single" w:color="000000" w:sz="6" w:space="0"/>
            </w:tcBorders>
            <w:vAlign w:val="top"/>
          </w:tcPr>
          <w:p>
            <w:pPr>
              <w:spacing w:before="104" w:line="218" w:lineRule="auto"/>
              <w:ind w:left="107"/>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restart"/>
            <w:tcBorders>
              <w:left w:val="single" w:color="000000" w:sz="6" w:space="0"/>
              <w:bottom w:val="nil"/>
            </w:tcBorders>
            <w:vAlign w:val="top"/>
          </w:tcPr>
          <w:p>
            <w:pPr>
              <w:pStyle w:val="6"/>
              <w:spacing w:line="248" w:lineRule="auto"/>
            </w:pPr>
          </w:p>
          <w:p>
            <w:pPr>
              <w:pStyle w:val="6"/>
              <w:spacing w:line="248" w:lineRule="auto"/>
            </w:pPr>
          </w:p>
          <w:p>
            <w:pPr>
              <w:pStyle w:val="6"/>
              <w:spacing w:line="248"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spacing w:before="65" w:line="201" w:lineRule="auto"/>
              <w:ind w:left="234"/>
              <w:rPr>
                <w:rFonts w:ascii="宋体" w:hAnsi="宋体" w:eastAsia="宋体" w:cs="宋体"/>
                <w:sz w:val="20"/>
                <w:szCs w:val="20"/>
              </w:rPr>
            </w:pPr>
            <w:r>
              <w:rPr>
                <w:rFonts w:ascii="宋体" w:hAnsi="宋体" w:eastAsia="宋体" w:cs="宋体"/>
                <w:sz w:val="20"/>
                <w:szCs w:val="20"/>
              </w:rPr>
              <w:t>三</w:t>
            </w:r>
          </w:p>
        </w:tc>
        <w:tc>
          <w:tcPr>
            <w:tcW w:w="2443" w:type="dxa"/>
            <w:vMerge w:val="restart"/>
            <w:tcBorders>
              <w:bottom w:val="nil"/>
            </w:tcBorders>
            <w:vAlign w:val="top"/>
          </w:tcPr>
          <w:p>
            <w:pPr>
              <w:spacing w:before="303" w:line="223" w:lineRule="auto"/>
              <w:ind w:left="101"/>
              <w:rPr>
                <w:rFonts w:ascii="宋体" w:hAnsi="宋体" w:eastAsia="宋体" w:cs="宋体"/>
                <w:sz w:val="20"/>
                <w:szCs w:val="20"/>
              </w:rPr>
            </w:pPr>
            <w:r>
              <w:rPr>
                <w:rFonts w:ascii="宋体" w:hAnsi="宋体" w:eastAsia="宋体" w:cs="宋体"/>
                <w:spacing w:val="9"/>
                <w:sz w:val="20"/>
                <w:szCs w:val="20"/>
              </w:rPr>
              <w:t>其他项目费</w:t>
            </w:r>
          </w:p>
        </w:tc>
        <w:tc>
          <w:tcPr>
            <w:tcW w:w="6289" w:type="dxa"/>
            <w:tcBorders>
              <w:right w:val="single" w:color="000000" w:sz="6" w:space="0"/>
            </w:tcBorders>
            <w:vAlign w:val="top"/>
          </w:tcPr>
          <w:p>
            <w:pPr>
              <w:spacing w:before="101" w:line="237" w:lineRule="auto"/>
              <w:ind w:left="112"/>
              <w:rPr>
                <w:rFonts w:ascii="宋体" w:hAnsi="宋体" w:eastAsia="宋体" w:cs="宋体"/>
                <w:sz w:val="20"/>
                <w:szCs w:val="20"/>
              </w:rPr>
            </w:pPr>
            <w:r>
              <w:rPr>
                <w:rFonts w:ascii="宋体" w:hAnsi="宋体" w:eastAsia="宋体" w:cs="宋体"/>
                <w:spacing w:val="-2"/>
                <w:sz w:val="20"/>
                <w:szCs w:val="20"/>
              </w:rPr>
              <w:t>3.1＋</w:t>
            </w:r>
            <w:r>
              <w:rPr>
                <w:rFonts w:ascii="宋体" w:hAnsi="宋体" w:eastAsia="宋体" w:cs="宋体"/>
                <w:spacing w:val="-56"/>
                <w:sz w:val="20"/>
                <w:szCs w:val="20"/>
              </w:rPr>
              <w:t xml:space="preserve"> </w:t>
            </w:r>
            <w:r>
              <w:rPr>
                <w:rFonts w:ascii="宋体" w:hAnsi="宋体" w:eastAsia="宋体" w:cs="宋体"/>
                <w:spacing w:val="-2"/>
                <w:sz w:val="20"/>
                <w:szCs w:val="20"/>
              </w:rPr>
              <w:t>3.3</w:t>
            </w:r>
            <w:r>
              <w:rPr>
                <w:rFonts w:ascii="宋体" w:hAnsi="宋体" w:eastAsia="宋体" w:cs="宋体"/>
                <w:spacing w:val="-42"/>
                <w:sz w:val="20"/>
                <w:szCs w:val="20"/>
              </w:rPr>
              <w:t xml:space="preserve"> </w:t>
            </w:r>
            <w:r>
              <w:rPr>
                <w:rFonts w:ascii="宋体" w:hAnsi="宋体" w:eastAsia="宋体" w:cs="宋体"/>
                <w:spacing w:val="-2"/>
                <w:sz w:val="20"/>
                <w:szCs w:val="20"/>
              </w:rPr>
              <w:t>+</w:t>
            </w:r>
            <w:r>
              <w:rPr>
                <w:rFonts w:ascii="宋体" w:hAnsi="宋体" w:eastAsia="宋体" w:cs="宋体"/>
                <w:spacing w:val="-20"/>
                <w:sz w:val="20"/>
                <w:szCs w:val="20"/>
              </w:rPr>
              <w:t xml:space="preserve"> </w:t>
            </w:r>
            <w:r>
              <w:rPr>
                <w:rFonts w:ascii="宋体" w:hAnsi="宋体" w:eastAsia="宋体" w:cs="宋体"/>
                <w:spacing w:val="-2"/>
                <w:sz w:val="20"/>
                <w:szCs w:val="20"/>
              </w:rPr>
              <w:t>…</w:t>
            </w:r>
            <w:r>
              <w:rPr>
                <w:rFonts w:ascii="宋体" w:hAnsi="宋体" w:eastAsia="宋体" w:cs="宋体"/>
                <w:spacing w:val="-45"/>
                <w:sz w:val="20"/>
                <w:szCs w:val="20"/>
              </w:rPr>
              <w:t xml:space="preserve"> </w:t>
            </w:r>
            <w:r>
              <w:rPr>
                <w:rFonts w:ascii="宋体" w:hAnsi="宋体" w:eastAsia="宋体" w:cs="宋体"/>
                <w:spacing w:val="-2"/>
                <w:sz w:val="20"/>
                <w:szCs w:val="20"/>
              </w:rPr>
              <w:t>+</w:t>
            </w:r>
            <w:r>
              <w:rPr>
                <w:rFonts w:ascii="宋体" w:hAnsi="宋体" w:eastAsia="宋体" w:cs="宋体"/>
                <w:spacing w:val="-32"/>
                <w:sz w:val="20"/>
                <w:szCs w:val="20"/>
              </w:rPr>
              <w:t xml:space="preserve"> </w:t>
            </w:r>
            <w:r>
              <w:rPr>
                <w:rFonts w:ascii="宋体" w:hAnsi="宋体" w:eastAsia="宋体" w:cs="宋体"/>
                <w:spacing w:val="-2"/>
                <w:sz w:val="20"/>
                <w:szCs w:val="20"/>
              </w:rPr>
              <w:t>3.8（发包人发包专业工程暂估价）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Merge w:val="continue"/>
            <w:tcBorders>
              <w:top w:val="nil"/>
            </w:tcBorders>
            <w:vAlign w:val="top"/>
          </w:tcPr>
          <w:p>
            <w:pPr>
              <w:pStyle w:val="6"/>
            </w:pPr>
          </w:p>
        </w:tc>
        <w:tc>
          <w:tcPr>
            <w:tcW w:w="6289" w:type="dxa"/>
            <w:tcBorders>
              <w:right w:val="single" w:color="000000" w:sz="6" w:space="0"/>
            </w:tcBorders>
            <w:vAlign w:val="top"/>
          </w:tcPr>
          <w:p>
            <w:pPr>
              <w:spacing w:before="100" w:line="237" w:lineRule="auto"/>
              <w:ind w:left="112"/>
              <w:rPr>
                <w:rFonts w:ascii="宋体" w:hAnsi="宋体" w:eastAsia="宋体" w:cs="宋体"/>
                <w:sz w:val="20"/>
                <w:szCs w:val="20"/>
              </w:rPr>
            </w:pPr>
            <w:r>
              <w:rPr>
                <w:rFonts w:ascii="宋体" w:hAnsi="宋体" w:eastAsia="宋体" w:cs="宋体"/>
                <w:spacing w:val="-3"/>
                <w:sz w:val="20"/>
                <w:szCs w:val="20"/>
              </w:rPr>
              <w:t>3.1＋</w:t>
            </w:r>
            <w:r>
              <w:rPr>
                <w:rFonts w:ascii="宋体" w:hAnsi="宋体" w:eastAsia="宋体" w:cs="宋体"/>
                <w:spacing w:val="-56"/>
                <w:sz w:val="20"/>
                <w:szCs w:val="20"/>
              </w:rPr>
              <w:t xml:space="preserve"> </w:t>
            </w:r>
            <w:r>
              <w:rPr>
                <w:rFonts w:ascii="宋体" w:hAnsi="宋体" w:eastAsia="宋体" w:cs="宋体"/>
                <w:spacing w:val="-3"/>
                <w:sz w:val="20"/>
                <w:szCs w:val="20"/>
              </w:rPr>
              <w:t>3.2＋</w:t>
            </w:r>
            <w:r>
              <w:rPr>
                <w:rFonts w:ascii="宋体" w:hAnsi="宋体" w:eastAsia="宋体" w:cs="宋体"/>
                <w:spacing w:val="-59"/>
                <w:sz w:val="20"/>
                <w:szCs w:val="20"/>
              </w:rPr>
              <w:t xml:space="preserve"> </w:t>
            </w:r>
            <w:r>
              <w:rPr>
                <w:rFonts w:ascii="宋体" w:hAnsi="宋体" w:eastAsia="宋体" w:cs="宋体"/>
                <w:spacing w:val="-3"/>
                <w:sz w:val="20"/>
                <w:szCs w:val="20"/>
              </w:rPr>
              <w:t>3.3+…</w:t>
            </w:r>
            <w:r>
              <w:rPr>
                <w:rFonts w:ascii="宋体" w:hAnsi="宋体" w:eastAsia="宋体" w:cs="宋体"/>
                <w:spacing w:val="-67"/>
                <w:sz w:val="20"/>
                <w:szCs w:val="20"/>
              </w:rPr>
              <w:t xml:space="preserve"> </w:t>
            </w:r>
            <w:r>
              <w:rPr>
                <w:rFonts w:ascii="宋体" w:hAnsi="宋体" w:eastAsia="宋体" w:cs="宋体"/>
                <w:spacing w:val="-3"/>
                <w:sz w:val="20"/>
                <w:szCs w:val="20"/>
              </w:rPr>
              <w:t>＋3.8（承包人分包专业工程暂估价）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4" w:line="225" w:lineRule="auto"/>
              <w:ind w:left="107"/>
              <w:rPr>
                <w:rFonts w:ascii="宋体" w:hAnsi="宋体" w:eastAsia="宋体" w:cs="宋体"/>
                <w:sz w:val="20"/>
                <w:szCs w:val="20"/>
              </w:rPr>
            </w:pPr>
            <w:r>
              <w:rPr>
                <w:rFonts w:ascii="宋体" w:hAnsi="宋体" w:eastAsia="宋体" w:cs="宋体"/>
                <w:spacing w:val="-3"/>
                <w:sz w:val="20"/>
                <w:szCs w:val="20"/>
              </w:rPr>
              <w:t>3.1</w:t>
            </w:r>
            <w:r>
              <w:rPr>
                <w:rFonts w:ascii="宋体" w:hAnsi="宋体" w:eastAsia="宋体" w:cs="宋体"/>
                <w:spacing w:val="-39"/>
                <w:sz w:val="20"/>
                <w:szCs w:val="20"/>
              </w:rPr>
              <w:t xml:space="preserve"> </w:t>
            </w:r>
            <w:r>
              <w:rPr>
                <w:rFonts w:ascii="宋体" w:hAnsi="宋体" w:eastAsia="宋体" w:cs="宋体"/>
                <w:spacing w:val="-3"/>
                <w:sz w:val="20"/>
                <w:szCs w:val="20"/>
              </w:rPr>
              <w:t>暂列金额</w:t>
            </w:r>
          </w:p>
        </w:tc>
        <w:tc>
          <w:tcPr>
            <w:tcW w:w="6289" w:type="dxa"/>
            <w:vMerge w:val="restart"/>
            <w:tcBorders>
              <w:bottom w:val="nil"/>
              <w:right w:val="single" w:color="000000" w:sz="6" w:space="0"/>
            </w:tcBorders>
            <w:vAlign w:val="top"/>
          </w:tcPr>
          <w:p>
            <w:pPr>
              <w:pStyle w:val="6"/>
              <w:spacing w:line="295" w:lineRule="auto"/>
            </w:pPr>
          </w:p>
          <w:p>
            <w:pPr>
              <w:pStyle w:val="6"/>
              <w:spacing w:line="295" w:lineRule="auto"/>
            </w:pPr>
          </w:p>
          <w:p>
            <w:pPr>
              <w:pStyle w:val="6"/>
              <w:spacing w:line="295" w:lineRule="auto"/>
            </w:pPr>
          </w:p>
          <w:p>
            <w:pPr>
              <w:pStyle w:val="6"/>
              <w:spacing w:line="295" w:lineRule="auto"/>
            </w:pPr>
          </w:p>
          <w:p>
            <w:pPr>
              <w:spacing w:before="65" w:line="218" w:lineRule="auto"/>
              <w:ind w:left="107"/>
              <w:rPr>
                <w:rFonts w:ascii="宋体" w:hAnsi="宋体" w:eastAsia="宋体" w:cs="宋体"/>
                <w:sz w:val="20"/>
                <w:szCs w:val="20"/>
              </w:rPr>
            </w:pPr>
            <w:r>
              <w:rPr>
                <w:rFonts w:ascii="宋体" w:hAnsi="宋体" w:eastAsia="宋体" w:cs="宋体"/>
                <w:spacing w:val="8"/>
                <w:sz w:val="20"/>
                <w:szCs w:val="20"/>
              </w:rPr>
              <w:t>见说明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3" w:line="225" w:lineRule="auto"/>
              <w:ind w:left="107"/>
              <w:rPr>
                <w:rFonts w:ascii="宋体" w:hAnsi="宋体" w:eastAsia="宋体" w:cs="宋体"/>
                <w:sz w:val="20"/>
                <w:szCs w:val="20"/>
              </w:rPr>
            </w:pPr>
            <w:r>
              <w:rPr>
                <w:rFonts w:ascii="宋体" w:hAnsi="宋体" w:eastAsia="宋体" w:cs="宋体"/>
                <w:spacing w:val="1"/>
                <w:sz w:val="20"/>
                <w:szCs w:val="20"/>
              </w:rPr>
              <w:t>3.2</w:t>
            </w:r>
            <w:r>
              <w:rPr>
                <w:rFonts w:ascii="宋体" w:hAnsi="宋体" w:eastAsia="宋体" w:cs="宋体"/>
                <w:spacing w:val="-40"/>
                <w:sz w:val="20"/>
                <w:szCs w:val="20"/>
              </w:rPr>
              <w:t xml:space="preserve"> </w:t>
            </w:r>
            <w:r>
              <w:rPr>
                <w:rFonts w:ascii="宋体" w:hAnsi="宋体" w:eastAsia="宋体" w:cs="宋体"/>
                <w:spacing w:val="1"/>
                <w:sz w:val="20"/>
                <w:szCs w:val="20"/>
              </w:rPr>
              <w:t>专业工程暂估价</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5" w:line="223" w:lineRule="auto"/>
              <w:ind w:left="107"/>
              <w:rPr>
                <w:rFonts w:ascii="宋体" w:hAnsi="宋体" w:eastAsia="宋体" w:cs="宋体"/>
                <w:sz w:val="20"/>
                <w:szCs w:val="20"/>
              </w:rPr>
            </w:pPr>
            <w:r>
              <w:rPr>
                <w:rFonts w:ascii="宋体" w:hAnsi="宋体" w:eastAsia="宋体" w:cs="宋体"/>
                <w:spacing w:val="1"/>
                <w:sz w:val="20"/>
                <w:szCs w:val="20"/>
              </w:rPr>
              <w:t>3.3</w:t>
            </w:r>
            <w:r>
              <w:rPr>
                <w:rFonts w:ascii="宋体" w:hAnsi="宋体" w:eastAsia="宋体" w:cs="宋体"/>
                <w:spacing w:val="-39"/>
                <w:sz w:val="20"/>
                <w:szCs w:val="20"/>
              </w:rPr>
              <w:t xml:space="preserve"> </w:t>
            </w:r>
            <w:r>
              <w:rPr>
                <w:rFonts w:ascii="宋体" w:hAnsi="宋体" w:eastAsia="宋体" w:cs="宋体"/>
                <w:spacing w:val="1"/>
                <w:sz w:val="20"/>
                <w:szCs w:val="20"/>
              </w:rPr>
              <w:t>特殊项目暂估价</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5" w:line="223" w:lineRule="auto"/>
              <w:ind w:left="107"/>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40"/>
                <w:sz w:val="20"/>
                <w:szCs w:val="20"/>
              </w:rPr>
              <w:t xml:space="preserve"> </w:t>
            </w:r>
            <w:r>
              <w:rPr>
                <w:rFonts w:ascii="宋体" w:hAnsi="宋体" w:eastAsia="宋体" w:cs="宋体"/>
                <w:spacing w:val="-5"/>
                <w:sz w:val="20"/>
                <w:szCs w:val="20"/>
              </w:rPr>
              <w:t>计日工</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5" w:line="224" w:lineRule="auto"/>
              <w:ind w:left="107"/>
              <w:rPr>
                <w:rFonts w:ascii="宋体" w:hAnsi="宋体" w:eastAsia="宋体" w:cs="宋体"/>
                <w:sz w:val="20"/>
                <w:szCs w:val="20"/>
              </w:rPr>
            </w:pPr>
            <w:r>
              <w:rPr>
                <w:rFonts w:ascii="宋体" w:hAnsi="宋体" w:eastAsia="宋体" w:cs="宋体"/>
                <w:spacing w:val="-1"/>
                <w:sz w:val="20"/>
                <w:szCs w:val="20"/>
              </w:rPr>
              <w:t>3.5</w:t>
            </w:r>
            <w:r>
              <w:rPr>
                <w:rFonts w:ascii="宋体" w:hAnsi="宋体" w:eastAsia="宋体" w:cs="宋体"/>
                <w:spacing w:val="-42"/>
                <w:sz w:val="20"/>
                <w:szCs w:val="20"/>
              </w:rPr>
              <w:t xml:space="preserve"> </w:t>
            </w:r>
            <w:r>
              <w:rPr>
                <w:rFonts w:ascii="宋体" w:hAnsi="宋体" w:eastAsia="宋体" w:cs="宋体"/>
                <w:spacing w:val="-1"/>
                <w:sz w:val="20"/>
                <w:szCs w:val="20"/>
              </w:rPr>
              <w:t>采购保管费</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6" w:line="222" w:lineRule="auto"/>
              <w:ind w:left="107"/>
              <w:rPr>
                <w:rFonts w:ascii="宋体" w:hAnsi="宋体" w:eastAsia="宋体" w:cs="宋体"/>
                <w:sz w:val="20"/>
                <w:szCs w:val="20"/>
              </w:rPr>
            </w:pPr>
            <w:r>
              <w:rPr>
                <w:rFonts w:ascii="宋体" w:hAnsi="宋体" w:eastAsia="宋体" w:cs="宋体"/>
                <w:spacing w:val="1"/>
                <w:sz w:val="20"/>
                <w:szCs w:val="20"/>
              </w:rPr>
              <w:t>3.6</w:t>
            </w:r>
            <w:r>
              <w:rPr>
                <w:rFonts w:ascii="宋体" w:hAnsi="宋体" w:eastAsia="宋体" w:cs="宋体"/>
                <w:spacing w:val="-40"/>
                <w:sz w:val="20"/>
                <w:szCs w:val="20"/>
              </w:rPr>
              <w:t xml:space="preserve"> </w:t>
            </w:r>
            <w:r>
              <w:rPr>
                <w:rFonts w:ascii="宋体" w:hAnsi="宋体" w:eastAsia="宋体" w:cs="宋体"/>
                <w:spacing w:val="1"/>
                <w:sz w:val="20"/>
                <w:szCs w:val="20"/>
              </w:rPr>
              <w:t>其他检验试验费</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16" w:line="222" w:lineRule="auto"/>
              <w:ind w:left="107"/>
              <w:rPr>
                <w:rFonts w:ascii="宋体" w:hAnsi="宋体" w:eastAsia="宋体" w:cs="宋体"/>
                <w:sz w:val="20"/>
                <w:szCs w:val="20"/>
              </w:rPr>
            </w:pPr>
            <w:r>
              <w:rPr>
                <w:rFonts w:ascii="宋体" w:hAnsi="宋体" w:eastAsia="宋体" w:cs="宋体"/>
                <w:spacing w:val="-1"/>
                <w:sz w:val="20"/>
                <w:szCs w:val="20"/>
              </w:rPr>
              <w:t>3.7</w:t>
            </w:r>
            <w:r>
              <w:rPr>
                <w:rFonts w:ascii="宋体" w:hAnsi="宋体" w:eastAsia="宋体" w:cs="宋体"/>
                <w:spacing w:val="-32"/>
                <w:sz w:val="20"/>
                <w:szCs w:val="20"/>
              </w:rPr>
              <w:t xml:space="preserve"> </w:t>
            </w:r>
            <w:r>
              <w:rPr>
                <w:rFonts w:ascii="宋体" w:hAnsi="宋体" w:eastAsia="宋体" w:cs="宋体"/>
                <w:spacing w:val="-1"/>
                <w:sz w:val="20"/>
                <w:szCs w:val="20"/>
              </w:rPr>
              <w:t>总承包服务费</w:t>
            </w:r>
          </w:p>
        </w:tc>
        <w:tc>
          <w:tcPr>
            <w:tcW w:w="6289" w:type="dxa"/>
            <w:vMerge w:val="continue"/>
            <w:tcBorders>
              <w:top w:val="nil"/>
              <w:bottom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tcBorders>
            <w:vAlign w:val="top"/>
          </w:tcPr>
          <w:p>
            <w:pPr>
              <w:pStyle w:val="6"/>
            </w:pPr>
          </w:p>
        </w:tc>
        <w:tc>
          <w:tcPr>
            <w:tcW w:w="2443" w:type="dxa"/>
            <w:vAlign w:val="top"/>
          </w:tcPr>
          <w:p>
            <w:pPr>
              <w:spacing w:before="119" w:line="219" w:lineRule="auto"/>
              <w:ind w:left="107"/>
              <w:rPr>
                <w:rFonts w:ascii="宋体" w:hAnsi="宋体" w:eastAsia="宋体" w:cs="宋体"/>
                <w:sz w:val="20"/>
                <w:szCs w:val="20"/>
              </w:rPr>
            </w:pPr>
            <w:r>
              <w:rPr>
                <w:rFonts w:ascii="宋体" w:hAnsi="宋体" w:eastAsia="宋体" w:cs="宋体"/>
                <w:spacing w:val="-8"/>
                <w:sz w:val="20"/>
                <w:szCs w:val="20"/>
              </w:rPr>
              <w:t>3.8</w:t>
            </w:r>
            <w:r>
              <w:rPr>
                <w:rFonts w:ascii="宋体" w:hAnsi="宋体" w:eastAsia="宋体" w:cs="宋体"/>
                <w:spacing w:val="-41"/>
                <w:sz w:val="20"/>
                <w:szCs w:val="20"/>
              </w:rPr>
              <w:t xml:space="preserve"> </w:t>
            </w:r>
            <w:r>
              <w:rPr>
                <w:rFonts w:ascii="宋体" w:hAnsi="宋体" w:eastAsia="宋体" w:cs="宋体"/>
                <w:spacing w:val="-8"/>
                <w:sz w:val="20"/>
                <w:szCs w:val="20"/>
              </w:rPr>
              <w:t>其他</w:t>
            </w:r>
          </w:p>
        </w:tc>
        <w:tc>
          <w:tcPr>
            <w:tcW w:w="6289"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tcBorders>
              <w:left w:val="single" w:color="000000" w:sz="6" w:space="0"/>
            </w:tcBorders>
            <w:vAlign w:val="top"/>
          </w:tcPr>
          <w:p>
            <w:pPr>
              <w:spacing w:before="141" w:line="199" w:lineRule="auto"/>
              <w:ind w:left="252"/>
              <w:rPr>
                <w:rFonts w:ascii="宋体" w:hAnsi="宋体" w:eastAsia="宋体" w:cs="宋体"/>
                <w:sz w:val="20"/>
                <w:szCs w:val="20"/>
              </w:rPr>
            </w:pPr>
            <w:r>
              <w:rPr>
                <w:rFonts w:ascii="宋体" w:hAnsi="宋体" w:eastAsia="宋体" w:cs="宋体"/>
                <w:sz w:val="20"/>
                <w:szCs w:val="20"/>
              </w:rPr>
              <w:t>四</w:t>
            </w:r>
          </w:p>
        </w:tc>
        <w:tc>
          <w:tcPr>
            <w:tcW w:w="2443" w:type="dxa"/>
            <w:vAlign w:val="top"/>
          </w:tcPr>
          <w:p>
            <w:pPr>
              <w:spacing w:before="125" w:line="215" w:lineRule="auto"/>
              <w:ind w:left="102"/>
              <w:rPr>
                <w:rFonts w:ascii="宋体" w:hAnsi="宋体" w:eastAsia="宋体" w:cs="宋体"/>
                <w:sz w:val="20"/>
                <w:szCs w:val="20"/>
              </w:rPr>
            </w:pPr>
            <w:r>
              <w:rPr>
                <w:rFonts w:ascii="宋体" w:hAnsi="宋体" w:eastAsia="宋体" w:cs="宋体"/>
                <w:spacing w:val="8"/>
                <w:sz w:val="20"/>
                <w:szCs w:val="20"/>
              </w:rPr>
              <w:t>企业管理费</w:t>
            </w:r>
          </w:p>
        </w:tc>
        <w:tc>
          <w:tcPr>
            <w:tcW w:w="6289" w:type="dxa"/>
            <w:tcBorders>
              <w:right w:val="single" w:color="000000" w:sz="6" w:space="0"/>
            </w:tcBorders>
            <w:vAlign w:val="top"/>
          </w:tcPr>
          <w:p>
            <w:pPr>
              <w:spacing w:before="107" w:line="231" w:lineRule="auto"/>
              <w:ind w:left="99"/>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z w:val="20"/>
                <w:szCs w:val="20"/>
              </w:rPr>
              <w:t>JD</w:t>
            </w:r>
            <w:r>
              <w:rPr>
                <w:rFonts w:ascii="宋体" w:hAnsi="宋体" w:eastAsia="宋体" w:cs="宋体"/>
                <w:spacing w:val="6"/>
                <w:sz w:val="20"/>
                <w:szCs w:val="20"/>
              </w:rPr>
              <w:t>1＋</w:t>
            </w:r>
            <w:r>
              <w:rPr>
                <w:rFonts w:ascii="宋体" w:hAnsi="宋体" w:eastAsia="宋体" w:cs="宋体"/>
                <w:sz w:val="20"/>
                <w:szCs w:val="20"/>
              </w:rPr>
              <w:t>JD</w:t>
            </w:r>
            <w:r>
              <w:rPr>
                <w:rFonts w:ascii="宋体" w:hAnsi="宋体" w:eastAsia="宋体" w:cs="宋体"/>
                <w:spacing w:val="6"/>
                <w:sz w:val="20"/>
                <w:szCs w:val="20"/>
              </w:rPr>
              <w:t>2）</w:t>
            </w:r>
            <w:r>
              <w:rPr>
                <w:rFonts w:ascii="宋体" w:hAnsi="宋体" w:eastAsia="宋体" w:cs="宋体"/>
                <w:spacing w:val="-26"/>
                <w:sz w:val="20"/>
                <w:szCs w:val="20"/>
              </w:rPr>
              <w:t xml:space="preserve"> </w:t>
            </w:r>
            <w:r>
              <w:rPr>
                <w:rFonts w:ascii="宋体" w:hAnsi="宋体" w:eastAsia="宋体" w:cs="宋体"/>
                <w:spacing w:val="6"/>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tcBorders>
              <w:left w:val="single" w:color="000000" w:sz="6" w:space="0"/>
            </w:tcBorders>
            <w:vAlign w:val="top"/>
          </w:tcPr>
          <w:p>
            <w:pPr>
              <w:spacing w:before="139" w:line="201" w:lineRule="auto"/>
              <w:ind w:left="234"/>
              <w:rPr>
                <w:rFonts w:ascii="宋体" w:hAnsi="宋体" w:eastAsia="宋体" w:cs="宋体"/>
                <w:sz w:val="20"/>
                <w:szCs w:val="20"/>
              </w:rPr>
            </w:pPr>
            <w:r>
              <w:rPr>
                <w:rFonts w:ascii="宋体" w:hAnsi="宋体" w:eastAsia="宋体" w:cs="宋体"/>
                <w:sz w:val="20"/>
                <w:szCs w:val="20"/>
              </w:rPr>
              <w:t>五</w:t>
            </w:r>
          </w:p>
        </w:tc>
        <w:tc>
          <w:tcPr>
            <w:tcW w:w="2443" w:type="dxa"/>
            <w:vAlign w:val="top"/>
          </w:tcPr>
          <w:p>
            <w:pPr>
              <w:spacing w:before="126" w:line="213" w:lineRule="auto"/>
              <w:ind w:left="103"/>
              <w:rPr>
                <w:rFonts w:ascii="宋体" w:hAnsi="宋体" w:eastAsia="宋体" w:cs="宋体"/>
                <w:sz w:val="20"/>
                <w:szCs w:val="20"/>
              </w:rPr>
            </w:pPr>
            <w:r>
              <w:rPr>
                <w:rFonts w:ascii="宋体" w:hAnsi="宋体" w:eastAsia="宋体" w:cs="宋体"/>
                <w:spacing w:val="6"/>
                <w:sz w:val="20"/>
                <w:szCs w:val="20"/>
              </w:rPr>
              <w:t>利润</w:t>
            </w:r>
          </w:p>
        </w:tc>
        <w:tc>
          <w:tcPr>
            <w:tcW w:w="6289" w:type="dxa"/>
            <w:tcBorders>
              <w:right w:val="single" w:color="000000" w:sz="6" w:space="0"/>
            </w:tcBorders>
            <w:vAlign w:val="top"/>
          </w:tcPr>
          <w:p>
            <w:pPr>
              <w:spacing w:before="106" w:line="231" w:lineRule="auto"/>
              <w:ind w:left="99"/>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z w:val="20"/>
                <w:szCs w:val="20"/>
              </w:rPr>
              <w:t>JD</w:t>
            </w:r>
            <w:r>
              <w:rPr>
                <w:rFonts w:ascii="宋体" w:hAnsi="宋体" w:eastAsia="宋体" w:cs="宋体"/>
                <w:spacing w:val="6"/>
                <w:sz w:val="20"/>
                <w:szCs w:val="20"/>
              </w:rPr>
              <w:t>1＋</w:t>
            </w:r>
            <w:r>
              <w:rPr>
                <w:rFonts w:ascii="宋体" w:hAnsi="宋体" w:eastAsia="宋体" w:cs="宋体"/>
                <w:sz w:val="20"/>
                <w:szCs w:val="20"/>
              </w:rPr>
              <w:t>JD</w:t>
            </w:r>
            <w:r>
              <w:rPr>
                <w:rFonts w:ascii="宋体" w:hAnsi="宋体" w:eastAsia="宋体" w:cs="宋体"/>
                <w:spacing w:val="6"/>
                <w:sz w:val="20"/>
                <w:szCs w:val="20"/>
              </w:rPr>
              <w:t>2）</w:t>
            </w:r>
            <w:r>
              <w:rPr>
                <w:rFonts w:ascii="宋体" w:hAnsi="宋体" w:eastAsia="宋体" w:cs="宋体"/>
                <w:spacing w:val="-34"/>
                <w:sz w:val="20"/>
                <w:szCs w:val="20"/>
              </w:rPr>
              <w:t xml:space="preserve"> </w:t>
            </w:r>
            <w:r>
              <w:rPr>
                <w:rFonts w:ascii="宋体" w:hAnsi="宋体" w:eastAsia="宋体" w:cs="宋体"/>
                <w:spacing w:val="6"/>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restart"/>
            <w:tcBorders>
              <w:left w:val="single" w:color="000000" w:sz="6" w:space="0"/>
              <w:bottom w:val="nil"/>
            </w:tcBorders>
            <w:vAlign w:val="top"/>
          </w:tcPr>
          <w:p>
            <w:pPr>
              <w:pStyle w:val="6"/>
              <w:spacing w:line="249" w:lineRule="auto"/>
            </w:pPr>
          </w:p>
          <w:p>
            <w:pPr>
              <w:pStyle w:val="6"/>
              <w:spacing w:line="249" w:lineRule="auto"/>
            </w:pPr>
          </w:p>
          <w:p>
            <w:pPr>
              <w:pStyle w:val="6"/>
              <w:spacing w:line="250" w:lineRule="auto"/>
            </w:pPr>
          </w:p>
          <w:p>
            <w:pPr>
              <w:pStyle w:val="6"/>
              <w:spacing w:line="250" w:lineRule="auto"/>
            </w:pPr>
          </w:p>
          <w:p>
            <w:pPr>
              <w:spacing w:before="65" w:line="206" w:lineRule="auto"/>
              <w:ind w:left="230"/>
              <w:rPr>
                <w:rFonts w:ascii="宋体" w:hAnsi="宋体" w:eastAsia="宋体" w:cs="宋体"/>
                <w:sz w:val="20"/>
                <w:szCs w:val="20"/>
              </w:rPr>
            </w:pPr>
            <w:r>
              <w:rPr>
                <w:rFonts w:ascii="宋体" w:hAnsi="宋体" w:eastAsia="宋体" w:cs="宋体"/>
                <w:spacing w:val="4"/>
                <w:sz w:val="20"/>
                <w:szCs w:val="20"/>
              </w:rPr>
              <w:t>六</w:t>
            </w:r>
          </w:p>
        </w:tc>
        <w:tc>
          <w:tcPr>
            <w:tcW w:w="2443" w:type="dxa"/>
            <w:vAlign w:val="top"/>
          </w:tcPr>
          <w:p>
            <w:pPr>
              <w:spacing w:before="128" w:line="211" w:lineRule="auto"/>
              <w:ind w:left="103"/>
              <w:rPr>
                <w:rFonts w:ascii="宋体" w:hAnsi="宋体" w:eastAsia="宋体" w:cs="宋体"/>
                <w:sz w:val="20"/>
                <w:szCs w:val="20"/>
              </w:rPr>
            </w:pPr>
            <w:r>
              <w:rPr>
                <w:rFonts w:ascii="宋体" w:hAnsi="宋体" w:eastAsia="宋体" w:cs="宋体"/>
                <w:spacing w:val="6"/>
                <w:sz w:val="20"/>
                <w:szCs w:val="20"/>
              </w:rPr>
              <w:t>规费</w:t>
            </w:r>
          </w:p>
        </w:tc>
        <w:tc>
          <w:tcPr>
            <w:tcW w:w="6289" w:type="dxa"/>
            <w:tcBorders>
              <w:right w:val="single" w:color="000000" w:sz="6" w:space="0"/>
            </w:tcBorders>
            <w:vAlign w:val="top"/>
          </w:tcPr>
          <w:p>
            <w:pPr>
              <w:spacing w:before="108" w:line="229" w:lineRule="auto"/>
              <w:ind w:left="110"/>
              <w:rPr>
                <w:rFonts w:ascii="宋体" w:hAnsi="宋体" w:eastAsia="宋体" w:cs="宋体"/>
                <w:sz w:val="20"/>
                <w:szCs w:val="20"/>
              </w:rPr>
            </w:pPr>
            <w:r>
              <w:rPr>
                <w:rFonts w:ascii="宋体" w:hAnsi="宋体" w:eastAsia="宋体" w:cs="宋体"/>
                <w:spacing w:val="-9"/>
                <w:sz w:val="20"/>
                <w:szCs w:val="20"/>
              </w:rPr>
              <w:t>6.1＋6.2＋6.3＋6.4＋6.5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20" w:line="219" w:lineRule="auto"/>
              <w:ind w:left="105"/>
              <w:rPr>
                <w:rFonts w:ascii="宋体" w:hAnsi="宋体" w:eastAsia="宋体" w:cs="宋体"/>
                <w:sz w:val="20"/>
                <w:szCs w:val="20"/>
              </w:rPr>
            </w:pPr>
            <w:r>
              <w:rPr>
                <w:rFonts w:ascii="宋体" w:hAnsi="宋体" w:eastAsia="宋体" w:cs="宋体"/>
                <w:spacing w:val="1"/>
                <w:sz w:val="20"/>
                <w:szCs w:val="20"/>
              </w:rPr>
              <w:t>6.1</w:t>
            </w:r>
            <w:r>
              <w:rPr>
                <w:rFonts w:ascii="宋体" w:hAnsi="宋体" w:eastAsia="宋体" w:cs="宋体"/>
                <w:spacing w:val="-37"/>
                <w:sz w:val="20"/>
                <w:szCs w:val="20"/>
              </w:rPr>
              <w:t xml:space="preserve"> </w:t>
            </w:r>
            <w:r>
              <w:rPr>
                <w:rFonts w:ascii="宋体" w:hAnsi="宋体" w:eastAsia="宋体" w:cs="宋体"/>
                <w:spacing w:val="1"/>
                <w:sz w:val="20"/>
                <w:szCs w:val="20"/>
              </w:rPr>
              <w:t>安全文明施工费</w:t>
            </w:r>
          </w:p>
        </w:tc>
        <w:tc>
          <w:tcPr>
            <w:tcW w:w="6289" w:type="dxa"/>
            <w:vMerge w:val="restart"/>
            <w:tcBorders>
              <w:bottom w:val="nil"/>
              <w:right w:val="single" w:color="000000" w:sz="6" w:space="0"/>
            </w:tcBorders>
            <w:vAlign w:val="top"/>
          </w:tcPr>
          <w:p>
            <w:pPr>
              <w:spacing w:before="296" w:line="277" w:lineRule="exact"/>
              <w:ind w:left="99"/>
              <w:rPr>
                <w:rFonts w:ascii="宋体" w:hAnsi="宋体" w:eastAsia="宋体" w:cs="宋体"/>
                <w:sz w:val="20"/>
                <w:szCs w:val="20"/>
              </w:rPr>
            </w:pPr>
            <w:r>
              <w:rPr>
                <w:rFonts w:ascii="宋体" w:hAnsi="宋体" w:eastAsia="宋体" w:cs="宋体"/>
                <w:spacing w:val="1"/>
                <w:position w:val="1"/>
                <w:sz w:val="20"/>
                <w:szCs w:val="20"/>
              </w:rPr>
              <w:t>（一＋二＋三＋</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四＋五）</w:t>
            </w:r>
            <w:r>
              <w:rPr>
                <w:rFonts w:ascii="宋体" w:hAnsi="宋体" w:eastAsia="宋体" w:cs="宋体"/>
                <w:spacing w:val="-33"/>
                <w:position w:val="1"/>
                <w:sz w:val="20"/>
                <w:szCs w:val="20"/>
              </w:rPr>
              <w:t xml:space="preserve"> </w:t>
            </w:r>
            <w:r>
              <w:rPr>
                <w:rFonts w:ascii="宋体" w:hAnsi="宋体" w:eastAsia="宋体" w:cs="宋体"/>
                <w:spacing w:val="1"/>
                <w:position w:val="1"/>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21" w:line="217" w:lineRule="auto"/>
              <w:ind w:left="105"/>
              <w:rPr>
                <w:rFonts w:ascii="宋体" w:hAnsi="宋体" w:eastAsia="宋体" w:cs="宋体"/>
                <w:sz w:val="20"/>
                <w:szCs w:val="20"/>
              </w:rPr>
            </w:pPr>
            <w:r>
              <w:rPr>
                <w:rFonts w:ascii="宋体" w:hAnsi="宋体" w:eastAsia="宋体" w:cs="宋体"/>
                <w:spacing w:val="-1"/>
                <w:sz w:val="20"/>
                <w:szCs w:val="20"/>
              </w:rPr>
              <w:t>6.2</w:t>
            </w:r>
            <w:r>
              <w:rPr>
                <w:rFonts w:ascii="宋体" w:hAnsi="宋体" w:eastAsia="宋体" w:cs="宋体"/>
                <w:spacing w:val="-39"/>
                <w:sz w:val="20"/>
                <w:szCs w:val="20"/>
              </w:rPr>
              <w:t xml:space="preserve"> </w:t>
            </w:r>
            <w:r>
              <w:rPr>
                <w:rFonts w:ascii="宋体" w:hAnsi="宋体" w:eastAsia="宋体" w:cs="宋体"/>
                <w:spacing w:val="-1"/>
                <w:sz w:val="20"/>
                <w:szCs w:val="20"/>
              </w:rPr>
              <w:t>社会保险费</w:t>
            </w:r>
          </w:p>
        </w:tc>
        <w:tc>
          <w:tcPr>
            <w:tcW w:w="6289"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21" w:line="218" w:lineRule="auto"/>
              <w:ind w:left="105"/>
              <w:rPr>
                <w:rFonts w:ascii="宋体" w:hAnsi="宋体" w:eastAsia="宋体" w:cs="宋体"/>
                <w:sz w:val="20"/>
                <w:szCs w:val="20"/>
              </w:rPr>
            </w:pPr>
            <w:r>
              <w:rPr>
                <w:rFonts w:ascii="宋体" w:hAnsi="宋体" w:eastAsia="宋体" w:cs="宋体"/>
                <w:sz w:val="20"/>
                <w:szCs w:val="20"/>
              </w:rPr>
              <w:t>6.3</w:t>
            </w:r>
            <w:r>
              <w:rPr>
                <w:rFonts w:ascii="宋体" w:hAnsi="宋体" w:eastAsia="宋体" w:cs="宋体"/>
                <w:spacing w:val="-44"/>
                <w:sz w:val="20"/>
                <w:szCs w:val="20"/>
              </w:rPr>
              <w:t xml:space="preserve"> </w:t>
            </w:r>
            <w:r>
              <w:rPr>
                <w:rFonts w:ascii="宋体" w:hAnsi="宋体" w:eastAsia="宋体" w:cs="宋体"/>
                <w:sz w:val="20"/>
                <w:szCs w:val="20"/>
              </w:rPr>
              <w:t>建设项目工伤保险</w:t>
            </w:r>
          </w:p>
        </w:tc>
        <w:tc>
          <w:tcPr>
            <w:tcW w:w="6289" w:type="dxa"/>
            <w:tcBorders>
              <w:right w:val="single" w:color="000000" w:sz="6" w:space="0"/>
            </w:tcBorders>
            <w:vAlign w:val="top"/>
          </w:tcPr>
          <w:p>
            <w:pPr>
              <w:spacing w:before="109" w:line="229" w:lineRule="auto"/>
              <w:ind w:left="99"/>
              <w:rPr>
                <w:rFonts w:ascii="宋体" w:hAnsi="宋体" w:eastAsia="宋体" w:cs="宋体"/>
                <w:sz w:val="20"/>
                <w:szCs w:val="20"/>
              </w:rPr>
            </w:pPr>
            <w:r>
              <w:rPr>
                <w:rFonts w:ascii="宋体" w:hAnsi="宋体" w:eastAsia="宋体" w:cs="宋体"/>
                <w:spacing w:val="5"/>
                <w:sz w:val="20"/>
                <w:szCs w:val="20"/>
              </w:rPr>
              <w:t>（一＋二＋三＋</w:t>
            </w:r>
            <w:r>
              <w:rPr>
                <w:rFonts w:ascii="宋体" w:hAnsi="宋体" w:eastAsia="宋体" w:cs="宋体"/>
                <w:spacing w:val="-30"/>
                <w:sz w:val="20"/>
                <w:szCs w:val="20"/>
              </w:rPr>
              <w:t xml:space="preserve"> </w:t>
            </w:r>
            <w:r>
              <w:rPr>
                <w:rFonts w:ascii="宋体" w:hAnsi="宋体" w:eastAsia="宋体" w:cs="宋体"/>
                <w:spacing w:val="5"/>
                <w:sz w:val="20"/>
                <w:szCs w:val="20"/>
              </w:rPr>
              <w:t>四＋五）</w:t>
            </w:r>
            <w:r>
              <w:rPr>
                <w:rFonts w:ascii="宋体" w:hAnsi="宋体" w:eastAsia="宋体" w:cs="宋体"/>
                <w:spacing w:val="-33"/>
                <w:sz w:val="20"/>
                <w:szCs w:val="20"/>
              </w:rPr>
              <w:t xml:space="preserve"> </w:t>
            </w:r>
            <w:r>
              <w:rPr>
                <w:rFonts w:ascii="宋体" w:hAnsi="宋体" w:eastAsia="宋体" w:cs="宋体"/>
                <w:spacing w:val="5"/>
                <w:sz w:val="20"/>
                <w:szCs w:val="20"/>
              </w:rPr>
              <w:t>×费率，结算时按实际交纳金额计列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682" w:type="dxa"/>
            <w:vMerge w:val="continue"/>
            <w:tcBorders>
              <w:top w:val="nil"/>
              <w:left w:val="single" w:color="000000" w:sz="6" w:space="0"/>
              <w:bottom w:val="nil"/>
            </w:tcBorders>
            <w:vAlign w:val="top"/>
          </w:tcPr>
          <w:p>
            <w:pPr>
              <w:pStyle w:val="6"/>
            </w:pPr>
          </w:p>
        </w:tc>
        <w:tc>
          <w:tcPr>
            <w:tcW w:w="2443" w:type="dxa"/>
            <w:vAlign w:val="top"/>
          </w:tcPr>
          <w:p>
            <w:pPr>
              <w:spacing w:before="124" w:line="215" w:lineRule="auto"/>
              <w:ind w:left="105"/>
              <w:rPr>
                <w:rFonts w:ascii="宋体" w:hAnsi="宋体" w:eastAsia="宋体" w:cs="宋体"/>
                <w:sz w:val="20"/>
                <w:szCs w:val="20"/>
              </w:rPr>
            </w:pPr>
            <w:r>
              <w:rPr>
                <w:rFonts w:ascii="宋体" w:hAnsi="宋体" w:eastAsia="宋体" w:cs="宋体"/>
                <w:spacing w:val="-1"/>
                <w:sz w:val="20"/>
                <w:szCs w:val="20"/>
              </w:rPr>
              <w:t>6.4</w:t>
            </w:r>
            <w:r>
              <w:rPr>
                <w:rFonts w:ascii="宋体" w:hAnsi="宋体" w:eastAsia="宋体" w:cs="宋体"/>
                <w:spacing w:val="-39"/>
                <w:sz w:val="20"/>
                <w:szCs w:val="20"/>
              </w:rPr>
              <w:t xml:space="preserve"> </w:t>
            </w:r>
            <w:r>
              <w:rPr>
                <w:rFonts w:ascii="宋体" w:hAnsi="宋体" w:eastAsia="宋体" w:cs="宋体"/>
                <w:spacing w:val="-1"/>
                <w:sz w:val="20"/>
                <w:szCs w:val="20"/>
              </w:rPr>
              <w:t>优质优价费</w:t>
            </w:r>
          </w:p>
        </w:tc>
        <w:tc>
          <w:tcPr>
            <w:tcW w:w="6289" w:type="dxa"/>
            <w:tcBorders>
              <w:right w:val="single" w:color="000000" w:sz="6" w:space="0"/>
            </w:tcBorders>
            <w:vAlign w:val="top"/>
          </w:tcPr>
          <w:p>
            <w:pPr>
              <w:spacing w:before="112" w:line="226" w:lineRule="auto"/>
              <w:ind w:left="99"/>
              <w:rPr>
                <w:rFonts w:ascii="宋体" w:hAnsi="宋体" w:eastAsia="宋体" w:cs="宋体"/>
                <w:sz w:val="20"/>
                <w:szCs w:val="20"/>
              </w:rPr>
            </w:pPr>
            <w:r>
              <w:rPr>
                <w:rFonts w:ascii="宋体" w:hAnsi="宋体" w:eastAsia="宋体" w:cs="宋体"/>
                <w:spacing w:val="5"/>
                <w:sz w:val="20"/>
                <w:szCs w:val="20"/>
              </w:rPr>
              <w:t>（一＋二＋三＋</w:t>
            </w:r>
            <w:r>
              <w:rPr>
                <w:rFonts w:ascii="宋体" w:hAnsi="宋体" w:eastAsia="宋体" w:cs="宋体"/>
                <w:spacing w:val="-40"/>
                <w:sz w:val="20"/>
                <w:szCs w:val="20"/>
              </w:rPr>
              <w:t xml:space="preserve"> </w:t>
            </w:r>
            <w:r>
              <w:rPr>
                <w:rFonts w:ascii="宋体" w:hAnsi="宋体" w:eastAsia="宋体" w:cs="宋体"/>
                <w:spacing w:val="5"/>
                <w:sz w:val="20"/>
                <w:szCs w:val="20"/>
              </w:rPr>
              <w:t>四＋五）</w:t>
            </w:r>
            <w:r>
              <w:rPr>
                <w:rFonts w:ascii="宋体" w:hAnsi="宋体" w:eastAsia="宋体" w:cs="宋体"/>
                <w:spacing w:val="-33"/>
                <w:sz w:val="20"/>
                <w:szCs w:val="20"/>
              </w:rPr>
              <w:t xml:space="preserve"> </w:t>
            </w:r>
            <w:r>
              <w:rPr>
                <w:rFonts w:ascii="宋体" w:hAnsi="宋体" w:eastAsia="宋体" w:cs="宋体"/>
                <w:spacing w:val="5"/>
                <w:sz w:val="20"/>
                <w:szCs w:val="20"/>
              </w:rPr>
              <w:t>×费率，结算时按文件规定执行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682" w:type="dxa"/>
            <w:vMerge w:val="continue"/>
            <w:tcBorders>
              <w:top w:val="nil"/>
              <w:left w:val="single" w:color="000000" w:sz="6" w:space="0"/>
            </w:tcBorders>
            <w:vAlign w:val="top"/>
          </w:tcPr>
          <w:p>
            <w:pPr>
              <w:pStyle w:val="6"/>
            </w:pPr>
          </w:p>
        </w:tc>
        <w:tc>
          <w:tcPr>
            <w:tcW w:w="2443" w:type="dxa"/>
            <w:vAlign w:val="top"/>
          </w:tcPr>
          <w:p>
            <w:pPr>
              <w:spacing w:before="123" w:line="216" w:lineRule="auto"/>
              <w:ind w:left="105"/>
              <w:rPr>
                <w:rFonts w:ascii="宋体" w:hAnsi="宋体" w:eastAsia="宋体" w:cs="宋体"/>
                <w:sz w:val="20"/>
                <w:szCs w:val="20"/>
              </w:rPr>
            </w:pPr>
            <w:r>
              <w:rPr>
                <w:rFonts w:ascii="宋体" w:hAnsi="宋体" w:eastAsia="宋体" w:cs="宋体"/>
                <w:spacing w:val="-1"/>
                <w:sz w:val="20"/>
                <w:szCs w:val="20"/>
              </w:rPr>
              <w:t>6.5</w:t>
            </w:r>
            <w:r>
              <w:rPr>
                <w:rFonts w:ascii="宋体" w:hAnsi="宋体" w:eastAsia="宋体" w:cs="宋体"/>
                <w:spacing w:val="-39"/>
                <w:sz w:val="20"/>
                <w:szCs w:val="20"/>
              </w:rPr>
              <w:t xml:space="preserve"> </w:t>
            </w:r>
            <w:r>
              <w:rPr>
                <w:rFonts w:ascii="宋体" w:hAnsi="宋体" w:eastAsia="宋体" w:cs="宋体"/>
                <w:spacing w:val="-1"/>
                <w:sz w:val="20"/>
                <w:szCs w:val="20"/>
              </w:rPr>
              <w:t>住房公积金</w:t>
            </w:r>
          </w:p>
        </w:tc>
        <w:tc>
          <w:tcPr>
            <w:tcW w:w="6289" w:type="dxa"/>
            <w:tcBorders>
              <w:right w:val="single" w:color="000000" w:sz="6" w:space="0"/>
            </w:tcBorders>
            <w:vAlign w:val="top"/>
          </w:tcPr>
          <w:p>
            <w:pPr>
              <w:spacing w:before="115" w:line="220" w:lineRule="auto"/>
              <w:ind w:left="109"/>
              <w:rPr>
                <w:rFonts w:ascii="宋体" w:hAnsi="宋体" w:eastAsia="宋体" w:cs="宋体"/>
                <w:sz w:val="20"/>
                <w:szCs w:val="20"/>
              </w:rPr>
            </w:pPr>
            <w:r>
              <w:rPr>
                <w:rFonts w:ascii="宋体" w:hAnsi="宋体" w:eastAsia="宋体" w:cs="宋体"/>
                <w:spacing w:val="3"/>
                <w:sz w:val="20"/>
                <w:szCs w:val="20"/>
              </w:rPr>
              <w:t>省价人工费之和</w:t>
            </w:r>
            <w:r>
              <w:rPr>
                <w:rFonts w:ascii="宋体" w:hAnsi="宋体" w:eastAsia="宋体" w:cs="宋体"/>
                <w:spacing w:val="-39"/>
                <w:sz w:val="20"/>
                <w:szCs w:val="20"/>
              </w:rPr>
              <w:t xml:space="preserve"> </w:t>
            </w:r>
            <w:r>
              <w:rPr>
                <w:rFonts w:ascii="宋体" w:hAnsi="宋体" w:eastAsia="宋体" w:cs="宋体"/>
                <w:spacing w:val="3"/>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8" w:hRule="atLeast"/>
        </w:trPr>
        <w:tc>
          <w:tcPr>
            <w:tcW w:w="682" w:type="dxa"/>
            <w:tcBorders>
              <w:left w:val="single" w:color="000000" w:sz="6" w:space="0"/>
            </w:tcBorders>
            <w:vAlign w:val="top"/>
          </w:tcPr>
          <w:p>
            <w:pPr>
              <w:spacing w:before="136" w:line="195" w:lineRule="auto"/>
              <w:ind w:left="229"/>
              <w:rPr>
                <w:rFonts w:ascii="宋体" w:hAnsi="宋体" w:eastAsia="宋体" w:cs="宋体"/>
                <w:sz w:val="20"/>
                <w:szCs w:val="20"/>
              </w:rPr>
            </w:pPr>
            <w:r>
              <w:rPr>
                <w:rFonts w:ascii="宋体" w:hAnsi="宋体" w:eastAsia="宋体" w:cs="宋体"/>
                <w:spacing w:val="5"/>
                <w:sz w:val="20"/>
                <w:szCs w:val="20"/>
              </w:rPr>
              <w:t>七</w:t>
            </w:r>
          </w:p>
        </w:tc>
        <w:tc>
          <w:tcPr>
            <w:tcW w:w="2443" w:type="dxa"/>
            <w:vAlign w:val="top"/>
          </w:tcPr>
          <w:p>
            <w:pPr>
              <w:spacing w:before="125" w:line="205" w:lineRule="auto"/>
              <w:ind w:left="99"/>
              <w:rPr>
                <w:rFonts w:ascii="宋体" w:hAnsi="宋体" w:eastAsia="宋体" w:cs="宋体"/>
                <w:sz w:val="20"/>
                <w:szCs w:val="20"/>
              </w:rPr>
            </w:pPr>
            <w:r>
              <w:rPr>
                <w:rFonts w:ascii="宋体" w:hAnsi="宋体" w:eastAsia="宋体" w:cs="宋体"/>
                <w:spacing w:val="9"/>
                <w:sz w:val="20"/>
                <w:szCs w:val="20"/>
              </w:rPr>
              <w:t>设备费</w:t>
            </w:r>
          </w:p>
        </w:tc>
        <w:tc>
          <w:tcPr>
            <w:tcW w:w="6289" w:type="dxa"/>
            <w:tcBorders>
              <w:right w:val="single" w:color="000000" w:sz="6" w:space="0"/>
            </w:tcBorders>
            <w:vAlign w:val="top"/>
          </w:tcPr>
          <w:p>
            <w:pPr>
              <w:spacing w:before="105" w:line="224" w:lineRule="auto"/>
              <w:ind w:left="136"/>
              <w:rPr>
                <w:rFonts w:ascii="宋体" w:hAnsi="宋体" w:eastAsia="宋体" w:cs="宋体"/>
                <w:sz w:val="20"/>
                <w:szCs w:val="20"/>
              </w:rPr>
            </w:pPr>
            <w:r>
              <w:rPr>
                <w:rFonts w:ascii="宋体" w:hAnsi="宋体" w:eastAsia="宋体" w:cs="宋体"/>
                <w:spacing w:val="-2"/>
                <w:sz w:val="20"/>
                <w:szCs w:val="20"/>
              </w:rPr>
              <w:t>∑（设备单价</w:t>
            </w:r>
            <w:r>
              <w:rPr>
                <w:rFonts w:ascii="宋体" w:hAnsi="宋体" w:eastAsia="宋体" w:cs="宋体"/>
                <w:spacing w:val="-47"/>
                <w:sz w:val="20"/>
                <w:szCs w:val="20"/>
              </w:rPr>
              <w:t xml:space="preserve"> </w:t>
            </w:r>
            <w:r>
              <w:rPr>
                <w:rFonts w:ascii="宋体" w:hAnsi="宋体" w:eastAsia="宋体" w:cs="宋体"/>
                <w:spacing w:val="-2"/>
                <w:sz w:val="20"/>
                <w:szCs w:val="20"/>
              </w:rPr>
              <w:t>×设备工程量）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8" w:hRule="atLeast"/>
        </w:trPr>
        <w:tc>
          <w:tcPr>
            <w:tcW w:w="682" w:type="dxa"/>
            <w:tcBorders>
              <w:left w:val="single" w:color="000000" w:sz="6" w:space="0"/>
            </w:tcBorders>
            <w:vAlign w:val="top"/>
          </w:tcPr>
          <w:p>
            <w:pPr>
              <w:spacing w:before="139" w:line="192" w:lineRule="auto"/>
              <w:ind w:left="227"/>
              <w:rPr>
                <w:rFonts w:ascii="宋体" w:hAnsi="宋体" w:eastAsia="宋体" w:cs="宋体"/>
                <w:sz w:val="20"/>
                <w:szCs w:val="20"/>
              </w:rPr>
            </w:pPr>
            <w:r>
              <w:rPr>
                <w:rFonts w:ascii="宋体" w:hAnsi="宋体" w:eastAsia="宋体" w:cs="宋体"/>
                <w:spacing w:val="7"/>
                <w:sz w:val="20"/>
                <w:szCs w:val="20"/>
              </w:rPr>
              <w:t>八</w:t>
            </w:r>
          </w:p>
        </w:tc>
        <w:tc>
          <w:tcPr>
            <w:tcW w:w="2443" w:type="dxa"/>
            <w:vAlign w:val="top"/>
          </w:tcPr>
          <w:p>
            <w:pPr>
              <w:spacing w:before="128" w:line="203" w:lineRule="auto"/>
              <w:ind w:left="101"/>
              <w:rPr>
                <w:rFonts w:ascii="宋体" w:hAnsi="宋体" w:eastAsia="宋体" w:cs="宋体"/>
                <w:sz w:val="20"/>
                <w:szCs w:val="20"/>
              </w:rPr>
            </w:pPr>
            <w:r>
              <w:rPr>
                <w:rFonts w:ascii="宋体" w:hAnsi="宋体" w:eastAsia="宋体" w:cs="宋体"/>
                <w:spacing w:val="8"/>
                <w:sz w:val="20"/>
                <w:szCs w:val="20"/>
              </w:rPr>
              <w:t>税前造价</w:t>
            </w:r>
          </w:p>
        </w:tc>
        <w:tc>
          <w:tcPr>
            <w:tcW w:w="6289" w:type="dxa"/>
            <w:tcBorders>
              <w:right w:val="single" w:color="000000" w:sz="6" w:space="0"/>
            </w:tcBorders>
            <w:vAlign w:val="top"/>
          </w:tcPr>
          <w:p>
            <w:pPr>
              <w:spacing w:before="107" w:line="222" w:lineRule="auto"/>
              <w:ind w:left="108"/>
              <w:rPr>
                <w:rFonts w:ascii="宋体" w:hAnsi="宋体" w:eastAsia="宋体" w:cs="宋体"/>
                <w:sz w:val="20"/>
                <w:szCs w:val="20"/>
              </w:rPr>
            </w:pPr>
            <w:r>
              <w:rPr>
                <w:rFonts w:ascii="宋体" w:hAnsi="宋体" w:eastAsia="宋体" w:cs="宋体"/>
                <w:spacing w:val="14"/>
                <w:sz w:val="20"/>
                <w:szCs w:val="20"/>
              </w:rPr>
              <w:t>一</w:t>
            </w:r>
            <w:r>
              <w:rPr>
                <w:rFonts w:ascii="宋体" w:hAnsi="宋体" w:eastAsia="宋体" w:cs="宋体"/>
                <w:spacing w:val="-50"/>
                <w:sz w:val="20"/>
                <w:szCs w:val="20"/>
              </w:rPr>
              <w:t xml:space="preserve"> </w:t>
            </w:r>
            <w:r>
              <w:rPr>
                <w:rFonts w:ascii="宋体" w:hAnsi="宋体" w:eastAsia="宋体" w:cs="宋体"/>
                <w:spacing w:val="14"/>
                <w:sz w:val="20"/>
                <w:szCs w:val="20"/>
              </w:rPr>
              <w:t>+二</w:t>
            </w:r>
            <w:r>
              <w:rPr>
                <w:rFonts w:ascii="宋体" w:hAnsi="宋体" w:eastAsia="宋体" w:cs="宋体"/>
                <w:spacing w:val="-51"/>
                <w:sz w:val="20"/>
                <w:szCs w:val="20"/>
              </w:rPr>
              <w:t xml:space="preserve"> </w:t>
            </w:r>
            <w:r>
              <w:rPr>
                <w:rFonts w:ascii="宋体" w:hAnsi="宋体" w:eastAsia="宋体" w:cs="宋体"/>
                <w:spacing w:val="14"/>
                <w:sz w:val="20"/>
                <w:szCs w:val="20"/>
              </w:rPr>
              <w:t>+三</w:t>
            </w:r>
            <w:r>
              <w:rPr>
                <w:rFonts w:ascii="宋体" w:hAnsi="宋体" w:eastAsia="宋体" w:cs="宋体"/>
                <w:spacing w:val="-48"/>
                <w:sz w:val="20"/>
                <w:szCs w:val="20"/>
              </w:rPr>
              <w:t xml:space="preserve"> </w:t>
            </w:r>
            <w:r>
              <w:rPr>
                <w:rFonts w:ascii="宋体" w:hAnsi="宋体" w:eastAsia="宋体" w:cs="宋体"/>
                <w:spacing w:val="14"/>
                <w:sz w:val="20"/>
                <w:szCs w:val="20"/>
              </w:rPr>
              <w:t>+四</w:t>
            </w:r>
            <w:r>
              <w:rPr>
                <w:rFonts w:ascii="宋体" w:hAnsi="宋体" w:eastAsia="宋体" w:cs="宋体"/>
                <w:spacing w:val="-50"/>
                <w:sz w:val="20"/>
                <w:szCs w:val="20"/>
              </w:rPr>
              <w:t xml:space="preserve"> </w:t>
            </w:r>
            <w:r>
              <w:rPr>
                <w:rFonts w:ascii="宋体" w:hAnsi="宋体" w:eastAsia="宋体" w:cs="宋体"/>
                <w:spacing w:val="14"/>
                <w:sz w:val="20"/>
                <w:szCs w:val="20"/>
              </w:rPr>
              <w:t>+五</w:t>
            </w:r>
            <w:r>
              <w:rPr>
                <w:rFonts w:ascii="宋体" w:hAnsi="宋体" w:eastAsia="宋体" w:cs="宋体"/>
                <w:spacing w:val="-51"/>
                <w:sz w:val="20"/>
                <w:szCs w:val="20"/>
              </w:rPr>
              <w:t xml:space="preserve"> </w:t>
            </w:r>
            <w:r>
              <w:rPr>
                <w:rFonts w:ascii="宋体" w:hAnsi="宋体" w:eastAsia="宋体" w:cs="宋体"/>
                <w:spacing w:val="14"/>
                <w:sz w:val="20"/>
                <w:szCs w:val="20"/>
              </w:rPr>
              <w:t>+六</w:t>
            </w:r>
            <w:r>
              <w:rPr>
                <w:rFonts w:ascii="宋体" w:hAnsi="宋体" w:eastAsia="宋体" w:cs="宋体"/>
                <w:spacing w:val="-50"/>
                <w:sz w:val="20"/>
                <w:szCs w:val="20"/>
              </w:rPr>
              <w:t xml:space="preserve"> </w:t>
            </w:r>
            <w:r>
              <w:rPr>
                <w:rFonts w:ascii="宋体" w:hAnsi="宋体" w:eastAsia="宋体" w:cs="宋体"/>
                <w:spacing w:val="14"/>
                <w:sz w:val="20"/>
                <w:szCs w:val="20"/>
              </w:rPr>
              <w:t>+七</w:t>
            </w:r>
            <w:r>
              <w:rPr>
                <w:rFonts w:ascii="宋体" w:hAnsi="宋体" w:eastAsia="宋体" w:cs="宋体"/>
                <w:spacing w:val="-51"/>
                <w:sz w:val="20"/>
                <w:szCs w:val="20"/>
              </w:rPr>
              <w:t xml:space="preserve"> </w:t>
            </w:r>
            <w:r>
              <w:rPr>
                <w:rFonts w:ascii="宋体" w:hAnsi="宋体" w:eastAsia="宋体" w:cs="宋体"/>
                <w:spacing w:val="14"/>
                <w:sz w:val="20"/>
                <w:szCs w:val="20"/>
              </w:rPr>
              <w:t>-甲供材料费-甲供设备费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8" w:hRule="atLeast"/>
        </w:trPr>
        <w:tc>
          <w:tcPr>
            <w:tcW w:w="682" w:type="dxa"/>
            <w:tcBorders>
              <w:left w:val="single" w:color="000000" w:sz="6" w:space="0"/>
            </w:tcBorders>
            <w:vAlign w:val="top"/>
          </w:tcPr>
          <w:p>
            <w:pPr>
              <w:spacing w:before="128" w:line="203" w:lineRule="auto"/>
              <w:ind w:left="232"/>
              <w:rPr>
                <w:rFonts w:ascii="宋体" w:hAnsi="宋体" w:eastAsia="宋体" w:cs="宋体"/>
                <w:sz w:val="20"/>
                <w:szCs w:val="20"/>
              </w:rPr>
            </w:pPr>
            <w:r>
              <w:rPr>
                <w:rFonts w:ascii="宋体" w:hAnsi="宋体" w:eastAsia="宋体" w:cs="宋体"/>
                <w:spacing w:val="2"/>
                <w:sz w:val="20"/>
                <w:szCs w:val="20"/>
              </w:rPr>
              <w:t>九</w:t>
            </w:r>
          </w:p>
        </w:tc>
        <w:tc>
          <w:tcPr>
            <w:tcW w:w="2443" w:type="dxa"/>
            <w:vAlign w:val="top"/>
          </w:tcPr>
          <w:p>
            <w:pPr>
              <w:spacing w:before="130" w:line="201" w:lineRule="auto"/>
              <w:ind w:left="101"/>
              <w:rPr>
                <w:rFonts w:ascii="宋体" w:hAnsi="宋体" w:eastAsia="宋体" w:cs="宋体"/>
                <w:sz w:val="20"/>
                <w:szCs w:val="20"/>
              </w:rPr>
            </w:pPr>
            <w:r>
              <w:rPr>
                <w:rFonts w:ascii="宋体" w:hAnsi="宋体" w:eastAsia="宋体" w:cs="宋体"/>
                <w:spacing w:val="7"/>
                <w:sz w:val="20"/>
                <w:szCs w:val="20"/>
              </w:rPr>
              <w:t>税金</w:t>
            </w:r>
          </w:p>
        </w:tc>
        <w:tc>
          <w:tcPr>
            <w:tcW w:w="6289" w:type="dxa"/>
            <w:tcBorders>
              <w:right w:val="single" w:color="000000" w:sz="6" w:space="0"/>
            </w:tcBorders>
            <w:vAlign w:val="top"/>
          </w:tcPr>
          <w:p>
            <w:pPr>
              <w:spacing w:before="110" w:line="219" w:lineRule="auto"/>
              <w:ind w:left="105"/>
              <w:rPr>
                <w:rFonts w:ascii="宋体" w:hAnsi="宋体" w:eastAsia="宋体" w:cs="宋体"/>
                <w:sz w:val="20"/>
                <w:szCs w:val="20"/>
              </w:rPr>
            </w:pPr>
            <w:r>
              <w:rPr>
                <w:rFonts w:ascii="宋体" w:hAnsi="宋体" w:eastAsia="宋体" w:cs="宋体"/>
                <w:spacing w:val="-5"/>
                <w:sz w:val="20"/>
                <w:szCs w:val="20"/>
              </w:rPr>
              <w:t>八</w:t>
            </w:r>
            <w:r>
              <w:rPr>
                <w:rFonts w:ascii="宋体" w:hAnsi="宋体" w:eastAsia="宋体" w:cs="宋体"/>
                <w:spacing w:val="-45"/>
                <w:sz w:val="20"/>
                <w:szCs w:val="20"/>
              </w:rPr>
              <w:t xml:space="preserve"> </w:t>
            </w:r>
            <w:r>
              <w:rPr>
                <w:rFonts w:ascii="宋体" w:hAnsi="宋体" w:eastAsia="宋体" w:cs="宋体"/>
                <w:spacing w:val="-5"/>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682" w:type="dxa"/>
            <w:tcBorders>
              <w:left w:val="single" w:color="000000" w:sz="6" w:space="0"/>
              <w:bottom w:val="single" w:color="000000" w:sz="6" w:space="0"/>
            </w:tcBorders>
            <w:vAlign w:val="top"/>
          </w:tcPr>
          <w:p>
            <w:pPr>
              <w:spacing w:before="132" w:line="212" w:lineRule="auto"/>
              <w:ind w:left="237"/>
              <w:rPr>
                <w:rFonts w:ascii="宋体" w:hAnsi="宋体" w:eastAsia="宋体" w:cs="宋体"/>
                <w:sz w:val="20"/>
                <w:szCs w:val="20"/>
              </w:rPr>
            </w:pPr>
            <w:r>
              <w:rPr>
                <w:rFonts w:ascii="宋体" w:hAnsi="宋体" w:eastAsia="宋体" w:cs="宋体"/>
                <w:sz w:val="20"/>
                <w:szCs w:val="20"/>
              </w:rPr>
              <w:t>十</w:t>
            </w:r>
          </w:p>
        </w:tc>
        <w:tc>
          <w:tcPr>
            <w:tcW w:w="2443" w:type="dxa"/>
            <w:tcBorders>
              <w:bottom w:val="single" w:color="000000" w:sz="6" w:space="0"/>
            </w:tcBorders>
            <w:vAlign w:val="top"/>
          </w:tcPr>
          <w:p>
            <w:pPr>
              <w:spacing w:before="128" w:line="216" w:lineRule="auto"/>
              <w:ind w:left="103"/>
              <w:rPr>
                <w:rFonts w:ascii="宋体" w:hAnsi="宋体" w:eastAsia="宋体" w:cs="宋体"/>
                <w:sz w:val="20"/>
                <w:szCs w:val="20"/>
              </w:rPr>
            </w:pPr>
            <w:r>
              <w:rPr>
                <w:rFonts w:ascii="宋体" w:hAnsi="宋体" w:eastAsia="宋体" w:cs="宋体"/>
                <w:spacing w:val="8"/>
                <w:sz w:val="20"/>
                <w:szCs w:val="20"/>
              </w:rPr>
              <w:t>工程费用合计</w:t>
            </w:r>
          </w:p>
        </w:tc>
        <w:tc>
          <w:tcPr>
            <w:tcW w:w="6289" w:type="dxa"/>
            <w:tcBorders>
              <w:bottom w:val="single" w:color="000000" w:sz="6" w:space="0"/>
              <w:right w:val="single" w:color="000000" w:sz="6" w:space="0"/>
            </w:tcBorders>
            <w:vAlign w:val="top"/>
          </w:tcPr>
          <w:p>
            <w:pPr>
              <w:spacing w:before="112" w:line="218" w:lineRule="auto"/>
              <w:ind w:left="105"/>
              <w:rPr>
                <w:rFonts w:ascii="宋体" w:hAnsi="宋体" w:eastAsia="宋体" w:cs="宋体"/>
                <w:sz w:val="20"/>
                <w:szCs w:val="20"/>
              </w:rPr>
            </w:pPr>
            <w:r>
              <w:rPr>
                <w:rFonts w:ascii="宋体" w:hAnsi="宋体" w:eastAsia="宋体" w:cs="宋体"/>
                <w:spacing w:val="10"/>
                <w:sz w:val="20"/>
                <w:szCs w:val="20"/>
              </w:rPr>
              <w:t>八+九</w:t>
            </w:r>
          </w:p>
        </w:tc>
      </w:tr>
    </w:tbl>
    <w:p>
      <w:pPr>
        <w:rPr>
          <w:rFonts w:ascii="Arial"/>
          <w:sz w:val="21"/>
        </w:rPr>
      </w:pPr>
    </w:p>
    <w:p>
      <w:pPr>
        <w:rPr>
          <w:rFonts w:ascii="Arial" w:hAnsi="Arial" w:eastAsia="Arial" w:cs="Arial"/>
          <w:sz w:val="21"/>
          <w:szCs w:val="21"/>
        </w:rPr>
        <w:sectPr>
          <w:footerReference r:id="rId115" w:type="default"/>
          <w:pgSz w:w="11905" w:h="16840"/>
          <w:pgMar w:top="400" w:right="1238" w:bottom="1213" w:left="1237" w:header="0" w:footer="898" w:gutter="0"/>
        </w:sect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before="65" w:line="277" w:lineRule="exact"/>
        <w:ind w:left="1041"/>
        <w:rPr>
          <w:rFonts w:ascii="宋体" w:hAnsi="宋体" w:eastAsia="宋体" w:cs="宋体"/>
          <w:sz w:val="20"/>
          <w:szCs w:val="20"/>
        </w:rPr>
      </w:pPr>
      <w:r>
        <w:rPr>
          <w:rFonts w:ascii="宋体" w:hAnsi="宋体" w:eastAsia="宋体" w:cs="宋体"/>
          <w:b/>
          <w:bCs/>
          <w:spacing w:val="-14"/>
          <w:position w:val="1"/>
          <w:sz w:val="20"/>
          <w:szCs w:val="20"/>
        </w:rPr>
        <w:t>1.</w:t>
      </w:r>
      <w:r>
        <w:rPr>
          <w:rFonts w:ascii="宋体" w:hAnsi="宋体" w:eastAsia="宋体" w:cs="宋体"/>
          <w:spacing w:val="8"/>
          <w:position w:val="1"/>
          <w:sz w:val="20"/>
          <w:szCs w:val="20"/>
        </w:rPr>
        <w:t xml:space="preserve"> </w:t>
      </w:r>
      <w:r>
        <w:rPr>
          <w:rFonts w:ascii="宋体" w:hAnsi="宋体" w:eastAsia="宋体" w:cs="宋体"/>
          <w:b/>
          <w:bCs/>
          <w:spacing w:val="-14"/>
          <w:position w:val="1"/>
          <w:sz w:val="20"/>
          <w:szCs w:val="20"/>
        </w:rPr>
        <w:t>说明</w:t>
      </w:r>
    </w:p>
    <w:p>
      <w:pPr>
        <w:spacing w:before="83" w:line="316" w:lineRule="auto"/>
        <w:ind w:left="606" w:right="603" w:firstLine="415"/>
        <w:rPr>
          <w:rFonts w:ascii="宋体" w:hAnsi="宋体" w:eastAsia="宋体" w:cs="宋体"/>
          <w:sz w:val="20"/>
          <w:szCs w:val="20"/>
        </w:rPr>
      </w:pPr>
      <w:r>
        <w:rPr>
          <w:rFonts w:ascii="宋体" w:hAnsi="宋体" w:eastAsia="宋体" w:cs="宋体"/>
          <w:spacing w:val="11"/>
          <w:sz w:val="20"/>
          <w:szCs w:val="20"/>
        </w:rPr>
        <w:t>增值税一般计税法下，税前造价各构成要素均以不含税（可抵扣进项税额）价格</w:t>
      </w:r>
      <w:r>
        <w:rPr>
          <w:rFonts w:ascii="宋体" w:hAnsi="宋体" w:eastAsia="宋体" w:cs="宋体"/>
          <w:spacing w:val="10"/>
          <w:sz w:val="20"/>
          <w:szCs w:val="20"/>
        </w:rPr>
        <w:t>计算；增值税</w:t>
      </w:r>
      <w:r>
        <w:rPr>
          <w:rFonts w:ascii="宋体" w:hAnsi="宋体" w:eastAsia="宋体" w:cs="宋体"/>
          <w:spacing w:val="9"/>
          <w:sz w:val="20"/>
          <w:szCs w:val="20"/>
        </w:rPr>
        <w:t>简易计税法下，税前造价各构成要素均以含税价格计算。</w:t>
      </w:r>
    </w:p>
    <w:p>
      <w:pPr>
        <w:spacing w:before="34" w:line="278" w:lineRule="exact"/>
        <w:ind w:left="1024"/>
        <w:rPr>
          <w:rFonts w:ascii="宋体" w:hAnsi="宋体" w:eastAsia="宋体" w:cs="宋体"/>
          <w:sz w:val="20"/>
          <w:szCs w:val="20"/>
        </w:rPr>
      </w:pPr>
      <w:r>
        <w:rPr>
          <w:rFonts w:ascii="宋体" w:hAnsi="宋体" w:eastAsia="宋体" w:cs="宋体"/>
          <w:b/>
          <w:bCs/>
          <w:spacing w:val="3"/>
          <w:position w:val="1"/>
          <w:sz w:val="20"/>
          <w:szCs w:val="20"/>
        </w:rPr>
        <w:t>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计费基础及其计算方法</w:t>
      </w:r>
    </w:p>
    <w:p>
      <w:pPr>
        <w:pStyle w:val="2"/>
        <w:spacing w:before="9" w:line="190" w:lineRule="auto"/>
        <w:ind w:left="4093"/>
        <w:rPr>
          <w:sz w:val="20"/>
          <w:szCs w:val="20"/>
        </w:rPr>
      </w:pPr>
      <w:r>
        <w:rPr>
          <w:spacing w:val="9"/>
          <w:sz w:val="20"/>
          <w:szCs w:val="20"/>
        </w:rPr>
        <w:t>计费基础及其计算方法</w:t>
      </w:r>
    </w:p>
    <w:tbl>
      <w:tblPr>
        <w:tblStyle w:val="5"/>
        <w:tblW w:w="1025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0"/>
        <w:gridCol w:w="708"/>
        <w:gridCol w:w="2202"/>
        <w:gridCol w:w="711"/>
        <w:gridCol w:w="54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9" w:hRule="atLeast"/>
        </w:trPr>
        <w:tc>
          <w:tcPr>
            <w:tcW w:w="1220" w:type="dxa"/>
            <w:tcBorders>
              <w:top w:val="single" w:color="000000" w:sz="6" w:space="0"/>
              <w:left w:val="single" w:color="000000" w:sz="6" w:space="0"/>
            </w:tcBorders>
            <w:vAlign w:val="top"/>
          </w:tcPr>
          <w:p>
            <w:pPr>
              <w:spacing w:before="150" w:line="209" w:lineRule="auto"/>
              <w:ind w:left="195"/>
              <w:rPr>
                <w:rFonts w:ascii="微软雅黑" w:hAnsi="微软雅黑" w:eastAsia="微软雅黑" w:cs="微软雅黑"/>
                <w:sz w:val="20"/>
                <w:szCs w:val="20"/>
              </w:rPr>
            </w:pPr>
            <w:r>
              <w:rPr>
                <w:rFonts w:ascii="微软雅黑" w:hAnsi="微软雅黑" w:eastAsia="微软雅黑" w:cs="微软雅黑"/>
                <w:spacing w:val="6"/>
                <w:sz w:val="20"/>
                <w:szCs w:val="20"/>
              </w:rPr>
              <w:t>专业工程</w:t>
            </w:r>
          </w:p>
        </w:tc>
        <w:tc>
          <w:tcPr>
            <w:tcW w:w="3621" w:type="dxa"/>
            <w:gridSpan w:val="3"/>
            <w:tcBorders>
              <w:top w:val="single" w:color="000000" w:sz="6" w:space="0"/>
            </w:tcBorders>
            <w:vAlign w:val="top"/>
          </w:tcPr>
          <w:p>
            <w:pPr>
              <w:spacing w:before="150" w:line="209" w:lineRule="auto"/>
              <w:ind w:left="1391"/>
              <w:rPr>
                <w:rFonts w:ascii="微软雅黑" w:hAnsi="微软雅黑" w:eastAsia="微软雅黑" w:cs="微软雅黑"/>
                <w:sz w:val="20"/>
                <w:szCs w:val="20"/>
              </w:rPr>
            </w:pPr>
            <w:r>
              <w:rPr>
                <w:rFonts w:ascii="微软雅黑" w:hAnsi="微软雅黑" w:eastAsia="微软雅黑" w:cs="微软雅黑"/>
                <w:spacing w:val="7"/>
                <w:sz w:val="20"/>
                <w:szCs w:val="20"/>
              </w:rPr>
              <w:t>计费基础</w:t>
            </w:r>
          </w:p>
        </w:tc>
        <w:tc>
          <w:tcPr>
            <w:tcW w:w="5415" w:type="dxa"/>
            <w:tcBorders>
              <w:top w:val="single" w:color="000000" w:sz="6" w:space="0"/>
              <w:right w:val="single" w:color="000000" w:sz="6" w:space="0"/>
            </w:tcBorders>
            <w:vAlign w:val="top"/>
          </w:tcPr>
          <w:p>
            <w:pPr>
              <w:spacing w:before="150" w:line="209" w:lineRule="auto"/>
              <w:ind w:left="2290"/>
              <w:rPr>
                <w:rFonts w:ascii="微软雅黑" w:hAnsi="微软雅黑" w:eastAsia="微软雅黑" w:cs="微软雅黑"/>
                <w:sz w:val="20"/>
                <w:szCs w:val="20"/>
              </w:rPr>
            </w:pPr>
            <w:r>
              <w:rPr>
                <w:rFonts w:ascii="微软雅黑" w:hAnsi="微软雅黑" w:eastAsia="微软雅黑" w:cs="微软雅黑"/>
                <w:spacing w:val="7"/>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6" w:hRule="atLeast"/>
        </w:trPr>
        <w:tc>
          <w:tcPr>
            <w:tcW w:w="1220" w:type="dxa"/>
            <w:vMerge w:val="restart"/>
            <w:tcBorders>
              <w:left w:val="single" w:color="000000" w:sz="6" w:space="0"/>
              <w:bottom w:val="nil"/>
            </w:tcBorders>
            <w:vAlign w:val="top"/>
          </w:tcPr>
          <w:p>
            <w:pPr>
              <w:spacing w:before="109" w:line="334" w:lineRule="auto"/>
              <w:ind w:left="106" w:right="82" w:firstLine="77"/>
              <w:rPr>
                <w:rFonts w:ascii="宋体" w:hAnsi="宋体" w:eastAsia="宋体" w:cs="宋体"/>
                <w:sz w:val="20"/>
                <w:szCs w:val="20"/>
              </w:rPr>
            </w:pPr>
            <w:r>
              <w:rPr>
                <w:rFonts w:ascii="宋体" w:hAnsi="宋体" w:eastAsia="宋体" w:cs="宋体"/>
                <w:spacing w:val="8"/>
                <w:sz w:val="20"/>
                <w:szCs w:val="20"/>
              </w:rPr>
              <w:t>建筑、装</w:t>
            </w:r>
            <w:r>
              <w:rPr>
                <w:rFonts w:ascii="宋体" w:hAnsi="宋体" w:eastAsia="宋体" w:cs="宋体"/>
                <w:spacing w:val="4"/>
                <w:sz w:val="20"/>
                <w:szCs w:val="20"/>
              </w:rPr>
              <w:t>饰、安装、</w:t>
            </w:r>
          </w:p>
          <w:p>
            <w:pPr>
              <w:spacing w:before="1" w:line="215" w:lineRule="auto"/>
              <w:ind w:left="200"/>
              <w:rPr>
                <w:rFonts w:ascii="宋体" w:hAnsi="宋体" w:eastAsia="宋体" w:cs="宋体"/>
                <w:sz w:val="20"/>
                <w:szCs w:val="20"/>
              </w:rPr>
            </w:pPr>
            <w:r>
              <w:rPr>
                <w:rFonts w:ascii="宋体" w:hAnsi="宋体" w:eastAsia="宋体" w:cs="宋体"/>
                <w:spacing w:val="4"/>
                <w:sz w:val="20"/>
                <w:szCs w:val="20"/>
              </w:rPr>
              <w:t>园林绿化</w:t>
            </w:r>
          </w:p>
          <w:p>
            <w:pPr>
              <w:spacing w:before="125" w:line="217" w:lineRule="auto"/>
              <w:ind w:left="108"/>
              <w:rPr>
                <w:rFonts w:ascii="宋体" w:hAnsi="宋体" w:eastAsia="宋体" w:cs="宋体"/>
                <w:sz w:val="20"/>
                <w:szCs w:val="20"/>
              </w:rPr>
            </w:pPr>
            <w:r>
              <w:rPr>
                <w:rFonts w:ascii="宋体" w:hAnsi="宋体" w:eastAsia="宋体" w:cs="宋体"/>
                <w:spacing w:val="-3"/>
                <w:sz w:val="20"/>
                <w:szCs w:val="20"/>
              </w:rPr>
              <w:t>工程、城市</w:t>
            </w:r>
          </w:p>
          <w:p>
            <w:pPr>
              <w:spacing w:before="123" w:line="221" w:lineRule="auto"/>
              <w:ind w:left="185"/>
              <w:rPr>
                <w:rFonts w:ascii="宋体" w:hAnsi="宋体" w:eastAsia="宋体" w:cs="宋体"/>
                <w:sz w:val="20"/>
                <w:szCs w:val="20"/>
              </w:rPr>
            </w:pPr>
            <w:r>
              <w:rPr>
                <w:rFonts w:ascii="宋体" w:hAnsi="宋体" w:eastAsia="宋体" w:cs="宋体"/>
                <w:spacing w:val="8"/>
                <w:sz w:val="20"/>
                <w:szCs w:val="20"/>
              </w:rPr>
              <w:t>地下综合</w:t>
            </w:r>
          </w:p>
          <w:p>
            <w:pPr>
              <w:spacing w:before="121" w:line="219" w:lineRule="auto"/>
              <w:ind w:left="186"/>
              <w:rPr>
                <w:rFonts w:ascii="宋体" w:hAnsi="宋体" w:eastAsia="宋体" w:cs="宋体"/>
                <w:sz w:val="20"/>
                <w:szCs w:val="20"/>
              </w:rPr>
            </w:pPr>
            <w:r>
              <w:rPr>
                <w:rFonts w:ascii="宋体" w:hAnsi="宋体" w:eastAsia="宋体" w:cs="宋体"/>
                <w:spacing w:val="7"/>
                <w:sz w:val="20"/>
                <w:szCs w:val="20"/>
              </w:rPr>
              <w:t>管廊安装</w:t>
            </w:r>
          </w:p>
          <w:p>
            <w:pPr>
              <w:spacing w:before="122" w:line="219" w:lineRule="auto"/>
              <w:ind w:left="108"/>
              <w:rPr>
                <w:rFonts w:ascii="宋体" w:hAnsi="宋体" w:eastAsia="宋体" w:cs="宋体"/>
                <w:sz w:val="20"/>
                <w:szCs w:val="20"/>
              </w:rPr>
            </w:pPr>
            <w:r>
              <w:rPr>
                <w:rFonts w:ascii="宋体" w:hAnsi="宋体" w:eastAsia="宋体" w:cs="宋体"/>
                <w:spacing w:val="-3"/>
                <w:sz w:val="20"/>
                <w:szCs w:val="20"/>
              </w:rPr>
              <w:t>工程、房屋</w:t>
            </w:r>
          </w:p>
          <w:p>
            <w:pPr>
              <w:spacing w:before="121" w:line="222" w:lineRule="auto"/>
              <w:ind w:left="107"/>
              <w:rPr>
                <w:rFonts w:ascii="宋体" w:hAnsi="宋体" w:eastAsia="宋体" w:cs="宋体"/>
                <w:sz w:val="20"/>
                <w:szCs w:val="20"/>
              </w:rPr>
            </w:pPr>
            <w:r>
              <w:rPr>
                <w:rFonts w:ascii="宋体" w:hAnsi="宋体" w:eastAsia="宋体" w:cs="宋体"/>
                <w:spacing w:val="-3"/>
                <w:sz w:val="20"/>
                <w:szCs w:val="20"/>
              </w:rPr>
              <w:t>修缮、仿古</w:t>
            </w:r>
          </w:p>
          <w:p>
            <w:pPr>
              <w:spacing w:before="118" w:line="335" w:lineRule="auto"/>
              <w:ind w:left="185" w:right="112" w:hanging="78"/>
              <w:rPr>
                <w:rFonts w:ascii="宋体" w:hAnsi="宋体" w:eastAsia="宋体" w:cs="宋体"/>
                <w:sz w:val="20"/>
                <w:szCs w:val="20"/>
              </w:rPr>
            </w:pPr>
            <w:r>
              <w:rPr>
                <w:rFonts w:ascii="宋体" w:hAnsi="宋体" w:eastAsia="宋体" w:cs="宋体"/>
                <w:spacing w:val="-3"/>
                <w:sz w:val="20"/>
                <w:szCs w:val="20"/>
              </w:rPr>
              <w:t>建筑、古建</w:t>
            </w:r>
            <w:r>
              <w:rPr>
                <w:rFonts w:ascii="宋体" w:hAnsi="宋体" w:eastAsia="宋体" w:cs="宋体"/>
                <w:spacing w:val="8"/>
                <w:sz w:val="20"/>
                <w:szCs w:val="20"/>
              </w:rPr>
              <w:t>筑修缮工</w:t>
            </w:r>
          </w:p>
          <w:p>
            <w:pPr>
              <w:spacing w:before="7" w:line="208" w:lineRule="auto"/>
              <w:ind w:left="499"/>
              <w:rPr>
                <w:rFonts w:ascii="宋体" w:hAnsi="宋体" w:eastAsia="宋体" w:cs="宋体"/>
                <w:sz w:val="20"/>
                <w:szCs w:val="20"/>
              </w:rPr>
            </w:pPr>
            <w:r>
              <w:rPr>
                <w:rFonts w:ascii="宋体" w:hAnsi="宋体" w:eastAsia="宋体" w:cs="宋体"/>
                <w:spacing w:val="4"/>
                <w:sz w:val="20"/>
                <w:szCs w:val="20"/>
              </w:rPr>
              <w:t>程</w:t>
            </w:r>
          </w:p>
        </w:tc>
        <w:tc>
          <w:tcPr>
            <w:tcW w:w="708" w:type="dxa"/>
            <w:vMerge w:val="restart"/>
            <w:tcBorders>
              <w:bottom w:val="nil"/>
            </w:tcBorders>
            <w:textDirection w:val="tbRlV"/>
            <w:vAlign w:val="top"/>
          </w:tcPr>
          <w:p>
            <w:pPr>
              <w:spacing w:before="254" w:line="219" w:lineRule="auto"/>
              <w:ind w:left="1557"/>
              <w:rPr>
                <w:rFonts w:ascii="宋体" w:hAnsi="宋体" w:eastAsia="宋体" w:cs="宋体"/>
                <w:sz w:val="20"/>
                <w:szCs w:val="20"/>
              </w:rPr>
            </w:pPr>
            <w:r>
              <w:rPr>
                <w:rFonts w:ascii="宋体" w:hAnsi="宋体" w:eastAsia="宋体" w:cs="宋体"/>
                <w:spacing w:val="-12"/>
                <w:sz w:val="20"/>
                <w:szCs w:val="20"/>
              </w:rPr>
              <w:t>人  工  费</w:t>
            </w:r>
          </w:p>
        </w:tc>
        <w:tc>
          <w:tcPr>
            <w:tcW w:w="2202" w:type="dxa"/>
            <w:vMerge w:val="restart"/>
            <w:tcBorders>
              <w:bottom w:val="nil"/>
            </w:tcBorders>
            <w:vAlign w:val="top"/>
          </w:tcPr>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65" w:line="334" w:lineRule="auto"/>
              <w:ind w:left="887" w:right="893"/>
              <w:rPr>
                <w:rFonts w:ascii="宋体" w:hAnsi="宋体" w:eastAsia="宋体" w:cs="宋体"/>
                <w:sz w:val="20"/>
                <w:szCs w:val="20"/>
              </w:rPr>
            </w:pPr>
            <w:r>
              <w:rPr>
                <w:rFonts w:ascii="宋体" w:hAnsi="宋体" w:eastAsia="宋体" w:cs="宋体"/>
                <w:spacing w:val="7"/>
                <w:sz w:val="20"/>
                <w:szCs w:val="20"/>
              </w:rPr>
              <w:t>定额计价</w:t>
            </w:r>
          </w:p>
        </w:tc>
        <w:tc>
          <w:tcPr>
            <w:tcW w:w="711" w:type="dxa"/>
            <w:vMerge w:val="restart"/>
            <w:tcBorders>
              <w:bottom w:val="nil"/>
            </w:tcBorders>
            <w:vAlign w:val="top"/>
          </w:tcPr>
          <w:p>
            <w:pPr>
              <w:pStyle w:val="6"/>
              <w:spacing w:line="441" w:lineRule="auto"/>
            </w:pPr>
          </w:p>
          <w:p>
            <w:pPr>
              <w:spacing w:before="65" w:line="277" w:lineRule="exact"/>
              <w:ind w:left="189"/>
              <w:rPr>
                <w:rFonts w:ascii="宋体" w:hAnsi="宋体" w:eastAsia="宋体" w:cs="宋体"/>
                <w:sz w:val="20"/>
                <w:szCs w:val="20"/>
              </w:rPr>
            </w:pPr>
            <w:r>
              <w:rPr>
                <w:rFonts w:ascii="宋体" w:hAnsi="宋体" w:eastAsia="宋体" w:cs="宋体"/>
                <w:position w:val="2"/>
                <w:sz w:val="20"/>
                <w:szCs w:val="20"/>
              </w:rPr>
              <w:t>JD</w:t>
            </w:r>
            <w:r>
              <w:rPr>
                <w:rFonts w:ascii="宋体" w:hAnsi="宋体" w:eastAsia="宋体" w:cs="宋体"/>
                <w:spacing w:val="23"/>
                <w:position w:val="2"/>
                <w:sz w:val="20"/>
                <w:szCs w:val="20"/>
              </w:rPr>
              <w:t>1</w:t>
            </w:r>
          </w:p>
        </w:tc>
        <w:tc>
          <w:tcPr>
            <w:tcW w:w="5415" w:type="dxa"/>
            <w:tcBorders>
              <w:right w:val="single" w:color="000000" w:sz="6" w:space="0"/>
            </w:tcBorders>
            <w:vAlign w:val="top"/>
          </w:tcPr>
          <w:p>
            <w:pPr>
              <w:spacing w:before="147" w:line="219" w:lineRule="auto"/>
              <w:ind w:left="108"/>
              <w:rPr>
                <w:rFonts w:ascii="宋体" w:hAnsi="宋体" w:eastAsia="宋体" w:cs="宋体"/>
                <w:sz w:val="20"/>
                <w:szCs w:val="20"/>
              </w:rPr>
            </w:pPr>
            <w:r>
              <w:rPr>
                <w:rFonts w:ascii="宋体" w:hAnsi="宋体" w:eastAsia="宋体" w:cs="宋体"/>
                <w:spacing w:val="5"/>
                <w:sz w:val="20"/>
                <w:szCs w:val="20"/>
              </w:rPr>
              <w:t>分部分项工程的省价人工费之和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3"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continue"/>
            <w:tcBorders>
              <w:top w:val="nil"/>
            </w:tcBorders>
            <w:vAlign w:val="top"/>
          </w:tcPr>
          <w:p>
            <w:pPr>
              <w:pStyle w:val="6"/>
            </w:pPr>
          </w:p>
        </w:tc>
        <w:tc>
          <w:tcPr>
            <w:tcW w:w="5415" w:type="dxa"/>
            <w:tcBorders>
              <w:right w:val="single" w:color="000000" w:sz="6" w:space="0"/>
            </w:tcBorders>
            <w:vAlign w:val="top"/>
          </w:tcPr>
          <w:p>
            <w:pPr>
              <w:spacing w:before="108" w:line="279" w:lineRule="auto"/>
              <w:ind w:left="107" w:right="100" w:firstLine="28"/>
              <w:rPr>
                <w:rFonts w:ascii="宋体" w:hAnsi="宋体" w:eastAsia="宋体" w:cs="宋体"/>
                <w:sz w:val="20"/>
                <w:szCs w:val="20"/>
              </w:rPr>
            </w:pPr>
            <w:r>
              <w:rPr>
                <w:rFonts w:ascii="宋体" w:hAnsi="宋体" w:eastAsia="宋体" w:cs="宋体"/>
                <w:spacing w:val="-4"/>
                <w:sz w:val="20"/>
                <w:szCs w:val="20"/>
              </w:rPr>
              <w:t>∑〔分部分项工程定额∑（工日消耗量</w:t>
            </w:r>
            <w:r>
              <w:rPr>
                <w:rFonts w:ascii="宋体" w:hAnsi="宋体" w:eastAsia="宋体" w:cs="宋体"/>
                <w:spacing w:val="-57"/>
                <w:sz w:val="20"/>
                <w:szCs w:val="20"/>
              </w:rPr>
              <w:t xml:space="preserve"> </w:t>
            </w:r>
            <w:r>
              <w:rPr>
                <w:rFonts w:ascii="宋体" w:hAnsi="宋体" w:eastAsia="宋体" w:cs="宋体"/>
                <w:spacing w:val="-4"/>
                <w:sz w:val="20"/>
                <w:szCs w:val="20"/>
              </w:rPr>
              <w:t>×省人工单价</w:t>
            </w:r>
            <w:r>
              <w:rPr>
                <w:rFonts w:ascii="宋体" w:hAnsi="宋体" w:eastAsia="宋体" w:cs="宋体"/>
                <w:spacing w:val="-5"/>
                <w:sz w:val="20"/>
                <w:szCs w:val="20"/>
              </w:rPr>
              <w:t>）</w:t>
            </w:r>
            <w:r>
              <w:rPr>
                <w:rFonts w:ascii="宋体" w:hAnsi="宋体" w:eastAsia="宋体" w:cs="宋体"/>
                <w:spacing w:val="-69"/>
                <w:sz w:val="20"/>
                <w:szCs w:val="20"/>
              </w:rPr>
              <w:t xml:space="preserve"> </w:t>
            </w:r>
            <w:r>
              <w:rPr>
                <w:rFonts w:ascii="宋体" w:hAnsi="宋体" w:eastAsia="宋体" w:cs="宋体"/>
                <w:spacing w:val="-5"/>
                <w:sz w:val="20"/>
                <w:szCs w:val="20"/>
              </w:rPr>
              <w:t>×分</w:t>
            </w:r>
            <w:r>
              <w:rPr>
                <w:rFonts w:ascii="宋体" w:hAnsi="宋体" w:eastAsia="宋体" w:cs="宋体"/>
                <w:spacing w:val="5"/>
                <w:sz w:val="20"/>
                <w:szCs w:val="20"/>
              </w:rPr>
              <w:t>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restart"/>
            <w:tcBorders>
              <w:bottom w:val="nil"/>
            </w:tcBorders>
            <w:vAlign w:val="top"/>
          </w:tcPr>
          <w:p>
            <w:pPr>
              <w:pStyle w:val="6"/>
              <w:spacing w:line="319" w:lineRule="auto"/>
            </w:pPr>
          </w:p>
          <w:p>
            <w:pPr>
              <w:pStyle w:val="6"/>
              <w:spacing w:line="320" w:lineRule="auto"/>
            </w:pPr>
          </w:p>
          <w:p>
            <w:pPr>
              <w:spacing w:before="65" w:line="276" w:lineRule="exact"/>
              <w:ind w:left="189"/>
              <w:rPr>
                <w:rFonts w:ascii="宋体" w:hAnsi="宋体" w:eastAsia="宋体" w:cs="宋体"/>
                <w:sz w:val="20"/>
                <w:szCs w:val="20"/>
              </w:rPr>
            </w:pPr>
            <w:r>
              <w:rPr>
                <w:rFonts w:ascii="宋体" w:hAnsi="宋体" w:eastAsia="宋体" w:cs="宋体"/>
                <w:position w:val="2"/>
                <w:sz w:val="20"/>
                <w:szCs w:val="20"/>
              </w:rPr>
              <w:t>JD</w:t>
            </w:r>
            <w:r>
              <w:rPr>
                <w:rFonts w:ascii="宋体" w:hAnsi="宋体" w:eastAsia="宋体" w:cs="宋体"/>
                <w:spacing w:val="23"/>
                <w:position w:val="2"/>
                <w:sz w:val="20"/>
                <w:szCs w:val="20"/>
              </w:rPr>
              <w:t>2</w:t>
            </w:r>
          </w:p>
        </w:tc>
        <w:tc>
          <w:tcPr>
            <w:tcW w:w="5415" w:type="dxa"/>
            <w:tcBorders>
              <w:right w:val="single" w:color="000000" w:sz="6" w:space="0"/>
            </w:tcBorders>
            <w:vAlign w:val="top"/>
          </w:tcPr>
          <w:p>
            <w:pPr>
              <w:spacing w:before="116" w:line="276" w:lineRule="auto"/>
              <w:ind w:left="106" w:right="105"/>
              <w:rPr>
                <w:rFonts w:ascii="宋体" w:hAnsi="宋体" w:eastAsia="宋体" w:cs="宋体"/>
                <w:sz w:val="20"/>
                <w:szCs w:val="20"/>
              </w:rPr>
            </w:pPr>
            <w:r>
              <w:rPr>
                <w:rFonts w:ascii="宋体" w:hAnsi="宋体" w:eastAsia="宋体" w:cs="宋体"/>
                <w:spacing w:val="14"/>
                <w:sz w:val="20"/>
                <w:szCs w:val="20"/>
              </w:rPr>
              <w:t>单价措施项目的省价人工费之和＋</w:t>
            </w:r>
            <w:r>
              <w:rPr>
                <w:rFonts w:ascii="宋体" w:hAnsi="宋体" w:eastAsia="宋体" w:cs="宋体"/>
                <w:spacing w:val="-45"/>
                <w:sz w:val="20"/>
                <w:szCs w:val="20"/>
              </w:rPr>
              <w:t xml:space="preserve"> </w:t>
            </w:r>
            <w:r>
              <w:rPr>
                <w:rFonts w:ascii="宋体" w:hAnsi="宋体" w:eastAsia="宋体" w:cs="宋体"/>
                <w:spacing w:val="14"/>
                <w:sz w:val="20"/>
                <w:szCs w:val="20"/>
              </w:rPr>
              <w:t>总价措施费中的省价</w:t>
            </w:r>
            <w:r>
              <w:rPr>
                <w:rFonts w:ascii="宋体" w:hAnsi="宋体" w:eastAsia="宋体" w:cs="宋体"/>
                <w:spacing w:val="8"/>
                <w:sz w:val="20"/>
                <w:szCs w:val="20"/>
              </w:rPr>
              <w:t>人工费之和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9"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continue"/>
            <w:tcBorders>
              <w:top w:val="nil"/>
            </w:tcBorders>
            <w:vAlign w:val="top"/>
          </w:tcPr>
          <w:p>
            <w:pPr>
              <w:pStyle w:val="6"/>
            </w:pPr>
          </w:p>
        </w:tc>
        <w:tc>
          <w:tcPr>
            <w:tcW w:w="5415" w:type="dxa"/>
            <w:tcBorders>
              <w:right w:val="single" w:color="000000" w:sz="6" w:space="0"/>
            </w:tcBorders>
            <w:vAlign w:val="top"/>
          </w:tcPr>
          <w:p>
            <w:pPr>
              <w:spacing w:before="164" w:line="302" w:lineRule="auto"/>
              <w:ind w:left="109" w:right="102" w:firstLine="26"/>
              <w:rPr>
                <w:rFonts w:ascii="宋体" w:hAnsi="宋体" w:eastAsia="宋体" w:cs="宋体"/>
                <w:sz w:val="20"/>
                <w:szCs w:val="20"/>
              </w:rPr>
            </w:pPr>
            <w:r>
              <w:rPr>
                <w:rFonts w:ascii="宋体" w:hAnsi="宋体" w:eastAsia="宋体" w:cs="宋体"/>
                <w:spacing w:val="-4"/>
                <w:sz w:val="20"/>
                <w:szCs w:val="20"/>
              </w:rPr>
              <w:t>∑〔单价措施项目定额∑（工日消耗量</w:t>
            </w:r>
            <w:r>
              <w:rPr>
                <w:rFonts w:ascii="宋体" w:hAnsi="宋体" w:eastAsia="宋体" w:cs="宋体"/>
                <w:spacing w:val="-53"/>
                <w:sz w:val="20"/>
                <w:szCs w:val="20"/>
              </w:rPr>
              <w:t xml:space="preserve"> </w:t>
            </w:r>
            <w:r>
              <w:rPr>
                <w:rFonts w:ascii="宋体" w:hAnsi="宋体" w:eastAsia="宋体" w:cs="宋体"/>
                <w:spacing w:val="-4"/>
                <w:sz w:val="20"/>
                <w:szCs w:val="20"/>
              </w:rPr>
              <w:t>×省人工单价）</w:t>
            </w:r>
            <w:r>
              <w:rPr>
                <w:rFonts w:ascii="宋体" w:hAnsi="宋体" w:eastAsia="宋体" w:cs="宋体"/>
                <w:spacing w:val="-79"/>
                <w:sz w:val="20"/>
                <w:szCs w:val="20"/>
              </w:rPr>
              <w:t xml:space="preserve"> </w:t>
            </w:r>
            <w:r>
              <w:rPr>
                <w:rFonts w:ascii="宋体" w:hAnsi="宋体" w:eastAsia="宋体" w:cs="宋体"/>
                <w:spacing w:val="-4"/>
                <w:sz w:val="20"/>
                <w:szCs w:val="20"/>
              </w:rPr>
              <w:t>×单</w:t>
            </w:r>
            <w:r>
              <w:rPr>
                <w:rFonts w:ascii="宋体" w:hAnsi="宋体" w:eastAsia="宋体" w:cs="宋体"/>
                <w:spacing w:val="2"/>
                <w:sz w:val="20"/>
                <w:szCs w:val="20"/>
              </w:rPr>
              <w:t>价措施项目工程量〕</w:t>
            </w:r>
            <w:r>
              <w:rPr>
                <w:rFonts w:ascii="宋体" w:hAnsi="宋体" w:eastAsia="宋体" w:cs="宋体"/>
                <w:spacing w:val="-35"/>
                <w:sz w:val="20"/>
                <w:szCs w:val="20"/>
              </w:rPr>
              <w:t xml:space="preserve"> </w:t>
            </w:r>
            <w:r>
              <w:rPr>
                <w:rFonts w:ascii="宋体" w:hAnsi="宋体" w:eastAsia="宋体" w:cs="宋体"/>
                <w:spacing w:val="2"/>
                <w:sz w:val="20"/>
                <w:szCs w:val="20"/>
              </w:rPr>
              <w:t>+ ∑（</w:t>
            </w:r>
            <w:r>
              <w:rPr>
                <w:rFonts w:ascii="宋体" w:hAnsi="宋体" w:eastAsia="宋体" w:cs="宋体"/>
                <w:sz w:val="20"/>
                <w:szCs w:val="20"/>
              </w:rPr>
              <w:t>JD</w:t>
            </w:r>
            <w:r>
              <w:rPr>
                <w:rFonts w:ascii="宋体" w:hAnsi="宋体" w:eastAsia="宋体" w:cs="宋体"/>
                <w:spacing w:val="2"/>
                <w:sz w:val="20"/>
                <w:szCs w:val="20"/>
              </w:rPr>
              <w:t>1</w:t>
            </w:r>
            <w:r>
              <w:rPr>
                <w:rFonts w:ascii="宋体" w:hAnsi="宋体" w:eastAsia="宋体" w:cs="宋体"/>
                <w:spacing w:val="-45"/>
                <w:sz w:val="20"/>
                <w:szCs w:val="20"/>
              </w:rPr>
              <w:t xml:space="preserve"> </w:t>
            </w:r>
            <w:r>
              <w:rPr>
                <w:rFonts w:ascii="宋体" w:hAnsi="宋体" w:eastAsia="宋体" w:cs="宋体"/>
                <w:spacing w:val="2"/>
                <w:sz w:val="20"/>
                <w:szCs w:val="20"/>
              </w:rPr>
              <w:t>×省发措施费费率</w:t>
            </w:r>
            <w:r>
              <w:rPr>
                <w:rFonts w:ascii="宋体" w:hAnsi="宋体" w:eastAsia="宋体" w:cs="宋体"/>
                <w:spacing w:val="-44"/>
                <w:sz w:val="20"/>
                <w:szCs w:val="20"/>
              </w:rPr>
              <w:t xml:space="preserve"> </w:t>
            </w:r>
            <w:r>
              <w:rPr>
                <w:rFonts w:ascii="宋体" w:hAnsi="宋体" w:eastAsia="宋体" w:cs="宋体"/>
                <w:spacing w:val="2"/>
                <w:sz w:val="20"/>
                <w:szCs w:val="20"/>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5" w:hRule="atLeast"/>
        </w:trPr>
        <w:tc>
          <w:tcPr>
            <w:tcW w:w="1220" w:type="dxa"/>
            <w:vMerge w:val="continue"/>
            <w:tcBorders>
              <w:top w:val="nil"/>
              <w:left w:val="single" w:color="000000" w:sz="6" w:space="0"/>
            </w:tcBorders>
            <w:vAlign w:val="top"/>
          </w:tcPr>
          <w:p>
            <w:pPr>
              <w:pStyle w:val="6"/>
            </w:pPr>
          </w:p>
        </w:tc>
        <w:tc>
          <w:tcPr>
            <w:tcW w:w="708" w:type="dxa"/>
            <w:vMerge w:val="continue"/>
            <w:tcBorders>
              <w:top w:val="nil"/>
            </w:tcBorders>
            <w:textDirection w:val="tbRlV"/>
            <w:vAlign w:val="top"/>
          </w:tcPr>
          <w:p>
            <w:pPr>
              <w:pStyle w:val="6"/>
            </w:pPr>
          </w:p>
        </w:tc>
        <w:tc>
          <w:tcPr>
            <w:tcW w:w="2202" w:type="dxa"/>
            <w:vMerge w:val="continue"/>
            <w:tcBorders>
              <w:top w:val="nil"/>
            </w:tcBorders>
            <w:vAlign w:val="top"/>
          </w:tcPr>
          <w:p>
            <w:pPr>
              <w:pStyle w:val="6"/>
            </w:pPr>
          </w:p>
        </w:tc>
        <w:tc>
          <w:tcPr>
            <w:tcW w:w="711" w:type="dxa"/>
            <w:vAlign w:val="top"/>
          </w:tcPr>
          <w:p>
            <w:pPr>
              <w:pStyle w:val="6"/>
              <w:spacing w:line="257" w:lineRule="auto"/>
            </w:pPr>
          </w:p>
          <w:p>
            <w:pPr>
              <w:pStyle w:val="6"/>
              <w:spacing w:line="258" w:lineRule="auto"/>
            </w:pPr>
          </w:p>
          <w:p>
            <w:pPr>
              <w:spacing w:before="65" w:line="187" w:lineRule="auto"/>
              <w:ind w:left="283"/>
              <w:rPr>
                <w:rFonts w:ascii="宋体" w:hAnsi="宋体" w:eastAsia="宋体" w:cs="宋体"/>
                <w:sz w:val="20"/>
                <w:szCs w:val="20"/>
              </w:rPr>
            </w:pPr>
            <w:r>
              <w:rPr>
                <w:rFonts w:ascii="宋体" w:hAnsi="宋体" w:eastAsia="宋体" w:cs="宋体"/>
                <w:spacing w:val="12"/>
                <w:w w:val="129"/>
                <w:sz w:val="20"/>
                <w:szCs w:val="20"/>
              </w:rPr>
              <w:t>H</w:t>
            </w:r>
          </w:p>
        </w:tc>
        <w:tc>
          <w:tcPr>
            <w:tcW w:w="5415" w:type="dxa"/>
            <w:tcBorders>
              <w:right w:val="single" w:color="000000" w:sz="6" w:space="0"/>
            </w:tcBorders>
            <w:vAlign w:val="top"/>
          </w:tcPr>
          <w:p>
            <w:pPr>
              <w:pStyle w:val="6"/>
              <w:spacing w:line="476" w:lineRule="auto"/>
            </w:pPr>
          </w:p>
          <w:p>
            <w:pPr>
              <w:spacing w:before="65" w:line="277" w:lineRule="exact"/>
              <w:ind w:left="115"/>
              <w:rPr>
                <w:rFonts w:ascii="宋体" w:hAnsi="宋体" w:eastAsia="宋体" w:cs="宋体"/>
                <w:sz w:val="20"/>
                <w:szCs w:val="20"/>
              </w:rPr>
            </w:pPr>
            <w:r>
              <w:rPr>
                <w:rFonts w:ascii="宋体" w:hAnsi="宋体" w:eastAsia="宋体" w:cs="宋体"/>
                <w:spacing w:val="13"/>
                <w:position w:val="1"/>
                <w:sz w:val="20"/>
                <w:szCs w:val="20"/>
              </w:rPr>
              <w:t>总价措施费中人工费含量（%）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3" w:hRule="atLeast"/>
        </w:trPr>
        <w:tc>
          <w:tcPr>
            <w:tcW w:w="1220" w:type="dxa"/>
            <w:vMerge w:val="restart"/>
            <w:tcBorders>
              <w:left w:val="single" w:color="000000" w:sz="6" w:space="0"/>
              <w:bottom w:val="nil"/>
            </w:tcBorders>
            <w:vAlign w:val="top"/>
          </w:tcPr>
          <w:p>
            <w:pPr>
              <w:pStyle w:val="6"/>
              <w:spacing w:line="476" w:lineRule="auto"/>
            </w:pPr>
          </w:p>
          <w:p>
            <w:pPr>
              <w:spacing w:before="65" w:line="217" w:lineRule="auto"/>
              <w:ind w:left="109"/>
              <w:rPr>
                <w:rFonts w:ascii="宋体" w:hAnsi="宋体" w:eastAsia="宋体" w:cs="宋体"/>
                <w:sz w:val="20"/>
                <w:szCs w:val="20"/>
              </w:rPr>
            </w:pPr>
            <w:r>
              <w:rPr>
                <w:rFonts w:ascii="宋体" w:hAnsi="宋体" w:eastAsia="宋体" w:cs="宋体"/>
                <w:spacing w:val="-3"/>
                <w:sz w:val="20"/>
                <w:szCs w:val="20"/>
              </w:rPr>
              <w:t>市政、城市</w:t>
            </w:r>
          </w:p>
          <w:p>
            <w:pPr>
              <w:spacing w:before="123" w:line="221" w:lineRule="auto"/>
              <w:ind w:left="108"/>
              <w:rPr>
                <w:rFonts w:ascii="宋体" w:hAnsi="宋体" w:eastAsia="宋体" w:cs="宋体"/>
                <w:sz w:val="20"/>
                <w:szCs w:val="20"/>
              </w:rPr>
            </w:pPr>
            <w:r>
              <w:rPr>
                <w:rFonts w:ascii="宋体" w:hAnsi="宋体" w:eastAsia="宋体" w:cs="宋体"/>
                <w:spacing w:val="5"/>
                <w:sz w:val="20"/>
                <w:szCs w:val="20"/>
              </w:rPr>
              <w:t>地</w:t>
            </w:r>
            <w:r>
              <w:rPr>
                <w:rFonts w:ascii="宋体" w:hAnsi="宋体" w:eastAsia="宋体" w:cs="宋体"/>
                <w:spacing w:val="-43"/>
                <w:sz w:val="20"/>
                <w:szCs w:val="20"/>
              </w:rPr>
              <w:t xml:space="preserve"> </w:t>
            </w:r>
            <w:r>
              <w:rPr>
                <w:rFonts w:ascii="宋体" w:hAnsi="宋体" w:eastAsia="宋体" w:cs="宋体"/>
                <w:spacing w:val="5"/>
                <w:sz w:val="20"/>
                <w:szCs w:val="20"/>
              </w:rPr>
              <w:t>下</w:t>
            </w:r>
            <w:r>
              <w:rPr>
                <w:rFonts w:ascii="宋体" w:hAnsi="宋体" w:eastAsia="宋体" w:cs="宋体"/>
                <w:spacing w:val="-45"/>
                <w:sz w:val="20"/>
                <w:szCs w:val="20"/>
              </w:rPr>
              <w:t xml:space="preserve"> </w:t>
            </w:r>
            <w:r>
              <w:rPr>
                <w:rFonts w:ascii="宋体" w:hAnsi="宋体" w:eastAsia="宋体" w:cs="宋体"/>
                <w:spacing w:val="5"/>
                <w:sz w:val="20"/>
                <w:szCs w:val="20"/>
              </w:rPr>
              <w:t>综</w:t>
            </w:r>
            <w:r>
              <w:rPr>
                <w:rFonts w:ascii="宋体" w:hAnsi="宋体" w:eastAsia="宋体" w:cs="宋体"/>
                <w:spacing w:val="-45"/>
                <w:sz w:val="20"/>
                <w:szCs w:val="20"/>
              </w:rPr>
              <w:t xml:space="preserve"> </w:t>
            </w:r>
            <w:r>
              <w:rPr>
                <w:rFonts w:ascii="宋体" w:hAnsi="宋体" w:eastAsia="宋体" w:cs="宋体"/>
                <w:spacing w:val="5"/>
                <w:sz w:val="20"/>
                <w:szCs w:val="20"/>
              </w:rPr>
              <w:t>合</w:t>
            </w:r>
          </w:p>
          <w:p>
            <w:pPr>
              <w:spacing w:before="118" w:line="223" w:lineRule="auto"/>
              <w:ind w:left="110"/>
              <w:rPr>
                <w:rFonts w:ascii="宋体" w:hAnsi="宋体" w:eastAsia="宋体" w:cs="宋体"/>
                <w:sz w:val="20"/>
                <w:szCs w:val="20"/>
              </w:rPr>
            </w:pPr>
            <w:r>
              <w:rPr>
                <w:rFonts w:ascii="宋体" w:hAnsi="宋体" w:eastAsia="宋体" w:cs="宋体"/>
                <w:spacing w:val="4"/>
                <w:sz w:val="20"/>
                <w:szCs w:val="20"/>
              </w:rPr>
              <w:t>管</w:t>
            </w:r>
            <w:r>
              <w:rPr>
                <w:rFonts w:ascii="宋体" w:hAnsi="宋体" w:eastAsia="宋体" w:cs="宋体"/>
                <w:spacing w:val="-45"/>
                <w:sz w:val="20"/>
                <w:szCs w:val="20"/>
              </w:rPr>
              <w:t xml:space="preserve"> </w:t>
            </w:r>
            <w:r>
              <w:rPr>
                <w:rFonts w:ascii="宋体" w:hAnsi="宋体" w:eastAsia="宋体" w:cs="宋体"/>
                <w:spacing w:val="4"/>
                <w:sz w:val="20"/>
                <w:szCs w:val="20"/>
              </w:rPr>
              <w:t>廊</w:t>
            </w:r>
            <w:r>
              <w:rPr>
                <w:rFonts w:ascii="宋体" w:hAnsi="宋体" w:eastAsia="宋体" w:cs="宋体"/>
                <w:spacing w:val="-43"/>
                <w:sz w:val="20"/>
                <w:szCs w:val="20"/>
              </w:rPr>
              <w:t xml:space="preserve"> </w:t>
            </w:r>
            <w:r>
              <w:rPr>
                <w:rFonts w:ascii="宋体" w:hAnsi="宋体" w:eastAsia="宋体" w:cs="宋体"/>
                <w:spacing w:val="4"/>
                <w:sz w:val="20"/>
                <w:szCs w:val="20"/>
              </w:rPr>
              <w:t>建</w:t>
            </w:r>
            <w:r>
              <w:rPr>
                <w:rFonts w:ascii="宋体" w:hAnsi="宋体" w:eastAsia="宋体" w:cs="宋体"/>
                <w:spacing w:val="-42"/>
                <w:sz w:val="20"/>
                <w:szCs w:val="20"/>
              </w:rPr>
              <w:t xml:space="preserve"> </w:t>
            </w:r>
            <w:r>
              <w:rPr>
                <w:rFonts w:ascii="宋体" w:hAnsi="宋体" w:eastAsia="宋体" w:cs="宋体"/>
                <w:spacing w:val="4"/>
                <w:sz w:val="20"/>
                <w:szCs w:val="20"/>
              </w:rPr>
              <w:t>筑</w:t>
            </w:r>
          </w:p>
          <w:p>
            <w:pPr>
              <w:spacing w:before="121" w:line="219" w:lineRule="auto"/>
              <w:ind w:left="113"/>
              <w:rPr>
                <w:rFonts w:ascii="宋体" w:hAnsi="宋体" w:eastAsia="宋体" w:cs="宋体"/>
                <w:sz w:val="20"/>
                <w:szCs w:val="20"/>
              </w:rPr>
            </w:pPr>
            <w:r>
              <w:rPr>
                <w:rFonts w:ascii="宋体" w:hAnsi="宋体" w:eastAsia="宋体" w:cs="宋体"/>
                <w:spacing w:val="3"/>
                <w:sz w:val="20"/>
                <w:szCs w:val="20"/>
              </w:rPr>
              <w:t>与</w:t>
            </w:r>
            <w:r>
              <w:rPr>
                <w:rFonts w:ascii="宋体" w:hAnsi="宋体" w:eastAsia="宋体" w:cs="宋体"/>
                <w:spacing w:val="-43"/>
                <w:sz w:val="20"/>
                <w:szCs w:val="20"/>
              </w:rPr>
              <w:t xml:space="preserve"> </w:t>
            </w:r>
            <w:r>
              <w:rPr>
                <w:rFonts w:ascii="宋体" w:hAnsi="宋体" w:eastAsia="宋体" w:cs="宋体"/>
                <w:spacing w:val="3"/>
                <w:sz w:val="20"/>
                <w:szCs w:val="20"/>
              </w:rPr>
              <w:t>装</w:t>
            </w:r>
            <w:r>
              <w:rPr>
                <w:rFonts w:ascii="宋体" w:hAnsi="宋体" w:eastAsia="宋体" w:cs="宋体"/>
                <w:spacing w:val="-44"/>
                <w:sz w:val="20"/>
                <w:szCs w:val="20"/>
              </w:rPr>
              <w:t xml:space="preserve"> </w:t>
            </w:r>
            <w:r>
              <w:rPr>
                <w:rFonts w:ascii="宋体" w:hAnsi="宋体" w:eastAsia="宋体" w:cs="宋体"/>
                <w:spacing w:val="3"/>
                <w:sz w:val="20"/>
                <w:szCs w:val="20"/>
              </w:rPr>
              <w:t>饰</w:t>
            </w:r>
            <w:r>
              <w:rPr>
                <w:rFonts w:ascii="宋体" w:hAnsi="宋体" w:eastAsia="宋体" w:cs="宋体"/>
                <w:spacing w:val="-43"/>
                <w:sz w:val="20"/>
                <w:szCs w:val="20"/>
              </w:rPr>
              <w:t xml:space="preserve"> </w:t>
            </w:r>
            <w:r>
              <w:rPr>
                <w:rFonts w:ascii="宋体" w:hAnsi="宋体" w:eastAsia="宋体" w:cs="宋体"/>
                <w:spacing w:val="3"/>
                <w:sz w:val="20"/>
                <w:szCs w:val="20"/>
              </w:rPr>
              <w:t>工</w:t>
            </w:r>
          </w:p>
          <w:p>
            <w:pPr>
              <w:spacing w:before="123" w:line="334" w:lineRule="auto"/>
              <w:ind w:left="111" w:right="112" w:hanging="3"/>
              <w:rPr>
                <w:rFonts w:ascii="宋体" w:hAnsi="宋体" w:eastAsia="宋体" w:cs="宋体"/>
                <w:sz w:val="20"/>
                <w:szCs w:val="20"/>
              </w:rPr>
            </w:pPr>
            <w:r>
              <w:rPr>
                <w:rFonts w:ascii="宋体" w:hAnsi="宋体" w:eastAsia="宋体" w:cs="宋体"/>
                <w:spacing w:val="-3"/>
                <w:sz w:val="20"/>
                <w:szCs w:val="20"/>
              </w:rPr>
              <w:t>程、市政养</w:t>
            </w:r>
            <w:r>
              <w:rPr>
                <w:rFonts w:ascii="宋体" w:hAnsi="宋体" w:eastAsia="宋体" w:cs="宋体"/>
                <w:spacing w:val="3"/>
                <w:sz w:val="20"/>
                <w:szCs w:val="20"/>
              </w:rPr>
              <w:t>护</w:t>
            </w:r>
            <w:r>
              <w:rPr>
                <w:rFonts w:ascii="宋体" w:hAnsi="宋体" w:eastAsia="宋体" w:cs="宋体"/>
                <w:spacing w:val="-42"/>
                <w:sz w:val="20"/>
                <w:szCs w:val="20"/>
              </w:rPr>
              <w:t xml:space="preserve"> </w:t>
            </w:r>
            <w:r>
              <w:rPr>
                <w:rFonts w:ascii="宋体" w:hAnsi="宋体" w:eastAsia="宋体" w:cs="宋体"/>
                <w:spacing w:val="3"/>
                <w:sz w:val="20"/>
                <w:szCs w:val="20"/>
              </w:rPr>
              <w:t>维</w:t>
            </w:r>
            <w:r>
              <w:rPr>
                <w:rFonts w:ascii="宋体" w:hAnsi="宋体" w:eastAsia="宋体" w:cs="宋体"/>
                <w:spacing w:val="-43"/>
                <w:sz w:val="20"/>
                <w:szCs w:val="20"/>
              </w:rPr>
              <w:t xml:space="preserve"> </w:t>
            </w:r>
            <w:r>
              <w:rPr>
                <w:rFonts w:ascii="宋体" w:hAnsi="宋体" w:eastAsia="宋体" w:cs="宋体"/>
                <w:spacing w:val="3"/>
                <w:sz w:val="20"/>
                <w:szCs w:val="20"/>
              </w:rPr>
              <w:t>修</w:t>
            </w:r>
            <w:r>
              <w:rPr>
                <w:rFonts w:ascii="宋体" w:hAnsi="宋体" w:eastAsia="宋体" w:cs="宋体"/>
                <w:spacing w:val="-43"/>
                <w:sz w:val="20"/>
                <w:szCs w:val="20"/>
              </w:rPr>
              <w:t xml:space="preserve"> </w:t>
            </w:r>
            <w:r>
              <w:rPr>
                <w:rFonts w:ascii="宋体" w:hAnsi="宋体" w:eastAsia="宋体" w:cs="宋体"/>
                <w:spacing w:val="3"/>
                <w:sz w:val="20"/>
                <w:szCs w:val="20"/>
              </w:rPr>
              <w:t>工</w:t>
            </w:r>
          </w:p>
          <w:p>
            <w:pPr>
              <w:spacing w:before="6" w:line="209" w:lineRule="auto"/>
              <w:ind w:left="108"/>
              <w:rPr>
                <w:rFonts w:ascii="宋体" w:hAnsi="宋体" w:eastAsia="宋体" w:cs="宋体"/>
                <w:sz w:val="20"/>
                <w:szCs w:val="20"/>
              </w:rPr>
            </w:pPr>
            <w:r>
              <w:rPr>
                <w:rFonts w:ascii="宋体" w:hAnsi="宋体" w:eastAsia="宋体" w:cs="宋体"/>
                <w:spacing w:val="4"/>
                <w:sz w:val="20"/>
                <w:szCs w:val="20"/>
              </w:rPr>
              <w:t>程</w:t>
            </w:r>
          </w:p>
        </w:tc>
        <w:tc>
          <w:tcPr>
            <w:tcW w:w="708" w:type="dxa"/>
            <w:vMerge w:val="restart"/>
            <w:tcBorders>
              <w:bottom w:val="nil"/>
            </w:tcBorders>
            <w:textDirection w:val="tbRlV"/>
            <w:vAlign w:val="top"/>
          </w:tcPr>
          <w:p>
            <w:pPr>
              <w:spacing w:before="252" w:line="215" w:lineRule="auto"/>
              <w:ind w:left="690"/>
              <w:rPr>
                <w:rFonts w:ascii="宋体" w:hAnsi="宋体" w:eastAsia="宋体" w:cs="宋体"/>
                <w:sz w:val="20"/>
                <w:szCs w:val="20"/>
              </w:rPr>
            </w:pPr>
            <w:r>
              <w:rPr>
                <w:rFonts w:ascii="宋体" w:hAnsi="宋体" w:eastAsia="宋体" w:cs="宋体"/>
                <w:spacing w:val="7"/>
                <w:sz w:val="20"/>
                <w:szCs w:val="20"/>
              </w:rPr>
              <w:t>人 工 费 + 机 械 费</w:t>
            </w:r>
          </w:p>
        </w:tc>
        <w:tc>
          <w:tcPr>
            <w:tcW w:w="2202" w:type="dxa"/>
            <w:vMerge w:val="restart"/>
            <w:tcBorders>
              <w:bottom w:val="nil"/>
            </w:tcBorders>
            <w:vAlign w:val="top"/>
          </w:tcPr>
          <w:p>
            <w:pPr>
              <w:pStyle w:val="6"/>
              <w:spacing w:line="274" w:lineRule="auto"/>
            </w:pPr>
          </w:p>
          <w:p>
            <w:pPr>
              <w:pStyle w:val="6"/>
              <w:spacing w:line="274" w:lineRule="auto"/>
            </w:pPr>
          </w:p>
          <w:p>
            <w:pPr>
              <w:pStyle w:val="6"/>
              <w:spacing w:line="274" w:lineRule="auto"/>
            </w:pPr>
          </w:p>
          <w:p>
            <w:pPr>
              <w:pStyle w:val="6"/>
              <w:spacing w:line="274" w:lineRule="auto"/>
            </w:pPr>
          </w:p>
          <w:p>
            <w:pPr>
              <w:pStyle w:val="6"/>
              <w:spacing w:line="274" w:lineRule="auto"/>
            </w:pPr>
          </w:p>
          <w:p>
            <w:pPr>
              <w:spacing w:before="65" w:line="334" w:lineRule="auto"/>
              <w:ind w:left="887" w:right="893"/>
              <w:rPr>
                <w:rFonts w:ascii="宋体" w:hAnsi="宋体" w:eastAsia="宋体" w:cs="宋体"/>
                <w:sz w:val="20"/>
                <w:szCs w:val="20"/>
              </w:rPr>
            </w:pPr>
            <w:r>
              <w:rPr>
                <w:rFonts w:ascii="宋体" w:hAnsi="宋体" w:eastAsia="宋体" w:cs="宋体"/>
                <w:spacing w:val="7"/>
                <w:sz w:val="20"/>
                <w:szCs w:val="20"/>
              </w:rPr>
              <w:t>定额计价</w:t>
            </w:r>
          </w:p>
        </w:tc>
        <w:tc>
          <w:tcPr>
            <w:tcW w:w="711" w:type="dxa"/>
            <w:vMerge w:val="restart"/>
            <w:tcBorders>
              <w:bottom w:val="nil"/>
            </w:tcBorders>
            <w:vAlign w:val="top"/>
          </w:tcPr>
          <w:p>
            <w:pPr>
              <w:pStyle w:val="6"/>
              <w:spacing w:line="451" w:lineRule="auto"/>
            </w:pPr>
          </w:p>
          <w:p>
            <w:pPr>
              <w:spacing w:before="65" w:line="277" w:lineRule="exact"/>
              <w:ind w:left="189"/>
              <w:rPr>
                <w:rFonts w:ascii="宋体" w:hAnsi="宋体" w:eastAsia="宋体" w:cs="宋体"/>
                <w:sz w:val="20"/>
                <w:szCs w:val="20"/>
              </w:rPr>
            </w:pPr>
            <w:r>
              <w:rPr>
                <w:rFonts w:ascii="宋体" w:hAnsi="宋体" w:eastAsia="宋体" w:cs="宋体"/>
                <w:position w:val="2"/>
                <w:sz w:val="20"/>
                <w:szCs w:val="20"/>
              </w:rPr>
              <w:t>JD</w:t>
            </w:r>
            <w:r>
              <w:rPr>
                <w:rFonts w:ascii="宋体" w:hAnsi="宋体" w:eastAsia="宋体" w:cs="宋体"/>
                <w:spacing w:val="23"/>
                <w:position w:val="2"/>
                <w:sz w:val="20"/>
                <w:szCs w:val="20"/>
              </w:rPr>
              <w:t>1</w:t>
            </w:r>
          </w:p>
        </w:tc>
        <w:tc>
          <w:tcPr>
            <w:tcW w:w="5415" w:type="dxa"/>
            <w:tcBorders>
              <w:right w:val="single" w:color="000000" w:sz="6" w:space="0"/>
            </w:tcBorders>
            <w:vAlign w:val="top"/>
          </w:tcPr>
          <w:p>
            <w:pPr>
              <w:spacing w:before="160" w:line="219" w:lineRule="auto"/>
              <w:ind w:left="108"/>
              <w:rPr>
                <w:rFonts w:ascii="宋体" w:hAnsi="宋体" w:eastAsia="宋体" w:cs="宋体"/>
                <w:sz w:val="20"/>
                <w:szCs w:val="20"/>
              </w:rPr>
            </w:pPr>
            <w:r>
              <w:rPr>
                <w:rFonts w:ascii="宋体" w:hAnsi="宋体" w:eastAsia="宋体" w:cs="宋体"/>
                <w:spacing w:val="9"/>
                <w:sz w:val="20"/>
                <w:szCs w:val="20"/>
              </w:rPr>
              <w:t>分部分项工程的省价人机费之和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continue"/>
            <w:tcBorders>
              <w:top w:val="nil"/>
            </w:tcBorders>
            <w:vAlign w:val="top"/>
          </w:tcPr>
          <w:p>
            <w:pPr>
              <w:pStyle w:val="6"/>
            </w:pPr>
          </w:p>
        </w:tc>
        <w:tc>
          <w:tcPr>
            <w:tcW w:w="5415" w:type="dxa"/>
            <w:tcBorders>
              <w:right w:val="single" w:color="000000" w:sz="6" w:space="0"/>
            </w:tcBorders>
            <w:vAlign w:val="top"/>
          </w:tcPr>
          <w:p>
            <w:pPr>
              <w:spacing w:before="118" w:line="275" w:lineRule="auto"/>
              <w:ind w:left="112" w:right="84" w:firstLine="23"/>
              <w:rPr>
                <w:rFonts w:ascii="宋体" w:hAnsi="宋体" w:eastAsia="宋体" w:cs="宋体"/>
                <w:sz w:val="20"/>
                <w:szCs w:val="20"/>
              </w:rPr>
            </w:pPr>
            <w:r>
              <w:rPr>
                <w:rFonts w:ascii="宋体" w:hAnsi="宋体" w:eastAsia="宋体" w:cs="宋体"/>
                <w:spacing w:val="5"/>
                <w:sz w:val="20"/>
                <w:szCs w:val="20"/>
              </w:rPr>
              <w:t>∑｛〔分部分项工程定额∑（工日消耗量</w:t>
            </w:r>
            <w:r>
              <w:rPr>
                <w:rFonts w:ascii="宋体" w:hAnsi="宋体" w:eastAsia="宋体" w:cs="宋体"/>
                <w:spacing w:val="-42"/>
                <w:sz w:val="20"/>
                <w:szCs w:val="20"/>
              </w:rPr>
              <w:t xml:space="preserve"> </w:t>
            </w:r>
            <w:r>
              <w:rPr>
                <w:rFonts w:ascii="宋体" w:hAnsi="宋体" w:eastAsia="宋体" w:cs="宋体"/>
                <w:spacing w:val="5"/>
                <w:sz w:val="20"/>
                <w:szCs w:val="20"/>
              </w:rPr>
              <w:t>×省人工单价）</w:t>
            </w:r>
            <w:r>
              <w:rPr>
                <w:rFonts w:ascii="宋体" w:hAnsi="宋体" w:eastAsia="宋体" w:cs="宋体"/>
                <w:sz w:val="20"/>
                <w:szCs w:val="20"/>
              </w:rPr>
              <w:t xml:space="preserve"> </w:t>
            </w:r>
            <w:r>
              <w:rPr>
                <w:rFonts w:ascii="宋体" w:hAnsi="宋体" w:eastAsia="宋体" w:cs="宋体"/>
                <w:spacing w:val="-2"/>
                <w:sz w:val="20"/>
                <w:szCs w:val="20"/>
              </w:rPr>
              <w:t>+</w:t>
            </w:r>
            <w:r>
              <w:rPr>
                <w:rFonts w:ascii="宋体" w:hAnsi="宋体" w:eastAsia="宋体" w:cs="宋体"/>
                <w:spacing w:val="-51"/>
                <w:sz w:val="20"/>
                <w:szCs w:val="20"/>
              </w:rPr>
              <w:t xml:space="preserve"> </w:t>
            </w:r>
            <w:r>
              <w:rPr>
                <w:rFonts w:ascii="宋体" w:hAnsi="宋体" w:eastAsia="宋体" w:cs="宋体"/>
                <w:spacing w:val="-2"/>
                <w:sz w:val="20"/>
                <w:szCs w:val="20"/>
              </w:rPr>
              <w:t>∑（机械消耗量</w:t>
            </w:r>
            <w:r>
              <w:rPr>
                <w:rFonts w:ascii="宋体" w:hAnsi="宋体" w:eastAsia="宋体" w:cs="宋体"/>
                <w:spacing w:val="-56"/>
                <w:sz w:val="20"/>
                <w:szCs w:val="20"/>
              </w:rPr>
              <w:t xml:space="preserve"> </w:t>
            </w:r>
            <w:r>
              <w:rPr>
                <w:rFonts w:ascii="宋体" w:hAnsi="宋体" w:eastAsia="宋体" w:cs="宋体"/>
                <w:spacing w:val="-2"/>
                <w:sz w:val="20"/>
                <w:szCs w:val="20"/>
              </w:rPr>
              <w:t>×省台班单价）〕</w:t>
            </w:r>
            <w:r>
              <w:rPr>
                <w:rFonts w:ascii="宋体" w:hAnsi="宋体" w:eastAsia="宋体" w:cs="宋体"/>
                <w:spacing w:val="-77"/>
                <w:sz w:val="20"/>
                <w:szCs w:val="20"/>
              </w:rPr>
              <w:t xml:space="preserve"> </w:t>
            </w:r>
            <w:r>
              <w:rPr>
                <w:rFonts w:ascii="宋体" w:hAnsi="宋体" w:eastAsia="宋体" w:cs="宋体"/>
                <w:spacing w:val="-2"/>
                <w:sz w:val="20"/>
                <w:szCs w:val="20"/>
              </w:rPr>
              <w:t>×分部分项工程量</w:t>
            </w:r>
            <w:r>
              <w:rPr>
                <w:rFonts w:ascii="宋体" w:hAnsi="宋体" w:eastAsia="宋体" w:cs="宋体"/>
                <w:spacing w:val="-54"/>
                <w:sz w:val="20"/>
                <w:szCs w:val="20"/>
              </w:rPr>
              <w:t xml:space="preserve"> </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restart"/>
            <w:tcBorders>
              <w:bottom w:val="nil"/>
            </w:tcBorders>
            <w:vAlign w:val="top"/>
          </w:tcPr>
          <w:p>
            <w:pPr>
              <w:pStyle w:val="6"/>
              <w:spacing w:line="344" w:lineRule="auto"/>
            </w:pPr>
          </w:p>
          <w:p>
            <w:pPr>
              <w:pStyle w:val="6"/>
              <w:spacing w:line="345" w:lineRule="auto"/>
            </w:pPr>
          </w:p>
          <w:p>
            <w:pPr>
              <w:spacing w:before="65" w:line="276" w:lineRule="exact"/>
              <w:ind w:left="189"/>
              <w:rPr>
                <w:rFonts w:ascii="宋体" w:hAnsi="宋体" w:eastAsia="宋体" w:cs="宋体"/>
                <w:sz w:val="20"/>
                <w:szCs w:val="20"/>
              </w:rPr>
            </w:pPr>
            <w:r>
              <w:rPr>
                <w:rFonts w:ascii="宋体" w:hAnsi="宋体" w:eastAsia="宋体" w:cs="宋体"/>
                <w:position w:val="2"/>
                <w:sz w:val="20"/>
                <w:szCs w:val="20"/>
              </w:rPr>
              <w:t>JD</w:t>
            </w:r>
            <w:r>
              <w:rPr>
                <w:rFonts w:ascii="宋体" w:hAnsi="宋体" w:eastAsia="宋体" w:cs="宋体"/>
                <w:spacing w:val="23"/>
                <w:position w:val="2"/>
                <w:sz w:val="20"/>
                <w:szCs w:val="20"/>
              </w:rPr>
              <w:t>2</w:t>
            </w:r>
          </w:p>
        </w:tc>
        <w:tc>
          <w:tcPr>
            <w:tcW w:w="5415" w:type="dxa"/>
            <w:tcBorders>
              <w:right w:val="single" w:color="000000" w:sz="6" w:space="0"/>
            </w:tcBorders>
            <w:vAlign w:val="top"/>
          </w:tcPr>
          <w:p>
            <w:pPr>
              <w:spacing w:before="122" w:line="273" w:lineRule="auto"/>
              <w:ind w:left="106" w:right="105"/>
              <w:rPr>
                <w:rFonts w:ascii="宋体" w:hAnsi="宋体" w:eastAsia="宋体" w:cs="宋体"/>
                <w:sz w:val="20"/>
                <w:szCs w:val="20"/>
              </w:rPr>
            </w:pPr>
            <w:r>
              <w:rPr>
                <w:rFonts w:ascii="宋体" w:hAnsi="宋体" w:eastAsia="宋体" w:cs="宋体"/>
                <w:spacing w:val="16"/>
                <w:sz w:val="20"/>
                <w:szCs w:val="20"/>
              </w:rPr>
              <w:t>单价措施项目的省价人机费之和＋总价措施费中的省价</w:t>
            </w:r>
            <w:r>
              <w:rPr>
                <w:rFonts w:ascii="宋体" w:hAnsi="宋体" w:eastAsia="宋体" w:cs="宋体"/>
                <w:spacing w:val="9"/>
                <w:sz w:val="20"/>
                <w:szCs w:val="20"/>
              </w:rPr>
              <w:t>人机费之和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3" w:hRule="atLeast"/>
        </w:trPr>
        <w:tc>
          <w:tcPr>
            <w:tcW w:w="1220" w:type="dxa"/>
            <w:vMerge w:val="continue"/>
            <w:tcBorders>
              <w:top w:val="nil"/>
              <w:left w:val="single" w:color="000000" w:sz="6" w:space="0"/>
              <w:bottom w:val="nil"/>
            </w:tcBorders>
            <w:vAlign w:val="top"/>
          </w:tcPr>
          <w:p>
            <w:pPr>
              <w:pStyle w:val="6"/>
            </w:pPr>
          </w:p>
        </w:tc>
        <w:tc>
          <w:tcPr>
            <w:tcW w:w="708" w:type="dxa"/>
            <w:vMerge w:val="continue"/>
            <w:tcBorders>
              <w:top w:val="nil"/>
              <w:bottom w:val="nil"/>
            </w:tcBorders>
            <w:textDirection w:val="tbRlV"/>
            <w:vAlign w:val="top"/>
          </w:tcPr>
          <w:p>
            <w:pPr>
              <w:pStyle w:val="6"/>
            </w:pPr>
          </w:p>
        </w:tc>
        <w:tc>
          <w:tcPr>
            <w:tcW w:w="2202" w:type="dxa"/>
            <w:vMerge w:val="continue"/>
            <w:tcBorders>
              <w:top w:val="nil"/>
              <w:bottom w:val="nil"/>
            </w:tcBorders>
            <w:vAlign w:val="top"/>
          </w:tcPr>
          <w:p>
            <w:pPr>
              <w:pStyle w:val="6"/>
            </w:pPr>
          </w:p>
        </w:tc>
        <w:tc>
          <w:tcPr>
            <w:tcW w:w="711" w:type="dxa"/>
            <w:vMerge w:val="continue"/>
            <w:tcBorders>
              <w:top w:val="nil"/>
            </w:tcBorders>
            <w:vAlign w:val="top"/>
          </w:tcPr>
          <w:p>
            <w:pPr>
              <w:pStyle w:val="6"/>
            </w:pPr>
          </w:p>
        </w:tc>
        <w:tc>
          <w:tcPr>
            <w:tcW w:w="5415" w:type="dxa"/>
            <w:tcBorders>
              <w:right w:val="single" w:color="000000" w:sz="6" w:space="0"/>
            </w:tcBorders>
            <w:vAlign w:val="top"/>
          </w:tcPr>
          <w:p>
            <w:pPr>
              <w:spacing w:before="213" w:line="318" w:lineRule="auto"/>
              <w:ind w:left="106" w:right="70" w:firstLine="29"/>
              <w:rPr>
                <w:rFonts w:ascii="宋体" w:hAnsi="宋体" w:eastAsia="宋体" w:cs="宋体"/>
                <w:sz w:val="20"/>
                <w:szCs w:val="20"/>
              </w:rPr>
            </w:pPr>
            <w:r>
              <w:rPr>
                <w:rFonts w:ascii="宋体" w:hAnsi="宋体" w:eastAsia="宋体" w:cs="宋体"/>
                <w:spacing w:val="-4"/>
                <w:sz w:val="20"/>
                <w:szCs w:val="20"/>
              </w:rPr>
              <w:t>∑｛〔单价措施项目定额∑（人机消耗量</w:t>
            </w:r>
            <w:r>
              <w:rPr>
                <w:rFonts w:ascii="宋体" w:hAnsi="宋体" w:eastAsia="宋体" w:cs="宋体"/>
                <w:spacing w:val="-48"/>
                <w:sz w:val="20"/>
                <w:szCs w:val="20"/>
              </w:rPr>
              <w:t xml:space="preserve"> </w:t>
            </w:r>
            <w:r>
              <w:rPr>
                <w:rFonts w:ascii="宋体" w:hAnsi="宋体" w:eastAsia="宋体" w:cs="宋体"/>
                <w:spacing w:val="-4"/>
                <w:sz w:val="20"/>
                <w:szCs w:val="20"/>
              </w:rPr>
              <w:t>×省人机单价）</w:t>
            </w:r>
            <w:r>
              <w:rPr>
                <w:rFonts w:ascii="宋体" w:hAnsi="宋体" w:eastAsia="宋体" w:cs="宋体"/>
                <w:spacing w:val="-72"/>
                <w:sz w:val="20"/>
                <w:szCs w:val="20"/>
              </w:rPr>
              <w:t xml:space="preserve"> </w:t>
            </w:r>
            <w:r>
              <w:rPr>
                <w:rFonts w:ascii="宋体" w:hAnsi="宋体" w:eastAsia="宋体" w:cs="宋体"/>
                <w:spacing w:val="-4"/>
                <w:sz w:val="20"/>
                <w:szCs w:val="20"/>
              </w:rPr>
              <w:t>×</w:t>
            </w:r>
            <w:r>
              <w:rPr>
                <w:rFonts w:ascii="宋体" w:hAnsi="宋体" w:eastAsia="宋体" w:cs="宋体"/>
                <w:spacing w:val="-3"/>
                <w:sz w:val="20"/>
                <w:szCs w:val="20"/>
              </w:rPr>
              <w:t>单价措施项目工程量〕</w:t>
            </w:r>
            <w:r>
              <w:rPr>
                <w:rFonts w:ascii="宋体" w:hAnsi="宋体" w:eastAsia="宋体" w:cs="宋体"/>
                <w:spacing w:val="-55"/>
                <w:sz w:val="20"/>
                <w:szCs w:val="20"/>
              </w:rPr>
              <w:t xml:space="preserve"> </w:t>
            </w:r>
            <w:r>
              <w:rPr>
                <w:rFonts w:ascii="宋体" w:hAnsi="宋体" w:eastAsia="宋体" w:cs="宋体"/>
                <w:spacing w:val="-3"/>
                <w:sz w:val="20"/>
                <w:szCs w:val="20"/>
              </w:rPr>
              <w:t>｝+</w:t>
            </w:r>
            <w:r>
              <w:rPr>
                <w:rFonts w:ascii="宋体" w:hAnsi="宋体" w:eastAsia="宋体" w:cs="宋体"/>
                <w:spacing w:val="-21"/>
                <w:sz w:val="20"/>
                <w:szCs w:val="20"/>
              </w:rPr>
              <w:t xml:space="preserve"> </w:t>
            </w:r>
            <w:r>
              <w:rPr>
                <w:rFonts w:ascii="宋体" w:hAnsi="宋体" w:eastAsia="宋体" w:cs="宋体"/>
                <w:spacing w:val="-3"/>
                <w:sz w:val="20"/>
                <w:szCs w:val="20"/>
              </w:rPr>
              <w:t>∑（JD1</w:t>
            </w:r>
            <w:r>
              <w:rPr>
                <w:rFonts w:ascii="宋体" w:hAnsi="宋体" w:eastAsia="宋体" w:cs="宋体"/>
                <w:spacing w:val="-52"/>
                <w:sz w:val="20"/>
                <w:szCs w:val="20"/>
              </w:rPr>
              <w:t xml:space="preserve"> </w:t>
            </w:r>
            <w:r>
              <w:rPr>
                <w:rFonts w:ascii="宋体" w:hAnsi="宋体" w:eastAsia="宋体" w:cs="宋体"/>
                <w:spacing w:val="-3"/>
                <w:sz w:val="20"/>
                <w:szCs w:val="20"/>
              </w:rPr>
              <w:t>×省发</w:t>
            </w:r>
            <w:r>
              <w:rPr>
                <w:rFonts w:ascii="宋体" w:hAnsi="宋体" w:eastAsia="宋体" w:cs="宋体"/>
                <w:spacing w:val="-4"/>
                <w:sz w:val="20"/>
                <w:szCs w:val="20"/>
              </w:rPr>
              <w:t>措施费费率</w:t>
            </w:r>
            <w:r>
              <w:rPr>
                <w:rFonts w:ascii="宋体" w:hAnsi="宋体" w:eastAsia="宋体" w:cs="宋体"/>
                <w:spacing w:val="-54"/>
                <w:sz w:val="20"/>
                <w:szCs w:val="20"/>
              </w:rPr>
              <w:t xml:space="preserve"> </w:t>
            </w:r>
            <w:r>
              <w:rPr>
                <w:rFonts w:ascii="宋体" w:hAnsi="宋体" w:eastAsia="宋体" w:cs="宋体"/>
                <w:spacing w:val="-4"/>
                <w:sz w:val="20"/>
                <w:szCs w:val="20"/>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7" w:hRule="atLeast"/>
        </w:trPr>
        <w:tc>
          <w:tcPr>
            <w:tcW w:w="1220" w:type="dxa"/>
            <w:vMerge w:val="continue"/>
            <w:tcBorders>
              <w:top w:val="nil"/>
              <w:left w:val="single" w:color="000000" w:sz="6" w:space="0"/>
              <w:bottom w:val="single" w:color="000000" w:sz="6" w:space="0"/>
            </w:tcBorders>
            <w:vAlign w:val="top"/>
          </w:tcPr>
          <w:p>
            <w:pPr>
              <w:pStyle w:val="6"/>
            </w:pPr>
          </w:p>
        </w:tc>
        <w:tc>
          <w:tcPr>
            <w:tcW w:w="708" w:type="dxa"/>
            <w:vMerge w:val="continue"/>
            <w:tcBorders>
              <w:top w:val="nil"/>
              <w:bottom w:val="single" w:color="000000" w:sz="6" w:space="0"/>
            </w:tcBorders>
            <w:textDirection w:val="tbRlV"/>
            <w:vAlign w:val="top"/>
          </w:tcPr>
          <w:p>
            <w:pPr>
              <w:pStyle w:val="6"/>
            </w:pPr>
          </w:p>
        </w:tc>
        <w:tc>
          <w:tcPr>
            <w:tcW w:w="2202" w:type="dxa"/>
            <w:vMerge w:val="continue"/>
            <w:tcBorders>
              <w:top w:val="nil"/>
              <w:bottom w:val="single" w:color="000000" w:sz="6" w:space="0"/>
            </w:tcBorders>
            <w:vAlign w:val="top"/>
          </w:tcPr>
          <w:p>
            <w:pPr>
              <w:pStyle w:val="6"/>
            </w:pPr>
          </w:p>
        </w:tc>
        <w:tc>
          <w:tcPr>
            <w:tcW w:w="711" w:type="dxa"/>
            <w:tcBorders>
              <w:bottom w:val="single" w:color="000000" w:sz="6" w:space="0"/>
            </w:tcBorders>
            <w:vAlign w:val="top"/>
          </w:tcPr>
          <w:p>
            <w:pPr>
              <w:spacing w:before="247" w:line="187" w:lineRule="auto"/>
              <w:ind w:left="283"/>
              <w:rPr>
                <w:rFonts w:ascii="宋体" w:hAnsi="宋体" w:eastAsia="宋体" w:cs="宋体"/>
                <w:sz w:val="20"/>
                <w:szCs w:val="20"/>
              </w:rPr>
            </w:pPr>
            <w:r>
              <w:rPr>
                <w:rFonts w:ascii="宋体" w:hAnsi="宋体" w:eastAsia="宋体" w:cs="宋体"/>
                <w:spacing w:val="12"/>
                <w:w w:val="129"/>
                <w:sz w:val="20"/>
                <w:szCs w:val="20"/>
              </w:rPr>
              <w:t>H</w:t>
            </w:r>
          </w:p>
        </w:tc>
        <w:tc>
          <w:tcPr>
            <w:tcW w:w="5415" w:type="dxa"/>
            <w:tcBorders>
              <w:bottom w:val="single" w:color="000000" w:sz="6" w:space="0"/>
              <w:right w:val="single" w:color="000000" w:sz="6" w:space="0"/>
            </w:tcBorders>
            <w:vAlign w:val="top"/>
          </w:tcPr>
          <w:p>
            <w:pPr>
              <w:spacing w:before="208" w:line="276" w:lineRule="exact"/>
              <w:ind w:left="115"/>
              <w:rPr>
                <w:rFonts w:ascii="宋体" w:hAnsi="宋体" w:eastAsia="宋体" w:cs="宋体"/>
                <w:sz w:val="20"/>
                <w:szCs w:val="20"/>
              </w:rPr>
            </w:pPr>
            <w:r>
              <w:rPr>
                <w:rFonts w:ascii="宋体" w:hAnsi="宋体" w:eastAsia="宋体" w:cs="宋体"/>
                <w:spacing w:val="13"/>
                <w:position w:val="1"/>
                <w:sz w:val="20"/>
                <w:szCs w:val="20"/>
              </w:rPr>
              <w:t>总价措施费中人机费含量（%）</w:t>
            </w:r>
          </w:p>
        </w:tc>
      </w:tr>
    </w:tbl>
    <w:p>
      <w:pPr>
        <w:spacing w:before="116" w:line="278" w:lineRule="exact"/>
        <w:ind w:left="1027"/>
        <w:rPr>
          <w:rFonts w:ascii="宋体" w:hAnsi="宋体" w:eastAsia="宋体" w:cs="宋体"/>
          <w:sz w:val="20"/>
          <w:szCs w:val="20"/>
        </w:rPr>
      </w:pPr>
      <w:r>
        <w:rPr>
          <w:rFonts w:ascii="宋体" w:hAnsi="宋体" w:eastAsia="宋体" w:cs="宋体"/>
          <w:b/>
          <w:bCs/>
          <w:spacing w:val="3"/>
          <w:position w:val="1"/>
          <w:sz w:val="20"/>
          <w:szCs w:val="20"/>
        </w:rPr>
        <w:t>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建筑工程智慧工地费用的计算</w:t>
      </w:r>
    </w:p>
    <w:p>
      <w:pPr>
        <w:spacing w:before="71" w:line="221" w:lineRule="auto"/>
        <w:ind w:left="1021"/>
        <w:rPr>
          <w:rFonts w:ascii="宋体" w:hAnsi="宋体" w:eastAsia="宋体" w:cs="宋体"/>
          <w:sz w:val="20"/>
          <w:szCs w:val="20"/>
        </w:rPr>
      </w:pPr>
      <w:r>
        <w:rPr>
          <w:rFonts w:ascii="宋体" w:hAnsi="宋体" w:eastAsia="宋体" w:cs="宋体"/>
          <w:spacing w:val="9"/>
          <w:sz w:val="20"/>
          <w:szCs w:val="20"/>
        </w:rPr>
        <w:t>单价措施费中的智慧工地费用，除税金外不参与其他费用的计取。</w:t>
      </w:r>
    </w:p>
    <w:p>
      <w:pPr>
        <w:spacing w:before="95" w:line="278" w:lineRule="exact"/>
        <w:ind w:left="1021"/>
        <w:rPr>
          <w:rFonts w:ascii="宋体" w:hAnsi="宋体" w:eastAsia="宋体" w:cs="宋体"/>
          <w:sz w:val="20"/>
          <w:szCs w:val="20"/>
        </w:rPr>
      </w:pPr>
      <w:r>
        <w:rPr>
          <w:rFonts w:ascii="宋体" w:hAnsi="宋体" w:eastAsia="宋体" w:cs="宋体"/>
          <w:b/>
          <w:bCs/>
          <w:spacing w:val="4"/>
          <w:position w:val="1"/>
          <w:sz w:val="20"/>
          <w:szCs w:val="20"/>
        </w:rPr>
        <w:t>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市政工程智慧工地费用的计算</w:t>
      </w:r>
    </w:p>
    <w:p>
      <w:pPr>
        <w:spacing w:before="63" w:line="310" w:lineRule="auto"/>
        <w:ind w:left="601" w:right="519" w:firstLine="420"/>
        <w:jc w:val="both"/>
        <w:rPr>
          <w:rFonts w:ascii="宋体" w:hAnsi="宋体" w:eastAsia="宋体" w:cs="宋体"/>
          <w:sz w:val="20"/>
          <w:szCs w:val="20"/>
        </w:rPr>
      </w:pPr>
      <w:r>
        <w:rPr>
          <w:rFonts w:ascii="宋体" w:hAnsi="宋体" w:eastAsia="宋体" w:cs="宋体"/>
          <w:spacing w:val="10"/>
          <w:sz w:val="20"/>
          <w:szCs w:val="20"/>
        </w:rPr>
        <w:t>按照《山东省住房和城乡建设厅关于计取市政工程智慧工地建设费</w:t>
      </w:r>
      <w:r>
        <w:rPr>
          <w:rFonts w:ascii="宋体" w:hAnsi="宋体" w:eastAsia="宋体" w:cs="宋体"/>
          <w:spacing w:val="9"/>
          <w:sz w:val="20"/>
          <w:szCs w:val="20"/>
        </w:rPr>
        <w:t>用的通知》</w:t>
      </w:r>
      <w:r>
        <w:rPr>
          <w:rFonts w:ascii="宋体" w:hAnsi="宋体" w:eastAsia="宋体" w:cs="宋体"/>
          <w:spacing w:val="-51"/>
          <w:sz w:val="20"/>
          <w:szCs w:val="20"/>
        </w:rPr>
        <w:t xml:space="preserve"> </w:t>
      </w:r>
      <w:r>
        <w:rPr>
          <w:rFonts w:ascii="宋体" w:hAnsi="宋体" w:eastAsia="宋体" w:cs="宋体"/>
          <w:spacing w:val="9"/>
          <w:sz w:val="20"/>
          <w:szCs w:val="20"/>
        </w:rPr>
        <w:t>，市政工程总价</w:t>
      </w:r>
      <w:r>
        <w:rPr>
          <w:rFonts w:ascii="宋体" w:hAnsi="宋体" w:eastAsia="宋体" w:cs="宋体"/>
          <w:spacing w:val="8"/>
          <w:sz w:val="20"/>
          <w:szCs w:val="20"/>
        </w:rPr>
        <w:t>措施费中增加“市政工程智慧工地建设费”项目，“市政工程智慧工地建设费”为包括企业</w:t>
      </w:r>
      <w:r>
        <w:rPr>
          <w:rFonts w:ascii="宋体" w:hAnsi="宋体" w:eastAsia="宋体" w:cs="宋体"/>
          <w:spacing w:val="7"/>
          <w:sz w:val="20"/>
          <w:szCs w:val="20"/>
        </w:rPr>
        <w:t>管理费、</w:t>
      </w:r>
      <w:r>
        <w:rPr>
          <w:rFonts w:ascii="宋体" w:hAnsi="宋体" w:eastAsia="宋体" w:cs="宋体"/>
          <w:spacing w:val="9"/>
          <w:sz w:val="20"/>
          <w:szCs w:val="20"/>
        </w:rPr>
        <w:t>利润、规费及建筑业增值税在内的全费用价格。</w:t>
      </w:r>
    </w:p>
    <w:p>
      <w:pPr>
        <w:spacing w:before="13" w:line="278" w:lineRule="exact"/>
        <w:ind w:left="1024"/>
        <w:rPr>
          <w:rFonts w:ascii="宋体" w:hAnsi="宋体" w:eastAsia="宋体" w:cs="宋体"/>
          <w:sz w:val="20"/>
          <w:szCs w:val="20"/>
        </w:rPr>
      </w:pPr>
      <w:r>
        <w:rPr>
          <w:rFonts w:ascii="宋体" w:hAnsi="宋体" w:eastAsia="宋体" w:cs="宋体"/>
          <w:b/>
          <w:bCs/>
          <w:spacing w:val="3"/>
          <w:position w:val="1"/>
          <w:sz w:val="20"/>
          <w:szCs w:val="20"/>
        </w:rPr>
        <w:t>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疫情防控措施费的计算</w:t>
      </w:r>
    </w:p>
    <w:p>
      <w:pPr>
        <w:spacing w:before="63" w:line="311" w:lineRule="auto"/>
        <w:ind w:left="604" w:right="600" w:firstLine="420"/>
        <w:rPr>
          <w:rFonts w:ascii="宋体" w:hAnsi="宋体" w:eastAsia="宋体" w:cs="宋体"/>
          <w:sz w:val="20"/>
          <w:szCs w:val="20"/>
        </w:rPr>
      </w:pPr>
      <w:r>
        <w:rPr>
          <w:rFonts w:ascii="宋体" w:hAnsi="宋体" w:eastAsia="宋体" w:cs="宋体"/>
          <w:spacing w:val="6"/>
          <w:sz w:val="20"/>
          <w:szCs w:val="20"/>
        </w:rPr>
        <w:t>2024</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39"/>
          <w:sz w:val="20"/>
          <w:szCs w:val="20"/>
        </w:rPr>
        <w:t xml:space="preserve"> </w:t>
      </w:r>
      <w:r>
        <w:rPr>
          <w:rFonts w:ascii="宋体" w:hAnsi="宋体" w:eastAsia="宋体" w:cs="宋体"/>
          <w:spacing w:val="6"/>
          <w:sz w:val="20"/>
          <w:szCs w:val="20"/>
        </w:rPr>
        <w:t>3</w:t>
      </w:r>
      <w:r>
        <w:rPr>
          <w:rFonts w:ascii="宋体" w:hAnsi="宋体" w:eastAsia="宋体" w:cs="宋体"/>
          <w:spacing w:val="-40"/>
          <w:sz w:val="20"/>
          <w:szCs w:val="20"/>
        </w:rPr>
        <w:t xml:space="preserve"> </w:t>
      </w:r>
      <w:r>
        <w:rPr>
          <w:rFonts w:ascii="宋体" w:hAnsi="宋体" w:eastAsia="宋体" w:cs="宋体"/>
          <w:spacing w:val="6"/>
          <w:sz w:val="20"/>
          <w:szCs w:val="20"/>
        </w:rPr>
        <w:t>月</w:t>
      </w:r>
      <w:r>
        <w:rPr>
          <w:rFonts w:ascii="宋体" w:hAnsi="宋体" w:eastAsia="宋体" w:cs="宋体"/>
          <w:spacing w:val="-22"/>
          <w:sz w:val="20"/>
          <w:szCs w:val="20"/>
        </w:rPr>
        <w:t xml:space="preserve"> </w:t>
      </w:r>
      <w:r>
        <w:rPr>
          <w:rFonts w:ascii="宋体" w:hAnsi="宋体" w:eastAsia="宋体" w:cs="宋体"/>
          <w:spacing w:val="6"/>
          <w:sz w:val="20"/>
          <w:szCs w:val="20"/>
        </w:rPr>
        <w:t>15 日起，根据《关于不再计列“疫情防控</w:t>
      </w:r>
      <w:r>
        <w:rPr>
          <w:rFonts w:ascii="宋体" w:hAnsi="宋体" w:eastAsia="宋体" w:cs="宋体"/>
          <w:spacing w:val="5"/>
          <w:sz w:val="20"/>
          <w:szCs w:val="20"/>
        </w:rPr>
        <w:t>措施费”</w:t>
      </w:r>
      <w:r>
        <w:rPr>
          <w:rFonts w:ascii="宋体" w:hAnsi="宋体" w:eastAsia="宋体" w:cs="宋体"/>
          <w:spacing w:val="-77"/>
          <w:sz w:val="20"/>
          <w:szCs w:val="20"/>
        </w:rPr>
        <w:t xml:space="preserve"> </w:t>
      </w:r>
      <w:r>
        <w:rPr>
          <w:rFonts w:ascii="宋体" w:hAnsi="宋体" w:eastAsia="宋体" w:cs="宋体"/>
          <w:spacing w:val="5"/>
          <w:sz w:val="20"/>
          <w:szCs w:val="20"/>
        </w:rPr>
        <w:t>的通知》（鲁建标函〔2024〕2</w:t>
      </w:r>
      <w:r>
        <w:rPr>
          <w:rFonts w:ascii="宋体" w:hAnsi="宋体" w:eastAsia="宋体" w:cs="宋体"/>
          <w:spacing w:val="10"/>
          <w:sz w:val="20"/>
          <w:szCs w:val="20"/>
        </w:rPr>
        <w:t>号）有关政策要求，不再计列“疫情防控措施费”。</w:t>
      </w:r>
    </w:p>
    <w:p>
      <w:pPr>
        <w:spacing w:before="5" w:line="278" w:lineRule="exact"/>
        <w:ind w:left="1025"/>
        <w:rPr>
          <w:rFonts w:ascii="宋体" w:hAnsi="宋体" w:eastAsia="宋体" w:cs="宋体"/>
          <w:sz w:val="20"/>
          <w:szCs w:val="20"/>
        </w:rPr>
      </w:pPr>
      <w:r>
        <w:rPr>
          <w:rFonts w:ascii="宋体" w:hAnsi="宋体" w:eastAsia="宋体" w:cs="宋体"/>
          <w:b/>
          <w:bCs/>
          <w:spacing w:val="1"/>
          <w:position w:val="1"/>
          <w:sz w:val="20"/>
          <w:szCs w:val="20"/>
        </w:rPr>
        <w:t>6.</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其他项目费的计算</w:t>
      </w:r>
    </w:p>
    <w:p>
      <w:pPr>
        <w:spacing w:before="62" w:line="269" w:lineRule="auto"/>
        <w:ind w:left="601" w:right="536" w:firstLine="412"/>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1）暂列金额：一般可按分部分项工程费的</w:t>
      </w:r>
      <w:r>
        <w:rPr>
          <w:rFonts w:ascii="宋体" w:hAnsi="宋体" w:eastAsia="宋体" w:cs="宋体"/>
          <w:spacing w:val="-22"/>
          <w:sz w:val="20"/>
          <w:szCs w:val="20"/>
        </w:rPr>
        <w:t xml:space="preserve"> </w:t>
      </w:r>
      <w:r>
        <w:rPr>
          <w:rFonts w:ascii="宋体" w:hAnsi="宋体" w:eastAsia="宋体" w:cs="宋体"/>
          <w:spacing w:val="9"/>
          <w:sz w:val="20"/>
          <w:szCs w:val="20"/>
        </w:rPr>
        <w:t>10%-15%估列</w:t>
      </w:r>
      <w:r>
        <w:rPr>
          <w:rFonts w:ascii="宋体" w:hAnsi="宋体" w:eastAsia="宋体" w:cs="宋体"/>
          <w:spacing w:val="8"/>
          <w:sz w:val="20"/>
          <w:szCs w:val="20"/>
        </w:rPr>
        <w:t>。编制最高投标限价、投标报价时，</w:t>
      </w:r>
      <w:r>
        <w:rPr>
          <w:rFonts w:ascii="宋体" w:hAnsi="宋体" w:eastAsia="宋体" w:cs="宋体"/>
          <w:spacing w:val="9"/>
          <w:sz w:val="20"/>
          <w:szCs w:val="20"/>
        </w:rPr>
        <w:t>按招标工程量清单中列出的金额计列，工程结算时，该项不计列。</w:t>
      </w:r>
    </w:p>
    <w:p>
      <w:pPr>
        <w:spacing w:before="97" w:line="276" w:lineRule="exact"/>
        <w:ind w:left="1014"/>
        <w:rPr>
          <w:rFonts w:ascii="宋体" w:hAnsi="宋体" w:eastAsia="宋体" w:cs="宋体"/>
          <w:sz w:val="20"/>
          <w:szCs w:val="20"/>
        </w:rPr>
      </w:pPr>
      <w:r>
        <w:rPr>
          <w:rFonts w:ascii="宋体" w:hAnsi="宋体" w:eastAsia="宋体" w:cs="宋体"/>
          <w:spacing w:val="9"/>
          <w:position w:val="1"/>
          <w:sz w:val="20"/>
          <w:szCs w:val="20"/>
        </w:rPr>
        <w:t>（2）专业工程暂估价，分为发包人发包的</w:t>
      </w:r>
      <w:r>
        <w:rPr>
          <w:rFonts w:ascii="宋体" w:hAnsi="宋体" w:eastAsia="宋体" w:cs="宋体"/>
          <w:spacing w:val="8"/>
          <w:position w:val="1"/>
          <w:sz w:val="20"/>
          <w:szCs w:val="20"/>
        </w:rPr>
        <w:t>专业工程暂估价和承包人分包的专业工程暂估价。发</w:t>
      </w:r>
    </w:p>
    <w:p>
      <w:pPr>
        <w:spacing w:line="276" w:lineRule="exact"/>
        <w:rPr>
          <w:rFonts w:ascii="宋体" w:hAnsi="宋体" w:eastAsia="宋体" w:cs="宋体"/>
          <w:sz w:val="20"/>
          <w:szCs w:val="20"/>
        </w:rPr>
        <w:sectPr>
          <w:footerReference r:id="rId116" w:type="default"/>
          <w:pgSz w:w="11906" w:h="16839"/>
          <w:pgMar w:top="400" w:right="817" w:bottom="1212" w:left="817" w:header="0" w:footer="897" w:gutter="0"/>
        </w:sect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65" w:line="315" w:lineRule="auto"/>
        <w:ind w:left="1" w:right="79" w:hanging="1"/>
        <w:rPr>
          <w:rFonts w:ascii="宋体" w:hAnsi="宋体" w:eastAsia="宋体" w:cs="宋体"/>
          <w:sz w:val="20"/>
          <w:szCs w:val="20"/>
        </w:rPr>
      </w:pPr>
      <w:r>
        <w:rPr>
          <w:rFonts w:ascii="宋体" w:hAnsi="宋体" w:eastAsia="宋体" w:cs="宋体"/>
          <w:spacing w:val="11"/>
          <w:sz w:val="20"/>
          <w:szCs w:val="20"/>
        </w:rPr>
        <w:t>包人发包的专业工程暂估价仅作为计取总承包服务费的基础，不计入总承包人</w:t>
      </w:r>
      <w:r>
        <w:rPr>
          <w:rFonts w:ascii="宋体" w:hAnsi="宋体" w:eastAsia="宋体" w:cs="宋体"/>
          <w:spacing w:val="10"/>
          <w:sz w:val="20"/>
          <w:szCs w:val="20"/>
        </w:rPr>
        <w:t>的工程造价。承包人</w:t>
      </w:r>
      <w:r>
        <w:rPr>
          <w:rFonts w:ascii="宋体" w:hAnsi="宋体" w:eastAsia="宋体" w:cs="宋体"/>
          <w:spacing w:val="9"/>
          <w:sz w:val="20"/>
          <w:szCs w:val="20"/>
        </w:rPr>
        <w:t>分包的专业工程暂估价，计入承包人的工程总造价。</w:t>
      </w:r>
    </w:p>
    <w:p>
      <w:pPr>
        <w:spacing w:before="2" w:line="312" w:lineRule="auto"/>
        <w:ind w:right="79" w:firstLine="422"/>
        <w:jc w:val="both"/>
        <w:rPr>
          <w:rFonts w:ascii="宋体" w:hAnsi="宋体" w:eastAsia="宋体" w:cs="宋体"/>
          <w:sz w:val="20"/>
          <w:szCs w:val="20"/>
        </w:rPr>
      </w:pPr>
      <w:r>
        <w:rPr>
          <w:rFonts w:ascii="宋体" w:hAnsi="宋体" w:eastAsia="宋体" w:cs="宋体"/>
          <w:spacing w:val="11"/>
          <w:sz w:val="20"/>
          <w:szCs w:val="20"/>
        </w:rPr>
        <w:t>发包人编制招标文件或工程量清单时，应明确依法必须招标的承包人分包</w:t>
      </w:r>
      <w:r>
        <w:rPr>
          <w:rFonts w:ascii="宋体" w:hAnsi="宋体" w:eastAsia="宋体" w:cs="宋体"/>
          <w:spacing w:val="10"/>
          <w:sz w:val="20"/>
          <w:szCs w:val="20"/>
        </w:rPr>
        <w:t>的专业工程中，承包</w:t>
      </w:r>
      <w:r>
        <w:rPr>
          <w:rFonts w:ascii="宋体" w:hAnsi="宋体" w:eastAsia="宋体" w:cs="宋体"/>
          <w:spacing w:val="11"/>
          <w:sz w:val="20"/>
          <w:szCs w:val="20"/>
        </w:rPr>
        <w:t>人对分包人提供的管理、协调、配合、服务等事项及其费用计取标准；如未明</w:t>
      </w:r>
      <w:r>
        <w:rPr>
          <w:rFonts w:ascii="宋体" w:hAnsi="宋体" w:eastAsia="宋体" w:cs="宋体"/>
          <w:spacing w:val="10"/>
          <w:sz w:val="20"/>
          <w:szCs w:val="20"/>
        </w:rPr>
        <w:t>确上述事项及费用计取标准，在确定承包人分包的专业工程暂估价</w:t>
      </w:r>
      <w:r>
        <w:rPr>
          <w:rFonts w:ascii="宋体" w:hAnsi="宋体" w:eastAsia="宋体" w:cs="宋体"/>
          <w:spacing w:val="9"/>
          <w:sz w:val="20"/>
          <w:szCs w:val="20"/>
        </w:rPr>
        <w:t>时，应考虑承包人分包管理服务费用。</w:t>
      </w:r>
    </w:p>
    <w:p>
      <w:pPr>
        <w:spacing w:before="1" w:line="268" w:lineRule="auto"/>
        <w:ind w:left="1" w:right="12" w:firstLine="410"/>
        <w:rPr>
          <w:rFonts w:ascii="宋体" w:hAnsi="宋体" w:eastAsia="宋体" w:cs="宋体"/>
          <w:sz w:val="20"/>
          <w:szCs w:val="20"/>
        </w:rPr>
      </w:pPr>
      <w:r>
        <w:rPr>
          <w:rFonts w:ascii="宋体" w:hAnsi="宋体" w:eastAsia="宋体" w:cs="宋体"/>
          <w:spacing w:val="5"/>
          <w:sz w:val="20"/>
          <w:szCs w:val="20"/>
        </w:rPr>
        <w:t>（3）特殊项目暂估价：编制最高投标限价、投标报价时，按招标工程量清单中列出的金额计列，</w:t>
      </w:r>
      <w:r>
        <w:rPr>
          <w:rFonts w:ascii="宋体" w:hAnsi="宋体" w:eastAsia="宋体" w:cs="宋体"/>
          <w:spacing w:val="9"/>
          <w:sz w:val="20"/>
          <w:szCs w:val="20"/>
        </w:rPr>
        <w:t>工程结算时，按发承包双方最终确认的价格计列。</w:t>
      </w:r>
    </w:p>
    <w:p>
      <w:pPr>
        <w:spacing w:before="96" w:line="270" w:lineRule="auto"/>
        <w:ind w:left="2" w:right="76" w:firstLine="402"/>
        <w:rPr>
          <w:rFonts w:ascii="宋体" w:hAnsi="宋体" w:eastAsia="宋体" w:cs="宋体"/>
          <w:sz w:val="20"/>
          <w:szCs w:val="20"/>
        </w:rPr>
      </w:pPr>
      <w:r>
        <w:rPr>
          <w:rFonts w:ascii="宋体" w:hAnsi="宋体" w:eastAsia="宋体" w:cs="宋体"/>
          <w:spacing w:val="9"/>
          <w:sz w:val="20"/>
          <w:szCs w:val="20"/>
        </w:rPr>
        <w:t>（4）专业工程暂估价、特殊项目暂估价采用增值税一般计</w:t>
      </w:r>
      <w:r>
        <w:rPr>
          <w:rFonts w:ascii="宋体" w:hAnsi="宋体" w:eastAsia="宋体" w:cs="宋体"/>
          <w:spacing w:val="8"/>
          <w:sz w:val="20"/>
          <w:szCs w:val="20"/>
        </w:rPr>
        <w:t>税方法的建设工程应为不含税工程造</w:t>
      </w:r>
      <w:r>
        <w:rPr>
          <w:rFonts w:ascii="宋体" w:hAnsi="宋体" w:eastAsia="宋体" w:cs="宋体"/>
          <w:spacing w:val="9"/>
          <w:sz w:val="20"/>
          <w:szCs w:val="20"/>
        </w:rPr>
        <w:t>价，采用增值税简易计税方法的建设工程应为含税价格。</w:t>
      </w:r>
    </w:p>
    <w:p>
      <w:pPr>
        <w:spacing w:before="94" w:line="270" w:lineRule="auto"/>
        <w:ind w:right="79" w:firstLine="411"/>
        <w:rPr>
          <w:rFonts w:ascii="宋体" w:hAnsi="宋体" w:eastAsia="宋体" w:cs="宋体"/>
          <w:sz w:val="20"/>
          <w:szCs w:val="20"/>
        </w:rPr>
      </w:pPr>
      <w:r>
        <w:rPr>
          <w:rFonts w:ascii="宋体" w:hAnsi="宋体" w:eastAsia="宋体" w:cs="宋体"/>
          <w:spacing w:val="8"/>
          <w:sz w:val="20"/>
          <w:szCs w:val="20"/>
        </w:rPr>
        <w:t>（5）计日工：编制最高投标限价、投标报价时，按招标工程量清单中列出的项目和数量，承包</w:t>
      </w:r>
      <w:r>
        <w:rPr>
          <w:rFonts w:ascii="宋体" w:hAnsi="宋体" w:eastAsia="宋体" w:cs="宋体"/>
          <w:spacing w:val="9"/>
          <w:sz w:val="20"/>
          <w:szCs w:val="20"/>
        </w:rPr>
        <w:t>方自主确定综合单价计列，工程结算时，按发包人实际签证确认的事项计算。</w:t>
      </w:r>
    </w:p>
    <w:p>
      <w:pPr>
        <w:spacing w:before="97" w:line="277" w:lineRule="exact"/>
        <w:ind w:left="412"/>
        <w:rPr>
          <w:rFonts w:ascii="宋体" w:hAnsi="宋体" w:eastAsia="宋体" w:cs="宋体"/>
          <w:sz w:val="20"/>
          <w:szCs w:val="20"/>
        </w:rPr>
      </w:pPr>
      <w:r>
        <w:rPr>
          <w:rFonts w:ascii="宋体" w:hAnsi="宋体" w:eastAsia="宋体" w:cs="宋体"/>
          <w:spacing w:val="10"/>
          <w:position w:val="1"/>
          <w:sz w:val="20"/>
          <w:szCs w:val="20"/>
        </w:rPr>
        <w:t>（6）采购保管费：是指承包人计取的甲供材</w:t>
      </w:r>
      <w:r>
        <w:rPr>
          <w:rFonts w:ascii="宋体" w:hAnsi="宋体" w:eastAsia="宋体" w:cs="宋体"/>
          <w:spacing w:val="9"/>
          <w:position w:val="1"/>
          <w:sz w:val="20"/>
          <w:szCs w:val="20"/>
        </w:rPr>
        <w:t>料（设备）的保管费，按实计列。</w:t>
      </w:r>
    </w:p>
    <w:p>
      <w:pPr>
        <w:spacing w:before="61" w:line="277" w:lineRule="exact"/>
        <w:ind w:left="412"/>
        <w:rPr>
          <w:rFonts w:ascii="宋体" w:hAnsi="宋体" w:eastAsia="宋体" w:cs="宋体"/>
          <w:sz w:val="20"/>
          <w:szCs w:val="20"/>
        </w:rPr>
      </w:pPr>
      <w:r>
        <w:rPr>
          <w:rFonts w:ascii="宋体" w:hAnsi="宋体" w:eastAsia="宋体" w:cs="宋体"/>
          <w:spacing w:val="10"/>
          <w:position w:val="1"/>
          <w:sz w:val="20"/>
          <w:szCs w:val="20"/>
        </w:rPr>
        <w:t>（7）其他检验试验费：企业管理费中材料检</w:t>
      </w:r>
      <w:r>
        <w:rPr>
          <w:rFonts w:ascii="宋体" w:hAnsi="宋体" w:eastAsia="宋体" w:cs="宋体"/>
          <w:spacing w:val="9"/>
          <w:position w:val="1"/>
          <w:sz w:val="20"/>
          <w:szCs w:val="20"/>
        </w:rPr>
        <w:t>验试验费之外的费用，按实计列。</w:t>
      </w:r>
    </w:p>
    <w:p>
      <w:pPr>
        <w:spacing w:before="64" w:line="276" w:lineRule="exact"/>
        <w:jc w:val="right"/>
        <w:rPr>
          <w:rFonts w:ascii="宋体" w:hAnsi="宋体" w:eastAsia="宋体" w:cs="宋体"/>
          <w:sz w:val="20"/>
          <w:szCs w:val="20"/>
        </w:rPr>
      </w:pPr>
      <w:r>
        <w:rPr>
          <w:rFonts w:ascii="宋体" w:hAnsi="宋体" w:eastAsia="宋体" w:cs="宋体"/>
          <w:spacing w:val="7"/>
          <w:position w:val="1"/>
          <w:sz w:val="20"/>
          <w:szCs w:val="20"/>
        </w:rPr>
        <w:t>（8）总承包服务费：总承包服务费=发包人发包的专业工</w:t>
      </w:r>
      <w:r>
        <w:rPr>
          <w:rFonts w:ascii="宋体" w:hAnsi="宋体" w:eastAsia="宋体" w:cs="宋体"/>
          <w:spacing w:val="6"/>
          <w:position w:val="1"/>
          <w:sz w:val="20"/>
          <w:szCs w:val="20"/>
        </w:rPr>
        <w:t>程暂估价（不含设备费）</w:t>
      </w:r>
      <w:r>
        <w:rPr>
          <w:rFonts w:ascii="宋体" w:hAnsi="宋体" w:eastAsia="宋体" w:cs="宋体"/>
          <w:spacing w:val="-52"/>
          <w:position w:val="1"/>
          <w:sz w:val="20"/>
          <w:szCs w:val="20"/>
        </w:rPr>
        <w:t xml:space="preserve"> </w:t>
      </w:r>
      <w:r>
        <w:rPr>
          <w:rFonts w:ascii="宋体" w:hAnsi="宋体" w:eastAsia="宋体" w:cs="宋体"/>
          <w:spacing w:val="6"/>
          <w:position w:val="1"/>
          <w:sz w:val="20"/>
          <w:szCs w:val="20"/>
        </w:rPr>
        <w:t>×相应费率。</w:t>
      </w:r>
    </w:p>
    <w:p>
      <w:pPr>
        <w:spacing w:before="64" w:line="277" w:lineRule="exact"/>
        <w:ind w:left="412"/>
        <w:rPr>
          <w:rFonts w:ascii="宋体" w:hAnsi="宋体" w:eastAsia="宋体" w:cs="宋体"/>
          <w:sz w:val="20"/>
          <w:szCs w:val="20"/>
        </w:rPr>
      </w:pPr>
      <w:r>
        <w:rPr>
          <w:rFonts w:ascii="宋体" w:hAnsi="宋体" w:eastAsia="宋体" w:cs="宋体"/>
          <w:spacing w:val="10"/>
          <w:position w:val="1"/>
          <w:sz w:val="20"/>
          <w:szCs w:val="20"/>
        </w:rPr>
        <w:t>（9）其他：包括工期奖惩、安全奖惩、索赔与现场签证费</w:t>
      </w:r>
      <w:r>
        <w:rPr>
          <w:rFonts w:ascii="宋体" w:hAnsi="宋体" w:eastAsia="宋体" w:cs="宋体"/>
          <w:spacing w:val="9"/>
          <w:position w:val="1"/>
          <w:sz w:val="20"/>
          <w:szCs w:val="20"/>
        </w:rPr>
        <w:t>用、价格调整费用等按实计列。</w:t>
      </w:r>
    </w:p>
    <w:p>
      <w:pPr>
        <w:spacing w:before="62" w:line="278" w:lineRule="exact"/>
        <w:ind w:left="420"/>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16"/>
          <w:position w:val="1"/>
          <w:sz w:val="20"/>
          <w:szCs w:val="20"/>
        </w:rPr>
        <w:t xml:space="preserve"> </w:t>
      </w:r>
      <w:r>
        <w:rPr>
          <w:rFonts w:ascii="宋体" w:hAnsi="宋体" w:eastAsia="宋体" w:cs="宋体"/>
          <w:b/>
          <w:bCs/>
          <w:spacing w:val="-3"/>
          <w:position w:val="1"/>
          <w:sz w:val="20"/>
          <w:szCs w:val="20"/>
        </w:rPr>
        <w:t>规费的计取</w:t>
      </w:r>
    </w:p>
    <w:p>
      <w:pPr>
        <w:spacing w:before="64" w:line="313" w:lineRule="auto"/>
        <w:ind w:left="2" w:right="73" w:firstLine="419"/>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w:t>
      </w:r>
      <w:r>
        <w:rPr>
          <w:rFonts w:ascii="宋体" w:hAnsi="宋体" w:eastAsia="宋体" w:cs="宋体"/>
          <w:spacing w:val="12"/>
          <w:sz w:val="20"/>
          <w:szCs w:val="20"/>
        </w:rPr>
        <w:t>》（鲁建标字〔2022〕7</w:t>
      </w:r>
      <w:r>
        <w:rPr>
          <w:rFonts w:ascii="宋体" w:hAnsi="宋体" w:eastAsia="宋体" w:cs="宋体"/>
          <w:spacing w:val="11"/>
          <w:sz w:val="20"/>
          <w:szCs w:val="20"/>
        </w:rPr>
        <w:t>号）山东省住房和城乡建设厅《关于调整建设工程安全施工费的通知》（鲁建标字〔2023〕2</w:t>
      </w:r>
      <w:r>
        <w:rPr>
          <w:rFonts w:ascii="宋体" w:hAnsi="宋体" w:eastAsia="宋体" w:cs="宋体"/>
          <w:spacing w:val="-26"/>
          <w:sz w:val="20"/>
          <w:szCs w:val="20"/>
        </w:rPr>
        <w:t xml:space="preserve"> </w:t>
      </w:r>
      <w:r>
        <w:rPr>
          <w:rFonts w:ascii="宋体" w:hAnsi="宋体" w:eastAsia="宋体" w:cs="宋体"/>
          <w:spacing w:val="11"/>
          <w:sz w:val="20"/>
          <w:szCs w:val="20"/>
        </w:rPr>
        <w:t>号）文件执行，其中安全文明施工费费率执行山东省住房和城乡建设厅《关于调整建</w:t>
      </w:r>
      <w:r>
        <w:rPr>
          <w:rFonts w:ascii="宋体" w:hAnsi="宋体" w:eastAsia="宋体" w:cs="宋体"/>
          <w:spacing w:val="10"/>
          <w:sz w:val="20"/>
          <w:szCs w:val="20"/>
        </w:rPr>
        <w:t>设工程安全施工费</w:t>
      </w:r>
      <w:r>
        <w:rPr>
          <w:rFonts w:ascii="宋体" w:hAnsi="宋体" w:eastAsia="宋体" w:cs="宋体"/>
          <w:spacing w:val="9"/>
          <w:sz w:val="20"/>
          <w:szCs w:val="20"/>
        </w:rPr>
        <w:t>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w:t>
      </w:r>
      <w:r>
        <w:rPr>
          <w:rFonts w:ascii="宋体" w:hAnsi="宋体" w:eastAsia="宋体" w:cs="宋体"/>
          <w:spacing w:val="8"/>
          <w:sz w:val="20"/>
          <w:szCs w:val="20"/>
        </w:rPr>
        <w:t>产责任保险费用不再单独计算。</w:t>
      </w:r>
    </w:p>
    <w:p>
      <w:pPr>
        <w:spacing w:before="3" w:line="278" w:lineRule="exact"/>
        <w:ind w:left="412"/>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65"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98" w:line="277" w:lineRule="exact"/>
        <w:ind w:left="412"/>
        <w:rPr>
          <w:rFonts w:ascii="宋体" w:hAnsi="宋体" w:eastAsia="宋体" w:cs="宋体"/>
          <w:sz w:val="20"/>
          <w:szCs w:val="20"/>
        </w:rPr>
      </w:pPr>
      <w:r>
        <w:rPr>
          <w:rFonts w:ascii="宋体" w:hAnsi="宋体" w:eastAsia="宋体" w:cs="宋体"/>
          <w:spacing w:val="9"/>
          <w:position w:val="1"/>
          <w:sz w:val="20"/>
          <w:szCs w:val="20"/>
        </w:rPr>
        <w:t>（2）社会保险费</w:t>
      </w:r>
    </w:p>
    <w:p>
      <w:pPr>
        <w:spacing w:before="68"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96" w:line="277" w:lineRule="exact"/>
        <w:ind w:left="412"/>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68" w:line="223" w:lineRule="auto"/>
        <w:ind w:left="426"/>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95" w:line="276" w:lineRule="exact"/>
        <w:ind w:left="412"/>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63" w:line="313" w:lineRule="auto"/>
        <w:ind w:right="76"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2"/>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4" w:line="278" w:lineRule="exact"/>
        <w:ind w:left="412"/>
        <w:rPr>
          <w:rFonts w:ascii="宋体" w:hAnsi="宋体" w:eastAsia="宋体" w:cs="宋体"/>
          <w:sz w:val="20"/>
          <w:szCs w:val="20"/>
        </w:rPr>
      </w:pPr>
      <w:r>
        <w:rPr>
          <w:rFonts w:ascii="宋体" w:hAnsi="宋体" w:eastAsia="宋体" w:cs="宋体"/>
          <w:spacing w:val="9"/>
          <w:position w:val="1"/>
          <w:sz w:val="20"/>
          <w:szCs w:val="20"/>
        </w:rPr>
        <w:t>（5）住房公积金</w:t>
      </w:r>
    </w:p>
    <w:p>
      <w:pPr>
        <w:spacing w:before="63" w:line="311" w:lineRule="auto"/>
        <w:ind w:left="1" w:right="77"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5" w:line="276" w:lineRule="exact"/>
        <w:ind w:left="424"/>
        <w:rPr>
          <w:rFonts w:ascii="宋体" w:hAnsi="宋体" w:eastAsia="宋体" w:cs="宋体"/>
          <w:sz w:val="20"/>
          <w:szCs w:val="20"/>
        </w:rPr>
      </w:pPr>
      <w:bookmarkStart w:id="71" w:name="bookmark48"/>
      <w:bookmarkEnd w:id="71"/>
      <w:bookmarkStart w:id="72" w:name="bookmark47"/>
      <w:bookmarkEnd w:id="72"/>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建设工程</w:t>
      </w:r>
      <w:r>
        <w:rPr>
          <w:rFonts w:ascii="宋体" w:hAnsi="宋体" w:eastAsia="宋体" w:cs="宋体"/>
          <w:spacing w:val="-34"/>
          <w:position w:val="1"/>
          <w:sz w:val="20"/>
          <w:szCs w:val="20"/>
        </w:rPr>
        <w:t xml:space="preserve"> </w:t>
      </w:r>
      <w:r>
        <w:rPr>
          <w:rFonts w:ascii="宋体" w:hAnsi="宋体" w:eastAsia="宋体" w:cs="宋体"/>
          <w:b/>
          <w:bCs/>
          <w:spacing w:val="3"/>
          <w:position w:val="1"/>
          <w:sz w:val="20"/>
          <w:szCs w:val="20"/>
        </w:rPr>
        <w:t>2016</w:t>
      </w:r>
      <w:r>
        <w:rPr>
          <w:rFonts w:ascii="宋体" w:hAnsi="宋体" w:eastAsia="宋体" w:cs="宋体"/>
          <w:spacing w:val="-37"/>
          <w:position w:val="1"/>
          <w:sz w:val="20"/>
          <w:szCs w:val="20"/>
        </w:rPr>
        <w:t xml:space="preserve"> </w:t>
      </w:r>
      <w:r>
        <w:rPr>
          <w:rFonts w:ascii="宋体" w:hAnsi="宋体" w:eastAsia="宋体" w:cs="宋体"/>
          <w:b/>
          <w:bCs/>
          <w:spacing w:val="3"/>
          <w:position w:val="1"/>
          <w:sz w:val="20"/>
          <w:szCs w:val="20"/>
        </w:rPr>
        <w:t>消耗量定额计价计算程序中：</w:t>
      </w:r>
    </w:p>
    <w:p>
      <w:pPr>
        <w:spacing w:before="65" w:line="276" w:lineRule="exact"/>
        <w:ind w:left="412"/>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6"/>
          <w:position w:val="1"/>
          <w:sz w:val="20"/>
          <w:szCs w:val="20"/>
        </w:rPr>
        <w:t xml:space="preserve"> </w:t>
      </w:r>
      <w:r>
        <w:rPr>
          <w:rFonts w:ascii="宋体" w:hAnsi="宋体" w:eastAsia="宋体" w:cs="宋体"/>
          <w:spacing w:val="7"/>
          <w:position w:val="1"/>
          <w:sz w:val="20"/>
          <w:szCs w:val="20"/>
        </w:rPr>
        <w:t>1）“十工程费用合计”为承包人的工程总造价。</w:t>
      </w:r>
    </w:p>
    <w:p>
      <w:pPr>
        <w:spacing w:before="62" w:line="276" w:lineRule="exact"/>
        <w:ind w:left="412"/>
        <w:rPr>
          <w:rFonts w:ascii="宋体" w:hAnsi="宋体" w:eastAsia="宋体" w:cs="宋体"/>
          <w:sz w:val="20"/>
          <w:szCs w:val="20"/>
        </w:rPr>
      </w:pPr>
      <w:r>
        <w:rPr>
          <w:rFonts w:ascii="宋体" w:hAnsi="宋体" w:eastAsia="宋体" w:cs="宋体"/>
          <w:spacing w:val="9"/>
          <w:position w:val="1"/>
          <w:sz w:val="20"/>
          <w:szCs w:val="20"/>
        </w:rPr>
        <w:t>（2）发包人的工程总造价=十+甲供材料费+3.</w:t>
      </w:r>
      <w:r>
        <w:rPr>
          <w:rFonts w:ascii="宋体" w:hAnsi="宋体" w:eastAsia="宋体" w:cs="宋体"/>
          <w:spacing w:val="8"/>
          <w:position w:val="1"/>
          <w:sz w:val="20"/>
          <w:szCs w:val="20"/>
        </w:rPr>
        <w:t>2（发包人发包的专业工程暂估价）</w:t>
      </w:r>
    </w:p>
    <w:p>
      <w:pPr>
        <w:spacing w:line="276" w:lineRule="exact"/>
        <w:rPr>
          <w:rFonts w:ascii="宋体" w:hAnsi="宋体" w:eastAsia="宋体" w:cs="宋体"/>
          <w:sz w:val="20"/>
          <w:szCs w:val="20"/>
        </w:rPr>
        <w:sectPr>
          <w:footerReference r:id="rId117" w:type="default"/>
          <w:pgSz w:w="11906" w:h="16839"/>
          <w:pgMar w:top="400" w:right="1341" w:bottom="1212" w:left="1419" w:header="0" w:footer="897" w:gutter="0"/>
        </w:sectPr>
      </w:pPr>
    </w:p>
    <w:p>
      <w:pPr>
        <w:spacing w:line="315" w:lineRule="auto"/>
        <w:rPr>
          <w:rFonts w:ascii="Arial"/>
          <w:sz w:val="21"/>
        </w:rPr>
      </w:pPr>
    </w:p>
    <w:p>
      <w:pPr>
        <w:spacing w:line="315" w:lineRule="auto"/>
        <w:rPr>
          <w:rFonts w:ascii="Arial"/>
          <w:sz w:val="21"/>
        </w:rPr>
      </w:pPr>
    </w:p>
    <w:p>
      <w:pPr>
        <w:spacing w:line="316" w:lineRule="auto"/>
        <w:rPr>
          <w:rFonts w:ascii="Arial"/>
          <w:sz w:val="21"/>
        </w:rPr>
      </w:pPr>
    </w:p>
    <w:p>
      <w:pPr>
        <w:spacing w:before="97" w:line="215" w:lineRule="auto"/>
        <w:ind w:left="2848"/>
        <w:outlineLvl w:val="1"/>
        <w:rPr>
          <w:rFonts w:ascii="宋体" w:hAnsi="宋体" w:eastAsia="宋体" w:cs="宋体"/>
          <w:sz w:val="30"/>
          <w:szCs w:val="30"/>
        </w:rPr>
      </w:pPr>
      <w:bookmarkStart w:id="73" w:name="bookmark154"/>
      <w:bookmarkEnd w:id="73"/>
      <w:r>
        <w:rPr>
          <w:rFonts w:ascii="宋体" w:hAnsi="宋体" w:eastAsia="宋体" w:cs="宋体"/>
          <w:b/>
          <w:bCs/>
          <w:spacing w:val="-3"/>
          <w:sz w:val="30"/>
          <w:szCs w:val="30"/>
        </w:rPr>
        <w:t>第三节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建设工程费用费率</w:t>
      </w:r>
    </w:p>
    <w:p>
      <w:pPr>
        <w:spacing w:before="250" w:line="235" w:lineRule="auto"/>
        <w:ind w:left="4207"/>
        <w:rPr>
          <w:rFonts w:ascii="楷体" w:hAnsi="楷体" w:eastAsia="楷体" w:cs="楷体"/>
          <w:sz w:val="24"/>
          <w:szCs w:val="24"/>
        </w:rPr>
      </w:pPr>
      <w:r>
        <w:rPr>
          <w:rFonts w:ascii="楷体" w:hAnsi="楷体" w:eastAsia="楷体" w:cs="楷体"/>
          <w:spacing w:val="-6"/>
          <w:sz w:val="24"/>
          <w:szCs w:val="24"/>
        </w:rPr>
        <w:t>费率表的使用</w:t>
      </w:r>
    </w:p>
    <w:p>
      <w:pPr>
        <w:spacing w:before="85" w:line="334" w:lineRule="auto"/>
        <w:ind w:left="119" w:right="118" w:firstLine="426"/>
        <w:rPr>
          <w:rFonts w:ascii="宋体" w:hAnsi="宋体" w:eastAsia="宋体" w:cs="宋体"/>
          <w:sz w:val="20"/>
          <w:szCs w:val="20"/>
        </w:rPr>
      </w:pPr>
      <w:r>
        <w:rPr>
          <w:rFonts w:ascii="宋体" w:hAnsi="宋体" w:eastAsia="宋体" w:cs="宋体"/>
          <w:spacing w:val="11"/>
          <w:sz w:val="20"/>
          <w:szCs w:val="20"/>
        </w:rPr>
        <w:t>编制最高投标限价时，费率均应按规定的费率执行，编制投标报价时，</w:t>
      </w:r>
      <w:r>
        <w:rPr>
          <w:rFonts w:ascii="宋体" w:hAnsi="宋体" w:eastAsia="宋体" w:cs="宋体"/>
          <w:spacing w:val="10"/>
          <w:sz w:val="20"/>
          <w:szCs w:val="20"/>
        </w:rPr>
        <w:t>除规费和税金必须按规</w:t>
      </w:r>
      <w:r>
        <w:rPr>
          <w:rFonts w:ascii="宋体" w:hAnsi="宋体" w:eastAsia="宋体" w:cs="宋体"/>
          <w:spacing w:val="9"/>
          <w:sz w:val="20"/>
          <w:szCs w:val="20"/>
        </w:rPr>
        <w:t>定的费率计取外，其他费率可作为重要的参考。</w:t>
      </w:r>
    </w:p>
    <w:p>
      <w:pPr>
        <w:pStyle w:val="2"/>
        <w:spacing w:before="281" w:line="198" w:lineRule="auto"/>
        <w:ind w:left="695"/>
        <w:rPr>
          <w:sz w:val="28"/>
          <w:szCs w:val="28"/>
        </w:rPr>
      </w:pPr>
      <w:r>
        <w:rPr>
          <w:spacing w:val="-4"/>
          <w:sz w:val="28"/>
          <w:szCs w:val="28"/>
        </w:rPr>
        <w:t>一、措施费</w:t>
      </w:r>
    </w:p>
    <w:p>
      <w:pPr>
        <w:pStyle w:val="2"/>
        <w:spacing w:line="197" w:lineRule="auto"/>
        <w:ind w:left="590"/>
        <w:rPr>
          <w:sz w:val="24"/>
          <w:szCs w:val="24"/>
        </w:rPr>
      </w:pPr>
      <w:r>
        <w:rPr>
          <w:spacing w:val="-5"/>
          <w:sz w:val="24"/>
          <w:szCs w:val="24"/>
        </w:rPr>
        <w:t>（ 一 ）建筑、装饰、安装、园林绿化、房屋修缮、仿古建筑工程</w:t>
      </w:r>
    </w:p>
    <w:p>
      <w:pPr>
        <w:pStyle w:val="2"/>
        <w:spacing w:before="49" w:line="210" w:lineRule="auto"/>
        <w:ind w:left="4113"/>
        <w:rPr>
          <w:sz w:val="20"/>
          <w:szCs w:val="20"/>
        </w:rPr>
      </w:pPr>
      <w:r>
        <w:rPr>
          <w:spacing w:val="3"/>
          <w:sz w:val="20"/>
          <w:szCs w:val="20"/>
        </w:rPr>
        <w:t>1.  一般计税法下</w:t>
      </w:r>
    </w:p>
    <w:p>
      <w:pPr>
        <w:spacing w:before="67" w:line="233" w:lineRule="auto"/>
        <w:ind w:left="8387"/>
        <w:rPr>
          <w:rFonts w:ascii="宋体" w:hAnsi="宋体" w:eastAsia="宋体" w:cs="宋体"/>
          <w:sz w:val="20"/>
          <w:szCs w:val="20"/>
        </w:rPr>
      </w:pPr>
      <w:r>
        <w:rPr>
          <w:rFonts w:ascii="宋体" w:hAnsi="宋体" w:eastAsia="宋体" w:cs="宋体"/>
          <w:spacing w:val="24"/>
          <w:sz w:val="20"/>
          <w:szCs w:val="20"/>
        </w:rPr>
        <w:t>单位：%</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2559"/>
        <w:gridCol w:w="1458"/>
        <w:gridCol w:w="1459"/>
        <w:gridCol w:w="1460"/>
        <w:gridCol w:w="14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7" w:hRule="atLeast"/>
        </w:trPr>
        <w:tc>
          <w:tcPr>
            <w:tcW w:w="3445" w:type="dxa"/>
            <w:gridSpan w:val="2"/>
            <w:tcBorders>
              <w:top w:val="single" w:color="000000" w:sz="6" w:space="0"/>
              <w:left w:val="single" w:color="000000" w:sz="6" w:space="0"/>
              <w:tl2br w:val="single" w:color="000000" w:sz="4" w:space="0"/>
            </w:tcBorders>
            <w:vAlign w:val="top"/>
          </w:tcPr>
          <w:p>
            <w:pPr>
              <w:spacing w:before="118" w:line="276" w:lineRule="auto"/>
              <w:ind w:left="105" w:right="671" w:firstLine="1830"/>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1458" w:type="dxa"/>
            <w:tcBorders>
              <w:top w:val="single" w:color="000000" w:sz="6" w:space="0"/>
            </w:tcBorders>
            <w:vAlign w:val="top"/>
          </w:tcPr>
          <w:p>
            <w:pPr>
              <w:spacing w:before="129" w:line="271" w:lineRule="auto"/>
              <w:ind w:left="412" w:right="413" w:firstLine="107"/>
              <w:rPr>
                <w:rFonts w:ascii="宋体" w:hAnsi="宋体" w:eastAsia="宋体" w:cs="宋体"/>
                <w:sz w:val="20"/>
                <w:szCs w:val="20"/>
              </w:rPr>
            </w:pPr>
            <w:r>
              <w:rPr>
                <w:rFonts w:ascii="宋体" w:hAnsi="宋体" w:eastAsia="宋体" w:cs="宋体"/>
                <w:spacing w:val="6"/>
                <w:sz w:val="20"/>
                <w:szCs w:val="20"/>
              </w:rPr>
              <w:t>夜间</w:t>
            </w:r>
            <w:r>
              <w:rPr>
                <w:rFonts w:ascii="宋体" w:hAnsi="宋体" w:eastAsia="宋体" w:cs="宋体"/>
                <w:spacing w:val="8"/>
                <w:sz w:val="20"/>
                <w:szCs w:val="20"/>
              </w:rPr>
              <w:t>施工费</w:t>
            </w:r>
          </w:p>
        </w:tc>
        <w:tc>
          <w:tcPr>
            <w:tcW w:w="1459" w:type="dxa"/>
            <w:tcBorders>
              <w:top w:val="single" w:color="000000" w:sz="6" w:space="0"/>
            </w:tcBorders>
            <w:vAlign w:val="top"/>
          </w:tcPr>
          <w:p>
            <w:pPr>
              <w:spacing w:before="131" w:line="270" w:lineRule="auto"/>
              <w:ind w:left="417" w:right="411"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460" w:type="dxa"/>
            <w:tcBorders>
              <w:top w:val="single" w:color="000000" w:sz="6" w:space="0"/>
            </w:tcBorders>
            <w:vAlign w:val="top"/>
          </w:tcPr>
          <w:p>
            <w:pPr>
              <w:spacing w:before="131" w:line="270" w:lineRule="auto"/>
              <w:ind w:left="419" w:right="200" w:hanging="210"/>
              <w:rPr>
                <w:rFonts w:ascii="宋体" w:hAnsi="宋体" w:eastAsia="宋体" w:cs="宋体"/>
                <w:sz w:val="20"/>
                <w:szCs w:val="20"/>
              </w:rPr>
            </w:pPr>
            <w:r>
              <w:rPr>
                <w:rFonts w:ascii="宋体" w:hAnsi="宋体" w:eastAsia="宋体" w:cs="宋体"/>
                <w:spacing w:val="8"/>
                <w:sz w:val="20"/>
                <w:szCs w:val="20"/>
              </w:rPr>
              <w:t>冬雨季施工增加费</w:t>
            </w:r>
          </w:p>
        </w:tc>
        <w:tc>
          <w:tcPr>
            <w:tcW w:w="1470" w:type="dxa"/>
            <w:tcBorders>
              <w:top w:val="single" w:color="000000" w:sz="6" w:space="0"/>
              <w:right w:val="single" w:color="000000" w:sz="6" w:space="0"/>
            </w:tcBorders>
            <w:vAlign w:val="top"/>
          </w:tcPr>
          <w:p>
            <w:pPr>
              <w:spacing w:before="128" w:line="219" w:lineRule="auto"/>
              <w:ind w:left="230"/>
              <w:rPr>
                <w:rFonts w:ascii="宋体" w:hAnsi="宋体" w:eastAsia="宋体" w:cs="宋体"/>
                <w:sz w:val="20"/>
                <w:szCs w:val="20"/>
              </w:rPr>
            </w:pPr>
            <w:r>
              <w:rPr>
                <w:rFonts w:ascii="宋体" w:hAnsi="宋体" w:eastAsia="宋体" w:cs="宋体"/>
                <w:spacing w:val="5"/>
                <w:sz w:val="20"/>
                <w:szCs w:val="20"/>
              </w:rPr>
              <w:t>已完工程及</w:t>
            </w:r>
          </w:p>
          <w:p>
            <w:pPr>
              <w:spacing w:before="60" w:line="223" w:lineRule="auto"/>
              <w:ind w:left="210"/>
              <w:rPr>
                <w:rFonts w:ascii="宋体" w:hAnsi="宋体" w:eastAsia="宋体" w:cs="宋体"/>
                <w:sz w:val="20"/>
                <w:szCs w:val="20"/>
              </w:rPr>
            </w:pPr>
            <w:r>
              <w:rPr>
                <w:rFonts w:ascii="宋体" w:hAnsi="宋体" w:eastAsia="宋体" w:cs="宋体"/>
                <w:spacing w:val="9"/>
                <w:sz w:val="20"/>
                <w:szCs w:val="20"/>
              </w:rPr>
              <w:t>设备保护费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12" w:line="222" w:lineRule="auto"/>
              <w:ind w:left="1298"/>
              <w:rPr>
                <w:rFonts w:ascii="宋体" w:hAnsi="宋体" w:eastAsia="宋体" w:cs="宋体"/>
                <w:sz w:val="20"/>
                <w:szCs w:val="20"/>
              </w:rPr>
            </w:pPr>
            <w:r>
              <w:rPr>
                <w:rFonts w:ascii="宋体" w:hAnsi="宋体" w:eastAsia="宋体" w:cs="宋体"/>
                <w:spacing w:val="8"/>
                <w:sz w:val="20"/>
                <w:szCs w:val="20"/>
              </w:rPr>
              <w:t>建筑工程</w:t>
            </w:r>
          </w:p>
        </w:tc>
        <w:tc>
          <w:tcPr>
            <w:tcW w:w="1458" w:type="dxa"/>
            <w:vAlign w:val="top"/>
          </w:tcPr>
          <w:p>
            <w:pPr>
              <w:spacing w:before="109" w:line="225" w:lineRule="auto"/>
              <w:ind w:left="548"/>
              <w:rPr>
                <w:rFonts w:ascii="宋体" w:hAnsi="宋体" w:eastAsia="宋体" w:cs="宋体"/>
                <w:sz w:val="20"/>
                <w:szCs w:val="20"/>
              </w:rPr>
            </w:pPr>
            <w:r>
              <w:rPr>
                <w:rFonts w:ascii="宋体" w:hAnsi="宋体" w:eastAsia="宋体" w:cs="宋体"/>
                <w:spacing w:val="-11"/>
                <w:sz w:val="20"/>
                <w:szCs w:val="20"/>
              </w:rPr>
              <w:t>2.55</w:t>
            </w:r>
          </w:p>
        </w:tc>
        <w:tc>
          <w:tcPr>
            <w:tcW w:w="1459" w:type="dxa"/>
            <w:vAlign w:val="top"/>
          </w:tcPr>
          <w:p>
            <w:pPr>
              <w:spacing w:before="109" w:line="225" w:lineRule="auto"/>
              <w:ind w:left="551"/>
              <w:rPr>
                <w:rFonts w:ascii="宋体" w:hAnsi="宋体" w:eastAsia="宋体" w:cs="宋体"/>
                <w:sz w:val="20"/>
                <w:szCs w:val="20"/>
              </w:rPr>
            </w:pPr>
            <w:r>
              <w:rPr>
                <w:rFonts w:ascii="宋体" w:hAnsi="宋体" w:eastAsia="宋体" w:cs="宋体"/>
                <w:spacing w:val="-11"/>
                <w:sz w:val="20"/>
                <w:szCs w:val="20"/>
              </w:rPr>
              <w:t>2.18</w:t>
            </w:r>
          </w:p>
        </w:tc>
        <w:tc>
          <w:tcPr>
            <w:tcW w:w="1460" w:type="dxa"/>
            <w:vAlign w:val="top"/>
          </w:tcPr>
          <w:p>
            <w:pPr>
              <w:spacing w:before="109" w:line="225" w:lineRule="auto"/>
              <w:ind w:left="554"/>
              <w:rPr>
                <w:rFonts w:ascii="宋体" w:hAnsi="宋体" w:eastAsia="宋体" w:cs="宋体"/>
                <w:sz w:val="20"/>
                <w:szCs w:val="20"/>
              </w:rPr>
            </w:pPr>
            <w:r>
              <w:rPr>
                <w:rFonts w:ascii="宋体" w:hAnsi="宋体" w:eastAsia="宋体" w:cs="宋体"/>
                <w:spacing w:val="-11"/>
                <w:sz w:val="20"/>
                <w:szCs w:val="20"/>
              </w:rPr>
              <w:t>2.91</w:t>
            </w:r>
          </w:p>
        </w:tc>
        <w:tc>
          <w:tcPr>
            <w:tcW w:w="1470" w:type="dxa"/>
            <w:tcBorders>
              <w:right w:val="single" w:color="000000" w:sz="6" w:space="0"/>
            </w:tcBorders>
            <w:vAlign w:val="top"/>
          </w:tcPr>
          <w:p>
            <w:pPr>
              <w:spacing w:before="109" w:line="225" w:lineRule="auto"/>
              <w:ind w:left="557"/>
              <w:rPr>
                <w:rFonts w:ascii="宋体" w:hAnsi="宋体" w:eastAsia="宋体" w:cs="宋体"/>
                <w:sz w:val="20"/>
                <w:szCs w:val="20"/>
              </w:rPr>
            </w:pPr>
            <w:r>
              <w:rPr>
                <w:rFonts w:ascii="宋体" w:hAnsi="宋体" w:eastAsia="宋体" w:cs="宋体"/>
                <w:spacing w:val="-12"/>
                <w:sz w:val="20"/>
                <w:szCs w:val="20"/>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19" w:line="216" w:lineRule="auto"/>
              <w:ind w:left="1297"/>
              <w:rPr>
                <w:rFonts w:ascii="宋体" w:hAnsi="宋体" w:eastAsia="宋体" w:cs="宋体"/>
                <w:sz w:val="20"/>
                <w:szCs w:val="20"/>
              </w:rPr>
            </w:pPr>
            <w:r>
              <w:rPr>
                <w:rFonts w:ascii="宋体" w:hAnsi="宋体" w:eastAsia="宋体" w:cs="宋体"/>
                <w:spacing w:val="8"/>
                <w:sz w:val="20"/>
                <w:szCs w:val="20"/>
              </w:rPr>
              <w:t>装饰工程</w:t>
            </w:r>
          </w:p>
        </w:tc>
        <w:tc>
          <w:tcPr>
            <w:tcW w:w="1458" w:type="dxa"/>
            <w:vAlign w:val="top"/>
          </w:tcPr>
          <w:p>
            <w:pPr>
              <w:spacing w:before="113" w:line="221" w:lineRule="auto"/>
              <w:ind w:left="551"/>
              <w:rPr>
                <w:rFonts w:ascii="宋体" w:hAnsi="宋体" w:eastAsia="宋体" w:cs="宋体"/>
                <w:sz w:val="20"/>
                <w:szCs w:val="20"/>
              </w:rPr>
            </w:pPr>
            <w:r>
              <w:rPr>
                <w:rFonts w:ascii="宋体" w:hAnsi="宋体" w:eastAsia="宋体" w:cs="宋体"/>
                <w:spacing w:val="-12"/>
                <w:sz w:val="20"/>
                <w:szCs w:val="20"/>
              </w:rPr>
              <w:t>3.64</w:t>
            </w:r>
          </w:p>
        </w:tc>
        <w:tc>
          <w:tcPr>
            <w:tcW w:w="1459" w:type="dxa"/>
            <w:vAlign w:val="top"/>
          </w:tcPr>
          <w:p>
            <w:pPr>
              <w:spacing w:before="113" w:line="221" w:lineRule="auto"/>
              <w:ind w:left="554"/>
              <w:rPr>
                <w:rFonts w:ascii="宋体" w:hAnsi="宋体" w:eastAsia="宋体" w:cs="宋体"/>
                <w:sz w:val="20"/>
                <w:szCs w:val="20"/>
              </w:rPr>
            </w:pPr>
            <w:r>
              <w:rPr>
                <w:rFonts w:ascii="宋体" w:hAnsi="宋体" w:eastAsia="宋体" w:cs="宋体"/>
                <w:spacing w:val="-12"/>
                <w:sz w:val="20"/>
                <w:szCs w:val="20"/>
              </w:rPr>
              <w:t>3.28</w:t>
            </w:r>
          </w:p>
        </w:tc>
        <w:tc>
          <w:tcPr>
            <w:tcW w:w="1460" w:type="dxa"/>
            <w:vAlign w:val="top"/>
          </w:tcPr>
          <w:p>
            <w:pPr>
              <w:spacing w:before="113" w:line="221" w:lineRule="auto"/>
              <w:ind w:left="551"/>
              <w:rPr>
                <w:rFonts w:ascii="宋体" w:hAnsi="宋体" w:eastAsia="宋体" w:cs="宋体"/>
                <w:sz w:val="20"/>
                <w:szCs w:val="20"/>
              </w:rPr>
            </w:pPr>
            <w:r>
              <w:rPr>
                <w:rFonts w:ascii="宋体" w:hAnsi="宋体" w:eastAsia="宋体" w:cs="宋体"/>
                <w:spacing w:val="-10"/>
                <w:sz w:val="20"/>
                <w:szCs w:val="20"/>
              </w:rPr>
              <w:t>4.10</w:t>
            </w:r>
          </w:p>
        </w:tc>
        <w:tc>
          <w:tcPr>
            <w:tcW w:w="1470" w:type="dxa"/>
            <w:tcBorders>
              <w:right w:val="single" w:color="000000" w:sz="6" w:space="0"/>
            </w:tcBorders>
            <w:vAlign w:val="top"/>
          </w:tcPr>
          <w:p>
            <w:pPr>
              <w:spacing w:before="113" w:line="221" w:lineRule="auto"/>
              <w:ind w:left="557"/>
              <w:rPr>
                <w:rFonts w:ascii="宋体" w:hAnsi="宋体" w:eastAsia="宋体" w:cs="宋体"/>
                <w:sz w:val="20"/>
                <w:szCs w:val="20"/>
              </w:rPr>
            </w:pPr>
            <w:r>
              <w:rPr>
                <w:rFonts w:ascii="宋体" w:hAnsi="宋体" w:eastAsia="宋体" w:cs="宋体"/>
                <w:spacing w:val="-12"/>
                <w:sz w:val="20"/>
                <w:szCs w:val="20"/>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6" w:type="dxa"/>
            <w:vMerge w:val="restart"/>
            <w:tcBorders>
              <w:left w:val="single" w:color="000000" w:sz="6" w:space="0"/>
              <w:bottom w:val="nil"/>
            </w:tcBorders>
            <w:vAlign w:val="top"/>
          </w:tcPr>
          <w:p>
            <w:pPr>
              <w:spacing w:before="125" w:line="219" w:lineRule="auto"/>
              <w:ind w:left="226"/>
              <w:rPr>
                <w:rFonts w:ascii="宋体" w:hAnsi="宋体" w:eastAsia="宋体" w:cs="宋体"/>
                <w:sz w:val="20"/>
                <w:szCs w:val="20"/>
              </w:rPr>
            </w:pPr>
            <w:r>
              <w:rPr>
                <w:rFonts w:ascii="宋体" w:hAnsi="宋体" w:eastAsia="宋体" w:cs="宋体"/>
                <w:spacing w:val="6"/>
                <w:sz w:val="20"/>
                <w:szCs w:val="20"/>
              </w:rPr>
              <w:t>安装</w:t>
            </w:r>
          </w:p>
          <w:p>
            <w:pPr>
              <w:spacing w:before="132" w:line="208" w:lineRule="auto"/>
              <w:ind w:left="226"/>
              <w:rPr>
                <w:rFonts w:ascii="宋体" w:hAnsi="宋体" w:eastAsia="宋体" w:cs="宋体"/>
                <w:sz w:val="20"/>
                <w:szCs w:val="20"/>
              </w:rPr>
            </w:pPr>
            <w:r>
              <w:rPr>
                <w:rFonts w:ascii="宋体" w:hAnsi="宋体" w:eastAsia="宋体" w:cs="宋体"/>
                <w:spacing w:val="6"/>
                <w:sz w:val="20"/>
                <w:szCs w:val="20"/>
              </w:rPr>
              <w:t>工程</w:t>
            </w:r>
          </w:p>
        </w:tc>
        <w:tc>
          <w:tcPr>
            <w:tcW w:w="2559" w:type="dxa"/>
            <w:vAlign w:val="top"/>
          </w:tcPr>
          <w:p>
            <w:pPr>
              <w:spacing w:before="121" w:line="214" w:lineRule="auto"/>
              <w:ind w:left="664"/>
              <w:rPr>
                <w:rFonts w:ascii="宋体" w:hAnsi="宋体" w:eastAsia="宋体" w:cs="宋体"/>
                <w:sz w:val="20"/>
                <w:szCs w:val="20"/>
              </w:rPr>
            </w:pPr>
            <w:r>
              <w:rPr>
                <w:rFonts w:ascii="宋体" w:hAnsi="宋体" w:eastAsia="宋体" w:cs="宋体"/>
                <w:spacing w:val="5"/>
                <w:sz w:val="20"/>
                <w:szCs w:val="20"/>
              </w:rPr>
              <w:t>民用安装工程</w:t>
            </w:r>
          </w:p>
        </w:tc>
        <w:tc>
          <w:tcPr>
            <w:tcW w:w="1458" w:type="dxa"/>
            <w:vAlign w:val="top"/>
          </w:tcPr>
          <w:p>
            <w:pPr>
              <w:spacing w:before="114" w:line="220" w:lineRule="auto"/>
              <w:ind w:left="548"/>
              <w:rPr>
                <w:rFonts w:ascii="宋体" w:hAnsi="宋体" w:eastAsia="宋体" w:cs="宋体"/>
                <w:sz w:val="20"/>
                <w:szCs w:val="20"/>
              </w:rPr>
            </w:pPr>
            <w:r>
              <w:rPr>
                <w:rFonts w:ascii="宋体" w:hAnsi="宋体" w:eastAsia="宋体" w:cs="宋体"/>
                <w:spacing w:val="-11"/>
                <w:sz w:val="20"/>
                <w:szCs w:val="20"/>
              </w:rPr>
              <w:t>2.50</w:t>
            </w:r>
          </w:p>
        </w:tc>
        <w:tc>
          <w:tcPr>
            <w:tcW w:w="1459" w:type="dxa"/>
            <w:vAlign w:val="top"/>
          </w:tcPr>
          <w:p>
            <w:pPr>
              <w:spacing w:before="114" w:line="220" w:lineRule="auto"/>
              <w:ind w:left="551"/>
              <w:rPr>
                <w:rFonts w:ascii="宋体" w:hAnsi="宋体" w:eastAsia="宋体" w:cs="宋体"/>
                <w:sz w:val="20"/>
                <w:szCs w:val="20"/>
              </w:rPr>
            </w:pPr>
            <w:r>
              <w:rPr>
                <w:rFonts w:ascii="宋体" w:hAnsi="宋体" w:eastAsia="宋体" w:cs="宋体"/>
                <w:spacing w:val="-11"/>
                <w:sz w:val="20"/>
                <w:szCs w:val="20"/>
              </w:rPr>
              <w:t>2.10</w:t>
            </w:r>
          </w:p>
        </w:tc>
        <w:tc>
          <w:tcPr>
            <w:tcW w:w="1460" w:type="dxa"/>
            <w:vAlign w:val="top"/>
          </w:tcPr>
          <w:p>
            <w:pPr>
              <w:spacing w:before="114" w:line="220" w:lineRule="auto"/>
              <w:ind w:left="554"/>
              <w:rPr>
                <w:rFonts w:ascii="宋体" w:hAnsi="宋体" w:eastAsia="宋体" w:cs="宋体"/>
                <w:sz w:val="20"/>
                <w:szCs w:val="20"/>
              </w:rPr>
            </w:pPr>
            <w:r>
              <w:rPr>
                <w:rFonts w:ascii="宋体" w:hAnsi="宋体" w:eastAsia="宋体" w:cs="宋体"/>
                <w:spacing w:val="-11"/>
                <w:sz w:val="20"/>
                <w:szCs w:val="20"/>
              </w:rPr>
              <w:t>2.80</w:t>
            </w:r>
          </w:p>
        </w:tc>
        <w:tc>
          <w:tcPr>
            <w:tcW w:w="1470" w:type="dxa"/>
            <w:tcBorders>
              <w:right w:val="single" w:color="000000" w:sz="6" w:space="0"/>
            </w:tcBorders>
            <w:vAlign w:val="top"/>
          </w:tcPr>
          <w:p>
            <w:pPr>
              <w:spacing w:before="114" w:line="220" w:lineRule="auto"/>
              <w:ind w:left="575"/>
              <w:rPr>
                <w:rFonts w:ascii="宋体" w:hAnsi="宋体" w:eastAsia="宋体" w:cs="宋体"/>
                <w:sz w:val="20"/>
                <w:szCs w:val="20"/>
              </w:rPr>
            </w:pPr>
            <w:r>
              <w:rPr>
                <w:rFonts w:ascii="宋体" w:hAnsi="宋体" w:eastAsia="宋体" w:cs="宋体"/>
                <w:spacing w:val="-16"/>
                <w:sz w:val="20"/>
                <w:szCs w:val="20"/>
              </w:rPr>
              <w:t>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6" w:type="dxa"/>
            <w:vMerge w:val="continue"/>
            <w:tcBorders>
              <w:top w:val="nil"/>
              <w:left w:val="single" w:color="000000" w:sz="6" w:space="0"/>
            </w:tcBorders>
            <w:vAlign w:val="top"/>
          </w:tcPr>
          <w:p>
            <w:pPr>
              <w:pStyle w:val="6"/>
            </w:pPr>
          </w:p>
        </w:tc>
        <w:tc>
          <w:tcPr>
            <w:tcW w:w="2559" w:type="dxa"/>
            <w:vAlign w:val="top"/>
          </w:tcPr>
          <w:p>
            <w:pPr>
              <w:spacing w:before="122" w:line="213" w:lineRule="auto"/>
              <w:ind w:left="646"/>
              <w:rPr>
                <w:rFonts w:ascii="宋体" w:hAnsi="宋体" w:eastAsia="宋体" w:cs="宋体"/>
                <w:sz w:val="20"/>
                <w:szCs w:val="20"/>
              </w:rPr>
            </w:pPr>
            <w:r>
              <w:rPr>
                <w:rFonts w:ascii="宋体" w:hAnsi="宋体" w:eastAsia="宋体" w:cs="宋体"/>
                <w:spacing w:val="8"/>
                <w:sz w:val="20"/>
                <w:szCs w:val="20"/>
              </w:rPr>
              <w:t>工业安装工程</w:t>
            </w:r>
          </w:p>
        </w:tc>
        <w:tc>
          <w:tcPr>
            <w:tcW w:w="1458" w:type="dxa"/>
            <w:vAlign w:val="top"/>
          </w:tcPr>
          <w:p>
            <w:pPr>
              <w:spacing w:before="116" w:line="218" w:lineRule="auto"/>
              <w:ind w:left="551"/>
              <w:rPr>
                <w:rFonts w:ascii="宋体" w:hAnsi="宋体" w:eastAsia="宋体" w:cs="宋体"/>
                <w:sz w:val="20"/>
                <w:szCs w:val="20"/>
              </w:rPr>
            </w:pPr>
            <w:r>
              <w:rPr>
                <w:rFonts w:ascii="宋体" w:hAnsi="宋体" w:eastAsia="宋体" w:cs="宋体"/>
                <w:spacing w:val="-12"/>
                <w:sz w:val="20"/>
                <w:szCs w:val="20"/>
              </w:rPr>
              <w:t>3.10</w:t>
            </w:r>
          </w:p>
        </w:tc>
        <w:tc>
          <w:tcPr>
            <w:tcW w:w="1459" w:type="dxa"/>
            <w:vAlign w:val="top"/>
          </w:tcPr>
          <w:p>
            <w:pPr>
              <w:spacing w:before="116" w:line="218" w:lineRule="auto"/>
              <w:ind w:left="551"/>
              <w:rPr>
                <w:rFonts w:ascii="宋体" w:hAnsi="宋体" w:eastAsia="宋体" w:cs="宋体"/>
                <w:sz w:val="20"/>
                <w:szCs w:val="20"/>
              </w:rPr>
            </w:pPr>
            <w:r>
              <w:rPr>
                <w:rFonts w:ascii="宋体" w:hAnsi="宋体" w:eastAsia="宋体" w:cs="宋体"/>
                <w:spacing w:val="-11"/>
                <w:sz w:val="20"/>
                <w:szCs w:val="20"/>
              </w:rPr>
              <w:t>2.70</w:t>
            </w:r>
          </w:p>
        </w:tc>
        <w:tc>
          <w:tcPr>
            <w:tcW w:w="1460" w:type="dxa"/>
            <w:vAlign w:val="top"/>
          </w:tcPr>
          <w:p>
            <w:pPr>
              <w:spacing w:before="116" w:line="218" w:lineRule="auto"/>
              <w:ind w:left="557"/>
              <w:rPr>
                <w:rFonts w:ascii="宋体" w:hAnsi="宋体" w:eastAsia="宋体" w:cs="宋体"/>
                <w:sz w:val="20"/>
                <w:szCs w:val="20"/>
              </w:rPr>
            </w:pPr>
            <w:r>
              <w:rPr>
                <w:rFonts w:ascii="宋体" w:hAnsi="宋体" w:eastAsia="宋体" w:cs="宋体"/>
                <w:spacing w:val="-12"/>
                <w:sz w:val="20"/>
                <w:szCs w:val="20"/>
              </w:rPr>
              <w:t>3.90</w:t>
            </w:r>
          </w:p>
        </w:tc>
        <w:tc>
          <w:tcPr>
            <w:tcW w:w="1470" w:type="dxa"/>
            <w:tcBorders>
              <w:right w:val="single" w:color="000000" w:sz="6" w:space="0"/>
            </w:tcBorders>
            <w:vAlign w:val="top"/>
          </w:tcPr>
          <w:p>
            <w:pPr>
              <w:spacing w:before="116" w:line="218" w:lineRule="auto"/>
              <w:ind w:left="575"/>
              <w:rPr>
                <w:rFonts w:ascii="宋体" w:hAnsi="宋体" w:eastAsia="宋体" w:cs="宋体"/>
                <w:sz w:val="20"/>
                <w:szCs w:val="20"/>
              </w:rPr>
            </w:pPr>
            <w:r>
              <w:rPr>
                <w:rFonts w:ascii="宋体" w:hAnsi="宋体" w:eastAsia="宋体" w:cs="宋体"/>
                <w:spacing w:val="-16"/>
                <w:sz w:val="20"/>
                <w:szCs w:val="20"/>
              </w:rPr>
              <w:t>1.70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3445" w:type="dxa"/>
            <w:gridSpan w:val="2"/>
            <w:tcBorders>
              <w:left w:val="single" w:color="000000" w:sz="6" w:space="0"/>
            </w:tcBorders>
            <w:vAlign w:val="top"/>
          </w:tcPr>
          <w:p>
            <w:pPr>
              <w:spacing w:before="125" w:line="211" w:lineRule="auto"/>
              <w:ind w:left="1105"/>
              <w:rPr>
                <w:rFonts w:ascii="宋体" w:hAnsi="宋体" w:eastAsia="宋体" w:cs="宋体"/>
                <w:sz w:val="20"/>
                <w:szCs w:val="20"/>
              </w:rPr>
            </w:pPr>
            <w:r>
              <w:rPr>
                <w:rFonts w:ascii="宋体" w:hAnsi="宋体" w:eastAsia="宋体" w:cs="宋体"/>
                <w:spacing w:val="6"/>
                <w:sz w:val="20"/>
                <w:szCs w:val="20"/>
              </w:rPr>
              <w:t>园林绿化工程</w:t>
            </w:r>
          </w:p>
        </w:tc>
        <w:tc>
          <w:tcPr>
            <w:tcW w:w="1458" w:type="dxa"/>
            <w:vAlign w:val="top"/>
          </w:tcPr>
          <w:p>
            <w:pPr>
              <w:spacing w:before="117" w:line="218" w:lineRule="auto"/>
              <w:ind w:left="548"/>
              <w:rPr>
                <w:rFonts w:ascii="宋体" w:hAnsi="宋体" w:eastAsia="宋体" w:cs="宋体"/>
                <w:sz w:val="20"/>
                <w:szCs w:val="20"/>
              </w:rPr>
            </w:pPr>
            <w:r>
              <w:rPr>
                <w:rFonts w:ascii="宋体" w:hAnsi="宋体" w:eastAsia="宋体" w:cs="宋体"/>
                <w:spacing w:val="-11"/>
                <w:sz w:val="20"/>
                <w:szCs w:val="20"/>
              </w:rPr>
              <w:t>2.21</w:t>
            </w:r>
          </w:p>
        </w:tc>
        <w:tc>
          <w:tcPr>
            <w:tcW w:w="1459" w:type="dxa"/>
            <w:vAlign w:val="top"/>
          </w:tcPr>
          <w:p>
            <w:pPr>
              <w:spacing w:before="117" w:line="218" w:lineRule="auto"/>
              <w:ind w:left="548"/>
              <w:rPr>
                <w:rFonts w:ascii="宋体" w:hAnsi="宋体" w:eastAsia="宋体" w:cs="宋体"/>
                <w:sz w:val="20"/>
                <w:szCs w:val="20"/>
              </w:rPr>
            </w:pPr>
            <w:r>
              <w:rPr>
                <w:rFonts w:ascii="宋体" w:hAnsi="宋体" w:eastAsia="宋体" w:cs="宋体"/>
                <w:spacing w:val="-10"/>
                <w:sz w:val="20"/>
                <w:szCs w:val="20"/>
              </w:rPr>
              <w:t>4.42</w:t>
            </w:r>
          </w:p>
        </w:tc>
        <w:tc>
          <w:tcPr>
            <w:tcW w:w="1460" w:type="dxa"/>
            <w:vAlign w:val="top"/>
          </w:tcPr>
          <w:p>
            <w:pPr>
              <w:spacing w:before="117" w:line="218" w:lineRule="auto"/>
              <w:ind w:left="554"/>
              <w:rPr>
                <w:rFonts w:ascii="宋体" w:hAnsi="宋体" w:eastAsia="宋体" w:cs="宋体"/>
                <w:sz w:val="20"/>
                <w:szCs w:val="20"/>
              </w:rPr>
            </w:pPr>
            <w:r>
              <w:rPr>
                <w:rFonts w:ascii="宋体" w:hAnsi="宋体" w:eastAsia="宋体" w:cs="宋体"/>
                <w:spacing w:val="-11"/>
                <w:sz w:val="20"/>
                <w:szCs w:val="20"/>
              </w:rPr>
              <w:t>2.21</w:t>
            </w:r>
          </w:p>
        </w:tc>
        <w:tc>
          <w:tcPr>
            <w:tcW w:w="1470" w:type="dxa"/>
            <w:tcBorders>
              <w:right w:val="single" w:color="000000" w:sz="6" w:space="0"/>
            </w:tcBorders>
            <w:vAlign w:val="top"/>
          </w:tcPr>
          <w:p>
            <w:pPr>
              <w:spacing w:before="117" w:line="218" w:lineRule="auto"/>
              <w:ind w:left="558"/>
              <w:rPr>
                <w:rFonts w:ascii="宋体" w:hAnsi="宋体" w:eastAsia="宋体" w:cs="宋体"/>
                <w:sz w:val="20"/>
                <w:szCs w:val="20"/>
              </w:rPr>
            </w:pPr>
            <w:r>
              <w:rPr>
                <w:rFonts w:ascii="宋体" w:hAnsi="宋体" w:eastAsia="宋体" w:cs="宋体"/>
                <w:spacing w:val="-12"/>
                <w:sz w:val="20"/>
                <w:szCs w:val="20"/>
              </w:rPr>
              <w:t>5.89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886" w:type="dxa"/>
            <w:vMerge w:val="restart"/>
            <w:tcBorders>
              <w:left w:val="single" w:color="000000" w:sz="6" w:space="0"/>
              <w:bottom w:val="nil"/>
            </w:tcBorders>
            <w:vAlign w:val="top"/>
          </w:tcPr>
          <w:p>
            <w:pPr>
              <w:spacing w:before="128" w:line="219" w:lineRule="auto"/>
              <w:ind w:left="229"/>
              <w:rPr>
                <w:rFonts w:ascii="宋体" w:hAnsi="宋体" w:eastAsia="宋体" w:cs="宋体"/>
                <w:sz w:val="20"/>
                <w:szCs w:val="20"/>
              </w:rPr>
            </w:pPr>
            <w:r>
              <w:rPr>
                <w:rFonts w:ascii="宋体" w:hAnsi="宋体" w:eastAsia="宋体" w:cs="宋体"/>
                <w:spacing w:val="6"/>
                <w:sz w:val="20"/>
                <w:szCs w:val="20"/>
              </w:rPr>
              <w:t>房屋</w:t>
            </w:r>
          </w:p>
          <w:p>
            <w:pPr>
              <w:spacing w:before="121" w:line="217" w:lineRule="auto"/>
              <w:ind w:left="228"/>
              <w:rPr>
                <w:rFonts w:ascii="宋体" w:hAnsi="宋体" w:eastAsia="宋体" w:cs="宋体"/>
                <w:sz w:val="20"/>
                <w:szCs w:val="20"/>
              </w:rPr>
            </w:pPr>
            <w:r>
              <w:rPr>
                <w:rFonts w:ascii="宋体" w:hAnsi="宋体" w:eastAsia="宋体" w:cs="宋体"/>
                <w:spacing w:val="6"/>
                <w:sz w:val="20"/>
                <w:szCs w:val="20"/>
              </w:rPr>
              <w:t>修缮</w:t>
            </w:r>
          </w:p>
        </w:tc>
        <w:tc>
          <w:tcPr>
            <w:tcW w:w="2559" w:type="dxa"/>
            <w:vAlign w:val="top"/>
          </w:tcPr>
          <w:p>
            <w:pPr>
              <w:spacing w:before="122" w:line="214" w:lineRule="auto"/>
              <w:ind w:left="859"/>
              <w:rPr>
                <w:rFonts w:ascii="宋体" w:hAnsi="宋体" w:eastAsia="宋体" w:cs="宋体"/>
                <w:sz w:val="20"/>
                <w:szCs w:val="20"/>
              </w:rPr>
            </w:pPr>
            <w:r>
              <w:rPr>
                <w:rFonts w:ascii="宋体" w:hAnsi="宋体" w:eastAsia="宋体" w:cs="宋体"/>
                <w:spacing w:val="8"/>
                <w:sz w:val="20"/>
                <w:szCs w:val="20"/>
              </w:rPr>
              <w:t>建筑工程</w:t>
            </w:r>
          </w:p>
        </w:tc>
        <w:tc>
          <w:tcPr>
            <w:tcW w:w="1458" w:type="dxa"/>
            <w:vAlign w:val="top"/>
          </w:tcPr>
          <w:p>
            <w:pPr>
              <w:spacing w:before="118" w:line="217" w:lineRule="auto"/>
              <w:ind w:left="551"/>
              <w:rPr>
                <w:rFonts w:ascii="宋体" w:hAnsi="宋体" w:eastAsia="宋体" w:cs="宋体"/>
                <w:sz w:val="20"/>
                <w:szCs w:val="20"/>
              </w:rPr>
            </w:pPr>
            <w:r>
              <w:rPr>
                <w:rFonts w:ascii="宋体" w:hAnsi="宋体" w:eastAsia="宋体" w:cs="宋体"/>
                <w:spacing w:val="-12"/>
                <w:sz w:val="20"/>
                <w:szCs w:val="20"/>
              </w:rPr>
              <w:t>3.91</w:t>
            </w:r>
          </w:p>
        </w:tc>
        <w:tc>
          <w:tcPr>
            <w:tcW w:w="1459" w:type="dxa"/>
            <w:vAlign w:val="top"/>
          </w:tcPr>
          <w:p>
            <w:pPr>
              <w:spacing w:before="118" w:line="217" w:lineRule="auto"/>
              <w:ind w:left="554"/>
              <w:rPr>
                <w:rFonts w:ascii="宋体" w:hAnsi="宋体" w:eastAsia="宋体" w:cs="宋体"/>
                <w:sz w:val="20"/>
                <w:szCs w:val="20"/>
              </w:rPr>
            </w:pPr>
            <w:r>
              <w:rPr>
                <w:rFonts w:ascii="宋体" w:hAnsi="宋体" w:eastAsia="宋体" w:cs="宋体"/>
                <w:spacing w:val="-12"/>
                <w:sz w:val="20"/>
                <w:szCs w:val="20"/>
              </w:rPr>
              <w:t>3.46</w:t>
            </w:r>
          </w:p>
        </w:tc>
        <w:tc>
          <w:tcPr>
            <w:tcW w:w="1460" w:type="dxa"/>
            <w:vAlign w:val="top"/>
          </w:tcPr>
          <w:p>
            <w:pPr>
              <w:spacing w:before="118" w:line="217" w:lineRule="auto"/>
              <w:ind w:left="551"/>
              <w:rPr>
                <w:rFonts w:ascii="宋体" w:hAnsi="宋体" w:eastAsia="宋体" w:cs="宋体"/>
                <w:sz w:val="20"/>
                <w:szCs w:val="20"/>
              </w:rPr>
            </w:pPr>
            <w:r>
              <w:rPr>
                <w:rFonts w:ascii="宋体" w:hAnsi="宋体" w:eastAsia="宋体" w:cs="宋体"/>
                <w:spacing w:val="-10"/>
                <w:sz w:val="20"/>
                <w:szCs w:val="20"/>
              </w:rPr>
              <w:t>4.35</w:t>
            </w:r>
          </w:p>
        </w:tc>
        <w:tc>
          <w:tcPr>
            <w:tcW w:w="1470" w:type="dxa"/>
            <w:tcBorders>
              <w:right w:val="single" w:color="000000" w:sz="6" w:space="0"/>
            </w:tcBorders>
            <w:vAlign w:val="top"/>
          </w:tcPr>
          <w:p>
            <w:pPr>
              <w:spacing w:before="118" w:line="217" w:lineRule="auto"/>
              <w:ind w:left="575"/>
              <w:rPr>
                <w:rFonts w:ascii="宋体" w:hAnsi="宋体" w:eastAsia="宋体" w:cs="宋体"/>
                <w:sz w:val="20"/>
                <w:szCs w:val="20"/>
              </w:rPr>
            </w:pPr>
            <w:r>
              <w:rPr>
                <w:rFonts w:ascii="宋体" w:hAnsi="宋体" w:eastAsia="宋体" w:cs="宋体"/>
                <w:spacing w:val="-16"/>
                <w:sz w:val="20"/>
                <w:szCs w:val="20"/>
              </w:rPr>
              <w:t>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886" w:type="dxa"/>
            <w:vMerge w:val="continue"/>
            <w:tcBorders>
              <w:top w:val="nil"/>
              <w:left w:val="single" w:color="000000" w:sz="6" w:space="0"/>
            </w:tcBorders>
            <w:vAlign w:val="top"/>
          </w:tcPr>
          <w:p>
            <w:pPr>
              <w:pStyle w:val="6"/>
            </w:pPr>
          </w:p>
        </w:tc>
        <w:tc>
          <w:tcPr>
            <w:tcW w:w="2559" w:type="dxa"/>
            <w:vAlign w:val="top"/>
          </w:tcPr>
          <w:p>
            <w:pPr>
              <w:spacing w:before="125" w:line="211" w:lineRule="auto"/>
              <w:ind w:left="859"/>
              <w:rPr>
                <w:rFonts w:ascii="宋体" w:hAnsi="宋体" w:eastAsia="宋体" w:cs="宋体"/>
                <w:sz w:val="20"/>
                <w:szCs w:val="20"/>
              </w:rPr>
            </w:pPr>
            <w:r>
              <w:rPr>
                <w:rFonts w:ascii="宋体" w:hAnsi="宋体" w:eastAsia="宋体" w:cs="宋体"/>
                <w:spacing w:val="8"/>
                <w:sz w:val="20"/>
                <w:szCs w:val="20"/>
              </w:rPr>
              <w:t>安装工程</w:t>
            </w:r>
          </w:p>
        </w:tc>
        <w:tc>
          <w:tcPr>
            <w:tcW w:w="1458" w:type="dxa"/>
            <w:vAlign w:val="top"/>
          </w:tcPr>
          <w:p>
            <w:pPr>
              <w:spacing w:before="118" w:line="217" w:lineRule="auto"/>
              <w:ind w:left="548"/>
              <w:rPr>
                <w:rFonts w:ascii="宋体" w:hAnsi="宋体" w:eastAsia="宋体" w:cs="宋体"/>
                <w:sz w:val="20"/>
                <w:szCs w:val="20"/>
              </w:rPr>
            </w:pPr>
            <w:r>
              <w:rPr>
                <w:rFonts w:ascii="宋体" w:hAnsi="宋体" w:eastAsia="宋体" w:cs="宋体"/>
                <w:spacing w:val="-11"/>
                <w:sz w:val="20"/>
                <w:szCs w:val="20"/>
              </w:rPr>
              <w:t>2.50</w:t>
            </w:r>
          </w:p>
        </w:tc>
        <w:tc>
          <w:tcPr>
            <w:tcW w:w="1459" w:type="dxa"/>
            <w:vAlign w:val="top"/>
          </w:tcPr>
          <w:p>
            <w:pPr>
              <w:spacing w:before="118" w:line="217" w:lineRule="auto"/>
              <w:ind w:left="551"/>
              <w:rPr>
                <w:rFonts w:ascii="宋体" w:hAnsi="宋体" w:eastAsia="宋体" w:cs="宋体"/>
                <w:sz w:val="20"/>
                <w:szCs w:val="20"/>
              </w:rPr>
            </w:pPr>
            <w:r>
              <w:rPr>
                <w:rFonts w:ascii="宋体" w:hAnsi="宋体" w:eastAsia="宋体" w:cs="宋体"/>
                <w:spacing w:val="-11"/>
                <w:sz w:val="20"/>
                <w:szCs w:val="20"/>
              </w:rPr>
              <w:t>2.70</w:t>
            </w:r>
          </w:p>
        </w:tc>
        <w:tc>
          <w:tcPr>
            <w:tcW w:w="1460" w:type="dxa"/>
            <w:vAlign w:val="top"/>
          </w:tcPr>
          <w:p>
            <w:pPr>
              <w:spacing w:before="118" w:line="217" w:lineRule="auto"/>
              <w:ind w:left="554"/>
              <w:rPr>
                <w:rFonts w:ascii="宋体" w:hAnsi="宋体" w:eastAsia="宋体" w:cs="宋体"/>
                <w:sz w:val="20"/>
                <w:szCs w:val="20"/>
              </w:rPr>
            </w:pPr>
            <w:r>
              <w:rPr>
                <w:rFonts w:ascii="宋体" w:hAnsi="宋体" w:eastAsia="宋体" w:cs="宋体"/>
                <w:spacing w:val="-11"/>
                <w:sz w:val="20"/>
                <w:szCs w:val="20"/>
              </w:rPr>
              <w:t>2.80</w:t>
            </w:r>
          </w:p>
        </w:tc>
        <w:tc>
          <w:tcPr>
            <w:tcW w:w="1470" w:type="dxa"/>
            <w:tcBorders>
              <w:right w:val="single" w:color="000000" w:sz="6" w:space="0"/>
            </w:tcBorders>
            <w:vAlign w:val="top"/>
          </w:tcPr>
          <w:p>
            <w:pPr>
              <w:spacing w:before="118" w:line="217" w:lineRule="auto"/>
              <w:ind w:left="575"/>
              <w:rPr>
                <w:rFonts w:ascii="宋体" w:hAnsi="宋体" w:eastAsia="宋体" w:cs="宋体"/>
                <w:sz w:val="20"/>
                <w:szCs w:val="20"/>
              </w:rPr>
            </w:pPr>
            <w:r>
              <w:rPr>
                <w:rFonts w:ascii="宋体" w:hAnsi="宋体" w:eastAsia="宋体" w:cs="宋体"/>
                <w:spacing w:val="-16"/>
                <w:sz w:val="20"/>
                <w:szCs w:val="20"/>
              </w:rPr>
              <w:t>1.70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3445" w:type="dxa"/>
            <w:gridSpan w:val="2"/>
            <w:tcBorders>
              <w:left w:val="single" w:color="000000" w:sz="6" w:space="0"/>
              <w:bottom w:val="single" w:color="000000" w:sz="6" w:space="0"/>
            </w:tcBorders>
            <w:vAlign w:val="top"/>
          </w:tcPr>
          <w:p>
            <w:pPr>
              <w:spacing w:before="125" w:line="223" w:lineRule="auto"/>
              <w:ind w:left="1088"/>
              <w:rPr>
                <w:rFonts w:ascii="宋体" w:hAnsi="宋体" w:eastAsia="宋体" w:cs="宋体"/>
                <w:sz w:val="20"/>
                <w:szCs w:val="20"/>
              </w:rPr>
            </w:pPr>
            <w:r>
              <w:rPr>
                <w:rFonts w:ascii="宋体" w:hAnsi="宋体" w:eastAsia="宋体" w:cs="宋体"/>
                <w:spacing w:val="9"/>
                <w:sz w:val="20"/>
                <w:szCs w:val="20"/>
              </w:rPr>
              <w:t>仿古建筑工程</w:t>
            </w:r>
          </w:p>
        </w:tc>
        <w:tc>
          <w:tcPr>
            <w:tcW w:w="1458" w:type="dxa"/>
            <w:tcBorders>
              <w:bottom w:val="single" w:color="000000" w:sz="6" w:space="0"/>
            </w:tcBorders>
            <w:vAlign w:val="top"/>
          </w:tcPr>
          <w:p>
            <w:pPr>
              <w:spacing w:before="122" w:line="227" w:lineRule="auto"/>
              <w:ind w:left="547"/>
              <w:rPr>
                <w:rFonts w:ascii="宋体" w:hAnsi="宋体" w:eastAsia="宋体" w:cs="宋体"/>
                <w:sz w:val="20"/>
                <w:szCs w:val="20"/>
              </w:rPr>
            </w:pPr>
            <w:r>
              <w:rPr>
                <w:rFonts w:ascii="宋体" w:hAnsi="宋体" w:eastAsia="宋体" w:cs="宋体"/>
                <w:spacing w:val="-11"/>
                <w:sz w:val="20"/>
                <w:szCs w:val="20"/>
              </w:rPr>
              <w:t>0.63</w:t>
            </w:r>
          </w:p>
        </w:tc>
        <w:tc>
          <w:tcPr>
            <w:tcW w:w="1459" w:type="dxa"/>
            <w:tcBorders>
              <w:bottom w:val="single" w:color="000000" w:sz="6" w:space="0"/>
            </w:tcBorders>
            <w:vAlign w:val="top"/>
          </w:tcPr>
          <w:p>
            <w:pPr>
              <w:spacing w:before="122" w:line="227" w:lineRule="auto"/>
              <w:ind w:left="551"/>
              <w:rPr>
                <w:rFonts w:ascii="宋体" w:hAnsi="宋体" w:eastAsia="宋体" w:cs="宋体"/>
                <w:sz w:val="20"/>
                <w:szCs w:val="20"/>
              </w:rPr>
            </w:pPr>
            <w:r>
              <w:rPr>
                <w:rFonts w:ascii="宋体" w:hAnsi="宋体" w:eastAsia="宋体" w:cs="宋体"/>
                <w:spacing w:val="-11"/>
                <w:sz w:val="20"/>
                <w:szCs w:val="20"/>
              </w:rPr>
              <w:t>2.28</w:t>
            </w:r>
          </w:p>
        </w:tc>
        <w:tc>
          <w:tcPr>
            <w:tcW w:w="1460" w:type="dxa"/>
            <w:tcBorders>
              <w:bottom w:val="single" w:color="000000" w:sz="6" w:space="0"/>
            </w:tcBorders>
            <w:vAlign w:val="top"/>
          </w:tcPr>
          <w:p>
            <w:pPr>
              <w:spacing w:before="122" w:line="227" w:lineRule="auto"/>
              <w:ind w:left="554"/>
              <w:rPr>
                <w:rFonts w:ascii="宋体" w:hAnsi="宋体" w:eastAsia="宋体" w:cs="宋体"/>
                <w:sz w:val="20"/>
                <w:szCs w:val="20"/>
              </w:rPr>
            </w:pPr>
            <w:r>
              <w:rPr>
                <w:rFonts w:ascii="宋体" w:hAnsi="宋体" w:eastAsia="宋体" w:cs="宋体"/>
                <w:spacing w:val="-11"/>
                <w:sz w:val="20"/>
                <w:szCs w:val="20"/>
              </w:rPr>
              <w:t>2.46</w:t>
            </w:r>
          </w:p>
        </w:tc>
        <w:tc>
          <w:tcPr>
            <w:tcW w:w="1470" w:type="dxa"/>
            <w:tcBorders>
              <w:bottom w:val="single" w:color="000000" w:sz="6" w:space="0"/>
              <w:right w:val="single" w:color="000000" w:sz="6" w:space="0"/>
            </w:tcBorders>
            <w:vAlign w:val="top"/>
          </w:tcPr>
          <w:p>
            <w:pPr>
              <w:spacing w:before="122" w:line="227" w:lineRule="auto"/>
              <w:ind w:left="557"/>
              <w:rPr>
                <w:rFonts w:ascii="宋体" w:hAnsi="宋体" w:eastAsia="宋体" w:cs="宋体"/>
                <w:sz w:val="20"/>
                <w:szCs w:val="20"/>
              </w:rPr>
            </w:pPr>
            <w:r>
              <w:rPr>
                <w:rFonts w:ascii="宋体" w:hAnsi="宋体" w:eastAsia="宋体" w:cs="宋体"/>
                <w:spacing w:val="-12"/>
                <w:sz w:val="20"/>
                <w:szCs w:val="20"/>
              </w:rPr>
              <w:t>0.72</w:t>
            </w:r>
          </w:p>
        </w:tc>
      </w:tr>
    </w:tbl>
    <w:p>
      <w:pPr>
        <w:spacing w:line="353" w:lineRule="auto"/>
        <w:rPr>
          <w:rFonts w:ascii="Arial"/>
          <w:sz w:val="21"/>
        </w:rPr>
      </w:pPr>
    </w:p>
    <w:p>
      <w:pPr>
        <w:pStyle w:val="2"/>
        <w:spacing w:before="95" w:line="203" w:lineRule="auto"/>
        <w:ind w:left="4072"/>
        <w:rPr>
          <w:sz w:val="22"/>
          <w:szCs w:val="22"/>
        </w:rPr>
      </w:pPr>
      <w:r>
        <w:rPr>
          <w:spacing w:val="-2"/>
          <w:sz w:val="22"/>
          <w:szCs w:val="22"/>
        </w:rPr>
        <w:t>2.</w:t>
      </w:r>
      <w:r>
        <w:rPr>
          <w:spacing w:val="56"/>
          <w:sz w:val="22"/>
          <w:szCs w:val="22"/>
        </w:rPr>
        <w:t xml:space="preserve"> </w:t>
      </w:r>
      <w:r>
        <w:rPr>
          <w:spacing w:val="-2"/>
          <w:sz w:val="22"/>
          <w:szCs w:val="22"/>
        </w:rPr>
        <w:t>简易计税法下</w:t>
      </w:r>
    </w:p>
    <w:p>
      <w:pPr>
        <w:spacing w:before="59" w:line="233" w:lineRule="auto"/>
        <w:ind w:left="8387"/>
        <w:rPr>
          <w:rFonts w:ascii="宋体" w:hAnsi="宋体" w:eastAsia="宋体" w:cs="宋体"/>
          <w:sz w:val="20"/>
          <w:szCs w:val="20"/>
        </w:rPr>
      </w:pPr>
      <w:r>
        <w:rPr>
          <w:rFonts w:ascii="宋体" w:hAnsi="宋体" w:eastAsia="宋体" w:cs="宋体"/>
          <w:spacing w:val="24"/>
          <w:sz w:val="20"/>
          <w:szCs w:val="20"/>
        </w:rPr>
        <w:t>单位：%</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2559"/>
        <w:gridCol w:w="1458"/>
        <w:gridCol w:w="1459"/>
        <w:gridCol w:w="1460"/>
        <w:gridCol w:w="14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7" w:hRule="atLeast"/>
        </w:trPr>
        <w:tc>
          <w:tcPr>
            <w:tcW w:w="3445" w:type="dxa"/>
            <w:gridSpan w:val="2"/>
            <w:tcBorders>
              <w:top w:val="single" w:color="000000" w:sz="6" w:space="0"/>
              <w:left w:val="single" w:color="000000" w:sz="6" w:space="0"/>
              <w:tl2br w:val="single" w:color="000000" w:sz="4" w:space="0"/>
            </w:tcBorders>
            <w:vAlign w:val="top"/>
          </w:tcPr>
          <w:p>
            <w:pPr>
              <w:spacing w:before="119" w:line="276" w:lineRule="auto"/>
              <w:ind w:left="105" w:right="671" w:firstLine="1830"/>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1458" w:type="dxa"/>
            <w:tcBorders>
              <w:top w:val="single" w:color="000000" w:sz="6" w:space="0"/>
            </w:tcBorders>
            <w:vAlign w:val="top"/>
          </w:tcPr>
          <w:p>
            <w:pPr>
              <w:spacing w:before="129" w:line="271" w:lineRule="auto"/>
              <w:ind w:left="412" w:right="413" w:firstLine="107"/>
              <w:rPr>
                <w:rFonts w:ascii="宋体" w:hAnsi="宋体" w:eastAsia="宋体" w:cs="宋体"/>
                <w:sz w:val="20"/>
                <w:szCs w:val="20"/>
              </w:rPr>
            </w:pPr>
            <w:r>
              <w:rPr>
                <w:rFonts w:ascii="宋体" w:hAnsi="宋体" w:eastAsia="宋体" w:cs="宋体"/>
                <w:spacing w:val="6"/>
                <w:sz w:val="20"/>
                <w:szCs w:val="20"/>
              </w:rPr>
              <w:t>夜间</w:t>
            </w:r>
            <w:r>
              <w:rPr>
                <w:rFonts w:ascii="宋体" w:hAnsi="宋体" w:eastAsia="宋体" w:cs="宋体"/>
                <w:spacing w:val="8"/>
                <w:sz w:val="20"/>
                <w:szCs w:val="20"/>
              </w:rPr>
              <w:t>施工费</w:t>
            </w:r>
          </w:p>
        </w:tc>
        <w:tc>
          <w:tcPr>
            <w:tcW w:w="1459" w:type="dxa"/>
            <w:tcBorders>
              <w:top w:val="single" w:color="000000" w:sz="6" w:space="0"/>
            </w:tcBorders>
            <w:vAlign w:val="top"/>
          </w:tcPr>
          <w:p>
            <w:pPr>
              <w:spacing w:before="132" w:line="270" w:lineRule="auto"/>
              <w:ind w:left="417" w:right="411"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460" w:type="dxa"/>
            <w:tcBorders>
              <w:top w:val="single" w:color="000000" w:sz="6" w:space="0"/>
            </w:tcBorders>
            <w:vAlign w:val="top"/>
          </w:tcPr>
          <w:p>
            <w:pPr>
              <w:spacing w:before="132" w:line="270" w:lineRule="auto"/>
              <w:ind w:left="419" w:right="200" w:hanging="210"/>
              <w:rPr>
                <w:rFonts w:ascii="宋体" w:hAnsi="宋体" w:eastAsia="宋体" w:cs="宋体"/>
                <w:sz w:val="20"/>
                <w:szCs w:val="20"/>
              </w:rPr>
            </w:pPr>
            <w:r>
              <w:rPr>
                <w:rFonts w:ascii="宋体" w:hAnsi="宋体" w:eastAsia="宋体" w:cs="宋体"/>
                <w:spacing w:val="8"/>
                <w:sz w:val="20"/>
                <w:szCs w:val="20"/>
              </w:rPr>
              <w:t>冬雨季施工增加费</w:t>
            </w:r>
          </w:p>
        </w:tc>
        <w:tc>
          <w:tcPr>
            <w:tcW w:w="1470" w:type="dxa"/>
            <w:tcBorders>
              <w:top w:val="single" w:color="000000" w:sz="6" w:space="0"/>
              <w:right w:val="single" w:color="000000" w:sz="6" w:space="0"/>
            </w:tcBorders>
            <w:vAlign w:val="top"/>
          </w:tcPr>
          <w:p>
            <w:pPr>
              <w:spacing w:before="128" w:line="219" w:lineRule="auto"/>
              <w:ind w:left="230"/>
              <w:rPr>
                <w:rFonts w:ascii="宋体" w:hAnsi="宋体" w:eastAsia="宋体" w:cs="宋体"/>
                <w:sz w:val="20"/>
                <w:szCs w:val="20"/>
              </w:rPr>
            </w:pPr>
            <w:r>
              <w:rPr>
                <w:rFonts w:ascii="宋体" w:hAnsi="宋体" w:eastAsia="宋体" w:cs="宋体"/>
                <w:spacing w:val="5"/>
                <w:sz w:val="20"/>
                <w:szCs w:val="20"/>
              </w:rPr>
              <w:t>已完工程及</w:t>
            </w:r>
          </w:p>
          <w:p>
            <w:pPr>
              <w:spacing w:before="60" w:line="223" w:lineRule="auto"/>
              <w:ind w:left="210"/>
              <w:rPr>
                <w:rFonts w:ascii="宋体" w:hAnsi="宋体" w:eastAsia="宋体" w:cs="宋体"/>
                <w:sz w:val="20"/>
                <w:szCs w:val="20"/>
              </w:rPr>
            </w:pPr>
            <w:r>
              <w:rPr>
                <w:rFonts w:ascii="宋体" w:hAnsi="宋体" w:eastAsia="宋体" w:cs="宋体"/>
                <w:spacing w:val="9"/>
                <w:sz w:val="20"/>
                <w:szCs w:val="20"/>
              </w:rPr>
              <w:t>设备保护费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12" w:line="222" w:lineRule="auto"/>
              <w:ind w:left="1298"/>
              <w:rPr>
                <w:rFonts w:ascii="宋体" w:hAnsi="宋体" w:eastAsia="宋体" w:cs="宋体"/>
                <w:sz w:val="20"/>
                <w:szCs w:val="20"/>
              </w:rPr>
            </w:pPr>
            <w:r>
              <w:rPr>
                <w:rFonts w:ascii="宋体" w:hAnsi="宋体" w:eastAsia="宋体" w:cs="宋体"/>
                <w:spacing w:val="8"/>
                <w:sz w:val="20"/>
                <w:szCs w:val="20"/>
              </w:rPr>
              <w:t>建筑工程</w:t>
            </w:r>
          </w:p>
        </w:tc>
        <w:tc>
          <w:tcPr>
            <w:tcW w:w="1458" w:type="dxa"/>
            <w:vAlign w:val="top"/>
          </w:tcPr>
          <w:p>
            <w:pPr>
              <w:spacing w:before="109" w:line="225" w:lineRule="auto"/>
              <w:ind w:left="548"/>
              <w:rPr>
                <w:rFonts w:ascii="宋体" w:hAnsi="宋体" w:eastAsia="宋体" w:cs="宋体"/>
                <w:sz w:val="20"/>
                <w:szCs w:val="20"/>
              </w:rPr>
            </w:pPr>
            <w:r>
              <w:rPr>
                <w:rFonts w:ascii="宋体" w:hAnsi="宋体" w:eastAsia="宋体" w:cs="宋体"/>
                <w:spacing w:val="-11"/>
                <w:sz w:val="20"/>
                <w:szCs w:val="20"/>
              </w:rPr>
              <w:t>2.80</w:t>
            </w:r>
          </w:p>
        </w:tc>
        <w:tc>
          <w:tcPr>
            <w:tcW w:w="1459" w:type="dxa"/>
            <w:vAlign w:val="top"/>
          </w:tcPr>
          <w:p>
            <w:pPr>
              <w:spacing w:before="109" w:line="225" w:lineRule="auto"/>
              <w:ind w:left="551"/>
              <w:rPr>
                <w:rFonts w:ascii="宋体" w:hAnsi="宋体" w:eastAsia="宋体" w:cs="宋体"/>
                <w:sz w:val="20"/>
                <w:szCs w:val="20"/>
              </w:rPr>
            </w:pPr>
            <w:r>
              <w:rPr>
                <w:rFonts w:ascii="宋体" w:hAnsi="宋体" w:eastAsia="宋体" w:cs="宋体"/>
                <w:spacing w:val="-11"/>
                <w:sz w:val="20"/>
                <w:szCs w:val="20"/>
              </w:rPr>
              <w:t>2.40</w:t>
            </w:r>
          </w:p>
        </w:tc>
        <w:tc>
          <w:tcPr>
            <w:tcW w:w="1460" w:type="dxa"/>
            <w:vAlign w:val="top"/>
          </w:tcPr>
          <w:p>
            <w:pPr>
              <w:spacing w:before="109" w:line="225" w:lineRule="auto"/>
              <w:ind w:left="557"/>
              <w:rPr>
                <w:rFonts w:ascii="宋体" w:hAnsi="宋体" w:eastAsia="宋体" w:cs="宋体"/>
                <w:sz w:val="20"/>
                <w:szCs w:val="20"/>
              </w:rPr>
            </w:pPr>
            <w:r>
              <w:rPr>
                <w:rFonts w:ascii="宋体" w:hAnsi="宋体" w:eastAsia="宋体" w:cs="宋体"/>
                <w:spacing w:val="-12"/>
                <w:sz w:val="20"/>
                <w:szCs w:val="20"/>
              </w:rPr>
              <w:t>3.20</w:t>
            </w:r>
          </w:p>
        </w:tc>
        <w:tc>
          <w:tcPr>
            <w:tcW w:w="1470" w:type="dxa"/>
            <w:tcBorders>
              <w:right w:val="single" w:color="000000" w:sz="6" w:space="0"/>
            </w:tcBorders>
            <w:vAlign w:val="top"/>
          </w:tcPr>
          <w:p>
            <w:pPr>
              <w:spacing w:before="109" w:line="225" w:lineRule="auto"/>
              <w:ind w:left="557"/>
              <w:rPr>
                <w:rFonts w:ascii="宋体" w:hAnsi="宋体" w:eastAsia="宋体" w:cs="宋体"/>
                <w:sz w:val="20"/>
                <w:szCs w:val="20"/>
              </w:rPr>
            </w:pPr>
            <w:r>
              <w:rPr>
                <w:rFonts w:ascii="宋体" w:hAnsi="宋体" w:eastAsia="宋体" w:cs="宋体"/>
                <w:spacing w:val="-12"/>
                <w:sz w:val="20"/>
                <w:szCs w:val="20"/>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18" w:line="216" w:lineRule="auto"/>
              <w:ind w:left="1297"/>
              <w:rPr>
                <w:rFonts w:ascii="宋体" w:hAnsi="宋体" w:eastAsia="宋体" w:cs="宋体"/>
                <w:sz w:val="20"/>
                <w:szCs w:val="20"/>
              </w:rPr>
            </w:pPr>
            <w:r>
              <w:rPr>
                <w:rFonts w:ascii="宋体" w:hAnsi="宋体" w:eastAsia="宋体" w:cs="宋体"/>
                <w:spacing w:val="8"/>
                <w:sz w:val="20"/>
                <w:szCs w:val="20"/>
              </w:rPr>
              <w:t>装饰工程</w:t>
            </w:r>
          </w:p>
        </w:tc>
        <w:tc>
          <w:tcPr>
            <w:tcW w:w="1458" w:type="dxa"/>
            <w:vAlign w:val="top"/>
          </w:tcPr>
          <w:p>
            <w:pPr>
              <w:spacing w:before="113" w:line="221" w:lineRule="auto"/>
              <w:ind w:left="544"/>
              <w:rPr>
                <w:rFonts w:ascii="宋体" w:hAnsi="宋体" w:eastAsia="宋体" w:cs="宋体"/>
                <w:sz w:val="20"/>
                <w:szCs w:val="20"/>
              </w:rPr>
            </w:pPr>
            <w:r>
              <w:rPr>
                <w:rFonts w:ascii="宋体" w:hAnsi="宋体" w:eastAsia="宋体" w:cs="宋体"/>
                <w:spacing w:val="-10"/>
                <w:sz w:val="20"/>
                <w:szCs w:val="20"/>
              </w:rPr>
              <w:t>4.00</w:t>
            </w:r>
          </w:p>
        </w:tc>
        <w:tc>
          <w:tcPr>
            <w:tcW w:w="1459" w:type="dxa"/>
            <w:vAlign w:val="top"/>
          </w:tcPr>
          <w:p>
            <w:pPr>
              <w:spacing w:before="113" w:line="221" w:lineRule="auto"/>
              <w:ind w:left="554"/>
              <w:rPr>
                <w:rFonts w:ascii="宋体" w:hAnsi="宋体" w:eastAsia="宋体" w:cs="宋体"/>
                <w:sz w:val="20"/>
                <w:szCs w:val="20"/>
              </w:rPr>
            </w:pPr>
            <w:r>
              <w:rPr>
                <w:rFonts w:ascii="宋体" w:hAnsi="宋体" w:eastAsia="宋体" w:cs="宋体"/>
                <w:spacing w:val="-12"/>
                <w:sz w:val="20"/>
                <w:szCs w:val="20"/>
              </w:rPr>
              <w:t>3.60</w:t>
            </w:r>
          </w:p>
        </w:tc>
        <w:tc>
          <w:tcPr>
            <w:tcW w:w="1460" w:type="dxa"/>
            <w:vAlign w:val="top"/>
          </w:tcPr>
          <w:p>
            <w:pPr>
              <w:spacing w:before="113" w:line="221" w:lineRule="auto"/>
              <w:ind w:left="551"/>
              <w:rPr>
                <w:rFonts w:ascii="宋体" w:hAnsi="宋体" w:eastAsia="宋体" w:cs="宋体"/>
                <w:sz w:val="20"/>
                <w:szCs w:val="20"/>
              </w:rPr>
            </w:pPr>
            <w:r>
              <w:rPr>
                <w:rFonts w:ascii="宋体" w:hAnsi="宋体" w:eastAsia="宋体" w:cs="宋体"/>
                <w:spacing w:val="-10"/>
                <w:sz w:val="20"/>
                <w:szCs w:val="20"/>
              </w:rPr>
              <w:t>4.50</w:t>
            </w:r>
          </w:p>
        </w:tc>
        <w:tc>
          <w:tcPr>
            <w:tcW w:w="1470" w:type="dxa"/>
            <w:tcBorders>
              <w:right w:val="single" w:color="000000" w:sz="6" w:space="0"/>
            </w:tcBorders>
            <w:vAlign w:val="top"/>
          </w:tcPr>
          <w:p>
            <w:pPr>
              <w:spacing w:before="113" w:line="221" w:lineRule="auto"/>
              <w:ind w:left="557"/>
              <w:rPr>
                <w:rFonts w:ascii="宋体" w:hAnsi="宋体" w:eastAsia="宋体" w:cs="宋体"/>
                <w:sz w:val="20"/>
                <w:szCs w:val="20"/>
              </w:rPr>
            </w:pPr>
            <w:r>
              <w:rPr>
                <w:rFonts w:ascii="宋体" w:hAnsi="宋体" w:eastAsia="宋体" w:cs="宋体"/>
                <w:spacing w:val="-12"/>
                <w:sz w:val="20"/>
                <w:szCs w:val="20"/>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6" w:type="dxa"/>
            <w:vMerge w:val="restart"/>
            <w:tcBorders>
              <w:left w:val="single" w:color="000000" w:sz="6" w:space="0"/>
              <w:bottom w:val="nil"/>
            </w:tcBorders>
            <w:vAlign w:val="top"/>
          </w:tcPr>
          <w:p>
            <w:pPr>
              <w:spacing w:before="125" w:line="219" w:lineRule="auto"/>
              <w:ind w:left="226"/>
              <w:rPr>
                <w:rFonts w:ascii="宋体" w:hAnsi="宋体" w:eastAsia="宋体" w:cs="宋体"/>
                <w:sz w:val="20"/>
                <w:szCs w:val="20"/>
              </w:rPr>
            </w:pPr>
            <w:r>
              <w:rPr>
                <w:rFonts w:ascii="宋体" w:hAnsi="宋体" w:eastAsia="宋体" w:cs="宋体"/>
                <w:spacing w:val="6"/>
                <w:sz w:val="20"/>
                <w:szCs w:val="20"/>
              </w:rPr>
              <w:t>安装</w:t>
            </w:r>
          </w:p>
          <w:p>
            <w:pPr>
              <w:spacing w:before="132" w:line="208" w:lineRule="auto"/>
              <w:ind w:left="226"/>
              <w:rPr>
                <w:rFonts w:ascii="宋体" w:hAnsi="宋体" w:eastAsia="宋体" w:cs="宋体"/>
                <w:sz w:val="20"/>
                <w:szCs w:val="20"/>
              </w:rPr>
            </w:pPr>
            <w:r>
              <w:rPr>
                <w:rFonts w:ascii="宋体" w:hAnsi="宋体" w:eastAsia="宋体" w:cs="宋体"/>
                <w:spacing w:val="6"/>
                <w:sz w:val="20"/>
                <w:szCs w:val="20"/>
              </w:rPr>
              <w:t>工程</w:t>
            </w:r>
          </w:p>
        </w:tc>
        <w:tc>
          <w:tcPr>
            <w:tcW w:w="2559" w:type="dxa"/>
            <w:vAlign w:val="top"/>
          </w:tcPr>
          <w:p>
            <w:pPr>
              <w:spacing w:before="121" w:line="214" w:lineRule="auto"/>
              <w:ind w:left="664"/>
              <w:rPr>
                <w:rFonts w:ascii="宋体" w:hAnsi="宋体" w:eastAsia="宋体" w:cs="宋体"/>
                <w:sz w:val="20"/>
                <w:szCs w:val="20"/>
              </w:rPr>
            </w:pPr>
            <w:r>
              <w:rPr>
                <w:rFonts w:ascii="宋体" w:hAnsi="宋体" w:eastAsia="宋体" w:cs="宋体"/>
                <w:spacing w:val="5"/>
                <w:sz w:val="20"/>
                <w:szCs w:val="20"/>
              </w:rPr>
              <w:t>民用安装工程</w:t>
            </w:r>
          </w:p>
        </w:tc>
        <w:tc>
          <w:tcPr>
            <w:tcW w:w="1458" w:type="dxa"/>
            <w:vAlign w:val="top"/>
          </w:tcPr>
          <w:p>
            <w:pPr>
              <w:spacing w:before="114" w:line="220" w:lineRule="auto"/>
              <w:ind w:left="548"/>
              <w:rPr>
                <w:rFonts w:ascii="宋体" w:hAnsi="宋体" w:eastAsia="宋体" w:cs="宋体"/>
                <w:sz w:val="20"/>
                <w:szCs w:val="20"/>
              </w:rPr>
            </w:pPr>
            <w:r>
              <w:rPr>
                <w:rFonts w:ascii="宋体" w:hAnsi="宋体" w:eastAsia="宋体" w:cs="宋体"/>
                <w:spacing w:val="-11"/>
                <w:sz w:val="20"/>
                <w:szCs w:val="20"/>
              </w:rPr>
              <w:t>2.66</w:t>
            </w:r>
          </w:p>
        </w:tc>
        <w:tc>
          <w:tcPr>
            <w:tcW w:w="1459" w:type="dxa"/>
            <w:vAlign w:val="top"/>
          </w:tcPr>
          <w:p>
            <w:pPr>
              <w:spacing w:before="114" w:line="220" w:lineRule="auto"/>
              <w:ind w:left="551"/>
              <w:rPr>
                <w:rFonts w:ascii="宋体" w:hAnsi="宋体" w:eastAsia="宋体" w:cs="宋体"/>
                <w:sz w:val="20"/>
                <w:szCs w:val="20"/>
              </w:rPr>
            </w:pPr>
            <w:r>
              <w:rPr>
                <w:rFonts w:ascii="宋体" w:hAnsi="宋体" w:eastAsia="宋体" w:cs="宋体"/>
                <w:spacing w:val="-11"/>
                <w:sz w:val="20"/>
                <w:szCs w:val="20"/>
              </w:rPr>
              <w:t>2.28</w:t>
            </w:r>
          </w:p>
        </w:tc>
        <w:tc>
          <w:tcPr>
            <w:tcW w:w="1460" w:type="dxa"/>
            <w:vAlign w:val="top"/>
          </w:tcPr>
          <w:p>
            <w:pPr>
              <w:spacing w:before="114" w:line="220" w:lineRule="auto"/>
              <w:ind w:left="557"/>
              <w:rPr>
                <w:rFonts w:ascii="宋体" w:hAnsi="宋体" w:eastAsia="宋体" w:cs="宋体"/>
                <w:sz w:val="20"/>
                <w:szCs w:val="20"/>
              </w:rPr>
            </w:pPr>
            <w:r>
              <w:rPr>
                <w:rFonts w:ascii="宋体" w:hAnsi="宋体" w:eastAsia="宋体" w:cs="宋体"/>
                <w:spacing w:val="-12"/>
                <w:sz w:val="20"/>
                <w:szCs w:val="20"/>
              </w:rPr>
              <w:t>3.04</w:t>
            </w:r>
          </w:p>
        </w:tc>
        <w:tc>
          <w:tcPr>
            <w:tcW w:w="1470" w:type="dxa"/>
            <w:tcBorders>
              <w:right w:val="single" w:color="000000" w:sz="6" w:space="0"/>
            </w:tcBorders>
            <w:vAlign w:val="top"/>
          </w:tcPr>
          <w:p>
            <w:pPr>
              <w:spacing w:before="114" w:line="220" w:lineRule="auto"/>
              <w:ind w:left="575"/>
              <w:rPr>
                <w:rFonts w:ascii="宋体" w:hAnsi="宋体" w:eastAsia="宋体" w:cs="宋体"/>
                <w:sz w:val="20"/>
                <w:szCs w:val="20"/>
              </w:rPr>
            </w:pPr>
            <w:r>
              <w:rPr>
                <w:rFonts w:ascii="宋体" w:hAnsi="宋体" w:eastAsia="宋体" w:cs="宋体"/>
                <w:spacing w:val="-16"/>
                <w:sz w:val="20"/>
                <w:szCs w:val="20"/>
              </w:rPr>
              <w:t>1.32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6" w:type="dxa"/>
            <w:vMerge w:val="continue"/>
            <w:tcBorders>
              <w:top w:val="nil"/>
              <w:left w:val="single" w:color="000000" w:sz="6" w:space="0"/>
            </w:tcBorders>
            <w:vAlign w:val="top"/>
          </w:tcPr>
          <w:p>
            <w:pPr>
              <w:pStyle w:val="6"/>
            </w:pPr>
          </w:p>
        </w:tc>
        <w:tc>
          <w:tcPr>
            <w:tcW w:w="2559" w:type="dxa"/>
            <w:vAlign w:val="top"/>
          </w:tcPr>
          <w:p>
            <w:pPr>
              <w:spacing w:before="122" w:line="213" w:lineRule="auto"/>
              <w:ind w:left="646"/>
              <w:rPr>
                <w:rFonts w:ascii="宋体" w:hAnsi="宋体" w:eastAsia="宋体" w:cs="宋体"/>
                <w:sz w:val="20"/>
                <w:szCs w:val="20"/>
              </w:rPr>
            </w:pPr>
            <w:r>
              <w:rPr>
                <w:rFonts w:ascii="宋体" w:hAnsi="宋体" w:eastAsia="宋体" w:cs="宋体"/>
                <w:spacing w:val="8"/>
                <w:sz w:val="20"/>
                <w:szCs w:val="20"/>
              </w:rPr>
              <w:t>工业安装工程</w:t>
            </w:r>
          </w:p>
        </w:tc>
        <w:tc>
          <w:tcPr>
            <w:tcW w:w="1458" w:type="dxa"/>
            <w:vAlign w:val="top"/>
          </w:tcPr>
          <w:p>
            <w:pPr>
              <w:spacing w:before="116" w:line="218" w:lineRule="auto"/>
              <w:ind w:left="551"/>
              <w:rPr>
                <w:rFonts w:ascii="宋体" w:hAnsi="宋体" w:eastAsia="宋体" w:cs="宋体"/>
                <w:sz w:val="20"/>
                <w:szCs w:val="20"/>
              </w:rPr>
            </w:pPr>
            <w:r>
              <w:rPr>
                <w:rFonts w:ascii="宋体" w:hAnsi="宋体" w:eastAsia="宋体" w:cs="宋体"/>
                <w:spacing w:val="-12"/>
                <w:sz w:val="20"/>
                <w:szCs w:val="20"/>
              </w:rPr>
              <w:t>3.30</w:t>
            </w:r>
          </w:p>
        </w:tc>
        <w:tc>
          <w:tcPr>
            <w:tcW w:w="1459" w:type="dxa"/>
            <w:vAlign w:val="top"/>
          </w:tcPr>
          <w:p>
            <w:pPr>
              <w:spacing w:before="116" w:line="218" w:lineRule="auto"/>
              <w:ind w:left="551"/>
              <w:rPr>
                <w:rFonts w:ascii="宋体" w:hAnsi="宋体" w:eastAsia="宋体" w:cs="宋体"/>
                <w:sz w:val="20"/>
                <w:szCs w:val="20"/>
              </w:rPr>
            </w:pPr>
            <w:r>
              <w:rPr>
                <w:rFonts w:ascii="宋体" w:hAnsi="宋体" w:eastAsia="宋体" w:cs="宋体"/>
                <w:spacing w:val="-11"/>
                <w:sz w:val="20"/>
                <w:szCs w:val="20"/>
              </w:rPr>
              <w:t>2.93</w:t>
            </w:r>
          </w:p>
        </w:tc>
        <w:tc>
          <w:tcPr>
            <w:tcW w:w="1460" w:type="dxa"/>
            <w:vAlign w:val="top"/>
          </w:tcPr>
          <w:p>
            <w:pPr>
              <w:spacing w:before="116" w:line="218" w:lineRule="auto"/>
              <w:ind w:left="551"/>
              <w:rPr>
                <w:rFonts w:ascii="宋体" w:hAnsi="宋体" w:eastAsia="宋体" w:cs="宋体"/>
                <w:sz w:val="20"/>
                <w:szCs w:val="20"/>
              </w:rPr>
            </w:pPr>
            <w:r>
              <w:rPr>
                <w:rFonts w:ascii="宋体" w:hAnsi="宋体" w:eastAsia="宋体" w:cs="宋体"/>
                <w:spacing w:val="-10"/>
                <w:sz w:val="20"/>
                <w:szCs w:val="20"/>
              </w:rPr>
              <w:t>4.23</w:t>
            </w:r>
          </w:p>
        </w:tc>
        <w:tc>
          <w:tcPr>
            <w:tcW w:w="1470" w:type="dxa"/>
            <w:tcBorders>
              <w:right w:val="single" w:color="000000" w:sz="6" w:space="0"/>
            </w:tcBorders>
            <w:vAlign w:val="top"/>
          </w:tcPr>
          <w:p>
            <w:pPr>
              <w:spacing w:before="116" w:line="218" w:lineRule="auto"/>
              <w:ind w:left="575"/>
              <w:rPr>
                <w:rFonts w:ascii="宋体" w:hAnsi="宋体" w:eastAsia="宋体" w:cs="宋体"/>
                <w:sz w:val="20"/>
                <w:szCs w:val="20"/>
              </w:rPr>
            </w:pPr>
            <w:r>
              <w:rPr>
                <w:rFonts w:ascii="宋体" w:hAnsi="宋体" w:eastAsia="宋体" w:cs="宋体"/>
                <w:spacing w:val="-16"/>
                <w:sz w:val="20"/>
                <w:szCs w:val="20"/>
              </w:rPr>
              <w:t>1.87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3445" w:type="dxa"/>
            <w:gridSpan w:val="2"/>
            <w:tcBorders>
              <w:left w:val="single" w:color="000000" w:sz="6" w:space="0"/>
            </w:tcBorders>
            <w:vAlign w:val="top"/>
          </w:tcPr>
          <w:p>
            <w:pPr>
              <w:spacing w:before="125" w:line="211" w:lineRule="auto"/>
              <w:ind w:left="1105"/>
              <w:rPr>
                <w:rFonts w:ascii="宋体" w:hAnsi="宋体" w:eastAsia="宋体" w:cs="宋体"/>
                <w:sz w:val="20"/>
                <w:szCs w:val="20"/>
              </w:rPr>
            </w:pPr>
            <w:r>
              <w:rPr>
                <w:rFonts w:ascii="宋体" w:hAnsi="宋体" w:eastAsia="宋体" w:cs="宋体"/>
                <w:spacing w:val="6"/>
                <w:sz w:val="20"/>
                <w:szCs w:val="20"/>
              </w:rPr>
              <w:t>园林绿化工程</w:t>
            </w:r>
          </w:p>
        </w:tc>
        <w:tc>
          <w:tcPr>
            <w:tcW w:w="1458" w:type="dxa"/>
            <w:vAlign w:val="top"/>
          </w:tcPr>
          <w:p>
            <w:pPr>
              <w:spacing w:before="117" w:line="218" w:lineRule="auto"/>
              <w:ind w:left="548"/>
              <w:rPr>
                <w:rFonts w:ascii="宋体" w:hAnsi="宋体" w:eastAsia="宋体" w:cs="宋体"/>
                <w:sz w:val="20"/>
                <w:szCs w:val="20"/>
              </w:rPr>
            </w:pPr>
            <w:r>
              <w:rPr>
                <w:rFonts w:ascii="宋体" w:hAnsi="宋体" w:eastAsia="宋体" w:cs="宋体"/>
                <w:spacing w:val="-11"/>
                <w:sz w:val="20"/>
                <w:szCs w:val="20"/>
              </w:rPr>
              <w:t>2.40</w:t>
            </w:r>
          </w:p>
        </w:tc>
        <w:tc>
          <w:tcPr>
            <w:tcW w:w="1459" w:type="dxa"/>
            <w:vAlign w:val="top"/>
          </w:tcPr>
          <w:p>
            <w:pPr>
              <w:spacing w:before="117" w:line="218" w:lineRule="auto"/>
              <w:ind w:left="548"/>
              <w:rPr>
                <w:rFonts w:ascii="宋体" w:hAnsi="宋体" w:eastAsia="宋体" w:cs="宋体"/>
                <w:sz w:val="20"/>
                <w:szCs w:val="20"/>
              </w:rPr>
            </w:pPr>
            <w:r>
              <w:rPr>
                <w:rFonts w:ascii="宋体" w:hAnsi="宋体" w:eastAsia="宋体" w:cs="宋体"/>
                <w:spacing w:val="-10"/>
                <w:sz w:val="20"/>
                <w:szCs w:val="20"/>
              </w:rPr>
              <w:t>4.80</w:t>
            </w:r>
          </w:p>
        </w:tc>
        <w:tc>
          <w:tcPr>
            <w:tcW w:w="1460" w:type="dxa"/>
            <w:vAlign w:val="top"/>
          </w:tcPr>
          <w:p>
            <w:pPr>
              <w:spacing w:before="117" w:line="218" w:lineRule="auto"/>
              <w:ind w:left="554"/>
              <w:rPr>
                <w:rFonts w:ascii="宋体" w:hAnsi="宋体" w:eastAsia="宋体" w:cs="宋体"/>
                <w:sz w:val="20"/>
                <w:szCs w:val="20"/>
              </w:rPr>
            </w:pPr>
            <w:r>
              <w:rPr>
                <w:rFonts w:ascii="宋体" w:hAnsi="宋体" w:eastAsia="宋体" w:cs="宋体"/>
                <w:spacing w:val="-11"/>
                <w:sz w:val="20"/>
                <w:szCs w:val="20"/>
              </w:rPr>
              <w:t>2.40</w:t>
            </w:r>
          </w:p>
        </w:tc>
        <w:tc>
          <w:tcPr>
            <w:tcW w:w="1470" w:type="dxa"/>
            <w:tcBorders>
              <w:right w:val="single" w:color="000000" w:sz="6" w:space="0"/>
            </w:tcBorders>
            <w:vAlign w:val="top"/>
          </w:tcPr>
          <w:p>
            <w:pPr>
              <w:spacing w:before="117" w:line="218" w:lineRule="auto"/>
              <w:ind w:left="559"/>
              <w:rPr>
                <w:rFonts w:ascii="宋体" w:hAnsi="宋体" w:eastAsia="宋体" w:cs="宋体"/>
                <w:sz w:val="20"/>
                <w:szCs w:val="20"/>
              </w:rPr>
            </w:pPr>
            <w:r>
              <w:rPr>
                <w:rFonts w:ascii="宋体" w:hAnsi="宋体" w:eastAsia="宋体" w:cs="宋体"/>
                <w:spacing w:val="-12"/>
                <w:sz w:val="20"/>
                <w:szCs w:val="20"/>
              </w:rPr>
              <w:t>6.40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886" w:type="dxa"/>
            <w:vMerge w:val="restart"/>
            <w:tcBorders>
              <w:left w:val="single" w:color="000000" w:sz="6" w:space="0"/>
              <w:bottom w:val="nil"/>
            </w:tcBorders>
            <w:vAlign w:val="top"/>
          </w:tcPr>
          <w:p>
            <w:pPr>
              <w:spacing w:before="128" w:line="219" w:lineRule="auto"/>
              <w:ind w:left="229"/>
              <w:rPr>
                <w:rFonts w:ascii="宋体" w:hAnsi="宋体" w:eastAsia="宋体" w:cs="宋体"/>
                <w:sz w:val="20"/>
                <w:szCs w:val="20"/>
              </w:rPr>
            </w:pPr>
            <w:r>
              <w:rPr>
                <w:rFonts w:ascii="宋体" w:hAnsi="宋体" w:eastAsia="宋体" w:cs="宋体"/>
                <w:spacing w:val="6"/>
                <w:sz w:val="20"/>
                <w:szCs w:val="20"/>
              </w:rPr>
              <w:t>房屋</w:t>
            </w:r>
          </w:p>
          <w:p>
            <w:pPr>
              <w:spacing w:before="121" w:line="217" w:lineRule="auto"/>
              <w:ind w:left="228"/>
              <w:rPr>
                <w:rFonts w:ascii="宋体" w:hAnsi="宋体" w:eastAsia="宋体" w:cs="宋体"/>
                <w:sz w:val="20"/>
                <w:szCs w:val="20"/>
              </w:rPr>
            </w:pPr>
            <w:r>
              <w:rPr>
                <w:rFonts w:ascii="宋体" w:hAnsi="宋体" w:eastAsia="宋体" w:cs="宋体"/>
                <w:spacing w:val="6"/>
                <w:sz w:val="20"/>
                <w:szCs w:val="20"/>
              </w:rPr>
              <w:t>修缮</w:t>
            </w:r>
          </w:p>
        </w:tc>
        <w:tc>
          <w:tcPr>
            <w:tcW w:w="2559" w:type="dxa"/>
            <w:vAlign w:val="top"/>
          </w:tcPr>
          <w:p>
            <w:pPr>
              <w:spacing w:before="122" w:line="214" w:lineRule="auto"/>
              <w:ind w:left="859"/>
              <w:rPr>
                <w:rFonts w:ascii="宋体" w:hAnsi="宋体" w:eastAsia="宋体" w:cs="宋体"/>
                <w:sz w:val="20"/>
                <w:szCs w:val="20"/>
              </w:rPr>
            </w:pPr>
            <w:r>
              <w:rPr>
                <w:rFonts w:ascii="宋体" w:hAnsi="宋体" w:eastAsia="宋体" w:cs="宋体"/>
                <w:spacing w:val="8"/>
                <w:sz w:val="20"/>
                <w:szCs w:val="20"/>
              </w:rPr>
              <w:t>建筑工程</w:t>
            </w:r>
          </w:p>
        </w:tc>
        <w:tc>
          <w:tcPr>
            <w:tcW w:w="1458" w:type="dxa"/>
            <w:vAlign w:val="top"/>
          </w:tcPr>
          <w:p>
            <w:pPr>
              <w:spacing w:before="118" w:line="217" w:lineRule="auto"/>
              <w:ind w:left="544"/>
              <w:rPr>
                <w:rFonts w:ascii="宋体" w:hAnsi="宋体" w:eastAsia="宋体" w:cs="宋体"/>
                <w:sz w:val="20"/>
                <w:szCs w:val="20"/>
              </w:rPr>
            </w:pPr>
            <w:r>
              <w:rPr>
                <w:rFonts w:ascii="宋体" w:hAnsi="宋体" w:eastAsia="宋体" w:cs="宋体"/>
                <w:spacing w:val="-10"/>
                <w:sz w:val="20"/>
                <w:szCs w:val="20"/>
              </w:rPr>
              <w:t>4.30</w:t>
            </w:r>
          </w:p>
        </w:tc>
        <w:tc>
          <w:tcPr>
            <w:tcW w:w="1459" w:type="dxa"/>
            <w:vAlign w:val="top"/>
          </w:tcPr>
          <w:p>
            <w:pPr>
              <w:spacing w:before="118" w:line="217" w:lineRule="auto"/>
              <w:ind w:left="554"/>
              <w:rPr>
                <w:rFonts w:ascii="宋体" w:hAnsi="宋体" w:eastAsia="宋体" w:cs="宋体"/>
                <w:sz w:val="20"/>
                <w:szCs w:val="20"/>
              </w:rPr>
            </w:pPr>
            <w:r>
              <w:rPr>
                <w:rFonts w:ascii="宋体" w:hAnsi="宋体" w:eastAsia="宋体" w:cs="宋体"/>
                <w:spacing w:val="-12"/>
                <w:sz w:val="20"/>
                <w:szCs w:val="20"/>
              </w:rPr>
              <w:t>3.80</w:t>
            </w:r>
          </w:p>
        </w:tc>
        <w:tc>
          <w:tcPr>
            <w:tcW w:w="1460" w:type="dxa"/>
            <w:vAlign w:val="top"/>
          </w:tcPr>
          <w:p>
            <w:pPr>
              <w:spacing w:before="118" w:line="217" w:lineRule="auto"/>
              <w:ind w:left="551"/>
              <w:rPr>
                <w:rFonts w:ascii="宋体" w:hAnsi="宋体" w:eastAsia="宋体" w:cs="宋体"/>
                <w:sz w:val="20"/>
                <w:szCs w:val="20"/>
              </w:rPr>
            </w:pPr>
            <w:r>
              <w:rPr>
                <w:rFonts w:ascii="宋体" w:hAnsi="宋体" w:eastAsia="宋体" w:cs="宋体"/>
                <w:spacing w:val="-10"/>
                <w:sz w:val="20"/>
                <w:szCs w:val="20"/>
              </w:rPr>
              <w:t>4.80</w:t>
            </w:r>
          </w:p>
        </w:tc>
        <w:tc>
          <w:tcPr>
            <w:tcW w:w="1470" w:type="dxa"/>
            <w:tcBorders>
              <w:right w:val="single" w:color="000000" w:sz="6" w:space="0"/>
            </w:tcBorders>
            <w:vAlign w:val="top"/>
          </w:tcPr>
          <w:p>
            <w:pPr>
              <w:spacing w:before="118" w:line="217" w:lineRule="auto"/>
              <w:ind w:left="575"/>
              <w:rPr>
                <w:rFonts w:ascii="宋体" w:hAnsi="宋体" w:eastAsia="宋体" w:cs="宋体"/>
                <w:sz w:val="20"/>
                <w:szCs w:val="20"/>
              </w:rPr>
            </w:pPr>
            <w:r>
              <w:rPr>
                <w:rFonts w:ascii="宋体" w:hAnsi="宋体" w:eastAsia="宋体" w:cs="宋体"/>
                <w:spacing w:val="-16"/>
                <w:sz w:val="20"/>
                <w:szCs w:val="20"/>
              </w:rPr>
              <w:t>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886" w:type="dxa"/>
            <w:vMerge w:val="continue"/>
            <w:tcBorders>
              <w:top w:val="nil"/>
              <w:left w:val="single" w:color="000000" w:sz="6" w:space="0"/>
            </w:tcBorders>
            <w:vAlign w:val="top"/>
          </w:tcPr>
          <w:p>
            <w:pPr>
              <w:pStyle w:val="6"/>
            </w:pPr>
          </w:p>
        </w:tc>
        <w:tc>
          <w:tcPr>
            <w:tcW w:w="2559" w:type="dxa"/>
            <w:vAlign w:val="top"/>
          </w:tcPr>
          <w:p>
            <w:pPr>
              <w:spacing w:before="125" w:line="211" w:lineRule="auto"/>
              <w:ind w:left="859"/>
              <w:rPr>
                <w:rFonts w:ascii="宋体" w:hAnsi="宋体" w:eastAsia="宋体" w:cs="宋体"/>
                <w:sz w:val="20"/>
                <w:szCs w:val="20"/>
              </w:rPr>
            </w:pPr>
            <w:r>
              <w:rPr>
                <w:rFonts w:ascii="宋体" w:hAnsi="宋体" w:eastAsia="宋体" w:cs="宋体"/>
                <w:spacing w:val="8"/>
                <w:sz w:val="20"/>
                <w:szCs w:val="20"/>
              </w:rPr>
              <w:t>安装工程</w:t>
            </w:r>
          </w:p>
        </w:tc>
        <w:tc>
          <w:tcPr>
            <w:tcW w:w="1458" w:type="dxa"/>
            <w:vAlign w:val="top"/>
          </w:tcPr>
          <w:p>
            <w:pPr>
              <w:spacing w:before="118" w:line="217" w:lineRule="auto"/>
              <w:ind w:left="548"/>
              <w:rPr>
                <w:rFonts w:ascii="宋体" w:hAnsi="宋体" w:eastAsia="宋体" w:cs="宋体"/>
                <w:sz w:val="20"/>
                <w:szCs w:val="20"/>
              </w:rPr>
            </w:pPr>
            <w:r>
              <w:rPr>
                <w:rFonts w:ascii="宋体" w:hAnsi="宋体" w:eastAsia="宋体" w:cs="宋体"/>
                <w:spacing w:val="-11"/>
                <w:sz w:val="20"/>
                <w:szCs w:val="20"/>
              </w:rPr>
              <w:t>2.66</w:t>
            </w:r>
          </w:p>
        </w:tc>
        <w:tc>
          <w:tcPr>
            <w:tcW w:w="1459" w:type="dxa"/>
            <w:vAlign w:val="top"/>
          </w:tcPr>
          <w:p>
            <w:pPr>
              <w:spacing w:before="118" w:line="217" w:lineRule="auto"/>
              <w:ind w:left="551"/>
              <w:rPr>
                <w:rFonts w:ascii="宋体" w:hAnsi="宋体" w:eastAsia="宋体" w:cs="宋体"/>
                <w:sz w:val="20"/>
                <w:szCs w:val="20"/>
              </w:rPr>
            </w:pPr>
            <w:r>
              <w:rPr>
                <w:rFonts w:ascii="宋体" w:hAnsi="宋体" w:eastAsia="宋体" w:cs="宋体"/>
                <w:spacing w:val="-11"/>
                <w:sz w:val="20"/>
                <w:szCs w:val="20"/>
              </w:rPr>
              <w:t>2.93</w:t>
            </w:r>
          </w:p>
        </w:tc>
        <w:tc>
          <w:tcPr>
            <w:tcW w:w="1460" w:type="dxa"/>
            <w:vAlign w:val="top"/>
          </w:tcPr>
          <w:p>
            <w:pPr>
              <w:spacing w:before="118" w:line="217" w:lineRule="auto"/>
              <w:ind w:left="557"/>
              <w:rPr>
                <w:rFonts w:ascii="宋体" w:hAnsi="宋体" w:eastAsia="宋体" w:cs="宋体"/>
                <w:sz w:val="20"/>
                <w:szCs w:val="20"/>
              </w:rPr>
            </w:pPr>
            <w:r>
              <w:rPr>
                <w:rFonts w:ascii="宋体" w:hAnsi="宋体" w:eastAsia="宋体" w:cs="宋体"/>
                <w:spacing w:val="-12"/>
                <w:sz w:val="20"/>
                <w:szCs w:val="20"/>
              </w:rPr>
              <w:t>3.04</w:t>
            </w:r>
          </w:p>
        </w:tc>
        <w:tc>
          <w:tcPr>
            <w:tcW w:w="1470" w:type="dxa"/>
            <w:tcBorders>
              <w:right w:val="single" w:color="000000" w:sz="6" w:space="0"/>
            </w:tcBorders>
            <w:vAlign w:val="top"/>
          </w:tcPr>
          <w:p>
            <w:pPr>
              <w:spacing w:before="118" w:line="217" w:lineRule="auto"/>
              <w:ind w:left="575"/>
              <w:rPr>
                <w:rFonts w:ascii="宋体" w:hAnsi="宋体" w:eastAsia="宋体" w:cs="宋体"/>
                <w:sz w:val="20"/>
                <w:szCs w:val="20"/>
              </w:rPr>
            </w:pPr>
            <w:r>
              <w:rPr>
                <w:rFonts w:ascii="宋体" w:hAnsi="宋体" w:eastAsia="宋体" w:cs="宋体"/>
                <w:spacing w:val="-16"/>
                <w:sz w:val="20"/>
                <w:szCs w:val="20"/>
              </w:rPr>
              <w:t>1.87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3445" w:type="dxa"/>
            <w:gridSpan w:val="2"/>
            <w:tcBorders>
              <w:left w:val="single" w:color="000000" w:sz="6" w:space="0"/>
              <w:bottom w:val="single" w:color="000000" w:sz="6" w:space="0"/>
            </w:tcBorders>
            <w:vAlign w:val="top"/>
          </w:tcPr>
          <w:p>
            <w:pPr>
              <w:spacing w:before="125" w:line="223" w:lineRule="auto"/>
              <w:ind w:left="1088"/>
              <w:rPr>
                <w:rFonts w:ascii="宋体" w:hAnsi="宋体" w:eastAsia="宋体" w:cs="宋体"/>
                <w:sz w:val="20"/>
                <w:szCs w:val="20"/>
              </w:rPr>
            </w:pPr>
            <w:r>
              <w:rPr>
                <w:rFonts w:ascii="宋体" w:hAnsi="宋体" w:eastAsia="宋体" w:cs="宋体"/>
                <w:spacing w:val="9"/>
                <w:sz w:val="20"/>
                <w:szCs w:val="20"/>
              </w:rPr>
              <w:t>仿古建筑工程</w:t>
            </w:r>
          </w:p>
        </w:tc>
        <w:tc>
          <w:tcPr>
            <w:tcW w:w="1458" w:type="dxa"/>
            <w:tcBorders>
              <w:bottom w:val="single" w:color="000000" w:sz="6" w:space="0"/>
            </w:tcBorders>
            <w:vAlign w:val="top"/>
          </w:tcPr>
          <w:p>
            <w:pPr>
              <w:spacing w:before="122" w:line="227" w:lineRule="auto"/>
              <w:ind w:left="547"/>
              <w:rPr>
                <w:rFonts w:ascii="宋体" w:hAnsi="宋体" w:eastAsia="宋体" w:cs="宋体"/>
                <w:sz w:val="20"/>
                <w:szCs w:val="20"/>
              </w:rPr>
            </w:pPr>
            <w:r>
              <w:rPr>
                <w:rFonts w:ascii="宋体" w:hAnsi="宋体" w:eastAsia="宋体" w:cs="宋体"/>
                <w:spacing w:val="-11"/>
                <w:sz w:val="20"/>
                <w:szCs w:val="20"/>
              </w:rPr>
              <w:t>0.70</w:t>
            </w:r>
          </w:p>
        </w:tc>
        <w:tc>
          <w:tcPr>
            <w:tcW w:w="1459" w:type="dxa"/>
            <w:tcBorders>
              <w:bottom w:val="single" w:color="000000" w:sz="6" w:space="0"/>
            </w:tcBorders>
            <w:vAlign w:val="top"/>
          </w:tcPr>
          <w:p>
            <w:pPr>
              <w:spacing w:before="122" w:line="227" w:lineRule="auto"/>
              <w:ind w:left="551"/>
              <w:rPr>
                <w:rFonts w:ascii="宋体" w:hAnsi="宋体" w:eastAsia="宋体" w:cs="宋体"/>
                <w:sz w:val="20"/>
                <w:szCs w:val="20"/>
              </w:rPr>
            </w:pPr>
            <w:r>
              <w:rPr>
                <w:rFonts w:ascii="宋体" w:hAnsi="宋体" w:eastAsia="宋体" w:cs="宋体"/>
                <w:spacing w:val="-11"/>
                <w:sz w:val="20"/>
                <w:szCs w:val="20"/>
              </w:rPr>
              <w:t>2.52</w:t>
            </w:r>
          </w:p>
        </w:tc>
        <w:tc>
          <w:tcPr>
            <w:tcW w:w="1460" w:type="dxa"/>
            <w:tcBorders>
              <w:bottom w:val="single" w:color="000000" w:sz="6" w:space="0"/>
            </w:tcBorders>
            <w:vAlign w:val="top"/>
          </w:tcPr>
          <w:p>
            <w:pPr>
              <w:spacing w:before="122" w:line="227" w:lineRule="auto"/>
              <w:ind w:left="554"/>
              <w:rPr>
                <w:rFonts w:ascii="宋体" w:hAnsi="宋体" w:eastAsia="宋体" w:cs="宋体"/>
                <w:sz w:val="20"/>
                <w:szCs w:val="20"/>
              </w:rPr>
            </w:pPr>
            <w:r>
              <w:rPr>
                <w:rFonts w:ascii="宋体" w:hAnsi="宋体" w:eastAsia="宋体" w:cs="宋体"/>
                <w:spacing w:val="-11"/>
                <w:sz w:val="20"/>
                <w:szCs w:val="20"/>
              </w:rPr>
              <w:t>2.72</w:t>
            </w:r>
          </w:p>
        </w:tc>
        <w:tc>
          <w:tcPr>
            <w:tcW w:w="1470" w:type="dxa"/>
            <w:tcBorders>
              <w:bottom w:val="single" w:color="000000" w:sz="6" w:space="0"/>
              <w:right w:val="single" w:color="000000" w:sz="6" w:space="0"/>
            </w:tcBorders>
            <w:vAlign w:val="top"/>
          </w:tcPr>
          <w:p>
            <w:pPr>
              <w:spacing w:before="122" w:line="227" w:lineRule="auto"/>
              <w:ind w:left="557"/>
              <w:rPr>
                <w:rFonts w:ascii="宋体" w:hAnsi="宋体" w:eastAsia="宋体" w:cs="宋体"/>
                <w:sz w:val="20"/>
                <w:szCs w:val="20"/>
              </w:rPr>
            </w:pPr>
            <w:r>
              <w:rPr>
                <w:rFonts w:ascii="宋体" w:hAnsi="宋体" w:eastAsia="宋体" w:cs="宋体"/>
                <w:spacing w:val="-12"/>
                <w:sz w:val="20"/>
                <w:szCs w:val="20"/>
              </w:rPr>
              <w:t>0.80</w:t>
            </w:r>
          </w:p>
        </w:tc>
      </w:tr>
    </w:tbl>
    <w:p>
      <w:pPr>
        <w:spacing w:before="108" w:line="277" w:lineRule="exact"/>
        <w:ind w:left="125"/>
        <w:rPr>
          <w:rFonts w:ascii="宋体" w:hAnsi="宋体" w:eastAsia="宋体" w:cs="宋体"/>
          <w:sz w:val="20"/>
          <w:szCs w:val="20"/>
        </w:rPr>
      </w:pPr>
      <w:r>
        <w:rPr>
          <w:rFonts w:ascii="宋体" w:hAnsi="宋体" w:eastAsia="宋体" w:cs="宋体"/>
          <w:spacing w:val="9"/>
          <w:position w:val="1"/>
          <w:sz w:val="20"/>
          <w:szCs w:val="20"/>
        </w:rPr>
        <w:t>注：建筑、装饰、房屋修缮建筑工程中已完工程及设备保护费的计费基础为省价人材机之和。</w:t>
      </w:r>
    </w:p>
    <w:p>
      <w:pPr>
        <w:spacing w:line="277" w:lineRule="exact"/>
        <w:rPr>
          <w:rFonts w:ascii="宋体" w:hAnsi="宋体" w:eastAsia="宋体" w:cs="宋体"/>
          <w:sz w:val="20"/>
          <w:szCs w:val="20"/>
        </w:rPr>
        <w:sectPr>
          <w:footerReference r:id="rId118" w:type="default"/>
          <w:pgSz w:w="11906" w:h="16839"/>
          <w:pgMar w:top="400" w:right="1299" w:bottom="1212" w:left="1299" w:header="0" w:footer="897" w:gutter="0"/>
        </w:sect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2"/>
        <w:spacing w:before="94" w:line="203" w:lineRule="auto"/>
        <w:ind w:left="3451"/>
        <w:rPr>
          <w:sz w:val="22"/>
          <w:szCs w:val="22"/>
        </w:rPr>
      </w:pPr>
      <w:bookmarkStart w:id="74" w:name="bookmark155"/>
      <w:bookmarkEnd w:id="74"/>
      <w:r>
        <w:rPr>
          <w:spacing w:val="-1"/>
          <w:sz w:val="22"/>
          <w:szCs w:val="22"/>
        </w:rPr>
        <w:t>3.</w:t>
      </w:r>
      <w:r>
        <w:rPr>
          <w:spacing w:val="50"/>
          <w:w w:val="101"/>
          <w:sz w:val="22"/>
          <w:szCs w:val="22"/>
        </w:rPr>
        <w:t xml:space="preserve"> </w:t>
      </w:r>
      <w:r>
        <w:rPr>
          <w:spacing w:val="-1"/>
          <w:sz w:val="22"/>
          <w:szCs w:val="22"/>
        </w:rPr>
        <w:t>措施费中的人工费含量</w:t>
      </w:r>
    </w:p>
    <w:p>
      <w:pPr>
        <w:spacing w:before="58" w:line="233" w:lineRule="auto"/>
        <w:ind w:left="8424"/>
        <w:rPr>
          <w:rFonts w:ascii="宋体" w:hAnsi="宋体" w:eastAsia="宋体" w:cs="宋体"/>
          <w:sz w:val="20"/>
          <w:szCs w:val="20"/>
        </w:rPr>
      </w:pPr>
      <w:r>
        <w:rPr>
          <w:rFonts w:ascii="宋体" w:hAnsi="宋体" w:eastAsia="宋体" w:cs="宋体"/>
          <w:spacing w:val="24"/>
          <w:sz w:val="20"/>
          <w:szCs w:val="20"/>
        </w:rPr>
        <w:t>单位：%</w:t>
      </w:r>
    </w:p>
    <w:tbl>
      <w:tblPr>
        <w:tblStyle w:val="5"/>
        <w:tblW w:w="9292"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9"/>
        <w:gridCol w:w="2556"/>
        <w:gridCol w:w="1458"/>
        <w:gridCol w:w="1459"/>
        <w:gridCol w:w="1460"/>
        <w:gridCol w:w="14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6" w:hRule="atLeast"/>
        </w:trPr>
        <w:tc>
          <w:tcPr>
            <w:tcW w:w="3445" w:type="dxa"/>
            <w:gridSpan w:val="2"/>
            <w:tcBorders>
              <w:top w:val="single" w:color="000000" w:sz="6" w:space="0"/>
              <w:left w:val="single" w:color="000000" w:sz="6" w:space="0"/>
              <w:tl2br w:val="single" w:color="000000" w:sz="4" w:space="0"/>
            </w:tcBorders>
            <w:vAlign w:val="top"/>
          </w:tcPr>
          <w:p>
            <w:pPr>
              <w:spacing w:before="120" w:line="275" w:lineRule="auto"/>
              <w:ind w:left="105" w:right="671" w:firstLine="1830"/>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1458" w:type="dxa"/>
            <w:tcBorders>
              <w:top w:val="single" w:color="000000" w:sz="6" w:space="0"/>
            </w:tcBorders>
            <w:vAlign w:val="top"/>
          </w:tcPr>
          <w:p>
            <w:pPr>
              <w:spacing w:before="128" w:line="271" w:lineRule="auto"/>
              <w:ind w:left="412" w:right="413" w:firstLine="107"/>
              <w:rPr>
                <w:rFonts w:ascii="宋体" w:hAnsi="宋体" w:eastAsia="宋体" w:cs="宋体"/>
                <w:sz w:val="20"/>
                <w:szCs w:val="20"/>
              </w:rPr>
            </w:pPr>
            <w:r>
              <w:rPr>
                <w:rFonts w:ascii="宋体" w:hAnsi="宋体" w:eastAsia="宋体" w:cs="宋体"/>
                <w:spacing w:val="6"/>
                <w:sz w:val="20"/>
                <w:szCs w:val="20"/>
              </w:rPr>
              <w:t>夜间</w:t>
            </w:r>
            <w:r>
              <w:rPr>
                <w:rFonts w:ascii="宋体" w:hAnsi="宋体" w:eastAsia="宋体" w:cs="宋体"/>
                <w:spacing w:val="8"/>
                <w:sz w:val="20"/>
                <w:szCs w:val="20"/>
              </w:rPr>
              <w:t>施工费</w:t>
            </w:r>
          </w:p>
        </w:tc>
        <w:tc>
          <w:tcPr>
            <w:tcW w:w="1459" w:type="dxa"/>
            <w:tcBorders>
              <w:top w:val="single" w:color="000000" w:sz="6" w:space="0"/>
            </w:tcBorders>
            <w:vAlign w:val="top"/>
          </w:tcPr>
          <w:p>
            <w:pPr>
              <w:spacing w:before="130" w:line="270" w:lineRule="auto"/>
              <w:ind w:left="417" w:right="411"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460" w:type="dxa"/>
            <w:tcBorders>
              <w:top w:val="single" w:color="000000" w:sz="6" w:space="0"/>
            </w:tcBorders>
            <w:vAlign w:val="top"/>
          </w:tcPr>
          <w:p>
            <w:pPr>
              <w:spacing w:before="130" w:line="270" w:lineRule="auto"/>
              <w:ind w:left="419" w:right="200" w:hanging="210"/>
              <w:rPr>
                <w:rFonts w:ascii="宋体" w:hAnsi="宋体" w:eastAsia="宋体" w:cs="宋体"/>
                <w:sz w:val="20"/>
                <w:szCs w:val="20"/>
              </w:rPr>
            </w:pPr>
            <w:r>
              <w:rPr>
                <w:rFonts w:ascii="宋体" w:hAnsi="宋体" w:eastAsia="宋体" w:cs="宋体"/>
                <w:spacing w:val="8"/>
                <w:sz w:val="20"/>
                <w:szCs w:val="20"/>
              </w:rPr>
              <w:t>冬雨季施工增加费</w:t>
            </w:r>
          </w:p>
        </w:tc>
        <w:tc>
          <w:tcPr>
            <w:tcW w:w="1470" w:type="dxa"/>
            <w:tcBorders>
              <w:top w:val="single" w:color="000000" w:sz="6" w:space="0"/>
              <w:right w:val="single" w:color="000000" w:sz="6" w:space="0"/>
            </w:tcBorders>
            <w:vAlign w:val="top"/>
          </w:tcPr>
          <w:p>
            <w:pPr>
              <w:spacing w:before="128" w:line="219" w:lineRule="auto"/>
              <w:ind w:left="230"/>
              <w:rPr>
                <w:rFonts w:ascii="宋体" w:hAnsi="宋体" w:eastAsia="宋体" w:cs="宋体"/>
                <w:sz w:val="20"/>
                <w:szCs w:val="20"/>
              </w:rPr>
            </w:pPr>
            <w:r>
              <w:rPr>
                <w:rFonts w:ascii="宋体" w:hAnsi="宋体" w:eastAsia="宋体" w:cs="宋体"/>
                <w:spacing w:val="5"/>
                <w:sz w:val="20"/>
                <w:szCs w:val="20"/>
              </w:rPr>
              <w:t>已完工程及</w:t>
            </w:r>
          </w:p>
          <w:p>
            <w:pPr>
              <w:spacing w:before="60" w:line="223" w:lineRule="auto"/>
              <w:ind w:left="210"/>
              <w:rPr>
                <w:rFonts w:ascii="宋体" w:hAnsi="宋体" w:eastAsia="宋体" w:cs="宋体"/>
                <w:sz w:val="20"/>
                <w:szCs w:val="20"/>
              </w:rPr>
            </w:pPr>
            <w:r>
              <w:rPr>
                <w:rFonts w:ascii="宋体" w:hAnsi="宋体" w:eastAsia="宋体" w:cs="宋体"/>
                <w:spacing w:val="9"/>
                <w:sz w:val="20"/>
                <w:szCs w:val="20"/>
              </w:rPr>
              <w:t>设备保护费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13" w:line="221" w:lineRule="auto"/>
              <w:ind w:left="772"/>
              <w:rPr>
                <w:rFonts w:ascii="宋体" w:hAnsi="宋体" w:eastAsia="宋体" w:cs="宋体"/>
                <w:sz w:val="20"/>
                <w:szCs w:val="20"/>
              </w:rPr>
            </w:pPr>
            <w:r>
              <w:rPr>
                <w:rFonts w:ascii="宋体" w:hAnsi="宋体" w:eastAsia="宋体" w:cs="宋体"/>
                <w:spacing w:val="9"/>
                <w:sz w:val="20"/>
                <w:szCs w:val="20"/>
              </w:rPr>
              <w:t>建筑工程、装饰工程</w:t>
            </w:r>
          </w:p>
        </w:tc>
        <w:tc>
          <w:tcPr>
            <w:tcW w:w="1458" w:type="dxa"/>
            <w:vMerge w:val="restart"/>
            <w:tcBorders>
              <w:bottom w:val="nil"/>
              <w:right w:val="nil"/>
            </w:tcBorders>
            <w:vAlign w:val="top"/>
          </w:tcPr>
          <w:p>
            <w:pPr>
              <w:pStyle w:val="6"/>
            </w:pPr>
          </w:p>
        </w:tc>
        <w:tc>
          <w:tcPr>
            <w:tcW w:w="1459" w:type="dxa"/>
            <w:vMerge w:val="restart"/>
            <w:tcBorders>
              <w:left w:val="nil"/>
              <w:bottom w:val="nil"/>
              <w:right w:val="nil"/>
            </w:tcBorders>
            <w:vAlign w:val="top"/>
          </w:tcPr>
          <w:p>
            <w:pPr>
              <w:spacing w:before="297" w:line="300" w:lineRule="exact"/>
              <w:ind w:left="633"/>
              <w:rPr>
                <w:rFonts w:ascii="宋体" w:hAnsi="宋体" w:eastAsia="宋体" w:cs="宋体"/>
                <w:sz w:val="20"/>
                <w:szCs w:val="20"/>
              </w:rPr>
            </w:pPr>
            <w:r>
              <w:rPr>
                <w:rFonts w:ascii="宋体" w:hAnsi="宋体" w:eastAsia="宋体" w:cs="宋体"/>
                <w:position w:val="2"/>
                <w:sz w:val="20"/>
                <w:szCs w:val="20"/>
              </w:rPr>
              <w:t>25</w:t>
            </w:r>
          </w:p>
        </w:tc>
        <w:tc>
          <w:tcPr>
            <w:tcW w:w="1460" w:type="dxa"/>
            <w:vMerge w:val="restart"/>
            <w:tcBorders>
              <w:left w:val="nil"/>
              <w:bottom w:val="nil"/>
            </w:tcBorders>
            <w:vAlign w:val="top"/>
          </w:tcPr>
          <w:p>
            <w:pPr>
              <w:pStyle w:val="6"/>
            </w:pPr>
          </w:p>
        </w:tc>
        <w:tc>
          <w:tcPr>
            <w:tcW w:w="1470" w:type="dxa"/>
            <w:vMerge w:val="restart"/>
            <w:tcBorders>
              <w:bottom w:val="nil"/>
              <w:right w:val="single" w:color="000000" w:sz="6" w:space="0"/>
            </w:tcBorders>
            <w:vAlign w:val="top"/>
          </w:tcPr>
          <w:p>
            <w:pPr>
              <w:spacing w:before="297" w:line="300" w:lineRule="exact"/>
              <w:ind w:left="652"/>
              <w:rPr>
                <w:rFonts w:ascii="宋体" w:hAnsi="宋体" w:eastAsia="宋体" w:cs="宋体"/>
                <w:sz w:val="20"/>
                <w:szCs w:val="20"/>
              </w:rPr>
            </w:pPr>
            <w:r>
              <w:rPr>
                <w:rFonts w:ascii="宋体" w:hAnsi="宋体" w:eastAsia="宋体" w:cs="宋体"/>
                <w:spacing w:val="-8"/>
                <w:position w:val="2"/>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22" w:line="213" w:lineRule="auto"/>
              <w:ind w:left="1105"/>
              <w:rPr>
                <w:rFonts w:ascii="宋体" w:hAnsi="宋体" w:eastAsia="宋体" w:cs="宋体"/>
                <w:sz w:val="20"/>
                <w:szCs w:val="20"/>
              </w:rPr>
            </w:pPr>
            <w:r>
              <w:rPr>
                <w:rFonts w:ascii="宋体" w:hAnsi="宋体" w:eastAsia="宋体" w:cs="宋体"/>
                <w:spacing w:val="6"/>
                <w:sz w:val="20"/>
                <w:szCs w:val="20"/>
              </w:rPr>
              <w:t>园林绿化工程</w:t>
            </w:r>
          </w:p>
        </w:tc>
        <w:tc>
          <w:tcPr>
            <w:tcW w:w="1458" w:type="dxa"/>
            <w:vMerge w:val="continue"/>
            <w:tcBorders>
              <w:top w:val="nil"/>
              <w:right w:val="nil"/>
            </w:tcBorders>
            <w:vAlign w:val="top"/>
          </w:tcPr>
          <w:p>
            <w:pPr>
              <w:pStyle w:val="6"/>
            </w:pPr>
          </w:p>
        </w:tc>
        <w:tc>
          <w:tcPr>
            <w:tcW w:w="1459" w:type="dxa"/>
            <w:vMerge w:val="continue"/>
            <w:tcBorders>
              <w:top w:val="nil"/>
              <w:left w:val="nil"/>
              <w:right w:val="nil"/>
            </w:tcBorders>
            <w:vAlign w:val="top"/>
          </w:tcPr>
          <w:p>
            <w:pPr>
              <w:pStyle w:val="6"/>
            </w:pPr>
          </w:p>
        </w:tc>
        <w:tc>
          <w:tcPr>
            <w:tcW w:w="1460" w:type="dxa"/>
            <w:vMerge w:val="continue"/>
            <w:tcBorders>
              <w:top w:val="nil"/>
              <w:left w:val="nil"/>
            </w:tcBorders>
            <w:vAlign w:val="top"/>
          </w:tcPr>
          <w:p>
            <w:pPr>
              <w:pStyle w:val="6"/>
            </w:pPr>
          </w:p>
        </w:tc>
        <w:tc>
          <w:tcPr>
            <w:tcW w:w="1470"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3445" w:type="dxa"/>
            <w:gridSpan w:val="2"/>
            <w:tcBorders>
              <w:left w:val="single" w:color="000000" w:sz="6" w:space="0"/>
            </w:tcBorders>
            <w:vAlign w:val="top"/>
          </w:tcPr>
          <w:p>
            <w:pPr>
              <w:spacing w:before="121" w:line="214" w:lineRule="auto"/>
              <w:ind w:left="1299"/>
              <w:rPr>
                <w:rFonts w:ascii="宋体" w:hAnsi="宋体" w:eastAsia="宋体" w:cs="宋体"/>
                <w:sz w:val="20"/>
                <w:szCs w:val="20"/>
              </w:rPr>
            </w:pPr>
            <w:r>
              <w:rPr>
                <w:rFonts w:ascii="宋体" w:hAnsi="宋体" w:eastAsia="宋体" w:cs="宋体"/>
                <w:spacing w:val="8"/>
                <w:sz w:val="20"/>
                <w:szCs w:val="20"/>
              </w:rPr>
              <w:t>安装工程</w:t>
            </w:r>
          </w:p>
        </w:tc>
        <w:tc>
          <w:tcPr>
            <w:tcW w:w="1458" w:type="dxa"/>
            <w:vAlign w:val="top"/>
          </w:tcPr>
          <w:p>
            <w:pPr>
              <w:spacing w:before="115" w:line="219" w:lineRule="auto"/>
              <w:ind w:left="627"/>
              <w:rPr>
                <w:rFonts w:ascii="宋体" w:hAnsi="宋体" w:eastAsia="宋体" w:cs="宋体"/>
                <w:sz w:val="20"/>
                <w:szCs w:val="20"/>
              </w:rPr>
            </w:pPr>
            <w:r>
              <w:rPr>
                <w:rFonts w:ascii="宋体" w:hAnsi="宋体" w:eastAsia="宋体" w:cs="宋体"/>
                <w:sz w:val="20"/>
                <w:szCs w:val="20"/>
              </w:rPr>
              <w:t>50</w:t>
            </w:r>
          </w:p>
        </w:tc>
        <w:tc>
          <w:tcPr>
            <w:tcW w:w="1459" w:type="dxa"/>
            <w:tcBorders>
              <w:right w:val="nil"/>
            </w:tcBorders>
            <w:vAlign w:val="top"/>
          </w:tcPr>
          <w:p>
            <w:pPr>
              <w:spacing w:before="115" w:line="219" w:lineRule="auto"/>
              <w:jc w:val="right"/>
              <w:rPr>
                <w:rFonts w:ascii="宋体" w:hAnsi="宋体" w:eastAsia="宋体" w:cs="宋体"/>
                <w:sz w:val="20"/>
                <w:szCs w:val="20"/>
              </w:rPr>
            </w:pPr>
            <w:r>
              <w:rPr>
                <w:rFonts w:ascii="宋体" w:hAnsi="宋体" w:eastAsia="宋体" w:cs="宋体"/>
                <w:spacing w:val="-1"/>
                <w:sz w:val="20"/>
                <w:szCs w:val="20"/>
              </w:rPr>
              <w:t>4</w:t>
            </w:r>
          </w:p>
        </w:tc>
        <w:tc>
          <w:tcPr>
            <w:tcW w:w="1460" w:type="dxa"/>
            <w:tcBorders>
              <w:left w:val="nil"/>
            </w:tcBorders>
            <w:vAlign w:val="top"/>
          </w:tcPr>
          <w:p>
            <w:pPr>
              <w:spacing w:before="115" w:line="219" w:lineRule="auto"/>
              <w:ind w:left="6"/>
              <w:rPr>
                <w:rFonts w:ascii="宋体" w:hAnsi="宋体" w:eastAsia="宋体" w:cs="宋体"/>
                <w:sz w:val="20"/>
                <w:szCs w:val="20"/>
              </w:rPr>
            </w:pPr>
            <w:r>
              <w:rPr>
                <w:rFonts w:ascii="宋体" w:hAnsi="宋体" w:eastAsia="宋体" w:cs="宋体"/>
                <w:sz w:val="20"/>
                <w:szCs w:val="20"/>
              </w:rPr>
              <w:t>0</w:t>
            </w:r>
          </w:p>
        </w:tc>
        <w:tc>
          <w:tcPr>
            <w:tcW w:w="1470" w:type="dxa"/>
            <w:tcBorders>
              <w:right w:val="single" w:color="000000" w:sz="6" w:space="0"/>
            </w:tcBorders>
            <w:vAlign w:val="top"/>
          </w:tcPr>
          <w:p>
            <w:pPr>
              <w:spacing w:before="115" w:line="219" w:lineRule="auto"/>
              <w:ind w:left="635"/>
              <w:rPr>
                <w:rFonts w:ascii="宋体" w:hAnsi="宋体" w:eastAsia="宋体" w:cs="宋体"/>
                <w:sz w:val="20"/>
                <w:szCs w:val="20"/>
              </w:rPr>
            </w:pPr>
            <w:r>
              <w:rPr>
                <w:rFonts w:ascii="宋体" w:hAnsi="宋体" w:eastAsia="宋体" w:cs="宋体"/>
                <w:sz w:val="20"/>
                <w:szCs w:val="20"/>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9" w:type="dxa"/>
            <w:vMerge w:val="restart"/>
            <w:tcBorders>
              <w:left w:val="single" w:color="000000" w:sz="6" w:space="0"/>
              <w:bottom w:val="nil"/>
            </w:tcBorders>
            <w:vAlign w:val="top"/>
          </w:tcPr>
          <w:p>
            <w:pPr>
              <w:spacing w:before="127" w:line="219" w:lineRule="auto"/>
              <w:ind w:left="229"/>
              <w:rPr>
                <w:rFonts w:ascii="宋体" w:hAnsi="宋体" w:eastAsia="宋体" w:cs="宋体"/>
                <w:sz w:val="20"/>
                <w:szCs w:val="20"/>
              </w:rPr>
            </w:pPr>
            <w:r>
              <w:rPr>
                <w:rFonts w:ascii="宋体" w:hAnsi="宋体" w:eastAsia="宋体" w:cs="宋体"/>
                <w:spacing w:val="6"/>
                <w:sz w:val="20"/>
                <w:szCs w:val="20"/>
              </w:rPr>
              <w:t>房屋</w:t>
            </w:r>
          </w:p>
          <w:p>
            <w:pPr>
              <w:spacing w:before="122" w:line="216" w:lineRule="auto"/>
              <w:ind w:left="228"/>
              <w:rPr>
                <w:rFonts w:ascii="宋体" w:hAnsi="宋体" w:eastAsia="宋体" w:cs="宋体"/>
                <w:sz w:val="20"/>
                <w:szCs w:val="20"/>
              </w:rPr>
            </w:pPr>
            <w:r>
              <w:rPr>
                <w:rFonts w:ascii="宋体" w:hAnsi="宋体" w:eastAsia="宋体" w:cs="宋体"/>
                <w:spacing w:val="6"/>
                <w:sz w:val="20"/>
                <w:szCs w:val="20"/>
              </w:rPr>
              <w:t>修缮</w:t>
            </w:r>
          </w:p>
        </w:tc>
        <w:tc>
          <w:tcPr>
            <w:tcW w:w="2556" w:type="dxa"/>
            <w:vAlign w:val="top"/>
          </w:tcPr>
          <w:p>
            <w:pPr>
              <w:spacing w:before="120" w:line="215" w:lineRule="auto"/>
              <w:ind w:left="856"/>
              <w:rPr>
                <w:rFonts w:ascii="宋体" w:hAnsi="宋体" w:eastAsia="宋体" w:cs="宋体"/>
                <w:sz w:val="20"/>
                <w:szCs w:val="20"/>
              </w:rPr>
            </w:pPr>
            <w:r>
              <w:rPr>
                <w:rFonts w:ascii="宋体" w:hAnsi="宋体" w:eastAsia="宋体" w:cs="宋体"/>
                <w:spacing w:val="8"/>
                <w:sz w:val="20"/>
                <w:szCs w:val="20"/>
              </w:rPr>
              <w:t>建筑工程</w:t>
            </w:r>
          </w:p>
        </w:tc>
        <w:tc>
          <w:tcPr>
            <w:tcW w:w="1458" w:type="dxa"/>
            <w:tcBorders>
              <w:right w:val="nil"/>
            </w:tcBorders>
            <w:vAlign w:val="top"/>
          </w:tcPr>
          <w:p>
            <w:pPr>
              <w:pStyle w:val="6"/>
            </w:pPr>
          </w:p>
        </w:tc>
        <w:tc>
          <w:tcPr>
            <w:tcW w:w="1459" w:type="dxa"/>
            <w:tcBorders>
              <w:left w:val="nil"/>
              <w:right w:val="nil"/>
            </w:tcBorders>
            <w:vAlign w:val="top"/>
          </w:tcPr>
          <w:p>
            <w:pPr>
              <w:spacing w:before="117" w:line="217" w:lineRule="auto"/>
              <w:ind w:left="633"/>
              <w:rPr>
                <w:rFonts w:ascii="宋体" w:hAnsi="宋体" w:eastAsia="宋体" w:cs="宋体"/>
                <w:sz w:val="20"/>
                <w:szCs w:val="20"/>
              </w:rPr>
            </w:pPr>
            <w:r>
              <w:rPr>
                <w:rFonts w:ascii="宋体" w:hAnsi="宋体" w:eastAsia="宋体" w:cs="宋体"/>
                <w:sz w:val="20"/>
                <w:szCs w:val="20"/>
              </w:rPr>
              <w:t>25</w:t>
            </w:r>
          </w:p>
        </w:tc>
        <w:tc>
          <w:tcPr>
            <w:tcW w:w="1460" w:type="dxa"/>
            <w:tcBorders>
              <w:left w:val="nil"/>
            </w:tcBorders>
            <w:vAlign w:val="top"/>
          </w:tcPr>
          <w:p>
            <w:pPr>
              <w:pStyle w:val="6"/>
            </w:pPr>
          </w:p>
        </w:tc>
        <w:tc>
          <w:tcPr>
            <w:tcW w:w="1470" w:type="dxa"/>
            <w:tcBorders>
              <w:right w:val="single" w:color="000000" w:sz="6" w:space="0"/>
            </w:tcBorders>
            <w:vAlign w:val="top"/>
          </w:tcPr>
          <w:p>
            <w:pPr>
              <w:spacing w:before="117" w:line="217" w:lineRule="auto"/>
              <w:ind w:left="652"/>
              <w:rPr>
                <w:rFonts w:ascii="宋体" w:hAnsi="宋体" w:eastAsia="宋体" w:cs="宋体"/>
                <w:sz w:val="20"/>
                <w:szCs w:val="20"/>
              </w:rPr>
            </w:pPr>
            <w:r>
              <w:rPr>
                <w:rFonts w:ascii="宋体" w:hAnsi="宋体" w:eastAsia="宋体" w:cs="宋体"/>
                <w:spacing w:val="-8"/>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889" w:type="dxa"/>
            <w:vMerge w:val="continue"/>
            <w:tcBorders>
              <w:top w:val="nil"/>
              <w:left w:val="single" w:color="000000" w:sz="6" w:space="0"/>
            </w:tcBorders>
            <w:vAlign w:val="top"/>
          </w:tcPr>
          <w:p>
            <w:pPr>
              <w:pStyle w:val="6"/>
            </w:pPr>
          </w:p>
        </w:tc>
        <w:tc>
          <w:tcPr>
            <w:tcW w:w="2556" w:type="dxa"/>
            <w:vAlign w:val="top"/>
          </w:tcPr>
          <w:p>
            <w:pPr>
              <w:spacing w:before="124" w:line="211" w:lineRule="auto"/>
              <w:ind w:left="856"/>
              <w:rPr>
                <w:rFonts w:ascii="宋体" w:hAnsi="宋体" w:eastAsia="宋体" w:cs="宋体"/>
                <w:sz w:val="20"/>
                <w:szCs w:val="20"/>
              </w:rPr>
            </w:pPr>
            <w:r>
              <w:rPr>
                <w:rFonts w:ascii="宋体" w:hAnsi="宋体" w:eastAsia="宋体" w:cs="宋体"/>
                <w:spacing w:val="8"/>
                <w:sz w:val="20"/>
                <w:szCs w:val="20"/>
              </w:rPr>
              <w:t>安装工程</w:t>
            </w:r>
          </w:p>
        </w:tc>
        <w:tc>
          <w:tcPr>
            <w:tcW w:w="1458" w:type="dxa"/>
            <w:vAlign w:val="top"/>
          </w:tcPr>
          <w:p>
            <w:pPr>
              <w:spacing w:before="119" w:line="216" w:lineRule="auto"/>
              <w:ind w:left="627"/>
              <w:rPr>
                <w:rFonts w:ascii="宋体" w:hAnsi="宋体" w:eastAsia="宋体" w:cs="宋体"/>
                <w:sz w:val="20"/>
                <w:szCs w:val="20"/>
              </w:rPr>
            </w:pPr>
            <w:r>
              <w:rPr>
                <w:rFonts w:ascii="宋体" w:hAnsi="宋体" w:eastAsia="宋体" w:cs="宋体"/>
                <w:sz w:val="20"/>
                <w:szCs w:val="20"/>
              </w:rPr>
              <w:t>50</w:t>
            </w:r>
          </w:p>
        </w:tc>
        <w:tc>
          <w:tcPr>
            <w:tcW w:w="1459" w:type="dxa"/>
            <w:tcBorders>
              <w:right w:val="nil"/>
            </w:tcBorders>
            <w:vAlign w:val="top"/>
          </w:tcPr>
          <w:p>
            <w:pPr>
              <w:spacing w:before="119" w:line="216" w:lineRule="auto"/>
              <w:jc w:val="right"/>
              <w:rPr>
                <w:rFonts w:ascii="宋体" w:hAnsi="宋体" w:eastAsia="宋体" w:cs="宋体"/>
                <w:sz w:val="20"/>
                <w:szCs w:val="20"/>
              </w:rPr>
            </w:pPr>
            <w:r>
              <w:rPr>
                <w:rFonts w:ascii="宋体" w:hAnsi="宋体" w:eastAsia="宋体" w:cs="宋体"/>
                <w:spacing w:val="-1"/>
                <w:sz w:val="20"/>
                <w:szCs w:val="20"/>
              </w:rPr>
              <w:t>4</w:t>
            </w:r>
          </w:p>
        </w:tc>
        <w:tc>
          <w:tcPr>
            <w:tcW w:w="1460" w:type="dxa"/>
            <w:tcBorders>
              <w:left w:val="nil"/>
            </w:tcBorders>
            <w:vAlign w:val="top"/>
          </w:tcPr>
          <w:p>
            <w:pPr>
              <w:spacing w:before="119" w:line="216" w:lineRule="auto"/>
              <w:ind w:left="6"/>
              <w:rPr>
                <w:rFonts w:ascii="宋体" w:hAnsi="宋体" w:eastAsia="宋体" w:cs="宋体"/>
                <w:sz w:val="20"/>
                <w:szCs w:val="20"/>
              </w:rPr>
            </w:pPr>
            <w:r>
              <w:rPr>
                <w:rFonts w:ascii="宋体" w:hAnsi="宋体" w:eastAsia="宋体" w:cs="宋体"/>
                <w:sz w:val="20"/>
                <w:szCs w:val="20"/>
              </w:rPr>
              <w:t>0</w:t>
            </w:r>
          </w:p>
        </w:tc>
        <w:tc>
          <w:tcPr>
            <w:tcW w:w="1470" w:type="dxa"/>
            <w:tcBorders>
              <w:right w:val="single" w:color="000000" w:sz="6" w:space="0"/>
            </w:tcBorders>
            <w:vAlign w:val="top"/>
          </w:tcPr>
          <w:p>
            <w:pPr>
              <w:spacing w:before="119" w:line="216" w:lineRule="auto"/>
              <w:ind w:left="635"/>
              <w:rPr>
                <w:rFonts w:ascii="宋体" w:hAnsi="宋体" w:eastAsia="宋体" w:cs="宋体"/>
                <w:sz w:val="20"/>
                <w:szCs w:val="20"/>
              </w:rPr>
            </w:pPr>
            <w:r>
              <w:rPr>
                <w:rFonts w:ascii="宋体" w:hAnsi="宋体" w:eastAsia="宋体" w:cs="宋体"/>
                <w:sz w:val="20"/>
                <w:szCs w:val="20"/>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3445" w:type="dxa"/>
            <w:gridSpan w:val="2"/>
            <w:tcBorders>
              <w:left w:val="single" w:color="000000" w:sz="6" w:space="0"/>
              <w:bottom w:val="single" w:color="000000" w:sz="6" w:space="0"/>
            </w:tcBorders>
            <w:vAlign w:val="top"/>
          </w:tcPr>
          <w:p>
            <w:pPr>
              <w:spacing w:before="124" w:line="223" w:lineRule="auto"/>
              <w:ind w:left="1088"/>
              <w:rPr>
                <w:rFonts w:ascii="宋体" w:hAnsi="宋体" w:eastAsia="宋体" w:cs="宋体"/>
                <w:sz w:val="20"/>
                <w:szCs w:val="20"/>
              </w:rPr>
            </w:pPr>
            <w:r>
              <w:rPr>
                <w:rFonts w:ascii="宋体" w:hAnsi="宋体" w:eastAsia="宋体" w:cs="宋体"/>
                <w:spacing w:val="9"/>
                <w:sz w:val="20"/>
                <w:szCs w:val="20"/>
              </w:rPr>
              <w:t>仿古建筑工程</w:t>
            </w:r>
          </w:p>
        </w:tc>
        <w:tc>
          <w:tcPr>
            <w:tcW w:w="1458" w:type="dxa"/>
            <w:tcBorders>
              <w:bottom w:val="single" w:color="000000" w:sz="6" w:space="0"/>
              <w:right w:val="nil"/>
            </w:tcBorders>
            <w:vAlign w:val="top"/>
          </w:tcPr>
          <w:p>
            <w:pPr>
              <w:pStyle w:val="6"/>
            </w:pPr>
          </w:p>
        </w:tc>
        <w:tc>
          <w:tcPr>
            <w:tcW w:w="1459" w:type="dxa"/>
            <w:tcBorders>
              <w:left w:val="nil"/>
              <w:bottom w:val="single" w:color="000000" w:sz="6" w:space="0"/>
              <w:right w:val="nil"/>
            </w:tcBorders>
            <w:vAlign w:val="top"/>
          </w:tcPr>
          <w:p>
            <w:pPr>
              <w:spacing w:before="121" w:line="228" w:lineRule="auto"/>
              <w:jc w:val="right"/>
              <w:rPr>
                <w:rFonts w:ascii="宋体" w:hAnsi="宋体" w:eastAsia="宋体" w:cs="宋体"/>
                <w:sz w:val="20"/>
                <w:szCs w:val="20"/>
              </w:rPr>
            </w:pPr>
            <w:r>
              <w:rPr>
                <w:rFonts w:ascii="宋体" w:hAnsi="宋体" w:eastAsia="宋体" w:cs="宋体"/>
                <w:spacing w:val="-7"/>
                <w:sz w:val="20"/>
                <w:szCs w:val="20"/>
              </w:rPr>
              <w:t>2</w:t>
            </w:r>
          </w:p>
        </w:tc>
        <w:tc>
          <w:tcPr>
            <w:tcW w:w="1460" w:type="dxa"/>
            <w:tcBorders>
              <w:left w:val="nil"/>
              <w:bottom w:val="single" w:color="000000" w:sz="6" w:space="0"/>
              <w:right w:val="nil"/>
            </w:tcBorders>
            <w:vAlign w:val="top"/>
          </w:tcPr>
          <w:p>
            <w:pPr>
              <w:spacing w:before="121" w:line="228" w:lineRule="auto"/>
              <w:ind w:left="8"/>
              <w:rPr>
                <w:rFonts w:ascii="宋体" w:hAnsi="宋体" w:eastAsia="宋体" w:cs="宋体"/>
                <w:sz w:val="20"/>
                <w:szCs w:val="20"/>
              </w:rPr>
            </w:pPr>
            <w:r>
              <w:rPr>
                <w:rFonts w:ascii="宋体" w:hAnsi="宋体" w:eastAsia="宋体" w:cs="宋体"/>
                <w:sz w:val="20"/>
                <w:szCs w:val="20"/>
              </w:rPr>
              <w:t>0</w:t>
            </w:r>
          </w:p>
        </w:tc>
        <w:tc>
          <w:tcPr>
            <w:tcW w:w="1470" w:type="dxa"/>
            <w:tcBorders>
              <w:left w:val="nil"/>
              <w:bottom w:val="single" w:color="000000" w:sz="6" w:space="0"/>
              <w:right w:val="single" w:color="000000" w:sz="6" w:space="0"/>
            </w:tcBorders>
            <w:vAlign w:val="top"/>
          </w:tcPr>
          <w:p>
            <w:pPr>
              <w:pStyle w:val="6"/>
            </w:pPr>
          </w:p>
        </w:tc>
      </w:tr>
    </w:tbl>
    <w:p>
      <w:pPr>
        <w:spacing w:line="343" w:lineRule="auto"/>
        <w:rPr>
          <w:rFonts w:ascii="Arial"/>
          <w:sz w:val="21"/>
        </w:rPr>
      </w:pPr>
    </w:p>
    <w:p>
      <w:pPr>
        <w:spacing w:line="344" w:lineRule="auto"/>
        <w:rPr>
          <w:rFonts w:ascii="Arial"/>
          <w:sz w:val="21"/>
        </w:rPr>
      </w:pPr>
    </w:p>
    <w:p>
      <w:pPr>
        <w:pStyle w:val="2"/>
        <w:spacing w:before="103" w:line="197" w:lineRule="auto"/>
        <w:ind w:left="627"/>
        <w:rPr>
          <w:sz w:val="24"/>
          <w:szCs w:val="24"/>
        </w:rPr>
      </w:pPr>
      <w:r>
        <w:rPr>
          <w:spacing w:val="-9"/>
          <w:sz w:val="24"/>
          <w:szCs w:val="24"/>
        </w:rPr>
        <w:t>（ 二 ）市政、市政养护维修工程</w:t>
      </w:r>
    </w:p>
    <w:p>
      <w:pPr>
        <w:pStyle w:val="2"/>
        <w:spacing w:before="49" w:line="210" w:lineRule="auto"/>
        <w:ind w:left="4150"/>
        <w:rPr>
          <w:sz w:val="20"/>
          <w:szCs w:val="20"/>
        </w:rPr>
      </w:pPr>
      <w:r>
        <w:rPr>
          <w:spacing w:val="3"/>
          <w:sz w:val="20"/>
          <w:szCs w:val="20"/>
        </w:rPr>
        <w:t>1.  一般计税法下</w:t>
      </w:r>
    </w:p>
    <w:p>
      <w:pPr>
        <w:spacing w:before="67" w:line="232" w:lineRule="auto"/>
        <w:ind w:left="8424"/>
        <w:rPr>
          <w:rFonts w:ascii="宋体" w:hAnsi="宋体" w:eastAsia="宋体" w:cs="宋体"/>
          <w:sz w:val="20"/>
          <w:szCs w:val="20"/>
        </w:rPr>
      </w:pPr>
      <w:r>
        <w:rPr>
          <w:rFonts w:ascii="宋体" w:hAnsi="宋体" w:eastAsia="宋体" w:cs="宋体"/>
          <w:spacing w:val="24"/>
          <w:sz w:val="20"/>
          <w:szCs w:val="20"/>
        </w:rPr>
        <w:t>单位：%</w:t>
      </w:r>
    </w:p>
    <w:tbl>
      <w:tblPr>
        <w:tblStyle w:val="5"/>
        <w:tblW w:w="936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1991"/>
        <w:gridCol w:w="857"/>
        <w:gridCol w:w="889"/>
        <w:gridCol w:w="1126"/>
        <w:gridCol w:w="1317"/>
        <w:gridCol w:w="1149"/>
        <w:gridCol w:w="12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8" w:hRule="atLeast"/>
        </w:trPr>
        <w:tc>
          <w:tcPr>
            <w:tcW w:w="2749" w:type="dxa"/>
            <w:gridSpan w:val="2"/>
            <w:tcBorders>
              <w:top w:val="single" w:color="000000" w:sz="6" w:space="0"/>
              <w:left w:val="single" w:color="000000" w:sz="6" w:space="0"/>
              <w:tl2br w:val="single" w:color="000000" w:sz="4" w:space="0"/>
            </w:tcBorders>
            <w:vAlign w:val="top"/>
          </w:tcPr>
          <w:p>
            <w:pPr>
              <w:spacing w:before="119" w:line="276" w:lineRule="auto"/>
              <w:ind w:left="106" w:right="325" w:firstLine="1480"/>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857" w:type="dxa"/>
            <w:tcBorders>
              <w:top w:val="single" w:color="000000" w:sz="6" w:space="0"/>
            </w:tcBorders>
            <w:vAlign w:val="top"/>
          </w:tcPr>
          <w:p>
            <w:pPr>
              <w:spacing w:before="130" w:line="271" w:lineRule="auto"/>
              <w:ind w:left="111" w:right="114" w:firstLine="107"/>
              <w:rPr>
                <w:rFonts w:ascii="宋体" w:hAnsi="宋体" w:eastAsia="宋体" w:cs="宋体"/>
                <w:sz w:val="20"/>
                <w:szCs w:val="20"/>
              </w:rPr>
            </w:pPr>
            <w:r>
              <w:rPr>
                <w:rFonts w:ascii="宋体" w:hAnsi="宋体" w:eastAsia="宋体" w:cs="宋体"/>
                <w:spacing w:val="6"/>
                <w:sz w:val="20"/>
                <w:szCs w:val="20"/>
              </w:rPr>
              <w:t>夜间</w:t>
            </w:r>
            <w:r>
              <w:rPr>
                <w:rFonts w:ascii="宋体" w:hAnsi="宋体" w:eastAsia="宋体" w:cs="宋体"/>
                <w:spacing w:val="8"/>
                <w:sz w:val="20"/>
                <w:szCs w:val="20"/>
              </w:rPr>
              <w:t>施工费</w:t>
            </w:r>
          </w:p>
        </w:tc>
        <w:tc>
          <w:tcPr>
            <w:tcW w:w="889" w:type="dxa"/>
            <w:tcBorders>
              <w:top w:val="single" w:color="000000" w:sz="6" w:space="0"/>
            </w:tcBorders>
            <w:vAlign w:val="top"/>
          </w:tcPr>
          <w:p>
            <w:pPr>
              <w:spacing w:before="132" w:line="270" w:lineRule="auto"/>
              <w:ind w:left="128" w:right="129"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126" w:type="dxa"/>
            <w:tcBorders>
              <w:top w:val="single" w:color="000000" w:sz="6" w:space="0"/>
            </w:tcBorders>
            <w:vAlign w:val="top"/>
          </w:tcPr>
          <w:p>
            <w:pPr>
              <w:spacing w:before="132" w:line="215" w:lineRule="auto"/>
              <w:ind w:left="145"/>
              <w:rPr>
                <w:rFonts w:ascii="宋体" w:hAnsi="宋体" w:eastAsia="宋体" w:cs="宋体"/>
                <w:sz w:val="20"/>
                <w:szCs w:val="20"/>
              </w:rPr>
            </w:pPr>
            <w:r>
              <w:rPr>
                <w:rFonts w:ascii="宋体" w:hAnsi="宋体" w:eastAsia="宋体" w:cs="宋体"/>
                <w:spacing w:val="8"/>
                <w:sz w:val="20"/>
                <w:szCs w:val="20"/>
              </w:rPr>
              <w:t>冬雨季施</w:t>
            </w:r>
          </w:p>
          <w:p>
            <w:pPr>
              <w:spacing w:before="64" w:line="221" w:lineRule="auto"/>
              <w:ind w:left="146"/>
              <w:rPr>
                <w:rFonts w:ascii="宋体" w:hAnsi="宋体" w:eastAsia="宋体" w:cs="宋体"/>
                <w:sz w:val="20"/>
                <w:szCs w:val="20"/>
              </w:rPr>
            </w:pPr>
            <w:r>
              <w:rPr>
                <w:rFonts w:ascii="宋体" w:hAnsi="宋体" w:eastAsia="宋体" w:cs="宋体"/>
                <w:spacing w:val="8"/>
                <w:sz w:val="20"/>
                <w:szCs w:val="20"/>
              </w:rPr>
              <w:t>工增加费</w:t>
            </w:r>
          </w:p>
        </w:tc>
        <w:tc>
          <w:tcPr>
            <w:tcW w:w="1317" w:type="dxa"/>
            <w:tcBorders>
              <w:top w:val="single" w:color="000000" w:sz="6" w:space="0"/>
            </w:tcBorders>
            <w:vAlign w:val="top"/>
          </w:tcPr>
          <w:p>
            <w:pPr>
              <w:spacing w:before="129" w:line="219" w:lineRule="auto"/>
              <w:ind w:left="152"/>
              <w:rPr>
                <w:rFonts w:ascii="宋体" w:hAnsi="宋体" w:eastAsia="宋体" w:cs="宋体"/>
                <w:sz w:val="20"/>
                <w:szCs w:val="20"/>
              </w:rPr>
            </w:pPr>
            <w:r>
              <w:rPr>
                <w:rFonts w:ascii="宋体" w:hAnsi="宋体" w:eastAsia="宋体" w:cs="宋体"/>
                <w:spacing w:val="5"/>
                <w:sz w:val="20"/>
                <w:szCs w:val="20"/>
              </w:rPr>
              <w:t>已完工程及</w:t>
            </w:r>
          </w:p>
          <w:p>
            <w:pPr>
              <w:spacing w:before="60" w:line="223" w:lineRule="auto"/>
              <w:ind w:left="132"/>
              <w:rPr>
                <w:rFonts w:ascii="宋体" w:hAnsi="宋体" w:eastAsia="宋体" w:cs="宋体"/>
                <w:sz w:val="20"/>
                <w:szCs w:val="20"/>
              </w:rPr>
            </w:pPr>
            <w:r>
              <w:rPr>
                <w:rFonts w:ascii="宋体" w:hAnsi="宋体" w:eastAsia="宋体" w:cs="宋体"/>
                <w:spacing w:val="9"/>
                <w:sz w:val="20"/>
                <w:szCs w:val="20"/>
              </w:rPr>
              <w:t>设备保护费</w:t>
            </w:r>
          </w:p>
        </w:tc>
        <w:tc>
          <w:tcPr>
            <w:tcW w:w="1149" w:type="dxa"/>
            <w:tcBorders>
              <w:top w:val="single" w:color="000000" w:sz="6" w:space="0"/>
            </w:tcBorders>
            <w:vAlign w:val="top"/>
          </w:tcPr>
          <w:p>
            <w:pPr>
              <w:spacing w:before="130" w:line="271" w:lineRule="auto"/>
              <w:ind w:left="269" w:right="150" w:hanging="109"/>
              <w:rPr>
                <w:rFonts w:ascii="宋体" w:hAnsi="宋体" w:eastAsia="宋体" w:cs="宋体"/>
                <w:sz w:val="20"/>
                <w:szCs w:val="20"/>
              </w:rPr>
            </w:pPr>
            <w:r>
              <w:rPr>
                <w:rFonts w:ascii="宋体" w:hAnsi="宋体" w:eastAsia="宋体" w:cs="宋体"/>
                <w:spacing w:val="8"/>
                <w:sz w:val="20"/>
                <w:szCs w:val="20"/>
              </w:rPr>
              <w:t>工程定位</w:t>
            </w:r>
            <w:r>
              <w:rPr>
                <w:rFonts w:ascii="宋体" w:hAnsi="宋体" w:eastAsia="宋体" w:cs="宋体"/>
                <w:spacing w:val="6"/>
                <w:sz w:val="20"/>
                <w:szCs w:val="20"/>
              </w:rPr>
              <w:t>复测费</w:t>
            </w:r>
          </w:p>
        </w:tc>
        <w:tc>
          <w:tcPr>
            <w:tcW w:w="1279" w:type="dxa"/>
            <w:tcBorders>
              <w:top w:val="single" w:color="000000" w:sz="6" w:space="0"/>
              <w:right w:val="single" w:color="000000" w:sz="6" w:space="0"/>
            </w:tcBorders>
            <w:vAlign w:val="top"/>
          </w:tcPr>
          <w:p>
            <w:pPr>
              <w:spacing w:before="130" w:line="271" w:lineRule="auto"/>
              <w:ind w:left="221" w:right="106" w:hanging="103"/>
              <w:rPr>
                <w:rFonts w:ascii="宋体" w:hAnsi="宋体" w:eastAsia="宋体" w:cs="宋体"/>
                <w:sz w:val="20"/>
                <w:szCs w:val="20"/>
              </w:rPr>
            </w:pPr>
            <w:r>
              <w:rPr>
                <w:rFonts w:ascii="宋体" w:hAnsi="宋体" w:eastAsia="宋体" w:cs="宋体"/>
                <w:spacing w:val="8"/>
                <w:sz w:val="20"/>
                <w:szCs w:val="20"/>
              </w:rPr>
              <w:t>地下管线交叉处理费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restart"/>
            <w:tcBorders>
              <w:left w:val="single" w:color="000000" w:sz="6" w:space="0"/>
              <w:bottom w:val="nil"/>
            </w:tcBorders>
            <w:vAlign w:val="top"/>
          </w:tcPr>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5" w:lineRule="auto"/>
            </w:pPr>
          </w:p>
          <w:p>
            <w:pPr>
              <w:spacing w:before="65" w:line="338" w:lineRule="auto"/>
              <w:ind w:left="165" w:right="170"/>
              <w:rPr>
                <w:rFonts w:ascii="宋体" w:hAnsi="宋体" w:eastAsia="宋体" w:cs="宋体"/>
                <w:sz w:val="20"/>
                <w:szCs w:val="20"/>
              </w:rPr>
            </w:pPr>
            <w:r>
              <w:rPr>
                <w:rFonts w:ascii="宋体" w:hAnsi="宋体" w:eastAsia="宋体" w:cs="宋体"/>
                <w:spacing w:val="6"/>
                <w:sz w:val="20"/>
                <w:szCs w:val="20"/>
              </w:rPr>
              <w:t>市政工程</w:t>
            </w:r>
          </w:p>
        </w:tc>
        <w:tc>
          <w:tcPr>
            <w:tcW w:w="1991" w:type="dxa"/>
            <w:vAlign w:val="top"/>
          </w:tcPr>
          <w:p>
            <w:pPr>
              <w:spacing w:before="114" w:line="220" w:lineRule="auto"/>
              <w:ind w:left="573"/>
              <w:rPr>
                <w:rFonts w:ascii="宋体" w:hAnsi="宋体" w:eastAsia="宋体" w:cs="宋体"/>
                <w:sz w:val="20"/>
                <w:szCs w:val="20"/>
              </w:rPr>
            </w:pPr>
            <w:r>
              <w:rPr>
                <w:rFonts w:ascii="宋体" w:hAnsi="宋体" w:eastAsia="宋体" w:cs="宋体"/>
                <w:spacing w:val="8"/>
                <w:sz w:val="20"/>
                <w:szCs w:val="20"/>
              </w:rPr>
              <w:t>道路工程</w:t>
            </w:r>
          </w:p>
        </w:tc>
        <w:tc>
          <w:tcPr>
            <w:tcW w:w="857" w:type="dxa"/>
            <w:vAlign w:val="top"/>
          </w:tcPr>
          <w:p>
            <w:pPr>
              <w:spacing w:before="109" w:line="226" w:lineRule="auto"/>
              <w:ind w:left="245"/>
              <w:rPr>
                <w:rFonts w:ascii="宋体" w:hAnsi="宋体" w:eastAsia="宋体" w:cs="宋体"/>
                <w:sz w:val="20"/>
                <w:szCs w:val="20"/>
              </w:rPr>
            </w:pPr>
            <w:r>
              <w:rPr>
                <w:rFonts w:ascii="宋体" w:hAnsi="宋体" w:eastAsia="宋体" w:cs="宋体"/>
                <w:spacing w:val="-11"/>
                <w:sz w:val="20"/>
                <w:szCs w:val="20"/>
              </w:rPr>
              <w:t>0.61</w:t>
            </w:r>
          </w:p>
        </w:tc>
        <w:tc>
          <w:tcPr>
            <w:tcW w:w="889" w:type="dxa"/>
            <w:vAlign w:val="top"/>
          </w:tcPr>
          <w:p>
            <w:pPr>
              <w:spacing w:before="109" w:line="226" w:lineRule="auto"/>
              <w:ind w:left="280"/>
              <w:rPr>
                <w:rFonts w:ascii="宋体" w:hAnsi="宋体" w:eastAsia="宋体" w:cs="宋体"/>
                <w:sz w:val="20"/>
                <w:szCs w:val="20"/>
              </w:rPr>
            </w:pPr>
            <w:r>
              <w:rPr>
                <w:rFonts w:ascii="宋体" w:hAnsi="宋体" w:eastAsia="宋体" w:cs="宋体"/>
                <w:spacing w:val="-15"/>
                <w:sz w:val="20"/>
                <w:szCs w:val="20"/>
              </w:rPr>
              <w:t>1.05</w:t>
            </w:r>
          </w:p>
        </w:tc>
        <w:tc>
          <w:tcPr>
            <w:tcW w:w="1126" w:type="dxa"/>
            <w:vAlign w:val="top"/>
          </w:tcPr>
          <w:p>
            <w:pPr>
              <w:spacing w:before="109" w:line="226" w:lineRule="auto"/>
              <w:ind w:left="383"/>
              <w:rPr>
                <w:rFonts w:ascii="宋体" w:hAnsi="宋体" w:eastAsia="宋体" w:cs="宋体"/>
                <w:sz w:val="20"/>
                <w:szCs w:val="20"/>
              </w:rPr>
            </w:pPr>
            <w:r>
              <w:rPr>
                <w:rFonts w:ascii="宋体" w:hAnsi="宋体" w:eastAsia="宋体" w:cs="宋体"/>
                <w:spacing w:val="-11"/>
                <w:sz w:val="20"/>
                <w:szCs w:val="20"/>
              </w:rPr>
              <w:t>0.38</w:t>
            </w:r>
          </w:p>
        </w:tc>
        <w:tc>
          <w:tcPr>
            <w:tcW w:w="1317" w:type="dxa"/>
            <w:vAlign w:val="top"/>
          </w:tcPr>
          <w:p>
            <w:pPr>
              <w:spacing w:before="109" w:line="226" w:lineRule="auto"/>
              <w:ind w:left="479"/>
              <w:rPr>
                <w:rFonts w:ascii="宋体" w:hAnsi="宋体" w:eastAsia="宋体" w:cs="宋体"/>
                <w:sz w:val="20"/>
                <w:szCs w:val="20"/>
              </w:rPr>
            </w:pPr>
            <w:r>
              <w:rPr>
                <w:rFonts w:ascii="宋体" w:hAnsi="宋体" w:eastAsia="宋体" w:cs="宋体"/>
                <w:spacing w:val="-11"/>
                <w:sz w:val="20"/>
                <w:szCs w:val="20"/>
              </w:rPr>
              <w:t>0.58</w:t>
            </w:r>
          </w:p>
        </w:tc>
        <w:tc>
          <w:tcPr>
            <w:tcW w:w="1149" w:type="dxa"/>
            <w:vAlign w:val="top"/>
          </w:tcPr>
          <w:p>
            <w:pPr>
              <w:spacing w:before="109" w:line="226" w:lineRule="auto"/>
              <w:ind w:left="398"/>
              <w:rPr>
                <w:rFonts w:ascii="宋体" w:hAnsi="宋体" w:eastAsia="宋体" w:cs="宋体"/>
                <w:sz w:val="20"/>
                <w:szCs w:val="20"/>
              </w:rPr>
            </w:pPr>
            <w:r>
              <w:rPr>
                <w:rFonts w:ascii="宋体" w:hAnsi="宋体" w:eastAsia="宋体" w:cs="宋体"/>
                <w:spacing w:val="-11"/>
                <w:sz w:val="20"/>
                <w:szCs w:val="20"/>
              </w:rPr>
              <w:t>0.12</w:t>
            </w:r>
          </w:p>
        </w:tc>
        <w:tc>
          <w:tcPr>
            <w:tcW w:w="1279" w:type="dxa"/>
            <w:tcBorders>
              <w:right w:val="single" w:color="000000" w:sz="6" w:space="0"/>
            </w:tcBorders>
            <w:vAlign w:val="top"/>
          </w:tcPr>
          <w:p>
            <w:pPr>
              <w:spacing w:before="109" w:line="226" w:lineRule="auto"/>
              <w:ind w:left="461"/>
              <w:rPr>
                <w:rFonts w:ascii="宋体" w:hAnsi="宋体" w:eastAsia="宋体" w:cs="宋体"/>
                <w:sz w:val="20"/>
                <w:szCs w:val="20"/>
              </w:rPr>
            </w:pPr>
            <w:r>
              <w:rPr>
                <w:rFonts w:ascii="宋体" w:hAnsi="宋体" w:eastAsia="宋体" w:cs="宋体"/>
                <w:spacing w:val="-11"/>
                <w:sz w:val="20"/>
                <w:szCs w:val="20"/>
              </w:rPr>
              <w:t>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7" w:line="217" w:lineRule="auto"/>
              <w:ind w:left="573"/>
              <w:rPr>
                <w:rFonts w:ascii="宋体" w:hAnsi="宋体" w:eastAsia="宋体" w:cs="宋体"/>
                <w:sz w:val="20"/>
                <w:szCs w:val="20"/>
              </w:rPr>
            </w:pPr>
            <w:r>
              <w:rPr>
                <w:rFonts w:ascii="宋体" w:hAnsi="宋体" w:eastAsia="宋体" w:cs="宋体"/>
                <w:spacing w:val="8"/>
                <w:sz w:val="20"/>
                <w:szCs w:val="20"/>
              </w:rPr>
              <w:t>桥涵工程</w:t>
            </w:r>
          </w:p>
        </w:tc>
        <w:tc>
          <w:tcPr>
            <w:tcW w:w="857" w:type="dxa"/>
            <w:vAlign w:val="top"/>
          </w:tcPr>
          <w:p>
            <w:pPr>
              <w:spacing w:before="110" w:line="225" w:lineRule="auto"/>
              <w:ind w:left="245"/>
              <w:rPr>
                <w:rFonts w:ascii="宋体" w:hAnsi="宋体" w:eastAsia="宋体" w:cs="宋体"/>
                <w:sz w:val="20"/>
                <w:szCs w:val="20"/>
              </w:rPr>
            </w:pPr>
            <w:r>
              <w:rPr>
                <w:rFonts w:ascii="宋体" w:hAnsi="宋体" w:eastAsia="宋体" w:cs="宋体"/>
                <w:spacing w:val="-11"/>
                <w:sz w:val="20"/>
                <w:szCs w:val="20"/>
              </w:rPr>
              <w:t>0.36</w:t>
            </w:r>
          </w:p>
        </w:tc>
        <w:tc>
          <w:tcPr>
            <w:tcW w:w="889" w:type="dxa"/>
            <w:vAlign w:val="top"/>
          </w:tcPr>
          <w:p>
            <w:pPr>
              <w:spacing w:before="110" w:line="225" w:lineRule="auto"/>
              <w:ind w:left="280"/>
              <w:rPr>
                <w:rFonts w:ascii="宋体" w:hAnsi="宋体" w:eastAsia="宋体" w:cs="宋体"/>
                <w:sz w:val="20"/>
                <w:szCs w:val="20"/>
              </w:rPr>
            </w:pPr>
            <w:r>
              <w:rPr>
                <w:rFonts w:ascii="宋体" w:hAnsi="宋体" w:eastAsia="宋体" w:cs="宋体"/>
                <w:spacing w:val="-15"/>
                <w:sz w:val="20"/>
                <w:szCs w:val="20"/>
              </w:rPr>
              <w:t>1.43</w:t>
            </w:r>
          </w:p>
        </w:tc>
        <w:tc>
          <w:tcPr>
            <w:tcW w:w="1126" w:type="dxa"/>
            <w:vAlign w:val="top"/>
          </w:tcPr>
          <w:p>
            <w:pPr>
              <w:spacing w:before="110" w:line="225" w:lineRule="auto"/>
              <w:ind w:left="383"/>
              <w:rPr>
                <w:rFonts w:ascii="宋体" w:hAnsi="宋体" w:eastAsia="宋体" w:cs="宋体"/>
                <w:sz w:val="20"/>
                <w:szCs w:val="20"/>
              </w:rPr>
            </w:pPr>
            <w:r>
              <w:rPr>
                <w:rFonts w:ascii="宋体" w:hAnsi="宋体" w:eastAsia="宋体" w:cs="宋体"/>
                <w:spacing w:val="-11"/>
                <w:sz w:val="20"/>
                <w:szCs w:val="20"/>
              </w:rPr>
              <w:t>0.36</w:t>
            </w:r>
          </w:p>
        </w:tc>
        <w:tc>
          <w:tcPr>
            <w:tcW w:w="1317" w:type="dxa"/>
            <w:vAlign w:val="top"/>
          </w:tcPr>
          <w:p>
            <w:pPr>
              <w:spacing w:before="110" w:line="225" w:lineRule="auto"/>
              <w:ind w:left="479"/>
              <w:rPr>
                <w:rFonts w:ascii="宋体" w:hAnsi="宋体" w:eastAsia="宋体" w:cs="宋体"/>
                <w:sz w:val="20"/>
                <w:szCs w:val="20"/>
              </w:rPr>
            </w:pPr>
            <w:r>
              <w:rPr>
                <w:rFonts w:ascii="宋体" w:hAnsi="宋体" w:eastAsia="宋体" w:cs="宋体"/>
                <w:spacing w:val="-11"/>
                <w:sz w:val="20"/>
                <w:szCs w:val="20"/>
              </w:rPr>
              <w:t>0.60</w:t>
            </w:r>
          </w:p>
        </w:tc>
        <w:tc>
          <w:tcPr>
            <w:tcW w:w="1149" w:type="dxa"/>
            <w:vAlign w:val="top"/>
          </w:tcPr>
          <w:p>
            <w:pPr>
              <w:spacing w:before="110" w:line="225" w:lineRule="auto"/>
              <w:ind w:left="398"/>
              <w:rPr>
                <w:rFonts w:ascii="宋体" w:hAnsi="宋体" w:eastAsia="宋体" w:cs="宋体"/>
                <w:sz w:val="20"/>
                <w:szCs w:val="20"/>
              </w:rPr>
            </w:pPr>
            <w:r>
              <w:rPr>
                <w:rFonts w:ascii="宋体" w:hAnsi="宋体" w:eastAsia="宋体" w:cs="宋体"/>
                <w:spacing w:val="-11"/>
                <w:sz w:val="20"/>
                <w:szCs w:val="20"/>
              </w:rPr>
              <w:t>0.07</w:t>
            </w:r>
          </w:p>
        </w:tc>
        <w:tc>
          <w:tcPr>
            <w:tcW w:w="1279" w:type="dxa"/>
            <w:tcBorders>
              <w:right w:val="single" w:color="000000" w:sz="6" w:space="0"/>
            </w:tcBorders>
            <w:vAlign w:val="top"/>
          </w:tcPr>
          <w:p>
            <w:pPr>
              <w:spacing w:before="110" w:line="225" w:lineRule="auto"/>
              <w:ind w:left="461"/>
              <w:rPr>
                <w:rFonts w:ascii="宋体" w:hAnsi="宋体" w:eastAsia="宋体" w:cs="宋体"/>
                <w:sz w:val="20"/>
                <w:szCs w:val="20"/>
              </w:rPr>
            </w:pPr>
            <w:r>
              <w:rPr>
                <w:rFonts w:ascii="宋体" w:hAnsi="宋体" w:eastAsia="宋体" w:cs="宋体"/>
                <w:spacing w:val="-11"/>
                <w:sz w:val="20"/>
                <w:szCs w:val="20"/>
              </w:rPr>
              <w:t>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5" w:line="219" w:lineRule="auto"/>
              <w:ind w:left="584"/>
              <w:rPr>
                <w:rFonts w:ascii="宋体" w:hAnsi="宋体" w:eastAsia="宋体" w:cs="宋体"/>
                <w:sz w:val="20"/>
                <w:szCs w:val="20"/>
              </w:rPr>
            </w:pPr>
            <w:r>
              <w:rPr>
                <w:rFonts w:ascii="宋体" w:hAnsi="宋体" w:eastAsia="宋体" w:cs="宋体"/>
                <w:spacing w:val="5"/>
                <w:sz w:val="20"/>
                <w:szCs w:val="20"/>
              </w:rPr>
              <w:t>隧道工程</w:t>
            </w:r>
          </w:p>
        </w:tc>
        <w:tc>
          <w:tcPr>
            <w:tcW w:w="857" w:type="dxa"/>
            <w:vAlign w:val="top"/>
          </w:tcPr>
          <w:p>
            <w:pPr>
              <w:spacing w:before="110" w:line="225" w:lineRule="auto"/>
              <w:ind w:left="245"/>
              <w:rPr>
                <w:rFonts w:ascii="宋体" w:hAnsi="宋体" w:eastAsia="宋体" w:cs="宋体"/>
                <w:sz w:val="20"/>
                <w:szCs w:val="20"/>
              </w:rPr>
            </w:pPr>
            <w:r>
              <w:rPr>
                <w:rFonts w:ascii="宋体" w:hAnsi="宋体" w:eastAsia="宋体" w:cs="宋体"/>
                <w:spacing w:val="-11"/>
                <w:sz w:val="20"/>
                <w:szCs w:val="20"/>
              </w:rPr>
              <w:t>0.30</w:t>
            </w:r>
          </w:p>
        </w:tc>
        <w:tc>
          <w:tcPr>
            <w:tcW w:w="889" w:type="dxa"/>
            <w:vAlign w:val="top"/>
          </w:tcPr>
          <w:p>
            <w:pPr>
              <w:spacing w:before="110" w:line="225" w:lineRule="auto"/>
              <w:ind w:left="280"/>
              <w:rPr>
                <w:rFonts w:ascii="宋体" w:hAnsi="宋体" w:eastAsia="宋体" w:cs="宋体"/>
                <w:sz w:val="20"/>
                <w:szCs w:val="20"/>
              </w:rPr>
            </w:pPr>
            <w:r>
              <w:rPr>
                <w:rFonts w:ascii="宋体" w:hAnsi="宋体" w:eastAsia="宋体" w:cs="宋体"/>
                <w:spacing w:val="-15"/>
                <w:sz w:val="20"/>
                <w:szCs w:val="20"/>
              </w:rPr>
              <w:t>1.23</w:t>
            </w:r>
          </w:p>
        </w:tc>
        <w:tc>
          <w:tcPr>
            <w:tcW w:w="1126" w:type="dxa"/>
            <w:vAlign w:val="top"/>
          </w:tcPr>
          <w:p>
            <w:pPr>
              <w:spacing w:before="110" w:line="225" w:lineRule="auto"/>
              <w:ind w:left="383"/>
              <w:rPr>
                <w:rFonts w:ascii="宋体" w:hAnsi="宋体" w:eastAsia="宋体" w:cs="宋体"/>
                <w:sz w:val="20"/>
                <w:szCs w:val="20"/>
              </w:rPr>
            </w:pPr>
            <w:r>
              <w:rPr>
                <w:rFonts w:ascii="宋体" w:hAnsi="宋体" w:eastAsia="宋体" w:cs="宋体"/>
                <w:spacing w:val="-11"/>
                <w:sz w:val="20"/>
                <w:szCs w:val="20"/>
              </w:rPr>
              <w:t>0.31</w:t>
            </w:r>
          </w:p>
        </w:tc>
        <w:tc>
          <w:tcPr>
            <w:tcW w:w="1317" w:type="dxa"/>
            <w:vAlign w:val="top"/>
          </w:tcPr>
          <w:p>
            <w:pPr>
              <w:spacing w:before="110" w:line="225" w:lineRule="auto"/>
              <w:ind w:left="479"/>
              <w:rPr>
                <w:rFonts w:ascii="宋体" w:hAnsi="宋体" w:eastAsia="宋体" w:cs="宋体"/>
                <w:sz w:val="20"/>
                <w:szCs w:val="20"/>
              </w:rPr>
            </w:pPr>
            <w:r>
              <w:rPr>
                <w:rFonts w:ascii="宋体" w:hAnsi="宋体" w:eastAsia="宋体" w:cs="宋体"/>
                <w:spacing w:val="-11"/>
                <w:sz w:val="20"/>
                <w:szCs w:val="20"/>
              </w:rPr>
              <w:t>0.61</w:t>
            </w:r>
          </w:p>
        </w:tc>
        <w:tc>
          <w:tcPr>
            <w:tcW w:w="1149" w:type="dxa"/>
            <w:vAlign w:val="top"/>
          </w:tcPr>
          <w:p>
            <w:pPr>
              <w:spacing w:before="110" w:line="225" w:lineRule="auto"/>
              <w:ind w:left="398"/>
              <w:rPr>
                <w:rFonts w:ascii="宋体" w:hAnsi="宋体" w:eastAsia="宋体" w:cs="宋体"/>
                <w:sz w:val="20"/>
                <w:szCs w:val="20"/>
              </w:rPr>
            </w:pPr>
            <w:r>
              <w:rPr>
                <w:rFonts w:ascii="宋体" w:hAnsi="宋体" w:eastAsia="宋体" w:cs="宋体"/>
                <w:spacing w:val="-11"/>
                <w:sz w:val="20"/>
                <w:szCs w:val="20"/>
              </w:rPr>
              <w:t>0.07</w:t>
            </w:r>
          </w:p>
        </w:tc>
        <w:tc>
          <w:tcPr>
            <w:tcW w:w="1279" w:type="dxa"/>
            <w:tcBorders>
              <w:right w:val="single" w:color="000000" w:sz="6" w:space="0"/>
            </w:tcBorders>
            <w:vAlign w:val="top"/>
          </w:tcPr>
          <w:p>
            <w:pPr>
              <w:spacing w:before="110" w:line="225" w:lineRule="auto"/>
              <w:ind w:left="461"/>
              <w:rPr>
                <w:rFonts w:ascii="宋体" w:hAnsi="宋体" w:eastAsia="宋体" w:cs="宋体"/>
                <w:sz w:val="20"/>
                <w:szCs w:val="20"/>
              </w:rPr>
            </w:pPr>
            <w:r>
              <w:rPr>
                <w:rFonts w:ascii="宋体" w:hAnsi="宋体" w:eastAsia="宋体" w:cs="宋体"/>
                <w:spacing w:val="-11"/>
                <w:sz w:val="20"/>
                <w:szCs w:val="20"/>
              </w:rPr>
              <w:t>0.20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8" w:line="217" w:lineRule="auto"/>
              <w:ind w:left="579"/>
              <w:rPr>
                <w:rFonts w:ascii="宋体" w:hAnsi="宋体" w:eastAsia="宋体" w:cs="宋体"/>
                <w:sz w:val="20"/>
                <w:szCs w:val="20"/>
              </w:rPr>
            </w:pPr>
            <w:r>
              <w:rPr>
                <w:rFonts w:ascii="宋体" w:hAnsi="宋体" w:eastAsia="宋体" w:cs="宋体"/>
                <w:spacing w:val="6"/>
                <w:sz w:val="20"/>
                <w:szCs w:val="20"/>
              </w:rPr>
              <w:t>给水工程</w:t>
            </w:r>
          </w:p>
        </w:tc>
        <w:tc>
          <w:tcPr>
            <w:tcW w:w="857" w:type="dxa"/>
            <w:vAlign w:val="top"/>
          </w:tcPr>
          <w:p>
            <w:pPr>
              <w:spacing w:before="113" w:line="222" w:lineRule="auto"/>
              <w:ind w:left="263"/>
              <w:rPr>
                <w:rFonts w:ascii="宋体" w:hAnsi="宋体" w:eastAsia="宋体" w:cs="宋体"/>
                <w:sz w:val="20"/>
                <w:szCs w:val="20"/>
              </w:rPr>
            </w:pPr>
            <w:r>
              <w:rPr>
                <w:rFonts w:ascii="宋体" w:hAnsi="宋体" w:eastAsia="宋体" w:cs="宋体"/>
                <w:spacing w:val="-15"/>
                <w:sz w:val="20"/>
                <w:szCs w:val="20"/>
              </w:rPr>
              <w:t>1.28</w:t>
            </w:r>
          </w:p>
        </w:tc>
        <w:tc>
          <w:tcPr>
            <w:tcW w:w="889" w:type="dxa"/>
            <w:vAlign w:val="top"/>
          </w:tcPr>
          <w:p>
            <w:pPr>
              <w:spacing w:before="113" w:line="222" w:lineRule="auto"/>
              <w:ind w:left="280"/>
              <w:rPr>
                <w:rFonts w:ascii="宋体" w:hAnsi="宋体" w:eastAsia="宋体" w:cs="宋体"/>
                <w:sz w:val="20"/>
                <w:szCs w:val="20"/>
              </w:rPr>
            </w:pPr>
            <w:r>
              <w:rPr>
                <w:rFonts w:ascii="宋体" w:hAnsi="宋体" w:eastAsia="宋体" w:cs="宋体"/>
                <w:spacing w:val="-15"/>
                <w:sz w:val="20"/>
                <w:szCs w:val="20"/>
              </w:rPr>
              <w:t>1.69</w:t>
            </w:r>
          </w:p>
        </w:tc>
        <w:tc>
          <w:tcPr>
            <w:tcW w:w="1126" w:type="dxa"/>
            <w:vAlign w:val="top"/>
          </w:tcPr>
          <w:p>
            <w:pPr>
              <w:spacing w:before="113" w:line="222" w:lineRule="auto"/>
              <w:ind w:left="401"/>
              <w:rPr>
                <w:rFonts w:ascii="宋体" w:hAnsi="宋体" w:eastAsia="宋体" w:cs="宋体"/>
                <w:sz w:val="20"/>
                <w:szCs w:val="20"/>
              </w:rPr>
            </w:pPr>
            <w:r>
              <w:rPr>
                <w:rFonts w:ascii="宋体" w:hAnsi="宋体" w:eastAsia="宋体" w:cs="宋体"/>
                <w:spacing w:val="-15"/>
                <w:sz w:val="20"/>
                <w:szCs w:val="20"/>
              </w:rPr>
              <w:t>1.28</w:t>
            </w:r>
          </w:p>
        </w:tc>
        <w:tc>
          <w:tcPr>
            <w:tcW w:w="1317" w:type="dxa"/>
            <w:vAlign w:val="top"/>
          </w:tcPr>
          <w:p>
            <w:pPr>
              <w:spacing w:before="113" w:line="222" w:lineRule="auto"/>
              <w:ind w:left="479"/>
              <w:rPr>
                <w:rFonts w:ascii="宋体" w:hAnsi="宋体" w:eastAsia="宋体" w:cs="宋体"/>
                <w:sz w:val="20"/>
                <w:szCs w:val="20"/>
              </w:rPr>
            </w:pPr>
            <w:r>
              <w:rPr>
                <w:rFonts w:ascii="宋体" w:hAnsi="宋体" w:eastAsia="宋体" w:cs="宋体"/>
                <w:spacing w:val="-11"/>
                <w:sz w:val="20"/>
                <w:szCs w:val="20"/>
              </w:rPr>
              <w:t>0.67</w:t>
            </w:r>
          </w:p>
        </w:tc>
        <w:tc>
          <w:tcPr>
            <w:tcW w:w="1149" w:type="dxa"/>
            <w:vAlign w:val="top"/>
          </w:tcPr>
          <w:p>
            <w:pPr>
              <w:spacing w:before="113" w:line="222" w:lineRule="auto"/>
              <w:ind w:left="398"/>
              <w:rPr>
                <w:rFonts w:ascii="宋体" w:hAnsi="宋体" w:eastAsia="宋体" w:cs="宋体"/>
                <w:sz w:val="20"/>
                <w:szCs w:val="20"/>
              </w:rPr>
            </w:pPr>
            <w:r>
              <w:rPr>
                <w:rFonts w:ascii="宋体" w:hAnsi="宋体" w:eastAsia="宋体" w:cs="宋体"/>
                <w:spacing w:val="-11"/>
                <w:sz w:val="20"/>
                <w:szCs w:val="20"/>
              </w:rPr>
              <w:t>0.28</w:t>
            </w:r>
          </w:p>
        </w:tc>
        <w:tc>
          <w:tcPr>
            <w:tcW w:w="1279" w:type="dxa"/>
            <w:tcBorders>
              <w:right w:val="single" w:color="000000" w:sz="6" w:space="0"/>
            </w:tcBorders>
            <w:vAlign w:val="top"/>
          </w:tcPr>
          <w:p>
            <w:pPr>
              <w:spacing w:before="113" w:line="222" w:lineRule="auto"/>
              <w:ind w:left="479"/>
              <w:rPr>
                <w:rFonts w:ascii="宋体" w:hAnsi="宋体" w:eastAsia="宋体" w:cs="宋体"/>
                <w:sz w:val="20"/>
                <w:szCs w:val="20"/>
              </w:rPr>
            </w:pPr>
            <w:r>
              <w:rPr>
                <w:rFonts w:ascii="宋体" w:hAnsi="宋体" w:eastAsia="宋体" w:cs="宋体"/>
                <w:spacing w:val="-15"/>
                <w:sz w:val="20"/>
                <w:szCs w:val="20"/>
              </w:rPr>
              <w:t>1.02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05" w:line="229" w:lineRule="auto"/>
              <w:ind w:left="572"/>
              <w:rPr>
                <w:rFonts w:ascii="宋体" w:hAnsi="宋体" w:eastAsia="宋体" w:cs="宋体"/>
                <w:sz w:val="20"/>
                <w:szCs w:val="20"/>
              </w:rPr>
            </w:pPr>
            <w:r>
              <w:rPr>
                <w:rFonts w:ascii="宋体" w:hAnsi="宋体" w:eastAsia="宋体" w:cs="宋体"/>
                <w:spacing w:val="8"/>
                <w:sz w:val="20"/>
                <w:szCs w:val="20"/>
              </w:rPr>
              <w:t>排水工程</w:t>
            </w:r>
          </w:p>
        </w:tc>
        <w:tc>
          <w:tcPr>
            <w:tcW w:w="857" w:type="dxa"/>
            <w:vAlign w:val="top"/>
          </w:tcPr>
          <w:p>
            <w:pPr>
              <w:spacing w:before="113" w:line="222" w:lineRule="auto"/>
              <w:ind w:left="245"/>
              <w:rPr>
                <w:rFonts w:ascii="宋体" w:hAnsi="宋体" w:eastAsia="宋体" w:cs="宋体"/>
                <w:sz w:val="20"/>
                <w:szCs w:val="20"/>
              </w:rPr>
            </w:pPr>
            <w:r>
              <w:rPr>
                <w:rFonts w:ascii="宋体" w:hAnsi="宋体" w:eastAsia="宋体" w:cs="宋体"/>
                <w:spacing w:val="-11"/>
                <w:sz w:val="20"/>
                <w:szCs w:val="20"/>
              </w:rPr>
              <w:t>0.41</w:t>
            </w:r>
          </w:p>
        </w:tc>
        <w:tc>
          <w:tcPr>
            <w:tcW w:w="889" w:type="dxa"/>
            <w:vAlign w:val="top"/>
          </w:tcPr>
          <w:p>
            <w:pPr>
              <w:spacing w:before="113" w:line="222" w:lineRule="auto"/>
              <w:ind w:left="280"/>
              <w:rPr>
                <w:rFonts w:ascii="宋体" w:hAnsi="宋体" w:eastAsia="宋体" w:cs="宋体"/>
                <w:sz w:val="20"/>
                <w:szCs w:val="20"/>
              </w:rPr>
            </w:pPr>
            <w:r>
              <w:rPr>
                <w:rFonts w:ascii="宋体" w:hAnsi="宋体" w:eastAsia="宋体" w:cs="宋体"/>
                <w:spacing w:val="-15"/>
                <w:sz w:val="20"/>
                <w:szCs w:val="20"/>
              </w:rPr>
              <w:t>1.18</w:t>
            </w:r>
          </w:p>
        </w:tc>
        <w:tc>
          <w:tcPr>
            <w:tcW w:w="1126" w:type="dxa"/>
            <w:vAlign w:val="top"/>
          </w:tcPr>
          <w:p>
            <w:pPr>
              <w:spacing w:before="113" w:line="222" w:lineRule="auto"/>
              <w:ind w:left="383"/>
              <w:rPr>
                <w:rFonts w:ascii="宋体" w:hAnsi="宋体" w:eastAsia="宋体" w:cs="宋体"/>
                <w:sz w:val="20"/>
                <w:szCs w:val="20"/>
              </w:rPr>
            </w:pPr>
            <w:r>
              <w:rPr>
                <w:rFonts w:ascii="宋体" w:hAnsi="宋体" w:eastAsia="宋体" w:cs="宋体"/>
                <w:spacing w:val="-11"/>
                <w:sz w:val="20"/>
                <w:szCs w:val="20"/>
              </w:rPr>
              <w:t>0.42</w:t>
            </w:r>
          </w:p>
        </w:tc>
        <w:tc>
          <w:tcPr>
            <w:tcW w:w="1317" w:type="dxa"/>
            <w:vAlign w:val="top"/>
          </w:tcPr>
          <w:p>
            <w:pPr>
              <w:spacing w:before="113" w:line="222" w:lineRule="auto"/>
              <w:ind w:left="479"/>
              <w:rPr>
                <w:rFonts w:ascii="宋体" w:hAnsi="宋体" w:eastAsia="宋体" w:cs="宋体"/>
                <w:sz w:val="20"/>
                <w:szCs w:val="20"/>
              </w:rPr>
            </w:pPr>
            <w:r>
              <w:rPr>
                <w:rFonts w:ascii="宋体" w:hAnsi="宋体" w:eastAsia="宋体" w:cs="宋体"/>
                <w:spacing w:val="-11"/>
                <w:sz w:val="20"/>
                <w:szCs w:val="20"/>
              </w:rPr>
              <w:t>0.47</w:t>
            </w:r>
          </w:p>
        </w:tc>
        <w:tc>
          <w:tcPr>
            <w:tcW w:w="1149" w:type="dxa"/>
            <w:vAlign w:val="top"/>
          </w:tcPr>
          <w:p>
            <w:pPr>
              <w:spacing w:before="113" w:line="222" w:lineRule="auto"/>
              <w:ind w:left="398"/>
              <w:rPr>
                <w:rFonts w:ascii="宋体" w:hAnsi="宋体" w:eastAsia="宋体" w:cs="宋体"/>
                <w:sz w:val="20"/>
                <w:szCs w:val="20"/>
              </w:rPr>
            </w:pPr>
            <w:r>
              <w:rPr>
                <w:rFonts w:ascii="宋体" w:hAnsi="宋体" w:eastAsia="宋体" w:cs="宋体"/>
                <w:spacing w:val="-11"/>
                <w:sz w:val="20"/>
                <w:szCs w:val="20"/>
              </w:rPr>
              <w:t>0.09</w:t>
            </w:r>
          </w:p>
        </w:tc>
        <w:tc>
          <w:tcPr>
            <w:tcW w:w="1279" w:type="dxa"/>
            <w:tcBorders>
              <w:right w:val="single" w:color="000000" w:sz="6" w:space="0"/>
            </w:tcBorders>
            <w:vAlign w:val="top"/>
          </w:tcPr>
          <w:p>
            <w:pPr>
              <w:spacing w:before="113" w:line="222" w:lineRule="auto"/>
              <w:ind w:left="461"/>
              <w:rPr>
                <w:rFonts w:ascii="宋体" w:hAnsi="宋体" w:eastAsia="宋体" w:cs="宋体"/>
                <w:sz w:val="20"/>
                <w:szCs w:val="20"/>
              </w:rPr>
            </w:pPr>
            <w:r>
              <w:rPr>
                <w:rFonts w:ascii="宋体" w:hAnsi="宋体" w:eastAsia="宋体" w:cs="宋体"/>
                <w:spacing w:val="-11"/>
                <w:sz w:val="20"/>
                <w:szCs w:val="20"/>
              </w:rPr>
              <w:t>0.71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20" w:line="216" w:lineRule="auto"/>
              <w:ind w:left="570"/>
              <w:rPr>
                <w:rFonts w:ascii="宋体" w:hAnsi="宋体" w:eastAsia="宋体" w:cs="宋体"/>
                <w:sz w:val="20"/>
                <w:szCs w:val="20"/>
              </w:rPr>
            </w:pPr>
            <w:r>
              <w:rPr>
                <w:rFonts w:ascii="宋体" w:hAnsi="宋体" w:eastAsia="宋体" w:cs="宋体"/>
                <w:spacing w:val="9"/>
                <w:sz w:val="20"/>
                <w:szCs w:val="20"/>
              </w:rPr>
              <w:t>燃气工程</w:t>
            </w:r>
          </w:p>
        </w:tc>
        <w:tc>
          <w:tcPr>
            <w:tcW w:w="857" w:type="dxa"/>
            <w:vAlign w:val="top"/>
          </w:tcPr>
          <w:p>
            <w:pPr>
              <w:spacing w:before="114" w:line="221" w:lineRule="auto"/>
              <w:ind w:left="245"/>
              <w:rPr>
                <w:rFonts w:ascii="宋体" w:hAnsi="宋体" w:eastAsia="宋体" w:cs="宋体"/>
                <w:sz w:val="20"/>
                <w:szCs w:val="20"/>
              </w:rPr>
            </w:pPr>
            <w:r>
              <w:rPr>
                <w:rFonts w:ascii="宋体" w:hAnsi="宋体" w:eastAsia="宋体" w:cs="宋体"/>
                <w:spacing w:val="-11"/>
                <w:sz w:val="20"/>
                <w:szCs w:val="20"/>
              </w:rPr>
              <w:t>0.94</w:t>
            </w:r>
          </w:p>
        </w:tc>
        <w:tc>
          <w:tcPr>
            <w:tcW w:w="889" w:type="dxa"/>
            <w:vAlign w:val="top"/>
          </w:tcPr>
          <w:p>
            <w:pPr>
              <w:spacing w:before="114" w:line="221" w:lineRule="auto"/>
              <w:ind w:left="280"/>
              <w:rPr>
                <w:rFonts w:ascii="宋体" w:hAnsi="宋体" w:eastAsia="宋体" w:cs="宋体"/>
                <w:sz w:val="20"/>
                <w:szCs w:val="20"/>
              </w:rPr>
            </w:pPr>
            <w:r>
              <w:rPr>
                <w:rFonts w:ascii="宋体" w:hAnsi="宋体" w:eastAsia="宋体" w:cs="宋体"/>
                <w:spacing w:val="-15"/>
                <w:sz w:val="20"/>
                <w:szCs w:val="20"/>
              </w:rPr>
              <w:t>1.18</w:t>
            </w:r>
          </w:p>
        </w:tc>
        <w:tc>
          <w:tcPr>
            <w:tcW w:w="1126" w:type="dxa"/>
            <w:vAlign w:val="top"/>
          </w:tcPr>
          <w:p>
            <w:pPr>
              <w:spacing w:before="114" w:line="221" w:lineRule="auto"/>
              <w:ind w:left="383"/>
              <w:rPr>
                <w:rFonts w:ascii="宋体" w:hAnsi="宋体" w:eastAsia="宋体" w:cs="宋体"/>
                <w:sz w:val="20"/>
                <w:szCs w:val="20"/>
              </w:rPr>
            </w:pPr>
            <w:r>
              <w:rPr>
                <w:rFonts w:ascii="宋体" w:hAnsi="宋体" w:eastAsia="宋体" w:cs="宋体"/>
                <w:spacing w:val="-11"/>
                <w:sz w:val="20"/>
                <w:szCs w:val="20"/>
              </w:rPr>
              <w:t>0.95</w:t>
            </w:r>
          </w:p>
        </w:tc>
        <w:tc>
          <w:tcPr>
            <w:tcW w:w="1317" w:type="dxa"/>
            <w:vAlign w:val="top"/>
          </w:tcPr>
          <w:p>
            <w:pPr>
              <w:spacing w:before="114" w:line="221" w:lineRule="auto"/>
              <w:ind w:left="479"/>
              <w:rPr>
                <w:rFonts w:ascii="宋体" w:hAnsi="宋体" w:eastAsia="宋体" w:cs="宋体"/>
                <w:sz w:val="20"/>
                <w:szCs w:val="20"/>
              </w:rPr>
            </w:pPr>
            <w:r>
              <w:rPr>
                <w:rFonts w:ascii="宋体" w:hAnsi="宋体" w:eastAsia="宋体" w:cs="宋体"/>
                <w:spacing w:val="-11"/>
                <w:sz w:val="20"/>
                <w:szCs w:val="20"/>
              </w:rPr>
              <w:t>0.61</w:t>
            </w:r>
          </w:p>
        </w:tc>
        <w:tc>
          <w:tcPr>
            <w:tcW w:w="1149" w:type="dxa"/>
            <w:vAlign w:val="top"/>
          </w:tcPr>
          <w:p>
            <w:pPr>
              <w:spacing w:before="114" w:line="221" w:lineRule="auto"/>
              <w:ind w:left="398"/>
              <w:rPr>
                <w:rFonts w:ascii="宋体" w:hAnsi="宋体" w:eastAsia="宋体" w:cs="宋体"/>
                <w:sz w:val="20"/>
                <w:szCs w:val="20"/>
              </w:rPr>
            </w:pPr>
            <w:r>
              <w:rPr>
                <w:rFonts w:ascii="宋体" w:hAnsi="宋体" w:eastAsia="宋体" w:cs="宋体"/>
                <w:spacing w:val="-11"/>
                <w:sz w:val="20"/>
                <w:szCs w:val="20"/>
              </w:rPr>
              <w:t>0.62</w:t>
            </w:r>
          </w:p>
        </w:tc>
        <w:tc>
          <w:tcPr>
            <w:tcW w:w="1279" w:type="dxa"/>
            <w:tcBorders>
              <w:right w:val="single" w:color="000000" w:sz="6" w:space="0"/>
            </w:tcBorders>
            <w:vAlign w:val="top"/>
          </w:tcPr>
          <w:p>
            <w:pPr>
              <w:spacing w:before="114" w:line="221" w:lineRule="auto"/>
              <w:ind w:left="461"/>
              <w:rPr>
                <w:rFonts w:ascii="宋体" w:hAnsi="宋体" w:eastAsia="宋体" w:cs="宋体"/>
                <w:sz w:val="20"/>
                <w:szCs w:val="20"/>
              </w:rPr>
            </w:pPr>
            <w:r>
              <w:rPr>
                <w:rFonts w:ascii="宋体" w:hAnsi="宋体" w:eastAsia="宋体" w:cs="宋体"/>
                <w:spacing w:val="-11"/>
                <w:sz w:val="20"/>
                <w:szCs w:val="20"/>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5" w:line="220" w:lineRule="auto"/>
              <w:ind w:left="572"/>
              <w:rPr>
                <w:rFonts w:ascii="宋体" w:hAnsi="宋体" w:eastAsia="宋体" w:cs="宋体"/>
                <w:sz w:val="20"/>
                <w:szCs w:val="20"/>
              </w:rPr>
            </w:pPr>
            <w:r>
              <w:rPr>
                <w:rFonts w:ascii="宋体" w:hAnsi="宋体" w:eastAsia="宋体" w:cs="宋体"/>
                <w:spacing w:val="8"/>
                <w:sz w:val="20"/>
                <w:szCs w:val="20"/>
              </w:rPr>
              <w:t>供热工程</w:t>
            </w:r>
          </w:p>
        </w:tc>
        <w:tc>
          <w:tcPr>
            <w:tcW w:w="857" w:type="dxa"/>
            <w:vAlign w:val="top"/>
          </w:tcPr>
          <w:p>
            <w:pPr>
              <w:spacing w:before="115" w:line="220" w:lineRule="auto"/>
              <w:ind w:left="245"/>
              <w:rPr>
                <w:rFonts w:ascii="宋体" w:hAnsi="宋体" w:eastAsia="宋体" w:cs="宋体"/>
                <w:sz w:val="20"/>
                <w:szCs w:val="20"/>
              </w:rPr>
            </w:pPr>
            <w:r>
              <w:rPr>
                <w:rFonts w:ascii="宋体" w:hAnsi="宋体" w:eastAsia="宋体" w:cs="宋体"/>
                <w:spacing w:val="-11"/>
                <w:sz w:val="20"/>
                <w:szCs w:val="20"/>
              </w:rPr>
              <w:t>0.92</w:t>
            </w:r>
          </w:p>
        </w:tc>
        <w:tc>
          <w:tcPr>
            <w:tcW w:w="889" w:type="dxa"/>
            <w:vAlign w:val="top"/>
          </w:tcPr>
          <w:p>
            <w:pPr>
              <w:spacing w:before="115" w:line="220" w:lineRule="auto"/>
              <w:ind w:left="280"/>
              <w:rPr>
                <w:rFonts w:ascii="宋体" w:hAnsi="宋体" w:eastAsia="宋体" w:cs="宋体"/>
                <w:sz w:val="20"/>
                <w:szCs w:val="20"/>
              </w:rPr>
            </w:pPr>
            <w:r>
              <w:rPr>
                <w:rFonts w:ascii="宋体" w:hAnsi="宋体" w:eastAsia="宋体" w:cs="宋体"/>
                <w:spacing w:val="-15"/>
                <w:sz w:val="20"/>
                <w:szCs w:val="20"/>
              </w:rPr>
              <w:t>1.22</w:t>
            </w:r>
          </w:p>
        </w:tc>
        <w:tc>
          <w:tcPr>
            <w:tcW w:w="1126" w:type="dxa"/>
            <w:vAlign w:val="top"/>
          </w:tcPr>
          <w:p>
            <w:pPr>
              <w:spacing w:before="115" w:line="220" w:lineRule="auto"/>
              <w:ind w:left="383"/>
              <w:rPr>
                <w:rFonts w:ascii="宋体" w:hAnsi="宋体" w:eastAsia="宋体" w:cs="宋体"/>
                <w:sz w:val="20"/>
                <w:szCs w:val="20"/>
              </w:rPr>
            </w:pPr>
            <w:r>
              <w:rPr>
                <w:rFonts w:ascii="宋体" w:hAnsi="宋体" w:eastAsia="宋体" w:cs="宋体"/>
                <w:spacing w:val="-11"/>
                <w:sz w:val="20"/>
                <w:szCs w:val="20"/>
              </w:rPr>
              <w:t>0.93</w:t>
            </w:r>
          </w:p>
        </w:tc>
        <w:tc>
          <w:tcPr>
            <w:tcW w:w="1317" w:type="dxa"/>
            <w:vAlign w:val="top"/>
          </w:tcPr>
          <w:p>
            <w:pPr>
              <w:spacing w:before="115" w:line="220" w:lineRule="auto"/>
              <w:ind w:left="479"/>
              <w:rPr>
                <w:rFonts w:ascii="宋体" w:hAnsi="宋体" w:eastAsia="宋体" w:cs="宋体"/>
                <w:sz w:val="20"/>
                <w:szCs w:val="20"/>
              </w:rPr>
            </w:pPr>
            <w:r>
              <w:rPr>
                <w:rFonts w:ascii="宋体" w:hAnsi="宋体" w:eastAsia="宋体" w:cs="宋体"/>
                <w:spacing w:val="-11"/>
                <w:sz w:val="20"/>
                <w:szCs w:val="20"/>
              </w:rPr>
              <w:t>0.49</w:t>
            </w:r>
          </w:p>
        </w:tc>
        <w:tc>
          <w:tcPr>
            <w:tcW w:w="1149" w:type="dxa"/>
            <w:vAlign w:val="top"/>
          </w:tcPr>
          <w:p>
            <w:pPr>
              <w:spacing w:before="115" w:line="220" w:lineRule="auto"/>
              <w:ind w:left="398"/>
              <w:rPr>
                <w:rFonts w:ascii="宋体" w:hAnsi="宋体" w:eastAsia="宋体" w:cs="宋体"/>
                <w:sz w:val="20"/>
                <w:szCs w:val="20"/>
              </w:rPr>
            </w:pPr>
            <w:r>
              <w:rPr>
                <w:rFonts w:ascii="宋体" w:hAnsi="宋体" w:eastAsia="宋体" w:cs="宋体"/>
                <w:spacing w:val="-11"/>
                <w:sz w:val="20"/>
                <w:szCs w:val="20"/>
              </w:rPr>
              <w:t>0.48</w:t>
            </w:r>
          </w:p>
        </w:tc>
        <w:tc>
          <w:tcPr>
            <w:tcW w:w="1279" w:type="dxa"/>
            <w:tcBorders>
              <w:right w:val="single" w:color="000000" w:sz="6" w:space="0"/>
            </w:tcBorders>
            <w:vAlign w:val="top"/>
          </w:tcPr>
          <w:p>
            <w:pPr>
              <w:spacing w:before="115" w:line="220" w:lineRule="auto"/>
              <w:ind w:left="461"/>
              <w:rPr>
                <w:rFonts w:ascii="宋体" w:hAnsi="宋体" w:eastAsia="宋体" w:cs="宋体"/>
                <w:sz w:val="20"/>
                <w:szCs w:val="20"/>
              </w:rPr>
            </w:pPr>
            <w:r>
              <w:rPr>
                <w:rFonts w:ascii="宋体" w:hAnsi="宋体" w:eastAsia="宋体" w:cs="宋体"/>
                <w:spacing w:val="-11"/>
                <w:sz w:val="20"/>
                <w:szCs w:val="20"/>
              </w:rPr>
              <w:t>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21" w:line="215" w:lineRule="auto"/>
              <w:ind w:left="466"/>
              <w:rPr>
                <w:rFonts w:ascii="宋体" w:hAnsi="宋体" w:eastAsia="宋体" w:cs="宋体"/>
                <w:sz w:val="20"/>
                <w:szCs w:val="20"/>
              </w:rPr>
            </w:pPr>
            <w:r>
              <w:rPr>
                <w:rFonts w:ascii="宋体" w:hAnsi="宋体" w:eastAsia="宋体" w:cs="宋体"/>
                <w:spacing w:val="9"/>
                <w:sz w:val="20"/>
                <w:szCs w:val="20"/>
              </w:rPr>
              <w:t>水处理工程</w:t>
            </w:r>
          </w:p>
        </w:tc>
        <w:tc>
          <w:tcPr>
            <w:tcW w:w="857" w:type="dxa"/>
            <w:vAlign w:val="top"/>
          </w:tcPr>
          <w:p>
            <w:pPr>
              <w:spacing w:before="115" w:line="220" w:lineRule="auto"/>
              <w:ind w:left="245"/>
              <w:rPr>
                <w:rFonts w:ascii="宋体" w:hAnsi="宋体" w:eastAsia="宋体" w:cs="宋体"/>
                <w:sz w:val="20"/>
                <w:szCs w:val="20"/>
              </w:rPr>
            </w:pPr>
            <w:r>
              <w:rPr>
                <w:rFonts w:ascii="宋体" w:hAnsi="宋体" w:eastAsia="宋体" w:cs="宋体"/>
                <w:spacing w:val="-11"/>
                <w:sz w:val="20"/>
                <w:szCs w:val="20"/>
              </w:rPr>
              <w:t>0.40</w:t>
            </w:r>
          </w:p>
        </w:tc>
        <w:tc>
          <w:tcPr>
            <w:tcW w:w="889" w:type="dxa"/>
            <w:vAlign w:val="top"/>
          </w:tcPr>
          <w:p>
            <w:pPr>
              <w:spacing w:before="115" w:line="220" w:lineRule="auto"/>
              <w:ind w:left="262"/>
              <w:rPr>
                <w:rFonts w:ascii="宋体" w:hAnsi="宋体" w:eastAsia="宋体" w:cs="宋体"/>
                <w:sz w:val="20"/>
                <w:szCs w:val="20"/>
              </w:rPr>
            </w:pPr>
            <w:r>
              <w:rPr>
                <w:rFonts w:ascii="宋体" w:hAnsi="宋体" w:eastAsia="宋体" w:cs="宋体"/>
                <w:spacing w:val="-11"/>
                <w:sz w:val="20"/>
                <w:szCs w:val="20"/>
              </w:rPr>
              <w:t>0.70</w:t>
            </w:r>
          </w:p>
        </w:tc>
        <w:tc>
          <w:tcPr>
            <w:tcW w:w="1126" w:type="dxa"/>
            <w:vAlign w:val="top"/>
          </w:tcPr>
          <w:p>
            <w:pPr>
              <w:spacing w:before="115" w:line="220" w:lineRule="auto"/>
              <w:ind w:left="383"/>
              <w:rPr>
                <w:rFonts w:ascii="宋体" w:hAnsi="宋体" w:eastAsia="宋体" w:cs="宋体"/>
                <w:sz w:val="20"/>
                <w:szCs w:val="20"/>
              </w:rPr>
            </w:pPr>
            <w:r>
              <w:rPr>
                <w:rFonts w:ascii="宋体" w:hAnsi="宋体" w:eastAsia="宋体" w:cs="宋体"/>
                <w:spacing w:val="-11"/>
                <w:sz w:val="20"/>
                <w:szCs w:val="20"/>
              </w:rPr>
              <w:t>0.41</w:t>
            </w:r>
          </w:p>
        </w:tc>
        <w:tc>
          <w:tcPr>
            <w:tcW w:w="1317" w:type="dxa"/>
            <w:vAlign w:val="top"/>
          </w:tcPr>
          <w:p>
            <w:pPr>
              <w:spacing w:before="115" w:line="220" w:lineRule="auto"/>
              <w:ind w:left="479"/>
              <w:rPr>
                <w:rFonts w:ascii="宋体" w:hAnsi="宋体" w:eastAsia="宋体" w:cs="宋体"/>
                <w:sz w:val="20"/>
                <w:szCs w:val="20"/>
              </w:rPr>
            </w:pPr>
            <w:r>
              <w:rPr>
                <w:rFonts w:ascii="宋体" w:hAnsi="宋体" w:eastAsia="宋体" w:cs="宋体"/>
                <w:spacing w:val="-11"/>
                <w:sz w:val="20"/>
                <w:szCs w:val="20"/>
              </w:rPr>
              <w:t>0.70</w:t>
            </w:r>
          </w:p>
        </w:tc>
        <w:tc>
          <w:tcPr>
            <w:tcW w:w="1149" w:type="dxa"/>
            <w:vAlign w:val="top"/>
          </w:tcPr>
          <w:p>
            <w:pPr>
              <w:spacing w:before="115" w:line="220" w:lineRule="auto"/>
              <w:ind w:left="398"/>
              <w:rPr>
                <w:rFonts w:ascii="宋体" w:hAnsi="宋体" w:eastAsia="宋体" w:cs="宋体"/>
                <w:sz w:val="20"/>
                <w:szCs w:val="20"/>
              </w:rPr>
            </w:pPr>
            <w:r>
              <w:rPr>
                <w:rFonts w:ascii="宋体" w:hAnsi="宋体" w:eastAsia="宋体" w:cs="宋体"/>
                <w:spacing w:val="-11"/>
                <w:sz w:val="20"/>
                <w:szCs w:val="20"/>
              </w:rPr>
              <w:t>0.09</w:t>
            </w:r>
          </w:p>
        </w:tc>
        <w:tc>
          <w:tcPr>
            <w:tcW w:w="1279" w:type="dxa"/>
            <w:tcBorders>
              <w:right w:val="single" w:color="000000" w:sz="6" w:space="0"/>
            </w:tcBorders>
            <w:vAlign w:val="top"/>
          </w:tcPr>
          <w:p>
            <w:pPr>
              <w:spacing w:before="115" w:line="220" w:lineRule="auto"/>
              <w:ind w:left="461"/>
              <w:rPr>
                <w:rFonts w:ascii="宋体" w:hAnsi="宋体" w:eastAsia="宋体" w:cs="宋体"/>
                <w:sz w:val="20"/>
                <w:szCs w:val="20"/>
              </w:rPr>
            </w:pPr>
            <w:r>
              <w:rPr>
                <w:rFonts w:ascii="宋体" w:hAnsi="宋体" w:eastAsia="宋体" w:cs="宋体"/>
                <w:spacing w:val="-11"/>
                <w:sz w:val="20"/>
                <w:szCs w:val="20"/>
              </w:rPr>
              <w:t>0.23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25" w:line="211" w:lineRule="auto"/>
              <w:ind w:left="364"/>
              <w:rPr>
                <w:rFonts w:ascii="宋体" w:hAnsi="宋体" w:eastAsia="宋体" w:cs="宋体"/>
                <w:sz w:val="20"/>
                <w:szCs w:val="20"/>
              </w:rPr>
            </w:pPr>
            <w:r>
              <w:rPr>
                <w:rFonts w:ascii="宋体" w:hAnsi="宋体" w:eastAsia="宋体" w:cs="宋体"/>
                <w:spacing w:val="8"/>
                <w:sz w:val="20"/>
                <w:szCs w:val="20"/>
              </w:rPr>
              <w:t>垃圾处理工程</w:t>
            </w:r>
          </w:p>
        </w:tc>
        <w:tc>
          <w:tcPr>
            <w:tcW w:w="857" w:type="dxa"/>
            <w:vAlign w:val="top"/>
          </w:tcPr>
          <w:p>
            <w:pPr>
              <w:spacing w:before="116" w:line="219" w:lineRule="auto"/>
              <w:ind w:left="245"/>
              <w:rPr>
                <w:rFonts w:ascii="宋体" w:hAnsi="宋体" w:eastAsia="宋体" w:cs="宋体"/>
                <w:sz w:val="20"/>
                <w:szCs w:val="20"/>
              </w:rPr>
            </w:pPr>
            <w:r>
              <w:rPr>
                <w:rFonts w:ascii="宋体" w:hAnsi="宋体" w:eastAsia="宋体" w:cs="宋体"/>
                <w:spacing w:val="-11"/>
                <w:sz w:val="20"/>
                <w:szCs w:val="20"/>
              </w:rPr>
              <w:t>0.75</w:t>
            </w:r>
          </w:p>
        </w:tc>
        <w:tc>
          <w:tcPr>
            <w:tcW w:w="889" w:type="dxa"/>
            <w:vAlign w:val="top"/>
          </w:tcPr>
          <w:p>
            <w:pPr>
              <w:spacing w:before="116" w:line="219" w:lineRule="auto"/>
              <w:ind w:left="280"/>
              <w:rPr>
                <w:rFonts w:ascii="宋体" w:hAnsi="宋体" w:eastAsia="宋体" w:cs="宋体"/>
                <w:sz w:val="20"/>
                <w:szCs w:val="20"/>
              </w:rPr>
            </w:pPr>
            <w:r>
              <w:rPr>
                <w:rFonts w:ascii="宋体" w:hAnsi="宋体" w:eastAsia="宋体" w:cs="宋体"/>
                <w:spacing w:val="-15"/>
                <w:sz w:val="20"/>
                <w:szCs w:val="20"/>
              </w:rPr>
              <w:t>1.24</w:t>
            </w:r>
          </w:p>
        </w:tc>
        <w:tc>
          <w:tcPr>
            <w:tcW w:w="1126" w:type="dxa"/>
            <w:vAlign w:val="top"/>
          </w:tcPr>
          <w:p>
            <w:pPr>
              <w:spacing w:before="116" w:line="219" w:lineRule="auto"/>
              <w:ind w:left="383"/>
              <w:rPr>
                <w:rFonts w:ascii="宋体" w:hAnsi="宋体" w:eastAsia="宋体" w:cs="宋体"/>
                <w:sz w:val="20"/>
                <w:szCs w:val="20"/>
              </w:rPr>
            </w:pPr>
            <w:r>
              <w:rPr>
                <w:rFonts w:ascii="宋体" w:hAnsi="宋体" w:eastAsia="宋体" w:cs="宋体"/>
                <w:spacing w:val="-11"/>
                <w:sz w:val="20"/>
                <w:szCs w:val="20"/>
              </w:rPr>
              <w:t>0.77</w:t>
            </w:r>
          </w:p>
        </w:tc>
        <w:tc>
          <w:tcPr>
            <w:tcW w:w="1317" w:type="dxa"/>
            <w:vAlign w:val="top"/>
          </w:tcPr>
          <w:p>
            <w:pPr>
              <w:spacing w:before="116" w:line="219" w:lineRule="auto"/>
              <w:ind w:left="479"/>
              <w:rPr>
                <w:rFonts w:ascii="宋体" w:hAnsi="宋体" w:eastAsia="宋体" w:cs="宋体"/>
                <w:sz w:val="20"/>
                <w:szCs w:val="20"/>
              </w:rPr>
            </w:pPr>
            <w:r>
              <w:rPr>
                <w:rFonts w:ascii="宋体" w:hAnsi="宋体" w:eastAsia="宋体" w:cs="宋体"/>
                <w:spacing w:val="-11"/>
                <w:sz w:val="20"/>
                <w:szCs w:val="20"/>
              </w:rPr>
              <w:t>0.54</w:t>
            </w:r>
          </w:p>
        </w:tc>
        <w:tc>
          <w:tcPr>
            <w:tcW w:w="1149" w:type="dxa"/>
            <w:vAlign w:val="top"/>
          </w:tcPr>
          <w:p>
            <w:pPr>
              <w:spacing w:before="116" w:line="219" w:lineRule="auto"/>
              <w:ind w:left="398"/>
              <w:rPr>
                <w:rFonts w:ascii="宋体" w:hAnsi="宋体" w:eastAsia="宋体" w:cs="宋体"/>
                <w:sz w:val="20"/>
                <w:szCs w:val="20"/>
              </w:rPr>
            </w:pPr>
            <w:r>
              <w:rPr>
                <w:rFonts w:ascii="宋体" w:hAnsi="宋体" w:eastAsia="宋体" w:cs="宋体"/>
                <w:spacing w:val="-11"/>
                <w:sz w:val="20"/>
                <w:szCs w:val="20"/>
              </w:rPr>
              <w:t>0.18</w:t>
            </w:r>
          </w:p>
        </w:tc>
        <w:tc>
          <w:tcPr>
            <w:tcW w:w="1279" w:type="dxa"/>
            <w:tcBorders>
              <w:right w:val="single" w:color="000000" w:sz="6" w:space="0"/>
            </w:tcBorders>
            <w:vAlign w:val="top"/>
          </w:tcPr>
          <w:p>
            <w:pPr>
              <w:spacing w:before="116" w:line="219" w:lineRule="auto"/>
              <w:ind w:left="461"/>
              <w:rPr>
                <w:rFonts w:ascii="宋体" w:hAnsi="宋体" w:eastAsia="宋体" w:cs="宋体"/>
                <w:sz w:val="20"/>
                <w:szCs w:val="20"/>
              </w:rPr>
            </w:pPr>
            <w:r>
              <w:rPr>
                <w:rFonts w:ascii="宋体" w:hAnsi="宋体" w:eastAsia="宋体" w:cs="宋体"/>
                <w:spacing w:val="-11"/>
                <w:sz w:val="20"/>
                <w:szCs w:val="20"/>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tcBorders>
            <w:vAlign w:val="top"/>
          </w:tcPr>
          <w:p>
            <w:pPr>
              <w:pStyle w:val="6"/>
            </w:pPr>
          </w:p>
        </w:tc>
        <w:tc>
          <w:tcPr>
            <w:tcW w:w="1991" w:type="dxa"/>
            <w:vAlign w:val="top"/>
          </w:tcPr>
          <w:p>
            <w:pPr>
              <w:spacing w:before="125" w:line="211" w:lineRule="auto"/>
              <w:ind w:left="573"/>
              <w:rPr>
                <w:rFonts w:ascii="宋体" w:hAnsi="宋体" w:eastAsia="宋体" w:cs="宋体"/>
                <w:sz w:val="20"/>
                <w:szCs w:val="20"/>
              </w:rPr>
            </w:pPr>
            <w:r>
              <w:rPr>
                <w:rFonts w:ascii="宋体" w:hAnsi="宋体" w:eastAsia="宋体" w:cs="宋体"/>
                <w:spacing w:val="8"/>
                <w:sz w:val="20"/>
                <w:szCs w:val="20"/>
              </w:rPr>
              <w:t>路灯工程</w:t>
            </w:r>
          </w:p>
        </w:tc>
        <w:tc>
          <w:tcPr>
            <w:tcW w:w="857" w:type="dxa"/>
            <w:vAlign w:val="top"/>
          </w:tcPr>
          <w:p>
            <w:pPr>
              <w:spacing w:before="118" w:line="217" w:lineRule="auto"/>
              <w:ind w:left="245"/>
              <w:rPr>
                <w:rFonts w:ascii="宋体" w:hAnsi="宋体" w:eastAsia="宋体" w:cs="宋体"/>
                <w:sz w:val="20"/>
                <w:szCs w:val="20"/>
              </w:rPr>
            </w:pPr>
            <w:r>
              <w:rPr>
                <w:rFonts w:ascii="宋体" w:hAnsi="宋体" w:eastAsia="宋体" w:cs="宋体"/>
                <w:spacing w:val="-11"/>
                <w:sz w:val="20"/>
                <w:szCs w:val="20"/>
              </w:rPr>
              <w:t>0.53</w:t>
            </w:r>
          </w:p>
        </w:tc>
        <w:tc>
          <w:tcPr>
            <w:tcW w:w="889" w:type="dxa"/>
            <w:vAlign w:val="top"/>
          </w:tcPr>
          <w:p>
            <w:pPr>
              <w:spacing w:before="118" w:line="217" w:lineRule="auto"/>
              <w:ind w:left="262"/>
              <w:rPr>
                <w:rFonts w:ascii="宋体" w:hAnsi="宋体" w:eastAsia="宋体" w:cs="宋体"/>
                <w:sz w:val="20"/>
                <w:szCs w:val="20"/>
              </w:rPr>
            </w:pPr>
            <w:r>
              <w:rPr>
                <w:rFonts w:ascii="宋体" w:hAnsi="宋体" w:eastAsia="宋体" w:cs="宋体"/>
                <w:spacing w:val="-11"/>
                <w:sz w:val="20"/>
                <w:szCs w:val="20"/>
              </w:rPr>
              <w:t>0.75</w:t>
            </w:r>
          </w:p>
        </w:tc>
        <w:tc>
          <w:tcPr>
            <w:tcW w:w="1126" w:type="dxa"/>
            <w:vAlign w:val="top"/>
          </w:tcPr>
          <w:p>
            <w:pPr>
              <w:spacing w:before="118" w:line="217" w:lineRule="auto"/>
              <w:ind w:left="383"/>
              <w:rPr>
                <w:rFonts w:ascii="宋体" w:hAnsi="宋体" w:eastAsia="宋体" w:cs="宋体"/>
                <w:sz w:val="20"/>
                <w:szCs w:val="20"/>
              </w:rPr>
            </w:pPr>
            <w:r>
              <w:rPr>
                <w:rFonts w:ascii="宋体" w:hAnsi="宋体" w:eastAsia="宋体" w:cs="宋体"/>
                <w:spacing w:val="-11"/>
                <w:sz w:val="20"/>
                <w:szCs w:val="20"/>
              </w:rPr>
              <w:t>0.74</w:t>
            </w:r>
          </w:p>
        </w:tc>
        <w:tc>
          <w:tcPr>
            <w:tcW w:w="1317" w:type="dxa"/>
            <w:vAlign w:val="top"/>
          </w:tcPr>
          <w:p>
            <w:pPr>
              <w:spacing w:before="118" w:line="217" w:lineRule="auto"/>
              <w:ind w:left="479"/>
              <w:rPr>
                <w:rFonts w:ascii="宋体" w:hAnsi="宋体" w:eastAsia="宋体" w:cs="宋体"/>
                <w:sz w:val="20"/>
                <w:szCs w:val="20"/>
              </w:rPr>
            </w:pPr>
            <w:r>
              <w:rPr>
                <w:rFonts w:ascii="宋体" w:hAnsi="宋体" w:eastAsia="宋体" w:cs="宋体"/>
                <w:spacing w:val="-11"/>
                <w:sz w:val="20"/>
                <w:szCs w:val="20"/>
              </w:rPr>
              <w:t>0.68</w:t>
            </w:r>
          </w:p>
        </w:tc>
        <w:tc>
          <w:tcPr>
            <w:tcW w:w="1149" w:type="dxa"/>
            <w:vAlign w:val="top"/>
          </w:tcPr>
          <w:p>
            <w:pPr>
              <w:spacing w:before="118" w:line="217" w:lineRule="auto"/>
              <w:ind w:left="398"/>
              <w:rPr>
                <w:rFonts w:ascii="宋体" w:hAnsi="宋体" w:eastAsia="宋体" w:cs="宋体"/>
                <w:sz w:val="20"/>
                <w:szCs w:val="20"/>
              </w:rPr>
            </w:pPr>
            <w:r>
              <w:rPr>
                <w:rFonts w:ascii="宋体" w:hAnsi="宋体" w:eastAsia="宋体" w:cs="宋体"/>
                <w:spacing w:val="-11"/>
                <w:sz w:val="20"/>
                <w:szCs w:val="20"/>
              </w:rPr>
              <w:t>0.10</w:t>
            </w:r>
          </w:p>
        </w:tc>
        <w:tc>
          <w:tcPr>
            <w:tcW w:w="1279" w:type="dxa"/>
            <w:tcBorders>
              <w:right w:val="single" w:color="000000" w:sz="6" w:space="0"/>
            </w:tcBorders>
            <w:vAlign w:val="top"/>
          </w:tcPr>
          <w:p>
            <w:pPr>
              <w:spacing w:before="118" w:line="217" w:lineRule="auto"/>
              <w:ind w:left="461"/>
              <w:rPr>
                <w:rFonts w:ascii="宋体" w:hAnsi="宋体" w:eastAsia="宋体" w:cs="宋体"/>
                <w:sz w:val="20"/>
                <w:szCs w:val="20"/>
              </w:rPr>
            </w:pPr>
            <w:r>
              <w:rPr>
                <w:rFonts w:ascii="宋体" w:hAnsi="宋体" w:eastAsia="宋体" w:cs="宋体"/>
                <w:spacing w:val="-11"/>
                <w:sz w:val="20"/>
                <w:szCs w:val="20"/>
              </w:rPr>
              <w:t>0.46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3" w:hRule="atLeast"/>
        </w:trPr>
        <w:tc>
          <w:tcPr>
            <w:tcW w:w="758" w:type="dxa"/>
            <w:vMerge w:val="restart"/>
            <w:tcBorders>
              <w:left w:val="single" w:color="000000" w:sz="6" w:space="0"/>
              <w:bottom w:val="nil"/>
            </w:tcBorders>
            <w:vAlign w:val="top"/>
          </w:tcPr>
          <w:p>
            <w:pPr>
              <w:spacing w:before="130" w:line="218" w:lineRule="auto"/>
              <w:ind w:left="165"/>
              <w:rPr>
                <w:rFonts w:ascii="宋体" w:hAnsi="宋体" w:eastAsia="宋体" w:cs="宋体"/>
                <w:sz w:val="20"/>
                <w:szCs w:val="20"/>
              </w:rPr>
            </w:pPr>
            <w:r>
              <w:rPr>
                <w:rFonts w:ascii="宋体" w:hAnsi="宋体" w:eastAsia="宋体" w:cs="宋体"/>
                <w:spacing w:val="6"/>
                <w:sz w:val="20"/>
                <w:szCs w:val="20"/>
              </w:rPr>
              <w:t>市政</w:t>
            </w:r>
          </w:p>
          <w:p>
            <w:pPr>
              <w:spacing w:before="123" w:line="220" w:lineRule="auto"/>
              <w:ind w:left="164"/>
              <w:rPr>
                <w:rFonts w:ascii="宋体" w:hAnsi="宋体" w:eastAsia="宋体" w:cs="宋体"/>
                <w:sz w:val="20"/>
                <w:szCs w:val="20"/>
              </w:rPr>
            </w:pPr>
            <w:r>
              <w:rPr>
                <w:rFonts w:ascii="宋体" w:hAnsi="宋体" w:eastAsia="宋体" w:cs="宋体"/>
                <w:spacing w:val="6"/>
                <w:sz w:val="20"/>
                <w:szCs w:val="20"/>
              </w:rPr>
              <w:t>养护</w:t>
            </w:r>
          </w:p>
          <w:p>
            <w:pPr>
              <w:spacing w:before="121" w:line="220" w:lineRule="auto"/>
              <w:ind w:left="165"/>
              <w:rPr>
                <w:rFonts w:ascii="宋体" w:hAnsi="宋体" w:eastAsia="宋体" w:cs="宋体"/>
                <w:sz w:val="20"/>
                <w:szCs w:val="20"/>
              </w:rPr>
            </w:pPr>
            <w:r>
              <w:rPr>
                <w:rFonts w:ascii="宋体" w:hAnsi="宋体" w:eastAsia="宋体" w:cs="宋体"/>
                <w:spacing w:val="6"/>
                <w:sz w:val="20"/>
                <w:szCs w:val="20"/>
              </w:rPr>
              <w:t>维修</w:t>
            </w:r>
          </w:p>
          <w:p>
            <w:pPr>
              <w:spacing w:before="132" w:line="209" w:lineRule="auto"/>
              <w:ind w:left="165"/>
              <w:rPr>
                <w:rFonts w:ascii="宋体" w:hAnsi="宋体" w:eastAsia="宋体" w:cs="宋体"/>
                <w:sz w:val="20"/>
                <w:szCs w:val="20"/>
              </w:rPr>
            </w:pPr>
            <w:r>
              <w:rPr>
                <w:rFonts w:ascii="宋体" w:hAnsi="宋体" w:eastAsia="宋体" w:cs="宋体"/>
                <w:spacing w:val="6"/>
                <w:sz w:val="20"/>
                <w:szCs w:val="20"/>
              </w:rPr>
              <w:t>工程</w:t>
            </w:r>
          </w:p>
        </w:tc>
        <w:tc>
          <w:tcPr>
            <w:tcW w:w="1991" w:type="dxa"/>
            <w:vAlign w:val="top"/>
          </w:tcPr>
          <w:p>
            <w:pPr>
              <w:spacing w:before="125" w:line="271" w:lineRule="auto"/>
              <w:ind w:left="152" w:right="28" w:hanging="49"/>
              <w:rPr>
                <w:rFonts w:ascii="宋体" w:hAnsi="宋体" w:eastAsia="宋体" w:cs="宋体"/>
                <w:sz w:val="20"/>
                <w:szCs w:val="20"/>
              </w:rPr>
            </w:pPr>
            <w:r>
              <w:rPr>
                <w:rFonts w:ascii="宋体" w:hAnsi="宋体" w:eastAsia="宋体" w:cs="宋体"/>
                <w:spacing w:val="6"/>
                <w:sz w:val="20"/>
                <w:szCs w:val="20"/>
              </w:rPr>
              <w:t>道路、桥涵、隧道、</w:t>
            </w:r>
            <w:r>
              <w:rPr>
                <w:rFonts w:ascii="宋体" w:hAnsi="宋体" w:eastAsia="宋体" w:cs="宋体"/>
                <w:spacing w:val="9"/>
                <w:sz w:val="20"/>
                <w:szCs w:val="20"/>
              </w:rPr>
              <w:t>排水养护维修工程</w:t>
            </w:r>
          </w:p>
        </w:tc>
        <w:tc>
          <w:tcPr>
            <w:tcW w:w="857" w:type="dxa"/>
            <w:vAlign w:val="top"/>
          </w:tcPr>
          <w:p>
            <w:pPr>
              <w:spacing w:before="300" w:line="298" w:lineRule="exact"/>
              <w:ind w:left="263"/>
              <w:rPr>
                <w:rFonts w:ascii="宋体" w:hAnsi="宋体" w:eastAsia="宋体" w:cs="宋体"/>
                <w:sz w:val="20"/>
                <w:szCs w:val="20"/>
              </w:rPr>
            </w:pPr>
            <w:r>
              <w:rPr>
                <w:rFonts w:ascii="宋体" w:hAnsi="宋体" w:eastAsia="宋体" w:cs="宋体"/>
                <w:spacing w:val="-15"/>
                <w:position w:val="2"/>
                <w:sz w:val="20"/>
                <w:szCs w:val="20"/>
              </w:rPr>
              <w:t>1.16</w:t>
            </w:r>
          </w:p>
        </w:tc>
        <w:tc>
          <w:tcPr>
            <w:tcW w:w="889" w:type="dxa"/>
            <w:vAlign w:val="top"/>
          </w:tcPr>
          <w:p>
            <w:pPr>
              <w:spacing w:before="300" w:line="298" w:lineRule="exact"/>
              <w:ind w:left="280"/>
              <w:rPr>
                <w:rFonts w:ascii="宋体" w:hAnsi="宋体" w:eastAsia="宋体" w:cs="宋体"/>
                <w:sz w:val="20"/>
                <w:szCs w:val="20"/>
              </w:rPr>
            </w:pPr>
            <w:r>
              <w:rPr>
                <w:rFonts w:ascii="宋体" w:hAnsi="宋体" w:eastAsia="宋体" w:cs="宋体"/>
                <w:spacing w:val="-15"/>
                <w:position w:val="2"/>
                <w:sz w:val="20"/>
                <w:szCs w:val="20"/>
              </w:rPr>
              <w:t>1.44</w:t>
            </w:r>
          </w:p>
        </w:tc>
        <w:tc>
          <w:tcPr>
            <w:tcW w:w="1126" w:type="dxa"/>
            <w:vAlign w:val="top"/>
          </w:tcPr>
          <w:p>
            <w:pPr>
              <w:spacing w:before="300" w:line="298" w:lineRule="exact"/>
              <w:ind w:left="383"/>
              <w:rPr>
                <w:rFonts w:ascii="宋体" w:hAnsi="宋体" w:eastAsia="宋体" w:cs="宋体"/>
                <w:sz w:val="20"/>
                <w:szCs w:val="20"/>
              </w:rPr>
            </w:pPr>
            <w:r>
              <w:rPr>
                <w:rFonts w:ascii="宋体" w:hAnsi="宋体" w:eastAsia="宋体" w:cs="宋体"/>
                <w:spacing w:val="-11"/>
                <w:position w:val="2"/>
                <w:sz w:val="20"/>
                <w:szCs w:val="20"/>
              </w:rPr>
              <w:t>0.89</w:t>
            </w:r>
          </w:p>
        </w:tc>
        <w:tc>
          <w:tcPr>
            <w:tcW w:w="1317" w:type="dxa"/>
            <w:vAlign w:val="top"/>
          </w:tcPr>
          <w:p>
            <w:pPr>
              <w:spacing w:before="300" w:line="298" w:lineRule="exact"/>
              <w:ind w:left="479"/>
              <w:rPr>
                <w:rFonts w:ascii="宋体" w:hAnsi="宋体" w:eastAsia="宋体" w:cs="宋体"/>
                <w:sz w:val="20"/>
                <w:szCs w:val="20"/>
              </w:rPr>
            </w:pPr>
            <w:r>
              <w:rPr>
                <w:rFonts w:ascii="宋体" w:hAnsi="宋体" w:eastAsia="宋体" w:cs="宋体"/>
                <w:spacing w:val="-11"/>
                <w:position w:val="2"/>
                <w:sz w:val="20"/>
                <w:szCs w:val="20"/>
              </w:rPr>
              <w:t>0.40</w:t>
            </w:r>
          </w:p>
        </w:tc>
        <w:tc>
          <w:tcPr>
            <w:tcW w:w="1149" w:type="dxa"/>
            <w:vAlign w:val="top"/>
          </w:tcPr>
          <w:p>
            <w:pPr>
              <w:pStyle w:val="6"/>
              <w:spacing w:line="355" w:lineRule="auto"/>
            </w:pPr>
          </w:p>
          <w:p>
            <w:pPr>
              <w:spacing w:before="65" w:line="141" w:lineRule="exact"/>
              <w:ind w:left="527"/>
              <w:rPr>
                <w:rFonts w:ascii="宋体" w:hAnsi="宋体" w:eastAsia="宋体" w:cs="宋体"/>
                <w:sz w:val="20"/>
                <w:szCs w:val="20"/>
              </w:rPr>
            </w:pPr>
            <w:r>
              <w:rPr>
                <w:rFonts w:ascii="宋体" w:hAnsi="宋体" w:eastAsia="宋体" w:cs="宋体"/>
                <w:spacing w:val="5"/>
                <w:position w:val="-3"/>
                <w:sz w:val="20"/>
                <w:szCs w:val="20"/>
              </w:rPr>
              <w:t>-</w:t>
            </w:r>
          </w:p>
        </w:tc>
        <w:tc>
          <w:tcPr>
            <w:tcW w:w="1279" w:type="dxa"/>
            <w:tcBorders>
              <w:right w:val="single" w:color="000000" w:sz="6" w:space="0"/>
            </w:tcBorders>
            <w:vAlign w:val="top"/>
          </w:tcPr>
          <w:p>
            <w:pPr>
              <w:pStyle w:val="6"/>
              <w:spacing w:line="355" w:lineRule="auto"/>
            </w:pPr>
          </w:p>
          <w:p>
            <w:pPr>
              <w:spacing w:before="65" w:line="141" w:lineRule="exact"/>
              <w:ind w:left="590"/>
              <w:rPr>
                <w:rFonts w:ascii="宋体" w:hAnsi="宋体" w:eastAsia="宋体" w:cs="宋体"/>
                <w:sz w:val="20"/>
                <w:szCs w:val="20"/>
              </w:rPr>
            </w:pPr>
            <w:r>
              <w:rPr>
                <w:rFonts w:ascii="宋体" w:hAnsi="宋体" w:eastAsia="宋体" w:cs="宋体"/>
                <w:spacing w:val="5"/>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8" w:hRule="atLeast"/>
        </w:trPr>
        <w:tc>
          <w:tcPr>
            <w:tcW w:w="758" w:type="dxa"/>
            <w:vMerge w:val="continue"/>
            <w:tcBorders>
              <w:top w:val="nil"/>
              <w:left w:val="single" w:color="000000" w:sz="6" w:space="0"/>
              <w:bottom w:val="single" w:color="000000" w:sz="6" w:space="0"/>
            </w:tcBorders>
            <w:vAlign w:val="top"/>
          </w:tcPr>
          <w:p>
            <w:pPr>
              <w:pStyle w:val="6"/>
            </w:pPr>
          </w:p>
        </w:tc>
        <w:tc>
          <w:tcPr>
            <w:tcW w:w="1991" w:type="dxa"/>
            <w:tcBorders>
              <w:bottom w:val="single" w:color="000000" w:sz="6" w:space="0"/>
            </w:tcBorders>
            <w:vAlign w:val="top"/>
          </w:tcPr>
          <w:p>
            <w:pPr>
              <w:spacing w:before="121" w:line="280" w:lineRule="auto"/>
              <w:ind w:left="153" w:right="28" w:hanging="44"/>
              <w:rPr>
                <w:rFonts w:ascii="宋体" w:hAnsi="宋体" w:eastAsia="宋体" w:cs="宋体"/>
                <w:sz w:val="20"/>
                <w:szCs w:val="20"/>
              </w:rPr>
            </w:pPr>
            <w:r>
              <w:rPr>
                <w:rFonts w:ascii="宋体" w:hAnsi="宋体" w:eastAsia="宋体" w:cs="宋体"/>
                <w:spacing w:val="5"/>
                <w:sz w:val="20"/>
                <w:szCs w:val="20"/>
              </w:rPr>
              <w:t>给水、燃气、供热、</w:t>
            </w:r>
            <w:r>
              <w:rPr>
                <w:rFonts w:ascii="宋体" w:hAnsi="宋体" w:eastAsia="宋体" w:cs="宋体"/>
                <w:spacing w:val="9"/>
                <w:sz w:val="20"/>
                <w:szCs w:val="20"/>
              </w:rPr>
              <w:t>路灯养护维修工程</w:t>
            </w:r>
          </w:p>
        </w:tc>
        <w:tc>
          <w:tcPr>
            <w:tcW w:w="857" w:type="dxa"/>
            <w:tcBorders>
              <w:bottom w:val="single" w:color="000000" w:sz="6" w:space="0"/>
            </w:tcBorders>
            <w:vAlign w:val="top"/>
          </w:tcPr>
          <w:p>
            <w:pPr>
              <w:spacing w:before="301" w:line="299" w:lineRule="exact"/>
              <w:ind w:left="263"/>
              <w:rPr>
                <w:rFonts w:ascii="宋体" w:hAnsi="宋体" w:eastAsia="宋体" w:cs="宋体"/>
                <w:sz w:val="20"/>
                <w:szCs w:val="20"/>
              </w:rPr>
            </w:pPr>
            <w:r>
              <w:rPr>
                <w:rFonts w:ascii="宋体" w:hAnsi="宋体" w:eastAsia="宋体" w:cs="宋体"/>
                <w:spacing w:val="-15"/>
                <w:position w:val="2"/>
                <w:sz w:val="20"/>
                <w:szCs w:val="20"/>
              </w:rPr>
              <w:t>1.71</w:t>
            </w:r>
          </w:p>
        </w:tc>
        <w:tc>
          <w:tcPr>
            <w:tcW w:w="889" w:type="dxa"/>
            <w:tcBorders>
              <w:bottom w:val="single" w:color="000000" w:sz="6" w:space="0"/>
            </w:tcBorders>
            <w:vAlign w:val="top"/>
          </w:tcPr>
          <w:p>
            <w:pPr>
              <w:spacing w:before="301" w:line="299" w:lineRule="exact"/>
              <w:ind w:left="280"/>
              <w:rPr>
                <w:rFonts w:ascii="宋体" w:hAnsi="宋体" w:eastAsia="宋体" w:cs="宋体"/>
                <w:sz w:val="20"/>
                <w:szCs w:val="20"/>
              </w:rPr>
            </w:pPr>
            <w:r>
              <w:rPr>
                <w:rFonts w:ascii="宋体" w:hAnsi="宋体" w:eastAsia="宋体" w:cs="宋体"/>
                <w:spacing w:val="-15"/>
                <w:position w:val="2"/>
                <w:sz w:val="20"/>
                <w:szCs w:val="20"/>
              </w:rPr>
              <w:t>1.73</w:t>
            </w:r>
          </w:p>
        </w:tc>
        <w:tc>
          <w:tcPr>
            <w:tcW w:w="1126" w:type="dxa"/>
            <w:tcBorders>
              <w:bottom w:val="single" w:color="000000" w:sz="6" w:space="0"/>
            </w:tcBorders>
            <w:vAlign w:val="top"/>
          </w:tcPr>
          <w:p>
            <w:pPr>
              <w:spacing w:before="301" w:line="299" w:lineRule="exact"/>
              <w:ind w:left="401"/>
              <w:rPr>
                <w:rFonts w:ascii="宋体" w:hAnsi="宋体" w:eastAsia="宋体" w:cs="宋体"/>
                <w:sz w:val="20"/>
                <w:szCs w:val="20"/>
              </w:rPr>
            </w:pPr>
            <w:r>
              <w:rPr>
                <w:rFonts w:ascii="宋体" w:hAnsi="宋体" w:eastAsia="宋体" w:cs="宋体"/>
                <w:spacing w:val="-15"/>
                <w:position w:val="2"/>
                <w:sz w:val="20"/>
                <w:szCs w:val="20"/>
              </w:rPr>
              <w:t>1.81</w:t>
            </w:r>
          </w:p>
        </w:tc>
        <w:tc>
          <w:tcPr>
            <w:tcW w:w="1317" w:type="dxa"/>
            <w:tcBorders>
              <w:bottom w:val="single" w:color="000000" w:sz="6" w:space="0"/>
            </w:tcBorders>
            <w:vAlign w:val="top"/>
          </w:tcPr>
          <w:p>
            <w:pPr>
              <w:spacing w:before="301" w:line="299" w:lineRule="exact"/>
              <w:ind w:left="479"/>
              <w:rPr>
                <w:rFonts w:ascii="宋体" w:hAnsi="宋体" w:eastAsia="宋体" w:cs="宋体"/>
                <w:sz w:val="20"/>
                <w:szCs w:val="20"/>
              </w:rPr>
            </w:pPr>
            <w:r>
              <w:rPr>
                <w:rFonts w:ascii="宋体" w:hAnsi="宋体" w:eastAsia="宋体" w:cs="宋体"/>
                <w:spacing w:val="-11"/>
                <w:position w:val="2"/>
                <w:sz w:val="20"/>
                <w:szCs w:val="20"/>
              </w:rPr>
              <w:t>0.46</w:t>
            </w:r>
          </w:p>
        </w:tc>
        <w:tc>
          <w:tcPr>
            <w:tcW w:w="1149" w:type="dxa"/>
            <w:tcBorders>
              <w:bottom w:val="single" w:color="000000" w:sz="6" w:space="0"/>
            </w:tcBorders>
            <w:vAlign w:val="top"/>
          </w:tcPr>
          <w:p>
            <w:pPr>
              <w:pStyle w:val="6"/>
              <w:spacing w:line="357" w:lineRule="auto"/>
            </w:pPr>
          </w:p>
          <w:p>
            <w:pPr>
              <w:spacing w:before="65" w:line="141" w:lineRule="exact"/>
              <w:ind w:left="527"/>
              <w:rPr>
                <w:rFonts w:ascii="宋体" w:hAnsi="宋体" w:eastAsia="宋体" w:cs="宋体"/>
                <w:sz w:val="20"/>
                <w:szCs w:val="20"/>
              </w:rPr>
            </w:pPr>
            <w:r>
              <w:rPr>
                <w:rFonts w:ascii="宋体" w:hAnsi="宋体" w:eastAsia="宋体" w:cs="宋体"/>
                <w:spacing w:val="5"/>
                <w:position w:val="-3"/>
                <w:sz w:val="20"/>
                <w:szCs w:val="20"/>
              </w:rPr>
              <w:t>-</w:t>
            </w:r>
          </w:p>
        </w:tc>
        <w:tc>
          <w:tcPr>
            <w:tcW w:w="1279" w:type="dxa"/>
            <w:tcBorders>
              <w:bottom w:val="single" w:color="000000" w:sz="6" w:space="0"/>
              <w:right w:val="single" w:color="000000" w:sz="6" w:space="0"/>
            </w:tcBorders>
            <w:vAlign w:val="top"/>
          </w:tcPr>
          <w:p>
            <w:pPr>
              <w:pStyle w:val="6"/>
              <w:spacing w:line="357" w:lineRule="auto"/>
            </w:pPr>
          </w:p>
          <w:p>
            <w:pPr>
              <w:spacing w:before="65" w:line="141" w:lineRule="exact"/>
              <w:ind w:left="590"/>
              <w:rPr>
                <w:rFonts w:ascii="宋体" w:hAnsi="宋体" w:eastAsia="宋体" w:cs="宋体"/>
                <w:sz w:val="20"/>
                <w:szCs w:val="20"/>
              </w:rPr>
            </w:pPr>
            <w:r>
              <w:rPr>
                <w:rFonts w:ascii="宋体" w:hAnsi="宋体" w:eastAsia="宋体" w:cs="宋体"/>
                <w:spacing w:val="5"/>
                <w:position w:val="-3"/>
                <w:sz w:val="20"/>
                <w:szCs w:val="20"/>
              </w:rPr>
              <w:t>-</w:t>
            </w:r>
          </w:p>
        </w:tc>
      </w:tr>
    </w:tbl>
    <w:p>
      <w:pPr>
        <w:rPr>
          <w:rFonts w:ascii="Arial"/>
          <w:sz w:val="21"/>
        </w:rPr>
      </w:pPr>
    </w:p>
    <w:p>
      <w:pPr>
        <w:rPr>
          <w:rFonts w:ascii="Arial" w:hAnsi="Arial" w:eastAsia="Arial" w:cs="Arial"/>
          <w:sz w:val="21"/>
          <w:szCs w:val="21"/>
        </w:rPr>
        <w:sectPr>
          <w:footerReference r:id="rId119" w:type="default"/>
          <w:pgSz w:w="11906" w:h="16839"/>
          <w:pgMar w:top="400" w:right="1262" w:bottom="1212" w:left="1262" w:header="0" w:footer="897" w:gutter="0"/>
        </w:sect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2"/>
        <w:spacing w:before="86" w:line="209" w:lineRule="auto"/>
        <w:ind w:left="4062"/>
        <w:rPr>
          <w:sz w:val="20"/>
          <w:szCs w:val="20"/>
        </w:rPr>
      </w:pPr>
      <w:r>
        <w:rPr>
          <w:spacing w:val="6"/>
          <w:sz w:val="20"/>
          <w:szCs w:val="20"/>
        </w:rPr>
        <w:t>2.</w:t>
      </w:r>
      <w:r>
        <w:rPr>
          <w:spacing w:val="56"/>
          <w:w w:val="101"/>
          <w:sz w:val="20"/>
          <w:szCs w:val="20"/>
        </w:rPr>
        <w:t xml:space="preserve"> </w:t>
      </w:r>
      <w:r>
        <w:rPr>
          <w:spacing w:val="6"/>
          <w:sz w:val="20"/>
          <w:szCs w:val="20"/>
        </w:rPr>
        <w:t>简易计税法下</w:t>
      </w:r>
    </w:p>
    <w:p>
      <w:pPr>
        <w:spacing w:before="68" w:line="233" w:lineRule="auto"/>
        <w:ind w:left="8559"/>
        <w:rPr>
          <w:rFonts w:ascii="宋体" w:hAnsi="宋体" w:eastAsia="宋体" w:cs="宋体"/>
          <w:sz w:val="20"/>
          <w:szCs w:val="20"/>
        </w:rPr>
      </w:pPr>
      <w:r>
        <w:rPr>
          <w:rFonts w:ascii="宋体" w:hAnsi="宋体" w:eastAsia="宋体" w:cs="宋体"/>
          <w:spacing w:val="24"/>
          <w:sz w:val="20"/>
          <w:szCs w:val="20"/>
        </w:rPr>
        <w:t>单位：%</w:t>
      </w:r>
    </w:p>
    <w:tbl>
      <w:tblPr>
        <w:tblStyle w:val="5"/>
        <w:tblW w:w="9366" w:type="dxa"/>
        <w:tblInd w:w="1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1991"/>
        <w:gridCol w:w="857"/>
        <w:gridCol w:w="889"/>
        <w:gridCol w:w="1126"/>
        <w:gridCol w:w="1317"/>
        <w:gridCol w:w="1149"/>
        <w:gridCol w:w="12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8" w:hRule="atLeast"/>
        </w:trPr>
        <w:tc>
          <w:tcPr>
            <w:tcW w:w="2749" w:type="dxa"/>
            <w:gridSpan w:val="2"/>
            <w:tcBorders>
              <w:top w:val="single" w:color="000000" w:sz="6" w:space="0"/>
              <w:left w:val="single" w:color="000000" w:sz="6" w:space="0"/>
              <w:tl2br w:val="single" w:color="000000" w:sz="4" w:space="0"/>
            </w:tcBorders>
            <w:vAlign w:val="top"/>
          </w:tcPr>
          <w:p>
            <w:pPr>
              <w:spacing w:before="120" w:line="276" w:lineRule="auto"/>
              <w:ind w:left="106" w:right="325" w:firstLine="1480"/>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857" w:type="dxa"/>
            <w:tcBorders>
              <w:top w:val="single" w:color="000000" w:sz="6" w:space="0"/>
            </w:tcBorders>
            <w:vAlign w:val="top"/>
          </w:tcPr>
          <w:p>
            <w:pPr>
              <w:spacing w:before="128" w:line="272" w:lineRule="auto"/>
              <w:ind w:left="111" w:right="114" w:firstLine="107"/>
              <w:rPr>
                <w:rFonts w:ascii="宋体" w:hAnsi="宋体" w:eastAsia="宋体" w:cs="宋体"/>
                <w:sz w:val="20"/>
                <w:szCs w:val="20"/>
              </w:rPr>
            </w:pPr>
            <w:r>
              <w:rPr>
                <w:rFonts w:ascii="宋体" w:hAnsi="宋体" w:eastAsia="宋体" w:cs="宋体"/>
                <w:spacing w:val="6"/>
                <w:sz w:val="20"/>
                <w:szCs w:val="20"/>
              </w:rPr>
              <w:t>夜间</w:t>
            </w:r>
            <w:r>
              <w:rPr>
                <w:rFonts w:ascii="宋体" w:hAnsi="宋体" w:eastAsia="宋体" w:cs="宋体"/>
                <w:spacing w:val="8"/>
                <w:sz w:val="20"/>
                <w:szCs w:val="20"/>
              </w:rPr>
              <w:t>施工费</w:t>
            </w:r>
          </w:p>
        </w:tc>
        <w:tc>
          <w:tcPr>
            <w:tcW w:w="889" w:type="dxa"/>
            <w:tcBorders>
              <w:top w:val="single" w:color="000000" w:sz="6" w:space="0"/>
            </w:tcBorders>
            <w:vAlign w:val="top"/>
          </w:tcPr>
          <w:p>
            <w:pPr>
              <w:spacing w:before="130" w:line="271" w:lineRule="auto"/>
              <w:ind w:left="128" w:right="129"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126" w:type="dxa"/>
            <w:tcBorders>
              <w:top w:val="single" w:color="000000" w:sz="6" w:space="0"/>
            </w:tcBorders>
            <w:vAlign w:val="top"/>
          </w:tcPr>
          <w:p>
            <w:pPr>
              <w:spacing w:before="131" w:line="215" w:lineRule="auto"/>
              <w:ind w:left="145"/>
              <w:rPr>
                <w:rFonts w:ascii="宋体" w:hAnsi="宋体" w:eastAsia="宋体" w:cs="宋体"/>
                <w:sz w:val="20"/>
                <w:szCs w:val="20"/>
              </w:rPr>
            </w:pPr>
            <w:r>
              <w:rPr>
                <w:rFonts w:ascii="宋体" w:hAnsi="宋体" w:eastAsia="宋体" w:cs="宋体"/>
                <w:spacing w:val="8"/>
                <w:sz w:val="20"/>
                <w:szCs w:val="20"/>
              </w:rPr>
              <w:t>冬雨季施</w:t>
            </w:r>
          </w:p>
          <w:p>
            <w:pPr>
              <w:spacing w:before="65" w:line="219" w:lineRule="auto"/>
              <w:ind w:left="146"/>
              <w:rPr>
                <w:rFonts w:ascii="宋体" w:hAnsi="宋体" w:eastAsia="宋体" w:cs="宋体"/>
                <w:sz w:val="20"/>
                <w:szCs w:val="20"/>
              </w:rPr>
            </w:pPr>
            <w:r>
              <w:rPr>
                <w:rFonts w:ascii="宋体" w:hAnsi="宋体" w:eastAsia="宋体" w:cs="宋体"/>
                <w:spacing w:val="8"/>
                <w:sz w:val="20"/>
                <w:szCs w:val="20"/>
              </w:rPr>
              <w:t>工增加费</w:t>
            </w:r>
          </w:p>
        </w:tc>
        <w:tc>
          <w:tcPr>
            <w:tcW w:w="1317" w:type="dxa"/>
            <w:tcBorders>
              <w:top w:val="single" w:color="000000" w:sz="6" w:space="0"/>
            </w:tcBorders>
            <w:vAlign w:val="top"/>
          </w:tcPr>
          <w:p>
            <w:pPr>
              <w:spacing w:before="128" w:line="219" w:lineRule="auto"/>
              <w:ind w:left="152"/>
              <w:rPr>
                <w:rFonts w:ascii="宋体" w:hAnsi="宋体" w:eastAsia="宋体" w:cs="宋体"/>
                <w:sz w:val="20"/>
                <w:szCs w:val="20"/>
              </w:rPr>
            </w:pPr>
            <w:r>
              <w:rPr>
                <w:rFonts w:ascii="宋体" w:hAnsi="宋体" w:eastAsia="宋体" w:cs="宋体"/>
                <w:spacing w:val="5"/>
                <w:sz w:val="20"/>
                <w:szCs w:val="20"/>
              </w:rPr>
              <w:t>已完工程及</w:t>
            </w:r>
          </w:p>
          <w:p>
            <w:pPr>
              <w:spacing w:before="61" w:line="221" w:lineRule="auto"/>
              <w:ind w:left="132"/>
              <w:rPr>
                <w:rFonts w:ascii="宋体" w:hAnsi="宋体" w:eastAsia="宋体" w:cs="宋体"/>
                <w:sz w:val="20"/>
                <w:szCs w:val="20"/>
              </w:rPr>
            </w:pPr>
            <w:r>
              <w:rPr>
                <w:rFonts w:ascii="宋体" w:hAnsi="宋体" w:eastAsia="宋体" w:cs="宋体"/>
                <w:spacing w:val="9"/>
                <w:sz w:val="20"/>
                <w:szCs w:val="20"/>
              </w:rPr>
              <w:t>设备保护费</w:t>
            </w:r>
          </w:p>
        </w:tc>
        <w:tc>
          <w:tcPr>
            <w:tcW w:w="1149" w:type="dxa"/>
            <w:tcBorders>
              <w:top w:val="single" w:color="000000" w:sz="6" w:space="0"/>
            </w:tcBorders>
            <w:vAlign w:val="top"/>
          </w:tcPr>
          <w:p>
            <w:pPr>
              <w:spacing w:before="128" w:line="272" w:lineRule="auto"/>
              <w:ind w:left="269" w:right="150" w:hanging="109"/>
              <w:rPr>
                <w:rFonts w:ascii="宋体" w:hAnsi="宋体" w:eastAsia="宋体" w:cs="宋体"/>
                <w:sz w:val="20"/>
                <w:szCs w:val="20"/>
              </w:rPr>
            </w:pPr>
            <w:r>
              <w:rPr>
                <w:rFonts w:ascii="宋体" w:hAnsi="宋体" w:eastAsia="宋体" w:cs="宋体"/>
                <w:spacing w:val="8"/>
                <w:sz w:val="20"/>
                <w:szCs w:val="20"/>
              </w:rPr>
              <w:t>工程定位</w:t>
            </w:r>
            <w:r>
              <w:rPr>
                <w:rFonts w:ascii="宋体" w:hAnsi="宋体" w:eastAsia="宋体" w:cs="宋体"/>
                <w:spacing w:val="6"/>
                <w:sz w:val="20"/>
                <w:szCs w:val="20"/>
              </w:rPr>
              <w:t>复测费</w:t>
            </w:r>
          </w:p>
        </w:tc>
        <w:tc>
          <w:tcPr>
            <w:tcW w:w="1279" w:type="dxa"/>
            <w:tcBorders>
              <w:top w:val="single" w:color="000000" w:sz="6" w:space="0"/>
              <w:right w:val="single" w:color="000000" w:sz="6" w:space="0"/>
            </w:tcBorders>
            <w:vAlign w:val="top"/>
          </w:tcPr>
          <w:p>
            <w:pPr>
              <w:spacing w:before="128" w:line="272" w:lineRule="auto"/>
              <w:ind w:left="221" w:right="106" w:hanging="103"/>
              <w:rPr>
                <w:rFonts w:ascii="宋体" w:hAnsi="宋体" w:eastAsia="宋体" w:cs="宋体"/>
                <w:sz w:val="20"/>
                <w:szCs w:val="20"/>
              </w:rPr>
            </w:pPr>
            <w:r>
              <w:rPr>
                <w:rFonts w:ascii="宋体" w:hAnsi="宋体" w:eastAsia="宋体" w:cs="宋体"/>
                <w:spacing w:val="8"/>
                <w:sz w:val="20"/>
                <w:szCs w:val="20"/>
              </w:rPr>
              <w:t>地下管线交叉处理费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restart"/>
            <w:tcBorders>
              <w:left w:val="single" w:color="000000" w:sz="6" w:space="0"/>
              <w:bottom w:val="nil"/>
            </w:tcBorders>
            <w:vAlign w:val="top"/>
          </w:tcPr>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pStyle w:val="6"/>
              <w:spacing w:line="254" w:lineRule="auto"/>
            </w:pPr>
          </w:p>
          <w:p>
            <w:pPr>
              <w:spacing w:before="65" w:line="338" w:lineRule="auto"/>
              <w:ind w:left="165" w:right="170"/>
              <w:rPr>
                <w:rFonts w:ascii="宋体" w:hAnsi="宋体" w:eastAsia="宋体" w:cs="宋体"/>
                <w:sz w:val="20"/>
                <w:szCs w:val="20"/>
              </w:rPr>
            </w:pPr>
            <w:r>
              <w:rPr>
                <w:rFonts w:ascii="宋体" w:hAnsi="宋体" w:eastAsia="宋体" w:cs="宋体"/>
                <w:spacing w:val="6"/>
                <w:sz w:val="20"/>
                <w:szCs w:val="20"/>
              </w:rPr>
              <w:t>市政工程</w:t>
            </w:r>
          </w:p>
        </w:tc>
        <w:tc>
          <w:tcPr>
            <w:tcW w:w="1991" w:type="dxa"/>
            <w:vAlign w:val="top"/>
          </w:tcPr>
          <w:p>
            <w:pPr>
              <w:spacing w:before="113" w:line="220" w:lineRule="auto"/>
              <w:ind w:left="573"/>
              <w:rPr>
                <w:rFonts w:ascii="宋体" w:hAnsi="宋体" w:eastAsia="宋体" w:cs="宋体"/>
                <w:sz w:val="20"/>
                <w:szCs w:val="20"/>
              </w:rPr>
            </w:pPr>
            <w:r>
              <w:rPr>
                <w:rFonts w:ascii="宋体" w:hAnsi="宋体" w:eastAsia="宋体" w:cs="宋体"/>
                <w:spacing w:val="8"/>
                <w:sz w:val="20"/>
                <w:szCs w:val="20"/>
              </w:rPr>
              <w:t>道路工程</w:t>
            </w:r>
          </w:p>
        </w:tc>
        <w:tc>
          <w:tcPr>
            <w:tcW w:w="857" w:type="dxa"/>
            <w:vAlign w:val="top"/>
          </w:tcPr>
          <w:p>
            <w:pPr>
              <w:spacing w:before="108" w:line="227" w:lineRule="auto"/>
              <w:ind w:left="245"/>
              <w:rPr>
                <w:rFonts w:ascii="宋体" w:hAnsi="宋体" w:eastAsia="宋体" w:cs="宋体"/>
                <w:sz w:val="20"/>
                <w:szCs w:val="20"/>
              </w:rPr>
            </w:pPr>
            <w:r>
              <w:rPr>
                <w:rFonts w:ascii="宋体" w:hAnsi="宋体" w:eastAsia="宋体" w:cs="宋体"/>
                <w:spacing w:val="-11"/>
                <w:sz w:val="20"/>
                <w:szCs w:val="20"/>
              </w:rPr>
              <w:t>0.62</w:t>
            </w:r>
          </w:p>
        </w:tc>
        <w:tc>
          <w:tcPr>
            <w:tcW w:w="889" w:type="dxa"/>
            <w:vAlign w:val="top"/>
          </w:tcPr>
          <w:p>
            <w:pPr>
              <w:spacing w:before="108" w:line="227" w:lineRule="auto"/>
              <w:ind w:left="280"/>
              <w:rPr>
                <w:rFonts w:ascii="宋体" w:hAnsi="宋体" w:eastAsia="宋体" w:cs="宋体"/>
                <w:sz w:val="20"/>
                <w:szCs w:val="20"/>
              </w:rPr>
            </w:pPr>
            <w:r>
              <w:rPr>
                <w:rFonts w:ascii="宋体" w:hAnsi="宋体" w:eastAsia="宋体" w:cs="宋体"/>
                <w:spacing w:val="-15"/>
                <w:sz w:val="20"/>
                <w:szCs w:val="20"/>
              </w:rPr>
              <w:t>1.07</w:t>
            </w:r>
          </w:p>
        </w:tc>
        <w:tc>
          <w:tcPr>
            <w:tcW w:w="1126" w:type="dxa"/>
            <w:vAlign w:val="top"/>
          </w:tcPr>
          <w:p>
            <w:pPr>
              <w:spacing w:before="108" w:line="227" w:lineRule="auto"/>
              <w:ind w:left="383"/>
              <w:rPr>
                <w:rFonts w:ascii="宋体" w:hAnsi="宋体" w:eastAsia="宋体" w:cs="宋体"/>
                <w:sz w:val="20"/>
                <w:szCs w:val="20"/>
              </w:rPr>
            </w:pPr>
            <w:r>
              <w:rPr>
                <w:rFonts w:ascii="宋体" w:hAnsi="宋体" w:eastAsia="宋体" w:cs="宋体"/>
                <w:spacing w:val="-11"/>
                <w:sz w:val="20"/>
                <w:szCs w:val="20"/>
              </w:rPr>
              <w:t>0.39</w:t>
            </w:r>
          </w:p>
        </w:tc>
        <w:tc>
          <w:tcPr>
            <w:tcW w:w="1317" w:type="dxa"/>
            <w:vAlign w:val="top"/>
          </w:tcPr>
          <w:p>
            <w:pPr>
              <w:spacing w:before="108" w:line="227" w:lineRule="auto"/>
              <w:ind w:left="479"/>
              <w:rPr>
                <w:rFonts w:ascii="宋体" w:hAnsi="宋体" w:eastAsia="宋体" w:cs="宋体"/>
                <w:sz w:val="20"/>
                <w:szCs w:val="20"/>
              </w:rPr>
            </w:pPr>
            <w:r>
              <w:rPr>
                <w:rFonts w:ascii="宋体" w:hAnsi="宋体" w:eastAsia="宋体" w:cs="宋体"/>
                <w:spacing w:val="-11"/>
                <w:sz w:val="20"/>
                <w:szCs w:val="20"/>
              </w:rPr>
              <w:t>0.59</w:t>
            </w:r>
          </w:p>
        </w:tc>
        <w:tc>
          <w:tcPr>
            <w:tcW w:w="1149" w:type="dxa"/>
            <w:vAlign w:val="top"/>
          </w:tcPr>
          <w:p>
            <w:pPr>
              <w:spacing w:before="108" w:line="227" w:lineRule="auto"/>
              <w:ind w:left="398"/>
              <w:rPr>
                <w:rFonts w:ascii="宋体" w:hAnsi="宋体" w:eastAsia="宋体" w:cs="宋体"/>
                <w:sz w:val="20"/>
                <w:szCs w:val="20"/>
              </w:rPr>
            </w:pPr>
            <w:r>
              <w:rPr>
                <w:rFonts w:ascii="宋体" w:hAnsi="宋体" w:eastAsia="宋体" w:cs="宋体"/>
                <w:spacing w:val="-11"/>
                <w:sz w:val="20"/>
                <w:szCs w:val="20"/>
              </w:rPr>
              <w:t>0.12</w:t>
            </w:r>
          </w:p>
        </w:tc>
        <w:tc>
          <w:tcPr>
            <w:tcW w:w="1279" w:type="dxa"/>
            <w:tcBorders>
              <w:right w:val="single" w:color="000000" w:sz="6" w:space="0"/>
            </w:tcBorders>
            <w:vAlign w:val="top"/>
          </w:tcPr>
          <w:p>
            <w:pPr>
              <w:spacing w:before="108" w:line="227" w:lineRule="auto"/>
              <w:ind w:left="461"/>
              <w:rPr>
                <w:rFonts w:ascii="宋体" w:hAnsi="宋体" w:eastAsia="宋体" w:cs="宋体"/>
                <w:sz w:val="20"/>
                <w:szCs w:val="20"/>
              </w:rPr>
            </w:pPr>
            <w:r>
              <w:rPr>
                <w:rFonts w:ascii="宋体" w:hAnsi="宋体" w:eastAsia="宋体" w:cs="宋体"/>
                <w:spacing w:val="-11"/>
                <w:sz w:val="20"/>
                <w:szCs w:val="20"/>
              </w:rPr>
              <w:t>0.29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8" w:line="217" w:lineRule="auto"/>
              <w:ind w:left="573"/>
              <w:rPr>
                <w:rFonts w:ascii="宋体" w:hAnsi="宋体" w:eastAsia="宋体" w:cs="宋体"/>
                <w:sz w:val="20"/>
                <w:szCs w:val="20"/>
              </w:rPr>
            </w:pPr>
            <w:r>
              <w:rPr>
                <w:rFonts w:ascii="宋体" w:hAnsi="宋体" w:eastAsia="宋体" w:cs="宋体"/>
                <w:spacing w:val="8"/>
                <w:sz w:val="20"/>
                <w:szCs w:val="20"/>
              </w:rPr>
              <w:t>桥涵工程</w:t>
            </w:r>
          </w:p>
        </w:tc>
        <w:tc>
          <w:tcPr>
            <w:tcW w:w="857" w:type="dxa"/>
            <w:vAlign w:val="top"/>
          </w:tcPr>
          <w:p>
            <w:pPr>
              <w:spacing w:before="111" w:line="224" w:lineRule="auto"/>
              <w:ind w:left="245"/>
              <w:rPr>
                <w:rFonts w:ascii="宋体" w:hAnsi="宋体" w:eastAsia="宋体" w:cs="宋体"/>
                <w:sz w:val="20"/>
                <w:szCs w:val="20"/>
              </w:rPr>
            </w:pPr>
            <w:r>
              <w:rPr>
                <w:rFonts w:ascii="宋体" w:hAnsi="宋体" w:eastAsia="宋体" w:cs="宋体"/>
                <w:spacing w:val="-11"/>
                <w:sz w:val="20"/>
                <w:szCs w:val="20"/>
              </w:rPr>
              <w:t>0.38</w:t>
            </w:r>
          </w:p>
        </w:tc>
        <w:tc>
          <w:tcPr>
            <w:tcW w:w="889" w:type="dxa"/>
            <w:vAlign w:val="top"/>
          </w:tcPr>
          <w:p>
            <w:pPr>
              <w:spacing w:before="111" w:line="224" w:lineRule="auto"/>
              <w:ind w:left="280"/>
              <w:rPr>
                <w:rFonts w:ascii="宋体" w:hAnsi="宋体" w:eastAsia="宋体" w:cs="宋体"/>
                <w:sz w:val="20"/>
                <w:szCs w:val="20"/>
              </w:rPr>
            </w:pPr>
            <w:r>
              <w:rPr>
                <w:rFonts w:ascii="宋体" w:hAnsi="宋体" w:eastAsia="宋体" w:cs="宋体"/>
                <w:spacing w:val="-15"/>
                <w:sz w:val="20"/>
                <w:szCs w:val="20"/>
              </w:rPr>
              <w:t>1.53</w:t>
            </w:r>
          </w:p>
        </w:tc>
        <w:tc>
          <w:tcPr>
            <w:tcW w:w="1126" w:type="dxa"/>
            <w:vAlign w:val="top"/>
          </w:tcPr>
          <w:p>
            <w:pPr>
              <w:spacing w:before="111" w:line="224" w:lineRule="auto"/>
              <w:ind w:left="383"/>
              <w:rPr>
                <w:rFonts w:ascii="宋体" w:hAnsi="宋体" w:eastAsia="宋体" w:cs="宋体"/>
                <w:sz w:val="20"/>
                <w:szCs w:val="20"/>
              </w:rPr>
            </w:pPr>
            <w:r>
              <w:rPr>
                <w:rFonts w:ascii="宋体" w:hAnsi="宋体" w:eastAsia="宋体" w:cs="宋体"/>
                <w:spacing w:val="-11"/>
                <w:sz w:val="20"/>
                <w:szCs w:val="20"/>
              </w:rPr>
              <w:t>0.39</w:t>
            </w:r>
          </w:p>
        </w:tc>
        <w:tc>
          <w:tcPr>
            <w:tcW w:w="1317" w:type="dxa"/>
            <w:vAlign w:val="top"/>
          </w:tcPr>
          <w:p>
            <w:pPr>
              <w:spacing w:before="111" w:line="224" w:lineRule="auto"/>
              <w:ind w:left="479"/>
              <w:rPr>
                <w:rFonts w:ascii="宋体" w:hAnsi="宋体" w:eastAsia="宋体" w:cs="宋体"/>
                <w:sz w:val="20"/>
                <w:szCs w:val="20"/>
              </w:rPr>
            </w:pPr>
            <w:r>
              <w:rPr>
                <w:rFonts w:ascii="宋体" w:hAnsi="宋体" w:eastAsia="宋体" w:cs="宋体"/>
                <w:spacing w:val="-11"/>
                <w:sz w:val="20"/>
                <w:szCs w:val="20"/>
              </w:rPr>
              <w:t>0.64</w:t>
            </w:r>
          </w:p>
        </w:tc>
        <w:tc>
          <w:tcPr>
            <w:tcW w:w="1149" w:type="dxa"/>
            <w:vAlign w:val="top"/>
          </w:tcPr>
          <w:p>
            <w:pPr>
              <w:spacing w:before="111" w:line="224" w:lineRule="auto"/>
              <w:ind w:left="398"/>
              <w:rPr>
                <w:rFonts w:ascii="宋体" w:hAnsi="宋体" w:eastAsia="宋体" w:cs="宋体"/>
                <w:sz w:val="20"/>
                <w:szCs w:val="20"/>
              </w:rPr>
            </w:pPr>
            <w:r>
              <w:rPr>
                <w:rFonts w:ascii="宋体" w:hAnsi="宋体" w:eastAsia="宋体" w:cs="宋体"/>
                <w:spacing w:val="-11"/>
                <w:sz w:val="20"/>
                <w:szCs w:val="20"/>
              </w:rPr>
              <w:t>0.08</w:t>
            </w:r>
          </w:p>
        </w:tc>
        <w:tc>
          <w:tcPr>
            <w:tcW w:w="1279" w:type="dxa"/>
            <w:tcBorders>
              <w:right w:val="single" w:color="000000" w:sz="6" w:space="0"/>
            </w:tcBorders>
            <w:vAlign w:val="top"/>
          </w:tcPr>
          <w:p>
            <w:pPr>
              <w:spacing w:before="111" w:line="224" w:lineRule="auto"/>
              <w:ind w:left="461"/>
              <w:rPr>
                <w:rFonts w:ascii="宋体" w:hAnsi="宋体" w:eastAsia="宋体" w:cs="宋体"/>
                <w:sz w:val="20"/>
                <w:szCs w:val="20"/>
              </w:rPr>
            </w:pPr>
            <w:r>
              <w:rPr>
                <w:rFonts w:ascii="宋体" w:hAnsi="宋体" w:eastAsia="宋体" w:cs="宋体"/>
                <w:spacing w:val="-11"/>
                <w:sz w:val="20"/>
                <w:szCs w:val="20"/>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6" w:line="219" w:lineRule="auto"/>
              <w:ind w:left="584"/>
              <w:rPr>
                <w:rFonts w:ascii="宋体" w:hAnsi="宋体" w:eastAsia="宋体" w:cs="宋体"/>
                <w:sz w:val="20"/>
                <w:szCs w:val="20"/>
              </w:rPr>
            </w:pPr>
            <w:r>
              <w:rPr>
                <w:rFonts w:ascii="宋体" w:hAnsi="宋体" w:eastAsia="宋体" w:cs="宋体"/>
                <w:spacing w:val="5"/>
                <w:sz w:val="20"/>
                <w:szCs w:val="20"/>
              </w:rPr>
              <w:t>隧道工程</w:t>
            </w:r>
          </w:p>
        </w:tc>
        <w:tc>
          <w:tcPr>
            <w:tcW w:w="857" w:type="dxa"/>
            <w:vAlign w:val="top"/>
          </w:tcPr>
          <w:p>
            <w:pPr>
              <w:spacing w:before="112" w:line="223" w:lineRule="auto"/>
              <w:ind w:left="245"/>
              <w:rPr>
                <w:rFonts w:ascii="宋体" w:hAnsi="宋体" w:eastAsia="宋体" w:cs="宋体"/>
                <w:sz w:val="20"/>
                <w:szCs w:val="20"/>
              </w:rPr>
            </w:pPr>
            <w:r>
              <w:rPr>
                <w:rFonts w:ascii="宋体" w:hAnsi="宋体" w:eastAsia="宋体" w:cs="宋体"/>
                <w:spacing w:val="-11"/>
                <w:sz w:val="20"/>
                <w:szCs w:val="20"/>
              </w:rPr>
              <w:t>0.31</w:t>
            </w:r>
          </w:p>
        </w:tc>
        <w:tc>
          <w:tcPr>
            <w:tcW w:w="889" w:type="dxa"/>
            <w:vAlign w:val="top"/>
          </w:tcPr>
          <w:p>
            <w:pPr>
              <w:spacing w:before="112" w:line="223" w:lineRule="auto"/>
              <w:ind w:left="280"/>
              <w:rPr>
                <w:rFonts w:ascii="宋体" w:hAnsi="宋体" w:eastAsia="宋体" w:cs="宋体"/>
                <w:sz w:val="20"/>
                <w:szCs w:val="20"/>
              </w:rPr>
            </w:pPr>
            <w:r>
              <w:rPr>
                <w:rFonts w:ascii="宋体" w:hAnsi="宋体" w:eastAsia="宋体" w:cs="宋体"/>
                <w:spacing w:val="-15"/>
                <w:sz w:val="20"/>
                <w:szCs w:val="20"/>
              </w:rPr>
              <w:t>1.28</w:t>
            </w:r>
          </w:p>
        </w:tc>
        <w:tc>
          <w:tcPr>
            <w:tcW w:w="1126" w:type="dxa"/>
            <w:vAlign w:val="top"/>
          </w:tcPr>
          <w:p>
            <w:pPr>
              <w:spacing w:before="112" w:line="223" w:lineRule="auto"/>
              <w:ind w:left="383"/>
              <w:rPr>
                <w:rFonts w:ascii="宋体" w:hAnsi="宋体" w:eastAsia="宋体" w:cs="宋体"/>
                <w:sz w:val="20"/>
                <w:szCs w:val="20"/>
              </w:rPr>
            </w:pPr>
            <w:r>
              <w:rPr>
                <w:rFonts w:ascii="宋体" w:hAnsi="宋体" w:eastAsia="宋体" w:cs="宋体"/>
                <w:spacing w:val="-11"/>
                <w:sz w:val="20"/>
                <w:szCs w:val="20"/>
              </w:rPr>
              <w:t>0.32</w:t>
            </w:r>
          </w:p>
        </w:tc>
        <w:tc>
          <w:tcPr>
            <w:tcW w:w="1317" w:type="dxa"/>
            <w:vAlign w:val="top"/>
          </w:tcPr>
          <w:p>
            <w:pPr>
              <w:spacing w:before="112" w:line="223" w:lineRule="auto"/>
              <w:ind w:left="479"/>
              <w:rPr>
                <w:rFonts w:ascii="宋体" w:hAnsi="宋体" w:eastAsia="宋体" w:cs="宋体"/>
                <w:sz w:val="20"/>
                <w:szCs w:val="20"/>
              </w:rPr>
            </w:pPr>
            <w:r>
              <w:rPr>
                <w:rFonts w:ascii="宋体" w:hAnsi="宋体" w:eastAsia="宋体" w:cs="宋体"/>
                <w:spacing w:val="-11"/>
                <w:sz w:val="20"/>
                <w:szCs w:val="20"/>
              </w:rPr>
              <w:t>0.64</w:t>
            </w:r>
          </w:p>
        </w:tc>
        <w:tc>
          <w:tcPr>
            <w:tcW w:w="1149" w:type="dxa"/>
            <w:vAlign w:val="top"/>
          </w:tcPr>
          <w:p>
            <w:pPr>
              <w:spacing w:before="112" w:line="223" w:lineRule="auto"/>
              <w:ind w:left="398"/>
              <w:rPr>
                <w:rFonts w:ascii="宋体" w:hAnsi="宋体" w:eastAsia="宋体" w:cs="宋体"/>
                <w:sz w:val="20"/>
                <w:szCs w:val="20"/>
              </w:rPr>
            </w:pPr>
            <w:r>
              <w:rPr>
                <w:rFonts w:ascii="宋体" w:hAnsi="宋体" w:eastAsia="宋体" w:cs="宋体"/>
                <w:spacing w:val="-11"/>
                <w:sz w:val="20"/>
                <w:szCs w:val="20"/>
              </w:rPr>
              <w:t>0.07</w:t>
            </w:r>
          </w:p>
        </w:tc>
        <w:tc>
          <w:tcPr>
            <w:tcW w:w="1279" w:type="dxa"/>
            <w:tcBorders>
              <w:right w:val="single" w:color="000000" w:sz="6" w:space="0"/>
            </w:tcBorders>
            <w:vAlign w:val="top"/>
          </w:tcPr>
          <w:p>
            <w:pPr>
              <w:spacing w:before="112" w:line="223" w:lineRule="auto"/>
              <w:ind w:left="461"/>
              <w:rPr>
                <w:rFonts w:ascii="宋体" w:hAnsi="宋体" w:eastAsia="宋体" w:cs="宋体"/>
                <w:sz w:val="20"/>
                <w:szCs w:val="20"/>
              </w:rPr>
            </w:pPr>
            <w:r>
              <w:rPr>
                <w:rFonts w:ascii="宋体" w:hAnsi="宋体" w:eastAsia="宋体" w:cs="宋体"/>
                <w:spacing w:val="-11"/>
                <w:sz w:val="20"/>
                <w:szCs w:val="20"/>
              </w:rPr>
              <w:t>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7" w:line="218" w:lineRule="auto"/>
              <w:ind w:left="579"/>
              <w:rPr>
                <w:rFonts w:ascii="宋体" w:hAnsi="宋体" w:eastAsia="宋体" w:cs="宋体"/>
                <w:sz w:val="20"/>
                <w:szCs w:val="20"/>
              </w:rPr>
            </w:pPr>
            <w:r>
              <w:rPr>
                <w:rFonts w:ascii="宋体" w:hAnsi="宋体" w:eastAsia="宋体" w:cs="宋体"/>
                <w:spacing w:val="6"/>
                <w:sz w:val="20"/>
                <w:szCs w:val="20"/>
              </w:rPr>
              <w:t>给水工程</w:t>
            </w:r>
          </w:p>
        </w:tc>
        <w:tc>
          <w:tcPr>
            <w:tcW w:w="857" w:type="dxa"/>
            <w:vAlign w:val="top"/>
          </w:tcPr>
          <w:p>
            <w:pPr>
              <w:spacing w:before="112" w:line="223" w:lineRule="auto"/>
              <w:ind w:left="263"/>
              <w:rPr>
                <w:rFonts w:ascii="宋体" w:hAnsi="宋体" w:eastAsia="宋体" w:cs="宋体"/>
                <w:sz w:val="20"/>
                <w:szCs w:val="20"/>
              </w:rPr>
            </w:pPr>
            <w:r>
              <w:rPr>
                <w:rFonts w:ascii="宋体" w:hAnsi="宋体" w:eastAsia="宋体" w:cs="宋体"/>
                <w:spacing w:val="-15"/>
                <w:sz w:val="20"/>
                <w:szCs w:val="20"/>
              </w:rPr>
              <w:t>1.35</w:t>
            </w:r>
          </w:p>
        </w:tc>
        <w:tc>
          <w:tcPr>
            <w:tcW w:w="889" w:type="dxa"/>
            <w:vAlign w:val="top"/>
          </w:tcPr>
          <w:p>
            <w:pPr>
              <w:spacing w:before="112" w:line="223" w:lineRule="auto"/>
              <w:ind w:left="280"/>
              <w:rPr>
                <w:rFonts w:ascii="宋体" w:hAnsi="宋体" w:eastAsia="宋体" w:cs="宋体"/>
                <w:sz w:val="20"/>
                <w:szCs w:val="20"/>
              </w:rPr>
            </w:pPr>
            <w:r>
              <w:rPr>
                <w:rFonts w:ascii="宋体" w:hAnsi="宋体" w:eastAsia="宋体" w:cs="宋体"/>
                <w:spacing w:val="-15"/>
                <w:sz w:val="20"/>
                <w:szCs w:val="20"/>
              </w:rPr>
              <w:t>1.79</w:t>
            </w:r>
          </w:p>
        </w:tc>
        <w:tc>
          <w:tcPr>
            <w:tcW w:w="1126" w:type="dxa"/>
            <w:vAlign w:val="top"/>
          </w:tcPr>
          <w:p>
            <w:pPr>
              <w:spacing w:before="112" w:line="223" w:lineRule="auto"/>
              <w:ind w:left="401"/>
              <w:rPr>
                <w:rFonts w:ascii="宋体" w:hAnsi="宋体" w:eastAsia="宋体" w:cs="宋体"/>
                <w:sz w:val="20"/>
                <w:szCs w:val="20"/>
              </w:rPr>
            </w:pPr>
            <w:r>
              <w:rPr>
                <w:rFonts w:ascii="宋体" w:hAnsi="宋体" w:eastAsia="宋体" w:cs="宋体"/>
                <w:spacing w:val="-15"/>
                <w:sz w:val="20"/>
                <w:szCs w:val="20"/>
              </w:rPr>
              <w:t>1.36</w:t>
            </w:r>
          </w:p>
        </w:tc>
        <w:tc>
          <w:tcPr>
            <w:tcW w:w="1317" w:type="dxa"/>
            <w:vAlign w:val="top"/>
          </w:tcPr>
          <w:p>
            <w:pPr>
              <w:spacing w:before="112" w:line="223" w:lineRule="auto"/>
              <w:ind w:left="479"/>
              <w:rPr>
                <w:rFonts w:ascii="宋体" w:hAnsi="宋体" w:eastAsia="宋体" w:cs="宋体"/>
                <w:sz w:val="20"/>
                <w:szCs w:val="20"/>
              </w:rPr>
            </w:pPr>
            <w:r>
              <w:rPr>
                <w:rFonts w:ascii="宋体" w:hAnsi="宋体" w:eastAsia="宋体" w:cs="宋体"/>
                <w:spacing w:val="-11"/>
                <w:sz w:val="20"/>
                <w:szCs w:val="20"/>
              </w:rPr>
              <w:t>0.71</w:t>
            </w:r>
          </w:p>
        </w:tc>
        <w:tc>
          <w:tcPr>
            <w:tcW w:w="1149" w:type="dxa"/>
            <w:vAlign w:val="top"/>
          </w:tcPr>
          <w:p>
            <w:pPr>
              <w:spacing w:before="112" w:line="223" w:lineRule="auto"/>
              <w:ind w:left="398"/>
              <w:rPr>
                <w:rFonts w:ascii="宋体" w:hAnsi="宋体" w:eastAsia="宋体" w:cs="宋体"/>
                <w:sz w:val="20"/>
                <w:szCs w:val="20"/>
              </w:rPr>
            </w:pPr>
            <w:r>
              <w:rPr>
                <w:rFonts w:ascii="宋体" w:hAnsi="宋体" w:eastAsia="宋体" w:cs="宋体"/>
                <w:spacing w:val="-11"/>
                <w:sz w:val="20"/>
                <w:szCs w:val="20"/>
              </w:rPr>
              <w:t>0.30</w:t>
            </w:r>
          </w:p>
        </w:tc>
        <w:tc>
          <w:tcPr>
            <w:tcW w:w="1279" w:type="dxa"/>
            <w:tcBorders>
              <w:right w:val="single" w:color="000000" w:sz="6" w:space="0"/>
            </w:tcBorders>
            <w:vAlign w:val="top"/>
          </w:tcPr>
          <w:p>
            <w:pPr>
              <w:spacing w:before="112" w:line="223" w:lineRule="auto"/>
              <w:ind w:left="479"/>
              <w:rPr>
                <w:rFonts w:ascii="宋体" w:hAnsi="宋体" w:eastAsia="宋体" w:cs="宋体"/>
                <w:sz w:val="20"/>
                <w:szCs w:val="20"/>
              </w:rPr>
            </w:pPr>
            <w:r>
              <w:rPr>
                <w:rFonts w:ascii="宋体" w:hAnsi="宋体" w:eastAsia="宋体" w:cs="宋体"/>
                <w:spacing w:val="-15"/>
                <w:sz w:val="20"/>
                <w:szCs w:val="20"/>
              </w:rPr>
              <w:t>1.08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05" w:line="229" w:lineRule="auto"/>
              <w:ind w:left="572"/>
              <w:rPr>
                <w:rFonts w:ascii="宋体" w:hAnsi="宋体" w:eastAsia="宋体" w:cs="宋体"/>
                <w:sz w:val="20"/>
                <w:szCs w:val="20"/>
              </w:rPr>
            </w:pPr>
            <w:r>
              <w:rPr>
                <w:rFonts w:ascii="宋体" w:hAnsi="宋体" w:eastAsia="宋体" w:cs="宋体"/>
                <w:spacing w:val="8"/>
                <w:sz w:val="20"/>
                <w:szCs w:val="20"/>
              </w:rPr>
              <w:t>排水工程</w:t>
            </w:r>
          </w:p>
        </w:tc>
        <w:tc>
          <w:tcPr>
            <w:tcW w:w="857" w:type="dxa"/>
            <w:vAlign w:val="top"/>
          </w:tcPr>
          <w:p>
            <w:pPr>
              <w:spacing w:before="113" w:line="222" w:lineRule="auto"/>
              <w:ind w:left="245"/>
              <w:rPr>
                <w:rFonts w:ascii="宋体" w:hAnsi="宋体" w:eastAsia="宋体" w:cs="宋体"/>
                <w:sz w:val="20"/>
                <w:szCs w:val="20"/>
              </w:rPr>
            </w:pPr>
            <w:r>
              <w:rPr>
                <w:rFonts w:ascii="宋体" w:hAnsi="宋体" w:eastAsia="宋体" w:cs="宋体"/>
                <w:spacing w:val="-11"/>
                <w:sz w:val="20"/>
                <w:szCs w:val="20"/>
              </w:rPr>
              <w:t>0.43</w:t>
            </w:r>
          </w:p>
        </w:tc>
        <w:tc>
          <w:tcPr>
            <w:tcW w:w="889" w:type="dxa"/>
            <w:vAlign w:val="top"/>
          </w:tcPr>
          <w:p>
            <w:pPr>
              <w:spacing w:before="113" w:line="222" w:lineRule="auto"/>
              <w:ind w:left="280"/>
              <w:rPr>
                <w:rFonts w:ascii="宋体" w:hAnsi="宋体" w:eastAsia="宋体" w:cs="宋体"/>
                <w:sz w:val="20"/>
                <w:szCs w:val="20"/>
              </w:rPr>
            </w:pPr>
            <w:r>
              <w:rPr>
                <w:rFonts w:ascii="宋体" w:hAnsi="宋体" w:eastAsia="宋体" w:cs="宋体"/>
                <w:spacing w:val="-15"/>
                <w:sz w:val="20"/>
                <w:szCs w:val="20"/>
              </w:rPr>
              <w:t>1.25</w:t>
            </w:r>
          </w:p>
        </w:tc>
        <w:tc>
          <w:tcPr>
            <w:tcW w:w="1126" w:type="dxa"/>
            <w:vAlign w:val="top"/>
          </w:tcPr>
          <w:p>
            <w:pPr>
              <w:spacing w:before="113" w:line="222" w:lineRule="auto"/>
              <w:ind w:left="383"/>
              <w:rPr>
                <w:rFonts w:ascii="宋体" w:hAnsi="宋体" w:eastAsia="宋体" w:cs="宋体"/>
                <w:sz w:val="20"/>
                <w:szCs w:val="20"/>
              </w:rPr>
            </w:pPr>
            <w:r>
              <w:rPr>
                <w:rFonts w:ascii="宋体" w:hAnsi="宋体" w:eastAsia="宋体" w:cs="宋体"/>
                <w:spacing w:val="-11"/>
                <w:sz w:val="20"/>
                <w:szCs w:val="20"/>
              </w:rPr>
              <w:t>0.44</w:t>
            </w:r>
          </w:p>
        </w:tc>
        <w:tc>
          <w:tcPr>
            <w:tcW w:w="1317" w:type="dxa"/>
            <w:vAlign w:val="top"/>
          </w:tcPr>
          <w:p>
            <w:pPr>
              <w:spacing w:before="113" w:line="222" w:lineRule="auto"/>
              <w:ind w:left="479"/>
              <w:rPr>
                <w:rFonts w:ascii="宋体" w:hAnsi="宋体" w:eastAsia="宋体" w:cs="宋体"/>
                <w:sz w:val="20"/>
                <w:szCs w:val="20"/>
              </w:rPr>
            </w:pPr>
            <w:r>
              <w:rPr>
                <w:rFonts w:ascii="宋体" w:hAnsi="宋体" w:eastAsia="宋体" w:cs="宋体"/>
                <w:spacing w:val="-11"/>
                <w:sz w:val="20"/>
                <w:szCs w:val="20"/>
              </w:rPr>
              <w:t>0.50</w:t>
            </w:r>
          </w:p>
        </w:tc>
        <w:tc>
          <w:tcPr>
            <w:tcW w:w="1149" w:type="dxa"/>
            <w:vAlign w:val="top"/>
          </w:tcPr>
          <w:p>
            <w:pPr>
              <w:spacing w:before="113" w:line="222" w:lineRule="auto"/>
              <w:ind w:left="398"/>
              <w:rPr>
                <w:rFonts w:ascii="宋体" w:hAnsi="宋体" w:eastAsia="宋体" w:cs="宋体"/>
                <w:sz w:val="20"/>
                <w:szCs w:val="20"/>
              </w:rPr>
            </w:pPr>
            <w:r>
              <w:rPr>
                <w:rFonts w:ascii="宋体" w:hAnsi="宋体" w:eastAsia="宋体" w:cs="宋体"/>
                <w:spacing w:val="-11"/>
                <w:sz w:val="20"/>
                <w:szCs w:val="20"/>
              </w:rPr>
              <w:t>0.10</w:t>
            </w:r>
          </w:p>
        </w:tc>
        <w:tc>
          <w:tcPr>
            <w:tcW w:w="1279" w:type="dxa"/>
            <w:tcBorders>
              <w:right w:val="single" w:color="000000" w:sz="6" w:space="0"/>
            </w:tcBorders>
            <w:vAlign w:val="top"/>
          </w:tcPr>
          <w:p>
            <w:pPr>
              <w:spacing w:before="113" w:line="222" w:lineRule="auto"/>
              <w:ind w:left="461"/>
              <w:rPr>
                <w:rFonts w:ascii="宋体" w:hAnsi="宋体" w:eastAsia="宋体" w:cs="宋体"/>
                <w:sz w:val="20"/>
                <w:szCs w:val="20"/>
              </w:rPr>
            </w:pPr>
            <w:r>
              <w:rPr>
                <w:rFonts w:ascii="宋体" w:hAnsi="宋体" w:eastAsia="宋体" w:cs="宋体"/>
                <w:spacing w:val="-11"/>
                <w:sz w:val="20"/>
                <w:szCs w:val="20"/>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8" w:line="217" w:lineRule="auto"/>
              <w:ind w:left="570"/>
              <w:rPr>
                <w:rFonts w:ascii="宋体" w:hAnsi="宋体" w:eastAsia="宋体" w:cs="宋体"/>
                <w:sz w:val="20"/>
                <w:szCs w:val="20"/>
              </w:rPr>
            </w:pPr>
            <w:r>
              <w:rPr>
                <w:rFonts w:ascii="宋体" w:hAnsi="宋体" w:eastAsia="宋体" w:cs="宋体"/>
                <w:spacing w:val="9"/>
                <w:sz w:val="20"/>
                <w:szCs w:val="20"/>
              </w:rPr>
              <w:t>燃气工程</w:t>
            </w:r>
          </w:p>
        </w:tc>
        <w:tc>
          <w:tcPr>
            <w:tcW w:w="857" w:type="dxa"/>
            <w:vAlign w:val="top"/>
          </w:tcPr>
          <w:p>
            <w:pPr>
              <w:spacing w:before="113" w:line="222" w:lineRule="auto"/>
              <w:ind w:left="245"/>
              <w:rPr>
                <w:rFonts w:ascii="宋体" w:hAnsi="宋体" w:eastAsia="宋体" w:cs="宋体"/>
                <w:sz w:val="20"/>
                <w:szCs w:val="20"/>
              </w:rPr>
            </w:pPr>
            <w:r>
              <w:rPr>
                <w:rFonts w:ascii="宋体" w:hAnsi="宋体" w:eastAsia="宋体" w:cs="宋体"/>
                <w:spacing w:val="-11"/>
                <w:sz w:val="20"/>
                <w:szCs w:val="20"/>
              </w:rPr>
              <w:t>0.99</w:t>
            </w:r>
          </w:p>
        </w:tc>
        <w:tc>
          <w:tcPr>
            <w:tcW w:w="889" w:type="dxa"/>
            <w:vAlign w:val="top"/>
          </w:tcPr>
          <w:p>
            <w:pPr>
              <w:spacing w:before="113" w:line="222" w:lineRule="auto"/>
              <w:ind w:left="280"/>
              <w:rPr>
                <w:rFonts w:ascii="宋体" w:hAnsi="宋体" w:eastAsia="宋体" w:cs="宋体"/>
                <w:sz w:val="20"/>
                <w:szCs w:val="20"/>
              </w:rPr>
            </w:pPr>
            <w:r>
              <w:rPr>
                <w:rFonts w:ascii="宋体" w:hAnsi="宋体" w:eastAsia="宋体" w:cs="宋体"/>
                <w:spacing w:val="-15"/>
                <w:sz w:val="20"/>
                <w:szCs w:val="20"/>
              </w:rPr>
              <w:t>1.24</w:t>
            </w:r>
          </w:p>
        </w:tc>
        <w:tc>
          <w:tcPr>
            <w:tcW w:w="1126" w:type="dxa"/>
            <w:vAlign w:val="top"/>
          </w:tcPr>
          <w:p>
            <w:pPr>
              <w:spacing w:before="113" w:line="222" w:lineRule="auto"/>
              <w:ind w:left="401"/>
              <w:rPr>
                <w:rFonts w:ascii="宋体" w:hAnsi="宋体" w:eastAsia="宋体" w:cs="宋体"/>
                <w:sz w:val="20"/>
                <w:szCs w:val="20"/>
              </w:rPr>
            </w:pPr>
            <w:r>
              <w:rPr>
                <w:rFonts w:ascii="宋体" w:hAnsi="宋体" w:eastAsia="宋体" w:cs="宋体"/>
                <w:spacing w:val="-15"/>
                <w:sz w:val="20"/>
                <w:szCs w:val="20"/>
              </w:rPr>
              <w:t>1.00</w:t>
            </w:r>
          </w:p>
        </w:tc>
        <w:tc>
          <w:tcPr>
            <w:tcW w:w="1317" w:type="dxa"/>
            <w:vAlign w:val="top"/>
          </w:tcPr>
          <w:p>
            <w:pPr>
              <w:spacing w:before="113" w:line="222" w:lineRule="auto"/>
              <w:ind w:left="479"/>
              <w:rPr>
                <w:rFonts w:ascii="宋体" w:hAnsi="宋体" w:eastAsia="宋体" w:cs="宋体"/>
                <w:sz w:val="20"/>
                <w:szCs w:val="20"/>
              </w:rPr>
            </w:pPr>
            <w:r>
              <w:rPr>
                <w:rFonts w:ascii="宋体" w:hAnsi="宋体" w:eastAsia="宋体" w:cs="宋体"/>
                <w:spacing w:val="-11"/>
                <w:sz w:val="20"/>
                <w:szCs w:val="20"/>
              </w:rPr>
              <w:t>0.64</w:t>
            </w:r>
          </w:p>
        </w:tc>
        <w:tc>
          <w:tcPr>
            <w:tcW w:w="1149" w:type="dxa"/>
            <w:vAlign w:val="top"/>
          </w:tcPr>
          <w:p>
            <w:pPr>
              <w:spacing w:before="113" w:line="222" w:lineRule="auto"/>
              <w:ind w:left="398"/>
              <w:rPr>
                <w:rFonts w:ascii="宋体" w:hAnsi="宋体" w:eastAsia="宋体" w:cs="宋体"/>
                <w:sz w:val="20"/>
                <w:szCs w:val="20"/>
              </w:rPr>
            </w:pPr>
            <w:r>
              <w:rPr>
                <w:rFonts w:ascii="宋体" w:hAnsi="宋体" w:eastAsia="宋体" w:cs="宋体"/>
                <w:spacing w:val="-11"/>
                <w:sz w:val="20"/>
                <w:szCs w:val="20"/>
              </w:rPr>
              <w:t>0.65</w:t>
            </w:r>
          </w:p>
        </w:tc>
        <w:tc>
          <w:tcPr>
            <w:tcW w:w="1279" w:type="dxa"/>
            <w:tcBorders>
              <w:right w:val="single" w:color="000000" w:sz="6" w:space="0"/>
            </w:tcBorders>
            <w:vAlign w:val="top"/>
          </w:tcPr>
          <w:p>
            <w:pPr>
              <w:spacing w:before="113" w:line="222" w:lineRule="auto"/>
              <w:ind w:left="461"/>
              <w:rPr>
                <w:rFonts w:ascii="宋体" w:hAnsi="宋体" w:eastAsia="宋体" w:cs="宋体"/>
                <w:sz w:val="20"/>
                <w:szCs w:val="20"/>
              </w:rPr>
            </w:pPr>
            <w:r>
              <w:rPr>
                <w:rFonts w:ascii="宋体" w:hAnsi="宋体" w:eastAsia="宋体" w:cs="宋体"/>
                <w:spacing w:val="-11"/>
                <w:sz w:val="20"/>
                <w:szCs w:val="20"/>
              </w:rPr>
              <w:t>0.84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14" w:line="221" w:lineRule="auto"/>
              <w:ind w:left="572"/>
              <w:rPr>
                <w:rFonts w:ascii="宋体" w:hAnsi="宋体" w:eastAsia="宋体" w:cs="宋体"/>
                <w:sz w:val="20"/>
                <w:szCs w:val="20"/>
              </w:rPr>
            </w:pPr>
            <w:r>
              <w:rPr>
                <w:rFonts w:ascii="宋体" w:hAnsi="宋体" w:eastAsia="宋体" w:cs="宋体"/>
                <w:spacing w:val="8"/>
                <w:sz w:val="20"/>
                <w:szCs w:val="20"/>
              </w:rPr>
              <w:t>供热工程</w:t>
            </w:r>
          </w:p>
        </w:tc>
        <w:tc>
          <w:tcPr>
            <w:tcW w:w="857" w:type="dxa"/>
            <w:vAlign w:val="top"/>
          </w:tcPr>
          <w:p>
            <w:pPr>
              <w:spacing w:before="114" w:line="221" w:lineRule="auto"/>
              <w:ind w:left="245"/>
              <w:rPr>
                <w:rFonts w:ascii="宋体" w:hAnsi="宋体" w:eastAsia="宋体" w:cs="宋体"/>
                <w:sz w:val="20"/>
                <w:szCs w:val="20"/>
              </w:rPr>
            </w:pPr>
            <w:r>
              <w:rPr>
                <w:rFonts w:ascii="宋体" w:hAnsi="宋体" w:eastAsia="宋体" w:cs="宋体"/>
                <w:spacing w:val="-11"/>
                <w:sz w:val="20"/>
                <w:szCs w:val="20"/>
              </w:rPr>
              <w:t>0.95</w:t>
            </w:r>
          </w:p>
        </w:tc>
        <w:tc>
          <w:tcPr>
            <w:tcW w:w="889" w:type="dxa"/>
            <w:vAlign w:val="top"/>
          </w:tcPr>
          <w:p>
            <w:pPr>
              <w:spacing w:before="114" w:line="221" w:lineRule="auto"/>
              <w:ind w:left="280"/>
              <w:rPr>
                <w:rFonts w:ascii="宋体" w:hAnsi="宋体" w:eastAsia="宋体" w:cs="宋体"/>
                <w:sz w:val="20"/>
                <w:szCs w:val="20"/>
              </w:rPr>
            </w:pPr>
            <w:r>
              <w:rPr>
                <w:rFonts w:ascii="宋体" w:hAnsi="宋体" w:eastAsia="宋体" w:cs="宋体"/>
                <w:spacing w:val="-15"/>
                <w:sz w:val="20"/>
                <w:szCs w:val="20"/>
              </w:rPr>
              <w:t>1.26</w:t>
            </w:r>
          </w:p>
        </w:tc>
        <w:tc>
          <w:tcPr>
            <w:tcW w:w="1126" w:type="dxa"/>
            <w:vAlign w:val="top"/>
          </w:tcPr>
          <w:p>
            <w:pPr>
              <w:spacing w:before="114" w:line="221" w:lineRule="auto"/>
              <w:ind w:left="383"/>
              <w:rPr>
                <w:rFonts w:ascii="宋体" w:hAnsi="宋体" w:eastAsia="宋体" w:cs="宋体"/>
                <w:sz w:val="20"/>
                <w:szCs w:val="20"/>
              </w:rPr>
            </w:pPr>
            <w:r>
              <w:rPr>
                <w:rFonts w:ascii="宋体" w:hAnsi="宋体" w:eastAsia="宋体" w:cs="宋体"/>
                <w:spacing w:val="-11"/>
                <w:sz w:val="20"/>
                <w:szCs w:val="20"/>
              </w:rPr>
              <w:t>0.96</w:t>
            </w:r>
          </w:p>
        </w:tc>
        <w:tc>
          <w:tcPr>
            <w:tcW w:w="1317" w:type="dxa"/>
            <w:vAlign w:val="top"/>
          </w:tcPr>
          <w:p>
            <w:pPr>
              <w:spacing w:before="114" w:line="221" w:lineRule="auto"/>
              <w:ind w:left="479"/>
              <w:rPr>
                <w:rFonts w:ascii="宋体" w:hAnsi="宋体" w:eastAsia="宋体" w:cs="宋体"/>
                <w:sz w:val="20"/>
                <w:szCs w:val="20"/>
              </w:rPr>
            </w:pPr>
            <w:r>
              <w:rPr>
                <w:rFonts w:ascii="宋体" w:hAnsi="宋体" w:eastAsia="宋体" w:cs="宋体"/>
                <w:spacing w:val="-11"/>
                <w:sz w:val="20"/>
                <w:szCs w:val="20"/>
              </w:rPr>
              <w:t>0.51</w:t>
            </w:r>
          </w:p>
        </w:tc>
        <w:tc>
          <w:tcPr>
            <w:tcW w:w="1149" w:type="dxa"/>
            <w:vAlign w:val="top"/>
          </w:tcPr>
          <w:p>
            <w:pPr>
              <w:spacing w:before="114" w:line="221" w:lineRule="auto"/>
              <w:ind w:left="398"/>
              <w:rPr>
                <w:rFonts w:ascii="宋体" w:hAnsi="宋体" w:eastAsia="宋体" w:cs="宋体"/>
                <w:sz w:val="20"/>
                <w:szCs w:val="20"/>
              </w:rPr>
            </w:pPr>
            <w:r>
              <w:rPr>
                <w:rFonts w:ascii="宋体" w:hAnsi="宋体" w:eastAsia="宋体" w:cs="宋体"/>
                <w:spacing w:val="-11"/>
                <w:sz w:val="20"/>
                <w:szCs w:val="20"/>
              </w:rPr>
              <w:t>0.50</w:t>
            </w:r>
          </w:p>
        </w:tc>
        <w:tc>
          <w:tcPr>
            <w:tcW w:w="1279" w:type="dxa"/>
            <w:tcBorders>
              <w:right w:val="single" w:color="000000" w:sz="6" w:space="0"/>
            </w:tcBorders>
            <w:vAlign w:val="top"/>
          </w:tcPr>
          <w:p>
            <w:pPr>
              <w:spacing w:before="114" w:line="221" w:lineRule="auto"/>
              <w:ind w:left="461"/>
              <w:rPr>
                <w:rFonts w:ascii="宋体" w:hAnsi="宋体" w:eastAsia="宋体" w:cs="宋体"/>
                <w:sz w:val="20"/>
                <w:szCs w:val="20"/>
              </w:rPr>
            </w:pPr>
            <w:r>
              <w:rPr>
                <w:rFonts w:ascii="宋体" w:hAnsi="宋体" w:eastAsia="宋体" w:cs="宋体"/>
                <w:spacing w:val="-11"/>
                <w:sz w:val="20"/>
                <w:szCs w:val="20"/>
              </w:rPr>
              <w:t>0.76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23" w:line="213" w:lineRule="auto"/>
              <w:ind w:left="466"/>
              <w:rPr>
                <w:rFonts w:ascii="宋体" w:hAnsi="宋体" w:eastAsia="宋体" w:cs="宋体"/>
                <w:sz w:val="20"/>
                <w:szCs w:val="20"/>
              </w:rPr>
            </w:pPr>
            <w:r>
              <w:rPr>
                <w:rFonts w:ascii="宋体" w:hAnsi="宋体" w:eastAsia="宋体" w:cs="宋体"/>
                <w:spacing w:val="9"/>
                <w:sz w:val="20"/>
                <w:szCs w:val="20"/>
              </w:rPr>
              <w:t>水处理工程</w:t>
            </w:r>
          </w:p>
        </w:tc>
        <w:tc>
          <w:tcPr>
            <w:tcW w:w="857" w:type="dxa"/>
            <w:vAlign w:val="top"/>
          </w:tcPr>
          <w:p>
            <w:pPr>
              <w:spacing w:before="117" w:line="218" w:lineRule="auto"/>
              <w:ind w:left="245"/>
              <w:rPr>
                <w:rFonts w:ascii="宋体" w:hAnsi="宋体" w:eastAsia="宋体" w:cs="宋体"/>
                <w:sz w:val="20"/>
                <w:szCs w:val="20"/>
              </w:rPr>
            </w:pPr>
            <w:r>
              <w:rPr>
                <w:rFonts w:ascii="宋体" w:hAnsi="宋体" w:eastAsia="宋体" w:cs="宋体"/>
                <w:spacing w:val="-11"/>
                <w:sz w:val="20"/>
                <w:szCs w:val="20"/>
              </w:rPr>
              <w:t>0.43</w:t>
            </w:r>
          </w:p>
        </w:tc>
        <w:tc>
          <w:tcPr>
            <w:tcW w:w="889" w:type="dxa"/>
            <w:vAlign w:val="top"/>
          </w:tcPr>
          <w:p>
            <w:pPr>
              <w:spacing w:before="117" w:line="218" w:lineRule="auto"/>
              <w:ind w:left="262"/>
              <w:rPr>
                <w:rFonts w:ascii="宋体" w:hAnsi="宋体" w:eastAsia="宋体" w:cs="宋体"/>
                <w:sz w:val="20"/>
                <w:szCs w:val="20"/>
              </w:rPr>
            </w:pPr>
            <w:r>
              <w:rPr>
                <w:rFonts w:ascii="宋体" w:hAnsi="宋体" w:eastAsia="宋体" w:cs="宋体"/>
                <w:spacing w:val="-11"/>
                <w:sz w:val="20"/>
                <w:szCs w:val="20"/>
              </w:rPr>
              <w:t>0.75</w:t>
            </w:r>
          </w:p>
        </w:tc>
        <w:tc>
          <w:tcPr>
            <w:tcW w:w="1126" w:type="dxa"/>
            <w:vAlign w:val="top"/>
          </w:tcPr>
          <w:p>
            <w:pPr>
              <w:spacing w:before="117" w:line="218" w:lineRule="auto"/>
              <w:ind w:left="383"/>
              <w:rPr>
                <w:rFonts w:ascii="宋体" w:hAnsi="宋体" w:eastAsia="宋体" w:cs="宋体"/>
                <w:sz w:val="20"/>
                <w:szCs w:val="20"/>
              </w:rPr>
            </w:pPr>
            <w:r>
              <w:rPr>
                <w:rFonts w:ascii="宋体" w:hAnsi="宋体" w:eastAsia="宋体" w:cs="宋体"/>
                <w:spacing w:val="-11"/>
                <w:sz w:val="20"/>
                <w:szCs w:val="20"/>
              </w:rPr>
              <w:t>0.44</w:t>
            </w:r>
          </w:p>
        </w:tc>
        <w:tc>
          <w:tcPr>
            <w:tcW w:w="1317" w:type="dxa"/>
            <w:vAlign w:val="top"/>
          </w:tcPr>
          <w:p>
            <w:pPr>
              <w:spacing w:before="117" w:line="218" w:lineRule="auto"/>
              <w:ind w:left="479"/>
              <w:rPr>
                <w:rFonts w:ascii="宋体" w:hAnsi="宋体" w:eastAsia="宋体" w:cs="宋体"/>
                <w:sz w:val="20"/>
                <w:szCs w:val="20"/>
              </w:rPr>
            </w:pPr>
            <w:r>
              <w:rPr>
                <w:rFonts w:ascii="宋体" w:hAnsi="宋体" w:eastAsia="宋体" w:cs="宋体"/>
                <w:spacing w:val="-11"/>
                <w:sz w:val="20"/>
                <w:szCs w:val="20"/>
              </w:rPr>
              <w:t>0.75</w:t>
            </w:r>
          </w:p>
        </w:tc>
        <w:tc>
          <w:tcPr>
            <w:tcW w:w="1149" w:type="dxa"/>
            <w:vAlign w:val="top"/>
          </w:tcPr>
          <w:p>
            <w:pPr>
              <w:spacing w:before="117" w:line="218" w:lineRule="auto"/>
              <w:ind w:left="398"/>
              <w:rPr>
                <w:rFonts w:ascii="宋体" w:hAnsi="宋体" w:eastAsia="宋体" w:cs="宋体"/>
                <w:sz w:val="20"/>
                <w:szCs w:val="20"/>
              </w:rPr>
            </w:pPr>
            <w:r>
              <w:rPr>
                <w:rFonts w:ascii="宋体" w:hAnsi="宋体" w:eastAsia="宋体" w:cs="宋体"/>
                <w:spacing w:val="-11"/>
                <w:sz w:val="20"/>
                <w:szCs w:val="20"/>
              </w:rPr>
              <w:t>0.10</w:t>
            </w:r>
          </w:p>
        </w:tc>
        <w:tc>
          <w:tcPr>
            <w:tcW w:w="1279" w:type="dxa"/>
            <w:tcBorders>
              <w:right w:val="single" w:color="000000" w:sz="6" w:space="0"/>
            </w:tcBorders>
            <w:vAlign w:val="top"/>
          </w:tcPr>
          <w:p>
            <w:pPr>
              <w:spacing w:before="117" w:line="218" w:lineRule="auto"/>
              <w:ind w:left="461"/>
              <w:rPr>
                <w:rFonts w:ascii="宋体" w:hAnsi="宋体" w:eastAsia="宋体" w:cs="宋体"/>
                <w:sz w:val="20"/>
                <w:szCs w:val="20"/>
              </w:rPr>
            </w:pPr>
            <w:r>
              <w:rPr>
                <w:rFonts w:ascii="宋体" w:hAnsi="宋体" w:eastAsia="宋体" w:cs="宋体"/>
                <w:spacing w:val="-11"/>
                <w:sz w:val="20"/>
                <w:szCs w:val="20"/>
              </w:rPr>
              <w:t>0.25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bottom w:val="nil"/>
            </w:tcBorders>
            <w:vAlign w:val="top"/>
          </w:tcPr>
          <w:p>
            <w:pPr>
              <w:pStyle w:val="6"/>
            </w:pPr>
          </w:p>
        </w:tc>
        <w:tc>
          <w:tcPr>
            <w:tcW w:w="1991" w:type="dxa"/>
            <w:vAlign w:val="top"/>
          </w:tcPr>
          <w:p>
            <w:pPr>
              <w:spacing w:before="126" w:line="210" w:lineRule="auto"/>
              <w:ind w:left="364"/>
              <w:rPr>
                <w:rFonts w:ascii="宋体" w:hAnsi="宋体" w:eastAsia="宋体" w:cs="宋体"/>
                <w:sz w:val="20"/>
                <w:szCs w:val="20"/>
              </w:rPr>
            </w:pPr>
            <w:r>
              <w:rPr>
                <w:rFonts w:ascii="宋体" w:hAnsi="宋体" w:eastAsia="宋体" w:cs="宋体"/>
                <w:spacing w:val="8"/>
                <w:sz w:val="20"/>
                <w:szCs w:val="20"/>
              </w:rPr>
              <w:t>垃圾处理工程</w:t>
            </w:r>
          </w:p>
        </w:tc>
        <w:tc>
          <w:tcPr>
            <w:tcW w:w="857" w:type="dxa"/>
            <w:vAlign w:val="top"/>
          </w:tcPr>
          <w:p>
            <w:pPr>
              <w:spacing w:before="117" w:line="218" w:lineRule="auto"/>
              <w:ind w:left="245"/>
              <w:rPr>
                <w:rFonts w:ascii="宋体" w:hAnsi="宋体" w:eastAsia="宋体" w:cs="宋体"/>
                <w:sz w:val="20"/>
                <w:szCs w:val="20"/>
              </w:rPr>
            </w:pPr>
            <w:r>
              <w:rPr>
                <w:rFonts w:ascii="宋体" w:hAnsi="宋体" w:eastAsia="宋体" w:cs="宋体"/>
                <w:spacing w:val="-11"/>
                <w:sz w:val="20"/>
                <w:szCs w:val="20"/>
              </w:rPr>
              <w:t>0.80</w:t>
            </w:r>
          </w:p>
        </w:tc>
        <w:tc>
          <w:tcPr>
            <w:tcW w:w="889" w:type="dxa"/>
            <w:vAlign w:val="top"/>
          </w:tcPr>
          <w:p>
            <w:pPr>
              <w:spacing w:before="117" w:line="218" w:lineRule="auto"/>
              <w:ind w:left="280"/>
              <w:rPr>
                <w:rFonts w:ascii="宋体" w:hAnsi="宋体" w:eastAsia="宋体" w:cs="宋体"/>
                <w:sz w:val="20"/>
                <w:szCs w:val="20"/>
              </w:rPr>
            </w:pPr>
            <w:r>
              <w:rPr>
                <w:rFonts w:ascii="宋体" w:hAnsi="宋体" w:eastAsia="宋体" w:cs="宋体"/>
                <w:spacing w:val="-15"/>
                <w:sz w:val="20"/>
                <w:szCs w:val="20"/>
              </w:rPr>
              <w:t>1.33</w:t>
            </w:r>
          </w:p>
        </w:tc>
        <w:tc>
          <w:tcPr>
            <w:tcW w:w="1126" w:type="dxa"/>
            <w:vAlign w:val="top"/>
          </w:tcPr>
          <w:p>
            <w:pPr>
              <w:spacing w:before="117" w:line="218" w:lineRule="auto"/>
              <w:ind w:left="383"/>
              <w:rPr>
                <w:rFonts w:ascii="宋体" w:hAnsi="宋体" w:eastAsia="宋体" w:cs="宋体"/>
                <w:sz w:val="20"/>
                <w:szCs w:val="20"/>
              </w:rPr>
            </w:pPr>
            <w:r>
              <w:rPr>
                <w:rFonts w:ascii="宋体" w:hAnsi="宋体" w:eastAsia="宋体" w:cs="宋体"/>
                <w:spacing w:val="-11"/>
                <w:sz w:val="20"/>
                <w:szCs w:val="20"/>
              </w:rPr>
              <w:t>0.82</w:t>
            </w:r>
          </w:p>
        </w:tc>
        <w:tc>
          <w:tcPr>
            <w:tcW w:w="1317" w:type="dxa"/>
            <w:vAlign w:val="top"/>
          </w:tcPr>
          <w:p>
            <w:pPr>
              <w:spacing w:before="117" w:line="218" w:lineRule="auto"/>
              <w:ind w:left="479"/>
              <w:rPr>
                <w:rFonts w:ascii="宋体" w:hAnsi="宋体" w:eastAsia="宋体" w:cs="宋体"/>
                <w:sz w:val="20"/>
                <w:szCs w:val="20"/>
              </w:rPr>
            </w:pPr>
            <w:r>
              <w:rPr>
                <w:rFonts w:ascii="宋体" w:hAnsi="宋体" w:eastAsia="宋体" w:cs="宋体"/>
                <w:spacing w:val="-11"/>
                <w:sz w:val="20"/>
                <w:szCs w:val="20"/>
              </w:rPr>
              <w:t>0.58</w:t>
            </w:r>
          </w:p>
        </w:tc>
        <w:tc>
          <w:tcPr>
            <w:tcW w:w="1149" w:type="dxa"/>
            <w:vAlign w:val="top"/>
          </w:tcPr>
          <w:p>
            <w:pPr>
              <w:spacing w:before="117" w:line="218" w:lineRule="auto"/>
              <w:ind w:left="398"/>
              <w:rPr>
                <w:rFonts w:ascii="宋体" w:hAnsi="宋体" w:eastAsia="宋体" w:cs="宋体"/>
                <w:sz w:val="20"/>
                <w:szCs w:val="20"/>
              </w:rPr>
            </w:pPr>
            <w:r>
              <w:rPr>
                <w:rFonts w:ascii="宋体" w:hAnsi="宋体" w:eastAsia="宋体" w:cs="宋体"/>
                <w:spacing w:val="-11"/>
                <w:sz w:val="20"/>
                <w:szCs w:val="20"/>
              </w:rPr>
              <w:t>0.19</w:t>
            </w:r>
          </w:p>
        </w:tc>
        <w:tc>
          <w:tcPr>
            <w:tcW w:w="1279" w:type="dxa"/>
            <w:tcBorders>
              <w:right w:val="single" w:color="000000" w:sz="6" w:space="0"/>
            </w:tcBorders>
            <w:vAlign w:val="top"/>
          </w:tcPr>
          <w:p>
            <w:pPr>
              <w:spacing w:before="117" w:line="218" w:lineRule="auto"/>
              <w:ind w:left="461"/>
              <w:rPr>
                <w:rFonts w:ascii="宋体" w:hAnsi="宋体" w:eastAsia="宋体" w:cs="宋体"/>
                <w:sz w:val="20"/>
                <w:szCs w:val="20"/>
              </w:rPr>
            </w:pPr>
            <w:r>
              <w:rPr>
                <w:rFonts w:ascii="宋体" w:hAnsi="宋体" w:eastAsia="宋体" w:cs="宋体"/>
                <w:spacing w:val="-11"/>
                <w:sz w:val="20"/>
                <w:szCs w:val="20"/>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758" w:type="dxa"/>
            <w:vMerge w:val="continue"/>
            <w:tcBorders>
              <w:top w:val="nil"/>
              <w:left w:val="single" w:color="000000" w:sz="6" w:space="0"/>
            </w:tcBorders>
            <w:vAlign w:val="top"/>
          </w:tcPr>
          <w:p>
            <w:pPr>
              <w:pStyle w:val="6"/>
            </w:pPr>
          </w:p>
        </w:tc>
        <w:tc>
          <w:tcPr>
            <w:tcW w:w="1991" w:type="dxa"/>
            <w:vAlign w:val="top"/>
          </w:tcPr>
          <w:p>
            <w:pPr>
              <w:spacing w:before="124" w:line="212" w:lineRule="auto"/>
              <w:ind w:left="573"/>
              <w:rPr>
                <w:rFonts w:ascii="宋体" w:hAnsi="宋体" w:eastAsia="宋体" w:cs="宋体"/>
                <w:sz w:val="20"/>
                <w:szCs w:val="20"/>
              </w:rPr>
            </w:pPr>
            <w:r>
              <w:rPr>
                <w:rFonts w:ascii="宋体" w:hAnsi="宋体" w:eastAsia="宋体" w:cs="宋体"/>
                <w:spacing w:val="8"/>
                <w:sz w:val="20"/>
                <w:szCs w:val="20"/>
              </w:rPr>
              <w:t>路灯工程</w:t>
            </w:r>
          </w:p>
        </w:tc>
        <w:tc>
          <w:tcPr>
            <w:tcW w:w="857" w:type="dxa"/>
            <w:vAlign w:val="top"/>
          </w:tcPr>
          <w:p>
            <w:pPr>
              <w:spacing w:before="118" w:line="217" w:lineRule="auto"/>
              <w:ind w:left="245"/>
              <w:rPr>
                <w:rFonts w:ascii="宋体" w:hAnsi="宋体" w:eastAsia="宋体" w:cs="宋体"/>
                <w:sz w:val="20"/>
                <w:szCs w:val="20"/>
              </w:rPr>
            </w:pPr>
            <w:r>
              <w:rPr>
                <w:rFonts w:ascii="宋体" w:hAnsi="宋体" w:eastAsia="宋体" w:cs="宋体"/>
                <w:spacing w:val="-11"/>
                <w:sz w:val="20"/>
                <w:szCs w:val="20"/>
              </w:rPr>
              <w:t>0.57</w:t>
            </w:r>
          </w:p>
        </w:tc>
        <w:tc>
          <w:tcPr>
            <w:tcW w:w="889" w:type="dxa"/>
            <w:vAlign w:val="top"/>
          </w:tcPr>
          <w:p>
            <w:pPr>
              <w:spacing w:before="118" w:line="217" w:lineRule="auto"/>
              <w:ind w:left="262"/>
              <w:rPr>
                <w:rFonts w:ascii="宋体" w:hAnsi="宋体" w:eastAsia="宋体" w:cs="宋体"/>
                <w:sz w:val="20"/>
                <w:szCs w:val="20"/>
              </w:rPr>
            </w:pPr>
            <w:r>
              <w:rPr>
                <w:rFonts w:ascii="宋体" w:hAnsi="宋体" w:eastAsia="宋体" w:cs="宋体"/>
                <w:spacing w:val="-11"/>
                <w:sz w:val="20"/>
                <w:szCs w:val="20"/>
              </w:rPr>
              <w:t>0.81</w:t>
            </w:r>
          </w:p>
        </w:tc>
        <w:tc>
          <w:tcPr>
            <w:tcW w:w="1126" w:type="dxa"/>
            <w:vAlign w:val="top"/>
          </w:tcPr>
          <w:p>
            <w:pPr>
              <w:spacing w:before="118" w:line="217" w:lineRule="auto"/>
              <w:ind w:left="383"/>
              <w:rPr>
                <w:rFonts w:ascii="宋体" w:hAnsi="宋体" w:eastAsia="宋体" w:cs="宋体"/>
                <w:sz w:val="20"/>
                <w:szCs w:val="20"/>
              </w:rPr>
            </w:pPr>
            <w:r>
              <w:rPr>
                <w:rFonts w:ascii="宋体" w:hAnsi="宋体" w:eastAsia="宋体" w:cs="宋体"/>
                <w:spacing w:val="-11"/>
                <w:sz w:val="20"/>
                <w:szCs w:val="20"/>
              </w:rPr>
              <w:t>0.80</w:t>
            </w:r>
          </w:p>
        </w:tc>
        <w:tc>
          <w:tcPr>
            <w:tcW w:w="1317" w:type="dxa"/>
            <w:vAlign w:val="top"/>
          </w:tcPr>
          <w:p>
            <w:pPr>
              <w:spacing w:before="118" w:line="217" w:lineRule="auto"/>
              <w:ind w:left="479"/>
              <w:rPr>
                <w:rFonts w:ascii="宋体" w:hAnsi="宋体" w:eastAsia="宋体" w:cs="宋体"/>
                <w:sz w:val="20"/>
                <w:szCs w:val="20"/>
              </w:rPr>
            </w:pPr>
            <w:r>
              <w:rPr>
                <w:rFonts w:ascii="宋体" w:hAnsi="宋体" w:eastAsia="宋体" w:cs="宋体"/>
                <w:spacing w:val="-11"/>
                <w:sz w:val="20"/>
                <w:szCs w:val="20"/>
              </w:rPr>
              <w:t>0.73</w:t>
            </w:r>
          </w:p>
        </w:tc>
        <w:tc>
          <w:tcPr>
            <w:tcW w:w="1149" w:type="dxa"/>
            <w:vAlign w:val="top"/>
          </w:tcPr>
          <w:p>
            <w:pPr>
              <w:spacing w:before="118" w:line="217" w:lineRule="auto"/>
              <w:ind w:left="398"/>
              <w:rPr>
                <w:rFonts w:ascii="宋体" w:hAnsi="宋体" w:eastAsia="宋体" w:cs="宋体"/>
                <w:sz w:val="20"/>
                <w:szCs w:val="20"/>
              </w:rPr>
            </w:pPr>
            <w:r>
              <w:rPr>
                <w:rFonts w:ascii="宋体" w:hAnsi="宋体" w:eastAsia="宋体" w:cs="宋体"/>
                <w:spacing w:val="-11"/>
                <w:sz w:val="20"/>
                <w:szCs w:val="20"/>
              </w:rPr>
              <w:t>0.11</w:t>
            </w:r>
          </w:p>
        </w:tc>
        <w:tc>
          <w:tcPr>
            <w:tcW w:w="1279" w:type="dxa"/>
            <w:tcBorders>
              <w:right w:val="single" w:color="000000" w:sz="6" w:space="0"/>
            </w:tcBorders>
            <w:vAlign w:val="top"/>
          </w:tcPr>
          <w:p>
            <w:pPr>
              <w:spacing w:before="118" w:line="217" w:lineRule="auto"/>
              <w:ind w:left="461"/>
              <w:rPr>
                <w:rFonts w:ascii="宋体" w:hAnsi="宋体" w:eastAsia="宋体" w:cs="宋体"/>
                <w:sz w:val="20"/>
                <w:szCs w:val="20"/>
              </w:rPr>
            </w:pPr>
            <w:r>
              <w:rPr>
                <w:rFonts w:ascii="宋体" w:hAnsi="宋体" w:eastAsia="宋体" w:cs="宋体"/>
                <w:spacing w:val="-11"/>
                <w:sz w:val="20"/>
                <w:szCs w:val="20"/>
              </w:rPr>
              <w:t>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758" w:type="dxa"/>
            <w:vMerge w:val="restart"/>
            <w:tcBorders>
              <w:left w:val="single" w:color="000000" w:sz="6" w:space="0"/>
              <w:bottom w:val="nil"/>
            </w:tcBorders>
            <w:textDirection w:val="tbRlV"/>
            <w:vAlign w:val="top"/>
          </w:tcPr>
          <w:p>
            <w:pPr>
              <w:spacing w:before="170" w:line="203" w:lineRule="auto"/>
              <w:ind w:left="67" w:right="40"/>
              <w:rPr>
                <w:rFonts w:ascii="宋体" w:hAnsi="宋体" w:eastAsia="宋体" w:cs="宋体"/>
                <w:sz w:val="20"/>
                <w:szCs w:val="20"/>
              </w:rPr>
            </w:pPr>
            <w:r>
              <w:rPr>
                <w:rFonts w:ascii="宋体" w:hAnsi="宋体" w:eastAsia="宋体" w:cs="宋体"/>
                <w:spacing w:val="-6"/>
                <w:sz w:val="20"/>
                <w:szCs w:val="20"/>
              </w:rPr>
              <w:t>政</w:t>
            </w:r>
            <w:r>
              <w:rPr>
                <w:rFonts w:ascii="宋体" w:hAnsi="宋体" w:eastAsia="宋体" w:cs="宋体"/>
                <w:spacing w:val="-17"/>
                <w:sz w:val="20"/>
                <w:szCs w:val="20"/>
              </w:rPr>
              <w:t xml:space="preserve"> </w:t>
            </w:r>
            <w:r>
              <w:rPr>
                <w:rFonts w:ascii="宋体" w:hAnsi="宋体" w:eastAsia="宋体" w:cs="宋体"/>
                <w:spacing w:val="-6"/>
                <w:sz w:val="20"/>
                <w:szCs w:val="20"/>
              </w:rPr>
              <w:t>护</w:t>
            </w:r>
            <w:r>
              <w:rPr>
                <w:rFonts w:ascii="宋体" w:hAnsi="宋体" w:eastAsia="宋体" w:cs="宋体"/>
                <w:spacing w:val="-17"/>
                <w:sz w:val="20"/>
                <w:szCs w:val="20"/>
              </w:rPr>
              <w:t xml:space="preserve"> </w:t>
            </w:r>
            <w:r>
              <w:rPr>
                <w:rFonts w:ascii="宋体" w:hAnsi="宋体" w:eastAsia="宋体" w:cs="宋体"/>
                <w:spacing w:val="-6"/>
                <w:sz w:val="20"/>
                <w:szCs w:val="20"/>
              </w:rPr>
              <w:t>修 程</w:t>
            </w:r>
            <w:r>
              <w:rPr>
                <w:rFonts w:ascii="宋体" w:hAnsi="宋体" w:eastAsia="宋体" w:cs="宋体"/>
                <w:spacing w:val="-12"/>
                <w:sz w:val="20"/>
                <w:szCs w:val="20"/>
              </w:rPr>
              <w:t>市</w:t>
            </w:r>
            <w:r>
              <w:rPr>
                <w:rFonts w:ascii="宋体" w:hAnsi="宋体" w:eastAsia="宋体" w:cs="宋体"/>
                <w:spacing w:val="-20"/>
                <w:sz w:val="20"/>
                <w:szCs w:val="20"/>
              </w:rPr>
              <w:t xml:space="preserve"> </w:t>
            </w:r>
            <w:r>
              <w:rPr>
                <w:rFonts w:ascii="宋体" w:hAnsi="宋体" w:eastAsia="宋体" w:cs="宋体"/>
                <w:spacing w:val="-12"/>
                <w:sz w:val="20"/>
                <w:szCs w:val="20"/>
              </w:rPr>
              <w:t>养</w:t>
            </w:r>
            <w:r>
              <w:rPr>
                <w:rFonts w:ascii="宋体" w:hAnsi="宋体" w:eastAsia="宋体" w:cs="宋体"/>
                <w:spacing w:val="-17"/>
                <w:sz w:val="20"/>
                <w:szCs w:val="20"/>
              </w:rPr>
              <w:t xml:space="preserve"> </w:t>
            </w:r>
            <w:r>
              <w:rPr>
                <w:rFonts w:ascii="宋体" w:hAnsi="宋体" w:eastAsia="宋体" w:cs="宋体"/>
                <w:spacing w:val="-12"/>
                <w:sz w:val="20"/>
                <w:szCs w:val="20"/>
              </w:rPr>
              <w:t>维</w:t>
            </w:r>
            <w:r>
              <w:rPr>
                <w:rFonts w:ascii="宋体" w:hAnsi="宋体" w:eastAsia="宋体" w:cs="宋体"/>
                <w:spacing w:val="4"/>
                <w:sz w:val="20"/>
                <w:szCs w:val="20"/>
              </w:rPr>
              <w:t xml:space="preserve"> </w:t>
            </w:r>
            <w:r>
              <w:rPr>
                <w:rFonts w:ascii="宋体" w:hAnsi="宋体" w:eastAsia="宋体" w:cs="宋体"/>
                <w:spacing w:val="-12"/>
                <w:sz w:val="20"/>
                <w:szCs w:val="20"/>
              </w:rPr>
              <w:t>工</w:t>
            </w:r>
          </w:p>
        </w:tc>
        <w:tc>
          <w:tcPr>
            <w:tcW w:w="1991" w:type="dxa"/>
            <w:vAlign w:val="top"/>
          </w:tcPr>
          <w:p>
            <w:pPr>
              <w:spacing w:before="58" w:line="228" w:lineRule="auto"/>
              <w:ind w:left="152" w:right="28" w:hanging="49"/>
              <w:rPr>
                <w:rFonts w:ascii="宋体" w:hAnsi="宋体" w:eastAsia="宋体" w:cs="宋体"/>
                <w:sz w:val="20"/>
                <w:szCs w:val="20"/>
              </w:rPr>
            </w:pPr>
            <w:r>
              <w:rPr>
                <w:rFonts w:ascii="宋体" w:hAnsi="宋体" w:eastAsia="宋体" w:cs="宋体"/>
                <w:spacing w:val="6"/>
                <w:sz w:val="20"/>
                <w:szCs w:val="20"/>
              </w:rPr>
              <w:t>道路、桥涵、隧道、</w:t>
            </w:r>
            <w:r>
              <w:rPr>
                <w:rFonts w:ascii="宋体" w:hAnsi="宋体" w:eastAsia="宋体" w:cs="宋体"/>
                <w:spacing w:val="9"/>
                <w:sz w:val="20"/>
                <w:szCs w:val="20"/>
              </w:rPr>
              <w:t>排水养护维修工程</w:t>
            </w:r>
          </w:p>
        </w:tc>
        <w:tc>
          <w:tcPr>
            <w:tcW w:w="857" w:type="dxa"/>
            <w:vAlign w:val="top"/>
          </w:tcPr>
          <w:p>
            <w:pPr>
              <w:spacing w:before="196" w:line="298" w:lineRule="exact"/>
              <w:ind w:left="263"/>
              <w:rPr>
                <w:rFonts w:ascii="宋体" w:hAnsi="宋体" w:eastAsia="宋体" w:cs="宋体"/>
                <w:sz w:val="20"/>
                <w:szCs w:val="20"/>
              </w:rPr>
            </w:pPr>
            <w:r>
              <w:rPr>
                <w:rFonts w:ascii="宋体" w:hAnsi="宋体" w:eastAsia="宋体" w:cs="宋体"/>
                <w:spacing w:val="-15"/>
                <w:position w:val="2"/>
                <w:sz w:val="20"/>
                <w:szCs w:val="20"/>
              </w:rPr>
              <w:t>1.22</w:t>
            </w:r>
          </w:p>
        </w:tc>
        <w:tc>
          <w:tcPr>
            <w:tcW w:w="889" w:type="dxa"/>
            <w:vAlign w:val="top"/>
          </w:tcPr>
          <w:p>
            <w:pPr>
              <w:spacing w:before="196" w:line="298" w:lineRule="exact"/>
              <w:ind w:left="280"/>
              <w:rPr>
                <w:rFonts w:ascii="宋体" w:hAnsi="宋体" w:eastAsia="宋体" w:cs="宋体"/>
                <w:sz w:val="20"/>
                <w:szCs w:val="20"/>
              </w:rPr>
            </w:pPr>
            <w:r>
              <w:rPr>
                <w:rFonts w:ascii="宋体" w:hAnsi="宋体" w:eastAsia="宋体" w:cs="宋体"/>
                <w:spacing w:val="-15"/>
                <w:position w:val="2"/>
                <w:sz w:val="20"/>
                <w:szCs w:val="20"/>
              </w:rPr>
              <w:t>1.52</w:t>
            </w:r>
          </w:p>
        </w:tc>
        <w:tc>
          <w:tcPr>
            <w:tcW w:w="1126" w:type="dxa"/>
            <w:vAlign w:val="top"/>
          </w:tcPr>
          <w:p>
            <w:pPr>
              <w:spacing w:before="196" w:line="298" w:lineRule="exact"/>
              <w:ind w:left="383"/>
              <w:rPr>
                <w:rFonts w:ascii="宋体" w:hAnsi="宋体" w:eastAsia="宋体" w:cs="宋体"/>
                <w:sz w:val="20"/>
                <w:szCs w:val="20"/>
              </w:rPr>
            </w:pPr>
            <w:r>
              <w:rPr>
                <w:rFonts w:ascii="宋体" w:hAnsi="宋体" w:eastAsia="宋体" w:cs="宋体"/>
                <w:spacing w:val="-11"/>
                <w:position w:val="2"/>
                <w:sz w:val="20"/>
                <w:szCs w:val="20"/>
              </w:rPr>
              <w:t>0.94</w:t>
            </w:r>
          </w:p>
        </w:tc>
        <w:tc>
          <w:tcPr>
            <w:tcW w:w="1317" w:type="dxa"/>
            <w:vAlign w:val="top"/>
          </w:tcPr>
          <w:p>
            <w:pPr>
              <w:spacing w:before="196" w:line="298" w:lineRule="exact"/>
              <w:ind w:left="479"/>
              <w:rPr>
                <w:rFonts w:ascii="宋体" w:hAnsi="宋体" w:eastAsia="宋体" w:cs="宋体"/>
                <w:sz w:val="20"/>
                <w:szCs w:val="20"/>
              </w:rPr>
            </w:pPr>
            <w:r>
              <w:rPr>
                <w:rFonts w:ascii="宋体" w:hAnsi="宋体" w:eastAsia="宋体" w:cs="宋体"/>
                <w:spacing w:val="-11"/>
                <w:position w:val="2"/>
                <w:sz w:val="20"/>
                <w:szCs w:val="20"/>
              </w:rPr>
              <w:t>0.40</w:t>
            </w:r>
          </w:p>
        </w:tc>
        <w:tc>
          <w:tcPr>
            <w:tcW w:w="1149" w:type="dxa"/>
            <w:vAlign w:val="top"/>
          </w:tcPr>
          <w:p>
            <w:pPr>
              <w:pStyle w:val="6"/>
              <w:spacing w:line="252" w:lineRule="auto"/>
            </w:pPr>
          </w:p>
          <w:p>
            <w:pPr>
              <w:spacing w:before="65" w:line="141" w:lineRule="exact"/>
              <w:ind w:left="527"/>
              <w:rPr>
                <w:rFonts w:ascii="宋体" w:hAnsi="宋体" w:eastAsia="宋体" w:cs="宋体"/>
                <w:sz w:val="20"/>
                <w:szCs w:val="20"/>
              </w:rPr>
            </w:pPr>
            <w:r>
              <w:rPr>
                <w:rFonts w:ascii="宋体" w:hAnsi="宋体" w:eastAsia="宋体" w:cs="宋体"/>
                <w:spacing w:val="5"/>
                <w:position w:val="-3"/>
                <w:sz w:val="20"/>
                <w:szCs w:val="20"/>
              </w:rPr>
              <w:t>-</w:t>
            </w:r>
          </w:p>
        </w:tc>
        <w:tc>
          <w:tcPr>
            <w:tcW w:w="1279" w:type="dxa"/>
            <w:tcBorders>
              <w:right w:val="single" w:color="000000" w:sz="6" w:space="0"/>
            </w:tcBorders>
            <w:vAlign w:val="top"/>
          </w:tcPr>
          <w:p>
            <w:pPr>
              <w:pStyle w:val="6"/>
              <w:spacing w:line="252" w:lineRule="auto"/>
            </w:pPr>
          </w:p>
          <w:p>
            <w:pPr>
              <w:spacing w:before="65" w:line="141" w:lineRule="exact"/>
              <w:ind w:left="590"/>
              <w:rPr>
                <w:rFonts w:ascii="宋体" w:hAnsi="宋体" w:eastAsia="宋体" w:cs="宋体"/>
                <w:sz w:val="20"/>
                <w:szCs w:val="20"/>
              </w:rPr>
            </w:pPr>
            <w:r>
              <w:rPr>
                <w:rFonts w:ascii="宋体" w:hAnsi="宋体" w:eastAsia="宋体" w:cs="宋体"/>
                <w:spacing w:val="5"/>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8" w:hRule="atLeast"/>
        </w:trPr>
        <w:tc>
          <w:tcPr>
            <w:tcW w:w="758" w:type="dxa"/>
            <w:vMerge w:val="continue"/>
            <w:tcBorders>
              <w:top w:val="nil"/>
              <w:left w:val="single" w:color="000000" w:sz="6" w:space="0"/>
              <w:bottom w:val="single" w:color="000000" w:sz="6" w:space="0"/>
            </w:tcBorders>
            <w:textDirection w:val="tbRlV"/>
            <w:vAlign w:val="top"/>
          </w:tcPr>
          <w:p>
            <w:pPr>
              <w:pStyle w:val="6"/>
            </w:pPr>
          </w:p>
        </w:tc>
        <w:tc>
          <w:tcPr>
            <w:tcW w:w="1991" w:type="dxa"/>
            <w:tcBorders>
              <w:bottom w:val="single" w:color="000000" w:sz="6" w:space="0"/>
            </w:tcBorders>
            <w:vAlign w:val="top"/>
          </w:tcPr>
          <w:p>
            <w:pPr>
              <w:spacing w:before="56" w:line="236" w:lineRule="auto"/>
              <w:ind w:left="153" w:right="28" w:hanging="44"/>
              <w:rPr>
                <w:rFonts w:ascii="宋体" w:hAnsi="宋体" w:eastAsia="宋体" w:cs="宋体"/>
                <w:sz w:val="20"/>
                <w:szCs w:val="20"/>
              </w:rPr>
            </w:pPr>
            <w:r>
              <w:rPr>
                <w:rFonts w:ascii="宋体" w:hAnsi="宋体" w:eastAsia="宋体" w:cs="宋体"/>
                <w:spacing w:val="5"/>
                <w:sz w:val="20"/>
                <w:szCs w:val="20"/>
              </w:rPr>
              <w:t>给水、燃气、供热、</w:t>
            </w:r>
            <w:r>
              <w:rPr>
                <w:rFonts w:ascii="宋体" w:hAnsi="宋体" w:eastAsia="宋体" w:cs="宋体"/>
                <w:spacing w:val="9"/>
                <w:sz w:val="20"/>
                <w:szCs w:val="20"/>
              </w:rPr>
              <w:t>路灯养护维修工程</w:t>
            </w:r>
          </w:p>
        </w:tc>
        <w:tc>
          <w:tcPr>
            <w:tcW w:w="857" w:type="dxa"/>
            <w:tcBorders>
              <w:bottom w:val="single" w:color="000000" w:sz="6" w:space="0"/>
            </w:tcBorders>
            <w:vAlign w:val="top"/>
          </w:tcPr>
          <w:p>
            <w:pPr>
              <w:spacing w:before="196" w:line="299" w:lineRule="exact"/>
              <w:ind w:left="263"/>
              <w:rPr>
                <w:rFonts w:ascii="宋体" w:hAnsi="宋体" w:eastAsia="宋体" w:cs="宋体"/>
                <w:sz w:val="20"/>
                <w:szCs w:val="20"/>
              </w:rPr>
            </w:pPr>
            <w:r>
              <w:rPr>
                <w:rFonts w:ascii="宋体" w:hAnsi="宋体" w:eastAsia="宋体" w:cs="宋体"/>
                <w:spacing w:val="-15"/>
                <w:position w:val="2"/>
                <w:sz w:val="20"/>
                <w:szCs w:val="20"/>
              </w:rPr>
              <w:t>1.84</w:t>
            </w:r>
          </w:p>
        </w:tc>
        <w:tc>
          <w:tcPr>
            <w:tcW w:w="889" w:type="dxa"/>
            <w:tcBorders>
              <w:bottom w:val="single" w:color="000000" w:sz="6" w:space="0"/>
            </w:tcBorders>
            <w:vAlign w:val="top"/>
          </w:tcPr>
          <w:p>
            <w:pPr>
              <w:spacing w:before="196" w:line="299" w:lineRule="exact"/>
              <w:ind w:left="280"/>
              <w:rPr>
                <w:rFonts w:ascii="宋体" w:hAnsi="宋体" w:eastAsia="宋体" w:cs="宋体"/>
                <w:sz w:val="20"/>
                <w:szCs w:val="20"/>
              </w:rPr>
            </w:pPr>
            <w:r>
              <w:rPr>
                <w:rFonts w:ascii="宋体" w:hAnsi="宋体" w:eastAsia="宋体" w:cs="宋体"/>
                <w:spacing w:val="-15"/>
                <w:position w:val="2"/>
                <w:sz w:val="20"/>
                <w:szCs w:val="20"/>
              </w:rPr>
              <w:t>1.95</w:t>
            </w:r>
          </w:p>
        </w:tc>
        <w:tc>
          <w:tcPr>
            <w:tcW w:w="1126" w:type="dxa"/>
            <w:tcBorders>
              <w:bottom w:val="single" w:color="000000" w:sz="6" w:space="0"/>
            </w:tcBorders>
            <w:vAlign w:val="top"/>
          </w:tcPr>
          <w:p>
            <w:pPr>
              <w:spacing w:before="196" w:line="299" w:lineRule="exact"/>
              <w:ind w:left="401"/>
              <w:rPr>
                <w:rFonts w:ascii="宋体" w:hAnsi="宋体" w:eastAsia="宋体" w:cs="宋体"/>
                <w:sz w:val="20"/>
                <w:szCs w:val="20"/>
              </w:rPr>
            </w:pPr>
            <w:r>
              <w:rPr>
                <w:rFonts w:ascii="宋体" w:hAnsi="宋体" w:eastAsia="宋体" w:cs="宋体"/>
                <w:spacing w:val="-15"/>
                <w:position w:val="2"/>
                <w:sz w:val="20"/>
                <w:szCs w:val="20"/>
              </w:rPr>
              <w:t>1.86</w:t>
            </w:r>
          </w:p>
        </w:tc>
        <w:tc>
          <w:tcPr>
            <w:tcW w:w="1317" w:type="dxa"/>
            <w:tcBorders>
              <w:bottom w:val="single" w:color="000000" w:sz="6" w:space="0"/>
            </w:tcBorders>
            <w:vAlign w:val="top"/>
          </w:tcPr>
          <w:p>
            <w:pPr>
              <w:spacing w:before="196" w:line="299" w:lineRule="exact"/>
              <w:ind w:left="479"/>
              <w:rPr>
                <w:rFonts w:ascii="宋体" w:hAnsi="宋体" w:eastAsia="宋体" w:cs="宋体"/>
                <w:sz w:val="20"/>
                <w:szCs w:val="20"/>
              </w:rPr>
            </w:pPr>
            <w:r>
              <w:rPr>
                <w:rFonts w:ascii="宋体" w:hAnsi="宋体" w:eastAsia="宋体" w:cs="宋体"/>
                <w:spacing w:val="-11"/>
                <w:position w:val="2"/>
                <w:sz w:val="20"/>
                <w:szCs w:val="20"/>
              </w:rPr>
              <w:t>0.49</w:t>
            </w:r>
          </w:p>
        </w:tc>
        <w:tc>
          <w:tcPr>
            <w:tcW w:w="1149" w:type="dxa"/>
            <w:tcBorders>
              <w:bottom w:val="single" w:color="000000" w:sz="6" w:space="0"/>
            </w:tcBorders>
            <w:vAlign w:val="top"/>
          </w:tcPr>
          <w:p>
            <w:pPr>
              <w:pStyle w:val="6"/>
              <w:spacing w:line="253" w:lineRule="auto"/>
            </w:pPr>
          </w:p>
          <w:p>
            <w:pPr>
              <w:spacing w:before="65" w:line="141" w:lineRule="exact"/>
              <w:ind w:left="527"/>
              <w:rPr>
                <w:rFonts w:ascii="宋体" w:hAnsi="宋体" w:eastAsia="宋体" w:cs="宋体"/>
                <w:sz w:val="20"/>
                <w:szCs w:val="20"/>
              </w:rPr>
            </w:pPr>
            <w:r>
              <w:rPr>
                <w:rFonts w:ascii="宋体" w:hAnsi="宋体" w:eastAsia="宋体" w:cs="宋体"/>
                <w:spacing w:val="5"/>
                <w:position w:val="-3"/>
                <w:sz w:val="20"/>
                <w:szCs w:val="20"/>
              </w:rPr>
              <w:t>-</w:t>
            </w:r>
          </w:p>
        </w:tc>
        <w:tc>
          <w:tcPr>
            <w:tcW w:w="1279" w:type="dxa"/>
            <w:tcBorders>
              <w:bottom w:val="single" w:color="000000" w:sz="6" w:space="0"/>
              <w:right w:val="single" w:color="000000" w:sz="6" w:space="0"/>
            </w:tcBorders>
            <w:vAlign w:val="top"/>
          </w:tcPr>
          <w:p>
            <w:pPr>
              <w:pStyle w:val="6"/>
              <w:spacing w:line="253" w:lineRule="auto"/>
            </w:pPr>
          </w:p>
          <w:p>
            <w:pPr>
              <w:spacing w:before="65" w:line="141" w:lineRule="exact"/>
              <w:ind w:left="590"/>
              <w:rPr>
                <w:rFonts w:ascii="宋体" w:hAnsi="宋体" w:eastAsia="宋体" w:cs="宋体"/>
                <w:sz w:val="20"/>
                <w:szCs w:val="20"/>
              </w:rPr>
            </w:pPr>
            <w:r>
              <w:rPr>
                <w:rFonts w:ascii="宋体" w:hAnsi="宋体" w:eastAsia="宋体" w:cs="宋体"/>
                <w:spacing w:val="5"/>
                <w:position w:val="-3"/>
                <w:sz w:val="20"/>
                <w:szCs w:val="20"/>
              </w:rPr>
              <w:t>-</w:t>
            </w:r>
          </w:p>
        </w:tc>
      </w:tr>
    </w:tbl>
    <w:p>
      <w:pPr>
        <w:spacing w:before="107" w:line="277" w:lineRule="exact"/>
        <w:ind w:left="297"/>
        <w:rPr>
          <w:rFonts w:ascii="宋体" w:hAnsi="宋体" w:eastAsia="宋体" w:cs="宋体"/>
          <w:sz w:val="20"/>
          <w:szCs w:val="20"/>
        </w:rPr>
      </w:pPr>
      <w:r>
        <w:rPr>
          <w:rFonts w:ascii="宋体" w:hAnsi="宋体" w:eastAsia="宋体" w:cs="宋体"/>
          <w:spacing w:val="13"/>
          <w:position w:val="1"/>
          <w:sz w:val="20"/>
          <w:szCs w:val="20"/>
        </w:rPr>
        <w:t>注：市政、市政养护维修工程措施费中人机费含量均为45%。</w:t>
      </w:r>
    </w:p>
    <w:p>
      <w:pPr>
        <w:spacing w:line="306" w:lineRule="auto"/>
        <w:rPr>
          <w:rFonts w:ascii="Arial"/>
          <w:sz w:val="21"/>
        </w:rPr>
      </w:pPr>
    </w:p>
    <w:p>
      <w:pPr>
        <w:pStyle w:val="2"/>
        <w:spacing w:before="103" w:line="197" w:lineRule="auto"/>
        <w:ind w:left="762"/>
        <w:rPr>
          <w:sz w:val="24"/>
          <w:szCs w:val="24"/>
        </w:rPr>
      </w:pPr>
      <w:r>
        <w:rPr>
          <w:spacing w:val="-10"/>
          <w:sz w:val="24"/>
          <w:szCs w:val="24"/>
        </w:rPr>
        <w:t>（ 三 ）城市地下综合管廊工程</w:t>
      </w:r>
    </w:p>
    <w:p>
      <w:pPr>
        <w:pStyle w:val="2"/>
        <w:spacing w:before="49" w:line="210" w:lineRule="auto"/>
        <w:ind w:left="4285"/>
        <w:rPr>
          <w:sz w:val="20"/>
          <w:szCs w:val="20"/>
        </w:rPr>
      </w:pPr>
      <w:r>
        <w:rPr>
          <w:spacing w:val="3"/>
          <w:sz w:val="20"/>
          <w:szCs w:val="20"/>
        </w:rPr>
        <w:t>1.  一般计税法下</w:t>
      </w:r>
    </w:p>
    <w:p>
      <w:pPr>
        <w:spacing w:before="64" w:line="234" w:lineRule="auto"/>
        <w:ind w:left="8559"/>
        <w:rPr>
          <w:rFonts w:ascii="宋体" w:hAnsi="宋体" w:eastAsia="宋体" w:cs="宋体"/>
          <w:sz w:val="20"/>
          <w:szCs w:val="20"/>
        </w:rPr>
      </w:pPr>
      <w:r>
        <w:rPr>
          <w:rFonts w:ascii="宋体" w:hAnsi="宋体" w:eastAsia="宋体" w:cs="宋体"/>
          <w:spacing w:val="24"/>
          <w:sz w:val="20"/>
          <w:szCs w:val="20"/>
        </w:rPr>
        <w:t>单位：%</w:t>
      </w:r>
    </w:p>
    <w:tbl>
      <w:tblPr>
        <w:tblStyle w:val="5"/>
        <w:tblW w:w="963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2"/>
        <w:gridCol w:w="814"/>
        <w:gridCol w:w="847"/>
        <w:gridCol w:w="1099"/>
        <w:gridCol w:w="1126"/>
        <w:gridCol w:w="1027"/>
        <w:gridCol w:w="957"/>
        <w:gridCol w:w="1099"/>
        <w:gridCol w:w="8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78" w:hRule="atLeast"/>
        </w:trPr>
        <w:tc>
          <w:tcPr>
            <w:tcW w:w="1772" w:type="dxa"/>
            <w:tcBorders>
              <w:top w:val="single" w:color="000000" w:sz="6" w:space="0"/>
              <w:left w:val="single" w:color="000000" w:sz="6" w:space="0"/>
              <w:tl2br w:val="single" w:color="000000" w:sz="2" w:space="0"/>
            </w:tcBorders>
            <w:vAlign w:val="top"/>
          </w:tcPr>
          <w:p>
            <w:pPr>
              <w:spacing w:before="120" w:line="218" w:lineRule="auto"/>
              <w:ind w:left="781"/>
              <w:rPr>
                <w:rFonts w:ascii="宋体" w:hAnsi="宋体" w:eastAsia="宋体" w:cs="宋体"/>
                <w:sz w:val="20"/>
                <w:szCs w:val="20"/>
              </w:rPr>
            </w:pPr>
            <w:r>
              <w:rPr>
                <w:rFonts w:ascii="宋体" w:hAnsi="宋体" w:eastAsia="宋体" w:cs="宋体"/>
                <w:spacing w:val="6"/>
                <w:sz w:val="20"/>
                <w:szCs w:val="20"/>
              </w:rPr>
              <w:t>费用名称</w:t>
            </w:r>
          </w:p>
          <w:p>
            <w:pPr>
              <w:pStyle w:val="6"/>
              <w:spacing w:line="412" w:lineRule="auto"/>
            </w:pPr>
          </w:p>
          <w:p>
            <w:pPr>
              <w:spacing w:before="65" w:line="213" w:lineRule="auto"/>
              <w:ind w:left="107"/>
              <w:rPr>
                <w:rFonts w:ascii="宋体" w:hAnsi="宋体" w:eastAsia="宋体" w:cs="宋体"/>
                <w:sz w:val="20"/>
                <w:szCs w:val="20"/>
              </w:rPr>
            </w:pPr>
            <w:r>
              <w:rPr>
                <w:rFonts w:ascii="宋体" w:hAnsi="宋体" w:eastAsia="宋体" w:cs="宋体"/>
                <w:spacing w:val="8"/>
                <w:sz w:val="20"/>
                <w:szCs w:val="20"/>
              </w:rPr>
              <w:t>专业名称</w:t>
            </w:r>
          </w:p>
        </w:tc>
        <w:tc>
          <w:tcPr>
            <w:tcW w:w="814" w:type="dxa"/>
            <w:tcBorders>
              <w:top w:val="single" w:color="000000" w:sz="6" w:space="0"/>
            </w:tcBorders>
            <w:vAlign w:val="top"/>
          </w:tcPr>
          <w:p>
            <w:pPr>
              <w:spacing w:before="159" w:line="218" w:lineRule="auto"/>
              <w:ind w:left="193"/>
              <w:rPr>
                <w:rFonts w:ascii="宋体" w:hAnsi="宋体" w:eastAsia="宋体" w:cs="宋体"/>
                <w:sz w:val="20"/>
                <w:szCs w:val="20"/>
              </w:rPr>
            </w:pPr>
            <w:r>
              <w:rPr>
                <w:rFonts w:ascii="宋体" w:hAnsi="宋体" w:eastAsia="宋体" w:cs="宋体"/>
                <w:spacing w:val="6"/>
                <w:sz w:val="20"/>
                <w:szCs w:val="20"/>
              </w:rPr>
              <w:t>夜间</w:t>
            </w:r>
          </w:p>
          <w:p>
            <w:pPr>
              <w:spacing w:before="67" w:line="279" w:lineRule="auto"/>
              <w:ind w:left="304" w:right="202" w:hanging="113"/>
              <w:rPr>
                <w:rFonts w:ascii="宋体" w:hAnsi="宋体" w:eastAsia="宋体" w:cs="宋体"/>
                <w:sz w:val="20"/>
                <w:szCs w:val="20"/>
              </w:rPr>
            </w:pPr>
            <w:r>
              <w:rPr>
                <w:rFonts w:ascii="宋体" w:hAnsi="宋体" w:eastAsia="宋体" w:cs="宋体"/>
                <w:spacing w:val="7"/>
                <w:sz w:val="20"/>
                <w:szCs w:val="20"/>
              </w:rPr>
              <w:t>施工</w:t>
            </w:r>
            <w:r>
              <w:rPr>
                <w:rFonts w:ascii="宋体" w:hAnsi="宋体" w:eastAsia="宋体" w:cs="宋体"/>
                <w:sz w:val="20"/>
                <w:szCs w:val="20"/>
              </w:rPr>
              <w:t>费</w:t>
            </w:r>
          </w:p>
        </w:tc>
        <w:tc>
          <w:tcPr>
            <w:tcW w:w="847" w:type="dxa"/>
            <w:tcBorders>
              <w:top w:val="single" w:color="000000" w:sz="6" w:space="0"/>
            </w:tcBorders>
            <w:vAlign w:val="top"/>
          </w:tcPr>
          <w:p>
            <w:pPr>
              <w:pStyle w:val="6"/>
              <w:spacing w:line="246" w:lineRule="auto"/>
            </w:pPr>
          </w:p>
          <w:p>
            <w:pPr>
              <w:spacing w:before="65" w:line="280" w:lineRule="auto"/>
              <w:ind w:left="105" w:right="110"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099" w:type="dxa"/>
            <w:tcBorders>
              <w:top w:val="single" w:color="000000" w:sz="6" w:space="0"/>
            </w:tcBorders>
            <w:vAlign w:val="top"/>
          </w:tcPr>
          <w:p>
            <w:pPr>
              <w:pStyle w:val="6"/>
              <w:spacing w:line="245" w:lineRule="auto"/>
            </w:pPr>
          </w:p>
          <w:p>
            <w:pPr>
              <w:spacing w:before="65" w:line="280" w:lineRule="auto"/>
              <w:ind w:left="128" w:right="132"/>
              <w:rPr>
                <w:rFonts w:ascii="宋体" w:hAnsi="宋体" w:eastAsia="宋体" w:cs="宋体"/>
                <w:sz w:val="20"/>
                <w:szCs w:val="20"/>
              </w:rPr>
            </w:pPr>
            <w:r>
              <w:rPr>
                <w:rFonts w:ascii="宋体" w:hAnsi="宋体" w:eastAsia="宋体" w:cs="宋体"/>
                <w:spacing w:val="8"/>
                <w:sz w:val="20"/>
                <w:szCs w:val="20"/>
              </w:rPr>
              <w:t>冬雨季施工增加费</w:t>
            </w:r>
          </w:p>
        </w:tc>
        <w:tc>
          <w:tcPr>
            <w:tcW w:w="1126" w:type="dxa"/>
            <w:tcBorders>
              <w:top w:val="single" w:color="000000" w:sz="6" w:space="0"/>
            </w:tcBorders>
            <w:vAlign w:val="top"/>
          </w:tcPr>
          <w:p>
            <w:pPr>
              <w:spacing w:before="159" w:line="219" w:lineRule="auto"/>
              <w:ind w:left="162"/>
              <w:rPr>
                <w:rFonts w:ascii="宋体" w:hAnsi="宋体" w:eastAsia="宋体" w:cs="宋体"/>
                <w:sz w:val="20"/>
                <w:szCs w:val="20"/>
              </w:rPr>
            </w:pPr>
            <w:r>
              <w:rPr>
                <w:rFonts w:ascii="宋体" w:hAnsi="宋体" w:eastAsia="宋体" w:cs="宋体"/>
                <w:spacing w:val="4"/>
                <w:sz w:val="20"/>
                <w:szCs w:val="20"/>
              </w:rPr>
              <w:t>已完工程</w:t>
            </w:r>
          </w:p>
          <w:p>
            <w:pPr>
              <w:spacing w:before="60" w:line="281" w:lineRule="auto"/>
              <w:ind w:left="357" w:right="142" w:hanging="214"/>
              <w:rPr>
                <w:rFonts w:ascii="宋体" w:hAnsi="宋体" w:eastAsia="宋体" w:cs="宋体"/>
                <w:sz w:val="20"/>
                <w:szCs w:val="20"/>
              </w:rPr>
            </w:pPr>
            <w:r>
              <w:rPr>
                <w:rFonts w:ascii="宋体" w:hAnsi="宋体" w:eastAsia="宋体" w:cs="宋体"/>
                <w:spacing w:val="8"/>
                <w:sz w:val="20"/>
                <w:szCs w:val="20"/>
              </w:rPr>
              <w:t>及设备保</w:t>
            </w:r>
            <w:r>
              <w:rPr>
                <w:rFonts w:ascii="宋体" w:hAnsi="宋体" w:eastAsia="宋体" w:cs="宋体"/>
                <w:spacing w:val="4"/>
                <w:sz w:val="20"/>
                <w:szCs w:val="20"/>
              </w:rPr>
              <w:t>护费</w:t>
            </w:r>
          </w:p>
        </w:tc>
        <w:tc>
          <w:tcPr>
            <w:tcW w:w="1027" w:type="dxa"/>
            <w:tcBorders>
              <w:top w:val="single" w:color="000000" w:sz="6" w:space="0"/>
            </w:tcBorders>
            <w:vAlign w:val="top"/>
          </w:tcPr>
          <w:p>
            <w:pPr>
              <w:spacing w:before="160" w:line="219" w:lineRule="auto"/>
              <w:ind w:left="203"/>
              <w:rPr>
                <w:rFonts w:ascii="宋体" w:hAnsi="宋体" w:eastAsia="宋体" w:cs="宋体"/>
                <w:sz w:val="20"/>
                <w:szCs w:val="20"/>
              </w:rPr>
            </w:pPr>
            <w:r>
              <w:rPr>
                <w:rFonts w:ascii="宋体" w:hAnsi="宋体" w:eastAsia="宋体" w:cs="宋体"/>
                <w:spacing w:val="8"/>
                <w:sz w:val="20"/>
                <w:szCs w:val="20"/>
              </w:rPr>
              <w:t>工程定</w:t>
            </w:r>
          </w:p>
          <w:p>
            <w:pPr>
              <w:spacing w:before="62" w:line="280" w:lineRule="auto"/>
              <w:ind w:left="417" w:right="194" w:hanging="215"/>
              <w:rPr>
                <w:rFonts w:ascii="宋体" w:hAnsi="宋体" w:eastAsia="宋体" w:cs="宋体"/>
                <w:sz w:val="20"/>
                <w:szCs w:val="20"/>
              </w:rPr>
            </w:pPr>
            <w:r>
              <w:rPr>
                <w:rFonts w:ascii="宋体" w:hAnsi="宋体" w:eastAsia="宋体" w:cs="宋体"/>
                <w:spacing w:val="8"/>
                <w:sz w:val="20"/>
                <w:szCs w:val="20"/>
              </w:rPr>
              <w:t>位复测</w:t>
            </w:r>
            <w:r>
              <w:rPr>
                <w:rFonts w:ascii="宋体" w:hAnsi="宋体" w:eastAsia="宋体" w:cs="宋体"/>
                <w:sz w:val="20"/>
                <w:szCs w:val="20"/>
              </w:rPr>
              <w:t>费</w:t>
            </w:r>
          </w:p>
        </w:tc>
        <w:tc>
          <w:tcPr>
            <w:tcW w:w="957" w:type="dxa"/>
            <w:tcBorders>
              <w:top w:val="single" w:color="000000" w:sz="6" w:space="0"/>
            </w:tcBorders>
            <w:vAlign w:val="top"/>
          </w:tcPr>
          <w:p>
            <w:pPr>
              <w:spacing w:before="159" w:line="219" w:lineRule="auto"/>
              <w:ind w:left="169"/>
              <w:rPr>
                <w:rFonts w:ascii="宋体" w:hAnsi="宋体" w:eastAsia="宋体" w:cs="宋体"/>
                <w:sz w:val="20"/>
                <w:szCs w:val="20"/>
              </w:rPr>
            </w:pPr>
            <w:r>
              <w:rPr>
                <w:rFonts w:ascii="宋体" w:hAnsi="宋体" w:eastAsia="宋体" w:cs="宋体"/>
                <w:spacing w:val="8"/>
                <w:sz w:val="20"/>
                <w:szCs w:val="20"/>
              </w:rPr>
              <w:t>地下管</w:t>
            </w:r>
          </w:p>
          <w:p>
            <w:pPr>
              <w:spacing w:before="64" w:line="216" w:lineRule="auto"/>
              <w:ind w:left="169"/>
              <w:rPr>
                <w:rFonts w:ascii="宋体" w:hAnsi="宋体" w:eastAsia="宋体" w:cs="宋体"/>
                <w:sz w:val="20"/>
                <w:szCs w:val="20"/>
              </w:rPr>
            </w:pPr>
            <w:r>
              <w:rPr>
                <w:rFonts w:ascii="宋体" w:hAnsi="宋体" w:eastAsia="宋体" w:cs="宋体"/>
                <w:spacing w:val="8"/>
                <w:sz w:val="20"/>
                <w:szCs w:val="20"/>
              </w:rPr>
              <w:t>线交叉</w:t>
            </w:r>
          </w:p>
          <w:p>
            <w:pPr>
              <w:spacing w:before="66" w:line="218" w:lineRule="auto"/>
              <w:ind w:left="168"/>
              <w:rPr>
                <w:rFonts w:ascii="宋体" w:hAnsi="宋体" w:eastAsia="宋体" w:cs="宋体"/>
                <w:sz w:val="20"/>
                <w:szCs w:val="20"/>
              </w:rPr>
            </w:pPr>
            <w:r>
              <w:rPr>
                <w:rFonts w:ascii="宋体" w:hAnsi="宋体" w:eastAsia="宋体" w:cs="宋体"/>
                <w:spacing w:val="8"/>
                <w:sz w:val="20"/>
                <w:szCs w:val="20"/>
              </w:rPr>
              <w:t>处理费</w:t>
            </w:r>
          </w:p>
        </w:tc>
        <w:tc>
          <w:tcPr>
            <w:tcW w:w="1099" w:type="dxa"/>
            <w:tcBorders>
              <w:top w:val="single" w:color="000000" w:sz="6" w:space="0"/>
            </w:tcBorders>
            <w:vAlign w:val="top"/>
          </w:tcPr>
          <w:p>
            <w:pPr>
              <w:spacing w:before="159" w:line="219" w:lineRule="auto"/>
              <w:ind w:left="135"/>
              <w:rPr>
                <w:rFonts w:ascii="宋体" w:hAnsi="宋体" w:eastAsia="宋体" w:cs="宋体"/>
                <w:sz w:val="20"/>
                <w:szCs w:val="20"/>
              </w:rPr>
            </w:pPr>
            <w:r>
              <w:rPr>
                <w:rFonts w:ascii="宋体" w:hAnsi="宋体" w:eastAsia="宋体" w:cs="宋体"/>
                <w:spacing w:val="8"/>
                <w:sz w:val="20"/>
                <w:szCs w:val="20"/>
              </w:rPr>
              <w:t>廊内临时</w:t>
            </w:r>
          </w:p>
          <w:p>
            <w:pPr>
              <w:spacing w:before="69" w:line="278" w:lineRule="auto"/>
              <w:ind w:left="361" w:right="124" w:hanging="225"/>
              <w:rPr>
                <w:rFonts w:ascii="宋体" w:hAnsi="宋体" w:eastAsia="宋体" w:cs="宋体"/>
                <w:sz w:val="20"/>
                <w:szCs w:val="20"/>
              </w:rPr>
            </w:pPr>
            <w:r>
              <w:rPr>
                <w:rFonts w:ascii="宋体" w:hAnsi="宋体" w:eastAsia="宋体" w:cs="宋体"/>
                <w:spacing w:val="8"/>
                <w:sz w:val="20"/>
                <w:szCs w:val="20"/>
              </w:rPr>
              <w:t>通风及照</w:t>
            </w:r>
            <w:r>
              <w:rPr>
                <w:rFonts w:ascii="宋体" w:hAnsi="宋体" w:eastAsia="宋体" w:cs="宋体"/>
                <w:spacing w:val="-2"/>
                <w:sz w:val="20"/>
                <w:szCs w:val="20"/>
              </w:rPr>
              <w:t>明费</w:t>
            </w:r>
          </w:p>
        </w:tc>
        <w:tc>
          <w:tcPr>
            <w:tcW w:w="895" w:type="dxa"/>
            <w:tcBorders>
              <w:top w:val="single" w:color="000000" w:sz="6" w:space="0"/>
              <w:right w:val="single" w:color="000000" w:sz="6" w:space="0"/>
            </w:tcBorders>
            <w:vAlign w:val="top"/>
          </w:tcPr>
          <w:p>
            <w:pPr>
              <w:pStyle w:val="6"/>
              <w:spacing w:line="244" w:lineRule="auto"/>
            </w:pPr>
          </w:p>
          <w:p>
            <w:pPr>
              <w:spacing w:before="65" w:line="280" w:lineRule="auto"/>
              <w:ind w:left="134" w:right="124"/>
              <w:rPr>
                <w:rFonts w:ascii="宋体" w:hAnsi="宋体" w:eastAsia="宋体" w:cs="宋体"/>
                <w:sz w:val="20"/>
                <w:szCs w:val="20"/>
              </w:rPr>
            </w:pPr>
            <w:r>
              <w:rPr>
                <w:rFonts w:ascii="宋体" w:hAnsi="宋体" w:eastAsia="宋体" w:cs="宋体"/>
                <w:spacing w:val="8"/>
                <w:sz w:val="20"/>
                <w:szCs w:val="20"/>
              </w:rPr>
              <w:t>脚手架搭拆费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7" w:hRule="atLeast"/>
        </w:trPr>
        <w:tc>
          <w:tcPr>
            <w:tcW w:w="1772" w:type="dxa"/>
            <w:tcBorders>
              <w:left w:val="single" w:color="000000" w:sz="6" w:space="0"/>
            </w:tcBorders>
            <w:vAlign w:val="top"/>
          </w:tcPr>
          <w:p>
            <w:pPr>
              <w:spacing w:before="118" w:line="211" w:lineRule="auto"/>
              <w:ind w:left="145"/>
              <w:rPr>
                <w:rFonts w:ascii="宋体" w:hAnsi="宋体" w:eastAsia="宋体" w:cs="宋体"/>
                <w:sz w:val="20"/>
                <w:szCs w:val="20"/>
              </w:rPr>
            </w:pPr>
            <w:r>
              <w:rPr>
                <w:rFonts w:ascii="宋体" w:hAnsi="宋体" w:eastAsia="宋体" w:cs="宋体"/>
                <w:spacing w:val="9"/>
                <w:sz w:val="20"/>
                <w:szCs w:val="20"/>
              </w:rPr>
              <w:t>建筑和装饰工程</w:t>
            </w:r>
          </w:p>
        </w:tc>
        <w:tc>
          <w:tcPr>
            <w:tcW w:w="814" w:type="dxa"/>
            <w:vAlign w:val="top"/>
          </w:tcPr>
          <w:p>
            <w:pPr>
              <w:spacing w:before="115" w:line="214" w:lineRule="auto"/>
              <w:ind w:left="222"/>
              <w:rPr>
                <w:rFonts w:ascii="宋体" w:hAnsi="宋体" w:eastAsia="宋体" w:cs="宋体"/>
                <w:sz w:val="20"/>
                <w:szCs w:val="20"/>
              </w:rPr>
            </w:pPr>
            <w:r>
              <w:rPr>
                <w:rFonts w:ascii="宋体" w:hAnsi="宋体" w:eastAsia="宋体" w:cs="宋体"/>
                <w:spacing w:val="-11"/>
                <w:sz w:val="20"/>
                <w:szCs w:val="20"/>
              </w:rPr>
              <w:t>0.26</w:t>
            </w:r>
          </w:p>
        </w:tc>
        <w:tc>
          <w:tcPr>
            <w:tcW w:w="847" w:type="dxa"/>
            <w:vAlign w:val="top"/>
          </w:tcPr>
          <w:p>
            <w:pPr>
              <w:spacing w:before="115" w:line="214" w:lineRule="auto"/>
              <w:ind w:left="259"/>
              <w:rPr>
                <w:rFonts w:ascii="宋体" w:hAnsi="宋体" w:eastAsia="宋体" w:cs="宋体"/>
                <w:sz w:val="20"/>
                <w:szCs w:val="20"/>
              </w:rPr>
            </w:pPr>
            <w:r>
              <w:rPr>
                <w:rFonts w:ascii="宋体" w:hAnsi="宋体" w:eastAsia="宋体" w:cs="宋体"/>
                <w:spacing w:val="-16"/>
                <w:sz w:val="20"/>
                <w:szCs w:val="20"/>
              </w:rPr>
              <w:t>1.91</w:t>
            </w:r>
          </w:p>
        </w:tc>
        <w:tc>
          <w:tcPr>
            <w:tcW w:w="1099" w:type="dxa"/>
            <w:vAlign w:val="top"/>
          </w:tcPr>
          <w:p>
            <w:pPr>
              <w:spacing w:before="115" w:line="214" w:lineRule="auto"/>
              <w:ind w:left="366"/>
              <w:rPr>
                <w:rFonts w:ascii="宋体" w:hAnsi="宋体" w:eastAsia="宋体" w:cs="宋体"/>
                <w:sz w:val="20"/>
                <w:szCs w:val="20"/>
              </w:rPr>
            </w:pPr>
            <w:r>
              <w:rPr>
                <w:rFonts w:ascii="宋体" w:hAnsi="宋体" w:eastAsia="宋体" w:cs="宋体"/>
                <w:spacing w:val="-11"/>
                <w:sz w:val="20"/>
                <w:szCs w:val="20"/>
              </w:rPr>
              <w:t>0.26</w:t>
            </w:r>
          </w:p>
        </w:tc>
        <w:tc>
          <w:tcPr>
            <w:tcW w:w="1126" w:type="dxa"/>
            <w:vAlign w:val="top"/>
          </w:tcPr>
          <w:p>
            <w:pPr>
              <w:spacing w:before="115" w:line="214" w:lineRule="auto"/>
              <w:ind w:left="383"/>
              <w:rPr>
                <w:rFonts w:ascii="宋体" w:hAnsi="宋体" w:eastAsia="宋体" w:cs="宋体"/>
                <w:sz w:val="20"/>
                <w:szCs w:val="20"/>
              </w:rPr>
            </w:pPr>
            <w:r>
              <w:rPr>
                <w:rFonts w:ascii="宋体" w:hAnsi="宋体" w:eastAsia="宋体" w:cs="宋体"/>
                <w:spacing w:val="-11"/>
                <w:sz w:val="20"/>
                <w:szCs w:val="20"/>
              </w:rPr>
              <w:t>0.49</w:t>
            </w:r>
          </w:p>
        </w:tc>
        <w:tc>
          <w:tcPr>
            <w:tcW w:w="1027" w:type="dxa"/>
            <w:vAlign w:val="top"/>
          </w:tcPr>
          <w:p>
            <w:pPr>
              <w:spacing w:before="115" w:line="214" w:lineRule="auto"/>
              <w:ind w:left="335"/>
              <w:rPr>
                <w:rFonts w:ascii="宋体" w:hAnsi="宋体" w:eastAsia="宋体" w:cs="宋体"/>
                <w:sz w:val="20"/>
                <w:szCs w:val="20"/>
              </w:rPr>
            </w:pPr>
            <w:r>
              <w:rPr>
                <w:rFonts w:ascii="宋体" w:hAnsi="宋体" w:eastAsia="宋体" w:cs="宋体"/>
                <w:spacing w:val="-11"/>
                <w:sz w:val="20"/>
                <w:szCs w:val="20"/>
              </w:rPr>
              <w:t>0.08</w:t>
            </w:r>
          </w:p>
        </w:tc>
        <w:tc>
          <w:tcPr>
            <w:tcW w:w="957" w:type="dxa"/>
            <w:vAlign w:val="top"/>
          </w:tcPr>
          <w:p>
            <w:pPr>
              <w:spacing w:before="115" w:line="214" w:lineRule="auto"/>
              <w:ind w:left="301"/>
              <w:rPr>
                <w:rFonts w:ascii="宋体" w:hAnsi="宋体" w:eastAsia="宋体" w:cs="宋体"/>
                <w:sz w:val="20"/>
                <w:szCs w:val="20"/>
              </w:rPr>
            </w:pPr>
            <w:r>
              <w:rPr>
                <w:rFonts w:ascii="宋体" w:hAnsi="宋体" w:eastAsia="宋体" w:cs="宋体"/>
                <w:spacing w:val="-11"/>
                <w:sz w:val="20"/>
                <w:szCs w:val="20"/>
              </w:rPr>
              <w:t>0.36</w:t>
            </w:r>
          </w:p>
        </w:tc>
        <w:tc>
          <w:tcPr>
            <w:tcW w:w="1099" w:type="dxa"/>
            <w:vAlign w:val="top"/>
          </w:tcPr>
          <w:p>
            <w:pPr>
              <w:spacing w:before="238" w:line="109" w:lineRule="exact"/>
              <w:ind w:left="503"/>
              <w:rPr>
                <w:rFonts w:ascii="宋体" w:hAnsi="宋体" w:eastAsia="宋体" w:cs="宋体"/>
                <w:sz w:val="20"/>
                <w:szCs w:val="20"/>
              </w:rPr>
            </w:pPr>
            <w:r>
              <w:rPr>
                <w:rFonts w:ascii="宋体" w:hAnsi="宋体" w:eastAsia="宋体" w:cs="宋体"/>
                <w:spacing w:val="5"/>
                <w:position w:val="-4"/>
                <w:sz w:val="20"/>
                <w:szCs w:val="20"/>
              </w:rPr>
              <w:t>-</w:t>
            </w:r>
          </w:p>
        </w:tc>
        <w:tc>
          <w:tcPr>
            <w:tcW w:w="895" w:type="dxa"/>
            <w:tcBorders>
              <w:right w:val="single" w:color="000000" w:sz="6" w:space="0"/>
            </w:tcBorders>
            <w:vAlign w:val="top"/>
          </w:tcPr>
          <w:p>
            <w:pPr>
              <w:spacing w:before="238" w:line="109" w:lineRule="exact"/>
              <w:ind w:left="397"/>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1772" w:type="dxa"/>
            <w:tcBorders>
              <w:left w:val="single" w:color="000000" w:sz="6" w:space="0"/>
              <w:bottom w:val="single" w:color="000000" w:sz="6" w:space="0"/>
            </w:tcBorders>
            <w:vAlign w:val="top"/>
          </w:tcPr>
          <w:p>
            <w:pPr>
              <w:spacing w:before="123" w:line="219" w:lineRule="auto"/>
              <w:ind w:left="460"/>
              <w:rPr>
                <w:rFonts w:ascii="宋体" w:hAnsi="宋体" w:eastAsia="宋体" w:cs="宋体"/>
                <w:sz w:val="20"/>
                <w:szCs w:val="20"/>
              </w:rPr>
            </w:pPr>
            <w:r>
              <w:rPr>
                <w:rFonts w:ascii="宋体" w:hAnsi="宋体" w:eastAsia="宋体" w:cs="宋体"/>
                <w:spacing w:val="8"/>
                <w:sz w:val="20"/>
                <w:szCs w:val="20"/>
              </w:rPr>
              <w:t>安装工程</w:t>
            </w:r>
          </w:p>
        </w:tc>
        <w:tc>
          <w:tcPr>
            <w:tcW w:w="814" w:type="dxa"/>
            <w:tcBorders>
              <w:bottom w:val="single" w:color="000000" w:sz="6" w:space="0"/>
            </w:tcBorders>
            <w:vAlign w:val="top"/>
          </w:tcPr>
          <w:p>
            <w:pPr>
              <w:spacing w:before="118" w:line="227" w:lineRule="auto"/>
              <w:ind w:left="240"/>
              <w:rPr>
                <w:rFonts w:ascii="宋体" w:hAnsi="宋体" w:eastAsia="宋体" w:cs="宋体"/>
                <w:sz w:val="20"/>
                <w:szCs w:val="20"/>
              </w:rPr>
            </w:pPr>
            <w:r>
              <w:rPr>
                <w:rFonts w:ascii="宋体" w:hAnsi="宋体" w:eastAsia="宋体" w:cs="宋体"/>
                <w:spacing w:val="-15"/>
                <w:sz w:val="20"/>
                <w:szCs w:val="20"/>
              </w:rPr>
              <w:t>1.28</w:t>
            </w:r>
          </w:p>
        </w:tc>
        <w:tc>
          <w:tcPr>
            <w:tcW w:w="847" w:type="dxa"/>
            <w:tcBorders>
              <w:bottom w:val="single" w:color="000000" w:sz="6" w:space="0"/>
            </w:tcBorders>
            <w:vAlign w:val="top"/>
          </w:tcPr>
          <w:p>
            <w:pPr>
              <w:spacing w:before="118" w:line="227" w:lineRule="auto"/>
              <w:ind w:left="242"/>
              <w:rPr>
                <w:rFonts w:ascii="宋体" w:hAnsi="宋体" w:eastAsia="宋体" w:cs="宋体"/>
                <w:sz w:val="20"/>
                <w:szCs w:val="20"/>
              </w:rPr>
            </w:pPr>
            <w:r>
              <w:rPr>
                <w:rFonts w:ascii="宋体" w:hAnsi="宋体" w:eastAsia="宋体" w:cs="宋体"/>
                <w:spacing w:val="-12"/>
                <w:sz w:val="20"/>
                <w:szCs w:val="20"/>
              </w:rPr>
              <w:t>2.10</w:t>
            </w:r>
          </w:p>
        </w:tc>
        <w:tc>
          <w:tcPr>
            <w:tcW w:w="1099" w:type="dxa"/>
            <w:tcBorders>
              <w:bottom w:val="single" w:color="000000" w:sz="6" w:space="0"/>
            </w:tcBorders>
            <w:vAlign w:val="top"/>
          </w:tcPr>
          <w:p>
            <w:pPr>
              <w:spacing w:before="118" w:line="227" w:lineRule="auto"/>
              <w:ind w:left="384"/>
              <w:rPr>
                <w:rFonts w:ascii="宋体" w:hAnsi="宋体" w:eastAsia="宋体" w:cs="宋体"/>
                <w:sz w:val="20"/>
                <w:szCs w:val="20"/>
              </w:rPr>
            </w:pPr>
            <w:r>
              <w:rPr>
                <w:rFonts w:ascii="宋体" w:hAnsi="宋体" w:eastAsia="宋体" w:cs="宋体"/>
                <w:spacing w:val="-15"/>
                <w:sz w:val="20"/>
                <w:szCs w:val="20"/>
              </w:rPr>
              <w:t>1.40</w:t>
            </w:r>
          </w:p>
        </w:tc>
        <w:tc>
          <w:tcPr>
            <w:tcW w:w="1126" w:type="dxa"/>
            <w:tcBorders>
              <w:bottom w:val="single" w:color="000000" w:sz="6" w:space="0"/>
            </w:tcBorders>
            <w:vAlign w:val="top"/>
          </w:tcPr>
          <w:p>
            <w:pPr>
              <w:spacing w:before="118" w:line="227" w:lineRule="auto"/>
              <w:ind w:left="401"/>
              <w:rPr>
                <w:rFonts w:ascii="宋体" w:hAnsi="宋体" w:eastAsia="宋体" w:cs="宋体"/>
                <w:sz w:val="20"/>
                <w:szCs w:val="20"/>
              </w:rPr>
            </w:pPr>
            <w:r>
              <w:rPr>
                <w:rFonts w:ascii="宋体" w:hAnsi="宋体" w:eastAsia="宋体" w:cs="宋体"/>
                <w:spacing w:val="-15"/>
                <w:sz w:val="20"/>
                <w:szCs w:val="20"/>
              </w:rPr>
              <w:t>1.20</w:t>
            </w:r>
          </w:p>
        </w:tc>
        <w:tc>
          <w:tcPr>
            <w:tcW w:w="1027" w:type="dxa"/>
            <w:tcBorders>
              <w:bottom w:val="single" w:color="000000" w:sz="6" w:space="0"/>
            </w:tcBorders>
            <w:vAlign w:val="top"/>
          </w:tcPr>
          <w:p>
            <w:pPr>
              <w:spacing w:before="241" w:line="123"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957" w:type="dxa"/>
            <w:tcBorders>
              <w:bottom w:val="single" w:color="000000" w:sz="6" w:space="0"/>
            </w:tcBorders>
            <w:vAlign w:val="top"/>
          </w:tcPr>
          <w:p>
            <w:pPr>
              <w:spacing w:before="241" w:line="123" w:lineRule="exact"/>
              <w:ind w:left="430"/>
              <w:rPr>
                <w:rFonts w:ascii="宋体" w:hAnsi="宋体" w:eastAsia="宋体" w:cs="宋体"/>
                <w:sz w:val="20"/>
                <w:szCs w:val="20"/>
              </w:rPr>
            </w:pPr>
            <w:r>
              <w:rPr>
                <w:rFonts w:ascii="宋体" w:hAnsi="宋体" w:eastAsia="宋体" w:cs="宋体"/>
                <w:spacing w:val="5"/>
                <w:position w:val="-4"/>
                <w:sz w:val="20"/>
                <w:szCs w:val="20"/>
              </w:rPr>
              <w:t>-</w:t>
            </w:r>
          </w:p>
        </w:tc>
        <w:tc>
          <w:tcPr>
            <w:tcW w:w="1099" w:type="dxa"/>
            <w:tcBorders>
              <w:bottom w:val="single" w:color="000000" w:sz="6" w:space="0"/>
            </w:tcBorders>
            <w:vAlign w:val="top"/>
          </w:tcPr>
          <w:p>
            <w:pPr>
              <w:spacing w:before="118" w:line="227" w:lineRule="auto"/>
              <w:ind w:left="373"/>
              <w:rPr>
                <w:rFonts w:ascii="宋体" w:hAnsi="宋体" w:eastAsia="宋体" w:cs="宋体"/>
                <w:sz w:val="20"/>
                <w:szCs w:val="20"/>
              </w:rPr>
            </w:pPr>
            <w:r>
              <w:rPr>
                <w:rFonts w:ascii="宋体" w:hAnsi="宋体" w:eastAsia="宋体" w:cs="宋体"/>
                <w:spacing w:val="-11"/>
                <w:sz w:val="20"/>
                <w:szCs w:val="20"/>
              </w:rPr>
              <w:t>7.00</w:t>
            </w:r>
          </w:p>
        </w:tc>
        <w:tc>
          <w:tcPr>
            <w:tcW w:w="895" w:type="dxa"/>
            <w:tcBorders>
              <w:bottom w:val="single" w:color="000000" w:sz="6" w:space="0"/>
              <w:right w:val="single" w:color="000000" w:sz="6" w:space="0"/>
            </w:tcBorders>
            <w:vAlign w:val="top"/>
          </w:tcPr>
          <w:p>
            <w:pPr>
              <w:spacing w:before="118" w:line="227" w:lineRule="auto"/>
              <w:ind w:left="269"/>
              <w:rPr>
                <w:rFonts w:ascii="宋体" w:hAnsi="宋体" w:eastAsia="宋体" w:cs="宋体"/>
                <w:sz w:val="20"/>
                <w:szCs w:val="20"/>
              </w:rPr>
            </w:pPr>
            <w:r>
              <w:rPr>
                <w:rFonts w:ascii="宋体" w:hAnsi="宋体" w:eastAsia="宋体" w:cs="宋体"/>
                <w:spacing w:val="-11"/>
                <w:sz w:val="20"/>
                <w:szCs w:val="20"/>
              </w:rPr>
              <w:t>2.50</w:t>
            </w:r>
          </w:p>
        </w:tc>
      </w:tr>
    </w:tbl>
    <w:p>
      <w:pPr>
        <w:pStyle w:val="2"/>
        <w:spacing w:before="288" w:line="203" w:lineRule="auto"/>
        <w:ind w:left="4244"/>
        <w:rPr>
          <w:sz w:val="22"/>
          <w:szCs w:val="22"/>
        </w:rPr>
      </w:pPr>
      <w:r>
        <w:rPr>
          <w:spacing w:val="-2"/>
          <w:sz w:val="22"/>
          <w:szCs w:val="22"/>
        </w:rPr>
        <w:t>2.</w:t>
      </w:r>
      <w:r>
        <w:rPr>
          <w:spacing w:val="56"/>
          <w:sz w:val="22"/>
          <w:szCs w:val="22"/>
        </w:rPr>
        <w:t xml:space="preserve"> </w:t>
      </w:r>
      <w:r>
        <w:rPr>
          <w:spacing w:val="-2"/>
          <w:sz w:val="22"/>
          <w:szCs w:val="22"/>
        </w:rPr>
        <w:t>简易计税法下</w:t>
      </w:r>
    </w:p>
    <w:p>
      <w:pPr>
        <w:spacing w:before="59" w:line="234" w:lineRule="auto"/>
        <w:ind w:left="8559"/>
        <w:rPr>
          <w:rFonts w:ascii="宋体" w:hAnsi="宋体" w:eastAsia="宋体" w:cs="宋体"/>
          <w:sz w:val="20"/>
          <w:szCs w:val="20"/>
        </w:rPr>
      </w:pPr>
      <w:r>
        <w:rPr>
          <w:rFonts w:ascii="宋体" w:hAnsi="宋体" w:eastAsia="宋体" w:cs="宋体"/>
          <w:spacing w:val="24"/>
          <w:sz w:val="20"/>
          <w:szCs w:val="20"/>
        </w:rPr>
        <w:t>单位：%</w:t>
      </w:r>
    </w:p>
    <w:tbl>
      <w:tblPr>
        <w:tblStyle w:val="5"/>
        <w:tblW w:w="963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2"/>
        <w:gridCol w:w="814"/>
        <w:gridCol w:w="847"/>
        <w:gridCol w:w="1099"/>
        <w:gridCol w:w="1126"/>
        <w:gridCol w:w="1027"/>
        <w:gridCol w:w="957"/>
        <w:gridCol w:w="1099"/>
        <w:gridCol w:w="8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78" w:hRule="atLeast"/>
        </w:trPr>
        <w:tc>
          <w:tcPr>
            <w:tcW w:w="1772" w:type="dxa"/>
            <w:tcBorders>
              <w:top w:val="single" w:color="000000" w:sz="6" w:space="0"/>
              <w:left w:val="single" w:color="000000" w:sz="6" w:space="0"/>
              <w:tl2br w:val="single" w:color="000000" w:sz="2" w:space="0"/>
            </w:tcBorders>
            <w:vAlign w:val="top"/>
          </w:tcPr>
          <w:p>
            <w:pPr>
              <w:spacing w:before="120" w:line="218" w:lineRule="auto"/>
              <w:ind w:left="781"/>
              <w:rPr>
                <w:rFonts w:ascii="宋体" w:hAnsi="宋体" w:eastAsia="宋体" w:cs="宋体"/>
                <w:sz w:val="20"/>
                <w:szCs w:val="20"/>
              </w:rPr>
            </w:pPr>
            <w:r>
              <w:rPr>
                <w:rFonts w:ascii="宋体" w:hAnsi="宋体" w:eastAsia="宋体" w:cs="宋体"/>
                <w:spacing w:val="6"/>
                <w:sz w:val="20"/>
                <w:szCs w:val="20"/>
              </w:rPr>
              <w:t>费用名称</w:t>
            </w:r>
          </w:p>
          <w:p>
            <w:pPr>
              <w:pStyle w:val="6"/>
              <w:spacing w:line="413" w:lineRule="auto"/>
            </w:pPr>
          </w:p>
          <w:p>
            <w:pPr>
              <w:spacing w:before="65" w:line="213" w:lineRule="auto"/>
              <w:ind w:left="107"/>
              <w:rPr>
                <w:rFonts w:ascii="宋体" w:hAnsi="宋体" w:eastAsia="宋体" w:cs="宋体"/>
                <w:sz w:val="20"/>
                <w:szCs w:val="20"/>
              </w:rPr>
            </w:pPr>
            <w:r>
              <w:rPr>
                <w:rFonts w:ascii="宋体" w:hAnsi="宋体" w:eastAsia="宋体" w:cs="宋体"/>
                <w:spacing w:val="8"/>
                <w:sz w:val="20"/>
                <w:szCs w:val="20"/>
              </w:rPr>
              <w:t>专业名称</w:t>
            </w:r>
          </w:p>
        </w:tc>
        <w:tc>
          <w:tcPr>
            <w:tcW w:w="814" w:type="dxa"/>
            <w:tcBorders>
              <w:top w:val="single" w:color="000000" w:sz="6" w:space="0"/>
            </w:tcBorders>
            <w:vAlign w:val="top"/>
          </w:tcPr>
          <w:p>
            <w:pPr>
              <w:spacing w:before="159" w:line="218" w:lineRule="auto"/>
              <w:ind w:left="193"/>
              <w:rPr>
                <w:rFonts w:ascii="宋体" w:hAnsi="宋体" w:eastAsia="宋体" w:cs="宋体"/>
                <w:sz w:val="20"/>
                <w:szCs w:val="20"/>
              </w:rPr>
            </w:pPr>
            <w:r>
              <w:rPr>
                <w:rFonts w:ascii="宋体" w:hAnsi="宋体" w:eastAsia="宋体" w:cs="宋体"/>
                <w:spacing w:val="6"/>
                <w:sz w:val="20"/>
                <w:szCs w:val="20"/>
              </w:rPr>
              <w:t>夜间</w:t>
            </w:r>
          </w:p>
          <w:p>
            <w:pPr>
              <w:spacing w:before="68" w:line="279" w:lineRule="auto"/>
              <w:ind w:left="304" w:right="202" w:hanging="113"/>
              <w:rPr>
                <w:rFonts w:ascii="宋体" w:hAnsi="宋体" w:eastAsia="宋体" w:cs="宋体"/>
                <w:sz w:val="20"/>
                <w:szCs w:val="20"/>
              </w:rPr>
            </w:pPr>
            <w:r>
              <w:rPr>
                <w:rFonts w:ascii="宋体" w:hAnsi="宋体" w:eastAsia="宋体" w:cs="宋体"/>
                <w:spacing w:val="7"/>
                <w:sz w:val="20"/>
                <w:szCs w:val="20"/>
              </w:rPr>
              <w:t>施工</w:t>
            </w:r>
            <w:r>
              <w:rPr>
                <w:rFonts w:ascii="宋体" w:hAnsi="宋体" w:eastAsia="宋体" w:cs="宋体"/>
                <w:sz w:val="20"/>
                <w:szCs w:val="20"/>
              </w:rPr>
              <w:t>费</w:t>
            </w:r>
          </w:p>
        </w:tc>
        <w:tc>
          <w:tcPr>
            <w:tcW w:w="847" w:type="dxa"/>
            <w:tcBorders>
              <w:top w:val="single" w:color="000000" w:sz="6" w:space="0"/>
            </w:tcBorders>
            <w:vAlign w:val="top"/>
          </w:tcPr>
          <w:p>
            <w:pPr>
              <w:pStyle w:val="6"/>
              <w:spacing w:line="246" w:lineRule="auto"/>
            </w:pPr>
          </w:p>
          <w:p>
            <w:pPr>
              <w:spacing w:before="65" w:line="280" w:lineRule="auto"/>
              <w:ind w:left="105" w:right="110" w:firstLine="1"/>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8"/>
                <w:sz w:val="20"/>
                <w:szCs w:val="20"/>
              </w:rPr>
              <w:t xml:space="preserve">  </w:t>
            </w:r>
            <w:r>
              <w:rPr>
                <w:rFonts w:ascii="宋体" w:hAnsi="宋体" w:eastAsia="宋体" w:cs="宋体"/>
                <w:spacing w:val="3"/>
                <w:sz w:val="20"/>
                <w:szCs w:val="20"/>
              </w:rPr>
              <w:t>次</w:t>
            </w:r>
            <w:r>
              <w:rPr>
                <w:rFonts w:ascii="宋体" w:hAnsi="宋体" w:eastAsia="宋体" w:cs="宋体"/>
                <w:spacing w:val="8"/>
                <w:sz w:val="20"/>
                <w:szCs w:val="20"/>
              </w:rPr>
              <w:t>搬运费</w:t>
            </w:r>
          </w:p>
        </w:tc>
        <w:tc>
          <w:tcPr>
            <w:tcW w:w="1099" w:type="dxa"/>
            <w:tcBorders>
              <w:top w:val="single" w:color="000000" w:sz="6" w:space="0"/>
            </w:tcBorders>
            <w:vAlign w:val="top"/>
          </w:tcPr>
          <w:p>
            <w:pPr>
              <w:pStyle w:val="6"/>
              <w:spacing w:line="245" w:lineRule="auto"/>
            </w:pPr>
          </w:p>
          <w:p>
            <w:pPr>
              <w:spacing w:before="65" w:line="280" w:lineRule="auto"/>
              <w:ind w:left="128" w:right="132"/>
              <w:rPr>
                <w:rFonts w:ascii="宋体" w:hAnsi="宋体" w:eastAsia="宋体" w:cs="宋体"/>
                <w:sz w:val="20"/>
                <w:szCs w:val="20"/>
              </w:rPr>
            </w:pPr>
            <w:r>
              <w:rPr>
                <w:rFonts w:ascii="宋体" w:hAnsi="宋体" w:eastAsia="宋体" w:cs="宋体"/>
                <w:spacing w:val="8"/>
                <w:sz w:val="20"/>
                <w:szCs w:val="20"/>
              </w:rPr>
              <w:t>冬雨季施工增加费</w:t>
            </w:r>
          </w:p>
        </w:tc>
        <w:tc>
          <w:tcPr>
            <w:tcW w:w="1126" w:type="dxa"/>
            <w:tcBorders>
              <w:top w:val="single" w:color="000000" w:sz="6" w:space="0"/>
            </w:tcBorders>
            <w:vAlign w:val="top"/>
          </w:tcPr>
          <w:p>
            <w:pPr>
              <w:spacing w:before="158" w:line="219" w:lineRule="auto"/>
              <w:ind w:left="162"/>
              <w:rPr>
                <w:rFonts w:ascii="宋体" w:hAnsi="宋体" w:eastAsia="宋体" w:cs="宋体"/>
                <w:sz w:val="20"/>
                <w:szCs w:val="20"/>
              </w:rPr>
            </w:pPr>
            <w:r>
              <w:rPr>
                <w:rFonts w:ascii="宋体" w:hAnsi="宋体" w:eastAsia="宋体" w:cs="宋体"/>
                <w:spacing w:val="4"/>
                <w:sz w:val="20"/>
                <w:szCs w:val="20"/>
              </w:rPr>
              <w:t>已完工程</w:t>
            </w:r>
          </w:p>
          <w:p>
            <w:pPr>
              <w:spacing w:before="60" w:line="281" w:lineRule="auto"/>
              <w:ind w:left="357" w:right="142" w:hanging="214"/>
              <w:rPr>
                <w:rFonts w:ascii="宋体" w:hAnsi="宋体" w:eastAsia="宋体" w:cs="宋体"/>
                <w:sz w:val="20"/>
                <w:szCs w:val="20"/>
              </w:rPr>
            </w:pPr>
            <w:r>
              <w:rPr>
                <w:rFonts w:ascii="宋体" w:hAnsi="宋体" w:eastAsia="宋体" w:cs="宋体"/>
                <w:spacing w:val="8"/>
                <w:sz w:val="20"/>
                <w:szCs w:val="20"/>
              </w:rPr>
              <w:t>及设备保</w:t>
            </w:r>
            <w:r>
              <w:rPr>
                <w:rFonts w:ascii="宋体" w:hAnsi="宋体" w:eastAsia="宋体" w:cs="宋体"/>
                <w:spacing w:val="4"/>
                <w:sz w:val="20"/>
                <w:szCs w:val="20"/>
              </w:rPr>
              <w:t>护费</w:t>
            </w:r>
          </w:p>
        </w:tc>
        <w:tc>
          <w:tcPr>
            <w:tcW w:w="1027" w:type="dxa"/>
            <w:tcBorders>
              <w:top w:val="single" w:color="000000" w:sz="6" w:space="0"/>
            </w:tcBorders>
            <w:vAlign w:val="top"/>
          </w:tcPr>
          <w:p>
            <w:pPr>
              <w:spacing w:before="159" w:line="219" w:lineRule="auto"/>
              <w:ind w:left="203"/>
              <w:rPr>
                <w:rFonts w:ascii="宋体" w:hAnsi="宋体" w:eastAsia="宋体" w:cs="宋体"/>
                <w:sz w:val="20"/>
                <w:szCs w:val="20"/>
              </w:rPr>
            </w:pPr>
            <w:r>
              <w:rPr>
                <w:rFonts w:ascii="宋体" w:hAnsi="宋体" w:eastAsia="宋体" w:cs="宋体"/>
                <w:spacing w:val="8"/>
                <w:sz w:val="20"/>
                <w:szCs w:val="20"/>
              </w:rPr>
              <w:t>工程定</w:t>
            </w:r>
          </w:p>
          <w:p>
            <w:pPr>
              <w:spacing w:before="62" w:line="280" w:lineRule="auto"/>
              <w:ind w:left="417" w:right="194" w:hanging="215"/>
              <w:rPr>
                <w:rFonts w:ascii="宋体" w:hAnsi="宋体" w:eastAsia="宋体" w:cs="宋体"/>
                <w:sz w:val="20"/>
                <w:szCs w:val="20"/>
              </w:rPr>
            </w:pPr>
            <w:r>
              <w:rPr>
                <w:rFonts w:ascii="宋体" w:hAnsi="宋体" w:eastAsia="宋体" w:cs="宋体"/>
                <w:spacing w:val="8"/>
                <w:sz w:val="20"/>
                <w:szCs w:val="20"/>
              </w:rPr>
              <w:t>位复测</w:t>
            </w:r>
            <w:r>
              <w:rPr>
                <w:rFonts w:ascii="宋体" w:hAnsi="宋体" w:eastAsia="宋体" w:cs="宋体"/>
                <w:sz w:val="20"/>
                <w:szCs w:val="20"/>
              </w:rPr>
              <w:t>费</w:t>
            </w:r>
          </w:p>
        </w:tc>
        <w:tc>
          <w:tcPr>
            <w:tcW w:w="957" w:type="dxa"/>
            <w:tcBorders>
              <w:top w:val="single" w:color="000000" w:sz="6" w:space="0"/>
            </w:tcBorders>
            <w:vAlign w:val="top"/>
          </w:tcPr>
          <w:p>
            <w:pPr>
              <w:spacing w:before="158" w:line="219" w:lineRule="auto"/>
              <w:ind w:left="169"/>
              <w:rPr>
                <w:rFonts w:ascii="宋体" w:hAnsi="宋体" w:eastAsia="宋体" w:cs="宋体"/>
                <w:sz w:val="20"/>
                <w:szCs w:val="20"/>
              </w:rPr>
            </w:pPr>
            <w:r>
              <w:rPr>
                <w:rFonts w:ascii="宋体" w:hAnsi="宋体" w:eastAsia="宋体" w:cs="宋体"/>
                <w:spacing w:val="8"/>
                <w:sz w:val="20"/>
                <w:szCs w:val="20"/>
              </w:rPr>
              <w:t>地下管</w:t>
            </w:r>
          </w:p>
          <w:p>
            <w:pPr>
              <w:spacing w:before="64" w:line="216" w:lineRule="auto"/>
              <w:ind w:left="169"/>
              <w:rPr>
                <w:rFonts w:ascii="宋体" w:hAnsi="宋体" w:eastAsia="宋体" w:cs="宋体"/>
                <w:sz w:val="20"/>
                <w:szCs w:val="20"/>
              </w:rPr>
            </w:pPr>
            <w:r>
              <w:rPr>
                <w:rFonts w:ascii="宋体" w:hAnsi="宋体" w:eastAsia="宋体" w:cs="宋体"/>
                <w:spacing w:val="8"/>
                <w:sz w:val="20"/>
                <w:szCs w:val="20"/>
              </w:rPr>
              <w:t>线交叉</w:t>
            </w:r>
          </w:p>
          <w:p>
            <w:pPr>
              <w:spacing w:before="66" w:line="218" w:lineRule="auto"/>
              <w:ind w:left="168"/>
              <w:rPr>
                <w:rFonts w:ascii="宋体" w:hAnsi="宋体" w:eastAsia="宋体" w:cs="宋体"/>
                <w:sz w:val="20"/>
                <w:szCs w:val="20"/>
              </w:rPr>
            </w:pPr>
            <w:r>
              <w:rPr>
                <w:rFonts w:ascii="宋体" w:hAnsi="宋体" w:eastAsia="宋体" w:cs="宋体"/>
                <w:spacing w:val="8"/>
                <w:sz w:val="20"/>
                <w:szCs w:val="20"/>
              </w:rPr>
              <w:t>处理费</w:t>
            </w:r>
          </w:p>
        </w:tc>
        <w:tc>
          <w:tcPr>
            <w:tcW w:w="1099" w:type="dxa"/>
            <w:tcBorders>
              <w:top w:val="single" w:color="000000" w:sz="6" w:space="0"/>
            </w:tcBorders>
            <w:vAlign w:val="top"/>
          </w:tcPr>
          <w:p>
            <w:pPr>
              <w:spacing w:before="158" w:line="219" w:lineRule="auto"/>
              <w:ind w:left="135"/>
              <w:rPr>
                <w:rFonts w:ascii="宋体" w:hAnsi="宋体" w:eastAsia="宋体" w:cs="宋体"/>
                <w:sz w:val="20"/>
                <w:szCs w:val="20"/>
              </w:rPr>
            </w:pPr>
            <w:r>
              <w:rPr>
                <w:rFonts w:ascii="宋体" w:hAnsi="宋体" w:eastAsia="宋体" w:cs="宋体"/>
                <w:spacing w:val="8"/>
                <w:sz w:val="20"/>
                <w:szCs w:val="20"/>
              </w:rPr>
              <w:t>廊内临时</w:t>
            </w:r>
          </w:p>
          <w:p>
            <w:pPr>
              <w:spacing w:before="69" w:line="278" w:lineRule="auto"/>
              <w:ind w:left="361" w:right="124" w:hanging="225"/>
              <w:rPr>
                <w:rFonts w:ascii="宋体" w:hAnsi="宋体" w:eastAsia="宋体" w:cs="宋体"/>
                <w:sz w:val="20"/>
                <w:szCs w:val="20"/>
              </w:rPr>
            </w:pPr>
            <w:r>
              <w:rPr>
                <w:rFonts w:ascii="宋体" w:hAnsi="宋体" w:eastAsia="宋体" w:cs="宋体"/>
                <w:spacing w:val="8"/>
                <w:sz w:val="20"/>
                <w:szCs w:val="20"/>
              </w:rPr>
              <w:t>通风及照</w:t>
            </w:r>
            <w:r>
              <w:rPr>
                <w:rFonts w:ascii="宋体" w:hAnsi="宋体" w:eastAsia="宋体" w:cs="宋体"/>
                <w:spacing w:val="-2"/>
                <w:sz w:val="20"/>
                <w:szCs w:val="20"/>
              </w:rPr>
              <w:t>明费</w:t>
            </w:r>
          </w:p>
        </w:tc>
        <w:tc>
          <w:tcPr>
            <w:tcW w:w="895" w:type="dxa"/>
            <w:tcBorders>
              <w:top w:val="single" w:color="000000" w:sz="6" w:space="0"/>
              <w:right w:val="single" w:color="000000" w:sz="6" w:space="0"/>
            </w:tcBorders>
            <w:vAlign w:val="top"/>
          </w:tcPr>
          <w:p>
            <w:pPr>
              <w:pStyle w:val="6"/>
              <w:spacing w:line="244" w:lineRule="auto"/>
            </w:pPr>
          </w:p>
          <w:p>
            <w:pPr>
              <w:spacing w:before="65" w:line="280" w:lineRule="auto"/>
              <w:ind w:left="134" w:right="124"/>
              <w:rPr>
                <w:rFonts w:ascii="宋体" w:hAnsi="宋体" w:eastAsia="宋体" w:cs="宋体"/>
                <w:sz w:val="20"/>
                <w:szCs w:val="20"/>
              </w:rPr>
            </w:pPr>
            <w:r>
              <w:rPr>
                <w:rFonts w:ascii="宋体" w:hAnsi="宋体" w:eastAsia="宋体" w:cs="宋体"/>
                <w:spacing w:val="8"/>
                <w:sz w:val="20"/>
                <w:szCs w:val="20"/>
              </w:rPr>
              <w:t>脚手架搭拆费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7" w:hRule="atLeast"/>
        </w:trPr>
        <w:tc>
          <w:tcPr>
            <w:tcW w:w="1772" w:type="dxa"/>
            <w:tcBorders>
              <w:left w:val="single" w:color="000000" w:sz="6" w:space="0"/>
            </w:tcBorders>
            <w:vAlign w:val="top"/>
          </w:tcPr>
          <w:p>
            <w:pPr>
              <w:spacing w:before="117" w:line="212" w:lineRule="auto"/>
              <w:ind w:left="145"/>
              <w:rPr>
                <w:rFonts w:ascii="宋体" w:hAnsi="宋体" w:eastAsia="宋体" w:cs="宋体"/>
                <w:sz w:val="20"/>
                <w:szCs w:val="20"/>
              </w:rPr>
            </w:pPr>
            <w:r>
              <w:rPr>
                <w:rFonts w:ascii="宋体" w:hAnsi="宋体" w:eastAsia="宋体" w:cs="宋体"/>
                <w:spacing w:val="9"/>
                <w:sz w:val="20"/>
                <w:szCs w:val="20"/>
              </w:rPr>
              <w:t>建筑和装饰工程</w:t>
            </w:r>
          </w:p>
        </w:tc>
        <w:tc>
          <w:tcPr>
            <w:tcW w:w="814" w:type="dxa"/>
            <w:vAlign w:val="top"/>
          </w:tcPr>
          <w:p>
            <w:pPr>
              <w:spacing w:before="115" w:line="214" w:lineRule="auto"/>
              <w:ind w:left="222"/>
              <w:rPr>
                <w:rFonts w:ascii="宋体" w:hAnsi="宋体" w:eastAsia="宋体" w:cs="宋体"/>
                <w:sz w:val="20"/>
                <w:szCs w:val="20"/>
              </w:rPr>
            </w:pPr>
            <w:r>
              <w:rPr>
                <w:rFonts w:ascii="宋体" w:hAnsi="宋体" w:eastAsia="宋体" w:cs="宋体"/>
                <w:spacing w:val="-11"/>
                <w:sz w:val="20"/>
                <w:szCs w:val="20"/>
              </w:rPr>
              <w:t>0.27</w:t>
            </w:r>
          </w:p>
        </w:tc>
        <w:tc>
          <w:tcPr>
            <w:tcW w:w="847" w:type="dxa"/>
            <w:vAlign w:val="top"/>
          </w:tcPr>
          <w:p>
            <w:pPr>
              <w:spacing w:before="115" w:line="214" w:lineRule="auto"/>
              <w:ind w:left="259"/>
              <w:rPr>
                <w:rFonts w:ascii="宋体" w:hAnsi="宋体" w:eastAsia="宋体" w:cs="宋体"/>
                <w:sz w:val="20"/>
                <w:szCs w:val="20"/>
              </w:rPr>
            </w:pPr>
            <w:r>
              <w:rPr>
                <w:rFonts w:ascii="宋体" w:hAnsi="宋体" w:eastAsia="宋体" w:cs="宋体"/>
                <w:spacing w:val="-16"/>
                <w:sz w:val="20"/>
                <w:szCs w:val="20"/>
              </w:rPr>
              <w:t>1.99</w:t>
            </w:r>
          </w:p>
        </w:tc>
        <w:tc>
          <w:tcPr>
            <w:tcW w:w="1099" w:type="dxa"/>
            <w:vAlign w:val="top"/>
          </w:tcPr>
          <w:p>
            <w:pPr>
              <w:spacing w:before="115" w:line="214" w:lineRule="auto"/>
              <w:ind w:left="366"/>
              <w:rPr>
                <w:rFonts w:ascii="宋体" w:hAnsi="宋体" w:eastAsia="宋体" w:cs="宋体"/>
                <w:sz w:val="20"/>
                <w:szCs w:val="20"/>
              </w:rPr>
            </w:pPr>
            <w:r>
              <w:rPr>
                <w:rFonts w:ascii="宋体" w:hAnsi="宋体" w:eastAsia="宋体" w:cs="宋体"/>
                <w:spacing w:val="-11"/>
                <w:sz w:val="20"/>
                <w:szCs w:val="20"/>
              </w:rPr>
              <w:t>0.27</w:t>
            </w:r>
          </w:p>
        </w:tc>
        <w:tc>
          <w:tcPr>
            <w:tcW w:w="1126" w:type="dxa"/>
            <w:vAlign w:val="top"/>
          </w:tcPr>
          <w:p>
            <w:pPr>
              <w:spacing w:before="115" w:line="214" w:lineRule="auto"/>
              <w:ind w:left="383"/>
              <w:rPr>
                <w:rFonts w:ascii="宋体" w:hAnsi="宋体" w:eastAsia="宋体" w:cs="宋体"/>
                <w:sz w:val="20"/>
                <w:szCs w:val="20"/>
              </w:rPr>
            </w:pPr>
            <w:r>
              <w:rPr>
                <w:rFonts w:ascii="宋体" w:hAnsi="宋体" w:eastAsia="宋体" w:cs="宋体"/>
                <w:spacing w:val="-11"/>
                <w:sz w:val="20"/>
                <w:szCs w:val="20"/>
              </w:rPr>
              <w:t>0.51</w:t>
            </w:r>
          </w:p>
        </w:tc>
        <w:tc>
          <w:tcPr>
            <w:tcW w:w="1027" w:type="dxa"/>
            <w:vAlign w:val="top"/>
          </w:tcPr>
          <w:p>
            <w:pPr>
              <w:spacing w:before="115" w:line="214" w:lineRule="auto"/>
              <w:ind w:left="335"/>
              <w:rPr>
                <w:rFonts w:ascii="宋体" w:hAnsi="宋体" w:eastAsia="宋体" w:cs="宋体"/>
                <w:sz w:val="20"/>
                <w:szCs w:val="20"/>
              </w:rPr>
            </w:pPr>
            <w:r>
              <w:rPr>
                <w:rFonts w:ascii="宋体" w:hAnsi="宋体" w:eastAsia="宋体" w:cs="宋体"/>
                <w:spacing w:val="-11"/>
                <w:sz w:val="20"/>
                <w:szCs w:val="20"/>
              </w:rPr>
              <w:t>0.08</w:t>
            </w:r>
          </w:p>
        </w:tc>
        <w:tc>
          <w:tcPr>
            <w:tcW w:w="957" w:type="dxa"/>
            <w:vAlign w:val="top"/>
          </w:tcPr>
          <w:p>
            <w:pPr>
              <w:spacing w:before="115" w:line="214" w:lineRule="auto"/>
              <w:ind w:left="301"/>
              <w:rPr>
                <w:rFonts w:ascii="宋体" w:hAnsi="宋体" w:eastAsia="宋体" w:cs="宋体"/>
                <w:sz w:val="20"/>
                <w:szCs w:val="20"/>
              </w:rPr>
            </w:pPr>
            <w:r>
              <w:rPr>
                <w:rFonts w:ascii="宋体" w:hAnsi="宋体" w:eastAsia="宋体" w:cs="宋体"/>
                <w:spacing w:val="-11"/>
                <w:sz w:val="20"/>
                <w:szCs w:val="20"/>
              </w:rPr>
              <w:t>0.38</w:t>
            </w:r>
          </w:p>
        </w:tc>
        <w:tc>
          <w:tcPr>
            <w:tcW w:w="1099" w:type="dxa"/>
            <w:vAlign w:val="top"/>
          </w:tcPr>
          <w:p>
            <w:pPr>
              <w:spacing w:before="237" w:line="110" w:lineRule="exact"/>
              <w:ind w:left="503"/>
              <w:rPr>
                <w:rFonts w:ascii="宋体" w:hAnsi="宋体" w:eastAsia="宋体" w:cs="宋体"/>
                <w:sz w:val="20"/>
                <w:szCs w:val="20"/>
              </w:rPr>
            </w:pPr>
            <w:r>
              <w:rPr>
                <w:rFonts w:ascii="宋体" w:hAnsi="宋体" w:eastAsia="宋体" w:cs="宋体"/>
                <w:spacing w:val="5"/>
                <w:position w:val="-4"/>
                <w:sz w:val="20"/>
                <w:szCs w:val="20"/>
              </w:rPr>
              <w:t>-</w:t>
            </w:r>
          </w:p>
        </w:tc>
        <w:tc>
          <w:tcPr>
            <w:tcW w:w="895" w:type="dxa"/>
            <w:tcBorders>
              <w:right w:val="single" w:color="000000" w:sz="6" w:space="0"/>
            </w:tcBorders>
            <w:vAlign w:val="top"/>
          </w:tcPr>
          <w:p>
            <w:pPr>
              <w:spacing w:before="237" w:line="110" w:lineRule="exact"/>
              <w:ind w:left="397"/>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1772" w:type="dxa"/>
            <w:tcBorders>
              <w:left w:val="single" w:color="000000" w:sz="6" w:space="0"/>
              <w:bottom w:val="single" w:color="000000" w:sz="6" w:space="0"/>
            </w:tcBorders>
            <w:vAlign w:val="top"/>
          </w:tcPr>
          <w:p>
            <w:pPr>
              <w:spacing w:before="122" w:line="219" w:lineRule="auto"/>
              <w:ind w:left="460"/>
              <w:rPr>
                <w:rFonts w:ascii="宋体" w:hAnsi="宋体" w:eastAsia="宋体" w:cs="宋体"/>
                <w:sz w:val="20"/>
                <w:szCs w:val="20"/>
              </w:rPr>
            </w:pPr>
            <w:r>
              <w:rPr>
                <w:rFonts w:ascii="宋体" w:hAnsi="宋体" w:eastAsia="宋体" w:cs="宋体"/>
                <w:spacing w:val="8"/>
                <w:sz w:val="20"/>
                <w:szCs w:val="20"/>
              </w:rPr>
              <w:t>安装工程</w:t>
            </w:r>
          </w:p>
        </w:tc>
        <w:tc>
          <w:tcPr>
            <w:tcW w:w="814" w:type="dxa"/>
            <w:tcBorders>
              <w:bottom w:val="single" w:color="000000" w:sz="6" w:space="0"/>
            </w:tcBorders>
            <w:vAlign w:val="top"/>
          </w:tcPr>
          <w:p>
            <w:pPr>
              <w:spacing w:before="118" w:line="227" w:lineRule="auto"/>
              <w:ind w:left="240"/>
              <w:rPr>
                <w:rFonts w:ascii="宋体" w:hAnsi="宋体" w:eastAsia="宋体" w:cs="宋体"/>
                <w:sz w:val="20"/>
                <w:szCs w:val="20"/>
              </w:rPr>
            </w:pPr>
            <w:r>
              <w:rPr>
                <w:rFonts w:ascii="宋体" w:hAnsi="宋体" w:eastAsia="宋体" w:cs="宋体"/>
                <w:spacing w:val="-15"/>
                <w:sz w:val="20"/>
                <w:szCs w:val="20"/>
              </w:rPr>
              <w:t>1.36</w:t>
            </w:r>
          </w:p>
        </w:tc>
        <w:tc>
          <w:tcPr>
            <w:tcW w:w="847" w:type="dxa"/>
            <w:tcBorders>
              <w:bottom w:val="single" w:color="000000" w:sz="6" w:space="0"/>
            </w:tcBorders>
            <w:vAlign w:val="top"/>
          </w:tcPr>
          <w:p>
            <w:pPr>
              <w:spacing w:before="118" w:line="227" w:lineRule="auto"/>
              <w:ind w:left="242"/>
              <w:rPr>
                <w:rFonts w:ascii="宋体" w:hAnsi="宋体" w:eastAsia="宋体" w:cs="宋体"/>
                <w:sz w:val="20"/>
                <w:szCs w:val="20"/>
              </w:rPr>
            </w:pPr>
            <w:r>
              <w:rPr>
                <w:rFonts w:ascii="宋体" w:hAnsi="宋体" w:eastAsia="宋体" w:cs="宋体"/>
                <w:spacing w:val="-12"/>
                <w:sz w:val="20"/>
                <w:szCs w:val="20"/>
              </w:rPr>
              <w:t>2.28</w:t>
            </w:r>
          </w:p>
        </w:tc>
        <w:tc>
          <w:tcPr>
            <w:tcW w:w="1099" w:type="dxa"/>
            <w:tcBorders>
              <w:bottom w:val="single" w:color="000000" w:sz="6" w:space="0"/>
            </w:tcBorders>
            <w:vAlign w:val="top"/>
          </w:tcPr>
          <w:p>
            <w:pPr>
              <w:spacing w:before="118" w:line="227" w:lineRule="auto"/>
              <w:ind w:left="384"/>
              <w:rPr>
                <w:rFonts w:ascii="宋体" w:hAnsi="宋体" w:eastAsia="宋体" w:cs="宋体"/>
                <w:sz w:val="20"/>
                <w:szCs w:val="20"/>
              </w:rPr>
            </w:pPr>
            <w:r>
              <w:rPr>
                <w:rFonts w:ascii="宋体" w:hAnsi="宋体" w:eastAsia="宋体" w:cs="宋体"/>
                <w:spacing w:val="-15"/>
                <w:sz w:val="20"/>
                <w:szCs w:val="20"/>
              </w:rPr>
              <w:t>1.52</w:t>
            </w:r>
          </w:p>
        </w:tc>
        <w:tc>
          <w:tcPr>
            <w:tcW w:w="1126" w:type="dxa"/>
            <w:tcBorders>
              <w:bottom w:val="single" w:color="000000" w:sz="6" w:space="0"/>
            </w:tcBorders>
            <w:vAlign w:val="top"/>
          </w:tcPr>
          <w:p>
            <w:pPr>
              <w:spacing w:before="118" w:line="227" w:lineRule="auto"/>
              <w:ind w:left="401"/>
              <w:rPr>
                <w:rFonts w:ascii="宋体" w:hAnsi="宋体" w:eastAsia="宋体" w:cs="宋体"/>
                <w:sz w:val="20"/>
                <w:szCs w:val="20"/>
              </w:rPr>
            </w:pPr>
            <w:r>
              <w:rPr>
                <w:rFonts w:ascii="宋体" w:hAnsi="宋体" w:eastAsia="宋体" w:cs="宋体"/>
                <w:spacing w:val="-15"/>
                <w:sz w:val="20"/>
                <w:szCs w:val="20"/>
              </w:rPr>
              <w:t>1.32</w:t>
            </w:r>
          </w:p>
        </w:tc>
        <w:tc>
          <w:tcPr>
            <w:tcW w:w="1027" w:type="dxa"/>
            <w:tcBorders>
              <w:bottom w:val="single" w:color="000000" w:sz="6" w:space="0"/>
            </w:tcBorders>
            <w:vAlign w:val="top"/>
          </w:tcPr>
          <w:p>
            <w:pPr>
              <w:spacing w:before="240" w:line="123"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957" w:type="dxa"/>
            <w:tcBorders>
              <w:bottom w:val="single" w:color="000000" w:sz="6" w:space="0"/>
            </w:tcBorders>
            <w:vAlign w:val="top"/>
          </w:tcPr>
          <w:p>
            <w:pPr>
              <w:spacing w:before="240" w:line="123" w:lineRule="exact"/>
              <w:ind w:left="430"/>
              <w:rPr>
                <w:rFonts w:ascii="宋体" w:hAnsi="宋体" w:eastAsia="宋体" w:cs="宋体"/>
                <w:sz w:val="20"/>
                <w:szCs w:val="20"/>
              </w:rPr>
            </w:pPr>
            <w:r>
              <w:rPr>
                <w:rFonts w:ascii="宋体" w:hAnsi="宋体" w:eastAsia="宋体" w:cs="宋体"/>
                <w:spacing w:val="5"/>
                <w:position w:val="-4"/>
                <w:sz w:val="20"/>
                <w:szCs w:val="20"/>
              </w:rPr>
              <w:t>-</w:t>
            </w:r>
          </w:p>
        </w:tc>
        <w:tc>
          <w:tcPr>
            <w:tcW w:w="1099" w:type="dxa"/>
            <w:tcBorders>
              <w:bottom w:val="single" w:color="000000" w:sz="6" w:space="0"/>
            </w:tcBorders>
            <w:vAlign w:val="top"/>
          </w:tcPr>
          <w:p>
            <w:pPr>
              <w:spacing w:before="118" w:line="227" w:lineRule="auto"/>
              <w:ind w:left="373"/>
              <w:rPr>
                <w:rFonts w:ascii="宋体" w:hAnsi="宋体" w:eastAsia="宋体" w:cs="宋体"/>
                <w:sz w:val="20"/>
                <w:szCs w:val="20"/>
              </w:rPr>
            </w:pPr>
            <w:r>
              <w:rPr>
                <w:rFonts w:ascii="宋体" w:hAnsi="宋体" w:eastAsia="宋体" w:cs="宋体"/>
                <w:spacing w:val="-11"/>
                <w:sz w:val="20"/>
                <w:szCs w:val="20"/>
              </w:rPr>
              <w:t>7.45</w:t>
            </w:r>
          </w:p>
        </w:tc>
        <w:tc>
          <w:tcPr>
            <w:tcW w:w="895" w:type="dxa"/>
            <w:tcBorders>
              <w:bottom w:val="single" w:color="000000" w:sz="6" w:space="0"/>
              <w:right w:val="single" w:color="000000" w:sz="6" w:space="0"/>
            </w:tcBorders>
            <w:vAlign w:val="top"/>
          </w:tcPr>
          <w:p>
            <w:pPr>
              <w:spacing w:before="118" w:line="227" w:lineRule="auto"/>
              <w:ind w:left="269"/>
              <w:rPr>
                <w:rFonts w:ascii="宋体" w:hAnsi="宋体" w:eastAsia="宋体" w:cs="宋体"/>
                <w:sz w:val="20"/>
                <w:szCs w:val="20"/>
              </w:rPr>
            </w:pPr>
            <w:r>
              <w:rPr>
                <w:rFonts w:ascii="宋体" w:hAnsi="宋体" w:eastAsia="宋体" w:cs="宋体"/>
                <w:spacing w:val="-11"/>
                <w:sz w:val="20"/>
                <w:szCs w:val="20"/>
              </w:rPr>
              <w:t>2.75</w:t>
            </w:r>
          </w:p>
        </w:tc>
      </w:tr>
    </w:tbl>
    <w:p>
      <w:pPr>
        <w:spacing w:before="92" w:line="313" w:lineRule="auto"/>
        <w:ind w:left="293" w:right="316" w:firstLine="4"/>
        <w:jc w:val="both"/>
        <w:rPr>
          <w:rFonts w:ascii="宋体" w:hAnsi="宋体" w:eastAsia="宋体" w:cs="宋体"/>
          <w:sz w:val="20"/>
          <w:szCs w:val="20"/>
        </w:rPr>
      </w:pPr>
      <w:r>
        <w:rPr>
          <w:rFonts w:ascii="宋体" w:hAnsi="宋体" w:eastAsia="宋体" w:cs="宋体"/>
          <w:spacing w:val="12"/>
          <w:sz w:val="20"/>
          <w:szCs w:val="20"/>
        </w:rPr>
        <w:t>注：城市地下综合管廊建筑和装饰工程措施费中人机费含量均为45%。安装工程措施费中，夜间施</w:t>
      </w:r>
      <w:r>
        <w:rPr>
          <w:rFonts w:ascii="宋体" w:hAnsi="宋体" w:eastAsia="宋体" w:cs="宋体"/>
          <w:spacing w:val="11"/>
          <w:sz w:val="20"/>
          <w:szCs w:val="20"/>
        </w:rPr>
        <w:t>工增加费人工费含量为</w:t>
      </w:r>
      <w:r>
        <w:rPr>
          <w:rFonts w:ascii="宋体" w:hAnsi="宋体" w:eastAsia="宋体" w:cs="宋体"/>
          <w:spacing w:val="-40"/>
          <w:sz w:val="20"/>
          <w:szCs w:val="20"/>
        </w:rPr>
        <w:t xml:space="preserve"> </w:t>
      </w:r>
      <w:r>
        <w:rPr>
          <w:rFonts w:ascii="宋体" w:hAnsi="宋体" w:eastAsia="宋体" w:cs="宋体"/>
          <w:spacing w:val="11"/>
          <w:sz w:val="20"/>
          <w:szCs w:val="20"/>
        </w:rPr>
        <w:t>50%，二次搬运费、冬雨季施工增加费、脚手架搭拆费、廊内临</w:t>
      </w:r>
      <w:r>
        <w:rPr>
          <w:rFonts w:ascii="宋体" w:hAnsi="宋体" w:eastAsia="宋体" w:cs="宋体"/>
          <w:spacing w:val="10"/>
          <w:sz w:val="20"/>
          <w:szCs w:val="20"/>
        </w:rPr>
        <w:t>时通风及照</w:t>
      </w:r>
      <w:r>
        <w:rPr>
          <w:rFonts w:ascii="宋体" w:hAnsi="宋体" w:eastAsia="宋体" w:cs="宋体"/>
          <w:spacing w:val="16"/>
          <w:sz w:val="20"/>
          <w:szCs w:val="20"/>
        </w:rPr>
        <w:t>明费人工费含量为40%，已完工程及设备保护费人工费含量为25%。</w:t>
      </w:r>
    </w:p>
    <w:p>
      <w:pPr>
        <w:spacing w:line="313" w:lineRule="auto"/>
        <w:rPr>
          <w:rFonts w:ascii="宋体" w:hAnsi="宋体" w:eastAsia="宋体" w:cs="宋体"/>
          <w:sz w:val="20"/>
          <w:szCs w:val="20"/>
        </w:rPr>
        <w:sectPr>
          <w:footerReference r:id="rId120" w:type="default"/>
          <w:pgSz w:w="11906" w:h="16839"/>
          <w:pgMar w:top="400" w:right="1127" w:bottom="1212" w:left="1127" w:header="0" w:footer="897" w:gutter="0"/>
        </w:sectPr>
      </w:pPr>
    </w:p>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2"/>
        <w:spacing w:before="120" w:line="203" w:lineRule="auto"/>
        <w:ind w:left="691"/>
        <w:rPr>
          <w:sz w:val="28"/>
          <w:szCs w:val="28"/>
        </w:rPr>
      </w:pPr>
      <w:r>
        <w:rPr>
          <w:spacing w:val="-2"/>
          <w:sz w:val="28"/>
          <w:szCs w:val="28"/>
        </w:rPr>
        <w:t>二、企业管理费、利润</w:t>
      </w:r>
    </w:p>
    <w:p>
      <w:pPr>
        <w:pStyle w:val="2"/>
        <w:spacing w:before="29" w:line="197" w:lineRule="auto"/>
        <w:ind w:left="587"/>
        <w:rPr>
          <w:sz w:val="24"/>
          <w:szCs w:val="24"/>
        </w:rPr>
      </w:pPr>
      <w:r>
        <w:rPr>
          <w:spacing w:val="-11"/>
          <w:sz w:val="24"/>
          <w:szCs w:val="24"/>
        </w:rPr>
        <w:t>（ 一 ）企业管理费、利润</w:t>
      </w:r>
    </w:p>
    <w:p>
      <w:pPr>
        <w:pStyle w:val="2"/>
        <w:spacing w:before="49" w:line="210" w:lineRule="auto"/>
        <w:ind w:left="4110"/>
        <w:rPr>
          <w:sz w:val="20"/>
          <w:szCs w:val="20"/>
        </w:rPr>
      </w:pPr>
      <w:r>
        <w:rPr>
          <w:spacing w:val="3"/>
          <w:sz w:val="20"/>
          <w:szCs w:val="20"/>
        </w:rPr>
        <w:t>1.  一般计税法下</w:t>
      </w:r>
    </w:p>
    <w:p>
      <w:pPr>
        <w:spacing w:before="64" w:line="234" w:lineRule="auto"/>
        <w:ind w:left="8384"/>
        <w:rPr>
          <w:rFonts w:ascii="宋体" w:hAnsi="宋体" w:eastAsia="宋体" w:cs="宋体"/>
          <w:sz w:val="20"/>
          <w:szCs w:val="20"/>
        </w:rPr>
      </w:pPr>
      <w:r>
        <w:rPr>
          <w:rFonts w:ascii="宋体" w:hAnsi="宋体" w:eastAsia="宋体" w:cs="宋体"/>
          <w:spacing w:val="24"/>
          <w:sz w:val="20"/>
          <w:szCs w:val="20"/>
        </w:rPr>
        <w:t>单位：%</w:t>
      </w:r>
    </w:p>
    <w:tbl>
      <w:tblPr>
        <w:tblStyle w:val="5"/>
        <w:tblW w:w="928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971"/>
        <w:gridCol w:w="1023"/>
        <w:gridCol w:w="1023"/>
        <w:gridCol w:w="1027"/>
        <w:gridCol w:w="1023"/>
        <w:gridCol w:w="1024"/>
        <w:gridCol w:w="10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3128" w:type="dxa"/>
            <w:gridSpan w:val="2"/>
            <w:vMerge w:val="restart"/>
            <w:tcBorders>
              <w:top w:val="single" w:color="000000" w:sz="6" w:space="0"/>
              <w:left w:val="single" w:color="000000" w:sz="6" w:space="0"/>
              <w:bottom w:val="nil"/>
              <w:tl2br w:val="single" w:color="000000" w:sz="4" w:space="0"/>
            </w:tcBorders>
            <w:vAlign w:val="top"/>
          </w:tcPr>
          <w:p>
            <w:pPr>
              <w:spacing w:before="131" w:line="282" w:lineRule="auto"/>
              <w:ind w:left="107" w:right="513" w:firstLine="1669"/>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3073" w:type="dxa"/>
            <w:gridSpan w:val="3"/>
            <w:tcBorders>
              <w:top w:val="single" w:color="000000" w:sz="6" w:space="0"/>
            </w:tcBorders>
            <w:vAlign w:val="top"/>
          </w:tcPr>
          <w:p>
            <w:pPr>
              <w:spacing w:before="121" w:line="220" w:lineRule="auto"/>
              <w:ind w:left="1011"/>
              <w:rPr>
                <w:rFonts w:ascii="宋体" w:hAnsi="宋体" w:eastAsia="宋体" w:cs="宋体"/>
                <w:sz w:val="20"/>
                <w:szCs w:val="20"/>
              </w:rPr>
            </w:pPr>
            <w:r>
              <w:rPr>
                <w:rFonts w:ascii="宋体" w:hAnsi="宋体" w:eastAsia="宋体" w:cs="宋体"/>
                <w:spacing w:val="8"/>
                <w:sz w:val="20"/>
                <w:szCs w:val="20"/>
              </w:rPr>
              <w:t>企业管理费</w:t>
            </w:r>
          </w:p>
        </w:tc>
        <w:tc>
          <w:tcPr>
            <w:tcW w:w="3084" w:type="dxa"/>
            <w:gridSpan w:val="3"/>
            <w:tcBorders>
              <w:top w:val="single" w:color="000000" w:sz="6" w:space="0"/>
              <w:right w:val="single" w:color="000000" w:sz="6" w:space="0"/>
            </w:tcBorders>
            <w:vAlign w:val="top"/>
          </w:tcPr>
          <w:p>
            <w:pPr>
              <w:spacing w:before="122" w:line="217" w:lineRule="auto"/>
              <w:ind w:left="1335"/>
              <w:rPr>
                <w:rFonts w:ascii="宋体" w:hAnsi="宋体" w:eastAsia="宋体" w:cs="宋体"/>
                <w:sz w:val="20"/>
                <w:szCs w:val="20"/>
              </w:rPr>
            </w:pPr>
            <w:r>
              <w:rPr>
                <w:rFonts w:ascii="宋体" w:hAnsi="宋体" w:eastAsia="宋体" w:cs="宋体"/>
                <w:spacing w:val="6"/>
                <w:sz w:val="20"/>
                <w:szCs w:val="20"/>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1" w:hRule="atLeast"/>
        </w:trPr>
        <w:tc>
          <w:tcPr>
            <w:tcW w:w="3128" w:type="dxa"/>
            <w:gridSpan w:val="2"/>
            <w:vMerge w:val="continue"/>
            <w:tcBorders>
              <w:top w:val="nil"/>
              <w:left w:val="single" w:color="000000" w:sz="6" w:space="0"/>
              <w:tl2br w:val="single" w:color="000000" w:sz="4" w:space="0"/>
            </w:tcBorders>
            <w:vAlign w:val="top"/>
          </w:tcPr>
          <w:p>
            <w:pPr>
              <w:pStyle w:val="6"/>
            </w:pPr>
          </w:p>
        </w:tc>
        <w:tc>
          <w:tcPr>
            <w:tcW w:w="1023" w:type="dxa"/>
            <w:vAlign w:val="top"/>
          </w:tcPr>
          <w:p>
            <w:pPr>
              <w:spacing w:before="77" w:line="234" w:lineRule="auto"/>
              <w:ind w:left="473"/>
              <w:rPr>
                <w:rFonts w:ascii="宋体" w:hAnsi="宋体" w:eastAsia="宋体" w:cs="宋体"/>
                <w:sz w:val="20"/>
                <w:szCs w:val="20"/>
              </w:rPr>
            </w:pPr>
            <w:r>
              <w:rPr>
                <w:rFonts w:ascii="宋体" w:hAnsi="宋体" w:eastAsia="宋体" w:cs="宋体"/>
                <w:sz w:val="20"/>
                <w:szCs w:val="20"/>
              </w:rPr>
              <w:t>Ⅰ</w:t>
            </w:r>
          </w:p>
        </w:tc>
        <w:tc>
          <w:tcPr>
            <w:tcW w:w="1023" w:type="dxa"/>
            <w:vAlign w:val="top"/>
          </w:tcPr>
          <w:p>
            <w:pPr>
              <w:spacing w:before="96" w:line="204" w:lineRule="auto"/>
              <w:ind w:left="454"/>
              <w:rPr>
                <w:rFonts w:ascii="宋体" w:hAnsi="宋体" w:eastAsia="宋体" w:cs="宋体"/>
                <w:sz w:val="20"/>
                <w:szCs w:val="20"/>
              </w:rPr>
            </w:pPr>
            <w:r>
              <w:rPr>
                <w:rFonts w:ascii="宋体" w:hAnsi="宋体" w:eastAsia="宋体" w:cs="宋体"/>
                <w:sz w:val="20"/>
                <w:szCs w:val="20"/>
              </w:rPr>
              <w:t>Ⅱ</w:t>
            </w:r>
          </w:p>
        </w:tc>
        <w:tc>
          <w:tcPr>
            <w:tcW w:w="1027" w:type="dxa"/>
            <w:vAlign w:val="top"/>
          </w:tcPr>
          <w:p>
            <w:pPr>
              <w:spacing w:before="98" w:line="201" w:lineRule="auto"/>
              <w:ind w:left="439"/>
              <w:rPr>
                <w:rFonts w:ascii="宋体" w:hAnsi="宋体" w:eastAsia="宋体" w:cs="宋体"/>
                <w:sz w:val="20"/>
                <w:szCs w:val="20"/>
              </w:rPr>
            </w:pPr>
            <w:r>
              <w:rPr>
                <w:rFonts w:ascii="宋体" w:hAnsi="宋体" w:eastAsia="宋体" w:cs="宋体"/>
                <w:sz w:val="20"/>
                <w:szCs w:val="20"/>
              </w:rPr>
              <w:t>Ⅲ</w:t>
            </w:r>
          </w:p>
        </w:tc>
        <w:tc>
          <w:tcPr>
            <w:tcW w:w="1023" w:type="dxa"/>
            <w:vAlign w:val="top"/>
          </w:tcPr>
          <w:p>
            <w:pPr>
              <w:spacing w:before="77" w:line="234" w:lineRule="auto"/>
              <w:ind w:left="480"/>
              <w:rPr>
                <w:rFonts w:ascii="宋体" w:hAnsi="宋体" w:eastAsia="宋体" w:cs="宋体"/>
                <w:sz w:val="20"/>
                <w:szCs w:val="20"/>
              </w:rPr>
            </w:pPr>
            <w:r>
              <w:rPr>
                <w:rFonts w:ascii="宋体" w:hAnsi="宋体" w:eastAsia="宋体" w:cs="宋体"/>
                <w:sz w:val="20"/>
                <w:szCs w:val="20"/>
              </w:rPr>
              <w:t>Ⅰ</w:t>
            </w:r>
          </w:p>
        </w:tc>
        <w:tc>
          <w:tcPr>
            <w:tcW w:w="1024" w:type="dxa"/>
            <w:vAlign w:val="top"/>
          </w:tcPr>
          <w:p>
            <w:pPr>
              <w:spacing w:before="96" w:line="204" w:lineRule="auto"/>
              <w:ind w:left="458"/>
              <w:rPr>
                <w:rFonts w:ascii="宋体" w:hAnsi="宋体" w:eastAsia="宋体" w:cs="宋体"/>
                <w:sz w:val="20"/>
                <w:szCs w:val="20"/>
              </w:rPr>
            </w:pPr>
            <w:r>
              <w:rPr>
                <w:rFonts w:ascii="宋体" w:hAnsi="宋体" w:eastAsia="宋体" w:cs="宋体"/>
                <w:sz w:val="20"/>
                <w:szCs w:val="20"/>
              </w:rPr>
              <w:t>Ⅱ</w:t>
            </w:r>
          </w:p>
        </w:tc>
        <w:tc>
          <w:tcPr>
            <w:tcW w:w="1037" w:type="dxa"/>
            <w:tcBorders>
              <w:right w:val="single" w:color="000000" w:sz="6" w:space="0"/>
            </w:tcBorders>
            <w:vAlign w:val="top"/>
          </w:tcPr>
          <w:p>
            <w:pPr>
              <w:spacing w:before="98" w:line="201" w:lineRule="auto"/>
              <w:ind w:left="444"/>
              <w:rPr>
                <w:rFonts w:ascii="宋体" w:hAnsi="宋体" w:eastAsia="宋体" w:cs="宋体"/>
                <w:sz w:val="20"/>
                <w:szCs w:val="20"/>
              </w:rPr>
            </w:pPr>
            <w:r>
              <w:rPr>
                <w:rFonts w:ascii="宋体" w:hAnsi="宋体" w:eastAsia="宋体" w:cs="宋体"/>
                <w:sz w:val="20"/>
                <w:szCs w:val="20"/>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pStyle w:val="6"/>
              <w:spacing w:line="300" w:lineRule="auto"/>
            </w:pPr>
          </w:p>
          <w:p>
            <w:pPr>
              <w:pStyle w:val="6"/>
              <w:spacing w:line="300" w:lineRule="auto"/>
            </w:pPr>
          </w:p>
          <w:p>
            <w:pPr>
              <w:spacing w:before="65" w:line="223" w:lineRule="auto"/>
              <w:ind w:left="153"/>
              <w:rPr>
                <w:rFonts w:ascii="宋体" w:hAnsi="宋体" w:eastAsia="宋体" w:cs="宋体"/>
                <w:sz w:val="20"/>
                <w:szCs w:val="20"/>
              </w:rPr>
            </w:pPr>
            <w:r>
              <w:rPr>
                <w:rFonts w:ascii="宋体" w:hAnsi="宋体" w:eastAsia="宋体" w:cs="宋体"/>
                <w:spacing w:val="8"/>
                <w:sz w:val="20"/>
                <w:szCs w:val="20"/>
              </w:rPr>
              <w:t>建筑工程</w:t>
            </w:r>
          </w:p>
        </w:tc>
        <w:tc>
          <w:tcPr>
            <w:tcW w:w="1971" w:type="dxa"/>
            <w:vAlign w:val="top"/>
          </w:tcPr>
          <w:p>
            <w:pPr>
              <w:spacing w:before="112" w:line="223" w:lineRule="auto"/>
              <w:ind w:left="563"/>
              <w:rPr>
                <w:rFonts w:ascii="宋体" w:hAnsi="宋体" w:eastAsia="宋体" w:cs="宋体"/>
                <w:sz w:val="20"/>
                <w:szCs w:val="20"/>
              </w:rPr>
            </w:pPr>
            <w:r>
              <w:rPr>
                <w:rFonts w:ascii="宋体" w:hAnsi="宋体" w:eastAsia="宋体" w:cs="宋体"/>
                <w:spacing w:val="8"/>
                <w:sz w:val="20"/>
                <w:szCs w:val="20"/>
              </w:rPr>
              <w:t>建筑工程</w:t>
            </w:r>
          </w:p>
        </w:tc>
        <w:tc>
          <w:tcPr>
            <w:tcW w:w="1023" w:type="dxa"/>
            <w:vAlign w:val="top"/>
          </w:tcPr>
          <w:p>
            <w:pPr>
              <w:spacing w:before="109" w:line="226" w:lineRule="auto"/>
              <w:ind w:left="326"/>
              <w:rPr>
                <w:rFonts w:ascii="宋体" w:hAnsi="宋体" w:eastAsia="宋体" w:cs="宋体"/>
                <w:sz w:val="20"/>
                <w:szCs w:val="20"/>
              </w:rPr>
            </w:pPr>
            <w:r>
              <w:rPr>
                <w:rFonts w:ascii="宋体" w:hAnsi="宋体" w:eastAsia="宋体" w:cs="宋体"/>
                <w:spacing w:val="-10"/>
                <w:sz w:val="20"/>
                <w:szCs w:val="20"/>
              </w:rPr>
              <w:t>43.4</w:t>
            </w:r>
          </w:p>
        </w:tc>
        <w:tc>
          <w:tcPr>
            <w:tcW w:w="1023" w:type="dxa"/>
            <w:vAlign w:val="top"/>
          </w:tcPr>
          <w:p>
            <w:pPr>
              <w:spacing w:before="109" w:line="226" w:lineRule="auto"/>
              <w:ind w:left="334"/>
              <w:rPr>
                <w:rFonts w:ascii="宋体" w:hAnsi="宋体" w:eastAsia="宋体" w:cs="宋体"/>
                <w:sz w:val="20"/>
                <w:szCs w:val="20"/>
              </w:rPr>
            </w:pPr>
            <w:r>
              <w:rPr>
                <w:rFonts w:ascii="宋体" w:hAnsi="宋体" w:eastAsia="宋体" w:cs="宋体"/>
                <w:spacing w:val="-12"/>
                <w:sz w:val="20"/>
                <w:szCs w:val="20"/>
              </w:rPr>
              <w:t>34.7</w:t>
            </w:r>
          </w:p>
        </w:tc>
        <w:tc>
          <w:tcPr>
            <w:tcW w:w="1027" w:type="dxa"/>
            <w:vAlign w:val="top"/>
          </w:tcPr>
          <w:p>
            <w:pPr>
              <w:spacing w:before="109" w:line="226" w:lineRule="auto"/>
              <w:ind w:left="335"/>
              <w:rPr>
                <w:rFonts w:ascii="宋体" w:hAnsi="宋体" w:eastAsia="宋体" w:cs="宋体"/>
                <w:sz w:val="20"/>
                <w:szCs w:val="20"/>
              </w:rPr>
            </w:pPr>
            <w:r>
              <w:rPr>
                <w:rFonts w:ascii="宋体" w:hAnsi="宋体" w:eastAsia="宋体" w:cs="宋体"/>
                <w:spacing w:val="-11"/>
                <w:sz w:val="20"/>
                <w:szCs w:val="20"/>
              </w:rPr>
              <w:t>25.6</w:t>
            </w:r>
          </w:p>
        </w:tc>
        <w:tc>
          <w:tcPr>
            <w:tcW w:w="1023" w:type="dxa"/>
            <w:vAlign w:val="top"/>
          </w:tcPr>
          <w:p>
            <w:pPr>
              <w:spacing w:before="109" w:line="226" w:lineRule="auto"/>
              <w:ind w:left="338"/>
              <w:rPr>
                <w:rFonts w:ascii="宋体" w:hAnsi="宋体" w:eastAsia="宋体" w:cs="宋体"/>
                <w:sz w:val="20"/>
                <w:szCs w:val="20"/>
              </w:rPr>
            </w:pPr>
            <w:r>
              <w:rPr>
                <w:rFonts w:ascii="宋体" w:hAnsi="宋体" w:eastAsia="宋体" w:cs="宋体"/>
                <w:spacing w:val="-12"/>
                <w:sz w:val="20"/>
                <w:szCs w:val="20"/>
              </w:rPr>
              <w:t>35.8</w:t>
            </w:r>
          </w:p>
        </w:tc>
        <w:tc>
          <w:tcPr>
            <w:tcW w:w="1024" w:type="dxa"/>
            <w:vAlign w:val="top"/>
          </w:tcPr>
          <w:p>
            <w:pPr>
              <w:spacing w:before="109" w:line="226" w:lineRule="auto"/>
              <w:ind w:left="337"/>
              <w:rPr>
                <w:rFonts w:ascii="宋体" w:hAnsi="宋体" w:eastAsia="宋体" w:cs="宋体"/>
                <w:sz w:val="20"/>
                <w:szCs w:val="20"/>
              </w:rPr>
            </w:pPr>
            <w:r>
              <w:rPr>
                <w:rFonts w:ascii="宋体" w:hAnsi="宋体" w:eastAsia="宋体" w:cs="宋体"/>
                <w:spacing w:val="-11"/>
                <w:sz w:val="20"/>
                <w:szCs w:val="20"/>
              </w:rPr>
              <w:t>20.3</w:t>
            </w:r>
          </w:p>
        </w:tc>
        <w:tc>
          <w:tcPr>
            <w:tcW w:w="1037" w:type="dxa"/>
            <w:tcBorders>
              <w:right w:val="single" w:color="000000" w:sz="6" w:space="0"/>
            </w:tcBorders>
            <w:vAlign w:val="top"/>
          </w:tcPr>
          <w:p>
            <w:pPr>
              <w:spacing w:before="109" w:line="226" w:lineRule="auto"/>
              <w:ind w:left="357"/>
              <w:rPr>
                <w:rFonts w:ascii="宋体" w:hAnsi="宋体" w:eastAsia="宋体" w:cs="宋体"/>
                <w:sz w:val="20"/>
                <w:szCs w:val="20"/>
              </w:rPr>
            </w:pPr>
            <w:r>
              <w:rPr>
                <w:rFonts w:ascii="宋体" w:hAnsi="宋体" w:eastAsia="宋体" w:cs="宋体"/>
                <w:spacing w:val="-15"/>
                <w:sz w:val="20"/>
                <w:szCs w:val="20"/>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5" w:line="220" w:lineRule="auto"/>
              <w:ind w:left="459"/>
              <w:rPr>
                <w:rFonts w:ascii="宋体" w:hAnsi="宋体" w:eastAsia="宋体" w:cs="宋体"/>
                <w:sz w:val="20"/>
                <w:szCs w:val="20"/>
              </w:rPr>
            </w:pPr>
            <w:r>
              <w:rPr>
                <w:rFonts w:ascii="宋体" w:hAnsi="宋体" w:eastAsia="宋体" w:cs="宋体"/>
                <w:spacing w:val="8"/>
                <w:sz w:val="20"/>
                <w:szCs w:val="20"/>
              </w:rPr>
              <w:t>构筑物工程</w:t>
            </w:r>
          </w:p>
        </w:tc>
        <w:tc>
          <w:tcPr>
            <w:tcW w:w="1023" w:type="dxa"/>
            <w:vAlign w:val="top"/>
          </w:tcPr>
          <w:p>
            <w:pPr>
              <w:spacing w:before="109" w:line="226" w:lineRule="auto"/>
              <w:ind w:left="332"/>
              <w:rPr>
                <w:rFonts w:ascii="宋体" w:hAnsi="宋体" w:eastAsia="宋体" w:cs="宋体"/>
                <w:sz w:val="20"/>
                <w:szCs w:val="20"/>
              </w:rPr>
            </w:pPr>
            <w:r>
              <w:rPr>
                <w:rFonts w:ascii="宋体" w:hAnsi="宋体" w:eastAsia="宋体" w:cs="宋体"/>
                <w:spacing w:val="-12"/>
                <w:sz w:val="20"/>
                <w:szCs w:val="20"/>
              </w:rPr>
              <w:t>34.7</w:t>
            </w:r>
          </w:p>
        </w:tc>
        <w:tc>
          <w:tcPr>
            <w:tcW w:w="1023" w:type="dxa"/>
            <w:vAlign w:val="top"/>
          </w:tcPr>
          <w:p>
            <w:pPr>
              <w:spacing w:before="109" w:line="226" w:lineRule="auto"/>
              <w:ind w:left="334"/>
              <w:rPr>
                <w:rFonts w:ascii="宋体" w:hAnsi="宋体" w:eastAsia="宋体" w:cs="宋体"/>
                <w:sz w:val="20"/>
                <w:szCs w:val="20"/>
              </w:rPr>
            </w:pPr>
            <w:r>
              <w:rPr>
                <w:rFonts w:ascii="宋体" w:hAnsi="宋体" w:eastAsia="宋体" w:cs="宋体"/>
                <w:spacing w:val="-12"/>
                <w:sz w:val="20"/>
                <w:szCs w:val="20"/>
              </w:rPr>
              <w:t>31.3</w:t>
            </w:r>
          </w:p>
        </w:tc>
        <w:tc>
          <w:tcPr>
            <w:tcW w:w="1027" w:type="dxa"/>
            <w:vAlign w:val="top"/>
          </w:tcPr>
          <w:p>
            <w:pPr>
              <w:spacing w:before="109" w:line="226" w:lineRule="auto"/>
              <w:ind w:left="335"/>
              <w:rPr>
                <w:rFonts w:ascii="宋体" w:hAnsi="宋体" w:eastAsia="宋体" w:cs="宋体"/>
                <w:sz w:val="20"/>
                <w:szCs w:val="20"/>
              </w:rPr>
            </w:pPr>
            <w:r>
              <w:rPr>
                <w:rFonts w:ascii="宋体" w:hAnsi="宋体" w:eastAsia="宋体" w:cs="宋体"/>
                <w:spacing w:val="-11"/>
                <w:sz w:val="20"/>
                <w:szCs w:val="20"/>
              </w:rPr>
              <w:t>20.8</w:t>
            </w:r>
          </w:p>
        </w:tc>
        <w:tc>
          <w:tcPr>
            <w:tcW w:w="1023" w:type="dxa"/>
            <w:vAlign w:val="top"/>
          </w:tcPr>
          <w:p>
            <w:pPr>
              <w:spacing w:before="109" w:line="226" w:lineRule="auto"/>
              <w:ind w:left="338"/>
              <w:rPr>
                <w:rFonts w:ascii="宋体" w:hAnsi="宋体" w:eastAsia="宋体" w:cs="宋体"/>
                <w:sz w:val="20"/>
                <w:szCs w:val="20"/>
              </w:rPr>
            </w:pPr>
            <w:r>
              <w:rPr>
                <w:rFonts w:ascii="宋体" w:hAnsi="宋体" w:eastAsia="宋体" w:cs="宋体"/>
                <w:spacing w:val="-12"/>
                <w:sz w:val="20"/>
                <w:szCs w:val="20"/>
              </w:rPr>
              <w:t>30.0</w:t>
            </w:r>
          </w:p>
        </w:tc>
        <w:tc>
          <w:tcPr>
            <w:tcW w:w="1024" w:type="dxa"/>
            <w:vAlign w:val="top"/>
          </w:tcPr>
          <w:p>
            <w:pPr>
              <w:spacing w:before="109" w:line="226" w:lineRule="auto"/>
              <w:ind w:left="337"/>
              <w:rPr>
                <w:rFonts w:ascii="宋体" w:hAnsi="宋体" w:eastAsia="宋体" w:cs="宋体"/>
                <w:sz w:val="20"/>
                <w:szCs w:val="20"/>
              </w:rPr>
            </w:pPr>
            <w:r>
              <w:rPr>
                <w:rFonts w:ascii="宋体" w:hAnsi="宋体" w:eastAsia="宋体" w:cs="宋体"/>
                <w:spacing w:val="-11"/>
                <w:sz w:val="20"/>
                <w:szCs w:val="20"/>
              </w:rPr>
              <w:t>24.2</w:t>
            </w:r>
          </w:p>
        </w:tc>
        <w:tc>
          <w:tcPr>
            <w:tcW w:w="1037" w:type="dxa"/>
            <w:tcBorders>
              <w:right w:val="single" w:color="000000" w:sz="6" w:space="0"/>
            </w:tcBorders>
            <w:vAlign w:val="top"/>
          </w:tcPr>
          <w:p>
            <w:pPr>
              <w:spacing w:before="109" w:line="226" w:lineRule="auto"/>
              <w:ind w:left="357"/>
              <w:rPr>
                <w:rFonts w:ascii="宋体" w:hAnsi="宋体" w:eastAsia="宋体" w:cs="宋体"/>
                <w:sz w:val="20"/>
                <w:szCs w:val="20"/>
              </w:rPr>
            </w:pPr>
            <w:r>
              <w:rPr>
                <w:rFonts w:ascii="宋体" w:hAnsi="宋体" w:eastAsia="宋体" w:cs="宋体"/>
                <w:spacing w:val="-15"/>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6" w:line="219" w:lineRule="auto"/>
              <w:ind w:left="245"/>
              <w:rPr>
                <w:rFonts w:ascii="宋体" w:hAnsi="宋体" w:eastAsia="宋体" w:cs="宋体"/>
                <w:sz w:val="20"/>
                <w:szCs w:val="20"/>
              </w:rPr>
            </w:pPr>
            <w:r>
              <w:rPr>
                <w:rFonts w:ascii="宋体" w:hAnsi="宋体" w:eastAsia="宋体" w:cs="宋体"/>
                <w:spacing w:val="9"/>
                <w:sz w:val="20"/>
                <w:szCs w:val="20"/>
              </w:rPr>
              <w:t>单独土石方工程</w:t>
            </w:r>
          </w:p>
        </w:tc>
        <w:tc>
          <w:tcPr>
            <w:tcW w:w="1023" w:type="dxa"/>
            <w:vAlign w:val="top"/>
          </w:tcPr>
          <w:p>
            <w:pPr>
              <w:spacing w:before="112" w:line="223" w:lineRule="auto"/>
              <w:ind w:left="329"/>
              <w:rPr>
                <w:rFonts w:ascii="宋体" w:hAnsi="宋体" w:eastAsia="宋体" w:cs="宋体"/>
                <w:sz w:val="20"/>
                <w:szCs w:val="20"/>
              </w:rPr>
            </w:pPr>
            <w:r>
              <w:rPr>
                <w:rFonts w:ascii="宋体" w:hAnsi="宋体" w:eastAsia="宋体" w:cs="宋体"/>
                <w:spacing w:val="-11"/>
                <w:sz w:val="20"/>
                <w:szCs w:val="20"/>
              </w:rPr>
              <w:t>28.9</w:t>
            </w:r>
          </w:p>
        </w:tc>
        <w:tc>
          <w:tcPr>
            <w:tcW w:w="1023" w:type="dxa"/>
            <w:vAlign w:val="top"/>
          </w:tcPr>
          <w:p>
            <w:pPr>
              <w:spacing w:before="112" w:line="223" w:lineRule="auto"/>
              <w:ind w:left="331"/>
              <w:rPr>
                <w:rFonts w:ascii="宋体" w:hAnsi="宋体" w:eastAsia="宋体" w:cs="宋体"/>
                <w:sz w:val="20"/>
                <w:szCs w:val="20"/>
              </w:rPr>
            </w:pPr>
            <w:r>
              <w:rPr>
                <w:rFonts w:ascii="宋体" w:hAnsi="宋体" w:eastAsia="宋体" w:cs="宋体"/>
                <w:spacing w:val="-11"/>
                <w:sz w:val="20"/>
                <w:szCs w:val="20"/>
              </w:rPr>
              <w:t>20.8</w:t>
            </w:r>
          </w:p>
        </w:tc>
        <w:tc>
          <w:tcPr>
            <w:tcW w:w="1027" w:type="dxa"/>
            <w:vAlign w:val="top"/>
          </w:tcPr>
          <w:p>
            <w:pPr>
              <w:spacing w:before="112" w:line="223" w:lineRule="auto"/>
              <w:ind w:left="352"/>
              <w:rPr>
                <w:rFonts w:ascii="宋体" w:hAnsi="宋体" w:eastAsia="宋体" w:cs="宋体"/>
                <w:sz w:val="20"/>
                <w:szCs w:val="20"/>
              </w:rPr>
            </w:pPr>
            <w:r>
              <w:rPr>
                <w:rFonts w:ascii="宋体" w:hAnsi="宋体" w:eastAsia="宋体" w:cs="宋体"/>
                <w:spacing w:val="-15"/>
                <w:sz w:val="20"/>
                <w:szCs w:val="20"/>
              </w:rPr>
              <w:t>13.1</w:t>
            </w:r>
          </w:p>
        </w:tc>
        <w:tc>
          <w:tcPr>
            <w:tcW w:w="1023" w:type="dxa"/>
            <w:vAlign w:val="top"/>
          </w:tcPr>
          <w:p>
            <w:pPr>
              <w:spacing w:before="112" w:line="223" w:lineRule="auto"/>
              <w:ind w:left="335"/>
              <w:rPr>
                <w:rFonts w:ascii="宋体" w:hAnsi="宋体" w:eastAsia="宋体" w:cs="宋体"/>
                <w:sz w:val="20"/>
                <w:szCs w:val="20"/>
              </w:rPr>
            </w:pPr>
            <w:r>
              <w:rPr>
                <w:rFonts w:ascii="宋体" w:hAnsi="宋体" w:eastAsia="宋体" w:cs="宋体"/>
                <w:spacing w:val="-11"/>
                <w:sz w:val="20"/>
                <w:szCs w:val="20"/>
              </w:rPr>
              <w:t>22.3</w:t>
            </w:r>
          </w:p>
        </w:tc>
        <w:tc>
          <w:tcPr>
            <w:tcW w:w="1024" w:type="dxa"/>
            <w:vAlign w:val="top"/>
          </w:tcPr>
          <w:p>
            <w:pPr>
              <w:spacing w:before="112" w:line="223" w:lineRule="auto"/>
              <w:ind w:left="354"/>
              <w:rPr>
                <w:rFonts w:ascii="宋体" w:hAnsi="宋体" w:eastAsia="宋体" w:cs="宋体"/>
                <w:sz w:val="20"/>
                <w:szCs w:val="20"/>
              </w:rPr>
            </w:pPr>
            <w:r>
              <w:rPr>
                <w:rFonts w:ascii="宋体" w:hAnsi="宋体" w:eastAsia="宋体" w:cs="宋体"/>
                <w:spacing w:val="-15"/>
                <w:sz w:val="20"/>
                <w:szCs w:val="20"/>
              </w:rPr>
              <w:t>16.0</w:t>
            </w:r>
          </w:p>
        </w:tc>
        <w:tc>
          <w:tcPr>
            <w:tcW w:w="1037" w:type="dxa"/>
            <w:tcBorders>
              <w:right w:val="single" w:color="000000" w:sz="6" w:space="0"/>
            </w:tcBorders>
            <w:vAlign w:val="top"/>
          </w:tcPr>
          <w:p>
            <w:pPr>
              <w:spacing w:before="112" w:line="223" w:lineRule="auto"/>
              <w:ind w:left="394"/>
              <w:rPr>
                <w:rFonts w:ascii="宋体" w:hAnsi="宋体" w:eastAsia="宋体" w:cs="宋体"/>
                <w:sz w:val="20"/>
                <w:szCs w:val="20"/>
              </w:rPr>
            </w:pPr>
            <w:r>
              <w:rPr>
                <w:rFonts w:ascii="宋体" w:hAnsi="宋体" w:eastAsia="宋体" w:cs="宋体"/>
                <w:spacing w:val="-17"/>
                <w:sz w:val="20"/>
                <w:szCs w:val="20"/>
              </w:rPr>
              <w:t>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1" w:line="215" w:lineRule="auto"/>
              <w:ind w:left="458"/>
              <w:rPr>
                <w:rFonts w:ascii="宋体" w:hAnsi="宋体" w:eastAsia="宋体" w:cs="宋体"/>
                <w:sz w:val="20"/>
                <w:szCs w:val="20"/>
              </w:rPr>
            </w:pPr>
            <w:r>
              <w:rPr>
                <w:rFonts w:ascii="宋体" w:hAnsi="宋体" w:eastAsia="宋体" w:cs="宋体"/>
                <w:spacing w:val="8"/>
                <w:sz w:val="20"/>
                <w:szCs w:val="20"/>
              </w:rPr>
              <w:t>桩基础工程</w:t>
            </w:r>
          </w:p>
        </w:tc>
        <w:tc>
          <w:tcPr>
            <w:tcW w:w="1023" w:type="dxa"/>
            <w:vAlign w:val="top"/>
          </w:tcPr>
          <w:p>
            <w:pPr>
              <w:spacing w:before="113" w:line="222" w:lineRule="auto"/>
              <w:ind w:left="329"/>
              <w:rPr>
                <w:rFonts w:ascii="宋体" w:hAnsi="宋体" w:eastAsia="宋体" w:cs="宋体"/>
                <w:sz w:val="20"/>
                <w:szCs w:val="20"/>
              </w:rPr>
            </w:pPr>
            <w:r>
              <w:rPr>
                <w:rFonts w:ascii="宋体" w:hAnsi="宋体" w:eastAsia="宋体" w:cs="宋体"/>
                <w:spacing w:val="-11"/>
                <w:sz w:val="20"/>
                <w:szCs w:val="20"/>
              </w:rPr>
              <w:t>23.2</w:t>
            </w:r>
          </w:p>
        </w:tc>
        <w:tc>
          <w:tcPr>
            <w:tcW w:w="1023" w:type="dxa"/>
            <w:vAlign w:val="top"/>
          </w:tcPr>
          <w:p>
            <w:pPr>
              <w:spacing w:before="113" w:line="222" w:lineRule="auto"/>
              <w:ind w:left="348"/>
              <w:rPr>
                <w:rFonts w:ascii="宋体" w:hAnsi="宋体" w:eastAsia="宋体" w:cs="宋体"/>
                <w:sz w:val="20"/>
                <w:szCs w:val="20"/>
              </w:rPr>
            </w:pPr>
            <w:r>
              <w:rPr>
                <w:rFonts w:ascii="宋体" w:hAnsi="宋体" w:eastAsia="宋体" w:cs="宋体"/>
                <w:spacing w:val="-15"/>
                <w:sz w:val="20"/>
                <w:szCs w:val="20"/>
              </w:rPr>
              <w:t>17.9</w:t>
            </w:r>
          </w:p>
        </w:tc>
        <w:tc>
          <w:tcPr>
            <w:tcW w:w="1027" w:type="dxa"/>
            <w:vAlign w:val="top"/>
          </w:tcPr>
          <w:p>
            <w:pPr>
              <w:spacing w:before="113" w:line="222" w:lineRule="auto"/>
              <w:ind w:left="352"/>
              <w:rPr>
                <w:rFonts w:ascii="宋体" w:hAnsi="宋体" w:eastAsia="宋体" w:cs="宋体"/>
                <w:sz w:val="20"/>
                <w:szCs w:val="20"/>
              </w:rPr>
            </w:pPr>
            <w:r>
              <w:rPr>
                <w:rFonts w:ascii="宋体" w:hAnsi="宋体" w:eastAsia="宋体" w:cs="宋体"/>
                <w:spacing w:val="-15"/>
                <w:sz w:val="20"/>
                <w:szCs w:val="20"/>
              </w:rPr>
              <w:t>13.1</w:t>
            </w:r>
          </w:p>
        </w:tc>
        <w:tc>
          <w:tcPr>
            <w:tcW w:w="1023" w:type="dxa"/>
            <w:vAlign w:val="top"/>
          </w:tcPr>
          <w:p>
            <w:pPr>
              <w:spacing w:before="113" w:line="222" w:lineRule="auto"/>
              <w:ind w:left="352"/>
              <w:rPr>
                <w:rFonts w:ascii="宋体" w:hAnsi="宋体" w:eastAsia="宋体" w:cs="宋体"/>
                <w:sz w:val="20"/>
                <w:szCs w:val="20"/>
              </w:rPr>
            </w:pPr>
            <w:r>
              <w:rPr>
                <w:rFonts w:ascii="宋体" w:hAnsi="宋体" w:eastAsia="宋体" w:cs="宋体"/>
                <w:spacing w:val="-15"/>
                <w:sz w:val="20"/>
                <w:szCs w:val="20"/>
              </w:rPr>
              <w:t>16.9</w:t>
            </w:r>
          </w:p>
        </w:tc>
        <w:tc>
          <w:tcPr>
            <w:tcW w:w="1024" w:type="dxa"/>
            <w:vAlign w:val="top"/>
          </w:tcPr>
          <w:p>
            <w:pPr>
              <w:spacing w:before="113" w:line="222" w:lineRule="auto"/>
              <w:ind w:left="354"/>
              <w:rPr>
                <w:rFonts w:ascii="宋体" w:hAnsi="宋体" w:eastAsia="宋体" w:cs="宋体"/>
                <w:sz w:val="20"/>
                <w:szCs w:val="20"/>
              </w:rPr>
            </w:pPr>
            <w:r>
              <w:rPr>
                <w:rFonts w:ascii="宋体" w:hAnsi="宋体" w:eastAsia="宋体" w:cs="宋体"/>
                <w:spacing w:val="-15"/>
                <w:sz w:val="20"/>
                <w:szCs w:val="20"/>
              </w:rPr>
              <w:t>13.1</w:t>
            </w:r>
          </w:p>
        </w:tc>
        <w:tc>
          <w:tcPr>
            <w:tcW w:w="1037" w:type="dxa"/>
            <w:tcBorders>
              <w:right w:val="single" w:color="000000" w:sz="6" w:space="0"/>
            </w:tcBorders>
            <w:vAlign w:val="top"/>
          </w:tcPr>
          <w:p>
            <w:pPr>
              <w:spacing w:before="113" w:line="222" w:lineRule="auto"/>
              <w:ind w:left="390"/>
              <w:rPr>
                <w:rFonts w:ascii="宋体" w:hAnsi="宋体" w:eastAsia="宋体" w:cs="宋体"/>
                <w:sz w:val="20"/>
                <w:szCs w:val="20"/>
              </w:rPr>
            </w:pPr>
            <w:r>
              <w:rPr>
                <w:rFonts w:ascii="宋体" w:hAnsi="宋体" w:eastAsia="宋体" w:cs="宋体"/>
                <w:spacing w:val="-16"/>
                <w:sz w:val="20"/>
                <w:szCs w:val="20"/>
              </w:rPr>
              <w:t>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3128" w:type="dxa"/>
            <w:gridSpan w:val="2"/>
            <w:tcBorders>
              <w:left w:val="single" w:color="000000" w:sz="6" w:space="0"/>
            </w:tcBorders>
            <w:vAlign w:val="top"/>
          </w:tcPr>
          <w:p>
            <w:pPr>
              <w:spacing w:before="118" w:line="217" w:lineRule="auto"/>
              <w:ind w:left="1138"/>
              <w:rPr>
                <w:rFonts w:ascii="宋体" w:hAnsi="宋体" w:eastAsia="宋体" w:cs="宋体"/>
                <w:sz w:val="20"/>
                <w:szCs w:val="20"/>
              </w:rPr>
            </w:pPr>
            <w:r>
              <w:rPr>
                <w:rFonts w:ascii="宋体" w:hAnsi="宋体" w:eastAsia="宋体" w:cs="宋体"/>
                <w:spacing w:val="8"/>
                <w:sz w:val="20"/>
                <w:szCs w:val="20"/>
              </w:rPr>
              <w:t>装饰工程</w:t>
            </w:r>
          </w:p>
        </w:tc>
        <w:tc>
          <w:tcPr>
            <w:tcW w:w="1023" w:type="dxa"/>
            <w:vAlign w:val="top"/>
          </w:tcPr>
          <w:p>
            <w:pPr>
              <w:spacing w:before="113" w:line="222" w:lineRule="auto"/>
              <w:ind w:left="330"/>
              <w:rPr>
                <w:rFonts w:ascii="宋体" w:hAnsi="宋体" w:eastAsia="宋体" w:cs="宋体"/>
                <w:sz w:val="20"/>
                <w:szCs w:val="20"/>
              </w:rPr>
            </w:pPr>
            <w:r>
              <w:rPr>
                <w:rFonts w:ascii="宋体" w:hAnsi="宋体" w:eastAsia="宋体" w:cs="宋体"/>
                <w:spacing w:val="-11"/>
                <w:sz w:val="20"/>
                <w:szCs w:val="20"/>
              </w:rPr>
              <w:t>66.2</w:t>
            </w:r>
          </w:p>
        </w:tc>
        <w:tc>
          <w:tcPr>
            <w:tcW w:w="1023" w:type="dxa"/>
            <w:vAlign w:val="top"/>
          </w:tcPr>
          <w:p>
            <w:pPr>
              <w:spacing w:before="113" w:line="222" w:lineRule="auto"/>
              <w:ind w:left="331"/>
              <w:rPr>
                <w:rFonts w:ascii="宋体" w:hAnsi="宋体" w:eastAsia="宋体" w:cs="宋体"/>
                <w:sz w:val="20"/>
                <w:szCs w:val="20"/>
              </w:rPr>
            </w:pPr>
            <w:r>
              <w:rPr>
                <w:rFonts w:ascii="宋体" w:hAnsi="宋体" w:eastAsia="宋体" w:cs="宋体"/>
                <w:spacing w:val="-11"/>
                <w:sz w:val="20"/>
                <w:szCs w:val="20"/>
              </w:rPr>
              <w:t>52.7</w:t>
            </w:r>
          </w:p>
        </w:tc>
        <w:tc>
          <w:tcPr>
            <w:tcW w:w="1027" w:type="dxa"/>
            <w:vAlign w:val="top"/>
          </w:tcPr>
          <w:p>
            <w:pPr>
              <w:spacing w:before="113" w:line="222" w:lineRule="auto"/>
              <w:ind w:left="338"/>
              <w:rPr>
                <w:rFonts w:ascii="宋体" w:hAnsi="宋体" w:eastAsia="宋体" w:cs="宋体"/>
                <w:sz w:val="20"/>
                <w:szCs w:val="20"/>
              </w:rPr>
            </w:pPr>
            <w:r>
              <w:rPr>
                <w:rFonts w:ascii="宋体" w:hAnsi="宋体" w:eastAsia="宋体" w:cs="宋体"/>
                <w:spacing w:val="-12"/>
                <w:sz w:val="20"/>
                <w:szCs w:val="20"/>
              </w:rPr>
              <w:t>32.2</w:t>
            </w:r>
          </w:p>
        </w:tc>
        <w:tc>
          <w:tcPr>
            <w:tcW w:w="1023" w:type="dxa"/>
            <w:vAlign w:val="top"/>
          </w:tcPr>
          <w:p>
            <w:pPr>
              <w:spacing w:before="113" w:line="222" w:lineRule="auto"/>
              <w:ind w:left="338"/>
              <w:rPr>
                <w:rFonts w:ascii="宋体" w:hAnsi="宋体" w:eastAsia="宋体" w:cs="宋体"/>
                <w:sz w:val="20"/>
                <w:szCs w:val="20"/>
              </w:rPr>
            </w:pPr>
            <w:r>
              <w:rPr>
                <w:rFonts w:ascii="宋体" w:hAnsi="宋体" w:eastAsia="宋体" w:cs="宋体"/>
                <w:spacing w:val="-12"/>
                <w:sz w:val="20"/>
                <w:szCs w:val="20"/>
              </w:rPr>
              <w:t>36.7</w:t>
            </w:r>
          </w:p>
        </w:tc>
        <w:tc>
          <w:tcPr>
            <w:tcW w:w="1024" w:type="dxa"/>
            <w:vAlign w:val="top"/>
          </w:tcPr>
          <w:p>
            <w:pPr>
              <w:spacing w:before="113" w:line="222" w:lineRule="auto"/>
              <w:ind w:left="337"/>
              <w:rPr>
                <w:rFonts w:ascii="宋体" w:hAnsi="宋体" w:eastAsia="宋体" w:cs="宋体"/>
                <w:sz w:val="20"/>
                <w:szCs w:val="20"/>
              </w:rPr>
            </w:pPr>
            <w:r>
              <w:rPr>
                <w:rFonts w:ascii="宋体" w:hAnsi="宋体" w:eastAsia="宋体" w:cs="宋体"/>
                <w:spacing w:val="-11"/>
                <w:sz w:val="20"/>
                <w:szCs w:val="20"/>
              </w:rPr>
              <w:t>23.8</w:t>
            </w:r>
          </w:p>
        </w:tc>
        <w:tc>
          <w:tcPr>
            <w:tcW w:w="1037" w:type="dxa"/>
            <w:tcBorders>
              <w:right w:val="single" w:color="000000" w:sz="6" w:space="0"/>
            </w:tcBorders>
            <w:vAlign w:val="top"/>
          </w:tcPr>
          <w:p>
            <w:pPr>
              <w:spacing w:before="113" w:line="222" w:lineRule="auto"/>
              <w:ind w:left="357"/>
              <w:rPr>
                <w:rFonts w:ascii="宋体" w:hAnsi="宋体" w:eastAsia="宋体" w:cs="宋体"/>
                <w:sz w:val="20"/>
                <w:szCs w:val="20"/>
              </w:rPr>
            </w:pPr>
            <w:r>
              <w:rPr>
                <w:rFonts w:ascii="宋体" w:hAnsi="宋体" w:eastAsia="宋体" w:cs="宋体"/>
                <w:spacing w:val="-15"/>
                <w:sz w:val="20"/>
                <w:szCs w:val="20"/>
              </w:rPr>
              <w:t>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spacing w:before="304" w:line="219" w:lineRule="auto"/>
              <w:ind w:left="153"/>
              <w:rPr>
                <w:rFonts w:ascii="宋体" w:hAnsi="宋体" w:eastAsia="宋体" w:cs="宋体"/>
                <w:sz w:val="20"/>
                <w:szCs w:val="20"/>
              </w:rPr>
            </w:pPr>
            <w:r>
              <w:rPr>
                <w:rFonts w:ascii="宋体" w:hAnsi="宋体" w:eastAsia="宋体" w:cs="宋体"/>
                <w:spacing w:val="8"/>
                <w:sz w:val="20"/>
                <w:szCs w:val="20"/>
              </w:rPr>
              <w:t>安装工程</w:t>
            </w:r>
          </w:p>
        </w:tc>
        <w:tc>
          <w:tcPr>
            <w:tcW w:w="1971" w:type="dxa"/>
            <w:vAlign w:val="top"/>
          </w:tcPr>
          <w:p>
            <w:pPr>
              <w:spacing w:before="120" w:line="216" w:lineRule="auto"/>
              <w:ind w:left="370"/>
              <w:rPr>
                <w:rFonts w:ascii="宋体" w:hAnsi="宋体" w:eastAsia="宋体" w:cs="宋体"/>
                <w:sz w:val="20"/>
                <w:szCs w:val="20"/>
              </w:rPr>
            </w:pPr>
            <w:r>
              <w:rPr>
                <w:rFonts w:ascii="宋体" w:hAnsi="宋体" w:eastAsia="宋体" w:cs="宋体"/>
                <w:spacing w:val="5"/>
                <w:sz w:val="20"/>
                <w:szCs w:val="20"/>
              </w:rPr>
              <w:t>民用安装工程</w:t>
            </w:r>
          </w:p>
        </w:tc>
        <w:tc>
          <w:tcPr>
            <w:tcW w:w="3073" w:type="dxa"/>
            <w:gridSpan w:val="3"/>
            <w:vAlign w:val="top"/>
          </w:tcPr>
          <w:p>
            <w:pPr>
              <w:spacing w:before="114" w:line="221" w:lineRule="auto"/>
              <w:ind w:left="1306"/>
              <w:rPr>
                <w:rFonts w:ascii="宋体" w:hAnsi="宋体" w:eastAsia="宋体" w:cs="宋体"/>
                <w:sz w:val="20"/>
                <w:szCs w:val="20"/>
              </w:rPr>
            </w:pPr>
            <w:r>
              <w:rPr>
                <w:rFonts w:ascii="宋体" w:hAnsi="宋体" w:eastAsia="宋体" w:cs="宋体"/>
                <w:spacing w:val="-8"/>
                <w:sz w:val="20"/>
                <w:szCs w:val="20"/>
              </w:rPr>
              <w:t>55.00</w:t>
            </w:r>
          </w:p>
        </w:tc>
        <w:tc>
          <w:tcPr>
            <w:tcW w:w="3084" w:type="dxa"/>
            <w:gridSpan w:val="3"/>
            <w:tcBorders>
              <w:right w:val="single" w:color="000000" w:sz="6" w:space="0"/>
            </w:tcBorders>
            <w:vAlign w:val="top"/>
          </w:tcPr>
          <w:p>
            <w:pPr>
              <w:spacing w:before="114" w:line="221"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0" w:line="216" w:lineRule="auto"/>
              <w:ind w:left="353"/>
              <w:rPr>
                <w:rFonts w:ascii="宋体" w:hAnsi="宋体" w:eastAsia="宋体" w:cs="宋体"/>
                <w:sz w:val="20"/>
                <w:szCs w:val="20"/>
              </w:rPr>
            </w:pPr>
            <w:r>
              <w:rPr>
                <w:rFonts w:ascii="宋体" w:hAnsi="宋体" w:eastAsia="宋体" w:cs="宋体"/>
                <w:spacing w:val="8"/>
                <w:sz w:val="20"/>
                <w:szCs w:val="20"/>
              </w:rPr>
              <w:t>工业安装工程</w:t>
            </w:r>
          </w:p>
        </w:tc>
        <w:tc>
          <w:tcPr>
            <w:tcW w:w="3073" w:type="dxa"/>
            <w:gridSpan w:val="3"/>
            <w:vAlign w:val="top"/>
          </w:tcPr>
          <w:p>
            <w:pPr>
              <w:spacing w:before="114" w:line="221" w:lineRule="auto"/>
              <w:ind w:left="1306"/>
              <w:rPr>
                <w:rFonts w:ascii="宋体" w:hAnsi="宋体" w:eastAsia="宋体" w:cs="宋体"/>
                <w:sz w:val="20"/>
                <w:szCs w:val="20"/>
              </w:rPr>
            </w:pPr>
            <w:r>
              <w:rPr>
                <w:rFonts w:ascii="宋体" w:hAnsi="宋体" w:eastAsia="宋体" w:cs="宋体"/>
                <w:spacing w:val="-8"/>
                <w:sz w:val="20"/>
                <w:szCs w:val="20"/>
              </w:rPr>
              <w:t>51.00</w:t>
            </w:r>
          </w:p>
        </w:tc>
        <w:tc>
          <w:tcPr>
            <w:tcW w:w="3084" w:type="dxa"/>
            <w:gridSpan w:val="3"/>
            <w:tcBorders>
              <w:right w:val="single" w:color="000000" w:sz="6" w:space="0"/>
            </w:tcBorders>
            <w:vAlign w:val="top"/>
          </w:tcPr>
          <w:p>
            <w:pPr>
              <w:spacing w:before="114" w:line="221"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5" w:lineRule="auto"/>
            </w:pPr>
          </w:p>
          <w:p>
            <w:pPr>
              <w:pStyle w:val="6"/>
              <w:spacing w:line="245" w:lineRule="auto"/>
            </w:pPr>
          </w:p>
          <w:p>
            <w:pPr>
              <w:spacing w:before="65" w:line="218" w:lineRule="auto"/>
              <w:ind w:left="154"/>
              <w:rPr>
                <w:rFonts w:ascii="宋体" w:hAnsi="宋体" w:eastAsia="宋体" w:cs="宋体"/>
                <w:sz w:val="20"/>
                <w:szCs w:val="20"/>
              </w:rPr>
            </w:pPr>
            <w:r>
              <w:rPr>
                <w:rFonts w:ascii="宋体" w:hAnsi="宋体" w:eastAsia="宋体" w:cs="宋体"/>
                <w:spacing w:val="8"/>
                <w:sz w:val="20"/>
                <w:szCs w:val="20"/>
              </w:rPr>
              <w:t>市政工程</w:t>
            </w:r>
          </w:p>
        </w:tc>
        <w:tc>
          <w:tcPr>
            <w:tcW w:w="1971" w:type="dxa"/>
            <w:vAlign w:val="top"/>
          </w:tcPr>
          <w:p>
            <w:pPr>
              <w:spacing w:before="120" w:line="216" w:lineRule="auto"/>
              <w:ind w:left="564"/>
              <w:rPr>
                <w:rFonts w:ascii="宋体" w:hAnsi="宋体" w:eastAsia="宋体" w:cs="宋体"/>
                <w:sz w:val="20"/>
                <w:szCs w:val="20"/>
              </w:rPr>
            </w:pPr>
            <w:r>
              <w:rPr>
                <w:rFonts w:ascii="宋体" w:hAnsi="宋体" w:eastAsia="宋体" w:cs="宋体"/>
                <w:spacing w:val="8"/>
                <w:sz w:val="20"/>
                <w:szCs w:val="20"/>
              </w:rPr>
              <w:t>道路工程</w:t>
            </w:r>
          </w:p>
        </w:tc>
        <w:tc>
          <w:tcPr>
            <w:tcW w:w="1023" w:type="dxa"/>
            <w:vAlign w:val="top"/>
          </w:tcPr>
          <w:p>
            <w:pPr>
              <w:spacing w:before="115" w:line="220" w:lineRule="auto"/>
              <w:ind w:left="329"/>
              <w:rPr>
                <w:rFonts w:ascii="宋体" w:hAnsi="宋体" w:eastAsia="宋体" w:cs="宋体"/>
                <w:sz w:val="20"/>
                <w:szCs w:val="20"/>
              </w:rPr>
            </w:pPr>
            <w:r>
              <w:rPr>
                <w:rFonts w:ascii="宋体" w:hAnsi="宋体" w:eastAsia="宋体" w:cs="宋体"/>
                <w:spacing w:val="-11"/>
                <w:sz w:val="20"/>
                <w:szCs w:val="20"/>
              </w:rPr>
              <w:t>20.3</w:t>
            </w:r>
          </w:p>
        </w:tc>
        <w:tc>
          <w:tcPr>
            <w:tcW w:w="1023" w:type="dxa"/>
            <w:vAlign w:val="top"/>
          </w:tcPr>
          <w:p>
            <w:pPr>
              <w:spacing w:before="115" w:line="220" w:lineRule="auto"/>
              <w:ind w:left="348"/>
              <w:rPr>
                <w:rFonts w:ascii="宋体" w:hAnsi="宋体" w:eastAsia="宋体" w:cs="宋体"/>
                <w:sz w:val="20"/>
                <w:szCs w:val="20"/>
              </w:rPr>
            </w:pPr>
            <w:r>
              <w:rPr>
                <w:rFonts w:ascii="宋体" w:hAnsi="宋体" w:eastAsia="宋体" w:cs="宋体"/>
                <w:spacing w:val="-15"/>
                <w:sz w:val="20"/>
                <w:szCs w:val="20"/>
              </w:rPr>
              <w:t>17.4</w:t>
            </w:r>
          </w:p>
        </w:tc>
        <w:tc>
          <w:tcPr>
            <w:tcW w:w="1027" w:type="dxa"/>
            <w:vAlign w:val="top"/>
          </w:tcPr>
          <w:p>
            <w:pPr>
              <w:spacing w:before="115" w:line="220" w:lineRule="auto"/>
              <w:ind w:left="352"/>
              <w:rPr>
                <w:rFonts w:ascii="宋体" w:hAnsi="宋体" w:eastAsia="宋体" w:cs="宋体"/>
                <w:sz w:val="20"/>
                <w:szCs w:val="20"/>
              </w:rPr>
            </w:pPr>
            <w:r>
              <w:rPr>
                <w:rFonts w:ascii="宋体" w:hAnsi="宋体" w:eastAsia="宋体" w:cs="宋体"/>
                <w:spacing w:val="-15"/>
                <w:sz w:val="20"/>
                <w:szCs w:val="20"/>
              </w:rPr>
              <w:t>16.2</w:t>
            </w:r>
          </w:p>
        </w:tc>
        <w:tc>
          <w:tcPr>
            <w:tcW w:w="1023" w:type="dxa"/>
            <w:vAlign w:val="top"/>
          </w:tcPr>
          <w:p>
            <w:pPr>
              <w:spacing w:before="115" w:line="220" w:lineRule="auto"/>
              <w:ind w:left="352"/>
              <w:rPr>
                <w:rFonts w:ascii="宋体" w:hAnsi="宋体" w:eastAsia="宋体" w:cs="宋体"/>
                <w:sz w:val="20"/>
                <w:szCs w:val="20"/>
              </w:rPr>
            </w:pPr>
            <w:r>
              <w:rPr>
                <w:rFonts w:ascii="宋体" w:hAnsi="宋体" w:eastAsia="宋体" w:cs="宋体"/>
                <w:spacing w:val="-15"/>
                <w:sz w:val="20"/>
                <w:szCs w:val="20"/>
              </w:rPr>
              <w:t>11.4</w:t>
            </w:r>
          </w:p>
        </w:tc>
        <w:tc>
          <w:tcPr>
            <w:tcW w:w="1024" w:type="dxa"/>
            <w:vAlign w:val="top"/>
          </w:tcPr>
          <w:p>
            <w:pPr>
              <w:spacing w:before="115" w:line="220" w:lineRule="auto"/>
              <w:ind w:left="390"/>
              <w:rPr>
                <w:rFonts w:ascii="宋体" w:hAnsi="宋体" w:eastAsia="宋体" w:cs="宋体"/>
                <w:sz w:val="20"/>
                <w:szCs w:val="20"/>
              </w:rPr>
            </w:pPr>
            <w:r>
              <w:rPr>
                <w:rFonts w:ascii="宋体" w:hAnsi="宋体" w:eastAsia="宋体" w:cs="宋体"/>
                <w:spacing w:val="-17"/>
                <w:sz w:val="20"/>
                <w:szCs w:val="20"/>
              </w:rPr>
              <w:t>6.6</w:t>
            </w:r>
          </w:p>
        </w:tc>
        <w:tc>
          <w:tcPr>
            <w:tcW w:w="1037" w:type="dxa"/>
            <w:tcBorders>
              <w:right w:val="single" w:color="000000" w:sz="6" w:space="0"/>
            </w:tcBorders>
            <w:vAlign w:val="top"/>
          </w:tcPr>
          <w:p>
            <w:pPr>
              <w:spacing w:before="115" w:line="220" w:lineRule="auto"/>
              <w:ind w:left="396"/>
              <w:rPr>
                <w:rFonts w:ascii="宋体" w:hAnsi="宋体" w:eastAsia="宋体" w:cs="宋体"/>
                <w:sz w:val="20"/>
                <w:szCs w:val="20"/>
              </w:rPr>
            </w:pPr>
            <w:r>
              <w:rPr>
                <w:rFonts w:ascii="宋体" w:hAnsi="宋体" w:eastAsia="宋体" w:cs="宋体"/>
                <w:spacing w:val="-18"/>
                <w:sz w:val="20"/>
                <w:szCs w:val="20"/>
              </w:rPr>
              <w:t>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5" w:line="211" w:lineRule="auto"/>
              <w:ind w:left="564"/>
              <w:rPr>
                <w:rFonts w:ascii="宋体" w:hAnsi="宋体" w:eastAsia="宋体" w:cs="宋体"/>
                <w:sz w:val="20"/>
                <w:szCs w:val="20"/>
              </w:rPr>
            </w:pPr>
            <w:r>
              <w:rPr>
                <w:rFonts w:ascii="宋体" w:hAnsi="宋体" w:eastAsia="宋体" w:cs="宋体"/>
                <w:spacing w:val="8"/>
                <w:sz w:val="20"/>
                <w:szCs w:val="20"/>
              </w:rPr>
              <w:t>桥涵工程</w:t>
            </w:r>
          </w:p>
        </w:tc>
        <w:tc>
          <w:tcPr>
            <w:tcW w:w="1023" w:type="dxa"/>
            <w:vAlign w:val="top"/>
          </w:tcPr>
          <w:p>
            <w:pPr>
              <w:spacing w:before="118" w:line="217" w:lineRule="auto"/>
              <w:ind w:left="346"/>
              <w:rPr>
                <w:rFonts w:ascii="宋体" w:hAnsi="宋体" w:eastAsia="宋体" w:cs="宋体"/>
                <w:sz w:val="20"/>
                <w:szCs w:val="20"/>
              </w:rPr>
            </w:pPr>
            <w:r>
              <w:rPr>
                <w:rFonts w:ascii="宋体" w:hAnsi="宋体" w:eastAsia="宋体" w:cs="宋体"/>
                <w:spacing w:val="-15"/>
                <w:sz w:val="20"/>
                <w:szCs w:val="20"/>
              </w:rPr>
              <w:t>19.7</w:t>
            </w:r>
          </w:p>
        </w:tc>
        <w:tc>
          <w:tcPr>
            <w:tcW w:w="1023" w:type="dxa"/>
            <w:vAlign w:val="top"/>
          </w:tcPr>
          <w:p>
            <w:pPr>
              <w:spacing w:before="118" w:line="217" w:lineRule="auto"/>
              <w:ind w:left="348"/>
              <w:rPr>
                <w:rFonts w:ascii="宋体" w:hAnsi="宋体" w:eastAsia="宋体" w:cs="宋体"/>
                <w:sz w:val="20"/>
                <w:szCs w:val="20"/>
              </w:rPr>
            </w:pPr>
            <w:r>
              <w:rPr>
                <w:rFonts w:ascii="宋体" w:hAnsi="宋体" w:eastAsia="宋体" w:cs="宋体"/>
                <w:spacing w:val="-15"/>
                <w:sz w:val="20"/>
                <w:szCs w:val="20"/>
              </w:rPr>
              <w:t>19.0</w:t>
            </w:r>
          </w:p>
        </w:tc>
        <w:tc>
          <w:tcPr>
            <w:tcW w:w="1027" w:type="dxa"/>
            <w:vAlign w:val="top"/>
          </w:tcPr>
          <w:p>
            <w:pPr>
              <w:spacing w:before="118" w:line="217" w:lineRule="auto"/>
              <w:ind w:left="352"/>
              <w:rPr>
                <w:rFonts w:ascii="宋体" w:hAnsi="宋体" w:eastAsia="宋体" w:cs="宋体"/>
                <w:sz w:val="20"/>
                <w:szCs w:val="20"/>
              </w:rPr>
            </w:pPr>
            <w:r>
              <w:rPr>
                <w:rFonts w:ascii="宋体" w:hAnsi="宋体" w:eastAsia="宋体" w:cs="宋体"/>
                <w:spacing w:val="-15"/>
                <w:sz w:val="20"/>
                <w:szCs w:val="20"/>
              </w:rPr>
              <w:t>18.2</w:t>
            </w:r>
          </w:p>
        </w:tc>
        <w:tc>
          <w:tcPr>
            <w:tcW w:w="1023" w:type="dxa"/>
            <w:vAlign w:val="top"/>
          </w:tcPr>
          <w:p>
            <w:pPr>
              <w:spacing w:before="118" w:line="217" w:lineRule="auto"/>
              <w:ind w:left="352"/>
              <w:rPr>
                <w:rFonts w:ascii="宋体" w:hAnsi="宋体" w:eastAsia="宋体" w:cs="宋体"/>
                <w:sz w:val="20"/>
                <w:szCs w:val="20"/>
              </w:rPr>
            </w:pPr>
            <w:r>
              <w:rPr>
                <w:rFonts w:ascii="宋体" w:hAnsi="宋体" w:eastAsia="宋体" w:cs="宋体"/>
                <w:spacing w:val="-15"/>
                <w:sz w:val="20"/>
                <w:szCs w:val="20"/>
              </w:rPr>
              <w:t>12.9</w:t>
            </w:r>
          </w:p>
        </w:tc>
        <w:tc>
          <w:tcPr>
            <w:tcW w:w="1024" w:type="dxa"/>
            <w:vAlign w:val="top"/>
          </w:tcPr>
          <w:p>
            <w:pPr>
              <w:spacing w:before="118" w:line="217" w:lineRule="auto"/>
              <w:ind w:left="388"/>
              <w:rPr>
                <w:rFonts w:ascii="宋体" w:hAnsi="宋体" w:eastAsia="宋体" w:cs="宋体"/>
                <w:sz w:val="20"/>
                <w:szCs w:val="20"/>
              </w:rPr>
            </w:pPr>
            <w:r>
              <w:rPr>
                <w:rFonts w:ascii="宋体" w:hAnsi="宋体" w:eastAsia="宋体" w:cs="宋体"/>
                <w:spacing w:val="-16"/>
                <w:sz w:val="20"/>
                <w:szCs w:val="20"/>
              </w:rPr>
              <w:t>7.6</w:t>
            </w:r>
          </w:p>
        </w:tc>
        <w:tc>
          <w:tcPr>
            <w:tcW w:w="1037" w:type="dxa"/>
            <w:tcBorders>
              <w:right w:val="single" w:color="000000" w:sz="6" w:space="0"/>
            </w:tcBorders>
            <w:vAlign w:val="top"/>
          </w:tcPr>
          <w:p>
            <w:pPr>
              <w:spacing w:before="118" w:line="217" w:lineRule="auto"/>
              <w:ind w:left="393"/>
              <w:rPr>
                <w:rFonts w:ascii="宋体" w:hAnsi="宋体" w:eastAsia="宋体" w:cs="宋体"/>
                <w:sz w:val="20"/>
                <w:szCs w:val="20"/>
              </w:rPr>
            </w:pPr>
            <w:r>
              <w:rPr>
                <w:rFonts w:ascii="宋体" w:hAnsi="宋体" w:eastAsia="宋体" w:cs="宋体"/>
                <w:spacing w:val="-17"/>
                <w:sz w:val="20"/>
                <w:szCs w:val="20"/>
              </w:rPr>
              <w:t>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4" w:line="212" w:lineRule="auto"/>
              <w:ind w:left="574"/>
              <w:rPr>
                <w:rFonts w:ascii="宋体" w:hAnsi="宋体" w:eastAsia="宋体" w:cs="宋体"/>
                <w:sz w:val="20"/>
                <w:szCs w:val="20"/>
              </w:rPr>
            </w:pPr>
            <w:r>
              <w:rPr>
                <w:rFonts w:ascii="宋体" w:hAnsi="宋体" w:eastAsia="宋体" w:cs="宋体"/>
                <w:spacing w:val="5"/>
                <w:sz w:val="20"/>
                <w:szCs w:val="20"/>
              </w:rPr>
              <w:t>隧道工程</w:t>
            </w:r>
          </w:p>
        </w:tc>
        <w:tc>
          <w:tcPr>
            <w:tcW w:w="1023" w:type="dxa"/>
            <w:vAlign w:val="top"/>
          </w:tcPr>
          <w:p>
            <w:pPr>
              <w:spacing w:before="118" w:line="217" w:lineRule="auto"/>
              <w:ind w:left="346"/>
              <w:rPr>
                <w:rFonts w:ascii="宋体" w:hAnsi="宋体" w:eastAsia="宋体" w:cs="宋体"/>
                <w:sz w:val="20"/>
                <w:szCs w:val="20"/>
              </w:rPr>
            </w:pPr>
            <w:r>
              <w:rPr>
                <w:rFonts w:ascii="宋体" w:hAnsi="宋体" w:eastAsia="宋体" w:cs="宋体"/>
                <w:spacing w:val="-15"/>
                <w:sz w:val="20"/>
                <w:szCs w:val="20"/>
              </w:rPr>
              <w:t>15.4</w:t>
            </w:r>
          </w:p>
        </w:tc>
        <w:tc>
          <w:tcPr>
            <w:tcW w:w="1023" w:type="dxa"/>
            <w:vAlign w:val="top"/>
          </w:tcPr>
          <w:p>
            <w:pPr>
              <w:spacing w:before="118" w:line="217" w:lineRule="auto"/>
              <w:ind w:left="348"/>
              <w:rPr>
                <w:rFonts w:ascii="宋体" w:hAnsi="宋体" w:eastAsia="宋体" w:cs="宋体"/>
                <w:sz w:val="20"/>
                <w:szCs w:val="20"/>
              </w:rPr>
            </w:pPr>
            <w:r>
              <w:rPr>
                <w:rFonts w:ascii="宋体" w:hAnsi="宋体" w:eastAsia="宋体" w:cs="宋体"/>
                <w:spacing w:val="-15"/>
                <w:sz w:val="20"/>
                <w:szCs w:val="20"/>
              </w:rPr>
              <w:t>14.0</w:t>
            </w:r>
          </w:p>
        </w:tc>
        <w:tc>
          <w:tcPr>
            <w:tcW w:w="1027" w:type="dxa"/>
            <w:vAlign w:val="top"/>
          </w:tcPr>
          <w:p>
            <w:pPr>
              <w:spacing w:before="118" w:line="217" w:lineRule="auto"/>
              <w:ind w:left="352"/>
              <w:rPr>
                <w:rFonts w:ascii="宋体" w:hAnsi="宋体" w:eastAsia="宋体" w:cs="宋体"/>
                <w:sz w:val="20"/>
                <w:szCs w:val="20"/>
              </w:rPr>
            </w:pPr>
            <w:r>
              <w:rPr>
                <w:rFonts w:ascii="宋体" w:hAnsi="宋体" w:eastAsia="宋体" w:cs="宋体"/>
                <w:spacing w:val="-15"/>
                <w:sz w:val="20"/>
                <w:szCs w:val="20"/>
              </w:rPr>
              <w:t>12.5</w:t>
            </w:r>
          </w:p>
        </w:tc>
        <w:tc>
          <w:tcPr>
            <w:tcW w:w="1023" w:type="dxa"/>
            <w:vAlign w:val="top"/>
          </w:tcPr>
          <w:p>
            <w:pPr>
              <w:spacing w:before="118" w:line="217" w:lineRule="auto"/>
              <w:ind w:left="352"/>
              <w:rPr>
                <w:rFonts w:ascii="宋体" w:hAnsi="宋体" w:eastAsia="宋体" w:cs="宋体"/>
                <w:sz w:val="20"/>
                <w:szCs w:val="20"/>
              </w:rPr>
            </w:pPr>
            <w:r>
              <w:rPr>
                <w:rFonts w:ascii="宋体" w:hAnsi="宋体" w:eastAsia="宋体" w:cs="宋体"/>
                <w:spacing w:val="-15"/>
                <w:sz w:val="20"/>
                <w:szCs w:val="20"/>
              </w:rPr>
              <w:t>10.5</w:t>
            </w:r>
          </w:p>
        </w:tc>
        <w:tc>
          <w:tcPr>
            <w:tcW w:w="1024" w:type="dxa"/>
            <w:vAlign w:val="top"/>
          </w:tcPr>
          <w:p>
            <w:pPr>
              <w:spacing w:before="118" w:line="217" w:lineRule="auto"/>
              <w:ind w:left="388"/>
              <w:rPr>
                <w:rFonts w:ascii="宋体" w:hAnsi="宋体" w:eastAsia="宋体" w:cs="宋体"/>
                <w:sz w:val="20"/>
                <w:szCs w:val="20"/>
              </w:rPr>
            </w:pPr>
            <w:r>
              <w:rPr>
                <w:rFonts w:ascii="宋体" w:hAnsi="宋体" w:eastAsia="宋体" w:cs="宋体"/>
                <w:spacing w:val="-16"/>
                <w:sz w:val="20"/>
                <w:szCs w:val="20"/>
              </w:rPr>
              <w:t>7.0</w:t>
            </w:r>
          </w:p>
        </w:tc>
        <w:tc>
          <w:tcPr>
            <w:tcW w:w="1037" w:type="dxa"/>
            <w:tcBorders>
              <w:right w:val="single" w:color="000000" w:sz="6" w:space="0"/>
            </w:tcBorders>
            <w:vAlign w:val="top"/>
          </w:tcPr>
          <w:p>
            <w:pPr>
              <w:spacing w:before="118" w:line="217" w:lineRule="auto"/>
              <w:ind w:left="393"/>
              <w:rPr>
                <w:rFonts w:ascii="宋体" w:hAnsi="宋体" w:eastAsia="宋体" w:cs="宋体"/>
                <w:sz w:val="20"/>
                <w:szCs w:val="20"/>
              </w:rPr>
            </w:pPr>
            <w:r>
              <w:rPr>
                <w:rFonts w:ascii="宋体" w:hAnsi="宋体" w:eastAsia="宋体" w:cs="宋体"/>
                <w:spacing w:val="-17"/>
                <w:sz w:val="20"/>
                <w:szCs w:val="20"/>
              </w:rPr>
              <w:t>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5" w:line="211" w:lineRule="auto"/>
              <w:ind w:left="570"/>
              <w:rPr>
                <w:rFonts w:ascii="宋体" w:hAnsi="宋体" w:eastAsia="宋体" w:cs="宋体"/>
                <w:sz w:val="20"/>
                <w:szCs w:val="20"/>
              </w:rPr>
            </w:pPr>
            <w:r>
              <w:rPr>
                <w:rFonts w:ascii="宋体" w:hAnsi="宋体" w:eastAsia="宋体" w:cs="宋体"/>
                <w:spacing w:val="6"/>
                <w:sz w:val="20"/>
                <w:szCs w:val="20"/>
              </w:rPr>
              <w:t>给水工程</w:t>
            </w:r>
          </w:p>
        </w:tc>
        <w:tc>
          <w:tcPr>
            <w:tcW w:w="1023" w:type="dxa"/>
            <w:vAlign w:val="top"/>
          </w:tcPr>
          <w:p>
            <w:pPr>
              <w:spacing w:before="120" w:line="216" w:lineRule="auto"/>
              <w:ind w:left="332"/>
              <w:rPr>
                <w:rFonts w:ascii="宋体" w:hAnsi="宋体" w:eastAsia="宋体" w:cs="宋体"/>
                <w:sz w:val="20"/>
                <w:szCs w:val="20"/>
              </w:rPr>
            </w:pPr>
            <w:r>
              <w:rPr>
                <w:rFonts w:ascii="宋体" w:hAnsi="宋体" w:eastAsia="宋体" w:cs="宋体"/>
                <w:spacing w:val="-12"/>
                <w:sz w:val="20"/>
                <w:szCs w:val="20"/>
              </w:rPr>
              <w:t>39.1</w:t>
            </w:r>
          </w:p>
        </w:tc>
        <w:tc>
          <w:tcPr>
            <w:tcW w:w="1023" w:type="dxa"/>
            <w:vAlign w:val="top"/>
          </w:tcPr>
          <w:p>
            <w:pPr>
              <w:spacing w:before="120" w:line="216" w:lineRule="auto"/>
              <w:ind w:left="334"/>
              <w:rPr>
                <w:rFonts w:ascii="宋体" w:hAnsi="宋体" w:eastAsia="宋体" w:cs="宋体"/>
                <w:sz w:val="20"/>
                <w:szCs w:val="20"/>
              </w:rPr>
            </w:pPr>
            <w:r>
              <w:rPr>
                <w:rFonts w:ascii="宋体" w:hAnsi="宋体" w:eastAsia="宋体" w:cs="宋体"/>
                <w:spacing w:val="-12"/>
                <w:sz w:val="20"/>
                <w:szCs w:val="20"/>
              </w:rPr>
              <w:t>35.4</w:t>
            </w:r>
          </w:p>
        </w:tc>
        <w:tc>
          <w:tcPr>
            <w:tcW w:w="1027" w:type="dxa"/>
            <w:vAlign w:val="top"/>
          </w:tcPr>
          <w:p>
            <w:pPr>
              <w:spacing w:before="120" w:line="216" w:lineRule="auto"/>
              <w:ind w:left="335"/>
              <w:rPr>
                <w:rFonts w:ascii="宋体" w:hAnsi="宋体" w:eastAsia="宋体" w:cs="宋体"/>
                <w:sz w:val="20"/>
                <w:szCs w:val="20"/>
              </w:rPr>
            </w:pPr>
            <w:r>
              <w:rPr>
                <w:rFonts w:ascii="宋体" w:hAnsi="宋体" w:eastAsia="宋体" w:cs="宋体"/>
                <w:spacing w:val="-11"/>
                <w:sz w:val="20"/>
                <w:szCs w:val="20"/>
              </w:rPr>
              <w:t>22.0</w:t>
            </w:r>
          </w:p>
        </w:tc>
        <w:tc>
          <w:tcPr>
            <w:tcW w:w="1023" w:type="dxa"/>
            <w:vAlign w:val="top"/>
          </w:tcPr>
          <w:p>
            <w:pPr>
              <w:spacing w:before="120" w:line="216" w:lineRule="auto"/>
              <w:ind w:left="335"/>
              <w:rPr>
                <w:rFonts w:ascii="宋体" w:hAnsi="宋体" w:eastAsia="宋体" w:cs="宋体"/>
                <w:sz w:val="20"/>
                <w:szCs w:val="20"/>
              </w:rPr>
            </w:pPr>
            <w:r>
              <w:rPr>
                <w:rFonts w:ascii="宋体" w:hAnsi="宋体" w:eastAsia="宋体" w:cs="宋体"/>
                <w:spacing w:val="-11"/>
                <w:sz w:val="20"/>
                <w:szCs w:val="20"/>
              </w:rPr>
              <w:t>24.7</w:t>
            </w:r>
          </w:p>
        </w:tc>
        <w:tc>
          <w:tcPr>
            <w:tcW w:w="1024" w:type="dxa"/>
            <w:vAlign w:val="top"/>
          </w:tcPr>
          <w:p>
            <w:pPr>
              <w:spacing w:before="120" w:line="216" w:lineRule="auto"/>
              <w:ind w:left="337"/>
              <w:rPr>
                <w:rFonts w:ascii="宋体" w:hAnsi="宋体" w:eastAsia="宋体" w:cs="宋体"/>
                <w:sz w:val="20"/>
                <w:szCs w:val="20"/>
              </w:rPr>
            </w:pPr>
            <w:r>
              <w:rPr>
                <w:rFonts w:ascii="宋体" w:hAnsi="宋体" w:eastAsia="宋体" w:cs="宋体"/>
                <w:spacing w:val="-11"/>
                <w:sz w:val="20"/>
                <w:szCs w:val="20"/>
              </w:rPr>
              <w:t>22.2</w:t>
            </w:r>
          </w:p>
        </w:tc>
        <w:tc>
          <w:tcPr>
            <w:tcW w:w="1037" w:type="dxa"/>
            <w:tcBorders>
              <w:right w:val="single" w:color="000000" w:sz="6" w:space="0"/>
            </w:tcBorders>
            <w:vAlign w:val="top"/>
          </w:tcPr>
          <w:p>
            <w:pPr>
              <w:spacing w:before="120" w:line="216" w:lineRule="auto"/>
              <w:ind w:left="357"/>
              <w:rPr>
                <w:rFonts w:ascii="宋体" w:hAnsi="宋体" w:eastAsia="宋体" w:cs="宋体"/>
                <w:sz w:val="20"/>
                <w:szCs w:val="20"/>
              </w:rPr>
            </w:pPr>
            <w:r>
              <w:rPr>
                <w:rFonts w:ascii="宋体" w:hAnsi="宋体" w:eastAsia="宋体" w:cs="宋体"/>
                <w:spacing w:val="-15"/>
                <w:sz w:val="20"/>
                <w:szCs w:val="20"/>
              </w:rPr>
              <w:t>13.3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2" w:line="223" w:lineRule="auto"/>
              <w:ind w:left="563"/>
              <w:rPr>
                <w:rFonts w:ascii="宋体" w:hAnsi="宋体" w:eastAsia="宋体" w:cs="宋体"/>
                <w:sz w:val="20"/>
                <w:szCs w:val="20"/>
              </w:rPr>
            </w:pPr>
            <w:r>
              <w:rPr>
                <w:rFonts w:ascii="宋体" w:hAnsi="宋体" w:eastAsia="宋体" w:cs="宋体"/>
                <w:spacing w:val="8"/>
                <w:sz w:val="20"/>
                <w:szCs w:val="20"/>
              </w:rPr>
              <w:t>排水工程</w:t>
            </w:r>
          </w:p>
        </w:tc>
        <w:tc>
          <w:tcPr>
            <w:tcW w:w="1023" w:type="dxa"/>
            <w:vAlign w:val="top"/>
          </w:tcPr>
          <w:p>
            <w:pPr>
              <w:spacing w:before="120" w:line="216" w:lineRule="auto"/>
              <w:ind w:left="346"/>
              <w:rPr>
                <w:rFonts w:ascii="宋体" w:hAnsi="宋体" w:eastAsia="宋体" w:cs="宋体"/>
                <w:sz w:val="20"/>
                <w:szCs w:val="20"/>
              </w:rPr>
            </w:pPr>
            <w:r>
              <w:rPr>
                <w:rFonts w:ascii="宋体" w:hAnsi="宋体" w:eastAsia="宋体" w:cs="宋体"/>
                <w:spacing w:val="-15"/>
                <w:sz w:val="20"/>
                <w:szCs w:val="20"/>
              </w:rPr>
              <w:t>19.7</w:t>
            </w:r>
          </w:p>
        </w:tc>
        <w:tc>
          <w:tcPr>
            <w:tcW w:w="1023" w:type="dxa"/>
            <w:vAlign w:val="top"/>
          </w:tcPr>
          <w:p>
            <w:pPr>
              <w:spacing w:before="120" w:line="216" w:lineRule="auto"/>
              <w:ind w:left="348"/>
              <w:rPr>
                <w:rFonts w:ascii="宋体" w:hAnsi="宋体" w:eastAsia="宋体" w:cs="宋体"/>
                <w:sz w:val="20"/>
                <w:szCs w:val="20"/>
              </w:rPr>
            </w:pPr>
            <w:r>
              <w:rPr>
                <w:rFonts w:ascii="宋体" w:hAnsi="宋体" w:eastAsia="宋体" w:cs="宋体"/>
                <w:spacing w:val="-15"/>
                <w:sz w:val="20"/>
                <w:szCs w:val="20"/>
              </w:rPr>
              <w:t>17.2</w:t>
            </w:r>
          </w:p>
        </w:tc>
        <w:tc>
          <w:tcPr>
            <w:tcW w:w="1027" w:type="dxa"/>
            <w:vAlign w:val="top"/>
          </w:tcPr>
          <w:p>
            <w:pPr>
              <w:spacing w:before="120" w:line="216" w:lineRule="auto"/>
              <w:ind w:left="352"/>
              <w:rPr>
                <w:rFonts w:ascii="宋体" w:hAnsi="宋体" w:eastAsia="宋体" w:cs="宋体"/>
                <w:sz w:val="20"/>
                <w:szCs w:val="20"/>
              </w:rPr>
            </w:pPr>
            <w:r>
              <w:rPr>
                <w:rFonts w:ascii="宋体" w:hAnsi="宋体" w:eastAsia="宋体" w:cs="宋体"/>
                <w:spacing w:val="-15"/>
                <w:sz w:val="20"/>
                <w:szCs w:val="20"/>
              </w:rPr>
              <w:t>15.8</w:t>
            </w:r>
          </w:p>
        </w:tc>
        <w:tc>
          <w:tcPr>
            <w:tcW w:w="1023" w:type="dxa"/>
            <w:vAlign w:val="top"/>
          </w:tcPr>
          <w:p>
            <w:pPr>
              <w:spacing w:before="120" w:line="216" w:lineRule="auto"/>
              <w:ind w:left="352"/>
              <w:rPr>
                <w:rFonts w:ascii="宋体" w:hAnsi="宋体" w:eastAsia="宋体" w:cs="宋体"/>
                <w:sz w:val="20"/>
                <w:szCs w:val="20"/>
              </w:rPr>
            </w:pPr>
            <w:r>
              <w:rPr>
                <w:rFonts w:ascii="宋体" w:hAnsi="宋体" w:eastAsia="宋体" w:cs="宋体"/>
                <w:spacing w:val="-15"/>
                <w:sz w:val="20"/>
                <w:szCs w:val="20"/>
              </w:rPr>
              <w:t>10.9</w:t>
            </w:r>
          </w:p>
        </w:tc>
        <w:tc>
          <w:tcPr>
            <w:tcW w:w="1024" w:type="dxa"/>
            <w:vAlign w:val="top"/>
          </w:tcPr>
          <w:p>
            <w:pPr>
              <w:spacing w:before="120" w:line="216" w:lineRule="auto"/>
              <w:ind w:left="390"/>
              <w:rPr>
                <w:rFonts w:ascii="宋体" w:hAnsi="宋体" w:eastAsia="宋体" w:cs="宋体"/>
                <w:sz w:val="20"/>
                <w:szCs w:val="20"/>
              </w:rPr>
            </w:pPr>
            <w:r>
              <w:rPr>
                <w:rFonts w:ascii="宋体" w:hAnsi="宋体" w:eastAsia="宋体" w:cs="宋体"/>
                <w:spacing w:val="-17"/>
                <w:sz w:val="20"/>
                <w:szCs w:val="20"/>
              </w:rPr>
              <w:t>6.2</w:t>
            </w:r>
          </w:p>
        </w:tc>
        <w:tc>
          <w:tcPr>
            <w:tcW w:w="1037" w:type="dxa"/>
            <w:tcBorders>
              <w:right w:val="single" w:color="000000" w:sz="6" w:space="0"/>
            </w:tcBorders>
            <w:vAlign w:val="top"/>
          </w:tcPr>
          <w:p>
            <w:pPr>
              <w:spacing w:before="120" w:line="216" w:lineRule="auto"/>
              <w:ind w:left="390"/>
              <w:rPr>
                <w:rFonts w:ascii="宋体" w:hAnsi="宋体" w:eastAsia="宋体" w:cs="宋体"/>
                <w:sz w:val="20"/>
                <w:szCs w:val="20"/>
              </w:rPr>
            </w:pPr>
            <w:r>
              <w:rPr>
                <w:rFonts w:ascii="宋体" w:hAnsi="宋体" w:eastAsia="宋体" w:cs="宋体"/>
                <w:spacing w:val="-16"/>
                <w:sz w:val="20"/>
                <w:szCs w:val="20"/>
              </w:rPr>
              <w:t>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6" w:line="210" w:lineRule="auto"/>
              <w:ind w:left="561"/>
              <w:rPr>
                <w:rFonts w:ascii="宋体" w:hAnsi="宋体" w:eastAsia="宋体" w:cs="宋体"/>
                <w:sz w:val="20"/>
                <w:szCs w:val="20"/>
              </w:rPr>
            </w:pPr>
            <w:r>
              <w:rPr>
                <w:rFonts w:ascii="宋体" w:hAnsi="宋体" w:eastAsia="宋体" w:cs="宋体"/>
                <w:spacing w:val="9"/>
                <w:sz w:val="20"/>
                <w:szCs w:val="20"/>
              </w:rPr>
              <w:t>燃气工程</w:t>
            </w:r>
          </w:p>
        </w:tc>
        <w:tc>
          <w:tcPr>
            <w:tcW w:w="1023" w:type="dxa"/>
            <w:vAlign w:val="top"/>
          </w:tcPr>
          <w:p>
            <w:pPr>
              <w:spacing w:before="121" w:line="215" w:lineRule="auto"/>
              <w:ind w:left="329"/>
              <w:rPr>
                <w:rFonts w:ascii="宋体" w:hAnsi="宋体" w:eastAsia="宋体" w:cs="宋体"/>
                <w:sz w:val="20"/>
                <w:szCs w:val="20"/>
              </w:rPr>
            </w:pPr>
            <w:r>
              <w:rPr>
                <w:rFonts w:ascii="宋体" w:hAnsi="宋体" w:eastAsia="宋体" w:cs="宋体"/>
                <w:spacing w:val="-11"/>
                <w:sz w:val="20"/>
                <w:szCs w:val="20"/>
              </w:rPr>
              <w:t>27.3</w:t>
            </w:r>
          </w:p>
        </w:tc>
        <w:tc>
          <w:tcPr>
            <w:tcW w:w="1023" w:type="dxa"/>
            <w:vAlign w:val="top"/>
          </w:tcPr>
          <w:p>
            <w:pPr>
              <w:spacing w:before="121" w:line="215" w:lineRule="auto"/>
              <w:ind w:left="331"/>
              <w:rPr>
                <w:rFonts w:ascii="宋体" w:hAnsi="宋体" w:eastAsia="宋体" w:cs="宋体"/>
                <w:sz w:val="20"/>
                <w:szCs w:val="20"/>
              </w:rPr>
            </w:pPr>
            <w:r>
              <w:rPr>
                <w:rFonts w:ascii="宋体" w:hAnsi="宋体" w:eastAsia="宋体" w:cs="宋体"/>
                <w:spacing w:val="-11"/>
                <w:sz w:val="20"/>
                <w:szCs w:val="20"/>
              </w:rPr>
              <w:t>24.3</w:t>
            </w:r>
          </w:p>
        </w:tc>
        <w:tc>
          <w:tcPr>
            <w:tcW w:w="1027" w:type="dxa"/>
            <w:vAlign w:val="top"/>
          </w:tcPr>
          <w:p>
            <w:pPr>
              <w:spacing w:before="121" w:line="215" w:lineRule="auto"/>
              <w:ind w:left="335"/>
              <w:rPr>
                <w:rFonts w:ascii="宋体" w:hAnsi="宋体" w:eastAsia="宋体" w:cs="宋体"/>
                <w:sz w:val="20"/>
                <w:szCs w:val="20"/>
              </w:rPr>
            </w:pPr>
            <w:r>
              <w:rPr>
                <w:rFonts w:ascii="宋体" w:hAnsi="宋体" w:eastAsia="宋体" w:cs="宋体"/>
                <w:spacing w:val="-11"/>
                <w:sz w:val="20"/>
                <w:szCs w:val="20"/>
              </w:rPr>
              <w:t>20.8</w:t>
            </w:r>
          </w:p>
        </w:tc>
        <w:tc>
          <w:tcPr>
            <w:tcW w:w="1023" w:type="dxa"/>
            <w:vAlign w:val="top"/>
          </w:tcPr>
          <w:p>
            <w:pPr>
              <w:spacing w:before="121" w:line="215" w:lineRule="auto"/>
              <w:ind w:left="335"/>
              <w:rPr>
                <w:rFonts w:ascii="宋体" w:hAnsi="宋体" w:eastAsia="宋体" w:cs="宋体"/>
                <w:sz w:val="20"/>
                <w:szCs w:val="20"/>
              </w:rPr>
            </w:pPr>
            <w:r>
              <w:rPr>
                <w:rFonts w:ascii="宋体" w:hAnsi="宋体" w:eastAsia="宋体" w:cs="宋体"/>
                <w:spacing w:val="-11"/>
                <w:sz w:val="20"/>
                <w:szCs w:val="20"/>
              </w:rPr>
              <w:t>22.6</w:t>
            </w:r>
          </w:p>
        </w:tc>
        <w:tc>
          <w:tcPr>
            <w:tcW w:w="1024" w:type="dxa"/>
            <w:vAlign w:val="top"/>
          </w:tcPr>
          <w:p>
            <w:pPr>
              <w:spacing w:before="121" w:line="215" w:lineRule="auto"/>
              <w:ind w:left="354"/>
              <w:rPr>
                <w:rFonts w:ascii="宋体" w:hAnsi="宋体" w:eastAsia="宋体" w:cs="宋体"/>
                <w:sz w:val="20"/>
                <w:szCs w:val="20"/>
              </w:rPr>
            </w:pPr>
            <w:r>
              <w:rPr>
                <w:rFonts w:ascii="宋体" w:hAnsi="宋体" w:eastAsia="宋体" w:cs="宋体"/>
                <w:spacing w:val="-15"/>
                <w:sz w:val="20"/>
                <w:szCs w:val="20"/>
              </w:rPr>
              <w:t>16.2</w:t>
            </w:r>
          </w:p>
        </w:tc>
        <w:tc>
          <w:tcPr>
            <w:tcW w:w="1037" w:type="dxa"/>
            <w:tcBorders>
              <w:right w:val="single" w:color="000000" w:sz="6" w:space="0"/>
            </w:tcBorders>
            <w:vAlign w:val="top"/>
          </w:tcPr>
          <w:p>
            <w:pPr>
              <w:spacing w:before="121" w:line="215" w:lineRule="auto"/>
              <w:ind w:left="393"/>
              <w:rPr>
                <w:rFonts w:ascii="宋体" w:hAnsi="宋体" w:eastAsia="宋体" w:cs="宋体"/>
                <w:sz w:val="20"/>
                <w:szCs w:val="20"/>
              </w:rPr>
            </w:pPr>
            <w:r>
              <w:rPr>
                <w:rFonts w:ascii="宋体" w:hAnsi="宋体" w:eastAsia="宋体" w:cs="宋体"/>
                <w:spacing w:val="-17"/>
                <w:sz w:val="20"/>
                <w:szCs w:val="20"/>
              </w:rPr>
              <w:t>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1" w:line="216" w:lineRule="auto"/>
              <w:ind w:left="562"/>
              <w:rPr>
                <w:rFonts w:ascii="宋体" w:hAnsi="宋体" w:eastAsia="宋体" w:cs="宋体"/>
                <w:sz w:val="20"/>
                <w:szCs w:val="20"/>
              </w:rPr>
            </w:pPr>
            <w:r>
              <w:rPr>
                <w:rFonts w:ascii="宋体" w:hAnsi="宋体" w:eastAsia="宋体" w:cs="宋体"/>
                <w:spacing w:val="8"/>
                <w:sz w:val="20"/>
                <w:szCs w:val="20"/>
              </w:rPr>
              <w:t>供热工程</w:t>
            </w:r>
          </w:p>
        </w:tc>
        <w:tc>
          <w:tcPr>
            <w:tcW w:w="1023" w:type="dxa"/>
            <w:vAlign w:val="top"/>
          </w:tcPr>
          <w:p>
            <w:pPr>
              <w:spacing w:before="121" w:line="216" w:lineRule="auto"/>
              <w:ind w:left="329"/>
              <w:rPr>
                <w:rFonts w:ascii="宋体" w:hAnsi="宋体" w:eastAsia="宋体" w:cs="宋体"/>
                <w:sz w:val="20"/>
                <w:szCs w:val="20"/>
              </w:rPr>
            </w:pPr>
            <w:r>
              <w:rPr>
                <w:rFonts w:ascii="宋体" w:hAnsi="宋体" w:eastAsia="宋体" w:cs="宋体"/>
                <w:spacing w:val="-11"/>
                <w:sz w:val="20"/>
                <w:szCs w:val="20"/>
              </w:rPr>
              <w:t>28.9</w:t>
            </w:r>
          </w:p>
        </w:tc>
        <w:tc>
          <w:tcPr>
            <w:tcW w:w="1023" w:type="dxa"/>
            <w:vAlign w:val="top"/>
          </w:tcPr>
          <w:p>
            <w:pPr>
              <w:spacing w:before="121" w:line="216" w:lineRule="auto"/>
              <w:ind w:left="331"/>
              <w:rPr>
                <w:rFonts w:ascii="宋体" w:hAnsi="宋体" w:eastAsia="宋体" w:cs="宋体"/>
                <w:sz w:val="20"/>
                <w:szCs w:val="20"/>
              </w:rPr>
            </w:pPr>
            <w:r>
              <w:rPr>
                <w:rFonts w:ascii="宋体" w:hAnsi="宋体" w:eastAsia="宋体" w:cs="宋体"/>
                <w:spacing w:val="-11"/>
                <w:sz w:val="20"/>
                <w:szCs w:val="20"/>
              </w:rPr>
              <w:t>23.6</w:t>
            </w:r>
          </w:p>
        </w:tc>
        <w:tc>
          <w:tcPr>
            <w:tcW w:w="1027" w:type="dxa"/>
            <w:vAlign w:val="top"/>
          </w:tcPr>
          <w:p>
            <w:pPr>
              <w:spacing w:before="121" w:line="216" w:lineRule="auto"/>
              <w:ind w:left="352"/>
              <w:rPr>
                <w:rFonts w:ascii="宋体" w:hAnsi="宋体" w:eastAsia="宋体" w:cs="宋体"/>
                <w:sz w:val="20"/>
                <w:szCs w:val="20"/>
              </w:rPr>
            </w:pPr>
            <w:r>
              <w:rPr>
                <w:rFonts w:ascii="宋体" w:hAnsi="宋体" w:eastAsia="宋体" w:cs="宋体"/>
                <w:spacing w:val="-15"/>
                <w:sz w:val="20"/>
                <w:szCs w:val="20"/>
              </w:rPr>
              <w:t>18.2</w:t>
            </w:r>
          </w:p>
        </w:tc>
        <w:tc>
          <w:tcPr>
            <w:tcW w:w="1023" w:type="dxa"/>
            <w:vAlign w:val="top"/>
          </w:tcPr>
          <w:p>
            <w:pPr>
              <w:spacing w:before="121" w:line="216" w:lineRule="auto"/>
              <w:ind w:left="335"/>
              <w:rPr>
                <w:rFonts w:ascii="宋体" w:hAnsi="宋体" w:eastAsia="宋体" w:cs="宋体"/>
                <w:sz w:val="20"/>
                <w:szCs w:val="20"/>
              </w:rPr>
            </w:pPr>
            <w:r>
              <w:rPr>
                <w:rFonts w:ascii="宋体" w:hAnsi="宋体" w:eastAsia="宋体" w:cs="宋体"/>
                <w:spacing w:val="-11"/>
                <w:sz w:val="20"/>
                <w:szCs w:val="20"/>
              </w:rPr>
              <w:t>20.9</w:t>
            </w:r>
          </w:p>
        </w:tc>
        <w:tc>
          <w:tcPr>
            <w:tcW w:w="1024" w:type="dxa"/>
            <w:vAlign w:val="top"/>
          </w:tcPr>
          <w:p>
            <w:pPr>
              <w:spacing w:before="121" w:line="216" w:lineRule="auto"/>
              <w:ind w:left="354"/>
              <w:rPr>
                <w:rFonts w:ascii="宋体" w:hAnsi="宋体" w:eastAsia="宋体" w:cs="宋体"/>
                <w:sz w:val="20"/>
                <w:szCs w:val="20"/>
              </w:rPr>
            </w:pPr>
            <w:r>
              <w:rPr>
                <w:rFonts w:ascii="宋体" w:hAnsi="宋体" w:eastAsia="宋体" w:cs="宋体"/>
                <w:spacing w:val="-15"/>
                <w:sz w:val="20"/>
                <w:szCs w:val="20"/>
              </w:rPr>
              <w:t>18.2</w:t>
            </w:r>
          </w:p>
        </w:tc>
        <w:tc>
          <w:tcPr>
            <w:tcW w:w="1037" w:type="dxa"/>
            <w:tcBorders>
              <w:right w:val="single" w:color="000000" w:sz="6" w:space="0"/>
            </w:tcBorders>
            <w:vAlign w:val="top"/>
          </w:tcPr>
          <w:p>
            <w:pPr>
              <w:spacing w:before="121" w:line="216" w:lineRule="auto"/>
              <w:ind w:left="357"/>
              <w:rPr>
                <w:rFonts w:ascii="宋体" w:hAnsi="宋体" w:eastAsia="宋体" w:cs="宋体"/>
                <w:sz w:val="20"/>
                <w:szCs w:val="20"/>
              </w:rPr>
            </w:pPr>
            <w:r>
              <w:rPr>
                <w:rFonts w:ascii="宋体" w:hAnsi="宋体" w:eastAsia="宋体" w:cs="宋体"/>
                <w:spacing w:val="-15"/>
                <w:sz w:val="20"/>
                <w:szCs w:val="20"/>
              </w:rPr>
              <w:t>11.8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8" w:line="209" w:lineRule="auto"/>
              <w:ind w:left="457"/>
              <w:rPr>
                <w:rFonts w:ascii="宋体" w:hAnsi="宋体" w:eastAsia="宋体" w:cs="宋体"/>
                <w:sz w:val="20"/>
                <w:szCs w:val="20"/>
              </w:rPr>
            </w:pPr>
            <w:r>
              <w:rPr>
                <w:rFonts w:ascii="宋体" w:hAnsi="宋体" w:eastAsia="宋体" w:cs="宋体"/>
                <w:spacing w:val="9"/>
                <w:sz w:val="20"/>
                <w:szCs w:val="20"/>
              </w:rPr>
              <w:t>水处理工程</w:t>
            </w:r>
          </w:p>
        </w:tc>
        <w:tc>
          <w:tcPr>
            <w:tcW w:w="1023" w:type="dxa"/>
            <w:vAlign w:val="top"/>
          </w:tcPr>
          <w:p>
            <w:pPr>
              <w:spacing w:before="123" w:line="214" w:lineRule="auto"/>
              <w:ind w:left="346"/>
              <w:rPr>
                <w:rFonts w:ascii="宋体" w:hAnsi="宋体" w:eastAsia="宋体" w:cs="宋体"/>
                <w:sz w:val="20"/>
                <w:szCs w:val="20"/>
              </w:rPr>
            </w:pPr>
            <w:r>
              <w:rPr>
                <w:rFonts w:ascii="宋体" w:hAnsi="宋体" w:eastAsia="宋体" w:cs="宋体"/>
                <w:spacing w:val="-15"/>
                <w:sz w:val="20"/>
                <w:szCs w:val="20"/>
              </w:rPr>
              <w:t>18.8</w:t>
            </w:r>
          </w:p>
        </w:tc>
        <w:tc>
          <w:tcPr>
            <w:tcW w:w="1023" w:type="dxa"/>
            <w:vAlign w:val="top"/>
          </w:tcPr>
          <w:p>
            <w:pPr>
              <w:spacing w:before="123" w:line="214" w:lineRule="auto"/>
              <w:ind w:left="348"/>
              <w:rPr>
                <w:rFonts w:ascii="宋体" w:hAnsi="宋体" w:eastAsia="宋体" w:cs="宋体"/>
                <w:sz w:val="20"/>
                <w:szCs w:val="20"/>
              </w:rPr>
            </w:pPr>
            <w:r>
              <w:rPr>
                <w:rFonts w:ascii="宋体" w:hAnsi="宋体" w:eastAsia="宋体" w:cs="宋体"/>
                <w:spacing w:val="-15"/>
                <w:sz w:val="20"/>
                <w:szCs w:val="20"/>
              </w:rPr>
              <w:t>16.6</w:t>
            </w:r>
          </w:p>
        </w:tc>
        <w:tc>
          <w:tcPr>
            <w:tcW w:w="1027" w:type="dxa"/>
            <w:vAlign w:val="top"/>
          </w:tcPr>
          <w:p>
            <w:pPr>
              <w:spacing w:before="246" w:line="108"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1023" w:type="dxa"/>
            <w:vAlign w:val="top"/>
          </w:tcPr>
          <w:p>
            <w:pPr>
              <w:spacing w:before="123" w:line="214" w:lineRule="auto"/>
              <w:ind w:left="388"/>
              <w:rPr>
                <w:rFonts w:ascii="宋体" w:hAnsi="宋体" w:eastAsia="宋体" w:cs="宋体"/>
                <w:sz w:val="20"/>
                <w:szCs w:val="20"/>
              </w:rPr>
            </w:pPr>
            <w:r>
              <w:rPr>
                <w:rFonts w:ascii="宋体" w:hAnsi="宋体" w:eastAsia="宋体" w:cs="宋体"/>
                <w:spacing w:val="-17"/>
                <w:sz w:val="20"/>
                <w:szCs w:val="20"/>
              </w:rPr>
              <w:t>9.2</w:t>
            </w:r>
          </w:p>
        </w:tc>
        <w:tc>
          <w:tcPr>
            <w:tcW w:w="1024" w:type="dxa"/>
            <w:vAlign w:val="top"/>
          </w:tcPr>
          <w:p>
            <w:pPr>
              <w:spacing w:before="123" w:line="214" w:lineRule="auto"/>
              <w:ind w:left="390"/>
              <w:rPr>
                <w:rFonts w:ascii="宋体" w:hAnsi="宋体" w:eastAsia="宋体" w:cs="宋体"/>
                <w:sz w:val="20"/>
                <w:szCs w:val="20"/>
              </w:rPr>
            </w:pPr>
            <w:r>
              <w:rPr>
                <w:rFonts w:ascii="宋体" w:hAnsi="宋体" w:eastAsia="宋体" w:cs="宋体"/>
                <w:spacing w:val="-17"/>
                <w:sz w:val="20"/>
                <w:szCs w:val="20"/>
              </w:rPr>
              <w:t>6.2</w:t>
            </w:r>
          </w:p>
        </w:tc>
        <w:tc>
          <w:tcPr>
            <w:tcW w:w="1037" w:type="dxa"/>
            <w:tcBorders>
              <w:right w:val="single" w:color="000000" w:sz="6" w:space="0"/>
            </w:tcBorders>
            <w:vAlign w:val="top"/>
          </w:tcPr>
          <w:p>
            <w:pPr>
              <w:spacing w:before="246" w:line="108" w:lineRule="exact"/>
              <w:ind w:left="468"/>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31" w:line="206" w:lineRule="auto"/>
              <w:ind w:left="354"/>
              <w:rPr>
                <w:rFonts w:ascii="宋体" w:hAnsi="宋体" w:eastAsia="宋体" w:cs="宋体"/>
                <w:sz w:val="20"/>
                <w:szCs w:val="20"/>
              </w:rPr>
            </w:pPr>
            <w:r>
              <w:rPr>
                <w:rFonts w:ascii="宋体" w:hAnsi="宋体" w:eastAsia="宋体" w:cs="宋体"/>
                <w:spacing w:val="8"/>
                <w:sz w:val="20"/>
                <w:szCs w:val="20"/>
              </w:rPr>
              <w:t>垃圾处理工程</w:t>
            </w:r>
          </w:p>
        </w:tc>
        <w:tc>
          <w:tcPr>
            <w:tcW w:w="1023" w:type="dxa"/>
            <w:vAlign w:val="top"/>
          </w:tcPr>
          <w:p>
            <w:pPr>
              <w:spacing w:before="123" w:line="214" w:lineRule="auto"/>
              <w:ind w:left="332"/>
              <w:rPr>
                <w:rFonts w:ascii="宋体" w:hAnsi="宋体" w:eastAsia="宋体" w:cs="宋体"/>
                <w:sz w:val="20"/>
                <w:szCs w:val="20"/>
              </w:rPr>
            </w:pPr>
            <w:r>
              <w:rPr>
                <w:rFonts w:ascii="宋体" w:hAnsi="宋体" w:eastAsia="宋体" w:cs="宋体"/>
                <w:spacing w:val="-12"/>
                <w:sz w:val="20"/>
                <w:szCs w:val="20"/>
              </w:rPr>
              <w:t>39.6</w:t>
            </w:r>
          </w:p>
        </w:tc>
        <w:tc>
          <w:tcPr>
            <w:tcW w:w="1023" w:type="dxa"/>
            <w:vAlign w:val="top"/>
          </w:tcPr>
          <w:p>
            <w:pPr>
              <w:spacing w:before="123" w:line="214" w:lineRule="auto"/>
              <w:ind w:left="334"/>
              <w:rPr>
                <w:rFonts w:ascii="宋体" w:hAnsi="宋体" w:eastAsia="宋体" w:cs="宋体"/>
                <w:sz w:val="20"/>
                <w:szCs w:val="20"/>
              </w:rPr>
            </w:pPr>
            <w:r>
              <w:rPr>
                <w:rFonts w:ascii="宋体" w:hAnsi="宋体" w:eastAsia="宋体" w:cs="宋体"/>
                <w:spacing w:val="-12"/>
                <w:sz w:val="20"/>
                <w:szCs w:val="20"/>
              </w:rPr>
              <w:t>38.1</w:t>
            </w:r>
          </w:p>
        </w:tc>
        <w:tc>
          <w:tcPr>
            <w:tcW w:w="1027" w:type="dxa"/>
            <w:vAlign w:val="top"/>
          </w:tcPr>
          <w:p>
            <w:pPr>
              <w:spacing w:before="246" w:line="108"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1023" w:type="dxa"/>
            <w:vAlign w:val="top"/>
          </w:tcPr>
          <w:p>
            <w:pPr>
              <w:spacing w:before="123" w:line="214" w:lineRule="auto"/>
              <w:ind w:left="352"/>
              <w:rPr>
                <w:rFonts w:ascii="宋体" w:hAnsi="宋体" w:eastAsia="宋体" w:cs="宋体"/>
                <w:sz w:val="20"/>
                <w:szCs w:val="20"/>
              </w:rPr>
            </w:pPr>
            <w:r>
              <w:rPr>
                <w:rFonts w:ascii="宋体" w:hAnsi="宋体" w:eastAsia="宋体" w:cs="宋体"/>
                <w:spacing w:val="-15"/>
                <w:sz w:val="20"/>
                <w:szCs w:val="20"/>
              </w:rPr>
              <w:t>15.1</w:t>
            </w:r>
          </w:p>
        </w:tc>
        <w:tc>
          <w:tcPr>
            <w:tcW w:w="1024" w:type="dxa"/>
            <w:vAlign w:val="top"/>
          </w:tcPr>
          <w:p>
            <w:pPr>
              <w:spacing w:before="123" w:line="214" w:lineRule="auto"/>
              <w:ind w:left="354"/>
              <w:rPr>
                <w:rFonts w:ascii="宋体" w:hAnsi="宋体" w:eastAsia="宋体" w:cs="宋体"/>
                <w:sz w:val="20"/>
                <w:szCs w:val="20"/>
              </w:rPr>
            </w:pPr>
            <w:r>
              <w:rPr>
                <w:rFonts w:ascii="宋体" w:hAnsi="宋体" w:eastAsia="宋体" w:cs="宋体"/>
                <w:spacing w:val="-15"/>
                <w:sz w:val="20"/>
                <w:szCs w:val="20"/>
              </w:rPr>
              <w:t>13.9</w:t>
            </w:r>
          </w:p>
        </w:tc>
        <w:tc>
          <w:tcPr>
            <w:tcW w:w="1037" w:type="dxa"/>
            <w:tcBorders>
              <w:right w:val="single" w:color="000000" w:sz="6" w:space="0"/>
            </w:tcBorders>
            <w:vAlign w:val="top"/>
          </w:tcPr>
          <w:p>
            <w:pPr>
              <w:spacing w:before="246" w:line="108" w:lineRule="exact"/>
              <w:ind w:left="468"/>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8" w:line="209" w:lineRule="auto"/>
              <w:ind w:left="564"/>
              <w:rPr>
                <w:rFonts w:ascii="宋体" w:hAnsi="宋体" w:eastAsia="宋体" w:cs="宋体"/>
                <w:sz w:val="20"/>
                <w:szCs w:val="20"/>
              </w:rPr>
            </w:pPr>
            <w:r>
              <w:rPr>
                <w:rFonts w:ascii="宋体" w:hAnsi="宋体" w:eastAsia="宋体" w:cs="宋体"/>
                <w:spacing w:val="8"/>
                <w:sz w:val="20"/>
                <w:szCs w:val="20"/>
              </w:rPr>
              <w:t>路灯工程</w:t>
            </w:r>
          </w:p>
        </w:tc>
        <w:tc>
          <w:tcPr>
            <w:tcW w:w="1023" w:type="dxa"/>
            <w:vAlign w:val="top"/>
          </w:tcPr>
          <w:p>
            <w:pPr>
              <w:spacing w:before="123" w:line="214" w:lineRule="auto"/>
              <w:ind w:left="332"/>
              <w:rPr>
                <w:rFonts w:ascii="宋体" w:hAnsi="宋体" w:eastAsia="宋体" w:cs="宋体"/>
                <w:sz w:val="20"/>
                <w:szCs w:val="20"/>
              </w:rPr>
            </w:pPr>
            <w:r>
              <w:rPr>
                <w:rFonts w:ascii="宋体" w:hAnsi="宋体" w:eastAsia="宋体" w:cs="宋体"/>
                <w:spacing w:val="-12"/>
                <w:sz w:val="20"/>
                <w:szCs w:val="20"/>
              </w:rPr>
              <w:t>30.2</w:t>
            </w:r>
          </w:p>
        </w:tc>
        <w:tc>
          <w:tcPr>
            <w:tcW w:w="1023" w:type="dxa"/>
            <w:vAlign w:val="top"/>
          </w:tcPr>
          <w:p>
            <w:pPr>
              <w:spacing w:before="123" w:line="214" w:lineRule="auto"/>
              <w:ind w:left="331"/>
              <w:rPr>
                <w:rFonts w:ascii="宋体" w:hAnsi="宋体" w:eastAsia="宋体" w:cs="宋体"/>
                <w:sz w:val="20"/>
                <w:szCs w:val="20"/>
              </w:rPr>
            </w:pPr>
            <w:r>
              <w:rPr>
                <w:rFonts w:ascii="宋体" w:hAnsi="宋体" w:eastAsia="宋体" w:cs="宋体"/>
                <w:spacing w:val="-11"/>
                <w:sz w:val="20"/>
                <w:szCs w:val="20"/>
              </w:rPr>
              <w:t>22.4</w:t>
            </w:r>
          </w:p>
        </w:tc>
        <w:tc>
          <w:tcPr>
            <w:tcW w:w="1027" w:type="dxa"/>
            <w:vAlign w:val="top"/>
          </w:tcPr>
          <w:p>
            <w:pPr>
              <w:spacing w:before="123" w:line="214" w:lineRule="auto"/>
              <w:ind w:left="335"/>
              <w:rPr>
                <w:rFonts w:ascii="宋体" w:hAnsi="宋体" w:eastAsia="宋体" w:cs="宋体"/>
                <w:sz w:val="20"/>
                <w:szCs w:val="20"/>
              </w:rPr>
            </w:pPr>
            <w:r>
              <w:rPr>
                <w:rFonts w:ascii="宋体" w:hAnsi="宋体" w:eastAsia="宋体" w:cs="宋体"/>
                <w:spacing w:val="-11"/>
                <w:sz w:val="20"/>
                <w:szCs w:val="20"/>
              </w:rPr>
              <w:t>20.6</w:t>
            </w:r>
          </w:p>
        </w:tc>
        <w:tc>
          <w:tcPr>
            <w:tcW w:w="1023" w:type="dxa"/>
            <w:vAlign w:val="top"/>
          </w:tcPr>
          <w:p>
            <w:pPr>
              <w:spacing w:before="123" w:line="214" w:lineRule="auto"/>
              <w:ind w:left="352"/>
              <w:rPr>
                <w:rFonts w:ascii="宋体" w:hAnsi="宋体" w:eastAsia="宋体" w:cs="宋体"/>
                <w:sz w:val="20"/>
                <w:szCs w:val="20"/>
              </w:rPr>
            </w:pPr>
            <w:r>
              <w:rPr>
                <w:rFonts w:ascii="宋体" w:hAnsi="宋体" w:eastAsia="宋体" w:cs="宋体"/>
                <w:spacing w:val="-15"/>
                <w:sz w:val="20"/>
                <w:szCs w:val="20"/>
              </w:rPr>
              <w:t>12.6</w:t>
            </w:r>
          </w:p>
        </w:tc>
        <w:tc>
          <w:tcPr>
            <w:tcW w:w="1024" w:type="dxa"/>
            <w:vAlign w:val="top"/>
          </w:tcPr>
          <w:p>
            <w:pPr>
              <w:spacing w:before="123" w:line="214" w:lineRule="auto"/>
              <w:ind w:left="392"/>
              <w:rPr>
                <w:rFonts w:ascii="宋体" w:hAnsi="宋体" w:eastAsia="宋体" w:cs="宋体"/>
                <w:sz w:val="20"/>
                <w:szCs w:val="20"/>
              </w:rPr>
            </w:pPr>
            <w:r>
              <w:rPr>
                <w:rFonts w:ascii="宋体" w:hAnsi="宋体" w:eastAsia="宋体" w:cs="宋体"/>
                <w:spacing w:val="-17"/>
                <w:sz w:val="20"/>
                <w:szCs w:val="20"/>
              </w:rPr>
              <w:t>8.9</w:t>
            </w:r>
          </w:p>
        </w:tc>
        <w:tc>
          <w:tcPr>
            <w:tcW w:w="1037" w:type="dxa"/>
            <w:tcBorders>
              <w:right w:val="single" w:color="000000" w:sz="6" w:space="0"/>
            </w:tcBorders>
            <w:vAlign w:val="top"/>
          </w:tcPr>
          <w:p>
            <w:pPr>
              <w:spacing w:before="123" w:line="214" w:lineRule="auto"/>
              <w:ind w:left="395"/>
              <w:rPr>
                <w:rFonts w:ascii="宋体" w:hAnsi="宋体" w:eastAsia="宋体" w:cs="宋体"/>
                <w:sz w:val="20"/>
                <w:szCs w:val="20"/>
              </w:rPr>
            </w:pPr>
            <w:r>
              <w:rPr>
                <w:rFonts w:ascii="宋体" w:hAnsi="宋体" w:eastAsia="宋体" w:cs="宋体"/>
                <w:spacing w:val="-17"/>
                <w:sz w:val="20"/>
                <w:szCs w:val="20"/>
              </w:rPr>
              <w:t>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3128" w:type="dxa"/>
            <w:gridSpan w:val="2"/>
            <w:tcBorders>
              <w:left w:val="single" w:color="000000" w:sz="6" w:space="0"/>
            </w:tcBorders>
            <w:vAlign w:val="top"/>
          </w:tcPr>
          <w:p>
            <w:pPr>
              <w:spacing w:before="129" w:line="208" w:lineRule="auto"/>
              <w:ind w:left="946"/>
              <w:rPr>
                <w:rFonts w:ascii="宋体" w:hAnsi="宋体" w:eastAsia="宋体" w:cs="宋体"/>
                <w:sz w:val="20"/>
                <w:szCs w:val="20"/>
              </w:rPr>
            </w:pPr>
            <w:r>
              <w:rPr>
                <w:rFonts w:ascii="宋体" w:hAnsi="宋体" w:eastAsia="宋体" w:cs="宋体"/>
                <w:spacing w:val="6"/>
                <w:sz w:val="20"/>
                <w:szCs w:val="20"/>
              </w:rPr>
              <w:t>园林绿化工程</w:t>
            </w:r>
          </w:p>
        </w:tc>
        <w:tc>
          <w:tcPr>
            <w:tcW w:w="1023" w:type="dxa"/>
            <w:vAlign w:val="top"/>
          </w:tcPr>
          <w:p>
            <w:pPr>
              <w:spacing w:before="122" w:line="215" w:lineRule="auto"/>
              <w:ind w:left="329"/>
              <w:rPr>
                <w:rFonts w:ascii="宋体" w:hAnsi="宋体" w:eastAsia="宋体" w:cs="宋体"/>
                <w:sz w:val="20"/>
                <w:szCs w:val="20"/>
              </w:rPr>
            </w:pPr>
            <w:r>
              <w:rPr>
                <w:rFonts w:ascii="宋体" w:hAnsi="宋体" w:eastAsia="宋体" w:cs="宋体"/>
                <w:spacing w:val="-11"/>
                <w:sz w:val="20"/>
                <w:szCs w:val="20"/>
              </w:rPr>
              <w:t>57.6</w:t>
            </w:r>
          </w:p>
        </w:tc>
        <w:tc>
          <w:tcPr>
            <w:tcW w:w="1023" w:type="dxa"/>
            <w:vAlign w:val="top"/>
          </w:tcPr>
          <w:p>
            <w:pPr>
              <w:spacing w:before="122" w:line="215" w:lineRule="auto"/>
              <w:ind w:left="327"/>
              <w:rPr>
                <w:rFonts w:ascii="宋体" w:hAnsi="宋体" w:eastAsia="宋体" w:cs="宋体"/>
                <w:sz w:val="20"/>
                <w:szCs w:val="20"/>
              </w:rPr>
            </w:pPr>
            <w:r>
              <w:rPr>
                <w:rFonts w:ascii="宋体" w:hAnsi="宋体" w:eastAsia="宋体" w:cs="宋体"/>
                <w:spacing w:val="-10"/>
                <w:sz w:val="20"/>
                <w:szCs w:val="20"/>
              </w:rPr>
              <w:t>45.7</w:t>
            </w:r>
          </w:p>
        </w:tc>
        <w:tc>
          <w:tcPr>
            <w:tcW w:w="1027" w:type="dxa"/>
            <w:vAlign w:val="top"/>
          </w:tcPr>
          <w:p>
            <w:pPr>
              <w:spacing w:before="122" w:line="215" w:lineRule="auto"/>
              <w:ind w:left="338"/>
              <w:rPr>
                <w:rFonts w:ascii="宋体" w:hAnsi="宋体" w:eastAsia="宋体" w:cs="宋体"/>
                <w:sz w:val="20"/>
                <w:szCs w:val="20"/>
              </w:rPr>
            </w:pPr>
            <w:r>
              <w:rPr>
                <w:rFonts w:ascii="宋体" w:hAnsi="宋体" w:eastAsia="宋体" w:cs="宋体"/>
                <w:spacing w:val="-12"/>
                <w:sz w:val="20"/>
                <w:szCs w:val="20"/>
              </w:rPr>
              <w:t>36.7</w:t>
            </w:r>
          </w:p>
        </w:tc>
        <w:tc>
          <w:tcPr>
            <w:tcW w:w="1023" w:type="dxa"/>
            <w:vAlign w:val="top"/>
          </w:tcPr>
          <w:p>
            <w:pPr>
              <w:spacing w:before="122" w:line="215" w:lineRule="auto"/>
              <w:ind w:left="338"/>
              <w:rPr>
                <w:rFonts w:ascii="宋体" w:hAnsi="宋体" w:eastAsia="宋体" w:cs="宋体"/>
                <w:sz w:val="20"/>
                <w:szCs w:val="20"/>
              </w:rPr>
            </w:pPr>
            <w:r>
              <w:rPr>
                <w:rFonts w:ascii="宋体" w:hAnsi="宋体" w:eastAsia="宋体" w:cs="宋体"/>
                <w:spacing w:val="-12"/>
                <w:sz w:val="20"/>
                <w:szCs w:val="20"/>
              </w:rPr>
              <w:t>30.0</w:t>
            </w:r>
          </w:p>
        </w:tc>
        <w:tc>
          <w:tcPr>
            <w:tcW w:w="1024" w:type="dxa"/>
            <w:vAlign w:val="top"/>
          </w:tcPr>
          <w:p>
            <w:pPr>
              <w:spacing w:before="122" w:line="215" w:lineRule="auto"/>
              <w:ind w:left="337"/>
              <w:rPr>
                <w:rFonts w:ascii="宋体" w:hAnsi="宋体" w:eastAsia="宋体" w:cs="宋体"/>
                <w:sz w:val="20"/>
                <w:szCs w:val="20"/>
              </w:rPr>
            </w:pPr>
            <w:r>
              <w:rPr>
                <w:rFonts w:ascii="宋体" w:hAnsi="宋体" w:eastAsia="宋体" w:cs="宋体"/>
                <w:spacing w:val="-11"/>
                <w:sz w:val="20"/>
                <w:szCs w:val="20"/>
              </w:rPr>
              <w:t>25.0</w:t>
            </w:r>
          </w:p>
        </w:tc>
        <w:tc>
          <w:tcPr>
            <w:tcW w:w="1037" w:type="dxa"/>
            <w:tcBorders>
              <w:right w:val="single" w:color="000000" w:sz="6" w:space="0"/>
            </w:tcBorders>
            <w:vAlign w:val="top"/>
          </w:tcPr>
          <w:p>
            <w:pPr>
              <w:spacing w:before="122" w:line="215" w:lineRule="auto"/>
              <w:ind w:left="340"/>
              <w:rPr>
                <w:rFonts w:ascii="宋体" w:hAnsi="宋体" w:eastAsia="宋体" w:cs="宋体"/>
                <w:sz w:val="20"/>
                <w:szCs w:val="20"/>
              </w:rPr>
            </w:pPr>
            <w:r>
              <w:rPr>
                <w:rFonts w:ascii="宋体" w:hAnsi="宋体" w:eastAsia="宋体" w:cs="宋体"/>
                <w:spacing w:val="-11"/>
                <w:sz w:val="20"/>
                <w:szCs w:val="20"/>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restart"/>
            <w:tcBorders>
              <w:left w:val="single" w:color="000000" w:sz="6" w:space="0"/>
              <w:bottom w:val="nil"/>
            </w:tcBorders>
            <w:vAlign w:val="top"/>
          </w:tcPr>
          <w:p>
            <w:pPr>
              <w:spacing w:before="131" w:line="219" w:lineRule="auto"/>
              <w:ind w:left="153"/>
              <w:rPr>
                <w:rFonts w:ascii="宋体" w:hAnsi="宋体" w:eastAsia="宋体" w:cs="宋体"/>
                <w:sz w:val="20"/>
                <w:szCs w:val="20"/>
              </w:rPr>
            </w:pPr>
            <w:r>
              <w:rPr>
                <w:rFonts w:ascii="宋体" w:hAnsi="宋体" w:eastAsia="宋体" w:cs="宋体"/>
                <w:spacing w:val="8"/>
                <w:sz w:val="20"/>
                <w:szCs w:val="20"/>
              </w:rPr>
              <w:t>城市地下</w:t>
            </w:r>
          </w:p>
          <w:p>
            <w:pPr>
              <w:spacing w:before="121" w:line="216" w:lineRule="auto"/>
              <w:ind w:left="151"/>
              <w:rPr>
                <w:rFonts w:ascii="宋体" w:hAnsi="宋体" w:eastAsia="宋体" w:cs="宋体"/>
                <w:sz w:val="20"/>
                <w:szCs w:val="20"/>
              </w:rPr>
            </w:pPr>
            <w:r>
              <w:rPr>
                <w:rFonts w:ascii="宋体" w:hAnsi="宋体" w:eastAsia="宋体" w:cs="宋体"/>
                <w:spacing w:val="8"/>
                <w:sz w:val="20"/>
                <w:szCs w:val="20"/>
              </w:rPr>
              <w:t>综合管廊</w:t>
            </w:r>
          </w:p>
        </w:tc>
        <w:tc>
          <w:tcPr>
            <w:tcW w:w="1971" w:type="dxa"/>
            <w:vAlign w:val="top"/>
          </w:tcPr>
          <w:p>
            <w:pPr>
              <w:spacing w:before="124" w:line="213" w:lineRule="auto"/>
              <w:ind w:left="246"/>
              <w:rPr>
                <w:rFonts w:ascii="宋体" w:hAnsi="宋体" w:eastAsia="宋体" w:cs="宋体"/>
                <w:sz w:val="20"/>
                <w:szCs w:val="20"/>
              </w:rPr>
            </w:pPr>
            <w:r>
              <w:rPr>
                <w:rFonts w:ascii="宋体" w:hAnsi="宋体" w:eastAsia="宋体" w:cs="宋体"/>
                <w:spacing w:val="9"/>
                <w:sz w:val="20"/>
                <w:szCs w:val="20"/>
              </w:rPr>
              <w:t>建筑和装饰工程</w:t>
            </w:r>
          </w:p>
        </w:tc>
        <w:tc>
          <w:tcPr>
            <w:tcW w:w="3073" w:type="dxa"/>
            <w:gridSpan w:val="3"/>
            <w:vAlign w:val="top"/>
          </w:tcPr>
          <w:p>
            <w:pPr>
              <w:spacing w:before="122" w:line="215" w:lineRule="auto"/>
              <w:ind w:left="1306"/>
              <w:rPr>
                <w:rFonts w:ascii="宋体" w:hAnsi="宋体" w:eastAsia="宋体" w:cs="宋体"/>
                <w:sz w:val="20"/>
                <w:szCs w:val="20"/>
              </w:rPr>
            </w:pPr>
            <w:r>
              <w:rPr>
                <w:rFonts w:ascii="宋体" w:hAnsi="宋体" w:eastAsia="宋体" w:cs="宋体"/>
                <w:spacing w:val="-8"/>
                <w:sz w:val="20"/>
                <w:szCs w:val="20"/>
              </w:rPr>
              <w:t>20.30</w:t>
            </w:r>
          </w:p>
        </w:tc>
        <w:tc>
          <w:tcPr>
            <w:tcW w:w="3084" w:type="dxa"/>
            <w:gridSpan w:val="3"/>
            <w:tcBorders>
              <w:right w:val="single" w:color="000000" w:sz="6" w:space="0"/>
            </w:tcBorders>
            <w:vAlign w:val="top"/>
          </w:tcPr>
          <w:p>
            <w:pPr>
              <w:spacing w:before="122" w:line="215" w:lineRule="auto"/>
              <w:ind w:left="1329"/>
              <w:rPr>
                <w:rFonts w:ascii="宋体" w:hAnsi="宋体" w:eastAsia="宋体" w:cs="宋体"/>
                <w:sz w:val="20"/>
                <w:szCs w:val="20"/>
              </w:rPr>
            </w:pPr>
            <w:r>
              <w:rPr>
                <w:rFonts w:ascii="宋体" w:hAnsi="宋体" w:eastAsia="宋体" w:cs="宋体"/>
                <w:spacing w:val="-12"/>
                <w:sz w:val="20"/>
                <w:szCs w:val="20"/>
              </w:rPr>
              <w:t>10.50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7" w:line="210" w:lineRule="auto"/>
              <w:ind w:left="564"/>
              <w:rPr>
                <w:rFonts w:ascii="宋体" w:hAnsi="宋体" w:eastAsia="宋体" w:cs="宋体"/>
                <w:sz w:val="20"/>
                <w:szCs w:val="20"/>
              </w:rPr>
            </w:pPr>
            <w:r>
              <w:rPr>
                <w:rFonts w:ascii="宋体" w:hAnsi="宋体" w:eastAsia="宋体" w:cs="宋体"/>
                <w:spacing w:val="8"/>
                <w:sz w:val="20"/>
                <w:szCs w:val="20"/>
              </w:rPr>
              <w:t>安装工程</w:t>
            </w:r>
          </w:p>
        </w:tc>
        <w:tc>
          <w:tcPr>
            <w:tcW w:w="3073" w:type="dxa"/>
            <w:gridSpan w:val="3"/>
            <w:vAlign w:val="top"/>
          </w:tcPr>
          <w:p>
            <w:pPr>
              <w:spacing w:before="121" w:line="216" w:lineRule="auto"/>
              <w:ind w:left="1306"/>
              <w:rPr>
                <w:rFonts w:ascii="宋体" w:hAnsi="宋体" w:eastAsia="宋体" w:cs="宋体"/>
                <w:sz w:val="20"/>
                <w:szCs w:val="20"/>
              </w:rPr>
            </w:pPr>
            <w:r>
              <w:rPr>
                <w:rFonts w:ascii="宋体" w:hAnsi="宋体" w:eastAsia="宋体" w:cs="宋体"/>
                <w:spacing w:val="-8"/>
                <w:sz w:val="20"/>
                <w:szCs w:val="20"/>
              </w:rPr>
              <w:t>53.00</w:t>
            </w:r>
          </w:p>
        </w:tc>
        <w:tc>
          <w:tcPr>
            <w:tcW w:w="3084" w:type="dxa"/>
            <w:gridSpan w:val="3"/>
            <w:tcBorders>
              <w:right w:val="single" w:color="000000" w:sz="6" w:space="0"/>
            </w:tcBorders>
            <w:vAlign w:val="top"/>
          </w:tcPr>
          <w:p>
            <w:pPr>
              <w:spacing w:before="121" w:line="216"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restart"/>
            <w:tcBorders>
              <w:left w:val="single" w:color="000000" w:sz="6" w:space="0"/>
              <w:bottom w:val="nil"/>
            </w:tcBorders>
            <w:vAlign w:val="top"/>
          </w:tcPr>
          <w:p>
            <w:pPr>
              <w:pStyle w:val="6"/>
              <w:spacing w:line="246" w:lineRule="auto"/>
            </w:pPr>
          </w:p>
          <w:p>
            <w:pPr>
              <w:spacing w:before="65" w:line="220" w:lineRule="auto"/>
              <w:ind w:left="154"/>
              <w:rPr>
                <w:rFonts w:ascii="宋体" w:hAnsi="宋体" w:eastAsia="宋体" w:cs="宋体"/>
                <w:sz w:val="20"/>
                <w:szCs w:val="20"/>
              </w:rPr>
            </w:pPr>
            <w:r>
              <w:rPr>
                <w:rFonts w:ascii="宋体" w:hAnsi="宋体" w:eastAsia="宋体" w:cs="宋体"/>
                <w:spacing w:val="8"/>
                <w:sz w:val="20"/>
                <w:szCs w:val="20"/>
              </w:rPr>
              <w:t>房屋修缮</w:t>
            </w:r>
          </w:p>
        </w:tc>
        <w:tc>
          <w:tcPr>
            <w:tcW w:w="1971" w:type="dxa"/>
            <w:vAlign w:val="top"/>
          </w:tcPr>
          <w:p>
            <w:pPr>
              <w:spacing w:before="126" w:line="211" w:lineRule="auto"/>
              <w:ind w:left="563"/>
              <w:rPr>
                <w:rFonts w:ascii="宋体" w:hAnsi="宋体" w:eastAsia="宋体" w:cs="宋体"/>
                <w:sz w:val="20"/>
                <w:szCs w:val="20"/>
              </w:rPr>
            </w:pPr>
            <w:r>
              <w:rPr>
                <w:rFonts w:ascii="宋体" w:hAnsi="宋体" w:eastAsia="宋体" w:cs="宋体"/>
                <w:spacing w:val="8"/>
                <w:sz w:val="20"/>
                <w:szCs w:val="20"/>
              </w:rPr>
              <w:t>建筑工程</w:t>
            </w:r>
          </w:p>
        </w:tc>
        <w:tc>
          <w:tcPr>
            <w:tcW w:w="3073" w:type="dxa"/>
            <w:gridSpan w:val="3"/>
            <w:vAlign w:val="top"/>
          </w:tcPr>
          <w:p>
            <w:pPr>
              <w:spacing w:before="123" w:line="214" w:lineRule="auto"/>
              <w:ind w:left="1306"/>
              <w:rPr>
                <w:rFonts w:ascii="宋体" w:hAnsi="宋体" w:eastAsia="宋体" w:cs="宋体"/>
                <w:sz w:val="20"/>
                <w:szCs w:val="20"/>
              </w:rPr>
            </w:pPr>
            <w:r>
              <w:rPr>
                <w:rFonts w:ascii="宋体" w:hAnsi="宋体" w:eastAsia="宋体" w:cs="宋体"/>
                <w:spacing w:val="-8"/>
                <w:sz w:val="20"/>
                <w:szCs w:val="20"/>
              </w:rPr>
              <w:t>50.40</w:t>
            </w:r>
          </w:p>
        </w:tc>
        <w:tc>
          <w:tcPr>
            <w:tcW w:w="3084" w:type="dxa"/>
            <w:gridSpan w:val="3"/>
            <w:tcBorders>
              <w:right w:val="single" w:color="000000" w:sz="6" w:space="0"/>
            </w:tcBorders>
            <w:vAlign w:val="top"/>
          </w:tcPr>
          <w:p>
            <w:pPr>
              <w:spacing w:before="123" w:line="214" w:lineRule="auto"/>
              <w:ind w:left="1312"/>
              <w:rPr>
                <w:rFonts w:ascii="宋体" w:hAnsi="宋体" w:eastAsia="宋体" w:cs="宋体"/>
                <w:sz w:val="20"/>
                <w:szCs w:val="20"/>
              </w:rPr>
            </w:pPr>
            <w:r>
              <w:rPr>
                <w:rFonts w:ascii="宋体" w:hAnsi="宋体" w:eastAsia="宋体" w:cs="宋体"/>
                <w:spacing w:val="-8"/>
                <w:sz w:val="20"/>
                <w:szCs w:val="20"/>
              </w:rPr>
              <w:t>25.90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8" w:line="209" w:lineRule="auto"/>
              <w:ind w:left="564"/>
              <w:rPr>
                <w:rFonts w:ascii="宋体" w:hAnsi="宋体" w:eastAsia="宋体" w:cs="宋体"/>
                <w:sz w:val="20"/>
                <w:szCs w:val="20"/>
              </w:rPr>
            </w:pPr>
            <w:r>
              <w:rPr>
                <w:rFonts w:ascii="宋体" w:hAnsi="宋体" w:eastAsia="宋体" w:cs="宋体"/>
                <w:spacing w:val="8"/>
                <w:sz w:val="20"/>
                <w:szCs w:val="20"/>
              </w:rPr>
              <w:t>安装工程</w:t>
            </w:r>
          </w:p>
        </w:tc>
        <w:tc>
          <w:tcPr>
            <w:tcW w:w="3073" w:type="dxa"/>
            <w:gridSpan w:val="3"/>
            <w:vAlign w:val="top"/>
          </w:tcPr>
          <w:p>
            <w:pPr>
              <w:spacing w:before="123" w:line="214" w:lineRule="auto"/>
              <w:ind w:left="1306"/>
              <w:rPr>
                <w:rFonts w:ascii="宋体" w:hAnsi="宋体" w:eastAsia="宋体" w:cs="宋体"/>
                <w:sz w:val="20"/>
                <w:szCs w:val="20"/>
              </w:rPr>
            </w:pPr>
            <w:r>
              <w:rPr>
                <w:rFonts w:ascii="宋体" w:hAnsi="宋体" w:eastAsia="宋体" w:cs="宋体"/>
                <w:spacing w:val="-8"/>
                <w:sz w:val="20"/>
                <w:szCs w:val="20"/>
              </w:rPr>
              <w:t>55.00</w:t>
            </w:r>
          </w:p>
        </w:tc>
        <w:tc>
          <w:tcPr>
            <w:tcW w:w="3084" w:type="dxa"/>
            <w:gridSpan w:val="3"/>
            <w:tcBorders>
              <w:right w:val="single" w:color="000000" w:sz="6" w:space="0"/>
            </w:tcBorders>
            <w:vAlign w:val="top"/>
          </w:tcPr>
          <w:p>
            <w:pPr>
              <w:spacing w:before="123" w:line="214"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157" w:type="dxa"/>
            <w:vMerge w:val="restart"/>
            <w:tcBorders>
              <w:left w:val="single" w:color="000000" w:sz="6" w:space="0"/>
              <w:bottom w:val="nil"/>
            </w:tcBorders>
            <w:vAlign w:val="top"/>
          </w:tcPr>
          <w:p>
            <w:pPr>
              <w:pStyle w:val="6"/>
              <w:spacing w:line="246" w:lineRule="auto"/>
            </w:pPr>
          </w:p>
          <w:p>
            <w:pPr>
              <w:spacing w:before="65" w:line="332" w:lineRule="auto"/>
              <w:ind w:left="361" w:right="371" w:firstLine="1"/>
              <w:rPr>
                <w:rFonts w:ascii="宋体" w:hAnsi="宋体" w:eastAsia="宋体" w:cs="宋体"/>
                <w:sz w:val="20"/>
                <w:szCs w:val="20"/>
              </w:rPr>
            </w:pPr>
            <w:r>
              <w:rPr>
                <w:rFonts w:ascii="宋体" w:hAnsi="宋体" w:eastAsia="宋体" w:cs="宋体"/>
                <w:spacing w:val="6"/>
                <w:sz w:val="20"/>
                <w:szCs w:val="20"/>
              </w:rPr>
              <w:t>市政养护</w:t>
            </w:r>
          </w:p>
          <w:p>
            <w:pPr>
              <w:spacing w:line="220" w:lineRule="auto"/>
              <w:ind w:left="362"/>
              <w:rPr>
                <w:rFonts w:ascii="宋体" w:hAnsi="宋体" w:eastAsia="宋体" w:cs="宋体"/>
                <w:sz w:val="20"/>
                <w:szCs w:val="20"/>
              </w:rPr>
            </w:pPr>
            <w:r>
              <w:rPr>
                <w:rFonts w:ascii="宋体" w:hAnsi="宋体" w:eastAsia="宋体" w:cs="宋体"/>
                <w:spacing w:val="6"/>
                <w:sz w:val="20"/>
                <w:szCs w:val="20"/>
              </w:rPr>
              <w:t>维修</w:t>
            </w:r>
          </w:p>
        </w:tc>
        <w:tc>
          <w:tcPr>
            <w:tcW w:w="1971" w:type="dxa"/>
            <w:vAlign w:val="top"/>
          </w:tcPr>
          <w:p>
            <w:pPr>
              <w:spacing w:before="126" w:line="271" w:lineRule="auto"/>
              <w:ind w:left="143" w:right="29" w:hanging="40"/>
              <w:rPr>
                <w:rFonts w:ascii="宋体" w:hAnsi="宋体" w:eastAsia="宋体" w:cs="宋体"/>
                <w:sz w:val="20"/>
                <w:szCs w:val="20"/>
              </w:rPr>
            </w:pPr>
            <w:r>
              <w:rPr>
                <w:rFonts w:ascii="宋体" w:hAnsi="宋体" w:eastAsia="宋体" w:cs="宋体"/>
                <w:spacing w:val="3"/>
                <w:sz w:val="20"/>
                <w:szCs w:val="20"/>
              </w:rPr>
              <w:t>道路、桥涵、隧道、</w:t>
            </w:r>
            <w:r>
              <w:rPr>
                <w:rFonts w:ascii="宋体" w:hAnsi="宋体" w:eastAsia="宋体" w:cs="宋体"/>
                <w:spacing w:val="9"/>
                <w:sz w:val="20"/>
                <w:szCs w:val="20"/>
              </w:rPr>
              <w:t>排水养护维修工程</w:t>
            </w:r>
          </w:p>
        </w:tc>
        <w:tc>
          <w:tcPr>
            <w:tcW w:w="3073" w:type="dxa"/>
            <w:gridSpan w:val="3"/>
            <w:vAlign w:val="top"/>
          </w:tcPr>
          <w:p>
            <w:pPr>
              <w:spacing w:before="302" w:line="299" w:lineRule="exact"/>
              <w:ind w:left="1306"/>
              <w:rPr>
                <w:rFonts w:ascii="宋体" w:hAnsi="宋体" w:eastAsia="宋体" w:cs="宋体"/>
                <w:sz w:val="20"/>
                <w:szCs w:val="20"/>
              </w:rPr>
            </w:pPr>
            <w:r>
              <w:rPr>
                <w:rFonts w:ascii="宋体" w:hAnsi="宋体" w:eastAsia="宋体" w:cs="宋体"/>
                <w:spacing w:val="-8"/>
                <w:position w:val="2"/>
                <w:sz w:val="20"/>
                <w:szCs w:val="20"/>
              </w:rPr>
              <w:t>21.22</w:t>
            </w:r>
          </w:p>
        </w:tc>
        <w:tc>
          <w:tcPr>
            <w:tcW w:w="3084" w:type="dxa"/>
            <w:gridSpan w:val="3"/>
            <w:tcBorders>
              <w:right w:val="single" w:color="000000" w:sz="6" w:space="0"/>
            </w:tcBorders>
            <w:vAlign w:val="top"/>
          </w:tcPr>
          <w:p>
            <w:pPr>
              <w:spacing w:before="302" w:line="299" w:lineRule="exact"/>
              <w:ind w:left="1329"/>
              <w:rPr>
                <w:rFonts w:ascii="宋体" w:hAnsi="宋体" w:eastAsia="宋体" w:cs="宋体"/>
                <w:sz w:val="20"/>
                <w:szCs w:val="20"/>
              </w:rPr>
            </w:pPr>
            <w:r>
              <w:rPr>
                <w:rFonts w:ascii="宋体" w:hAnsi="宋体" w:eastAsia="宋体" w:cs="宋体"/>
                <w:spacing w:val="-12"/>
                <w:position w:val="2"/>
                <w:sz w:val="20"/>
                <w:szCs w:val="20"/>
              </w:rPr>
              <w:t>12.54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2" w:line="273" w:lineRule="auto"/>
              <w:ind w:left="143" w:right="29" w:hanging="34"/>
              <w:rPr>
                <w:rFonts w:ascii="宋体" w:hAnsi="宋体" w:eastAsia="宋体" w:cs="宋体"/>
                <w:sz w:val="20"/>
                <w:szCs w:val="20"/>
              </w:rPr>
            </w:pPr>
            <w:r>
              <w:rPr>
                <w:rFonts w:ascii="宋体" w:hAnsi="宋体" w:eastAsia="宋体" w:cs="宋体"/>
                <w:spacing w:val="2"/>
                <w:sz w:val="20"/>
                <w:szCs w:val="20"/>
              </w:rPr>
              <w:t>给水、燃气、供热、</w:t>
            </w:r>
            <w:r>
              <w:rPr>
                <w:rFonts w:ascii="宋体" w:hAnsi="宋体" w:eastAsia="宋体" w:cs="宋体"/>
                <w:spacing w:val="9"/>
                <w:sz w:val="20"/>
                <w:szCs w:val="20"/>
              </w:rPr>
              <w:t>路灯养护维修工程</w:t>
            </w:r>
          </w:p>
        </w:tc>
        <w:tc>
          <w:tcPr>
            <w:tcW w:w="3073" w:type="dxa"/>
            <w:gridSpan w:val="3"/>
            <w:vAlign w:val="top"/>
          </w:tcPr>
          <w:p>
            <w:pPr>
              <w:spacing w:before="303" w:line="299" w:lineRule="exact"/>
              <w:ind w:left="1306"/>
              <w:rPr>
                <w:rFonts w:ascii="宋体" w:hAnsi="宋体" w:eastAsia="宋体" w:cs="宋体"/>
                <w:sz w:val="20"/>
                <w:szCs w:val="20"/>
              </w:rPr>
            </w:pPr>
            <w:r>
              <w:rPr>
                <w:rFonts w:ascii="宋体" w:hAnsi="宋体" w:eastAsia="宋体" w:cs="宋体"/>
                <w:spacing w:val="-8"/>
                <w:position w:val="2"/>
                <w:sz w:val="20"/>
                <w:szCs w:val="20"/>
              </w:rPr>
              <w:t>26.63</w:t>
            </w:r>
          </w:p>
        </w:tc>
        <w:tc>
          <w:tcPr>
            <w:tcW w:w="3084" w:type="dxa"/>
            <w:gridSpan w:val="3"/>
            <w:tcBorders>
              <w:right w:val="single" w:color="000000" w:sz="6" w:space="0"/>
            </w:tcBorders>
            <w:vAlign w:val="top"/>
          </w:tcPr>
          <w:p>
            <w:pPr>
              <w:spacing w:before="303" w:line="299" w:lineRule="exact"/>
              <w:ind w:left="1329"/>
              <w:rPr>
                <w:rFonts w:ascii="宋体" w:hAnsi="宋体" w:eastAsia="宋体" w:cs="宋体"/>
                <w:sz w:val="20"/>
                <w:szCs w:val="20"/>
              </w:rPr>
            </w:pPr>
            <w:r>
              <w:rPr>
                <w:rFonts w:ascii="宋体" w:hAnsi="宋体" w:eastAsia="宋体" w:cs="宋体"/>
                <w:spacing w:val="-12"/>
                <w:position w:val="2"/>
                <w:sz w:val="20"/>
                <w:szCs w:val="20"/>
              </w:rPr>
              <w:t>15.81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1" w:hRule="atLeast"/>
        </w:trPr>
        <w:tc>
          <w:tcPr>
            <w:tcW w:w="3128" w:type="dxa"/>
            <w:gridSpan w:val="2"/>
            <w:tcBorders>
              <w:left w:val="single" w:color="000000" w:sz="6" w:space="0"/>
              <w:bottom w:val="single" w:color="000000" w:sz="6" w:space="0"/>
            </w:tcBorders>
            <w:vAlign w:val="top"/>
          </w:tcPr>
          <w:p>
            <w:pPr>
              <w:spacing w:before="127" w:line="223" w:lineRule="auto"/>
              <w:ind w:left="929"/>
              <w:rPr>
                <w:rFonts w:ascii="宋体" w:hAnsi="宋体" w:eastAsia="宋体" w:cs="宋体"/>
                <w:sz w:val="20"/>
                <w:szCs w:val="20"/>
              </w:rPr>
            </w:pPr>
            <w:r>
              <w:rPr>
                <w:rFonts w:ascii="宋体" w:hAnsi="宋体" w:eastAsia="宋体" w:cs="宋体"/>
                <w:spacing w:val="9"/>
                <w:sz w:val="20"/>
                <w:szCs w:val="20"/>
              </w:rPr>
              <w:t>仿古建筑工程</w:t>
            </w:r>
          </w:p>
        </w:tc>
        <w:tc>
          <w:tcPr>
            <w:tcW w:w="3073" w:type="dxa"/>
            <w:gridSpan w:val="3"/>
            <w:tcBorders>
              <w:bottom w:val="single" w:color="000000" w:sz="6" w:space="0"/>
            </w:tcBorders>
            <w:vAlign w:val="top"/>
          </w:tcPr>
          <w:p>
            <w:pPr>
              <w:spacing w:before="124" w:line="228" w:lineRule="auto"/>
              <w:ind w:left="1309"/>
              <w:rPr>
                <w:rFonts w:ascii="宋体" w:hAnsi="宋体" w:eastAsia="宋体" w:cs="宋体"/>
                <w:sz w:val="20"/>
                <w:szCs w:val="20"/>
              </w:rPr>
            </w:pPr>
            <w:r>
              <w:rPr>
                <w:rFonts w:ascii="宋体" w:hAnsi="宋体" w:eastAsia="宋体" w:cs="宋体"/>
                <w:spacing w:val="-9"/>
                <w:sz w:val="20"/>
                <w:szCs w:val="20"/>
              </w:rPr>
              <w:t>31.44</w:t>
            </w:r>
          </w:p>
        </w:tc>
        <w:tc>
          <w:tcPr>
            <w:tcW w:w="3084" w:type="dxa"/>
            <w:gridSpan w:val="3"/>
            <w:tcBorders>
              <w:bottom w:val="single" w:color="000000" w:sz="6" w:space="0"/>
              <w:right w:val="single" w:color="000000" w:sz="6" w:space="0"/>
            </w:tcBorders>
            <w:vAlign w:val="top"/>
          </w:tcPr>
          <w:p>
            <w:pPr>
              <w:spacing w:before="124" w:line="228" w:lineRule="auto"/>
              <w:ind w:left="1329"/>
              <w:rPr>
                <w:rFonts w:ascii="宋体" w:hAnsi="宋体" w:eastAsia="宋体" w:cs="宋体"/>
                <w:sz w:val="20"/>
                <w:szCs w:val="20"/>
              </w:rPr>
            </w:pPr>
            <w:r>
              <w:rPr>
                <w:rFonts w:ascii="宋体" w:hAnsi="宋体" w:eastAsia="宋体" w:cs="宋体"/>
                <w:spacing w:val="-12"/>
                <w:sz w:val="20"/>
                <w:szCs w:val="20"/>
              </w:rPr>
              <w:t>13.50</w:t>
            </w:r>
          </w:p>
        </w:tc>
      </w:tr>
    </w:tbl>
    <w:p>
      <w:pPr>
        <w:spacing w:before="109" w:line="278" w:lineRule="exact"/>
        <w:ind w:left="122"/>
        <w:rPr>
          <w:rFonts w:ascii="宋体" w:hAnsi="宋体" w:eastAsia="宋体" w:cs="宋体"/>
          <w:sz w:val="20"/>
          <w:szCs w:val="20"/>
        </w:rPr>
      </w:pPr>
      <w:r>
        <w:rPr>
          <w:rFonts w:ascii="宋体" w:hAnsi="宋体" w:eastAsia="宋体" w:cs="宋体"/>
          <w:spacing w:val="9"/>
          <w:position w:val="1"/>
          <w:sz w:val="20"/>
          <w:szCs w:val="20"/>
        </w:rPr>
        <w:t>注：表中企业管理费费率不包括总承包服务费费率。</w:t>
      </w:r>
    </w:p>
    <w:p>
      <w:pPr>
        <w:spacing w:line="278" w:lineRule="exact"/>
        <w:rPr>
          <w:rFonts w:ascii="宋体" w:hAnsi="宋体" w:eastAsia="宋体" w:cs="宋体"/>
          <w:sz w:val="20"/>
          <w:szCs w:val="20"/>
        </w:rPr>
        <w:sectPr>
          <w:footerReference r:id="rId121" w:type="default"/>
          <w:pgSz w:w="11906" w:h="16839"/>
          <w:pgMar w:top="400" w:right="1303" w:bottom="1212" w:left="1302" w:header="0" w:footer="897" w:gutter="0"/>
        </w:sect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2"/>
        <w:spacing w:before="86" w:line="209" w:lineRule="auto"/>
        <w:ind w:left="3887"/>
        <w:rPr>
          <w:sz w:val="20"/>
          <w:szCs w:val="20"/>
        </w:rPr>
      </w:pPr>
      <w:r>
        <w:rPr>
          <w:spacing w:val="6"/>
          <w:sz w:val="20"/>
          <w:szCs w:val="20"/>
        </w:rPr>
        <w:t>2.</w:t>
      </w:r>
      <w:r>
        <w:rPr>
          <w:spacing w:val="56"/>
          <w:w w:val="101"/>
          <w:sz w:val="20"/>
          <w:szCs w:val="20"/>
        </w:rPr>
        <w:t xml:space="preserve"> </w:t>
      </w:r>
      <w:r>
        <w:rPr>
          <w:spacing w:val="6"/>
          <w:sz w:val="20"/>
          <w:szCs w:val="20"/>
        </w:rPr>
        <w:t>简易计税法下</w:t>
      </w:r>
    </w:p>
    <w:p>
      <w:pPr>
        <w:spacing w:before="68" w:line="233" w:lineRule="auto"/>
        <w:ind w:left="8384"/>
        <w:rPr>
          <w:rFonts w:ascii="宋体" w:hAnsi="宋体" w:eastAsia="宋体" w:cs="宋体"/>
          <w:sz w:val="20"/>
          <w:szCs w:val="20"/>
        </w:rPr>
      </w:pPr>
      <w:r>
        <w:rPr>
          <w:rFonts w:ascii="宋体" w:hAnsi="宋体" w:eastAsia="宋体" w:cs="宋体"/>
          <w:spacing w:val="24"/>
          <w:sz w:val="20"/>
          <w:szCs w:val="20"/>
        </w:rPr>
        <w:t>单位：%</w:t>
      </w:r>
    </w:p>
    <w:tbl>
      <w:tblPr>
        <w:tblStyle w:val="5"/>
        <w:tblW w:w="928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971"/>
        <w:gridCol w:w="1023"/>
        <w:gridCol w:w="1023"/>
        <w:gridCol w:w="1027"/>
        <w:gridCol w:w="1023"/>
        <w:gridCol w:w="1024"/>
        <w:gridCol w:w="10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3128" w:type="dxa"/>
            <w:gridSpan w:val="2"/>
            <w:vMerge w:val="restart"/>
            <w:tcBorders>
              <w:top w:val="single" w:color="000000" w:sz="6" w:space="0"/>
              <w:left w:val="single" w:color="000000" w:sz="6" w:space="0"/>
              <w:bottom w:val="nil"/>
              <w:tl2br w:val="single" w:color="000000" w:sz="4" w:space="0"/>
            </w:tcBorders>
            <w:vAlign w:val="top"/>
          </w:tcPr>
          <w:p>
            <w:pPr>
              <w:spacing w:before="131" w:line="282" w:lineRule="auto"/>
              <w:ind w:left="107" w:right="513" w:firstLine="1669"/>
              <w:rPr>
                <w:rFonts w:ascii="宋体" w:hAnsi="宋体" w:eastAsia="宋体" w:cs="宋体"/>
                <w:sz w:val="20"/>
                <w:szCs w:val="20"/>
              </w:rPr>
            </w:pPr>
            <w:r>
              <w:rPr>
                <w:rFonts w:ascii="宋体" w:hAnsi="宋体" w:eastAsia="宋体" w:cs="宋体"/>
                <w:spacing w:val="6"/>
                <w:sz w:val="20"/>
                <w:szCs w:val="20"/>
              </w:rPr>
              <w:t>费用名称</w:t>
            </w:r>
            <w:r>
              <w:rPr>
                <w:rFonts w:ascii="宋体" w:hAnsi="宋体" w:eastAsia="宋体" w:cs="宋体"/>
                <w:spacing w:val="8"/>
                <w:sz w:val="20"/>
                <w:szCs w:val="20"/>
              </w:rPr>
              <w:t>专业名称</w:t>
            </w:r>
          </w:p>
        </w:tc>
        <w:tc>
          <w:tcPr>
            <w:tcW w:w="3073" w:type="dxa"/>
            <w:gridSpan w:val="3"/>
            <w:tcBorders>
              <w:top w:val="single" w:color="000000" w:sz="6" w:space="0"/>
            </w:tcBorders>
            <w:vAlign w:val="top"/>
          </w:tcPr>
          <w:p>
            <w:pPr>
              <w:spacing w:before="119" w:line="220" w:lineRule="auto"/>
              <w:ind w:left="1011"/>
              <w:rPr>
                <w:rFonts w:ascii="宋体" w:hAnsi="宋体" w:eastAsia="宋体" w:cs="宋体"/>
                <w:sz w:val="20"/>
                <w:szCs w:val="20"/>
              </w:rPr>
            </w:pPr>
            <w:r>
              <w:rPr>
                <w:rFonts w:ascii="宋体" w:hAnsi="宋体" w:eastAsia="宋体" w:cs="宋体"/>
                <w:spacing w:val="8"/>
                <w:sz w:val="20"/>
                <w:szCs w:val="20"/>
              </w:rPr>
              <w:t>企业管理费</w:t>
            </w:r>
          </w:p>
        </w:tc>
        <w:tc>
          <w:tcPr>
            <w:tcW w:w="3084" w:type="dxa"/>
            <w:gridSpan w:val="3"/>
            <w:tcBorders>
              <w:top w:val="single" w:color="000000" w:sz="6" w:space="0"/>
              <w:right w:val="single" w:color="000000" w:sz="6" w:space="0"/>
            </w:tcBorders>
            <w:vAlign w:val="top"/>
          </w:tcPr>
          <w:p>
            <w:pPr>
              <w:spacing w:before="121" w:line="217" w:lineRule="auto"/>
              <w:ind w:left="1335"/>
              <w:rPr>
                <w:rFonts w:ascii="宋体" w:hAnsi="宋体" w:eastAsia="宋体" w:cs="宋体"/>
                <w:sz w:val="20"/>
                <w:szCs w:val="20"/>
              </w:rPr>
            </w:pPr>
            <w:r>
              <w:rPr>
                <w:rFonts w:ascii="宋体" w:hAnsi="宋体" w:eastAsia="宋体" w:cs="宋体"/>
                <w:spacing w:val="6"/>
                <w:sz w:val="20"/>
                <w:szCs w:val="20"/>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1" w:hRule="atLeast"/>
        </w:trPr>
        <w:tc>
          <w:tcPr>
            <w:tcW w:w="3128" w:type="dxa"/>
            <w:gridSpan w:val="2"/>
            <w:vMerge w:val="continue"/>
            <w:tcBorders>
              <w:top w:val="nil"/>
              <w:left w:val="single" w:color="000000" w:sz="6" w:space="0"/>
              <w:tl2br w:val="single" w:color="000000" w:sz="4" w:space="0"/>
            </w:tcBorders>
            <w:vAlign w:val="top"/>
          </w:tcPr>
          <w:p>
            <w:pPr>
              <w:pStyle w:val="6"/>
            </w:pPr>
          </w:p>
        </w:tc>
        <w:tc>
          <w:tcPr>
            <w:tcW w:w="1023" w:type="dxa"/>
            <w:vAlign w:val="top"/>
          </w:tcPr>
          <w:p>
            <w:pPr>
              <w:spacing w:before="76" w:line="235" w:lineRule="auto"/>
              <w:ind w:left="473"/>
              <w:rPr>
                <w:rFonts w:ascii="宋体" w:hAnsi="宋体" w:eastAsia="宋体" w:cs="宋体"/>
                <w:sz w:val="20"/>
                <w:szCs w:val="20"/>
              </w:rPr>
            </w:pPr>
            <w:r>
              <w:rPr>
                <w:rFonts w:ascii="宋体" w:hAnsi="宋体" w:eastAsia="宋体" w:cs="宋体"/>
                <w:sz w:val="20"/>
                <w:szCs w:val="20"/>
              </w:rPr>
              <w:t>Ⅰ</w:t>
            </w:r>
          </w:p>
        </w:tc>
        <w:tc>
          <w:tcPr>
            <w:tcW w:w="1023" w:type="dxa"/>
            <w:vAlign w:val="top"/>
          </w:tcPr>
          <w:p>
            <w:pPr>
              <w:spacing w:before="94" w:line="204" w:lineRule="auto"/>
              <w:ind w:left="454"/>
              <w:rPr>
                <w:rFonts w:ascii="宋体" w:hAnsi="宋体" w:eastAsia="宋体" w:cs="宋体"/>
                <w:sz w:val="20"/>
                <w:szCs w:val="20"/>
              </w:rPr>
            </w:pPr>
            <w:r>
              <w:rPr>
                <w:rFonts w:ascii="宋体" w:hAnsi="宋体" w:eastAsia="宋体" w:cs="宋体"/>
                <w:sz w:val="20"/>
                <w:szCs w:val="20"/>
              </w:rPr>
              <w:t>Ⅱ</w:t>
            </w:r>
          </w:p>
        </w:tc>
        <w:tc>
          <w:tcPr>
            <w:tcW w:w="1027" w:type="dxa"/>
            <w:vAlign w:val="top"/>
          </w:tcPr>
          <w:p>
            <w:pPr>
              <w:spacing w:before="97" w:line="201" w:lineRule="auto"/>
              <w:ind w:left="439"/>
              <w:rPr>
                <w:rFonts w:ascii="宋体" w:hAnsi="宋体" w:eastAsia="宋体" w:cs="宋体"/>
                <w:sz w:val="20"/>
                <w:szCs w:val="20"/>
              </w:rPr>
            </w:pPr>
            <w:r>
              <w:rPr>
                <w:rFonts w:ascii="宋体" w:hAnsi="宋体" w:eastAsia="宋体" w:cs="宋体"/>
                <w:sz w:val="20"/>
                <w:szCs w:val="20"/>
              </w:rPr>
              <w:t>Ⅲ</w:t>
            </w:r>
          </w:p>
        </w:tc>
        <w:tc>
          <w:tcPr>
            <w:tcW w:w="1023" w:type="dxa"/>
            <w:vAlign w:val="top"/>
          </w:tcPr>
          <w:p>
            <w:pPr>
              <w:spacing w:before="76" w:line="235" w:lineRule="auto"/>
              <w:ind w:left="480"/>
              <w:rPr>
                <w:rFonts w:ascii="宋体" w:hAnsi="宋体" w:eastAsia="宋体" w:cs="宋体"/>
                <w:sz w:val="20"/>
                <w:szCs w:val="20"/>
              </w:rPr>
            </w:pPr>
            <w:r>
              <w:rPr>
                <w:rFonts w:ascii="宋体" w:hAnsi="宋体" w:eastAsia="宋体" w:cs="宋体"/>
                <w:sz w:val="20"/>
                <w:szCs w:val="20"/>
              </w:rPr>
              <w:t>Ⅰ</w:t>
            </w:r>
          </w:p>
        </w:tc>
        <w:tc>
          <w:tcPr>
            <w:tcW w:w="1024" w:type="dxa"/>
            <w:vAlign w:val="top"/>
          </w:tcPr>
          <w:p>
            <w:pPr>
              <w:spacing w:before="94" w:line="204" w:lineRule="auto"/>
              <w:ind w:left="458"/>
              <w:rPr>
                <w:rFonts w:ascii="宋体" w:hAnsi="宋体" w:eastAsia="宋体" w:cs="宋体"/>
                <w:sz w:val="20"/>
                <w:szCs w:val="20"/>
              </w:rPr>
            </w:pPr>
            <w:r>
              <w:rPr>
                <w:rFonts w:ascii="宋体" w:hAnsi="宋体" w:eastAsia="宋体" w:cs="宋体"/>
                <w:sz w:val="20"/>
                <w:szCs w:val="20"/>
              </w:rPr>
              <w:t>Ⅱ</w:t>
            </w:r>
          </w:p>
        </w:tc>
        <w:tc>
          <w:tcPr>
            <w:tcW w:w="1037" w:type="dxa"/>
            <w:tcBorders>
              <w:right w:val="single" w:color="000000" w:sz="6" w:space="0"/>
            </w:tcBorders>
            <w:vAlign w:val="top"/>
          </w:tcPr>
          <w:p>
            <w:pPr>
              <w:spacing w:before="97" w:line="201" w:lineRule="auto"/>
              <w:ind w:left="444"/>
              <w:rPr>
                <w:rFonts w:ascii="宋体" w:hAnsi="宋体" w:eastAsia="宋体" w:cs="宋体"/>
                <w:sz w:val="20"/>
                <w:szCs w:val="20"/>
              </w:rPr>
            </w:pPr>
            <w:r>
              <w:rPr>
                <w:rFonts w:ascii="宋体" w:hAnsi="宋体" w:eastAsia="宋体" w:cs="宋体"/>
                <w:sz w:val="20"/>
                <w:szCs w:val="20"/>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pStyle w:val="6"/>
              <w:spacing w:line="299" w:lineRule="auto"/>
            </w:pPr>
          </w:p>
          <w:p>
            <w:pPr>
              <w:pStyle w:val="6"/>
              <w:spacing w:line="299" w:lineRule="auto"/>
            </w:pPr>
          </w:p>
          <w:p>
            <w:pPr>
              <w:spacing w:before="65" w:line="223" w:lineRule="auto"/>
              <w:ind w:left="153"/>
              <w:rPr>
                <w:rFonts w:ascii="宋体" w:hAnsi="宋体" w:eastAsia="宋体" w:cs="宋体"/>
                <w:sz w:val="20"/>
                <w:szCs w:val="20"/>
              </w:rPr>
            </w:pPr>
            <w:r>
              <w:rPr>
                <w:rFonts w:ascii="宋体" w:hAnsi="宋体" w:eastAsia="宋体" w:cs="宋体"/>
                <w:spacing w:val="8"/>
                <w:sz w:val="20"/>
                <w:szCs w:val="20"/>
              </w:rPr>
              <w:t>建筑工程</w:t>
            </w:r>
          </w:p>
        </w:tc>
        <w:tc>
          <w:tcPr>
            <w:tcW w:w="1971" w:type="dxa"/>
            <w:vAlign w:val="top"/>
          </w:tcPr>
          <w:p>
            <w:pPr>
              <w:spacing w:before="112" w:line="223" w:lineRule="auto"/>
              <w:ind w:left="563"/>
              <w:rPr>
                <w:rFonts w:ascii="宋体" w:hAnsi="宋体" w:eastAsia="宋体" w:cs="宋体"/>
                <w:sz w:val="20"/>
                <w:szCs w:val="20"/>
              </w:rPr>
            </w:pPr>
            <w:r>
              <w:rPr>
                <w:rFonts w:ascii="宋体" w:hAnsi="宋体" w:eastAsia="宋体" w:cs="宋体"/>
                <w:spacing w:val="8"/>
                <w:sz w:val="20"/>
                <w:szCs w:val="20"/>
              </w:rPr>
              <w:t>建筑工程</w:t>
            </w:r>
          </w:p>
        </w:tc>
        <w:tc>
          <w:tcPr>
            <w:tcW w:w="1023" w:type="dxa"/>
            <w:vAlign w:val="top"/>
          </w:tcPr>
          <w:p>
            <w:pPr>
              <w:spacing w:before="110" w:line="225" w:lineRule="auto"/>
              <w:ind w:left="326"/>
              <w:rPr>
                <w:rFonts w:ascii="宋体" w:hAnsi="宋体" w:eastAsia="宋体" w:cs="宋体"/>
                <w:sz w:val="20"/>
                <w:szCs w:val="20"/>
              </w:rPr>
            </w:pPr>
            <w:r>
              <w:rPr>
                <w:rFonts w:ascii="宋体" w:hAnsi="宋体" w:eastAsia="宋体" w:cs="宋体"/>
                <w:spacing w:val="-10"/>
                <w:sz w:val="20"/>
                <w:szCs w:val="20"/>
              </w:rPr>
              <w:t>43.2</w:t>
            </w:r>
          </w:p>
        </w:tc>
        <w:tc>
          <w:tcPr>
            <w:tcW w:w="1023" w:type="dxa"/>
            <w:vAlign w:val="top"/>
          </w:tcPr>
          <w:p>
            <w:pPr>
              <w:spacing w:before="110" w:line="225" w:lineRule="auto"/>
              <w:ind w:left="334"/>
              <w:rPr>
                <w:rFonts w:ascii="宋体" w:hAnsi="宋体" w:eastAsia="宋体" w:cs="宋体"/>
                <w:sz w:val="20"/>
                <w:szCs w:val="20"/>
              </w:rPr>
            </w:pPr>
            <w:r>
              <w:rPr>
                <w:rFonts w:ascii="宋体" w:hAnsi="宋体" w:eastAsia="宋体" w:cs="宋体"/>
                <w:spacing w:val="-12"/>
                <w:sz w:val="20"/>
                <w:szCs w:val="20"/>
              </w:rPr>
              <w:t>34.5</w:t>
            </w:r>
          </w:p>
        </w:tc>
        <w:tc>
          <w:tcPr>
            <w:tcW w:w="1027" w:type="dxa"/>
            <w:vAlign w:val="top"/>
          </w:tcPr>
          <w:p>
            <w:pPr>
              <w:spacing w:before="110" w:line="225" w:lineRule="auto"/>
              <w:ind w:left="335"/>
              <w:rPr>
                <w:rFonts w:ascii="宋体" w:hAnsi="宋体" w:eastAsia="宋体" w:cs="宋体"/>
                <w:sz w:val="20"/>
                <w:szCs w:val="20"/>
              </w:rPr>
            </w:pPr>
            <w:r>
              <w:rPr>
                <w:rFonts w:ascii="宋体" w:hAnsi="宋体" w:eastAsia="宋体" w:cs="宋体"/>
                <w:spacing w:val="-11"/>
                <w:sz w:val="20"/>
                <w:szCs w:val="20"/>
              </w:rPr>
              <w:t>25.4</w:t>
            </w:r>
          </w:p>
        </w:tc>
        <w:tc>
          <w:tcPr>
            <w:tcW w:w="1023" w:type="dxa"/>
            <w:vAlign w:val="top"/>
          </w:tcPr>
          <w:p>
            <w:pPr>
              <w:spacing w:before="110" w:line="225" w:lineRule="auto"/>
              <w:ind w:left="338"/>
              <w:rPr>
                <w:rFonts w:ascii="宋体" w:hAnsi="宋体" w:eastAsia="宋体" w:cs="宋体"/>
                <w:sz w:val="20"/>
                <w:szCs w:val="20"/>
              </w:rPr>
            </w:pPr>
            <w:r>
              <w:rPr>
                <w:rFonts w:ascii="宋体" w:hAnsi="宋体" w:eastAsia="宋体" w:cs="宋体"/>
                <w:spacing w:val="-12"/>
                <w:sz w:val="20"/>
                <w:szCs w:val="20"/>
              </w:rPr>
              <w:t>35.8</w:t>
            </w:r>
          </w:p>
        </w:tc>
        <w:tc>
          <w:tcPr>
            <w:tcW w:w="1024" w:type="dxa"/>
            <w:vAlign w:val="top"/>
          </w:tcPr>
          <w:p>
            <w:pPr>
              <w:spacing w:before="110" w:line="225" w:lineRule="auto"/>
              <w:ind w:left="337"/>
              <w:rPr>
                <w:rFonts w:ascii="宋体" w:hAnsi="宋体" w:eastAsia="宋体" w:cs="宋体"/>
                <w:sz w:val="20"/>
                <w:szCs w:val="20"/>
              </w:rPr>
            </w:pPr>
            <w:r>
              <w:rPr>
                <w:rFonts w:ascii="宋体" w:hAnsi="宋体" w:eastAsia="宋体" w:cs="宋体"/>
                <w:spacing w:val="-11"/>
                <w:sz w:val="20"/>
                <w:szCs w:val="20"/>
              </w:rPr>
              <w:t>20.3</w:t>
            </w:r>
          </w:p>
        </w:tc>
        <w:tc>
          <w:tcPr>
            <w:tcW w:w="1037" w:type="dxa"/>
            <w:tcBorders>
              <w:right w:val="single" w:color="000000" w:sz="6" w:space="0"/>
            </w:tcBorders>
            <w:vAlign w:val="top"/>
          </w:tcPr>
          <w:p>
            <w:pPr>
              <w:spacing w:before="110" w:line="225" w:lineRule="auto"/>
              <w:ind w:left="357"/>
              <w:rPr>
                <w:rFonts w:ascii="宋体" w:hAnsi="宋体" w:eastAsia="宋体" w:cs="宋体"/>
                <w:sz w:val="20"/>
                <w:szCs w:val="20"/>
              </w:rPr>
            </w:pPr>
            <w:r>
              <w:rPr>
                <w:rFonts w:ascii="宋体" w:hAnsi="宋体" w:eastAsia="宋体" w:cs="宋体"/>
                <w:spacing w:val="-15"/>
                <w:sz w:val="20"/>
                <w:szCs w:val="20"/>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6" w:line="219" w:lineRule="auto"/>
              <w:ind w:left="459"/>
              <w:rPr>
                <w:rFonts w:ascii="宋体" w:hAnsi="宋体" w:eastAsia="宋体" w:cs="宋体"/>
                <w:sz w:val="20"/>
                <w:szCs w:val="20"/>
              </w:rPr>
            </w:pPr>
            <w:r>
              <w:rPr>
                <w:rFonts w:ascii="宋体" w:hAnsi="宋体" w:eastAsia="宋体" w:cs="宋体"/>
                <w:spacing w:val="8"/>
                <w:sz w:val="20"/>
                <w:szCs w:val="20"/>
              </w:rPr>
              <w:t>构筑物工程</w:t>
            </w:r>
          </w:p>
        </w:tc>
        <w:tc>
          <w:tcPr>
            <w:tcW w:w="1023" w:type="dxa"/>
            <w:vAlign w:val="top"/>
          </w:tcPr>
          <w:p>
            <w:pPr>
              <w:spacing w:before="110" w:line="225" w:lineRule="auto"/>
              <w:ind w:left="332"/>
              <w:rPr>
                <w:rFonts w:ascii="宋体" w:hAnsi="宋体" w:eastAsia="宋体" w:cs="宋体"/>
                <w:sz w:val="20"/>
                <w:szCs w:val="20"/>
              </w:rPr>
            </w:pPr>
            <w:r>
              <w:rPr>
                <w:rFonts w:ascii="宋体" w:hAnsi="宋体" w:eastAsia="宋体" w:cs="宋体"/>
                <w:spacing w:val="-12"/>
                <w:sz w:val="20"/>
                <w:szCs w:val="20"/>
              </w:rPr>
              <w:t>34.5</w:t>
            </w:r>
          </w:p>
        </w:tc>
        <w:tc>
          <w:tcPr>
            <w:tcW w:w="1023" w:type="dxa"/>
            <w:vAlign w:val="top"/>
          </w:tcPr>
          <w:p>
            <w:pPr>
              <w:spacing w:before="110" w:line="225" w:lineRule="auto"/>
              <w:ind w:left="334"/>
              <w:rPr>
                <w:rFonts w:ascii="宋体" w:hAnsi="宋体" w:eastAsia="宋体" w:cs="宋体"/>
                <w:sz w:val="20"/>
                <w:szCs w:val="20"/>
              </w:rPr>
            </w:pPr>
            <w:r>
              <w:rPr>
                <w:rFonts w:ascii="宋体" w:hAnsi="宋体" w:eastAsia="宋体" w:cs="宋体"/>
                <w:spacing w:val="-12"/>
                <w:sz w:val="20"/>
                <w:szCs w:val="20"/>
              </w:rPr>
              <w:t>31.2</w:t>
            </w:r>
          </w:p>
        </w:tc>
        <w:tc>
          <w:tcPr>
            <w:tcW w:w="1027" w:type="dxa"/>
            <w:vAlign w:val="top"/>
          </w:tcPr>
          <w:p>
            <w:pPr>
              <w:spacing w:before="110" w:line="225" w:lineRule="auto"/>
              <w:ind w:left="335"/>
              <w:rPr>
                <w:rFonts w:ascii="宋体" w:hAnsi="宋体" w:eastAsia="宋体" w:cs="宋体"/>
                <w:sz w:val="20"/>
                <w:szCs w:val="20"/>
              </w:rPr>
            </w:pPr>
            <w:r>
              <w:rPr>
                <w:rFonts w:ascii="宋体" w:hAnsi="宋体" w:eastAsia="宋体" w:cs="宋体"/>
                <w:spacing w:val="-11"/>
                <w:sz w:val="20"/>
                <w:szCs w:val="20"/>
              </w:rPr>
              <w:t>20.7</w:t>
            </w:r>
          </w:p>
        </w:tc>
        <w:tc>
          <w:tcPr>
            <w:tcW w:w="1023" w:type="dxa"/>
            <w:vAlign w:val="top"/>
          </w:tcPr>
          <w:p>
            <w:pPr>
              <w:spacing w:before="110" w:line="225" w:lineRule="auto"/>
              <w:ind w:left="338"/>
              <w:rPr>
                <w:rFonts w:ascii="宋体" w:hAnsi="宋体" w:eastAsia="宋体" w:cs="宋体"/>
                <w:sz w:val="20"/>
                <w:szCs w:val="20"/>
              </w:rPr>
            </w:pPr>
            <w:r>
              <w:rPr>
                <w:rFonts w:ascii="宋体" w:hAnsi="宋体" w:eastAsia="宋体" w:cs="宋体"/>
                <w:spacing w:val="-12"/>
                <w:sz w:val="20"/>
                <w:szCs w:val="20"/>
              </w:rPr>
              <w:t>30.0</w:t>
            </w:r>
          </w:p>
        </w:tc>
        <w:tc>
          <w:tcPr>
            <w:tcW w:w="1024" w:type="dxa"/>
            <w:vAlign w:val="top"/>
          </w:tcPr>
          <w:p>
            <w:pPr>
              <w:spacing w:before="110" w:line="225" w:lineRule="auto"/>
              <w:ind w:left="337"/>
              <w:rPr>
                <w:rFonts w:ascii="宋体" w:hAnsi="宋体" w:eastAsia="宋体" w:cs="宋体"/>
                <w:sz w:val="20"/>
                <w:szCs w:val="20"/>
              </w:rPr>
            </w:pPr>
            <w:r>
              <w:rPr>
                <w:rFonts w:ascii="宋体" w:hAnsi="宋体" w:eastAsia="宋体" w:cs="宋体"/>
                <w:spacing w:val="-11"/>
                <w:sz w:val="20"/>
                <w:szCs w:val="20"/>
              </w:rPr>
              <w:t>24.2</w:t>
            </w:r>
          </w:p>
        </w:tc>
        <w:tc>
          <w:tcPr>
            <w:tcW w:w="1037" w:type="dxa"/>
            <w:tcBorders>
              <w:right w:val="single" w:color="000000" w:sz="6" w:space="0"/>
            </w:tcBorders>
            <w:vAlign w:val="top"/>
          </w:tcPr>
          <w:p>
            <w:pPr>
              <w:spacing w:before="110" w:line="225" w:lineRule="auto"/>
              <w:ind w:left="357"/>
              <w:rPr>
                <w:rFonts w:ascii="宋体" w:hAnsi="宋体" w:eastAsia="宋体" w:cs="宋体"/>
                <w:sz w:val="20"/>
                <w:szCs w:val="20"/>
              </w:rPr>
            </w:pPr>
            <w:r>
              <w:rPr>
                <w:rFonts w:ascii="宋体" w:hAnsi="宋体" w:eastAsia="宋体" w:cs="宋体"/>
                <w:spacing w:val="-15"/>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5" w:line="220" w:lineRule="auto"/>
              <w:ind w:left="245"/>
              <w:rPr>
                <w:rFonts w:ascii="宋体" w:hAnsi="宋体" w:eastAsia="宋体" w:cs="宋体"/>
                <w:sz w:val="20"/>
                <w:szCs w:val="20"/>
              </w:rPr>
            </w:pPr>
            <w:r>
              <w:rPr>
                <w:rFonts w:ascii="宋体" w:hAnsi="宋体" w:eastAsia="宋体" w:cs="宋体"/>
                <w:spacing w:val="9"/>
                <w:sz w:val="20"/>
                <w:szCs w:val="20"/>
              </w:rPr>
              <w:t>单独土石方工程</w:t>
            </w:r>
          </w:p>
        </w:tc>
        <w:tc>
          <w:tcPr>
            <w:tcW w:w="1023" w:type="dxa"/>
            <w:vAlign w:val="top"/>
          </w:tcPr>
          <w:p>
            <w:pPr>
              <w:spacing w:before="111" w:line="224" w:lineRule="auto"/>
              <w:ind w:left="329"/>
              <w:rPr>
                <w:rFonts w:ascii="宋体" w:hAnsi="宋体" w:eastAsia="宋体" w:cs="宋体"/>
                <w:sz w:val="20"/>
                <w:szCs w:val="20"/>
              </w:rPr>
            </w:pPr>
            <w:r>
              <w:rPr>
                <w:rFonts w:ascii="宋体" w:hAnsi="宋体" w:eastAsia="宋体" w:cs="宋体"/>
                <w:spacing w:val="-11"/>
                <w:sz w:val="20"/>
                <w:szCs w:val="20"/>
              </w:rPr>
              <w:t>28.8</w:t>
            </w:r>
          </w:p>
        </w:tc>
        <w:tc>
          <w:tcPr>
            <w:tcW w:w="1023" w:type="dxa"/>
            <w:vAlign w:val="top"/>
          </w:tcPr>
          <w:p>
            <w:pPr>
              <w:spacing w:before="111" w:line="224" w:lineRule="auto"/>
              <w:ind w:left="331"/>
              <w:rPr>
                <w:rFonts w:ascii="宋体" w:hAnsi="宋体" w:eastAsia="宋体" w:cs="宋体"/>
                <w:sz w:val="20"/>
                <w:szCs w:val="20"/>
              </w:rPr>
            </w:pPr>
            <w:r>
              <w:rPr>
                <w:rFonts w:ascii="宋体" w:hAnsi="宋体" w:eastAsia="宋体" w:cs="宋体"/>
                <w:spacing w:val="-11"/>
                <w:sz w:val="20"/>
                <w:szCs w:val="20"/>
              </w:rPr>
              <w:t>20.7</w:t>
            </w:r>
          </w:p>
        </w:tc>
        <w:tc>
          <w:tcPr>
            <w:tcW w:w="1027" w:type="dxa"/>
            <w:vAlign w:val="top"/>
          </w:tcPr>
          <w:p>
            <w:pPr>
              <w:spacing w:before="111" w:line="224" w:lineRule="auto"/>
              <w:ind w:left="352"/>
              <w:rPr>
                <w:rFonts w:ascii="宋体" w:hAnsi="宋体" w:eastAsia="宋体" w:cs="宋体"/>
                <w:sz w:val="20"/>
                <w:szCs w:val="20"/>
              </w:rPr>
            </w:pPr>
            <w:r>
              <w:rPr>
                <w:rFonts w:ascii="宋体" w:hAnsi="宋体" w:eastAsia="宋体" w:cs="宋体"/>
                <w:spacing w:val="-15"/>
                <w:sz w:val="20"/>
                <w:szCs w:val="20"/>
              </w:rPr>
              <w:t>13.0</w:t>
            </w:r>
          </w:p>
        </w:tc>
        <w:tc>
          <w:tcPr>
            <w:tcW w:w="1023" w:type="dxa"/>
            <w:vAlign w:val="top"/>
          </w:tcPr>
          <w:p>
            <w:pPr>
              <w:spacing w:before="111" w:line="224" w:lineRule="auto"/>
              <w:ind w:left="335"/>
              <w:rPr>
                <w:rFonts w:ascii="宋体" w:hAnsi="宋体" w:eastAsia="宋体" w:cs="宋体"/>
                <w:sz w:val="20"/>
                <w:szCs w:val="20"/>
              </w:rPr>
            </w:pPr>
            <w:r>
              <w:rPr>
                <w:rFonts w:ascii="宋体" w:hAnsi="宋体" w:eastAsia="宋体" w:cs="宋体"/>
                <w:spacing w:val="-11"/>
                <w:sz w:val="20"/>
                <w:szCs w:val="20"/>
              </w:rPr>
              <w:t>22.3</w:t>
            </w:r>
          </w:p>
        </w:tc>
        <w:tc>
          <w:tcPr>
            <w:tcW w:w="1024" w:type="dxa"/>
            <w:vAlign w:val="top"/>
          </w:tcPr>
          <w:p>
            <w:pPr>
              <w:spacing w:before="111" w:line="224" w:lineRule="auto"/>
              <w:ind w:left="354"/>
              <w:rPr>
                <w:rFonts w:ascii="宋体" w:hAnsi="宋体" w:eastAsia="宋体" w:cs="宋体"/>
                <w:sz w:val="20"/>
                <w:szCs w:val="20"/>
              </w:rPr>
            </w:pPr>
            <w:r>
              <w:rPr>
                <w:rFonts w:ascii="宋体" w:hAnsi="宋体" w:eastAsia="宋体" w:cs="宋体"/>
                <w:spacing w:val="-15"/>
                <w:sz w:val="20"/>
                <w:szCs w:val="20"/>
              </w:rPr>
              <w:t>16.0</w:t>
            </w:r>
          </w:p>
        </w:tc>
        <w:tc>
          <w:tcPr>
            <w:tcW w:w="1037" w:type="dxa"/>
            <w:tcBorders>
              <w:right w:val="single" w:color="000000" w:sz="6" w:space="0"/>
            </w:tcBorders>
            <w:vAlign w:val="top"/>
          </w:tcPr>
          <w:p>
            <w:pPr>
              <w:spacing w:before="111" w:line="224" w:lineRule="auto"/>
              <w:ind w:left="394"/>
              <w:rPr>
                <w:rFonts w:ascii="宋体" w:hAnsi="宋体" w:eastAsia="宋体" w:cs="宋体"/>
                <w:sz w:val="20"/>
                <w:szCs w:val="20"/>
              </w:rPr>
            </w:pPr>
            <w:r>
              <w:rPr>
                <w:rFonts w:ascii="宋体" w:hAnsi="宋体" w:eastAsia="宋体" w:cs="宋体"/>
                <w:spacing w:val="-17"/>
                <w:sz w:val="20"/>
                <w:szCs w:val="20"/>
              </w:rPr>
              <w:t>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19" w:line="216" w:lineRule="auto"/>
              <w:ind w:left="458"/>
              <w:rPr>
                <w:rFonts w:ascii="宋体" w:hAnsi="宋体" w:eastAsia="宋体" w:cs="宋体"/>
                <w:sz w:val="20"/>
                <w:szCs w:val="20"/>
              </w:rPr>
            </w:pPr>
            <w:r>
              <w:rPr>
                <w:rFonts w:ascii="宋体" w:hAnsi="宋体" w:eastAsia="宋体" w:cs="宋体"/>
                <w:spacing w:val="8"/>
                <w:sz w:val="20"/>
                <w:szCs w:val="20"/>
              </w:rPr>
              <w:t>桩基础工程</w:t>
            </w:r>
          </w:p>
        </w:tc>
        <w:tc>
          <w:tcPr>
            <w:tcW w:w="1023" w:type="dxa"/>
            <w:vAlign w:val="top"/>
          </w:tcPr>
          <w:p>
            <w:pPr>
              <w:spacing w:before="111" w:line="224" w:lineRule="auto"/>
              <w:ind w:left="329"/>
              <w:rPr>
                <w:rFonts w:ascii="宋体" w:hAnsi="宋体" w:eastAsia="宋体" w:cs="宋体"/>
                <w:sz w:val="20"/>
                <w:szCs w:val="20"/>
              </w:rPr>
            </w:pPr>
            <w:r>
              <w:rPr>
                <w:rFonts w:ascii="宋体" w:hAnsi="宋体" w:eastAsia="宋体" w:cs="宋体"/>
                <w:spacing w:val="-11"/>
                <w:sz w:val="20"/>
                <w:szCs w:val="20"/>
              </w:rPr>
              <w:t>23.1</w:t>
            </w:r>
          </w:p>
        </w:tc>
        <w:tc>
          <w:tcPr>
            <w:tcW w:w="1023" w:type="dxa"/>
            <w:vAlign w:val="top"/>
          </w:tcPr>
          <w:p>
            <w:pPr>
              <w:spacing w:before="111" w:line="224" w:lineRule="auto"/>
              <w:ind w:left="348"/>
              <w:rPr>
                <w:rFonts w:ascii="宋体" w:hAnsi="宋体" w:eastAsia="宋体" w:cs="宋体"/>
                <w:sz w:val="20"/>
                <w:szCs w:val="20"/>
              </w:rPr>
            </w:pPr>
            <w:r>
              <w:rPr>
                <w:rFonts w:ascii="宋体" w:hAnsi="宋体" w:eastAsia="宋体" w:cs="宋体"/>
                <w:spacing w:val="-15"/>
                <w:sz w:val="20"/>
                <w:szCs w:val="20"/>
              </w:rPr>
              <w:t>17.8</w:t>
            </w:r>
          </w:p>
        </w:tc>
        <w:tc>
          <w:tcPr>
            <w:tcW w:w="1027" w:type="dxa"/>
            <w:vAlign w:val="top"/>
          </w:tcPr>
          <w:p>
            <w:pPr>
              <w:spacing w:before="111" w:line="224" w:lineRule="auto"/>
              <w:ind w:left="352"/>
              <w:rPr>
                <w:rFonts w:ascii="宋体" w:hAnsi="宋体" w:eastAsia="宋体" w:cs="宋体"/>
                <w:sz w:val="20"/>
                <w:szCs w:val="20"/>
              </w:rPr>
            </w:pPr>
            <w:r>
              <w:rPr>
                <w:rFonts w:ascii="宋体" w:hAnsi="宋体" w:eastAsia="宋体" w:cs="宋体"/>
                <w:spacing w:val="-15"/>
                <w:sz w:val="20"/>
                <w:szCs w:val="20"/>
              </w:rPr>
              <w:t>13.0</w:t>
            </w:r>
          </w:p>
        </w:tc>
        <w:tc>
          <w:tcPr>
            <w:tcW w:w="1023" w:type="dxa"/>
            <w:vAlign w:val="top"/>
          </w:tcPr>
          <w:p>
            <w:pPr>
              <w:spacing w:before="111" w:line="224" w:lineRule="auto"/>
              <w:ind w:left="352"/>
              <w:rPr>
                <w:rFonts w:ascii="宋体" w:hAnsi="宋体" w:eastAsia="宋体" w:cs="宋体"/>
                <w:sz w:val="20"/>
                <w:szCs w:val="20"/>
              </w:rPr>
            </w:pPr>
            <w:r>
              <w:rPr>
                <w:rFonts w:ascii="宋体" w:hAnsi="宋体" w:eastAsia="宋体" w:cs="宋体"/>
                <w:spacing w:val="-15"/>
                <w:sz w:val="20"/>
                <w:szCs w:val="20"/>
              </w:rPr>
              <w:t>16.9</w:t>
            </w:r>
          </w:p>
        </w:tc>
        <w:tc>
          <w:tcPr>
            <w:tcW w:w="1024" w:type="dxa"/>
            <w:vAlign w:val="top"/>
          </w:tcPr>
          <w:p>
            <w:pPr>
              <w:spacing w:before="111" w:line="224" w:lineRule="auto"/>
              <w:ind w:left="354"/>
              <w:rPr>
                <w:rFonts w:ascii="宋体" w:hAnsi="宋体" w:eastAsia="宋体" w:cs="宋体"/>
                <w:sz w:val="20"/>
                <w:szCs w:val="20"/>
              </w:rPr>
            </w:pPr>
            <w:r>
              <w:rPr>
                <w:rFonts w:ascii="宋体" w:hAnsi="宋体" w:eastAsia="宋体" w:cs="宋体"/>
                <w:spacing w:val="-15"/>
                <w:sz w:val="20"/>
                <w:szCs w:val="20"/>
              </w:rPr>
              <w:t>13.1</w:t>
            </w:r>
          </w:p>
        </w:tc>
        <w:tc>
          <w:tcPr>
            <w:tcW w:w="1037" w:type="dxa"/>
            <w:tcBorders>
              <w:right w:val="single" w:color="000000" w:sz="6" w:space="0"/>
            </w:tcBorders>
            <w:vAlign w:val="top"/>
          </w:tcPr>
          <w:p>
            <w:pPr>
              <w:spacing w:before="111" w:line="224" w:lineRule="auto"/>
              <w:ind w:left="390"/>
              <w:rPr>
                <w:rFonts w:ascii="宋体" w:hAnsi="宋体" w:eastAsia="宋体" w:cs="宋体"/>
                <w:sz w:val="20"/>
                <w:szCs w:val="20"/>
              </w:rPr>
            </w:pPr>
            <w:r>
              <w:rPr>
                <w:rFonts w:ascii="宋体" w:hAnsi="宋体" w:eastAsia="宋体" w:cs="宋体"/>
                <w:spacing w:val="-16"/>
                <w:sz w:val="20"/>
                <w:szCs w:val="20"/>
              </w:rPr>
              <w:t>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3128" w:type="dxa"/>
            <w:gridSpan w:val="2"/>
            <w:tcBorders>
              <w:left w:val="single" w:color="000000" w:sz="6" w:space="0"/>
            </w:tcBorders>
            <w:vAlign w:val="top"/>
          </w:tcPr>
          <w:p>
            <w:pPr>
              <w:spacing w:before="120" w:line="216" w:lineRule="auto"/>
              <w:ind w:left="1138"/>
              <w:rPr>
                <w:rFonts w:ascii="宋体" w:hAnsi="宋体" w:eastAsia="宋体" w:cs="宋体"/>
                <w:sz w:val="20"/>
                <w:szCs w:val="20"/>
              </w:rPr>
            </w:pPr>
            <w:r>
              <w:rPr>
                <w:rFonts w:ascii="宋体" w:hAnsi="宋体" w:eastAsia="宋体" w:cs="宋体"/>
                <w:spacing w:val="8"/>
                <w:sz w:val="20"/>
                <w:szCs w:val="20"/>
              </w:rPr>
              <w:t>装饰工程</w:t>
            </w:r>
          </w:p>
        </w:tc>
        <w:tc>
          <w:tcPr>
            <w:tcW w:w="1023" w:type="dxa"/>
            <w:vAlign w:val="top"/>
          </w:tcPr>
          <w:p>
            <w:pPr>
              <w:spacing w:before="114" w:line="221" w:lineRule="auto"/>
              <w:ind w:left="330"/>
              <w:rPr>
                <w:rFonts w:ascii="宋体" w:hAnsi="宋体" w:eastAsia="宋体" w:cs="宋体"/>
                <w:sz w:val="20"/>
                <w:szCs w:val="20"/>
              </w:rPr>
            </w:pPr>
            <w:r>
              <w:rPr>
                <w:rFonts w:ascii="宋体" w:hAnsi="宋体" w:eastAsia="宋体" w:cs="宋体"/>
                <w:spacing w:val="-11"/>
                <w:sz w:val="20"/>
                <w:szCs w:val="20"/>
              </w:rPr>
              <w:t>65.9</w:t>
            </w:r>
          </w:p>
        </w:tc>
        <w:tc>
          <w:tcPr>
            <w:tcW w:w="1023" w:type="dxa"/>
            <w:vAlign w:val="top"/>
          </w:tcPr>
          <w:p>
            <w:pPr>
              <w:spacing w:before="114" w:line="221" w:lineRule="auto"/>
              <w:ind w:left="331"/>
              <w:rPr>
                <w:rFonts w:ascii="宋体" w:hAnsi="宋体" w:eastAsia="宋体" w:cs="宋体"/>
                <w:sz w:val="20"/>
                <w:szCs w:val="20"/>
              </w:rPr>
            </w:pPr>
            <w:r>
              <w:rPr>
                <w:rFonts w:ascii="宋体" w:hAnsi="宋体" w:eastAsia="宋体" w:cs="宋体"/>
                <w:spacing w:val="-11"/>
                <w:sz w:val="20"/>
                <w:szCs w:val="20"/>
              </w:rPr>
              <w:t>52.4</w:t>
            </w:r>
          </w:p>
        </w:tc>
        <w:tc>
          <w:tcPr>
            <w:tcW w:w="1027" w:type="dxa"/>
            <w:vAlign w:val="top"/>
          </w:tcPr>
          <w:p>
            <w:pPr>
              <w:spacing w:before="114" w:line="221" w:lineRule="auto"/>
              <w:ind w:left="338"/>
              <w:rPr>
                <w:rFonts w:ascii="宋体" w:hAnsi="宋体" w:eastAsia="宋体" w:cs="宋体"/>
                <w:sz w:val="20"/>
                <w:szCs w:val="20"/>
              </w:rPr>
            </w:pPr>
            <w:r>
              <w:rPr>
                <w:rFonts w:ascii="宋体" w:hAnsi="宋体" w:eastAsia="宋体" w:cs="宋体"/>
                <w:spacing w:val="-12"/>
                <w:sz w:val="20"/>
                <w:szCs w:val="20"/>
              </w:rPr>
              <w:t>32.0</w:t>
            </w:r>
          </w:p>
        </w:tc>
        <w:tc>
          <w:tcPr>
            <w:tcW w:w="1023" w:type="dxa"/>
            <w:vAlign w:val="top"/>
          </w:tcPr>
          <w:p>
            <w:pPr>
              <w:spacing w:before="114" w:line="221" w:lineRule="auto"/>
              <w:ind w:left="338"/>
              <w:rPr>
                <w:rFonts w:ascii="宋体" w:hAnsi="宋体" w:eastAsia="宋体" w:cs="宋体"/>
                <w:sz w:val="20"/>
                <w:szCs w:val="20"/>
              </w:rPr>
            </w:pPr>
            <w:r>
              <w:rPr>
                <w:rFonts w:ascii="宋体" w:hAnsi="宋体" w:eastAsia="宋体" w:cs="宋体"/>
                <w:spacing w:val="-12"/>
                <w:sz w:val="20"/>
                <w:szCs w:val="20"/>
              </w:rPr>
              <w:t>36.7</w:t>
            </w:r>
          </w:p>
        </w:tc>
        <w:tc>
          <w:tcPr>
            <w:tcW w:w="1024" w:type="dxa"/>
            <w:vAlign w:val="top"/>
          </w:tcPr>
          <w:p>
            <w:pPr>
              <w:spacing w:before="114" w:line="221" w:lineRule="auto"/>
              <w:ind w:left="337"/>
              <w:rPr>
                <w:rFonts w:ascii="宋体" w:hAnsi="宋体" w:eastAsia="宋体" w:cs="宋体"/>
                <w:sz w:val="20"/>
                <w:szCs w:val="20"/>
              </w:rPr>
            </w:pPr>
            <w:r>
              <w:rPr>
                <w:rFonts w:ascii="宋体" w:hAnsi="宋体" w:eastAsia="宋体" w:cs="宋体"/>
                <w:spacing w:val="-11"/>
                <w:sz w:val="20"/>
                <w:szCs w:val="20"/>
              </w:rPr>
              <w:t>23.8</w:t>
            </w:r>
          </w:p>
        </w:tc>
        <w:tc>
          <w:tcPr>
            <w:tcW w:w="1037" w:type="dxa"/>
            <w:tcBorders>
              <w:right w:val="single" w:color="000000" w:sz="6" w:space="0"/>
            </w:tcBorders>
            <w:vAlign w:val="top"/>
          </w:tcPr>
          <w:p>
            <w:pPr>
              <w:spacing w:before="114" w:line="221" w:lineRule="auto"/>
              <w:ind w:left="357"/>
              <w:rPr>
                <w:rFonts w:ascii="宋体" w:hAnsi="宋体" w:eastAsia="宋体" w:cs="宋体"/>
                <w:sz w:val="20"/>
                <w:szCs w:val="20"/>
              </w:rPr>
            </w:pPr>
            <w:r>
              <w:rPr>
                <w:rFonts w:ascii="宋体" w:hAnsi="宋体" w:eastAsia="宋体" w:cs="宋体"/>
                <w:spacing w:val="-15"/>
                <w:sz w:val="20"/>
                <w:szCs w:val="20"/>
              </w:rPr>
              <w:t>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spacing w:before="305" w:line="219" w:lineRule="auto"/>
              <w:ind w:left="153"/>
              <w:rPr>
                <w:rFonts w:ascii="宋体" w:hAnsi="宋体" w:eastAsia="宋体" w:cs="宋体"/>
                <w:sz w:val="20"/>
                <w:szCs w:val="20"/>
              </w:rPr>
            </w:pPr>
            <w:r>
              <w:rPr>
                <w:rFonts w:ascii="宋体" w:hAnsi="宋体" w:eastAsia="宋体" w:cs="宋体"/>
                <w:spacing w:val="8"/>
                <w:sz w:val="20"/>
                <w:szCs w:val="20"/>
              </w:rPr>
              <w:t>安装工程</w:t>
            </w:r>
          </w:p>
        </w:tc>
        <w:tc>
          <w:tcPr>
            <w:tcW w:w="1971" w:type="dxa"/>
            <w:vAlign w:val="top"/>
          </w:tcPr>
          <w:p>
            <w:pPr>
              <w:spacing w:before="121" w:line="215" w:lineRule="auto"/>
              <w:ind w:left="370"/>
              <w:rPr>
                <w:rFonts w:ascii="宋体" w:hAnsi="宋体" w:eastAsia="宋体" w:cs="宋体"/>
                <w:sz w:val="20"/>
                <w:szCs w:val="20"/>
              </w:rPr>
            </w:pPr>
            <w:r>
              <w:rPr>
                <w:rFonts w:ascii="宋体" w:hAnsi="宋体" w:eastAsia="宋体" w:cs="宋体"/>
                <w:spacing w:val="5"/>
                <w:sz w:val="20"/>
                <w:szCs w:val="20"/>
              </w:rPr>
              <w:t>民用安装工程</w:t>
            </w:r>
          </w:p>
        </w:tc>
        <w:tc>
          <w:tcPr>
            <w:tcW w:w="3073" w:type="dxa"/>
            <w:gridSpan w:val="3"/>
            <w:vAlign w:val="top"/>
          </w:tcPr>
          <w:p>
            <w:pPr>
              <w:spacing w:before="115" w:line="220" w:lineRule="auto"/>
              <w:ind w:left="1306"/>
              <w:rPr>
                <w:rFonts w:ascii="宋体" w:hAnsi="宋体" w:eastAsia="宋体" w:cs="宋体"/>
                <w:sz w:val="20"/>
                <w:szCs w:val="20"/>
              </w:rPr>
            </w:pPr>
            <w:r>
              <w:rPr>
                <w:rFonts w:ascii="宋体" w:hAnsi="宋体" w:eastAsia="宋体" w:cs="宋体"/>
                <w:spacing w:val="-8"/>
                <w:sz w:val="20"/>
                <w:szCs w:val="20"/>
              </w:rPr>
              <w:t>54.19</w:t>
            </w:r>
          </w:p>
        </w:tc>
        <w:tc>
          <w:tcPr>
            <w:tcW w:w="3084" w:type="dxa"/>
            <w:gridSpan w:val="3"/>
            <w:tcBorders>
              <w:right w:val="single" w:color="000000" w:sz="6" w:space="0"/>
            </w:tcBorders>
            <w:vAlign w:val="top"/>
          </w:tcPr>
          <w:p>
            <w:pPr>
              <w:spacing w:before="115" w:line="220"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1" w:line="215" w:lineRule="auto"/>
              <w:ind w:left="353"/>
              <w:rPr>
                <w:rFonts w:ascii="宋体" w:hAnsi="宋体" w:eastAsia="宋体" w:cs="宋体"/>
                <w:sz w:val="20"/>
                <w:szCs w:val="20"/>
              </w:rPr>
            </w:pPr>
            <w:r>
              <w:rPr>
                <w:rFonts w:ascii="宋体" w:hAnsi="宋体" w:eastAsia="宋体" w:cs="宋体"/>
                <w:spacing w:val="8"/>
                <w:sz w:val="20"/>
                <w:szCs w:val="20"/>
              </w:rPr>
              <w:t>工业安装工程</w:t>
            </w:r>
          </w:p>
        </w:tc>
        <w:tc>
          <w:tcPr>
            <w:tcW w:w="3073" w:type="dxa"/>
            <w:gridSpan w:val="3"/>
            <w:vAlign w:val="top"/>
          </w:tcPr>
          <w:p>
            <w:pPr>
              <w:spacing w:before="115" w:line="220" w:lineRule="auto"/>
              <w:ind w:left="1306"/>
              <w:rPr>
                <w:rFonts w:ascii="宋体" w:hAnsi="宋体" w:eastAsia="宋体" w:cs="宋体"/>
                <w:sz w:val="20"/>
                <w:szCs w:val="20"/>
              </w:rPr>
            </w:pPr>
            <w:r>
              <w:rPr>
                <w:rFonts w:ascii="宋体" w:hAnsi="宋体" w:eastAsia="宋体" w:cs="宋体"/>
                <w:spacing w:val="-8"/>
                <w:sz w:val="20"/>
                <w:szCs w:val="20"/>
              </w:rPr>
              <w:t>50.13</w:t>
            </w:r>
          </w:p>
        </w:tc>
        <w:tc>
          <w:tcPr>
            <w:tcW w:w="3084" w:type="dxa"/>
            <w:gridSpan w:val="3"/>
            <w:tcBorders>
              <w:right w:val="single" w:color="000000" w:sz="6" w:space="0"/>
            </w:tcBorders>
            <w:vAlign w:val="top"/>
          </w:tcPr>
          <w:p>
            <w:pPr>
              <w:spacing w:before="115" w:line="220"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restart"/>
            <w:tcBorders>
              <w:left w:val="single" w:color="000000" w:sz="6" w:space="0"/>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5" w:lineRule="auto"/>
            </w:pPr>
          </w:p>
          <w:p>
            <w:pPr>
              <w:pStyle w:val="6"/>
              <w:spacing w:line="245" w:lineRule="auto"/>
            </w:pPr>
          </w:p>
          <w:p>
            <w:pPr>
              <w:pStyle w:val="6"/>
              <w:spacing w:line="245" w:lineRule="auto"/>
            </w:pPr>
          </w:p>
          <w:p>
            <w:pPr>
              <w:spacing w:before="65" w:line="218" w:lineRule="auto"/>
              <w:ind w:left="154"/>
              <w:rPr>
                <w:rFonts w:ascii="宋体" w:hAnsi="宋体" w:eastAsia="宋体" w:cs="宋体"/>
                <w:sz w:val="20"/>
                <w:szCs w:val="20"/>
              </w:rPr>
            </w:pPr>
            <w:r>
              <w:rPr>
                <w:rFonts w:ascii="宋体" w:hAnsi="宋体" w:eastAsia="宋体" w:cs="宋体"/>
                <w:spacing w:val="8"/>
                <w:sz w:val="20"/>
                <w:szCs w:val="20"/>
              </w:rPr>
              <w:t>市政工程</w:t>
            </w:r>
          </w:p>
        </w:tc>
        <w:tc>
          <w:tcPr>
            <w:tcW w:w="1971" w:type="dxa"/>
            <w:vAlign w:val="top"/>
          </w:tcPr>
          <w:p>
            <w:pPr>
              <w:spacing w:before="121" w:line="215" w:lineRule="auto"/>
              <w:ind w:left="564"/>
              <w:rPr>
                <w:rFonts w:ascii="宋体" w:hAnsi="宋体" w:eastAsia="宋体" w:cs="宋体"/>
                <w:sz w:val="20"/>
                <w:szCs w:val="20"/>
              </w:rPr>
            </w:pPr>
            <w:r>
              <w:rPr>
                <w:rFonts w:ascii="宋体" w:hAnsi="宋体" w:eastAsia="宋体" w:cs="宋体"/>
                <w:spacing w:val="8"/>
                <w:sz w:val="20"/>
                <w:szCs w:val="20"/>
              </w:rPr>
              <w:t>道路工程</w:t>
            </w:r>
          </w:p>
        </w:tc>
        <w:tc>
          <w:tcPr>
            <w:tcW w:w="1023" w:type="dxa"/>
            <w:vAlign w:val="top"/>
          </w:tcPr>
          <w:p>
            <w:pPr>
              <w:spacing w:before="116" w:line="219" w:lineRule="auto"/>
              <w:ind w:left="346"/>
              <w:rPr>
                <w:rFonts w:ascii="宋体" w:hAnsi="宋体" w:eastAsia="宋体" w:cs="宋体"/>
                <w:sz w:val="20"/>
                <w:szCs w:val="20"/>
              </w:rPr>
            </w:pPr>
            <w:r>
              <w:rPr>
                <w:rFonts w:ascii="宋体" w:hAnsi="宋体" w:eastAsia="宋体" w:cs="宋体"/>
                <w:spacing w:val="-15"/>
                <w:sz w:val="20"/>
                <w:szCs w:val="20"/>
              </w:rPr>
              <w:t>18.0</w:t>
            </w:r>
          </w:p>
        </w:tc>
        <w:tc>
          <w:tcPr>
            <w:tcW w:w="1023" w:type="dxa"/>
            <w:vAlign w:val="top"/>
          </w:tcPr>
          <w:p>
            <w:pPr>
              <w:spacing w:before="116" w:line="219" w:lineRule="auto"/>
              <w:ind w:left="348"/>
              <w:rPr>
                <w:rFonts w:ascii="宋体" w:hAnsi="宋体" w:eastAsia="宋体" w:cs="宋体"/>
                <w:sz w:val="20"/>
                <w:szCs w:val="20"/>
              </w:rPr>
            </w:pPr>
            <w:r>
              <w:rPr>
                <w:rFonts w:ascii="宋体" w:hAnsi="宋体" w:eastAsia="宋体" w:cs="宋体"/>
                <w:spacing w:val="-15"/>
                <w:sz w:val="20"/>
                <w:szCs w:val="20"/>
              </w:rPr>
              <w:t>15.5</w:t>
            </w:r>
          </w:p>
        </w:tc>
        <w:tc>
          <w:tcPr>
            <w:tcW w:w="1027" w:type="dxa"/>
            <w:vAlign w:val="top"/>
          </w:tcPr>
          <w:p>
            <w:pPr>
              <w:spacing w:before="116" w:line="219" w:lineRule="auto"/>
              <w:ind w:left="352"/>
              <w:rPr>
                <w:rFonts w:ascii="宋体" w:hAnsi="宋体" w:eastAsia="宋体" w:cs="宋体"/>
                <w:sz w:val="20"/>
                <w:szCs w:val="20"/>
              </w:rPr>
            </w:pPr>
            <w:r>
              <w:rPr>
                <w:rFonts w:ascii="宋体" w:hAnsi="宋体" w:eastAsia="宋体" w:cs="宋体"/>
                <w:spacing w:val="-15"/>
                <w:sz w:val="20"/>
                <w:szCs w:val="20"/>
              </w:rPr>
              <w:t>14.5</w:t>
            </w:r>
          </w:p>
        </w:tc>
        <w:tc>
          <w:tcPr>
            <w:tcW w:w="1023" w:type="dxa"/>
            <w:vAlign w:val="top"/>
          </w:tcPr>
          <w:p>
            <w:pPr>
              <w:spacing w:before="116" w:line="219" w:lineRule="auto"/>
              <w:ind w:left="352"/>
              <w:rPr>
                <w:rFonts w:ascii="宋体" w:hAnsi="宋体" w:eastAsia="宋体" w:cs="宋体"/>
                <w:sz w:val="20"/>
                <w:szCs w:val="20"/>
              </w:rPr>
            </w:pPr>
            <w:r>
              <w:rPr>
                <w:rFonts w:ascii="宋体" w:hAnsi="宋体" w:eastAsia="宋体" w:cs="宋体"/>
                <w:spacing w:val="-15"/>
                <w:sz w:val="20"/>
                <w:szCs w:val="20"/>
              </w:rPr>
              <w:t>10.5</w:t>
            </w:r>
          </w:p>
        </w:tc>
        <w:tc>
          <w:tcPr>
            <w:tcW w:w="1024" w:type="dxa"/>
            <w:vAlign w:val="top"/>
          </w:tcPr>
          <w:p>
            <w:pPr>
              <w:spacing w:before="116" w:line="219" w:lineRule="auto"/>
              <w:ind w:left="390"/>
              <w:rPr>
                <w:rFonts w:ascii="宋体" w:hAnsi="宋体" w:eastAsia="宋体" w:cs="宋体"/>
                <w:sz w:val="20"/>
                <w:szCs w:val="20"/>
              </w:rPr>
            </w:pPr>
            <w:r>
              <w:rPr>
                <w:rFonts w:ascii="宋体" w:hAnsi="宋体" w:eastAsia="宋体" w:cs="宋体"/>
                <w:spacing w:val="-17"/>
                <w:sz w:val="20"/>
                <w:szCs w:val="20"/>
              </w:rPr>
              <w:t>6.1</w:t>
            </w:r>
          </w:p>
        </w:tc>
        <w:tc>
          <w:tcPr>
            <w:tcW w:w="1037" w:type="dxa"/>
            <w:tcBorders>
              <w:right w:val="single" w:color="000000" w:sz="6" w:space="0"/>
            </w:tcBorders>
            <w:vAlign w:val="top"/>
          </w:tcPr>
          <w:p>
            <w:pPr>
              <w:spacing w:before="116" w:line="219" w:lineRule="auto"/>
              <w:ind w:left="396"/>
              <w:rPr>
                <w:rFonts w:ascii="宋体" w:hAnsi="宋体" w:eastAsia="宋体" w:cs="宋体"/>
                <w:sz w:val="20"/>
                <w:szCs w:val="20"/>
              </w:rPr>
            </w:pPr>
            <w:r>
              <w:rPr>
                <w:rFonts w:ascii="宋体" w:hAnsi="宋体" w:eastAsia="宋体" w:cs="宋体"/>
                <w:spacing w:val="-18"/>
                <w:sz w:val="20"/>
                <w:szCs w:val="20"/>
              </w:rPr>
              <w:t>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4" w:line="212" w:lineRule="auto"/>
              <w:ind w:left="564"/>
              <w:rPr>
                <w:rFonts w:ascii="宋体" w:hAnsi="宋体" w:eastAsia="宋体" w:cs="宋体"/>
                <w:sz w:val="20"/>
                <w:szCs w:val="20"/>
              </w:rPr>
            </w:pPr>
            <w:r>
              <w:rPr>
                <w:rFonts w:ascii="宋体" w:hAnsi="宋体" w:eastAsia="宋体" w:cs="宋体"/>
                <w:spacing w:val="8"/>
                <w:sz w:val="20"/>
                <w:szCs w:val="20"/>
              </w:rPr>
              <w:t>桥涵工程</w:t>
            </w:r>
          </w:p>
        </w:tc>
        <w:tc>
          <w:tcPr>
            <w:tcW w:w="1023" w:type="dxa"/>
            <w:vAlign w:val="top"/>
          </w:tcPr>
          <w:p>
            <w:pPr>
              <w:spacing w:before="116" w:line="219" w:lineRule="auto"/>
              <w:ind w:left="346"/>
              <w:rPr>
                <w:rFonts w:ascii="宋体" w:hAnsi="宋体" w:eastAsia="宋体" w:cs="宋体"/>
                <w:sz w:val="20"/>
                <w:szCs w:val="20"/>
              </w:rPr>
            </w:pPr>
            <w:r>
              <w:rPr>
                <w:rFonts w:ascii="宋体" w:hAnsi="宋体" w:eastAsia="宋体" w:cs="宋体"/>
                <w:spacing w:val="-15"/>
                <w:sz w:val="20"/>
                <w:szCs w:val="20"/>
              </w:rPr>
              <w:t>18.4</w:t>
            </w:r>
          </w:p>
        </w:tc>
        <w:tc>
          <w:tcPr>
            <w:tcW w:w="1023" w:type="dxa"/>
            <w:vAlign w:val="top"/>
          </w:tcPr>
          <w:p>
            <w:pPr>
              <w:spacing w:before="116" w:line="219" w:lineRule="auto"/>
              <w:ind w:left="348"/>
              <w:rPr>
                <w:rFonts w:ascii="宋体" w:hAnsi="宋体" w:eastAsia="宋体" w:cs="宋体"/>
                <w:sz w:val="20"/>
                <w:szCs w:val="20"/>
              </w:rPr>
            </w:pPr>
            <w:r>
              <w:rPr>
                <w:rFonts w:ascii="宋体" w:hAnsi="宋体" w:eastAsia="宋体" w:cs="宋体"/>
                <w:spacing w:val="-15"/>
                <w:sz w:val="20"/>
                <w:szCs w:val="20"/>
              </w:rPr>
              <w:t>17.5</w:t>
            </w:r>
          </w:p>
        </w:tc>
        <w:tc>
          <w:tcPr>
            <w:tcW w:w="1027" w:type="dxa"/>
            <w:vAlign w:val="top"/>
          </w:tcPr>
          <w:p>
            <w:pPr>
              <w:spacing w:before="116" w:line="219" w:lineRule="auto"/>
              <w:ind w:left="352"/>
              <w:rPr>
                <w:rFonts w:ascii="宋体" w:hAnsi="宋体" w:eastAsia="宋体" w:cs="宋体"/>
                <w:sz w:val="20"/>
                <w:szCs w:val="20"/>
              </w:rPr>
            </w:pPr>
            <w:r>
              <w:rPr>
                <w:rFonts w:ascii="宋体" w:hAnsi="宋体" w:eastAsia="宋体" w:cs="宋体"/>
                <w:spacing w:val="-15"/>
                <w:sz w:val="20"/>
                <w:szCs w:val="20"/>
              </w:rPr>
              <w:t>16.8</w:t>
            </w:r>
          </w:p>
        </w:tc>
        <w:tc>
          <w:tcPr>
            <w:tcW w:w="1023" w:type="dxa"/>
            <w:vAlign w:val="top"/>
          </w:tcPr>
          <w:p>
            <w:pPr>
              <w:spacing w:before="116" w:line="219" w:lineRule="auto"/>
              <w:ind w:left="352"/>
              <w:rPr>
                <w:rFonts w:ascii="宋体" w:hAnsi="宋体" w:eastAsia="宋体" w:cs="宋体"/>
                <w:sz w:val="20"/>
                <w:szCs w:val="20"/>
              </w:rPr>
            </w:pPr>
            <w:r>
              <w:rPr>
                <w:rFonts w:ascii="宋体" w:hAnsi="宋体" w:eastAsia="宋体" w:cs="宋体"/>
                <w:spacing w:val="-15"/>
                <w:sz w:val="20"/>
                <w:szCs w:val="20"/>
              </w:rPr>
              <w:t>12.6</w:t>
            </w:r>
          </w:p>
        </w:tc>
        <w:tc>
          <w:tcPr>
            <w:tcW w:w="1024" w:type="dxa"/>
            <w:vAlign w:val="top"/>
          </w:tcPr>
          <w:p>
            <w:pPr>
              <w:spacing w:before="116" w:line="219" w:lineRule="auto"/>
              <w:ind w:left="388"/>
              <w:rPr>
                <w:rFonts w:ascii="宋体" w:hAnsi="宋体" w:eastAsia="宋体" w:cs="宋体"/>
                <w:sz w:val="20"/>
                <w:szCs w:val="20"/>
              </w:rPr>
            </w:pPr>
            <w:r>
              <w:rPr>
                <w:rFonts w:ascii="宋体" w:hAnsi="宋体" w:eastAsia="宋体" w:cs="宋体"/>
                <w:spacing w:val="-16"/>
                <w:sz w:val="20"/>
                <w:szCs w:val="20"/>
              </w:rPr>
              <w:t>7.2</w:t>
            </w:r>
          </w:p>
        </w:tc>
        <w:tc>
          <w:tcPr>
            <w:tcW w:w="1037" w:type="dxa"/>
            <w:tcBorders>
              <w:right w:val="single" w:color="000000" w:sz="6" w:space="0"/>
            </w:tcBorders>
            <w:vAlign w:val="top"/>
          </w:tcPr>
          <w:p>
            <w:pPr>
              <w:spacing w:before="116" w:line="219" w:lineRule="auto"/>
              <w:ind w:left="393"/>
              <w:rPr>
                <w:rFonts w:ascii="宋体" w:hAnsi="宋体" w:eastAsia="宋体" w:cs="宋体"/>
                <w:sz w:val="20"/>
                <w:szCs w:val="20"/>
              </w:rPr>
            </w:pPr>
            <w:r>
              <w:rPr>
                <w:rFonts w:ascii="宋体" w:hAnsi="宋体" w:eastAsia="宋体" w:cs="宋体"/>
                <w:spacing w:val="-17"/>
                <w:sz w:val="20"/>
                <w:szCs w:val="20"/>
              </w:rPr>
              <w:t>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2" w:line="215" w:lineRule="auto"/>
              <w:ind w:left="574"/>
              <w:rPr>
                <w:rFonts w:ascii="宋体" w:hAnsi="宋体" w:eastAsia="宋体" w:cs="宋体"/>
                <w:sz w:val="20"/>
                <w:szCs w:val="20"/>
              </w:rPr>
            </w:pPr>
            <w:r>
              <w:rPr>
                <w:rFonts w:ascii="宋体" w:hAnsi="宋体" w:eastAsia="宋体" w:cs="宋体"/>
                <w:spacing w:val="5"/>
                <w:sz w:val="20"/>
                <w:szCs w:val="20"/>
              </w:rPr>
              <w:t>隧道工程</w:t>
            </w:r>
          </w:p>
        </w:tc>
        <w:tc>
          <w:tcPr>
            <w:tcW w:w="1023" w:type="dxa"/>
            <w:vAlign w:val="top"/>
          </w:tcPr>
          <w:p>
            <w:pPr>
              <w:spacing w:before="117" w:line="219" w:lineRule="auto"/>
              <w:ind w:left="346"/>
              <w:rPr>
                <w:rFonts w:ascii="宋体" w:hAnsi="宋体" w:eastAsia="宋体" w:cs="宋体"/>
                <w:sz w:val="20"/>
                <w:szCs w:val="20"/>
              </w:rPr>
            </w:pPr>
            <w:r>
              <w:rPr>
                <w:rFonts w:ascii="宋体" w:hAnsi="宋体" w:eastAsia="宋体" w:cs="宋体"/>
                <w:spacing w:val="-15"/>
                <w:sz w:val="20"/>
                <w:szCs w:val="20"/>
              </w:rPr>
              <w:t>14.1</w:t>
            </w:r>
          </w:p>
        </w:tc>
        <w:tc>
          <w:tcPr>
            <w:tcW w:w="1023" w:type="dxa"/>
            <w:vAlign w:val="top"/>
          </w:tcPr>
          <w:p>
            <w:pPr>
              <w:spacing w:before="117" w:line="219" w:lineRule="auto"/>
              <w:ind w:left="348"/>
              <w:rPr>
                <w:rFonts w:ascii="宋体" w:hAnsi="宋体" w:eastAsia="宋体" w:cs="宋体"/>
                <w:sz w:val="20"/>
                <w:szCs w:val="20"/>
              </w:rPr>
            </w:pPr>
            <w:r>
              <w:rPr>
                <w:rFonts w:ascii="宋体" w:hAnsi="宋体" w:eastAsia="宋体" w:cs="宋体"/>
                <w:spacing w:val="-15"/>
                <w:sz w:val="20"/>
                <w:szCs w:val="20"/>
              </w:rPr>
              <w:t>12.8</w:t>
            </w:r>
          </w:p>
        </w:tc>
        <w:tc>
          <w:tcPr>
            <w:tcW w:w="1027" w:type="dxa"/>
            <w:vAlign w:val="top"/>
          </w:tcPr>
          <w:p>
            <w:pPr>
              <w:spacing w:before="117" w:line="219" w:lineRule="auto"/>
              <w:ind w:left="352"/>
              <w:rPr>
                <w:rFonts w:ascii="宋体" w:hAnsi="宋体" w:eastAsia="宋体" w:cs="宋体"/>
                <w:sz w:val="20"/>
                <w:szCs w:val="20"/>
              </w:rPr>
            </w:pPr>
            <w:r>
              <w:rPr>
                <w:rFonts w:ascii="宋体" w:hAnsi="宋体" w:eastAsia="宋体" w:cs="宋体"/>
                <w:spacing w:val="-15"/>
                <w:sz w:val="20"/>
                <w:szCs w:val="20"/>
              </w:rPr>
              <w:t>11.4</w:t>
            </w:r>
          </w:p>
        </w:tc>
        <w:tc>
          <w:tcPr>
            <w:tcW w:w="1023" w:type="dxa"/>
            <w:vAlign w:val="top"/>
          </w:tcPr>
          <w:p>
            <w:pPr>
              <w:spacing w:before="117" w:line="219" w:lineRule="auto"/>
              <w:ind w:left="352"/>
              <w:rPr>
                <w:rFonts w:ascii="宋体" w:hAnsi="宋体" w:eastAsia="宋体" w:cs="宋体"/>
                <w:sz w:val="20"/>
                <w:szCs w:val="20"/>
              </w:rPr>
            </w:pPr>
            <w:r>
              <w:rPr>
                <w:rFonts w:ascii="宋体" w:hAnsi="宋体" w:eastAsia="宋体" w:cs="宋体"/>
                <w:spacing w:val="-15"/>
                <w:sz w:val="20"/>
                <w:szCs w:val="20"/>
              </w:rPr>
              <w:t>10.1</w:t>
            </w:r>
          </w:p>
        </w:tc>
        <w:tc>
          <w:tcPr>
            <w:tcW w:w="1024" w:type="dxa"/>
            <w:vAlign w:val="top"/>
          </w:tcPr>
          <w:p>
            <w:pPr>
              <w:spacing w:before="117" w:line="219" w:lineRule="auto"/>
              <w:ind w:left="390"/>
              <w:rPr>
                <w:rFonts w:ascii="宋体" w:hAnsi="宋体" w:eastAsia="宋体" w:cs="宋体"/>
                <w:sz w:val="20"/>
                <w:szCs w:val="20"/>
              </w:rPr>
            </w:pPr>
            <w:r>
              <w:rPr>
                <w:rFonts w:ascii="宋体" w:hAnsi="宋体" w:eastAsia="宋体" w:cs="宋体"/>
                <w:spacing w:val="-17"/>
                <w:sz w:val="20"/>
                <w:szCs w:val="20"/>
              </w:rPr>
              <w:t>6.7</w:t>
            </w:r>
          </w:p>
        </w:tc>
        <w:tc>
          <w:tcPr>
            <w:tcW w:w="1037" w:type="dxa"/>
            <w:tcBorders>
              <w:right w:val="single" w:color="000000" w:sz="6" w:space="0"/>
            </w:tcBorders>
            <w:vAlign w:val="top"/>
          </w:tcPr>
          <w:p>
            <w:pPr>
              <w:spacing w:before="117" w:line="219" w:lineRule="auto"/>
              <w:ind w:left="393"/>
              <w:rPr>
                <w:rFonts w:ascii="宋体" w:hAnsi="宋体" w:eastAsia="宋体" w:cs="宋体"/>
                <w:sz w:val="20"/>
                <w:szCs w:val="20"/>
              </w:rPr>
            </w:pPr>
            <w:r>
              <w:rPr>
                <w:rFonts w:ascii="宋体" w:hAnsi="宋体" w:eastAsia="宋体" w:cs="宋体"/>
                <w:spacing w:val="-17"/>
                <w:sz w:val="20"/>
                <w:szCs w:val="20"/>
              </w:rPr>
              <w:t>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5" w:line="211" w:lineRule="auto"/>
              <w:ind w:left="570"/>
              <w:rPr>
                <w:rFonts w:ascii="宋体" w:hAnsi="宋体" w:eastAsia="宋体" w:cs="宋体"/>
                <w:sz w:val="20"/>
                <w:szCs w:val="20"/>
              </w:rPr>
            </w:pPr>
            <w:r>
              <w:rPr>
                <w:rFonts w:ascii="宋体" w:hAnsi="宋体" w:eastAsia="宋体" w:cs="宋体"/>
                <w:spacing w:val="6"/>
                <w:sz w:val="20"/>
                <w:szCs w:val="20"/>
              </w:rPr>
              <w:t>给水工程</w:t>
            </w:r>
          </w:p>
        </w:tc>
        <w:tc>
          <w:tcPr>
            <w:tcW w:w="1023" w:type="dxa"/>
            <w:vAlign w:val="top"/>
          </w:tcPr>
          <w:p>
            <w:pPr>
              <w:spacing w:before="120" w:line="216" w:lineRule="auto"/>
              <w:ind w:left="332"/>
              <w:rPr>
                <w:rFonts w:ascii="宋体" w:hAnsi="宋体" w:eastAsia="宋体" w:cs="宋体"/>
                <w:sz w:val="20"/>
                <w:szCs w:val="20"/>
              </w:rPr>
            </w:pPr>
            <w:r>
              <w:rPr>
                <w:rFonts w:ascii="宋体" w:hAnsi="宋体" w:eastAsia="宋体" w:cs="宋体"/>
                <w:spacing w:val="-12"/>
                <w:sz w:val="20"/>
                <w:szCs w:val="20"/>
              </w:rPr>
              <w:t>36.3</w:t>
            </w:r>
          </w:p>
        </w:tc>
        <w:tc>
          <w:tcPr>
            <w:tcW w:w="1023" w:type="dxa"/>
            <w:vAlign w:val="top"/>
          </w:tcPr>
          <w:p>
            <w:pPr>
              <w:spacing w:before="120" w:line="216" w:lineRule="auto"/>
              <w:ind w:left="334"/>
              <w:rPr>
                <w:rFonts w:ascii="宋体" w:hAnsi="宋体" w:eastAsia="宋体" w:cs="宋体"/>
                <w:sz w:val="20"/>
                <w:szCs w:val="20"/>
              </w:rPr>
            </w:pPr>
            <w:r>
              <w:rPr>
                <w:rFonts w:ascii="宋体" w:hAnsi="宋体" w:eastAsia="宋体" w:cs="宋体"/>
                <w:spacing w:val="-12"/>
                <w:sz w:val="20"/>
                <w:szCs w:val="20"/>
              </w:rPr>
              <w:t>32.7</w:t>
            </w:r>
          </w:p>
        </w:tc>
        <w:tc>
          <w:tcPr>
            <w:tcW w:w="1027" w:type="dxa"/>
            <w:vAlign w:val="top"/>
          </w:tcPr>
          <w:p>
            <w:pPr>
              <w:spacing w:before="120" w:line="216" w:lineRule="auto"/>
              <w:ind w:left="352"/>
              <w:rPr>
                <w:rFonts w:ascii="宋体" w:hAnsi="宋体" w:eastAsia="宋体" w:cs="宋体"/>
                <w:sz w:val="20"/>
                <w:szCs w:val="20"/>
              </w:rPr>
            </w:pPr>
            <w:r>
              <w:rPr>
                <w:rFonts w:ascii="宋体" w:hAnsi="宋体" w:eastAsia="宋体" w:cs="宋体"/>
                <w:spacing w:val="-15"/>
                <w:sz w:val="20"/>
                <w:szCs w:val="20"/>
              </w:rPr>
              <w:t>19.6</w:t>
            </w:r>
          </w:p>
        </w:tc>
        <w:tc>
          <w:tcPr>
            <w:tcW w:w="1023" w:type="dxa"/>
            <w:vAlign w:val="top"/>
          </w:tcPr>
          <w:p>
            <w:pPr>
              <w:spacing w:before="120" w:line="216" w:lineRule="auto"/>
              <w:ind w:left="335"/>
              <w:rPr>
                <w:rFonts w:ascii="宋体" w:hAnsi="宋体" w:eastAsia="宋体" w:cs="宋体"/>
                <w:sz w:val="20"/>
                <w:szCs w:val="20"/>
              </w:rPr>
            </w:pPr>
            <w:r>
              <w:rPr>
                <w:rFonts w:ascii="宋体" w:hAnsi="宋体" w:eastAsia="宋体" w:cs="宋体"/>
                <w:spacing w:val="-11"/>
                <w:sz w:val="20"/>
                <w:szCs w:val="20"/>
              </w:rPr>
              <w:t>23.9</w:t>
            </w:r>
          </w:p>
        </w:tc>
        <w:tc>
          <w:tcPr>
            <w:tcW w:w="1024" w:type="dxa"/>
            <w:vAlign w:val="top"/>
          </w:tcPr>
          <w:p>
            <w:pPr>
              <w:spacing w:before="120" w:line="216" w:lineRule="auto"/>
              <w:ind w:left="337"/>
              <w:rPr>
                <w:rFonts w:ascii="宋体" w:hAnsi="宋体" w:eastAsia="宋体" w:cs="宋体"/>
                <w:sz w:val="20"/>
                <w:szCs w:val="20"/>
              </w:rPr>
            </w:pPr>
            <w:r>
              <w:rPr>
                <w:rFonts w:ascii="宋体" w:hAnsi="宋体" w:eastAsia="宋体" w:cs="宋体"/>
                <w:spacing w:val="-11"/>
                <w:sz w:val="20"/>
                <w:szCs w:val="20"/>
              </w:rPr>
              <w:t>21.5</w:t>
            </w:r>
          </w:p>
        </w:tc>
        <w:tc>
          <w:tcPr>
            <w:tcW w:w="1037" w:type="dxa"/>
            <w:tcBorders>
              <w:right w:val="single" w:color="000000" w:sz="6" w:space="0"/>
            </w:tcBorders>
            <w:vAlign w:val="top"/>
          </w:tcPr>
          <w:p>
            <w:pPr>
              <w:spacing w:before="120" w:line="216" w:lineRule="auto"/>
              <w:ind w:left="357"/>
              <w:rPr>
                <w:rFonts w:ascii="宋体" w:hAnsi="宋体" w:eastAsia="宋体" w:cs="宋体"/>
                <w:sz w:val="20"/>
                <w:szCs w:val="20"/>
              </w:rPr>
            </w:pPr>
            <w:r>
              <w:rPr>
                <w:rFonts w:ascii="宋体" w:hAnsi="宋体" w:eastAsia="宋体" w:cs="宋体"/>
                <w:spacing w:val="-15"/>
                <w:sz w:val="20"/>
                <w:szCs w:val="20"/>
              </w:rPr>
              <w:t>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12" w:line="223" w:lineRule="auto"/>
              <w:ind w:left="563"/>
              <w:rPr>
                <w:rFonts w:ascii="宋体" w:hAnsi="宋体" w:eastAsia="宋体" w:cs="宋体"/>
                <w:sz w:val="20"/>
                <w:szCs w:val="20"/>
              </w:rPr>
            </w:pPr>
            <w:r>
              <w:rPr>
                <w:rFonts w:ascii="宋体" w:hAnsi="宋体" w:eastAsia="宋体" w:cs="宋体"/>
                <w:spacing w:val="8"/>
                <w:sz w:val="20"/>
                <w:szCs w:val="20"/>
              </w:rPr>
              <w:t>排水工程</w:t>
            </w:r>
          </w:p>
        </w:tc>
        <w:tc>
          <w:tcPr>
            <w:tcW w:w="1023" w:type="dxa"/>
            <w:vAlign w:val="top"/>
          </w:tcPr>
          <w:p>
            <w:pPr>
              <w:spacing w:before="120" w:line="216" w:lineRule="auto"/>
              <w:ind w:left="346"/>
              <w:rPr>
                <w:rFonts w:ascii="宋体" w:hAnsi="宋体" w:eastAsia="宋体" w:cs="宋体"/>
                <w:sz w:val="20"/>
                <w:szCs w:val="20"/>
              </w:rPr>
            </w:pPr>
            <w:r>
              <w:rPr>
                <w:rFonts w:ascii="宋体" w:hAnsi="宋体" w:eastAsia="宋体" w:cs="宋体"/>
                <w:spacing w:val="-15"/>
                <w:sz w:val="20"/>
                <w:szCs w:val="20"/>
              </w:rPr>
              <w:t>18.6</w:t>
            </w:r>
          </w:p>
        </w:tc>
        <w:tc>
          <w:tcPr>
            <w:tcW w:w="1023" w:type="dxa"/>
            <w:vAlign w:val="top"/>
          </w:tcPr>
          <w:p>
            <w:pPr>
              <w:spacing w:before="120" w:line="216" w:lineRule="auto"/>
              <w:ind w:left="348"/>
              <w:rPr>
                <w:rFonts w:ascii="宋体" w:hAnsi="宋体" w:eastAsia="宋体" w:cs="宋体"/>
                <w:sz w:val="20"/>
                <w:szCs w:val="20"/>
              </w:rPr>
            </w:pPr>
            <w:r>
              <w:rPr>
                <w:rFonts w:ascii="宋体" w:hAnsi="宋体" w:eastAsia="宋体" w:cs="宋体"/>
                <w:spacing w:val="-15"/>
                <w:sz w:val="20"/>
                <w:szCs w:val="20"/>
              </w:rPr>
              <w:t>16.0</w:t>
            </w:r>
          </w:p>
        </w:tc>
        <w:tc>
          <w:tcPr>
            <w:tcW w:w="1027" w:type="dxa"/>
            <w:vAlign w:val="top"/>
          </w:tcPr>
          <w:p>
            <w:pPr>
              <w:spacing w:before="120" w:line="216" w:lineRule="auto"/>
              <w:ind w:left="352"/>
              <w:rPr>
                <w:rFonts w:ascii="宋体" w:hAnsi="宋体" w:eastAsia="宋体" w:cs="宋体"/>
                <w:sz w:val="20"/>
                <w:szCs w:val="20"/>
              </w:rPr>
            </w:pPr>
            <w:r>
              <w:rPr>
                <w:rFonts w:ascii="宋体" w:hAnsi="宋体" w:eastAsia="宋体" w:cs="宋体"/>
                <w:spacing w:val="-15"/>
                <w:sz w:val="20"/>
                <w:szCs w:val="20"/>
              </w:rPr>
              <w:t>14.7</w:t>
            </w:r>
          </w:p>
        </w:tc>
        <w:tc>
          <w:tcPr>
            <w:tcW w:w="1023" w:type="dxa"/>
            <w:vAlign w:val="top"/>
          </w:tcPr>
          <w:p>
            <w:pPr>
              <w:spacing w:before="120" w:line="216" w:lineRule="auto"/>
              <w:ind w:left="352"/>
              <w:rPr>
                <w:rFonts w:ascii="宋体" w:hAnsi="宋体" w:eastAsia="宋体" w:cs="宋体"/>
                <w:sz w:val="20"/>
                <w:szCs w:val="20"/>
              </w:rPr>
            </w:pPr>
            <w:r>
              <w:rPr>
                <w:rFonts w:ascii="宋体" w:hAnsi="宋体" w:eastAsia="宋体" w:cs="宋体"/>
                <w:spacing w:val="-15"/>
                <w:sz w:val="20"/>
                <w:szCs w:val="20"/>
              </w:rPr>
              <w:t>10.5</w:t>
            </w:r>
          </w:p>
        </w:tc>
        <w:tc>
          <w:tcPr>
            <w:tcW w:w="1024" w:type="dxa"/>
            <w:vAlign w:val="top"/>
          </w:tcPr>
          <w:p>
            <w:pPr>
              <w:spacing w:before="120" w:line="216" w:lineRule="auto"/>
              <w:ind w:left="390"/>
              <w:rPr>
                <w:rFonts w:ascii="宋体" w:hAnsi="宋体" w:eastAsia="宋体" w:cs="宋体"/>
                <w:sz w:val="20"/>
                <w:szCs w:val="20"/>
              </w:rPr>
            </w:pPr>
            <w:r>
              <w:rPr>
                <w:rFonts w:ascii="宋体" w:hAnsi="宋体" w:eastAsia="宋体" w:cs="宋体"/>
                <w:spacing w:val="-17"/>
                <w:sz w:val="20"/>
                <w:szCs w:val="20"/>
              </w:rPr>
              <w:t>6.0</w:t>
            </w:r>
          </w:p>
        </w:tc>
        <w:tc>
          <w:tcPr>
            <w:tcW w:w="1037" w:type="dxa"/>
            <w:tcBorders>
              <w:right w:val="single" w:color="000000" w:sz="6" w:space="0"/>
            </w:tcBorders>
            <w:vAlign w:val="top"/>
          </w:tcPr>
          <w:p>
            <w:pPr>
              <w:spacing w:before="120" w:line="216" w:lineRule="auto"/>
              <w:ind w:left="390"/>
              <w:rPr>
                <w:rFonts w:ascii="宋体" w:hAnsi="宋体" w:eastAsia="宋体" w:cs="宋体"/>
                <w:sz w:val="20"/>
                <w:szCs w:val="20"/>
              </w:rPr>
            </w:pPr>
            <w:r>
              <w:rPr>
                <w:rFonts w:ascii="宋体" w:hAnsi="宋体" w:eastAsia="宋体" w:cs="宋体"/>
                <w:spacing w:val="-16"/>
                <w:sz w:val="20"/>
                <w:szCs w:val="20"/>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6" w:line="210" w:lineRule="auto"/>
              <w:ind w:left="561"/>
              <w:rPr>
                <w:rFonts w:ascii="宋体" w:hAnsi="宋体" w:eastAsia="宋体" w:cs="宋体"/>
                <w:sz w:val="20"/>
                <w:szCs w:val="20"/>
              </w:rPr>
            </w:pPr>
            <w:r>
              <w:rPr>
                <w:rFonts w:ascii="宋体" w:hAnsi="宋体" w:eastAsia="宋体" w:cs="宋体"/>
                <w:spacing w:val="9"/>
                <w:sz w:val="20"/>
                <w:szCs w:val="20"/>
              </w:rPr>
              <w:t>燃气工程</w:t>
            </w:r>
          </w:p>
        </w:tc>
        <w:tc>
          <w:tcPr>
            <w:tcW w:w="1023" w:type="dxa"/>
            <w:vAlign w:val="top"/>
          </w:tcPr>
          <w:p>
            <w:pPr>
              <w:spacing w:before="121" w:line="215" w:lineRule="auto"/>
              <w:ind w:left="329"/>
              <w:rPr>
                <w:rFonts w:ascii="宋体" w:hAnsi="宋体" w:eastAsia="宋体" w:cs="宋体"/>
                <w:sz w:val="20"/>
                <w:szCs w:val="20"/>
              </w:rPr>
            </w:pPr>
            <w:r>
              <w:rPr>
                <w:rFonts w:ascii="宋体" w:hAnsi="宋体" w:eastAsia="宋体" w:cs="宋体"/>
                <w:spacing w:val="-11"/>
                <w:sz w:val="20"/>
                <w:szCs w:val="20"/>
              </w:rPr>
              <w:t>25.0</w:t>
            </w:r>
          </w:p>
        </w:tc>
        <w:tc>
          <w:tcPr>
            <w:tcW w:w="1023" w:type="dxa"/>
            <w:vAlign w:val="top"/>
          </w:tcPr>
          <w:p>
            <w:pPr>
              <w:spacing w:before="121" w:line="215" w:lineRule="auto"/>
              <w:ind w:left="331"/>
              <w:rPr>
                <w:rFonts w:ascii="宋体" w:hAnsi="宋体" w:eastAsia="宋体" w:cs="宋体"/>
                <w:sz w:val="20"/>
                <w:szCs w:val="20"/>
              </w:rPr>
            </w:pPr>
            <w:r>
              <w:rPr>
                <w:rFonts w:ascii="宋体" w:hAnsi="宋体" w:eastAsia="宋体" w:cs="宋体"/>
                <w:spacing w:val="-11"/>
                <w:sz w:val="20"/>
                <w:szCs w:val="20"/>
              </w:rPr>
              <w:t>22.1</w:t>
            </w:r>
          </w:p>
        </w:tc>
        <w:tc>
          <w:tcPr>
            <w:tcW w:w="1027" w:type="dxa"/>
            <w:vAlign w:val="top"/>
          </w:tcPr>
          <w:p>
            <w:pPr>
              <w:spacing w:before="121" w:line="215" w:lineRule="auto"/>
              <w:ind w:left="352"/>
              <w:rPr>
                <w:rFonts w:ascii="宋体" w:hAnsi="宋体" w:eastAsia="宋体" w:cs="宋体"/>
                <w:sz w:val="20"/>
                <w:szCs w:val="20"/>
              </w:rPr>
            </w:pPr>
            <w:r>
              <w:rPr>
                <w:rFonts w:ascii="宋体" w:hAnsi="宋体" w:eastAsia="宋体" w:cs="宋体"/>
                <w:spacing w:val="-15"/>
                <w:sz w:val="20"/>
                <w:szCs w:val="20"/>
              </w:rPr>
              <w:t>19.2</w:t>
            </w:r>
          </w:p>
        </w:tc>
        <w:tc>
          <w:tcPr>
            <w:tcW w:w="1023" w:type="dxa"/>
            <w:vAlign w:val="top"/>
          </w:tcPr>
          <w:p>
            <w:pPr>
              <w:spacing w:before="121" w:line="215" w:lineRule="auto"/>
              <w:ind w:left="335"/>
              <w:rPr>
                <w:rFonts w:ascii="宋体" w:hAnsi="宋体" w:eastAsia="宋体" w:cs="宋体"/>
                <w:sz w:val="20"/>
                <w:szCs w:val="20"/>
              </w:rPr>
            </w:pPr>
            <w:r>
              <w:rPr>
                <w:rFonts w:ascii="宋体" w:hAnsi="宋体" w:eastAsia="宋体" w:cs="宋体"/>
                <w:spacing w:val="-11"/>
                <w:sz w:val="20"/>
                <w:szCs w:val="20"/>
              </w:rPr>
              <w:t>21.6</w:t>
            </w:r>
          </w:p>
        </w:tc>
        <w:tc>
          <w:tcPr>
            <w:tcW w:w="1024" w:type="dxa"/>
            <w:vAlign w:val="top"/>
          </w:tcPr>
          <w:p>
            <w:pPr>
              <w:spacing w:before="121" w:line="215" w:lineRule="auto"/>
              <w:ind w:left="354"/>
              <w:rPr>
                <w:rFonts w:ascii="宋体" w:hAnsi="宋体" w:eastAsia="宋体" w:cs="宋体"/>
                <w:sz w:val="20"/>
                <w:szCs w:val="20"/>
              </w:rPr>
            </w:pPr>
            <w:r>
              <w:rPr>
                <w:rFonts w:ascii="宋体" w:hAnsi="宋体" w:eastAsia="宋体" w:cs="宋体"/>
                <w:spacing w:val="-15"/>
                <w:sz w:val="20"/>
                <w:szCs w:val="20"/>
              </w:rPr>
              <w:t>15.5</w:t>
            </w:r>
          </w:p>
        </w:tc>
        <w:tc>
          <w:tcPr>
            <w:tcW w:w="1037" w:type="dxa"/>
            <w:tcBorders>
              <w:right w:val="single" w:color="000000" w:sz="6" w:space="0"/>
            </w:tcBorders>
            <w:vAlign w:val="top"/>
          </w:tcPr>
          <w:p>
            <w:pPr>
              <w:spacing w:before="121" w:line="215" w:lineRule="auto"/>
              <w:ind w:left="393"/>
              <w:rPr>
                <w:rFonts w:ascii="宋体" w:hAnsi="宋体" w:eastAsia="宋体" w:cs="宋体"/>
                <w:sz w:val="20"/>
                <w:szCs w:val="20"/>
              </w:rPr>
            </w:pPr>
            <w:r>
              <w:rPr>
                <w:rFonts w:ascii="宋体" w:hAnsi="宋体" w:eastAsia="宋体" w:cs="宋体"/>
                <w:spacing w:val="-17"/>
                <w:sz w:val="20"/>
                <w:szCs w:val="20"/>
              </w:rPr>
              <w:t>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1" w:line="215" w:lineRule="auto"/>
              <w:ind w:left="562"/>
              <w:rPr>
                <w:rFonts w:ascii="宋体" w:hAnsi="宋体" w:eastAsia="宋体" w:cs="宋体"/>
                <w:sz w:val="20"/>
                <w:szCs w:val="20"/>
              </w:rPr>
            </w:pPr>
            <w:r>
              <w:rPr>
                <w:rFonts w:ascii="宋体" w:hAnsi="宋体" w:eastAsia="宋体" w:cs="宋体"/>
                <w:spacing w:val="8"/>
                <w:sz w:val="20"/>
                <w:szCs w:val="20"/>
              </w:rPr>
              <w:t>供热工程</w:t>
            </w:r>
          </w:p>
        </w:tc>
        <w:tc>
          <w:tcPr>
            <w:tcW w:w="1023" w:type="dxa"/>
            <w:vAlign w:val="top"/>
          </w:tcPr>
          <w:p>
            <w:pPr>
              <w:spacing w:before="121" w:line="215" w:lineRule="auto"/>
              <w:ind w:left="329"/>
              <w:rPr>
                <w:rFonts w:ascii="宋体" w:hAnsi="宋体" w:eastAsia="宋体" w:cs="宋体"/>
                <w:sz w:val="20"/>
                <w:szCs w:val="20"/>
              </w:rPr>
            </w:pPr>
            <w:r>
              <w:rPr>
                <w:rFonts w:ascii="宋体" w:hAnsi="宋体" w:eastAsia="宋体" w:cs="宋体"/>
                <w:spacing w:val="-11"/>
                <w:sz w:val="20"/>
                <w:szCs w:val="20"/>
              </w:rPr>
              <w:t>25.6</w:t>
            </w:r>
          </w:p>
        </w:tc>
        <w:tc>
          <w:tcPr>
            <w:tcW w:w="1023" w:type="dxa"/>
            <w:vAlign w:val="top"/>
          </w:tcPr>
          <w:p>
            <w:pPr>
              <w:spacing w:before="121" w:line="215" w:lineRule="auto"/>
              <w:ind w:left="331"/>
              <w:rPr>
                <w:rFonts w:ascii="宋体" w:hAnsi="宋体" w:eastAsia="宋体" w:cs="宋体"/>
                <w:sz w:val="20"/>
                <w:szCs w:val="20"/>
              </w:rPr>
            </w:pPr>
            <w:r>
              <w:rPr>
                <w:rFonts w:ascii="宋体" w:hAnsi="宋体" w:eastAsia="宋体" w:cs="宋体"/>
                <w:spacing w:val="-11"/>
                <w:sz w:val="20"/>
                <w:szCs w:val="20"/>
              </w:rPr>
              <w:t>20.7</w:t>
            </w:r>
          </w:p>
        </w:tc>
        <w:tc>
          <w:tcPr>
            <w:tcW w:w="1027" w:type="dxa"/>
            <w:vAlign w:val="top"/>
          </w:tcPr>
          <w:p>
            <w:pPr>
              <w:spacing w:before="121" w:line="215" w:lineRule="auto"/>
              <w:ind w:left="352"/>
              <w:rPr>
                <w:rFonts w:ascii="宋体" w:hAnsi="宋体" w:eastAsia="宋体" w:cs="宋体"/>
                <w:sz w:val="20"/>
                <w:szCs w:val="20"/>
              </w:rPr>
            </w:pPr>
            <w:r>
              <w:rPr>
                <w:rFonts w:ascii="宋体" w:hAnsi="宋体" w:eastAsia="宋体" w:cs="宋体"/>
                <w:spacing w:val="-15"/>
                <w:sz w:val="20"/>
                <w:szCs w:val="20"/>
              </w:rPr>
              <w:t>15.5</w:t>
            </w:r>
          </w:p>
        </w:tc>
        <w:tc>
          <w:tcPr>
            <w:tcW w:w="1023" w:type="dxa"/>
            <w:vAlign w:val="top"/>
          </w:tcPr>
          <w:p>
            <w:pPr>
              <w:spacing w:before="121" w:line="215" w:lineRule="auto"/>
              <w:ind w:left="352"/>
              <w:rPr>
                <w:rFonts w:ascii="宋体" w:hAnsi="宋体" w:eastAsia="宋体" w:cs="宋体"/>
                <w:sz w:val="20"/>
                <w:szCs w:val="20"/>
              </w:rPr>
            </w:pPr>
            <w:r>
              <w:rPr>
                <w:rFonts w:ascii="宋体" w:hAnsi="宋体" w:eastAsia="宋体" w:cs="宋体"/>
                <w:spacing w:val="-15"/>
                <w:sz w:val="20"/>
                <w:szCs w:val="20"/>
              </w:rPr>
              <w:t>19.7</w:t>
            </w:r>
          </w:p>
        </w:tc>
        <w:tc>
          <w:tcPr>
            <w:tcW w:w="1024" w:type="dxa"/>
            <w:vAlign w:val="top"/>
          </w:tcPr>
          <w:p>
            <w:pPr>
              <w:spacing w:before="121" w:line="215" w:lineRule="auto"/>
              <w:ind w:left="354"/>
              <w:rPr>
                <w:rFonts w:ascii="宋体" w:hAnsi="宋体" w:eastAsia="宋体" w:cs="宋体"/>
                <w:sz w:val="20"/>
                <w:szCs w:val="20"/>
              </w:rPr>
            </w:pPr>
            <w:r>
              <w:rPr>
                <w:rFonts w:ascii="宋体" w:hAnsi="宋体" w:eastAsia="宋体" w:cs="宋体"/>
                <w:spacing w:val="-15"/>
                <w:sz w:val="20"/>
                <w:szCs w:val="20"/>
              </w:rPr>
              <w:t>17.2</w:t>
            </w:r>
          </w:p>
        </w:tc>
        <w:tc>
          <w:tcPr>
            <w:tcW w:w="1037" w:type="dxa"/>
            <w:tcBorders>
              <w:right w:val="single" w:color="000000" w:sz="6" w:space="0"/>
            </w:tcBorders>
            <w:vAlign w:val="top"/>
          </w:tcPr>
          <w:p>
            <w:pPr>
              <w:spacing w:before="121" w:line="215" w:lineRule="auto"/>
              <w:ind w:left="357"/>
              <w:rPr>
                <w:rFonts w:ascii="宋体" w:hAnsi="宋体" w:eastAsia="宋体" w:cs="宋体"/>
                <w:sz w:val="20"/>
                <w:szCs w:val="20"/>
              </w:rPr>
            </w:pPr>
            <w:r>
              <w:rPr>
                <w:rFonts w:ascii="宋体" w:hAnsi="宋体" w:eastAsia="宋体" w:cs="宋体"/>
                <w:spacing w:val="-15"/>
                <w:sz w:val="20"/>
                <w:szCs w:val="20"/>
              </w:rPr>
              <w:t>11.1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27" w:line="210" w:lineRule="auto"/>
              <w:ind w:left="457"/>
              <w:rPr>
                <w:rFonts w:ascii="宋体" w:hAnsi="宋体" w:eastAsia="宋体" w:cs="宋体"/>
                <w:sz w:val="20"/>
                <w:szCs w:val="20"/>
              </w:rPr>
            </w:pPr>
            <w:r>
              <w:rPr>
                <w:rFonts w:ascii="宋体" w:hAnsi="宋体" w:eastAsia="宋体" w:cs="宋体"/>
                <w:spacing w:val="9"/>
                <w:sz w:val="20"/>
                <w:szCs w:val="20"/>
              </w:rPr>
              <w:t>水处理工程</w:t>
            </w:r>
          </w:p>
        </w:tc>
        <w:tc>
          <w:tcPr>
            <w:tcW w:w="1023" w:type="dxa"/>
            <w:vAlign w:val="top"/>
          </w:tcPr>
          <w:p>
            <w:pPr>
              <w:spacing w:before="122" w:line="215" w:lineRule="auto"/>
              <w:ind w:left="346"/>
              <w:rPr>
                <w:rFonts w:ascii="宋体" w:hAnsi="宋体" w:eastAsia="宋体" w:cs="宋体"/>
                <w:sz w:val="20"/>
                <w:szCs w:val="20"/>
              </w:rPr>
            </w:pPr>
            <w:r>
              <w:rPr>
                <w:rFonts w:ascii="宋体" w:hAnsi="宋体" w:eastAsia="宋体" w:cs="宋体"/>
                <w:spacing w:val="-15"/>
                <w:sz w:val="20"/>
                <w:szCs w:val="20"/>
              </w:rPr>
              <w:t>17.6</w:t>
            </w:r>
          </w:p>
        </w:tc>
        <w:tc>
          <w:tcPr>
            <w:tcW w:w="1023" w:type="dxa"/>
            <w:vAlign w:val="top"/>
          </w:tcPr>
          <w:p>
            <w:pPr>
              <w:spacing w:before="122" w:line="215" w:lineRule="auto"/>
              <w:ind w:left="348"/>
              <w:rPr>
                <w:rFonts w:ascii="宋体" w:hAnsi="宋体" w:eastAsia="宋体" w:cs="宋体"/>
                <w:sz w:val="20"/>
                <w:szCs w:val="20"/>
              </w:rPr>
            </w:pPr>
            <w:r>
              <w:rPr>
                <w:rFonts w:ascii="宋体" w:hAnsi="宋体" w:eastAsia="宋体" w:cs="宋体"/>
                <w:spacing w:val="-15"/>
                <w:sz w:val="20"/>
                <w:szCs w:val="20"/>
              </w:rPr>
              <w:t>16.5</w:t>
            </w:r>
          </w:p>
        </w:tc>
        <w:tc>
          <w:tcPr>
            <w:tcW w:w="1027" w:type="dxa"/>
            <w:vAlign w:val="top"/>
          </w:tcPr>
          <w:p>
            <w:pPr>
              <w:spacing w:before="245" w:line="110"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1023" w:type="dxa"/>
            <w:vAlign w:val="top"/>
          </w:tcPr>
          <w:p>
            <w:pPr>
              <w:spacing w:before="122" w:line="215" w:lineRule="auto"/>
              <w:ind w:left="388"/>
              <w:rPr>
                <w:rFonts w:ascii="宋体" w:hAnsi="宋体" w:eastAsia="宋体" w:cs="宋体"/>
                <w:sz w:val="20"/>
                <w:szCs w:val="20"/>
              </w:rPr>
            </w:pPr>
            <w:r>
              <w:rPr>
                <w:rFonts w:ascii="宋体" w:hAnsi="宋体" w:eastAsia="宋体" w:cs="宋体"/>
                <w:spacing w:val="-17"/>
                <w:sz w:val="20"/>
                <w:szCs w:val="20"/>
              </w:rPr>
              <w:t>9.0</w:t>
            </w:r>
          </w:p>
        </w:tc>
        <w:tc>
          <w:tcPr>
            <w:tcW w:w="1024" w:type="dxa"/>
            <w:vAlign w:val="top"/>
          </w:tcPr>
          <w:p>
            <w:pPr>
              <w:spacing w:before="122" w:line="215" w:lineRule="auto"/>
              <w:ind w:left="388"/>
              <w:rPr>
                <w:rFonts w:ascii="宋体" w:hAnsi="宋体" w:eastAsia="宋体" w:cs="宋体"/>
                <w:sz w:val="20"/>
                <w:szCs w:val="20"/>
              </w:rPr>
            </w:pPr>
            <w:r>
              <w:rPr>
                <w:rFonts w:ascii="宋体" w:hAnsi="宋体" w:eastAsia="宋体" w:cs="宋体"/>
                <w:spacing w:val="-16"/>
                <w:sz w:val="20"/>
                <w:szCs w:val="20"/>
              </w:rPr>
              <w:t>7.0</w:t>
            </w:r>
          </w:p>
        </w:tc>
        <w:tc>
          <w:tcPr>
            <w:tcW w:w="1037" w:type="dxa"/>
            <w:tcBorders>
              <w:right w:val="single" w:color="000000" w:sz="6" w:space="0"/>
            </w:tcBorders>
            <w:vAlign w:val="top"/>
          </w:tcPr>
          <w:p>
            <w:pPr>
              <w:spacing w:before="245" w:line="110" w:lineRule="exact"/>
              <w:ind w:left="468"/>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bottom w:val="nil"/>
            </w:tcBorders>
            <w:vAlign w:val="top"/>
          </w:tcPr>
          <w:p>
            <w:pPr>
              <w:pStyle w:val="6"/>
            </w:pPr>
          </w:p>
        </w:tc>
        <w:tc>
          <w:tcPr>
            <w:tcW w:w="1971" w:type="dxa"/>
            <w:vAlign w:val="top"/>
          </w:tcPr>
          <w:p>
            <w:pPr>
              <w:spacing w:before="130" w:line="207" w:lineRule="auto"/>
              <w:ind w:left="354"/>
              <w:rPr>
                <w:rFonts w:ascii="宋体" w:hAnsi="宋体" w:eastAsia="宋体" w:cs="宋体"/>
                <w:sz w:val="20"/>
                <w:szCs w:val="20"/>
              </w:rPr>
            </w:pPr>
            <w:r>
              <w:rPr>
                <w:rFonts w:ascii="宋体" w:hAnsi="宋体" w:eastAsia="宋体" w:cs="宋体"/>
                <w:spacing w:val="8"/>
                <w:sz w:val="20"/>
                <w:szCs w:val="20"/>
              </w:rPr>
              <w:t>垃圾处理工程</w:t>
            </w:r>
          </w:p>
        </w:tc>
        <w:tc>
          <w:tcPr>
            <w:tcW w:w="1023" w:type="dxa"/>
            <w:vAlign w:val="top"/>
          </w:tcPr>
          <w:p>
            <w:pPr>
              <w:spacing w:before="122" w:line="215" w:lineRule="auto"/>
              <w:ind w:left="332"/>
              <w:rPr>
                <w:rFonts w:ascii="宋体" w:hAnsi="宋体" w:eastAsia="宋体" w:cs="宋体"/>
                <w:sz w:val="20"/>
                <w:szCs w:val="20"/>
              </w:rPr>
            </w:pPr>
            <w:r>
              <w:rPr>
                <w:rFonts w:ascii="宋体" w:hAnsi="宋体" w:eastAsia="宋体" w:cs="宋体"/>
                <w:spacing w:val="-12"/>
                <w:sz w:val="20"/>
                <w:szCs w:val="20"/>
              </w:rPr>
              <w:t>37.5</w:t>
            </w:r>
          </w:p>
        </w:tc>
        <w:tc>
          <w:tcPr>
            <w:tcW w:w="1023" w:type="dxa"/>
            <w:vAlign w:val="top"/>
          </w:tcPr>
          <w:p>
            <w:pPr>
              <w:spacing w:before="122" w:line="215" w:lineRule="auto"/>
              <w:ind w:left="334"/>
              <w:rPr>
                <w:rFonts w:ascii="宋体" w:hAnsi="宋体" w:eastAsia="宋体" w:cs="宋体"/>
                <w:sz w:val="20"/>
                <w:szCs w:val="20"/>
              </w:rPr>
            </w:pPr>
            <w:r>
              <w:rPr>
                <w:rFonts w:ascii="宋体" w:hAnsi="宋体" w:eastAsia="宋体" w:cs="宋体"/>
                <w:spacing w:val="-12"/>
                <w:sz w:val="20"/>
                <w:szCs w:val="20"/>
              </w:rPr>
              <w:t>36.0</w:t>
            </w:r>
          </w:p>
        </w:tc>
        <w:tc>
          <w:tcPr>
            <w:tcW w:w="1027" w:type="dxa"/>
            <w:vAlign w:val="top"/>
          </w:tcPr>
          <w:p>
            <w:pPr>
              <w:spacing w:before="244" w:line="111" w:lineRule="exact"/>
              <w:ind w:left="463"/>
              <w:rPr>
                <w:rFonts w:ascii="宋体" w:hAnsi="宋体" w:eastAsia="宋体" w:cs="宋体"/>
                <w:sz w:val="20"/>
                <w:szCs w:val="20"/>
              </w:rPr>
            </w:pPr>
            <w:r>
              <w:rPr>
                <w:rFonts w:ascii="宋体" w:hAnsi="宋体" w:eastAsia="宋体" w:cs="宋体"/>
                <w:spacing w:val="5"/>
                <w:position w:val="-4"/>
                <w:sz w:val="20"/>
                <w:szCs w:val="20"/>
              </w:rPr>
              <w:t>-</w:t>
            </w:r>
          </w:p>
        </w:tc>
        <w:tc>
          <w:tcPr>
            <w:tcW w:w="1023" w:type="dxa"/>
            <w:vAlign w:val="top"/>
          </w:tcPr>
          <w:p>
            <w:pPr>
              <w:spacing w:before="122" w:line="215" w:lineRule="auto"/>
              <w:ind w:left="352"/>
              <w:rPr>
                <w:rFonts w:ascii="宋体" w:hAnsi="宋体" w:eastAsia="宋体" w:cs="宋体"/>
                <w:sz w:val="20"/>
                <w:szCs w:val="20"/>
              </w:rPr>
            </w:pPr>
            <w:r>
              <w:rPr>
                <w:rFonts w:ascii="宋体" w:hAnsi="宋体" w:eastAsia="宋体" w:cs="宋体"/>
                <w:spacing w:val="-15"/>
                <w:sz w:val="20"/>
                <w:szCs w:val="20"/>
              </w:rPr>
              <w:t>14.7</w:t>
            </w:r>
          </w:p>
        </w:tc>
        <w:tc>
          <w:tcPr>
            <w:tcW w:w="1024" w:type="dxa"/>
            <w:vAlign w:val="top"/>
          </w:tcPr>
          <w:p>
            <w:pPr>
              <w:spacing w:before="122" w:line="215" w:lineRule="auto"/>
              <w:ind w:left="354"/>
              <w:rPr>
                <w:rFonts w:ascii="宋体" w:hAnsi="宋体" w:eastAsia="宋体" w:cs="宋体"/>
                <w:sz w:val="20"/>
                <w:szCs w:val="20"/>
              </w:rPr>
            </w:pPr>
            <w:r>
              <w:rPr>
                <w:rFonts w:ascii="宋体" w:hAnsi="宋体" w:eastAsia="宋体" w:cs="宋体"/>
                <w:spacing w:val="-15"/>
                <w:sz w:val="20"/>
                <w:szCs w:val="20"/>
              </w:rPr>
              <w:t>13.5</w:t>
            </w:r>
          </w:p>
        </w:tc>
        <w:tc>
          <w:tcPr>
            <w:tcW w:w="1037" w:type="dxa"/>
            <w:tcBorders>
              <w:right w:val="single" w:color="000000" w:sz="6" w:space="0"/>
            </w:tcBorders>
            <w:vAlign w:val="top"/>
          </w:tcPr>
          <w:p>
            <w:pPr>
              <w:spacing w:before="244" w:line="111" w:lineRule="exact"/>
              <w:ind w:left="468"/>
              <w:rPr>
                <w:rFonts w:ascii="宋体" w:hAnsi="宋体" w:eastAsia="宋体" w:cs="宋体"/>
                <w:sz w:val="20"/>
                <w:szCs w:val="20"/>
              </w:rPr>
            </w:pPr>
            <w:r>
              <w:rPr>
                <w:rFonts w:ascii="宋体" w:hAnsi="宋体" w:eastAsia="宋体" w:cs="宋体"/>
                <w:spacing w:val="5"/>
                <w:position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9" w:line="208" w:lineRule="auto"/>
              <w:ind w:left="564"/>
              <w:rPr>
                <w:rFonts w:ascii="宋体" w:hAnsi="宋体" w:eastAsia="宋体" w:cs="宋体"/>
                <w:sz w:val="20"/>
                <w:szCs w:val="20"/>
              </w:rPr>
            </w:pPr>
            <w:r>
              <w:rPr>
                <w:rFonts w:ascii="宋体" w:hAnsi="宋体" w:eastAsia="宋体" w:cs="宋体"/>
                <w:spacing w:val="8"/>
                <w:sz w:val="20"/>
                <w:szCs w:val="20"/>
              </w:rPr>
              <w:t>路灯工程</w:t>
            </w:r>
          </w:p>
        </w:tc>
        <w:tc>
          <w:tcPr>
            <w:tcW w:w="1023" w:type="dxa"/>
            <w:vAlign w:val="top"/>
          </w:tcPr>
          <w:p>
            <w:pPr>
              <w:spacing w:before="123" w:line="214" w:lineRule="auto"/>
              <w:ind w:left="329"/>
              <w:rPr>
                <w:rFonts w:ascii="宋体" w:hAnsi="宋体" w:eastAsia="宋体" w:cs="宋体"/>
                <w:sz w:val="20"/>
                <w:szCs w:val="20"/>
              </w:rPr>
            </w:pPr>
            <w:r>
              <w:rPr>
                <w:rFonts w:ascii="宋体" w:hAnsi="宋体" w:eastAsia="宋体" w:cs="宋体"/>
                <w:spacing w:val="-11"/>
                <w:sz w:val="20"/>
                <w:szCs w:val="20"/>
              </w:rPr>
              <w:t>28.5</w:t>
            </w:r>
          </w:p>
        </w:tc>
        <w:tc>
          <w:tcPr>
            <w:tcW w:w="1023" w:type="dxa"/>
            <w:vAlign w:val="top"/>
          </w:tcPr>
          <w:p>
            <w:pPr>
              <w:spacing w:before="123" w:line="214" w:lineRule="auto"/>
              <w:ind w:left="331"/>
              <w:rPr>
                <w:rFonts w:ascii="宋体" w:hAnsi="宋体" w:eastAsia="宋体" w:cs="宋体"/>
                <w:sz w:val="20"/>
                <w:szCs w:val="20"/>
              </w:rPr>
            </w:pPr>
            <w:r>
              <w:rPr>
                <w:rFonts w:ascii="宋体" w:hAnsi="宋体" w:eastAsia="宋体" w:cs="宋体"/>
                <w:spacing w:val="-11"/>
                <w:sz w:val="20"/>
                <w:szCs w:val="20"/>
              </w:rPr>
              <w:t>20.5</w:t>
            </w:r>
          </w:p>
        </w:tc>
        <w:tc>
          <w:tcPr>
            <w:tcW w:w="1027" w:type="dxa"/>
            <w:vAlign w:val="top"/>
          </w:tcPr>
          <w:p>
            <w:pPr>
              <w:spacing w:before="123" w:line="214" w:lineRule="auto"/>
              <w:ind w:left="352"/>
              <w:rPr>
                <w:rFonts w:ascii="宋体" w:hAnsi="宋体" w:eastAsia="宋体" w:cs="宋体"/>
                <w:sz w:val="20"/>
                <w:szCs w:val="20"/>
              </w:rPr>
            </w:pPr>
            <w:r>
              <w:rPr>
                <w:rFonts w:ascii="宋体" w:hAnsi="宋体" w:eastAsia="宋体" w:cs="宋体"/>
                <w:spacing w:val="-15"/>
                <w:sz w:val="20"/>
                <w:szCs w:val="20"/>
              </w:rPr>
              <w:t>18.2</w:t>
            </w:r>
          </w:p>
        </w:tc>
        <w:tc>
          <w:tcPr>
            <w:tcW w:w="1023" w:type="dxa"/>
            <w:vAlign w:val="top"/>
          </w:tcPr>
          <w:p>
            <w:pPr>
              <w:spacing w:before="123" w:line="214" w:lineRule="auto"/>
              <w:ind w:left="352"/>
              <w:rPr>
                <w:rFonts w:ascii="宋体" w:hAnsi="宋体" w:eastAsia="宋体" w:cs="宋体"/>
                <w:sz w:val="20"/>
                <w:szCs w:val="20"/>
              </w:rPr>
            </w:pPr>
            <w:r>
              <w:rPr>
                <w:rFonts w:ascii="宋体" w:hAnsi="宋体" w:eastAsia="宋体" w:cs="宋体"/>
                <w:spacing w:val="-15"/>
                <w:sz w:val="20"/>
                <w:szCs w:val="20"/>
              </w:rPr>
              <w:t>12.2</w:t>
            </w:r>
          </w:p>
        </w:tc>
        <w:tc>
          <w:tcPr>
            <w:tcW w:w="1024" w:type="dxa"/>
            <w:vAlign w:val="top"/>
          </w:tcPr>
          <w:p>
            <w:pPr>
              <w:spacing w:before="123" w:line="214" w:lineRule="auto"/>
              <w:ind w:left="392"/>
              <w:rPr>
                <w:rFonts w:ascii="宋体" w:hAnsi="宋体" w:eastAsia="宋体" w:cs="宋体"/>
                <w:sz w:val="20"/>
                <w:szCs w:val="20"/>
              </w:rPr>
            </w:pPr>
            <w:r>
              <w:rPr>
                <w:rFonts w:ascii="宋体" w:hAnsi="宋体" w:eastAsia="宋体" w:cs="宋体"/>
                <w:spacing w:val="-17"/>
                <w:sz w:val="20"/>
                <w:szCs w:val="20"/>
              </w:rPr>
              <w:t>8.8</w:t>
            </w:r>
          </w:p>
        </w:tc>
        <w:tc>
          <w:tcPr>
            <w:tcW w:w="1037" w:type="dxa"/>
            <w:tcBorders>
              <w:right w:val="single" w:color="000000" w:sz="6" w:space="0"/>
            </w:tcBorders>
            <w:vAlign w:val="top"/>
          </w:tcPr>
          <w:p>
            <w:pPr>
              <w:spacing w:before="123" w:line="214" w:lineRule="auto"/>
              <w:ind w:left="391"/>
              <w:rPr>
                <w:rFonts w:ascii="宋体" w:hAnsi="宋体" w:eastAsia="宋体" w:cs="宋体"/>
                <w:sz w:val="20"/>
                <w:szCs w:val="20"/>
              </w:rPr>
            </w:pPr>
            <w:r>
              <w:rPr>
                <w:rFonts w:ascii="宋体" w:hAnsi="宋体" w:eastAsia="宋体" w:cs="宋体"/>
                <w:spacing w:val="-16"/>
                <w:sz w:val="20"/>
                <w:szCs w:val="20"/>
              </w:rPr>
              <w:t>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3128" w:type="dxa"/>
            <w:gridSpan w:val="2"/>
            <w:tcBorders>
              <w:left w:val="single" w:color="000000" w:sz="6" w:space="0"/>
            </w:tcBorders>
            <w:vAlign w:val="top"/>
          </w:tcPr>
          <w:p>
            <w:pPr>
              <w:spacing w:before="130" w:line="207" w:lineRule="auto"/>
              <w:ind w:left="946"/>
              <w:rPr>
                <w:rFonts w:ascii="宋体" w:hAnsi="宋体" w:eastAsia="宋体" w:cs="宋体"/>
                <w:sz w:val="20"/>
                <w:szCs w:val="20"/>
              </w:rPr>
            </w:pPr>
            <w:r>
              <w:rPr>
                <w:rFonts w:ascii="宋体" w:hAnsi="宋体" w:eastAsia="宋体" w:cs="宋体"/>
                <w:spacing w:val="6"/>
                <w:sz w:val="20"/>
                <w:szCs w:val="20"/>
              </w:rPr>
              <w:t>园林绿化工程</w:t>
            </w:r>
          </w:p>
        </w:tc>
        <w:tc>
          <w:tcPr>
            <w:tcW w:w="1023" w:type="dxa"/>
            <w:vAlign w:val="top"/>
          </w:tcPr>
          <w:p>
            <w:pPr>
              <w:spacing w:before="123" w:line="214" w:lineRule="auto"/>
              <w:ind w:left="329"/>
              <w:rPr>
                <w:rFonts w:ascii="宋体" w:hAnsi="宋体" w:eastAsia="宋体" w:cs="宋体"/>
                <w:sz w:val="20"/>
                <w:szCs w:val="20"/>
              </w:rPr>
            </w:pPr>
            <w:r>
              <w:rPr>
                <w:rFonts w:ascii="宋体" w:hAnsi="宋体" w:eastAsia="宋体" w:cs="宋体"/>
                <w:spacing w:val="-11"/>
                <w:sz w:val="20"/>
                <w:szCs w:val="20"/>
              </w:rPr>
              <w:t>55.0</w:t>
            </w:r>
          </w:p>
        </w:tc>
        <w:tc>
          <w:tcPr>
            <w:tcW w:w="1023" w:type="dxa"/>
            <w:vAlign w:val="top"/>
          </w:tcPr>
          <w:p>
            <w:pPr>
              <w:spacing w:before="123" w:line="214" w:lineRule="auto"/>
              <w:ind w:left="327"/>
              <w:rPr>
                <w:rFonts w:ascii="宋体" w:hAnsi="宋体" w:eastAsia="宋体" w:cs="宋体"/>
                <w:sz w:val="20"/>
                <w:szCs w:val="20"/>
              </w:rPr>
            </w:pPr>
            <w:r>
              <w:rPr>
                <w:rFonts w:ascii="宋体" w:hAnsi="宋体" w:eastAsia="宋体" w:cs="宋体"/>
                <w:spacing w:val="-10"/>
                <w:sz w:val="20"/>
                <w:szCs w:val="20"/>
              </w:rPr>
              <w:t>43.0</w:t>
            </w:r>
          </w:p>
        </w:tc>
        <w:tc>
          <w:tcPr>
            <w:tcW w:w="1027" w:type="dxa"/>
            <w:vAlign w:val="top"/>
          </w:tcPr>
          <w:p>
            <w:pPr>
              <w:spacing w:before="123" w:line="214" w:lineRule="auto"/>
              <w:ind w:left="338"/>
              <w:rPr>
                <w:rFonts w:ascii="宋体" w:hAnsi="宋体" w:eastAsia="宋体" w:cs="宋体"/>
                <w:sz w:val="20"/>
                <w:szCs w:val="20"/>
              </w:rPr>
            </w:pPr>
            <w:r>
              <w:rPr>
                <w:rFonts w:ascii="宋体" w:hAnsi="宋体" w:eastAsia="宋体" w:cs="宋体"/>
                <w:spacing w:val="-12"/>
                <w:sz w:val="20"/>
                <w:szCs w:val="20"/>
              </w:rPr>
              <w:t>34.0</w:t>
            </w:r>
          </w:p>
        </w:tc>
        <w:tc>
          <w:tcPr>
            <w:tcW w:w="1023" w:type="dxa"/>
            <w:vAlign w:val="top"/>
          </w:tcPr>
          <w:p>
            <w:pPr>
              <w:spacing w:before="123" w:line="214" w:lineRule="auto"/>
              <w:ind w:left="338"/>
              <w:rPr>
                <w:rFonts w:ascii="宋体" w:hAnsi="宋体" w:eastAsia="宋体" w:cs="宋体"/>
                <w:sz w:val="20"/>
                <w:szCs w:val="20"/>
              </w:rPr>
            </w:pPr>
            <w:r>
              <w:rPr>
                <w:rFonts w:ascii="宋体" w:hAnsi="宋体" w:eastAsia="宋体" w:cs="宋体"/>
                <w:spacing w:val="-12"/>
                <w:sz w:val="20"/>
                <w:szCs w:val="20"/>
              </w:rPr>
              <w:t>30.0</w:t>
            </w:r>
          </w:p>
        </w:tc>
        <w:tc>
          <w:tcPr>
            <w:tcW w:w="1024" w:type="dxa"/>
            <w:vAlign w:val="top"/>
          </w:tcPr>
          <w:p>
            <w:pPr>
              <w:spacing w:before="123" w:line="214" w:lineRule="auto"/>
              <w:ind w:left="337"/>
              <w:rPr>
                <w:rFonts w:ascii="宋体" w:hAnsi="宋体" w:eastAsia="宋体" w:cs="宋体"/>
                <w:sz w:val="20"/>
                <w:szCs w:val="20"/>
              </w:rPr>
            </w:pPr>
            <w:r>
              <w:rPr>
                <w:rFonts w:ascii="宋体" w:hAnsi="宋体" w:eastAsia="宋体" w:cs="宋体"/>
                <w:spacing w:val="-11"/>
                <w:sz w:val="20"/>
                <w:szCs w:val="20"/>
              </w:rPr>
              <w:t>25.0</w:t>
            </w:r>
          </w:p>
        </w:tc>
        <w:tc>
          <w:tcPr>
            <w:tcW w:w="1037" w:type="dxa"/>
            <w:tcBorders>
              <w:right w:val="single" w:color="000000" w:sz="6" w:space="0"/>
            </w:tcBorders>
            <w:vAlign w:val="top"/>
          </w:tcPr>
          <w:p>
            <w:pPr>
              <w:spacing w:before="123" w:line="214" w:lineRule="auto"/>
              <w:ind w:left="340"/>
              <w:rPr>
                <w:rFonts w:ascii="宋体" w:hAnsi="宋体" w:eastAsia="宋体" w:cs="宋体"/>
                <w:sz w:val="20"/>
                <w:szCs w:val="20"/>
              </w:rPr>
            </w:pPr>
            <w:r>
              <w:rPr>
                <w:rFonts w:ascii="宋体" w:hAnsi="宋体" w:eastAsia="宋体" w:cs="宋体"/>
                <w:spacing w:val="-11"/>
                <w:sz w:val="20"/>
                <w:szCs w:val="20"/>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restart"/>
            <w:tcBorders>
              <w:left w:val="single" w:color="000000" w:sz="6" w:space="0"/>
              <w:bottom w:val="nil"/>
            </w:tcBorders>
            <w:vAlign w:val="top"/>
          </w:tcPr>
          <w:p>
            <w:pPr>
              <w:spacing w:before="132" w:line="219" w:lineRule="auto"/>
              <w:ind w:left="153"/>
              <w:rPr>
                <w:rFonts w:ascii="宋体" w:hAnsi="宋体" w:eastAsia="宋体" w:cs="宋体"/>
                <w:sz w:val="20"/>
                <w:szCs w:val="20"/>
              </w:rPr>
            </w:pPr>
            <w:r>
              <w:rPr>
                <w:rFonts w:ascii="宋体" w:hAnsi="宋体" w:eastAsia="宋体" w:cs="宋体"/>
                <w:spacing w:val="8"/>
                <w:sz w:val="20"/>
                <w:szCs w:val="20"/>
              </w:rPr>
              <w:t>城市地下</w:t>
            </w:r>
          </w:p>
          <w:p>
            <w:pPr>
              <w:spacing w:before="122" w:line="215" w:lineRule="auto"/>
              <w:ind w:left="151"/>
              <w:rPr>
                <w:rFonts w:ascii="宋体" w:hAnsi="宋体" w:eastAsia="宋体" w:cs="宋体"/>
                <w:sz w:val="20"/>
                <w:szCs w:val="20"/>
              </w:rPr>
            </w:pPr>
            <w:r>
              <w:rPr>
                <w:rFonts w:ascii="宋体" w:hAnsi="宋体" w:eastAsia="宋体" w:cs="宋体"/>
                <w:spacing w:val="8"/>
                <w:sz w:val="20"/>
                <w:szCs w:val="20"/>
              </w:rPr>
              <w:t>综合管廊</w:t>
            </w:r>
          </w:p>
        </w:tc>
        <w:tc>
          <w:tcPr>
            <w:tcW w:w="1971" w:type="dxa"/>
            <w:vAlign w:val="top"/>
          </w:tcPr>
          <w:p>
            <w:pPr>
              <w:spacing w:before="125" w:line="212" w:lineRule="auto"/>
              <w:ind w:left="246"/>
              <w:rPr>
                <w:rFonts w:ascii="宋体" w:hAnsi="宋体" w:eastAsia="宋体" w:cs="宋体"/>
                <w:sz w:val="20"/>
                <w:szCs w:val="20"/>
              </w:rPr>
            </w:pPr>
            <w:r>
              <w:rPr>
                <w:rFonts w:ascii="宋体" w:hAnsi="宋体" w:eastAsia="宋体" w:cs="宋体"/>
                <w:spacing w:val="9"/>
                <w:sz w:val="20"/>
                <w:szCs w:val="20"/>
              </w:rPr>
              <w:t>建筑和装饰工程</w:t>
            </w:r>
          </w:p>
        </w:tc>
        <w:tc>
          <w:tcPr>
            <w:tcW w:w="3073" w:type="dxa"/>
            <w:gridSpan w:val="3"/>
            <w:vAlign w:val="top"/>
          </w:tcPr>
          <w:p>
            <w:pPr>
              <w:spacing w:before="123" w:line="214" w:lineRule="auto"/>
              <w:ind w:left="1323"/>
              <w:rPr>
                <w:rFonts w:ascii="宋体" w:hAnsi="宋体" w:eastAsia="宋体" w:cs="宋体"/>
                <w:sz w:val="20"/>
                <w:szCs w:val="20"/>
              </w:rPr>
            </w:pPr>
            <w:r>
              <w:rPr>
                <w:rFonts w:ascii="宋体" w:hAnsi="宋体" w:eastAsia="宋体" w:cs="宋体"/>
                <w:spacing w:val="-12"/>
                <w:sz w:val="20"/>
                <w:szCs w:val="20"/>
              </w:rPr>
              <w:t>18.50</w:t>
            </w:r>
          </w:p>
        </w:tc>
        <w:tc>
          <w:tcPr>
            <w:tcW w:w="3084" w:type="dxa"/>
            <w:gridSpan w:val="3"/>
            <w:tcBorders>
              <w:right w:val="single" w:color="000000" w:sz="6" w:space="0"/>
            </w:tcBorders>
            <w:vAlign w:val="top"/>
          </w:tcPr>
          <w:p>
            <w:pPr>
              <w:spacing w:before="123" w:line="214" w:lineRule="auto"/>
              <w:ind w:left="1329"/>
              <w:rPr>
                <w:rFonts w:ascii="宋体" w:hAnsi="宋体" w:eastAsia="宋体" w:cs="宋体"/>
                <w:sz w:val="20"/>
                <w:szCs w:val="20"/>
              </w:rPr>
            </w:pPr>
            <w:r>
              <w:rPr>
                <w:rFonts w:ascii="宋体" w:hAnsi="宋体" w:eastAsia="宋体" w:cs="宋体"/>
                <w:spacing w:val="-12"/>
                <w:sz w:val="20"/>
                <w:szCs w:val="20"/>
              </w:rPr>
              <w:t>10.00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8" w:line="209" w:lineRule="auto"/>
              <w:ind w:left="564"/>
              <w:rPr>
                <w:rFonts w:ascii="宋体" w:hAnsi="宋体" w:eastAsia="宋体" w:cs="宋体"/>
                <w:sz w:val="20"/>
                <w:szCs w:val="20"/>
              </w:rPr>
            </w:pPr>
            <w:r>
              <w:rPr>
                <w:rFonts w:ascii="宋体" w:hAnsi="宋体" w:eastAsia="宋体" w:cs="宋体"/>
                <w:spacing w:val="8"/>
                <w:sz w:val="20"/>
                <w:szCs w:val="20"/>
              </w:rPr>
              <w:t>安装工程</w:t>
            </w:r>
          </w:p>
        </w:tc>
        <w:tc>
          <w:tcPr>
            <w:tcW w:w="3073" w:type="dxa"/>
            <w:gridSpan w:val="3"/>
            <w:vAlign w:val="top"/>
          </w:tcPr>
          <w:p>
            <w:pPr>
              <w:spacing w:before="122" w:line="215" w:lineRule="auto"/>
              <w:ind w:left="1306"/>
              <w:rPr>
                <w:rFonts w:ascii="宋体" w:hAnsi="宋体" w:eastAsia="宋体" w:cs="宋体"/>
                <w:sz w:val="20"/>
                <w:szCs w:val="20"/>
              </w:rPr>
            </w:pPr>
            <w:r>
              <w:rPr>
                <w:rFonts w:ascii="宋体" w:hAnsi="宋体" w:eastAsia="宋体" w:cs="宋体"/>
                <w:spacing w:val="-8"/>
                <w:sz w:val="20"/>
                <w:szCs w:val="20"/>
              </w:rPr>
              <w:t>52.16</w:t>
            </w:r>
          </w:p>
        </w:tc>
        <w:tc>
          <w:tcPr>
            <w:tcW w:w="3084" w:type="dxa"/>
            <w:gridSpan w:val="3"/>
            <w:tcBorders>
              <w:right w:val="single" w:color="000000" w:sz="6" w:space="0"/>
            </w:tcBorders>
            <w:vAlign w:val="top"/>
          </w:tcPr>
          <w:p>
            <w:pPr>
              <w:spacing w:before="122" w:line="215"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restart"/>
            <w:tcBorders>
              <w:left w:val="single" w:color="000000" w:sz="6" w:space="0"/>
              <w:bottom w:val="nil"/>
            </w:tcBorders>
            <w:vAlign w:val="top"/>
          </w:tcPr>
          <w:p>
            <w:pPr>
              <w:pStyle w:val="6"/>
              <w:spacing w:line="245" w:lineRule="auto"/>
            </w:pPr>
          </w:p>
          <w:p>
            <w:pPr>
              <w:spacing w:before="65" w:line="220" w:lineRule="auto"/>
              <w:ind w:left="154"/>
              <w:rPr>
                <w:rFonts w:ascii="宋体" w:hAnsi="宋体" w:eastAsia="宋体" w:cs="宋体"/>
                <w:sz w:val="20"/>
                <w:szCs w:val="20"/>
              </w:rPr>
            </w:pPr>
            <w:r>
              <w:rPr>
                <w:rFonts w:ascii="宋体" w:hAnsi="宋体" w:eastAsia="宋体" w:cs="宋体"/>
                <w:spacing w:val="8"/>
                <w:sz w:val="20"/>
                <w:szCs w:val="20"/>
              </w:rPr>
              <w:t>房屋修缮</w:t>
            </w:r>
          </w:p>
        </w:tc>
        <w:tc>
          <w:tcPr>
            <w:tcW w:w="1971" w:type="dxa"/>
            <w:vAlign w:val="top"/>
          </w:tcPr>
          <w:p>
            <w:pPr>
              <w:spacing w:before="125" w:line="212" w:lineRule="auto"/>
              <w:ind w:left="563"/>
              <w:rPr>
                <w:rFonts w:ascii="宋体" w:hAnsi="宋体" w:eastAsia="宋体" w:cs="宋体"/>
                <w:sz w:val="20"/>
                <w:szCs w:val="20"/>
              </w:rPr>
            </w:pPr>
            <w:r>
              <w:rPr>
                <w:rFonts w:ascii="宋体" w:hAnsi="宋体" w:eastAsia="宋体" w:cs="宋体"/>
                <w:spacing w:val="8"/>
                <w:sz w:val="20"/>
                <w:szCs w:val="20"/>
              </w:rPr>
              <w:t>建筑工程</w:t>
            </w:r>
          </w:p>
        </w:tc>
        <w:tc>
          <w:tcPr>
            <w:tcW w:w="3073" w:type="dxa"/>
            <w:gridSpan w:val="3"/>
            <w:vAlign w:val="top"/>
          </w:tcPr>
          <w:p>
            <w:pPr>
              <w:spacing w:before="122" w:line="215" w:lineRule="auto"/>
              <w:ind w:left="1306"/>
              <w:rPr>
                <w:rFonts w:ascii="宋体" w:hAnsi="宋体" w:eastAsia="宋体" w:cs="宋体"/>
                <w:sz w:val="20"/>
                <w:szCs w:val="20"/>
              </w:rPr>
            </w:pPr>
            <w:r>
              <w:rPr>
                <w:rFonts w:ascii="宋体" w:hAnsi="宋体" w:eastAsia="宋体" w:cs="宋体"/>
                <w:spacing w:val="-8"/>
                <w:sz w:val="20"/>
                <w:szCs w:val="20"/>
              </w:rPr>
              <w:t>50.10</w:t>
            </w:r>
          </w:p>
        </w:tc>
        <w:tc>
          <w:tcPr>
            <w:tcW w:w="3084" w:type="dxa"/>
            <w:gridSpan w:val="3"/>
            <w:tcBorders>
              <w:right w:val="single" w:color="000000" w:sz="6" w:space="0"/>
            </w:tcBorders>
            <w:vAlign w:val="top"/>
          </w:tcPr>
          <w:p>
            <w:pPr>
              <w:spacing w:before="122" w:line="215" w:lineRule="auto"/>
              <w:ind w:left="1312"/>
              <w:rPr>
                <w:rFonts w:ascii="宋体" w:hAnsi="宋体" w:eastAsia="宋体" w:cs="宋体"/>
                <w:sz w:val="20"/>
                <w:szCs w:val="20"/>
              </w:rPr>
            </w:pPr>
            <w:r>
              <w:rPr>
                <w:rFonts w:ascii="宋体" w:hAnsi="宋体" w:eastAsia="宋体" w:cs="宋体"/>
                <w:spacing w:val="-8"/>
                <w:sz w:val="20"/>
                <w:szCs w:val="20"/>
              </w:rPr>
              <w:t>25.90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7" w:line="210" w:lineRule="auto"/>
              <w:ind w:left="564"/>
              <w:rPr>
                <w:rFonts w:ascii="宋体" w:hAnsi="宋体" w:eastAsia="宋体" w:cs="宋体"/>
                <w:sz w:val="20"/>
                <w:szCs w:val="20"/>
              </w:rPr>
            </w:pPr>
            <w:r>
              <w:rPr>
                <w:rFonts w:ascii="宋体" w:hAnsi="宋体" w:eastAsia="宋体" w:cs="宋体"/>
                <w:spacing w:val="8"/>
                <w:sz w:val="20"/>
                <w:szCs w:val="20"/>
              </w:rPr>
              <w:t>安装工程</w:t>
            </w:r>
          </w:p>
        </w:tc>
        <w:tc>
          <w:tcPr>
            <w:tcW w:w="3073" w:type="dxa"/>
            <w:gridSpan w:val="3"/>
            <w:vAlign w:val="top"/>
          </w:tcPr>
          <w:p>
            <w:pPr>
              <w:spacing w:before="122" w:line="215" w:lineRule="auto"/>
              <w:ind w:left="1306"/>
              <w:rPr>
                <w:rFonts w:ascii="宋体" w:hAnsi="宋体" w:eastAsia="宋体" w:cs="宋体"/>
                <w:sz w:val="20"/>
                <w:szCs w:val="20"/>
              </w:rPr>
            </w:pPr>
            <w:r>
              <w:rPr>
                <w:rFonts w:ascii="宋体" w:hAnsi="宋体" w:eastAsia="宋体" w:cs="宋体"/>
                <w:spacing w:val="-8"/>
                <w:sz w:val="20"/>
                <w:szCs w:val="20"/>
              </w:rPr>
              <w:t>54.19</w:t>
            </w:r>
          </w:p>
        </w:tc>
        <w:tc>
          <w:tcPr>
            <w:tcW w:w="3084" w:type="dxa"/>
            <w:gridSpan w:val="3"/>
            <w:tcBorders>
              <w:right w:val="single" w:color="000000" w:sz="6" w:space="0"/>
            </w:tcBorders>
            <w:vAlign w:val="top"/>
          </w:tcPr>
          <w:p>
            <w:pPr>
              <w:spacing w:before="122" w:line="215" w:lineRule="auto"/>
              <w:ind w:left="1315"/>
              <w:rPr>
                <w:rFonts w:ascii="宋体" w:hAnsi="宋体" w:eastAsia="宋体" w:cs="宋体"/>
                <w:sz w:val="20"/>
                <w:szCs w:val="20"/>
              </w:rPr>
            </w:pPr>
            <w:r>
              <w:rPr>
                <w:rFonts w:ascii="宋体" w:hAnsi="宋体" w:eastAsia="宋体" w:cs="宋体"/>
                <w:spacing w:val="-9"/>
                <w:sz w:val="20"/>
                <w:szCs w:val="20"/>
              </w:rPr>
              <w:t>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157" w:type="dxa"/>
            <w:vMerge w:val="restart"/>
            <w:tcBorders>
              <w:left w:val="single" w:color="000000" w:sz="6" w:space="0"/>
              <w:bottom w:val="nil"/>
            </w:tcBorders>
            <w:vAlign w:val="top"/>
          </w:tcPr>
          <w:p>
            <w:pPr>
              <w:pStyle w:val="6"/>
              <w:spacing w:line="247" w:lineRule="auto"/>
            </w:pPr>
          </w:p>
          <w:p>
            <w:pPr>
              <w:spacing w:before="65" w:line="332" w:lineRule="auto"/>
              <w:ind w:left="361" w:right="371" w:firstLine="1"/>
              <w:rPr>
                <w:rFonts w:ascii="宋体" w:hAnsi="宋体" w:eastAsia="宋体" w:cs="宋体"/>
                <w:sz w:val="20"/>
                <w:szCs w:val="20"/>
              </w:rPr>
            </w:pPr>
            <w:r>
              <w:rPr>
                <w:rFonts w:ascii="宋体" w:hAnsi="宋体" w:eastAsia="宋体" w:cs="宋体"/>
                <w:spacing w:val="6"/>
                <w:sz w:val="20"/>
                <w:szCs w:val="20"/>
              </w:rPr>
              <w:t>市政养护</w:t>
            </w:r>
          </w:p>
          <w:p>
            <w:pPr>
              <w:spacing w:line="220" w:lineRule="auto"/>
              <w:ind w:left="362"/>
              <w:rPr>
                <w:rFonts w:ascii="宋体" w:hAnsi="宋体" w:eastAsia="宋体" w:cs="宋体"/>
                <w:sz w:val="20"/>
                <w:szCs w:val="20"/>
              </w:rPr>
            </w:pPr>
            <w:r>
              <w:rPr>
                <w:rFonts w:ascii="宋体" w:hAnsi="宋体" w:eastAsia="宋体" w:cs="宋体"/>
                <w:spacing w:val="6"/>
                <w:sz w:val="20"/>
                <w:szCs w:val="20"/>
              </w:rPr>
              <w:t>维修</w:t>
            </w:r>
          </w:p>
        </w:tc>
        <w:tc>
          <w:tcPr>
            <w:tcW w:w="1971" w:type="dxa"/>
            <w:vAlign w:val="top"/>
          </w:tcPr>
          <w:p>
            <w:pPr>
              <w:spacing w:before="128" w:line="270" w:lineRule="auto"/>
              <w:ind w:left="143" w:right="29" w:hanging="40"/>
              <w:rPr>
                <w:rFonts w:ascii="宋体" w:hAnsi="宋体" w:eastAsia="宋体" w:cs="宋体"/>
                <w:sz w:val="20"/>
                <w:szCs w:val="20"/>
              </w:rPr>
            </w:pPr>
            <w:r>
              <w:rPr>
                <w:rFonts w:ascii="宋体" w:hAnsi="宋体" w:eastAsia="宋体" w:cs="宋体"/>
                <w:spacing w:val="3"/>
                <w:sz w:val="20"/>
                <w:szCs w:val="20"/>
              </w:rPr>
              <w:t>道路、桥涵、隧道、</w:t>
            </w:r>
            <w:r>
              <w:rPr>
                <w:rFonts w:ascii="宋体" w:hAnsi="宋体" w:eastAsia="宋体" w:cs="宋体"/>
                <w:spacing w:val="9"/>
                <w:sz w:val="20"/>
                <w:szCs w:val="20"/>
              </w:rPr>
              <w:t>排水养护维修工程</w:t>
            </w:r>
          </w:p>
        </w:tc>
        <w:tc>
          <w:tcPr>
            <w:tcW w:w="3073" w:type="dxa"/>
            <w:gridSpan w:val="3"/>
            <w:vAlign w:val="top"/>
          </w:tcPr>
          <w:p>
            <w:pPr>
              <w:spacing w:before="303" w:line="299" w:lineRule="exact"/>
              <w:ind w:left="1306"/>
              <w:rPr>
                <w:rFonts w:ascii="宋体" w:hAnsi="宋体" w:eastAsia="宋体" w:cs="宋体"/>
                <w:sz w:val="20"/>
                <w:szCs w:val="20"/>
              </w:rPr>
            </w:pPr>
            <w:r>
              <w:rPr>
                <w:rFonts w:ascii="宋体" w:hAnsi="宋体" w:eastAsia="宋体" w:cs="宋体"/>
                <w:spacing w:val="-8"/>
                <w:position w:val="2"/>
                <w:sz w:val="20"/>
                <w:szCs w:val="20"/>
              </w:rPr>
              <w:t>20.00</w:t>
            </w:r>
          </w:p>
        </w:tc>
        <w:tc>
          <w:tcPr>
            <w:tcW w:w="3084" w:type="dxa"/>
            <w:gridSpan w:val="3"/>
            <w:tcBorders>
              <w:right w:val="single" w:color="000000" w:sz="6" w:space="0"/>
            </w:tcBorders>
            <w:vAlign w:val="top"/>
          </w:tcPr>
          <w:p>
            <w:pPr>
              <w:spacing w:before="303" w:line="299" w:lineRule="exact"/>
              <w:ind w:left="1329"/>
              <w:rPr>
                <w:rFonts w:ascii="宋体" w:hAnsi="宋体" w:eastAsia="宋体" w:cs="宋体"/>
                <w:sz w:val="20"/>
                <w:szCs w:val="20"/>
              </w:rPr>
            </w:pPr>
            <w:r>
              <w:rPr>
                <w:rFonts w:ascii="宋体" w:hAnsi="宋体" w:eastAsia="宋体" w:cs="宋体"/>
                <w:spacing w:val="-12"/>
                <w:position w:val="2"/>
                <w:sz w:val="20"/>
                <w:szCs w:val="20"/>
              </w:rPr>
              <w:t>12.00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157" w:type="dxa"/>
            <w:vMerge w:val="continue"/>
            <w:tcBorders>
              <w:top w:val="nil"/>
              <w:left w:val="single" w:color="000000" w:sz="6" w:space="0"/>
            </w:tcBorders>
            <w:vAlign w:val="top"/>
          </w:tcPr>
          <w:p>
            <w:pPr>
              <w:pStyle w:val="6"/>
            </w:pPr>
          </w:p>
        </w:tc>
        <w:tc>
          <w:tcPr>
            <w:tcW w:w="1971" w:type="dxa"/>
            <w:vAlign w:val="top"/>
          </w:tcPr>
          <w:p>
            <w:pPr>
              <w:spacing w:before="124" w:line="272" w:lineRule="auto"/>
              <w:ind w:left="143" w:right="29" w:hanging="34"/>
              <w:rPr>
                <w:rFonts w:ascii="宋体" w:hAnsi="宋体" w:eastAsia="宋体" w:cs="宋体"/>
                <w:sz w:val="20"/>
                <w:szCs w:val="20"/>
              </w:rPr>
            </w:pPr>
            <w:r>
              <w:rPr>
                <w:rFonts w:ascii="宋体" w:hAnsi="宋体" w:eastAsia="宋体" w:cs="宋体"/>
                <w:spacing w:val="2"/>
                <w:sz w:val="20"/>
                <w:szCs w:val="20"/>
              </w:rPr>
              <w:t>给水、燃气、供热、</w:t>
            </w:r>
            <w:r>
              <w:rPr>
                <w:rFonts w:ascii="宋体" w:hAnsi="宋体" w:eastAsia="宋体" w:cs="宋体"/>
                <w:spacing w:val="9"/>
                <w:sz w:val="20"/>
                <w:szCs w:val="20"/>
              </w:rPr>
              <w:t>路灯养护维修工程</w:t>
            </w:r>
          </w:p>
        </w:tc>
        <w:tc>
          <w:tcPr>
            <w:tcW w:w="3073" w:type="dxa"/>
            <w:gridSpan w:val="3"/>
            <w:vAlign w:val="top"/>
          </w:tcPr>
          <w:p>
            <w:pPr>
              <w:spacing w:before="304" w:line="299" w:lineRule="exact"/>
              <w:ind w:left="1306"/>
              <w:rPr>
                <w:rFonts w:ascii="宋体" w:hAnsi="宋体" w:eastAsia="宋体" w:cs="宋体"/>
                <w:sz w:val="20"/>
                <w:szCs w:val="20"/>
              </w:rPr>
            </w:pPr>
            <w:r>
              <w:rPr>
                <w:rFonts w:ascii="宋体" w:hAnsi="宋体" w:eastAsia="宋体" w:cs="宋体"/>
                <w:spacing w:val="-8"/>
                <w:position w:val="2"/>
                <w:sz w:val="20"/>
                <w:szCs w:val="20"/>
              </w:rPr>
              <w:t>25.00</w:t>
            </w:r>
          </w:p>
        </w:tc>
        <w:tc>
          <w:tcPr>
            <w:tcW w:w="3084" w:type="dxa"/>
            <w:gridSpan w:val="3"/>
            <w:tcBorders>
              <w:right w:val="single" w:color="000000" w:sz="6" w:space="0"/>
            </w:tcBorders>
            <w:vAlign w:val="top"/>
          </w:tcPr>
          <w:p>
            <w:pPr>
              <w:spacing w:before="304" w:line="299" w:lineRule="exact"/>
              <w:ind w:left="1329"/>
              <w:rPr>
                <w:rFonts w:ascii="宋体" w:hAnsi="宋体" w:eastAsia="宋体" w:cs="宋体"/>
                <w:sz w:val="20"/>
                <w:szCs w:val="20"/>
              </w:rPr>
            </w:pPr>
            <w:r>
              <w:rPr>
                <w:rFonts w:ascii="宋体" w:hAnsi="宋体" w:eastAsia="宋体" w:cs="宋体"/>
                <w:spacing w:val="-12"/>
                <w:position w:val="2"/>
                <w:sz w:val="20"/>
                <w:szCs w:val="20"/>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1" w:hRule="atLeast"/>
        </w:trPr>
        <w:tc>
          <w:tcPr>
            <w:tcW w:w="3128" w:type="dxa"/>
            <w:gridSpan w:val="2"/>
            <w:tcBorders>
              <w:left w:val="single" w:color="000000" w:sz="6" w:space="0"/>
              <w:bottom w:val="single" w:color="000000" w:sz="6" w:space="0"/>
            </w:tcBorders>
            <w:vAlign w:val="top"/>
          </w:tcPr>
          <w:p>
            <w:pPr>
              <w:spacing w:before="128" w:line="223" w:lineRule="auto"/>
              <w:ind w:left="929"/>
              <w:rPr>
                <w:rFonts w:ascii="宋体" w:hAnsi="宋体" w:eastAsia="宋体" w:cs="宋体"/>
                <w:sz w:val="20"/>
                <w:szCs w:val="20"/>
              </w:rPr>
            </w:pPr>
            <w:r>
              <w:rPr>
                <w:rFonts w:ascii="宋体" w:hAnsi="宋体" w:eastAsia="宋体" w:cs="宋体"/>
                <w:spacing w:val="9"/>
                <w:sz w:val="20"/>
                <w:szCs w:val="20"/>
              </w:rPr>
              <w:t>仿古建筑工程</w:t>
            </w:r>
          </w:p>
        </w:tc>
        <w:tc>
          <w:tcPr>
            <w:tcW w:w="3073" w:type="dxa"/>
            <w:gridSpan w:val="3"/>
            <w:tcBorders>
              <w:bottom w:val="single" w:color="000000" w:sz="6" w:space="0"/>
            </w:tcBorders>
            <w:vAlign w:val="top"/>
          </w:tcPr>
          <w:p>
            <w:pPr>
              <w:spacing w:before="125" w:line="227" w:lineRule="auto"/>
              <w:ind w:left="1309"/>
              <w:rPr>
                <w:rFonts w:ascii="宋体" w:hAnsi="宋体" w:eastAsia="宋体" w:cs="宋体"/>
                <w:sz w:val="20"/>
                <w:szCs w:val="20"/>
              </w:rPr>
            </w:pPr>
            <w:r>
              <w:rPr>
                <w:rFonts w:ascii="宋体" w:hAnsi="宋体" w:eastAsia="宋体" w:cs="宋体"/>
                <w:spacing w:val="-9"/>
                <w:sz w:val="20"/>
                <w:szCs w:val="20"/>
              </w:rPr>
              <w:t>31.00</w:t>
            </w:r>
          </w:p>
        </w:tc>
        <w:tc>
          <w:tcPr>
            <w:tcW w:w="3084" w:type="dxa"/>
            <w:gridSpan w:val="3"/>
            <w:tcBorders>
              <w:bottom w:val="single" w:color="000000" w:sz="6" w:space="0"/>
              <w:right w:val="single" w:color="000000" w:sz="6" w:space="0"/>
            </w:tcBorders>
            <w:vAlign w:val="top"/>
          </w:tcPr>
          <w:p>
            <w:pPr>
              <w:spacing w:before="125" w:line="227" w:lineRule="auto"/>
              <w:ind w:left="1329"/>
              <w:rPr>
                <w:rFonts w:ascii="宋体" w:hAnsi="宋体" w:eastAsia="宋体" w:cs="宋体"/>
                <w:sz w:val="20"/>
                <w:szCs w:val="20"/>
              </w:rPr>
            </w:pPr>
            <w:r>
              <w:rPr>
                <w:rFonts w:ascii="宋体" w:hAnsi="宋体" w:eastAsia="宋体" w:cs="宋体"/>
                <w:spacing w:val="-12"/>
                <w:sz w:val="20"/>
                <w:szCs w:val="20"/>
              </w:rPr>
              <w:t>13.50</w:t>
            </w:r>
          </w:p>
        </w:tc>
      </w:tr>
    </w:tbl>
    <w:p>
      <w:pPr>
        <w:spacing w:before="107" w:line="278" w:lineRule="exact"/>
        <w:ind w:left="122"/>
        <w:rPr>
          <w:rFonts w:ascii="宋体" w:hAnsi="宋体" w:eastAsia="宋体" w:cs="宋体"/>
          <w:sz w:val="20"/>
          <w:szCs w:val="20"/>
        </w:rPr>
      </w:pPr>
      <w:r>
        <w:rPr>
          <w:rFonts w:ascii="宋体" w:hAnsi="宋体" w:eastAsia="宋体" w:cs="宋体"/>
          <w:spacing w:val="9"/>
          <w:position w:val="1"/>
          <w:sz w:val="20"/>
          <w:szCs w:val="20"/>
        </w:rPr>
        <w:t>注：表中企业管理费费率不包括总承包服务费费率。</w:t>
      </w:r>
    </w:p>
    <w:p>
      <w:pPr>
        <w:spacing w:line="278" w:lineRule="exact"/>
        <w:rPr>
          <w:rFonts w:ascii="宋体" w:hAnsi="宋体" w:eastAsia="宋体" w:cs="宋体"/>
          <w:sz w:val="20"/>
          <w:szCs w:val="20"/>
        </w:rPr>
        <w:sectPr>
          <w:footerReference r:id="rId122" w:type="default"/>
          <w:pgSz w:w="11906" w:h="16839"/>
          <w:pgMar w:top="400" w:right="1303" w:bottom="1212" w:left="1302" w:header="0" w:footer="897" w:gutter="0"/>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2"/>
        <w:spacing w:before="103" w:line="197" w:lineRule="auto"/>
        <w:ind w:left="743"/>
        <w:rPr>
          <w:sz w:val="24"/>
          <w:szCs w:val="24"/>
        </w:rPr>
      </w:pPr>
      <w:r>
        <w:rPr>
          <w:spacing w:val="-8"/>
          <w:sz w:val="24"/>
          <w:szCs w:val="24"/>
        </w:rPr>
        <w:t>（ 二 ）总承包服务费、采购保管费</w:t>
      </w:r>
    </w:p>
    <w:p>
      <w:pPr>
        <w:spacing w:before="56" w:line="233" w:lineRule="auto"/>
        <w:ind w:left="8540"/>
        <w:rPr>
          <w:rFonts w:ascii="宋体" w:hAnsi="宋体" w:eastAsia="宋体" w:cs="宋体"/>
          <w:sz w:val="20"/>
          <w:szCs w:val="20"/>
        </w:rPr>
      </w:pPr>
      <w:r>
        <w:rPr>
          <w:rFonts w:ascii="宋体" w:hAnsi="宋体" w:eastAsia="宋体" w:cs="宋体"/>
          <w:spacing w:val="24"/>
          <w:sz w:val="20"/>
          <w:szCs w:val="20"/>
        </w:rPr>
        <w:t>单位：%</w:t>
      </w:r>
    </w:p>
    <w:tbl>
      <w:tblPr>
        <w:tblStyle w:val="5"/>
        <w:tblW w:w="9285" w:type="dxa"/>
        <w:tblInd w:w="1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15"/>
        <w:gridCol w:w="2045"/>
        <w:gridCol w:w="4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3115" w:type="dxa"/>
            <w:tcBorders>
              <w:top w:val="single" w:color="000000" w:sz="6" w:space="0"/>
              <w:left w:val="single" w:color="000000" w:sz="6" w:space="0"/>
            </w:tcBorders>
            <w:vAlign w:val="top"/>
          </w:tcPr>
          <w:p>
            <w:pPr>
              <w:spacing w:before="141" w:line="219" w:lineRule="auto"/>
              <w:ind w:left="1141"/>
              <w:rPr>
                <w:rFonts w:ascii="宋体" w:hAnsi="宋体" w:eastAsia="宋体" w:cs="宋体"/>
                <w:sz w:val="20"/>
                <w:szCs w:val="20"/>
              </w:rPr>
            </w:pPr>
            <w:r>
              <w:rPr>
                <w:rFonts w:ascii="宋体" w:hAnsi="宋体" w:eastAsia="宋体" w:cs="宋体"/>
                <w:spacing w:val="6"/>
                <w:sz w:val="20"/>
                <w:szCs w:val="20"/>
              </w:rPr>
              <w:t>费用名称</w:t>
            </w:r>
          </w:p>
        </w:tc>
        <w:tc>
          <w:tcPr>
            <w:tcW w:w="6170" w:type="dxa"/>
            <w:gridSpan w:val="2"/>
            <w:tcBorders>
              <w:top w:val="single" w:color="000000" w:sz="6" w:space="0"/>
              <w:right w:val="single" w:color="000000" w:sz="6" w:space="0"/>
            </w:tcBorders>
            <w:vAlign w:val="top"/>
          </w:tcPr>
          <w:p>
            <w:pPr>
              <w:spacing w:before="117" w:line="222" w:lineRule="auto"/>
              <w:ind w:left="2881"/>
              <w:rPr>
                <w:rFonts w:ascii="宋体" w:hAnsi="宋体" w:eastAsia="宋体" w:cs="宋体"/>
                <w:sz w:val="20"/>
                <w:szCs w:val="20"/>
              </w:rPr>
            </w:pPr>
            <w:r>
              <w:rPr>
                <w:rFonts w:ascii="宋体" w:hAnsi="宋体" w:eastAsia="宋体" w:cs="宋体"/>
                <w:spacing w:val="3"/>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3115" w:type="dxa"/>
            <w:tcBorders>
              <w:left w:val="single" w:color="000000" w:sz="6" w:space="0"/>
            </w:tcBorders>
            <w:vAlign w:val="top"/>
          </w:tcPr>
          <w:p>
            <w:pPr>
              <w:spacing w:before="134" w:line="219" w:lineRule="auto"/>
              <w:ind w:left="931"/>
              <w:rPr>
                <w:rFonts w:ascii="宋体" w:hAnsi="宋体" w:eastAsia="宋体" w:cs="宋体"/>
                <w:sz w:val="20"/>
                <w:szCs w:val="20"/>
              </w:rPr>
            </w:pPr>
            <w:r>
              <w:rPr>
                <w:rFonts w:ascii="宋体" w:hAnsi="宋体" w:eastAsia="宋体" w:cs="宋体"/>
                <w:spacing w:val="7"/>
                <w:sz w:val="20"/>
                <w:szCs w:val="20"/>
              </w:rPr>
              <w:t>总承包服务费</w:t>
            </w:r>
          </w:p>
        </w:tc>
        <w:tc>
          <w:tcPr>
            <w:tcW w:w="6170" w:type="dxa"/>
            <w:gridSpan w:val="2"/>
            <w:tcBorders>
              <w:right w:val="single" w:color="000000" w:sz="6" w:space="0"/>
            </w:tcBorders>
            <w:vAlign w:val="top"/>
          </w:tcPr>
          <w:p>
            <w:pPr>
              <w:spacing w:before="128" w:line="238" w:lineRule="auto"/>
              <w:ind w:left="2959"/>
              <w:rPr>
                <w:rFonts w:ascii="宋体" w:hAnsi="宋体" w:eastAsia="宋体" w:cs="宋体"/>
                <w:sz w:val="20"/>
                <w:szCs w:val="20"/>
              </w:rPr>
            </w:pPr>
            <w:r>
              <w:rPr>
                <w:rFonts w:ascii="宋体" w:hAnsi="宋体" w:eastAsia="宋体" w:cs="宋体"/>
                <w:spacing w:val="-18"/>
                <w:sz w:val="20"/>
                <w:szCs w:val="20"/>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3115" w:type="dxa"/>
            <w:vMerge w:val="restart"/>
            <w:tcBorders>
              <w:left w:val="single" w:color="000000" w:sz="6" w:space="0"/>
              <w:bottom w:val="nil"/>
            </w:tcBorders>
            <w:vAlign w:val="top"/>
          </w:tcPr>
          <w:p>
            <w:pPr>
              <w:pStyle w:val="6"/>
              <w:spacing w:line="272" w:lineRule="auto"/>
            </w:pPr>
          </w:p>
          <w:p>
            <w:pPr>
              <w:spacing w:before="65" w:line="220" w:lineRule="auto"/>
              <w:ind w:left="1029"/>
              <w:rPr>
                <w:rFonts w:ascii="宋体" w:hAnsi="宋体" w:eastAsia="宋体" w:cs="宋体"/>
                <w:sz w:val="20"/>
                <w:szCs w:val="20"/>
              </w:rPr>
            </w:pPr>
            <w:r>
              <w:rPr>
                <w:rFonts w:ascii="宋体" w:hAnsi="宋体" w:eastAsia="宋体" w:cs="宋体"/>
                <w:spacing w:val="8"/>
                <w:sz w:val="20"/>
                <w:szCs w:val="20"/>
              </w:rPr>
              <w:t>采购保管费</w:t>
            </w:r>
          </w:p>
        </w:tc>
        <w:tc>
          <w:tcPr>
            <w:tcW w:w="2045" w:type="dxa"/>
            <w:vAlign w:val="top"/>
          </w:tcPr>
          <w:p>
            <w:pPr>
              <w:spacing w:before="132" w:line="234" w:lineRule="auto"/>
              <w:ind w:left="815"/>
              <w:rPr>
                <w:rFonts w:ascii="宋体" w:hAnsi="宋体" w:eastAsia="宋体" w:cs="宋体"/>
                <w:sz w:val="20"/>
                <w:szCs w:val="20"/>
              </w:rPr>
            </w:pPr>
            <w:r>
              <w:rPr>
                <w:rFonts w:ascii="宋体" w:hAnsi="宋体" w:eastAsia="宋体" w:cs="宋体"/>
                <w:spacing w:val="6"/>
                <w:sz w:val="20"/>
                <w:szCs w:val="20"/>
              </w:rPr>
              <w:t>材料</w:t>
            </w:r>
          </w:p>
        </w:tc>
        <w:tc>
          <w:tcPr>
            <w:tcW w:w="4125" w:type="dxa"/>
            <w:tcBorders>
              <w:right w:val="single" w:color="000000" w:sz="6" w:space="0"/>
            </w:tcBorders>
            <w:vAlign w:val="top"/>
          </w:tcPr>
          <w:p>
            <w:pPr>
              <w:spacing w:before="132" w:line="234" w:lineRule="auto"/>
              <w:ind w:left="1935"/>
              <w:rPr>
                <w:rFonts w:ascii="宋体" w:hAnsi="宋体" w:eastAsia="宋体" w:cs="宋体"/>
                <w:sz w:val="20"/>
                <w:szCs w:val="20"/>
              </w:rPr>
            </w:pPr>
            <w:r>
              <w:rPr>
                <w:rFonts w:ascii="宋体" w:hAnsi="宋体" w:eastAsia="宋体" w:cs="宋体"/>
                <w:spacing w:val="-17"/>
                <w:sz w:val="20"/>
                <w:szCs w:val="20"/>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3115" w:type="dxa"/>
            <w:vMerge w:val="continue"/>
            <w:tcBorders>
              <w:top w:val="nil"/>
              <w:left w:val="single" w:color="000000" w:sz="6" w:space="0"/>
              <w:bottom w:val="single" w:color="000000" w:sz="6" w:space="0"/>
            </w:tcBorders>
            <w:vAlign w:val="top"/>
          </w:tcPr>
          <w:p>
            <w:pPr>
              <w:pStyle w:val="6"/>
            </w:pPr>
          </w:p>
        </w:tc>
        <w:tc>
          <w:tcPr>
            <w:tcW w:w="2045" w:type="dxa"/>
            <w:tcBorders>
              <w:bottom w:val="single" w:color="000000" w:sz="6" w:space="0"/>
            </w:tcBorders>
            <w:vAlign w:val="top"/>
          </w:tcPr>
          <w:p>
            <w:pPr>
              <w:spacing w:before="140" w:line="223" w:lineRule="auto"/>
              <w:ind w:left="810"/>
              <w:rPr>
                <w:rFonts w:ascii="宋体" w:hAnsi="宋体" w:eastAsia="宋体" w:cs="宋体"/>
                <w:sz w:val="20"/>
                <w:szCs w:val="20"/>
              </w:rPr>
            </w:pPr>
            <w:r>
              <w:rPr>
                <w:rFonts w:ascii="宋体" w:hAnsi="宋体" w:eastAsia="宋体" w:cs="宋体"/>
                <w:spacing w:val="8"/>
                <w:sz w:val="20"/>
                <w:szCs w:val="20"/>
              </w:rPr>
              <w:t>设备</w:t>
            </w:r>
          </w:p>
        </w:tc>
        <w:tc>
          <w:tcPr>
            <w:tcW w:w="4125" w:type="dxa"/>
            <w:tcBorders>
              <w:bottom w:val="single" w:color="000000" w:sz="6" w:space="0"/>
              <w:right w:val="single" w:color="000000" w:sz="6" w:space="0"/>
            </w:tcBorders>
            <w:vAlign w:val="top"/>
          </w:tcPr>
          <w:p>
            <w:pPr>
              <w:spacing w:before="136" w:line="267" w:lineRule="exact"/>
              <w:ind w:left="1952"/>
              <w:rPr>
                <w:rFonts w:ascii="宋体" w:hAnsi="宋体" w:eastAsia="宋体" w:cs="宋体"/>
                <w:sz w:val="20"/>
                <w:szCs w:val="20"/>
              </w:rPr>
            </w:pPr>
            <w:r>
              <w:rPr>
                <w:rFonts w:ascii="宋体" w:hAnsi="宋体" w:eastAsia="宋体" w:cs="宋体"/>
                <w:spacing w:val="-22"/>
                <w:position w:val="1"/>
                <w:sz w:val="20"/>
                <w:szCs w:val="20"/>
              </w:rPr>
              <w:t>1.0</w:t>
            </w:r>
          </w:p>
        </w:tc>
      </w:tr>
    </w:tbl>
    <w:p>
      <w:pPr>
        <w:spacing w:line="276" w:lineRule="auto"/>
        <w:rPr>
          <w:rFonts w:ascii="Arial"/>
          <w:sz w:val="21"/>
        </w:rPr>
      </w:pPr>
    </w:p>
    <w:p>
      <w:pPr>
        <w:pStyle w:val="2"/>
        <w:spacing w:before="120" w:line="198" w:lineRule="auto"/>
        <w:ind w:left="851"/>
        <w:rPr>
          <w:sz w:val="28"/>
          <w:szCs w:val="28"/>
        </w:rPr>
      </w:pPr>
      <w:r>
        <w:rPr>
          <w:spacing w:val="-5"/>
          <w:sz w:val="28"/>
          <w:szCs w:val="28"/>
        </w:rPr>
        <w:t>三、规费</w:t>
      </w:r>
    </w:p>
    <w:p>
      <w:pPr>
        <w:pStyle w:val="2"/>
        <w:spacing w:line="219" w:lineRule="auto"/>
        <w:ind w:left="3259" w:right="1452" w:hanging="2516"/>
        <w:rPr>
          <w:sz w:val="24"/>
          <w:szCs w:val="24"/>
        </w:rPr>
      </w:pPr>
      <w:r>
        <w:rPr>
          <w:spacing w:val="-5"/>
          <w:sz w:val="24"/>
          <w:szCs w:val="24"/>
        </w:rPr>
        <w:t>（ 一 ）建筑、装饰、安装、园林绿化、城市地下综合管廊、房屋修</w:t>
      </w:r>
      <w:r>
        <w:rPr>
          <w:spacing w:val="-6"/>
          <w:sz w:val="24"/>
          <w:szCs w:val="24"/>
        </w:rPr>
        <w:t>缮、</w:t>
      </w:r>
      <w:r>
        <w:rPr>
          <w:spacing w:val="-2"/>
          <w:sz w:val="24"/>
          <w:szCs w:val="24"/>
        </w:rPr>
        <w:t>市政养护维修、仿古建筑工程</w:t>
      </w:r>
    </w:p>
    <w:p>
      <w:pPr>
        <w:spacing w:line="268" w:lineRule="auto"/>
        <w:rPr>
          <w:rFonts w:ascii="Arial"/>
          <w:sz w:val="21"/>
        </w:rPr>
      </w:pPr>
    </w:p>
    <w:p>
      <w:pPr>
        <w:pStyle w:val="2"/>
        <w:spacing w:before="86" w:line="210" w:lineRule="auto"/>
        <w:ind w:left="4266"/>
        <w:rPr>
          <w:sz w:val="20"/>
          <w:szCs w:val="20"/>
        </w:rPr>
      </w:pPr>
      <w:r>
        <w:rPr>
          <w:spacing w:val="3"/>
          <w:sz w:val="20"/>
          <w:szCs w:val="20"/>
        </w:rPr>
        <w:t>1.  一般计税法下</w:t>
      </w:r>
    </w:p>
    <w:p>
      <w:pPr>
        <w:spacing w:before="66" w:line="232" w:lineRule="auto"/>
        <w:ind w:left="8540"/>
        <w:rPr>
          <w:rFonts w:ascii="宋体" w:hAnsi="宋体" w:eastAsia="宋体" w:cs="宋体"/>
          <w:sz w:val="20"/>
          <w:szCs w:val="20"/>
        </w:rPr>
      </w:pPr>
      <w:r>
        <w:rPr>
          <w:rFonts w:ascii="宋体" w:hAnsi="宋体" w:eastAsia="宋体" w:cs="宋体"/>
          <w:spacing w:val="24"/>
          <w:sz w:val="20"/>
          <w:szCs w:val="20"/>
        </w:rPr>
        <w:t>单位：%</w:t>
      </w:r>
    </w:p>
    <w:tbl>
      <w:tblPr>
        <w:tblStyle w:val="5"/>
        <w:tblW w:w="959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966"/>
        <w:gridCol w:w="689"/>
        <w:gridCol w:w="669"/>
        <w:gridCol w:w="669"/>
        <w:gridCol w:w="699"/>
        <w:gridCol w:w="643"/>
        <w:gridCol w:w="649"/>
        <w:gridCol w:w="720"/>
        <w:gridCol w:w="679"/>
        <w:gridCol w:w="679"/>
        <w:gridCol w:w="649"/>
        <w:gridCol w:w="7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05" w:hRule="atLeast"/>
        </w:trPr>
        <w:tc>
          <w:tcPr>
            <w:tcW w:w="2126" w:type="dxa"/>
            <w:gridSpan w:val="2"/>
            <w:vMerge w:val="restart"/>
            <w:tcBorders>
              <w:top w:val="single" w:color="000000" w:sz="6" w:space="0"/>
              <w:left w:val="single" w:color="000000" w:sz="6" w:space="0"/>
              <w:bottom w:val="nil"/>
              <w:tl2br w:val="single" w:color="000000" w:sz="4" w:space="0"/>
            </w:tcBorders>
            <w:vAlign w:val="top"/>
          </w:tcPr>
          <w:p>
            <w:pPr>
              <w:spacing w:before="179" w:line="223" w:lineRule="auto"/>
              <w:ind w:left="1163"/>
              <w:rPr>
                <w:rFonts w:ascii="宋体" w:hAnsi="宋体" w:eastAsia="宋体" w:cs="宋体"/>
                <w:sz w:val="20"/>
                <w:szCs w:val="20"/>
              </w:rPr>
            </w:pPr>
            <w:r>
              <w:rPr>
                <w:rFonts w:ascii="宋体" w:hAnsi="宋体" w:eastAsia="宋体" w:cs="宋体"/>
                <w:spacing w:val="8"/>
                <w:sz w:val="20"/>
                <w:szCs w:val="20"/>
              </w:rPr>
              <w:t>专业名称</w:t>
            </w:r>
          </w:p>
          <w:p>
            <w:pPr>
              <w:pStyle w:val="6"/>
              <w:spacing w:line="414" w:lineRule="auto"/>
            </w:pPr>
          </w:p>
          <w:p>
            <w:pPr>
              <w:spacing w:before="65" w:line="219" w:lineRule="auto"/>
              <w:ind w:left="114"/>
              <w:rPr>
                <w:rFonts w:ascii="宋体" w:hAnsi="宋体" w:eastAsia="宋体" w:cs="宋体"/>
                <w:sz w:val="20"/>
                <w:szCs w:val="20"/>
              </w:rPr>
            </w:pPr>
            <w:r>
              <w:rPr>
                <w:rFonts w:ascii="宋体" w:hAnsi="宋体" w:eastAsia="宋体" w:cs="宋体"/>
                <w:spacing w:val="6"/>
                <w:sz w:val="20"/>
                <w:szCs w:val="20"/>
              </w:rPr>
              <w:t>费用名称</w:t>
            </w:r>
          </w:p>
        </w:tc>
        <w:tc>
          <w:tcPr>
            <w:tcW w:w="689" w:type="dxa"/>
            <w:vMerge w:val="restart"/>
            <w:tcBorders>
              <w:top w:val="single" w:color="000000" w:sz="6" w:space="0"/>
              <w:bottom w:val="nil"/>
            </w:tcBorders>
            <w:vAlign w:val="top"/>
          </w:tcPr>
          <w:p>
            <w:pPr>
              <w:pStyle w:val="6"/>
              <w:spacing w:line="304" w:lineRule="auto"/>
            </w:pPr>
          </w:p>
          <w:p>
            <w:pPr>
              <w:spacing w:before="65" w:line="283" w:lineRule="auto"/>
              <w:ind w:left="132" w:right="138"/>
              <w:rPr>
                <w:rFonts w:ascii="宋体" w:hAnsi="宋体" w:eastAsia="宋体" w:cs="宋体"/>
                <w:sz w:val="20"/>
                <w:szCs w:val="20"/>
              </w:rPr>
            </w:pPr>
            <w:r>
              <w:rPr>
                <w:rFonts w:ascii="宋体" w:hAnsi="宋体" w:eastAsia="宋体" w:cs="宋体"/>
                <w:spacing w:val="6"/>
                <w:sz w:val="20"/>
                <w:szCs w:val="20"/>
              </w:rPr>
              <w:t>建筑工程</w:t>
            </w:r>
          </w:p>
        </w:tc>
        <w:tc>
          <w:tcPr>
            <w:tcW w:w="669" w:type="dxa"/>
            <w:vMerge w:val="restart"/>
            <w:tcBorders>
              <w:top w:val="single" w:color="000000" w:sz="6" w:space="0"/>
              <w:bottom w:val="nil"/>
            </w:tcBorders>
            <w:vAlign w:val="top"/>
          </w:tcPr>
          <w:p>
            <w:pPr>
              <w:pStyle w:val="6"/>
              <w:spacing w:line="306" w:lineRule="auto"/>
            </w:pPr>
          </w:p>
          <w:p>
            <w:pPr>
              <w:spacing w:before="65" w:line="283" w:lineRule="auto"/>
              <w:ind w:left="124" w:right="125" w:hanging="1"/>
              <w:rPr>
                <w:rFonts w:ascii="宋体" w:hAnsi="宋体" w:eastAsia="宋体" w:cs="宋体"/>
                <w:sz w:val="20"/>
                <w:szCs w:val="20"/>
              </w:rPr>
            </w:pPr>
            <w:r>
              <w:rPr>
                <w:rFonts w:ascii="宋体" w:hAnsi="宋体" w:eastAsia="宋体" w:cs="宋体"/>
                <w:spacing w:val="7"/>
                <w:sz w:val="20"/>
                <w:szCs w:val="20"/>
              </w:rPr>
              <w:t>装饰</w:t>
            </w:r>
            <w:r>
              <w:rPr>
                <w:rFonts w:ascii="宋体" w:hAnsi="宋体" w:eastAsia="宋体" w:cs="宋体"/>
                <w:spacing w:val="6"/>
                <w:sz w:val="20"/>
                <w:szCs w:val="20"/>
              </w:rPr>
              <w:t>工程</w:t>
            </w:r>
          </w:p>
        </w:tc>
        <w:tc>
          <w:tcPr>
            <w:tcW w:w="1368" w:type="dxa"/>
            <w:gridSpan w:val="2"/>
            <w:tcBorders>
              <w:top w:val="single" w:color="000000" w:sz="6" w:space="0"/>
            </w:tcBorders>
            <w:vAlign w:val="top"/>
          </w:tcPr>
          <w:p>
            <w:pPr>
              <w:spacing w:before="219" w:line="219" w:lineRule="auto"/>
              <w:ind w:left="265"/>
              <w:rPr>
                <w:rFonts w:ascii="宋体" w:hAnsi="宋体" w:eastAsia="宋体" w:cs="宋体"/>
                <w:sz w:val="20"/>
                <w:szCs w:val="20"/>
              </w:rPr>
            </w:pPr>
            <w:r>
              <w:rPr>
                <w:rFonts w:ascii="宋体" w:hAnsi="宋体" w:eastAsia="宋体" w:cs="宋体"/>
                <w:spacing w:val="8"/>
                <w:sz w:val="20"/>
                <w:szCs w:val="20"/>
              </w:rPr>
              <w:t>安装工程</w:t>
            </w:r>
          </w:p>
        </w:tc>
        <w:tc>
          <w:tcPr>
            <w:tcW w:w="643" w:type="dxa"/>
            <w:vMerge w:val="restart"/>
            <w:tcBorders>
              <w:top w:val="single" w:color="000000" w:sz="6" w:space="0"/>
              <w:bottom w:val="nil"/>
            </w:tcBorders>
            <w:vAlign w:val="top"/>
          </w:tcPr>
          <w:p>
            <w:pPr>
              <w:spacing w:before="223" w:line="280" w:lineRule="auto"/>
              <w:ind w:left="114" w:right="111" w:firstLine="14"/>
              <w:jc w:val="both"/>
              <w:rPr>
                <w:rFonts w:ascii="宋体" w:hAnsi="宋体" w:eastAsia="宋体" w:cs="宋体"/>
                <w:sz w:val="20"/>
                <w:szCs w:val="20"/>
              </w:rPr>
            </w:pPr>
            <w:r>
              <w:rPr>
                <w:rFonts w:ascii="宋体" w:hAnsi="宋体" w:eastAsia="宋体" w:cs="宋体"/>
                <w:spacing w:val="-1"/>
                <w:sz w:val="20"/>
                <w:szCs w:val="20"/>
              </w:rPr>
              <w:t>园林</w:t>
            </w:r>
            <w:r>
              <w:rPr>
                <w:rFonts w:ascii="宋体" w:hAnsi="宋体" w:eastAsia="宋体" w:cs="宋体"/>
                <w:spacing w:val="6"/>
                <w:sz w:val="20"/>
                <w:szCs w:val="20"/>
              </w:rPr>
              <w:t>绿化工程</w:t>
            </w:r>
          </w:p>
        </w:tc>
        <w:tc>
          <w:tcPr>
            <w:tcW w:w="1369" w:type="dxa"/>
            <w:gridSpan w:val="2"/>
            <w:tcBorders>
              <w:top w:val="single" w:color="000000" w:sz="6" w:space="0"/>
            </w:tcBorders>
            <w:vAlign w:val="top"/>
          </w:tcPr>
          <w:p>
            <w:pPr>
              <w:spacing w:before="69" w:line="219" w:lineRule="auto"/>
              <w:ind w:left="162"/>
              <w:rPr>
                <w:rFonts w:ascii="宋体" w:hAnsi="宋体" w:eastAsia="宋体" w:cs="宋体"/>
                <w:sz w:val="20"/>
                <w:szCs w:val="20"/>
              </w:rPr>
            </w:pPr>
            <w:r>
              <w:rPr>
                <w:rFonts w:ascii="宋体" w:hAnsi="宋体" w:eastAsia="宋体" w:cs="宋体"/>
                <w:spacing w:val="8"/>
                <w:sz w:val="20"/>
                <w:szCs w:val="20"/>
              </w:rPr>
              <w:t>城市地下综</w:t>
            </w:r>
          </w:p>
          <w:p>
            <w:pPr>
              <w:spacing w:before="62" w:line="208" w:lineRule="auto"/>
              <w:ind w:left="160"/>
              <w:rPr>
                <w:rFonts w:ascii="宋体" w:hAnsi="宋体" w:eastAsia="宋体" w:cs="宋体"/>
                <w:sz w:val="20"/>
                <w:szCs w:val="20"/>
              </w:rPr>
            </w:pPr>
            <w:r>
              <w:rPr>
                <w:rFonts w:ascii="宋体" w:hAnsi="宋体" w:eastAsia="宋体" w:cs="宋体"/>
                <w:spacing w:val="9"/>
                <w:sz w:val="20"/>
                <w:szCs w:val="20"/>
              </w:rPr>
              <w:t>合管廊工程</w:t>
            </w:r>
          </w:p>
        </w:tc>
        <w:tc>
          <w:tcPr>
            <w:tcW w:w="1358" w:type="dxa"/>
            <w:gridSpan w:val="2"/>
            <w:tcBorders>
              <w:top w:val="single" w:color="000000" w:sz="6" w:space="0"/>
            </w:tcBorders>
            <w:vAlign w:val="top"/>
          </w:tcPr>
          <w:p>
            <w:pPr>
              <w:spacing w:before="70" w:line="242" w:lineRule="auto"/>
              <w:ind w:left="581" w:right="147" w:hanging="419"/>
              <w:rPr>
                <w:rFonts w:ascii="宋体" w:hAnsi="宋体" w:eastAsia="宋体" w:cs="宋体"/>
                <w:sz w:val="20"/>
                <w:szCs w:val="20"/>
              </w:rPr>
            </w:pPr>
            <w:r>
              <w:rPr>
                <w:rFonts w:ascii="宋体" w:hAnsi="宋体" w:eastAsia="宋体" w:cs="宋体"/>
                <w:spacing w:val="8"/>
                <w:sz w:val="20"/>
                <w:szCs w:val="20"/>
              </w:rPr>
              <w:t>房屋修缮工</w:t>
            </w:r>
            <w:r>
              <w:rPr>
                <w:rFonts w:ascii="宋体" w:hAnsi="宋体" w:eastAsia="宋体" w:cs="宋体"/>
                <w:spacing w:val="4"/>
                <w:sz w:val="20"/>
                <w:szCs w:val="20"/>
              </w:rPr>
              <w:t>程</w:t>
            </w:r>
          </w:p>
        </w:tc>
        <w:tc>
          <w:tcPr>
            <w:tcW w:w="649" w:type="dxa"/>
            <w:vMerge w:val="restart"/>
            <w:tcBorders>
              <w:top w:val="single" w:color="000000" w:sz="6" w:space="0"/>
              <w:bottom w:val="nil"/>
            </w:tcBorders>
            <w:vAlign w:val="top"/>
          </w:tcPr>
          <w:p>
            <w:pPr>
              <w:spacing w:before="72" w:line="218" w:lineRule="auto"/>
              <w:ind w:left="124"/>
              <w:rPr>
                <w:rFonts w:ascii="宋体" w:hAnsi="宋体" w:eastAsia="宋体" w:cs="宋体"/>
                <w:sz w:val="20"/>
                <w:szCs w:val="20"/>
              </w:rPr>
            </w:pPr>
            <w:r>
              <w:rPr>
                <w:rFonts w:ascii="宋体" w:hAnsi="宋体" w:eastAsia="宋体" w:cs="宋体"/>
                <w:spacing w:val="6"/>
                <w:sz w:val="20"/>
                <w:szCs w:val="20"/>
              </w:rPr>
              <w:t>市政</w:t>
            </w:r>
          </w:p>
          <w:p>
            <w:pPr>
              <w:spacing w:before="63" w:line="220" w:lineRule="auto"/>
              <w:ind w:left="122"/>
              <w:rPr>
                <w:rFonts w:ascii="宋体" w:hAnsi="宋体" w:eastAsia="宋体" w:cs="宋体"/>
                <w:sz w:val="20"/>
                <w:szCs w:val="20"/>
              </w:rPr>
            </w:pPr>
            <w:r>
              <w:rPr>
                <w:rFonts w:ascii="宋体" w:hAnsi="宋体" w:eastAsia="宋体" w:cs="宋体"/>
                <w:spacing w:val="6"/>
                <w:sz w:val="20"/>
                <w:szCs w:val="20"/>
              </w:rPr>
              <w:t>养护</w:t>
            </w:r>
          </w:p>
          <w:p>
            <w:pPr>
              <w:spacing w:before="61" w:line="220" w:lineRule="auto"/>
              <w:ind w:left="123"/>
              <w:rPr>
                <w:rFonts w:ascii="宋体" w:hAnsi="宋体" w:eastAsia="宋体" w:cs="宋体"/>
                <w:sz w:val="20"/>
                <w:szCs w:val="20"/>
              </w:rPr>
            </w:pPr>
            <w:r>
              <w:rPr>
                <w:rFonts w:ascii="宋体" w:hAnsi="宋体" w:eastAsia="宋体" w:cs="宋体"/>
                <w:spacing w:val="6"/>
                <w:sz w:val="20"/>
                <w:szCs w:val="20"/>
              </w:rPr>
              <w:t>维修</w:t>
            </w:r>
          </w:p>
          <w:p>
            <w:pPr>
              <w:spacing w:before="71" w:line="201" w:lineRule="auto"/>
              <w:ind w:left="123"/>
              <w:rPr>
                <w:rFonts w:ascii="宋体" w:hAnsi="宋体" w:eastAsia="宋体" w:cs="宋体"/>
                <w:sz w:val="20"/>
                <w:szCs w:val="20"/>
              </w:rPr>
            </w:pPr>
            <w:r>
              <w:rPr>
                <w:rFonts w:ascii="宋体" w:hAnsi="宋体" w:eastAsia="宋体" w:cs="宋体"/>
                <w:spacing w:val="6"/>
                <w:sz w:val="20"/>
                <w:szCs w:val="20"/>
              </w:rPr>
              <w:t>工程</w:t>
            </w:r>
          </w:p>
        </w:tc>
        <w:tc>
          <w:tcPr>
            <w:tcW w:w="726" w:type="dxa"/>
            <w:vMerge w:val="restart"/>
            <w:tcBorders>
              <w:top w:val="single" w:color="000000" w:sz="6" w:space="0"/>
              <w:bottom w:val="nil"/>
              <w:right w:val="single" w:color="000000" w:sz="6" w:space="0"/>
            </w:tcBorders>
            <w:vAlign w:val="top"/>
          </w:tcPr>
          <w:p>
            <w:pPr>
              <w:spacing w:before="219" w:line="279" w:lineRule="auto"/>
              <w:ind w:left="156" w:right="144"/>
              <w:rPr>
                <w:rFonts w:ascii="宋体" w:hAnsi="宋体" w:eastAsia="宋体" w:cs="宋体"/>
                <w:sz w:val="20"/>
                <w:szCs w:val="20"/>
              </w:rPr>
            </w:pPr>
            <w:r>
              <w:rPr>
                <w:rFonts w:ascii="宋体" w:hAnsi="宋体" w:eastAsia="宋体" w:cs="宋体"/>
                <w:spacing w:val="7"/>
                <w:sz w:val="20"/>
                <w:szCs w:val="20"/>
              </w:rPr>
              <w:t>仿古</w:t>
            </w:r>
            <w:r>
              <w:rPr>
                <w:rFonts w:ascii="宋体" w:hAnsi="宋体" w:eastAsia="宋体" w:cs="宋体"/>
                <w:spacing w:val="6"/>
                <w:sz w:val="20"/>
                <w:szCs w:val="20"/>
              </w:rPr>
              <w:t>建筑</w:t>
            </w:r>
          </w:p>
          <w:p>
            <w:pPr>
              <w:spacing w:before="8" w:line="209" w:lineRule="auto"/>
              <w:ind w:left="158"/>
              <w:rPr>
                <w:rFonts w:ascii="宋体" w:hAnsi="宋体" w:eastAsia="宋体" w:cs="宋体"/>
                <w:sz w:val="20"/>
                <w:szCs w:val="20"/>
              </w:rPr>
            </w:pPr>
            <w:r>
              <w:rPr>
                <w:rFonts w:ascii="宋体" w:hAnsi="宋体" w:eastAsia="宋体" w:cs="宋体"/>
                <w:spacing w:val="6"/>
                <w:sz w:val="20"/>
                <w:szCs w:val="20"/>
              </w:rPr>
              <w:t>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0" w:hRule="atLeast"/>
        </w:trPr>
        <w:tc>
          <w:tcPr>
            <w:tcW w:w="2126" w:type="dxa"/>
            <w:gridSpan w:val="2"/>
            <w:vMerge w:val="continue"/>
            <w:tcBorders>
              <w:top w:val="nil"/>
              <w:left w:val="single" w:color="000000" w:sz="6" w:space="0"/>
              <w:tl2br w:val="single" w:color="000000" w:sz="4" w:space="0"/>
            </w:tcBorders>
            <w:vAlign w:val="top"/>
          </w:tcPr>
          <w:p>
            <w:pPr>
              <w:pStyle w:val="6"/>
            </w:pPr>
          </w:p>
        </w:tc>
        <w:tc>
          <w:tcPr>
            <w:tcW w:w="689" w:type="dxa"/>
            <w:vMerge w:val="continue"/>
            <w:tcBorders>
              <w:top w:val="nil"/>
            </w:tcBorders>
            <w:vAlign w:val="top"/>
          </w:tcPr>
          <w:p>
            <w:pPr>
              <w:pStyle w:val="6"/>
            </w:pPr>
          </w:p>
        </w:tc>
        <w:tc>
          <w:tcPr>
            <w:tcW w:w="669" w:type="dxa"/>
            <w:vMerge w:val="continue"/>
            <w:tcBorders>
              <w:top w:val="nil"/>
            </w:tcBorders>
            <w:vAlign w:val="top"/>
          </w:tcPr>
          <w:p>
            <w:pPr>
              <w:pStyle w:val="6"/>
            </w:pPr>
          </w:p>
        </w:tc>
        <w:tc>
          <w:tcPr>
            <w:tcW w:w="669" w:type="dxa"/>
            <w:vAlign w:val="top"/>
          </w:tcPr>
          <w:p>
            <w:pPr>
              <w:spacing w:before="220" w:line="212" w:lineRule="auto"/>
              <w:ind w:left="143"/>
              <w:rPr>
                <w:rFonts w:ascii="宋体" w:hAnsi="宋体" w:eastAsia="宋体" w:cs="宋体"/>
                <w:sz w:val="20"/>
                <w:szCs w:val="20"/>
              </w:rPr>
            </w:pPr>
            <w:r>
              <w:rPr>
                <w:rFonts w:ascii="宋体" w:hAnsi="宋体" w:eastAsia="宋体" w:cs="宋体"/>
                <w:spacing w:val="-3"/>
                <w:sz w:val="20"/>
                <w:szCs w:val="20"/>
              </w:rPr>
              <w:t>民用</w:t>
            </w:r>
          </w:p>
        </w:tc>
        <w:tc>
          <w:tcPr>
            <w:tcW w:w="699" w:type="dxa"/>
            <w:vAlign w:val="top"/>
          </w:tcPr>
          <w:p>
            <w:pPr>
              <w:spacing w:before="221" w:line="217" w:lineRule="auto"/>
              <w:ind w:left="141"/>
              <w:rPr>
                <w:rFonts w:ascii="宋体" w:hAnsi="宋体" w:eastAsia="宋体" w:cs="宋体"/>
                <w:sz w:val="20"/>
                <w:szCs w:val="20"/>
              </w:rPr>
            </w:pPr>
            <w:r>
              <w:rPr>
                <w:rFonts w:ascii="宋体" w:hAnsi="宋体" w:eastAsia="宋体" w:cs="宋体"/>
                <w:spacing w:val="6"/>
                <w:sz w:val="20"/>
                <w:szCs w:val="20"/>
              </w:rPr>
              <w:t>工业</w:t>
            </w:r>
          </w:p>
        </w:tc>
        <w:tc>
          <w:tcPr>
            <w:tcW w:w="643" w:type="dxa"/>
            <w:vMerge w:val="continue"/>
            <w:tcBorders>
              <w:top w:val="nil"/>
            </w:tcBorders>
            <w:vAlign w:val="top"/>
          </w:tcPr>
          <w:p>
            <w:pPr>
              <w:pStyle w:val="6"/>
            </w:pPr>
          </w:p>
        </w:tc>
        <w:tc>
          <w:tcPr>
            <w:tcW w:w="649" w:type="dxa"/>
            <w:vAlign w:val="top"/>
          </w:tcPr>
          <w:p>
            <w:pPr>
              <w:spacing w:before="62" w:line="223" w:lineRule="auto"/>
              <w:ind w:left="118"/>
              <w:rPr>
                <w:rFonts w:ascii="宋体" w:hAnsi="宋体" w:eastAsia="宋体" w:cs="宋体"/>
                <w:sz w:val="20"/>
                <w:szCs w:val="20"/>
              </w:rPr>
            </w:pPr>
            <w:r>
              <w:rPr>
                <w:rFonts w:ascii="宋体" w:hAnsi="宋体" w:eastAsia="宋体" w:cs="宋体"/>
                <w:spacing w:val="6"/>
                <w:sz w:val="20"/>
                <w:szCs w:val="20"/>
              </w:rPr>
              <w:t>建筑</w:t>
            </w:r>
          </w:p>
          <w:p>
            <w:pPr>
              <w:spacing w:before="61" w:line="207" w:lineRule="auto"/>
              <w:ind w:left="117"/>
              <w:rPr>
                <w:rFonts w:ascii="宋体" w:hAnsi="宋体" w:eastAsia="宋体" w:cs="宋体"/>
                <w:sz w:val="20"/>
                <w:szCs w:val="20"/>
              </w:rPr>
            </w:pPr>
            <w:r>
              <w:rPr>
                <w:rFonts w:ascii="宋体" w:hAnsi="宋体" w:eastAsia="宋体" w:cs="宋体"/>
                <w:spacing w:val="7"/>
                <w:sz w:val="20"/>
                <w:szCs w:val="20"/>
              </w:rPr>
              <w:t>装饰</w:t>
            </w:r>
          </w:p>
        </w:tc>
        <w:tc>
          <w:tcPr>
            <w:tcW w:w="720" w:type="dxa"/>
            <w:vAlign w:val="top"/>
          </w:tcPr>
          <w:p>
            <w:pPr>
              <w:spacing w:before="65" w:line="219" w:lineRule="auto"/>
              <w:ind w:left="154"/>
              <w:rPr>
                <w:rFonts w:ascii="宋体" w:hAnsi="宋体" w:eastAsia="宋体" w:cs="宋体"/>
                <w:sz w:val="20"/>
                <w:szCs w:val="20"/>
              </w:rPr>
            </w:pPr>
            <w:r>
              <w:rPr>
                <w:rFonts w:ascii="宋体" w:hAnsi="宋体" w:eastAsia="宋体" w:cs="宋体"/>
                <w:spacing w:val="6"/>
                <w:sz w:val="20"/>
                <w:szCs w:val="20"/>
              </w:rPr>
              <w:t>安装</w:t>
            </w:r>
          </w:p>
          <w:p>
            <w:pPr>
              <w:spacing w:before="72" w:line="198" w:lineRule="auto"/>
              <w:ind w:left="154"/>
              <w:rPr>
                <w:rFonts w:ascii="宋体" w:hAnsi="宋体" w:eastAsia="宋体" w:cs="宋体"/>
                <w:sz w:val="20"/>
                <w:szCs w:val="20"/>
              </w:rPr>
            </w:pPr>
            <w:r>
              <w:rPr>
                <w:rFonts w:ascii="宋体" w:hAnsi="宋体" w:eastAsia="宋体" w:cs="宋体"/>
                <w:spacing w:val="6"/>
                <w:sz w:val="20"/>
                <w:szCs w:val="20"/>
              </w:rPr>
              <w:t>工程</w:t>
            </w:r>
          </w:p>
        </w:tc>
        <w:tc>
          <w:tcPr>
            <w:tcW w:w="679" w:type="dxa"/>
            <w:vAlign w:val="top"/>
          </w:tcPr>
          <w:p>
            <w:pPr>
              <w:spacing w:before="62" w:line="223" w:lineRule="auto"/>
              <w:ind w:left="134"/>
              <w:rPr>
                <w:rFonts w:ascii="宋体" w:hAnsi="宋体" w:eastAsia="宋体" w:cs="宋体"/>
                <w:sz w:val="20"/>
                <w:szCs w:val="20"/>
              </w:rPr>
            </w:pPr>
            <w:r>
              <w:rPr>
                <w:rFonts w:ascii="宋体" w:hAnsi="宋体" w:eastAsia="宋体" w:cs="宋体"/>
                <w:spacing w:val="6"/>
                <w:sz w:val="20"/>
                <w:szCs w:val="20"/>
              </w:rPr>
              <w:t>建筑</w:t>
            </w:r>
          </w:p>
          <w:p>
            <w:pPr>
              <w:spacing w:before="70" w:line="198" w:lineRule="auto"/>
              <w:ind w:left="134"/>
              <w:rPr>
                <w:rFonts w:ascii="宋体" w:hAnsi="宋体" w:eastAsia="宋体" w:cs="宋体"/>
                <w:sz w:val="20"/>
                <w:szCs w:val="20"/>
              </w:rPr>
            </w:pPr>
            <w:r>
              <w:rPr>
                <w:rFonts w:ascii="宋体" w:hAnsi="宋体" w:eastAsia="宋体" w:cs="宋体"/>
                <w:spacing w:val="6"/>
                <w:sz w:val="20"/>
                <w:szCs w:val="20"/>
              </w:rPr>
              <w:t>工程</w:t>
            </w:r>
          </w:p>
        </w:tc>
        <w:tc>
          <w:tcPr>
            <w:tcW w:w="679" w:type="dxa"/>
            <w:vAlign w:val="top"/>
          </w:tcPr>
          <w:p>
            <w:pPr>
              <w:spacing w:before="65" w:line="219" w:lineRule="auto"/>
              <w:ind w:left="137"/>
              <w:rPr>
                <w:rFonts w:ascii="宋体" w:hAnsi="宋体" w:eastAsia="宋体" w:cs="宋体"/>
                <w:sz w:val="20"/>
                <w:szCs w:val="20"/>
              </w:rPr>
            </w:pPr>
            <w:r>
              <w:rPr>
                <w:rFonts w:ascii="宋体" w:hAnsi="宋体" w:eastAsia="宋体" w:cs="宋体"/>
                <w:spacing w:val="6"/>
                <w:sz w:val="20"/>
                <w:szCs w:val="20"/>
              </w:rPr>
              <w:t>安装</w:t>
            </w:r>
          </w:p>
          <w:p>
            <w:pPr>
              <w:spacing w:before="72" w:line="198" w:lineRule="auto"/>
              <w:ind w:left="137"/>
              <w:rPr>
                <w:rFonts w:ascii="宋体" w:hAnsi="宋体" w:eastAsia="宋体" w:cs="宋体"/>
                <w:sz w:val="20"/>
                <w:szCs w:val="20"/>
              </w:rPr>
            </w:pPr>
            <w:r>
              <w:rPr>
                <w:rFonts w:ascii="宋体" w:hAnsi="宋体" w:eastAsia="宋体" w:cs="宋体"/>
                <w:spacing w:val="6"/>
                <w:sz w:val="20"/>
                <w:szCs w:val="20"/>
              </w:rPr>
              <w:t>工程</w:t>
            </w:r>
          </w:p>
        </w:tc>
        <w:tc>
          <w:tcPr>
            <w:tcW w:w="649" w:type="dxa"/>
            <w:vMerge w:val="continue"/>
            <w:tcBorders>
              <w:top w:val="nil"/>
            </w:tcBorders>
            <w:vAlign w:val="top"/>
          </w:tcPr>
          <w:p>
            <w:pPr>
              <w:pStyle w:val="6"/>
            </w:pPr>
          </w:p>
        </w:tc>
        <w:tc>
          <w:tcPr>
            <w:tcW w:w="726"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20" w:line="216" w:lineRule="auto"/>
              <w:ind w:left="324"/>
              <w:rPr>
                <w:rFonts w:ascii="宋体" w:hAnsi="宋体" w:eastAsia="宋体" w:cs="宋体"/>
                <w:sz w:val="20"/>
                <w:szCs w:val="20"/>
              </w:rPr>
            </w:pPr>
            <w:r>
              <w:rPr>
                <w:rFonts w:ascii="宋体" w:hAnsi="宋体" w:eastAsia="宋体" w:cs="宋体"/>
                <w:spacing w:val="9"/>
                <w:sz w:val="20"/>
                <w:szCs w:val="20"/>
              </w:rPr>
              <w:t>安全文明施工费</w:t>
            </w:r>
          </w:p>
        </w:tc>
        <w:tc>
          <w:tcPr>
            <w:tcW w:w="689" w:type="dxa"/>
            <w:vAlign w:val="top"/>
          </w:tcPr>
          <w:p>
            <w:pPr>
              <w:spacing w:before="112" w:line="223" w:lineRule="auto"/>
              <w:ind w:left="162"/>
              <w:rPr>
                <w:rFonts w:ascii="宋体" w:hAnsi="宋体" w:eastAsia="宋体" w:cs="宋体"/>
                <w:sz w:val="20"/>
                <w:szCs w:val="20"/>
              </w:rPr>
            </w:pPr>
            <w:r>
              <w:rPr>
                <w:rFonts w:ascii="宋体" w:hAnsi="宋体" w:eastAsia="宋体" w:cs="宋体"/>
                <w:spacing w:val="-11"/>
                <w:sz w:val="20"/>
                <w:szCs w:val="20"/>
              </w:rPr>
              <w:t>5.64</w:t>
            </w:r>
          </w:p>
        </w:tc>
        <w:tc>
          <w:tcPr>
            <w:tcW w:w="669" w:type="dxa"/>
            <w:vAlign w:val="top"/>
          </w:tcPr>
          <w:p>
            <w:pPr>
              <w:spacing w:before="112" w:line="223" w:lineRule="auto"/>
              <w:ind w:left="152"/>
              <w:rPr>
                <w:rFonts w:ascii="宋体" w:hAnsi="宋体" w:eastAsia="宋体" w:cs="宋体"/>
                <w:sz w:val="20"/>
                <w:szCs w:val="20"/>
              </w:rPr>
            </w:pPr>
            <w:r>
              <w:rPr>
                <w:rFonts w:ascii="宋体" w:hAnsi="宋体" w:eastAsia="宋体" w:cs="宋体"/>
                <w:spacing w:val="-11"/>
                <w:sz w:val="20"/>
                <w:szCs w:val="20"/>
              </w:rPr>
              <w:t>5.32</w:t>
            </w:r>
          </w:p>
        </w:tc>
        <w:tc>
          <w:tcPr>
            <w:tcW w:w="669" w:type="dxa"/>
            <w:vAlign w:val="top"/>
          </w:tcPr>
          <w:p>
            <w:pPr>
              <w:spacing w:before="112" w:line="223" w:lineRule="auto"/>
              <w:ind w:left="154"/>
              <w:rPr>
                <w:rFonts w:ascii="宋体" w:hAnsi="宋体" w:eastAsia="宋体" w:cs="宋体"/>
                <w:sz w:val="20"/>
                <w:szCs w:val="20"/>
              </w:rPr>
            </w:pPr>
            <w:r>
              <w:rPr>
                <w:rFonts w:ascii="宋体" w:hAnsi="宋体" w:eastAsia="宋体" w:cs="宋体"/>
                <w:spacing w:val="-11"/>
                <w:sz w:val="20"/>
                <w:szCs w:val="20"/>
              </w:rPr>
              <w:t>6.15</w:t>
            </w:r>
          </w:p>
        </w:tc>
        <w:tc>
          <w:tcPr>
            <w:tcW w:w="699" w:type="dxa"/>
            <w:vAlign w:val="top"/>
          </w:tcPr>
          <w:p>
            <w:pPr>
              <w:spacing w:before="112" w:line="223" w:lineRule="auto"/>
              <w:ind w:left="167"/>
              <w:rPr>
                <w:rFonts w:ascii="宋体" w:hAnsi="宋体" w:eastAsia="宋体" w:cs="宋体"/>
                <w:sz w:val="20"/>
                <w:szCs w:val="20"/>
              </w:rPr>
            </w:pPr>
            <w:r>
              <w:rPr>
                <w:rFonts w:ascii="宋体" w:hAnsi="宋体" w:eastAsia="宋体" w:cs="宋体"/>
                <w:spacing w:val="-10"/>
                <w:sz w:val="20"/>
                <w:szCs w:val="20"/>
              </w:rPr>
              <w:t>4.96</w:t>
            </w:r>
          </w:p>
        </w:tc>
        <w:tc>
          <w:tcPr>
            <w:tcW w:w="643" w:type="dxa"/>
            <w:vAlign w:val="top"/>
          </w:tcPr>
          <w:p>
            <w:pPr>
              <w:spacing w:before="112" w:line="223" w:lineRule="auto"/>
              <w:ind w:left="146"/>
              <w:rPr>
                <w:rFonts w:ascii="宋体" w:hAnsi="宋体" w:eastAsia="宋体" w:cs="宋体"/>
                <w:sz w:val="20"/>
                <w:szCs w:val="20"/>
              </w:rPr>
            </w:pPr>
            <w:r>
              <w:rPr>
                <w:rFonts w:ascii="宋体" w:hAnsi="宋体" w:eastAsia="宋体" w:cs="宋体"/>
                <w:spacing w:val="-12"/>
                <w:sz w:val="20"/>
                <w:szCs w:val="20"/>
              </w:rPr>
              <w:t>3.51</w:t>
            </w:r>
          </w:p>
        </w:tc>
        <w:tc>
          <w:tcPr>
            <w:tcW w:w="649" w:type="dxa"/>
            <w:vAlign w:val="top"/>
          </w:tcPr>
          <w:p>
            <w:pPr>
              <w:spacing w:before="112" w:line="223" w:lineRule="auto"/>
              <w:ind w:left="146"/>
              <w:rPr>
                <w:rFonts w:ascii="宋体" w:hAnsi="宋体" w:eastAsia="宋体" w:cs="宋体"/>
                <w:sz w:val="20"/>
                <w:szCs w:val="20"/>
              </w:rPr>
            </w:pPr>
            <w:r>
              <w:rPr>
                <w:rFonts w:ascii="宋体" w:hAnsi="宋体" w:eastAsia="宋体" w:cs="宋体"/>
                <w:spacing w:val="-11"/>
                <w:sz w:val="20"/>
                <w:szCs w:val="20"/>
              </w:rPr>
              <w:t>5.73</w:t>
            </w:r>
          </w:p>
        </w:tc>
        <w:tc>
          <w:tcPr>
            <w:tcW w:w="720" w:type="dxa"/>
            <w:vAlign w:val="top"/>
          </w:tcPr>
          <w:p>
            <w:pPr>
              <w:spacing w:before="112" w:line="223" w:lineRule="auto"/>
              <w:ind w:left="180"/>
              <w:rPr>
                <w:rFonts w:ascii="宋体" w:hAnsi="宋体" w:eastAsia="宋体" w:cs="宋体"/>
                <w:sz w:val="20"/>
                <w:szCs w:val="20"/>
              </w:rPr>
            </w:pPr>
            <w:r>
              <w:rPr>
                <w:rFonts w:ascii="宋体" w:hAnsi="宋体" w:eastAsia="宋体" w:cs="宋体"/>
                <w:spacing w:val="-10"/>
                <w:sz w:val="20"/>
                <w:szCs w:val="20"/>
              </w:rPr>
              <w:t>4.39</w:t>
            </w:r>
          </w:p>
        </w:tc>
        <w:tc>
          <w:tcPr>
            <w:tcW w:w="679" w:type="dxa"/>
            <w:vAlign w:val="top"/>
          </w:tcPr>
          <w:p>
            <w:pPr>
              <w:spacing w:before="112" w:line="223" w:lineRule="auto"/>
              <w:ind w:left="164"/>
              <w:rPr>
                <w:rFonts w:ascii="宋体" w:hAnsi="宋体" w:eastAsia="宋体" w:cs="宋体"/>
                <w:sz w:val="20"/>
                <w:szCs w:val="20"/>
              </w:rPr>
            </w:pPr>
            <w:r>
              <w:rPr>
                <w:rFonts w:ascii="宋体" w:hAnsi="宋体" w:eastAsia="宋体" w:cs="宋体"/>
                <w:spacing w:val="-11"/>
                <w:sz w:val="20"/>
                <w:szCs w:val="20"/>
              </w:rPr>
              <w:t>5.66</w:t>
            </w:r>
          </w:p>
        </w:tc>
        <w:tc>
          <w:tcPr>
            <w:tcW w:w="679" w:type="dxa"/>
            <w:vAlign w:val="top"/>
          </w:tcPr>
          <w:p>
            <w:pPr>
              <w:spacing w:before="112" w:line="223" w:lineRule="auto"/>
              <w:ind w:left="165"/>
              <w:rPr>
                <w:rFonts w:ascii="宋体" w:hAnsi="宋体" w:eastAsia="宋体" w:cs="宋体"/>
                <w:sz w:val="20"/>
                <w:szCs w:val="20"/>
              </w:rPr>
            </w:pPr>
            <w:r>
              <w:rPr>
                <w:rFonts w:ascii="宋体" w:hAnsi="宋体" w:eastAsia="宋体" w:cs="宋体"/>
                <w:spacing w:val="-11"/>
                <w:sz w:val="20"/>
                <w:szCs w:val="20"/>
              </w:rPr>
              <w:t>6.15</w:t>
            </w:r>
          </w:p>
        </w:tc>
        <w:tc>
          <w:tcPr>
            <w:tcW w:w="649" w:type="dxa"/>
            <w:vAlign w:val="top"/>
          </w:tcPr>
          <w:p>
            <w:pPr>
              <w:spacing w:before="112" w:line="223" w:lineRule="auto"/>
              <w:ind w:left="150"/>
              <w:rPr>
                <w:rFonts w:ascii="宋体" w:hAnsi="宋体" w:eastAsia="宋体" w:cs="宋体"/>
                <w:sz w:val="20"/>
                <w:szCs w:val="20"/>
              </w:rPr>
            </w:pPr>
            <w:r>
              <w:rPr>
                <w:rFonts w:ascii="宋体" w:hAnsi="宋体" w:eastAsia="宋体" w:cs="宋体"/>
                <w:spacing w:val="-11"/>
                <w:sz w:val="20"/>
                <w:szCs w:val="20"/>
              </w:rPr>
              <w:t>5.33</w:t>
            </w:r>
          </w:p>
        </w:tc>
        <w:tc>
          <w:tcPr>
            <w:tcW w:w="726" w:type="dxa"/>
            <w:tcBorders>
              <w:right w:val="single" w:color="000000" w:sz="6" w:space="0"/>
            </w:tcBorders>
            <w:vAlign w:val="top"/>
          </w:tcPr>
          <w:p>
            <w:pPr>
              <w:spacing w:before="112" w:line="223" w:lineRule="auto"/>
              <w:ind w:left="185"/>
              <w:rPr>
                <w:rFonts w:ascii="宋体" w:hAnsi="宋体" w:eastAsia="宋体" w:cs="宋体"/>
                <w:sz w:val="20"/>
                <w:szCs w:val="20"/>
              </w:rPr>
            </w:pPr>
            <w:r>
              <w:rPr>
                <w:rFonts w:ascii="宋体" w:hAnsi="宋体" w:eastAsia="宋体" w:cs="宋体"/>
                <w:spacing w:val="-11"/>
                <w:sz w:val="20"/>
                <w:szCs w:val="20"/>
              </w:rPr>
              <w:t>5.64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2" w:line="223" w:lineRule="auto"/>
              <w:ind w:left="140"/>
              <w:rPr>
                <w:rFonts w:ascii="宋体" w:hAnsi="宋体" w:eastAsia="宋体" w:cs="宋体"/>
                <w:sz w:val="20"/>
                <w:szCs w:val="20"/>
              </w:rPr>
            </w:pPr>
            <w:r>
              <w:rPr>
                <w:rFonts w:ascii="宋体" w:hAnsi="宋体" w:eastAsia="宋体" w:cs="宋体"/>
                <w:spacing w:val="3"/>
                <w:sz w:val="20"/>
                <w:szCs w:val="20"/>
              </w:rPr>
              <w:t>其中：1.安全施工费</w:t>
            </w:r>
          </w:p>
        </w:tc>
        <w:tc>
          <w:tcPr>
            <w:tcW w:w="689" w:type="dxa"/>
            <w:vAlign w:val="top"/>
          </w:tcPr>
          <w:p>
            <w:pPr>
              <w:spacing w:before="112" w:line="223" w:lineRule="auto"/>
              <w:ind w:left="165"/>
              <w:rPr>
                <w:rFonts w:ascii="宋体" w:hAnsi="宋体" w:eastAsia="宋体" w:cs="宋体"/>
                <w:sz w:val="20"/>
                <w:szCs w:val="20"/>
              </w:rPr>
            </w:pPr>
            <w:r>
              <w:rPr>
                <w:rFonts w:ascii="宋体" w:hAnsi="宋体" w:eastAsia="宋体" w:cs="宋体"/>
                <w:spacing w:val="-12"/>
                <w:sz w:val="20"/>
                <w:szCs w:val="20"/>
              </w:rPr>
              <w:t>3.51</w:t>
            </w:r>
          </w:p>
        </w:tc>
        <w:tc>
          <w:tcPr>
            <w:tcW w:w="669" w:type="dxa"/>
            <w:vAlign w:val="top"/>
          </w:tcPr>
          <w:p>
            <w:pPr>
              <w:spacing w:before="112" w:line="223" w:lineRule="auto"/>
              <w:ind w:left="155"/>
              <w:rPr>
                <w:rFonts w:ascii="宋体" w:hAnsi="宋体" w:eastAsia="宋体" w:cs="宋体"/>
                <w:sz w:val="20"/>
                <w:szCs w:val="20"/>
              </w:rPr>
            </w:pPr>
            <w:r>
              <w:rPr>
                <w:rFonts w:ascii="宋体" w:hAnsi="宋体" w:eastAsia="宋体" w:cs="宋体"/>
                <w:spacing w:val="-12"/>
                <w:sz w:val="20"/>
                <w:szCs w:val="20"/>
              </w:rPr>
              <w:t>3.51</w:t>
            </w:r>
          </w:p>
        </w:tc>
        <w:tc>
          <w:tcPr>
            <w:tcW w:w="669" w:type="dxa"/>
            <w:vAlign w:val="top"/>
          </w:tcPr>
          <w:p>
            <w:pPr>
              <w:spacing w:before="112" w:line="223" w:lineRule="auto"/>
              <w:ind w:left="156"/>
              <w:rPr>
                <w:rFonts w:ascii="宋体" w:hAnsi="宋体" w:eastAsia="宋体" w:cs="宋体"/>
                <w:sz w:val="20"/>
                <w:szCs w:val="20"/>
              </w:rPr>
            </w:pPr>
            <w:r>
              <w:rPr>
                <w:rFonts w:ascii="宋体" w:hAnsi="宋体" w:eastAsia="宋体" w:cs="宋体"/>
                <w:spacing w:val="-12"/>
                <w:sz w:val="20"/>
                <w:szCs w:val="20"/>
              </w:rPr>
              <w:t>3.51</w:t>
            </w:r>
          </w:p>
        </w:tc>
        <w:tc>
          <w:tcPr>
            <w:tcW w:w="699" w:type="dxa"/>
            <w:vAlign w:val="top"/>
          </w:tcPr>
          <w:p>
            <w:pPr>
              <w:spacing w:before="112" w:line="223" w:lineRule="auto"/>
              <w:ind w:left="170"/>
              <w:rPr>
                <w:rFonts w:ascii="宋体" w:hAnsi="宋体" w:eastAsia="宋体" w:cs="宋体"/>
                <w:sz w:val="20"/>
                <w:szCs w:val="20"/>
              </w:rPr>
            </w:pPr>
            <w:r>
              <w:rPr>
                <w:rFonts w:ascii="宋体" w:hAnsi="宋体" w:eastAsia="宋体" w:cs="宋体"/>
                <w:spacing w:val="-11"/>
                <w:sz w:val="20"/>
                <w:szCs w:val="20"/>
              </w:rPr>
              <w:t>2.32</w:t>
            </w:r>
          </w:p>
        </w:tc>
        <w:tc>
          <w:tcPr>
            <w:tcW w:w="643" w:type="dxa"/>
            <w:vAlign w:val="top"/>
          </w:tcPr>
          <w:p>
            <w:pPr>
              <w:spacing w:before="112" w:line="223" w:lineRule="auto"/>
              <w:ind w:left="160"/>
              <w:rPr>
                <w:rFonts w:ascii="宋体" w:hAnsi="宋体" w:eastAsia="宋体" w:cs="宋体"/>
                <w:sz w:val="20"/>
                <w:szCs w:val="20"/>
              </w:rPr>
            </w:pPr>
            <w:r>
              <w:rPr>
                <w:rFonts w:ascii="宋体" w:hAnsi="宋体" w:eastAsia="宋体" w:cs="宋体"/>
                <w:spacing w:val="-15"/>
                <w:sz w:val="20"/>
                <w:szCs w:val="20"/>
              </w:rPr>
              <w:t>1.75</w:t>
            </w:r>
          </w:p>
        </w:tc>
        <w:tc>
          <w:tcPr>
            <w:tcW w:w="649" w:type="dxa"/>
            <w:vAlign w:val="top"/>
          </w:tcPr>
          <w:p>
            <w:pPr>
              <w:spacing w:before="112" w:line="223" w:lineRule="auto"/>
              <w:ind w:left="163"/>
              <w:rPr>
                <w:rFonts w:ascii="宋体" w:hAnsi="宋体" w:eastAsia="宋体" w:cs="宋体"/>
                <w:sz w:val="20"/>
                <w:szCs w:val="20"/>
              </w:rPr>
            </w:pPr>
            <w:r>
              <w:rPr>
                <w:rFonts w:ascii="宋体" w:hAnsi="宋体" w:eastAsia="宋体" w:cs="宋体"/>
                <w:spacing w:val="-15"/>
                <w:sz w:val="20"/>
                <w:szCs w:val="20"/>
              </w:rPr>
              <w:t>1.75</w:t>
            </w:r>
          </w:p>
        </w:tc>
        <w:tc>
          <w:tcPr>
            <w:tcW w:w="720" w:type="dxa"/>
            <w:vAlign w:val="top"/>
          </w:tcPr>
          <w:p>
            <w:pPr>
              <w:spacing w:before="112" w:line="223" w:lineRule="auto"/>
              <w:ind w:left="200"/>
              <w:rPr>
                <w:rFonts w:ascii="宋体" w:hAnsi="宋体" w:eastAsia="宋体" w:cs="宋体"/>
                <w:sz w:val="20"/>
                <w:szCs w:val="20"/>
              </w:rPr>
            </w:pPr>
            <w:r>
              <w:rPr>
                <w:rFonts w:ascii="宋体" w:hAnsi="宋体" w:eastAsia="宋体" w:cs="宋体"/>
                <w:spacing w:val="-15"/>
                <w:sz w:val="20"/>
                <w:szCs w:val="20"/>
              </w:rPr>
              <w:t>1.75</w:t>
            </w:r>
          </w:p>
        </w:tc>
        <w:tc>
          <w:tcPr>
            <w:tcW w:w="679" w:type="dxa"/>
            <w:vAlign w:val="top"/>
          </w:tcPr>
          <w:p>
            <w:pPr>
              <w:spacing w:before="112" w:line="223" w:lineRule="auto"/>
              <w:ind w:left="167"/>
              <w:rPr>
                <w:rFonts w:ascii="宋体" w:hAnsi="宋体" w:eastAsia="宋体" w:cs="宋体"/>
                <w:sz w:val="20"/>
                <w:szCs w:val="20"/>
              </w:rPr>
            </w:pPr>
            <w:r>
              <w:rPr>
                <w:rFonts w:ascii="宋体" w:hAnsi="宋体" w:eastAsia="宋体" w:cs="宋体"/>
                <w:spacing w:val="-12"/>
                <w:sz w:val="20"/>
                <w:szCs w:val="20"/>
              </w:rPr>
              <w:t>3.51</w:t>
            </w:r>
          </w:p>
        </w:tc>
        <w:tc>
          <w:tcPr>
            <w:tcW w:w="679" w:type="dxa"/>
            <w:vAlign w:val="top"/>
          </w:tcPr>
          <w:p>
            <w:pPr>
              <w:spacing w:before="112" w:line="223" w:lineRule="auto"/>
              <w:ind w:left="167"/>
              <w:rPr>
                <w:rFonts w:ascii="宋体" w:hAnsi="宋体" w:eastAsia="宋体" w:cs="宋体"/>
                <w:sz w:val="20"/>
                <w:szCs w:val="20"/>
              </w:rPr>
            </w:pPr>
            <w:r>
              <w:rPr>
                <w:rFonts w:ascii="宋体" w:hAnsi="宋体" w:eastAsia="宋体" w:cs="宋体"/>
                <w:spacing w:val="-12"/>
                <w:sz w:val="20"/>
                <w:szCs w:val="20"/>
              </w:rPr>
              <w:t>3.51</w:t>
            </w:r>
          </w:p>
        </w:tc>
        <w:tc>
          <w:tcPr>
            <w:tcW w:w="649" w:type="dxa"/>
            <w:vAlign w:val="top"/>
          </w:tcPr>
          <w:p>
            <w:pPr>
              <w:spacing w:before="112" w:line="223" w:lineRule="auto"/>
              <w:ind w:left="167"/>
              <w:rPr>
                <w:rFonts w:ascii="宋体" w:hAnsi="宋体" w:eastAsia="宋体" w:cs="宋体"/>
                <w:sz w:val="20"/>
                <w:szCs w:val="20"/>
              </w:rPr>
            </w:pPr>
            <w:r>
              <w:rPr>
                <w:rFonts w:ascii="宋体" w:hAnsi="宋体" w:eastAsia="宋体" w:cs="宋体"/>
                <w:spacing w:val="-15"/>
                <w:sz w:val="20"/>
                <w:szCs w:val="20"/>
              </w:rPr>
              <w:t>1.75</w:t>
            </w:r>
          </w:p>
        </w:tc>
        <w:tc>
          <w:tcPr>
            <w:tcW w:w="726" w:type="dxa"/>
            <w:tcBorders>
              <w:right w:val="single" w:color="000000" w:sz="6" w:space="0"/>
            </w:tcBorders>
            <w:vAlign w:val="top"/>
          </w:tcPr>
          <w:p>
            <w:pPr>
              <w:spacing w:before="112" w:line="223" w:lineRule="auto"/>
              <w:ind w:left="188"/>
              <w:rPr>
                <w:rFonts w:ascii="宋体" w:hAnsi="宋体" w:eastAsia="宋体" w:cs="宋体"/>
                <w:sz w:val="20"/>
                <w:szCs w:val="20"/>
              </w:rPr>
            </w:pPr>
            <w:r>
              <w:rPr>
                <w:rFonts w:ascii="宋体" w:hAnsi="宋体" w:eastAsia="宋体" w:cs="宋体"/>
                <w:spacing w:val="-12"/>
                <w:sz w:val="20"/>
                <w:szCs w:val="20"/>
              </w:rPr>
              <w:t>3.51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3" w:line="222" w:lineRule="auto"/>
              <w:ind w:left="771"/>
              <w:rPr>
                <w:rFonts w:ascii="宋体" w:hAnsi="宋体" w:eastAsia="宋体" w:cs="宋体"/>
                <w:sz w:val="20"/>
                <w:szCs w:val="20"/>
              </w:rPr>
            </w:pPr>
            <w:r>
              <w:rPr>
                <w:rFonts w:ascii="宋体" w:hAnsi="宋体" w:eastAsia="宋体" w:cs="宋体"/>
                <w:spacing w:val="-1"/>
                <w:sz w:val="20"/>
                <w:szCs w:val="20"/>
              </w:rPr>
              <w:t>2.环境保护费</w:t>
            </w:r>
          </w:p>
        </w:tc>
        <w:tc>
          <w:tcPr>
            <w:tcW w:w="689" w:type="dxa"/>
            <w:vAlign w:val="top"/>
          </w:tcPr>
          <w:p>
            <w:pPr>
              <w:spacing w:before="113" w:line="222" w:lineRule="auto"/>
              <w:ind w:left="161"/>
              <w:rPr>
                <w:rFonts w:ascii="宋体" w:hAnsi="宋体" w:eastAsia="宋体" w:cs="宋体"/>
                <w:sz w:val="20"/>
                <w:szCs w:val="20"/>
              </w:rPr>
            </w:pPr>
            <w:r>
              <w:rPr>
                <w:rFonts w:ascii="宋体" w:hAnsi="宋体" w:eastAsia="宋体" w:cs="宋体"/>
                <w:spacing w:val="-11"/>
                <w:sz w:val="20"/>
                <w:szCs w:val="20"/>
              </w:rPr>
              <w:t>0.56</w:t>
            </w:r>
          </w:p>
        </w:tc>
        <w:tc>
          <w:tcPr>
            <w:tcW w:w="669" w:type="dxa"/>
            <w:vAlign w:val="top"/>
          </w:tcPr>
          <w:p>
            <w:pPr>
              <w:spacing w:before="113" w:line="222" w:lineRule="auto"/>
              <w:ind w:left="151"/>
              <w:rPr>
                <w:rFonts w:ascii="宋体" w:hAnsi="宋体" w:eastAsia="宋体" w:cs="宋体"/>
                <w:sz w:val="20"/>
                <w:szCs w:val="20"/>
              </w:rPr>
            </w:pPr>
            <w:r>
              <w:rPr>
                <w:rFonts w:ascii="宋体" w:hAnsi="宋体" w:eastAsia="宋体" w:cs="宋体"/>
                <w:spacing w:val="-11"/>
                <w:sz w:val="20"/>
                <w:szCs w:val="20"/>
              </w:rPr>
              <w:t>0.12</w:t>
            </w:r>
          </w:p>
        </w:tc>
        <w:tc>
          <w:tcPr>
            <w:tcW w:w="1368" w:type="dxa"/>
            <w:gridSpan w:val="2"/>
            <w:vAlign w:val="top"/>
          </w:tcPr>
          <w:p>
            <w:pPr>
              <w:spacing w:before="113" w:line="222" w:lineRule="auto"/>
              <w:ind w:left="502"/>
              <w:rPr>
                <w:rFonts w:ascii="宋体" w:hAnsi="宋体" w:eastAsia="宋体" w:cs="宋体"/>
                <w:sz w:val="20"/>
                <w:szCs w:val="20"/>
              </w:rPr>
            </w:pPr>
            <w:r>
              <w:rPr>
                <w:rFonts w:ascii="宋体" w:hAnsi="宋体" w:eastAsia="宋体" w:cs="宋体"/>
                <w:spacing w:val="-11"/>
                <w:sz w:val="20"/>
                <w:szCs w:val="20"/>
              </w:rPr>
              <w:t>0.29</w:t>
            </w:r>
          </w:p>
        </w:tc>
        <w:tc>
          <w:tcPr>
            <w:tcW w:w="643" w:type="dxa"/>
            <w:vAlign w:val="top"/>
          </w:tcPr>
          <w:p>
            <w:pPr>
              <w:spacing w:before="113" w:line="222" w:lineRule="auto"/>
              <w:ind w:left="142"/>
              <w:rPr>
                <w:rFonts w:ascii="宋体" w:hAnsi="宋体" w:eastAsia="宋体" w:cs="宋体"/>
                <w:sz w:val="20"/>
                <w:szCs w:val="20"/>
              </w:rPr>
            </w:pPr>
            <w:r>
              <w:rPr>
                <w:rFonts w:ascii="宋体" w:hAnsi="宋体" w:eastAsia="宋体" w:cs="宋体"/>
                <w:spacing w:val="-11"/>
                <w:sz w:val="20"/>
                <w:szCs w:val="20"/>
              </w:rPr>
              <w:t>0.16</w:t>
            </w:r>
          </w:p>
        </w:tc>
        <w:tc>
          <w:tcPr>
            <w:tcW w:w="649" w:type="dxa"/>
            <w:vAlign w:val="top"/>
          </w:tcPr>
          <w:p>
            <w:pPr>
              <w:spacing w:before="113" w:line="222" w:lineRule="auto"/>
              <w:ind w:left="163"/>
              <w:rPr>
                <w:rFonts w:ascii="宋体" w:hAnsi="宋体" w:eastAsia="宋体" w:cs="宋体"/>
                <w:sz w:val="20"/>
                <w:szCs w:val="20"/>
              </w:rPr>
            </w:pPr>
            <w:r>
              <w:rPr>
                <w:rFonts w:ascii="宋体" w:hAnsi="宋体" w:eastAsia="宋体" w:cs="宋体"/>
                <w:spacing w:val="-15"/>
                <w:sz w:val="20"/>
                <w:szCs w:val="20"/>
              </w:rPr>
              <w:t>1.33</w:t>
            </w:r>
          </w:p>
        </w:tc>
        <w:tc>
          <w:tcPr>
            <w:tcW w:w="720" w:type="dxa"/>
            <w:vAlign w:val="top"/>
          </w:tcPr>
          <w:p>
            <w:pPr>
              <w:spacing w:before="113" w:line="222" w:lineRule="auto"/>
              <w:ind w:left="182"/>
              <w:rPr>
                <w:rFonts w:ascii="宋体" w:hAnsi="宋体" w:eastAsia="宋体" w:cs="宋体"/>
                <w:sz w:val="20"/>
                <w:szCs w:val="20"/>
              </w:rPr>
            </w:pPr>
            <w:r>
              <w:rPr>
                <w:rFonts w:ascii="宋体" w:hAnsi="宋体" w:eastAsia="宋体" w:cs="宋体"/>
                <w:spacing w:val="-11"/>
                <w:sz w:val="20"/>
                <w:szCs w:val="20"/>
              </w:rPr>
              <w:t>0.29</w:t>
            </w:r>
          </w:p>
        </w:tc>
        <w:tc>
          <w:tcPr>
            <w:tcW w:w="679" w:type="dxa"/>
            <w:vAlign w:val="top"/>
          </w:tcPr>
          <w:p>
            <w:pPr>
              <w:spacing w:before="113" w:line="222" w:lineRule="auto"/>
              <w:ind w:left="163"/>
              <w:rPr>
                <w:rFonts w:ascii="宋体" w:hAnsi="宋体" w:eastAsia="宋体" w:cs="宋体"/>
                <w:sz w:val="20"/>
                <w:szCs w:val="20"/>
              </w:rPr>
            </w:pPr>
            <w:r>
              <w:rPr>
                <w:rFonts w:ascii="宋体" w:hAnsi="宋体" w:eastAsia="宋体" w:cs="宋体"/>
                <w:spacing w:val="-11"/>
                <w:sz w:val="20"/>
                <w:szCs w:val="20"/>
              </w:rPr>
              <w:t>0.25</w:t>
            </w:r>
          </w:p>
        </w:tc>
        <w:tc>
          <w:tcPr>
            <w:tcW w:w="679" w:type="dxa"/>
            <w:vAlign w:val="top"/>
          </w:tcPr>
          <w:p>
            <w:pPr>
              <w:spacing w:before="113" w:line="222" w:lineRule="auto"/>
              <w:ind w:left="163"/>
              <w:rPr>
                <w:rFonts w:ascii="宋体" w:hAnsi="宋体" w:eastAsia="宋体" w:cs="宋体"/>
                <w:sz w:val="20"/>
                <w:szCs w:val="20"/>
              </w:rPr>
            </w:pPr>
            <w:r>
              <w:rPr>
                <w:rFonts w:ascii="宋体" w:hAnsi="宋体" w:eastAsia="宋体" w:cs="宋体"/>
                <w:spacing w:val="-11"/>
                <w:sz w:val="20"/>
                <w:szCs w:val="20"/>
              </w:rPr>
              <w:t>0.29</w:t>
            </w:r>
          </w:p>
        </w:tc>
        <w:tc>
          <w:tcPr>
            <w:tcW w:w="649" w:type="dxa"/>
            <w:vAlign w:val="top"/>
          </w:tcPr>
          <w:p>
            <w:pPr>
              <w:spacing w:before="113" w:line="222" w:lineRule="auto"/>
              <w:ind w:left="167"/>
              <w:rPr>
                <w:rFonts w:ascii="宋体" w:hAnsi="宋体" w:eastAsia="宋体" w:cs="宋体"/>
                <w:sz w:val="20"/>
                <w:szCs w:val="20"/>
              </w:rPr>
            </w:pPr>
            <w:r>
              <w:rPr>
                <w:rFonts w:ascii="宋体" w:hAnsi="宋体" w:eastAsia="宋体" w:cs="宋体"/>
                <w:spacing w:val="-15"/>
                <w:sz w:val="20"/>
                <w:szCs w:val="20"/>
              </w:rPr>
              <w:t>1.33</w:t>
            </w:r>
          </w:p>
        </w:tc>
        <w:tc>
          <w:tcPr>
            <w:tcW w:w="726" w:type="dxa"/>
            <w:tcBorders>
              <w:right w:val="single" w:color="000000" w:sz="6" w:space="0"/>
            </w:tcBorders>
            <w:vAlign w:val="top"/>
          </w:tcPr>
          <w:p>
            <w:pPr>
              <w:spacing w:before="113" w:line="222" w:lineRule="auto"/>
              <w:ind w:left="184"/>
              <w:rPr>
                <w:rFonts w:ascii="宋体" w:hAnsi="宋体" w:eastAsia="宋体" w:cs="宋体"/>
                <w:sz w:val="20"/>
                <w:szCs w:val="20"/>
              </w:rPr>
            </w:pPr>
            <w:r>
              <w:rPr>
                <w:rFonts w:ascii="宋体" w:hAnsi="宋体" w:eastAsia="宋体" w:cs="宋体"/>
                <w:spacing w:val="-11"/>
                <w:sz w:val="20"/>
                <w:szCs w:val="20"/>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6" w:line="219" w:lineRule="auto"/>
              <w:ind w:left="774"/>
              <w:rPr>
                <w:rFonts w:ascii="宋体" w:hAnsi="宋体" w:eastAsia="宋体" w:cs="宋体"/>
                <w:sz w:val="20"/>
                <w:szCs w:val="20"/>
              </w:rPr>
            </w:pPr>
            <w:r>
              <w:rPr>
                <w:rFonts w:ascii="宋体" w:hAnsi="宋体" w:eastAsia="宋体" w:cs="宋体"/>
                <w:spacing w:val="-1"/>
                <w:sz w:val="20"/>
                <w:szCs w:val="20"/>
              </w:rPr>
              <w:t>3.文明施工费</w:t>
            </w:r>
          </w:p>
        </w:tc>
        <w:tc>
          <w:tcPr>
            <w:tcW w:w="689" w:type="dxa"/>
            <w:vAlign w:val="top"/>
          </w:tcPr>
          <w:p>
            <w:pPr>
              <w:spacing w:before="116" w:line="219" w:lineRule="auto"/>
              <w:ind w:left="161"/>
              <w:rPr>
                <w:rFonts w:ascii="宋体" w:hAnsi="宋体" w:eastAsia="宋体" w:cs="宋体"/>
                <w:sz w:val="20"/>
                <w:szCs w:val="20"/>
              </w:rPr>
            </w:pPr>
            <w:r>
              <w:rPr>
                <w:rFonts w:ascii="宋体" w:hAnsi="宋体" w:eastAsia="宋体" w:cs="宋体"/>
                <w:spacing w:val="-11"/>
                <w:sz w:val="20"/>
                <w:szCs w:val="20"/>
              </w:rPr>
              <w:t>0.65</w:t>
            </w:r>
          </w:p>
        </w:tc>
        <w:tc>
          <w:tcPr>
            <w:tcW w:w="669" w:type="dxa"/>
            <w:vAlign w:val="top"/>
          </w:tcPr>
          <w:p>
            <w:pPr>
              <w:spacing w:before="116" w:line="219" w:lineRule="auto"/>
              <w:ind w:left="151"/>
              <w:rPr>
                <w:rFonts w:ascii="宋体" w:hAnsi="宋体" w:eastAsia="宋体" w:cs="宋体"/>
                <w:sz w:val="20"/>
                <w:szCs w:val="20"/>
              </w:rPr>
            </w:pPr>
            <w:r>
              <w:rPr>
                <w:rFonts w:ascii="宋体" w:hAnsi="宋体" w:eastAsia="宋体" w:cs="宋体"/>
                <w:spacing w:val="-11"/>
                <w:sz w:val="20"/>
                <w:szCs w:val="20"/>
              </w:rPr>
              <w:t>0.10</w:t>
            </w:r>
          </w:p>
        </w:tc>
        <w:tc>
          <w:tcPr>
            <w:tcW w:w="1368" w:type="dxa"/>
            <w:gridSpan w:val="2"/>
            <w:vAlign w:val="top"/>
          </w:tcPr>
          <w:p>
            <w:pPr>
              <w:spacing w:before="116" w:line="219" w:lineRule="auto"/>
              <w:ind w:left="502"/>
              <w:rPr>
                <w:rFonts w:ascii="宋体" w:hAnsi="宋体" w:eastAsia="宋体" w:cs="宋体"/>
                <w:sz w:val="20"/>
                <w:szCs w:val="20"/>
              </w:rPr>
            </w:pPr>
            <w:r>
              <w:rPr>
                <w:rFonts w:ascii="宋体" w:hAnsi="宋体" w:eastAsia="宋体" w:cs="宋体"/>
                <w:spacing w:val="-11"/>
                <w:sz w:val="20"/>
                <w:szCs w:val="20"/>
              </w:rPr>
              <w:t>0.59</w:t>
            </w:r>
          </w:p>
        </w:tc>
        <w:tc>
          <w:tcPr>
            <w:tcW w:w="643" w:type="dxa"/>
            <w:vAlign w:val="top"/>
          </w:tcPr>
          <w:p>
            <w:pPr>
              <w:spacing w:before="116" w:line="219" w:lineRule="auto"/>
              <w:ind w:left="142"/>
              <w:rPr>
                <w:rFonts w:ascii="宋体" w:hAnsi="宋体" w:eastAsia="宋体" w:cs="宋体"/>
                <w:sz w:val="20"/>
                <w:szCs w:val="20"/>
              </w:rPr>
            </w:pPr>
            <w:r>
              <w:rPr>
                <w:rFonts w:ascii="宋体" w:hAnsi="宋体" w:eastAsia="宋体" w:cs="宋体"/>
                <w:spacing w:val="-11"/>
                <w:sz w:val="20"/>
                <w:szCs w:val="20"/>
              </w:rPr>
              <w:t>0.35</w:t>
            </w:r>
          </w:p>
        </w:tc>
        <w:tc>
          <w:tcPr>
            <w:tcW w:w="649" w:type="dxa"/>
            <w:vAlign w:val="top"/>
          </w:tcPr>
          <w:p>
            <w:pPr>
              <w:spacing w:before="116" w:line="219" w:lineRule="auto"/>
              <w:ind w:left="145"/>
              <w:rPr>
                <w:rFonts w:ascii="宋体" w:hAnsi="宋体" w:eastAsia="宋体" w:cs="宋体"/>
                <w:sz w:val="20"/>
                <w:szCs w:val="20"/>
              </w:rPr>
            </w:pPr>
            <w:r>
              <w:rPr>
                <w:rFonts w:ascii="宋体" w:hAnsi="宋体" w:eastAsia="宋体" w:cs="宋体"/>
                <w:spacing w:val="-11"/>
                <w:sz w:val="20"/>
                <w:szCs w:val="20"/>
              </w:rPr>
              <w:t>0.84</w:t>
            </w:r>
          </w:p>
        </w:tc>
        <w:tc>
          <w:tcPr>
            <w:tcW w:w="720" w:type="dxa"/>
            <w:vAlign w:val="top"/>
          </w:tcPr>
          <w:p>
            <w:pPr>
              <w:spacing w:before="116" w:line="219" w:lineRule="auto"/>
              <w:ind w:left="182"/>
              <w:rPr>
                <w:rFonts w:ascii="宋体" w:hAnsi="宋体" w:eastAsia="宋体" w:cs="宋体"/>
                <w:sz w:val="20"/>
                <w:szCs w:val="20"/>
              </w:rPr>
            </w:pPr>
            <w:r>
              <w:rPr>
                <w:rFonts w:ascii="宋体" w:hAnsi="宋体" w:eastAsia="宋体" w:cs="宋体"/>
                <w:spacing w:val="-11"/>
                <w:sz w:val="20"/>
                <w:szCs w:val="20"/>
              </w:rPr>
              <w:t>0.59</w:t>
            </w:r>
          </w:p>
        </w:tc>
        <w:tc>
          <w:tcPr>
            <w:tcW w:w="679" w:type="dxa"/>
            <w:vAlign w:val="top"/>
          </w:tcPr>
          <w:p>
            <w:pPr>
              <w:spacing w:before="116" w:line="219" w:lineRule="auto"/>
              <w:ind w:left="163"/>
              <w:rPr>
                <w:rFonts w:ascii="宋体" w:hAnsi="宋体" w:eastAsia="宋体" w:cs="宋体"/>
                <w:sz w:val="20"/>
                <w:szCs w:val="20"/>
              </w:rPr>
            </w:pPr>
            <w:r>
              <w:rPr>
                <w:rFonts w:ascii="宋体" w:hAnsi="宋体" w:eastAsia="宋体" w:cs="宋体"/>
                <w:spacing w:val="-11"/>
                <w:sz w:val="20"/>
                <w:szCs w:val="20"/>
              </w:rPr>
              <w:t>0.53</w:t>
            </w:r>
          </w:p>
        </w:tc>
        <w:tc>
          <w:tcPr>
            <w:tcW w:w="679" w:type="dxa"/>
            <w:vAlign w:val="top"/>
          </w:tcPr>
          <w:p>
            <w:pPr>
              <w:spacing w:before="116" w:line="219" w:lineRule="auto"/>
              <w:ind w:left="163"/>
              <w:rPr>
                <w:rFonts w:ascii="宋体" w:hAnsi="宋体" w:eastAsia="宋体" w:cs="宋体"/>
                <w:sz w:val="20"/>
                <w:szCs w:val="20"/>
              </w:rPr>
            </w:pPr>
            <w:r>
              <w:rPr>
                <w:rFonts w:ascii="宋体" w:hAnsi="宋体" w:eastAsia="宋体" w:cs="宋体"/>
                <w:spacing w:val="-11"/>
                <w:sz w:val="20"/>
                <w:szCs w:val="20"/>
              </w:rPr>
              <w:t>0.59</w:t>
            </w:r>
          </w:p>
        </w:tc>
        <w:tc>
          <w:tcPr>
            <w:tcW w:w="649" w:type="dxa"/>
            <w:vAlign w:val="top"/>
          </w:tcPr>
          <w:p>
            <w:pPr>
              <w:spacing w:before="116" w:line="219" w:lineRule="auto"/>
              <w:ind w:left="149"/>
              <w:rPr>
                <w:rFonts w:ascii="宋体" w:hAnsi="宋体" w:eastAsia="宋体" w:cs="宋体"/>
                <w:sz w:val="20"/>
                <w:szCs w:val="20"/>
              </w:rPr>
            </w:pPr>
            <w:r>
              <w:rPr>
                <w:rFonts w:ascii="宋体" w:hAnsi="宋体" w:eastAsia="宋体" w:cs="宋体"/>
                <w:spacing w:val="-11"/>
                <w:sz w:val="20"/>
                <w:szCs w:val="20"/>
              </w:rPr>
              <w:t>0.83</w:t>
            </w:r>
          </w:p>
        </w:tc>
        <w:tc>
          <w:tcPr>
            <w:tcW w:w="726" w:type="dxa"/>
            <w:tcBorders>
              <w:right w:val="single" w:color="000000" w:sz="6" w:space="0"/>
            </w:tcBorders>
            <w:vAlign w:val="top"/>
          </w:tcPr>
          <w:p>
            <w:pPr>
              <w:spacing w:before="116" w:line="219" w:lineRule="auto"/>
              <w:ind w:left="184"/>
              <w:rPr>
                <w:rFonts w:ascii="宋体" w:hAnsi="宋体" w:eastAsia="宋体" w:cs="宋体"/>
                <w:sz w:val="20"/>
                <w:szCs w:val="20"/>
              </w:rPr>
            </w:pPr>
            <w:r>
              <w:rPr>
                <w:rFonts w:ascii="宋体" w:hAnsi="宋体" w:eastAsia="宋体" w:cs="宋体"/>
                <w:spacing w:val="-11"/>
                <w:sz w:val="20"/>
                <w:szCs w:val="20"/>
              </w:rPr>
              <w:t>0.56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2126" w:type="dxa"/>
            <w:gridSpan w:val="2"/>
            <w:tcBorders>
              <w:left w:val="single" w:color="000000" w:sz="6" w:space="0"/>
            </w:tcBorders>
            <w:vAlign w:val="top"/>
          </w:tcPr>
          <w:p>
            <w:pPr>
              <w:spacing w:before="116" w:line="220" w:lineRule="auto"/>
              <w:ind w:left="768"/>
              <w:rPr>
                <w:rFonts w:ascii="宋体" w:hAnsi="宋体" w:eastAsia="宋体" w:cs="宋体"/>
                <w:sz w:val="20"/>
                <w:szCs w:val="20"/>
              </w:rPr>
            </w:pPr>
            <w:r>
              <w:rPr>
                <w:rFonts w:ascii="宋体" w:hAnsi="宋体" w:eastAsia="宋体" w:cs="宋体"/>
                <w:sz w:val="20"/>
                <w:szCs w:val="20"/>
              </w:rPr>
              <w:t>4.临时设施费</w:t>
            </w:r>
          </w:p>
        </w:tc>
        <w:tc>
          <w:tcPr>
            <w:tcW w:w="689" w:type="dxa"/>
            <w:vAlign w:val="top"/>
          </w:tcPr>
          <w:p>
            <w:pPr>
              <w:spacing w:before="116" w:line="220" w:lineRule="auto"/>
              <w:ind w:left="161"/>
              <w:rPr>
                <w:rFonts w:ascii="宋体" w:hAnsi="宋体" w:eastAsia="宋体" w:cs="宋体"/>
                <w:sz w:val="20"/>
                <w:szCs w:val="20"/>
              </w:rPr>
            </w:pPr>
            <w:r>
              <w:rPr>
                <w:rFonts w:ascii="宋体" w:hAnsi="宋体" w:eastAsia="宋体" w:cs="宋体"/>
                <w:spacing w:val="-11"/>
                <w:sz w:val="20"/>
                <w:szCs w:val="20"/>
              </w:rPr>
              <w:t>0.92</w:t>
            </w:r>
          </w:p>
        </w:tc>
        <w:tc>
          <w:tcPr>
            <w:tcW w:w="669" w:type="dxa"/>
            <w:vAlign w:val="top"/>
          </w:tcPr>
          <w:p>
            <w:pPr>
              <w:spacing w:before="116" w:line="220" w:lineRule="auto"/>
              <w:ind w:left="169"/>
              <w:rPr>
                <w:rFonts w:ascii="宋体" w:hAnsi="宋体" w:eastAsia="宋体" w:cs="宋体"/>
                <w:sz w:val="20"/>
                <w:szCs w:val="20"/>
              </w:rPr>
            </w:pPr>
            <w:r>
              <w:rPr>
                <w:rFonts w:ascii="宋体" w:hAnsi="宋体" w:eastAsia="宋体" w:cs="宋体"/>
                <w:spacing w:val="-15"/>
                <w:sz w:val="20"/>
                <w:szCs w:val="20"/>
              </w:rPr>
              <w:t>1.59</w:t>
            </w:r>
          </w:p>
        </w:tc>
        <w:tc>
          <w:tcPr>
            <w:tcW w:w="1368" w:type="dxa"/>
            <w:gridSpan w:val="2"/>
            <w:vAlign w:val="top"/>
          </w:tcPr>
          <w:p>
            <w:pPr>
              <w:spacing w:before="116" w:line="220" w:lineRule="auto"/>
              <w:ind w:left="520"/>
              <w:rPr>
                <w:rFonts w:ascii="宋体" w:hAnsi="宋体" w:eastAsia="宋体" w:cs="宋体"/>
                <w:sz w:val="20"/>
                <w:szCs w:val="20"/>
              </w:rPr>
            </w:pPr>
            <w:r>
              <w:rPr>
                <w:rFonts w:ascii="宋体" w:hAnsi="宋体" w:eastAsia="宋体" w:cs="宋体"/>
                <w:spacing w:val="-15"/>
                <w:sz w:val="20"/>
                <w:szCs w:val="20"/>
              </w:rPr>
              <w:t>1.76</w:t>
            </w:r>
          </w:p>
        </w:tc>
        <w:tc>
          <w:tcPr>
            <w:tcW w:w="643" w:type="dxa"/>
            <w:vAlign w:val="top"/>
          </w:tcPr>
          <w:p>
            <w:pPr>
              <w:spacing w:before="116" w:line="220" w:lineRule="auto"/>
              <w:ind w:left="160"/>
              <w:rPr>
                <w:rFonts w:ascii="宋体" w:hAnsi="宋体" w:eastAsia="宋体" w:cs="宋体"/>
                <w:sz w:val="20"/>
                <w:szCs w:val="20"/>
              </w:rPr>
            </w:pPr>
            <w:r>
              <w:rPr>
                <w:rFonts w:ascii="宋体" w:hAnsi="宋体" w:eastAsia="宋体" w:cs="宋体"/>
                <w:spacing w:val="-15"/>
                <w:sz w:val="20"/>
                <w:szCs w:val="20"/>
              </w:rPr>
              <w:t>1.25</w:t>
            </w:r>
          </w:p>
        </w:tc>
        <w:tc>
          <w:tcPr>
            <w:tcW w:w="649" w:type="dxa"/>
            <w:vAlign w:val="top"/>
          </w:tcPr>
          <w:p>
            <w:pPr>
              <w:spacing w:before="116" w:line="220" w:lineRule="auto"/>
              <w:ind w:left="163"/>
              <w:rPr>
                <w:rFonts w:ascii="宋体" w:hAnsi="宋体" w:eastAsia="宋体" w:cs="宋体"/>
                <w:sz w:val="20"/>
                <w:szCs w:val="20"/>
              </w:rPr>
            </w:pPr>
            <w:r>
              <w:rPr>
                <w:rFonts w:ascii="宋体" w:hAnsi="宋体" w:eastAsia="宋体" w:cs="宋体"/>
                <w:spacing w:val="-15"/>
                <w:sz w:val="20"/>
                <w:szCs w:val="20"/>
              </w:rPr>
              <w:t>1.81</w:t>
            </w:r>
          </w:p>
        </w:tc>
        <w:tc>
          <w:tcPr>
            <w:tcW w:w="720" w:type="dxa"/>
            <w:vAlign w:val="top"/>
          </w:tcPr>
          <w:p>
            <w:pPr>
              <w:spacing w:before="116" w:line="220" w:lineRule="auto"/>
              <w:ind w:left="200"/>
              <w:rPr>
                <w:rFonts w:ascii="宋体" w:hAnsi="宋体" w:eastAsia="宋体" w:cs="宋体"/>
                <w:sz w:val="20"/>
                <w:szCs w:val="20"/>
              </w:rPr>
            </w:pPr>
            <w:r>
              <w:rPr>
                <w:rFonts w:ascii="宋体" w:hAnsi="宋体" w:eastAsia="宋体" w:cs="宋体"/>
                <w:spacing w:val="-15"/>
                <w:sz w:val="20"/>
                <w:szCs w:val="20"/>
              </w:rPr>
              <w:t>1.76</w:t>
            </w:r>
          </w:p>
        </w:tc>
        <w:tc>
          <w:tcPr>
            <w:tcW w:w="679" w:type="dxa"/>
            <w:vAlign w:val="top"/>
          </w:tcPr>
          <w:p>
            <w:pPr>
              <w:spacing w:before="116" w:line="220" w:lineRule="auto"/>
              <w:ind w:left="181"/>
              <w:rPr>
                <w:rFonts w:ascii="宋体" w:hAnsi="宋体" w:eastAsia="宋体" w:cs="宋体"/>
                <w:sz w:val="20"/>
                <w:szCs w:val="20"/>
              </w:rPr>
            </w:pPr>
            <w:r>
              <w:rPr>
                <w:rFonts w:ascii="宋体" w:hAnsi="宋体" w:eastAsia="宋体" w:cs="宋体"/>
                <w:spacing w:val="-15"/>
                <w:sz w:val="20"/>
                <w:szCs w:val="20"/>
              </w:rPr>
              <w:t>1.37</w:t>
            </w:r>
          </w:p>
        </w:tc>
        <w:tc>
          <w:tcPr>
            <w:tcW w:w="679" w:type="dxa"/>
            <w:vAlign w:val="top"/>
          </w:tcPr>
          <w:p>
            <w:pPr>
              <w:spacing w:before="116" w:line="220" w:lineRule="auto"/>
              <w:ind w:left="181"/>
              <w:rPr>
                <w:rFonts w:ascii="宋体" w:hAnsi="宋体" w:eastAsia="宋体" w:cs="宋体"/>
                <w:sz w:val="20"/>
                <w:szCs w:val="20"/>
              </w:rPr>
            </w:pPr>
            <w:r>
              <w:rPr>
                <w:rFonts w:ascii="宋体" w:hAnsi="宋体" w:eastAsia="宋体" w:cs="宋体"/>
                <w:spacing w:val="-15"/>
                <w:sz w:val="20"/>
                <w:szCs w:val="20"/>
              </w:rPr>
              <w:t>1.76</w:t>
            </w:r>
          </w:p>
        </w:tc>
        <w:tc>
          <w:tcPr>
            <w:tcW w:w="649" w:type="dxa"/>
            <w:vAlign w:val="top"/>
          </w:tcPr>
          <w:p>
            <w:pPr>
              <w:spacing w:before="116" w:line="220" w:lineRule="auto"/>
              <w:ind w:left="167"/>
              <w:rPr>
                <w:rFonts w:ascii="宋体" w:hAnsi="宋体" w:eastAsia="宋体" w:cs="宋体"/>
                <w:sz w:val="20"/>
                <w:szCs w:val="20"/>
              </w:rPr>
            </w:pPr>
            <w:r>
              <w:rPr>
                <w:rFonts w:ascii="宋体" w:hAnsi="宋体" w:eastAsia="宋体" w:cs="宋体"/>
                <w:spacing w:val="-15"/>
                <w:sz w:val="20"/>
                <w:szCs w:val="20"/>
              </w:rPr>
              <w:t>1.42</w:t>
            </w:r>
          </w:p>
        </w:tc>
        <w:tc>
          <w:tcPr>
            <w:tcW w:w="726" w:type="dxa"/>
            <w:tcBorders>
              <w:right w:val="single" w:color="000000" w:sz="6" w:space="0"/>
            </w:tcBorders>
            <w:vAlign w:val="top"/>
          </w:tcPr>
          <w:p>
            <w:pPr>
              <w:spacing w:before="116" w:line="220" w:lineRule="auto"/>
              <w:ind w:left="184"/>
              <w:rPr>
                <w:rFonts w:ascii="宋体" w:hAnsi="宋体" w:eastAsia="宋体" w:cs="宋体"/>
                <w:sz w:val="20"/>
                <w:szCs w:val="20"/>
              </w:rPr>
            </w:pPr>
            <w:r>
              <w:rPr>
                <w:rFonts w:ascii="宋体" w:hAnsi="宋体" w:eastAsia="宋体" w:cs="宋体"/>
                <w:spacing w:val="-11"/>
                <w:sz w:val="20"/>
                <w:szCs w:val="20"/>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6" w:line="219" w:lineRule="auto"/>
              <w:ind w:left="533"/>
              <w:rPr>
                <w:rFonts w:ascii="宋体" w:hAnsi="宋体" w:eastAsia="宋体" w:cs="宋体"/>
                <w:sz w:val="20"/>
                <w:szCs w:val="20"/>
              </w:rPr>
            </w:pPr>
            <w:r>
              <w:rPr>
                <w:rFonts w:ascii="宋体" w:hAnsi="宋体" w:eastAsia="宋体" w:cs="宋体"/>
                <w:spacing w:val="9"/>
                <w:sz w:val="20"/>
                <w:szCs w:val="20"/>
              </w:rPr>
              <w:t>社会保险费</w:t>
            </w:r>
          </w:p>
        </w:tc>
        <w:tc>
          <w:tcPr>
            <w:tcW w:w="7471" w:type="dxa"/>
            <w:gridSpan w:val="11"/>
            <w:tcBorders>
              <w:right w:val="single" w:color="000000" w:sz="6" w:space="0"/>
            </w:tcBorders>
            <w:vAlign w:val="top"/>
          </w:tcPr>
          <w:p>
            <w:pPr>
              <w:spacing w:before="116" w:line="219" w:lineRule="auto"/>
              <w:ind w:left="3570"/>
              <w:rPr>
                <w:rFonts w:ascii="宋体" w:hAnsi="宋体" w:eastAsia="宋体" w:cs="宋体"/>
                <w:sz w:val="20"/>
                <w:szCs w:val="20"/>
              </w:rPr>
            </w:pPr>
            <w:r>
              <w:rPr>
                <w:rFonts w:ascii="宋体" w:hAnsi="宋体" w:eastAsia="宋体" w:cs="宋体"/>
                <w:spacing w:val="-15"/>
                <w:sz w:val="20"/>
                <w:szCs w:val="20"/>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6" w:line="219" w:lineRule="auto"/>
              <w:ind w:left="217"/>
              <w:rPr>
                <w:rFonts w:ascii="宋体" w:hAnsi="宋体" w:eastAsia="宋体" w:cs="宋体"/>
                <w:sz w:val="20"/>
                <w:szCs w:val="20"/>
              </w:rPr>
            </w:pPr>
            <w:r>
              <w:rPr>
                <w:rFonts w:ascii="宋体" w:hAnsi="宋体" w:eastAsia="宋体" w:cs="宋体"/>
                <w:spacing w:val="9"/>
                <w:sz w:val="20"/>
                <w:szCs w:val="20"/>
              </w:rPr>
              <w:t>建设项目工伤保险</w:t>
            </w:r>
          </w:p>
        </w:tc>
        <w:tc>
          <w:tcPr>
            <w:tcW w:w="7471" w:type="dxa"/>
            <w:gridSpan w:val="11"/>
            <w:tcBorders>
              <w:right w:val="single" w:color="000000" w:sz="6" w:space="0"/>
            </w:tcBorders>
            <w:vAlign w:val="top"/>
          </w:tcPr>
          <w:p>
            <w:pPr>
              <w:spacing w:before="116" w:line="219" w:lineRule="auto"/>
              <w:ind w:left="3500"/>
              <w:rPr>
                <w:rFonts w:ascii="宋体" w:hAnsi="宋体" w:eastAsia="宋体" w:cs="宋体"/>
                <w:sz w:val="20"/>
                <w:szCs w:val="20"/>
              </w:rPr>
            </w:pPr>
            <w:r>
              <w:rPr>
                <w:rFonts w:ascii="宋体" w:hAnsi="宋体" w:eastAsia="宋体" w:cs="宋体"/>
                <w:spacing w:val="-8"/>
                <w:sz w:val="20"/>
                <w:szCs w:val="20"/>
              </w:rPr>
              <w:t>0.105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restart"/>
            <w:tcBorders>
              <w:left w:val="single" w:color="000000" w:sz="6" w:space="0"/>
              <w:bottom w:val="nil"/>
            </w:tcBorders>
            <w:vAlign w:val="top"/>
          </w:tcPr>
          <w:p>
            <w:pPr>
              <w:pStyle w:val="6"/>
              <w:spacing w:line="246" w:lineRule="auto"/>
            </w:pPr>
          </w:p>
          <w:p>
            <w:pPr>
              <w:spacing w:before="65" w:line="337" w:lineRule="auto"/>
              <w:ind w:left="475" w:right="160" w:hanging="320"/>
              <w:rPr>
                <w:rFonts w:ascii="宋体" w:hAnsi="宋体" w:eastAsia="宋体" w:cs="宋体"/>
                <w:sz w:val="20"/>
                <w:szCs w:val="20"/>
              </w:rPr>
            </w:pPr>
            <w:r>
              <w:rPr>
                <w:rFonts w:ascii="宋体" w:hAnsi="宋体" w:eastAsia="宋体" w:cs="宋体"/>
                <w:spacing w:val="8"/>
                <w:sz w:val="20"/>
                <w:szCs w:val="20"/>
              </w:rPr>
              <w:t>优质优价</w:t>
            </w:r>
            <w:r>
              <w:rPr>
                <w:rFonts w:ascii="宋体" w:hAnsi="宋体" w:eastAsia="宋体" w:cs="宋体"/>
                <w:sz w:val="20"/>
                <w:szCs w:val="20"/>
              </w:rPr>
              <w:t>费</w:t>
            </w:r>
          </w:p>
        </w:tc>
        <w:tc>
          <w:tcPr>
            <w:tcW w:w="966" w:type="dxa"/>
            <w:vAlign w:val="top"/>
          </w:tcPr>
          <w:p>
            <w:pPr>
              <w:spacing w:before="123" w:line="213" w:lineRule="auto"/>
              <w:ind w:left="185"/>
              <w:rPr>
                <w:rFonts w:ascii="宋体" w:hAnsi="宋体" w:eastAsia="宋体" w:cs="宋体"/>
                <w:sz w:val="20"/>
                <w:szCs w:val="20"/>
              </w:rPr>
            </w:pPr>
            <w:r>
              <w:rPr>
                <w:rFonts w:ascii="宋体" w:hAnsi="宋体" w:eastAsia="宋体" w:cs="宋体"/>
                <w:spacing w:val="1"/>
                <w:sz w:val="20"/>
                <w:szCs w:val="20"/>
              </w:rPr>
              <w:t>国家级</w:t>
            </w:r>
          </w:p>
        </w:tc>
        <w:tc>
          <w:tcPr>
            <w:tcW w:w="7471" w:type="dxa"/>
            <w:gridSpan w:val="11"/>
            <w:tcBorders>
              <w:right w:val="single" w:color="000000" w:sz="6" w:space="0"/>
            </w:tcBorders>
            <w:vAlign w:val="top"/>
          </w:tcPr>
          <w:p>
            <w:pPr>
              <w:spacing w:before="117" w:line="218" w:lineRule="auto"/>
              <w:ind w:left="3570"/>
              <w:rPr>
                <w:rFonts w:ascii="宋体" w:hAnsi="宋体" w:eastAsia="宋体" w:cs="宋体"/>
                <w:sz w:val="20"/>
                <w:szCs w:val="20"/>
              </w:rPr>
            </w:pPr>
            <w:r>
              <w:rPr>
                <w:rFonts w:ascii="宋体" w:hAnsi="宋体" w:eastAsia="宋体" w:cs="宋体"/>
                <w:spacing w:val="-15"/>
                <w:sz w:val="20"/>
                <w:szCs w:val="20"/>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bottom w:val="nil"/>
            </w:tcBorders>
            <w:vAlign w:val="top"/>
          </w:tcPr>
          <w:p>
            <w:pPr>
              <w:pStyle w:val="6"/>
            </w:pPr>
          </w:p>
        </w:tc>
        <w:tc>
          <w:tcPr>
            <w:tcW w:w="966" w:type="dxa"/>
            <w:vAlign w:val="top"/>
          </w:tcPr>
          <w:p>
            <w:pPr>
              <w:spacing w:before="126" w:line="210" w:lineRule="auto"/>
              <w:ind w:left="271"/>
              <w:rPr>
                <w:rFonts w:ascii="宋体" w:hAnsi="宋体" w:eastAsia="宋体" w:cs="宋体"/>
                <w:sz w:val="20"/>
                <w:szCs w:val="20"/>
              </w:rPr>
            </w:pPr>
            <w:r>
              <w:rPr>
                <w:rFonts w:ascii="宋体" w:hAnsi="宋体" w:eastAsia="宋体" w:cs="宋体"/>
                <w:spacing w:val="6"/>
                <w:sz w:val="20"/>
                <w:szCs w:val="20"/>
              </w:rPr>
              <w:t>省级</w:t>
            </w:r>
          </w:p>
        </w:tc>
        <w:tc>
          <w:tcPr>
            <w:tcW w:w="7471" w:type="dxa"/>
            <w:gridSpan w:val="11"/>
            <w:tcBorders>
              <w:right w:val="single" w:color="000000" w:sz="6" w:space="0"/>
            </w:tcBorders>
            <w:vAlign w:val="top"/>
          </w:tcPr>
          <w:p>
            <w:pPr>
              <w:spacing w:before="118" w:line="217" w:lineRule="auto"/>
              <w:ind w:left="3570"/>
              <w:rPr>
                <w:rFonts w:ascii="宋体" w:hAnsi="宋体" w:eastAsia="宋体" w:cs="宋体"/>
                <w:sz w:val="20"/>
                <w:szCs w:val="20"/>
              </w:rPr>
            </w:pPr>
            <w:r>
              <w:rPr>
                <w:rFonts w:ascii="宋体" w:hAnsi="宋体" w:eastAsia="宋体" w:cs="宋体"/>
                <w:spacing w:val="-15"/>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tcBorders>
            <w:vAlign w:val="top"/>
          </w:tcPr>
          <w:p>
            <w:pPr>
              <w:pStyle w:val="6"/>
            </w:pPr>
          </w:p>
        </w:tc>
        <w:tc>
          <w:tcPr>
            <w:tcW w:w="966" w:type="dxa"/>
            <w:vAlign w:val="top"/>
          </w:tcPr>
          <w:p>
            <w:pPr>
              <w:spacing w:before="127" w:line="209" w:lineRule="auto"/>
              <w:ind w:left="271"/>
              <w:rPr>
                <w:rFonts w:ascii="宋体" w:hAnsi="宋体" w:eastAsia="宋体" w:cs="宋体"/>
                <w:sz w:val="20"/>
                <w:szCs w:val="20"/>
              </w:rPr>
            </w:pPr>
            <w:r>
              <w:rPr>
                <w:rFonts w:ascii="宋体" w:hAnsi="宋体" w:eastAsia="宋体" w:cs="宋体"/>
                <w:spacing w:val="6"/>
                <w:sz w:val="20"/>
                <w:szCs w:val="20"/>
              </w:rPr>
              <w:t>市级</w:t>
            </w:r>
          </w:p>
        </w:tc>
        <w:tc>
          <w:tcPr>
            <w:tcW w:w="7471" w:type="dxa"/>
            <w:gridSpan w:val="11"/>
            <w:tcBorders>
              <w:right w:val="single" w:color="000000" w:sz="6" w:space="0"/>
            </w:tcBorders>
            <w:vAlign w:val="top"/>
          </w:tcPr>
          <w:p>
            <w:pPr>
              <w:spacing w:before="121" w:line="215" w:lineRule="auto"/>
              <w:ind w:left="3552"/>
              <w:rPr>
                <w:rFonts w:ascii="宋体" w:hAnsi="宋体" w:eastAsia="宋体" w:cs="宋体"/>
                <w:sz w:val="20"/>
                <w:szCs w:val="20"/>
              </w:rPr>
            </w:pPr>
            <w:r>
              <w:rPr>
                <w:rFonts w:ascii="宋体" w:hAnsi="宋体" w:eastAsia="宋体" w:cs="宋体"/>
                <w:spacing w:val="-11"/>
                <w:sz w:val="20"/>
                <w:szCs w:val="20"/>
              </w:rPr>
              <w:t>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2126" w:type="dxa"/>
            <w:gridSpan w:val="2"/>
            <w:tcBorders>
              <w:left w:val="single" w:color="000000" w:sz="6" w:space="0"/>
              <w:bottom w:val="single" w:color="000000" w:sz="6" w:space="0"/>
            </w:tcBorders>
            <w:vAlign w:val="top"/>
          </w:tcPr>
          <w:p>
            <w:pPr>
              <w:spacing w:before="127" w:line="219" w:lineRule="auto"/>
              <w:ind w:left="533"/>
              <w:rPr>
                <w:rFonts w:ascii="宋体" w:hAnsi="宋体" w:eastAsia="宋体" w:cs="宋体"/>
                <w:sz w:val="20"/>
                <w:szCs w:val="20"/>
              </w:rPr>
            </w:pPr>
            <w:r>
              <w:rPr>
                <w:rFonts w:ascii="宋体" w:hAnsi="宋体" w:eastAsia="宋体" w:cs="宋体"/>
                <w:spacing w:val="9"/>
                <w:sz w:val="20"/>
                <w:szCs w:val="20"/>
              </w:rPr>
              <w:t>住房公积金</w:t>
            </w:r>
          </w:p>
        </w:tc>
        <w:tc>
          <w:tcPr>
            <w:tcW w:w="7471" w:type="dxa"/>
            <w:gridSpan w:val="11"/>
            <w:tcBorders>
              <w:bottom w:val="single" w:color="000000" w:sz="6" w:space="0"/>
              <w:right w:val="single" w:color="000000" w:sz="6" w:space="0"/>
            </w:tcBorders>
            <w:vAlign w:val="top"/>
          </w:tcPr>
          <w:p>
            <w:pPr>
              <w:spacing w:before="126" w:line="220" w:lineRule="auto"/>
              <w:ind w:left="104"/>
              <w:rPr>
                <w:rFonts w:ascii="宋体" w:hAnsi="宋体" w:eastAsia="宋体" w:cs="宋体"/>
                <w:sz w:val="20"/>
                <w:szCs w:val="20"/>
              </w:rPr>
            </w:pPr>
            <w:r>
              <w:rPr>
                <w:rFonts w:ascii="宋体" w:hAnsi="宋体" w:eastAsia="宋体" w:cs="宋体"/>
                <w:spacing w:val="9"/>
                <w:sz w:val="20"/>
                <w:szCs w:val="20"/>
              </w:rPr>
              <w:t>按工程所在地设区市相关规定计算</w:t>
            </w:r>
          </w:p>
        </w:tc>
      </w:tr>
    </w:tbl>
    <w:p>
      <w:pPr>
        <w:spacing w:before="109" w:line="331" w:lineRule="auto"/>
        <w:ind w:left="274" w:right="313" w:firstLine="4"/>
        <w:rPr>
          <w:rFonts w:ascii="宋体" w:hAnsi="宋体" w:eastAsia="宋体" w:cs="宋体"/>
          <w:sz w:val="20"/>
          <w:szCs w:val="20"/>
        </w:rPr>
      </w:pPr>
      <w:r>
        <w:rPr>
          <w:rFonts w:ascii="宋体" w:hAnsi="宋体" w:eastAsia="宋体" w:cs="宋体"/>
          <w:spacing w:val="10"/>
          <w:sz w:val="20"/>
          <w:szCs w:val="20"/>
        </w:rPr>
        <w:t>注：表中安全施工费费率不包括安全生产责任保险费率。安全生产责任</w:t>
      </w:r>
      <w:r>
        <w:rPr>
          <w:rFonts w:ascii="宋体" w:hAnsi="宋体" w:eastAsia="宋体" w:cs="宋体"/>
          <w:spacing w:val="9"/>
          <w:sz w:val="20"/>
          <w:szCs w:val="20"/>
        </w:rPr>
        <w:t>保险费用在招投标和合同签订阶段可暂按</w:t>
      </w:r>
      <w:r>
        <w:rPr>
          <w:rFonts w:ascii="宋体" w:hAnsi="宋体" w:eastAsia="宋体" w:cs="宋体"/>
          <w:spacing w:val="-41"/>
          <w:sz w:val="20"/>
          <w:szCs w:val="20"/>
        </w:rPr>
        <w:t xml:space="preserve"> </w:t>
      </w:r>
      <w:r>
        <w:rPr>
          <w:rFonts w:ascii="宋体" w:hAnsi="宋体" w:eastAsia="宋体" w:cs="宋体"/>
          <w:spacing w:val="9"/>
          <w:sz w:val="20"/>
          <w:szCs w:val="20"/>
        </w:rPr>
        <w:t>0.15%计列，工程结算时按实际购买保险金额</w:t>
      </w:r>
      <w:r>
        <w:rPr>
          <w:rFonts w:ascii="宋体" w:hAnsi="宋体" w:eastAsia="宋体" w:cs="宋体"/>
          <w:spacing w:val="8"/>
          <w:sz w:val="20"/>
          <w:szCs w:val="20"/>
        </w:rPr>
        <w:t>计入。</w:t>
      </w:r>
    </w:p>
    <w:p>
      <w:pPr>
        <w:spacing w:line="331" w:lineRule="auto"/>
        <w:rPr>
          <w:rFonts w:ascii="宋体" w:hAnsi="宋体" w:eastAsia="宋体" w:cs="宋体"/>
          <w:sz w:val="20"/>
          <w:szCs w:val="20"/>
        </w:rPr>
        <w:sectPr>
          <w:footerReference r:id="rId123" w:type="default"/>
          <w:pgSz w:w="11906" w:h="16839"/>
          <w:pgMar w:top="400" w:right="1147" w:bottom="1212" w:left="1146" w:header="0" w:footer="897" w:gutter="0"/>
        </w:sect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2"/>
        <w:spacing w:before="86" w:line="209" w:lineRule="auto"/>
        <w:ind w:left="4252"/>
        <w:rPr>
          <w:sz w:val="20"/>
          <w:szCs w:val="20"/>
        </w:rPr>
      </w:pPr>
      <w:r>
        <w:rPr>
          <w:spacing w:val="6"/>
          <w:sz w:val="20"/>
          <w:szCs w:val="20"/>
        </w:rPr>
        <w:t>2.</w:t>
      </w:r>
      <w:r>
        <w:rPr>
          <w:spacing w:val="56"/>
          <w:w w:val="101"/>
          <w:sz w:val="20"/>
          <w:szCs w:val="20"/>
        </w:rPr>
        <w:t xml:space="preserve"> </w:t>
      </w:r>
      <w:r>
        <w:rPr>
          <w:spacing w:val="6"/>
          <w:sz w:val="20"/>
          <w:szCs w:val="20"/>
        </w:rPr>
        <w:t>简易计税法下</w:t>
      </w:r>
    </w:p>
    <w:p>
      <w:pPr>
        <w:spacing w:before="68" w:line="233" w:lineRule="auto"/>
        <w:ind w:left="8540"/>
        <w:rPr>
          <w:rFonts w:ascii="宋体" w:hAnsi="宋体" w:eastAsia="宋体" w:cs="宋体"/>
          <w:sz w:val="20"/>
          <w:szCs w:val="20"/>
        </w:rPr>
      </w:pPr>
      <w:r>
        <w:rPr>
          <w:rFonts w:ascii="宋体" w:hAnsi="宋体" w:eastAsia="宋体" w:cs="宋体"/>
          <w:spacing w:val="24"/>
          <w:sz w:val="20"/>
          <w:szCs w:val="20"/>
        </w:rPr>
        <w:t>单位：%</w:t>
      </w:r>
    </w:p>
    <w:tbl>
      <w:tblPr>
        <w:tblStyle w:val="5"/>
        <w:tblW w:w="959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966"/>
        <w:gridCol w:w="689"/>
        <w:gridCol w:w="669"/>
        <w:gridCol w:w="669"/>
        <w:gridCol w:w="699"/>
        <w:gridCol w:w="643"/>
        <w:gridCol w:w="649"/>
        <w:gridCol w:w="720"/>
        <w:gridCol w:w="679"/>
        <w:gridCol w:w="679"/>
        <w:gridCol w:w="649"/>
        <w:gridCol w:w="7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5" w:hRule="atLeast"/>
        </w:trPr>
        <w:tc>
          <w:tcPr>
            <w:tcW w:w="2126" w:type="dxa"/>
            <w:gridSpan w:val="2"/>
            <w:vMerge w:val="restart"/>
            <w:tcBorders>
              <w:top w:val="single" w:color="000000" w:sz="6" w:space="0"/>
              <w:left w:val="single" w:color="000000" w:sz="6" w:space="0"/>
              <w:bottom w:val="nil"/>
              <w:tl2br w:val="single" w:color="000000" w:sz="4" w:space="0"/>
            </w:tcBorders>
            <w:vAlign w:val="top"/>
          </w:tcPr>
          <w:p>
            <w:pPr>
              <w:spacing w:before="178" w:line="223" w:lineRule="auto"/>
              <w:ind w:left="1163"/>
              <w:rPr>
                <w:rFonts w:ascii="宋体" w:hAnsi="宋体" w:eastAsia="宋体" w:cs="宋体"/>
                <w:sz w:val="20"/>
                <w:szCs w:val="20"/>
              </w:rPr>
            </w:pPr>
            <w:r>
              <w:rPr>
                <w:rFonts w:ascii="宋体" w:hAnsi="宋体" w:eastAsia="宋体" w:cs="宋体"/>
                <w:spacing w:val="8"/>
                <w:sz w:val="20"/>
                <w:szCs w:val="20"/>
              </w:rPr>
              <w:t>专业名称</w:t>
            </w:r>
          </w:p>
          <w:p>
            <w:pPr>
              <w:pStyle w:val="6"/>
              <w:spacing w:line="414" w:lineRule="auto"/>
            </w:pPr>
          </w:p>
          <w:p>
            <w:pPr>
              <w:spacing w:before="65" w:line="219" w:lineRule="auto"/>
              <w:ind w:left="114"/>
              <w:rPr>
                <w:rFonts w:ascii="宋体" w:hAnsi="宋体" w:eastAsia="宋体" w:cs="宋体"/>
                <w:sz w:val="20"/>
                <w:szCs w:val="20"/>
              </w:rPr>
            </w:pPr>
            <w:r>
              <w:rPr>
                <w:rFonts w:ascii="宋体" w:hAnsi="宋体" w:eastAsia="宋体" w:cs="宋体"/>
                <w:spacing w:val="6"/>
                <w:sz w:val="20"/>
                <w:szCs w:val="20"/>
              </w:rPr>
              <w:t>费用名称</w:t>
            </w:r>
          </w:p>
        </w:tc>
        <w:tc>
          <w:tcPr>
            <w:tcW w:w="689" w:type="dxa"/>
            <w:vMerge w:val="restart"/>
            <w:tcBorders>
              <w:top w:val="single" w:color="000000" w:sz="6" w:space="0"/>
              <w:bottom w:val="nil"/>
            </w:tcBorders>
            <w:vAlign w:val="top"/>
          </w:tcPr>
          <w:p>
            <w:pPr>
              <w:pStyle w:val="6"/>
              <w:spacing w:line="303" w:lineRule="auto"/>
            </w:pPr>
          </w:p>
          <w:p>
            <w:pPr>
              <w:spacing w:before="65" w:line="283" w:lineRule="auto"/>
              <w:ind w:left="132" w:right="138"/>
              <w:rPr>
                <w:rFonts w:ascii="宋体" w:hAnsi="宋体" w:eastAsia="宋体" w:cs="宋体"/>
                <w:sz w:val="20"/>
                <w:szCs w:val="20"/>
              </w:rPr>
            </w:pPr>
            <w:r>
              <w:rPr>
                <w:rFonts w:ascii="宋体" w:hAnsi="宋体" w:eastAsia="宋体" w:cs="宋体"/>
                <w:spacing w:val="6"/>
                <w:sz w:val="20"/>
                <w:szCs w:val="20"/>
              </w:rPr>
              <w:t>建筑工程</w:t>
            </w:r>
          </w:p>
        </w:tc>
        <w:tc>
          <w:tcPr>
            <w:tcW w:w="669" w:type="dxa"/>
            <w:vMerge w:val="restart"/>
            <w:tcBorders>
              <w:top w:val="single" w:color="000000" w:sz="6" w:space="0"/>
              <w:bottom w:val="nil"/>
            </w:tcBorders>
            <w:vAlign w:val="top"/>
          </w:tcPr>
          <w:p>
            <w:pPr>
              <w:pStyle w:val="6"/>
              <w:spacing w:line="305" w:lineRule="auto"/>
            </w:pPr>
          </w:p>
          <w:p>
            <w:pPr>
              <w:spacing w:before="65" w:line="283" w:lineRule="auto"/>
              <w:ind w:left="124" w:right="125" w:hanging="1"/>
              <w:rPr>
                <w:rFonts w:ascii="宋体" w:hAnsi="宋体" w:eastAsia="宋体" w:cs="宋体"/>
                <w:sz w:val="20"/>
                <w:szCs w:val="20"/>
              </w:rPr>
            </w:pPr>
            <w:r>
              <w:rPr>
                <w:rFonts w:ascii="宋体" w:hAnsi="宋体" w:eastAsia="宋体" w:cs="宋体"/>
                <w:spacing w:val="7"/>
                <w:sz w:val="20"/>
                <w:szCs w:val="20"/>
              </w:rPr>
              <w:t>装饰</w:t>
            </w:r>
            <w:r>
              <w:rPr>
                <w:rFonts w:ascii="宋体" w:hAnsi="宋体" w:eastAsia="宋体" w:cs="宋体"/>
                <w:spacing w:val="6"/>
                <w:sz w:val="20"/>
                <w:szCs w:val="20"/>
              </w:rPr>
              <w:t>工程</w:t>
            </w:r>
          </w:p>
        </w:tc>
        <w:tc>
          <w:tcPr>
            <w:tcW w:w="1368" w:type="dxa"/>
            <w:gridSpan w:val="2"/>
            <w:tcBorders>
              <w:top w:val="single" w:color="000000" w:sz="6" w:space="0"/>
            </w:tcBorders>
            <w:vAlign w:val="top"/>
          </w:tcPr>
          <w:p>
            <w:pPr>
              <w:spacing w:before="220" w:line="219" w:lineRule="auto"/>
              <w:ind w:left="265"/>
              <w:rPr>
                <w:rFonts w:ascii="宋体" w:hAnsi="宋体" w:eastAsia="宋体" w:cs="宋体"/>
                <w:sz w:val="20"/>
                <w:szCs w:val="20"/>
              </w:rPr>
            </w:pPr>
            <w:r>
              <w:rPr>
                <w:rFonts w:ascii="宋体" w:hAnsi="宋体" w:eastAsia="宋体" w:cs="宋体"/>
                <w:spacing w:val="8"/>
                <w:sz w:val="20"/>
                <w:szCs w:val="20"/>
              </w:rPr>
              <w:t>安装工程</w:t>
            </w:r>
          </w:p>
        </w:tc>
        <w:tc>
          <w:tcPr>
            <w:tcW w:w="643" w:type="dxa"/>
            <w:vMerge w:val="restart"/>
            <w:tcBorders>
              <w:top w:val="single" w:color="000000" w:sz="6" w:space="0"/>
              <w:bottom w:val="nil"/>
            </w:tcBorders>
            <w:vAlign w:val="top"/>
          </w:tcPr>
          <w:p>
            <w:pPr>
              <w:spacing w:before="224" w:line="280" w:lineRule="auto"/>
              <w:ind w:left="114" w:right="111" w:firstLine="14"/>
              <w:jc w:val="both"/>
              <w:rPr>
                <w:rFonts w:ascii="宋体" w:hAnsi="宋体" w:eastAsia="宋体" w:cs="宋体"/>
                <w:sz w:val="20"/>
                <w:szCs w:val="20"/>
              </w:rPr>
            </w:pPr>
            <w:r>
              <w:rPr>
                <w:rFonts w:ascii="宋体" w:hAnsi="宋体" w:eastAsia="宋体" w:cs="宋体"/>
                <w:spacing w:val="-1"/>
                <w:sz w:val="20"/>
                <w:szCs w:val="20"/>
              </w:rPr>
              <w:t>园林</w:t>
            </w:r>
            <w:r>
              <w:rPr>
                <w:rFonts w:ascii="宋体" w:hAnsi="宋体" w:eastAsia="宋体" w:cs="宋体"/>
                <w:spacing w:val="6"/>
                <w:sz w:val="20"/>
                <w:szCs w:val="20"/>
              </w:rPr>
              <w:t>绿化工程</w:t>
            </w:r>
          </w:p>
        </w:tc>
        <w:tc>
          <w:tcPr>
            <w:tcW w:w="1369" w:type="dxa"/>
            <w:gridSpan w:val="2"/>
            <w:tcBorders>
              <w:top w:val="single" w:color="000000" w:sz="6" w:space="0"/>
            </w:tcBorders>
            <w:vAlign w:val="top"/>
          </w:tcPr>
          <w:p>
            <w:pPr>
              <w:spacing w:before="68" w:line="219" w:lineRule="auto"/>
              <w:ind w:left="162"/>
              <w:rPr>
                <w:rFonts w:ascii="宋体" w:hAnsi="宋体" w:eastAsia="宋体" w:cs="宋体"/>
                <w:sz w:val="20"/>
                <w:szCs w:val="20"/>
              </w:rPr>
            </w:pPr>
            <w:r>
              <w:rPr>
                <w:rFonts w:ascii="宋体" w:hAnsi="宋体" w:eastAsia="宋体" w:cs="宋体"/>
                <w:spacing w:val="8"/>
                <w:sz w:val="20"/>
                <w:szCs w:val="20"/>
              </w:rPr>
              <w:t>城市地下综</w:t>
            </w:r>
          </w:p>
          <w:p>
            <w:pPr>
              <w:spacing w:before="62" w:line="209" w:lineRule="auto"/>
              <w:ind w:left="160"/>
              <w:rPr>
                <w:rFonts w:ascii="宋体" w:hAnsi="宋体" w:eastAsia="宋体" w:cs="宋体"/>
                <w:sz w:val="20"/>
                <w:szCs w:val="20"/>
              </w:rPr>
            </w:pPr>
            <w:r>
              <w:rPr>
                <w:rFonts w:ascii="宋体" w:hAnsi="宋体" w:eastAsia="宋体" w:cs="宋体"/>
                <w:spacing w:val="9"/>
                <w:sz w:val="20"/>
                <w:szCs w:val="20"/>
              </w:rPr>
              <w:t>合管廊工程</w:t>
            </w:r>
          </w:p>
        </w:tc>
        <w:tc>
          <w:tcPr>
            <w:tcW w:w="1358" w:type="dxa"/>
            <w:gridSpan w:val="2"/>
            <w:tcBorders>
              <w:top w:val="single" w:color="000000" w:sz="6" w:space="0"/>
            </w:tcBorders>
            <w:vAlign w:val="top"/>
          </w:tcPr>
          <w:p>
            <w:pPr>
              <w:spacing w:before="68" w:line="243" w:lineRule="auto"/>
              <w:ind w:left="581" w:right="147" w:hanging="419"/>
              <w:rPr>
                <w:rFonts w:ascii="宋体" w:hAnsi="宋体" w:eastAsia="宋体" w:cs="宋体"/>
                <w:sz w:val="20"/>
                <w:szCs w:val="20"/>
              </w:rPr>
            </w:pPr>
            <w:r>
              <w:rPr>
                <w:rFonts w:ascii="宋体" w:hAnsi="宋体" w:eastAsia="宋体" w:cs="宋体"/>
                <w:spacing w:val="8"/>
                <w:sz w:val="20"/>
                <w:szCs w:val="20"/>
              </w:rPr>
              <w:t>房屋修缮工</w:t>
            </w:r>
            <w:r>
              <w:rPr>
                <w:rFonts w:ascii="宋体" w:hAnsi="宋体" w:eastAsia="宋体" w:cs="宋体"/>
                <w:spacing w:val="4"/>
                <w:sz w:val="20"/>
                <w:szCs w:val="20"/>
              </w:rPr>
              <w:t>程</w:t>
            </w:r>
          </w:p>
        </w:tc>
        <w:tc>
          <w:tcPr>
            <w:tcW w:w="649" w:type="dxa"/>
            <w:vMerge w:val="restart"/>
            <w:tcBorders>
              <w:top w:val="single" w:color="000000" w:sz="6" w:space="0"/>
              <w:bottom w:val="nil"/>
            </w:tcBorders>
            <w:vAlign w:val="top"/>
          </w:tcPr>
          <w:p>
            <w:pPr>
              <w:spacing w:before="71" w:line="218" w:lineRule="auto"/>
              <w:ind w:left="124"/>
              <w:rPr>
                <w:rFonts w:ascii="宋体" w:hAnsi="宋体" w:eastAsia="宋体" w:cs="宋体"/>
                <w:sz w:val="20"/>
                <w:szCs w:val="20"/>
              </w:rPr>
            </w:pPr>
            <w:r>
              <w:rPr>
                <w:rFonts w:ascii="宋体" w:hAnsi="宋体" w:eastAsia="宋体" w:cs="宋体"/>
                <w:spacing w:val="6"/>
                <w:sz w:val="20"/>
                <w:szCs w:val="20"/>
              </w:rPr>
              <w:t>市政</w:t>
            </w:r>
          </w:p>
          <w:p>
            <w:pPr>
              <w:spacing w:before="63" w:line="220" w:lineRule="auto"/>
              <w:ind w:left="122"/>
              <w:rPr>
                <w:rFonts w:ascii="宋体" w:hAnsi="宋体" w:eastAsia="宋体" w:cs="宋体"/>
                <w:sz w:val="20"/>
                <w:szCs w:val="20"/>
              </w:rPr>
            </w:pPr>
            <w:r>
              <w:rPr>
                <w:rFonts w:ascii="宋体" w:hAnsi="宋体" w:eastAsia="宋体" w:cs="宋体"/>
                <w:spacing w:val="6"/>
                <w:sz w:val="20"/>
                <w:szCs w:val="20"/>
              </w:rPr>
              <w:t>养护</w:t>
            </w:r>
          </w:p>
          <w:p>
            <w:pPr>
              <w:spacing w:before="61" w:line="220" w:lineRule="auto"/>
              <w:ind w:left="123"/>
              <w:rPr>
                <w:rFonts w:ascii="宋体" w:hAnsi="宋体" w:eastAsia="宋体" w:cs="宋体"/>
                <w:sz w:val="20"/>
                <w:szCs w:val="20"/>
              </w:rPr>
            </w:pPr>
            <w:r>
              <w:rPr>
                <w:rFonts w:ascii="宋体" w:hAnsi="宋体" w:eastAsia="宋体" w:cs="宋体"/>
                <w:spacing w:val="6"/>
                <w:sz w:val="20"/>
                <w:szCs w:val="20"/>
              </w:rPr>
              <w:t>维修</w:t>
            </w:r>
          </w:p>
          <w:p>
            <w:pPr>
              <w:spacing w:before="71" w:line="202" w:lineRule="auto"/>
              <w:ind w:left="123"/>
              <w:rPr>
                <w:rFonts w:ascii="宋体" w:hAnsi="宋体" w:eastAsia="宋体" w:cs="宋体"/>
                <w:sz w:val="20"/>
                <w:szCs w:val="20"/>
              </w:rPr>
            </w:pPr>
            <w:r>
              <w:rPr>
                <w:rFonts w:ascii="宋体" w:hAnsi="宋体" w:eastAsia="宋体" w:cs="宋体"/>
                <w:spacing w:val="6"/>
                <w:sz w:val="20"/>
                <w:szCs w:val="20"/>
              </w:rPr>
              <w:t>工程</w:t>
            </w:r>
          </w:p>
        </w:tc>
        <w:tc>
          <w:tcPr>
            <w:tcW w:w="726" w:type="dxa"/>
            <w:vMerge w:val="restart"/>
            <w:tcBorders>
              <w:top w:val="single" w:color="000000" w:sz="6" w:space="0"/>
              <w:bottom w:val="nil"/>
              <w:right w:val="single" w:color="000000" w:sz="6" w:space="0"/>
            </w:tcBorders>
            <w:vAlign w:val="top"/>
          </w:tcPr>
          <w:p>
            <w:pPr>
              <w:spacing w:before="220" w:line="279" w:lineRule="auto"/>
              <w:ind w:left="156" w:right="144"/>
              <w:rPr>
                <w:rFonts w:ascii="宋体" w:hAnsi="宋体" w:eastAsia="宋体" w:cs="宋体"/>
                <w:sz w:val="20"/>
                <w:szCs w:val="20"/>
              </w:rPr>
            </w:pPr>
            <w:r>
              <w:rPr>
                <w:rFonts w:ascii="宋体" w:hAnsi="宋体" w:eastAsia="宋体" w:cs="宋体"/>
                <w:spacing w:val="7"/>
                <w:sz w:val="20"/>
                <w:szCs w:val="20"/>
              </w:rPr>
              <w:t>仿古</w:t>
            </w:r>
            <w:r>
              <w:rPr>
                <w:rFonts w:ascii="宋体" w:hAnsi="宋体" w:eastAsia="宋体" w:cs="宋体"/>
                <w:spacing w:val="6"/>
                <w:sz w:val="20"/>
                <w:szCs w:val="20"/>
              </w:rPr>
              <w:t>建筑</w:t>
            </w:r>
          </w:p>
          <w:p>
            <w:pPr>
              <w:spacing w:before="8" w:line="209" w:lineRule="auto"/>
              <w:ind w:left="158"/>
              <w:rPr>
                <w:rFonts w:ascii="宋体" w:hAnsi="宋体" w:eastAsia="宋体" w:cs="宋体"/>
                <w:sz w:val="20"/>
                <w:szCs w:val="20"/>
              </w:rPr>
            </w:pPr>
            <w:r>
              <w:rPr>
                <w:rFonts w:ascii="宋体" w:hAnsi="宋体" w:eastAsia="宋体" w:cs="宋体"/>
                <w:spacing w:val="6"/>
                <w:sz w:val="20"/>
                <w:szCs w:val="20"/>
              </w:rPr>
              <w:t>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0" w:hRule="atLeast"/>
        </w:trPr>
        <w:tc>
          <w:tcPr>
            <w:tcW w:w="2126" w:type="dxa"/>
            <w:gridSpan w:val="2"/>
            <w:vMerge w:val="continue"/>
            <w:tcBorders>
              <w:top w:val="nil"/>
              <w:left w:val="single" w:color="000000" w:sz="6" w:space="0"/>
              <w:tl2br w:val="single" w:color="000000" w:sz="4" w:space="0"/>
            </w:tcBorders>
            <w:vAlign w:val="top"/>
          </w:tcPr>
          <w:p>
            <w:pPr>
              <w:pStyle w:val="6"/>
            </w:pPr>
          </w:p>
        </w:tc>
        <w:tc>
          <w:tcPr>
            <w:tcW w:w="689" w:type="dxa"/>
            <w:vMerge w:val="continue"/>
            <w:tcBorders>
              <w:top w:val="nil"/>
            </w:tcBorders>
            <w:vAlign w:val="top"/>
          </w:tcPr>
          <w:p>
            <w:pPr>
              <w:pStyle w:val="6"/>
            </w:pPr>
          </w:p>
        </w:tc>
        <w:tc>
          <w:tcPr>
            <w:tcW w:w="669" w:type="dxa"/>
            <w:vMerge w:val="continue"/>
            <w:tcBorders>
              <w:top w:val="nil"/>
            </w:tcBorders>
            <w:vAlign w:val="top"/>
          </w:tcPr>
          <w:p>
            <w:pPr>
              <w:pStyle w:val="6"/>
            </w:pPr>
          </w:p>
        </w:tc>
        <w:tc>
          <w:tcPr>
            <w:tcW w:w="669" w:type="dxa"/>
            <w:vAlign w:val="top"/>
          </w:tcPr>
          <w:p>
            <w:pPr>
              <w:spacing w:before="221" w:line="212" w:lineRule="auto"/>
              <w:ind w:left="143"/>
              <w:rPr>
                <w:rFonts w:ascii="宋体" w:hAnsi="宋体" w:eastAsia="宋体" w:cs="宋体"/>
                <w:sz w:val="20"/>
                <w:szCs w:val="20"/>
              </w:rPr>
            </w:pPr>
            <w:r>
              <w:rPr>
                <w:rFonts w:ascii="宋体" w:hAnsi="宋体" w:eastAsia="宋体" w:cs="宋体"/>
                <w:spacing w:val="-3"/>
                <w:sz w:val="20"/>
                <w:szCs w:val="20"/>
              </w:rPr>
              <w:t>民用</w:t>
            </w:r>
          </w:p>
        </w:tc>
        <w:tc>
          <w:tcPr>
            <w:tcW w:w="699" w:type="dxa"/>
            <w:vAlign w:val="top"/>
          </w:tcPr>
          <w:p>
            <w:pPr>
              <w:spacing w:before="223" w:line="217" w:lineRule="auto"/>
              <w:ind w:left="141"/>
              <w:rPr>
                <w:rFonts w:ascii="宋体" w:hAnsi="宋体" w:eastAsia="宋体" w:cs="宋体"/>
                <w:sz w:val="20"/>
                <w:szCs w:val="20"/>
              </w:rPr>
            </w:pPr>
            <w:r>
              <w:rPr>
                <w:rFonts w:ascii="宋体" w:hAnsi="宋体" w:eastAsia="宋体" w:cs="宋体"/>
                <w:spacing w:val="6"/>
                <w:sz w:val="20"/>
                <w:szCs w:val="20"/>
              </w:rPr>
              <w:t>工业</w:t>
            </w:r>
          </w:p>
        </w:tc>
        <w:tc>
          <w:tcPr>
            <w:tcW w:w="643" w:type="dxa"/>
            <w:vMerge w:val="continue"/>
            <w:tcBorders>
              <w:top w:val="nil"/>
            </w:tcBorders>
            <w:vAlign w:val="top"/>
          </w:tcPr>
          <w:p>
            <w:pPr>
              <w:pStyle w:val="6"/>
            </w:pPr>
          </w:p>
        </w:tc>
        <w:tc>
          <w:tcPr>
            <w:tcW w:w="649" w:type="dxa"/>
            <w:vAlign w:val="top"/>
          </w:tcPr>
          <w:p>
            <w:pPr>
              <w:spacing w:before="61" w:line="223" w:lineRule="auto"/>
              <w:ind w:left="118"/>
              <w:rPr>
                <w:rFonts w:ascii="宋体" w:hAnsi="宋体" w:eastAsia="宋体" w:cs="宋体"/>
                <w:sz w:val="20"/>
                <w:szCs w:val="20"/>
              </w:rPr>
            </w:pPr>
            <w:r>
              <w:rPr>
                <w:rFonts w:ascii="宋体" w:hAnsi="宋体" w:eastAsia="宋体" w:cs="宋体"/>
                <w:spacing w:val="6"/>
                <w:sz w:val="20"/>
                <w:szCs w:val="20"/>
              </w:rPr>
              <w:t>建筑</w:t>
            </w:r>
          </w:p>
          <w:p>
            <w:pPr>
              <w:spacing w:before="61" w:line="208" w:lineRule="auto"/>
              <w:ind w:left="117"/>
              <w:rPr>
                <w:rFonts w:ascii="宋体" w:hAnsi="宋体" w:eastAsia="宋体" w:cs="宋体"/>
                <w:sz w:val="20"/>
                <w:szCs w:val="20"/>
              </w:rPr>
            </w:pPr>
            <w:r>
              <w:rPr>
                <w:rFonts w:ascii="宋体" w:hAnsi="宋体" w:eastAsia="宋体" w:cs="宋体"/>
                <w:spacing w:val="7"/>
                <w:sz w:val="20"/>
                <w:szCs w:val="20"/>
              </w:rPr>
              <w:t>装饰</w:t>
            </w:r>
          </w:p>
        </w:tc>
        <w:tc>
          <w:tcPr>
            <w:tcW w:w="720" w:type="dxa"/>
            <w:vAlign w:val="top"/>
          </w:tcPr>
          <w:p>
            <w:pPr>
              <w:spacing w:before="64" w:line="219" w:lineRule="auto"/>
              <w:ind w:left="154"/>
              <w:rPr>
                <w:rFonts w:ascii="宋体" w:hAnsi="宋体" w:eastAsia="宋体" w:cs="宋体"/>
                <w:sz w:val="20"/>
                <w:szCs w:val="20"/>
              </w:rPr>
            </w:pPr>
            <w:r>
              <w:rPr>
                <w:rFonts w:ascii="宋体" w:hAnsi="宋体" w:eastAsia="宋体" w:cs="宋体"/>
                <w:spacing w:val="6"/>
                <w:sz w:val="20"/>
                <w:szCs w:val="20"/>
              </w:rPr>
              <w:t>安装</w:t>
            </w:r>
          </w:p>
          <w:p>
            <w:pPr>
              <w:spacing w:before="72" w:line="199" w:lineRule="auto"/>
              <w:ind w:left="154"/>
              <w:rPr>
                <w:rFonts w:ascii="宋体" w:hAnsi="宋体" w:eastAsia="宋体" w:cs="宋体"/>
                <w:sz w:val="20"/>
                <w:szCs w:val="20"/>
              </w:rPr>
            </w:pPr>
            <w:r>
              <w:rPr>
                <w:rFonts w:ascii="宋体" w:hAnsi="宋体" w:eastAsia="宋体" w:cs="宋体"/>
                <w:spacing w:val="6"/>
                <w:sz w:val="20"/>
                <w:szCs w:val="20"/>
              </w:rPr>
              <w:t>工程</w:t>
            </w:r>
          </w:p>
        </w:tc>
        <w:tc>
          <w:tcPr>
            <w:tcW w:w="679" w:type="dxa"/>
            <w:vAlign w:val="top"/>
          </w:tcPr>
          <w:p>
            <w:pPr>
              <w:spacing w:before="61" w:line="223" w:lineRule="auto"/>
              <w:ind w:left="134"/>
              <w:rPr>
                <w:rFonts w:ascii="宋体" w:hAnsi="宋体" w:eastAsia="宋体" w:cs="宋体"/>
                <w:sz w:val="20"/>
                <w:szCs w:val="20"/>
              </w:rPr>
            </w:pPr>
            <w:r>
              <w:rPr>
                <w:rFonts w:ascii="宋体" w:hAnsi="宋体" w:eastAsia="宋体" w:cs="宋体"/>
                <w:spacing w:val="6"/>
                <w:sz w:val="20"/>
                <w:szCs w:val="20"/>
              </w:rPr>
              <w:t>建筑</w:t>
            </w:r>
          </w:p>
          <w:p>
            <w:pPr>
              <w:spacing w:before="70" w:line="199" w:lineRule="auto"/>
              <w:ind w:left="134"/>
              <w:rPr>
                <w:rFonts w:ascii="宋体" w:hAnsi="宋体" w:eastAsia="宋体" w:cs="宋体"/>
                <w:sz w:val="20"/>
                <w:szCs w:val="20"/>
              </w:rPr>
            </w:pPr>
            <w:r>
              <w:rPr>
                <w:rFonts w:ascii="宋体" w:hAnsi="宋体" w:eastAsia="宋体" w:cs="宋体"/>
                <w:spacing w:val="6"/>
                <w:sz w:val="20"/>
                <w:szCs w:val="20"/>
              </w:rPr>
              <w:t>工程</w:t>
            </w:r>
          </w:p>
        </w:tc>
        <w:tc>
          <w:tcPr>
            <w:tcW w:w="679" w:type="dxa"/>
            <w:vAlign w:val="top"/>
          </w:tcPr>
          <w:p>
            <w:pPr>
              <w:spacing w:before="64" w:line="219" w:lineRule="auto"/>
              <w:ind w:left="137"/>
              <w:rPr>
                <w:rFonts w:ascii="宋体" w:hAnsi="宋体" w:eastAsia="宋体" w:cs="宋体"/>
                <w:sz w:val="20"/>
                <w:szCs w:val="20"/>
              </w:rPr>
            </w:pPr>
            <w:r>
              <w:rPr>
                <w:rFonts w:ascii="宋体" w:hAnsi="宋体" w:eastAsia="宋体" w:cs="宋体"/>
                <w:spacing w:val="6"/>
                <w:sz w:val="20"/>
                <w:szCs w:val="20"/>
              </w:rPr>
              <w:t>安装</w:t>
            </w:r>
          </w:p>
          <w:p>
            <w:pPr>
              <w:spacing w:before="72" w:line="199" w:lineRule="auto"/>
              <w:ind w:left="137"/>
              <w:rPr>
                <w:rFonts w:ascii="宋体" w:hAnsi="宋体" w:eastAsia="宋体" w:cs="宋体"/>
                <w:sz w:val="20"/>
                <w:szCs w:val="20"/>
              </w:rPr>
            </w:pPr>
            <w:r>
              <w:rPr>
                <w:rFonts w:ascii="宋体" w:hAnsi="宋体" w:eastAsia="宋体" w:cs="宋体"/>
                <w:spacing w:val="6"/>
                <w:sz w:val="20"/>
                <w:szCs w:val="20"/>
              </w:rPr>
              <w:t>工程</w:t>
            </w:r>
          </w:p>
        </w:tc>
        <w:tc>
          <w:tcPr>
            <w:tcW w:w="649" w:type="dxa"/>
            <w:vMerge w:val="continue"/>
            <w:tcBorders>
              <w:top w:val="nil"/>
            </w:tcBorders>
            <w:vAlign w:val="top"/>
          </w:tcPr>
          <w:p>
            <w:pPr>
              <w:pStyle w:val="6"/>
            </w:pPr>
          </w:p>
        </w:tc>
        <w:tc>
          <w:tcPr>
            <w:tcW w:w="726" w:type="dxa"/>
            <w:vMerge w:val="continue"/>
            <w:tcBorders>
              <w:top w:val="nil"/>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21" w:line="215" w:lineRule="auto"/>
              <w:ind w:left="324"/>
              <w:rPr>
                <w:rFonts w:ascii="宋体" w:hAnsi="宋体" w:eastAsia="宋体" w:cs="宋体"/>
                <w:sz w:val="20"/>
                <w:szCs w:val="20"/>
              </w:rPr>
            </w:pPr>
            <w:r>
              <w:rPr>
                <w:rFonts w:ascii="宋体" w:hAnsi="宋体" w:eastAsia="宋体" w:cs="宋体"/>
                <w:spacing w:val="9"/>
                <w:sz w:val="20"/>
                <w:szCs w:val="20"/>
              </w:rPr>
              <w:t>安全文明施工费</w:t>
            </w:r>
          </w:p>
        </w:tc>
        <w:tc>
          <w:tcPr>
            <w:tcW w:w="689" w:type="dxa"/>
            <w:vAlign w:val="top"/>
          </w:tcPr>
          <w:p>
            <w:pPr>
              <w:spacing w:before="113" w:line="222" w:lineRule="auto"/>
              <w:ind w:left="162"/>
              <w:rPr>
                <w:rFonts w:ascii="宋体" w:hAnsi="宋体" w:eastAsia="宋体" w:cs="宋体"/>
                <w:sz w:val="20"/>
                <w:szCs w:val="20"/>
              </w:rPr>
            </w:pPr>
            <w:r>
              <w:rPr>
                <w:rFonts w:ascii="宋体" w:hAnsi="宋体" w:eastAsia="宋体" w:cs="宋体"/>
                <w:spacing w:val="-11"/>
                <w:sz w:val="20"/>
                <w:szCs w:val="20"/>
              </w:rPr>
              <w:t>5.44</w:t>
            </w:r>
          </w:p>
        </w:tc>
        <w:tc>
          <w:tcPr>
            <w:tcW w:w="669" w:type="dxa"/>
            <w:vAlign w:val="top"/>
          </w:tcPr>
          <w:p>
            <w:pPr>
              <w:spacing w:before="113" w:line="222" w:lineRule="auto"/>
              <w:ind w:left="152"/>
              <w:rPr>
                <w:rFonts w:ascii="宋体" w:hAnsi="宋体" w:eastAsia="宋体" w:cs="宋体"/>
                <w:sz w:val="20"/>
                <w:szCs w:val="20"/>
              </w:rPr>
            </w:pPr>
            <w:r>
              <w:rPr>
                <w:rFonts w:ascii="宋体" w:hAnsi="宋体" w:eastAsia="宋体" w:cs="宋体"/>
                <w:spacing w:val="-11"/>
                <w:sz w:val="20"/>
                <w:szCs w:val="20"/>
              </w:rPr>
              <w:t>5.12</w:t>
            </w:r>
          </w:p>
        </w:tc>
        <w:tc>
          <w:tcPr>
            <w:tcW w:w="669" w:type="dxa"/>
            <w:vAlign w:val="top"/>
          </w:tcPr>
          <w:p>
            <w:pPr>
              <w:spacing w:before="113" w:line="222" w:lineRule="auto"/>
              <w:ind w:left="154"/>
              <w:rPr>
                <w:rFonts w:ascii="宋体" w:hAnsi="宋体" w:eastAsia="宋体" w:cs="宋体"/>
                <w:sz w:val="20"/>
                <w:szCs w:val="20"/>
              </w:rPr>
            </w:pPr>
            <w:r>
              <w:rPr>
                <w:rFonts w:ascii="宋体" w:hAnsi="宋体" w:eastAsia="宋体" w:cs="宋体"/>
                <w:spacing w:val="-11"/>
                <w:sz w:val="20"/>
                <w:szCs w:val="20"/>
              </w:rPr>
              <w:t>6.01</w:t>
            </w:r>
          </w:p>
        </w:tc>
        <w:tc>
          <w:tcPr>
            <w:tcW w:w="699" w:type="dxa"/>
            <w:vAlign w:val="top"/>
          </w:tcPr>
          <w:p>
            <w:pPr>
              <w:spacing w:before="113" w:line="222" w:lineRule="auto"/>
              <w:ind w:left="167"/>
              <w:rPr>
                <w:rFonts w:ascii="宋体" w:hAnsi="宋体" w:eastAsia="宋体" w:cs="宋体"/>
                <w:sz w:val="20"/>
                <w:szCs w:val="20"/>
              </w:rPr>
            </w:pPr>
            <w:r>
              <w:rPr>
                <w:rFonts w:ascii="宋体" w:hAnsi="宋体" w:eastAsia="宋体" w:cs="宋体"/>
                <w:spacing w:val="-10"/>
                <w:sz w:val="20"/>
                <w:szCs w:val="20"/>
              </w:rPr>
              <w:t>4.89</w:t>
            </w:r>
          </w:p>
        </w:tc>
        <w:tc>
          <w:tcPr>
            <w:tcW w:w="643" w:type="dxa"/>
            <w:vAlign w:val="top"/>
          </w:tcPr>
          <w:p>
            <w:pPr>
              <w:spacing w:before="113" w:line="222" w:lineRule="auto"/>
              <w:ind w:left="146"/>
              <w:rPr>
                <w:rFonts w:ascii="宋体" w:hAnsi="宋体" w:eastAsia="宋体" w:cs="宋体"/>
                <w:sz w:val="20"/>
                <w:szCs w:val="20"/>
              </w:rPr>
            </w:pPr>
            <w:r>
              <w:rPr>
                <w:rFonts w:ascii="宋体" w:hAnsi="宋体" w:eastAsia="宋体" w:cs="宋体"/>
                <w:spacing w:val="-12"/>
                <w:sz w:val="20"/>
                <w:szCs w:val="20"/>
              </w:rPr>
              <w:t>3.42</w:t>
            </w:r>
          </w:p>
        </w:tc>
        <w:tc>
          <w:tcPr>
            <w:tcW w:w="649" w:type="dxa"/>
            <w:vAlign w:val="top"/>
          </w:tcPr>
          <w:p>
            <w:pPr>
              <w:spacing w:before="113" w:line="222" w:lineRule="auto"/>
              <w:ind w:left="146"/>
              <w:rPr>
                <w:rFonts w:ascii="宋体" w:hAnsi="宋体" w:eastAsia="宋体" w:cs="宋体"/>
                <w:sz w:val="20"/>
                <w:szCs w:val="20"/>
              </w:rPr>
            </w:pPr>
            <w:r>
              <w:rPr>
                <w:rFonts w:ascii="宋体" w:hAnsi="宋体" w:eastAsia="宋体" w:cs="宋体"/>
                <w:spacing w:val="-11"/>
                <w:sz w:val="20"/>
                <w:szCs w:val="20"/>
              </w:rPr>
              <w:t>5.66</w:t>
            </w:r>
          </w:p>
        </w:tc>
        <w:tc>
          <w:tcPr>
            <w:tcW w:w="720" w:type="dxa"/>
            <w:vAlign w:val="top"/>
          </w:tcPr>
          <w:p>
            <w:pPr>
              <w:spacing w:before="113" w:line="222" w:lineRule="auto"/>
              <w:ind w:left="180"/>
              <w:rPr>
                <w:rFonts w:ascii="宋体" w:hAnsi="宋体" w:eastAsia="宋体" w:cs="宋体"/>
                <w:sz w:val="20"/>
                <w:szCs w:val="20"/>
              </w:rPr>
            </w:pPr>
            <w:r>
              <w:rPr>
                <w:rFonts w:ascii="宋体" w:hAnsi="宋体" w:eastAsia="宋体" w:cs="宋体"/>
                <w:spacing w:val="-10"/>
                <w:sz w:val="20"/>
                <w:szCs w:val="20"/>
              </w:rPr>
              <w:t>4.35</w:t>
            </w:r>
          </w:p>
        </w:tc>
        <w:tc>
          <w:tcPr>
            <w:tcW w:w="679" w:type="dxa"/>
            <w:vAlign w:val="top"/>
          </w:tcPr>
          <w:p>
            <w:pPr>
              <w:spacing w:before="113" w:line="222" w:lineRule="auto"/>
              <w:ind w:left="164"/>
              <w:rPr>
                <w:rFonts w:ascii="宋体" w:hAnsi="宋体" w:eastAsia="宋体" w:cs="宋体"/>
                <w:sz w:val="20"/>
                <w:szCs w:val="20"/>
              </w:rPr>
            </w:pPr>
            <w:r>
              <w:rPr>
                <w:rFonts w:ascii="宋体" w:hAnsi="宋体" w:eastAsia="宋体" w:cs="宋体"/>
                <w:spacing w:val="-11"/>
                <w:sz w:val="20"/>
                <w:szCs w:val="20"/>
              </w:rPr>
              <w:t>5.46</w:t>
            </w:r>
          </w:p>
        </w:tc>
        <w:tc>
          <w:tcPr>
            <w:tcW w:w="679" w:type="dxa"/>
            <w:vAlign w:val="top"/>
          </w:tcPr>
          <w:p>
            <w:pPr>
              <w:spacing w:before="113" w:line="222" w:lineRule="auto"/>
              <w:ind w:left="165"/>
              <w:rPr>
                <w:rFonts w:ascii="宋体" w:hAnsi="宋体" w:eastAsia="宋体" w:cs="宋体"/>
                <w:sz w:val="20"/>
                <w:szCs w:val="20"/>
              </w:rPr>
            </w:pPr>
            <w:r>
              <w:rPr>
                <w:rFonts w:ascii="宋体" w:hAnsi="宋体" w:eastAsia="宋体" w:cs="宋体"/>
                <w:spacing w:val="-11"/>
                <w:sz w:val="20"/>
                <w:szCs w:val="20"/>
              </w:rPr>
              <w:t>6.01</w:t>
            </w:r>
          </w:p>
        </w:tc>
        <w:tc>
          <w:tcPr>
            <w:tcW w:w="649" w:type="dxa"/>
            <w:vAlign w:val="top"/>
          </w:tcPr>
          <w:p>
            <w:pPr>
              <w:spacing w:before="113" w:line="222" w:lineRule="auto"/>
              <w:ind w:left="150"/>
              <w:rPr>
                <w:rFonts w:ascii="宋体" w:hAnsi="宋体" w:eastAsia="宋体" w:cs="宋体"/>
                <w:sz w:val="20"/>
                <w:szCs w:val="20"/>
              </w:rPr>
            </w:pPr>
            <w:r>
              <w:rPr>
                <w:rFonts w:ascii="宋体" w:hAnsi="宋体" w:eastAsia="宋体" w:cs="宋体"/>
                <w:spacing w:val="-11"/>
                <w:sz w:val="20"/>
                <w:szCs w:val="20"/>
              </w:rPr>
              <w:t>5.28</w:t>
            </w:r>
          </w:p>
        </w:tc>
        <w:tc>
          <w:tcPr>
            <w:tcW w:w="726" w:type="dxa"/>
            <w:tcBorders>
              <w:right w:val="single" w:color="000000" w:sz="6" w:space="0"/>
            </w:tcBorders>
            <w:vAlign w:val="top"/>
          </w:tcPr>
          <w:p>
            <w:pPr>
              <w:spacing w:before="113" w:line="222" w:lineRule="auto"/>
              <w:ind w:left="185"/>
              <w:rPr>
                <w:rFonts w:ascii="宋体" w:hAnsi="宋体" w:eastAsia="宋体" w:cs="宋体"/>
                <w:sz w:val="20"/>
                <w:szCs w:val="20"/>
              </w:rPr>
            </w:pPr>
            <w:r>
              <w:rPr>
                <w:rFonts w:ascii="宋体" w:hAnsi="宋体" w:eastAsia="宋体" w:cs="宋体"/>
                <w:spacing w:val="-11"/>
                <w:sz w:val="20"/>
                <w:szCs w:val="20"/>
              </w:rPr>
              <w:t>5.44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4" w:line="221" w:lineRule="auto"/>
              <w:ind w:left="140"/>
              <w:rPr>
                <w:rFonts w:ascii="宋体" w:hAnsi="宋体" w:eastAsia="宋体" w:cs="宋体"/>
                <w:sz w:val="20"/>
                <w:szCs w:val="20"/>
              </w:rPr>
            </w:pPr>
            <w:r>
              <w:rPr>
                <w:rFonts w:ascii="宋体" w:hAnsi="宋体" w:eastAsia="宋体" w:cs="宋体"/>
                <w:spacing w:val="3"/>
                <w:sz w:val="20"/>
                <w:szCs w:val="20"/>
              </w:rPr>
              <w:t>其中：1.安全施工费</w:t>
            </w:r>
          </w:p>
        </w:tc>
        <w:tc>
          <w:tcPr>
            <w:tcW w:w="689" w:type="dxa"/>
            <w:vAlign w:val="top"/>
          </w:tcPr>
          <w:p>
            <w:pPr>
              <w:spacing w:before="114" w:line="221" w:lineRule="auto"/>
              <w:ind w:left="165"/>
              <w:rPr>
                <w:rFonts w:ascii="宋体" w:hAnsi="宋体" w:eastAsia="宋体" w:cs="宋体"/>
                <w:sz w:val="20"/>
                <w:szCs w:val="20"/>
              </w:rPr>
            </w:pPr>
            <w:r>
              <w:rPr>
                <w:rFonts w:ascii="宋体" w:hAnsi="宋体" w:eastAsia="宋体" w:cs="宋体"/>
                <w:spacing w:val="-12"/>
                <w:sz w:val="20"/>
                <w:szCs w:val="20"/>
              </w:rPr>
              <w:t>3.31</w:t>
            </w:r>
          </w:p>
        </w:tc>
        <w:tc>
          <w:tcPr>
            <w:tcW w:w="669" w:type="dxa"/>
            <w:vAlign w:val="top"/>
          </w:tcPr>
          <w:p>
            <w:pPr>
              <w:spacing w:before="114" w:line="221" w:lineRule="auto"/>
              <w:ind w:left="155"/>
              <w:rPr>
                <w:rFonts w:ascii="宋体" w:hAnsi="宋体" w:eastAsia="宋体" w:cs="宋体"/>
                <w:sz w:val="20"/>
                <w:szCs w:val="20"/>
              </w:rPr>
            </w:pPr>
            <w:r>
              <w:rPr>
                <w:rFonts w:ascii="宋体" w:hAnsi="宋体" w:eastAsia="宋体" w:cs="宋体"/>
                <w:spacing w:val="-12"/>
                <w:sz w:val="20"/>
                <w:szCs w:val="20"/>
              </w:rPr>
              <w:t>3.31</w:t>
            </w:r>
          </w:p>
        </w:tc>
        <w:tc>
          <w:tcPr>
            <w:tcW w:w="669" w:type="dxa"/>
            <w:vAlign w:val="top"/>
          </w:tcPr>
          <w:p>
            <w:pPr>
              <w:spacing w:before="114" w:line="221" w:lineRule="auto"/>
              <w:ind w:left="156"/>
              <w:rPr>
                <w:rFonts w:ascii="宋体" w:hAnsi="宋体" w:eastAsia="宋体" w:cs="宋体"/>
                <w:sz w:val="20"/>
                <w:szCs w:val="20"/>
              </w:rPr>
            </w:pPr>
            <w:r>
              <w:rPr>
                <w:rFonts w:ascii="宋体" w:hAnsi="宋体" w:eastAsia="宋体" w:cs="宋体"/>
                <w:spacing w:val="-12"/>
                <w:sz w:val="20"/>
                <w:szCs w:val="20"/>
              </w:rPr>
              <w:t>3.31</w:t>
            </w:r>
          </w:p>
        </w:tc>
        <w:tc>
          <w:tcPr>
            <w:tcW w:w="699" w:type="dxa"/>
            <w:vAlign w:val="top"/>
          </w:tcPr>
          <w:p>
            <w:pPr>
              <w:spacing w:before="114" w:line="221" w:lineRule="auto"/>
              <w:ind w:left="170"/>
              <w:rPr>
                <w:rFonts w:ascii="宋体" w:hAnsi="宋体" w:eastAsia="宋体" w:cs="宋体"/>
                <w:sz w:val="20"/>
                <w:szCs w:val="20"/>
              </w:rPr>
            </w:pPr>
            <w:r>
              <w:rPr>
                <w:rFonts w:ascii="宋体" w:hAnsi="宋体" w:eastAsia="宋体" w:cs="宋体"/>
                <w:spacing w:val="-11"/>
                <w:sz w:val="20"/>
                <w:szCs w:val="20"/>
              </w:rPr>
              <w:t>2.19</w:t>
            </w:r>
          </w:p>
        </w:tc>
        <w:tc>
          <w:tcPr>
            <w:tcW w:w="643" w:type="dxa"/>
            <w:vAlign w:val="top"/>
          </w:tcPr>
          <w:p>
            <w:pPr>
              <w:spacing w:before="114" w:line="221" w:lineRule="auto"/>
              <w:ind w:left="160"/>
              <w:rPr>
                <w:rFonts w:ascii="宋体" w:hAnsi="宋体" w:eastAsia="宋体" w:cs="宋体"/>
                <w:sz w:val="20"/>
                <w:szCs w:val="20"/>
              </w:rPr>
            </w:pPr>
            <w:r>
              <w:rPr>
                <w:rFonts w:ascii="宋体" w:hAnsi="宋体" w:eastAsia="宋体" w:cs="宋体"/>
                <w:spacing w:val="-15"/>
                <w:sz w:val="20"/>
                <w:szCs w:val="20"/>
              </w:rPr>
              <w:t>1.65</w:t>
            </w:r>
          </w:p>
        </w:tc>
        <w:tc>
          <w:tcPr>
            <w:tcW w:w="649" w:type="dxa"/>
            <w:vAlign w:val="top"/>
          </w:tcPr>
          <w:p>
            <w:pPr>
              <w:spacing w:before="114" w:line="221" w:lineRule="auto"/>
              <w:ind w:left="163"/>
              <w:rPr>
                <w:rFonts w:ascii="宋体" w:hAnsi="宋体" w:eastAsia="宋体" w:cs="宋体"/>
                <w:sz w:val="20"/>
                <w:szCs w:val="20"/>
              </w:rPr>
            </w:pPr>
            <w:r>
              <w:rPr>
                <w:rFonts w:ascii="宋体" w:hAnsi="宋体" w:eastAsia="宋体" w:cs="宋体"/>
                <w:spacing w:val="-15"/>
                <w:sz w:val="20"/>
                <w:szCs w:val="20"/>
              </w:rPr>
              <w:t>1.65</w:t>
            </w:r>
          </w:p>
        </w:tc>
        <w:tc>
          <w:tcPr>
            <w:tcW w:w="720" w:type="dxa"/>
            <w:vAlign w:val="top"/>
          </w:tcPr>
          <w:p>
            <w:pPr>
              <w:spacing w:before="114" w:line="221" w:lineRule="auto"/>
              <w:ind w:left="200"/>
              <w:rPr>
                <w:rFonts w:ascii="宋体" w:hAnsi="宋体" w:eastAsia="宋体" w:cs="宋体"/>
                <w:sz w:val="20"/>
                <w:szCs w:val="20"/>
              </w:rPr>
            </w:pPr>
            <w:r>
              <w:rPr>
                <w:rFonts w:ascii="宋体" w:hAnsi="宋体" w:eastAsia="宋体" w:cs="宋体"/>
                <w:spacing w:val="-15"/>
                <w:sz w:val="20"/>
                <w:szCs w:val="20"/>
              </w:rPr>
              <w:t>1.65</w:t>
            </w:r>
          </w:p>
        </w:tc>
        <w:tc>
          <w:tcPr>
            <w:tcW w:w="679" w:type="dxa"/>
            <w:vAlign w:val="top"/>
          </w:tcPr>
          <w:p>
            <w:pPr>
              <w:spacing w:before="114" w:line="221" w:lineRule="auto"/>
              <w:ind w:left="167"/>
              <w:rPr>
                <w:rFonts w:ascii="宋体" w:hAnsi="宋体" w:eastAsia="宋体" w:cs="宋体"/>
                <w:sz w:val="20"/>
                <w:szCs w:val="20"/>
              </w:rPr>
            </w:pPr>
            <w:r>
              <w:rPr>
                <w:rFonts w:ascii="宋体" w:hAnsi="宋体" w:eastAsia="宋体" w:cs="宋体"/>
                <w:spacing w:val="-12"/>
                <w:sz w:val="20"/>
                <w:szCs w:val="20"/>
              </w:rPr>
              <w:t>3.31</w:t>
            </w:r>
          </w:p>
        </w:tc>
        <w:tc>
          <w:tcPr>
            <w:tcW w:w="679" w:type="dxa"/>
            <w:vAlign w:val="top"/>
          </w:tcPr>
          <w:p>
            <w:pPr>
              <w:spacing w:before="114" w:line="221" w:lineRule="auto"/>
              <w:ind w:left="167"/>
              <w:rPr>
                <w:rFonts w:ascii="宋体" w:hAnsi="宋体" w:eastAsia="宋体" w:cs="宋体"/>
                <w:sz w:val="20"/>
                <w:szCs w:val="20"/>
              </w:rPr>
            </w:pPr>
            <w:r>
              <w:rPr>
                <w:rFonts w:ascii="宋体" w:hAnsi="宋体" w:eastAsia="宋体" w:cs="宋体"/>
                <w:spacing w:val="-12"/>
                <w:sz w:val="20"/>
                <w:szCs w:val="20"/>
              </w:rPr>
              <w:t>3.31</w:t>
            </w:r>
          </w:p>
        </w:tc>
        <w:tc>
          <w:tcPr>
            <w:tcW w:w="649" w:type="dxa"/>
            <w:vAlign w:val="top"/>
          </w:tcPr>
          <w:p>
            <w:pPr>
              <w:spacing w:before="114" w:line="221" w:lineRule="auto"/>
              <w:ind w:left="167"/>
              <w:rPr>
                <w:rFonts w:ascii="宋体" w:hAnsi="宋体" w:eastAsia="宋体" w:cs="宋体"/>
                <w:sz w:val="20"/>
                <w:szCs w:val="20"/>
              </w:rPr>
            </w:pPr>
            <w:r>
              <w:rPr>
                <w:rFonts w:ascii="宋体" w:hAnsi="宋体" w:eastAsia="宋体" w:cs="宋体"/>
                <w:spacing w:val="-15"/>
                <w:sz w:val="20"/>
                <w:szCs w:val="20"/>
              </w:rPr>
              <w:t>1.65</w:t>
            </w:r>
          </w:p>
        </w:tc>
        <w:tc>
          <w:tcPr>
            <w:tcW w:w="726" w:type="dxa"/>
            <w:tcBorders>
              <w:right w:val="single" w:color="000000" w:sz="6" w:space="0"/>
            </w:tcBorders>
            <w:vAlign w:val="top"/>
          </w:tcPr>
          <w:p>
            <w:pPr>
              <w:spacing w:before="114" w:line="221" w:lineRule="auto"/>
              <w:ind w:left="188"/>
              <w:rPr>
                <w:rFonts w:ascii="宋体" w:hAnsi="宋体" w:eastAsia="宋体" w:cs="宋体"/>
                <w:sz w:val="20"/>
                <w:szCs w:val="20"/>
              </w:rPr>
            </w:pPr>
            <w:r>
              <w:rPr>
                <w:rFonts w:ascii="宋体" w:hAnsi="宋体" w:eastAsia="宋体" w:cs="宋体"/>
                <w:spacing w:val="-12"/>
                <w:sz w:val="20"/>
                <w:szCs w:val="20"/>
              </w:rPr>
              <w:t>3.31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4" w:line="221" w:lineRule="auto"/>
              <w:ind w:left="771"/>
              <w:rPr>
                <w:rFonts w:ascii="宋体" w:hAnsi="宋体" w:eastAsia="宋体" w:cs="宋体"/>
                <w:sz w:val="20"/>
                <w:szCs w:val="20"/>
              </w:rPr>
            </w:pPr>
            <w:r>
              <w:rPr>
                <w:rFonts w:ascii="宋体" w:hAnsi="宋体" w:eastAsia="宋体" w:cs="宋体"/>
                <w:spacing w:val="-1"/>
                <w:sz w:val="20"/>
                <w:szCs w:val="20"/>
              </w:rPr>
              <w:t>2.环境保护费</w:t>
            </w:r>
          </w:p>
        </w:tc>
        <w:tc>
          <w:tcPr>
            <w:tcW w:w="689" w:type="dxa"/>
            <w:vAlign w:val="top"/>
          </w:tcPr>
          <w:p>
            <w:pPr>
              <w:spacing w:before="114" w:line="221" w:lineRule="auto"/>
              <w:ind w:left="161"/>
              <w:rPr>
                <w:rFonts w:ascii="宋体" w:hAnsi="宋体" w:eastAsia="宋体" w:cs="宋体"/>
                <w:sz w:val="20"/>
                <w:szCs w:val="20"/>
              </w:rPr>
            </w:pPr>
            <w:r>
              <w:rPr>
                <w:rFonts w:ascii="宋体" w:hAnsi="宋体" w:eastAsia="宋体" w:cs="宋体"/>
                <w:spacing w:val="-11"/>
                <w:sz w:val="20"/>
                <w:szCs w:val="20"/>
              </w:rPr>
              <w:t>0.56</w:t>
            </w:r>
          </w:p>
        </w:tc>
        <w:tc>
          <w:tcPr>
            <w:tcW w:w="669" w:type="dxa"/>
            <w:vAlign w:val="top"/>
          </w:tcPr>
          <w:p>
            <w:pPr>
              <w:spacing w:before="114" w:line="221" w:lineRule="auto"/>
              <w:ind w:left="151"/>
              <w:rPr>
                <w:rFonts w:ascii="宋体" w:hAnsi="宋体" w:eastAsia="宋体" w:cs="宋体"/>
                <w:sz w:val="20"/>
                <w:szCs w:val="20"/>
              </w:rPr>
            </w:pPr>
            <w:r>
              <w:rPr>
                <w:rFonts w:ascii="宋体" w:hAnsi="宋体" w:eastAsia="宋体" w:cs="宋体"/>
                <w:spacing w:val="-11"/>
                <w:sz w:val="20"/>
                <w:szCs w:val="20"/>
              </w:rPr>
              <w:t>0.12</w:t>
            </w:r>
          </w:p>
        </w:tc>
        <w:tc>
          <w:tcPr>
            <w:tcW w:w="1368" w:type="dxa"/>
            <w:gridSpan w:val="2"/>
            <w:vAlign w:val="top"/>
          </w:tcPr>
          <w:p>
            <w:pPr>
              <w:spacing w:before="114" w:line="221" w:lineRule="auto"/>
              <w:ind w:left="502"/>
              <w:rPr>
                <w:rFonts w:ascii="宋体" w:hAnsi="宋体" w:eastAsia="宋体" w:cs="宋体"/>
                <w:sz w:val="20"/>
                <w:szCs w:val="20"/>
              </w:rPr>
            </w:pPr>
            <w:r>
              <w:rPr>
                <w:rFonts w:ascii="宋体" w:hAnsi="宋体" w:eastAsia="宋体" w:cs="宋体"/>
                <w:spacing w:val="-11"/>
                <w:sz w:val="20"/>
                <w:szCs w:val="20"/>
              </w:rPr>
              <w:t>0.30</w:t>
            </w:r>
          </w:p>
        </w:tc>
        <w:tc>
          <w:tcPr>
            <w:tcW w:w="643" w:type="dxa"/>
            <w:vAlign w:val="top"/>
          </w:tcPr>
          <w:p>
            <w:pPr>
              <w:spacing w:before="114" w:line="221" w:lineRule="auto"/>
              <w:ind w:left="142"/>
              <w:rPr>
                <w:rFonts w:ascii="宋体" w:hAnsi="宋体" w:eastAsia="宋体" w:cs="宋体"/>
                <w:sz w:val="20"/>
                <w:szCs w:val="20"/>
              </w:rPr>
            </w:pPr>
            <w:r>
              <w:rPr>
                <w:rFonts w:ascii="宋体" w:hAnsi="宋体" w:eastAsia="宋体" w:cs="宋体"/>
                <w:spacing w:val="-11"/>
                <w:sz w:val="20"/>
                <w:szCs w:val="20"/>
              </w:rPr>
              <w:t>0.16</w:t>
            </w:r>
          </w:p>
        </w:tc>
        <w:tc>
          <w:tcPr>
            <w:tcW w:w="649" w:type="dxa"/>
            <w:vAlign w:val="top"/>
          </w:tcPr>
          <w:p>
            <w:pPr>
              <w:spacing w:before="114" w:line="221" w:lineRule="auto"/>
              <w:ind w:left="163"/>
              <w:rPr>
                <w:rFonts w:ascii="宋体" w:hAnsi="宋体" w:eastAsia="宋体" w:cs="宋体"/>
                <w:sz w:val="20"/>
                <w:szCs w:val="20"/>
              </w:rPr>
            </w:pPr>
            <w:r>
              <w:rPr>
                <w:rFonts w:ascii="宋体" w:hAnsi="宋体" w:eastAsia="宋体" w:cs="宋体"/>
                <w:spacing w:val="-15"/>
                <w:sz w:val="20"/>
                <w:szCs w:val="20"/>
              </w:rPr>
              <w:t>1.35</w:t>
            </w:r>
          </w:p>
        </w:tc>
        <w:tc>
          <w:tcPr>
            <w:tcW w:w="720" w:type="dxa"/>
            <w:vAlign w:val="top"/>
          </w:tcPr>
          <w:p>
            <w:pPr>
              <w:spacing w:before="114" w:line="221" w:lineRule="auto"/>
              <w:ind w:left="182"/>
              <w:rPr>
                <w:rFonts w:ascii="宋体" w:hAnsi="宋体" w:eastAsia="宋体" w:cs="宋体"/>
                <w:sz w:val="20"/>
                <w:szCs w:val="20"/>
              </w:rPr>
            </w:pPr>
            <w:r>
              <w:rPr>
                <w:rFonts w:ascii="宋体" w:hAnsi="宋体" w:eastAsia="宋体" w:cs="宋体"/>
                <w:spacing w:val="-11"/>
                <w:sz w:val="20"/>
                <w:szCs w:val="20"/>
              </w:rPr>
              <w:t>0.30</w:t>
            </w:r>
          </w:p>
        </w:tc>
        <w:tc>
          <w:tcPr>
            <w:tcW w:w="679" w:type="dxa"/>
            <w:vAlign w:val="top"/>
          </w:tcPr>
          <w:p>
            <w:pPr>
              <w:spacing w:before="114" w:line="221" w:lineRule="auto"/>
              <w:ind w:left="163"/>
              <w:rPr>
                <w:rFonts w:ascii="宋体" w:hAnsi="宋体" w:eastAsia="宋体" w:cs="宋体"/>
                <w:sz w:val="20"/>
                <w:szCs w:val="20"/>
              </w:rPr>
            </w:pPr>
            <w:r>
              <w:rPr>
                <w:rFonts w:ascii="宋体" w:hAnsi="宋体" w:eastAsia="宋体" w:cs="宋体"/>
                <w:spacing w:val="-11"/>
                <w:sz w:val="20"/>
                <w:szCs w:val="20"/>
              </w:rPr>
              <w:t>0.25</w:t>
            </w:r>
          </w:p>
        </w:tc>
        <w:tc>
          <w:tcPr>
            <w:tcW w:w="679" w:type="dxa"/>
            <w:vAlign w:val="top"/>
          </w:tcPr>
          <w:p>
            <w:pPr>
              <w:spacing w:before="114" w:line="221" w:lineRule="auto"/>
              <w:ind w:left="216"/>
              <w:rPr>
                <w:rFonts w:ascii="宋体" w:hAnsi="宋体" w:eastAsia="宋体" w:cs="宋体"/>
                <w:sz w:val="20"/>
                <w:szCs w:val="20"/>
              </w:rPr>
            </w:pPr>
            <w:r>
              <w:rPr>
                <w:rFonts w:ascii="宋体" w:hAnsi="宋体" w:eastAsia="宋体" w:cs="宋体"/>
                <w:spacing w:val="-16"/>
                <w:sz w:val="20"/>
                <w:szCs w:val="20"/>
              </w:rPr>
              <w:t>0.3</w:t>
            </w:r>
          </w:p>
        </w:tc>
        <w:tc>
          <w:tcPr>
            <w:tcW w:w="649" w:type="dxa"/>
            <w:vAlign w:val="top"/>
          </w:tcPr>
          <w:p>
            <w:pPr>
              <w:spacing w:before="114" w:line="221" w:lineRule="auto"/>
              <w:ind w:left="167"/>
              <w:rPr>
                <w:rFonts w:ascii="宋体" w:hAnsi="宋体" w:eastAsia="宋体" w:cs="宋体"/>
                <w:sz w:val="20"/>
                <w:szCs w:val="20"/>
              </w:rPr>
            </w:pPr>
            <w:r>
              <w:rPr>
                <w:rFonts w:ascii="宋体" w:hAnsi="宋体" w:eastAsia="宋体" w:cs="宋体"/>
                <w:spacing w:val="-15"/>
                <w:sz w:val="20"/>
                <w:szCs w:val="20"/>
              </w:rPr>
              <w:t>1.35</w:t>
            </w:r>
          </w:p>
        </w:tc>
        <w:tc>
          <w:tcPr>
            <w:tcW w:w="726" w:type="dxa"/>
            <w:tcBorders>
              <w:right w:val="single" w:color="000000" w:sz="6" w:space="0"/>
            </w:tcBorders>
            <w:vAlign w:val="top"/>
          </w:tcPr>
          <w:p>
            <w:pPr>
              <w:spacing w:before="114" w:line="221" w:lineRule="auto"/>
              <w:ind w:left="184"/>
              <w:rPr>
                <w:rFonts w:ascii="宋体" w:hAnsi="宋体" w:eastAsia="宋体" w:cs="宋体"/>
                <w:sz w:val="20"/>
                <w:szCs w:val="20"/>
              </w:rPr>
            </w:pPr>
            <w:r>
              <w:rPr>
                <w:rFonts w:ascii="宋体" w:hAnsi="宋体" w:eastAsia="宋体" w:cs="宋体"/>
                <w:spacing w:val="-11"/>
                <w:sz w:val="20"/>
                <w:szCs w:val="20"/>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5" w:line="220" w:lineRule="auto"/>
              <w:ind w:left="774"/>
              <w:rPr>
                <w:rFonts w:ascii="宋体" w:hAnsi="宋体" w:eastAsia="宋体" w:cs="宋体"/>
                <w:sz w:val="20"/>
                <w:szCs w:val="20"/>
              </w:rPr>
            </w:pPr>
            <w:r>
              <w:rPr>
                <w:rFonts w:ascii="宋体" w:hAnsi="宋体" w:eastAsia="宋体" w:cs="宋体"/>
                <w:spacing w:val="-1"/>
                <w:sz w:val="20"/>
                <w:szCs w:val="20"/>
              </w:rPr>
              <w:t>3.文明施工费</w:t>
            </w:r>
          </w:p>
        </w:tc>
        <w:tc>
          <w:tcPr>
            <w:tcW w:w="689" w:type="dxa"/>
            <w:vAlign w:val="top"/>
          </w:tcPr>
          <w:p>
            <w:pPr>
              <w:spacing w:before="115" w:line="220" w:lineRule="auto"/>
              <w:ind w:left="161"/>
              <w:rPr>
                <w:rFonts w:ascii="宋体" w:hAnsi="宋体" w:eastAsia="宋体" w:cs="宋体"/>
                <w:sz w:val="20"/>
                <w:szCs w:val="20"/>
              </w:rPr>
            </w:pPr>
            <w:r>
              <w:rPr>
                <w:rFonts w:ascii="宋体" w:hAnsi="宋体" w:eastAsia="宋体" w:cs="宋体"/>
                <w:spacing w:val="-11"/>
                <w:sz w:val="20"/>
                <w:szCs w:val="20"/>
              </w:rPr>
              <w:t>0.65</w:t>
            </w:r>
          </w:p>
        </w:tc>
        <w:tc>
          <w:tcPr>
            <w:tcW w:w="669" w:type="dxa"/>
            <w:vAlign w:val="top"/>
          </w:tcPr>
          <w:p>
            <w:pPr>
              <w:spacing w:before="115" w:line="220" w:lineRule="auto"/>
              <w:ind w:left="151"/>
              <w:rPr>
                <w:rFonts w:ascii="宋体" w:hAnsi="宋体" w:eastAsia="宋体" w:cs="宋体"/>
                <w:sz w:val="20"/>
                <w:szCs w:val="20"/>
              </w:rPr>
            </w:pPr>
            <w:r>
              <w:rPr>
                <w:rFonts w:ascii="宋体" w:hAnsi="宋体" w:eastAsia="宋体" w:cs="宋体"/>
                <w:spacing w:val="-11"/>
                <w:sz w:val="20"/>
                <w:szCs w:val="20"/>
              </w:rPr>
              <w:t>0.10</w:t>
            </w:r>
          </w:p>
        </w:tc>
        <w:tc>
          <w:tcPr>
            <w:tcW w:w="1368" w:type="dxa"/>
            <w:gridSpan w:val="2"/>
            <w:vAlign w:val="top"/>
          </w:tcPr>
          <w:p>
            <w:pPr>
              <w:spacing w:before="115" w:line="220" w:lineRule="auto"/>
              <w:ind w:left="502"/>
              <w:rPr>
                <w:rFonts w:ascii="宋体" w:hAnsi="宋体" w:eastAsia="宋体" w:cs="宋体"/>
                <w:sz w:val="20"/>
                <w:szCs w:val="20"/>
              </w:rPr>
            </w:pPr>
            <w:r>
              <w:rPr>
                <w:rFonts w:ascii="宋体" w:hAnsi="宋体" w:eastAsia="宋体" w:cs="宋体"/>
                <w:spacing w:val="-11"/>
                <w:sz w:val="20"/>
                <w:szCs w:val="20"/>
              </w:rPr>
              <w:t>0.60</w:t>
            </w:r>
          </w:p>
        </w:tc>
        <w:tc>
          <w:tcPr>
            <w:tcW w:w="643" w:type="dxa"/>
            <w:vAlign w:val="top"/>
          </w:tcPr>
          <w:p>
            <w:pPr>
              <w:spacing w:before="115" w:line="220" w:lineRule="auto"/>
              <w:ind w:left="142"/>
              <w:rPr>
                <w:rFonts w:ascii="宋体" w:hAnsi="宋体" w:eastAsia="宋体" w:cs="宋体"/>
                <w:sz w:val="20"/>
                <w:szCs w:val="20"/>
              </w:rPr>
            </w:pPr>
            <w:r>
              <w:rPr>
                <w:rFonts w:ascii="宋体" w:hAnsi="宋体" w:eastAsia="宋体" w:cs="宋体"/>
                <w:spacing w:val="-11"/>
                <w:sz w:val="20"/>
                <w:szCs w:val="20"/>
              </w:rPr>
              <w:t>0.35</w:t>
            </w:r>
          </w:p>
        </w:tc>
        <w:tc>
          <w:tcPr>
            <w:tcW w:w="649" w:type="dxa"/>
            <w:vAlign w:val="top"/>
          </w:tcPr>
          <w:p>
            <w:pPr>
              <w:spacing w:before="115" w:line="220" w:lineRule="auto"/>
              <w:ind w:left="145"/>
              <w:rPr>
                <w:rFonts w:ascii="宋体" w:hAnsi="宋体" w:eastAsia="宋体" w:cs="宋体"/>
                <w:sz w:val="20"/>
                <w:szCs w:val="20"/>
              </w:rPr>
            </w:pPr>
            <w:r>
              <w:rPr>
                <w:rFonts w:ascii="宋体" w:hAnsi="宋体" w:eastAsia="宋体" w:cs="宋体"/>
                <w:spacing w:val="-11"/>
                <w:sz w:val="20"/>
                <w:szCs w:val="20"/>
              </w:rPr>
              <w:t>0.84</w:t>
            </w:r>
          </w:p>
        </w:tc>
        <w:tc>
          <w:tcPr>
            <w:tcW w:w="720" w:type="dxa"/>
            <w:vAlign w:val="top"/>
          </w:tcPr>
          <w:p>
            <w:pPr>
              <w:spacing w:before="115" w:line="220" w:lineRule="auto"/>
              <w:ind w:left="182"/>
              <w:rPr>
                <w:rFonts w:ascii="宋体" w:hAnsi="宋体" w:eastAsia="宋体" w:cs="宋体"/>
                <w:sz w:val="20"/>
                <w:szCs w:val="20"/>
              </w:rPr>
            </w:pPr>
            <w:r>
              <w:rPr>
                <w:rFonts w:ascii="宋体" w:hAnsi="宋体" w:eastAsia="宋体" w:cs="宋体"/>
                <w:spacing w:val="-11"/>
                <w:sz w:val="20"/>
                <w:szCs w:val="20"/>
              </w:rPr>
              <w:t>0.60</w:t>
            </w:r>
          </w:p>
        </w:tc>
        <w:tc>
          <w:tcPr>
            <w:tcW w:w="679" w:type="dxa"/>
            <w:vAlign w:val="top"/>
          </w:tcPr>
          <w:p>
            <w:pPr>
              <w:spacing w:before="115" w:line="220" w:lineRule="auto"/>
              <w:ind w:left="163"/>
              <w:rPr>
                <w:rFonts w:ascii="宋体" w:hAnsi="宋体" w:eastAsia="宋体" w:cs="宋体"/>
                <w:sz w:val="20"/>
                <w:szCs w:val="20"/>
              </w:rPr>
            </w:pPr>
            <w:r>
              <w:rPr>
                <w:rFonts w:ascii="宋体" w:hAnsi="宋体" w:eastAsia="宋体" w:cs="宋体"/>
                <w:spacing w:val="-11"/>
                <w:sz w:val="20"/>
                <w:szCs w:val="20"/>
              </w:rPr>
              <w:t>0.53</w:t>
            </w:r>
          </w:p>
        </w:tc>
        <w:tc>
          <w:tcPr>
            <w:tcW w:w="679" w:type="dxa"/>
            <w:vAlign w:val="top"/>
          </w:tcPr>
          <w:p>
            <w:pPr>
              <w:spacing w:before="115" w:line="220" w:lineRule="auto"/>
              <w:ind w:left="216"/>
              <w:rPr>
                <w:rFonts w:ascii="宋体" w:hAnsi="宋体" w:eastAsia="宋体" w:cs="宋体"/>
                <w:sz w:val="20"/>
                <w:szCs w:val="20"/>
              </w:rPr>
            </w:pPr>
            <w:r>
              <w:rPr>
                <w:rFonts w:ascii="宋体" w:hAnsi="宋体" w:eastAsia="宋体" w:cs="宋体"/>
                <w:spacing w:val="-16"/>
                <w:sz w:val="20"/>
                <w:szCs w:val="20"/>
              </w:rPr>
              <w:t>0.6</w:t>
            </w:r>
          </w:p>
        </w:tc>
        <w:tc>
          <w:tcPr>
            <w:tcW w:w="649" w:type="dxa"/>
            <w:vAlign w:val="top"/>
          </w:tcPr>
          <w:p>
            <w:pPr>
              <w:spacing w:before="115" w:line="220" w:lineRule="auto"/>
              <w:ind w:left="149"/>
              <w:rPr>
                <w:rFonts w:ascii="宋体" w:hAnsi="宋体" w:eastAsia="宋体" w:cs="宋体"/>
                <w:sz w:val="20"/>
                <w:szCs w:val="20"/>
              </w:rPr>
            </w:pPr>
            <w:r>
              <w:rPr>
                <w:rFonts w:ascii="宋体" w:hAnsi="宋体" w:eastAsia="宋体" w:cs="宋体"/>
                <w:spacing w:val="-11"/>
                <w:sz w:val="20"/>
                <w:szCs w:val="20"/>
              </w:rPr>
              <w:t>0.84</w:t>
            </w:r>
          </w:p>
        </w:tc>
        <w:tc>
          <w:tcPr>
            <w:tcW w:w="726" w:type="dxa"/>
            <w:tcBorders>
              <w:right w:val="single" w:color="000000" w:sz="6" w:space="0"/>
            </w:tcBorders>
            <w:vAlign w:val="top"/>
          </w:tcPr>
          <w:p>
            <w:pPr>
              <w:spacing w:before="115" w:line="220" w:lineRule="auto"/>
              <w:ind w:left="184"/>
              <w:rPr>
                <w:rFonts w:ascii="宋体" w:hAnsi="宋体" w:eastAsia="宋体" w:cs="宋体"/>
                <w:sz w:val="20"/>
                <w:szCs w:val="20"/>
              </w:rPr>
            </w:pPr>
            <w:r>
              <w:rPr>
                <w:rFonts w:ascii="宋体" w:hAnsi="宋体" w:eastAsia="宋体" w:cs="宋体"/>
                <w:spacing w:val="-11"/>
                <w:sz w:val="20"/>
                <w:szCs w:val="20"/>
              </w:rPr>
              <w:t>0.56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2126" w:type="dxa"/>
            <w:gridSpan w:val="2"/>
            <w:tcBorders>
              <w:left w:val="single" w:color="000000" w:sz="6" w:space="0"/>
            </w:tcBorders>
            <w:vAlign w:val="top"/>
          </w:tcPr>
          <w:p>
            <w:pPr>
              <w:spacing w:before="115" w:line="221" w:lineRule="auto"/>
              <w:ind w:left="768"/>
              <w:rPr>
                <w:rFonts w:ascii="宋体" w:hAnsi="宋体" w:eastAsia="宋体" w:cs="宋体"/>
                <w:sz w:val="20"/>
                <w:szCs w:val="20"/>
              </w:rPr>
            </w:pPr>
            <w:r>
              <w:rPr>
                <w:rFonts w:ascii="宋体" w:hAnsi="宋体" w:eastAsia="宋体" w:cs="宋体"/>
                <w:sz w:val="20"/>
                <w:szCs w:val="20"/>
              </w:rPr>
              <w:t>4.临时设施费</w:t>
            </w:r>
          </w:p>
        </w:tc>
        <w:tc>
          <w:tcPr>
            <w:tcW w:w="689" w:type="dxa"/>
            <w:vAlign w:val="top"/>
          </w:tcPr>
          <w:p>
            <w:pPr>
              <w:spacing w:before="115" w:line="221" w:lineRule="auto"/>
              <w:ind w:left="161"/>
              <w:rPr>
                <w:rFonts w:ascii="宋体" w:hAnsi="宋体" w:eastAsia="宋体" w:cs="宋体"/>
                <w:sz w:val="20"/>
                <w:szCs w:val="20"/>
              </w:rPr>
            </w:pPr>
            <w:r>
              <w:rPr>
                <w:rFonts w:ascii="宋体" w:hAnsi="宋体" w:eastAsia="宋体" w:cs="宋体"/>
                <w:spacing w:val="-11"/>
                <w:sz w:val="20"/>
                <w:szCs w:val="20"/>
              </w:rPr>
              <w:t>0.92</w:t>
            </w:r>
          </w:p>
        </w:tc>
        <w:tc>
          <w:tcPr>
            <w:tcW w:w="669" w:type="dxa"/>
            <w:vAlign w:val="top"/>
          </w:tcPr>
          <w:p>
            <w:pPr>
              <w:spacing w:before="115" w:line="221" w:lineRule="auto"/>
              <w:ind w:left="169"/>
              <w:rPr>
                <w:rFonts w:ascii="宋体" w:hAnsi="宋体" w:eastAsia="宋体" w:cs="宋体"/>
                <w:sz w:val="20"/>
                <w:szCs w:val="20"/>
              </w:rPr>
            </w:pPr>
            <w:r>
              <w:rPr>
                <w:rFonts w:ascii="宋体" w:hAnsi="宋体" w:eastAsia="宋体" w:cs="宋体"/>
                <w:spacing w:val="-15"/>
                <w:sz w:val="20"/>
                <w:szCs w:val="20"/>
              </w:rPr>
              <w:t>1.59</w:t>
            </w:r>
          </w:p>
        </w:tc>
        <w:tc>
          <w:tcPr>
            <w:tcW w:w="1368" w:type="dxa"/>
            <w:gridSpan w:val="2"/>
            <w:vAlign w:val="top"/>
          </w:tcPr>
          <w:p>
            <w:pPr>
              <w:spacing w:before="115" w:line="221" w:lineRule="auto"/>
              <w:ind w:left="520"/>
              <w:rPr>
                <w:rFonts w:ascii="宋体" w:hAnsi="宋体" w:eastAsia="宋体" w:cs="宋体"/>
                <w:sz w:val="20"/>
                <w:szCs w:val="20"/>
              </w:rPr>
            </w:pPr>
            <w:r>
              <w:rPr>
                <w:rFonts w:ascii="宋体" w:hAnsi="宋体" w:eastAsia="宋体" w:cs="宋体"/>
                <w:spacing w:val="-15"/>
                <w:sz w:val="20"/>
                <w:szCs w:val="20"/>
              </w:rPr>
              <w:t>1.80</w:t>
            </w:r>
          </w:p>
        </w:tc>
        <w:tc>
          <w:tcPr>
            <w:tcW w:w="643" w:type="dxa"/>
            <w:vAlign w:val="top"/>
          </w:tcPr>
          <w:p>
            <w:pPr>
              <w:spacing w:before="115" w:line="221" w:lineRule="auto"/>
              <w:ind w:left="160"/>
              <w:rPr>
                <w:rFonts w:ascii="宋体" w:hAnsi="宋体" w:eastAsia="宋体" w:cs="宋体"/>
                <w:sz w:val="20"/>
                <w:szCs w:val="20"/>
              </w:rPr>
            </w:pPr>
            <w:r>
              <w:rPr>
                <w:rFonts w:ascii="宋体" w:hAnsi="宋体" w:eastAsia="宋体" w:cs="宋体"/>
                <w:spacing w:val="-15"/>
                <w:sz w:val="20"/>
                <w:szCs w:val="20"/>
              </w:rPr>
              <w:t>1.26</w:t>
            </w:r>
          </w:p>
        </w:tc>
        <w:tc>
          <w:tcPr>
            <w:tcW w:w="649" w:type="dxa"/>
            <w:vAlign w:val="top"/>
          </w:tcPr>
          <w:p>
            <w:pPr>
              <w:spacing w:before="115" w:line="221" w:lineRule="auto"/>
              <w:ind w:left="163"/>
              <w:rPr>
                <w:rFonts w:ascii="宋体" w:hAnsi="宋体" w:eastAsia="宋体" w:cs="宋体"/>
                <w:sz w:val="20"/>
                <w:szCs w:val="20"/>
              </w:rPr>
            </w:pPr>
            <w:r>
              <w:rPr>
                <w:rFonts w:ascii="宋体" w:hAnsi="宋体" w:eastAsia="宋体" w:cs="宋体"/>
                <w:spacing w:val="-15"/>
                <w:sz w:val="20"/>
                <w:szCs w:val="20"/>
              </w:rPr>
              <w:t>1.82</w:t>
            </w:r>
          </w:p>
        </w:tc>
        <w:tc>
          <w:tcPr>
            <w:tcW w:w="720" w:type="dxa"/>
            <w:vAlign w:val="top"/>
          </w:tcPr>
          <w:p>
            <w:pPr>
              <w:spacing w:before="115" w:line="221" w:lineRule="auto"/>
              <w:ind w:left="200"/>
              <w:rPr>
                <w:rFonts w:ascii="宋体" w:hAnsi="宋体" w:eastAsia="宋体" w:cs="宋体"/>
                <w:sz w:val="20"/>
                <w:szCs w:val="20"/>
              </w:rPr>
            </w:pPr>
            <w:r>
              <w:rPr>
                <w:rFonts w:ascii="宋体" w:hAnsi="宋体" w:eastAsia="宋体" w:cs="宋体"/>
                <w:spacing w:val="-15"/>
                <w:sz w:val="20"/>
                <w:szCs w:val="20"/>
              </w:rPr>
              <w:t>1.80</w:t>
            </w:r>
          </w:p>
        </w:tc>
        <w:tc>
          <w:tcPr>
            <w:tcW w:w="679" w:type="dxa"/>
            <w:vAlign w:val="top"/>
          </w:tcPr>
          <w:p>
            <w:pPr>
              <w:spacing w:before="115" w:line="221" w:lineRule="auto"/>
              <w:ind w:left="181"/>
              <w:rPr>
                <w:rFonts w:ascii="宋体" w:hAnsi="宋体" w:eastAsia="宋体" w:cs="宋体"/>
                <w:sz w:val="20"/>
                <w:szCs w:val="20"/>
              </w:rPr>
            </w:pPr>
            <w:r>
              <w:rPr>
                <w:rFonts w:ascii="宋体" w:hAnsi="宋体" w:eastAsia="宋体" w:cs="宋体"/>
                <w:spacing w:val="-15"/>
                <w:sz w:val="20"/>
                <w:szCs w:val="20"/>
              </w:rPr>
              <w:t>1.37</w:t>
            </w:r>
          </w:p>
        </w:tc>
        <w:tc>
          <w:tcPr>
            <w:tcW w:w="679" w:type="dxa"/>
            <w:vAlign w:val="top"/>
          </w:tcPr>
          <w:p>
            <w:pPr>
              <w:spacing w:before="115" w:line="221" w:lineRule="auto"/>
              <w:ind w:left="234"/>
              <w:rPr>
                <w:rFonts w:ascii="宋体" w:hAnsi="宋体" w:eastAsia="宋体" w:cs="宋体"/>
                <w:sz w:val="20"/>
                <w:szCs w:val="20"/>
              </w:rPr>
            </w:pPr>
            <w:r>
              <w:rPr>
                <w:rFonts w:ascii="宋体" w:hAnsi="宋体" w:eastAsia="宋体" w:cs="宋体"/>
                <w:spacing w:val="-22"/>
                <w:sz w:val="20"/>
                <w:szCs w:val="20"/>
              </w:rPr>
              <w:t>1.8</w:t>
            </w:r>
          </w:p>
        </w:tc>
        <w:tc>
          <w:tcPr>
            <w:tcW w:w="649" w:type="dxa"/>
            <w:vAlign w:val="top"/>
          </w:tcPr>
          <w:p>
            <w:pPr>
              <w:spacing w:before="115" w:line="221" w:lineRule="auto"/>
              <w:ind w:left="167"/>
              <w:rPr>
                <w:rFonts w:ascii="宋体" w:hAnsi="宋体" w:eastAsia="宋体" w:cs="宋体"/>
                <w:sz w:val="20"/>
                <w:szCs w:val="20"/>
              </w:rPr>
            </w:pPr>
            <w:r>
              <w:rPr>
                <w:rFonts w:ascii="宋体" w:hAnsi="宋体" w:eastAsia="宋体" w:cs="宋体"/>
                <w:spacing w:val="-15"/>
                <w:sz w:val="20"/>
                <w:szCs w:val="20"/>
              </w:rPr>
              <w:t>1.44</w:t>
            </w:r>
          </w:p>
        </w:tc>
        <w:tc>
          <w:tcPr>
            <w:tcW w:w="726" w:type="dxa"/>
            <w:tcBorders>
              <w:right w:val="single" w:color="000000" w:sz="6" w:space="0"/>
            </w:tcBorders>
            <w:vAlign w:val="top"/>
          </w:tcPr>
          <w:p>
            <w:pPr>
              <w:spacing w:before="115" w:line="221" w:lineRule="auto"/>
              <w:ind w:left="184"/>
              <w:rPr>
                <w:rFonts w:ascii="宋体" w:hAnsi="宋体" w:eastAsia="宋体" w:cs="宋体"/>
                <w:sz w:val="20"/>
                <w:szCs w:val="20"/>
              </w:rPr>
            </w:pPr>
            <w:r>
              <w:rPr>
                <w:rFonts w:ascii="宋体" w:hAnsi="宋体" w:eastAsia="宋体" w:cs="宋体"/>
                <w:spacing w:val="-11"/>
                <w:sz w:val="20"/>
                <w:szCs w:val="20"/>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5" w:line="220" w:lineRule="auto"/>
              <w:ind w:left="533"/>
              <w:rPr>
                <w:rFonts w:ascii="宋体" w:hAnsi="宋体" w:eastAsia="宋体" w:cs="宋体"/>
                <w:sz w:val="20"/>
                <w:szCs w:val="20"/>
              </w:rPr>
            </w:pPr>
            <w:r>
              <w:rPr>
                <w:rFonts w:ascii="宋体" w:hAnsi="宋体" w:eastAsia="宋体" w:cs="宋体"/>
                <w:spacing w:val="9"/>
                <w:sz w:val="20"/>
                <w:szCs w:val="20"/>
              </w:rPr>
              <w:t>社会保险费</w:t>
            </w:r>
          </w:p>
        </w:tc>
        <w:tc>
          <w:tcPr>
            <w:tcW w:w="7471" w:type="dxa"/>
            <w:gridSpan w:val="11"/>
            <w:tcBorders>
              <w:right w:val="single" w:color="000000" w:sz="6" w:space="0"/>
            </w:tcBorders>
            <w:vAlign w:val="top"/>
          </w:tcPr>
          <w:p>
            <w:pPr>
              <w:spacing w:before="115" w:line="220" w:lineRule="auto"/>
              <w:ind w:left="3570"/>
              <w:rPr>
                <w:rFonts w:ascii="宋体" w:hAnsi="宋体" w:eastAsia="宋体" w:cs="宋体"/>
                <w:sz w:val="20"/>
                <w:szCs w:val="20"/>
              </w:rPr>
            </w:pPr>
            <w:r>
              <w:rPr>
                <w:rFonts w:ascii="宋体" w:hAnsi="宋体" w:eastAsia="宋体" w:cs="宋体"/>
                <w:spacing w:val="-15"/>
                <w:sz w:val="20"/>
                <w:szCs w:val="20"/>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6" w:type="dxa"/>
            <w:gridSpan w:val="2"/>
            <w:tcBorders>
              <w:left w:val="single" w:color="000000" w:sz="6" w:space="0"/>
            </w:tcBorders>
            <w:vAlign w:val="top"/>
          </w:tcPr>
          <w:p>
            <w:pPr>
              <w:spacing w:before="118" w:line="217" w:lineRule="auto"/>
              <w:ind w:left="217"/>
              <w:rPr>
                <w:rFonts w:ascii="宋体" w:hAnsi="宋体" w:eastAsia="宋体" w:cs="宋体"/>
                <w:sz w:val="20"/>
                <w:szCs w:val="20"/>
              </w:rPr>
            </w:pPr>
            <w:r>
              <w:rPr>
                <w:rFonts w:ascii="宋体" w:hAnsi="宋体" w:eastAsia="宋体" w:cs="宋体"/>
                <w:spacing w:val="9"/>
                <w:sz w:val="20"/>
                <w:szCs w:val="20"/>
              </w:rPr>
              <w:t>建设项目工伤保险</w:t>
            </w:r>
          </w:p>
        </w:tc>
        <w:tc>
          <w:tcPr>
            <w:tcW w:w="7471" w:type="dxa"/>
            <w:gridSpan w:val="11"/>
            <w:tcBorders>
              <w:right w:val="single" w:color="000000" w:sz="6" w:space="0"/>
            </w:tcBorders>
            <w:vAlign w:val="top"/>
          </w:tcPr>
          <w:p>
            <w:pPr>
              <w:spacing w:before="118" w:line="217" w:lineRule="auto"/>
              <w:ind w:left="3552"/>
              <w:rPr>
                <w:rFonts w:ascii="宋体" w:hAnsi="宋体" w:eastAsia="宋体" w:cs="宋体"/>
                <w:sz w:val="20"/>
                <w:szCs w:val="20"/>
              </w:rPr>
            </w:pPr>
            <w:r>
              <w:rPr>
                <w:rFonts w:ascii="宋体" w:hAnsi="宋体" w:eastAsia="宋体" w:cs="宋体"/>
                <w:spacing w:val="-11"/>
                <w:sz w:val="20"/>
                <w:szCs w:val="20"/>
              </w:rPr>
              <w:t>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restart"/>
            <w:tcBorders>
              <w:left w:val="single" w:color="000000" w:sz="6" w:space="0"/>
              <w:bottom w:val="nil"/>
            </w:tcBorders>
            <w:vAlign w:val="top"/>
          </w:tcPr>
          <w:p>
            <w:pPr>
              <w:pStyle w:val="6"/>
              <w:spacing w:line="247" w:lineRule="auto"/>
            </w:pPr>
          </w:p>
          <w:p>
            <w:pPr>
              <w:spacing w:before="65" w:line="337" w:lineRule="auto"/>
              <w:ind w:left="475" w:right="160" w:hanging="320"/>
              <w:rPr>
                <w:rFonts w:ascii="宋体" w:hAnsi="宋体" w:eastAsia="宋体" w:cs="宋体"/>
                <w:sz w:val="20"/>
                <w:szCs w:val="20"/>
              </w:rPr>
            </w:pPr>
            <w:r>
              <w:rPr>
                <w:rFonts w:ascii="宋体" w:hAnsi="宋体" w:eastAsia="宋体" w:cs="宋体"/>
                <w:spacing w:val="8"/>
                <w:sz w:val="20"/>
                <w:szCs w:val="20"/>
              </w:rPr>
              <w:t>优质优价</w:t>
            </w:r>
            <w:r>
              <w:rPr>
                <w:rFonts w:ascii="宋体" w:hAnsi="宋体" w:eastAsia="宋体" w:cs="宋体"/>
                <w:sz w:val="20"/>
                <w:szCs w:val="20"/>
              </w:rPr>
              <w:t>费</w:t>
            </w:r>
          </w:p>
        </w:tc>
        <w:tc>
          <w:tcPr>
            <w:tcW w:w="966" w:type="dxa"/>
            <w:vAlign w:val="top"/>
          </w:tcPr>
          <w:p>
            <w:pPr>
              <w:spacing w:before="125" w:line="211" w:lineRule="auto"/>
              <w:ind w:left="185"/>
              <w:rPr>
                <w:rFonts w:ascii="宋体" w:hAnsi="宋体" w:eastAsia="宋体" w:cs="宋体"/>
                <w:sz w:val="20"/>
                <w:szCs w:val="20"/>
              </w:rPr>
            </w:pPr>
            <w:r>
              <w:rPr>
                <w:rFonts w:ascii="宋体" w:hAnsi="宋体" w:eastAsia="宋体" w:cs="宋体"/>
                <w:spacing w:val="1"/>
                <w:sz w:val="20"/>
                <w:szCs w:val="20"/>
              </w:rPr>
              <w:t>国家级</w:t>
            </w:r>
          </w:p>
        </w:tc>
        <w:tc>
          <w:tcPr>
            <w:tcW w:w="7471" w:type="dxa"/>
            <w:gridSpan w:val="11"/>
            <w:tcBorders>
              <w:right w:val="single" w:color="000000" w:sz="6" w:space="0"/>
            </w:tcBorders>
            <w:vAlign w:val="top"/>
          </w:tcPr>
          <w:p>
            <w:pPr>
              <w:spacing w:before="118" w:line="217" w:lineRule="auto"/>
              <w:ind w:left="3570"/>
              <w:rPr>
                <w:rFonts w:ascii="宋体" w:hAnsi="宋体" w:eastAsia="宋体" w:cs="宋体"/>
                <w:sz w:val="20"/>
                <w:szCs w:val="20"/>
              </w:rPr>
            </w:pPr>
            <w:r>
              <w:rPr>
                <w:rFonts w:ascii="宋体" w:hAnsi="宋体" w:eastAsia="宋体" w:cs="宋体"/>
                <w:spacing w:val="-15"/>
                <w:sz w:val="20"/>
                <w:szCs w:val="20"/>
              </w:rPr>
              <w:t>1.66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bottom w:val="nil"/>
            </w:tcBorders>
            <w:vAlign w:val="top"/>
          </w:tcPr>
          <w:p>
            <w:pPr>
              <w:pStyle w:val="6"/>
            </w:pPr>
          </w:p>
        </w:tc>
        <w:tc>
          <w:tcPr>
            <w:tcW w:w="966" w:type="dxa"/>
            <w:vAlign w:val="top"/>
          </w:tcPr>
          <w:p>
            <w:pPr>
              <w:spacing w:before="127" w:line="209" w:lineRule="auto"/>
              <w:ind w:left="271"/>
              <w:rPr>
                <w:rFonts w:ascii="宋体" w:hAnsi="宋体" w:eastAsia="宋体" w:cs="宋体"/>
                <w:sz w:val="20"/>
                <w:szCs w:val="20"/>
              </w:rPr>
            </w:pPr>
            <w:r>
              <w:rPr>
                <w:rFonts w:ascii="宋体" w:hAnsi="宋体" w:eastAsia="宋体" w:cs="宋体"/>
                <w:spacing w:val="6"/>
                <w:sz w:val="20"/>
                <w:szCs w:val="20"/>
              </w:rPr>
              <w:t>省级</w:t>
            </w:r>
          </w:p>
        </w:tc>
        <w:tc>
          <w:tcPr>
            <w:tcW w:w="7471" w:type="dxa"/>
            <w:gridSpan w:val="11"/>
            <w:tcBorders>
              <w:right w:val="single" w:color="000000" w:sz="6" w:space="0"/>
            </w:tcBorders>
            <w:vAlign w:val="top"/>
          </w:tcPr>
          <w:p>
            <w:pPr>
              <w:spacing w:before="120" w:line="216" w:lineRule="auto"/>
              <w:ind w:left="3570"/>
              <w:rPr>
                <w:rFonts w:ascii="宋体" w:hAnsi="宋体" w:eastAsia="宋体" w:cs="宋体"/>
                <w:sz w:val="20"/>
                <w:szCs w:val="20"/>
              </w:rPr>
            </w:pPr>
            <w:r>
              <w:rPr>
                <w:rFonts w:ascii="宋体" w:hAnsi="宋体" w:eastAsia="宋体" w:cs="宋体"/>
                <w:spacing w:val="-15"/>
                <w:sz w:val="20"/>
                <w:szCs w:val="20"/>
              </w:rPr>
              <w:t>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tcBorders>
            <w:vAlign w:val="top"/>
          </w:tcPr>
          <w:p>
            <w:pPr>
              <w:pStyle w:val="6"/>
            </w:pPr>
          </w:p>
        </w:tc>
        <w:tc>
          <w:tcPr>
            <w:tcW w:w="966" w:type="dxa"/>
            <w:vAlign w:val="top"/>
          </w:tcPr>
          <w:p>
            <w:pPr>
              <w:spacing w:before="126" w:line="210" w:lineRule="auto"/>
              <w:ind w:left="271"/>
              <w:rPr>
                <w:rFonts w:ascii="宋体" w:hAnsi="宋体" w:eastAsia="宋体" w:cs="宋体"/>
                <w:sz w:val="20"/>
                <w:szCs w:val="20"/>
              </w:rPr>
            </w:pPr>
            <w:r>
              <w:rPr>
                <w:rFonts w:ascii="宋体" w:hAnsi="宋体" w:eastAsia="宋体" w:cs="宋体"/>
                <w:spacing w:val="6"/>
                <w:sz w:val="20"/>
                <w:szCs w:val="20"/>
              </w:rPr>
              <w:t>市级</w:t>
            </w:r>
          </w:p>
        </w:tc>
        <w:tc>
          <w:tcPr>
            <w:tcW w:w="7471" w:type="dxa"/>
            <w:gridSpan w:val="11"/>
            <w:tcBorders>
              <w:right w:val="single" w:color="000000" w:sz="6" w:space="0"/>
            </w:tcBorders>
            <w:vAlign w:val="top"/>
          </w:tcPr>
          <w:p>
            <w:pPr>
              <w:spacing w:before="120" w:line="216" w:lineRule="auto"/>
              <w:ind w:left="3552"/>
              <w:rPr>
                <w:rFonts w:ascii="宋体" w:hAnsi="宋体" w:eastAsia="宋体" w:cs="宋体"/>
                <w:sz w:val="20"/>
                <w:szCs w:val="20"/>
              </w:rPr>
            </w:pPr>
            <w:r>
              <w:rPr>
                <w:rFonts w:ascii="宋体" w:hAnsi="宋体" w:eastAsia="宋体" w:cs="宋体"/>
                <w:spacing w:val="-11"/>
                <w:sz w:val="20"/>
                <w:szCs w:val="20"/>
              </w:rPr>
              <w:t>0.88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2126" w:type="dxa"/>
            <w:gridSpan w:val="2"/>
            <w:tcBorders>
              <w:left w:val="single" w:color="000000" w:sz="6" w:space="0"/>
              <w:bottom w:val="single" w:color="000000" w:sz="6" w:space="0"/>
            </w:tcBorders>
            <w:vAlign w:val="top"/>
          </w:tcPr>
          <w:p>
            <w:pPr>
              <w:spacing w:before="126" w:line="219" w:lineRule="auto"/>
              <w:ind w:left="533"/>
              <w:rPr>
                <w:rFonts w:ascii="宋体" w:hAnsi="宋体" w:eastAsia="宋体" w:cs="宋体"/>
                <w:sz w:val="20"/>
                <w:szCs w:val="20"/>
              </w:rPr>
            </w:pPr>
            <w:r>
              <w:rPr>
                <w:rFonts w:ascii="宋体" w:hAnsi="宋体" w:eastAsia="宋体" w:cs="宋体"/>
                <w:spacing w:val="9"/>
                <w:sz w:val="20"/>
                <w:szCs w:val="20"/>
              </w:rPr>
              <w:t>住房公积金</w:t>
            </w:r>
          </w:p>
        </w:tc>
        <w:tc>
          <w:tcPr>
            <w:tcW w:w="7471" w:type="dxa"/>
            <w:gridSpan w:val="11"/>
            <w:tcBorders>
              <w:bottom w:val="single" w:color="000000" w:sz="6" w:space="0"/>
              <w:right w:val="single" w:color="000000" w:sz="6" w:space="0"/>
            </w:tcBorders>
            <w:vAlign w:val="top"/>
          </w:tcPr>
          <w:p>
            <w:pPr>
              <w:spacing w:before="125" w:line="220" w:lineRule="auto"/>
              <w:ind w:left="104"/>
              <w:rPr>
                <w:rFonts w:ascii="宋体" w:hAnsi="宋体" w:eastAsia="宋体" w:cs="宋体"/>
                <w:sz w:val="20"/>
                <w:szCs w:val="20"/>
              </w:rPr>
            </w:pPr>
            <w:r>
              <w:rPr>
                <w:rFonts w:ascii="宋体" w:hAnsi="宋体" w:eastAsia="宋体" w:cs="宋体"/>
                <w:spacing w:val="9"/>
                <w:sz w:val="20"/>
                <w:szCs w:val="20"/>
              </w:rPr>
              <w:t>按工程所在地设区市相关规定计算</w:t>
            </w:r>
          </w:p>
        </w:tc>
      </w:tr>
    </w:tbl>
    <w:p>
      <w:pPr>
        <w:spacing w:before="110" w:line="331" w:lineRule="auto"/>
        <w:ind w:left="274" w:right="313" w:firstLine="4"/>
        <w:rPr>
          <w:rFonts w:ascii="宋体" w:hAnsi="宋体" w:eastAsia="宋体" w:cs="宋体"/>
          <w:sz w:val="20"/>
          <w:szCs w:val="20"/>
        </w:rPr>
      </w:pPr>
      <w:r>
        <w:rPr>
          <w:rFonts w:ascii="宋体" w:hAnsi="宋体" w:eastAsia="宋体" w:cs="宋体"/>
          <w:spacing w:val="10"/>
          <w:sz w:val="20"/>
          <w:szCs w:val="20"/>
        </w:rPr>
        <w:t>注：表中安全施工费费率不包括安全生产责任保险费率。安全生产责任</w:t>
      </w:r>
      <w:r>
        <w:rPr>
          <w:rFonts w:ascii="宋体" w:hAnsi="宋体" w:eastAsia="宋体" w:cs="宋体"/>
          <w:spacing w:val="9"/>
          <w:sz w:val="20"/>
          <w:szCs w:val="20"/>
        </w:rPr>
        <w:t>保险费用在招投标和合同签订阶段可暂按</w:t>
      </w:r>
      <w:r>
        <w:rPr>
          <w:rFonts w:ascii="宋体" w:hAnsi="宋体" w:eastAsia="宋体" w:cs="宋体"/>
          <w:spacing w:val="-41"/>
          <w:sz w:val="20"/>
          <w:szCs w:val="20"/>
        </w:rPr>
        <w:t xml:space="preserve"> </w:t>
      </w:r>
      <w:r>
        <w:rPr>
          <w:rFonts w:ascii="宋体" w:hAnsi="宋体" w:eastAsia="宋体" w:cs="宋体"/>
          <w:spacing w:val="9"/>
          <w:sz w:val="20"/>
          <w:szCs w:val="20"/>
        </w:rPr>
        <w:t>0.15%计列，工程结算时按实际购买保险金额</w:t>
      </w:r>
      <w:r>
        <w:rPr>
          <w:rFonts w:ascii="宋体" w:hAnsi="宋体" w:eastAsia="宋体" w:cs="宋体"/>
          <w:spacing w:val="8"/>
          <w:sz w:val="20"/>
          <w:szCs w:val="20"/>
        </w:rPr>
        <w:t>计入。</w:t>
      </w:r>
    </w:p>
    <w:p>
      <w:pPr>
        <w:pStyle w:val="2"/>
        <w:spacing w:before="327" w:line="197" w:lineRule="auto"/>
        <w:ind w:left="743"/>
        <w:rPr>
          <w:sz w:val="24"/>
          <w:szCs w:val="24"/>
        </w:rPr>
      </w:pPr>
      <w:r>
        <w:rPr>
          <w:spacing w:val="-16"/>
          <w:sz w:val="24"/>
          <w:szCs w:val="24"/>
        </w:rPr>
        <w:t>（ 二 ）市政工程</w:t>
      </w:r>
    </w:p>
    <w:p>
      <w:pPr>
        <w:pStyle w:val="2"/>
        <w:spacing w:before="49" w:line="210" w:lineRule="auto"/>
        <w:ind w:left="4266"/>
        <w:rPr>
          <w:sz w:val="20"/>
          <w:szCs w:val="20"/>
        </w:rPr>
      </w:pPr>
      <w:r>
        <w:rPr>
          <w:spacing w:val="3"/>
          <w:sz w:val="20"/>
          <w:szCs w:val="20"/>
        </w:rPr>
        <w:t>1.  一般计税法下</w:t>
      </w:r>
    </w:p>
    <w:p>
      <w:pPr>
        <w:spacing w:before="66" w:line="232" w:lineRule="auto"/>
        <w:ind w:left="8540"/>
        <w:rPr>
          <w:rFonts w:ascii="宋体" w:hAnsi="宋体" w:eastAsia="宋体" w:cs="宋体"/>
          <w:sz w:val="20"/>
          <w:szCs w:val="20"/>
        </w:rPr>
      </w:pPr>
      <w:r>
        <w:rPr>
          <w:rFonts w:ascii="宋体" w:hAnsi="宋体" w:eastAsia="宋体" w:cs="宋体"/>
          <w:spacing w:val="24"/>
          <w:sz w:val="20"/>
          <w:szCs w:val="20"/>
        </w:rPr>
        <w:t>单位：%</w:t>
      </w:r>
    </w:p>
    <w:tbl>
      <w:tblPr>
        <w:tblStyle w:val="5"/>
        <w:tblW w:w="9595"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965"/>
        <w:gridCol w:w="746"/>
        <w:gridCol w:w="746"/>
        <w:gridCol w:w="746"/>
        <w:gridCol w:w="746"/>
        <w:gridCol w:w="746"/>
        <w:gridCol w:w="746"/>
        <w:gridCol w:w="746"/>
        <w:gridCol w:w="746"/>
        <w:gridCol w:w="746"/>
        <w:gridCol w:w="7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7" w:hRule="atLeast"/>
        </w:trPr>
        <w:tc>
          <w:tcPr>
            <w:tcW w:w="2125" w:type="dxa"/>
            <w:gridSpan w:val="2"/>
            <w:tcBorders>
              <w:top w:val="single" w:color="000000" w:sz="6" w:space="0"/>
              <w:left w:val="single" w:color="000000" w:sz="6" w:space="0"/>
              <w:tl2br w:val="single" w:color="000000" w:sz="4" w:space="0"/>
            </w:tcBorders>
            <w:vAlign w:val="top"/>
          </w:tcPr>
          <w:p>
            <w:pPr>
              <w:spacing w:before="116" w:line="223" w:lineRule="auto"/>
              <w:ind w:left="1162"/>
              <w:rPr>
                <w:rFonts w:ascii="宋体" w:hAnsi="宋体" w:eastAsia="宋体" w:cs="宋体"/>
                <w:sz w:val="20"/>
                <w:szCs w:val="20"/>
              </w:rPr>
            </w:pPr>
            <w:r>
              <w:rPr>
                <w:rFonts w:ascii="宋体" w:hAnsi="宋体" w:eastAsia="宋体" w:cs="宋体"/>
                <w:spacing w:val="8"/>
                <w:sz w:val="20"/>
                <w:szCs w:val="20"/>
              </w:rPr>
              <w:t>专业名称</w:t>
            </w:r>
          </w:p>
          <w:p>
            <w:pPr>
              <w:pStyle w:val="6"/>
              <w:spacing w:line="413" w:lineRule="auto"/>
            </w:pPr>
          </w:p>
          <w:p>
            <w:pPr>
              <w:spacing w:before="65" w:line="219" w:lineRule="auto"/>
              <w:ind w:left="113"/>
              <w:rPr>
                <w:rFonts w:ascii="宋体" w:hAnsi="宋体" w:eastAsia="宋体" w:cs="宋体"/>
                <w:sz w:val="20"/>
                <w:szCs w:val="20"/>
              </w:rPr>
            </w:pPr>
            <w:r>
              <w:rPr>
                <w:rFonts w:ascii="宋体" w:hAnsi="宋体" w:eastAsia="宋体" w:cs="宋体"/>
                <w:spacing w:val="6"/>
                <w:sz w:val="20"/>
                <w:szCs w:val="20"/>
              </w:rPr>
              <w:t>费用名称</w:t>
            </w:r>
          </w:p>
        </w:tc>
        <w:tc>
          <w:tcPr>
            <w:tcW w:w="746" w:type="dxa"/>
            <w:tcBorders>
              <w:top w:val="single" w:color="000000" w:sz="6" w:space="0"/>
            </w:tcBorders>
            <w:vAlign w:val="top"/>
          </w:tcPr>
          <w:p>
            <w:pPr>
              <w:pStyle w:val="6"/>
              <w:spacing w:line="243" w:lineRule="auto"/>
            </w:pPr>
          </w:p>
          <w:p>
            <w:pPr>
              <w:spacing w:before="65" w:line="283" w:lineRule="auto"/>
              <w:ind w:left="161" w:right="166"/>
              <w:rPr>
                <w:rFonts w:ascii="宋体" w:hAnsi="宋体" w:eastAsia="宋体" w:cs="宋体"/>
                <w:sz w:val="20"/>
                <w:szCs w:val="20"/>
              </w:rPr>
            </w:pPr>
            <w:r>
              <w:rPr>
                <w:rFonts w:ascii="宋体" w:hAnsi="宋体" w:eastAsia="宋体" w:cs="宋体"/>
                <w:spacing w:val="6"/>
                <w:sz w:val="20"/>
                <w:szCs w:val="20"/>
              </w:rPr>
              <w:t>道路工程</w:t>
            </w:r>
          </w:p>
        </w:tc>
        <w:tc>
          <w:tcPr>
            <w:tcW w:w="746" w:type="dxa"/>
            <w:tcBorders>
              <w:top w:val="single" w:color="000000" w:sz="6" w:space="0"/>
            </w:tcBorders>
            <w:vAlign w:val="top"/>
          </w:tcPr>
          <w:p>
            <w:pPr>
              <w:pStyle w:val="6"/>
              <w:spacing w:line="244" w:lineRule="auto"/>
            </w:pPr>
          </w:p>
          <w:p>
            <w:pPr>
              <w:spacing w:before="65" w:line="284" w:lineRule="auto"/>
              <w:ind w:left="164" w:right="163"/>
              <w:rPr>
                <w:rFonts w:ascii="宋体" w:hAnsi="宋体" w:eastAsia="宋体" w:cs="宋体"/>
                <w:sz w:val="20"/>
                <w:szCs w:val="20"/>
              </w:rPr>
            </w:pPr>
            <w:r>
              <w:rPr>
                <w:rFonts w:ascii="宋体" w:hAnsi="宋体" w:eastAsia="宋体" w:cs="宋体"/>
                <w:spacing w:val="6"/>
                <w:sz w:val="20"/>
                <w:szCs w:val="20"/>
              </w:rPr>
              <w:t>桥涵工程</w:t>
            </w:r>
          </w:p>
        </w:tc>
        <w:tc>
          <w:tcPr>
            <w:tcW w:w="746" w:type="dxa"/>
            <w:tcBorders>
              <w:top w:val="single" w:color="000000" w:sz="6" w:space="0"/>
            </w:tcBorders>
            <w:vAlign w:val="top"/>
          </w:tcPr>
          <w:p>
            <w:pPr>
              <w:pStyle w:val="6"/>
              <w:spacing w:line="243" w:lineRule="auto"/>
            </w:pPr>
          </w:p>
          <w:p>
            <w:pPr>
              <w:spacing w:before="65" w:line="284" w:lineRule="auto"/>
              <w:ind w:left="164" w:right="163" w:firstLine="10"/>
              <w:rPr>
                <w:rFonts w:ascii="宋体" w:hAnsi="宋体" w:eastAsia="宋体" w:cs="宋体"/>
                <w:sz w:val="20"/>
                <w:szCs w:val="20"/>
              </w:rPr>
            </w:pPr>
            <w:r>
              <w:rPr>
                <w:rFonts w:ascii="宋体" w:hAnsi="宋体" w:eastAsia="宋体" w:cs="宋体"/>
                <w:spacing w:val="1"/>
                <w:sz w:val="20"/>
                <w:szCs w:val="20"/>
              </w:rPr>
              <w:t>隧道</w:t>
            </w:r>
            <w:r>
              <w:rPr>
                <w:rFonts w:ascii="宋体" w:hAnsi="宋体" w:eastAsia="宋体" w:cs="宋体"/>
                <w:spacing w:val="6"/>
                <w:sz w:val="20"/>
                <w:szCs w:val="20"/>
              </w:rPr>
              <w:t>工程</w:t>
            </w:r>
          </w:p>
        </w:tc>
        <w:tc>
          <w:tcPr>
            <w:tcW w:w="746" w:type="dxa"/>
            <w:tcBorders>
              <w:top w:val="single" w:color="000000" w:sz="6" w:space="0"/>
            </w:tcBorders>
            <w:vAlign w:val="top"/>
          </w:tcPr>
          <w:p>
            <w:pPr>
              <w:spacing w:before="296" w:line="289" w:lineRule="auto"/>
              <w:ind w:left="164" w:right="162"/>
              <w:rPr>
                <w:rFonts w:ascii="宋体" w:hAnsi="宋体" w:eastAsia="宋体" w:cs="宋体"/>
                <w:sz w:val="20"/>
                <w:szCs w:val="20"/>
              </w:rPr>
            </w:pPr>
            <w:r>
              <w:rPr>
                <w:rFonts w:ascii="宋体" w:hAnsi="宋体" w:eastAsia="宋体" w:cs="宋体"/>
                <w:spacing w:val="6"/>
                <w:sz w:val="20"/>
                <w:szCs w:val="20"/>
              </w:rPr>
              <w:t>排水工程</w:t>
            </w:r>
          </w:p>
        </w:tc>
        <w:tc>
          <w:tcPr>
            <w:tcW w:w="746" w:type="dxa"/>
            <w:tcBorders>
              <w:top w:val="single" w:color="000000" w:sz="6" w:space="0"/>
            </w:tcBorders>
            <w:vAlign w:val="top"/>
          </w:tcPr>
          <w:p>
            <w:pPr>
              <w:pStyle w:val="6"/>
              <w:spacing w:line="243" w:lineRule="auto"/>
            </w:pPr>
          </w:p>
          <w:p>
            <w:pPr>
              <w:spacing w:before="65" w:line="283" w:lineRule="auto"/>
              <w:ind w:left="165" w:right="162" w:firstLine="5"/>
              <w:rPr>
                <w:rFonts w:ascii="宋体" w:hAnsi="宋体" w:eastAsia="宋体" w:cs="宋体"/>
                <w:sz w:val="20"/>
                <w:szCs w:val="20"/>
              </w:rPr>
            </w:pPr>
            <w:r>
              <w:rPr>
                <w:rFonts w:ascii="宋体" w:hAnsi="宋体" w:eastAsia="宋体" w:cs="宋体"/>
                <w:spacing w:val="3"/>
                <w:sz w:val="20"/>
                <w:szCs w:val="20"/>
              </w:rPr>
              <w:t>给水</w:t>
            </w:r>
            <w:r>
              <w:rPr>
                <w:rFonts w:ascii="宋体" w:hAnsi="宋体" w:eastAsia="宋体" w:cs="宋体"/>
                <w:spacing w:val="6"/>
                <w:sz w:val="20"/>
                <w:szCs w:val="20"/>
              </w:rPr>
              <w:t>工程</w:t>
            </w:r>
          </w:p>
        </w:tc>
        <w:tc>
          <w:tcPr>
            <w:tcW w:w="746" w:type="dxa"/>
            <w:tcBorders>
              <w:top w:val="single" w:color="000000" w:sz="6" w:space="0"/>
            </w:tcBorders>
            <w:vAlign w:val="top"/>
          </w:tcPr>
          <w:p>
            <w:pPr>
              <w:pStyle w:val="6"/>
              <w:spacing w:line="243" w:lineRule="auto"/>
            </w:pPr>
          </w:p>
          <w:p>
            <w:pPr>
              <w:spacing w:before="65" w:line="282" w:lineRule="auto"/>
              <w:ind w:left="168" w:right="159" w:hanging="3"/>
              <w:rPr>
                <w:rFonts w:ascii="宋体" w:hAnsi="宋体" w:eastAsia="宋体" w:cs="宋体"/>
                <w:sz w:val="20"/>
                <w:szCs w:val="20"/>
              </w:rPr>
            </w:pPr>
            <w:r>
              <w:rPr>
                <w:rFonts w:ascii="宋体" w:hAnsi="宋体" w:eastAsia="宋体" w:cs="宋体"/>
                <w:spacing w:val="8"/>
                <w:sz w:val="20"/>
                <w:szCs w:val="20"/>
              </w:rPr>
              <w:t>燃气</w:t>
            </w:r>
            <w:r>
              <w:rPr>
                <w:rFonts w:ascii="宋体" w:hAnsi="宋体" w:eastAsia="宋体" w:cs="宋体"/>
                <w:spacing w:val="6"/>
                <w:sz w:val="20"/>
                <w:szCs w:val="20"/>
              </w:rPr>
              <w:t>工程</w:t>
            </w:r>
          </w:p>
        </w:tc>
        <w:tc>
          <w:tcPr>
            <w:tcW w:w="746" w:type="dxa"/>
            <w:tcBorders>
              <w:top w:val="single" w:color="000000" w:sz="6" w:space="0"/>
            </w:tcBorders>
            <w:vAlign w:val="top"/>
          </w:tcPr>
          <w:p>
            <w:pPr>
              <w:spacing w:before="305" w:line="270" w:lineRule="auto"/>
              <w:ind w:left="168" w:right="159" w:hanging="1"/>
              <w:rPr>
                <w:rFonts w:ascii="宋体" w:hAnsi="宋体" w:eastAsia="宋体" w:cs="宋体"/>
                <w:sz w:val="20"/>
                <w:szCs w:val="20"/>
              </w:rPr>
            </w:pPr>
            <w:r>
              <w:rPr>
                <w:rFonts w:ascii="宋体" w:hAnsi="宋体" w:eastAsia="宋体" w:cs="宋体"/>
                <w:spacing w:val="7"/>
                <w:sz w:val="20"/>
                <w:szCs w:val="20"/>
              </w:rPr>
              <w:t>供热</w:t>
            </w:r>
            <w:r>
              <w:rPr>
                <w:rFonts w:ascii="宋体" w:hAnsi="宋体" w:eastAsia="宋体" w:cs="宋体"/>
                <w:spacing w:val="6"/>
                <w:sz w:val="20"/>
                <w:szCs w:val="20"/>
              </w:rPr>
              <w:t>工程</w:t>
            </w:r>
          </w:p>
        </w:tc>
        <w:tc>
          <w:tcPr>
            <w:tcW w:w="746" w:type="dxa"/>
            <w:tcBorders>
              <w:top w:val="single" w:color="000000" w:sz="6" w:space="0"/>
            </w:tcBorders>
            <w:vAlign w:val="top"/>
          </w:tcPr>
          <w:p>
            <w:pPr>
              <w:spacing w:before="159" w:line="218" w:lineRule="auto"/>
              <w:ind w:left="167"/>
              <w:rPr>
                <w:rFonts w:ascii="宋体" w:hAnsi="宋体" w:eastAsia="宋体" w:cs="宋体"/>
                <w:sz w:val="20"/>
                <w:szCs w:val="20"/>
              </w:rPr>
            </w:pPr>
            <w:r>
              <w:rPr>
                <w:rFonts w:ascii="宋体" w:hAnsi="宋体" w:eastAsia="宋体" w:cs="宋体"/>
                <w:spacing w:val="7"/>
                <w:sz w:val="20"/>
                <w:szCs w:val="20"/>
              </w:rPr>
              <w:t>水处</w:t>
            </w:r>
          </w:p>
          <w:p>
            <w:pPr>
              <w:spacing w:before="75" w:line="280" w:lineRule="auto"/>
              <w:ind w:left="274" w:right="158" w:hanging="105"/>
              <w:rPr>
                <w:rFonts w:ascii="宋体" w:hAnsi="宋体" w:eastAsia="宋体" w:cs="宋体"/>
                <w:sz w:val="20"/>
                <w:szCs w:val="20"/>
              </w:rPr>
            </w:pPr>
            <w:r>
              <w:rPr>
                <w:rFonts w:ascii="宋体" w:hAnsi="宋体" w:eastAsia="宋体" w:cs="宋体"/>
                <w:spacing w:val="6"/>
                <w:sz w:val="20"/>
                <w:szCs w:val="20"/>
              </w:rPr>
              <w:t>理工</w:t>
            </w:r>
            <w:r>
              <w:rPr>
                <w:rFonts w:ascii="宋体" w:hAnsi="宋体" w:eastAsia="宋体" w:cs="宋体"/>
                <w:spacing w:val="4"/>
                <w:sz w:val="20"/>
                <w:szCs w:val="20"/>
              </w:rPr>
              <w:t>程</w:t>
            </w:r>
          </w:p>
        </w:tc>
        <w:tc>
          <w:tcPr>
            <w:tcW w:w="746" w:type="dxa"/>
            <w:tcBorders>
              <w:top w:val="single" w:color="000000" w:sz="6" w:space="0"/>
            </w:tcBorders>
            <w:vAlign w:val="top"/>
          </w:tcPr>
          <w:p>
            <w:pPr>
              <w:spacing w:before="162" w:line="214" w:lineRule="auto"/>
              <w:ind w:left="171"/>
              <w:rPr>
                <w:rFonts w:ascii="宋体" w:hAnsi="宋体" w:eastAsia="宋体" w:cs="宋体"/>
                <w:sz w:val="20"/>
                <w:szCs w:val="20"/>
              </w:rPr>
            </w:pPr>
            <w:r>
              <w:rPr>
                <w:rFonts w:ascii="宋体" w:hAnsi="宋体" w:eastAsia="宋体" w:cs="宋体"/>
                <w:spacing w:val="5"/>
                <w:sz w:val="20"/>
                <w:szCs w:val="20"/>
              </w:rPr>
              <w:t>垃圾</w:t>
            </w:r>
          </w:p>
          <w:p>
            <w:pPr>
              <w:spacing w:before="68" w:line="216" w:lineRule="auto"/>
              <w:ind w:left="168"/>
              <w:rPr>
                <w:rFonts w:ascii="宋体" w:hAnsi="宋体" w:eastAsia="宋体" w:cs="宋体"/>
                <w:sz w:val="20"/>
                <w:szCs w:val="20"/>
              </w:rPr>
            </w:pPr>
            <w:r>
              <w:rPr>
                <w:rFonts w:ascii="宋体" w:hAnsi="宋体" w:eastAsia="宋体" w:cs="宋体"/>
                <w:spacing w:val="6"/>
                <w:sz w:val="20"/>
                <w:szCs w:val="20"/>
              </w:rPr>
              <w:t>处理</w:t>
            </w:r>
          </w:p>
          <w:p>
            <w:pPr>
              <w:spacing w:before="72" w:line="209" w:lineRule="auto"/>
              <w:ind w:left="169"/>
              <w:rPr>
                <w:rFonts w:ascii="宋体" w:hAnsi="宋体" w:eastAsia="宋体" w:cs="宋体"/>
                <w:sz w:val="20"/>
                <w:szCs w:val="20"/>
              </w:rPr>
            </w:pPr>
            <w:r>
              <w:rPr>
                <w:rFonts w:ascii="宋体" w:hAnsi="宋体" w:eastAsia="宋体" w:cs="宋体"/>
                <w:spacing w:val="6"/>
                <w:sz w:val="20"/>
                <w:szCs w:val="20"/>
              </w:rPr>
              <w:t>工程</w:t>
            </w:r>
          </w:p>
        </w:tc>
        <w:tc>
          <w:tcPr>
            <w:tcW w:w="756" w:type="dxa"/>
            <w:tcBorders>
              <w:top w:val="single" w:color="000000" w:sz="6" w:space="0"/>
              <w:right w:val="single" w:color="000000" w:sz="6" w:space="0"/>
            </w:tcBorders>
            <w:vAlign w:val="top"/>
          </w:tcPr>
          <w:p>
            <w:pPr>
              <w:pStyle w:val="6"/>
              <w:spacing w:line="243" w:lineRule="auto"/>
            </w:pPr>
          </w:p>
          <w:p>
            <w:pPr>
              <w:spacing w:before="65" w:line="283" w:lineRule="auto"/>
              <w:ind w:left="172" w:right="160"/>
              <w:rPr>
                <w:rFonts w:ascii="宋体" w:hAnsi="宋体" w:eastAsia="宋体" w:cs="宋体"/>
                <w:sz w:val="20"/>
                <w:szCs w:val="20"/>
              </w:rPr>
            </w:pPr>
            <w:r>
              <w:rPr>
                <w:rFonts w:ascii="宋体" w:hAnsi="宋体" w:eastAsia="宋体" w:cs="宋体"/>
                <w:spacing w:val="6"/>
                <w:sz w:val="20"/>
                <w:szCs w:val="20"/>
              </w:rPr>
              <w:t>路灯工程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2125" w:type="dxa"/>
            <w:gridSpan w:val="2"/>
            <w:tcBorders>
              <w:left w:val="single" w:color="000000" w:sz="6" w:space="0"/>
            </w:tcBorders>
            <w:vAlign w:val="top"/>
          </w:tcPr>
          <w:p>
            <w:pPr>
              <w:spacing w:before="117" w:line="219" w:lineRule="auto"/>
              <w:ind w:left="323"/>
              <w:rPr>
                <w:rFonts w:ascii="宋体" w:hAnsi="宋体" w:eastAsia="宋体" w:cs="宋体"/>
                <w:sz w:val="20"/>
                <w:szCs w:val="20"/>
              </w:rPr>
            </w:pPr>
            <w:r>
              <w:rPr>
                <w:rFonts w:ascii="宋体" w:hAnsi="宋体" w:eastAsia="宋体" w:cs="宋体"/>
                <w:spacing w:val="9"/>
                <w:sz w:val="20"/>
                <w:szCs w:val="20"/>
              </w:rPr>
              <w:t>安全文明施工费</w:t>
            </w:r>
          </w:p>
        </w:tc>
        <w:tc>
          <w:tcPr>
            <w:tcW w:w="2984" w:type="dxa"/>
            <w:gridSpan w:val="4"/>
            <w:vAlign w:val="top"/>
          </w:tcPr>
          <w:p>
            <w:pPr>
              <w:spacing w:before="110" w:line="226" w:lineRule="auto"/>
              <w:ind w:left="1312"/>
              <w:rPr>
                <w:rFonts w:ascii="宋体" w:hAnsi="宋体" w:eastAsia="宋体" w:cs="宋体"/>
                <w:sz w:val="20"/>
                <w:szCs w:val="20"/>
              </w:rPr>
            </w:pPr>
            <w:r>
              <w:rPr>
                <w:rFonts w:ascii="宋体" w:hAnsi="宋体" w:eastAsia="宋体" w:cs="宋体"/>
                <w:spacing w:val="-11"/>
                <w:sz w:val="20"/>
                <w:szCs w:val="20"/>
              </w:rPr>
              <w:t>5.73</w:t>
            </w:r>
          </w:p>
        </w:tc>
        <w:tc>
          <w:tcPr>
            <w:tcW w:w="2238" w:type="dxa"/>
            <w:gridSpan w:val="3"/>
            <w:vAlign w:val="top"/>
          </w:tcPr>
          <w:p>
            <w:pPr>
              <w:spacing w:before="110" w:line="226" w:lineRule="auto"/>
              <w:ind w:left="938"/>
              <w:rPr>
                <w:rFonts w:ascii="宋体" w:hAnsi="宋体" w:eastAsia="宋体" w:cs="宋体"/>
                <w:sz w:val="20"/>
                <w:szCs w:val="20"/>
              </w:rPr>
            </w:pPr>
            <w:r>
              <w:rPr>
                <w:rFonts w:ascii="宋体" w:hAnsi="宋体" w:eastAsia="宋体" w:cs="宋体"/>
                <w:spacing w:val="-10"/>
                <w:sz w:val="20"/>
                <w:szCs w:val="20"/>
              </w:rPr>
              <w:t>4.83</w:t>
            </w:r>
          </w:p>
        </w:tc>
        <w:tc>
          <w:tcPr>
            <w:tcW w:w="1492" w:type="dxa"/>
            <w:gridSpan w:val="2"/>
            <w:vAlign w:val="top"/>
          </w:tcPr>
          <w:p>
            <w:pPr>
              <w:spacing w:before="110" w:line="226" w:lineRule="auto"/>
              <w:ind w:left="573"/>
              <w:rPr>
                <w:rFonts w:ascii="宋体" w:hAnsi="宋体" w:eastAsia="宋体" w:cs="宋体"/>
                <w:sz w:val="20"/>
                <w:szCs w:val="20"/>
              </w:rPr>
            </w:pPr>
            <w:r>
              <w:rPr>
                <w:rFonts w:ascii="宋体" w:hAnsi="宋体" w:eastAsia="宋体" w:cs="宋体"/>
                <w:spacing w:val="-12"/>
                <w:sz w:val="20"/>
                <w:szCs w:val="20"/>
              </w:rPr>
              <w:t>5.73</w:t>
            </w:r>
          </w:p>
        </w:tc>
        <w:tc>
          <w:tcPr>
            <w:tcW w:w="756" w:type="dxa"/>
            <w:tcBorders>
              <w:right w:val="single" w:color="000000" w:sz="6" w:space="0"/>
            </w:tcBorders>
            <w:vAlign w:val="top"/>
          </w:tcPr>
          <w:p>
            <w:pPr>
              <w:spacing w:before="110" w:line="226" w:lineRule="auto"/>
              <w:ind w:left="202"/>
              <w:rPr>
                <w:rFonts w:ascii="宋体" w:hAnsi="宋体" w:eastAsia="宋体" w:cs="宋体"/>
                <w:sz w:val="20"/>
                <w:szCs w:val="20"/>
              </w:rPr>
            </w:pPr>
            <w:r>
              <w:rPr>
                <w:rFonts w:ascii="宋体" w:hAnsi="宋体" w:eastAsia="宋体" w:cs="宋体"/>
                <w:spacing w:val="-11"/>
                <w:sz w:val="20"/>
                <w:szCs w:val="20"/>
              </w:rPr>
              <w:t>5.17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0" w:line="225" w:lineRule="auto"/>
              <w:ind w:left="139"/>
              <w:rPr>
                <w:rFonts w:ascii="宋体" w:hAnsi="宋体" w:eastAsia="宋体" w:cs="宋体"/>
                <w:sz w:val="20"/>
                <w:szCs w:val="20"/>
              </w:rPr>
            </w:pPr>
            <w:r>
              <w:rPr>
                <w:rFonts w:ascii="宋体" w:hAnsi="宋体" w:eastAsia="宋体" w:cs="宋体"/>
                <w:spacing w:val="3"/>
                <w:sz w:val="20"/>
                <w:szCs w:val="20"/>
              </w:rPr>
              <w:t>其中：1.安全施工费</w:t>
            </w:r>
          </w:p>
        </w:tc>
        <w:tc>
          <w:tcPr>
            <w:tcW w:w="7470" w:type="dxa"/>
            <w:gridSpan w:val="10"/>
            <w:tcBorders>
              <w:right w:val="single" w:color="000000" w:sz="6" w:space="0"/>
            </w:tcBorders>
            <w:vAlign w:val="top"/>
          </w:tcPr>
          <w:p>
            <w:pPr>
              <w:spacing w:before="110" w:line="225" w:lineRule="auto"/>
              <w:ind w:left="3570"/>
              <w:rPr>
                <w:rFonts w:ascii="宋体" w:hAnsi="宋体" w:eastAsia="宋体" w:cs="宋体"/>
                <w:sz w:val="20"/>
                <w:szCs w:val="20"/>
              </w:rPr>
            </w:pPr>
            <w:r>
              <w:rPr>
                <w:rFonts w:ascii="宋体" w:hAnsi="宋体" w:eastAsia="宋体" w:cs="宋体"/>
                <w:spacing w:val="-15"/>
                <w:sz w:val="20"/>
                <w:szCs w:val="20"/>
              </w:rPr>
              <w:t>1.75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2" w:hRule="atLeast"/>
        </w:trPr>
        <w:tc>
          <w:tcPr>
            <w:tcW w:w="2125" w:type="dxa"/>
            <w:gridSpan w:val="2"/>
            <w:tcBorders>
              <w:left w:val="single" w:color="000000" w:sz="6" w:space="0"/>
            </w:tcBorders>
            <w:vAlign w:val="top"/>
          </w:tcPr>
          <w:p>
            <w:pPr>
              <w:spacing w:before="110" w:line="223" w:lineRule="auto"/>
              <w:ind w:left="772"/>
              <w:rPr>
                <w:rFonts w:ascii="宋体" w:hAnsi="宋体" w:eastAsia="宋体" w:cs="宋体"/>
                <w:sz w:val="20"/>
                <w:szCs w:val="20"/>
              </w:rPr>
            </w:pPr>
            <w:r>
              <w:rPr>
                <w:rFonts w:ascii="宋体" w:hAnsi="宋体" w:eastAsia="宋体" w:cs="宋体"/>
                <w:spacing w:val="-1"/>
                <w:sz w:val="20"/>
                <w:szCs w:val="20"/>
              </w:rPr>
              <w:t>2.环境保护费</w:t>
            </w:r>
          </w:p>
        </w:tc>
        <w:tc>
          <w:tcPr>
            <w:tcW w:w="6714" w:type="dxa"/>
            <w:gridSpan w:val="9"/>
            <w:vAlign w:val="top"/>
          </w:tcPr>
          <w:p>
            <w:pPr>
              <w:spacing w:before="110" w:line="223" w:lineRule="auto"/>
              <w:ind w:left="3196"/>
              <w:rPr>
                <w:rFonts w:ascii="宋体" w:hAnsi="宋体" w:eastAsia="宋体" w:cs="宋体"/>
                <w:sz w:val="20"/>
                <w:szCs w:val="20"/>
              </w:rPr>
            </w:pPr>
            <w:r>
              <w:rPr>
                <w:rFonts w:ascii="宋体" w:hAnsi="宋体" w:eastAsia="宋体" w:cs="宋体"/>
                <w:spacing w:val="-15"/>
                <w:sz w:val="20"/>
                <w:szCs w:val="20"/>
              </w:rPr>
              <w:t>1.33</w:t>
            </w:r>
          </w:p>
        </w:tc>
        <w:tc>
          <w:tcPr>
            <w:tcW w:w="756" w:type="dxa"/>
            <w:tcBorders>
              <w:right w:val="single" w:color="000000" w:sz="6" w:space="0"/>
            </w:tcBorders>
            <w:vAlign w:val="top"/>
          </w:tcPr>
          <w:p>
            <w:pPr>
              <w:spacing w:before="110" w:line="223" w:lineRule="auto"/>
              <w:ind w:left="219"/>
              <w:rPr>
                <w:rFonts w:ascii="宋体" w:hAnsi="宋体" w:eastAsia="宋体" w:cs="宋体"/>
                <w:sz w:val="20"/>
                <w:szCs w:val="20"/>
              </w:rPr>
            </w:pPr>
            <w:r>
              <w:rPr>
                <w:rFonts w:ascii="宋体" w:hAnsi="宋体" w:eastAsia="宋体" w:cs="宋体"/>
                <w:spacing w:val="-15"/>
                <w:sz w:val="20"/>
                <w:szCs w:val="20"/>
              </w:rPr>
              <w:t>1.15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2125" w:type="dxa"/>
            <w:gridSpan w:val="2"/>
            <w:tcBorders>
              <w:left w:val="single" w:color="000000" w:sz="6" w:space="0"/>
            </w:tcBorders>
            <w:vAlign w:val="top"/>
          </w:tcPr>
          <w:p>
            <w:pPr>
              <w:spacing w:before="115" w:line="219" w:lineRule="auto"/>
              <w:ind w:left="776"/>
              <w:rPr>
                <w:rFonts w:ascii="宋体" w:hAnsi="宋体" w:eastAsia="宋体" w:cs="宋体"/>
                <w:sz w:val="20"/>
                <w:szCs w:val="20"/>
              </w:rPr>
            </w:pPr>
            <w:r>
              <w:rPr>
                <w:rFonts w:ascii="宋体" w:hAnsi="宋体" w:eastAsia="宋体" w:cs="宋体"/>
                <w:spacing w:val="-1"/>
                <w:sz w:val="20"/>
                <w:szCs w:val="20"/>
              </w:rPr>
              <w:t>3.文明施工费</w:t>
            </w:r>
          </w:p>
        </w:tc>
        <w:tc>
          <w:tcPr>
            <w:tcW w:w="6714" w:type="dxa"/>
            <w:gridSpan w:val="9"/>
            <w:vAlign w:val="top"/>
          </w:tcPr>
          <w:p>
            <w:pPr>
              <w:spacing w:before="115" w:line="219" w:lineRule="auto"/>
              <w:ind w:left="3178"/>
              <w:rPr>
                <w:rFonts w:ascii="宋体" w:hAnsi="宋体" w:eastAsia="宋体" w:cs="宋体"/>
                <w:sz w:val="20"/>
                <w:szCs w:val="20"/>
              </w:rPr>
            </w:pPr>
            <w:r>
              <w:rPr>
                <w:rFonts w:ascii="宋体" w:hAnsi="宋体" w:eastAsia="宋体" w:cs="宋体"/>
                <w:spacing w:val="-11"/>
                <w:sz w:val="20"/>
                <w:szCs w:val="20"/>
              </w:rPr>
              <w:t>0.84</w:t>
            </w:r>
          </w:p>
        </w:tc>
        <w:tc>
          <w:tcPr>
            <w:tcW w:w="756" w:type="dxa"/>
            <w:tcBorders>
              <w:right w:val="single" w:color="000000" w:sz="6" w:space="0"/>
            </w:tcBorders>
            <w:vAlign w:val="top"/>
          </w:tcPr>
          <w:p>
            <w:pPr>
              <w:spacing w:before="115" w:line="219" w:lineRule="auto"/>
              <w:ind w:left="201"/>
              <w:rPr>
                <w:rFonts w:ascii="宋体" w:hAnsi="宋体" w:eastAsia="宋体" w:cs="宋体"/>
                <w:sz w:val="20"/>
                <w:szCs w:val="20"/>
              </w:rPr>
            </w:pPr>
            <w:r>
              <w:rPr>
                <w:rFonts w:ascii="宋体" w:hAnsi="宋体" w:eastAsia="宋体" w:cs="宋体"/>
                <w:spacing w:val="-11"/>
                <w:sz w:val="20"/>
                <w:szCs w:val="20"/>
              </w:rPr>
              <w:t>0.67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6" w:line="219" w:lineRule="auto"/>
              <w:ind w:left="769"/>
              <w:rPr>
                <w:rFonts w:ascii="宋体" w:hAnsi="宋体" w:eastAsia="宋体" w:cs="宋体"/>
                <w:sz w:val="20"/>
                <w:szCs w:val="20"/>
              </w:rPr>
            </w:pPr>
            <w:r>
              <w:rPr>
                <w:rFonts w:ascii="宋体" w:hAnsi="宋体" w:eastAsia="宋体" w:cs="宋体"/>
                <w:sz w:val="20"/>
                <w:szCs w:val="20"/>
              </w:rPr>
              <w:t>4.临时设施费</w:t>
            </w:r>
          </w:p>
        </w:tc>
        <w:tc>
          <w:tcPr>
            <w:tcW w:w="2984" w:type="dxa"/>
            <w:gridSpan w:val="4"/>
            <w:vAlign w:val="top"/>
          </w:tcPr>
          <w:p>
            <w:pPr>
              <w:spacing w:before="116" w:line="219" w:lineRule="auto"/>
              <w:ind w:left="1329"/>
              <w:rPr>
                <w:rFonts w:ascii="宋体" w:hAnsi="宋体" w:eastAsia="宋体" w:cs="宋体"/>
                <w:sz w:val="20"/>
                <w:szCs w:val="20"/>
              </w:rPr>
            </w:pPr>
            <w:r>
              <w:rPr>
                <w:rFonts w:ascii="宋体" w:hAnsi="宋体" w:eastAsia="宋体" w:cs="宋体"/>
                <w:spacing w:val="-15"/>
                <w:sz w:val="20"/>
                <w:szCs w:val="20"/>
              </w:rPr>
              <w:t>1.81</w:t>
            </w:r>
          </w:p>
        </w:tc>
        <w:tc>
          <w:tcPr>
            <w:tcW w:w="2238" w:type="dxa"/>
            <w:gridSpan w:val="3"/>
            <w:vAlign w:val="top"/>
          </w:tcPr>
          <w:p>
            <w:pPr>
              <w:spacing w:before="116" w:line="219" w:lineRule="auto"/>
              <w:ind w:left="940"/>
              <w:rPr>
                <w:rFonts w:ascii="宋体" w:hAnsi="宋体" w:eastAsia="宋体" w:cs="宋体"/>
                <w:sz w:val="20"/>
                <w:szCs w:val="20"/>
              </w:rPr>
            </w:pPr>
            <w:r>
              <w:rPr>
                <w:rFonts w:ascii="宋体" w:hAnsi="宋体" w:eastAsia="宋体" w:cs="宋体"/>
                <w:spacing w:val="-11"/>
                <w:sz w:val="20"/>
                <w:szCs w:val="20"/>
              </w:rPr>
              <w:t>0.91</w:t>
            </w:r>
          </w:p>
        </w:tc>
        <w:tc>
          <w:tcPr>
            <w:tcW w:w="1492" w:type="dxa"/>
            <w:gridSpan w:val="2"/>
            <w:vAlign w:val="top"/>
          </w:tcPr>
          <w:p>
            <w:pPr>
              <w:spacing w:before="116" w:line="219" w:lineRule="auto"/>
              <w:ind w:left="590"/>
              <w:rPr>
                <w:rFonts w:ascii="宋体" w:hAnsi="宋体" w:eastAsia="宋体" w:cs="宋体"/>
                <w:sz w:val="20"/>
                <w:szCs w:val="20"/>
              </w:rPr>
            </w:pPr>
            <w:r>
              <w:rPr>
                <w:rFonts w:ascii="宋体" w:hAnsi="宋体" w:eastAsia="宋体" w:cs="宋体"/>
                <w:spacing w:val="-16"/>
                <w:sz w:val="20"/>
                <w:szCs w:val="20"/>
              </w:rPr>
              <w:t>1.81</w:t>
            </w:r>
          </w:p>
        </w:tc>
        <w:tc>
          <w:tcPr>
            <w:tcW w:w="756" w:type="dxa"/>
            <w:tcBorders>
              <w:right w:val="single" w:color="000000" w:sz="6" w:space="0"/>
            </w:tcBorders>
            <w:vAlign w:val="top"/>
          </w:tcPr>
          <w:p>
            <w:pPr>
              <w:spacing w:before="116" w:line="219" w:lineRule="auto"/>
              <w:ind w:left="219"/>
              <w:rPr>
                <w:rFonts w:ascii="宋体" w:hAnsi="宋体" w:eastAsia="宋体" w:cs="宋体"/>
                <w:sz w:val="20"/>
                <w:szCs w:val="20"/>
              </w:rPr>
            </w:pPr>
            <w:r>
              <w:rPr>
                <w:rFonts w:ascii="宋体" w:hAnsi="宋体" w:eastAsia="宋体" w:cs="宋体"/>
                <w:spacing w:val="-15"/>
                <w:sz w:val="20"/>
                <w:szCs w:val="20"/>
              </w:rPr>
              <w:t>1.60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7" w:line="218" w:lineRule="auto"/>
              <w:ind w:left="532"/>
              <w:rPr>
                <w:rFonts w:ascii="宋体" w:hAnsi="宋体" w:eastAsia="宋体" w:cs="宋体"/>
                <w:sz w:val="20"/>
                <w:szCs w:val="20"/>
              </w:rPr>
            </w:pPr>
            <w:r>
              <w:rPr>
                <w:rFonts w:ascii="宋体" w:hAnsi="宋体" w:eastAsia="宋体" w:cs="宋体"/>
                <w:spacing w:val="9"/>
                <w:sz w:val="20"/>
                <w:szCs w:val="20"/>
              </w:rPr>
              <w:t>社会保险费</w:t>
            </w:r>
          </w:p>
        </w:tc>
        <w:tc>
          <w:tcPr>
            <w:tcW w:w="7470" w:type="dxa"/>
            <w:gridSpan w:val="10"/>
            <w:tcBorders>
              <w:right w:val="single" w:color="000000" w:sz="6" w:space="0"/>
            </w:tcBorders>
            <w:vAlign w:val="top"/>
          </w:tcPr>
          <w:p>
            <w:pPr>
              <w:spacing w:before="117" w:line="218" w:lineRule="auto"/>
              <w:ind w:left="3570"/>
              <w:rPr>
                <w:rFonts w:ascii="宋体" w:hAnsi="宋体" w:eastAsia="宋体" w:cs="宋体"/>
                <w:sz w:val="20"/>
                <w:szCs w:val="20"/>
              </w:rPr>
            </w:pPr>
            <w:r>
              <w:rPr>
                <w:rFonts w:ascii="宋体" w:hAnsi="宋体" w:eastAsia="宋体" w:cs="宋体"/>
                <w:spacing w:val="-15"/>
                <w:sz w:val="20"/>
                <w:szCs w:val="20"/>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8" w:line="217" w:lineRule="auto"/>
              <w:ind w:left="219"/>
              <w:rPr>
                <w:rFonts w:ascii="宋体" w:hAnsi="宋体" w:eastAsia="宋体" w:cs="宋体"/>
                <w:sz w:val="20"/>
                <w:szCs w:val="20"/>
              </w:rPr>
            </w:pPr>
            <w:r>
              <w:rPr>
                <w:rFonts w:ascii="宋体" w:hAnsi="宋体" w:eastAsia="宋体" w:cs="宋体"/>
                <w:spacing w:val="9"/>
                <w:sz w:val="20"/>
                <w:szCs w:val="20"/>
              </w:rPr>
              <w:t>建设项目工伤保险</w:t>
            </w:r>
          </w:p>
        </w:tc>
        <w:tc>
          <w:tcPr>
            <w:tcW w:w="7470" w:type="dxa"/>
            <w:gridSpan w:val="10"/>
            <w:tcBorders>
              <w:right w:val="single" w:color="000000" w:sz="6" w:space="0"/>
            </w:tcBorders>
            <w:vAlign w:val="top"/>
          </w:tcPr>
          <w:p>
            <w:pPr>
              <w:spacing w:before="118" w:line="217" w:lineRule="auto"/>
              <w:ind w:left="3500"/>
              <w:rPr>
                <w:rFonts w:ascii="宋体" w:hAnsi="宋体" w:eastAsia="宋体" w:cs="宋体"/>
                <w:sz w:val="20"/>
                <w:szCs w:val="20"/>
              </w:rPr>
            </w:pPr>
            <w:r>
              <w:rPr>
                <w:rFonts w:ascii="宋体" w:hAnsi="宋体" w:eastAsia="宋体" w:cs="宋体"/>
                <w:spacing w:val="-8"/>
                <w:sz w:val="20"/>
                <w:szCs w:val="20"/>
              </w:rPr>
              <w:t>0.105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restart"/>
            <w:tcBorders>
              <w:left w:val="single" w:color="000000" w:sz="6" w:space="0"/>
              <w:bottom w:val="nil"/>
            </w:tcBorders>
            <w:vAlign w:val="top"/>
          </w:tcPr>
          <w:p>
            <w:pPr>
              <w:pStyle w:val="6"/>
              <w:spacing w:line="247" w:lineRule="auto"/>
            </w:pPr>
          </w:p>
          <w:p>
            <w:pPr>
              <w:spacing w:before="65" w:line="337" w:lineRule="auto"/>
              <w:ind w:left="474" w:right="161" w:hanging="320"/>
              <w:rPr>
                <w:rFonts w:ascii="宋体" w:hAnsi="宋体" w:eastAsia="宋体" w:cs="宋体"/>
                <w:sz w:val="20"/>
                <w:szCs w:val="20"/>
              </w:rPr>
            </w:pPr>
            <w:r>
              <w:rPr>
                <w:rFonts w:ascii="宋体" w:hAnsi="宋体" w:eastAsia="宋体" w:cs="宋体"/>
                <w:spacing w:val="8"/>
                <w:sz w:val="20"/>
                <w:szCs w:val="20"/>
              </w:rPr>
              <w:t>优质优价</w:t>
            </w:r>
            <w:r>
              <w:rPr>
                <w:rFonts w:ascii="宋体" w:hAnsi="宋体" w:eastAsia="宋体" w:cs="宋体"/>
                <w:sz w:val="20"/>
                <w:szCs w:val="20"/>
              </w:rPr>
              <w:t>费</w:t>
            </w:r>
          </w:p>
        </w:tc>
        <w:tc>
          <w:tcPr>
            <w:tcW w:w="965" w:type="dxa"/>
            <w:vAlign w:val="top"/>
          </w:tcPr>
          <w:p>
            <w:pPr>
              <w:spacing w:before="124" w:line="212" w:lineRule="auto"/>
              <w:ind w:left="184"/>
              <w:rPr>
                <w:rFonts w:ascii="宋体" w:hAnsi="宋体" w:eastAsia="宋体" w:cs="宋体"/>
                <w:sz w:val="20"/>
                <w:szCs w:val="20"/>
              </w:rPr>
            </w:pPr>
            <w:r>
              <w:rPr>
                <w:rFonts w:ascii="宋体" w:hAnsi="宋体" w:eastAsia="宋体" w:cs="宋体"/>
                <w:spacing w:val="1"/>
                <w:sz w:val="20"/>
                <w:szCs w:val="20"/>
              </w:rPr>
              <w:t>国家级</w:t>
            </w:r>
          </w:p>
        </w:tc>
        <w:tc>
          <w:tcPr>
            <w:tcW w:w="7470" w:type="dxa"/>
            <w:gridSpan w:val="10"/>
            <w:tcBorders>
              <w:right w:val="single" w:color="000000" w:sz="6" w:space="0"/>
            </w:tcBorders>
            <w:vAlign w:val="top"/>
          </w:tcPr>
          <w:p>
            <w:pPr>
              <w:spacing w:before="118" w:line="217" w:lineRule="auto"/>
              <w:ind w:left="3570"/>
              <w:rPr>
                <w:rFonts w:ascii="宋体" w:hAnsi="宋体" w:eastAsia="宋体" w:cs="宋体"/>
                <w:sz w:val="20"/>
                <w:szCs w:val="20"/>
              </w:rPr>
            </w:pPr>
            <w:r>
              <w:rPr>
                <w:rFonts w:ascii="宋体" w:hAnsi="宋体" w:eastAsia="宋体" w:cs="宋体"/>
                <w:spacing w:val="-15"/>
                <w:sz w:val="20"/>
                <w:szCs w:val="20"/>
              </w:rPr>
              <w:t>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bottom w:val="nil"/>
            </w:tcBorders>
            <w:vAlign w:val="top"/>
          </w:tcPr>
          <w:p>
            <w:pPr>
              <w:pStyle w:val="6"/>
            </w:pPr>
          </w:p>
        </w:tc>
        <w:tc>
          <w:tcPr>
            <w:tcW w:w="965" w:type="dxa"/>
            <w:vAlign w:val="top"/>
          </w:tcPr>
          <w:p>
            <w:pPr>
              <w:spacing w:before="127" w:line="209" w:lineRule="auto"/>
              <w:ind w:left="270"/>
              <w:rPr>
                <w:rFonts w:ascii="宋体" w:hAnsi="宋体" w:eastAsia="宋体" w:cs="宋体"/>
                <w:sz w:val="20"/>
                <w:szCs w:val="20"/>
              </w:rPr>
            </w:pPr>
            <w:r>
              <w:rPr>
                <w:rFonts w:ascii="宋体" w:hAnsi="宋体" w:eastAsia="宋体" w:cs="宋体"/>
                <w:spacing w:val="6"/>
                <w:sz w:val="20"/>
                <w:szCs w:val="20"/>
              </w:rPr>
              <w:t>省级</w:t>
            </w:r>
          </w:p>
        </w:tc>
        <w:tc>
          <w:tcPr>
            <w:tcW w:w="7470" w:type="dxa"/>
            <w:gridSpan w:val="10"/>
            <w:tcBorders>
              <w:right w:val="single" w:color="000000" w:sz="6" w:space="0"/>
            </w:tcBorders>
            <w:vAlign w:val="top"/>
          </w:tcPr>
          <w:p>
            <w:pPr>
              <w:spacing w:before="119" w:line="216" w:lineRule="auto"/>
              <w:ind w:left="3570"/>
              <w:rPr>
                <w:rFonts w:ascii="宋体" w:hAnsi="宋体" w:eastAsia="宋体" w:cs="宋体"/>
                <w:sz w:val="20"/>
                <w:szCs w:val="20"/>
              </w:rPr>
            </w:pPr>
            <w:r>
              <w:rPr>
                <w:rFonts w:ascii="宋体" w:hAnsi="宋体" w:eastAsia="宋体" w:cs="宋体"/>
                <w:spacing w:val="-15"/>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tcBorders>
            <w:vAlign w:val="top"/>
          </w:tcPr>
          <w:p>
            <w:pPr>
              <w:pStyle w:val="6"/>
            </w:pPr>
          </w:p>
        </w:tc>
        <w:tc>
          <w:tcPr>
            <w:tcW w:w="965" w:type="dxa"/>
            <w:vAlign w:val="top"/>
          </w:tcPr>
          <w:p>
            <w:pPr>
              <w:spacing w:before="128" w:line="208" w:lineRule="auto"/>
              <w:ind w:left="270"/>
              <w:rPr>
                <w:rFonts w:ascii="宋体" w:hAnsi="宋体" w:eastAsia="宋体" w:cs="宋体"/>
                <w:sz w:val="20"/>
                <w:szCs w:val="20"/>
              </w:rPr>
            </w:pPr>
            <w:r>
              <w:rPr>
                <w:rFonts w:ascii="宋体" w:hAnsi="宋体" w:eastAsia="宋体" w:cs="宋体"/>
                <w:spacing w:val="6"/>
                <w:sz w:val="20"/>
                <w:szCs w:val="20"/>
              </w:rPr>
              <w:t>市级</w:t>
            </w:r>
          </w:p>
        </w:tc>
        <w:tc>
          <w:tcPr>
            <w:tcW w:w="7470" w:type="dxa"/>
            <w:gridSpan w:val="10"/>
            <w:tcBorders>
              <w:right w:val="single" w:color="000000" w:sz="6" w:space="0"/>
            </w:tcBorders>
            <w:vAlign w:val="top"/>
          </w:tcPr>
          <w:p>
            <w:pPr>
              <w:spacing w:before="122" w:line="214" w:lineRule="auto"/>
              <w:ind w:left="3552"/>
              <w:rPr>
                <w:rFonts w:ascii="宋体" w:hAnsi="宋体" w:eastAsia="宋体" w:cs="宋体"/>
                <w:sz w:val="20"/>
                <w:szCs w:val="20"/>
              </w:rPr>
            </w:pPr>
            <w:r>
              <w:rPr>
                <w:rFonts w:ascii="宋体" w:hAnsi="宋体" w:eastAsia="宋体" w:cs="宋体"/>
                <w:spacing w:val="-11"/>
                <w:sz w:val="20"/>
                <w:szCs w:val="20"/>
              </w:rPr>
              <w:t>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2125" w:type="dxa"/>
            <w:gridSpan w:val="2"/>
            <w:tcBorders>
              <w:left w:val="single" w:color="000000" w:sz="6" w:space="0"/>
              <w:bottom w:val="single" w:color="000000" w:sz="6" w:space="0"/>
            </w:tcBorders>
            <w:vAlign w:val="top"/>
          </w:tcPr>
          <w:p>
            <w:pPr>
              <w:spacing w:before="128" w:line="219" w:lineRule="auto"/>
              <w:ind w:left="532"/>
              <w:rPr>
                <w:rFonts w:ascii="宋体" w:hAnsi="宋体" w:eastAsia="宋体" w:cs="宋体"/>
                <w:sz w:val="20"/>
                <w:szCs w:val="20"/>
              </w:rPr>
            </w:pPr>
            <w:r>
              <w:rPr>
                <w:rFonts w:ascii="宋体" w:hAnsi="宋体" w:eastAsia="宋体" w:cs="宋体"/>
                <w:spacing w:val="9"/>
                <w:sz w:val="20"/>
                <w:szCs w:val="20"/>
              </w:rPr>
              <w:t>住房公积金</w:t>
            </w:r>
          </w:p>
        </w:tc>
        <w:tc>
          <w:tcPr>
            <w:tcW w:w="7470" w:type="dxa"/>
            <w:gridSpan w:val="10"/>
            <w:tcBorders>
              <w:bottom w:val="single" w:color="000000" w:sz="6" w:space="0"/>
              <w:right w:val="single" w:color="000000" w:sz="6" w:space="0"/>
            </w:tcBorders>
            <w:vAlign w:val="top"/>
          </w:tcPr>
          <w:p>
            <w:pPr>
              <w:spacing w:before="128" w:line="220" w:lineRule="auto"/>
              <w:ind w:left="104"/>
              <w:rPr>
                <w:rFonts w:ascii="宋体" w:hAnsi="宋体" w:eastAsia="宋体" w:cs="宋体"/>
                <w:sz w:val="20"/>
                <w:szCs w:val="20"/>
              </w:rPr>
            </w:pPr>
            <w:r>
              <w:rPr>
                <w:rFonts w:ascii="宋体" w:hAnsi="宋体" w:eastAsia="宋体" w:cs="宋体"/>
                <w:spacing w:val="9"/>
                <w:sz w:val="20"/>
                <w:szCs w:val="20"/>
              </w:rPr>
              <w:t>按工程所在地设区市相关规定计算</w:t>
            </w:r>
          </w:p>
        </w:tc>
      </w:tr>
    </w:tbl>
    <w:p>
      <w:pPr>
        <w:spacing w:before="108" w:line="326" w:lineRule="auto"/>
        <w:ind w:left="274" w:right="313" w:firstLine="4"/>
        <w:rPr>
          <w:rFonts w:ascii="宋体" w:hAnsi="宋体" w:eastAsia="宋体" w:cs="宋体"/>
          <w:sz w:val="20"/>
          <w:szCs w:val="20"/>
        </w:rPr>
      </w:pPr>
      <w:r>
        <w:rPr>
          <w:rFonts w:ascii="宋体" w:hAnsi="宋体" w:eastAsia="宋体" w:cs="宋体"/>
          <w:spacing w:val="10"/>
          <w:sz w:val="20"/>
          <w:szCs w:val="20"/>
        </w:rPr>
        <w:t>注：表中安全施工费费率不包括安全生产责任保险费率。安全生产责任</w:t>
      </w:r>
      <w:r>
        <w:rPr>
          <w:rFonts w:ascii="宋体" w:hAnsi="宋体" w:eastAsia="宋体" w:cs="宋体"/>
          <w:spacing w:val="9"/>
          <w:sz w:val="20"/>
          <w:szCs w:val="20"/>
        </w:rPr>
        <w:t>保险费用在招投标和合同签订阶段可暂按</w:t>
      </w:r>
      <w:r>
        <w:rPr>
          <w:rFonts w:ascii="宋体" w:hAnsi="宋体" w:eastAsia="宋体" w:cs="宋体"/>
          <w:spacing w:val="-41"/>
          <w:sz w:val="20"/>
          <w:szCs w:val="20"/>
        </w:rPr>
        <w:t xml:space="preserve"> </w:t>
      </w:r>
      <w:r>
        <w:rPr>
          <w:rFonts w:ascii="宋体" w:hAnsi="宋体" w:eastAsia="宋体" w:cs="宋体"/>
          <w:spacing w:val="9"/>
          <w:sz w:val="20"/>
          <w:szCs w:val="20"/>
        </w:rPr>
        <w:t>0.15%计列，工程结算时按实际购买保险金额</w:t>
      </w:r>
      <w:r>
        <w:rPr>
          <w:rFonts w:ascii="宋体" w:hAnsi="宋体" w:eastAsia="宋体" w:cs="宋体"/>
          <w:spacing w:val="8"/>
          <w:sz w:val="20"/>
          <w:szCs w:val="20"/>
        </w:rPr>
        <w:t>计入。</w:t>
      </w:r>
    </w:p>
    <w:p>
      <w:pPr>
        <w:spacing w:line="326" w:lineRule="auto"/>
        <w:rPr>
          <w:rFonts w:ascii="宋体" w:hAnsi="宋体" w:eastAsia="宋体" w:cs="宋体"/>
          <w:sz w:val="20"/>
          <w:szCs w:val="20"/>
        </w:rPr>
        <w:sectPr>
          <w:footerReference r:id="rId124" w:type="default"/>
          <w:pgSz w:w="11906" w:h="16839"/>
          <w:pgMar w:top="400" w:right="1147" w:bottom="1212" w:left="1146" w:header="0" w:footer="897" w:gutter="0"/>
        </w:sect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2"/>
        <w:spacing w:before="86" w:line="209" w:lineRule="auto"/>
        <w:ind w:left="4042"/>
        <w:rPr>
          <w:sz w:val="20"/>
          <w:szCs w:val="20"/>
        </w:rPr>
      </w:pPr>
      <w:r>
        <w:rPr>
          <w:spacing w:val="6"/>
          <w:sz w:val="20"/>
          <w:szCs w:val="20"/>
        </w:rPr>
        <w:t>2.</w:t>
      </w:r>
      <w:r>
        <w:rPr>
          <w:spacing w:val="56"/>
          <w:w w:val="101"/>
          <w:sz w:val="20"/>
          <w:szCs w:val="20"/>
        </w:rPr>
        <w:t xml:space="preserve"> </w:t>
      </w:r>
      <w:r>
        <w:rPr>
          <w:spacing w:val="6"/>
          <w:sz w:val="20"/>
          <w:szCs w:val="20"/>
        </w:rPr>
        <w:t>简易计税法下</w:t>
      </w:r>
    </w:p>
    <w:p>
      <w:pPr>
        <w:spacing w:before="68" w:line="233" w:lineRule="auto"/>
        <w:ind w:left="8539"/>
        <w:rPr>
          <w:rFonts w:ascii="宋体" w:hAnsi="宋体" w:eastAsia="宋体" w:cs="宋体"/>
          <w:sz w:val="20"/>
          <w:szCs w:val="20"/>
        </w:rPr>
      </w:pPr>
      <w:r>
        <w:rPr>
          <w:rFonts w:ascii="宋体" w:hAnsi="宋体" w:eastAsia="宋体" w:cs="宋体"/>
          <w:spacing w:val="24"/>
          <w:sz w:val="20"/>
          <w:szCs w:val="20"/>
        </w:rPr>
        <w:t>单位：%</w:t>
      </w:r>
    </w:p>
    <w:tbl>
      <w:tblPr>
        <w:tblStyle w:val="5"/>
        <w:tblW w:w="959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965"/>
        <w:gridCol w:w="746"/>
        <w:gridCol w:w="746"/>
        <w:gridCol w:w="746"/>
        <w:gridCol w:w="746"/>
        <w:gridCol w:w="746"/>
        <w:gridCol w:w="746"/>
        <w:gridCol w:w="746"/>
        <w:gridCol w:w="746"/>
        <w:gridCol w:w="746"/>
        <w:gridCol w:w="7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7" w:hRule="atLeast"/>
        </w:trPr>
        <w:tc>
          <w:tcPr>
            <w:tcW w:w="2125" w:type="dxa"/>
            <w:gridSpan w:val="2"/>
            <w:tcBorders>
              <w:top w:val="single" w:color="000000" w:sz="6" w:space="0"/>
              <w:left w:val="single" w:color="000000" w:sz="6" w:space="0"/>
              <w:tl2br w:val="single" w:color="000000" w:sz="4" w:space="0"/>
            </w:tcBorders>
            <w:vAlign w:val="top"/>
          </w:tcPr>
          <w:p>
            <w:pPr>
              <w:spacing w:before="115" w:line="223" w:lineRule="auto"/>
              <w:ind w:left="1162"/>
              <w:rPr>
                <w:rFonts w:ascii="宋体" w:hAnsi="宋体" w:eastAsia="宋体" w:cs="宋体"/>
                <w:sz w:val="20"/>
                <w:szCs w:val="20"/>
              </w:rPr>
            </w:pPr>
            <w:r>
              <w:rPr>
                <w:rFonts w:ascii="宋体" w:hAnsi="宋体" w:eastAsia="宋体" w:cs="宋体"/>
                <w:spacing w:val="8"/>
                <w:sz w:val="20"/>
                <w:szCs w:val="20"/>
              </w:rPr>
              <w:t>专业名称</w:t>
            </w:r>
          </w:p>
          <w:p>
            <w:pPr>
              <w:pStyle w:val="6"/>
              <w:spacing w:line="414" w:lineRule="auto"/>
            </w:pPr>
          </w:p>
          <w:p>
            <w:pPr>
              <w:spacing w:before="65" w:line="219" w:lineRule="auto"/>
              <w:ind w:left="113"/>
              <w:rPr>
                <w:rFonts w:ascii="宋体" w:hAnsi="宋体" w:eastAsia="宋体" w:cs="宋体"/>
                <w:sz w:val="20"/>
                <w:szCs w:val="20"/>
              </w:rPr>
            </w:pPr>
            <w:r>
              <w:rPr>
                <w:rFonts w:ascii="宋体" w:hAnsi="宋体" w:eastAsia="宋体" w:cs="宋体"/>
                <w:spacing w:val="6"/>
                <w:sz w:val="20"/>
                <w:szCs w:val="20"/>
              </w:rPr>
              <w:t>费用名称</w:t>
            </w:r>
          </w:p>
        </w:tc>
        <w:tc>
          <w:tcPr>
            <w:tcW w:w="746" w:type="dxa"/>
            <w:tcBorders>
              <w:top w:val="single" w:color="000000" w:sz="6" w:space="0"/>
            </w:tcBorders>
            <w:vAlign w:val="top"/>
          </w:tcPr>
          <w:p>
            <w:pPr>
              <w:pStyle w:val="6"/>
              <w:spacing w:line="242" w:lineRule="auto"/>
            </w:pPr>
          </w:p>
          <w:p>
            <w:pPr>
              <w:spacing w:before="65" w:line="283" w:lineRule="auto"/>
              <w:ind w:left="161" w:right="166"/>
              <w:rPr>
                <w:rFonts w:ascii="宋体" w:hAnsi="宋体" w:eastAsia="宋体" w:cs="宋体"/>
                <w:sz w:val="20"/>
                <w:szCs w:val="20"/>
              </w:rPr>
            </w:pPr>
            <w:r>
              <w:rPr>
                <w:rFonts w:ascii="宋体" w:hAnsi="宋体" w:eastAsia="宋体" w:cs="宋体"/>
                <w:spacing w:val="6"/>
                <w:sz w:val="20"/>
                <w:szCs w:val="20"/>
              </w:rPr>
              <w:t>道路工程</w:t>
            </w:r>
          </w:p>
        </w:tc>
        <w:tc>
          <w:tcPr>
            <w:tcW w:w="746" w:type="dxa"/>
            <w:tcBorders>
              <w:top w:val="single" w:color="000000" w:sz="6" w:space="0"/>
            </w:tcBorders>
            <w:vAlign w:val="top"/>
          </w:tcPr>
          <w:p>
            <w:pPr>
              <w:pStyle w:val="6"/>
              <w:spacing w:line="243" w:lineRule="auto"/>
            </w:pPr>
          </w:p>
          <w:p>
            <w:pPr>
              <w:spacing w:before="65" w:line="284" w:lineRule="auto"/>
              <w:ind w:left="164" w:right="163"/>
              <w:rPr>
                <w:rFonts w:ascii="宋体" w:hAnsi="宋体" w:eastAsia="宋体" w:cs="宋体"/>
                <w:sz w:val="20"/>
                <w:szCs w:val="20"/>
              </w:rPr>
            </w:pPr>
            <w:r>
              <w:rPr>
                <w:rFonts w:ascii="宋体" w:hAnsi="宋体" w:eastAsia="宋体" w:cs="宋体"/>
                <w:spacing w:val="6"/>
                <w:sz w:val="20"/>
                <w:szCs w:val="20"/>
              </w:rPr>
              <w:t>桥涵工程</w:t>
            </w:r>
          </w:p>
        </w:tc>
        <w:tc>
          <w:tcPr>
            <w:tcW w:w="746" w:type="dxa"/>
            <w:tcBorders>
              <w:top w:val="single" w:color="000000" w:sz="6" w:space="0"/>
            </w:tcBorders>
            <w:vAlign w:val="top"/>
          </w:tcPr>
          <w:p>
            <w:pPr>
              <w:pStyle w:val="6"/>
              <w:spacing w:line="242" w:lineRule="auto"/>
            </w:pPr>
          </w:p>
          <w:p>
            <w:pPr>
              <w:spacing w:before="65" w:line="284" w:lineRule="auto"/>
              <w:ind w:left="164" w:right="163" w:firstLine="10"/>
              <w:rPr>
                <w:rFonts w:ascii="宋体" w:hAnsi="宋体" w:eastAsia="宋体" w:cs="宋体"/>
                <w:sz w:val="20"/>
                <w:szCs w:val="20"/>
              </w:rPr>
            </w:pPr>
            <w:r>
              <w:rPr>
                <w:rFonts w:ascii="宋体" w:hAnsi="宋体" w:eastAsia="宋体" w:cs="宋体"/>
                <w:spacing w:val="1"/>
                <w:sz w:val="20"/>
                <w:szCs w:val="20"/>
              </w:rPr>
              <w:t>隧道</w:t>
            </w:r>
            <w:r>
              <w:rPr>
                <w:rFonts w:ascii="宋体" w:hAnsi="宋体" w:eastAsia="宋体" w:cs="宋体"/>
                <w:spacing w:val="6"/>
                <w:sz w:val="20"/>
                <w:szCs w:val="20"/>
              </w:rPr>
              <w:t>工程</w:t>
            </w:r>
          </w:p>
        </w:tc>
        <w:tc>
          <w:tcPr>
            <w:tcW w:w="746" w:type="dxa"/>
            <w:tcBorders>
              <w:top w:val="single" w:color="000000" w:sz="6" w:space="0"/>
            </w:tcBorders>
            <w:vAlign w:val="top"/>
          </w:tcPr>
          <w:p>
            <w:pPr>
              <w:spacing w:before="295" w:line="289" w:lineRule="auto"/>
              <w:ind w:left="164" w:right="162"/>
              <w:rPr>
                <w:rFonts w:ascii="宋体" w:hAnsi="宋体" w:eastAsia="宋体" w:cs="宋体"/>
                <w:sz w:val="20"/>
                <w:szCs w:val="20"/>
              </w:rPr>
            </w:pPr>
            <w:r>
              <w:rPr>
                <w:rFonts w:ascii="宋体" w:hAnsi="宋体" w:eastAsia="宋体" w:cs="宋体"/>
                <w:spacing w:val="6"/>
                <w:sz w:val="20"/>
                <w:szCs w:val="20"/>
              </w:rPr>
              <w:t>排水工程</w:t>
            </w:r>
          </w:p>
        </w:tc>
        <w:tc>
          <w:tcPr>
            <w:tcW w:w="746" w:type="dxa"/>
            <w:tcBorders>
              <w:top w:val="single" w:color="000000" w:sz="6" w:space="0"/>
            </w:tcBorders>
            <w:vAlign w:val="top"/>
          </w:tcPr>
          <w:p>
            <w:pPr>
              <w:pStyle w:val="6"/>
              <w:spacing w:line="242" w:lineRule="auto"/>
            </w:pPr>
          </w:p>
          <w:p>
            <w:pPr>
              <w:spacing w:before="65" w:line="283" w:lineRule="auto"/>
              <w:ind w:left="165" w:right="162" w:firstLine="5"/>
              <w:rPr>
                <w:rFonts w:ascii="宋体" w:hAnsi="宋体" w:eastAsia="宋体" w:cs="宋体"/>
                <w:sz w:val="20"/>
                <w:szCs w:val="20"/>
              </w:rPr>
            </w:pPr>
            <w:r>
              <w:rPr>
                <w:rFonts w:ascii="宋体" w:hAnsi="宋体" w:eastAsia="宋体" w:cs="宋体"/>
                <w:spacing w:val="3"/>
                <w:sz w:val="20"/>
                <w:szCs w:val="20"/>
              </w:rPr>
              <w:t>给水</w:t>
            </w:r>
            <w:r>
              <w:rPr>
                <w:rFonts w:ascii="宋体" w:hAnsi="宋体" w:eastAsia="宋体" w:cs="宋体"/>
                <w:spacing w:val="6"/>
                <w:sz w:val="20"/>
                <w:szCs w:val="20"/>
              </w:rPr>
              <w:t>工程</w:t>
            </w:r>
          </w:p>
        </w:tc>
        <w:tc>
          <w:tcPr>
            <w:tcW w:w="746" w:type="dxa"/>
            <w:tcBorders>
              <w:top w:val="single" w:color="000000" w:sz="6" w:space="0"/>
            </w:tcBorders>
            <w:vAlign w:val="top"/>
          </w:tcPr>
          <w:p>
            <w:pPr>
              <w:pStyle w:val="6"/>
              <w:spacing w:line="242" w:lineRule="auto"/>
            </w:pPr>
          </w:p>
          <w:p>
            <w:pPr>
              <w:spacing w:before="65" w:line="282" w:lineRule="auto"/>
              <w:ind w:left="168" w:right="159" w:hanging="3"/>
              <w:rPr>
                <w:rFonts w:ascii="宋体" w:hAnsi="宋体" w:eastAsia="宋体" w:cs="宋体"/>
                <w:sz w:val="20"/>
                <w:szCs w:val="20"/>
              </w:rPr>
            </w:pPr>
            <w:r>
              <w:rPr>
                <w:rFonts w:ascii="宋体" w:hAnsi="宋体" w:eastAsia="宋体" w:cs="宋体"/>
                <w:spacing w:val="8"/>
                <w:sz w:val="20"/>
                <w:szCs w:val="20"/>
              </w:rPr>
              <w:t>燃气</w:t>
            </w:r>
            <w:r>
              <w:rPr>
                <w:rFonts w:ascii="宋体" w:hAnsi="宋体" w:eastAsia="宋体" w:cs="宋体"/>
                <w:spacing w:val="6"/>
                <w:sz w:val="20"/>
                <w:szCs w:val="20"/>
              </w:rPr>
              <w:t>工程</w:t>
            </w:r>
          </w:p>
        </w:tc>
        <w:tc>
          <w:tcPr>
            <w:tcW w:w="746" w:type="dxa"/>
            <w:tcBorders>
              <w:top w:val="single" w:color="000000" w:sz="6" w:space="0"/>
            </w:tcBorders>
            <w:vAlign w:val="top"/>
          </w:tcPr>
          <w:p>
            <w:pPr>
              <w:spacing w:before="304" w:line="270" w:lineRule="auto"/>
              <w:ind w:left="168" w:right="159" w:hanging="1"/>
              <w:rPr>
                <w:rFonts w:ascii="宋体" w:hAnsi="宋体" w:eastAsia="宋体" w:cs="宋体"/>
                <w:sz w:val="20"/>
                <w:szCs w:val="20"/>
              </w:rPr>
            </w:pPr>
            <w:r>
              <w:rPr>
                <w:rFonts w:ascii="宋体" w:hAnsi="宋体" w:eastAsia="宋体" w:cs="宋体"/>
                <w:spacing w:val="7"/>
                <w:sz w:val="20"/>
                <w:szCs w:val="20"/>
              </w:rPr>
              <w:t>供热</w:t>
            </w:r>
            <w:r>
              <w:rPr>
                <w:rFonts w:ascii="宋体" w:hAnsi="宋体" w:eastAsia="宋体" w:cs="宋体"/>
                <w:spacing w:val="6"/>
                <w:sz w:val="20"/>
                <w:szCs w:val="20"/>
              </w:rPr>
              <w:t>工程</w:t>
            </w:r>
          </w:p>
        </w:tc>
        <w:tc>
          <w:tcPr>
            <w:tcW w:w="746" w:type="dxa"/>
            <w:tcBorders>
              <w:top w:val="single" w:color="000000" w:sz="6" w:space="0"/>
            </w:tcBorders>
            <w:vAlign w:val="top"/>
          </w:tcPr>
          <w:p>
            <w:pPr>
              <w:spacing w:before="160" w:line="218" w:lineRule="auto"/>
              <w:ind w:left="167"/>
              <w:rPr>
                <w:rFonts w:ascii="宋体" w:hAnsi="宋体" w:eastAsia="宋体" w:cs="宋体"/>
                <w:sz w:val="20"/>
                <w:szCs w:val="20"/>
              </w:rPr>
            </w:pPr>
            <w:r>
              <w:rPr>
                <w:rFonts w:ascii="宋体" w:hAnsi="宋体" w:eastAsia="宋体" w:cs="宋体"/>
                <w:spacing w:val="7"/>
                <w:sz w:val="20"/>
                <w:szCs w:val="20"/>
              </w:rPr>
              <w:t>水处</w:t>
            </w:r>
          </w:p>
          <w:p>
            <w:pPr>
              <w:spacing w:before="75" w:line="279" w:lineRule="auto"/>
              <w:ind w:left="274" w:right="158" w:hanging="105"/>
              <w:rPr>
                <w:rFonts w:ascii="宋体" w:hAnsi="宋体" w:eastAsia="宋体" w:cs="宋体"/>
                <w:sz w:val="20"/>
                <w:szCs w:val="20"/>
              </w:rPr>
            </w:pPr>
            <w:r>
              <w:rPr>
                <w:rFonts w:ascii="宋体" w:hAnsi="宋体" w:eastAsia="宋体" w:cs="宋体"/>
                <w:spacing w:val="6"/>
                <w:sz w:val="20"/>
                <w:szCs w:val="20"/>
              </w:rPr>
              <w:t>理工</w:t>
            </w:r>
            <w:r>
              <w:rPr>
                <w:rFonts w:ascii="宋体" w:hAnsi="宋体" w:eastAsia="宋体" w:cs="宋体"/>
                <w:spacing w:val="4"/>
                <w:sz w:val="20"/>
                <w:szCs w:val="20"/>
              </w:rPr>
              <w:t>程</w:t>
            </w:r>
          </w:p>
        </w:tc>
        <w:tc>
          <w:tcPr>
            <w:tcW w:w="746" w:type="dxa"/>
            <w:tcBorders>
              <w:top w:val="single" w:color="000000" w:sz="6" w:space="0"/>
            </w:tcBorders>
            <w:vAlign w:val="top"/>
          </w:tcPr>
          <w:p>
            <w:pPr>
              <w:spacing w:before="163" w:line="214" w:lineRule="auto"/>
              <w:ind w:left="171"/>
              <w:rPr>
                <w:rFonts w:ascii="宋体" w:hAnsi="宋体" w:eastAsia="宋体" w:cs="宋体"/>
                <w:sz w:val="20"/>
                <w:szCs w:val="20"/>
              </w:rPr>
            </w:pPr>
            <w:r>
              <w:rPr>
                <w:rFonts w:ascii="宋体" w:hAnsi="宋体" w:eastAsia="宋体" w:cs="宋体"/>
                <w:spacing w:val="5"/>
                <w:sz w:val="20"/>
                <w:szCs w:val="20"/>
              </w:rPr>
              <w:t>垃圾</w:t>
            </w:r>
          </w:p>
          <w:p>
            <w:pPr>
              <w:spacing w:before="68" w:line="216" w:lineRule="auto"/>
              <w:ind w:left="168"/>
              <w:rPr>
                <w:rFonts w:ascii="宋体" w:hAnsi="宋体" w:eastAsia="宋体" w:cs="宋体"/>
                <w:sz w:val="20"/>
                <w:szCs w:val="20"/>
              </w:rPr>
            </w:pPr>
            <w:r>
              <w:rPr>
                <w:rFonts w:ascii="宋体" w:hAnsi="宋体" w:eastAsia="宋体" w:cs="宋体"/>
                <w:spacing w:val="6"/>
                <w:sz w:val="20"/>
                <w:szCs w:val="20"/>
              </w:rPr>
              <w:t>处理</w:t>
            </w:r>
          </w:p>
          <w:p>
            <w:pPr>
              <w:spacing w:before="72" w:line="209" w:lineRule="auto"/>
              <w:ind w:left="169"/>
              <w:rPr>
                <w:rFonts w:ascii="宋体" w:hAnsi="宋体" w:eastAsia="宋体" w:cs="宋体"/>
                <w:sz w:val="20"/>
                <w:szCs w:val="20"/>
              </w:rPr>
            </w:pPr>
            <w:r>
              <w:rPr>
                <w:rFonts w:ascii="宋体" w:hAnsi="宋体" w:eastAsia="宋体" w:cs="宋体"/>
                <w:spacing w:val="6"/>
                <w:sz w:val="20"/>
                <w:szCs w:val="20"/>
              </w:rPr>
              <w:t>工程</w:t>
            </w:r>
          </w:p>
        </w:tc>
        <w:tc>
          <w:tcPr>
            <w:tcW w:w="756" w:type="dxa"/>
            <w:tcBorders>
              <w:top w:val="single" w:color="000000" w:sz="6" w:space="0"/>
              <w:right w:val="single" w:color="000000" w:sz="6" w:space="0"/>
            </w:tcBorders>
            <w:vAlign w:val="top"/>
          </w:tcPr>
          <w:p>
            <w:pPr>
              <w:pStyle w:val="6"/>
              <w:spacing w:line="242" w:lineRule="auto"/>
            </w:pPr>
          </w:p>
          <w:p>
            <w:pPr>
              <w:spacing w:before="65" w:line="283" w:lineRule="auto"/>
              <w:ind w:left="172" w:right="160"/>
              <w:rPr>
                <w:rFonts w:ascii="宋体" w:hAnsi="宋体" w:eastAsia="宋体" w:cs="宋体"/>
                <w:sz w:val="20"/>
                <w:szCs w:val="20"/>
              </w:rPr>
            </w:pPr>
            <w:r>
              <w:rPr>
                <w:rFonts w:ascii="宋体" w:hAnsi="宋体" w:eastAsia="宋体" w:cs="宋体"/>
                <w:spacing w:val="6"/>
                <w:sz w:val="20"/>
                <w:szCs w:val="20"/>
              </w:rPr>
              <w:t>路灯工程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2125" w:type="dxa"/>
            <w:gridSpan w:val="2"/>
            <w:tcBorders>
              <w:left w:val="single" w:color="000000" w:sz="6" w:space="0"/>
            </w:tcBorders>
            <w:vAlign w:val="top"/>
          </w:tcPr>
          <w:p>
            <w:pPr>
              <w:spacing w:before="116" w:line="219" w:lineRule="auto"/>
              <w:ind w:left="323"/>
              <w:rPr>
                <w:rFonts w:ascii="宋体" w:hAnsi="宋体" w:eastAsia="宋体" w:cs="宋体"/>
                <w:sz w:val="20"/>
                <w:szCs w:val="20"/>
              </w:rPr>
            </w:pPr>
            <w:r>
              <w:rPr>
                <w:rFonts w:ascii="宋体" w:hAnsi="宋体" w:eastAsia="宋体" w:cs="宋体"/>
                <w:spacing w:val="9"/>
                <w:sz w:val="20"/>
                <w:szCs w:val="20"/>
              </w:rPr>
              <w:t>安全文明施工费</w:t>
            </w:r>
          </w:p>
        </w:tc>
        <w:tc>
          <w:tcPr>
            <w:tcW w:w="2984" w:type="dxa"/>
            <w:gridSpan w:val="4"/>
            <w:vAlign w:val="top"/>
          </w:tcPr>
          <w:p>
            <w:pPr>
              <w:spacing w:before="109" w:line="227" w:lineRule="auto"/>
              <w:ind w:left="1312"/>
              <w:rPr>
                <w:rFonts w:ascii="宋体" w:hAnsi="宋体" w:eastAsia="宋体" w:cs="宋体"/>
                <w:sz w:val="20"/>
                <w:szCs w:val="20"/>
              </w:rPr>
            </w:pPr>
            <w:r>
              <w:rPr>
                <w:rFonts w:ascii="宋体" w:hAnsi="宋体" w:eastAsia="宋体" w:cs="宋体"/>
                <w:spacing w:val="-11"/>
                <w:sz w:val="20"/>
                <w:szCs w:val="20"/>
              </w:rPr>
              <w:t>5.66</w:t>
            </w:r>
          </w:p>
        </w:tc>
        <w:tc>
          <w:tcPr>
            <w:tcW w:w="2238" w:type="dxa"/>
            <w:gridSpan w:val="3"/>
            <w:vAlign w:val="top"/>
          </w:tcPr>
          <w:p>
            <w:pPr>
              <w:spacing w:before="109" w:line="227" w:lineRule="auto"/>
              <w:ind w:left="938"/>
              <w:rPr>
                <w:rFonts w:ascii="宋体" w:hAnsi="宋体" w:eastAsia="宋体" w:cs="宋体"/>
                <w:sz w:val="20"/>
                <w:szCs w:val="20"/>
              </w:rPr>
            </w:pPr>
            <w:r>
              <w:rPr>
                <w:rFonts w:ascii="宋体" w:hAnsi="宋体" w:eastAsia="宋体" w:cs="宋体"/>
                <w:spacing w:val="-10"/>
                <w:sz w:val="20"/>
                <w:szCs w:val="20"/>
              </w:rPr>
              <w:t>4.76</w:t>
            </w:r>
          </w:p>
        </w:tc>
        <w:tc>
          <w:tcPr>
            <w:tcW w:w="1492" w:type="dxa"/>
            <w:gridSpan w:val="2"/>
            <w:vAlign w:val="top"/>
          </w:tcPr>
          <w:p>
            <w:pPr>
              <w:spacing w:before="109" w:line="227" w:lineRule="auto"/>
              <w:ind w:left="573"/>
              <w:rPr>
                <w:rFonts w:ascii="宋体" w:hAnsi="宋体" w:eastAsia="宋体" w:cs="宋体"/>
                <w:sz w:val="20"/>
                <w:szCs w:val="20"/>
              </w:rPr>
            </w:pPr>
            <w:r>
              <w:rPr>
                <w:rFonts w:ascii="宋体" w:hAnsi="宋体" w:eastAsia="宋体" w:cs="宋体"/>
                <w:spacing w:val="-12"/>
                <w:sz w:val="20"/>
                <w:szCs w:val="20"/>
              </w:rPr>
              <w:t>5.66</w:t>
            </w:r>
          </w:p>
        </w:tc>
        <w:tc>
          <w:tcPr>
            <w:tcW w:w="756" w:type="dxa"/>
            <w:tcBorders>
              <w:right w:val="single" w:color="000000" w:sz="6" w:space="0"/>
            </w:tcBorders>
            <w:vAlign w:val="top"/>
          </w:tcPr>
          <w:p>
            <w:pPr>
              <w:spacing w:before="109" w:line="227" w:lineRule="auto"/>
              <w:ind w:left="202"/>
              <w:rPr>
                <w:rFonts w:ascii="宋体" w:hAnsi="宋体" w:eastAsia="宋体" w:cs="宋体"/>
                <w:sz w:val="20"/>
                <w:szCs w:val="20"/>
              </w:rPr>
            </w:pPr>
            <w:r>
              <w:rPr>
                <w:rFonts w:ascii="宋体" w:hAnsi="宋体" w:eastAsia="宋体" w:cs="宋体"/>
                <w:spacing w:val="-11"/>
                <w:sz w:val="20"/>
                <w:szCs w:val="20"/>
              </w:rPr>
              <w:t>5.09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1" w:line="224" w:lineRule="auto"/>
              <w:ind w:left="139"/>
              <w:rPr>
                <w:rFonts w:ascii="宋体" w:hAnsi="宋体" w:eastAsia="宋体" w:cs="宋体"/>
                <w:sz w:val="20"/>
                <w:szCs w:val="20"/>
              </w:rPr>
            </w:pPr>
            <w:r>
              <w:rPr>
                <w:rFonts w:ascii="宋体" w:hAnsi="宋体" w:eastAsia="宋体" w:cs="宋体"/>
                <w:spacing w:val="3"/>
                <w:sz w:val="20"/>
                <w:szCs w:val="20"/>
              </w:rPr>
              <w:t>其中：1.安全施工费</w:t>
            </w:r>
          </w:p>
        </w:tc>
        <w:tc>
          <w:tcPr>
            <w:tcW w:w="7470" w:type="dxa"/>
            <w:gridSpan w:val="10"/>
            <w:tcBorders>
              <w:right w:val="single" w:color="000000" w:sz="6" w:space="0"/>
            </w:tcBorders>
            <w:vAlign w:val="top"/>
          </w:tcPr>
          <w:p>
            <w:pPr>
              <w:spacing w:before="111" w:line="224" w:lineRule="auto"/>
              <w:ind w:left="3570"/>
              <w:rPr>
                <w:rFonts w:ascii="宋体" w:hAnsi="宋体" w:eastAsia="宋体" w:cs="宋体"/>
                <w:sz w:val="20"/>
                <w:szCs w:val="20"/>
              </w:rPr>
            </w:pPr>
            <w:r>
              <w:rPr>
                <w:rFonts w:ascii="宋体" w:hAnsi="宋体" w:eastAsia="宋体" w:cs="宋体"/>
                <w:spacing w:val="-15"/>
                <w:sz w:val="20"/>
                <w:szCs w:val="20"/>
              </w:rPr>
              <w:t>1.65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2" w:hRule="atLeast"/>
        </w:trPr>
        <w:tc>
          <w:tcPr>
            <w:tcW w:w="2125" w:type="dxa"/>
            <w:gridSpan w:val="2"/>
            <w:tcBorders>
              <w:left w:val="single" w:color="000000" w:sz="6" w:space="0"/>
            </w:tcBorders>
            <w:vAlign w:val="top"/>
          </w:tcPr>
          <w:p>
            <w:pPr>
              <w:spacing w:before="111" w:line="222" w:lineRule="auto"/>
              <w:ind w:left="772"/>
              <w:rPr>
                <w:rFonts w:ascii="宋体" w:hAnsi="宋体" w:eastAsia="宋体" w:cs="宋体"/>
                <w:sz w:val="20"/>
                <w:szCs w:val="20"/>
              </w:rPr>
            </w:pPr>
            <w:r>
              <w:rPr>
                <w:rFonts w:ascii="宋体" w:hAnsi="宋体" w:eastAsia="宋体" w:cs="宋体"/>
                <w:spacing w:val="-1"/>
                <w:sz w:val="20"/>
                <w:szCs w:val="20"/>
              </w:rPr>
              <w:t>2.环境保护费</w:t>
            </w:r>
          </w:p>
        </w:tc>
        <w:tc>
          <w:tcPr>
            <w:tcW w:w="6714" w:type="dxa"/>
            <w:gridSpan w:val="9"/>
            <w:vAlign w:val="top"/>
          </w:tcPr>
          <w:p>
            <w:pPr>
              <w:spacing w:before="111" w:line="222" w:lineRule="auto"/>
              <w:ind w:left="3196"/>
              <w:rPr>
                <w:rFonts w:ascii="宋体" w:hAnsi="宋体" w:eastAsia="宋体" w:cs="宋体"/>
                <w:sz w:val="20"/>
                <w:szCs w:val="20"/>
              </w:rPr>
            </w:pPr>
            <w:r>
              <w:rPr>
                <w:rFonts w:ascii="宋体" w:hAnsi="宋体" w:eastAsia="宋体" w:cs="宋体"/>
                <w:spacing w:val="-15"/>
                <w:sz w:val="20"/>
                <w:szCs w:val="20"/>
              </w:rPr>
              <w:t>1.35</w:t>
            </w:r>
          </w:p>
        </w:tc>
        <w:tc>
          <w:tcPr>
            <w:tcW w:w="756" w:type="dxa"/>
            <w:tcBorders>
              <w:right w:val="single" w:color="000000" w:sz="6" w:space="0"/>
            </w:tcBorders>
            <w:vAlign w:val="top"/>
          </w:tcPr>
          <w:p>
            <w:pPr>
              <w:spacing w:before="111" w:line="222" w:lineRule="auto"/>
              <w:ind w:left="219"/>
              <w:rPr>
                <w:rFonts w:ascii="宋体" w:hAnsi="宋体" w:eastAsia="宋体" w:cs="宋体"/>
                <w:sz w:val="20"/>
                <w:szCs w:val="20"/>
              </w:rPr>
            </w:pPr>
            <w:r>
              <w:rPr>
                <w:rFonts w:ascii="宋体" w:hAnsi="宋体" w:eastAsia="宋体" w:cs="宋体"/>
                <w:spacing w:val="-15"/>
                <w:sz w:val="20"/>
                <w:szCs w:val="20"/>
              </w:rPr>
              <w:t>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3" w:hRule="atLeast"/>
        </w:trPr>
        <w:tc>
          <w:tcPr>
            <w:tcW w:w="2125" w:type="dxa"/>
            <w:gridSpan w:val="2"/>
            <w:tcBorders>
              <w:left w:val="single" w:color="000000" w:sz="6" w:space="0"/>
            </w:tcBorders>
            <w:vAlign w:val="top"/>
          </w:tcPr>
          <w:p>
            <w:pPr>
              <w:spacing w:before="114" w:line="220" w:lineRule="auto"/>
              <w:ind w:left="776"/>
              <w:rPr>
                <w:rFonts w:ascii="宋体" w:hAnsi="宋体" w:eastAsia="宋体" w:cs="宋体"/>
                <w:sz w:val="20"/>
                <w:szCs w:val="20"/>
              </w:rPr>
            </w:pPr>
            <w:r>
              <w:rPr>
                <w:rFonts w:ascii="宋体" w:hAnsi="宋体" w:eastAsia="宋体" w:cs="宋体"/>
                <w:spacing w:val="-1"/>
                <w:sz w:val="20"/>
                <w:szCs w:val="20"/>
              </w:rPr>
              <w:t>3.文明施工费</w:t>
            </w:r>
          </w:p>
        </w:tc>
        <w:tc>
          <w:tcPr>
            <w:tcW w:w="6714" w:type="dxa"/>
            <w:gridSpan w:val="9"/>
            <w:vAlign w:val="top"/>
          </w:tcPr>
          <w:p>
            <w:pPr>
              <w:spacing w:before="114" w:line="220" w:lineRule="auto"/>
              <w:ind w:left="3178"/>
              <w:rPr>
                <w:rFonts w:ascii="宋体" w:hAnsi="宋体" w:eastAsia="宋体" w:cs="宋体"/>
                <w:sz w:val="20"/>
                <w:szCs w:val="20"/>
              </w:rPr>
            </w:pPr>
            <w:r>
              <w:rPr>
                <w:rFonts w:ascii="宋体" w:hAnsi="宋体" w:eastAsia="宋体" w:cs="宋体"/>
                <w:spacing w:val="-11"/>
                <w:sz w:val="20"/>
                <w:szCs w:val="20"/>
              </w:rPr>
              <w:t>0.84</w:t>
            </w:r>
          </w:p>
        </w:tc>
        <w:tc>
          <w:tcPr>
            <w:tcW w:w="756" w:type="dxa"/>
            <w:tcBorders>
              <w:right w:val="single" w:color="000000" w:sz="6" w:space="0"/>
            </w:tcBorders>
            <w:vAlign w:val="top"/>
          </w:tcPr>
          <w:p>
            <w:pPr>
              <w:spacing w:before="114" w:line="220" w:lineRule="auto"/>
              <w:ind w:left="201"/>
              <w:rPr>
                <w:rFonts w:ascii="宋体" w:hAnsi="宋体" w:eastAsia="宋体" w:cs="宋体"/>
                <w:sz w:val="20"/>
                <w:szCs w:val="20"/>
              </w:rPr>
            </w:pPr>
            <w:r>
              <w:rPr>
                <w:rFonts w:ascii="宋体" w:hAnsi="宋体" w:eastAsia="宋体" w:cs="宋体"/>
                <w:spacing w:val="-11"/>
                <w:sz w:val="20"/>
                <w:szCs w:val="20"/>
              </w:rPr>
              <w:t>0.67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6" w:line="219" w:lineRule="auto"/>
              <w:ind w:left="769"/>
              <w:rPr>
                <w:rFonts w:ascii="宋体" w:hAnsi="宋体" w:eastAsia="宋体" w:cs="宋体"/>
                <w:sz w:val="20"/>
                <w:szCs w:val="20"/>
              </w:rPr>
            </w:pPr>
            <w:r>
              <w:rPr>
                <w:rFonts w:ascii="宋体" w:hAnsi="宋体" w:eastAsia="宋体" w:cs="宋体"/>
                <w:sz w:val="20"/>
                <w:szCs w:val="20"/>
              </w:rPr>
              <w:t>4.临时设施费</w:t>
            </w:r>
          </w:p>
        </w:tc>
        <w:tc>
          <w:tcPr>
            <w:tcW w:w="2984" w:type="dxa"/>
            <w:gridSpan w:val="4"/>
            <w:vAlign w:val="top"/>
          </w:tcPr>
          <w:p>
            <w:pPr>
              <w:spacing w:before="116" w:line="219" w:lineRule="auto"/>
              <w:ind w:left="1329"/>
              <w:rPr>
                <w:rFonts w:ascii="宋体" w:hAnsi="宋体" w:eastAsia="宋体" w:cs="宋体"/>
                <w:sz w:val="20"/>
                <w:szCs w:val="20"/>
              </w:rPr>
            </w:pPr>
            <w:r>
              <w:rPr>
                <w:rFonts w:ascii="宋体" w:hAnsi="宋体" w:eastAsia="宋体" w:cs="宋体"/>
                <w:spacing w:val="-15"/>
                <w:sz w:val="20"/>
                <w:szCs w:val="20"/>
              </w:rPr>
              <w:t>1.82</w:t>
            </w:r>
          </w:p>
        </w:tc>
        <w:tc>
          <w:tcPr>
            <w:tcW w:w="2238" w:type="dxa"/>
            <w:gridSpan w:val="3"/>
            <w:vAlign w:val="top"/>
          </w:tcPr>
          <w:p>
            <w:pPr>
              <w:spacing w:before="116" w:line="219" w:lineRule="auto"/>
              <w:ind w:left="940"/>
              <w:rPr>
                <w:rFonts w:ascii="宋体" w:hAnsi="宋体" w:eastAsia="宋体" w:cs="宋体"/>
                <w:sz w:val="20"/>
                <w:szCs w:val="20"/>
              </w:rPr>
            </w:pPr>
            <w:r>
              <w:rPr>
                <w:rFonts w:ascii="宋体" w:hAnsi="宋体" w:eastAsia="宋体" w:cs="宋体"/>
                <w:spacing w:val="-11"/>
                <w:sz w:val="20"/>
                <w:szCs w:val="20"/>
              </w:rPr>
              <w:t>0.92</w:t>
            </w:r>
          </w:p>
        </w:tc>
        <w:tc>
          <w:tcPr>
            <w:tcW w:w="1492" w:type="dxa"/>
            <w:gridSpan w:val="2"/>
            <w:vAlign w:val="top"/>
          </w:tcPr>
          <w:p>
            <w:pPr>
              <w:spacing w:before="116" w:line="219" w:lineRule="auto"/>
              <w:ind w:left="590"/>
              <w:rPr>
                <w:rFonts w:ascii="宋体" w:hAnsi="宋体" w:eastAsia="宋体" w:cs="宋体"/>
                <w:sz w:val="20"/>
                <w:szCs w:val="20"/>
              </w:rPr>
            </w:pPr>
            <w:r>
              <w:rPr>
                <w:rFonts w:ascii="宋体" w:hAnsi="宋体" w:eastAsia="宋体" w:cs="宋体"/>
                <w:spacing w:val="-16"/>
                <w:sz w:val="20"/>
                <w:szCs w:val="20"/>
              </w:rPr>
              <w:t>1.82</w:t>
            </w:r>
          </w:p>
        </w:tc>
        <w:tc>
          <w:tcPr>
            <w:tcW w:w="756" w:type="dxa"/>
            <w:tcBorders>
              <w:right w:val="single" w:color="000000" w:sz="6" w:space="0"/>
            </w:tcBorders>
            <w:vAlign w:val="top"/>
          </w:tcPr>
          <w:p>
            <w:pPr>
              <w:spacing w:before="116" w:line="219" w:lineRule="auto"/>
              <w:ind w:left="219"/>
              <w:rPr>
                <w:rFonts w:ascii="宋体" w:hAnsi="宋体" w:eastAsia="宋体" w:cs="宋体"/>
                <w:sz w:val="20"/>
                <w:szCs w:val="20"/>
              </w:rPr>
            </w:pPr>
            <w:r>
              <w:rPr>
                <w:rFonts w:ascii="宋体" w:hAnsi="宋体" w:eastAsia="宋体" w:cs="宋体"/>
                <w:spacing w:val="-15"/>
                <w:sz w:val="20"/>
                <w:szCs w:val="20"/>
              </w:rPr>
              <w:t>1.61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6" w:line="219" w:lineRule="auto"/>
              <w:ind w:left="532"/>
              <w:rPr>
                <w:rFonts w:ascii="宋体" w:hAnsi="宋体" w:eastAsia="宋体" w:cs="宋体"/>
                <w:sz w:val="20"/>
                <w:szCs w:val="20"/>
              </w:rPr>
            </w:pPr>
            <w:r>
              <w:rPr>
                <w:rFonts w:ascii="宋体" w:hAnsi="宋体" w:eastAsia="宋体" w:cs="宋体"/>
                <w:spacing w:val="9"/>
                <w:sz w:val="20"/>
                <w:szCs w:val="20"/>
              </w:rPr>
              <w:t>社会保险费</w:t>
            </w:r>
          </w:p>
        </w:tc>
        <w:tc>
          <w:tcPr>
            <w:tcW w:w="7470" w:type="dxa"/>
            <w:gridSpan w:val="10"/>
            <w:tcBorders>
              <w:right w:val="single" w:color="000000" w:sz="6" w:space="0"/>
            </w:tcBorders>
            <w:vAlign w:val="top"/>
          </w:tcPr>
          <w:p>
            <w:pPr>
              <w:spacing w:before="116" w:line="219" w:lineRule="auto"/>
              <w:ind w:left="3570"/>
              <w:rPr>
                <w:rFonts w:ascii="宋体" w:hAnsi="宋体" w:eastAsia="宋体" w:cs="宋体"/>
                <w:sz w:val="20"/>
                <w:szCs w:val="20"/>
              </w:rPr>
            </w:pPr>
            <w:r>
              <w:rPr>
                <w:rFonts w:ascii="宋体" w:hAnsi="宋体" w:eastAsia="宋体" w:cs="宋体"/>
                <w:spacing w:val="-15"/>
                <w:sz w:val="20"/>
                <w:szCs w:val="20"/>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125" w:type="dxa"/>
            <w:gridSpan w:val="2"/>
            <w:tcBorders>
              <w:left w:val="single" w:color="000000" w:sz="6" w:space="0"/>
            </w:tcBorders>
            <w:vAlign w:val="top"/>
          </w:tcPr>
          <w:p>
            <w:pPr>
              <w:spacing w:before="117" w:line="218" w:lineRule="auto"/>
              <w:ind w:left="219"/>
              <w:rPr>
                <w:rFonts w:ascii="宋体" w:hAnsi="宋体" w:eastAsia="宋体" w:cs="宋体"/>
                <w:sz w:val="20"/>
                <w:szCs w:val="20"/>
              </w:rPr>
            </w:pPr>
            <w:r>
              <w:rPr>
                <w:rFonts w:ascii="宋体" w:hAnsi="宋体" w:eastAsia="宋体" w:cs="宋体"/>
                <w:spacing w:val="9"/>
                <w:sz w:val="20"/>
                <w:szCs w:val="20"/>
              </w:rPr>
              <w:t>建设项目工伤保险</w:t>
            </w:r>
          </w:p>
        </w:tc>
        <w:tc>
          <w:tcPr>
            <w:tcW w:w="7470" w:type="dxa"/>
            <w:gridSpan w:val="10"/>
            <w:tcBorders>
              <w:right w:val="single" w:color="000000" w:sz="6" w:space="0"/>
            </w:tcBorders>
            <w:vAlign w:val="top"/>
          </w:tcPr>
          <w:p>
            <w:pPr>
              <w:spacing w:before="117" w:line="218" w:lineRule="auto"/>
              <w:ind w:left="3552"/>
              <w:rPr>
                <w:rFonts w:ascii="宋体" w:hAnsi="宋体" w:eastAsia="宋体" w:cs="宋体"/>
                <w:sz w:val="20"/>
                <w:szCs w:val="20"/>
              </w:rPr>
            </w:pPr>
            <w:r>
              <w:rPr>
                <w:rFonts w:ascii="宋体" w:hAnsi="宋体" w:eastAsia="宋体" w:cs="宋体"/>
                <w:spacing w:val="-11"/>
                <w:sz w:val="20"/>
                <w:szCs w:val="20"/>
              </w:rPr>
              <w:t>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restart"/>
            <w:tcBorders>
              <w:left w:val="single" w:color="000000" w:sz="6" w:space="0"/>
              <w:bottom w:val="nil"/>
            </w:tcBorders>
            <w:vAlign w:val="top"/>
          </w:tcPr>
          <w:p>
            <w:pPr>
              <w:pStyle w:val="6"/>
              <w:spacing w:line="248" w:lineRule="auto"/>
            </w:pPr>
          </w:p>
          <w:p>
            <w:pPr>
              <w:spacing w:before="66" w:line="337" w:lineRule="auto"/>
              <w:ind w:left="474" w:right="161" w:hanging="320"/>
              <w:rPr>
                <w:rFonts w:ascii="宋体" w:hAnsi="宋体" w:eastAsia="宋体" w:cs="宋体"/>
                <w:sz w:val="20"/>
                <w:szCs w:val="20"/>
              </w:rPr>
            </w:pPr>
            <w:r>
              <w:rPr>
                <w:rFonts w:ascii="宋体" w:hAnsi="宋体" w:eastAsia="宋体" w:cs="宋体"/>
                <w:spacing w:val="8"/>
                <w:sz w:val="20"/>
                <w:szCs w:val="20"/>
              </w:rPr>
              <w:t>优质优价</w:t>
            </w:r>
            <w:r>
              <w:rPr>
                <w:rFonts w:ascii="宋体" w:hAnsi="宋体" w:eastAsia="宋体" w:cs="宋体"/>
                <w:sz w:val="20"/>
                <w:szCs w:val="20"/>
              </w:rPr>
              <w:t>费</w:t>
            </w:r>
          </w:p>
        </w:tc>
        <w:tc>
          <w:tcPr>
            <w:tcW w:w="965" w:type="dxa"/>
            <w:vAlign w:val="top"/>
          </w:tcPr>
          <w:p>
            <w:pPr>
              <w:spacing w:before="126" w:line="210" w:lineRule="auto"/>
              <w:ind w:left="184"/>
              <w:rPr>
                <w:rFonts w:ascii="宋体" w:hAnsi="宋体" w:eastAsia="宋体" w:cs="宋体"/>
                <w:sz w:val="20"/>
                <w:szCs w:val="20"/>
              </w:rPr>
            </w:pPr>
            <w:r>
              <w:rPr>
                <w:rFonts w:ascii="宋体" w:hAnsi="宋体" w:eastAsia="宋体" w:cs="宋体"/>
                <w:spacing w:val="1"/>
                <w:sz w:val="20"/>
                <w:szCs w:val="20"/>
              </w:rPr>
              <w:t>国家级</w:t>
            </w:r>
          </w:p>
        </w:tc>
        <w:tc>
          <w:tcPr>
            <w:tcW w:w="7470" w:type="dxa"/>
            <w:gridSpan w:val="10"/>
            <w:tcBorders>
              <w:right w:val="single" w:color="000000" w:sz="6" w:space="0"/>
            </w:tcBorders>
            <w:vAlign w:val="top"/>
          </w:tcPr>
          <w:p>
            <w:pPr>
              <w:spacing w:before="120" w:line="216" w:lineRule="auto"/>
              <w:ind w:left="3570"/>
              <w:rPr>
                <w:rFonts w:ascii="宋体" w:hAnsi="宋体" w:eastAsia="宋体" w:cs="宋体"/>
                <w:sz w:val="20"/>
                <w:szCs w:val="20"/>
              </w:rPr>
            </w:pPr>
            <w:r>
              <w:rPr>
                <w:rFonts w:ascii="宋体" w:hAnsi="宋体" w:eastAsia="宋体" w:cs="宋体"/>
                <w:spacing w:val="-15"/>
                <w:sz w:val="20"/>
                <w:szCs w:val="20"/>
              </w:rPr>
              <w:t>1.66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bottom w:val="nil"/>
            </w:tcBorders>
            <w:vAlign w:val="top"/>
          </w:tcPr>
          <w:p>
            <w:pPr>
              <w:pStyle w:val="6"/>
            </w:pPr>
          </w:p>
        </w:tc>
        <w:tc>
          <w:tcPr>
            <w:tcW w:w="965" w:type="dxa"/>
            <w:vAlign w:val="top"/>
          </w:tcPr>
          <w:p>
            <w:pPr>
              <w:spacing w:before="128" w:line="208" w:lineRule="auto"/>
              <w:ind w:left="270"/>
              <w:rPr>
                <w:rFonts w:ascii="宋体" w:hAnsi="宋体" w:eastAsia="宋体" w:cs="宋体"/>
                <w:sz w:val="20"/>
                <w:szCs w:val="20"/>
              </w:rPr>
            </w:pPr>
            <w:r>
              <w:rPr>
                <w:rFonts w:ascii="宋体" w:hAnsi="宋体" w:eastAsia="宋体" w:cs="宋体"/>
                <w:spacing w:val="6"/>
                <w:sz w:val="20"/>
                <w:szCs w:val="20"/>
              </w:rPr>
              <w:t>省级</w:t>
            </w:r>
          </w:p>
        </w:tc>
        <w:tc>
          <w:tcPr>
            <w:tcW w:w="7470" w:type="dxa"/>
            <w:gridSpan w:val="10"/>
            <w:tcBorders>
              <w:right w:val="single" w:color="000000" w:sz="6" w:space="0"/>
            </w:tcBorders>
            <w:vAlign w:val="top"/>
          </w:tcPr>
          <w:p>
            <w:pPr>
              <w:spacing w:before="121" w:line="215" w:lineRule="auto"/>
              <w:ind w:left="3570"/>
              <w:rPr>
                <w:rFonts w:ascii="宋体" w:hAnsi="宋体" w:eastAsia="宋体" w:cs="宋体"/>
                <w:sz w:val="20"/>
                <w:szCs w:val="20"/>
              </w:rPr>
            </w:pPr>
            <w:r>
              <w:rPr>
                <w:rFonts w:ascii="宋体" w:hAnsi="宋体" w:eastAsia="宋体" w:cs="宋体"/>
                <w:spacing w:val="-15"/>
                <w:sz w:val="20"/>
                <w:szCs w:val="20"/>
              </w:rPr>
              <w:t>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160" w:type="dxa"/>
            <w:vMerge w:val="continue"/>
            <w:tcBorders>
              <w:top w:val="nil"/>
              <w:left w:val="single" w:color="000000" w:sz="6" w:space="0"/>
            </w:tcBorders>
            <w:vAlign w:val="top"/>
          </w:tcPr>
          <w:p>
            <w:pPr>
              <w:pStyle w:val="6"/>
            </w:pPr>
          </w:p>
        </w:tc>
        <w:tc>
          <w:tcPr>
            <w:tcW w:w="965" w:type="dxa"/>
            <w:vAlign w:val="top"/>
          </w:tcPr>
          <w:p>
            <w:pPr>
              <w:spacing w:before="127" w:line="209" w:lineRule="auto"/>
              <w:ind w:left="270"/>
              <w:rPr>
                <w:rFonts w:ascii="宋体" w:hAnsi="宋体" w:eastAsia="宋体" w:cs="宋体"/>
                <w:sz w:val="20"/>
                <w:szCs w:val="20"/>
              </w:rPr>
            </w:pPr>
            <w:r>
              <w:rPr>
                <w:rFonts w:ascii="宋体" w:hAnsi="宋体" w:eastAsia="宋体" w:cs="宋体"/>
                <w:spacing w:val="6"/>
                <w:sz w:val="20"/>
                <w:szCs w:val="20"/>
              </w:rPr>
              <w:t>市级</w:t>
            </w:r>
          </w:p>
        </w:tc>
        <w:tc>
          <w:tcPr>
            <w:tcW w:w="7470" w:type="dxa"/>
            <w:gridSpan w:val="10"/>
            <w:tcBorders>
              <w:right w:val="single" w:color="000000" w:sz="6" w:space="0"/>
            </w:tcBorders>
            <w:vAlign w:val="top"/>
          </w:tcPr>
          <w:p>
            <w:pPr>
              <w:spacing w:before="122" w:line="214" w:lineRule="auto"/>
              <w:ind w:left="3552"/>
              <w:rPr>
                <w:rFonts w:ascii="宋体" w:hAnsi="宋体" w:eastAsia="宋体" w:cs="宋体"/>
                <w:sz w:val="20"/>
                <w:szCs w:val="20"/>
              </w:rPr>
            </w:pPr>
            <w:r>
              <w:rPr>
                <w:rFonts w:ascii="宋体" w:hAnsi="宋体" w:eastAsia="宋体" w:cs="宋体"/>
                <w:spacing w:val="-11"/>
                <w:sz w:val="20"/>
                <w:szCs w:val="20"/>
              </w:rPr>
              <w:t>0.88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2125" w:type="dxa"/>
            <w:gridSpan w:val="2"/>
            <w:tcBorders>
              <w:left w:val="single" w:color="000000" w:sz="6" w:space="0"/>
              <w:bottom w:val="single" w:color="000000" w:sz="6" w:space="0"/>
            </w:tcBorders>
            <w:vAlign w:val="top"/>
          </w:tcPr>
          <w:p>
            <w:pPr>
              <w:spacing w:before="127" w:line="219" w:lineRule="auto"/>
              <w:ind w:left="532"/>
              <w:rPr>
                <w:rFonts w:ascii="宋体" w:hAnsi="宋体" w:eastAsia="宋体" w:cs="宋体"/>
                <w:sz w:val="20"/>
                <w:szCs w:val="20"/>
              </w:rPr>
            </w:pPr>
            <w:r>
              <w:rPr>
                <w:rFonts w:ascii="宋体" w:hAnsi="宋体" w:eastAsia="宋体" w:cs="宋体"/>
                <w:spacing w:val="9"/>
                <w:sz w:val="20"/>
                <w:szCs w:val="20"/>
              </w:rPr>
              <w:t>住房公积金</w:t>
            </w:r>
          </w:p>
        </w:tc>
        <w:tc>
          <w:tcPr>
            <w:tcW w:w="7470" w:type="dxa"/>
            <w:gridSpan w:val="10"/>
            <w:tcBorders>
              <w:bottom w:val="single" w:color="000000" w:sz="6" w:space="0"/>
              <w:right w:val="single" w:color="000000" w:sz="6" w:space="0"/>
            </w:tcBorders>
            <w:vAlign w:val="top"/>
          </w:tcPr>
          <w:p>
            <w:pPr>
              <w:spacing w:before="127" w:line="220" w:lineRule="auto"/>
              <w:ind w:left="104"/>
              <w:rPr>
                <w:rFonts w:ascii="宋体" w:hAnsi="宋体" w:eastAsia="宋体" w:cs="宋体"/>
                <w:sz w:val="20"/>
                <w:szCs w:val="20"/>
              </w:rPr>
            </w:pPr>
            <w:r>
              <w:rPr>
                <w:rFonts w:ascii="宋体" w:hAnsi="宋体" w:eastAsia="宋体" w:cs="宋体"/>
                <w:spacing w:val="9"/>
                <w:sz w:val="20"/>
                <w:szCs w:val="20"/>
              </w:rPr>
              <w:t>按工程所在地设区市相关规定计算</w:t>
            </w:r>
          </w:p>
        </w:tc>
      </w:tr>
    </w:tbl>
    <w:p>
      <w:pPr>
        <w:spacing w:before="107" w:line="331" w:lineRule="auto"/>
        <w:ind w:left="273" w:right="312" w:firstLine="4"/>
        <w:rPr>
          <w:rFonts w:ascii="宋体" w:hAnsi="宋体" w:eastAsia="宋体" w:cs="宋体"/>
          <w:sz w:val="20"/>
          <w:szCs w:val="20"/>
        </w:rPr>
      </w:pPr>
      <w:r>
        <w:rPr>
          <w:rFonts w:ascii="宋体" w:hAnsi="宋体" w:eastAsia="宋体" w:cs="宋体"/>
          <w:spacing w:val="10"/>
          <w:sz w:val="20"/>
          <w:szCs w:val="20"/>
        </w:rPr>
        <w:t>注：表中安全施工费费率不包括安全生产责任保险费率。安全生产责任</w:t>
      </w:r>
      <w:r>
        <w:rPr>
          <w:rFonts w:ascii="宋体" w:hAnsi="宋体" w:eastAsia="宋体" w:cs="宋体"/>
          <w:spacing w:val="9"/>
          <w:sz w:val="20"/>
          <w:szCs w:val="20"/>
        </w:rPr>
        <w:t>保险费用在招投标和合同签订阶段可暂按</w:t>
      </w:r>
      <w:r>
        <w:rPr>
          <w:rFonts w:ascii="宋体" w:hAnsi="宋体" w:eastAsia="宋体" w:cs="宋体"/>
          <w:spacing w:val="-41"/>
          <w:sz w:val="20"/>
          <w:szCs w:val="20"/>
        </w:rPr>
        <w:t xml:space="preserve"> </w:t>
      </w:r>
      <w:r>
        <w:rPr>
          <w:rFonts w:ascii="宋体" w:hAnsi="宋体" w:eastAsia="宋体" w:cs="宋体"/>
          <w:spacing w:val="9"/>
          <w:sz w:val="20"/>
          <w:szCs w:val="20"/>
        </w:rPr>
        <w:t>0.15%计列，工程结算时按实际购买保险金额</w:t>
      </w:r>
      <w:r>
        <w:rPr>
          <w:rFonts w:ascii="宋体" w:hAnsi="宋体" w:eastAsia="宋体" w:cs="宋体"/>
          <w:spacing w:val="8"/>
          <w:sz w:val="20"/>
          <w:szCs w:val="20"/>
        </w:rPr>
        <w:t>计入。</w:t>
      </w:r>
    </w:p>
    <w:p>
      <w:pPr>
        <w:pStyle w:val="2"/>
        <w:spacing w:before="292" w:line="204" w:lineRule="auto"/>
        <w:ind w:left="863"/>
        <w:rPr>
          <w:sz w:val="28"/>
          <w:szCs w:val="28"/>
        </w:rPr>
      </w:pPr>
      <w:r>
        <w:rPr>
          <w:spacing w:val="-8"/>
          <w:sz w:val="28"/>
          <w:szCs w:val="28"/>
        </w:rPr>
        <w:t>四、税金</w:t>
      </w:r>
    </w:p>
    <w:p>
      <w:pPr>
        <w:spacing w:before="21" w:line="234" w:lineRule="auto"/>
        <w:ind w:left="8539"/>
        <w:rPr>
          <w:rFonts w:ascii="宋体" w:hAnsi="宋体" w:eastAsia="宋体" w:cs="宋体"/>
          <w:sz w:val="20"/>
          <w:szCs w:val="20"/>
        </w:rPr>
      </w:pPr>
      <w:r>
        <w:rPr>
          <w:rFonts w:ascii="宋体" w:hAnsi="宋体" w:eastAsia="宋体" w:cs="宋体"/>
          <w:spacing w:val="24"/>
          <w:sz w:val="20"/>
          <w:szCs w:val="20"/>
        </w:rPr>
        <w:t>单位：%</w:t>
      </w:r>
    </w:p>
    <w:tbl>
      <w:tblPr>
        <w:tblStyle w:val="5"/>
        <w:tblW w:w="9442" w:type="dxa"/>
        <w:tblInd w:w="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6"/>
        <w:gridCol w:w="26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1" w:hRule="atLeast"/>
        </w:trPr>
        <w:tc>
          <w:tcPr>
            <w:tcW w:w="6796" w:type="dxa"/>
            <w:tcBorders>
              <w:top w:val="single" w:color="000000" w:sz="6" w:space="0"/>
              <w:left w:val="single" w:color="000000" w:sz="6" w:space="0"/>
            </w:tcBorders>
            <w:vAlign w:val="top"/>
          </w:tcPr>
          <w:p>
            <w:pPr>
              <w:spacing w:before="135" w:line="219" w:lineRule="auto"/>
              <w:ind w:left="2983"/>
              <w:rPr>
                <w:rFonts w:ascii="宋体" w:hAnsi="宋体" w:eastAsia="宋体" w:cs="宋体"/>
                <w:sz w:val="20"/>
                <w:szCs w:val="20"/>
              </w:rPr>
            </w:pPr>
            <w:r>
              <w:rPr>
                <w:rFonts w:ascii="宋体" w:hAnsi="宋体" w:eastAsia="宋体" w:cs="宋体"/>
                <w:spacing w:val="6"/>
                <w:sz w:val="20"/>
                <w:szCs w:val="20"/>
              </w:rPr>
              <w:t>费用名称</w:t>
            </w:r>
          </w:p>
        </w:tc>
        <w:tc>
          <w:tcPr>
            <w:tcW w:w="2646" w:type="dxa"/>
            <w:tcBorders>
              <w:top w:val="single" w:color="000000" w:sz="6" w:space="0"/>
              <w:right w:val="single" w:color="000000" w:sz="6" w:space="0"/>
            </w:tcBorders>
            <w:vAlign w:val="top"/>
          </w:tcPr>
          <w:p>
            <w:pPr>
              <w:spacing w:before="131" w:line="222" w:lineRule="auto"/>
              <w:ind w:left="1113"/>
              <w:rPr>
                <w:rFonts w:ascii="宋体" w:hAnsi="宋体" w:eastAsia="宋体" w:cs="宋体"/>
                <w:sz w:val="20"/>
                <w:szCs w:val="20"/>
              </w:rPr>
            </w:pPr>
            <w:r>
              <w:rPr>
                <w:rFonts w:ascii="宋体" w:hAnsi="宋体" w:eastAsia="宋体" w:cs="宋体"/>
                <w:spacing w:val="7"/>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6796" w:type="dxa"/>
            <w:tcBorders>
              <w:left w:val="single" w:color="000000" w:sz="6" w:space="0"/>
            </w:tcBorders>
            <w:vAlign w:val="top"/>
          </w:tcPr>
          <w:p>
            <w:pPr>
              <w:spacing w:before="128" w:line="277" w:lineRule="exact"/>
              <w:ind w:left="2450"/>
              <w:rPr>
                <w:rFonts w:ascii="宋体" w:hAnsi="宋体" w:eastAsia="宋体" w:cs="宋体"/>
                <w:sz w:val="20"/>
                <w:szCs w:val="20"/>
              </w:rPr>
            </w:pPr>
            <w:r>
              <w:rPr>
                <w:rFonts w:ascii="宋体" w:hAnsi="宋体" w:eastAsia="宋体" w:cs="宋体"/>
                <w:spacing w:val="9"/>
                <w:position w:val="1"/>
                <w:sz w:val="20"/>
                <w:szCs w:val="20"/>
              </w:rPr>
              <w:t>增值税（一般计税）</w:t>
            </w:r>
          </w:p>
        </w:tc>
        <w:tc>
          <w:tcPr>
            <w:tcW w:w="2646" w:type="dxa"/>
            <w:tcBorders>
              <w:right w:val="single" w:color="000000" w:sz="6" w:space="0"/>
            </w:tcBorders>
            <w:vAlign w:val="top"/>
          </w:tcPr>
          <w:p>
            <w:pPr>
              <w:spacing w:before="128" w:line="287" w:lineRule="exact"/>
              <w:ind w:left="1275"/>
              <w:rPr>
                <w:rFonts w:ascii="宋体" w:hAnsi="宋体" w:eastAsia="宋体" w:cs="宋体"/>
                <w:sz w:val="20"/>
                <w:szCs w:val="20"/>
              </w:rPr>
            </w:pPr>
            <w:r>
              <w:rPr>
                <w:rFonts w:ascii="宋体" w:hAnsi="宋体" w:eastAsia="宋体" w:cs="宋体"/>
                <w:position w:val="2"/>
                <w:sz w:val="20"/>
                <w:szCs w:val="20"/>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0" w:hRule="atLeast"/>
        </w:trPr>
        <w:tc>
          <w:tcPr>
            <w:tcW w:w="6796" w:type="dxa"/>
            <w:tcBorders>
              <w:left w:val="single" w:color="000000" w:sz="6" w:space="0"/>
              <w:bottom w:val="single" w:color="000000" w:sz="6" w:space="0"/>
            </w:tcBorders>
            <w:vAlign w:val="top"/>
          </w:tcPr>
          <w:p>
            <w:pPr>
              <w:spacing w:before="131" w:line="277" w:lineRule="exact"/>
              <w:ind w:left="2450"/>
              <w:rPr>
                <w:rFonts w:ascii="宋体" w:hAnsi="宋体" w:eastAsia="宋体" w:cs="宋体"/>
                <w:sz w:val="20"/>
                <w:szCs w:val="20"/>
              </w:rPr>
            </w:pPr>
            <w:r>
              <w:rPr>
                <w:rFonts w:ascii="宋体" w:hAnsi="宋体" w:eastAsia="宋体" w:cs="宋体"/>
                <w:spacing w:val="9"/>
                <w:position w:val="1"/>
                <w:sz w:val="20"/>
                <w:szCs w:val="20"/>
              </w:rPr>
              <w:t>增值税（简易计税）</w:t>
            </w:r>
          </w:p>
        </w:tc>
        <w:tc>
          <w:tcPr>
            <w:tcW w:w="2646" w:type="dxa"/>
            <w:tcBorders>
              <w:bottom w:val="single" w:color="000000" w:sz="6" w:space="0"/>
              <w:right w:val="single" w:color="000000" w:sz="6" w:space="0"/>
            </w:tcBorders>
            <w:vAlign w:val="top"/>
          </w:tcPr>
          <w:p>
            <w:pPr>
              <w:spacing w:before="131" w:line="298" w:lineRule="exact"/>
              <w:ind w:left="1278"/>
              <w:rPr>
                <w:rFonts w:ascii="宋体" w:hAnsi="宋体" w:eastAsia="宋体" w:cs="宋体"/>
                <w:sz w:val="20"/>
                <w:szCs w:val="20"/>
              </w:rPr>
            </w:pPr>
            <w:r>
              <w:rPr>
                <w:rFonts w:ascii="宋体" w:hAnsi="宋体" w:eastAsia="宋体" w:cs="宋体"/>
                <w:position w:val="2"/>
                <w:sz w:val="20"/>
                <w:szCs w:val="20"/>
              </w:rPr>
              <w:t>3</w:t>
            </w:r>
          </w:p>
        </w:tc>
      </w:tr>
    </w:tbl>
    <w:p>
      <w:pPr>
        <w:spacing w:before="108" w:line="277" w:lineRule="exact"/>
        <w:ind w:left="277"/>
        <w:rPr>
          <w:rFonts w:ascii="宋体" w:hAnsi="宋体" w:eastAsia="宋体" w:cs="宋体"/>
          <w:sz w:val="20"/>
          <w:szCs w:val="20"/>
        </w:rPr>
      </w:pPr>
      <w:r>
        <w:rPr>
          <w:rFonts w:ascii="宋体" w:hAnsi="宋体" w:eastAsia="宋体" w:cs="宋体"/>
          <w:spacing w:val="9"/>
          <w:position w:val="1"/>
          <w:sz w:val="20"/>
          <w:szCs w:val="20"/>
        </w:rPr>
        <w:t>注：加工材料、甲供设备不作为增值税计税基础。</w:t>
      </w:r>
    </w:p>
    <w:p>
      <w:pPr>
        <w:spacing w:line="277" w:lineRule="exact"/>
        <w:rPr>
          <w:rFonts w:ascii="宋体" w:hAnsi="宋体" w:eastAsia="宋体" w:cs="宋体"/>
          <w:sz w:val="20"/>
          <w:szCs w:val="20"/>
        </w:rPr>
        <w:sectPr>
          <w:footerReference r:id="rId125" w:type="default"/>
          <w:pgSz w:w="11906" w:h="16839"/>
          <w:pgMar w:top="400" w:right="1148" w:bottom="1212" w:left="1147" w:header="0" w:footer="897" w:gutter="0"/>
        </w:sectPr>
      </w:pPr>
    </w:p>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2"/>
        <w:spacing w:before="120" w:line="203" w:lineRule="auto"/>
        <w:ind w:left="753"/>
        <w:rPr>
          <w:sz w:val="28"/>
          <w:szCs w:val="28"/>
        </w:rPr>
      </w:pPr>
      <w:r>
        <w:rPr>
          <w:spacing w:val="-2"/>
          <w:sz w:val="28"/>
          <w:szCs w:val="28"/>
        </w:rPr>
        <w:t>五、古建筑修缮工程计价费率</w:t>
      </w:r>
    </w:p>
    <w:p>
      <w:pPr>
        <w:spacing w:line="329" w:lineRule="auto"/>
        <w:rPr>
          <w:rFonts w:ascii="Arial"/>
          <w:sz w:val="21"/>
        </w:rPr>
      </w:pPr>
    </w:p>
    <w:p>
      <w:pPr>
        <w:pStyle w:val="2"/>
        <w:spacing w:before="86" w:line="209" w:lineRule="auto"/>
        <w:ind w:left="3782"/>
        <w:rPr>
          <w:sz w:val="20"/>
          <w:szCs w:val="20"/>
        </w:rPr>
      </w:pPr>
      <w:r>
        <w:rPr>
          <w:spacing w:val="8"/>
          <w:sz w:val="20"/>
          <w:szCs w:val="20"/>
        </w:rPr>
        <w:t>古建筑修缮工程费用费率</w:t>
      </w:r>
    </w:p>
    <w:p>
      <w:pPr>
        <w:spacing w:before="66" w:line="234" w:lineRule="auto"/>
        <w:ind w:left="8129"/>
        <w:rPr>
          <w:rFonts w:ascii="宋体" w:hAnsi="宋体" w:eastAsia="宋体" w:cs="宋体"/>
          <w:sz w:val="20"/>
          <w:szCs w:val="20"/>
        </w:rPr>
      </w:pPr>
      <w:r>
        <w:rPr>
          <w:rFonts w:ascii="宋体" w:hAnsi="宋体" w:eastAsia="宋体" w:cs="宋体"/>
          <w:spacing w:val="26"/>
          <w:sz w:val="20"/>
          <w:szCs w:val="20"/>
        </w:rPr>
        <w:t>单位：%</w:t>
      </w:r>
    </w:p>
    <w:tbl>
      <w:tblPr>
        <w:tblStyle w:val="5"/>
        <w:tblW w:w="94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4"/>
        <w:gridCol w:w="1081"/>
        <w:gridCol w:w="3354"/>
        <w:gridCol w:w="1927"/>
        <w:gridCol w:w="17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406" w:hRule="atLeast"/>
        </w:trPr>
        <w:tc>
          <w:tcPr>
            <w:tcW w:w="1304" w:type="dxa"/>
            <w:vMerge w:val="restart"/>
            <w:tcBorders>
              <w:bottom w:val="nil"/>
            </w:tcBorders>
            <w:vAlign w:val="top"/>
          </w:tcPr>
          <w:p>
            <w:pPr>
              <w:spacing w:before="326" w:line="210" w:lineRule="auto"/>
              <w:ind w:left="443"/>
              <w:rPr>
                <w:rFonts w:ascii="微软雅黑" w:hAnsi="微软雅黑" w:eastAsia="微软雅黑" w:cs="微软雅黑"/>
                <w:sz w:val="20"/>
                <w:szCs w:val="20"/>
              </w:rPr>
            </w:pPr>
            <w:r>
              <w:rPr>
                <w:rFonts w:ascii="微软雅黑" w:hAnsi="微软雅黑" w:eastAsia="微软雅黑" w:cs="微软雅黑"/>
                <w:spacing w:val="6"/>
                <w:sz w:val="20"/>
                <w:szCs w:val="20"/>
              </w:rPr>
              <w:t>序号</w:t>
            </w:r>
          </w:p>
        </w:tc>
        <w:tc>
          <w:tcPr>
            <w:tcW w:w="4435" w:type="dxa"/>
            <w:gridSpan w:val="2"/>
            <w:vMerge w:val="restart"/>
            <w:tcBorders>
              <w:bottom w:val="nil"/>
            </w:tcBorders>
            <w:vAlign w:val="top"/>
          </w:tcPr>
          <w:p>
            <w:pPr>
              <w:spacing w:before="326" w:line="209" w:lineRule="auto"/>
              <w:ind w:left="1808"/>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3685" w:type="dxa"/>
            <w:gridSpan w:val="2"/>
            <w:vAlign w:val="top"/>
          </w:tcPr>
          <w:p>
            <w:pPr>
              <w:spacing w:before="122" w:line="191" w:lineRule="auto"/>
              <w:ind w:left="1340"/>
              <w:rPr>
                <w:rFonts w:ascii="微软雅黑" w:hAnsi="微软雅黑" w:eastAsia="微软雅黑" w:cs="微软雅黑"/>
                <w:sz w:val="20"/>
                <w:szCs w:val="20"/>
              </w:rPr>
            </w:pPr>
            <w:r>
              <w:rPr>
                <w:rFonts w:ascii="微软雅黑" w:hAnsi="微软雅黑" w:eastAsia="微软雅黑" w:cs="微软雅黑"/>
                <w:spacing w:val="-6"/>
                <w:sz w:val="20"/>
                <w:szCs w:val="20"/>
              </w:rPr>
              <w:t>费率（ %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04" w:type="dxa"/>
            <w:vMerge w:val="continue"/>
            <w:tcBorders>
              <w:top w:val="nil"/>
            </w:tcBorders>
            <w:vAlign w:val="top"/>
          </w:tcPr>
          <w:p>
            <w:pPr>
              <w:pStyle w:val="6"/>
            </w:pPr>
          </w:p>
        </w:tc>
        <w:tc>
          <w:tcPr>
            <w:tcW w:w="4435" w:type="dxa"/>
            <w:gridSpan w:val="2"/>
            <w:vMerge w:val="continue"/>
            <w:tcBorders>
              <w:top w:val="nil"/>
            </w:tcBorders>
            <w:vAlign w:val="top"/>
          </w:tcPr>
          <w:p>
            <w:pPr>
              <w:pStyle w:val="6"/>
            </w:pPr>
          </w:p>
        </w:tc>
        <w:tc>
          <w:tcPr>
            <w:tcW w:w="1927" w:type="dxa"/>
            <w:vAlign w:val="top"/>
          </w:tcPr>
          <w:p>
            <w:pPr>
              <w:spacing w:before="133" w:line="219" w:lineRule="auto"/>
              <w:ind w:left="448"/>
              <w:rPr>
                <w:rFonts w:ascii="宋体" w:hAnsi="宋体" w:eastAsia="宋体" w:cs="宋体"/>
                <w:sz w:val="20"/>
                <w:szCs w:val="20"/>
              </w:rPr>
            </w:pPr>
            <w:r>
              <w:rPr>
                <w:rFonts w:ascii="宋体" w:hAnsi="宋体" w:eastAsia="宋体" w:cs="宋体"/>
                <w:spacing w:val="8"/>
                <w:sz w:val="20"/>
                <w:szCs w:val="20"/>
              </w:rPr>
              <w:t>一般计税法</w:t>
            </w:r>
          </w:p>
        </w:tc>
        <w:tc>
          <w:tcPr>
            <w:tcW w:w="1758" w:type="dxa"/>
            <w:vAlign w:val="top"/>
          </w:tcPr>
          <w:p>
            <w:pPr>
              <w:spacing w:before="132" w:line="218" w:lineRule="auto"/>
              <w:ind w:left="365"/>
              <w:rPr>
                <w:rFonts w:ascii="宋体" w:hAnsi="宋体" w:eastAsia="宋体" w:cs="宋体"/>
                <w:sz w:val="20"/>
                <w:szCs w:val="20"/>
              </w:rPr>
            </w:pPr>
            <w:r>
              <w:rPr>
                <w:rFonts w:ascii="宋体" w:hAnsi="宋体" w:eastAsia="宋体" w:cs="宋体"/>
                <w:spacing w:val="8"/>
                <w:sz w:val="20"/>
                <w:szCs w:val="20"/>
              </w:rPr>
              <w:t>简易计税法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04" w:type="dxa"/>
            <w:vAlign w:val="top"/>
          </w:tcPr>
          <w:p>
            <w:pPr>
              <w:spacing w:before="223" w:line="157" w:lineRule="exact"/>
              <w:ind w:left="554"/>
              <w:rPr>
                <w:rFonts w:ascii="宋体" w:hAnsi="宋体" w:eastAsia="宋体" w:cs="宋体"/>
                <w:sz w:val="20"/>
                <w:szCs w:val="20"/>
              </w:rPr>
            </w:pPr>
            <w:r>
              <w:rPr>
                <w:rFonts w:ascii="宋体" w:hAnsi="宋体" w:eastAsia="宋体" w:cs="宋体"/>
                <w:spacing w:val="4"/>
                <w:position w:val="-4"/>
                <w:sz w:val="20"/>
                <w:szCs w:val="20"/>
              </w:rPr>
              <w:t>一</w:t>
            </w:r>
          </w:p>
        </w:tc>
        <w:tc>
          <w:tcPr>
            <w:tcW w:w="4435" w:type="dxa"/>
            <w:gridSpan w:val="2"/>
            <w:vAlign w:val="top"/>
          </w:tcPr>
          <w:p>
            <w:pPr>
              <w:spacing w:before="132" w:line="220" w:lineRule="auto"/>
              <w:ind w:left="1697"/>
              <w:rPr>
                <w:rFonts w:ascii="宋体" w:hAnsi="宋体" w:eastAsia="宋体" w:cs="宋体"/>
                <w:sz w:val="20"/>
                <w:szCs w:val="20"/>
              </w:rPr>
            </w:pPr>
            <w:r>
              <w:rPr>
                <w:rFonts w:ascii="宋体" w:hAnsi="宋体" w:eastAsia="宋体" w:cs="宋体"/>
                <w:spacing w:val="8"/>
                <w:sz w:val="20"/>
                <w:szCs w:val="20"/>
              </w:rPr>
              <w:t>企业管理费</w:t>
            </w:r>
          </w:p>
        </w:tc>
        <w:tc>
          <w:tcPr>
            <w:tcW w:w="1927" w:type="dxa"/>
            <w:vAlign w:val="top"/>
          </w:tcPr>
          <w:p>
            <w:pPr>
              <w:spacing w:before="127" w:line="263" w:lineRule="exact"/>
              <w:ind w:left="736"/>
              <w:rPr>
                <w:rFonts w:ascii="宋体" w:hAnsi="宋体" w:eastAsia="宋体" w:cs="宋体"/>
                <w:sz w:val="20"/>
                <w:szCs w:val="20"/>
              </w:rPr>
            </w:pPr>
            <w:r>
              <w:rPr>
                <w:rFonts w:ascii="宋体" w:hAnsi="宋体" w:eastAsia="宋体" w:cs="宋体"/>
                <w:spacing w:val="-8"/>
                <w:position w:val="1"/>
                <w:sz w:val="20"/>
                <w:szCs w:val="20"/>
              </w:rPr>
              <w:t>49.25</w:t>
            </w:r>
          </w:p>
        </w:tc>
        <w:tc>
          <w:tcPr>
            <w:tcW w:w="1758" w:type="dxa"/>
            <w:vAlign w:val="top"/>
          </w:tcPr>
          <w:p>
            <w:pPr>
              <w:spacing w:before="127" w:line="263" w:lineRule="exact"/>
              <w:ind w:left="782"/>
              <w:rPr>
                <w:rFonts w:ascii="宋体" w:hAnsi="宋体" w:eastAsia="宋体" w:cs="宋体"/>
                <w:sz w:val="20"/>
                <w:szCs w:val="20"/>
              </w:rPr>
            </w:pPr>
            <w:r>
              <w:rPr>
                <w:rFonts w:ascii="宋体" w:hAnsi="宋体" w:eastAsia="宋体" w:cs="宋体"/>
                <w:position w:val="1"/>
                <w:sz w:val="20"/>
                <w:szCs w:val="20"/>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04" w:type="dxa"/>
            <w:vAlign w:val="top"/>
          </w:tcPr>
          <w:p>
            <w:pPr>
              <w:spacing w:before="163" w:line="192" w:lineRule="auto"/>
              <w:ind w:left="554"/>
              <w:rPr>
                <w:rFonts w:ascii="宋体" w:hAnsi="宋体" w:eastAsia="宋体" w:cs="宋体"/>
                <w:sz w:val="20"/>
                <w:szCs w:val="20"/>
              </w:rPr>
            </w:pPr>
            <w:r>
              <w:rPr>
                <w:rFonts w:ascii="宋体" w:hAnsi="宋体" w:eastAsia="宋体" w:cs="宋体"/>
                <w:spacing w:val="4"/>
                <w:sz w:val="20"/>
                <w:szCs w:val="20"/>
              </w:rPr>
              <w:t>二</w:t>
            </w:r>
          </w:p>
        </w:tc>
        <w:tc>
          <w:tcPr>
            <w:tcW w:w="4435" w:type="dxa"/>
            <w:gridSpan w:val="2"/>
            <w:vAlign w:val="top"/>
          </w:tcPr>
          <w:p>
            <w:pPr>
              <w:spacing w:before="136" w:line="217" w:lineRule="auto"/>
              <w:ind w:left="2015"/>
              <w:rPr>
                <w:rFonts w:ascii="宋体" w:hAnsi="宋体" w:eastAsia="宋体" w:cs="宋体"/>
                <w:sz w:val="20"/>
                <w:szCs w:val="20"/>
              </w:rPr>
            </w:pPr>
            <w:r>
              <w:rPr>
                <w:rFonts w:ascii="宋体" w:hAnsi="宋体" w:eastAsia="宋体" w:cs="宋体"/>
                <w:spacing w:val="6"/>
                <w:sz w:val="20"/>
                <w:szCs w:val="20"/>
              </w:rPr>
              <w:t>利润</w:t>
            </w:r>
          </w:p>
        </w:tc>
        <w:tc>
          <w:tcPr>
            <w:tcW w:w="1927" w:type="dxa"/>
            <w:vAlign w:val="top"/>
          </w:tcPr>
          <w:p>
            <w:pPr>
              <w:spacing w:before="128" w:line="242" w:lineRule="auto"/>
              <w:ind w:left="872"/>
              <w:rPr>
                <w:rFonts w:ascii="宋体" w:hAnsi="宋体" w:eastAsia="宋体" w:cs="宋体"/>
                <w:sz w:val="20"/>
                <w:szCs w:val="20"/>
              </w:rPr>
            </w:pPr>
            <w:r>
              <w:rPr>
                <w:rFonts w:ascii="宋体" w:hAnsi="宋体" w:eastAsia="宋体" w:cs="宋体"/>
                <w:spacing w:val="-2"/>
                <w:sz w:val="20"/>
                <w:szCs w:val="20"/>
              </w:rPr>
              <w:t>30</w:t>
            </w:r>
          </w:p>
        </w:tc>
        <w:tc>
          <w:tcPr>
            <w:tcW w:w="1758" w:type="dxa"/>
            <w:vAlign w:val="top"/>
          </w:tcPr>
          <w:p>
            <w:pPr>
              <w:spacing w:before="128" w:line="242" w:lineRule="auto"/>
              <w:ind w:left="786"/>
              <w:rPr>
                <w:rFonts w:ascii="宋体" w:hAnsi="宋体" w:eastAsia="宋体" w:cs="宋体"/>
                <w:sz w:val="20"/>
                <w:szCs w:val="20"/>
              </w:rPr>
            </w:pPr>
            <w:r>
              <w:rPr>
                <w:rFonts w:ascii="宋体" w:hAnsi="宋体" w:eastAsia="宋体" w:cs="宋体"/>
                <w:spacing w:val="-2"/>
                <w:sz w:val="20"/>
                <w:szCs w:val="20"/>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restart"/>
            <w:tcBorders>
              <w:bottom w:val="nil"/>
            </w:tcBorders>
            <w:vAlign w:val="top"/>
          </w:tcPr>
          <w:p>
            <w:pPr>
              <w:pStyle w:val="6"/>
              <w:spacing w:line="348" w:lineRule="auto"/>
            </w:pPr>
          </w:p>
          <w:p>
            <w:pPr>
              <w:pStyle w:val="6"/>
              <w:spacing w:line="348" w:lineRule="auto"/>
            </w:pPr>
          </w:p>
          <w:p>
            <w:pPr>
              <w:spacing w:before="65" w:line="201" w:lineRule="auto"/>
              <w:ind w:left="557"/>
              <w:rPr>
                <w:rFonts w:ascii="宋体" w:hAnsi="宋体" w:eastAsia="宋体" w:cs="宋体"/>
                <w:sz w:val="20"/>
                <w:szCs w:val="20"/>
              </w:rPr>
            </w:pPr>
            <w:r>
              <w:rPr>
                <w:rFonts w:ascii="宋体" w:hAnsi="宋体" w:eastAsia="宋体" w:cs="宋体"/>
                <w:sz w:val="20"/>
                <w:szCs w:val="20"/>
              </w:rPr>
              <w:t>三</w:t>
            </w:r>
          </w:p>
        </w:tc>
        <w:tc>
          <w:tcPr>
            <w:tcW w:w="1081" w:type="dxa"/>
            <w:vMerge w:val="restart"/>
            <w:tcBorders>
              <w:bottom w:val="nil"/>
            </w:tcBorders>
            <w:vAlign w:val="top"/>
          </w:tcPr>
          <w:p>
            <w:pPr>
              <w:pStyle w:val="6"/>
              <w:spacing w:line="250" w:lineRule="auto"/>
            </w:pPr>
          </w:p>
          <w:p>
            <w:pPr>
              <w:pStyle w:val="6"/>
              <w:spacing w:line="250" w:lineRule="auto"/>
            </w:pPr>
          </w:p>
          <w:p>
            <w:pPr>
              <w:spacing w:before="65" w:line="337" w:lineRule="auto"/>
              <w:ind w:left="230" w:right="219" w:firstLine="114"/>
              <w:rPr>
                <w:rFonts w:ascii="宋体" w:hAnsi="宋体" w:eastAsia="宋体" w:cs="宋体"/>
                <w:sz w:val="20"/>
                <w:szCs w:val="20"/>
              </w:rPr>
            </w:pPr>
            <w:r>
              <w:rPr>
                <w:rFonts w:ascii="宋体" w:hAnsi="宋体" w:eastAsia="宋体" w:cs="宋体"/>
                <w:spacing w:val="2"/>
                <w:sz w:val="20"/>
                <w:szCs w:val="20"/>
              </w:rPr>
              <w:t>总价</w:t>
            </w:r>
            <w:r>
              <w:rPr>
                <w:rFonts w:ascii="宋体" w:hAnsi="宋体" w:eastAsia="宋体" w:cs="宋体"/>
                <w:spacing w:val="8"/>
                <w:sz w:val="20"/>
                <w:szCs w:val="20"/>
              </w:rPr>
              <w:t>措施费</w:t>
            </w:r>
          </w:p>
        </w:tc>
        <w:tc>
          <w:tcPr>
            <w:tcW w:w="3354" w:type="dxa"/>
            <w:vAlign w:val="top"/>
          </w:tcPr>
          <w:p>
            <w:pPr>
              <w:spacing w:before="134" w:line="220" w:lineRule="auto"/>
              <w:ind w:left="43"/>
              <w:rPr>
                <w:rFonts w:ascii="宋体" w:hAnsi="宋体" w:eastAsia="宋体" w:cs="宋体"/>
                <w:sz w:val="20"/>
                <w:szCs w:val="20"/>
              </w:rPr>
            </w:pPr>
            <w:r>
              <w:rPr>
                <w:rFonts w:ascii="宋体" w:hAnsi="宋体" w:eastAsia="宋体" w:cs="宋体"/>
                <w:spacing w:val="8"/>
                <w:sz w:val="20"/>
                <w:szCs w:val="20"/>
              </w:rPr>
              <w:t>夜间施工费</w:t>
            </w:r>
          </w:p>
        </w:tc>
        <w:tc>
          <w:tcPr>
            <w:tcW w:w="1927" w:type="dxa"/>
            <w:vAlign w:val="top"/>
          </w:tcPr>
          <w:p>
            <w:pPr>
              <w:spacing w:before="128" w:line="263" w:lineRule="exact"/>
              <w:ind w:left="795"/>
              <w:rPr>
                <w:rFonts w:ascii="宋体" w:hAnsi="宋体" w:eastAsia="宋体" w:cs="宋体"/>
                <w:sz w:val="20"/>
                <w:szCs w:val="20"/>
              </w:rPr>
            </w:pPr>
            <w:r>
              <w:rPr>
                <w:rFonts w:ascii="宋体" w:hAnsi="宋体" w:eastAsia="宋体" w:cs="宋体"/>
                <w:spacing w:val="-12"/>
                <w:position w:val="1"/>
                <w:sz w:val="20"/>
                <w:szCs w:val="20"/>
              </w:rPr>
              <w:t>3.94</w:t>
            </w:r>
          </w:p>
        </w:tc>
        <w:tc>
          <w:tcPr>
            <w:tcW w:w="1758" w:type="dxa"/>
            <w:vAlign w:val="top"/>
          </w:tcPr>
          <w:p>
            <w:pPr>
              <w:spacing w:before="128" w:line="263" w:lineRule="exact"/>
              <w:ind w:left="702"/>
              <w:rPr>
                <w:rFonts w:ascii="宋体" w:hAnsi="宋体" w:eastAsia="宋体" w:cs="宋体"/>
                <w:sz w:val="20"/>
                <w:szCs w:val="20"/>
              </w:rPr>
            </w:pPr>
            <w:r>
              <w:rPr>
                <w:rFonts w:ascii="宋体" w:hAnsi="宋体" w:eastAsia="宋体" w:cs="宋体"/>
                <w:spacing w:val="-10"/>
                <w:position w:val="1"/>
                <w:sz w:val="20"/>
                <w:szCs w:val="20"/>
              </w:rPr>
              <w:t>4.30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36" w:line="219" w:lineRule="auto"/>
              <w:ind w:left="43"/>
              <w:rPr>
                <w:rFonts w:ascii="宋体" w:hAnsi="宋体" w:eastAsia="宋体" w:cs="宋体"/>
                <w:sz w:val="20"/>
                <w:szCs w:val="20"/>
              </w:rPr>
            </w:pPr>
            <w:r>
              <w:rPr>
                <w:rFonts w:ascii="宋体" w:hAnsi="宋体" w:eastAsia="宋体" w:cs="宋体"/>
                <w:spacing w:val="8"/>
                <w:sz w:val="20"/>
                <w:szCs w:val="20"/>
              </w:rPr>
              <w:t>二次搬运费</w:t>
            </w:r>
          </w:p>
        </w:tc>
        <w:tc>
          <w:tcPr>
            <w:tcW w:w="1927" w:type="dxa"/>
            <w:vAlign w:val="top"/>
          </w:tcPr>
          <w:p>
            <w:pPr>
              <w:spacing w:before="129" w:line="241" w:lineRule="auto"/>
              <w:ind w:left="795"/>
              <w:rPr>
                <w:rFonts w:ascii="宋体" w:hAnsi="宋体" w:eastAsia="宋体" w:cs="宋体"/>
                <w:sz w:val="20"/>
                <w:szCs w:val="20"/>
              </w:rPr>
            </w:pPr>
            <w:r>
              <w:rPr>
                <w:rFonts w:ascii="宋体" w:hAnsi="宋体" w:eastAsia="宋体" w:cs="宋体"/>
                <w:spacing w:val="-12"/>
                <w:sz w:val="20"/>
                <w:szCs w:val="20"/>
              </w:rPr>
              <w:t>3.48</w:t>
            </w:r>
          </w:p>
        </w:tc>
        <w:tc>
          <w:tcPr>
            <w:tcW w:w="1758" w:type="dxa"/>
            <w:vAlign w:val="top"/>
          </w:tcPr>
          <w:p>
            <w:pPr>
              <w:spacing w:before="129" w:line="241" w:lineRule="auto"/>
              <w:ind w:left="709"/>
              <w:rPr>
                <w:rFonts w:ascii="宋体" w:hAnsi="宋体" w:eastAsia="宋体" w:cs="宋体"/>
                <w:sz w:val="20"/>
                <w:szCs w:val="20"/>
              </w:rPr>
            </w:pPr>
            <w:r>
              <w:rPr>
                <w:rFonts w:ascii="宋体" w:hAnsi="宋体" w:eastAsia="宋体" w:cs="宋体"/>
                <w:spacing w:val="-12"/>
                <w:sz w:val="20"/>
                <w:szCs w:val="20"/>
              </w:rPr>
              <w:t>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37" w:line="220" w:lineRule="auto"/>
              <w:ind w:left="43"/>
              <w:rPr>
                <w:rFonts w:ascii="宋体" w:hAnsi="宋体" w:eastAsia="宋体" w:cs="宋体"/>
                <w:sz w:val="20"/>
                <w:szCs w:val="20"/>
              </w:rPr>
            </w:pPr>
            <w:r>
              <w:rPr>
                <w:rFonts w:ascii="宋体" w:hAnsi="宋体" w:eastAsia="宋体" w:cs="宋体"/>
                <w:spacing w:val="9"/>
                <w:sz w:val="20"/>
                <w:szCs w:val="20"/>
              </w:rPr>
              <w:t>冬雨季施工增加费</w:t>
            </w:r>
          </w:p>
        </w:tc>
        <w:tc>
          <w:tcPr>
            <w:tcW w:w="1927" w:type="dxa"/>
            <w:vAlign w:val="top"/>
          </w:tcPr>
          <w:p>
            <w:pPr>
              <w:spacing w:before="131"/>
              <w:ind w:left="789"/>
              <w:rPr>
                <w:rFonts w:ascii="宋体" w:hAnsi="宋体" w:eastAsia="宋体" w:cs="宋体"/>
                <w:sz w:val="20"/>
                <w:szCs w:val="20"/>
              </w:rPr>
            </w:pPr>
            <w:r>
              <w:rPr>
                <w:rFonts w:ascii="宋体" w:hAnsi="宋体" w:eastAsia="宋体" w:cs="宋体"/>
                <w:spacing w:val="-10"/>
                <w:sz w:val="20"/>
                <w:szCs w:val="20"/>
              </w:rPr>
              <w:t>4.40</w:t>
            </w:r>
          </w:p>
        </w:tc>
        <w:tc>
          <w:tcPr>
            <w:tcW w:w="1758" w:type="dxa"/>
            <w:vAlign w:val="top"/>
          </w:tcPr>
          <w:p>
            <w:pPr>
              <w:spacing w:before="131"/>
              <w:ind w:left="702"/>
              <w:rPr>
                <w:rFonts w:ascii="宋体" w:hAnsi="宋体" w:eastAsia="宋体" w:cs="宋体"/>
                <w:sz w:val="20"/>
                <w:szCs w:val="20"/>
              </w:rPr>
            </w:pPr>
            <w:r>
              <w:rPr>
                <w:rFonts w:ascii="宋体" w:hAnsi="宋体" w:eastAsia="宋体" w:cs="宋体"/>
                <w:spacing w:val="-10"/>
                <w:sz w:val="20"/>
                <w:szCs w:val="20"/>
              </w:rPr>
              <w:t>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tcBorders>
            <w:vAlign w:val="top"/>
          </w:tcPr>
          <w:p>
            <w:pPr>
              <w:pStyle w:val="6"/>
            </w:pPr>
          </w:p>
        </w:tc>
        <w:tc>
          <w:tcPr>
            <w:tcW w:w="1081" w:type="dxa"/>
            <w:vMerge w:val="continue"/>
            <w:tcBorders>
              <w:top w:val="nil"/>
            </w:tcBorders>
            <w:vAlign w:val="top"/>
          </w:tcPr>
          <w:p>
            <w:pPr>
              <w:pStyle w:val="6"/>
            </w:pPr>
          </w:p>
        </w:tc>
        <w:tc>
          <w:tcPr>
            <w:tcW w:w="3354" w:type="dxa"/>
            <w:vAlign w:val="top"/>
          </w:tcPr>
          <w:p>
            <w:pPr>
              <w:spacing w:before="133" w:line="223" w:lineRule="auto"/>
              <w:ind w:left="43"/>
              <w:rPr>
                <w:rFonts w:ascii="宋体" w:hAnsi="宋体" w:eastAsia="宋体" w:cs="宋体"/>
                <w:sz w:val="20"/>
                <w:szCs w:val="20"/>
              </w:rPr>
            </w:pPr>
            <w:r>
              <w:rPr>
                <w:rFonts w:ascii="宋体" w:hAnsi="宋体" w:eastAsia="宋体" w:cs="宋体"/>
                <w:spacing w:val="9"/>
                <w:sz w:val="20"/>
                <w:szCs w:val="20"/>
              </w:rPr>
              <w:t>原有建筑物及设备保护费</w:t>
            </w:r>
          </w:p>
        </w:tc>
        <w:tc>
          <w:tcPr>
            <w:tcW w:w="1927" w:type="dxa"/>
            <w:vAlign w:val="top"/>
          </w:tcPr>
          <w:p>
            <w:pPr>
              <w:spacing w:before="129" w:line="242" w:lineRule="auto"/>
              <w:ind w:left="792"/>
              <w:rPr>
                <w:rFonts w:ascii="宋体" w:hAnsi="宋体" w:eastAsia="宋体" w:cs="宋体"/>
                <w:sz w:val="20"/>
                <w:szCs w:val="20"/>
              </w:rPr>
            </w:pPr>
            <w:r>
              <w:rPr>
                <w:rFonts w:ascii="宋体" w:hAnsi="宋体" w:eastAsia="宋体" w:cs="宋体"/>
                <w:spacing w:val="-11"/>
                <w:sz w:val="20"/>
                <w:szCs w:val="20"/>
              </w:rPr>
              <w:t>2.75</w:t>
            </w:r>
          </w:p>
        </w:tc>
        <w:tc>
          <w:tcPr>
            <w:tcW w:w="1758" w:type="dxa"/>
            <w:vAlign w:val="top"/>
          </w:tcPr>
          <w:p>
            <w:pPr>
              <w:spacing w:before="129" w:line="242" w:lineRule="auto"/>
              <w:ind w:left="709"/>
              <w:rPr>
                <w:rFonts w:ascii="宋体" w:hAnsi="宋体" w:eastAsia="宋体" w:cs="宋体"/>
                <w:sz w:val="20"/>
                <w:szCs w:val="20"/>
              </w:rPr>
            </w:pPr>
            <w:r>
              <w:rPr>
                <w:rFonts w:ascii="宋体" w:hAnsi="宋体" w:eastAsia="宋体" w:cs="宋体"/>
                <w:spacing w:val="-12"/>
                <w:sz w:val="20"/>
                <w:szCs w:val="20"/>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restart"/>
            <w:tcBorders>
              <w:bottom w:val="nil"/>
            </w:tcBorders>
            <w:vAlign w:val="top"/>
          </w:tcPr>
          <w:p>
            <w:pPr>
              <w:pStyle w:val="6"/>
              <w:spacing w:line="250" w:lineRule="auto"/>
            </w:pPr>
          </w:p>
          <w:p>
            <w:pPr>
              <w:pStyle w:val="6"/>
              <w:spacing w:line="250" w:lineRule="auto"/>
            </w:pPr>
          </w:p>
          <w:p>
            <w:pPr>
              <w:pStyle w:val="6"/>
              <w:spacing w:line="250" w:lineRule="auto"/>
            </w:pPr>
          </w:p>
          <w:p>
            <w:pPr>
              <w:pStyle w:val="6"/>
              <w:spacing w:line="250" w:lineRule="auto"/>
            </w:pPr>
          </w:p>
          <w:p>
            <w:pPr>
              <w:pStyle w:val="6"/>
              <w:spacing w:line="250" w:lineRule="auto"/>
            </w:pPr>
          </w:p>
          <w:p>
            <w:pPr>
              <w:pStyle w:val="6"/>
              <w:spacing w:line="251" w:lineRule="auto"/>
            </w:pPr>
          </w:p>
          <w:p>
            <w:pPr>
              <w:spacing w:before="65" w:line="199" w:lineRule="auto"/>
              <w:ind w:left="575"/>
              <w:rPr>
                <w:rFonts w:ascii="宋体" w:hAnsi="宋体" w:eastAsia="宋体" w:cs="宋体"/>
                <w:sz w:val="20"/>
                <w:szCs w:val="20"/>
              </w:rPr>
            </w:pPr>
            <w:r>
              <w:rPr>
                <w:rFonts w:ascii="宋体" w:hAnsi="宋体" w:eastAsia="宋体" w:cs="宋体"/>
                <w:sz w:val="20"/>
                <w:szCs w:val="20"/>
              </w:rPr>
              <w:t>四</w:t>
            </w:r>
          </w:p>
        </w:tc>
        <w:tc>
          <w:tcPr>
            <w:tcW w:w="1081" w:type="dxa"/>
            <w:vMerge w:val="restart"/>
            <w:tcBorders>
              <w:bottom w:val="nil"/>
            </w:tcBorders>
            <w:vAlign w:val="top"/>
          </w:tcPr>
          <w:p>
            <w:pPr>
              <w:pStyle w:val="6"/>
              <w:spacing w:line="247" w:lineRule="auto"/>
            </w:pPr>
          </w:p>
          <w:p>
            <w:pPr>
              <w:pStyle w:val="6"/>
              <w:spacing w:line="248" w:lineRule="auto"/>
            </w:pPr>
          </w:p>
          <w:p>
            <w:pPr>
              <w:pStyle w:val="6"/>
              <w:spacing w:line="248" w:lineRule="auto"/>
            </w:pPr>
          </w:p>
          <w:p>
            <w:pPr>
              <w:pStyle w:val="6"/>
              <w:spacing w:line="248" w:lineRule="auto"/>
            </w:pPr>
          </w:p>
          <w:p>
            <w:pPr>
              <w:pStyle w:val="6"/>
              <w:spacing w:line="248" w:lineRule="auto"/>
            </w:pPr>
          </w:p>
          <w:p>
            <w:pPr>
              <w:pStyle w:val="6"/>
              <w:spacing w:line="248" w:lineRule="auto"/>
            </w:pPr>
          </w:p>
          <w:p>
            <w:pPr>
              <w:spacing w:before="65" w:line="219" w:lineRule="auto"/>
              <w:ind w:left="337"/>
              <w:rPr>
                <w:rFonts w:ascii="宋体" w:hAnsi="宋体" w:eastAsia="宋体" w:cs="宋体"/>
                <w:sz w:val="20"/>
                <w:szCs w:val="20"/>
              </w:rPr>
            </w:pPr>
            <w:r>
              <w:rPr>
                <w:rFonts w:ascii="宋体" w:hAnsi="宋体" w:eastAsia="宋体" w:cs="宋体"/>
                <w:spacing w:val="6"/>
                <w:sz w:val="20"/>
                <w:szCs w:val="20"/>
              </w:rPr>
              <w:t>规费</w:t>
            </w:r>
          </w:p>
        </w:tc>
        <w:tc>
          <w:tcPr>
            <w:tcW w:w="3354" w:type="dxa"/>
            <w:vAlign w:val="top"/>
          </w:tcPr>
          <w:p>
            <w:pPr>
              <w:spacing w:before="138" w:line="219" w:lineRule="auto"/>
              <w:ind w:left="43"/>
              <w:rPr>
                <w:rFonts w:ascii="宋体" w:hAnsi="宋体" w:eastAsia="宋体" w:cs="宋体"/>
                <w:sz w:val="20"/>
                <w:szCs w:val="20"/>
              </w:rPr>
            </w:pPr>
            <w:r>
              <w:rPr>
                <w:rFonts w:ascii="宋体" w:hAnsi="宋体" w:eastAsia="宋体" w:cs="宋体"/>
                <w:spacing w:val="9"/>
                <w:sz w:val="20"/>
                <w:szCs w:val="20"/>
              </w:rPr>
              <w:t>安全文明施工费</w:t>
            </w:r>
          </w:p>
        </w:tc>
        <w:tc>
          <w:tcPr>
            <w:tcW w:w="1927" w:type="dxa"/>
            <w:vAlign w:val="top"/>
          </w:tcPr>
          <w:p>
            <w:pPr>
              <w:spacing w:before="130" w:line="241" w:lineRule="auto"/>
              <w:ind w:left="792"/>
              <w:rPr>
                <w:rFonts w:ascii="宋体" w:hAnsi="宋体" w:eastAsia="宋体" w:cs="宋体"/>
                <w:sz w:val="20"/>
                <w:szCs w:val="20"/>
              </w:rPr>
            </w:pPr>
            <w:r>
              <w:rPr>
                <w:rFonts w:ascii="宋体" w:hAnsi="宋体" w:eastAsia="宋体" w:cs="宋体"/>
                <w:spacing w:val="-11"/>
                <w:sz w:val="20"/>
                <w:szCs w:val="20"/>
              </w:rPr>
              <w:t>5.66</w:t>
            </w:r>
          </w:p>
        </w:tc>
        <w:tc>
          <w:tcPr>
            <w:tcW w:w="1758" w:type="dxa"/>
            <w:vAlign w:val="top"/>
          </w:tcPr>
          <w:p>
            <w:pPr>
              <w:spacing w:before="130" w:line="241" w:lineRule="auto"/>
              <w:ind w:left="706"/>
              <w:rPr>
                <w:rFonts w:ascii="宋体" w:hAnsi="宋体" w:eastAsia="宋体" w:cs="宋体"/>
                <w:sz w:val="20"/>
                <w:szCs w:val="20"/>
              </w:rPr>
            </w:pPr>
            <w:r>
              <w:rPr>
                <w:rFonts w:ascii="宋体" w:hAnsi="宋体" w:eastAsia="宋体" w:cs="宋体"/>
                <w:spacing w:val="-11"/>
                <w:sz w:val="20"/>
                <w:szCs w:val="20"/>
              </w:rPr>
              <w:t>5.46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29" w:line="242" w:lineRule="auto"/>
              <w:ind w:left="42"/>
              <w:rPr>
                <w:rFonts w:ascii="宋体" w:hAnsi="宋体" w:eastAsia="宋体" w:cs="宋体"/>
                <w:sz w:val="20"/>
                <w:szCs w:val="20"/>
              </w:rPr>
            </w:pPr>
            <w:r>
              <w:rPr>
                <w:rFonts w:ascii="宋体" w:hAnsi="宋体" w:eastAsia="宋体" w:cs="宋体"/>
                <w:spacing w:val="3"/>
                <w:sz w:val="20"/>
                <w:szCs w:val="20"/>
              </w:rPr>
              <w:t>其中：1.安全施工费</w:t>
            </w:r>
          </w:p>
        </w:tc>
        <w:tc>
          <w:tcPr>
            <w:tcW w:w="1927" w:type="dxa"/>
            <w:vAlign w:val="top"/>
          </w:tcPr>
          <w:p>
            <w:pPr>
              <w:spacing w:before="129" w:line="242" w:lineRule="auto"/>
              <w:ind w:left="795"/>
              <w:rPr>
                <w:rFonts w:ascii="宋体" w:hAnsi="宋体" w:eastAsia="宋体" w:cs="宋体"/>
                <w:sz w:val="20"/>
                <w:szCs w:val="20"/>
              </w:rPr>
            </w:pPr>
            <w:r>
              <w:rPr>
                <w:rFonts w:ascii="宋体" w:hAnsi="宋体" w:eastAsia="宋体" w:cs="宋体"/>
                <w:spacing w:val="-12"/>
                <w:sz w:val="20"/>
                <w:szCs w:val="20"/>
              </w:rPr>
              <w:t>3.51</w:t>
            </w:r>
          </w:p>
        </w:tc>
        <w:tc>
          <w:tcPr>
            <w:tcW w:w="1758" w:type="dxa"/>
            <w:vAlign w:val="top"/>
          </w:tcPr>
          <w:p>
            <w:pPr>
              <w:spacing w:before="129" w:line="242" w:lineRule="auto"/>
              <w:ind w:left="709"/>
              <w:rPr>
                <w:rFonts w:ascii="宋体" w:hAnsi="宋体" w:eastAsia="宋体" w:cs="宋体"/>
                <w:sz w:val="20"/>
                <w:szCs w:val="20"/>
              </w:rPr>
            </w:pPr>
            <w:r>
              <w:rPr>
                <w:rFonts w:ascii="宋体" w:hAnsi="宋体" w:eastAsia="宋体" w:cs="宋体"/>
                <w:spacing w:val="-12"/>
                <w:sz w:val="20"/>
                <w:szCs w:val="20"/>
              </w:rPr>
              <w:t>3.31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30" w:line="241" w:lineRule="auto"/>
              <w:ind w:left="675"/>
              <w:rPr>
                <w:rFonts w:ascii="宋体" w:hAnsi="宋体" w:eastAsia="宋体" w:cs="宋体"/>
                <w:sz w:val="20"/>
                <w:szCs w:val="20"/>
              </w:rPr>
            </w:pPr>
            <w:r>
              <w:rPr>
                <w:rFonts w:ascii="宋体" w:hAnsi="宋体" w:eastAsia="宋体" w:cs="宋体"/>
                <w:spacing w:val="-1"/>
                <w:sz w:val="20"/>
                <w:szCs w:val="20"/>
              </w:rPr>
              <w:t>2.环境保护费</w:t>
            </w:r>
          </w:p>
        </w:tc>
        <w:tc>
          <w:tcPr>
            <w:tcW w:w="1927" w:type="dxa"/>
            <w:vAlign w:val="top"/>
          </w:tcPr>
          <w:p>
            <w:pPr>
              <w:spacing w:before="130" w:line="241" w:lineRule="auto"/>
              <w:ind w:left="791"/>
              <w:rPr>
                <w:rFonts w:ascii="宋体" w:hAnsi="宋体" w:eastAsia="宋体" w:cs="宋体"/>
                <w:sz w:val="20"/>
                <w:szCs w:val="20"/>
              </w:rPr>
            </w:pPr>
            <w:r>
              <w:rPr>
                <w:rFonts w:ascii="宋体" w:hAnsi="宋体" w:eastAsia="宋体" w:cs="宋体"/>
                <w:spacing w:val="-11"/>
                <w:sz w:val="20"/>
                <w:szCs w:val="20"/>
              </w:rPr>
              <w:t>0.25</w:t>
            </w:r>
          </w:p>
        </w:tc>
        <w:tc>
          <w:tcPr>
            <w:tcW w:w="1758" w:type="dxa"/>
            <w:vAlign w:val="top"/>
          </w:tcPr>
          <w:p>
            <w:pPr>
              <w:spacing w:before="130" w:line="241" w:lineRule="auto"/>
              <w:ind w:left="705"/>
              <w:rPr>
                <w:rFonts w:ascii="宋体" w:hAnsi="宋体" w:eastAsia="宋体" w:cs="宋体"/>
                <w:sz w:val="20"/>
                <w:szCs w:val="20"/>
              </w:rPr>
            </w:pPr>
            <w:r>
              <w:rPr>
                <w:rFonts w:ascii="宋体" w:hAnsi="宋体" w:eastAsia="宋体" w:cs="宋体"/>
                <w:spacing w:val="-11"/>
                <w:sz w:val="20"/>
                <w:szCs w:val="20"/>
              </w:rPr>
              <w:t>0.25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29" w:line="242" w:lineRule="auto"/>
              <w:ind w:left="679"/>
              <w:rPr>
                <w:rFonts w:ascii="宋体" w:hAnsi="宋体" w:eastAsia="宋体" w:cs="宋体"/>
                <w:sz w:val="20"/>
                <w:szCs w:val="20"/>
              </w:rPr>
            </w:pPr>
            <w:r>
              <w:rPr>
                <w:rFonts w:ascii="宋体" w:hAnsi="宋体" w:eastAsia="宋体" w:cs="宋体"/>
                <w:spacing w:val="-1"/>
                <w:sz w:val="20"/>
                <w:szCs w:val="20"/>
              </w:rPr>
              <w:t>3.文明施工费</w:t>
            </w:r>
          </w:p>
        </w:tc>
        <w:tc>
          <w:tcPr>
            <w:tcW w:w="1927" w:type="dxa"/>
            <w:vAlign w:val="top"/>
          </w:tcPr>
          <w:p>
            <w:pPr>
              <w:spacing w:before="129" w:line="242" w:lineRule="auto"/>
              <w:ind w:left="791"/>
              <w:rPr>
                <w:rFonts w:ascii="宋体" w:hAnsi="宋体" w:eastAsia="宋体" w:cs="宋体"/>
                <w:sz w:val="20"/>
                <w:szCs w:val="20"/>
              </w:rPr>
            </w:pPr>
            <w:r>
              <w:rPr>
                <w:rFonts w:ascii="宋体" w:hAnsi="宋体" w:eastAsia="宋体" w:cs="宋体"/>
                <w:spacing w:val="-11"/>
                <w:sz w:val="20"/>
                <w:szCs w:val="20"/>
              </w:rPr>
              <w:t>0.53</w:t>
            </w:r>
          </w:p>
        </w:tc>
        <w:tc>
          <w:tcPr>
            <w:tcW w:w="1758" w:type="dxa"/>
            <w:vAlign w:val="top"/>
          </w:tcPr>
          <w:p>
            <w:pPr>
              <w:spacing w:before="129" w:line="242" w:lineRule="auto"/>
              <w:ind w:left="705"/>
              <w:rPr>
                <w:rFonts w:ascii="宋体" w:hAnsi="宋体" w:eastAsia="宋体" w:cs="宋体"/>
                <w:sz w:val="20"/>
                <w:szCs w:val="20"/>
              </w:rPr>
            </w:pPr>
            <w:r>
              <w:rPr>
                <w:rFonts w:ascii="宋体" w:hAnsi="宋体" w:eastAsia="宋体" w:cs="宋体"/>
                <w:spacing w:val="-11"/>
                <w:sz w:val="20"/>
                <w:szCs w:val="20"/>
              </w:rPr>
              <w:t>0.53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30" w:line="241" w:lineRule="auto"/>
              <w:ind w:left="672"/>
              <w:rPr>
                <w:rFonts w:ascii="宋体" w:hAnsi="宋体" w:eastAsia="宋体" w:cs="宋体"/>
                <w:sz w:val="20"/>
                <w:szCs w:val="20"/>
              </w:rPr>
            </w:pPr>
            <w:r>
              <w:rPr>
                <w:rFonts w:ascii="宋体" w:hAnsi="宋体" w:eastAsia="宋体" w:cs="宋体"/>
                <w:sz w:val="20"/>
                <w:szCs w:val="20"/>
              </w:rPr>
              <w:t>4.临时设施费</w:t>
            </w:r>
          </w:p>
        </w:tc>
        <w:tc>
          <w:tcPr>
            <w:tcW w:w="1927" w:type="dxa"/>
            <w:vAlign w:val="top"/>
          </w:tcPr>
          <w:p>
            <w:pPr>
              <w:spacing w:before="130" w:line="241" w:lineRule="auto"/>
              <w:ind w:left="809"/>
              <w:rPr>
                <w:rFonts w:ascii="宋体" w:hAnsi="宋体" w:eastAsia="宋体" w:cs="宋体"/>
                <w:sz w:val="20"/>
                <w:szCs w:val="20"/>
              </w:rPr>
            </w:pPr>
            <w:r>
              <w:rPr>
                <w:rFonts w:ascii="宋体" w:hAnsi="宋体" w:eastAsia="宋体" w:cs="宋体"/>
                <w:spacing w:val="-15"/>
                <w:sz w:val="20"/>
                <w:szCs w:val="20"/>
              </w:rPr>
              <w:t>1.37</w:t>
            </w:r>
          </w:p>
        </w:tc>
        <w:tc>
          <w:tcPr>
            <w:tcW w:w="1758" w:type="dxa"/>
            <w:vAlign w:val="top"/>
          </w:tcPr>
          <w:p>
            <w:pPr>
              <w:spacing w:before="130" w:line="241" w:lineRule="auto"/>
              <w:ind w:left="723"/>
              <w:rPr>
                <w:rFonts w:ascii="宋体" w:hAnsi="宋体" w:eastAsia="宋体" w:cs="宋体"/>
                <w:sz w:val="20"/>
                <w:szCs w:val="20"/>
              </w:rPr>
            </w:pPr>
            <w:r>
              <w:rPr>
                <w:rFonts w:ascii="宋体" w:hAnsi="宋体" w:eastAsia="宋体" w:cs="宋体"/>
                <w:spacing w:val="-15"/>
                <w:sz w:val="20"/>
                <w:szCs w:val="20"/>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30" w:line="241" w:lineRule="auto"/>
              <w:ind w:left="107"/>
              <w:rPr>
                <w:rFonts w:ascii="宋体" w:hAnsi="宋体" w:eastAsia="宋体" w:cs="宋体"/>
                <w:sz w:val="20"/>
                <w:szCs w:val="20"/>
              </w:rPr>
            </w:pPr>
            <w:r>
              <w:rPr>
                <w:rFonts w:ascii="宋体" w:hAnsi="宋体" w:eastAsia="宋体" w:cs="宋体"/>
                <w:spacing w:val="9"/>
                <w:sz w:val="20"/>
                <w:szCs w:val="20"/>
              </w:rPr>
              <w:t>社会保险费</w:t>
            </w:r>
          </w:p>
        </w:tc>
        <w:tc>
          <w:tcPr>
            <w:tcW w:w="1927" w:type="dxa"/>
            <w:vAlign w:val="top"/>
          </w:tcPr>
          <w:p>
            <w:pPr>
              <w:spacing w:before="130" w:line="241" w:lineRule="auto"/>
              <w:ind w:left="809"/>
              <w:rPr>
                <w:rFonts w:ascii="宋体" w:hAnsi="宋体" w:eastAsia="宋体" w:cs="宋体"/>
                <w:sz w:val="20"/>
                <w:szCs w:val="20"/>
              </w:rPr>
            </w:pPr>
            <w:r>
              <w:rPr>
                <w:rFonts w:ascii="宋体" w:hAnsi="宋体" w:eastAsia="宋体" w:cs="宋体"/>
                <w:spacing w:val="-15"/>
                <w:sz w:val="20"/>
                <w:szCs w:val="20"/>
              </w:rPr>
              <w:t>1.52</w:t>
            </w:r>
          </w:p>
        </w:tc>
        <w:tc>
          <w:tcPr>
            <w:tcW w:w="1758" w:type="dxa"/>
            <w:vAlign w:val="top"/>
          </w:tcPr>
          <w:p>
            <w:pPr>
              <w:spacing w:before="130" w:line="241" w:lineRule="auto"/>
              <w:ind w:left="723"/>
              <w:rPr>
                <w:rFonts w:ascii="宋体" w:hAnsi="宋体" w:eastAsia="宋体" w:cs="宋体"/>
                <w:sz w:val="20"/>
                <w:szCs w:val="20"/>
              </w:rPr>
            </w:pPr>
            <w:r>
              <w:rPr>
                <w:rFonts w:ascii="宋体" w:hAnsi="宋体" w:eastAsia="宋体" w:cs="宋体"/>
                <w:spacing w:val="-15"/>
                <w:sz w:val="20"/>
                <w:szCs w:val="20"/>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bottom w:val="nil"/>
            </w:tcBorders>
            <w:vAlign w:val="top"/>
          </w:tcPr>
          <w:p>
            <w:pPr>
              <w:pStyle w:val="6"/>
            </w:pPr>
          </w:p>
        </w:tc>
        <w:tc>
          <w:tcPr>
            <w:tcW w:w="1081" w:type="dxa"/>
            <w:vMerge w:val="continue"/>
            <w:tcBorders>
              <w:top w:val="nil"/>
              <w:bottom w:val="nil"/>
            </w:tcBorders>
            <w:vAlign w:val="top"/>
          </w:tcPr>
          <w:p>
            <w:pPr>
              <w:pStyle w:val="6"/>
            </w:pPr>
          </w:p>
        </w:tc>
        <w:tc>
          <w:tcPr>
            <w:tcW w:w="3354" w:type="dxa"/>
            <w:vAlign w:val="top"/>
          </w:tcPr>
          <w:p>
            <w:pPr>
              <w:spacing w:before="129" w:line="242" w:lineRule="auto"/>
              <w:ind w:left="107"/>
              <w:rPr>
                <w:rFonts w:ascii="宋体" w:hAnsi="宋体" w:eastAsia="宋体" w:cs="宋体"/>
                <w:sz w:val="20"/>
                <w:szCs w:val="20"/>
              </w:rPr>
            </w:pPr>
            <w:r>
              <w:rPr>
                <w:rFonts w:ascii="宋体" w:hAnsi="宋体" w:eastAsia="宋体" w:cs="宋体"/>
                <w:spacing w:val="5"/>
                <w:sz w:val="20"/>
                <w:szCs w:val="20"/>
              </w:rPr>
              <w:t>建设项目工伤保险</w:t>
            </w:r>
          </w:p>
        </w:tc>
        <w:tc>
          <w:tcPr>
            <w:tcW w:w="1927" w:type="dxa"/>
            <w:vAlign w:val="top"/>
          </w:tcPr>
          <w:p>
            <w:pPr>
              <w:spacing w:before="129" w:line="242" w:lineRule="auto"/>
              <w:ind w:left="733"/>
              <w:rPr>
                <w:rFonts w:ascii="宋体" w:hAnsi="宋体" w:eastAsia="宋体" w:cs="宋体"/>
                <w:sz w:val="20"/>
                <w:szCs w:val="20"/>
              </w:rPr>
            </w:pPr>
            <w:r>
              <w:rPr>
                <w:rFonts w:ascii="宋体" w:hAnsi="宋体" w:eastAsia="宋体" w:cs="宋体"/>
                <w:spacing w:val="-8"/>
                <w:sz w:val="20"/>
                <w:szCs w:val="20"/>
              </w:rPr>
              <w:t>0.105</w:t>
            </w:r>
          </w:p>
        </w:tc>
        <w:tc>
          <w:tcPr>
            <w:tcW w:w="1758" w:type="dxa"/>
            <w:vAlign w:val="top"/>
          </w:tcPr>
          <w:p>
            <w:pPr>
              <w:spacing w:before="129" w:line="242" w:lineRule="auto"/>
              <w:ind w:left="700"/>
              <w:rPr>
                <w:rFonts w:ascii="宋体" w:hAnsi="宋体" w:eastAsia="宋体" w:cs="宋体"/>
                <w:sz w:val="20"/>
                <w:szCs w:val="20"/>
              </w:rPr>
            </w:pPr>
            <w:r>
              <w:rPr>
                <w:rFonts w:ascii="宋体" w:hAnsi="宋体" w:eastAsia="宋体" w:cs="宋体"/>
                <w:spacing w:val="-11"/>
                <w:sz w:val="20"/>
                <w:szCs w:val="20"/>
              </w:rPr>
              <w:t>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04" w:type="dxa"/>
            <w:vMerge w:val="continue"/>
            <w:tcBorders>
              <w:top w:val="nil"/>
            </w:tcBorders>
            <w:vAlign w:val="top"/>
          </w:tcPr>
          <w:p>
            <w:pPr>
              <w:pStyle w:val="6"/>
            </w:pPr>
          </w:p>
        </w:tc>
        <w:tc>
          <w:tcPr>
            <w:tcW w:w="1081" w:type="dxa"/>
            <w:vMerge w:val="continue"/>
            <w:tcBorders>
              <w:top w:val="nil"/>
            </w:tcBorders>
            <w:vAlign w:val="top"/>
          </w:tcPr>
          <w:p>
            <w:pPr>
              <w:pStyle w:val="6"/>
            </w:pPr>
          </w:p>
        </w:tc>
        <w:tc>
          <w:tcPr>
            <w:tcW w:w="3354" w:type="dxa"/>
            <w:vAlign w:val="top"/>
          </w:tcPr>
          <w:p>
            <w:pPr>
              <w:spacing w:before="136" w:line="219" w:lineRule="auto"/>
              <w:ind w:left="107"/>
              <w:rPr>
                <w:rFonts w:ascii="宋体" w:hAnsi="宋体" w:eastAsia="宋体" w:cs="宋体"/>
                <w:sz w:val="20"/>
                <w:szCs w:val="20"/>
              </w:rPr>
            </w:pPr>
            <w:r>
              <w:rPr>
                <w:rFonts w:ascii="宋体" w:hAnsi="宋体" w:eastAsia="宋体" w:cs="宋体"/>
                <w:spacing w:val="9"/>
                <w:sz w:val="20"/>
                <w:szCs w:val="20"/>
              </w:rPr>
              <w:t>住房公积金</w:t>
            </w:r>
          </w:p>
        </w:tc>
        <w:tc>
          <w:tcPr>
            <w:tcW w:w="3685" w:type="dxa"/>
            <w:gridSpan w:val="2"/>
            <w:vAlign w:val="top"/>
          </w:tcPr>
          <w:p>
            <w:pPr>
              <w:spacing w:before="101" w:line="274" w:lineRule="exact"/>
              <w:ind w:left="171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1304" w:type="dxa"/>
            <w:vAlign w:val="top"/>
          </w:tcPr>
          <w:p>
            <w:pPr>
              <w:spacing w:before="150" w:line="201" w:lineRule="auto"/>
              <w:ind w:left="558"/>
              <w:rPr>
                <w:rFonts w:ascii="宋体" w:hAnsi="宋体" w:eastAsia="宋体" w:cs="宋体"/>
                <w:sz w:val="20"/>
                <w:szCs w:val="20"/>
              </w:rPr>
            </w:pPr>
            <w:r>
              <w:rPr>
                <w:rFonts w:ascii="宋体" w:hAnsi="宋体" w:eastAsia="宋体" w:cs="宋体"/>
                <w:sz w:val="20"/>
                <w:szCs w:val="20"/>
              </w:rPr>
              <w:t>五</w:t>
            </w:r>
          </w:p>
        </w:tc>
        <w:tc>
          <w:tcPr>
            <w:tcW w:w="1081" w:type="dxa"/>
            <w:vAlign w:val="top"/>
          </w:tcPr>
          <w:p>
            <w:pPr>
              <w:spacing w:before="138" w:line="213" w:lineRule="auto"/>
              <w:ind w:left="335"/>
              <w:rPr>
                <w:rFonts w:ascii="宋体" w:hAnsi="宋体" w:eastAsia="宋体" w:cs="宋体"/>
                <w:sz w:val="20"/>
                <w:szCs w:val="20"/>
              </w:rPr>
            </w:pPr>
            <w:r>
              <w:rPr>
                <w:rFonts w:ascii="宋体" w:hAnsi="宋体" w:eastAsia="宋体" w:cs="宋体"/>
                <w:spacing w:val="7"/>
                <w:sz w:val="20"/>
                <w:szCs w:val="20"/>
              </w:rPr>
              <w:t>税金</w:t>
            </w:r>
          </w:p>
        </w:tc>
        <w:tc>
          <w:tcPr>
            <w:tcW w:w="3354" w:type="dxa"/>
            <w:vAlign w:val="top"/>
          </w:tcPr>
          <w:p>
            <w:pPr>
              <w:spacing w:before="133" w:line="222" w:lineRule="auto"/>
              <w:ind w:left="42"/>
              <w:rPr>
                <w:rFonts w:ascii="宋体" w:hAnsi="宋体" w:eastAsia="宋体" w:cs="宋体"/>
                <w:sz w:val="20"/>
                <w:szCs w:val="20"/>
              </w:rPr>
            </w:pPr>
            <w:r>
              <w:rPr>
                <w:rFonts w:ascii="宋体" w:hAnsi="宋体" w:eastAsia="宋体" w:cs="宋体"/>
                <w:spacing w:val="8"/>
                <w:sz w:val="20"/>
                <w:szCs w:val="20"/>
              </w:rPr>
              <w:t>增值税</w:t>
            </w:r>
          </w:p>
        </w:tc>
        <w:tc>
          <w:tcPr>
            <w:tcW w:w="1927" w:type="dxa"/>
            <w:vAlign w:val="top"/>
          </w:tcPr>
          <w:p>
            <w:pPr>
              <w:spacing w:before="129" w:line="266" w:lineRule="exact"/>
              <w:ind w:left="921"/>
              <w:rPr>
                <w:rFonts w:ascii="宋体" w:hAnsi="宋体" w:eastAsia="宋体" w:cs="宋体"/>
                <w:sz w:val="20"/>
                <w:szCs w:val="20"/>
              </w:rPr>
            </w:pPr>
            <w:r>
              <w:rPr>
                <w:rFonts w:ascii="宋体" w:hAnsi="宋体" w:eastAsia="宋体" w:cs="宋体"/>
                <w:position w:val="1"/>
                <w:sz w:val="20"/>
                <w:szCs w:val="20"/>
              </w:rPr>
              <w:t>9</w:t>
            </w:r>
          </w:p>
        </w:tc>
        <w:tc>
          <w:tcPr>
            <w:tcW w:w="1758" w:type="dxa"/>
            <w:vAlign w:val="top"/>
          </w:tcPr>
          <w:p>
            <w:pPr>
              <w:spacing w:before="129" w:line="266" w:lineRule="exact"/>
              <w:ind w:left="838"/>
              <w:rPr>
                <w:rFonts w:ascii="宋体" w:hAnsi="宋体" w:eastAsia="宋体" w:cs="宋体"/>
                <w:sz w:val="20"/>
                <w:szCs w:val="20"/>
              </w:rPr>
            </w:pPr>
            <w:r>
              <w:rPr>
                <w:rFonts w:ascii="宋体" w:hAnsi="宋体" w:eastAsia="宋体" w:cs="宋体"/>
                <w:position w:val="1"/>
                <w:sz w:val="20"/>
                <w:szCs w:val="20"/>
              </w:rPr>
              <w:t>3</w:t>
            </w:r>
          </w:p>
        </w:tc>
      </w:tr>
    </w:tbl>
    <w:p>
      <w:pPr>
        <w:spacing w:before="106" w:line="283" w:lineRule="exact"/>
        <w:ind w:left="606"/>
        <w:rPr>
          <w:rFonts w:ascii="宋体" w:hAnsi="宋体" w:eastAsia="宋体" w:cs="宋体"/>
          <w:sz w:val="20"/>
          <w:szCs w:val="20"/>
        </w:rPr>
      </w:pPr>
      <w:r>
        <w:rPr>
          <w:rFonts w:ascii="宋体" w:hAnsi="宋体" w:eastAsia="宋体" w:cs="宋体"/>
          <w:position w:val="1"/>
          <w:sz w:val="20"/>
          <w:szCs w:val="20"/>
        </w:rPr>
        <w:t>注：</w:t>
      </w:r>
    </w:p>
    <w:p>
      <w:pPr>
        <w:spacing w:before="77" w:line="276" w:lineRule="exact"/>
        <w:ind w:left="620"/>
        <w:rPr>
          <w:rFonts w:ascii="宋体" w:hAnsi="宋体" w:eastAsia="宋体" w:cs="宋体"/>
          <w:sz w:val="20"/>
          <w:szCs w:val="20"/>
        </w:rPr>
      </w:pPr>
      <w:r>
        <w:rPr>
          <w:rFonts w:ascii="宋体" w:hAnsi="宋体" w:eastAsia="宋体" w:cs="宋体"/>
          <w:spacing w:val="6"/>
          <w:position w:val="1"/>
          <w:sz w:val="20"/>
          <w:szCs w:val="20"/>
        </w:rPr>
        <w:t>1. 总价措施费中人工费含量为</w:t>
      </w:r>
      <w:r>
        <w:rPr>
          <w:rFonts w:ascii="宋体" w:hAnsi="宋体" w:eastAsia="宋体" w:cs="宋体"/>
          <w:spacing w:val="-24"/>
          <w:position w:val="1"/>
          <w:sz w:val="20"/>
          <w:szCs w:val="20"/>
        </w:rPr>
        <w:t xml:space="preserve"> </w:t>
      </w:r>
      <w:r>
        <w:rPr>
          <w:rFonts w:ascii="宋体" w:hAnsi="宋体" w:eastAsia="宋体" w:cs="宋体"/>
          <w:spacing w:val="6"/>
          <w:position w:val="1"/>
          <w:sz w:val="20"/>
          <w:szCs w:val="20"/>
        </w:rPr>
        <w:t>25%。</w:t>
      </w:r>
    </w:p>
    <w:p>
      <w:pPr>
        <w:spacing w:before="84" w:line="278" w:lineRule="auto"/>
        <w:ind w:left="184" w:right="98" w:firstLine="419"/>
        <w:rPr>
          <w:rFonts w:ascii="宋体" w:hAnsi="宋体" w:eastAsia="宋体" w:cs="宋体"/>
          <w:sz w:val="20"/>
          <w:szCs w:val="20"/>
        </w:rPr>
      </w:pPr>
      <w:r>
        <w:rPr>
          <w:rFonts w:ascii="宋体" w:hAnsi="宋体" w:eastAsia="宋体" w:cs="宋体"/>
          <w:spacing w:val="5"/>
          <w:sz w:val="20"/>
          <w:szCs w:val="20"/>
        </w:rPr>
        <w:t>2. 原有建筑物及设备保护费包括防止施工中损坏、玷污原有建筑物、设备、陈设、树木、绿地、</w:t>
      </w:r>
      <w:r>
        <w:rPr>
          <w:rFonts w:ascii="宋体" w:hAnsi="宋体" w:eastAsia="宋体" w:cs="宋体"/>
          <w:spacing w:val="9"/>
          <w:sz w:val="20"/>
          <w:szCs w:val="20"/>
        </w:rPr>
        <w:t>文物及展示牌等采取的支搭、遮盖、拦挡等保护措施费用。</w:t>
      </w:r>
    </w:p>
    <w:p>
      <w:pPr>
        <w:spacing w:before="117" w:line="277" w:lineRule="exact"/>
        <w:ind w:left="606"/>
        <w:rPr>
          <w:rFonts w:ascii="宋体" w:hAnsi="宋体" w:eastAsia="宋体" w:cs="宋体"/>
          <w:sz w:val="20"/>
          <w:szCs w:val="20"/>
        </w:rPr>
      </w:pPr>
      <w:r>
        <w:rPr>
          <w:rFonts w:ascii="宋体" w:hAnsi="宋体" w:eastAsia="宋体" w:cs="宋体"/>
          <w:spacing w:val="6"/>
          <w:position w:val="1"/>
          <w:sz w:val="20"/>
          <w:szCs w:val="20"/>
        </w:rPr>
        <w:t>3. 表中安全施工费费率中包含安全生产责任保险费用。</w:t>
      </w:r>
    </w:p>
    <w:p>
      <w:pPr>
        <w:spacing w:before="83" w:line="276" w:lineRule="exact"/>
        <w:ind w:left="600"/>
        <w:rPr>
          <w:rFonts w:ascii="宋体" w:hAnsi="宋体" w:eastAsia="宋体" w:cs="宋体"/>
          <w:sz w:val="20"/>
          <w:szCs w:val="20"/>
        </w:rPr>
      </w:pPr>
      <w:r>
        <w:rPr>
          <w:rFonts w:ascii="宋体" w:hAnsi="宋体" w:eastAsia="宋体" w:cs="宋体"/>
          <w:spacing w:val="4"/>
          <w:position w:val="1"/>
          <w:sz w:val="20"/>
          <w:szCs w:val="20"/>
        </w:rPr>
        <w:t>4.</w:t>
      </w:r>
      <w:r>
        <w:rPr>
          <w:rFonts w:ascii="宋体" w:hAnsi="宋体" w:eastAsia="宋体" w:cs="宋体"/>
          <w:spacing w:val="39"/>
          <w:position w:val="1"/>
          <w:sz w:val="20"/>
          <w:szCs w:val="20"/>
        </w:rPr>
        <w:t xml:space="preserve"> </w:t>
      </w:r>
      <w:r>
        <w:rPr>
          <w:rFonts w:ascii="宋体" w:hAnsi="宋体" w:eastAsia="宋体" w:cs="宋体"/>
          <w:spacing w:val="4"/>
          <w:position w:val="1"/>
          <w:sz w:val="20"/>
          <w:szCs w:val="20"/>
        </w:rPr>
        <w:t>甲供材料、甲供设备不作为计税基础。</w:t>
      </w:r>
    </w:p>
    <w:p>
      <w:pPr>
        <w:spacing w:before="84" w:line="277" w:lineRule="exact"/>
        <w:ind w:left="603"/>
        <w:rPr>
          <w:rFonts w:ascii="宋体" w:hAnsi="宋体" w:eastAsia="宋体" w:cs="宋体"/>
          <w:sz w:val="20"/>
          <w:szCs w:val="20"/>
        </w:rPr>
      </w:pPr>
      <w:r>
        <w:rPr>
          <w:rFonts w:ascii="宋体" w:hAnsi="宋体" w:eastAsia="宋体" w:cs="宋体"/>
          <w:spacing w:val="6"/>
          <w:position w:val="1"/>
          <w:sz w:val="20"/>
          <w:szCs w:val="20"/>
        </w:rPr>
        <w:t>5. 企业管理费费率中，不包括总承包服务费费率。</w:t>
      </w:r>
    </w:p>
    <w:p>
      <w:pPr>
        <w:spacing w:line="349" w:lineRule="auto"/>
        <w:rPr>
          <w:rFonts w:ascii="Arial"/>
          <w:sz w:val="21"/>
        </w:rPr>
      </w:pPr>
    </w:p>
    <w:p>
      <w:pPr>
        <w:pStyle w:val="2"/>
        <w:spacing w:before="86" w:line="181" w:lineRule="auto"/>
        <w:ind w:left="3260"/>
        <w:rPr>
          <w:sz w:val="20"/>
          <w:szCs w:val="20"/>
        </w:rPr>
      </w:pPr>
      <w:r>
        <w:rPr>
          <w:spacing w:val="8"/>
          <w:sz w:val="20"/>
          <w:szCs w:val="20"/>
        </w:rPr>
        <w:t>总承包服务费、采购保管费费率</w:t>
      </w:r>
    </w:p>
    <w:tbl>
      <w:tblPr>
        <w:tblStyle w:val="5"/>
        <w:tblW w:w="9292" w:type="dxa"/>
        <w:tblInd w:w="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92"/>
        <w:gridCol w:w="1843"/>
        <w:gridCol w:w="24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6" w:hRule="atLeast"/>
        </w:trPr>
        <w:tc>
          <w:tcPr>
            <w:tcW w:w="4992" w:type="dxa"/>
            <w:tcBorders>
              <w:top w:val="single" w:color="000000" w:sz="6" w:space="0"/>
              <w:left w:val="single" w:color="000000" w:sz="6" w:space="0"/>
            </w:tcBorders>
            <w:vAlign w:val="top"/>
          </w:tcPr>
          <w:p>
            <w:pPr>
              <w:spacing w:before="105" w:line="175" w:lineRule="auto"/>
              <w:ind w:left="2083"/>
              <w:rPr>
                <w:rFonts w:ascii="微软雅黑" w:hAnsi="微软雅黑" w:eastAsia="微软雅黑" w:cs="微软雅黑"/>
                <w:sz w:val="20"/>
                <w:szCs w:val="20"/>
              </w:rPr>
            </w:pPr>
            <w:r>
              <w:rPr>
                <w:rFonts w:ascii="微软雅黑" w:hAnsi="微软雅黑" w:eastAsia="微软雅黑" w:cs="微软雅黑"/>
                <w:spacing w:val="5"/>
                <w:sz w:val="20"/>
                <w:szCs w:val="20"/>
              </w:rPr>
              <w:t>费用名称</w:t>
            </w:r>
          </w:p>
        </w:tc>
        <w:tc>
          <w:tcPr>
            <w:tcW w:w="4300" w:type="dxa"/>
            <w:gridSpan w:val="2"/>
            <w:tcBorders>
              <w:top w:val="single" w:color="000000" w:sz="6" w:space="0"/>
              <w:right w:val="single" w:color="000000" w:sz="6" w:space="0"/>
            </w:tcBorders>
            <w:vAlign w:val="top"/>
          </w:tcPr>
          <w:p>
            <w:pPr>
              <w:spacing w:before="105" w:line="175" w:lineRule="auto"/>
              <w:ind w:left="1646"/>
              <w:rPr>
                <w:rFonts w:ascii="微软雅黑" w:hAnsi="微软雅黑" w:eastAsia="微软雅黑" w:cs="微软雅黑"/>
                <w:sz w:val="20"/>
                <w:szCs w:val="20"/>
              </w:rPr>
            </w:pPr>
            <w:r>
              <w:rPr>
                <w:rFonts w:ascii="微软雅黑" w:hAnsi="微软雅黑" w:eastAsia="微软雅黑" w:cs="微软雅黑"/>
                <w:spacing w:val="-6"/>
                <w:sz w:val="20"/>
                <w:szCs w:val="20"/>
              </w:rPr>
              <w:t>费率（ %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1" w:hRule="atLeast"/>
        </w:trPr>
        <w:tc>
          <w:tcPr>
            <w:tcW w:w="4992" w:type="dxa"/>
            <w:tcBorders>
              <w:left w:val="single" w:color="000000" w:sz="6" w:space="0"/>
            </w:tcBorders>
            <w:vAlign w:val="top"/>
          </w:tcPr>
          <w:p>
            <w:pPr>
              <w:spacing w:before="119" w:line="214" w:lineRule="auto"/>
              <w:ind w:left="1870"/>
              <w:rPr>
                <w:rFonts w:ascii="宋体" w:hAnsi="宋体" w:eastAsia="宋体" w:cs="宋体"/>
                <w:sz w:val="20"/>
                <w:szCs w:val="20"/>
              </w:rPr>
            </w:pPr>
            <w:r>
              <w:rPr>
                <w:rFonts w:ascii="宋体" w:hAnsi="宋体" w:eastAsia="宋体" w:cs="宋体"/>
                <w:spacing w:val="7"/>
                <w:sz w:val="20"/>
                <w:szCs w:val="20"/>
              </w:rPr>
              <w:t>总承包服务费</w:t>
            </w:r>
          </w:p>
        </w:tc>
        <w:tc>
          <w:tcPr>
            <w:tcW w:w="4300" w:type="dxa"/>
            <w:gridSpan w:val="2"/>
            <w:tcBorders>
              <w:right w:val="single" w:color="000000" w:sz="6" w:space="0"/>
            </w:tcBorders>
            <w:vAlign w:val="top"/>
          </w:tcPr>
          <w:p>
            <w:pPr>
              <w:spacing w:before="111" w:line="221" w:lineRule="auto"/>
              <w:ind w:left="1038"/>
              <w:rPr>
                <w:rFonts w:ascii="宋体" w:hAnsi="宋体" w:eastAsia="宋体" w:cs="宋体"/>
                <w:sz w:val="20"/>
                <w:szCs w:val="20"/>
              </w:rPr>
            </w:pPr>
            <w:r>
              <w:rPr>
                <w:rFonts w:ascii="宋体" w:hAnsi="宋体" w:eastAsia="宋体" w:cs="宋体"/>
                <w:spacing w:val="13"/>
                <w:sz w:val="20"/>
                <w:szCs w:val="20"/>
              </w:rPr>
              <w:t>按分包工程造价的</w:t>
            </w:r>
            <w:r>
              <w:rPr>
                <w:rFonts w:ascii="宋体" w:hAnsi="宋体" w:eastAsia="宋体" w:cs="宋体"/>
                <w:spacing w:val="-28"/>
                <w:sz w:val="20"/>
                <w:szCs w:val="20"/>
              </w:rPr>
              <w:t xml:space="preserve"> </w:t>
            </w:r>
            <w:r>
              <w:rPr>
                <w:rFonts w:ascii="宋体" w:hAnsi="宋体" w:eastAsia="宋体" w:cs="宋体"/>
                <w:spacing w:val="13"/>
                <w:sz w:val="20"/>
                <w:szCs w:val="20"/>
              </w:rPr>
              <w:t>3%计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1" w:hRule="atLeast"/>
        </w:trPr>
        <w:tc>
          <w:tcPr>
            <w:tcW w:w="4992" w:type="dxa"/>
            <w:vMerge w:val="restart"/>
            <w:tcBorders>
              <w:left w:val="single" w:color="000000" w:sz="6" w:space="0"/>
              <w:bottom w:val="nil"/>
            </w:tcBorders>
            <w:vAlign w:val="top"/>
          </w:tcPr>
          <w:p>
            <w:pPr>
              <w:spacing w:before="305" w:line="220" w:lineRule="auto"/>
              <w:ind w:left="1968"/>
              <w:rPr>
                <w:rFonts w:ascii="宋体" w:hAnsi="宋体" w:eastAsia="宋体" w:cs="宋体"/>
                <w:sz w:val="20"/>
                <w:szCs w:val="20"/>
              </w:rPr>
            </w:pPr>
            <w:r>
              <w:rPr>
                <w:rFonts w:ascii="宋体" w:hAnsi="宋体" w:eastAsia="宋体" w:cs="宋体"/>
                <w:spacing w:val="8"/>
                <w:sz w:val="20"/>
                <w:szCs w:val="20"/>
              </w:rPr>
              <w:t>采购保管费</w:t>
            </w:r>
          </w:p>
        </w:tc>
        <w:tc>
          <w:tcPr>
            <w:tcW w:w="1843" w:type="dxa"/>
            <w:vAlign w:val="top"/>
          </w:tcPr>
          <w:p>
            <w:pPr>
              <w:spacing w:before="114" w:line="218" w:lineRule="auto"/>
              <w:ind w:left="717"/>
              <w:rPr>
                <w:rFonts w:ascii="宋体" w:hAnsi="宋体" w:eastAsia="宋体" w:cs="宋体"/>
                <w:sz w:val="20"/>
                <w:szCs w:val="20"/>
              </w:rPr>
            </w:pPr>
            <w:r>
              <w:rPr>
                <w:rFonts w:ascii="宋体" w:hAnsi="宋体" w:eastAsia="宋体" w:cs="宋体"/>
                <w:spacing w:val="6"/>
                <w:sz w:val="20"/>
                <w:szCs w:val="20"/>
              </w:rPr>
              <w:t>材料</w:t>
            </w:r>
          </w:p>
        </w:tc>
        <w:tc>
          <w:tcPr>
            <w:tcW w:w="2457" w:type="dxa"/>
            <w:tcBorders>
              <w:right w:val="single" w:color="000000" w:sz="6" w:space="0"/>
            </w:tcBorders>
            <w:vAlign w:val="top"/>
          </w:tcPr>
          <w:p>
            <w:pPr>
              <w:spacing w:before="114" w:line="218" w:lineRule="auto"/>
              <w:ind w:left="1101"/>
              <w:rPr>
                <w:rFonts w:ascii="宋体" w:hAnsi="宋体" w:eastAsia="宋体" w:cs="宋体"/>
                <w:sz w:val="20"/>
                <w:szCs w:val="20"/>
              </w:rPr>
            </w:pPr>
            <w:r>
              <w:rPr>
                <w:rFonts w:ascii="宋体" w:hAnsi="宋体" w:eastAsia="宋体" w:cs="宋体"/>
                <w:spacing w:val="-17"/>
                <w:sz w:val="20"/>
                <w:szCs w:val="20"/>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6" w:hRule="atLeast"/>
        </w:trPr>
        <w:tc>
          <w:tcPr>
            <w:tcW w:w="4992" w:type="dxa"/>
            <w:vMerge w:val="continue"/>
            <w:tcBorders>
              <w:top w:val="nil"/>
              <w:left w:val="single" w:color="000000" w:sz="6" w:space="0"/>
              <w:bottom w:val="single" w:color="000000" w:sz="6" w:space="0"/>
            </w:tcBorders>
            <w:vAlign w:val="top"/>
          </w:tcPr>
          <w:p>
            <w:pPr>
              <w:pStyle w:val="6"/>
            </w:pPr>
          </w:p>
        </w:tc>
        <w:tc>
          <w:tcPr>
            <w:tcW w:w="1843" w:type="dxa"/>
            <w:tcBorders>
              <w:bottom w:val="single" w:color="000000" w:sz="6" w:space="0"/>
            </w:tcBorders>
            <w:vAlign w:val="top"/>
          </w:tcPr>
          <w:p>
            <w:pPr>
              <w:spacing w:before="122" w:line="223" w:lineRule="auto"/>
              <w:ind w:left="712"/>
              <w:rPr>
                <w:rFonts w:ascii="宋体" w:hAnsi="宋体" w:eastAsia="宋体" w:cs="宋体"/>
                <w:sz w:val="20"/>
                <w:szCs w:val="20"/>
              </w:rPr>
            </w:pPr>
            <w:r>
              <w:rPr>
                <w:rFonts w:ascii="宋体" w:hAnsi="宋体" w:eastAsia="宋体" w:cs="宋体"/>
                <w:spacing w:val="8"/>
                <w:sz w:val="20"/>
                <w:szCs w:val="20"/>
              </w:rPr>
              <w:t>设备</w:t>
            </w:r>
          </w:p>
        </w:tc>
        <w:tc>
          <w:tcPr>
            <w:tcW w:w="2457" w:type="dxa"/>
            <w:tcBorders>
              <w:bottom w:val="single" w:color="000000" w:sz="6" w:space="0"/>
              <w:right w:val="single" w:color="000000" w:sz="6" w:space="0"/>
            </w:tcBorders>
            <w:vAlign w:val="top"/>
          </w:tcPr>
          <w:p>
            <w:pPr>
              <w:spacing w:before="119" w:line="228" w:lineRule="auto"/>
              <w:ind w:left="1118"/>
              <w:rPr>
                <w:rFonts w:ascii="宋体" w:hAnsi="宋体" w:eastAsia="宋体" w:cs="宋体"/>
                <w:sz w:val="20"/>
                <w:szCs w:val="20"/>
              </w:rPr>
            </w:pPr>
            <w:r>
              <w:rPr>
                <w:rFonts w:ascii="宋体" w:hAnsi="宋体" w:eastAsia="宋体" w:cs="宋体"/>
                <w:spacing w:val="-22"/>
                <w:sz w:val="20"/>
                <w:szCs w:val="20"/>
              </w:rPr>
              <w:t>1.0</w:t>
            </w:r>
          </w:p>
        </w:tc>
      </w:tr>
    </w:tbl>
    <w:p>
      <w:pPr>
        <w:rPr>
          <w:rFonts w:ascii="Arial"/>
          <w:sz w:val="21"/>
        </w:rPr>
      </w:pPr>
    </w:p>
    <w:p>
      <w:pPr>
        <w:rPr>
          <w:rFonts w:ascii="Arial" w:hAnsi="Arial" w:eastAsia="Arial" w:cs="Arial"/>
          <w:sz w:val="21"/>
          <w:szCs w:val="21"/>
        </w:rPr>
        <w:sectPr>
          <w:footerReference r:id="rId126" w:type="default"/>
          <w:pgSz w:w="11906" w:h="16839"/>
          <w:pgMar w:top="400" w:right="1238" w:bottom="1212" w:left="1238" w:header="0" w:footer="897" w:gutter="0"/>
        </w:sect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97" w:line="213" w:lineRule="auto"/>
        <w:ind w:left="2728"/>
        <w:outlineLvl w:val="1"/>
        <w:rPr>
          <w:rFonts w:ascii="宋体" w:hAnsi="宋体" w:eastAsia="宋体" w:cs="宋体"/>
          <w:sz w:val="30"/>
          <w:szCs w:val="30"/>
        </w:rPr>
      </w:pPr>
      <w:bookmarkStart w:id="75" w:name="bookmark55"/>
      <w:bookmarkEnd w:id="75"/>
      <w:bookmarkStart w:id="76" w:name="bookmark53"/>
      <w:bookmarkEnd w:id="76"/>
      <w:bookmarkStart w:id="77" w:name="bookmark51"/>
      <w:bookmarkEnd w:id="77"/>
      <w:bookmarkStart w:id="78" w:name="bookmark49"/>
      <w:bookmarkEnd w:id="78"/>
      <w:bookmarkStart w:id="79" w:name="bookmark56"/>
      <w:bookmarkEnd w:id="79"/>
      <w:bookmarkStart w:id="80" w:name="bookmark52"/>
      <w:bookmarkEnd w:id="80"/>
      <w:bookmarkStart w:id="81" w:name="bookmark54"/>
      <w:bookmarkEnd w:id="81"/>
      <w:bookmarkStart w:id="82" w:name="bookmark50"/>
      <w:bookmarkEnd w:id="82"/>
      <w:r>
        <w:rPr>
          <w:rFonts w:ascii="宋体" w:hAnsi="宋体" w:eastAsia="宋体" w:cs="宋体"/>
          <w:b/>
          <w:bCs/>
          <w:spacing w:val="-3"/>
          <w:sz w:val="30"/>
          <w:szCs w:val="30"/>
        </w:rPr>
        <w:t>第四节</w:t>
      </w:r>
      <w:r>
        <w:rPr>
          <w:rFonts w:ascii="宋体" w:hAnsi="宋体" w:eastAsia="宋体" w:cs="宋体"/>
          <w:spacing w:val="-3"/>
          <w:sz w:val="30"/>
          <w:szCs w:val="30"/>
        </w:rPr>
        <w:t xml:space="preserve">  </w:t>
      </w:r>
      <w:r>
        <w:rPr>
          <w:rFonts w:ascii="宋体" w:hAnsi="宋体" w:eastAsia="宋体" w:cs="宋体"/>
          <w:b/>
          <w:bCs/>
          <w:spacing w:val="-3"/>
          <w:sz w:val="30"/>
          <w:szCs w:val="30"/>
        </w:rPr>
        <w:t>工程类别划分标准</w:t>
      </w:r>
    </w:p>
    <w:p>
      <w:pPr>
        <w:spacing w:line="429" w:lineRule="auto"/>
        <w:rPr>
          <w:rFonts w:ascii="Arial"/>
          <w:sz w:val="21"/>
        </w:rPr>
      </w:pPr>
    </w:p>
    <w:p>
      <w:pPr>
        <w:pStyle w:val="2"/>
        <w:spacing w:before="103" w:line="202" w:lineRule="auto"/>
        <w:ind w:left="4183"/>
        <w:rPr>
          <w:sz w:val="24"/>
          <w:szCs w:val="24"/>
        </w:rPr>
      </w:pPr>
      <w:r>
        <w:rPr>
          <w:spacing w:val="-6"/>
          <w:sz w:val="24"/>
          <w:szCs w:val="24"/>
        </w:rPr>
        <w:t>说</w:t>
      </w:r>
      <w:r>
        <w:rPr>
          <w:spacing w:val="16"/>
          <w:sz w:val="24"/>
          <w:szCs w:val="24"/>
        </w:rPr>
        <w:t xml:space="preserve">   </w:t>
      </w:r>
      <w:r>
        <w:rPr>
          <w:spacing w:val="-6"/>
          <w:sz w:val="24"/>
          <w:szCs w:val="24"/>
        </w:rPr>
        <w:t>明</w:t>
      </w:r>
    </w:p>
    <w:p>
      <w:pPr>
        <w:spacing w:line="371" w:lineRule="auto"/>
        <w:rPr>
          <w:rFonts w:ascii="Arial"/>
          <w:sz w:val="21"/>
        </w:rPr>
      </w:pPr>
    </w:p>
    <w:p>
      <w:pPr>
        <w:spacing w:before="65" w:line="278" w:lineRule="exact"/>
        <w:ind w:left="438"/>
        <w:rPr>
          <w:rFonts w:ascii="宋体" w:hAnsi="宋体" w:eastAsia="宋体" w:cs="宋体"/>
          <w:sz w:val="20"/>
          <w:szCs w:val="20"/>
        </w:rPr>
      </w:pPr>
      <w:r>
        <w:rPr>
          <w:rFonts w:ascii="宋体" w:hAnsi="宋体" w:eastAsia="宋体" w:cs="宋体"/>
          <w:spacing w:val="5"/>
          <w:position w:val="1"/>
          <w:sz w:val="20"/>
          <w:szCs w:val="20"/>
        </w:rPr>
        <w:t>1. 工程类别的确定，以单位工程为划分对象。</w:t>
      </w:r>
    </w:p>
    <w:p>
      <w:pPr>
        <w:spacing w:before="120" w:line="351" w:lineRule="auto"/>
        <w:ind w:left="4" w:right="67" w:firstLine="415"/>
        <w:rPr>
          <w:rFonts w:ascii="宋体" w:hAnsi="宋体" w:eastAsia="宋体" w:cs="宋体"/>
          <w:sz w:val="20"/>
          <w:szCs w:val="20"/>
        </w:rPr>
      </w:pPr>
      <w:r>
        <w:rPr>
          <w:rFonts w:ascii="宋体" w:hAnsi="宋体" w:eastAsia="宋体" w:cs="宋体"/>
          <w:spacing w:val="11"/>
          <w:sz w:val="20"/>
          <w:szCs w:val="20"/>
        </w:rPr>
        <w:t>一个单项工程的单位工程，包括：建筑工程、装饰工程、水卫工程、暖通工</w:t>
      </w:r>
      <w:r>
        <w:rPr>
          <w:rFonts w:ascii="宋体" w:hAnsi="宋体" w:eastAsia="宋体" w:cs="宋体"/>
          <w:spacing w:val="10"/>
          <w:sz w:val="20"/>
          <w:szCs w:val="20"/>
        </w:rPr>
        <w:t>程、电气工程等若</w:t>
      </w:r>
      <w:r>
        <w:rPr>
          <w:rFonts w:ascii="宋体" w:hAnsi="宋体" w:eastAsia="宋体" w:cs="宋体"/>
          <w:spacing w:val="8"/>
          <w:sz w:val="20"/>
          <w:szCs w:val="20"/>
        </w:rPr>
        <w:t>干个相对独立的单位工程。</w:t>
      </w:r>
    </w:p>
    <w:p>
      <w:pPr>
        <w:spacing w:before="46" w:line="220" w:lineRule="auto"/>
        <w:ind w:left="420"/>
        <w:rPr>
          <w:rFonts w:ascii="宋体" w:hAnsi="宋体" w:eastAsia="宋体" w:cs="宋体"/>
          <w:sz w:val="20"/>
          <w:szCs w:val="20"/>
        </w:rPr>
      </w:pPr>
      <w:r>
        <w:rPr>
          <w:rFonts w:ascii="宋体" w:hAnsi="宋体" w:eastAsia="宋体" w:cs="宋体"/>
          <w:spacing w:val="8"/>
          <w:sz w:val="20"/>
          <w:szCs w:val="20"/>
        </w:rPr>
        <w:t>一个单位工程只能确定一个工程类别。</w:t>
      </w:r>
    </w:p>
    <w:p>
      <w:pPr>
        <w:spacing w:before="155" w:line="297" w:lineRule="auto"/>
        <w:ind w:right="66" w:firstLine="420"/>
        <w:rPr>
          <w:rFonts w:ascii="宋体" w:hAnsi="宋体" w:eastAsia="宋体" w:cs="宋体"/>
          <w:sz w:val="20"/>
          <w:szCs w:val="20"/>
        </w:rPr>
      </w:pPr>
      <w:r>
        <w:rPr>
          <w:rFonts w:ascii="宋体" w:hAnsi="宋体" w:eastAsia="宋体" w:cs="宋体"/>
          <w:spacing w:val="5"/>
          <w:sz w:val="20"/>
          <w:szCs w:val="20"/>
        </w:rPr>
        <w:t>2. 工程类别划分标准缺项时，拟定为</w:t>
      </w:r>
      <w:r>
        <w:rPr>
          <w:rFonts w:ascii="宋体" w:hAnsi="宋体" w:eastAsia="宋体" w:cs="宋体"/>
          <w:spacing w:val="-28"/>
          <w:sz w:val="20"/>
          <w:szCs w:val="20"/>
        </w:rPr>
        <w:t xml:space="preserve"> </w:t>
      </w:r>
      <w:r>
        <w:rPr>
          <w:rFonts w:ascii="宋体" w:hAnsi="宋体" w:eastAsia="宋体" w:cs="宋体"/>
          <w:spacing w:val="5"/>
          <w:sz w:val="20"/>
          <w:szCs w:val="20"/>
        </w:rPr>
        <w:t>I</w:t>
      </w:r>
      <w:r>
        <w:rPr>
          <w:rFonts w:ascii="宋体" w:hAnsi="宋体" w:eastAsia="宋体" w:cs="宋体"/>
          <w:spacing w:val="-42"/>
          <w:sz w:val="20"/>
          <w:szCs w:val="20"/>
        </w:rPr>
        <w:t xml:space="preserve"> </w:t>
      </w:r>
      <w:r>
        <w:rPr>
          <w:rFonts w:ascii="宋体" w:hAnsi="宋体" w:eastAsia="宋体" w:cs="宋体"/>
          <w:spacing w:val="5"/>
          <w:sz w:val="20"/>
          <w:szCs w:val="20"/>
        </w:rPr>
        <w:t>类工程的项目，由省工程造价管理机构核准；</w:t>
      </w:r>
      <w:r>
        <w:rPr>
          <w:rFonts w:ascii="宋体" w:hAnsi="宋体" w:eastAsia="宋体" w:cs="宋体"/>
          <w:spacing w:val="-58"/>
          <w:sz w:val="20"/>
          <w:szCs w:val="20"/>
        </w:rPr>
        <w:t xml:space="preserve"> </w:t>
      </w:r>
      <w:r>
        <w:rPr>
          <w:rFonts w:ascii="宋体" w:hAnsi="宋体" w:eastAsia="宋体" w:cs="宋体"/>
          <w:spacing w:val="5"/>
          <w:sz w:val="20"/>
          <w:szCs w:val="20"/>
        </w:rPr>
        <w:t>Ⅱ</w:t>
      </w:r>
      <w:r>
        <w:rPr>
          <w:rFonts w:ascii="宋体" w:hAnsi="宋体" w:eastAsia="宋体" w:cs="宋体"/>
          <w:spacing w:val="-75"/>
          <w:sz w:val="20"/>
          <w:szCs w:val="20"/>
        </w:rPr>
        <w:t xml:space="preserve"> </w:t>
      </w:r>
      <w:r>
        <w:rPr>
          <w:rFonts w:ascii="宋体" w:hAnsi="宋体" w:eastAsia="宋体" w:cs="宋体"/>
          <w:spacing w:val="5"/>
          <w:sz w:val="20"/>
          <w:szCs w:val="20"/>
        </w:rPr>
        <w:t>、</w:t>
      </w:r>
      <w:r>
        <w:rPr>
          <w:rFonts w:ascii="宋体" w:hAnsi="宋体" w:eastAsia="宋体" w:cs="宋体"/>
          <w:spacing w:val="-69"/>
          <w:sz w:val="20"/>
          <w:szCs w:val="20"/>
        </w:rPr>
        <w:t xml:space="preserve"> </w:t>
      </w:r>
      <w:r>
        <w:rPr>
          <w:rFonts w:ascii="宋体" w:hAnsi="宋体" w:eastAsia="宋体" w:cs="宋体"/>
          <w:spacing w:val="5"/>
          <w:sz w:val="20"/>
          <w:szCs w:val="20"/>
        </w:rPr>
        <w:t>Ⅲ类</w:t>
      </w:r>
      <w:r>
        <w:rPr>
          <w:rFonts w:ascii="宋体" w:hAnsi="宋体" w:eastAsia="宋体" w:cs="宋体"/>
          <w:spacing w:val="9"/>
          <w:sz w:val="20"/>
          <w:szCs w:val="20"/>
        </w:rPr>
        <w:t>工程项目，由市工程造价管理机构核准，并同时报省工程造价管理机构备案。</w:t>
      </w:r>
    </w:p>
    <w:p>
      <w:pPr>
        <w:spacing w:before="158" w:line="333" w:lineRule="auto"/>
        <w:ind w:firstLine="424"/>
        <w:rPr>
          <w:rFonts w:ascii="宋体" w:hAnsi="宋体" w:eastAsia="宋体" w:cs="宋体"/>
          <w:sz w:val="20"/>
          <w:szCs w:val="20"/>
        </w:rPr>
      </w:pPr>
      <w:r>
        <w:rPr>
          <w:rFonts w:ascii="宋体" w:hAnsi="宋体" w:eastAsia="宋体" w:cs="宋体"/>
          <w:spacing w:val="6"/>
          <w:sz w:val="20"/>
          <w:szCs w:val="20"/>
        </w:rPr>
        <w:t>3. 当地上群体建筑物与地下车库相连通时（学校、住宅</w:t>
      </w:r>
      <w:r>
        <w:rPr>
          <w:rFonts w:ascii="宋体" w:hAnsi="宋体" w:eastAsia="宋体" w:cs="宋体"/>
          <w:spacing w:val="5"/>
          <w:sz w:val="20"/>
          <w:szCs w:val="20"/>
        </w:rPr>
        <w:t>尤其多见</w:t>
      </w:r>
      <w:r>
        <w:rPr>
          <w:rFonts w:ascii="宋体" w:hAnsi="宋体" w:eastAsia="宋体" w:cs="宋体"/>
          <w:spacing w:val="-15"/>
          <w:sz w:val="20"/>
          <w:szCs w:val="20"/>
        </w:rPr>
        <w:t>），</w:t>
      </w:r>
      <w:r>
        <w:rPr>
          <w:rFonts w:ascii="宋体" w:hAnsi="宋体" w:eastAsia="宋体" w:cs="宋体"/>
          <w:spacing w:val="5"/>
          <w:sz w:val="20"/>
          <w:szCs w:val="20"/>
        </w:rPr>
        <w:t>需查看其基础结构平面图，</w:t>
      </w:r>
      <w:r>
        <w:rPr>
          <w:rFonts w:ascii="宋体" w:hAnsi="宋体" w:eastAsia="宋体" w:cs="宋体"/>
          <w:spacing w:val="11"/>
          <w:sz w:val="20"/>
          <w:szCs w:val="20"/>
        </w:rPr>
        <w:t>判断上部建筑物与车库之间有无完全断开（如沉降缝）。如果为一个整体，则</w:t>
      </w:r>
      <w:r>
        <w:rPr>
          <w:rFonts w:ascii="宋体" w:hAnsi="宋体" w:eastAsia="宋体" w:cs="宋体"/>
          <w:spacing w:val="10"/>
          <w:sz w:val="20"/>
          <w:szCs w:val="20"/>
        </w:rPr>
        <w:t>合并其面积进行类别</w:t>
      </w:r>
      <w:r>
        <w:rPr>
          <w:rFonts w:ascii="宋体" w:hAnsi="宋体" w:eastAsia="宋体" w:cs="宋体"/>
          <w:spacing w:val="11"/>
          <w:sz w:val="20"/>
          <w:szCs w:val="20"/>
        </w:rPr>
        <w:t>划分；如果有完全断开，断开面为界将建筑物分为不同的单位工程分别进行类</w:t>
      </w:r>
      <w:r>
        <w:rPr>
          <w:rFonts w:ascii="宋体" w:hAnsi="宋体" w:eastAsia="宋体" w:cs="宋体"/>
          <w:spacing w:val="10"/>
          <w:sz w:val="20"/>
          <w:szCs w:val="20"/>
        </w:rPr>
        <w:t>别划分。温度缝、伸</w:t>
      </w:r>
      <w:r>
        <w:rPr>
          <w:rFonts w:ascii="宋体" w:hAnsi="宋体" w:eastAsia="宋体" w:cs="宋体"/>
          <w:spacing w:val="9"/>
          <w:sz w:val="20"/>
          <w:szCs w:val="20"/>
        </w:rPr>
        <w:t>缩缝、沉降后浇带等不作为完全断开的判断依据。</w:t>
      </w:r>
    </w:p>
    <w:p>
      <w:pPr>
        <w:spacing w:line="333" w:lineRule="auto"/>
        <w:rPr>
          <w:rFonts w:ascii="宋体" w:hAnsi="宋体" w:eastAsia="宋体" w:cs="宋体"/>
          <w:sz w:val="20"/>
          <w:szCs w:val="20"/>
        </w:rPr>
        <w:sectPr>
          <w:footerReference r:id="rId127" w:type="default"/>
          <w:pgSz w:w="11906" w:h="16839"/>
          <w:pgMar w:top="400" w:right="1353" w:bottom="1212" w:left="1420" w:header="0" w:footer="897" w:gutter="0"/>
        </w:sectPr>
      </w:pPr>
    </w:p>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2"/>
        <w:spacing w:before="120" w:line="198" w:lineRule="auto"/>
        <w:ind w:left="695"/>
        <w:rPr>
          <w:sz w:val="28"/>
          <w:szCs w:val="28"/>
        </w:rPr>
      </w:pPr>
      <w:r>
        <w:rPr>
          <w:spacing w:val="-3"/>
          <w:sz w:val="28"/>
          <w:szCs w:val="28"/>
        </w:rPr>
        <w:t>一、建筑工程</w:t>
      </w:r>
    </w:p>
    <w:p>
      <w:pPr>
        <w:pStyle w:val="2"/>
        <w:spacing w:line="167" w:lineRule="auto"/>
        <w:ind w:left="470"/>
        <w:rPr>
          <w:sz w:val="24"/>
          <w:szCs w:val="24"/>
        </w:rPr>
      </w:pPr>
      <w:r>
        <w:rPr>
          <w:spacing w:val="-9"/>
          <w:sz w:val="24"/>
          <w:szCs w:val="24"/>
        </w:rPr>
        <w:t>（ 一 ）建筑工程类别划分标准：</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893"/>
        <w:gridCol w:w="1198"/>
        <w:gridCol w:w="1688"/>
        <w:gridCol w:w="707"/>
        <w:gridCol w:w="1375"/>
        <w:gridCol w:w="1375"/>
        <w:gridCol w:w="13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386" w:hRule="atLeast"/>
        </w:trPr>
        <w:tc>
          <w:tcPr>
            <w:tcW w:w="4451" w:type="dxa"/>
            <w:gridSpan w:val="4"/>
            <w:vMerge w:val="restart"/>
            <w:tcBorders>
              <w:top w:val="single" w:color="000000" w:sz="6" w:space="0"/>
              <w:left w:val="single" w:color="000000" w:sz="6" w:space="0"/>
              <w:bottom w:val="nil"/>
            </w:tcBorders>
            <w:vAlign w:val="top"/>
          </w:tcPr>
          <w:p>
            <w:pPr>
              <w:spacing w:before="294" w:line="210" w:lineRule="auto"/>
              <w:ind w:left="1812"/>
              <w:rPr>
                <w:rFonts w:ascii="微软雅黑" w:hAnsi="微软雅黑" w:eastAsia="微软雅黑" w:cs="微软雅黑"/>
                <w:sz w:val="20"/>
                <w:szCs w:val="20"/>
              </w:rPr>
            </w:pPr>
            <w:r>
              <w:rPr>
                <w:rFonts w:ascii="微软雅黑" w:hAnsi="微软雅黑" w:eastAsia="微软雅黑" w:cs="微软雅黑"/>
                <w:spacing w:val="5"/>
                <w:sz w:val="20"/>
                <w:szCs w:val="20"/>
              </w:rPr>
              <w:t>工程特征</w:t>
            </w:r>
          </w:p>
        </w:tc>
        <w:tc>
          <w:tcPr>
            <w:tcW w:w="707" w:type="dxa"/>
            <w:vMerge w:val="restart"/>
            <w:tcBorders>
              <w:top w:val="single" w:color="000000" w:sz="6" w:space="0"/>
              <w:bottom w:val="nil"/>
            </w:tcBorders>
            <w:vAlign w:val="top"/>
          </w:tcPr>
          <w:p>
            <w:pPr>
              <w:spacing w:before="293" w:line="210" w:lineRule="auto"/>
              <w:ind w:left="154"/>
              <w:rPr>
                <w:rFonts w:ascii="微软雅黑" w:hAnsi="微软雅黑" w:eastAsia="微软雅黑" w:cs="微软雅黑"/>
                <w:sz w:val="20"/>
                <w:szCs w:val="20"/>
              </w:rPr>
            </w:pPr>
            <w:r>
              <w:rPr>
                <w:rFonts w:ascii="微软雅黑" w:hAnsi="微软雅黑" w:eastAsia="微软雅黑" w:cs="微软雅黑"/>
                <w:spacing w:val="2"/>
                <w:sz w:val="20"/>
                <w:szCs w:val="20"/>
              </w:rPr>
              <w:t>单位</w:t>
            </w:r>
          </w:p>
        </w:tc>
        <w:tc>
          <w:tcPr>
            <w:tcW w:w="4134" w:type="dxa"/>
            <w:gridSpan w:val="3"/>
            <w:tcBorders>
              <w:top w:val="single" w:color="000000" w:sz="6" w:space="0"/>
              <w:right w:val="single" w:color="000000" w:sz="6" w:space="0"/>
            </w:tcBorders>
            <w:vAlign w:val="top"/>
          </w:tcPr>
          <w:p>
            <w:pPr>
              <w:spacing w:before="97" w:line="195" w:lineRule="auto"/>
              <w:ind w:left="1658"/>
              <w:rPr>
                <w:rFonts w:ascii="微软雅黑" w:hAnsi="微软雅黑" w:eastAsia="微软雅黑" w:cs="微软雅黑"/>
                <w:sz w:val="20"/>
                <w:szCs w:val="20"/>
              </w:rPr>
            </w:pPr>
            <w:r>
              <w:rPr>
                <w:rFonts w:ascii="微软雅黑" w:hAnsi="微软雅黑" w:eastAsia="微软雅黑" w:cs="微软雅黑"/>
                <w:spacing w:val="5"/>
                <w:sz w:val="20"/>
                <w:szCs w:val="20"/>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4451" w:type="dxa"/>
            <w:gridSpan w:val="4"/>
            <w:vMerge w:val="continue"/>
            <w:tcBorders>
              <w:top w:val="nil"/>
              <w:left w:val="single" w:color="000000" w:sz="6" w:space="0"/>
            </w:tcBorders>
            <w:vAlign w:val="top"/>
          </w:tcPr>
          <w:p>
            <w:pPr>
              <w:pStyle w:val="6"/>
            </w:pPr>
          </w:p>
        </w:tc>
        <w:tc>
          <w:tcPr>
            <w:tcW w:w="707" w:type="dxa"/>
            <w:vMerge w:val="continue"/>
            <w:tcBorders>
              <w:top w:val="nil"/>
            </w:tcBorders>
            <w:vAlign w:val="top"/>
          </w:tcPr>
          <w:p>
            <w:pPr>
              <w:pStyle w:val="6"/>
            </w:pPr>
          </w:p>
        </w:tc>
        <w:tc>
          <w:tcPr>
            <w:tcW w:w="1375" w:type="dxa"/>
            <w:vAlign w:val="top"/>
          </w:tcPr>
          <w:p>
            <w:pPr>
              <w:spacing w:before="102" w:line="278" w:lineRule="exact"/>
              <w:ind w:left="657"/>
              <w:rPr>
                <w:rFonts w:ascii="宋体" w:hAnsi="宋体" w:eastAsia="宋体" w:cs="宋体"/>
                <w:sz w:val="20"/>
                <w:szCs w:val="20"/>
              </w:rPr>
            </w:pPr>
            <w:r>
              <w:rPr>
                <w:rFonts w:ascii="宋体" w:hAnsi="宋体" w:eastAsia="宋体" w:cs="宋体"/>
                <w:position w:val="1"/>
                <w:sz w:val="20"/>
                <w:szCs w:val="20"/>
              </w:rPr>
              <w:t>I</w:t>
            </w:r>
          </w:p>
        </w:tc>
        <w:tc>
          <w:tcPr>
            <w:tcW w:w="1375" w:type="dxa"/>
            <w:vAlign w:val="top"/>
          </w:tcPr>
          <w:p>
            <w:pPr>
              <w:spacing w:before="102" w:line="278" w:lineRule="exact"/>
              <w:ind w:left="626"/>
              <w:rPr>
                <w:rFonts w:ascii="宋体" w:hAnsi="宋体" w:eastAsia="宋体" w:cs="宋体"/>
                <w:sz w:val="20"/>
                <w:szCs w:val="20"/>
              </w:rPr>
            </w:pPr>
            <w:r>
              <w:rPr>
                <w:rFonts w:ascii="宋体" w:hAnsi="宋体" w:eastAsia="宋体" w:cs="宋体"/>
                <w:spacing w:val="-19"/>
                <w:position w:val="1"/>
                <w:sz w:val="20"/>
                <w:szCs w:val="20"/>
              </w:rPr>
              <w:t>II</w:t>
            </w:r>
          </w:p>
        </w:tc>
        <w:tc>
          <w:tcPr>
            <w:tcW w:w="1384" w:type="dxa"/>
            <w:tcBorders>
              <w:right w:val="single" w:color="000000" w:sz="6" w:space="0"/>
            </w:tcBorders>
            <w:vAlign w:val="top"/>
          </w:tcPr>
          <w:p>
            <w:pPr>
              <w:spacing w:before="102" w:line="278" w:lineRule="exact"/>
              <w:ind w:left="593"/>
              <w:rPr>
                <w:rFonts w:ascii="宋体" w:hAnsi="宋体" w:eastAsia="宋体" w:cs="宋体"/>
                <w:sz w:val="20"/>
                <w:szCs w:val="20"/>
              </w:rPr>
            </w:pPr>
            <w:r>
              <w:rPr>
                <w:rFonts w:ascii="宋体" w:hAnsi="宋体" w:eastAsia="宋体" w:cs="宋体"/>
                <w:spacing w:val="-23"/>
                <w:position w:val="1"/>
                <w:sz w:val="20"/>
                <w:szCs w:val="20"/>
              </w:rPr>
              <w:t>III</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restart"/>
            <w:tcBorders>
              <w:left w:val="single" w:color="000000" w:sz="6" w:space="0"/>
              <w:bottom w:val="nil"/>
            </w:tcBorders>
            <w:vAlign w:val="top"/>
          </w:tcPr>
          <w:p>
            <w:pPr>
              <w:pStyle w:val="6"/>
              <w:spacing w:line="306" w:lineRule="auto"/>
            </w:pPr>
          </w:p>
          <w:p>
            <w:pPr>
              <w:pStyle w:val="6"/>
              <w:spacing w:line="307" w:lineRule="auto"/>
            </w:pPr>
          </w:p>
          <w:p>
            <w:pPr>
              <w:spacing w:before="65" w:line="278" w:lineRule="auto"/>
              <w:ind w:left="123" w:right="128" w:hanging="3"/>
              <w:rPr>
                <w:rFonts w:ascii="宋体" w:hAnsi="宋体" w:eastAsia="宋体" w:cs="宋体"/>
                <w:sz w:val="20"/>
                <w:szCs w:val="20"/>
              </w:rPr>
            </w:pPr>
            <w:r>
              <w:rPr>
                <w:rFonts w:ascii="宋体" w:hAnsi="宋体" w:eastAsia="宋体" w:cs="宋体"/>
                <w:spacing w:val="6"/>
                <w:sz w:val="20"/>
                <w:szCs w:val="20"/>
              </w:rPr>
              <w:t>工业</w:t>
            </w:r>
            <w:r>
              <w:rPr>
                <w:rFonts w:ascii="宋体" w:hAnsi="宋体" w:eastAsia="宋体" w:cs="宋体"/>
                <w:spacing w:val="4"/>
                <w:sz w:val="20"/>
                <w:szCs w:val="20"/>
              </w:rPr>
              <w:t>厂房</w:t>
            </w:r>
          </w:p>
          <w:p>
            <w:pPr>
              <w:spacing w:line="209" w:lineRule="auto"/>
              <w:ind w:left="120"/>
              <w:rPr>
                <w:rFonts w:ascii="宋体" w:hAnsi="宋体" w:eastAsia="宋体" w:cs="宋体"/>
                <w:sz w:val="20"/>
                <w:szCs w:val="20"/>
              </w:rPr>
            </w:pPr>
            <w:r>
              <w:rPr>
                <w:rFonts w:ascii="宋体" w:hAnsi="宋体" w:eastAsia="宋体" w:cs="宋体"/>
                <w:spacing w:val="6"/>
                <w:sz w:val="20"/>
                <w:szCs w:val="20"/>
              </w:rPr>
              <w:t>工程</w:t>
            </w:r>
          </w:p>
        </w:tc>
        <w:tc>
          <w:tcPr>
            <w:tcW w:w="2091" w:type="dxa"/>
            <w:gridSpan w:val="2"/>
            <w:vAlign w:val="top"/>
          </w:tcPr>
          <w:p>
            <w:pPr>
              <w:spacing w:before="267" w:line="218" w:lineRule="auto"/>
              <w:ind w:left="729"/>
              <w:rPr>
                <w:rFonts w:ascii="宋体" w:hAnsi="宋体" w:eastAsia="宋体" w:cs="宋体"/>
                <w:sz w:val="20"/>
                <w:szCs w:val="20"/>
              </w:rPr>
            </w:pPr>
            <w:r>
              <w:rPr>
                <w:rFonts w:ascii="宋体" w:hAnsi="宋体" w:eastAsia="宋体" w:cs="宋体"/>
                <w:spacing w:val="7"/>
                <w:sz w:val="20"/>
                <w:szCs w:val="20"/>
              </w:rPr>
              <w:t>钢结构</w:t>
            </w:r>
          </w:p>
        </w:tc>
        <w:tc>
          <w:tcPr>
            <w:tcW w:w="1688" w:type="dxa"/>
            <w:vAlign w:val="top"/>
          </w:tcPr>
          <w:p>
            <w:pPr>
              <w:spacing w:before="114" w:line="220" w:lineRule="auto"/>
              <w:ind w:left="630"/>
              <w:rPr>
                <w:rFonts w:ascii="宋体" w:hAnsi="宋体" w:eastAsia="宋体" w:cs="宋体"/>
                <w:sz w:val="20"/>
                <w:szCs w:val="20"/>
              </w:rPr>
            </w:pPr>
            <w:r>
              <w:rPr>
                <w:rFonts w:ascii="宋体" w:hAnsi="宋体" w:eastAsia="宋体" w:cs="宋体"/>
                <w:spacing w:val="8"/>
                <w:sz w:val="20"/>
                <w:szCs w:val="20"/>
              </w:rPr>
              <w:t>跨度</w:t>
            </w:r>
          </w:p>
          <w:p>
            <w:pPr>
              <w:spacing w:before="60" w:line="223" w:lineRule="auto"/>
              <w:ind w:left="424"/>
              <w:rPr>
                <w:rFonts w:ascii="宋体" w:hAnsi="宋体" w:eastAsia="宋体" w:cs="宋体"/>
                <w:sz w:val="20"/>
                <w:szCs w:val="20"/>
              </w:rPr>
            </w:pPr>
            <w:r>
              <w:rPr>
                <w:rFonts w:ascii="宋体" w:hAnsi="宋体" w:eastAsia="宋体" w:cs="宋体"/>
                <w:spacing w:val="9"/>
                <w:sz w:val="20"/>
                <w:szCs w:val="20"/>
              </w:rPr>
              <w:t>建筑面积</w:t>
            </w:r>
          </w:p>
        </w:tc>
        <w:tc>
          <w:tcPr>
            <w:tcW w:w="707" w:type="dxa"/>
            <w:vAlign w:val="top"/>
          </w:tcPr>
          <w:p>
            <w:pPr>
              <w:spacing w:before="109" w:line="28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302"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2</w:t>
            </w:r>
          </w:p>
        </w:tc>
        <w:tc>
          <w:tcPr>
            <w:tcW w:w="1375" w:type="dxa"/>
            <w:vAlign w:val="top"/>
          </w:tcPr>
          <w:p>
            <w:pPr>
              <w:spacing w:before="109" w:line="300"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5"/>
                <w:position w:val="2"/>
                <w:sz w:val="20"/>
                <w:szCs w:val="20"/>
              </w:rPr>
              <w:t xml:space="preserve"> </w:t>
            </w:r>
            <w:r>
              <w:rPr>
                <w:rFonts w:ascii="宋体" w:hAnsi="宋体" w:eastAsia="宋体" w:cs="宋体"/>
                <w:spacing w:val="-2"/>
                <w:position w:val="2"/>
                <w:sz w:val="20"/>
                <w:szCs w:val="20"/>
              </w:rPr>
              <w:t>30</w:t>
            </w:r>
          </w:p>
          <w:p>
            <w:pPr>
              <w:spacing w:line="283" w:lineRule="exact"/>
              <w:ind w:left="377"/>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25000</w:t>
            </w:r>
          </w:p>
        </w:tc>
        <w:tc>
          <w:tcPr>
            <w:tcW w:w="1375" w:type="dxa"/>
            <w:vAlign w:val="top"/>
          </w:tcPr>
          <w:p>
            <w:pPr>
              <w:spacing w:before="109" w:line="300" w:lineRule="exact"/>
              <w:ind w:left="533"/>
              <w:rPr>
                <w:rFonts w:ascii="宋体" w:hAnsi="宋体" w:eastAsia="宋体" w:cs="宋体"/>
                <w:sz w:val="20"/>
                <w:szCs w:val="20"/>
              </w:rPr>
            </w:pPr>
            <w:r>
              <w:rPr>
                <w:rFonts w:ascii="宋体" w:hAnsi="宋体" w:eastAsia="宋体" w:cs="宋体"/>
                <w:spacing w:val="-7"/>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7"/>
                <w:position w:val="2"/>
                <w:sz w:val="20"/>
                <w:szCs w:val="20"/>
              </w:rPr>
              <w:t>18</w:t>
            </w:r>
          </w:p>
          <w:p>
            <w:pPr>
              <w:spacing w:line="283"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12000</w:t>
            </w:r>
          </w:p>
        </w:tc>
        <w:tc>
          <w:tcPr>
            <w:tcW w:w="1384" w:type="dxa"/>
            <w:tcBorders>
              <w:right w:val="single" w:color="000000" w:sz="6" w:space="0"/>
            </w:tcBorders>
            <w:vAlign w:val="top"/>
          </w:tcPr>
          <w:p>
            <w:pPr>
              <w:spacing w:before="109" w:line="296" w:lineRule="exact"/>
              <w:ind w:left="514"/>
              <w:rPr>
                <w:rFonts w:ascii="宋体" w:hAnsi="宋体" w:eastAsia="宋体" w:cs="宋体"/>
                <w:sz w:val="20"/>
                <w:szCs w:val="20"/>
              </w:rPr>
            </w:pPr>
            <w:r>
              <w:rPr>
                <w:rFonts w:ascii="宋体" w:hAnsi="宋体" w:eastAsia="宋体" w:cs="宋体"/>
                <w:spacing w:val="-14"/>
                <w:position w:val="2"/>
                <w:sz w:val="20"/>
                <w:szCs w:val="20"/>
              </w:rPr>
              <w:t>≤</w:t>
            </w:r>
            <w:r>
              <w:rPr>
                <w:rFonts w:ascii="宋体" w:hAnsi="宋体" w:eastAsia="宋体" w:cs="宋体"/>
                <w:spacing w:val="-75"/>
                <w:position w:val="2"/>
                <w:sz w:val="20"/>
                <w:szCs w:val="20"/>
              </w:rPr>
              <w:t xml:space="preserve"> </w:t>
            </w:r>
            <w:r>
              <w:rPr>
                <w:rFonts w:ascii="宋体" w:hAnsi="宋体" w:eastAsia="宋体" w:cs="宋体"/>
                <w:spacing w:val="-14"/>
                <w:position w:val="2"/>
                <w:sz w:val="20"/>
                <w:szCs w:val="20"/>
              </w:rPr>
              <w:t>18</w:t>
            </w:r>
          </w:p>
          <w:p>
            <w:pPr>
              <w:spacing w:before="4" w:line="283"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bottom w:val="nil"/>
            </w:tcBorders>
            <w:vAlign w:val="top"/>
          </w:tcPr>
          <w:p>
            <w:pPr>
              <w:pStyle w:val="6"/>
            </w:pPr>
          </w:p>
        </w:tc>
        <w:tc>
          <w:tcPr>
            <w:tcW w:w="893" w:type="dxa"/>
            <w:vMerge w:val="restart"/>
            <w:tcBorders>
              <w:bottom w:val="nil"/>
            </w:tcBorders>
            <w:vAlign w:val="top"/>
          </w:tcPr>
          <w:p>
            <w:pPr>
              <w:pStyle w:val="6"/>
              <w:spacing w:line="402" w:lineRule="auto"/>
            </w:pPr>
          </w:p>
          <w:p>
            <w:pPr>
              <w:spacing w:before="65" w:line="280" w:lineRule="auto"/>
              <w:ind w:left="232" w:right="241"/>
              <w:rPr>
                <w:rFonts w:ascii="宋体" w:hAnsi="宋体" w:eastAsia="宋体" w:cs="宋体"/>
                <w:sz w:val="20"/>
                <w:szCs w:val="20"/>
              </w:rPr>
            </w:pPr>
            <w:r>
              <w:rPr>
                <w:rFonts w:ascii="宋体" w:hAnsi="宋体" w:eastAsia="宋体" w:cs="宋体"/>
                <w:spacing w:val="7"/>
                <w:sz w:val="20"/>
                <w:szCs w:val="20"/>
              </w:rPr>
              <w:t>其他</w:t>
            </w:r>
            <w:r>
              <w:rPr>
                <w:rFonts w:ascii="宋体" w:hAnsi="宋体" w:eastAsia="宋体" w:cs="宋体"/>
                <w:spacing w:val="6"/>
                <w:sz w:val="20"/>
                <w:szCs w:val="20"/>
              </w:rPr>
              <w:t>结构</w:t>
            </w:r>
          </w:p>
        </w:tc>
        <w:tc>
          <w:tcPr>
            <w:tcW w:w="1198" w:type="dxa"/>
            <w:vAlign w:val="top"/>
          </w:tcPr>
          <w:p>
            <w:pPr>
              <w:spacing w:before="265" w:line="220" w:lineRule="auto"/>
              <w:ind w:left="385"/>
              <w:rPr>
                <w:rFonts w:ascii="宋体" w:hAnsi="宋体" w:eastAsia="宋体" w:cs="宋体"/>
                <w:sz w:val="20"/>
                <w:szCs w:val="20"/>
              </w:rPr>
            </w:pPr>
            <w:r>
              <w:rPr>
                <w:rFonts w:ascii="宋体" w:hAnsi="宋体" w:eastAsia="宋体" w:cs="宋体"/>
                <w:spacing w:val="7"/>
                <w:sz w:val="20"/>
                <w:szCs w:val="20"/>
              </w:rPr>
              <w:t>单层</w:t>
            </w:r>
          </w:p>
        </w:tc>
        <w:tc>
          <w:tcPr>
            <w:tcW w:w="1688" w:type="dxa"/>
            <w:vAlign w:val="top"/>
          </w:tcPr>
          <w:p>
            <w:pPr>
              <w:spacing w:before="116" w:line="220" w:lineRule="auto"/>
              <w:ind w:left="630"/>
              <w:rPr>
                <w:rFonts w:ascii="宋体" w:hAnsi="宋体" w:eastAsia="宋体" w:cs="宋体"/>
                <w:sz w:val="20"/>
                <w:szCs w:val="20"/>
              </w:rPr>
            </w:pPr>
            <w:r>
              <w:rPr>
                <w:rFonts w:ascii="宋体" w:hAnsi="宋体" w:eastAsia="宋体" w:cs="宋体"/>
                <w:spacing w:val="8"/>
                <w:sz w:val="20"/>
                <w:szCs w:val="20"/>
              </w:rPr>
              <w:t>跨度</w:t>
            </w:r>
          </w:p>
          <w:p>
            <w:pPr>
              <w:spacing w:before="60" w:line="223" w:lineRule="auto"/>
              <w:ind w:left="424"/>
              <w:rPr>
                <w:rFonts w:ascii="宋体" w:hAnsi="宋体" w:eastAsia="宋体" w:cs="宋体"/>
                <w:sz w:val="20"/>
                <w:szCs w:val="20"/>
              </w:rPr>
            </w:pPr>
            <w:r>
              <w:rPr>
                <w:rFonts w:ascii="宋体" w:hAnsi="宋体" w:eastAsia="宋体" w:cs="宋体"/>
                <w:spacing w:val="9"/>
                <w:sz w:val="20"/>
                <w:szCs w:val="20"/>
              </w:rPr>
              <w:t>建筑面积</w:t>
            </w:r>
          </w:p>
        </w:tc>
        <w:tc>
          <w:tcPr>
            <w:tcW w:w="707" w:type="dxa"/>
            <w:vAlign w:val="top"/>
          </w:tcPr>
          <w:p>
            <w:pPr>
              <w:spacing w:before="112" w:line="280"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300"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2</w:t>
            </w:r>
          </w:p>
        </w:tc>
        <w:tc>
          <w:tcPr>
            <w:tcW w:w="1375" w:type="dxa"/>
            <w:vAlign w:val="top"/>
          </w:tcPr>
          <w:p>
            <w:pPr>
              <w:spacing w:before="112" w:line="300"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8"/>
                <w:position w:val="2"/>
                <w:sz w:val="20"/>
                <w:szCs w:val="20"/>
              </w:rPr>
              <w:t xml:space="preserve"> </w:t>
            </w:r>
            <w:r>
              <w:rPr>
                <w:rFonts w:ascii="宋体" w:hAnsi="宋体" w:eastAsia="宋体" w:cs="宋体"/>
                <w:spacing w:val="-1"/>
                <w:position w:val="2"/>
                <w:sz w:val="20"/>
                <w:szCs w:val="20"/>
              </w:rPr>
              <w:t>24</w:t>
            </w:r>
          </w:p>
          <w:p>
            <w:pPr>
              <w:spacing w:line="280"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7"/>
                <w:position w:val="1"/>
                <w:sz w:val="20"/>
                <w:szCs w:val="20"/>
              </w:rPr>
              <w:t xml:space="preserve"> </w:t>
            </w:r>
            <w:r>
              <w:rPr>
                <w:rFonts w:ascii="宋体" w:hAnsi="宋体" w:eastAsia="宋体" w:cs="宋体"/>
                <w:spacing w:val="-2"/>
                <w:position w:val="1"/>
                <w:sz w:val="20"/>
                <w:szCs w:val="20"/>
              </w:rPr>
              <w:t>15000</w:t>
            </w:r>
          </w:p>
        </w:tc>
        <w:tc>
          <w:tcPr>
            <w:tcW w:w="1375" w:type="dxa"/>
            <w:vAlign w:val="top"/>
          </w:tcPr>
          <w:p>
            <w:pPr>
              <w:spacing w:before="112" w:line="299" w:lineRule="exact"/>
              <w:ind w:left="533"/>
              <w:rPr>
                <w:rFonts w:ascii="宋体" w:hAnsi="宋体" w:eastAsia="宋体" w:cs="宋体"/>
                <w:sz w:val="20"/>
                <w:szCs w:val="20"/>
              </w:rPr>
            </w:pPr>
            <w:r>
              <w:rPr>
                <w:rFonts w:ascii="宋体" w:hAnsi="宋体" w:eastAsia="宋体" w:cs="宋体"/>
                <w:spacing w:val="-7"/>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7"/>
                <w:position w:val="2"/>
                <w:sz w:val="20"/>
                <w:szCs w:val="20"/>
              </w:rPr>
              <w:t>18</w:t>
            </w:r>
          </w:p>
          <w:p>
            <w:pPr>
              <w:spacing w:line="281"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10000</w:t>
            </w:r>
          </w:p>
        </w:tc>
        <w:tc>
          <w:tcPr>
            <w:tcW w:w="1384" w:type="dxa"/>
            <w:tcBorders>
              <w:right w:val="single" w:color="000000" w:sz="6" w:space="0"/>
            </w:tcBorders>
            <w:vAlign w:val="top"/>
          </w:tcPr>
          <w:p>
            <w:pPr>
              <w:spacing w:before="112" w:line="295" w:lineRule="exact"/>
              <w:ind w:left="514"/>
              <w:rPr>
                <w:rFonts w:ascii="宋体" w:hAnsi="宋体" w:eastAsia="宋体" w:cs="宋体"/>
                <w:sz w:val="20"/>
                <w:szCs w:val="20"/>
              </w:rPr>
            </w:pPr>
            <w:r>
              <w:rPr>
                <w:rFonts w:ascii="宋体" w:hAnsi="宋体" w:eastAsia="宋体" w:cs="宋体"/>
                <w:spacing w:val="-14"/>
                <w:position w:val="2"/>
                <w:sz w:val="20"/>
                <w:szCs w:val="20"/>
              </w:rPr>
              <w:t>≤</w:t>
            </w:r>
            <w:r>
              <w:rPr>
                <w:rFonts w:ascii="宋体" w:hAnsi="宋体" w:eastAsia="宋体" w:cs="宋体"/>
                <w:spacing w:val="-75"/>
                <w:position w:val="2"/>
                <w:sz w:val="20"/>
                <w:szCs w:val="20"/>
              </w:rPr>
              <w:t xml:space="preserve"> </w:t>
            </w:r>
            <w:r>
              <w:rPr>
                <w:rFonts w:ascii="宋体" w:hAnsi="宋体" w:eastAsia="宋体" w:cs="宋体"/>
                <w:spacing w:val="-14"/>
                <w:position w:val="2"/>
                <w:sz w:val="20"/>
                <w:szCs w:val="20"/>
              </w:rPr>
              <w:t>18</w:t>
            </w:r>
          </w:p>
          <w:p>
            <w:pPr>
              <w:spacing w:before="4" w:line="281"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tcBorders>
            <w:vAlign w:val="top"/>
          </w:tcPr>
          <w:p>
            <w:pPr>
              <w:pStyle w:val="6"/>
            </w:pPr>
          </w:p>
        </w:tc>
        <w:tc>
          <w:tcPr>
            <w:tcW w:w="893" w:type="dxa"/>
            <w:vMerge w:val="continue"/>
            <w:tcBorders>
              <w:top w:val="nil"/>
            </w:tcBorders>
            <w:vAlign w:val="top"/>
          </w:tcPr>
          <w:p>
            <w:pPr>
              <w:pStyle w:val="6"/>
            </w:pPr>
          </w:p>
        </w:tc>
        <w:tc>
          <w:tcPr>
            <w:tcW w:w="1198" w:type="dxa"/>
            <w:vAlign w:val="top"/>
          </w:tcPr>
          <w:p>
            <w:pPr>
              <w:spacing w:before="270" w:line="213" w:lineRule="auto"/>
              <w:ind w:left="392"/>
              <w:rPr>
                <w:rFonts w:ascii="宋体" w:hAnsi="宋体" w:eastAsia="宋体" w:cs="宋体"/>
                <w:sz w:val="20"/>
                <w:szCs w:val="20"/>
              </w:rPr>
            </w:pPr>
            <w:r>
              <w:rPr>
                <w:rFonts w:ascii="宋体" w:hAnsi="宋体" w:eastAsia="宋体" w:cs="宋体"/>
                <w:spacing w:val="3"/>
                <w:sz w:val="20"/>
                <w:szCs w:val="20"/>
              </w:rPr>
              <w:t>多层</w:t>
            </w:r>
          </w:p>
        </w:tc>
        <w:tc>
          <w:tcPr>
            <w:tcW w:w="1688" w:type="dxa"/>
            <w:vAlign w:val="top"/>
          </w:tcPr>
          <w:p>
            <w:pPr>
              <w:spacing w:before="111" w:line="266" w:lineRule="auto"/>
              <w:ind w:left="424" w:right="422" w:firstLine="206"/>
              <w:rPr>
                <w:rFonts w:ascii="宋体" w:hAnsi="宋体" w:eastAsia="宋体" w:cs="宋体"/>
                <w:sz w:val="20"/>
                <w:szCs w:val="20"/>
              </w:rPr>
            </w:pPr>
            <w:r>
              <w:rPr>
                <w:rFonts w:ascii="宋体" w:hAnsi="宋体" w:eastAsia="宋体" w:cs="宋体"/>
                <w:spacing w:val="8"/>
                <w:sz w:val="20"/>
                <w:szCs w:val="20"/>
              </w:rPr>
              <w:t>檐高</w:t>
            </w:r>
            <w:r>
              <w:rPr>
                <w:rFonts w:ascii="宋体" w:hAnsi="宋体" w:eastAsia="宋体" w:cs="宋体"/>
                <w:sz w:val="20"/>
                <w:szCs w:val="20"/>
              </w:rPr>
              <w:t xml:space="preserve"> </w:t>
            </w:r>
            <w:r>
              <w:rPr>
                <w:rFonts w:ascii="宋体" w:hAnsi="宋体" w:eastAsia="宋体" w:cs="宋体"/>
                <w:spacing w:val="9"/>
                <w:sz w:val="20"/>
                <w:szCs w:val="20"/>
              </w:rPr>
              <w:t>建筑面积</w:t>
            </w:r>
          </w:p>
        </w:tc>
        <w:tc>
          <w:tcPr>
            <w:tcW w:w="707" w:type="dxa"/>
            <w:vAlign w:val="top"/>
          </w:tcPr>
          <w:p>
            <w:pPr>
              <w:spacing w:before="112" w:line="280"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300"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2</w:t>
            </w:r>
          </w:p>
        </w:tc>
        <w:tc>
          <w:tcPr>
            <w:tcW w:w="1375" w:type="dxa"/>
            <w:vAlign w:val="top"/>
          </w:tcPr>
          <w:p>
            <w:pPr>
              <w:spacing w:before="112" w:line="299"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8"/>
                <w:position w:val="2"/>
                <w:sz w:val="20"/>
                <w:szCs w:val="20"/>
              </w:rPr>
              <w:t xml:space="preserve"> </w:t>
            </w:r>
            <w:r>
              <w:rPr>
                <w:rFonts w:ascii="宋体" w:hAnsi="宋体" w:eastAsia="宋体" w:cs="宋体"/>
                <w:spacing w:val="-1"/>
                <w:position w:val="2"/>
                <w:sz w:val="20"/>
                <w:szCs w:val="20"/>
              </w:rPr>
              <w:t>60</w:t>
            </w:r>
          </w:p>
          <w:p>
            <w:pPr>
              <w:spacing w:line="281" w:lineRule="exact"/>
              <w:ind w:left="377"/>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20000</w:t>
            </w:r>
          </w:p>
        </w:tc>
        <w:tc>
          <w:tcPr>
            <w:tcW w:w="1375" w:type="dxa"/>
            <w:vAlign w:val="top"/>
          </w:tcPr>
          <w:p>
            <w:pPr>
              <w:spacing w:before="112" w:line="299"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3"/>
                <w:position w:val="2"/>
                <w:sz w:val="20"/>
                <w:szCs w:val="20"/>
              </w:rPr>
              <w:t xml:space="preserve"> </w:t>
            </w:r>
            <w:r>
              <w:rPr>
                <w:rFonts w:ascii="宋体" w:hAnsi="宋体" w:eastAsia="宋体" w:cs="宋体"/>
                <w:spacing w:val="-2"/>
                <w:position w:val="2"/>
                <w:sz w:val="20"/>
                <w:szCs w:val="20"/>
              </w:rPr>
              <w:t>30</w:t>
            </w:r>
          </w:p>
          <w:p>
            <w:pPr>
              <w:spacing w:line="281"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12000</w:t>
            </w:r>
          </w:p>
        </w:tc>
        <w:tc>
          <w:tcPr>
            <w:tcW w:w="1384" w:type="dxa"/>
            <w:tcBorders>
              <w:right w:val="single" w:color="000000" w:sz="6" w:space="0"/>
            </w:tcBorders>
            <w:vAlign w:val="top"/>
          </w:tcPr>
          <w:p>
            <w:pPr>
              <w:spacing w:before="112" w:line="295" w:lineRule="exact"/>
              <w:ind w:left="514"/>
              <w:rPr>
                <w:rFonts w:ascii="宋体" w:hAnsi="宋体" w:eastAsia="宋体" w:cs="宋体"/>
                <w:sz w:val="20"/>
                <w:szCs w:val="20"/>
              </w:rPr>
            </w:pPr>
            <w:r>
              <w:rPr>
                <w:rFonts w:ascii="宋体" w:hAnsi="宋体" w:eastAsia="宋体" w:cs="宋体"/>
                <w:spacing w:val="-6"/>
                <w:position w:val="2"/>
                <w:sz w:val="20"/>
                <w:szCs w:val="20"/>
              </w:rPr>
              <w:t>≤30</w:t>
            </w:r>
          </w:p>
          <w:p>
            <w:pPr>
              <w:spacing w:before="4" w:line="281"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restart"/>
            <w:tcBorders>
              <w:left w:val="single" w:color="000000" w:sz="6" w:space="0"/>
              <w:bottom w:val="nil"/>
            </w:tcBorders>
            <w:vAlign w:val="top"/>
          </w:tcPr>
          <w:p>
            <w:pPr>
              <w:pStyle w:val="6"/>
              <w:spacing w:line="241" w:lineRule="auto"/>
            </w:pPr>
          </w:p>
          <w:p>
            <w:pPr>
              <w:pStyle w:val="6"/>
              <w:spacing w:line="242" w:lineRule="auto"/>
            </w:pPr>
          </w:p>
          <w:p>
            <w:pPr>
              <w:pStyle w:val="6"/>
              <w:spacing w:line="242" w:lineRule="auto"/>
            </w:pPr>
          </w:p>
          <w:p>
            <w:pPr>
              <w:pStyle w:val="6"/>
              <w:spacing w:line="242" w:lineRule="auto"/>
            </w:pPr>
          </w:p>
          <w:p>
            <w:pPr>
              <w:spacing w:before="65" w:line="277" w:lineRule="auto"/>
              <w:ind w:left="105" w:right="113" w:firstLine="18"/>
              <w:jc w:val="both"/>
              <w:rPr>
                <w:rFonts w:ascii="宋体" w:hAnsi="宋体" w:eastAsia="宋体" w:cs="宋体"/>
                <w:sz w:val="20"/>
                <w:szCs w:val="20"/>
              </w:rPr>
            </w:pPr>
            <w:r>
              <w:rPr>
                <w:rFonts w:ascii="宋体" w:hAnsi="宋体" w:eastAsia="宋体" w:cs="宋体"/>
                <w:spacing w:val="11"/>
                <w:sz w:val="20"/>
                <w:szCs w:val="20"/>
              </w:rPr>
              <w:t>民用</w:t>
            </w:r>
            <w:r>
              <w:rPr>
                <w:rFonts w:ascii="宋体" w:hAnsi="宋体" w:eastAsia="宋体" w:cs="宋体"/>
                <w:spacing w:val="21"/>
                <w:sz w:val="20"/>
                <w:szCs w:val="20"/>
              </w:rPr>
              <w:t>建筑</w:t>
            </w:r>
            <w:r>
              <w:rPr>
                <w:rFonts w:ascii="宋体" w:hAnsi="宋体" w:eastAsia="宋体" w:cs="宋体"/>
                <w:spacing w:val="6"/>
                <w:sz w:val="20"/>
                <w:szCs w:val="20"/>
              </w:rPr>
              <w:t>工程</w:t>
            </w:r>
          </w:p>
        </w:tc>
        <w:tc>
          <w:tcPr>
            <w:tcW w:w="2091" w:type="dxa"/>
            <w:gridSpan w:val="2"/>
            <w:vAlign w:val="top"/>
          </w:tcPr>
          <w:p>
            <w:pPr>
              <w:spacing w:before="269" w:line="218" w:lineRule="auto"/>
              <w:ind w:left="729"/>
              <w:rPr>
                <w:rFonts w:ascii="宋体" w:hAnsi="宋体" w:eastAsia="宋体" w:cs="宋体"/>
                <w:sz w:val="20"/>
                <w:szCs w:val="20"/>
              </w:rPr>
            </w:pPr>
            <w:r>
              <w:rPr>
                <w:rFonts w:ascii="宋体" w:hAnsi="宋体" w:eastAsia="宋体" w:cs="宋体"/>
                <w:spacing w:val="7"/>
                <w:sz w:val="20"/>
                <w:szCs w:val="20"/>
              </w:rPr>
              <w:t>钢结构</w:t>
            </w:r>
          </w:p>
        </w:tc>
        <w:tc>
          <w:tcPr>
            <w:tcW w:w="1688" w:type="dxa"/>
            <w:vAlign w:val="top"/>
          </w:tcPr>
          <w:p>
            <w:pPr>
              <w:spacing w:before="113" w:line="266" w:lineRule="auto"/>
              <w:ind w:left="424" w:right="422" w:firstLine="206"/>
              <w:rPr>
                <w:rFonts w:ascii="宋体" w:hAnsi="宋体" w:eastAsia="宋体" w:cs="宋体"/>
                <w:sz w:val="20"/>
                <w:szCs w:val="20"/>
              </w:rPr>
            </w:pPr>
            <w:r>
              <w:rPr>
                <w:rFonts w:ascii="宋体" w:hAnsi="宋体" w:eastAsia="宋体" w:cs="宋体"/>
                <w:spacing w:val="8"/>
                <w:sz w:val="20"/>
                <w:szCs w:val="20"/>
              </w:rPr>
              <w:t>檐高</w:t>
            </w:r>
            <w:r>
              <w:rPr>
                <w:rFonts w:ascii="宋体" w:hAnsi="宋体" w:eastAsia="宋体" w:cs="宋体"/>
                <w:sz w:val="20"/>
                <w:szCs w:val="20"/>
              </w:rPr>
              <w:t xml:space="preserve"> </w:t>
            </w:r>
            <w:r>
              <w:rPr>
                <w:rFonts w:ascii="宋体" w:hAnsi="宋体" w:eastAsia="宋体" w:cs="宋体"/>
                <w:spacing w:val="9"/>
                <w:sz w:val="20"/>
                <w:szCs w:val="20"/>
              </w:rPr>
              <w:t>建筑面积</w:t>
            </w:r>
          </w:p>
        </w:tc>
        <w:tc>
          <w:tcPr>
            <w:tcW w:w="707" w:type="dxa"/>
            <w:vAlign w:val="top"/>
          </w:tcPr>
          <w:p>
            <w:pPr>
              <w:spacing w:before="114" w:line="28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297"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2</w:t>
            </w:r>
          </w:p>
        </w:tc>
        <w:tc>
          <w:tcPr>
            <w:tcW w:w="1375" w:type="dxa"/>
            <w:vAlign w:val="top"/>
          </w:tcPr>
          <w:p>
            <w:pPr>
              <w:spacing w:before="114" w:line="300"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8"/>
                <w:position w:val="2"/>
                <w:sz w:val="20"/>
                <w:szCs w:val="20"/>
              </w:rPr>
              <w:t xml:space="preserve"> </w:t>
            </w:r>
            <w:r>
              <w:rPr>
                <w:rFonts w:ascii="宋体" w:hAnsi="宋体" w:eastAsia="宋体" w:cs="宋体"/>
                <w:spacing w:val="-1"/>
                <w:position w:val="2"/>
                <w:sz w:val="20"/>
                <w:szCs w:val="20"/>
              </w:rPr>
              <w:t>60</w:t>
            </w:r>
          </w:p>
          <w:p>
            <w:pPr>
              <w:spacing w:line="278" w:lineRule="exact"/>
              <w:ind w:left="377"/>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30000</w:t>
            </w:r>
          </w:p>
        </w:tc>
        <w:tc>
          <w:tcPr>
            <w:tcW w:w="1375" w:type="dxa"/>
            <w:vAlign w:val="top"/>
          </w:tcPr>
          <w:p>
            <w:pPr>
              <w:spacing w:before="114" w:line="300"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3"/>
                <w:position w:val="2"/>
                <w:sz w:val="20"/>
                <w:szCs w:val="20"/>
              </w:rPr>
              <w:t xml:space="preserve"> </w:t>
            </w:r>
            <w:r>
              <w:rPr>
                <w:rFonts w:ascii="宋体" w:hAnsi="宋体" w:eastAsia="宋体" w:cs="宋体"/>
                <w:spacing w:val="-2"/>
                <w:position w:val="2"/>
                <w:sz w:val="20"/>
                <w:szCs w:val="20"/>
              </w:rPr>
              <w:t>30</w:t>
            </w:r>
          </w:p>
          <w:p>
            <w:pPr>
              <w:spacing w:line="278"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12000</w:t>
            </w:r>
          </w:p>
        </w:tc>
        <w:tc>
          <w:tcPr>
            <w:tcW w:w="1384" w:type="dxa"/>
            <w:tcBorders>
              <w:right w:val="single" w:color="000000" w:sz="6" w:space="0"/>
            </w:tcBorders>
            <w:vAlign w:val="top"/>
          </w:tcPr>
          <w:p>
            <w:pPr>
              <w:spacing w:before="114" w:line="296" w:lineRule="exact"/>
              <w:ind w:left="514"/>
              <w:rPr>
                <w:rFonts w:ascii="宋体" w:hAnsi="宋体" w:eastAsia="宋体" w:cs="宋体"/>
                <w:sz w:val="20"/>
                <w:szCs w:val="20"/>
              </w:rPr>
            </w:pPr>
            <w:r>
              <w:rPr>
                <w:rFonts w:ascii="宋体" w:hAnsi="宋体" w:eastAsia="宋体" w:cs="宋体"/>
                <w:spacing w:val="-6"/>
                <w:position w:val="2"/>
                <w:sz w:val="20"/>
                <w:szCs w:val="20"/>
              </w:rPr>
              <w:t>≤30</w:t>
            </w:r>
          </w:p>
          <w:p>
            <w:pPr>
              <w:spacing w:before="4" w:line="278"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bottom w:val="nil"/>
            </w:tcBorders>
            <w:vAlign w:val="top"/>
          </w:tcPr>
          <w:p>
            <w:pPr>
              <w:pStyle w:val="6"/>
            </w:pPr>
          </w:p>
        </w:tc>
        <w:tc>
          <w:tcPr>
            <w:tcW w:w="2091" w:type="dxa"/>
            <w:gridSpan w:val="2"/>
            <w:vAlign w:val="top"/>
          </w:tcPr>
          <w:p>
            <w:pPr>
              <w:spacing w:before="271" w:line="218" w:lineRule="auto"/>
              <w:ind w:left="519"/>
              <w:rPr>
                <w:rFonts w:ascii="宋体" w:hAnsi="宋体" w:eastAsia="宋体" w:cs="宋体"/>
                <w:sz w:val="20"/>
                <w:szCs w:val="20"/>
              </w:rPr>
            </w:pPr>
            <w:r>
              <w:rPr>
                <w:rFonts w:ascii="宋体" w:hAnsi="宋体" w:eastAsia="宋体" w:cs="宋体"/>
                <w:spacing w:val="8"/>
                <w:sz w:val="20"/>
                <w:szCs w:val="20"/>
              </w:rPr>
              <w:t>混凝土结构</w:t>
            </w:r>
          </w:p>
        </w:tc>
        <w:tc>
          <w:tcPr>
            <w:tcW w:w="1688" w:type="dxa"/>
            <w:vAlign w:val="top"/>
          </w:tcPr>
          <w:p>
            <w:pPr>
              <w:spacing w:before="113" w:line="266" w:lineRule="auto"/>
              <w:ind w:left="424" w:right="422" w:firstLine="206"/>
              <w:rPr>
                <w:rFonts w:ascii="宋体" w:hAnsi="宋体" w:eastAsia="宋体" w:cs="宋体"/>
                <w:sz w:val="20"/>
                <w:szCs w:val="20"/>
              </w:rPr>
            </w:pPr>
            <w:r>
              <w:rPr>
                <w:rFonts w:ascii="宋体" w:hAnsi="宋体" w:eastAsia="宋体" w:cs="宋体"/>
                <w:spacing w:val="8"/>
                <w:sz w:val="20"/>
                <w:szCs w:val="20"/>
              </w:rPr>
              <w:t>檐高</w:t>
            </w:r>
            <w:r>
              <w:rPr>
                <w:rFonts w:ascii="宋体" w:hAnsi="宋体" w:eastAsia="宋体" w:cs="宋体"/>
                <w:sz w:val="20"/>
                <w:szCs w:val="20"/>
              </w:rPr>
              <w:t xml:space="preserve"> </w:t>
            </w:r>
            <w:r>
              <w:rPr>
                <w:rFonts w:ascii="宋体" w:hAnsi="宋体" w:eastAsia="宋体" w:cs="宋体"/>
                <w:spacing w:val="9"/>
                <w:sz w:val="20"/>
                <w:szCs w:val="20"/>
              </w:rPr>
              <w:t>建筑面积</w:t>
            </w:r>
          </w:p>
        </w:tc>
        <w:tc>
          <w:tcPr>
            <w:tcW w:w="707" w:type="dxa"/>
            <w:vAlign w:val="top"/>
          </w:tcPr>
          <w:p>
            <w:pPr>
              <w:spacing w:before="114" w:line="28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297"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2</w:t>
            </w:r>
          </w:p>
        </w:tc>
        <w:tc>
          <w:tcPr>
            <w:tcW w:w="1375" w:type="dxa"/>
            <w:vAlign w:val="top"/>
          </w:tcPr>
          <w:p>
            <w:pPr>
              <w:spacing w:before="114" w:line="300"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8"/>
                <w:position w:val="2"/>
                <w:sz w:val="20"/>
                <w:szCs w:val="20"/>
              </w:rPr>
              <w:t xml:space="preserve"> </w:t>
            </w:r>
            <w:r>
              <w:rPr>
                <w:rFonts w:ascii="宋体" w:hAnsi="宋体" w:eastAsia="宋体" w:cs="宋体"/>
                <w:spacing w:val="-1"/>
                <w:position w:val="2"/>
                <w:sz w:val="20"/>
                <w:szCs w:val="20"/>
              </w:rPr>
              <w:t>60</w:t>
            </w:r>
          </w:p>
          <w:p>
            <w:pPr>
              <w:spacing w:line="278" w:lineRule="exact"/>
              <w:ind w:left="377"/>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20000</w:t>
            </w:r>
          </w:p>
        </w:tc>
        <w:tc>
          <w:tcPr>
            <w:tcW w:w="1375" w:type="dxa"/>
            <w:vAlign w:val="top"/>
          </w:tcPr>
          <w:p>
            <w:pPr>
              <w:spacing w:before="114" w:line="300"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3"/>
                <w:position w:val="2"/>
                <w:sz w:val="20"/>
                <w:szCs w:val="20"/>
              </w:rPr>
              <w:t xml:space="preserve"> </w:t>
            </w:r>
            <w:r>
              <w:rPr>
                <w:rFonts w:ascii="宋体" w:hAnsi="宋体" w:eastAsia="宋体" w:cs="宋体"/>
                <w:spacing w:val="-2"/>
                <w:position w:val="2"/>
                <w:sz w:val="20"/>
                <w:szCs w:val="20"/>
              </w:rPr>
              <w:t>30</w:t>
            </w:r>
          </w:p>
          <w:p>
            <w:pPr>
              <w:spacing w:line="278"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10000</w:t>
            </w:r>
          </w:p>
        </w:tc>
        <w:tc>
          <w:tcPr>
            <w:tcW w:w="1384" w:type="dxa"/>
            <w:tcBorders>
              <w:right w:val="single" w:color="000000" w:sz="6" w:space="0"/>
            </w:tcBorders>
            <w:vAlign w:val="top"/>
          </w:tcPr>
          <w:p>
            <w:pPr>
              <w:spacing w:before="114" w:line="296" w:lineRule="exact"/>
              <w:ind w:left="514"/>
              <w:rPr>
                <w:rFonts w:ascii="宋体" w:hAnsi="宋体" w:eastAsia="宋体" w:cs="宋体"/>
                <w:sz w:val="20"/>
                <w:szCs w:val="20"/>
              </w:rPr>
            </w:pPr>
            <w:r>
              <w:rPr>
                <w:rFonts w:ascii="宋体" w:hAnsi="宋体" w:eastAsia="宋体" w:cs="宋体"/>
                <w:spacing w:val="-6"/>
                <w:position w:val="2"/>
                <w:sz w:val="20"/>
                <w:szCs w:val="20"/>
              </w:rPr>
              <w:t>≤30</w:t>
            </w:r>
          </w:p>
          <w:p>
            <w:pPr>
              <w:spacing w:before="4" w:line="278"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bottom w:val="nil"/>
            </w:tcBorders>
            <w:vAlign w:val="top"/>
          </w:tcPr>
          <w:p>
            <w:pPr>
              <w:pStyle w:val="6"/>
            </w:pPr>
          </w:p>
        </w:tc>
        <w:tc>
          <w:tcPr>
            <w:tcW w:w="2091" w:type="dxa"/>
            <w:gridSpan w:val="2"/>
            <w:vAlign w:val="top"/>
          </w:tcPr>
          <w:p>
            <w:pPr>
              <w:spacing w:before="269" w:line="222" w:lineRule="auto"/>
              <w:ind w:left="621"/>
              <w:rPr>
                <w:rFonts w:ascii="宋体" w:hAnsi="宋体" w:eastAsia="宋体" w:cs="宋体"/>
                <w:sz w:val="20"/>
                <w:szCs w:val="20"/>
              </w:rPr>
            </w:pPr>
            <w:r>
              <w:rPr>
                <w:rFonts w:ascii="宋体" w:hAnsi="宋体" w:eastAsia="宋体" w:cs="宋体"/>
                <w:spacing w:val="8"/>
                <w:sz w:val="20"/>
                <w:szCs w:val="20"/>
              </w:rPr>
              <w:t>其他结构</w:t>
            </w:r>
          </w:p>
        </w:tc>
        <w:tc>
          <w:tcPr>
            <w:tcW w:w="1688" w:type="dxa"/>
            <w:vAlign w:val="top"/>
          </w:tcPr>
          <w:p>
            <w:pPr>
              <w:spacing w:before="119" w:line="219" w:lineRule="auto"/>
              <w:ind w:left="632"/>
              <w:rPr>
                <w:rFonts w:ascii="宋体" w:hAnsi="宋体" w:eastAsia="宋体" w:cs="宋体"/>
                <w:sz w:val="20"/>
                <w:szCs w:val="20"/>
              </w:rPr>
            </w:pPr>
            <w:r>
              <w:rPr>
                <w:rFonts w:ascii="宋体" w:hAnsi="宋体" w:eastAsia="宋体" w:cs="宋体"/>
                <w:spacing w:val="7"/>
                <w:sz w:val="20"/>
                <w:szCs w:val="20"/>
              </w:rPr>
              <w:t>层数</w:t>
            </w:r>
          </w:p>
          <w:p>
            <w:pPr>
              <w:spacing w:before="60" w:line="223" w:lineRule="auto"/>
              <w:ind w:left="424"/>
              <w:rPr>
                <w:rFonts w:ascii="宋体" w:hAnsi="宋体" w:eastAsia="宋体" w:cs="宋体"/>
                <w:sz w:val="20"/>
                <w:szCs w:val="20"/>
              </w:rPr>
            </w:pPr>
            <w:r>
              <w:rPr>
                <w:rFonts w:ascii="宋体" w:hAnsi="宋体" w:eastAsia="宋体" w:cs="宋体"/>
                <w:spacing w:val="9"/>
                <w:sz w:val="20"/>
                <w:szCs w:val="20"/>
              </w:rPr>
              <w:t>建筑面积</w:t>
            </w:r>
          </w:p>
        </w:tc>
        <w:tc>
          <w:tcPr>
            <w:tcW w:w="707" w:type="dxa"/>
            <w:vAlign w:val="top"/>
          </w:tcPr>
          <w:p>
            <w:pPr>
              <w:spacing w:before="125" w:line="262" w:lineRule="auto"/>
              <w:ind w:left="254" w:right="246" w:hanging="4"/>
              <w:rPr>
                <w:rFonts w:ascii="宋体" w:hAnsi="宋体" w:eastAsia="宋体" w:cs="宋体"/>
                <w:sz w:val="10"/>
                <w:szCs w:val="10"/>
              </w:rPr>
            </w:pPr>
            <w:r>
              <w:rPr>
                <w:rFonts w:ascii="宋体" w:hAnsi="宋体" w:eastAsia="宋体" w:cs="宋体"/>
                <w:spacing w:val="5"/>
                <w:sz w:val="20"/>
                <w:szCs w:val="20"/>
              </w:rPr>
              <w:t>层</w:t>
            </w:r>
            <w:r>
              <w:rPr>
                <w:rFonts w:ascii="宋体" w:hAnsi="宋体" w:eastAsia="宋体" w:cs="宋体"/>
                <w:spacing w:val="6"/>
                <w:w w:val="124"/>
                <w:position w:val="-2"/>
                <w:sz w:val="20"/>
                <w:szCs w:val="20"/>
              </w:rPr>
              <w:t>m</w:t>
            </w:r>
            <w:r>
              <w:rPr>
                <w:rFonts w:ascii="宋体" w:hAnsi="宋体" w:eastAsia="宋体" w:cs="宋体"/>
                <w:spacing w:val="6"/>
                <w:w w:val="124"/>
                <w:position w:val="8"/>
                <w:sz w:val="10"/>
                <w:szCs w:val="10"/>
              </w:rPr>
              <w:t>2</w:t>
            </w:r>
          </w:p>
        </w:tc>
        <w:tc>
          <w:tcPr>
            <w:tcW w:w="1375" w:type="dxa"/>
            <w:vAlign w:val="top"/>
          </w:tcPr>
          <w:p>
            <w:pPr>
              <w:spacing w:before="217" w:line="138" w:lineRule="exact"/>
              <w:ind w:left="581"/>
              <w:rPr>
                <w:rFonts w:ascii="宋体" w:hAnsi="宋体" w:eastAsia="宋体" w:cs="宋体"/>
                <w:sz w:val="20"/>
                <w:szCs w:val="20"/>
              </w:rPr>
            </w:pPr>
            <w:r>
              <w:rPr>
                <w:rFonts w:ascii="宋体" w:hAnsi="宋体" w:eastAsia="宋体" w:cs="宋体"/>
                <w:spacing w:val="9"/>
                <w:position w:val="-3"/>
                <w:sz w:val="20"/>
                <w:szCs w:val="20"/>
              </w:rPr>
              <w:t>—</w:t>
            </w:r>
          </w:p>
          <w:p>
            <w:pPr>
              <w:spacing w:before="162" w:line="138" w:lineRule="exact"/>
              <w:ind w:left="581"/>
              <w:rPr>
                <w:rFonts w:ascii="宋体" w:hAnsi="宋体" w:eastAsia="宋体" w:cs="宋体"/>
                <w:sz w:val="20"/>
                <w:szCs w:val="20"/>
              </w:rPr>
            </w:pPr>
            <w:r>
              <w:rPr>
                <w:rFonts w:ascii="宋体" w:hAnsi="宋体" w:eastAsia="宋体" w:cs="宋体"/>
                <w:spacing w:val="9"/>
                <w:position w:val="-3"/>
                <w:sz w:val="20"/>
                <w:szCs w:val="20"/>
              </w:rPr>
              <w:t>—</w:t>
            </w:r>
          </w:p>
        </w:tc>
        <w:tc>
          <w:tcPr>
            <w:tcW w:w="1375" w:type="dxa"/>
            <w:vAlign w:val="top"/>
          </w:tcPr>
          <w:p>
            <w:pPr>
              <w:spacing w:before="114" w:line="300" w:lineRule="exact"/>
              <w:ind w:left="533"/>
              <w:rPr>
                <w:rFonts w:ascii="宋体" w:hAnsi="宋体" w:eastAsia="宋体" w:cs="宋体"/>
                <w:sz w:val="20"/>
                <w:szCs w:val="20"/>
              </w:rPr>
            </w:pPr>
            <w:r>
              <w:rPr>
                <w:rFonts w:ascii="宋体" w:hAnsi="宋体" w:eastAsia="宋体" w:cs="宋体"/>
                <w:spacing w:val="-7"/>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7"/>
                <w:position w:val="2"/>
                <w:sz w:val="20"/>
                <w:szCs w:val="20"/>
              </w:rPr>
              <w:t>10</w:t>
            </w:r>
          </w:p>
          <w:p>
            <w:pPr>
              <w:spacing w:line="278" w:lineRule="exact"/>
              <w:ind w:left="377"/>
              <w:rPr>
                <w:rFonts w:ascii="宋体" w:hAnsi="宋体" w:eastAsia="宋体" w:cs="宋体"/>
                <w:sz w:val="20"/>
                <w:szCs w:val="20"/>
              </w:rPr>
            </w:pPr>
            <w:r>
              <w:rPr>
                <w:rFonts w:ascii="宋体" w:hAnsi="宋体" w:eastAsia="宋体" w:cs="宋体"/>
                <w:spacing w:val="-2"/>
                <w:position w:val="1"/>
                <w:sz w:val="20"/>
                <w:szCs w:val="20"/>
              </w:rPr>
              <w:t>&gt;</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12000</w:t>
            </w:r>
          </w:p>
        </w:tc>
        <w:tc>
          <w:tcPr>
            <w:tcW w:w="1384" w:type="dxa"/>
            <w:tcBorders>
              <w:right w:val="single" w:color="000000" w:sz="6" w:space="0"/>
            </w:tcBorders>
            <w:vAlign w:val="top"/>
          </w:tcPr>
          <w:p>
            <w:pPr>
              <w:spacing w:before="114" w:line="296" w:lineRule="exact"/>
              <w:ind w:left="514"/>
              <w:rPr>
                <w:rFonts w:ascii="宋体" w:hAnsi="宋体" w:eastAsia="宋体" w:cs="宋体"/>
                <w:sz w:val="20"/>
                <w:szCs w:val="20"/>
              </w:rPr>
            </w:pPr>
            <w:r>
              <w:rPr>
                <w:rFonts w:ascii="宋体" w:hAnsi="宋体" w:eastAsia="宋体" w:cs="宋体"/>
                <w:spacing w:val="-14"/>
                <w:position w:val="2"/>
                <w:sz w:val="20"/>
                <w:szCs w:val="20"/>
              </w:rPr>
              <w:t>≤</w:t>
            </w:r>
            <w:r>
              <w:rPr>
                <w:rFonts w:ascii="宋体" w:hAnsi="宋体" w:eastAsia="宋体" w:cs="宋体"/>
                <w:spacing w:val="-75"/>
                <w:position w:val="2"/>
                <w:sz w:val="20"/>
                <w:szCs w:val="20"/>
              </w:rPr>
              <w:t xml:space="preserve"> </w:t>
            </w:r>
            <w:r>
              <w:rPr>
                <w:rFonts w:ascii="宋体" w:hAnsi="宋体" w:eastAsia="宋体" w:cs="宋体"/>
                <w:spacing w:val="-14"/>
                <w:position w:val="2"/>
                <w:sz w:val="20"/>
                <w:szCs w:val="20"/>
              </w:rPr>
              <w:t>10</w:t>
            </w:r>
          </w:p>
          <w:p>
            <w:pPr>
              <w:spacing w:before="4" w:line="278" w:lineRule="exact"/>
              <w:ind w:left="358"/>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75"/>
                <w:position w:val="1"/>
                <w:sz w:val="20"/>
                <w:szCs w:val="20"/>
              </w:rPr>
              <w:t xml:space="preserve"> </w:t>
            </w:r>
            <w:r>
              <w:rPr>
                <w:rFonts w:ascii="宋体" w:hAnsi="宋体" w:eastAsia="宋体" w:cs="宋体"/>
                <w:spacing w:val="-5"/>
                <w:position w:val="1"/>
                <w:sz w:val="20"/>
                <w:szCs w:val="20"/>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tcBorders>
            <w:vAlign w:val="top"/>
          </w:tcPr>
          <w:p>
            <w:pPr>
              <w:pStyle w:val="6"/>
            </w:pPr>
          </w:p>
        </w:tc>
        <w:tc>
          <w:tcPr>
            <w:tcW w:w="2091" w:type="dxa"/>
            <w:gridSpan w:val="2"/>
            <w:vAlign w:val="top"/>
          </w:tcPr>
          <w:p>
            <w:pPr>
              <w:spacing w:before="120" w:line="264" w:lineRule="auto"/>
              <w:ind w:left="633" w:right="549" w:hanging="13"/>
              <w:rPr>
                <w:rFonts w:ascii="宋体" w:hAnsi="宋体" w:eastAsia="宋体" w:cs="宋体"/>
                <w:sz w:val="20"/>
                <w:szCs w:val="20"/>
              </w:rPr>
            </w:pPr>
            <w:r>
              <w:rPr>
                <w:rFonts w:ascii="宋体" w:hAnsi="宋体" w:eastAsia="宋体" w:cs="宋体"/>
                <w:spacing w:val="8"/>
                <w:sz w:val="20"/>
                <w:szCs w:val="20"/>
              </w:rPr>
              <w:t>别墅工程</w:t>
            </w:r>
            <w:r>
              <w:rPr>
                <w:rFonts w:ascii="宋体" w:hAnsi="宋体" w:eastAsia="宋体" w:cs="宋体"/>
                <w:spacing w:val="-9"/>
                <w:sz w:val="20"/>
                <w:szCs w:val="20"/>
              </w:rPr>
              <w:t>( ≤3</w:t>
            </w:r>
            <w:r>
              <w:rPr>
                <w:rFonts w:ascii="宋体" w:hAnsi="宋体" w:eastAsia="宋体" w:cs="宋体"/>
                <w:spacing w:val="-45"/>
                <w:sz w:val="20"/>
                <w:szCs w:val="20"/>
              </w:rPr>
              <w:t xml:space="preserve"> </w:t>
            </w:r>
            <w:r>
              <w:rPr>
                <w:rFonts w:ascii="宋体" w:hAnsi="宋体" w:eastAsia="宋体" w:cs="宋体"/>
                <w:spacing w:val="-9"/>
                <w:sz w:val="20"/>
                <w:szCs w:val="20"/>
              </w:rPr>
              <w:t>层）</w:t>
            </w:r>
          </w:p>
        </w:tc>
        <w:tc>
          <w:tcPr>
            <w:tcW w:w="1688" w:type="dxa"/>
            <w:vAlign w:val="top"/>
          </w:tcPr>
          <w:p>
            <w:pPr>
              <w:spacing w:before="121" w:line="219" w:lineRule="auto"/>
              <w:ind w:left="632"/>
              <w:rPr>
                <w:rFonts w:ascii="宋体" w:hAnsi="宋体" w:eastAsia="宋体" w:cs="宋体"/>
                <w:sz w:val="20"/>
                <w:szCs w:val="20"/>
              </w:rPr>
            </w:pPr>
            <w:r>
              <w:rPr>
                <w:rFonts w:ascii="宋体" w:hAnsi="宋体" w:eastAsia="宋体" w:cs="宋体"/>
                <w:spacing w:val="7"/>
                <w:sz w:val="20"/>
                <w:szCs w:val="20"/>
              </w:rPr>
              <w:t>栋数</w:t>
            </w:r>
          </w:p>
          <w:p>
            <w:pPr>
              <w:spacing w:before="60" w:line="223" w:lineRule="auto"/>
              <w:ind w:left="424"/>
              <w:rPr>
                <w:rFonts w:ascii="宋体" w:hAnsi="宋体" w:eastAsia="宋体" w:cs="宋体"/>
                <w:sz w:val="20"/>
                <w:szCs w:val="20"/>
              </w:rPr>
            </w:pPr>
            <w:r>
              <w:rPr>
                <w:rFonts w:ascii="宋体" w:hAnsi="宋体" w:eastAsia="宋体" w:cs="宋体"/>
                <w:spacing w:val="9"/>
                <w:sz w:val="20"/>
                <w:szCs w:val="20"/>
              </w:rPr>
              <w:t>建筑面积</w:t>
            </w:r>
          </w:p>
        </w:tc>
        <w:tc>
          <w:tcPr>
            <w:tcW w:w="707" w:type="dxa"/>
            <w:vAlign w:val="top"/>
          </w:tcPr>
          <w:p>
            <w:pPr>
              <w:spacing w:before="123" w:line="263" w:lineRule="auto"/>
              <w:ind w:left="254" w:right="246" w:hanging="4"/>
              <w:rPr>
                <w:rFonts w:ascii="宋体" w:hAnsi="宋体" w:eastAsia="宋体" w:cs="宋体"/>
                <w:sz w:val="10"/>
                <w:szCs w:val="10"/>
              </w:rPr>
            </w:pPr>
            <w:r>
              <w:rPr>
                <w:rFonts w:ascii="宋体" w:hAnsi="宋体" w:eastAsia="宋体" w:cs="宋体"/>
                <w:spacing w:val="5"/>
                <w:sz w:val="20"/>
                <w:szCs w:val="20"/>
              </w:rPr>
              <w:t>栋</w:t>
            </w:r>
            <w:r>
              <w:rPr>
                <w:rFonts w:ascii="宋体" w:hAnsi="宋体" w:eastAsia="宋体" w:cs="宋体"/>
                <w:spacing w:val="6"/>
                <w:w w:val="124"/>
                <w:position w:val="-2"/>
                <w:sz w:val="20"/>
                <w:szCs w:val="20"/>
              </w:rPr>
              <w:t>m</w:t>
            </w:r>
            <w:r>
              <w:rPr>
                <w:rFonts w:ascii="宋体" w:hAnsi="宋体" w:eastAsia="宋体" w:cs="宋体"/>
                <w:spacing w:val="6"/>
                <w:w w:val="124"/>
                <w:position w:val="8"/>
                <w:sz w:val="10"/>
                <w:szCs w:val="10"/>
              </w:rPr>
              <w:t>2</w:t>
            </w:r>
          </w:p>
        </w:tc>
        <w:tc>
          <w:tcPr>
            <w:tcW w:w="1375" w:type="dxa"/>
            <w:vAlign w:val="top"/>
          </w:tcPr>
          <w:p>
            <w:pPr>
              <w:spacing w:before="116" w:line="296" w:lineRule="exact"/>
              <w:ind w:left="562"/>
              <w:rPr>
                <w:rFonts w:ascii="宋体" w:hAnsi="宋体" w:eastAsia="宋体" w:cs="宋体"/>
                <w:sz w:val="20"/>
                <w:szCs w:val="20"/>
              </w:rPr>
            </w:pPr>
            <w:r>
              <w:rPr>
                <w:rFonts w:ascii="宋体" w:hAnsi="宋体" w:eastAsia="宋体" w:cs="宋体"/>
                <w:spacing w:val="-10"/>
                <w:position w:val="2"/>
                <w:sz w:val="20"/>
                <w:szCs w:val="20"/>
              </w:rPr>
              <w:t>≤5</w:t>
            </w:r>
          </w:p>
          <w:p>
            <w:pPr>
              <w:spacing w:before="4" w:line="276" w:lineRule="exact"/>
              <w:ind w:left="458"/>
              <w:rPr>
                <w:rFonts w:ascii="宋体" w:hAnsi="宋体" w:eastAsia="宋体" w:cs="宋体"/>
                <w:sz w:val="20"/>
                <w:szCs w:val="20"/>
              </w:rPr>
            </w:pPr>
            <w:r>
              <w:rPr>
                <w:rFonts w:ascii="宋体" w:hAnsi="宋体" w:eastAsia="宋体" w:cs="宋体"/>
                <w:spacing w:val="-4"/>
                <w:position w:val="1"/>
                <w:sz w:val="20"/>
                <w:szCs w:val="20"/>
              </w:rPr>
              <w:t>≤500</w:t>
            </w:r>
          </w:p>
        </w:tc>
        <w:tc>
          <w:tcPr>
            <w:tcW w:w="1375" w:type="dxa"/>
            <w:vAlign w:val="top"/>
          </w:tcPr>
          <w:p>
            <w:pPr>
              <w:spacing w:before="116" w:line="296" w:lineRule="exact"/>
              <w:ind w:left="511"/>
              <w:rPr>
                <w:rFonts w:ascii="宋体" w:hAnsi="宋体" w:eastAsia="宋体" w:cs="宋体"/>
                <w:sz w:val="20"/>
                <w:szCs w:val="20"/>
              </w:rPr>
            </w:pPr>
            <w:r>
              <w:rPr>
                <w:rFonts w:ascii="宋体" w:hAnsi="宋体" w:eastAsia="宋体" w:cs="宋体"/>
                <w:spacing w:val="-14"/>
                <w:position w:val="2"/>
                <w:sz w:val="20"/>
                <w:szCs w:val="20"/>
              </w:rPr>
              <w:t>≤</w:t>
            </w:r>
            <w:r>
              <w:rPr>
                <w:rFonts w:ascii="宋体" w:hAnsi="宋体" w:eastAsia="宋体" w:cs="宋体"/>
                <w:spacing w:val="-75"/>
                <w:position w:val="2"/>
                <w:sz w:val="20"/>
                <w:szCs w:val="20"/>
              </w:rPr>
              <w:t xml:space="preserve"> </w:t>
            </w:r>
            <w:r>
              <w:rPr>
                <w:rFonts w:ascii="宋体" w:hAnsi="宋体" w:eastAsia="宋体" w:cs="宋体"/>
                <w:spacing w:val="-14"/>
                <w:position w:val="2"/>
                <w:sz w:val="20"/>
                <w:szCs w:val="20"/>
              </w:rPr>
              <w:t>10</w:t>
            </w:r>
          </w:p>
          <w:p>
            <w:pPr>
              <w:spacing w:before="4" w:line="276" w:lineRule="exact"/>
              <w:ind w:left="461"/>
              <w:rPr>
                <w:rFonts w:ascii="宋体" w:hAnsi="宋体" w:eastAsia="宋体" w:cs="宋体"/>
                <w:sz w:val="20"/>
                <w:szCs w:val="20"/>
              </w:rPr>
            </w:pPr>
            <w:r>
              <w:rPr>
                <w:rFonts w:ascii="宋体" w:hAnsi="宋体" w:eastAsia="宋体" w:cs="宋体"/>
                <w:spacing w:val="-4"/>
                <w:position w:val="1"/>
                <w:sz w:val="20"/>
                <w:szCs w:val="20"/>
              </w:rPr>
              <w:t>≤700</w:t>
            </w:r>
          </w:p>
        </w:tc>
        <w:tc>
          <w:tcPr>
            <w:tcW w:w="1384" w:type="dxa"/>
            <w:tcBorders>
              <w:right w:val="single" w:color="000000" w:sz="6" w:space="0"/>
            </w:tcBorders>
            <w:vAlign w:val="top"/>
          </w:tcPr>
          <w:p>
            <w:pPr>
              <w:spacing w:before="116" w:line="300" w:lineRule="exact"/>
              <w:ind w:left="536"/>
              <w:rPr>
                <w:rFonts w:ascii="宋体" w:hAnsi="宋体" w:eastAsia="宋体" w:cs="宋体"/>
                <w:sz w:val="20"/>
                <w:szCs w:val="20"/>
              </w:rPr>
            </w:pPr>
            <w:r>
              <w:rPr>
                <w:rFonts w:ascii="宋体" w:hAnsi="宋体" w:eastAsia="宋体" w:cs="宋体"/>
                <w:spacing w:val="-7"/>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7"/>
                <w:position w:val="2"/>
                <w:sz w:val="20"/>
                <w:szCs w:val="20"/>
              </w:rPr>
              <w:t>10</w:t>
            </w:r>
          </w:p>
          <w:p>
            <w:pPr>
              <w:spacing w:line="276" w:lineRule="exact"/>
              <w:ind w:left="486"/>
              <w:rPr>
                <w:rFonts w:ascii="宋体" w:hAnsi="宋体" w:eastAsia="宋体" w:cs="宋体"/>
                <w:sz w:val="20"/>
                <w:szCs w:val="20"/>
              </w:rPr>
            </w:pPr>
            <w:r>
              <w:rPr>
                <w:rFonts w:ascii="宋体" w:hAnsi="宋体" w:eastAsia="宋体" w:cs="宋体"/>
                <w:position w:val="1"/>
                <w:sz w:val="20"/>
                <w:szCs w:val="20"/>
              </w:rPr>
              <w:t>&gt;</w:t>
            </w:r>
            <w:r>
              <w:rPr>
                <w:rFonts w:ascii="宋体" w:hAnsi="宋体" w:eastAsia="宋体" w:cs="宋体"/>
                <w:spacing w:val="-38"/>
                <w:position w:val="1"/>
                <w:sz w:val="20"/>
                <w:szCs w:val="20"/>
              </w:rPr>
              <w:t xml:space="preserve"> </w:t>
            </w:r>
            <w:r>
              <w:rPr>
                <w:rFonts w:ascii="宋体" w:hAnsi="宋体" w:eastAsia="宋体" w:cs="宋体"/>
                <w:position w:val="1"/>
                <w:sz w:val="20"/>
                <w:szCs w:val="20"/>
              </w:rPr>
              <w:t>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restart"/>
            <w:tcBorders>
              <w:left w:val="single" w:color="000000" w:sz="6" w:space="0"/>
              <w:bottom w:val="nil"/>
            </w:tcBorders>
            <w:vAlign w:val="top"/>
          </w:tcPr>
          <w:p>
            <w:pPr>
              <w:pStyle w:val="6"/>
              <w:spacing w:line="290" w:lineRule="auto"/>
            </w:pPr>
          </w:p>
          <w:p>
            <w:pPr>
              <w:pStyle w:val="6"/>
              <w:spacing w:line="290" w:lineRule="auto"/>
            </w:pPr>
          </w:p>
          <w:p>
            <w:pPr>
              <w:pStyle w:val="6"/>
              <w:spacing w:line="291" w:lineRule="auto"/>
            </w:pPr>
          </w:p>
          <w:p>
            <w:pPr>
              <w:spacing w:before="65" w:line="220" w:lineRule="auto"/>
              <w:ind w:left="121"/>
              <w:rPr>
                <w:rFonts w:ascii="宋体" w:hAnsi="宋体" w:eastAsia="宋体" w:cs="宋体"/>
                <w:sz w:val="20"/>
                <w:szCs w:val="20"/>
              </w:rPr>
            </w:pPr>
            <w:r>
              <w:rPr>
                <w:rFonts w:ascii="宋体" w:hAnsi="宋体" w:eastAsia="宋体" w:cs="宋体"/>
                <w:spacing w:val="6"/>
                <w:sz w:val="20"/>
                <w:szCs w:val="20"/>
              </w:rPr>
              <w:t>构筑</w:t>
            </w:r>
          </w:p>
          <w:p>
            <w:pPr>
              <w:spacing w:before="62" w:line="217" w:lineRule="auto"/>
              <w:ind w:left="123"/>
              <w:rPr>
                <w:rFonts w:ascii="宋体" w:hAnsi="宋体" w:eastAsia="宋体" w:cs="宋体"/>
                <w:sz w:val="20"/>
                <w:szCs w:val="20"/>
              </w:rPr>
            </w:pPr>
            <w:r>
              <w:rPr>
                <w:rFonts w:ascii="宋体" w:hAnsi="宋体" w:eastAsia="宋体" w:cs="宋体"/>
                <w:spacing w:val="5"/>
                <w:sz w:val="20"/>
                <w:szCs w:val="20"/>
              </w:rPr>
              <w:t>物工</w:t>
            </w:r>
          </w:p>
          <w:p>
            <w:pPr>
              <w:spacing w:before="73" w:line="209" w:lineRule="auto"/>
              <w:ind w:left="226"/>
              <w:rPr>
                <w:rFonts w:ascii="宋体" w:hAnsi="宋体" w:eastAsia="宋体" w:cs="宋体"/>
                <w:sz w:val="20"/>
                <w:szCs w:val="20"/>
              </w:rPr>
            </w:pPr>
            <w:r>
              <w:rPr>
                <w:rFonts w:ascii="宋体" w:hAnsi="宋体" w:eastAsia="宋体" w:cs="宋体"/>
                <w:spacing w:val="4"/>
                <w:sz w:val="20"/>
                <w:szCs w:val="20"/>
              </w:rPr>
              <w:t>程</w:t>
            </w:r>
          </w:p>
        </w:tc>
        <w:tc>
          <w:tcPr>
            <w:tcW w:w="893" w:type="dxa"/>
            <w:vAlign w:val="top"/>
          </w:tcPr>
          <w:p>
            <w:pPr>
              <w:spacing w:before="276" w:line="216" w:lineRule="auto"/>
              <w:ind w:left="237"/>
              <w:rPr>
                <w:rFonts w:ascii="宋体" w:hAnsi="宋体" w:eastAsia="宋体" w:cs="宋体"/>
                <w:sz w:val="20"/>
                <w:szCs w:val="20"/>
              </w:rPr>
            </w:pPr>
            <w:r>
              <w:rPr>
                <w:rFonts w:ascii="宋体" w:hAnsi="宋体" w:eastAsia="宋体" w:cs="宋体"/>
                <w:spacing w:val="4"/>
                <w:sz w:val="20"/>
                <w:szCs w:val="20"/>
              </w:rPr>
              <w:t>烟囱</w:t>
            </w:r>
          </w:p>
        </w:tc>
        <w:tc>
          <w:tcPr>
            <w:tcW w:w="2886" w:type="dxa"/>
            <w:gridSpan w:val="2"/>
            <w:vAlign w:val="top"/>
          </w:tcPr>
          <w:p>
            <w:pPr>
              <w:spacing w:before="120" w:line="264" w:lineRule="auto"/>
              <w:ind w:left="914" w:right="710" w:hanging="208"/>
              <w:rPr>
                <w:rFonts w:ascii="宋体" w:hAnsi="宋体" w:eastAsia="宋体" w:cs="宋体"/>
                <w:sz w:val="20"/>
                <w:szCs w:val="20"/>
              </w:rPr>
            </w:pPr>
            <w:r>
              <w:rPr>
                <w:rFonts w:ascii="宋体" w:hAnsi="宋体" w:eastAsia="宋体" w:cs="宋体"/>
                <w:spacing w:val="9"/>
                <w:sz w:val="20"/>
                <w:szCs w:val="20"/>
              </w:rPr>
              <w:t>混凝土结构高度砖结构高度</w:t>
            </w:r>
          </w:p>
        </w:tc>
        <w:tc>
          <w:tcPr>
            <w:tcW w:w="707" w:type="dxa"/>
            <w:vAlign w:val="top"/>
          </w:tcPr>
          <w:p>
            <w:pPr>
              <w:spacing w:before="116" w:line="300"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276" w:lineRule="exact"/>
              <w:ind w:left="281"/>
              <w:rPr>
                <w:rFonts w:ascii="宋体" w:hAnsi="宋体" w:eastAsia="宋体" w:cs="宋体"/>
                <w:sz w:val="20"/>
                <w:szCs w:val="20"/>
              </w:rPr>
            </w:pPr>
            <w:r>
              <w:rPr>
                <w:rFonts w:ascii="宋体" w:hAnsi="宋体" w:eastAsia="宋体" w:cs="宋体"/>
                <w:spacing w:val="2"/>
                <w:w w:val="142"/>
                <w:position w:val="3"/>
                <w:sz w:val="20"/>
                <w:szCs w:val="20"/>
              </w:rPr>
              <w:t>m</w:t>
            </w:r>
          </w:p>
        </w:tc>
        <w:tc>
          <w:tcPr>
            <w:tcW w:w="1375" w:type="dxa"/>
            <w:vAlign w:val="top"/>
          </w:tcPr>
          <w:p>
            <w:pPr>
              <w:spacing w:before="116" w:line="300" w:lineRule="exact"/>
              <w:ind w:left="480"/>
              <w:rPr>
                <w:rFonts w:ascii="宋体" w:hAnsi="宋体" w:eastAsia="宋体" w:cs="宋体"/>
                <w:sz w:val="20"/>
                <w:szCs w:val="20"/>
              </w:rPr>
            </w:pPr>
            <w:r>
              <w:rPr>
                <w:rFonts w:ascii="宋体" w:hAnsi="宋体" w:eastAsia="宋体" w:cs="宋体"/>
                <w:spacing w:val="-4"/>
                <w:position w:val="2"/>
                <w:sz w:val="20"/>
                <w:szCs w:val="20"/>
              </w:rPr>
              <w:t>&gt;</w:t>
            </w:r>
            <w:r>
              <w:rPr>
                <w:rFonts w:ascii="宋体" w:hAnsi="宋体" w:eastAsia="宋体" w:cs="宋体"/>
                <w:spacing w:val="-19"/>
                <w:position w:val="2"/>
                <w:sz w:val="20"/>
                <w:szCs w:val="20"/>
              </w:rPr>
              <w:t xml:space="preserve"> </w:t>
            </w:r>
            <w:r>
              <w:rPr>
                <w:rFonts w:ascii="宋体" w:hAnsi="宋体" w:eastAsia="宋体" w:cs="宋体"/>
                <w:spacing w:val="-4"/>
                <w:position w:val="2"/>
                <w:sz w:val="20"/>
                <w:szCs w:val="20"/>
              </w:rPr>
              <w:t>100</w:t>
            </w:r>
          </w:p>
          <w:p>
            <w:pPr>
              <w:spacing w:line="276" w:lineRule="exact"/>
              <w:ind w:left="533"/>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60</w:t>
            </w:r>
          </w:p>
        </w:tc>
        <w:tc>
          <w:tcPr>
            <w:tcW w:w="1375" w:type="dxa"/>
            <w:vAlign w:val="top"/>
          </w:tcPr>
          <w:p>
            <w:pPr>
              <w:spacing w:before="116" w:line="300"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5"/>
                <w:position w:val="2"/>
                <w:sz w:val="20"/>
                <w:szCs w:val="20"/>
              </w:rPr>
              <w:t xml:space="preserve"> </w:t>
            </w:r>
            <w:r>
              <w:rPr>
                <w:rFonts w:ascii="宋体" w:hAnsi="宋体" w:eastAsia="宋体" w:cs="宋体"/>
                <w:spacing w:val="-1"/>
                <w:position w:val="2"/>
                <w:sz w:val="20"/>
                <w:szCs w:val="20"/>
              </w:rPr>
              <w:t>60</w:t>
            </w:r>
          </w:p>
          <w:p>
            <w:pPr>
              <w:spacing w:line="276" w:lineRule="exact"/>
              <w:ind w:left="533"/>
              <w:rPr>
                <w:rFonts w:ascii="宋体" w:hAnsi="宋体" w:eastAsia="宋体" w:cs="宋体"/>
                <w:sz w:val="20"/>
                <w:szCs w:val="20"/>
              </w:rPr>
            </w:pPr>
            <w:r>
              <w:rPr>
                <w:rFonts w:ascii="宋体" w:hAnsi="宋体" w:eastAsia="宋体" w:cs="宋体"/>
                <w:position w:val="1"/>
                <w:sz w:val="20"/>
                <w:szCs w:val="20"/>
              </w:rPr>
              <w:t>&gt;</w:t>
            </w:r>
            <w:r>
              <w:rPr>
                <w:rFonts w:ascii="宋体" w:hAnsi="宋体" w:eastAsia="宋体" w:cs="宋体"/>
                <w:spacing w:val="-39"/>
                <w:position w:val="1"/>
                <w:sz w:val="20"/>
                <w:szCs w:val="20"/>
              </w:rPr>
              <w:t xml:space="preserve"> </w:t>
            </w:r>
            <w:r>
              <w:rPr>
                <w:rFonts w:ascii="宋体" w:hAnsi="宋体" w:eastAsia="宋体" w:cs="宋体"/>
                <w:position w:val="1"/>
                <w:sz w:val="20"/>
                <w:szCs w:val="20"/>
              </w:rPr>
              <w:t>40</w:t>
            </w:r>
          </w:p>
        </w:tc>
        <w:tc>
          <w:tcPr>
            <w:tcW w:w="1384" w:type="dxa"/>
            <w:tcBorders>
              <w:right w:val="single" w:color="000000" w:sz="6" w:space="0"/>
            </w:tcBorders>
            <w:vAlign w:val="top"/>
          </w:tcPr>
          <w:p>
            <w:pPr>
              <w:spacing w:before="116" w:line="296" w:lineRule="exact"/>
              <w:ind w:left="514"/>
              <w:rPr>
                <w:rFonts w:ascii="宋体" w:hAnsi="宋体" w:eastAsia="宋体" w:cs="宋体"/>
                <w:sz w:val="20"/>
                <w:szCs w:val="20"/>
              </w:rPr>
            </w:pPr>
            <w:r>
              <w:rPr>
                <w:rFonts w:ascii="宋体" w:hAnsi="宋体" w:eastAsia="宋体" w:cs="宋体"/>
                <w:spacing w:val="-6"/>
                <w:position w:val="2"/>
                <w:sz w:val="20"/>
                <w:szCs w:val="20"/>
              </w:rPr>
              <w:t>≤60</w:t>
            </w:r>
          </w:p>
          <w:p>
            <w:pPr>
              <w:spacing w:before="4" w:line="276" w:lineRule="exact"/>
              <w:ind w:left="514"/>
              <w:rPr>
                <w:rFonts w:ascii="宋体" w:hAnsi="宋体" w:eastAsia="宋体" w:cs="宋体"/>
                <w:sz w:val="20"/>
                <w:szCs w:val="20"/>
              </w:rPr>
            </w:pPr>
            <w:r>
              <w:rPr>
                <w:rFonts w:ascii="宋体" w:hAnsi="宋体" w:eastAsia="宋体" w:cs="宋体"/>
                <w:spacing w:val="-6"/>
                <w:position w:val="1"/>
                <w:sz w:val="20"/>
                <w:szCs w:val="20"/>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bottom w:val="nil"/>
            </w:tcBorders>
            <w:vAlign w:val="top"/>
          </w:tcPr>
          <w:p>
            <w:pPr>
              <w:pStyle w:val="6"/>
            </w:pPr>
          </w:p>
        </w:tc>
        <w:tc>
          <w:tcPr>
            <w:tcW w:w="893" w:type="dxa"/>
            <w:vAlign w:val="top"/>
          </w:tcPr>
          <w:p>
            <w:pPr>
              <w:spacing w:before="273" w:line="218" w:lineRule="auto"/>
              <w:ind w:left="232"/>
              <w:rPr>
                <w:rFonts w:ascii="宋体" w:hAnsi="宋体" w:eastAsia="宋体" w:cs="宋体"/>
                <w:sz w:val="20"/>
                <w:szCs w:val="20"/>
              </w:rPr>
            </w:pPr>
            <w:r>
              <w:rPr>
                <w:rFonts w:ascii="宋体" w:hAnsi="宋体" w:eastAsia="宋体" w:cs="宋体"/>
                <w:spacing w:val="7"/>
                <w:sz w:val="20"/>
                <w:szCs w:val="20"/>
              </w:rPr>
              <w:t>水塔</w:t>
            </w:r>
          </w:p>
        </w:tc>
        <w:tc>
          <w:tcPr>
            <w:tcW w:w="2886" w:type="dxa"/>
            <w:gridSpan w:val="2"/>
            <w:vAlign w:val="top"/>
          </w:tcPr>
          <w:p>
            <w:pPr>
              <w:spacing w:before="124" w:line="219" w:lineRule="auto"/>
              <w:ind w:left="1235"/>
              <w:rPr>
                <w:rFonts w:ascii="宋体" w:hAnsi="宋体" w:eastAsia="宋体" w:cs="宋体"/>
                <w:sz w:val="20"/>
                <w:szCs w:val="20"/>
              </w:rPr>
            </w:pPr>
            <w:r>
              <w:rPr>
                <w:rFonts w:ascii="宋体" w:hAnsi="宋体" w:eastAsia="宋体" w:cs="宋体"/>
                <w:spacing w:val="4"/>
                <w:sz w:val="20"/>
                <w:szCs w:val="20"/>
              </w:rPr>
              <w:t>高度</w:t>
            </w:r>
          </w:p>
          <w:p>
            <w:pPr>
              <w:spacing w:before="63" w:line="219" w:lineRule="auto"/>
              <w:ind w:left="1232"/>
              <w:rPr>
                <w:rFonts w:ascii="宋体" w:hAnsi="宋体" w:eastAsia="宋体" w:cs="宋体"/>
                <w:sz w:val="20"/>
                <w:szCs w:val="20"/>
              </w:rPr>
            </w:pPr>
            <w:r>
              <w:rPr>
                <w:rFonts w:ascii="宋体" w:hAnsi="宋体" w:eastAsia="宋体" w:cs="宋体"/>
                <w:spacing w:val="7"/>
                <w:sz w:val="20"/>
                <w:szCs w:val="20"/>
              </w:rPr>
              <w:t>容积</w:t>
            </w:r>
          </w:p>
        </w:tc>
        <w:tc>
          <w:tcPr>
            <w:tcW w:w="707" w:type="dxa"/>
            <w:vAlign w:val="top"/>
          </w:tcPr>
          <w:p>
            <w:pPr>
              <w:spacing w:before="119" w:line="28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292"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3</w:t>
            </w:r>
          </w:p>
        </w:tc>
        <w:tc>
          <w:tcPr>
            <w:tcW w:w="1375" w:type="dxa"/>
            <w:vAlign w:val="top"/>
          </w:tcPr>
          <w:p>
            <w:pPr>
              <w:spacing w:before="119" w:line="299"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8"/>
                <w:position w:val="2"/>
                <w:sz w:val="20"/>
                <w:szCs w:val="20"/>
              </w:rPr>
              <w:t xml:space="preserve"> </w:t>
            </w:r>
            <w:r>
              <w:rPr>
                <w:rFonts w:ascii="宋体" w:hAnsi="宋体" w:eastAsia="宋体" w:cs="宋体"/>
                <w:spacing w:val="-1"/>
                <w:position w:val="2"/>
                <w:sz w:val="20"/>
                <w:szCs w:val="20"/>
              </w:rPr>
              <w:t>60</w:t>
            </w:r>
          </w:p>
          <w:p>
            <w:pPr>
              <w:spacing w:line="274" w:lineRule="exact"/>
              <w:ind w:left="480"/>
              <w:rPr>
                <w:rFonts w:ascii="宋体" w:hAnsi="宋体" w:eastAsia="宋体" w:cs="宋体"/>
                <w:sz w:val="20"/>
                <w:szCs w:val="20"/>
              </w:rPr>
            </w:pPr>
            <w:r>
              <w:rPr>
                <w:rFonts w:ascii="宋体" w:hAnsi="宋体" w:eastAsia="宋体" w:cs="宋体"/>
                <w:spacing w:val="-4"/>
                <w:position w:val="1"/>
                <w:sz w:val="20"/>
                <w:szCs w:val="20"/>
              </w:rPr>
              <w:t>&gt;</w:t>
            </w:r>
            <w:r>
              <w:rPr>
                <w:rFonts w:ascii="宋体" w:hAnsi="宋体" w:eastAsia="宋体" w:cs="宋体"/>
                <w:spacing w:val="-19"/>
                <w:position w:val="1"/>
                <w:sz w:val="20"/>
                <w:szCs w:val="20"/>
              </w:rPr>
              <w:t xml:space="preserve"> </w:t>
            </w:r>
            <w:r>
              <w:rPr>
                <w:rFonts w:ascii="宋体" w:hAnsi="宋体" w:eastAsia="宋体" w:cs="宋体"/>
                <w:spacing w:val="-4"/>
                <w:position w:val="1"/>
                <w:sz w:val="20"/>
                <w:szCs w:val="20"/>
              </w:rPr>
              <w:t>100</w:t>
            </w:r>
          </w:p>
        </w:tc>
        <w:tc>
          <w:tcPr>
            <w:tcW w:w="1375" w:type="dxa"/>
            <w:vAlign w:val="top"/>
          </w:tcPr>
          <w:p>
            <w:pPr>
              <w:spacing w:before="119" w:line="299" w:lineRule="exact"/>
              <w:ind w:left="533"/>
              <w:rPr>
                <w:rFonts w:ascii="宋体" w:hAnsi="宋体" w:eastAsia="宋体" w:cs="宋体"/>
                <w:sz w:val="20"/>
                <w:szCs w:val="20"/>
              </w:rPr>
            </w:pPr>
            <w:r>
              <w:rPr>
                <w:rFonts w:ascii="宋体" w:hAnsi="宋体" w:eastAsia="宋体" w:cs="宋体"/>
                <w:position w:val="2"/>
                <w:sz w:val="20"/>
                <w:szCs w:val="20"/>
              </w:rPr>
              <w:t>&gt;</w:t>
            </w:r>
            <w:r>
              <w:rPr>
                <w:rFonts w:ascii="宋体" w:hAnsi="宋体" w:eastAsia="宋体" w:cs="宋体"/>
                <w:spacing w:val="-39"/>
                <w:position w:val="2"/>
                <w:sz w:val="20"/>
                <w:szCs w:val="20"/>
              </w:rPr>
              <w:t xml:space="preserve"> </w:t>
            </w:r>
            <w:r>
              <w:rPr>
                <w:rFonts w:ascii="宋体" w:hAnsi="宋体" w:eastAsia="宋体" w:cs="宋体"/>
                <w:position w:val="2"/>
                <w:sz w:val="20"/>
                <w:szCs w:val="20"/>
              </w:rPr>
              <w:t>40</w:t>
            </w:r>
          </w:p>
          <w:p>
            <w:pPr>
              <w:spacing w:line="274" w:lineRule="exact"/>
              <w:ind w:left="533"/>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60</w:t>
            </w:r>
          </w:p>
        </w:tc>
        <w:tc>
          <w:tcPr>
            <w:tcW w:w="1384" w:type="dxa"/>
            <w:tcBorders>
              <w:right w:val="single" w:color="000000" w:sz="6" w:space="0"/>
            </w:tcBorders>
            <w:vAlign w:val="top"/>
          </w:tcPr>
          <w:p>
            <w:pPr>
              <w:spacing w:before="119" w:line="295" w:lineRule="exact"/>
              <w:ind w:left="514"/>
              <w:rPr>
                <w:rFonts w:ascii="宋体" w:hAnsi="宋体" w:eastAsia="宋体" w:cs="宋体"/>
                <w:sz w:val="20"/>
                <w:szCs w:val="20"/>
              </w:rPr>
            </w:pPr>
            <w:r>
              <w:rPr>
                <w:rFonts w:ascii="宋体" w:hAnsi="宋体" w:eastAsia="宋体" w:cs="宋体"/>
                <w:spacing w:val="-6"/>
                <w:position w:val="2"/>
                <w:sz w:val="20"/>
                <w:szCs w:val="20"/>
              </w:rPr>
              <w:t>≤40</w:t>
            </w:r>
          </w:p>
          <w:p>
            <w:pPr>
              <w:spacing w:before="4" w:line="274" w:lineRule="exact"/>
              <w:ind w:left="514"/>
              <w:rPr>
                <w:rFonts w:ascii="宋体" w:hAnsi="宋体" w:eastAsia="宋体" w:cs="宋体"/>
                <w:sz w:val="20"/>
                <w:szCs w:val="20"/>
              </w:rPr>
            </w:pPr>
            <w:r>
              <w:rPr>
                <w:rFonts w:ascii="宋体" w:hAnsi="宋体" w:eastAsia="宋体" w:cs="宋体"/>
                <w:spacing w:val="-6"/>
                <w:position w:val="1"/>
                <w:sz w:val="20"/>
                <w:szCs w:val="20"/>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3" w:hRule="atLeast"/>
        </w:trPr>
        <w:tc>
          <w:tcPr>
            <w:tcW w:w="672" w:type="dxa"/>
            <w:vMerge w:val="continue"/>
            <w:tcBorders>
              <w:top w:val="nil"/>
              <w:left w:val="single" w:color="000000" w:sz="6" w:space="0"/>
              <w:bottom w:val="nil"/>
            </w:tcBorders>
            <w:vAlign w:val="top"/>
          </w:tcPr>
          <w:p>
            <w:pPr>
              <w:pStyle w:val="6"/>
            </w:pPr>
          </w:p>
        </w:tc>
        <w:tc>
          <w:tcPr>
            <w:tcW w:w="893" w:type="dxa"/>
            <w:vAlign w:val="top"/>
          </w:tcPr>
          <w:p>
            <w:pPr>
              <w:spacing w:before="276" w:line="217" w:lineRule="auto"/>
              <w:ind w:left="233"/>
              <w:rPr>
                <w:rFonts w:ascii="宋体" w:hAnsi="宋体" w:eastAsia="宋体" w:cs="宋体"/>
                <w:sz w:val="20"/>
                <w:szCs w:val="20"/>
              </w:rPr>
            </w:pPr>
            <w:r>
              <w:rPr>
                <w:rFonts w:ascii="宋体" w:hAnsi="宋体" w:eastAsia="宋体" w:cs="宋体"/>
                <w:spacing w:val="6"/>
                <w:sz w:val="20"/>
                <w:szCs w:val="20"/>
              </w:rPr>
              <w:t>筒仓</w:t>
            </w:r>
          </w:p>
        </w:tc>
        <w:tc>
          <w:tcPr>
            <w:tcW w:w="2886" w:type="dxa"/>
            <w:gridSpan w:val="2"/>
            <w:vAlign w:val="top"/>
          </w:tcPr>
          <w:p>
            <w:pPr>
              <w:spacing w:before="124" w:line="219" w:lineRule="auto"/>
              <w:ind w:left="1235"/>
              <w:rPr>
                <w:rFonts w:ascii="宋体" w:hAnsi="宋体" w:eastAsia="宋体" w:cs="宋体"/>
                <w:sz w:val="20"/>
                <w:szCs w:val="20"/>
              </w:rPr>
            </w:pPr>
            <w:r>
              <w:rPr>
                <w:rFonts w:ascii="宋体" w:hAnsi="宋体" w:eastAsia="宋体" w:cs="宋体"/>
                <w:spacing w:val="4"/>
                <w:sz w:val="20"/>
                <w:szCs w:val="20"/>
              </w:rPr>
              <w:t>高度</w:t>
            </w:r>
          </w:p>
          <w:p>
            <w:pPr>
              <w:spacing w:before="57" w:line="274" w:lineRule="exact"/>
              <w:ind w:left="812"/>
              <w:rPr>
                <w:rFonts w:ascii="宋体" w:hAnsi="宋体" w:eastAsia="宋体" w:cs="宋体"/>
                <w:sz w:val="20"/>
                <w:szCs w:val="20"/>
              </w:rPr>
            </w:pPr>
            <w:r>
              <w:rPr>
                <w:rFonts w:ascii="宋体" w:hAnsi="宋体" w:eastAsia="宋体" w:cs="宋体"/>
                <w:spacing w:val="9"/>
                <w:position w:val="1"/>
                <w:sz w:val="20"/>
                <w:szCs w:val="20"/>
              </w:rPr>
              <w:t>容积（单体）</w:t>
            </w:r>
          </w:p>
        </w:tc>
        <w:tc>
          <w:tcPr>
            <w:tcW w:w="707" w:type="dxa"/>
            <w:vAlign w:val="top"/>
          </w:tcPr>
          <w:p>
            <w:pPr>
              <w:spacing w:before="119" w:line="28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p>
            <w:pPr>
              <w:spacing w:line="292" w:lineRule="exact"/>
              <w:ind w:left="254"/>
              <w:rPr>
                <w:rFonts w:ascii="宋体" w:hAnsi="宋体" w:eastAsia="宋体" w:cs="宋体"/>
                <w:sz w:val="10"/>
                <w:szCs w:val="10"/>
              </w:rPr>
            </w:pPr>
            <w:r>
              <w:rPr>
                <w:rFonts w:ascii="宋体" w:hAnsi="宋体" w:eastAsia="宋体" w:cs="宋体"/>
                <w:spacing w:val="6"/>
                <w:w w:val="124"/>
                <w:sz w:val="20"/>
                <w:szCs w:val="20"/>
              </w:rPr>
              <w:t>m</w:t>
            </w:r>
            <w:r>
              <w:rPr>
                <w:rFonts w:ascii="宋体" w:hAnsi="宋体" w:eastAsia="宋体" w:cs="宋体"/>
                <w:spacing w:val="6"/>
                <w:w w:val="124"/>
                <w:position w:val="10"/>
                <w:sz w:val="10"/>
                <w:szCs w:val="10"/>
              </w:rPr>
              <w:t>3</w:t>
            </w:r>
          </w:p>
        </w:tc>
        <w:tc>
          <w:tcPr>
            <w:tcW w:w="1375" w:type="dxa"/>
            <w:vAlign w:val="top"/>
          </w:tcPr>
          <w:p>
            <w:pPr>
              <w:spacing w:before="119" w:line="299"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5"/>
                <w:position w:val="2"/>
                <w:sz w:val="20"/>
                <w:szCs w:val="20"/>
              </w:rPr>
              <w:t xml:space="preserve"> </w:t>
            </w:r>
            <w:r>
              <w:rPr>
                <w:rFonts w:ascii="宋体" w:hAnsi="宋体" w:eastAsia="宋体" w:cs="宋体"/>
                <w:spacing w:val="-2"/>
                <w:position w:val="2"/>
                <w:sz w:val="20"/>
                <w:szCs w:val="20"/>
              </w:rPr>
              <w:t>35</w:t>
            </w:r>
          </w:p>
          <w:p>
            <w:pPr>
              <w:spacing w:line="274" w:lineRule="exact"/>
              <w:ind w:left="428"/>
              <w:rPr>
                <w:rFonts w:ascii="宋体" w:hAnsi="宋体" w:eastAsia="宋体" w:cs="宋体"/>
                <w:sz w:val="20"/>
                <w:szCs w:val="20"/>
              </w:rPr>
            </w:pPr>
            <w:r>
              <w:rPr>
                <w:rFonts w:ascii="宋体" w:hAnsi="宋体" w:eastAsia="宋体" w:cs="宋体"/>
                <w:spacing w:val="1"/>
                <w:position w:val="1"/>
                <w:sz w:val="20"/>
                <w:szCs w:val="20"/>
              </w:rPr>
              <w:t>&gt;</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2500</w:t>
            </w:r>
          </w:p>
        </w:tc>
        <w:tc>
          <w:tcPr>
            <w:tcW w:w="1375" w:type="dxa"/>
            <w:vAlign w:val="top"/>
          </w:tcPr>
          <w:p>
            <w:pPr>
              <w:spacing w:before="119" w:line="299" w:lineRule="exact"/>
              <w:ind w:left="533"/>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6"/>
                <w:position w:val="2"/>
                <w:sz w:val="20"/>
                <w:szCs w:val="20"/>
              </w:rPr>
              <w:t xml:space="preserve"> </w:t>
            </w:r>
            <w:r>
              <w:rPr>
                <w:rFonts w:ascii="宋体" w:hAnsi="宋体" w:eastAsia="宋体" w:cs="宋体"/>
                <w:spacing w:val="-1"/>
                <w:position w:val="2"/>
                <w:sz w:val="20"/>
                <w:szCs w:val="20"/>
              </w:rPr>
              <w:t>20</w:t>
            </w:r>
          </w:p>
          <w:p>
            <w:pPr>
              <w:spacing w:line="274" w:lineRule="exact"/>
              <w:ind w:left="430"/>
              <w:rPr>
                <w:rFonts w:ascii="宋体" w:hAnsi="宋体" w:eastAsia="宋体" w:cs="宋体"/>
                <w:sz w:val="20"/>
                <w:szCs w:val="20"/>
              </w:rPr>
            </w:pPr>
            <w:r>
              <w:rPr>
                <w:rFonts w:ascii="宋体" w:hAnsi="宋体" w:eastAsia="宋体" w:cs="宋体"/>
                <w:spacing w:val="-3"/>
                <w:position w:val="1"/>
                <w:sz w:val="20"/>
                <w:szCs w:val="20"/>
              </w:rPr>
              <w:t>&gt;</w:t>
            </w:r>
            <w:r>
              <w:rPr>
                <w:rFonts w:ascii="宋体" w:hAnsi="宋体" w:eastAsia="宋体" w:cs="宋体"/>
                <w:spacing w:val="-18"/>
                <w:position w:val="1"/>
                <w:sz w:val="20"/>
                <w:szCs w:val="20"/>
              </w:rPr>
              <w:t xml:space="preserve"> </w:t>
            </w:r>
            <w:r>
              <w:rPr>
                <w:rFonts w:ascii="宋体" w:hAnsi="宋体" w:eastAsia="宋体" w:cs="宋体"/>
                <w:spacing w:val="-3"/>
                <w:position w:val="1"/>
                <w:sz w:val="20"/>
                <w:szCs w:val="20"/>
              </w:rPr>
              <w:t>1500</w:t>
            </w:r>
          </w:p>
        </w:tc>
        <w:tc>
          <w:tcPr>
            <w:tcW w:w="1384" w:type="dxa"/>
            <w:tcBorders>
              <w:right w:val="single" w:color="000000" w:sz="6" w:space="0"/>
            </w:tcBorders>
            <w:vAlign w:val="top"/>
          </w:tcPr>
          <w:p>
            <w:pPr>
              <w:spacing w:before="119" w:line="295" w:lineRule="exact"/>
              <w:ind w:left="514"/>
              <w:rPr>
                <w:rFonts w:ascii="宋体" w:hAnsi="宋体" w:eastAsia="宋体" w:cs="宋体"/>
                <w:sz w:val="20"/>
                <w:szCs w:val="20"/>
              </w:rPr>
            </w:pPr>
            <w:r>
              <w:rPr>
                <w:rFonts w:ascii="宋体" w:hAnsi="宋体" w:eastAsia="宋体" w:cs="宋体"/>
                <w:spacing w:val="-6"/>
                <w:position w:val="2"/>
                <w:sz w:val="20"/>
                <w:szCs w:val="20"/>
              </w:rPr>
              <w:t>≤20</w:t>
            </w:r>
          </w:p>
          <w:p>
            <w:pPr>
              <w:spacing w:before="4" w:line="274" w:lineRule="exact"/>
              <w:ind w:left="411"/>
              <w:rPr>
                <w:rFonts w:ascii="宋体" w:hAnsi="宋体" w:eastAsia="宋体" w:cs="宋体"/>
                <w:sz w:val="20"/>
                <w:szCs w:val="20"/>
              </w:rPr>
            </w:pPr>
            <w:r>
              <w:rPr>
                <w:rFonts w:ascii="宋体" w:hAnsi="宋体" w:eastAsia="宋体" w:cs="宋体"/>
                <w:spacing w:val="-2"/>
                <w:position w:val="1"/>
                <w:sz w:val="20"/>
                <w:szCs w:val="20"/>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9" w:hRule="atLeast"/>
        </w:trPr>
        <w:tc>
          <w:tcPr>
            <w:tcW w:w="672" w:type="dxa"/>
            <w:vMerge w:val="continue"/>
            <w:tcBorders>
              <w:top w:val="nil"/>
              <w:left w:val="single" w:color="000000" w:sz="6" w:space="0"/>
            </w:tcBorders>
            <w:vAlign w:val="top"/>
          </w:tcPr>
          <w:p>
            <w:pPr>
              <w:pStyle w:val="6"/>
            </w:pPr>
          </w:p>
        </w:tc>
        <w:tc>
          <w:tcPr>
            <w:tcW w:w="893" w:type="dxa"/>
            <w:vAlign w:val="top"/>
          </w:tcPr>
          <w:p>
            <w:pPr>
              <w:spacing w:before="182" w:line="218" w:lineRule="auto"/>
              <w:ind w:left="229"/>
              <w:rPr>
                <w:rFonts w:ascii="宋体" w:hAnsi="宋体" w:eastAsia="宋体" w:cs="宋体"/>
                <w:sz w:val="20"/>
                <w:szCs w:val="20"/>
              </w:rPr>
            </w:pPr>
            <w:r>
              <w:rPr>
                <w:rFonts w:ascii="宋体" w:hAnsi="宋体" w:eastAsia="宋体" w:cs="宋体"/>
                <w:spacing w:val="8"/>
                <w:sz w:val="20"/>
                <w:szCs w:val="20"/>
              </w:rPr>
              <w:t>贮池</w:t>
            </w:r>
          </w:p>
        </w:tc>
        <w:tc>
          <w:tcPr>
            <w:tcW w:w="2886" w:type="dxa"/>
            <w:gridSpan w:val="2"/>
            <w:vAlign w:val="top"/>
          </w:tcPr>
          <w:p>
            <w:pPr>
              <w:spacing w:before="174" w:line="278" w:lineRule="exact"/>
              <w:ind w:left="812"/>
              <w:rPr>
                <w:rFonts w:ascii="宋体" w:hAnsi="宋体" w:eastAsia="宋体" w:cs="宋体"/>
                <w:sz w:val="20"/>
                <w:szCs w:val="20"/>
              </w:rPr>
            </w:pPr>
            <w:r>
              <w:rPr>
                <w:rFonts w:ascii="宋体" w:hAnsi="宋体" w:eastAsia="宋体" w:cs="宋体"/>
                <w:spacing w:val="9"/>
                <w:position w:val="1"/>
                <w:sz w:val="20"/>
                <w:szCs w:val="20"/>
              </w:rPr>
              <w:t>容积（单体）</w:t>
            </w:r>
          </w:p>
        </w:tc>
        <w:tc>
          <w:tcPr>
            <w:tcW w:w="707" w:type="dxa"/>
            <w:vAlign w:val="top"/>
          </w:tcPr>
          <w:p>
            <w:pPr>
              <w:spacing w:before="155" w:line="320" w:lineRule="exact"/>
              <w:ind w:left="254"/>
              <w:rPr>
                <w:rFonts w:ascii="宋体" w:hAnsi="宋体" w:eastAsia="宋体" w:cs="宋体"/>
                <w:sz w:val="10"/>
                <w:szCs w:val="10"/>
              </w:rPr>
            </w:pPr>
            <w:r>
              <w:rPr>
                <w:rFonts w:ascii="宋体" w:hAnsi="宋体" w:eastAsia="宋体" w:cs="宋体"/>
                <w:spacing w:val="6"/>
                <w:w w:val="124"/>
                <w:position w:val="1"/>
                <w:sz w:val="20"/>
                <w:szCs w:val="20"/>
              </w:rPr>
              <w:t>m</w:t>
            </w:r>
            <w:r>
              <w:rPr>
                <w:rFonts w:ascii="宋体" w:hAnsi="宋体" w:eastAsia="宋体" w:cs="宋体"/>
                <w:spacing w:val="6"/>
                <w:w w:val="124"/>
                <w:position w:val="11"/>
                <w:sz w:val="10"/>
                <w:szCs w:val="10"/>
              </w:rPr>
              <w:t>3</w:t>
            </w:r>
          </w:p>
        </w:tc>
        <w:tc>
          <w:tcPr>
            <w:tcW w:w="1375" w:type="dxa"/>
            <w:vAlign w:val="top"/>
          </w:tcPr>
          <w:p>
            <w:pPr>
              <w:spacing w:before="174" w:line="300" w:lineRule="exact"/>
              <w:ind w:left="428"/>
              <w:rPr>
                <w:rFonts w:ascii="宋体" w:hAnsi="宋体" w:eastAsia="宋体" w:cs="宋体"/>
                <w:sz w:val="20"/>
                <w:szCs w:val="20"/>
              </w:rPr>
            </w:pPr>
            <w:r>
              <w:rPr>
                <w:rFonts w:ascii="宋体" w:hAnsi="宋体" w:eastAsia="宋体" w:cs="宋体"/>
                <w:position w:val="2"/>
                <w:sz w:val="20"/>
                <w:szCs w:val="20"/>
              </w:rPr>
              <w:t>&gt;</w:t>
            </w:r>
            <w:r>
              <w:rPr>
                <w:rFonts w:ascii="宋体" w:hAnsi="宋体" w:eastAsia="宋体" w:cs="宋体"/>
                <w:spacing w:val="-30"/>
                <w:position w:val="2"/>
                <w:sz w:val="20"/>
                <w:szCs w:val="20"/>
              </w:rPr>
              <w:t xml:space="preserve"> </w:t>
            </w:r>
            <w:r>
              <w:rPr>
                <w:rFonts w:ascii="宋体" w:hAnsi="宋体" w:eastAsia="宋体" w:cs="宋体"/>
                <w:position w:val="2"/>
                <w:sz w:val="20"/>
                <w:szCs w:val="20"/>
              </w:rPr>
              <w:t>3000</w:t>
            </w:r>
          </w:p>
        </w:tc>
        <w:tc>
          <w:tcPr>
            <w:tcW w:w="1375" w:type="dxa"/>
            <w:vAlign w:val="top"/>
          </w:tcPr>
          <w:p>
            <w:pPr>
              <w:spacing w:before="174" w:line="300" w:lineRule="exact"/>
              <w:ind w:left="430"/>
              <w:rPr>
                <w:rFonts w:ascii="宋体" w:hAnsi="宋体" w:eastAsia="宋体" w:cs="宋体"/>
                <w:sz w:val="20"/>
                <w:szCs w:val="20"/>
              </w:rPr>
            </w:pPr>
            <w:r>
              <w:rPr>
                <w:rFonts w:ascii="宋体" w:hAnsi="宋体" w:eastAsia="宋体" w:cs="宋体"/>
                <w:spacing w:val="-3"/>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3"/>
                <w:position w:val="2"/>
                <w:sz w:val="20"/>
                <w:szCs w:val="20"/>
              </w:rPr>
              <w:t>1500</w:t>
            </w:r>
          </w:p>
        </w:tc>
        <w:tc>
          <w:tcPr>
            <w:tcW w:w="1384" w:type="dxa"/>
            <w:tcBorders>
              <w:right w:val="single" w:color="000000" w:sz="6" w:space="0"/>
            </w:tcBorders>
            <w:vAlign w:val="top"/>
          </w:tcPr>
          <w:p>
            <w:pPr>
              <w:spacing w:before="174" w:line="296" w:lineRule="exact"/>
              <w:ind w:left="411"/>
              <w:rPr>
                <w:rFonts w:ascii="宋体" w:hAnsi="宋体" w:eastAsia="宋体" w:cs="宋体"/>
                <w:sz w:val="20"/>
                <w:szCs w:val="20"/>
              </w:rPr>
            </w:pPr>
            <w:r>
              <w:rPr>
                <w:rFonts w:ascii="宋体" w:hAnsi="宋体" w:eastAsia="宋体" w:cs="宋体"/>
                <w:spacing w:val="-2"/>
                <w:position w:val="2"/>
                <w:sz w:val="20"/>
                <w:szCs w:val="20"/>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2" w:hRule="atLeast"/>
        </w:trPr>
        <w:tc>
          <w:tcPr>
            <w:tcW w:w="1565" w:type="dxa"/>
            <w:gridSpan w:val="2"/>
            <w:tcBorders>
              <w:left w:val="single" w:color="000000" w:sz="6" w:space="0"/>
            </w:tcBorders>
            <w:vAlign w:val="top"/>
          </w:tcPr>
          <w:p>
            <w:pPr>
              <w:spacing w:before="174" w:line="216" w:lineRule="auto"/>
              <w:ind w:left="252"/>
              <w:rPr>
                <w:rFonts w:ascii="宋体" w:hAnsi="宋体" w:eastAsia="宋体" w:cs="宋体"/>
                <w:sz w:val="20"/>
                <w:szCs w:val="20"/>
              </w:rPr>
            </w:pPr>
            <w:r>
              <w:rPr>
                <w:rFonts w:ascii="宋体" w:hAnsi="宋体" w:eastAsia="宋体" w:cs="宋体"/>
                <w:spacing w:val="8"/>
                <w:sz w:val="20"/>
                <w:szCs w:val="20"/>
              </w:rPr>
              <w:t>桩基础工程</w:t>
            </w:r>
          </w:p>
        </w:tc>
        <w:tc>
          <w:tcPr>
            <w:tcW w:w="2886" w:type="dxa"/>
            <w:gridSpan w:val="2"/>
            <w:vAlign w:val="top"/>
          </w:tcPr>
          <w:p>
            <w:pPr>
              <w:spacing w:before="174" w:line="215" w:lineRule="auto"/>
              <w:ind w:left="1232"/>
              <w:rPr>
                <w:rFonts w:ascii="宋体" w:hAnsi="宋体" w:eastAsia="宋体" w:cs="宋体"/>
                <w:sz w:val="20"/>
                <w:szCs w:val="20"/>
              </w:rPr>
            </w:pPr>
            <w:r>
              <w:rPr>
                <w:rFonts w:ascii="宋体" w:hAnsi="宋体" w:eastAsia="宋体" w:cs="宋体"/>
                <w:spacing w:val="6"/>
                <w:sz w:val="20"/>
                <w:szCs w:val="20"/>
              </w:rPr>
              <w:t>桩长</w:t>
            </w:r>
          </w:p>
        </w:tc>
        <w:tc>
          <w:tcPr>
            <w:tcW w:w="707" w:type="dxa"/>
            <w:vAlign w:val="top"/>
          </w:tcPr>
          <w:p>
            <w:pPr>
              <w:spacing w:before="166" w:line="301" w:lineRule="exact"/>
              <w:ind w:left="281"/>
              <w:rPr>
                <w:rFonts w:ascii="宋体" w:hAnsi="宋体" w:eastAsia="宋体" w:cs="宋体"/>
                <w:sz w:val="20"/>
                <w:szCs w:val="20"/>
              </w:rPr>
            </w:pPr>
            <w:r>
              <w:rPr>
                <w:rFonts w:ascii="宋体" w:hAnsi="宋体" w:eastAsia="宋体" w:cs="宋体"/>
                <w:spacing w:val="2"/>
                <w:w w:val="142"/>
                <w:position w:val="4"/>
                <w:sz w:val="20"/>
                <w:szCs w:val="20"/>
              </w:rPr>
              <w:t>m</w:t>
            </w:r>
          </w:p>
        </w:tc>
        <w:tc>
          <w:tcPr>
            <w:tcW w:w="1375" w:type="dxa"/>
            <w:vAlign w:val="top"/>
          </w:tcPr>
          <w:p>
            <w:pPr>
              <w:spacing w:before="166" w:line="300" w:lineRule="exact"/>
              <w:ind w:left="533"/>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35"/>
                <w:position w:val="2"/>
                <w:sz w:val="20"/>
                <w:szCs w:val="20"/>
              </w:rPr>
              <w:t xml:space="preserve"> </w:t>
            </w:r>
            <w:r>
              <w:rPr>
                <w:rFonts w:ascii="宋体" w:hAnsi="宋体" w:eastAsia="宋体" w:cs="宋体"/>
                <w:spacing w:val="-2"/>
                <w:position w:val="2"/>
                <w:sz w:val="20"/>
                <w:szCs w:val="20"/>
              </w:rPr>
              <w:t>30</w:t>
            </w:r>
          </w:p>
        </w:tc>
        <w:tc>
          <w:tcPr>
            <w:tcW w:w="1375" w:type="dxa"/>
            <w:vAlign w:val="top"/>
          </w:tcPr>
          <w:p>
            <w:pPr>
              <w:spacing w:before="166" w:line="301" w:lineRule="exact"/>
              <w:ind w:left="533"/>
              <w:rPr>
                <w:rFonts w:ascii="宋体" w:hAnsi="宋体" w:eastAsia="宋体" w:cs="宋体"/>
                <w:sz w:val="20"/>
                <w:szCs w:val="20"/>
              </w:rPr>
            </w:pPr>
            <w:r>
              <w:rPr>
                <w:rFonts w:ascii="宋体" w:hAnsi="宋体" w:eastAsia="宋体" w:cs="宋体"/>
                <w:spacing w:val="-7"/>
                <w:position w:val="2"/>
                <w:sz w:val="20"/>
                <w:szCs w:val="20"/>
              </w:rPr>
              <w:t>&gt;</w:t>
            </w:r>
            <w:r>
              <w:rPr>
                <w:rFonts w:ascii="宋体" w:hAnsi="宋体" w:eastAsia="宋体" w:cs="宋体"/>
                <w:spacing w:val="-18"/>
                <w:position w:val="2"/>
                <w:sz w:val="20"/>
                <w:szCs w:val="20"/>
              </w:rPr>
              <w:t xml:space="preserve"> </w:t>
            </w:r>
            <w:r>
              <w:rPr>
                <w:rFonts w:ascii="宋体" w:hAnsi="宋体" w:eastAsia="宋体" w:cs="宋体"/>
                <w:spacing w:val="-7"/>
                <w:position w:val="2"/>
                <w:sz w:val="20"/>
                <w:szCs w:val="20"/>
              </w:rPr>
              <w:t>12</w:t>
            </w:r>
          </w:p>
        </w:tc>
        <w:tc>
          <w:tcPr>
            <w:tcW w:w="1384" w:type="dxa"/>
            <w:tcBorders>
              <w:right w:val="single" w:color="000000" w:sz="6" w:space="0"/>
            </w:tcBorders>
            <w:vAlign w:val="top"/>
          </w:tcPr>
          <w:p>
            <w:pPr>
              <w:spacing w:before="166" w:line="296" w:lineRule="exact"/>
              <w:ind w:left="514"/>
              <w:rPr>
                <w:rFonts w:ascii="宋体" w:hAnsi="宋体" w:eastAsia="宋体" w:cs="宋体"/>
                <w:sz w:val="20"/>
                <w:szCs w:val="20"/>
              </w:rPr>
            </w:pPr>
            <w:r>
              <w:rPr>
                <w:rFonts w:ascii="宋体" w:hAnsi="宋体" w:eastAsia="宋体" w:cs="宋体"/>
                <w:spacing w:val="-14"/>
                <w:position w:val="2"/>
                <w:sz w:val="20"/>
                <w:szCs w:val="20"/>
              </w:rPr>
              <w:t>≤</w:t>
            </w:r>
            <w:r>
              <w:rPr>
                <w:rFonts w:ascii="宋体" w:hAnsi="宋体" w:eastAsia="宋体" w:cs="宋体"/>
                <w:spacing w:val="-75"/>
                <w:position w:val="2"/>
                <w:sz w:val="20"/>
                <w:szCs w:val="20"/>
              </w:rPr>
              <w:t xml:space="preserve"> </w:t>
            </w:r>
            <w:r>
              <w:rPr>
                <w:rFonts w:ascii="宋体" w:hAnsi="宋体" w:eastAsia="宋体" w:cs="宋体"/>
                <w:spacing w:val="-14"/>
                <w:position w:val="2"/>
                <w:sz w:val="20"/>
                <w:szCs w:val="20"/>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8" w:hRule="atLeast"/>
        </w:trPr>
        <w:tc>
          <w:tcPr>
            <w:tcW w:w="1565" w:type="dxa"/>
            <w:gridSpan w:val="2"/>
            <w:tcBorders>
              <w:left w:val="single" w:color="000000" w:sz="6" w:space="0"/>
              <w:bottom w:val="single" w:color="000000" w:sz="6" w:space="0"/>
            </w:tcBorders>
            <w:vAlign w:val="top"/>
          </w:tcPr>
          <w:p>
            <w:pPr>
              <w:spacing w:before="77" w:line="245" w:lineRule="auto"/>
              <w:ind w:left="566" w:right="258" w:hanging="315"/>
              <w:rPr>
                <w:rFonts w:ascii="宋体" w:hAnsi="宋体" w:eastAsia="宋体" w:cs="宋体"/>
                <w:sz w:val="20"/>
                <w:szCs w:val="20"/>
              </w:rPr>
            </w:pPr>
            <w:r>
              <w:rPr>
                <w:rFonts w:ascii="宋体" w:hAnsi="宋体" w:eastAsia="宋体" w:cs="宋体"/>
                <w:spacing w:val="9"/>
                <w:sz w:val="20"/>
                <w:szCs w:val="20"/>
              </w:rPr>
              <w:t>单独土石方</w:t>
            </w:r>
            <w:r>
              <w:rPr>
                <w:rFonts w:ascii="宋体" w:hAnsi="宋体" w:eastAsia="宋体" w:cs="宋体"/>
                <w:spacing w:val="6"/>
                <w:sz w:val="20"/>
                <w:szCs w:val="20"/>
              </w:rPr>
              <w:t>工程</w:t>
            </w:r>
          </w:p>
        </w:tc>
        <w:tc>
          <w:tcPr>
            <w:tcW w:w="2886" w:type="dxa"/>
            <w:gridSpan w:val="2"/>
            <w:tcBorders>
              <w:bottom w:val="single" w:color="000000" w:sz="6" w:space="0"/>
            </w:tcBorders>
            <w:vAlign w:val="top"/>
          </w:tcPr>
          <w:p>
            <w:pPr>
              <w:spacing w:before="231" w:line="218" w:lineRule="auto"/>
              <w:ind w:left="1130"/>
              <w:rPr>
                <w:rFonts w:ascii="宋体" w:hAnsi="宋体" w:eastAsia="宋体" w:cs="宋体"/>
                <w:sz w:val="20"/>
                <w:szCs w:val="20"/>
              </w:rPr>
            </w:pPr>
            <w:r>
              <w:rPr>
                <w:rFonts w:ascii="宋体" w:hAnsi="宋体" w:eastAsia="宋体" w:cs="宋体"/>
                <w:spacing w:val="6"/>
                <w:sz w:val="20"/>
                <w:szCs w:val="20"/>
              </w:rPr>
              <w:t>土石方</w:t>
            </w:r>
          </w:p>
        </w:tc>
        <w:tc>
          <w:tcPr>
            <w:tcW w:w="707" w:type="dxa"/>
            <w:tcBorders>
              <w:bottom w:val="single" w:color="000000" w:sz="6" w:space="0"/>
            </w:tcBorders>
            <w:vAlign w:val="top"/>
          </w:tcPr>
          <w:p>
            <w:pPr>
              <w:spacing w:before="205" w:line="320" w:lineRule="exact"/>
              <w:ind w:left="254"/>
              <w:rPr>
                <w:rFonts w:ascii="宋体" w:hAnsi="宋体" w:eastAsia="宋体" w:cs="宋体"/>
                <w:sz w:val="10"/>
                <w:szCs w:val="10"/>
              </w:rPr>
            </w:pPr>
            <w:r>
              <w:rPr>
                <w:rFonts w:ascii="宋体" w:hAnsi="宋体" w:eastAsia="宋体" w:cs="宋体"/>
                <w:spacing w:val="6"/>
                <w:w w:val="124"/>
                <w:position w:val="1"/>
                <w:sz w:val="20"/>
                <w:szCs w:val="20"/>
              </w:rPr>
              <w:t>m</w:t>
            </w:r>
            <w:r>
              <w:rPr>
                <w:rFonts w:ascii="宋体" w:hAnsi="宋体" w:eastAsia="宋体" w:cs="宋体"/>
                <w:spacing w:val="6"/>
                <w:w w:val="124"/>
                <w:position w:val="11"/>
                <w:sz w:val="10"/>
                <w:szCs w:val="10"/>
              </w:rPr>
              <w:t>3</w:t>
            </w:r>
          </w:p>
        </w:tc>
        <w:tc>
          <w:tcPr>
            <w:tcW w:w="1375" w:type="dxa"/>
            <w:tcBorders>
              <w:bottom w:val="single" w:color="000000" w:sz="6" w:space="0"/>
            </w:tcBorders>
            <w:vAlign w:val="top"/>
          </w:tcPr>
          <w:p>
            <w:pPr>
              <w:spacing w:before="224" w:line="299" w:lineRule="exact"/>
              <w:ind w:left="377"/>
              <w:rPr>
                <w:rFonts w:ascii="宋体" w:hAnsi="宋体" w:eastAsia="宋体" w:cs="宋体"/>
                <w:sz w:val="20"/>
                <w:szCs w:val="20"/>
              </w:rPr>
            </w:pPr>
            <w:r>
              <w:rPr>
                <w:rFonts w:ascii="宋体" w:hAnsi="宋体" w:eastAsia="宋体" w:cs="宋体"/>
                <w:spacing w:val="1"/>
                <w:position w:val="2"/>
                <w:sz w:val="20"/>
                <w:szCs w:val="20"/>
              </w:rPr>
              <w:t>&gt;</w:t>
            </w:r>
            <w:r>
              <w:rPr>
                <w:rFonts w:ascii="宋体" w:hAnsi="宋体" w:eastAsia="宋体" w:cs="宋体"/>
                <w:spacing w:val="-35"/>
                <w:position w:val="2"/>
                <w:sz w:val="20"/>
                <w:szCs w:val="20"/>
              </w:rPr>
              <w:t xml:space="preserve"> </w:t>
            </w:r>
            <w:r>
              <w:rPr>
                <w:rFonts w:ascii="宋体" w:hAnsi="宋体" w:eastAsia="宋体" w:cs="宋体"/>
                <w:spacing w:val="1"/>
                <w:position w:val="2"/>
                <w:sz w:val="20"/>
                <w:szCs w:val="20"/>
              </w:rPr>
              <w:t>30000</w:t>
            </w:r>
          </w:p>
        </w:tc>
        <w:tc>
          <w:tcPr>
            <w:tcW w:w="1375" w:type="dxa"/>
            <w:tcBorders>
              <w:bottom w:val="single" w:color="000000" w:sz="6" w:space="0"/>
            </w:tcBorders>
            <w:vAlign w:val="top"/>
          </w:tcPr>
          <w:p>
            <w:pPr>
              <w:spacing w:before="224" w:line="299" w:lineRule="exact"/>
              <w:ind w:left="377"/>
              <w:rPr>
                <w:rFonts w:ascii="宋体" w:hAnsi="宋体" w:eastAsia="宋体" w:cs="宋体"/>
                <w:sz w:val="20"/>
                <w:szCs w:val="20"/>
              </w:rPr>
            </w:pPr>
            <w:r>
              <w:rPr>
                <w:rFonts w:ascii="宋体" w:hAnsi="宋体" w:eastAsia="宋体" w:cs="宋体"/>
                <w:spacing w:val="-2"/>
                <w:position w:val="2"/>
                <w:sz w:val="20"/>
                <w:szCs w:val="20"/>
              </w:rPr>
              <w:t>&gt;</w:t>
            </w:r>
            <w:r>
              <w:rPr>
                <w:rFonts w:ascii="宋体" w:hAnsi="宋体" w:eastAsia="宋体" w:cs="宋体"/>
                <w:spacing w:val="-15"/>
                <w:position w:val="2"/>
                <w:sz w:val="20"/>
                <w:szCs w:val="20"/>
              </w:rPr>
              <w:t xml:space="preserve"> </w:t>
            </w:r>
            <w:r>
              <w:rPr>
                <w:rFonts w:ascii="宋体" w:hAnsi="宋体" w:eastAsia="宋体" w:cs="宋体"/>
                <w:spacing w:val="-2"/>
                <w:position w:val="2"/>
                <w:sz w:val="20"/>
                <w:szCs w:val="20"/>
              </w:rPr>
              <w:t>12000</w:t>
            </w:r>
          </w:p>
        </w:tc>
        <w:tc>
          <w:tcPr>
            <w:tcW w:w="1384" w:type="dxa"/>
            <w:tcBorders>
              <w:bottom w:val="single" w:color="000000" w:sz="6" w:space="0"/>
              <w:right w:val="single" w:color="000000" w:sz="6" w:space="0"/>
            </w:tcBorders>
            <w:vAlign w:val="top"/>
          </w:tcPr>
          <w:p>
            <w:pPr>
              <w:spacing w:before="72" w:line="247" w:lineRule="auto"/>
              <w:ind w:left="358" w:right="158" w:hanging="186"/>
              <w:rPr>
                <w:rFonts w:ascii="宋体" w:hAnsi="宋体" w:eastAsia="宋体" w:cs="宋体"/>
                <w:sz w:val="20"/>
                <w:szCs w:val="20"/>
              </w:rPr>
            </w:pPr>
            <w:r>
              <w:rPr>
                <w:rFonts w:ascii="宋体" w:hAnsi="宋体" w:eastAsia="宋体" w:cs="宋体"/>
                <w:spacing w:val="6"/>
                <w:sz w:val="20"/>
                <w:szCs w:val="20"/>
              </w:rPr>
              <w:t>5000＜体积</w:t>
            </w:r>
            <w:r>
              <w:rPr>
                <w:rFonts w:ascii="宋体" w:hAnsi="宋体" w:eastAsia="宋体" w:cs="宋体"/>
                <w:spacing w:val="-5"/>
                <w:sz w:val="20"/>
                <w:szCs w:val="20"/>
              </w:rPr>
              <w:t>≤</w:t>
            </w:r>
            <w:r>
              <w:rPr>
                <w:rFonts w:ascii="宋体" w:hAnsi="宋体" w:eastAsia="宋体" w:cs="宋体"/>
                <w:spacing w:val="-75"/>
                <w:sz w:val="20"/>
                <w:szCs w:val="20"/>
              </w:rPr>
              <w:t xml:space="preserve"> </w:t>
            </w:r>
            <w:r>
              <w:rPr>
                <w:rFonts w:ascii="宋体" w:hAnsi="宋体" w:eastAsia="宋体" w:cs="宋体"/>
                <w:spacing w:val="-5"/>
                <w:sz w:val="20"/>
                <w:szCs w:val="20"/>
              </w:rPr>
              <w:t>12000</w:t>
            </w:r>
          </w:p>
        </w:tc>
      </w:tr>
    </w:tbl>
    <w:p>
      <w:pPr>
        <w:pStyle w:val="2"/>
        <w:spacing w:before="58" w:line="197" w:lineRule="auto"/>
        <w:ind w:left="590"/>
        <w:rPr>
          <w:sz w:val="24"/>
          <w:szCs w:val="24"/>
        </w:rPr>
      </w:pPr>
      <w:r>
        <w:rPr>
          <w:spacing w:val="-9"/>
          <w:sz w:val="24"/>
          <w:szCs w:val="24"/>
        </w:rPr>
        <w:t>（ 二 ）建筑工程类别划分说明：</w:t>
      </w:r>
    </w:p>
    <w:p>
      <w:pPr>
        <w:spacing w:before="55" w:line="324" w:lineRule="auto"/>
        <w:ind w:left="120" w:right="121" w:firstLine="421"/>
        <w:rPr>
          <w:rFonts w:ascii="宋体" w:hAnsi="宋体" w:eastAsia="宋体" w:cs="宋体"/>
          <w:sz w:val="20"/>
          <w:szCs w:val="20"/>
        </w:rPr>
      </w:pPr>
      <w:r>
        <w:rPr>
          <w:rFonts w:ascii="宋体" w:hAnsi="宋体" w:eastAsia="宋体" w:cs="宋体"/>
          <w:spacing w:val="11"/>
          <w:sz w:val="20"/>
          <w:szCs w:val="20"/>
        </w:rPr>
        <w:t>工程类别划分标准中有两个指标的，确定工程类别时，需满足其中一项指标</w:t>
      </w:r>
      <w:r>
        <w:rPr>
          <w:rFonts w:ascii="宋体" w:hAnsi="宋体" w:eastAsia="宋体" w:cs="宋体"/>
          <w:spacing w:val="10"/>
          <w:sz w:val="20"/>
          <w:szCs w:val="20"/>
        </w:rPr>
        <w:t>。类别划分表中的</w:t>
      </w:r>
      <w:r>
        <w:rPr>
          <w:rFonts w:ascii="宋体" w:hAnsi="宋体" w:eastAsia="宋体" w:cs="宋体"/>
          <w:spacing w:val="8"/>
          <w:sz w:val="20"/>
          <w:szCs w:val="20"/>
        </w:rPr>
        <w:t>“层数”指建筑物地上层数。</w:t>
      </w:r>
    </w:p>
    <w:p>
      <w:pPr>
        <w:spacing w:line="277" w:lineRule="exact"/>
        <w:ind w:left="559"/>
        <w:rPr>
          <w:rFonts w:ascii="宋体" w:hAnsi="宋体" w:eastAsia="宋体" w:cs="宋体"/>
          <w:sz w:val="20"/>
          <w:szCs w:val="20"/>
        </w:rPr>
      </w:pPr>
      <w:r>
        <w:rPr>
          <w:rFonts w:ascii="宋体" w:hAnsi="宋体" w:eastAsia="宋体" w:cs="宋体"/>
          <w:spacing w:val="5"/>
          <w:position w:val="1"/>
          <w:sz w:val="20"/>
          <w:szCs w:val="20"/>
        </w:rPr>
        <w:t>1. 建筑工程确定类别时，应首先确定工程类型。</w:t>
      </w:r>
    </w:p>
    <w:p>
      <w:pPr>
        <w:spacing w:before="64" w:line="313" w:lineRule="auto"/>
        <w:ind w:left="120" w:right="121" w:firstLine="420"/>
        <w:rPr>
          <w:rFonts w:ascii="宋体" w:hAnsi="宋体" w:eastAsia="宋体" w:cs="宋体"/>
          <w:sz w:val="20"/>
          <w:szCs w:val="20"/>
        </w:rPr>
      </w:pPr>
      <w:r>
        <w:rPr>
          <w:rFonts w:ascii="宋体" w:hAnsi="宋体" w:eastAsia="宋体" w:cs="宋体"/>
          <w:spacing w:val="11"/>
          <w:sz w:val="20"/>
          <w:szCs w:val="20"/>
        </w:rPr>
        <w:t>建筑工程的工程类型，按工业厂房工程、民用建筑工程、构筑物工程、桩基础</w:t>
      </w:r>
      <w:r>
        <w:rPr>
          <w:rFonts w:ascii="宋体" w:hAnsi="宋体" w:eastAsia="宋体" w:cs="宋体"/>
          <w:spacing w:val="10"/>
          <w:sz w:val="20"/>
          <w:szCs w:val="20"/>
        </w:rPr>
        <w:t>工程、单独土石</w:t>
      </w:r>
      <w:r>
        <w:rPr>
          <w:rFonts w:ascii="宋体" w:hAnsi="宋体" w:eastAsia="宋体" w:cs="宋体"/>
          <w:spacing w:val="8"/>
          <w:sz w:val="20"/>
          <w:szCs w:val="20"/>
        </w:rPr>
        <w:t>方工程等五个类型分列。</w:t>
      </w:r>
    </w:p>
    <w:p>
      <w:pPr>
        <w:spacing w:line="278" w:lineRule="exact"/>
        <w:ind w:left="532"/>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1）工业厂房工程，指直接从事物质生产的生产厂</w:t>
      </w:r>
      <w:r>
        <w:rPr>
          <w:rFonts w:ascii="宋体" w:hAnsi="宋体" w:eastAsia="宋体" w:cs="宋体"/>
          <w:spacing w:val="7"/>
          <w:position w:val="1"/>
          <w:sz w:val="20"/>
          <w:szCs w:val="20"/>
        </w:rPr>
        <w:t>房或生产车间。</w:t>
      </w:r>
    </w:p>
    <w:p>
      <w:pPr>
        <w:spacing w:before="64" w:line="313" w:lineRule="auto"/>
        <w:ind w:left="123" w:right="161" w:firstLine="418"/>
        <w:rPr>
          <w:rFonts w:ascii="宋体" w:hAnsi="宋体" w:eastAsia="宋体" w:cs="宋体"/>
          <w:sz w:val="20"/>
          <w:szCs w:val="20"/>
        </w:rPr>
      </w:pPr>
      <w:r>
        <w:rPr>
          <w:rFonts w:ascii="宋体" w:hAnsi="宋体" w:eastAsia="宋体" w:cs="宋体"/>
          <w:spacing w:val="10"/>
          <w:sz w:val="20"/>
          <w:szCs w:val="20"/>
        </w:rPr>
        <w:t>工业建筑中，为物质生产配套和服务的实验室、化验室、食堂、宿舍、医疗、</w:t>
      </w:r>
      <w:r>
        <w:rPr>
          <w:rFonts w:ascii="宋体" w:hAnsi="宋体" w:eastAsia="宋体" w:cs="宋体"/>
          <w:spacing w:val="9"/>
          <w:sz w:val="20"/>
          <w:szCs w:val="20"/>
        </w:rPr>
        <w:t>卫生及管理用房等独立建筑物，按民用建筑工程确定工程类别。</w:t>
      </w:r>
    </w:p>
    <w:p>
      <w:pPr>
        <w:spacing w:line="278" w:lineRule="exact"/>
        <w:ind w:left="532"/>
        <w:rPr>
          <w:rFonts w:ascii="宋体" w:hAnsi="宋体" w:eastAsia="宋体" w:cs="宋体"/>
          <w:sz w:val="20"/>
          <w:szCs w:val="20"/>
        </w:rPr>
      </w:pPr>
      <w:r>
        <w:rPr>
          <w:rFonts w:ascii="宋体" w:hAnsi="宋体" w:eastAsia="宋体" w:cs="宋体"/>
          <w:spacing w:val="10"/>
          <w:position w:val="1"/>
          <w:sz w:val="20"/>
          <w:szCs w:val="20"/>
        </w:rPr>
        <w:t>（2）民用建筑工程，指直接用于满足人们物质和</w:t>
      </w:r>
      <w:r>
        <w:rPr>
          <w:rFonts w:ascii="宋体" w:hAnsi="宋体" w:eastAsia="宋体" w:cs="宋体"/>
          <w:spacing w:val="9"/>
          <w:position w:val="1"/>
          <w:sz w:val="20"/>
          <w:szCs w:val="20"/>
        </w:rPr>
        <w:t>文化生活需要的非生产性建筑物。</w:t>
      </w:r>
    </w:p>
    <w:p>
      <w:pPr>
        <w:spacing w:before="60" w:line="278" w:lineRule="exact"/>
        <w:ind w:right="24"/>
        <w:jc w:val="right"/>
        <w:rPr>
          <w:rFonts w:ascii="宋体" w:hAnsi="宋体" w:eastAsia="宋体" w:cs="宋体"/>
          <w:sz w:val="20"/>
          <w:szCs w:val="20"/>
        </w:rPr>
      </w:pPr>
      <w:r>
        <w:rPr>
          <w:rFonts w:ascii="宋体" w:hAnsi="宋体" w:eastAsia="宋体" w:cs="宋体"/>
          <w:spacing w:val="6"/>
          <w:position w:val="1"/>
          <w:sz w:val="20"/>
          <w:szCs w:val="20"/>
        </w:rPr>
        <w:t>（3）构筑物工程，指与工业或民用建筑配套、并独立于工业与民用建筑之外，</w:t>
      </w:r>
      <w:r>
        <w:rPr>
          <w:rFonts w:ascii="宋体" w:hAnsi="宋体" w:eastAsia="宋体" w:cs="宋体"/>
          <w:spacing w:val="5"/>
          <w:position w:val="1"/>
          <w:sz w:val="20"/>
          <w:szCs w:val="20"/>
        </w:rPr>
        <w:t>如：烟囱、水塔、</w:t>
      </w:r>
    </w:p>
    <w:p>
      <w:pPr>
        <w:spacing w:line="278" w:lineRule="exact"/>
        <w:rPr>
          <w:rFonts w:ascii="宋体" w:hAnsi="宋体" w:eastAsia="宋体" w:cs="宋体"/>
          <w:sz w:val="20"/>
          <w:szCs w:val="20"/>
        </w:rPr>
        <w:sectPr>
          <w:footerReference r:id="rId128" w:type="default"/>
          <w:pgSz w:w="11906" w:h="16839"/>
          <w:pgMar w:top="400" w:right="1299" w:bottom="1212" w:left="1299" w:header="0" w:footer="897" w:gutter="0"/>
        </w:sect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65" w:line="221" w:lineRule="auto"/>
        <w:rPr>
          <w:rFonts w:ascii="宋体" w:hAnsi="宋体" w:eastAsia="宋体" w:cs="宋体"/>
          <w:sz w:val="20"/>
          <w:szCs w:val="20"/>
        </w:rPr>
      </w:pPr>
      <w:r>
        <w:rPr>
          <w:rFonts w:ascii="宋体" w:hAnsi="宋体" w:eastAsia="宋体" w:cs="宋体"/>
          <w:spacing w:val="8"/>
          <w:sz w:val="20"/>
          <w:szCs w:val="20"/>
        </w:rPr>
        <w:t>贮仓、水池等工程。</w:t>
      </w:r>
    </w:p>
    <w:p>
      <w:pPr>
        <w:spacing w:before="96" w:line="284" w:lineRule="auto"/>
        <w:ind w:left="2" w:right="79" w:firstLine="412"/>
        <w:rPr>
          <w:rFonts w:ascii="宋体" w:hAnsi="宋体" w:eastAsia="宋体" w:cs="宋体"/>
          <w:sz w:val="20"/>
          <w:szCs w:val="20"/>
        </w:rPr>
      </w:pPr>
      <w:r>
        <w:rPr>
          <w:rFonts w:ascii="宋体" w:hAnsi="宋体" w:eastAsia="宋体" w:cs="宋体"/>
          <w:spacing w:val="9"/>
          <w:sz w:val="20"/>
          <w:szCs w:val="20"/>
        </w:rPr>
        <w:t>（4）桩基础工程，是浅基础不能满足建筑</w:t>
      </w:r>
      <w:r>
        <w:rPr>
          <w:rFonts w:ascii="宋体" w:hAnsi="宋体" w:eastAsia="宋体" w:cs="宋体"/>
          <w:spacing w:val="8"/>
          <w:sz w:val="20"/>
          <w:szCs w:val="20"/>
        </w:rPr>
        <w:t>物的稳定性要求、而采用的一种深基础工艺，主要包</w:t>
      </w:r>
      <w:r>
        <w:rPr>
          <w:rFonts w:ascii="宋体" w:hAnsi="宋体" w:eastAsia="宋体" w:cs="宋体"/>
          <w:spacing w:val="11"/>
          <w:sz w:val="20"/>
          <w:szCs w:val="20"/>
        </w:rPr>
        <w:t>括：各种现浇和预制混凝土桩、以及其他材质的桩基础。桩基础工程适用于建</w:t>
      </w:r>
      <w:r>
        <w:rPr>
          <w:rFonts w:ascii="宋体" w:hAnsi="宋体" w:eastAsia="宋体" w:cs="宋体"/>
          <w:spacing w:val="10"/>
          <w:sz w:val="20"/>
          <w:szCs w:val="20"/>
        </w:rPr>
        <w:t>设单位直接发包的桩</w:t>
      </w:r>
      <w:r>
        <w:rPr>
          <w:rFonts w:ascii="宋体" w:hAnsi="宋体" w:eastAsia="宋体" w:cs="宋体"/>
          <w:spacing w:val="6"/>
          <w:sz w:val="20"/>
          <w:szCs w:val="20"/>
        </w:rPr>
        <w:t>基础工程。</w:t>
      </w:r>
    </w:p>
    <w:p>
      <w:pPr>
        <w:spacing w:before="99" w:line="285" w:lineRule="auto"/>
        <w:ind w:left="54" w:right="81" w:firstLine="359"/>
        <w:rPr>
          <w:rFonts w:ascii="宋体" w:hAnsi="宋体" w:eastAsia="宋体" w:cs="宋体"/>
          <w:sz w:val="20"/>
          <w:szCs w:val="20"/>
        </w:rPr>
      </w:pPr>
      <w:r>
        <w:rPr>
          <w:rFonts w:ascii="宋体" w:hAnsi="宋体" w:eastAsia="宋体" w:cs="宋体"/>
          <w:spacing w:val="8"/>
          <w:sz w:val="20"/>
          <w:szCs w:val="20"/>
        </w:rPr>
        <w:t>（5）单独土石方工程：指建筑物、构筑物、市政设施等基础土石方以外的，挖方或填方工程量</w:t>
      </w:r>
      <w:r>
        <w:rPr>
          <w:rFonts w:ascii="宋体" w:hAnsi="宋体" w:eastAsia="宋体" w:cs="宋体"/>
          <w:spacing w:val="17"/>
          <w:sz w:val="20"/>
          <w:szCs w:val="20"/>
        </w:rPr>
        <w:t xml:space="preserve"> </w:t>
      </w:r>
      <w:r>
        <w:rPr>
          <w:rFonts w:ascii="宋体" w:hAnsi="宋体" w:eastAsia="宋体" w:cs="宋体"/>
          <w:spacing w:val="9"/>
          <w:sz w:val="20"/>
          <w:szCs w:val="20"/>
        </w:rPr>
        <w:t>&gt;</w:t>
      </w:r>
      <w:r>
        <w:rPr>
          <w:rFonts w:ascii="宋体" w:hAnsi="宋体" w:eastAsia="宋体" w:cs="宋体"/>
          <w:spacing w:val="-36"/>
          <w:sz w:val="20"/>
          <w:szCs w:val="20"/>
        </w:rPr>
        <w:t xml:space="preserve"> </w:t>
      </w:r>
      <w:r>
        <w:rPr>
          <w:rFonts w:ascii="宋体" w:hAnsi="宋体" w:eastAsia="宋体" w:cs="宋体"/>
          <w:spacing w:val="9"/>
          <w:sz w:val="20"/>
          <w:szCs w:val="20"/>
        </w:rPr>
        <w:t>5000m</w:t>
      </w:r>
      <w:r>
        <w:rPr>
          <w:rFonts w:ascii="宋体" w:hAnsi="宋体" w:eastAsia="宋体" w:cs="宋体"/>
          <w:spacing w:val="9"/>
          <w:position w:val="10"/>
          <w:sz w:val="10"/>
          <w:szCs w:val="10"/>
        </w:rPr>
        <w:t>3</w:t>
      </w:r>
      <w:r>
        <w:rPr>
          <w:rFonts w:ascii="宋体" w:hAnsi="宋体" w:eastAsia="宋体" w:cs="宋体"/>
          <w:spacing w:val="-27"/>
          <w:position w:val="10"/>
          <w:sz w:val="10"/>
          <w:szCs w:val="10"/>
        </w:rPr>
        <w:t xml:space="preserve"> </w:t>
      </w:r>
      <w:r>
        <w:rPr>
          <w:rFonts w:ascii="宋体" w:hAnsi="宋体" w:eastAsia="宋体" w:cs="宋体"/>
          <w:spacing w:val="9"/>
          <w:sz w:val="20"/>
          <w:szCs w:val="20"/>
        </w:rPr>
        <w:t>、且需要单独编制概预算的土石方工程。包括：土石方的挖</w:t>
      </w:r>
      <w:r>
        <w:rPr>
          <w:rFonts w:ascii="宋体" w:hAnsi="宋体" w:eastAsia="宋体" w:cs="宋体"/>
          <w:spacing w:val="8"/>
          <w:sz w:val="20"/>
          <w:szCs w:val="20"/>
        </w:rPr>
        <w:t>、运、填等。</w:t>
      </w:r>
    </w:p>
    <w:p>
      <w:pPr>
        <w:spacing w:before="60" w:line="278" w:lineRule="exact"/>
        <w:ind w:left="414"/>
        <w:rPr>
          <w:rFonts w:ascii="宋体" w:hAnsi="宋体" w:eastAsia="宋体" w:cs="宋体"/>
          <w:sz w:val="20"/>
          <w:szCs w:val="20"/>
        </w:rPr>
      </w:pPr>
      <w:r>
        <w:rPr>
          <w:rFonts w:ascii="宋体" w:hAnsi="宋体" w:eastAsia="宋体" w:cs="宋体"/>
          <w:spacing w:val="10"/>
          <w:position w:val="1"/>
          <w:sz w:val="20"/>
          <w:szCs w:val="20"/>
        </w:rPr>
        <w:t>（6）同一建筑物工程类型不同时，按建筑面积大</w:t>
      </w:r>
      <w:r>
        <w:rPr>
          <w:rFonts w:ascii="宋体" w:hAnsi="宋体" w:eastAsia="宋体" w:cs="宋体"/>
          <w:spacing w:val="9"/>
          <w:position w:val="1"/>
          <w:sz w:val="20"/>
          <w:szCs w:val="20"/>
        </w:rPr>
        <w:t>的工程类型、确定其工程类别。</w:t>
      </w:r>
    </w:p>
    <w:p>
      <w:pPr>
        <w:spacing w:before="63" w:line="278" w:lineRule="exact"/>
        <w:ind w:left="424"/>
        <w:rPr>
          <w:rFonts w:ascii="宋体" w:hAnsi="宋体" w:eastAsia="宋体" w:cs="宋体"/>
          <w:sz w:val="20"/>
          <w:szCs w:val="20"/>
        </w:rPr>
      </w:pPr>
      <w:r>
        <w:rPr>
          <w:rFonts w:ascii="宋体" w:hAnsi="宋体" w:eastAsia="宋体" w:cs="宋体"/>
          <w:spacing w:val="4"/>
          <w:position w:val="1"/>
          <w:sz w:val="20"/>
          <w:szCs w:val="20"/>
        </w:rPr>
        <w:t>2. 房屋建筑工程的结构形式：</w:t>
      </w:r>
    </w:p>
    <w:p>
      <w:pPr>
        <w:spacing w:before="62" w:line="277" w:lineRule="exact"/>
        <w:ind w:left="414"/>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1）钢结构，是指柱、梁（屋架）、板等承重构件用钢材制作的建筑</w:t>
      </w:r>
      <w:r>
        <w:rPr>
          <w:rFonts w:ascii="宋体" w:hAnsi="宋体" w:eastAsia="宋体" w:cs="宋体"/>
          <w:spacing w:val="7"/>
          <w:position w:val="1"/>
          <w:sz w:val="20"/>
          <w:szCs w:val="20"/>
        </w:rPr>
        <w:t>物。</w:t>
      </w:r>
    </w:p>
    <w:p>
      <w:pPr>
        <w:spacing w:before="61" w:line="277" w:lineRule="exact"/>
        <w:jc w:val="right"/>
        <w:rPr>
          <w:rFonts w:ascii="宋体" w:hAnsi="宋体" w:eastAsia="宋体" w:cs="宋体"/>
          <w:sz w:val="20"/>
          <w:szCs w:val="20"/>
        </w:rPr>
      </w:pPr>
      <w:r>
        <w:rPr>
          <w:rFonts w:ascii="宋体" w:hAnsi="宋体" w:eastAsia="宋体" w:cs="宋体"/>
          <w:spacing w:val="1"/>
          <w:position w:val="1"/>
          <w:sz w:val="20"/>
          <w:szCs w:val="20"/>
        </w:rPr>
        <w:t>（2）混凝土结构，是指柱、梁（屋架）、板等承重构件用现浇或预制的钢筋</w:t>
      </w:r>
      <w:r>
        <w:rPr>
          <w:rFonts w:ascii="宋体" w:hAnsi="宋体" w:eastAsia="宋体" w:cs="宋体"/>
          <w:position w:val="1"/>
          <w:sz w:val="20"/>
          <w:szCs w:val="20"/>
        </w:rPr>
        <w:t>混凝土制作的建筑物。</w:t>
      </w:r>
    </w:p>
    <w:p>
      <w:pPr>
        <w:spacing w:before="64" w:line="278" w:lineRule="exact"/>
        <w:ind w:left="414"/>
        <w:rPr>
          <w:rFonts w:ascii="宋体" w:hAnsi="宋体" w:eastAsia="宋体" w:cs="宋体"/>
          <w:sz w:val="20"/>
          <w:szCs w:val="20"/>
        </w:rPr>
      </w:pPr>
      <w:r>
        <w:rPr>
          <w:rFonts w:ascii="宋体" w:hAnsi="宋体" w:eastAsia="宋体" w:cs="宋体"/>
          <w:spacing w:val="10"/>
          <w:position w:val="1"/>
          <w:sz w:val="20"/>
          <w:szCs w:val="20"/>
        </w:rPr>
        <w:t>（3）同一建筑物结构形式不同时，按建筑面积大</w:t>
      </w:r>
      <w:r>
        <w:rPr>
          <w:rFonts w:ascii="宋体" w:hAnsi="宋体" w:eastAsia="宋体" w:cs="宋体"/>
          <w:spacing w:val="9"/>
          <w:position w:val="1"/>
          <w:sz w:val="20"/>
          <w:szCs w:val="20"/>
        </w:rPr>
        <w:t>的结构形式、确定其工程类别。</w:t>
      </w:r>
    </w:p>
    <w:p>
      <w:pPr>
        <w:spacing w:before="63" w:line="277" w:lineRule="exact"/>
        <w:ind w:left="428"/>
        <w:rPr>
          <w:rFonts w:ascii="宋体" w:hAnsi="宋体" w:eastAsia="宋体" w:cs="宋体"/>
          <w:sz w:val="20"/>
          <w:szCs w:val="20"/>
        </w:rPr>
      </w:pPr>
      <w:r>
        <w:rPr>
          <w:rFonts w:ascii="宋体" w:hAnsi="宋体" w:eastAsia="宋体" w:cs="宋体"/>
          <w:spacing w:val="-4"/>
          <w:position w:val="1"/>
          <w:sz w:val="20"/>
          <w:szCs w:val="20"/>
        </w:rPr>
        <w:t>3.</w:t>
      </w:r>
      <w:r>
        <w:rPr>
          <w:rFonts w:ascii="宋体" w:hAnsi="宋体" w:eastAsia="宋体" w:cs="宋体"/>
          <w:spacing w:val="17"/>
          <w:position w:val="1"/>
          <w:sz w:val="20"/>
          <w:szCs w:val="20"/>
        </w:rPr>
        <w:t xml:space="preserve"> </w:t>
      </w:r>
      <w:r>
        <w:rPr>
          <w:rFonts w:ascii="宋体" w:hAnsi="宋体" w:eastAsia="宋体" w:cs="宋体"/>
          <w:spacing w:val="-4"/>
          <w:position w:val="1"/>
          <w:sz w:val="20"/>
          <w:szCs w:val="20"/>
        </w:rPr>
        <w:t>工程特征：</w:t>
      </w:r>
    </w:p>
    <w:p>
      <w:pPr>
        <w:spacing w:before="62" w:line="285" w:lineRule="auto"/>
        <w:ind w:left="3" w:right="79" w:firstLine="411"/>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1）建筑物檐高，指设计室外地坪至檐口滴水（或屋面板板顶）的高度。突出建筑物主体屋面</w:t>
      </w:r>
      <w:r>
        <w:rPr>
          <w:rFonts w:ascii="宋体" w:hAnsi="宋体" w:eastAsia="宋体" w:cs="宋体"/>
          <w:spacing w:val="9"/>
          <w:sz w:val="20"/>
          <w:szCs w:val="20"/>
        </w:rPr>
        <w:t>楼梯间、电梯间、水箱间部分高度不计入檐口高度。</w:t>
      </w:r>
    </w:p>
    <w:p>
      <w:pPr>
        <w:spacing w:before="63" w:line="277" w:lineRule="exact"/>
        <w:ind w:left="414"/>
        <w:rPr>
          <w:rFonts w:ascii="宋体" w:hAnsi="宋体" w:eastAsia="宋体" w:cs="宋体"/>
          <w:sz w:val="20"/>
          <w:szCs w:val="20"/>
        </w:rPr>
      </w:pPr>
      <w:r>
        <w:rPr>
          <w:rFonts w:ascii="宋体" w:hAnsi="宋体" w:eastAsia="宋体" w:cs="宋体"/>
          <w:spacing w:val="9"/>
          <w:position w:val="1"/>
          <w:sz w:val="20"/>
          <w:szCs w:val="20"/>
        </w:rPr>
        <w:t>（2）建筑物的跨度，指设计图示轴线间的宽度。</w:t>
      </w:r>
    </w:p>
    <w:p>
      <w:pPr>
        <w:spacing w:before="61" w:line="278" w:lineRule="exact"/>
        <w:ind w:left="414"/>
        <w:rPr>
          <w:rFonts w:ascii="宋体" w:hAnsi="宋体" w:eastAsia="宋体" w:cs="宋体"/>
          <w:sz w:val="20"/>
          <w:szCs w:val="20"/>
        </w:rPr>
      </w:pPr>
      <w:r>
        <w:rPr>
          <w:rFonts w:ascii="宋体" w:hAnsi="宋体" w:eastAsia="宋体" w:cs="宋体"/>
          <w:spacing w:val="9"/>
          <w:position w:val="1"/>
          <w:sz w:val="20"/>
          <w:szCs w:val="20"/>
        </w:rPr>
        <w:t>（3）建筑物的建筑面积，按建筑面积计算规范的规定计算。</w:t>
      </w:r>
    </w:p>
    <w:p>
      <w:pPr>
        <w:spacing w:before="63" w:line="278" w:lineRule="exact"/>
        <w:ind w:left="414"/>
        <w:rPr>
          <w:rFonts w:ascii="宋体" w:hAnsi="宋体" w:eastAsia="宋体" w:cs="宋体"/>
          <w:sz w:val="20"/>
          <w:szCs w:val="20"/>
        </w:rPr>
      </w:pPr>
      <w:r>
        <w:rPr>
          <w:rFonts w:ascii="宋体" w:hAnsi="宋体" w:eastAsia="宋体" w:cs="宋体"/>
          <w:spacing w:val="9"/>
          <w:position w:val="1"/>
          <w:sz w:val="20"/>
          <w:szCs w:val="20"/>
        </w:rPr>
        <w:t>（4）构筑物高度，指设计室外地坪至构筑物主体结构顶坪的高度。</w:t>
      </w:r>
    </w:p>
    <w:p>
      <w:pPr>
        <w:spacing w:before="63" w:line="279" w:lineRule="exact"/>
        <w:ind w:left="414"/>
        <w:rPr>
          <w:rFonts w:ascii="宋体" w:hAnsi="宋体" w:eastAsia="宋体" w:cs="宋体"/>
          <w:sz w:val="20"/>
          <w:szCs w:val="20"/>
        </w:rPr>
      </w:pPr>
      <w:r>
        <w:rPr>
          <w:rFonts w:ascii="宋体" w:hAnsi="宋体" w:eastAsia="宋体" w:cs="宋体"/>
          <w:spacing w:val="9"/>
          <w:position w:val="1"/>
          <w:sz w:val="20"/>
          <w:szCs w:val="20"/>
        </w:rPr>
        <w:t>（5）构筑物的容积，指设计净容积。</w:t>
      </w:r>
    </w:p>
    <w:p>
      <w:pPr>
        <w:spacing w:before="59" w:line="278" w:lineRule="exact"/>
        <w:ind w:left="414"/>
        <w:rPr>
          <w:rFonts w:ascii="宋体" w:hAnsi="宋体" w:eastAsia="宋体" w:cs="宋体"/>
          <w:sz w:val="20"/>
          <w:szCs w:val="20"/>
        </w:rPr>
      </w:pPr>
      <w:r>
        <w:rPr>
          <w:rFonts w:ascii="宋体" w:hAnsi="宋体" w:eastAsia="宋体" w:cs="宋体"/>
          <w:spacing w:val="8"/>
          <w:position w:val="1"/>
          <w:sz w:val="20"/>
          <w:szCs w:val="20"/>
        </w:rPr>
        <w:t>（6）桩长，指设计桩长（包括桩尖长度）。</w:t>
      </w:r>
    </w:p>
    <w:p>
      <w:pPr>
        <w:spacing w:before="55" w:line="304" w:lineRule="auto"/>
        <w:ind w:left="3" w:right="96" w:firstLine="418"/>
        <w:rPr>
          <w:rFonts w:ascii="宋体" w:hAnsi="宋体" w:eastAsia="宋体" w:cs="宋体"/>
          <w:sz w:val="20"/>
          <w:szCs w:val="20"/>
        </w:rPr>
      </w:pPr>
      <w:r>
        <w:rPr>
          <w:rFonts w:ascii="宋体" w:hAnsi="宋体" w:eastAsia="宋体" w:cs="宋体"/>
          <w:spacing w:val="8"/>
          <w:sz w:val="20"/>
          <w:szCs w:val="20"/>
        </w:rPr>
        <w:t>4. 与建筑物配套的零星项目，如：水表井、消防水泵接、合器</w:t>
      </w:r>
      <w:r>
        <w:rPr>
          <w:rFonts w:ascii="宋体" w:hAnsi="宋体" w:eastAsia="宋体" w:cs="宋体"/>
          <w:spacing w:val="7"/>
          <w:sz w:val="20"/>
          <w:szCs w:val="20"/>
        </w:rPr>
        <w:t>井、热力入户井、排水检查井、</w:t>
      </w:r>
      <w:r>
        <w:rPr>
          <w:rFonts w:ascii="宋体" w:hAnsi="宋体" w:eastAsia="宋体" w:cs="宋体"/>
          <w:spacing w:val="9"/>
          <w:sz w:val="20"/>
          <w:szCs w:val="20"/>
        </w:rPr>
        <w:t>雨水沉砂池等，按相应建筑物的类别确定工程类别。</w:t>
      </w:r>
    </w:p>
    <w:p>
      <w:pPr>
        <w:spacing w:before="29" w:line="300" w:lineRule="auto"/>
        <w:ind w:left="4" w:right="79" w:firstLine="417"/>
        <w:rPr>
          <w:rFonts w:ascii="宋体" w:hAnsi="宋体" w:eastAsia="宋体" w:cs="宋体"/>
          <w:sz w:val="20"/>
          <w:szCs w:val="20"/>
        </w:rPr>
      </w:pPr>
      <w:r>
        <w:rPr>
          <w:rFonts w:ascii="宋体" w:hAnsi="宋体" w:eastAsia="宋体" w:cs="宋体"/>
          <w:spacing w:val="5"/>
          <w:sz w:val="20"/>
          <w:szCs w:val="20"/>
        </w:rPr>
        <w:t>其他附属项目，如：场区大门、围墙、挡土墙、庭院甬路、室外管道支架等，按建筑工程</w:t>
      </w:r>
      <w:r>
        <w:rPr>
          <w:rFonts w:ascii="宋体" w:hAnsi="宋体" w:eastAsia="宋体" w:cs="宋体"/>
          <w:spacing w:val="40"/>
          <w:sz w:val="20"/>
          <w:szCs w:val="20"/>
        </w:rPr>
        <w:t xml:space="preserve"> </w:t>
      </w:r>
      <w:r>
        <w:rPr>
          <w:rFonts w:ascii="宋体" w:hAnsi="宋体" w:eastAsia="宋体" w:cs="宋体"/>
          <w:spacing w:val="4"/>
          <w:sz w:val="20"/>
          <w:szCs w:val="20"/>
        </w:rPr>
        <w:t>Ⅲ 类</w:t>
      </w:r>
      <w:r>
        <w:rPr>
          <w:rFonts w:ascii="宋体" w:hAnsi="宋体" w:eastAsia="宋体" w:cs="宋体"/>
          <w:spacing w:val="7"/>
          <w:sz w:val="20"/>
          <w:szCs w:val="20"/>
        </w:rPr>
        <w:t>确定工程类别。</w:t>
      </w:r>
    </w:p>
    <w:p>
      <w:pPr>
        <w:spacing w:before="12" w:line="290" w:lineRule="auto"/>
        <w:ind w:left="2" w:right="81" w:firstLine="422"/>
        <w:rPr>
          <w:rFonts w:ascii="宋体" w:hAnsi="宋体" w:eastAsia="宋体" w:cs="宋体"/>
          <w:sz w:val="20"/>
          <w:szCs w:val="20"/>
        </w:rPr>
      </w:pPr>
      <w:r>
        <w:rPr>
          <w:rFonts w:ascii="宋体" w:hAnsi="宋体" w:eastAsia="宋体" w:cs="宋体"/>
          <w:spacing w:val="3"/>
          <w:sz w:val="20"/>
          <w:szCs w:val="20"/>
        </w:rPr>
        <w:t>5. 工业厂房的设备基础，单体混凝土体积＞</w:t>
      </w:r>
      <w:r>
        <w:rPr>
          <w:rFonts w:ascii="宋体" w:hAnsi="宋体" w:eastAsia="宋体" w:cs="宋体"/>
          <w:spacing w:val="-43"/>
          <w:sz w:val="20"/>
          <w:szCs w:val="20"/>
        </w:rPr>
        <w:t xml:space="preserve"> </w:t>
      </w:r>
      <w:r>
        <w:rPr>
          <w:rFonts w:ascii="宋体" w:hAnsi="宋体" w:eastAsia="宋体" w:cs="宋体"/>
          <w:spacing w:val="3"/>
          <w:sz w:val="20"/>
          <w:szCs w:val="20"/>
        </w:rPr>
        <w:t>10</w:t>
      </w:r>
      <w:r>
        <w:rPr>
          <w:rFonts w:ascii="宋体" w:hAnsi="宋体" w:eastAsia="宋体" w:cs="宋体"/>
          <w:spacing w:val="2"/>
          <w:sz w:val="20"/>
          <w:szCs w:val="20"/>
        </w:rPr>
        <w:t>00m</w:t>
      </w:r>
      <w:r>
        <w:rPr>
          <w:rFonts w:ascii="宋体" w:hAnsi="宋体" w:eastAsia="宋体" w:cs="宋体"/>
          <w:spacing w:val="2"/>
          <w:position w:val="10"/>
          <w:sz w:val="10"/>
          <w:szCs w:val="10"/>
        </w:rPr>
        <w:t>3</w:t>
      </w:r>
      <w:r>
        <w:rPr>
          <w:rFonts w:ascii="宋体" w:hAnsi="宋体" w:eastAsia="宋体" w:cs="宋体"/>
          <w:spacing w:val="2"/>
          <w:sz w:val="20"/>
          <w:szCs w:val="20"/>
        </w:rPr>
        <w:t>，按构筑物工程</w:t>
      </w:r>
      <w:r>
        <w:rPr>
          <w:rFonts w:ascii="宋体" w:hAnsi="宋体" w:eastAsia="宋体" w:cs="宋体"/>
          <w:spacing w:val="-24"/>
          <w:sz w:val="20"/>
          <w:szCs w:val="20"/>
        </w:rPr>
        <w:t xml:space="preserve"> </w:t>
      </w:r>
      <w:r>
        <w:rPr>
          <w:rFonts w:ascii="宋体" w:hAnsi="宋体" w:eastAsia="宋体" w:cs="宋体"/>
          <w:spacing w:val="2"/>
          <w:sz w:val="20"/>
          <w:szCs w:val="20"/>
        </w:rPr>
        <w:t>Ⅰ类；单体混凝土体积＞</w:t>
      </w:r>
      <w:r>
        <w:rPr>
          <w:rFonts w:ascii="宋体" w:hAnsi="宋体" w:eastAsia="宋体" w:cs="宋体"/>
          <w:spacing w:val="-59"/>
          <w:sz w:val="20"/>
          <w:szCs w:val="20"/>
        </w:rPr>
        <w:t xml:space="preserve"> </w:t>
      </w:r>
      <w:r>
        <w:rPr>
          <w:rFonts w:ascii="宋体" w:hAnsi="宋体" w:eastAsia="宋体" w:cs="宋体"/>
          <w:spacing w:val="2"/>
          <w:sz w:val="20"/>
          <w:szCs w:val="20"/>
        </w:rPr>
        <w:t>600</w:t>
      </w:r>
      <w:r>
        <w:rPr>
          <w:rFonts w:ascii="宋体" w:hAnsi="宋体" w:eastAsia="宋体" w:cs="宋体"/>
          <w:sz w:val="20"/>
          <w:szCs w:val="20"/>
        </w:rPr>
        <w:t xml:space="preserve"> </w:t>
      </w:r>
      <w:r>
        <w:rPr>
          <w:rFonts w:ascii="宋体" w:hAnsi="宋体" w:eastAsia="宋体" w:cs="宋体"/>
          <w:spacing w:val="11"/>
          <w:sz w:val="20"/>
          <w:szCs w:val="20"/>
        </w:rPr>
        <w:t>m</w:t>
      </w:r>
      <w:r>
        <w:rPr>
          <w:rFonts w:ascii="宋体" w:hAnsi="宋体" w:eastAsia="宋体" w:cs="宋体"/>
          <w:spacing w:val="11"/>
          <w:position w:val="10"/>
          <w:sz w:val="10"/>
          <w:szCs w:val="10"/>
        </w:rPr>
        <w:t>3</w:t>
      </w:r>
      <w:r>
        <w:rPr>
          <w:rFonts w:ascii="宋体" w:hAnsi="宋体" w:eastAsia="宋体" w:cs="宋体"/>
          <w:spacing w:val="11"/>
          <w:sz w:val="20"/>
          <w:szCs w:val="20"/>
        </w:rPr>
        <w:t>，按构筑物工程Ⅱ类；单体混凝土体积≤600m</w:t>
      </w:r>
      <w:r>
        <w:rPr>
          <w:rFonts w:ascii="宋体" w:hAnsi="宋体" w:eastAsia="宋体" w:cs="宋体"/>
          <w:spacing w:val="11"/>
          <w:position w:val="10"/>
          <w:sz w:val="10"/>
          <w:szCs w:val="10"/>
        </w:rPr>
        <w:t>3</w:t>
      </w:r>
      <w:r>
        <w:rPr>
          <w:rFonts w:ascii="宋体" w:hAnsi="宋体" w:eastAsia="宋体" w:cs="宋体"/>
          <w:spacing w:val="-26"/>
          <w:position w:val="10"/>
          <w:sz w:val="10"/>
          <w:szCs w:val="10"/>
        </w:rPr>
        <w:t xml:space="preserve"> </w:t>
      </w:r>
      <w:r>
        <w:rPr>
          <w:rFonts w:ascii="宋体" w:hAnsi="宋体" w:eastAsia="宋体" w:cs="宋体"/>
          <w:spacing w:val="11"/>
          <w:sz w:val="20"/>
          <w:szCs w:val="20"/>
        </w:rPr>
        <w:t>、且＞</w:t>
      </w:r>
      <w:r>
        <w:rPr>
          <w:rFonts w:ascii="宋体" w:hAnsi="宋体" w:eastAsia="宋体" w:cs="宋体"/>
          <w:spacing w:val="-60"/>
          <w:sz w:val="20"/>
          <w:szCs w:val="20"/>
        </w:rPr>
        <w:t xml:space="preserve"> </w:t>
      </w:r>
      <w:r>
        <w:rPr>
          <w:rFonts w:ascii="宋体" w:hAnsi="宋体" w:eastAsia="宋体" w:cs="宋体"/>
          <w:spacing w:val="11"/>
          <w:sz w:val="20"/>
          <w:szCs w:val="20"/>
        </w:rPr>
        <w:t>50m</w:t>
      </w:r>
      <w:r>
        <w:rPr>
          <w:rFonts w:ascii="宋体" w:hAnsi="宋体" w:eastAsia="宋体" w:cs="宋体"/>
          <w:spacing w:val="10"/>
          <w:position w:val="10"/>
          <w:sz w:val="10"/>
          <w:szCs w:val="10"/>
        </w:rPr>
        <w:t>3</w:t>
      </w:r>
      <w:r>
        <w:rPr>
          <w:rFonts w:ascii="宋体" w:hAnsi="宋体" w:eastAsia="宋体" w:cs="宋体"/>
          <w:spacing w:val="10"/>
          <w:sz w:val="20"/>
          <w:szCs w:val="20"/>
        </w:rPr>
        <w:t>，按构筑物工程Ⅲ 类；≤50</w:t>
      </w:r>
      <w:r>
        <w:rPr>
          <w:rFonts w:ascii="宋体" w:hAnsi="宋体" w:eastAsia="宋体" w:cs="宋体"/>
          <w:spacing w:val="-40"/>
          <w:sz w:val="20"/>
          <w:szCs w:val="20"/>
        </w:rPr>
        <w:t xml:space="preserve"> </w:t>
      </w:r>
      <w:r>
        <w:rPr>
          <w:rFonts w:ascii="宋体" w:hAnsi="宋体" w:eastAsia="宋体" w:cs="宋体"/>
          <w:spacing w:val="10"/>
          <w:sz w:val="20"/>
          <w:szCs w:val="20"/>
        </w:rPr>
        <w:t>m</w:t>
      </w:r>
      <w:r>
        <w:rPr>
          <w:rFonts w:ascii="宋体" w:hAnsi="宋体" w:eastAsia="宋体" w:cs="宋体"/>
          <w:spacing w:val="10"/>
          <w:position w:val="10"/>
          <w:sz w:val="10"/>
          <w:szCs w:val="10"/>
        </w:rPr>
        <w:t>3</w:t>
      </w:r>
      <w:r>
        <w:rPr>
          <w:rFonts w:ascii="宋体" w:hAnsi="宋体" w:eastAsia="宋体" w:cs="宋体"/>
          <w:spacing w:val="10"/>
          <w:sz w:val="20"/>
          <w:szCs w:val="20"/>
        </w:rPr>
        <w:t>，按相</w:t>
      </w:r>
      <w:r>
        <w:rPr>
          <w:rFonts w:ascii="宋体" w:hAnsi="宋体" w:eastAsia="宋体" w:cs="宋体"/>
          <w:spacing w:val="9"/>
          <w:sz w:val="20"/>
          <w:szCs w:val="20"/>
        </w:rPr>
        <w:t>应建筑物或构筑物的工程类别确定工程类别。</w:t>
      </w:r>
    </w:p>
    <w:p>
      <w:pPr>
        <w:spacing w:before="97" w:line="278" w:lineRule="exact"/>
        <w:ind w:left="425"/>
        <w:rPr>
          <w:rFonts w:ascii="宋体" w:hAnsi="宋体" w:eastAsia="宋体" w:cs="宋体"/>
          <w:sz w:val="20"/>
          <w:szCs w:val="20"/>
        </w:rPr>
      </w:pPr>
      <w:r>
        <w:rPr>
          <w:rFonts w:ascii="宋体" w:hAnsi="宋体" w:eastAsia="宋体" w:cs="宋体"/>
          <w:spacing w:val="6"/>
          <w:position w:val="1"/>
          <w:sz w:val="20"/>
          <w:szCs w:val="20"/>
        </w:rPr>
        <w:t>6. 强夯工程，按单独土石方工程Ⅱ类确定工程类别。</w:t>
      </w:r>
    </w:p>
    <w:p>
      <w:pPr>
        <w:spacing w:line="278" w:lineRule="exact"/>
        <w:rPr>
          <w:rFonts w:ascii="宋体" w:hAnsi="宋体" w:eastAsia="宋体" w:cs="宋体"/>
          <w:sz w:val="20"/>
          <w:szCs w:val="20"/>
        </w:rPr>
        <w:sectPr>
          <w:footerReference r:id="rId129" w:type="default"/>
          <w:pgSz w:w="11906" w:h="16839"/>
          <w:pgMar w:top="400" w:right="1338" w:bottom="1212" w:left="1416" w:header="0" w:footer="897" w:gutter="0"/>
        </w:sectPr>
      </w:pPr>
    </w:p>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2"/>
        <w:spacing w:before="120" w:line="198" w:lineRule="auto"/>
        <w:ind w:left="694"/>
        <w:rPr>
          <w:sz w:val="28"/>
          <w:szCs w:val="28"/>
        </w:rPr>
      </w:pPr>
      <w:r>
        <w:rPr>
          <w:spacing w:val="-3"/>
          <w:sz w:val="28"/>
          <w:szCs w:val="28"/>
        </w:rPr>
        <w:t>二、装饰工程</w:t>
      </w:r>
    </w:p>
    <w:p>
      <w:pPr>
        <w:pStyle w:val="2"/>
        <w:spacing w:line="167" w:lineRule="auto"/>
        <w:ind w:left="590"/>
        <w:rPr>
          <w:sz w:val="24"/>
          <w:szCs w:val="24"/>
        </w:rPr>
      </w:pPr>
      <w:r>
        <w:rPr>
          <w:spacing w:val="-9"/>
          <w:sz w:val="24"/>
          <w:szCs w:val="24"/>
        </w:rPr>
        <w:t>（ 一 ）装饰工程类别划分标准：</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5"/>
        <w:gridCol w:w="2496"/>
        <w:gridCol w:w="2160"/>
        <w:gridCol w:w="21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8" w:hRule="atLeast"/>
        </w:trPr>
        <w:tc>
          <w:tcPr>
            <w:tcW w:w="2475" w:type="dxa"/>
            <w:vMerge w:val="restart"/>
            <w:tcBorders>
              <w:top w:val="single" w:color="000000" w:sz="6" w:space="0"/>
              <w:left w:val="single" w:color="000000" w:sz="6" w:space="0"/>
              <w:bottom w:val="nil"/>
            </w:tcBorders>
            <w:vAlign w:val="top"/>
          </w:tcPr>
          <w:p>
            <w:pPr>
              <w:spacing w:before="292" w:line="210" w:lineRule="auto"/>
              <w:ind w:left="823"/>
              <w:rPr>
                <w:rFonts w:ascii="微软雅黑" w:hAnsi="微软雅黑" w:eastAsia="微软雅黑" w:cs="微软雅黑"/>
                <w:sz w:val="20"/>
                <w:szCs w:val="20"/>
              </w:rPr>
            </w:pPr>
            <w:r>
              <w:rPr>
                <w:rFonts w:ascii="微软雅黑" w:hAnsi="微软雅黑" w:eastAsia="微软雅黑" w:cs="微软雅黑"/>
                <w:spacing w:val="5"/>
                <w:sz w:val="20"/>
                <w:szCs w:val="20"/>
              </w:rPr>
              <w:t>工程特征</w:t>
            </w:r>
          </w:p>
        </w:tc>
        <w:tc>
          <w:tcPr>
            <w:tcW w:w="6817" w:type="dxa"/>
            <w:gridSpan w:val="3"/>
            <w:tcBorders>
              <w:top w:val="single" w:color="000000" w:sz="6" w:space="0"/>
              <w:right w:val="single" w:color="000000" w:sz="6" w:space="0"/>
            </w:tcBorders>
            <w:vAlign w:val="top"/>
          </w:tcPr>
          <w:p>
            <w:pPr>
              <w:spacing w:before="106" w:line="176" w:lineRule="auto"/>
              <w:ind w:left="2997"/>
              <w:rPr>
                <w:rFonts w:ascii="微软雅黑" w:hAnsi="微软雅黑" w:eastAsia="微软雅黑" w:cs="微软雅黑"/>
                <w:sz w:val="20"/>
                <w:szCs w:val="20"/>
              </w:rPr>
            </w:pPr>
            <w:r>
              <w:rPr>
                <w:rFonts w:ascii="微软雅黑" w:hAnsi="微软雅黑" w:eastAsia="微软雅黑" w:cs="微软雅黑"/>
                <w:spacing w:val="5"/>
                <w:sz w:val="20"/>
                <w:szCs w:val="20"/>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2475" w:type="dxa"/>
            <w:vMerge w:val="continue"/>
            <w:tcBorders>
              <w:top w:val="nil"/>
              <w:left w:val="single" w:color="000000" w:sz="6" w:space="0"/>
            </w:tcBorders>
            <w:vAlign w:val="top"/>
          </w:tcPr>
          <w:p>
            <w:pPr>
              <w:pStyle w:val="6"/>
            </w:pPr>
          </w:p>
        </w:tc>
        <w:tc>
          <w:tcPr>
            <w:tcW w:w="2496" w:type="dxa"/>
            <w:vAlign w:val="top"/>
          </w:tcPr>
          <w:p>
            <w:pPr>
              <w:spacing w:before="108" w:line="227" w:lineRule="auto"/>
              <w:ind w:left="1214"/>
              <w:rPr>
                <w:rFonts w:ascii="宋体" w:hAnsi="宋体" w:eastAsia="宋体" w:cs="宋体"/>
                <w:sz w:val="20"/>
                <w:szCs w:val="20"/>
              </w:rPr>
            </w:pPr>
            <w:r>
              <w:rPr>
                <w:rFonts w:ascii="宋体" w:hAnsi="宋体" w:eastAsia="宋体" w:cs="宋体"/>
                <w:sz w:val="20"/>
                <w:szCs w:val="20"/>
              </w:rPr>
              <w:t>I</w:t>
            </w:r>
          </w:p>
        </w:tc>
        <w:tc>
          <w:tcPr>
            <w:tcW w:w="2160" w:type="dxa"/>
            <w:vAlign w:val="top"/>
          </w:tcPr>
          <w:p>
            <w:pPr>
              <w:spacing w:before="126" w:line="204" w:lineRule="auto"/>
              <w:ind w:left="1024"/>
              <w:rPr>
                <w:rFonts w:ascii="宋体" w:hAnsi="宋体" w:eastAsia="宋体" w:cs="宋体"/>
                <w:sz w:val="20"/>
                <w:szCs w:val="20"/>
              </w:rPr>
            </w:pPr>
            <w:r>
              <w:rPr>
                <w:rFonts w:ascii="宋体" w:hAnsi="宋体" w:eastAsia="宋体" w:cs="宋体"/>
                <w:sz w:val="20"/>
                <w:szCs w:val="20"/>
              </w:rPr>
              <w:t>Ⅱ</w:t>
            </w:r>
          </w:p>
        </w:tc>
        <w:tc>
          <w:tcPr>
            <w:tcW w:w="2161" w:type="dxa"/>
            <w:tcBorders>
              <w:right w:val="single" w:color="000000" w:sz="6" w:space="0"/>
            </w:tcBorders>
            <w:vAlign w:val="top"/>
          </w:tcPr>
          <w:p>
            <w:pPr>
              <w:spacing w:before="129" w:line="201" w:lineRule="auto"/>
              <w:ind w:left="1005"/>
              <w:rPr>
                <w:rFonts w:ascii="宋体" w:hAnsi="宋体" w:eastAsia="宋体" w:cs="宋体"/>
                <w:sz w:val="20"/>
                <w:szCs w:val="20"/>
              </w:rPr>
            </w:pPr>
            <w:r>
              <w:rPr>
                <w:rFonts w:ascii="宋体" w:hAnsi="宋体" w:eastAsia="宋体" w:cs="宋体"/>
                <w:sz w:val="20"/>
                <w:szCs w:val="20"/>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81" w:hRule="atLeast"/>
        </w:trPr>
        <w:tc>
          <w:tcPr>
            <w:tcW w:w="2475" w:type="dxa"/>
            <w:vMerge w:val="restart"/>
            <w:tcBorders>
              <w:left w:val="single" w:color="000000" w:sz="6" w:space="0"/>
              <w:bottom w:val="nil"/>
            </w:tcBorders>
            <w:vAlign w:val="top"/>
          </w:tcPr>
          <w:p>
            <w:pPr>
              <w:pStyle w:val="6"/>
              <w:spacing w:line="253" w:lineRule="auto"/>
            </w:pPr>
          </w:p>
          <w:p>
            <w:pPr>
              <w:pStyle w:val="6"/>
              <w:spacing w:line="253" w:lineRule="auto"/>
            </w:pPr>
          </w:p>
          <w:p>
            <w:pPr>
              <w:pStyle w:val="6"/>
              <w:spacing w:line="254" w:lineRule="auto"/>
            </w:pPr>
          </w:p>
          <w:p>
            <w:pPr>
              <w:spacing w:before="65" w:line="223" w:lineRule="auto"/>
              <w:ind w:left="497"/>
              <w:rPr>
                <w:rFonts w:ascii="宋体" w:hAnsi="宋体" w:eastAsia="宋体" w:cs="宋体"/>
                <w:sz w:val="20"/>
                <w:szCs w:val="20"/>
              </w:rPr>
            </w:pPr>
            <w:r>
              <w:rPr>
                <w:rFonts w:ascii="宋体" w:hAnsi="宋体" w:eastAsia="宋体" w:cs="宋体"/>
                <w:spacing w:val="9"/>
                <w:sz w:val="20"/>
                <w:szCs w:val="20"/>
              </w:rPr>
              <w:t>工业与民用建筑</w:t>
            </w:r>
          </w:p>
        </w:tc>
        <w:tc>
          <w:tcPr>
            <w:tcW w:w="2496" w:type="dxa"/>
            <w:vAlign w:val="top"/>
          </w:tcPr>
          <w:p>
            <w:pPr>
              <w:spacing w:before="237" w:line="293" w:lineRule="auto"/>
              <w:ind w:left="106" w:right="105" w:firstLine="1"/>
              <w:jc w:val="both"/>
              <w:rPr>
                <w:rFonts w:ascii="宋体" w:hAnsi="宋体" w:eastAsia="宋体" w:cs="宋体"/>
                <w:sz w:val="20"/>
                <w:szCs w:val="20"/>
              </w:rPr>
            </w:pPr>
            <w:r>
              <w:rPr>
                <w:rFonts w:ascii="宋体" w:hAnsi="宋体" w:eastAsia="宋体" w:cs="宋体"/>
                <w:spacing w:val="6"/>
                <w:sz w:val="20"/>
                <w:szCs w:val="20"/>
              </w:rPr>
              <w:t>特殊公共建筑，包括：观</w:t>
            </w:r>
            <w:r>
              <w:rPr>
                <w:rFonts w:ascii="宋体" w:hAnsi="宋体" w:eastAsia="宋体" w:cs="宋体"/>
                <w:spacing w:val="7"/>
                <w:sz w:val="20"/>
                <w:szCs w:val="20"/>
              </w:rPr>
              <w:t>演展览建筑、交通建筑、</w:t>
            </w:r>
            <w:r>
              <w:rPr>
                <w:rFonts w:ascii="宋体" w:hAnsi="宋体" w:eastAsia="宋体" w:cs="宋体"/>
                <w:spacing w:val="18"/>
                <w:sz w:val="20"/>
                <w:szCs w:val="20"/>
              </w:rPr>
              <w:t>体育场馆、高级会堂等</w:t>
            </w:r>
          </w:p>
        </w:tc>
        <w:tc>
          <w:tcPr>
            <w:tcW w:w="2160" w:type="dxa"/>
            <w:vAlign w:val="top"/>
          </w:tcPr>
          <w:p>
            <w:pPr>
              <w:spacing w:before="77" w:line="278" w:lineRule="exact"/>
              <w:ind w:right="8"/>
              <w:jc w:val="right"/>
              <w:rPr>
                <w:rFonts w:ascii="宋体" w:hAnsi="宋体" w:eastAsia="宋体" w:cs="宋体"/>
                <w:sz w:val="20"/>
                <w:szCs w:val="20"/>
              </w:rPr>
            </w:pPr>
            <w:r>
              <w:rPr>
                <w:rFonts w:ascii="宋体" w:hAnsi="宋体" w:eastAsia="宋体" w:cs="宋体"/>
                <w:spacing w:val="3"/>
                <w:position w:val="1"/>
                <w:sz w:val="20"/>
                <w:szCs w:val="20"/>
              </w:rPr>
              <w:t>一般公共建筑，包括：</w:t>
            </w:r>
          </w:p>
          <w:p>
            <w:pPr>
              <w:spacing w:before="46" w:line="223" w:lineRule="auto"/>
              <w:ind w:left="141"/>
              <w:rPr>
                <w:rFonts w:ascii="宋体" w:hAnsi="宋体" w:eastAsia="宋体" w:cs="宋体"/>
                <w:sz w:val="20"/>
                <w:szCs w:val="20"/>
              </w:rPr>
            </w:pPr>
            <w:r>
              <w:rPr>
                <w:rFonts w:ascii="宋体" w:hAnsi="宋体" w:eastAsia="宋体" w:cs="宋体"/>
                <w:spacing w:val="8"/>
                <w:sz w:val="20"/>
                <w:szCs w:val="20"/>
              </w:rPr>
              <w:t>办公建筑、文教卫生</w:t>
            </w:r>
          </w:p>
          <w:p>
            <w:pPr>
              <w:spacing w:before="77" w:line="222" w:lineRule="auto"/>
              <w:ind w:left="138"/>
              <w:rPr>
                <w:rFonts w:ascii="宋体" w:hAnsi="宋体" w:eastAsia="宋体" w:cs="宋体"/>
                <w:sz w:val="20"/>
                <w:szCs w:val="20"/>
              </w:rPr>
            </w:pPr>
            <w:r>
              <w:rPr>
                <w:rFonts w:ascii="宋体" w:hAnsi="宋体" w:eastAsia="宋体" w:cs="宋体"/>
                <w:spacing w:val="9"/>
                <w:sz w:val="20"/>
                <w:szCs w:val="20"/>
              </w:rPr>
              <w:t>建筑、科研建筑、商</w:t>
            </w:r>
          </w:p>
          <w:p>
            <w:pPr>
              <w:spacing w:before="78" w:line="213" w:lineRule="auto"/>
              <w:ind w:left="662"/>
              <w:rPr>
                <w:rFonts w:ascii="宋体" w:hAnsi="宋体" w:eastAsia="宋体" w:cs="宋体"/>
                <w:sz w:val="20"/>
                <w:szCs w:val="20"/>
              </w:rPr>
            </w:pPr>
            <w:r>
              <w:rPr>
                <w:rFonts w:ascii="宋体" w:hAnsi="宋体" w:eastAsia="宋体" w:cs="宋体"/>
                <w:spacing w:val="8"/>
                <w:sz w:val="20"/>
                <w:szCs w:val="20"/>
              </w:rPr>
              <w:t>业建筑等</w:t>
            </w:r>
          </w:p>
        </w:tc>
        <w:tc>
          <w:tcPr>
            <w:tcW w:w="2161" w:type="dxa"/>
            <w:tcBorders>
              <w:right w:val="single" w:color="000000" w:sz="6" w:space="0"/>
            </w:tcBorders>
            <w:vAlign w:val="top"/>
          </w:tcPr>
          <w:p>
            <w:pPr>
              <w:pStyle w:val="6"/>
              <w:spacing w:line="326" w:lineRule="auto"/>
            </w:pPr>
          </w:p>
          <w:p>
            <w:pPr>
              <w:spacing w:before="65" w:line="223" w:lineRule="auto"/>
              <w:ind w:left="663"/>
              <w:rPr>
                <w:rFonts w:ascii="宋体" w:hAnsi="宋体" w:eastAsia="宋体" w:cs="宋体"/>
                <w:sz w:val="20"/>
                <w:szCs w:val="20"/>
              </w:rPr>
            </w:pPr>
            <w:r>
              <w:rPr>
                <w:rFonts w:ascii="宋体" w:hAnsi="宋体" w:eastAsia="宋体" w:cs="宋体"/>
                <w:spacing w:val="8"/>
                <w:sz w:val="20"/>
                <w:szCs w:val="20"/>
              </w:rPr>
              <w:t>居住建筑</w:t>
            </w:r>
          </w:p>
          <w:p>
            <w:pPr>
              <w:spacing w:before="120" w:line="219" w:lineRule="auto"/>
              <w:ind w:left="454"/>
              <w:rPr>
                <w:rFonts w:ascii="宋体" w:hAnsi="宋体" w:eastAsia="宋体" w:cs="宋体"/>
                <w:sz w:val="20"/>
                <w:szCs w:val="20"/>
              </w:rPr>
            </w:pPr>
            <w:r>
              <w:rPr>
                <w:rFonts w:ascii="宋体" w:hAnsi="宋体" w:eastAsia="宋体" w:cs="宋体"/>
                <w:spacing w:val="8"/>
                <w:sz w:val="20"/>
                <w:szCs w:val="20"/>
              </w:rPr>
              <w:t>工业厂房工程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2475" w:type="dxa"/>
            <w:vMerge w:val="continue"/>
            <w:tcBorders>
              <w:top w:val="nil"/>
              <w:left w:val="single" w:color="000000" w:sz="6" w:space="0"/>
            </w:tcBorders>
            <w:vAlign w:val="top"/>
          </w:tcPr>
          <w:p>
            <w:pPr>
              <w:pStyle w:val="6"/>
            </w:pPr>
          </w:p>
        </w:tc>
        <w:tc>
          <w:tcPr>
            <w:tcW w:w="2496" w:type="dxa"/>
            <w:vAlign w:val="top"/>
          </w:tcPr>
          <w:p>
            <w:pPr>
              <w:spacing w:before="189" w:line="219" w:lineRule="auto"/>
              <w:ind w:left="429"/>
              <w:rPr>
                <w:rFonts w:ascii="宋体" w:hAnsi="宋体" w:eastAsia="宋体" w:cs="宋体"/>
                <w:sz w:val="20"/>
                <w:szCs w:val="20"/>
              </w:rPr>
            </w:pPr>
            <w:r>
              <w:rPr>
                <w:rFonts w:ascii="宋体" w:hAnsi="宋体" w:eastAsia="宋体" w:cs="宋体"/>
                <w:spacing w:val="6"/>
                <w:sz w:val="20"/>
                <w:szCs w:val="20"/>
              </w:rPr>
              <w:t>四星级及以上宾馆</w:t>
            </w:r>
          </w:p>
        </w:tc>
        <w:tc>
          <w:tcPr>
            <w:tcW w:w="2160" w:type="dxa"/>
            <w:vAlign w:val="top"/>
          </w:tcPr>
          <w:p>
            <w:pPr>
              <w:spacing w:before="189" w:line="219" w:lineRule="auto"/>
              <w:ind w:left="562"/>
              <w:rPr>
                <w:rFonts w:ascii="宋体" w:hAnsi="宋体" w:eastAsia="宋体" w:cs="宋体"/>
                <w:sz w:val="20"/>
                <w:szCs w:val="20"/>
              </w:rPr>
            </w:pPr>
            <w:r>
              <w:rPr>
                <w:rFonts w:ascii="宋体" w:hAnsi="宋体" w:eastAsia="宋体" w:cs="宋体"/>
                <w:spacing w:val="8"/>
                <w:sz w:val="20"/>
                <w:szCs w:val="20"/>
              </w:rPr>
              <w:t>三星级宾馆</w:t>
            </w:r>
          </w:p>
        </w:tc>
        <w:tc>
          <w:tcPr>
            <w:tcW w:w="2161" w:type="dxa"/>
            <w:tcBorders>
              <w:right w:val="single" w:color="000000" w:sz="6" w:space="0"/>
            </w:tcBorders>
            <w:vAlign w:val="top"/>
          </w:tcPr>
          <w:p>
            <w:pPr>
              <w:spacing w:before="189" w:line="219" w:lineRule="auto"/>
              <w:ind w:left="348"/>
              <w:rPr>
                <w:rFonts w:ascii="宋体" w:hAnsi="宋体" w:eastAsia="宋体" w:cs="宋体"/>
                <w:sz w:val="20"/>
                <w:szCs w:val="20"/>
              </w:rPr>
            </w:pPr>
            <w:r>
              <w:rPr>
                <w:rFonts w:ascii="宋体" w:hAnsi="宋体" w:eastAsia="宋体" w:cs="宋体"/>
                <w:spacing w:val="9"/>
                <w:sz w:val="20"/>
                <w:szCs w:val="20"/>
              </w:rPr>
              <w:t>二星级以下宾馆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2475" w:type="dxa"/>
            <w:tcBorders>
              <w:left w:val="single" w:color="000000" w:sz="6" w:space="0"/>
            </w:tcBorders>
            <w:vAlign w:val="top"/>
          </w:tcPr>
          <w:p>
            <w:pPr>
              <w:spacing w:before="222" w:line="324" w:lineRule="auto"/>
              <w:ind w:left="104" w:right="50" w:firstLine="77"/>
              <w:rPr>
                <w:rFonts w:ascii="宋体" w:hAnsi="宋体" w:eastAsia="宋体" w:cs="宋体"/>
                <w:sz w:val="20"/>
                <w:szCs w:val="20"/>
              </w:rPr>
            </w:pPr>
            <w:r>
              <w:rPr>
                <w:rFonts w:ascii="宋体" w:hAnsi="宋体" w:eastAsia="宋体" w:cs="宋体"/>
                <w:spacing w:val="9"/>
                <w:sz w:val="20"/>
                <w:szCs w:val="20"/>
              </w:rPr>
              <w:t>单独外墙装饰（包括幕</w:t>
            </w:r>
            <w:r>
              <w:rPr>
                <w:rFonts w:ascii="宋体" w:hAnsi="宋体" w:eastAsia="宋体" w:cs="宋体"/>
                <w:spacing w:val="10"/>
                <w:sz w:val="20"/>
                <w:szCs w:val="20"/>
              </w:rPr>
              <w:t>墙、各种外墙干挂工程）</w:t>
            </w:r>
          </w:p>
        </w:tc>
        <w:tc>
          <w:tcPr>
            <w:tcW w:w="2496" w:type="dxa"/>
            <w:vAlign w:val="top"/>
          </w:tcPr>
          <w:p>
            <w:pPr>
              <w:pStyle w:val="6"/>
              <w:spacing w:line="334" w:lineRule="auto"/>
            </w:pPr>
          </w:p>
          <w:p>
            <w:pPr>
              <w:spacing w:before="65" w:line="277" w:lineRule="exact"/>
              <w:ind w:left="569"/>
              <w:rPr>
                <w:rFonts w:ascii="宋体" w:hAnsi="宋体" w:eastAsia="宋体" w:cs="宋体"/>
                <w:sz w:val="20"/>
                <w:szCs w:val="20"/>
              </w:rPr>
            </w:pPr>
            <w:r>
              <w:rPr>
                <w:rFonts w:ascii="宋体" w:hAnsi="宋体" w:eastAsia="宋体" w:cs="宋体"/>
                <w:spacing w:val="7"/>
                <w:position w:val="1"/>
                <w:sz w:val="20"/>
                <w:szCs w:val="20"/>
              </w:rPr>
              <w:t>幕墙高度＞50m</w:t>
            </w:r>
          </w:p>
        </w:tc>
        <w:tc>
          <w:tcPr>
            <w:tcW w:w="2160" w:type="dxa"/>
            <w:vAlign w:val="top"/>
          </w:tcPr>
          <w:p>
            <w:pPr>
              <w:pStyle w:val="6"/>
              <w:spacing w:line="334" w:lineRule="auto"/>
            </w:pPr>
          </w:p>
          <w:p>
            <w:pPr>
              <w:spacing w:before="65" w:line="277" w:lineRule="exact"/>
              <w:ind w:left="406"/>
              <w:rPr>
                <w:rFonts w:ascii="宋体" w:hAnsi="宋体" w:eastAsia="宋体" w:cs="宋体"/>
                <w:sz w:val="20"/>
                <w:szCs w:val="20"/>
              </w:rPr>
            </w:pPr>
            <w:r>
              <w:rPr>
                <w:rFonts w:ascii="宋体" w:hAnsi="宋体" w:eastAsia="宋体" w:cs="宋体"/>
                <w:spacing w:val="7"/>
                <w:position w:val="1"/>
                <w:sz w:val="20"/>
                <w:szCs w:val="20"/>
              </w:rPr>
              <w:t>幕墙高度＞30m</w:t>
            </w:r>
          </w:p>
        </w:tc>
        <w:tc>
          <w:tcPr>
            <w:tcW w:w="2161" w:type="dxa"/>
            <w:tcBorders>
              <w:right w:val="single" w:color="000000" w:sz="6" w:space="0"/>
            </w:tcBorders>
            <w:vAlign w:val="top"/>
          </w:tcPr>
          <w:p>
            <w:pPr>
              <w:pStyle w:val="6"/>
              <w:spacing w:line="334" w:lineRule="auto"/>
            </w:pPr>
          </w:p>
          <w:p>
            <w:pPr>
              <w:spacing w:before="65" w:line="277" w:lineRule="exact"/>
              <w:ind w:left="406"/>
              <w:rPr>
                <w:rFonts w:ascii="宋体" w:hAnsi="宋体" w:eastAsia="宋体" w:cs="宋体"/>
                <w:sz w:val="20"/>
                <w:szCs w:val="20"/>
              </w:rPr>
            </w:pPr>
            <w:r>
              <w:rPr>
                <w:rFonts w:ascii="宋体" w:hAnsi="宋体" w:eastAsia="宋体" w:cs="宋体"/>
                <w:spacing w:val="7"/>
                <w:position w:val="1"/>
                <w:sz w:val="20"/>
                <w:szCs w:val="20"/>
              </w:rPr>
              <w:t>幕墙高度≤30m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2" w:hRule="atLeast"/>
        </w:trPr>
        <w:tc>
          <w:tcPr>
            <w:tcW w:w="2475" w:type="dxa"/>
            <w:tcBorders>
              <w:left w:val="single" w:color="000000" w:sz="6" w:space="0"/>
              <w:bottom w:val="single" w:color="000000" w:sz="6" w:space="0"/>
            </w:tcBorders>
            <w:vAlign w:val="top"/>
          </w:tcPr>
          <w:p>
            <w:pPr>
              <w:spacing w:before="222" w:line="323" w:lineRule="auto"/>
              <w:ind w:left="599" w:right="422" w:hanging="207"/>
              <w:rPr>
                <w:rFonts w:ascii="宋体" w:hAnsi="宋体" w:eastAsia="宋体" w:cs="宋体"/>
                <w:sz w:val="20"/>
                <w:szCs w:val="20"/>
              </w:rPr>
            </w:pPr>
            <w:r>
              <w:rPr>
                <w:rFonts w:ascii="宋体" w:hAnsi="宋体" w:eastAsia="宋体" w:cs="宋体"/>
                <w:spacing w:val="6"/>
                <w:sz w:val="20"/>
                <w:szCs w:val="20"/>
              </w:rPr>
              <w:t>单独招牌、灯箱、</w:t>
            </w:r>
            <w:r>
              <w:rPr>
                <w:rFonts w:ascii="宋体" w:hAnsi="宋体" w:eastAsia="宋体" w:cs="宋体"/>
                <w:spacing w:val="9"/>
                <w:sz w:val="20"/>
                <w:szCs w:val="20"/>
              </w:rPr>
              <w:t>美术字等工程</w:t>
            </w:r>
          </w:p>
        </w:tc>
        <w:tc>
          <w:tcPr>
            <w:tcW w:w="2496" w:type="dxa"/>
            <w:tcBorders>
              <w:bottom w:val="single" w:color="000000" w:sz="6" w:space="0"/>
            </w:tcBorders>
            <w:vAlign w:val="top"/>
          </w:tcPr>
          <w:p>
            <w:pPr>
              <w:pStyle w:val="6"/>
              <w:spacing w:line="432" w:lineRule="auto"/>
            </w:pPr>
          </w:p>
          <w:p>
            <w:pPr>
              <w:spacing w:before="65" w:line="138" w:lineRule="exact"/>
              <w:ind w:left="1142"/>
              <w:rPr>
                <w:rFonts w:ascii="宋体" w:hAnsi="宋体" w:eastAsia="宋体" w:cs="宋体"/>
                <w:sz w:val="20"/>
                <w:szCs w:val="20"/>
              </w:rPr>
            </w:pPr>
            <w:r>
              <w:rPr>
                <w:rFonts w:ascii="宋体" w:hAnsi="宋体" w:eastAsia="宋体" w:cs="宋体"/>
                <w:spacing w:val="9"/>
                <w:position w:val="-3"/>
                <w:sz w:val="20"/>
                <w:szCs w:val="20"/>
              </w:rPr>
              <w:t>—</w:t>
            </w:r>
          </w:p>
        </w:tc>
        <w:tc>
          <w:tcPr>
            <w:tcW w:w="2160" w:type="dxa"/>
            <w:tcBorders>
              <w:bottom w:val="single" w:color="000000" w:sz="6" w:space="0"/>
            </w:tcBorders>
            <w:vAlign w:val="top"/>
          </w:tcPr>
          <w:p>
            <w:pPr>
              <w:pStyle w:val="6"/>
              <w:spacing w:line="432" w:lineRule="auto"/>
            </w:pPr>
          </w:p>
          <w:p>
            <w:pPr>
              <w:spacing w:before="65" w:line="138" w:lineRule="exact"/>
              <w:ind w:left="979"/>
              <w:rPr>
                <w:rFonts w:ascii="宋体" w:hAnsi="宋体" w:eastAsia="宋体" w:cs="宋体"/>
                <w:sz w:val="20"/>
                <w:szCs w:val="20"/>
              </w:rPr>
            </w:pPr>
            <w:r>
              <w:rPr>
                <w:rFonts w:ascii="宋体" w:hAnsi="宋体" w:eastAsia="宋体" w:cs="宋体"/>
                <w:spacing w:val="9"/>
                <w:position w:val="-3"/>
                <w:sz w:val="20"/>
                <w:szCs w:val="20"/>
              </w:rPr>
              <w:t>—</w:t>
            </w:r>
          </w:p>
        </w:tc>
        <w:tc>
          <w:tcPr>
            <w:tcW w:w="2161" w:type="dxa"/>
            <w:tcBorders>
              <w:bottom w:val="single" w:color="000000" w:sz="6" w:space="0"/>
              <w:right w:val="single" w:color="000000" w:sz="6" w:space="0"/>
            </w:tcBorders>
            <w:vAlign w:val="top"/>
          </w:tcPr>
          <w:p>
            <w:pPr>
              <w:spacing w:before="222" w:line="323" w:lineRule="auto"/>
              <w:ind w:left="661" w:right="52" w:hanging="600"/>
              <w:rPr>
                <w:rFonts w:ascii="宋体" w:hAnsi="宋体" w:eastAsia="宋体" w:cs="宋体"/>
                <w:sz w:val="20"/>
                <w:szCs w:val="20"/>
              </w:rPr>
            </w:pPr>
            <w:r>
              <w:rPr>
                <w:rFonts w:ascii="宋体" w:hAnsi="宋体" w:eastAsia="宋体" w:cs="宋体"/>
                <w:spacing w:val="3"/>
                <w:sz w:val="20"/>
                <w:szCs w:val="20"/>
              </w:rPr>
              <w:t>单独招牌、灯箱、美术</w:t>
            </w:r>
            <w:r>
              <w:rPr>
                <w:rFonts w:ascii="宋体" w:hAnsi="宋体" w:eastAsia="宋体" w:cs="宋体"/>
                <w:spacing w:val="8"/>
                <w:sz w:val="20"/>
                <w:szCs w:val="20"/>
              </w:rPr>
              <w:t>字等工程</w:t>
            </w:r>
          </w:p>
        </w:tc>
      </w:tr>
    </w:tbl>
    <w:p>
      <w:pPr>
        <w:spacing w:before="92" w:line="278" w:lineRule="exact"/>
        <w:ind w:left="532"/>
        <w:rPr>
          <w:rFonts w:ascii="宋体" w:hAnsi="宋体" w:eastAsia="宋体" w:cs="宋体"/>
          <w:sz w:val="20"/>
          <w:szCs w:val="20"/>
        </w:rPr>
      </w:pPr>
      <w:r>
        <w:rPr>
          <w:rFonts w:ascii="宋体" w:hAnsi="宋体" w:eastAsia="宋体" w:cs="宋体"/>
          <w:spacing w:val="9"/>
          <w:position w:val="1"/>
          <w:sz w:val="20"/>
          <w:szCs w:val="20"/>
        </w:rPr>
        <w:t>（二）装饰工程类别划分说明：</w:t>
      </w:r>
    </w:p>
    <w:p>
      <w:pPr>
        <w:spacing w:before="64" w:line="298" w:lineRule="auto"/>
        <w:ind w:left="119" w:right="120" w:firstLine="439"/>
        <w:rPr>
          <w:rFonts w:ascii="宋体" w:hAnsi="宋体" w:eastAsia="宋体" w:cs="宋体"/>
          <w:sz w:val="20"/>
          <w:szCs w:val="20"/>
        </w:rPr>
      </w:pPr>
      <w:r>
        <w:rPr>
          <w:rFonts w:ascii="宋体" w:hAnsi="宋体" w:eastAsia="宋体" w:cs="宋体"/>
          <w:spacing w:val="8"/>
          <w:sz w:val="20"/>
          <w:szCs w:val="20"/>
        </w:rPr>
        <w:t>1. 装饰工程，指建筑物主体结构完成后，在主体结</w:t>
      </w:r>
      <w:r>
        <w:rPr>
          <w:rFonts w:ascii="宋体" w:hAnsi="宋体" w:eastAsia="宋体" w:cs="宋体"/>
          <w:spacing w:val="7"/>
          <w:sz w:val="20"/>
          <w:szCs w:val="20"/>
        </w:rPr>
        <w:t>构表面及相关部位进行抹灰、镶贴和铺装面</w:t>
      </w:r>
      <w:r>
        <w:rPr>
          <w:rFonts w:ascii="宋体" w:hAnsi="宋体" w:eastAsia="宋体" w:cs="宋体"/>
          <w:spacing w:val="9"/>
          <w:sz w:val="20"/>
          <w:szCs w:val="20"/>
        </w:rPr>
        <w:t>层等施工，以达到建筑设计效果的施工内容。</w:t>
      </w:r>
    </w:p>
    <w:p>
      <w:pPr>
        <w:spacing w:before="32" w:line="270" w:lineRule="auto"/>
        <w:ind w:left="119" w:right="120"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1）作为地面各层次的承载体，在原始地基或回填土上铺筑的垫层，属于建筑工程。附着于垫</w:t>
      </w:r>
      <w:r>
        <w:rPr>
          <w:rFonts w:ascii="宋体" w:hAnsi="宋体" w:eastAsia="宋体" w:cs="宋体"/>
          <w:spacing w:val="9"/>
          <w:sz w:val="20"/>
          <w:szCs w:val="20"/>
        </w:rPr>
        <w:t>层、或者主体结构的找平层仍属于建筑工程。</w:t>
      </w:r>
    </w:p>
    <w:p>
      <w:pPr>
        <w:spacing w:before="94" w:line="278" w:lineRule="exact"/>
        <w:ind w:left="532"/>
        <w:rPr>
          <w:rFonts w:ascii="宋体" w:hAnsi="宋体" w:eastAsia="宋体" w:cs="宋体"/>
          <w:sz w:val="20"/>
          <w:szCs w:val="20"/>
        </w:rPr>
      </w:pPr>
      <w:r>
        <w:rPr>
          <w:rFonts w:ascii="宋体" w:hAnsi="宋体" w:eastAsia="宋体" w:cs="宋体"/>
          <w:spacing w:val="9"/>
          <w:position w:val="1"/>
          <w:sz w:val="20"/>
          <w:szCs w:val="20"/>
        </w:rPr>
        <w:t>（2）为主体结构及其施工服务的边坡支护工程，属于建筑工程。</w:t>
      </w:r>
    </w:p>
    <w:p>
      <w:pPr>
        <w:spacing w:before="64" w:line="270" w:lineRule="auto"/>
        <w:ind w:left="140" w:right="120" w:firstLine="391"/>
        <w:rPr>
          <w:rFonts w:ascii="宋体" w:hAnsi="宋体" w:eastAsia="宋体" w:cs="宋体"/>
          <w:sz w:val="20"/>
          <w:szCs w:val="20"/>
        </w:rPr>
      </w:pPr>
      <w:r>
        <w:rPr>
          <w:rFonts w:ascii="宋体" w:hAnsi="宋体" w:eastAsia="宋体" w:cs="宋体"/>
          <w:spacing w:val="9"/>
          <w:sz w:val="20"/>
          <w:szCs w:val="20"/>
        </w:rPr>
        <w:t>（3）门窗（不含门窗零星装饰</w:t>
      </w:r>
      <w:r>
        <w:rPr>
          <w:rFonts w:ascii="宋体" w:hAnsi="宋体" w:eastAsia="宋体" w:cs="宋体"/>
          <w:spacing w:val="3"/>
          <w:sz w:val="20"/>
          <w:szCs w:val="20"/>
        </w:rPr>
        <w:t>），</w:t>
      </w:r>
      <w:r>
        <w:rPr>
          <w:rFonts w:ascii="宋体" w:hAnsi="宋体" w:eastAsia="宋体" w:cs="宋体"/>
          <w:spacing w:val="9"/>
          <w:sz w:val="20"/>
          <w:szCs w:val="20"/>
        </w:rPr>
        <w:t>作为建筑物围护结构的重要</w:t>
      </w:r>
      <w:r>
        <w:rPr>
          <w:rFonts w:ascii="宋体" w:hAnsi="宋体" w:eastAsia="宋体" w:cs="宋体"/>
          <w:spacing w:val="8"/>
          <w:sz w:val="20"/>
          <w:szCs w:val="20"/>
        </w:rPr>
        <w:t>组成部分，属于建筑工程。工艺门扇以及门窗的包框、镶嵌和零星装饰，属于装饰工程。</w:t>
      </w:r>
    </w:p>
    <w:p>
      <w:pPr>
        <w:spacing w:before="94" w:line="270" w:lineRule="auto"/>
        <w:ind w:left="119" w:right="118" w:firstLine="412"/>
        <w:rPr>
          <w:rFonts w:ascii="宋体" w:hAnsi="宋体" w:eastAsia="宋体" w:cs="宋体"/>
          <w:sz w:val="20"/>
          <w:szCs w:val="20"/>
        </w:rPr>
      </w:pPr>
      <w:r>
        <w:rPr>
          <w:rFonts w:ascii="宋体" w:hAnsi="宋体" w:eastAsia="宋体" w:cs="宋体"/>
          <w:spacing w:val="9"/>
          <w:sz w:val="20"/>
          <w:szCs w:val="20"/>
        </w:rPr>
        <w:t>（4）位于墙柱结构外表面以外、楼板（含</w:t>
      </w:r>
      <w:r>
        <w:rPr>
          <w:rFonts w:ascii="宋体" w:hAnsi="宋体" w:eastAsia="宋体" w:cs="宋体"/>
          <w:spacing w:val="8"/>
          <w:sz w:val="20"/>
          <w:szCs w:val="20"/>
        </w:rPr>
        <w:t>屋面板）以下的各种龙骨（骨架）、各种找平层、面层，属于装饰工程。</w:t>
      </w:r>
    </w:p>
    <w:p>
      <w:pPr>
        <w:spacing w:before="97" w:line="270" w:lineRule="auto"/>
        <w:ind w:left="122" w:right="111" w:firstLine="409"/>
        <w:rPr>
          <w:rFonts w:ascii="宋体" w:hAnsi="宋体" w:eastAsia="宋体" w:cs="宋体"/>
          <w:sz w:val="20"/>
          <w:szCs w:val="20"/>
        </w:rPr>
      </w:pPr>
      <w:r>
        <w:rPr>
          <w:rFonts w:ascii="宋体" w:hAnsi="宋体" w:eastAsia="宋体" w:cs="宋体"/>
          <w:spacing w:val="4"/>
          <w:sz w:val="20"/>
          <w:szCs w:val="20"/>
        </w:rPr>
        <w:t>（5）具有特殊功能的防水层（含其下的找平层）、保温层（含其上的保护</w:t>
      </w:r>
      <w:r>
        <w:rPr>
          <w:rFonts w:ascii="宋体" w:hAnsi="宋体" w:eastAsia="宋体" w:cs="宋体"/>
          <w:spacing w:val="3"/>
          <w:sz w:val="20"/>
          <w:szCs w:val="20"/>
        </w:rPr>
        <w:t>层、抗裂层），属于建</w:t>
      </w:r>
      <w:r>
        <w:rPr>
          <w:rFonts w:ascii="宋体" w:hAnsi="宋体" w:eastAsia="宋体" w:cs="宋体"/>
          <w:spacing w:val="2"/>
          <w:sz w:val="20"/>
          <w:szCs w:val="20"/>
        </w:rPr>
        <w:t>筑工程；防水层、保温层以外的面层属于装饰</w:t>
      </w:r>
      <w:r>
        <w:rPr>
          <w:rFonts w:ascii="宋体" w:hAnsi="宋体" w:eastAsia="宋体" w:cs="宋体"/>
          <w:spacing w:val="1"/>
          <w:sz w:val="20"/>
          <w:szCs w:val="20"/>
        </w:rPr>
        <w:t>工程。</w:t>
      </w:r>
    </w:p>
    <w:p>
      <w:pPr>
        <w:spacing w:before="92" w:line="272" w:lineRule="auto"/>
        <w:ind w:left="120" w:right="120" w:firstLine="411"/>
        <w:rPr>
          <w:rFonts w:ascii="宋体" w:hAnsi="宋体" w:eastAsia="宋体" w:cs="宋体"/>
          <w:sz w:val="20"/>
          <w:szCs w:val="20"/>
        </w:rPr>
      </w:pPr>
      <w:r>
        <w:rPr>
          <w:rFonts w:ascii="宋体" w:hAnsi="宋体" w:eastAsia="宋体" w:cs="宋体"/>
          <w:spacing w:val="8"/>
          <w:sz w:val="20"/>
          <w:szCs w:val="20"/>
        </w:rPr>
        <w:t>（6）为整体工程或主体结构工程服务的脚手架、垂直运输、水平运输、大型机械进出场，属于</w:t>
      </w:r>
      <w:r>
        <w:rPr>
          <w:rFonts w:ascii="宋体" w:hAnsi="宋体" w:eastAsia="宋体" w:cs="宋体"/>
          <w:spacing w:val="9"/>
          <w:sz w:val="20"/>
          <w:szCs w:val="20"/>
        </w:rPr>
        <w:t>建筑工程；单纯为装饰工程服务的，属于装饰工程。</w:t>
      </w:r>
    </w:p>
    <w:p>
      <w:pPr>
        <w:spacing w:before="90" w:line="271" w:lineRule="auto"/>
        <w:ind w:left="121" w:right="118" w:firstLine="410"/>
        <w:rPr>
          <w:rFonts w:ascii="宋体" w:hAnsi="宋体" w:eastAsia="宋体" w:cs="宋体"/>
          <w:sz w:val="20"/>
          <w:szCs w:val="20"/>
        </w:rPr>
      </w:pPr>
      <w:r>
        <w:rPr>
          <w:rFonts w:ascii="宋体" w:hAnsi="宋体" w:eastAsia="宋体" w:cs="宋体"/>
          <w:spacing w:val="11"/>
          <w:sz w:val="20"/>
          <w:szCs w:val="20"/>
        </w:rPr>
        <w:t>（7）建筑工程的施工增加（2016</w:t>
      </w:r>
      <w:r>
        <w:rPr>
          <w:rFonts w:ascii="宋体" w:hAnsi="宋体" w:eastAsia="宋体" w:cs="宋体"/>
          <w:spacing w:val="-32"/>
          <w:sz w:val="20"/>
          <w:szCs w:val="20"/>
        </w:rPr>
        <w:t xml:space="preserve"> </w:t>
      </w:r>
      <w:r>
        <w:rPr>
          <w:rFonts w:ascii="宋体" w:hAnsi="宋体" w:eastAsia="宋体" w:cs="宋体"/>
          <w:spacing w:val="11"/>
          <w:sz w:val="20"/>
          <w:szCs w:val="20"/>
        </w:rPr>
        <w:t>消耗量定额第二十章</w:t>
      </w:r>
      <w:r>
        <w:rPr>
          <w:rFonts w:ascii="宋体" w:hAnsi="宋体" w:eastAsia="宋体" w:cs="宋体"/>
          <w:spacing w:val="-9"/>
          <w:sz w:val="20"/>
          <w:szCs w:val="20"/>
        </w:rPr>
        <w:t>）</w:t>
      </w:r>
      <w:r>
        <w:rPr>
          <w:rFonts w:ascii="宋体" w:hAnsi="宋体" w:eastAsia="宋体" w:cs="宋体"/>
          <w:spacing w:val="-46"/>
          <w:sz w:val="20"/>
          <w:szCs w:val="20"/>
        </w:rPr>
        <w:t xml:space="preserve"> </w:t>
      </w:r>
      <w:r>
        <w:rPr>
          <w:rFonts w:ascii="宋体" w:hAnsi="宋体" w:eastAsia="宋体" w:cs="宋体"/>
          <w:spacing w:val="-9"/>
          <w:sz w:val="20"/>
          <w:szCs w:val="20"/>
        </w:rPr>
        <w:t>，</w:t>
      </w:r>
      <w:r>
        <w:rPr>
          <w:rFonts w:ascii="宋体" w:hAnsi="宋体" w:eastAsia="宋体" w:cs="宋体"/>
          <w:spacing w:val="11"/>
          <w:sz w:val="20"/>
          <w:szCs w:val="20"/>
        </w:rPr>
        <w:t>属于建筑工程；装饰工程的施工增</w:t>
      </w:r>
      <w:r>
        <w:rPr>
          <w:rFonts w:ascii="宋体" w:hAnsi="宋体" w:eastAsia="宋体" w:cs="宋体"/>
          <w:spacing w:val="8"/>
          <w:sz w:val="20"/>
          <w:szCs w:val="20"/>
        </w:rPr>
        <w:t>加，属于装饰工程。</w:t>
      </w:r>
    </w:p>
    <w:p>
      <w:pPr>
        <w:spacing w:before="95" w:line="277" w:lineRule="exact"/>
        <w:ind w:left="532"/>
        <w:rPr>
          <w:rFonts w:ascii="宋体" w:hAnsi="宋体" w:eastAsia="宋体" w:cs="宋体"/>
          <w:sz w:val="20"/>
          <w:szCs w:val="20"/>
        </w:rPr>
      </w:pPr>
      <w:r>
        <w:rPr>
          <w:rFonts w:ascii="宋体" w:hAnsi="宋体" w:eastAsia="宋体" w:cs="宋体"/>
          <w:spacing w:val="9"/>
          <w:position w:val="1"/>
          <w:sz w:val="20"/>
          <w:szCs w:val="20"/>
        </w:rPr>
        <w:t>（8）学生宿舍楼、研究生公寓楼按居住建筑判定工程类别。</w:t>
      </w:r>
    </w:p>
    <w:p>
      <w:pPr>
        <w:spacing w:before="61" w:line="295" w:lineRule="auto"/>
        <w:ind w:left="112" w:right="118" w:firstLine="430"/>
        <w:rPr>
          <w:rFonts w:ascii="宋体" w:hAnsi="宋体" w:eastAsia="宋体" w:cs="宋体"/>
          <w:sz w:val="20"/>
          <w:szCs w:val="20"/>
        </w:rPr>
      </w:pPr>
      <w:r>
        <w:rPr>
          <w:rFonts w:ascii="宋体" w:hAnsi="宋体" w:eastAsia="宋体" w:cs="宋体"/>
          <w:spacing w:val="8"/>
          <w:sz w:val="20"/>
          <w:szCs w:val="20"/>
        </w:rPr>
        <w:t>2. 特殊公共建筑，包括：观演展览建筑（如，影剧院、影视制作播放建筑</w:t>
      </w:r>
      <w:r>
        <w:rPr>
          <w:rFonts w:ascii="宋体" w:hAnsi="宋体" w:eastAsia="宋体" w:cs="宋体"/>
          <w:b/>
          <w:bCs/>
          <w:spacing w:val="8"/>
          <w:sz w:val="20"/>
          <w:szCs w:val="20"/>
        </w:rPr>
        <w:t>、</w:t>
      </w:r>
      <w:r>
        <w:rPr>
          <w:rFonts w:ascii="宋体" w:hAnsi="宋体" w:eastAsia="宋体" w:cs="宋体"/>
          <w:spacing w:val="8"/>
          <w:sz w:val="20"/>
          <w:szCs w:val="20"/>
        </w:rPr>
        <w:t>城市级图书馆、博</w:t>
      </w:r>
      <w:r>
        <w:rPr>
          <w:rFonts w:ascii="宋体" w:hAnsi="宋体" w:eastAsia="宋体" w:cs="宋体"/>
          <w:spacing w:val="11"/>
          <w:sz w:val="20"/>
          <w:szCs w:val="20"/>
        </w:rPr>
        <w:t>物馆、展览馆、纪念馆等）、交通建筑（如，汽车、火车、飞机、轮船的站房建筑等）、体育场馆</w:t>
      </w:r>
      <w:r>
        <w:rPr>
          <w:rFonts w:ascii="宋体" w:hAnsi="宋体" w:eastAsia="宋体" w:cs="宋体"/>
          <w:spacing w:val="9"/>
          <w:sz w:val="20"/>
          <w:szCs w:val="20"/>
        </w:rPr>
        <w:t>（如，体育训练、比赛场馆等）、高级会堂等。</w:t>
      </w:r>
    </w:p>
    <w:p>
      <w:pPr>
        <w:spacing w:before="62" w:line="285" w:lineRule="auto"/>
        <w:ind w:left="120" w:right="120" w:firstLine="424"/>
        <w:rPr>
          <w:rFonts w:ascii="宋体" w:hAnsi="宋体" w:eastAsia="宋体" w:cs="宋体"/>
          <w:sz w:val="20"/>
          <w:szCs w:val="20"/>
        </w:rPr>
      </w:pPr>
      <w:r>
        <w:rPr>
          <w:rFonts w:ascii="宋体" w:hAnsi="宋体" w:eastAsia="宋体" w:cs="宋体"/>
          <w:spacing w:val="8"/>
          <w:sz w:val="20"/>
          <w:szCs w:val="20"/>
        </w:rPr>
        <w:t>3. 一般公共建筑，包括：办公建筑、文教卫生建筑（如，教学楼、实验楼、学校图</w:t>
      </w:r>
      <w:r>
        <w:rPr>
          <w:rFonts w:ascii="宋体" w:hAnsi="宋体" w:eastAsia="宋体" w:cs="宋体"/>
          <w:spacing w:val="7"/>
          <w:sz w:val="20"/>
          <w:szCs w:val="20"/>
        </w:rPr>
        <w:t>书馆、门诊</w:t>
      </w:r>
      <w:r>
        <w:rPr>
          <w:rFonts w:ascii="宋体" w:hAnsi="宋体" w:eastAsia="宋体" w:cs="宋体"/>
          <w:spacing w:val="9"/>
          <w:sz w:val="20"/>
          <w:szCs w:val="20"/>
        </w:rPr>
        <w:t>楼、病房楼、检验化验楼、幼儿园等）、科研建筑、商业建筑等。</w:t>
      </w:r>
    </w:p>
    <w:p>
      <w:pPr>
        <w:spacing w:before="64" w:line="278" w:lineRule="exact"/>
        <w:ind w:left="539"/>
        <w:rPr>
          <w:rFonts w:ascii="宋体" w:hAnsi="宋体" w:eastAsia="宋体" w:cs="宋体"/>
          <w:sz w:val="20"/>
          <w:szCs w:val="20"/>
        </w:rPr>
      </w:pPr>
      <w:r>
        <w:rPr>
          <w:rFonts w:ascii="宋体" w:hAnsi="宋体" w:eastAsia="宋体" w:cs="宋体"/>
          <w:spacing w:val="7"/>
          <w:position w:val="1"/>
          <w:sz w:val="20"/>
          <w:szCs w:val="20"/>
        </w:rPr>
        <w:t>4. 宾馆、饭店的星级，按《旅游涉外饭店星级标准》确定。</w:t>
      </w:r>
    </w:p>
    <w:p>
      <w:pPr>
        <w:spacing w:line="278" w:lineRule="exact"/>
        <w:rPr>
          <w:rFonts w:ascii="宋体" w:hAnsi="宋体" w:eastAsia="宋体" w:cs="宋体"/>
          <w:sz w:val="20"/>
          <w:szCs w:val="20"/>
        </w:rPr>
        <w:sectPr>
          <w:footerReference r:id="rId130" w:type="default"/>
          <w:pgSz w:w="11906" w:h="16839"/>
          <w:pgMar w:top="400" w:right="1299" w:bottom="1212" w:left="1299" w:header="0" w:footer="897" w:gutter="0"/>
        </w:sectPr>
      </w:pPr>
    </w:p>
    <w:p>
      <w:pPr>
        <w:spacing w:line="308" w:lineRule="auto"/>
        <w:rPr>
          <w:rFonts w:ascii="Arial"/>
          <w:sz w:val="21"/>
        </w:rPr>
      </w:pPr>
    </w:p>
    <w:p>
      <w:pPr>
        <w:spacing w:line="309" w:lineRule="auto"/>
        <w:rPr>
          <w:rFonts w:ascii="Arial"/>
          <w:sz w:val="21"/>
        </w:rPr>
      </w:pPr>
    </w:p>
    <w:p>
      <w:pPr>
        <w:spacing w:line="309" w:lineRule="auto"/>
        <w:rPr>
          <w:rFonts w:ascii="Arial"/>
          <w:sz w:val="21"/>
        </w:rPr>
      </w:pPr>
    </w:p>
    <w:p>
      <w:pPr>
        <w:pStyle w:val="2"/>
        <w:spacing w:before="121" w:line="203" w:lineRule="auto"/>
        <w:ind w:left="698"/>
        <w:rPr>
          <w:sz w:val="28"/>
          <w:szCs w:val="28"/>
        </w:rPr>
      </w:pPr>
      <w:r>
        <w:rPr>
          <w:spacing w:val="-4"/>
          <w:sz w:val="28"/>
          <w:szCs w:val="28"/>
        </w:rPr>
        <w:t>三、安装工程</w:t>
      </w:r>
    </w:p>
    <w:p>
      <w:pPr>
        <w:spacing w:before="25" w:line="278" w:lineRule="exact"/>
        <w:ind w:left="542"/>
        <w:rPr>
          <w:rFonts w:ascii="宋体" w:hAnsi="宋体" w:eastAsia="宋体" w:cs="宋体"/>
          <w:sz w:val="20"/>
          <w:szCs w:val="20"/>
        </w:rPr>
      </w:pPr>
      <w:r>
        <w:rPr>
          <w:rFonts w:ascii="宋体" w:hAnsi="宋体" w:eastAsia="宋体" w:cs="宋体"/>
          <w:spacing w:val="9"/>
          <w:position w:val="1"/>
          <w:sz w:val="20"/>
          <w:szCs w:val="20"/>
        </w:rPr>
        <w:t>根据安装工程专业特点，分为民用安装工程、工业安装工程两类。</w:t>
      </w:r>
    </w:p>
    <w:p>
      <w:pPr>
        <w:spacing w:before="83" w:line="296" w:lineRule="auto"/>
        <w:ind w:left="123" w:right="37" w:firstLine="436"/>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37"/>
          <w:sz w:val="20"/>
          <w:szCs w:val="20"/>
        </w:rPr>
        <w:t xml:space="preserve"> </w:t>
      </w:r>
      <w:r>
        <w:rPr>
          <w:rFonts w:ascii="宋体" w:hAnsi="宋体" w:eastAsia="宋体" w:cs="宋体"/>
          <w:spacing w:val="4"/>
          <w:sz w:val="20"/>
          <w:szCs w:val="20"/>
        </w:rPr>
        <w:t>民用安装工程：指直接用于满足人们物质和文化生活需要的非生产性安装工程。包括：电气、</w:t>
      </w:r>
      <w:r>
        <w:rPr>
          <w:rFonts w:ascii="宋体" w:hAnsi="宋体" w:eastAsia="宋体" w:cs="宋体"/>
          <w:spacing w:val="10"/>
          <w:sz w:val="20"/>
          <w:szCs w:val="20"/>
        </w:rPr>
        <w:t>给排水、采暖、燃气、通风空调、消防、建筑智能、通信工程，以及民用换热站、锅炉房、泵站、</w:t>
      </w:r>
      <w:r>
        <w:rPr>
          <w:rFonts w:ascii="宋体" w:hAnsi="宋体" w:eastAsia="宋体" w:cs="宋体"/>
          <w:spacing w:val="6"/>
          <w:sz w:val="20"/>
          <w:szCs w:val="20"/>
        </w:rPr>
        <w:t>变电站等。</w:t>
      </w:r>
    </w:p>
    <w:p>
      <w:pPr>
        <w:spacing w:before="116" w:line="307" w:lineRule="auto"/>
        <w:ind w:left="117" w:right="37" w:firstLine="410"/>
        <w:rPr>
          <w:rFonts w:ascii="宋体" w:hAnsi="宋体" w:eastAsia="宋体" w:cs="宋体"/>
          <w:sz w:val="20"/>
          <w:szCs w:val="20"/>
        </w:rPr>
      </w:pPr>
      <w:r>
        <w:rPr>
          <w:rFonts w:ascii="宋体" w:hAnsi="宋体" w:eastAsia="宋体" w:cs="宋体"/>
          <w:spacing w:val="8"/>
          <w:sz w:val="20"/>
          <w:szCs w:val="20"/>
        </w:rPr>
        <w:t>2. 工业安装工程：指从事物质生产和直接为物质生产服务的安装工程。包括：机械设备、热力设备、静置设备与工艺金属结构、工业管道工程，以及以上工程附属的电气、仪表、刷油、防腐</w:t>
      </w:r>
      <w:r>
        <w:rPr>
          <w:rFonts w:ascii="宋体" w:hAnsi="宋体" w:eastAsia="宋体" w:cs="宋体"/>
          <w:spacing w:val="7"/>
          <w:sz w:val="20"/>
          <w:szCs w:val="20"/>
        </w:rPr>
        <w:t>蚀、</w:t>
      </w:r>
      <w:r>
        <w:rPr>
          <w:rFonts w:ascii="宋体" w:hAnsi="宋体" w:eastAsia="宋体" w:cs="宋体"/>
          <w:spacing w:val="8"/>
          <w:sz w:val="20"/>
          <w:szCs w:val="20"/>
        </w:rPr>
        <w:t>绝热等工程。</w:t>
      </w:r>
    </w:p>
    <w:p>
      <w:pPr>
        <w:pStyle w:val="2"/>
        <w:spacing w:before="253" w:line="198" w:lineRule="auto"/>
        <w:ind w:left="711"/>
        <w:rPr>
          <w:sz w:val="28"/>
          <w:szCs w:val="28"/>
        </w:rPr>
      </w:pPr>
      <w:r>
        <w:rPr>
          <w:spacing w:val="-6"/>
          <w:sz w:val="28"/>
          <w:szCs w:val="28"/>
        </w:rPr>
        <w:t>四、市政工程</w:t>
      </w:r>
    </w:p>
    <w:p>
      <w:pPr>
        <w:pStyle w:val="2"/>
        <w:spacing w:before="1" w:line="166" w:lineRule="auto"/>
        <w:ind w:left="590"/>
        <w:rPr>
          <w:sz w:val="24"/>
          <w:szCs w:val="24"/>
        </w:rPr>
      </w:pPr>
      <w:r>
        <w:rPr>
          <w:spacing w:val="-9"/>
          <w:sz w:val="24"/>
          <w:szCs w:val="24"/>
        </w:rPr>
        <w:t>（ 一 ）市政工程类别划分标准：</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040"/>
        <w:gridCol w:w="1226"/>
        <w:gridCol w:w="3129"/>
        <w:gridCol w:w="28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2095" w:type="dxa"/>
            <w:gridSpan w:val="2"/>
            <w:tcBorders>
              <w:top w:val="single" w:color="000000" w:sz="6" w:space="0"/>
              <w:left w:val="single" w:color="000000" w:sz="6" w:space="0"/>
            </w:tcBorders>
            <w:vAlign w:val="top"/>
          </w:tcPr>
          <w:p>
            <w:pPr>
              <w:spacing w:before="105" w:line="177" w:lineRule="auto"/>
              <w:ind w:left="631"/>
              <w:rPr>
                <w:rFonts w:ascii="微软雅黑" w:hAnsi="微软雅黑" w:eastAsia="微软雅黑" w:cs="微软雅黑"/>
                <w:sz w:val="20"/>
                <w:szCs w:val="20"/>
              </w:rPr>
            </w:pPr>
            <w:r>
              <w:rPr>
                <w:rFonts w:ascii="微软雅黑" w:hAnsi="微软雅黑" w:eastAsia="微软雅黑" w:cs="微软雅黑"/>
                <w:spacing w:val="5"/>
                <w:sz w:val="20"/>
                <w:szCs w:val="20"/>
              </w:rPr>
              <w:t>工程名称</w:t>
            </w:r>
          </w:p>
        </w:tc>
        <w:tc>
          <w:tcPr>
            <w:tcW w:w="7197" w:type="dxa"/>
            <w:gridSpan w:val="3"/>
            <w:tcBorders>
              <w:top w:val="single" w:color="000000" w:sz="6" w:space="0"/>
              <w:right w:val="single" w:color="000000" w:sz="6" w:space="0"/>
            </w:tcBorders>
            <w:vAlign w:val="top"/>
          </w:tcPr>
          <w:p>
            <w:pPr>
              <w:spacing w:before="105" w:line="177" w:lineRule="auto"/>
              <w:ind w:left="2765"/>
              <w:rPr>
                <w:rFonts w:ascii="微软雅黑" w:hAnsi="微软雅黑" w:eastAsia="微软雅黑" w:cs="微软雅黑"/>
                <w:sz w:val="20"/>
                <w:szCs w:val="20"/>
              </w:rPr>
            </w:pPr>
            <w:r>
              <w:rPr>
                <w:rFonts w:ascii="微软雅黑" w:hAnsi="微软雅黑" w:eastAsia="微软雅黑" w:cs="微软雅黑"/>
                <w:spacing w:val="7"/>
                <w:sz w:val="20"/>
                <w:szCs w:val="20"/>
              </w:rPr>
              <w:t>工程类别划分标准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55" w:type="dxa"/>
            <w:vMerge w:val="restart"/>
            <w:tcBorders>
              <w:left w:val="single" w:color="000000" w:sz="6" w:space="0"/>
              <w:bottom w:val="nil"/>
            </w:tcBorders>
            <w:vAlign w:val="top"/>
          </w:tcPr>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50" w:lineRule="auto"/>
            </w:pPr>
          </w:p>
          <w:p>
            <w:pPr>
              <w:pStyle w:val="6"/>
              <w:spacing w:line="250" w:lineRule="auto"/>
            </w:pPr>
          </w:p>
          <w:p>
            <w:pPr>
              <w:pStyle w:val="6"/>
              <w:spacing w:line="250" w:lineRule="auto"/>
            </w:pPr>
          </w:p>
          <w:p>
            <w:pPr>
              <w:spacing w:before="65" w:line="337" w:lineRule="auto"/>
              <w:ind w:left="312" w:right="319"/>
              <w:rPr>
                <w:rFonts w:ascii="宋体" w:hAnsi="宋体" w:eastAsia="宋体" w:cs="宋体"/>
                <w:sz w:val="20"/>
                <w:szCs w:val="20"/>
              </w:rPr>
            </w:pPr>
            <w:r>
              <w:rPr>
                <w:rFonts w:ascii="宋体" w:hAnsi="宋体" w:eastAsia="宋体" w:cs="宋体"/>
                <w:spacing w:val="6"/>
                <w:sz w:val="20"/>
                <w:szCs w:val="20"/>
              </w:rPr>
              <w:t>道路工程</w:t>
            </w:r>
          </w:p>
        </w:tc>
        <w:tc>
          <w:tcPr>
            <w:tcW w:w="1040" w:type="dxa"/>
            <w:vAlign w:val="top"/>
          </w:tcPr>
          <w:p>
            <w:pPr>
              <w:spacing w:before="269" w:line="278" w:lineRule="exact"/>
              <w:ind w:left="375"/>
              <w:rPr>
                <w:rFonts w:ascii="宋体" w:hAnsi="宋体" w:eastAsia="宋体" w:cs="宋体"/>
                <w:sz w:val="20"/>
                <w:szCs w:val="20"/>
              </w:rPr>
            </w:pPr>
            <w:r>
              <w:rPr>
                <w:rFonts w:ascii="宋体" w:hAnsi="宋体" w:eastAsia="宋体" w:cs="宋体"/>
                <w:spacing w:val="-27"/>
                <w:position w:val="1"/>
                <w:sz w:val="20"/>
                <w:szCs w:val="20"/>
              </w:rPr>
              <w:t>Ⅰ类</w:t>
            </w:r>
          </w:p>
        </w:tc>
        <w:tc>
          <w:tcPr>
            <w:tcW w:w="1226" w:type="dxa"/>
            <w:vAlign w:val="top"/>
          </w:tcPr>
          <w:p>
            <w:pPr>
              <w:spacing w:before="274" w:line="214" w:lineRule="auto"/>
              <w:ind w:left="303"/>
              <w:rPr>
                <w:rFonts w:ascii="宋体" w:hAnsi="宋体" w:eastAsia="宋体" w:cs="宋体"/>
                <w:sz w:val="20"/>
                <w:szCs w:val="20"/>
              </w:rPr>
            </w:pPr>
            <w:r>
              <w:rPr>
                <w:rFonts w:ascii="宋体" w:hAnsi="宋体" w:eastAsia="宋体" w:cs="宋体"/>
                <w:spacing w:val="5"/>
                <w:sz w:val="20"/>
                <w:szCs w:val="20"/>
              </w:rPr>
              <w:t>主干道</w:t>
            </w:r>
          </w:p>
        </w:tc>
        <w:tc>
          <w:tcPr>
            <w:tcW w:w="3129" w:type="dxa"/>
            <w:vAlign w:val="top"/>
          </w:tcPr>
          <w:p>
            <w:pPr>
              <w:spacing w:before="92" w:line="276" w:lineRule="exact"/>
              <w:ind w:left="125"/>
              <w:rPr>
                <w:rFonts w:ascii="宋体" w:hAnsi="宋体" w:eastAsia="宋体" w:cs="宋体"/>
                <w:sz w:val="20"/>
                <w:szCs w:val="20"/>
              </w:rPr>
            </w:pPr>
            <w:r>
              <w:rPr>
                <w:rFonts w:ascii="宋体" w:hAnsi="宋体" w:eastAsia="宋体" w:cs="宋体"/>
                <w:position w:val="1"/>
                <w:sz w:val="20"/>
                <w:szCs w:val="20"/>
              </w:rPr>
              <w:t>1.沥青混凝土路面</w:t>
            </w:r>
          </w:p>
          <w:p>
            <w:pPr>
              <w:spacing w:before="63" w:line="223" w:lineRule="auto"/>
              <w:ind w:left="108"/>
              <w:rPr>
                <w:rFonts w:ascii="宋体" w:hAnsi="宋体" w:eastAsia="宋体" w:cs="宋体"/>
                <w:sz w:val="20"/>
                <w:szCs w:val="20"/>
              </w:rPr>
            </w:pPr>
            <w:r>
              <w:rPr>
                <w:rFonts w:ascii="宋体" w:hAnsi="宋体" w:eastAsia="宋体" w:cs="宋体"/>
                <w:spacing w:val="2"/>
                <w:sz w:val="20"/>
                <w:szCs w:val="20"/>
              </w:rPr>
              <w:t>2.水泥混凝土路面</w:t>
            </w:r>
          </w:p>
        </w:tc>
        <w:tc>
          <w:tcPr>
            <w:tcW w:w="2842" w:type="dxa"/>
            <w:tcBorders>
              <w:right w:val="single" w:color="000000" w:sz="6" w:space="0"/>
            </w:tcBorders>
            <w:vAlign w:val="top"/>
          </w:tcPr>
          <w:p>
            <w:pPr>
              <w:spacing w:before="92" w:line="277" w:lineRule="exact"/>
              <w:ind w:left="119"/>
              <w:rPr>
                <w:rFonts w:ascii="宋体" w:hAnsi="宋体" w:eastAsia="宋体" w:cs="宋体"/>
                <w:sz w:val="20"/>
                <w:szCs w:val="20"/>
              </w:rPr>
            </w:pPr>
            <w:r>
              <w:rPr>
                <w:rFonts w:ascii="宋体" w:hAnsi="宋体" w:eastAsia="宋体" w:cs="宋体"/>
                <w:spacing w:val="13"/>
                <w:position w:val="1"/>
                <w:sz w:val="20"/>
                <w:szCs w:val="20"/>
              </w:rPr>
              <w:t>面层厚≥12</w:t>
            </w:r>
            <w:r>
              <w:rPr>
                <w:rFonts w:ascii="宋体" w:hAnsi="宋体" w:eastAsia="宋体" w:cs="宋体"/>
                <w:position w:val="1"/>
                <w:sz w:val="20"/>
                <w:szCs w:val="20"/>
              </w:rPr>
              <w:t>cm</w:t>
            </w:r>
          </w:p>
          <w:p>
            <w:pPr>
              <w:spacing w:before="62" w:line="223" w:lineRule="auto"/>
              <w:ind w:left="119"/>
              <w:rPr>
                <w:rFonts w:ascii="宋体" w:hAnsi="宋体" w:eastAsia="宋体" w:cs="宋体"/>
                <w:sz w:val="20"/>
                <w:szCs w:val="20"/>
              </w:rPr>
            </w:pPr>
            <w:r>
              <w:rPr>
                <w:rFonts w:ascii="宋体" w:hAnsi="宋体" w:eastAsia="宋体" w:cs="宋体"/>
                <w:spacing w:val="13"/>
                <w:sz w:val="20"/>
                <w:szCs w:val="20"/>
              </w:rPr>
              <w:t>面层厚≥24</w:t>
            </w:r>
            <w:r>
              <w:rPr>
                <w:rFonts w:ascii="宋体" w:hAnsi="宋体" w:eastAsia="宋体" w:cs="宋体"/>
                <w:sz w:val="20"/>
                <w:szCs w:val="20"/>
              </w:rPr>
              <w:t>cm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55" w:type="dxa"/>
            <w:vMerge w:val="continue"/>
            <w:tcBorders>
              <w:top w:val="nil"/>
              <w:left w:val="single" w:color="000000" w:sz="6" w:space="0"/>
              <w:bottom w:val="nil"/>
            </w:tcBorders>
            <w:vAlign w:val="top"/>
          </w:tcPr>
          <w:p>
            <w:pPr>
              <w:pStyle w:val="6"/>
            </w:pPr>
          </w:p>
        </w:tc>
        <w:tc>
          <w:tcPr>
            <w:tcW w:w="1040" w:type="dxa"/>
            <w:vMerge w:val="restart"/>
            <w:tcBorders>
              <w:bottom w:val="nil"/>
            </w:tcBorders>
            <w:vAlign w:val="top"/>
          </w:tcPr>
          <w:p>
            <w:pPr>
              <w:pStyle w:val="6"/>
              <w:spacing w:line="392" w:lineRule="auto"/>
            </w:pPr>
          </w:p>
          <w:p>
            <w:pPr>
              <w:spacing w:before="65" w:line="218" w:lineRule="auto"/>
              <w:ind w:left="351"/>
              <w:rPr>
                <w:rFonts w:ascii="宋体" w:hAnsi="宋体" w:eastAsia="宋体" w:cs="宋体"/>
                <w:sz w:val="20"/>
                <w:szCs w:val="20"/>
              </w:rPr>
            </w:pPr>
            <w:r>
              <w:rPr>
                <w:rFonts w:ascii="宋体" w:hAnsi="宋体" w:eastAsia="宋体" w:cs="宋体"/>
                <w:spacing w:val="-15"/>
                <w:sz w:val="20"/>
                <w:szCs w:val="20"/>
              </w:rPr>
              <w:t>Ⅱ类</w:t>
            </w:r>
          </w:p>
        </w:tc>
        <w:tc>
          <w:tcPr>
            <w:tcW w:w="1226" w:type="dxa"/>
            <w:vAlign w:val="top"/>
          </w:tcPr>
          <w:p>
            <w:pPr>
              <w:spacing w:before="274" w:line="218" w:lineRule="auto"/>
              <w:ind w:left="298"/>
              <w:rPr>
                <w:rFonts w:ascii="宋体" w:hAnsi="宋体" w:eastAsia="宋体" w:cs="宋体"/>
                <w:sz w:val="20"/>
                <w:szCs w:val="20"/>
              </w:rPr>
            </w:pPr>
            <w:r>
              <w:rPr>
                <w:rFonts w:ascii="宋体" w:hAnsi="宋体" w:eastAsia="宋体" w:cs="宋体"/>
                <w:spacing w:val="7"/>
                <w:sz w:val="20"/>
                <w:szCs w:val="20"/>
              </w:rPr>
              <w:t>次干道</w:t>
            </w:r>
          </w:p>
        </w:tc>
        <w:tc>
          <w:tcPr>
            <w:tcW w:w="3129" w:type="dxa"/>
            <w:vAlign w:val="top"/>
          </w:tcPr>
          <w:p>
            <w:pPr>
              <w:spacing w:before="94" w:line="277" w:lineRule="exact"/>
              <w:ind w:left="125"/>
              <w:rPr>
                <w:rFonts w:ascii="宋体" w:hAnsi="宋体" w:eastAsia="宋体" w:cs="宋体"/>
                <w:sz w:val="20"/>
                <w:szCs w:val="20"/>
              </w:rPr>
            </w:pPr>
            <w:r>
              <w:rPr>
                <w:rFonts w:ascii="宋体" w:hAnsi="宋体" w:eastAsia="宋体" w:cs="宋体"/>
                <w:position w:val="1"/>
                <w:sz w:val="20"/>
                <w:szCs w:val="20"/>
              </w:rPr>
              <w:t>1.沥青混凝土路面</w:t>
            </w:r>
          </w:p>
          <w:p>
            <w:pPr>
              <w:spacing w:before="61" w:line="223" w:lineRule="auto"/>
              <w:ind w:left="108"/>
              <w:rPr>
                <w:rFonts w:ascii="宋体" w:hAnsi="宋体" w:eastAsia="宋体" w:cs="宋体"/>
                <w:sz w:val="20"/>
                <w:szCs w:val="20"/>
              </w:rPr>
            </w:pPr>
            <w:r>
              <w:rPr>
                <w:rFonts w:ascii="宋体" w:hAnsi="宋体" w:eastAsia="宋体" w:cs="宋体"/>
                <w:spacing w:val="2"/>
                <w:sz w:val="20"/>
                <w:szCs w:val="20"/>
              </w:rPr>
              <w:t>2.水泥混凝土路面</w:t>
            </w:r>
          </w:p>
        </w:tc>
        <w:tc>
          <w:tcPr>
            <w:tcW w:w="2842" w:type="dxa"/>
            <w:tcBorders>
              <w:right w:val="single" w:color="000000" w:sz="6" w:space="0"/>
            </w:tcBorders>
            <w:vAlign w:val="top"/>
          </w:tcPr>
          <w:p>
            <w:pPr>
              <w:spacing w:before="93" w:line="268" w:lineRule="auto"/>
              <w:ind w:left="113" w:right="771" w:firstLine="2"/>
              <w:rPr>
                <w:rFonts w:ascii="宋体" w:hAnsi="宋体" w:eastAsia="宋体" w:cs="宋体"/>
                <w:sz w:val="20"/>
                <w:szCs w:val="20"/>
              </w:rPr>
            </w:pPr>
            <w:r>
              <w:rPr>
                <w:rFonts w:ascii="宋体" w:hAnsi="宋体" w:eastAsia="宋体" w:cs="宋体"/>
                <w:spacing w:val="10"/>
                <w:sz w:val="20"/>
                <w:szCs w:val="20"/>
              </w:rPr>
              <w:t>8</w:t>
            </w:r>
            <w:r>
              <w:rPr>
                <w:rFonts w:ascii="宋体" w:hAnsi="宋体" w:eastAsia="宋体" w:cs="宋体"/>
                <w:sz w:val="20"/>
                <w:szCs w:val="20"/>
              </w:rPr>
              <w:t>cm</w:t>
            </w:r>
            <w:r>
              <w:rPr>
                <w:rFonts w:ascii="宋体" w:hAnsi="宋体" w:eastAsia="宋体" w:cs="宋体"/>
                <w:spacing w:val="10"/>
                <w:sz w:val="20"/>
                <w:szCs w:val="20"/>
              </w:rPr>
              <w:t>≤面层厚＜</w:t>
            </w:r>
            <w:r>
              <w:rPr>
                <w:rFonts w:ascii="宋体" w:hAnsi="宋体" w:eastAsia="宋体" w:cs="宋体"/>
                <w:spacing w:val="-43"/>
                <w:sz w:val="20"/>
                <w:szCs w:val="20"/>
              </w:rPr>
              <w:t xml:space="preserve"> </w:t>
            </w:r>
            <w:r>
              <w:rPr>
                <w:rFonts w:ascii="宋体" w:hAnsi="宋体" w:eastAsia="宋体" w:cs="宋体"/>
                <w:spacing w:val="10"/>
                <w:sz w:val="20"/>
                <w:szCs w:val="20"/>
              </w:rPr>
              <w:t>12</w:t>
            </w:r>
            <w:r>
              <w:rPr>
                <w:rFonts w:ascii="宋体" w:hAnsi="宋体" w:eastAsia="宋体" w:cs="宋体"/>
                <w:sz w:val="20"/>
                <w:szCs w:val="20"/>
              </w:rPr>
              <w:t xml:space="preserve">cm </w:t>
            </w:r>
            <w:r>
              <w:rPr>
                <w:rFonts w:ascii="宋体" w:hAnsi="宋体" w:eastAsia="宋体" w:cs="宋体"/>
                <w:spacing w:val="11"/>
                <w:sz w:val="20"/>
                <w:szCs w:val="20"/>
              </w:rPr>
              <w:t>20</w:t>
            </w:r>
            <w:r>
              <w:rPr>
                <w:rFonts w:ascii="宋体" w:hAnsi="宋体" w:eastAsia="宋体" w:cs="宋体"/>
                <w:sz w:val="20"/>
                <w:szCs w:val="20"/>
              </w:rPr>
              <w:t>cm</w:t>
            </w:r>
            <w:r>
              <w:rPr>
                <w:rFonts w:ascii="宋体" w:hAnsi="宋体" w:eastAsia="宋体" w:cs="宋体"/>
                <w:spacing w:val="11"/>
                <w:sz w:val="20"/>
                <w:szCs w:val="20"/>
              </w:rPr>
              <w:t>≤面层厚＜</w:t>
            </w:r>
            <w:r>
              <w:rPr>
                <w:rFonts w:ascii="宋体" w:hAnsi="宋体" w:eastAsia="宋体" w:cs="宋体"/>
                <w:spacing w:val="-54"/>
                <w:sz w:val="20"/>
                <w:szCs w:val="20"/>
              </w:rPr>
              <w:t xml:space="preserve"> </w:t>
            </w:r>
            <w:r>
              <w:rPr>
                <w:rFonts w:ascii="宋体" w:hAnsi="宋体" w:eastAsia="宋体" w:cs="宋体"/>
                <w:spacing w:val="11"/>
                <w:sz w:val="20"/>
                <w:szCs w:val="20"/>
              </w:rPr>
              <w:t>24</w:t>
            </w:r>
            <w:r>
              <w:rPr>
                <w:rFonts w:ascii="宋体" w:hAnsi="宋体" w:eastAsia="宋体" w:cs="宋体"/>
                <w:sz w:val="20"/>
                <w:szCs w:val="20"/>
              </w:rPr>
              <w:t>cm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055" w:type="dxa"/>
            <w:vMerge w:val="continue"/>
            <w:tcBorders>
              <w:top w:val="nil"/>
              <w:left w:val="single" w:color="000000" w:sz="6" w:space="0"/>
              <w:bottom w:val="nil"/>
            </w:tcBorders>
            <w:vAlign w:val="top"/>
          </w:tcPr>
          <w:p>
            <w:pPr>
              <w:pStyle w:val="6"/>
            </w:pPr>
          </w:p>
        </w:tc>
        <w:tc>
          <w:tcPr>
            <w:tcW w:w="1040" w:type="dxa"/>
            <w:vMerge w:val="continue"/>
            <w:tcBorders>
              <w:top w:val="nil"/>
            </w:tcBorders>
            <w:vAlign w:val="top"/>
          </w:tcPr>
          <w:p>
            <w:pPr>
              <w:pStyle w:val="6"/>
            </w:pPr>
          </w:p>
        </w:tc>
        <w:tc>
          <w:tcPr>
            <w:tcW w:w="4355" w:type="dxa"/>
            <w:gridSpan w:val="2"/>
            <w:vAlign w:val="top"/>
          </w:tcPr>
          <w:p>
            <w:pPr>
              <w:spacing w:before="111" w:line="224" w:lineRule="auto"/>
              <w:ind w:left="110"/>
              <w:rPr>
                <w:rFonts w:ascii="宋体" w:hAnsi="宋体" w:eastAsia="宋体" w:cs="宋体"/>
                <w:sz w:val="20"/>
                <w:szCs w:val="20"/>
              </w:rPr>
            </w:pPr>
            <w:r>
              <w:rPr>
                <w:rFonts w:ascii="宋体" w:hAnsi="宋体" w:eastAsia="宋体" w:cs="宋体"/>
                <w:sz w:val="20"/>
                <w:szCs w:val="20"/>
              </w:rPr>
              <w:t>3.广场、停车场</w:t>
            </w:r>
          </w:p>
        </w:tc>
        <w:tc>
          <w:tcPr>
            <w:tcW w:w="2842" w:type="dxa"/>
            <w:tcBorders>
              <w:right w:val="single" w:color="000000" w:sz="6" w:space="0"/>
            </w:tcBorders>
            <w:vAlign w:val="top"/>
          </w:tcPr>
          <w:p>
            <w:pPr>
              <w:spacing w:before="91" w:line="242" w:lineRule="auto"/>
              <w:ind w:left="109"/>
              <w:rPr>
                <w:rFonts w:ascii="宋体" w:hAnsi="宋体" w:eastAsia="宋体" w:cs="宋体"/>
                <w:sz w:val="10"/>
                <w:szCs w:val="10"/>
              </w:rPr>
            </w:pPr>
            <w:r>
              <w:rPr>
                <w:rFonts w:ascii="宋体" w:hAnsi="宋体" w:eastAsia="宋体" w:cs="宋体"/>
                <w:spacing w:val="10"/>
                <w:sz w:val="20"/>
                <w:szCs w:val="20"/>
              </w:rPr>
              <w:t>铺装面积≥10000m</w:t>
            </w:r>
            <w:r>
              <w:rPr>
                <w:rFonts w:ascii="宋体" w:hAnsi="宋体" w:eastAsia="宋体" w:cs="宋体"/>
                <w:spacing w:val="10"/>
                <w:position w:val="10"/>
                <w:sz w:val="10"/>
                <w:szCs w:val="10"/>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55" w:type="dxa"/>
            <w:vMerge w:val="continue"/>
            <w:tcBorders>
              <w:top w:val="nil"/>
              <w:left w:val="single" w:color="000000" w:sz="6" w:space="0"/>
              <w:bottom w:val="nil"/>
            </w:tcBorders>
            <w:vAlign w:val="top"/>
          </w:tcPr>
          <w:p>
            <w:pPr>
              <w:pStyle w:val="6"/>
            </w:pPr>
          </w:p>
        </w:tc>
        <w:tc>
          <w:tcPr>
            <w:tcW w:w="1040" w:type="dxa"/>
            <w:vMerge w:val="restart"/>
            <w:tcBorders>
              <w:bottom w:val="nil"/>
            </w:tcBorders>
            <w:vAlign w:val="top"/>
          </w:tcPr>
          <w:p>
            <w:pPr>
              <w:pStyle w:val="6"/>
              <w:spacing w:line="265" w:lineRule="auto"/>
            </w:pPr>
          </w:p>
          <w:p>
            <w:pPr>
              <w:pStyle w:val="6"/>
              <w:spacing w:line="265" w:lineRule="auto"/>
            </w:pPr>
          </w:p>
          <w:p>
            <w:pPr>
              <w:pStyle w:val="6"/>
              <w:spacing w:line="265" w:lineRule="auto"/>
            </w:pPr>
          </w:p>
          <w:p>
            <w:pPr>
              <w:pStyle w:val="6"/>
              <w:spacing w:line="265" w:lineRule="auto"/>
            </w:pPr>
          </w:p>
          <w:p>
            <w:pPr>
              <w:spacing w:before="65" w:line="218" w:lineRule="auto"/>
              <w:ind w:left="334"/>
              <w:rPr>
                <w:rFonts w:ascii="宋体" w:hAnsi="宋体" w:eastAsia="宋体" w:cs="宋体"/>
                <w:sz w:val="20"/>
                <w:szCs w:val="20"/>
              </w:rPr>
            </w:pPr>
            <w:r>
              <w:rPr>
                <w:rFonts w:ascii="宋体" w:hAnsi="宋体" w:eastAsia="宋体" w:cs="宋体"/>
                <w:spacing w:val="-7"/>
                <w:sz w:val="20"/>
                <w:szCs w:val="20"/>
              </w:rPr>
              <w:t>Ⅲ类</w:t>
            </w:r>
          </w:p>
        </w:tc>
        <w:tc>
          <w:tcPr>
            <w:tcW w:w="1226" w:type="dxa"/>
            <w:vAlign w:val="top"/>
          </w:tcPr>
          <w:p>
            <w:pPr>
              <w:spacing w:before="278" w:line="219" w:lineRule="auto"/>
              <w:ind w:left="402"/>
              <w:rPr>
                <w:rFonts w:ascii="宋体" w:hAnsi="宋体" w:eastAsia="宋体" w:cs="宋体"/>
                <w:sz w:val="20"/>
                <w:szCs w:val="20"/>
              </w:rPr>
            </w:pPr>
            <w:r>
              <w:rPr>
                <w:rFonts w:ascii="宋体" w:hAnsi="宋体" w:eastAsia="宋体" w:cs="宋体"/>
                <w:spacing w:val="6"/>
                <w:sz w:val="20"/>
                <w:szCs w:val="20"/>
              </w:rPr>
              <w:t>支路</w:t>
            </w:r>
          </w:p>
        </w:tc>
        <w:tc>
          <w:tcPr>
            <w:tcW w:w="3129" w:type="dxa"/>
            <w:vAlign w:val="top"/>
          </w:tcPr>
          <w:p>
            <w:pPr>
              <w:spacing w:before="94" w:line="277" w:lineRule="exact"/>
              <w:ind w:left="125"/>
              <w:rPr>
                <w:rFonts w:ascii="宋体" w:hAnsi="宋体" w:eastAsia="宋体" w:cs="宋体"/>
                <w:sz w:val="20"/>
                <w:szCs w:val="20"/>
              </w:rPr>
            </w:pPr>
            <w:r>
              <w:rPr>
                <w:rFonts w:ascii="宋体" w:hAnsi="宋体" w:eastAsia="宋体" w:cs="宋体"/>
                <w:position w:val="1"/>
                <w:sz w:val="20"/>
                <w:szCs w:val="20"/>
              </w:rPr>
              <w:t>1.沥青混凝土路面</w:t>
            </w:r>
          </w:p>
          <w:p>
            <w:pPr>
              <w:spacing w:before="64" w:line="220" w:lineRule="auto"/>
              <w:ind w:left="108"/>
              <w:rPr>
                <w:rFonts w:ascii="宋体" w:hAnsi="宋体" w:eastAsia="宋体" w:cs="宋体"/>
                <w:sz w:val="20"/>
                <w:szCs w:val="20"/>
              </w:rPr>
            </w:pPr>
            <w:r>
              <w:rPr>
                <w:rFonts w:ascii="宋体" w:hAnsi="宋体" w:eastAsia="宋体" w:cs="宋体"/>
                <w:spacing w:val="2"/>
                <w:sz w:val="20"/>
                <w:szCs w:val="20"/>
              </w:rPr>
              <w:t>2.水泥混凝土路面</w:t>
            </w:r>
          </w:p>
        </w:tc>
        <w:tc>
          <w:tcPr>
            <w:tcW w:w="2842" w:type="dxa"/>
            <w:tcBorders>
              <w:right w:val="single" w:color="000000" w:sz="6" w:space="0"/>
            </w:tcBorders>
            <w:vAlign w:val="top"/>
          </w:tcPr>
          <w:p>
            <w:pPr>
              <w:spacing w:before="94" w:line="278" w:lineRule="exact"/>
              <w:ind w:left="119"/>
              <w:rPr>
                <w:rFonts w:ascii="宋体" w:hAnsi="宋体" w:eastAsia="宋体" w:cs="宋体"/>
                <w:sz w:val="20"/>
                <w:szCs w:val="20"/>
              </w:rPr>
            </w:pPr>
            <w:r>
              <w:rPr>
                <w:rFonts w:ascii="宋体" w:hAnsi="宋体" w:eastAsia="宋体" w:cs="宋体"/>
                <w:spacing w:val="6"/>
                <w:position w:val="1"/>
                <w:sz w:val="20"/>
                <w:szCs w:val="20"/>
              </w:rPr>
              <w:t>面层厚＜</w:t>
            </w:r>
            <w:r>
              <w:rPr>
                <w:rFonts w:ascii="宋体" w:hAnsi="宋体" w:eastAsia="宋体" w:cs="宋体"/>
                <w:spacing w:val="-56"/>
                <w:position w:val="1"/>
                <w:sz w:val="20"/>
                <w:szCs w:val="20"/>
              </w:rPr>
              <w:t xml:space="preserve"> </w:t>
            </w:r>
            <w:r>
              <w:rPr>
                <w:rFonts w:ascii="宋体" w:hAnsi="宋体" w:eastAsia="宋体" w:cs="宋体"/>
                <w:spacing w:val="6"/>
                <w:position w:val="1"/>
                <w:sz w:val="20"/>
                <w:szCs w:val="20"/>
              </w:rPr>
              <w:t>8</w:t>
            </w:r>
            <w:r>
              <w:rPr>
                <w:rFonts w:ascii="宋体" w:hAnsi="宋体" w:eastAsia="宋体" w:cs="宋体"/>
                <w:position w:val="1"/>
                <w:sz w:val="20"/>
                <w:szCs w:val="20"/>
              </w:rPr>
              <w:t>cm</w:t>
            </w:r>
          </w:p>
          <w:p>
            <w:pPr>
              <w:spacing w:before="63" w:line="220" w:lineRule="auto"/>
              <w:ind w:left="119"/>
              <w:rPr>
                <w:rFonts w:ascii="宋体" w:hAnsi="宋体" w:eastAsia="宋体" w:cs="宋体"/>
                <w:sz w:val="20"/>
                <w:szCs w:val="20"/>
              </w:rPr>
            </w:pPr>
            <w:r>
              <w:rPr>
                <w:rFonts w:ascii="宋体" w:hAnsi="宋体" w:eastAsia="宋体" w:cs="宋体"/>
                <w:spacing w:val="6"/>
                <w:sz w:val="20"/>
                <w:szCs w:val="20"/>
              </w:rPr>
              <w:t>面层厚＜</w:t>
            </w:r>
            <w:r>
              <w:rPr>
                <w:rFonts w:ascii="宋体" w:hAnsi="宋体" w:eastAsia="宋体" w:cs="宋体"/>
                <w:spacing w:val="-59"/>
                <w:sz w:val="20"/>
                <w:szCs w:val="20"/>
              </w:rPr>
              <w:t xml:space="preserve"> </w:t>
            </w:r>
            <w:r>
              <w:rPr>
                <w:rFonts w:ascii="宋体" w:hAnsi="宋体" w:eastAsia="宋体" w:cs="宋体"/>
                <w:spacing w:val="6"/>
                <w:sz w:val="20"/>
                <w:szCs w:val="20"/>
              </w:rPr>
              <w:t>20</w:t>
            </w:r>
            <w:r>
              <w:rPr>
                <w:rFonts w:ascii="宋体" w:hAnsi="宋体" w:eastAsia="宋体" w:cs="宋体"/>
                <w:sz w:val="20"/>
                <w:szCs w:val="20"/>
              </w:rPr>
              <w:t>cm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02" w:hRule="atLeast"/>
        </w:trPr>
        <w:tc>
          <w:tcPr>
            <w:tcW w:w="1055" w:type="dxa"/>
            <w:vMerge w:val="continue"/>
            <w:tcBorders>
              <w:top w:val="nil"/>
              <w:left w:val="single" w:color="000000" w:sz="6" w:space="0"/>
            </w:tcBorders>
            <w:vAlign w:val="top"/>
          </w:tcPr>
          <w:p>
            <w:pPr>
              <w:pStyle w:val="6"/>
            </w:pPr>
          </w:p>
        </w:tc>
        <w:tc>
          <w:tcPr>
            <w:tcW w:w="1040" w:type="dxa"/>
            <w:vMerge w:val="continue"/>
            <w:tcBorders>
              <w:top w:val="nil"/>
            </w:tcBorders>
            <w:vAlign w:val="top"/>
          </w:tcPr>
          <w:p>
            <w:pPr>
              <w:pStyle w:val="6"/>
            </w:pPr>
          </w:p>
        </w:tc>
        <w:tc>
          <w:tcPr>
            <w:tcW w:w="1226" w:type="dxa"/>
            <w:vAlign w:val="top"/>
          </w:tcPr>
          <w:p>
            <w:pPr>
              <w:pStyle w:val="6"/>
              <w:spacing w:line="358" w:lineRule="auto"/>
            </w:pPr>
          </w:p>
          <w:p>
            <w:pPr>
              <w:pStyle w:val="6"/>
              <w:spacing w:line="359" w:lineRule="auto"/>
            </w:pPr>
          </w:p>
          <w:p>
            <w:pPr>
              <w:spacing w:before="65" w:line="222" w:lineRule="auto"/>
              <w:ind w:left="400"/>
              <w:rPr>
                <w:rFonts w:ascii="宋体" w:hAnsi="宋体" w:eastAsia="宋体" w:cs="宋体"/>
                <w:sz w:val="20"/>
                <w:szCs w:val="20"/>
              </w:rPr>
            </w:pPr>
            <w:r>
              <w:rPr>
                <w:rFonts w:ascii="宋体" w:hAnsi="宋体" w:eastAsia="宋体" w:cs="宋体"/>
                <w:spacing w:val="7"/>
                <w:sz w:val="20"/>
                <w:szCs w:val="20"/>
              </w:rPr>
              <w:t>其他</w:t>
            </w:r>
          </w:p>
        </w:tc>
        <w:tc>
          <w:tcPr>
            <w:tcW w:w="3129" w:type="dxa"/>
            <w:vAlign w:val="top"/>
          </w:tcPr>
          <w:p>
            <w:pPr>
              <w:spacing w:before="96" w:line="278" w:lineRule="exact"/>
              <w:ind w:left="111"/>
              <w:rPr>
                <w:rFonts w:ascii="宋体" w:hAnsi="宋体" w:eastAsia="宋体" w:cs="宋体"/>
                <w:sz w:val="20"/>
                <w:szCs w:val="20"/>
              </w:rPr>
            </w:pPr>
            <w:r>
              <w:rPr>
                <w:rFonts w:ascii="宋体" w:hAnsi="宋体" w:eastAsia="宋体" w:cs="宋体"/>
                <w:position w:val="1"/>
                <w:sz w:val="20"/>
                <w:szCs w:val="20"/>
              </w:rPr>
              <w:t>3.广场、停车场</w:t>
            </w:r>
          </w:p>
          <w:p>
            <w:pPr>
              <w:spacing w:before="63" w:line="277" w:lineRule="exact"/>
              <w:ind w:left="104"/>
              <w:rPr>
                <w:rFonts w:ascii="宋体" w:hAnsi="宋体" w:eastAsia="宋体" w:cs="宋体"/>
                <w:sz w:val="20"/>
                <w:szCs w:val="20"/>
              </w:rPr>
            </w:pPr>
            <w:r>
              <w:rPr>
                <w:rFonts w:ascii="宋体" w:hAnsi="宋体" w:eastAsia="宋体" w:cs="宋体"/>
                <w:spacing w:val="-5"/>
                <w:position w:val="1"/>
                <w:sz w:val="20"/>
                <w:szCs w:val="20"/>
              </w:rPr>
              <w:t>4.</w:t>
            </w:r>
            <w:r>
              <w:rPr>
                <w:rFonts w:ascii="宋体" w:hAnsi="宋体" w:eastAsia="宋体" w:cs="宋体"/>
                <w:spacing w:val="-50"/>
                <w:position w:val="1"/>
                <w:sz w:val="20"/>
                <w:szCs w:val="20"/>
              </w:rPr>
              <w:t xml:space="preserve"> </w:t>
            </w:r>
            <w:r>
              <w:rPr>
                <w:rFonts w:ascii="宋体" w:hAnsi="宋体" w:eastAsia="宋体" w:cs="宋体"/>
                <w:spacing w:val="-5"/>
                <w:position w:val="1"/>
                <w:sz w:val="20"/>
                <w:szCs w:val="20"/>
              </w:rPr>
              <w:t>自行车专用道</w:t>
            </w:r>
          </w:p>
          <w:p>
            <w:pPr>
              <w:spacing w:before="60" w:line="279" w:lineRule="exact"/>
              <w:ind w:left="108"/>
              <w:rPr>
                <w:rFonts w:ascii="宋体" w:hAnsi="宋体" w:eastAsia="宋体" w:cs="宋体"/>
                <w:sz w:val="20"/>
                <w:szCs w:val="20"/>
              </w:rPr>
            </w:pPr>
            <w:r>
              <w:rPr>
                <w:rFonts w:ascii="宋体" w:hAnsi="宋体" w:eastAsia="宋体" w:cs="宋体"/>
                <w:spacing w:val="2"/>
                <w:position w:val="1"/>
                <w:sz w:val="20"/>
                <w:szCs w:val="20"/>
              </w:rPr>
              <w:t>5.单独施工的人行道</w:t>
            </w:r>
          </w:p>
          <w:p>
            <w:pPr>
              <w:spacing w:before="62" w:line="278" w:lineRule="exact"/>
              <w:ind w:left="108"/>
              <w:rPr>
                <w:rFonts w:ascii="宋体" w:hAnsi="宋体" w:eastAsia="宋体" w:cs="宋体"/>
                <w:sz w:val="20"/>
                <w:szCs w:val="20"/>
              </w:rPr>
            </w:pPr>
            <w:r>
              <w:rPr>
                <w:rFonts w:ascii="宋体" w:hAnsi="宋体" w:eastAsia="宋体" w:cs="宋体"/>
                <w:spacing w:val="-1"/>
                <w:position w:val="1"/>
                <w:sz w:val="20"/>
                <w:szCs w:val="20"/>
              </w:rPr>
              <w:t>6.运动类场地</w:t>
            </w:r>
          </w:p>
          <w:p>
            <w:pPr>
              <w:spacing w:before="63" w:line="216" w:lineRule="auto"/>
              <w:ind w:left="106"/>
              <w:rPr>
                <w:rFonts w:ascii="宋体" w:hAnsi="宋体" w:eastAsia="宋体" w:cs="宋体"/>
                <w:sz w:val="20"/>
                <w:szCs w:val="20"/>
              </w:rPr>
            </w:pPr>
            <w:r>
              <w:rPr>
                <w:rFonts w:ascii="宋体" w:hAnsi="宋体" w:eastAsia="宋体" w:cs="宋体"/>
                <w:spacing w:val="4"/>
                <w:sz w:val="20"/>
                <w:szCs w:val="20"/>
              </w:rPr>
              <w:t>7.单独施工的交通设施工程</w:t>
            </w:r>
          </w:p>
        </w:tc>
        <w:tc>
          <w:tcPr>
            <w:tcW w:w="2842" w:type="dxa"/>
            <w:tcBorders>
              <w:right w:val="single" w:color="000000" w:sz="6" w:space="0"/>
            </w:tcBorders>
            <w:vAlign w:val="top"/>
          </w:tcPr>
          <w:p>
            <w:pPr>
              <w:spacing w:before="94" w:line="298" w:lineRule="exact"/>
              <w:ind w:left="119"/>
              <w:rPr>
                <w:rFonts w:ascii="宋体" w:hAnsi="宋体" w:eastAsia="宋体" w:cs="宋体"/>
                <w:sz w:val="10"/>
                <w:szCs w:val="10"/>
              </w:rPr>
            </w:pPr>
            <w:r>
              <w:rPr>
                <w:rFonts w:ascii="宋体" w:hAnsi="宋体" w:eastAsia="宋体" w:cs="宋体"/>
                <w:spacing w:val="3"/>
                <w:position w:val="1"/>
                <w:sz w:val="20"/>
                <w:szCs w:val="20"/>
              </w:rPr>
              <w:t>面积＜</w:t>
            </w:r>
            <w:r>
              <w:rPr>
                <w:rFonts w:ascii="宋体" w:hAnsi="宋体" w:eastAsia="宋体" w:cs="宋体"/>
                <w:spacing w:val="-40"/>
                <w:position w:val="1"/>
                <w:sz w:val="20"/>
                <w:szCs w:val="20"/>
              </w:rPr>
              <w:t xml:space="preserve"> </w:t>
            </w:r>
            <w:r>
              <w:rPr>
                <w:rFonts w:ascii="宋体" w:hAnsi="宋体" w:eastAsia="宋体" w:cs="宋体"/>
                <w:spacing w:val="3"/>
                <w:position w:val="1"/>
                <w:sz w:val="20"/>
                <w:szCs w:val="20"/>
              </w:rPr>
              <w:t>10000m</w:t>
            </w:r>
            <w:r>
              <w:rPr>
                <w:rFonts w:ascii="宋体" w:hAnsi="宋体" w:eastAsia="宋体" w:cs="宋体"/>
                <w:spacing w:val="3"/>
                <w:position w:val="11"/>
                <w:sz w:val="10"/>
                <w:szCs w:val="10"/>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3" w:hRule="atLeast"/>
        </w:trPr>
        <w:tc>
          <w:tcPr>
            <w:tcW w:w="1055" w:type="dxa"/>
            <w:vMerge w:val="restart"/>
            <w:tcBorders>
              <w:left w:val="single" w:color="000000" w:sz="6" w:space="0"/>
              <w:bottom w:val="nil"/>
            </w:tcBorders>
            <w:vAlign w:val="top"/>
          </w:tcPr>
          <w:p>
            <w:pPr>
              <w:pStyle w:val="6"/>
              <w:spacing w:line="263" w:lineRule="auto"/>
            </w:pPr>
          </w:p>
          <w:p>
            <w:pPr>
              <w:pStyle w:val="6"/>
              <w:spacing w:line="263" w:lineRule="auto"/>
            </w:pPr>
          </w:p>
          <w:p>
            <w:pPr>
              <w:pStyle w:val="6"/>
              <w:spacing w:line="264" w:lineRule="auto"/>
            </w:pPr>
          </w:p>
          <w:p>
            <w:pPr>
              <w:pStyle w:val="6"/>
              <w:spacing w:line="264" w:lineRule="auto"/>
            </w:pPr>
          </w:p>
          <w:p>
            <w:pPr>
              <w:pStyle w:val="6"/>
              <w:spacing w:line="264" w:lineRule="auto"/>
            </w:pPr>
          </w:p>
          <w:p>
            <w:pPr>
              <w:spacing w:before="66" w:line="338" w:lineRule="auto"/>
              <w:ind w:left="312" w:right="319"/>
              <w:rPr>
                <w:rFonts w:ascii="宋体" w:hAnsi="宋体" w:eastAsia="宋体" w:cs="宋体"/>
                <w:sz w:val="20"/>
                <w:szCs w:val="20"/>
              </w:rPr>
            </w:pPr>
            <w:r>
              <w:rPr>
                <w:rFonts w:ascii="宋体" w:hAnsi="宋体" w:eastAsia="宋体" w:cs="宋体"/>
                <w:spacing w:val="6"/>
                <w:sz w:val="20"/>
                <w:szCs w:val="20"/>
              </w:rPr>
              <w:t>桥涵工程</w:t>
            </w:r>
          </w:p>
        </w:tc>
        <w:tc>
          <w:tcPr>
            <w:tcW w:w="1040" w:type="dxa"/>
            <w:vAlign w:val="top"/>
          </w:tcPr>
          <w:p>
            <w:pPr>
              <w:pStyle w:val="6"/>
              <w:spacing w:line="407" w:lineRule="auto"/>
            </w:pPr>
          </w:p>
          <w:p>
            <w:pPr>
              <w:spacing w:before="65" w:line="278" w:lineRule="exact"/>
              <w:ind w:left="375"/>
              <w:rPr>
                <w:rFonts w:ascii="宋体" w:hAnsi="宋体" w:eastAsia="宋体" w:cs="宋体"/>
                <w:sz w:val="20"/>
                <w:szCs w:val="20"/>
              </w:rPr>
            </w:pPr>
            <w:r>
              <w:rPr>
                <w:rFonts w:ascii="宋体" w:hAnsi="宋体" w:eastAsia="宋体" w:cs="宋体"/>
                <w:spacing w:val="-27"/>
                <w:position w:val="1"/>
                <w:sz w:val="20"/>
                <w:szCs w:val="20"/>
              </w:rPr>
              <w:t>Ⅰ类</w:t>
            </w:r>
          </w:p>
        </w:tc>
        <w:tc>
          <w:tcPr>
            <w:tcW w:w="7197" w:type="dxa"/>
            <w:gridSpan w:val="3"/>
            <w:tcBorders>
              <w:right w:val="single" w:color="000000" w:sz="6" w:space="0"/>
            </w:tcBorders>
            <w:vAlign w:val="top"/>
          </w:tcPr>
          <w:p>
            <w:pPr>
              <w:spacing w:before="115" w:line="278" w:lineRule="exact"/>
              <w:ind w:left="124"/>
              <w:rPr>
                <w:rFonts w:ascii="宋体" w:hAnsi="宋体" w:eastAsia="宋体" w:cs="宋体"/>
                <w:sz w:val="20"/>
                <w:szCs w:val="20"/>
              </w:rPr>
            </w:pPr>
            <w:r>
              <w:rPr>
                <w:rFonts w:ascii="宋体" w:hAnsi="宋体" w:eastAsia="宋体" w:cs="宋体"/>
                <w:spacing w:val="8"/>
                <w:position w:val="1"/>
                <w:sz w:val="20"/>
                <w:szCs w:val="20"/>
              </w:rPr>
              <w:t>1.单跨跨径≥30m，且多孔跨径总长≥100m</w:t>
            </w:r>
          </w:p>
          <w:p>
            <w:pPr>
              <w:spacing w:before="82" w:line="278" w:lineRule="exact"/>
              <w:ind w:left="107"/>
              <w:rPr>
                <w:rFonts w:ascii="宋体" w:hAnsi="宋体" w:eastAsia="宋体" w:cs="宋体"/>
                <w:sz w:val="20"/>
                <w:szCs w:val="20"/>
              </w:rPr>
            </w:pPr>
            <w:r>
              <w:rPr>
                <w:rFonts w:ascii="宋体" w:hAnsi="宋体" w:eastAsia="宋体" w:cs="宋体"/>
                <w:spacing w:val="6"/>
                <w:position w:val="1"/>
                <w:sz w:val="20"/>
                <w:szCs w:val="20"/>
              </w:rPr>
              <w:t>2.二层或桥面最高高度</w:t>
            </w:r>
            <w:r>
              <w:rPr>
                <w:rFonts w:ascii="宋体" w:hAnsi="宋体" w:eastAsia="宋体" w:cs="宋体"/>
                <w:spacing w:val="-13"/>
                <w:position w:val="1"/>
                <w:sz w:val="20"/>
                <w:szCs w:val="20"/>
              </w:rPr>
              <w:t xml:space="preserve"> </w:t>
            </w:r>
            <w:r>
              <w:rPr>
                <w:rFonts w:ascii="宋体" w:hAnsi="宋体" w:eastAsia="宋体" w:cs="宋体"/>
                <w:spacing w:val="6"/>
                <w:position w:val="1"/>
                <w:sz w:val="20"/>
                <w:szCs w:val="20"/>
              </w:rPr>
              <w:t>16m</w:t>
            </w:r>
            <w:r>
              <w:rPr>
                <w:rFonts w:ascii="宋体" w:hAnsi="宋体" w:eastAsia="宋体" w:cs="宋体"/>
                <w:spacing w:val="-41"/>
                <w:position w:val="1"/>
                <w:sz w:val="20"/>
                <w:szCs w:val="20"/>
              </w:rPr>
              <w:t xml:space="preserve"> </w:t>
            </w:r>
            <w:r>
              <w:rPr>
                <w:rFonts w:ascii="宋体" w:hAnsi="宋体" w:eastAsia="宋体" w:cs="宋体"/>
                <w:spacing w:val="6"/>
                <w:position w:val="1"/>
                <w:sz w:val="20"/>
                <w:szCs w:val="20"/>
              </w:rPr>
              <w:t>及以上的立交桥</w:t>
            </w:r>
          </w:p>
          <w:p>
            <w:pPr>
              <w:spacing w:before="82" w:line="219" w:lineRule="auto"/>
              <w:ind w:left="110"/>
              <w:rPr>
                <w:rFonts w:ascii="宋体" w:hAnsi="宋体" w:eastAsia="宋体" w:cs="宋体"/>
                <w:sz w:val="20"/>
                <w:szCs w:val="20"/>
              </w:rPr>
            </w:pPr>
            <w:r>
              <w:rPr>
                <w:rFonts w:ascii="宋体" w:hAnsi="宋体" w:eastAsia="宋体" w:cs="宋体"/>
                <w:sz w:val="20"/>
                <w:szCs w:val="20"/>
              </w:rPr>
              <w:t>3.立交箱涵顶进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3" w:hRule="atLeast"/>
        </w:trPr>
        <w:tc>
          <w:tcPr>
            <w:tcW w:w="1055" w:type="dxa"/>
            <w:vMerge w:val="continue"/>
            <w:tcBorders>
              <w:top w:val="nil"/>
              <w:left w:val="single" w:color="000000" w:sz="6" w:space="0"/>
              <w:bottom w:val="nil"/>
            </w:tcBorders>
            <w:vAlign w:val="top"/>
          </w:tcPr>
          <w:p>
            <w:pPr>
              <w:pStyle w:val="6"/>
            </w:pPr>
          </w:p>
        </w:tc>
        <w:tc>
          <w:tcPr>
            <w:tcW w:w="1040" w:type="dxa"/>
            <w:vAlign w:val="top"/>
          </w:tcPr>
          <w:p>
            <w:pPr>
              <w:pStyle w:val="6"/>
              <w:spacing w:line="414" w:lineRule="auto"/>
            </w:pPr>
          </w:p>
          <w:p>
            <w:pPr>
              <w:spacing w:before="65" w:line="218" w:lineRule="auto"/>
              <w:ind w:left="351"/>
              <w:rPr>
                <w:rFonts w:ascii="宋体" w:hAnsi="宋体" w:eastAsia="宋体" w:cs="宋体"/>
                <w:sz w:val="20"/>
                <w:szCs w:val="20"/>
              </w:rPr>
            </w:pPr>
            <w:r>
              <w:rPr>
                <w:rFonts w:ascii="宋体" w:hAnsi="宋体" w:eastAsia="宋体" w:cs="宋体"/>
                <w:spacing w:val="-15"/>
                <w:sz w:val="20"/>
                <w:szCs w:val="20"/>
              </w:rPr>
              <w:t>Ⅱ类</w:t>
            </w:r>
          </w:p>
        </w:tc>
        <w:tc>
          <w:tcPr>
            <w:tcW w:w="7197" w:type="dxa"/>
            <w:gridSpan w:val="3"/>
            <w:tcBorders>
              <w:right w:val="single" w:color="000000" w:sz="6" w:space="0"/>
            </w:tcBorders>
            <w:vAlign w:val="top"/>
          </w:tcPr>
          <w:p>
            <w:pPr>
              <w:spacing w:before="117" w:line="277" w:lineRule="exact"/>
              <w:ind w:left="124"/>
              <w:rPr>
                <w:rFonts w:ascii="宋体" w:hAnsi="宋体" w:eastAsia="宋体" w:cs="宋体"/>
                <w:sz w:val="20"/>
                <w:szCs w:val="20"/>
              </w:rPr>
            </w:pPr>
            <w:r>
              <w:rPr>
                <w:rFonts w:ascii="宋体" w:hAnsi="宋体" w:eastAsia="宋体" w:cs="宋体"/>
                <w:spacing w:val="11"/>
                <w:position w:val="1"/>
                <w:sz w:val="20"/>
                <w:szCs w:val="20"/>
              </w:rPr>
              <w:t>1.10m≤单跨跨径&lt;30m，或</w:t>
            </w:r>
            <w:r>
              <w:rPr>
                <w:rFonts w:ascii="宋体" w:hAnsi="宋体" w:eastAsia="宋体" w:cs="宋体"/>
                <w:spacing w:val="-39"/>
                <w:position w:val="1"/>
                <w:sz w:val="20"/>
                <w:szCs w:val="20"/>
              </w:rPr>
              <w:t xml:space="preserve"> </w:t>
            </w:r>
            <w:r>
              <w:rPr>
                <w:rFonts w:ascii="宋体" w:hAnsi="宋体" w:eastAsia="宋体" w:cs="宋体"/>
                <w:spacing w:val="11"/>
                <w:position w:val="1"/>
                <w:sz w:val="20"/>
                <w:szCs w:val="20"/>
              </w:rPr>
              <w:t>50m≤多</w:t>
            </w:r>
            <w:r>
              <w:rPr>
                <w:rFonts w:ascii="宋体" w:hAnsi="宋体" w:eastAsia="宋体" w:cs="宋体"/>
                <w:spacing w:val="10"/>
                <w:position w:val="1"/>
                <w:sz w:val="20"/>
                <w:szCs w:val="20"/>
              </w:rPr>
              <w:t>孔跨径总长&lt;100m</w:t>
            </w:r>
          </w:p>
          <w:p>
            <w:pPr>
              <w:spacing w:before="82" w:line="277" w:lineRule="exact"/>
              <w:ind w:left="107"/>
              <w:rPr>
                <w:rFonts w:ascii="宋体" w:hAnsi="宋体" w:eastAsia="宋体" w:cs="宋体"/>
                <w:sz w:val="20"/>
                <w:szCs w:val="20"/>
              </w:rPr>
            </w:pPr>
            <w:r>
              <w:rPr>
                <w:rFonts w:ascii="宋体" w:hAnsi="宋体" w:eastAsia="宋体" w:cs="宋体"/>
                <w:spacing w:val="2"/>
                <w:position w:val="1"/>
                <w:sz w:val="20"/>
                <w:szCs w:val="20"/>
              </w:rPr>
              <w:t>2.桥面最高高度＜</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16m</w:t>
            </w:r>
            <w:r>
              <w:rPr>
                <w:rFonts w:ascii="宋体" w:hAnsi="宋体" w:eastAsia="宋体" w:cs="宋体"/>
                <w:spacing w:val="-23"/>
                <w:position w:val="1"/>
                <w:sz w:val="20"/>
                <w:szCs w:val="20"/>
              </w:rPr>
              <w:t xml:space="preserve"> </w:t>
            </w:r>
            <w:r>
              <w:rPr>
                <w:rFonts w:ascii="宋体" w:hAnsi="宋体" w:eastAsia="宋体" w:cs="宋体"/>
                <w:spacing w:val="2"/>
                <w:position w:val="1"/>
                <w:sz w:val="20"/>
                <w:szCs w:val="20"/>
              </w:rPr>
              <w:t>的立交桥</w:t>
            </w:r>
          </w:p>
          <w:p>
            <w:pPr>
              <w:spacing w:before="82" w:line="218" w:lineRule="auto"/>
              <w:ind w:left="110"/>
              <w:rPr>
                <w:rFonts w:ascii="宋体" w:hAnsi="宋体" w:eastAsia="宋体" w:cs="宋体"/>
                <w:sz w:val="20"/>
                <w:szCs w:val="20"/>
              </w:rPr>
            </w:pPr>
            <w:r>
              <w:rPr>
                <w:rFonts w:ascii="宋体" w:hAnsi="宋体" w:eastAsia="宋体" w:cs="宋体"/>
                <w:spacing w:val="6"/>
                <w:sz w:val="20"/>
                <w:szCs w:val="20"/>
              </w:rPr>
              <w:t>3.人行天桥单跨径≥30m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3" w:hRule="atLeast"/>
        </w:trPr>
        <w:tc>
          <w:tcPr>
            <w:tcW w:w="1055" w:type="dxa"/>
            <w:vMerge w:val="continue"/>
            <w:tcBorders>
              <w:top w:val="nil"/>
              <w:left w:val="single" w:color="000000" w:sz="6" w:space="0"/>
            </w:tcBorders>
            <w:vAlign w:val="top"/>
          </w:tcPr>
          <w:p>
            <w:pPr>
              <w:pStyle w:val="6"/>
            </w:pPr>
          </w:p>
        </w:tc>
        <w:tc>
          <w:tcPr>
            <w:tcW w:w="1040" w:type="dxa"/>
            <w:vAlign w:val="top"/>
          </w:tcPr>
          <w:p>
            <w:pPr>
              <w:pStyle w:val="6"/>
              <w:spacing w:line="416" w:lineRule="auto"/>
            </w:pPr>
          </w:p>
          <w:p>
            <w:pPr>
              <w:spacing w:before="65" w:line="218" w:lineRule="auto"/>
              <w:ind w:left="334"/>
              <w:rPr>
                <w:rFonts w:ascii="宋体" w:hAnsi="宋体" w:eastAsia="宋体" w:cs="宋体"/>
                <w:sz w:val="20"/>
                <w:szCs w:val="20"/>
              </w:rPr>
            </w:pPr>
            <w:r>
              <w:rPr>
                <w:rFonts w:ascii="宋体" w:hAnsi="宋体" w:eastAsia="宋体" w:cs="宋体"/>
                <w:spacing w:val="-7"/>
                <w:sz w:val="20"/>
                <w:szCs w:val="20"/>
              </w:rPr>
              <w:t>Ⅲ类</w:t>
            </w:r>
          </w:p>
        </w:tc>
        <w:tc>
          <w:tcPr>
            <w:tcW w:w="7197" w:type="dxa"/>
            <w:gridSpan w:val="3"/>
            <w:tcBorders>
              <w:right w:val="single" w:color="000000" w:sz="6" w:space="0"/>
            </w:tcBorders>
            <w:vAlign w:val="top"/>
          </w:tcPr>
          <w:p>
            <w:pPr>
              <w:spacing w:before="118" w:line="278" w:lineRule="exact"/>
              <w:ind w:left="124"/>
              <w:rPr>
                <w:rFonts w:ascii="宋体" w:hAnsi="宋体" w:eastAsia="宋体" w:cs="宋体"/>
                <w:sz w:val="20"/>
                <w:szCs w:val="20"/>
              </w:rPr>
            </w:pPr>
            <w:r>
              <w:rPr>
                <w:rFonts w:ascii="宋体" w:hAnsi="宋体" w:eastAsia="宋体" w:cs="宋体"/>
                <w:spacing w:val="7"/>
                <w:position w:val="1"/>
                <w:sz w:val="20"/>
                <w:szCs w:val="20"/>
              </w:rPr>
              <w:t>1.单跨跨径&lt;10m</w:t>
            </w:r>
            <w:r>
              <w:rPr>
                <w:rFonts w:ascii="宋体" w:hAnsi="宋体" w:eastAsia="宋体" w:cs="宋体"/>
                <w:spacing w:val="46"/>
                <w:position w:val="1"/>
                <w:sz w:val="20"/>
                <w:szCs w:val="20"/>
              </w:rPr>
              <w:t xml:space="preserve"> </w:t>
            </w:r>
            <w:r>
              <w:rPr>
                <w:rFonts w:ascii="宋体" w:hAnsi="宋体" w:eastAsia="宋体" w:cs="宋体"/>
                <w:spacing w:val="7"/>
                <w:position w:val="1"/>
                <w:sz w:val="20"/>
                <w:szCs w:val="20"/>
              </w:rPr>
              <w:t>， 或多孔跨径总长&lt;50m</w:t>
            </w:r>
          </w:p>
          <w:p>
            <w:pPr>
              <w:spacing w:before="82" w:line="277" w:lineRule="exact"/>
              <w:ind w:left="107"/>
              <w:rPr>
                <w:rFonts w:ascii="宋体" w:hAnsi="宋体" w:eastAsia="宋体" w:cs="宋体"/>
                <w:sz w:val="20"/>
                <w:szCs w:val="20"/>
              </w:rPr>
            </w:pPr>
            <w:r>
              <w:rPr>
                <w:rFonts w:ascii="宋体" w:hAnsi="宋体" w:eastAsia="宋体" w:cs="宋体"/>
                <w:spacing w:val="5"/>
                <w:position w:val="1"/>
                <w:sz w:val="20"/>
                <w:szCs w:val="20"/>
              </w:rPr>
              <w:t>2.圆管涵、拱涵、盖板涵、箱涵等涵洞</w:t>
            </w:r>
          </w:p>
          <w:p>
            <w:pPr>
              <w:spacing w:before="83" w:line="216" w:lineRule="auto"/>
              <w:ind w:left="110"/>
              <w:rPr>
                <w:rFonts w:ascii="宋体" w:hAnsi="宋体" w:eastAsia="宋体" w:cs="宋体"/>
                <w:sz w:val="20"/>
                <w:szCs w:val="20"/>
              </w:rPr>
            </w:pPr>
            <w:r>
              <w:rPr>
                <w:rFonts w:ascii="宋体" w:hAnsi="宋体" w:eastAsia="宋体" w:cs="宋体"/>
                <w:spacing w:val="2"/>
                <w:sz w:val="20"/>
                <w:szCs w:val="20"/>
              </w:rPr>
              <w:t>3.人行天桥单跨径＜</w:t>
            </w:r>
            <w:r>
              <w:rPr>
                <w:rFonts w:ascii="宋体" w:hAnsi="宋体" w:eastAsia="宋体" w:cs="宋体"/>
                <w:spacing w:val="-46"/>
                <w:sz w:val="20"/>
                <w:szCs w:val="20"/>
              </w:rPr>
              <w:t xml:space="preserve"> </w:t>
            </w:r>
            <w:r>
              <w:rPr>
                <w:rFonts w:ascii="宋体" w:hAnsi="宋体" w:eastAsia="宋体" w:cs="宋体"/>
                <w:spacing w:val="2"/>
                <w:sz w:val="20"/>
                <w:szCs w:val="20"/>
              </w:rPr>
              <w:t>30m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55" w:type="dxa"/>
            <w:vMerge w:val="restart"/>
            <w:tcBorders>
              <w:left w:val="single" w:color="000000" w:sz="6" w:space="0"/>
              <w:bottom w:val="nil"/>
            </w:tcBorders>
            <w:vAlign w:val="top"/>
          </w:tcPr>
          <w:p>
            <w:pPr>
              <w:pStyle w:val="6"/>
              <w:spacing w:line="250" w:lineRule="auto"/>
            </w:pPr>
          </w:p>
          <w:p>
            <w:pPr>
              <w:spacing w:before="65" w:line="338" w:lineRule="auto"/>
              <w:ind w:left="312" w:right="319" w:firstLine="10"/>
              <w:rPr>
                <w:rFonts w:ascii="宋体" w:hAnsi="宋体" w:eastAsia="宋体" w:cs="宋体"/>
                <w:sz w:val="20"/>
                <w:szCs w:val="20"/>
              </w:rPr>
            </w:pPr>
            <w:r>
              <w:rPr>
                <w:rFonts w:ascii="宋体" w:hAnsi="宋体" w:eastAsia="宋体" w:cs="宋体"/>
                <w:spacing w:val="1"/>
                <w:sz w:val="20"/>
                <w:szCs w:val="20"/>
              </w:rPr>
              <w:t>隧道</w:t>
            </w:r>
            <w:r>
              <w:rPr>
                <w:rFonts w:ascii="宋体" w:hAnsi="宋体" w:eastAsia="宋体" w:cs="宋体"/>
                <w:spacing w:val="6"/>
                <w:sz w:val="20"/>
                <w:szCs w:val="20"/>
              </w:rPr>
              <w:t>工程</w:t>
            </w:r>
          </w:p>
        </w:tc>
        <w:tc>
          <w:tcPr>
            <w:tcW w:w="1040" w:type="dxa"/>
            <w:vAlign w:val="top"/>
          </w:tcPr>
          <w:p>
            <w:pPr>
              <w:spacing w:before="123" w:line="214" w:lineRule="auto"/>
              <w:ind w:left="375"/>
              <w:rPr>
                <w:rFonts w:ascii="宋体" w:hAnsi="宋体" w:eastAsia="宋体" w:cs="宋体"/>
                <w:sz w:val="20"/>
                <w:szCs w:val="20"/>
              </w:rPr>
            </w:pPr>
            <w:r>
              <w:rPr>
                <w:rFonts w:ascii="宋体" w:hAnsi="宋体" w:eastAsia="宋体" w:cs="宋体"/>
                <w:spacing w:val="-27"/>
                <w:sz w:val="20"/>
                <w:szCs w:val="20"/>
              </w:rPr>
              <w:t>Ⅰ类</w:t>
            </w:r>
          </w:p>
        </w:tc>
        <w:tc>
          <w:tcPr>
            <w:tcW w:w="7197" w:type="dxa"/>
            <w:gridSpan w:val="3"/>
            <w:tcBorders>
              <w:right w:val="single" w:color="000000" w:sz="6" w:space="0"/>
            </w:tcBorders>
            <w:vAlign w:val="top"/>
          </w:tcPr>
          <w:p>
            <w:pPr>
              <w:spacing w:before="123" w:line="214" w:lineRule="auto"/>
              <w:ind w:left="111"/>
              <w:rPr>
                <w:rFonts w:ascii="宋体" w:hAnsi="宋体" w:eastAsia="宋体" w:cs="宋体"/>
                <w:sz w:val="20"/>
                <w:szCs w:val="20"/>
              </w:rPr>
            </w:pPr>
            <w:r>
              <w:rPr>
                <w:rFonts w:ascii="宋体" w:hAnsi="宋体" w:eastAsia="宋体" w:cs="宋体"/>
                <w:spacing w:val="11"/>
                <w:sz w:val="20"/>
                <w:szCs w:val="20"/>
              </w:rPr>
              <w:t>断面净面积≥35㎡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55" w:type="dxa"/>
            <w:vMerge w:val="continue"/>
            <w:tcBorders>
              <w:top w:val="nil"/>
              <w:left w:val="single" w:color="000000" w:sz="6" w:space="0"/>
              <w:bottom w:val="nil"/>
            </w:tcBorders>
            <w:vAlign w:val="top"/>
          </w:tcPr>
          <w:p>
            <w:pPr>
              <w:pStyle w:val="6"/>
            </w:pPr>
          </w:p>
        </w:tc>
        <w:tc>
          <w:tcPr>
            <w:tcW w:w="1040" w:type="dxa"/>
            <w:vAlign w:val="top"/>
          </w:tcPr>
          <w:p>
            <w:pPr>
              <w:spacing w:before="127" w:line="210" w:lineRule="auto"/>
              <w:ind w:left="351"/>
              <w:rPr>
                <w:rFonts w:ascii="宋体" w:hAnsi="宋体" w:eastAsia="宋体" w:cs="宋体"/>
                <w:sz w:val="20"/>
                <w:szCs w:val="20"/>
              </w:rPr>
            </w:pPr>
            <w:r>
              <w:rPr>
                <w:rFonts w:ascii="宋体" w:hAnsi="宋体" w:eastAsia="宋体" w:cs="宋体"/>
                <w:spacing w:val="-15"/>
                <w:sz w:val="20"/>
                <w:szCs w:val="20"/>
              </w:rPr>
              <w:t>Ⅱ类</w:t>
            </w:r>
          </w:p>
        </w:tc>
        <w:tc>
          <w:tcPr>
            <w:tcW w:w="7197" w:type="dxa"/>
            <w:gridSpan w:val="3"/>
            <w:tcBorders>
              <w:right w:val="single" w:color="000000" w:sz="6" w:space="0"/>
            </w:tcBorders>
            <w:vAlign w:val="top"/>
          </w:tcPr>
          <w:p>
            <w:pPr>
              <w:spacing w:before="122" w:line="215" w:lineRule="auto"/>
              <w:ind w:left="124"/>
              <w:rPr>
                <w:rFonts w:ascii="宋体" w:hAnsi="宋体" w:eastAsia="宋体" w:cs="宋体"/>
                <w:sz w:val="20"/>
                <w:szCs w:val="20"/>
              </w:rPr>
            </w:pPr>
            <w:r>
              <w:rPr>
                <w:rFonts w:ascii="宋体" w:hAnsi="宋体" w:eastAsia="宋体" w:cs="宋体"/>
                <w:spacing w:val="1"/>
                <w:sz w:val="20"/>
                <w:szCs w:val="20"/>
              </w:rPr>
              <w:t>10</w:t>
            </w:r>
            <w:r>
              <w:rPr>
                <w:rFonts w:ascii="宋体" w:hAnsi="宋体" w:eastAsia="宋体" w:cs="宋体"/>
                <w:spacing w:val="-35"/>
                <w:sz w:val="20"/>
                <w:szCs w:val="20"/>
              </w:rPr>
              <w:t xml:space="preserve"> </w:t>
            </w:r>
            <w:r>
              <w:rPr>
                <w:rFonts w:ascii="宋体" w:hAnsi="宋体" w:eastAsia="宋体" w:cs="宋体"/>
                <w:spacing w:val="1"/>
                <w:sz w:val="20"/>
                <w:szCs w:val="20"/>
              </w:rPr>
              <w:t>㎡≤断面净面积＜</w:t>
            </w:r>
            <w:r>
              <w:rPr>
                <w:rFonts w:ascii="宋体" w:hAnsi="宋体" w:eastAsia="宋体" w:cs="宋体"/>
                <w:spacing w:val="-56"/>
                <w:sz w:val="20"/>
                <w:szCs w:val="20"/>
              </w:rPr>
              <w:t xml:space="preserve"> </w:t>
            </w:r>
            <w:r>
              <w:rPr>
                <w:rFonts w:ascii="宋体" w:hAnsi="宋体" w:eastAsia="宋体" w:cs="宋体"/>
                <w:spacing w:val="1"/>
                <w:sz w:val="20"/>
                <w:szCs w:val="20"/>
              </w:rPr>
              <w:t>35</w:t>
            </w:r>
            <w:r>
              <w:rPr>
                <w:rFonts w:ascii="宋体" w:hAnsi="宋体" w:eastAsia="宋体" w:cs="宋体"/>
                <w:spacing w:val="-37"/>
                <w:sz w:val="20"/>
                <w:szCs w:val="20"/>
              </w:rPr>
              <w:t xml:space="preserve"> </w:t>
            </w:r>
            <w:r>
              <w:rPr>
                <w:rFonts w:ascii="宋体" w:hAnsi="宋体" w:eastAsia="宋体" w:cs="宋体"/>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55" w:type="dxa"/>
            <w:vMerge w:val="continue"/>
            <w:tcBorders>
              <w:top w:val="nil"/>
              <w:left w:val="single" w:color="000000" w:sz="6" w:space="0"/>
            </w:tcBorders>
            <w:vAlign w:val="top"/>
          </w:tcPr>
          <w:p>
            <w:pPr>
              <w:pStyle w:val="6"/>
            </w:pPr>
          </w:p>
        </w:tc>
        <w:tc>
          <w:tcPr>
            <w:tcW w:w="1040" w:type="dxa"/>
            <w:vAlign w:val="top"/>
          </w:tcPr>
          <w:p>
            <w:pPr>
              <w:spacing w:before="127" w:line="210" w:lineRule="auto"/>
              <w:ind w:left="334"/>
              <w:rPr>
                <w:rFonts w:ascii="宋体" w:hAnsi="宋体" w:eastAsia="宋体" w:cs="宋体"/>
                <w:sz w:val="20"/>
                <w:szCs w:val="20"/>
              </w:rPr>
            </w:pPr>
            <w:r>
              <w:rPr>
                <w:rFonts w:ascii="宋体" w:hAnsi="宋体" w:eastAsia="宋体" w:cs="宋体"/>
                <w:spacing w:val="-7"/>
                <w:sz w:val="20"/>
                <w:szCs w:val="20"/>
              </w:rPr>
              <w:t>Ⅲ类</w:t>
            </w:r>
          </w:p>
        </w:tc>
        <w:tc>
          <w:tcPr>
            <w:tcW w:w="7197" w:type="dxa"/>
            <w:gridSpan w:val="3"/>
            <w:tcBorders>
              <w:right w:val="single" w:color="000000" w:sz="6" w:space="0"/>
            </w:tcBorders>
            <w:vAlign w:val="top"/>
          </w:tcPr>
          <w:p>
            <w:pPr>
              <w:spacing w:before="122" w:line="215" w:lineRule="auto"/>
              <w:ind w:left="111"/>
              <w:rPr>
                <w:rFonts w:ascii="宋体" w:hAnsi="宋体" w:eastAsia="宋体" w:cs="宋体"/>
                <w:sz w:val="20"/>
                <w:szCs w:val="20"/>
              </w:rPr>
            </w:pPr>
            <w:r>
              <w:rPr>
                <w:rFonts w:ascii="宋体" w:hAnsi="宋体" w:eastAsia="宋体" w:cs="宋体"/>
                <w:spacing w:val="4"/>
                <w:sz w:val="20"/>
                <w:szCs w:val="20"/>
              </w:rPr>
              <w:t>断面净面积＜</w:t>
            </w:r>
            <w:r>
              <w:rPr>
                <w:rFonts w:ascii="宋体" w:hAnsi="宋体" w:eastAsia="宋体" w:cs="宋体"/>
                <w:spacing w:val="-36"/>
                <w:sz w:val="20"/>
                <w:szCs w:val="20"/>
              </w:rPr>
              <w:t xml:space="preserve"> </w:t>
            </w:r>
            <w:r>
              <w:rPr>
                <w:rFonts w:ascii="宋体" w:hAnsi="宋体" w:eastAsia="宋体" w:cs="宋体"/>
                <w:spacing w:val="4"/>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36" w:hRule="atLeast"/>
        </w:trPr>
        <w:tc>
          <w:tcPr>
            <w:tcW w:w="1055" w:type="dxa"/>
            <w:tcBorders>
              <w:left w:val="single" w:color="000000" w:sz="6" w:space="0"/>
              <w:bottom w:val="single" w:color="000000" w:sz="6" w:space="0"/>
            </w:tcBorders>
            <w:vAlign w:val="top"/>
          </w:tcPr>
          <w:p>
            <w:pPr>
              <w:spacing w:before="264" w:line="341" w:lineRule="auto"/>
              <w:ind w:left="312" w:right="319"/>
              <w:rPr>
                <w:rFonts w:ascii="宋体" w:hAnsi="宋体" w:eastAsia="宋体" w:cs="宋体"/>
                <w:sz w:val="20"/>
                <w:szCs w:val="20"/>
              </w:rPr>
            </w:pPr>
            <w:r>
              <w:rPr>
                <w:rFonts w:ascii="宋体" w:hAnsi="宋体" w:eastAsia="宋体" w:cs="宋体"/>
                <w:spacing w:val="6"/>
                <w:sz w:val="20"/>
                <w:szCs w:val="20"/>
              </w:rPr>
              <w:t>排水工程</w:t>
            </w:r>
          </w:p>
        </w:tc>
        <w:tc>
          <w:tcPr>
            <w:tcW w:w="1040" w:type="dxa"/>
            <w:tcBorders>
              <w:bottom w:val="single" w:color="000000" w:sz="6" w:space="0"/>
            </w:tcBorders>
            <w:vAlign w:val="top"/>
          </w:tcPr>
          <w:p>
            <w:pPr>
              <w:pStyle w:val="6"/>
              <w:spacing w:line="385" w:lineRule="auto"/>
            </w:pPr>
          </w:p>
          <w:p>
            <w:pPr>
              <w:spacing w:before="65" w:line="278" w:lineRule="exact"/>
              <w:ind w:left="375"/>
              <w:rPr>
                <w:rFonts w:ascii="宋体" w:hAnsi="宋体" w:eastAsia="宋体" w:cs="宋体"/>
                <w:sz w:val="20"/>
                <w:szCs w:val="20"/>
              </w:rPr>
            </w:pPr>
            <w:r>
              <w:rPr>
                <w:rFonts w:ascii="宋体" w:hAnsi="宋体" w:eastAsia="宋体" w:cs="宋体"/>
                <w:spacing w:val="-27"/>
                <w:position w:val="1"/>
                <w:sz w:val="20"/>
                <w:szCs w:val="20"/>
              </w:rPr>
              <w:t>Ⅰ类</w:t>
            </w:r>
          </w:p>
        </w:tc>
        <w:tc>
          <w:tcPr>
            <w:tcW w:w="7197" w:type="dxa"/>
            <w:gridSpan w:val="3"/>
            <w:tcBorders>
              <w:bottom w:val="single" w:color="000000" w:sz="6" w:space="0"/>
              <w:right w:val="single" w:color="000000" w:sz="6" w:space="0"/>
            </w:tcBorders>
            <w:vAlign w:val="top"/>
          </w:tcPr>
          <w:p>
            <w:pPr>
              <w:spacing w:before="104" w:line="278" w:lineRule="exact"/>
              <w:ind w:left="124"/>
              <w:rPr>
                <w:rFonts w:ascii="宋体" w:hAnsi="宋体" w:eastAsia="宋体" w:cs="宋体"/>
                <w:sz w:val="20"/>
                <w:szCs w:val="20"/>
              </w:rPr>
            </w:pPr>
            <w:r>
              <w:rPr>
                <w:rFonts w:ascii="宋体" w:hAnsi="宋体" w:eastAsia="宋体" w:cs="宋体"/>
                <w:spacing w:val="-6"/>
                <w:position w:val="1"/>
                <w:sz w:val="20"/>
                <w:szCs w:val="20"/>
              </w:rPr>
              <w:t>1.顶管工程</w:t>
            </w:r>
          </w:p>
          <w:p>
            <w:pPr>
              <w:spacing w:before="63" w:line="277" w:lineRule="exact"/>
              <w:ind w:left="107"/>
              <w:rPr>
                <w:rFonts w:ascii="宋体" w:hAnsi="宋体" w:eastAsia="宋体" w:cs="宋体"/>
                <w:sz w:val="20"/>
                <w:szCs w:val="20"/>
              </w:rPr>
            </w:pPr>
            <w:r>
              <w:rPr>
                <w:rFonts w:ascii="宋体" w:hAnsi="宋体" w:eastAsia="宋体" w:cs="宋体"/>
                <w:spacing w:val="10"/>
                <w:position w:val="1"/>
                <w:sz w:val="20"/>
                <w:szCs w:val="20"/>
              </w:rPr>
              <w:t>2.干管管径≥1200</w:t>
            </w:r>
            <w:r>
              <w:rPr>
                <w:rFonts w:ascii="宋体" w:hAnsi="宋体" w:eastAsia="宋体" w:cs="宋体"/>
                <w:position w:val="1"/>
                <w:sz w:val="20"/>
                <w:szCs w:val="20"/>
              </w:rPr>
              <w:t>mm</w:t>
            </w:r>
          </w:p>
          <w:p>
            <w:pPr>
              <w:spacing w:before="64" w:line="221" w:lineRule="auto"/>
              <w:ind w:left="110"/>
              <w:rPr>
                <w:rFonts w:ascii="宋体" w:hAnsi="宋体" w:eastAsia="宋体" w:cs="宋体"/>
                <w:sz w:val="20"/>
                <w:szCs w:val="20"/>
              </w:rPr>
            </w:pPr>
            <w:r>
              <w:rPr>
                <w:rFonts w:ascii="宋体" w:hAnsi="宋体" w:eastAsia="宋体" w:cs="宋体"/>
                <w:spacing w:val="7"/>
                <w:sz w:val="20"/>
                <w:szCs w:val="20"/>
              </w:rPr>
              <w:t>3.沟渠、各类地下管沟净断面≥6㎡</w:t>
            </w:r>
          </w:p>
        </w:tc>
      </w:tr>
    </w:tbl>
    <w:p>
      <w:pPr>
        <w:rPr>
          <w:rFonts w:ascii="Arial"/>
          <w:sz w:val="21"/>
        </w:rPr>
      </w:pPr>
    </w:p>
    <w:p>
      <w:pPr>
        <w:rPr>
          <w:rFonts w:ascii="Arial" w:hAnsi="Arial" w:eastAsia="Arial" w:cs="Arial"/>
          <w:sz w:val="21"/>
          <w:szCs w:val="21"/>
        </w:rPr>
        <w:sectPr>
          <w:footerReference r:id="rId131" w:type="default"/>
          <w:pgSz w:w="11906" w:h="16839"/>
          <w:pgMar w:top="400" w:right="1299" w:bottom="1212" w:left="1299" w:header="0" w:footer="897" w:gutter="0"/>
        </w:sectPr>
      </w:pPr>
    </w:p>
    <w:p>
      <w:pPr>
        <w:spacing w:before="13"/>
      </w:pPr>
    </w:p>
    <w:p>
      <w:pPr>
        <w:spacing w:before="13"/>
      </w:pPr>
    </w:p>
    <w:p>
      <w:pPr>
        <w:spacing w:before="13"/>
      </w:pPr>
    </w:p>
    <w:p>
      <w:pPr>
        <w:spacing w:before="12"/>
      </w:pP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5"/>
        <w:gridCol w:w="1028"/>
        <w:gridCol w:w="2796"/>
        <w:gridCol w:w="4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2093" w:type="dxa"/>
            <w:gridSpan w:val="2"/>
            <w:tcBorders>
              <w:top w:val="single" w:color="000000" w:sz="6" w:space="0"/>
              <w:left w:val="single" w:color="000000" w:sz="6" w:space="0"/>
            </w:tcBorders>
            <w:vAlign w:val="top"/>
          </w:tcPr>
          <w:p>
            <w:pPr>
              <w:spacing w:before="107" w:line="176" w:lineRule="auto"/>
              <w:ind w:left="631"/>
              <w:rPr>
                <w:rFonts w:ascii="微软雅黑" w:hAnsi="微软雅黑" w:eastAsia="微软雅黑" w:cs="微软雅黑"/>
                <w:sz w:val="20"/>
                <w:szCs w:val="20"/>
              </w:rPr>
            </w:pPr>
            <w:r>
              <w:rPr>
                <w:rFonts w:ascii="微软雅黑" w:hAnsi="微软雅黑" w:eastAsia="微软雅黑" w:cs="微软雅黑"/>
                <w:spacing w:val="5"/>
                <w:sz w:val="20"/>
                <w:szCs w:val="20"/>
              </w:rPr>
              <w:t>工程名称</w:t>
            </w:r>
          </w:p>
        </w:tc>
        <w:tc>
          <w:tcPr>
            <w:tcW w:w="7199" w:type="dxa"/>
            <w:gridSpan w:val="2"/>
            <w:tcBorders>
              <w:top w:val="single" w:color="000000" w:sz="6" w:space="0"/>
              <w:right w:val="single" w:color="000000" w:sz="6" w:space="0"/>
            </w:tcBorders>
            <w:vAlign w:val="top"/>
          </w:tcPr>
          <w:p>
            <w:pPr>
              <w:spacing w:before="107" w:line="176" w:lineRule="auto"/>
              <w:ind w:left="2767"/>
              <w:rPr>
                <w:rFonts w:ascii="微软雅黑" w:hAnsi="微软雅黑" w:eastAsia="微软雅黑" w:cs="微软雅黑"/>
                <w:sz w:val="20"/>
                <w:szCs w:val="20"/>
              </w:rPr>
            </w:pPr>
            <w:r>
              <w:rPr>
                <w:rFonts w:ascii="微软雅黑" w:hAnsi="微软雅黑" w:eastAsia="微软雅黑" w:cs="微软雅黑"/>
                <w:spacing w:val="7"/>
                <w:sz w:val="20"/>
                <w:szCs w:val="20"/>
              </w:rPr>
              <w:t>工程类别划分标准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trPr>
        <w:tc>
          <w:tcPr>
            <w:tcW w:w="1065" w:type="dxa"/>
            <w:vMerge w:val="restart"/>
            <w:tcBorders>
              <w:left w:val="single" w:color="000000" w:sz="6" w:space="0"/>
              <w:bottom w:val="nil"/>
            </w:tcBorders>
            <w:vAlign w:val="top"/>
          </w:tcPr>
          <w:p>
            <w:pPr>
              <w:pStyle w:val="6"/>
            </w:pPr>
          </w:p>
        </w:tc>
        <w:tc>
          <w:tcPr>
            <w:tcW w:w="1028" w:type="dxa"/>
            <w:vAlign w:val="top"/>
          </w:tcPr>
          <w:p>
            <w:pPr>
              <w:pStyle w:val="6"/>
              <w:spacing w:line="376" w:lineRule="auto"/>
            </w:pPr>
          </w:p>
          <w:p>
            <w:pPr>
              <w:spacing w:before="65" w:line="218" w:lineRule="auto"/>
              <w:ind w:left="341"/>
              <w:rPr>
                <w:rFonts w:ascii="宋体" w:hAnsi="宋体" w:eastAsia="宋体" w:cs="宋体"/>
                <w:sz w:val="20"/>
                <w:szCs w:val="20"/>
              </w:rPr>
            </w:pPr>
            <w:r>
              <w:rPr>
                <w:rFonts w:ascii="宋体" w:hAnsi="宋体" w:eastAsia="宋体" w:cs="宋体"/>
                <w:spacing w:val="-15"/>
                <w:sz w:val="20"/>
                <w:szCs w:val="20"/>
              </w:rPr>
              <w:t>Ⅱ类</w:t>
            </w:r>
          </w:p>
        </w:tc>
        <w:tc>
          <w:tcPr>
            <w:tcW w:w="7199" w:type="dxa"/>
            <w:gridSpan w:val="2"/>
            <w:tcBorders>
              <w:right w:val="single" w:color="000000" w:sz="6" w:space="0"/>
            </w:tcBorders>
            <w:vAlign w:val="top"/>
          </w:tcPr>
          <w:p>
            <w:pPr>
              <w:spacing w:before="93" w:line="276" w:lineRule="exact"/>
              <w:ind w:left="126"/>
              <w:rPr>
                <w:rFonts w:ascii="宋体" w:hAnsi="宋体" w:eastAsia="宋体" w:cs="宋体"/>
                <w:sz w:val="20"/>
                <w:szCs w:val="20"/>
              </w:rPr>
            </w:pPr>
            <w:r>
              <w:rPr>
                <w:rFonts w:ascii="宋体" w:hAnsi="宋体" w:eastAsia="宋体" w:cs="宋体"/>
                <w:spacing w:val="11"/>
                <w:position w:val="1"/>
                <w:sz w:val="20"/>
                <w:szCs w:val="20"/>
              </w:rPr>
              <w:t>1.600</w:t>
            </w:r>
            <w:r>
              <w:rPr>
                <w:rFonts w:ascii="宋体" w:hAnsi="宋体" w:eastAsia="宋体" w:cs="宋体"/>
                <w:position w:val="1"/>
                <w:sz w:val="20"/>
                <w:szCs w:val="20"/>
              </w:rPr>
              <w:t>mm</w:t>
            </w:r>
            <w:r>
              <w:rPr>
                <w:rFonts w:ascii="宋体" w:hAnsi="宋体" w:eastAsia="宋体" w:cs="宋体"/>
                <w:spacing w:val="11"/>
                <w:position w:val="1"/>
                <w:sz w:val="20"/>
                <w:szCs w:val="20"/>
              </w:rPr>
              <w:t>≤干管管径＜</w:t>
            </w:r>
            <w:r>
              <w:rPr>
                <w:rFonts w:ascii="宋体" w:hAnsi="宋体" w:eastAsia="宋体" w:cs="宋体"/>
                <w:spacing w:val="-42"/>
                <w:position w:val="1"/>
                <w:sz w:val="20"/>
                <w:szCs w:val="20"/>
              </w:rPr>
              <w:t xml:space="preserve"> </w:t>
            </w:r>
            <w:r>
              <w:rPr>
                <w:rFonts w:ascii="宋体" w:hAnsi="宋体" w:eastAsia="宋体" w:cs="宋体"/>
                <w:spacing w:val="11"/>
                <w:position w:val="1"/>
                <w:sz w:val="20"/>
                <w:szCs w:val="20"/>
              </w:rPr>
              <w:t>1200</w:t>
            </w:r>
            <w:r>
              <w:rPr>
                <w:rFonts w:ascii="宋体" w:hAnsi="宋体" w:eastAsia="宋体" w:cs="宋体"/>
                <w:position w:val="1"/>
                <w:sz w:val="20"/>
                <w:szCs w:val="20"/>
              </w:rPr>
              <w:t>mm</w:t>
            </w:r>
          </w:p>
          <w:p>
            <w:pPr>
              <w:spacing w:before="61" w:line="278" w:lineRule="exact"/>
              <w:ind w:left="109"/>
              <w:rPr>
                <w:rFonts w:ascii="宋体" w:hAnsi="宋体" w:eastAsia="宋体" w:cs="宋体"/>
                <w:sz w:val="20"/>
                <w:szCs w:val="20"/>
              </w:rPr>
            </w:pPr>
            <w:r>
              <w:rPr>
                <w:rFonts w:ascii="宋体" w:hAnsi="宋体" w:eastAsia="宋体" w:cs="宋体"/>
                <w:spacing w:val="4"/>
                <w:position w:val="1"/>
                <w:sz w:val="20"/>
                <w:szCs w:val="20"/>
              </w:rPr>
              <w:t>2.2</w:t>
            </w:r>
            <w:r>
              <w:rPr>
                <w:rFonts w:ascii="宋体" w:hAnsi="宋体" w:eastAsia="宋体" w:cs="宋体"/>
                <w:spacing w:val="-23"/>
                <w:position w:val="1"/>
                <w:sz w:val="20"/>
                <w:szCs w:val="20"/>
              </w:rPr>
              <w:t xml:space="preserve"> </w:t>
            </w:r>
            <w:r>
              <w:rPr>
                <w:rFonts w:ascii="宋体" w:hAnsi="宋体" w:eastAsia="宋体" w:cs="宋体"/>
                <w:spacing w:val="4"/>
                <w:position w:val="1"/>
                <w:sz w:val="20"/>
                <w:szCs w:val="20"/>
              </w:rPr>
              <w:t>㎡≤沟渠、各类地下管沟净断面＜6</w:t>
            </w:r>
            <w:r>
              <w:rPr>
                <w:rFonts w:ascii="宋体" w:hAnsi="宋体" w:eastAsia="宋体" w:cs="宋体"/>
                <w:spacing w:val="-36"/>
                <w:position w:val="1"/>
                <w:sz w:val="20"/>
                <w:szCs w:val="20"/>
              </w:rPr>
              <w:t xml:space="preserve"> </w:t>
            </w:r>
            <w:r>
              <w:rPr>
                <w:rFonts w:ascii="宋体" w:hAnsi="宋体" w:eastAsia="宋体" w:cs="宋体"/>
                <w:spacing w:val="4"/>
                <w:position w:val="1"/>
                <w:sz w:val="20"/>
                <w:szCs w:val="20"/>
              </w:rPr>
              <w:t>㎡</w:t>
            </w:r>
          </w:p>
          <w:p>
            <w:pPr>
              <w:spacing w:before="63" w:line="223" w:lineRule="auto"/>
              <w:ind w:left="112"/>
              <w:rPr>
                <w:rFonts w:ascii="宋体" w:hAnsi="宋体" w:eastAsia="宋体" w:cs="宋体"/>
                <w:sz w:val="20"/>
                <w:szCs w:val="20"/>
              </w:rPr>
            </w:pPr>
            <w:r>
              <w:rPr>
                <w:rFonts w:ascii="宋体" w:hAnsi="宋体" w:eastAsia="宋体" w:cs="宋体"/>
                <w:spacing w:val="10"/>
                <w:sz w:val="20"/>
                <w:szCs w:val="20"/>
              </w:rPr>
              <w:t>3.导向钻进拖管管径≥300</w:t>
            </w:r>
            <w:r>
              <w:rPr>
                <w:rFonts w:ascii="宋体" w:hAnsi="宋体" w:eastAsia="宋体" w:cs="宋体"/>
                <w:sz w:val="20"/>
                <w:szCs w:val="20"/>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trPr>
        <w:tc>
          <w:tcPr>
            <w:tcW w:w="1065" w:type="dxa"/>
            <w:vMerge w:val="continue"/>
            <w:tcBorders>
              <w:top w:val="nil"/>
              <w:left w:val="single" w:color="000000" w:sz="6" w:space="0"/>
            </w:tcBorders>
            <w:vAlign w:val="top"/>
          </w:tcPr>
          <w:p>
            <w:pPr>
              <w:pStyle w:val="6"/>
            </w:pPr>
          </w:p>
        </w:tc>
        <w:tc>
          <w:tcPr>
            <w:tcW w:w="1028" w:type="dxa"/>
            <w:vAlign w:val="top"/>
          </w:tcPr>
          <w:p>
            <w:pPr>
              <w:pStyle w:val="6"/>
              <w:spacing w:line="377" w:lineRule="auto"/>
            </w:pPr>
          </w:p>
          <w:p>
            <w:pPr>
              <w:spacing w:before="65" w:line="218" w:lineRule="auto"/>
              <w:ind w:left="324"/>
              <w:rPr>
                <w:rFonts w:ascii="宋体" w:hAnsi="宋体" w:eastAsia="宋体" w:cs="宋体"/>
                <w:sz w:val="20"/>
                <w:szCs w:val="20"/>
              </w:rPr>
            </w:pPr>
            <w:r>
              <w:rPr>
                <w:rFonts w:ascii="宋体" w:hAnsi="宋体" w:eastAsia="宋体" w:cs="宋体"/>
                <w:spacing w:val="-7"/>
                <w:sz w:val="20"/>
                <w:szCs w:val="20"/>
              </w:rPr>
              <w:t>Ⅲ类</w:t>
            </w:r>
          </w:p>
        </w:tc>
        <w:tc>
          <w:tcPr>
            <w:tcW w:w="7199" w:type="dxa"/>
            <w:gridSpan w:val="2"/>
            <w:tcBorders>
              <w:right w:val="single" w:color="000000" w:sz="6" w:space="0"/>
            </w:tcBorders>
            <w:vAlign w:val="top"/>
          </w:tcPr>
          <w:p>
            <w:pPr>
              <w:spacing w:before="93" w:line="277" w:lineRule="exact"/>
              <w:ind w:left="126"/>
              <w:rPr>
                <w:rFonts w:ascii="宋体" w:hAnsi="宋体" w:eastAsia="宋体" w:cs="宋体"/>
                <w:sz w:val="20"/>
                <w:szCs w:val="20"/>
              </w:rPr>
            </w:pPr>
            <w:r>
              <w:rPr>
                <w:rFonts w:ascii="宋体" w:hAnsi="宋体" w:eastAsia="宋体" w:cs="宋体"/>
                <w:spacing w:val="5"/>
                <w:position w:val="1"/>
                <w:sz w:val="20"/>
                <w:szCs w:val="20"/>
              </w:rPr>
              <w:t>1.干管管径＜</w:t>
            </w:r>
            <w:r>
              <w:rPr>
                <w:rFonts w:ascii="宋体" w:hAnsi="宋体" w:eastAsia="宋体" w:cs="宋体"/>
                <w:spacing w:val="-56"/>
                <w:position w:val="1"/>
                <w:sz w:val="20"/>
                <w:szCs w:val="20"/>
              </w:rPr>
              <w:t xml:space="preserve"> </w:t>
            </w:r>
            <w:r>
              <w:rPr>
                <w:rFonts w:ascii="宋体" w:hAnsi="宋体" w:eastAsia="宋体" w:cs="宋体"/>
                <w:spacing w:val="5"/>
                <w:position w:val="1"/>
                <w:sz w:val="20"/>
                <w:szCs w:val="20"/>
              </w:rPr>
              <w:t>600</w:t>
            </w:r>
            <w:r>
              <w:rPr>
                <w:rFonts w:ascii="宋体" w:hAnsi="宋体" w:eastAsia="宋体" w:cs="宋体"/>
                <w:position w:val="1"/>
                <w:sz w:val="20"/>
                <w:szCs w:val="20"/>
              </w:rPr>
              <w:t>mm</w:t>
            </w:r>
          </w:p>
          <w:p>
            <w:pPr>
              <w:spacing w:before="63" w:line="278" w:lineRule="exact"/>
              <w:ind w:left="109"/>
              <w:rPr>
                <w:rFonts w:ascii="宋体" w:hAnsi="宋体" w:eastAsia="宋体" w:cs="宋体"/>
                <w:sz w:val="20"/>
                <w:szCs w:val="20"/>
              </w:rPr>
            </w:pPr>
            <w:r>
              <w:rPr>
                <w:rFonts w:ascii="宋体" w:hAnsi="宋体" w:eastAsia="宋体" w:cs="宋体"/>
                <w:spacing w:val="2"/>
                <w:position w:val="1"/>
                <w:sz w:val="20"/>
                <w:szCs w:val="20"/>
              </w:rPr>
              <w:t>2.沟渠、各类地下管沟净断面＜</w:t>
            </w:r>
            <w:r>
              <w:rPr>
                <w:rFonts w:ascii="宋体" w:hAnsi="宋体" w:eastAsia="宋体" w:cs="宋体"/>
                <w:spacing w:val="-53"/>
                <w:position w:val="1"/>
                <w:sz w:val="20"/>
                <w:szCs w:val="20"/>
              </w:rPr>
              <w:t xml:space="preserve"> </w:t>
            </w:r>
            <w:r>
              <w:rPr>
                <w:rFonts w:ascii="宋体" w:hAnsi="宋体" w:eastAsia="宋体" w:cs="宋体"/>
                <w:spacing w:val="2"/>
                <w:position w:val="1"/>
                <w:sz w:val="20"/>
                <w:szCs w:val="20"/>
              </w:rPr>
              <w:t>2</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w:t>
            </w:r>
          </w:p>
          <w:p>
            <w:pPr>
              <w:spacing w:before="60" w:line="223" w:lineRule="auto"/>
              <w:ind w:left="112"/>
              <w:rPr>
                <w:rFonts w:ascii="宋体" w:hAnsi="宋体" w:eastAsia="宋体" w:cs="宋体"/>
                <w:sz w:val="20"/>
                <w:szCs w:val="20"/>
              </w:rPr>
            </w:pPr>
            <w:r>
              <w:rPr>
                <w:rFonts w:ascii="宋体" w:hAnsi="宋体" w:eastAsia="宋体" w:cs="宋体"/>
                <w:spacing w:val="7"/>
                <w:sz w:val="20"/>
                <w:szCs w:val="20"/>
              </w:rPr>
              <w:t>3.导向钻进拖管管径＜</w:t>
            </w:r>
            <w:r>
              <w:rPr>
                <w:rFonts w:ascii="宋体" w:hAnsi="宋体" w:eastAsia="宋体" w:cs="宋体"/>
                <w:spacing w:val="-50"/>
                <w:sz w:val="20"/>
                <w:szCs w:val="20"/>
              </w:rPr>
              <w:t xml:space="preserve"> </w:t>
            </w:r>
            <w:r>
              <w:rPr>
                <w:rFonts w:ascii="宋体" w:hAnsi="宋体" w:eastAsia="宋体" w:cs="宋体"/>
                <w:spacing w:val="7"/>
                <w:sz w:val="20"/>
                <w:szCs w:val="20"/>
              </w:rPr>
              <w:t>300</w:t>
            </w:r>
            <w:r>
              <w:rPr>
                <w:rFonts w:ascii="宋体" w:hAnsi="宋体" w:eastAsia="宋体" w:cs="宋体"/>
                <w:sz w:val="20"/>
                <w:szCs w:val="20"/>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65" w:type="dxa"/>
            <w:vMerge w:val="restart"/>
            <w:tcBorders>
              <w:left w:val="single" w:color="000000" w:sz="6" w:space="0"/>
              <w:bottom w:val="nil"/>
            </w:tcBorders>
            <w:vAlign w:val="top"/>
          </w:tcPr>
          <w:p>
            <w:pPr>
              <w:pStyle w:val="6"/>
              <w:spacing w:line="398" w:lineRule="auto"/>
            </w:pPr>
          </w:p>
          <w:p>
            <w:pPr>
              <w:spacing w:before="65" w:line="337" w:lineRule="auto"/>
              <w:ind w:left="320" w:right="322" w:firstLine="5"/>
              <w:rPr>
                <w:rFonts w:ascii="宋体" w:hAnsi="宋体" w:eastAsia="宋体" w:cs="宋体"/>
                <w:sz w:val="20"/>
                <w:szCs w:val="20"/>
              </w:rPr>
            </w:pPr>
            <w:r>
              <w:rPr>
                <w:rFonts w:ascii="宋体" w:hAnsi="宋体" w:eastAsia="宋体" w:cs="宋体"/>
                <w:spacing w:val="3"/>
                <w:sz w:val="20"/>
                <w:szCs w:val="20"/>
              </w:rPr>
              <w:t>给水</w:t>
            </w:r>
            <w:r>
              <w:rPr>
                <w:rFonts w:ascii="宋体" w:hAnsi="宋体" w:eastAsia="宋体" w:cs="宋体"/>
                <w:spacing w:val="6"/>
                <w:sz w:val="20"/>
                <w:szCs w:val="20"/>
              </w:rPr>
              <w:t>工程</w:t>
            </w:r>
          </w:p>
        </w:tc>
        <w:tc>
          <w:tcPr>
            <w:tcW w:w="1028" w:type="dxa"/>
            <w:vAlign w:val="top"/>
          </w:tcPr>
          <w:p>
            <w:pPr>
              <w:spacing w:before="269" w:line="278" w:lineRule="exact"/>
              <w:ind w:left="372"/>
              <w:rPr>
                <w:rFonts w:ascii="宋体" w:hAnsi="宋体" w:eastAsia="宋体" w:cs="宋体"/>
                <w:sz w:val="20"/>
                <w:szCs w:val="20"/>
              </w:rPr>
            </w:pPr>
            <w:r>
              <w:rPr>
                <w:rFonts w:ascii="宋体" w:hAnsi="宋体" w:eastAsia="宋体" w:cs="宋体"/>
                <w:spacing w:val="-28"/>
                <w:position w:val="1"/>
                <w:sz w:val="20"/>
                <w:szCs w:val="20"/>
              </w:rPr>
              <w:t>Ⅰ类</w:t>
            </w:r>
          </w:p>
        </w:tc>
        <w:tc>
          <w:tcPr>
            <w:tcW w:w="7199" w:type="dxa"/>
            <w:gridSpan w:val="2"/>
            <w:tcBorders>
              <w:right w:val="single" w:color="000000" w:sz="6" w:space="0"/>
            </w:tcBorders>
            <w:vAlign w:val="top"/>
          </w:tcPr>
          <w:p>
            <w:pPr>
              <w:spacing w:before="94" w:line="272" w:lineRule="exact"/>
              <w:ind w:left="126"/>
              <w:rPr>
                <w:rFonts w:ascii="宋体" w:hAnsi="宋体" w:eastAsia="宋体" w:cs="宋体"/>
                <w:sz w:val="20"/>
                <w:szCs w:val="20"/>
              </w:rPr>
            </w:pPr>
            <w:r>
              <w:rPr>
                <w:rFonts w:ascii="宋体" w:hAnsi="宋体" w:eastAsia="宋体" w:cs="宋体"/>
                <w:spacing w:val="7"/>
                <w:position w:val="1"/>
                <w:sz w:val="20"/>
                <w:szCs w:val="20"/>
              </w:rPr>
              <w:t>1.管道试验压力≥1</w:t>
            </w:r>
            <w:r>
              <w:rPr>
                <w:rFonts w:ascii="宋体" w:hAnsi="宋体" w:eastAsia="宋体" w:cs="宋体"/>
                <w:position w:val="1"/>
                <w:sz w:val="20"/>
                <w:szCs w:val="20"/>
              </w:rPr>
              <w:t>Mpa</w:t>
            </w:r>
          </w:p>
          <w:p>
            <w:pPr>
              <w:spacing w:before="68" w:line="221" w:lineRule="auto"/>
              <w:ind w:left="109"/>
              <w:rPr>
                <w:rFonts w:ascii="宋体" w:hAnsi="宋体" w:eastAsia="宋体" w:cs="宋体"/>
                <w:sz w:val="20"/>
                <w:szCs w:val="20"/>
              </w:rPr>
            </w:pPr>
            <w:r>
              <w:rPr>
                <w:rFonts w:ascii="宋体" w:hAnsi="宋体" w:eastAsia="宋体" w:cs="宋体"/>
                <w:spacing w:val="18"/>
                <w:sz w:val="20"/>
                <w:szCs w:val="20"/>
              </w:rPr>
              <w:t>2.管径</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18"/>
                <w:sz w:val="20"/>
                <w:szCs w:val="20"/>
              </w:rPr>
              <w:t>≥1000</w:t>
            </w:r>
            <w:r>
              <w:rPr>
                <w:rFonts w:ascii="宋体" w:hAnsi="宋体" w:eastAsia="宋体" w:cs="宋体"/>
                <w:sz w:val="20"/>
                <w:szCs w:val="20"/>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065" w:type="dxa"/>
            <w:vMerge w:val="continue"/>
            <w:tcBorders>
              <w:top w:val="nil"/>
              <w:left w:val="single" w:color="000000" w:sz="6" w:space="0"/>
              <w:bottom w:val="nil"/>
            </w:tcBorders>
            <w:vAlign w:val="top"/>
          </w:tcPr>
          <w:p>
            <w:pPr>
              <w:pStyle w:val="6"/>
            </w:pPr>
          </w:p>
        </w:tc>
        <w:tc>
          <w:tcPr>
            <w:tcW w:w="1028" w:type="dxa"/>
            <w:vAlign w:val="top"/>
          </w:tcPr>
          <w:p>
            <w:pPr>
              <w:spacing w:before="116" w:line="218" w:lineRule="auto"/>
              <w:ind w:left="348"/>
              <w:rPr>
                <w:rFonts w:ascii="宋体" w:hAnsi="宋体" w:eastAsia="宋体" w:cs="宋体"/>
                <w:sz w:val="20"/>
                <w:szCs w:val="20"/>
              </w:rPr>
            </w:pPr>
            <w:r>
              <w:rPr>
                <w:rFonts w:ascii="宋体" w:hAnsi="宋体" w:eastAsia="宋体" w:cs="宋体"/>
                <w:spacing w:val="-16"/>
                <w:sz w:val="20"/>
                <w:szCs w:val="20"/>
              </w:rPr>
              <w:t>Ⅱ类</w:t>
            </w:r>
          </w:p>
        </w:tc>
        <w:tc>
          <w:tcPr>
            <w:tcW w:w="7199" w:type="dxa"/>
            <w:gridSpan w:val="2"/>
            <w:tcBorders>
              <w:right w:val="single" w:color="000000" w:sz="6" w:space="0"/>
            </w:tcBorders>
            <w:vAlign w:val="top"/>
          </w:tcPr>
          <w:p>
            <w:pPr>
              <w:spacing w:before="111" w:line="224" w:lineRule="auto"/>
              <w:ind w:left="108"/>
              <w:rPr>
                <w:rFonts w:ascii="宋体" w:hAnsi="宋体" w:eastAsia="宋体" w:cs="宋体"/>
                <w:sz w:val="20"/>
                <w:szCs w:val="20"/>
              </w:rPr>
            </w:pPr>
            <w:r>
              <w:rPr>
                <w:rFonts w:ascii="宋体" w:hAnsi="宋体" w:eastAsia="宋体" w:cs="宋体"/>
                <w:spacing w:val="8"/>
                <w:sz w:val="20"/>
                <w:szCs w:val="20"/>
              </w:rPr>
              <w:t>0.7</w:t>
            </w:r>
            <w:r>
              <w:rPr>
                <w:rFonts w:ascii="宋体" w:hAnsi="宋体" w:eastAsia="宋体" w:cs="宋体"/>
                <w:sz w:val="20"/>
                <w:szCs w:val="20"/>
              </w:rPr>
              <w:t>Mpa</w:t>
            </w:r>
            <w:r>
              <w:rPr>
                <w:rFonts w:ascii="宋体" w:hAnsi="宋体" w:eastAsia="宋体" w:cs="宋体"/>
                <w:spacing w:val="8"/>
                <w:sz w:val="20"/>
                <w:szCs w:val="20"/>
              </w:rPr>
              <w:t>≤管道试验压力＜</w:t>
            </w:r>
            <w:r>
              <w:rPr>
                <w:rFonts w:ascii="宋体" w:hAnsi="宋体" w:eastAsia="宋体" w:cs="宋体"/>
                <w:spacing w:val="-35"/>
                <w:sz w:val="20"/>
                <w:szCs w:val="20"/>
              </w:rPr>
              <w:t xml:space="preserve"> </w:t>
            </w:r>
            <w:r>
              <w:rPr>
                <w:rFonts w:ascii="宋体" w:hAnsi="宋体" w:eastAsia="宋体" w:cs="宋体"/>
                <w:spacing w:val="8"/>
                <w:sz w:val="20"/>
                <w:szCs w:val="20"/>
              </w:rPr>
              <w:t>1</w:t>
            </w:r>
            <w:r>
              <w:rPr>
                <w:rFonts w:ascii="宋体" w:hAnsi="宋体" w:eastAsia="宋体" w:cs="宋体"/>
                <w:sz w:val="20"/>
                <w:szCs w:val="20"/>
              </w:rPr>
              <w:t>Mpa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065" w:type="dxa"/>
            <w:vMerge w:val="continue"/>
            <w:tcBorders>
              <w:top w:val="nil"/>
              <w:left w:val="single" w:color="000000" w:sz="6" w:space="0"/>
            </w:tcBorders>
            <w:vAlign w:val="top"/>
          </w:tcPr>
          <w:p>
            <w:pPr>
              <w:pStyle w:val="6"/>
            </w:pPr>
          </w:p>
        </w:tc>
        <w:tc>
          <w:tcPr>
            <w:tcW w:w="1028" w:type="dxa"/>
            <w:vAlign w:val="top"/>
          </w:tcPr>
          <w:p>
            <w:pPr>
              <w:spacing w:before="116" w:line="218" w:lineRule="auto"/>
              <w:ind w:left="331"/>
              <w:rPr>
                <w:rFonts w:ascii="宋体" w:hAnsi="宋体" w:eastAsia="宋体" w:cs="宋体"/>
                <w:sz w:val="20"/>
                <w:szCs w:val="20"/>
              </w:rPr>
            </w:pPr>
            <w:r>
              <w:rPr>
                <w:rFonts w:ascii="宋体" w:hAnsi="宋体" w:eastAsia="宋体" w:cs="宋体"/>
                <w:spacing w:val="-8"/>
                <w:sz w:val="20"/>
                <w:szCs w:val="20"/>
              </w:rPr>
              <w:t>Ⅲ类</w:t>
            </w:r>
          </w:p>
        </w:tc>
        <w:tc>
          <w:tcPr>
            <w:tcW w:w="7199" w:type="dxa"/>
            <w:gridSpan w:val="2"/>
            <w:tcBorders>
              <w:right w:val="single" w:color="000000" w:sz="6" w:space="0"/>
            </w:tcBorders>
            <w:vAlign w:val="top"/>
          </w:tcPr>
          <w:p>
            <w:pPr>
              <w:spacing w:before="111" w:line="224" w:lineRule="auto"/>
              <w:ind w:left="177"/>
              <w:rPr>
                <w:rFonts w:ascii="宋体" w:hAnsi="宋体" w:eastAsia="宋体" w:cs="宋体"/>
                <w:sz w:val="20"/>
                <w:szCs w:val="20"/>
              </w:rPr>
            </w:pPr>
            <w:r>
              <w:rPr>
                <w:rFonts w:ascii="宋体" w:hAnsi="宋体" w:eastAsia="宋体" w:cs="宋体"/>
                <w:spacing w:val="-2"/>
                <w:sz w:val="20"/>
                <w:szCs w:val="20"/>
              </w:rPr>
              <w:t>Ⅰ类、</w:t>
            </w:r>
            <w:r>
              <w:rPr>
                <w:rFonts w:ascii="宋体" w:hAnsi="宋体" w:eastAsia="宋体" w:cs="宋体"/>
                <w:spacing w:val="-44"/>
                <w:sz w:val="20"/>
                <w:szCs w:val="20"/>
              </w:rPr>
              <w:t xml:space="preserve"> </w:t>
            </w:r>
            <w:r>
              <w:rPr>
                <w:rFonts w:ascii="宋体" w:hAnsi="宋体" w:eastAsia="宋体" w:cs="宋体"/>
                <w:spacing w:val="-2"/>
                <w:sz w:val="20"/>
                <w:szCs w:val="20"/>
              </w:rPr>
              <w:t>Ⅱ类以外其他工程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65" w:type="dxa"/>
            <w:vMerge w:val="restart"/>
            <w:tcBorders>
              <w:left w:val="single" w:color="000000" w:sz="6" w:space="0"/>
              <w:bottom w:val="nil"/>
            </w:tcBorders>
            <w:vAlign w:val="top"/>
          </w:tcPr>
          <w:p>
            <w:pPr>
              <w:pStyle w:val="6"/>
              <w:spacing w:line="279" w:lineRule="auto"/>
            </w:pPr>
          </w:p>
          <w:p>
            <w:pPr>
              <w:pStyle w:val="6"/>
              <w:spacing w:line="280" w:lineRule="auto"/>
            </w:pPr>
          </w:p>
          <w:p>
            <w:pPr>
              <w:spacing w:before="65" w:line="336" w:lineRule="auto"/>
              <w:ind w:left="319" w:right="322" w:hanging="3"/>
              <w:rPr>
                <w:rFonts w:ascii="宋体" w:hAnsi="宋体" w:eastAsia="宋体" w:cs="宋体"/>
                <w:sz w:val="20"/>
                <w:szCs w:val="20"/>
              </w:rPr>
            </w:pPr>
            <w:r>
              <w:rPr>
                <w:rFonts w:ascii="宋体" w:hAnsi="宋体" w:eastAsia="宋体" w:cs="宋体"/>
                <w:spacing w:val="8"/>
                <w:sz w:val="20"/>
                <w:szCs w:val="20"/>
              </w:rPr>
              <w:t>燃气</w:t>
            </w:r>
            <w:r>
              <w:rPr>
                <w:rFonts w:ascii="宋体" w:hAnsi="宋体" w:eastAsia="宋体" w:cs="宋体"/>
                <w:spacing w:val="6"/>
                <w:sz w:val="20"/>
                <w:szCs w:val="20"/>
              </w:rPr>
              <w:t>工程</w:t>
            </w:r>
          </w:p>
        </w:tc>
        <w:tc>
          <w:tcPr>
            <w:tcW w:w="1028" w:type="dxa"/>
            <w:vAlign w:val="top"/>
          </w:tcPr>
          <w:p>
            <w:pPr>
              <w:spacing w:before="272" w:line="278" w:lineRule="exact"/>
              <w:ind w:left="372"/>
              <w:rPr>
                <w:rFonts w:ascii="宋体" w:hAnsi="宋体" w:eastAsia="宋体" w:cs="宋体"/>
                <w:sz w:val="20"/>
                <w:szCs w:val="20"/>
              </w:rPr>
            </w:pPr>
            <w:r>
              <w:rPr>
                <w:rFonts w:ascii="宋体" w:hAnsi="宋体" w:eastAsia="宋体" w:cs="宋体"/>
                <w:spacing w:val="-28"/>
                <w:position w:val="1"/>
                <w:sz w:val="20"/>
                <w:szCs w:val="20"/>
              </w:rPr>
              <w:t>Ⅰ类</w:t>
            </w:r>
          </w:p>
        </w:tc>
        <w:tc>
          <w:tcPr>
            <w:tcW w:w="7199" w:type="dxa"/>
            <w:gridSpan w:val="2"/>
            <w:tcBorders>
              <w:right w:val="single" w:color="000000" w:sz="6" w:space="0"/>
            </w:tcBorders>
            <w:vAlign w:val="top"/>
          </w:tcPr>
          <w:p>
            <w:pPr>
              <w:spacing w:before="97" w:line="278" w:lineRule="exact"/>
              <w:ind w:left="126"/>
              <w:rPr>
                <w:rFonts w:ascii="宋体" w:hAnsi="宋体" w:eastAsia="宋体" w:cs="宋体"/>
                <w:sz w:val="20"/>
                <w:szCs w:val="20"/>
              </w:rPr>
            </w:pPr>
            <w:r>
              <w:rPr>
                <w:rFonts w:ascii="宋体" w:hAnsi="宋体" w:eastAsia="宋体" w:cs="宋体"/>
                <w:position w:val="1"/>
                <w:sz w:val="20"/>
                <w:szCs w:val="20"/>
              </w:rPr>
              <w:t>1.高压、次高压工程</w:t>
            </w:r>
          </w:p>
          <w:p>
            <w:pPr>
              <w:spacing w:before="63" w:line="217" w:lineRule="auto"/>
              <w:ind w:left="109"/>
              <w:rPr>
                <w:rFonts w:ascii="宋体" w:hAnsi="宋体" w:eastAsia="宋体" w:cs="宋体"/>
                <w:sz w:val="20"/>
                <w:szCs w:val="20"/>
              </w:rPr>
            </w:pPr>
            <w:r>
              <w:rPr>
                <w:rFonts w:ascii="宋体" w:hAnsi="宋体" w:eastAsia="宋体" w:cs="宋体"/>
                <w:spacing w:val="10"/>
                <w:sz w:val="20"/>
                <w:szCs w:val="20"/>
              </w:rPr>
              <w:t>2.焊缝有无损检测要求且管径≥300</w:t>
            </w:r>
            <w:r>
              <w:rPr>
                <w:rFonts w:ascii="宋体" w:hAnsi="宋体" w:eastAsia="宋体" w:cs="宋体"/>
                <w:sz w:val="20"/>
                <w:szCs w:val="20"/>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65" w:type="dxa"/>
            <w:vMerge w:val="continue"/>
            <w:tcBorders>
              <w:top w:val="nil"/>
              <w:left w:val="single" w:color="000000" w:sz="6" w:space="0"/>
              <w:bottom w:val="nil"/>
            </w:tcBorders>
            <w:vAlign w:val="top"/>
          </w:tcPr>
          <w:p>
            <w:pPr>
              <w:pStyle w:val="6"/>
            </w:pPr>
          </w:p>
        </w:tc>
        <w:tc>
          <w:tcPr>
            <w:tcW w:w="1028" w:type="dxa"/>
            <w:vAlign w:val="top"/>
          </w:tcPr>
          <w:p>
            <w:pPr>
              <w:spacing w:before="280" w:line="218" w:lineRule="auto"/>
              <w:ind w:left="348"/>
              <w:rPr>
                <w:rFonts w:ascii="宋体" w:hAnsi="宋体" w:eastAsia="宋体" w:cs="宋体"/>
                <w:sz w:val="20"/>
                <w:szCs w:val="20"/>
              </w:rPr>
            </w:pPr>
            <w:r>
              <w:rPr>
                <w:rFonts w:ascii="宋体" w:hAnsi="宋体" w:eastAsia="宋体" w:cs="宋体"/>
                <w:spacing w:val="-16"/>
                <w:sz w:val="20"/>
                <w:szCs w:val="20"/>
              </w:rPr>
              <w:t>Ⅱ类</w:t>
            </w:r>
          </w:p>
        </w:tc>
        <w:tc>
          <w:tcPr>
            <w:tcW w:w="7199" w:type="dxa"/>
            <w:gridSpan w:val="2"/>
            <w:tcBorders>
              <w:right w:val="single" w:color="000000" w:sz="6" w:space="0"/>
            </w:tcBorders>
            <w:vAlign w:val="top"/>
          </w:tcPr>
          <w:p>
            <w:pPr>
              <w:spacing w:before="97" w:line="278" w:lineRule="exact"/>
              <w:ind w:left="126"/>
              <w:rPr>
                <w:rFonts w:ascii="宋体" w:hAnsi="宋体" w:eastAsia="宋体" w:cs="宋体"/>
                <w:sz w:val="20"/>
                <w:szCs w:val="20"/>
              </w:rPr>
            </w:pPr>
            <w:r>
              <w:rPr>
                <w:rFonts w:ascii="宋体" w:hAnsi="宋体" w:eastAsia="宋体" w:cs="宋体"/>
                <w:spacing w:val="7"/>
                <w:position w:val="1"/>
                <w:sz w:val="20"/>
                <w:szCs w:val="20"/>
              </w:rPr>
              <w:t>1.焊缝有无损检测要求且管径＜</w:t>
            </w:r>
            <w:r>
              <w:rPr>
                <w:rFonts w:ascii="宋体" w:hAnsi="宋体" w:eastAsia="宋体" w:cs="宋体"/>
                <w:spacing w:val="-52"/>
                <w:position w:val="1"/>
                <w:sz w:val="20"/>
                <w:szCs w:val="20"/>
              </w:rPr>
              <w:t xml:space="preserve"> </w:t>
            </w:r>
            <w:r>
              <w:rPr>
                <w:rFonts w:ascii="宋体" w:hAnsi="宋体" w:eastAsia="宋体" w:cs="宋体"/>
                <w:spacing w:val="7"/>
                <w:position w:val="1"/>
                <w:sz w:val="20"/>
                <w:szCs w:val="20"/>
              </w:rPr>
              <w:t>300</w:t>
            </w:r>
            <w:r>
              <w:rPr>
                <w:rFonts w:ascii="宋体" w:hAnsi="宋体" w:eastAsia="宋体" w:cs="宋体"/>
                <w:position w:val="1"/>
                <w:sz w:val="20"/>
                <w:szCs w:val="20"/>
              </w:rPr>
              <w:t>mm</w:t>
            </w:r>
          </w:p>
          <w:p>
            <w:pPr>
              <w:spacing w:before="62" w:line="218" w:lineRule="auto"/>
              <w:ind w:left="109"/>
              <w:rPr>
                <w:rFonts w:ascii="宋体" w:hAnsi="宋体" w:eastAsia="宋体" w:cs="宋体"/>
                <w:sz w:val="20"/>
                <w:szCs w:val="20"/>
              </w:rPr>
            </w:pPr>
            <w:r>
              <w:rPr>
                <w:rFonts w:ascii="宋体" w:hAnsi="宋体" w:eastAsia="宋体" w:cs="宋体"/>
                <w:spacing w:val="10"/>
                <w:sz w:val="20"/>
                <w:szCs w:val="20"/>
              </w:rPr>
              <w:t>2.焊缝没有无损检测要求且管径≥300</w:t>
            </w:r>
            <w:r>
              <w:rPr>
                <w:rFonts w:ascii="宋体" w:hAnsi="宋体" w:eastAsia="宋体" w:cs="宋体"/>
                <w:sz w:val="20"/>
                <w:szCs w:val="20"/>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4" w:hRule="atLeast"/>
        </w:trPr>
        <w:tc>
          <w:tcPr>
            <w:tcW w:w="1065" w:type="dxa"/>
            <w:vMerge w:val="continue"/>
            <w:tcBorders>
              <w:top w:val="nil"/>
              <w:left w:val="single" w:color="000000" w:sz="6" w:space="0"/>
            </w:tcBorders>
            <w:vAlign w:val="top"/>
          </w:tcPr>
          <w:p>
            <w:pPr>
              <w:pStyle w:val="6"/>
            </w:pPr>
          </w:p>
        </w:tc>
        <w:tc>
          <w:tcPr>
            <w:tcW w:w="1028" w:type="dxa"/>
            <w:vAlign w:val="top"/>
          </w:tcPr>
          <w:p>
            <w:pPr>
              <w:spacing w:before="122" w:line="214" w:lineRule="auto"/>
              <w:ind w:left="331"/>
              <w:rPr>
                <w:rFonts w:ascii="宋体" w:hAnsi="宋体" w:eastAsia="宋体" w:cs="宋体"/>
                <w:sz w:val="20"/>
                <w:szCs w:val="20"/>
              </w:rPr>
            </w:pPr>
            <w:r>
              <w:rPr>
                <w:rFonts w:ascii="宋体" w:hAnsi="宋体" w:eastAsia="宋体" w:cs="宋体"/>
                <w:spacing w:val="-8"/>
                <w:sz w:val="20"/>
                <w:szCs w:val="20"/>
              </w:rPr>
              <w:t>Ⅲ类</w:t>
            </w:r>
          </w:p>
        </w:tc>
        <w:tc>
          <w:tcPr>
            <w:tcW w:w="7199" w:type="dxa"/>
            <w:gridSpan w:val="2"/>
            <w:tcBorders>
              <w:right w:val="single" w:color="000000" w:sz="6" w:space="0"/>
            </w:tcBorders>
            <w:vAlign w:val="top"/>
          </w:tcPr>
          <w:p>
            <w:pPr>
              <w:spacing w:before="116" w:line="219" w:lineRule="auto"/>
              <w:ind w:left="177"/>
              <w:rPr>
                <w:rFonts w:ascii="宋体" w:hAnsi="宋体" w:eastAsia="宋体" w:cs="宋体"/>
                <w:sz w:val="20"/>
                <w:szCs w:val="20"/>
              </w:rPr>
            </w:pPr>
            <w:r>
              <w:rPr>
                <w:rFonts w:ascii="宋体" w:hAnsi="宋体" w:eastAsia="宋体" w:cs="宋体"/>
                <w:spacing w:val="-2"/>
                <w:sz w:val="20"/>
                <w:szCs w:val="20"/>
              </w:rPr>
              <w:t>Ⅰ类、</w:t>
            </w:r>
            <w:r>
              <w:rPr>
                <w:rFonts w:ascii="宋体" w:hAnsi="宋体" w:eastAsia="宋体" w:cs="宋体"/>
                <w:spacing w:val="-44"/>
                <w:sz w:val="20"/>
                <w:szCs w:val="20"/>
              </w:rPr>
              <w:t xml:space="preserve"> </w:t>
            </w:r>
            <w:r>
              <w:rPr>
                <w:rFonts w:ascii="宋体" w:hAnsi="宋体" w:eastAsia="宋体" w:cs="宋体"/>
                <w:spacing w:val="-2"/>
                <w:sz w:val="20"/>
                <w:szCs w:val="20"/>
              </w:rPr>
              <w:t>Ⅱ类以外其他工程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65" w:type="dxa"/>
            <w:vMerge w:val="restart"/>
            <w:tcBorders>
              <w:left w:val="single" w:color="000000" w:sz="6" w:space="0"/>
              <w:bottom w:val="nil"/>
            </w:tcBorders>
            <w:vAlign w:val="top"/>
          </w:tcPr>
          <w:p>
            <w:pPr>
              <w:pStyle w:val="6"/>
              <w:spacing w:line="399" w:lineRule="auto"/>
            </w:pPr>
          </w:p>
          <w:p>
            <w:pPr>
              <w:spacing w:before="65" w:line="320" w:lineRule="auto"/>
              <w:ind w:left="319" w:right="322" w:hanging="1"/>
              <w:rPr>
                <w:rFonts w:ascii="宋体" w:hAnsi="宋体" w:eastAsia="宋体" w:cs="宋体"/>
                <w:sz w:val="20"/>
                <w:szCs w:val="20"/>
              </w:rPr>
            </w:pPr>
            <w:r>
              <w:rPr>
                <w:rFonts w:ascii="宋体" w:hAnsi="宋体" w:eastAsia="宋体" w:cs="宋体"/>
                <w:spacing w:val="7"/>
                <w:sz w:val="20"/>
                <w:szCs w:val="20"/>
              </w:rPr>
              <w:t>供热</w:t>
            </w:r>
            <w:r>
              <w:rPr>
                <w:rFonts w:ascii="宋体" w:hAnsi="宋体" w:eastAsia="宋体" w:cs="宋体"/>
                <w:spacing w:val="6"/>
                <w:sz w:val="20"/>
                <w:szCs w:val="20"/>
              </w:rPr>
              <w:t>工程</w:t>
            </w:r>
          </w:p>
        </w:tc>
        <w:tc>
          <w:tcPr>
            <w:tcW w:w="1028" w:type="dxa"/>
            <w:vAlign w:val="top"/>
          </w:tcPr>
          <w:p>
            <w:pPr>
              <w:spacing w:before="116" w:line="220" w:lineRule="auto"/>
              <w:ind w:left="372"/>
              <w:rPr>
                <w:rFonts w:ascii="宋体" w:hAnsi="宋体" w:eastAsia="宋体" w:cs="宋体"/>
                <w:sz w:val="20"/>
                <w:szCs w:val="20"/>
              </w:rPr>
            </w:pPr>
            <w:r>
              <w:rPr>
                <w:rFonts w:ascii="宋体" w:hAnsi="宋体" w:eastAsia="宋体" w:cs="宋体"/>
                <w:spacing w:val="-28"/>
                <w:sz w:val="20"/>
                <w:szCs w:val="20"/>
              </w:rPr>
              <w:t>Ⅰ类</w:t>
            </w:r>
          </w:p>
        </w:tc>
        <w:tc>
          <w:tcPr>
            <w:tcW w:w="7199" w:type="dxa"/>
            <w:gridSpan w:val="2"/>
            <w:tcBorders>
              <w:right w:val="single" w:color="000000" w:sz="6" w:space="0"/>
            </w:tcBorders>
            <w:vAlign w:val="top"/>
          </w:tcPr>
          <w:p>
            <w:pPr>
              <w:spacing w:before="116" w:line="220" w:lineRule="auto"/>
              <w:ind w:left="112"/>
              <w:rPr>
                <w:rFonts w:ascii="宋体" w:hAnsi="宋体" w:eastAsia="宋体" w:cs="宋体"/>
                <w:sz w:val="20"/>
                <w:szCs w:val="20"/>
              </w:rPr>
            </w:pPr>
            <w:r>
              <w:rPr>
                <w:rFonts w:ascii="宋体" w:hAnsi="宋体" w:eastAsia="宋体" w:cs="宋体"/>
                <w:spacing w:val="14"/>
                <w:sz w:val="20"/>
                <w:szCs w:val="20"/>
              </w:rPr>
              <w:t>干管管径≥500</w:t>
            </w:r>
            <w:r>
              <w:rPr>
                <w:rFonts w:ascii="宋体" w:hAnsi="宋体" w:eastAsia="宋体" w:cs="宋体"/>
                <w:sz w:val="20"/>
                <w:szCs w:val="20"/>
              </w:rPr>
              <w:t>mm</w:t>
            </w:r>
            <w:r>
              <w:rPr>
                <w:rFonts w:ascii="宋体" w:hAnsi="宋体" w:eastAsia="宋体" w:cs="宋体"/>
                <w:spacing w:val="14"/>
                <w:sz w:val="20"/>
                <w:szCs w:val="20"/>
              </w:rPr>
              <w:t>，且干管总长度≥2000m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1065" w:type="dxa"/>
            <w:vMerge w:val="continue"/>
            <w:tcBorders>
              <w:top w:val="nil"/>
              <w:left w:val="single" w:color="000000" w:sz="6" w:space="0"/>
              <w:bottom w:val="nil"/>
            </w:tcBorders>
            <w:vAlign w:val="top"/>
          </w:tcPr>
          <w:p>
            <w:pPr>
              <w:pStyle w:val="6"/>
            </w:pPr>
          </w:p>
        </w:tc>
        <w:tc>
          <w:tcPr>
            <w:tcW w:w="1028" w:type="dxa"/>
            <w:vAlign w:val="top"/>
          </w:tcPr>
          <w:p>
            <w:pPr>
              <w:spacing w:before="282" w:line="218" w:lineRule="auto"/>
              <w:ind w:left="348"/>
              <w:rPr>
                <w:rFonts w:ascii="宋体" w:hAnsi="宋体" w:eastAsia="宋体" w:cs="宋体"/>
                <w:sz w:val="20"/>
                <w:szCs w:val="20"/>
              </w:rPr>
            </w:pPr>
            <w:r>
              <w:rPr>
                <w:rFonts w:ascii="宋体" w:hAnsi="宋体" w:eastAsia="宋体" w:cs="宋体"/>
                <w:spacing w:val="-16"/>
                <w:sz w:val="20"/>
                <w:szCs w:val="20"/>
              </w:rPr>
              <w:t>Ⅱ类</w:t>
            </w:r>
          </w:p>
        </w:tc>
        <w:tc>
          <w:tcPr>
            <w:tcW w:w="7199" w:type="dxa"/>
            <w:gridSpan w:val="2"/>
            <w:tcBorders>
              <w:right w:val="single" w:color="000000" w:sz="6" w:space="0"/>
            </w:tcBorders>
            <w:vAlign w:val="top"/>
          </w:tcPr>
          <w:p>
            <w:pPr>
              <w:spacing w:before="99" w:line="277" w:lineRule="exact"/>
              <w:ind w:left="126"/>
              <w:rPr>
                <w:rFonts w:ascii="宋体" w:hAnsi="宋体" w:eastAsia="宋体" w:cs="宋体"/>
                <w:sz w:val="20"/>
                <w:szCs w:val="20"/>
              </w:rPr>
            </w:pPr>
            <w:r>
              <w:rPr>
                <w:rFonts w:ascii="宋体" w:hAnsi="宋体" w:eastAsia="宋体" w:cs="宋体"/>
                <w:spacing w:val="8"/>
                <w:position w:val="1"/>
                <w:sz w:val="20"/>
                <w:szCs w:val="20"/>
              </w:rPr>
              <w:t>1.干管管径≥500</w:t>
            </w:r>
            <w:r>
              <w:rPr>
                <w:rFonts w:ascii="宋体" w:hAnsi="宋体" w:eastAsia="宋体" w:cs="宋体"/>
                <w:position w:val="1"/>
                <w:sz w:val="20"/>
                <w:szCs w:val="20"/>
              </w:rPr>
              <w:t>mm</w:t>
            </w:r>
            <w:r>
              <w:rPr>
                <w:rFonts w:ascii="宋体" w:hAnsi="宋体" w:eastAsia="宋体" w:cs="宋体"/>
                <w:spacing w:val="8"/>
                <w:position w:val="1"/>
                <w:sz w:val="20"/>
                <w:szCs w:val="20"/>
              </w:rPr>
              <w:t>，且干管总长度＜</w:t>
            </w:r>
            <w:r>
              <w:rPr>
                <w:rFonts w:ascii="宋体" w:hAnsi="宋体" w:eastAsia="宋体" w:cs="宋体"/>
                <w:spacing w:val="-44"/>
                <w:position w:val="1"/>
                <w:sz w:val="20"/>
                <w:szCs w:val="20"/>
              </w:rPr>
              <w:t xml:space="preserve"> </w:t>
            </w:r>
            <w:r>
              <w:rPr>
                <w:rFonts w:ascii="宋体" w:hAnsi="宋体" w:eastAsia="宋体" w:cs="宋体"/>
                <w:spacing w:val="8"/>
                <w:position w:val="1"/>
                <w:sz w:val="20"/>
                <w:szCs w:val="20"/>
              </w:rPr>
              <w:t>2000m</w:t>
            </w:r>
          </w:p>
          <w:p>
            <w:pPr>
              <w:spacing w:before="64" w:line="215" w:lineRule="auto"/>
              <w:ind w:left="109"/>
              <w:rPr>
                <w:rFonts w:ascii="宋体" w:hAnsi="宋体" w:eastAsia="宋体" w:cs="宋体"/>
                <w:sz w:val="20"/>
                <w:szCs w:val="20"/>
              </w:rPr>
            </w:pPr>
            <w:r>
              <w:rPr>
                <w:rFonts w:ascii="宋体" w:hAnsi="宋体" w:eastAsia="宋体" w:cs="宋体"/>
                <w:spacing w:val="12"/>
                <w:sz w:val="20"/>
                <w:szCs w:val="20"/>
              </w:rPr>
              <w:t>2.300</w:t>
            </w:r>
            <w:r>
              <w:rPr>
                <w:rFonts w:ascii="宋体" w:hAnsi="宋体" w:eastAsia="宋体" w:cs="宋体"/>
                <w:sz w:val="20"/>
                <w:szCs w:val="20"/>
              </w:rPr>
              <w:t>mm</w:t>
            </w:r>
            <w:r>
              <w:rPr>
                <w:rFonts w:ascii="宋体" w:hAnsi="宋体" w:eastAsia="宋体" w:cs="宋体"/>
                <w:spacing w:val="12"/>
                <w:sz w:val="20"/>
                <w:szCs w:val="20"/>
              </w:rPr>
              <w:t>≤干管管径＜</w:t>
            </w:r>
            <w:r>
              <w:rPr>
                <w:rFonts w:ascii="宋体" w:hAnsi="宋体" w:eastAsia="宋体" w:cs="宋体"/>
                <w:spacing w:val="-44"/>
                <w:sz w:val="20"/>
                <w:szCs w:val="20"/>
              </w:rPr>
              <w:t xml:space="preserve"> </w:t>
            </w:r>
            <w:r>
              <w:rPr>
                <w:rFonts w:ascii="宋体" w:hAnsi="宋体" w:eastAsia="宋体" w:cs="宋体"/>
                <w:spacing w:val="12"/>
                <w:sz w:val="20"/>
                <w:szCs w:val="20"/>
              </w:rPr>
              <w:t>500</w:t>
            </w:r>
            <w:r>
              <w:rPr>
                <w:rFonts w:ascii="宋体" w:hAnsi="宋体" w:eastAsia="宋体" w:cs="宋体"/>
                <w:sz w:val="20"/>
                <w:szCs w:val="20"/>
              </w:rPr>
              <w:t>mm</w:t>
            </w:r>
            <w:r>
              <w:rPr>
                <w:rFonts w:ascii="宋体" w:hAnsi="宋体" w:eastAsia="宋体" w:cs="宋体"/>
                <w:spacing w:val="12"/>
                <w:sz w:val="20"/>
                <w:szCs w:val="20"/>
              </w:rPr>
              <w:t>，且干管总长度≥2000m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65" w:type="dxa"/>
            <w:vMerge w:val="continue"/>
            <w:tcBorders>
              <w:top w:val="nil"/>
              <w:left w:val="single" w:color="000000" w:sz="6" w:space="0"/>
            </w:tcBorders>
            <w:vAlign w:val="top"/>
          </w:tcPr>
          <w:p>
            <w:pPr>
              <w:pStyle w:val="6"/>
            </w:pPr>
          </w:p>
        </w:tc>
        <w:tc>
          <w:tcPr>
            <w:tcW w:w="1028" w:type="dxa"/>
            <w:vAlign w:val="top"/>
          </w:tcPr>
          <w:p>
            <w:pPr>
              <w:spacing w:before="122" w:line="215" w:lineRule="auto"/>
              <w:ind w:left="331"/>
              <w:rPr>
                <w:rFonts w:ascii="宋体" w:hAnsi="宋体" w:eastAsia="宋体" w:cs="宋体"/>
                <w:sz w:val="20"/>
                <w:szCs w:val="20"/>
              </w:rPr>
            </w:pPr>
            <w:r>
              <w:rPr>
                <w:rFonts w:ascii="宋体" w:hAnsi="宋体" w:eastAsia="宋体" w:cs="宋体"/>
                <w:spacing w:val="-8"/>
                <w:sz w:val="20"/>
                <w:szCs w:val="20"/>
              </w:rPr>
              <w:t>Ⅲ类</w:t>
            </w:r>
          </w:p>
        </w:tc>
        <w:tc>
          <w:tcPr>
            <w:tcW w:w="7199" w:type="dxa"/>
            <w:gridSpan w:val="2"/>
            <w:tcBorders>
              <w:right w:val="single" w:color="000000" w:sz="6" w:space="0"/>
            </w:tcBorders>
            <w:vAlign w:val="top"/>
          </w:tcPr>
          <w:p>
            <w:pPr>
              <w:spacing w:before="116" w:line="220" w:lineRule="auto"/>
              <w:ind w:left="177"/>
              <w:rPr>
                <w:rFonts w:ascii="宋体" w:hAnsi="宋体" w:eastAsia="宋体" w:cs="宋体"/>
                <w:sz w:val="20"/>
                <w:szCs w:val="20"/>
              </w:rPr>
            </w:pPr>
            <w:r>
              <w:rPr>
                <w:rFonts w:ascii="宋体" w:hAnsi="宋体" w:eastAsia="宋体" w:cs="宋体"/>
                <w:spacing w:val="-2"/>
                <w:sz w:val="20"/>
                <w:szCs w:val="20"/>
              </w:rPr>
              <w:t>Ⅰ类、</w:t>
            </w:r>
            <w:r>
              <w:rPr>
                <w:rFonts w:ascii="宋体" w:hAnsi="宋体" w:eastAsia="宋体" w:cs="宋体"/>
                <w:spacing w:val="-44"/>
                <w:sz w:val="20"/>
                <w:szCs w:val="20"/>
              </w:rPr>
              <w:t xml:space="preserve"> </w:t>
            </w:r>
            <w:r>
              <w:rPr>
                <w:rFonts w:ascii="宋体" w:hAnsi="宋体" w:eastAsia="宋体" w:cs="宋体"/>
                <w:spacing w:val="-2"/>
                <w:sz w:val="20"/>
                <w:szCs w:val="20"/>
              </w:rPr>
              <w:t>Ⅱ类以外其他工程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63" w:hRule="atLeast"/>
        </w:trPr>
        <w:tc>
          <w:tcPr>
            <w:tcW w:w="1065" w:type="dxa"/>
            <w:vMerge w:val="restart"/>
            <w:tcBorders>
              <w:left w:val="single" w:color="000000" w:sz="6" w:space="0"/>
              <w:bottom w:val="nil"/>
            </w:tcBorders>
            <w:vAlign w:val="top"/>
          </w:tcPr>
          <w:p>
            <w:pPr>
              <w:pStyle w:val="6"/>
              <w:spacing w:line="279" w:lineRule="auto"/>
            </w:pPr>
          </w:p>
          <w:p>
            <w:pPr>
              <w:pStyle w:val="6"/>
              <w:spacing w:line="280" w:lineRule="auto"/>
            </w:pPr>
          </w:p>
          <w:p>
            <w:pPr>
              <w:spacing w:before="65" w:line="338" w:lineRule="auto"/>
              <w:ind w:left="319" w:right="216" w:hanging="107"/>
              <w:rPr>
                <w:rFonts w:ascii="宋体" w:hAnsi="宋体" w:eastAsia="宋体" w:cs="宋体"/>
                <w:sz w:val="20"/>
                <w:szCs w:val="20"/>
              </w:rPr>
            </w:pPr>
            <w:r>
              <w:rPr>
                <w:rFonts w:ascii="宋体" w:hAnsi="宋体" w:eastAsia="宋体" w:cs="宋体"/>
                <w:spacing w:val="8"/>
                <w:sz w:val="20"/>
                <w:szCs w:val="20"/>
              </w:rPr>
              <w:t>水处理</w:t>
            </w:r>
            <w:r>
              <w:rPr>
                <w:rFonts w:ascii="宋体" w:hAnsi="宋体" w:eastAsia="宋体" w:cs="宋体"/>
                <w:spacing w:val="6"/>
                <w:sz w:val="20"/>
                <w:szCs w:val="20"/>
              </w:rPr>
              <w:t>工程</w:t>
            </w:r>
          </w:p>
        </w:tc>
        <w:tc>
          <w:tcPr>
            <w:tcW w:w="1028" w:type="dxa"/>
            <w:vAlign w:val="top"/>
          </w:tcPr>
          <w:p>
            <w:pPr>
              <w:pStyle w:val="6"/>
              <w:spacing w:line="274" w:lineRule="auto"/>
            </w:pPr>
          </w:p>
          <w:p>
            <w:pPr>
              <w:pStyle w:val="6"/>
              <w:spacing w:line="275" w:lineRule="auto"/>
            </w:pPr>
          </w:p>
          <w:p>
            <w:pPr>
              <w:spacing w:before="65" w:line="277" w:lineRule="exact"/>
              <w:ind w:left="372"/>
              <w:rPr>
                <w:rFonts w:ascii="宋体" w:hAnsi="宋体" w:eastAsia="宋体" w:cs="宋体"/>
                <w:sz w:val="20"/>
                <w:szCs w:val="20"/>
              </w:rPr>
            </w:pPr>
            <w:r>
              <w:rPr>
                <w:rFonts w:ascii="宋体" w:hAnsi="宋体" w:eastAsia="宋体" w:cs="宋体"/>
                <w:spacing w:val="-28"/>
                <w:position w:val="1"/>
                <w:sz w:val="20"/>
                <w:szCs w:val="20"/>
              </w:rPr>
              <w:t>Ⅰ类</w:t>
            </w:r>
          </w:p>
        </w:tc>
        <w:tc>
          <w:tcPr>
            <w:tcW w:w="2796" w:type="dxa"/>
            <w:vAlign w:val="top"/>
          </w:tcPr>
          <w:p>
            <w:pPr>
              <w:spacing w:before="101" w:line="278" w:lineRule="exact"/>
              <w:ind w:left="126"/>
              <w:rPr>
                <w:rFonts w:ascii="宋体" w:hAnsi="宋体" w:eastAsia="宋体" w:cs="宋体"/>
                <w:sz w:val="20"/>
                <w:szCs w:val="20"/>
              </w:rPr>
            </w:pPr>
            <w:r>
              <w:rPr>
                <w:rFonts w:ascii="宋体" w:hAnsi="宋体" w:eastAsia="宋体" w:cs="宋体"/>
                <w:spacing w:val="-3"/>
                <w:position w:val="1"/>
                <w:sz w:val="20"/>
                <w:szCs w:val="20"/>
              </w:rPr>
              <w:t>1.污水处理厂</w:t>
            </w:r>
          </w:p>
          <w:p>
            <w:pPr>
              <w:spacing w:before="63" w:line="277" w:lineRule="exact"/>
              <w:ind w:left="109"/>
              <w:rPr>
                <w:rFonts w:ascii="宋体" w:hAnsi="宋体" w:eastAsia="宋体" w:cs="宋体"/>
                <w:sz w:val="20"/>
                <w:szCs w:val="20"/>
              </w:rPr>
            </w:pPr>
            <w:r>
              <w:rPr>
                <w:rFonts w:ascii="宋体" w:hAnsi="宋体" w:eastAsia="宋体" w:cs="宋体"/>
                <w:spacing w:val="-3"/>
                <w:position w:val="1"/>
                <w:sz w:val="20"/>
                <w:szCs w:val="20"/>
              </w:rPr>
              <w:t>2.雨水泵站</w:t>
            </w:r>
          </w:p>
          <w:p>
            <w:pPr>
              <w:spacing w:before="60" w:line="278" w:lineRule="exact"/>
              <w:ind w:left="112"/>
              <w:rPr>
                <w:rFonts w:ascii="宋体" w:hAnsi="宋体" w:eastAsia="宋体" w:cs="宋体"/>
                <w:sz w:val="20"/>
                <w:szCs w:val="20"/>
              </w:rPr>
            </w:pPr>
            <w:r>
              <w:rPr>
                <w:rFonts w:ascii="宋体" w:hAnsi="宋体" w:eastAsia="宋体" w:cs="宋体"/>
                <w:spacing w:val="-3"/>
                <w:position w:val="1"/>
                <w:sz w:val="20"/>
                <w:szCs w:val="20"/>
              </w:rPr>
              <w:t>3.污水泵站</w:t>
            </w:r>
          </w:p>
          <w:p>
            <w:pPr>
              <w:spacing w:before="62" w:line="214" w:lineRule="auto"/>
              <w:ind w:left="106"/>
              <w:rPr>
                <w:rFonts w:ascii="宋体" w:hAnsi="宋体" w:eastAsia="宋体" w:cs="宋体"/>
                <w:sz w:val="20"/>
                <w:szCs w:val="20"/>
              </w:rPr>
            </w:pPr>
            <w:r>
              <w:rPr>
                <w:rFonts w:ascii="宋体" w:hAnsi="宋体" w:eastAsia="宋体" w:cs="宋体"/>
                <w:spacing w:val="2"/>
                <w:sz w:val="20"/>
                <w:szCs w:val="20"/>
              </w:rPr>
              <w:t>4.净水厂、取水厂</w:t>
            </w:r>
          </w:p>
        </w:tc>
        <w:tc>
          <w:tcPr>
            <w:tcW w:w="4403" w:type="dxa"/>
            <w:tcBorders>
              <w:right w:val="single" w:color="000000" w:sz="6" w:space="0"/>
            </w:tcBorders>
            <w:vAlign w:val="top"/>
          </w:tcPr>
          <w:p>
            <w:pPr>
              <w:spacing w:before="82" w:line="297" w:lineRule="exact"/>
              <w:ind w:left="107"/>
              <w:rPr>
                <w:rFonts w:ascii="宋体" w:hAnsi="宋体" w:eastAsia="宋体" w:cs="宋体"/>
                <w:sz w:val="20"/>
                <w:szCs w:val="20"/>
              </w:rPr>
            </w:pPr>
            <w:r>
              <w:rPr>
                <w:rFonts w:ascii="宋体" w:hAnsi="宋体" w:eastAsia="宋体" w:cs="宋体"/>
                <w:spacing w:val="6"/>
                <w:position w:val="1"/>
                <w:sz w:val="20"/>
                <w:szCs w:val="20"/>
              </w:rPr>
              <w:t>设计日平均水量≥30000m</w:t>
            </w:r>
            <w:r>
              <w:rPr>
                <w:rFonts w:ascii="宋体" w:hAnsi="宋体" w:eastAsia="宋体" w:cs="宋体"/>
                <w:spacing w:val="6"/>
                <w:position w:val="11"/>
                <w:sz w:val="10"/>
                <w:szCs w:val="10"/>
              </w:rPr>
              <w:t>3</w:t>
            </w:r>
            <w:r>
              <w:rPr>
                <w:rFonts w:ascii="宋体" w:hAnsi="宋体" w:eastAsia="宋体" w:cs="宋体"/>
                <w:spacing w:val="6"/>
                <w:position w:val="1"/>
                <w:sz w:val="20"/>
                <w:szCs w:val="20"/>
              </w:rPr>
              <w:t>/d</w:t>
            </w:r>
          </w:p>
          <w:p>
            <w:pPr>
              <w:spacing w:before="63" w:line="277" w:lineRule="exact"/>
              <w:ind w:left="107"/>
              <w:rPr>
                <w:rFonts w:ascii="宋体" w:hAnsi="宋体" w:eastAsia="宋体" w:cs="宋体"/>
                <w:sz w:val="20"/>
                <w:szCs w:val="20"/>
              </w:rPr>
            </w:pPr>
            <w:r>
              <w:rPr>
                <w:rFonts w:ascii="宋体" w:hAnsi="宋体" w:eastAsia="宋体" w:cs="宋体"/>
                <w:spacing w:val="4"/>
                <w:position w:val="1"/>
                <w:sz w:val="20"/>
                <w:szCs w:val="20"/>
              </w:rPr>
              <w:t>设计最大流量≥10000L/s</w:t>
            </w:r>
          </w:p>
          <w:p>
            <w:pPr>
              <w:spacing w:before="60" w:line="278" w:lineRule="exact"/>
              <w:ind w:left="107"/>
              <w:rPr>
                <w:rFonts w:ascii="宋体" w:hAnsi="宋体" w:eastAsia="宋体" w:cs="宋体"/>
                <w:sz w:val="20"/>
                <w:szCs w:val="20"/>
              </w:rPr>
            </w:pPr>
            <w:r>
              <w:rPr>
                <w:rFonts w:ascii="宋体" w:hAnsi="宋体" w:eastAsia="宋体" w:cs="宋体"/>
                <w:spacing w:val="4"/>
                <w:position w:val="1"/>
                <w:sz w:val="20"/>
                <w:szCs w:val="20"/>
              </w:rPr>
              <w:t>设计最大流量≥600L/s</w:t>
            </w:r>
          </w:p>
          <w:p>
            <w:pPr>
              <w:spacing w:before="44" w:line="231" w:lineRule="auto"/>
              <w:ind w:left="107"/>
              <w:rPr>
                <w:rFonts w:ascii="宋体" w:hAnsi="宋体" w:eastAsia="宋体" w:cs="宋体"/>
                <w:sz w:val="20"/>
                <w:szCs w:val="20"/>
              </w:rPr>
            </w:pPr>
            <w:r>
              <w:rPr>
                <w:rFonts w:ascii="宋体" w:hAnsi="宋体" w:eastAsia="宋体" w:cs="宋体"/>
                <w:spacing w:val="6"/>
                <w:sz w:val="20"/>
                <w:szCs w:val="20"/>
              </w:rPr>
              <w:t>设计日处理水量≥50000m</w:t>
            </w:r>
            <w:r>
              <w:rPr>
                <w:rFonts w:ascii="宋体" w:hAnsi="宋体" w:eastAsia="宋体" w:cs="宋体"/>
                <w:spacing w:val="6"/>
                <w:position w:val="10"/>
                <w:sz w:val="10"/>
                <w:szCs w:val="10"/>
              </w:rPr>
              <w:t>3</w:t>
            </w:r>
            <w:r>
              <w:rPr>
                <w:rFonts w:ascii="宋体" w:hAnsi="宋体" w:eastAsia="宋体" w:cs="宋体"/>
                <w:spacing w:val="6"/>
                <w:sz w:val="20"/>
                <w:szCs w:val="20"/>
              </w:rPr>
              <w:t>/d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65" w:type="dxa"/>
            <w:vMerge w:val="continue"/>
            <w:tcBorders>
              <w:top w:val="nil"/>
              <w:left w:val="single" w:color="000000" w:sz="6" w:space="0"/>
            </w:tcBorders>
            <w:vAlign w:val="top"/>
          </w:tcPr>
          <w:p>
            <w:pPr>
              <w:pStyle w:val="6"/>
            </w:pPr>
          </w:p>
        </w:tc>
        <w:tc>
          <w:tcPr>
            <w:tcW w:w="1028" w:type="dxa"/>
            <w:vAlign w:val="top"/>
          </w:tcPr>
          <w:p>
            <w:pPr>
              <w:spacing w:before="124" w:line="213" w:lineRule="auto"/>
              <w:ind w:left="257"/>
              <w:rPr>
                <w:rFonts w:ascii="宋体" w:hAnsi="宋体" w:eastAsia="宋体" w:cs="宋体"/>
                <w:sz w:val="20"/>
                <w:szCs w:val="20"/>
              </w:rPr>
            </w:pPr>
            <w:r>
              <w:rPr>
                <w:rFonts w:ascii="宋体" w:hAnsi="宋体" w:eastAsia="宋体" w:cs="宋体"/>
                <w:spacing w:val="-16"/>
                <w:sz w:val="20"/>
                <w:szCs w:val="20"/>
              </w:rPr>
              <w:t>Ⅱ类</w:t>
            </w:r>
          </w:p>
        </w:tc>
        <w:tc>
          <w:tcPr>
            <w:tcW w:w="7199" w:type="dxa"/>
            <w:gridSpan w:val="2"/>
            <w:tcBorders>
              <w:right w:val="single" w:color="000000" w:sz="6" w:space="0"/>
            </w:tcBorders>
            <w:vAlign w:val="top"/>
          </w:tcPr>
          <w:p>
            <w:pPr>
              <w:spacing w:before="118" w:line="218" w:lineRule="auto"/>
              <w:ind w:left="177"/>
              <w:rPr>
                <w:rFonts w:ascii="宋体" w:hAnsi="宋体" w:eastAsia="宋体" w:cs="宋体"/>
                <w:sz w:val="20"/>
                <w:szCs w:val="20"/>
              </w:rPr>
            </w:pPr>
            <w:r>
              <w:rPr>
                <w:rFonts w:ascii="宋体" w:hAnsi="宋体" w:eastAsia="宋体" w:cs="宋体"/>
                <w:sz w:val="20"/>
                <w:szCs w:val="20"/>
              </w:rPr>
              <w:t>Ⅰ类以外其他工程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4" w:hRule="atLeast"/>
        </w:trPr>
        <w:tc>
          <w:tcPr>
            <w:tcW w:w="1065" w:type="dxa"/>
            <w:vMerge w:val="restart"/>
            <w:tcBorders>
              <w:left w:val="single" w:color="000000" w:sz="6" w:space="0"/>
              <w:bottom w:val="nil"/>
            </w:tcBorders>
            <w:vAlign w:val="top"/>
          </w:tcPr>
          <w:p>
            <w:pPr>
              <w:pStyle w:val="6"/>
              <w:spacing w:line="247" w:lineRule="auto"/>
            </w:pPr>
          </w:p>
          <w:p>
            <w:pPr>
              <w:spacing w:before="65" w:line="338" w:lineRule="auto"/>
              <w:ind w:left="319" w:right="113" w:hanging="209"/>
              <w:rPr>
                <w:rFonts w:ascii="宋体" w:hAnsi="宋体" w:eastAsia="宋体" w:cs="宋体"/>
                <w:sz w:val="20"/>
                <w:szCs w:val="20"/>
              </w:rPr>
            </w:pPr>
            <w:r>
              <w:rPr>
                <w:rFonts w:ascii="宋体" w:hAnsi="宋体" w:eastAsia="宋体" w:cs="宋体"/>
                <w:spacing w:val="7"/>
                <w:sz w:val="20"/>
                <w:szCs w:val="20"/>
              </w:rPr>
              <w:t>垃圾处理</w:t>
            </w:r>
            <w:r>
              <w:rPr>
                <w:rFonts w:ascii="宋体" w:hAnsi="宋体" w:eastAsia="宋体" w:cs="宋体"/>
                <w:spacing w:val="6"/>
                <w:sz w:val="20"/>
                <w:szCs w:val="20"/>
              </w:rPr>
              <w:t>工程</w:t>
            </w:r>
          </w:p>
        </w:tc>
        <w:tc>
          <w:tcPr>
            <w:tcW w:w="1028" w:type="dxa"/>
            <w:vAlign w:val="top"/>
          </w:tcPr>
          <w:p>
            <w:pPr>
              <w:spacing w:before="300" w:line="278" w:lineRule="exact"/>
              <w:ind w:left="372"/>
              <w:rPr>
                <w:rFonts w:ascii="宋体" w:hAnsi="宋体" w:eastAsia="宋体" w:cs="宋体"/>
                <w:sz w:val="20"/>
                <w:szCs w:val="20"/>
              </w:rPr>
            </w:pPr>
            <w:r>
              <w:rPr>
                <w:rFonts w:ascii="宋体" w:hAnsi="宋体" w:eastAsia="宋体" w:cs="宋体"/>
                <w:spacing w:val="-28"/>
                <w:position w:val="1"/>
                <w:sz w:val="20"/>
                <w:szCs w:val="20"/>
              </w:rPr>
              <w:t>Ⅰ类</w:t>
            </w:r>
          </w:p>
        </w:tc>
        <w:tc>
          <w:tcPr>
            <w:tcW w:w="2796" w:type="dxa"/>
            <w:vAlign w:val="top"/>
          </w:tcPr>
          <w:p>
            <w:pPr>
              <w:spacing w:before="120" w:line="278" w:lineRule="exact"/>
              <w:ind w:left="126"/>
              <w:rPr>
                <w:rFonts w:ascii="宋体" w:hAnsi="宋体" w:eastAsia="宋体" w:cs="宋体"/>
                <w:sz w:val="20"/>
                <w:szCs w:val="20"/>
              </w:rPr>
            </w:pPr>
            <w:r>
              <w:rPr>
                <w:rFonts w:ascii="宋体" w:hAnsi="宋体" w:eastAsia="宋体" w:cs="宋体"/>
                <w:position w:val="1"/>
                <w:sz w:val="20"/>
                <w:szCs w:val="20"/>
              </w:rPr>
              <w:t>1.生活垃圾卫生填埋</w:t>
            </w:r>
          </w:p>
          <w:p>
            <w:pPr>
              <w:spacing w:before="81" w:line="216" w:lineRule="auto"/>
              <w:ind w:left="109"/>
              <w:rPr>
                <w:rFonts w:ascii="宋体" w:hAnsi="宋体" w:eastAsia="宋体" w:cs="宋体"/>
                <w:sz w:val="20"/>
                <w:szCs w:val="20"/>
              </w:rPr>
            </w:pPr>
            <w:r>
              <w:rPr>
                <w:rFonts w:ascii="宋体" w:hAnsi="宋体" w:eastAsia="宋体" w:cs="宋体"/>
                <w:sz w:val="20"/>
                <w:szCs w:val="20"/>
              </w:rPr>
              <w:t>2.生活垃圾焚烧</w:t>
            </w:r>
          </w:p>
        </w:tc>
        <w:tc>
          <w:tcPr>
            <w:tcW w:w="4403" w:type="dxa"/>
            <w:tcBorders>
              <w:right w:val="single" w:color="000000" w:sz="6" w:space="0"/>
            </w:tcBorders>
            <w:vAlign w:val="top"/>
          </w:tcPr>
          <w:p>
            <w:pPr>
              <w:spacing w:before="120" w:line="278" w:lineRule="exact"/>
              <w:ind w:left="155"/>
              <w:rPr>
                <w:rFonts w:ascii="宋体" w:hAnsi="宋体" w:eastAsia="宋体" w:cs="宋体"/>
                <w:sz w:val="20"/>
                <w:szCs w:val="20"/>
              </w:rPr>
            </w:pPr>
            <w:r>
              <w:rPr>
                <w:rFonts w:ascii="宋体" w:hAnsi="宋体" w:eastAsia="宋体" w:cs="宋体"/>
                <w:spacing w:val="-5"/>
                <w:position w:val="1"/>
                <w:sz w:val="20"/>
                <w:szCs w:val="20"/>
              </w:rPr>
              <w:t>日处理规模≥1200t/d</w:t>
            </w:r>
          </w:p>
          <w:p>
            <w:pPr>
              <w:spacing w:before="88" w:line="210" w:lineRule="auto"/>
              <w:ind w:left="110"/>
              <w:rPr>
                <w:rFonts w:ascii="宋体" w:hAnsi="宋体" w:eastAsia="宋体" w:cs="宋体"/>
                <w:sz w:val="20"/>
                <w:szCs w:val="20"/>
              </w:rPr>
            </w:pPr>
            <w:r>
              <w:rPr>
                <w:rFonts w:ascii="宋体" w:hAnsi="宋体" w:eastAsia="宋体" w:cs="宋体"/>
                <w:spacing w:val="9"/>
                <w:sz w:val="20"/>
                <w:szCs w:val="20"/>
              </w:rPr>
              <w:t>处理规模限于县级以上生活垃圾焚烧工程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065" w:type="dxa"/>
            <w:vMerge w:val="continue"/>
            <w:tcBorders>
              <w:top w:val="nil"/>
              <w:left w:val="single" w:color="000000" w:sz="6" w:space="0"/>
            </w:tcBorders>
            <w:vAlign w:val="top"/>
          </w:tcPr>
          <w:p>
            <w:pPr>
              <w:pStyle w:val="6"/>
            </w:pPr>
          </w:p>
        </w:tc>
        <w:tc>
          <w:tcPr>
            <w:tcW w:w="1028" w:type="dxa"/>
            <w:vAlign w:val="top"/>
          </w:tcPr>
          <w:p>
            <w:pPr>
              <w:spacing w:before="126" w:line="211" w:lineRule="auto"/>
              <w:ind w:left="348"/>
              <w:rPr>
                <w:rFonts w:ascii="宋体" w:hAnsi="宋体" w:eastAsia="宋体" w:cs="宋体"/>
                <w:sz w:val="20"/>
                <w:szCs w:val="20"/>
              </w:rPr>
            </w:pPr>
            <w:r>
              <w:rPr>
                <w:rFonts w:ascii="宋体" w:hAnsi="宋体" w:eastAsia="宋体" w:cs="宋体"/>
                <w:spacing w:val="-16"/>
                <w:sz w:val="20"/>
                <w:szCs w:val="20"/>
              </w:rPr>
              <w:t>Ⅱ类</w:t>
            </w:r>
          </w:p>
        </w:tc>
        <w:tc>
          <w:tcPr>
            <w:tcW w:w="2796" w:type="dxa"/>
            <w:vAlign w:val="top"/>
          </w:tcPr>
          <w:p>
            <w:pPr>
              <w:spacing w:before="126" w:line="211" w:lineRule="auto"/>
              <w:ind w:left="110"/>
              <w:rPr>
                <w:rFonts w:ascii="宋体" w:hAnsi="宋体" w:eastAsia="宋体" w:cs="宋体"/>
                <w:sz w:val="20"/>
                <w:szCs w:val="20"/>
              </w:rPr>
            </w:pPr>
            <w:r>
              <w:rPr>
                <w:rFonts w:ascii="宋体" w:hAnsi="宋体" w:eastAsia="宋体" w:cs="宋体"/>
                <w:spacing w:val="8"/>
                <w:sz w:val="20"/>
                <w:szCs w:val="20"/>
              </w:rPr>
              <w:t>生活垃圾卫生填埋</w:t>
            </w:r>
          </w:p>
        </w:tc>
        <w:tc>
          <w:tcPr>
            <w:tcW w:w="4403" w:type="dxa"/>
            <w:tcBorders>
              <w:right w:val="single" w:color="000000" w:sz="6" w:space="0"/>
            </w:tcBorders>
            <w:vAlign w:val="top"/>
          </w:tcPr>
          <w:p>
            <w:pPr>
              <w:spacing w:before="121" w:line="216" w:lineRule="auto"/>
              <w:ind w:left="155"/>
              <w:rPr>
                <w:rFonts w:ascii="宋体" w:hAnsi="宋体" w:eastAsia="宋体" w:cs="宋体"/>
                <w:sz w:val="20"/>
                <w:szCs w:val="20"/>
              </w:rPr>
            </w:pPr>
            <w:r>
              <w:rPr>
                <w:rFonts w:ascii="宋体" w:hAnsi="宋体" w:eastAsia="宋体" w:cs="宋体"/>
                <w:spacing w:val="-9"/>
                <w:sz w:val="20"/>
                <w:szCs w:val="20"/>
              </w:rPr>
              <w:t>日处理规模＜</w:t>
            </w:r>
            <w:r>
              <w:rPr>
                <w:rFonts w:ascii="宋体" w:hAnsi="宋体" w:eastAsia="宋体" w:cs="宋体"/>
                <w:spacing w:val="-39"/>
                <w:sz w:val="20"/>
                <w:szCs w:val="20"/>
              </w:rPr>
              <w:t xml:space="preserve"> </w:t>
            </w:r>
            <w:r>
              <w:rPr>
                <w:rFonts w:ascii="宋体" w:hAnsi="宋体" w:eastAsia="宋体" w:cs="宋体"/>
                <w:spacing w:val="-9"/>
                <w:sz w:val="20"/>
                <w:szCs w:val="20"/>
              </w:rPr>
              <w:t>1200t/d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trPr>
        <w:tc>
          <w:tcPr>
            <w:tcW w:w="1065" w:type="dxa"/>
            <w:vMerge w:val="restart"/>
            <w:tcBorders>
              <w:left w:val="single" w:color="000000" w:sz="6" w:space="0"/>
              <w:bottom w:val="nil"/>
            </w:tcBorders>
            <w:vAlign w:val="top"/>
          </w:tcPr>
          <w:p>
            <w:pPr>
              <w:pStyle w:val="6"/>
              <w:spacing w:line="301" w:lineRule="auto"/>
            </w:pPr>
          </w:p>
          <w:p>
            <w:pPr>
              <w:pStyle w:val="6"/>
              <w:spacing w:line="301" w:lineRule="auto"/>
            </w:pPr>
          </w:p>
          <w:p>
            <w:pPr>
              <w:pStyle w:val="6"/>
              <w:spacing w:line="302" w:lineRule="auto"/>
            </w:pPr>
          </w:p>
          <w:p>
            <w:pPr>
              <w:spacing w:before="65" w:line="337" w:lineRule="auto"/>
              <w:ind w:left="320" w:right="322"/>
              <w:rPr>
                <w:rFonts w:ascii="宋体" w:hAnsi="宋体" w:eastAsia="宋体" w:cs="宋体"/>
                <w:sz w:val="20"/>
                <w:szCs w:val="20"/>
              </w:rPr>
            </w:pPr>
            <w:r>
              <w:rPr>
                <w:rFonts w:ascii="宋体" w:hAnsi="宋体" w:eastAsia="宋体" w:cs="宋体"/>
                <w:spacing w:val="6"/>
                <w:sz w:val="20"/>
                <w:szCs w:val="20"/>
              </w:rPr>
              <w:t>路灯工程</w:t>
            </w:r>
          </w:p>
        </w:tc>
        <w:tc>
          <w:tcPr>
            <w:tcW w:w="1028" w:type="dxa"/>
            <w:vAlign w:val="top"/>
          </w:tcPr>
          <w:p>
            <w:pPr>
              <w:pStyle w:val="6"/>
              <w:spacing w:line="382" w:lineRule="auto"/>
            </w:pPr>
          </w:p>
          <w:p>
            <w:pPr>
              <w:spacing w:before="65" w:line="277" w:lineRule="exact"/>
              <w:ind w:left="372"/>
              <w:rPr>
                <w:rFonts w:ascii="宋体" w:hAnsi="宋体" w:eastAsia="宋体" w:cs="宋体"/>
                <w:sz w:val="20"/>
                <w:szCs w:val="20"/>
              </w:rPr>
            </w:pPr>
            <w:r>
              <w:rPr>
                <w:rFonts w:ascii="宋体" w:hAnsi="宋体" w:eastAsia="宋体" w:cs="宋体"/>
                <w:spacing w:val="-28"/>
                <w:position w:val="1"/>
                <w:sz w:val="20"/>
                <w:szCs w:val="20"/>
              </w:rPr>
              <w:t>Ⅰ类</w:t>
            </w:r>
          </w:p>
        </w:tc>
        <w:tc>
          <w:tcPr>
            <w:tcW w:w="7199" w:type="dxa"/>
            <w:gridSpan w:val="2"/>
            <w:tcBorders>
              <w:right w:val="single" w:color="000000" w:sz="6" w:space="0"/>
            </w:tcBorders>
            <w:vAlign w:val="top"/>
          </w:tcPr>
          <w:p>
            <w:pPr>
              <w:spacing w:before="103" w:line="278" w:lineRule="exact"/>
              <w:ind w:left="126"/>
              <w:rPr>
                <w:rFonts w:ascii="宋体" w:hAnsi="宋体" w:eastAsia="宋体" w:cs="宋体"/>
                <w:sz w:val="20"/>
                <w:szCs w:val="20"/>
              </w:rPr>
            </w:pPr>
            <w:r>
              <w:rPr>
                <w:rFonts w:ascii="宋体" w:hAnsi="宋体" w:eastAsia="宋体" w:cs="宋体"/>
                <w:spacing w:val="3"/>
                <w:position w:val="1"/>
                <w:sz w:val="20"/>
                <w:szCs w:val="20"/>
              </w:rPr>
              <w:t>1.路灯灯杆≥15m</w:t>
            </w:r>
          </w:p>
          <w:p>
            <w:pPr>
              <w:spacing w:before="63" w:line="277" w:lineRule="exact"/>
              <w:ind w:left="109"/>
              <w:rPr>
                <w:rFonts w:ascii="宋体" w:hAnsi="宋体" w:eastAsia="宋体" w:cs="宋体"/>
                <w:sz w:val="20"/>
                <w:szCs w:val="20"/>
              </w:rPr>
            </w:pPr>
            <w:r>
              <w:rPr>
                <w:rFonts w:ascii="宋体" w:hAnsi="宋体" w:eastAsia="宋体" w:cs="宋体"/>
                <w:spacing w:val="-3"/>
                <w:position w:val="1"/>
                <w:sz w:val="20"/>
                <w:szCs w:val="20"/>
              </w:rPr>
              <w:t>2.桥面路灯</w:t>
            </w:r>
          </w:p>
          <w:p>
            <w:pPr>
              <w:spacing w:before="63" w:line="211" w:lineRule="auto"/>
              <w:ind w:left="112"/>
              <w:rPr>
                <w:rFonts w:ascii="宋体" w:hAnsi="宋体" w:eastAsia="宋体" w:cs="宋体"/>
                <w:sz w:val="20"/>
                <w:szCs w:val="20"/>
              </w:rPr>
            </w:pPr>
            <w:r>
              <w:rPr>
                <w:rFonts w:ascii="宋体" w:hAnsi="宋体" w:eastAsia="宋体" w:cs="宋体"/>
                <w:spacing w:val="-1"/>
                <w:sz w:val="20"/>
                <w:szCs w:val="20"/>
              </w:rPr>
              <w:t>3.高架桥路灯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trPr>
        <w:tc>
          <w:tcPr>
            <w:tcW w:w="1065" w:type="dxa"/>
            <w:vMerge w:val="continue"/>
            <w:tcBorders>
              <w:top w:val="nil"/>
              <w:left w:val="single" w:color="000000" w:sz="6" w:space="0"/>
              <w:bottom w:val="nil"/>
            </w:tcBorders>
            <w:vAlign w:val="top"/>
          </w:tcPr>
          <w:p>
            <w:pPr>
              <w:pStyle w:val="6"/>
            </w:pPr>
          </w:p>
        </w:tc>
        <w:tc>
          <w:tcPr>
            <w:tcW w:w="1028" w:type="dxa"/>
            <w:vAlign w:val="top"/>
          </w:tcPr>
          <w:p>
            <w:pPr>
              <w:pStyle w:val="6"/>
              <w:spacing w:line="390" w:lineRule="auto"/>
            </w:pPr>
          </w:p>
          <w:p>
            <w:pPr>
              <w:spacing w:before="65" w:line="218" w:lineRule="auto"/>
              <w:ind w:left="348"/>
              <w:rPr>
                <w:rFonts w:ascii="宋体" w:hAnsi="宋体" w:eastAsia="宋体" w:cs="宋体"/>
                <w:sz w:val="20"/>
                <w:szCs w:val="20"/>
              </w:rPr>
            </w:pPr>
            <w:r>
              <w:rPr>
                <w:rFonts w:ascii="宋体" w:hAnsi="宋体" w:eastAsia="宋体" w:cs="宋体"/>
                <w:spacing w:val="-16"/>
                <w:sz w:val="20"/>
                <w:szCs w:val="20"/>
              </w:rPr>
              <w:t>Ⅱ类</w:t>
            </w:r>
          </w:p>
        </w:tc>
        <w:tc>
          <w:tcPr>
            <w:tcW w:w="7199" w:type="dxa"/>
            <w:gridSpan w:val="2"/>
            <w:tcBorders>
              <w:right w:val="single" w:color="000000" w:sz="6" w:space="0"/>
            </w:tcBorders>
            <w:vAlign w:val="top"/>
          </w:tcPr>
          <w:p>
            <w:pPr>
              <w:spacing w:before="104" w:line="278" w:lineRule="exact"/>
              <w:ind w:left="126"/>
              <w:rPr>
                <w:rFonts w:ascii="宋体" w:hAnsi="宋体" w:eastAsia="宋体" w:cs="宋体"/>
                <w:sz w:val="20"/>
                <w:szCs w:val="20"/>
              </w:rPr>
            </w:pPr>
            <w:r>
              <w:rPr>
                <w:rFonts w:ascii="宋体" w:hAnsi="宋体" w:eastAsia="宋体" w:cs="宋体"/>
                <w:spacing w:val="4"/>
                <w:position w:val="1"/>
                <w:sz w:val="20"/>
                <w:szCs w:val="20"/>
              </w:rPr>
              <w:t>1.路灯灯杆≥6m，且＜</w:t>
            </w:r>
            <w:r>
              <w:rPr>
                <w:rFonts w:ascii="宋体" w:hAnsi="宋体" w:eastAsia="宋体" w:cs="宋体"/>
                <w:spacing w:val="-37"/>
                <w:position w:val="1"/>
                <w:sz w:val="20"/>
                <w:szCs w:val="20"/>
              </w:rPr>
              <w:t xml:space="preserve"> </w:t>
            </w:r>
            <w:r>
              <w:rPr>
                <w:rFonts w:ascii="宋体" w:hAnsi="宋体" w:eastAsia="宋体" w:cs="宋体"/>
                <w:spacing w:val="4"/>
                <w:position w:val="1"/>
                <w:sz w:val="20"/>
                <w:szCs w:val="20"/>
              </w:rPr>
              <w:t>15m</w:t>
            </w:r>
          </w:p>
          <w:p>
            <w:pPr>
              <w:spacing w:before="63" w:line="278" w:lineRule="exact"/>
              <w:ind w:left="109"/>
              <w:rPr>
                <w:rFonts w:ascii="宋体" w:hAnsi="宋体" w:eastAsia="宋体" w:cs="宋体"/>
                <w:sz w:val="20"/>
                <w:szCs w:val="20"/>
              </w:rPr>
            </w:pPr>
            <w:r>
              <w:rPr>
                <w:rFonts w:ascii="宋体" w:hAnsi="宋体" w:eastAsia="宋体" w:cs="宋体"/>
                <w:spacing w:val="-1"/>
                <w:position w:val="1"/>
                <w:sz w:val="20"/>
                <w:szCs w:val="20"/>
              </w:rPr>
              <w:t>2.桥栏装饰灯</w:t>
            </w:r>
          </w:p>
          <w:p>
            <w:pPr>
              <w:spacing w:before="54" w:line="218" w:lineRule="auto"/>
              <w:ind w:left="112"/>
              <w:rPr>
                <w:rFonts w:ascii="宋体" w:hAnsi="宋体" w:eastAsia="宋体" w:cs="宋体"/>
                <w:sz w:val="20"/>
                <w:szCs w:val="20"/>
              </w:rPr>
            </w:pPr>
            <w:r>
              <w:rPr>
                <w:rFonts w:ascii="宋体" w:hAnsi="宋体" w:eastAsia="宋体" w:cs="宋体"/>
                <w:spacing w:val="5"/>
                <w:sz w:val="20"/>
                <w:szCs w:val="20"/>
              </w:rPr>
              <w:t>3.电力、通讯线路≥双层排管，且根数≥12</w:t>
            </w:r>
            <w:r>
              <w:rPr>
                <w:rFonts w:ascii="宋体" w:hAnsi="宋体" w:eastAsia="宋体" w:cs="宋体"/>
                <w:spacing w:val="-25"/>
                <w:sz w:val="20"/>
                <w:szCs w:val="20"/>
              </w:rPr>
              <w:t xml:space="preserve"> </w:t>
            </w:r>
            <w:r>
              <w:rPr>
                <w:rFonts w:ascii="宋体" w:hAnsi="宋体" w:eastAsia="宋体" w:cs="宋体"/>
                <w:spacing w:val="5"/>
                <w:sz w:val="20"/>
                <w:szCs w:val="20"/>
              </w:rPr>
              <w:t>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1065" w:type="dxa"/>
            <w:vMerge w:val="continue"/>
            <w:tcBorders>
              <w:top w:val="nil"/>
              <w:left w:val="single" w:color="000000" w:sz="6" w:space="0"/>
              <w:bottom w:val="single" w:color="000000" w:sz="6" w:space="0"/>
            </w:tcBorders>
            <w:vAlign w:val="top"/>
          </w:tcPr>
          <w:p>
            <w:pPr>
              <w:pStyle w:val="6"/>
            </w:pPr>
          </w:p>
        </w:tc>
        <w:tc>
          <w:tcPr>
            <w:tcW w:w="1028" w:type="dxa"/>
            <w:tcBorders>
              <w:bottom w:val="single" w:color="000000" w:sz="6" w:space="0"/>
            </w:tcBorders>
            <w:vAlign w:val="top"/>
          </w:tcPr>
          <w:p>
            <w:pPr>
              <w:spacing w:before="127" w:line="218" w:lineRule="auto"/>
              <w:ind w:left="331"/>
              <w:rPr>
                <w:rFonts w:ascii="宋体" w:hAnsi="宋体" w:eastAsia="宋体" w:cs="宋体"/>
                <w:sz w:val="20"/>
                <w:szCs w:val="20"/>
              </w:rPr>
            </w:pPr>
            <w:r>
              <w:rPr>
                <w:rFonts w:ascii="宋体" w:hAnsi="宋体" w:eastAsia="宋体" w:cs="宋体"/>
                <w:spacing w:val="-8"/>
                <w:sz w:val="20"/>
                <w:szCs w:val="20"/>
              </w:rPr>
              <w:t>Ⅲ类</w:t>
            </w:r>
          </w:p>
        </w:tc>
        <w:tc>
          <w:tcPr>
            <w:tcW w:w="7199" w:type="dxa"/>
            <w:gridSpan w:val="2"/>
            <w:tcBorders>
              <w:bottom w:val="single" w:color="000000" w:sz="6" w:space="0"/>
              <w:right w:val="single" w:color="000000" w:sz="6" w:space="0"/>
            </w:tcBorders>
            <w:vAlign w:val="top"/>
          </w:tcPr>
          <w:p>
            <w:pPr>
              <w:spacing w:before="121" w:line="228" w:lineRule="auto"/>
              <w:ind w:left="177"/>
              <w:rPr>
                <w:rFonts w:ascii="宋体" w:hAnsi="宋体" w:eastAsia="宋体" w:cs="宋体"/>
                <w:sz w:val="20"/>
                <w:szCs w:val="20"/>
              </w:rPr>
            </w:pPr>
            <w:r>
              <w:rPr>
                <w:rFonts w:ascii="宋体" w:hAnsi="宋体" w:eastAsia="宋体" w:cs="宋体"/>
                <w:spacing w:val="-2"/>
                <w:sz w:val="20"/>
                <w:szCs w:val="20"/>
              </w:rPr>
              <w:t>Ⅰ类、</w:t>
            </w:r>
            <w:r>
              <w:rPr>
                <w:rFonts w:ascii="宋体" w:hAnsi="宋体" w:eastAsia="宋体" w:cs="宋体"/>
                <w:spacing w:val="-44"/>
                <w:sz w:val="20"/>
                <w:szCs w:val="20"/>
              </w:rPr>
              <w:t xml:space="preserve"> </w:t>
            </w:r>
            <w:r>
              <w:rPr>
                <w:rFonts w:ascii="宋体" w:hAnsi="宋体" w:eastAsia="宋体" w:cs="宋体"/>
                <w:spacing w:val="-2"/>
                <w:sz w:val="20"/>
                <w:szCs w:val="20"/>
              </w:rPr>
              <w:t>Ⅱ类以外其他工程</w:t>
            </w:r>
          </w:p>
        </w:tc>
      </w:tr>
    </w:tbl>
    <w:p>
      <w:pPr>
        <w:rPr>
          <w:rFonts w:ascii="Arial"/>
          <w:sz w:val="21"/>
        </w:rPr>
      </w:pPr>
    </w:p>
    <w:p>
      <w:pPr>
        <w:rPr>
          <w:rFonts w:ascii="Arial" w:hAnsi="Arial" w:eastAsia="Arial" w:cs="Arial"/>
          <w:sz w:val="21"/>
          <w:szCs w:val="21"/>
        </w:rPr>
        <w:sectPr>
          <w:footerReference r:id="rId132" w:type="default"/>
          <w:pgSz w:w="11906" w:h="16839"/>
          <w:pgMar w:top="400" w:right="1299" w:bottom="1212" w:left="1299" w:header="0" w:footer="897" w:gutter="0"/>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2"/>
        <w:spacing w:before="103" w:line="197" w:lineRule="auto"/>
        <w:ind w:left="471"/>
        <w:rPr>
          <w:sz w:val="24"/>
          <w:szCs w:val="24"/>
        </w:rPr>
      </w:pPr>
      <w:r>
        <w:rPr>
          <w:spacing w:val="-10"/>
          <w:sz w:val="24"/>
          <w:szCs w:val="24"/>
        </w:rPr>
        <w:t>（ 二 ）市政工程类别划分说明</w:t>
      </w:r>
    </w:p>
    <w:p>
      <w:pPr>
        <w:spacing w:before="56" w:line="277" w:lineRule="exact"/>
        <w:ind w:left="440"/>
        <w:rPr>
          <w:rFonts w:ascii="宋体" w:hAnsi="宋体" w:eastAsia="宋体" w:cs="宋体"/>
          <w:sz w:val="20"/>
          <w:szCs w:val="20"/>
        </w:rPr>
      </w:pPr>
      <w:r>
        <w:rPr>
          <w:rFonts w:ascii="宋体" w:hAnsi="宋体" w:eastAsia="宋体" w:cs="宋体"/>
          <w:spacing w:val="7"/>
          <w:position w:val="1"/>
          <w:sz w:val="20"/>
          <w:szCs w:val="20"/>
        </w:rPr>
        <w:t>1. 单位工程的类别划分按主体工程确定，附属工程按主体工程类别</w:t>
      </w:r>
      <w:r>
        <w:rPr>
          <w:rFonts w:ascii="宋体" w:hAnsi="宋体" w:eastAsia="宋体" w:cs="宋体"/>
          <w:spacing w:val="6"/>
          <w:position w:val="1"/>
          <w:sz w:val="20"/>
          <w:szCs w:val="20"/>
        </w:rPr>
        <w:t>取定。</w:t>
      </w:r>
    </w:p>
    <w:p>
      <w:pPr>
        <w:spacing w:before="83" w:line="277" w:lineRule="exact"/>
        <w:ind w:left="423"/>
        <w:rPr>
          <w:rFonts w:ascii="宋体" w:hAnsi="宋体" w:eastAsia="宋体" w:cs="宋体"/>
          <w:sz w:val="20"/>
          <w:szCs w:val="20"/>
        </w:rPr>
      </w:pPr>
      <w:r>
        <w:rPr>
          <w:rFonts w:ascii="宋体" w:hAnsi="宋体" w:eastAsia="宋体" w:cs="宋体"/>
          <w:spacing w:val="-4"/>
          <w:position w:val="1"/>
          <w:sz w:val="20"/>
          <w:szCs w:val="20"/>
        </w:rPr>
        <w:t>2.</w:t>
      </w:r>
      <w:r>
        <w:rPr>
          <w:rFonts w:ascii="宋体" w:hAnsi="宋体" w:eastAsia="宋体" w:cs="宋体"/>
          <w:spacing w:val="16"/>
          <w:position w:val="1"/>
          <w:sz w:val="20"/>
          <w:szCs w:val="20"/>
        </w:rPr>
        <w:t xml:space="preserve"> </w:t>
      </w:r>
      <w:r>
        <w:rPr>
          <w:rFonts w:ascii="宋体" w:hAnsi="宋体" w:eastAsia="宋体" w:cs="宋体"/>
          <w:spacing w:val="-4"/>
          <w:position w:val="1"/>
          <w:sz w:val="20"/>
          <w:szCs w:val="20"/>
        </w:rPr>
        <w:t>道路工程</w:t>
      </w:r>
    </w:p>
    <w:p>
      <w:pPr>
        <w:spacing w:before="81" w:line="279" w:lineRule="auto"/>
        <w:ind w:right="12" w:firstLine="412"/>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6"/>
          <w:sz w:val="20"/>
          <w:szCs w:val="20"/>
        </w:rPr>
        <w:t xml:space="preserve"> </w:t>
      </w:r>
      <w:r>
        <w:rPr>
          <w:rFonts w:ascii="宋体" w:hAnsi="宋体" w:eastAsia="宋体" w:cs="宋体"/>
          <w:spacing w:val="4"/>
          <w:sz w:val="20"/>
          <w:szCs w:val="20"/>
        </w:rPr>
        <w:t>1）道路工程按面层厚度划分，需同时满足道路等级和面层厚度两个条件；如仅满</w:t>
      </w:r>
      <w:r>
        <w:rPr>
          <w:rFonts w:ascii="宋体" w:hAnsi="宋体" w:eastAsia="宋体" w:cs="宋体"/>
          <w:spacing w:val="3"/>
          <w:sz w:val="20"/>
          <w:szCs w:val="20"/>
        </w:rPr>
        <w:t>足一个条件，</w:t>
      </w:r>
      <w:r>
        <w:rPr>
          <w:rFonts w:ascii="宋体" w:hAnsi="宋体" w:eastAsia="宋体" w:cs="宋体"/>
          <w:spacing w:val="9"/>
          <w:sz w:val="20"/>
          <w:szCs w:val="20"/>
        </w:rPr>
        <w:t>应按照道路等级对应的类别降低一个类别执行。</w:t>
      </w:r>
    </w:p>
    <w:p>
      <w:pPr>
        <w:spacing w:before="116" w:line="277" w:lineRule="exact"/>
        <w:ind w:left="413"/>
        <w:rPr>
          <w:rFonts w:ascii="宋体" w:hAnsi="宋体" w:eastAsia="宋体" w:cs="宋体"/>
          <w:sz w:val="20"/>
          <w:szCs w:val="20"/>
        </w:rPr>
      </w:pPr>
      <w:r>
        <w:rPr>
          <w:rFonts w:ascii="宋体" w:hAnsi="宋体" w:eastAsia="宋体" w:cs="宋体"/>
          <w:spacing w:val="10"/>
          <w:position w:val="1"/>
          <w:sz w:val="20"/>
          <w:szCs w:val="20"/>
        </w:rPr>
        <w:t>（2）小区内道路、厂（场）区道路执行市政定额时，</w:t>
      </w:r>
      <w:r>
        <w:rPr>
          <w:rFonts w:ascii="宋体" w:hAnsi="宋体" w:eastAsia="宋体" w:cs="宋体"/>
          <w:spacing w:val="9"/>
          <w:position w:val="1"/>
          <w:sz w:val="20"/>
          <w:szCs w:val="20"/>
        </w:rPr>
        <w:t>按上述标准降低一个类别执行。</w:t>
      </w:r>
    </w:p>
    <w:p>
      <w:pPr>
        <w:spacing w:before="83" w:line="277" w:lineRule="exact"/>
        <w:ind w:left="413"/>
        <w:rPr>
          <w:rFonts w:ascii="宋体" w:hAnsi="宋体" w:eastAsia="宋体" w:cs="宋体"/>
          <w:sz w:val="20"/>
          <w:szCs w:val="20"/>
        </w:rPr>
      </w:pPr>
      <w:r>
        <w:rPr>
          <w:rFonts w:ascii="宋体" w:hAnsi="宋体" w:eastAsia="宋体" w:cs="宋体"/>
          <w:spacing w:val="10"/>
          <w:position w:val="1"/>
          <w:sz w:val="20"/>
          <w:szCs w:val="20"/>
        </w:rPr>
        <w:t>（3）道路沥青混凝土单独罩面工程，按原道</w:t>
      </w:r>
      <w:r>
        <w:rPr>
          <w:rFonts w:ascii="宋体" w:hAnsi="宋体" w:eastAsia="宋体" w:cs="宋体"/>
          <w:spacing w:val="9"/>
          <w:position w:val="1"/>
          <w:sz w:val="20"/>
          <w:szCs w:val="20"/>
        </w:rPr>
        <w:t>路工程类别降低一个类别执行。</w:t>
      </w:r>
    </w:p>
    <w:p>
      <w:pPr>
        <w:spacing w:before="83" w:line="277" w:lineRule="exact"/>
        <w:ind w:left="413"/>
        <w:rPr>
          <w:rFonts w:ascii="宋体" w:hAnsi="宋体" w:eastAsia="宋体" w:cs="宋体"/>
          <w:sz w:val="20"/>
          <w:szCs w:val="20"/>
        </w:rPr>
      </w:pPr>
      <w:r>
        <w:rPr>
          <w:rFonts w:ascii="宋体" w:hAnsi="宋体" w:eastAsia="宋体" w:cs="宋体"/>
          <w:spacing w:val="9"/>
          <w:position w:val="1"/>
          <w:sz w:val="20"/>
          <w:szCs w:val="20"/>
        </w:rPr>
        <w:t>（4）单独施工的挡土墙按道路工程三类标准执行。</w:t>
      </w:r>
    </w:p>
    <w:p>
      <w:pPr>
        <w:spacing w:before="83" w:line="278" w:lineRule="exact"/>
        <w:ind w:left="426"/>
        <w:rPr>
          <w:rFonts w:ascii="宋体" w:hAnsi="宋体" w:eastAsia="宋体" w:cs="宋体"/>
          <w:sz w:val="20"/>
          <w:szCs w:val="20"/>
        </w:rPr>
      </w:pPr>
      <w:r>
        <w:rPr>
          <w:rFonts w:ascii="宋体" w:hAnsi="宋体" w:eastAsia="宋体" w:cs="宋体"/>
          <w:spacing w:val="-4"/>
          <w:position w:val="1"/>
          <w:sz w:val="20"/>
          <w:szCs w:val="20"/>
        </w:rPr>
        <w:t>3.</w:t>
      </w:r>
      <w:r>
        <w:rPr>
          <w:rFonts w:ascii="宋体" w:hAnsi="宋体" w:eastAsia="宋体" w:cs="宋体"/>
          <w:spacing w:val="13"/>
          <w:position w:val="1"/>
          <w:sz w:val="20"/>
          <w:szCs w:val="20"/>
        </w:rPr>
        <w:t xml:space="preserve"> </w:t>
      </w:r>
      <w:r>
        <w:rPr>
          <w:rFonts w:ascii="宋体" w:hAnsi="宋体" w:eastAsia="宋体" w:cs="宋体"/>
          <w:spacing w:val="-4"/>
          <w:position w:val="1"/>
          <w:sz w:val="20"/>
          <w:szCs w:val="20"/>
        </w:rPr>
        <w:t>桥涵工程</w:t>
      </w:r>
    </w:p>
    <w:p>
      <w:pPr>
        <w:spacing w:before="82"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1）单跨跨径指两桥墩中线间距离或桥墩中线与台背前缘间距，涵洞指净跨径。</w:t>
      </w:r>
    </w:p>
    <w:p>
      <w:pPr>
        <w:spacing w:before="83" w:line="277" w:lineRule="exact"/>
        <w:jc w:val="right"/>
        <w:rPr>
          <w:rFonts w:ascii="宋体" w:hAnsi="宋体" w:eastAsia="宋体" w:cs="宋体"/>
          <w:sz w:val="20"/>
          <w:szCs w:val="20"/>
        </w:rPr>
      </w:pPr>
      <w:r>
        <w:rPr>
          <w:rFonts w:ascii="宋体" w:hAnsi="宋体" w:eastAsia="宋体" w:cs="宋体"/>
          <w:spacing w:val="5"/>
          <w:position w:val="1"/>
          <w:sz w:val="20"/>
          <w:szCs w:val="20"/>
        </w:rPr>
        <w:t>（2）桥涵工程总长指两个桥台侧墙或八字尾端间的距离（无桥台的桥梁为桥面系行车道长度）。</w:t>
      </w:r>
    </w:p>
    <w:p>
      <w:pPr>
        <w:spacing w:before="83" w:line="277" w:lineRule="exact"/>
        <w:ind w:left="413"/>
        <w:rPr>
          <w:rFonts w:ascii="宋体" w:hAnsi="宋体" w:eastAsia="宋体" w:cs="宋体"/>
          <w:sz w:val="20"/>
          <w:szCs w:val="20"/>
        </w:rPr>
      </w:pPr>
      <w:r>
        <w:rPr>
          <w:rFonts w:ascii="宋体" w:hAnsi="宋体" w:eastAsia="宋体" w:cs="宋体"/>
          <w:spacing w:val="9"/>
          <w:position w:val="1"/>
          <w:sz w:val="20"/>
          <w:szCs w:val="20"/>
        </w:rPr>
        <w:t>（3）立交箱涵顶进是指穿越城市道路及铁路的立交箱涵顶进工程。</w:t>
      </w:r>
    </w:p>
    <w:p>
      <w:pPr>
        <w:spacing w:before="83" w:line="277" w:lineRule="exact"/>
        <w:ind w:left="413"/>
        <w:rPr>
          <w:rFonts w:ascii="宋体" w:hAnsi="宋体" w:eastAsia="宋体" w:cs="宋体"/>
          <w:sz w:val="20"/>
          <w:szCs w:val="20"/>
        </w:rPr>
      </w:pPr>
      <w:r>
        <w:rPr>
          <w:rFonts w:ascii="宋体" w:hAnsi="宋体" w:eastAsia="宋体" w:cs="宋体"/>
          <w:spacing w:val="8"/>
          <w:position w:val="1"/>
          <w:sz w:val="20"/>
          <w:szCs w:val="20"/>
        </w:rPr>
        <w:t>（4）涵洞是指单跨跨径＜</w:t>
      </w:r>
      <w:r>
        <w:rPr>
          <w:rFonts w:ascii="宋体" w:hAnsi="宋体" w:eastAsia="宋体" w:cs="宋体"/>
          <w:spacing w:val="-51"/>
          <w:position w:val="1"/>
          <w:sz w:val="20"/>
          <w:szCs w:val="20"/>
        </w:rPr>
        <w:t xml:space="preserve"> </w:t>
      </w:r>
      <w:r>
        <w:rPr>
          <w:rFonts w:ascii="宋体" w:hAnsi="宋体" w:eastAsia="宋体" w:cs="宋体"/>
          <w:spacing w:val="8"/>
          <w:position w:val="1"/>
          <w:sz w:val="20"/>
          <w:szCs w:val="20"/>
        </w:rPr>
        <w:t>5m，且多孔跨径总长＜</w:t>
      </w:r>
      <w:r>
        <w:rPr>
          <w:rFonts w:ascii="宋体" w:hAnsi="宋体" w:eastAsia="宋体" w:cs="宋体"/>
          <w:spacing w:val="-57"/>
          <w:position w:val="1"/>
          <w:sz w:val="20"/>
          <w:szCs w:val="20"/>
        </w:rPr>
        <w:t xml:space="preserve"> </w:t>
      </w:r>
      <w:r>
        <w:rPr>
          <w:rFonts w:ascii="宋体" w:hAnsi="宋体" w:eastAsia="宋体" w:cs="宋体"/>
          <w:spacing w:val="8"/>
          <w:position w:val="1"/>
          <w:sz w:val="20"/>
          <w:szCs w:val="20"/>
        </w:rPr>
        <w:t>8m</w:t>
      </w:r>
      <w:r>
        <w:rPr>
          <w:rFonts w:ascii="宋体" w:hAnsi="宋体" w:eastAsia="宋体" w:cs="宋体"/>
          <w:spacing w:val="-25"/>
          <w:position w:val="1"/>
          <w:sz w:val="20"/>
          <w:szCs w:val="20"/>
        </w:rPr>
        <w:t xml:space="preserve"> </w:t>
      </w:r>
      <w:r>
        <w:rPr>
          <w:rFonts w:ascii="宋体" w:hAnsi="宋体" w:eastAsia="宋体" w:cs="宋体"/>
          <w:spacing w:val="8"/>
          <w:position w:val="1"/>
          <w:sz w:val="20"/>
          <w:szCs w:val="20"/>
        </w:rPr>
        <w:t>的桥涵。</w:t>
      </w:r>
    </w:p>
    <w:p>
      <w:pPr>
        <w:spacing w:before="83" w:line="278" w:lineRule="auto"/>
        <w:ind w:right="76" w:firstLine="413"/>
        <w:rPr>
          <w:rFonts w:ascii="宋体" w:hAnsi="宋体" w:eastAsia="宋体" w:cs="宋体"/>
          <w:sz w:val="20"/>
          <w:szCs w:val="20"/>
        </w:rPr>
      </w:pPr>
      <w:r>
        <w:rPr>
          <w:rFonts w:ascii="宋体" w:hAnsi="宋体" w:eastAsia="宋体" w:cs="宋体"/>
          <w:spacing w:val="9"/>
          <w:sz w:val="20"/>
          <w:szCs w:val="20"/>
        </w:rPr>
        <w:t>（5）地下人行通道采用明挖工艺施工的参</w:t>
      </w:r>
      <w:r>
        <w:rPr>
          <w:rFonts w:ascii="宋体" w:hAnsi="宋体" w:eastAsia="宋体" w:cs="宋体"/>
          <w:spacing w:val="8"/>
          <w:sz w:val="20"/>
          <w:szCs w:val="20"/>
        </w:rPr>
        <w:t>照箱涵类别标准执行，采用暗挖工艺施工的参照隧道</w:t>
      </w:r>
      <w:r>
        <w:rPr>
          <w:rFonts w:ascii="宋体" w:hAnsi="宋体" w:eastAsia="宋体" w:cs="宋体"/>
          <w:spacing w:val="7"/>
          <w:sz w:val="20"/>
          <w:szCs w:val="20"/>
        </w:rPr>
        <w:t>类别标准执行。</w:t>
      </w:r>
    </w:p>
    <w:p>
      <w:pPr>
        <w:spacing w:before="117" w:line="277" w:lineRule="exact"/>
        <w:ind w:left="413"/>
        <w:rPr>
          <w:rFonts w:ascii="宋体" w:hAnsi="宋体" w:eastAsia="宋体" w:cs="宋体"/>
          <w:sz w:val="20"/>
          <w:szCs w:val="20"/>
        </w:rPr>
      </w:pPr>
      <w:r>
        <w:rPr>
          <w:rFonts w:ascii="宋体" w:hAnsi="宋体" w:eastAsia="宋体" w:cs="宋体"/>
          <w:spacing w:val="9"/>
          <w:position w:val="1"/>
          <w:sz w:val="20"/>
          <w:szCs w:val="20"/>
        </w:rPr>
        <w:t>（6）地下车行通道采用明挖工艺施工的按桥涵Ⅱ类标准执行。</w:t>
      </w:r>
    </w:p>
    <w:p>
      <w:pPr>
        <w:spacing w:before="83" w:line="277" w:lineRule="exact"/>
        <w:ind w:left="420"/>
        <w:rPr>
          <w:rFonts w:ascii="宋体" w:hAnsi="宋体" w:eastAsia="宋体" w:cs="宋体"/>
          <w:sz w:val="20"/>
          <w:szCs w:val="20"/>
        </w:rPr>
      </w:pPr>
      <w:r>
        <w:rPr>
          <w:rFonts w:ascii="宋体" w:hAnsi="宋体" w:eastAsia="宋体" w:cs="宋体"/>
          <w:spacing w:val="13"/>
          <w:position w:val="1"/>
          <w:sz w:val="20"/>
          <w:szCs w:val="20"/>
        </w:rPr>
        <w:t>4. 隧道工程中隧道断面积指隧道设计开挖尺寸净面积，不含预留变形量和允许超挖量。</w:t>
      </w:r>
    </w:p>
    <w:p>
      <w:pPr>
        <w:spacing w:before="85" w:line="296" w:lineRule="auto"/>
        <w:ind w:right="76" w:firstLine="422"/>
        <w:rPr>
          <w:rFonts w:ascii="宋体" w:hAnsi="宋体" w:eastAsia="宋体" w:cs="宋体"/>
          <w:sz w:val="20"/>
          <w:szCs w:val="20"/>
        </w:rPr>
      </w:pPr>
      <w:r>
        <w:rPr>
          <w:rFonts w:ascii="宋体" w:hAnsi="宋体" w:eastAsia="宋体" w:cs="宋体"/>
          <w:spacing w:val="3"/>
          <w:sz w:val="20"/>
          <w:szCs w:val="20"/>
        </w:rPr>
        <w:t>5. 给水工程按管径划分工程类别，施工设计图中各段输、配水主干管所连接的各类管径支管（包</w:t>
      </w:r>
      <w:r>
        <w:rPr>
          <w:rFonts w:ascii="宋体" w:hAnsi="宋体" w:eastAsia="宋体" w:cs="宋体"/>
          <w:spacing w:val="11"/>
          <w:sz w:val="20"/>
          <w:szCs w:val="20"/>
        </w:rPr>
        <w:t>括各类进户、附属设备、联络、与原设管等的连接管</w:t>
      </w:r>
      <w:r>
        <w:rPr>
          <w:rFonts w:ascii="宋体" w:hAnsi="宋体" w:eastAsia="宋体" w:cs="宋体"/>
          <w:spacing w:val="-11"/>
          <w:sz w:val="20"/>
          <w:szCs w:val="20"/>
        </w:rPr>
        <w:t>）</w:t>
      </w:r>
      <w:r>
        <w:rPr>
          <w:rFonts w:ascii="宋体" w:hAnsi="宋体" w:eastAsia="宋体" w:cs="宋体"/>
          <w:spacing w:val="-51"/>
          <w:sz w:val="20"/>
          <w:szCs w:val="20"/>
        </w:rPr>
        <w:t xml:space="preserve"> </w:t>
      </w:r>
      <w:r>
        <w:rPr>
          <w:rFonts w:ascii="宋体" w:hAnsi="宋体" w:eastAsia="宋体" w:cs="宋体"/>
          <w:spacing w:val="-11"/>
          <w:sz w:val="20"/>
          <w:szCs w:val="20"/>
        </w:rPr>
        <w:t>，</w:t>
      </w:r>
      <w:r>
        <w:rPr>
          <w:rFonts w:ascii="宋体" w:hAnsi="宋体" w:eastAsia="宋体" w:cs="宋体"/>
          <w:spacing w:val="11"/>
          <w:sz w:val="20"/>
          <w:szCs w:val="20"/>
        </w:rPr>
        <w:t>其发生各</w:t>
      </w:r>
      <w:r>
        <w:rPr>
          <w:rFonts w:ascii="宋体" w:hAnsi="宋体" w:eastAsia="宋体" w:cs="宋体"/>
          <w:spacing w:val="10"/>
          <w:sz w:val="20"/>
          <w:szCs w:val="20"/>
        </w:rPr>
        <w:t>项工程量，均按所属各段输、配</w:t>
      </w:r>
      <w:r>
        <w:rPr>
          <w:rFonts w:ascii="宋体" w:hAnsi="宋体" w:eastAsia="宋体" w:cs="宋体"/>
          <w:spacing w:val="8"/>
          <w:sz w:val="20"/>
          <w:szCs w:val="20"/>
        </w:rPr>
        <w:t>水主干管执行同一工程类别取费。</w:t>
      </w:r>
    </w:p>
    <w:p>
      <w:pPr>
        <w:spacing w:before="109" w:line="285" w:lineRule="exact"/>
        <w:ind w:left="423"/>
        <w:rPr>
          <w:rFonts w:ascii="宋体" w:hAnsi="宋体" w:eastAsia="宋体" w:cs="宋体"/>
          <w:sz w:val="20"/>
          <w:szCs w:val="20"/>
        </w:rPr>
      </w:pPr>
      <w:r>
        <w:rPr>
          <w:rFonts w:ascii="宋体" w:hAnsi="宋体" w:eastAsia="宋体" w:cs="宋体"/>
          <w:spacing w:val="-4"/>
          <w:position w:val="1"/>
          <w:sz w:val="20"/>
          <w:szCs w:val="20"/>
        </w:rPr>
        <w:t>6.</w:t>
      </w:r>
      <w:r>
        <w:rPr>
          <w:rFonts w:ascii="宋体" w:hAnsi="宋体" w:eastAsia="宋体" w:cs="宋体"/>
          <w:spacing w:val="15"/>
          <w:position w:val="1"/>
          <w:sz w:val="20"/>
          <w:szCs w:val="20"/>
        </w:rPr>
        <w:t xml:space="preserve"> </w:t>
      </w:r>
      <w:r>
        <w:rPr>
          <w:rFonts w:ascii="宋体" w:hAnsi="宋体" w:eastAsia="宋体" w:cs="宋体"/>
          <w:spacing w:val="-4"/>
          <w:position w:val="1"/>
          <w:sz w:val="20"/>
          <w:szCs w:val="20"/>
        </w:rPr>
        <w:t>排水工程</w:t>
      </w:r>
    </w:p>
    <w:p>
      <w:pPr>
        <w:spacing w:before="75" w:line="309" w:lineRule="auto"/>
        <w:ind w:right="76"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1）排水管道工程按主干管的管径确定工程类别。若管道中同时存在多种管径时，管道长度按</w:t>
      </w:r>
      <w:r>
        <w:rPr>
          <w:rFonts w:ascii="宋体" w:hAnsi="宋体" w:eastAsia="宋体" w:cs="宋体"/>
          <w:spacing w:val="20"/>
          <w:sz w:val="20"/>
          <w:szCs w:val="20"/>
        </w:rPr>
        <w:t>管径</w:t>
      </w:r>
      <w:r>
        <w:rPr>
          <w:rFonts w:ascii="宋体" w:hAnsi="宋体" w:eastAsia="宋体" w:cs="宋体"/>
          <w:spacing w:val="-26"/>
          <w:sz w:val="20"/>
          <w:szCs w:val="20"/>
        </w:rPr>
        <w:t xml:space="preserve"> </w:t>
      </w:r>
      <w:r>
        <w:rPr>
          <w:rFonts w:ascii="宋体" w:hAnsi="宋体" w:eastAsia="宋体" w:cs="宋体"/>
          <w:sz w:val="20"/>
          <w:szCs w:val="20"/>
        </w:rPr>
        <w:t>DN</w:t>
      </w:r>
      <w:r>
        <w:rPr>
          <w:rFonts w:ascii="宋体" w:hAnsi="宋体" w:eastAsia="宋体" w:cs="宋体"/>
          <w:spacing w:val="20"/>
          <w:sz w:val="20"/>
          <w:szCs w:val="20"/>
        </w:rPr>
        <w:t>≥</w:t>
      </w:r>
      <w:r>
        <w:rPr>
          <w:rFonts w:ascii="宋体" w:hAnsi="宋体" w:eastAsia="宋体" w:cs="宋体"/>
          <w:spacing w:val="-75"/>
          <w:sz w:val="20"/>
          <w:szCs w:val="20"/>
        </w:rPr>
        <w:t xml:space="preserve"> </w:t>
      </w:r>
      <w:r>
        <w:rPr>
          <w:rFonts w:ascii="宋体" w:hAnsi="宋体" w:eastAsia="宋体" w:cs="宋体"/>
          <w:spacing w:val="20"/>
          <w:sz w:val="20"/>
          <w:szCs w:val="20"/>
        </w:rPr>
        <w:t>1200</w:t>
      </w:r>
      <w:r>
        <w:rPr>
          <w:rFonts w:ascii="宋体" w:hAnsi="宋体" w:eastAsia="宋体" w:cs="宋体"/>
          <w:sz w:val="20"/>
          <w:szCs w:val="20"/>
        </w:rPr>
        <w:t>mm</w:t>
      </w:r>
      <w:r>
        <w:rPr>
          <w:rFonts w:ascii="宋体" w:hAnsi="宋体" w:eastAsia="宋体" w:cs="宋体"/>
          <w:spacing w:val="20"/>
          <w:sz w:val="20"/>
          <w:szCs w:val="20"/>
        </w:rPr>
        <w:t>、管径</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20"/>
          <w:sz w:val="20"/>
          <w:szCs w:val="20"/>
        </w:rPr>
        <w:t>≥600</w:t>
      </w:r>
      <w:r>
        <w:rPr>
          <w:rFonts w:ascii="宋体" w:hAnsi="宋体" w:eastAsia="宋体" w:cs="宋体"/>
          <w:sz w:val="20"/>
          <w:szCs w:val="20"/>
        </w:rPr>
        <w:t>mm</w:t>
      </w:r>
      <w:r>
        <w:rPr>
          <w:rFonts w:ascii="宋体" w:hAnsi="宋体" w:eastAsia="宋体" w:cs="宋体"/>
          <w:spacing w:val="20"/>
          <w:sz w:val="20"/>
          <w:szCs w:val="20"/>
        </w:rPr>
        <w:t>、管径</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20"/>
          <w:sz w:val="20"/>
          <w:szCs w:val="20"/>
        </w:rPr>
        <w:t>＜600</w:t>
      </w:r>
      <w:r>
        <w:rPr>
          <w:rFonts w:ascii="宋体" w:hAnsi="宋体" w:eastAsia="宋体" w:cs="宋体"/>
          <w:sz w:val="20"/>
          <w:szCs w:val="20"/>
        </w:rPr>
        <w:t>mm</w:t>
      </w:r>
      <w:r>
        <w:rPr>
          <w:rFonts w:ascii="宋体" w:hAnsi="宋体" w:eastAsia="宋体" w:cs="宋体"/>
          <w:spacing w:val="-38"/>
          <w:sz w:val="20"/>
          <w:szCs w:val="20"/>
        </w:rPr>
        <w:t xml:space="preserve"> </w:t>
      </w:r>
      <w:r>
        <w:rPr>
          <w:rFonts w:ascii="宋体" w:hAnsi="宋体" w:eastAsia="宋体" w:cs="宋体"/>
          <w:spacing w:val="20"/>
          <w:sz w:val="20"/>
          <w:szCs w:val="20"/>
        </w:rPr>
        <w:t>三段分别累计，以三者最大长度段为划分</w:t>
      </w:r>
      <w:r>
        <w:rPr>
          <w:rFonts w:ascii="宋体" w:hAnsi="宋体" w:eastAsia="宋体" w:cs="宋体"/>
          <w:spacing w:val="9"/>
          <w:sz w:val="20"/>
          <w:szCs w:val="20"/>
        </w:rPr>
        <w:t>依据，确定为</w:t>
      </w:r>
      <w:r>
        <w:rPr>
          <w:rFonts w:ascii="宋体" w:hAnsi="宋体" w:eastAsia="宋体" w:cs="宋体"/>
          <w:spacing w:val="-24"/>
          <w:sz w:val="20"/>
          <w:szCs w:val="20"/>
        </w:rPr>
        <w:t xml:space="preserve"> </w:t>
      </w:r>
      <w:r>
        <w:rPr>
          <w:rFonts w:ascii="宋体" w:hAnsi="宋体" w:eastAsia="宋体" w:cs="宋体"/>
          <w:spacing w:val="9"/>
          <w:sz w:val="20"/>
          <w:szCs w:val="20"/>
        </w:rPr>
        <w:t>Ⅰ类、</w:t>
      </w:r>
      <w:r>
        <w:rPr>
          <w:rFonts w:ascii="宋体" w:hAnsi="宋体" w:eastAsia="宋体" w:cs="宋体"/>
          <w:spacing w:val="-52"/>
          <w:sz w:val="20"/>
          <w:szCs w:val="20"/>
        </w:rPr>
        <w:t xml:space="preserve"> </w:t>
      </w:r>
      <w:r>
        <w:rPr>
          <w:rFonts w:ascii="宋体" w:hAnsi="宋体" w:eastAsia="宋体" w:cs="宋体"/>
          <w:spacing w:val="9"/>
          <w:sz w:val="20"/>
          <w:szCs w:val="20"/>
        </w:rPr>
        <w:t>Ⅱ类和Ⅲ类工程。若仅有</w:t>
      </w:r>
      <w:r>
        <w:rPr>
          <w:rFonts w:ascii="宋体" w:hAnsi="宋体" w:eastAsia="宋体" w:cs="宋体"/>
          <w:spacing w:val="8"/>
          <w:sz w:val="20"/>
          <w:szCs w:val="20"/>
        </w:rPr>
        <w:t>管径≥φ600</w:t>
      </w:r>
      <w:r>
        <w:rPr>
          <w:rFonts w:ascii="宋体" w:hAnsi="宋体" w:eastAsia="宋体" w:cs="宋体"/>
          <w:sz w:val="20"/>
          <w:szCs w:val="20"/>
        </w:rPr>
        <w:t>mm</w:t>
      </w:r>
      <w:r>
        <w:rPr>
          <w:rFonts w:ascii="宋体" w:hAnsi="宋体" w:eastAsia="宋体" w:cs="宋体"/>
          <w:spacing w:val="-40"/>
          <w:sz w:val="20"/>
          <w:szCs w:val="20"/>
        </w:rPr>
        <w:t xml:space="preserve"> </w:t>
      </w:r>
      <w:r>
        <w:rPr>
          <w:rFonts w:ascii="宋体" w:hAnsi="宋体" w:eastAsia="宋体" w:cs="宋体"/>
          <w:spacing w:val="8"/>
          <w:sz w:val="20"/>
          <w:szCs w:val="20"/>
        </w:rPr>
        <w:t>管道时，以二者数值最大者为准。</w:t>
      </w:r>
    </w:p>
    <w:p>
      <w:pPr>
        <w:spacing w:before="75" w:line="286" w:lineRule="exact"/>
        <w:ind w:left="413"/>
        <w:rPr>
          <w:rFonts w:ascii="宋体" w:hAnsi="宋体" w:eastAsia="宋体" w:cs="宋体"/>
          <w:sz w:val="20"/>
          <w:szCs w:val="20"/>
        </w:rPr>
      </w:pPr>
      <w:r>
        <w:rPr>
          <w:rFonts w:ascii="宋体" w:hAnsi="宋体" w:eastAsia="宋体" w:cs="宋体"/>
          <w:spacing w:val="10"/>
          <w:position w:val="1"/>
          <w:sz w:val="20"/>
          <w:szCs w:val="20"/>
        </w:rPr>
        <w:t>（2）顶管工程、拖管工程、沟渠、各类地下管沟</w:t>
      </w:r>
      <w:r>
        <w:rPr>
          <w:rFonts w:ascii="宋体" w:hAnsi="宋体" w:eastAsia="宋体" w:cs="宋体"/>
          <w:spacing w:val="9"/>
          <w:position w:val="1"/>
          <w:sz w:val="20"/>
          <w:szCs w:val="20"/>
        </w:rPr>
        <w:t>，均按排水工程类别单独确定。</w:t>
      </w:r>
    </w:p>
    <w:p>
      <w:pPr>
        <w:spacing w:before="74" w:line="286" w:lineRule="exact"/>
        <w:ind w:left="413"/>
        <w:rPr>
          <w:rFonts w:ascii="宋体" w:hAnsi="宋体" w:eastAsia="宋体" w:cs="宋体"/>
          <w:sz w:val="20"/>
          <w:szCs w:val="20"/>
        </w:rPr>
      </w:pPr>
      <w:r>
        <w:rPr>
          <w:rFonts w:ascii="宋体" w:hAnsi="宋体" w:eastAsia="宋体" w:cs="宋体"/>
          <w:spacing w:val="9"/>
          <w:position w:val="1"/>
          <w:sz w:val="20"/>
          <w:szCs w:val="20"/>
        </w:rPr>
        <w:t>（3）单独施工的河道清淤、河道及护岸铺砌按排水工程三类标准执行。</w:t>
      </w:r>
    </w:p>
    <w:p>
      <w:pPr>
        <w:spacing w:before="82" w:line="277" w:lineRule="exact"/>
        <w:ind w:left="421"/>
        <w:rPr>
          <w:rFonts w:ascii="宋体" w:hAnsi="宋体" w:eastAsia="宋体" w:cs="宋体"/>
          <w:sz w:val="20"/>
          <w:szCs w:val="20"/>
        </w:rPr>
      </w:pPr>
      <w:r>
        <w:rPr>
          <w:rFonts w:ascii="宋体" w:hAnsi="宋体" w:eastAsia="宋体" w:cs="宋体"/>
          <w:spacing w:val="6"/>
          <w:position w:val="1"/>
          <w:sz w:val="20"/>
          <w:szCs w:val="20"/>
        </w:rPr>
        <w:t>7. 供热工程中总干管长度指供回水管之和。</w:t>
      </w:r>
    </w:p>
    <w:p>
      <w:pPr>
        <w:spacing w:before="83" w:line="278" w:lineRule="auto"/>
        <w:ind w:left="2" w:right="79" w:firstLine="423"/>
        <w:rPr>
          <w:rFonts w:ascii="宋体" w:hAnsi="宋体" w:eastAsia="宋体" w:cs="宋体"/>
          <w:sz w:val="20"/>
          <w:szCs w:val="20"/>
        </w:rPr>
      </w:pPr>
      <w:r>
        <w:rPr>
          <w:rFonts w:ascii="宋体" w:hAnsi="宋体" w:eastAsia="宋体" w:cs="宋体"/>
          <w:spacing w:val="8"/>
          <w:sz w:val="20"/>
          <w:szCs w:val="20"/>
        </w:rPr>
        <w:t>8. 垃圾处理工程中垃圾卫生填埋渗滤液处理作为一个单位工程时单独确定工程类别，</w:t>
      </w:r>
      <w:r>
        <w:rPr>
          <w:rFonts w:ascii="宋体" w:hAnsi="宋体" w:eastAsia="宋体" w:cs="宋体"/>
          <w:spacing w:val="7"/>
          <w:sz w:val="20"/>
          <w:szCs w:val="20"/>
        </w:rPr>
        <w:t>参照水处</w:t>
      </w:r>
      <w:r>
        <w:rPr>
          <w:rFonts w:ascii="宋体" w:hAnsi="宋体" w:eastAsia="宋体" w:cs="宋体"/>
          <w:spacing w:val="8"/>
          <w:sz w:val="20"/>
          <w:szCs w:val="20"/>
        </w:rPr>
        <w:t>理工程的类别标准执行。</w:t>
      </w:r>
    </w:p>
    <w:p>
      <w:pPr>
        <w:spacing w:before="118" w:line="280" w:lineRule="auto"/>
        <w:ind w:left="1" w:right="76" w:firstLine="421"/>
        <w:rPr>
          <w:rFonts w:ascii="宋体" w:hAnsi="宋体" w:eastAsia="宋体" w:cs="宋体"/>
          <w:sz w:val="20"/>
          <w:szCs w:val="20"/>
        </w:rPr>
      </w:pPr>
      <w:r>
        <w:rPr>
          <w:rFonts w:ascii="宋体" w:hAnsi="宋体" w:eastAsia="宋体" w:cs="宋体"/>
          <w:spacing w:val="8"/>
          <w:sz w:val="20"/>
          <w:szCs w:val="20"/>
        </w:rPr>
        <w:t>9. 水处理工程中污水处理厂、雨水泵站、污水泵站、净水厂中的所有构筑物、市政管线均按主</w:t>
      </w:r>
      <w:r>
        <w:rPr>
          <w:rFonts w:ascii="宋体" w:hAnsi="宋体" w:eastAsia="宋体" w:cs="宋体"/>
          <w:spacing w:val="9"/>
          <w:sz w:val="20"/>
          <w:szCs w:val="20"/>
        </w:rPr>
        <w:t>体项目类别取费；地上建筑物执行土建、装饰工程定额及相应取费。</w:t>
      </w:r>
    </w:p>
    <w:p>
      <w:pPr>
        <w:spacing w:before="113" w:line="278" w:lineRule="exact"/>
        <w:jc w:val="right"/>
        <w:rPr>
          <w:rFonts w:ascii="宋体" w:hAnsi="宋体" w:eastAsia="宋体" w:cs="宋体"/>
          <w:sz w:val="20"/>
          <w:szCs w:val="20"/>
        </w:rPr>
      </w:pPr>
      <w:r>
        <w:rPr>
          <w:rFonts w:ascii="宋体" w:hAnsi="宋体" w:eastAsia="宋体" w:cs="宋体"/>
          <w:spacing w:val="6"/>
          <w:position w:val="1"/>
          <w:sz w:val="20"/>
          <w:szCs w:val="20"/>
        </w:rPr>
        <w:t>10. 路灯灯杆≥15m</w:t>
      </w:r>
      <w:r>
        <w:rPr>
          <w:rFonts w:ascii="宋体" w:hAnsi="宋体" w:eastAsia="宋体" w:cs="宋体"/>
          <w:spacing w:val="-48"/>
          <w:position w:val="1"/>
          <w:sz w:val="20"/>
          <w:szCs w:val="20"/>
        </w:rPr>
        <w:t xml:space="preserve"> </w:t>
      </w:r>
      <w:r>
        <w:rPr>
          <w:rFonts w:ascii="宋体" w:hAnsi="宋体" w:eastAsia="宋体" w:cs="宋体"/>
          <w:spacing w:val="6"/>
          <w:position w:val="1"/>
          <w:sz w:val="20"/>
          <w:szCs w:val="20"/>
        </w:rPr>
        <w:t>的数量占总工程量20%及以上且≥5盏时，工程类别可确定为路灯</w:t>
      </w:r>
      <w:r>
        <w:rPr>
          <w:rFonts w:ascii="宋体" w:hAnsi="宋体" w:eastAsia="宋体" w:cs="宋体"/>
          <w:spacing w:val="-24"/>
          <w:position w:val="1"/>
          <w:sz w:val="20"/>
          <w:szCs w:val="20"/>
        </w:rPr>
        <w:t xml:space="preserve"> </w:t>
      </w:r>
      <w:r>
        <w:rPr>
          <w:rFonts w:ascii="宋体" w:hAnsi="宋体" w:eastAsia="宋体" w:cs="宋体"/>
          <w:spacing w:val="5"/>
          <w:position w:val="1"/>
          <w:sz w:val="20"/>
          <w:szCs w:val="20"/>
        </w:rPr>
        <w:t>Ⅰ类工程。</w:t>
      </w:r>
    </w:p>
    <w:p>
      <w:pPr>
        <w:spacing w:before="82" w:line="279" w:lineRule="exact"/>
        <w:ind w:left="413"/>
        <w:rPr>
          <w:rFonts w:ascii="宋体" w:hAnsi="宋体" w:eastAsia="宋体" w:cs="宋体"/>
          <w:sz w:val="20"/>
          <w:szCs w:val="20"/>
        </w:rPr>
      </w:pPr>
      <w:r>
        <w:rPr>
          <w:rFonts w:ascii="宋体" w:hAnsi="宋体" w:eastAsia="宋体" w:cs="宋体"/>
          <w:spacing w:val="10"/>
          <w:position w:val="1"/>
          <w:sz w:val="20"/>
          <w:szCs w:val="20"/>
        </w:rPr>
        <w:t>（三）其他</w:t>
      </w:r>
    </w:p>
    <w:p>
      <w:pPr>
        <w:spacing w:before="81" w:line="279" w:lineRule="auto"/>
        <w:ind w:left="2" w:right="76" w:firstLine="437"/>
        <w:rPr>
          <w:rFonts w:ascii="宋体" w:hAnsi="宋体" w:eastAsia="宋体" w:cs="宋体"/>
          <w:sz w:val="20"/>
          <w:szCs w:val="20"/>
        </w:rPr>
      </w:pPr>
      <w:r>
        <w:rPr>
          <w:rFonts w:ascii="宋体" w:hAnsi="宋体" w:eastAsia="宋体" w:cs="宋体"/>
          <w:spacing w:val="8"/>
          <w:sz w:val="20"/>
          <w:szCs w:val="20"/>
        </w:rPr>
        <w:t>1. 单独施工的交通设施工程为Ⅲ类工程，包含在总承包范</w:t>
      </w:r>
      <w:r>
        <w:rPr>
          <w:rFonts w:ascii="宋体" w:hAnsi="宋体" w:eastAsia="宋体" w:cs="宋体"/>
          <w:spacing w:val="7"/>
          <w:sz w:val="20"/>
          <w:szCs w:val="20"/>
        </w:rPr>
        <w:t>围内的交通设施按照所属道路工程的工程类别取费。</w:t>
      </w:r>
    </w:p>
    <w:p>
      <w:pPr>
        <w:spacing w:before="107" w:line="283" w:lineRule="auto"/>
        <w:ind w:left="3" w:right="12" w:firstLine="420"/>
        <w:rPr>
          <w:rFonts w:ascii="宋体" w:hAnsi="宋体" w:eastAsia="宋体" w:cs="宋体"/>
          <w:sz w:val="20"/>
          <w:szCs w:val="20"/>
        </w:rPr>
      </w:pPr>
      <w:r>
        <w:rPr>
          <w:rFonts w:ascii="宋体" w:hAnsi="宋体" w:eastAsia="宋体" w:cs="宋体"/>
          <w:spacing w:val="5"/>
          <w:sz w:val="20"/>
          <w:szCs w:val="20"/>
        </w:rPr>
        <w:t>2. 对于单独施工的给水、排水、燃气、热力管道工程，路面的拆除及恢</w:t>
      </w:r>
      <w:r>
        <w:rPr>
          <w:rFonts w:ascii="宋体" w:hAnsi="宋体" w:eastAsia="宋体" w:cs="宋体"/>
          <w:spacing w:val="4"/>
          <w:sz w:val="20"/>
          <w:szCs w:val="20"/>
        </w:rPr>
        <w:t>复应并入相应专业取费，</w:t>
      </w:r>
      <w:r>
        <w:rPr>
          <w:rFonts w:ascii="宋体" w:hAnsi="宋体" w:eastAsia="宋体" w:cs="宋体"/>
          <w:spacing w:val="9"/>
          <w:sz w:val="20"/>
          <w:szCs w:val="20"/>
        </w:rPr>
        <w:t>例如铺设给水管道，路面拆除及恢复应按给水工程相应类别取费。</w:t>
      </w:r>
    </w:p>
    <w:p>
      <w:pPr>
        <w:spacing w:before="116" w:line="279" w:lineRule="auto"/>
        <w:ind w:left="41" w:right="74" w:firstLine="382"/>
        <w:rPr>
          <w:rFonts w:ascii="宋体" w:hAnsi="宋体" w:eastAsia="宋体" w:cs="宋体"/>
          <w:sz w:val="20"/>
          <w:szCs w:val="20"/>
        </w:rPr>
      </w:pPr>
      <w:r>
        <w:rPr>
          <w:rFonts w:ascii="宋体" w:hAnsi="宋体" w:eastAsia="宋体" w:cs="宋体"/>
          <w:spacing w:val="8"/>
          <w:sz w:val="20"/>
          <w:szCs w:val="20"/>
        </w:rPr>
        <w:t>3. 污水处理厂改扩建项目，按改扩建完成后的设计日处理总量确定工程类别；单独提标改造项</w:t>
      </w:r>
      <w:r>
        <w:rPr>
          <w:rFonts w:ascii="宋体" w:hAnsi="宋体" w:eastAsia="宋体" w:cs="宋体"/>
          <w:spacing w:val="4"/>
          <w:sz w:val="20"/>
          <w:szCs w:val="20"/>
        </w:rPr>
        <w:t>目，按水处理工程Ⅱ类标准执行。</w:t>
      </w:r>
    </w:p>
    <w:p>
      <w:pPr>
        <w:spacing w:line="279" w:lineRule="auto"/>
        <w:rPr>
          <w:rFonts w:ascii="宋体" w:hAnsi="宋体" w:eastAsia="宋体" w:cs="宋体"/>
          <w:sz w:val="20"/>
          <w:szCs w:val="20"/>
        </w:rPr>
        <w:sectPr>
          <w:footerReference r:id="rId133" w:type="default"/>
          <w:pgSz w:w="11906" w:h="16839"/>
          <w:pgMar w:top="400" w:right="1341" w:bottom="1212" w:left="1418" w:header="0" w:footer="897" w:gutter="0"/>
        </w:sectPr>
      </w:pPr>
    </w:p>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2"/>
        <w:spacing w:before="120" w:line="198" w:lineRule="auto"/>
        <w:ind w:left="692"/>
        <w:rPr>
          <w:sz w:val="28"/>
          <w:szCs w:val="28"/>
        </w:rPr>
      </w:pPr>
      <w:r>
        <w:rPr>
          <w:spacing w:val="-2"/>
          <w:sz w:val="28"/>
          <w:szCs w:val="28"/>
        </w:rPr>
        <w:t>五、园林绿化工程</w:t>
      </w:r>
    </w:p>
    <w:p>
      <w:pPr>
        <w:pStyle w:val="2"/>
        <w:spacing w:line="167" w:lineRule="auto"/>
        <w:ind w:left="590"/>
        <w:rPr>
          <w:sz w:val="24"/>
          <w:szCs w:val="24"/>
        </w:rPr>
      </w:pPr>
      <w:r>
        <w:rPr>
          <w:spacing w:val="-8"/>
          <w:sz w:val="24"/>
          <w:szCs w:val="24"/>
        </w:rPr>
        <w:t>（ 一 ）园林绿化工程类别划分标准</w:t>
      </w:r>
    </w:p>
    <w:tbl>
      <w:tblPr>
        <w:tblStyle w:val="5"/>
        <w:tblW w:w="92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7"/>
        <w:gridCol w:w="76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7" w:hRule="atLeast"/>
        </w:trPr>
        <w:tc>
          <w:tcPr>
            <w:tcW w:w="1647" w:type="dxa"/>
            <w:tcBorders>
              <w:top w:val="single" w:color="000000" w:sz="6" w:space="0"/>
              <w:left w:val="single" w:color="000000" w:sz="6" w:space="0"/>
            </w:tcBorders>
            <w:vAlign w:val="top"/>
          </w:tcPr>
          <w:p>
            <w:pPr>
              <w:spacing w:before="116" w:line="219" w:lineRule="auto"/>
              <w:ind w:left="399"/>
              <w:rPr>
                <w:rFonts w:ascii="宋体" w:hAnsi="宋体" w:eastAsia="宋体" w:cs="宋体"/>
                <w:sz w:val="20"/>
                <w:szCs w:val="20"/>
              </w:rPr>
            </w:pPr>
            <w:r>
              <w:rPr>
                <w:rFonts w:ascii="宋体" w:hAnsi="宋体" w:eastAsia="宋体" w:cs="宋体"/>
                <w:spacing w:val="8"/>
                <w:sz w:val="20"/>
                <w:szCs w:val="20"/>
              </w:rPr>
              <w:t>工程类别</w:t>
            </w:r>
          </w:p>
        </w:tc>
        <w:tc>
          <w:tcPr>
            <w:tcW w:w="7645" w:type="dxa"/>
            <w:tcBorders>
              <w:top w:val="single" w:color="000000" w:sz="6" w:space="0"/>
              <w:right w:val="single" w:color="000000" w:sz="6" w:space="0"/>
            </w:tcBorders>
            <w:vAlign w:val="top"/>
          </w:tcPr>
          <w:p>
            <w:pPr>
              <w:spacing w:before="117" w:line="220" w:lineRule="auto"/>
              <w:ind w:left="3242"/>
              <w:rPr>
                <w:rFonts w:ascii="宋体" w:hAnsi="宋体" w:eastAsia="宋体" w:cs="宋体"/>
                <w:sz w:val="20"/>
                <w:szCs w:val="20"/>
              </w:rPr>
            </w:pPr>
            <w:r>
              <w:rPr>
                <w:rFonts w:ascii="宋体" w:hAnsi="宋体" w:eastAsia="宋体" w:cs="宋体"/>
                <w:spacing w:val="3"/>
                <w:sz w:val="20"/>
                <w:szCs w:val="20"/>
              </w:rPr>
              <w:t>划</w:t>
            </w:r>
            <w:r>
              <w:rPr>
                <w:rFonts w:ascii="宋体" w:hAnsi="宋体" w:eastAsia="宋体" w:cs="宋体"/>
                <w:spacing w:val="12"/>
                <w:sz w:val="20"/>
                <w:szCs w:val="20"/>
              </w:rPr>
              <w:t xml:space="preserve"> </w:t>
            </w:r>
            <w:r>
              <w:rPr>
                <w:rFonts w:ascii="宋体" w:hAnsi="宋体" w:eastAsia="宋体" w:cs="宋体"/>
                <w:spacing w:val="3"/>
                <w:sz w:val="20"/>
                <w:szCs w:val="20"/>
              </w:rPr>
              <w:t>分</w:t>
            </w:r>
            <w:r>
              <w:rPr>
                <w:rFonts w:ascii="宋体" w:hAnsi="宋体" w:eastAsia="宋体" w:cs="宋体"/>
                <w:spacing w:val="11"/>
                <w:sz w:val="20"/>
                <w:szCs w:val="20"/>
              </w:rPr>
              <w:t xml:space="preserve"> </w:t>
            </w:r>
            <w:r>
              <w:rPr>
                <w:rFonts w:ascii="宋体" w:hAnsi="宋体" w:eastAsia="宋体" w:cs="宋体"/>
                <w:spacing w:val="3"/>
                <w:sz w:val="20"/>
                <w:szCs w:val="20"/>
              </w:rPr>
              <w:t>标</w:t>
            </w:r>
            <w:r>
              <w:rPr>
                <w:rFonts w:ascii="宋体" w:hAnsi="宋体" w:eastAsia="宋体" w:cs="宋体"/>
                <w:spacing w:val="14"/>
                <w:sz w:val="20"/>
                <w:szCs w:val="20"/>
              </w:rPr>
              <w:t xml:space="preserve"> </w:t>
            </w:r>
            <w:r>
              <w:rPr>
                <w:rFonts w:ascii="宋体" w:hAnsi="宋体" w:eastAsia="宋体" w:cs="宋体"/>
                <w:spacing w:val="3"/>
                <w:sz w:val="20"/>
                <w:szCs w:val="20"/>
              </w:rPr>
              <w:t>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2" w:hRule="atLeast"/>
        </w:trPr>
        <w:tc>
          <w:tcPr>
            <w:tcW w:w="1647" w:type="dxa"/>
            <w:tcBorders>
              <w:left w:val="single" w:color="000000" w:sz="6" w:space="0"/>
            </w:tcBorders>
            <w:vAlign w:val="top"/>
          </w:tcPr>
          <w:p>
            <w:pPr>
              <w:spacing w:before="109" w:line="224" w:lineRule="auto"/>
              <w:ind w:left="679"/>
              <w:rPr>
                <w:rFonts w:ascii="宋体" w:hAnsi="宋体" w:eastAsia="宋体" w:cs="宋体"/>
                <w:sz w:val="20"/>
                <w:szCs w:val="20"/>
              </w:rPr>
            </w:pPr>
            <w:r>
              <w:rPr>
                <w:rFonts w:ascii="宋体" w:hAnsi="宋体" w:eastAsia="宋体" w:cs="宋体"/>
                <w:spacing w:val="-28"/>
                <w:sz w:val="20"/>
                <w:szCs w:val="20"/>
              </w:rPr>
              <w:t>Ⅰ类</w:t>
            </w:r>
          </w:p>
        </w:tc>
        <w:tc>
          <w:tcPr>
            <w:tcW w:w="7645" w:type="dxa"/>
            <w:tcBorders>
              <w:right w:val="single" w:color="000000" w:sz="6" w:space="0"/>
            </w:tcBorders>
            <w:vAlign w:val="top"/>
          </w:tcPr>
          <w:p>
            <w:pPr>
              <w:spacing w:before="114" w:line="219" w:lineRule="auto"/>
              <w:ind w:left="106"/>
              <w:rPr>
                <w:rFonts w:ascii="宋体" w:hAnsi="宋体" w:eastAsia="宋体" w:cs="宋体"/>
                <w:sz w:val="20"/>
                <w:szCs w:val="20"/>
              </w:rPr>
            </w:pPr>
            <w:r>
              <w:rPr>
                <w:rFonts w:ascii="宋体" w:hAnsi="宋体" w:eastAsia="宋体" w:cs="宋体"/>
                <w:spacing w:val="10"/>
                <w:sz w:val="20"/>
                <w:szCs w:val="20"/>
              </w:rPr>
              <w:t>工程内容包括绿化种植养护、假山工程、园路园桥工程及景观</w:t>
            </w:r>
            <w:r>
              <w:rPr>
                <w:rFonts w:ascii="宋体" w:hAnsi="宋体" w:eastAsia="宋体" w:cs="宋体"/>
                <w:spacing w:val="9"/>
                <w:sz w:val="20"/>
                <w:szCs w:val="20"/>
              </w:rPr>
              <w:t>小品工程四项内容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9" w:hRule="atLeast"/>
        </w:trPr>
        <w:tc>
          <w:tcPr>
            <w:tcW w:w="1647" w:type="dxa"/>
            <w:tcBorders>
              <w:left w:val="single" w:color="000000" w:sz="6" w:space="0"/>
            </w:tcBorders>
            <w:vAlign w:val="top"/>
          </w:tcPr>
          <w:p>
            <w:pPr>
              <w:spacing w:before="299" w:line="218" w:lineRule="auto"/>
              <w:ind w:left="655"/>
              <w:rPr>
                <w:rFonts w:ascii="宋体" w:hAnsi="宋体" w:eastAsia="宋体" w:cs="宋体"/>
                <w:sz w:val="20"/>
                <w:szCs w:val="20"/>
              </w:rPr>
            </w:pPr>
            <w:r>
              <w:rPr>
                <w:rFonts w:ascii="宋体" w:hAnsi="宋体" w:eastAsia="宋体" w:cs="宋体"/>
                <w:spacing w:val="-16"/>
                <w:sz w:val="20"/>
                <w:szCs w:val="20"/>
              </w:rPr>
              <w:t>Ⅱ类</w:t>
            </w:r>
          </w:p>
        </w:tc>
        <w:tc>
          <w:tcPr>
            <w:tcW w:w="7645" w:type="dxa"/>
            <w:tcBorders>
              <w:right w:val="single" w:color="000000" w:sz="6" w:space="0"/>
            </w:tcBorders>
            <w:vAlign w:val="top"/>
          </w:tcPr>
          <w:p>
            <w:pPr>
              <w:spacing w:before="117" w:line="273" w:lineRule="auto"/>
              <w:ind w:left="105" w:right="103"/>
              <w:rPr>
                <w:rFonts w:ascii="宋体" w:hAnsi="宋体" w:eastAsia="宋体" w:cs="宋体"/>
                <w:sz w:val="20"/>
                <w:szCs w:val="20"/>
              </w:rPr>
            </w:pPr>
            <w:r>
              <w:rPr>
                <w:rFonts w:ascii="宋体" w:hAnsi="宋体" w:eastAsia="宋体" w:cs="宋体"/>
                <w:spacing w:val="12"/>
                <w:sz w:val="20"/>
                <w:szCs w:val="20"/>
              </w:rPr>
              <w:t>工程内容包括绿化种植养护、假山工程、园路园桥工程及景观小品工程中其中三</w:t>
            </w:r>
            <w:r>
              <w:rPr>
                <w:rFonts w:ascii="宋体" w:hAnsi="宋体" w:eastAsia="宋体" w:cs="宋体"/>
                <w:spacing w:val="8"/>
                <w:sz w:val="20"/>
                <w:szCs w:val="20"/>
              </w:rPr>
              <w:t>项内容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6" w:hRule="atLeast"/>
        </w:trPr>
        <w:tc>
          <w:tcPr>
            <w:tcW w:w="1647" w:type="dxa"/>
            <w:tcBorders>
              <w:left w:val="single" w:color="000000" w:sz="6" w:space="0"/>
              <w:bottom w:val="single" w:color="000000" w:sz="6" w:space="0"/>
            </w:tcBorders>
            <w:vAlign w:val="top"/>
          </w:tcPr>
          <w:p>
            <w:pPr>
              <w:spacing w:before="125" w:line="218" w:lineRule="auto"/>
              <w:ind w:left="638"/>
              <w:rPr>
                <w:rFonts w:ascii="宋体" w:hAnsi="宋体" w:eastAsia="宋体" w:cs="宋体"/>
                <w:sz w:val="20"/>
                <w:szCs w:val="20"/>
              </w:rPr>
            </w:pPr>
            <w:r>
              <w:rPr>
                <w:rFonts w:ascii="宋体" w:hAnsi="宋体" w:eastAsia="宋体" w:cs="宋体"/>
                <w:spacing w:val="-8"/>
                <w:sz w:val="20"/>
                <w:szCs w:val="20"/>
              </w:rPr>
              <w:t>Ⅲ类</w:t>
            </w:r>
          </w:p>
        </w:tc>
        <w:tc>
          <w:tcPr>
            <w:tcW w:w="7645" w:type="dxa"/>
            <w:tcBorders>
              <w:bottom w:val="single" w:color="000000" w:sz="6" w:space="0"/>
              <w:right w:val="single" w:color="000000" w:sz="6" w:space="0"/>
            </w:tcBorders>
            <w:vAlign w:val="top"/>
          </w:tcPr>
          <w:p>
            <w:pPr>
              <w:spacing w:before="120" w:line="227" w:lineRule="auto"/>
              <w:ind w:left="174"/>
              <w:rPr>
                <w:rFonts w:ascii="宋体" w:hAnsi="宋体" w:eastAsia="宋体" w:cs="宋体"/>
                <w:sz w:val="20"/>
                <w:szCs w:val="20"/>
              </w:rPr>
            </w:pPr>
            <w:r>
              <w:rPr>
                <w:rFonts w:ascii="宋体" w:hAnsi="宋体" w:eastAsia="宋体" w:cs="宋体"/>
                <w:spacing w:val="2"/>
                <w:sz w:val="20"/>
                <w:szCs w:val="20"/>
              </w:rPr>
              <w:t>Ⅰ类、</w:t>
            </w:r>
            <w:r>
              <w:rPr>
                <w:rFonts w:ascii="宋体" w:hAnsi="宋体" w:eastAsia="宋体" w:cs="宋体"/>
                <w:spacing w:val="-49"/>
                <w:sz w:val="20"/>
                <w:szCs w:val="20"/>
              </w:rPr>
              <w:t xml:space="preserve"> </w:t>
            </w:r>
            <w:r>
              <w:rPr>
                <w:rFonts w:ascii="宋体" w:hAnsi="宋体" w:eastAsia="宋体" w:cs="宋体"/>
                <w:spacing w:val="2"/>
                <w:sz w:val="20"/>
                <w:szCs w:val="20"/>
              </w:rPr>
              <w:t>Ⅱ类之外的其他园林绿化工程</w:t>
            </w:r>
          </w:p>
        </w:tc>
      </w:tr>
    </w:tbl>
    <w:p>
      <w:pPr>
        <w:pStyle w:val="2"/>
        <w:spacing w:before="76" w:line="197" w:lineRule="auto"/>
        <w:ind w:left="590"/>
        <w:rPr>
          <w:sz w:val="24"/>
          <w:szCs w:val="24"/>
        </w:rPr>
      </w:pPr>
      <w:r>
        <w:rPr>
          <w:spacing w:val="-8"/>
          <w:sz w:val="24"/>
          <w:szCs w:val="24"/>
        </w:rPr>
        <w:t>（ 二 ）园林绿化工程类别划分说明</w:t>
      </w:r>
    </w:p>
    <w:p>
      <w:pPr>
        <w:spacing w:before="53" w:line="277" w:lineRule="exact"/>
        <w:ind w:left="559"/>
        <w:rPr>
          <w:rFonts w:ascii="宋体" w:hAnsi="宋体" w:eastAsia="宋体" w:cs="宋体"/>
          <w:sz w:val="20"/>
          <w:szCs w:val="20"/>
        </w:rPr>
      </w:pPr>
      <w:r>
        <w:rPr>
          <w:rFonts w:ascii="宋体" w:hAnsi="宋体" w:eastAsia="宋体" w:cs="宋体"/>
          <w:spacing w:val="7"/>
          <w:position w:val="1"/>
          <w:sz w:val="20"/>
          <w:szCs w:val="20"/>
        </w:rPr>
        <w:t>1. 工程内容中的假山工程，是指定额中湖石假山、黄石假山、石峰、石笋及塑假山。</w:t>
      </w:r>
    </w:p>
    <w:p>
      <w:pPr>
        <w:spacing w:before="83" w:line="278" w:lineRule="exact"/>
        <w:ind w:left="542"/>
        <w:rPr>
          <w:rFonts w:ascii="宋体" w:hAnsi="宋体" w:eastAsia="宋体" w:cs="宋体"/>
          <w:sz w:val="20"/>
          <w:szCs w:val="20"/>
        </w:rPr>
      </w:pPr>
      <w:r>
        <w:rPr>
          <w:rFonts w:ascii="宋体" w:hAnsi="宋体" w:eastAsia="宋体" w:cs="宋体"/>
          <w:spacing w:val="6"/>
          <w:position w:val="1"/>
          <w:sz w:val="20"/>
          <w:szCs w:val="20"/>
        </w:rPr>
        <w:t>2. 园路园桥工程，是指满足其中一项内容即可。</w:t>
      </w:r>
    </w:p>
    <w:p>
      <w:pPr>
        <w:spacing w:line="278" w:lineRule="exact"/>
        <w:rPr>
          <w:rFonts w:ascii="宋体" w:hAnsi="宋体" w:eastAsia="宋体" w:cs="宋体"/>
          <w:sz w:val="20"/>
          <w:szCs w:val="20"/>
        </w:rPr>
        <w:sectPr>
          <w:footerReference r:id="rId134" w:type="default"/>
          <w:pgSz w:w="11906" w:h="16839"/>
          <w:pgMar w:top="400" w:right="1299" w:bottom="1212" w:left="1299" w:header="0" w:footer="897" w:gutter="0"/>
        </w:sect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98" w:line="213" w:lineRule="auto"/>
        <w:ind w:left="1378"/>
        <w:outlineLvl w:val="1"/>
        <w:rPr>
          <w:rFonts w:ascii="宋体" w:hAnsi="宋体" w:eastAsia="宋体" w:cs="宋体"/>
          <w:sz w:val="30"/>
          <w:szCs w:val="30"/>
        </w:rPr>
      </w:pPr>
      <w:bookmarkStart w:id="83" w:name="bookmark156"/>
      <w:bookmarkEnd w:id="83"/>
      <w:r>
        <w:rPr>
          <w:rFonts w:ascii="宋体" w:hAnsi="宋体" w:eastAsia="宋体" w:cs="宋体"/>
          <w:b/>
          <w:bCs/>
          <w:spacing w:val="-2"/>
          <w:sz w:val="30"/>
          <w:szCs w:val="30"/>
        </w:rPr>
        <w:t>第五节</w:t>
      </w:r>
      <w:r>
        <w:rPr>
          <w:rFonts w:ascii="宋体" w:hAnsi="宋体" w:eastAsia="宋体" w:cs="宋体"/>
          <w:spacing w:val="-2"/>
          <w:sz w:val="30"/>
          <w:szCs w:val="30"/>
        </w:rPr>
        <w:t xml:space="preserve">  </w:t>
      </w:r>
      <w:r>
        <w:rPr>
          <w:rFonts w:ascii="宋体" w:hAnsi="宋体" w:eastAsia="宋体" w:cs="宋体"/>
          <w:b/>
          <w:bCs/>
          <w:spacing w:val="-2"/>
          <w:sz w:val="30"/>
          <w:szCs w:val="30"/>
        </w:rPr>
        <w:t>建筑、装饰工程定额计价有关问</w:t>
      </w:r>
      <w:r>
        <w:rPr>
          <w:rFonts w:ascii="宋体" w:hAnsi="宋体" w:eastAsia="宋体" w:cs="宋体"/>
          <w:b/>
          <w:bCs/>
          <w:spacing w:val="-3"/>
          <w:sz w:val="30"/>
          <w:szCs w:val="30"/>
        </w:rPr>
        <w:t>题说明</w:t>
      </w:r>
    </w:p>
    <w:p>
      <w:pPr>
        <w:spacing w:line="291" w:lineRule="auto"/>
        <w:rPr>
          <w:rFonts w:ascii="Arial"/>
          <w:sz w:val="21"/>
        </w:rPr>
      </w:pPr>
    </w:p>
    <w:p>
      <w:pPr>
        <w:spacing w:before="65" w:line="369" w:lineRule="auto"/>
        <w:ind w:left="5" w:right="66" w:firstLine="437"/>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0"/>
          <w:sz w:val="20"/>
          <w:szCs w:val="20"/>
        </w:rPr>
        <w:t xml:space="preserve"> </w:t>
      </w:r>
      <w:r>
        <w:rPr>
          <w:rFonts w:ascii="宋体" w:hAnsi="宋体" w:eastAsia="宋体" w:cs="宋体"/>
          <w:spacing w:val="5"/>
          <w:sz w:val="20"/>
          <w:szCs w:val="20"/>
        </w:rPr>
        <w:t>2016</w:t>
      </w:r>
      <w:r>
        <w:rPr>
          <w:rFonts w:ascii="宋体" w:hAnsi="宋体" w:eastAsia="宋体" w:cs="宋体"/>
          <w:spacing w:val="-37"/>
          <w:sz w:val="20"/>
          <w:szCs w:val="20"/>
        </w:rPr>
        <w:t xml:space="preserve"> </w:t>
      </w:r>
      <w:r>
        <w:rPr>
          <w:rFonts w:ascii="宋体" w:hAnsi="宋体" w:eastAsia="宋体" w:cs="宋体"/>
          <w:spacing w:val="5"/>
          <w:sz w:val="20"/>
          <w:szCs w:val="20"/>
        </w:rPr>
        <w:t>版《山东省建筑工程消耗量定额》以山东省住房和城乡建设厅鲁建标字〔2016〕39</w:t>
      </w:r>
      <w:r>
        <w:rPr>
          <w:rFonts w:ascii="宋体" w:hAnsi="宋体" w:eastAsia="宋体" w:cs="宋体"/>
          <w:spacing w:val="-42"/>
          <w:sz w:val="20"/>
          <w:szCs w:val="20"/>
        </w:rPr>
        <w:t xml:space="preserve"> </w:t>
      </w:r>
      <w:r>
        <w:rPr>
          <w:rFonts w:ascii="宋体" w:hAnsi="宋体" w:eastAsia="宋体" w:cs="宋体"/>
          <w:spacing w:val="5"/>
          <w:sz w:val="20"/>
          <w:szCs w:val="20"/>
        </w:rPr>
        <w:t>号文</w:t>
      </w:r>
      <w:r>
        <w:rPr>
          <w:rFonts w:ascii="宋体" w:hAnsi="宋体" w:eastAsia="宋体" w:cs="宋体"/>
          <w:spacing w:val="-1"/>
          <w:sz w:val="20"/>
          <w:szCs w:val="20"/>
        </w:rPr>
        <w:t>正式颁布，</w:t>
      </w:r>
      <w:r>
        <w:rPr>
          <w:rFonts w:ascii="宋体" w:hAnsi="宋体" w:eastAsia="宋体" w:cs="宋体"/>
          <w:spacing w:val="-50"/>
          <w:sz w:val="20"/>
          <w:szCs w:val="20"/>
        </w:rPr>
        <w:t xml:space="preserve"> </w:t>
      </w:r>
      <w:r>
        <w:rPr>
          <w:rFonts w:ascii="宋体" w:hAnsi="宋体" w:eastAsia="宋体" w:cs="宋体"/>
          <w:spacing w:val="-1"/>
          <w:sz w:val="20"/>
          <w:szCs w:val="20"/>
        </w:rPr>
        <w:t>自</w:t>
      </w:r>
      <w:r>
        <w:rPr>
          <w:rFonts w:ascii="宋体" w:hAnsi="宋体" w:eastAsia="宋体" w:cs="宋体"/>
          <w:spacing w:val="-39"/>
          <w:sz w:val="20"/>
          <w:szCs w:val="20"/>
        </w:rPr>
        <w:t xml:space="preserve"> </w:t>
      </w:r>
      <w:r>
        <w:rPr>
          <w:rFonts w:ascii="宋体" w:hAnsi="宋体" w:eastAsia="宋体" w:cs="宋体"/>
          <w:spacing w:val="-1"/>
          <w:sz w:val="20"/>
          <w:szCs w:val="20"/>
        </w:rPr>
        <w:t>2017</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36"/>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日起施行。</w:t>
      </w:r>
    </w:p>
    <w:p>
      <w:pPr>
        <w:spacing w:before="3" w:line="366" w:lineRule="auto"/>
        <w:ind w:left="2" w:right="66" w:firstLine="404"/>
        <w:rPr>
          <w:rFonts w:ascii="宋体" w:hAnsi="宋体" w:eastAsia="宋体" w:cs="宋体"/>
          <w:sz w:val="20"/>
          <w:szCs w:val="20"/>
        </w:rPr>
      </w:pPr>
      <w:r>
        <w:rPr>
          <w:rFonts w:ascii="宋体" w:hAnsi="宋体" w:eastAsia="宋体" w:cs="宋体"/>
          <w:spacing w:val="9"/>
          <w:sz w:val="20"/>
          <w:szCs w:val="20"/>
        </w:rPr>
        <w:t>《山东省绿色建筑工程消耗量定额》以山东省住房和城乡建设厅鲁建标字〔2018〕14</w:t>
      </w:r>
      <w:r>
        <w:rPr>
          <w:rFonts w:ascii="宋体" w:hAnsi="宋体" w:eastAsia="宋体" w:cs="宋体"/>
          <w:spacing w:val="-35"/>
          <w:sz w:val="20"/>
          <w:szCs w:val="20"/>
        </w:rPr>
        <w:t xml:space="preserve"> </w:t>
      </w:r>
      <w:r>
        <w:rPr>
          <w:rFonts w:ascii="宋体" w:hAnsi="宋体" w:eastAsia="宋体" w:cs="宋体"/>
          <w:spacing w:val="9"/>
          <w:sz w:val="20"/>
          <w:szCs w:val="20"/>
        </w:rPr>
        <w:t>号文正式</w:t>
      </w:r>
      <w:r>
        <w:rPr>
          <w:rFonts w:ascii="宋体" w:hAnsi="宋体" w:eastAsia="宋体" w:cs="宋体"/>
          <w:spacing w:val="-2"/>
          <w:sz w:val="20"/>
          <w:szCs w:val="20"/>
        </w:rPr>
        <w:t>颁布，</w:t>
      </w:r>
      <w:r>
        <w:rPr>
          <w:rFonts w:ascii="宋体" w:hAnsi="宋体" w:eastAsia="宋体" w:cs="宋体"/>
          <w:spacing w:val="-47"/>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2018</w:t>
      </w:r>
      <w:r>
        <w:rPr>
          <w:rFonts w:ascii="宋体" w:hAnsi="宋体" w:eastAsia="宋体" w:cs="宋体"/>
          <w:spacing w:val="-42"/>
          <w:sz w:val="20"/>
          <w:szCs w:val="20"/>
        </w:rPr>
        <w:t xml:space="preserve"> </w:t>
      </w:r>
      <w:r>
        <w:rPr>
          <w:rFonts w:ascii="宋体" w:hAnsi="宋体" w:eastAsia="宋体" w:cs="宋体"/>
          <w:spacing w:val="-2"/>
          <w:sz w:val="20"/>
          <w:szCs w:val="20"/>
        </w:rPr>
        <w:t>年</w:t>
      </w:r>
      <w:r>
        <w:rPr>
          <w:rFonts w:ascii="宋体" w:hAnsi="宋体" w:eastAsia="宋体" w:cs="宋体"/>
          <w:spacing w:val="-39"/>
          <w:sz w:val="20"/>
          <w:szCs w:val="20"/>
        </w:rPr>
        <w:t xml:space="preserve"> </w:t>
      </w:r>
      <w:r>
        <w:rPr>
          <w:rFonts w:ascii="宋体" w:hAnsi="宋体" w:eastAsia="宋体" w:cs="宋体"/>
          <w:spacing w:val="-2"/>
          <w:sz w:val="20"/>
          <w:szCs w:val="20"/>
        </w:rPr>
        <w:t>5</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2"/>
          <w:sz w:val="20"/>
          <w:szCs w:val="20"/>
        </w:rPr>
        <w:t xml:space="preserve"> </w:t>
      </w:r>
      <w:r>
        <w:rPr>
          <w:rFonts w:ascii="宋体" w:hAnsi="宋体" w:eastAsia="宋体" w:cs="宋体"/>
          <w:spacing w:val="-2"/>
          <w:sz w:val="20"/>
          <w:szCs w:val="20"/>
        </w:rPr>
        <w:t>1 日起施行。</w:t>
      </w:r>
    </w:p>
    <w:p>
      <w:pPr>
        <w:spacing w:before="4" w:line="369" w:lineRule="auto"/>
        <w:ind w:left="5" w:right="112" w:firstLine="401"/>
        <w:rPr>
          <w:rFonts w:ascii="宋体" w:hAnsi="宋体" w:eastAsia="宋体" w:cs="宋体"/>
          <w:sz w:val="20"/>
          <w:szCs w:val="20"/>
        </w:rPr>
      </w:pPr>
      <w:r>
        <w:rPr>
          <w:rFonts w:ascii="宋体" w:hAnsi="宋体" w:eastAsia="宋体" w:cs="宋体"/>
          <w:spacing w:val="8"/>
          <w:sz w:val="20"/>
          <w:szCs w:val="20"/>
        </w:rPr>
        <w:t>《山东省建筑机器人施工补充定额（试行）</w:t>
      </w:r>
      <w:r>
        <w:rPr>
          <w:rFonts w:ascii="宋体" w:hAnsi="宋体" w:eastAsia="宋体" w:cs="宋体"/>
          <w:spacing w:val="-36"/>
          <w:sz w:val="20"/>
          <w:szCs w:val="20"/>
        </w:rPr>
        <w:t xml:space="preserve"> </w:t>
      </w:r>
      <w:r>
        <w:rPr>
          <w:rFonts w:ascii="宋体" w:hAnsi="宋体" w:eastAsia="宋体" w:cs="宋体"/>
          <w:spacing w:val="8"/>
          <w:sz w:val="20"/>
          <w:szCs w:val="20"/>
        </w:rPr>
        <w:t>》以山东省住房和城乡建设厅鲁建标字〔2024〕13</w:t>
      </w:r>
      <w:r>
        <w:rPr>
          <w:rFonts w:ascii="宋体" w:hAnsi="宋体" w:eastAsia="宋体" w:cs="宋体"/>
          <w:spacing w:val="-1"/>
          <w:sz w:val="20"/>
          <w:szCs w:val="20"/>
        </w:rPr>
        <w:t>号文正式发布，</w:t>
      </w:r>
      <w:r>
        <w:rPr>
          <w:rFonts w:ascii="宋体" w:hAnsi="宋体" w:eastAsia="宋体" w:cs="宋体"/>
          <w:spacing w:val="-41"/>
          <w:sz w:val="20"/>
          <w:szCs w:val="20"/>
        </w:rPr>
        <w:t xml:space="preserve"> </w:t>
      </w:r>
      <w:r>
        <w:rPr>
          <w:rFonts w:ascii="宋体" w:hAnsi="宋体" w:eastAsia="宋体" w:cs="宋体"/>
          <w:spacing w:val="-1"/>
          <w:sz w:val="20"/>
          <w:szCs w:val="20"/>
        </w:rPr>
        <w:t>自</w:t>
      </w:r>
      <w:r>
        <w:rPr>
          <w:rFonts w:ascii="宋体" w:hAnsi="宋体" w:eastAsia="宋体" w:cs="宋体"/>
          <w:spacing w:val="-40"/>
          <w:sz w:val="20"/>
          <w:szCs w:val="20"/>
        </w:rPr>
        <w:t xml:space="preserve"> </w:t>
      </w:r>
      <w:r>
        <w:rPr>
          <w:rFonts w:ascii="宋体" w:hAnsi="宋体" w:eastAsia="宋体" w:cs="宋体"/>
          <w:spacing w:val="-1"/>
          <w:sz w:val="20"/>
          <w:szCs w:val="20"/>
        </w:rPr>
        <w:t>2025</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日起施行。</w:t>
      </w:r>
    </w:p>
    <w:p>
      <w:pPr>
        <w:spacing w:before="1" w:line="368" w:lineRule="auto"/>
        <w:ind w:left="3" w:right="112" w:firstLine="421"/>
        <w:rPr>
          <w:rFonts w:ascii="宋体" w:hAnsi="宋体" w:eastAsia="宋体" w:cs="宋体"/>
          <w:sz w:val="20"/>
          <w:szCs w:val="20"/>
        </w:rPr>
      </w:pPr>
      <w:r>
        <w:rPr>
          <w:rFonts w:ascii="宋体" w:hAnsi="宋体" w:eastAsia="宋体" w:cs="宋体"/>
          <w:spacing w:val="8"/>
          <w:sz w:val="20"/>
          <w:szCs w:val="20"/>
        </w:rPr>
        <w:t>2.《山东省建筑工程计价依据动态调整汇编（2021年度）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w:t>
      </w:r>
      <w:r>
        <w:rPr>
          <w:rFonts w:ascii="宋体" w:hAnsi="宋体" w:eastAsia="宋体" w:cs="宋体"/>
          <w:spacing w:val="7"/>
          <w:sz w:val="20"/>
          <w:szCs w:val="20"/>
        </w:rPr>
        <w:t>字〔2022〕2</w:t>
      </w:r>
      <w:r>
        <w:rPr>
          <w:rFonts w:ascii="宋体" w:hAnsi="宋体" w:eastAsia="宋体" w:cs="宋体"/>
          <w:spacing w:val="-40"/>
          <w:sz w:val="20"/>
          <w:szCs w:val="20"/>
        </w:rPr>
        <w:t xml:space="preserve"> </w:t>
      </w:r>
      <w:r>
        <w:rPr>
          <w:rFonts w:ascii="宋体" w:hAnsi="宋体" w:eastAsia="宋体" w:cs="宋体"/>
          <w:spacing w:val="7"/>
          <w:sz w:val="20"/>
          <w:szCs w:val="20"/>
        </w:rPr>
        <w:t>号文正式颁布，本汇编中计价依据修订、增补、勘误自2022</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24"/>
          <w:sz w:val="20"/>
          <w:szCs w:val="20"/>
        </w:rPr>
        <w:t xml:space="preserve"> </w:t>
      </w:r>
      <w:r>
        <w:rPr>
          <w:rFonts w:ascii="宋体" w:hAnsi="宋体" w:eastAsia="宋体" w:cs="宋体"/>
          <w:spacing w:val="7"/>
          <w:sz w:val="20"/>
          <w:szCs w:val="20"/>
        </w:rPr>
        <w:t>1</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42"/>
          <w:sz w:val="20"/>
          <w:szCs w:val="20"/>
        </w:rPr>
        <w:t xml:space="preserve"> </w:t>
      </w:r>
      <w:r>
        <w:rPr>
          <w:rFonts w:ascii="宋体" w:hAnsi="宋体" w:eastAsia="宋体" w:cs="宋体"/>
          <w:spacing w:val="7"/>
          <w:sz w:val="20"/>
          <w:szCs w:val="20"/>
        </w:rPr>
        <w:t xml:space="preserve">24 </w:t>
      </w:r>
      <w:r>
        <w:rPr>
          <w:rFonts w:ascii="宋体" w:hAnsi="宋体" w:eastAsia="宋体" w:cs="宋体"/>
          <w:spacing w:val="6"/>
          <w:sz w:val="20"/>
          <w:szCs w:val="20"/>
        </w:rPr>
        <w:t>日起施行。</w:t>
      </w:r>
    </w:p>
    <w:p>
      <w:pPr>
        <w:spacing w:before="4" w:line="366" w:lineRule="auto"/>
        <w:ind w:right="66" w:firstLine="407"/>
        <w:rPr>
          <w:rFonts w:ascii="宋体" w:hAnsi="宋体" w:eastAsia="宋体" w:cs="宋体"/>
          <w:sz w:val="20"/>
          <w:szCs w:val="20"/>
        </w:rPr>
      </w:pPr>
      <w:r>
        <w:rPr>
          <w:rFonts w:ascii="宋体" w:hAnsi="宋体" w:eastAsia="宋体" w:cs="宋体"/>
          <w:spacing w:val="8"/>
          <w:sz w:val="20"/>
          <w:szCs w:val="20"/>
        </w:rPr>
        <w:t>《山东省建筑工程计价依据动态调整汇编（2022</w:t>
      </w:r>
      <w:r>
        <w:rPr>
          <w:rFonts w:ascii="宋体" w:hAnsi="宋体" w:eastAsia="宋体" w:cs="宋体"/>
          <w:spacing w:val="-28"/>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》以山东省住房和城乡建设厅鲁建标字</w:t>
      </w:r>
      <w:r>
        <w:rPr>
          <w:rFonts w:ascii="宋体" w:hAnsi="宋体" w:eastAsia="宋体" w:cs="宋体"/>
          <w:spacing w:val="7"/>
          <w:sz w:val="20"/>
          <w:szCs w:val="20"/>
        </w:rPr>
        <w:t>〔2023〕7</w:t>
      </w:r>
      <w:r>
        <w:rPr>
          <w:rFonts w:ascii="宋体" w:hAnsi="宋体" w:eastAsia="宋体" w:cs="宋体"/>
          <w:spacing w:val="-32"/>
          <w:sz w:val="20"/>
          <w:szCs w:val="20"/>
        </w:rPr>
        <w:t xml:space="preserve"> </w:t>
      </w:r>
      <w:r>
        <w:rPr>
          <w:rFonts w:ascii="宋体" w:hAnsi="宋体" w:eastAsia="宋体" w:cs="宋体"/>
          <w:spacing w:val="7"/>
          <w:sz w:val="20"/>
          <w:szCs w:val="20"/>
        </w:rPr>
        <w:t>号文正式颁布，本汇编中计价依据修订、增补、勘误自</w:t>
      </w:r>
      <w:r>
        <w:rPr>
          <w:rFonts w:ascii="宋体" w:hAnsi="宋体" w:eastAsia="宋体" w:cs="宋体"/>
          <w:spacing w:val="-39"/>
          <w:sz w:val="20"/>
          <w:szCs w:val="20"/>
        </w:rPr>
        <w:t xml:space="preserve"> </w:t>
      </w:r>
      <w:r>
        <w:rPr>
          <w:rFonts w:ascii="宋体" w:hAnsi="宋体" w:eastAsia="宋体" w:cs="宋体"/>
          <w:spacing w:val="7"/>
          <w:sz w:val="20"/>
          <w:szCs w:val="20"/>
        </w:rPr>
        <w:t>2023</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8"/>
          <w:sz w:val="20"/>
          <w:szCs w:val="20"/>
        </w:rPr>
        <w:t xml:space="preserve"> </w:t>
      </w:r>
      <w:r>
        <w:rPr>
          <w:rFonts w:ascii="宋体" w:hAnsi="宋体" w:eastAsia="宋体" w:cs="宋体"/>
          <w:spacing w:val="7"/>
          <w:sz w:val="20"/>
          <w:szCs w:val="20"/>
        </w:rPr>
        <w:t>3</w:t>
      </w:r>
      <w:r>
        <w:rPr>
          <w:rFonts w:ascii="宋体" w:hAnsi="宋体" w:eastAsia="宋体" w:cs="宋体"/>
          <w:spacing w:val="-40"/>
          <w:sz w:val="20"/>
          <w:szCs w:val="20"/>
        </w:rPr>
        <w:t xml:space="preserve"> </w:t>
      </w:r>
      <w:r>
        <w:rPr>
          <w:rFonts w:ascii="宋体" w:hAnsi="宋体" w:eastAsia="宋体" w:cs="宋体"/>
          <w:spacing w:val="7"/>
          <w:sz w:val="20"/>
          <w:szCs w:val="20"/>
        </w:rPr>
        <w:t>月28 日起施行。</w:t>
      </w:r>
    </w:p>
    <w:p>
      <w:pPr>
        <w:spacing w:before="6" w:line="368" w:lineRule="auto"/>
        <w:ind w:right="66" w:firstLine="407"/>
        <w:rPr>
          <w:rFonts w:ascii="宋体" w:hAnsi="宋体" w:eastAsia="宋体" w:cs="宋体"/>
          <w:sz w:val="20"/>
          <w:szCs w:val="20"/>
        </w:rPr>
      </w:pPr>
      <w:r>
        <w:rPr>
          <w:rFonts w:ascii="宋体" w:hAnsi="宋体" w:eastAsia="宋体" w:cs="宋体"/>
          <w:spacing w:val="8"/>
          <w:sz w:val="20"/>
          <w:szCs w:val="20"/>
        </w:rPr>
        <w:t>《山东省建筑工程计价依据动态调整汇编（2023</w:t>
      </w:r>
      <w:r>
        <w:rPr>
          <w:rFonts w:ascii="宋体" w:hAnsi="宋体" w:eastAsia="宋体" w:cs="宋体"/>
          <w:spacing w:val="-28"/>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》以山东省住房和城乡建设厅鲁建标字</w:t>
      </w:r>
      <w:r>
        <w:rPr>
          <w:rFonts w:ascii="宋体" w:hAnsi="宋体" w:eastAsia="宋体" w:cs="宋体"/>
          <w:spacing w:val="7"/>
          <w:sz w:val="20"/>
          <w:szCs w:val="20"/>
        </w:rPr>
        <w:t>〔2024〕3</w:t>
      </w:r>
      <w:r>
        <w:rPr>
          <w:rFonts w:ascii="宋体" w:hAnsi="宋体" w:eastAsia="宋体" w:cs="宋体"/>
          <w:spacing w:val="-32"/>
          <w:sz w:val="20"/>
          <w:szCs w:val="20"/>
        </w:rPr>
        <w:t xml:space="preserve"> </w:t>
      </w:r>
      <w:r>
        <w:rPr>
          <w:rFonts w:ascii="宋体" w:hAnsi="宋体" w:eastAsia="宋体" w:cs="宋体"/>
          <w:spacing w:val="7"/>
          <w:sz w:val="20"/>
          <w:szCs w:val="20"/>
        </w:rPr>
        <w:t>号文正式颁布，本汇编中计价依据修订、增补、勘误自</w:t>
      </w:r>
      <w:r>
        <w:rPr>
          <w:rFonts w:ascii="宋体" w:hAnsi="宋体" w:eastAsia="宋体" w:cs="宋体"/>
          <w:spacing w:val="-39"/>
          <w:sz w:val="20"/>
          <w:szCs w:val="20"/>
        </w:rPr>
        <w:t xml:space="preserve"> </w:t>
      </w:r>
      <w:r>
        <w:rPr>
          <w:rFonts w:ascii="宋体" w:hAnsi="宋体" w:eastAsia="宋体" w:cs="宋体"/>
          <w:spacing w:val="7"/>
          <w:sz w:val="20"/>
          <w:szCs w:val="20"/>
        </w:rPr>
        <w:t>2024</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8"/>
          <w:sz w:val="20"/>
          <w:szCs w:val="20"/>
        </w:rPr>
        <w:t xml:space="preserve"> </w:t>
      </w:r>
      <w:r>
        <w:rPr>
          <w:rFonts w:ascii="宋体" w:hAnsi="宋体" w:eastAsia="宋体" w:cs="宋体"/>
          <w:spacing w:val="7"/>
          <w:sz w:val="20"/>
          <w:szCs w:val="20"/>
        </w:rPr>
        <w:t>3</w:t>
      </w:r>
      <w:r>
        <w:rPr>
          <w:rFonts w:ascii="宋体" w:hAnsi="宋体" w:eastAsia="宋体" w:cs="宋体"/>
          <w:spacing w:val="-40"/>
          <w:sz w:val="20"/>
          <w:szCs w:val="20"/>
        </w:rPr>
        <w:t xml:space="preserve"> </w:t>
      </w:r>
      <w:r>
        <w:rPr>
          <w:rFonts w:ascii="宋体" w:hAnsi="宋体" w:eastAsia="宋体" w:cs="宋体"/>
          <w:spacing w:val="7"/>
          <w:sz w:val="20"/>
          <w:szCs w:val="20"/>
        </w:rPr>
        <w:t>月29 日起施行。</w:t>
      </w:r>
    </w:p>
    <w:p>
      <w:pPr>
        <w:spacing w:before="1" w:line="369" w:lineRule="auto"/>
        <w:ind w:left="3" w:right="112" w:firstLine="424"/>
        <w:rPr>
          <w:rFonts w:ascii="宋体" w:hAnsi="宋体" w:eastAsia="宋体" w:cs="宋体"/>
          <w:sz w:val="20"/>
          <w:szCs w:val="20"/>
        </w:rPr>
      </w:pPr>
      <w:r>
        <w:rPr>
          <w:rFonts w:ascii="宋体" w:hAnsi="宋体" w:eastAsia="宋体" w:cs="宋体"/>
          <w:spacing w:val="7"/>
          <w:sz w:val="20"/>
          <w:szCs w:val="20"/>
        </w:rPr>
        <w:t>3.《山东省建设工程费用项目组成及计算规则（</w:t>
      </w:r>
      <w:r>
        <w:rPr>
          <w:rFonts w:ascii="宋体" w:hAnsi="宋体" w:eastAsia="宋体" w:cs="宋体"/>
          <w:spacing w:val="6"/>
          <w:sz w:val="20"/>
          <w:szCs w:val="20"/>
        </w:rPr>
        <w:t>2022</w:t>
      </w:r>
      <w:r>
        <w:rPr>
          <w:rFonts w:ascii="宋体" w:hAnsi="宋体" w:eastAsia="宋体" w:cs="宋体"/>
          <w:spacing w:val="-38"/>
          <w:sz w:val="20"/>
          <w:szCs w:val="20"/>
        </w:rPr>
        <w:t xml:space="preserve"> </w:t>
      </w:r>
      <w:r>
        <w:rPr>
          <w:rFonts w:ascii="宋体" w:hAnsi="宋体" w:eastAsia="宋体" w:cs="宋体"/>
          <w:spacing w:val="6"/>
          <w:sz w:val="20"/>
          <w:szCs w:val="20"/>
        </w:rPr>
        <w:t>版）</w:t>
      </w:r>
      <w:r>
        <w:rPr>
          <w:rFonts w:ascii="宋体" w:hAnsi="宋体" w:eastAsia="宋体" w:cs="宋体"/>
          <w:spacing w:val="-54"/>
          <w:sz w:val="20"/>
          <w:szCs w:val="20"/>
        </w:rPr>
        <w:t xml:space="preserve"> </w:t>
      </w:r>
      <w:r>
        <w:rPr>
          <w:rFonts w:ascii="宋体" w:hAnsi="宋体" w:eastAsia="宋体" w:cs="宋体"/>
          <w:spacing w:val="6"/>
          <w:sz w:val="20"/>
          <w:szCs w:val="20"/>
        </w:rPr>
        <w:t>》以山东省住房和城乡建设厅鲁建标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3" w:line="277" w:lineRule="exact"/>
        <w:ind w:left="425"/>
        <w:rPr>
          <w:rFonts w:ascii="宋体" w:hAnsi="宋体" w:eastAsia="宋体" w:cs="宋体"/>
          <w:sz w:val="20"/>
          <w:szCs w:val="20"/>
        </w:rPr>
      </w:pPr>
      <w:r>
        <w:rPr>
          <w:rFonts w:ascii="宋体" w:hAnsi="宋体" w:eastAsia="宋体" w:cs="宋体"/>
          <w:spacing w:val="7"/>
          <w:position w:val="1"/>
          <w:sz w:val="20"/>
          <w:szCs w:val="20"/>
        </w:rPr>
        <w:t>2023</w:t>
      </w:r>
      <w:r>
        <w:rPr>
          <w:rFonts w:ascii="宋体" w:hAnsi="宋体" w:eastAsia="宋体" w:cs="宋体"/>
          <w:spacing w:val="-39"/>
          <w:position w:val="1"/>
          <w:sz w:val="20"/>
          <w:szCs w:val="20"/>
        </w:rPr>
        <w:t xml:space="preserve"> </w:t>
      </w:r>
      <w:r>
        <w:rPr>
          <w:rFonts w:ascii="宋体" w:hAnsi="宋体" w:eastAsia="宋体" w:cs="宋体"/>
          <w:spacing w:val="7"/>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月</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30 日，山东省住房和城乡</w:t>
      </w:r>
      <w:r>
        <w:rPr>
          <w:rFonts w:ascii="宋体" w:hAnsi="宋体" w:eastAsia="宋体" w:cs="宋体"/>
          <w:spacing w:val="6"/>
          <w:position w:val="1"/>
          <w:sz w:val="20"/>
          <w:szCs w:val="20"/>
        </w:rPr>
        <w:t>建设厅发布《关于调整建设工程安全施工费的通知》，</w:t>
      </w:r>
    </w:p>
    <w:p>
      <w:pPr>
        <w:spacing w:before="121" w:line="369" w:lineRule="auto"/>
        <w:ind w:left="4" w:right="64"/>
        <w:rPr>
          <w:rFonts w:ascii="宋体" w:hAnsi="宋体" w:eastAsia="宋体" w:cs="宋体"/>
          <w:sz w:val="20"/>
          <w:szCs w:val="20"/>
        </w:rPr>
      </w:pP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before="2" w:line="366" w:lineRule="auto"/>
        <w:ind w:left="5"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5" w:line="369" w:lineRule="auto"/>
        <w:ind w:right="66" w:firstLine="422"/>
        <w:jc w:val="both"/>
        <w:rPr>
          <w:rFonts w:ascii="宋体" w:hAnsi="宋体" w:eastAsia="宋体" w:cs="宋体"/>
          <w:sz w:val="20"/>
          <w:szCs w:val="20"/>
        </w:rPr>
      </w:pPr>
      <w:r>
        <w:rPr>
          <w:rFonts w:ascii="宋体" w:hAnsi="宋体" w:eastAsia="宋体" w:cs="宋体"/>
          <w:spacing w:val="11"/>
          <w:sz w:val="20"/>
          <w:szCs w:val="20"/>
        </w:rPr>
        <w:t>4.《山东省建筑工程消耗量定额价目表》、《山东省人</w:t>
      </w:r>
      <w:r>
        <w:rPr>
          <w:rFonts w:ascii="宋体" w:hAnsi="宋体" w:eastAsia="宋体" w:cs="宋体"/>
          <w:spacing w:val="10"/>
          <w:sz w:val="20"/>
          <w:szCs w:val="20"/>
        </w:rPr>
        <w:t>工、材料、机械台班单价表》、《山东</w:t>
      </w:r>
      <w:r>
        <w:rPr>
          <w:rFonts w:ascii="宋体" w:hAnsi="宋体" w:eastAsia="宋体" w:cs="宋体"/>
          <w:spacing w:val="11"/>
          <w:sz w:val="20"/>
          <w:szCs w:val="20"/>
        </w:rPr>
        <w:t>省建设工程施工机械台班费用编制规则》、《山东省建设工程仪器仪表台班费用编制规</w:t>
      </w:r>
      <w:r>
        <w:rPr>
          <w:rFonts w:ascii="宋体" w:hAnsi="宋体" w:eastAsia="宋体" w:cs="宋体"/>
          <w:spacing w:val="10"/>
          <w:sz w:val="20"/>
          <w:szCs w:val="20"/>
        </w:rPr>
        <w:t>则》及《关</w:t>
      </w:r>
      <w:r>
        <w:rPr>
          <w:rFonts w:ascii="宋体" w:hAnsi="宋体" w:eastAsia="宋体" w:cs="宋体"/>
          <w:spacing w:val="15"/>
          <w:sz w:val="20"/>
          <w:szCs w:val="20"/>
        </w:rPr>
        <w:t>于调整建设工程定额人工单价及各专业定额价目表的通知》</w:t>
      </w:r>
      <w:r>
        <w:rPr>
          <w:rFonts w:ascii="宋体" w:hAnsi="宋体" w:eastAsia="宋体" w:cs="宋体"/>
          <w:spacing w:val="-53"/>
          <w:sz w:val="20"/>
          <w:szCs w:val="20"/>
        </w:rPr>
        <w:t xml:space="preserve"> </w:t>
      </w:r>
      <w:r>
        <w:rPr>
          <w:rFonts w:ascii="宋体" w:hAnsi="宋体" w:eastAsia="宋体" w:cs="宋体"/>
          <w:spacing w:val="15"/>
          <w:sz w:val="20"/>
          <w:szCs w:val="20"/>
        </w:rPr>
        <w:t>以山东省住房和</w:t>
      </w:r>
      <w:r>
        <w:rPr>
          <w:rFonts w:ascii="宋体" w:hAnsi="宋体" w:eastAsia="宋体" w:cs="宋体"/>
          <w:spacing w:val="14"/>
          <w:sz w:val="20"/>
          <w:szCs w:val="20"/>
        </w:rPr>
        <w:t>城乡建设厅鲁建标字</w:t>
      </w:r>
      <w:r>
        <w:rPr>
          <w:rFonts w:ascii="宋体" w:hAnsi="宋体" w:eastAsia="宋体" w:cs="宋体"/>
          <w:spacing w:val="1"/>
          <w:sz w:val="20"/>
          <w:szCs w:val="20"/>
        </w:rPr>
        <w:t>〔2020〕24</w:t>
      </w:r>
      <w:r>
        <w:rPr>
          <w:rFonts w:ascii="宋体" w:hAnsi="宋体" w:eastAsia="宋体" w:cs="宋体"/>
          <w:spacing w:val="-27"/>
          <w:sz w:val="20"/>
          <w:szCs w:val="20"/>
        </w:rPr>
        <w:t xml:space="preserve"> </w:t>
      </w:r>
      <w:r>
        <w:rPr>
          <w:rFonts w:ascii="宋体" w:hAnsi="宋体" w:eastAsia="宋体" w:cs="宋体"/>
          <w:spacing w:val="1"/>
          <w:sz w:val="20"/>
          <w:szCs w:val="20"/>
        </w:rPr>
        <w:t>号文正式颁布，</w:t>
      </w:r>
      <w:r>
        <w:rPr>
          <w:rFonts w:ascii="宋体" w:hAnsi="宋体" w:eastAsia="宋体" w:cs="宋体"/>
          <w:spacing w:val="-60"/>
          <w:sz w:val="20"/>
          <w:szCs w:val="20"/>
        </w:rPr>
        <w:t xml:space="preserve"> </w:t>
      </w:r>
      <w:r>
        <w:rPr>
          <w:rFonts w:ascii="宋体" w:hAnsi="宋体" w:eastAsia="宋体" w:cs="宋体"/>
          <w:spacing w:val="1"/>
          <w:sz w:val="20"/>
          <w:szCs w:val="20"/>
        </w:rPr>
        <w:t>自</w:t>
      </w:r>
      <w:r>
        <w:rPr>
          <w:rFonts w:ascii="宋体" w:hAnsi="宋体" w:eastAsia="宋体" w:cs="宋体"/>
          <w:spacing w:val="-37"/>
          <w:sz w:val="20"/>
          <w:szCs w:val="20"/>
        </w:rPr>
        <w:t xml:space="preserve"> </w:t>
      </w:r>
      <w:r>
        <w:rPr>
          <w:rFonts w:ascii="宋体" w:hAnsi="宋体" w:eastAsia="宋体" w:cs="宋体"/>
          <w:spacing w:val="1"/>
          <w:sz w:val="20"/>
          <w:szCs w:val="20"/>
        </w:rPr>
        <w:t>2020</w:t>
      </w:r>
      <w:r>
        <w:rPr>
          <w:rFonts w:ascii="宋体" w:hAnsi="宋体" w:eastAsia="宋体" w:cs="宋体"/>
          <w:spacing w:val="-38"/>
          <w:sz w:val="20"/>
          <w:szCs w:val="20"/>
        </w:rPr>
        <w:t xml:space="preserve"> </w:t>
      </w:r>
      <w:r>
        <w:rPr>
          <w:rFonts w:ascii="宋体" w:hAnsi="宋体" w:eastAsia="宋体" w:cs="宋体"/>
          <w:spacing w:val="1"/>
          <w:sz w:val="20"/>
          <w:szCs w:val="20"/>
        </w:rPr>
        <w:t>年</w:t>
      </w:r>
      <w:r>
        <w:rPr>
          <w:rFonts w:ascii="宋体" w:hAnsi="宋体" w:eastAsia="宋体" w:cs="宋体"/>
          <w:spacing w:val="-25"/>
          <w:sz w:val="20"/>
          <w:szCs w:val="20"/>
        </w:rPr>
        <w:t xml:space="preserve"> </w:t>
      </w:r>
      <w:r>
        <w:rPr>
          <w:rFonts w:ascii="宋体" w:hAnsi="宋体" w:eastAsia="宋体" w:cs="宋体"/>
          <w:spacing w:val="1"/>
          <w:sz w:val="20"/>
          <w:szCs w:val="20"/>
        </w:rPr>
        <w:t>11</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25"/>
          <w:sz w:val="20"/>
          <w:szCs w:val="20"/>
        </w:rPr>
        <w:t xml:space="preserve"> </w:t>
      </w:r>
      <w:r>
        <w:rPr>
          <w:rFonts w:ascii="宋体" w:hAnsi="宋体" w:eastAsia="宋体" w:cs="宋体"/>
          <w:spacing w:val="1"/>
          <w:sz w:val="20"/>
          <w:szCs w:val="20"/>
        </w:rPr>
        <w:t>10 日起执行。</w:t>
      </w:r>
    </w:p>
    <w:p>
      <w:pPr>
        <w:spacing w:before="2" w:line="368" w:lineRule="auto"/>
        <w:ind w:left="3" w:right="67" w:firstLine="404"/>
        <w:jc w:val="both"/>
        <w:rPr>
          <w:rFonts w:ascii="宋体" w:hAnsi="宋体" w:eastAsia="宋体" w:cs="宋体"/>
          <w:sz w:val="20"/>
          <w:szCs w:val="20"/>
        </w:rPr>
      </w:pPr>
      <w:r>
        <w:rPr>
          <w:rFonts w:ascii="宋体" w:hAnsi="宋体" w:eastAsia="宋体" w:cs="宋体"/>
          <w:spacing w:val="11"/>
          <w:sz w:val="20"/>
          <w:szCs w:val="20"/>
        </w:rPr>
        <w:t>《山东省建设工程费用项目组成及计算规则》与《山东省建筑工程消耗量定额》、《山东省绿色建筑工程消耗量定额》、《山东省建筑工程计价依据动态调整汇编》及《山</w:t>
      </w:r>
      <w:r>
        <w:rPr>
          <w:rFonts w:ascii="宋体" w:hAnsi="宋体" w:eastAsia="宋体" w:cs="宋体"/>
          <w:spacing w:val="10"/>
          <w:sz w:val="20"/>
          <w:szCs w:val="20"/>
        </w:rPr>
        <w:t>东省建筑工程消耗量</w:t>
      </w:r>
      <w:r>
        <w:rPr>
          <w:rFonts w:ascii="宋体" w:hAnsi="宋体" w:eastAsia="宋体" w:cs="宋体"/>
          <w:spacing w:val="8"/>
          <w:sz w:val="20"/>
          <w:szCs w:val="20"/>
        </w:rPr>
        <w:t>定额价目表》配套使用。</w:t>
      </w:r>
    </w:p>
    <w:p>
      <w:pPr>
        <w:spacing w:before="7" w:line="346" w:lineRule="auto"/>
        <w:ind w:left="2" w:right="64" w:firstLine="423"/>
        <w:rPr>
          <w:rFonts w:ascii="宋体" w:hAnsi="宋体" w:eastAsia="宋体" w:cs="宋体"/>
          <w:sz w:val="20"/>
          <w:szCs w:val="20"/>
        </w:rPr>
      </w:pPr>
      <w:r>
        <w:rPr>
          <w:rFonts w:ascii="宋体" w:hAnsi="宋体" w:eastAsia="宋体" w:cs="宋体"/>
          <w:spacing w:val="11"/>
          <w:sz w:val="20"/>
          <w:szCs w:val="20"/>
        </w:rPr>
        <w:t>5.《山东省建筑工程消耗量定额》、《山东省绿</w:t>
      </w:r>
      <w:r>
        <w:rPr>
          <w:rFonts w:ascii="宋体" w:hAnsi="宋体" w:eastAsia="宋体" w:cs="宋体"/>
          <w:spacing w:val="10"/>
          <w:sz w:val="20"/>
          <w:szCs w:val="20"/>
        </w:rPr>
        <w:t>色建筑工程消耗量定额》、《山东省建设工程</w:t>
      </w:r>
      <w:r>
        <w:rPr>
          <w:rFonts w:ascii="宋体" w:hAnsi="宋体" w:eastAsia="宋体" w:cs="宋体"/>
          <w:spacing w:val="11"/>
          <w:sz w:val="20"/>
          <w:szCs w:val="20"/>
        </w:rPr>
        <w:t>施工机械台班费用编制规则》、《山东省建设工程仪器仪表台班费用编制规则》</w:t>
      </w:r>
      <w:r>
        <w:rPr>
          <w:rFonts w:ascii="宋体" w:hAnsi="宋体" w:eastAsia="宋体" w:cs="宋体"/>
          <w:spacing w:val="10"/>
          <w:sz w:val="20"/>
          <w:szCs w:val="20"/>
        </w:rPr>
        <w:t>、《山东省建设工</w:t>
      </w:r>
      <w:r>
        <w:rPr>
          <w:rFonts w:ascii="宋体" w:hAnsi="宋体" w:eastAsia="宋体" w:cs="宋体"/>
          <w:spacing w:val="11"/>
          <w:sz w:val="20"/>
          <w:szCs w:val="20"/>
        </w:rPr>
        <w:t>程费用项目组成及计算规则》、《山东省建筑工程消耗量定额价目表》、《山东</w:t>
      </w:r>
      <w:r>
        <w:rPr>
          <w:rFonts w:ascii="宋体" w:hAnsi="宋体" w:eastAsia="宋体" w:cs="宋体"/>
          <w:spacing w:val="10"/>
          <w:sz w:val="20"/>
          <w:szCs w:val="20"/>
        </w:rPr>
        <w:t>省人工、材料、机</w:t>
      </w:r>
      <w:r>
        <w:rPr>
          <w:rFonts w:ascii="宋体" w:hAnsi="宋体" w:eastAsia="宋体" w:cs="宋体"/>
          <w:spacing w:val="7"/>
          <w:sz w:val="20"/>
          <w:szCs w:val="20"/>
        </w:rPr>
        <w:t>械台班单价表》在山东省住房和城乡建设厅门户网站的“标准造价”专栏发布。凡我市</w:t>
      </w:r>
      <w:r>
        <w:rPr>
          <w:rFonts w:ascii="宋体" w:hAnsi="宋体" w:eastAsia="宋体" w:cs="宋体"/>
          <w:spacing w:val="-27"/>
          <w:sz w:val="20"/>
          <w:szCs w:val="20"/>
        </w:rPr>
        <w:t xml:space="preserve"> </w:t>
      </w:r>
      <w:r>
        <w:rPr>
          <w:rFonts w:ascii="宋体" w:hAnsi="宋体" w:eastAsia="宋体" w:cs="宋体"/>
          <w:spacing w:val="7"/>
          <w:sz w:val="20"/>
          <w:szCs w:val="20"/>
        </w:rPr>
        <w:t>2017</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43"/>
          <w:sz w:val="20"/>
          <w:szCs w:val="20"/>
        </w:rPr>
        <w:t xml:space="preserve"> </w:t>
      </w:r>
      <w:r>
        <w:rPr>
          <w:rFonts w:ascii="宋体" w:hAnsi="宋体" w:eastAsia="宋体" w:cs="宋体"/>
          <w:spacing w:val="7"/>
          <w:sz w:val="20"/>
          <w:szCs w:val="20"/>
        </w:rPr>
        <w:t>7</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6"/>
          <w:sz w:val="20"/>
          <w:szCs w:val="20"/>
        </w:rPr>
        <w:t>5 日后的建设工程项目均可按相应发布时间使用。</w:t>
      </w:r>
    </w:p>
    <w:p>
      <w:pPr>
        <w:spacing w:before="124" w:line="312" w:lineRule="auto"/>
        <w:ind w:left="3" w:firstLine="422"/>
        <w:rPr>
          <w:rFonts w:ascii="宋体" w:hAnsi="宋体" w:eastAsia="宋体" w:cs="宋体"/>
          <w:sz w:val="20"/>
          <w:szCs w:val="20"/>
        </w:rPr>
      </w:pPr>
      <w:r>
        <w:rPr>
          <w:rFonts w:ascii="宋体" w:hAnsi="宋体" w:eastAsia="宋体" w:cs="宋体"/>
          <w:spacing w:val="5"/>
          <w:sz w:val="20"/>
          <w:szCs w:val="20"/>
        </w:rPr>
        <w:t>6. 建筑、装饰工程费用计算程序是工程计价活动的依据。各种费率是编</w:t>
      </w:r>
      <w:r>
        <w:rPr>
          <w:rFonts w:ascii="宋体" w:hAnsi="宋体" w:eastAsia="宋体" w:cs="宋体"/>
          <w:spacing w:val="4"/>
          <w:sz w:val="20"/>
          <w:szCs w:val="20"/>
        </w:rPr>
        <w:t>制最高投标限价的依据，</w:t>
      </w:r>
      <w:r>
        <w:rPr>
          <w:rFonts w:ascii="宋体" w:hAnsi="宋体" w:eastAsia="宋体" w:cs="宋体"/>
          <w:spacing w:val="9"/>
          <w:sz w:val="20"/>
          <w:szCs w:val="20"/>
        </w:rPr>
        <w:t>是其他计价活动的重要参考（其中规费、税金必须按规定计取，不得作为竞争性费用）。</w:t>
      </w:r>
    </w:p>
    <w:p>
      <w:pPr>
        <w:spacing w:line="312" w:lineRule="auto"/>
        <w:rPr>
          <w:rFonts w:ascii="宋体" w:hAnsi="宋体" w:eastAsia="宋体" w:cs="宋体"/>
          <w:sz w:val="20"/>
          <w:szCs w:val="20"/>
        </w:rPr>
        <w:sectPr>
          <w:footerReference r:id="rId135" w:type="default"/>
          <w:pgSz w:w="11906" w:h="16839"/>
          <w:pgMar w:top="400" w:right="1353"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1"/>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关于增值税调整的说明</w:t>
      </w:r>
    </w:p>
    <w:p>
      <w:pPr>
        <w:tabs>
          <w:tab w:val="left" w:pos="9275"/>
        </w:tabs>
        <w:spacing w:before="121" w:line="369" w:lineRule="auto"/>
        <w:ind w:firstLine="436"/>
        <w:jc w:val="both"/>
        <w:rPr>
          <w:rFonts w:ascii="宋体" w:hAnsi="宋体" w:eastAsia="宋体" w:cs="宋体"/>
          <w:sz w:val="20"/>
          <w:szCs w:val="20"/>
        </w:rPr>
      </w:pPr>
      <w:r>
        <w:rPr>
          <w:rFonts w:ascii="宋体" w:hAnsi="宋体" w:eastAsia="宋体" w:cs="宋体"/>
          <w:spacing w:val="1"/>
          <w:sz w:val="20"/>
          <w:szCs w:val="20"/>
        </w:rPr>
        <w:t>山东省住房和城乡建设厅下发《关于调整建设工程计价依据增值税税率的通知》（鲁建标字</w:t>
      </w:r>
      <w:r>
        <w:rPr>
          <w:rFonts w:ascii="宋体" w:hAnsi="宋体" w:eastAsia="宋体" w:cs="宋体"/>
          <w:sz w:val="20"/>
          <w:szCs w:val="20"/>
        </w:rPr>
        <w:t xml:space="preserve">〔2019〕 </w:t>
      </w:r>
      <w:r>
        <w:rPr>
          <w:rFonts w:ascii="宋体" w:hAnsi="宋体" w:eastAsia="宋体" w:cs="宋体"/>
          <w:spacing w:val="6"/>
          <w:sz w:val="20"/>
          <w:szCs w:val="20"/>
        </w:rPr>
        <w:t>10</w:t>
      </w:r>
      <w:r>
        <w:rPr>
          <w:rFonts w:ascii="宋体" w:hAnsi="宋体" w:eastAsia="宋体" w:cs="宋体"/>
          <w:spacing w:val="-38"/>
          <w:sz w:val="20"/>
          <w:szCs w:val="20"/>
        </w:rPr>
        <w:t xml:space="preserve"> </w:t>
      </w:r>
      <w:r>
        <w:rPr>
          <w:rFonts w:ascii="宋体" w:hAnsi="宋体" w:eastAsia="宋体" w:cs="宋体"/>
          <w:spacing w:val="6"/>
          <w:sz w:val="20"/>
          <w:szCs w:val="20"/>
        </w:rPr>
        <w:t>号</w:t>
      </w:r>
      <w:r>
        <w:rPr>
          <w:rFonts w:ascii="宋体" w:hAnsi="宋体" w:eastAsia="宋体" w:cs="宋体"/>
          <w:spacing w:val="-12"/>
          <w:sz w:val="20"/>
          <w:szCs w:val="20"/>
        </w:rPr>
        <w:t>）</w:t>
      </w:r>
      <w:r>
        <w:rPr>
          <w:rFonts w:ascii="宋体" w:hAnsi="宋体" w:eastAsia="宋体" w:cs="宋体"/>
          <w:spacing w:val="-48"/>
          <w:sz w:val="20"/>
          <w:szCs w:val="20"/>
        </w:rPr>
        <w:t xml:space="preserve"> </w:t>
      </w:r>
      <w:r>
        <w:rPr>
          <w:rFonts w:ascii="宋体" w:hAnsi="宋体" w:eastAsia="宋体" w:cs="宋体"/>
          <w:spacing w:val="-12"/>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自</w:t>
      </w:r>
      <w:r>
        <w:rPr>
          <w:rFonts w:ascii="宋体" w:hAnsi="宋体" w:eastAsia="宋体" w:cs="宋体"/>
          <w:spacing w:val="-40"/>
          <w:sz w:val="20"/>
          <w:szCs w:val="20"/>
        </w:rPr>
        <w:t xml:space="preserve"> </w:t>
      </w:r>
      <w:r>
        <w:rPr>
          <w:rFonts w:ascii="宋体" w:hAnsi="宋体" w:eastAsia="宋体" w:cs="宋体"/>
          <w:spacing w:val="6"/>
          <w:sz w:val="20"/>
          <w:szCs w:val="20"/>
        </w:rPr>
        <w:t>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0"/>
          <w:sz w:val="20"/>
          <w:szCs w:val="20"/>
        </w:rPr>
        <w:t xml:space="preserve"> </w:t>
      </w:r>
      <w:r>
        <w:rPr>
          <w:rFonts w:ascii="宋体" w:hAnsi="宋体" w:eastAsia="宋体" w:cs="宋体"/>
          <w:spacing w:val="6"/>
          <w:sz w:val="20"/>
          <w:szCs w:val="20"/>
        </w:rPr>
        <w:t>4</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 日起执行。通知规定：《山东省建设工程费用项目组成及计算规则》</w:t>
      </w:r>
      <w:r>
        <w:rPr>
          <w:rFonts w:ascii="宋体" w:hAnsi="宋体" w:eastAsia="宋体" w:cs="宋体"/>
          <w:spacing w:val="-57"/>
          <w:sz w:val="20"/>
          <w:szCs w:val="20"/>
        </w:rPr>
        <w:t xml:space="preserve"> </w:t>
      </w:r>
      <w:r>
        <w:rPr>
          <w:rFonts w:ascii="宋体" w:hAnsi="宋体" w:eastAsia="宋体" w:cs="宋体"/>
          <w:spacing w:val="6"/>
          <w:sz w:val="20"/>
          <w:szCs w:val="20"/>
        </w:rPr>
        <w:t>中</w:t>
      </w:r>
      <w:r>
        <w:rPr>
          <w:rFonts w:ascii="宋体" w:hAnsi="宋体" w:eastAsia="宋体" w:cs="宋体"/>
          <w:spacing w:val="11"/>
          <w:sz w:val="20"/>
          <w:szCs w:val="20"/>
        </w:rPr>
        <w:t>的税率（增值税一般计税）从</w:t>
      </w:r>
      <w:r>
        <w:rPr>
          <w:rFonts w:ascii="宋体" w:hAnsi="宋体" w:eastAsia="宋体" w:cs="宋体"/>
          <w:spacing w:val="-25"/>
          <w:sz w:val="20"/>
          <w:szCs w:val="20"/>
        </w:rPr>
        <w:t xml:space="preserve"> </w:t>
      </w:r>
      <w:r>
        <w:rPr>
          <w:rFonts w:ascii="宋体" w:hAnsi="宋体" w:eastAsia="宋体" w:cs="宋体"/>
          <w:spacing w:val="11"/>
          <w:sz w:val="20"/>
          <w:szCs w:val="20"/>
        </w:rPr>
        <w:t>10%调整为9%，其他费率不变。增值税一般计税下，材料费、</w:t>
      </w:r>
      <w:r>
        <w:rPr>
          <w:rFonts w:ascii="宋体" w:hAnsi="宋体" w:eastAsia="宋体" w:cs="宋体"/>
          <w:spacing w:val="10"/>
          <w:sz w:val="20"/>
          <w:szCs w:val="20"/>
        </w:rPr>
        <w:t>施工机</w:t>
      </w:r>
      <w:r>
        <w:rPr>
          <w:rFonts w:ascii="宋体" w:hAnsi="宋体" w:eastAsia="宋体" w:cs="宋体"/>
          <w:spacing w:val="13"/>
          <w:sz w:val="20"/>
          <w:szCs w:val="20"/>
        </w:rPr>
        <w:t>具使用费在扣除进项税额时，原适用</w:t>
      </w:r>
      <w:r>
        <w:rPr>
          <w:rFonts w:ascii="宋体" w:hAnsi="宋体" w:eastAsia="宋体" w:cs="宋体"/>
          <w:spacing w:val="-15"/>
          <w:sz w:val="20"/>
          <w:szCs w:val="20"/>
        </w:rPr>
        <w:t xml:space="preserve"> </w:t>
      </w:r>
      <w:r>
        <w:rPr>
          <w:rFonts w:ascii="宋体" w:hAnsi="宋体" w:eastAsia="宋体" w:cs="宋体"/>
          <w:spacing w:val="13"/>
          <w:sz w:val="20"/>
          <w:szCs w:val="20"/>
        </w:rPr>
        <w:t>16%和</w:t>
      </w:r>
      <w:r>
        <w:rPr>
          <w:rFonts w:ascii="宋体" w:hAnsi="宋体" w:eastAsia="宋体" w:cs="宋体"/>
          <w:spacing w:val="-24"/>
          <w:sz w:val="20"/>
          <w:szCs w:val="20"/>
        </w:rPr>
        <w:t xml:space="preserve"> </w:t>
      </w:r>
      <w:r>
        <w:rPr>
          <w:rFonts w:ascii="宋体" w:hAnsi="宋体" w:eastAsia="宋体" w:cs="宋体"/>
          <w:spacing w:val="13"/>
          <w:sz w:val="20"/>
          <w:szCs w:val="20"/>
        </w:rPr>
        <w:t>10%税率的，税率分别调整为</w:t>
      </w:r>
      <w:r>
        <w:rPr>
          <w:rFonts w:ascii="宋体" w:hAnsi="宋体" w:eastAsia="宋体" w:cs="宋体"/>
          <w:spacing w:val="-25"/>
          <w:sz w:val="20"/>
          <w:szCs w:val="20"/>
        </w:rPr>
        <w:t xml:space="preserve"> </w:t>
      </w:r>
      <w:r>
        <w:rPr>
          <w:rFonts w:ascii="宋体" w:hAnsi="宋体" w:eastAsia="宋体" w:cs="宋体"/>
          <w:spacing w:val="13"/>
          <w:sz w:val="20"/>
          <w:szCs w:val="20"/>
        </w:rPr>
        <w:t>13%、9%。</w:t>
      </w:r>
    </w:p>
    <w:p>
      <w:pPr>
        <w:spacing w:before="2" w:line="277" w:lineRule="exact"/>
        <w:ind w:left="425"/>
        <w:rPr>
          <w:rFonts w:ascii="宋体" w:hAnsi="宋体" w:eastAsia="宋体" w:cs="宋体"/>
          <w:sz w:val="20"/>
          <w:szCs w:val="20"/>
        </w:rPr>
      </w:pPr>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24" w:line="360" w:lineRule="auto"/>
        <w:ind w:left="1" w:right="208" w:firstLine="428"/>
        <w:jc w:val="both"/>
        <w:rPr>
          <w:rFonts w:ascii="宋体" w:hAnsi="宋体" w:eastAsia="宋体" w:cs="宋体"/>
          <w:sz w:val="20"/>
          <w:szCs w:val="20"/>
        </w:rPr>
      </w:pPr>
      <w:r>
        <w:rPr>
          <w:rFonts w:ascii="宋体" w:hAnsi="宋体" w:eastAsia="宋体" w:cs="宋体"/>
          <w:spacing w:val="11"/>
          <w:sz w:val="20"/>
          <w:szCs w:val="20"/>
        </w:rPr>
        <w:t>山东省住房和城乡建设厅《关于调整建设工程定额人工单价及各</w:t>
      </w:r>
      <w:r>
        <w:rPr>
          <w:rFonts w:ascii="宋体" w:hAnsi="宋体" w:eastAsia="宋体" w:cs="宋体"/>
          <w:spacing w:val="10"/>
          <w:sz w:val="20"/>
          <w:szCs w:val="20"/>
        </w:rPr>
        <w:t>专业定额价目表的通知》（鲁建标字〔2020〕24</w:t>
      </w:r>
      <w:r>
        <w:rPr>
          <w:rFonts w:ascii="宋体" w:hAnsi="宋体" w:eastAsia="宋体" w:cs="宋体"/>
          <w:spacing w:val="-29"/>
          <w:sz w:val="20"/>
          <w:szCs w:val="20"/>
        </w:rPr>
        <w:t xml:space="preserve"> </w:t>
      </w:r>
      <w:r>
        <w:rPr>
          <w:rFonts w:ascii="宋体" w:hAnsi="宋体" w:eastAsia="宋体" w:cs="宋体"/>
          <w:spacing w:val="10"/>
          <w:sz w:val="20"/>
          <w:szCs w:val="20"/>
        </w:rPr>
        <w:t>号）规定：我省</w:t>
      </w:r>
      <w:r>
        <w:rPr>
          <w:rFonts w:ascii="宋体" w:hAnsi="宋体" w:eastAsia="宋体" w:cs="宋体"/>
          <w:spacing w:val="-39"/>
          <w:sz w:val="20"/>
          <w:szCs w:val="20"/>
        </w:rPr>
        <w:t xml:space="preserve"> </w:t>
      </w:r>
      <w:r>
        <w:rPr>
          <w:rFonts w:ascii="宋体" w:hAnsi="宋体" w:eastAsia="宋体" w:cs="宋体"/>
          <w:spacing w:val="10"/>
          <w:sz w:val="20"/>
          <w:szCs w:val="20"/>
        </w:rPr>
        <w:t>2016</w:t>
      </w:r>
      <w:r>
        <w:rPr>
          <w:rFonts w:ascii="宋体" w:hAnsi="宋体" w:eastAsia="宋体" w:cs="宋体"/>
          <w:spacing w:val="-38"/>
          <w:sz w:val="20"/>
          <w:szCs w:val="20"/>
        </w:rPr>
        <w:t xml:space="preserve"> </w:t>
      </w:r>
      <w:r>
        <w:rPr>
          <w:rFonts w:ascii="宋体" w:hAnsi="宋体" w:eastAsia="宋体" w:cs="宋体"/>
          <w:spacing w:val="10"/>
          <w:sz w:val="20"/>
          <w:szCs w:val="20"/>
        </w:rPr>
        <w:t>版建筑工程消耗量定额的人工综合工日单价调整为：建筑</w:t>
      </w:r>
      <w:r>
        <w:rPr>
          <w:rFonts w:ascii="宋体" w:hAnsi="宋体" w:eastAsia="宋体" w:cs="宋体"/>
          <w:spacing w:val="4"/>
          <w:sz w:val="20"/>
          <w:szCs w:val="20"/>
        </w:rPr>
        <w:t>工程</w:t>
      </w:r>
      <w:r>
        <w:rPr>
          <w:rFonts w:ascii="宋体" w:hAnsi="宋体" w:eastAsia="宋体" w:cs="宋体"/>
          <w:spacing w:val="-14"/>
          <w:sz w:val="20"/>
          <w:szCs w:val="20"/>
        </w:rPr>
        <w:t xml:space="preserve"> </w:t>
      </w:r>
      <w:r>
        <w:rPr>
          <w:rFonts w:ascii="宋体" w:hAnsi="宋体" w:eastAsia="宋体" w:cs="宋体"/>
          <w:spacing w:val="4"/>
          <w:sz w:val="20"/>
          <w:szCs w:val="20"/>
        </w:rPr>
        <w:t>128</w:t>
      </w:r>
      <w:r>
        <w:rPr>
          <w:rFonts w:ascii="宋体" w:hAnsi="宋体" w:eastAsia="宋体" w:cs="宋体"/>
          <w:spacing w:val="-43"/>
          <w:sz w:val="20"/>
          <w:szCs w:val="20"/>
        </w:rPr>
        <w:t xml:space="preserve"> </w:t>
      </w:r>
      <w:r>
        <w:rPr>
          <w:rFonts w:ascii="宋体" w:hAnsi="宋体" w:eastAsia="宋体" w:cs="宋体"/>
          <w:spacing w:val="4"/>
          <w:sz w:val="20"/>
          <w:szCs w:val="20"/>
        </w:rPr>
        <w:t>元/工日，装饰工程</w:t>
      </w:r>
      <w:r>
        <w:rPr>
          <w:rFonts w:ascii="宋体" w:hAnsi="宋体" w:eastAsia="宋体" w:cs="宋体"/>
          <w:spacing w:val="-22"/>
          <w:sz w:val="20"/>
          <w:szCs w:val="20"/>
        </w:rPr>
        <w:t xml:space="preserve"> </w:t>
      </w:r>
      <w:r>
        <w:rPr>
          <w:rFonts w:ascii="宋体" w:hAnsi="宋体" w:eastAsia="宋体" w:cs="宋体"/>
          <w:spacing w:val="4"/>
          <w:sz w:val="20"/>
          <w:szCs w:val="20"/>
        </w:rPr>
        <w:t>138</w:t>
      </w:r>
      <w:r>
        <w:rPr>
          <w:rFonts w:ascii="宋体" w:hAnsi="宋体" w:eastAsia="宋体" w:cs="宋体"/>
          <w:spacing w:val="-43"/>
          <w:sz w:val="20"/>
          <w:szCs w:val="20"/>
        </w:rPr>
        <w:t xml:space="preserve"> </w:t>
      </w:r>
      <w:r>
        <w:rPr>
          <w:rFonts w:ascii="宋体" w:hAnsi="宋体" w:eastAsia="宋体" w:cs="宋体"/>
          <w:spacing w:val="4"/>
          <w:sz w:val="20"/>
          <w:szCs w:val="20"/>
        </w:rPr>
        <w:t>元/工日。《山东省建设工程施工机械台班费用编制规则》（鲁建标</w:t>
      </w:r>
      <w:r>
        <w:rPr>
          <w:rFonts w:ascii="宋体" w:hAnsi="宋体" w:eastAsia="宋体" w:cs="宋体"/>
          <w:spacing w:val="6"/>
          <w:sz w:val="20"/>
          <w:szCs w:val="20"/>
        </w:rPr>
        <w:t>字〔2016〕39</w:t>
      </w:r>
      <w:r>
        <w:rPr>
          <w:rFonts w:ascii="宋体" w:hAnsi="宋体" w:eastAsia="宋体" w:cs="宋体"/>
          <w:spacing w:val="-37"/>
          <w:sz w:val="20"/>
          <w:szCs w:val="20"/>
        </w:rPr>
        <w:t xml:space="preserve"> </w:t>
      </w:r>
      <w:r>
        <w:rPr>
          <w:rFonts w:ascii="宋体" w:hAnsi="宋体" w:eastAsia="宋体" w:cs="宋体"/>
          <w:spacing w:val="6"/>
          <w:sz w:val="20"/>
          <w:szCs w:val="20"/>
        </w:rPr>
        <w:t>号）</w:t>
      </w:r>
      <w:r>
        <w:rPr>
          <w:rFonts w:ascii="宋体" w:hAnsi="宋体" w:eastAsia="宋体" w:cs="宋体"/>
          <w:spacing w:val="-59"/>
          <w:sz w:val="20"/>
          <w:szCs w:val="20"/>
        </w:rPr>
        <w:t xml:space="preserve"> </w:t>
      </w:r>
      <w:r>
        <w:rPr>
          <w:rFonts w:ascii="宋体" w:hAnsi="宋体" w:eastAsia="宋体" w:cs="宋体"/>
          <w:spacing w:val="6"/>
          <w:sz w:val="20"/>
          <w:szCs w:val="20"/>
        </w:rPr>
        <w:t>中的人工单价调整为</w:t>
      </w:r>
      <w:r>
        <w:rPr>
          <w:rFonts w:ascii="宋体" w:hAnsi="宋体" w:eastAsia="宋体" w:cs="宋体"/>
          <w:spacing w:val="-22"/>
          <w:sz w:val="20"/>
          <w:szCs w:val="20"/>
        </w:rPr>
        <w:t xml:space="preserve"> </w:t>
      </w:r>
      <w:r>
        <w:rPr>
          <w:rFonts w:ascii="宋体" w:hAnsi="宋体" w:eastAsia="宋体" w:cs="宋体"/>
          <w:spacing w:val="6"/>
          <w:sz w:val="20"/>
          <w:szCs w:val="20"/>
        </w:rPr>
        <w:t>130</w:t>
      </w:r>
      <w:r>
        <w:rPr>
          <w:rFonts w:ascii="宋体" w:hAnsi="宋体" w:eastAsia="宋体" w:cs="宋体"/>
          <w:spacing w:val="-38"/>
          <w:sz w:val="20"/>
          <w:szCs w:val="20"/>
        </w:rPr>
        <w:t xml:space="preserve"> </w:t>
      </w:r>
      <w:r>
        <w:rPr>
          <w:rFonts w:ascii="宋体" w:hAnsi="宋体" w:eastAsia="宋体" w:cs="宋体"/>
          <w:spacing w:val="6"/>
          <w:sz w:val="20"/>
          <w:szCs w:val="20"/>
        </w:rPr>
        <w:t>元</w:t>
      </w:r>
      <w:r>
        <w:rPr>
          <w:rFonts w:ascii="宋体" w:hAnsi="宋体" w:eastAsia="宋体" w:cs="宋体"/>
          <w:spacing w:val="5"/>
          <w:sz w:val="20"/>
          <w:szCs w:val="20"/>
        </w:rPr>
        <w:t>/工日。该定额人工综合工日单价自</w:t>
      </w:r>
      <w:r>
        <w:rPr>
          <w:rFonts w:ascii="宋体" w:hAnsi="宋体" w:eastAsia="宋体" w:cs="宋体"/>
          <w:spacing w:val="-37"/>
          <w:sz w:val="20"/>
          <w:szCs w:val="20"/>
        </w:rPr>
        <w:t xml:space="preserve"> </w:t>
      </w:r>
      <w:r>
        <w:rPr>
          <w:rFonts w:ascii="宋体" w:hAnsi="宋体" w:eastAsia="宋体" w:cs="宋体"/>
          <w:spacing w:val="5"/>
          <w:sz w:val="20"/>
          <w:szCs w:val="20"/>
        </w:rPr>
        <w:t>2020</w:t>
      </w:r>
      <w:r>
        <w:rPr>
          <w:rFonts w:ascii="宋体" w:hAnsi="宋体" w:eastAsia="宋体" w:cs="宋体"/>
          <w:spacing w:val="-37"/>
          <w:sz w:val="20"/>
          <w:szCs w:val="20"/>
        </w:rPr>
        <w:t xml:space="preserve"> </w:t>
      </w:r>
      <w:r>
        <w:rPr>
          <w:rFonts w:ascii="宋体" w:hAnsi="宋体" w:eastAsia="宋体" w:cs="宋体"/>
          <w:spacing w:val="5"/>
          <w:sz w:val="20"/>
          <w:szCs w:val="20"/>
        </w:rPr>
        <w:t>年</w:t>
      </w:r>
      <w:r>
        <w:rPr>
          <w:rFonts w:ascii="宋体" w:hAnsi="宋体" w:eastAsia="宋体" w:cs="宋体"/>
          <w:spacing w:val="-22"/>
          <w:sz w:val="20"/>
          <w:szCs w:val="20"/>
        </w:rPr>
        <w:t xml:space="preserve"> </w:t>
      </w:r>
      <w:r>
        <w:rPr>
          <w:rFonts w:ascii="宋体" w:hAnsi="宋体" w:eastAsia="宋体" w:cs="宋体"/>
          <w:spacing w:val="5"/>
          <w:sz w:val="20"/>
          <w:szCs w:val="20"/>
        </w:rPr>
        <w:t>11</w:t>
      </w:r>
      <w:r>
        <w:rPr>
          <w:rFonts w:ascii="宋体" w:hAnsi="宋体" w:eastAsia="宋体" w:cs="宋体"/>
          <w:spacing w:val="-35"/>
          <w:sz w:val="20"/>
          <w:szCs w:val="20"/>
        </w:rPr>
        <w:t xml:space="preserve"> </w:t>
      </w:r>
      <w:r>
        <w:rPr>
          <w:rFonts w:ascii="宋体" w:hAnsi="宋体" w:eastAsia="宋体" w:cs="宋体"/>
          <w:spacing w:val="5"/>
          <w:sz w:val="20"/>
          <w:szCs w:val="20"/>
        </w:rPr>
        <w:t>月</w:t>
      </w:r>
      <w:r>
        <w:rPr>
          <w:rFonts w:ascii="宋体" w:hAnsi="宋体" w:eastAsia="宋体" w:cs="宋体"/>
          <w:spacing w:val="-20"/>
          <w:sz w:val="20"/>
          <w:szCs w:val="20"/>
        </w:rPr>
        <w:t xml:space="preserve"> </w:t>
      </w:r>
      <w:r>
        <w:rPr>
          <w:rFonts w:ascii="宋体" w:hAnsi="宋体" w:eastAsia="宋体" w:cs="宋体"/>
          <w:spacing w:val="5"/>
          <w:sz w:val="20"/>
          <w:szCs w:val="20"/>
        </w:rPr>
        <w:t>10</w:t>
      </w:r>
      <w:r>
        <w:rPr>
          <w:rFonts w:ascii="宋体" w:hAnsi="宋体" w:eastAsia="宋体" w:cs="宋体"/>
          <w:spacing w:val="6"/>
          <w:sz w:val="20"/>
          <w:szCs w:val="20"/>
        </w:rPr>
        <w:t>日执行。</w:t>
      </w:r>
    </w:p>
    <w:p>
      <w:pPr>
        <w:spacing w:before="48" w:line="368" w:lineRule="auto"/>
        <w:ind w:left="2" w:right="208" w:firstLine="417"/>
        <w:jc w:val="both"/>
        <w:rPr>
          <w:rFonts w:ascii="宋体" w:hAnsi="宋体" w:eastAsia="宋体" w:cs="宋体"/>
          <w:sz w:val="20"/>
          <w:szCs w:val="20"/>
        </w:rPr>
      </w:pPr>
      <w:r>
        <w:rPr>
          <w:rFonts w:ascii="宋体" w:hAnsi="宋体" w:eastAsia="宋体" w:cs="宋体"/>
          <w:spacing w:val="11"/>
          <w:sz w:val="20"/>
          <w:szCs w:val="20"/>
        </w:rPr>
        <w:t>淄博市住房和城乡建设局《关于转发山东省住房和城乡建设厅〈关于调整建设工程定</w:t>
      </w:r>
      <w:r>
        <w:rPr>
          <w:rFonts w:ascii="宋体" w:hAnsi="宋体" w:eastAsia="宋体" w:cs="宋体"/>
          <w:spacing w:val="10"/>
          <w:sz w:val="20"/>
          <w:szCs w:val="20"/>
        </w:rPr>
        <w:t>额人工单</w:t>
      </w:r>
      <w:r>
        <w:rPr>
          <w:rFonts w:ascii="宋体" w:hAnsi="宋体" w:eastAsia="宋体" w:cs="宋体"/>
          <w:spacing w:val="11"/>
          <w:sz w:val="20"/>
          <w:szCs w:val="20"/>
        </w:rPr>
        <w:t>价及各专业定额价目表的通知〉的通知》（淄建发〔2020〕215</w:t>
      </w:r>
      <w:r>
        <w:rPr>
          <w:rFonts w:ascii="宋体" w:hAnsi="宋体" w:eastAsia="宋体" w:cs="宋体"/>
          <w:spacing w:val="-37"/>
          <w:sz w:val="20"/>
          <w:szCs w:val="20"/>
        </w:rPr>
        <w:t xml:space="preserve"> </w:t>
      </w:r>
      <w:r>
        <w:rPr>
          <w:rFonts w:ascii="宋体" w:hAnsi="宋体" w:eastAsia="宋体" w:cs="宋体"/>
          <w:spacing w:val="11"/>
          <w:sz w:val="20"/>
          <w:szCs w:val="20"/>
        </w:rPr>
        <w:t>号）规定：建筑工程定额</w:t>
      </w:r>
      <w:r>
        <w:rPr>
          <w:rFonts w:ascii="宋体" w:hAnsi="宋体" w:eastAsia="宋体" w:cs="宋体"/>
          <w:spacing w:val="10"/>
          <w:sz w:val="20"/>
          <w:szCs w:val="20"/>
        </w:rPr>
        <w:t>人工市场</w:t>
      </w:r>
      <w:r>
        <w:rPr>
          <w:rFonts w:ascii="宋体" w:hAnsi="宋体" w:eastAsia="宋体" w:cs="宋体"/>
          <w:spacing w:val="3"/>
          <w:sz w:val="20"/>
          <w:szCs w:val="20"/>
        </w:rPr>
        <w:t>指导单价为</w:t>
      </w:r>
      <w:r>
        <w:rPr>
          <w:rFonts w:ascii="宋体" w:hAnsi="宋体" w:eastAsia="宋体" w:cs="宋体"/>
          <w:spacing w:val="-6"/>
          <w:sz w:val="20"/>
          <w:szCs w:val="20"/>
        </w:rPr>
        <w:t xml:space="preserve"> </w:t>
      </w:r>
      <w:r>
        <w:rPr>
          <w:rFonts w:ascii="宋体" w:hAnsi="宋体" w:eastAsia="宋体" w:cs="宋体"/>
          <w:spacing w:val="3"/>
          <w:sz w:val="20"/>
          <w:szCs w:val="20"/>
        </w:rPr>
        <w:t>118</w:t>
      </w:r>
      <w:r>
        <w:rPr>
          <w:rFonts w:ascii="宋体" w:hAnsi="宋体" w:eastAsia="宋体" w:cs="宋体"/>
          <w:spacing w:val="-43"/>
          <w:sz w:val="20"/>
          <w:szCs w:val="20"/>
        </w:rPr>
        <w:t xml:space="preserve"> </w:t>
      </w:r>
      <w:r>
        <w:rPr>
          <w:rFonts w:ascii="宋体" w:hAnsi="宋体" w:eastAsia="宋体" w:cs="宋体"/>
          <w:spacing w:val="3"/>
          <w:sz w:val="20"/>
          <w:szCs w:val="20"/>
        </w:rPr>
        <w:t>元/工日，装饰</w:t>
      </w:r>
      <w:r>
        <w:rPr>
          <w:rFonts w:ascii="宋体" w:hAnsi="宋体" w:eastAsia="宋体" w:cs="宋体"/>
          <w:spacing w:val="-24"/>
          <w:sz w:val="20"/>
          <w:szCs w:val="20"/>
        </w:rPr>
        <w:t xml:space="preserve"> </w:t>
      </w:r>
      <w:r>
        <w:rPr>
          <w:rFonts w:ascii="宋体" w:hAnsi="宋体" w:eastAsia="宋体" w:cs="宋体"/>
          <w:spacing w:val="3"/>
          <w:sz w:val="20"/>
          <w:szCs w:val="20"/>
        </w:rPr>
        <w:t>128</w:t>
      </w:r>
      <w:r>
        <w:rPr>
          <w:rFonts w:ascii="宋体" w:hAnsi="宋体" w:eastAsia="宋体" w:cs="宋体"/>
          <w:spacing w:val="-40"/>
          <w:sz w:val="20"/>
          <w:szCs w:val="20"/>
        </w:rPr>
        <w:t xml:space="preserve"> </w:t>
      </w:r>
      <w:r>
        <w:rPr>
          <w:rFonts w:ascii="宋体" w:hAnsi="宋体" w:eastAsia="宋体" w:cs="宋体"/>
          <w:spacing w:val="3"/>
          <w:sz w:val="20"/>
          <w:szCs w:val="20"/>
        </w:rPr>
        <w:t>元/工日。该定额人工市场指导单价自2020</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5"/>
          <w:sz w:val="20"/>
          <w:szCs w:val="20"/>
        </w:rPr>
        <w:t xml:space="preserve"> </w:t>
      </w:r>
      <w:r>
        <w:rPr>
          <w:rFonts w:ascii="宋体" w:hAnsi="宋体" w:eastAsia="宋体" w:cs="宋体"/>
          <w:spacing w:val="3"/>
          <w:sz w:val="20"/>
          <w:szCs w:val="20"/>
        </w:rPr>
        <w:t>12</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4"/>
          <w:sz w:val="20"/>
          <w:szCs w:val="20"/>
        </w:rPr>
        <w:t xml:space="preserve"> </w:t>
      </w:r>
      <w:r>
        <w:rPr>
          <w:rFonts w:ascii="宋体" w:hAnsi="宋体" w:eastAsia="宋体" w:cs="宋体"/>
          <w:spacing w:val="3"/>
          <w:sz w:val="20"/>
          <w:szCs w:val="20"/>
        </w:rPr>
        <w:t>15 日执行。</w:t>
      </w:r>
    </w:p>
    <w:p>
      <w:pPr>
        <w:spacing w:before="9" w:line="368" w:lineRule="auto"/>
        <w:ind w:left="1" w:right="208" w:firstLine="414"/>
        <w:jc w:val="both"/>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省价人工费应作为工程造价中总价措施费、企业管理费、利润等各项费用的计算基础。我市发布的建设工程定额人工市场指导单价是我市行政区域内国有投资项目编制最高投标</w:t>
      </w:r>
      <w:r>
        <w:rPr>
          <w:rFonts w:ascii="宋体" w:hAnsi="宋体" w:eastAsia="宋体" w:cs="宋体"/>
          <w:spacing w:val="10"/>
          <w:sz w:val="20"/>
          <w:szCs w:val="20"/>
        </w:rPr>
        <w:t>限价的依据，也</w:t>
      </w:r>
      <w:r>
        <w:rPr>
          <w:rFonts w:ascii="宋体" w:hAnsi="宋体" w:eastAsia="宋体" w:cs="宋体"/>
          <w:spacing w:val="9"/>
          <w:sz w:val="20"/>
          <w:szCs w:val="20"/>
        </w:rPr>
        <w:t>是投标报价、工程结算等工程计价活动的参考。</w:t>
      </w:r>
    </w:p>
    <w:p>
      <w:pPr>
        <w:spacing w:line="279" w:lineRule="exact"/>
        <w:ind w:left="422"/>
        <w:rPr>
          <w:rFonts w:ascii="宋体" w:hAnsi="宋体" w:eastAsia="宋体" w:cs="宋体"/>
          <w:sz w:val="20"/>
          <w:szCs w:val="20"/>
        </w:rPr>
      </w:pPr>
      <w:r>
        <w:rPr>
          <w:rFonts w:ascii="宋体" w:hAnsi="宋体" w:eastAsia="宋体" w:cs="宋体"/>
          <w:b/>
          <w:bCs/>
          <w:spacing w:val="1"/>
          <w:position w:val="1"/>
          <w:sz w:val="20"/>
          <w:szCs w:val="20"/>
        </w:rPr>
        <w:t>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0" w:line="369" w:lineRule="auto"/>
        <w:ind w:left="1" w:right="208" w:firstLine="412"/>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规费按山东省住房和城乡建设厅《关于调整建设工程费用规则的通知》（鲁建标字〔</w:t>
      </w:r>
      <w:r>
        <w:rPr>
          <w:rFonts w:ascii="宋体" w:hAnsi="宋体" w:eastAsia="宋体" w:cs="宋体"/>
          <w:spacing w:val="12"/>
          <w:sz w:val="20"/>
          <w:szCs w:val="20"/>
        </w:rPr>
        <w:t>2022〕7</w:t>
      </w:r>
      <w:r>
        <w:rPr>
          <w:rFonts w:ascii="宋体" w:hAnsi="宋体" w:eastAsia="宋体" w:cs="宋体"/>
          <w:spacing w:val="11"/>
          <w:sz w:val="20"/>
          <w:szCs w:val="20"/>
        </w:rPr>
        <w:t>号）文件执行，其中安全文明施工费费率执行山东省住房和城乡建设厅《关</w:t>
      </w:r>
      <w:r>
        <w:rPr>
          <w:rFonts w:ascii="宋体" w:hAnsi="宋体" w:eastAsia="宋体" w:cs="宋体"/>
          <w:spacing w:val="10"/>
          <w:sz w:val="20"/>
          <w:szCs w:val="20"/>
        </w:rPr>
        <w:t>于调整建设工程安全施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line="278" w:lineRule="exact"/>
        <w:ind w:left="405"/>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7" w:line="220" w:lineRule="auto"/>
        <w:ind w:left="419"/>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9" w:line="277" w:lineRule="exact"/>
        <w:ind w:left="405"/>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5" w:line="220" w:lineRule="auto"/>
        <w:ind w:left="419"/>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9" w:line="277" w:lineRule="exact"/>
        <w:ind w:left="405"/>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8" w:line="223" w:lineRule="auto"/>
        <w:ind w:left="419"/>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2" w:line="276" w:lineRule="exact"/>
        <w:ind w:left="405"/>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3" w:line="368" w:lineRule="auto"/>
        <w:ind w:left="2" w:right="210" w:firstLine="416"/>
        <w:rPr>
          <w:rFonts w:ascii="宋体" w:hAnsi="宋体" w:eastAsia="宋体" w:cs="宋体"/>
          <w:sz w:val="20"/>
          <w:szCs w:val="20"/>
        </w:rPr>
      </w:pPr>
      <w:r>
        <w:rPr>
          <w:rFonts w:ascii="宋体" w:hAnsi="宋体" w:eastAsia="宋体" w:cs="宋体"/>
          <w:spacing w:val="7"/>
          <w:sz w:val="20"/>
          <w:szCs w:val="20"/>
        </w:rPr>
        <w:t>编制最高投标限价、投标报价时，应依据建设工程创建</w:t>
      </w:r>
      <w:r>
        <w:rPr>
          <w:rFonts w:ascii="宋体" w:hAnsi="宋体" w:eastAsia="宋体" w:cs="宋体"/>
          <w:spacing w:val="6"/>
          <w:sz w:val="20"/>
          <w:szCs w:val="20"/>
        </w:rPr>
        <w:t>目标按省（鲁建标字〔2022〕7</w:t>
      </w:r>
      <w:r>
        <w:rPr>
          <w:rFonts w:ascii="宋体" w:hAnsi="宋体" w:eastAsia="宋体" w:cs="宋体"/>
          <w:spacing w:val="-42"/>
          <w:sz w:val="20"/>
          <w:szCs w:val="20"/>
        </w:rPr>
        <w:t xml:space="preserve"> </w:t>
      </w:r>
      <w:r>
        <w:rPr>
          <w:rFonts w:ascii="宋体" w:hAnsi="宋体" w:eastAsia="宋体" w:cs="宋体"/>
          <w:spacing w:val="6"/>
          <w:sz w:val="20"/>
          <w:szCs w:val="20"/>
        </w:rPr>
        <w:t>号）发布</w:t>
      </w:r>
      <w:r>
        <w:rPr>
          <w:rFonts w:ascii="宋体" w:hAnsi="宋体" w:eastAsia="宋体" w:cs="宋体"/>
          <w:spacing w:val="11"/>
          <w:sz w:val="20"/>
          <w:szCs w:val="20"/>
        </w:rPr>
        <w:t>费率计列优质优价费用；竣工结算时，建设工程达到合同约定的创建目标</w:t>
      </w:r>
      <w:r>
        <w:rPr>
          <w:rFonts w:ascii="宋体" w:hAnsi="宋体" w:eastAsia="宋体" w:cs="宋体"/>
          <w:spacing w:val="10"/>
          <w:sz w:val="20"/>
          <w:szCs w:val="20"/>
        </w:rPr>
        <w:t>时，按照达到等次计取优</w:t>
      </w:r>
      <w:r>
        <w:rPr>
          <w:rFonts w:ascii="宋体" w:hAnsi="宋体" w:eastAsia="宋体" w:cs="宋体"/>
          <w:spacing w:val="11"/>
          <w:sz w:val="20"/>
          <w:szCs w:val="20"/>
        </w:rPr>
        <w:t>质优价费用；未达到或超出合同约定的目标时，合同有明确约定的，根据</w:t>
      </w:r>
      <w:r>
        <w:rPr>
          <w:rFonts w:ascii="宋体" w:hAnsi="宋体" w:eastAsia="宋体" w:cs="宋体"/>
          <w:spacing w:val="10"/>
          <w:sz w:val="20"/>
          <w:szCs w:val="20"/>
        </w:rPr>
        <w:t>合同约定计取；合同未明</w:t>
      </w:r>
      <w:r>
        <w:rPr>
          <w:rFonts w:ascii="宋体" w:hAnsi="宋体" w:eastAsia="宋体" w:cs="宋体"/>
          <w:spacing w:val="8"/>
          <w:sz w:val="20"/>
          <w:szCs w:val="20"/>
        </w:rPr>
        <w:t>确约定的，由发承包双方协商确定。</w:t>
      </w:r>
    </w:p>
    <w:p>
      <w:pPr>
        <w:spacing w:before="8" w:line="279" w:lineRule="exact"/>
        <w:ind w:left="405"/>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19" w:line="369" w:lineRule="auto"/>
        <w:ind w:left="1" w:right="208" w:firstLine="417"/>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编制最高投标限价、投标报价、工程结算时按淄博市住房和城乡建设局《关于发布淄博</w:t>
      </w:r>
      <w:r>
        <w:rPr>
          <w:rFonts w:ascii="宋体" w:hAnsi="宋体" w:eastAsia="宋体" w:cs="宋体"/>
          <w:spacing w:val="10"/>
          <w:sz w:val="20"/>
          <w:szCs w:val="20"/>
        </w:rPr>
        <w:t>市建设工程规费计取标准的通知》（淄建发〔2022〕11号）文件规定执</w:t>
      </w:r>
      <w:r>
        <w:rPr>
          <w:rFonts w:ascii="宋体" w:hAnsi="宋体" w:eastAsia="宋体" w:cs="宋体"/>
          <w:spacing w:val="9"/>
          <w:sz w:val="20"/>
          <w:szCs w:val="20"/>
        </w:rPr>
        <w:t>行。</w:t>
      </w:r>
    </w:p>
    <w:p>
      <w:pPr>
        <w:spacing w:line="369" w:lineRule="auto"/>
        <w:rPr>
          <w:rFonts w:ascii="宋体" w:hAnsi="宋体" w:eastAsia="宋体" w:cs="宋体"/>
          <w:sz w:val="20"/>
          <w:szCs w:val="20"/>
        </w:rPr>
        <w:sectPr>
          <w:footerReference r:id="rId136" w:type="default"/>
          <w:pgSz w:w="11906" w:h="16839"/>
          <w:pgMar w:top="400" w:right="1209"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447"/>
        <w:rPr>
          <w:rFonts w:ascii="宋体" w:hAnsi="宋体" w:eastAsia="宋体" w:cs="宋体"/>
          <w:sz w:val="20"/>
          <w:szCs w:val="20"/>
        </w:rPr>
      </w:pPr>
      <w:r>
        <w:rPr>
          <w:rFonts w:ascii="宋体" w:hAnsi="宋体" w:eastAsia="宋体" w:cs="宋体"/>
          <w:b/>
          <w:bCs/>
          <w:spacing w:val="2"/>
          <w:position w:val="1"/>
          <w:sz w:val="20"/>
          <w:szCs w:val="20"/>
        </w:rPr>
        <w:t>10.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关于计价依据的适用范围</w:t>
      </w:r>
    </w:p>
    <w:p>
      <w:pPr>
        <w:spacing w:before="127" w:line="221" w:lineRule="auto"/>
        <w:ind w:left="427"/>
        <w:rPr>
          <w:rFonts w:ascii="宋体" w:hAnsi="宋体" w:eastAsia="宋体" w:cs="宋体"/>
          <w:sz w:val="20"/>
          <w:szCs w:val="20"/>
        </w:rPr>
      </w:pPr>
      <w:r>
        <w:rPr>
          <w:rFonts w:ascii="宋体" w:hAnsi="宋体" w:eastAsia="宋体" w:cs="宋体"/>
          <w:spacing w:val="10"/>
          <w:sz w:val="20"/>
          <w:szCs w:val="20"/>
        </w:rPr>
        <w:t>本计价依据适用于我市行政区域内工业与民用建筑的新</w:t>
      </w:r>
      <w:r>
        <w:rPr>
          <w:rFonts w:ascii="宋体" w:hAnsi="宋体" w:eastAsia="宋体" w:cs="宋体"/>
          <w:spacing w:val="9"/>
          <w:sz w:val="20"/>
          <w:szCs w:val="20"/>
        </w:rPr>
        <w:t>建、扩建和改建工程及新建装饰工程。</w:t>
      </w:r>
    </w:p>
    <w:p>
      <w:pPr>
        <w:spacing w:before="158" w:line="276" w:lineRule="exact"/>
        <w:ind w:left="447"/>
        <w:rPr>
          <w:rFonts w:ascii="宋体" w:hAnsi="宋体" w:eastAsia="宋体" w:cs="宋体"/>
          <w:sz w:val="20"/>
          <w:szCs w:val="20"/>
        </w:rPr>
      </w:pPr>
      <w:r>
        <w:rPr>
          <w:rFonts w:ascii="宋体" w:hAnsi="宋体" w:eastAsia="宋体" w:cs="宋体"/>
          <w:b/>
          <w:bCs/>
          <w:spacing w:val="4"/>
          <w:position w:val="1"/>
          <w:sz w:val="20"/>
          <w:szCs w:val="20"/>
        </w:rPr>
        <w:t>11.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关于工程建设人工材料价格的风险</w:t>
      </w:r>
      <w:r>
        <w:rPr>
          <w:rFonts w:ascii="宋体" w:hAnsi="宋体" w:eastAsia="宋体" w:cs="宋体"/>
          <w:b/>
          <w:bCs/>
          <w:spacing w:val="3"/>
          <w:position w:val="1"/>
          <w:sz w:val="20"/>
          <w:szCs w:val="20"/>
        </w:rPr>
        <w:t>控制</w:t>
      </w:r>
    </w:p>
    <w:p>
      <w:pPr>
        <w:spacing w:before="122" w:line="368" w:lineRule="auto"/>
        <w:ind w:left="9" w:right="168" w:firstLine="473"/>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7"/>
          <w:sz w:val="20"/>
          <w:szCs w:val="20"/>
        </w:rPr>
        <w:t xml:space="preserve"> </w:t>
      </w:r>
      <w:r>
        <w:rPr>
          <w:rFonts w:ascii="宋体" w:hAnsi="宋体" w:eastAsia="宋体" w:cs="宋体"/>
          <w:spacing w:val="4"/>
          <w:sz w:val="20"/>
          <w:szCs w:val="20"/>
        </w:rPr>
        <w:t>1）2019</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42"/>
          <w:sz w:val="20"/>
          <w:szCs w:val="20"/>
        </w:rPr>
        <w:t xml:space="preserve"> </w:t>
      </w:r>
      <w:r>
        <w:rPr>
          <w:rFonts w:ascii="宋体" w:hAnsi="宋体" w:eastAsia="宋体" w:cs="宋体"/>
          <w:spacing w:val="4"/>
          <w:sz w:val="20"/>
          <w:szCs w:val="20"/>
        </w:rPr>
        <w:t>9</w:t>
      </w:r>
      <w:r>
        <w:rPr>
          <w:rFonts w:ascii="宋体" w:hAnsi="宋体" w:eastAsia="宋体" w:cs="宋体"/>
          <w:spacing w:val="-41"/>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16 日，山东省住房和城乡建设厅出台《关于加强工程建设人工材料价格风险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6" w:line="224" w:lineRule="auto"/>
        <w:ind w:left="49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3" w:line="276" w:lineRule="exact"/>
        <w:jc w:val="right"/>
        <w:rPr>
          <w:rFonts w:ascii="宋体" w:hAnsi="宋体" w:eastAsia="宋体" w:cs="宋体"/>
          <w:sz w:val="20"/>
          <w:szCs w:val="20"/>
        </w:rPr>
      </w:pPr>
      <w:r>
        <w:rPr>
          <w:rFonts w:ascii="宋体" w:hAnsi="宋体" w:eastAsia="宋体" w:cs="宋体"/>
          <w:spacing w:val="8"/>
          <w:position w:val="1"/>
          <w:sz w:val="20"/>
          <w:szCs w:val="20"/>
        </w:rPr>
        <w:t>二是合同对人工费调整没有约定或约定不具体的，发承包双方按照以下原则协商调整工程造价：</w:t>
      </w:r>
    </w:p>
    <w:p>
      <w:pPr>
        <w:spacing w:before="123" w:line="345" w:lineRule="auto"/>
        <w:ind w:left="7" w:right="168" w:firstLine="483"/>
        <w:rPr>
          <w:rFonts w:ascii="宋体" w:hAnsi="宋体" w:eastAsia="宋体" w:cs="宋体"/>
          <w:sz w:val="20"/>
          <w:szCs w:val="20"/>
        </w:rPr>
      </w:pPr>
      <w:r>
        <w:rPr>
          <w:rFonts w:ascii="宋体" w:hAnsi="宋体" w:eastAsia="宋体" w:cs="宋体"/>
          <w:spacing w:val="9"/>
          <w:sz w:val="20"/>
          <w:szCs w:val="20"/>
        </w:rPr>
        <w:t>①设区市建设主管部门发布市定额人工市场指导单价的：市建设主管部门调增市定额人工指导单价时，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61" w:line="312" w:lineRule="auto"/>
        <w:ind w:right="355" w:firstLine="491"/>
        <w:rPr>
          <w:rFonts w:ascii="宋体" w:hAnsi="宋体" w:eastAsia="宋体" w:cs="宋体"/>
          <w:sz w:val="20"/>
          <w:szCs w:val="20"/>
        </w:rPr>
      </w:pPr>
      <w:r>
        <w:rPr>
          <w:rFonts w:ascii="宋体" w:hAnsi="宋体" w:eastAsia="宋体" w:cs="宋体"/>
          <w:spacing w:val="10"/>
          <w:sz w:val="20"/>
          <w:szCs w:val="20"/>
        </w:rPr>
        <w:t>②设区市建设主管部门未发布市定额人工市场指导单价的，根据省定额人工单</w:t>
      </w:r>
      <w:r>
        <w:rPr>
          <w:rFonts w:ascii="宋体" w:hAnsi="宋体" w:eastAsia="宋体" w:cs="宋体"/>
          <w:spacing w:val="9"/>
          <w:sz w:val="20"/>
          <w:szCs w:val="20"/>
        </w:rPr>
        <w:t>价的调整幅度（百分比</w:t>
      </w:r>
      <w:r>
        <w:rPr>
          <w:rFonts w:ascii="宋体" w:hAnsi="宋体" w:eastAsia="宋体" w:cs="宋体"/>
          <w:spacing w:val="-8"/>
          <w:sz w:val="20"/>
          <w:szCs w:val="20"/>
        </w:rPr>
        <w:t>）</w:t>
      </w:r>
      <w:r>
        <w:rPr>
          <w:rFonts w:ascii="宋体" w:hAnsi="宋体" w:eastAsia="宋体" w:cs="宋体"/>
          <w:spacing w:val="-52"/>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按照上条原则调整工程价款的人工费。</w:t>
      </w:r>
    </w:p>
    <w:p>
      <w:pPr>
        <w:spacing w:before="124" w:line="369" w:lineRule="auto"/>
        <w:ind w:left="9" w:right="168" w:firstLine="485"/>
        <w:rPr>
          <w:rFonts w:ascii="宋体" w:hAnsi="宋体" w:eastAsia="宋体" w:cs="宋体"/>
          <w:sz w:val="20"/>
          <w:szCs w:val="20"/>
        </w:rPr>
      </w:pPr>
      <w:r>
        <w:rPr>
          <w:rFonts w:ascii="宋体" w:hAnsi="宋体" w:eastAsia="宋体" w:cs="宋体"/>
          <w:spacing w:val="9"/>
          <w:sz w:val="20"/>
          <w:szCs w:val="20"/>
        </w:rPr>
        <w:t>三是省建设主管部门调整省定额人工单价时，自调整生效之日起完成的工程量，各项以省价人工费（或省价人机费）为基础计取的费用同时进行调整。</w:t>
      </w:r>
    </w:p>
    <w:p>
      <w:pPr>
        <w:spacing w:line="276" w:lineRule="exact"/>
        <w:ind w:left="493"/>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2" w:line="276" w:lineRule="exact"/>
        <w:ind w:left="491"/>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6" w:line="368" w:lineRule="auto"/>
        <w:ind w:left="8" w:right="165" w:firstLine="483"/>
        <w:rPr>
          <w:rFonts w:ascii="宋体" w:hAnsi="宋体" w:eastAsia="宋体" w:cs="宋体"/>
          <w:sz w:val="20"/>
          <w:szCs w:val="20"/>
        </w:rPr>
      </w:pPr>
      <w:r>
        <w:rPr>
          <w:rFonts w:ascii="宋体" w:hAnsi="宋体" w:eastAsia="宋体" w:cs="宋体"/>
          <w:spacing w:val="9"/>
          <w:sz w:val="20"/>
          <w:szCs w:val="20"/>
        </w:rPr>
        <w:t>二是合同未对材料价格风险进行约定或约定不具体的，发承包双方按照以下原则协商调整工程</w:t>
      </w:r>
      <w:r>
        <w:rPr>
          <w:rFonts w:ascii="宋体" w:hAnsi="宋体" w:eastAsia="宋体" w:cs="宋体"/>
          <w:spacing w:val="4"/>
          <w:sz w:val="20"/>
          <w:szCs w:val="20"/>
        </w:rPr>
        <w:t>造价：</w:t>
      </w:r>
    </w:p>
    <w:p>
      <w:pPr>
        <w:spacing w:line="313" w:lineRule="auto"/>
        <w:ind w:left="12" w:right="165" w:firstLine="478"/>
        <w:rPr>
          <w:rFonts w:ascii="宋体" w:hAnsi="宋体" w:eastAsia="宋体" w:cs="宋体"/>
          <w:sz w:val="20"/>
          <w:szCs w:val="20"/>
        </w:rPr>
      </w:pPr>
      <w:r>
        <w:rPr>
          <w:rFonts w:ascii="宋体" w:hAnsi="宋体" w:eastAsia="宋体" w:cs="宋体"/>
          <w:spacing w:val="9"/>
          <w:sz w:val="20"/>
          <w:szCs w:val="20"/>
        </w:rPr>
        <w:t>①调整的范围限定于主要材料。主要材料是指用量较大、占工程造价比例较高的材料，包括的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6" w:line="331" w:lineRule="auto"/>
        <w:ind w:left="8" w:right="168" w:firstLine="482"/>
        <w:rPr>
          <w:rFonts w:ascii="宋体" w:hAnsi="宋体" w:eastAsia="宋体" w:cs="宋体"/>
          <w:sz w:val="20"/>
          <w:szCs w:val="20"/>
        </w:rPr>
      </w:pPr>
      <w:r>
        <w:rPr>
          <w:rFonts w:ascii="宋体" w:hAnsi="宋体" w:eastAsia="宋体" w:cs="宋体"/>
          <w:spacing w:val="9"/>
          <w:sz w:val="20"/>
          <w:szCs w:val="20"/>
        </w:rPr>
        <w:t>②金属材料、木材、水泥、混凝土、沥青混凝土、预制构件、砂浆、砖、瓦、砂子、碎石、石</w:t>
      </w:r>
      <w:r>
        <w:rPr>
          <w:rFonts w:ascii="宋体" w:hAnsi="宋体" w:eastAsia="宋体" w:cs="宋体"/>
          <w:spacing w:val="10"/>
          <w:sz w:val="20"/>
          <w:szCs w:val="20"/>
        </w:rPr>
        <w:t>灰、石材、防水材料、防腐材料、玻璃、保温材料、门窗、面砖、管材、管件、阀门、电线电缆、</w:t>
      </w:r>
      <w:r>
        <w:rPr>
          <w:rFonts w:ascii="宋体" w:hAnsi="宋体" w:eastAsia="宋体" w:cs="宋体"/>
          <w:spacing w:val="9"/>
          <w:sz w:val="20"/>
          <w:szCs w:val="20"/>
        </w:rPr>
        <w:t>灯具、卫生洁具、散热器、苗木、花卉等。</w:t>
      </w:r>
    </w:p>
    <w:p>
      <w:pPr>
        <w:spacing w:before="123" w:line="275" w:lineRule="exact"/>
        <w:ind w:left="491"/>
        <w:rPr>
          <w:rFonts w:ascii="宋体" w:hAnsi="宋体" w:eastAsia="宋体" w:cs="宋体"/>
          <w:sz w:val="20"/>
          <w:szCs w:val="20"/>
        </w:rPr>
      </w:pPr>
      <w:r>
        <w:rPr>
          <w:rFonts w:ascii="宋体" w:hAnsi="宋体" w:eastAsia="宋体" w:cs="宋体"/>
          <w:spacing w:val="11"/>
          <w:position w:val="1"/>
          <w:sz w:val="20"/>
          <w:szCs w:val="20"/>
        </w:rPr>
        <w:t>③合同价中单种材料合价占单位工程造价比</w:t>
      </w:r>
      <w:r>
        <w:rPr>
          <w:rFonts w:ascii="宋体" w:hAnsi="宋体" w:eastAsia="宋体" w:cs="宋体"/>
          <w:spacing w:val="10"/>
          <w:position w:val="1"/>
          <w:sz w:val="20"/>
          <w:szCs w:val="20"/>
        </w:rPr>
        <w:t>例在</w:t>
      </w:r>
      <w:r>
        <w:rPr>
          <w:rFonts w:ascii="宋体" w:hAnsi="宋体" w:eastAsia="宋体" w:cs="宋体"/>
          <w:spacing w:val="-25"/>
          <w:position w:val="1"/>
          <w:sz w:val="20"/>
          <w:szCs w:val="20"/>
        </w:rPr>
        <w:t xml:space="preserve"> </w:t>
      </w:r>
      <w:r>
        <w:rPr>
          <w:rFonts w:ascii="宋体" w:hAnsi="宋体" w:eastAsia="宋体" w:cs="宋体"/>
          <w:spacing w:val="10"/>
          <w:position w:val="1"/>
          <w:sz w:val="20"/>
          <w:szCs w:val="20"/>
        </w:rPr>
        <w:t>1%及以上的材料。</w:t>
      </w:r>
    </w:p>
    <w:p>
      <w:pPr>
        <w:spacing w:before="123" w:line="275" w:lineRule="exact"/>
        <w:ind w:left="491"/>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6" w:line="368" w:lineRule="auto"/>
        <w:ind w:left="11" w:right="165" w:firstLine="483"/>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0"/>
          <w:sz w:val="20"/>
          <w:szCs w:val="20"/>
        </w:rPr>
        <w:t xml:space="preserve"> </w:t>
      </w:r>
      <w:r>
        <w:rPr>
          <w:rFonts w:ascii="宋体" w:hAnsi="宋体" w:eastAsia="宋体" w:cs="宋体"/>
          <w:spacing w:val="11"/>
          <w:sz w:val="20"/>
          <w:szCs w:val="20"/>
        </w:rPr>
        <w:t>±5%以内（含</w:t>
      </w:r>
      <w:r>
        <w:rPr>
          <w:rFonts w:ascii="宋体" w:hAnsi="宋体" w:eastAsia="宋体" w:cs="宋体"/>
          <w:spacing w:val="-42"/>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1" w:line="369" w:lineRule="auto"/>
        <w:ind w:left="10" w:right="165" w:firstLine="502"/>
        <w:jc w:val="both"/>
        <w:rPr>
          <w:rFonts w:ascii="宋体" w:hAnsi="宋体" w:eastAsia="宋体" w:cs="宋体"/>
          <w:sz w:val="20"/>
          <w:szCs w:val="20"/>
        </w:rPr>
      </w:pPr>
      <w:r>
        <w:rPr>
          <w:rFonts w:ascii="宋体" w:hAnsi="宋体" w:eastAsia="宋体" w:cs="宋体"/>
          <w:spacing w:val="3"/>
          <w:sz w:val="20"/>
          <w:szCs w:val="20"/>
        </w:rPr>
        <w:t>四是材料价差的调整办法参照《建设工程工程量清单计价规</w:t>
      </w:r>
      <w:r>
        <w:rPr>
          <w:rFonts w:ascii="宋体" w:hAnsi="宋体" w:eastAsia="宋体" w:cs="宋体"/>
          <w:spacing w:val="2"/>
          <w:sz w:val="20"/>
          <w:szCs w:val="20"/>
        </w:rPr>
        <w:t>范》（</w:t>
      </w:r>
      <w:r>
        <w:rPr>
          <w:rFonts w:ascii="宋体" w:hAnsi="宋体" w:eastAsia="宋体" w:cs="宋体"/>
          <w:spacing w:val="-60"/>
          <w:sz w:val="20"/>
          <w:szCs w:val="20"/>
        </w:rPr>
        <w:t xml:space="preserve"> </w:t>
      </w:r>
      <w:r>
        <w:rPr>
          <w:rFonts w:ascii="宋体" w:hAnsi="宋体" w:eastAsia="宋体" w:cs="宋体"/>
          <w:sz w:val="20"/>
          <w:szCs w:val="20"/>
        </w:rPr>
        <w:t>GB</w:t>
      </w:r>
      <w:r>
        <w:rPr>
          <w:rFonts w:ascii="宋体" w:hAnsi="宋体" w:eastAsia="宋体" w:cs="宋体"/>
          <w:spacing w:val="2"/>
          <w:sz w:val="20"/>
          <w:szCs w:val="20"/>
        </w:rPr>
        <w:t>50500-2013）附录“A.2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1" w:line="277" w:lineRule="exact"/>
        <w:ind w:left="492"/>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4" w:line="276" w:lineRule="exact"/>
        <w:ind w:left="482"/>
        <w:rPr>
          <w:rFonts w:ascii="宋体" w:hAnsi="宋体" w:eastAsia="宋体" w:cs="宋体"/>
          <w:sz w:val="20"/>
          <w:szCs w:val="20"/>
        </w:rPr>
      </w:pPr>
      <w:r>
        <w:rPr>
          <w:rFonts w:ascii="宋体" w:hAnsi="宋体" w:eastAsia="宋体" w:cs="宋体"/>
          <w:spacing w:val="10"/>
          <w:position w:val="1"/>
          <w:sz w:val="20"/>
          <w:szCs w:val="20"/>
        </w:rPr>
        <w:t>（2）2021年</w:t>
      </w:r>
      <w:r>
        <w:rPr>
          <w:rFonts w:ascii="宋体" w:hAnsi="宋体" w:eastAsia="宋体" w:cs="宋体"/>
          <w:spacing w:val="-41"/>
          <w:position w:val="1"/>
          <w:sz w:val="20"/>
          <w:szCs w:val="20"/>
        </w:rPr>
        <w:t xml:space="preserve"> </w:t>
      </w:r>
      <w:r>
        <w:rPr>
          <w:rFonts w:ascii="宋体" w:hAnsi="宋体" w:eastAsia="宋体" w:cs="宋体"/>
          <w:spacing w:val="10"/>
          <w:position w:val="1"/>
          <w:sz w:val="20"/>
          <w:szCs w:val="20"/>
        </w:rPr>
        <w:t>6</w:t>
      </w:r>
      <w:r>
        <w:rPr>
          <w:rFonts w:ascii="宋体" w:hAnsi="宋体" w:eastAsia="宋体" w:cs="宋体"/>
          <w:spacing w:val="-38"/>
          <w:position w:val="1"/>
          <w:sz w:val="20"/>
          <w:szCs w:val="20"/>
        </w:rPr>
        <w:t xml:space="preserve"> </w:t>
      </w:r>
      <w:r>
        <w:rPr>
          <w:rFonts w:ascii="宋体" w:hAnsi="宋体" w:eastAsia="宋体" w:cs="宋体"/>
          <w:spacing w:val="10"/>
          <w:position w:val="1"/>
          <w:sz w:val="20"/>
          <w:szCs w:val="20"/>
        </w:rPr>
        <w:t>月9 日，淄博市住房和城乡建设局出台《关于进一步加强</w:t>
      </w:r>
      <w:r>
        <w:rPr>
          <w:rFonts w:ascii="宋体" w:hAnsi="宋体" w:eastAsia="宋体" w:cs="宋体"/>
          <w:spacing w:val="9"/>
          <w:position w:val="1"/>
          <w:sz w:val="20"/>
          <w:szCs w:val="20"/>
        </w:rPr>
        <w:t>建设工程材料价格风</w:t>
      </w:r>
    </w:p>
    <w:p>
      <w:pPr>
        <w:spacing w:line="276" w:lineRule="exact"/>
        <w:rPr>
          <w:rFonts w:ascii="宋体" w:hAnsi="宋体" w:eastAsia="宋体" w:cs="宋体"/>
          <w:sz w:val="20"/>
          <w:szCs w:val="20"/>
        </w:rPr>
        <w:sectPr>
          <w:footerReference r:id="rId137" w:type="default"/>
          <w:pgSz w:w="11906" w:h="16839"/>
          <w:pgMar w:top="400" w:right="1252"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62" w:lineRule="auto"/>
        <w:ind w:right="76" w:firstLine="19"/>
        <w:jc w:val="both"/>
        <w:rPr>
          <w:rFonts w:ascii="宋体" w:hAnsi="宋体" w:eastAsia="宋体" w:cs="宋体"/>
          <w:sz w:val="20"/>
          <w:szCs w:val="20"/>
        </w:rPr>
      </w:pPr>
      <w:r>
        <w:rPr>
          <w:rFonts w:ascii="宋体" w:hAnsi="宋体" w:eastAsia="宋体" w:cs="宋体"/>
          <w:spacing w:val="9"/>
          <w:sz w:val="20"/>
          <w:szCs w:val="20"/>
        </w:rPr>
        <w:t>险控制的通知》（淄建发〔2021〕97</w:t>
      </w:r>
      <w:r>
        <w:rPr>
          <w:rFonts w:ascii="宋体" w:hAnsi="宋体" w:eastAsia="宋体" w:cs="宋体"/>
          <w:spacing w:val="-40"/>
          <w:sz w:val="20"/>
          <w:szCs w:val="20"/>
        </w:rPr>
        <w:t xml:space="preserve"> </w:t>
      </w:r>
      <w:r>
        <w:rPr>
          <w:rFonts w:ascii="宋体" w:hAnsi="宋体" w:eastAsia="宋体" w:cs="宋体"/>
          <w:spacing w:val="9"/>
          <w:sz w:val="20"/>
          <w:szCs w:val="20"/>
        </w:rPr>
        <w:t>号）。文件规定：</w:t>
      </w:r>
      <w:r>
        <w:rPr>
          <w:rFonts w:ascii="宋体" w:hAnsi="宋体" w:eastAsia="宋体" w:cs="宋体"/>
          <w:spacing w:val="8"/>
          <w:sz w:val="20"/>
          <w:szCs w:val="20"/>
        </w:rPr>
        <w:t>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w:t>
      </w:r>
      <w:r>
        <w:rPr>
          <w:rFonts w:ascii="宋体" w:hAnsi="宋体" w:eastAsia="宋体" w:cs="宋体"/>
          <w:spacing w:val="10"/>
          <w:sz w:val="20"/>
          <w:szCs w:val="20"/>
        </w:rPr>
        <w:t>价格波动幅度超出5%</w:t>
      </w:r>
      <w:r>
        <w:rPr>
          <w:rFonts w:ascii="宋体" w:hAnsi="宋体" w:eastAsia="宋体" w:cs="宋体"/>
          <w:sz w:val="20"/>
          <w:szCs w:val="20"/>
        </w:rPr>
        <w:t xml:space="preserve"> </w:t>
      </w:r>
      <w:r>
        <w:rPr>
          <w:rFonts w:ascii="宋体" w:hAnsi="宋体" w:eastAsia="宋体" w:cs="宋体"/>
          <w:spacing w:val="10"/>
          <w:sz w:val="20"/>
          <w:szCs w:val="20"/>
        </w:rPr>
        <w:t>（含）的，材料价格风险由建设单位承担，按照超出部分调整材料价差。若建设单位不承担该费用致使工程停工的，工期应予以顺延，停工期间发生的人工、周转性材料及机械等费用发承包双方应</w:t>
      </w:r>
      <w:r>
        <w:rPr>
          <w:rFonts w:ascii="宋体" w:hAnsi="宋体" w:eastAsia="宋体" w:cs="宋体"/>
          <w:spacing w:val="8"/>
          <w:sz w:val="20"/>
          <w:szCs w:val="20"/>
        </w:rPr>
        <w:t>合理分担。</w:t>
      </w:r>
    </w:p>
    <w:p>
      <w:pPr>
        <w:spacing w:before="45" w:line="277" w:lineRule="exact"/>
        <w:ind w:left="447"/>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3" w:line="368" w:lineRule="auto"/>
        <w:ind w:left="9" w:right="79"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before="3" w:line="278"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1"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3" w:line="278"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w:t>
      </w:r>
      <w:r>
        <w:rPr>
          <w:rFonts w:ascii="宋体" w:hAnsi="宋体" w:eastAsia="宋体" w:cs="宋体"/>
          <w:spacing w:val="9"/>
          <w:position w:val="1"/>
          <w:sz w:val="20"/>
          <w:szCs w:val="20"/>
        </w:rPr>
        <w:t>由施工单位支付的检验试验费用；</w:t>
      </w:r>
    </w:p>
    <w:p>
      <w:pPr>
        <w:spacing w:before="122" w:line="277" w:lineRule="exact"/>
        <w:ind w:left="420"/>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2" w:line="352" w:lineRule="auto"/>
        <w:ind w:left="8" w:right="79"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38" w:line="277" w:lineRule="exact"/>
        <w:ind w:left="447"/>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25" w:line="351" w:lineRule="auto"/>
        <w:ind w:left="9" w:right="79"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37" w:line="277" w:lineRule="exact"/>
        <w:ind w:left="428"/>
        <w:rPr>
          <w:rFonts w:ascii="宋体" w:hAnsi="宋体" w:eastAsia="宋体" w:cs="宋体"/>
          <w:sz w:val="20"/>
          <w:szCs w:val="20"/>
        </w:rPr>
      </w:pPr>
      <w:r>
        <w:rPr>
          <w:rFonts w:ascii="宋体" w:hAnsi="宋体" w:eastAsia="宋体" w:cs="宋体"/>
          <w:spacing w:val="8"/>
          <w:position w:val="1"/>
          <w:sz w:val="20"/>
          <w:szCs w:val="20"/>
        </w:rPr>
        <w:t>建筑工程材料的采购及保管费率为2.5</w:t>
      </w:r>
      <w:r>
        <w:rPr>
          <w:rFonts w:ascii="宋体" w:hAnsi="宋体" w:eastAsia="宋体" w:cs="宋体"/>
          <w:spacing w:val="-21"/>
          <w:position w:val="1"/>
          <w:sz w:val="20"/>
          <w:szCs w:val="20"/>
        </w:rPr>
        <w:t>％</w:t>
      </w:r>
      <w:r>
        <w:rPr>
          <w:rFonts w:ascii="宋体" w:hAnsi="宋体" w:eastAsia="宋体" w:cs="宋体"/>
          <w:spacing w:val="-36"/>
          <w:position w:val="1"/>
          <w:sz w:val="20"/>
          <w:szCs w:val="20"/>
        </w:rPr>
        <w:t xml:space="preserve"> </w:t>
      </w:r>
      <w:r>
        <w:rPr>
          <w:rFonts w:ascii="宋体" w:hAnsi="宋体" w:eastAsia="宋体" w:cs="宋体"/>
          <w:spacing w:val="-21"/>
          <w:position w:val="1"/>
          <w:sz w:val="20"/>
          <w:szCs w:val="20"/>
        </w:rPr>
        <w:t>，</w:t>
      </w:r>
      <w:r>
        <w:rPr>
          <w:rFonts w:ascii="宋体" w:hAnsi="宋体" w:eastAsia="宋体" w:cs="宋体"/>
          <w:spacing w:val="8"/>
          <w:position w:val="1"/>
          <w:sz w:val="20"/>
          <w:szCs w:val="20"/>
        </w:rPr>
        <w:t>设备的采购及保管费率</w:t>
      </w:r>
      <w:r>
        <w:rPr>
          <w:rFonts w:ascii="宋体" w:hAnsi="宋体" w:eastAsia="宋体" w:cs="宋体"/>
          <w:spacing w:val="7"/>
          <w:position w:val="1"/>
          <w:sz w:val="20"/>
          <w:szCs w:val="20"/>
        </w:rPr>
        <w:t>为</w:t>
      </w:r>
      <w:r>
        <w:rPr>
          <w:rFonts w:ascii="宋体" w:hAnsi="宋体" w:eastAsia="宋体" w:cs="宋体"/>
          <w:spacing w:val="-24"/>
          <w:position w:val="1"/>
          <w:sz w:val="20"/>
          <w:szCs w:val="20"/>
        </w:rPr>
        <w:t xml:space="preserve"> </w:t>
      </w:r>
      <w:r>
        <w:rPr>
          <w:rFonts w:ascii="宋体" w:hAnsi="宋体" w:eastAsia="宋体" w:cs="宋体"/>
          <w:spacing w:val="7"/>
          <w:position w:val="1"/>
          <w:sz w:val="20"/>
          <w:szCs w:val="20"/>
        </w:rPr>
        <w:t>1％。</w:t>
      </w:r>
    </w:p>
    <w:p>
      <w:pPr>
        <w:spacing w:before="124" w:line="277" w:lineRule="exact"/>
        <w:ind w:left="430"/>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6" w:lineRule="auto"/>
        <w:ind w:left="8" w:right="77" w:firstLine="420"/>
        <w:rPr>
          <w:rFonts w:ascii="宋体" w:hAnsi="宋体" w:eastAsia="宋体" w:cs="宋体"/>
          <w:sz w:val="20"/>
          <w:szCs w:val="20"/>
        </w:rPr>
      </w:pPr>
      <w:r>
        <w:rPr>
          <w:rFonts w:ascii="宋体" w:hAnsi="宋体" w:eastAsia="宋体" w:cs="宋体"/>
          <w:spacing w:val="11"/>
          <w:sz w:val="20"/>
          <w:szCs w:val="20"/>
        </w:rPr>
        <w:t>①建设单位采购、付款、供应至施工现场、并自行保管，施工单位随用随领，采购</w:t>
      </w:r>
      <w:r>
        <w:rPr>
          <w:rFonts w:ascii="宋体" w:hAnsi="宋体" w:eastAsia="宋体" w:cs="宋体"/>
          <w:spacing w:val="10"/>
          <w:sz w:val="20"/>
          <w:szCs w:val="20"/>
        </w:rPr>
        <w:t>及保管费全</w:t>
      </w:r>
      <w:r>
        <w:rPr>
          <w:rFonts w:ascii="宋体" w:hAnsi="宋体" w:eastAsia="宋体" w:cs="宋体"/>
          <w:spacing w:val="7"/>
          <w:sz w:val="20"/>
          <w:szCs w:val="20"/>
        </w:rPr>
        <w:t>部归建设单位。</w:t>
      </w:r>
    </w:p>
    <w:p>
      <w:pPr>
        <w:spacing w:before="160" w:line="331" w:lineRule="auto"/>
        <w:ind w:left="8" w:right="119" w:firstLine="420"/>
        <w:rPr>
          <w:rFonts w:ascii="宋体" w:hAnsi="宋体" w:eastAsia="宋体" w:cs="宋体"/>
          <w:sz w:val="20"/>
          <w:szCs w:val="20"/>
        </w:rPr>
      </w:pPr>
      <w:r>
        <w:rPr>
          <w:rFonts w:ascii="宋体" w:hAnsi="宋体" w:eastAsia="宋体" w:cs="宋体"/>
          <w:spacing w:val="10"/>
          <w:sz w:val="20"/>
          <w:szCs w:val="20"/>
        </w:rPr>
        <w:t>②建设单位采购、付款、供应至施工现场，交由施工单位保管，建设单位计取</w:t>
      </w:r>
      <w:r>
        <w:rPr>
          <w:rFonts w:ascii="宋体" w:hAnsi="宋体" w:eastAsia="宋体" w:cs="宋体"/>
          <w:spacing w:val="9"/>
          <w:sz w:val="20"/>
          <w:szCs w:val="20"/>
        </w:rPr>
        <w:t>采购及保管费的</w:t>
      </w:r>
      <w:r>
        <w:rPr>
          <w:rFonts w:ascii="宋体" w:hAnsi="宋体" w:eastAsia="宋体" w:cs="宋体"/>
          <w:spacing w:val="10"/>
          <w:sz w:val="20"/>
          <w:szCs w:val="20"/>
        </w:rPr>
        <w:t>60</w:t>
      </w:r>
      <w:r>
        <w:rPr>
          <w:rFonts w:ascii="宋体" w:hAnsi="宋体" w:eastAsia="宋体" w:cs="宋体"/>
          <w:spacing w:val="-18"/>
          <w:sz w:val="20"/>
          <w:szCs w:val="20"/>
        </w:rPr>
        <w:t>％</w:t>
      </w:r>
      <w:r>
        <w:rPr>
          <w:rFonts w:ascii="宋体" w:hAnsi="宋体" w:eastAsia="宋体" w:cs="宋体"/>
          <w:spacing w:val="-36"/>
          <w:sz w:val="20"/>
          <w:szCs w:val="20"/>
        </w:rPr>
        <w:t xml:space="preserve"> </w:t>
      </w:r>
      <w:r>
        <w:rPr>
          <w:rFonts w:ascii="宋体" w:hAnsi="宋体" w:eastAsia="宋体" w:cs="宋体"/>
          <w:spacing w:val="-18"/>
          <w:sz w:val="20"/>
          <w:szCs w:val="20"/>
        </w:rPr>
        <w:t>，</w:t>
      </w:r>
      <w:r>
        <w:rPr>
          <w:rFonts w:ascii="宋体" w:hAnsi="宋体" w:eastAsia="宋体" w:cs="宋体"/>
          <w:spacing w:val="10"/>
          <w:sz w:val="20"/>
          <w:szCs w:val="20"/>
        </w:rPr>
        <w:t>施工单位计取40％</w:t>
      </w:r>
      <w:r>
        <w:rPr>
          <w:rFonts w:ascii="宋体" w:hAnsi="宋体" w:eastAsia="宋体" w:cs="宋体"/>
          <w:spacing w:val="-49"/>
          <w:sz w:val="20"/>
          <w:szCs w:val="20"/>
        </w:rPr>
        <w:t xml:space="preserve"> </w:t>
      </w:r>
      <w:r>
        <w:rPr>
          <w:rFonts w:ascii="宋体" w:hAnsi="宋体" w:eastAsia="宋体" w:cs="宋体"/>
          <w:spacing w:val="10"/>
          <w:sz w:val="20"/>
          <w:szCs w:val="20"/>
        </w:rPr>
        <w:t>。建设单位采购并付款，交提货单由施工企业提运时施工单位计取60%</w:t>
      </w:r>
      <w:r>
        <w:rPr>
          <w:rFonts w:ascii="宋体" w:hAnsi="宋体" w:eastAsia="宋体" w:cs="宋体"/>
          <w:spacing w:val="-36"/>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23" w:line="223" w:lineRule="auto"/>
        <w:ind w:left="428"/>
        <w:rPr>
          <w:rFonts w:ascii="宋体" w:hAnsi="宋体" w:eastAsia="宋体" w:cs="宋体"/>
          <w:sz w:val="20"/>
          <w:szCs w:val="20"/>
        </w:rPr>
      </w:pPr>
      <w:r>
        <w:rPr>
          <w:rFonts w:ascii="宋体" w:hAnsi="宋体" w:eastAsia="宋体" w:cs="宋体"/>
          <w:spacing w:val="10"/>
          <w:sz w:val="20"/>
          <w:szCs w:val="20"/>
        </w:rPr>
        <w:t>③施工单位采购、付款、供应至施工现场，并自行保</w:t>
      </w:r>
      <w:r>
        <w:rPr>
          <w:rFonts w:ascii="宋体" w:hAnsi="宋体" w:eastAsia="宋体" w:cs="宋体"/>
          <w:spacing w:val="9"/>
          <w:sz w:val="20"/>
          <w:szCs w:val="20"/>
        </w:rPr>
        <w:t>管、采购及保管费全部归施工单位。</w:t>
      </w:r>
    </w:p>
    <w:p>
      <w:pPr>
        <w:spacing w:before="159" w:line="311" w:lineRule="auto"/>
        <w:ind w:left="428" w:firstLine="18"/>
        <w:rPr>
          <w:rFonts w:ascii="宋体" w:hAnsi="宋体" w:eastAsia="宋体" w:cs="宋体"/>
          <w:sz w:val="20"/>
          <w:szCs w:val="20"/>
        </w:rPr>
      </w:pPr>
      <w:r>
        <w:rPr>
          <w:rFonts w:ascii="宋体" w:hAnsi="宋体" w:eastAsia="宋体" w:cs="宋体"/>
          <w:spacing w:val="6"/>
          <w:sz w:val="20"/>
          <w:szCs w:val="20"/>
        </w:rPr>
        <w:t>16</w:t>
      </w:r>
      <w:r>
        <w:rPr>
          <w:rFonts w:ascii="宋体" w:hAnsi="宋体" w:eastAsia="宋体" w:cs="宋体"/>
          <w:spacing w:val="-34"/>
          <w:sz w:val="20"/>
          <w:szCs w:val="20"/>
        </w:rPr>
        <w:t xml:space="preserve"> </w:t>
      </w:r>
      <w:r>
        <w:rPr>
          <w:rFonts w:ascii="宋体" w:hAnsi="宋体" w:eastAsia="宋体" w:cs="宋体"/>
          <w:spacing w:val="6"/>
          <w:sz w:val="20"/>
          <w:szCs w:val="20"/>
        </w:rPr>
        <w:t>消耗量定额《山东省建筑工程价目表》材料价格取</w:t>
      </w:r>
      <w:r>
        <w:rPr>
          <w:rFonts w:ascii="宋体" w:hAnsi="宋体" w:eastAsia="宋体" w:cs="宋体"/>
          <w:spacing w:val="5"/>
          <w:sz w:val="20"/>
          <w:szCs w:val="20"/>
        </w:rPr>
        <w:t>定表中的材料单价，已包括采购及保管费。</w:t>
      </w: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p>
    <w:p>
      <w:pPr>
        <w:spacing w:before="125" w:line="276" w:lineRule="exact"/>
        <w:ind w:left="14"/>
        <w:rPr>
          <w:rFonts w:ascii="宋体" w:hAnsi="宋体" w:eastAsia="宋体" w:cs="宋体"/>
          <w:sz w:val="20"/>
          <w:szCs w:val="20"/>
        </w:rPr>
      </w:pPr>
      <w:r>
        <w:rPr>
          <w:rFonts w:ascii="宋体" w:hAnsi="宋体" w:eastAsia="宋体" w:cs="宋体"/>
          <w:spacing w:val="9"/>
          <w:position w:val="1"/>
          <w:sz w:val="20"/>
          <w:szCs w:val="20"/>
        </w:rPr>
        <w:t>为材料供应至施工现场的落地价（应含卸车费用</w:t>
      </w:r>
      <w:r>
        <w:rPr>
          <w:rFonts w:ascii="宋体" w:hAnsi="宋体" w:eastAsia="宋体" w:cs="宋体"/>
          <w:spacing w:val="-8"/>
          <w:position w:val="1"/>
          <w:sz w:val="20"/>
          <w:szCs w:val="20"/>
        </w:rPr>
        <w:t>）</w:t>
      </w:r>
      <w:r>
        <w:rPr>
          <w:rFonts w:ascii="宋体" w:hAnsi="宋体" w:eastAsia="宋体" w:cs="宋体"/>
          <w:spacing w:val="-53"/>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9"/>
          <w:position w:val="1"/>
          <w:sz w:val="20"/>
          <w:szCs w:val="20"/>
        </w:rPr>
        <w:t>未包括材料的采购及保管费。</w:t>
      </w:r>
    </w:p>
    <w:p>
      <w:pPr>
        <w:spacing w:before="125" w:line="277" w:lineRule="exact"/>
        <w:ind w:left="447"/>
        <w:rPr>
          <w:rFonts w:ascii="宋体" w:hAnsi="宋体" w:eastAsia="宋体" w:cs="宋体"/>
          <w:sz w:val="20"/>
          <w:szCs w:val="20"/>
        </w:rPr>
      </w:pPr>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1" w:line="369" w:lineRule="auto"/>
        <w:ind w:left="24" w:right="76" w:firstLine="395"/>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9"/>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w:t>
      </w:r>
      <w:r>
        <w:rPr>
          <w:rFonts w:ascii="宋体" w:hAnsi="宋体" w:eastAsia="宋体" w:cs="宋体"/>
          <w:spacing w:val="9"/>
          <w:sz w:val="20"/>
          <w:szCs w:val="20"/>
        </w:rPr>
        <w:t>不能按上述要求</w:t>
      </w:r>
    </w:p>
    <w:p>
      <w:pPr>
        <w:spacing w:line="369" w:lineRule="auto"/>
        <w:rPr>
          <w:rFonts w:ascii="宋体" w:hAnsi="宋体" w:eastAsia="宋体" w:cs="宋体"/>
          <w:sz w:val="20"/>
          <w:szCs w:val="20"/>
        </w:rPr>
        <w:sectPr>
          <w:footerReference r:id="rId138" w:type="default"/>
          <w:pgSz w:w="11906" w:h="16839"/>
          <w:pgMar w:top="400" w:right="1341" w:bottom="1212" w:left="1411"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firstLine="4"/>
        <w:rPr>
          <w:rFonts w:ascii="宋体" w:hAnsi="宋体" w:eastAsia="宋体" w:cs="宋体"/>
          <w:sz w:val="20"/>
          <w:szCs w:val="20"/>
        </w:rPr>
      </w:pPr>
      <w:r>
        <w:rPr>
          <w:rFonts w:ascii="宋体" w:hAnsi="宋体" w:eastAsia="宋体" w:cs="宋体"/>
          <w:spacing w:val="11"/>
          <w:sz w:val="20"/>
          <w:szCs w:val="20"/>
        </w:rPr>
        <w:t>提供时，施工单位依据经过批准的施工组织设计，按建筑、安装消耗量</w:t>
      </w:r>
      <w:r>
        <w:rPr>
          <w:rFonts w:ascii="宋体" w:hAnsi="宋体" w:eastAsia="宋体" w:cs="宋体"/>
          <w:spacing w:val="10"/>
          <w:sz w:val="20"/>
          <w:szCs w:val="20"/>
        </w:rPr>
        <w:t>定额及其相应规定另行单独</w:t>
      </w:r>
      <w:r>
        <w:rPr>
          <w:rFonts w:ascii="宋体" w:hAnsi="宋体" w:eastAsia="宋体" w:cs="宋体"/>
          <w:spacing w:val="7"/>
          <w:sz w:val="20"/>
          <w:szCs w:val="20"/>
        </w:rPr>
        <w:t>计算费用。</w:t>
      </w:r>
    </w:p>
    <w:p>
      <w:pPr>
        <w:spacing w:line="277"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19" w:line="297" w:lineRule="auto"/>
        <w:ind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9"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2" w:line="277" w:lineRule="exact"/>
        <w:ind w:left="440"/>
        <w:rPr>
          <w:rFonts w:ascii="宋体" w:hAnsi="宋体" w:eastAsia="宋体" w:cs="宋体"/>
          <w:sz w:val="20"/>
          <w:szCs w:val="20"/>
        </w:rPr>
      </w:pPr>
      <w:r>
        <w:rPr>
          <w:rFonts w:ascii="宋体" w:hAnsi="宋体" w:eastAsia="宋体" w:cs="宋体"/>
          <w:b/>
          <w:bCs/>
          <w:spacing w:val="3"/>
          <w:position w:val="1"/>
          <w:sz w:val="20"/>
          <w:szCs w:val="20"/>
        </w:rPr>
        <w:t>15.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关于黄砂过筛损耗：过筛损耗率为</w:t>
      </w:r>
      <w:r>
        <w:rPr>
          <w:rFonts w:ascii="宋体" w:hAnsi="宋体" w:eastAsia="宋体" w:cs="宋体"/>
          <w:spacing w:val="-38"/>
          <w:position w:val="1"/>
          <w:sz w:val="20"/>
          <w:szCs w:val="20"/>
        </w:rPr>
        <w:t xml:space="preserve"> </w:t>
      </w:r>
      <w:r>
        <w:rPr>
          <w:rFonts w:ascii="宋体" w:hAnsi="宋体" w:eastAsia="宋体" w:cs="宋体"/>
          <w:b/>
          <w:bCs/>
          <w:spacing w:val="3"/>
          <w:position w:val="1"/>
          <w:sz w:val="20"/>
          <w:szCs w:val="20"/>
        </w:rPr>
        <w:t>6％。</w:t>
      </w:r>
    </w:p>
    <w:p>
      <w:pPr>
        <w:spacing w:before="123" w:line="277" w:lineRule="exact"/>
        <w:ind w:left="433"/>
        <w:rPr>
          <w:rFonts w:ascii="宋体" w:hAnsi="宋体" w:eastAsia="宋体" w:cs="宋体"/>
          <w:sz w:val="20"/>
          <w:szCs w:val="20"/>
        </w:rPr>
      </w:pPr>
      <w:r>
        <w:rPr>
          <w:rFonts w:ascii="宋体" w:hAnsi="宋体" w:eastAsia="宋体" w:cs="宋体"/>
          <w:b/>
          <w:bCs/>
          <w:spacing w:val="6"/>
          <w:position w:val="1"/>
          <w:sz w:val="20"/>
          <w:szCs w:val="20"/>
        </w:rPr>
        <w:t>16.</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关于根据政府相关部门规定，施工单位在施工场区内适当位置，搭建实物样板，对主体结</w:t>
      </w:r>
    </w:p>
    <w:p>
      <w:pPr>
        <w:spacing w:before="128" w:line="367" w:lineRule="auto"/>
        <w:ind w:right="7" w:firstLine="2"/>
        <w:rPr>
          <w:rFonts w:ascii="宋体" w:hAnsi="宋体" w:eastAsia="宋体" w:cs="宋体"/>
          <w:sz w:val="20"/>
          <w:szCs w:val="20"/>
        </w:rPr>
      </w:pPr>
      <w:r>
        <w:rPr>
          <w:rFonts w:ascii="宋体" w:hAnsi="宋体" w:eastAsia="宋体" w:cs="宋体"/>
          <w:b/>
          <w:bCs/>
          <w:spacing w:val="9"/>
          <w:sz w:val="20"/>
          <w:szCs w:val="20"/>
        </w:rPr>
        <w:t>构和外墙抹灰、保温、饰面做法、门窗安装等各</w:t>
      </w:r>
      <w:r>
        <w:rPr>
          <w:rFonts w:ascii="宋体" w:hAnsi="宋体" w:eastAsia="宋体" w:cs="宋体"/>
          <w:b/>
          <w:bCs/>
          <w:spacing w:val="8"/>
          <w:sz w:val="20"/>
          <w:szCs w:val="20"/>
        </w:rPr>
        <w:t>道工艺做法进行逐一展示，并在对应部位粘贴展板标识工艺做法。该实物样板费用的计取</w:t>
      </w:r>
    </w:p>
    <w:p>
      <w:pPr>
        <w:spacing w:before="2" w:line="351" w:lineRule="auto"/>
        <w:ind w:left="3" w:right="48" w:firstLine="414"/>
        <w:rPr>
          <w:rFonts w:ascii="宋体" w:hAnsi="宋体" w:eastAsia="宋体" w:cs="宋体"/>
          <w:sz w:val="20"/>
          <w:szCs w:val="20"/>
        </w:rPr>
      </w:pPr>
      <w:r>
        <w:rPr>
          <w:rFonts w:ascii="宋体" w:hAnsi="宋体" w:eastAsia="宋体" w:cs="宋体"/>
          <w:spacing w:val="10"/>
          <w:sz w:val="20"/>
          <w:szCs w:val="20"/>
        </w:rPr>
        <w:t>现有定额或有关费率中未包含“实物样板”相关（摊销）费用，实际发</w:t>
      </w:r>
      <w:r>
        <w:rPr>
          <w:rFonts w:ascii="宋体" w:hAnsi="宋体" w:eastAsia="宋体" w:cs="宋体"/>
          <w:spacing w:val="9"/>
          <w:sz w:val="20"/>
          <w:szCs w:val="20"/>
        </w:rPr>
        <w:t>生时，应由发承包双方根据施工场区内实际搭设的“实物样板”办理签证，另行计算。</w:t>
      </w:r>
    </w:p>
    <w:p>
      <w:pPr>
        <w:spacing w:before="37" w:line="276" w:lineRule="exact"/>
        <w:ind w:left="440"/>
        <w:rPr>
          <w:rFonts w:ascii="宋体" w:hAnsi="宋体" w:eastAsia="宋体" w:cs="宋体"/>
          <w:sz w:val="20"/>
          <w:szCs w:val="20"/>
        </w:rPr>
      </w:pPr>
      <w:r>
        <w:rPr>
          <w:rFonts w:ascii="宋体" w:hAnsi="宋体" w:eastAsia="宋体" w:cs="宋体"/>
          <w:b/>
          <w:bCs/>
          <w:spacing w:val="4"/>
          <w:position w:val="1"/>
          <w:sz w:val="20"/>
          <w:szCs w:val="20"/>
        </w:rPr>
        <w:t>17.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关于建筑围挡悬挂宣传标语及公益广告的计价</w:t>
      </w:r>
    </w:p>
    <w:p>
      <w:pPr>
        <w:spacing w:before="128" w:line="222" w:lineRule="auto"/>
        <w:ind w:left="421"/>
        <w:rPr>
          <w:rFonts w:ascii="宋体" w:hAnsi="宋体" w:eastAsia="宋体" w:cs="宋体"/>
          <w:sz w:val="20"/>
          <w:szCs w:val="20"/>
        </w:rPr>
      </w:pPr>
      <w:r>
        <w:rPr>
          <w:rFonts w:ascii="宋体" w:hAnsi="宋体" w:eastAsia="宋体" w:cs="宋体"/>
          <w:spacing w:val="10"/>
          <w:sz w:val="20"/>
          <w:szCs w:val="20"/>
        </w:rPr>
        <w:t>建筑围挡悬挂宣传标语及公益广告未包括在文明施工</w:t>
      </w:r>
      <w:r>
        <w:rPr>
          <w:rFonts w:ascii="宋体" w:hAnsi="宋体" w:eastAsia="宋体" w:cs="宋体"/>
          <w:spacing w:val="9"/>
          <w:sz w:val="20"/>
          <w:szCs w:val="20"/>
        </w:rPr>
        <w:t>费中，应按照实际发生的费用单独计算。</w:t>
      </w:r>
    </w:p>
    <w:p>
      <w:pPr>
        <w:spacing w:before="157" w:line="278" w:lineRule="exact"/>
        <w:ind w:left="440"/>
        <w:rPr>
          <w:rFonts w:ascii="宋体" w:hAnsi="宋体" w:eastAsia="宋体" w:cs="宋体"/>
          <w:sz w:val="20"/>
          <w:szCs w:val="20"/>
        </w:rPr>
      </w:pPr>
      <w:r>
        <w:rPr>
          <w:rFonts w:ascii="宋体" w:hAnsi="宋体" w:eastAsia="宋体" w:cs="宋体"/>
          <w:b/>
          <w:bCs/>
          <w:spacing w:val="3"/>
          <w:position w:val="1"/>
          <w:sz w:val="20"/>
          <w:szCs w:val="20"/>
        </w:rPr>
        <w:t>18.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关于建筑工程施工沉降观测费的计取</w:t>
      </w:r>
    </w:p>
    <w:p>
      <w:pPr>
        <w:spacing w:before="120" w:line="352" w:lineRule="auto"/>
        <w:ind w:left="3" w:right="48" w:firstLine="394"/>
        <w:rPr>
          <w:rFonts w:ascii="宋体" w:hAnsi="宋体" w:eastAsia="宋体" w:cs="宋体"/>
          <w:sz w:val="20"/>
          <w:szCs w:val="20"/>
        </w:rPr>
      </w:pPr>
      <w:r>
        <w:rPr>
          <w:rFonts w:ascii="宋体" w:hAnsi="宋体" w:eastAsia="宋体" w:cs="宋体"/>
          <w:spacing w:val="10"/>
          <w:sz w:val="20"/>
          <w:szCs w:val="20"/>
        </w:rPr>
        <w:t>《山东省建筑工程费用项目组成及计算规则》中未包括需委托有资质的第三方单位进行房屋建</w:t>
      </w:r>
      <w:r>
        <w:rPr>
          <w:rFonts w:ascii="宋体" w:hAnsi="宋体" w:eastAsia="宋体" w:cs="宋体"/>
          <w:spacing w:val="9"/>
          <w:sz w:val="20"/>
          <w:szCs w:val="20"/>
        </w:rPr>
        <w:t>筑工程沉降观测的费用，该费用如果发生应由发包方承担。</w:t>
      </w:r>
    </w:p>
    <w:p>
      <w:pPr>
        <w:spacing w:before="39" w:line="277" w:lineRule="exact"/>
        <w:ind w:left="440"/>
        <w:rPr>
          <w:rFonts w:ascii="宋体" w:hAnsi="宋体" w:eastAsia="宋体" w:cs="宋体"/>
          <w:sz w:val="20"/>
          <w:szCs w:val="20"/>
        </w:rPr>
      </w:pPr>
      <w:r>
        <w:rPr>
          <w:rFonts w:ascii="宋体" w:hAnsi="宋体" w:eastAsia="宋体" w:cs="宋体"/>
          <w:b/>
          <w:bCs/>
          <w:spacing w:val="1"/>
          <w:position w:val="1"/>
          <w:sz w:val="20"/>
          <w:szCs w:val="20"/>
        </w:rPr>
        <w:t>19.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关于平整场地的计价</w:t>
      </w:r>
    </w:p>
    <w:p>
      <w:pPr>
        <w:spacing w:before="124" w:line="369" w:lineRule="auto"/>
        <w:ind w:firstLine="460"/>
        <w:jc w:val="both"/>
        <w:rPr>
          <w:rFonts w:ascii="宋体" w:hAnsi="宋体" w:eastAsia="宋体" w:cs="宋体"/>
          <w:sz w:val="20"/>
          <w:szCs w:val="20"/>
        </w:rPr>
      </w:pPr>
      <w:r>
        <w:rPr>
          <w:rFonts w:ascii="宋体" w:hAnsi="宋体" w:eastAsia="宋体" w:cs="宋体"/>
          <w:spacing w:val="10"/>
          <w:sz w:val="20"/>
          <w:szCs w:val="20"/>
        </w:rPr>
        <w:t>目前带地下室的建筑越来越多，而且地下室的土石方大开挖一般都是由甲方分包</w:t>
      </w:r>
      <w:r>
        <w:rPr>
          <w:rFonts w:ascii="宋体" w:hAnsi="宋体" w:eastAsia="宋体" w:cs="宋体"/>
          <w:spacing w:val="9"/>
          <w:sz w:val="20"/>
          <w:szCs w:val="20"/>
        </w:rPr>
        <w:t>，无论单独分</w:t>
      </w:r>
      <w:r>
        <w:rPr>
          <w:rFonts w:ascii="宋体" w:hAnsi="宋体" w:eastAsia="宋体" w:cs="宋体"/>
          <w:spacing w:val="11"/>
          <w:sz w:val="20"/>
          <w:szCs w:val="20"/>
        </w:rPr>
        <w:t>包单位先行开挖而后放线，还是总包单位先行放线而后开挖，总包单位一定要</w:t>
      </w:r>
      <w:r>
        <w:rPr>
          <w:rFonts w:ascii="宋体" w:hAnsi="宋体" w:eastAsia="宋体" w:cs="宋体"/>
          <w:spacing w:val="10"/>
          <w:sz w:val="20"/>
          <w:szCs w:val="20"/>
        </w:rPr>
        <w:t>在施工放线之后才能</w:t>
      </w:r>
      <w:r>
        <w:rPr>
          <w:rFonts w:ascii="宋体" w:hAnsi="宋体" w:eastAsia="宋体" w:cs="宋体"/>
          <w:spacing w:val="11"/>
          <w:sz w:val="20"/>
          <w:szCs w:val="20"/>
        </w:rPr>
        <w:t>进行建筑物主体施工，施工放线就要平整场地，因此，任何情况下总包单位均</w:t>
      </w:r>
      <w:r>
        <w:rPr>
          <w:rFonts w:ascii="宋体" w:hAnsi="宋体" w:eastAsia="宋体" w:cs="宋体"/>
          <w:spacing w:val="10"/>
          <w:sz w:val="20"/>
          <w:szCs w:val="20"/>
        </w:rPr>
        <w:t>应全额计算一次平整</w:t>
      </w:r>
      <w:r>
        <w:rPr>
          <w:rFonts w:ascii="宋体" w:hAnsi="宋体" w:eastAsia="宋体" w:cs="宋体"/>
          <w:spacing w:val="4"/>
          <w:sz w:val="20"/>
          <w:szCs w:val="20"/>
        </w:rPr>
        <w:t>场地。</w:t>
      </w:r>
    </w:p>
    <w:p>
      <w:pPr>
        <w:spacing w:before="1" w:line="350" w:lineRule="auto"/>
        <w:ind w:left="3" w:firstLine="419"/>
        <w:rPr>
          <w:rFonts w:ascii="宋体" w:hAnsi="宋体" w:eastAsia="宋体" w:cs="宋体"/>
          <w:sz w:val="20"/>
          <w:szCs w:val="20"/>
        </w:rPr>
      </w:pPr>
      <w:r>
        <w:rPr>
          <w:rFonts w:ascii="宋体" w:hAnsi="宋体" w:eastAsia="宋体" w:cs="宋体"/>
          <w:b/>
          <w:bCs/>
          <w:spacing w:val="8"/>
          <w:sz w:val="20"/>
          <w:szCs w:val="20"/>
        </w:rPr>
        <w:t>20.</w:t>
      </w:r>
      <w:r>
        <w:rPr>
          <w:rFonts w:ascii="宋体" w:hAnsi="宋体" w:eastAsia="宋体" w:cs="宋体"/>
          <w:spacing w:val="8"/>
          <w:sz w:val="20"/>
          <w:szCs w:val="20"/>
        </w:rPr>
        <w:t xml:space="preserve"> </w:t>
      </w:r>
      <w:r>
        <w:rPr>
          <w:rFonts w:ascii="宋体" w:hAnsi="宋体" w:eastAsia="宋体" w:cs="宋体"/>
          <w:b/>
          <w:bCs/>
          <w:spacing w:val="8"/>
          <w:sz w:val="20"/>
          <w:szCs w:val="20"/>
        </w:rPr>
        <w:t>关于不能形成建筑空间的设计室外坪以上的花坛、水池、围墙、道路、停车场、厂区铺装</w:t>
      </w:r>
      <w:r>
        <w:rPr>
          <w:rFonts w:ascii="宋体" w:hAnsi="宋体" w:eastAsia="宋体" w:cs="宋体"/>
          <w:b/>
          <w:bCs/>
          <w:spacing w:val="7"/>
          <w:sz w:val="20"/>
          <w:szCs w:val="20"/>
        </w:rPr>
        <w:t>等场地平整的计价</w:t>
      </w:r>
    </w:p>
    <w:p>
      <w:pPr>
        <w:spacing w:before="42" w:line="369" w:lineRule="auto"/>
        <w:ind w:left="2" w:firstLine="420"/>
        <w:rPr>
          <w:rFonts w:ascii="宋体" w:hAnsi="宋体" w:eastAsia="宋体" w:cs="宋体"/>
          <w:sz w:val="20"/>
          <w:szCs w:val="20"/>
        </w:rPr>
      </w:pPr>
      <w:r>
        <w:rPr>
          <w:rFonts w:ascii="宋体" w:hAnsi="宋体" w:eastAsia="宋体" w:cs="宋体"/>
          <w:spacing w:val="11"/>
          <w:sz w:val="20"/>
          <w:szCs w:val="20"/>
        </w:rPr>
        <w:t>不能形成建筑空间的设计室外坪以上的花坛、水池、围墙、道路、停车场、</w:t>
      </w:r>
      <w:r>
        <w:rPr>
          <w:rFonts w:ascii="宋体" w:hAnsi="宋体" w:eastAsia="宋体" w:cs="宋体"/>
          <w:spacing w:val="10"/>
          <w:sz w:val="20"/>
          <w:szCs w:val="20"/>
        </w:rPr>
        <w:t>厂区铺装等不计算</w:t>
      </w:r>
      <w:r>
        <w:rPr>
          <w:rFonts w:ascii="宋体" w:hAnsi="宋体" w:eastAsia="宋体" w:cs="宋体"/>
          <w:spacing w:val="6"/>
          <w:sz w:val="20"/>
          <w:szCs w:val="20"/>
        </w:rPr>
        <w:t>场地平整。</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21.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关于竣工清理的计价</w:t>
      </w:r>
    </w:p>
    <w:p>
      <w:pPr>
        <w:spacing w:before="122" w:line="363" w:lineRule="auto"/>
        <w:ind w:firstLine="420"/>
        <w:jc w:val="both"/>
        <w:rPr>
          <w:rFonts w:ascii="宋体" w:hAnsi="宋体" w:eastAsia="宋体" w:cs="宋体"/>
          <w:sz w:val="20"/>
          <w:szCs w:val="20"/>
        </w:rPr>
      </w:pPr>
      <w:r>
        <w:rPr>
          <w:rFonts w:ascii="宋体" w:hAnsi="宋体" w:eastAsia="宋体" w:cs="宋体"/>
          <w:spacing w:val="11"/>
          <w:sz w:val="20"/>
          <w:szCs w:val="20"/>
        </w:rPr>
        <w:t>竣工清理，系指建筑物（构筑物）内、四周外围两米范围内建筑垃圾的清理、</w:t>
      </w:r>
      <w:r>
        <w:rPr>
          <w:rFonts w:ascii="宋体" w:hAnsi="宋体" w:eastAsia="宋体" w:cs="宋体"/>
          <w:spacing w:val="10"/>
          <w:sz w:val="20"/>
          <w:szCs w:val="20"/>
        </w:rPr>
        <w:t>场内运输和指定</w:t>
      </w:r>
      <w:r>
        <w:rPr>
          <w:rFonts w:ascii="宋体" w:hAnsi="宋体" w:eastAsia="宋体" w:cs="宋体"/>
          <w:spacing w:val="11"/>
          <w:sz w:val="20"/>
          <w:szCs w:val="20"/>
        </w:rPr>
        <w:t>地点的集中堆放，建筑物（构筑物）竣工验收前的清理、清洁等工作内容。任</w:t>
      </w:r>
      <w:r>
        <w:rPr>
          <w:rFonts w:ascii="宋体" w:hAnsi="宋体" w:eastAsia="宋体" w:cs="宋体"/>
          <w:spacing w:val="10"/>
          <w:sz w:val="20"/>
          <w:szCs w:val="20"/>
        </w:rPr>
        <w:t>何情况下，总包单位</w:t>
      </w:r>
      <w:r>
        <w:rPr>
          <w:rFonts w:ascii="宋体" w:hAnsi="宋体" w:eastAsia="宋体" w:cs="宋体"/>
          <w:spacing w:val="11"/>
          <w:sz w:val="20"/>
          <w:szCs w:val="20"/>
        </w:rPr>
        <w:t>均应全额计算一次竣工清理。该竣工清理中不包括建筑物垃圾的装车和场外运</w:t>
      </w:r>
      <w:r>
        <w:rPr>
          <w:rFonts w:ascii="宋体" w:hAnsi="宋体" w:eastAsia="宋体" w:cs="宋体"/>
          <w:spacing w:val="10"/>
          <w:sz w:val="20"/>
          <w:szCs w:val="20"/>
        </w:rPr>
        <w:t>输，发生时应按自然</w:t>
      </w:r>
      <w:r>
        <w:rPr>
          <w:rFonts w:ascii="宋体" w:hAnsi="宋体" w:eastAsia="宋体" w:cs="宋体"/>
          <w:spacing w:val="8"/>
          <w:sz w:val="20"/>
          <w:szCs w:val="20"/>
        </w:rPr>
        <w:t>状态下实际体积单独计算。</w:t>
      </w:r>
    </w:p>
    <w:p>
      <w:pPr>
        <w:spacing w:before="28" w:line="278" w:lineRule="exact"/>
        <w:ind w:left="423"/>
        <w:rPr>
          <w:rFonts w:ascii="宋体" w:hAnsi="宋体" w:eastAsia="宋体" w:cs="宋体"/>
          <w:sz w:val="20"/>
          <w:szCs w:val="20"/>
        </w:rPr>
      </w:pPr>
      <w:r>
        <w:rPr>
          <w:rFonts w:ascii="宋体" w:hAnsi="宋体" w:eastAsia="宋体" w:cs="宋体"/>
          <w:b/>
          <w:bCs/>
          <w:spacing w:val="4"/>
          <w:position w:val="1"/>
          <w:sz w:val="20"/>
          <w:szCs w:val="20"/>
        </w:rPr>
        <w:t>22.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关于钢结构建筑物竣工清理的计算</w:t>
      </w:r>
    </w:p>
    <w:p>
      <w:pPr>
        <w:spacing w:before="123" w:line="277" w:lineRule="exact"/>
        <w:ind w:left="423"/>
        <w:rPr>
          <w:rFonts w:ascii="宋体" w:hAnsi="宋体" w:eastAsia="宋体" w:cs="宋体"/>
          <w:sz w:val="20"/>
          <w:szCs w:val="20"/>
        </w:rPr>
      </w:pPr>
      <w:r>
        <w:rPr>
          <w:rFonts w:ascii="宋体" w:hAnsi="宋体" w:eastAsia="宋体" w:cs="宋体"/>
          <w:spacing w:val="7"/>
          <w:position w:val="1"/>
          <w:sz w:val="20"/>
          <w:szCs w:val="20"/>
        </w:rPr>
        <w:t>钢结构建筑物（含建筑物的钢结构部分)，其竣工清理子目乘以系数0.3。</w:t>
      </w:r>
    </w:p>
    <w:p>
      <w:pPr>
        <w:spacing w:before="121" w:line="278" w:lineRule="exact"/>
        <w:ind w:left="421"/>
        <w:rPr>
          <w:rFonts w:ascii="宋体" w:hAnsi="宋体" w:eastAsia="宋体" w:cs="宋体"/>
          <w:sz w:val="20"/>
          <w:szCs w:val="20"/>
        </w:rPr>
      </w:pPr>
      <w:r>
        <w:rPr>
          <w:rFonts w:ascii="宋体" w:hAnsi="宋体" w:eastAsia="宋体" w:cs="宋体"/>
          <w:spacing w:val="8"/>
          <w:position w:val="1"/>
          <w:sz w:val="20"/>
          <w:szCs w:val="20"/>
        </w:rPr>
        <w:t>建筑物（钢结构除外）层高&gt;3.60m</w:t>
      </w:r>
      <w:r>
        <w:rPr>
          <w:rFonts w:ascii="宋体" w:hAnsi="宋体" w:eastAsia="宋体" w:cs="宋体"/>
          <w:spacing w:val="-29"/>
          <w:position w:val="1"/>
          <w:sz w:val="20"/>
          <w:szCs w:val="20"/>
        </w:rPr>
        <w:t xml:space="preserve"> </w:t>
      </w:r>
      <w:r>
        <w:rPr>
          <w:rFonts w:ascii="宋体" w:hAnsi="宋体" w:eastAsia="宋体" w:cs="宋体"/>
          <w:spacing w:val="8"/>
          <w:position w:val="1"/>
          <w:sz w:val="20"/>
          <w:szCs w:val="20"/>
        </w:rPr>
        <w:t>时，其超过部分竣工清理子目乘以</w:t>
      </w:r>
      <w:r>
        <w:rPr>
          <w:rFonts w:ascii="宋体" w:hAnsi="宋体" w:eastAsia="宋体" w:cs="宋体"/>
          <w:spacing w:val="7"/>
          <w:position w:val="1"/>
          <w:sz w:val="20"/>
          <w:szCs w:val="20"/>
        </w:rPr>
        <w:t>系数0.5。</w:t>
      </w:r>
    </w:p>
    <w:p>
      <w:pPr>
        <w:spacing w:before="123" w:line="278" w:lineRule="exact"/>
        <w:ind w:left="423"/>
        <w:rPr>
          <w:rFonts w:ascii="宋体" w:hAnsi="宋体" w:eastAsia="宋体" w:cs="宋体"/>
          <w:sz w:val="20"/>
          <w:szCs w:val="20"/>
        </w:rPr>
      </w:pPr>
      <w:r>
        <w:rPr>
          <w:rFonts w:ascii="宋体" w:hAnsi="宋体" w:eastAsia="宋体" w:cs="宋体"/>
          <w:b/>
          <w:bCs/>
          <w:spacing w:val="6"/>
          <w:position w:val="1"/>
          <w:sz w:val="20"/>
          <w:szCs w:val="20"/>
        </w:rPr>
        <w:t>23.</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关于不能形成建筑空间的室外花坛等工程竣工</w:t>
      </w:r>
      <w:r>
        <w:rPr>
          <w:rFonts w:ascii="宋体" w:hAnsi="宋体" w:eastAsia="宋体" w:cs="宋体"/>
          <w:b/>
          <w:bCs/>
          <w:spacing w:val="5"/>
          <w:position w:val="1"/>
          <w:sz w:val="20"/>
          <w:szCs w:val="20"/>
        </w:rPr>
        <w:t>清理的计算</w:t>
      </w:r>
    </w:p>
    <w:p>
      <w:pPr>
        <w:spacing w:line="278" w:lineRule="exact"/>
        <w:rPr>
          <w:rFonts w:ascii="宋体" w:hAnsi="宋体" w:eastAsia="宋体" w:cs="宋体"/>
          <w:sz w:val="20"/>
          <w:szCs w:val="20"/>
        </w:rPr>
        <w:sectPr>
          <w:footerReference r:id="rId139" w:type="default"/>
          <w:pgSz w:w="11906" w:h="16839"/>
          <w:pgMar w:top="400" w:right="1420"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368" w:lineRule="auto"/>
        <w:ind w:right="106" w:firstLine="422"/>
        <w:jc w:val="both"/>
        <w:rPr>
          <w:rFonts w:ascii="宋体" w:hAnsi="宋体" w:eastAsia="宋体" w:cs="宋体"/>
          <w:sz w:val="20"/>
          <w:szCs w:val="20"/>
        </w:rPr>
      </w:pPr>
      <w:bookmarkStart w:id="84" w:name="bookmark157"/>
      <w:bookmarkEnd w:id="84"/>
      <w:r>
        <w:rPr>
          <w:rFonts w:ascii="宋体" w:hAnsi="宋体" w:eastAsia="宋体" w:cs="宋体"/>
          <w:spacing w:val="11"/>
          <w:sz w:val="20"/>
          <w:szCs w:val="20"/>
        </w:rPr>
        <w:t>不能形成建筑空间的室外花坛、水池、围墙、屋面顶坪以上的水箱、风机、</w:t>
      </w:r>
      <w:r>
        <w:rPr>
          <w:rFonts w:ascii="宋体" w:hAnsi="宋体" w:eastAsia="宋体" w:cs="宋体"/>
          <w:spacing w:val="10"/>
          <w:sz w:val="20"/>
          <w:szCs w:val="20"/>
        </w:rPr>
        <w:t>冷却塔和信号柱塔</w:t>
      </w:r>
      <w:r>
        <w:rPr>
          <w:rFonts w:ascii="宋体" w:hAnsi="宋体" w:eastAsia="宋体" w:cs="宋体"/>
          <w:spacing w:val="6"/>
          <w:sz w:val="20"/>
          <w:szCs w:val="20"/>
        </w:rPr>
        <w:t>基础、装饰性花架（主要工程量=垫层以上主体结构工程量)、道路、运动场、停车场和场区铺装</w:t>
      </w:r>
      <w:r>
        <w:rPr>
          <w:rFonts w:ascii="宋体" w:hAnsi="宋体" w:eastAsia="宋体" w:cs="宋体"/>
          <w:spacing w:val="5"/>
          <w:sz w:val="20"/>
          <w:szCs w:val="20"/>
        </w:rPr>
        <w:t>（主</w:t>
      </w:r>
      <w:r>
        <w:rPr>
          <w:rFonts w:ascii="宋体" w:hAnsi="宋体" w:eastAsia="宋体" w:cs="宋体"/>
          <w:spacing w:val="8"/>
          <w:sz w:val="20"/>
          <w:szCs w:val="20"/>
        </w:rPr>
        <w:t>要工程量=垫层以上总体积)等，按其主要工程量计算竣工</w:t>
      </w:r>
      <w:r>
        <w:rPr>
          <w:rFonts w:ascii="宋体" w:hAnsi="宋体" w:eastAsia="宋体" w:cs="宋体"/>
          <w:spacing w:val="7"/>
          <w:sz w:val="20"/>
          <w:szCs w:val="20"/>
        </w:rPr>
        <w:t>清理。</w:t>
      </w:r>
    </w:p>
    <w:p>
      <w:pPr>
        <w:spacing w:line="351" w:lineRule="auto"/>
        <w:ind w:left="23" w:firstLine="399"/>
        <w:rPr>
          <w:rFonts w:ascii="宋体" w:hAnsi="宋体" w:eastAsia="宋体" w:cs="宋体"/>
          <w:sz w:val="20"/>
          <w:szCs w:val="20"/>
        </w:rPr>
      </w:pPr>
      <w:r>
        <w:rPr>
          <w:rFonts w:ascii="宋体" w:hAnsi="宋体" w:eastAsia="宋体" w:cs="宋体"/>
          <w:b/>
          <w:bCs/>
          <w:spacing w:val="5"/>
          <w:sz w:val="20"/>
          <w:szCs w:val="20"/>
        </w:rPr>
        <w:t>24.</w:t>
      </w:r>
      <w:r>
        <w:rPr>
          <w:rFonts w:ascii="宋体" w:hAnsi="宋体" w:eastAsia="宋体" w:cs="宋体"/>
          <w:spacing w:val="5"/>
          <w:sz w:val="20"/>
          <w:szCs w:val="20"/>
        </w:rPr>
        <w:t xml:space="preserve"> </w:t>
      </w:r>
      <w:r>
        <w:rPr>
          <w:rFonts w:ascii="宋体" w:hAnsi="宋体" w:eastAsia="宋体" w:cs="宋体"/>
          <w:b/>
          <w:bCs/>
          <w:spacing w:val="5"/>
          <w:sz w:val="20"/>
          <w:szCs w:val="20"/>
        </w:rPr>
        <w:t>竣工清理是按设计图示尺寸，以建筑物（构筑物）结构外围（</w:t>
      </w:r>
      <w:r>
        <w:rPr>
          <w:rFonts w:ascii="宋体" w:hAnsi="宋体" w:eastAsia="宋体" w:cs="宋体"/>
          <w:spacing w:val="-46"/>
          <w:sz w:val="20"/>
          <w:szCs w:val="20"/>
        </w:rPr>
        <w:t xml:space="preserve"> </w:t>
      </w:r>
      <w:r>
        <w:rPr>
          <w:rFonts w:ascii="宋体" w:hAnsi="宋体" w:eastAsia="宋体" w:cs="宋体"/>
          <w:b/>
          <w:bCs/>
          <w:spacing w:val="5"/>
          <w:sz w:val="20"/>
          <w:szCs w:val="20"/>
        </w:rPr>
        <w:t>四</w:t>
      </w:r>
      <w:r>
        <w:rPr>
          <w:rFonts w:ascii="宋体" w:hAnsi="宋体" w:eastAsia="宋体" w:cs="宋体"/>
          <w:b/>
          <w:bCs/>
          <w:spacing w:val="4"/>
          <w:sz w:val="20"/>
          <w:szCs w:val="20"/>
        </w:rPr>
        <w:t>周结构外围及屋面板顶坪）</w:t>
      </w:r>
      <w:r>
        <w:rPr>
          <w:rFonts w:ascii="宋体" w:hAnsi="宋体" w:eastAsia="宋体" w:cs="宋体"/>
          <w:b/>
          <w:bCs/>
          <w:spacing w:val="8"/>
          <w:sz w:val="20"/>
          <w:szCs w:val="20"/>
        </w:rPr>
        <w:t>内包的空间体积计算。其中，有关屋面板顶坪是</w:t>
      </w:r>
      <w:r>
        <w:rPr>
          <w:rFonts w:ascii="宋体" w:hAnsi="宋体" w:eastAsia="宋体" w:cs="宋体"/>
          <w:b/>
          <w:bCs/>
          <w:spacing w:val="7"/>
          <w:sz w:val="20"/>
          <w:szCs w:val="20"/>
        </w:rPr>
        <w:t>指到哪个标高的高度</w:t>
      </w:r>
    </w:p>
    <w:p>
      <w:pPr>
        <w:spacing w:before="43" w:line="223" w:lineRule="auto"/>
        <w:ind w:left="421"/>
        <w:rPr>
          <w:rFonts w:ascii="宋体" w:hAnsi="宋体" w:eastAsia="宋体" w:cs="宋体"/>
          <w:sz w:val="20"/>
          <w:szCs w:val="20"/>
        </w:rPr>
      </w:pPr>
      <w:r>
        <w:rPr>
          <w:rFonts w:ascii="宋体" w:hAnsi="宋体" w:eastAsia="宋体" w:cs="宋体"/>
          <w:spacing w:val="9"/>
          <w:sz w:val="20"/>
          <w:szCs w:val="20"/>
        </w:rPr>
        <w:t>竣工清理的计算规则中，“屋面板顶坪”是指屋面板上包含建筑做法的标高。</w:t>
      </w:r>
    </w:p>
    <w:p>
      <w:pPr>
        <w:spacing w:before="154" w:line="277" w:lineRule="exact"/>
        <w:ind w:left="423"/>
        <w:rPr>
          <w:rFonts w:ascii="宋体" w:hAnsi="宋体" w:eastAsia="宋体" w:cs="宋体"/>
          <w:sz w:val="20"/>
          <w:szCs w:val="20"/>
        </w:rPr>
      </w:pPr>
      <w:r>
        <w:rPr>
          <w:rFonts w:ascii="宋体" w:hAnsi="宋体" w:eastAsia="宋体" w:cs="宋体"/>
          <w:b/>
          <w:bCs/>
          <w:spacing w:val="4"/>
          <w:position w:val="1"/>
          <w:sz w:val="20"/>
          <w:szCs w:val="20"/>
        </w:rPr>
        <w:t>25.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关于建筑垃圾清理运输费用的确定</w:t>
      </w:r>
    </w:p>
    <w:p>
      <w:pPr>
        <w:spacing w:before="124" w:line="369" w:lineRule="auto"/>
        <w:ind w:left="1" w:right="107" w:firstLine="423"/>
        <w:jc w:val="both"/>
        <w:rPr>
          <w:rFonts w:ascii="宋体" w:hAnsi="宋体" w:eastAsia="宋体" w:cs="宋体"/>
          <w:sz w:val="20"/>
          <w:szCs w:val="20"/>
        </w:rPr>
      </w:pPr>
      <w:r>
        <w:rPr>
          <w:rFonts w:ascii="宋体" w:hAnsi="宋体" w:eastAsia="宋体" w:cs="宋体"/>
          <w:spacing w:val="8"/>
          <w:sz w:val="20"/>
          <w:szCs w:val="20"/>
        </w:rPr>
        <w:t>清运建筑垃圾，按其自然状态的实际体积，运距</w:t>
      </w:r>
      <w:r>
        <w:rPr>
          <w:rFonts w:ascii="宋体" w:hAnsi="宋体" w:eastAsia="宋体" w:cs="宋体"/>
          <w:spacing w:val="-9"/>
          <w:sz w:val="20"/>
          <w:szCs w:val="20"/>
        </w:rPr>
        <w:t xml:space="preserve"> </w:t>
      </w:r>
      <w:r>
        <w:rPr>
          <w:rFonts w:ascii="宋体" w:hAnsi="宋体" w:eastAsia="宋体" w:cs="宋体"/>
          <w:spacing w:val="8"/>
          <w:sz w:val="20"/>
          <w:szCs w:val="20"/>
        </w:rPr>
        <w:t>10</w:t>
      </w:r>
      <w:r>
        <w:rPr>
          <w:rFonts w:ascii="宋体" w:hAnsi="宋体" w:eastAsia="宋体" w:cs="宋体"/>
          <w:spacing w:val="-46"/>
          <w:sz w:val="20"/>
          <w:szCs w:val="20"/>
        </w:rPr>
        <w:t xml:space="preserve"> </w:t>
      </w:r>
      <w:r>
        <w:rPr>
          <w:rFonts w:ascii="宋体" w:hAnsi="宋体" w:eastAsia="宋体" w:cs="宋体"/>
          <w:spacing w:val="8"/>
          <w:sz w:val="20"/>
          <w:szCs w:val="20"/>
        </w:rPr>
        <w:t>公里以内时，按每立方米</w:t>
      </w:r>
      <w:r>
        <w:rPr>
          <w:rFonts w:ascii="宋体" w:hAnsi="宋体" w:eastAsia="宋体" w:cs="宋体"/>
          <w:spacing w:val="-41"/>
          <w:sz w:val="20"/>
          <w:szCs w:val="20"/>
        </w:rPr>
        <w:t xml:space="preserve"> </w:t>
      </w:r>
      <w:r>
        <w:rPr>
          <w:rFonts w:ascii="宋体" w:hAnsi="宋体" w:eastAsia="宋体" w:cs="宋体"/>
          <w:spacing w:val="8"/>
          <w:sz w:val="20"/>
          <w:szCs w:val="20"/>
        </w:rPr>
        <w:t>23</w:t>
      </w:r>
      <w:r>
        <w:rPr>
          <w:rFonts w:ascii="宋体" w:hAnsi="宋体" w:eastAsia="宋体" w:cs="宋体"/>
          <w:spacing w:val="-43"/>
          <w:sz w:val="20"/>
          <w:szCs w:val="20"/>
        </w:rPr>
        <w:t xml:space="preserve"> </w:t>
      </w:r>
      <w:r>
        <w:rPr>
          <w:rFonts w:ascii="宋体" w:hAnsi="宋体" w:eastAsia="宋体" w:cs="宋体"/>
          <w:spacing w:val="8"/>
          <w:sz w:val="20"/>
          <w:szCs w:val="20"/>
        </w:rPr>
        <w:t>元计取；每增</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公里（不足</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公里按</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5"/>
          <w:sz w:val="20"/>
          <w:szCs w:val="20"/>
        </w:rPr>
        <w:t xml:space="preserve"> </w:t>
      </w:r>
      <w:r>
        <w:rPr>
          <w:rFonts w:ascii="宋体" w:hAnsi="宋体" w:eastAsia="宋体" w:cs="宋体"/>
          <w:spacing w:val="7"/>
          <w:sz w:val="20"/>
          <w:szCs w:val="20"/>
        </w:rPr>
        <w:t>公里计算）按</w:t>
      </w:r>
      <w:r>
        <w:rPr>
          <w:rFonts w:ascii="宋体" w:hAnsi="宋体" w:eastAsia="宋体" w:cs="宋体"/>
          <w:spacing w:val="-22"/>
          <w:sz w:val="20"/>
          <w:szCs w:val="20"/>
        </w:rPr>
        <w:t xml:space="preserve"> </w:t>
      </w:r>
      <w:r>
        <w:rPr>
          <w:rFonts w:ascii="宋体" w:hAnsi="宋体" w:eastAsia="宋体" w:cs="宋体"/>
          <w:spacing w:val="7"/>
          <w:sz w:val="20"/>
          <w:szCs w:val="20"/>
        </w:rPr>
        <w:t>1.30</w:t>
      </w:r>
      <w:r>
        <w:rPr>
          <w:rFonts w:ascii="宋体" w:hAnsi="宋体" w:eastAsia="宋体" w:cs="宋体"/>
          <w:spacing w:val="-43"/>
          <w:sz w:val="20"/>
          <w:szCs w:val="20"/>
        </w:rPr>
        <w:t xml:space="preserve"> </w:t>
      </w:r>
      <w:r>
        <w:rPr>
          <w:rFonts w:ascii="宋体" w:hAnsi="宋体" w:eastAsia="宋体" w:cs="宋体"/>
          <w:spacing w:val="7"/>
          <w:sz w:val="20"/>
          <w:szCs w:val="20"/>
        </w:rPr>
        <w:t>元计算，以上费用只计取规费及税</w:t>
      </w:r>
      <w:r>
        <w:rPr>
          <w:rFonts w:ascii="宋体" w:hAnsi="宋体" w:eastAsia="宋体" w:cs="宋体"/>
          <w:spacing w:val="6"/>
          <w:sz w:val="20"/>
          <w:szCs w:val="20"/>
        </w:rPr>
        <w:t>金。若合同约定的费</w:t>
      </w:r>
      <w:r>
        <w:rPr>
          <w:rFonts w:ascii="宋体" w:hAnsi="宋体" w:eastAsia="宋体" w:cs="宋体"/>
          <w:spacing w:val="11"/>
          <w:sz w:val="20"/>
          <w:szCs w:val="20"/>
        </w:rPr>
        <w:t>用高于或低于该条款的费用，按合同约定的条款执行。垃圾处置费按发承包双</w:t>
      </w:r>
      <w:r>
        <w:rPr>
          <w:rFonts w:ascii="宋体" w:hAnsi="宋体" w:eastAsia="宋体" w:cs="宋体"/>
          <w:spacing w:val="10"/>
          <w:sz w:val="20"/>
          <w:szCs w:val="20"/>
        </w:rPr>
        <w:t>方约定的费用或按每</w:t>
      </w:r>
      <w:r>
        <w:rPr>
          <w:rFonts w:ascii="宋体" w:hAnsi="宋体" w:eastAsia="宋体" w:cs="宋体"/>
          <w:spacing w:val="7"/>
          <w:sz w:val="20"/>
          <w:szCs w:val="20"/>
        </w:rPr>
        <w:t>立方米</w:t>
      </w:r>
      <w:r>
        <w:rPr>
          <w:rFonts w:ascii="宋体" w:hAnsi="宋体" w:eastAsia="宋体" w:cs="宋体"/>
          <w:spacing w:val="-29"/>
          <w:sz w:val="20"/>
          <w:szCs w:val="20"/>
        </w:rPr>
        <w:t xml:space="preserve"> </w:t>
      </w:r>
      <w:r>
        <w:rPr>
          <w:rFonts w:ascii="宋体" w:hAnsi="宋体" w:eastAsia="宋体" w:cs="宋体"/>
          <w:spacing w:val="7"/>
          <w:sz w:val="20"/>
          <w:szCs w:val="20"/>
        </w:rPr>
        <w:t>4</w:t>
      </w:r>
      <w:r>
        <w:rPr>
          <w:rFonts w:ascii="宋体" w:hAnsi="宋体" w:eastAsia="宋体" w:cs="宋体"/>
          <w:spacing w:val="-45"/>
          <w:sz w:val="20"/>
          <w:szCs w:val="20"/>
        </w:rPr>
        <w:t xml:space="preserve"> </w:t>
      </w:r>
      <w:r>
        <w:rPr>
          <w:rFonts w:ascii="宋体" w:hAnsi="宋体" w:eastAsia="宋体" w:cs="宋体"/>
          <w:spacing w:val="7"/>
          <w:sz w:val="20"/>
          <w:szCs w:val="20"/>
        </w:rPr>
        <w:t>元计取（不需处理时不计取）。</w:t>
      </w:r>
    </w:p>
    <w:p>
      <w:pPr>
        <w:spacing w:line="276" w:lineRule="exact"/>
        <w:ind w:left="423"/>
        <w:rPr>
          <w:rFonts w:ascii="宋体" w:hAnsi="宋体" w:eastAsia="宋体" w:cs="宋体"/>
          <w:sz w:val="20"/>
          <w:szCs w:val="20"/>
        </w:rPr>
      </w:pPr>
      <w:r>
        <w:rPr>
          <w:rFonts w:ascii="宋体" w:hAnsi="宋体" w:eastAsia="宋体" w:cs="宋体"/>
          <w:b/>
          <w:bCs/>
          <w:spacing w:val="4"/>
          <w:position w:val="1"/>
          <w:sz w:val="20"/>
          <w:szCs w:val="20"/>
        </w:rPr>
        <w:t>26.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商品砼中掺加防冻剂等添加剂的计价</w:t>
      </w:r>
    </w:p>
    <w:p>
      <w:pPr>
        <w:spacing w:before="122" w:line="351" w:lineRule="auto"/>
        <w:ind w:right="109" w:firstLine="423"/>
        <w:rPr>
          <w:rFonts w:ascii="宋体" w:hAnsi="宋体" w:eastAsia="宋体" w:cs="宋体"/>
          <w:sz w:val="20"/>
          <w:szCs w:val="20"/>
        </w:rPr>
      </w:pPr>
      <w:r>
        <w:rPr>
          <w:rFonts w:ascii="宋体" w:hAnsi="宋体" w:eastAsia="宋体" w:cs="宋体"/>
          <w:spacing w:val="9"/>
          <w:sz w:val="20"/>
          <w:szCs w:val="20"/>
        </w:rPr>
        <w:t>2016</w:t>
      </w:r>
      <w:r>
        <w:rPr>
          <w:rFonts w:ascii="宋体" w:hAnsi="宋体" w:eastAsia="宋体" w:cs="宋体"/>
          <w:spacing w:val="-38"/>
          <w:sz w:val="20"/>
          <w:szCs w:val="20"/>
        </w:rPr>
        <w:t xml:space="preserve"> </w:t>
      </w:r>
      <w:r>
        <w:rPr>
          <w:rFonts w:ascii="宋体" w:hAnsi="宋体" w:eastAsia="宋体" w:cs="宋体"/>
          <w:spacing w:val="9"/>
          <w:sz w:val="20"/>
          <w:szCs w:val="20"/>
        </w:rPr>
        <w:t>版费用项目组成中，各种外加剂需按设计图纸要求单独计算。当设计图纸无</w:t>
      </w:r>
      <w:r>
        <w:rPr>
          <w:rFonts w:ascii="宋体" w:hAnsi="宋体" w:eastAsia="宋体" w:cs="宋体"/>
          <w:spacing w:val="8"/>
          <w:sz w:val="20"/>
          <w:szCs w:val="20"/>
        </w:rPr>
        <w:t>要求时，不计</w:t>
      </w:r>
      <w:r>
        <w:rPr>
          <w:rFonts w:ascii="宋体" w:hAnsi="宋体" w:eastAsia="宋体" w:cs="宋体"/>
          <w:spacing w:val="7"/>
          <w:sz w:val="20"/>
          <w:szCs w:val="20"/>
        </w:rPr>
        <w:t>算外加剂。</w:t>
      </w:r>
    </w:p>
    <w:p>
      <w:pPr>
        <w:spacing w:before="42" w:line="276" w:lineRule="exact"/>
        <w:ind w:left="423"/>
        <w:rPr>
          <w:rFonts w:ascii="宋体" w:hAnsi="宋体" w:eastAsia="宋体" w:cs="宋体"/>
          <w:sz w:val="20"/>
          <w:szCs w:val="20"/>
        </w:rPr>
      </w:pPr>
      <w:r>
        <w:rPr>
          <w:rFonts w:ascii="宋体" w:hAnsi="宋体" w:eastAsia="宋体" w:cs="宋体"/>
          <w:b/>
          <w:bCs/>
          <w:spacing w:val="3"/>
          <w:position w:val="1"/>
          <w:sz w:val="20"/>
          <w:szCs w:val="20"/>
        </w:rPr>
        <w:t>27.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关于预应力抗浮锚杆的计价</w:t>
      </w:r>
    </w:p>
    <w:p>
      <w:pPr>
        <w:spacing w:before="127" w:line="220" w:lineRule="auto"/>
        <w:ind w:left="425"/>
        <w:rPr>
          <w:rFonts w:ascii="宋体" w:hAnsi="宋体" w:eastAsia="宋体" w:cs="宋体"/>
          <w:sz w:val="20"/>
          <w:szCs w:val="20"/>
        </w:rPr>
      </w:pPr>
      <w:r>
        <w:rPr>
          <w:rFonts w:ascii="宋体" w:hAnsi="宋体" w:eastAsia="宋体" w:cs="宋体"/>
          <w:spacing w:val="9"/>
          <w:sz w:val="20"/>
          <w:szCs w:val="20"/>
        </w:rPr>
        <w:t>预应力抗浮锚杆属于定额缺项，发承包双方可协商确认价格或编制一次性补充定额。</w:t>
      </w:r>
    </w:p>
    <w:p>
      <w:pPr>
        <w:spacing w:before="158" w:line="276" w:lineRule="exact"/>
        <w:ind w:left="423"/>
        <w:rPr>
          <w:rFonts w:ascii="宋体" w:hAnsi="宋体" w:eastAsia="宋体" w:cs="宋体"/>
          <w:sz w:val="20"/>
          <w:szCs w:val="20"/>
        </w:rPr>
      </w:pPr>
      <w:r>
        <w:rPr>
          <w:rFonts w:ascii="宋体" w:hAnsi="宋体" w:eastAsia="宋体" w:cs="宋体"/>
          <w:b/>
          <w:bCs/>
          <w:spacing w:val="3"/>
          <w:position w:val="1"/>
          <w:sz w:val="20"/>
          <w:szCs w:val="20"/>
        </w:rPr>
        <w:t>28.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薄灰缝砌筑的加气砼块的计价</w:t>
      </w:r>
    </w:p>
    <w:p>
      <w:pPr>
        <w:spacing w:before="126" w:line="368" w:lineRule="auto"/>
        <w:ind w:left="1" w:right="107" w:firstLine="423"/>
        <w:rPr>
          <w:rFonts w:ascii="宋体" w:hAnsi="宋体" w:eastAsia="宋体" w:cs="宋体"/>
          <w:sz w:val="20"/>
          <w:szCs w:val="20"/>
        </w:rPr>
      </w:pPr>
      <w:r>
        <w:rPr>
          <w:rFonts w:ascii="宋体" w:hAnsi="宋体" w:eastAsia="宋体" w:cs="宋体"/>
          <w:spacing w:val="10"/>
          <w:sz w:val="20"/>
          <w:szCs w:val="20"/>
        </w:rPr>
        <w:t>薄灰缝砌筑的加气砼块，灰缝厚度不同时可以换算</w:t>
      </w:r>
      <w:r>
        <w:rPr>
          <w:rFonts w:ascii="宋体" w:hAnsi="宋体" w:eastAsia="宋体" w:cs="宋体"/>
          <w:spacing w:val="-60"/>
          <w:sz w:val="20"/>
          <w:szCs w:val="20"/>
        </w:rPr>
        <w:t xml:space="preserve"> </w:t>
      </w:r>
      <w:r>
        <w:rPr>
          <w:rFonts w:ascii="宋体" w:hAnsi="宋体" w:eastAsia="宋体" w:cs="宋体"/>
          <w:spacing w:val="10"/>
          <w:sz w:val="20"/>
          <w:szCs w:val="20"/>
        </w:rPr>
        <w:t>，按山东省建筑工程消耗</w:t>
      </w:r>
      <w:r>
        <w:rPr>
          <w:rFonts w:ascii="宋体" w:hAnsi="宋体" w:eastAsia="宋体" w:cs="宋体"/>
          <w:spacing w:val="9"/>
          <w:sz w:val="20"/>
          <w:szCs w:val="20"/>
        </w:rPr>
        <w:t>量定额交底培训资</w:t>
      </w:r>
      <w:r>
        <w:rPr>
          <w:rFonts w:ascii="宋体" w:hAnsi="宋体" w:eastAsia="宋体" w:cs="宋体"/>
          <w:spacing w:val="7"/>
          <w:sz w:val="20"/>
          <w:szCs w:val="20"/>
        </w:rPr>
        <w:t>料第</w:t>
      </w:r>
      <w:r>
        <w:rPr>
          <w:rFonts w:ascii="宋体" w:hAnsi="宋体" w:eastAsia="宋体" w:cs="宋体"/>
          <w:spacing w:val="-34"/>
          <w:sz w:val="20"/>
          <w:szCs w:val="20"/>
        </w:rPr>
        <w:t xml:space="preserve"> </w:t>
      </w:r>
      <w:r>
        <w:rPr>
          <w:rFonts w:ascii="宋体" w:hAnsi="宋体" w:eastAsia="宋体" w:cs="宋体"/>
          <w:spacing w:val="7"/>
          <w:sz w:val="20"/>
          <w:szCs w:val="20"/>
        </w:rPr>
        <w:t>44</w:t>
      </w:r>
      <w:r>
        <w:rPr>
          <w:rFonts w:ascii="宋体" w:hAnsi="宋体" w:eastAsia="宋体" w:cs="宋体"/>
          <w:spacing w:val="-34"/>
          <w:sz w:val="20"/>
          <w:szCs w:val="20"/>
        </w:rPr>
        <w:t xml:space="preserve"> </w:t>
      </w:r>
      <w:r>
        <w:rPr>
          <w:rFonts w:ascii="宋体" w:hAnsi="宋体" w:eastAsia="宋体" w:cs="宋体"/>
          <w:spacing w:val="7"/>
          <w:sz w:val="20"/>
          <w:szCs w:val="20"/>
        </w:rPr>
        <w:t>页和第</w:t>
      </w:r>
      <w:r>
        <w:rPr>
          <w:rFonts w:ascii="宋体" w:hAnsi="宋体" w:eastAsia="宋体" w:cs="宋体"/>
          <w:spacing w:val="-45"/>
          <w:sz w:val="20"/>
          <w:szCs w:val="20"/>
        </w:rPr>
        <w:t xml:space="preserve"> </w:t>
      </w:r>
      <w:r>
        <w:rPr>
          <w:rFonts w:ascii="宋体" w:hAnsi="宋体" w:eastAsia="宋体" w:cs="宋体"/>
          <w:spacing w:val="7"/>
          <w:sz w:val="20"/>
          <w:szCs w:val="20"/>
        </w:rPr>
        <w:t>46</w:t>
      </w:r>
      <w:r>
        <w:rPr>
          <w:rFonts w:ascii="宋体" w:hAnsi="宋体" w:eastAsia="宋体" w:cs="宋体"/>
          <w:spacing w:val="-33"/>
          <w:sz w:val="20"/>
          <w:szCs w:val="20"/>
        </w:rPr>
        <w:t xml:space="preserve"> </w:t>
      </w:r>
      <w:r>
        <w:rPr>
          <w:rFonts w:ascii="宋体" w:hAnsi="宋体" w:eastAsia="宋体" w:cs="宋体"/>
          <w:spacing w:val="7"/>
          <w:sz w:val="20"/>
          <w:szCs w:val="20"/>
        </w:rPr>
        <w:t>页的方法计算，人工、机械不再进行调整。</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29.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后浇带泵送砼的计价</w:t>
      </w:r>
    </w:p>
    <w:p>
      <w:pPr>
        <w:spacing w:before="129" w:line="222" w:lineRule="auto"/>
        <w:ind w:left="420"/>
        <w:rPr>
          <w:rFonts w:ascii="宋体" w:hAnsi="宋体" w:eastAsia="宋体" w:cs="宋体"/>
          <w:sz w:val="20"/>
          <w:szCs w:val="20"/>
        </w:rPr>
      </w:pPr>
      <w:r>
        <w:rPr>
          <w:rFonts w:ascii="宋体" w:hAnsi="宋体" w:eastAsia="宋体" w:cs="宋体"/>
          <w:spacing w:val="9"/>
          <w:sz w:val="20"/>
          <w:szCs w:val="20"/>
        </w:rPr>
        <w:t>后浇带泵送砼按其他构件泵送费执行。</w:t>
      </w:r>
    </w:p>
    <w:p>
      <w:pPr>
        <w:spacing w:before="154" w:line="278" w:lineRule="exact"/>
        <w:ind w:left="426"/>
        <w:rPr>
          <w:rFonts w:ascii="宋体" w:hAnsi="宋体" w:eastAsia="宋体" w:cs="宋体"/>
          <w:sz w:val="20"/>
          <w:szCs w:val="20"/>
        </w:rPr>
      </w:pPr>
      <w:r>
        <w:rPr>
          <w:rFonts w:ascii="宋体" w:hAnsi="宋体" w:eastAsia="宋体" w:cs="宋体"/>
          <w:b/>
          <w:bCs/>
          <w:spacing w:val="6"/>
          <w:position w:val="1"/>
          <w:sz w:val="20"/>
          <w:szCs w:val="20"/>
        </w:rPr>
        <w:t>30.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单梁、连续梁、过梁、圈梁等外挑的小</w:t>
      </w:r>
      <w:r>
        <w:rPr>
          <w:rFonts w:ascii="宋体" w:hAnsi="宋体" w:eastAsia="宋体" w:cs="宋体"/>
          <w:b/>
          <w:bCs/>
          <w:spacing w:val="5"/>
          <w:position w:val="1"/>
          <w:sz w:val="20"/>
          <w:szCs w:val="20"/>
        </w:rPr>
        <w:t>沿套用定额的确定</w:t>
      </w:r>
    </w:p>
    <w:p>
      <w:pPr>
        <w:spacing w:before="122" w:line="369" w:lineRule="auto"/>
        <w:ind w:left="8" w:right="106" w:firstLine="411"/>
        <w:rPr>
          <w:rFonts w:ascii="宋体" w:hAnsi="宋体" w:eastAsia="宋体" w:cs="宋体"/>
          <w:sz w:val="20"/>
          <w:szCs w:val="20"/>
        </w:rPr>
      </w:pPr>
      <w:r>
        <w:rPr>
          <w:rFonts w:ascii="宋体" w:hAnsi="宋体" w:eastAsia="宋体" w:cs="宋体"/>
          <w:spacing w:val="9"/>
          <w:sz w:val="20"/>
          <w:szCs w:val="20"/>
        </w:rPr>
        <w:t>单梁、连续梁、过梁、圈梁等外挑的小沿宽度在</w:t>
      </w:r>
      <w:r>
        <w:rPr>
          <w:rFonts w:ascii="宋体" w:hAnsi="宋体" w:eastAsia="宋体" w:cs="宋体"/>
          <w:spacing w:val="-25"/>
          <w:sz w:val="20"/>
          <w:szCs w:val="20"/>
        </w:rPr>
        <w:t xml:space="preserve"> </w:t>
      </w:r>
      <w:r>
        <w:rPr>
          <w:rFonts w:ascii="宋体" w:hAnsi="宋体" w:eastAsia="宋体" w:cs="宋体"/>
          <w:spacing w:val="9"/>
          <w:sz w:val="20"/>
          <w:szCs w:val="20"/>
        </w:rPr>
        <w:t>120</w:t>
      </w:r>
      <w:r>
        <w:rPr>
          <w:rFonts w:ascii="宋体" w:hAnsi="宋体" w:eastAsia="宋体" w:cs="宋体"/>
          <w:sz w:val="20"/>
          <w:szCs w:val="20"/>
        </w:rPr>
        <w:t>mm</w:t>
      </w:r>
      <w:r>
        <w:rPr>
          <w:rFonts w:ascii="宋体" w:hAnsi="宋体" w:eastAsia="宋体" w:cs="宋体"/>
          <w:spacing w:val="9"/>
          <w:sz w:val="20"/>
          <w:szCs w:val="20"/>
        </w:rPr>
        <w:t xml:space="preserve"> 以内时合并到相应子目内</w:t>
      </w:r>
      <w:r>
        <w:rPr>
          <w:rFonts w:ascii="宋体" w:hAnsi="宋体" w:eastAsia="宋体" w:cs="宋体"/>
          <w:spacing w:val="8"/>
          <w:sz w:val="20"/>
          <w:szCs w:val="20"/>
        </w:rPr>
        <w:t>计算，宽度大</w:t>
      </w:r>
      <w:r>
        <w:rPr>
          <w:rFonts w:ascii="宋体" w:hAnsi="宋体" w:eastAsia="宋体" w:cs="宋体"/>
          <w:spacing w:val="9"/>
          <w:sz w:val="20"/>
          <w:szCs w:val="20"/>
        </w:rPr>
        <w:t>于</w:t>
      </w:r>
      <w:r>
        <w:rPr>
          <w:rFonts w:ascii="宋体" w:hAnsi="宋体" w:eastAsia="宋体" w:cs="宋体"/>
          <w:spacing w:val="-21"/>
          <w:sz w:val="20"/>
          <w:szCs w:val="20"/>
        </w:rPr>
        <w:t xml:space="preserve"> </w:t>
      </w:r>
      <w:r>
        <w:rPr>
          <w:rFonts w:ascii="宋体" w:hAnsi="宋体" w:eastAsia="宋体" w:cs="宋体"/>
          <w:spacing w:val="9"/>
          <w:sz w:val="20"/>
          <w:szCs w:val="20"/>
        </w:rPr>
        <w:t>120</w:t>
      </w:r>
      <w:r>
        <w:rPr>
          <w:rFonts w:ascii="宋体" w:hAnsi="宋体" w:eastAsia="宋体" w:cs="宋体"/>
          <w:sz w:val="20"/>
          <w:szCs w:val="20"/>
        </w:rPr>
        <w:t>mm</w:t>
      </w:r>
      <w:r>
        <w:rPr>
          <w:rFonts w:ascii="宋体" w:hAnsi="宋体" w:eastAsia="宋体" w:cs="宋体"/>
          <w:spacing w:val="9"/>
          <w:sz w:val="20"/>
          <w:szCs w:val="20"/>
        </w:rPr>
        <w:t xml:space="preserve"> 且高宽比小于</w:t>
      </w:r>
      <w:r>
        <w:rPr>
          <w:rFonts w:ascii="宋体" w:hAnsi="宋体" w:eastAsia="宋体" w:cs="宋体"/>
          <w:spacing w:val="-22"/>
          <w:sz w:val="20"/>
          <w:szCs w:val="20"/>
        </w:rPr>
        <w:t xml:space="preserve"> </w:t>
      </w:r>
      <w:r>
        <w:rPr>
          <w:rFonts w:ascii="宋体" w:hAnsi="宋体" w:eastAsia="宋体" w:cs="宋体"/>
          <w:spacing w:val="9"/>
          <w:sz w:val="20"/>
          <w:szCs w:val="20"/>
        </w:rPr>
        <w:t>1</w:t>
      </w:r>
      <w:r>
        <w:rPr>
          <w:rFonts w:ascii="宋体" w:hAnsi="宋体" w:eastAsia="宋体" w:cs="宋体"/>
          <w:spacing w:val="-30"/>
          <w:sz w:val="20"/>
          <w:szCs w:val="20"/>
        </w:rPr>
        <w:t xml:space="preserve"> </w:t>
      </w:r>
      <w:r>
        <w:rPr>
          <w:rFonts w:ascii="宋体" w:hAnsi="宋体" w:eastAsia="宋体" w:cs="宋体"/>
          <w:spacing w:val="9"/>
          <w:sz w:val="20"/>
          <w:szCs w:val="20"/>
        </w:rPr>
        <w:t>时按挑檐计算。</w:t>
      </w:r>
    </w:p>
    <w:p>
      <w:pPr>
        <w:spacing w:line="277" w:lineRule="exact"/>
        <w:ind w:left="426"/>
        <w:rPr>
          <w:rFonts w:ascii="宋体" w:hAnsi="宋体" w:eastAsia="宋体" w:cs="宋体"/>
          <w:sz w:val="20"/>
          <w:szCs w:val="20"/>
        </w:rPr>
      </w:pPr>
      <w:r>
        <w:rPr>
          <w:rFonts w:ascii="宋体" w:hAnsi="宋体" w:eastAsia="宋体" w:cs="宋体"/>
          <w:b/>
          <w:bCs/>
          <w:spacing w:val="4"/>
          <w:position w:val="1"/>
          <w:sz w:val="20"/>
          <w:szCs w:val="20"/>
        </w:rPr>
        <w:t>31.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关于有梁板、框架梁、平板的的划分</w:t>
      </w:r>
    </w:p>
    <w:p>
      <w:pPr>
        <w:spacing w:before="126" w:line="222" w:lineRule="auto"/>
        <w:ind w:left="421"/>
        <w:rPr>
          <w:rFonts w:ascii="宋体" w:hAnsi="宋体" w:eastAsia="宋体" w:cs="宋体"/>
          <w:sz w:val="20"/>
          <w:szCs w:val="20"/>
        </w:rPr>
      </w:pPr>
      <w:r>
        <w:rPr>
          <w:rFonts w:ascii="宋体" w:hAnsi="宋体" w:eastAsia="宋体" w:cs="宋体"/>
          <w:spacing w:val="9"/>
          <w:sz w:val="20"/>
          <w:szCs w:val="20"/>
        </w:rPr>
        <w:t>有梁板体系和框架梁体系只存在于框架结构中。</w:t>
      </w:r>
    </w:p>
    <w:p>
      <w:pPr>
        <w:spacing w:before="160" w:line="369" w:lineRule="auto"/>
        <w:ind w:left="2" w:right="109" w:firstLine="434"/>
        <w:rPr>
          <w:rFonts w:ascii="宋体" w:hAnsi="宋体" w:eastAsia="宋体" w:cs="宋体"/>
          <w:sz w:val="20"/>
          <w:szCs w:val="20"/>
        </w:rPr>
      </w:pPr>
      <w:r>
        <w:rPr>
          <w:rFonts w:ascii="宋体" w:hAnsi="宋体" w:eastAsia="宋体" w:cs="宋体"/>
          <w:spacing w:val="10"/>
          <w:sz w:val="20"/>
          <w:szCs w:val="20"/>
        </w:rPr>
        <w:t>当框架梁上只作用有板时，此梁板结构称为框架梁体系，框架梁执行单梁子目，板执行平板子</w:t>
      </w:r>
      <w:r>
        <w:rPr>
          <w:rFonts w:ascii="宋体" w:hAnsi="宋体" w:eastAsia="宋体" w:cs="宋体"/>
          <w:spacing w:val="11"/>
          <w:sz w:val="20"/>
          <w:szCs w:val="20"/>
        </w:rPr>
        <w:t>目；当框架梁上作用有次梁和现浇板时，框架梁、次梁、板合称为有梁板体</w:t>
      </w:r>
      <w:r>
        <w:rPr>
          <w:rFonts w:ascii="宋体" w:hAnsi="宋体" w:eastAsia="宋体" w:cs="宋体"/>
          <w:spacing w:val="10"/>
          <w:sz w:val="20"/>
          <w:szCs w:val="20"/>
        </w:rPr>
        <w:t>系，合并工程量执行有</w:t>
      </w:r>
      <w:r>
        <w:rPr>
          <w:rFonts w:ascii="宋体" w:hAnsi="宋体" w:eastAsia="宋体" w:cs="宋体"/>
          <w:spacing w:val="9"/>
          <w:sz w:val="20"/>
          <w:szCs w:val="20"/>
        </w:rPr>
        <w:t>梁板相关子目，此时所有梁称为板下梁，不计取板下梁脚手架。</w:t>
      </w:r>
    </w:p>
    <w:p>
      <w:pPr>
        <w:spacing w:before="1" w:line="368" w:lineRule="auto"/>
        <w:ind w:left="1" w:right="109" w:firstLine="421"/>
        <w:rPr>
          <w:rFonts w:ascii="宋体" w:hAnsi="宋体" w:eastAsia="宋体" w:cs="宋体"/>
          <w:sz w:val="20"/>
          <w:szCs w:val="20"/>
        </w:rPr>
      </w:pPr>
      <w:r>
        <w:rPr>
          <w:rFonts w:ascii="宋体" w:hAnsi="宋体" w:eastAsia="宋体" w:cs="宋体"/>
          <w:spacing w:val="11"/>
          <w:sz w:val="20"/>
          <w:szCs w:val="20"/>
        </w:rPr>
        <w:t>在判断梁板结构时，应全面分析建筑物的梁板布局，以占比重较大的结构</w:t>
      </w:r>
      <w:r>
        <w:rPr>
          <w:rFonts w:ascii="宋体" w:hAnsi="宋体" w:eastAsia="宋体" w:cs="宋体"/>
          <w:spacing w:val="10"/>
          <w:sz w:val="20"/>
          <w:szCs w:val="20"/>
        </w:rPr>
        <w:t>体系为主来确定梁板</w:t>
      </w:r>
      <w:r>
        <w:rPr>
          <w:rFonts w:ascii="宋体" w:hAnsi="宋体" w:eastAsia="宋体" w:cs="宋体"/>
          <w:spacing w:val="9"/>
          <w:sz w:val="20"/>
          <w:szCs w:val="20"/>
        </w:rPr>
        <w:t>体系，不以单独某跨、某轴进行判断。</w:t>
      </w:r>
    </w:p>
    <w:p>
      <w:pPr>
        <w:spacing w:line="277" w:lineRule="exact"/>
        <w:ind w:left="426"/>
        <w:rPr>
          <w:rFonts w:ascii="宋体" w:hAnsi="宋体" w:eastAsia="宋体" w:cs="宋体"/>
          <w:sz w:val="20"/>
          <w:szCs w:val="20"/>
        </w:rPr>
      </w:pPr>
      <w:r>
        <w:rPr>
          <w:rFonts w:ascii="宋体" w:hAnsi="宋体" w:eastAsia="宋体" w:cs="宋体"/>
          <w:b/>
          <w:bCs/>
          <w:spacing w:val="5"/>
          <w:position w:val="1"/>
          <w:sz w:val="20"/>
          <w:szCs w:val="20"/>
        </w:rPr>
        <w:t>32.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商品砼由施工企业自行采购时采购保管费的计取</w:t>
      </w:r>
    </w:p>
    <w:p>
      <w:pPr>
        <w:spacing w:before="124" w:line="277" w:lineRule="exact"/>
        <w:ind w:left="423"/>
        <w:rPr>
          <w:rFonts w:ascii="宋体" w:hAnsi="宋体" w:eastAsia="宋体" w:cs="宋体"/>
          <w:sz w:val="20"/>
          <w:szCs w:val="20"/>
        </w:rPr>
      </w:pPr>
      <w:r>
        <w:rPr>
          <w:rFonts w:ascii="宋体" w:hAnsi="宋体" w:eastAsia="宋体" w:cs="宋体"/>
          <w:spacing w:val="8"/>
          <w:position w:val="1"/>
          <w:sz w:val="20"/>
          <w:szCs w:val="20"/>
        </w:rPr>
        <w:t>商品砼由施工企业自行采购时计取采购保管费的</w:t>
      </w:r>
      <w:r>
        <w:rPr>
          <w:rFonts w:ascii="宋体" w:hAnsi="宋体" w:eastAsia="宋体" w:cs="宋体"/>
          <w:spacing w:val="-32"/>
          <w:position w:val="1"/>
          <w:sz w:val="20"/>
          <w:szCs w:val="20"/>
        </w:rPr>
        <w:t xml:space="preserve"> </w:t>
      </w:r>
      <w:r>
        <w:rPr>
          <w:rFonts w:ascii="宋体" w:hAnsi="宋体" w:eastAsia="宋体" w:cs="宋体"/>
          <w:spacing w:val="8"/>
          <w:position w:val="1"/>
          <w:sz w:val="20"/>
          <w:szCs w:val="20"/>
        </w:rPr>
        <w:t>60％。</w:t>
      </w:r>
    </w:p>
    <w:p>
      <w:pPr>
        <w:spacing w:before="121" w:line="278" w:lineRule="exact"/>
        <w:ind w:left="426"/>
        <w:rPr>
          <w:rFonts w:ascii="宋体" w:hAnsi="宋体" w:eastAsia="宋体" w:cs="宋体"/>
          <w:sz w:val="20"/>
          <w:szCs w:val="20"/>
        </w:rPr>
      </w:pPr>
      <w:r>
        <w:rPr>
          <w:rFonts w:ascii="宋体" w:hAnsi="宋体" w:eastAsia="宋体" w:cs="宋体"/>
          <w:b/>
          <w:bCs/>
          <w:spacing w:val="1"/>
          <w:position w:val="1"/>
          <w:sz w:val="20"/>
          <w:szCs w:val="20"/>
        </w:rPr>
        <w:t>33.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钢筋工程量的计算</w:t>
      </w:r>
    </w:p>
    <w:p>
      <w:pPr>
        <w:spacing w:before="127" w:line="220" w:lineRule="auto"/>
        <w:ind w:left="423"/>
        <w:rPr>
          <w:rFonts w:ascii="宋体" w:hAnsi="宋体" w:eastAsia="宋体" w:cs="宋体"/>
          <w:sz w:val="20"/>
          <w:szCs w:val="20"/>
        </w:rPr>
      </w:pPr>
      <w:r>
        <w:rPr>
          <w:rFonts w:ascii="宋体" w:hAnsi="宋体" w:eastAsia="宋体" w:cs="宋体"/>
          <w:spacing w:val="11"/>
          <w:sz w:val="20"/>
          <w:szCs w:val="20"/>
        </w:rPr>
        <w:t>钢筋工程量按设计长度乘以单位理论重量。此处设计长度按照钢筋中轴</w:t>
      </w:r>
      <w:r>
        <w:rPr>
          <w:rFonts w:ascii="宋体" w:hAnsi="宋体" w:eastAsia="宋体" w:cs="宋体"/>
          <w:spacing w:val="10"/>
          <w:sz w:val="20"/>
          <w:szCs w:val="20"/>
        </w:rPr>
        <w:t>线计算。按间距计算分</w:t>
      </w:r>
    </w:p>
    <w:p>
      <w:pPr>
        <w:spacing w:line="220" w:lineRule="auto"/>
        <w:rPr>
          <w:rFonts w:ascii="宋体" w:hAnsi="宋体" w:eastAsia="宋体" w:cs="宋体"/>
          <w:sz w:val="20"/>
          <w:szCs w:val="20"/>
        </w:rPr>
        <w:sectPr>
          <w:footerReference r:id="rId140" w:type="default"/>
          <w:pgSz w:w="11906" w:h="16839"/>
          <w:pgMar w:top="400" w:right="1310"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13"/>
        <w:rPr>
          <w:rFonts w:ascii="宋体" w:hAnsi="宋体" w:eastAsia="宋体" w:cs="宋体"/>
          <w:sz w:val="20"/>
          <w:szCs w:val="20"/>
        </w:rPr>
      </w:pPr>
      <w:r>
        <w:rPr>
          <w:rFonts w:ascii="宋体" w:hAnsi="宋体" w:eastAsia="宋体" w:cs="宋体"/>
          <w:spacing w:val="8"/>
          <w:position w:val="1"/>
          <w:sz w:val="20"/>
          <w:szCs w:val="20"/>
        </w:rPr>
        <w:t>布钢筋根数时，应按向上取整加</w:t>
      </w:r>
      <w:r>
        <w:rPr>
          <w:rFonts w:ascii="宋体" w:hAnsi="宋体" w:eastAsia="宋体" w:cs="宋体"/>
          <w:spacing w:val="-8"/>
          <w:position w:val="1"/>
          <w:sz w:val="20"/>
          <w:szCs w:val="20"/>
        </w:rPr>
        <w:t xml:space="preserve"> </w:t>
      </w:r>
      <w:r>
        <w:rPr>
          <w:rFonts w:ascii="宋体" w:hAnsi="宋体" w:eastAsia="宋体" w:cs="宋体"/>
          <w:spacing w:val="8"/>
          <w:position w:val="1"/>
          <w:sz w:val="20"/>
          <w:szCs w:val="20"/>
        </w:rPr>
        <w:t>1</w:t>
      </w:r>
      <w:r>
        <w:rPr>
          <w:rFonts w:ascii="宋体" w:hAnsi="宋体" w:eastAsia="宋体" w:cs="宋体"/>
          <w:spacing w:val="-45"/>
          <w:position w:val="1"/>
          <w:sz w:val="20"/>
          <w:szCs w:val="20"/>
        </w:rPr>
        <w:t xml:space="preserve"> </w:t>
      </w:r>
      <w:r>
        <w:rPr>
          <w:rFonts w:ascii="宋体" w:hAnsi="宋体" w:eastAsia="宋体" w:cs="宋体"/>
          <w:spacing w:val="8"/>
          <w:position w:val="1"/>
          <w:sz w:val="20"/>
          <w:szCs w:val="20"/>
        </w:rPr>
        <w:t>计算，以保证钢筋间距符合规范和设计要求。</w:t>
      </w:r>
    </w:p>
    <w:p>
      <w:pPr>
        <w:spacing w:before="128" w:line="360" w:lineRule="auto"/>
        <w:ind w:left="6" w:right="67" w:firstLine="423"/>
        <w:jc w:val="both"/>
        <w:rPr>
          <w:rFonts w:ascii="宋体" w:hAnsi="宋体" w:eastAsia="宋体" w:cs="宋体"/>
          <w:sz w:val="20"/>
          <w:szCs w:val="20"/>
        </w:rPr>
      </w:pPr>
      <w:r>
        <w:rPr>
          <w:rFonts w:ascii="宋体" w:hAnsi="宋体" w:eastAsia="宋体" w:cs="宋体"/>
          <w:spacing w:val="11"/>
          <w:sz w:val="20"/>
          <w:szCs w:val="20"/>
        </w:rPr>
        <w:t>钢筋的制作费用包含在子目中，如调直费用已包含，不单独计算。钢筋</w:t>
      </w:r>
      <w:r>
        <w:rPr>
          <w:rFonts w:ascii="宋体" w:hAnsi="宋体" w:eastAsia="宋体" w:cs="宋体"/>
          <w:spacing w:val="10"/>
          <w:sz w:val="20"/>
          <w:szCs w:val="20"/>
        </w:rPr>
        <w:t>定尺长度的搭接不单独</w:t>
      </w:r>
      <w:r>
        <w:rPr>
          <w:rFonts w:ascii="宋体" w:hAnsi="宋体" w:eastAsia="宋体" w:cs="宋体"/>
          <w:spacing w:val="11"/>
          <w:sz w:val="20"/>
          <w:szCs w:val="20"/>
        </w:rPr>
        <w:t>计算费用。除定额设置的接头子目可以单独计算外（如套筒连</w:t>
      </w:r>
      <w:r>
        <w:rPr>
          <w:rFonts w:ascii="宋体" w:hAnsi="宋体" w:eastAsia="宋体" w:cs="宋体"/>
          <w:spacing w:val="10"/>
          <w:sz w:val="20"/>
          <w:szCs w:val="20"/>
        </w:rPr>
        <w:t>接、电渣压力焊等</w:t>
      </w:r>
      <w:r>
        <w:rPr>
          <w:rFonts w:ascii="宋体" w:hAnsi="宋体" w:eastAsia="宋体" w:cs="宋体"/>
          <w:spacing w:val="-11"/>
          <w:sz w:val="20"/>
          <w:szCs w:val="20"/>
        </w:rPr>
        <w:t>）</w:t>
      </w:r>
      <w:r>
        <w:rPr>
          <w:rFonts w:ascii="宋体" w:hAnsi="宋体" w:eastAsia="宋体" w:cs="宋体"/>
          <w:spacing w:val="-50"/>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普通焊接的接</w:t>
      </w:r>
      <w:r>
        <w:rPr>
          <w:rFonts w:ascii="宋体" w:hAnsi="宋体" w:eastAsia="宋体" w:cs="宋体"/>
          <w:spacing w:val="8"/>
          <w:sz w:val="20"/>
          <w:szCs w:val="20"/>
        </w:rPr>
        <w:t>头不单独计算费用。</w:t>
      </w:r>
    </w:p>
    <w:p>
      <w:pPr>
        <w:spacing w:before="25" w:line="278" w:lineRule="exact"/>
        <w:ind w:left="433"/>
        <w:rPr>
          <w:rFonts w:ascii="宋体" w:hAnsi="宋体" w:eastAsia="宋体" w:cs="宋体"/>
          <w:sz w:val="20"/>
          <w:szCs w:val="20"/>
        </w:rPr>
      </w:pPr>
      <w:r>
        <w:rPr>
          <w:rFonts w:ascii="宋体" w:hAnsi="宋体" w:eastAsia="宋体" w:cs="宋体"/>
          <w:b/>
          <w:bCs/>
          <w:spacing w:val="2"/>
          <w:position w:val="1"/>
          <w:sz w:val="20"/>
          <w:szCs w:val="20"/>
        </w:rPr>
        <w:t>34.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屋面防水的工程量计算</w:t>
      </w:r>
    </w:p>
    <w:p>
      <w:pPr>
        <w:spacing w:before="124" w:line="355" w:lineRule="auto"/>
        <w:ind w:left="6" w:right="65" w:firstLine="422"/>
        <w:jc w:val="both"/>
        <w:rPr>
          <w:rFonts w:ascii="宋体" w:hAnsi="宋体" w:eastAsia="宋体" w:cs="宋体"/>
          <w:sz w:val="20"/>
          <w:szCs w:val="20"/>
        </w:rPr>
      </w:pPr>
      <w:r>
        <w:rPr>
          <w:rFonts w:ascii="宋体" w:hAnsi="宋体" w:eastAsia="宋体" w:cs="宋体"/>
          <w:spacing w:val="7"/>
          <w:sz w:val="20"/>
          <w:szCs w:val="20"/>
        </w:rPr>
        <w:t>工程量计算规则二防水中的屋面防水，设计无规定时伸缩缝、女儿墙、天</w:t>
      </w:r>
      <w:r>
        <w:rPr>
          <w:rFonts w:ascii="宋体" w:hAnsi="宋体" w:eastAsia="宋体" w:cs="宋体"/>
          <w:spacing w:val="6"/>
          <w:sz w:val="20"/>
          <w:szCs w:val="20"/>
        </w:rPr>
        <w:t>窗的弯起部分按</w:t>
      </w:r>
      <w:r>
        <w:rPr>
          <w:rFonts w:ascii="宋体" w:hAnsi="宋体" w:eastAsia="宋体" w:cs="宋体"/>
          <w:spacing w:val="-39"/>
          <w:sz w:val="20"/>
          <w:szCs w:val="20"/>
        </w:rPr>
        <w:t xml:space="preserve"> </w:t>
      </w:r>
      <w:r>
        <w:rPr>
          <w:rFonts w:ascii="宋体" w:hAnsi="宋体" w:eastAsia="宋体" w:cs="宋体"/>
          <w:spacing w:val="6"/>
          <w:sz w:val="20"/>
          <w:szCs w:val="20"/>
        </w:rPr>
        <w:t>500</w:t>
      </w:r>
      <w:r>
        <w:rPr>
          <w:rFonts w:ascii="宋体" w:hAnsi="宋体" w:eastAsia="宋体" w:cs="宋体"/>
          <w:sz w:val="20"/>
          <w:szCs w:val="20"/>
        </w:rPr>
        <w:t>mm</w:t>
      </w:r>
      <w:r>
        <w:rPr>
          <w:rFonts w:ascii="宋体" w:hAnsi="宋体" w:eastAsia="宋体" w:cs="宋体"/>
          <w:spacing w:val="14"/>
          <w:sz w:val="20"/>
          <w:szCs w:val="20"/>
        </w:rPr>
        <w:t>计算计入立面；若设计有规定时</w:t>
      </w:r>
      <w:r>
        <w:rPr>
          <w:rFonts w:ascii="宋体" w:hAnsi="宋体" w:eastAsia="宋体" w:cs="宋体"/>
          <w:spacing w:val="-47"/>
          <w:sz w:val="20"/>
          <w:szCs w:val="20"/>
        </w:rPr>
        <w:t xml:space="preserve"> </w:t>
      </w:r>
      <w:r>
        <w:rPr>
          <w:rFonts w:ascii="宋体" w:hAnsi="宋体" w:eastAsia="宋体" w:cs="宋体"/>
          <w:spacing w:val="14"/>
          <w:sz w:val="20"/>
          <w:szCs w:val="20"/>
        </w:rPr>
        <w:t>，上翻高度弯起部分大于</w:t>
      </w:r>
      <w:r>
        <w:rPr>
          <w:rFonts w:ascii="宋体" w:hAnsi="宋体" w:eastAsia="宋体" w:cs="宋体"/>
          <w:spacing w:val="-37"/>
          <w:sz w:val="20"/>
          <w:szCs w:val="20"/>
        </w:rPr>
        <w:t xml:space="preserve"> </w:t>
      </w:r>
      <w:r>
        <w:rPr>
          <w:rFonts w:ascii="宋体" w:hAnsi="宋体" w:eastAsia="宋体" w:cs="宋体"/>
          <w:spacing w:val="14"/>
          <w:sz w:val="20"/>
          <w:szCs w:val="20"/>
        </w:rPr>
        <w:t>500</w:t>
      </w:r>
      <w:r>
        <w:rPr>
          <w:rFonts w:ascii="宋体" w:hAnsi="宋体" w:eastAsia="宋体" w:cs="宋体"/>
          <w:sz w:val="20"/>
          <w:szCs w:val="20"/>
        </w:rPr>
        <w:t>mm</w:t>
      </w:r>
      <w:r>
        <w:rPr>
          <w:rFonts w:ascii="宋体" w:hAnsi="宋体" w:eastAsia="宋体" w:cs="宋体"/>
          <w:spacing w:val="-41"/>
          <w:sz w:val="20"/>
          <w:szCs w:val="20"/>
        </w:rPr>
        <w:t xml:space="preserve"> </w:t>
      </w:r>
      <w:r>
        <w:rPr>
          <w:rFonts w:ascii="宋体" w:hAnsi="宋体" w:eastAsia="宋体" w:cs="宋体"/>
          <w:spacing w:val="14"/>
          <w:sz w:val="20"/>
          <w:szCs w:val="20"/>
        </w:rPr>
        <w:t>计算计入立面</w:t>
      </w:r>
      <w:r>
        <w:rPr>
          <w:rFonts w:ascii="宋体" w:hAnsi="宋体" w:eastAsia="宋体" w:cs="宋体"/>
          <w:spacing w:val="-59"/>
          <w:sz w:val="20"/>
          <w:szCs w:val="20"/>
        </w:rPr>
        <w:t xml:space="preserve"> </w:t>
      </w:r>
      <w:r>
        <w:rPr>
          <w:rFonts w:ascii="宋体" w:hAnsi="宋体" w:eastAsia="宋体" w:cs="宋体"/>
          <w:spacing w:val="14"/>
          <w:sz w:val="20"/>
          <w:szCs w:val="20"/>
        </w:rPr>
        <w:t>，小于等于</w:t>
      </w:r>
      <w:r>
        <w:rPr>
          <w:rFonts w:ascii="宋体" w:hAnsi="宋体" w:eastAsia="宋体" w:cs="宋体"/>
          <w:spacing w:val="-37"/>
          <w:sz w:val="20"/>
          <w:szCs w:val="20"/>
        </w:rPr>
        <w:t xml:space="preserve"> </w:t>
      </w:r>
      <w:r>
        <w:rPr>
          <w:rFonts w:ascii="宋体" w:hAnsi="宋体" w:eastAsia="宋体" w:cs="宋体"/>
          <w:spacing w:val="14"/>
          <w:sz w:val="20"/>
          <w:szCs w:val="20"/>
        </w:rPr>
        <w:t>500</w:t>
      </w:r>
      <w:r>
        <w:rPr>
          <w:rFonts w:ascii="宋体" w:hAnsi="宋体" w:eastAsia="宋体" w:cs="宋体"/>
          <w:sz w:val="20"/>
          <w:szCs w:val="20"/>
        </w:rPr>
        <w:t>mm</w:t>
      </w:r>
      <w:r>
        <w:rPr>
          <w:rFonts w:ascii="宋体" w:hAnsi="宋体" w:eastAsia="宋体" w:cs="宋体"/>
          <w:spacing w:val="8"/>
          <w:sz w:val="20"/>
          <w:szCs w:val="20"/>
        </w:rPr>
        <w:t>时计算计入平面。</w:t>
      </w:r>
    </w:p>
    <w:p>
      <w:pPr>
        <w:spacing w:before="45" w:line="276" w:lineRule="exact"/>
        <w:ind w:left="433"/>
        <w:rPr>
          <w:rFonts w:ascii="宋体" w:hAnsi="宋体" w:eastAsia="宋体" w:cs="宋体"/>
          <w:sz w:val="20"/>
          <w:szCs w:val="20"/>
        </w:rPr>
      </w:pPr>
      <w:r>
        <w:rPr>
          <w:rFonts w:ascii="宋体" w:hAnsi="宋体" w:eastAsia="宋体" w:cs="宋体"/>
          <w:b/>
          <w:bCs/>
          <w:spacing w:val="4"/>
          <w:position w:val="1"/>
          <w:sz w:val="20"/>
          <w:szCs w:val="20"/>
        </w:rPr>
        <w:t>35.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现浇水泥珍珠岩配比不同时的计价</w:t>
      </w:r>
    </w:p>
    <w:p>
      <w:pPr>
        <w:spacing w:before="121" w:line="356" w:lineRule="auto"/>
        <w:ind w:left="6" w:firstLine="424"/>
        <w:jc w:val="both"/>
        <w:rPr>
          <w:rFonts w:ascii="宋体" w:hAnsi="宋体" w:eastAsia="宋体" w:cs="宋体"/>
          <w:sz w:val="20"/>
          <w:szCs w:val="20"/>
        </w:rPr>
      </w:pPr>
      <w:r>
        <w:rPr>
          <w:rFonts w:ascii="宋体" w:hAnsi="宋体" w:eastAsia="宋体" w:cs="宋体"/>
          <w:spacing w:val="6"/>
          <w:sz w:val="20"/>
          <w:szCs w:val="20"/>
        </w:rPr>
        <w:t>现浇水泥珍珠岩</w:t>
      </w:r>
      <w:r>
        <w:rPr>
          <w:rFonts w:ascii="宋体" w:hAnsi="宋体" w:eastAsia="宋体" w:cs="宋体"/>
          <w:spacing w:val="-4"/>
          <w:sz w:val="20"/>
          <w:szCs w:val="20"/>
        </w:rPr>
        <w:t xml:space="preserve"> </w:t>
      </w:r>
      <w:r>
        <w:rPr>
          <w:rFonts w:ascii="宋体" w:hAnsi="宋体" w:eastAsia="宋体" w:cs="宋体"/>
          <w:spacing w:val="6"/>
          <w:sz w:val="20"/>
          <w:szCs w:val="20"/>
        </w:rPr>
        <w:t>10-1-11定额子目，人工、材料、机械单价表中只有</w:t>
      </w:r>
      <w:r>
        <w:rPr>
          <w:rFonts w:ascii="宋体" w:hAnsi="宋体" w:eastAsia="宋体" w:cs="宋体"/>
          <w:spacing w:val="-22"/>
          <w:sz w:val="20"/>
          <w:szCs w:val="20"/>
        </w:rPr>
        <w:t xml:space="preserve"> </w:t>
      </w:r>
      <w:r>
        <w:rPr>
          <w:rFonts w:ascii="宋体" w:hAnsi="宋体" w:eastAsia="宋体" w:cs="宋体"/>
          <w:spacing w:val="6"/>
          <w:sz w:val="20"/>
          <w:szCs w:val="20"/>
        </w:rPr>
        <w:t>1：10</w:t>
      </w:r>
      <w:r>
        <w:rPr>
          <w:rFonts w:ascii="宋体" w:hAnsi="宋体" w:eastAsia="宋体" w:cs="宋体"/>
          <w:spacing w:val="-42"/>
          <w:sz w:val="20"/>
          <w:szCs w:val="20"/>
        </w:rPr>
        <w:t xml:space="preserve"> </w:t>
      </w:r>
      <w:r>
        <w:rPr>
          <w:rFonts w:ascii="宋体" w:hAnsi="宋体" w:eastAsia="宋体" w:cs="宋体"/>
          <w:spacing w:val="6"/>
          <w:sz w:val="20"/>
          <w:szCs w:val="20"/>
        </w:rPr>
        <w:t>水泥珍珠岩取定价，</w:t>
      </w:r>
      <w:r>
        <w:rPr>
          <w:rFonts w:ascii="宋体" w:hAnsi="宋体" w:eastAsia="宋体" w:cs="宋体"/>
          <w:spacing w:val="8"/>
          <w:sz w:val="20"/>
          <w:szCs w:val="20"/>
        </w:rPr>
        <w:t>无其他配比取定价，若实际使用了其他配比水泥珍珠岩时可参照</w:t>
      </w:r>
      <w:r>
        <w:rPr>
          <w:rFonts w:ascii="宋体" w:hAnsi="宋体" w:eastAsia="宋体" w:cs="宋体"/>
          <w:spacing w:val="-40"/>
          <w:sz w:val="20"/>
          <w:szCs w:val="20"/>
        </w:rPr>
        <w:t xml:space="preserve"> </w:t>
      </w:r>
      <w:r>
        <w:rPr>
          <w:rFonts w:ascii="宋体" w:hAnsi="宋体" w:eastAsia="宋体" w:cs="宋体"/>
          <w:spacing w:val="8"/>
          <w:sz w:val="20"/>
          <w:szCs w:val="20"/>
        </w:rPr>
        <w:t>03</w:t>
      </w:r>
      <w:r>
        <w:rPr>
          <w:rFonts w:ascii="宋体" w:hAnsi="宋体" w:eastAsia="宋体" w:cs="宋体"/>
          <w:spacing w:val="-37"/>
          <w:sz w:val="20"/>
          <w:szCs w:val="20"/>
        </w:rPr>
        <w:t xml:space="preserve"> </w:t>
      </w:r>
      <w:r>
        <w:rPr>
          <w:rFonts w:ascii="宋体" w:hAnsi="宋体" w:eastAsia="宋体" w:cs="宋体"/>
          <w:spacing w:val="8"/>
          <w:sz w:val="20"/>
          <w:szCs w:val="20"/>
        </w:rPr>
        <w:t>消耗量定额</w:t>
      </w:r>
      <w:r>
        <w:rPr>
          <w:rFonts w:ascii="宋体" w:hAnsi="宋体" w:eastAsia="宋体" w:cs="宋体"/>
          <w:spacing w:val="7"/>
          <w:sz w:val="20"/>
          <w:szCs w:val="20"/>
        </w:rPr>
        <w:t>的保温层材料配合比</w:t>
      </w:r>
      <w:r>
        <w:rPr>
          <w:rFonts w:ascii="宋体" w:hAnsi="宋体" w:eastAsia="宋体" w:cs="宋体"/>
          <w:spacing w:val="6"/>
          <w:sz w:val="20"/>
          <w:szCs w:val="20"/>
        </w:rPr>
        <w:t>表执行。</w:t>
      </w:r>
    </w:p>
    <w:p>
      <w:pPr>
        <w:spacing w:before="43" w:line="278" w:lineRule="exact"/>
        <w:ind w:left="433"/>
        <w:rPr>
          <w:rFonts w:ascii="宋体" w:hAnsi="宋体" w:eastAsia="宋体" w:cs="宋体"/>
          <w:sz w:val="20"/>
          <w:szCs w:val="20"/>
        </w:rPr>
      </w:pPr>
      <w:r>
        <w:rPr>
          <w:rFonts w:ascii="宋体" w:hAnsi="宋体" w:eastAsia="宋体" w:cs="宋体"/>
          <w:b/>
          <w:bCs/>
          <w:spacing w:val="5"/>
          <w:position w:val="1"/>
          <w:sz w:val="20"/>
          <w:szCs w:val="20"/>
        </w:rPr>
        <w:t>36.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关于抗裂砂浆零星项目</w:t>
      </w:r>
      <w:r>
        <w:rPr>
          <w:rFonts w:ascii="宋体" w:hAnsi="宋体" w:eastAsia="宋体" w:cs="宋体"/>
          <w:spacing w:val="-25"/>
          <w:position w:val="1"/>
          <w:sz w:val="20"/>
          <w:szCs w:val="20"/>
        </w:rPr>
        <w:t xml:space="preserve"> </w:t>
      </w:r>
      <w:r>
        <w:rPr>
          <w:rFonts w:ascii="宋体" w:hAnsi="宋体" w:eastAsia="宋体" w:cs="宋体"/>
          <w:b/>
          <w:bCs/>
          <w:spacing w:val="5"/>
          <w:position w:val="1"/>
          <w:sz w:val="20"/>
          <w:szCs w:val="20"/>
        </w:rPr>
        <w:t>10-1-69、10-1</w:t>
      </w:r>
      <w:r>
        <w:rPr>
          <w:rFonts w:ascii="宋体" w:hAnsi="宋体" w:eastAsia="宋体" w:cs="宋体"/>
          <w:b/>
          <w:bCs/>
          <w:spacing w:val="4"/>
          <w:position w:val="1"/>
          <w:sz w:val="20"/>
          <w:szCs w:val="20"/>
        </w:rPr>
        <w:t>-70</w:t>
      </w:r>
      <w:r>
        <w:rPr>
          <w:rFonts w:ascii="宋体" w:hAnsi="宋体" w:eastAsia="宋体" w:cs="宋体"/>
          <w:spacing w:val="-42"/>
          <w:position w:val="1"/>
          <w:sz w:val="20"/>
          <w:szCs w:val="20"/>
        </w:rPr>
        <w:t xml:space="preserve"> </w:t>
      </w:r>
      <w:r>
        <w:rPr>
          <w:rFonts w:ascii="宋体" w:hAnsi="宋体" w:eastAsia="宋体" w:cs="宋体"/>
          <w:b/>
          <w:bCs/>
          <w:spacing w:val="4"/>
          <w:position w:val="1"/>
          <w:sz w:val="20"/>
          <w:szCs w:val="20"/>
        </w:rPr>
        <w:t>子目的具体适用范围</w:t>
      </w:r>
    </w:p>
    <w:p>
      <w:pPr>
        <w:spacing w:before="125" w:line="369" w:lineRule="auto"/>
        <w:ind w:right="64" w:firstLine="426"/>
        <w:jc w:val="both"/>
        <w:rPr>
          <w:rFonts w:ascii="宋体" w:hAnsi="宋体" w:eastAsia="宋体" w:cs="宋体"/>
          <w:sz w:val="20"/>
          <w:szCs w:val="20"/>
        </w:rPr>
      </w:pPr>
      <w:r>
        <w:rPr>
          <w:rFonts w:ascii="宋体" w:hAnsi="宋体" w:eastAsia="宋体" w:cs="宋体"/>
          <w:spacing w:val="7"/>
          <w:sz w:val="20"/>
          <w:szCs w:val="20"/>
        </w:rPr>
        <w:t>抗裂砂浆零星项目</w:t>
      </w:r>
      <w:r>
        <w:rPr>
          <w:rFonts w:ascii="宋体" w:hAnsi="宋体" w:eastAsia="宋体" w:cs="宋体"/>
          <w:spacing w:val="-22"/>
          <w:sz w:val="20"/>
          <w:szCs w:val="20"/>
        </w:rPr>
        <w:t xml:space="preserve"> </w:t>
      </w:r>
      <w:r>
        <w:rPr>
          <w:rFonts w:ascii="宋体" w:hAnsi="宋体" w:eastAsia="宋体" w:cs="宋体"/>
          <w:spacing w:val="7"/>
          <w:sz w:val="20"/>
          <w:szCs w:val="20"/>
        </w:rPr>
        <w:t>10-1-69、10-1-7</w:t>
      </w:r>
      <w:r>
        <w:rPr>
          <w:rFonts w:ascii="宋体" w:hAnsi="宋体" w:eastAsia="宋体" w:cs="宋体"/>
          <w:spacing w:val="6"/>
          <w:sz w:val="20"/>
          <w:szCs w:val="20"/>
        </w:rPr>
        <w:t>0</w:t>
      </w:r>
      <w:r>
        <w:rPr>
          <w:rFonts w:ascii="宋体" w:hAnsi="宋体" w:eastAsia="宋体" w:cs="宋体"/>
          <w:spacing w:val="-40"/>
          <w:sz w:val="20"/>
          <w:szCs w:val="20"/>
        </w:rPr>
        <w:t xml:space="preserve"> </w:t>
      </w:r>
      <w:r>
        <w:rPr>
          <w:rFonts w:ascii="宋体" w:hAnsi="宋体" w:eastAsia="宋体" w:cs="宋体"/>
          <w:spacing w:val="6"/>
          <w:sz w:val="20"/>
          <w:szCs w:val="20"/>
        </w:rPr>
        <w:t>子目，建议参照《山东省建筑工程计价依据动态调整汇编</w:t>
      </w:r>
      <w:r>
        <w:rPr>
          <w:rFonts w:ascii="宋体" w:hAnsi="宋体" w:eastAsia="宋体" w:cs="宋体"/>
          <w:spacing w:val="10"/>
          <w:sz w:val="20"/>
          <w:szCs w:val="20"/>
        </w:rPr>
        <w:t>（2021年度）</w:t>
      </w:r>
      <w:r>
        <w:rPr>
          <w:rFonts w:ascii="宋体" w:hAnsi="宋体" w:eastAsia="宋体" w:cs="宋体"/>
          <w:spacing w:val="-54"/>
          <w:sz w:val="20"/>
          <w:szCs w:val="20"/>
        </w:rPr>
        <w:t xml:space="preserve"> </w:t>
      </w:r>
      <w:r>
        <w:rPr>
          <w:rFonts w:ascii="宋体" w:hAnsi="宋体" w:eastAsia="宋体" w:cs="宋体"/>
          <w:spacing w:val="10"/>
          <w:sz w:val="20"/>
          <w:szCs w:val="20"/>
        </w:rPr>
        <w:t>》中修订中的第十二章中关于“</w:t>
      </w:r>
      <w:r>
        <w:rPr>
          <w:rFonts w:ascii="宋体" w:hAnsi="宋体" w:eastAsia="宋体" w:cs="宋体"/>
          <w:spacing w:val="9"/>
          <w:sz w:val="20"/>
          <w:szCs w:val="20"/>
        </w:rPr>
        <w:t>零星抹灰”增加的说明执行，即零星项目抹灰，适用</w:t>
      </w:r>
      <w:r>
        <w:rPr>
          <w:rFonts w:ascii="宋体" w:hAnsi="宋体" w:eastAsia="宋体" w:cs="宋体"/>
          <w:spacing w:val="11"/>
          <w:sz w:val="20"/>
          <w:szCs w:val="20"/>
        </w:rPr>
        <w:t>于各种壁柜、暖气壁龛、池槽、花台、过人洞、屋面烟气道、附墙烟道垃圾道孔洞内侧、空调机搁</w:t>
      </w:r>
      <w:r>
        <w:rPr>
          <w:rFonts w:ascii="宋体" w:hAnsi="宋体" w:eastAsia="宋体" w:cs="宋体"/>
          <w:spacing w:val="7"/>
          <w:sz w:val="20"/>
          <w:szCs w:val="20"/>
        </w:rPr>
        <w:t>板(箱)、飘窗周边挑板等抹灰，以及面积≤1</w:t>
      </w:r>
      <w:r>
        <w:rPr>
          <w:rFonts w:ascii="宋体" w:hAnsi="宋体" w:eastAsia="宋体" w:cs="宋体"/>
          <w:spacing w:val="-39"/>
          <w:sz w:val="20"/>
          <w:szCs w:val="20"/>
        </w:rPr>
        <w:t xml:space="preserve"> </w:t>
      </w:r>
      <w:r>
        <w:rPr>
          <w:rFonts w:ascii="宋体" w:hAnsi="宋体" w:eastAsia="宋体" w:cs="宋体"/>
          <w:spacing w:val="7"/>
          <w:sz w:val="20"/>
          <w:szCs w:val="20"/>
        </w:rPr>
        <w:t>㎡的窗间</w:t>
      </w:r>
      <w:r>
        <w:rPr>
          <w:rFonts w:ascii="宋体" w:hAnsi="宋体" w:eastAsia="宋体" w:cs="宋体"/>
          <w:spacing w:val="6"/>
          <w:sz w:val="20"/>
          <w:szCs w:val="20"/>
        </w:rPr>
        <w:t>墙、独立区域等小面积抹灰。</w:t>
      </w:r>
    </w:p>
    <w:p>
      <w:pPr>
        <w:spacing w:line="276" w:lineRule="exact"/>
        <w:ind w:left="433"/>
        <w:rPr>
          <w:rFonts w:ascii="宋体" w:hAnsi="宋体" w:eastAsia="宋体" w:cs="宋体"/>
          <w:sz w:val="20"/>
          <w:szCs w:val="20"/>
        </w:rPr>
      </w:pPr>
      <w:r>
        <w:rPr>
          <w:rFonts w:ascii="宋体" w:hAnsi="宋体" w:eastAsia="宋体" w:cs="宋体"/>
          <w:b/>
          <w:bCs/>
          <w:spacing w:val="5"/>
          <w:position w:val="1"/>
          <w:sz w:val="20"/>
          <w:szCs w:val="20"/>
        </w:rPr>
        <w:t>37.</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关于满堂基础、满堂基础下翻构件砖胎膜的计价</w:t>
      </w:r>
    </w:p>
    <w:p>
      <w:pPr>
        <w:spacing w:before="124" w:line="222" w:lineRule="auto"/>
        <w:ind w:left="422"/>
        <w:rPr>
          <w:rFonts w:ascii="宋体" w:hAnsi="宋体" w:eastAsia="宋体" w:cs="宋体"/>
          <w:sz w:val="20"/>
          <w:szCs w:val="20"/>
        </w:rPr>
      </w:pPr>
      <w:r>
        <w:rPr>
          <w:rFonts w:ascii="宋体" w:hAnsi="宋体" w:eastAsia="宋体" w:cs="宋体"/>
          <w:spacing w:val="9"/>
          <w:sz w:val="20"/>
          <w:szCs w:val="20"/>
        </w:rPr>
        <w:t>满堂基础、满堂基础下翻构件的砖胎膜砌体执行砖基础相应定额。</w:t>
      </w:r>
    </w:p>
    <w:p>
      <w:pPr>
        <w:spacing w:before="158" w:line="277" w:lineRule="exact"/>
        <w:ind w:left="433"/>
        <w:rPr>
          <w:rFonts w:ascii="宋体" w:hAnsi="宋体" w:eastAsia="宋体" w:cs="宋体"/>
          <w:sz w:val="20"/>
          <w:szCs w:val="20"/>
        </w:rPr>
      </w:pPr>
      <w:r>
        <w:rPr>
          <w:rFonts w:ascii="宋体" w:hAnsi="宋体" w:eastAsia="宋体" w:cs="宋体"/>
          <w:b/>
          <w:bCs/>
          <w:spacing w:val="4"/>
          <w:position w:val="1"/>
          <w:sz w:val="20"/>
          <w:szCs w:val="20"/>
        </w:rPr>
        <w:t>38.</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关于定额复合木模板周转次数的确定</w:t>
      </w:r>
    </w:p>
    <w:p>
      <w:pPr>
        <w:spacing w:before="123" w:line="367" w:lineRule="auto"/>
        <w:ind w:left="9" w:right="64" w:firstLine="424"/>
        <w:rPr>
          <w:rFonts w:ascii="宋体" w:hAnsi="宋体" w:eastAsia="宋体" w:cs="宋体"/>
          <w:sz w:val="20"/>
          <w:szCs w:val="20"/>
        </w:rPr>
      </w:pPr>
      <w:r>
        <w:rPr>
          <w:rFonts w:ascii="宋体" w:hAnsi="宋体" w:eastAsia="宋体" w:cs="宋体"/>
          <w:spacing w:val="9"/>
          <w:sz w:val="20"/>
          <w:szCs w:val="20"/>
        </w:rPr>
        <w:t>复合木模板的周转次数，基础部位按</w:t>
      </w:r>
      <w:r>
        <w:rPr>
          <w:rFonts w:ascii="宋体" w:hAnsi="宋体" w:eastAsia="宋体" w:cs="宋体"/>
          <w:spacing w:val="-5"/>
          <w:sz w:val="20"/>
          <w:szCs w:val="20"/>
        </w:rPr>
        <w:t xml:space="preserve"> </w:t>
      </w:r>
      <w:r>
        <w:rPr>
          <w:rFonts w:ascii="宋体" w:hAnsi="宋体" w:eastAsia="宋体" w:cs="宋体"/>
          <w:spacing w:val="9"/>
          <w:sz w:val="20"/>
          <w:szCs w:val="20"/>
        </w:rPr>
        <w:t>1</w:t>
      </w:r>
      <w:r>
        <w:rPr>
          <w:rFonts w:ascii="宋体" w:hAnsi="宋体" w:eastAsia="宋体" w:cs="宋体"/>
          <w:spacing w:val="-41"/>
          <w:sz w:val="20"/>
          <w:szCs w:val="20"/>
        </w:rPr>
        <w:t xml:space="preserve"> </w:t>
      </w:r>
      <w:r>
        <w:rPr>
          <w:rFonts w:ascii="宋体" w:hAnsi="宋体" w:eastAsia="宋体" w:cs="宋体"/>
          <w:spacing w:val="9"/>
          <w:sz w:val="20"/>
          <w:szCs w:val="20"/>
        </w:rPr>
        <w:t>次考虑，其他部位按</w:t>
      </w:r>
      <w:r>
        <w:rPr>
          <w:rFonts w:ascii="宋体" w:hAnsi="宋体" w:eastAsia="宋体" w:cs="宋体"/>
          <w:spacing w:val="-43"/>
          <w:sz w:val="20"/>
          <w:szCs w:val="20"/>
        </w:rPr>
        <w:t xml:space="preserve"> </w:t>
      </w:r>
      <w:r>
        <w:rPr>
          <w:rFonts w:ascii="宋体" w:hAnsi="宋体" w:eastAsia="宋体" w:cs="宋体"/>
          <w:spacing w:val="9"/>
          <w:sz w:val="20"/>
          <w:szCs w:val="20"/>
        </w:rPr>
        <w:t>4</w:t>
      </w:r>
      <w:r>
        <w:rPr>
          <w:rFonts w:ascii="宋体" w:hAnsi="宋体" w:eastAsia="宋体" w:cs="宋体"/>
          <w:spacing w:val="-38"/>
          <w:sz w:val="20"/>
          <w:szCs w:val="20"/>
        </w:rPr>
        <w:t xml:space="preserve"> </w:t>
      </w:r>
      <w:r>
        <w:rPr>
          <w:rFonts w:ascii="宋体" w:hAnsi="宋体" w:eastAsia="宋体" w:cs="宋体"/>
          <w:spacing w:val="9"/>
          <w:sz w:val="20"/>
          <w:szCs w:val="20"/>
        </w:rPr>
        <w:t>次考虑，特殊项目实际周转次数</w:t>
      </w:r>
      <w:r>
        <w:rPr>
          <w:rFonts w:ascii="宋体" w:hAnsi="宋体" w:eastAsia="宋体" w:cs="宋体"/>
          <w:spacing w:val="10"/>
          <w:sz w:val="20"/>
          <w:szCs w:val="20"/>
        </w:rPr>
        <w:t>不同时，应根据发包方批准的施工组织设计（</w:t>
      </w:r>
      <w:r>
        <w:rPr>
          <w:rFonts w:ascii="宋体" w:hAnsi="宋体" w:eastAsia="宋体" w:cs="宋体"/>
          <w:spacing w:val="9"/>
          <w:sz w:val="20"/>
          <w:szCs w:val="20"/>
        </w:rPr>
        <w:t>施工方案）或签证按实际周转次数计算。</w:t>
      </w:r>
    </w:p>
    <w:p>
      <w:pPr>
        <w:spacing w:before="5" w:line="277" w:lineRule="exact"/>
        <w:ind w:left="433"/>
        <w:rPr>
          <w:rFonts w:ascii="宋体" w:hAnsi="宋体" w:eastAsia="宋体" w:cs="宋体"/>
          <w:sz w:val="20"/>
          <w:szCs w:val="20"/>
        </w:rPr>
      </w:pPr>
      <w:r>
        <w:rPr>
          <w:rFonts w:ascii="宋体" w:hAnsi="宋体" w:eastAsia="宋体" w:cs="宋体"/>
          <w:b/>
          <w:bCs/>
          <w:spacing w:val="2"/>
          <w:position w:val="1"/>
          <w:sz w:val="20"/>
          <w:szCs w:val="20"/>
        </w:rPr>
        <w:t>39.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关于满堂脚手架的计算</w:t>
      </w:r>
    </w:p>
    <w:p>
      <w:pPr>
        <w:spacing w:before="123" w:line="369" w:lineRule="auto"/>
        <w:ind w:left="8" w:right="64" w:firstLine="420"/>
        <w:jc w:val="both"/>
        <w:rPr>
          <w:rFonts w:ascii="宋体" w:hAnsi="宋体" w:eastAsia="宋体" w:cs="宋体"/>
          <w:sz w:val="20"/>
          <w:szCs w:val="20"/>
        </w:rPr>
      </w:pPr>
      <w:r>
        <w:rPr>
          <w:rFonts w:ascii="宋体" w:hAnsi="宋体" w:eastAsia="宋体" w:cs="宋体"/>
          <w:spacing w:val="9"/>
          <w:sz w:val="20"/>
          <w:szCs w:val="20"/>
        </w:rPr>
        <w:t>满堂脚手架按室内净面积计算</w:t>
      </w:r>
      <w:r>
        <w:rPr>
          <w:rFonts w:ascii="宋体" w:hAnsi="宋体" w:eastAsia="宋体" w:cs="宋体"/>
          <w:spacing w:val="-60"/>
          <w:sz w:val="20"/>
          <w:szCs w:val="20"/>
        </w:rPr>
        <w:t xml:space="preserve"> </w:t>
      </w:r>
      <w:r>
        <w:rPr>
          <w:rFonts w:ascii="宋体" w:hAnsi="宋体" w:eastAsia="宋体" w:cs="宋体"/>
          <w:spacing w:val="9"/>
          <w:sz w:val="20"/>
          <w:szCs w:val="20"/>
        </w:rPr>
        <w:t>，不扣除柱、垛所占面积。结构净高小于等于</w:t>
      </w:r>
      <w:r>
        <w:rPr>
          <w:rFonts w:ascii="宋体" w:hAnsi="宋体" w:eastAsia="宋体" w:cs="宋体"/>
          <w:spacing w:val="-33"/>
          <w:sz w:val="20"/>
          <w:szCs w:val="20"/>
        </w:rPr>
        <w:t xml:space="preserve"> </w:t>
      </w:r>
      <w:r>
        <w:rPr>
          <w:rFonts w:ascii="宋体" w:hAnsi="宋体" w:eastAsia="宋体" w:cs="宋体"/>
          <w:spacing w:val="9"/>
          <w:sz w:val="20"/>
          <w:szCs w:val="20"/>
        </w:rPr>
        <w:t>3.6</w:t>
      </w:r>
      <w:r>
        <w:rPr>
          <w:rFonts w:ascii="宋体" w:hAnsi="宋体" w:eastAsia="宋体" w:cs="宋体"/>
          <w:spacing w:val="-39"/>
          <w:sz w:val="20"/>
          <w:szCs w:val="20"/>
        </w:rPr>
        <w:t xml:space="preserve"> </w:t>
      </w:r>
      <w:r>
        <w:rPr>
          <w:rFonts w:ascii="宋体" w:hAnsi="宋体" w:eastAsia="宋体" w:cs="宋体"/>
          <w:spacing w:val="9"/>
          <w:sz w:val="20"/>
          <w:szCs w:val="20"/>
        </w:rPr>
        <w:t>米时，不计算</w:t>
      </w:r>
      <w:r>
        <w:rPr>
          <w:rFonts w:ascii="宋体" w:hAnsi="宋体" w:eastAsia="宋体" w:cs="宋体"/>
          <w:spacing w:val="11"/>
          <w:sz w:val="20"/>
          <w:szCs w:val="20"/>
        </w:rPr>
        <w:t>满堂脚手架，但经发包人批准的施工组织设计明确需要搭设满堂脚手架时可计</w:t>
      </w:r>
      <w:r>
        <w:rPr>
          <w:rFonts w:ascii="宋体" w:hAnsi="宋体" w:eastAsia="宋体" w:cs="宋体"/>
          <w:spacing w:val="10"/>
          <w:sz w:val="20"/>
          <w:szCs w:val="20"/>
        </w:rPr>
        <w:t>算满堂脚手架。结构</w:t>
      </w:r>
      <w:r>
        <w:rPr>
          <w:rFonts w:ascii="宋体" w:hAnsi="宋体" w:eastAsia="宋体" w:cs="宋体"/>
          <w:spacing w:val="4"/>
          <w:sz w:val="20"/>
          <w:szCs w:val="20"/>
        </w:rPr>
        <w:t>净高大于</w:t>
      </w:r>
      <w:r>
        <w:rPr>
          <w:rFonts w:ascii="宋体" w:hAnsi="宋体" w:eastAsia="宋体" w:cs="宋体"/>
          <w:spacing w:val="-23"/>
          <w:sz w:val="20"/>
          <w:szCs w:val="20"/>
        </w:rPr>
        <w:t xml:space="preserve"> </w:t>
      </w:r>
      <w:r>
        <w:rPr>
          <w:rFonts w:ascii="宋体" w:hAnsi="宋体" w:eastAsia="宋体" w:cs="宋体"/>
          <w:spacing w:val="4"/>
          <w:sz w:val="20"/>
          <w:szCs w:val="20"/>
        </w:rPr>
        <w:t>3.6</w:t>
      </w:r>
      <w:r>
        <w:rPr>
          <w:rFonts w:ascii="宋体" w:hAnsi="宋体" w:eastAsia="宋体" w:cs="宋体"/>
          <w:spacing w:val="-41"/>
          <w:sz w:val="20"/>
          <w:szCs w:val="20"/>
        </w:rPr>
        <w:t xml:space="preserve"> </w:t>
      </w:r>
      <w:r>
        <w:rPr>
          <w:rFonts w:ascii="宋体" w:hAnsi="宋体" w:eastAsia="宋体" w:cs="宋体"/>
          <w:spacing w:val="4"/>
          <w:sz w:val="20"/>
          <w:szCs w:val="20"/>
        </w:rPr>
        <w:t>米时，可计算满堂脚手架：结构净高大于</w:t>
      </w:r>
      <w:r>
        <w:rPr>
          <w:rFonts w:ascii="宋体" w:hAnsi="宋体" w:eastAsia="宋体" w:cs="宋体"/>
          <w:spacing w:val="-38"/>
          <w:sz w:val="20"/>
          <w:szCs w:val="20"/>
        </w:rPr>
        <w:t xml:space="preserve"> </w:t>
      </w:r>
      <w:r>
        <w:rPr>
          <w:rFonts w:ascii="宋体" w:hAnsi="宋体" w:eastAsia="宋体" w:cs="宋体"/>
          <w:spacing w:val="4"/>
          <w:sz w:val="20"/>
          <w:szCs w:val="20"/>
        </w:rPr>
        <w:t>3.6</w:t>
      </w:r>
      <w:r>
        <w:rPr>
          <w:rFonts w:ascii="宋体" w:hAnsi="宋体" w:eastAsia="宋体" w:cs="宋体"/>
          <w:spacing w:val="-39"/>
          <w:sz w:val="20"/>
          <w:szCs w:val="20"/>
        </w:rPr>
        <w:t xml:space="preserve"> </w:t>
      </w:r>
      <w:r>
        <w:rPr>
          <w:rFonts w:ascii="宋体" w:hAnsi="宋体" w:eastAsia="宋体" w:cs="宋体"/>
          <w:spacing w:val="4"/>
          <w:sz w:val="20"/>
          <w:szCs w:val="20"/>
        </w:rPr>
        <w:t>米小于等于</w:t>
      </w:r>
      <w:r>
        <w:rPr>
          <w:rFonts w:ascii="宋体" w:hAnsi="宋体" w:eastAsia="宋体" w:cs="宋体"/>
          <w:spacing w:val="-42"/>
          <w:sz w:val="20"/>
          <w:szCs w:val="20"/>
        </w:rPr>
        <w:t xml:space="preserve"> </w:t>
      </w:r>
      <w:r>
        <w:rPr>
          <w:rFonts w:ascii="宋体" w:hAnsi="宋体" w:eastAsia="宋体" w:cs="宋体"/>
          <w:spacing w:val="4"/>
          <w:sz w:val="20"/>
          <w:szCs w:val="20"/>
        </w:rPr>
        <w:t>5.2</w:t>
      </w:r>
      <w:r>
        <w:rPr>
          <w:rFonts w:ascii="宋体" w:hAnsi="宋体" w:eastAsia="宋体" w:cs="宋体"/>
          <w:spacing w:val="-41"/>
          <w:sz w:val="20"/>
          <w:szCs w:val="20"/>
        </w:rPr>
        <w:t xml:space="preserve"> </w:t>
      </w:r>
      <w:r>
        <w:rPr>
          <w:rFonts w:ascii="宋体" w:hAnsi="宋体" w:eastAsia="宋体" w:cs="宋体"/>
          <w:spacing w:val="4"/>
          <w:sz w:val="20"/>
          <w:szCs w:val="20"/>
        </w:rPr>
        <w:t>米时，计算基本层；结构</w:t>
      </w:r>
      <w:r>
        <w:rPr>
          <w:rFonts w:ascii="宋体" w:hAnsi="宋体" w:eastAsia="宋体" w:cs="宋体"/>
          <w:spacing w:val="2"/>
          <w:sz w:val="20"/>
          <w:szCs w:val="20"/>
        </w:rPr>
        <w:t>净高大于</w:t>
      </w:r>
      <w:r>
        <w:rPr>
          <w:rFonts w:ascii="宋体" w:hAnsi="宋体" w:eastAsia="宋体" w:cs="宋体"/>
          <w:spacing w:val="-38"/>
          <w:sz w:val="20"/>
          <w:szCs w:val="20"/>
        </w:rPr>
        <w:t xml:space="preserve"> </w:t>
      </w:r>
      <w:r>
        <w:rPr>
          <w:rFonts w:ascii="宋体" w:hAnsi="宋体" w:eastAsia="宋体" w:cs="宋体"/>
          <w:spacing w:val="2"/>
          <w:sz w:val="20"/>
          <w:szCs w:val="20"/>
        </w:rPr>
        <w:t>5.2</w:t>
      </w:r>
      <w:r>
        <w:rPr>
          <w:rFonts w:ascii="宋体" w:hAnsi="宋体" w:eastAsia="宋体" w:cs="宋体"/>
          <w:spacing w:val="-41"/>
          <w:sz w:val="20"/>
          <w:szCs w:val="20"/>
        </w:rPr>
        <w:t xml:space="preserve"> </w:t>
      </w:r>
      <w:r>
        <w:rPr>
          <w:rFonts w:ascii="宋体" w:hAnsi="宋体" w:eastAsia="宋体" w:cs="宋体"/>
          <w:spacing w:val="2"/>
          <w:sz w:val="20"/>
          <w:szCs w:val="20"/>
        </w:rPr>
        <w:t>米时，每增加</w:t>
      </w:r>
      <w:r>
        <w:rPr>
          <w:rFonts w:ascii="宋体" w:hAnsi="宋体" w:eastAsia="宋体" w:cs="宋体"/>
          <w:spacing w:val="-22"/>
          <w:sz w:val="20"/>
          <w:szCs w:val="20"/>
        </w:rPr>
        <w:t xml:space="preserve"> </w:t>
      </w:r>
      <w:r>
        <w:rPr>
          <w:rFonts w:ascii="宋体" w:hAnsi="宋体" w:eastAsia="宋体" w:cs="宋体"/>
          <w:spacing w:val="2"/>
          <w:sz w:val="20"/>
          <w:szCs w:val="20"/>
        </w:rPr>
        <w:t>1.2</w:t>
      </w:r>
      <w:r>
        <w:rPr>
          <w:rFonts w:ascii="宋体" w:hAnsi="宋体" w:eastAsia="宋体" w:cs="宋体"/>
          <w:spacing w:val="-39"/>
          <w:sz w:val="20"/>
          <w:szCs w:val="20"/>
        </w:rPr>
        <w:t xml:space="preserve"> </w:t>
      </w:r>
      <w:r>
        <w:rPr>
          <w:rFonts w:ascii="宋体" w:hAnsi="宋体" w:eastAsia="宋体" w:cs="宋体"/>
          <w:spacing w:val="2"/>
          <w:sz w:val="20"/>
          <w:szCs w:val="20"/>
        </w:rPr>
        <w:t>米按增加一层计算，不足</w:t>
      </w:r>
      <w:r>
        <w:rPr>
          <w:rFonts w:ascii="宋体" w:hAnsi="宋体" w:eastAsia="宋体" w:cs="宋体"/>
          <w:spacing w:val="-42"/>
          <w:sz w:val="20"/>
          <w:szCs w:val="20"/>
        </w:rPr>
        <w:t xml:space="preserve"> </w:t>
      </w:r>
      <w:r>
        <w:rPr>
          <w:rFonts w:ascii="宋体" w:hAnsi="宋体" w:eastAsia="宋体" w:cs="宋体"/>
          <w:spacing w:val="2"/>
          <w:sz w:val="20"/>
          <w:szCs w:val="20"/>
        </w:rPr>
        <w:t>0.6</w:t>
      </w:r>
      <w:r>
        <w:rPr>
          <w:rFonts w:ascii="宋体" w:hAnsi="宋体" w:eastAsia="宋体" w:cs="宋体"/>
          <w:spacing w:val="-41"/>
          <w:sz w:val="20"/>
          <w:szCs w:val="20"/>
        </w:rPr>
        <w:t xml:space="preserve"> </w:t>
      </w:r>
      <w:r>
        <w:rPr>
          <w:rFonts w:ascii="宋体" w:hAnsi="宋体" w:eastAsia="宋体" w:cs="宋体"/>
          <w:spacing w:val="2"/>
          <w:sz w:val="20"/>
          <w:szCs w:val="20"/>
        </w:rPr>
        <w:t>米的不计算。</w:t>
      </w:r>
    </w:p>
    <w:p>
      <w:pPr>
        <w:spacing w:line="276" w:lineRule="exact"/>
        <w:ind w:left="426"/>
        <w:rPr>
          <w:rFonts w:ascii="宋体" w:hAnsi="宋体" w:eastAsia="宋体" w:cs="宋体"/>
          <w:sz w:val="20"/>
          <w:szCs w:val="20"/>
        </w:rPr>
      </w:pPr>
      <w:r>
        <w:rPr>
          <w:rFonts w:ascii="宋体" w:hAnsi="宋体" w:eastAsia="宋体" w:cs="宋体"/>
          <w:b/>
          <w:bCs/>
          <w:spacing w:val="5"/>
          <w:position w:val="1"/>
          <w:sz w:val="20"/>
          <w:szCs w:val="20"/>
        </w:rPr>
        <w:t>40.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关于桩间挖土的计量及桩间挖湿土的计价</w:t>
      </w:r>
    </w:p>
    <w:p>
      <w:pPr>
        <w:spacing w:before="125" w:line="368" w:lineRule="auto"/>
        <w:ind w:left="7" w:right="64" w:firstLine="421"/>
        <w:jc w:val="both"/>
        <w:rPr>
          <w:rFonts w:ascii="宋体" w:hAnsi="宋体" w:eastAsia="宋体" w:cs="宋体"/>
          <w:sz w:val="20"/>
          <w:szCs w:val="20"/>
        </w:rPr>
      </w:pPr>
      <w:r>
        <w:rPr>
          <w:rFonts w:ascii="宋体" w:hAnsi="宋体" w:eastAsia="宋体" w:cs="宋体"/>
          <w:spacing w:val="5"/>
          <w:sz w:val="20"/>
          <w:szCs w:val="20"/>
        </w:rPr>
        <w:t>桩间挖土，系指桩承台外缘向外</w:t>
      </w:r>
      <w:r>
        <w:rPr>
          <w:rFonts w:ascii="宋体" w:hAnsi="宋体" w:eastAsia="宋体" w:cs="宋体"/>
          <w:spacing w:val="-24"/>
          <w:sz w:val="20"/>
          <w:szCs w:val="20"/>
        </w:rPr>
        <w:t xml:space="preserve"> </w:t>
      </w:r>
      <w:r>
        <w:rPr>
          <w:rFonts w:ascii="宋体" w:hAnsi="宋体" w:eastAsia="宋体" w:cs="宋体"/>
          <w:spacing w:val="5"/>
          <w:sz w:val="20"/>
          <w:szCs w:val="20"/>
        </w:rPr>
        <w:t>1.20m</w:t>
      </w:r>
      <w:r>
        <w:rPr>
          <w:rFonts w:ascii="宋体" w:hAnsi="宋体" w:eastAsia="宋体" w:cs="宋体"/>
          <w:spacing w:val="-36"/>
          <w:sz w:val="20"/>
          <w:szCs w:val="20"/>
        </w:rPr>
        <w:t xml:space="preserve"> </w:t>
      </w:r>
      <w:r>
        <w:rPr>
          <w:rFonts w:ascii="宋体" w:hAnsi="宋体" w:eastAsia="宋体" w:cs="宋体"/>
          <w:spacing w:val="5"/>
          <w:sz w:val="20"/>
          <w:szCs w:val="20"/>
        </w:rPr>
        <w:t>范围内、桩顶设计标高以上</w:t>
      </w:r>
      <w:r>
        <w:rPr>
          <w:rFonts w:ascii="宋体" w:hAnsi="宋体" w:eastAsia="宋体" w:cs="宋体"/>
          <w:spacing w:val="-24"/>
          <w:sz w:val="20"/>
          <w:szCs w:val="20"/>
        </w:rPr>
        <w:t xml:space="preserve"> </w:t>
      </w:r>
      <w:r>
        <w:rPr>
          <w:rFonts w:ascii="宋体" w:hAnsi="宋体" w:eastAsia="宋体" w:cs="宋体"/>
          <w:spacing w:val="5"/>
          <w:sz w:val="20"/>
          <w:szCs w:val="20"/>
        </w:rPr>
        <w:t>1.20m（不足时按实计算）至</w:t>
      </w:r>
      <w:r>
        <w:rPr>
          <w:rFonts w:ascii="宋体" w:hAnsi="宋体" w:eastAsia="宋体" w:cs="宋体"/>
          <w:spacing w:val="10"/>
          <w:sz w:val="20"/>
          <w:szCs w:val="20"/>
        </w:rPr>
        <w:t>基础（含垫层）底的挖土；相邻桩承台外缘间距离≤4.00m</w:t>
      </w:r>
      <w:r>
        <w:rPr>
          <w:rFonts w:ascii="宋体" w:hAnsi="宋体" w:eastAsia="宋体" w:cs="宋体"/>
          <w:spacing w:val="-26"/>
          <w:sz w:val="20"/>
          <w:szCs w:val="20"/>
        </w:rPr>
        <w:t xml:space="preserve"> </w:t>
      </w:r>
      <w:r>
        <w:rPr>
          <w:rFonts w:ascii="宋体" w:hAnsi="宋体" w:eastAsia="宋体" w:cs="宋体"/>
          <w:spacing w:val="10"/>
          <w:sz w:val="20"/>
          <w:szCs w:val="20"/>
        </w:rPr>
        <w:t>时</w:t>
      </w:r>
      <w:r>
        <w:rPr>
          <w:rFonts w:ascii="宋体" w:hAnsi="宋体" w:eastAsia="宋体" w:cs="宋体"/>
          <w:spacing w:val="-59"/>
          <w:sz w:val="20"/>
          <w:szCs w:val="20"/>
        </w:rPr>
        <w:t xml:space="preserve"> </w:t>
      </w:r>
      <w:r>
        <w:rPr>
          <w:rFonts w:ascii="宋体" w:hAnsi="宋体" w:eastAsia="宋体" w:cs="宋体"/>
          <w:spacing w:val="10"/>
          <w:sz w:val="20"/>
          <w:szCs w:val="20"/>
        </w:rPr>
        <w:t>，其间（竖向向上）的挖土也全部为</w:t>
      </w:r>
      <w:r>
        <w:rPr>
          <w:rFonts w:ascii="宋体" w:hAnsi="宋体" w:eastAsia="宋体" w:cs="宋体"/>
          <w:spacing w:val="7"/>
          <w:sz w:val="20"/>
          <w:szCs w:val="20"/>
        </w:rPr>
        <w:t>桩间挖土。桩间挖土不扣除桩体和空孔所占体积，相应子目人工、机械乘以系数</w:t>
      </w:r>
      <w:r>
        <w:rPr>
          <w:rFonts w:ascii="宋体" w:hAnsi="宋体" w:eastAsia="宋体" w:cs="宋体"/>
          <w:spacing w:val="-20"/>
          <w:sz w:val="20"/>
          <w:szCs w:val="20"/>
        </w:rPr>
        <w:t xml:space="preserve"> </w:t>
      </w:r>
      <w:r>
        <w:rPr>
          <w:rFonts w:ascii="宋体" w:hAnsi="宋体" w:eastAsia="宋体" w:cs="宋体"/>
          <w:spacing w:val="7"/>
          <w:sz w:val="20"/>
          <w:szCs w:val="20"/>
        </w:rPr>
        <w:t>1.50。</w:t>
      </w:r>
    </w:p>
    <w:p>
      <w:pPr>
        <w:spacing w:before="5" w:line="368" w:lineRule="auto"/>
        <w:ind w:left="9" w:firstLine="420"/>
        <w:rPr>
          <w:rFonts w:ascii="宋体" w:hAnsi="宋体" w:eastAsia="宋体" w:cs="宋体"/>
          <w:sz w:val="20"/>
          <w:szCs w:val="20"/>
        </w:rPr>
      </w:pPr>
      <w:r>
        <w:rPr>
          <w:rFonts w:ascii="宋体" w:hAnsi="宋体" w:eastAsia="宋体" w:cs="宋体"/>
          <w:spacing w:val="5"/>
          <w:sz w:val="20"/>
          <w:szCs w:val="20"/>
        </w:rPr>
        <w:t>桩间挖湿土，因定额是按挖干土编制的，如果人工挖、运湿土时，相应子目人工乘以系数</w:t>
      </w:r>
      <w:r>
        <w:rPr>
          <w:rFonts w:ascii="宋体" w:hAnsi="宋体" w:eastAsia="宋体" w:cs="宋体"/>
          <w:spacing w:val="-10"/>
          <w:sz w:val="20"/>
          <w:szCs w:val="20"/>
        </w:rPr>
        <w:t xml:space="preserve"> </w:t>
      </w:r>
      <w:r>
        <w:rPr>
          <w:rFonts w:ascii="宋体" w:hAnsi="宋体" w:eastAsia="宋体" w:cs="宋体"/>
          <w:spacing w:val="5"/>
          <w:sz w:val="20"/>
          <w:szCs w:val="20"/>
        </w:rPr>
        <w:t>1.18，</w:t>
      </w:r>
      <w:r>
        <w:rPr>
          <w:rFonts w:ascii="宋体" w:hAnsi="宋体" w:eastAsia="宋体" w:cs="宋体"/>
          <w:spacing w:val="7"/>
          <w:sz w:val="20"/>
          <w:szCs w:val="20"/>
        </w:rPr>
        <w:t>桩间挖土时，相应子目人工、机械乘以系数</w:t>
      </w:r>
      <w:r>
        <w:rPr>
          <w:rFonts w:ascii="宋体" w:hAnsi="宋体" w:eastAsia="宋体" w:cs="宋体"/>
          <w:spacing w:val="-22"/>
          <w:sz w:val="20"/>
          <w:szCs w:val="20"/>
        </w:rPr>
        <w:t xml:space="preserve"> </w:t>
      </w:r>
      <w:r>
        <w:rPr>
          <w:rFonts w:ascii="宋体" w:hAnsi="宋体" w:eastAsia="宋体" w:cs="宋体"/>
          <w:spacing w:val="7"/>
          <w:sz w:val="20"/>
          <w:szCs w:val="20"/>
        </w:rPr>
        <w:t>1.5，桩间挖湿土计价应进</w:t>
      </w:r>
      <w:r>
        <w:rPr>
          <w:rFonts w:ascii="宋体" w:hAnsi="宋体" w:eastAsia="宋体" w:cs="宋体"/>
          <w:spacing w:val="6"/>
          <w:sz w:val="20"/>
          <w:szCs w:val="20"/>
        </w:rPr>
        <w:t>行连乘。</w:t>
      </w:r>
    </w:p>
    <w:p>
      <w:pPr>
        <w:spacing w:before="1" w:line="278" w:lineRule="exact"/>
        <w:ind w:left="426"/>
        <w:rPr>
          <w:rFonts w:ascii="宋体" w:hAnsi="宋体" w:eastAsia="宋体" w:cs="宋体"/>
          <w:sz w:val="20"/>
          <w:szCs w:val="20"/>
        </w:rPr>
      </w:pPr>
      <w:r>
        <w:rPr>
          <w:rFonts w:ascii="宋体" w:hAnsi="宋体" w:eastAsia="宋体" w:cs="宋体"/>
          <w:b/>
          <w:bCs/>
          <w:spacing w:val="4"/>
          <w:position w:val="1"/>
          <w:sz w:val="20"/>
          <w:szCs w:val="20"/>
        </w:rPr>
        <w:t>41.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关于地坪夯填土</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1-4-10、1-4-12</w:t>
      </w:r>
      <w:r>
        <w:rPr>
          <w:rFonts w:ascii="宋体" w:hAnsi="宋体" w:eastAsia="宋体" w:cs="宋体"/>
          <w:spacing w:val="-42"/>
          <w:position w:val="1"/>
          <w:sz w:val="20"/>
          <w:szCs w:val="20"/>
        </w:rPr>
        <w:t xml:space="preserve"> </w:t>
      </w:r>
      <w:r>
        <w:rPr>
          <w:rFonts w:ascii="宋体" w:hAnsi="宋体" w:eastAsia="宋体" w:cs="宋体"/>
          <w:b/>
          <w:bCs/>
          <w:spacing w:val="4"/>
          <w:position w:val="1"/>
          <w:sz w:val="20"/>
          <w:szCs w:val="20"/>
        </w:rPr>
        <w:t>子目的具体适用范围</w:t>
      </w:r>
    </w:p>
    <w:p>
      <w:pPr>
        <w:spacing w:before="123" w:line="277" w:lineRule="exact"/>
        <w:ind w:left="429"/>
        <w:rPr>
          <w:rFonts w:ascii="宋体" w:hAnsi="宋体" w:eastAsia="宋体" w:cs="宋体"/>
          <w:sz w:val="20"/>
          <w:szCs w:val="20"/>
        </w:rPr>
      </w:pPr>
      <w:r>
        <w:rPr>
          <w:rFonts w:ascii="宋体" w:hAnsi="宋体" w:eastAsia="宋体" w:cs="宋体"/>
          <w:spacing w:val="8"/>
          <w:position w:val="1"/>
          <w:sz w:val="20"/>
          <w:szCs w:val="20"/>
        </w:rPr>
        <w:t>地坪夯填土适用于建筑物设计地面做法中的夯填，执行地坪夯填土</w:t>
      </w:r>
      <w:r>
        <w:rPr>
          <w:rFonts w:ascii="宋体" w:hAnsi="宋体" w:eastAsia="宋体" w:cs="宋体"/>
          <w:spacing w:val="-23"/>
          <w:position w:val="1"/>
          <w:sz w:val="20"/>
          <w:szCs w:val="20"/>
        </w:rPr>
        <w:t xml:space="preserve"> </w:t>
      </w:r>
      <w:r>
        <w:rPr>
          <w:rFonts w:ascii="宋体" w:hAnsi="宋体" w:eastAsia="宋体" w:cs="宋体"/>
          <w:spacing w:val="8"/>
          <w:position w:val="1"/>
          <w:sz w:val="20"/>
          <w:szCs w:val="20"/>
        </w:rPr>
        <w:t>1-4-10、1</w:t>
      </w:r>
      <w:r>
        <w:rPr>
          <w:rFonts w:ascii="宋体" w:hAnsi="宋体" w:eastAsia="宋体" w:cs="宋体"/>
          <w:spacing w:val="7"/>
          <w:position w:val="1"/>
          <w:sz w:val="20"/>
          <w:szCs w:val="20"/>
        </w:rPr>
        <w:t>-4-12。场区及地</w:t>
      </w:r>
    </w:p>
    <w:p>
      <w:pPr>
        <w:spacing w:line="277" w:lineRule="exact"/>
        <w:rPr>
          <w:rFonts w:ascii="宋体" w:hAnsi="宋体" w:eastAsia="宋体" w:cs="宋体"/>
          <w:sz w:val="20"/>
          <w:szCs w:val="20"/>
        </w:rPr>
        <w:sectPr>
          <w:footerReference r:id="rId141" w:type="default"/>
          <w:pgSz w:w="11906" w:h="16839"/>
          <w:pgMar w:top="400" w:right="1353" w:bottom="1212" w:left="1411"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2" w:right="67"/>
        <w:rPr>
          <w:rFonts w:ascii="宋体" w:hAnsi="宋体" w:eastAsia="宋体" w:cs="宋体"/>
          <w:sz w:val="20"/>
          <w:szCs w:val="20"/>
        </w:rPr>
      </w:pPr>
      <w:r>
        <w:rPr>
          <w:rFonts w:ascii="宋体" w:hAnsi="宋体" w:eastAsia="宋体" w:cs="宋体"/>
          <w:spacing w:val="11"/>
          <w:sz w:val="20"/>
          <w:szCs w:val="20"/>
        </w:rPr>
        <w:t>下室顶板上，建筑物室外配件的回填，按回填部位构件形式分别执行地坪、</w:t>
      </w:r>
      <w:r>
        <w:rPr>
          <w:rFonts w:ascii="宋体" w:hAnsi="宋体" w:eastAsia="宋体" w:cs="宋体"/>
          <w:spacing w:val="10"/>
          <w:sz w:val="20"/>
          <w:szCs w:val="20"/>
        </w:rPr>
        <w:t>槽坑填土相应子目，人</w:t>
      </w:r>
      <w:r>
        <w:rPr>
          <w:rFonts w:ascii="宋体" w:hAnsi="宋体" w:eastAsia="宋体" w:cs="宋体"/>
          <w:spacing w:val="2"/>
          <w:sz w:val="20"/>
          <w:szCs w:val="20"/>
        </w:rPr>
        <w:t>工、机械乘以系数</w:t>
      </w:r>
      <w:r>
        <w:rPr>
          <w:rFonts w:ascii="宋体" w:hAnsi="宋体" w:eastAsia="宋体" w:cs="宋体"/>
          <w:spacing w:val="-40"/>
          <w:sz w:val="20"/>
          <w:szCs w:val="20"/>
        </w:rPr>
        <w:t xml:space="preserve"> </w:t>
      </w:r>
      <w:r>
        <w:rPr>
          <w:rFonts w:ascii="宋体" w:hAnsi="宋体" w:eastAsia="宋体" w:cs="宋体"/>
          <w:spacing w:val="2"/>
          <w:sz w:val="20"/>
          <w:szCs w:val="20"/>
        </w:rPr>
        <w:t>0.9。</w:t>
      </w:r>
    </w:p>
    <w:p>
      <w:pPr>
        <w:spacing w:line="277" w:lineRule="exact"/>
        <w:ind w:left="420"/>
        <w:rPr>
          <w:rFonts w:ascii="宋体" w:hAnsi="宋体" w:eastAsia="宋体" w:cs="宋体"/>
          <w:sz w:val="20"/>
          <w:szCs w:val="20"/>
        </w:rPr>
      </w:pPr>
      <w:r>
        <w:rPr>
          <w:rFonts w:ascii="宋体" w:hAnsi="宋体" w:eastAsia="宋体" w:cs="宋体"/>
          <w:b/>
          <w:bCs/>
          <w:spacing w:val="5"/>
          <w:position w:val="1"/>
          <w:sz w:val="20"/>
          <w:szCs w:val="20"/>
        </w:rPr>
        <w:t>42.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关于土石方工程中“石渣”工程量的计算规则</w:t>
      </w:r>
    </w:p>
    <w:p>
      <w:pPr>
        <w:spacing w:before="118" w:line="368" w:lineRule="auto"/>
        <w:ind w:left="1" w:right="66" w:firstLine="421"/>
        <w:jc w:val="both"/>
        <w:rPr>
          <w:rFonts w:ascii="宋体" w:hAnsi="宋体" w:eastAsia="宋体" w:cs="宋体"/>
          <w:sz w:val="20"/>
          <w:szCs w:val="20"/>
        </w:rPr>
      </w:pPr>
      <w:r>
        <w:rPr>
          <w:rFonts w:ascii="宋体" w:hAnsi="宋体" w:eastAsia="宋体" w:cs="宋体"/>
          <w:spacing w:val="9"/>
          <w:sz w:val="20"/>
          <w:szCs w:val="20"/>
        </w:rPr>
        <w:t>2016</w:t>
      </w:r>
      <w:r>
        <w:rPr>
          <w:rFonts w:ascii="宋体" w:hAnsi="宋体" w:eastAsia="宋体" w:cs="宋体"/>
          <w:spacing w:val="-34"/>
          <w:sz w:val="20"/>
          <w:szCs w:val="20"/>
        </w:rPr>
        <w:t xml:space="preserve"> </w:t>
      </w:r>
      <w:r>
        <w:rPr>
          <w:rFonts w:ascii="宋体" w:hAnsi="宋体" w:eastAsia="宋体" w:cs="宋体"/>
          <w:spacing w:val="9"/>
          <w:sz w:val="20"/>
          <w:szCs w:val="20"/>
        </w:rPr>
        <w:t>消耗量定额计算规则中规定，土石方开挖、运输，均按开挖前的天</w:t>
      </w:r>
      <w:r>
        <w:rPr>
          <w:rFonts w:ascii="宋体" w:hAnsi="宋体" w:eastAsia="宋体" w:cs="宋体"/>
          <w:spacing w:val="8"/>
          <w:sz w:val="20"/>
          <w:szCs w:val="20"/>
        </w:rPr>
        <w:t>然密实体积计算，因此</w:t>
      </w:r>
      <w:r>
        <w:rPr>
          <w:rFonts w:ascii="宋体" w:hAnsi="宋体" w:eastAsia="宋体" w:cs="宋体"/>
          <w:spacing w:val="11"/>
          <w:sz w:val="20"/>
          <w:szCs w:val="20"/>
        </w:rPr>
        <w:t>石方开挖过程中产生的石渣，按开凿破碎前的石方天然密实体积计算。对场区</w:t>
      </w:r>
      <w:r>
        <w:rPr>
          <w:rFonts w:ascii="宋体" w:hAnsi="宋体" w:eastAsia="宋体" w:cs="宋体"/>
          <w:spacing w:val="10"/>
          <w:sz w:val="20"/>
          <w:szCs w:val="20"/>
        </w:rPr>
        <w:t>既有堆积或夯填石渣</w:t>
      </w:r>
      <w:r>
        <w:rPr>
          <w:rFonts w:ascii="宋体" w:hAnsi="宋体" w:eastAsia="宋体" w:cs="宋体"/>
          <w:spacing w:val="11"/>
          <w:sz w:val="20"/>
          <w:szCs w:val="20"/>
        </w:rPr>
        <w:t>进行处理时，可使用本小节石渣相关子目，并按现场堆积或夯填情况测算换算</w:t>
      </w:r>
      <w:r>
        <w:rPr>
          <w:rFonts w:ascii="宋体" w:hAnsi="宋体" w:eastAsia="宋体" w:cs="宋体"/>
          <w:spacing w:val="10"/>
          <w:sz w:val="20"/>
          <w:szCs w:val="20"/>
        </w:rPr>
        <w:t>系数，折算成石方天</w:t>
      </w:r>
      <w:r>
        <w:rPr>
          <w:rFonts w:ascii="宋体" w:hAnsi="宋体" w:eastAsia="宋体" w:cs="宋体"/>
          <w:spacing w:val="8"/>
          <w:sz w:val="20"/>
          <w:szCs w:val="20"/>
        </w:rPr>
        <w:t>然密实体积计算。</w:t>
      </w:r>
    </w:p>
    <w:p>
      <w:pPr>
        <w:spacing w:before="7" w:line="278" w:lineRule="exact"/>
        <w:ind w:left="420"/>
        <w:rPr>
          <w:rFonts w:ascii="宋体" w:hAnsi="宋体" w:eastAsia="宋体" w:cs="宋体"/>
          <w:sz w:val="20"/>
          <w:szCs w:val="20"/>
        </w:rPr>
      </w:pPr>
      <w:r>
        <w:rPr>
          <w:rFonts w:ascii="宋体" w:hAnsi="宋体" w:eastAsia="宋体" w:cs="宋体"/>
          <w:b/>
          <w:bCs/>
          <w:spacing w:val="4"/>
          <w:position w:val="1"/>
          <w:sz w:val="20"/>
          <w:szCs w:val="20"/>
        </w:rPr>
        <w:t>43.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关于填料加固与垫层如何区分的问题</w:t>
      </w:r>
    </w:p>
    <w:p>
      <w:pPr>
        <w:spacing w:before="122" w:line="367" w:lineRule="auto"/>
        <w:ind w:left="7" w:firstLine="416"/>
        <w:rPr>
          <w:rFonts w:ascii="宋体" w:hAnsi="宋体" w:eastAsia="宋体" w:cs="宋体"/>
          <w:sz w:val="20"/>
          <w:szCs w:val="20"/>
        </w:rPr>
      </w:pPr>
      <w:r>
        <w:rPr>
          <w:rFonts w:ascii="宋体" w:hAnsi="宋体" w:eastAsia="宋体" w:cs="宋体"/>
          <w:spacing w:val="10"/>
          <w:sz w:val="20"/>
          <w:szCs w:val="20"/>
        </w:rPr>
        <w:t>垫层是指平面尺寸比基础略大（一般≤200</w:t>
      </w:r>
      <w:r>
        <w:rPr>
          <w:rFonts w:ascii="宋体" w:hAnsi="宋体" w:eastAsia="宋体" w:cs="宋体"/>
          <w:sz w:val="20"/>
          <w:szCs w:val="20"/>
        </w:rPr>
        <w:t>mm</w:t>
      </w:r>
      <w:r>
        <w:rPr>
          <w:rFonts w:ascii="宋体" w:hAnsi="宋体" w:eastAsia="宋体" w:cs="宋体"/>
          <w:spacing w:val="-43"/>
          <w:sz w:val="20"/>
          <w:szCs w:val="20"/>
        </w:rPr>
        <w:t>），</w:t>
      </w:r>
      <w:r>
        <w:rPr>
          <w:rFonts w:ascii="宋体" w:hAnsi="宋体" w:eastAsia="宋体" w:cs="宋体"/>
          <w:spacing w:val="10"/>
          <w:sz w:val="20"/>
          <w:szCs w:val="20"/>
        </w:rPr>
        <w:t>总是伴随着基</w:t>
      </w:r>
      <w:r>
        <w:rPr>
          <w:rFonts w:ascii="宋体" w:hAnsi="宋体" w:eastAsia="宋体" w:cs="宋体"/>
          <w:spacing w:val="9"/>
          <w:sz w:val="20"/>
          <w:szCs w:val="20"/>
        </w:rPr>
        <w:t>础发生，总体厚度一般≤500</w:t>
      </w:r>
      <w:r>
        <w:rPr>
          <w:rFonts w:ascii="宋体" w:hAnsi="宋体" w:eastAsia="宋体" w:cs="宋体"/>
          <w:sz w:val="20"/>
          <w:szCs w:val="20"/>
        </w:rPr>
        <w:t>mm</w:t>
      </w:r>
      <w:r>
        <w:rPr>
          <w:rFonts w:ascii="宋体" w:hAnsi="宋体" w:eastAsia="宋体" w:cs="宋体"/>
          <w:spacing w:val="9"/>
          <w:sz w:val="20"/>
          <w:szCs w:val="20"/>
        </w:rPr>
        <w:t>，</w:t>
      </w:r>
      <w:r>
        <w:rPr>
          <w:rFonts w:ascii="宋体" w:hAnsi="宋体" w:eastAsia="宋体" w:cs="宋体"/>
          <w:spacing w:val="8"/>
          <w:sz w:val="20"/>
          <w:szCs w:val="20"/>
        </w:rPr>
        <w:t>与槽（坑）边有一定的间距（不呈满填状态）。</w:t>
      </w:r>
    </w:p>
    <w:p>
      <w:pPr>
        <w:spacing w:before="7" w:line="368" w:lineRule="auto"/>
        <w:ind w:left="1" w:right="67" w:firstLine="420"/>
        <w:rPr>
          <w:rFonts w:ascii="宋体" w:hAnsi="宋体" w:eastAsia="宋体" w:cs="宋体"/>
          <w:sz w:val="20"/>
          <w:szCs w:val="20"/>
        </w:rPr>
      </w:pPr>
      <w:r>
        <w:rPr>
          <w:rFonts w:ascii="宋体" w:hAnsi="宋体" w:eastAsia="宋体" w:cs="宋体"/>
          <w:spacing w:val="11"/>
          <w:sz w:val="20"/>
          <w:szCs w:val="20"/>
        </w:rPr>
        <w:t>填料加固是指用于软弱地基整体或局部大开挖后的换填，其平面尺寸由建筑物</w:t>
      </w:r>
      <w:r>
        <w:rPr>
          <w:rFonts w:ascii="宋体" w:hAnsi="宋体" w:eastAsia="宋体" w:cs="宋体"/>
          <w:spacing w:val="10"/>
          <w:sz w:val="20"/>
          <w:szCs w:val="20"/>
        </w:rPr>
        <w:t>地基的整体或局</w:t>
      </w:r>
      <w:r>
        <w:rPr>
          <w:rFonts w:ascii="宋体" w:hAnsi="宋体" w:eastAsia="宋体" w:cs="宋体"/>
          <w:spacing w:val="12"/>
          <w:sz w:val="20"/>
          <w:szCs w:val="20"/>
        </w:rPr>
        <w:t>部尺寸、以及地基的承载能力决定，总体厚度较大（一般&gt;500</w:t>
      </w:r>
      <w:r>
        <w:rPr>
          <w:rFonts w:ascii="宋体" w:hAnsi="宋体" w:eastAsia="宋体" w:cs="宋体"/>
          <w:sz w:val="20"/>
          <w:szCs w:val="20"/>
        </w:rPr>
        <w:t>mm</w:t>
      </w:r>
      <w:r>
        <w:rPr>
          <w:rFonts w:ascii="宋体" w:hAnsi="宋体" w:eastAsia="宋体" w:cs="宋体"/>
          <w:spacing w:val="-10"/>
          <w:sz w:val="20"/>
          <w:szCs w:val="20"/>
        </w:rPr>
        <w:t>）</w:t>
      </w:r>
      <w:r>
        <w:rPr>
          <w:rFonts w:ascii="宋体" w:hAnsi="宋体" w:eastAsia="宋体" w:cs="宋体"/>
          <w:spacing w:val="-52"/>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一般呈满填状态。</w:t>
      </w:r>
    </w:p>
    <w:p>
      <w:pPr>
        <w:spacing w:line="276" w:lineRule="exact"/>
        <w:ind w:left="420"/>
        <w:rPr>
          <w:rFonts w:ascii="宋体" w:hAnsi="宋体" w:eastAsia="宋体" w:cs="宋体"/>
          <w:sz w:val="20"/>
          <w:szCs w:val="20"/>
        </w:rPr>
      </w:pPr>
      <w:r>
        <w:rPr>
          <w:rFonts w:ascii="宋体" w:hAnsi="宋体" w:eastAsia="宋体" w:cs="宋体"/>
          <w:b/>
          <w:bCs/>
          <w:spacing w:val="6"/>
          <w:position w:val="1"/>
          <w:sz w:val="20"/>
          <w:szCs w:val="20"/>
        </w:rPr>
        <w:t>44.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关于叠合箱、蜂巢芯混凝土楼板工程量的</w:t>
      </w:r>
      <w:r>
        <w:rPr>
          <w:rFonts w:ascii="宋体" w:hAnsi="宋体" w:eastAsia="宋体" w:cs="宋体"/>
          <w:b/>
          <w:bCs/>
          <w:spacing w:val="5"/>
          <w:position w:val="1"/>
          <w:sz w:val="20"/>
          <w:szCs w:val="20"/>
        </w:rPr>
        <w:t>计算和套价</w:t>
      </w:r>
    </w:p>
    <w:p>
      <w:pPr>
        <w:spacing w:before="126" w:line="369" w:lineRule="auto"/>
        <w:ind w:right="67" w:firstLine="419"/>
        <w:jc w:val="both"/>
        <w:rPr>
          <w:rFonts w:ascii="宋体" w:hAnsi="宋体" w:eastAsia="宋体" w:cs="宋体"/>
          <w:sz w:val="20"/>
          <w:szCs w:val="20"/>
        </w:rPr>
      </w:pPr>
      <w:r>
        <w:rPr>
          <w:rFonts w:ascii="宋体" w:hAnsi="宋体" w:eastAsia="宋体" w:cs="宋体"/>
          <w:spacing w:val="11"/>
          <w:sz w:val="20"/>
          <w:szCs w:val="20"/>
        </w:rPr>
        <w:t>计算叠合箱、蜂巢芯混凝土楼板时，应扣除构件内叠合箱、蜂巢芯所占体积，按</w:t>
      </w:r>
      <w:r>
        <w:rPr>
          <w:rFonts w:ascii="宋体" w:hAnsi="宋体" w:eastAsia="宋体" w:cs="宋体"/>
          <w:spacing w:val="10"/>
          <w:sz w:val="20"/>
          <w:szCs w:val="20"/>
        </w:rPr>
        <w:t>有梁板相应规</w:t>
      </w:r>
      <w:r>
        <w:rPr>
          <w:rFonts w:ascii="宋体" w:hAnsi="宋体" w:eastAsia="宋体" w:cs="宋体"/>
          <w:spacing w:val="11"/>
          <w:sz w:val="20"/>
          <w:szCs w:val="20"/>
        </w:rPr>
        <w:t>则计算，即叠合箱网梁楼盖及蜂巢芯空心楼盖里设计的框架梁、主次肋梁均不</w:t>
      </w:r>
      <w:r>
        <w:rPr>
          <w:rFonts w:ascii="宋体" w:hAnsi="宋体" w:eastAsia="宋体" w:cs="宋体"/>
          <w:spacing w:val="10"/>
          <w:sz w:val="20"/>
          <w:szCs w:val="20"/>
        </w:rPr>
        <w:t>单独计算工程量，而</w:t>
      </w:r>
      <w:r>
        <w:rPr>
          <w:rFonts w:ascii="宋体" w:hAnsi="宋体" w:eastAsia="宋体" w:cs="宋体"/>
          <w:spacing w:val="9"/>
          <w:sz w:val="20"/>
          <w:szCs w:val="20"/>
        </w:rPr>
        <w:t>是按梁板体积合并计算，套用大型空心板子目。</w:t>
      </w:r>
    </w:p>
    <w:p>
      <w:pPr>
        <w:spacing w:line="276" w:lineRule="exact"/>
        <w:ind w:left="420"/>
        <w:rPr>
          <w:rFonts w:ascii="宋体" w:hAnsi="宋体" w:eastAsia="宋体" w:cs="宋体"/>
          <w:sz w:val="20"/>
          <w:szCs w:val="20"/>
        </w:rPr>
      </w:pPr>
      <w:r>
        <w:rPr>
          <w:rFonts w:ascii="宋体" w:hAnsi="宋体" w:eastAsia="宋体" w:cs="宋体"/>
          <w:b/>
          <w:bCs/>
          <w:spacing w:val="4"/>
          <w:position w:val="1"/>
          <w:sz w:val="20"/>
          <w:szCs w:val="20"/>
        </w:rPr>
        <w:t>45.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关于砌体墙根部现浇混凝土带的计价</w:t>
      </w:r>
    </w:p>
    <w:p>
      <w:pPr>
        <w:spacing w:before="124" w:line="278" w:lineRule="exact"/>
        <w:ind w:left="420"/>
        <w:rPr>
          <w:rFonts w:ascii="宋体" w:hAnsi="宋体" w:eastAsia="宋体" w:cs="宋体"/>
          <w:sz w:val="20"/>
          <w:szCs w:val="20"/>
        </w:rPr>
      </w:pPr>
      <w:r>
        <w:rPr>
          <w:rFonts w:ascii="宋体" w:hAnsi="宋体" w:eastAsia="宋体" w:cs="宋体"/>
          <w:spacing w:val="9"/>
          <w:position w:val="1"/>
          <w:sz w:val="20"/>
          <w:szCs w:val="20"/>
        </w:rPr>
        <w:t>砌体墙根部现浇混凝土带（例如：卫生间混凝土防水台）执行圈梁相应项目。</w:t>
      </w:r>
    </w:p>
    <w:p>
      <w:pPr>
        <w:spacing w:before="121" w:line="276" w:lineRule="exact"/>
        <w:ind w:left="420"/>
        <w:rPr>
          <w:rFonts w:ascii="宋体" w:hAnsi="宋体" w:eastAsia="宋体" w:cs="宋体"/>
          <w:sz w:val="20"/>
          <w:szCs w:val="20"/>
        </w:rPr>
      </w:pPr>
      <w:r>
        <w:rPr>
          <w:rFonts w:ascii="宋体" w:hAnsi="宋体" w:eastAsia="宋体" w:cs="宋体"/>
          <w:b/>
          <w:bCs/>
          <w:spacing w:val="5"/>
          <w:position w:val="1"/>
          <w:sz w:val="20"/>
          <w:szCs w:val="20"/>
        </w:rPr>
        <w:t>46.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砌体顶缝处理采用聚氨酯发泡剂填塞的计价</w:t>
      </w:r>
    </w:p>
    <w:p>
      <w:pPr>
        <w:spacing w:before="127" w:line="223" w:lineRule="auto"/>
        <w:ind w:left="420"/>
        <w:rPr>
          <w:rFonts w:ascii="宋体" w:hAnsi="宋体" w:eastAsia="宋体" w:cs="宋体"/>
          <w:sz w:val="20"/>
          <w:szCs w:val="20"/>
        </w:rPr>
      </w:pPr>
      <w:r>
        <w:rPr>
          <w:rFonts w:ascii="宋体" w:hAnsi="宋体" w:eastAsia="宋体" w:cs="宋体"/>
          <w:spacing w:val="9"/>
          <w:sz w:val="20"/>
          <w:szCs w:val="20"/>
        </w:rPr>
        <w:t>砌体顶缝处理如采用聚氨酯发泡剂填塞，可按设计或批准的施工方案单独计算。</w:t>
      </w:r>
    </w:p>
    <w:p>
      <w:pPr>
        <w:spacing w:before="157" w:line="276" w:lineRule="exact"/>
        <w:ind w:left="420"/>
        <w:rPr>
          <w:rFonts w:ascii="宋体" w:hAnsi="宋体" w:eastAsia="宋体" w:cs="宋体"/>
          <w:sz w:val="20"/>
          <w:szCs w:val="20"/>
        </w:rPr>
      </w:pPr>
      <w:r>
        <w:rPr>
          <w:rFonts w:ascii="宋体" w:hAnsi="宋体" w:eastAsia="宋体" w:cs="宋体"/>
          <w:b/>
          <w:bCs/>
          <w:spacing w:val="6"/>
          <w:position w:val="1"/>
          <w:sz w:val="20"/>
          <w:szCs w:val="20"/>
        </w:rPr>
        <w:t>47.</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关于进行温度控制的大体积混凝土温度控制</w:t>
      </w:r>
      <w:r>
        <w:rPr>
          <w:rFonts w:ascii="宋体" w:hAnsi="宋体" w:eastAsia="宋体" w:cs="宋体"/>
          <w:b/>
          <w:bCs/>
          <w:spacing w:val="5"/>
          <w:position w:val="1"/>
          <w:sz w:val="20"/>
          <w:szCs w:val="20"/>
        </w:rPr>
        <w:t>费用的计价</w:t>
      </w:r>
    </w:p>
    <w:p>
      <w:pPr>
        <w:spacing w:before="124" w:line="224" w:lineRule="auto"/>
        <w:ind w:left="420"/>
        <w:rPr>
          <w:rFonts w:ascii="宋体" w:hAnsi="宋体" w:eastAsia="宋体" w:cs="宋体"/>
          <w:sz w:val="20"/>
          <w:szCs w:val="20"/>
        </w:rPr>
      </w:pPr>
      <w:r>
        <w:rPr>
          <w:rFonts w:ascii="宋体" w:hAnsi="宋体" w:eastAsia="宋体" w:cs="宋体"/>
          <w:spacing w:val="9"/>
          <w:sz w:val="20"/>
          <w:szCs w:val="20"/>
        </w:rPr>
        <w:t>按规定需要进行温度控制的大体积混凝土，温度控制费用另计。</w:t>
      </w:r>
    </w:p>
    <w:p>
      <w:pPr>
        <w:spacing w:before="156" w:line="276" w:lineRule="exact"/>
        <w:ind w:left="420"/>
        <w:rPr>
          <w:rFonts w:ascii="宋体" w:hAnsi="宋体" w:eastAsia="宋体" w:cs="宋体"/>
          <w:sz w:val="20"/>
          <w:szCs w:val="20"/>
        </w:rPr>
      </w:pPr>
      <w:r>
        <w:rPr>
          <w:rFonts w:ascii="宋体" w:hAnsi="宋体" w:eastAsia="宋体" w:cs="宋体"/>
          <w:b/>
          <w:bCs/>
          <w:spacing w:val="3"/>
          <w:position w:val="1"/>
          <w:sz w:val="20"/>
          <w:szCs w:val="20"/>
        </w:rPr>
        <w:t>48.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关于轻型框剪墙的计价</w:t>
      </w:r>
    </w:p>
    <w:p>
      <w:pPr>
        <w:spacing w:before="129" w:line="361" w:lineRule="auto"/>
        <w:ind w:firstLine="422"/>
        <w:jc w:val="both"/>
        <w:rPr>
          <w:rFonts w:ascii="宋体" w:hAnsi="宋体" w:eastAsia="宋体" w:cs="宋体"/>
          <w:sz w:val="20"/>
          <w:szCs w:val="20"/>
        </w:rPr>
      </w:pPr>
      <w:r>
        <w:rPr>
          <w:rFonts w:ascii="宋体" w:hAnsi="宋体" w:eastAsia="宋体" w:cs="宋体"/>
          <w:spacing w:val="11"/>
          <w:sz w:val="20"/>
          <w:szCs w:val="20"/>
        </w:rPr>
        <w:t>轻型框剪墙，是轻型框架剪力墙的简称，结构设计中也称为短肢剪力墙结构</w:t>
      </w:r>
      <w:r>
        <w:rPr>
          <w:rFonts w:ascii="宋体" w:hAnsi="宋体" w:eastAsia="宋体" w:cs="宋体"/>
          <w:spacing w:val="10"/>
          <w:sz w:val="20"/>
          <w:szCs w:val="20"/>
        </w:rPr>
        <w:t>。轻型框剪墙，由</w:t>
      </w:r>
      <w:r>
        <w:rPr>
          <w:rFonts w:ascii="宋体" w:hAnsi="宋体" w:eastAsia="宋体" w:cs="宋体"/>
          <w:spacing w:val="11"/>
          <w:sz w:val="20"/>
          <w:szCs w:val="20"/>
        </w:rPr>
        <w:t>墙柱、墙身、墙梁三种构件构成。墙柱，即短肢剪力墙，也称边缘构件（又分为</w:t>
      </w:r>
      <w:r>
        <w:rPr>
          <w:rFonts w:ascii="宋体" w:hAnsi="宋体" w:eastAsia="宋体" w:cs="宋体"/>
          <w:spacing w:val="10"/>
          <w:sz w:val="20"/>
          <w:szCs w:val="20"/>
        </w:rPr>
        <w:t>约束边缘构件和构</w:t>
      </w:r>
      <w:r>
        <w:rPr>
          <w:rFonts w:ascii="宋体" w:hAnsi="宋体" w:eastAsia="宋体" w:cs="宋体"/>
          <w:spacing w:val="8"/>
          <w:sz w:val="20"/>
          <w:szCs w:val="20"/>
        </w:rPr>
        <w:t>造边缘构件</w:t>
      </w:r>
      <w:r>
        <w:rPr>
          <w:rFonts w:ascii="宋体" w:hAnsi="宋体" w:eastAsia="宋体" w:cs="宋体"/>
          <w:spacing w:val="-7"/>
          <w:sz w:val="20"/>
          <w:szCs w:val="20"/>
        </w:rPr>
        <w:t>）</w:t>
      </w:r>
      <w:r>
        <w:rPr>
          <w:rFonts w:ascii="宋体" w:hAnsi="宋体" w:eastAsia="宋体" w:cs="宋体"/>
          <w:spacing w:val="-53"/>
          <w:sz w:val="20"/>
          <w:szCs w:val="20"/>
        </w:rPr>
        <w:t xml:space="preserve"> </w:t>
      </w:r>
      <w:r>
        <w:rPr>
          <w:rFonts w:ascii="宋体" w:hAnsi="宋体" w:eastAsia="宋体" w:cs="宋体"/>
          <w:spacing w:val="-7"/>
          <w:sz w:val="20"/>
          <w:szCs w:val="20"/>
        </w:rPr>
        <w:t>，</w:t>
      </w:r>
      <w:r>
        <w:rPr>
          <w:rFonts w:ascii="宋体" w:hAnsi="宋体" w:eastAsia="宋体" w:cs="宋体"/>
          <w:spacing w:val="8"/>
          <w:sz w:val="20"/>
          <w:szCs w:val="20"/>
        </w:rPr>
        <w:t>呈＋</w:t>
      </w:r>
      <w:r>
        <w:rPr>
          <w:rFonts w:ascii="宋体" w:hAnsi="宋体" w:eastAsia="宋体" w:cs="宋体"/>
          <w:spacing w:val="-44"/>
          <w:sz w:val="20"/>
          <w:szCs w:val="20"/>
        </w:rPr>
        <w:t xml:space="preserve"> </w:t>
      </w:r>
      <w:r>
        <w:rPr>
          <w:rFonts w:ascii="宋体" w:hAnsi="宋体" w:eastAsia="宋体" w:cs="宋体"/>
          <w:spacing w:val="8"/>
          <w:sz w:val="20"/>
          <w:szCs w:val="20"/>
        </w:rPr>
        <w:t>、T、Y、L、—字等形状，柱式配筋。墙身，为一般剪力墙。墙柱与墙身相连，</w:t>
      </w:r>
      <w:r>
        <w:rPr>
          <w:rFonts w:ascii="宋体" w:hAnsi="宋体" w:eastAsia="宋体" w:cs="宋体"/>
          <w:spacing w:val="10"/>
          <w:sz w:val="20"/>
          <w:szCs w:val="20"/>
        </w:rPr>
        <w:t>还可能形成工、［</w:t>
      </w:r>
      <w:r>
        <w:rPr>
          <w:rFonts w:ascii="宋体" w:hAnsi="宋体" w:eastAsia="宋体" w:cs="宋体"/>
          <w:spacing w:val="-23"/>
          <w:sz w:val="20"/>
          <w:szCs w:val="20"/>
        </w:rPr>
        <w:t xml:space="preserve"> </w:t>
      </w:r>
      <w:r>
        <w:rPr>
          <w:rFonts w:ascii="宋体" w:hAnsi="宋体" w:eastAsia="宋体" w:cs="宋体"/>
          <w:spacing w:val="10"/>
          <w:sz w:val="20"/>
          <w:szCs w:val="20"/>
        </w:rPr>
        <w:t>、Z</w:t>
      </w:r>
      <w:r>
        <w:rPr>
          <w:rFonts w:ascii="宋体" w:hAnsi="宋体" w:eastAsia="宋体" w:cs="宋体"/>
          <w:spacing w:val="-42"/>
          <w:sz w:val="20"/>
          <w:szCs w:val="20"/>
        </w:rPr>
        <w:t xml:space="preserve"> </w:t>
      </w:r>
      <w:r>
        <w:rPr>
          <w:rFonts w:ascii="宋体" w:hAnsi="宋体" w:eastAsia="宋体" w:cs="宋体"/>
          <w:spacing w:val="10"/>
          <w:sz w:val="20"/>
          <w:szCs w:val="20"/>
        </w:rPr>
        <w:t>字等形状。墙梁，处于填充墙大洞口或其它洞口上方，梁式配筋。通常情况</w:t>
      </w:r>
      <w:r>
        <w:rPr>
          <w:rFonts w:ascii="宋体" w:hAnsi="宋体" w:eastAsia="宋体" w:cs="宋体"/>
          <w:spacing w:val="9"/>
          <w:sz w:val="20"/>
          <w:szCs w:val="20"/>
        </w:rPr>
        <w:t>下，墙柱、墙身、墙梁厚度相同，构造上没有明显的区分界限。</w:t>
      </w:r>
    </w:p>
    <w:p>
      <w:pPr>
        <w:spacing w:before="44" w:line="368" w:lineRule="auto"/>
        <w:ind w:left="2" w:right="67" w:firstLine="434"/>
        <w:jc w:val="both"/>
        <w:rPr>
          <w:rFonts w:ascii="宋体" w:hAnsi="宋体" w:eastAsia="宋体" w:cs="宋体"/>
          <w:sz w:val="20"/>
          <w:szCs w:val="20"/>
        </w:rPr>
      </w:pPr>
      <w:r>
        <w:rPr>
          <w:rFonts w:ascii="宋体" w:hAnsi="宋体" w:eastAsia="宋体" w:cs="宋体"/>
          <w:spacing w:val="10"/>
          <w:sz w:val="20"/>
          <w:szCs w:val="20"/>
        </w:rPr>
        <w:t>当符合该定义时，其混凝土工程应合并墙梁、墙柱、墙身工程量套用轻型框剪墙混凝土子目，</w:t>
      </w:r>
      <w:r>
        <w:rPr>
          <w:rFonts w:ascii="宋体" w:hAnsi="宋体" w:eastAsia="宋体" w:cs="宋体"/>
          <w:spacing w:val="11"/>
          <w:sz w:val="20"/>
          <w:szCs w:val="20"/>
        </w:rPr>
        <w:t>轻型框剪墙上部的混凝土板套用平板子目。轻型框剪墙的脚手架不扣除洞口</w:t>
      </w:r>
      <w:r>
        <w:rPr>
          <w:rFonts w:ascii="宋体" w:hAnsi="宋体" w:eastAsia="宋体" w:cs="宋体"/>
          <w:spacing w:val="10"/>
          <w:sz w:val="20"/>
          <w:szCs w:val="20"/>
        </w:rPr>
        <w:t>所占面积，洞口上方梁</w:t>
      </w:r>
      <w:r>
        <w:rPr>
          <w:rFonts w:ascii="宋体" w:hAnsi="宋体" w:eastAsia="宋体" w:cs="宋体"/>
          <w:spacing w:val="8"/>
          <w:sz w:val="20"/>
          <w:szCs w:val="20"/>
        </w:rPr>
        <w:t>不另计算脚手架。</w:t>
      </w:r>
    </w:p>
    <w:p>
      <w:pPr>
        <w:spacing w:line="278" w:lineRule="exact"/>
        <w:ind w:left="420"/>
        <w:rPr>
          <w:rFonts w:ascii="宋体" w:hAnsi="宋体" w:eastAsia="宋体" w:cs="宋体"/>
          <w:sz w:val="20"/>
          <w:szCs w:val="20"/>
        </w:rPr>
      </w:pPr>
      <w:r>
        <w:rPr>
          <w:rFonts w:ascii="宋体" w:hAnsi="宋体" w:eastAsia="宋体" w:cs="宋体"/>
          <w:b/>
          <w:bCs/>
          <w:spacing w:val="4"/>
          <w:position w:val="1"/>
          <w:sz w:val="20"/>
          <w:szCs w:val="20"/>
        </w:rPr>
        <w:t>49.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关于桩头处防水工程量的计算</w:t>
      </w:r>
    </w:p>
    <w:p>
      <w:pPr>
        <w:spacing w:before="127" w:line="367" w:lineRule="auto"/>
        <w:ind w:right="67" w:firstLine="420"/>
        <w:rPr>
          <w:rFonts w:ascii="宋体" w:hAnsi="宋体" w:eastAsia="宋体" w:cs="宋体"/>
          <w:sz w:val="20"/>
          <w:szCs w:val="20"/>
        </w:rPr>
      </w:pPr>
      <w:r>
        <w:rPr>
          <w:rFonts w:ascii="宋体" w:hAnsi="宋体" w:eastAsia="宋体" w:cs="宋体"/>
          <w:spacing w:val="11"/>
          <w:sz w:val="20"/>
          <w:szCs w:val="20"/>
        </w:rPr>
        <w:t>基础底板的防水、防潮层按设计图示尺寸以面积计算，不扣除桩头所占面积。桩</w:t>
      </w:r>
      <w:r>
        <w:rPr>
          <w:rFonts w:ascii="宋体" w:hAnsi="宋体" w:eastAsia="宋体" w:cs="宋体"/>
          <w:spacing w:val="10"/>
          <w:sz w:val="20"/>
          <w:szCs w:val="20"/>
        </w:rPr>
        <w:t>头处外包防水</w:t>
      </w:r>
      <w:r>
        <w:rPr>
          <w:rFonts w:ascii="宋体" w:hAnsi="宋体" w:eastAsia="宋体" w:cs="宋体"/>
          <w:spacing w:val="12"/>
          <w:sz w:val="20"/>
          <w:szCs w:val="20"/>
        </w:rPr>
        <w:t>按桩头投影外扩</w:t>
      </w:r>
      <w:r>
        <w:rPr>
          <w:rFonts w:ascii="宋体" w:hAnsi="宋体" w:eastAsia="宋体" w:cs="宋体"/>
          <w:spacing w:val="-34"/>
          <w:sz w:val="20"/>
          <w:szCs w:val="20"/>
        </w:rPr>
        <w:t xml:space="preserve"> </w:t>
      </w:r>
      <w:r>
        <w:rPr>
          <w:rFonts w:ascii="宋体" w:hAnsi="宋体" w:eastAsia="宋体" w:cs="宋体"/>
          <w:spacing w:val="12"/>
          <w:sz w:val="20"/>
          <w:szCs w:val="20"/>
        </w:rPr>
        <w:t>300</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12"/>
          <w:sz w:val="20"/>
          <w:szCs w:val="20"/>
        </w:rPr>
        <w:t>以面积计算。</w:t>
      </w:r>
    </w:p>
    <w:p>
      <w:pPr>
        <w:spacing w:line="276" w:lineRule="exact"/>
        <w:ind w:left="423"/>
        <w:rPr>
          <w:rFonts w:ascii="宋体" w:hAnsi="宋体" w:eastAsia="宋体" w:cs="宋体"/>
          <w:sz w:val="20"/>
          <w:szCs w:val="20"/>
        </w:rPr>
      </w:pPr>
      <w:r>
        <w:rPr>
          <w:rFonts w:ascii="宋体" w:hAnsi="宋体" w:eastAsia="宋体" w:cs="宋体"/>
          <w:b/>
          <w:bCs/>
          <w:spacing w:val="5"/>
          <w:position w:val="1"/>
          <w:sz w:val="20"/>
          <w:szCs w:val="20"/>
        </w:rPr>
        <w:t>50.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关于剪力墙外侧螺栓孔部位防水处理的计价</w:t>
      </w:r>
    </w:p>
    <w:p>
      <w:pPr>
        <w:spacing w:line="276" w:lineRule="exact"/>
        <w:rPr>
          <w:rFonts w:ascii="宋体" w:hAnsi="宋体" w:eastAsia="宋体" w:cs="宋体"/>
          <w:sz w:val="20"/>
          <w:szCs w:val="20"/>
        </w:rPr>
        <w:sectPr>
          <w:footerReference r:id="rId142" w:type="default"/>
          <w:pgSz w:w="11906" w:h="16839"/>
          <w:pgMar w:top="400" w:right="1353"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6" w:lineRule="auto"/>
        <w:ind w:left="18" w:right="278" w:firstLine="421"/>
        <w:jc w:val="both"/>
        <w:rPr>
          <w:rFonts w:ascii="宋体" w:hAnsi="宋体" w:eastAsia="宋体" w:cs="宋体"/>
          <w:sz w:val="20"/>
          <w:szCs w:val="20"/>
        </w:rPr>
      </w:pPr>
      <w:r>
        <w:rPr>
          <w:rFonts w:ascii="宋体" w:hAnsi="宋体" w:eastAsia="宋体" w:cs="宋体"/>
          <w:spacing w:val="6"/>
          <w:sz w:val="20"/>
          <w:szCs w:val="20"/>
        </w:rPr>
        <w:t>剪力墙外侧螺栓孔部位防水处理，按照</w:t>
      </w:r>
      <w:r>
        <w:rPr>
          <w:rFonts w:ascii="宋体" w:hAnsi="宋体" w:eastAsia="宋体" w:cs="宋体"/>
          <w:spacing w:val="-30"/>
          <w:sz w:val="20"/>
          <w:szCs w:val="20"/>
        </w:rPr>
        <w:t xml:space="preserve"> </w:t>
      </w:r>
      <w:r>
        <w:rPr>
          <w:rFonts w:ascii="宋体" w:hAnsi="宋体" w:eastAsia="宋体" w:cs="宋体"/>
          <w:spacing w:val="6"/>
          <w:sz w:val="20"/>
          <w:szCs w:val="20"/>
        </w:rPr>
        <w:t>2016</w:t>
      </w:r>
      <w:r>
        <w:rPr>
          <w:rFonts w:ascii="宋体" w:hAnsi="宋体" w:eastAsia="宋体" w:cs="宋体"/>
          <w:spacing w:val="-35"/>
          <w:sz w:val="20"/>
          <w:szCs w:val="20"/>
        </w:rPr>
        <w:t xml:space="preserve"> </w:t>
      </w:r>
      <w:r>
        <w:rPr>
          <w:rFonts w:ascii="宋体" w:hAnsi="宋体" w:eastAsia="宋体" w:cs="宋体"/>
          <w:spacing w:val="6"/>
          <w:sz w:val="20"/>
          <w:szCs w:val="20"/>
        </w:rPr>
        <w:t>消耗量定额交底培训资料第</w:t>
      </w:r>
      <w:r>
        <w:rPr>
          <w:rFonts w:ascii="宋体" w:hAnsi="宋体" w:eastAsia="宋体" w:cs="宋体"/>
          <w:spacing w:val="-22"/>
          <w:sz w:val="20"/>
          <w:szCs w:val="20"/>
        </w:rPr>
        <w:t xml:space="preserve"> </w:t>
      </w:r>
      <w:r>
        <w:rPr>
          <w:rFonts w:ascii="宋体" w:hAnsi="宋体" w:eastAsia="宋体" w:cs="宋体"/>
          <w:spacing w:val="6"/>
          <w:sz w:val="20"/>
          <w:szCs w:val="20"/>
        </w:rPr>
        <w:t>163</w:t>
      </w:r>
      <w:r>
        <w:rPr>
          <w:rFonts w:ascii="宋体" w:hAnsi="宋体" w:eastAsia="宋体" w:cs="宋体"/>
          <w:spacing w:val="-34"/>
          <w:sz w:val="20"/>
          <w:szCs w:val="20"/>
        </w:rPr>
        <w:t xml:space="preserve"> </w:t>
      </w:r>
      <w:r>
        <w:rPr>
          <w:rFonts w:ascii="宋体" w:hAnsi="宋体" w:eastAsia="宋体" w:cs="宋体"/>
          <w:spacing w:val="6"/>
          <w:sz w:val="20"/>
          <w:szCs w:val="20"/>
        </w:rPr>
        <w:t>页说明，应包含在</w:t>
      </w:r>
      <w:r>
        <w:rPr>
          <w:rFonts w:ascii="宋体" w:hAnsi="宋体" w:eastAsia="宋体" w:cs="宋体"/>
          <w:spacing w:val="8"/>
          <w:sz w:val="20"/>
          <w:szCs w:val="20"/>
        </w:rPr>
        <w:t>对拉螺栓端头处理增加子目中。若端头处墙面采用防水涂料施工三遍等新</w:t>
      </w:r>
      <w:r>
        <w:rPr>
          <w:rFonts w:ascii="宋体" w:hAnsi="宋体" w:eastAsia="宋体" w:cs="宋体"/>
          <w:spacing w:val="7"/>
          <w:sz w:val="20"/>
          <w:szCs w:val="20"/>
        </w:rPr>
        <w:t>做法，可借用</w:t>
      </w:r>
      <w:r>
        <w:rPr>
          <w:rFonts w:ascii="宋体" w:hAnsi="宋体" w:eastAsia="宋体" w:cs="宋体"/>
          <w:spacing w:val="-42"/>
          <w:sz w:val="20"/>
          <w:szCs w:val="20"/>
        </w:rPr>
        <w:t xml:space="preserve"> </w:t>
      </w:r>
      <w:r>
        <w:rPr>
          <w:rFonts w:ascii="宋体" w:hAnsi="宋体" w:eastAsia="宋体" w:cs="宋体"/>
          <w:spacing w:val="7"/>
          <w:sz w:val="20"/>
          <w:szCs w:val="20"/>
        </w:rPr>
        <w:t>2025</w:t>
      </w:r>
      <w:r>
        <w:rPr>
          <w:rFonts w:ascii="宋体" w:hAnsi="宋体" w:eastAsia="宋体" w:cs="宋体"/>
          <w:spacing w:val="-38"/>
          <w:sz w:val="20"/>
          <w:szCs w:val="20"/>
        </w:rPr>
        <w:t xml:space="preserve"> </w:t>
      </w:r>
      <w:r>
        <w:rPr>
          <w:rFonts w:ascii="宋体" w:hAnsi="宋体" w:eastAsia="宋体" w:cs="宋体"/>
          <w:spacing w:val="7"/>
          <w:sz w:val="20"/>
          <w:szCs w:val="20"/>
        </w:rPr>
        <w:t>版消耗</w:t>
      </w:r>
      <w:r>
        <w:rPr>
          <w:rFonts w:ascii="宋体" w:hAnsi="宋体" w:eastAsia="宋体" w:cs="宋体"/>
          <w:spacing w:val="8"/>
          <w:sz w:val="20"/>
          <w:szCs w:val="20"/>
        </w:rPr>
        <w:t>量定额相关子目。</w:t>
      </w:r>
    </w:p>
    <w:p>
      <w:pPr>
        <w:spacing w:before="43" w:line="276" w:lineRule="exact"/>
        <w:ind w:left="440"/>
        <w:rPr>
          <w:rFonts w:ascii="宋体" w:hAnsi="宋体" w:eastAsia="宋体" w:cs="宋体"/>
          <w:sz w:val="20"/>
          <w:szCs w:val="20"/>
        </w:rPr>
      </w:pPr>
      <w:r>
        <w:rPr>
          <w:rFonts w:ascii="宋体" w:hAnsi="宋体" w:eastAsia="宋体" w:cs="宋体"/>
          <w:b/>
          <w:bCs/>
          <w:spacing w:val="5"/>
          <w:position w:val="1"/>
          <w:sz w:val="20"/>
          <w:szCs w:val="20"/>
        </w:rPr>
        <w:t>51.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关于回旋钻机钻孔、旋挖钻机成孔入岩增加的计价</w:t>
      </w:r>
    </w:p>
    <w:p>
      <w:pPr>
        <w:spacing w:before="123" w:line="351" w:lineRule="auto"/>
        <w:ind w:left="18" w:right="281" w:firstLine="435"/>
        <w:rPr>
          <w:rFonts w:ascii="宋体" w:hAnsi="宋体" w:eastAsia="宋体" w:cs="宋体"/>
          <w:sz w:val="20"/>
          <w:szCs w:val="20"/>
        </w:rPr>
      </w:pPr>
      <w:r>
        <w:rPr>
          <w:rFonts w:ascii="宋体" w:hAnsi="宋体" w:eastAsia="宋体" w:cs="宋体"/>
          <w:spacing w:val="10"/>
          <w:sz w:val="20"/>
          <w:szCs w:val="20"/>
        </w:rPr>
        <w:t>当桩体进入坚石（按第一章土石方工程的岩石分类表确定）执行入岩增加子目，且应在套用原</w:t>
      </w:r>
      <w:r>
        <w:rPr>
          <w:rFonts w:ascii="宋体" w:hAnsi="宋体" w:eastAsia="宋体" w:cs="宋体"/>
          <w:spacing w:val="9"/>
          <w:sz w:val="20"/>
          <w:szCs w:val="20"/>
        </w:rPr>
        <w:t>有定额子目的基础上加套入岩增加子目。</w:t>
      </w:r>
    </w:p>
    <w:p>
      <w:pPr>
        <w:spacing w:before="39" w:line="276" w:lineRule="exact"/>
        <w:ind w:left="440"/>
        <w:rPr>
          <w:rFonts w:ascii="宋体" w:hAnsi="宋体" w:eastAsia="宋体" w:cs="宋体"/>
          <w:sz w:val="20"/>
          <w:szCs w:val="20"/>
        </w:rPr>
      </w:pPr>
      <w:r>
        <w:rPr>
          <w:rFonts w:ascii="宋体" w:hAnsi="宋体" w:eastAsia="宋体" w:cs="宋体"/>
          <w:b/>
          <w:bCs/>
          <w:spacing w:val="2"/>
          <w:position w:val="1"/>
          <w:sz w:val="20"/>
          <w:szCs w:val="20"/>
        </w:rPr>
        <w:t>52.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关于电梯井字架的计价</w:t>
      </w:r>
    </w:p>
    <w:p>
      <w:pPr>
        <w:spacing w:before="129" w:line="222" w:lineRule="auto"/>
        <w:ind w:left="438"/>
        <w:rPr>
          <w:rFonts w:ascii="宋体" w:hAnsi="宋体" w:eastAsia="宋体" w:cs="宋体"/>
          <w:sz w:val="20"/>
          <w:szCs w:val="20"/>
        </w:rPr>
      </w:pPr>
      <w:r>
        <w:rPr>
          <w:rFonts w:ascii="宋体" w:hAnsi="宋体" w:eastAsia="宋体" w:cs="宋体"/>
          <w:spacing w:val="10"/>
          <w:sz w:val="20"/>
          <w:szCs w:val="20"/>
        </w:rPr>
        <w:t>按定额规定计算了电梯井字架的电梯井孔，其外侧</w:t>
      </w:r>
      <w:r>
        <w:rPr>
          <w:rFonts w:ascii="宋体" w:hAnsi="宋体" w:eastAsia="宋体" w:cs="宋体"/>
          <w:spacing w:val="9"/>
          <w:sz w:val="20"/>
          <w:szCs w:val="20"/>
        </w:rPr>
        <w:t>的混凝土电梯井壁，不另计算脚手架。</w:t>
      </w:r>
    </w:p>
    <w:p>
      <w:pPr>
        <w:spacing w:before="156" w:line="277" w:lineRule="exact"/>
        <w:ind w:left="440"/>
        <w:rPr>
          <w:rFonts w:ascii="宋体" w:hAnsi="宋体" w:eastAsia="宋体" w:cs="宋体"/>
          <w:sz w:val="20"/>
          <w:szCs w:val="20"/>
        </w:rPr>
      </w:pPr>
      <w:r>
        <w:rPr>
          <w:rFonts w:ascii="宋体" w:hAnsi="宋体" w:eastAsia="宋体" w:cs="宋体"/>
          <w:b/>
          <w:bCs/>
          <w:spacing w:val="2"/>
          <w:position w:val="1"/>
          <w:sz w:val="20"/>
          <w:szCs w:val="20"/>
        </w:rPr>
        <w:t>53.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关于弧形脚手架的计算</w:t>
      </w:r>
    </w:p>
    <w:p>
      <w:pPr>
        <w:spacing w:before="122" w:line="369" w:lineRule="auto"/>
        <w:ind w:left="18" w:right="278" w:firstLine="419"/>
        <w:rPr>
          <w:rFonts w:ascii="宋体" w:hAnsi="宋体" w:eastAsia="宋体" w:cs="宋体"/>
          <w:sz w:val="20"/>
          <w:szCs w:val="20"/>
        </w:rPr>
      </w:pPr>
      <w:r>
        <w:rPr>
          <w:rFonts w:ascii="宋体" w:hAnsi="宋体" w:eastAsia="宋体" w:cs="宋体"/>
          <w:spacing w:val="11"/>
          <w:sz w:val="20"/>
          <w:szCs w:val="20"/>
        </w:rPr>
        <w:t>外脚手架按直线型编制，若外脚手架呈弧形且直径≤20m</w:t>
      </w:r>
      <w:r>
        <w:rPr>
          <w:rFonts w:ascii="宋体" w:hAnsi="宋体" w:eastAsia="宋体" w:cs="宋体"/>
          <w:spacing w:val="-15"/>
          <w:sz w:val="20"/>
          <w:szCs w:val="20"/>
        </w:rPr>
        <w:t xml:space="preserve"> </w:t>
      </w:r>
      <w:r>
        <w:rPr>
          <w:rFonts w:ascii="宋体" w:hAnsi="宋体" w:eastAsia="宋体" w:cs="宋体"/>
          <w:spacing w:val="11"/>
          <w:sz w:val="20"/>
          <w:szCs w:val="20"/>
        </w:rPr>
        <w:t>时，按外脚手架相应项目人工乘以系</w:t>
      </w:r>
      <w:r>
        <w:rPr>
          <w:rFonts w:ascii="宋体" w:hAnsi="宋体" w:eastAsia="宋体" w:cs="宋体"/>
          <w:spacing w:val="-6"/>
          <w:sz w:val="20"/>
          <w:szCs w:val="20"/>
        </w:rPr>
        <w:t>数</w:t>
      </w:r>
      <w:r>
        <w:rPr>
          <w:rFonts w:ascii="宋体" w:hAnsi="宋体" w:eastAsia="宋体" w:cs="宋体"/>
          <w:spacing w:val="-18"/>
          <w:sz w:val="20"/>
          <w:szCs w:val="20"/>
        </w:rPr>
        <w:t xml:space="preserve"> </w:t>
      </w:r>
      <w:r>
        <w:rPr>
          <w:rFonts w:ascii="宋体" w:hAnsi="宋体" w:eastAsia="宋体" w:cs="宋体"/>
          <w:spacing w:val="-6"/>
          <w:sz w:val="20"/>
          <w:szCs w:val="20"/>
        </w:rPr>
        <w:t>1.30</w:t>
      </w:r>
      <w:r>
        <w:rPr>
          <w:rFonts w:ascii="宋体" w:hAnsi="宋体" w:eastAsia="宋体" w:cs="宋体"/>
          <w:spacing w:val="-43"/>
          <w:sz w:val="20"/>
          <w:szCs w:val="20"/>
        </w:rPr>
        <w:t xml:space="preserve"> </w:t>
      </w:r>
      <w:r>
        <w:rPr>
          <w:rFonts w:ascii="宋体" w:hAnsi="宋体" w:eastAsia="宋体" w:cs="宋体"/>
          <w:spacing w:val="-6"/>
          <w:sz w:val="20"/>
          <w:szCs w:val="20"/>
        </w:rPr>
        <w:t>计算。</w:t>
      </w:r>
    </w:p>
    <w:p>
      <w:pPr>
        <w:spacing w:before="2" w:line="276" w:lineRule="exact"/>
        <w:ind w:left="440"/>
        <w:rPr>
          <w:rFonts w:ascii="宋体" w:hAnsi="宋体" w:eastAsia="宋体" w:cs="宋体"/>
          <w:sz w:val="20"/>
          <w:szCs w:val="20"/>
        </w:rPr>
      </w:pPr>
      <w:r>
        <w:rPr>
          <w:rFonts w:ascii="宋体" w:hAnsi="宋体" w:eastAsia="宋体" w:cs="宋体"/>
          <w:b/>
          <w:bCs/>
          <w:spacing w:val="5"/>
          <w:position w:val="1"/>
          <w:sz w:val="20"/>
          <w:szCs w:val="20"/>
        </w:rPr>
        <w:t>54.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关于特殊工程或特殊结构的高大模板的计价</w:t>
      </w:r>
    </w:p>
    <w:p>
      <w:pPr>
        <w:spacing w:before="121" w:line="360" w:lineRule="auto"/>
        <w:ind w:left="18" w:right="278" w:firstLine="423"/>
        <w:jc w:val="both"/>
        <w:rPr>
          <w:rFonts w:ascii="宋体" w:hAnsi="宋体" w:eastAsia="宋体" w:cs="宋体"/>
          <w:sz w:val="20"/>
          <w:szCs w:val="20"/>
        </w:rPr>
      </w:pPr>
      <w:r>
        <w:rPr>
          <w:rFonts w:ascii="宋体" w:hAnsi="宋体" w:eastAsia="宋体" w:cs="宋体"/>
          <w:spacing w:val="13"/>
          <w:sz w:val="20"/>
          <w:szCs w:val="20"/>
        </w:rPr>
        <w:t>高大模板支撑系统是指建设工程施工现场混凝土构件模板支撑高度超过</w:t>
      </w:r>
      <w:r>
        <w:rPr>
          <w:rFonts w:ascii="宋体" w:hAnsi="宋体" w:eastAsia="宋体" w:cs="宋体"/>
          <w:spacing w:val="-35"/>
          <w:sz w:val="20"/>
          <w:szCs w:val="20"/>
        </w:rPr>
        <w:t xml:space="preserve"> </w:t>
      </w:r>
      <w:r>
        <w:rPr>
          <w:rFonts w:ascii="宋体" w:hAnsi="宋体" w:eastAsia="宋体" w:cs="宋体"/>
          <w:spacing w:val="13"/>
          <w:sz w:val="20"/>
          <w:szCs w:val="20"/>
        </w:rPr>
        <w:t>8m</w:t>
      </w:r>
      <w:r>
        <w:rPr>
          <w:rFonts w:ascii="宋体" w:hAnsi="宋体" w:eastAsia="宋体" w:cs="宋体"/>
          <w:spacing w:val="-58"/>
          <w:sz w:val="20"/>
          <w:szCs w:val="20"/>
        </w:rPr>
        <w:t xml:space="preserve"> </w:t>
      </w:r>
      <w:r>
        <w:rPr>
          <w:rFonts w:ascii="宋体" w:hAnsi="宋体" w:eastAsia="宋体" w:cs="宋体"/>
          <w:spacing w:val="13"/>
          <w:sz w:val="20"/>
          <w:szCs w:val="20"/>
        </w:rPr>
        <w:t>，或搭设跨度超过</w:t>
      </w:r>
      <w:r>
        <w:rPr>
          <w:rFonts w:ascii="宋体" w:hAnsi="宋体" w:eastAsia="宋体" w:cs="宋体"/>
          <w:spacing w:val="11"/>
          <w:sz w:val="20"/>
          <w:szCs w:val="20"/>
        </w:rPr>
        <w:t>18m，或施工总荷载大于</w:t>
      </w:r>
      <w:r>
        <w:rPr>
          <w:rFonts w:ascii="宋体" w:hAnsi="宋体" w:eastAsia="宋体" w:cs="宋体"/>
          <w:spacing w:val="-6"/>
          <w:sz w:val="20"/>
          <w:szCs w:val="20"/>
        </w:rPr>
        <w:t xml:space="preserve"> </w:t>
      </w:r>
      <w:r>
        <w:rPr>
          <w:rFonts w:ascii="宋体" w:hAnsi="宋体" w:eastAsia="宋体" w:cs="宋体"/>
          <w:spacing w:val="11"/>
          <w:sz w:val="20"/>
          <w:szCs w:val="20"/>
        </w:rPr>
        <w:t>15</w:t>
      </w:r>
      <w:r>
        <w:rPr>
          <w:rFonts w:ascii="宋体" w:hAnsi="宋体" w:eastAsia="宋体" w:cs="宋体"/>
          <w:sz w:val="20"/>
          <w:szCs w:val="20"/>
        </w:rPr>
        <w:t>kN</w:t>
      </w:r>
      <w:r>
        <w:rPr>
          <w:rFonts w:ascii="宋体" w:hAnsi="宋体" w:eastAsia="宋体" w:cs="宋体"/>
          <w:spacing w:val="11"/>
          <w:sz w:val="20"/>
          <w:szCs w:val="20"/>
        </w:rPr>
        <w:t>/m</w:t>
      </w:r>
      <w:r>
        <w:rPr>
          <w:rFonts w:ascii="宋体" w:hAnsi="宋体" w:eastAsia="宋体" w:cs="宋体"/>
          <w:spacing w:val="11"/>
          <w:position w:val="10"/>
          <w:sz w:val="10"/>
          <w:szCs w:val="10"/>
        </w:rPr>
        <w:t>2</w:t>
      </w:r>
      <w:r>
        <w:rPr>
          <w:rFonts w:ascii="宋体" w:hAnsi="宋体" w:eastAsia="宋体" w:cs="宋体"/>
          <w:spacing w:val="-11"/>
          <w:position w:val="10"/>
          <w:sz w:val="10"/>
          <w:szCs w:val="10"/>
        </w:rPr>
        <w:t xml:space="preserve"> </w:t>
      </w:r>
      <w:r>
        <w:rPr>
          <w:rFonts w:ascii="宋体" w:hAnsi="宋体" w:eastAsia="宋体" w:cs="宋体"/>
          <w:spacing w:val="11"/>
          <w:sz w:val="20"/>
          <w:szCs w:val="20"/>
        </w:rPr>
        <w:t>，或集中线荷载大于20</w:t>
      </w:r>
      <w:r>
        <w:rPr>
          <w:rFonts w:ascii="宋体" w:hAnsi="宋体" w:eastAsia="宋体" w:cs="宋体"/>
          <w:sz w:val="20"/>
          <w:szCs w:val="20"/>
        </w:rPr>
        <w:t>kN</w:t>
      </w:r>
      <w:r>
        <w:rPr>
          <w:rFonts w:ascii="宋体" w:hAnsi="宋体" w:eastAsia="宋体" w:cs="宋体"/>
          <w:spacing w:val="11"/>
          <w:sz w:val="20"/>
          <w:szCs w:val="20"/>
        </w:rPr>
        <w:t>/m</w:t>
      </w:r>
      <w:r>
        <w:rPr>
          <w:rFonts w:ascii="宋体" w:hAnsi="宋体" w:eastAsia="宋体" w:cs="宋体"/>
          <w:spacing w:val="-23"/>
          <w:sz w:val="20"/>
          <w:szCs w:val="20"/>
        </w:rPr>
        <w:t xml:space="preserve"> </w:t>
      </w:r>
      <w:r>
        <w:rPr>
          <w:rFonts w:ascii="宋体" w:hAnsi="宋体" w:eastAsia="宋体" w:cs="宋体"/>
          <w:spacing w:val="11"/>
          <w:sz w:val="20"/>
          <w:szCs w:val="20"/>
        </w:rPr>
        <w:t>的模板支撑系统。若遇特殊工程或特殊结构时（如：体育场、馆的大跨度钢筋混凝土拱梁、观众看台、外挑看台；</w:t>
      </w:r>
      <w:r>
        <w:rPr>
          <w:rFonts w:ascii="宋体" w:hAnsi="宋体" w:eastAsia="宋体" w:cs="宋体"/>
          <w:spacing w:val="10"/>
          <w:sz w:val="20"/>
          <w:szCs w:val="20"/>
        </w:rPr>
        <w:t>影（歌）剧院的楼层</w:t>
      </w:r>
      <w:r>
        <w:rPr>
          <w:rFonts w:ascii="宋体" w:hAnsi="宋体" w:eastAsia="宋体" w:cs="宋体"/>
          <w:spacing w:val="11"/>
          <w:sz w:val="20"/>
          <w:szCs w:val="20"/>
        </w:rPr>
        <w:t>观众席以及符合高大模板支撑系统概念的建筑物、</w:t>
      </w:r>
      <w:r>
        <w:rPr>
          <w:rFonts w:ascii="宋体" w:hAnsi="宋体" w:eastAsia="宋体" w:cs="宋体"/>
          <w:spacing w:val="10"/>
          <w:sz w:val="20"/>
          <w:szCs w:val="20"/>
        </w:rPr>
        <w:t>构筑物等</w:t>
      </w:r>
      <w:r>
        <w:rPr>
          <w:rFonts w:ascii="宋体" w:hAnsi="宋体" w:eastAsia="宋体" w:cs="宋体"/>
          <w:spacing w:val="-9"/>
          <w:sz w:val="20"/>
          <w:szCs w:val="20"/>
        </w:rPr>
        <w:t>）</w:t>
      </w:r>
      <w:r>
        <w:rPr>
          <w:rFonts w:ascii="宋体" w:hAnsi="宋体" w:eastAsia="宋体" w:cs="宋体"/>
          <w:spacing w:val="-50"/>
          <w:sz w:val="20"/>
          <w:szCs w:val="20"/>
        </w:rPr>
        <w:t xml:space="preserve"> </w:t>
      </w:r>
      <w:r>
        <w:rPr>
          <w:rFonts w:ascii="宋体" w:hAnsi="宋体" w:eastAsia="宋体" w:cs="宋体"/>
          <w:spacing w:val="-9"/>
          <w:sz w:val="20"/>
          <w:szCs w:val="20"/>
        </w:rPr>
        <w:t>，</w:t>
      </w:r>
      <w:r>
        <w:rPr>
          <w:rFonts w:ascii="宋体" w:hAnsi="宋体" w:eastAsia="宋体" w:cs="宋体"/>
          <w:spacing w:val="10"/>
          <w:sz w:val="20"/>
          <w:szCs w:val="20"/>
        </w:rPr>
        <w:t>可按审定的施工组织设计模板和支</w:t>
      </w:r>
      <w:r>
        <w:rPr>
          <w:rFonts w:ascii="宋体" w:hAnsi="宋体" w:eastAsia="宋体" w:cs="宋体"/>
          <w:spacing w:val="9"/>
          <w:sz w:val="20"/>
          <w:szCs w:val="20"/>
        </w:rPr>
        <w:t>撑方案，双方协商另行计算，也可参照以下补充定额进行计算。</w:t>
      </w:r>
    </w:p>
    <w:p>
      <w:pPr>
        <w:spacing w:before="54" w:line="229" w:lineRule="auto"/>
        <w:ind w:left="3410"/>
        <w:rPr>
          <w:rFonts w:ascii="黑体" w:hAnsi="黑体" w:eastAsia="黑体" w:cs="黑体"/>
          <w:sz w:val="20"/>
          <w:szCs w:val="20"/>
        </w:rPr>
      </w:pPr>
      <w:r>
        <w:rPr>
          <w:rFonts w:ascii="黑体" w:hAnsi="黑体" w:eastAsia="黑体" w:cs="黑体"/>
          <w:spacing w:val="8"/>
          <w:sz w:val="20"/>
          <w:szCs w:val="20"/>
        </w:rPr>
        <w:t>高大模板钢支撑补充定额</w:t>
      </w:r>
    </w:p>
    <w:p>
      <w:pPr>
        <w:spacing w:line="112" w:lineRule="auto"/>
        <w:rPr>
          <w:rFonts w:ascii="Arial"/>
          <w:sz w:val="2"/>
        </w:rPr>
      </w:pPr>
    </w:p>
    <w:tbl>
      <w:tblPr>
        <w:tblStyle w:val="5"/>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3"/>
        <w:gridCol w:w="3338"/>
        <w:gridCol w:w="2142"/>
        <w:gridCol w:w="28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1209" w:hRule="atLeast"/>
        </w:trPr>
        <w:tc>
          <w:tcPr>
            <w:tcW w:w="9360" w:type="dxa"/>
            <w:gridSpan w:val="4"/>
            <w:vAlign w:val="top"/>
          </w:tcPr>
          <w:p>
            <w:pPr>
              <w:spacing w:before="142" w:line="351" w:lineRule="auto"/>
              <w:ind w:left="117" w:right="29" w:hanging="4"/>
              <w:rPr>
                <w:rFonts w:ascii="宋体" w:hAnsi="宋体" w:eastAsia="宋体" w:cs="宋体"/>
                <w:sz w:val="20"/>
                <w:szCs w:val="20"/>
              </w:rPr>
            </w:pPr>
            <w:r>
              <w:rPr>
                <w:rFonts w:ascii="宋体" w:hAnsi="宋体" w:eastAsia="宋体" w:cs="宋体"/>
                <w:spacing w:val="5"/>
                <w:sz w:val="20"/>
                <w:szCs w:val="20"/>
              </w:rPr>
              <w:t>工作内容：安装底座、选料、材料场内外运输、搭拆架体、铺脚手板、</w:t>
            </w:r>
            <w:r>
              <w:rPr>
                <w:rFonts w:ascii="宋体" w:hAnsi="宋体" w:eastAsia="宋体" w:cs="宋体"/>
                <w:spacing w:val="4"/>
                <w:sz w:val="20"/>
                <w:szCs w:val="20"/>
              </w:rPr>
              <w:t>材料整理堆放刷漆、安装顶丝、</w:t>
            </w:r>
            <w:r>
              <w:rPr>
                <w:rFonts w:ascii="宋体" w:hAnsi="宋体" w:eastAsia="宋体" w:cs="宋体"/>
                <w:spacing w:val="9"/>
                <w:sz w:val="20"/>
                <w:szCs w:val="20"/>
              </w:rPr>
              <w:t>复合木模板制作、模板安装拆除、清理模板粘结物及模内杂物、刷隔离剂等。</w:t>
            </w:r>
          </w:p>
          <w:p>
            <w:pPr>
              <w:pStyle w:val="6"/>
              <w:spacing w:before="42" w:line="234" w:lineRule="auto"/>
              <w:ind w:left="7459"/>
              <w:rPr>
                <w:sz w:val="20"/>
                <w:szCs w:val="20"/>
              </w:rPr>
            </w:pPr>
            <w:r>
              <w:rPr>
                <w:rFonts w:ascii="宋体" w:hAnsi="宋体" w:eastAsia="宋体" w:cs="宋体"/>
                <w:spacing w:val="11"/>
                <w:sz w:val="20"/>
                <w:szCs w:val="20"/>
              </w:rPr>
              <w:t>计量单位：10m</w:t>
            </w:r>
            <w:r>
              <w:rPr>
                <w:spacing w:val="11"/>
                <w:sz w:val="20"/>
                <w:szCs w:val="20"/>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4401" w:type="dxa"/>
            <w:gridSpan w:val="2"/>
            <w:vAlign w:val="top"/>
          </w:tcPr>
          <w:p>
            <w:pPr>
              <w:spacing w:before="149" w:line="218" w:lineRule="auto"/>
              <w:ind w:left="1995"/>
              <w:rPr>
                <w:rFonts w:ascii="宋体" w:hAnsi="宋体" w:eastAsia="宋体" w:cs="宋体"/>
                <w:sz w:val="20"/>
                <w:szCs w:val="20"/>
              </w:rPr>
            </w:pPr>
            <w:r>
              <w:rPr>
                <w:rFonts w:ascii="宋体" w:hAnsi="宋体" w:eastAsia="宋体" w:cs="宋体"/>
                <w:spacing w:val="6"/>
                <w:sz w:val="20"/>
                <w:szCs w:val="20"/>
              </w:rPr>
              <w:t>名称</w:t>
            </w:r>
          </w:p>
        </w:tc>
        <w:tc>
          <w:tcPr>
            <w:tcW w:w="2142" w:type="dxa"/>
            <w:vAlign w:val="top"/>
          </w:tcPr>
          <w:p>
            <w:pPr>
              <w:spacing w:before="146" w:line="221" w:lineRule="auto"/>
              <w:ind w:left="860"/>
              <w:rPr>
                <w:rFonts w:ascii="宋体" w:hAnsi="宋体" w:eastAsia="宋体" w:cs="宋体"/>
                <w:sz w:val="20"/>
                <w:szCs w:val="20"/>
              </w:rPr>
            </w:pPr>
            <w:r>
              <w:rPr>
                <w:rFonts w:ascii="宋体" w:hAnsi="宋体" w:eastAsia="宋体" w:cs="宋体"/>
                <w:spacing w:val="7"/>
                <w:sz w:val="20"/>
                <w:szCs w:val="20"/>
              </w:rPr>
              <w:t>单位</w:t>
            </w:r>
          </w:p>
        </w:tc>
        <w:tc>
          <w:tcPr>
            <w:tcW w:w="2817" w:type="dxa"/>
            <w:vAlign w:val="top"/>
          </w:tcPr>
          <w:p>
            <w:pPr>
              <w:spacing w:before="146" w:line="219" w:lineRule="auto"/>
              <w:ind w:left="1198"/>
              <w:rPr>
                <w:rFonts w:ascii="宋体" w:hAnsi="宋体" w:eastAsia="宋体" w:cs="宋体"/>
                <w:sz w:val="20"/>
                <w:szCs w:val="20"/>
              </w:rPr>
            </w:pPr>
            <w:r>
              <w:rPr>
                <w:rFonts w:ascii="宋体" w:hAnsi="宋体" w:eastAsia="宋体" w:cs="宋体"/>
                <w:spacing w:val="6"/>
                <w:sz w:val="20"/>
                <w:szCs w:val="20"/>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Align w:val="top"/>
          </w:tcPr>
          <w:p>
            <w:pPr>
              <w:spacing w:before="150" w:line="211" w:lineRule="auto"/>
              <w:ind w:left="322"/>
              <w:rPr>
                <w:rFonts w:ascii="宋体" w:hAnsi="宋体" w:eastAsia="宋体" w:cs="宋体"/>
                <w:sz w:val="20"/>
                <w:szCs w:val="20"/>
              </w:rPr>
            </w:pPr>
            <w:r>
              <w:rPr>
                <w:rFonts w:ascii="宋体" w:hAnsi="宋体" w:eastAsia="宋体" w:cs="宋体"/>
                <w:spacing w:val="7"/>
                <w:sz w:val="20"/>
                <w:szCs w:val="20"/>
              </w:rPr>
              <w:t>人工</w:t>
            </w:r>
          </w:p>
        </w:tc>
        <w:tc>
          <w:tcPr>
            <w:tcW w:w="3338" w:type="dxa"/>
            <w:vAlign w:val="top"/>
          </w:tcPr>
          <w:p>
            <w:pPr>
              <w:spacing w:before="144" w:line="221" w:lineRule="auto"/>
              <w:ind w:left="1248"/>
              <w:rPr>
                <w:rFonts w:ascii="宋体" w:hAnsi="宋体" w:eastAsia="宋体" w:cs="宋体"/>
                <w:sz w:val="20"/>
                <w:szCs w:val="20"/>
              </w:rPr>
            </w:pPr>
            <w:r>
              <w:rPr>
                <w:rFonts w:ascii="宋体" w:hAnsi="宋体" w:eastAsia="宋体" w:cs="宋体"/>
                <w:spacing w:val="8"/>
                <w:sz w:val="20"/>
                <w:szCs w:val="20"/>
              </w:rPr>
              <w:t>综合工日</w:t>
            </w:r>
          </w:p>
        </w:tc>
        <w:tc>
          <w:tcPr>
            <w:tcW w:w="2142" w:type="dxa"/>
            <w:vAlign w:val="top"/>
          </w:tcPr>
          <w:p>
            <w:pPr>
              <w:spacing w:before="157" w:line="201" w:lineRule="auto"/>
              <w:ind w:left="862"/>
              <w:rPr>
                <w:rFonts w:ascii="宋体" w:hAnsi="宋体" w:eastAsia="宋体" w:cs="宋体"/>
                <w:sz w:val="20"/>
                <w:szCs w:val="20"/>
              </w:rPr>
            </w:pPr>
            <w:r>
              <w:rPr>
                <w:rFonts w:ascii="宋体" w:hAnsi="宋体" w:eastAsia="宋体" w:cs="宋体"/>
                <w:spacing w:val="6"/>
                <w:sz w:val="20"/>
                <w:szCs w:val="20"/>
              </w:rPr>
              <w:t>工日</w:t>
            </w:r>
          </w:p>
        </w:tc>
        <w:tc>
          <w:tcPr>
            <w:tcW w:w="2817" w:type="dxa"/>
            <w:vAlign w:val="top"/>
          </w:tcPr>
          <w:p>
            <w:pPr>
              <w:spacing w:before="81" w:line="299" w:lineRule="exact"/>
              <w:ind w:left="1193"/>
              <w:rPr>
                <w:rFonts w:ascii="宋体" w:hAnsi="宋体" w:eastAsia="宋体" w:cs="宋体"/>
                <w:sz w:val="20"/>
                <w:szCs w:val="20"/>
              </w:rPr>
            </w:pPr>
            <w:r>
              <w:rPr>
                <w:rFonts w:ascii="宋体" w:hAnsi="宋体" w:eastAsia="宋体" w:cs="宋体"/>
                <w:spacing w:val="-12"/>
                <w:position w:val="2"/>
                <w:sz w:val="20"/>
                <w:szCs w:val="20"/>
              </w:rPr>
              <w:t>11.70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restart"/>
            <w:tcBorders>
              <w:bottom w:val="nil"/>
            </w:tcBorders>
            <w:vAlign w:val="top"/>
          </w:tcPr>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4" w:lineRule="auto"/>
            </w:pPr>
          </w:p>
          <w:p>
            <w:pPr>
              <w:pStyle w:val="6"/>
              <w:spacing w:line="264" w:lineRule="auto"/>
            </w:pPr>
          </w:p>
          <w:p>
            <w:pPr>
              <w:spacing w:before="65" w:line="277" w:lineRule="exact"/>
              <w:ind w:left="325"/>
              <w:rPr>
                <w:rFonts w:ascii="宋体" w:hAnsi="宋体" w:eastAsia="宋体" w:cs="宋体"/>
                <w:sz w:val="20"/>
                <w:szCs w:val="20"/>
              </w:rPr>
            </w:pPr>
            <w:r>
              <w:rPr>
                <w:rFonts w:ascii="宋体" w:hAnsi="宋体" w:eastAsia="宋体" w:cs="宋体"/>
                <w:spacing w:val="6"/>
                <w:position w:val="1"/>
                <w:sz w:val="20"/>
                <w:szCs w:val="20"/>
              </w:rPr>
              <w:t>材料</w:t>
            </w:r>
          </w:p>
        </w:tc>
        <w:tc>
          <w:tcPr>
            <w:tcW w:w="3338" w:type="dxa"/>
            <w:vAlign w:val="top"/>
          </w:tcPr>
          <w:p>
            <w:pPr>
              <w:spacing w:before="140" w:line="234" w:lineRule="auto"/>
              <w:ind w:left="1090"/>
              <w:rPr>
                <w:rFonts w:ascii="宋体" w:hAnsi="宋体" w:eastAsia="宋体" w:cs="宋体"/>
                <w:sz w:val="20"/>
                <w:szCs w:val="20"/>
              </w:rPr>
            </w:pPr>
            <w:r>
              <w:rPr>
                <w:rFonts w:ascii="宋体" w:hAnsi="宋体" w:eastAsia="宋体" w:cs="宋体"/>
                <w:spacing w:val="-5"/>
                <w:sz w:val="20"/>
                <w:szCs w:val="20"/>
              </w:rPr>
              <w:t>水泥砂浆</w:t>
            </w:r>
            <w:r>
              <w:rPr>
                <w:rFonts w:ascii="宋体" w:hAnsi="宋体" w:eastAsia="宋体" w:cs="宋体"/>
                <w:spacing w:val="-20"/>
                <w:sz w:val="20"/>
                <w:szCs w:val="20"/>
              </w:rPr>
              <w:t xml:space="preserve"> </w:t>
            </w:r>
            <w:r>
              <w:rPr>
                <w:rFonts w:ascii="宋体" w:hAnsi="宋体" w:eastAsia="宋体" w:cs="宋体"/>
                <w:spacing w:val="-5"/>
                <w:sz w:val="20"/>
                <w:szCs w:val="20"/>
              </w:rPr>
              <w:t>1:2</w:t>
            </w:r>
          </w:p>
        </w:tc>
        <w:tc>
          <w:tcPr>
            <w:tcW w:w="2142" w:type="dxa"/>
            <w:vAlign w:val="top"/>
          </w:tcPr>
          <w:p>
            <w:pPr>
              <w:pStyle w:val="6"/>
              <w:spacing w:before="140" w:line="234" w:lineRule="auto"/>
              <w:ind w:left="964"/>
              <w:rPr>
                <w:sz w:val="20"/>
                <w:szCs w:val="20"/>
              </w:rPr>
            </w:pPr>
            <w:r>
              <w:rPr>
                <w:rFonts w:ascii="宋体" w:hAnsi="宋体" w:eastAsia="宋体" w:cs="宋体"/>
                <w:spacing w:val="22"/>
                <w:sz w:val="20"/>
                <w:szCs w:val="20"/>
              </w:rPr>
              <w:t>m</w:t>
            </w:r>
            <w:r>
              <w:rPr>
                <w:spacing w:val="22"/>
                <w:sz w:val="20"/>
                <w:szCs w:val="20"/>
              </w:rPr>
              <w:t>3</w:t>
            </w:r>
          </w:p>
        </w:tc>
        <w:tc>
          <w:tcPr>
            <w:tcW w:w="2817" w:type="dxa"/>
            <w:vAlign w:val="top"/>
          </w:tcPr>
          <w:p>
            <w:pPr>
              <w:spacing w:before="140" w:line="234" w:lineRule="auto"/>
              <w:ind w:left="1122"/>
              <w:rPr>
                <w:rFonts w:ascii="宋体" w:hAnsi="宋体" w:eastAsia="宋体" w:cs="宋体"/>
                <w:sz w:val="20"/>
                <w:szCs w:val="20"/>
              </w:rPr>
            </w:pPr>
            <w:r>
              <w:rPr>
                <w:rFonts w:ascii="宋体" w:hAnsi="宋体" w:eastAsia="宋体" w:cs="宋体"/>
                <w:spacing w:val="-6"/>
                <w:sz w:val="20"/>
                <w:szCs w:val="20"/>
              </w:rPr>
              <w:t>0.0007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2" w:line="232" w:lineRule="auto"/>
              <w:ind w:left="1173"/>
              <w:rPr>
                <w:rFonts w:ascii="宋体" w:hAnsi="宋体" w:eastAsia="宋体" w:cs="宋体"/>
                <w:sz w:val="20"/>
                <w:szCs w:val="20"/>
              </w:rPr>
            </w:pPr>
            <w:r>
              <w:rPr>
                <w:rFonts w:ascii="宋体" w:hAnsi="宋体" w:eastAsia="宋体" w:cs="宋体"/>
                <w:spacing w:val="4"/>
                <w:sz w:val="20"/>
                <w:szCs w:val="20"/>
              </w:rPr>
              <w:t>草板纸</w:t>
            </w:r>
            <w:r>
              <w:rPr>
                <w:rFonts w:ascii="宋体" w:hAnsi="宋体" w:eastAsia="宋体" w:cs="宋体"/>
                <w:spacing w:val="-37"/>
                <w:sz w:val="20"/>
                <w:szCs w:val="20"/>
              </w:rPr>
              <w:t xml:space="preserve"> </w:t>
            </w:r>
            <w:r>
              <w:rPr>
                <w:rFonts w:ascii="宋体" w:hAnsi="宋体" w:eastAsia="宋体" w:cs="宋体"/>
                <w:spacing w:val="4"/>
                <w:sz w:val="20"/>
                <w:szCs w:val="20"/>
              </w:rPr>
              <w:t>80#</w:t>
            </w:r>
          </w:p>
        </w:tc>
        <w:tc>
          <w:tcPr>
            <w:tcW w:w="2142" w:type="dxa"/>
            <w:vAlign w:val="top"/>
          </w:tcPr>
          <w:p>
            <w:pPr>
              <w:spacing w:before="151" w:line="214" w:lineRule="auto"/>
              <w:ind w:left="973"/>
              <w:rPr>
                <w:rFonts w:ascii="宋体" w:hAnsi="宋体" w:eastAsia="宋体" w:cs="宋体"/>
                <w:sz w:val="20"/>
                <w:szCs w:val="20"/>
              </w:rPr>
            </w:pPr>
            <w:r>
              <w:rPr>
                <w:rFonts w:ascii="宋体" w:hAnsi="宋体" w:eastAsia="宋体" w:cs="宋体"/>
                <w:sz w:val="20"/>
                <w:szCs w:val="20"/>
              </w:rPr>
              <w:t>张</w:t>
            </w:r>
          </w:p>
        </w:tc>
        <w:tc>
          <w:tcPr>
            <w:tcW w:w="2817" w:type="dxa"/>
            <w:vAlign w:val="top"/>
          </w:tcPr>
          <w:p>
            <w:pPr>
              <w:spacing w:before="142" w:line="232" w:lineRule="auto"/>
              <w:ind w:left="1126"/>
              <w:rPr>
                <w:rFonts w:ascii="宋体" w:hAnsi="宋体" w:eastAsia="宋体" w:cs="宋体"/>
                <w:sz w:val="20"/>
                <w:szCs w:val="20"/>
              </w:rPr>
            </w:pPr>
            <w:r>
              <w:rPr>
                <w:rFonts w:ascii="宋体" w:hAnsi="宋体" w:eastAsia="宋体" w:cs="宋体"/>
                <w:spacing w:val="-7"/>
                <w:sz w:val="20"/>
                <w:szCs w:val="20"/>
              </w:rPr>
              <w:t>3.0000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3" w:line="231" w:lineRule="auto"/>
              <w:ind w:left="1117"/>
              <w:rPr>
                <w:rFonts w:ascii="宋体" w:hAnsi="宋体" w:eastAsia="宋体" w:cs="宋体"/>
                <w:sz w:val="20"/>
                <w:szCs w:val="20"/>
              </w:rPr>
            </w:pPr>
            <w:r>
              <w:rPr>
                <w:rFonts w:ascii="宋体" w:hAnsi="宋体" w:eastAsia="宋体" w:cs="宋体"/>
                <w:spacing w:val="5"/>
                <w:sz w:val="20"/>
                <w:szCs w:val="20"/>
              </w:rPr>
              <w:t>镀锌钢丝</w:t>
            </w:r>
            <w:r>
              <w:rPr>
                <w:rFonts w:ascii="宋体" w:hAnsi="宋体" w:eastAsia="宋体" w:cs="宋体"/>
                <w:spacing w:val="-35"/>
                <w:sz w:val="20"/>
                <w:szCs w:val="20"/>
              </w:rPr>
              <w:t xml:space="preserve"> </w:t>
            </w:r>
            <w:r>
              <w:rPr>
                <w:rFonts w:ascii="宋体" w:hAnsi="宋体" w:eastAsia="宋体" w:cs="宋体"/>
                <w:spacing w:val="5"/>
                <w:sz w:val="20"/>
                <w:szCs w:val="20"/>
              </w:rPr>
              <w:t>8#</w:t>
            </w:r>
          </w:p>
        </w:tc>
        <w:tc>
          <w:tcPr>
            <w:tcW w:w="2142" w:type="dxa"/>
            <w:vAlign w:val="top"/>
          </w:tcPr>
          <w:p>
            <w:pPr>
              <w:spacing w:before="143" w:line="231"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3" w:line="231" w:lineRule="auto"/>
              <w:ind w:left="1123"/>
              <w:rPr>
                <w:rFonts w:ascii="宋体" w:hAnsi="宋体" w:eastAsia="宋体" w:cs="宋体"/>
                <w:sz w:val="20"/>
                <w:szCs w:val="20"/>
              </w:rPr>
            </w:pPr>
            <w:r>
              <w:rPr>
                <w:rFonts w:ascii="宋体" w:hAnsi="宋体" w:eastAsia="宋体" w:cs="宋体"/>
                <w:spacing w:val="-6"/>
                <w:sz w:val="20"/>
                <w:szCs w:val="20"/>
              </w:rPr>
              <w:t>2.2140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44" w:line="231" w:lineRule="auto"/>
              <w:ind w:left="1066"/>
              <w:rPr>
                <w:rFonts w:ascii="宋体" w:hAnsi="宋体" w:eastAsia="宋体" w:cs="宋体"/>
                <w:sz w:val="20"/>
                <w:szCs w:val="20"/>
              </w:rPr>
            </w:pPr>
            <w:r>
              <w:rPr>
                <w:rFonts w:ascii="宋体" w:hAnsi="宋体" w:eastAsia="宋体" w:cs="宋体"/>
                <w:spacing w:val="13"/>
                <w:sz w:val="20"/>
                <w:szCs w:val="20"/>
              </w:rPr>
              <w:t>镀锌钢丝22#</w:t>
            </w:r>
          </w:p>
        </w:tc>
        <w:tc>
          <w:tcPr>
            <w:tcW w:w="2142" w:type="dxa"/>
            <w:vAlign w:val="top"/>
          </w:tcPr>
          <w:p>
            <w:pPr>
              <w:spacing w:before="144" w:line="231"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4" w:line="231" w:lineRule="auto"/>
              <w:ind w:left="1122"/>
              <w:rPr>
                <w:rFonts w:ascii="宋体" w:hAnsi="宋体" w:eastAsia="宋体" w:cs="宋体"/>
                <w:sz w:val="20"/>
                <w:szCs w:val="20"/>
              </w:rPr>
            </w:pPr>
            <w:r>
              <w:rPr>
                <w:rFonts w:ascii="宋体" w:hAnsi="宋体" w:eastAsia="宋体" w:cs="宋体"/>
                <w:spacing w:val="-6"/>
                <w:sz w:val="20"/>
                <w:szCs w:val="20"/>
              </w:rPr>
              <w:t>0.0180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50" w:line="219" w:lineRule="auto"/>
              <w:ind w:left="1149"/>
              <w:rPr>
                <w:rFonts w:ascii="宋体" w:hAnsi="宋体" w:eastAsia="宋体" w:cs="宋体"/>
                <w:sz w:val="20"/>
                <w:szCs w:val="20"/>
              </w:rPr>
            </w:pPr>
            <w:r>
              <w:rPr>
                <w:rFonts w:ascii="宋体" w:hAnsi="宋体" w:eastAsia="宋体" w:cs="宋体"/>
                <w:spacing w:val="7"/>
                <w:sz w:val="20"/>
                <w:szCs w:val="20"/>
              </w:rPr>
              <w:t>复合木模板</w:t>
            </w:r>
          </w:p>
        </w:tc>
        <w:tc>
          <w:tcPr>
            <w:tcW w:w="2142" w:type="dxa"/>
            <w:vAlign w:val="top"/>
          </w:tcPr>
          <w:p>
            <w:pPr>
              <w:spacing w:before="145" w:line="230" w:lineRule="auto"/>
              <w:ind w:left="972"/>
              <w:rPr>
                <w:rFonts w:ascii="宋体" w:hAnsi="宋体" w:eastAsia="宋体" w:cs="宋体"/>
                <w:sz w:val="20"/>
                <w:szCs w:val="20"/>
              </w:rPr>
            </w:pPr>
            <w:r>
              <w:rPr>
                <w:rFonts w:ascii="宋体" w:hAnsi="宋体" w:eastAsia="宋体" w:cs="宋体"/>
                <w:sz w:val="20"/>
                <w:szCs w:val="20"/>
              </w:rPr>
              <w:t>㎡</w:t>
            </w:r>
          </w:p>
        </w:tc>
        <w:tc>
          <w:tcPr>
            <w:tcW w:w="2817" w:type="dxa"/>
            <w:vAlign w:val="top"/>
          </w:tcPr>
          <w:p>
            <w:pPr>
              <w:spacing w:before="145" w:line="230" w:lineRule="auto"/>
              <w:ind w:left="1123"/>
              <w:rPr>
                <w:rFonts w:ascii="宋体" w:hAnsi="宋体" w:eastAsia="宋体" w:cs="宋体"/>
                <w:sz w:val="20"/>
                <w:szCs w:val="20"/>
              </w:rPr>
            </w:pPr>
            <w:r>
              <w:rPr>
                <w:rFonts w:ascii="宋体" w:hAnsi="宋体" w:eastAsia="宋体" w:cs="宋体"/>
                <w:spacing w:val="-6"/>
                <w:sz w:val="20"/>
                <w:szCs w:val="20"/>
              </w:rPr>
              <w:t>2.8316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48" w:line="218" w:lineRule="auto"/>
              <w:ind w:left="1039"/>
              <w:rPr>
                <w:rFonts w:ascii="宋体" w:hAnsi="宋体" w:eastAsia="宋体" w:cs="宋体"/>
                <w:sz w:val="20"/>
                <w:szCs w:val="20"/>
              </w:rPr>
            </w:pPr>
            <w:r>
              <w:rPr>
                <w:rFonts w:ascii="宋体" w:hAnsi="宋体" w:eastAsia="宋体" w:cs="宋体"/>
                <w:spacing w:val="8"/>
                <w:sz w:val="20"/>
                <w:szCs w:val="20"/>
              </w:rPr>
              <w:t>梁卡具模板用</w:t>
            </w:r>
          </w:p>
        </w:tc>
        <w:tc>
          <w:tcPr>
            <w:tcW w:w="2142" w:type="dxa"/>
            <w:vAlign w:val="top"/>
          </w:tcPr>
          <w:p>
            <w:pPr>
              <w:spacing w:before="143" w:line="232"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3" w:line="232" w:lineRule="auto"/>
              <w:ind w:left="1122"/>
              <w:rPr>
                <w:rFonts w:ascii="宋体" w:hAnsi="宋体" w:eastAsia="宋体" w:cs="宋体"/>
                <w:sz w:val="20"/>
                <w:szCs w:val="20"/>
              </w:rPr>
            </w:pPr>
            <w:r>
              <w:rPr>
                <w:rFonts w:ascii="宋体" w:hAnsi="宋体" w:eastAsia="宋体" w:cs="宋体"/>
                <w:spacing w:val="-6"/>
                <w:sz w:val="20"/>
                <w:szCs w:val="20"/>
              </w:rPr>
              <w:t>0.5890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48" w:line="219" w:lineRule="auto"/>
              <w:ind w:left="937"/>
              <w:rPr>
                <w:rFonts w:ascii="宋体" w:hAnsi="宋体" w:eastAsia="宋体" w:cs="宋体"/>
                <w:sz w:val="20"/>
                <w:szCs w:val="20"/>
              </w:rPr>
            </w:pPr>
            <w:r>
              <w:rPr>
                <w:rFonts w:ascii="宋体" w:hAnsi="宋体" w:eastAsia="宋体" w:cs="宋体"/>
                <w:spacing w:val="9"/>
                <w:sz w:val="20"/>
                <w:szCs w:val="20"/>
              </w:rPr>
              <w:t>支撑钢管及扣件</w:t>
            </w:r>
          </w:p>
        </w:tc>
        <w:tc>
          <w:tcPr>
            <w:tcW w:w="2142" w:type="dxa"/>
            <w:vAlign w:val="top"/>
          </w:tcPr>
          <w:p>
            <w:pPr>
              <w:spacing w:before="143" w:line="232"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3" w:line="232" w:lineRule="auto"/>
              <w:ind w:left="1076"/>
              <w:rPr>
                <w:rFonts w:ascii="宋体" w:hAnsi="宋体" w:eastAsia="宋体" w:cs="宋体"/>
                <w:sz w:val="20"/>
                <w:szCs w:val="20"/>
              </w:rPr>
            </w:pPr>
            <w:r>
              <w:rPr>
                <w:rFonts w:ascii="宋体" w:hAnsi="宋体" w:eastAsia="宋体" w:cs="宋体"/>
                <w:spacing w:val="-5"/>
                <w:sz w:val="20"/>
                <w:szCs w:val="20"/>
              </w:rPr>
              <w:t>36.3817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44" w:line="231" w:lineRule="auto"/>
              <w:ind w:left="1355"/>
              <w:rPr>
                <w:rFonts w:ascii="宋体" w:hAnsi="宋体" w:eastAsia="宋体" w:cs="宋体"/>
                <w:sz w:val="20"/>
                <w:szCs w:val="20"/>
              </w:rPr>
            </w:pPr>
            <w:r>
              <w:rPr>
                <w:rFonts w:ascii="宋体" w:hAnsi="宋体" w:eastAsia="宋体" w:cs="宋体"/>
                <w:spacing w:val="8"/>
                <w:sz w:val="20"/>
                <w:szCs w:val="20"/>
              </w:rPr>
              <w:t>锯成材</w:t>
            </w:r>
          </w:p>
        </w:tc>
        <w:tc>
          <w:tcPr>
            <w:tcW w:w="2142" w:type="dxa"/>
            <w:vAlign w:val="top"/>
          </w:tcPr>
          <w:p>
            <w:pPr>
              <w:pStyle w:val="6"/>
              <w:spacing w:before="144" w:line="231" w:lineRule="auto"/>
              <w:ind w:left="964"/>
              <w:rPr>
                <w:sz w:val="20"/>
                <w:szCs w:val="20"/>
              </w:rPr>
            </w:pPr>
            <w:r>
              <w:rPr>
                <w:rFonts w:ascii="宋体" w:hAnsi="宋体" w:eastAsia="宋体" w:cs="宋体"/>
                <w:spacing w:val="22"/>
                <w:sz w:val="20"/>
                <w:szCs w:val="20"/>
              </w:rPr>
              <w:t>m</w:t>
            </w:r>
            <w:r>
              <w:rPr>
                <w:spacing w:val="22"/>
                <w:sz w:val="20"/>
                <w:szCs w:val="20"/>
              </w:rPr>
              <w:t>3</w:t>
            </w:r>
          </w:p>
        </w:tc>
        <w:tc>
          <w:tcPr>
            <w:tcW w:w="2817" w:type="dxa"/>
            <w:vAlign w:val="top"/>
          </w:tcPr>
          <w:p>
            <w:pPr>
              <w:spacing w:before="144" w:line="231" w:lineRule="auto"/>
              <w:ind w:left="1122"/>
              <w:rPr>
                <w:rFonts w:ascii="宋体" w:hAnsi="宋体" w:eastAsia="宋体" w:cs="宋体"/>
                <w:sz w:val="20"/>
                <w:szCs w:val="20"/>
              </w:rPr>
            </w:pPr>
            <w:r>
              <w:rPr>
                <w:rFonts w:ascii="宋体" w:hAnsi="宋体" w:eastAsia="宋体" w:cs="宋体"/>
                <w:spacing w:val="-6"/>
                <w:sz w:val="20"/>
                <w:szCs w:val="20"/>
              </w:rPr>
              <w:t>0.0645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52" w:line="216" w:lineRule="auto"/>
              <w:ind w:left="1476"/>
              <w:rPr>
                <w:rFonts w:ascii="宋体" w:hAnsi="宋体" w:eastAsia="宋体" w:cs="宋体"/>
                <w:sz w:val="20"/>
                <w:szCs w:val="20"/>
              </w:rPr>
            </w:pPr>
            <w:r>
              <w:rPr>
                <w:rFonts w:ascii="宋体" w:hAnsi="宋体" w:eastAsia="宋体" w:cs="宋体"/>
                <w:spacing w:val="-2"/>
                <w:sz w:val="20"/>
                <w:szCs w:val="20"/>
              </w:rPr>
              <w:t>圆钉</w:t>
            </w:r>
          </w:p>
        </w:tc>
        <w:tc>
          <w:tcPr>
            <w:tcW w:w="2142" w:type="dxa"/>
            <w:vAlign w:val="top"/>
          </w:tcPr>
          <w:p>
            <w:pPr>
              <w:spacing w:before="144" w:line="231"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4" w:line="231" w:lineRule="auto"/>
              <w:ind w:left="1122"/>
              <w:rPr>
                <w:rFonts w:ascii="宋体" w:hAnsi="宋体" w:eastAsia="宋体" w:cs="宋体"/>
                <w:sz w:val="20"/>
                <w:szCs w:val="20"/>
              </w:rPr>
            </w:pPr>
            <w:r>
              <w:rPr>
                <w:rFonts w:ascii="宋体" w:hAnsi="宋体" w:eastAsia="宋体" w:cs="宋体"/>
                <w:spacing w:val="-6"/>
                <w:sz w:val="20"/>
                <w:szCs w:val="20"/>
              </w:rPr>
              <w:t>0.4824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51" w:line="216" w:lineRule="auto"/>
              <w:ind w:left="1367"/>
              <w:rPr>
                <w:rFonts w:ascii="宋体" w:hAnsi="宋体" w:eastAsia="宋体" w:cs="宋体"/>
                <w:sz w:val="20"/>
                <w:szCs w:val="20"/>
              </w:rPr>
            </w:pPr>
            <w:r>
              <w:rPr>
                <w:rFonts w:ascii="宋体" w:hAnsi="宋体" w:eastAsia="宋体" w:cs="宋体"/>
                <w:spacing w:val="4"/>
                <w:sz w:val="20"/>
                <w:szCs w:val="20"/>
              </w:rPr>
              <w:t>隔离剂</w:t>
            </w:r>
          </w:p>
        </w:tc>
        <w:tc>
          <w:tcPr>
            <w:tcW w:w="2142" w:type="dxa"/>
            <w:vAlign w:val="top"/>
          </w:tcPr>
          <w:p>
            <w:pPr>
              <w:spacing w:before="144" w:line="231"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4" w:line="231" w:lineRule="auto"/>
              <w:ind w:left="1140"/>
              <w:rPr>
                <w:rFonts w:ascii="宋体" w:hAnsi="宋体" w:eastAsia="宋体" w:cs="宋体"/>
                <w:sz w:val="20"/>
                <w:szCs w:val="20"/>
              </w:rPr>
            </w:pPr>
            <w:r>
              <w:rPr>
                <w:rFonts w:ascii="宋体" w:hAnsi="宋体" w:eastAsia="宋体" w:cs="宋体"/>
                <w:spacing w:val="-9"/>
                <w:sz w:val="20"/>
                <w:szCs w:val="20"/>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1063" w:type="dxa"/>
            <w:vMerge w:val="continue"/>
            <w:tcBorders>
              <w:top w:val="nil"/>
            </w:tcBorders>
            <w:vAlign w:val="top"/>
          </w:tcPr>
          <w:p>
            <w:pPr>
              <w:pStyle w:val="6"/>
            </w:pPr>
          </w:p>
        </w:tc>
        <w:tc>
          <w:tcPr>
            <w:tcW w:w="3338" w:type="dxa"/>
            <w:vAlign w:val="top"/>
          </w:tcPr>
          <w:p>
            <w:pPr>
              <w:spacing w:before="145" w:line="232" w:lineRule="auto"/>
              <w:ind w:left="912"/>
              <w:rPr>
                <w:rFonts w:ascii="宋体" w:hAnsi="宋体" w:eastAsia="宋体" w:cs="宋体"/>
                <w:sz w:val="20"/>
                <w:szCs w:val="20"/>
              </w:rPr>
            </w:pPr>
            <w:r>
              <w:rPr>
                <w:rFonts w:ascii="宋体" w:hAnsi="宋体" w:eastAsia="宋体" w:cs="宋体"/>
                <w:spacing w:val="15"/>
                <w:sz w:val="20"/>
                <w:szCs w:val="20"/>
              </w:rPr>
              <w:t>木脚手板△=5</w:t>
            </w:r>
            <w:r>
              <w:rPr>
                <w:rFonts w:ascii="宋体" w:hAnsi="宋体" w:eastAsia="宋体" w:cs="宋体"/>
                <w:sz w:val="20"/>
                <w:szCs w:val="20"/>
              </w:rPr>
              <w:t>cm</w:t>
            </w:r>
          </w:p>
        </w:tc>
        <w:tc>
          <w:tcPr>
            <w:tcW w:w="2142" w:type="dxa"/>
            <w:vAlign w:val="top"/>
          </w:tcPr>
          <w:p>
            <w:pPr>
              <w:pStyle w:val="6"/>
              <w:spacing w:before="145" w:line="232" w:lineRule="auto"/>
              <w:ind w:left="964"/>
              <w:rPr>
                <w:sz w:val="20"/>
                <w:szCs w:val="20"/>
              </w:rPr>
            </w:pPr>
            <w:r>
              <w:rPr>
                <w:rFonts w:ascii="宋体" w:hAnsi="宋体" w:eastAsia="宋体" w:cs="宋体"/>
                <w:spacing w:val="22"/>
                <w:sz w:val="20"/>
                <w:szCs w:val="20"/>
              </w:rPr>
              <w:t>m</w:t>
            </w:r>
            <w:r>
              <w:rPr>
                <w:spacing w:val="22"/>
                <w:sz w:val="20"/>
                <w:szCs w:val="20"/>
              </w:rPr>
              <w:t>3</w:t>
            </w:r>
          </w:p>
        </w:tc>
        <w:tc>
          <w:tcPr>
            <w:tcW w:w="2817" w:type="dxa"/>
            <w:vAlign w:val="top"/>
          </w:tcPr>
          <w:p>
            <w:pPr>
              <w:spacing w:before="145" w:line="232" w:lineRule="auto"/>
              <w:ind w:left="1122"/>
              <w:rPr>
                <w:rFonts w:ascii="宋体" w:hAnsi="宋体" w:eastAsia="宋体" w:cs="宋体"/>
                <w:sz w:val="20"/>
                <w:szCs w:val="20"/>
              </w:rPr>
            </w:pPr>
            <w:r>
              <w:rPr>
                <w:rFonts w:ascii="宋体" w:hAnsi="宋体" w:eastAsia="宋体" w:cs="宋体"/>
                <w:spacing w:val="-6"/>
                <w:sz w:val="20"/>
                <w:szCs w:val="20"/>
              </w:rPr>
              <w:t>0.0064</w:t>
            </w:r>
          </w:p>
        </w:tc>
      </w:tr>
    </w:tbl>
    <w:p>
      <w:pPr>
        <w:rPr>
          <w:rFonts w:ascii="Arial"/>
          <w:sz w:val="21"/>
        </w:rPr>
      </w:pPr>
    </w:p>
    <w:p>
      <w:pPr>
        <w:rPr>
          <w:rFonts w:ascii="Arial" w:hAnsi="Arial" w:eastAsia="Arial" w:cs="Arial"/>
          <w:sz w:val="21"/>
          <w:szCs w:val="21"/>
        </w:rPr>
        <w:sectPr>
          <w:footerReference r:id="rId143" w:type="default"/>
          <w:pgSz w:w="11906" w:h="16839"/>
          <w:pgMar w:top="400" w:right="1139" w:bottom="1212" w:left="1401" w:header="0" w:footer="897" w:gutter="0"/>
        </w:sectPr>
      </w:pPr>
    </w:p>
    <w:p>
      <w:pPr>
        <w:spacing w:before="13"/>
      </w:pPr>
    </w:p>
    <w:p>
      <w:pPr>
        <w:spacing w:before="13"/>
      </w:pPr>
    </w:p>
    <w:p>
      <w:pPr>
        <w:spacing w:before="13"/>
      </w:pPr>
    </w:p>
    <w:p>
      <w:pPr>
        <w:spacing w:before="12"/>
      </w:pPr>
    </w:p>
    <w:tbl>
      <w:tblPr>
        <w:tblStyle w:val="5"/>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3"/>
        <w:gridCol w:w="3338"/>
        <w:gridCol w:w="2142"/>
        <w:gridCol w:w="28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9" w:hRule="atLeast"/>
        </w:trPr>
        <w:tc>
          <w:tcPr>
            <w:tcW w:w="1063" w:type="dxa"/>
            <w:vMerge w:val="restart"/>
            <w:tcBorders>
              <w:bottom w:val="nil"/>
            </w:tcBorders>
            <w:vAlign w:val="top"/>
          </w:tcPr>
          <w:p>
            <w:pPr>
              <w:pStyle w:val="6"/>
            </w:pPr>
          </w:p>
        </w:tc>
        <w:tc>
          <w:tcPr>
            <w:tcW w:w="3338" w:type="dxa"/>
            <w:vAlign w:val="top"/>
          </w:tcPr>
          <w:p>
            <w:pPr>
              <w:spacing w:before="148" w:line="219" w:lineRule="auto"/>
              <w:ind w:left="1249"/>
              <w:rPr>
                <w:rFonts w:ascii="宋体" w:hAnsi="宋体" w:eastAsia="宋体" w:cs="宋体"/>
                <w:sz w:val="20"/>
                <w:szCs w:val="20"/>
              </w:rPr>
            </w:pPr>
            <w:r>
              <w:rPr>
                <w:rFonts w:ascii="宋体" w:hAnsi="宋体" w:eastAsia="宋体" w:cs="宋体"/>
                <w:spacing w:val="8"/>
                <w:sz w:val="20"/>
                <w:szCs w:val="20"/>
              </w:rPr>
              <w:t>对拉螺栓</w:t>
            </w:r>
          </w:p>
        </w:tc>
        <w:tc>
          <w:tcPr>
            <w:tcW w:w="2142" w:type="dxa"/>
            <w:vAlign w:val="top"/>
          </w:tcPr>
          <w:p>
            <w:pPr>
              <w:spacing w:before="143" w:line="236"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3" w:line="236" w:lineRule="auto"/>
              <w:ind w:left="1122"/>
              <w:rPr>
                <w:rFonts w:ascii="宋体" w:hAnsi="宋体" w:eastAsia="宋体" w:cs="宋体"/>
                <w:sz w:val="20"/>
                <w:szCs w:val="20"/>
              </w:rPr>
            </w:pPr>
            <w:r>
              <w:rPr>
                <w:rFonts w:ascii="宋体" w:hAnsi="宋体" w:eastAsia="宋体" w:cs="宋体"/>
                <w:spacing w:val="-6"/>
                <w:sz w:val="20"/>
                <w:szCs w:val="20"/>
              </w:rPr>
              <w:t>0.5192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5" w:line="217" w:lineRule="auto"/>
              <w:ind w:left="1358"/>
              <w:rPr>
                <w:rFonts w:ascii="宋体" w:hAnsi="宋体" w:eastAsia="宋体" w:cs="宋体"/>
                <w:sz w:val="20"/>
                <w:szCs w:val="20"/>
              </w:rPr>
            </w:pPr>
            <w:r>
              <w:rPr>
                <w:rFonts w:ascii="宋体" w:hAnsi="宋体" w:eastAsia="宋体" w:cs="宋体"/>
                <w:spacing w:val="7"/>
                <w:sz w:val="20"/>
                <w:szCs w:val="20"/>
              </w:rPr>
              <w:t>尼龙帽</w:t>
            </w:r>
          </w:p>
        </w:tc>
        <w:tc>
          <w:tcPr>
            <w:tcW w:w="2142" w:type="dxa"/>
            <w:vAlign w:val="top"/>
          </w:tcPr>
          <w:p>
            <w:pPr>
              <w:spacing w:before="147" w:line="216" w:lineRule="auto"/>
              <w:ind w:left="965"/>
              <w:rPr>
                <w:rFonts w:ascii="宋体" w:hAnsi="宋体" w:eastAsia="宋体" w:cs="宋体"/>
                <w:sz w:val="20"/>
                <w:szCs w:val="20"/>
              </w:rPr>
            </w:pPr>
            <w:r>
              <w:rPr>
                <w:rFonts w:ascii="宋体" w:hAnsi="宋体" w:eastAsia="宋体" w:cs="宋体"/>
                <w:spacing w:val="6"/>
                <w:sz w:val="20"/>
                <w:szCs w:val="20"/>
              </w:rPr>
              <w:t>个</w:t>
            </w:r>
          </w:p>
        </w:tc>
        <w:tc>
          <w:tcPr>
            <w:tcW w:w="2817" w:type="dxa"/>
            <w:vAlign w:val="top"/>
          </w:tcPr>
          <w:p>
            <w:pPr>
              <w:spacing w:before="139" w:line="235" w:lineRule="auto"/>
              <w:ind w:left="1090"/>
              <w:rPr>
                <w:rFonts w:ascii="宋体" w:hAnsi="宋体" w:eastAsia="宋体" w:cs="宋体"/>
                <w:sz w:val="20"/>
                <w:szCs w:val="20"/>
              </w:rPr>
            </w:pPr>
            <w:r>
              <w:rPr>
                <w:rFonts w:ascii="宋体" w:hAnsi="宋体" w:eastAsia="宋体" w:cs="宋体"/>
                <w:spacing w:val="-7"/>
                <w:sz w:val="20"/>
                <w:szCs w:val="20"/>
              </w:rPr>
              <w:t>16.5720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5" w:line="220" w:lineRule="auto"/>
              <w:ind w:left="1254"/>
              <w:rPr>
                <w:rFonts w:ascii="宋体" w:hAnsi="宋体" w:eastAsia="宋体" w:cs="宋体"/>
                <w:sz w:val="20"/>
                <w:szCs w:val="20"/>
              </w:rPr>
            </w:pPr>
            <w:r>
              <w:rPr>
                <w:rFonts w:ascii="宋体" w:hAnsi="宋体" w:eastAsia="宋体" w:cs="宋体"/>
                <w:spacing w:val="7"/>
                <w:sz w:val="20"/>
                <w:szCs w:val="20"/>
              </w:rPr>
              <w:t>塑料套管</w:t>
            </w:r>
          </w:p>
        </w:tc>
        <w:tc>
          <w:tcPr>
            <w:tcW w:w="2142" w:type="dxa"/>
            <w:vAlign w:val="top"/>
          </w:tcPr>
          <w:p>
            <w:pPr>
              <w:spacing w:before="145" w:line="221" w:lineRule="auto"/>
              <w:ind w:left="965"/>
              <w:rPr>
                <w:rFonts w:ascii="宋体" w:hAnsi="宋体" w:eastAsia="宋体" w:cs="宋体"/>
                <w:sz w:val="20"/>
                <w:szCs w:val="20"/>
              </w:rPr>
            </w:pPr>
            <w:r>
              <w:rPr>
                <w:rFonts w:ascii="宋体" w:hAnsi="宋体" w:eastAsia="宋体" w:cs="宋体"/>
                <w:spacing w:val="6"/>
                <w:sz w:val="20"/>
                <w:szCs w:val="20"/>
              </w:rPr>
              <w:t>套</w:t>
            </w:r>
          </w:p>
        </w:tc>
        <w:tc>
          <w:tcPr>
            <w:tcW w:w="2817" w:type="dxa"/>
            <w:vAlign w:val="top"/>
          </w:tcPr>
          <w:p>
            <w:pPr>
              <w:spacing w:before="141" w:line="233" w:lineRule="auto"/>
              <w:ind w:left="1126"/>
              <w:rPr>
                <w:rFonts w:ascii="宋体" w:hAnsi="宋体" w:eastAsia="宋体" w:cs="宋体"/>
                <w:sz w:val="20"/>
                <w:szCs w:val="20"/>
              </w:rPr>
            </w:pPr>
            <w:r>
              <w:rPr>
                <w:rFonts w:ascii="宋体" w:hAnsi="宋体" w:eastAsia="宋体" w:cs="宋体"/>
                <w:spacing w:val="-7"/>
                <w:sz w:val="20"/>
                <w:szCs w:val="20"/>
              </w:rPr>
              <w:t>8.2860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2" w:line="232" w:lineRule="auto"/>
              <w:ind w:left="1045"/>
              <w:rPr>
                <w:rFonts w:ascii="宋体" w:hAnsi="宋体" w:eastAsia="宋体" w:cs="宋体"/>
                <w:sz w:val="20"/>
                <w:szCs w:val="20"/>
              </w:rPr>
            </w:pPr>
            <w:r>
              <w:rPr>
                <w:rFonts w:ascii="宋体" w:hAnsi="宋体" w:eastAsia="宋体" w:cs="宋体"/>
                <w:spacing w:val="8"/>
                <w:sz w:val="20"/>
                <w:szCs w:val="20"/>
              </w:rPr>
              <w:t>型钢（槽钢）</w:t>
            </w:r>
          </w:p>
        </w:tc>
        <w:tc>
          <w:tcPr>
            <w:tcW w:w="2142" w:type="dxa"/>
            <w:vAlign w:val="top"/>
          </w:tcPr>
          <w:p>
            <w:pPr>
              <w:spacing w:before="142" w:line="232"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2" w:line="232" w:lineRule="auto"/>
              <w:ind w:left="1140"/>
              <w:rPr>
                <w:rFonts w:ascii="宋体" w:hAnsi="宋体" w:eastAsia="宋体" w:cs="宋体"/>
                <w:sz w:val="20"/>
                <w:szCs w:val="20"/>
              </w:rPr>
            </w:pPr>
            <w:r>
              <w:rPr>
                <w:rFonts w:ascii="宋体" w:hAnsi="宋体" w:eastAsia="宋体" w:cs="宋体"/>
                <w:spacing w:val="-9"/>
                <w:sz w:val="20"/>
                <w:szCs w:val="20"/>
              </w:rPr>
              <w:t>1.7203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063" w:type="dxa"/>
            <w:vMerge w:val="continue"/>
            <w:tcBorders>
              <w:top w:val="nil"/>
              <w:bottom w:val="nil"/>
            </w:tcBorders>
            <w:vAlign w:val="top"/>
          </w:tcPr>
          <w:p>
            <w:pPr>
              <w:pStyle w:val="6"/>
            </w:pPr>
          </w:p>
        </w:tc>
        <w:tc>
          <w:tcPr>
            <w:tcW w:w="3338" w:type="dxa"/>
            <w:vAlign w:val="top"/>
          </w:tcPr>
          <w:p>
            <w:pPr>
              <w:spacing w:before="149" w:line="219" w:lineRule="auto"/>
              <w:ind w:left="1146"/>
              <w:rPr>
                <w:rFonts w:ascii="宋体" w:hAnsi="宋体" w:eastAsia="宋体" w:cs="宋体"/>
                <w:sz w:val="20"/>
                <w:szCs w:val="20"/>
              </w:rPr>
            </w:pPr>
            <w:r>
              <w:rPr>
                <w:rFonts w:ascii="宋体" w:hAnsi="宋体" w:eastAsia="宋体" w:cs="宋体"/>
                <w:spacing w:val="8"/>
                <w:sz w:val="20"/>
                <w:szCs w:val="20"/>
              </w:rPr>
              <w:t>红丹防锈漆</w:t>
            </w:r>
          </w:p>
        </w:tc>
        <w:tc>
          <w:tcPr>
            <w:tcW w:w="2142" w:type="dxa"/>
            <w:vAlign w:val="top"/>
          </w:tcPr>
          <w:p>
            <w:pPr>
              <w:spacing w:before="143" w:line="231"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3" w:line="231" w:lineRule="auto"/>
              <w:ind w:left="1175"/>
              <w:rPr>
                <w:rFonts w:ascii="宋体" w:hAnsi="宋体" w:eastAsia="宋体" w:cs="宋体"/>
                <w:sz w:val="20"/>
                <w:szCs w:val="20"/>
              </w:rPr>
            </w:pPr>
            <w:r>
              <w:rPr>
                <w:rFonts w:ascii="宋体" w:hAnsi="宋体" w:eastAsia="宋体" w:cs="宋体"/>
                <w:spacing w:val="-8"/>
                <w:sz w:val="20"/>
                <w:szCs w:val="20"/>
              </w:rPr>
              <w:t>0.319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tcBorders>
            <w:vAlign w:val="top"/>
          </w:tcPr>
          <w:p>
            <w:pPr>
              <w:pStyle w:val="6"/>
            </w:pPr>
          </w:p>
        </w:tc>
        <w:tc>
          <w:tcPr>
            <w:tcW w:w="3338" w:type="dxa"/>
            <w:vAlign w:val="top"/>
          </w:tcPr>
          <w:p>
            <w:pPr>
              <w:spacing w:before="151" w:line="217" w:lineRule="auto"/>
              <w:ind w:left="1146"/>
              <w:rPr>
                <w:rFonts w:ascii="宋体" w:hAnsi="宋体" w:eastAsia="宋体" w:cs="宋体"/>
                <w:sz w:val="20"/>
                <w:szCs w:val="20"/>
              </w:rPr>
            </w:pPr>
            <w:r>
              <w:rPr>
                <w:rFonts w:ascii="宋体" w:hAnsi="宋体" w:eastAsia="宋体" w:cs="宋体"/>
                <w:spacing w:val="8"/>
                <w:sz w:val="20"/>
                <w:szCs w:val="20"/>
              </w:rPr>
              <w:t>油漆溶剂油</w:t>
            </w:r>
          </w:p>
        </w:tc>
        <w:tc>
          <w:tcPr>
            <w:tcW w:w="2142" w:type="dxa"/>
            <w:vAlign w:val="top"/>
          </w:tcPr>
          <w:p>
            <w:pPr>
              <w:spacing w:before="145" w:line="230" w:lineRule="auto"/>
              <w:ind w:left="976"/>
              <w:rPr>
                <w:rFonts w:ascii="宋体" w:hAnsi="宋体" w:eastAsia="宋体" w:cs="宋体"/>
                <w:sz w:val="20"/>
                <w:szCs w:val="20"/>
              </w:rPr>
            </w:pPr>
            <w:r>
              <w:rPr>
                <w:rFonts w:ascii="宋体" w:hAnsi="宋体" w:eastAsia="宋体" w:cs="宋体"/>
                <w:spacing w:val="-2"/>
                <w:sz w:val="20"/>
                <w:szCs w:val="20"/>
              </w:rPr>
              <w:t>kg</w:t>
            </w:r>
          </w:p>
        </w:tc>
        <w:tc>
          <w:tcPr>
            <w:tcW w:w="2817" w:type="dxa"/>
            <w:vAlign w:val="top"/>
          </w:tcPr>
          <w:p>
            <w:pPr>
              <w:spacing w:before="145" w:line="230" w:lineRule="auto"/>
              <w:ind w:left="1175"/>
              <w:rPr>
                <w:rFonts w:ascii="宋体" w:hAnsi="宋体" w:eastAsia="宋体" w:cs="宋体"/>
                <w:sz w:val="20"/>
                <w:szCs w:val="20"/>
              </w:rPr>
            </w:pPr>
            <w:r>
              <w:rPr>
                <w:rFonts w:ascii="宋体" w:hAnsi="宋体" w:eastAsia="宋体" w:cs="宋体"/>
                <w:spacing w:val="-8"/>
                <w:sz w:val="20"/>
                <w:szCs w:val="20"/>
              </w:rPr>
              <w:t>0.034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restart"/>
            <w:tcBorders>
              <w:bottom w:val="nil"/>
            </w:tcBorders>
            <w:vAlign w:val="top"/>
          </w:tcPr>
          <w:p>
            <w:pPr>
              <w:pStyle w:val="6"/>
              <w:spacing w:line="246" w:lineRule="auto"/>
            </w:pPr>
          </w:p>
          <w:p>
            <w:pPr>
              <w:pStyle w:val="6"/>
              <w:spacing w:line="247" w:lineRule="auto"/>
            </w:pPr>
          </w:p>
          <w:p>
            <w:pPr>
              <w:spacing w:before="65" w:line="214" w:lineRule="auto"/>
              <w:ind w:left="325"/>
              <w:rPr>
                <w:rFonts w:ascii="宋体" w:hAnsi="宋体" w:eastAsia="宋体" w:cs="宋体"/>
                <w:sz w:val="20"/>
                <w:szCs w:val="20"/>
              </w:rPr>
            </w:pPr>
            <w:r>
              <w:rPr>
                <w:rFonts w:ascii="宋体" w:hAnsi="宋体" w:eastAsia="宋体" w:cs="宋体"/>
                <w:spacing w:val="6"/>
                <w:sz w:val="20"/>
                <w:szCs w:val="20"/>
              </w:rPr>
              <w:t>机械</w:t>
            </w:r>
          </w:p>
        </w:tc>
        <w:tc>
          <w:tcPr>
            <w:tcW w:w="3338" w:type="dxa"/>
            <w:vAlign w:val="top"/>
          </w:tcPr>
          <w:p>
            <w:pPr>
              <w:spacing w:before="143" w:line="232" w:lineRule="auto"/>
              <w:ind w:left="883"/>
              <w:rPr>
                <w:rFonts w:ascii="宋体" w:hAnsi="宋体" w:eastAsia="宋体" w:cs="宋体"/>
                <w:sz w:val="20"/>
                <w:szCs w:val="20"/>
              </w:rPr>
            </w:pPr>
            <w:r>
              <w:rPr>
                <w:rFonts w:ascii="宋体" w:hAnsi="宋体" w:eastAsia="宋体" w:cs="宋体"/>
                <w:spacing w:val="7"/>
                <w:sz w:val="20"/>
                <w:szCs w:val="20"/>
              </w:rPr>
              <w:t>木工园锯机φ500</w:t>
            </w:r>
          </w:p>
        </w:tc>
        <w:tc>
          <w:tcPr>
            <w:tcW w:w="2142" w:type="dxa"/>
            <w:vAlign w:val="top"/>
          </w:tcPr>
          <w:p>
            <w:pPr>
              <w:spacing w:before="147" w:line="219" w:lineRule="auto"/>
              <w:ind w:left="878"/>
              <w:rPr>
                <w:rFonts w:ascii="宋体" w:hAnsi="宋体" w:eastAsia="宋体" w:cs="宋体"/>
                <w:sz w:val="20"/>
                <w:szCs w:val="20"/>
              </w:rPr>
            </w:pPr>
            <w:r>
              <w:rPr>
                <w:rFonts w:ascii="宋体" w:hAnsi="宋体" w:eastAsia="宋体" w:cs="宋体"/>
                <w:spacing w:val="-2"/>
                <w:sz w:val="20"/>
                <w:szCs w:val="20"/>
              </w:rPr>
              <w:t>台班</w:t>
            </w:r>
          </w:p>
        </w:tc>
        <w:tc>
          <w:tcPr>
            <w:tcW w:w="2817" w:type="dxa"/>
            <w:vAlign w:val="top"/>
          </w:tcPr>
          <w:p>
            <w:pPr>
              <w:spacing w:before="143" w:line="232" w:lineRule="auto"/>
              <w:ind w:left="1122"/>
              <w:rPr>
                <w:rFonts w:ascii="宋体" w:hAnsi="宋体" w:eastAsia="宋体" w:cs="宋体"/>
                <w:sz w:val="20"/>
                <w:szCs w:val="20"/>
              </w:rPr>
            </w:pPr>
            <w:r>
              <w:rPr>
                <w:rFonts w:ascii="宋体" w:hAnsi="宋体" w:eastAsia="宋体" w:cs="宋体"/>
                <w:spacing w:val="-6"/>
                <w:sz w:val="20"/>
                <w:szCs w:val="20"/>
              </w:rPr>
              <w:t>0.0360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bottom w:val="nil"/>
            </w:tcBorders>
            <w:vAlign w:val="top"/>
          </w:tcPr>
          <w:p>
            <w:pPr>
              <w:pStyle w:val="6"/>
            </w:pPr>
          </w:p>
        </w:tc>
        <w:tc>
          <w:tcPr>
            <w:tcW w:w="3338" w:type="dxa"/>
            <w:vAlign w:val="top"/>
          </w:tcPr>
          <w:p>
            <w:pPr>
              <w:spacing w:before="152" w:line="213" w:lineRule="auto"/>
              <w:ind w:left="936"/>
              <w:rPr>
                <w:rFonts w:ascii="宋体" w:hAnsi="宋体" w:eastAsia="宋体" w:cs="宋体"/>
                <w:sz w:val="20"/>
                <w:szCs w:val="20"/>
              </w:rPr>
            </w:pPr>
            <w:r>
              <w:rPr>
                <w:rFonts w:ascii="宋体" w:hAnsi="宋体" w:eastAsia="宋体" w:cs="宋体"/>
                <w:spacing w:val="9"/>
                <w:sz w:val="20"/>
                <w:szCs w:val="20"/>
              </w:rPr>
              <w:t>木工双面压刨机</w:t>
            </w:r>
          </w:p>
        </w:tc>
        <w:tc>
          <w:tcPr>
            <w:tcW w:w="2142" w:type="dxa"/>
            <w:vAlign w:val="top"/>
          </w:tcPr>
          <w:p>
            <w:pPr>
              <w:spacing w:before="148" w:line="219" w:lineRule="auto"/>
              <w:ind w:left="878"/>
              <w:rPr>
                <w:rFonts w:ascii="宋体" w:hAnsi="宋体" w:eastAsia="宋体" w:cs="宋体"/>
                <w:sz w:val="20"/>
                <w:szCs w:val="20"/>
              </w:rPr>
            </w:pPr>
            <w:r>
              <w:rPr>
                <w:rFonts w:ascii="宋体" w:hAnsi="宋体" w:eastAsia="宋体" w:cs="宋体"/>
                <w:spacing w:val="-2"/>
                <w:sz w:val="20"/>
                <w:szCs w:val="20"/>
              </w:rPr>
              <w:t>台班</w:t>
            </w:r>
          </w:p>
        </w:tc>
        <w:tc>
          <w:tcPr>
            <w:tcW w:w="2817" w:type="dxa"/>
            <w:vAlign w:val="top"/>
          </w:tcPr>
          <w:p>
            <w:pPr>
              <w:spacing w:before="143" w:line="232" w:lineRule="auto"/>
              <w:ind w:left="1122"/>
              <w:rPr>
                <w:rFonts w:ascii="宋体" w:hAnsi="宋体" w:eastAsia="宋体" w:cs="宋体"/>
                <w:sz w:val="20"/>
                <w:szCs w:val="20"/>
              </w:rPr>
            </w:pPr>
            <w:r>
              <w:rPr>
                <w:rFonts w:ascii="宋体" w:hAnsi="宋体" w:eastAsia="宋体" w:cs="宋体"/>
                <w:spacing w:val="-6"/>
                <w:sz w:val="20"/>
                <w:szCs w:val="20"/>
              </w:rPr>
              <w:t>0.0050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063" w:type="dxa"/>
            <w:vMerge w:val="continue"/>
            <w:tcBorders>
              <w:top w:val="nil"/>
            </w:tcBorders>
            <w:vAlign w:val="top"/>
          </w:tcPr>
          <w:p>
            <w:pPr>
              <w:pStyle w:val="6"/>
            </w:pPr>
          </w:p>
        </w:tc>
        <w:tc>
          <w:tcPr>
            <w:tcW w:w="3338" w:type="dxa"/>
            <w:vAlign w:val="top"/>
          </w:tcPr>
          <w:p>
            <w:pPr>
              <w:spacing w:before="144" w:line="231" w:lineRule="auto"/>
              <w:ind w:left="1146"/>
              <w:rPr>
                <w:rFonts w:ascii="宋体" w:hAnsi="宋体" w:eastAsia="宋体" w:cs="宋体"/>
                <w:sz w:val="20"/>
                <w:szCs w:val="20"/>
              </w:rPr>
            </w:pPr>
            <w:r>
              <w:rPr>
                <w:rFonts w:ascii="宋体" w:hAnsi="宋体" w:eastAsia="宋体" w:cs="宋体"/>
                <w:spacing w:val="4"/>
                <w:sz w:val="20"/>
                <w:szCs w:val="20"/>
              </w:rPr>
              <w:t>载重汽车</w:t>
            </w:r>
            <w:r>
              <w:rPr>
                <w:rFonts w:ascii="宋体" w:hAnsi="宋体" w:eastAsia="宋体" w:cs="宋体"/>
                <w:spacing w:val="-37"/>
                <w:sz w:val="20"/>
                <w:szCs w:val="20"/>
              </w:rPr>
              <w:t xml:space="preserve"> </w:t>
            </w:r>
            <w:r>
              <w:rPr>
                <w:rFonts w:ascii="宋体" w:hAnsi="宋体" w:eastAsia="宋体" w:cs="宋体"/>
                <w:spacing w:val="4"/>
                <w:sz w:val="20"/>
                <w:szCs w:val="20"/>
              </w:rPr>
              <w:t>6t</w:t>
            </w:r>
          </w:p>
        </w:tc>
        <w:tc>
          <w:tcPr>
            <w:tcW w:w="2142" w:type="dxa"/>
            <w:vAlign w:val="top"/>
          </w:tcPr>
          <w:p>
            <w:pPr>
              <w:spacing w:before="148" w:line="219" w:lineRule="auto"/>
              <w:ind w:left="878"/>
              <w:rPr>
                <w:rFonts w:ascii="宋体" w:hAnsi="宋体" w:eastAsia="宋体" w:cs="宋体"/>
                <w:sz w:val="20"/>
                <w:szCs w:val="20"/>
              </w:rPr>
            </w:pPr>
            <w:r>
              <w:rPr>
                <w:rFonts w:ascii="宋体" w:hAnsi="宋体" w:eastAsia="宋体" w:cs="宋体"/>
                <w:spacing w:val="-2"/>
                <w:sz w:val="20"/>
                <w:szCs w:val="20"/>
              </w:rPr>
              <w:t>台班</w:t>
            </w:r>
          </w:p>
        </w:tc>
        <w:tc>
          <w:tcPr>
            <w:tcW w:w="2817" w:type="dxa"/>
            <w:vAlign w:val="top"/>
          </w:tcPr>
          <w:p>
            <w:pPr>
              <w:spacing w:before="144" w:line="231" w:lineRule="auto"/>
              <w:ind w:left="1122"/>
              <w:rPr>
                <w:rFonts w:ascii="宋体" w:hAnsi="宋体" w:eastAsia="宋体" w:cs="宋体"/>
                <w:sz w:val="20"/>
                <w:szCs w:val="20"/>
              </w:rPr>
            </w:pPr>
            <w:r>
              <w:rPr>
                <w:rFonts w:ascii="宋体" w:hAnsi="宋体" w:eastAsia="宋体" w:cs="宋体"/>
                <w:spacing w:val="-6"/>
                <w:sz w:val="20"/>
                <w:szCs w:val="20"/>
              </w:rPr>
              <w:t>0.1540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9" w:hRule="atLeast"/>
        </w:trPr>
        <w:tc>
          <w:tcPr>
            <w:tcW w:w="9360" w:type="dxa"/>
            <w:gridSpan w:val="4"/>
            <w:vAlign w:val="top"/>
          </w:tcPr>
          <w:p>
            <w:pPr>
              <w:spacing w:before="144" w:line="302" w:lineRule="auto"/>
              <w:ind w:left="15" w:hanging="6"/>
              <w:rPr>
                <w:rFonts w:ascii="宋体" w:hAnsi="宋体" w:eastAsia="宋体" w:cs="宋体"/>
                <w:sz w:val="20"/>
                <w:szCs w:val="20"/>
              </w:rPr>
            </w:pPr>
            <w:r>
              <w:rPr>
                <w:rFonts w:ascii="宋体" w:hAnsi="宋体" w:eastAsia="宋体" w:cs="宋体"/>
                <w:spacing w:val="8"/>
                <w:sz w:val="20"/>
                <w:szCs w:val="20"/>
              </w:rPr>
              <w:t>工程量计算规则：现浇混凝土梁板的模板，按混凝土与模板的接触</w:t>
            </w:r>
            <w:r>
              <w:rPr>
                <w:rFonts w:ascii="宋体" w:hAnsi="宋体" w:eastAsia="宋体" w:cs="宋体"/>
                <w:spacing w:val="7"/>
                <w:sz w:val="20"/>
                <w:szCs w:val="20"/>
              </w:rPr>
              <w:t>面积计算，模板支撑高度自地（楼）</w:t>
            </w:r>
            <w:r>
              <w:rPr>
                <w:rFonts w:ascii="宋体" w:hAnsi="宋体" w:eastAsia="宋体" w:cs="宋体"/>
                <w:spacing w:val="5"/>
                <w:sz w:val="20"/>
                <w:szCs w:val="20"/>
              </w:rPr>
              <w:t>面支撑点计算至板底。</w:t>
            </w:r>
          </w:p>
        </w:tc>
      </w:tr>
    </w:tbl>
    <w:p>
      <w:pPr>
        <w:spacing w:before="139" w:line="356" w:lineRule="auto"/>
        <w:ind w:left="16" w:right="204" w:firstLine="418"/>
        <w:jc w:val="both"/>
        <w:rPr>
          <w:rFonts w:ascii="宋体" w:hAnsi="宋体" w:eastAsia="宋体" w:cs="宋体"/>
          <w:sz w:val="20"/>
          <w:szCs w:val="20"/>
        </w:rPr>
      </w:pPr>
      <w:r>
        <w:rPr>
          <w:rFonts w:ascii="宋体" w:hAnsi="宋体" w:eastAsia="宋体" w:cs="宋体"/>
          <w:b/>
          <w:bCs/>
          <w:spacing w:val="9"/>
          <w:sz w:val="20"/>
          <w:szCs w:val="20"/>
        </w:rPr>
        <w:t>说明：该补充定额是按照模板支撑高度</w:t>
      </w:r>
      <w:r>
        <w:rPr>
          <w:rFonts w:ascii="宋体" w:hAnsi="宋体" w:eastAsia="宋体" w:cs="宋体"/>
          <w:spacing w:val="-37"/>
          <w:sz w:val="20"/>
          <w:szCs w:val="20"/>
        </w:rPr>
        <w:t xml:space="preserve"> </w:t>
      </w:r>
      <w:r>
        <w:rPr>
          <w:rFonts w:ascii="宋体" w:hAnsi="宋体" w:eastAsia="宋体" w:cs="宋体"/>
          <w:b/>
          <w:bCs/>
          <w:spacing w:val="9"/>
          <w:sz w:val="20"/>
          <w:szCs w:val="20"/>
        </w:rPr>
        <w:t>8m</w:t>
      </w:r>
      <w:r>
        <w:rPr>
          <w:rFonts w:ascii="宋体" w:hAnsi="宋体" w:eastAsia="宋体" w:cs="宋体"/>
          <w:spacing w:val="-36"/>
          <w:sz w:val="20"/>
          <w:szCs w:val="20"/>
        </w:rPr>
        <w:t xml:space="preserve"> </w:t>
      </w:r>
      <w:r>
        <w:rPr>
          <w:rFonts w:ascii="宋体" w:hAnsi="宋体" w:eastAsia="宋体" w:cs="宋体"/>
          <w:b/>
          <w:bCs/>
          <w:spacing w:val="9"/>
          <w:sz w:val="20"/>
          <w:szCs w:val="20"/>
        </w:rPr>
        <w:t>到</w:t>
      </w:r>
      <w:r>
        <w:rPr>
          <w:rFonts w:ascii="宋体" w:hAnsi="宋体" w:eastAsia="宋体" w:cs="宋体"/>
          <w:spacing w:val="-22"/>
          <w:sz w:val="20"/>
          <w:szCs w:val="20"/>
        </w:rPr>
        <w:t xml:space="preserve"> </w:t>
      </w:r>
      <w:r>
        <w:rPr>
          <w:rFonts w:ascii="宋体" w:hAnsi="宋体" w:eastAsia="宋体" w:cs="宋体"/>
          <w:b/>
          <w:bCs/>
          <w:spacing w:val="8"/>
          <w:sz w:val="20"/>
          <w:szCs w:val="20"/>
        </w:rPr>
        <w:t>15m</w:t>
      </w:r>
      <w:r>
        <w:rPr>
          <w:rFonts w:ascii="宋体" w:hAnsi="宋体" w:eastAsia="宋体" w:cs="宋体"/>
          <w:spacing w:val="-45"/>
          <w:sz w:val="20"/>
          <w:szCs w:val="20"/>
        </w:rPr>
        <w:t xml:space="preserve"> </w:t>
      </w:r>
      <w:r>
        <w:rPr>
          <w:rFonts w:ascii="宋体" w:hAnsi="宋体" w:eastAsia="宋体" w:cs="宋体"/>
          <w:b/>
          <w:bCs/>
          <w:spacing w:val="8"/>
          <w:sz w:val="20"/>
          <w:szCs w:val="20"/>
        </w:rPr>
        <w:t>普通钢管扣件编制的，高度超过</w:t>
      </w:r>
      <w:r>
        <w:rPr>
          <w:rFonts w:ascii="宋体" w:hAnsi="宋体" w:eastAsia="宋体" w:cs="宋体"/>
          <w:spacing w:val="-25"/>
          <w:sz w:val="20"/>
          <w:szCs w:val="20"/>
        </w:rPr>
        <w:t xml:space="preserve"> </w:t>
      </w:r>
      <w:r>
        <w:rPr>
          <w:rFonts w:ascii="宋体" w:hAnsi="宋体" w:eastAsia="宋体" w:cs="宋体"/>
          <w:b/>
          <w:bCs/>
          <w:spacing w:val="8"/>
          <w:sz w:val="20"/>
          <w:szCs w:val="20"/>
        </w:rPr>
        <w:t>15m</w:t>
      </w:r>
      <w:r>
        <w:rPr>
          <w:rFonts w:ascii="宋体" w:hAnsi="宋体" w:eastAsia="宋体" w:cs="宋体"/>
          <w:spacing w:val="-39"/>
          <w:sz w:val="20"/>
          <w:szCs w:val="20"/>
        </w:rPr>
        <w:t xml:space="preserve"> </w:t>
      </w:r>
      <w:r>
        <w:rPr>
          <w:rFonts w:ascii="宋体" w:hAnsi="宋体" w:eastAsia="宋体" w:cs="宋体"/>
          <w:b/>
          <w:bCs/>
          <w:spacing w:val="8"/>
          <w:sz w:val="20"/>
          <w:szCs w:val="20"/>
        </w:rPr>
        <w:t>或搭设</w:t>
      </w:r>
      <w:r>
        <w:rPr>
          <w:rFonts w:ascii="宋体" w:hAnsi="宋体" w:eastAsia="宋体" w:cs="宋体"/>
          <w:b/>
          <w:bCs/>
          <w:spacing w:val="6"/>
          <w:sz w:val="20"/>
          <w:szCs w:val="20"/>
        </w:rPr>
        <w:t>跨度超过</w:t>
      </w:r>
      <w:r>
        <w:rPr>
          <w:rFonts w:ascii="宋体" w:hAnsi="宋体" w:eastAsia="宋体" w:cs="宋体"/>
          <w:spacing w:val="-20"/>
          <w:sz w:val="20"/>
          <w:szCs w:val="20"/>
        </w:rPr>
        <w:t xml:space="preserve"> </w:t>
      </w:r>
      <w:r>
        <w:rPr>
          <w:rFonts w:ascii="宋体" w:hAnsi="宋体" w:eastAsia="宋体" w:cs="宋体"/>
          <w:b/>
          <w:bCs/>
          <w:spacing w:val="6"/>
          <w:sz w:val="20"/>
          <w:szCs w:val="20"/>
        </w:rPr>
        <w:t>18m，或施工总荷载大于</w:t>
      </w:r>
      <w:r>
        <w:rPr>
          <w:rFonts w:ascii="宋体" w:hAnsi="宋体" w:eastAsia="宋体" w:cs="宋体"/>
          <w:spacing w:val="-22"/>
          <w:sz w:val="20"/>
          <w:szCs w:val="20"/>
        </w:rPr>
        <w:t xml:space="preserve"> </w:t>
      </w:r>
      <w:r>
        <w:rPr>
          <w:rFonts w:ascii="宋体" w:hAnsi="宋体" w:eastAsia="宋体" w:cs="宋体"/>
          <w:b/>
          <w:bCs/>
          <w:spacing w:val="6"/>
          <w:sz w:val="20"/>
          <w:szCs w:val="20"/>
        </w:rPr>
        <w:t>15</w:t>
      </w:r>
      <w:r>
        <w:rPr>
          <w:rFonts w:ascii="宋体" w:hAnsi="宋体" w:eastAsia="宋体" w:cs="宋体"/>
          <w:b/>
          <w:bCs/>
          <w:sz w:val="20"/>
          <w:szCs w:val="20"/>
        </w:rPr>
        <w:t>kN</w:t>
      </w:r>
      <w:r>
        <w:rPr>
          <w:rFonts w:ascii="宋体" w:hAnsi="宋体" w:eastAsia="宋体" w:cs="宋体"/>
          <w:b/>
          <w:bCs/>
          <w:spacing w:val="6"/>
          <w:sz w:val="20"/>
          <w:szCs w:val="20"/>
        </w:rPr>
        <w:t>/㎡，或集中线荷载大于</w:t>
      </w:r>
      <w:r>
        <w:rPr>
          <w:rFonts w:ascii="宋体" w:hAnsi="宋体" w:eastAsia="宋体" w:cs="宋体"/>
          <w:spacing w:val="-40"/>
          <w:sz w:val="20"/>
          <w:szCs w:val="20"/>
        </w:rPr>
        <w:t xml:space="preserve"> </w:t>
      </w:r>
      <w:r>
        <w:rPr>
          <w:rFonts w:ascii="宋体" w:hAnsi="宋体" w:eastAsia="宋体" w:cs="宋体"/>
          <w:b/>
          <w:bCs/>
          <w:spacing w:val="6"/>
          <w:sz w:val="20"/>
          <w:szCs w:val="20"/>
        </w:rPr>
        <w:t>20</w:t>
      </w:r>
      <w:r>
        <w:rPr>
          <w:rFonts w:ascii="宋体" w:hAnsi="宋体" w:eastAsia="宋体" w:cs="宋体"/>
          <w:b/>
          <w:bCs/>
          <w:sz w:val="20"/>
          <w:szCs w:val="20"/>
        </w:rPr>
        <w:t>kN</w:t>
      </w:r>
      <w:r>
        <w:rPr>
          <w:rFonts w:ascii="宋体" w:hAnsi="宋体" w:eastAsia="宋体" w:cs="宋体"/>
          <w:b/>
          <w:bCs/>
          <w:spacing w:val="6"/>
          <w:sz w:val="20"/>
          <w:szCs w:val="20"/>
        </w:rPr>
        <w:t>/m</w:t>
      </w:r>
      <w:r>
        <w:rPr>
          <w:rFonts w:ascii="宋体" w:hAnsi="宋体" w:eastAsia="宋体" w:cs="宋体"/>
          <w:spacing w:val="-24"/>
          <w:sz w:val="20"/>
          <w:szCs w:val="20"/>
        </w:rPr>
        <w:t xml:space="preserve"> </w:t>
      </w:r>
      <w:r>
        <w:rPr>
          <w:rFonts w:ascii="宋体" w:hAnsi="宋体" w:eastAsia="宋体" w:cs="宋体"/>
          <w:b/>
          <w:bCs/>
          <w:spacing w:val="6"/>
          <w:sz w:val="20"/>
          <w:szCs w:val="20"/>
        </w:rPr>
        <w:t>的模板支撑系统以及盘扣式高大模板，发承包双方应按审定的施工组织设计模板和支撑方案，另行</w:t>
      </w:r>
      <w:r>
        <w:rPr>
          <w:rFonts w:ascii="宋体" w:hAnsi="宋体" w:eastAsia="宋体" w:cs="宋体"/>
          <w:b/>
          <w:bCs/>
          <w:spacing w:val="5"/>
          <w:sz w:val="20"/>
          <w:szCs w:val="20"/>
        </w:rPr>
        <w:t>计算并报造价管理部门审批。</w:t>
      </w:r>
    </w:p>
    <w:p>
      <w:pPr>
        <w:spacing w:before="42" w:line="277" w:lineRule="exact"/>
        <w:ind w:left="440"/>
        <w:rPr>
          <w:rFonts w:ascii="宋体" w:hAnsi="宋体" w:eastAsia="宋体" w:cs="宋体"/>
          <w:sz w:val="20"/>
          <w:szCs w:val="20"/>
        </w:rPr>
      </w:pPr>
      <w:r>
        <w:rPr>
          <w:rFonts w:ascii="宋体" w:hAnsi="宋体" w:eastAsia="宋体" w:cs="宋体"/>
          <w:b/>
          <w:bCs/>
          <w:spacing w:val="5"/>
          <w:position w:val="1"/>
          <w:sz w:val="20"/>
          <w:szCs w:val="20"/>
        </w:rPr>
        <w:t>55.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关于模板工程中塑料模壳计算规则的</w:t>
      </w:r>
      <w:r>
        <w:rPr>
          <w:rFonts w:ascii="宋体" w:hAnsi="宋体" w:eastAsia="宋体" w:cs="宋体"/>
          <w:b/>
          <w:bCs/>
          <w:spacing w:val="4"/>
          <w:position w:val="1"/>
          <w:sz w:val="20"/>
          <w:szCs w:val="20"/>
        </w:rPr>
        <w:t>执行</w:t>
      </w:r>
    </w:p>
    <w:p>
      <w:pPr>
        <w:spacing w:before="127" w:line="367" w:lineRule="auto"/>
        <w:ind w:left="17" w:right="281" w:firstLine="425"/>
        <w:rPr>
          <w:rFonts w:ascii="宋体" w:hAnsi="宋体" w:eastAsia="宋体" w:cs="宋体"/>
          <w:sz w:val="20"/>
          <w:szCs w:val="20"/>
        </w:rPr>
      </w:pPr>
      <w:r>
        <w:rPr>
          <w:rFonts w:ascii="宋体" w:hAnsi="宋体" w:eastAsia="宋体" w:cs="宋体"/>
          <w:spacing w:val="11"/>
          <w:sz w:val="20"/>
          <w:szCs w:val="20"/>
        </w:rPr>
        <w:t>塑料模壳工程量，按板的轴线内包投影面积计算。梁底局部加支模板</w:t>
      </w:r>
      <w:r>
        <w:rPr>
          <w:rFonts w:ascii="宋体" w:hAnsi="宋体" w:eastAsia="宋体" w:cs="宋体"/>
          <w:spacing w:val="10"/>
          <w:sz w:val="20"/>
          <w:szCs w:val="20"/>
        </w:rPr>
        <w:t>的，不单独计取。如模壳</w:t>
      </w:r>
      <w:r>
        <w:rPr>
          <w:rFonts w:ascii="宋体" w:hAnsi="宋体" w:eastAsia="宋体" w:cs="宋体"/>
          <w:spacing w:val="9"/>
          <w:sz w:val="20"/>
          <w:szCs w:val="20"/>
        </w:rPr>
        <w:t>底部满铺模板，则根据施工组织方案计取满铺模板的材料费，其他不变。</w:t>
      </w:r>
    </w:p>
    <w:p>
      <w:pPr>
        <w:spacing w:line="276" w:lineRule="exact"/>
        <w:ind w:left="440"/>
        <w:rPr>
          <w:rFonts w:ascii="宋体" w:hAnsi="宋体" w:eastAsia="宋体" w:cs="宋体"/>
          <w:sz w:val="20"/>
          <w:szCs w:val="20"/>
        </w:rPr>
      </w:pPr>
      <w:r>
        <w:rPr>
          <w:rFonts w:ascii="宋体" w:hAnsi="宋体" w:eastAsia="宋体" w:cs="宋体"/>
          <w:b/>
          <w:bCs/>
          <w:spacing w:val="3"/>
          <w:position w:val="1"/>
          <w:sz w:val="20"/>
          <w:szCs w:val="20"/>
        </w:rPr>
        <w:t>56.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关于楼地面的计价和取费</w:t>
      </w:r>
    </w:p>
    <w:p>
      <w:pPr>
        <w:spacing w:before="128" w:line="368" w:lineRule="auto"/>
        <w:ind w:left="18" w:right="278" w:firstLine="420"/>
        <w:jc w:val="both"/>
        <w:rPr>
          <w:rFonts w:ascii="宋体" w:hAnsi="宋体" w:eastAsia="宋体" w:cs="宋体"/>
          <w:sz w:val="20"/>
          <w:szCs w:val="20"/>
        </w:rPr>
      </w:pPr>
      <w:r>
        <w:rPr>
          <w:rFonts w:ascii="宋体" w:hAnsi="宋体" w:eastAsia="宋体" w:cs="宋体"/>
          <w:spacing w:val="11"/>
          <w:sz w:val="20"/>
          <w:szCs w:val="20"/>
        </w:rPr>
        <w:t>定额第十一章楼地面装饰工程中“找平层”小节各子目适用于设计楼地面及屋面建筑</w:t>
      </w:r>
      <w:r>
        <w:rPr>
          <w:rFonts w:ascii="宋体" w:hAnsi="宋体" w:eastAsia="宋体" w:cs="宋体"/>
          <w:spacing w:val="10"/>
          <w:sz w:val="20"/>
          <w:szCs w:val="20"/>
        </w:rPr>
        <w:t>做法中的</w:t>
      </w:r>
      <w:r>
        <w:rPr>
          <w:rFonts w:ascii="宋体" w:hAnsi="宋体" w:eastAsia="宋体" w:cs="宋体"/>
          <w:spacing w:val="9"/>
          <w:sz w:val="20"/>
          <w:szCs w:val="20"/>
        </w:rPr>
        <w:t>水平方向的找平层，其中的细石混凝土找平层子目仅适用于设计或实际施工厚度≤60</w:t>
      </w:r>
      <w:r>
        <w:rPr>
          <w:rFonts w:ascii="宋体" w:hAnsi="宋体" w:eastAsia="宋体" w:cs="宋体"/>
          <w:sz w:val="20"/>
          <w:szCs w:val="20"/>
        </w:rPr>
        <w:t>mm</w:t>
      </w:r>
      <w:r>
        <w:rPr>
          <w:rFonts w:ascii="宋体" w:hAnsi="宋体" w:eastAsia="宋体" w:cs="宋体"/>
          <w:spacing w:val="-20"/>
          <w:sz w:val="20"/>
          <w:szCs w:val="20"/>
        </w:rPr>
        <w:t xml:space="preserve"> </w:t>
      </w:r>
      <w:r>
        <w:rPr>
          <w:rFonts w:ascii="宋体" w:hAnsi="宋体" w:eastAsia="宋体" w:cs="宋体"/>
          <w:spacing w:val="9"/>
          <w:sz w:val="20"/>
          <w:szCs w:val="20"/>
        </w:rPr>
        <w:t>的情况，厚</w:t>
      </w:r>
      <w:r>
        <w:rPr>
          <w:rFonts w:ascii="宋体" w:hAnsi="宋体" w:eastAsia="宋体" w:cs="宋体"/>
          <w:spacing w:val="7"/>
          <w:sz w:val="20"/>
          <w:szCs w:val="20"/>
        </w:rPr>
        <w:t>度＞</w:t>
      </w:r>
      <w:r>
        <w:rPr>
          <w:rFonts w:ascii="宋体" w:hAnsi="宋体" w:eastAsia="宋体" w:cs="宋体"/>
          <w:spacing w:val="-47"/>
          <w:sz w:val="20"/>
          <w:szCs w:val="20"/>
        </w:rPr>
        <w:t xml:space="preserve"> </w:t>
      </w:r>
      <w:r>
        <w:rPr>
          <w:rFonts w:ascii="宋体" w:hAnsi="宋体" w:eastAsia="宋体" w:cs="宋体"/>
          <w:spacing w:val="7"/>
          <w:sz w:val="20"/>
          <w:szCs w:val="20"/>
        </w:rPr>
        <w:t>60</w:t>
      </w:r>
      <w:r>
        <w:rPr>
          <w:rFonts w:ascii="宋体" w:hAnsi="宋体" w:eastAsia="宋体" w:cs="宋体"/>
          <w:spacing w:val="-40"/>
          <w:sz w:val="20"/>
          <w:szCs w:val="20"/>
        </w:rPr>
        <w:t xml:space="preserve"> </w:t>
      </w:r>
      <w:r>
        <w:rPr>
          <w:rFonts w:ascii="宋体" w:hAnsi="宋体" w:eastAsia="宋体" w:cs="宋体"/>
          <w:spacing w:val="7"/>
          <w:sz w:val="20"/>
          <w:szCs w:val="20"/>
        </w:rPr>
        <w:t>㎜时，按定额第二章混凝土垫层子目执行。属于建筑工程。</w:t>
      </w:r>
    </w:p>
    <w:p>
      <w:pPr>
        <w:spacing w:before="3" w:line="367" w:lineRule="auto"/>
        <w:ind w:left="18" w:right="278" w:firstLine="420"/>
        <w:jc w:val="both"/>
        <w:rPr>
          <w:rFonts w:ascii="宋体" w:hAnsi="宋体" w:eastAsia="宋体" w:cs="宋体"/>
          <w:sz w:val="20"/>
          <w:szCs w:val="20"/>
        </w:rPr>
      </w:pPr>
      <w:r>
        <w:rPr>
          <w:rFonts w:ascii="宋体" w:hAnsi="宋体" w:eastAsia="宋体" w:cs="宋体"/>
          <w:spacing w:val="10"/>
          <w:sz w:val="20"/>
          <w:szCs w:val="20"/>
        </w:rPr>
        <w:t>楼地面上地暖管间隙填充细石混凝土，当设</w:t>
      </w:r>
      <w:r>
        <w:rPr>
          <w:rFonts w:ascii="宋体" w:hAnsi="宋体" w:eastAsia="宋体" w:cs="宋体"/>
          <w:spacing w:val="9"/>
          <w:sz w:val="20"/>
          <w:szCs w:val="20"/>
        </w:rPr>
        <w:t>计厚度≤60</w:t>
      </w:r>
      <w:r>
        <w:rPr>
          <w:rFonts w:ascii="宋体" w:hAnsi="宋体" w:eastAsia="宋体" w:cs="宋体"/>
          <w:spacing w:val="-39"/>
          <w:sz w:val="20"/>
          <w:szCs w:val="20"/>
        </w:rPr>
        <w:t xml:space="preserve"> </w:t>
      </w:r>
      <w:r>
        <w:rPr>
          <w:rFonts w:ascii="宋体" w:hAnsi="宋体" w:eastAsia="宋体" w:cs="宋体"/>
          <w:spacing w:val="9"/>
          <w:sz w:val="20"/>
          <w:szCs w:val="20"/>
        </w:rPr>
        <w:t>厚时，套用</w:t>
      </w:r>
      <w:r>
        <w:rPr>
          <w:rFonts w:ascii="宋体" w:hAnsi="宋体" w:eastAsia="宋体" w:cs="宋体"/>
          <w:spacing w:val="-24"/>
          <w:sz w:val="20"/>
          <w:szCs w:val="20"/>
        </w:rPr>
        <w:t xml:space="preserve"> </w:t>
      </w:r>
      <w:r>
        <w:rPr>
          <w:rFonts w:ascii="宋体" w:hAnsi="宋体" w:eastAsia="宋体" w:cs="宋体"/>
          <w:spacing w:val="9"/>
          <w:sz w:val="20"/>
          <w:szCs w:val="20"/>
        </w:rPr>
        <w:t>11-1-4、11-1-5</w:t>
      </w:r>
      <w:r>
        <w:rPr>
          <w:rFonts w:ascii="宋体" w:hAnsi="宋体" w:eastAsia="宋体" w:cs="宋体"/>
          <w:spacing w:val="-33"/>
          <w:sz w:val="20"/>
          <w:szCs w:val="20"/>
        </w:rPr>
        <w:t xml:space="preserve"> </w:t>
      </w:r>
      <w:r>
        <w:rPr>
          <w:rFonts w:ascii="宋体" w:hAnsi="宋体" w:eastAsia="宋体" w:cs="宋体"/>
          <w:spacing w:val="9"/>
          <w:sz w:val="20"/>
          <w:szCs w:val="20"/>
        </w:rPr>
        <w:t>细石混凝</w:t>
      </w:r>
      <w:r>
        <w:rPr>
          <w:rFonts w:ascii="宋体" w:hAnsi="宋体" w:eastAsia="宋体" w:cs="宋体"/>
          <w:spacing w:val="8"/>
          <w:sz w:val="20"/>
          <w:szCs w:val="20"/>
        </w:rPr>
        <w:t>土找平层及</w:t>
      </w:r>
      <w:r>
        <w:rPr>
          <w:rFonts w:ascii="宋体" w:hAnsi="宋体" w:eastAsia="宋体" w:cs="宋体"/>
          <w:spacing w:val="-22"/>
          <w:sz w:val="20"/>
          <w:szCs w:val="20"/>
        </w:rPr>
        <w:t xml:space="preserve"> </w:t>
      </w:r>
      <w:r>
        <w:rPr>
          <w:rFonts w:ascii="宋体" w:hAnsi="宋体" w:eastAsia="宋体" w:cs="宋体"/>
          <w:spacing w:val="8"/>
          <w:sz w:val="20"/>
          <w:szCs w:val="20"/>
        </w:rPr>
        <w:t>10-1-78</w:t>
      </w:r>
      <w:r>
        <w:rPr>
          <w:rFonts w:ascii="宋体" w:hAnsi="宋体" w:eastAsia="宋体" w:cs="宋体"/>
          <w:spacing w:val="-39"/>
          <w:sz w:val="20"/>
          <w:szCs w:val="20"/>
        </w:rPr>
        <w:t xml:space="preserve"> </w:t>
      </w:r>
      <w:r>
        <w:rPr>
          <w:rFonts w:ascii="宋体" w:hAnsi="宋体" w:eastAsia="宋体" w:cs="宋体"/>
          <w:spacing w:val="8"/>
          <w:sz w:val="20"/>
          <w:szCs w:val="20"/>
        </w:rPr>
        <w:t>垫层（或楼板）地暖埋管增加子目；设计厚度＞60</w:t>
      </w:r>
      <w:r>
        <w:rPr>
          <w:rFonts w:ascii="宋体" w:hAnsi="宋体" w:eastAsia="宋体" w:cs="宋体"/>
          <w:spacing w:val="-41"/>
          <w:sz w:val="20"/>
          <w:szCs w:val="20"/>
        </w:rPr>
        <w:t xml:space="preserve"> </w:t>
      </w:r>
      <w:r>
        <w:rPr>
          <w:rFonts w:ascii="宋体" w:hAnsi="宋体" w:eastAsia="宋体" w:cs="宋体"/>
          <w:spacing w:val="8"/>
          <w:sz w:val="20"/>
          <w:szCs w:val="20"/>
        </w:rPr>
        <w:t>厚时，套用</w:t>
      </w:r>
      <w:r>
        <w:rPr>
          <w:rFonts w:ascii="宋体" w:hAnsi="宋体" w:eastAsia="宋体" w:cs="宋体"/>
          <w:spacing w:val="7"/>
          <w:sz w:val="20"/>
          <w:szCs w:val="20"/>
        </w:rPr>
        <w:t>第二章混凝土垫</w:t>
      </w:r>
      <w:r>
        <w:rPr>
          <w:rFonts w:ascii="宋体" w:hAnsi="宋体" w:eastAsia="宋体" w:cs="宋体"/>
          <w:spacing w:val="8"/>
          <w:sz w:val="20"/>
          <w:szCs w:val="20"/>
        </w:rPr>
        <w:t>层及</w:t>
      </w:r>
      <w:r>
        <w:rPr>
          <w:rFonts w:ascii="宋体" w:hAnsi="宋体" w:eastAsia="宋体" w:cs="宋体"/>
          <w:spacing w:val="-23"/>
          <w:sz w:val="20"/>
          <w:szCs w:val="20"/>
        </w:rPr>
        <w:t xml:space="preserve"> </w:t>
      </w:r>
      <w:r>
        <w:rPr>
          <w:rFonts w:ascii="宋体" w:hAnsi="宋体" w:eastAsia="宋体" w:cs="宋体"/>
          <w:spacing w:val="8"/>
          <w:sz w:val="20"/>
          <w:szCs w:val="20"/>
        </w:rPr>
        <w:t>10-1-78</w:t>
      </w:r>
      <w:r>
        <w:rPr>
          <w:rFonts w:ascii="宋体" w:hAnsi="宋体" w:eastAsia="宋体" w:cs="宋体"/>
          <w:spacing w:val="-38"/>
          <w:sz w:val="20"/>
          <w:szCs w:val="20"/>
        </w:rPr>
        <w:t xml:space="preserve"> </w:t>
      </w:r>
      <w:r>
        <w:rPr>
          <w:rFonts w:ascii="宋体" w:hAnsi="宋体" w:eastAsia="宋体" w:cs="宋体"/>
          <w:spacing w:val="8"/>
          <w:sz w:val="20"/>
          <w:szCs w:val="20"/>
        </w:rPr>
        <w:t>垫层（或楼板）地暖埋管增加子目。属于</w:t>
      </w:r>
      <w:r>
        <w:rPr>
          <w:rFonts w:ascii="宋体" w:hAnsi="宋体" w:eastAsia="宋体" w:cs="宋体"/>
          <w:spacing w:val="7"/>
          <w:sz w:val="20"/>
          <w:szCs w:val="20"/>
        </w:rPr>
        <w:t>建筑工程。</w:t>
      </w:r>
    </w:p>
    <w:p>
      <w:pPr>
        <w:spacing w:before="4" w:line="276" w:lineRule="exact"/>
        <w:ind w:left="440"/>
        <w:rPr>
          <w:rFonts w:ascii="宋体" w:hAnsi="宋体" w:eastAsia="宋体" w:cs="宋体"/>
          <w:sz w:val="20"/>
          <w:szCs w:val="20"/>
        </w:rPr>
      </w:pPr>
      <w:r>
        <w:rPr>
          <w:rFonts w:ascii="宋体" w:hAnsi="宋体" w:eastAsia="宋体" w:cs="宋体"/>
          <w:b/>
          <w:bCs/>
          <w:spacing w:val="7"/>
          <w:position w:val="1"/>
          <w:sz w:val="20"/>
          <w:szCs w:val="20"/>
        </w:rPr>
        <w:t>57.</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关于地下车库、车间厂房等混凝土地面整体面层厚度为</w:t>
      </w:r>
      <w:r>
        <w:rPr>
          <w:rFonts w:ascii="宋体" w:hAnsi="宋体" w:eastAsia="宋体" w:cs="宋体"/>
          <w:spacing w:val="-9"/>
          <w:position w:val="1"/>
          <w:sz w:val="20"/>
          <w:szCs w:val="20"/>
        </w:rPr>
        <w:t xml:space="preserve"> </w:t>
      </w:r>
      <w:r>
        <w:rPr>
          <w:rFonts w:ascii="宋体" w:hAnsi="宋体" w:eastAsia="宋体" w:cs="宋体"/>
          <w:b/>
          <w:bCs/>
          <w:spacing w:val="7"/>
          <w:position w:val="1"/>
          <w:sz w:val="20"/>
          <w:szCs w:val="20"/>
        </w:rPr>
        <w:t>100~200</w:t>
      </w:r>
      <w:r>
        <w:rPr>
          <w:rFonts w:ascii="宋体" w:hAnsi="宋体" w:eastAsia="宋体" w:cs="宋体"/>
          <w:b/>
          <w:bCs/>
          <w:position w:val="1"/>
          <w:sz w:val="20"/>
          <w:szCs w:val="20"/>
        </w:rPr>
        <w:t>mm</w:t>
      </w:r>
      <w:r>
        <w:rPr>
          <w:rFonts w:ascii="宋体" w:hAnsi="宋体" w:eastAsia="宋体" w:cs="宋体"/>
          <w:spacing w:val="-32"/>
          <w:position w:val="1"/>
          <w:sz w:val="20"/>
          <w:szCs w:val="20"/>
        </w:rPr>
        <w:t xml:space="preserve"> </w:t>
      </w:r>
      <w:r>
        <w:rPr>
          <w:rFonts w:ascii="宋体" w:hAnsi="宋体" w:eastAsia="宋体" w:cs="宋体"/>
          <w:b/>
          <w:bCs/>
          <w:spacing w:val="7"/>
          <w:position w:val="1"/>
          <w:sz w:val="20"/>
          <w:szCs w:val="20"/>
        </w:rPr>
        <w:t>时的计价</w:t>
      </w:r>
    </w:p>
    <w:p>
      <w:pPr>
        <w:spacing w:before="126" w:line="358" w:lineRule="auto"/>
        <w:ind w:left="17" w:right="278" w:firstLine="422"/>
        <w:jc w:val="both"/>
        <w:rPr>
          <w:rFonts w:ascii="宋体" w:hAnsi="宋体" w:eastAsia="宋体" w:cs="宋体"/>
          <w:sz w:val="20"/>
          <w:szCs w:val="20"/>
        </w:rPr>
      </w:pPr>
      <w:r>
        <w:rPr>
          <w:rFonts w:ascii="宋体" w:hAnsi="宋体" w:eastAsia="宋体" w:cs="宋体"/>
          <w:spacing w:val="9"/>
          <w:sz w:val="20"/>
          <w:szCs w:val="20"/>
        </w:rPr>
        <w:t>地下车库、车间厂房等工程，当楼地面设计厚度为</w:t>
      </w:r>
      <w:r>
        <w:rPr>
          <w:rFonts w:ascii="宋体" w:hAnsi="宋体" w:eastAsia="宋体" w:cs="宋体"/>
          <w:spacing w:val="-19"/>
          <w:sz w:val="20"/>
          <w:szCs w:val="20"/>
        </w:rPr>
        <w:t xml:space="preserve"> </w:t>
      </w:r>
      <w:r>
        <w:rPr>
          <w:rFonts w:ascii="宋体" w:hAnsi="宋体" w:eastAsia="宋体" w:cs="宋体"/>
          <w:spacing w:val="9"/>
          <w:sz w:val="20"/>
          <w:szCs w:val="20"/>
        </w:rPr>
        <w:t>100-200</w:t>
      </w:r>
      <w:r>
        <w:rPr>
          <w:rFonts w:ascii="宋体" w:hAnsi="宋体" w:eastAsia="宋体" w:cs="宋体"/>
          <w:sz w:val="20"/>
          <w:szCs w:val="20"/>
        </w:rPr>
        <w:t>mm</w:t>
      </w:r>
      <w:r>
        <w:rPr>
          <w:rFonts w:ascii="宋体" w:hAnsi="宋体" w:eastAsia="宋体" w:cs="宋体"/>
          <w:spacing w:val="-22"/>
          <w:sz w:val="20"/>
          <w:szCs w:val="20"/>
        </w:rPr>
        <w:t xml:space="preserve"> </w:t>
      </w:r>
      <w:r>
        <w:rPr>
          <w:rFonts w:ascii="宋体" w:hAnsi="宋体" w:eastAsia="宋体" w:cs="宋体"/>
          <w:spacing w:val="9"/>
          <w:sz w:val="20"/>
          <w:szCs w:val="20"/>
        </w:rPr>
        <w:t>的细石混凝土随打随抹时，面层40</w:t>
      </w:r>
      <w:r>
        <w:rPr>
          <w:rFonts w:ascii="宋体" w:hAnsi="宋体" w:eastAsia="宋体" w:cs="宋体"/>
          <w:spacing w:val="-38"/>
          <w:sz w:val="20"/>
          <w:szCs w:val="20"/>
        </w:rPr>
        <w:t xml:space="preserve"> </w:t>
      </w:r>
      <w:r>
        <w:rPr>
          <w:rFonts w:ascii="宋体" w:hAnsi="宋体" w:eastAsia="宋体" w:cs="宋体"/>
          <w:spacing w:val="9"/>
          <w:sz w:val="20"/>
          <w:szCs w:val="20"/>
        </w:rPr>
        <w:t>厚套用</w:t>
      </w:r>
      <w:r>
        <w:rPr>
          <w:rFonts w:ascii="宋体" w:hAnsi="宋体" w:eastAsia="宋体" w:cs="宋体"/>
          <w:spacing w:val="-20"/>
          <w:sz w:val="20"/>
          <w:szCs w:val="20"/>
        </w:rPr>
        <w:t xml:space="preserve"> </w:t>
      </w:r>
      <w:r>
        <w:rPr>
          <w:rFonts w:ascii="宋体" w:hAnsi="宋体" w:eastAsia="宋体" w:cs="宋体"/>
          <w:spacing w:val="9"/>
          <w:sz w:val="20"/>
          <w:szCs w:val="20"/>
        </w:rPr>
        <w:t>11-2-7</w:t>
      </w:r>
      <w:r>
        <w:rPr>
          <w:rFonts w:ascii="宋体" w:hAnsi="宋体" w:eastAsia="宋体" w:cs="宋体"/>
          <w:spacing w:val="-32"/>
          <w:sz w:val="20"/>
          <w:szCs w:val="20"/>
        </w:rPr>
        <w:t xml:space="preserve"> </w:t>
      </w:r>
      <w:r>
        <w:rPr>
          <w:rFonts w:ascii="宋体" w:hAnsi="宋体" w:eastAsia="宋体" w:cs="宋体"/>
          <w:spacing w:val="9"/>
          <w:sz w:val="20"/>
          <w:szCs w:val="20"/>
        </w:rPr>
        <w:t>细石混凝土楼地面子目，剩余厚度≤60</w:t>
      </w:r>
      <w:r>
        <w:rPr>
          <w:rFonts w:ascii="宋体" w:hAnsi="宋体" w:eastAsia="宋体" w:cs="宋体"/>
          <w:spacing w:val="-39"/>
          <w:sz w:val="20"/>
          <w:szCs w:val="20"/>
        </w:rPr>
        <w:t xml:space="preserve"> </w:t>
      </w:r>
      <w:r>
        <w:rPr>
          <w:rFonts w:ascii="宋体" w:hAnsi="宋体" w:eastAsia="宋体" w:cs="宋体"/>
          <w:spacing w:val="9"/>
          <w:sz w:val="20"/>
          <w:szCs w:val="20"/>
        </w:rPr>
        <w:t>厚时，套</w:t>
      </w:r>
      <w:r>
        <w:rPr>
          <w:rFonts w:ascii="宋体" w:hAnsi="宋体" w:eastAsia="宋体" w:cs="宋体"/>
          <w:spacing w:val="8"/>
          <w:sz w:val="20"/>
          <w:szCs w:val="20"/>
        </w:rPr>
        <w:t>用</w:t>
      </w:r>
      <w:r>
        <w:rPr>
          <w:rFonts w:ascii="宋体" w:hAnsi="宋体" w:eastAsia="宋体" w:cs="宋体"/>
          <w:spacing w:val="-20"/>
          <w:sz w:val="20"/>
          <w:szCs w:val="20"/>
        </w:rPr>
        <w:t xml:space="preserve"> </w:t>
      </w:r>
      <w:r>
        <w:rPr>
          <w:rFonts w:ascii="宋体" w:hAnsi="宋体" w:eastAsia="宋体" w:cs="宋体"/>
          <w:spacing w:val="8"/>
          <w:sz w:val="20"/>
          <w:szCs w:val="20"/>
        </w:rPr>
        <w:t>11-1-4、11-1-5</w:t>
      </w:r>
      <w:r>
        <w:rPr>
          <w:rFonts w:ascii="宋体" w:hAnsi="宋体" w:eastAsia="宋体" w:cs="宋体"/>
          <w:spacing w:val="-32"/>
          <w:sz w:val="20"/>
          <w:szCs w:val="20"/>
        </w:rPr>
        <w:t xml:space="preserve"> </w:t>
      </w:r>
      <w:r>
        <w:rPr>
          <w:rFonts w:ascii="宋体" w:hAnsi="宋体" w:eastAsia="宋体" w:cs="宋体"/>
          <w:spacing w:val="8"/>
          <w:sz w:val="20"/>
          <w:szCs w:val="20"/>
        </w:rPr>
        <w:t>细石混凝土</w:t>
      </w:r>
      <w:r>
        <w:rPr>
          <w:rFonts w:ascii="宋体" w:hAnsi="宋体" w:eastAsia="宋体" w:cs="宋体"/>
          <w:spacing w:val="9"/>
          <w:sz w:val="20"/>
          <w:szCs w:val="20"/>
        </w:rPr>
        <w:t>找平层子目，剩余厚度＞60</w:t>
      </w:r>
      <w:r>
        <w:rPr>
          <w:rFonts w:ascii="宋体" w:hAnsi="宋体" w:eastAsia="宋体" w:cs="宋体"/>
          <w:spacing w:val="-24"/>
          <w:sz w:val="20"/>
          <w:szCs w:val="20"/>
        </w:rPr>
        <w:t xml:space="preserve"> </w:t>
      </w:r>
      <w:r>
        <w:rPr>
          <w:rFonts w:ascii="宋体" w:hAnsi="宋体" w:eastAsia="宋体" w:cs="宋体"/>
          <w:spacing w:val="9"/>
          <w:sz w:val="20"/>
          <w:szCs w:val="20"/>
        </w:rPr>
        <w:t>厚时，套用第二章混凝土垫层子目。100-200</w:t>
      </w:r>
      <w:r>
        <w:rPr>
          <w:rFonts w:ascii="宋体" w:hAnsi="宋体" w:eastAsia="宋体" w:cs="宋体"/>
          <w:sz w:val="20"/>
          <w:szCs w:val="20"/>
        </w:rPr>
        <w:t>mm</w:t>
      </w:r>
      <w:r>
        <w:rPr>
          <w:rFonts w:ascii="宋体" w:hAnsi="宋体" w:eastAsia="宋体" w:cs="宋体"/>
          <w:spacing w:val="-24"/>
          <w:sz w:val="20"/>
          <w:szCs w:val="20"/>
        </w:rPr>
        <w:t xml:space="preserve"> </w:t>
      </w:r>
      <w:r>
        <w:rPr>
          <w:rFonts w:ascii="宋体" w:hAnsi="宋体" w:eastAsia="宋体" w:cs="宋体"/>
          <w:spacing w:val="9"/>
          <w:sz w:val="20"/>
          <w:szCs w:val="20"/>
        </w:rPr>
        <w:t>的细石混凝土随打随抹</w:t>
      </w:r>
      <w:r>
        <w:rPr>
          <w:rFonts w:ascii="宋体" w:hAnsi="宋体" w:eastAsia="宋体" w:cs="宋体"/>
          <w:spacing w:val="8"/>
          <w:sz w:val="20"/>
          <w:szCs w:val="20"/>
        </w:rPr>
        <w:t>楼地面属于装饰工程。</w:t>
      </w:r>
    </w:p>
    <w:p>
      <w:pPr>
        <w:spacing w:before="46" w:line="278" w:lineRule="exact"/>
        <w:ind w:left="440"/>
        <w:rPr>
          <w:rFonts w:ascii="宋体" w:hAnsi="宋体" w:eastAsia="宋体" w:cs="宋体"/>
          <w:sz w:val="20"/>
          <w:szCs w:val="20"/>
        </w:rPr>
      </w:pPr>
      <w:r>
        <w:rPr>
          <w:rFonts w:ascii="宋体" w:hAnsi="宋体" w:eastAsia="宋体" w:cs="宋体"/>
          <w:b/>
          <w:bCs/>
          <w:spacing w:val="3"/>
          <w:position w:val="1"/>
          <w:sz w:val="20"/>
          <w:szCs w:val="20"/>
        </w:rPr>
        <w:t>58.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关于内墙抹灰高度的计算</w:t>
      </w:r>
    </w:p>
    <w:p>
      <w:pPr>
        <w:spacing w:before="128" w:line="368" w:lineRule="auto"/>
        <w:ind w:left="19" w:right="281" w:firstLine="419"/>
        <w:rPr>
          <w:rFonts w:ascii="宋体" w:hAnsi="宋体" w:eastAsia="宋体" w:cs="宋体"/>
          <w:sz w:val="20"/>
          <w:szCs w:val="20"/>
        </w:rPr>
      </w:pPr>
      <w:r>
        <w:rPr>
          <w:rFonts w:ascii="宋体" w:hAnsi="宋体" w:eastAsia="宋体" w:cs="宋体"/>
          <w:spacing w:val="11"/>
          <w:sz w:val="20"/>
          <w:szCs w:val="20"/>
        </w:rPr>
        <w:t>有吊顶的内墙，抹灰高度按设计要求计算。当设计无规定时，抹灰高度按室内</w:t>
      </w:r>
      <w:r>
        <w:rPr>
          <w:rFonts w:ascii="宋体" w:hAnsi="宋体" w:eastAsia="宋体" w:cs="宋体"/>
          <w:spacing w:val="10"/>
          <w:sz w:val="20"/>
          <w:szCs w:val="20"/>
        </w:rPr>
        <w:t>地面或楼面至吊</w:t>
      </w:r>
      <w:r>
        <w:rPr>
          <w:rFonts w:ascii="宋体" w:hAnsi="宋体" w:eastAsia="宋体" w:cs="宋体"/>
          <w:spacing w:val="13"/>
          <w:sz w:val="20"/>
          <w:szCs w:val="20"/>
        </w:rPr>
        <w:t>顶底面另加</w:t>
      </w:r>
      <w:r>
        <w:rPr>
          <w:rFonts w:ascii="宋体" w:hAnsi="宋体" w:eastAsia="宋体" w:cs="宋体"/>
          <w:spacing w:val="-19"/>
          <w:sz w:val="20"/>
          <w:szCs w:val="20"/>
        </w:rPr>
        <w:t xml:space="preserve"> </w:t>
      </w:r>
      <w:r>
        <w:rPr>
          <w:rFonts w:ascii="宋体" w:hAnsi="宋体" w:eastAsia="宋体" w:cs="宋体"/>
          <w:spacing w:val="13"/>
          <w:sz w:val="20"/>
          <w:szCs w:val="20"/>
        </w:rPr>
        <w:t>100</w:t>
      </w:r>
      <w:r>
        <w:rPr>
          <w:rFonts w:ascii="宋体" w:hAnsi="宋体" w:eastAsia="宋体" w:cs="宋体"/>
          <w:sz w:val="20"/>
          <w:szCs w:val="20"/>
        </w:rPr>
        <w:t>mm</w:t>
      </w:r>
      <w:r>
        <w:rPr>
          <w:rFonts w:ascii="宋体" w:hAnsi="宋体" w:eastAsia="宋体" w:cs="宋体"/>
          <w:spacing w:val="-44"/>
          <w:sz w:val="20"/>
          <w:szCs w:val="20"/>
        </w:rPr>
        <w:t xml:space="preserve"> </w:t>
      </w:r>
      <w:r>
        <w:rPr>
          <w:rFonts w:ascii="宋体" w:hAnsi="宋体" w:eastAsia="宋体" w:cs="宋体"/>
          <w:spacing w:val="13"/>
          <w:sz w:val="20"/>
          <w:szCs w:val="20"/>
        </w:rPr>
        <w:t>计算。</w:t>
      </w:r>
    </w:p>
    <w:p>
      <w:pPr>
        <w:spacing w:before="1" w:line="368" w:lineRule="auto"/>
        <w:ind w:left="22" w:right="278" w:firstLine="408"/>
        <w:rPr>
          <w:rFonts w:ascii="宋体" w:hAnsi="宋体" w:eastAsia="宋体" w:cs="宋体"/>
          <w:sz w:val="20"/>
          <w:szCs w:val="20"/>
        </w:rPr>
      </w:pPr>
      <w:r>
        <w:rPr>
          <w:rFonts w:ascii="宋体" w:hAnsi="宋体" w:eastAsia="宋体" w:cs="宋体"/>
          <w:spacing w:val="10"/>
          <w:sz w:val="20"/>
          <w:szCs w:val="20"/>
        </w:rPr>
        <w:t>“室内地面或楼面</w:t>
      </w:r>
      <w:r>
        <w:rPr>
          <w:rFonts w:ascii="宋体" w:hAnsi="宋体" w:eastAsia="宋体" w:cs="宋体"/>
          <w:spacing w:val="-56"/>
          <w:sz w:val="20"/>
          <w:szCs w:val="20"/>
        </w:rPr>
        <w:t xml:space="preserve"> </w:t>
      </w:r>
      <w:r>
        <w:rPr>
          <w:rFonts w:ascii="宋体" w:hAnsi="宋体" w:eastAsia="宋体" w:cs="宋体"/>
          <w:spacing w:val="10"/>
          <w:sz w:val="20"/>
          <w:szCs w:val="20"/>
        </w:rPr>
        <w:t>”是指结构面层，但设计或经建设单位批准的施工组织设计明确从建筑面层</w:t>
      </w:r>
      <w:r>
        <w:rPr>
          <w:rFonts w:ascii="宋体" w:hAnsi="宋体" w:eastAsia="宋体" w:cs="宋体"/>
          <w:spacing w:val="7"/>
          <w:sz w:val="20"/>
          <w:szCs w:val="20"/>
        </w:rPr>
        <w:t>开始抹灰的除外。</w:t>
      </w:r>
    </w:p>
    <w:p>
      <w:pPr>
        <w:spacing w:line="278" w:lineRule="exact"/>
        <w:ind w:left="440"/>
        <w:rPr>
          <w:rFonts w:ascii="宋体" w:hAnsi="宋体" w:eastAsia="宋体" w:cs="宋体"/>
          <w:sz w:val="20"/>
          <w:szCs w:val="20"/>
        </w:rPr>
      </w:pPr>
      <w:r>
        <w:rPr>
          <w:rFonts w:ascii="宋体" w:hAnsi="宋体" w:eastAsia="宋体" w:cs="宋体"/>
          <w:b/>
          <w:bCs/>
          <w:spacing w:val="2"/>
          <w:position w:val="1"/>
          <w:sz w:val="20"/>
          <w:szCs w:val="20"/>
        </w:rPr>
        <w:t>59.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梁底抹灰的计算问题</w:t>
      </w:r>
    </w:p>
    <w:p>
      <w:pPr>
        <w:spacing w:line="278" w:lineRule="exact"/>
        <w:rPr>
          <w:rFonts w:ascii="宋体" w:hAnsi="宋体" w:eastAsia="宋体" w:cs="宋体"/>
          <w:sz w:val="20"/>
          <w:szCs w:val="20"/>
        </w:rPr>
        <w:sectPr>
          <w:footerReference r:id="rId144" w:type="default"/>
          <w:pgSz w:w="11906" w:h="16839"/>
          <w:pgMar w:top="400" w:right="1139" w:bottom="1212" w:left="1401"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368" w:lineRule="auto"/>
        <w:ind w:left="2" w:right="83" w:firstLine="437"/>
        <w:jc w:val="both"/>
        <w:rPr>
          <w:rFonts w:ascii="宋体" w:hAnsi="宋体" w:eastAsia="宋体" w:cs="宋体"/>
          <w:sz w:val="20"/>
          <w:szCs w:val="20"/>
        </w:rPr>
      </w:pPr>
      <w:r>
        <w:rPr>
          <w:rFonts w:ascii="宋体" w:hAnsi="宋体" w:eastAsia="宋体" w:cs="宋体"/>
          <w:spacing w:val="10"/>
          <w:sz w:val="20"/>
          <w:szCs w:val="20"/>
        </w:rPr>
        <w:t>当梁下无墙时，梁底、梁侧的三面抹灰都合并至天棚抹灰中计算；当梁下有墙时，梁侧面抹灰</w:t>
      </w:r>
      <w:r>
        <w:rPr>
          <w:rFonts w:ascii="宋体" w:hAnsi="宋体" w:eastAsia="宋体" w:cs="宋体"/>
          <w:spacing w:val="11"/>
          <w:sz w:val="20"/>
          <w:szCs w:val="20"/>
        </w:rPr>
        <w:t>合并计算入墙体抹灰中，即墙体抹灰算至天棚底，天棚抹灰为主墙间净面积（如</w:t>
      </w:r>
      <w:r>
        <w:rPr>
          <w:rFonts w:ascii="宋体" w:hAnsi="宋体" w:eastAsia="宋体" w:cs="宋体"/>
          <w:spacing w:val="10"/>
          <w:sz w:val="20"/>
          <w:szCs w:val="20"/>
        </w:rPr>
        <w:t>墙厚＜梁宽时，梁</w:t>
      </w:r>
      <w:r>
        <w:rPr>
          <w:rFonts w:ascii="宋体" w:hAnsi="宋体" w:eastAsia="宋体" w:cs="宋体"/>
          <w:spacing w:val="8"/>
          <w:sz w:val="20"/>
          <w:szCs w:val="20"/>
        </w:rPr>
        <w:t>底抹灰并入墙面抹灰工程量中）。</w:t>
      </w:r>
    </w:p>
    <w:p>
      <w:pPr>
        <w:spacing w:line="276" w:lineRule="exact"/>
        <w:ind w:left="426"/>
        <w:rPr>
          <w:rFonts w:ascii="宋体" w:hAnsi="宋体" w:eastAsia="宋体" w:cs="宋体"/>
          <w:sz w:val="20"/>
          <w:szCs w:val="20"/>
        </w:rPr>
      </w:pPr>
      <w:r>
        <w:rPr>
          <w:rFonts w:ascii="宋体" w:hAnsi="宋体" w:eastAsia="宋体" w:cs="宋体"/>
          <w:b/>
          <w:bCs/>
          <w:spacing w:val="3"/>
          <w:position w:val="1"/>
          <w:sz w:val="20"/>
          <w:szCs w:val="20"/>
        </w:rPr>
        <w:t>60.</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关于铝单板幕墙工程量计算</w:t>
      </w:r>
    </w:p>
    <w:p>
      <w:pPr>
        <w:spacing w:before="127" w:line="222" w:lineRule="auto"/>
        <w:ind w:left="426"/>
        <w:rPr>
          <w:rFonts w:ascii="宋体" w:hAnsi="宋体" w:eastAsia="宋体" w:cs="宋体"/>
          <w:sz w:val="20"/>
          <w:szCs w:val="20"/>
        </w:rPr>
      </w:pPr>
      <w:r>
        <w:rPr>
          <w:rFonts w:ascii="宋体" w:hAnsi="宋体" w:eastAsia="宋体" w:cs="宋体"/>
          <w:spacing w:val="9"/>
          <w:sz w:val="20"/>
          <w:szCs w:val="20"/>
        </w:rPr>
        <w:t>铝单板幕墙面积按设计图示外围尺寸以面积计算，突出墙面部分不再展开计算。</w:t>
      </w:r>
    </w:p>
    <w:p>
      <w:pPr>
        <w:spacing w:before="156" w:line="276" w:lineRule="exact"/>
        <w:ind w:left="426"/>
        <w:rPr>
          <w:rFonts w:ascii="宋体" w:hAnsi="宋体" w:eastAsia="宋体" w:cs="宋体"/>
          <w:sz w:val="20"/>
          <w:szCs w:val="20"/>
        </w:rPr>
      </w:pPr>
      <w:r>
        <w:rPr>
          <w:rFonts w:ascii="宋体" w:hAnsi="宋体" w:eastAsia="宋体" w:cs="宋体"/>
          <w:b/>
          <w:bCs/>
          <w:spacing w:val="2"/>
          <w:position w:val="1"/>
          <w:sz w:val="20"/>
          <w:szCs w:val="20"/>
        </w:rPr>
        <w:t>61.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关于铝合金模板的计价</w:t>
      </w:r>
    </w:p>
    <w:p>
      <w:pPr>
        <w:spacing w:before="123" w:line="369" w:lineRule="auto"/>
        <w:ind w:left="22" w:right="83" w:firstLine="404"/>
        <w:rPr>
          <w:rFonts w:ascii="宋体" w:hAnsi="宋体" w:eastAsia="宋体" w:cs="宋体"/>
          <w:sz w:val="20"/>
          <w:szCs w:val="20"/>
        </w:rPr>
      </w:pPr>
      <w:r>
        <w:rPr>
          <w:rFonts w:ascii="宋体" w:hAnsi="宋体" w:eastAsia="宋体" w:cs="宋体"/>
          <w:spacing w:val="10"/>
          <w:sz w:val="20"/>
          <w:szCs w:val="20"/>
        </w:rPr>
        <w:t>实际施工使用了铝合金模板，可执行《山东省绿色建筑工程消耗量定额》（鲁建标字〔2018〕</w:t>
      </w:r>
      <w:r>
        <w:rPr>
          <w:rFonts w:ascii="宋体" w:hAnsi="宋体" w:eastAsia="宋体" w:cs="宋体"/>
          <w:spacing w:val="11"/>
          <w:sz w:val="20"/>
          <w:szCs w:val="20"/>
        </w:rPr>
        <w:t xml:space="preserve"> </w:t>
      </w:r>
      <w:r>
        <w:rPr>
          <w:rFonts w:ascii="宋体" w:hAnsi="宋体" w:eastAsia="宋体" w:cs="宋体"/>
          <w:spacing w:val="4"/>
          <w:sz w:val="20"/>
          <w:szCs w:val="20"/>
        </w:rPr>
        <w:t>14</w:t>
      </w:r>
      <w:r>
        <w:rPr>
          <w:rFonts w:ascii="宋体" w:hAnsi="宋体" w:eastAsia="宋体" w:cs="宋体"/>
          <w:spacing w:val="-40"/>
          <w:sz w:val="20"/>
          <w:szCs w:val="20"/>
        </w:rPr>
        <w:t xml:space="preserve"> </w:t>
      </w:r>
      <w:r>
        <w:rPr>
          <w:rFonts w:ascii="宋体" w:hAnsi="宋体" w:eastAsia="宋体" w:cs="宋体"/>
          <w:spacing w:val="4"/>
          <w:sz w:val="20"/>
          <w:szCs w:val="20"/>
        </w:rPr>
        <w:t>号）相应子目。</w:t>
      </w:r>
    </w:p>
    <w:p>
      <w:pPr>
        <w:spacing w:before="1" w:line="276" w:lineRule="exact"/>
        <w:ind w:left="426"/>
        <w:rPr>
          <w:rFonts w:ascii="宋体" w:hAnsi="宋体" w:eastAsia="宋体" w:cs="宋体"/>
          <w:sz w:val="20"/>
          <w:szCs w:val="20"/>
        </w:rPr>
      </w:pPr>
      <w:r>
        <w:rPr>
          <w:rFonts w:ascii="宋体" w:hAnsi="宋体" w:eastAsia="宋体" w:cs="宋体"/>
          <w:b/>
          <w:bCs/>
          <w:spacing w:val="4"/>
          <w:position w:val="1"/>
          <w:sz w:val="20"/>
          <w:szCs w:val="20"/>
        </w:rPr>
        <w:t>62.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关于装配整体式混凝土结构的计价</w:t>
      </w:r>
    </w:p>
    <w:p>
      <w:pPr>
        <w:spacing w:before="124" w:line="369" w:lineRule="auto"/>
        <w:ind w:firstLine="425"/>
        <w:jc w:val="both"/>
        <w:rPr>
          <w:rFonts w:ascii="宋体" w:hAnsi="宋体" w:eastAsia="宋体" w:cs="宋体"/>
          <w:sz w:val="20"/>
          <w:szCs w:val="20"/>
        </w:rPr>
      </w:pPr>
      <w:r>
        <w:rPr>
          <w:rFonts w:ascii="宋体" w:hAnsi="宋体" w:eastAsia="宋体" w:cs="宋体"/>
          <w:spacing w:val="11"/>
          <w:sz w:val="20"/>
          <w:szCs w:val="20"/>
        </w:rPr>
        <w:t>凡符合我省编制标准的装配整体式混凝土结构，其建筑工程的计价，消耗量定额</w:t>
      </w:r>
      <w:r>
        <w:rPr>
          <w:rFonts w:ascii="宋体" w:hAnsi="宋体" w:eastAsia="宋体" w:cs="宋体"/>
          <w:spacing w:val="10"/>
          <w:sz w:val="20"/>
          <w:szCs w:val="20"/>
        </w:rPr>
        <w:t>执行《山东省</w:t>
      </w:r>
      <w:r>
        <w:rPr>
          <w:rFonts w:ascii="宋体" w:hAnsi="宋体" w:eastAsia="宋体" w:cs="宋体"/>
          <w:spacing w:val="13"/>
          <w:sz w:val="20"/>
          <w:szCs w:val="20"/>
        </w:rPr>
        <w:t>装配整体式混凝土结构建筑工程补充定额》（试行</w:t>
      </w:r>
      <w:r>
        <w:rPr>
          <w:rFonts w:ascii="宋体" w:hAnsi="宋体" w:eastAsia="宋体" w:cs="宋体"/>
          <w:spacing w:val="-13"/>
          <w:sz w:val="20"/>
          <w:szCs w:val="20"/>
        </w:rPr>
        <w:t>）（</w:t>
      </w:r>
      <w:r>
        <w:rPr>
          <w:rFonts w:ascii="宋体" w:hAnsi="宋体" w:eastAsia="宋体" w:cs="宋体"/>
          <w:spacing w:val="13"/>
          <w:sz w:val="20"/>
          <w:szCs w:val="20"/>
        </w:rPr>
        <w:t>鲁</w:t>
      </w:r>
      <w:r>
        <w:rPr>
          <w:rFonts w:ascii="宋体" w:hAnsi="宋体" w:eastAsia="宋体" w:cs="宋体"/>
          <w:spacing w:val="12"/>
          <w:sz w:val="20"/>
          <w:szCs w:val="20"/>
        </w:rPr>
        <w:t>建标字〔2015〕</w:t>
      </w:r>
      <w:r>
        <w:rPr>
          <w:rFonts w:ascii="宋体" w:hAnsi="宋体" w:eastAsia="宋体" w:cs="宋体"/>
          <w:spacing w:val="-57"/>
          <w:sz w:val="20"/>
          <w:szCs w:val="20"/>
        </w:rPr>
        <w:t xml:space="preserve"> </w:t>
      </w:r>
      <w:r>
        <w:rPr>
          <w:rFonts w:ascii="宋体" w:hAnsi="宋体" w:eastAsia="宋体" w:cs="宋体"/>
          <w:spacing w:val="12"/>
          <w:sz w:val="20"/>
          <w:szCs w:val="20"/>
        </w:rPr>
        <w:t>17</w:t>
      </w:r>
      <w:r>
        <w:rPr>
          <w:rFonts w:ascii="宋体" w:hAnsi="宋体" w:eastAsia="宋体" w:cs="宋体"/>
          <w:spacing w:val="-13"/>
          <w:sz w:val="20"/>
          <w:szCs w:val="20"/>
        </w:rPr>
        <w:t>）</w:t>
      </w:r>
      <w:r>
        <w:rPr>
          <w:rFonts w:ascii="宋体" w:hAnsi="宋体" w:eastAsia="宋体" w:cs="宋体"/>
          <w:spacing w:val="-46"/>
          <w:sz w:val="20"/>
          <w:szCs w:val="20"/>
        </w:rPr>
        <w:t xml:space="preserve"> </w:t>
      </w:r>
      <w:r>
        <w:rPr>
          <w:rFonts w:ascii="宋体" w:hAnsi="宋体" w:eastAsia="宋体" w:cs="宋体"/>
          <w:spacing w:val="-13"/>
          <w:sz w:val="20"/>
          <w:szCs w:val="20"/>
        </w:rPr>
        <w:t>，</w:t>
      </w:r>
      <w:r>
        <w:rPr>
          <w:rFonts w:ascii="宋体" w:hAnsi="宋体" w:eastAsia="宋体" w:cs="宋体"/>
          <w:spacing w:val="12"/>
          <w:sz w:val="20"/>
          <w:szCs w:val="20"/>
        </w:rPr>
        <w:t>预制</w:t>
      </w:r>
      <w:r>
        <w:rPr>
          <w:rFonts w:ascii="宋体" w:hAnsi="宋体" w:eastAsia="宋体" w:cs="宋体"/>
          <w:spacing w:val="-40"/>
          <w:sz w:val="20"/>
          <w:szCs w:val="20"/>
        </w:rPr>
        <w:t xml:space="preserve"> </w:t>
      </w:r>
      <w:r>
        <w:rPr>
          <w:rFonts w:ascii="宋体" w:hAnsi="宋体" w:eastAsia="宋体" w:cs="宋体"/>
          <w:sz w:val="20"/>
          <w:szCs w:val="20"/>
        </w:rPr>
        <w:t>PK</w:t>
      </w:r>
      <w:r>
        <w:rPr>
          <w:rFonts w:ascii="宋体" w:hAnsi="宋体" w:eastAsia="宋体" w:cs="宋体"/>
          <w:spacing w:val="-38"/>
          <w:sz w:val="20"/>
          <w:szCs w:val="20"/>
        </w:rPr>
        <w:t xml:space="preserve"> </w:t>
      </w:r>
      <w:r>
        <w:rPr>
          <w:rFonts w:ascii="宋体" w:hAnsi="宋体" w:eastAsia="宋体" w:cs="宋体"/>
          <w:spacing w:val="12"/>
          <w:sz w:val="20"/>
          <w:szCs w:val="20"/>
        </w:rPr>
        <w:t>板、预制</w:t>
      </w:r>
      <w:r>
        <w:rPr>
          <w:rFonts w:ascii="宋体" w:hAnsi="宋体" w:eastAsia="宋体" w:cs="宋体"/>
          <w:sz w:val="20"/>
          <w:szCs w:val="20"/>
        </w:rPr>
        <w:t>PC</w:t>
      </w:r>
      <w:r>
        <w:rPr>
          <w:rFonts w:ascii="宋体" w:hAnsi="宋体" w:eastAsia="宋体" w:cs="宋体"/>
          <w:spacing w:val="-41"/>
          <w:sz w:val="20"/>
          <w:szCs w:val="20"/>
        </w:rPr>
        <w:t xml:space="preserve"> </w:t>
      </w:r>
      <w:r>
        <w:rPr>
          <w:rFonts w:ascii="宋体" w:hAnsi="宋体" w:eastAsia="宋体" w:cs="宋体"/>
          <w:spacing w:val="12"/>
          <w:sz w:val="20"/>
          <w:szCs w:val="20"/>
        </w:rPr>
        <w:t>外墙板、预制</w:t>
      </w:r>
      <w:r>
        <w:rPr>
          <w:rFonts w:ascii="宋体" w:hAnsi="宋体" w:eastAsia="宋体" w:cs="宋体"/>
          <w:spacing w:val="-43"/>
          <w:sz w:val="20"/>
          <w:szCs w:val="20"/>
        </w:rPr>
        <w:t xml:space="preserve"> </w:t>
      </w:r>
      <w:r>
        <w:rPr>
          <w:rFonts w:ascii="宋体" w:hAnsi="宋体" w:eastAsia="宋体" w:cs="宋体"/>
          <w:sz w:val="20"/>
          <w:szCs w:val="20"/>
        </w:rPr>
        <w:t>PC</w:t>
      </w:r>
      <w:r>
        <w:rPr>
          <w:rFonts w:ascii="宋体" w:hAnsi="宋体" w:eastAsia="宋体" w:cs="宋体"/>
          <w:spacing w:val="-16"/>
          <w:sz w:val="20"/>
          <w:szCs w:val="20"/>
        </w:rPr>
        <w:t xml:space="preserve"> </w:t>
      </w:r>
      <w:r>
        <w:rPr>
          <w:rFonts w:ascii="宋体" w:hAnsi="宋体" w:eastAsia="宋体" w:cs="宋体"/>
          <w:spacing w:val="12"/>
          <w:sz w:val="20"/>
          <w:szCs w:val="20"/>
        </w:rPr>
        <w:t>内墙板、预制楼梯、预制休息平台、预制楼梯间隔墙、</w:t>
      </w:r>
      <w:r>
        <w:rPr>
          <w:rFonts w:ascii="宋体" w:hAnsi="宋体" w:eastAsia="宋体" w:cs="宋体"/>
          <w:spacing w:val="11"/>
          <w:sz w:val="20"/>
          <w:szCs w:val="20"/>
        </w:rPr>
        <w:t>预制飘窗板、预制空调</w:t>
      </w:r>
      <w:r>
        <w:rPr>
          <w:rFonts w:ascii="宋体" w:hAnsi="宋体" w:eastAsia="宋体" w:cs="宋体"/>
          <w:spacing w:val="5"/>
          <w:sz w:val="20"/>
          <w:szCs w:val="20"/>
        </w:rPr>
        <w:t>板等主要材料单价执行</w:t>
      </w:r>
      <w:r>
        <w:rPr>
          <w:rFonts w:ascii="宋体" w:hAnsi="宋体" w:eastAsia="宋体" w:cs="宋体"/>
          <w:spacing w:val="-39"/>
          <w:sz w:val="20"/>
          <w:szCs w:val="20"/>
        </w:rPr>
        <w:t xml:space="preserve"> </w:t>
      </w:r>
      <w:r>
        <w:rPr>
          <w:rFonts w:ascii="宋体" w:hAnsi="宋体" w:eastAsia="宋体" w:cs="宋体"/>
          <w:spacing w:val="5"/>
          <w:sz w:val="20"/>
          <w:szCs w:val="20"/>
        </w:rPr>
        <w:t>2016</w:t>
      </w:r>
      <w:r>
        <w:rPr>
          <w:rFonts w:ascii="宋体" w:hAnsi="宋体" w:eastAsia="宋体" w:cs="宋体"/>
          <w:spacing w:val="-41"/>
          <w:sz w:val="20"/>
          <w:szCs w:val="20"/>
        </w:rPr>
        <w:t xml:space="preserve"> </w:t>
      </w:r>
      <w:r>
        <w:rPr>
          <w:rFonts w:ascii="宋体" w:hAnsi="宋体" w:eastAsia="宋体" w:cs="宋体"/>
          <w:spacing w:val="5"/>
          <w:sz w:val="20"/>
          <w:szCs w:val="20"/>
        </w:rPr>
        <w:t>年</w:t>
      </w:r>
      <w:r>
        <w:rPr>
          <w:rFonts w:ascii="宋体" w:hAnsi="宋体" w:eastAsia="宋体" w:cs="宋体"/>
          <w:spacing w:val="-43"/>
          <w:sz w:val="20"/>
          <w:szCs w:val="20"/>
        </w:rPr>
        <w:t xml:space="preserve"> </w:t>
      </w:r>
      <w:r>
        <w:rPr>
          <w:rFonts w:ascii="宋体" w:hAnsi="宋体" w:eastAsia="宋体" w:cs="宋体"/>
          <w:spacing w:val="5"/>
          <w:sz w:val="20"/>
          <w:szCs w:val="20"/>
        </w:rPr>
        <w:t>4</w:t>
      </w:r>
      <w:r>
        <w:rPr>
          <w:rFonts w:ascii="宋体" w:hAnsi="宋体" w:eastAsia="宋体" w:cs="宋体"/>
          <w:spacing w:val="-40"/>
          <w:sz w:val="20"/>
          <w:szCs w:val="20"/>
        </w:rPr>
        <w:t xml:space="preserve"> </w:t>
      </w:r>
      <w:r>
        <w:rPr>
          <w:rFonts w:ascii="宋体" w:hAnsi="宋体" w:eastAsia="宋体" w:cs="宋体"/>
          <w:spacing w:val="5"/>
          <w:sz w:val="20"/>
          <w:szCs w:val="20"/>
        </w:rPr>
        <w:t>月省建设厅网站发布的《定额材</w:t>
      </w:r>
      <w:r>
        <w:rPr>
          <w:rFonts w:ascii="宋体" w:hAnsi="宋体" w:eastAsia="宋体" w:cs="宋体"/>
          <w:spacing w:val="4"/>
          <w:sz w:val="20"/>
          <w:szCs w:val="20"/>
        </w:rPr>
        <w:t>料机械汇总表》；其他人工、材料、</w:t>
      </w:r>
      <w:r>
        <w:rPr>
          <w:rFonts w:ascii="宋体" w:hAnsi="宋体" w:eastAsia="宋体" w:cs="宋体"/>
          <w:spacing w:val="11"/>
          <w:sz w:val="20"/>
          <w:szCs w:val="20"/>
        </w:rPr>
        <w:t>机械台班预算单价执行《关于调整建设工程定额人工单价及各专业定额价目表的通知》</w:t>
      </w:r>
      <w:r>
        <w:rPr>
          <w:rFonts w:ascii="宋体" w:hAnsi="宋体" w:eastAsia="宋体" w:cs="宋体"/>
          <w:spacing w:val="10"/>
          <w:sz w:val="20"/>
          <w:szCs w:val="20"/>
        </w:rPr>
        <w:t>（鲁标定字</w:t>
      </w:r>
      <w:r>
        <w:rPr>
          <w:rFonts w:ascii="宋体" w:hAnsi="宋体" w:eastAsia="宋体" w:cs="宋体"/>
          <w:spacing w:val="4"/>
          <w:sz w:val="20"/>
          <w:szCs w:val="20"/>
        </w:rPr>
        <w:t>〔2018〕45</w:t>
      </w:r>
      <w:r>
        <w:rPr>
          <w:rFonts w:ascii="宋体" w:hAnsi="宋体" w:eastAsia="宋体" w:cs="宋体"/>
          <w:spacing w:val="-40"/>
          <w:sz w:val="20"/>
          <w:szCs w:val="20"/>
        </w:rPr>
        <w:t xml:space="preserve"> </w:t>
      </w:r>
      <w:r>
        <w:rPr>
          <w:rFonts w:ascii="宋体" w:hAnsi="宋体" w:eastAsia="宋体" w:cs="宋体"/>
          <w:spacing w:val="4"/>
          <w:sz w:val="20"/>
          <w:szCs w:val="20"/>
        </w:rPr>
        <w:t>号）。</w:t>
      </w:r>
    </w:p>
    <w:p>
      <w:pPr>
        <w:spacing w:line="276" w:lineRule="exact"/>
        <w:ind w:left="426"/>
        <w:rPr>
          <w:rFonts w:ascii="宋体" w:hAnsi="宋体" w:eastAsia="宋体" w:cs="宋体"/>
          <w:sz w:val="20"/>
          <w:szCs w:val="20"/>
        </w:rPr>
      </w:pPr>
      <w:r>
        <w:rPr>
          <w:rFonts w:ascii="宋体" w:hAnsi="宋体" w:eastAsia="宋体" w:cs="宋体"/>
          <w:b/>
          <w:bCs/>
          <w:spacing w:val="4"/>
          <w:position w:val="1"/>
          <w:sz w:val="20"/>
          <w:szCs w:val="20"/>
        </w:rPr>
        <w:t>63.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关于深基坑及高支模论证费的计价</w:t>
      </w:r>
    </w:p>
    <w:p>
      <w:pPr>
        <w:spacing w:before="129" w:line="222" w:lineRule="auto"/>
        <w:ind w:left="425"/>
        <w:rPr>
          <w:rFonts w:ascii="宋体" w:hAnsi="宋体" w:eastAsia="宋体" w:cs="宋体"/>
          <w:sz w:val="20"/>
          <w:szCs w:val="20"/>
        </w:rPr>
      </w:pPr>
      <w:r>
        <w:rPr>
          <w:rFonts w:ascii="宋体" w:hAnsi="宋体" w:eastAsia="宋体" w:cs="宋体"/>
          <w:spacing w:val="9"/>
          <w:sz w:val="20"/>
          <w:szCs w:val="20"/>
        </w:rPr>
        <w:t>深基坑及高支模论证费应签入施工合同，列入工程概算中。</w:t>
      </w:r>
    </w:p>
    <w:p>
      <w:pPr>
        <w:spacing w:before="156" w:line="276" w:lineRule="exact"/>
        <w:ind w:left="426"/>
        <w:rPr>
          <w:rFonts w:ascii="宋体" w:hAnsi="宋体" w:eastAsia="宋体" w:cs="宋体"/>
          <w:sz w:val="20"/>
          <w:szCs w:val="20"/>
        </w:rPr>
      </w:pPr>
      <w:r>
        <w:rPr>
          <w:rFonts w:ascii="宋体" w:hAnsi="宋体" w:eastAsia="宋体" w:cs="宋体"/>
          <w:b/>
          <w:bCs/>
          <w:spacing w:val="2"/>
          <w:position w:val="1"/>
          <w:sz w:val="20"/>
          <w:szCs w:val="20"/>
        </w:rPr>
        <w:t>64.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关于桩荷载试验的计价</w:t>
      </w:r>
    </w:p>
    <w:p>
      <w:pPr>
        <w:spacing w:before="123" w:line="351" w:lineRule="auto"/>
        <w:ind w:left="3" w:right="16" w:firstLine="421"/>
        <w:rPr>
          <w:rFonts w:ascii="宋体" w:hAnsi="宋体" w:eastAsia="宋体" w:cs="宋体"/>
          <w:sz w:val="20"/>
          <w:szCs w:val="20"/>
        </w:rPr>
      </w:pPr>
      <w:r>
        <w:rPr>
          <w:rFonts w:ascii="宋体" w:hAnsi="宋体" w:eastAsia="宋体" w:cs="宋体"/>
          <w:spacing w:val="7"/>
          <w:sz w:val="20"/>
          <w:szCs w:val="20"/>
        </w:rPr>
        <w:t>桩基础子目不包括测桩（如：静荷载试验、低应变、高应变、声波透射等）内容，实际发生时，</w:t>
      </w:r>
      <w:r>
        <w:rPr>
          <w:rFonts w:ascii="宋体" w:hAnsi="宋体" w:eastAsia="宋体" w:cs="宋体"/>
          <w:spacing w:val="9"/>
          <w:sz w:val="20"/>
          <w:szCs w:val="20"/>
        </w:rPr>
        <w:t>应按规范要求由委托主体负责相关费用。</w:t>
      </w:r>
    </w:p>
    <w:p>
      <w:pPr>
        <w:spacing w:before="41" w:line="276" w:lineRule="exact"/>
        <w:ind w:left="426"/>
        <w:rPr>
          <w:rFonts w:ascii="宋体" w:hAnsi="宋体" w:eastAsia="宋体" w:cs="宋体"/>
          <w:sz w:val="20"/>
          <w:szCs w:val="20"/>
        </w:rPr>
      </w:pPr>
      <w:r>
        <w:rPr>
          <w:rFonts w:ascii="宋体" w:hAnsi="宋体" w:eastAsia="宋体" w:cs="宋体"/>
          <w:b/>
          <w:bCs/>
          <w:spacing w:val="6"/>
          <w:position w:val="1"/>
          <w:sz w:val="20"/>
          <w:szCs w:val="20"/>
        </w:rPr>
        <w:t>65.</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关于灌注桩混凝土相应子目（3-2-26～3-2-</w:t>
      </w:r>
      <w:r>
        <w:rPr>
          <w:rFonts w:ascii="宋体" w:hAnsi="宋体" w:eastAsia="宋体" w:cs="宋体"/>
          <w:b/>
          <w:bCs/>
          <w:spacing w:val="5"/>
          <w:position w:val="1"/>
          <w:sz w:val="20"/>
          <w:szCs w:val="20"/>
        </w:rPr>
        <w:t>30）的机械的计价</w:t>
      </w:r>
    </w:p>
    <w:p>
      <w:pPr>
        <w:spacing w:before="123" w:line="350" w:lineRule="auto"/>
        <w:ind w:left="5" w:right="80" w:firstLine="416"/>
        <w:rPr>
          <w:rFonts w:ascii="宋体" w:hAnsi="宋体" w:eastAsia="宋体" w:cs="宋体"/>
          <w:sz w:val="20"/>
          <w:szCs w:val="20"/>
        </w:rPr>
      </w:pPr>
      <w:r>
        <w:rPr>
          <w:rFonts w:ascii="宋体" w:hAnsi="宋体" w:eastAsia="宋体" w:cs="宋体"/>
          <w:spacing w:val="7"/>
          <w:sz w:val="20"/>
          <w:szCs w:val="20"/>
        </w:rPr>
        <w:t>灌注桩混凝土相应子目（3-2-26</w:t>
      </w:r>
      <w:r>
        <w:rPr>
          <w:rFonts w:ascii="宋体" w:hAnsi="宋体" w:eastAsia="宋体" w:cs="宋体"/>
          <w:spacing w:val="-39"/>
          <w:sz w:val="20"/>
          <w:szCs w:val="20"/>
        </w:rPr>
        <w:t xml:space="preserve"> </w:t>
      </w:r>
      <w:r>
        <w:rPr>
          <w:rFonts w:ascii="宋体" w:hAnsi="宋体" w:eastAsia="宋体" w:cs="宋体"/>
          <w:spacing w:val="7"/>
          <w:sz w:val="20"/>
          <w:szCs w:val="20"/>
        </w:rPr>
        <w:t>至</w:t>
      </w:r>
      <w:r>
        <w:rPr>
          <w:rFonts w:ascii="宋体" w:hAnsi="宋体" w:eastAsia="宋体" w:cs="宋体"/>
          <w:spacing w:val="-36"/>
          <w:sz w:val="20"/>
          <w:szCs w:val="20"/>
        </w:rPr>
        <w:t xml:space="preserve"> </w:t>
      </w:r>
      <w:r>
        <w:rPr>
          <w:rFonts w:ascii="宋体" w:hAnsi="宋体" w:eastAsia="宋体" w:cs="宋体"/>
          <w:spacing w:val="7"/>
          <w:sz w:val="20"/>
          <w:szCs w:val="20"/>
        </w:rPr>
        <w:t>3-2-30）仅指混凝土的灌注，成孔机械的计算</w:t>
      </w:r>
      <w:r>
        <w:rPr>
          <w:rFonts w:ascii="宋体" w:hAnsi="宋体" w:eastAsia="宋体" w:cs="宋体"/>
          <w:spacing w:val="6"/>
          <w:sz w:val="20"/>
          <w:szCs w:val="20"/>
        </w:rPr>
        <w:t>在桩孔的成孔</w:t>
      </w:r>
      <w:r>
        <w:rPr>
          <w:rFonts w:ascii="宋体" w:hAnsi="宋体" w:eastAsia="宋体" w:cs="宋体"/>
          <w:spacing w:val="7"/>
          <w:sz w:val="20"/>
          <w:szCs w:val="20"/>
        </w:rPr>
        <w:t>子目中考虑。</w:t>
      </w:r>
    </w:p>
    <w:p>
      <w:pPr>
        <w:spacing w:before="41" w:line="297" w:lineRule="auto"/>
        <w:ind w:left="426" w:right="145"/>
        <w:rPr>
          <w:rFonts w:ascii="宋体" w:hAnsi="宋体" w:eastAsia="宋体" w:cs="宋体"/>
          <w:sz w:val="20"/>
          <w:szCs w:val="20"/>
        </w:rPr>
      </w:pPr>
      <w:r>
        <w:rPr>
          <w:rFonts w:ascii="宋体" w:hAnsi="宋体" w:eastAsia="宋体" w:cs="宋体"/>
          <w:b/>
          <w:bCs/>
          <w:spacing w:val="7"/>
          <w:sz w:val="20"/>
          <w:szCs w:val="20"/>
        </w:rPr>
        <w:t>66.</w:t>
      </w:r>
      <w:r>
        <w:rPr>
          <w:rFonts w:ascii="宋体" w:hAnsi="宋体" w:eastAsia="宋体" w:cs="宋体"/>
          <w:spacing w:val="7"/>
          <w:sz w:val="20"/>
          <w:szCs w:val="20"/>
        </w:rPr>
        <w:t xml:space="preserve"> </w:t>
      </w:r>
      <w:r>
        <w:rPr>
          <w:rFonts w:ascii="宋体" w:hAnsi="宋体" w:eastAsia="宋体" w:cs="宋体"/>
          <w:b/>
          <w:bCs/>
          <w:spacing w:val="7"/>
          <w:sz w:val="20"/>
          <w:szCs w:val="20"/>
        </w:rPr>
        <w:t>关于钢筋间隔件及马凳是属于按定额计算规则计取的措施费还是属</w:t>
      </w:r>
      <w:r>
        <w:rPr>
          <w:rFonts w:ascii="宋体" w:hAnsi="宋体" w:eastAsia="宋体" w:cs="宋体"/>
          <w:b/>
          <w:bCs/>
          <w:spacing w:val="6"/>
          <w:sz w:val="20"/>
          <w:szCs w:val="20"/>
        </w:rPr>
        <w:t>于分部分项费用的问题</w:t>
      </w:r>
      <w:r>
        <w:rPr>
          <w:rFonts w:ascii="宋体" w:hAnsi="宋体" w:eastAsia="宋体" w:cs="宋体"/>
          <w:spacing w:val="9"/>
          <w:sz w:val="20"/>
          <w:szCs w:val="20"/>
        </w:rPr>
        <w:t>钢筋间隔件及马凳筋定额子目是属于按定额计算规则计取的措施费。</w:t>
      </w:r>
    </w:p>
    <w:p>
      <w:pPr>
        <w:spacing w:before="157" w:line="276" w:lineRule="exact"/>
        <w:ind w:left="426"/>
        <w:rPr>
          <w:rFonts w:ascii="宋体" w:hAnsi="宋体" w:eastAsia="宋体" w:cs="宋体"/>
          <w:sz w:val="20"/>
          <w:szCs w:val="20"/>
        </w:rPr>
      </w:pPr>
      <w:r>
        <w:rPr>
          <w:rFonts w:ascii="宋体" w:hAnsi="宋体" w:eastAsia="宋体" w:cs="宋体"/>
          <w:b/>
          <w:bCs/>
          <w:spacing w:val="2"/>
          <w:position w:val="1"/>
          <w:sz w:val="20"/>
          <w:szCs w:val="20"/>
        </w:rPr>
        <w:t>67.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关于钢筋间隔件的计价</w:t>
      </w:r>
    </w:p>
    <w:p>
      <w:pPr>
        <w:spacing w:before="129" w:line="369" w:lineRule="auto"/>
        <w:ind w:left="1" w:right="58" w:firstLine="424"/>
        <w:jc w:val="both"/>
        <w:rPr>
          <w:rFonts w:ascii="宋体" w:hAnsi="宋体" w:eastAsia="宋体" w:cs="宋体"/>
          <w:sz w:val="20"/>
          <w:szCs w:val="20"/>
        </w:rPr>
      </w:pPr>
      <w:r>
        <w:rPr>
          <w:rFonts w:ascii="宋体" w:hAnsi="宋体" w:eastAsia="宋体" w:cs="宋体"/>
          <w:spacing w:val="11"/>
          <w:sz w:val="20"/>
          <w:szCs w:val="20"/>
        </w:rPr>
        <w:t>钢筋间隔件的作用是钢筋工程施工过程中用于保证钢筋间距的。编制标</w:t>
      </w:r>
      <w:r>
        <w:rPr>
          <w:rFonts w:ascii="宋体" w:hAnsi="宋体" w:eastAsia="宋体" w:cs="宋体"/>
          <w:spacing w:val="10"/>
          <w:sz w:val="20"/>
          <w:szCs w:val="20"/>
        </w:rPr>
        <w:t>底时，按水泥基类间隔</w:t>
      </w:r>
      <w:r>
        <w:rPr>
          <w:rFonts w:ascii="宋体" w:hAnsi="宋体" w:eastAsia="宋体" w:cs="宋体"/>
          <w:spacing w:val="7"/>
          <w:sz w:val="20"/>
          <w:szCs w:val="20"/>
        </w:rPr>
        <w:t>件</w:t>
      </w:r>
      <w:r>
        <w:rPr>
          <w:rFonts w:ascii="宋体" w:hAnsi="宋体" w:eastAsia="宋体" w:cs="宋体"/>
          <w:spacing w:val="-22"/>
          <w:sz w:val="20"/>
          <w:szCs w:val="20"/>
        </w:rPr>
        <w:t xml:space="preserve"> </w:t>
      </w:r>
      <w:r>
        <w:rPr>
          <w:rFonts w:ascii="宋体" w:hAnsi="宋体" w:eastAsia="宋体" w:cs="宋体"/>
          <w:spacing w:val="7"/>
          <w:sz w:val="20"/>
          <w:szCs w:val="20"/>
        </w:rPr>
        <w:t>1.21个/㎡（模板接触面积）计算，设计与定额不同时可以换算。工程结算时</w:t>
      </w:r>
      <w:r>
        <w:rPr>
          <w:rFonts w:ascii="宋体" w:hAnsi="宋体" w:eastAsia="宋体" w:cs="宋体"/>
          <w:spacing w:val="6"/>
          <w:sz w:val="20"/>
          <w:szCs w:val="20"/>
        </w:rPr>
        <w:t>，按实际发生计算：</w:t>
      </w:r>
      <w:r>
        <w:rPr>
          <w:rFonts w:ascii="宋体" w:hAnsi="宋体" w:eastAsia="宋体" w:cs="宋体"/>
          <w:spacing w:val="11"/>
          <w:sz w:val="20"/>
          <w:szCs w:val="20"/>
        </w:rPr>
        <w:t>若实际签证的数量为包含模板中钢筋保护层垫块的间隔件总数量，应扣除模板工程</w:t>
      </w:r>
      <w:r>
        <w:rPr>
          <w:rFonts w:ascii="宋体" w:hAnsi="宋体" w:eastAsia="宋体" w:cs="宋体"/>
          <w:spacing w:val="10"/>
          <w:sz w:val="20"/>
          <w:szCs w:val="20"/>
        </w:rPr>
        <w:t>中钢筋保护层包</w:t>
      </w:r>
      <w:r>
        <w:rPr>
          <w:rFonts w:ascii="宋体" w:hAnsi="宋体" w:eastAsia="宋体" w:cs="宋体"/>
          <w:spacing w:val="9"/>
          <w:sz w:val="20"/>
          <w:szCs w:val="20"/>
        </w:rPr>
        <w:t>含的</w:t>
      </w:r>
      <w:r>
        <w:rPr>
          <w:rFonts w:ascii="宋体" w:hAnsi="宋体" w:eastAsia="宋体" w:cs="宋体"/>
          <w:spacing w:val="-27"/>
          <w:sz w:val="20"/>
          <w:szCs w:val="20"/>
        </w:rPr>
        <w:t xml:space="preserve"> </w:t>
      </w:r>
      <w:r>
        <w:rPr>
          <w:rFonts w:ascii="宋体" w:hAnsi="宋体" w:eastAsia="宋体" w:cs="宋体"/>
          <w:spacing w:val="9"/>
          <w:sz w:val="20"/>
          <w:szCs w:val="20"/>
        </w:rPr>
        <w:t>3</w:t>
      </w:r>
      <w:r>
        <w:rPr>
          <w:rFonts w:ascii="宋体" w:hAnsi="宋体" w:eastAsia="宋体" w:cs="宋体"/>
          <w:spacing w:val="-42"/>
          <w:sz w:val="20"/>
          <w:szCs w:val="20"/>
        </w:rPr>
        <w:t xml:space="preserve"> </w:t>
      </w:r>
      <w:r>
        <w:rPr>
          <w:rFonts w:ascii="宋体" w:hAnsi="宋体" w:eastAsia="宋体" w:cs="宋体"/>
          <w:spacing w:val="9"/>
          <w:sz w:val="20"/>
          <w:szCs w:val="20"/>
        </w:rPr>
        <w:t>块/㎡的垫块，剩余数量套用</w:t>
      </w:r>
      <w:r>
        <w:rPr>
          <w:rFonts w:ascii="宋体" w:hAnsi="宋体" w:eastAsia="宋体" w:cs="宋体"/>
          <w:spacing w:val="-39"/>
          <w:sz w:val="20"/>
          <w:szCs w:val="20"/>
        </w:rPr>
        <w:t xml:space="preserve"> </w:t>
      </w:r>
      <w:r>
        <w:rPr>
          <w:rFonts w:ascii="宋体" w:hAnsi="宋体" w:eastAsia="宋体" w:cs="宋体"/>
          <w:spacing w:val="9"/>
          <w:sz w:val="20"/>
          <w:szCs w:val="20"/>
        </w:rPr>
        <w:t>5-4-76</w:t>
      </w:r>
      <w:r>
        <w:rPr>
          <w:rFonts w:ascii="宋体" w:hAnsi="宋体" w:eastAsia="宋体" w:cs="宋体"/>
          <w:spacing w:val="-40"/>
          <w:sz w:val="20"/>
          <w:szCs w:val="20"/>
        </w:rPr>
        <w:t xml:space="preserve"> </w:t>
      </w:r>
      <w:r>
        <w:rPr>
          <w:rFonts w:ascii="宋体" w:hAnsi="宋体" w:eastAsia="宋体" w:cs="宋体"/>
          <w:spacing w:val="9"/>
          <w:sz w:val="20"/>
          <w:szCs w:val="20"/>
        </w:rPr>
        <w:t>定额子目；若实际签证的数量未包含模板中钢筋保护层</w:t>
      </w:r>
      <w:r>
        <w:rPr>
          <w:rFonts w:ascii="宋体" w:hAnsi="宋体" w:eastAsia="宋体" w:cs="宋体"/>
          <w:spacing w:val="8"/>
          <w:sz w:val="20"/>
          <w:szCs w:val="20"/>
        </w:rPr>
        <w:t>垫块，则按签证数量直接套用</w:t>
      </w:r>
      <w:r>
        <w:rPr>
          <w:rFonts w:ascii="宋体" w:hAnsi="宋体" w:eastAsia="宋体" w:cs="宋体"/>
          <w:spacing w:val="-33"/>
          <w:sz w:val="20"/>
          <w:szCs w:val="20"/>
        </w:rPr>
        <w:t xml:space="preserve"> </w:t>
      </w:r>
      <w:r>
        <w:rPr>
          <w:rFonts w:ascii="宋体" w:hAnsi="宋体" w:eastAsia="宋体" w:cs="宋体"/>
          <w:spacing w:val="8"/>
          <w:sz w:val="20"/>
          <w:szCs w:val="20"/>
        </w:rPr>
        <w:t>5-4-76</w:t>
      </w:r>
      <w:r>
        <w:rPr>
          <w:rFonts w:ascii="宋体" w:hAnsi="宋体" w:eastAsia="宋体" w:cs="宋体"/>
          <w:spacing w:val="-42"/>
          <w:sz w:val="20"/>
          <w:szCs w:val="20"/>
        </w:rPr>
        <w:t xml:space="preserve"> </w:t>
      </w:r>
      <w:r>
        <w:rPr>
          <w:rFonts w:ascii="宋体" w:hAnsi="宋体" w:eastAsia="宋体" w:cs="宋体"/>
          <w:spacing w:val="8"/>
          <w:sz w:val="20"/>
          <w:szCs w:val="20"/>
        </w:rPr>
        <w:t>定额子目。</w:t>
      </w:r>
    </w:p>
    <w:p>
      <w:pPr>
        <w:spacing w:line="367" w:lineRule="auto"/>
        <w:ind w:left="3" w:right="83" w:firstLine="417"/>
        <w:rPr>
          <w:rFonts w:ascii="宋体" w:hAnsi="宋体" w:eastAsia="宋体" w:cs="宋体"/>
          <w:sz w:val="20"/>
          <w:szCs w:val="20"/>
        </w:rPr>
      </w:pPr>
      <w:r>
        <w:rPr>
          <w:rFonts w:ascii="宋体" w:hAnsi="宋体" w:eastAsia="宋体" w:cs="宋体"/>
          <w:spacing w:val="11"/>
          <w:sz w:val="20"/>
          <w:szCs w:val="20"/>
        </w:rPr>
        <w:t>模板工程中的水泥砂浆垫块是用于保证现浇构件保护层厚度的，两者作用不同，实</w:t>
      </w:r>
      <w:r>
        <w:rPr>
          <w:rFonts w:ascii="宋体" w:hAnsi="宋体" w:eastAsia="宋体" w:cs="宋体"/>
          <w:spacing w:val="10"/>
          <w:sz w:val="20"/>
          <w:szCs w:val="20"/>
        </w:rPr>
        <w:t>际使用时模</w:t>
      </w:r>
      <w:r>
        <w:rPr>
          <w:rFonts w:ascii="宋体" w:hAnsi="宋体" w:eastAsia="宋体" w:cs="宋体"/>
          <w:spacing w:val="8"/>
          <w:sz w:val="20"/>
          <w:szCs w:val="20"/>
        </w:rPr>
        <w:t>板垫块含量不调整。</w:t>
      </w:r>
    </w:p>
    <w:p>
      <w:pPr>
        <w:spacing w:before="1" w:line="351" w:lineRule="auto"/>
        <w:ind w:left="7" w:right="18" w:firstLine="418"/>
        <w:rPr>
          <w:rFonts w:ascii="宋体" w:hAnsi="宋体" w:eastAsia="宋体" w:cs="宋体"/>
          <w:sz w:val="20"/>
          <w:szCs w:val="20"/>
        </w:rPr>
      </w:pPr>
      <w:r>
        <w:rPr>
          <w:rFonts w:ascii="宋体" w:hAnsi="宋体" w:eastAsia="宋体" w:cs="宋体"/>
          <w:b/>
          <w:bCs/>
          <w:spacing w:val="5"/>
          <w:sz w:val="20"/>
          <w:szCs w:val="20"/>
        </w:rPr>
        <w:t>68.</w:t>
      </w:r>
      <w:r>
        <w:rPr>
          <w:rFonts w:ascii="宋体" w:hAnsi="宋体" w:eastAsia="宋体" w:cs="宋体"/>
          <w:spacing w:val="5"/>
          <w:sz w:val="20"/>
          <w:szCs w:val="20"/>
        </w:rPr>
        <w:t xml:space="preserve"> </w:t>
      </w:r>
      <w:r>
        <w:rPr>
          <w:rFonts w:ascii="宋体" w:hAnsi="宋体" w:eastAsia="宋体" w:cs="宋体"/>
          <w:b/>
          <w:bCs/>
          <w:spacing w:val="5"/>
          <w:sz w:val="20"/>
          <w:szCs w:val="20"/>
        </w:rPr>
        <w:t>消耗量定额所有砂浆均按现场拌制考虑，若实际使用预拌砂浆，可按规定进行调整</w:t>
      </w:r>
      <w:r>
        <w:rPr>
          <w:rFonts w:ascii="宋体" w:hAnsi="宋体" w:eastAsia="宋体" w:cs="宋体"/>
          <w:b/>
          <w:bCs/>
          <w:spacing w:val="4"/>
          <w:sz w:val="20"/>
          <w:szCs w:val="20"/>
        </w:rPr>
        <w:t>。其中，</w:t>
      </w:r>
      <w:r>
        <w:rPr>
          <w:rFonts w:ascii="宋体" w:hAnsi="宋体" w:eastAsia="宋体" w:cs="宋体"/>
          <w:b/>
          <w:bCs/>
          <w:spacing w:val="8"/>
          <w:sz w:val="20"/>
          <w:szCs w:val="20"/>
        </w:rPr>
        <w:t>每立方米现拌砂浆如何换算成每吨预拌砂浆</w:t>
      </w:r>
    </w:p>
    <w:p>
      <w:pPr>
        <w:spacing w:line="351" w:lineRule="auto"/>
        <w:rPr>
          <w:rFonts w:ascii="宋体" w:hAnsi="宋体" w:eastAsia="宋体" w:cs="宋体"/>
          <w:sz w:val="20"/>
          <w:szCs w:val="20"/>
        </w:rPr>
        <w:sectPr>
          <w:footerReference r:id="rId145" w:type="default"/>
          <w:pgSz w:w="11906" w:h="16839"/>
          <w:pgMar w:top="400" w:right="1337" w:bottom="1212" w:left="1416"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1" w:right="22" w:firstLine="423"/>
        <w:rPr>
          <w:rFonts w:ascii="宋体" w:hAnsi="宋体" w:eastAsia="宋体" w:cs="宋体"/>
          <w:sz w:val="20"/>
          <w:szCs w:val="20"/>
        </w:rPr>
      </w:pPr>
      <w:r>
        <w:rPr>
          <w:rFonts w:ascii="宋体" w:hAnsi="宋体" w:eastAsia="宋体" w:cs="宋体"/>
          <w:spacing w:val="11"/>
          <w:sz w:val="20"/>
          <w:szCs w:val="20"/>
        </w:rPr>
        <w:t>预拌砂浆重量与现拌砂浆体积的换算，按照相关预拌砂浆技术规程及</w:t>
      </w:r>
      <w:r>
        <w:rPr>
          <w:rFonts w:ascii="宋体" w:hAnsi="宋体" w:eastAsia="宋体" w:cs="宋体"/>
          <w:spacing w:val="10"/>
          <w:sz w:val="20"/>
          <w:szCs w:val="20"/>
        </w:rPr>
        <w:t>预拌砂浆产品技术说明书</w:t>
      </w:r>
      <w:r>
        <w:rPr>
          <w:rFonts w:ascii="宋体" w:hAnsi="宋体" w:eastAsia="宋体" w:cs="宋体"/>
          <w:spacing w:val="6"/>
          <w:sz w:val="20"/>
          <w:szCs w:val="20"/>
        </w:rPr>
        <w:t>进行计算。</w:t>
      </w:r>
    </w:p>
    <w:p>
      <w:pPr>
        <w:spacing w:line="276" w:lineRule="exact"/>
        <w:ind w:left="423"/>
        <w:rPr>
          <w:rFonts w:ascii="宋体" w:hAnsi="宋体" w:eastAsia="宋体" w:cs="宋体"/>
          <w:sz w:val="20"/>
          <w:szCs w:val="20"/>
        </w:rPr>
      </w:pPr>
      <w:r>
        <w:rPr>
          <w:rFonts w:ascii="宋体" w:hAnsi="宋体" w:eastAsia="宋体" w:cs="宋体"/>
          <w:b/>
          <w:bCs/>
          <w:spacing w:val="5"/>
          <w:position w:val="1"/>
          <w:sz w:val="20"/>
          <w:szCs w:val="20"/>
        </w:rPr>
        <w:t>69.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关于框架结构中外侧梁与板整浇，板侧壁模板的计价</w:t>
      </w:r>
    </w:p>
    <w:p>
      <w:pPr>
        <w:spacing w:before="126" w:line="221" w:lineRule="auto"/>
        <w:ind w:left="439"/>
        <w:rPr>
          <w:rFonts w:ascii="宋体" w:hAnsi="宋体" w:eastAsia="宋体" w:cs="宋体"/>
          <w:sz w:val="20"/>
          <w:szCs w:val="20"/>
        </w:rPr>
      </w:pPr>
      <w:r>
        <w:rPr>
          <w:rFonts w:ascii="宋体" w:hAnsi="宋体" w:eastAsia="宋体" w:cs="宋体"/>
          <w:spacing w:val="8"/>
          <w:sz w:val="20"/>
          <w:szCs w:val="20"/>
        </w:rPr>
        <w:t>因梁的侧模板算至板下平，板侧模板不再计算。</w:t>
      </w:r>
    </w:p>
    <w:p>
      <w:pPr>
        <w:spacing w:before="156" w:line="276" w:lineRule="exact"/>
        <w:ind w:left="421"/>
        <w:rPr>
          <w:rFonts w:ascii="宋体" w:hAnsi="宋体" w:eastAsia="宋体" w:cs="宋体"/>
          <w:sz w:val="20"/>
          <w:szCs w:val="20"/>
        </w:rPr>
      </w:pPr>
      <w:r>
        <w:rPr>
          <w:rFonts w:ascii="宋体" w:hAnsi="宋体" w:eastAsia="宋体" w:cs="宋体"/>
          <w:b/>
          <w:bCs/>
          <w:spacing w:val="5"/>
          <w:position w:val="1"/>
          <w:sz w:val="20"/>
          <w:szCs w:val="20"/>
        </w:rPr>
        <w:t>70.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关于现浇混凝土斜板下有梁，斜板及梁模板的计价</w:t>
      </w:r>
    </w:p>
    <w:p>
      <w:pPr>
        <w:spacing w:before="124" w:line="277" w:lineRule="exact"/>
        <w:ind w:left="424"/>
        <w:rPr>
          <w:rFonts w:ascii="宋体" w:hAnsi="宋体" w:eastAsia="宋体" w:cs="宋体"/>
          <w:sz w:val="20"/>
          <w:szCs w:val="20"/>
        </w:rPr>
      </w:pPr>
      <w:r>
        <w:rPr>
          <w:rFonts w:ascii="宋体" w:hAnsi="宋体" w:eastAsia="宋体" w:cs="宋体"/>
          <w:spacing w:val="6"/>
          <w:position w:val="1"/>
          <w:sz w:val="20"/>
          <w:szCs w:val="20"/>
        </w:rPr>
        <w:t>现浇混凝土斜板下有梁，梁板合并执行有梁板的模板，人工乘以</w:t>
      </w:r>
      <w:r>
        <w:rPr>
          <w:rFonts w:ascii="宋体" w:hAnsi="宋体" w:eastAsia="宋体" w:cs="宋体"/>
          <w:spacing w:val="-21"/>
          <w:position w:val="1"/>
          <w:sz w:val="20"/>
          <w:szCs w:val="20"/>
        </w:rPr>
        <w:t xml:space="preserve"> </w:t>
      </w:r>
      <w:r>
        <w:rPr>
          <w:rFonts w:ascii="宋体" w:hAnsi="宋体" w:eastAsia="宋体" w:cs="宋体"/>
          <w:spacing w:val="6"/>
          <w:position w:val="1"/>
          <w:sz w:val="20"/>
          <w:szCs w:val="20"/>
        </w:rPr>
        <w:t>1.3</w:t>
      </w:r>
      <w:r>
        <w:rPr>
          <w:rFonts w:ascii="宋体" w:hAnsi="宋体" w:eastAsia="宋体" w:cs="宋体"/>
          <w:spacing w:val="-24"/>
          <w:position w:val="1"/>
          <w:sz w:val="20"/>
          <w:szCs w:val="20"/>
        </w:rPr>
        <w:t xml:space="preserve"> </w:t>
      </w:r>
      <w:r>
        <w:rPr>
          <w:rFonts w:ascii="宋体" w:hAnsi="宋体" w:eastAsia="宋体" w:cs="宋体"/>
          <w:spacing w:val="6"/>
          <w:position w:val="1"/>
          <w:sz w:val="20"/>
          <w:szCs w:val="20"/>
        </w:rPr>
        <w:t>的系数。</w:t>
      </w:r>
    </w:p>
    <w:p>
      <w:pPr>
        <w:spacing w:before="122" w:line="276" w:lineRule="exact"/>
        <w:ind w:left="421"/>
        <w:rPr>
          <w:rFonts w:ascii="宋体" w:hAnsi="宋体" w:eastAsia="宋体" w:cs="宋体"/>
          <w:sz w:val="20"/>
          <w:szCs w:val="20"/>
        </w:rPr>
      </w:pPr>
      <w:r>
        <w:rPr>
          <w:rFonts w:ascii="宋体" w:hAnsi="宋体" w:eastAsia="宋体" w:cs="宋体"/>
          <w:b/>
          <w:bCs/>
          <w:spacing w:val="6"/>
          <w:position w:val="1"/>
          <w:sz w:val="20"/>
          <w:szCs w:val="20"/>
        </w:rPr>
        <w:t>71.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关于复合木模板定额中的锯成材与哪种材料调整差价的问题</w:t>
      </w:r>
    </w:p>
    <w:p>
      <w:pPr>
        <w:spacing w:before="125" w:line="276" w:lineRule="exact"/>
        <w:ind w:left="426"/>
        <w:rPr>
          <w:rFonts w:ascii="宋体" w:hAnsi="宋体" w:eastAsia="宋体" w:cs="宋体"/>
          <w:sz w:val="20"/>
          <w:szCs w:val="20"/>
        </w:rPr>
      </w:pPr>
      <w:r>
        <w:rPr>
          <w:rFonts w:ascii="宋体" w:hAnsi="宋体" w:eastAsia="宋体" w:cs="宋体"/>
          <w:spacing w:val="9"/>
          <w:position w:val="1"/>
          <w:sz w:val="20"/>
          <w:szCs w:val="20"/>
        </w:rPr>
        <w:t>复合木模板定额中的锯成材按照方木找补差</w:t>
      </w:r>
      <w:r>
        <w:rPr>
          <w:rFonts w:ascii="宋体" w:hAnsi="宋体" w:eastAsia="宋体" w:cs="宋体"/>
          <w:spacing w:val="8"/>
          <w:position w:val="1"/>
          <w:sz w:val="20"/>
          <w:szCs w:val="20"/>
        </w:rPr>
        <w:t>价。</w:t>
      </w:r>
    </w:p>
    <w:p>
      <w:pPr>
        <w:spacing w:before="124" w:line="277" w:lineRule="exact"/>
        <w:ind w:left="421"/>
        <w:rPr>
          <w:rFonts w:ascii="宋体" w:hAnsi="宋体" w:eastAsia="宋体" w:cs="宋体"/>
          <w:sz w:val="20"/>
          <w:szCs w:val="20"/>
        </w:rPr>
      </w:pPr>
      <w:r>
        <w:rPr>
          <w:rFonts w:ascii="宋体" w:hAnsi="宋体" w:eastAsia="宋体" w:cs="宋体"/>
          <w:b/>
          <w:bCs/>
          <w:spacing w:val="5"/>
          <w:position w:val="1"/>
          <w:sz w:val="20"/>
          <w:szCs w:val="20"/>
        </w:rPr>
        <w:t>72.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塔吊坐落在基底，垂直运输机械费高度的计价</w:t>
      </w:r>
    </w:p>
    <w:p>
      <w:pPr>
        <w:spacing w:before="122" w:line="277" w:lineRule="exact"/>
        <w:ind w:left="420"/>
        <w:rPr>
          <w:rFonts w:ascii="宋体" w:hAnsi="宋体" w:eastAsia="宋体" w:cs="宋体"/>
          <w:sz w:val="20"/>
          <w:szCs w:val="20"/>
        </w:rPr>
      </w:pPr>
      <w:r>
        <w:rPr>
          <w:rFonts w:ascii="宋体" w:hAnsi="宋体" w:eastAsia="宋体" w:cs="宋体"/>
          <w:spacing w:val="9"/>
          <w:position w:val="1"/>
          <w:sz w:val="20"/>
          <w:szCs w:val="20"/>
        </w:rPr>
        <w:t>塔吊坐落在基底，垂直运输机械的高度从塔吊基础坐落位置算至檐口高度。</w:t>
      </w:r>
    </w:p>
    <w:p>
      <w:pPr>
        <w:spacing w:before="124" w:line="276" w:lineRule="exact"/>
        <w:ind w:left="421"/>
        <w:rPr>
          <w:rFonts w:ascii="宋体" w:hAnsi="宋体" w:eastAsia="宋体" w:cs="宋体"/>
          <w:sz w:val="20"/>
          <w:szCs w:val="20"/>
        </w:rPr>
      </w:pPr>
      <w:r>
        <w:rPr>
          <w:rFonts w:ascii="宋体" w:hAnsi="宋体" w:eastAsia="宋体" w:cs="宋体"/>
          <w:b/>
          <w:bCs/>
          <w:spacing w:val="7"/>
          <w:position w:val="1"/>
          <w:sz w:val="20"/>
          <w:szCs w:val="20"/>
        </w:rPr>
        <w:t>73.</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关于设计室外坪至垫层底大于</w:t>
      </w:r>
      <w:r>
        <w:rPr>
          <w:rFonts w:ascii="宋体" w:hAnsi="宋体" w:eastAsia="宋体" w:cs="宋体"/>
          <w:spacing w:val="-20"/>
          <w:position w:val="1"/>
          <w:sz w:val="20"/>
          <w:szCs w:val="20"/>
        </w:rPr>
        <w:t xml:space="preserve"> </w:t>
      </w:r>
      <w:r>
        <w:rPr>
          <w:rFonts w:ascii="宋体" w:hAnsi="宋体" w:eastAsia="宋体" w:cs="宋体"/>
          <w:b/>
          <w:bCs/>
          <w:spacing w:val="7"/>
          <w:position w:val="1"/>
          <w:sz w:val="20"/>
          <w:szCs w:val="20"/>
        </w:rPr>
        <w:t>3m，设计室外坪以下的柱、梁、砼墙的垂直运输的计价</w:t>
      </w:r>
    </w:p>
    <w:p>
      <w:pPr>
        <w:spacing w:before="124" w:line="350" w:lineRule="auto"/>
        <w:ind w:left="2" w:right="22" w:firstLine="415"/>
        <w:rPr>
          <w:rFonts w:ascii="宋体" w:hAnsi="宋体" w:eastAsia="宋体" w:cs="宋体"/>
          <w:sz w:val="20"/>
          <w:szCs w:val="20"/>
        </w:rPr>
      </w:pPr>
      <w:r>
        <w:rPr>
          <w:rFonts w:ascii="宋体" w:hAnsi="宋体" w:eastAsia="宋体" w:cs="宋体"/>
          <w:spacing w:val="11"/>
          <w:sz w:val="20"/>
          <w:szCs w:val="20"/>
        </w:rPr>
        <w:t>设计室外地坪以下的垂直运输（无地下室）根据结构形式按照底层建筑面积计算；如</w:t>
      </w:r>
      <w:r>
        <w:rPr>
          <w:rFonts w:ascii="宋体" w:hAnsi="宋体" w:eastAsia="宋体" w:cs="宋体"/>
          <w:spacing w:val="10"/>
          <w:sz w:val="20"/>
          <w:szCs w:val="20"/>
        </w:rPr>
        <w:t>果埋深超</w:t>
      </w:r>
      <w:r>
        <w:rPr>
          <w:rFonts w:ascii="宋体" w:hAnsi="宋体" w:eastAsia="宋体" w:cs="宋体"/>
          <w:spacing w:val="9"/>
          <w:sz w:val="20"/>
          <w:szCs w:val="20"/>
        </w:rPr>
        <w:t>过三米，加套超深基础增加垂直运输子目。</w:t>
      </w:r>
    </w:p>
    <w:p>
      <w:pPr>
        <w:spacing w:before="41" w:line="276" w:lineRule="exact"/>
        <w:ind w:left="421"/>
        <w:rPr>
          <w:rFonts w:ascii="宋体" w:hAnsi="宋体" w:eastAsia="宋体" w:cs="宋体"/>
          <w:sz w:val="20"/>
          <w:szCs w:val="20"/>
        </w:rPr>
      </w:pPr>
      <w:r>
        <w:rPr>
          <w:rFonts w:ascii="宋体" w:hAnsi="宋体" w:eastAsia="宋体" w:cs="宋体"/>
          <w:b/>
          <w:bCs/>
          <w:spacing w:val="4"/>
          <w:position w:val="1"/>
          <w:sz w:val="20"/>
          <w:szCs w:val="20"/>
        </w:rPr>
        <w:t>74.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关于现浇混凝土水平运输的计价</w:t>
      </w:r>
    </w:p>
    <w:p>
      <w:pPr>
        <w:spacing w:before="125" w:line="320" w:lineRule="auto"/>
        <w:ind w:left="1" w:right="22" w:firstLine="438"/>
        <w:rPr>
          <w:rFonts w:ascii="宋体" w:hAnsi="宋体" w:eastAsia="宋体" w:cs="宋体"/>
          <w:sz w:val="20"/>
          <w:szCs w:val="20"/>
        </w:rPr>
      </w:pPr>
      <w:r>
        <w:rPr>
          <w:rFonts w:ascii="宋体" w:hAnsi="宋体" w:eastAsia="宋体" w:cs="宋体"/>
          <w:spacing w:val="9"/>
          <w:sz w:val="20"/>
          <w:szCs w:val="20"/>
        </w:rPr>
        <w:t>16</w:t>
      </w:r>
      <w:r>
        <w:rPr>
          <w:rFonts w:ascii="宋体" w:hAnsi="宋体" w:eastAsia="宋体" w:cs="宋体"/>
          <w:spacing w:val="-35"/>
          <w:sz w:val="20"/>
          <w:szCs w:val="20"/>
        </w:rPr>
        <w:t xml:space="preserve"> </w:t>
      </w:r>
      <w:r>
        <w:rPr>
          <w:rFonts w:ascii="宋体" w:hAnsi="宋体" w:eastAsia="宋体" w:cs="宋体"/>
          <w:spacing w:val="9"/>
          <w:sz w:val="20"/>
          <w:szCs w:val="20"/>
        </w:rPr>
        <w:t>消耗量定额中的现浇混凝土均是按商品混凝土考虑</w:t>
      </w:r>
      <w:r>
        <w:rPr>
          <w:rFonts w:ascii="宋体" w:hAnsi="宋体" w:eastAsia="宋体" w:cs="宋体"/>
          <w:spacing w:val="8"/>
          <w:sz w:val="20"/>
          <w:szCs w:val="20"/>
        </w:rPr>
        <w:t>的，其场内水平运输已按劳动定额的相应</w:t>
      </w:r>
      <w:r>
        <w:rPr>
          <w:rFonts w:ascii="宋体" w:hAnsi="宋体" w:eastAsia="宋体" w:cs="宋体"/>
          <w:spacing w:val="11"/>
          <w:sz w:val="20"/>
          <w:szCs w:val="20"/>
        </w:rPr>
        <w:t>规定考虑了场内运输和超运距用工，不足的部分在材料二次搬运费中包含，不</w:t>
      </w:r>
      <w:r>
        <w:rPr>
          <w:rFonts w:ascii="宋体" w:hAnsi="宋体" w:eastAsia="宋体" w:cs="宋体"/>
          <w:spacing w:val="10"/>
          <w:sz w:val="20"/>
          <w:szCs w:val="20"/>
        </w:rPr>
        <w:t>再单独计算和套用定</w:t>
      </w:r>
      <w:r>
        <w:rPr>
          <w:rFonts w:ascii="宋体" w:hAnsi="宋体" w:eastAsia="宋体" w:cs="宋体"/>
          <w:spacing w:val="2"/>
          <w:sz w:val="20"/>
          <w:szCs w:val="20"/>
        </w:rPr>
        <w:t>额。</w:t>
      </w:r>
    </w:p>
    <w:p>
      <w:pPr>
        <w:spacing w:before="160" w:line="276" w:lineRule="exact"/>
        <w:ind w:left="421"/>
        <w:rPr>
          <w:rFonts w:ascii="宋体" w:hAnsi="宋体" w:eastAsia="宋体" w:cs="宋体"/>
          <w:sz w:val="20"/>
          <w:szCs w:val="20"/>
        </w:rPr>
      </w:pPr>
      <w:r>
        <w:rPr>
          <w:rFonts w:ascii="宋体" w:hAnsi="宋体" w:eastAsia="宋体" w:cs="宋体"/>
          <w:b/>
          <w:bCs/>
          <w:spacing w:val="5"/>
          <w:position w:val="1"/>
          <w:sz w:val="20"/>
          <w:szCs w:val="20"/>
        </w:rPr>
        <w:t>75.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关于混凝土水池（非封闭式）垂直运输的计价</w:t>
      </w:r>
    </w:p>
    <w:p>
      <w:pPr>
        <w:spacing w:before="123" w:line="297" w:lineRule="auto"/>
        <w:ind w:left="2" w:right="19" w:firstLine="437"/>
        <w:rPr>
          <w:rFonts w:ascii="宋体" w:hAnsi="宋体" w:eastAsia="宋体" w:cs="宋体"/>
          <w:sz w:val="20"/>
          <w:szCs w:val="20"/>
        </w:rPr>
      </w:pPr>
      <w:r>
        <w:rPr>
          <w:rFonts w:ascii="宋体" w:hAnsi="宋体" w:eastAsia="宋体" w:cs="宋体"/>
          <w:spacing w:val="5"/>
          <w:sz w:val="20"/>
          <w:szCs w:val="20"/>
        </w:rPr>
        <w:t>16</w:t>
      </w:r>
      <w:r>
        <w:rPr>
          <w:rFonts w:ascii="宋体" w:hAnsi="宋体" w:eastAsia="宋体" w:cs="宋体"/>
          <w:spacing w:val="-34"/>
          <w:sz w:val="20"/>
          <w:szCs w:val="20"/>
        </w:rPr>
        <w:t xml:space="preserve"> </w:t>
      </w:r>
      <w:r>
        <w:rPr>
          <w:rFonts w:ascii="宋体" w:hAnsi="宋体" w:eastAsia="宋体" w:cs="宋体"/>
          <w:spacing w:val="5"/>
          <w:sz w:val="20"/>
          <w:szCs w:val="20"/>
        </w:rPr>
        <w:t>消耗量定额</w:t>
      </w:r>
      <w:r>
        <w:rPr>
          <w:rFonts w:ascii="宋体" w:hAnsi="宋体" w:eastAsia="宋体" w:cs="宋体"/>
          <w:spacing w:val="-25"/>
          <w:sz w:val="20"/>
          <w:szCs w:val="20"/>
        </w:rPr>
        <w:t xml:space="preserve"> </w:t>
      </w:r>
      <w:r>
        <w:rPr>
          <w:rFonts w:ascii="宋体" w:hAnsi="宋体" w:eastAsia="宋体" w:cs="宋体"/>
          <w:spacing w:val="5"/>
          <w:sz w:val="20"/>
          <w:szCs w:val="20"/>
        </w:rPr>
        <w:t>19-1-66~69</w:t>
      </w:r>
      <w:r>
        <w:rPr>
          <w:rFonts w:ascii="宋体" w:hAnsi="宋体" w:eastAsia="宋体" w:cs="宋体"/>
          <w:spacing w:val="-44"/>
          <w:sz w:val="20"/>
          <w:szCs w:val="20"/>
        </w:rPr>
        <w:t xml:space="preserve"> </w:t>
      </w:r>
      <w:r>
        <w:rPr>
          <w:rFonts w:ascii="宋体" w:hAnsi="宋体" w:eastAsia="宋体" w:cs="宋体"/>
          <w:spacing w:val="5"/>
          <w:sz w:val="20"/>
          <w:szCs w:val="20"/>
        </w:rPr>
        <w:t>适用于混凝土清水池(封闭式)的垂直运输，非封</w:t>
      </w:r>
      <w:r>
        <w:rPr>
          <w:rFonts w:ascii="宋体" w:hAnsi="宋体" w:eastAsia="宋体" w:cs="宋体"/>
          <w:spacing w:val="4"/>
          <w:sz w:val="20"/>
          <w:szCs w:val="20"/>
        </w:rPr>
        <w:t>闭式混凝土水池的垂</w:t>
      </w:r>
      <w:r>
        <w:rPr>
          <w:rFonts w:ascii="宋体" w:hAnsi="宋体" w:eastAsia="宋体" w:cs="宋体"/>
          <w:spacing w:val="8"/>
          <w:sz w:val="20"/>
          <w:szCs w:val="20"/>
        </w:rPr>
        <w:t>直运输无相关计算方法。</w:t>
      </w:r>
    </w:p>
    <w:p>
      <w:pPr>
        <w:spacing w:before="157" w:line="278" w:lineRule="exact"/>
        <w:ind w:left="421"/>
        <w:rPr>
          <w:rFonts w:ascii="宋体" w:hAnsi="宋体" w:eastAsia="宋体" w:cs="宋体"/>
          <w:sz w:val="20"/>
          <w:szCs w:val="20"/>
        </w:rPr>
      </w:pPr>
      <w:r>
        <w:rPr>
          <w:rFonts w:ascii="宋体" w:hAnsi="宋体" w:eastAsia="宋体" w:cs="宋体"/>
          <w:b/>
          <w:bCs/>
          <w:spacing w:val="7"/>
          <w:position w:val="1"/>
          <w:sz w:val="20"/>
          <w:szCs w:val="20"/>
        </w:rPr>
        <w:t>76.</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现有定额或环境保护费、文明施工费及临时设施费中产生</w:t>
      </w:r>
      <w:r>
        <w:rPr>
          <w:rFonts w:ascii="宋体" w:hAnsi="宋体" w:eastAsia="宋体" w:cs="宋体"/>
          <w:b/>
          <w:bCs/>
          <w:spacing w:val="6"/>
          <w:position w:val="1"/>
          <w:sz w:val="20"/>
          <w:szCs w:val="20"/>
        </w:rPr>
        <w:t>的建筑垃圾场外运输的计算</w:t>
      </w:r>
    </w:p>
    <w:p>
      <w:pPr>
        <w:spacing w:before="121" w:line="369" w:lineRule="auto"/>
        <w:ind w:left="3" w:right="22" w:firstLine="420"/>
        <w:rPr>
          <w:rFonts w:ascii="宋体" w:hAnsi="宋体" w:eastAsia="宋体" w:cs="宋体"/>
          <w:sz w:val="20"/>
          <w:szCs w:val="20"/>
        </w:rPr>
      </w:pPr>
      <w:r>
        <w:rPr>
          <w:rFonts w:ascii="宋体" w:hAnsi="宋体" w:eastAsia="宋体" w:cs="宋体"/>
          <w:spacing w:val="11"/>
          <w:sz w:val="20"/>
          <w:szCs w:val="20"/>
        </w:rPr>
        <w:t>现有定额或有关费率中未包含施工红线范围内所有建筑垃圾（包括临时</w:t>
      </w:r>
      <w:r>
        <w:rPr>
          <w:rFonts w:ascii="宋体" w:hAnsi="宋体" w:eastAsia="宋体" w:cs="宋体"/>
          <w:spacing w:val="10"/>
          <w:sz w:val="20"/>
          <w:szCs w:val="20"/>
        </w:rPr>
        <w:t>设施拆除所产生的拆除</w:t>
      </w:r>
      <w:r>
        <w:rPr>
          <w:rFonts w:ascii="宋体" w:hAnsi="宋体" w:eastAsia="宋体" w:cs="宋体"/>
          <w:spacing w:val="9"/>
          <w:sz w:val="20"/>
          <w:szCs w:val="20"/>
        </w:rPr>
        <w:t>垃圾）的外运费用，实际发生时，另行计算。</w:t>
      </w:r>
    </w:p>
    <w:p>
      <w:pPr>
        <w:spacing w:before="2" w:line="276" w:lineRule="exact"/>
        <w:ind w:left="421"/>
        <w:rPr>
          <w:rFonts w:ascii="宋体" w:hAnsi="宋体" w:eastAsia="宋体" w:cs="宋体"/>
          <w:sz w:val="20"/>
          <w:szCs w:val="20"/>
        </w:rPr>
      </w:pPr>
      <w:r>
        <w:rPr>
          <w:rFonts w:ascii="宋体" w:hAnsi="宋体" w:eastAsia="宋体" w:cs="宋体"/>
          <w:b/>
          <w:bCs/>
          <w:spacing w:val="3"/>
          <w:position w:val="1"/>
          <w:sz w:val="20"/>
          <w:szCs w:val="20"/>
        </w:rPr>
        <w:t>77.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关于装配整体式钢结构的计价</w:t>
      </w:r>
    </w:p>
    <w:p>
      <w:pPr>
        <w:spacing w:before="124" w:line="223" w:lineRule="auto"/>
        <w:ind w:left="420"/>
        <w:rPr>
          <w:rFonts w:ascii="宋体" w:hAnsi="宋体" w:eastAsia="宋体" w:cs="宋体"/>
          <w:sz w:val="20"/>
          <w:szCs w:val="20"/>
        </w:rPr>
      </w:pPr>
      <w:r>
        <w:rPr>
          <w:rFonts w:ascii="宋体" w:hAnsi="宋体" w:eastAsia="宋体" w:cs="宋体"/>
          <w:spacing w:val="9"/>
          <w:sz w:val="20"/>
          <w:szCs w:val="20"/>
        </w:rPr>
        <w:t>装配整体式钢结构参照金属结构工程的相关子目计算。</w:t>
      </w:r>
    </w:p>
    <w:p>
      <w:pPr>
        <w:spacing w:before="157" w:line="353" w:lineRule="auto"/>
        <w:ind w:left="1" w:right="22" w:firstLine="420"/>
        <w:rPr>
          <w:rFonts w:ascii="宋体" w:hAnsi="宋体" w:eastAsia="宋体" w:cs="宋体"/>
          <w:sz w:val="20"/>
          <w:szCs w:val="20"/>
        </w:rPr>
      </w:pPr>
      <w:r>
        <w:rPr>
          <w:rFonts w:ascii="宋体" w:hAnsi="宋体" w:eastAsia="宋体" w:cs="宋体"/>
          <w:b/>
          <w:bCs/>
          <w:spacing w:val="7"/>
          <w:sz w:val="20"/>
          <w:szCs w:val="20"/>
        </w:rPr>
        <w:t>78.</w:t>
      </w:r>
      <w:r>
        <w:rPr>
          <w:rFonts w:ascii="宋体" w:hAnsi="宋体" w:eastAsia="宋体" w:cs="宋体"/>
          <w:spacing w:val="7"/>
          <w:sz w:val="20"/>
          <w:szCs w:val="20"/>
        </w:rPr>
        <w:t xml:space="preserve"> </w:t>
      </w:r>
      <w:r>
        <w:rPr>
          <w:rFonts w:ascii="宋体" w:hAnsi="宋体" w:eastAsia="宋体" w:cs="宋体"/>
          <w:b/>
          <w:bCs/>
          <w:spacing w:val="7"/>
          <w:sz w:val="20"/>
          <w:szCs w:val="20"/>
        </w:rPr>
        <w:t>金属面防火涂料若采用超薄型或厚型防火涂料时的计价</w:t>
      </w:r>
      <w:r>
        <w:rPr>
          <w:rFonts w:ascii="宋体" w:hAnsi="宋体" w:eastAsia="宋体" w:cs="宋体"/>
          <w:spacing w:val="-45"/>
          <w:sz w:val="20"/>
          <w:szCs w:val="20"/>
        </w:rPr>
        <w:t xml:space="preserve"> </w:t>
      </w:r>
      <w:r>
        <w:rPr>
          <w:rFonts w:ascii="宋体" w:hAnsi="宋体" w:eastAsia="宋体" w:cs="宋体"/>
          <w:b/>
          <w:bCs/>
          <w:spacing w:val="7"/>
          <w:sz w:val="20"/>
          <w:szCs w:val="20"/>
        </w:rPr>
        <w:t>，建筑中的金属面刷防火涂料如何进行取费</w:t>
      </w:r>
    </w:p>
    <w:p>
      <w:pPr>
        <w:spacing w:before="36" w:line="351" w:lineRule="auto"/>
        <w:ind w:left="2" w:right="20" w:firstLine="420"/>
        <w:rPr>
          <w:rFonts w:ascii="宋体" w:hAnsi="宋体" w:eastAsia="宋体" w:cs="宋体"/>
          <w:sz w:val="20"/>
          <w:szCs w:val="20"/>
        </w:rPr>
      </w:pPr>
      <w:r>
        <w:rPr>
          <w:rFonts w:ascii="宋体" w:hAnsi="宋体" w:eastAsia="宋体" w:cs="宋体"/>
          <w:spacing w:val="11"/>
          <w:sz w:val="20"/>
          <w:szCs w:val="20"/>
        </w:rPr>
        <w:t>金属面防火涂料若采用超薄型或厚型防火涂料时，可借用《山东省安装工程消</w:t>
      </w:r>
      <w:r>
        <w:rPr>
          <w:rFonts w:ascii="宋体" w:hAnsi="宋体" w:eastAsia="宋体" w:cs="宋体"/>
          <w:spacing w:val="10"/>
          <w:sz w:val="20"/>
          <w:szCs w:val="20"/>
        </w:rPr>
        <w:t>耗量定额》相关</w:t>
      </w:r>
      <w:r>
        <w:rPr>
          <w:rFonts w:ascii="宋体" w:hAnsi="宋体" w:eastAsia="宋体" w:cs="宋体"/>
          <w:spacing w:val="9"/>
          <w:sz w:val="20"/>
          <w:szCs w:val="20"/>
        </w:rPr>
        <w:t>子目。建筑中的金属面刷防火涂料按装饰工程取费。</w:t>
      </w:r>
    </w:p>
    <w:p>
      <w:pPr>
        <w:spacing w:before="40" w:line="276" w:lineRule="exact"/>
        <w:ind w:left="421"/>
        <w:rPr>
          <w:rFonts w:ascii="宋体" w:hAnsi="宋体" w:eastAsia="宋体" w:cs="宋体"/>
          <w:sz w:val="20"/>
          <w:szCs w:val="20"/>
        </w:rPr>
      </w:pPr>
      <w:r>
        <w:rPr>
          <w:rFonts w:ascii="宋体" w:hAnsi="宋体" w:eastAsia="宋体" w:cs="宋体"/>
          <w:b/>
          <w:bCs/>
          <w:spacing w:val="5"/>
          <w:position w:val="1"/>
          <w:sz w:val="20"/>
          <w:szCs w:val="20"/>
        </w:rPr>
        <w:t>79.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若界面剂的做法是素水泥浆加</w:t>
      </w:r>
      <w:r>
        <w:rPr>
          <w:rFonts w:ascii="宋体" w:hAnsi="宋体" w:eastAsia="宋体" w:cs="宋体"/>
          <w:spacing w:val="-22"/>
          <w:position w:val="1"/>
          <w:sz w:val="20"/>
          <w:szCs w:val="20"/>
        </w:rPr>
        <w:t xml:space="preserve"> </w:t>
      </w:r>
      <w:r>
        <w:rPr>
          <w:rFonts w:ascii="宋体" w:hAnsi="宋体" w:eastAsia="宋体" w:cs="宋体"/>
          <w:b/>
          <w:bCs/>
          <w:spacing w:val="5"/>
          <w:position w:val="1"/>
          <w:sz w:val="20"/>
          <w:szCs w:val="20"/>
        </w:rPr>
        <w:t>108</w:t>
      </w:r>
      <w:r>
        <w:rPr>
          <w:rFonts w:ascii="宋体" w:hAnsi="宋体" w:eastAsia="宋体" w:cs="宋体"/>
          <w:spacing w:val="-44"/>
          <w:position w:val="1"/>
          <w:sz w:val="20"/>
          <w:szCs w:val="20"/>
        </w:rPr>
        <w:t xml:space="preserve"> </w:t>
      </w:r>
      <w:r>
        <w:rPr>
          <w:rFonts w:ascii="宋体" w:hAnsi="宋体" w:eastAsia="宋体" w:cs="宋体"/>
          <w:b/>
          <w:bCs/>
          <w:spacing w:val="5"/>
          <w:position w:val="1"/>
          <w:sz w:val="20"/>
          <w:szCs w:val="20"/>
        </w:rPr>
        <w:t>胶刷一</w:t>
      </w:r>
      <w:r>
        <w:rPr>
          <w:rFonts w:ascii="宋体" w:hAnsi="宋体" w:eastAsia="宋体" w:cs="宋体"/>
          <w:b/>
          <w:bCs/>
          <w:spacing w:val="4"/>
          <w:position w:val="1"/>
          <w:sz w:val="20"/>
          <w:szCs w:val="20"/>
        </w:rPr>
        <w:t>道或甩浆应如何计价</w:t>
      </w:r>
    </w:p>
    <w:p>
      <w:pPr>
        <w:spacing w:before="123" w:line="368" w:lineRule="auto"/>
        <w:ind w:left="8" w:right="19" w:firstLine="411"/>
        <w:rPr>
          <w:rFonts w:ascii="宋体" w:hAnsi="宋体" w:eastAsia="宋体" w:cs="宋体"/>
          <w:sz w:val="20"/>
          <w:szCs w:val="20"/>
        </w:rPr>
      </w:pPr>
      <w:r>
        <w:rPr>
          <w:rFonts w:ascii="宋体" w:hAnsi="宋体" w:eastAsia="宋体" w:cs="宋体"/>
          <w:spacing w:val="7"/>
          <w:sz w:val="20"/>
          <w:szCs w:val="20"/>
        </w:rPr>
        <w:t>墙面装饰工程子目按照我省</w:t>
      </w:r>
      <w:r>
        <w:rPr>
          <w:rFonts w:ascii="宋体" w:hAnsi="宋体" w:eastAsia="宋体" w:cs="宋体"/>
          <w:spacing w:val="-5"/>
          <w:sz w:val="20"/>
          <w:szCs w:val="20"/>
        </w:rPr>
        <w:t xml:space="preserve"> </w:t>
      </w:r>
      <w:r>
        <w:rPr>
          <w:rFonts w:ascii="宋体" w:hAnsi="宋体" w:eastAsia="宋体" w:cs="宋体"/>
          <w:spacing w:val="7"/>
          <w:sz w:val="20"/>
          <w:szCs w:val="20"/>
        </w:rPr>
        <w:t>13</w:t>
      </w:r>
      <w:r>
        <w:rPr>
          <w:rFonts w:ascii="宋体" w:hAnsi="宋体" w:eastAsia="宋体" w:cs="宋体"/>
          <w:spacing w:val="-41"/>
          <w:sz w:val="20"/>
          <w:szCs w:val="20"/>
        </w:rPr>
        <w:t xml:space="preserve"> </w:t>
      </w:r>
      <w:r>
        <w:rPr>
          <w:rFonts w:ascii="宋体" w:hAnsi="宋体" w:eastAsia="宋体" w:cs="宋体"/>
          <w:spacing w:val="7"/>
          <w:sz w:val="20"/>
          <w:szCs w:val="20"/>
        </w:rPr>
        <w:t>建筑做法图集设置。如需单独涂刷界面剂，按照第十四章相关界</w:t>
      </w:r>
      <w:r>
        <w:rPr>
          <w:rFonts w:ascii="宋体" w:hAnsi="宋体" w:eastAsia="宋体" w:cs="宋体"/>
          <w:spacing w:val="8"/>
          <w:sz w:val="20"/>
          <w:szCs w:val="20"/>
        </w:rPr>
        <w:t>面剂子目计算，换算界面剂材料单价。</w:t>
      </w:r>
    </w:p>
    <w:p>
      <w:pPr>
        <w:spacing w:before="4" w:line="277" w:lineRule="exact"/>
        <w:ind w:left="425"/>
        <w:rPr>
          <w:rFonts w:ascii="宋体" w:hAnsi="宋体" w:eastAsia="宋体" w:cs="宋体"/>
          <w:sz w:val="20"/>
          <w:szCs w:val="20"/>
        </w:rPr>
      </w:pPr>
      <w:r>
        <w:rPr>
          <w:rFonts w:ascii="宋体" w:hAnsi="宋体" w:eastAsia="宋体" w:cs="宋体"/>
          <w:b/>
          <w:bCs/>
          <w:spacing w:val="1"/>
          <w:position w:val="1"/>
          <w:sz w:val="20"/>
          <w:szCs w:val="20"/>
        </w:rPr>
        <w:t>80.</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关于安全网的计算</w:t>
      </w:r>
    </w:p>
    <w:p>
      <w:pPr>
        <w:spacing w:before="121" w:line="352" w:lineRule="auto"/>
        <w:ind w:left="22" w:firstLine="400"/>
        <w:rPr>
          <w:rFonts w:ascii="宋体" w:hAnsi="宋体" w:eastAsia="宋体" w:cs="宋体"/>
          <w:sz w:val="20"/>
          <w:szCs w:val="20"/>
        </w:rPr>
      </w:pPr>
      <w:r>
        <w:rPr>
          <w:rFonts w:ascii="宋体" w:hAnsi="宋体" w:eastAsia="宋体" w:cs="宋体"/>
          <w:spacing w:val="9"/>
          <w:sz w:val="20"/>
          <w:szCs w:val="20"/>
        </w:rPr>
        <w:t>2016</w:t>
      </w:r>
      <w:r>
        <w:rPr>
          <w:rFonts w:ascii="宋体" w:hAnsi="宋体" w:eastAsia="宋体" w:cs="宋体"/>
          <w:spacing w:val="-22"/>
          <w:sz w:val="20"/>
          <w:szCs w:val="20"/>
        </w:rPr>
        <w:t xml:space="preserve"> </w:t>
      </w:r>
      <w:r>
        <w:rPr>
          <w:rFonts w:ascii="宋体" w:hAnsi="宋体" w:eastAsia="宋体" w:cs="宋体"/>
          <w:spacing w:val="9"/>
          <w:sz w:val="20"/>
          <w:szCs w:val="20"/>
        </w:rPr>
        <w:t>版《《山东省建筑工程消耗量定额》配套的《山东省建设工程费用项目组成及计算规则》</w:t>
      </w:r>
      <w:r>
        <w:rPr>
          <w:rFonts w:ascii="宋体" w:hAnsi="宋体" w:eastAsia="宋体" w:cs="宋体"/>
          <w:spacing w:val="10"/>
          <w:sz w:val="20"/>
          <w:szCs w:val="20"/>
        </w:rPr>
        <w:t>中的安全文明施工费，包括临边洞口交叉高处作业防护安全网费用。其余部位的安全网、密目网是</w:t>
      </w:r>
    </w:p>
    <w:p>
      <w:pPr>
        <w:spacing w:line="352" w:lineRule="auto"/>
        <w:rPr>
          <w:rFonts w:ascii="宋体" w:hAnsi="宋体" w:eastAsia="宋体" w:cs="宋体"/>
          <w:sz w:val="20"/>
          <w:szCs w:val="20"/>
        </w:rPr>
        <w:sectPr>
          <w:footerReference r:id="rId146" w:type="default"/>
          <w:pgSz w:w="11906" w:h="16839"/>
          <w:pgMar w:top="400" w:right="1397"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1" w:right="2"/>
        <w:rPr>
          <w:rFonts w:ascii="宋体" w:hAnsi="宋体" w:eastAsia="宋体" w:cs="宋体"/>
          <w:sz w:val="20"/>
          <w:szCs w:val="20"/>
        </w:rPr>
      </w:pPr>
      <w:r>
        <w:rPr>
          <w:rFonts w:ascii="宋体" w:hAnsi="宋体" w:eastAsia="宋体" w:cs="宋体"/>
          <w:spacing w:val="11"/>
          <w:sz w:val="20"/>
          <w:szCs w:val="20"/>
        </w:rPr>
        <w:t>属于按定额计算规则计取的措施费，应根据发承包双方认可的施工组织方</w:t>
      </w:r>
      <w:r>
        <w:rPr>
          <w:rFonts w:ascii="宋体" w:hAnsi="宋体" w:eastAsia="宋体" w:cs="宋体"/>
          <w:spacing w:val="10"/>
          <w:sz w:val="20"/>
          <w:szCs w:val="20"/>
        </w:rPr>
        <w:t>案，按照《山东省建筑工</w:t>
      </w:r>
      <w:r>
        <w:rPr>
          <w:rFonts w:ascii="宋体" w:hAnsi="宋体" w:eastAsia="宋体" w:cs="宋体"/>
          <w:spacing w:val="9"/>
          <w:sz w:val="20"/>
          <w:szCs w:val="20"/>
        </w:rPr>
        <w:t>程消耗量定额》第十七章相关子目进行计算。</w:t>
      </w:r>
    </w:p>
    <w:p>
      <w:pPr>
        <w:spacing w:before="2" w:line="277" w:lineRule="exact"/>
        <w:ind w:left="424"/>
        <w:rPr>
          <w:rFonts w:ascii="宋体" w:hAnsi="宋体" w:eastAsia="宋体" w:cs="宋体"/>
          <w:sz w:val="20"/>
          <w:szCs w:val="20"/>
        </w:rPr>
      </w:pPr>
      <w:r>
        <w:rPr>
          <w:rFonts w:ascii="宋体" w:hAnsi="宋体" w:eastAsia="宋体" w:cs="宋体"/>
          <w:b/>
          <w:bCs/>
          <w:spacing w:val="2"/>
          <w:position w:val="1"/>
          <w:sz w:val="20"/>
          <w:szCs w:val="20"/>
        </w:rPr>
        <w:t>81.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关于闭水试验的计价</w:t>
      </w:r>
    </w:p>
    <w:p>
      <w:pPr>
        <w:spacing w:before="126" w:line="222" w:lineRule="auto"/>
        <w:ind w:left="433"/>
        <w:rPr>
          <w:rFonts w:ascii="宋体" w:hAnsi="宋体" w:eastAsia="宋体" w:cs="宋体"/>
          <w:sz w:val="20"/>
          <w:szCs w:val="20"/>
        </w:rPr>
      </w:pPr>
      <w:r>
        <w:rPr>
          <w:rFonts w:ascii="宋体" w:hAnsi="宋体" w:eastAsia="宋体" w:cs="宋体"/>
          <w:spacing w:val="8"/>
          <w:sz w:val="20"/>
          <w:szCs w:val="20"/>
        </w:rPr>
        <w:t>闭水试验现行定额中未包含，应按合同约定单独计算。</w:t>
      </w:r>
    </w:p>
    <w:p>
      <w:pPr>
        <w:spacing w:before="155" w:line="277" w:lineRule="exact"/>
        <w:ind w:left="424"/>
        <w:rPr>
          <w:rFonts w:ascii="宋体" w:hAnsi="宋体" w:eastAsia="宋体" w:cs="宋体"/>
          <w:sz w:val="20"/>
          <w:szCs w:val="20"/>
        </w:rPr>
      </w:pPr>
      <w:r>
        <w:rPr>
          <w:rFonts w:ascii="宋体" w:hAnsi="宋体" w:eastAsia="宋体" w:cs="宋体"/>
          <w:b/>
          <w:bCs/>
          <w:spacing w:val="3"/>
          <w:position w:val="1"/>
          <w:sz w:val="20"/>
          <w:szCs w:val="20"/>
        </w:rPr>
        <w:t>82.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关于建筑物的檐口高度≤22.2</w:t>
      </w:r>
      <w:r>
        <w:rPr>
          <w:rFonts w:ascii="宋体" w:hAnsi="宋体" w:eastAsia="宋体" w:cs="宋体"/>
          <w:spacing w:val="-36"/>
          <w:position w:val="1"/>
          <w:sz w:val="20"/>
          <w:szCs w:val="20"/>
        </w:rPr>
        <w:t xml:space="preserve"> </w:t>
      </w:r>
      <w:r>
        <w:rPr>
          <w:rFonts w:ascii="宋体" w:hAnsi="宋体" w:eastAsia="宋体" w:cs="宋体"/>
          <w:b/>
          <w:bCs/>
          <w:spacing w:val="3"/>
          <w:position w:val="1"/>
          <w:sz w:val="20"/>
          <w:szCs w:val="20"/>
        </w:rPr>
        <w:t>米时超高施工增加的计价</w:t>
      </w:r>
    </w:p>
    <w:p>
      <w:pPr>
        <w:spacing w:before="124" w:line="278" w:lineRule="exact"/>
        <w:ind w:left="436"/>
        <w:rPr>
          <w:rFonts w:ascii="宋体" w:hAnsi="宋体" w:eastAsia="宋体" w:cs="宋体"/>
          <w:sz w:val="20"/>
          <w:szCs w:val="20"/>
        </w:rPr>
      </w:pPr>
      <w:r>
        <w:rPr>
          <w:rFonts w:ascii="宋体" w:hAnsi="宋体" w:eastAsia="宋体" w:cs="宋体"/>
          <w:spacing w:val="7"/>
          <w:position w:val="1"/>
          <w:sz w:val="20"/>
          <w:szCs w:val="20"/>
        </w:rPr>
        <w:t>当建筑物檐口高度≤22.2m</w:t>
      </w:r>
      <w:r>
        <w:rPr>
          <w:rFonts w:ascii="宋体" w:hAnsi="宋体" w:eastAsia="宋体" w:cs="宋体"/>
          <w:spacing w:val="-32"/>
          <w:position w:val="1"/>
          <w:sz w:val="20"/>
          <w:szCs w:val="20"/>
        </w:rPr>
        <w:t xml:space="preserve"> </w:t>
      </w:r>
      <w:r>
        <w:rPr>
          <w:rFonts w:ascii="宋体" w:hAnsi="宋体" w:eastAsia="宋体" w:cs="宋体"/>
          <w:spacing w:val="7"/>
          <w:position w:val="1"/>
          <w:sz w:val="20"/>
          <w:szCs w:val="20"/>
        </w:rPr>
        <w:t>时均不计取超高</w:t>
      </w:r>
      <w:r>
        <w:rPr>
          <w:rFonts w:ascii="宋体" w:hAnsi="宋体" w:eastAsia="宋体" w:cs="宋体"/>
          <w:spacing w:val="6"/>
          <w:position w:val="1"/>
          <w:sz w:val="20"/>
          <w:szCs w:val="20"/>
        </w:rPr>
        <w:t>施工增加。</w:t>
      </w:r>
    </w:p>
    <w:p>
      <w:pPr>
        <w:spacing w:before="120" w:line="276" w:lineRule="exact"/>
        <w:ind w:left="424"/>
        <w:rPr>
          <w:rFonts w:ascii="宋体" w:hAnsi="宋体" w:eastAsia="宋体" w:cs="宋体"/>
          <w:sz w:val="20"/>
          <w:szCs w:val="20"/>
        </w:rPr>
      </w:pPr>
      <w:r>
        <w:rPr>
          <w:rFonts w:ascii="宋体" w:hAnsi="宋体" w:eastAsia="宋体" w:cs="宋体"/>
          <w:b/>
          <w:bCs/>
          <w:spacing w:val="3"/>
          <w:position w:val="1"/>
          <w:sz w:val="20"/>
          <w:szCs w:val="20"/>
        </w:rPr>
        <w:t>83.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关于下列检验试验费的计价</w:t>
      </w:r>
    </w:p>
    <w:p>
      <w:pPr>
        <w:spacing w:before="124" w:line="278" w:lineRule="exact"/>
        <w:ind w:left="412"/>
        <w:rPr>
          <w:rFonts w:ascii="宋体" w:hAnsi="宋体" w:eastAsia="宋体" w:cs="宋体"/>
          <w:sz w:val="20"/>
          <w:szCs w:val="20"/>
        </w:rPr>
      </w:pPr>
      <w:r>
        <w:rPr>
          <w:rFonts w:ascii="宋体" w:hAnsi="宋体" w:eastAsia="宋体" w:cs="宋体"/>
          <w:spacing w:val="6"/>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6"/>
          <w:position w:val="1"/>
          <w:sz w:val="20"/>
          <w:szCs w:val="20"/>
        </w:rPr>
        <w:t>1）钢结构焊缝内部质量检测费</w:t>
      </w:r>
    </w:p>
    <w:p>
      <w:pPr>
        <w:spacing w:before="123" w:line="278" w:lineRule="exact"/>
        <w:ind w:left="412"/>
        <w:rPr>
          <w:rFonts w:ascii="宋体" w:hAnsi="宋体" w:eastAsia="宋体" w:cs="宋体"/>
          <w:sz w:val="20"/>
          <w:szCs w:val="20"/>
        </w:rPr>
      </w:pPr>
      <w:r>
        <w:rPr>
          <w:rFonts w:ascii="宋体" w:hAnsi="宋体" w:eastAsia="宋体" w:cs="宋体"/>
          <w:spacing w:val="9"/>
          <w:position w:val="1"/>
          <w:sz w:val="20"/>
          <w:szCs w:val="20"/>
        </w:rPr>
        <w:t>（2）防腐涂料涂层厚度检测</w:t>
      </w:r>
    </w:p>
    <w:p>
      <w:pPr>
        <w:spacing w:before="121" w:line="277" w:lineRule="exact"/>
        <w:ind w:left="412"/>
        <w:rPr>
          <w:rFonts w:ascii="宋体" w:hAnsi="宋体" w:eastAsia="宋体" w:cs="宋体"/>
          <w:sz w:val="20"/>
          <w:szCs w:val="20"/>
        </w:rPr>
      </w:pPr>
      <w:r>
        <w:rPr>
          <w:rFonts w:ascii="宋体" w:hAnsi="宋体" w:eastAsia="宋体" w:cs="宋体"/>
          <w:spacing w:val="9"/>
          <w:position w:val="1"/>
          <w:sz w:val="20"/>
          <w:szCs w:val="20"/>
        </w:rPr>
        <w:t>（3）防火涂料耐火极限检测</w:t>
      </w:r>
    </w:p>
    <w:p>
      <w:pPr>
        <w:spacing w:before="123" w:line="277" w:lineRule="exact"/>
        <w:ind w:left="412"/>
        <w:rPr>
          <w:rFonts w:ascii="宋体" w:hAnsi="宋体" w:eastAsia="宋体" w:cs="宋体"/>
          <w:sz w:val="20"/>
          <w:szCs w:val="20"/>
        </w:rPr>
      </w:pPr>
      <w:r>
        <w:rPr>
          <w:rFonts w:ascii="宋体" w:hAnsi="宋体" w:eastAsia="宋体" w:cs="宋体"/>
          <w:spacing w:val="10"/>
          <w:position w:val="1"/>
          <w:sz w:val="20"/>
          <w:szCs w:val="20"/>
        </w:rPr>
        <w:t>（4）玻璃幕墙的气密性、水密性、风压变</w:t>
      </w:r>
      <w:r>
        <w:rPr>
          <w:rFonts w:ascii="宋体" w:hAnsi="宋体" w:eastAsia="宋体" w:cs="宋体"/>
          <w:spacing w:val="9"/>
          <w:position w:val="1"/>
          <w:sz w:val="20"/>
          <w:szCs w:val="20"/>
        </w:rPr>
        <w:t>形性能检测</w:t>
      </w:r>
    </w:p>
    <w:p>
      <w:pPr>
        <w:spacing w:before="127" w:line="224" w:lineRule="auto"/>
        <w:ind w:left="422"/>
        <w:rPr>
          <w:rFonts w:ascii="宋体" w:hAnsi="宋体" w:eastAsia="宋体" w:cs="宋体"/>
          <w:sz w:val="20"/>
          <w:szCs w:val="20"/>
        </w:rPr>
      </w:pPr>
      <w:r>
        <w:rPr>
          <w:rFonts w:ascii="宋体" w:hAnsi="宋体" w:eastAsia="宋体" w:cs="宋体"/>
          <w:spacing w:val="9"/>
          <w:sz w:val="20"/>
          <w:szCs w:val="20"/>
        </w:rPr>
        <w:t>检验试验费应按相关规定区分检测发生主体，根据费用项目组成中的定义归类计算。</w:t>
      </w:r>
    </w:p>
    <w:p>
      <w:pPr>
        <w:spacing w:before="153" w:line="278" w:lineRule="exact"/>
        <w:ind w:left="424"/>
        <w:rPr>
          <w:rFonts w:ascii="宋体" w:hAnsi="宋体" w:eastAsia="宋体" w:cs="宋体"/>
          <w:sz w:val="20"/>
          <w:szCs w:val="20"/>
        </w:rPr>
      </w:pPr>
      <w:r>
        <w:rPr>
          <w:rFonts w:ascii="宋体" w:hAnsi="宋体" w:eastAsia="宋体" w:cs="宋体"/>
          <w:b/>
          <w:bCs/>
          <w:spacing w:val="4"/>
          <w:position w:val="1"/>
          <w:sz w:val="20"/>
          <w:szCs w:val="20"/>
        </w:rPr>
        <w:t>84.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关于地下室混凝土墙的定额套用</w:t>
      </w:r>
    </w:p>
    <w:p>
      <w:pPr>
        <w:spacing w:before="123" w:line="351" w:lineRule="auto"/>
        <w:ind w:firstLine="421"/>
        <w:rPr>
          <w:rFonts w:ascii="宋体" w:hAnsi="宋体" w:eastAsia="宋体" w:cs="宋体"/>
          <w:sz w:val="20"/>
          <w:szCs w:val="20"/>
        </w:rPr>
      </w:pPr>
      <w:r>
        <w:rPr>
          <w:rFonts w:ascii="宋体" w:hAnsi="宋体" w:eastAsia="宋体" w:cs="宋体"/>
          <w:spacing w:val="10"/>
          <w:sz w:val="20"/>
          <w:szCs w:val="20"/>
        </w:rPr>
        <w:t>地下室混凝土墙（5-1-24）仅适用于地下室及车库的外墙，地下室及车库的混凝土内墙执行相</w:t>
      </w:r>
      <w:r>
        <w:rPr>
          <w:rFonts w:ascii="宋体" w:hAnsi="宋体" w:eastAsia="宋体" w:cs="宋体"/>
          <w:spacing w:val="9"/>
          <w:sz w:val="20"/>
          <w:szCs w:val="20"/>
        </w:rPr>
        <w:t>应的直、弧形混凝土墙或轻型框剪墙子目。</w:t>
      </w:r>
    </w:p>
    <w:p>
      <w:pPr>
        <w:spacing w:before="38" w:line="277" w:lineRule="exact"/>
        <w:ind w:left="424"/>
        <w:rPr>
          <w:rFonts w:ascii="宋体" w:hAnsi="宋体" w:eastAsia="宋体" w:cs="宋体"/>
          <w:sz w:val="20"/>
          <w:szCs w:val="20"/>
        </w:rPr>
      </w:pPr>
      <w:r>
        <w:rPr>
          <w:rFonts w:ascii="宋体" w:hAnsi="宋体" w:eastAsia="宋体" w:cs="宋体"/>
          <w:b/>
          <w:bCs/>
          <w:spacing w:val="2"/>
          <w:position w:val="1"/>
          <w:sz w:val="20"/>
          <w:szCs w:val="20"/>
        </w:rPr>
        <w:t>85.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关于计价依据的解释</w:t>
      </w:r>
    </w:p>
    <w:p>
      <w:pPr>
        <w:spacing w:before="123" w:line="369" w:lineRule="auto"/>
        <w:ind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w:t>
      </w:r>
      <w:r>
        <w:rPr>
          <w:rFonts w:ascii="宋体" w:hAnsi="宋体" w:eastAsia="宋体" w:cs="宋体"/>
          <w:spacing w:val="10"/>
          <w:sz w:val="20"/>
          <w:szCs w:val="20"/>
        </w:rPr>
        <w:t>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147" w:type="default"/>
          <w:pgSz w:w="11906" w:h="16839"/>
          <w:pgMar w:top="400" w:right="1417" w:bottom="1212" w:left="1419"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2" w:lineRule="auto"/>
        <w:ind w:left="1678"/>
        <w:outlineLvl w:val="1"/>
        <w:rPr>
          <w:rFonts w:ascii="宋体" w:hAnsi="宋体" w:eastAsia="宋体" w:cs="宋体"/>
          <w:sz w:val="30"/>
          <w:szCs w:val="30"/>
        </w:rPr>
      </w:pPr>
      <w:bookmarkStart w:id="85" w:name="bookmark158"/>
      <w:bookmarkEnd w:id="85"/>
      <w:r>
        <w:rPr>
          <w:rFonts w:ascii="宋体" w:hAnsi="宋体" w:eastAsia="宋体" w:cs="宋体"/>
          <w:b/>
          <w:bCs/>
          <w:spacing w:val="-2"/>
          <w:sz w:val="30"/>
          <w:szCs w:val="30"/>
        </w:rPr>
        <w:t>第六节</w:t>
      </w:r>
      <w:r>
        <w:rPr>
          <w:rFonts w:ascii="宋体" w:hAnsi="宋体" w:eastAsia="宋体" w:cs="宋体"/>
          <w:spacing w:val="-2"/>
          <w:sz w:val="30"/>
          <w:szCs w:val="30"/>
        </w:rPr>
        <w:t xml:space="preserve">  </w:t>
      </w:r>
      <w:r>
        <w:rPr>
          <w:rFonts w:ascii="宋体" w:hAnsi="宋体" w:eastAsia="宋体" w:cs="宋体"/>
          <w:b/>
          <w:bCs/>
          <w:spacing w:val="-2"/>
          <w:sz w:val="30"/>
          <w:szCs w:val="30"/>
        </w:rPr>
        <w:t>安装工程定额计价有关问题的说明</w:t>
      </w:r>
    </w:p>
    <w:p>
      <w:pPr>
        <w:spacing w:line="245" w:lineRule="auto"/>
        <w:rPr>
          <w:rFonts w:ascii="Arial"/>
          <w:sz w:val="21"/>
        </w:rPr>
      </w:pPr>
    </w:p>
    <w:p>
      <w:pPr>
        <w:spacing w:before="65" w:line="369" w:lineRule="auto"/>
        <w:ind w:left="5" w:right="66" w:firstLine="437"/>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0"/>
          <w:sz w:val="20"/>
          <w:szCs w:val="20"/>
        </w:rPr>
        <w:t xml:space="preserve"> </w:t>
      </w:r>
      <w:r>
        <w:rPr>
          <w:rFonts w:ascii="宋体" w:hAnsi="宋体" w:eastAsia="宋体" w:cs="宋体"/>
          <w:spacing w:val="5"/>
          <w:sz w:val="20"/>
          <w:szCs w:val="20"/>
        </w:rPr>
        <w:t>2016</w:t>
      </w:r>
      <w:r>
        <w:rPr>
          <w:rFonts w:ascii="宋体" w:hAnsi="宋体" w:eastAsia="宋体" w:cs="宋体"/>
          <w:spacing w:val="-37"/>
          <w:sz w:val="20"/>
          <w:szCs w:val="20"/>
        </w:rPr>
        <w:t xml:space="preserve"> </w:t>
      </w:r>
      <w:r>
        <w:rPr>
          <w:rFonts w:ascii="宋体" w:hAnsi="宋体" w:eastAsia="宋体" w:cs="宋体"/>
          <w:spacing w:val="5"/>
          <w:sz w:val="20"/>
          <w:szCs w:val="20"/>
        </w:rPr>
        <w:t>版《山东省安装工程消耗量定额》以山东省住房和城乡建设厅鲁建标字〔2016〕39</w:t>
      </w:r>
      <w:r>
        <w:rPr>
          <w:rFonts w:ascii="宋体" w:hAnsi="宋体" w:eastAsia="宋体" w:cs="宋体"/>
          <w:spacing w:val="-42"/>
          <w:sz w:val="20"/>
          <w:szCs w:val="20"/>
        </w:rPr>
        <w:t xml:space="preserve"> </w:t>
      </w:r>
      <w:r>
        <w:rPr>
          <w:rFonts w:ascii="宋体" w:hAnsi="宋体" w:eastAsia="宋体" w:cs="宋体"/>
          <w:spacing w:val="5"/>
          <w:sz w:val="20"/>
          <w:szCs w:val="20"/>
        </w:rPr>
        <w:t>号文</w:t>
      </w:r>
      <w:r>
        <w:rPr>
          <w:rFonts w:ascii="宋体" w:hAnsi="宋体" w:eastAsia="宋体" w:cs="宋体"/>
          <w:spacing w:val="-1"/>
          <w:sz w:val="20"/>
          <w:szCs w:val="20"/>
        </w:rPr>
        <w:t>正式颁布，</w:t>
      </w:r>
      <w:r>
        <w:rPr>
          <w:rFonts w:ascii="宋体" w:hAnsi="宋体" w:eastAsia="宋体" w:cs="宋体"/>
          <w:spacing w:val="-50"/>
          <w:sz w:val="20"/>
          <w:szCs w:val="20"/>
        </w:rPr>
        <w:t xml:space="preserve"> </w:t>
      </w:r>
      <w:r>
        <w:rPr>
          <w:rFonts w:ascii="宋体" w:hAnsi="宋体" w:eastAsia="宋体" w:cs="宋体"/>
          <w:spacing w:val="-1"/>
          <w:sz w:val="20"/>
          <w:szCs w:val="20"/>
        </w:rPr>
        <w:t>自</w:t>
      </w:r>
      <w:r>
        <w:rPr>
          <w:rFonts w:ascii="宋体" w:hAnsi="宋体" w:eastAsia="宋体" w:cs="宋体"/>
          <w:spacing w:val="-39"/>
          <w:sz w:val="20"/>
          <w:szCs w:val="20"/>
        </w:rPr>
        <w:t xml:space="preserve"> </w:t>
      </w:r>
      <w:r>
        <w:rPr>
          <w:rFonts w:ascii="宋体" w:hAnsi="宋体" w:eastAsia="宋体" w:cs="宋体"/>
          <w:spacing w:val="-1"/>
          <w:sz w:val="20"/>
          <w:szCs w:val="20"/>
        </w:rPr>
        <w:t>2017</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36"/>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日起执行。</w:t>
      </w:r>
    </w:p>
    <w:p>
      <w:pPr>
        <w:spacing w:before="3" w:line="366" w:lineRule="auto"/>
        <w:ind w:left="2" w:right="66" w:firstLine="404"/>
        <w:rPr>
          <w:rFonts w:ascii="宋体" w:hAnsi="宋体" w:eastAsia="宋体" w:cs="宋体"/>
          <w:sz w:val="20"/>
          <w:szCs w:val="20"/>
        </w:rPr>
      </w:pPr>
      <w:r>
        <w:rPr>
          <w:rFonts w:ascii="宋体" w:hAnsi="宋体" w:eastAsia="宋体" w:cs="宋体"/>
          <w:spacing w:val="9"/>
          <w:sz w:val="20"/>
          <w:szCs w:val="20"/>
        </w:rPr>
        <w:t>《山东省绿色建筑工程消耗量定额》以山东省住房和城乡建设厅鲁建标字〔2018〕14</w:t>
      </w:r>
      <w:r>
        <w:rPr>
          <w:rFonts w:ascii="宋体" w:hAnsi="宋体" w:eastAsia="宋体" w:cs="宋体"/>
          <w:spacing w:val="-35"/>
          <w:sz w:val="20"/>
          <w:szCs w:val="20"/>
        </w:rPr>
        <w:t xml:space="preserve"> </w:t>
      </w:r>
      <w:r>
        <w:rPr>
          <w:rFonts w:ascii="宋体" w:hAnsi="宋体" w:eastAsia="宋体" w:cs="宋体"/>
          <w:spacing w:val="9"/>
          <w:sz w:val="20"/>
          <w:szCs w:val="20"/>
        </w:rPr>
        <w:t>号文正式</w:t>
      </w:r>
      <w:r>
        <w:rPr>
          <w:rFonts w:ascii="宋体" w:hAnsi="宋体" w:eastAsia="宋体" w:cs="宋体"/>
          <w:spacing w:val="-2"/>
          <w:sz w:val="20"/>
          <w:szCs w:val="20"/>
        </w:rPr>
        <w:t>颁布，</w:t>
      </w:r>
      <w:r>
        <w:rPr>
          <w:rFonts w:ascii="宋体" w:hAnsi="宋体" w:eastAsia="宋体" w:cs="宋体"/>
          <w:spacing w:val="-47"/>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2018</w:t>
      </w:r>
      <w:r>
        <w:rPr>
          <w:rFonts w:ascii="宋体" w:hAnsi="宋体" w:eastAsia="宋体" w:cs="宋体"/>
          <w:spacing w:val="-42"/>
          <w:sz w:val="20"/>
          <w:szCs w:val="20"/>
        </w:rPr>
        <w:t xml:space="preserve"> </w:t>
      </w:r>
      <w:r>
        <w:rPr>
          <w:rFonts w:ascii="宋体" w:hAnsi="宋体" w:eastAsia="宋体" w:cs="宋体"/>
          <w:spacing w:val="-2"/>
          <w:sz w:val="20"/>
          <w:szCs w:val="20"/>
        </w:rPr>
        <w:t>年</w:t>
      </w:r>
      <w:r>
        <w:rPr>
          <w:rFonts w:ascii="宋体" w:hAnsi="宋体" w:eastAsia="宋体" w:cs="宋体"/>
          <w:spacing w:val="-39"/>
          <w:sz w:val="20"/>
          <w:szCs w:val="20"/>
        </w:rPr>
        <w:t xml:space="preserve"> </w:t>
      </w:r>
      <w:r>
        <w:rPr>
          <w:rFonts w:ascii="宋体" w:hAnsi="宋体" w:eastAsia="宋体" w:cs="宋体"/>
          <w:spacing w:val="-2"/>
          <w:sz w:val="20"/>
          <w:szCs w:val="20"/>
        </w:rPr>
        <w:t>5</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2"/>
          <w:sz w:val="20"/>
          <w:szCs w:val="20"/>
        </w:rPr>
        <w:t xml:space="preserve"> </w:t>
      </w:r>
      <w:r>
        <w:rPr>
          <w:rFonts w:ascii="宋体" w:hAnsi="宋体" w:eastAsia="宋体" w:cs="宋体"/>
          <w:spacing w:val="-2"/>
          <w:sz w:val="20"/>
          <w:szCs w:val="20"/>
        </w:rPr>
        <w:t>1 日起施行。</w:t>
      </w:r>
    </w:p>
    <w:p>
      <w:pPr>
        <w:spacing w:before="4" w:line="369" w:lineRule="auto"/>
        <w:ind w:left="5" w:right="112" w:firstLine="401"/>
        <w:rPr>
          <w:rFonts w:ascii="宋体" w:hAnsi="宋体" w:eastAsia="宋体" w:cs="宋体"/>
          <w:sz w:val="20"/>
          <w:szCs w:val="20"/>
        </w:rPr>
      </w:pPr>
      <w:r>
        <w:rPr>
          <w:rFonts w:ascii="宋体" w:hAnsi="宋体" w:eastAsia="宋体" w:cs="宋体"/>
          <w:spacing w:val="8"/>
          <w:sz w:val="20"/>
          <w:szCs w:val="20"/>
        </w:rPr>
        <w:t>《山东省建筑机器人施工补充定额（试行）</w:t>
      </w:r>
      <w:r>
        <w:rPr>
          <w:rFonts w:ascii="宋体" w:hAnsi="宋体" w:eastAsia="宋体" w:cs="宋体"/>
          <w:spacing w:val="-36"/>
          <w:sz w:val="20"/>
          <w:szCs w:val="20"/>
        </w:rPr>
        <w:t xml:space="preserve"> </w:t>
      </w:r>
      <w:r>
        <w:rPr>
          <w:rFonts w:ascii="宋体" w:hAnsi="宋体" w:eastAsia="宋体" w:cs="宋体"/>
          <w:spacing w:val="8"/>
          <w:sz w:val="20"/>
          <w:szCs w:val="20"/>
        </w:rPr>
        <w:t>》以山东省住房和城乡建设厅鲁建标字〔2024〕13</w:t>
      </w:r>
      <w:r>
        <w:rPr>
          <w:rFonts w:ascii="宋体" w:hAnsi="宋体" w:eastAsia="宋体" w:cs="宋体"/>
          <w:spacing w:val="-1"/>
          <w:sz w:val="20"/>
          <w:szCs w:val="20"/>
        </w:rPr>
        <w:t>号文正式发布，</w:t>
      </w:r>
      <w:r>
        <w:rPr>
          <w:rFonts w:ascii="宋体" w:hAnsi="宋体" w:eastAsia="宋体" w:cs="宋体"/>
          <w:spacing w:val="-41"/>
          <w:sz w:val="20"/>
          <w:szCs w:val="20"/>
        </w:rPr>
        <w:t xml:space="preserve"> </w:t>
      </w:r>
      <w:r>
        <w:rPr>
          <w:rFonts w:ascii="宋体" w:hAnsi="宋体" w:eastAsia="宋体" w:cs="宋体"/>
          <w:spacing w:val="-1"/>
          <w:sz w:val="20"/>
          <w:szCs w:val="20"/>
        </w:rPr>
        <w:t>自</w:t>
      </w:r>
      <w:r>
        <w:rPr>
          <w:rFonts w:ascii="宋体" w:hAnsi="宋体" w:eastAsia="宋体" w:cs="宋体"/>
          <w:spacing w:val="-40"/>
          <w:sz w:val="20"/>
          <w:szCs w:val="20"/>
        </w:rPr>
        <w:t xml:space="preserve"> </w:t>
      </w:r>
      <w:r>
        <w:rPr>
          <w:rFonts w:ascii="宋体" w:hAnsi="宋体" w:eastAsia="宋体" w:cs="宋体"/>
          <w:spacing w:val="-1"/>
          <w:sz w:val="20"/>
          <w:szCs w:val="20"/>
        </w:rPr>
        <w:t>2025</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日起施行。</w:t>
      </w:r>
    </w:p>
    <w:p>
      <w:pPr>
        <w:spacing w:before="1" w:line="368" w:lineRule="auto"/>
        <w:ind w:left="3" w:right="64" w:firstLine="421"/>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pacing w:val="-29"/>
          <w:sz w:val="20"/>
          <w:szCs w:val="20"/>
        </w:rPr>
        <w:t xml:space="preserve"> </w:t>
      </w:r>
      <w:r>
        <w:rPr>
          <w:rFonts w:ascii="宋体" w:hAnsi="宋体" w:eastAsia="宋体" w:cs="宋体"/>
          <w:spacing w:val="9"/>
          <w:sz w:val="20"/>
          <w:szCs w:val="20"/>
        </w:rPr>
        <w:t>《山东省安装工程计价依据动态调整汇编（2</w:t>
      </w:r>
      <w:r>
        <w:rPr>
          <w:rFonts w:ascii="宋体" w:hAnsi="宋体" w:eastAsia="宋体" w:cs="宋体"/>
          <w:spacing w:val="8"/>
          <w:sz w:val="20"/>
          <w:szCs w:val="20"/>
        </w:rPr>
        <w:t>021年度）》以山东省住房和城乡建设厅鲁建标</w:t>
      </w:r>
      <w:r>
        <w:rPr>
          <w:rFonts w:ascii="宋体" w:hAnsi="宋体" w:eastAsia="宋体" w:cs="宋体"/>
          <w:spacing w:val="7"/>
          <w:sz w:val="20"/>
          <w:szCs w:val="20"/>
        </w:rPr>
        <w:t>字〔2022〕2</w:t>
      </w:r>
      <w:r>
        <w:rPr>
          <w:rFonts w:ascii="宋体" w:hAnsi="宋体" w:eastAsia="宋体" w:cs="宋体"/>
          <w:spacing w:val="-40"/>
          <w:sz w:val="20"/>
          <w:szCs w:val="20"/>
        </w:rPr>
        <w:t xml:space="preserve"> </w:t>
      </w:r>
      <w:r>
        <w:rPr>
          <w:rFonts w:ascii="宋体" w:hAnsi="宋体" w:eastAsia="宋体" w:cs="宋体"/>
          <w:spacing w:val="7"/>
          <w:sz w:val="20"/>
          <w:szCs w:val="20"/>
        </w:rPr>
        <w:t>号文正式颁布，本汇编中计价依据修订、增补、勘误自2022</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24"/>
          <w:sz w:val="20"/>
          <w:szCs w:val="20"/>
        </w:rPr>
        <w:t xml:space="preserve"> </w:t>
      </w:r>
      <w:r>
        <w:rPr>
          <w:rFonts w:ascii="宋体" w:hAnsi="宋体" w:eastAsia="宋体" w:cs="宋体"/>
          <w:spacing w:val="7"/>
          <w:sz w:val="20"/>
          <w:szCs w:val="20"/>
        </w:rPr>
        <w:t>1</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42"/>
          <w:sz w:val="20"/>
          <w:szCs w:val="20"/>
        </w:rPr>
        <w:t xml:space="preserve"> </w:t>
      </w:r>
      <w:r>
        <w:rPr>
          <w:rFonts w:ascii="宋体" w:hAnsi="宋体" w:eastAsia="宋体" w:cs="宋体"/>
          <w:spacing w:val="7"/>
          <w:sz w:val="20"/>
          <w:szCs w:val="20"/>
        </w:rPr>
        <w:t xml:space="preserve">24 </w:t>
      </w:r>
      <w:r>
        <w:rPr>
          <w:rFonts w:ascii="宋体" w:hAnsi="宋体" w:eastAsia="宋体" w:cs="宋体"/>
          <w:spacing w:val="6"/>
          <w:sz w:val="20"/>
          <w:szCs w:val="20"/>
        </w:rPr>
        <w:t>日起施行。</w:t>
      </w:r>
    </w:p>
    <w:p>
      <w:pPr>
        <w:spacing w:before="3" w:line="366" w:lineRule="auto"/>
        <w:ind w:left="3" w:right="162" w:firstLine="508"/>
        <w:rPr>
          <w:rFonts w:ascii="宋体" w:hAnsi="宋体" w:eastAsia="宋体" w:cs="宋体"/>
          <w:sz w:val="20"/>
          <w:szCs w:val="20"/>
        </w:rPr>
      </w:pPr>
      <w:r>
        <w:rPr>
          <w:rFonts w:ascii="宋体" w:hAnsi="宋体" w:eastAsia="宋体" w:cs="宋体"/>
          <w:spacing w:val="8"/>
          <w:sz w:val="20"/>
          <w:szCs w:val="20"/>
        </w:rPr>
        <w:t>《山东省安装工程计价依据动态调整汇编（2022</w:t>
      </w:r>
      <w:r>
        <w:rPr>
          <w:rFonts w:ascii="宋体" w:hAnsi="宋体" w:eastAsia="宋体" w:cs="宋体"/>
          <w:spacing w:val="-22"/>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w:t>
      </w:r>
      <w:r>
        <w:rPr>
          <w:rFonts w:ascii="宋体" w:hAnsi="宋体" w:eastAsia="宋体" w:cs="宋体"/>
          <w:spacing w:val="9"/>
          <w:sz w:val="20"/>
          <w:szCs w:val="20"/>
        </w:rPr>
        <w:t>字〔2023〕7</w:t>
      </w:r>
      <w:r>
        <w:rPr>
          <w:rFonts w:ascii="宋体" w:hAnsi="宋体" w:eastAsia="宋体" w:cs="宋体"/>
          <w:spacing w:val="-40"/>
          <w:sz w:val="20"/>
          <w:szCs w:val="20"/>
        </w:rPr>
        <w:t xml:space="preserve"> </w:t>
      </w:r>
      <w:r>
        <w:rPr>
          <w:rFonts w:ascii="宋体" w:hAnsi="宋体" w:eastAsia="宋体" w:cs="宋体"/>
          <w:spacing w:val="9"/>
          <w:sz w:val="20"/>
          <w:szCs w:val="20"/>
        </w:rPr>
        <w:t>号文正式颁布，本汇编中计价依据</w:t>
      </w:r>
      <w:r>
        <w:rPr>
          <w:rFonts w:ascii="宋体" w:hAnsi="宋体" w:eastAsia="宋体" w:cs="宋体"/>
          <w:spacing w:val="8"/>
          <w:sz w:val="20"/>
          <w:szCs w:val="20"/>
        </w:rPr>
        <w:t>修订、增补、勘误自2023</w:t>
      </w:r>
      <w:r>
        <w:rPr>
          <w:rFonts w:ascii="宋体" w:hAnsi="宋体" w:eastAsia="宋体" w:cs="宋体"/>
          <w:spacing w:val="-38"/>
          <w:sz w:val="20"/>
          <w:szCs w:val="20"/>
        </w:rPr>
        <w:t xml:space="preserve"> </w:t>
      </w:r>
      <w:r>
        <w:rPr>
          <w:rFonts w:ascii="宋体" w:hAnsi="宋体" w:eastAsia="宋体" w:cs="宋体"/>
          <w:spacing w:val="8"/>
          <w:sz w:val="20"/>
          <w:szCs w:val="20"/>
        </w:rPr>
        <w:t>年3</w:t>
      </w:r>
      <w:r>
        <w:rPr>
          <w:rFonts w:ascii="宋体" w:hAnsi="宋体" w:eastAsia="宋体" w:cs="宋体"/>
          <w:spacing w:val="-38"/>
          <w:sz w:val="20"/>
          <w:szCs w:val="20"/>
        </w:rPr>
        <w:t xml:space="preserve"> </w:t>
      </w:r>
      <w:r>
        <w:rPr>
          <w:rFonts w:ascii="宋体" w:hAnsi="宋体" w:eastAsia="宋体" w:cs="宋体"/>
          <w:spacing w:val="8"/>
          <w:sz w:val="20"/>
          <w:szCs w:val="20"/>
        </w:rPr>
        <w:t>月</w:t>
      </w:r>
      <w:r>
        <w:rPr>
          <w:rFonts w:ascii="宋体" w:hAnsi="宋体" w:eastAsia="宋体" w:cs="宋体"/>
          <w:spacing w:val="-42"/>
          <w:sz w:val="20"/>
          <w:szCs w:val="20"/>
        </w:rPr>
        <w:t xml:space="preserve"> </w:t>
      </w:r>
      <w:r>
        <w:rPr>
          <w:rFonts w:ascii="宋体" w:hAnsi="宋体" w:eastAsia="宋体" w:cs="宋体"/>
          <w:spacing w:val="8"/>
          <w:sz w:val="20"/>
          <w:szCs w:val="20"/>
        </w:rPr>
        <w:t>28 日起施行。</w:t>
      </w:r>
    </w:p>
    <w:p>
      <w:pPr>
        <w:spacing w:before="6" w:line="368" w:lineRule="auto"/>
        <w:ind w:left="3" w:right="162" w:firstLine="508"/>
        <w:rPr>
          <w:rFonts w:ascii="宋体" w:hAnsi="宋体" w:eastAsia="宋体" w:cs="宋体"/>
          <w:sz w:val="20"/>
          <w:szCs w:val="20"/>
        </w:rPr>
      </w:pPr>
      <w:r>
        <w:rPr>
          <w:rFonts w:ascii="宋体" w:hAnsi="宋体" w:eastAsia="宋体" w:cs="宋体"/>
          <w:spacing w:val="9"/>
          <w:sz w:val="20"/>
          <w:szCs w:val="20"/>
        </w:rPr>
        <w:t>《山东省安装工程计价依据动态调整汇编（</w:t>
      </w:r>
      <w:r>
        <w:rPr>
          <w:rFonts w:ascii="宋体" w:hAnsi="宋体" w:eastAsia="宋体" w:cs="宋体"/>
          <w:spacing w:val="8"/>
          <w:sz w:val="20"/>
          <w:szCs w:val="20"/>
        </w:rPr>
        <w:t>2023</w:t>
      </w:r>
      <w:r>
        <w:rPr>
          <w:rFonts w:ascii="宋体" w:hAnsi="宋体" w:eastAsia="宋体" w:cs="宋体"/>
          <w:spacing w:val="-41"/>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w:t>
      </w:r>
      <w:r>
        <w:rPr>
          <w:rFonts w:ascii="宋体" w:hAnsi="宋体" w:eastAsia="宋体" w:cs="宋体"/>
          <w:spacing w:val="9"/>
          <w:sz w:val="20"/>
          <w:szCs w:val="20"/>
        </w:rPr>
        <w:t>字〔2024〕3</w:t>
      </w:r>
      <w:r>
        <w:rPr>
          <w:rFonts w:ascii="宋体" w:hAnsi="宋体" w:eastAsia="宋体" w:cs="宋体"/>
          <w:spacing w:val="-39"/>
          <w:sz w:val="20"/>
          <w:szCs w:val="20"/>
        </w:rPr>
        <w:t xml:space="preserve"> </w:t>
      </w:r>
      <w:r>
        <w:rPr>
          <w:rFonts w:ascii="宋体" w:hAnsi="宋体" w:eastAsia="宋体" w:cs="宋体"/>
          <w:spacing w:val="9"/>
          <w:sz w:val="20"/>
          <w:szCs w:val="20"/>
        </w:rPr>
        <w:t>号文正式颁布，本汇编中计价依据修订</w:t>
      </w:r>
      <w:r>
        <w:rPr>
          <w:rFonts w:ascii="宋体" w:hAnsi="宋体" w:eastAsia="宋体" w:cs="宋体"/>
          <w:spacing w:val="8"/>
          <w:sz w:val="20"/>
          <w:szCs w:val="20"/>
        </w:rPr>
        <w:t>、增补、勘误自2024</w:t>
      </w:r>
      <w:r>
        <w:rPr>
          <w:rFonts w:ascii="宋体" w:hAnsi="宋体" w:eastAsia="宋体" w:cs="宋体"/>
          <w:spacing w:val="-41"/>
          <w:sz w:val="20"/>
          <w:szCs w:val="20"/>
        </w:rPr>
        <w:t xml:space="preserve"> </w:t>
      </w:r>
      <w:r>
        <w:rPr>
          <w:rFonts w:ascii="宋体" w:hAnsi="宋体" w:eastAsia="宋体" w:cs="宋体"/>
          <w:spacing w:val="8"/>
          <w:sz w:val="20"/>
          <w:szCs w:val="20"/>
        </w:rPr>
        <w:t>年3</w:t>
      </w:r>
      <w:r>
        <w:rPr>
          <w:rFonts w:ascii="宋体" w:hAnsi="宋体" w:eastAsia="宋体" w:cs="宋体"/>
          <w:spacing w:val="-38"/>
          <w:sz w:val="20"/>
          <w:szCs w:val="20"/>
        </w:rPr>
        <w:t xml:space="preserve"> </w:t>
      </w:r>
      <w:r>
        <w:rPr>
          <w:rFonts w:ascii="宋体" w:hAnsi="宋体" w:eastAsia="宋体" w:cs="宋体"/>
          <w:spacing w:val="8"/>
          <w:sz w:val="20"/>
          <w:szCs w:val="20"/>
        </w:rPr>
        <w:t>月</w:t>
      </w:r>
      <w:r>
        <w:rPr>
          <w:rFonts w:ascii="宋体" w:hAnsi="宋体" w:eastAsia="宋体" w:cs="宋体"/>
          <w:spacing w:val="-42"/>
          <w:sz w:val="20"/>
          <w:szCs w:val="20"/>
        </w:rPr>
        <w:t xml:space="preserve"> </w:t>
      </w:r>
      <w:r>
        <w:rPr>
          <w:rFonts w:ascii="宋体" w:hAnsi="宋体" w:eastAsia="宋体" w:cs="宋体"/>
          <w:spacing w:val="8"/>
          <w:sz w:val="20"/>
          <w:szCs w:val="20"/>
        </w:rPr>
        <w:t>29 日起施行。</w:t>
      </w:r>
    </w:p>
    <w:p>
      <w:pPr>
        <w:spacing w:before="1" w:line="369" w:lineRule="auto"/>
        <w:ind w:left="3" w:right="64" w:firstLine="424"/>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28"/>
          <w:sz w:val="20"/>
          <w:szCs w:val="20"/>
        </w:rPr>
        <w:t xml:space="preserve"> </w:t>
      </w:r>
      <w:r>
        <w:rPr>
          <w:rFonts w:ascii="宋体" w:hAnsi="宋体" w:eastAsia="宋体" w:cs="宋体"/>
          <w:spacing w:val="7"/>
          <w:sz w:val="20"/>
          <w:szCs w:val="20"/>
        </w:rPr>
        <w:t>《山东省建设工程费用项目组成及计算规则（2022</w:t>
      </w:r>
      <w:r>
        <w:rPr>
          <w:rFonts w:ascii="宋体" w:hAnsi="宋体" w:eastAsia="宋体" w:cs="宋体"/>
          <w:spacing w:val="-38"/>
          <w:sz w:val="20"/>
          <w:szCs w:val="20"/>
        </w:rPr>
        <w:t xml:space="preserve"> </w:t>
      </w:r>
      <w:r>
        <w:rPr>
          <w:rFonts w:ascii="宋体" w:hAnsi="宋体" w:eastAsia="宋体" w:cs="宋体"/>
          <w:spacing w:val="7"/>
          <w:sz w:val="20"/>
          <w:szCs w:val="20"/>
        </w:rPr>
        <w:t>版）》以山东省住房和城乡建设厅鲁建标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4" w:line="368" w:lineRule="auto"/>
        <w:ind w:left="4" w:right="64" w:firstLine="420"/>
        <w:jc w:val="both"/>
        <w:rPr>
          <w:rFonts w:ascii="宋体" w:hAnsi="宋体" w:eastAsia="宋体" w:cs="宋体"/>
          <w:sz w:val="20"/>
          <w:szCs w:val="20"/>
        </w:rPr>
      </w:pPr>
      <w:r>
        <w:rPr>
          <w:rFonts w:ascii="宋体" w:hAnsi="宋体" w:eastAsia="宋体" w:cs="宋体"/>
          <w:spacing w:val="6"/>
          <w:sz w:val="20"/>
          <w:szCs w:val="20"/>
        </w:rPr>
        <w:t>2023</w:t>
      </w:r>
      <w:r>
        <w:rPr>
          <w:rFonts w:ascii="宋体" w:hAnsi="宋体" w:eastAsia="宋体" w:cs="宋体"/>
          <w:spacing w:val="-20"/>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36"/>
          <w:sz w:val="20"/>
          <w:szCs w:val="20"/>
        </w:rPr>
        <w:t xml:space="preserve"> </w:t>
      </w:r>
      <w:r>
        <w:rPr>
          <w:rFonts w:ascii="宋体" w:hAnsi="宋体" w:eastAsia="宋体" w:cs="宋体"/>
          <w:spacing w:val="6"/>
          <w:sz w:val="20"/>
          <w:szCs w:val="20"/>
        </w:rPr>
        <w:t>月</w:t>
      </w:r>
      <w:r>
        <w:rPr>
          <w:rFonts w:ascii="宋体" w:hAnsi="宋体" w:eastAsia="宋体" w:cs="宋体"/>
          <w:spacing w:val="-36"/>
          <w:sz w:val="20"/>
          <w:szCs w:val="20"/>
        </w:rPr>
        <w:t xml:space="preserve"> </w:t>
      </w:r>
      <w:r>
        <w:rPr>
          <w:rFonts w:ascii="宋体" w:hAnsi="宋体" w:eastAsia="宋体" w:cs="宋体"/>
          <w:spacing w:val="6"/>
          <w:sz w:val="20"/>
          <w:szCs w:val="20"/>
        </w:rPr>
        <w:t>30 日</w:t>
      </w:r>
      <w:r>
        <w:rPr>
          <w:rFonts w:ascii="宋体" w:hAnsi="宋体" w:eastAsia="宋体" w:cs="宋体"/>
          <w:spacing w:val="-59"/>
          <w:sz w:val="20"/>
          <w:szCs w:val="20"/>
        </w:rPr>
        <w:t xml:space="preserve"> </w:t>
      </w:r>
      <w:r>
        <w:rPr>
          <w:rFonts w:ascii="宋体" w:hAnsi="宋体" w:eastAsia="宋体" w:cs="宋体"/>
          <w:spacing w:val="6"/>
          <w:sz w:val="20"/>
          <w:szCs w:val="20"/>
        </w:rPr>
        <w:t>，山东省住房和城乡建设厅发布《关于调整建设工程安全施工费的通知》</w:t>
      </w:r>
      <w:r>
        <w:rPr>
          <w:rFonts w:ascii="宋体" w:hAnsi="宋体" w:eastAsia="宋体" w:cs="宋体"/>
          <w:spacing w:val="-46"/>
          <w:sz w:val="20"/>
          <w:szCs w:val="20"/>
        </w:rPr>
        <w:t xml:space="preserve"> </w:t>
      </w:r>
      <w:r>
        <w:rPr>
          <w:rFonts w:ascii="宋体" w:hAnsi="宋体" w:eastAsia="宋体" w:cs="宋体"/>
          <w:spacing w:val="6"/>
          <w:sz w:val="20"/>
          <w:szCs w:val="20"/>
        </w:rPr>
        <w:t>，</w:t>
      </w: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before="3" w:line="366" w:lineRule="auto"/>
        <w:ind w:left="5"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4" w:line="369" w:lineRule="auto"/>
        <w:ind w:right="66" w:firstLine="422"/>
        <w:jc w:val="both"/>
        <w:rPr>
          <w:rFonts w:ascii="宋体" w:hAnsi="宋体" w:eastAsia="宋体" w:cs="宋体"/>
          <w:sz w:val="20"/>
          <w:szCs w:val="20"/>
        </w:rPr>
      </w:pPr>
      <w:r>
        <w:rPr>
          <w:rFonts w:ascii="宋体" w:hAnsi="宋体" w:eastAsia="宋体" w:cs="宋体"/>
          <w:spacing w:val="9"/>
          <w:sz w:val="20"/>
          <w:szCs w:val="20"/>
        </w:rPr>
        <w:t>4.</w:t>
      </w:r>
      <w:r>
        <w:rPr>
          <w:rFonts w:ascii="宋体" w:hAnsi="宋体" w:eastAsia="宋体" w:cs="宋体"/>
          <w:spacing w:val="-14"/>
          <w:sz w:val="20"/>
          <w:szCs w:val="20"/>
        </w:rPr>
        <w:t xml:space="preserve"> </w:t>
      </w:r>
      <w:r>
        <w:rPr>
          <w:rFonts w:ascii="宋体" w:hAnsi="宋体" w:eastAsia="宋体" w:cs="宋体"/>
          <w:spacing w:val="9"/>
          <w:sz w:val="20"/>
          <w:szCs w:val="20"/>
        </w:rPr>
        <w:t>《山东省安装工程消耗量定额价目表》、《山东省</w:t>
      </w:r>
      <w:r>
        <w:rPr>
          <w:rFonts w:ascii="宋体" w:hAnsi="宋体" w:eastAsia="宋体" w:cs="宋体"/>
          <w:spacing w:val="8"/>
          <w:sz w:val="20"/>
          <w:szCs w:val="20"/>
        </w:rPr>
        <w:t>人工、材料、机械台班单价表》、《山东</w:t>
      </w:r>
      <w:r>
        <w:rPr>
          <w:rFonts w:ascii="宋体" w:hAnsi="宋体" w:eastAsia="宋体" w:cs="宋体"/>
          <w:spacing w:val="11"/>
          <w:sz w:val="20"/>
          <w:szCs w:val="20"/>
        </w:rPr>
        <w:t>省建设工程施工机械台班费用编制规则》、《山东省建设工程仪器仪表台班费用编制规</w:t>
      </w:r>
      <w:r>
        <w:rPr>
          <w:rFonts w:ascii="宋体" w:hAnsi="宋体" w:eastAsia="宋体" w:cs="宋体"/>
          <w:spacing w:val="10"/>
          <w:sz w:val="20"/>
          <w:szCs w:val="20"/>
        </w:rPr>
        <w:t>则》及《关</w:t>
      </w:r>
      <w:r>
        <w:rPr>
          <w:rFonts w:ascii="宋体" w:hAnsi="宋体" w:eastAsia="宋体" w:cs="宋体"/>
          <w:spacing w:val="15"/>
          <w:sz w:val="20"/>
          <w:szCs w:val="20"/>
        </w:rPr>
        <w:t>于调整建设工程定额人工单价及各专业定额价目表的通知》</w:t>
      </w:r>
      <w:r>
        <w:rPr>
          <w:rFonts w:ascii="宋体" w:hAnsi="宋体" w:eastAsia="宋体" w:cs="宋体"/>
          <w:spacing w:val="-53"/>
          <w:sz w:val="20"/>
          <w:szCs w:val="20"/>
        </w:rPr>
        <w:t xml:space="preserve"> </w:t>
      </w:r>
      <w:r>
        <w:rPr>
          <w:rFonts w:ascii="宋体" w:hAnsi="宋体" w:eastAsia="宋体" w:cs="宋体"/>
          <w:spacing w:val="15"/>
          <w:sz w:val="20"/>
          <w:szCs w:val="20"/>
        </w:rPr>
        <w:t>以山东省住房和</w:t>
      </w:r>
      <w:r>
        <w:rPr>
          <w:rFonts w:ascii="宋体" w:hAnsi="宋体" w:eastAsia="宋体" w:cs="宋体"/>
          <w:spacing w:val="14"/>
          <w:sz w:val="20"/>
          <w:szCs w:val="20"/>
        </w:rPr>
        <w:t>城乡建设厅鲁建标字</w:t>
      </w:r>
      <w:r>
        <w:rPr>
          <w:rFonts w:ascii="宋体" w:hAnsi="宋体" w:eastAsia="宋体" w:cs="宋体"/>
          <w:spacing w:val="1"/>
          <w:sz w:val="20"/>
          <w:szCs w:val="20"/>
        </w:rPr>
        <w:t>〔2020〕24</w:t>
      </w:r>
      <w:r>
        <w:rPr>
          <w:rFonts w:ascii="宋体" w:hAnsi="宋体" w:eastAsia="宋体" w:cs="宋体"/>
          <w:spacing w:val="-27"/>
          <w:sz w:val="20"/>
          <w:szCs w:val="20"/>
        </w:rPr>
        <w:t xml:space="preserve"> </w:t>
      </w:r>
      <w:r>
        <w:rPr>
          <w:rFonts w:ascii="宋体" w:hAnsi="宋体" w:eastAsia="宋体" w:cs="宋体"/>
          <w:spacing w:val="1"/>
          <w:sz w:val="20"/>
          <w:szCs w:val="20"/>
        </w:rPr>
        <w:t>号文正式颁布，</w:t>
      </w:r>
      <w:r>
        <w:rPr>
          <w:rFonts w:ascii="宋体" w:hAnsi="宋体" w:eastAsia="宋体" w:cs="宋体"/>
          <w:spacing w:val="-60"/>
          <w:sz w:val="20"/>
          <w:szCs w:val="20"/>
        </w:rPr>
        <w:t xml:space="preserve"> </w:t>
      </w:r>
      <w:r>
        <w:rPr>
          <w:rFonts w:ascii="宋体" w:hAnsi="宋体" w:eastAsia="宋体" w:cs="宋体"/>
          <w:spacing w:val="1"/>
          <w:sz w:val="20"/>
          <w:szCs w:val="20"/>
        </w:rPr>
        <w:t>自</w:t>
      </w:r>
      <w:r>
        <w:rPr>
          <w:rFonts w:ascii="宋体" w:hAnsi="宋体" w:eastAsia="宋体" w:cs="宋体"/>
          <w:spacing w:val="-37"/>
          <w:sz w:val="20"/>
          <w:szCs w:val="20"/>
        </w:rPr>
        <w:t xml:space="preserve"> </w:t>
      </w:r>
      <w:r>
        <w:rPr>
          <w:rFonts w:ascii="宋体" w:hAnsi="宋体" w:eastAsia="宋体" w:cs="宋体"/>
          <w:spacing w:val="1"/>
          <w:sz w:val="20"/>
          <w:szCs w:val="20"/>
        </w:rPr>
        <w:t>2020</w:t>
      </w:r>
      <w:r>
        <w:rPr>
          <w:rFonts w:ascii="宋体" w:hAnsi="宋体" w:eastAsia="宋体" w:cs="宋体"/>
          <w:spacing w:val="-38"/>
          <w:sz w:val="20"/>
          <w:szCs w:val="20"/>
        </w:rPr>
        <w:t xml:space="preserve"> </w:t>
      </w:r>
      <w:r>
        <w:rPr>
          <w:rFonts w:ascii="宋体" w:hAnsi="宋体" w:eastAsia="宋体" w:cs="宋体"/>
          <w:spacing w:val="1"/>
          <w:sz w:val="20"/>
          <w:szCs w:val="20"/>
        </w:rPr>
        <w:t>年</w:t>
      </w:r>
      <w:r>
        <w:rPr>
          <w:rFonts w:ascii="宋体" w:hAnsi="宋体" w:eastAsia="宋体" w:cs="宋体"/>
          <w:spacing w:val="-25"/>
          <w:sz w:val="20"/>
          <w:szCs w:val="20"/>
        </w:rPr>
        <w:t xml:space="preserve"> </w:t>
      </w:r>
      <w:r>
        <w:rPr>
          <w:rFonts w:ascii="宋体" w:hAnsi="宋体" w:eastAsia="宋体" w:cs="宋体"/>
          <w:spacing w:val="1"/>
          <w:sz w:val="20"/>
          <w:szCs w:val="20"/>
        </w:rPr>
        <w:t>11</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25"/>
          <w:sz w:val="20"/>
          <w:szCs w:val="20"/>
        </w:rPr>
        <w:t xml:space="preserve"> </w:t>
      </w:r>
      <w:r>
        <w:rPr>
          <w:rFonts w:ascii="宋体" w:hAnsi="宋体" w:eastAsia="宋体" w:cs="宋体"/>
          <w:spacing w:val="1"/>
          <w:sz w:val="20"/>
          <w:szCs w:val="20"/>
        </w:rPr>
        <w:t>10 日起执行。</w:t>
      </w:r>
    </w:p>
    <w:p>
      <w:pPr>
        <w:spacing w:before="3" w:line="368" w:lineRule="auto"/>
        <w:ind w:left="3" w:right="64" w:firstLine="404"/>
        <w:jc w:val="both"/>
        <w:rPr>
          <w:rFonts w:ascii="宋体" w:hAnsi="宋体" w:eastAsia="宋体" w:cs="宋体"/>
          <w:sz w:val="20"/>
          <w:szCs w:val="20"/>
        </w:rPr>
      </w:pPr>
      <w:r>
        <w:rPr>
          <w:rFonts w:ascii="宋体" w:hAnsi="宋体" w:eastAsia="宋体" w:cs="宋体"/>
          <w:spacing w:val="11"/>
          <w:sz w:val="20"/>
          <w:szCs w:val="20"/>
        </w:rPr>
        <w:t>《山东省建设工程费用项目组成及计算规则》与《山东省安装工程消耗量定额》、《山东省绿色建筑工程消耗量定额》、《山东省安装工程计价依据动态调整汇编》及《山东省安</w:t>
      </w:r>
      <w:r>
        <w:rPr>
          <w:rFonts w:ascii="宋体" w:hAnsi="宋体" w:eastAsia="宋体" w:cs="宋体"/>
          <w:spacing w:val="10"/>
          <w:sz w:val="20"/>
          <w:szCs w:val="20"/>
        </w:rPr>
        <w:t>装工程消耗量</w:t>
      </w:r>
      <w:r>
        <w:rPr>
          <w:rFonts w:ascii="宋体" w:hAnsi="宋体" w:eastAsia="宋体" w:cs="宋体"/>
          <w:spacing w:val="8"/>
          <w:sz w:val="20"/>
          <w:szCs w:val="20"/>
        </w:rPr>
        <w:t>定额价目表》配套使用。</w:t>
      </w:r>
    </w:p>
    <w:p>
      <w:pPr>
        <w:spacing w:before="6" w:line="346" w:lineRule="auto"/>
        <w:ind w:left="2" w:right="64" w:firstLine="423"/>
        <w:rPr>
          <w:rFonts w:ascii="宋体" w:hAnsi="宋体" w:eastAsia="宋体" w:cs="宋体"/>
          <w:sz w:val="20"/>
          <w:szCs w:val="20"/>
        </w:rPr>
      </w:pPr>
      <w:r>
        <w:rPr>
          <w:rFonts w:ascii="宋体" w:hAnsi="宋体" w:eastAsia="宋体" w:cs="宋体"/>
          <w:spacing w:val="9"/>
          <w:sz w:val="20"/>
          <w:szCs w:val="20"/>
        </w:rPr>
        <w:t>5.</w:t>
      </w:r>
      <w:r>
        <w:rPr>
          <w:rFonts w:ascii="宋体" w:hAnsi="宋体" w:eastAsia="宋体" w:cs="宋体"/>
          <w:spacing w:val="-17"/>
          <w:sz w:val="20"/>
          <w:szCs w:val="20"/>
        </w:rPr>
        <w:t xml:space="preserve"> </w:t>
      </w:r>
      <w:r>
        <w:rPr>
          <w:rFonts w:ascii="宋体" w:hAnsi="宋体" w:eastAsia="宋体" w:cs="宋体"/>
          <w:spacing w:val="9"/>
          <w:sz w:val="20"/>
          <w:szCs w:val="20"/>
        </w:rPr>
        <w:t>《山东省安装工程消耗量定额》、《山东省绿色建筑工</w:t>
      </w:r>
      <w:r>
        <w:rPr>
          <w:rFonts w:ascii="宋体" w:hAnsi="宋体" w:eastAsia="宋体" w:cs="宋体"/>
          <w:spacing w:val="8"/>
          <w:sz w:val="20"/>
          <w:szCs w:val="20"/>
        </w:rPr>
        <w:t>程消耗量定额》、《山东省建设工程</w:t>
      </w:r>
      <w:r>
        <w:rPr>
          <w:rFonts w:ascii="宋体" w:hAnsi="宋体" w:eastAsia="宋体" w:cs="宋体"/>
          <w:spacing w:val="11"/>
          <w:sz w:val="20"/>
          <w:szCs w:val="20"/>
        </w:rPr>
        <w:t>施工机械台班费用编制规则》、《山东省建设工程仪器仪表台班费用编制规则》、</w:t>
      </w:r>
      <w:r>
        <w:rPr>
          <w:rFonts w:ascii="宋体" w:hAnsi="宋体" w:eastAsia="宋体" w:cs="宋体"/>
          <w:spacing w:val="10"/>
          <w:sz w:val="20"/>
          <w:szCs w:val="20"/>
        </w:rPr>
        <w:t>《山东省建设工</w:t>
      </w:r>
      <w:r>
        <w:rPr>
          <w:rFonts w:ascii="宋体" w:hAnsi="宋体" w:eastAsia="宋体" w:cs="宋体"/>
          <w:spacing w:val="11"/>
          <w:sz w:val="20"/>
          <w:szCs w:val="20"/>
        </w:rPr>
        <w:t>程费用项目组成及计算规则》、《山东省安装工程消耗量定额价目表》、《山东</w:t>
      </w:r>
      <w:r>
        <w:rPr>
          <w:rFonts w:ascii="宋体" w:hAnsi="宋体" w:eastAsia="宋体" w:cs="宋体"/>
          <w:spacing w:val="10"/>
          <w:sz w:val="20"/>
          <w:szCs w:val="20"/>
        </w:rPr>
        <w:t>省人工、材料、机</w:t>
      </w:r>
      <w:r>
        <w:rPr>
          <w:rFonts w:ascii="宋体" w:hAnsi="宋体" w:eastAsia="宋体" w:cs="宋体"/>
          <w:spacing w:val="7"/>
          <w:sz w:val="20"/>
          <w:szCs w:val="20"/>
        </w:rPr>
        <w:t>械台班单价表》在山东省住房和城乡建设厅门户网站的“标准造价”专栏发布。凡我市</w:t>
      </w:r>
      <w:r>
        <w:rPr>
          <w:rFonts w:ascii="宋体" w:hAnsi="宋体" w:eastAsia="宋体" w:cs="宋体"/>
          <w:spacing w:val="-27"/>
          <w:sz w:val="20"/>
          <w:szCs w:val="20"/>
        </w:rPr>
        <w:t xml:space="preserve"> </w:t>
      </w:r>
      <w:r>
        <w:rPr>
          <w:rFonts w:ascii="宋体" w:hAnsi="宋体" w:eastAsia="宋体" w:cs="宋体"/>
          <w:spacing w:val="7"/>
          <w:sz w:val="20"/>
          <w:szCs w:val="20"/>
        </w:rPr>
        <w:t>2017</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43"/>
          <w:sz w:val="20"/>
          <w:szCs w:val="20"/>
        </w:rPr>
        <w:t xml:space="preserve"> </w:t>
      </w:r>
      <w:r>
        <w:rPr>
          <w:rFonts w:ascii="宋体" w:hAnsi="宋体" w:eastAsia="宋体" w:cs="宋体"/>
          <w:spacing w:val="7"/>
          <w:sz w:val="20"/>
          <w:szCs w:val="20"/>
        </w:rPr>
        <w:t>7</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6"/>
          <w:sz w:val="20"/>
          <w:szCs w:val="20"/>
        </w:rPr>
        <w:t>5 日后建设工程项目均可按相应发布时间使用。</w:t>
      </w:r>
    </w:p>
    <w:p>
      <w:pPr>
        <w:spacing w:before="125" w:line="312" w:lineRule="auto"/>
        <w:ind w:left="3" w:right="66" w:firstLine="422"/>
        <w:rPr>
          <w:rFonts w:ascii="宋体" w:hAnsi="宋体" w:eastAsia="宋体" w:cs="宋体"/>
          <w:sz w:val="20"/>
          <w:szCs w:val="20"/>
        </w:rPr>
      </w:pPr>
      <w:r>
        <w:rPr>
          <w:rFonts w:ascii="宋体" w:hAnsi="宋体" w:eastAsia="宋体" w:cs="宋体"/>
          <w:spacing w:val="8"/>
          <w:sz w:val="20"/>
          <w:szCs w:val="20"/>
        </w:rPr>
        <w:t>6. 安装工程费用计算程序是工程计价活动的依据。各种费率是编制最高投标限价的依据，</w:t>
      </w:r>
      <w:r>
        <w:rPr>
          <w:rFonts w:ascii="宋体" w:hAnsi="宋体" w:eastAsia="宋体" w:cs="宋体"/>
          <w:spacing w:val="7"/>
          <w:sz w:val="20"/>
          <w:szCs w:val="20"/>
        </w:rPr>
        <w:t>是其</w:t>
      </w:r>
      <w:r>
        <w:rPr>
          <w:rFonts w:ascii="宋体" w:hAnsi="宋体" w:eastAsia="宋体" w:cs="宋体"/>
          <w:spacing w:val="9"/>
          <w:sz w:val="20"/>
          <w:szCs w:val="20"/>
        </w:rPr>
        <w:t>他计价活动的重要参考（其中规费、税金必须按规定计取，不得作为竞争性费用）。</w:t>
      </w:r>
    </w:p>
    <w:p>
      <w:pPr>
        <w:spacing w:line="312" w:lineRule="auto"/>
        <w:rPr>
          <w:rFonts w:ascii="宋体" w:hAnsi="宋体" w:eastAsia="宋体" w:cs="宋体"/>
          <w:sz w:val="20"/>
          <w:szCs w:val="20"/>
        </w:rPr>
        <w:sectPr>
          <w:footerReference r:id="rId148" w:type="default"/>
          <w:pgSz w:w="11906" w:h="16839"/>
          <w:pgMar w:top="400" w:right="1353"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0"/>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关于增值税调整的说明</w:t>
      </w:r>
    </w:p>
    <w:p>
      <w:pPr>
        <w:tabs>
          <w:tab w:val="left" w:pos="9275"/>
        </w:tabs>
        <w:spacing w:before="121" w:line="369" w:lineRule="auto"/>
        <w:ind w:firstLine="436"/>
        <w:jc w:val="both"/>
        <w:rPr>
          <w:rFonts w:ascii="宋体" w:hAnsi="宋体" w:eastAsia="宋体" w:cs="宋体"/>
          <w:sz w:val="20"/>
          <w:szCs w:val="20"/>
        </w:rPr>
      </w:pPr>
      <w:r>
        <w:rPr>
          <w:rFonts w:ascii="宋体" w:hAnsi="宋体" w:eastAsia="宋体" w:cs="宋体"/>
          <w:spacing w:val="1"/>
          <w:sz w:val="20"/>
          <w:szCs w:val="20"/>
        </w:rPr>
        <w:t>山东省住房和城乡建设厅下发《关于调整建设工程计价依据增值税税率的通知》（鲁建标字</w:t>
      </w:r>
      <w:r>
        <w:rPr>
          <w:rFonts w:ascii="宋体" w:hAnsi="宋体" w:eastAsia="宋体" w:cs="宋体"/>
          <w:sz w:val="20"/>
          <w:szCs w:val="20"/>
        </w:rPr>
        <w:t xml:space="preserve">〔2019〕 </w:t>
      </w:r>
      <w:r>
        <w:rPr>
          <w:rFonts w:ascii="宋体" w:hAnsi="宋体" w:eastAsia="宋体" w:cs="宋体"/>
          <w:spacing w:val="6"/>
          <w:sz w:val="20"/>
          <w:szCs w:val="20"/>
        </w:rPr>
        <w:t>10</w:t>
      </w:r>
      <w:r>
        <w:rPr>
          <w:rFonts w:ascii="宋体" w:hAnsi="宋体" w:eastAsia="宋体" w:cs="宋体"/>
          <w:spacing w:val="-38"/>
          <w:sz w:val="20"/>
          <w:szCs w:val="20"/>
        </w:rPr>
        <w:t xml:space="preserve"> </w:t>
      </w:r>
      <w:r>
        <w:rPr>
          <w:rFonts w:ascii="宋体" w:hAnsi="宋体" w:eastAsia="宋体" w:cs="宋体"/>
          <w:spacing w:val="6"/>
          <w:sz w:val="20"/>
          <w:szCs w:val="20"/>
        </w:rPr>
        <w:t>号</w:t>
      </w:r>
      <w:r>
        <w:rPr>
          <w:rFonts w:ascii="宋体" w:hAnsi="宋体" w:eastAsia="宋体" w:cs="宋体"/>
          <w:spacing w:val="-12"/>
          <w:sz w:val="20"/>
          <w:szCs w:val="20"/>
        </w:rPr>
        <w:t>）</w:t>
      </w:r>
      <w:r>
        <w:rPr>
          <w:rFonts w:ascii="宋体" w:hAnsi="宋体" w:eastAsia="宋体" w:cs="宋体"/>
          <w:spacing w:val="-48"/>
          <w:sz w:val="20"/>
          <w:szCs w:val="20"/>
        </w:rPr>
        <w:t xml:space="preserve"> </w:t>
      </w:r>
      <w:r>
        <w:rPr>
          <w:rFonts w:ascii="宋体" w:hAnsi="宋体" w:eastAsia="宋体" w:cs="宋体"/>
          <w:spacing w:val="-12"/>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自</w:t>
      </w:r>
      <w:r>
        <w:rPr>
          <w:rFonts w:ascii="宋体" w:hAnsi="宋体" w:eastAsia="宋体" w:cs="宋体"/>
          <w:spacing w:val="-40"/>
          <w:sz w:val="20"/>
          <w:szCs w:val="20"/>
        </w:rPr>
        <w:t xml:space="preserve"> </w:t>
      </w:r>
      <w:r>
        <w:rPr>
          <w:rFonts w:ascii="宋体" w:hAnsi="宋体" w:eastAsia="宋体" w:cs="宋体"/>
          <w:spacing w:val="6"/>
          <w:sz w:val="20"/>
          <w:szCs w:val="20"/>
        </w:rPr>
        <w:t>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0"/>
          <w:sz w:val="20"/>
          <w:szCs w:val="20"/>
        </w:rPr>
        <w:t xml:space="preserve"> </w:t>
      </w:r>
      <w:r>
        <w:rPr>
          <w:rFonts w:ascii="宋体" w:hAnsi="宋体" w:eastAsia="宋体" w:cs="宋体"/>
          <w:spacing w:val="6"/>
          <w:sz w:val="20"/>
          <w:szCs w:val="20"/>
        </w:rPr>
        <w:t>4</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 日起执行。通知规定：《山东省建设工程费用项目组成及计算规则》</w:t>
      </w:r>
      <w:r>
        <w:rPr>
          <w:rFonts w:ascii="宋体" w:hAnsi="宋体" w:eastAsia="宋体" w:cs="宋体"/>
          <w:spacing w:val="-57"/>
          <w:sz w:val="20"/>
          <w:szCs w:val="20"/>
        </w:rPr>
        <w:t xml:space="preserve"> </w:t>
      </w:r>
      <w:r>
        <w:rPr>
          <w:rFonts w:ascii="宋体" w:hAnsi="宋体" w:eastAsia="宋体" w:cs="宋体"/>
          <w:spacing w:val="6"/>
          <w:sz w:val="20"/>
          <w:szCs w:val="20"/>
        </w:rPr>
        <w:t>中</w:t>
      </w:r>
      <w:r>
        <w:rPr>
          <w:rFonts w:ascii="宋体" w:hAnsi="宋体" w:eastAsia="宋体" w:cs="宋体"/>
          <w:spacing w:val="11"/>
          <w:sz w:val="20"/>
          <w:szCs w:val="20"/>
        </w:rPr>
        <w:t>的税率（增值税一般计税）从</w:t>
      </w:r>
      <w:r>
        <w:rPr>
          <w:rFonts w:ascii="宋体" w:hAnsi="宋体" w:eastAsia="宋体" w:cs="宋体"/>
          <w:spacing w:val="-25"/>
          <w:sz w:val="20"/>
          <w:szCs w:val="20"/>
        </w:rPr>
        <w:t xml:space="preserve"> </w:t>
      </w:r>
      <w:r>
        <w:rPr>
          <w:rFonts w:ascii="宋体" w:hAnsi="宋体" w:eastAsia="宋体" w:cs="宋体"/>
          <w:spacing w:val="11"/>
          <w:sz w:val="20"/>
          <w:szCs w:val="20"/>
        </w:rPr>
        <w:t>10%调整为9%，其他费率不变。增值税一般计税下，材料费、</w:t>
      </w:r>
      <w:r>
        <w:rPr>
          <w:rFonts w:ascii="宋体" w:hAnsi="宋体" w:eastAsia="宋体" w:cs="宋体"/>
          <w:spacing w:val="10"/>
          <w:sz w:val="20"/>
          <w:szCs w:val="20"/>
        </w:rPr>
        <w:t>施工机</w:t>
      </w:r>
      <w:r>
        <w:rPr>
          <w:rFonts w:ascii="宋体" w:hAnsi="宋体" w:eastAsia="宋体" w:cs="宋体"/>
          <w:spacing w:val="13"/>
          <w:sz w:val="20"/>
          <w:szCs w:val="20"/>
        </w:rPr>
        <w:t>具使用费在扣除进项税额时，原适用</w:t>
      </w:r>
      <w:r>
        <w:rPr>
          <w:rFonts w:ascii="宋体" w:hAnsi="宋体" w:eastAsia="宋体" w:cs="宋体"/>
          <w:spacing w:val="-15"/>
          <w:sz w:val="20"/>
          <w:szCs w:val="20"/>
        </w:rPr>
        <w:t xml:space="preserve"> </w:t>
      </w:r>
      <w:r>
        <w:rPr>
          <w:rFonts w:ascii="宋体" w:hAnsi="宋体" w:eastAsia="宋体" w:cs="宋体"/>
          <w:spacing w:val="13"/>
          <w:sz w:val="20"/>
          <w:szCs w:val="20"/>
        </w:rPr>
        <w:t>16%和</w:t>
      </w:r>
      <w:r>
        <w:rPr>
          <w:rFonts w:ascii="宋体" w:hAnsi="宋体" w:eastAsia="宋体" w:cs="宋体"/>
          <w:spacing w:val="-24"/>
          <w:sz w:val="20"/>
          <w:szCs w:val="20"/>
        </w:rPr>
        <w:t xml:space="preserve"> </w:t>
      </w:r>
      <w:r>
        <w:rPr>
          <w:rFonts w:ascii="宋体" w:hAnsi="宋体" w:eastAsia="宋体" w:cs="宋体"/>
          <w:spacing w:val="13"/>
          <w:sz w:val="20"/>
          <w:szCs w:val="20"/>
        </w:rPr>
        <w:t>10%税率的，税率分别调整为</w:t>
      </w:r>
      <w:r>
        <w:rPr>
          <w:rFonts w:ascii="宋体" w:hAnsi="宋体" w:eastAsia="宋体" w:cs="宋体"/>
          <w:spacing w:val="-25"/>
          <w:sz w:val="20"/>
          <w:szCs w:val="20"/>
        </w:rPr>
        <w:t xml:space="preserve"> </w:t>
      </w:r>
      <w:r>
        <w:rPr>
          <w:rFonts w:ascii="宋体" w:hAnsi="宋体" w:eastAsia="宋体" w:cs="宋体"/>
          <w:spacing w:val="13"/>
          <w:sz w:val="20"/>
          <w:szCs w:val="20"/>
        </w:rPr>
        <w:t>13%、9%。</w:t>
      </w:r>
    </w:p>
    <w:p>
      <w:pPr>
        <w:spacing w:before="2" w:line="277" w:lineRule="exact"/>
        <w:ind w:left="424"/>
        <w:rPr>
          <w:rFonts w:ascii="宋体" w:hAnsi="宋体" w:eastAsia="宋体" w:cs="宋体"/>
          <w:sz w:val="20"/>
          <w:szCs w:val="20"/>
        </w:rPr>
      </w:pPr>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23" w:line="368" w:lineRule="auto"/>
        <w:ind w:right="208" w:firstLine="429"/>
        <w:jc w:val="both"/>
        <w:rPr>
          <w:rFonts w:ascii="宋体" w:hAnsi="宋体" w:eastAsia="宋体" w:cs="宋体"/>
          <w:sz w:val="20"/>
          <w:szCs w:val="20"/>
        </w:rPr>
      </w:pPr>
      <w:r>
        <w:rPr>
          <w:rFonts w:ascii="宋体" w:hAnsi="宋体" w:eastAsia="宋体" w:cs="宋体"/>
          <w:spacing w:val="11"/>
          <w:sz w:val="20"/>
          <w:szCs w:val="20"/>
        </w:rPr>
        <w:t>山东省住房和城乡建设厅《关于调整建设工程定额人工单价及各</w:t>
      </w:r>
      <w:r>
        <w:rPr>
          <w:rFonts w:ascii="宋体" w:hAnsi="宋体" w:eastAsia="宋体" w:cs="宋体"/>
          <w:spacing w:val="10"/>
          <w:sz w:val="20"/>
          <w:szCs w:val="20"/>
        </w:rPr>
        <w:t>专业定额价目表的通知》（鲁建标字〔2020〕24</w:t>
      </w:r>
      <w:r>
        <w:rPr>
          <w:rFonts w:ascii="宋体" w:hAnsi="宋体" w:eastAsia="宋体" w:cs="宋体"/>
          <w:spacing w:val="-28"/>
          <w:sz w:val="20"/>
          <w:szCs w:val="20"/>
        </w:rPr>
        <w:t xml:space="preserve"> </w:t>
      </w:r>
      <w:r>
        <w:rPr>
          <w:rFonts w:ascii="宋体" w:hAnsi="宋体" w:eastAsia="宋体" w:cs="宋体"/>
          <w:spacing w:val="10"/>
          <w:sz w:val="20"/>
          <w:szCs w:val="20"/>
        </w:rPr>
        <w:t>号）规定：我省</w:t>
      </w:r>
      <w:r>
        <w:rPr>
          <w:rFonts w:ascii="宋体" w:hAnsi="宋体" w:eastAsia="宋体" w:cs="宋体"/>
          <w:spacing w:val="-39"/>
          <w:sz w:val="20"/>
          <w:szCs w:val="20"/>
        </w:rPr>
        <w:t xml:space="preserve"> </w:t>
      </w:r>
      <w:r>
        <w:rPr>
          <w:rFonts w:ascii="宋体" w:hAnsi="宋体" w:eastAsia="宋体" w:cs="宋体"/>
          <w:spacing w:val="10"/>
          <w:sz w:val="20"/>
          <w:szCs w:val="20"/>
        </w:rPr>
        <w:t>2016</w:t>
      </w:r>
      <w:r>
        <w:rPr>
          <w:rFonts w:ascii="宋体" w:hAnsi="宋体" w:eastAsia="宋体" w:cs="宋体"/>
          <w:spacing w:val="-38"/>
          <w:sz w:val="20"/>
          <w:szCs w:val="20"/>
        </w:rPr>
        <w:t xml:space="preserve"> </w:t>
      </w:r>
      <w:r>
        <w:rPr>
          <w:rFonts w:ascii="宋体" w:hAnsi="宋体" w:eastAsia="宋体" w:cs="宋体"/>
          <w:spacing w:val="10"/>
          <w:sz w:val="20"/>
          <w:szCs w:val="20"/>
        </w:rPr>
        <w:t>版安装工程消耗量定额的人工综合工日单价调整为：安装</w:t>
      </w:r>
      <w:r>
        <w:rPr>
          <w:rFonts w:ascii="宋体" w:hAnsi="宋体" w:eastAsia="宋体" w:cs="宋体"/>
          <w:spacing w:val="6"/>
          <w:sz w:val="20"/>
          <w:szCs w:val="20"/>
        </w:rPr>
        <w:t>工程</w:t>
      </w:r>
      <w:r>
        <w:rPr>
          <w:rFonts w:ascii="宋体" w:hAnsi="宋体" w:eastAsia="宋体" w:cs="宋体"/>
          <w:spacing w:val="-23"/>
          <w:sz w:val="20"/>
          <w:szCs w:val="20"/>
        </w:rPr>
        <w:t xml:space="preserve"> </w:t>
      </w:r>
      <w:r>
        <w:rPr>
          <w:rFonts w:ascii="宋体" w:hAnsi="宋体" w:eastAsia="宋体" w:cs="宋体"/>
          <w:spacing w:val="6"/>
          <w:sz w:val="20"/>
          <w:szCs w:val="20"/>
        </w:rPr>
        <w:t>138</w:t>
      </w:r>
      <w:r>
        <w:rPr>
          <w:rFonts w:ascii="宋体" w:hAnsi="宋体" w:eastAsia="宋体" w:cs="宋体"/>
          <w:spacing w:val="-42"/>
          <w:sz w:val="20"/>
          <w:szCs w:val="20"/>
        </w:rPr>
        <w:t xml:space="preserve"> </w:t>
      </w:r>
      <w:r>
        <w:rPr>
          <w:rFonts w:ascii="宋体" w:hAnsi="宋体" w:eastAsia="宋体" w:cs="宋体"/>
          <w:spacing w:val="6"/>
          <w:sz w:val="20"/>
          <w:szCs w:val="20"/>
        </w:rPr>
        <w:t>元/工日。《山东省建设工程施工机械台班费用编制规则</w:t>
      </w:r>
      <w:r>
        <w:rPr>
          <w:rFonts w:ascii="宋体" w:hAnsi="宋体" w:eastAsia="宋体" w:cs="宋体"/>
          <w:spacing w:val="5"/>
          <w:sz w:val="20"/>
          <w:szCs w:val="20"/>
        </w:rPr>
        <w:t>》（鲁建标字〔2016〕39</w:t>
      </w:r>
      <w:r>
        <w:rPr>
          <w:rFonts w:ascii="宋体" w:hAnsi="宋体" w:eastAsia="宋体" w:cs="宋体"/>
          <w:spacing w:val="-40"/>
          <w:sz w:val="20"/>
          <w:szCs w:val="20"/>
        </w:rPr>
        <w:t xml:space="preserve"> </w:t>
      </w:r>
      <w:r>
        <w:rPr>
          <w:rFonts w:ascii="宋体" w:hAnsi="宋体" w:eastAsia="宋体" w:cs="宋体"/>
          <w:spacing w:val="5"/>
          <w:sz w:val="20"/>
          <w:szCs w:val="20"/>
        </w:rPr>
        <w:t>号）中的</w:t>
      </w:r>
      <w:r>
        <w:rPr>
          <w:rFonts w:ascii="宋体" w:hAnsi="宋体" w:eastAsia="宋体" w:cs="宋体"/>
          <w:spacing w:val="3"/>
          <w:sz w:val="20"/>
          <w:szCs w:val="20"/>
        </w:rPr>
        <w:t>人工单价调整为</w:t>
      </w:r>
      <w:r>
        <w:rPr>
          <w:rFonts w:ascii="宋体" w:hAnsi="宋体" w:eastAsia="宋体" w:cs="宋体"/>
          <w:spacing w:val="-20"/>
          <w:sz w:val="20"/>
          <w:szCs w:val="20"/>
        </w:rPr>
        <w:t xml:space="preserve"> </w:t>
      </w:r>
      <w:r>
        <w:rPr>
          <w:rFonts w:ascii="宋体" w:hAnsi="宋体" w:eastAsia="宋体" w:cs="宋体"/>
          <w:spacing w:val="3"/>
          <w:sz w:val="20"/>
          <w:szCs w:val="20"/>
        </w:rPr>
        <w:t>130</w:t>
      </w:r>
      <w:r>
        <w:rPr>
          <w:rFonts w:ascii="宋体" w:hAnsi="宋体" w:eastAsia="宋体" w:cs="宋体"/>
          <w:spacing w:val="-43"/>
          <w:sz w:val="20"/>
          <w:szCs w:val="20"/>
        </w:rPr>
        <w:t xml:space="preserve"> </w:t>
      </w:r>
      <w:r>
        <w:rPr>
          <w:rFonts w:ascii="宋体" w:hAnsi="宋体" w:eastAsia="宋体" w:cs="宋体"/>
          <w:spacing w:val="3"/>
          <w:sz w:val="20"/>
          <w:szCs w:val="20"/>
        </w:rPr>
        <w:t>元/工日。该定额人工综合工日单价自</w:t>
      </w:r>
      <w:r>
        <w:rPr>
          <w:rFonts w:ascii="宋体" w:hAnsi="宋体" w:eastAsia="宋体" w:cs="宋体"/>
          <w:spacing w:val="-39"/>
          <w:sz w:val="20"/>
          <w:szCs w:val="20"/>
        </w:rPr>
        <w:t xml:space="preserve"> </w:t>
      </w:r>
      <w:r>
        <w:rPr>
          <w:rFonts w:ascii="宋体" w:hAnsi="宋体" w:eastAsia="宋体" w:cs="宋体"/>
          <w:spacing w:val="3"/>
          <w:sz w:val="20"/>
          <w:szCs w:val="20"/>
        </w:rPr>
        <w:t>2020</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5"/>
          <w:sz w:val="20"/>
          <w:szCs w:val="20"/>
        </w:rPr>
        <w:t xml:space="preserve"> </w:t>
      </w:r>
      <w:r>
        <w:rPr>
          <w:rFonts w:ascii="宋体" w:hAnsi="宋体" w:eastAsia="宋体" w:cs="宋体"/>
          <w:spacing w:val="3"/>
          <w:sz w:val="20"/>
          <w:szCs w:val="20"/>
        </w:rPr>
        <w:t>11</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4"/>
          <w:sz w:val="20"/>
          <w:szCs w:val="20"/>
        </w:rPr>
        <w:t xml:space="preserve"> </w:t>
      </w:r>
      <w:r>
        <w:rPr>
          <w:rFonts w:ascii="宋体" w:hAnsi="宋体" w:eastAsia="宋体" w:cs="宋体"/>
          <w:spacing w:val="3"/>
          <w:sz w:val="20"/>
          <w:szCs w:val="20"/>
        </w:rPr>
        <w:t>10 日执行。</w:t>
      </w:r>
    </w:p>
    <w:p>
      <w:pPr>
        <w:spacing w:before="4" w:line="368" w:lineRule="auto"/>
        <w:ind w:left="2" w:right="208" w:firstLine="417"/>
        <w:jc w:val="both"/>
        <w:rPr>
          <w:rFonts w:ascii="宋体" w:hAnsi="宋体" w:eastAsia="宋体" w:cs="宋体"/>
          <w:sz w:val="20"/>
          <w:szCs w:val="20"/>
        </w:rPr>
      </w:pPr>
      <w:r>
        <w:rPr>
          <w:rFonts w:ascii="宋体" w:hAnsi="宋体" w:eastAsia="宋体" w:cs="宋体"/>
          <w:spacing w:val="11"/>
          <w:sz w:val="20"/>
          <w:szCs w:val="20"/>
        </w:rPr>
        <w:t>淄博市住房和城乡建设局《关于转发山东省住房和城乡建设厅〈关于调整建设工程定</w:t>
      </w:r>
      <w:r>
        <w:rPr>
          <w:rFonts w:ascii="宋体" w:hAnsi="宋体" w:eastAsia="宋体" w:cs="宋体"/>
          <w:spacing w:val="10"/>
          <w:sz w:val="20"/>
          <w:szCs w:val="20"/>
        </w:rPr>
        <w:t>额人工单</w:t>
      </w:r>
      <w:r>
        <w:rPr>
          <w:rFonts w:ascii="宋体" w:hAnsi="宋体" w:eastAsia="宋体" w:cs="宋体"/>
          <w:spacing w:val="11"/>
          <w:sz w:val="20"/>
          <w:szCs w:val="20"/>
        </w:rPr>
        <w:t>价及各专业定额价目表的通知〉的通知》（淄建发〔2020〕215</w:t>
      </w:r>
      <w:r>
        <w:rPr>
          <w:rFonts w:ascii="宋体" w:hAnsi="宋体" w:eastAsia="宋体" w:cs="宋体"/>
          <w:spacing w:val="-37"/>
          <w:sz w:val="20"/>
          <w:szCs w:val="20"/>
        </w:rPr>
        <w:t xml:space="preserve"> </w:t>
      </w:r>
      <w:r>
        <w:rPr>
          <w:rFonts w:ascii="宋体" w:hAnsi="宋体" w:eastAsia="宋体" w:cs="宋体"/>
          <w:spacing w:val="11"/>
          <w:sz w:val="20"/>
          <w:szCs w:val="20"/>
        </w:rPr>
        <w:t>号）规定：安装工程定额</w:t>
      </w:r>
      <w:r>
        <w:rPr>
          <w:rFonts w:ascii="宋体" w:hAnsi="宋体" w:eastAsia="宋体" w:cs="宋体"/>
          <w:spacing w:val="10"/>
          <w:sz w:val="20"/>
          <w:szCs w:val="20"/>
        </w:rPr>
        <w:t>人工市场</w:t>
      </w:r>
      <w:r>
        <w:rPr>
          <w:rFonts w:ascii="宋体" w:hAnsi="宋体" w:eastAsia="宋体" w:cs="宋体"/>
          <w:spacing w:val="4"/>
          <w:sz w:val="20"/>
          <w:szCs w:val="20"/>
        </w:rPr>
        <w:t>指导单价为</w:t>
      </w:r>
      <w:r>
        <w:rPr>
          <w:rFonts w:ascii="宋体" w:hAnsi="宋体" w:eastAsia="宋体" w:cs="宋体"/>
          <w:spacing w:val="-16"/>
          <w:sz w:val="20"/>
          <w:szCs w:val="20"/>
        </w:rPr>
        <w:t xml:space="preserve"> </w:t>
      </w:r>
      <w:r>
        <w:rPr>
          <w:rFonts w:ascii="宋体" w:hAnsi="宋体" w:eastAsia="宋体" w:cs="宋体"/>
          <w:spacing w:val="4"/>
          <w:sz w:val="20"/>
          <w:szCs w:val="20"/>
        </w:rPr>
        <w:t>128</w:t>
      </w:r>
      <w:r>
        <w:rPr>
          <w:rFonts w:ascii="宋体" w:hAnsi="宋体" w:eastAsia="宋体" w:cs="宋体"/>
          <w:spacing w:val="-43"/>
          <w:sz w:val="20"/>
          <w:szCs w:val="20"/>
        </w:rPr>
        <w:t xml:space="preserve"> </w:t>
      </w:r>
      <w:r>
        <w:rPr>
          <w:rFonts w:ascii="宋体" w:hAnsi="宋体" w:eastAsia="宋体" w:cs="宋体"/>
          <w:spacing w:val="4"/>
          <w:sz w:val="20"/>
          <w:szCs w:val="20"/>
        </w:rPr>
        <w:t>元/工日。该定额人工市场指导单价自2020</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25"/>
          <w:sz w:val="20"/>
          <w:szCs w:val="20"/>
        </w:rPr>
        <w:t xml:space="preserve"> </w:t>
      </w:r>
      <w:r>
        <w:rPr>
          <w:rFonts w:ascii="宋体" w:hAnsi="宋体" w:eastAsia="宋体" w:cs="宋体"/>
          <w:spacing w:val="4"/>
          <w:sz w:val="20"/>
          <w:szCs w:val="20"/>
        </w:rPr>
        <w:t>12</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5"/>
          <w:sz w:val="20"/>
          <w:szCs w:val="20"/>
        </w:rPr>
        <w:t xml:space="preserve"> </w:t>
      </w:r>
      <w:r>
        <w:rPr>
          <w:rFonts w:ascii="宋体" w:hAnsi="宋体" w:eastAsia="宋体" w:cs="宋体"/>
          <w:spacing w:val="4"/>
          <w:sz w:val="20"/>
          <w:szCs w:val="20"/>
        </w:rPr>
        <w:t>15 日执行。</w:t>
      </w:r>
    </w:p>
    <w:p>
      <w:pPr>
        <w:spacing w:before="9" w:line="368" w:lineRule="auto"/>
        <w:ind w:right="208" w:firstLine="414"/>
        <w:jc w:val="both"/>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省价人工费应作为工程造价中总价措施费、企业管理费、利润等各项费用的计算基础。我市发布的建设工程定额人工市场指导单价是我市行政区域内国有投资项目编制最高投标</w:t>
      </w:r>
      <w:r>
        <w:rPr>
          <w:rFonts w:ascii="宋体" w:hAnsi="宋体" w:eastAsia="宋体" w:cs="宋体"/>
          <w:spacing w:val="10"/>
          <w:sz w:val="20"/>
          <w:szCs w:val="20"/>
        </w:rPr>
        <w:t>限价的依据，也</w:t>
      </w:r>
      <w:r>
        <w:rPr>
          <w:rFonts w:ascii="宋体" w:hAnsi="宋体" w:eastAsia="宋体" w:cs="宋体"/>
          <w:spacing w:val="9"/>
          <w:sz w:val="20"/>
          <w:szCs w:val="20"/>
        </w:rPr>
        <w:t>是投标报价、工程结算等工程计价活动的参考。</w:t>
      </w:r>
    </w:p>
    <w:p>
      <w:pPr>
        <w:spacing w:line="278" w:lineRule="exact"/>
        <w:ind w:left="422"/>
        <w:rPr>
          <w:rFonts w:ascii="宋体" w:hAnsi="宋体" w:eastAsia="宋体" w:cs="宋体"/>
          <w:sz w:val="20"/>
          <w:szCs w:val="20"/>
        </w:rPr>
      </w:pPr>
      <w:r>
        <w:rPr>
          <w:rFonts w:ascii="宋体" w:hAnsi="宋体" w:eastAsia="宋体" w:cs="宋体"/>
          <w:b/>
          <w:bCs/>
          <w:spacing w:val="1"/>
          <w:position w:val="1"/>
          <w:sz w:val="20"/>
          <w:szCs w:val="20"/>
        </w:rPr>
        <w:t>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3" w:line="368" w:lineRule="auto"/>
        <w:ind w:left="1" w:right="208" w:firstLine="412"/>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规费按山东省住房和城乡建设厅《关于调整建设工程费用规则的通知》（鲁建标字〔</w:t>
      </w:r>
      <w:r>
        <w:rPr>
          <w:rFonts w:ascii="宋体" w:hAnsi="宋体" w:eastAsia="宋体" w:cs="宋体"/>
          <w:spacing w:val="12"/>
          <w:sz w:val="20"/>
          <w:szCs w:val="20"/>
        </w:rPr>
        <w:t>2022〕7</w:t>
      </w:r>
      <w:r>
        <w:rPr>
          <w:rFonts w:ascii="宋体" w:hAnsi="宋体" w:eastAsia="宋体" w:cs="宋体"/>
          <w:spacing w:val="11"/>
          <w:sz w:val="20"/>
          <w:szCs w:val="20"/>
        </w:rPr>
        <w:t>号）文件执行，其中安全文明施工费费率执行山东省住房和城乡建设厅《关</w:t>
      </w:r>
      <w:r>
        <w:rPr>
          <w:rFonts w:ascii="宋体" w:hAnsi="宋体" w:eastAsia="宋体" w:cs="宋体"/>
          <w:spacing w:val="10"/>
          <w:sz w:val="20"/>
          <w:szCs w:val="20"/>
        </w:rPr>
        <w:t>于调整建设工程安全施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4" w:line="277" w:lineRule="exact"/>
        <w:ind w:left="404"/>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5" w:line="220" w:lineRule="auto"/>
        <w:ind w:left="419"/>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7" w:lineRule="exact"/>
        <w:ind w:left="404"/>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8" w:line="220" w:lineRule="auto"/>
        <w:ind w:left="419"/>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6" w:line="278" w:lineRule="exact"/>
        <w:ind w:left="404"/>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7" w:line="223" w:lineRule="auto"/>
        <w:ind w:left="419"/>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5" w:line="277" w:lineRule="exact"/>
        <w:ind w:left="404"/>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0" w:line="368" w:lineRule="auto"/>
        <w:ind w:left="2" w:right="210" w:firstLine="416"/>
        <w:rPr>
          <w:rFonts w:ascii="宋体" w:hAnsi="宋体" w:eastAsia="宋体" w:cs="宋体"/>
          <w:sz w:val="20"/>
          <w:szCs w:val="20"/>
        </w:rPr>
      </w:pPr>
      <w:r>
        <w:rPr>
          <w:rFonts w:ascii="宋体" w:hAnsi="宋体" w:eastAsia="宋体" w:cs="宋体"/>
          <w:spacing w:val="7"/>
          <w:sz w:val="20"/>
          <w:szCs w:val="20"/>
        </w:rPr>
        <w:t>编制最高投标限价、投标报价时，应依据建设工程创建</w:t>
      </w:r>
      <w:r>
        <w:rPr>
          <w:rFonts w:ascii="宋体" w:hAnsi="宋体" w:eastAsia="宋体" w:cs="宋体"/>
          <w:spacing w:val="6"/>
          <w:sz w:val="20"/>
          <w:szCs w:val="20"/>
        </w:rPr>
        <w:t>目标按省（鲁建标字〔2022〕7</w:t>
      </w:r>
      <w:r>
        <w:rPr>
          <w:rFonts w:ascii="宋体" w:hAnsi="宋体" w:eastAsia="宋体" w:cs="宋体"/>
          <w:spacing w:val="-42"/>
          <w:sz w:val="20"/>
          <w:szCs w:val="20"/>
        </w:rPr>
        <w:t xml:space="preserve"> </w:t>
      </w:r>
      <w:r>
        <w:rPr>
          <w:rFonts w:ascii="宋体" w:hAnsi="宋体" w:eastAsia="宋体" w:cs="宋体"/>
          <w:spacing w:val="6"/>
          <w:sz w:val="20"/>
          <w:szCs w:val="20"/>
        </w:rPr>
        <w:t>号）发布</w:t>
      </w:r>
      <w:r>
        <w:rPr>
          <w:rFonts w:ascii="宋体" w:hAnsi="宋体" w:eastAsia="宋体" w:cs="宋体"/>
          <w:spacing w:val="11"/>
          <w:sz w:val="20"/>
          <w:szCs w:val="20"/>
        </w:rPr>
        <w:t>费率计列优质优价费用；竣工结算时，建设工程达到合同约定的创建目标</w:t>
      </w:r>
      <w:r>
        <w:rPr>
          <w:rFonts w:ascii="宋体" w:hAnsi="宋体" w:eastAsia="宋体" w:cs="宋体"/>
          <w:spacing w:val="10"/>
          <w:sz w:val="20"/>
          <w:szCs w:val="20"/>
        </w:rPr>
        <w:t>时，按照达到等次计取优</w:t>
      </w:r>
      <w:r>
        <w:rPr>
          <w:rFonts w:ascii="宋体" w:hAnsi="宋体" w:eastAsia="宋体" w:cs="宋体"/>
          <w:spacing w:val="11"/>
          <w:sz w:val="20"/>
          <w:szCs w:val="20"/>
        </w:rPr>
        <w:t>质优价费用；未达到或超出合同约定的目标时，合同有明确约定的，根据</w:t>
      </w:r>
      <w:r>
        <w:rPr>
          <w:rFonts w:ascii="宋体" w:hAnsi="宋体" w:eastAsia="宋体" w:cs="宋体"/>
          <w:spacing w:val="10"/>
          <w:sz w:val="20"/>
          <w:szCs w:val="20"/>
        </w:rPr>
        <w:t>合同约定计取；合同未明</w:t>
      </w:r>
      <w:r>
        <w:rPr>
          <w:rFonts w:ascii="宋体" w:hAnsi="宋体" w:eastAsia="宋体" w:cs="宋体"/>
          <w:spacing w:val="8"/>
          <w:sz w:val="20"/>
          <w:szCs w:val="20"/>
        </w:rPr>
        <w:t>确约定的，由发承包双方协商确定。</w:t>
      </w:r>
    </w:p>
    <w:p>
      <w:pPr>
        <w:spacing w:before="8" w:line="278" w:lineRule="exact"/>
        <w:ind w:left="404"/>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22" w:line="367" w:lineRule="auto"/>
        <w:ind w:left="1" w:right="208" w:firstLine="417"/>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编制最高投标限价、投标报价、工程结算时按淄博市住房和城乡建设局《关于发布淄博</w:t>
      </w:r>
      <w:r>
        <w:rPr>
          <w:rFonts w:ascii="宋体" w:hAnsi="宋体" w:eastAsia="宋体" w:cs="宋体"/>
          <w:spacing w:val="10"/>
          <w:sz w:val="20"/>
          <w:szCs w:val="20"/>
        </w:rPr>
        <w:t>市建设工程规费计取标准的通知》（淄建发〔2022〕11号）文件规定执</w:t>
      </w:r>
      <w:r>
        <w:rPr>
          <w:rFonts w:ascii="宋体" w:hAnsi="宋体" w:eastAsia="宋体" w:cs="宋体"/>
          <w:spacing w:val="9"/>
          <w:sz w:val="20"/>
          <w:szCs w:val="20"/>
        </w:rPr>
        <w:t>行。</w:t>
      </w:r>
    </w:p>
    <w:p>
      <w:pPr>
        <w:spacing w:before="5" w:line="276" w:lineRule="exact"/>
        <w:ind w:left="439"/>
        <w:rPr>
          <w:rFonts w:ascii="宋体" w:hAnsi="宋体" w:eastAsia="宋体" w:cs="宋体"/>
          <w:sz w:val="20"/>
          <w:szCs w:val="20"/>
        </w:rPr>
      </w:pPr>
      <w:r>
        <w:rPr>
          <w:rFonts w:ascii="宋体" w:hAnsi="宋体" w:eastAsia="宋体" w:cs="宋体"/>
          <w:b/>
          <w:bCs/>
          <w:spacing w:val="2"/>
          <w:position w:val="1"/>
          <w:sz w:val="20"/>
          <w:szCs w:val="20"/>
        </w:rPr>
        <w:t>10.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关于计价依据的适用范围</w:t>
      </w:r>
    </w:p>
    <w:p>
      <w:pPr>
        <w:spacing w:line="276" w:lineRule="exact"/>
        <w:rPr>
          <w:rFonts w:ascii="宋体" w:hAnsi="宋体" w:eastAsia="宋体" w:cs="宋体"/>
          <w:sz w:val="20"/>
          <w:szCs w:val="20"/>
        </w:rPr>
        <w:sectPr>
          <w:footerReference r:id="rId149" w:type="default"/>
          <w:pgSz w:w="11906" w:h="16839"/>
          <w:pgMar w:top="400" w:right="1209" w:bottom="1212" w:left="1419"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8" w:right="65" w:firstLine="411"/>
        <w:rPr>
          <w:rFonts w:ascii="宋体" w:hAnsi="宋体" w:eastAsia="宋体" w:cs="宋体"/>
          <w:sz w:val="20"/>
          <w:szCs w:val="20"/>
        </w:rPr>
      </w:pPr>
      <w:r>
        <w:rPr>
          <w:rFonts w:ascii="宋体" w:hAnsi="宋体" w:eastAsia="宋体" w:cs="宋体"/>
          <w:spacing w:val="11"/>
          <w:sz w:val="20"/>
          <w:szCs w:val="20"/>
        </w:rPr>
        <w:t>本计价依据适用于我市行政区域内工业与民用建筑的新建、扩建通用安装工程，</w:t>
      </w:r>
      <w:r>
        <w:rPr>
          <w:rFonts w:ascii="宋体" w:hAnsi="宋体" w:eastAsia="宋体" w:cs="宋体"/>
          <w:spacing w:val="10"/>
          <w:sz w:val="20"/>
          <w:szCs w:val="20"/>
        </w:rPr>
        <w:t>不适用于修缮</w:t>
      </w:r>
      <w:r>
        <w:rPr>
          <w:rFonts w:ascii="宋体" w:hAnsi="宋体" w:eastAsia="宋体" w:cs="宋体"/>
          <w:spacing w:val="7"/>
          <w:sz w:val="20"/>
          <w:szCs w:val="20"/>
        </w:rPr>
        <w:t>和改造的安装工程。</w:t>
      </w:r>
    </w:p>
    <w:p>
      <w:pPr>
        <w:spacing w:line="276" w:lineRule="exact"/>
        <w:ind w:left="439"/>
        <w:rPr>
          <w:rFonts w:ascii="宋体" w:hAnsi="宋体" w:eastAsia="宋体" w:cs="宋体"/>
          <w:sz w:val="20"/>
          <w:szCs w:val="20"/>
        </w:rPr>
      </w:pPr>
      <w:r>
        <w:rPr>
          <w:rFonts w:ascii="宋体" w:hAnsi="宋体" w:eastAsia="宋体" w:cs="宋体"/>
          <w:b/>
          <w:bCs/>
          <w:spacing w:val="3"/>
          <w:position w:val="1"/>
          <w:sz w:val="20"/>
          <w:szCs w:val="20"/>
        </w:rPr>
        <w:t>11.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关于工程建设人工材料价格风险控制</w:t>
      </w:r>
    </w:p>
    <w:p>
      <w:pPr>
        <w:spacing w:before="122" w:line="368" w:lineRule="auto"/>
        <w:ind w:left="1" w:right="65" w:firstLine="410"/>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7"/>
          <w:sz w:val="20"/>
          <w:szCs w:val="20"/>
        </w:rPr>
        <w:t xml:space="preserve"> </w:t>
      </w:r>
      <w:r>
        <w:rPr>
          <w:rFonts w:ascii="宋体" w:hAnsi="宋体" w:eastAsia="宋体" w:cs="宋体"/>
          <w:spacing w:val="6"/>
          <w:sz w:val="20"/>
          <w:szCs w:val="20"/>
        </w:rPr>
        <w:t>1）2019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1"/>
          <w:sz w:val="20"/>
          <w:szCs w:val="20"/>
        </w:rPr>
        <w:t xml:space="preserve"> </w:t>
      </w:r>
      <w:r>
        <w:rPr>
          <w:rFonts w:ascii="宋体" w:hAnsi="宋体" w:eastAsia="宋体" w:cs="宋体"/>
          <w:spacing w:val="6"/>
          <w:sz w:val="20"/>
          <w:szCs w:val="20"/>
        </w:rPr>
        <w:t>9</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16 日，山东省住房</w:t>
      </w:r>
      <w:r>
        <w:rPr>
          <w:rFonts w:ascii="宋体" w:hAnsi="宋体" w:eastAsia="宋体" w:cs="宋体"/>
          <w:spacing w:val="5"/>
          <w:sz w:val="20"/>
          <w:szCs w:val="20"/>
        </w:rPr>
        <w:t>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5" w:line="224" w:lineRule="auto"/>
        <w:ind w:left="42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3" w:line="276"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before="123" w:line="345" w:lineRule="auto"/>
        <w:ind w:right="63" w:firstLine="420"/>
        <w:rPr>
          <w:rFonts w:ascii="宋体" w:hAnsi="宋体" w:eastAsia="宋体" w:cs="宋体"/>
          <w:sz w:val="20"/>
          <w:szCs w:val="20"/>
        </w:rPr>
      </w:pPr>
      <w:r>
        <w:rPr>
          <w:rFonts w:ascii="宋体" w:hAnsi="宋体" w:eastAsia="宋体" w:cs="宋体"/>
          <w:spacing w:val="11"/>
          <w:sz w:val="20"/>
          <w:szCs w:val="20"/>
        </w:rPr>
        <w:t>①设区市建设主管部门发布市定额人工市场指导单价的：市建设主管部门调增市定</w:t>
      </w:r>
      <w:r>
        <w:rPr>
          <w:rFonts w:ascii="宋体" w:hAnsi="宋体" w:eastAsia="宋体" w:cs="宋体"/>
          <w:spacing w:val="10"/>
          <w:sz w:val="20"/>
          <w:szCs w:val="20"/>
        </w:rPr>
        <w:t>额人工指导单价时，</w:t>
      </w:r>
      <w:r>
        <w:rPr>
          <w:rFonts w:ascii="宋体" w:hAnsi="宋体" w:eastAsia="宋体" w:cs="宋体"/>
          <w:spacing w:val="-57"/>
          <w:sz w:val="20"/>
          <w:szCs w:val="20"/>
        </w:rPr>
        <w:t xml:space="preserve"> </w:t>
      </w:r>
      <w:r>
        <w:rPr>
          <w:rFonts w:ascii="宋体" w:hAnsi="宋体" w:eastAsia="宋体" w:cs="宋体"/>
          <w:spacing w:val="10"/>
          <w:sz w:val="20"/>
          <w:szCs w:val="20"/>
        </w:rPr>
        <w:t>自调整生效之日起完成的工程量，根据市定</w:t>
      </w:r>
      <w:r>
        <w:rPr>
          <w:rFonts w:ascii="宋体" w:hAnsi="宋体" w:eastAsia="宋体" w:cs="宋体"/>
          <w:spacing w:val="9"/>
          <w:sz w:val="20"/>
          <w:szCs w:val="20"/>
        </w:rPr>
        <w:t>额人工指导单价的调增幅度（百分比</w:t>
      </w:r>
      <w:r>
        <w:rPr>
          <w:rFonts w:ascii="宋体" w:hAnsi="宋体" w:eastAsia="宋体" w:cs="宋体"/>
          <w:spacing w:val="-10"/>
          <w:sz w:val="20"/>
          <w:szCs w:val="20"/>
        </w:rPr>
        <w:t>）</w:t>
      </w:r>
      <w:r>
        <w:rPr>
          <w:rFonts w:ascii="宋体" w:hAnsi="宋体" w:eastAsia="宋体" w:cs="宋体"/>
          <w:spacing w:val="-51"/>
          <w:sz w:val="20"/>
          <w:szCs w:val="20"/>
        </w:rPr>
        <w:t xml:space="preserve"> </w:t>
      </w:r>
      <w:r>
        <w:rPr>
          <w:rFonts w:ascii="宋体" w:hAnsi="宋体" w:eastAsia="宋体" w:cs="宋体"/>
          <w:spacing w:val="-10"/>
          <w:sz w:val="20"/>
          <w:szCs w:val="20"/>
        </w:rPr>
        <w:t>，</w:t>
      </w:r>
      <w:r>
        <w:rPr>
          <w:rFonts w:ascii="宋体" w:hAnsi="宋体" w:eastAsia="宋体" w:cs="宋体"/>
          <w:spacing w:val="9"/>
          <w:sz w:val="20"/>
          <w:szCs w:val="20"/>
        </w:rPr>
        <w:t>调增</w:t>
      </w:r>
      <w:r>
        <w:rPr>
          <w:rFonts w:ascii="宋体" w:hAnsi="宋体" w:eastAsia="宋体" w:cs="宋体"/>
          <w:spacing w:val="11"/>
          <w:sz w:val="20"/>
          <w:szCs w:val="20"/>
        </w:rPr>
        <w:t>工程价款的人工费，但合同约定的定额人工单价高于调增后的市定额人工指导</w:t>
      </w:r>
      <w:r>
        <w:rPr>
          <w:rFonts w:ascii="宋体" w:hAnsi="宋体" w:eastAsia="宋体" w:cs="宋体"/>
          <w:spacing w:val="10"/>
          <w:sz w:val="20"/>
          <w:szCs w:val="20"/>
        </w:rPr>
        <w:t>单价的除外；市建设主管部门调减市定额人工指导单价时，</w:t>
      </w:r>
      <w:r>
        <w:rPr>
          <w:rFonts w:ascii="宋体" w:hAnsi="宋体" w:eastAsia="宋体" w:cs="宋体"/>
          <w:spacing w:val="-57"/>
          <w:sz w:val="20"/>
          <w:szCs w:val="20"/>
        </w:rPr>
        <w:t xml:space="preserve"> </w:t>
      </w:r>
      <w:r>
        <w:rPr>
          <w:rFonts w:ascii="宋体" w:hAnsi="宋体" w:eastAsia="宋体" w:cs="宋体"/>
          <w:spacing w:val="10"/>
          <w:sz w:val="20"/>
          <w:szCs w:val="20"/>
        </w:rPr>
        <w:t>自调整生效之日起完成的工程量，根据</w:t>
      </w:r>
      <w:r>
        <w:rPr>
          <w:rFonts w:ascii="宋体" w:hAnsi="宋体" w:eastAsia="宋体" w:cs="宋体"/>
          <w:spacing w:val="9"/>
          <w:sz w:val="20"/>
          <w:szCs w:val="20"/>
        </w:rPr>
        <w:t>市定额人工指导单价</w:t>
      </w:r>
      <w:r>
        <w:rPr>
          <w:rFonts w:ascii="宋体" w:hAnsi="宋体" w:eastAsia="宋体" w:cs="宋体"/>
          <w:spacing w:val="11"/>
          <w:sz w:val="20"/>
          <w:szCs w:val="20"/>
        </w:rPr>
        <w:t>的调减幅度（百分比</w:t>
      </w:r>
      <w:r>
        <w:rPr>
          <w:rFonts w:ascii="宋体" w:hAnsi="宋体" w:eastAsia="宋体" w:cs="宋体"/>
          <w:spacing w:val="-10"/>
          <w:sz w:val="20"/>
          <w:szCs w:val="20"/>
        </w:rPr>
        <w:t>）</w:t>
      </w:r>
      <w:r>
        <w:rPr>
          <w:rFonts w:ascii="宋体" w:hAnsi="宋体" w:eastAsia="宋体" w:cs="宋体"/>
          <w:spacing w:val="-51"/>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调减工程价款的人工费，但合同约定</w:t>
      </w:r>
      <w:r>
        <w:rPr>
          <w:rFonts w:ascii="宋体" w:hAnsi="宋体" w:eastAsia="宋体" w:cs="宋体"/>
          <w:spacing w:val="10"/>
          <w:sz w:val="20"/>
          <w:szCs w:val="20"/>
        </w:rPr>
        <w:t>的定额人工单价低于调减后的市定额</w:t>
      </w:r>
      <w:r>
        <w:rPr>
          <w:rFonts w:ascii="宋体" w:hAnsi="宋体" w:eastAsia="宋体" w:cs="宋体"/>
          <w:spacing w:val="8"/>
          <w:sz w:val="20"/>
          <w:szCs w:val="20"/>
        </w:rPr>
        <w:t>人工指导单价的除外。</w:t>
      </w:r>
    </w:p>
    <w:p>
      <w:pPr>
        <w:spacing w:before="160" w:line="312" w:lineRule="auto"/>
        <w:ind w:left="1" w:right="62"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before="125" w:line="369" w:lineRule="auto"/>
        <w:ind w:left="1" w:right="65" w:firstLine="423"/>
        <w:rPr>
          <w:rFonts w:ascii="宋体" w:hAnsi="宋体" w:eastAsia="宋体" w:cs="宋体"/>
          <w:sz w:val="20"/>
          <w:szCs w:val="20"/>
        </w:rPr>
      </w:pPr>
      <w:r>
        <w:rPr>
          <w:rFonts w:ascii="宋体" w:hAnsi="宋体" w:eastAsia="宋体" w:cs="宋体"/>
          <w:spacing w:val="10"/>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10"/>
          <w:sz w:val="20"/>
          <w:szCs w:val="20"/>
        </w:rPr>
        <w:t>自调整生效之日起</w:t>
      </w:r>
      <w:r>
        <w:rPr>
          <w:rFonts w:ascii="宋体" w:hAnsi="宋体" w:eastAsia="宋体" w:cs="宋体"/>
          <w:spacing w:val="9"/>
          <w:sz w:val="20"/>
          <w:szCs w:val="20"/>
        </w:rPr>
        <w:t>完成的工程量，各项以省价人工费（或省价人机费）为基础计取的费用同时进行调整。</w:t>
      </w:r>
    </w:p>
    <w:p>
      <w:pPr>
        <w:spacing w:line="276" w:lineRule="exact"/>
        <w:ind w:left="423"/>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2" w:line="276" w:lineRule="exact"/>
        <w:ind w:left="421"/>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5" w:line="368" w:lineRule="auto"/>
        <w:ind w:left="1" w:right="65" w:firstLine="420"/>
        <w:rPr>
          <w:rFonts w:ascii="宋体" w:hAnsi="宋体" w:eastAsia="宋体" w:cs="宋体"/>
          <w:sz w:val="20"/>
          <w:szCs w:val="20"/>
        </w:rPr>
      </w:pPr>
      <w:r>
        <w:rPr>
          <w:rFonts w:ascii="宋体" w:hAnsi="宋体" w:eastAsia="宋体" w:cs="宋体"/>
          <w:spacing w:val="11"/>
          <w:sz w:val="20"/>
          <w:szCs w:val="20"/>
        </w:rPr>
        <w:t>二是合同未对材料价格风险进行约定或约定不具体的，发承包双方按照以下</w:t>
      </w:r>
      <w:r>
        <w:rPr>
          <w:rFonts w:ascii="宋体" w:hAnsi="宋体" w:eastAsia="宋体" w:cs="宋体"/>
          <w:spacing w:val="10"/>
          <w:sz w:val="20"/>
          <w:szCs w:val="20"/>
        </w:rPr>
        <w:t>原则协商调整工程</w:t>
      </w:r>
      <w:r>
        <w:rPr>
          <w:rFonts w:ascii="宋体" w:hAnsi="宋体" w:eastAsia="宋体" w:cs="宋体"/>
          <w:spacing w:val="4"/>
          <w:sz w:val="20"/>
          <w:szCs w:val="20"/>
        </w:rPr>
        <w:t>造价：</w:t>
      </w:r>
    </w:p>
    <w:p>
      <w:pPr>
        <w:spacing w:before="1" w:line="313" w:lineRule="auto"/>
        <w:ind w:left="5" w:right="63" w:firstLine="416"/>
        <w:rPr>
          <w:rFonts w:ascii="宋体" w:hAnsi="宋体" w:eastAsia="宋体" w:cs="宋体"/>
          <w:sz w:val="20"/>
          <w:szCs w:val="20"/>
        </w:rPr>
      </w:pPr>
      <w:r>
        <w:rPr>
          <w:rFonts w:ascii="宋体" w:hAnsi="宋体" w:eastAsia="宋体" w:cs="宋体"/>
          <w:spacing w:val="11"/>
          <w:sz w:val="20"/>
          <w:szCs w:val="20"/>
        </w:rPr>
        <w:t>①调整的范围限定于主要材料。主要材料是指用量较大、占工程造价比例较高的材</w:t>
      </w:r>
      <w:r>
        <w:rPr>
          <w:rFonts w:ascii="宋体" w:hAnsi="宋体" w:eastAsia="宋体" w:cs="宋体"/>
          <w:spacing w:val="10"/>
          <w:sz w:val="20"/>
          <w:szCs w:val="20"/>
        </w:rPr>
        <w:t>料，包括的范围以合同约定为准。当合同未对主要材料</w:t>
      </w:r>
      <w:r>
        <w:rPr>
          <w:rFonts w:ascii="宋体" w:hAnsi="宋体" w:eastAsia="宋体" w:cs="宋体"/>
          <w:spacing w:val="9"/>
          <w:sz w:val="20"/>
          <w:szCs w:val="20"/>
        </w:rPr>
        <w:t>范围进行明确约定时，则一般应包括如下内容：</w:t>
      </w:r>
    </w:p>
    <w:p>
      <w:pPr>
        <w:spacing w:before="125" w:line="331" w:lineRule="auto"/>
        <w:ind w:left="1" w:right="63" w:firstLine="420"/>
        <w:rPr>
          <w:rFonts w:ascii="宋体" w:hAnsi="宋体" w:eastAsia="宋体" w:cs="宋体"/>
          <w:sz w:val="20"/>
          <w:szCs w:val="20"/>
        </w:rPr>
      </w:pPr>
      <w:r>
        <w:rPr>
          <w:rFonts w:ascii="宋体" w:hAnsi="宋体" w:eastAsia="宋体" w:cs="宋体"/>
          <w:spacing w:val="11"/>
          <w:sz w:val="20"/>
          <w:szCs w:val="20"/>
        </w:rPr>
        <w:t>②金属材料、木材、水泥、混凝土、沥青混凝土、预制构件、砂浆、砖、瓦、砂子</w:t>
      </w:r>
      <w:r>
        <w:rPr>
          <w:rFonts w:ascii="宋体" w:hAnsi="宋体" w:eastAsia="宋体" w:cs="宋体"/>
          <w:spacing w:val="10"/>
          <w:sz w:val="20"/>
          <w:szCs w:val="20"/>
        </w:rPr>
        <w:t>、碎石、石</w:t>
      </w:r>
      <w:r>
        <w:rPr>
          <w:rFonts w:ascii="宋体" w:hAnsi="宋体" w:eastAsia="宋体" w:cs="宋体"/>
          <w:spacing w:val="11"/>
          <w:sz w:val="20"/>
          <w:szCs w:val="20"/>
        </w:rPr>
        <w:t>灰、石材、防水材料、防腐材料、玻璃、保温材料、门窗、面砖、管材、管件、阀</w:t>
      </w:r>
      <w:r>
        <w:rPr>
          <w:rFonts w:ascii="宋体" w:hAnsi="宋体" w:eastAsia="宋体" w:cs="宋体"/>
          <w:spacing w:val="10"/>
          <w:sz w:val="20"/>
          <w:szCs w:val="20"/>
        </w:rPr>
        <w:t>门、电线电缆、</w:t>
      </w:r>
      <w:r>
        <w:rPr>
          <w:rFonts w:ascii="宋体" w:hAnsi="宋体" w:eastAsia="宋体" w:cs="宋体"/>
          <w:spacing w:val="9"/>
          <w:sz w:val="20"/>
          <w:szCs w:val="20"/>
        </w:rPr>
        <w:t>灯具、卫生洁具、散热器、苗木、花卉等。</w:t>
      </w:r>
    </w:p>
    <w:p>
      <w:pPr>
        <w:spacing w:before="123" w:line="276" w:lineRule="exact"/>
        <w:ind w:left="421"/>
        <w:rPr>
          <w:rFonts w:ascii="宋体" w:hAnsi="宋体" w:eastAsia="宋体" w:cs="宋体"/>
          <w:sz w:val="20"/>
          <w:szCs w:val="20"/>
        </w:rPr>
      </w:pPr>
      <w:r>
        <w:rPr>
          <w:rFonts w:ascii="宋体" w:hAnsi="宋体" w:eastAsia="宋体" w:cs="宋体"/>
          <w:spacing w:val="10"/>
          <w:position w:val="1"/>
          <w:sz w:val="20"/>
          <w:szCs w:val="20"/>
        </w:rPr>
        <w:t>③合同价中单种材料合价占单位工程造价比例在</w:t>
      </w:r>
      <w:r>
        <w:rPr>
          <w:rFonts w:ascii="宋体" w:hAnsi="宋体" w:eastAsia="宋体" w:cs="宋体"/>
          <w:spacing w:val="-6"/>
          <w:position w:val="1"/>
          <w:sz w:val="20"/>
          <w:szCs w:val="20"/>
        </w:rPr>
        <w:t xml:space="preserve"> </w:t>
      </w:r>
      <w:r>
        <w:rPr>
          <w:rFonts w:ascii="宋体" w:hAnsi="宋体" w:eastAsia="宋体" w:cs="宋体"/>
          <w:spacing w:val="10"/>
          <w:position w:val="1"/>
          <w:sz w:val="20"/>
          <w:szCs w:val="20"/>
        </w:rPr>
        <w:t>1%及以上的材料。</w:t>
      </w:r>
    </w:p>
    <w:p>
      <w:pPr>
        <w:spacing w:before="123" w:line="275" w:lineRule="exact"/>
        <w:ind w:left="421"/>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6" w:line="368" w:lineRule="auto"/>
        <w:ind w:left="4" w:right="125"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1" w:line="369" w:lineRule="auto"/>
        <w:ind w:left="2" w:right="62"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1" w:line="276" w:lineRule="exact"/>
        <w:ind w:left="422"/>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5" w:line="276" w:lineRule="exact"/>
        <w:ind w:left="412"/>
        <w:rPr>
          <w:rFonts w:ascii="宋体" w:hAnsi="宋体" w:eastAsia="宋体" w:cs="宋体"/>
          <w:sz w:val="20"/>
          <w:szCs w:val="20"/>
        </w:rPr>
      </w:pPr>
      <w:r>
        <w:rPr>
          <w:rFonts w:ascii="宋体" w:hAnsi="宋体" w:eastAsia="宋体" w:cs="宋体"/>
          <w:spacing w:val="10"/>
          <w:position w:val="1"/>
          <w:sz w:val="20"/>
          <w:szCs w:val="20"/>
        </w:rPr>
        <w:t>（2）2021年</w:t>
      </w:r>
      <w:r>
        <w:rPr>
          <w:rFonts w:ascii="宋体" w:hAnsi="宋体" w:eastAsia="宋体" w:cs="宋体"/>
          <w:spacing w:val="-41"/>
          <w:position w:val="1"/>
          <w:sz w:val="20"/>
          <w:szCs w:val="20"/>
        </w:rPr>
        <w:t xml:space="preserve"> </w:t>
      </w:r>
      <w:r>
        <w:rPr>
          <w:rFonts w:ascii="宋体" w:hAnsi="宋体" w:eastAsia="宋体" w:cs="宋体"/>
          <w:spacing w:val="10"/>
          <w:position w:val="1"/>
          <w:sz w:val="20"/>
          <w:szCs w:val="20"/>
        </w:rPr>
        <w:t>6</w:t>
      </w:r>
      <w:r>
        <w:rPr>
          <w:rFonts w:ascii="宋体" w:hAnsi="宋体" w:eastAsia="宋体" w:cs="宋体"/>
          <w:spacing w:val="-38"/>
          <w:position w:val="1"/>
          <w:sz w:val="20"/>
          <w:szCs w:val="20"/>
        </w:rPr>
        <w:t xml:space="preserve"> </w:t>
      </w:r>
      <w:r>
        <w:rPr>
          <w:rFonts w:ascii="宋体" w:hAnsi="宋体" w:eastAsia="宋体" w:cs="宋体"/>
          <w:spacing w:val="10"/>
          <w:position w:val="1"/>
          <w:sz w:val="20"/>
          <w:szCs w:val="20"/>
        </w:rPr>
        <w:t>月9 日，淄博市住房和城乡建设局出台《关于进一步加强</w:t>
      </w:r>
      <w:r>
        <w:rPr>
          <w:rFonts w:ascii="宋体" w:hAnsi="宋体" w:eastAsia="宋体" w:cs="宋体"/>
          <w:spacing w:val="9"/>
          <w:position w:val="1"/>
          <w:sz w:val="20"/>
          <w:szCs w:val="20"/>
        </w:rPr>
        <w:t>建设工程材料价格风</w:t>
      </w:r>
    </w:p>
    <w:p>
      <w:pPr>
        <w:spacing w:line="276" w:lineRule="exact"/>
        <w:rPr>
          <w:rFonts w:ascii="宋体" w:hAnsi="宋体" w:eastAsia="宋体" w:cs="宋体"/>
          <w:sz w:val="20"/>
          <w:szCs w:val="20"/>
        </w:rPr>
        <w:sectPr>
          <w:footerReference r:id="rId150" w:type="default"/>
          <w:pgSz w:w="11906" w:h="16839"/>
          <w:pgMar w:top="400" w:right="1355"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62" w:lineRule="auto"/>
        <w:ind w:firstLine="19"/>
        <w:jc w:val="both"/>
        <w:rPr>
          <w:rFonts w:ascii="宋体" w:hAnsi="宋体" w:eastAsia="宋体" w:cs="宋体"/>
          <w:sz w:val="20"/>
          <w:szCs w:val="20"/>
        </w:rPr>
      </w:pPr>
      <w:r>
        <w:rPr>
          <w:rFonts w:ascii="宋体" w:hAnsi="宋体" w:eastAsia="宋体" w:cs="宋体"/>
          <w:spacing w:val="9"/>
          <w:sz w:val="20"/>
          <w:szCs w:val="20"/>
        </w:rPr>
        <w:t>险控制的通知》（淄建发〔2021〕97</w:t>
      </w:r>
      <w:r>
        <w:rPr>
          <w:rFonts w:ascii="宋体" w:hAnsi="宋体" w:eastAsia="宋体" w:cs="宋体"/>
          <w:spacing w:val="-40"/>
          <w:sz w:val="20"/>
          <w:szCs w:val="20"/>
        </w:rPr>
        <w:t xml:space="preserve"> </w:t>
      </w:r>
      <w:r>
        <w:rPr>
          <w:rFonts w:ascii="宋体" w:hAnsi="宋体" w:eastAsia="宋体" w:cs="宋体"/>
          <w:spacing w:val="9"/>
          <w:sz w:val="20"/>
          <w:szCs w:val="20"/>
        </w:rPr>
        <w:t>号）。文件规定：</w:t>
      </w:r>
      <w:r>
        <w:rPr>
          <w:rFonts w:ascii="宋体" w:hAnsi="宋体" w:eastAsia="宋体" w:cs="宋体"/>
          <w:spacing w:val="8"/>
          <w:sz w:val="20"/>
          <w:szCs w:val="20"/>
        </w:rPr>
        <w:t>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w:t>
      </w:r>
      <w:r>
        <w:rPr>
          <w:rFonts w:ascii="宋体" w:hAnsi="宋体" w:eastAsia="宋体" w:cs="宋体"/>
          <w:spacing w:val="10"/>
          <w:sz w:val="20"/>
          <w:szCs w:val="20"/>
        </w:rPr>
        <w:t>价格波动幅度超出5%</w:t>
      </w:r>
      <w:r>
        <w:rPr>
          <w:rFonts w:ascii="宋体" w:hAnsi="宋体" w:eastAsia="宋体" w:cs="宋体"/>
          <w:sz w:val="20"/>
          <w:szCs w:val="20"/>
        </w:rPr>
        <w:t xml:space="preserve"> </w:t>
      </w:r>
      <w:r>
        <w:rPr>
          <w:rFonts w:ascii="宋体" w:hAnsi="宋体" w:eastAsia="宋体" w:cs="宋体"/>
          <w:spacing w:val="10"/>
          <w:sz w:val="20"/>
          <w:szCs w:val="20"/>
        </w:rPr>
        <w:t>（含）的，材料价格风险由建设单位承担，按照超出部分调整材料价差。若建设单位不承担该费用致使工程停工的，工期应予以顺延，停工期间发生的人工、周转性材料及机械等费用发承包双方应</w:t>
      </w:r>
      <w:r>
        <w:rPr>
          <w:rFonts w:ascii="宋体" w:hAnsi="宋体" w:eastAsia="宋体" w:cs="宋体"/>
          <w:spacing w:val="8"/>
          <w:sz w:val="20"/>
          <w:szCs w:val="20"/>
        </w:rPr>
        <w:t>合理分担。</w:t>
      </w:r>
    </w:p>
    <w:p>
      <w:pPr>
        <w:spacing w:before="45" w:line="277" w:lineRule="exact"/>
        <w:ind w:left="447"/>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3" w:line="368" w:lineRule="auto"/>
        <w:ind w:left="9" w:right="2"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before="3" w:line="278"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1"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3" w:line="278"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w:t>
      </w:r>
      <w:r>
        <w:rPr>
          <w:rFonts w:ascii="宋体" w:hAnsi="宋体" w:eastAsia="宋体" w:cs="宋体"/>
          <w:spacing w:val="9"/>
          <w:position w:val="1"/>
          <w:sz w:val="20"/>
          <w:szCs w:val="20"/>
        </w:rPr>
        <w:t>由施工单位支付的检验试验费用；</w:t>
      </w:r>
    </w:p>
    <w:p>
      <w:pPr>
        <w:spacing w:before="122" w:line="277" w:lineRule="exact"/>
        <w:ind w:left="420"/>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2" w:line="352" w:lineRule="auto"/>
        <w:ind w:left="8" w:right="2"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38" w:line="277" w:lineRule="exact"/>
        <w:ind w:left="447"/>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25" w:line="351" w:lineRule="auto"/>
        <w:ind w:left="9"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37" w:line="277" w:lineRule="exact"/>
        <w:ind w:left="429"/>
        <w:rPr>
          <w:rFonts w:ascii="宋体" w:hAnsi="宋体" w:eastAsia="宋体" w:cs="宋体"/>
          <w:sz w:val="20"/>
          <w:szCs w:val="20"/>
        </w:rPr>
      </w:pPr>
      <w:r>
        <w:rPr>
          <w:rFonts w:ascii="宋体" w:hAnsi="宋体" w:eastAsia="宋体" w:cs="宋体"/>
          <w:spacing w:val="8"/>
          <w:position w:val="1"/>
          <w:sz w:val="20"/>
          <w:szCs w:val="20"/>
        </w:rPr>
        <w:t>安装工程材料的采购及保管费率为2.5</w:t>
      </w:r>
      <w:r>
        <w:rPr>
          <w:rFonts w:ascii="宋体" w:hAnsi="宋体" w:eastAsia="宋体" w:cs="宋体"/>
          <w:spacing w:val="-21"/>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21"/>
          <w:position w:val="1"/>
          <w:sz w:val="20"/>
          <w:szCs w:val="20"/>
        </w:rPr>
        <w:t>，</w:t>
      </w:r>
      <w:r>
        <w:rPr>
          <w:rFonts w:ascii="宋体" w:hAnsi="宋体" w:eastAsia="宋体" w:cs="宋体"/>
          <w:spacing w:val="8"/>
          <w:position w:val="1"/>
          <w:sz w:val="20"/>
          <w:szCs w:val="20"/>
        </w:rPr>
        <w:t>设备的采购及保管费</w:t>
      </w:r>
      <w:r>
        <w:rPr>
          <w:rFonts w:ascii="宋体" w:hAnsi="宋体" w:eastAsia="宋体" w:cs="宋体"/>
          <w:spacing w:val="7"/>
          <w:position w:val="1"/>
          <w:sz w:val="20"/>
          <w:szCs w:val="20"/>
        </w:rPr>
        <w:t>率为</w:t>
      </w:r>
      <w:r>
        <w:rPr>
          <w:rFonts w:ascii="宋体" w:hAnsi="宋体" w:eastAsia="宋体" w:cs="宋体"/>
          <w:spacing w:val="-25"/>
          <w:position w:val="1"/>
          <w:sz w:val="20"/>
          <w:szCs w:val="20"/>
        </w:rPr>
        <w:t xml:space="preserve"> </w:t>
      </w:r>
      <w:r>
        <w:rPr>
          <w:rFonts w:ascii="宋体" w:hAnsi="宋体" w:eastAsia="宋体" w:cs="宋体"/>
          <w:spacing w:val="7"/>
          <w:position w:val="1"/>
          <w:sz w:val="20"/>
          <w:szCs w:val="20"/>
        </w:rPr>
        <w:t>1％。</w:t>
      </w:r>
    </w:p>
    <w:p>
      <w:pPr>
        <w:spacing w:before="124" w:line="277" w:lineRule="exact"/>
        <w:ind w:left="430"/>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6" w:lineRule="auto"/>
        <w:ind w:left="9" w:right="2"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1）建设单位采购、付款、供应至施工现场、并自行保管，施工单位随用随领，采购及保管费</w:t>
      </w:r>
      <w:r>
        <w:rPr>
          <w:rFonts w:ascii="宋体" w:hAnsi="宋体" w:eastAsia="宋体" w:cs="宋体"/>
          <w:spacing w:val="8"/>
          <w:sz w:val="20"/>
          <w:szCs w:val="20"/>
        </w:rPr>
        <w:t>全部归建设单位。</w:t>
      </w:r>
    </w:p>
    <w:p>
      <w:pPr>
        <w:spacing w:before="157" w:line="332" w:lineRule="auto"/>
        <w:ind w:left="8" w:right="2" w:firstLine="411"/>
        <w:rPr>
          <w:rFonts w:ascii="宋体" w:hAnsi="宋体" w:eastAsia="宋体" w:cs="宋体"/>
          <w:sz w:val="20"/>
          <w:szCs w:val="20"/>
        </w:rPr>
      </w:pPr>
      <w:r>
        <w:rPr>
          <w:rFonts w:ascii="宋体" w:hAnsi="宋体" w:eastAsia="宋体" w:cs="宋体"/>
          <w:spacing w:val="8"/>
          <w:sz w:val="20"/>
          <w:szCs w:val="20"/>
        </w:rPr>
        <w:t>（2）建设单位采购、付款、供应至施工现场，交由施工单位保管，建设单位计取采购及保管费</w:t>
      </w:r>
      <w:r>
        <w:rPr>
          <w:rFonts w:ascii="宋体" w:hAnsi="宋体" w:eastAsia="宋体" w:cs="宋体"/>
          <w:spacing w:val="5"/>
          <w:sz w:val="20"/>
          <w:szCs w:val="20"/>
        </w:rPr>
        <w:t>的</w:t>
      </w:r>
      <w:r>
        <w:rPr>
          <w:rFonts w:ascii="宋体" w:hAnsi="宋体" w:eastAsia="宋体" w:cs="宋体"/>
          <w:spacing w:val="-39"/>
          <w:sz w:val="20"/>
          <w:szCs w:val="20"/>
        </w:rPr>
        <w:t xml:space="preserve"> </w:t>
      </w:r>
      <w:r>
        <w:rPr>
          <w:rFonts w:ascii="宋体" w:hAnsi="宋体" w:eastAsia="宋体" w:cs="宋体"/>
          <w:spacing w:val="5"/>
          <w:sz w:val="20"/>
          <w:szCs w:val="20"/>
        </w:rPr>
        <w:t>60</w:t>
      </w:r>
      <w:r>
        <w:rPr>
          <w:rFonts w:ascii="宋体" w:hAnsi="宋体" w:eastAsia="宋体" w:cs="宋体"/>
          <w:spacing w:val="-40"/>
          <w:sz w:val="20"/>
          <w:szCs w:val="20"/>
        </w:rPr>
        <w:t>％</w:t>
      </w:r>
      <w:r>
        <w:rPr>
          <w:rFonts w:ascii="宋体" w:hAnsi="宋体" w:eastAsia="宋体" w:cs="宋体"/>
          <w:spacing w:val="-58"/>
          <w:sz w:val="20"/>
          <w:szCs w:val="20"/>
        </w:rPr>
        <w:t xml:space="preserve"> </w:t>
      </w:r>
      <w:r>
        <w:rPr>
          <w:rFonts w:ascii="宋体" w:hAnsi="宋体" w:eastAsia="宋体" w:cs="宋体"/>
          <w:spacing w:val="-40"/>
          <w:sz w:val="20"/>
          <w:szCs w:val="20"/>
        </w:rPr>
        <w:t>，</w:t>
      </w:r>
      <w:r>
        <w:rPr>
          <w:rFonts w:ascii="宋体" w:hAnsi="宋体" w:eastAsia="宋体" w:cs="宋体"/>
          <w:spacing w:val="5"/>
          <w:sz w:val="20"/>
          <w:szCs w:val="20"/>
        </w:rPr>
        <w:t>施工单位计取</w:t>
      </w:r>
      <w:r>
        <w:rPr>
          <w:rFonts w:ascii="宋体" w:hAnsi="宋体" w:eastAsia="宋体" w:cs="宋体"/>
          <w:spacing w:val="-45"/>
          <w:sz w:val="20"/>
          <w:szCs w:val="20"/>
        </w:rPr>
        <w:t xml:space="preserve"> </w:t>
      </w:r>
      <w:r>
        <w:rPr>
          <w:rFonts w:ascii="宋体" w:hAnsi="宋体" w:eastAsia="宋体" w:cs="宋体"/>
          <w:spacing w:val="5"/>
          <w:sz w:val="20"/>
          <w:szCs w:val="20"/>
        </w:rPr>
        <w:t>40％。建设单位采购并付款，交提货单由施工企业提运时施工单位计取</w:t>
      </w:r>
      <w:r>
        <w:rPr>
          <w:rFonts w:ascii="宋体" w:hAnsi="宋体" w:eastAsia="宋体" w:cs="宋体"/>
          <w:spacing w:val="-38"/>
          <w:sz w:val="20"/>
          <w:szCs w:val="20"/>
        </w:rPr>
        <w:t xml:space="preserve"> </w:t>
      </w:r>
      <w:r>
        <w:rPr>
          <w:rFonts w:ascii="宋体" w:hAnsi="宋体" w:eastAsia="宋体" w:cs="宋体"/>
          <w:spacing w:val="5"/>
          <w:sz w:val="20"/>
          <w:szCs w:val="20"/>
        </w:rPr>
        <w:t>60%</w:t>
      </w:r>
      <w:r>
        <w:rPr>
          <w:rFonts w:ascii="宋体" w:hAnsi="宋体" w:eastAsia="宋体" w:cs="宋体"/>
          <w:spacing w:val="-34"/>
          <w:sz w:val="20"/>
          <w:szCs w:val="20"/>
        </w:rPr>
        <w:t xml:space="preserve"> </w:t>
      </w:r>
      <w:r>
        <w:rPr>
          <w:rFonts w:ascii="宋体" w:hAnsi="宋体" w:eastAsia="宋体" w:cs="宋体"/>
          <w:spacing w:val="5"/>
          <w:sz w:val="20"/>
          <w:szCs w:val="20"/>
        </w:rPr>
        <w:t>,</w:t>
      </w:r>
      <w:r>
        <w:rPr>
          <w:rFonts w:ascii="宋体" w:hAnsi="宋体" w:eastAsia="宋体" w:cs="宋体"/>
          <w:spacing w:val="11"/>
          <w:sz w:val="20"/>
          <w:szCs w:val="20"/>
        </w:rPr>
        <w:t>建设单位计取40</w:t>
      </w:r>
      <w:r>
        <w:rPr>
          <w:rFonts w:ascii="宋体" w:hAnsi="宋体" w:eastAsia="宋体" w:cs="宋体"/>
          <w:spacing w:val="-20"/>
          <w:sz w:val="20"/>
          <w:szCs w:val="20"/>
        </w:rPr>
        <w:t>％</w:t>
      </w:r>
      <w:r>
        <w:rPr>
          <w:rFonts w:ascii="宋体" w:hAnsi="宋体" w:eastAsia="宋体" w:cs="宋体"/>
          <w:spacing w:val="-35"/>
          <w:sz w:val="20"/>
          <w:szCs w:val="20"/>
        </w:rPr>
        <w:t xml:space="preserve"> </w:t>
      </w:r>
      <w:r>
        <w:rPr>
          <w:rFonts w:ascii="宋体" w:hAnsi="宋体" w:eastAsia="宋体" w:cs="宋体"/>
          <w:spacing w:val="-20"/>
          <w:sz w:val="20"/>
          <w:szCs w:val="20"/>
        </w:rPr>
        <w:t>，</w:t>
      </w:r>
      <w:r>
        <w:rPr>
          <w:rFonts w:ascii="宋体" w:hAnsi="宋体" w:eastAsia="宋体" w:cs="宋体"/>
          <w:spacing w:val="11"/>
          <w:sz w:val="20"/>
          <w:szCs w:val="20"/>
        </w:rPr>
        <w:t>该费用列入其他项目费中。</w:t>
      </w:r>
    </w:p>
    <w:p>
      <w:pPr>
        <w:spacing w:before="122" w:line="277" w:lineRule="exact"/>
        <w:ind w:left="420"/>
        <w:rPr>
          <w:rFonts w:ascii="宋体" w:hAnsi="宋体" w:eastAsia="宋体" w:cs="宋体"/>
          <w:sz w:val="20"/>
          <w:szCs w:val="20"/>
        </w:rPr>
      </w:pPr>
      <w:r>
        <w:rPr>
          <w:rFonts w:ascii="宋体" w:hAnsi="宋体" w:eastAsia="宋体" w:cs="宋体"/>
          <w:spacing w:val="10"/>
          <w:position w:val="1"/>
          <w:sz w:val="20"/>
          <w:szCs w:val="20"/>
        </w:rPr>
        <w:t>（3）施工单位采购、付款、供应至施工现场，并自行保管，采</w:t>
      </w:r>
      <w:r>
        <w:rPr>
          <w:rFonts w:ascii="宋体" w:hAnsi="宋体" w:eastAsia="宋体" w:cs="宋体"/>
          <w:spacing w:val="9"/>
          <w:position w:val="1"/>
          <w:sz w:val="20"/>
          <w:szCs w:val="20"/>
        </w:rPr>
        <w:t>购及保管费全部归施工单位。</w:t>
      </w:r>
    </w:p>
    <w:p>
      <w:pPr>
        <w:spacing w:before="124" w:line="350" w:lineRule="auto"/>
        <w:ind w:left="10" w:firstLine="419"/>
        <w:rPr>
          <w:rFonts w:ascii="宋体" w:hAnsi="宋体" w:eastAsia="宋体" w:cs="宋体"/>
          <w:sz w:val="20"/>
          <w:szCs w:val="20"/>
        </w:rPr>
      </w:pPr>
      <w:r>
        <w:rPr>
          <w:rFonts w:ascii="宋体" w:hAnsi="宋体" w:eastAsia="宋体" w:cs="宋体"/>
          <w:spacing w:val="9"/>
          <w:sz w:val="20"/>
          <w:szCs w:val="20"/>
        </w:rPr>
        <w:t>2016</w:t>
      </w:r>
      <w:r>
        <w:rPr>
          <w:rFonts w:ascii="宋体" w:hAnsi="宋体" w:eastAsia="宋体" w:cs="宋体"/>
          <w:spacing w:val="-38"/>
          <w:sz w:val="20"/>
          <w:szCs w:val="20"/>
        </w:rPr>
        <w:t xml:space="preserve"> </w:t>
      </w:r>
      <w:r>
        <w:rPr>
          <w:rFonts w:ascii="宋体" w:hAnsi="宋体" w:eastAsia="宋体" w:cs="宋体"/>
          <w:spacing w:val="9"/>
          <w:sz w:val="20"/>
          <w:szCs w:val="20"/>
        </w:rPr>
        <w:t>版消耗量定额《山东省安装工程价目表》材料价格取定表中的材料单价，已包括</w:t>
      </w:r>
      <w:r>
        <w:rPr>
          <w:rFonts w:ascii="宋体" w:hAnsi="宋体" w:eastAsia="宋体" w:cs="宋体"/>
          <w:spacing w:val="8"/>
          <w:sz w:val="20"/>
          <w:szCs w:val="20"/>
        </w:rPr>
        <w:t>采购及保</w:t>
      </w:r>
      <w:r>
        <w:rPr>
          <w:rFonts w:ascii="宋体" w:hAnsi="宋体" w:eastAsia="宋体" w:cs="宋体"/>
          <w:spacing w:val="3"/>
          <w:sz w:val="20"/>
          <w:szCs w:val="20"/>
        </w:rPr>
        <w:t>管费。</w:t>
      </w:r>
    </w:p>
    <w:p>
      <w:pPr>
        <w:spacing w:before="41" w:line="368" w:lineRule="auto"/>
        <w:ind w:left="14"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1" w:line="278" w:lineRule="exact"/>
        <w:ind w:left="447"/>
        <w:rPr>
          <w:rFonts w:ascii="宋体" w:hAnsi="宋体" w:eastAsia="宋体" w:cs="宋体"/>
          <w:sz w:val="20"/>
          <w:szCs w:val="20"/>
        </w:rPr>
      </w:pPr>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3" w:line="277" w:lineRule="exact"/>
        <w:ind w:right="2"/>
        <w:jc w:val="right"/>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7"/>
          <w:position w:val="1"/>
          <w:sz w:val="20"/>
          <w:szCs w:val="20"/>
        </w:rPr>
        <w:t>1）建设单位应将自来水水源、强电电源、道路（非指硬化道路</w:t>
      </w:r>
      <w:r>
        <w:rPr>
          <w:rFonts w:ascii="宋体" w:hAnsi="宋体" w:eastAsia="宋体" w:cs="宋体"/>
          <w:spacing w:val="10"/>
          <w:position w:val="1"/>
          <w:sz w:val="20"/>
          <w:szCs w:val="20"/>
        </w:rPr>
        <w:t>），</w:t>
      </w:r>
      <w:r>
        <w:rPr>
          <w:rFonts w:ascii="宋体" w:hAnsi="宋体" w:eastAsia="宋体" w:cs="宋体"/>
          <w:spacing w:val="7"/>
          <w:position w:val="1"/>
          <w:sz w:val="20"/>
          <w:szCs w:val="20"/>
        </w:rPr>
        <w:t>提供至距工程单体（含小</w:t>
      </w:r>
    </w:p>
    <w:p>
      <w:pPr>
        <w:spacing w:line="277" w:lineRule="exact"/>
        <w:rPr>
          <w:rFonts w:ascii="宋体" w:hAnsi="宋体" w:eastAsia="宋体" w:cs="宋体"/>
          <w:sz w:val="20"/>
          <w:szCs w:val="20"/>
        </w:rPr>
        <w:sectPr>
          <w:footerReference r:id="rId151" w:type="default"/>
          <w:pgSz w:w="11906" w:h="16839"/>
          <w:pgMar w:top="400" w:right="1417" w:bottom="1212" w:left="1411" w:header="0" w:footer="897" w:gutter="0"/>
        </w:sect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before="65" w:line="366" w:lineRule="auto"/>
        <w:ind w:right="80" w:firstLine="17"/>
        <w:jc w:val="both"/>
        <w:rPr>
          <w:rFonts w:ascii="宋体" w:hAnsi="宋体" w:eastAsia="宋体" w:cs="宋体"/>
          <w:sz w:val="20"/>
          <w:szCs w:val="20"/>
        </w:rPr>
      </w:pPr>
      <w:r>
        <w:rPr>
          <w:rFonts w:ascii="宋体" w:hAnsi="宋体" w:eastAsia="宋体" w:cs="宋体"/>
          <w:spacing w:val="10"/>
          <w:sz w:val="20"/>
          <w:szCs w:val="20"/>
        </w:rPr>
        <w:t>区中的单体）或构筑物工程中心</w:t>
      </w:r>
      <w:r>
        <w:rPr>
          <w:rFonts w:ascii="宋体" w:hAnsi="宋体" w:eastAsia="宋体" w:cs="宋体"/>
          <w:spacing w:val="-39"/>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w:t>
      </w:r>
      <w:r>
        <w:rPr>
          <w:rFonts w:ascii="宋体" w:hAnsi="宋体" w:eastAsia="宋体" w:cs="宋体"/>
          <w:spacing w:val="9"/>
          <w:sz w:val="20"/>
          <w:szCs w:val="20"/>
        </w:rPr>
        <w:t>不能按上述要求</w:t>
      </w:r>
      <w:r>
        <w:rPr>
          <w:rFonts w:ascii="宋体" w:hAnsi="宋体" w:eastAsia="宋体" w:cs="宋体"/>
          <w:spacing w:val="11"/>
          <w:sz w:val="20"/>
          <w:szCs w:val="20"/>
        </w:rPr>
        <w:t>提供时，施工单位依据经过批准的施工组织设计，按建筑、安装消耗量定额及其</w:t>
      </w:r>
      <w:r>
        <w:rPr>
          <w:rFonts w:ascii="宋体" w:hAnsi="宋体" w:eastAsia="宋体" w:cs="宋体"/>
          <w:spacing w:val="10"/>
          <w:sz w:val="20"/>
          <w:szCs w:val="20"/>
        </w:rPr>
        <w:t>相应规定另行单独</w:t>
      </w:r>
      <w:r>
        <w:rPr>
          <w:rFonts w:ascii="宋体" w:hAnsi="宋体" w:eastAsia="宋体" w:cs="宋体"/>
          <w:spacing w:val="7"/>
          <w:sz w:val="20"/>
          <w:szCs w:val="20"/>
        </w:rPr>
        <w:t>计算费用。</w:t>
      </w:r>
    </w:p>
    <w:p>
      <w:pPr>
        <w:spacing w:before="12" w:line="277"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22" w:line="297" w:lineRule="auto"/>
        <w:ind w:right="83"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6"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4" w:line="279" w:lineRule="exact"/>
        <w:ind w:left="440"/>
        <w:rPr>
          <w:rFonts w:ascii="宋体" w:hAnsi="宋体" w:eastAsia="宋体" w:cs="宋体"/>
          <w:sz w:val="20"/>
          <w:szCs w:val="20"/>
        </w:rPr>
      </w:pPr>
      <w:r>
        <w:rPr>
          <w:rFonts w:ascii="宋体" w:hAnsi="宋体" w:eastAsia="宋体" w:cs="宋体"/>
          <w:b/>
          <w:bCs/>
          <w:spacing w:val="-1"/>
          <w:position w:val="1"/>
          <w:sz w:val="20"/>
          <w:szCs w:val="20"/>
        </w:rPr>
        <w:t>15.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关于措施项目费</w:t>
      </w:r>
    </w:p>
    <w:p>
      <w:pPr>
        <w:spacing w:before="129" w:line="364" w:lineRule="auto"/>
        <w:ind w:firstLine="420"/>
        <w:jc w:val="both"/>
        <w:rPr>
          <w:rFonts w:ascii="宋体" w:hAnsi="宋体" w:eastAsia="宋体" w:cs="宋体"/>
          <w:sz w:val="20"/>
          <w:szCs w:val="20"/>
        </w:rPr>
      </w:pPr>
      <w:r>
        <w:rPr>
          <w:rFonts w:ascii="宋体" w:hAnsi="宋体" w:eastAsia="宋体" w:cs="宋体"/>
          <w:spacing w:val="8"/>
          <w:sz w:val="20"/>
          <w:szCs w:val="20"/>
        </w:rPr>
        <w:t>措施项目费是指为完成建设工程施工，发生于该工程施工前和施工过程中的技</w:t>
      </w:r>
      <w:r>
        <w:rPr>
          <w:rFonts w:ascii="宋体" w:hAnsi="宋体" w:eastAsia="宋体" w:cs="宋体"/>
          <w:spacing w:val="7"/>
          <w:sz w:val="20"/>
          <w:szCs w:val="20"/>
        </w:rPr>
        <w:t>术、生活、安全、</w:t>
      </w:r>
      <w:r>
        <w:rPr>
          <w:rFonts w:ascii="宋体" w:hAnsi="宋体" w:eastAsia="宋体" w:cs="宋体"/>
          <w:spacing w:val="11"/>
          <w:sz w:val="20"/>
          <w:szCs w:val="20"/>
        </w:rPr>
        <w:t>环境保护等方面的费用。措施项目的项目设置、工作内容及包含范围参照《通用</w:t>
      </w:r>
      <w:r>
        <w:rPr>
          <w:rFonts w:ascii="宋体" w:hAnsi="宋体" w:eastAsia="宋体" w:cs="宋体"/>
          <w:spacing w:val="10"/>
          <w:sz w:val="20"/>
          <w:szCs w:val="20"/>
        </w:rPr>
        <w:t>安装工程工程量计算规范》</w:t>
      </w:r>
      <w:r>
        <w:rPr>
          <w:rFonts w:ascii="宋体" w:hAnsi="宋体" w:eastAsia="宋体" w:cs="宋体"/>
          <w:sz w:val="20"/>
          <w:szCs w:val="20"/>
        </w:rPr>
        <w:t>GB</w:t>
      </w:r>
      <w:r>
        <w:rPr>
          <w:rFonts w:ascii="宋体" w:hAnsi="宋体" w:eastAsia="宋体" w:cs="宋体"/>
          <w:spacing w:val="10"/>
          <w:sz w:val="20"/>
          <w:szCs w:val="20"/>
        </w:rPr>
        <w:t>50856-2013。在安装工程计价依据中，措施项目费的计取方法主要有三种：一是定</w:t>
      </w:r>
      <w:r>
        <w:rPr>
          <w:rFonts w:ascii="宋体" w:hAnsi="宋体" w:eastAsia="宋体" w:cs="宋体"/>
          <w:spacing w:val="9"/>
          <w:sz w:val="20"/>
          <w:szCs w:val="20"/>
        </w:rPr>
        <w:t>额中</w:t>
      </w:r>
      <w:r>
        <w:rPr>
          <w:rFonts w:ascii="宋体" w:hAnsi="宋体" w:eastAsia="宋体" w:cs="宋体"/>
          <w:spacing w:val="8"/>
          <w:sz w:val="20"/>
          <w:szCs w:val="20"/>
        </w:rPr>
        <w:t>列有项目的按定额计价，如组装平台铺设与拆除；二是定额总说明、册说明中列有计取系数的</w:t>
      </w:r>
      <w:r>
        <w:rPr>
          <w:rFonts w:ascii="宋体" w:hAnsi="宋体" w:eastAsia="宋体" w:cs="宋体"/>
          <w:spacing w:val="7"/>
          <w:sz w:val="20"/>
          <w:szCs w:val="20"/>
        </w:rPr>
        <w:t>项目，</w:t>
      </w:r>
      <w:r>
        <w:rPr>
          <w:rFonts w:ascii="宋体" w:hAnsi="宋体" w:eastAsia="宋体" w:cs="宋体"/>
          <w:spacing w:val="11"/>
          <w:sz w:val="20"/>
          <w:szCs w:val="20"/>
        </w:rPr>
        <w:t>按系数计取，如安装与生产（使用）同时进行施工增加费、在有害身体健康环境</w:t>
      </w:r>
      <w:r>
        <w:rPr>
          <w:rFonts w:ascii="宋体" w:hAnsi="宋体" w:eastAsia="宋体" w:cs="宋体"/>
          <w:spacing w:val="10"/>
          <w:sz w:val="20"/>
          <w:szCs w:val="20"/>
        </w:rPr>
        <w:t>中施工增加费、脚手架搭拆费、地下室（</w:t>
      </w:r>
      <w:r>
        <w:rPr>
          <w:rFonts w:ascii="宋体" w:hAnsi="宋体" w:eastAsia="宋体" w:cs="宋体"/>
          <w:spacing w:val="-53"/>
          <w:sz w:val="20"/>
          <w:szCs w:val="20"/>
        </w:rPr>
        <w:t xml:space="preserve"> </w:t>
      </w:r>
      <w:r>
        <w:rPr>
          <w:rFonts w:ascii="宋体" w:hAnsi="宋体" w:eastAsia="宋体" w:cs="宋体"/>
          <w:spacing w:val="10"/>
          <w:sz w:val="20"/>
          <w:szCs w:val="20"/>
        </w:rPr>
        <w:t>暗室）施工增加费（工程量计算规范中为非夜间</w:t>
      </w:r>
      <w:r>
        <w:rPr>
          <w:rFonts w:ascii="宋体" w:hAnsi="宋体" w:eastAsia="宋体" w:cs="宋体"/>
          <w:spacing w:val="9"/>
          <w:sz w:val="20"/>
          <w:szCs w:val="20"/>
        </w:rPr>
        <w:t>施工增加费）、建筑物超高</w:t>
      </w:r>
      <w:r>
        <w:rPr>
          <w:rFonts w:ascii="宋体" w:hAnsi="宋体" w:eastAsia="宋体" w:cs="宋体"/>
          <w:spacing w:val="11"/>
          <w:sz w:val="20"/>
          <w:szCs w:val="20"/>
        </w:rPr>
        <w:t>增加费（工程量计算规范中为高层施工增加费</w:t>
      </w:r>
      <w:r>
        <w:rPr>
          <w:rFonts w:ascii="宋体" w:hAnsi="宋体" w:eastAsia="宋体" w:cs="宋体"/>
          <w:spacing w:val="-8"/>
          <w:sz w:val="20"/>
          <w:szCs w:val="20"/>
        </w:rPr>
        <w:t>）</w:t>
      </w:r>
      <w:r>
        <w:rPr>
          <w:rFonts w:ascii="宋体" w:hAnsi="宋体" w:eastAsia="宋体" w:cs="宋体"/>
          <w:spacing w:val="-52"/>
          <w:sz w:val="20"/>
          <w:szCs w:val="20"/>
        </w:rPr>
        <w:t xml:space="preserve"> </w:t>
      </w:r>
      <w:r>
        <w:rPr>
          <w:rFonts w:ascii="宋体" w:hAnsi="宋体" w:eastAsia="宋体" w:cs="宋体"/>
          <w:spacing w:val="-8"/>
          <w:sz w:val="20"/>
          <w:szCs w:val="20"/>
        </w:rPr>
        <w:t>；</w:t>
      </w:r>
      <w:r>
        <w:rPr>
          <w:rFonts w:ascii="宋体" w:hAnsi="宋体" w:eastAsia="宋体" w:cs="宋体"/>
          <w:spacing w:val="11"/>
          <w:sz w:val="20"/>
          <w:szCs w:val="20"/>
        </w:rPr>
        <w:t>三是在</w:t>
      </w:r>
      <w:r>
        <w:rPr>
          <w:rFonts w:ascii="宋体" w:hAnsi="宋体" w:eastAsia="宋体" w:cs="宋体"/>
          <w:spacing w:val="10"/>
          <w:sz w:val="20"/>
          <w:szCs w:val="20"/>
        </w:rPr>
        <w:t>安装工程费用项目组成及计算规则中按费率计取的项目，如夜间施工费、二次搬运费、冬雨季施工</w:t>
      </w:r>
      <w:r>
        <w:rPr>
          <w:rFonts w:ascii="宋体" w:hAnsi="宋体" w:eastAsia="宋体" w:cs="宋体"/>
          <w:spacing w:val="9"/>
          <w:sz w:val="20"/>
          <w:szCs w:val="20"/>
        </w:rPr>
        <w:t>增加费、已完工程及设备保护费。</w:t>
      </w:r>
    </w:p>
    <w:p>
      <w:pPr>
        <w:spacing w:before="38" w:line="278"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1）安装与生产（使用）同时进行施工增加费</w:t>
      </w:r>
    </w:p>
    <w:p>
      <w:pPr>
        <w:spacing w:before="123" w:line="368" w:lineRule="auto"/>
        <w:ind w:left="3" w:right="83" w:firstLine="417"/>
        <w:rPr>
          <w:rFonts w:ascii="宋体" w:hAnsi="宋体" w:eastAsia="宋体" w:cs="宋体"/>
          <w:sz w:val="20"/>
          <w:szCs w:val="20"/>
        </w:rPr>
      </w:pPr>
      <w:r>
        <w:rPr>
          <w:rFonts w:ascii="宋体" w:hAnsi="宋体" w:eastAsia="宋体" w:cs="宋体"/>
          <w:spacing w:val="11"/>
          <w:sz w:val="20"/>
          <w:szCs w:val="20"/>
        </w:rPr>
        <w:t>是指扩建工程在生产车间内或装置一定范围内施工，因生产操作或生产条件限</w:t>
      </w:r>
      <w:r>
        <w:rPr>
          <w:rFonts w:ascii="宋体" w:hAnsi="宋体" w:eastAsia="宋体" w:cs="宋体"/>
          <w:spacing w:val="10"/>
          <w:sz w:val="20"/>
          <w:szCs w:val="20"/>
        </w:rPr>
        <w:t>制（如不准动火</w:t>
      </w:r>
      <w:r>
        <w:rPr>
          <w:rFonts w:ascii="宋体" w:hAnsi="宋体" w:eastAsia="宋体" w:cs="宋体"/>
          <w:spacing w:val="11"/>
          <w:sz w:val="20"/>
          <w:szCs w:val="20"/>
        </w:rPr>
        <w:t>等）干扰了安装工作正常进行而增加的费用，包括火灾防护、噪声防护</w:t>
      </w:r>
      <w:r>
        <w:rPr>
          <w:rFonts w:ascii="宋体" w:hAnsi="宋体" w:eastAsia="宋体" w:cs="宋体"/>
          <w:spacing w:val="10"/>
          <w:sz w:val="20"/>
          <w:szCs w:val="20"/>
        </w:rPr>
        <w:t>及降效费用。按定额人工费</w:t>
      </w:r>
      <w:r>
        <w:rPr>
          <w:rFonts w:ascii="宋体" w:hAnsi="宋体" w:eastAsia="宋体" w:cs="宋体"/>
          <w:spacing w:val="16"/>
          <w:sz w:val="20"/>
          <w:szCs w:val="20"/>
        </w:rPr>
        <w:t>的</w:t>
      </w:r>
      <w:r>
        <w:rPr>
          <w:rFonts w:ascii="宋体" w:hAnsi="宋体" w:eastAsia="宋体" w:cs="宋体"/>
          <w:spacing w:val="-22"/>
          <w:sz w:val="20"/>
          <w:szCs w:val="20"/>
        </w:rPr>
        <w:t xml:space="preserve"> </w:t>
      </w:r>
      <w:r>
        <w:rPr>
          <w:rFonts w:ascii="宋体" w:hAnsi="宋体" w:eastAsia="宋体" w:cs="宋体"/>
          <w:spacing w:val="16"/>
          <w:sz w:val="20"/>
          <w:szCs w:val="20"/>
        </w:rPr>
        <w:t>10%计算，其费用中人工费占70%。</w:t>
      </w:r>
    </w:p>
    <w:p>
      <w:pPr>
        <w:spacing w:before="4" w:line="277" w:lineRule="exact"/>
        <w:ind w:left="413"/>
        <w:rPr>
          <w:rFonts w:ascii="宋体" w:hAnsi="宋体" w:eastAsia="宋体" w:cs="宋体"/>
          <w:sz w:val="20"/>
          <w:szCs w:val="20"/>
        </w:rPr>
      </w:pPr>
      <w:r>
        <w:rPr>
          <w:rFonts w:ascii="宋体" w:hAnsi="宋体" w:eastAsia="宋体" w:cs="宋体"/>
          <w:spacing w:val="9"/>
          <w:position w:val="1"/>
          <w:sz w:val="20"/>
          <w:szCs w:val="20"/>
        </w:rPr>
        <w:t>（2）在有害身体健康环境中施工增加费</w:t>
      </w:r>
    </w:p>
    <w:p>
      <w:pPr>
        <w:spacing w:before="122" w:line="369" w:lineRule="auto"/>
        <w:ind w:left="2" w:right="83" w:firstLine="419"/>
        <w:rPr>
          <w:rFonts w:ascii="宋体" w:hAnsi="宋体" w:eastAsia="宋体" w:cs="宋体"/>
          <w:sz w:val="20"/>
          <w:szCs w:val="20"/>
        </w:rPr>
      </w:pPr>
      <w:r>
        <w:rPr>
          <w:rFonts w:ascii="宋体" w:hAnsi="宋体" w:eastAsia="宋体" w:cs="宋体"/>
          <w:spacing w:val="11"/>
          <w:sz w:val="20"/>
          <w:szCs w:val="20"/>
        </w:rPr>
        <w:t>是指扩建工程由于车间、装置一定范围内有害物质超过国家标准以至影响身体</w:t>
      </w:r>
      <w:r>
        <w:rPr>
          <w:rFonts w:ascii="宋体" w:hAnsi="宋体" w:eastAsia="宋体" w:cs="宋体"/>
          <w:spacing w:val="10"/>
          <w:sz w:val="20"/>
          <w:szCs w:val="20"/>
        </w:rPr>
        <w:t>健康而增加的费</w:t>
      </w:r>
      <w:r>
        <w:rPr>
          <w:rFonts w:ascii="宋体" w:hAnsi="宋体" w:eastAsia="宋体" w:cs="宋体"/>
          <w:spacing w:val="11"/>
          <w:sz w:val="20"/>
          <w:szCs w:val="20"/>
        </w:rPr>
        <w:t>用，包括有害化合物防护、粉尘防护、有害气体防护、高浓度氧气防护及降</w:t>
      </w:r>
      <w:r>
        <w:rPr>
          <w:rFonts w:ascii="宋体" w:hAnsi="宋体" w:eastAsia="宋体" w:cs="宋体"/>
          <w:spacing w:val="10"/>
          <w:sz w:val="20"/>
          <w:szCs w:val="20"/>
        </w:rPr>
        <w:t>效费用。按定额人工费</w:t>
      </w:r>
      <w:r>
        <w:rPr>
          <w:rFonts w:ascii="宋体" w:hAnsi="宋体" w:eastAsia="宋体" w:cs="宋体"/>
          <w:spacing w:val="16"/>
          <w:sz w:val="20"/>
          <w:szCs w:val="20"/>
        </w:rPr>
        <w:t>的</w:t>
      </w:r>
      <w:r>
        <w:rPr>
          <w:rFonts w:ascii="宋体" w:hAnsi="宋体" w:eastAsia="宋体" w:cs="宋体"/>
          <w:spacing w:val="-20"/>
          <w:sz w:val="20"/>
          <w:szCs w:val="20"/>
        </w:rPr>
        <w:t xml:space="preserve"> </w:t>
      </w:r>
      <w:r>
        <w:rPr>
          <w:rFonts w:ascii="宋体" w:hAnsi="宋体" w:eastAsia="宋体" w:cs="宋体"/>
          <w:spacing w:val="16"/>
          <w:sz w:val="20"/>
          <w:szCs w:val="20"/>
        </w:rPr>
        <w:t>10%计算，其费用中人工费占70%。</w:t>
      </w:r>
    </w:p>
    <w:p>
      <w:pPr>
        <w:spacing w:line="278" w:lineRule="exact"/>
        <w:ind w:left="413"/>
        <w:rPr>
          <w:rFonts w:ascii="宋体" w:hAnsi="宋体" w:eastAsia="宋体" w:cs="宋体"/>
          <w:sz w:val="20"/>
          <w:szCs w:val="20"/>
        </w:rPr>
      </w:pPr>
      <w:r>
        <w:rPr>
          <w:rFonts w:ascii="宋体" w:hAnsi="宋体" w:eastAsia="宋体" w:cs="宋体"/>
          <w:spacing w:val="9"/>
          <w:position w:val="1"/>
          <w:sz w:val="20"/>
          <w:szCs w:val="20"/>
        </w:rPr>
        <w:t>（3）地下室（暗室）施工增加费</w:t>
      </w:r>
    </w:p>
    <w:p>
      <w:pPr>
        <w:spacing w:before="122" w:line="369" w:lineRule="auto"/>
        <w:ind w:left="18" w:right="83" w:firstLine="402"/>
        <w:rPr>
          <w:rFonts w:ascii="宋体" w:hAnsi="宋体" w:eastAsia="宋体" w:cs="宋体"/>
          <w:sz w:val="20"/>
          <w:szCs w:val="20"/>
        </w:rPr>
      </w:pPr>
      <w:r>
        <w:rPr>
          <w:rFonts w:ascii="宋体" w:hAnsi="宋体" w:eastAsia="宋体" w:cs="宋体"/>
          <w:spacing w:val="11"/>
          <w:sz w:val="20"/>
          <w:szCs w:val="20"/>
        </w:rPr>
        <w:t>是指在地下室（包括地下车库、半地下室）、暗室施工时所采用的照明设备的</w:t>
      </w:r>
      <w:r>
        <w:rPr>
          <w:rFonts w:ascii="宋体" w:hAnsi="宋体" w:eastAsia="宋体" w:cs="宋体"/>
          <w:spacing w:val="10"/>
          <w:sz w:val="20"/>
          <w:szCs w:val="20"/>
        </w:rPr>
        <w:t>安拆、维护、照</w:t>
      </w:r>
      <w:r>
        <w:rPr>
          <w:rFonts w:ascii="宋体" w:hAnsi="宋体" w:eastAsia="宋体" w:cs="宋体"/>
          <w:spacing w:val="12"/>
          <w:sz w:val="20"/>
          <w:szCs w:val="20"/>
        </w:rPr>
        <w:t>明用电及通风等措施费，以及施工降效费用。按定额人工费的</w:t>
      </w:r>
      <w:r>
        <w:rPr>
          <w:rFonts w:ascii="宋体" w:hAnsi="宋体" w:eastAsia="宋体" w:cs="宋体"/>
          <w:spacing w:val="-13"/>
          <w:sz w:val="20"/>
          <w:szCs w:val="20"/>
        </w:rPr>
        <w:t xml:space="preserve"> </w:t>
      </w:r>
      <w:r>
        <w:rPr>
          <w:rFonts w:ascii="宋体" w:hAnsi="宋体" w:eastAsia="宋体" w:cs="宋体"/>
          <w:spacing w:val="12"/>
          <w:sz w:val="20"/>
          <w:szCs w:val="20"/>
        </w:rPr>
        <w:t>15%计算，其费用中人工费占70%。</w:t>
      </w:r>
    </w:p>
    <w:p>
      <w:pPr>
        <w:spacing w:line="277" w:lineRule="exact"/>
        <w:ind w:left="413"/>
        <w:rPr>
          <w:rFonts w:ascii="宋体" w:hAnsi="宋体" w:eastAsia="宋体" w:cs="宋体"/>
          <w:sz w:val="20"/>
          <w:szCs w:val="20"/>
        </w:rPr>
      </w:pPr>
      <w:r>
        <w:rPr>
          <w:rFonts w:ascii="宋体" w:hAnsi="宋体" w:eastAsia="宋体" w:cs="宋体"/>
          <w:spacing w:val="9"/>
          <w:position w:val="1"/>
          <w:sz w:val="20"/>
          <w:szCs w:val="20"/>
        </w:rPr>
        <w:t>（4）脚手架搭拆费</w:t>
      </w:r>
    </w:p>
    <w:p>
      <w:pPr>
        <w:spacing w:before="122" w:line="364" w:lineRule="auto"/>
        <w:ind w:right="83" w:firstLine="420"/>
        <w:rPr>
          <w:rFonts w:ascii="宋体" w:hAnsi="宋体" w:eastAsia="宋体" w:cs="宋体"/>
          <w:sz w:val="20"/>
          <w:szCs w:val="20"/>
        </w:rPr>
      </w:pPr>
      <w:r>
        <w:rPr>
          <w:rFonts w:ascii="宋体" w:hAnsi="宋体" w:eastAsia="宋体" w:cs="宋体"/>
          <w:spacing w:val="11"/>
          <w:sz w:val="20"/>
          <w:szCs w:val="20"/>
        </w:rPr>
        <w:t>脚手架搭拆包括材料搬运，搭、拆脚手架、拆除脚手架后材料的堆放。分别在各</w:t>
      </w:r>
      <w:r>
        <w:rPr>
          <w:rFonts w:ascii="宋体" w:hAnsi="宋体" w:eastAsia="宋体" w:cs="宋体"/>
          <w:spacing w:val="10"/>
          <w:sz w:val="20"/>
          <w:szCs w:val="20"/>
        </w:rPr>
        <w:t>册册说明中规</w:t>
      </w:r>
      <w:r>
        <w:rPr>
          <w:rFonts w:ascii="宋体" w:hAnsi="宋体" w:eastAsia="宋体" w:cs="宋体"/>
          <w:spacing w:val="12"/>
          <w:sz w:val="20"/>
          <w:szCs w:val="20"/>
        </w:rPr>
        <w:t>定了脚手架搭拆费的计取系数，以人工费为计</w:t>
      </w:r>
      <w:r>
        <w:rPr>
          <w:rFonts w:ascii="宋体" w:hAnsi="宋体" w:eastAsia="宋体" w:cs="宋体"/>
          <w:spacing w:val="11"/>
          <w:sz w:val="20"/>
          <w:szCs w:val="20"/>
        </w:rPr>
        <w:t>取基数，其费用中人工费占</w:t>
      </w:r>
      <w:r>
        <w:rPr>
          <w:rFonts w:ascii="宋体" w:hAnsi="宋体" w:eastAsia="宋体" w:cs="宋体"/>
          <w:spacing w:val="-38"/>
          <w:sz w:val="20"/>
          <w:szCs w:val="20"/>
        </w:rPr>
        <w:t xml:space="preserve"> </w:t>
      </w:r>
      <w:r>
        <w:rPr>
          <w:rFonts w:ascii="宋体" w:hAnsi="宋体" w:eastAsia="宋体" w:cs="宋体"/>
          <w:spacing w:val="11"/>
          <w:sz w:val="20"/>
          <w:szCs w:val="20"/>
        </w:rPr>
        <w:t>35%。除说明中规定不应计取脚手架搭拆费的项目外，均应作为计取基数。脚手架搭拆系数考虑安装专业</w:t>
      </w:r>
      <w:r>
        <w:rPr>
          <w:rFonts w:ascii="宋体" w:hAnsi="宋体" w:eastAsia="宋体" w:cs="宋体"/>
          <w:spacing w:val="10"/>
          <w:sz w:val="20"/>
          <w:szCs w:val="20"/>
        </w:rPr>
        <w:t>自设脚手架，如部</w:t>
      </w:r>
      <w:r>
        <w:rPr>
          <w:rFonts w:ascii="宋体" w:hAnsi="宋体" w:eastAsia="宋体" w:cs="宋体"/>
          <w:spacing w:val="9"/>
          <w:sz w:val="20"/>
          <w:szCs w:val="20"/>
        </w:rPr>
        <w:t>分使用土建专业脚手架按无偿使用考虑。</w:t>
      </w:r>
    </w:p>
    <w:p>
      <w:pPr>
        <w:spacing w:before="26" w:line="277" w:lineRule="exact"/>
        <w:ind w:left="413"/>
        <w:rPr>
          <w:rFonts w:ascii="宋体" w:hAnsi="宋体" w:eastAsia="宋体" w:cs="宋体"/>
          <w:sz w:val="20"/>
          <w:szCs w:val="20"/>
        </w:rPr>
      </w:pPr>
      <w:r>
        <w:rPr>
          <w:rFonts w:ascii="宋体" w:hAnsi="宋体" w:eastAsia="宋体" w:cs="宋体"/>
          <w:spacing w:val="9"/>
          <w:position w:val="1"/>
          <w:sz w:val="20"/>
          <w:szCs w:val="20"/>
        </w:rPr>
        <w:t>（5）建筑物超高增加费</w:t>
      </w:r>
    </w:p>
    <w:p>
      <w:pPr>
        <w:spacing w:before="120" w:line="369" w:lineRule="auto"/>
        <w:ind w:left="1" w:right="80" w:firstLine="420"/>
        <w:rPr>
          <w:rFonts w:ascii="宋体" w:hAnsi="宋体" w:eastAsia="宋体" w:cs="宋体"/>
          <w:sz w:val="20"/>
          <w:szCs w:val="20"/>
        </w:rPr>
      </w:pPr>
      <w:r>
        <w:rPr>
          <w:rFonts w:ascii="宋体" w:hAnsi="宋体" w:eastAsia="宋体" w:cs="宋体"/>
          <w:spacing w:val="10"/>
          <w:sz w:val="20"/>
          <w:szCs w:val="20"/>
        </w:rPr>
        <w:t>建筑物超高增加费是指在建筑物层数大于</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44"/>
          <w:sz w:val="20"/>
          <w:szCs w:val="20"/>
        </w:rPr>
        <w:t xml:space="preserve"> </w:t>
      </w:r>
      <w:r>
        <w:rPr>
          <w:rFonts w:ascii="宋体" w:hAnsi="宋体" w:eastAsia="宋体" w:cs="宋体"/>
          <w:spacing w:val="10"/>
          <w:sz w:val="20"/>
          <w:szCs w:val="20"/>
        </w:rPr>
        <w:t>层</w:t>
      </w:r>
      <w:r>
        <w:rPr>
          <w:rFonts w:ascii="宋体" w:hAnsi="宋体" w:eastAsia="宋体" w:cs="宋体"/>
          <w:spacing w:val="9"/>
          <w:sz w:val="20"/>
          <w:szCs w:val="20"/>
        </w:rPr>
        <w:t>或建筑物高度大于</w:t>
      </w:r>
      <w:r>
        <w:rPr>
          <w:rFonts w:ascii="宋体" w:hAnsi="宋体" w:eastAsia="宋体" w:cs="宋体"/>
          <w:spacing w:val="-42"/>
          <w:sz w:val="20"/>
          <w:szCs w:val="20"/>
        </w:rPr>
        <w:t xml:space="preserve"> </w:t>
      </w:r>
      <w:r>
        <w:rPr>
          <w:rFonts w:ascii="宋体" w:hAnsi="宋体" w:eastAsia="宋体" w:cs="宋体"/>
          <w:spacing w:val="9"/>
          <w:sz w:val="20"/>
          <w:szCs w:val="20"/>
        </w:rPr>
        <w:t>20m</w:t>
      </w:r>
      <w:r>
        <w:rPr>
          <w:rFonts w:ascii="宋体" w:hAnsi="宋体" w:eastAsia="宋体" w:cs="宋体"/>
          <w:spacing w:val="-25"/>
          <w:sz w:val="20"/>
          <w:szCs w:val="20"/>
        </w:rPr>
        <w:t xml:space="preserve"> </w:t>
      </w:r>
      <w:r>
        <w:rPr>
          <w:rFonts w:ascii="宋体" w:hAnsi="宋体" w:eastAsia="宋体" w:cs="宋体"/>
          <w:spacing w:val="9"/>
          <w:sz w:val="20"/>
          <w:szCs w:val="20"/>
        </w:rPr>
        <w:t>以上的工业与民用建筑上</w:t>
      </w:r>
      <w:r>
        <w:rPr>
          <w:rFonts w:ascii="宋体" w:hAnsi="宋体" w:eastAsia="宋体" w:cs="宋体"/>
          <w:spacing w:val="11"/>
          <w:sz w:val="20"/>
          <w:szCs w:val="20"/>
        </w:rPr>
        <w:t>进行安装时，因建筑物超高增加的费用，内容包括高层施工引起的人工、机械</w:t>
      </w:r>
      <w:r>
        <w:rPr>
          <w:rFonts w:ascii="宋体" w:hAnsi="宋体" w:eastAsia="宋体" w:cs="宋体"/>
          <w:spacing w:val="10"/>
          <w:sz w:val="20"/>
          <w:szCs w:val="20"/>
        </w:rPr>
        <w:t>降效，材料、工器具</w:t>
      </w:r>
    </w:p>
    <w:p>
      <w:pPr>
        <w:spacing w:line="369" w:lineRule="auto"/>
        <w:rPr>
          <w:rFonts w:ascii="宋体" w:hAnsi="宋体" w:eastAsia="宋体" w:cs="宋体"/>
          <w:sz w:val="20"/>
          <w:szCs w:val="20"/>
        </w:rPr>
        <w:sectPr>
          <w:footerReference r:id="rId152" w:type="default"/>
          <w:pgSz w:w="11906" w:h="16839"/>
          <w:pgMar w:top="400" w:right="1337" w:bottom="1212" w:left="1418"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04" w:lineRule="auto"/>
        <w:ind w:left="114" w:right="36"/>
        <w:rPr>
          <w:rFonts w:ascii="宋体" w:hAnsi="宋体" w:eastAsia="宋体" w:cs="宋体"/>
          <w:sz w:val="20"/>
          <w:szCs w:val="20"/>
        </w:rPr>
      </w:pPr>
      <w:r>
        <w:rPr>
          <w:rFonts w:ascii="宋体" w:hAnsi="宋体" w:eastAsia="宋体" w:cs="宋体"/>
          <w:spacing w:val="11"/>
          <w:sz w:val="20"/>
          <w:szCs w:val="20"/>
        </w:rPr>
        <w:t>垂直运输增加的机械费用，操作工人所乘坐的升降设备以及通信联络设备的费用</w:t>
      </w:r>
      <w:r>
        <w:rPr>
          <w:rFonts w:ascii="宋体" w:hAnsi="宋体" w:eastAsia="宋体" w:cs="宋体"/>
          <w:spacing w:val="10"/>
          <w:sz w:val="20"/>
          <w:szCs w:val="20"/>
        </w:rPr>
        <w:t>。该费用的计算按</w:t>
      </w:r>
      <w:r>
        <w:rPr>
          <w:rFonts w:ascii="宋体" w:hAnsi="宋体" w:eastAsia="宋体" w:cs="宋体"/>
          <w:spacing w:val="8"/>
          <w:sz w:val="20"/>
          <w:szCs w:val="20"/>
        </w:rPr>
        <w:t>包括六层或</w:t>
      </w:r>
      <w:r>
        <w:rPr>
          <w:rFonts w:ascii="宋体" w:hAnsi="宋体" w:eastAsia="宋体" w:cs="宋体"/>
          <w:spacing w:val="-40"/>
          <w:sz w:val="20"/>
          <w:szCs w:val="20"/>
        </w:rPr>
        <w:t xml:space="preserve"> </w:t>
      </w:r>
      <w:r>
        <w:rPr>
          <w:rFonts w:ascii="宋体" w:hAnsi="宋体" w:eastAsia="宋体" w:cs="宋体"/>
          <w:spacing w:val="8"/>
          <w:sz w:val="20"/>
          <w:szCs w:val="20"/>
        </w:rPr>
        <w:t>20m</w:t>
      </w:r>
      <w:r>
        <w:rPr>
          <w:rFonts w:ascii="宋体" w:hAnsi="宋体" w:eastAsia="宋体" w:cs="宋体"/>
          <w:spacing w:val="-25"/>
          <w:sz w:val="20"/>
          <w:szCs w:val="20"/>
        </w:rPr>
        <w:t xml:space="preserve"> </w:t>
      </w:r>
      <w:r>
        <w:rPr>
          <w:rFonts w:ascii="宋体" w:hAnsi="宋体" w:eastAsia="宋体" w:cs="宋体"/>
          <w:spacing w:val="8"/>
          <w:sz w:val="20"/>
          <w:szCs w:val="20"/>
        </w:rPr>
        <w:t>以下全部工程（含其刷油保温）人工费</w:t>
      </w:r>
      <w:r>
        <w:rPr>
          <w:rFonts w:ascii="宋体" w:hAnsi="宋体" w:eastAsia="宋体" w:cs="宋体"/>
          <w:spacing w:val="7"/>
          <w:sz w:val="20"/>
          <w:szCs w:val="20"/>
        </w:rPr>
        <w:t>乘以下表系数计取，其费用中人工费占</w:t>
      </w:r>
      <w:r>
        <w:rPr>
          <w:rFonts w:ascii="宋体" w:hAnsi="宋体" w:eastAsia="宋体" w:cs="宋体"/>
          <w:spacing w:val="-38"/>
          <w:sz w:val="20"/>
          <w:szCs w:val="20"/>
        </w:rPr>
        <w:t xml:space="preserve"> </w:t>
      </w:r>
      <w:r>
        <w:rPr>
          <w:rFonts w:ascii="宋体" w:hAnsi="宋体" w:eastAsia="宋体" w:cs="宋体"/>
          <w:spacing w:val="7"/>
          <w:sz w:val="20"/>
          <w:szCs w:val="20"/>
        </w:rPr>
        <w:t>65%。</w:t>
      </w:r>
    </w:p>
    <w:tbl>
      <w:tblPr>
        <w:tblStyle w:val="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4"/>
        <w:gridCol w:w="720"/>
        <w:gridCol w:w="716"/>
        <w:gridCol w:w="716"/>
        <w:gridCol w:w="738"/>
        <w:gridCol w:w="739"/>
        <w:gridCol w:w="738"/>
        <w:gridCol w:w="739"/>
        <w:gridCol w:w="866"/>
        <w:gridCol w:w="8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trPr>
        <w:tc>
          <w:tcPr>
            <w:tcW w:w="2494" w:type="dxa"/>
            <w:vAlign w:val="top"/>
          </w:tcPr>
          <w:p>
            <w:pPr>
              <w:spacing w:before="144" w:line="234" w:lineRule="auto"/>
              <w:ind w:left="439"/>
              <w:rPr>
                <w:rFonts w:ascii="宋体" w:hAnsi="宋体" w:eastAsia="宋体" w:cs="宋体"/>
                <w:sz w:val="20"/>
                <w:szCs w:val="20"/>
              </w:rPr>
            </w:pPr>
            <w:r>
              <w:rPr>
                <w:rFonts w:ascii="宋体" w:hAnsi="宋体" w:eastAsia="宋体" w:cs="宋体"/>
                <w:spacing w:val="14"/>
                <w:sz w:val="20"/>
                <w:szCs w:val="20"/>
              </w:rPr>
              <w:t>建筑物高度（m）</w:t>
            </w:r>
          </w:p>
        </w:tc>
        <w:tc>
          <w:tcPr>
            <w:tcW w:w="720" w:type="dxa"/>
            <w:vAlign w:val="top"/>
          </w:tcPr>
          <w:p>
            <w:pPr>
              <w:spacing w:before="144" w:line="234" w:lineRule="auto"/>
              <w:ind w:left="137"/>
              <w:rPr>
                <w:rFonts w:ascii="宋体" w:hAnsi="宋体" w:eastAsia="宋体" w:cs="宋体"/>
                <w:sz w:val="20"/>
                <w:szCs w:val="20"/>
              </w:rPr>
            </w:pPr>
            <w:r>
              <w:rPr>
                <w:rFonts w:ascii="宋体" w:hAnsi="宋体" w:eastAsia="宋体" w:cs="宋体"/>
                <w:spacing w:val="-6"/>
                <w:sz w:val="20"/>
                <w:szCs w:val="20"/>
              </w:rPr>
              <w:t>≤40</w:t>
            </w:r>
          </w:p>
        </w:tc>
        <w:tc>
          <w:tcPr>
            <w:tcW w:w="716" w:type="dxa"/>
            <w:vAlign w:val="top"/>
          </w:tcPr>
          <w:p>
            <w:pPr>
              <w:spacing w:before="144" w:line="234" w:lineRule="auto"/>
              <w:ind w:left="137"/>
              <w:rPr>
                <w:rFonts w:ascii="宋体" w:hAnsi="宋体" w:eastAsia="宋体" w:cs="宋体"/>
                <w:sz w:val="20"/>
                <w:szCs w:val="20"/>
              </w:rPr>
            </w:pPr>
            <w:r>
              <w:rPr>
                <w:rFonts w:ascii="宋体" w:hAnsi="宋体" w:eastAsia="宋体" w:cs="宋体"/>
                <w:spacing w:val="-6"/>
                <w:sz w:val="20"/>
                <w:szCs w:val="20"/>
              </w:rPr>
              <w:t>≤60</w:t>
            </w:r>
          </w:p>
        </w:tc>
        <w:tc>
          <w:tcPr>
            <w:tcW w:w="716" w:type="dxa"/>
            <w:vAlign w:val="top"/>
          </w:tcPr>
          <w:p>
            <w:pPr>
              <w:spacing w:before="144" w:line="234" w:lineRule="auto"/>
              <w:ind w:left="139"/>
              <w:rPr>
                <w:rFonts w:ascii="宋体" w:hAnsi="宋体" w:eastAsia="宋体" w:cs="宋体"/>
                <w:sz w:val="20"/>
                <w:szCs w:val="20"/>
              </w:rPr>
            </w:pPr>
            <w:r>
              <w:rPr>
                <w:rFonts w:ascii="宋体" w:hAnsi="宋体" w:eastAsia="宋体" w:cs="宋体"/>
                <w:spacing w:val="-6"/>
                <w:sz w:val="20"/>
                <w:szCs w:val="20"/>
              </w:rPr>
              <w:t>≤80</w:t>
            </w:r>
          </w:p>
        </w:tc>
        <w:tc>
          <w:tcPr>
            <w:tcW w:w="738" w:type="dxa"/>
            <w:vAlign w:val="top"/>
          </w:tcPr>
          <w:p>
            <w:pPr>
              <w:spacing w:before="144" w:line="234" w:lineRule="auto"/>
              <w:ind w:left="138"/>
              <w:rPr>
                <w:rFonts w:ascii="宋体" w:hAnsi="宋体" w:eastAsia="宋体" w:cs="宋体"/>
                <w:sz w:val="20"/>
                <w:szCs w:val="20"/>
              </w:rPr>
            </w:pPr>
            <w:r>
              <w:rPr>
                <w:rFonts w:ascii="宋体" w:hAnsi="宋体" w:eastAsia="宋体" w:cs="宋体"/>
                <w:spacing w:val="-4"/>
                <w:sz w:val="20"/>
                <w:szCs w:val="20"/>
              </w:rPr>
              <w:t>≤100</w:t>
            </w:r>
          </w:p>
        </w:tc>
        <w:tc>
          <w:tcPr>
            <w:tcW w:w="739" w:type="dxa"/>
            <w:vAlign w:val="top"/>
          </w:tcPr>
          <w:p>
            <w:pPr>
              <w:spacing w:before="144" w:line="234" w:lineRule="auto"/>
              <w:ind w:left="139"/>
              <w:rPr>
                <w:rFonts w:ascii="宋体" w:hAnsi="宋体" w:eastAsia="宋体" w:cs="宋体"/>
                <w:sz w:val="20"/>
                <w:szCs w:val="20"/>
              </w:rPr>
            </w:pPr>
            <w:r>
              <w:rPr>
                <w:rFonts w:ascii="宋体" w:hAnsi="宋体" w:eastAsia="宋体" w:cs="宋体"/>
                <w:spacing w:val="-4"/>
                <w:sz w:val="20"/>
                <w:szCs w:val="20"/>
              </w:rPr>
              <w:t>≤120</w:t>
            </w:r>
          </w:p>
        </w:tc>
        <w:tc>
          <w:tcPr>
            <w:tcW w:w="738" w:type="dxa"/>
            <w:vAlign w:val="top"/>
          </w:tcPr>
          <w:p>
            <w:pPr>
              <w:spacing w:before="144" w:line="234" w:lineRule="auto"/>
              <w:ind w:left="139"/>
              <w:rPr>
                <w:rFonts w:ascii="宋体" w:hAnsi="宋体" w:eastAsia="宋体" w:cs="宋体"/>
                <w:sz w:val="20"/>
                <w:szCs w:val="20"/>
              </w:rPr>
            </w:pPr>
            <w:r>
              <w:rPr>
                <w:rFonts w:ascii="宋体" w:hAnsi="宋体" w:eastAsia="宋体" w:cs="宋体"/>
                <w:spacing w:val="-4"/>
                <w:sz w:val="20"/>
                <w:szCs w:val="20"/>
              </w:rPr>
              <w:t>≤140</w:t>
            </w:r>
          </w:p>
        </w:tc>
        <w:tc>
          <w:tcPr>
            <w:tcW w:w="739" w:type="dxa"/>
            <w:vAlign w:val="top"/>
          </w:tcPr>
          <w:p>
            <w:pPr>
              <w:spacing w:before="144" w:line="234" w:lineRule="auto"/>
              <w:ind w:left="140"/>
              <w:rPr>
                <w:rFonts w:ascii="宋体" w:hAnsi="宋体" w:eastAsia="宋体" w:cs="宋体"/>
                <w:sz w:val="20"/>
                <w:szCs w:val="20"/>
              </w:rPr>
            </w:pPr>
            <w:r>
              <w:rPr>
                <w:rFonts w:ascii="宋体" w:hAnsi="宋体" w:eastAsia="宋体" w:cs="宋体"/>
                <w:spacing w:val="-4"/>
                <w:sz w:val="20"/>
                <w:szCs w:val="20"/>
              </w:rPr>
              <w:t>≤160</w:t>
            </w:r>
          </w:p>
        </w:tc>
        <w:tc>
          <w:tcPr>
            <w:tcW w:w="866" w:type="dxa"/>
            <w:vAlign w:val="top"/>
          </w:tcPr>
          <w:p>
            <w:pPr>
              <w:spacing w:before="144" w:line="234" w:lineRule="auto"/>
              <w:ind w:left="141"/>
              <w:rPr>
                <w:rFonts w:ascii="宋体" w:hAnsi="宋体" w:eastAsia="宋体" w:cs="宋体"/>
                <w:sz w:val="20"/>
                <w:szCs w:val="20"/>
              </w:rPr>
            </w:pPr>
            <w:r>
              <w:rPr>
                <w:rFonts w:ascii="宋体" w:hAnsi="宋体" w:eastAsia="宋体" w:cs="宋体"/>
                <w:spacing w:val="-4"/>
                <w:sz w:val="20"/>
                <w:szCs w:val="20"/>
              </w:rPr>
              <w:t>≤180</w:t>
            </w:r>
          </w:p>
        </w:tc>
        <w:tc>
          <w:tcPr>
            <w:tcW w:w="826" w:type="dxa"/>
            <w:vAlign w:val="top"/>
          </w:tcPr>
          <w:p>
            <w:pPr>
              <w:spacing w:before="144" w:line="234" w:lineRule="auto"/>
              <w:ind w:left="141"/>
              <w:rPr>
                <w:rFonts w:ascii="宋体" w:hAnsi="宋体" w:eastAsia="宋体" w:cs="宋体"/>
                <w:sz w:val="20"/>
                <w:szCs w:val="20"/>
              </w:rPr>
            </w:pPr>
            <w:r>
              <w:rPr>
                <w:rFonts w:ascii="宋体" w:hAnsi="宋体" w:eastAsia="宋体" w:cs="宋体"/>
                <w:spacing w:val="-4"/>
                <w:sz w:val="20"/>
                <w:szCs w:val="20"/>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2494" w:type="dxa"/>
            <w:vAlign w:val="top"/>
          </w:tcPr>
          <w:p>
            <w:pPr>
              <w:spacing w:before="142" w:line="231" w:lineRule="auto"/>
              <w:ind w:left="514"/>
              <w:rPr>
                <w:rFonts w:ascii="宋体" w:hAnsi="宋体" w:eastAsia="宋体" w:cs="宋体"/>
                <w:sz w:val="20"/>
                <w:szCs w:val="20"/>
              </w:rPr>
            </w:pPr>
            <w:r>
              <w:rPr>
                <w:rFonts w:ascii="宋体" w:hAnsi="宋体" w:eastAsia="宋体" w:cs="宋体"/>
                <w:spacing w:val="9"/>
                <w:sz w:val="20"/>
                <w:szCs w:val="20"/>
              </w:rPr>
              <w:t>建筑层数（层）</w:t>
            </w:r>
          </w:p>
        </w:tc>
        <w:tc>
          <w:tcPr>
            <w:tcW w:w="720" w:type="dxa"/>
            <w:vAlign w:val="top"/>
          </w:tcPr>
          <w:p>
            <w:pPr>
              <w:spacing w:before="142" w:line="231" w:lineRule="auto"/>
              <w:ind w:left="137"/>
              <w:rPr>
                <w:rFonts w:ascii="宋体" w:hAnsi="宋体" w:eastAsia="宋体" w:cs="宋体"/>
                <w:sz w:val="20"/>
                <w:szCs w:val="20"/>
              </w:rPr>
            </w:pPr>
            <w:r>
              <w:rPr>
                <w:rFonts w:ascii="宋体" w:hAnsi="宋体" w:eastAsia="宋体" w:cs="宋体"/>
                <w:spacing w:val="-14"/>
                <w:sz w:val="20"/>
                <w:szCs w:val="20"/>
              </w:rPr>
              <w:t>≤</w:t>
            </w:r>
            <w:r>
              <w:rPr>
                <w:rFonts w:ascii="宋体" w:hAnsi="宋体" w:eastAsia="宋体" w:cs="宋体"/>
                <w:spacing w:val="-75"/>
                <w:sz w:val="20"/>
                <w:szCs w:val="20"/>
              </w:rPr>
              <w:t xml:space="preserve"> </w:t>
            </w:r>
            <w:r>
              <w:rPr>
                <w:rFonts w:ascii="宋体" w:hAnsi="宋体" w:eastAsia="宋体" w:cs="宋体"/>
                <w:spacing w:val="-14"/>
                <w:sz w:val="20"/>
                <w:szCs w:val="20"/>
              </w:rPr>
              <w:t>12</w:t>
            </w:r>
          </w:p>
        </w:tc>
        <w:tc>
          <w:tcPr>
            <w:tcW w:w="716" w:type="dxa"/>
            <w:vAlign w:val="top"/>
          </w:tcPr>
          <w:p>
            <w:pPr>
              <w:spacing w:before="142" w:line="231" w:lineRule="auto"/>
              <w:ind w:left="137"/>
              <w:rPr>
                <w:rFonts w:ascii="宋体" w:hAnsi="宋体" w:eastAsia="宋体" w:cs="宋体"/>
                <w:sz w:val="20"/>
                <w:szCs w:val="20"/>
              </w:rPr>
            </w:pPr>
            <w:r>
              <w:rPr>
                <w:rFonts w:ascii="宋体" w:hAnsi="宋体" w:eastAsia="宋体" w:cs="宋体"/>
                <w:spacing w:val="-14"/>
                <w:sz w:val="20"/>
                <w:szCs w:val="20"/>
              </w:rPr>
              <w:t>≤</w:t>
            </w:r>
            <w:r>
              <w:rPr>
                <w:rFonts w:ascii="宋体" w:hAnsi="宋体" w:eastAsia="宋体" w:cs="宋体"/>
                <w:spacing w:val="-75"/>
                <w:sz w:val="20"/>
                <w:szCs w:val="20"/>
              </w:rPr>
              <w:t xml:space="preserve"> </w:t>
            </w:r>
            <w:r>
              <w:rPr>
                <w:rFonts w:ascii="宋体" w:hAnsi="宋体" w:eastAsia="宋体" w:cs="宋体"/>
                <w:spacing w:val="-14"/>
                <w:sz w:val="20"/>
                <w:szCs w:val="20"/>
              </w:rPr>
              <w:t>18</w:t>
            </w:r>
          </w:p>
        </w:tc>
        <w:tc>
          <w:tcPr>
            <w:tcW w:w="716" w:type="dxa"/>
            <w:vAlign w:val="top"/>
          </w:tcPr>
          <w:p>
            <w:pPr>
              <w:spacing w:before="142" w:line="231" w:lineRule="auto"/>
              <w:ind w:left="139"/>
              <w:rPr>
                <w:rFonts w:ascii="宋体" w:hAnsi="宋体" w:eastAsia="宋体" w:cs="宋体"/>
                <w:sz w:val="20"/>
                <w:szCs w:val="20"/>
              </w:rPr>
            </w:pPr>
            <w:r>
              <w:rPr>
                <w:rFonts w:ascii="宋体" w:hAnsi="宋体" w:eastAsia="宋体" w:cs="宋体"/>
                <w:spacing w:val="-6"/>
                <w:sz w:val="20"/>
                <w:szCs w:val="20"/>
              </w:rPr>
              <w:t>≤24</w:t>
            </w:r>
          </w:p>
        </w:tc>
        <w:tc>
          <w:tcPr>
            <w:tcW w:w="738" w:type="dxa"/>
            <w:vAlign w:val="top"/>
          </w:tcPr>
          <w:p>
            <w:pPr>
              <w:spacing w:before="142" w:line="231" w:lineRule="auto"/>
              <w:ind w:left="138"/>
              <w:rPr>
                <w:rFonts w:ascii="宋体" w:hAnsi="宋体" w:eastAsia="宋体" w:cs="宋体"/>
                <w:sz w:val="20"/>
                <w:szCs w:val="20"/>
              </w:rPr>
            </w:pPr>
            <w:r>
              <w:rPr>
                <w:rFonts w:ascii="宋体" w:hAnsi="宋体" w:eastAsia="宋体" w:cs="宋体"/>
                <w:spacing w:val="-6"/>
                <w:sz w:val="20"/>
                <w:szCs w:val="20"/>
              </w:rPr>
              <w:t>≤30</w:t>
            </w:r>
          </w:p>
        </w:tc>
        <w:tc>
          <w:tcPr>
            <w:tcW w:w="739" w:type="dxa"/>
            <w:vAlign w:val="top"/>
          </w:tcPr>
          <w:p>
            <w:pPr>
              <w:spacing w:before="142" w:line="231" w:lineRule="auto"/>
              <w:ind w:left="139"/>
              <w:rPr>
                <w:rFonts w:ascii="宋体" w:hAnsi="宋体" w:eastAsia="宋体" w:cs="宋体"/>
                <w:sz w:val="20"/>
                <w:szCs w:val="20"/>
              </w:rPr>
            </w:pPr>
            <w:r>
              <w:rPr>
                <w:rFonts w:ascii="宋体" w:hAnsi="宋体" w:eastAsia="宋体" w:cs="宋体"/>
                <w:spacing w:val="-6"/>
                <w:sz w:val="20"/>
                <w:szCs w:val="20"/>
              </w:rPr>
              <w:t>≤36</w:t>
            </w:r>
          </w:p>
        </w:tc>
        <w:tc>
          <w:tcPr>
            <w:tcW w:w="738" w:type="dxa"/>
            <w:vAlign w:val="top"/>
          </w:tcPr>
          <w:p>
            <w:pPr>
              <w:spacing w:before="142" w:line="231" w:lineRule="auto"/>
              <w:ind w:left="139"/>
              <w:rPr>
                <w:rFonts w:ascii="宋体" w:hAnsi="宋体" w:eastAsia="宋体" w:cs="宋体"/>
                <w:sz w:val="20"/>
                <w:szCs w:val="20"/>
              </w:rPr>
            </w:pPr>
            <w:r>
              <w:rPr>
                <w:rFonts w:ascii="宋体" w:hAnsi="宋体" w:eastAsia="宋体" w:cs="宋体"/>
                <w:spacing w:val="-6"/>
                <w:sz w:val="20"/>
                <w:szCs w:val="20"/>
              </w:rPr>
              <w:t>≤42</w:t>
            </w:r>
          </w:p>
        </w:tc>
        <w:tc>
          <w:tcPr>
            <w:tcW w:w="739" w:type="dxa"/>
            <w:vAlign w:val="top"/>
          </w:tcPr>
          <w:p>
            <w:pPr>
              <w:spacing w:before="142" w:line="231" w:lineRule="auto"/>
              <w:ind w:left="140"/>
              <w:rPr>
                <w:rFonts w:ascii="宋体" w:hAnsi="宋体" w:eastAsia="宋体" w:cs="宋体"/>
                <w:sz w:val="20"/>
                <w:szCs w:val="20"/>
              </w:rPr>
            </w:pPr>
            <w:r>
              <w:rPr>
                <w:rFonts w:ascii="宋体" w:hAnsi="宋体" w:eastAsia="宋体" w:cs="宋体"/>
                <w:spacing w:val="-6"/>
                <w:sz w:val="20"/>
                <w:szCs w:val="20"/>
              </w:rPr>
              <w:t>≤48</w:t>
            </w:r>
          </w:p>
        </w:tc>
        <w:tc>
          <w:tcPr>
            <w:tcW w:w="866" w:type="dxa"/>
            <w:vAlign w:val="top"/>
          </w:tcPr>
          <w:p>
            <w:pPr>
              <w:spacing w:before="142" w:line="231" w:lineRule="auto"/>
              <w:ind w:left="141"/>
              <w:rPr>
                <w:rFonts w:ascii="宋体" w:hAnsi="宋体" w:eastAsia="宋体" w:cs="宋体"/>
                <w:sz w:val="20"/>
                <w:szCs w:val="20"/>
              </w:rPr>
            </w:pPr>
            <w:r>
              <w:rPr>
                <w:rFonts w:ascii="宋体" w:hAnsi="宋体" w:eastAsia="宋体" w:cs="宋体"/>
                <w:spacing w:val="-6"/>
                <w:sz w:val="20"/>
                <w:szCs w:val="20"/>
              </w:rPr>
              <w:t>≤54</w:t>
            </w:r>
          </w:p>
        </w:tc>
        <w:tc>
          <w:tcPr>
            <w:tcW w:w="826" w:type="dxa"/>
            <w:vAlign w:val="top"/>
          </w:tcPr>
          <w:p>
            <w:pPr>
              <w:spacing w:before="142" w:line="231" w:lineRule="auto"/>
              <w:ind w:left="141"/>
              <w:rPr>
                <w:rFonts w:ascii="宋体" w:hAnsi="宋体" w:eastAsia="宋体" w:cs="宋体"/>
                <w:sz w:val="20"/>
                <w:szCs w:val="20"/>
              </w:rPr>
            </w:pPr>
            <w:r>
              <w:rPr>
                <w:rFonts w:ascii="宋体" w:hAnsi="宋体" w:eastAsia="宋体" w:cs="宋体"/>
                <w:spacing w:val="-6"/>
                <w:sz w:val="20"/>
                <w:szCs w:val="20"/>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trPr>
        <w:tc>
          <w:tcPr>
            <w:tcW w:w="2494" w:type="dxa"/>
            <w:vAlign w:val="top"/>
          </w:tcPr>
          <w:p>
            <w:pPr>
              <w:spacing w:before="142" w:line="236" w:lineRule="auto"/>
              <w:ind w:left="110"/>
              <w:rPr>
                <w:rFonts w:ascii="宋体" w:hAnsi="宋体" w:eastAsia="宋体" w:cs="宋体"/>
                <w:sz w:val="20"/>
                <w:szCs w:val="20"/>
              </w:rPr>
            </w:pPr>
            <w:r>
              <w:rPr>
                <w:rFonts w:ascii="宋体" w:hAnsi="宋体" w:eastAsia="宋体" w:cs="宋体"/>
                <w:spacing w:val="15"/>
                <w:sz w:val="20"/>
                <w:szCs w:val="20"/>
              </w:rPr>
              <w:t>按人工费的百分比（%）</w:t>
            </w:r>
          </w:p>
        </w:tc>
        <w:tc>
          <w:tcPr>
            <w:tcW w:w="720" w:type="dxa"/>
            <w:vAlign w:val="top"/>
          </w:tcPr>
          <w:p>
            <w:pPr>
              <w:spacing w:before="142" w:line="236" w:lineRule="auto"/>
              <w:ind w:left="312"/>
              <w:rPr>
                <w:rFonts w:ascii="宋体" w:hAnsi="宋体" w:eastAsia="宋体" w:cs="宋体"/>
                <w:sz w:val="20"/>
                <w:szCs w:val="20"/>
              </w:rPr>
            </w:pPr>
            <w:r>
              <w:rPr>
                <w:rFonts w:ascii="宋体" w:hAnsi="宋体" w:eastAsia="宋体" w:cs="宋体"/>
                <w:sz w:val="20"/>
                <w:szCs w:val="20"/>
              </w:rPr>
              <w:t>6</w:t>
            </w:r>
          </w:p>
        </w:tc>
        <w:tc>
          <w:tcPr>
            <w:tcW w:w="716" w:type="dxa"/>
            <w:vAlign w:val="top"/>
          </w:tcPr>
          <w:p>
            <w:pPr>
              <w:spacing w:before="142" w:line="236" w:lineRule="auto"/>
              <w:ind w:left="273"/>
              <w:rPr>
                <w:rFonts w:ascii="宋体" w:hAnsi="宋体" w:eastAsia="宋体" w:cs="宋体"/>
                <w:sz w:val="20"/>
                <w:szCs w:val="20"/>
              </w:rPr>
            </w:pPr>
            <w:r>
              <w:rPr>
                <w:rFonts w:ascii="宋体" w:hAnsi="宋体" w:eastAsia="宋体" w:cs="宋体"/>
                <w:spacing w:val="-8"/>
                <w:sz w:val="20"/>
                <w:szCs w:val="20"/>
              </w:rPr>
              <w:t>10</w:t>
            </w:r>
          </w:p>
        </w:tc>
        <w:tc>
          <w:tcPr>
            <w:tcW w:w="716" w:type="dxa"/>
            <w:vAlign w:val="top"/>
          </w:tcPr>
          <w:p>
            <w:pPr>
              <w:spacing w:before="142" w:line="236" w:lineRule="auto"/>
              <w:ind w:left="272"/>
              <w:rPr>
                <w:rFonts w:ascii="宋体" w:hAnsi="宋体" w:eastAsia="宋体" w:cs="宋体"/>
                <w:sz w:val="20"/>
                <w:szCs w:val="20"/>
              </w:rPr>
            </w:pPr>
            <w:r>
              <w:rPr>
                <w:rFonts w:ascii="宋体" w:hAnsi="宋体" w:eastAsia="宋体" w:cs="宋体"/>
                <w:spacing w:val="-8"/>
                <w:sz w:val="20"/>
                <w:szCs w:val="20"/>
              </w:rPr>
              <w:t>14</w:t>
            </w:r>
          </w:p>
        </w:tc>
        <w:tc>
          <w:tcPr>
            <w:tcW w:w="738" w:type="dxa"/>
            <w:vAlign w:val="top"/>
          </w:tcPr>
          <w:p>
            <w:pPr>
              <w:spacing w:before="142" w:line="236" w:lineRule="auto"/>
              <w:ind w:left="266"/>
              <w:rPr>
                <w:rFonts w:ascii="宋体" w:hAnsi="宋体" w:eastAsia="宋体" w:cs="宋体"/>
                <w:sz w:val="20"/>
                <w:szCs w:val="20"/>
              </w:rPr>
            </w:pPr>
            <w:r>
              <w:rPr>
                <w:rFonts w:ascii="宋体" w:hAnsi="宋体" w:eastAsia="宋体" w:cs="宋体"/>
                <w:sz w:val="20"/>
                <w:szCs w:val="20"/>
              </w:rPr>
              <w:t>21</w:t>
            </w:r>
          </w:p>
        </w:tc>
        <w:tc>
          <w:tcPr>
            <w:tcW w:w="739" w:type="dxa"/>
            <w:vAlign w:val="top"/>
          </w:tcPr>
          <w:p>
            <w:pPr>
              <w:spacing w:before="142" w:line="236" w:lineRule="auto"/>
              <w:ind w:left="270"/>
              <w:rPr>
                <w:rFonts w:ascii="宋体" w:hAnsi="宋体" w:eastAsia="宋体" w:cs="宋体"/>
                <w:sz w:val="20"/>
                <w:szCs w:val="20"/>
              </w:rPr>
            </w:pPr>
            <w:r>
              <w:rPr>
                <w:rFonts w:ascii="宋体" w:hAnsi="宋体" w:eastAsia="宋体" w:cs="宋体"/>
                <w:spacing w:val="-2"/>
                <w:sz w:val="20"/>
                <w:szCs w:val="20"/>
              </w:rPr>
              <w:t>31</w:t>
            </w:r>
          </w:p>
        </w:tc>
        <w:tc>
          <w:tcPr>
            <w:tcW w:w="738" w:type="dxa"/>
            <w:vAlign w:val="top"/>
          </w:tcPr>
          <w:p>
            <w:pPr>
              <w:spacing w:before="142" w:line="236" w:lineRule="auto"/>
              <w:ind w:left="264"/>
              <w:rPr>
                <w:rFonts w:ascii="宋体" w:hAnsi="宋体" w:eastAsia="宋体" w:cs="宋体"/>
                <w:sz w:val="20"/>
                <w:szCs w:val="20"/>
              </w:rPr>
            </w:pPr>
            <w:r>
              <w:rPr>
                <w:rFonts w:ascii="宋体" w:hAnsi="宋体" w:eastAsia="宋体" w:cs="宋体"/>
                <w:spacing w:val="2"/>
                <w:sz w:val="20"/>
                <w:szCs w:val="20"/>
              </w:rPr>
              <w:t>40</w:t>
            </w:r>
          </w:p>
        </w:tc>
        <w:tc>
          <w:tcPr>
            <w:tcW w:w="739" w:type="dxa"/>
            <w:vAlign w:val="top"/>
          </w:tcPr>
          <w:p>
            <w:pPr>
              <w:spacing w:before="142" w:line="236" w:lineRule="auto"/>
              <w:ind w:left="265"/>
              <w:rPr>
                <w:rFonts w:ascii="宋体" w:hAnsi="宋体" w:eastAsia="宋体" w:cs="宋体"/>
                <w:sz w:val="20"/>
                <w:szCs w:val="20"/>
              </w:rPr>
            </w:pPr>
            <w:r>
              <w:rPr>
                <w:rFonts w:ascii="宋体" w:hAnsi="宋体" w:eastAsia="宋体" w:cs="宋体"/>
                <w:spacing w:val="2"/>
                <w:sz w:val="20"/>
                <w:szCs w:val="20"/>
              </w:rPr>
              <w:t>49</w:t>
            </w:r>
          </w:p>
        </w:tc>
        <w:tc>
          <w:tcPr>
            <w:tcW w:w="866" w:type="dxa"/>
            <w:vAlign w:val="top"/>
          </w:tcPr>
          <w:p>
            <w:pPr>
              <w:spacing w:before="142" w:line="236" w:lineRule="auto"/>
              <w:ind w:left="334"/>
              <w:rPr>
                <w:rFonts w:ascii="宋体" w:hAnsi="宋体" w:eastAsia="宋体" w:cs="宋体"/>
                <w:sz w:val="20"/>
                <w:szCs w:val="20"/>
              </w:rPr>
            </w:pPr>
            <w:r>
              <w:rPr>
                <w:rFonts w:ascii="宋体" w:hAnsi="宋体" w:eastAsia="宋体" w:cs="宋体"/>
                <w:sz w:val="20"/>
                <w:szCs w:val="20"/>
              </w:rPr>
              <w:t>58</w:t>
            </w:r>
          </w:p>
        </w:tc>
        <w:tc>
          <w:tcPr>
            <w:tcW w:w="826" w:type="dxa"/>
            <w:vAlign w:val="top"/>
          </w:tcPr>
          <w:p>
            <w:pPr>
              <w:spacing w:before="142" w:line="236" w:lineRule="auto"/>
              <w:ind w:left="313"/>
              <w:rPr>
                <w:rFonts w:ascii="宋体" w:hAnsi="宋体" w:eastAsia="宋体" w:cs="宋体"/>
                <w:sz w:val="20"/>
                <w:szCs w:val="20"/>
              </w:rPr>
            </w:pPr>
            <w:r>
              <w:rPr>
                <w:rFonts w:ascii="宋体" w:hAnsi="宋体" w:eastAsia="宋体" w:cs="宋体"/>
                <w:sz w:val="20"/>
                <w:szCs w:val="20"/>
              </w:rPr>
              <w:t>68</w:t>
            </w:r>
          </w:p>
        </w:tc>
      </w:tr>
    </w:tbl>
    <w:p>
      <w:pPr>
        <w:spacing w:before="139" w:line="277" w:lineRule="exact"/>
        <w:ind w:left="534"/>
        <w:rPr>
          <w:rFonts w:ascii="宋体" w:hAnsi="宋体" w:eastAsia="宋体" w:cs="宋体"/>
          <w:sz w:val="20"/>
          <w:szCs w:val="20"/>
        </w:rPr>
      </w:pPr>
      <w:r>
        <w:rPr>
          <w:rFonts w:ascii="宋体" w:hAnsi="宋体" w:eastAsia="宋体" w:cs="宋体"/>
          <w:spacing w:val="9"/>
          <w:position w:val="1"/>
          <w:sz w:val="20"/>
          <w:szCs w:val="20"/>
        </w:rPr>
        <w:t>计算建筑物超高增加费时应注意：</w:t>
      </w:r>
    </w:p>
    <w:p>
      <w:pPr>
        <w:spacing w:before="123" w:line="277" w:lineRule="exact"/>
        <w:ind w:left="554"/>
        <w:rPr>
          <w:rFonts w:ascii="宋体" w:hAnsi="宋体" w:eastAsia="宋体" w:cs="宋体"/>
          <w:sz w:val="20"/>
          <w:szCs w:val="20"/>
        </w:rPr>
      </w:pPr>
      <w:r>
        <w:rPr>
          <w:rFonts w:ascii="宋体" w:hAnsi="宋体" w:eastAsia="宋体" w:cs="宋体"/>
          <w:spacing w:val="9"/>
          <w:position w:val="1"/>
          <w:sz w:val="20"/>
          <w:szCs w:val="20"/>
        </w:rPr>
        <w:t>1）高层建筑中地下室部分不计层数和高度，也不计算建筑</w:t>
      </w:r>
      <w:r>
        <w:rPr>
          <w:rFonts w:ascii="宋体" w:hAnsi="宋体" w:eastAsia="宋体" w:cs="宋体"/>
          <w:spacing w:val="8"/>
          <w:position w:val="1"/>
          <w:sz w:val="20"/>
          <w:szCs w:val="20"/>
        </w:rPr>
        <w:t>物超高增加费。</w:t>
      </w:r>
    </w:p>
    <w:p>
      <w:pPr>
        <w:spacing w:before="123" w:line="278" w:lineRule="exact"/>
        <w:ind w:left="537"/>
        <w:rPr>
          <w:rFonts w:ascii="宋体" w:hAnsi="宋体" w:eastAsia="宋体" w:cs="宋体"/>
          <w:sz w:val="20"/>
          <w:szCs w:val="20"/>
        </w:rPr>
      </w:pPr>
      <w:r>
        <w:rPr>
          <w:rFonts w:ascii="宋体" w:hAnsi="宋体" w:eastAsia="宋体" w:cs="宋体"/>
          <w:spacing w:val="9"/>
          <w:position w:val="1"/>
          <w:sz w:val="20"/>
          <w:szCs w:val="20"/>
        </w:rPr>
        <w:t>2）屋顶单独水箱间、电梯间不计层数和高</w:t>
      </w:r>
      <w:r>
        <w:rPr>
          <w:rFonts w:ascii="宋体" w:hAnsi="宋体" w:eastAsia="宋体" w:cs="宋体"/>
          <w:spacing w:val="8"/>
          <w:position w:val="1"/>
          <w:sz w:val="20"/>
          <w:szCs w:val="20"/>
        </w:rPr>
        <w:t>度。</w:t>
      </w:r>
    </w:p>
    <w:p>
      <w:pPr>
        <w:spacing w:before="120" w:line="278" w:lineRule="exact"/>
        <w:ind w:left="540"/>
        <w:rPr>
          <w:rFonts w:ascii="宋体" w:hAnsi="宋体" w:eastAsia="宋体" w:cs="宋体"/>
          <w:sz w:val="20"/>
          <w:szCs w:val="20"/>
        </w:rPr>
      </w:pPr>
      <w:r>
        <w:rPr>
          <w:rFonts w:ascii="宋体" w:hAnsi="宋体" w:eastAsia="宋体" w:cs="宋体"/>
          <w:spacing w:val="9"/>
          <w:position w:val="1"/>
          <w:sz w:val="20"/>
          <w:szCs w:val="20"/>
        </w:rPr>
        <w:t>3）同一建筑物高度不同时，可按垂直投影以不同高度分别计算。</w:t>
      </w:r>
    </w:p>
    <w:p>
      <w:pPr>
        <w:spacing w:before="123" w:line="278" w:lineRule="exact"/>
        <w:ind w:left="534"/>
        <w:rPr>
          <w:rFonts w:ascii="宋体" w:hAnsi="宋体" w:eastAsia="宋体" w:cs="宋体"/>
          <w:sz w:val="20"/>
          <w:szCs w:val="20"/>
        </w:rPr>
      </w:pPr>
      <w:r>
        <w:rPr>
          <w:rFonts w:ascii="宋体" w:hAnsi="宋体" w:eastAsia="宋体" w:cs="宋体"/>
          <w:spacing w:val="8"/>
          <w:position w:val="1"/>
          <w:sz w:val="20"/>
          <w:szCs w:val="20"/>
        </w:rPr>
        <w:t>4）建筑物坡形顶可按平均高度计算。</w:t>
      </w:r>
    </w:p>
    <w:p>
      <w:pPr>
        <w:spacing w:before="123" w:line="278" w:lineRule="exact"/>
        <w:ind w:left="537"/>
        <w:rPr>
          <w:rFonts w:ascii="宋体" w:hAnsi="宋体" w:eastAsia="宋体" w:cs="宋体"/>
          <w:sz w:val="20"/>
          <w:szCs w:val="20"/>
        </w:rPr>
      </w:pPr>
      <w:r>
        <w:rPr>
          <w:rFonts w:ascii="宋体" w:hAnsi="宋体" w:eastAsia="宋体" w:cs="宋体"/>
          <w:spacing w:val="5"/>
          <w:position w:val="1"/>
          <w:sz w:val="20"/>
          <w:szCs w:val="20"/>
        </w:rPr>
        <w:t>5）层高不超过</w:t>
      </w:r>
      <w:r>
        <w:rPr>
          <w:rFonts w:ascii="宋体" w:hAnsi="宋体" w:eastAsia="宋体" w:cs="宋体"/>
          <w:spacing w:val="-25"/>
          <w:position w:val="1"/>
          <w:sz w:val="20"/>
          <w:szCs w:val="20"/>
        </w:rPr>
        <w:t xml:space="preserve"> </w:t>
      </w:r>
      <w:r>
        <w:rPr>
          <w:rFonts w:ascii="宋体" w:hAnsi="宋体" w:eastAsia="宋体" w:cs="宋体"/>
          <w:spacing w:val="5"/>
          <w:position w:val="1"/>
          <w:sz w:val="20"/>
          <w:szCs w:val="20"/>
        </w:rPr>
        <w:t>2.2m</w:t>
      </w:r>
      <w:r>
        <w:rPr>
          <w:rFonts w:ascii="宋体" w:hAnsi="宋体" w:eastAsia="宋体" w:cs="宋体"/>
          <w:spacing w:val="-29"/>
          <w:position w:val="1"/>
          <w:sz w:val="20"/>
          <w:szCs w:val="20"/>
        </w:rPr>
        <w:t xml:space="preserve"> </w:t>
      </w:r>
      <w:r>
        <w:rPr>
          <w:rFonts w:ascii="宋体" w:hAnsi="宋体" w:eastAsia="宋体" w:cs="宋体"/>
          <w:spacing w:val="5"/>
          <w:position w:val="1"/>
          <w:sz w:val="20"/>
          <w:szCs w:val="20"/>
        </w:rPr>
        <w:t>时，不计层数。层高超过</w:t>
      </w:r>
      <w:r>
        <w:rPr>
          <w:rFonts w:ascii="宋体" w:hAnsi="宋体" w:eastAsia="宋体" w:cs="宋体"/>
          <w:spacing w:val="-39"/>
          <w:position w:val="1"/>
          <w:sz w:val="20"/>
          <w:szCs w:val="20"/>
        </w:rPr>
        <w:t xml:space="preserve"> </w:t>
      </w:r>
      <w:r>
        <w:rPr>
          <w:rFonts w:ascii="宋体" w:hAnsi="宋体" w:eastAsia="宋体" w:cs="宋体"/>
          <w:spacing w:val="5"/>
          <w:position w:val="1"/>
          <w:sz w:val="20"/>
          <w:szCs w:val="20"/>
        </w:rPr>
        <w:t>3.3m</w:t>
      </w:r>
      <w:r>
        <w:rPr>
          <w:rFonts w:ascii="宋体" w:hAnsi="宋体" w:eastAsia="宋体" w:cs="宋体"/>
          <w:spacing w:val="-31"/>
          <w:position w:val="1"/>
          <w:sz w:val="20"/>
          <w:szCs w:val="20"/>
        </w:rPr>
        <w:t xml:space="preserve"> </w:t>
      </w:r>
      <w:r>
        <w:rPr>
          <w:rFonts w:ascii="宋体" w:hAnsi="宋体" w:eastAsia="宋体" w:cs="宋体"/>
          <w:spacing w:val="5"/>
          <w:position w:val="1"/>
          <w:sz w:val="20"/>
          <w:szCs w:val="20"/>
        </w:rPr>
        <w:t>时，可按</w:t>
      </w:r>
      <w:r>
        <w:rPr>
          <w:rFonts w:ascii="宋体" w:hAnsi="宋体" w:eastAsia="宋体" w:cs="宋体"/>
          <w:spacing w:val="-36"/>
          <w:position w:val="1"/>
          <w:sz w:val="20"/>
          <w:szCs w:val="20"/>
        </w:rPr>
        <w:t xml:space="preserve"> </w:t>
      </w:r>
      <w:r>
        <w:rPr>
          <w:rFonts w:ascii="宋体" w:hAnsi="宋体" w:eastAsia="宋体" w:cs="宋体"/>
          <w:spacing w:val="5"/>
          <w:position w:val="1"/>
          <w:sz w:val="20"/>
          <w:szCs w:val="20"/>
        </w:rPr>
        <w:t>3.3m</w:t>
      </w:r>
      <w:r>
        <w:rPr>
          <w:rFonts w:ascii="宋体" w:hAnsi="宋体" w:eastAsia="宋体" w:cs="宋体"/>
          <w:spacing w:val="-42"/>
          <w:position w:val="1"/>
          <w:sz w:val="20"/>
          <w:szCs w:val="20"/>
        </w:rPr>
        <w:t xml:space="preserve"> </w:t>
      </w:r>
      <w:r>
        <w:rPr>
          <w:rFonts w:ascii="宋体" w:hAnsi="宋体" w:eastAsia="宋体" w:cs="宋体"/>
          <w:spacing w:val="5"/>
          <w:position w:val="1"/>
          <w:sz w:val="20"/>
          <w:szCs w:val="20"/>
        </w:rPr>
        <w:t>折算层数。</w:t>
      </w:r>
    </w:p>
    <w:p>
      <w:pPr>
        <w:spacing w:before="121" w:line="313" w:lineRule="auto"/>
        <w:ind w:left="119" w:right="113" w:firstLine="419"/>
        <w:rPr>
          <w:rFonts w:ascii="宋体" w:hAnsi="宋体" w:eastAsia="宋体" w:cs="宋体"/>
          <w:sz w:val="20"/>
          <w:szCs w:val="20"/>
        </w:rPr>
      </w:pPr>
      <w:r>
        <w:rPr>
          <w:rFonts w:ascii="宋体" w:hAnsi="宋体" w:eastAsia="宋体" w:cs="宋体"/>
          <w:spacing w:val="7"/>
          <w:sz w:val="20"/>
          <w:szCs w:val="20"/>
        </w:rPr>
        <w:t>6）为高层建筑供电的变电所和供水泵站（</w:t>
      </w:r>
      <w:r>
        <w:rPr>
          <w:rFonts w:ascii="宋体" w:hAnsi="宋体" w:eastAsia="宋体" w:cs="宋体"/>
          <w:spacing w:val="-50"/>
          <w:sz w:val="20"/>
          <w:szCs w:val="20"/>
        </w:rPr>
        <w:t xml:space="preserve"> </w:t>
      </w:r>
      <w:r>
        <w:rPr>
          <w:rFonts w:ascii="宋体" w:hAnsi="宋体" w:eastAsia="宋体" w:cs="宋体"/>
          <w:spacing w:val="7"/>
          <w:sz w:val="20"/>
          <w:szCs w:val="20"/>
        </w:rPr>
        <w:t>间）等动力工程，如装在建筑物的底层，不计取建筑</w:t>
      </w:r>
      <w:r>
        <w:rPr>
          <w:rFonts w:ascii="宋体" w:hAnsi="宋体" w:eastAsia="宋体" w:cs="宋体"/>
          <w:spacing w:val="9"/>
          <w:sz w:val="20"/>
          <w:szCs w:val="20"/>
        </w:rPr>
        <w:t>物超高增加费，如装在</w:t>
      </w:r>
      <w:r>
        <w:rPr>
          <w:rFonts w:ascii="宋体" w:hAnsi="宋体" w:eastAsia="宋体" w:cs="宋体"/>
          <w:spacing w:val="-38"/>
          <w:sz w:val="20"/>
          <w:szCs w:val="20"/>
        </w:rPr>
        <w:t xml:space="preserve"> </w:t>
      </w:r>
      <w:r>
        <w:rPr>
          <w:rFonts w:ascii="宋体" w:hAnsi="宋体" w:eastAsia="宋体" w:cs="宋体"/>
          <w:spacing w:val="9"/>
          <w:sz w:val="20"/>
          <w:szCs w:val="20"/>
        </w:rPr>
        <w:t>6</w:t>
      </w:r>
      <w:r>
        <w:rPr>
          <w:rFonts w:ascii="宋体" w:hAnsi="宋体" w:eastAsia="宋体" w:cs="宋体"/>
          <w:spacing w:val="-44"/>
          <w:sz w:val="20"/>
          <w:szCs w:val="20"/>
        </w:rPr>
        <w:t xml:space="preserve"> </w:t>
      </w:r>
      <w:r>
        <w:rPr>
          <w:rFonts w:ascii="宋体" w:hAnsi="宋体" w:eastAsia="宋体" w:cs="宋体"/>
          <w:spacing w:val="9"/>
          <w:sz w:val="20"/>
          <w:szCs w:val="20"/>
        </w:rPr>
        <w:t>层以上的动力工程计</w:t>
      </w:r>
      <w:r>
        <w:rPr>
          <w:rFonts w:ascii="宋体" w:hAnsi="宋体" w:eastAsia="宋体" w:cs="宋体"/>
          <w:spacing w:val="8"/>
          <w:sz w:val="20"/>
          <w:szCs w:val="20"/>
        </w:rPr>
        <w:t>取建筑物超高增加费。</w:t>
      </w:r>
    </w:p>
    <w:p>
      <w:pPr>
        <w:spacing w:before="123" w:line="278" w:lineRule="exact"/>
        <w:ind w:left="535"/>
        <w:rPr>
          <w:rFonts w:ascii="宋体" w:hAnsi="宋体" w:eastAsia="宋体" w:cs="宋体"/>
          <w:sz w:val="20"/>
          <w:szCs w:val="20"/>
        </w:rPr>
      </w:pPr>
      <w:r>
        <w:rPr>
          <w:rFonts w:ascii="宋体" w:hAnsi="宋体" w:eastAsia="宋体" w:cs="宋体"/>
          <w:spacing w:val="11"/>
          <w:position w:val="1"/>
          <w:sz w:val="20"/>
          <w:szCs w:val="20"/>
        </w:rPr>
        <w:t>7）建筑物层数大于</w:t>
      </w:r>
      <w:r>
        <w:rPr>
          <w:rFonts w:ascii="宋体" w:hAnsi="宋体" w:eastAsia="宋体" w:cs="宋体"/>
          <w:spacing w:val="-40"/>
          <w:position w:val="1"/>
          <w:sz w:val="20"/>
          <w:szCs w:val="20"/>
        </w:rPr>
        <w:t xml:space="preserve"> </w:t>
      </w:r>
      <w:r>
        <w:rPr>
          <w:rFonts w:ascii="宋体" w:hAnsi="宋体" w:eastAsia="宋体" w:cs="宋体"/>
          <w:spacing w:val="11"/>
          <w:position w:val="1"/>
          <w:sz w:val="20"/>
          <w:szCs w:val="20"/>
        </w:rPr>
        <w:t>60</w:t>
      </w:r>
      <w:r>
        <w:rPr>
          <w:rFonts w:ascii="宋体" w:hAnsi="宋体" w:eastAsia="宋体" w:cs="宋体"/>
          <w:spacing w:val="-42"/>
          <w:position w:val="1"/>
          <w:sz w:val="20"/>
          <w:szCs w:val="20"/>
        </w:rPr>
        <w:t xml:space="preserve"> </w:t>
      </w:r>
      <w:r>
        <w:rPr>
          <w:rFonts w:ascii="宋体" w:hAnsi="宋体" w:eastAsia="宋体" w:cs="宋体"/>
          <w:spacing w:val="11"/>
          <w:position w:val="1"/>
          <w:sz w:val="20"/>
          <w:szCs w:val="20"/>
        </w:rPr>
        <w:t>层或建筑物檐高大于</w:t>
      </w:r>
      <w:r>
        <w:rPr>
          <w:rFonts w:ascii="宋体" w:hAnsi="宋体" w:eastAsia="宋体" w:cs="宋体"/>
          <w:spacing w:val="-39"/>
          <w:position w:val="1"/>
          <w:sz w:val="20"/>
          <w:szCs w:val="20"/>
        </w:rPr>
        <w:t xml:space="preserve"> </w:t>
      </w:r>
      <w:r>
        <w:rPr>
          <w:rFonts w:ascii="宋体" w:hAnsi="宋体" w:eastAsia="宋体" w:cs="宋体"/>
          <w:spacing w:val="11"/>
          <w:position w:val="1"/>
          <w:sz w:val="20"/>
          <w:szCs w:val="20"/>
        </w:rPr>
        <w:t>200m</w:t>
      </w:r>
      <w:r>
        <w:rPr>
          <w:rFonts w:ascii="宋体" w:hAnsi="宋体" w:eastAsia="宋体" w:cs="宋体"/>
          <w:spacing w:val="-29"/>
          <w:position w:val="1"/>
          <w:sz w:val="20"/>
          <w:szCs w:val="20"/>
        </w:rPr>
        <w:t xml:space="preserve"> </w:t>
      </w:r>
      <w:r>
        <w:rPr>
          <w:rFonts w:ascii="宋体" w:hAnsi="宋体" w:eastAsia="宋体" w:cs="宋体"/>
          <w:spacing w:val="11"/>
          <w:position w:val="1"/>
          <w:sz w:val="20"/>
          <w:szCs w:val="20"/>
        </w:rPr>
        <w:t>时，每增高</w:t>
      </w:r>
      <w:r>
        <w:rPr>
          <w:rFonts w:ascii="宋体" w:hAnsi="宋体" w:eastAsia="宋体" w:cs="宋体"/>
          <w:spacing w:val="-41"/>
          <w:position w:val="1"/>
          <w:sz w:val="20"/>
          <w:szCs w:val="20"/>
        </w:rPr>
        <w:t xml:space="preserve"> </w:t>
      </w:r>
      <w:r>
        <w:rPr>
          <w:rFonts w:ascii="宋体" w:hAnsi="宋体" w:eastAsia="宋体" w:cs="宋体"/>
          <w:spacing w:val="11"/>
          <w:position w:val="1"/>
          <w:sz w:val="20"/>
          <w:szCs w:val="20"/>
        </w:rPr>
        <w:t>6</w:t>
      </w:r>
      <w:r>
        <w:rPr>
          <w:rFonts w:ascii="宋体" w:hAnsi="宋体" w:eastAsia="宋体" w:cs="宋体"/>
          <w:spacing w:val="-44"/>
          <w:position w:val="1"/>
          <w:sz w:val="20"/>
          <w:szCs w:val="20"/>
        </w:rPr>
        <w:t xml:space="preserve"> </w:t>
      </w:r>
      <w:r>
        <w:rPr>
          <w:rFonts w:ascii="宋体" w:hAnsi="宋体" w:eastAsia="宋体" w:cs="宋体"/>
          <w:spacing w:val="11"/>
          <w:position w:val="1"/>
          <w:sz w:val="20"/>
          <w:szCs w:val="20"/>
        </w:rPr>
        <w:t>层或20m，费用增加</w:t>
      </w:r>
      <w:r>
        <w:rPr>
          <w:rFonts w:ascii="宋体" w:hAnsi="宋体" w:eastAsia="宋体" w:cs="宋体"/>
          <w:spacing w:val="-25"/>
          <w:position w:val="1"/>
          <w:sz w:val="20"/>
          <w:szCs w:val="20"/>
        </w:rPr>
        <w:t xml:space="preserve"> </w:t>
      </w:r>
      <w:r>
        <w:rPr>
          <w:rFonts w:ascii="宋体" w:hAnsi="宋体" w:eastAsia="宋体" w:cs="宋体"/>
          <w:spacing w:val="11"/>
          <w:position w:val="1"/>
          <w:sz w:val="20"/>
          <w:szCs w:val="20"/>
        </w:rPr>
        <w:t>10%。</w:t>
      </w:r>
    </w:p>
    <w:p>
      <w:pPr>
        <w:spacing w:before="120" w:line="276" w:lineRule="exact"/>
        <w:ind w:left="554"/>
        <w:rPr>
          <w:rFonts w:ascii="宋体" w:hAnsi="宋体" w:eastAsia="宋体" w:cs="宋体"/>
          <w:sz w:val="20"/>
          <w:szCs w:val="20"/>
        </w:rPr>
      </w:pPr>
      <w:r>
        <w:rPr>
          <w:rFonts w:ascii="宋体" w:hAnsi="宋体" w:eastAsia="宋体" w:cs="宋体"/>
          <w:b/>
          <w:bCs/>
          <w:spacing w:val="6"/>
          <w:position w:val="1"/>
          <w:sz w:val="20"/>
          <w:szCs w:val="20"/>
        </w:rPr>
        <w:t>16.</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关于计取建筑物超高增加费时，当层数和高度不一致时，应以层数还是高度为准的计价</w:t>
      </w:r>
    </w:p>
    <w:p>
      <w:pPr>
        <w:spacing w:before="125" w:line="278" w:lineRule="exact"/>
        <w:ind w:left="534"/>
        <w:rPr>
          <w:rFonts w:ascii="宋体" w:hAnsi="宋体" w:eastAsia="宋体" w:cs="宋体"/>
          <w:sz w:val="20"/>
          <w:szCs w:val="20"/>
        </w:rPr>
      </w:pPr>
      <w:r>
        <w:rPr>
          <w:rFonts w:ascii="宋体" w:hAnsi="宋体" w:eastAsia="宋体" w:cs="宋体"/>
          <w:spacing w:val="11"/>
          <w:position w:val="1"/>
          <w:sz w:val="20"/>
          <w:szCs w:val="20"/>
        </w:rPr>
        <w:t>计取建筑物超高增加费时，当高度和层数（含折算后的层数）不一致时，满足其</w:t>
      </w:r>
      <w:r>
        <w:rPr>
          <w:rFonts w:ascii="宋体" w:hAnsi="宋体" w:eastAsia="宋体" w:cs="宋体"/>
          <w:spacing w:val="10"/>
          <w:position w:val="1"/>
          <w:sz w:val="20"/>
          <w:szCs w:val="20"/>
        </w:rPr>
        <w:t>中一项指标即</w:t>
      </w:r>
    </w:p>
    <w:p>
      <w:pPr>
        <w:spacing w:before="134" w:line="210" w:lineRule="auto"/>
        <w:ind w:left="119"/>
        <w:rPr>
          <w:rFonts w:ascii="宋体" w:hAnsi="宋体" w:eastAsia="宋体" w:cs="宋体"/>
          <w:sz w:val="20"/>
          <w:szCs w:val="20"/>
        </w:rPr>
      </w:pPr>
      <w:r>
        <w:rPr>
          <w:rFonts w:ascii="宋体" w:hAnsi="宋体" w:eastAsia="宋体" w:cs="宋体"/>
          <w:sz w:val="20"/>
          <w:szCs w:val="20"/>
        </w:rPr>
        <w:t>可。</w:t>
      </w:r>
    </w:p>
    <w:p>
      <w:pPr>
        <w:spacing w:before="160" w:line="277" w:lineRule="exact"/>
        <w:ind w:left="554"/>
        <w:rPr>
          <w:rFonts w:ascii="宋体" w:hAnsi="宋体" w:eastAsia="宋体" w:cs="宋体"/>
          <w:sz w:val="20"/>
          <w:szCs w:val="20"/>
        </w:rPr>
      </w:pPr>
      <w:r>
        <w:rPr>
          <w:rFonts w:ascii="宋体" w:hAnsi="宋体" w:eastAsia="宋体" w:cs="宋体"/>
          <w:b/>
          <w:bCs/>
          <w:spacing w:val="1"/>
          <w:position w:val="1"/>
          <w:sz w:val="20"/>
          <w:szCs w:val="20"/>
        </w:rPr>
        <w:t>17.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关于操作高度增加费</w:t>
      </w:r>
    </w:p>
    <w:p>
      <w:pPr>
        <w:spacing w:before="123" w:line="369" w:lineRule="auto"/>
        <w:ind w:left="126" w:right="4" w:firstLine="408"/>
        <w:rPr>
          <w:rFonts w:ascii="宋体" w:hAnsi="宋体" w:eastAsia="宋体" w:cs="宋体"/>
          <w:sz w:val="20"/>
          <w:szCs w:val="20"/>
        </w:rPr>
      </w:pPr>
      <w:r>
        <w:rPr>
          <w:rFonts w:ascii="宋体" w:hAnsi="宋体" w:eastAsia="宋体" w:cs="宋体"/>
          <w:spacing w:val="9"/>
          <w:sz w:val="20"/>
          <w:szCs w:val="20"/>
        </w:rPr>
        <w:t>操作高度增加费是指操作物高度超过定额考虑的</w:t>
      </w:r>
      <w:r>
        <w:rPr>
          <w:rFonts w:ascii="宋体" w:hAnsi="宋体" w:eastAsia="宋体" w:cs="宋体"/>
          <w:spacing w:val="8"/>
          <w:sz w:val="20"/>
          <w:szCs w:val="20"/>
        </w:rPr>
        <w:t>正常操作高度（各册正常操作高度见各册说明）</w:t>
      </w:r>
      <w:r>
        <w:rPr>
          <w:rFonts w:ascii="宋体" w:hAnsi="宋体" w:eastAsia="宋体" w:cs="宋体"/>
          <w:spacing w:val="9"/>
          <w:sz w:val="20"/>
          <w:szCs w:val="20"/>
        </w:rPr>
        <w:t>时计取的人工、机械降效费用。计算操作高度增加费时应注意：</w:t>
      </w:r>
    </w:p>
    <w:p>
      <w:pPr>
        <w:spacing w:line="278" w:lineRule="exact"/>
        <w:ind w:left="527"/>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1）计算该费用时，按超过起算点以上部分的工程</w:t>
      </w:r>
      <w:r>
        <w:rPr>
          <w:rFonts w:ascii="宋体" w:hAnsi="宋体" w:eastAsia="宋体" w:cs="宋体"/>
          <w:spacing w:val="7"/>
          <w:position w:val="1"/>
          <w:sz w:val="20"/>
          <w:szCs w:val="20"/>
        </w:rPr>
        <w:t>量为基础计算。</w:t>
      </w:r>
    </w:p>
    <w:p>
      <w:pPr>
        <w:spacing w:before="123" w:line="277" w:lineRule="exact"/>
        <w:ind w:left="527"/>
        <w:rPr>
          <w:rFonts w:ascii="宋体" w:hAnsi="宋体" w:eastAsia="宋体" w:cs="宋体"/>
          <w:sz w:val="20"/>
          <w:szCs w:val="20"/>
        </w:rPr>
      </w:pPr>
      <w:r>
        <w:rPr>
          <w:rFonts w:ascii="宋体" w:hAnsi="宋体" w:eastAsia="宋体" w:cs="宋体"/>
          <w:spacing w:val="9"/>
          <w:position w:val="1"/>
          <w:sz w:val="20"/>
          <w:szCs w:val="20"/>
        </w:rPr>
        <w:t>（2）计算该费用时，定额人工、机械均乘以系数。</w:t>
      </w:r>
    </w:p>
    <w:p>
      <w:pPr>
        <w:spacing w:before="124" w:line="278" w:lineRule="exact"/>
        <w:ind w:left="527"/>
        <w:rPr>
          <w:rFonts w:ascii="宋体" w:hAnsi="宋体" w:eastAsia="宋体" w:cs="宋体"/>
          <w:sz w:val="20"/>
          <w:szCs w:val="20"/>
        </w:rPr>
      </w:pPr>
      <w:r>
        <w:rPr>
          <w:rFonts w:ascii="宋体" w:hAnsi="宋体" w:eastAsia="宋体" w:cs="宋体"/>
          <w:spacing w:val="9"/>
          <w:position w:val="1"/>
          <w:sz w:val="20"/>
          <w:szCs w:val="20"/>
        </w:rPr>
        <w:t>（3）各册已说明包括超高内容的项目不计算该费用。</w:t>
      </w:r>
    </w:p>
    <w:p>
      <w:pPr>
        <w:spacing w:before="121" w:line="297" w:lineRule="auto"/>
        <w:ind w:left="121" w:right="116" w:firstLine="405"/>
        <w:rPr>
          <w:rFonts w:ascii="宋体" w:hAnsi="宋体" w:eastAsia="宋体" w:cs="宋体"/>
          <w:sz w:val="20"/>
          <w:szCs w:val="20"/>
        </w:rPr>
      </w:pPr>
      <w:r>
        <w:rPr>
          <w:rFonts w:ascii="宋体" w:hAnsi="宋体" w:eastAsia="宋体" w:cs="宋体"/>
          <w:spacing w:val="8"/>
          <w:sz w:val="20"/>
          <w:szCs w:val="20"/>
        </w:rPr>
        <w:t>（4）工业项目中工艺管线、刷油防腐等操作高度按设计标高正负零平面为基准，不以平台平面</w:t>
      </w:r>
      <w:r>
        <w:rPr>
          <w:rFonts w:ascii="宋体" w:hAnsi="宋体" w:eastAsia="宋体" w:cs="宋体"/>
          <w:spacing w:val="4"/>
          <w:sz w:val="20"/>
          <w:szCs w:val="20"/>
        </w:rPr>
        <w:t>为基准。</w:t>
      </w:r>
    </w:p>
    <w:p>
      <w:pPr>
        <w:spacing w:before="157" w:line="278" w:lineRule="exact"/>
        <w:ind w:left="554"/>
        <w:rPr>
          <w:rFonts w:ascii="宋体" w:hAnsi="宋体" w:eastAsia="宋体" w:cs="宋体"/>
          <w:sz w:val="20"/>
          <w:szCs w:val="20"/>
        </w:rPr>
      </w:pPr>
      <w:r>
        <w:rPr>
          <w:rFonts w:ascii="宋体" w:hAnsi="宋体" w:eastAsia="宋体" w:cs="宋体"/>
          <w:b/>
          <w:bCs/>
          <w:spacing w:val="1"/>
          <w:position w:val="1"/>
          <w:sz w:val="20"/>
          <w:szCs w:val="20"/>
        </w:rPr>
        <w:t>18.</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关于定额中各类系数</w:t>
      </w:r>
    </w:p>
    <w:p>
      <w:pPr>
        <w:spacing w:before="123" w:line="222" w:lineRule="auto"/>
        <w:ind w:left="535"/>
        <w:rPr>
          <w:rFonts w:ascii="宋体" w:hAnsi="宋体" w:eastAsia="宋体" w:cs="宋体"/>
          <w:sz w:val="20"/>
          <w:szCs w:val="20"/>
        </w:rPr>
      </w:pPr>
      <w:r>
        <w:rPr>
          <w:rFonts w:ascii="宋体" w:hAnsi="宋体" w:eastAsia="宋体" w:cs="宋体"/>
          <w:spacing w:val="10"/>
          <w:sz w:val="20"/>
          <w:szCs w:val="20"/>
        </w:rPr>
        <w:t>本定额各类系数分为子目换算系数、条件调整系数</w:t>
      </w:r>
      <w:r>
        <w:rPr>
          <w:rFonts w:ascii="宋体" w:hAnsi="宋体" w:eastAsia="宋体" w:cs="宋体"/>
          <w:spacing w:val="9"/>
          <w:sz w:val="20"/>
          <w:szCs w:val="20"/>
        </w:rPr>
        <w:t>、系统计费系数、措施费计费系数。</w:t>
      </w:r>
    </w:p>
    <w:p>
      <w:pPr>
        <w:spacing w:before="158" w:line="278" w:lineRule="exact"/>
        <w:ind w:left="527"/>
        <w:rPr>
          <w:rFonts w:ascii="宋体" w:hAnsi="宋体" w:eastAsia="宋体" w:cs="宋体"/>
          <w:sz w:val="20"/>
          <w:szCs w:val="20"/>
        </w:rPr>
      </w:pPr>
      <w:r>
        <w:rPr>
          <w:rFonts w:ascii="宋体" w:hAnsi="宋体" w:eastAsia="宋体" w:cs="宋体"/>
          <w:spacing w:val="3"/>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1）子目换算系数：</w:t>
      </w:r>
    </w:p>
    <w:p>
      <w:pPr>
        <w:spacing w:before="122" w:line="360" w:lineRule="auto"/>
        <w:ind w:left="115" w:right="113" w:firstLine="421"/>
        <w:rPr>
          <w:rFonts w:ascii="宋体" w:hAnsi="宋体" w:eastAsia="宋体" w:cs="宋体"/>
          <w:sz w:val="20"/>
          <w:szCs w:val="20"/>
        </w:rPr>
      </w:pPr>
      <w:r>
        <w:rPr>
          <w:rFonts w:ascii="宋体" w:hAnsi="宋体" w:eastAsia="宋体" w:cs="宋体"/>
          <w:spacing w:val="11"/>
          <w:sz w:val="20"/>
          <w:szCs w:val="20"/>
        </w:rPr>
        <w:t>子目换算系数大部分是由于安装工作物的材质、几何尺寸及形状或施工方</w:t>
      </w:r>
      <w:r>
        <w:rPr>
          <w:rFonts w:ascii="宋体" w:hAnsi="宋体" w:eastAsia="宋体" w:cs="宋体"/>
          <w:spacing w:val="10"/>
          <w:sz w:val="20"/>
          <w:szCs w:val="20"/>
        </w:rPr>
        <w:t>法与定额子目规定不</w:t>
      </w:r>
      <w:r>
        <w:rPr>
          <w:rFonts w:ascii="宋体" w:hAnsi="宋体" w:eastAsia="宋体" w:cs="宋体"/>
          <w:spacing w:val="9"/>
          <w:sz w:val="20"/>
          <w:szCs w:val="20"/>
        </w:rPr>
        <w:t>一致，需进行调整的换算系数，如：安装带保温层的管道时</w:t>
      </w:r>
      <w:r>
        <w:rPr>
          <w:rFonts w:ascii="宋体" w:hAnsi="宋体" w:eastAsia="宋体" w:cs="宋体"/>
          <w:spacing w:val="8"/>
          <w:sz w:val="20"/>
          <w:szCs w:val="20"/>
        </w:rPr>
        <w:t>，相应定额人工乘以系数</w:t>
      </w:r>
      <w:r>
        <w:rPr>
          <w:rFonts w:ascii="宋体" w:hAnsi="宋体" w:eastAsia="宋体" w:cs="宋体"/>
          <w:spacing w:val="-20"/>
          <w:sz w:val="20"/>
          <w:szCs w:val="20"/>
        </w:rPr>
        <w:t xml:space="preserve"> </w:t>
      </w:r>
      <w:r>
        <w:rPr>
          <w:rFonts w:ascii="宋体" w:hAnsi="宋体" w:eastAsia="宋体" w:cs="宋体"/>
          <w:spacing w:val="8"/>
          <w:sz w:val="20"/>
          <w:szCs w:val="20"/>
        </w:rPr>
        <w:t>1.10；单芯电力电缆敷设按同截面电缆敷设定额乘以系数0.7；刷油项目若实际采用喷涂施工时，执行刷油定额子目人工乘以系数0.45，材料乘以系数</w:t>
      </w:r>
      <w:r>
        <w:rPr>
          <w:rFonts w:ascii="宋体" w:hAnsi="宋体" w:eastAsia="宋体" w:cs="宋体"/>
          <w:spacing w:val="-22"/>
          <w:sz w:val="20"/>
          <w:szCs w:val="20"/>
        </w:rPr>
        <w:t xml:space="preserve"> </w:t>
      </w:r>
      <w:r>
        <w:rPr>
          <w:rFonts w:ascii="宋体" w:hAnsi="宋体" w:eastAsia="宋体" w:cs="宋体"/>
          <w:spacing w:val="8"/>
          <w:sz w:val="20"/>
          <w:szCs w:val="20"/>
        </w:rPr>
        <w:t>1</w:t>
      </w:r>
      <w:r>
        <w:rPr>
          <w:rFonts w:ascii="宋体" w:hAnsi="宋体" w:eastAsia="宋体" w:cs="宋体"/>
          <w:spacing w:val="7"/>
          <w:sz w:val="20"/>
          <w:szCs w:val="20"/>
        </w:rPr>
        <w:t>.16</w:t>
      </w:r>
      <w:r>
        <w:rPr>
          <w:rFonts w:ascii="宋体" w:hAnsi="宋体" w:eastAsia="宋体" w:cs="宋体"/>
          <w:spacing w:val="-60"/>
          <w:sz w:val="20"/>
          <w:szCs w:val="20"/>
        </w:rPr>
        <w:t xml:space="preserve"> </w:t>
      </w:r>
      <w:r>
        <w:rPr>
          <w:rFonts w:ascii="宋体" w:hAnsi="宋体" w:eastAsia="宋体" w:cs="宋体"/>
          <w:spacing w:val="7"/>
          <w:sz w:val="20"/>
          <w:szCs w:val="20"/>
        </w:rPr>
        <w:t>，增加喷涂机械电动空气压缩机。子目换算系数一般都标</w:t>
      </w:r>
      <w:r>
        <w:rPr>
          <w:rFonts w:ascii="宋体" w:hAnsi="宋体" w:eastAsia="宋体" w:cs="宋体"/>
          <w:spacing w:val="8"/>
          <w:sz w:val="20"/>
          <w:szCs w:val="20"/>
        </w:rPr>
        <w:t>注在各册的章说明中。</w:t>
      </w:r>
    </w:p>
    <w:p>
      <w:pPr>
        <w:spacing w:before="50" w:line="278" w:lineRule="exact"/>
        <w:ind w:left="527"/>
        <w:rPr>
          <w:rFonts w:ascii="宋体" w:hAnsi="宋体" w:eastAsia="宋体" w:cs="宋体"/>
          <w:sz w:val="20"/>
          <w:szCs w:val="20"/>
        </w:rPr>
      </w:pPr>
      <w:r>
        <w:rPr>
          <w:rFonts w:ascii="宋体" w:hAnsi="宋体" w:eastAsia="宋体" w:cs="宋体"/>
          <w:spacing w:val="8"/>
          <w:position w:val="1"/>
          <w:sz w:val="20"/>
          <w:szCs w:val="20"/>
        </w:rPr>
        <w:t>（2）条件调整系数：</w:t>
      </w:r>
    </w:p>
    <w:p>
      <w:pPr>
        <w:spacing w:before="123" w:line="278" w:lineRule="exact"/>
        <w:ind w:left="536"/>
        <w:rPr>
          <w:rFonts w:ascii="宋体" w:hAnsi="宋体" w:eastAsia="宋体" w:cs="宋体"/>
          <w:sz w:val="20"/>
          <w:szCs w:val="20"/>
        </w:rPr>
      </w:pPr>
      <w:r>
        <w:rPr>
          <w:rFonts w:ascii="宋体" w:hAnsi="宋体" w:eastAsia="宋体" w:cs="宋体"/>
          <w:spacing w:val="11"/>
          <w:position w:val="1"/>
          <w:sz w:val="20"/>
          <w:szCs w:val="20"/>
        </w:rPr>
        <w:t>条件调整系数一般是对特殊的施工环境及条件等因素影响进行调整的系数，</w:t>
      </w:r>
      <w:r>
        <w:rPr>
          <w:rFonts w:ascii="宋体" w:hAnsi="宋体" w:eastAsia="宋体" w:cs="宋体"/>
          <w:spacing w:val="10"/>
          <w:position w:val="1"/>
          <w:sz w:val="20"/>
          <w:szCs w:val="20"/>
        </w:rPr>
        <w:t>如：操作高度增加</w:t>
      </w:r>
    </w:p>
    <w:p>
      <w:pPr>
        <w:spacing w:line="278" w:lineRule="exact"/>
        <w:rPr>
          <w:rFonts w:ascii="宋体" w:hAnsi="宋体" w:eastAsia="宋体" w:cs="宋体"/>
          <w:sz w:val="20"/>
          <w:szCs w:val="20"/>
        </w:rPr>
        <w:sectPr>
          <w:footerReference r:id="rId153" w:type="default"/>
          <w:pgSz w:w="11906" w:h="16839"/>
          <w:pgMar w:top="400" w:right="1304" w:bottom="1212" w:left="1304"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1" w:lineRule="auto"/>
        <w:ind w:left="1" w:right="67" w:firstLine="6"/>
        <w:rPr>
          <w:rFonts w:ascii="宋体" w:hAnsi="宋体" w:eastAsia="宋体" w:cs="宋体"/>
          <w:sz w:val="20"/>
          <w:szCs w:val="20"/>
        </w:rPr>
      </w:pPr>
      <w:r>
        <w:rPr>
          <w:rFonts w:ascii="宋体" w:hAnsi="宋体" w:eastAsia="宋体" w:cs="宋体"/>
          <w:spacing w:val="11"/>
          <w:sz w:val="20"/>
          <w:szCs w:val="20"/>
        </w:rPr>
        <w:t>费；在已封闭的管道间（井）、地沟、吊顶内安装时的调整系</w:t>
      </w:r>
      <w:r>
        <w:rPr>
          <w:rFonts w:ascii="宋体" w:hAnsi="宋体" w:eastAsia="宋体" w:cs="宋体"/>
          <w:spacing w:val="10"/>
          <w:sz w:val="20"/>
          <w:szCs w:val="20"/>
        </w:rPr>
        <w:t>数等。条件调整系数一般都标注在各</w:t>
      </w:r>
      <w:r>
        <w:rPr>
          <w:rFonts w:ascii="宋体" w:hAnsi="宋体" w:eastAsia="宋体" w:cs="宋体"/>
          <w:spacing w:val="6"/>
          <w:sz w:val="20"/>
          <w:szCs w:val="20"/>
        </w:rPr>
        <w:t>册说明中。</w:t>
      </w:r>
    </w:p>
    <w:p>
      <w:pPr>
        <w:spacing w:before="41" w:line="278" w:lineRule="exact"/>
        <w:ind w:left="413"/>
        <w:rPr>
          <w:rFonts w:ascii="宋体" w:hAnsi="宋体" w:eastAsia="宋体" w:cs="宋体"/>
          <w:sz w:val="20"/>
          <w:szCs w:val="20"/>
        </w:rPr>
      </w:pPr>
      <w:r>
        <w:rPr>
          <w:rFonts w:ascii="宋体" w:hAnsi="宋体" w:eastAsia="宋体" w:cs="宋体"/>
          <w:spacing w:val="8"/>
          <w:position w:val="1"/>
          <w:sz w:val="20"/>
          <w:szCs w:val="20"/>
        </w:rPr>
        <w:t>（3）系统计费系数：</w:t>
      </w:r>
    </w:p>
    <w:p>
      <w:pPr>
        <w:spacing w:before="127" w:line="367" w:lineRule="auto"/>
        <w:ind w:left="12" w:right="67" w:firstLine="416"/>
        <w:rPr>
          <w:rFonts w:ascii="宋体" w:hAnsi="宋体" w:eastAsia="宋体" w:cs="宋体"/>
          <w:sz w:val="20"/>
          <w:szCs w:val="20"/>
        </w:rPr>
      </w:pPr>
      <w:r>
        <w:rPr>
          <w:rFonts w:ascii="宋体" w:hAnsi="宋体" w:eastAsia="宋体" w:cs="宋体"/>
          <w:spacing w:val="11"/>
          <w:sz w:val="20"/>
          <w:szCs w:val="20"/>
        </w:rPr>
        <w:t>系统计费系数是未设置定额项目，以系统工程人工费为基数</w:t>
      </w:r>
      <w:r>
        <w:rPr>
          <w:rFonts w:ascii="宋体" w:hAnsi="宋体" w:eastAsia="宋体" w:cs="宋体"/>
          <w:spacing w:val="10"/>
          <w:sz w:val="20"/>
          <w:szCs w:val="20"/>
        </w:rPr>
        <w:t>计取有关费用而设置的系数。如采</w:t>
      </w:r>
      <w:r>
        <w:rPr>
          <w:rFonts w:ascii="宋体" w:hAnsi="宋体" w:eastAsia="宋体" w:cs="宋体"/>
          <w:spacing w:val="11"/>
          <w:sz w:val="20"/>
          <w:szCs w:val="20"/>
        </w:rPr>
        <w:t>暖系统调整费，通风空调系统调整费，站类工程系</w:t>
      </w:r>
      <w:r>
        <w:rPr>
          <w:rFonts w:ascii="宋体" w:hAnsi="宋体" w:eastAsia="宋体" w:cs="宋体"/>
          <w:spacing w:val="10"/>
          <w:sz w:val="20"/>
          <w:szCs w:val="20"/>
        </w:rPr>
        <w:t>统调整费等。系统计费系数一般标注在各册说明</w:t>
      </w:r>
      <w:r>
        <w:rPr>
          <w:rFonts w:ascii="宋体" w:hAnsi="宋体" w:eastAsia="宋体" w:cs="宋体"/>
          <w:spacing w:val="-4"/>
          <w:sz w:val="20"/>
          <w:szCs w:val="20"/>
        </w:rPr>
        <w:t>中。</w:t>
      </w:r>
    </w:p>
    <w:p>
      <w:pPr>
        <w:spacing w:line="277" w:lineRule="exact"/>
        <w:ind w:left="413"/>
        <w:rPr>
          <w:rFonts w:ascii="宋体" w:hAnsi="宋体" w:eastAsia="宋体" w:cs="宋体"/>
          <w:sz w:val="20"/>
          <w:szCs w:val="20"/>
        </w:rPr>
      </w:pPr>
      <w:r>
        <w:rPr>
          <w:rFonts w:ascii="宋体" w:hAnsi="宋体" w:eastAsia="宋体" w:cs="宋体"/>
          <w:spacing w:val="8"/>
          <w:position w:val="1"/>
          <w:sz w:val="20"/>
          <w:szCs w:val="20"/>
        </w:rPr>
        <w:t>（4）措施费计费系数：</w:t>
      </w:r>
    </w:p>
    <w:p>
      <w:pPr>
        <w:spacing w:before="129" w:line="360" w:lineRule="auto"/>
        <w:ind w:firstLine="420"/>
        <w:rPr>
          <w:rFonts w:ascii="宋体" w:hAnsi="宋体" w:eastAsia="宋体" w:cs="宋体"/>
          <w:sz w:val="20"/>
          <w:szCs w:val="20"/>
        </w:rPr>
      </w:pPr>
      <w:r>
        <w:rPr>
          <w:rFonts w:ascii="宋体" w:hAnsi="宋体" w:eastAsia="宋体" w:cs="宋体"/>
          <w:spacing w:val="11"/>
          <w:sz w:val="20"/>
          <w:szCs w:val="20"/>
        </w:rPr>
        <w:t>措施费计费系数是以分部分项工程人工费为基数计取相关措施费用而设置的系数</w:t>
      </w:r>
      <w:r>
        <w:rPr>
          <w:rFonts w:ascii="宋体" w:hAnsi="宋体" w:eastAsia="宋体" w:cs="宋体"/>
          <w:spacing w:val="10"/>
          <w:sz w:val="20"/>
          <w:szCs w:val="20"/>
        </w:rPr>
        <w:t>。如安全与生</w:t>
      </w:r>
      <w:r>
        <w:rPr>
          <w:rFonts w:ascii="宋体" w:hAnsi="宋体" w:eastAsia="宋体" w:cs="宋体"/>
          <w:spacing w:val="8"/>
          <w:sz w:val="20"/>
          <w:szCs w:val="20"/>
        </w:rPr>
        <w:t>产（使用）同时进行施工增加费，在有害身体健康环境</w:t>
      </w:r>
      <w:r>
        <w:rPr>
          <w:rFonts w:ascii="宋体" w:hAnsi="宋体" w:eastAsia="宋体" w:cs="宋体"/>
          <w:spacing w:val="7"/>
          <w:sz w:val="20"/>
          <w:szCs w:val="20"/>
        </w:rPr>
        <w:t>中施工增加费，地下室（暗室）施工增加费，</w:t>
      </w:r>
      <w:r>
        <w:rPr>
          <w:rFonts w:ascii="宋体" w:hAnsi="宋体" w:eastAsia="宋体" w:cs="宋体"/>
          <w:spacing w:val="10"/>
          <w:sz w:val="20"/>
          <w:szCs w:val="20"/>
        </w:rPr>
        <w:t>脚手架搭拆费，建筑物超高增加费等。措施费计费</w:t>
      </w:r>
      <w:r>
        <w:rPr>
          <w:rFonts w:ascii="宋体" w:hAnsi="宋体" w:eastAsia="宋体" w:cs="宋体"/>
          <w:spacing w:val="9"/>
          <w:sz w:val="20"/>
          <w:szCs w:val="20"/>
        </w:rPr>
        <w:t>系数一般标注在总说明和各册说明中。</w:t>
      </w:r>
    </w:p>
    <w:p>
      <w:pPr>
        <w:spacing w:before="28" w:line="369" w:lineRule="auto"/>
        <w:ind w:right="67" w:firstLine="423"/>
        <w:jc w:val="both"/>
        <w:rPr>
          <w:rFonts w:ascii="宋体" w:hAnsi="宋体" w:eastAsia="宋体" w:cs="宋体"/>
          <w:sz w:val="20"/>
          <w:szCs w:val="20"/>
        </w:rPr>
      </w:pPr>
      <w:r>
        <w:rPr>
          <w:rFonts w:ascii="宋体" w:hAnsi="宋体" w:eastAsia="宋体" w:cs="宋体"/>
          <w:spacing w:val="11"/>
          <w:sz w:val="20"/>
          <w:szCs w:val="20"/>
        </w:rPr>
        <w:t>子目换算系数、条件调整系数、系统计费系数属于分部分项工程的系数，</w:t>
      </w:r>
      <w:r>
        <w:rPr>
          <w:rFonts w:ascii="宋体" w:hAnsi="宋体" w:eastAsia="宋体" w:cs="宋体"/>
          <w:spacing w:val="10"/>
          <w:sz w:val="20"/>
          <w:szCs w:val="20"/>
        </w:rPr>
        <w:t>措施费计费系数属于</w:t>
      </w:r>
      <w:r>
        <w:rPr>
          <w:rFonts w:ascii="宋体" w:hAnsi="宋体" w:eastAsia="宋体" w:cs="宋体"/>
          <w:spacing w:val="11"/>
          <w:sz w:val="20"/>
          <w:szCs w:val="20"/>
        </w:rPr>
        <w:t>措施费的系数。各系数的计算，一般按照先计分部分项工程系数、再计措施费系</w:t>
      </w:r>
      <w:r>
        <w:rPr>
          <w:rFonts w:ascii="宋体" w:hAnsi="宋体" w:eastAsia="宋体" w:cs="宋体"/>
          <w:spacing w:val="10"/>
          <w:sz w:val="20"/>
          <w:szCs w:val="20"/>
        </w:rPr>
        <w:t>数，分部分项工程</w:t>
      </w:r>
      <w:r>
        <w:rPr>
          <w:rFonts w:ascii="宋体" w:hAnsi="宋体" w:eastAsia="宋体" w:cs="宋体"/>
          <w:spacing w:val="11"/>
          <w:sz w:val="20"/>
          <w:szCs w:val="20"/>
        </w:rPr>
        <w:t>系数中先计子目换算系数、再计条件调整系数、最后计算系统计费系数的顺序逐</w:t>
      </w:r>
      <w:r>
        <w:rPr>
          <w:rFonts w:ascii="宋体" w:hAnsi="宋体" w:eastAsia="宋体" w:cs="宋体"/>
          <w:spacing w:val="10"/>
          <w:sz w:val="20"/>
          <w:szCs w:val="20"/>
        </w:rPr>
        <w:t>级计算，且前项计</w:t>
      </w:r>
      <w:r>
        <w:rPr>
          <w:rFonts w:ascii="宋体" w:hAnsi="宋体" w:eastAsia="宋体" w:cs="宋体"/>
          <w:spacing w:val="11"/>
          <w:sz w:val="20"/>
          <w:szCs w:val="20"/>
        </w:rPr>
        <w:t>算作后项的计算基础。条件调整系数、系统计费系数、措施费计费系数发生多项</w:t>
      </w:r>
      <w:r>
        <w:rPr>
          <w:rFonts w:ascii="宋体" w:hAnsi="宋体" w:eastAsia="宋体" w:cs="宋体"/>
          <w:spacing w:val="10"/>
          <w:sz w:val="20"/>
          <w:szCs w:val="20"/>
        </w:rPr>
        <w:t>可多项计取，一般</w:t>
      </w:r>
      <w:r>
        <w:rPr>
          <w:rFonts w:ascii="宋体" w:hAnsi="宋体" w:eastAsia="宋体" w:cs="宋体"/>
          <w:spacing w:val="8"/>
          <w:sz w:val="20"/>
          <w:szCs w:val="20"/>
        </w:rPr>
        <w:t>不可在同级系数间连乘。</w:t>
      </w:r>
    </w:p>
    <w:p>
      <w:pPr>
        <w:spacing w:before="4" w:line="363" w:lineRule="auto"/>
        <w:ind w:right="64" w:firstLine="438"/>
        <w:jc w:val="both"/>
        <w:rPr>
          <w:rFonts w:ascii="宋体" w:hAnsi="宋体" w:eastAsia="宋体" w:cs="宋体"/>
          <w:sz w:val="20"/>
          <w:szCs w:val="20"/>
        </w:rPr>
      </w:pPr>
      <w:r>
        <w:rPr>
          <w:rFonts w:ascii="宋体" w:hAnsi="宋体" w:eastAsia="宋体" w:cs="宋体"/>
          <w:spacing w:val="10"/>
          <w:sz w:val="20"/>
          <w:szCs w:val="20"/>
        </w:rPr>
        <w:t>以上所述都是在通常或一般情况下的原则。但在个别的情况下，子目换算系数中也有可能出现</w:t>
      </w:r>
      <w:r>
        <w:rPr>
          <w:rFonts w:ascii="宋体" w:hAnsi="宋体" w:eastAsia="宋体" w:cs="宋体"/>
          <w:spacing w:val="11"/>
          <w:sz w:val="20"/>
          <w:szCs w:val="20"/>
        </w:rPr>
        <w:t>连乘的情况。如：第一册煤气发生设备分节容器外壳组焊，焊缝需内外焊接时，</w:t>
      </w:r>
      <w:r>
        <w:rPr>
          <w:rFonts w:ascii="宋体" w:hAnsi="宋体" w:eastAsia="宋体" w:cs="宋体"/>
          <w:spacing w:val="10"/>
          <w:sz w:val="20"/>
          <w:szCs w:val="20"/>
        </w:rPr>
        <w:t>应按外圈焊定额乘</w:t>
      </w:r>
      <w:r>
        <w:rPr>
          <w:rFonts w:ascii="宋体" w:hAnsi="宋体" w:eastAsia="宋体" w:cs="宋体"/>
          <w:spacing w:val="7"/>
          <w:sz w:val="20"/>
          <w:szCs w:val="20"/>
        </w:rPr>
        <w:t>以系数</w:t>
      </w:r>
      <w:r>
        <w:rPr>
          <w:rFonts w:ascii="宋体" w:hAnsi="宋体" w:eastAsia="宋体" w:cs="宋体"/>
          <w:spacing w:val="-21"/>
          <w:sz w:val="20"/>
          <w:szCs w:val="20"/>
        </w:rPr>
        <w:t xml:space="preserve"> </w:t>
      </w:r>
      <w:r>
        <w:rPr>
          <w:rFonts w:ascii="宋体" w:hAnsi="宋体" w:eastAsia="宋体" w:cs="宋体"/>
          <w:spacing w:val="7"/>
          <w:sz w:val="20"/>
          <w:szCs w:val="20"/>
        </w:rPr>
        <w:t>1.95。再者，如外径大于</w:t>
      </w:r>
      <w:r>
        <w:rPr>
          <w:rFonts w:ascii="宋体" w:hAnsi="宋体" w:eastAsia="宋体" w:cs="宋体"/>
          <w:spacing w:val="-38"/>
          <w:sz w:val="20"/>
          <w:szCs w:val="20"/>
        </w:rPr>
        <w:t xml:space="preserve"> </w:t>
      </w:r>
      <w:r>
        <w:rPr>
          <w:rFonts w:ascii="宋体" w:hAnsi="宋体" w:eastAsia="宋体" w:cs="宋体"/>
          <w:spacing w:val="7"/>
          <w:sz w:val="20"/>
          <w:szCs w:val="20"/>
        </w:rPr>
        <w:t>3m</w:t>
      </w:r>
      <w:r>
        <w:rPr>
          <w:rFonts w:ascii="宋体" w:hAnsi="宋体" w:eastAsia="宋体" w:cs="宋体"/>
          <w:spacing w:val="-34"/>
          <w:sz w:val="20"/>
          <w:szCs w:val="20"/>
        </w:rPr>
        <w:t xml:space="preserve"> </w:t>
      </w:r>
      <w:r>
        <w:rPr>
          <w:rFonts w:ascii="宋体" w:hAnsi="宋体" w:eastAsia="宋体" w:cs="宋体"/>
          <w:spacing w:val="7"/>
          <w:sz w:val="20"/>
          <w:szCs w:val="20"/>
        </w:rPr>
        <w:t>为</w:t>
      </w:r>
      <w:r>
        <w:rPr>
          <w:rFonts w:ascii="宋体" w:hAnsi="宋体" w:eastAsia="宋体" w:cs="宋体"/>
          <w:spacing w:val="-45"/>
          <w:sz w:val="20"/>
          <w:szCs w:val="20"/>
        </w:rPr>
        <w:t xml:space="preserve"> </w:t>
      </w:r>
      <w:r>
        <w:rPr>
          <w:rFonts w:ascii="宋体" w:hAnsi="宋体" w:eastAsia="宋体" w:cs="宋体"/>
          <w:spacing w:val="7"/>
          <w:sz w:val="20"/>
          <w:szCs w:val="20"/>
        </w:rPr>
        <w:t>4m</w:t>
      </w:r>
      <w:r>
        <w:rPr>
          <w:rFonts w:ascii="宋体" w:hAnsi="宋体" w:eastAsia="宋体" w:cs="宋体"/>
          <w:spacing w:val="-29"/>
          <w:sz w:val="20"/>
          <w:szCs w:val="20"/>
        </w:rPr>
        <w:t xml:space="preserve"> </w:t>
      </w:r>
      <w:r>
        <w:rPr>
          <w:rFonts w:ascii="宋体" w:hAnsi="宋体" w:eastAsia="宋体" w:cs="宋体"/>
          <w:spacing w:val="7"/>
          <w:sz w:val="20"/>
          <w:szCs w:val="20"/>
        </w:rPr>
        <w:t>时，则按</w:t>
      </w:r>
      <w:r>
        <w:rPr>
          <w:rFonts w:ascii="宋体" w:hAnsi="宋体" w:eastAsia="宋体" w:cs="宋体"/>
          <w:spacing w:val="-38"/>
          <w:sz w:val="20"/>
          <w:szCs w:val="20"/>
        </w:rPr>
        <w:t xml:space="preserve"> </w:t>
      </w:r>
      <w:r>
        <w:rPr>
          <w:rFonts w:ascii="宋体" w:hAnsi="宋体" w:eastAsia="宋体" w:cs="宋体"/>
          <w:spacing w:val="7"/>
          <w:sz w:val="20"/>
          <w:szCs w:val="20"/>
        </w:rPr>
        <w:t>3m</w:t>
      </w:r>
      <w:r>
        <w:rPr>
          <w:rFonts w:ascii="宋体" w:hAnsi="宋体" w:eastAsia="宋体" w:cs="宋体"/>
          <w:spacing w:val="-38"/>
          <w:sz w:val="20"/>
          <w:szCs w:val="20"/>
        </w:rPr>
        <w:t xml:space="preserve"> </w:t>
      </w:r>
      <w:r>
        <w:rPr>
          <w:rFonts w:ascii="宋体" w:hAnsi="宋体" w:eastAsia="宋体" w:cs="宋体"/>
          <w:spacing w:val="7"/>
          <w:sz w:val="20"/>
          <w:szCs w:val="20"/>
        </w:rPr>
        <w:t>直径定额乘以系数</w:t>
      </w:r>
      <w:r>
        <w:rPr>
          <w:rFonts w:ascii="宋体" w:hAnsi="宋体" w:eastAsia="宋体" w:cs="宋体"/>
          <w:spacing w:val="-25"/>
          <w:sz w:val="20"/>
          <w:szCs w:val="20"/>
        </w:rPr>
        <w:t xml:space="preserve"> </w:t>
      </w:r>
      <w:r>
        <w:rPr>
          <w:rFonts w:ascii="宋体" w:hAnsi="宋体" w:eastAsia="宋体" w:cs="宋体"/>
          <w:spacing w:val="7"/>
          <w:sz w:val="20"/>
          <w:szCs w:val="20"/>
        </w:rPr>
        <w:t>1.34。前者是调整设备焊</w:t>
      </w:r>
      <w:r>
        <w:rPr>
          <w:rFonts w:ascii="宋体" w:hAnsi="宋体" w:eastAsia="宋体" w:cs="宋体"/>
          <w:spacing w:val="11"/>
          <w:sz w:val="20"/>
          <w:szCs w:val="20"/>
        </w:rPr>
        <w:t>缝双面焊，后者是调整设备的规格，此种情况应连乘。对于子目换算系数是否连</w:t>
      </w:r>
      <w:r>
        <w:rPr>
          <w:rFonts w:ascii="宋体" w:hAnsi="宋体" w:eastAsia="宋体" w:cs="宋体"/>
          <w:spacing w:val="10"/>
          <w:sz w:val="20"/>
          <w:szCs w:val="20"/>
        </w:rPr>
        <w:t>乘，应视具体情况</w:t>
      </w:r>
      <w:r>
        <w:rPr>
          <w:rFonts w:ascii="宋体" w:hAnsi="宋体" w:eastAsia="宋体" w:cs="宋体"/>
          <w:spacing w:val="5"/>
          <w:sz w:val="20"/>
          <w:szCs w:val="20"/>
        </w:rPr>
        <w:t>而定。</w:t>
      </w:r>
    </w:p>
    <w:p>
      <w:pPr>
        <w:spacing w:before="28" w:line="277" w:lineRule="exact"/>
        <w:ind w:left="440"/>
        <w:rPr>
          <w:rFonts w:ascii="宋体" w:hAnsi="宋体" w:eastAsia="宋体" w:cs="宋体"/>
          <w:sz w:val="20"/>
          <w:szCs w:val="20"/>
        </w:rPr>
      </w:pPr>
      <w:r>
        <w:rPr>
          <w:rFonts w:ascii="宋体" w:hAnsi="宋体" w:eastAsia="宋体" w:cs="宋体"/>
          <w:b/>
          <w:bCs/>
          <w:spacing w:val="1"/>
          <w:position w:val="1"/>
          <w:sz w:val="20"/>
          <w:szCs w:val="20"/>
        </w:rPr>
        <w:t>19.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关于材料与设备的区分</w:t>
      </w:r>
    </w:p>
    <w:p>
      <w:pPr>
        <w:spacing w:before="121" w:line="357" w:lineRule="auto"/>
        <w:ind w:left="1" w:right="66" w:firstLine="419"/>
        <w:jc w:val="both"/>
        <w:rPr>
          <w:rFonts w:ascii="宋体" w:hAnsi="宋体" w:eastAsia="宋体" w:cs="宋体"/>
          <w:sz w:val="20"/>
          <w:szCs w:val="20"/>
        </w:rPr>
      </w:pPr>
      <w:r>
        <w:rPr>
          <w:rFonts w:ascii="宋体" w:hAnsi="宋体" w:eastAsia="宋体" w:cs="宋体"/>
          <w:spacing w:val="10"/>
          <w:sz w:val="20"/>
          <w:szCs w:val="20"/>
        </w:rPr>
        <w:t>定额的编制参照《建设工程计价设备材料划分标准》</w:t>
      </w:r>
      <w:r>
        <w:rPr>
          <w:rFonts w:ascii="宋体" w:hAnsi="宋体" w:eastAsia="宋体" w:cs="宋体"/>
          <w:sz w:val="20"/>
          <w:szCs w:val="20"/>
        </w:rPr>
        <w:t>GB</w:t>
      </w:r>
      <w:r>
        <w:rPr>
          <w:rFonts w:ascii="宋体" w:hAnsi="宋体" w:eastAsia="宋体" w:cs="宋体"/>
          <w:spacing w:val="10"/>
          <w:sz w:val="20"/>
          <w:szCs w:val="20"/>
        </w:rPr>
        <w:t>/T50531-</w:t>
      </w:r>
      <w:r>
        <w:rPr>
          <w:rFonts w:ascii="宋体" w:hAnsi="宋体" w:eastAsia="宋体" w:cs="宋体"/>
          <w:spacing w:val="9"/>
          <w:sz w:val="20"/>
          <w:szCs w:val="20"/>
        </w:rPr>
        <w:t>2009，将安装材料在消耗量定</w:t>
      </w:r>
      <w:r>
        <w:rPr>
          <w:rFonts w:ascii="宋体" w:hAnsi="宋体" w:eastAsia="宋体" w:cs="宋体"/>
          <w:spacing w:val="11"/>
          <w:sz w:val="20"/>
          <w:szCs w:val="20"/>
        </w:rPr>
        <w:t>额表材料栏内列出，如安装物未在材料栏内列出的视为设备。如成套配电箱安</w:t>
      </w:r>
      <w:r>
        <w:rPr>
          <w:rFonts w:ascii="宋体" w:hAnsi="宋体" w:eastAsia="宋体" w:cs="宋体"/>
          <w:spacing w:val="10"/>
          <w:sz w:val="20"/>
          <w:szCs w:val="20"/>
        </w:rPr>
        <w:t>装定额材料栏内未列</w:t>
      </w:r>
      <w:r>
        <w:rPr>
          <w:rFonts w:ascii="宋体" w:hAnsi="宋体" w:eastAsia="宋体" w:cs="宋体"/>
          <w:spacing w:val="8"/>
          <w:sz w:val="20"/>
          <w:szCs w:val="20"/>
        </w:rPr>
        <w:t>出配电箱，则配电箱应为设备。</w:t>
      </w:r>
    </w:p>
    <w:p>
      <w:pPr>
        <w:spacing w:before="32" w:line="285" w:lineRule="exact"/>
        <w:ind w:left="423"/>
        <w:rPr>
          <w:rFonts w:ascii="宋体" w:hAnsi="宋体" w:eastAsia="宋体" w:cs="宋体"/>
          <w:sz w:val="20"/>
          <w:szCs w:val="20"/>
        </w:rPr>
      </w:pPr>
      <w:r>
        <w:rPr>
          <w:rFonts w:ascii="宋体" w:hAnsi="宋体" w:eastAsia="宋体" w:cs="宋体"/>
          <w:b/>
          <w:bCs/>
          <w:spacing w:val="6"/>
          <w:position w:val="1"/>
          <w:sz w:val="20"/>
          <w:szCs w:val="20"/>
        </w:rPr>
        <w:t>20.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关于工业厂房中的电气照明、给排水、采暖等工程类别的确定</w:t>
      </w:r>
    </w:p>
    <w:p>
      <w:pPr>
        <w:spacing w:before="116" w:line="233" w:lineRule="auto"/>
        <w:ind w:left="422"/>
        <w:rPr>
          <w:rFonts w:ascii="宋体" w:hAnsi="宋体" w:eastAsia="宋体" w:cs="宋体"/>
          <w:sz w:val="20"/>
          <w:szCs w:val="20"/>
        </w:rPr>
      </w:pPr>
      <w:r>
        <w:rPr>
          <w:rFonts w:ascii="宋体" w:hAnsi="宋体" w:eastAsia="宋体" w:cs="宋体"/>
          <w:spacing w:val="9"/>
          <w:sz w:val="20"/>
          <w:szCs w:val="20"/>
        </w:rPr>
        <w:t>工业厂房中的电气照明、给排水、采暖等工程按工业安装工程类别确定。</w:t>
      </w:r>
    </w:p>
    <w:p>
      <w:pPr>
        <w:spacing w:before="156" w:line="278" w:lineRule="exact"/>
        <w:ind w:left="423"/>
        <w:rPr>
          <w:rFonts w:ascii="宋体" w:hAnsi="宋体" w:eastAsia="宋体" w:cs="宋体"/>
          <w:sz w:val="20"/>
          <w:szCs w:val="20"/>
        </w:rPr>
      </w:pPr>
      <w:r>
        <w:rPr>
          <w:rFonts w:ascii="宋体" w:hAnsi="宋体" w:eastAsia="宋体" w:cs="宋体"/>
          <w:b/>
          <w:bCs/>
          <w:spacing w:val="5"/>
          <w:position w:val="1"/>
          <w:sz w:val="20"/>
          <w:szCs w:val="20"/>
        </w:rPr>
        <w:t>21.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关于公共建筑配套冷库工程安装工程类别的确定</w:t>
      </w:r>
    </w:p>
    <w:p>
      <w:pPr>
        <w:spacing w:before="123" w:line="223" w:lineRule="auto"/>
        <w:ind w:left="420"/>
        <w:rPr>
          <w:rFonts w:ascii="宋体" w:hAnsi="宋体" w:eastAsia="宋体" w:cs="宋体"/>
          <w:sz w:val="20"/>
          <w:szCs w:val="20"/>
        </w:rPr>
      </w:pPr>
      <w:r>
        <w:rPr>
          <w:rFonts w:ascii="宋体" w:hAnsi="宋体" w:eastAsia="宋体" w:cs="宋体"/>
          <w:spacing w:val="9"/>
          <w:sz w:val="20"/>
          <w:szCs w:val="20"/>
        </w:rPr>
        <w:t>公共建筑配套冷库工程安装工程按民用安装工程类别确定。</w:t>
      </w:r>
    </w:p>
    <w:p>
      <w:pPr>
        <w:spacing w:before="158" w:line="351" w:lineRule="auto"/>
        <w:ind w:left="3" w:right="67" w:firstLine="419"/>
        <w:rPr>
          <w:rFonts w:ascii="宋体" w:hAnsi="宋体" w:eastAsia="宋体" w:cs="宋体"/>
          <w:sz w:val="20"/>
          <w:szCs w:val="20"/>
        </w:rPr>
      </w:pPr>
      <w:r>
        <w:rPr>
          <w:rFonts w:ascii="宋体" w:hAnsi="宋体" w:eastAsia="宋体" w:cs="宋体"/>
          <w:b/>
          <w:bCs/>
          <w:spacing w:val="8"/>
          <w:sz w:val="20"/>
          <w:szCs w:val="20"/>
        </w:rPr>
        <w:t>22.</w:t>
      </w:r>
      <w:r>
        <w:rPr>
          <w:rFonts w:ascii="宋体" w:hAnsi="宋体" w:eastAsia="宋体" w:cs="宋体"/>
          <w:spacing w:val="8"/>
          <w:sz w:val="20"/>
          <w:szCs w:val="20"/>
        </w:rPr>
        <w:t xml:space="preserve"> </w:t>
      </w:r>
      <w:r>
        <w:rPr>
          <w:rFonts w:ascii="宋体" w:hAnsi="宋体" w:eastAsia="宋体" w:cs="宋体"/>
          <w:b/>
          <w:bCs/>
          <w:spacing w:val="8"/>
          <w:sz w:val="20"/>
          <w:szCs w:val="20"/>
        </w:rPr>
        <w:t>关于夜间施工费、二次搬运费、冬雨季施工增加费等按费率计取的措施费如实际不发生是</w:t>
      </w:r>
      <w:r>
        <w:rPr>
          <w:rFonts w:ascii="宋体" w:hAnsi="宋体" w:eastAsia="宋体" w:cs="宋体"/>
          <w:b/>
          <w:bCs/>
          <w:spacing w:val="6"/>
          <w:sz w:val="20"/>
          <w:szCs w:val="20"/>
        </w:rPr>
        <w:t>否计取</w:t>
      </w:r>
    </w:p>
    <w:p>
      <w:pPr>
        <w:spacing w:before="41" w:line="222" w:lineRule="auto"/>
        <w:ind w:left="432"/>
        <w:rPr>
          <w:rFonts w:ascii="宋体" w:hAnsi="宋体" w:eastAsia="宋体" w:cs="宋体"/>
          <w:sz w:val="20"/>
          <w:szCs w:val="20"/>
        </w:rPr>
      </w:pPr>
      <w:r>
        <w:rPr>
          <w:rFonts w:ascii="宋体" w:hAnsi="宋体" w:eastAsia="宋体" w:cs="宋体"/>
          <w:spacing w:val="9"/>
          <w:sz w:val="20"/>
          <w:szCs w:val="20"/>
        </w:rPr>
        <w:t>除双方合同另有约定外，不论现场是否发生，包干</w:t>
      </w:r>
      <w:r>
        <w:rPr>
          <w:rFonts w:ascii="宋体" w:hAnsi="宋体" w:eastAsia="宋体" w:cs="宋体"/>
          <w:spacing w:val="8"/>
          <w:sz w:val="20"/>
          <w:szCs w:val="20"/>
        </w:rPr>
        <w:t>使用。</w:t>
      </w:r>
    </w:p>
    <w:p>
      <w:pPr>
        <w:spacing w:before="157" w:line="277" w:lineRule="exact"/>
        <w:ind w:left="423"/>
        <w:rPr>
          <w:rFonts w:ascii="宋体" w:hAnsi="宋体" w:eastAsia="宋体" w:cs="宋体"/>
          <w:sz w:val="20"/>
          <w:szCs w:val="20"/>
        </w:rPr>
      </w:pPr>
      <w:r>
        <w:rPr>
          <w:rFonts w:ascii="宋体" w:hAnsi="宋体" w:eastAsia="宋体" w:cs="宋体"/>
          <w:b/>
          <w:bCs/>
          <w:spacing w:val="5"/>
          <w:position w:val="1"/>
          <w:sz w:val="20"/>
          <w:szCs w:val="20"/>
        </w:rPr>
        <w:t>23.</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关于甲供材料是否作为计取规费的计费基础</w:t>
      </w:r>
    </w:p>
    <w:p>
      <w:pPr>
        <w:spacing w:before="124" w:line="277" w:lineRule="exact"/>
        <w:ind w:left="446"/>
        <w:rPr>
          <w:rFonts w:ascii="宋体" w:hAnsi="宋体" w:eastAsia="宋体" w:cs="宋体"/>
          <w:sz w:val="20"/>
          <w:szCs w:val="20"/>
        </w:rPr>
      </w:pPr>
      <w:r>
        <w:rPr>
          <w:rFonts w:ascii="宋体" w:hAnsi="宋体" w:eastAsia="宋体" w:cs="宋体"/>
          <w:spacing w:val="7"/>
          <w:position w:val="1"/>
          <w:sz w:val="20"/>
          <w:szCs w:val="20"/>
        </w:rPr>
        <w:t>甲供材料应作为计取规费的计费基础。</w:t>
      </w:r>
    </w:p>
    <w:p>
      <w:pPr>
        <w:spacing w:before="121" w:line="276" w:lineRule="exact"/>
        <w:ind w:left="423"/>
        <w:rPr>
          <w:rFonts w:ascii="宋体" w:hAnsi="宋体" w:eastAsia="宋体" w:cs="宋体"/>
          <w:sz w:val="20"/>
          <w:szCs w:val="20"/>
        </w:rPr>
      </w:pPr>
      <w:r>
        <w:rPr>
          <w:rFonts w:ascii="宋体" w:hAnsi="宋体" w:eastAsia="宋体" w:cs="宋体"/>
          <w:b/>
          <w:bCs/>
          <w:spacing w:val="7"/>
          <w:position w:val="1"/>
          <w:sz w:val="20"/>
          <w:szCs w:val="20"/>
        </w:rPr>
        <w:t>24.</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关于民用换热站是否可计取册说明第七条规定</w:t>
      </w:r>
      <w:r>
        <w:rPr>
          <w:rFonts w:ascii="宋体" w:hAnsi="宋体" w:eastAsia="宋体" w:cs="宋体"/>
          <w:b/>
          <w:bCs/>
          <w:spacing w:val="6"/>
          <w:position w:val="1"/>
          <w:sz w:val="20"/>
          <w:szCs w:val="20"/>
        </w:rPr>
        <w:t>的站类工程系统调整费的计价问题</w:t>
      </w:r>
    </w:p>
    <w:p>
      <w:pPr>
        <w:spacing w:before="125" w:line="278" w:lineRule="exact"/>
        <w:ind w:left="440"/>
        <w:rPr>
          <w:rFonts w:ascii="宋体" w:hAnsi="宋体" w:eastAsia="宋体" w:cs="宋体"/>
          <w:sz w:val="20"/>
          <w:szCs w:val="20"/>
        </w:rPr>
      </w:pPr>
      <w:r>
        <w:rPr>
          <w:rFonts w:ascii="宋体" w:hAnsi="宋体" w:eastAsia="宋体" w:cs="宋体"/>
          <w:spacing w:val="8"/>
          <w:position w:val="1"/>
          <w:sz w:val="20"/>
          <w:szCs w:val="20"/>
        </w:rPr>
        <w:t>民用换热站可计取册说明第七条规定的站类工程系统调整费。</w:t>
      </w:r>
    </w:p>
    <w:p>
      <w:pPr>
        <w:spacing w:line="278" w:lineRule="exact"/>
        <w:rPr>
          <w:rFonts w:ascii="宋体" w:hAnsi="宋体" w:eastAsia="宋体" w:cs="宋体"/>
          <w:sz w:val="20"/>
          <w:szCs w:val="20"/>
        </w:rPr>
        <w:sectPr>
          <w:footerReference r:id="rId154" w:type="default"/>
          <w:pgSz w:w="11906" w:h="16839"/>
          <w:pgMar w:top="400" w:right="1353"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3"/>
        <w:rPr>
          <w:rFonts w:ascii="宋体" w:hAnsi="宋体" w:eastAsia="宋体" w:cs="宋体"/>
          <w:sz w:val="20"/>
          <w:szCs w:val="20"/>
        </w:rPr>
      </w:pPr>
      <w:r>
        <w:rPr>
          <w:rFonts w:ascii="宋体" w:hAnsi="宋体" w:eastAsia="宋体" w:cs="宋体"/>
          <w:b/>
          <w:bCs/>
          <w:spacing w:val="1"/>
          <w:position w:val="1"/>
          <w:sz w:val="20"/>
          <w:szCs w:val="20"/>
        </w:rPr>
        <w:t>25.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关于联动试车费</w:t>
      </w:r>
    </w:p>
    <w:p>
      <w:pPr>
        <w:spacing w:before="121" w:line="371" w:lineRule="auto"/>
        <w:ind w:right="109" w:firstLine="422"/>
        <w:jc w:val="both"/>
        <w:rPr>
          <w:rFonts w:ascii="宋体" w:hAnsi="宋体" w:eastAsia="宋体" w:cs="宋体"/>
          <w:sz w:val="20"/>
          <w:szCs w:val="20"/>
        </w:rPr>
      </w:pPr>
      <w:r>
        <w:rPr>
          <w:rFonts w:ascii="宋体" w:hAnsi="宋体" w:eastAsia="宋体" w:cs="宋体"/>
          <w:spacing w:val="9"/>
          <w:sz w:val="20"/>
          <w:szCs w:val="20"/>
        </w:rPr>
        <w:t>2016</w:t>
      </w:r>
      <w:r>
        <w:rPr>
          <w:rFonts w:ascii="宋体" w:hAnsi="宋体" w:eastAsia="宋体" w:cs="宋体"/>
          <w:spacing w:val="-38"/>
          <w:sz w:val="20"/>
          <w:szCs w:val="20"/>
        </w:rPr>
        <w:t xml:space="preserve"> </w:t>
      </w:r>
      <w:r>
        <w:rPr>
          <w:rFonts w:ascii="宋体" w:hAnsi="宋体" w:eastAsia="宋体" w:cs="宋体"/>
          <w:spacing w:val="9"/>
          <w:sz w:val="20"/>
          <w:szCs w:val="20"/>
        </w:rPr>
        <w:t>版消耗量定额除有明确规定者外，只包括生产系统的设备单体、单机或单系统的</w:t>
      </w:r>
      <w:r>
        <w:rPr>
          <w:rFonts w:ascii="宋体" w:hAnsi="宋体" w:eastAsia="宋体" w:cs="宋体"/>
          <w:spacing w:val="8"/>
          <w:sz w:val="20"/>
          <w:szCs w:val="20"/>
        </w:rPr>
        <w:t>无负荷试</w:t>
      </w:r>
      <w:r>
        <w:rPr>
          <w:rFonts w:ascii="宋体" w:hAnsi="宋体" w:eastAsia="宋体" w:cs="宋体"/>
          <w:spacing w:val="11"/>
          <w:sz w:val="20"/>
          <w:szCs w:val="20"/>
        </w:rPr>
        <w:t>运转，不包括生产系统（小型站类除外）的负荷联动试运转费用。工业项目生</w:t>
      </w:r>
      <w:r>
        <w:rPr>
          <w:rFonts w:ascii="宋体" w:hAnsi="宋体" w:eastAsia="宋体" w:cs="宋体"/>
          <w:spacing w:val="10"/>
          <w:sz w:val="20"/>
          <w:szCs w:val="20"/>
        </w:rPr>
        <w:t>产系统的负荷联动试</w:t>
      </w:r>
      <w:r>
        <w:rPr>
          <w:rFonts w:ascii="宋体" w:hAnsi="宋体" w:eastAsia="宋体" w:cs="宋体"/>
          <w:spacing w:val="11"/>
          <w:sz w:val="20"/>
          <w:szCs w:val="20"/>
        </w:rPr>
        <w:t>运转工作，应以建设单位为主，施工单位配合。施工单位配合联动试运转费用</w:t>
      </w:r>
      <w:r>
        <w:rPr>
          <w:rFonts w:ascii="宋体" w:hAnsi="宋体" w:eastAsia="宋体" w:cs="宋体"/>
          <w:spacing w:val="10"/>
          <w:sz w:val="20"/>
          <w:szCs w:val="20"/>
        </w:rPr>
        <w:t>可按试车方案或国家</w:t>
      </w:r>
      <w:r>
        <w:rPr>
          <w:rFonts w:ascii="宋体" w:hAnsi="宋体" w:eastAsia="宋体" w:cs="宋体"/>
          <w:spacing w:val="11"/>
          <w:sz w:val="20"/>
          <w:szCs w:val="20"/>
        </w:rPr>
        <w:t>行业主管部门的规定计取，也可按各系统工程人工费的</w:t>
      </w:r>
      <w:r>
        <w:rPr>
          <w:rFonts w:ascii="宋体" w:hAnsi="宋体" w:eastAsia="宋体" w:cs="宋体"/>
          <w:spacing w:val="-35"/>
          <w:sz w:val="20"/>
          <w:szCs w:val="20"/>
        </w:rPr>
        <w:t xml:space="preserve"> </w:t>
      </w:r>
      <w:r>
        <w:rPr>
          <w:rFonts w:ascii="宋体" w:hAnsi="宋体" w:eastAsia="宋体" w:cs="宋体"/>
          <w:spacing w:val="11"/>
          <w:sz w:val="20"/>
          <w:szCs w:val="20"/>
        </w:rPr>
        <w:t>5%计取。</w:t>
      </w:r>
    </w:p>
    <w:p>
      <w:pPr>
        <w:spacing w:before="1" w:line="366" w:lineRule="auto"/>
        <w:ind w:left="3" w:right="112" w:firstLine="437"/>
        <w:rPr>
          <w:rFonts w:ascii="宋体" w:hAnsi="宋体" w:eastAsia="宋体" w:cs="宋体"/>
          <w:sz w:val="20"/>
          <w:szCs w:val="20"/>
        </w:rPr>
      </w:pPr>
      <w:r>
        <w:rPr>
          <w:rFonts w:ascii="宋体" w:hAnsi="宋体" w:eastAsia="宋体" w:cs="宋体"/>
          <w:spacing w:val="9"/>
          <w:sz w:val="20"/>
          <w:szCs w:val="20"/>
        </w:rPr>
        <w:t>民用工程联动调试已包括在相应定额中，不再单独计取。如火灾报警系统、</w:t>
      </w:r>
      <w:r>
        <w:rPr>
          <w:rFonts w:ascii="宋体" w:hAnsi="宋体" w:eastAsia="宋体" w:cs="宋体"/>
          <w:spacing w:val="-44"/>
          <w:sz w:val="20"/>
          <w:szCs w:val="20"/>
        </w:rPr>
        <w:t xml:space="preserve"> </w:t>
      </w:r>
      <w:r>
        <w:rPr>
          <w:rFonts w:ascii="宋体" w:hAnsi="宋体" w:eastAsia="宋体" w:cs="宋体"/>
          <w:spacing w:val="9"/>
          <w:sz w:val="20"/>
          <w:szCs w:val="20"/>
        </w:rPr>
        <w:t>自动消防、喷淋系</w:t>
      </w:r>
      <w:r>
        <w:rPr>
          <w:rFonts w:ascii="宋体" w:hAnsi="宋体" w:eastAsia="宋体" w:cs="宋体"/>
          <w:spacing w:val="10"/>
          <w:sz w:val="20"/>
          <w:szCs w:val="20"/>
        </w:rPr>
        <w:t>统、排风（烟）、电梯、防火卷帘门等联系在</w:t>
      </w:r>
      <w:r>
        <w:rPr>
          <w:rFonts w:ascii="宋体" w:hAnsi="宋体" w:eastAsia="宋体" w:cs="宋体"/>
          <w:spacing w:val="9"/>
          <w:sz w:val="20"/>
          <w:szCs w:val="20"/>
        </w:rPr>
        <w:t>一起的综合调试已包括在各分项定额内。</w:t>
      </w:r>
    </w:p>
    <w:p>
      <w:pPr>
        <w:spacing w:line="351" w:lineRule="auto"/>
        <w:ind w:right="109" w:firstLine="422"/>
        <w:rPr>
          <w:rFonts w:ascii="宋体" w:hAnsi="宋体" w:eastAsia="宋体" w:cs="宋体"/>
          <w:sz w:val="20"/>
          <w:szCs w:val="20"/>
        </w:rPr>
      </w:pPr>
      <w:r>
        <w:rPr>
          <w:rFonts w:ascii="宋体" w:hAnsi="宋体" w:eastAsia="宋体" w:cs="宋体"/>
          <w:b/>
          <w:bCs/>
          <w:spacing w:val="8"/>
          <w:sz w:val="20"/>
          <w:szCs w:val="20"/>
        </w:rPr>
        <w:t>26.</w:t>
      </w:r>
      <w:r>
        <w:rPr>
          <w:rFonts w:ascii="宋体" w:hAnsi="宋体" w:eastAsia="宋体" w:cs="宋体"/>
          <w:spacing w:val="8"/>
          <w:sz w:val="20"/>
          <w:szCs w:val="20"/>
        </w:rPr>
        <w:t xml:space="preserve"> </w:t>
      </w:r>
      <w:r>
        <w:rPr>
          <w:rFonts w:ascii="宋体" w:hAnsi="宋体" w:eastAsia="宋体" w:cs="宋体"/>
          <w:b/>
          <w:bCs/>
          <w:spacing w:val="8"/>
          <w:sz w:val="20"/>
          <w:szCs w:val="20"/>
        </w:rPr>
        <w:t>关于“环保、安防、消防、劳保、技术监督等部门的监测检验费用，发生时按有关部门规定另行计算”的解释</w:t>
      </w:r>
    </w:p>
    <w:p>
      <w:pPr>
        <w:spacing w:before="41" w:line="368" w:lineRule="auto"/>
        <w:ind w:right="112" w:firstLine="421"/>
        <w:jc w:val="both"/>
        <w:rPr>
          <w:rFonts w:ascii="宋体" w:hAnsi="宋体" w:eastAsia="宋体" w:cs="宋体"/>
          <w:sz w:val="20"/>
          <w:szCs w:val="20"/>
        </w:rPr>
      </w:pPr>
      <w:r>
        <w:rPr>
          <w:rFonts w:ascii="宋体" w:hAnsi="宋体" w:eastAsia="宋体" w:cs="宋体"/>
          <w:spacing w:val="11"/>
          <w:sz w:val="20"/>
          <w:szCs w:val="20"/>
        </w:rPr>
        <w:t>上述费用是发生于工程上的检验、验收费用，其费用计算标准按相关部门规</w:t>
      </w:r>
      <w:r>
        <w:rPr>
          <w:rFonts w:ascii="宋体" w:hAnsi="宋体" w:eastAsia="宋体" w:cs="宋体"/>
          <w:spacing w:val="10"/>
          <w:sz w:val="20"/>
          <w:szCs w:val="20"/>
        </w:rPr>
        <w:t>定计算。对于这类</w:t>
      </w:r>
      <w:r>
        <w:rPr>
          <w:rFonts w:ascii="宋体" w:hAnsi="宋体" w:eastAsia="宋体" w:cs="宋体"/>
          <w:spacing w:val="11"/>
          <w:sz w:val="20"/>
          <w:szCs w:val="20"/>
        </w:rPr>
        <w:t>强制性检验、验收收费是属于建设单位管理费，应由建设单位承担。若建设单</w:t>
      </w:r>
      <w:r>
        <w:rPr>
          <w:rFonts w:ascii="宋体" w:hAnsi="宋体" w:eastAsia="宋体" w:cs="宋体"/>
          <w:spacing w:val="10"/>
          <w:sz w:val="20"/>
          <w:szCs w:val="20"/>
        </w:rPr>
        <w:t>位委托施工企业代扣</w:t>
      </w:r>
      <w:r>
        <w:rPr>
          <w:rFonts w:ascii="宋体" w:hAnsi="宋体" w:eastAsia="宋体" w:cs="宋体"/>
          <w:spacing w:val="9"/>
          <w:sz w:val="20"/>
          <w:szCs w:val="20"/>
        </w:rPr>
        <w:t>代交垫付的，施工企业应把发票费用转账给甲方，也不宜列入工程造价中。</w:t>
      </w:r>
    </w:p>
    <w:p>
      <w:pPr>
        <w:spacing w:line="279" w:lineRule="exact"/>
        <w:ind w:left="423"/>
        <w:rPr>
          <w:rFonts w:ascii="宋体" w:hAnsi="宋体" w:eastAsia="宋体" w:cs="宋体"/>
          <w:sz w:val="20"/>
          <w:szCs w:val="20"/>
        </w:rPr>
      </w:pPr>
      <w:r>
        <w:rPr>
          <w:rFonts w:ascii="宋体" w:hAnsi="宋体" w:eastAsia="宋体" w:cs="宋体"/>
          <w:b/>
          <w:bCs/>
          <w:spacing w:val="4"/>
          <w:position w:val="1"/>
          <w:sz w:val="20"/>
          <w:szCs w:val="20"/>
        </w:rPr>
        <w:t>27.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关于成套配电箱接地和放置木箱安装</w:t>
      </w:r>
    </w:p>
    <w:p>
      <w:pPr>
        <w:spacing w:before="123" w:line="296" w:lineRule="auto"/>
        <w:ind w:left="3" w:firstLine="409"/>
        <w:rPr>
          <w:rFonts w:ascii="宋体" w:hAnsi="宋体" w:eastAsia="宋体" w:cs="宋体"/>
          <w:sz w:val="20"/>
          <w:szCs w:val="20"/>
        </w:rPr>
      </w:pPr>
      <w:r>
        <w:rPr>
          <w:rFonts w:ascii="宋体" w:hAnsi="宋体" w:eastAsia="宋体" w:cs="宋体"/>
          <w:spacing w:val="3"/>
          <w:sz w:val="20"/>
          <w:szCs w:val="20"/>
        </w:rPr>
        <w:t>（</w:t>
      </w:r>
      <w:r>
        <w:rPr>
          <w:rFonts w:ascii="宋体" w:hAnsi="宋体" w:eastAsia="宋体" w:cs="宋体"/>
          <w:spacing w:val="-45"/>
          <w:sz w:val="20"/>
          <w:szCs w:val="20"/>
        </w:rPr>
        <w:t xml:space="preserve"> </w:t>
      </w:r>
      <w:r>
        <w:rPr>
          <w:rFonts w:ascii="宋体" w:hAnsi="宋体" w:eastAsia="宋体" w:cs="宋体"/>
          <w:spacing w:val="3"/>
          <w:sz w:val="20"/>
          <w:szCs w:val="20"/>
        </w:rPr>
        <w:t>1）配电箱安装定额中半周长</w:t>
      </w:r>
      <w:r>
        <w:rPr>
          <w:rFonts w:ascii="宋体" w:hAnsi="宋体" w:eastAsia="宋体" w:cs="宋体"/>
          <w:spacing w:val="-41"/>
          <w:sz w:val="20"/>
          <w:szCs w:val="20"/>
        </w:rPr>
        <w:t xml:space="preserve"> </w:t>
      </w:r>
      <w:r>
        <w:rPr>
          <w:rFonts w:ascii="宋体" w:hAnsi="宋体" w:eastAsia="宋体" w:cs="宋体"/>
          <w:spacing w:val="3"/>
          <w:sz w:val="20"/>
          <w:szCs w:val="20"/>
        </w:rPr>
        <w:t>2.5m</w:t>
      </w:r>
      <w:r>
        <w:rPr>
          <w:rFonts w:ascii="宋体" w:hAnsi="宋体" w:eastAsia="宋体" w:cs="宋体"/>
          <w:spacing w:val="-41"/>
          <w:sz w:val="20"/>
          <w:szCs w:val="20"/>
        </w:rPr>
        <w:t xml:space="preserve"> </w:t>
      </w:r>
      <w:r>
        <w:rPr>
          <w:rFonts w:ascii="宋体" w:hAnsi="宋体" w:eastAsia="宋体" w:cs="宋体"/>
          <w:spacing w:val="3"/>
          <w:sz w:val="20"/>
          <w:szCs w:val="20"/>
        </w:rPr>
        <w:t>子目考虑了扁钢接地，其余配电箱安装（半周长</w:t>
      </w:r>
      <w:r>
        <w:rPr>
          <w:rFonts w:ascii="宋体" w:hAnsi="宋体" w:eastAsia="宋体" w:cs="宋体"/>
          <w:spacing w:val="-24"/>
          <w:sz w:val="20"/>
          <w:szCs w:val="20"/>
        </w:rPr>
        <w:t xml:space="preserve"> </w:t>
      </w:r>
      <w:r>
        <w:rPr>
          <w:rFonts w:ascii="宋体" w:hAnsi="宋体" w:eastAsia="宋体" w:cs="宋体"/>
          <w:spacing w:val="3"/>
          <w:sz w:val="20"/>
          <w:szCs w:val="20"/>
        </w:rPr>
        <w:t>1.5m</w:t>
      </w:r>
      <w:r>
        <w:rPr>
          <w:rFonts w:ascii="宋体" w:hAnsi="宋体" w:eastAsia="宋体" w:cs="宋体"/>
          <w:spacing w:val="-23"/>
          <w:sz w:val="20"/>
          <w:szCs w:val="20"/>
        </w:rPr>
        <w:t xml:space="preserve"> </w:t>
      </w:r>
      <w:r>
        <w:rPr>
          <w:rFonts w:ascii="宋体" w:hAnsi="宋体" w:eastAsia="宋体" w:cs="宋体"/>
          <w:spacing w:val="3"/>
          <w:sz w:val="20"/>
          <w:szCs w:val="20"/>
        </w:rPr>
        <w:t>以内）</w:t>
      </w:r>
      <w:r>
        <w:rPr>
          <w:rFonts w:ascii="宋体" w:hAnsi="宋体" w:eastAsia="宋体" w:cs="宋体"/>
          <w:spacing w:val="7"/>
          <w:sz w:val="20"/>
          <w:szCs w:val="20"/>
        </w:rPr>
        <w:t>均考虑裸铜线接地。</w:t>
      </w:r>
    </w:p>
    <w:p>
      <w:pPr>
        <w:spacing w:before="158" w:line="297" w:lineRule="auto"/>
        <w:ind w:right="111" w:firstLine="413"/>
        <w:rPr>
          <w:rFonts w:ascii="宋体" w:hAnsi="宋体" w:eastAsia="宋体" w:cs="宋体"/>
          <w:sz w:val="20"/>
          <w:szCs w:val="20"/>
        </w:rPr>
      </w:pPr>
      <w:r>
        <w:rPr>
          <w:rFonts w:ascii="宋体" w:hAnsi="宋体" w:eastAsia="宋体" w:cs="宋体"/>
          <w:spacing w:val="8"/>
          <w:sz w:val="20"/>
          <w:szCs w:val="20"/>
        </w:rPr>
        <w:t>（2）挂墙明装考虑采用镀锌膨胀螺栓固定；嵌入式，增加箱洞预留的措施费用，未考虑配电箱</w:t>
      </w:r>
      <w:r>
        <w:rPr>
          <w:rFonts w:ascii="宋体" w:hAnsi="宋体" w:eastAsia="宋体" w:cs="宋体"/>
          <w:spacing w:val="9"/>
          <w:sz w:val="20"/>
          <w:szCs w:val="20"/>
        </w:rPr>
        <w:t>灌缝费用。嵌入式综合考虑了混凝土、砖墙上两种安装方式。</w:t>
      </w:r>
    </w:p>
    <w:p>
      <w:pPr>
        <w:spacing w:before="157" w:line="277" w:lineRule="exact"/>
        <w:ind w:left="413"/>
        <w:rPr>
          <w:rFonts w:ascii="宋体" w:hAnsi="宋体" w:eastAsia="宋体" w:cs="宋体"/>
          <w:sz w:val="20"/>
          <w:szCs w:val="20"/>
        </w:rPr>
      </w:pPr>
      <w:r>
        <w:rPr>
          <w:rFonts w:ascii="宋体" w:hAnsi="宋体" w:eastAsia="宋体" w:cs="宋体"/>
          <w:spacing w:val="9"/>
          <w:position w:val="1"/>
          <w:sz w:val="20"/>
          <w:szCs w:val="20"/>
        </w:rPr>
        <w:t>（3）混凝土墙箱洞考虑采用放置木箱，一次性摊销。</w:t>
      </w:r>
    </w:p>
    <w:p>
      <w:pPr>
        <w:spacing w:before="122" w:line="277" w:lineRule="exact"/>
        <w:ind w:left="413"/>
        <w:rPr>
          <w:rFonts w:ascii="宋体" w:hAnsi="宋体" w:eastAsia="宋体" w:cs="宋体"/>
          <w:sz w:val="20"/>
          <w:szCs w:val="20"/>
        </w:rPr>
      </w:pPr>
      <w:r>
        <w:rPr>
          <w:rFonts w:ascii="宋体" w:hAnsi="宋体" w:eastAsia="宋体" w:cs="宋体"/>
          <w:spacing w:val="8"/>
          <w:position w:val="1"/>
          <w:sz w:val="20"/>
          <w:szCs w:val="20"/>
        </w:rPr>
        <w:t>（4）砖墙、砌块墙考虑采用Φ10</w:t>
      </w:r>
      <w:r>
        <w:rPr>
          <w:rFonts w:ascii="宋体" w:hAnsi="宋体" w:eastAsia="宋体" w:cs="宋体"/>
          <w:spacing w:val="-28"/>
          <w:position w:val="1"/>
          <w:sz w:val="20"/>
          <w:szCs w:val="20"/>
        </w:rPr>
        <w:t xml:space="preserve"> </w:t>
      </w:r>
      <w:r>
        <w:rPr>
          <w:rFonts w:ascii="宋体" w:hAnsi="宋体" w:eastAsia="宋体" w:cs="宋体"/>
          <w:spacing w:val="8"/>
          <w:position w:val="1"/>
          <w:sz w:val="20"/>
          <w:szCs w:val="20"/>
        </w:rPr>
        <w:t>钢筋作横梁。</w:t>
      </w:r>
    </w:p>
    <w:p>
      <w:pPr>
        <w:spacing w:before="125" w:line="368" w:lineRule="auto"/>
        <w:ind w:left="2" w:right="112" w:firstLine="418"/>
        <w:rPr>
          <w:rFonts w:ascii="宋体" w:hAnsi="宋体" w:eastAsia="宋体" w:cs="宋体"/>
          <w:sz w:val="20"/>
          <w:szCs w:val="20"/>
        </w:rPr>
      </w:pPr>
      <w:r>
        <w:rPr>
          <w:rFonts w:ascii="宋体" w:hAnsi="宋体" w:eastAsia="宋体" w:cs="宋体"/>
          <w:spacing w:val="11"/>
          <w:sz w:val="20"/>
          <w:szCs w:val="20"/>
        </w:rPr>
        <w:t>定额是在确保工程质量的前提下，按正常施工条件、正常施工工艺、正常施工组</w:t>
      </w:r>
      <w:r>
        <w:rPr>
          <w:rFonts w:ascii="宋体" w:hAnsi="宋体" w:eastAsia="宋体" w:cs="宋体"/>
          <w:spacing w:val="10"/>
          <w:sz w:val="20"/>
          <w:szCs w:val="20"/>
        </w:rPr>
        <w:t>织管理等条件</w:t>
      </w:r>
      <w:r>
        <w:rPr>
          <w:rFonts w:ascii="宋体" w:hAnsi="宋体" w:eastAsia="宋体" w:cs="宋体"/>
          <w:spacing w:val="9"/>
          <w:sz w:val="20"/>
          <w:szCs w:val="20"/>
        </w:rPr>
        <w:t>下编制的，对于只埋空箱体的工程，发生时由相关各方根据实际协商解决。</w:t>
      </w:r>
    </w:p>
    <w:p>
      <w:pPr>
        <w:spacing w:line="278" w:lineRule="exact"/>
        <w:ind w:left="423"/>
        <w:rPr>
          <w:rFonts w:ascii="宋体" w:hAnsi="宋体" w:eastAsia="宋体" w:cs="宋体"/>
          <w:sz w:val="20"/>
          <w:szCs w:val="20"/>
        </w:rPr>
      </w:pPr>
      <w:r>
        <w:rPr>
          <w:rFonts w:ascii="宋体" w:hAnsi="宋体" w:eastAsia="宋体" w:cs="宋体"/>
          <w:b/>
          <w:bCs/>
          <w:spacing w:val="3"/>
          <w:position w:val="1"/>
          <w:sz w:val="20"/>
          <w:szCs w:val="20"/>
        </w:rPr>
        <w:t>28.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关于照明母线槽安装执行定额</w:t>
      </w:r>
    </w:p>
    <w:p>
      <w:pPr>
        <w:spacing w:before="123" w:line="277" w:lineRule="exact"/>
        <w:ind w:left="425"/>
        <w:rPr>
          <w:rFonts w:ascii="宋体" w:hAnsi="宋体" w:eastAsia="宋体" w:cs="宋体"/>
          <w:sz w:val="20"/>
          <w:szCs w:val="20"/>
        </w:rPr>
      </w:pPr>
      <w:r>
        <w:rPr>
          <w:rFonts w:ascii="宋体" w:hAnsi="宋体" w:eastAsia="宋体" w:cs="宋体"/>
          <w:spacing w:val="9"/>
          <w:position w:val="1"/>
          <w:sz w:val="20"/>
          <w:szCs w:val="20"/>
        </w:rPr>
        <w:t>照明母线槽安装执行低压封闭式插接母线槽（400A</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以下）定额人工、机</w:t>
      </w:r>
      <w:r>
        <w:rPr>
          <w:rFonts w:ascii="宋体" w:hAnsi="宋体" w:eastAsia="宋体" w:cs="宋体"/>
          <w:spacing w:val="8"/>
          <w:position w:val="1"/>
          <w:sz w:val="20"/>
          <w:szCs w:val="20"/>
        </w:rPr>
        <w:t>械乘系数0.8。</w:t>
      </w:r>
    </w:p>
    <w:p>
      <w:pPr>
        <w:spacing w:before="124" w:line="278" w:lineRule="exact"/>
        <w:ind w:left="423"/>
        <w:rPr>
          <w:rFonts w:ascii="宋体" w:hAnsi="宋体" w:eastAsia="宋体" w:cs="宋体"/>
          <w:sz w:val="20"/>
          <w:szCs w:val="20"/>
        </w:rPr>
      </w:pPr>
      <w:r>
        <w:rPr>
          <w:rFonts w:ascii="宋体" w:hAnsi="宋体" w:eastAsia="宋体" w:cs="宋体"/>
          <w:b/>
          <w:bCs/>
          <w:spacing w:val="4"/>
          <w:position w:val="1"/>
          <w:sz w:val="20"/>
          <w:szCs w:val="20"/>
        </w:rPr>
        <w:t>29.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关于第四册铁构件制作安装定额的界定</w:t>
      </w:r>
    </w:p>
    <w:p>
      <w:pPr>
        <w:spacing w:before="121" w:line="313" w:lineRule="auto"/>
        <w:ind w:left="9" w:right="44" w:firstLine="403"/>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7"/>
          <w:sz w:val="20"/>
          <w:szCs w:val="20"/>
        </w:rPr>
        <w:t xml:space="preserve"> </w:t>
      </w:r>
      <w:r>
        <w:rPr>
          <w:rFonts w:ascii="宋体" w:hAnsi="宋体" w:eastAsia="宋体" w:cs="宋体"/>
          <w:spacing w:val="8"/>
          <w:sz w:val="20"/>
          <w:szCs w:val="20"/>
        </w:rPr>
        <w:t>1）铁构件分为一般铁构件和轻型铁构件，铁构件主体结构厚度在</w:t>
      </w:r>
      <w:r>
        <w:rPr>
          <w:rFonts w:ascii="宋体" w:hAnsi="宋体" w:eastAsia="宋体" w:cs="宋体"/>
          <w:spacing w:val="-36"/>
          <w:sz w:val="20"/>
          <w:szCs w:val="20"/>
        </w:rPr>
        <w:t xml:space="preserve"> </w:t>
      </w:r>
      <w:r>
        <w:rPr>
          <w:rFonts w:ascii="宋体" w:hAnsi="宋体" w:eastAsia="宋体" w:cs="宋体"/>
          <w:spacing w:val="8"/>
          <w:sz w:val="20"/>
          <w:szCs w:val="20"/>
        </w:rPr>
        <w:t>3</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8"/>
          <w:sz w:val="20"/>
          <w:szCs w:val="20"/>
        </w:rPr>
        <w:t>以上的为一般铁构件，</w:t>
      </w:r>
      <w:r>
        <w:rPr>
          <w:rFonts w:ascii="宋体" w:hAnsi="宋体" w:eastAsia="宋体" w:cs="宋体"/>
          <w:spacing w:val="12"/>
          <w:sz w:val="20"/>
          <w:szCs w:val="20"/>
        </w:rPr>
        <w:t>主体结构厚度在</w:t>
      </w:r>
      <w:r>
        <w:rPr>
          <w:rFonts w:ascii="宋体" w:hAnsi="宋体" w:eastAsia="宋体" w:cs="宋体"/>
          <w:spacing w:val="-23"/>
          <w:sz w:val="20"/>
          <w:szCs w:val="20"/>
        </w:rPr>
        <w:t xml:space="preserve"> </w:t>
      </w:r>
      <w:r>
        <w:rPr>
          <w:rFonts w:ascii="宋体" w:hAnsi="宋体" w:eastAsia="宋体" w:cs="宋体"/>
          <w:spacing w:val="12"/>
          <w:sz w:val="20"/>
          <w:szCs w:val="20"/>
        </w:rPr>
        <w:t>3</w:t>
      </w:r>
      <w:r>
        <w:rPr>
          <w:rFonts w:ascii="宋体" w:hAnsi="宋体" w:eastAsia="宋体" w:cs="宋体"/>
          <w:sz w:val="20"/>
          <w:szCs w:val="20"/>
        </w:rPr>
        <w:t>mm</w:t>
      </w:r>
      <w:r>
        <w:rPr>
          <w:rFonts w:ascii="宋体" w:hAnsi="宋体" w:eastAsia="宋体" w:cs="宋体"/>
          <w:spacing w:val="-44"/>
          <w:sz w:val="20"/>
          <w:szCs w:val="20"/>
        </w:rPr>
        <w:t xml:space="preserve"> </w:t>
      </w:r>
      <w:r>
        <w:rPr>
          <w:rFonts w:ascii="宋体" w:hAnsi="宋体" w:eastAsia="宋体" w:cs="宋体"/>
          <w:spacing w:val="12"/>
          <w:sz w:val="20"/>
          <w:szCs w:val="20"/>
        </w:rPr>
        <w:t>及以内的铁构件为轻型铁构件。</w:t>
      </w:r>
    </w:p>
    <w:p>
      <w:pPr>
        <w:spacing w:before="123" w:line="277" w:lineRule="exact"/>
        <w:ind w:left="413"/>
        <w:rPr>
          <w:rFonts w:ascii="宋体" w:hAnsi="宋体" w:eastAsia="宋体" w:cs="宋体"/>
          <w:sz w:val="20"/>
          <w:szCs w:val="20"/>
        </w:rPr>
      </w:pPr>
      <w:r>
        <w:rPr>
          <w:rFonts w:ascii="宋体" w:hAnsi="宋体" w:eastAsia="宋体" w:cs="宋体"/>
          <w:spacing w:val="10"/>
          <w:position w:val="1"/>
          <w:sz w:val="20"/>
          <w:szCs w:val="20"/>
        </w:rPr>
        <w:t>（2）各种铁构件制作，均不包括镀锌、镀锡、镀铬、喷塑等其</w:t>
      </w:r>
      <w:r>
        <w:rPr>
          <w:rFonts w:ascii="宋体" w:hAnsi="宋体" w:eastAsia="宋体" w:cs="宋体"/>
          <w:spacing w:val="9"/>
          <w:position w:val="1"/>
          <w:sz w:val="20"/>
          <w:szCs w:val="20"/>
        </w:rPr>
        <w:t>他金属防护费用，发生时另计。</w:t>
      </w:r>
    </w:p>
    <w:p>
      <w:pPr>
        <w:spacing w:before="113" w:line="280" w:lineRule="exact"/>
        <w:ind w:left="413"/>
        <w:rPr>
          <w:rFonts w:ascii="宋体" w:hAnsi="宋体" w:eastAsia="宋体" w:cs="宋体"/>
          <w:sz w:val="20"/>
          <w:szCs w:val="20"/>
        </w:rPr>
      </w:pPr>
      <w:r>
        <w:rPr>
          <w:rFonts w:ascii="宋体" w:hAnsi="宋体" w:eastAsia="宋体" w:cs="宋体"/>
          <w:spacing w:val="9"/>
          <w:position w:val="1"/>
          <w:sz w:val="20"/>
          <w:szCs w:val="20"/>
        </w:rPr>
        <w:t>（3）单件重量</w:t>
      </w:r>
      <w:r>
        <w:rPr>
          <w:rFonts w:ascii="宋体" w:hAnsi="宋体" w:eastAsia="宋体" w:cs="宋体"/>
          <w:spacing w:val="-24"/>
          <w:position w:val="1"/>
          <w:sz w:val="20"/>
          <w:szCs w:val="20"/>
        </w:rPr>
        <w:t xml:space="preserve"> </w:t>
      </w:r>
      <w:r>
        <w:rPr>
          <w:rFonts w:ascii="宋体" w:hAnsi="宋体" w:eastAsia="宋体" w:cs="宋体"/>
          <w:spacing w:val="9"/>
          <w:position w:val="1"/>
          <w:sz w:val="20"/>
          <w:szCs w:val="20"/>
        </w:rPr>
        <w:t>100</w:t>
      </w:r>
      <w:r>
        <w:rPr>
          <w:rFonts w:ascii="宋体" w:hAnsi="宋体" w:eastAsia="宋体" w:cs="宋体"/>
          <w:position w:val="1"/>
          <w:sz w:val="20"/>
          <w:szCs w:val="20"/>
        </w:rPr>
        <w:t>Kg</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以上的铁构件安装执行第十册《给排水、采暖、燃气工程</w:t>
      </w:r>
      <w:r>
        <w:rPr>
          <w:rFonts w:ascii="宋体" w:hAnsi="宋体" w:eastAsia="宋体" w:cs="宋体"/>
          <w:spacing w:val="8"/>
          <w:position w:val="1"/>
          <w:sz w:val="20"/>
          <w:szCs w:val="20"/>
        </w:rPr>
        <w:t>》相应定额。</w:t>
      </w:r>
    </w:p>
    <w:p>
      <w:pPr>
        <w:spacing w:before="129" w:line="278" w:lineRule="exact"/>
        <w:ind w:left="426"/>
        <w:rPr>
          <w:rFonts w:ascii="宋体" w:hAnsi="宋体" w:eastAsia="宋体" w:cs="宋体"/>
          <w:sz w:val="20"/>
          <w:szCs w:val="20"/>
        </w:rPr>
      </w:pPr>
      <w:r>
        <w:rPr>
          <w:rFonts w:ascii="宋体" w:hAnsi="宋体" w:eastAsia="宋体" w:cs="宋体"/>
          <w:b/>
          <w:bCs/>
          <w:spacing w:val="1"/>
          <w:position w:val="1"/>
          <w:sz w:val="20"/>
          <w:szCs w:val="20"/>
        </w:rPr>
        <w:t>30.</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关于电缆桥架安装</w:t>
      </w:r>
    </w:p>
    <w:p>
      <w:pPr>
        <w:spacing w:before="122" w:line="297" w:lineRule="auto"/>
        <w:ind w:left="1" w:right="109" w:firstLine="411"/>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1）桥架安装包括运输、组对、吊装固定、弯通或三、四通修改、组对，切割口防腐，桥架开</w:t>
      </w:r>
      <w:r>
        <w:rPr>
          <w:rFonts w:ascii="宋体" w:hAnsi="宋体" w:eastAsia="宋体" w:cs="宋体"/>
          <w:spacing w:val="9"/>
          <w:sz w:val="20"/>
          <w:szCs w:val="20"/>
        </w:rPr>
        <w:t>孔，上管件、隔板安装，盖板安装，接地、附件安装等工作内容。</w:t>
      </w:r>
    </w:p>
    <w:p>
      <w:pPr>
        <w:spacing w:before="157" w:line="297" w:lineRule="auto"/>
        <w:ind w:left="1" w:right="109" w:firstLine="411"/>
        <w:rPr>
          <w:rFonts w:ascii="宋体" w:hAnsi="宋体" w:eastAsia="宋体" w:cs="宋体"/>
          <w:sz w:val="20"/>
          <w:szCs w:val="20"/>
        </w:rPr>
      </w:pPr>
      <w:r>
        <w:rPr>
          <w:rFonts w:ascii="宋体" w:hAnsi="宋体" w:eastAsia="宋体" w:cs="宋体"/>
          <w:spacing w:val="9"/>
          <w:sz w:val="20"/>
          <w:szCs w:val="20"/>
        </w:rPr>
        <w:t>（2）玻璃钢梯式桥架和铝合金梯式桥架定</w:t>
      </w:r>
      <w:r>
        <w:rPr>
          <w:rFonts w:ascii="宋体" w:hAnsi="宋体" w:eastAsia="宋体" w:cs="宋体"/>
          <w:spacing w:val="8"/>
          <w:sz w:val="20"/>
          <w:szCs w:val="20"/>
        </w:rPr>
        <w:t>额均按不带盖考虑，如这两种桥架带盖，则分别执行</w:t>
      </w:r>
      <w:r>
        <w:rPr>
          <w:rFonts w:ascii="宋体" w:hAnsi="宋体" w:eastAsia="宋体" w:cs="宋体"/>
          <w:spacing w:val="9"/>
          <w:sz w:val="20"/>
          <w:szCs w:val="20"/>
        </w:rPr>
        <w:t>玻璃钢槽式桥架定额和铝合金槽式桥架定额。</w:t>
      </w:r>
    </w:p>
    <w:p>
      <w:pPr>
        <w:spacing w:before="155" w:line="278" w:lineRule="exact"/>
        <w:ind w:left="426"/>
        <w:rPr>
          <w:rFonts w:ascii="宋体" w:hAnsi="宋体" w:eastAsia="宋体" w:cs="宋体"/>
          <w:sz w:val="20"/>
          <w:szCs w:val="20"/>
        </w:rPr>
      </w:pPr>
      <w:r>
        <w:rPr>
          <w:rFonts w:ascii="宋体" w:hAnsi="宋体" w:eastAsia="宋体" w:cs="宋体"/>
          <w:b/>
          <w:bCs/>
          <w:spacing w:val="3"/>
          <w:position w:val="1"/>
          <w:sz w:val="20"/>
          <w:szCs w:val="20"/>
        </w:rPr>
        <w:t>31.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关于电缆保护管非埋地敷设</w:t>
      </w:r>
    </w:p>
    <w:p>
      <w:pPr>
        <w:spacing w:before="126" w:line="223" w:lineRule="auto"/>
        <w:ind w:left="420"/>
        <w:rPr>
          <w:rFonts w:ascii="宋体" w:hAnsi="宋体" w:eastAsia="宋体" w:cs="宋体"/>
          <w:sz w:val="20"/>
          <w:szCs w:val="20"/>
        </w:rPr>
      </w:pPr>
      <w:r>
        <w:rPr>
          <w:rFonts w:ascii="宋体" w:hAnsi="宋体" w:eastAsia="宋体" w:cs="宋体"/>
          <w:spacing w:val="11"/>
          <w:sz w:val="20"/>
          <w:szCs w:val="20"/>
        </w:rPr>
        <w:t>定额设置了常用的电缆保护管钢管和塑料管两种，敷设方式为埋地，对于其他敷</w:t>
      </w:r>
      <w:r>
        <w:rPr>
          <w:rFonts w:ascii="宋体" w:hAnsi="宋体" w:eastAsia="宋体" w:cs="宋体"/>
          <w:spacing w:val="10"/>
          <w:sz w:val="20"/>
          <w:szCs w:val="20"/>
        </w:rPr>
        <w:t>设方式的电缆</w:t>
      </w:r>
    </w:p>
    <w:p>
      <w:pPr>
        <w:spacing w:line="223" w:lineRule="auto"/>
        <w:rPr>
          <w:rFonts w:ascii="宋体" w:hAnsi="宋体" w:eastAsia="宋体" w:cs="宋体"/>
          <w:sz w:val="20"/>
          <w:szCs w:val="20"/>
        </w:rPr>
        <w:sectPr>
          <w:footerReference r:id="rId155" w:type="default"/>
          <w:pgSz w:w="11906" w:h="16839"/>
          <w:pgMar w:top="400" w:right="1308"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2" w:lineRule="auto"/>
        <w:rPr>
          <w:rFonts w:ascii="宋体" w:hAnsi="宋体" w:eastAsia="宋体" w:cs="宋体"/>
          <w:sz w:val="20"/>
          <w:szCs w:val="20"/>
        </w:rPr>
      </w:pPr>
      <w:r>
        <w:rPr>
          <w:rFonts w:ascii="宋体" w:hAnsi="宋体" w:eastAsia="宋体" w:cs="宋体"/>
          <w:spacing w:val="9"/>
          <w:sz w:val="20"/>
          <w:szCs w:val="20"/>
        </w:rPr>
        <w:t>保护管执行电气配管相应定额。</w:t>
      </w:r>
    </w:p>
    <w:p>
      <w:pPr>
        <w:spacing w:before="155" w:line="278" w:lineRule="exact"/>
        <w:ind w:left="426"/>
        <w:rPr>
          <w:rFonts w:ascii="宋体" w:hAnsi="宋体" w:eastAsia="宋体" w:cs="宋体"/>
          <w:sz w:val="20"/>
          <w:szCs w:val="20"/>
        </w:rPr>
      </w:pPr>
      <w:r>
        <w:rPr>
          <w:rFonts w:ascii="宋体" w:hAnsi="宋体" w:eastAsia="宋体" w:cs="宋体"/>
          <w:b/>
          <w:bCs/>
          <w:spacing w:val="10"/>
          <w:position w:val="1"/>
          <w:sz w:val="20"/>
          <w:szCs w:val="20"/>
        </w:rPr>
        <w:t>32.</w:t>
      </w:r>
      <w:r>
        <w:rPr>
          <w:rFonts w:ascii="宋体" w:hAnsi="宋体" w:eastAsia="宋体" w:cs="宋体"/>
          <w:spacing w:val="10"/>
          <w:position w:val="1"/>
          <w:sz w:val="20"/>
          <w:szCs w:val="20"/>
        </w:rPr>
        <w:t xml:space="preserve"> </w:t>
      </w:r>
      <w:r>
        <w:rPr>
          <w:rFonts w:ascii="宋体" w:hAnsi="宋体" w:eastAsia="宋体" w:cs="宋体"/>
          <w:b/>
          <w:bCs/>
          <w:spacing w:val="10"/>
          <w:position w:val="1"/>
          <w:sz w:val="20"/>
          <w:szCs w:val="20"/>
        </w:rPr>
        <w:t>关于</w:t>
      </w:r>
      <w:r>
        <w:rPr>
          <w:rFonts w:ascii="宋体" w:hAnsi="宋体" w:eastAsia="宋体" w:cs="宋体"/>
          <w:spacing w:val="-30"/>
          <w:position w:val="1"/>
          <w:sz w:val="20"/>
          <w:szCs w:val="20"/>
        </w:rPr>
        <w:t xml:space="preserve"> </w:t>
      </w:r>
      <w:r>
        <w:rPr>
          <w:rFonts w:ascii="宋体" w:hAnsi="宋体" w:eastAsia="宋体" w:cs="宋体"/>
          <w:b/>
          <w:bCs/>
          <w:position w:val="1"/>
          <w:sz w:val="20"/>
          <w:szCs w:val="20"/>
        </w:rPr>
        <w:t>HDPE</w:t>
      </w:r>
      <w:r>
        <w:rPr>
          <w:rFonts w:ascii="宋体" w:hAnsi="宋体" w:eastAsia="宋体" w:cs="宋体"/>
          <w:spacing w:val="-45"/>
          <w:position w:val="1"/>
          <w:sz w:val="20"/>
          <w:szCs w:val="20"/>
        </w:rPr>
        <w:t xml:space="preserve"> </w:t>
      </w:r>
      <w:r>
        <w:rPr>
          <w:rFonts w:ascii="宋体" w:hAnsi="宋体" w:eastAsia="宋体" w:cs="宋体"/>
          <w:b/>
          <w:bCs/>
          <w:spacing w:val="10"/>
          <w:position w:val="1"/>
          <w:sz w:val="20"/>
          <w:szCs w:val="20"/>
        </w:rPr>
        <w:t>及波纹电缆保护管埋地敷设</w:t>
      </w:r>
    </w:p>
    <w:p>
      <w:pPr>
        <w:spacing w:before="127" w:line="367" w:lineRule="auto"/>
        <w:ind w:left="1" w:right="76" w:firstLine="424"/>
        <w:rPr>
          <w:rFonts w:ascii="宋体" w:hAnsi="宋体" w:eastAsia="宋体" w:cs="宋体"/>
          <w:sz w:val="20"/>
          <w:szCs w:val="20"/>
        </w:rPr>
      </w:pPr>
      <w:r>
        <w:rPr>
          <w:rFonts w:ascii="宋体" w:hAnsi="宋体" w:eastAsia="宋体" w:cs="宋体"/>
          <w:sz w:val="20"/>
          <w:szCs w:val="20"/>
        </w:rPr>
        <w:t>HDPE</w:t>
      </w:r>
      <w:r>
        <w:rPr>
          <w:rFonts w:ascii="宋体" w:hAnsi="宋体" w:eastAsia="宋体" w:cs="宋体"/>
          <w:spacing w:val="-29"/>
          <w:sz w:val="20"/>
          <w:szCs w:val="20"/>
        </w:rPr>
        <w:t xml:space="preserve"> </w:t>
      </w:r>
      <w:r>
        <w:rPr>
          <w:rFonts w:ascii="宋体" w:hAnsi="宋体" w:eastAsia="宋体" w:cs="宋体"/>
          <w:spacing w:val="15"/>
          <w:sz w:val="20"/>
          <w:szCs w:val="20"/>
        </w:rPr>
        <w:t>及波纹电缆保护管埋地敷设时执行塑料电缆保护管埋地敷设定额，其他敷设方式执行塑</w:t>
      </w:r>
      <w:r>
        <w:rPr>
          <w:rFonts w:ascii="宋体" w:hAnsi="宋体" w:eastAsia="宋体" w:cs="宋体"/>
          <w:spacing w:val="8"/>
          <w:sz w:val="20"/>
          <w:szCs w:val="20"/>
        </w:rPr>
        <w:t>料管配管相应定额。</w:t>
      </w:r>
    </w:p>
    <w:p>
      <w:pPr>
        <w:spacing w:line="276" w:lineRule="exact"/>
        <w:ind w:left="426"/>
        <w:rPr>
          <w:rFonts w:ascii="宋体" w:hAnsi="宋体" w:eastAsia="宋体" w:cs="宋体"/>
          <w:sz w:val="20"/>
          <w:szCs w:val="20"/>
        </w:rPr>
      </w:pPr>
      <w:r>
        <w:rPr>
          <w:rFonts w:ascii="宋体" w:hAnsi="宋体" w:eastAsia="宋体" w:cs="宋体"/>
          <w:b/>
          <w:bCs/>
          <w:spacing w:val="3"/>
          <w:position w:val="1"/>
          <w:sz w:val="20"/>
          <w:szCs w:val="20"/>
        </w:rPr>
        <w:t>33.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关于电缆沟上金属盖板的制作</w:t>
      </w:r>
    </w:p>
    <w:p>
      <w:pPr>
        <w:spacing w:before="124" w:line="277" w:lineRule="exact"/>
        <w:jc w:val="right"/>
        <w:rPr>
          <w:rFonts w:ascii="宋体" w:hAnsi="宋体" w:eastAsia="宋体" w:cs="宋体"/>
          <w:sz w:val="20"/>
          <w:szCs w:val="20"/>
        </w:rPr>
      </w:pPr>
      <w:r>
        <w:rPr>
          <w:rFonts w:ascii="宋体" w:hAnsi="宋体" w:eastAsia="宋体" w:cs="宋体"/>
          <w:spacing w:val="3"/>
          <w:position w:val="1"/>
          <w:sz w:val="20"/>
          <w:szCs w:val="20"/>
        </w:rPr>
        <w:t>电缆沟上金属盖板的制作，执行铁构件制作定额乘以系数</w:t>
      </w:r>
      <w:r>
        <w:rPr>
          <w:rFonts w:ascii="宋体" w:hAnsi="宋体" w:eastAsia="宋体" w:cs="宋体"/>
          <w:spacing w:val="-28"/>
          <w:position w:val="1"/>
          <w:sz w:val="20"/>
          <w:szCs w:val="20"/>
        </w:rPr>
        <w:t xml:space="preserve"> </w:t>
      </w:r>
      <w:r>
        <w:rPr>
          <w:rFonts w:ascii="宋体" w:hAnsi="宋体" w:eastAsia="宋体" w:cs="宋体"/>
          <w:spacing w:val="3"/>
          <w:position w:val="1"/>
          <w:sz w:val="20"/>
          <w:szCs w:val="20"/>
        </w:rPr>
        <w:t>0.6，安装执行四册揭盖盖板定额子目。</w:t>
      </w:r>
    </w:p>
    <w:p>
      <w:pPr>
        <w:spacing w:before="121" w:line="276" w:lineRule="exact"/>
        <w:ind w:left="426"/>
        <w:rPr>
          <w:rFonts w:ascii="宋体" w:hAnsi="宋体" w:eastAsia="宋体" w:cs="宋体"/>
          <w:sz w:val="20"/>
          <w:szCs w:val="20"/>
        </w:rPr>
      </w:pPr>
      <w:r>
        <w:rPr>
          <w:rFonts w:ascii="宋体" w:hAnsi="宋体" w:eastAsia="宋体" w:cs="宋体"/>
          <w:b/>
          <w:bCs/>
          <w:spacing w:val="5"/>
          <w:position w:val="1"/>
          <w:sz w:val="20"/>
          <w:szCs w:val="20"/>
        </w:rPr>
        <w:t>34.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关于电气配管只配管不穿铁丝引线如何计价</w:t>
      </w:r>
    </w:p>
    <w:p>
      <w:pPr>
        <w:spacing w:before="129" w:line="368" w:lineRule="auto"/>
        <w:ind w:right="79" w:firstLine="441"/>
        <w:jc w:val="both"/>
        <w:rPr>
          <w:rFonts w:ascii="宋体" w:hAnsi="宋体" w:eastAsia="宋体" w:cs="宋体"/>
          <w:sz w:val="20"/>
          <w:szCs w:val="20"/>
        </w:rPr>
      </w:pPr>
      <w:r>
        <w:rPr>
          <w:rFonts w:ascii="宋体" w:hAnsi="宋体" w:eastAsia="宋体" w:cs="宋体"/>
          <w:spacing w:val="10"/>
          <w:sz w:val="20"/>
          <w:szCs w:val="20"/>
        </w:rPr>
        <w:t>电气配管均综合考虑了穿引线的工作，不再将引线包含在穿线子目中，定额考虑的是符合规范</w:t>
      </w:r>
      <w:r>
        <w:rPr>
          <w:rFonts w:ascii="宋体" w:hAnsi="宋体" w:eastAsia="宋体" w:cs="宋体"/>
          <w:spacing w:val="11"/>
          <w:sz w:val="20"/>
          <w:szCs w:val="20"/>
        </w:rPr>
        <w:t>要求的正常施工工序，正常情况下配管和穿引线是连在一起的两个工序，即配完</w:t>
      </w:r>
      <w:r>
        <w:rPr>
          <w:rFonts w:ascii="宋体" w:hAnsi="宋体" w:eastAsia="宋体" w:cs="宋体"/>
          <w:spacing w:val="10"/>
          <w:sz w:val="20"/>
          <w:szCs w:val="20"/>
        </w:rPr>
        <w:t>管后就穿上引线，</w:t>
      </w:r>
      <w:r>
        <w:rPr>
          <w:rFonts w:ascii="宋体" w:hAnsi="宋体" w:eastAsia="宋体" w:cs="宋体"/>
          <w:spacing w:val="9"/>
          <w:sz w:val="20"/>
          <w:szCs w:val="20"/>
        </w:rPr>
        <w:t>对于只配管不穿铁丝引线的，如果发生，可按如下处理：</w:t>
      </w:r>
    </w:p>
    <w:p>
      <w:pPr>
        <w:spacing w:line="278"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6"/>
          <w:position w:val="1"/>
          <w:sz w:val="20"/>
          <w:szCs w:val="20"/>
        </w:rPr>
        <w:t xml:space="preserve"> </w:t>
      </w:r>
      <w:r>
        <w:rPr>
          <w:rFonts w:ascii="宋体" w:hAnsi="宋体" w:eastAsia="宋体" w:cs="宋体"/>
          <w:spacing w:val="4"/>
          <w:position w:val="1"/>
          <w:sz w:val="20"/>
          <w:szCs w:val="20"/>
        </w:rPr>
        <w:t>1）按相应配管定额工日扣减合计工日</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0.4（工日/100m</w:t>
      </w:r>
      <w:r>
        <w:rPr>
          <w:rFonts w:ascii="宋体" w:hAnsi="宋体" w:eastAsia="宋体" w:cs="宋体"/>
          <w:spacing w:val="15"/>
          <w:position w:val="1"/>
          <w:sz w:val="20"/>
          <w:szCs w:val="20"/>
        </w:rPr>
        <w:t>）；</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（2）按相应定额扣除镀锌铁丝的含量。</w:t>
      </w:r>
    </w:p>
    <w:p>
      <w:pPr>
        <w:spacing w:before="121" w:line="278" w:lineRule="exact"/>
        <w:ind w:left="426"/>
        <w:rPr>
          <w:rFonts w:ascii="宋体" w:hAnsi="宋体" w:eastAsia="宋体" w:cs="宋体"/>
          <w:sz w:val="20"/>
          <w:szCs w:val="20"/>
        </w:rPr>
      </w:pPr>
      <w:r>
        <w:rPr>
          <w:rFonts w:ascii="宋体" w:hAnsi="宋体" w:eastAsia="宋体" w:cs="宋体"/>
          <w:b/>
          <w:bCs/>
          <w:spacing w:val="6"/>
          <w:position w:val="1"/>
          <w:sz w:val="20"/>
          <w:szCs w:val="20"/>
        </w:rPr>
        <w:t>35.</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关于嵌入式灯具安装定额工作内容是否包含吊顶的开孔、</w:t>
      </w:r>
      <w:r>
        <w:rPr>
          <w:rFonts w:ascii="宋体" w:hAnsi="宋体" w:eastAsia="宋体" w:cs="宋体"/>
          <w:b/>
          <w:bCs/>
          <w:spacing w:val="5"/>
          <w:position w:val="1"/>
          <w:sz w:val="20"/>
          <w:szCs w:val="20"/>
        </w:rPr>
        <w:t>修补</w:t>
      </w:r>
    </w:p>
    <w:p>
      <w:pPr>
        <w:spacing w:before="127" w:line="367" w:lineRule="auto"/>
        <w:ind w:left="3" w:right="12" w:firstLine="416"/>
        <w:rPr>
          <w:rFonts w:ascii="宋体" w:hAnsi="宋体" w:eastAsia="宋体" w:cs="宋体"/>
          <w:sz w:val="20"/>
          <w:szCs w:val="20"/>
        </w:rPr>
      </w:pPr>
      <w:r>
        <w:rPr>
          <w:rFonts w:ascii="宋体" w:hAnsi="宋体" w:eastAsia="宋体" w:cs="宋体"/>
          <w:spacing w:val="8"/>
          <w:sz w:val="20"/>
          <w:szCs w:val="20"/>
        </w:rPr>
        <w:t>嵌入式灯具安装定额不包括吊顶的开孔、修</w:t>
      </w:r>
      <w:r>
        <w:rPr>
          <w:rFonts w:ascii="宋体" w:hAnsi="宋体" w:eastAsia="宋体" w:cs="宋体"/>
          <w:spacing w:val="7"/>
          <w:sz w:val="20"/>
          <w:szCs w:val="20"/>
        </w:rPr>
        <w:t>补等工作；从安装工艺角度划分，不属于安装工序，发生时签证处理。</w:t>
      </w:r>
    </w:p>
    <w:p>
      <w:pPr>
        <w:spacing w:line="278" w:lineRule="exact"/>
        <w:ind w:left="426"/>
        <w:rPr>
          <w:rFonts w:ascii="宋体" w:hAnsi="宋体" w:eastAsia="宋体" w:cs="宋体"/>
          <w:sz w:val="20"/>
          <w:szCs w:val="20"/>
        </w:rPr>
      </w:pPr>
      <w:r>
        <w:rPr>
          <w:rFonts w:ascii="宋体" w:hAnsi="宋体" w:eastAsia="宋体" w:cs="宋体"/>
          <w:b/>
          <w:bCs/>
          <w:position w:val="1"/>
          <w:sz w:val="20"/>
          <w:szCs w:val="20"/>
        </w:rPr>
        <w:t>36.</w:t>
      </w:r>
      <w:r>
        <w:rPr>
          <w:rFonts w:ascii="宋体" w:hAnsi="宋体" w:eastAsia="宋体" w:cs="宋体"/>
          <w:position w:val="1"/>
          <w:sz w:val="20"/>
          <w:szCs w:val="20"/>
        </w:rPr>
        <w:t xml:space="preserve"> </w:t>
      </w:r>
      <w:r>
        <w:rPr>
          <w:rFonts w:ascii="宋体" w:hAnsi="宋体" w:eastAsia="宋体" w:cs="宋体"/>
          <w:b/>
          <w:bCs/>
          <w:position w:val="1"/>
          <w:sz w:val="20"/>
          <w:szCs w:val="20"/>
        </w:rPr>
        <w:t>关于第四册的标志、诱导装饰灯、应急灯与第九册</w:t>
      </w:r>
      <w:r>
        <w:rPr>
          <w:rFonts w:ascii="宋体" w:hAnsi="宋体" w:eastAsia="宋体" w:cs="宋体"/>
          <w:b/>
          <w:bCs/>
          <w:spacing w:val="-1"/>
          <w:position w:val="1"/>
          <w:sz w:val="20"/>
          <w:szCs w:val="20"/>
        </w:rPr>
        <w:t>的标志、诱导装饰灯、应急灯的区别</w:t>
      </w:r>
    </w:p>
    <w:p>
      <w:pPr>
        <w:spacing w:before="123" w:line="351" w:lineRule="auto"/>
        <w:ind w:left="3" w:right="79" w:firstLine="416"/>
        <w:rPr>
          <w:rFonts w:ascii="宋体" w:hAnsi="宋体" w:eastAsia="宋体" w:cs="宋体"/>
          <w:sz w:val="20"/>
          <w:szCs w:val="20"/>
        </w:rPr>
      </w:pPr>
      <w:r>
        <w:rPr>
          <w:rFonts w:ascii="宋体" w:hAnsi="宋体" w:eastAsia="宋体" w:cs="宋体"/>
          <w:spacing w:val="11"/>
          <w:sz w:val="20"/>
          <w:szCs w:val="20"/>
        </w:rPr>
        <w:t>第四册的标志、诱导装饰灯、应急灯为一般不带地址模块的灯具；对带有地址模</w:t>
      </w:r>
      <w:r>
        <w:rPr>
          <w:rFonts w:ascii="宋体" w:hAnsi="宋体" w:eastAsia="宋体" w:cs="宋体"/>
          <w:spacing w:val="10"/>
          <w:sz w:val="20"/>
          <w:szCs w:val="20"/>
        </w:rPr>
        <w:t>块的应急、标</w:t>
      </w:r>
      <w:r>
        <w:rPr>
          <w:rFonts w:ascii="宋体" w:hAnsi="宋体" w:eastAsia="宋体" w:cs="宋体"/>
          <w:spacing w:val="9"/>
          <w:sz w:val="20"/>
          <w:szCs w:val="20"/>
        </w:rPr>
        <w:t>志、诱导、疏散指示的智能疏散照明灯具的安装应执行第九册消防册相应定额。</w:t>
      </w:r>
    </w:p>
    <w:p>
      <w:pPr>
        <w:spacing w:before="38" w:line="276" w:lineRule="exact"/>
        <w:ind w:left="426"/>
        <w:rPr>
          <w:rFonts w:ascii="宋体" w:hAnsi="宋体" w:eastAsia="宋体" w:cs="宋体"/>
          <w:sz w:val="20"/>
          <w:szCs w:val="20"/>
        </w:rPr>
      </w:pPr>
      <w:r>
        <w:rPr>
          <w:rFonts w:ascii="宋体" w:hAnsi="宋体" w:eastAsia="宋体" w:cs="宋体"/>
          <w:b/>
          <w:bCs/>
          <w:spacing w:val="7"/>
          <w:position w:val="1"/>
          <w:sz w:val="20"/>
          <w:szCs w:val="20"/>
        </w:rPr>
        <w:t>37.</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关于风扇安装是否包括风扇调速开关的安装，</w:t>
      </w:r>
      <w:r>
        <w:rPr>
          <w:rFonts w:ascii="宋体" w:hAnsi="宋体" w:eastAsia="宋体" w:cs="宋体"/>
          <w:b/>
          <w:bCs/>
          <w:spacing w:val="6"/>
          <w:position w:val="1"/>
          <w:sz w:val="20"/>
          <w:szCs w:val="20"/>
        </w:rPr>
        <w:t>若吊风扇安装只预留吊钩时，如何计价</w:t>
      </w:r>
    </w:p>
    <w:p>
      <w:pPr>
        <w:spacing w:before="129" w:line="367" w:lineRule="auto"/>
        <w:ind w:left="25" w:right="79" w:firstLine="399"/>
        <w:rPr>
          <w:rFonts w:ascii="宋体" w:hAnsi="宋体" w:eastAsia="宋体" w:cs="宋体"/>
          <w:sz w:val="20"/>
          <w:szCs w:val="20"/>
        </w:rPr>
      </w:pPr>
      <w:r>
        <w:rPr>
          <w:rFonts w:ascii="宋体" w:hAnsi="宋体" w:eastAsia="宋体" w:cs="宋体"/>
          <w:spacing w:val="11"/>
          <w:sz w:val="20"/>
          <w:szCs w:val="20"/>
        </w:rPr>
        <w:t>风扇安装未包括风扇调速开关的安装，可另执行第四册第十四章相应项</w:t>
      </w:r>
      <w:r>
        <w:rPr>
          <w:rFonts w:ascii="宋体" w:hAnsi="宋体" w:eastAsia="宋体" w:cs="宋体"/>
          <w:spacing w:val="10"/>
          <w:sz w:val="20"/>
          <w:szCs w:val="20"/>
        </w:rPr>
        <w:t>目。吊风扇安装只预留</w:t>
      </w:r>
      <w:r>
        <w:rPr>
          <w:rFonts w:ascii="宋体" w:hAnsi="宋体" w:eastAsia="宋体" w:cs="宋体"/>
          <w:spacing w:val="8"/>
          <w:sz w:val="20"/>
          <w:szCs w:val="20"/>
        </w:rPr>
        <w:t>吊钩时，人工乘以系数0.4，其余不变。吊扇带灯执行吊扇安装。</w:t>
      </w:r>
    </w:p>
    <w:p>
      <w:pPr>
        <w:spacing w:line="278" w:lineRule="exact"/>
        <w:ind w:left="426"/>
        <w:rPr>
          <w:rFonts w:ascii="宋体" w:hAnsi="宋体" w:eastAsia="宋体" w:cs="宋体"/>
          <w:sz w:val="20"/>
          <w:szCs w:val="20"/>
        </w:rPr>
      </w:pPr>
      <w:r>
        <w:rPr>
          <w:rFonts w:ascii="宋体" w:hAnsi="宋体" w:eastAsia="宋体" w:cs="宋体"/>
          <w:b/>
          <w:bCs/>
          <w:spacing w:val="6"/>
          <w:position w:val="1"/>
          <w:sz w:val="20"/>
          <w:szCs w:val="20"/>
        </w:rPr>
        <w:t>38.</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关于消防管道安装所需管道支吊架制作、安装如</w:t>
      </w:r>
      <w:r>
        <w:rPr>
          <w:rFonts w:ascii="宋体" w:hAnsi="宋体" w:eastAsia="宋体" w:cs="宋体"/>
          <w:b/>
          <w:bCs/>
          <w:spacing w:val="5"/>
          <w:position w:val="1"/>
          <w:sz w:val="20"/>
          <w:szCs w:val="20"/>
        </w:rPr>
        <w:t>何执行定额</w:t>
      </w:r>
    </w:p>
    <w:p>
      <w:pPr>
        <w:spacing w:before="115" w:line="285" w:lineRule="exact"/>
        <w:jc w:val="right"/>
        <w:rPr>
          <w:rFonts w:ascii="宋体" w:hAnsi="宋体" w:eastAsia="宋体" w:cs="宋体"/>
          <w:sz w:val="20"/>
          <w:szCs w:val="20"/>
        </w:rPr>
      </w:pPr>
      <w:r>
        <w:rPr>
          <w:rFonts w:ascii="宋体" w:hAnsi="宋体" w:eastAsia="宋体" w:cs="宋体"/>
          <w:spacing w:val="8"/>
          <w:position w:val="1"/>
          <w:sz w:val="20"/>
          <w:szCs w:val="20"/>
        </w:rPr>
        <w:t>消防管道安装所需管道支吊架制作、安装，执行第十</w:t>
      </w:r>
      <w:r>
        <w:rPr>
          <w:rFonts w:ascii="宋体" w:hAnsi="宋体" w:eastAsia="宋体" w:cs="宋体"/>
          <w:spacing w:val="7"/>
          <w:position w:val="1"/>
          <w:sz w:val="20"/>
          <w:szCs w:val="20"/>
        </w:rPr>
        <w:t>册《给排水、采暖、燃气工程》相应项目。</w:t>
      </w:r>
    </w:p>
    <w:p>
      <w:pPr>
        <w:spacing w:before="124" w:line="277" w:lineRule="exact"/>
        <w:ind w:left="426"/>
        <w:rPr>
          <w:rFonts w:ascii="宋体" w:hAnsi="宋体" w:eastAsia="宋体" w:cs="宋体"/>
          <w:sz w:val="20"/>
          <w:szCs w:val="20"/>
        </w:rPr>
      </w:pPr>
      <w:r>
        <w:rPr>
          <w:rFonts w:ascii="宋体" w:hAnsi="宋体" w:eastAsia="宋体" w:cs="宋体"/>
          <w:b/>
          <w:bCs/>
          <w:spacing w:val="5"/>
          <w:position w:val="1"/>
          <w:sz w:val="20"/>
          <w:szCs w:val="20"/>
        </w:rPr>
        <w:t>39.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关于通风不锈钢板风管咬口连接制作安装如何执行定额</w:t>
      </w:r>
    </w:p>
    <w:p>
      <w:pPr>
        <w:spacing w:before="125" w:line="368" w:lineRule="auto"/>
        <w:ind w:left="3" w:right="79" w:firstLine="418"/>
        <w:rPr>
          <w:rFonts w:ascii="宋体" w:hAnsi="宋体" w:eastAsia="宋体" w:cs="宋体"/>
          <w:sz w:val="20"/>
          <w:szCs w:val="20"/>
        </w:rPr>
      </w:pPr>
      <w:r>
        <w:rPr>
          <w:rFonts w:ascii="宋体" w:hAnsi="宋体" w:eastAsia="宋体" w:cs="宋体"/>
          <w:spacing w:val="11"/>
          <w:sz w:val="20"/>
          <w:szCs w:val="20"/>
        </w:rPr>
        <w:t>通风不锈钢板风管咬口连接制作安装，按通风册镀锌薄钢板风管咬口连接相</w:t>
      </w:r>
      <w:r>
        <w:rPr>
          <w:rFonts w:ascii="宋体" w:hAnsi="宋体" w:eastAsia="宋体" w:cs="宋体"/>
          <w:spacing w:val="10"/>
          <w:sz w:val="20"/>
          <w:szCs w:val="20"/>
        </w:rPr>
        <w:t>应定额，人工、机</w:t>
      </w:r>
      <w:r>
        <w:rPr>
          <w:rFonts w:ascii="宋体" w:hAnsi="宋体" w:eastAsia="宋体" w:cs="宋体"/>
          <w:spacing w:val="3"/>
          <w:sz w:val="20"/>
          <w:szCs w:val="20"/>
        </w:rPr>
        <w:t>械乘以</w:t>
      </w:r>
      <w:r>
        <w:rPr>
          <w:rFonts w:ascii="宋体" w:hAnsi="宋体" w:eastAsia="宋体" w:cs="宋体"/>
          <w:spacing w:val="-18"/>
          <w:sz w:val="20"/>
          <w:szCs w:val="20"/>
        </w:rPr>
        <w:t xml:space="preserve"> </w:t>
      </w:r>
      <w:r>
        <w:rPr>
          <w:rFonts w:ascii="宋体" w:hAnsi="宋体" w:eastAsia="宋体" w:cs="宋体"/>
          <w:spacing w:val="3"/>
          <w:sz w:val="20"/>
          <w:szCs w:val="20"/>
        </w:rPr>
        <w:t>1.2，材料按设计要求换算。</w:t>
      </w:r>
    </w:p>
    <w:p>
      <w:pPr>
        <w:spacing w:before="1" w:line="349" w:lineRule="auto"/>
        <w:ind w:left="12" w:right="79" w:firstLine="407"/>
        <w:rPr>
          <w:rFonts w:ascii="宋体" w:hAnsi="宋体" w:eastAsia="宋体" w:cs="宋体"/>
          <w:sz w:val="20"/>
          <w:szCs w:val="20"/>
        </w:rPr>
      </w:pPr>
      <w:r>
        <w:rPr>
          <w:rFonts w:ascii="宋体" w:hAnsi="宋体" w:eastAsia="宋体" w:cs="宋体"/>
          <w:b/>
          <w:bCs/>
          <w:spacing w:val="8"/>
          <w:sz w:val="20"/>
          <w:szCs w:val="20"/>
        </w:rPr>
        <w:t>40.</w:t>
      </w:r>
      <w:r>
        <w:rPr>
          <w:rFonts w:ascii="宋体" w:hAnsi="宋体" w:eastAsia="宋体" w:cs="宋体"/>
          <w:spacing w:val="8"/>
          <w:sz w:val="20"/>
          <w:szCs w:val="20"/>
        </w:rPr>
        <w:t xml:space="preserve"> </w:t>
      </w:r>
      <w:r>
        <w:rPr>
          <w:rFonts w:ascii="宋体" w:hAnsi="宋体" w:eastAsia="宋体" w:cs="宋体"/>
          <w:b/>
          <w:bCs/>
          <w:spacing w:val="8"/>
          <w:sz w:val="20"/>
          <w:szCs w:val="20"/>
        </w:rPr>
        <w:t>关于第十二册《刷油、防腐蚀、绝热工程》定额中的联合平台、花纹板式平台铺设的钢板</w:t>
      </w:r>
      <w:r>
        <w:rPr>
          <w:rFonts w:ascii="宋体" w:hAnsi="宋体" w:eastAsia="宋体" w:cs="宋体"/>
          <w:b/>
          <w:bCs/>
          <w:spacing w:val="7"/>
          <w:sz w:val="20"/>
          <w:szCs w:val="20"/>
        </w:rPr>
        <w:t>除锈、刷油如何计算工程量</w:t>
      </w:r>
    </w:p>
    <w:p>
      <w:pPr>
        <w:spacing w:before="24" w:line="358" w:lineRule="auto"/>
        <w:ind w:left="5" w:right="76" w:firstLine="416"/>
        <w:rPr>
          <w:rFonts w:ascii="宋体" w:hAnsi="宋体" w:eastAsia="宋体" w:cs="宋体"/>
          <w:sz w:val="20"/>
          <w:szCs w:val="20"/>
        </w:rPr>
      </w:pPr>
      <w:r>
        <w:rPr>
          <w:rFonts w:ascii="宋体" w:hAnsi="宋体" w:eastAsia="宋体" w:cs="宋体"/>
          <w:spacing w:val="11"/>
          <w:sz w:val="20"/>
          <w:szCs w:val="20"/>
        </w:rPr>
        <w:t>联合平台、花纹板式平台中的钢板铺设面积，以“</w:t>
      </w:r>
      <w:r>
        <w:rPr>
          <w:rFonts w:ascii="宋体" w:hAnsi="宋体" w:eastAsia="宋体" w:cs="宋体"/>
          <w:spacing w:val="-75"/>
          <w:sz w:val="20"/>
          <w:szCs w:val="20"/>
        </w:rPr>
        <w:t xml:space="preserve"> </w:t>
      </w:r>
      <w:r>
        <w:rPr>
          <w:rFonts w:ascii="宋体" w:hAnsi="宋体" w:eastAsia="宋体" w:cs="宋体"/>
          <w:spacing w:val="11"/>
          <w:sz w:val="20"/>
          <w:szCs w:val="20"/>
        </w:rPr>
        <w:t>10m</w:t>
      </w:r>
      <w:r>
        <w:rPr>
          <w:rFonts w:ascii="宋体" w:hAnsi="宋体" w:eastAsia="宋体" w:cs="宋体"/>
          <w:spacing w:val="10"/>
          <w:position w:val="10"/>
          <w:sz w:val="10"/>
          <w:szCs w:val="10"/>
        </w:rPr>
        <w:t>2</w:t>
      </w:r>
      <w:r>
        <w:rPr>
          <w:rFonts w:ascii="宋体" w:hAnsi="宋体" w:eastAsia="宋体" w:cs="宋体"/>
          <w:spacing w:val="-34"/>
          <w:position w:val="10"/>
          <w:sz w:val="10"/>
          <w:szCs w:val="10"/>
        </w:rPr>
        <w:t xml:space="preserve"> </w:t>
      </w:r>
      <w:r>
        <w:rPr>
          <w:rFonts w:ascii="宋体" w:hAnsi="宋体" w:eastAsia="宋体" w:cs="宋体"/>
          <w:spacing w:val="10"/>
          <w:sz w:val="20"/>
          <w:szCs w:val="20"/>
        </w:rPr>
        <w:t>”为计量单位。罐顶的小平台、斜梯踏</w:t>
      </w:r>
      <w:r>
        <w:rPr>
          <w:rFonts w:ascii="宋体" w:hAnsi="宋体" w:eastAsia="宋体" w:cs="宋体"/>
          <w:spacing w:val="9"/>
          <w:sz w:val="20"/>
          <w:szCs w:val="20"/>
        </w:rPr>
        <w:t>步和零星平台若使用花纹板铺设，不适用这种情况。</w:t>
      </w:r>
    </w:p>
    <w:p>
      <w:pPr>
        <w:spacing w:before="43" w:line="351" w:lineRule="auto"/>
        <w:ind w:right="79" w:firstLine="420"/>
        <w:rPr>
          <w:rFonts w:ascii="宋体" w:hAnsi="宋体" w:eastAsia="宋体" w:cs="宋体"/>
          <w:sz w:val="20"/>
          <w:szCs w:val="20"/>
        </w:rPr>
      </w:pPr>
      <w:r>
        <w:rPr>
          <w:rFonts w:ascii="宋体" w:hAnsi="宋体" w:eastAsia="宋体" w:cs="宋体"/>
          <w:b/>
          <w:bCs/>
          <w:spacing w:val="7"/>
          <w:sz w:val="20"/>
          <w:szCs w:val="20"/>
        </w:rPr>
        <w:t>41.</w:t>
      </w:r>
      <w:r>
        <w:rPr>
          <w:rFonts w:ascii="宋体" w:hAnsi="宋体" w:eastAsia="宋体" w:cs="宋体"/>
          <w:spacing w:val="7"/>
          <w:sz w:val="20"/>
          <w:szCs w:val="20"/>
        </w:rPr>
        <w:t xml:space="preserve"> </w:t>
      </w:r>
      <w:r>
        <w:rPr>
          <w:rFonts w:ascii="宋体" w:hAnsi="宋体" w:eastAsia="宋体" w:cs="宋体"/>
          <w:b/>
          <w:bCs/>
          <w:spacing w:val="7"/>
          <w:sz w:val="20"/>
          <w:szCs w:val="20"/>
        </w:rPr>
        <w:t>关于计算除锈、刷油、防腐蚀工程量时</w:t>
      </w:r>
      <w:r>
        <w:rPr>
          <w:rFonts w:ascii="宋体" w:hAnsi="宋体" w:eastAsia="宋体" w:cs="宋体"/>
          <w:spacing w:val="-44"/>
          <w:sz w:val="20"/>
          <w:szCs w:val="20"/>
        </w:rPr>
        <w:t xml:space="preserve"> </w:t>
      </w:r>
      <w:r>
        <w:rPr>
          <w:rFonts w:ascii="宋体" w:hAnsi="宋体" w:eastAsia="宋体" w:cs="宋体"/>
          <w:b/>
          <w:bCs/>
          <w:spacing w:val="7"/>
          <w:sz w:val="20"/>
          <w:szCs w:val="20"/>
        </w:rPr>
        <w:t>，各种管件、阀件、设备人孔、管口凹凸部分如何</w:t>
      </w:r>
      <w:r>
        <w:rPr>
          <w:rFonts w:ascii="宋体" w:hAnsi="宋体" w:eastAsia="宋体" w:cs="宋体"/>
          <w:b/>
          <w:bCs/>
          <w:spacing w:val="6"/>
          <w:sz w:val="20"/>
          <w:szCs w:val="20"/>
        </w:rPr>
        <w:t>计算</w:t>
      </w:r>
    </w:p>
    <w:p>
      <w:pPr>
        <w:spacing w:before="42" w:line="368" w:lineRule="auto"/>
        <w:ind w:left="1" w:right="79" w:firstLine="421"/>
        <w:rPr>
          <w:rFonts w:ascii="宋体" w:hAnsi="宋体" w:eastAsia="宋体" w:cs="宋体"/>
          <w:sz w:val="20"/>
          <w:szCs w:val="20"/>
        </w:rPr>
      </w:pPr>
      <w:r>
        <w:rPr>
          <w:rFonts w:ascii="宋体" w:hAnsi="宋体" w:eastAsia="宋体" w:cs="宋体"/>
          <w:spacing w:val="11"/>
          <w:sz w:val="20"/>
          <w:szCs w:val="20"/>
        </w:rPr>
        <w:t>在计算除锈、刷油、防腐蚀工程量时，各种管件、阀件、设备人孔、管口</w:t>
      </w:r>
      <w:r>
        <w:rPr>
          <w:rFonts w:ascii="宋体" w:hAnsi="宋体" w:eastAsia="宋体" w:cs="宋体"/>
          <w:spacing w:val="10"/>
          <w:sz w:val="20"/>
          <w:szCs w:val="20"/>
        </w:rPr>
        <w:t>凹凸部分已在定额消</w:t>
      </w:r>
      <w:r>
        <w:rPr>
          <w:rFonts w:ascii="宋体" w:hAnsi="宋体" w:eastAsia="宋体" w:cs="宋体"/>
          <w:spacing w:val="9"/>
          <w:sz w:val="20"/>
          <w:szCs w:val="20"/>
        </w:rPr>
        <w:t>耗量中综合考虑，不再另外计算工程量。</w:t>
      </w:r>
    </w:p>
    <w:p>
      <w:pPr>
        <w:spacing w:line="278" w:lineRule="exact"/>
        <w:ind w:left="420"/>
        <w:rPr>
          <w:rFonts w:ascii="宋体" w:hAnsi="宋体" w:eastAsia="宋体" w:cs="宋体"/>
          <w:sz w:val="20"/>
          <w:szCs w:val="20"/>
        </w:rPr>
      </w:pPr>
      <w:r>
        <w:rPr>
          <w:rFonts w:ascii="宋体" w:hAnsi="宋体" w:eastAsia="宋体" w:cs="宋体"/>
          <w:b/>
          <w:bCs/>
          <w:spacing w:val="9"/>
          <w:position w:val="1"/>
          <w:sz w:val="20"/>
          <w:szCs w:val="20"/>
        </w:rPr>
        <w:t>42.</w:t>
      </w:r>
      <w:r>
        <w:rPr>
          <w:rFonts w:ascii="宋体" w:hAnsi="宋体" w:eastAsia="宋体" w:cs="宋体"/>
          <w:spacing w:val="9"/>
          <w:position w:val="1"/>
          <w:sz w:val="20"/>
          <w:szCs w:val="20"/>
        </w:rPr>
        <w:t xml:space="preserve"> </w:t>
      </w:r>
      <w:r>
        <w:rPr>
          <w:rFonts w:ascii="宋体" w:hAnsi="宋体" w:eastAsia="宋体" w:cs="宋体"/>
          <w:b/>
          <w:bCs/>
          <w:spacing w:val="9"/>
          <w:position w:val="1"/>
          <w:sz w:val="20"/>
          <w:szCs w:val="20"/>
        </w:rPr>
        <w:t>关于计算设备、管道内壁刷油、防腐蚀工程量时，当壁厚≥10</w:t>
      </w:r>
      <w:r>
        <w:rPr>
          <w:rFonts w:ascii="宋体" w:hAnsi="宋体" w:eastAsia="宋体" w:cs="宋体"/>
          <w:b/>
          <w:bCs/>
          <w:position w:val="1"/>
          <w:sz w:val="20"/>
          <w:szCs w:val="20"/>
        </w:rPr>
        <w:t>mm</w:t>
      </w:r>
      <w:r>
        <w:rPr>
          <w:rFonts w:ascii="宋体" w:hAnsi="宋体" w:eastAsia="宋体" w:cs="宋体"/>
          <w:spacing w:val="-39"/>
          <w:position w:val="1"/>
          <w:sz w:val="20"/>
          <w:szCs w:val="20"/>
        </w:rPr>
        <w:t xml:space="preserve"> </w:t>
      </w:r>
      <w:r>
        <w:rPr>
          <w:rFonts w:ascii="宋体" w:hAnsi="宋体" w:eastAsia="宋体" w:cs="宋体"/>
          <w:b/>
          <w:bCs/>
          <w:spacing w:val="9"/>
          <w:position w:val="1"/>
          <w:sz w:val="20"/>
          <w:szCs w:val="20"/>
        </w:rPr>
        <w:t>或</w:t>
      </w:r>
      <w:r>
        <w:rPr>
          <w:rFonts w:ascii="宋体" w:hAnsi="宋体" w:eastAsia="宋体" w:cs="宋体"/>
          <w:b/>
          <w:bCs/>
          <w:spacing w:val="8"/>
          <w:position w:val="1"/>
          <w:sz w:val="20"/>
          <w:szCs w:val="20"/>
        </w:rPr>
        <w:t>壁厚＜</w:t>
      </w:r>
      <w:r>
        <w:rPr>
          <w:rFonts w:ascii="宋体" w:hAnsi="宋体" w:eastAsia="宋体" w:cs="宋体"/>
          <w:spacing w:val="-45"/>
          <w:position w:val="1"/>
          <w:sz w:val="20"/>
          <w:szCs w:val="20"/>
        </w:rPr>
        <w:t xml:space="preserve"> </w:t>
      </w:r>
      <w:r>
        <w:rPr>
          <w:rFonts w:ascii="宋体" w:hAnsi="宋体" w:eastAsia="宋体" w:cs="宋体"/>
          <w:b/>
          <w:bCs/>
          <w:spacing w:val="8"/>
          <w:position w:val="1"/>
          <w:sz w:val="20"/>
          <w:szCs w:val="20"/>
        </w:rPr>
        <w:t>10</w:t>
      </w:r>
      <w:r>
        <w:rPr>
          <w:rFonts w:ascii="宋体" w:hAnsi="宋体" w:eastAsia="宋体" w:cs="宋体"/>
          <w:b/>
          <w:bCs/>
          <w:position w:val="1"/>
          <w:sz w:val="20"/>
          <w:szCs w:val="20"/>
        </w:rPr>
        <w:t>mm</w:t>
      </w:r>
      <w:r>
        <w:rPr>
          <w:rFonts w:ascii="宋体" w:hAnsi="宋体" w:eastAsia="宋体" w:cs="宋体"/>
          <w:spacing w:val="-31"/>
          <w:position w:val="1"/>
          <w:sz w:val="20"/>
          <w:szCs w:val="20"/>
        </w:rPr>
        <w:t xml:space="preserve"> </w:t>
      </w:r>
      <w:r>
        <w:rPr>
          <w:rFonts w:ascii="宋体" w:hAnsi="宋体" w:eastAsia="宋体" w:cs="宋体"/>
          <w:b/>
          <w:bCs/>
          <w:spacing w:val="8"/>
          <w:position w:val="1"/>
          <w:sz w:val="20"/>
          <w:szCs w:val="20"/>
        </w:rPr>
        <w:t>时如何计</w:t>
      </w:r>
    </w:p>
    <w:p>
      <w:pPr>
        <w:spacing w:line="278" w:lineRule="exact"/>
        <w:rPr>
          <w:rFonts w:ascii="宋体" w:hAnsi="宋体" w:eastAsia="宋体" w:cs="宋体"/>
          <w:sz w:val="20"/>
          <w:szCs w:val="20"/>
        </w:rPr>
        <w:sectPr>
          <w:footerReference r:id="rId156" w:type="default"/>
          <w:pgSz w:w="11906" w:h="16839"/>
          <w:pgMar w:top="400" w:right="1341"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220" w:lineRule="auto"/>
        <w:rPr>
          <w:rFonts w:ascii="宋体" w:hAnsi="宋体" w:eastAsia="宋体" w:cs="宋体"/>
          <w:sz w:val="20"/>
          <w:szCs w:val="20"/>
        </w:rPr>
      </w:pPr>
      <w:r>
        <w:rPr>
          <w:rFonts w:ascii="宋体" w:hAnsi="宋体" w:eastAsia="宋体" w:cs="宋体"/>
          <w:b/>
          <w:bCs/>
          <w:spacing w:val="4"/>
          <w:sz w:val="20"/>
          <w:szCs w:val="20"/>
        </w:rPr>
        <w:t>算</w:t>
      </w:r>
    </w:p>
    <w:p>
      <w:pPr>
        <w:spacing w:before="157" w:line="351" w:lineRule="auto"/>
        <w:ind w:left="4" w:right="74" w:firstLine="415"/>
        <w:rPr>
          <w:rFonts w:ascii="宋体" w:hAnsi="宋体" w:eastAsia="宋体" w:cs="宋体"/>
          <w:sz w:val="20"/>
          <w:szCs w:val="20"/>
        </w:rPr>
      </w:pPr>
      <w:r>
        <w:rPr>
          <w:rFonts w:ascii="宋体" w:hAnsi="宋体" w:eastAsia="宋体" w:cs="宋体"/>
          <w:spacing w:val="11"/>
          <w:sz w:val="20"/>
          <w:szCs w:val="20"/>
        </w:rPr>
        <w:t>计算设备、管道内壁刷油、防腐蚀工程量时，当壁厚≥10</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11"/>
          <w:sz w:val="20"/>
          <w:szCs w:val="20"/>
        </w:rPr>
        <w:t>时按内径计算，壁厚＜</w:t>
      </w:r>
      <w:r>
        <w:rPr>
          <w:rFonts w:ascii="宋体" w:hAnsi="宋体" w:eastAsia="宋体" w:cs="宋体"/>
          <w:spacing w:val="-43"/>
          <w:sz w:val="20"/>
          <w:szCs w:val="20"/>
        </w:rPr>
        <w:t xml:space="preserve"> </w:t>
      </w:r>
      <w:r>
        <w:rPr>
          <w:rFonts w:ascii="宋体" w:hAnsi="宋体" w:eastAsia="宋体" w:cs="宋体"/>
          <w:spacing w:val="11"/>
          <w:sz w:val="20"/>
          <w:szCs w:val="20"/>
        </w:rPr>
        <w:t>10</w:t>
      </w:r>
      <w:r>
        <w:rPr>
          <w:rFonts w:ascii="宋体" w:hAnsi="宋体" w:eastAsia="宋体" w:cs="宋体"/>
          <w:sz w:val="20"/>
          <w:szCs w:val="20"/>
        </w:rPr>
        <w:t>mm</w:t>
      </w:r>
      <w:r>
        <w:rPr>
          <w:rFonts w:ascii="宋体" w:hAnsi="宋体" w:eastAsia="宋体" w:cs="宋体"/>
          <w:spacing w:val="-31"/>
          <w:sz w:val="20"/>
          <w:szCs w:val="20"/>
        </w:rPr>
        <w:t xml:space="preserve"> </w:t>
      </w:r>
      <w:r>
        <w:rPr>
          <w:rFonts w:ascii="宋体" w:hAnsi="宋体" w:eastAsia="宋体" w:cs="宋体"/>
          <w:spacing w:val="11"/>
          <w:sz w:val="20"/>
          <w:szCs w:val="20"/>
        </w:rPr>
        <w:t>时，</w:t>
      </w:r>
      <w:r>
        <w:rPr>
          <w:rFonts w:ascii="宋体" w:hAnsi="宋体" w:eastAsia="宋体" w:cs="宋体"/>
          <w:spacing w:val="7"/>
          <w:sz w:val="20"/>
          <w:szCs w:val="20"/>
        </w:rPr>
        <w:t>可按其外径计算。</w:t>
      </w:r>
    </w:p>
    <w:p>
      <w:pPr>
        <w:spacing w:before="38" w:line="277" w:lineRule="exact"/>
        <w:ind w:left="420"/>
        <w:rPr>
          <w:rFonts w:ascii="宋体" w:hAnsi="宋体" w:eastAsia="宋体" w:cs="宋体"/>
          <w:sz w:val="20"/>
          <w:szCs w:val="20"/>
        </w:rPr>
      </w:pPr>
      <w:r>
        <w:rPr>
          <w:rFonts w:ascii="宋体" w:hAnsi="宋体" w:eastAsia="宋体" w:cs="宋体"/>
          <w:b/>
          <w:bCs/>
          <w:spacing w:val="4"/>
          <w:position w:val="1"/>
          <w:sz w:val="20"/>
          <w:szCs w:val="20"/>
        </w:rPr>
        <w:t>43.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关于管道安装前集中刷漆是否考虑系数</w:t>
      </w:r>
    </w:p>
    <w:p>
      <w:pPr>
        <w:spacing w:before="127" w:line="367" w:lineRule="auto"/>
        <w:ind w:left="22" w:right="67" w:firstLine="390"/>
        <w:rPr>
          <w:rFonts w:ascii="宋体" w:hAnsi="宋体" w:eastAsia="宋体" w:cs="宋体"/>
          <w:sz w:val="20"/>
          <w:szCs w:val="20"/>
        </w:rPr>
      </w:pPr>
      <w:r>
        <w:rPr>
          <w:rFonts w:ascii="宋体" w:hAnsi="宋体" w:eastAsia="宋体" w:cs="宋体"/>
          <w:spacing w:val="11"/>
          <w:sz w:val="20"/>
          <w:szCs w:val="20"/>
        </w:rPr>
        <w:t>定额中安装前集中刷油项目不再按系数单独计算，在编制定额时已综合考虑在相应的定额项目</w:t>
      </w:r>
      <w:r>
        <w:rPr>
          <w:rFonts w:ascii="宋体" w:hAnsi="宋体" w:eastAsia="宋体" w:cs="宋体"/>
          <w:spacing w:val="7"/>
          <w:sz w:val="20"/>
          <w:szCs w:val="20"/>
        </w:rPr>
        <w:t>中，可直接套用定额，不再调整。</w:t>
      </w:r>
    </w:p>
    <w:p>
      <w:pPr>
        <w:spacing w:line="277" w:lineRule="exact"/>
        <w:ind w:left="420"/>
        <w:rPr>
          <w:rFonts w:ascii="宋体" w:hAnsi="宋体" w:eastAsia="宋体" w:cs="宋体"/>
          <w:sz w:val="20"/>
          <w:szCs w:val="20"/>
        </w:rPr>
      </w:pPr>
      <w:r>
        <w:rPr>
          <w:rFonts w:ascii="宋体" w:hAnsi="宋体" w:eastAsia="宋体" w:cs="宋体"/>
          <w:b/>
          <w:bCs/>
          <w:spacing w:val="7"/>
          <w:position w:val="1"/>
          <w:sz w:val="20"/>
          <w:szCs w:val="20"/>
        </w:rPr>
        <w:t>44.</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关于管道绝热工程中，是否包括管件保温、阀</w:t>
      </w:r>
      <w:r>
        <w:rPr>
          <w:rFonts w:ascii="宋体" w:hAnsi="宋体" w:eastAsia="宋体" w:cs="宋体"/>
          <w:b/>
          <w:bCs/>
          <w:spacing w:val="6"/>
          <w:position w:val="1"/>
          <w:sz w:val="20"/>
          <w:szCs w:val="20"/>
        </w:rPr>
        <w:t>门、法兰保温，发生时如何处理</w:t>
      </w:r>
    </w:p>
    <w:p>
      <w:pPr>
        <w:spacing w:before="125" w:line="331" w:lineRule="auto"/>
        <w:ind w:right="69" w:firstLine="41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1）管道绝热工程中均已包括管件保温；阀门、法兰保温除棉席（被）类、纤维类散状保温材</w:t>
      </w:r>
      <w:r>
        <w:rPr>
          <w:rFonts w:ascii="宋体" w:hAnsi="宋体" w:eastAsia="宋体" w:cs="宋体"/>
          <w:spacing w:val="11"/>
          <w:sz w:val="20"/>
          <w:szCs w:val="20"/>
        </w:rPr>
        <w:t>料单列外，其他保温材料项目中均已考虑阀门、法兰保温，其工程量需要按定额</w:t>
      </w:r>
      <w:r>
        <w:rPr>
          <w:rFonts w:ascii="宋体" w:hAnsi="宋体" w:eastAsia="宋体" w:cs="宋体"/>
          <w:spacing w:val="10"/>
          <w:sz w:val="20"/>
          <w:szCs w:val="20"/>
        </w:rPr>
        <w:t>附表中给定的数量</w:t>
      </w:r>
      <w:r>
        <w:rPr>
          <w:rFonts w:ascii="宋体" w:hAnsi="宋体" w:eastAsia="宋体" w:cs="宋体"/>
          <w:spacing w:val="9"/>
          <w:sz w:val="20"/>
          <w:szCs w:val="20"/>
        </w:rPr>
        <w:t>计算，执行相应的管道绝热定额项目。</w:t>
      </w:r>
    </w:p>
    <w:p>
      <w:pPr>
        <w:spacing w:before="124" w:line="321" w:lineRule="auto"/>
        <w:ind w:left="3" w:right="69" w:firstLine="409"/>
        <w:rPr>
          <w:rFonts w:ascii="宋体" w:hAnsi="宋体" w:eastAsia="宋体" w:cs="宋体"/>
          <w:sz w:val="20"/>
          <w:szCs w:val="20"/>
        </w:rPr>
      </w:pPr>
      <w:r>
        <w:rPr>
          <w:rFonts w:ascii="宋体" w:hAnsi="宋体" w:eastAsia="宋体" w:cs="宋体"/>
          <w:spacing w:val="7"/>
          <w:sz w:val="20"/>
          <w:szCs w:val="20"/>
        </w:rPr>
        <w:t>（2）在计算管道绝热工程量时不扣除阀门、法兰所占长度（</w:t>
      </w:r>
      <w:r>
        <w:rPr>
          <w:rFonts w:ascii="宋体" w:hAnsi="宋体" w:eastAsia="宋体" w:cs="宋体"/>
          <w:spacing w:val="-41"/>
          <w:sz w:val="20"/>
          <w:szCs w:val="20"/>
        </w:rPr>
        <w:t xml:space="preserve"> </w:t>
      </w:r>
      <w:r>
        <w:rPr>
          <w:rFonts w:ascii="宋体" w:hAnsi="宋体" w:eastAsia="宋体" w:cs="宋体"/>
          <w:spacing w:val="7"/>
          <w:sz w:val="20"/>
          <w:szCs w:val="20"/>
        </w:rPr>
        <w:t>阀门、法兰工程量计算式中已做考</w:t>
      </w:r>
      <w:r>
        <w:rPr>
          <w:rFonts w:ascii="宋体" w:hAnsi="宋体" w:eastAsia="宋体" w:cs="宋体"/>
          <w:spacing w:val="11"/>
          <w:sz w:val="20"/>
          <w:szCs w:val="20"/>
        </w:rPr>
        <w:t>虑）。而在计算阀门与法兰绝热工程量时注意一点：与法兰阀门配套的</w:t>
      </w:r>
      <w:r>
        <w:rPr>
          <w:rFonts w:ascii="宋体" w:hAnsi="宋体" w:eastAsia="宋体" w:cs="宋体"/>
          <w:spacing w:val="10"/>
          <w:sz w:val="20"/>
          <w:szCs w:val="20"/>
        </w:rPr>
        <w:t>法兰已含在阀门绝热工程量</w:t>
      </w:r>
      <w:r>
        <w:rPr>
          <w:rFonts w:ascii="宋体" w:hAnsi="宋体" w:eastAsia="宋体" w:cs="宋体"/>
          <w:spacing w:val="7"/>
          <w:sz w:val="20"/>
          <w:szCs w:val="20"/>
        </w:rPr>
        <w:t>中，不再单独计算。</w:t>
      </w:r>
    </w:p>
    <w:p>
      <w:pPr>
        <w:spacing w:before="156" w:line="313" w:lineRule="auto"/>
        <w:ind w:right="69" w:firstLine="412"/>
        <w:rPr>
          <w:rFonts w:ascii="宋体" w:hAnsi="宋体" w:eastAsia="宋体" w:cs="宋体"/>
          <w:sz w:val="20"/>
          <w:szCs w:val="20"/>
        </w:rPr>
      </w:pPr>
      <w:r>
        <w:rPr>
          <w:rFonts w:ascii="宋体" w:hAnsi="宋体" w:eastAsia="宋体" w:cs="宋体"/>
          <w:spacing w:val="8"/>
          <w:sz w:val="20"/>
          <w:szCs w:val="20"/>
        </w:rPr>
        <w:t>（3）计算设备绝热工程量时不扣除人孔、接管开孔面积，并应参照设备筒体绝热工程量计算式</w:t>
      </w:r>
      <w:r>
        <w:rPr>
          <w:rFonts w:ascii="宋体" w:hAnsi="宋体" w:eastAsia="宋体" w:cs="宋体"/>
          <w:spacing w:val="9"/>
          <w:sz w:val="20"/>
          <w:szCs w:val="20"/>
        </w:rPr>
        <w:t>增计人孔与接管的管节部位绝热工程量。</w:t>
      </w:r>
    </w:p>
    <w:p>
      <w:pPr>
        <w:spacing w:before="120" w:line="277" w:lineRule="exact"/>
        <w:ind w:left="420"/>
        <w:rPr>
          <w:rFonts w:ascii="宋体" w:hAnsi="宋体" w:eastAsia="宋体" w:cs="宋体"/>
          <w:sz w:val="20"/>
          <w:szCs w:val="20"/>
        </w:rPr>
      </w:pPr>
      <w:r>
        <w:rPr>
          <w:rFonts w:ascii="宋体" w:hAnsi="宋体" w:eastAsia="宋体" w:cs="宋体"/>
          <w:b/>
          <w:bCs/>
          <w:spacing w:val="6"/>
          <w:position w:val="1"/>
          <w:sz w:val="20"/>
          <w:szCs w:val="20"/>
        </w:rPr>
        <w:t>45.</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关于镀锌铁皮保护层厚度如何界定及卧式设备包铁皮如何执行定额</w:t>
      </w:r>
    </w:p>
    <w:p>
      <w:pPr>
        <w:spacing w:before="124" w:line="355" w:lineRule="auto"/>
        <w:ind w:left="1" w:firstLine="419"/>
        <w:jc w:val="both"/>
        <w:rPr>
          <w:rFonts w:ascii="宋体" w:hAnsi="宋体" w:eastAsia="宋体" w:cs="宋体"/>
          <w:sz w:val="20"/>
          <w:szCs w:val="20"/>
        </w:rPr>
      </w:pPr>
      <w:r>
        <w:rPr>
          <w:rFonts w:ascii="宋体" w:hAnsi="宋体" w:eastAsia="宋体" w:cs="宋体"/>
          <w:spacing w:val="8"/>
          <w:sz w:val="20"/>
          <w:szCs w:val="20"/>
        </w:rPr>
        <w:t>镀锌铁皮保护层厚度按0.8</w:t>
      </w:r>
      <w:r>
        <w:rPr>
          <w:rFonts w:ascii="宋体" w:hAnsi="宋体" w:eastAsia="宋体" w:cs="宋体"/>
          <w:sz w:val="20"/>
          <w:szCs w:val="20"/>
        </w:rPr>
        <w:t>mm</w:t>
      </w:r>
      <w:r>
        <w:rPr>
          <w:rFonts w:ascii="宋体" w:hAnsi="宋体" w:eastAsia="宋体" w:cs="宋体"/>
          <w:spacing w:val="-16"/>
          <w:sz w:val="20"/>
          <w:szCs w:val="20"/>
        </w:rPr>
        <w:t xml:space="preserve"> </w:t>
      </w:r>
      <w:r>
        <w:rPr>
          <w:rFonts w:ascii="宋体" w:hAnsi="宋体" w:eastAsia="宋体" w:cs="宋体"/>
          <w:spacing w:val="8"/>
          <w:sz w:val="20"/>
          <w:szCs w:val="20"/>
        </w:rPr>
        <w:t>以下综合考虑，如铁皮厚度大于0.8</w:t>
      </w:r>
      <w:r>
        <w:rPr>
          <w:rFonts w:ascii="宋体" w:hAnsi="宋体" w:eastAsia="宋体" w:cs="宋体"/>
          <w:sz w:val="20"/>
          <w:szCs w:val="20"/>
        </w:rPr>
        <w:t>mm</w:t>
      </w:r>
      <w:r>
        <w:rPr>
          <w:rFonts w:ascii="宋体" w:hAnsi="宋体" w:eastAsia="宋体" w:cs="宋体"/>
          <w:spacing w:val="8"/>
          <w:sz w:val="20"/>
          <w:szCs w:val="20"/>
        </w:rPr>
        <w:t>，定额人工乘以系数</w:t>
      </w:r>
      <w:r>
        <w:rPr>
          <w:rFonts w:ascii="宋体" w:hAnsi="宋体" w:eastAsia="宋体" w:cs="宋体"/>
          <w:spacing w:val="-22"/>
          <w:sz w:val="20"/>
          <w:szCs w:val="20"/>
        </w:rPr>
        <w:t xml:space="preserve"> </w:t>
      </w:r>
      <w:r>
        <w:rPr>
          <w:rFonts w:ascii="宋体" w:hAnsi="宋体" w:eastAsia="宋体" w:cs="宋体"/>
          <w:spacing w:val="8"/>
          <w:sz w:val="20"/>
          <w:szCs w:val="20"/>
        </w:rPr>
        <w:t>1.20；</w:t>
      </w:r>
      <w:r>
        <w:rPr>
          <w:rFonts w:ascii="宋体" w:hAnsi="宋体" w:eastAsia="宋体" w:cs="宋体"/>
          <w:spacing w:val="9"/>
          <w:sz w:val="20"/>
          <w:szCs w:val="20"/>
        </w:rPr>
        <w:t>卧式设备包铁皮其人工乘以系数</w:t>
      </w:r>
      <w:r>
        <w:rPr>
          <w:rFonts w:ascii="宋体" w:hAnsi="宋体" w:eastAsia="宋体" w:cs="宋体"/>
          <w:spacing w:val="-22"/>
          <w:sz w:val="20"/>
          <w:szCs w:val="20"/>
        </w:rPr>
        <w:t xml:space="preserve"> </w:t>
      </w:r>
      <w:r>
        <w:rPr>
          <w:rFonts w:ascii="宋体" w:hAnsi="宋体" w:eastAsia="宋体" w:cs="宋体"/>
          <w:spacing w:val="9"/>
          <w:sz w:val="20"/>
          <w:szCs w:val="20"/>
        </w:rPr>
        <w:t>1.05；如设计另有涂抹密封</w:t>
      </w:r>
      <w:r>
        <w:rPr>
          <w:rFonts w:ascii="宋体" w:hAnsi="宋体" w:eastAsia="宋体" w:cs="宋体"/>
          <w:spacing w:val="8"/>
          <w:sz w:val="20"/>
          <w:szCs w:val="20"/>
        </w:rPr>
        <w:t>胶、加箍钢带等要求时，按铁皮保护层</w:t>
      </w:r>
      <w:r>
        <w:rPr>
          <w:rFonts w:ascii="宋体" w:hAnsi="宋体" w:eastAsia="宋体" w:cs="宋体"/>
          <w:spacing w:val="7"/>
          <w:sz w:val="20"/>
          <w:szCs w:val="20"/>
        </w:rPr>
        <w:t>辅助项目计算。</w:t>
      </w:r>
    </w:p>
    <w:p>
      <w:pPr>
        <w:spacing w:before="47" w:line="277" w:lineRule="exact"/>
        <w:ind w:left="420"/>
        <w:rPr>
          <w:rFonts w:ascii="宋体" w:hAnsi="宋体" w:eastAsia="宋体" w:cs="宋体"/>
          <w:sz w:val="20"/>
          <w:szCs w:val="20"/>
        </w:rPr>
      </w:pPr>
      <w:r>
        <w:rPr>
          <w:rFonts w:ascii="宋体" w:hAnsi="宋体" w:eastAsia="宋体" w:cs="宋体"/>
          <w:b/>
          <w:bCs/>
          <w:spacing w:val="6"/>
          <w:position w:val="1"/>
          <w:sz w:val="20"/>
          <w:szCs w:val="20"/>
        </w:rPr>
        <w:t>46.</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关于管道绝热工程中分层保温如何计算工程量及执行</w:t>
      </w:r>
      <w:r>
        <w:rPr>
          <w:rFonts w:ascii="宋体" w:hAnsi="宋体" w:eastAsia="宋体" w:cs="宋体"/>
          <w:b/>
          <w:bCs/>
          <w:spacing w:val="5"/>
          <w:position w:val="1"/>
          <w:sz w:val="20"/>
          <w:szCs w:val="20"/>
        </w:rPr>
        <w:t>定额</w:t>
      </w:r>
    </w:p>
    <w:p>
      <w:pPr>
        <w:spacing w:before="89" w:line="332" w:lineRule="auto"/>
        <w:ind w:left="2" w:right="68" w:firstLine="420"/>
        <w:jc w:val="both"/>
        <w:rPr>
          <w:rFonts w:ascii="宋体" w:hAnsi="宋体" w:eastAsia="宋体" w:cs="宋体"/>
          <w:sz w:val="20"/>
          <w:szCs w:val="20"/>
        </w:rPr>
      </w:pPr>
      <w:r>
        <w:rPr>
          <w:rFonts w:ascii="宋体" w:hAnsi="宋体" w:eastAsia="宋体" w:cs="宋体"/>
          <w:spacing w:val="11"/>
          <w:sz w:val="20"/>
          <w:szCs w:val="20"/>
        </w:rPr>
        <w:t>在管道绝热工程中，根据绝热工程施工及验收规范，保温厚度大于</w:t>
      </w:r>
      <w:r>
        <w:rPr>
          <w:rFonts w:ascii="宋体" w:hAnsi="宋体" w:eastAsia="宋体" w:cs="宋体"/>
          <w:spacing w:val="-7"/>
          <w:sz w:val="20"/>
          <w:szCs w:val="20"/>
        </w:rPr>
        <w:t xml:space="preserve"> </w:t>
      </w:r>
      <w:r>
        <w:rPr>
          <w:rFonts w:ascii="宋体" w:hAnsi="宋体" w:eastAsia="宋体" w:cs="宋体"/>
          <w:spacing w:val="11"/>
          <w:sz w:val="20"/>
          <w:szCs w:val="20"/>
        </w:rPr>
        <w:t>100</w:t>
      </w:r>
      <w:r>
        <w:rPr>
          <w:rFonts w:ascii="宋体" w:hAnsi="宋体" w:eastAsia="宋体" w:cs="宋体"/>
          <w:sz w:val="20"/>
          <w:szCs w:val="20"/>
        </w:rPr>
        <w:t>mm</w:t>
      </w:r>
      <w:r>
        <w:rPr>
          <w:rFonts w:ascii="宋体" w:hAnsi="宋体" w:eastAsia="宋体" w:cs="宋体"/>
          <w:spacing w:val="11"/>
          <w:sz w:val="20"/>
          <w:szCs w:val="20"/>
        </w:rPr>
        <w:t>、保冷厚度大于75</w:t>
      </w:r>
      <w:r>
        <w:rPr>
          <w:rFonts w:ascii="宋体" w:hAnsi="宋体" w:eastAsia="宋体" w:cs="宋体"/>
          <w:sz w:val="20"/>
          <w:szCs w:val="20"/>
        </w:rPr>
        <w:t>mm</w:t>
      </w:r>
      <w:r>
        <w:rPr>
          <w:rFonts w:ascii="宋体" w:hAnsi="宋体" w:eastAsia="宋体" w:cs="宋体"/>
          <w:spacing w:val="14"/>
          <w:sz w:val="20"/>
          <w:szCs w:val="20"/>
        </w:rPr>
        <w:t>时，或设计要求保温厚度小于</w:t>
      </w:r>
      <w:r>
        <w:rPr>
          <w:rFonts w:ascii="宋体" w:hAnsi="宋体" w:eastAsia="宋体" w:cs="宋体"/>
          <w:spacing w:val="-24"/>
          <w:sz w:val="20"/>
          <w:szCs w:val="20"/>
        </w:rPr>
        <w:t xml:space="preserve"> </w:t>
      </w:r>
      <w:r>
        <w:rPr>
          <w:rFonts w:ascii="宋体" w:hAnsi="宋体" w:eastAsia="宋体" w:cs="宋体"/>
          <w:spacing w:val="14"/>
          <w:sz w:val="20"/>
          <w:szCs w:val="20"/>
        </w:rPr>
        <w:t>100</w:t>
      </w:r>
      <w:r>
        <w:rPr>
          <w:rFonts w:ascii="宋体" w:hAnsi="宋体" w:eastAsia="宋体" w:cs="宋体"/>
          <w:sz w:val="20"/>
          <w:szCs w:val="20"/>
        </w:rPr>
        <w:t>mm</w:t>
      </w:r>
      <w:r>
        <w:rPr>
          <w:rFonts w:ascii="宋体" w:hAnsi="宋体" w:eastAsia="宋体" w:cs="宋体"/>
          <w:spacing w:val="14"/>
          <w:sz w:val="20"/>
          <w:szCs w:val="20"/>
        </w:rPr>
        <w:t>、保冷厚度小于</w:t>
      </w:r>
      <w:r>
        <w:rPr>
          <w:rFonts w:ascii="宋体" w:hAnsi="宋体" w:eastAsia="宋体" w:cs="宋体"/>
          <w:spacing w:val="-41"/>
          <w:sz w:val="20"/>
          <w:szCs w:val="20"/>
        </w:rPr>
        <w:t xml:space="preserve"> </w:t>
      </w:r>
      <w:r>
        <w:rPr>
          <w:rFonts w:ascii="宋体" w:hAnsi="宋体" w:eastAsia="宋体" w:cs="宋体"/>
          <w:spacing w:val="14"/>
          <w:sz w:val="20"/>
          <w:szCs w:val="20"/>
        </w:rPr>
        <w:t>75</w:t>
      </w:r>
      <w:r>
        <w:rPr>
          <w:rFonts w:ascii="宋体" w:hAnsi="宋体" w:eastAsia="宋体" w:cs="宋体"/>
          <w:sz w:val="20"/>
          <w:szCs w:val="20"/>
        </w:rPr>
        <w:t>mm</w:t>
      </w:r>
      <w:r>
        <w:rPr>
          <w:rFonts w:ascii="宋体" w:hAnsi="宋体" w:eastAsia="宋体" w:cs="宋体"/>
          <w:spacing w:val="-44"/>
          <w:sz w:val="20"/>
          <w:szCs w:val="20"/>
        </w:rPr>
        <w:t xml:space="preserve"> </w:t>
      </w:r>
      <w:r>
        <w:rPr>
          <w:rFonts w:ascii="宋体" w:hAnsi="宋体" w:eastAsia="宋体" w:cs="宋体"/>
          <w:spacing w:val="14"/>
          <w:sz w:val="20"/>
          <w:szCs w:val="20"/>
        </w:rPr>
        <w:t>需</w:t>
      </w:r>
      <w:r>
        <w:rPr>
          <w:rFonts w:ascii="宋体" w:hAnsi="宋体" w:eastAsia="宋体" w:cs="宋体"/>
          <w:spacing w:val="13"/>
          <w:sz w:val="20"/>
          <w:szCs w:val="20"/>
        </w:rPr>
        <w:t>分层施工时，应分层计算工程量，并</w:t>
      </w:r>
      <w:r>
        <w:rPr>
          <w:rFonts w:ascii="宋体" w:hAnsi="宋体" w:eastAsia="宋体" w:cs="宋体"/>
          <w:spacing w:val="11"/>
          <w:sz w:val="20"/>
          <w:szCs w:val="20"/>
        </w:rPr>
        <w:t>分别按管道直径套用相应定额项目（第一层按介质管道直径套用定额，第二</w:t>
      </w:r>
      <w:r>
        <w:rPr>
          <w:rFonts w:ascii="宋体" w:hAnsi="宋体" w:eastAsia="宋体" w:cs="宋体"/>
          <w:spacing w:val="10"/>
          <w:sz w:val="20"/>
          <w:szCs w:val="20"/>
        </w:rPr>
        <w:t>层按介质管道保温后的</w:t>
      </w:r>
      <w:r>
        <w:rPr>
          <w:rFonts w:ascii="宋体" w:hAnsi="宋体" w:eastAsia="宋体" w:cs="宋体"/>
          <w:spacing w:val="6"/>
          <w:sz w:val="20"/>
          <w:szCs w:val="20"/>
        </w:rPr>
        <w:t>直径套用定额）。</w:t>
      </w:r>
    </w:p>
    <w:p>
      <w:pPr>
        <w:spacing w:before="36" w:line="277" w:lineRule="exact"/>
        <w:ind w:left="420"/>
        <w:rPr>
          <w:rFonts w:ascii="宋体" w:hAnsi="宋体" w:eastAsia="宋体" w:cs="宋体"/>
          <w:sz w:val="20"/>
          <w:szCs w:val="20"/>
        </w:rPr>
      </w:pPr>
      <w:r>
        <w:rPr>
          <w:rFonts w:ascii="宋体" w:hAnsi="宋体" w:eastAsia="宋体" w:cs="宋体"/>
          <w:b/>
          <w:bCs/>
          <w:spacing w:val="5"/>
          <w:position w:val="1"/>
          <w:sz w:val="20"/>
          <w:szCs w:val="20"/>
        </w:rPr>
        <w:t>47.</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关于采用不锈钢薄板作保护层如何执行定额</w:t>
      </w:r>
    </w:p>
    <w:p>
      <w:pPr>
        <w:spacing w:before="122" w:line="366" w:lineRule="auto"/>
        <w:ind w:left="9" w:right="66" w:firstLine="411"/>
        <w:rPr>
          <w:rFonts w:ascii="宋体" w:hAnsi="宋体" w:eastAsia="宋体" w:cs="宋体"/>
          <w:sz w:val="20"/>
          <w:szCs w:val="20"/>
        </w:rPr>
      </w:pPr>
      <w:r>
        <w:rPr>
          <w:rFonts w:ascii="宋体" w:hAnsi="宋体" w:eastAsia="宋体" w:cs="宋体"/>
          <w:spacing w:val="8"/>
          <w:sz w:val="20"/>
          <w:szCs w:val="20"/>
        </w:rPr>
        <w:t>采用不锈钢薄板作保护层，执行金属保护层相应项目，其</w:t>
      </w:r>
      <w:r>
        <w:rPr>
          <w:rFonts w:ascii="宋体" w:hAnsi="宋体" w:eastAsia="宋体" w:cs="宋体"/>
          <w:spacing w:val="7"/>
          <w:sz w:val="20"/>
          <w:szCs w:val="20"/>
        </w:rPr>
        <w:t>人工乘以系数</w:t>
      </w:r>
      <w:r>
        <w:rPr>
          <w:rFonts w:ascii="宋体" w:hAnsi="宋体" w:eastAsia="宋体" w:cs="宋体"/>
          <w:spacing w:val="-20"/>
          <w:sz w:val="20"/>
          <w:szCs w:val="20"/>
        </w:rPr>
        <w:t xml:space="preserve"> </w:t>
      </w:r>
      <w:r>
        <w:rPr>
          <w:rFonts w:ascii="宋体" w:hAnsi="宋体" w:eastAsia="宋体" w:cs="宋体"/>
          <w:spacing w:val="7"/>
          <w:sz w:val="20"/>
          <w:szCs w:val="20"/>
        </w:rPr>
        <w:t>1.25</w:t>
      </w:r>
      <w:r>
        <w:rPr>
          <w:rFonts w:ascii="宋体" w:hAnsi="宋体" w:eastAsia="宋体" w:cs="宋体"/>
          <w:spacing w:val="-60"/>
          <w:sz w:val="20"/>
          <w:szCs w:val="20"/>
        </w:rPr>
        <w:t xml:space="preserve"> </w:t>
      </w:r>
      <w:r>
        <w:rPr>
          <w:rFonts w:ascii="宋体" w:hAnsi="宋体" w:eastAsia="宋体" w:cs="宋体"/>
          <w:spacing w:val="7"/>
          <w:sz w:val="20"/>
          <w:szCs w:val="20"/>
        </w:rPr>
        <w:t>，钻头消耗量乘以</w:t>
      </w:r>
      <w:r>
        <w:rPr>
          <w:rFonts w:ascii="宋体" w:hAnsi="宋体" w:eastAsia="宋体" w:cs="宋体"/>
          <w:spacing w:val="-2"/>
          <w:sz w:val="20"/>
          <w:szCs w:val="20"/>
        </w:rPr>
        <w:t>系数</w:t>
      </w:r>
      <w:r>
        <w:rPr>
          <w:rFonts w:ascii="宋体" w:hAnsi="宋体" w:eastAsia="宋体" w:cs="宋体"/>
          <w:spacing w:val="-39"/>
          <w:sz w:val="20"/>
          <w:szCs w:val="20"/>
        </w:rPr>
        <w:t xml:space="preserve"> </w:t>
      </w:r>
      <w:r>
        <w:rPr>
          <w:rFonts w:ascii="宋体" w:hAnsi="宋体" w:eastAsia="宋体" w:cs="宋体"/>
          <w:spacing w:val="-2"/>
          <w:sz w:val="20"/>
          <w:szCs w:val="20"/>
        </w:rPr>
        <w:t>2.0，机械乘以系数</w:t>
      </w:r>
      <w:r>
        <w:rPr>
          <w:rFonts w:ascii="宋体" w:hAnsi="宋体" w:eastAsia="宋体" w:cs="宋体"/>
          <w:spacing w:val="-22"/>
          <w:sz w:val="20"/>
          <w:szCs w:val="20"/>
        </w:rPr>
        <w:t xml:space="preserve"> </w:t>
      </w:r>
      <w:r>
        <w:rPr>
          <w:rFonts w:ascii="宋体" w:hAnsi="宋体" w:eastAsia="宋体" w:cs="宋体"/>
          <w:spacing w:val="-2"/>
          <w:sz w:val="20"/>
          <w:szCs w:val="20"/>
        </w:rPr>
        <w:t>1.15。</w:t>
      </w:r>
    </w:p>
    <w:p>
      <w:pPr>
        <w:spacing w:before="2" w:line="368" w:lineRule="auto"/>
        <w:ind w:left="2" w:right="69" w:firstLine="417"/>
        <w:rPr>
          <w:rFonts w:ascii="宋体" w:hAnsi="宋体" w:eastAsia="宋体" w:cs="宋体"/>
          <w:sz w:val="20"/>
          <w:szCs w:val="20"/>
        </w:rPr>
      </w:pPr>
      <w:r>
        <w:rPr>
          <w:rFonts w:ascii="宋体" w:hAnsi="宋体" w:eastAsia="宋体" w:cs="宋体"/>
          <w:b/>
          <w:bCs/>
          <w:spacing w:val="8"/>
          <w:sz w:val="20"/>
          <w:szCs w:val="20"/>
        </w:rPr>
        <w:t>48.</w:t>
      </w:r>
      <w:r>
        <w:rPr>
          <w:rFonts w:ascii="宋体" w:hAnsi="宋体" w:eastAsia="宋体" w:cs="宋体"/>
          <w:spacing w:val="8"/>
          <w:sz w:val="20"/>
          <w:szCs w:val="20"/>
        </w:rPr>
        <w:t xml:space="preserve"> </w:t>
      </w:r>
      <w:r>
        <w:rPr>
          <w:rFonts w:ascii="宋体" w:hAnsi="宋体" w:eastAsia="宋体" w:cs="宋体"/>
          <w:b/>
          <w:bCs/>
          <w:spacing w:val="8"/>
          <w:sz w:val="20"/>
          <w:szCs w:val="20"/>
        </w:rPr>
        <w:t>关于空调水系统管道安装、制冷机房、锅炉房管道安装执行第十册《给排水、采暖、燃气工程》相应定额还是执行第八册《工业管道工程》相应定额</w:t>
      </w:r>
    </w:p>
    <w:p>
      <w:pPr>
        <w:spacing w:before="1" w:line="371" w:lineRule="auto"/>
        <w:ind w:left="2" w:right="69" w:firstLine="423"/>
        <w:rPr>
          <w:rFonts w:ascii="宋体" w:hAnsi="宋体" w:eastAsia="宋体" w:cs="宋体"/>
          <w:sz w:val="20"/>
          <w:szCs w:val="20"/>
        </w:rPr>
      </w:pPr>
      <w:r>
        <w:rPr>
          <w:rFonts w:ascii="宋体" w:hAnsi="宋体" w:eastAsia="宋体" w:cs="宋体"/>
          <w:spacing w:val="11"/>
          <w:sz w:val="20"/>
          <w:szCs w:val="20"/>
        </w:rPr>
        <w:t>空调水系统管道安装执行第十册《给排水、采暖、燃气工程》相应定</w:t>
      </w:r>
      <w:r>
        <w:rPr>
          <w:rFonts w:ascii="宋体" w:hAnsi="宋体" w:eastAsia="宋体" w:cs="宋体"/>
          <w:spacing w:val="10"/>
          <w:sz w:val="20"/>
          <w:szCs w:val="20"/>
        </w:rPr>
        <w:t>额，制冷机房、锅炉房管</w:t>
      </w:r>
      <w:r>
        <w:rPr>
          <w:rFonts w:ascii="宋体" w:hAnsi="宋体" w:eastAsia="宋体" w:cs="宋体"/>
          <w:spacing w:val="9"/>
          <w:sz w:val="20"/>
          <w:szCs w:val="20"/>
        </w:rPr>
        <w:t>道安装执行第八册《工业管道工程》相应定额。</w:t>
      </w:r>
    </w:p>
    <w:p>
      <w:pPr>
        <w:spacing w:before="2" w:line="277" w:lineRule="exact"/>
        <w:ind w:left="420"/>
        <w:rPr>
          <w:rFonts w:ascii="宋体" w:hAnsi="宋体" w:eastAsia="宋体" w:cs="宋体"/>
          <w:sz w:val="20"/>
          <w:szCs w:val="20"/>
        </w:rPr>
      </w:pPr>
      <w:r>
        <w:rPr>
          <w:rFonts w:ascii="宋体" w:hAnsi="宋体" w:eastAsia="宋体" w:cs="宋体"/>
          <w:b/>
          <w:bCs/>
          <w:spacing w:val="4"/>
          <w:position w:val="1"/>
          <w:sz w:val="20"/>
          <w:szCs w:val="20"/>
        </w:rPr>
        <w:t>49.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关于帆布接口与柔性软风管的区别</w:t>
      </w:r>
    </w:p>
    <w:p>
      <w:pPr>
        <w:spacing w:before="124" w:line="277" w:lineRule="exact"/>
        <w:ind w:left="432"/>
        <w:rPr>
          <w:rFonts w:ascii="宋体" w:hAnsi="宋体" w:eastAsia="宋体" w:cs="宋体"/>
          <w:sz w:val="20"/>
          <w:szCs w:val="20"/>
        </w:rPr>
      </w:pPr>
      <w:r>
        <w:rPr>
          <w:rFonts w:ascii="宋体" w:hAnsi="宋体" w:eastAsia="宋体" w:cs="宋体"/>
          <w:spacing w:val="8"/>
          <w:position w:val="1"/>
          <w:sz w:val="20"/>
          <w:szCs w:val="20"/>
        </w:rPr>
        <w:t>帆布接口与柔性软风管的区别：</w:t>
      </w:r>
    </w:p>
    <w:p>
      <w:pPr>
        <w:spacing w:before="124" w:line="350" w:lineRule="auto"/>
        <w:ind w:left="2" w:right="66"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1）功能不同，前者是用于设备与风管或部件的连接；后者是用于不易于设置刚性风管位置的</w:t>
      </w:r>
      <w:r>
        <w:rPr>
          <w:rFonts w:ascii="宋体" w:hAnsi="宋体" w:eastAsia="宋体" w:cs="宋体"/>
          <w:spacing w:val="8"/>
          <w:sz w:val="20"/>
          <w:szCs w:val="20"/>
        </w:rPr>
        <w:t>挠性风管，属通风管道系统。</w:t>
      </w:r>
    </w:p>
    <w:p>
      <w:pPr>
        <w:spacing w:line="350" w:lineRule="auto"/>
        <w:rPr>
          <w:rFonts w:ascii="宋体" w:hAnsi="宋体" w:eastAsia="宋体" w:cs="宋体"/>
          <w:sz w:val="20"/>
          <w:szCs w:val="20"/>
        </w:rPr>
        <w:sectPr>
          <w:footerReference r:id="rId157" w:type="default"/>
          <w:pgSz w:w="11906" w:h="16839"/>
          <w:pgMar w:top="400" w:right="1350"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98" w:lineRule="auto"/>
        <w:ind w:left="119" w:right="113" w:firstLine="407"/>
        <w:rPr>
          <w:rFonts w:ascii="宋体" w:hAnsi="宋体" w:eastAsia="宋体" w:cs="宋体"/>
          <w:sz w:val="20"/>
          <w:szCs w:val="20"/>
        </w:rPr>
      </w:pPr>
      <w:r>
        <w:rPr>
          <w:rFonts w:ascii="宋体" w:hAnsi="宋体" w:eastAsia="宋体" w:cs="宋体"/>
          <w:spacing w:val="9"/>
          <w:sz w:val="20"/>
          <w:szCs w:val="20"/>
        </w:rPr>
        <w:t>（2）固定方式不同：前者多数采用法兰连</w:t>
      </w:r>
      <w:r>
        <w:rPr>
          <w:rFonts w:ascii="宋体" w:hAnsi="宋体" w:eastAsia="宋体" w:cs="宋体"/>
          <w:spacing w:val="8"/>
          <w:sz w:val="20"/>
          <w:szCs w:val="20"/>
        </w:rPr>
        <w:t>接形式，一般不设专门的支托吊架；后者采用镀锌皮卡子连接，采用吊托支架固定。</w:t>
      </w:r>
    </w:p>
    <w:p>
      <w:pPr>
        <w:spacing w:before="156" w:line="278" w:lineRule="exact"/>
        <w:ind w:left="527"/>
        <w:rPr>
          <w:rFonts w:ascii="宋体" w:hAnsi="宋体" w:eastAsia="宋体" w:cs="宋体"/>
          <w:sz w:val="20"/>
          <w:szCs w:val="20"/>
        </w:rPr>
      </w:pPr>
      <w:r>
        <w:rPr>
          <w:rFonts w:ascii="宋体" w:hAnsi="宋体" w:eastAsia="宋体" w:cs="宋体"/>
          <w:spacing w:val="8"/>
          <w:position w:val="1"/>
          <w:sz w:val="20"/>
          <w:szCs w:val="20"/>
        </w:rPr>
        <w:t>（3）长度不同：前者按标准图集长度常为</w:t>
      </w:r>
      <w:r>
        <w:rPr>
          <w:rFonts w:ascii="宋体" w:hAnsi="宋体" w:eastAsia="宋体" w:cs="宋体"/>
          <w:spacing w:val="-16"/>
          <w:position w:val="1"/>
          <w:sz w:val="20"/>
          <w:szCs w:val="20"/>
        </w:rPr>
        <w:t xml:space="preserve"> </w:t>
      </w:r>
      <w:r>
        <w:rPr>
          <w:rFonts w:ascii="宋体" w:hAnsi="宋体" w:eastAsia="宋体" w:cs="宋体"/>
          <w:spacing w:val="8"/>
          <w:position w:val="1"/>
          <w:sz w:val="20"/>
          <w:szCs w:val="20"/>
        </w:rPr>
        <w:t>150～250</w:t>
      </w:r>
      <w:r>
        <w:rPr>
          <w:rFonts w:ascii="宋体" w:hAnsi="宋体" w:eastAsia="宋体" w:cs="宋体"/>
          <w:position w:val="1"/>
          <w:sz w:val="20"/>
          <w:szCs w:val="20"/>
        </w:rPr>
        <w:t>mm</w:t>
      </w:r>
      <w:r>
        <w:rPr>
          <w:rFonts w:ascii="宋体" w:hAnsi="宋体" w:eastAsia="宋体" w:cs="宋体"/>
          <w:spacing w:val="8"/>
          <w:position w:val="1"/>
          <w:sz w:val="20"/>
          <w:szCs w:val="20"/>
        </w:rPr>
        <w:t>；后者长度一般在</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0.5～2.5m</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左右。</w:t>
      </w:r>
    </w:p>
    <w:p>
      <w:pPr>
        <w:spacing w:before="120" w:line="313" w:lineRule="auto"/>
        <w:ind w:left="114" w:right="113" w:firstLine="413"/>
        <w:rPr>
          <w:rFonts w:ascii="宋体" w:hAnsi="宋体" w:eastAsia="宋体" w:cs="宋体"/>
          <w:sz w:val="20"/>
          <w:szCs w:val="20"/>
        </w:rPr>
      </w:pPr>
      <w:r>
        <w:rPr>
          <w:rFonts w:ascii="宋体" w:hAnsi="宋体" w:eastAsia="宋体" w:cs="宋体"/>
          <w:spacing w:val="9"/>
          <w:sz w:val="20"/>
          <w:szCs w:val="20"/>
        </w:rPr>
        <w:t>（4）材质不同：前者定额中采用帆布；后</w:t>
      </w:r>
      <w:r>
        <w:rPr>
          <w:rFonts w:ascii="宋体" w:hAnsi="宋体" w:eastAsia="宋体" w:cs="宋体"/>
          <w:spacing w:val="8"/>
          <w:sz w:val="20"/>
          <w:szCs w:val="20"/>
        </w:rPr>
        <w:t>者是由金属、涂塑化纤织物、聚酯、聚乙烯、聚氯乙烯薄膜、铝箔等材料制成的。</w:t>
      </w:r>
    </w:p>
    <w:p>
      <w:pPr>
        <w:spacing w:before="124" w:line="333" w:lineRule="auto"/>
        <w:ind w:left="114" w:right="92" w:firstLine="413"/>
        <w:rPr>
          <w:rFonts w:ascii="宋体" w:hAnsi="宋体" w:eastAsia="宋体" w:cs="宋体"/>
          <w:sz w:val="20"/>
          <w:szCs w:val="20"/>
        </w:rPr>
      </w:pPr>
      <w:r>
        <w:rPr>
          <w:rFonts w:ascii="宋体" w:hAnsi="宋体" w:eastAsia="宋体" w:cs="宋体"/>
          <w:spacing w:val="9"/>
          <w:sz w:val="20"/>
          <w:szCs w:val="20"/>
        </w:rPr>
        <w:t>（5）柔性软风管用于不易设置刚性风管位置的挠性风管，属通风管道系统采用镀锌卡子连</w:t>
      </w:r>
      <w:r>
        <w:rPr>
          <w:rFonts w:ascii="宋体" w:hAnsi="宋体" w:eastAsia="宋体" w:cs="宋体"/>
          <w:spacing w:val="8"/>
          <w:sz w:val="20"/>
          <w:szCs w:val="20"/>
        </w:rPr>
        <w:t>接，</w:t>
      </w:r>
      <w:r>
        <w:rPr>
          <w:rFonts w:ascii="宋体" w:hAnsi="宋体" w:eastAsia="宋体" w:cs="宋体"/>
          <w:spacing w:val="11"/>
          <w:sz w:val="20"/>
          <w:szCs w:val="20"/>
        </w:rPr>
        <w:t>吊托支架固定，一般由金属、涂塑化纤织物、聚酯、聚乙烯、聚氯乙烯薄膜、铝</w:t>
      </w:r>
      <w:r>
        <w:rPr>
          <w:rFonts w:ascii="宋体" w:hAnsi="宋体" w:eastAsia="宋体" w:cs="宋体"/>
          <w:spacing w:val="10"/>
          <w:sz w:val="20"/>
          <w:szCs w:val="20"/>
        </w:rPr>
        <w:t>箔等复合材料制成</w:t>
      </w:r>
      <w:r>
        <w:rPr>
          <w:rFonts w:ascii="宋体" w:hAnsi="宋体" w:eastAsia="宋体" w:cs="宋体"/>
          <w:spacing w:val="8"/>
          <w:sz w:val="20"/>
          <w:szCs w:val="20"/>
        </w:rPr>
        <w:t>的。柔性软风管安装定额分无保温套管、有保温套管两种形式、均按图示管道中心线长度以"m"为计</w:t>
      </w:r>
      <w:r>
        <w:rPr>
          <w:rFonts w:ascii="宋体" w:hAnsi="宋体" w:eastAsia="宋体" w:cs="宋体"/>
          <w:spacing w:val="6"/>
          <w:sz w:val="20"/>
          <w:szCs w:val="20"/>
        </w:rPr>
        <w:t>算单位。</w:t>
      </w:r>
    </w:p>
    <w:p>
      <w:pPr>
        <w:spacing w:before="160" w:line="220" w:lineRule="auto"/>
        <w:ind w:left="547"/>
        <w:rPr>
          <w:rFonts w:ascii="宋体" w:hAnsi="宋体" w:eastAsia="宋体" w:cs="宋体"/>
          <w:sz w:val="20"/>
          <w:szCs w:val="20"/>
        </w:rPr>
      </w:pPr>
      <w:r>
        <w:rPr>
          <w:rFonts w:ascii="宋体" w:hAnsi="宋体" w:eastAsia="宋体" w:cs="宋体"/>
          <w:spacing w:val="9"/>
          <w:sz w:val="20"/>
          <w:szCs w:val="20"/>
        </w:rPr>
        <w:t>帆布接口与柔性软风管在执行定额时，按照不同方式执行相应定额。</w:t>
      </w:r>
    </w:p>
    <w:p>
      <w:pPr>
        <w:spacing w:before="156" w:line="276" w:lineRule="exact"/>
        <w:ind w:left="537"/>
        <w:rPr>
          <w:rFonts w:ascii="宋体" w:hAnsi="宋体" w:eastAsia="宋体" w:cs="宋体"/>
          <w:sz w:val="20"/>
          <w:szCs w:val="20"/>
        </w:rPr>
      </w:pPr>
      <w:r>
        <w:rPr>
          <w:rFonts w:ascii="宋体" w:hAnsi="宋体" w:eastAsia="宋体" w:cs="宋体"/>
          <w:b/>
          <w:bCs/>
          <w:spacing w:val="5"/>
          <w:position w:val="1"/>
          <w:sz w:val="20"/>
          <w:szCs w:val="20"/>
        </w:rPr>
        <w:t>50.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关于综合布线工程为六类屏蔽系统时如何计价</w:t>
      </w:r>
    </w:p>
    <w:p>
      <w:pPr>
        <w:spacing w:before="129" w:line="368" w:lineRule="auto"/>
        <w:ind w:left="116" w:right="113" w:firstLine="422"/>
        <w:jc w:val="both"/>
        <w:rPr>
          <w:rFonts w:ascii="宋体" w:hAnsi="宋体" w:eastAsia="宋体" w:cs="宋体"/>
          <w:sz w:val="20"/>
          <w:szCs w:val="20"/>
        </w:rPr>
      </w:pPr>
      <w:r>
        <w:rPr>
          <w:rFonts w:ascii="宋体" w:hAnsi="宋体" w:eastAsia="宋体" w:cs="宋体"/>
          <w:spacing w:val="11"/>
          <w:sz w:val="20"/>
          <w:szCs w:val="20"/>
        </w:rPr>
        <w:t>双绞线缆敷设、跳线卡接是按超五类非屏蔽布线系统编制的，高于超五</w:t>
      </w:r>
      <w:r>
        <w:rPr>
          <w:rFonts w:ascii="宋体" w:hAnsi="宋体" w:eastAsia="宋体" w:cs="宋体"/>
          <w:spacing w:val="10"/>
          <w:sz w:val="20"/>
          <w:szCs w:val="20"/>
        </w:rPr>
        <w:t>类的布线工程所用定额</w:t>
      </w:r>
      <w:r>
        <w:rPr>
          <w:rFonts w:ascii="宋体" w:hAnsi="宋体" w:eastAsia="宋体" w:cs="宋体"/>
          <w:spacing w:val="6"/>
          <w:sz w:val="20"/>
          <w:szCs w:val="20"/>
        </w:rPr>
        <w:t>子目人工乘以系数</w:t>
      </w:r>
      <w:r>
        <w:rPr>
          <w:rFonts w:ascii="宋体" w:hAnsi="宋体" w:eastAsia="宋体" w:cs="宋体"/>
          <w:spacing w:val="-22"/>
          <w:sz w:val="20"/>
          <w:szCs w:val="20"/>
        </w:rPr>
        <w:t xml:space="preserve"> </w:t>
      </w:r>
      <w:r>
        <w:rPr>
          <w:rFonts w:ascii="宋体" w:hAnsi="宋体" w:eastAsia="宋体" w:cs="宋体"/>
          <w:spacing w:val="6"/>
          <w:sz w:val="20"/>
          <w:szCs w:val="20"/>
        </w:rPr>
        <w:t>1.1</w:t>
      </w:r>
      <w:r>
        <w:rPr>
          <w:rFonts w:ascii="宋体" w:hAnsi="宋体" w:eastAsia="宋体" w:cs="宋体"/>
          <w:spacing w:val="-60"/>
          <w:sz w:val="20"/>
          <w:szCs w:val="20"/>
        </w:rPr>
        <w:t xml:space="preserve"> </w:t>
      </w:r>
      <w:r>
        <w:rPr>
          <w:rFonts w:ascii="宋体" w:hAnsi="宋体" w:eastAsia="宋体" w:cs="宋体"/>
          <w:spacing w:val="6"/>
          <w:sz w:val="20"/>
          <w:szCs w:val="20"/>
        </w:rPr>
        <w:t>，屏蔽系统人工乘以系数</w:t>
      </w:r>
      <w:r>
        <w:rPr>
          <w:rFonts w:ascii="宋体" w:hAnsi="宋体" w:eastAsia="宋体" w:cs="宋体"/>
          <w:spacing w:val="-24"/>
          <w:sz w:val="20"/>
          <w:szCs w:val="20"/>
        </w:rPr>
        <w:t xml:space="preserve"> </w:t>
      </w:r>
      <w:r>
        <w:rPr>
          <w:rFonts w:ascii="宋体" w:hAnsi="宋体" w:eastAsia="宋体" w:cs="宋体"/>
          <w:spacing w:val="6"/>
          <w:sz w:val="20"/>
          <w:szCs w:val="20"/>
        </w:rPr>
        <w:t>1.2。对于该系数的计取举例如下：如某综</w:t>
      </w:r>
      <w:r>
        <w:rPr>
          <w:rFonts w:ascii="宋体" w:hAnsi="宋体" w:eastAsia="宋体" w:cs="宋体"/>
          <w:spacing w:val="5"/>
          <w:sz w:val="20"/>
          <w:szCs w:val="20"/>
        </w:rPr>
        <w:t>合布线工</w:t>
      </w:r>
      <w:r>
        <w:rPr>
          <w:rFonts w:ascii="宋体" w:hAnsi="宋体" w:eastAsia="宋体" w:cs="宋体"/>
          <w:spacing w:val="-1"/>
          <w:sz w:val="20"/>
          <w:szCs w:val="20"/>
        </w:rPr>
        <w:t>程为六类屏蔽系统，则计取时应该为相应定额子目</w:t>
      </w:r>
      <w:r>
        <w:rPr>
          <w:rFonts w:ascii="宋体" w:hAnsi="宋体" w:eastAsia="宋体" w:cs="宋体"/>
          <w:spacing w:val="-24"/>
          <w:sz w:val="20"/>
          <w:szCs w:val="20"/>
        </w:rPr>
        <w:t xml:space="preserve"> </w:t>
      </w:r>
      <w:r>
        <w:rPr>
          <w:rFonts w:ascii="宋体" w:hAnsi="宋体" w:eastAsia="宋体" w:cs="宋体"/>
          <w:spacing w:val="-1"/>
          <w:sz w:val="20"/>
          <w:szCs w:val="20"/>
        </w:rPr>
        <w:t>×</w:t>
      </w:r>
      <w:r>
        <w:rPr>
          <w:rFonts w:ascii="宋体" w:hAnsi="宋体" w:eastAsia="宋体" w:cs="宋体"/>
          <w:spacing w:val="-75"/>
          <w:sz w:val="20"/>
          <w:szCs w:val="20"/>
        </w:rPr>
        <w:t xml:space="preserve"> </w:t>
      </w:r>
      <w:r>
        <w:rPr>
          <w:rFonts w:ascii="宋体" w:hAnsi="宋体" w:eastAsia="宋体" w:cs="宋体"/>
          <w:spacing w:val="-1"/>
          <w:sz w:val="20"/>
          <w:szCs w:val="20"/>
        </w:rPr>
        <w:t>1.1</w:t>
      </w:r>
      <w:r>
        <w:rPr>
          <w:rFonts w:ascii="宋体" w:hAnsi="宋体" w:eastAsia="宋体" w:cs="宋体"/>
          <w:spacing w:val="-42"/>
          <w:sz w:val="20"/>
          <w:szCs w:val="20"/>
        </w:rPr>
        <w:t xml:space="preserve"> </w:t>
      </w:r>
      <w:r>
        <w:rPr>
          <w:rFonts w:ascii="宋体" w:hAnsi="宋体" w:eastAsia="宋体" w:cs="宋体"/>
          <w:spacing w:val="-1"/>
          <w:sz w:val="20"/>
          <w:szCs w:val="20"/>
        </w:rPr>
        <w:t>×</w:t>
      </w:r>
      <w:r>
        <w:rPr>
          <w:rFonts w:ascii="宋体" w:hAnsi="宋体" w:eastAsia="宋体" w:cs="宋体"/>
          <w:spacing w:val="-75"/>
          <w:sz w:val="20"/>
          <w:szCs w:val="20"/>
        </w:rPr>
        <w:t xml:space="preserve"> </w:t>
      </w:r>
      <w:r>
        <w:rPr>
          <w:rFonts w:ascii="宋体" w:hAnsi="宋体" w:eastAsia="宋体" w:cs="宋体"/>
          <w:spacing w:val="-1"/>
          <w:sz w:val="20"/>
          <w:szCs w:val="20"/>
        </w:rPr>
        <w:t>1.2。</w:t>
      </w:r>
    </w:p>
    <w:p>
      <w:pPr>
        <w:spacing w:line="278" w:lineRule="exact"/>
        <w:ind w:left="537"/>
        <w:rPr>
          <w:rFonts w:ascii="宋体" w:hAnsi="宋体" w:eastAsia="宋体" w:cs="宋体"/>
          <w:sz w:val="20"/>
          <w:szCs w:val="20"/>
        </w:rPr>
      </w:pPr>
      <w:r>
        <w:rPr>
          <w:rFonts w:ascii="宋体" w:hAnsi="宋体" w:eastAsia="宋体" w:cs="宋体"/>
          <w:b/>
          <w:bCs/>
          <w:spacing w:val="6"/>
          <w:position w:val="1"/>
          <w:sz w:val="20"/>
          <w:szCs w:val="20"/>
        </w:rPr>
        <w:t>51.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关于第八册工艺管道操作高度增加费</w:t>
      </w:r>
      <w:r>
        <w:rPr>
          <w:rFonts w:ascii="宋体" w:hAnsi="宋体" w:eastAsia="宋体" w:cs="宋体"/>
          <w:b/>
          <w:bCs/>
          <w:spacing w:val="5"/>
          <w:position w:val="1"/>
          <w:sz w:val="20"/>
          <w:szCs w:val="20"/>
        </w:rPr>
        <w:t>计算基准面的确定</w:t>
      </w:r>
    </w:p>
    <w:p>
      <w:pPr>
        <w:spacing w:before="120" w:line="361" w:lineRule="auto"/>
        <w:ind w:left="115" w:right="113" w:firstLine="420"/>
        <w:jc w:val="both"/>
        <w:rPr>
          <w:rFonts w:ascii="宋体" w:hAnsi="宋体" w:eastAsia="宋体" w:cs="宋体"/>
          <w:sz w:val="20"/>
          <w:szCs w:val="20"/>
        </w:rPr>
      </w:pPr>
      <w:r>
        <w:rPr>
          <w:rFonts w:ascii="宋体" w:hAnsi="宋体" w:eastAsia="宋体" w:cs="宋体"/>
          <w:spacing w:val="10"/>
          <w:sz w:val="20"/>
          <w:szCs w:val="20"/>
        </w:rPr>
        <w:t>工艺管道操作高度增加费：以设计标高正负零平面为基准，安装高度超过</w:t>
      </w:r>
      <w:r>
        <w:rPr>
          <w:rFonts w:ascii="宋体" w:hAnsi="宋体" w:eastAsia="宋体" w:cs="宋体"/>
          <w:spacing w:val="-42"/>
          <w:sz w:val="20"/>
          <w:szCs w:val="20"/>
        </w:rPr>
        <w:t xml:space="preserve"> </w:t>
      </w:r>
      <w:r>
        <w:rPr>
          <w:rFonts w:ascii="宋体" w:hAnsi="宋体" w:eastAsia="宋体" w:cs="宋体"/>
          <w:spacing w:val="10"/>
          <w:sz w:val="20"/>
          <w:szCs w:val="20"/>
        </w:rPr>
        <w:t>20m</w:t>
      </w:r>
      <w:r>
        <w:rPr>
          <w:rFonts w:ascii="宋体" w:hAnsi="宋体" w:eastAsia="宋体" w:cs="宋体"/>
          <w:spacing w:val="-29"/>
          <w:sz w:val="20"/>
          <w:szCs w:val="20"/>
        </w:rPr>
        <w:t xml:space="preserve"> </w:t>
      </w:r>
      <w:r>
        <w:rPr>
          <w:rFonts w:ascii="宋体" w:hAnsi="宋体" w:eastAsia="宋体" w:cs="宋体"/>
          <w:spacing w:val="10"/>
          <w:sz w:val="20"/>
          <w:szCs w:val="20"/>
        </w:rPr>
        <w:t>时，超过</w:t>
      </w:r>
      <w:r>
        <w:rPr>
          <w:rFonts w:ascii="宋体" w:hAnsi="宋体" w:eastAsia="宋体" w:cs="宋体"/>
          <w:spacing w:val="9"/>
          <w:sz w:val="20"/>
          <w:szCs w:val="20"/>
        </w:rPr>
        <w:t>部分工</w:t>
      </w:r>
      <w:r>
        <w:rPr>
          <w:rFonts w:ascii="宋体" w:hAnsi="宋体" w:eastAsia="宋体" w:cs="宋体"/>
          <w:spacing w:val="8"/>
          <w:sz w:val="20"/>
          <w:szCs w:val="20"/>
        </w:rPr>
        <w:t>程量按定额人工、机械费乘以下表系数（附表</w:t>
      </w:r>
      <w:r>
        <w:rPr>
          <w:rFonts w:ascii="宋体" w:hAnsi="宋体" w:eastAsia="宋体" w:cs="宋体"/>
          <w:spacing w:val="-7"/>
          <w:sz w:val="20"/>
          <w:szCs w:val="20"/>
        </w:rPr>
        <w:t xml:space="preserve"> </w:t>
      </w:r>
      <w:r>
        <w:rPr>
          <w:rFonts w:ascii="宋体" w:hAnsi="宋体" w:eastAsia="宋体" w:cs="宋体"/>
          <w:spacing w:val="8"/>
          <w:sz w:val="20"/>
          <w:szCs w:val="20"/>
        </w:rPr>
        <w:t>1</w:t>
      </w:r>
      <w:r>
        <w:rPr>
          <w:rFonts w:ascii="宋体" w:hAnsi="宋体" w:eastAsia="宋体" w:cs="宋体"/>
          <w:spacing w:val="-41"/>
          <w:sz w:val="20"/>
          <w:szCs w:val="20"/>
        </w:rPr>
        <w:t xml:space="preserve"> </w:t>
      </w:r>
      <w:r>
        <w:rPr>
          <w:rFonts w:ascii="宋体" w:hAnsi="宋体" w:eastAsia="宋体" w:cs="宋体"/>
          <w:spacing w:val="8"/>
          <w:sz w:val="20"/>
          <w:szCs w:val="20"/>
        </w:rPr>
        <w:t>）。03</w:t>
      </w:r>
      <w:r>
        <w:rPr>
          <w:rFonts w:ascii="宋体" w:hAnsi="宋体" w:eastAsia="宋体" w:cs="宋体"/>
          <w:spacing w:val="-38"/>
          <w:sz w:val="20"/>
          <w:szCs w:val="20"/>
        </w:rPr>
        <w:t xml:space="preserve"> </w:t>
      </w:r>
      <w:r>
        <w:rPr>
          <w:rFonts w:ascii="宋体" w:hAnsi="宋体" w:eastAsia="宋体" w:cs="宋体"/>
          <w:spacing w:val="8"/>
          <w:sz w:val="20"/>
          <w:szCs w:val="20"/>
        </w:rPr>
        <w:t>安装定额第六册规定：管道安装工程操作高</w:t>
      </w:r>
      <w:r>
        <w:rPr>
          <w:rFonts w:ascii="宋体" w:hAnsi="宋体" w:eastAsia="宋体" w:cs="宋体"/>
          <w:spacing w:val="7"/>
          <w:sz w:val="20"/>
          <w:szCs w:val="20"/>
        </w:rPr>
        <w:t>度超过</w:t>
      </w:r>
      <w:r>
        <w:rPr>
          <w:rFonts w:ascii="宋体" w:hAnsi="宋体" w:eastAsia="宋体" w:cs="宋体"/>
          <w:spacing w:val="-40"/>
          <w:sz w:val="20"/>
          <w:szCs w:val="20"/>
        </w:rPr>
        <w:t xml:space="preserve"> </w:t>
      </w:r>
      <w:r>
        <w:rPr>
          <w:rFonts w:ascii="宋体" w:hAnsi="宋体" w:eastAsia="宋体" w:cs="宋体"/>
          <w:spacing w:val="7"/>
          <w:sz w:val="20"/>
          <w:szCs w:val="20"/>
        </w:rPr>
        <w:t>20</w:t>
      </w:r>
      <w:r>
        <w:rPr>
          <w:rFonts w:ascii="宋体" w:hAnsi="宋体" w:eastAsia="宋体" w:cs="宋体"/>
          <w:spacing w:val="-43"/>
          <w:sz w:val="20"/>
          <w:szCs w:val="20"/>
        </w:rPr>
        <w:t xml:space="preserve"> </w:t>
      </w:r>
      <w:r>
        <w:rPr>
          <w:rFonts w:ascii="宋体" w:hAnsi="宋体" w:eastAsia="宋体" w:cs="宋体"/>
          <w:spacing w:val="7"/>
          <w:sz w:val="20"/>
          <w:szCs w:val="20"/>
        </w:rPr>
        <w:t>米时，其超过部分的定额人工和机械消耗量乘以系数</w:t>
      </w:r>
      <w:r>
        <w:rPr>
          <w:rFonts w:ascii="宋体" w:hAnsi="宋体" w:eastAsia="宋体" w:cs="宋体"/>
          <w:spacing w:val="-22"/>
          <w:sz w:val="20"/>
          <w:szCs w:val="20"/>
        </w:rPr>
        <w:t xml:space="preserve"> </w:t>
      </w:r>
      <w:r>
        <w:rPr>
          <w:rFonts w:ascii="宋体" w:hAnsi="宋体" w:eastAsia="宋体" w:cs="宋体"/>
          <w:spacing w:val="7"/>
          <w:sz w:val="20"/>
          <w:szCs w:val="20"/>
        </w:rPr>
        <w:t>1.3，03</w:t>
      </w:r>
      <w:r>
        <w:rPr>
          <w:rFonts w:ascii="宋体" w:hAnsi="宋体" w:eastAsia="宋体" w:cs="宋体"/>
          <w:spacing w:val="-43"/>
          <w:sz w:val="20"/>
          <w:szCs w:val="20"/>
        </w:rPr>
        <w:t xml:space="preserve"> </w:t>
      </w:r>
      <w:r>
        <w:rPr>
          <w:rFonts w:ascii="宋体" w:hAnsi="宋体" w:eastAsia="宋体" w:cs="宋体"/>
          <w:spacing w:val="7"/>
          <w:sz w:val="20"/>
          <w:szCs w:val="20"/>
        </w:rPr>
        <w:t>安装</w:t>
      </w:r>
      <w:r>
        <w:rPr>
          <w:rFonts w:ascii="宋体" w:hAnsi="宋体" w:eastAsia="宋体" w:cs="宋体"/>
          <w:spacing w:val="6"/>
          <w:sz w:val="20"/>
          <w:szCs w:val="20"/>
        </w:rPr>
        <w:t>定额规定的起算点不太</w:t>
      </w:r>
      <w:r>
        <w:rPr>
          <w:rFonts w:ascii="宋体" w:hAnsi="宋体" w:eastAsia="宋体" w:cs="宋体"/>
          <w:spacing w:val="8"/>
          <w:sz w:val="20"/>
          <w:szCs w:val="20"/>
        </w:rPr>
        <w:t>明确，容易产生歧义，本册定额规定以设计标高正负零平面为基准，管道安装高度超过</w:t>
      </w:r>
      <w:r>
        <w:rPr>
          <w:rFonts w:ascii="宋体" w:hAnsi="宋体" w:eastAsia="宋体" w:cs="宋体"/>
          <w:spacing w:val="-39"/>
          <w:sz w:val="20"/>
          <w:szCs w:val="20"/>
        </w:rPr>
        <w:t xml:space="preserve"> </w:t>
      </w:r>
      <w:r>
        <w:rPr>
          <w:rFonts w:ascii="宋体" w:hAnsi="宋体" w:eastAsia="宋体" w:cs="宋体"/>
          <w:spacing w:val="8"/>
          <w:sz w:val="20"/>
          <w:szCs w:val="20"/>
        </w:rPr>
        <w:t>2</w:t>
      </w:r>
      <w:r>
        <w:rPr>
          <w:rFonts w:ascii="宋体" w:hAnsi="宋体" w:eastAsia="宋体" w:cs="宋体"/>
          <w:spacing w:val="7"/>
          <w:sz w:val="20"/>
          <w:szCs w:val="20"/>
        </w:rPr>
        <w:t>0</w:t>
      </w:r>
      <w:r>
        <w:rPr>
          <w:rFonts w:ascii="宋体" w:hAnsi="宋体" w:eastAsia="宋体" w:cs="宋体"/>
          <w:spacing w:val="-41"/>
          <w:sz w:val="20"/>
          <w:szCs w:val="20"/>
        </w:rPr>
        <w:t xml:space="preserve"> </w:t>
      </w:r>
      <w:r>
        <w:rPr>
          <w:rFonts w:ascii="宋体" w:hAnsi="宋体" w:eastAsia="宋体" w:cs="宋体"/>
          <w:spacing w:val="7"/>
          <w:sz w:val="20"/>
          <w:szCs w:val="20"/>
        </w:rPr>
        <w:t>米时，超</w:t>
      </w:r>
      <w:r>
        <w:rPr>
          <w:rFonts w:ascii="宋体" w:hAnsi="宋体" w:eastAsia="宋体" w:cs="宋体"/>
          <w:spacing w:val="8"/>
          <w:sz w:val="20"/>
          <w:szCs w:val="20"/>
        </w:rPr>
        <w:t>过部分就应计取操作高度增加费。</w:t>
      </w:r>
    </w:p>
    <w:p>
      <w:pPr>
        <w:pStyle w:val="2"/>
        <w:spacing w:before="39" w:line="187" w:lineRule="auto"/>
        <w:ind w:left="3219"/>
        <w:rPr>
          <w:sz w:val="20"/>
          <w:szCs w:val="20"/>
        </w:rPr>
      </w:pPr>
      <w:r>
        <w:rPr>
          <w:spacing w:val="4"/>
          <w:sz w:val="20"/>
          <w:szCs w:val="20"/>
        </w:rPr>
        <w:t>附表 1</w:t>
      </w:r>
      <w:r>
        <w:rPr>
          <w:spacing w:val="-22"/>
          <w:sz w:val="20"/>
          <w:szCs w:val="20"/>
        </w:rPr>
        <w:t xml:space="preserve"> </w:t>
      </w:r>
      <w:r>
        <w:rPr>
          <w:spacing w:val="4"/>
          <w:sz w:val="20"/>
          <w:szCs w:val="20"/>
        </w:rPr>
        <w:t>：操作高度增加费系数表</w:t>
      </w:r>
    </w:p>
    <w:tbl>
      <w:tblPr>
        <w:tblStyle w:val="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5"/>
        <w:gridCol w:w="2321"/>
        <w:gridCol w:w="2119"/>
        <w:gridCol w:w="2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325" w:type="dxa"/>
            <w:vAlign w:val="top"/>
          </w:tcPr>
          <w:p>
            <w:pPr>
              <w:spacing w:before="143" w:line="234" w:lineRule="auto"/>
              <w:ind w:left="352"/>
              <w:rPr>
                <w:rFonts w:ascii="宋体" w:hAnsi="宋体" w:eastAsia="宋体" w:cs="宋体"/>
                <w:sz w:val="20"/>
                <w:szCs w:val="20"/>
              </w:rPr>
            </w:pPr>
            <w:r>
              <w:rPr>
                <w:rFonts w:ascii="宋体" w:hAnsi="宋体" w:eastAsia="宋体" w:cs="宋体"/>
                <w:spacing w:val="15"/>
                <w:sz w:val="20"/>
                <w:szCs w:val="20"/>
              </w:rPr>
              <w:t>操作物高度（m）</w:t>
            </w:r>
          </w:p>
        </w:tc>
        <w:tc>
          <w:tcPr>
            <w:tcW w:w="2321" w:type="dxa"/>
            <w:vAlign w:val="top"/>
          </w:tcPr>
          <w:p>
            <w:pPr>
              <w:spacing w:before="143" w:line="234" w:lineRule="auto"/>
              <w:ind w:left="983"/>
              <w:rPr>
                <w:rFonts w:ascii="宋体" w:hAnsi="宋体" w:eastAsia="宋体" w:cs="宋体"/>
                <w:sz w:val="20"/>
                <w:szCs w:val="20"/>
              </w:rPr>
            </w:pPr>
            <w:r>
              <w:rPr>
                <w:rFonts w:ascii="宋体" w:hAnsi="宋体" w:eastAsia="宋体" w:cs="宋体"/>
                <w:spacing w:val="-6"/>
                <w:sz w:val="20"/>
                <w:szCs w:val="20"/>
              </w:rPr>
              <w:t>≤30</w:t>
            </w:r>
          </w:p>
        </w:tc>
        <w:tc>
          <w:tcPr>
            <w:tcW w:w="2119" w:type="dxa"/>
            <w:vAlign w:val="top"/>
          </w:tcPr>
          <w:p>
            <w:pPr>
              <w:spacing w:before="143" w:line="234" w:lineRule="auto"/>
              <w:ind w:left="882"/>
              <w:rPr>
                <w:rFonts w:ascii="宋体" w:hAnsi="宋体" w:eastAsia="宋体" w:cs="宋体"/>
                <w:sz w:val="20"/>
                <w:szCs w:val="20"/>
              </w:rPr>
            </w:pPr>
            <w:r>
              <w:rPr>
                <w:rFonts w:ascii="宋体" w:hAnsi="宋体" w:eastAsia="宋体" w:cs="宋体"/>
                <w:spacing w:val="-6"/>
                <w:sz w:val="20"/>
                <w:szCs w:val="20"/>
              </w:rPr>
              <w:t>≤50</w:t>
            </w:r>
          </w:p>
        </w:tc>
        <w:tc>
          <w:tcPr>
            <w:tcW w:w="2527" w:type="dxa"/>
            <w:vAlign w:val="top"/>
          </w:tcPr>
          <w:p>
            <w:pPr>
              <w:spacing w:before="143" w:line="234" w:lineRule="auto"/>
              <w:ind w:left="1106"/>
              <w:rPr>
                <w:rFonts w:ascii="宋体" w:hAnsi="宋体" w:eastAsia="宋体" w:cs="宋体"/>
                <w:sz w:val="20"/>
                <w:szCs w:val="20"/>
              </w:rPr>
            </w:pPr>
            <w:r>
              <w:rPr>
                <w:rFonts w:ascii="宋体" w:hAnsi="宋体" w:eastAsia="宋体" w:cs="宋体"/>
                <w:spacing w:val="-1"/>
                <w:sz w:val="20"/>
                <w:szCs w:val="20"/>
              </w:rPr>
              <w:t>&gt;</w:t>
            </w:r>
            <w:r>
              <w:rPr>
                <w:rFonts w:ascii="宋体" w:hAnsi="宋体" w:eastAsia="宋体" w:cs="宋体"/>
                <w:spacing w:val="-36"/>
                <w:sz w:val="20"/>
                <w:szCs w:val="20"/>
              </w:rPr>
              <w:t xml:space="preserve"> </w:t>
            </w:r>
            <w:r>
              <w:rPr>
                <w:rFonts w:ascii="宋体" w:hAnsi="宋体" w:eastAsia="宋体" w:cs="宋体"/>
                <w:spacing w:val="-1"/>
                <w:sz w:val="20"/>
                <w:szCs w:val="20"/>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325" w:type="dxa"/>
            <w:vAlign w:val="top"/>
          </w:tcPr>
          <w:p>
            <w:pPr>
              <w:spacing w:before="146" w:line="219" w:lineRule="auto"/>
              <w:ind w:left="963"/>
              <w:rPr>
                <w:rFonts w:ascii="宋体" w:hAnsi="宋体" w:eastAsia="宋体" w:cs="宋体"/>
                <w:sz w:val="20"/>
                <w:szCs w:val="20"/>
              </w:rPr>
            </w:pPr>
            <w:r>
              <w:rPr>
                <w:rFonts w:ascii="宋体" w:hAnsi="宋体" w:eastAsia="宋体" w:cs="宋体"/>
                <w:spacing w:val="2"/>
                <w:sz w:val="20"/>
                <w:szCs w:val="20"/>
              </w:rPr>
              <w:t>系数</w:t>
            </w:r>
          </w:p>
        </w:tc>
        <w:tc>
          <w:tcPr>
            <w:tcW w:w="2321" w:type="dxa"/>
            <w:vAlign w:val="top"/>
          </w:tcPr>
          <w:p>
            <w:pPr>
              <w:spacing w:before="141" w:line="236" w:lineRule="auto"/>
              <w:ind w:left="1049"/>
              <w:rPr>
                <w:rFonts w:ascii="宋体" w:hAnsi="宋体" w:eastAsia="宋体" w:cs="宋体"/>
                <w:sz w:val="20"/>
                <w:szCs w:val="20"/>
              </w:rPr>
            </w:pPr>
            <w:r>
              <w:rPr>
                <w:rFonts w:ascii="宋体" w:hAnsi="宋体" w:eastAsia="宋体" w:cs="宋体"/>
                <w:spacing w:val="-22"/>
                <w:sz w:val="20"/>
                <w:szCs w:val="20"/>
              </w:rPr>
              <w:t>1.2</w:t>
            </w:r>
          </w:p>
        </w:tc>
        <w:tc>
          <w:tcPr>
            <w:tcW w:w="2119" w:type="dxa"/>
            <w:vAlign w:val="top"/>
          </w:tcPr>
          <w:p>
            <w:pPr>
              <w:spacing w:before="141" w:line="236" w:lineRule="auto"/>
              <w:ind w:left="950"/>
              <w:rPr>
                <w:rFonts w:ascii="宋体" w:hAnsi="宋体" w:eastAsia="宋体" w:cs="宋体"/>
                <w:sz w:val="20"/>
                <w:szCs w:val="20"/>
              </w:rPr>
            </w:pPr>
            <w:r>
              <w:rPr>
                <w:rFonts w:ascii="宋体" w:hAnsi="宋体" w:eastAsia="宋体" w:cs="宋体"/>
                <w:spacing w:val="-22"/>
                <w:sz w:val="20"/>
                <w:szCs w:val="20"/>
              </w:rPr>
              <w:t>1.5</w:t>
            </w:r>
          </w:p>
        </w:tc>
        <w:tc>
          <w:tcPr>
            <w:tcW w:w="2527" w:type="dxa"/>
            <w:vAlign w:val="top"/>
          </w:tcPr>
          <w:p>
            <w:pPr>
              <w:spacing w:before="146" w:line="219" w:lineRule="auto"/>
              <w:ind w:left="528"/>
              <w:rPr>
                <w:rFonts w:ascii="宋体" w:hAnsi="宋体" w:eastAsia="宋体" w:cs="宋体"/>
                <w:sz w:val="20"/>
                <w:szCs w:val="20"/>
              </w:rPr>
            </w:pPr>
            <w:r>
              <w:rPr>
                <w:rFonts w:ascii="宋体" w:hAnsi="宋体" w:eastAsia="宋体" w:cs="宋体"/>
                <w:spacing w:val="9"/>
                <w:sz w:val="20"/>
                <w:szCs w:val="20"/>
              </w:rPr>
              <w:t>按施工方案确定</w:t>
            </w:r>
          </w:p>
        </w:tc>
      </w:tr>
    </w:tbl>
    <w:p>
      <w:pPr>
        <w:spacing w:before="139" w:line="277" w:lineRule="exact"/>
        <w:ind w:left="537"/>
        <w:rPr>
          <w:rFonts w:ascii="宋体" w:hAnsi="宋体" w:eastAsia="宋体" w:cs="宋体"/>
          <w:sz w:val="20"/>
          <w:szCs w:val="20"/>
        </w:rPr>
      </w:pPr>
      <w:r>
        <w:rPr>
          <w:rFonts w:ascii="宋体" w:hAnsi="宋体" w:eastAsia="宋体" w:cs="宋体"/>
          <w:b/>
          <w:bCs/>
          <w:spacing w:val="6"/>
          <w:position w:val="1"/>
          <w:sz w:val="20"/>
          <w:szCs w:val="20"/>
        </w:rPr>
        <w:t>52.</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关于阀门安装是否考虑壳体压力试验，不发生</w:t>
      </w:r>
      <w:r>
        <w:rPr>
          <w:rFonts w:ascii="宋体" w:hAnsi="宋体" w:eastAsia="宋体" w:cs="宋体"/>
          <w:b/>
          <w:bCs/>
          <w:spacing w:val="5"/>
          <w:position w:val="1"/>
          <w:sz w:val="20"/>
          <w:szCs w:val="20"/>
        </w:rPr>
        <w:t>时如何计价</w:t>
      </w:r>
    </w:p>
    <w:p>
      <w:pPr>
        <w:spacing w:before="123" w:line="359" w:lineRule="auto"/>
        <w:ind w:left="115" w:right="116" w:firstLine="438"/>
        <w:jc w:val="both"/>
        <w:rPr>
          <w:rFonts w:ascii="宋体" w:hAnsi="宋体" w:eastAsia="宋体" w:cs="宋体"/>
          <w:sz w:val="20"/>
          <w:szCs w:val="20"/>
        </w:rPr>
      </w:pPr>
      <w:r>
        <w:rPr>
          <w:rFonts w:ascii="宋体" w:hAnsi="宋体" w:eastAsia="宋体" w:cs="宋体"/>
          <w:spacing w:val="10"/>
          <w:sz w:val="20"/>
          <w:szCs w:val="20"/>
        </w:rPr>
        <w:t>阀门安装综合考虑了壳体压力试验（包括强度试验和严密性试验</w:t>
      </w:r>
      <w:r>
        <w:rPr>
          <w:rFonts w:ascii="宋体" w:hAnsi="宋体" w:eastAsia="宋体" w:cs="宋体"/>
          <w:spacing w:val="-7"/>
          <w:sz w:val="20"/>
          <w:szCs w:val="20"/>
        </w:rPr>
        <w:t>）</w:t>
      </w:r>
      <w:r>
        <w:rPr>
          <w:rFonts w:ascii="宋体" w:hAnsi="宋体" w:eastAsia="宋体" w:cs="宋体"/>
          <w:spacing w:val="-50"/>
          <w:sz w:val="20"/>
          <w:szCs w:val="20"/>
        </w:rPr>
        <w:t xml:space="preserve"> </w:t>
      </w:r>
      <w:r>
        <w:rPr>
          <w:rFonts w:ascii="宋体" w:hAnsi="宋体" w:eastAsia="宋体" w:cs="宋体"/>
          <w:spacing w:val="-7"/>
          <w:sz w:val="20"/>
          <w:szCs w:val="20"/>
        </w:rPr>
        <w:t>，</w:t>
      </w:r>
      <w:r>
        <w:rPr>
          <w:rFonts w:ascii="宋体" w:hAnsi="宋体" w:eastAsia="宋体" w:cs="宋体"/>
          <w:spacing w:val="10"/>
          <w:sz w:val="20"/>
          <w:szCs w:val="20"/>
        </w:rPr>
        <w:t>执行第八册定额项目时不因现场情况不同而调整。此处和</w:t>
      </w:r>
      <w:r>
        <w:rPr>
          <w:rFonts w:ascii="宋体" w:hAnsi="宋体" w:eastAsia="宋体" w:cs="宋体"/>
          <w:spacing w:val="-39"/>
          <w:sz w:val="20"/>
          <w:szCs w:val="20"/>
        </w:rPr>
        <w:t xml:space="preserve"> </w:t>
      </w:r>
      <w:r>
        <w:rPr>
          <w:rFonts w:ascii="宋体" w:hAnsi="宋体" w:eastAsia="宋体" w:cs="宋体"/>
          <w:spacing w:val="10"/>
          <w:sz w:val="20"/>
          <w:szCs w:val="20"/>
        </w:rPr>
        <w:t>2015</w:t>
      </w:r>
      <w:r>
        <w:rPr>
          <w:rFonts w:ascii="宋体" w:hAnsi="宋体" w:eastAsia="宋体" w:cs="宋体"/>
          <w:spacing w:val="-38"/>
          <w:sz w:val="20"/>
          <w:szCs w:val="20"/>
        </w:rPr>
        <w:t xml:space="preserve"> </w:t>
      </w:r>
      <w:r>
        <w:rPr>
          <w:rFonts w:ascii="宋体" w:hAnsi="宋体" w:eastAsia="宋体" w:cs="宋体"/>
          <w:spacing w:val="10"/>
          <w:sz w:val="20"/>
          <w:szCs w:val="20"/>
        </w:rPr>
        <w:t>全国通用安装工程消耗</w:t>
      </w:r>
      <w:r>
        <w:rPr>
          <w:rFonts w:ascii="宋体" w:hAnsi="宋体" w:eastAsia="宋体" w:cs="宋体"/>
          <w:spacing w:val="9"/>
          <w:sz w:val="20"/>
          <w:szCs w:val="20"/>
        </w:rPr>
        <w:t>量定额不同</w:t>
      </w:r>
      <w:r>
        <w:rPr>
          <w:rFonts w:ascii="宋体" w:hAnsi="宋体" w:eastAsia="宋体" w:cs="宋体"/>
          <w:spacing w:val="-60"/>
          <w:sz w:val="20"/>
          <w:szCs w:val="20"/>
        </w:rPr>
        <w:t xml:space="preserve"> </w:t>
      </w:r>
      <w:r>
        <w:rPr>
          <w:rFonts w:ascii="宋体" w:hAnsi="宋体" w:eastAsia="宋体" w:cs="宋体"/>
          <w:spacing w:val="9"/>
          <w:sz w:val="20"/>
          <w:szCs w:val="20"/>
        </w:rPr>
        <w:t>，2015</w:t>
      </w:r>
      <w:r>
        <w:rPr>
          <w:rFonts w:ascii="宋体" w:hAnsi="宋体" w:eastAsia="宋体" w:cs="宋体"/>
          <w:spacing w:val="-40"/>
          <w:sz w:val="20"/>
          <w:szCs w:val="20"/>
        </w:rPr>
        <w:t xml:space="preserve"> </w:t>
      </w:r>
      <w:r>
        <w:rPr>
          <w:rFonts w:ascii="宋体" w:hAnsi="宋体" w:eastAsia="宋体" w:cs="宋体"/>
          <w:spacing w:val="9"/>
          <w:sz w:val="20"/>
          <w:szCs w:val="20"/>
        </w:rPr>
        <w:t>全国通用安装工程</w:t>
      </w:r>
      <w:r>
        <w:rPr>
          <w:rFonts w:ascii="宋体" w:hAnsi="宋体" w:eastAsia="宋体" w:cs="宋体"/>
          <w:spacing w:val="8"/>
          <w:sz w:val="20"/>
          <w:szCs w:val="20"/>
        </w:rPr>
        <w:t>消耗量定额第八册规定阀门安装不做壳体压力试验和密封试验时，定额乘以系数0.6。我省编制本册</w:t>
      </w:r>
      <w:r>
        <w:rPr>
          <w:rFonts w:ascii="宋体" w:hAnsi="宋体" w:eastAsia="宋体" w:cs="宋体"/>
          <w:spacing w:val="10"/>
          <w:sz w:val="20"/>
          <w:szCs w:val="20"/>
        </w:rPr>
        <w:t>定额时，已经做了重新测算，定额已做了调整，故执行</w:t>
      </w:r>
      <w:r>
        <w:rPr>
          <w:rFonts w:ascii="宋体" w:hAnsi="宋体" w:eastAsia="宋体" w:cs="宋体"/>
          <w:spacing w:val="9"/>
          <w:sz w:val="20"/>
          <w:szCs w:val="20"/>
        </w:rPr>
        <w:t>本章项目时不因现场情况不同而调整。</w:t>
      </w:r>
    </w:p>
    <w:p>
      <w:pPr>
        <w:spacing w:before="44" w:line="278" w:lineRule="exact"/>
        <w:ind w:left="537"/>
        <w:rPr>
          <w:rFonts w:ascii="宋体" w:hAnsi="宋体" w:eastAsia="宋体" w:cs="宋体"/>
          <w:sz w:val="20"/>
          <w:szCs w:val="20"/>
        </w:rPr>
      </w:pPr>
      <w:r>
        <w:rPr>
          <w:rFonts w:ascii="宋体" w:hAnsi="宋体" w:eastAsia="宋体" w:cs="宋体"/>
          <w:b/>
          <w:bCs/>
          <w:spacing w:val="6"/>
          <w:position w:val="1"/>
          <w:sz w:val="20"/>
          <w:szCs w:val="20"/>
        </w:rPr>
        <w:t>53.</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关于管道安装及管件、阀门、法兰安装按设计压力还是公称压力执行定额</w:t>
      </w:r>
    </w:p>
    <w:p>
      <w:pPr>
        <w:spacing w:before="128" w:line="224" w:lineRule="auto"/>
        <w:ind w:left="538"/>
        <w:rPr>
          <w:rFonts w:ascii="宋体" w:hAnsi="宋体" w:eastAsia="宋体" w:cs="宋体"/>
          <w:sz w:val="20"/>
          <w:szCs w:val="20"/>
        </w:rPr>
      </w:pPr>
      <w:r>
        <w:rPr>
          <w:rFonts w:ascii="宋体" w:hAnsi="宋体" w:eastAsia="宋体" w:cs="宋体"/>
          <w:spacing w:val="9"/>
          <w:sz w:val="20"/>
          <w:szCs w:val="20"/>
        </w:rPr>
        <w:t>管道安装按设计压力执行相应定额；管件、阀门、法兰按公称压力执行相应定额。</w:t>
      </w:r>
    </w:p>
    <w:p>
      <w:pPr>
        <w:spacing w:before="154" w:line="366" w:lineRule="auto"/>
        <w:ind w:left="115" w:right="113" w:firstLine="425"/>
        <w:rPr>
          <w:rFonts w:ascii="宋体" w:hAnsi="宋体" w:eastAsia="宋体" w:cs="宋体"/>
          <w:sz w:val="20"/>
          <w:szCs w:val="20"/>
        </w:rPr>
      </w:pPr>
      <w:r>
        <w:rPr>
          <w:rFonts w:ascii="宋体" w:hAnsi="宋体" w:eastAsia="宋体" w:cs="宋体"/>
          <w:spacing w:val="9"/>
          <w:sz w:val="20"/>
          <w:szCs w:val="20"/>
        </w:rPr>
        <w:t>注意此处和</w:t>
      </w:r>
      <w:r>
        <w:rPr>
          <w:rFonts w:ascii="宋体" w:hAnsi="宋体" w:eastAsia="宋体" w:cs="宋体"/>
          <w:spacing w:val="-37"/>
          <w:sz w:val="20"/>
          <w:szCs w:val="20"/>
        </w:rPr>
        <w:t xml:space="preserve"> </w:t>
      </w:r>
      <w:r>
        <w:rPr>
          <w:rFonts w:ascii="宋体" w:hAnsi="宋体" w:eastAsia="宋体" w:cs="宋体"/>
          <w:spacing w:val="9"/>
          <w:sz w:val="20"/>
          <w:szCs w:val="20"/>
        </w:rPr>
        <w:t>03</w:t>
      </w:r>
      <w:r>
        <w:rPr>
          <w:rFonts w:ascii="宋体" w:hAnsi="宋体" w:eastAsia="宋体" w:cs="宋体"/>
          <w:spacing w:val="-39"/>
          <w:sz w:val="20"/>
          <w:szCs w:val="20"/>
        </w:rPr>
        <w:t xml:space="preserve"> </w:t>
      </w:r>
      <w:r>
        <w:rPr>
          <w:rFonts w:ascii="宋体" w:hAnsi="宋体" w:eastAsia="宋体" w:cs="宋体"/>
          <w:spacing w:val="9"/>
          <w:sz w:val="20"/>
          <w:szCs w:val="20"/>
        </w:rPr>
        <w:t>安装定额规定不一致</w:t>
      </w:r>
      <w:r>
        <w:rPr>
          <w:rFonts w:ascii="宋体" w:hAnsi="宋体" w:eastAsia="宋体" w:cs="宋体"/>
          <w:spacing w:val="-59"/>
          <w:sz w:val="20"/>
          <w:szCs w:val="20"/>
        </w:rPr>
        <w:t xml:space="preserve"> </w:t>
      </w:r>
      <w:r>
        <w:rPr>
          <w:rFonts w:ascii="宋体" w:hAnsi="宋体" w:eastAsia="宋体" w:cs="宋体"/>
          <w:spacing w:val="9"/>
          <w:sz w:val="20"/>
          <w:szCs w:val="20"/>
        </w:rPr>
        <w:t>，03</w:t>
      </w:r>
      <w:r>
        <w:rPr>
          <w:rFonts w:ascii="宋体" w:hAnsi="宋体" w:eastAsia="宋体" w:cs="宋体"/>
          <w:spacing w:val="-38"/>
          <w:sz w:val="20"/>
          <w:szCs w:val="20"/>
        </w:rPr>
        <w:t xml:space="preserve"> </w:t>
      </w:r>
      <w:r>
        <w:rPr>
          <w:rFonts w:ascii="宋体" w:hAnsi="宋体" w:eastAsia="宋体" w:cs="宋体"/>
          <w:spacing w:val="9"/>
          <w:sz w:val="20"/>
          <w:szCs w:val="20"/>
        </w:rPr>
        <w:t>安装定额规定：管道、管件安装不论壁厚多</w:t>
      </w:r>
      <w:r>
        <w:rPr>
          <w:rFonts w:ascii="宋体" w:hAnsi="宋体" w:eastAsia="宋体" w:cs="宋体"/>
          <w:spacing w:val="8"/>
          <w:sz w:val="20"/>
          <w:szCs w:val="20"/>
        </w:rPr>
        <w:t>少</w:t>
      </w:r>
      <w:r>
        <w:rPr>
          <w:rFonts w:ascii="宋体" w:hAnsi="宋体" w:eastAsia="宋体" w:cs="宋体"/>
          <w:spacing w:val="-59"/>
          <w:sz w:val="20"/>
          <w:szCs w:val="20"/>
        </w:rPr>
        <w:t xml:space="preserve"> </w:t>
      </w:r>
      <w:r>
        <w:rPr>
          <w:rFonts w:ascii="宋体" w:hAnsi="宋体" w:eastAsia="宋体" w:cs="宋体"/>
          <w:spacing w:val="8"/>
          <w:sz w:val="20"/>
          <w:szCs w:val="20"/>
        </w:rPr>
        <w:t>，按照</w:t>
      </w:r>
      <w:r>
        <w:rPr>
          <w:rFonts w:ascii="宋体" w:hAnsi="宋体" w:eastAsia="宋体" w:cs="宋体"/>
          <w:spacing w:val="11"/>
          <w:sz w:val="20"/>
          <w:szCs w:val="20"/>
        </w:rPr>
        <w:t>图纸设计工作压力确定压力等级，法兰、阀门按照图纸设计所选定的公称压力</w:t>
      </w:r>
      <w:r>
        <w:rPr>
          <w:rFonts w:ascii="宋体" w:hAnsi="宋体" w:eastAsia="宋体" w:cs="宋体"/>
          <w:spacing w:val="10"/>
          <w:sz w:val="20"/>
          <w:szCs w:val="20"/>
        </w:rPr>
        <w:t>选套相应定额。本册定额规定管道按设计压力执行相应定额；管件、阀</w:t>
      </w:r>
      <w:r>
        <w:rPr>
          <w:rFonts w:ascii="宋体" w:hAnsi="宋体" w:eastAsia="宋体" w:cs="宋体"/>
          <w:spacing w:val="9"/>
          <w:sz w:val="20"/>
          <w:szCs w:val="20"/>
        </w:rPr>
        <w:t>门、法兰按公称压力执行相应定额。</w:t>
      </w:r>
    </w:p>
    <w:p>
      <w:pPr>
        <w:spacing w:before="9" w:line="278" w:lineRule="exact"/>
        <w:ind w:left="537"/>
        <w:rPr>
          <w:rFonts w:ascii="宋体" w:hAnsi="宋体" w:eastAsia="宋体" w:cs="宋体"/>
          <w:sz w:val="20"/>
          <w:szCs w:val="20"/>
        </w:rPr>
      </w:pPr>
      <w:r>
        <w:rPr>
          <w:rFonts w:ascii="宋体" w:hAnsi="宋体" w:eastAsia="宋体" w:cs="宋体"/>
          <w:b/>
          <w:bCs/>
          <w:spacing w:val="4"/>
          <w:position w:val="1"/>
          <w:sz w:val="20"/>
          <w:szCs w:val="20"/>
        </w:rPr>
        <w:t>54.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关于方型补偿器安装如何执行定额</w:t>
      </w:r>
    </w:p>
    <w:p>
      <w:pPr>
        <w:spacing w:before="125" w:line="224" w:lineRule="auto"/>
        <w:ind w:left="535"/>
        <w:rPr>
          <w:rFonts w:ascii="宋体" w:hAnsi="宋体" w:eastAsia="宋体" w:cs="宋体"/>
          <w:sz w:val="20"/>
          <w:szCs w:val="20"/>
        </w:rPr>
      </w:pPr>
      <w:r>
        <w:rPr>
          <w:rFonts w:ascii="宋体" w:hAnsi="宋体" w:eastAsia="宋体" w:cs="宋体"/>
          <w:spacing w:val="11"/>
          <w:sz w:val="20"/>
          <w:szCs w:val="20"/>
        </w:rPr>
        <w:t>方型补偿器安装直管部分可按延长米计算，套用第八册第一章“管道安装”定额相</w:t>
      </w:r>
      <w:r>
        <w:rPr>
          <w:rFonts w:ascii="宋体" w:hAnsi="宋体" w:eastAsia="宋体" w:cs="宋体"/>
          <w:spacing w:val="10"/>
          <w:sz w:val="20"/>
          <w:szCs w:val="20"/>
        </w:rPr>
        <w:t>应项目；弯</w:t>
      </w:r>
    </w:p>
    <w:p>
      <w:pPr>
        <w:spacing w:line="224" w:lineRule="auto"/>
        <w:rPr>
          <w:rFonts w:ascii="宋体" w:hAnsi="宋体" w:eastAsia="宋体" w:cs="宋体"/>
          <w:sz w:val="20"/>
          <w:szCs w:val="20"/>
        </w:rPr>
        <w:sectPr>
          <w:footerReference r:id="rId158" w:type="default"/>
          <w:pgSz w:w="11906" w:h="16839"/>
          <w:pgMar w:top="400" w:right="1304" w:bottom="1212" w:left="1304"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0" w:lineRule="auto"/>
        <w:ind w:left="4"/>
        <w:rPr>
          <w:rFonts w:ascii="宋体" w:hAnsi="宋体" w:eastAsia="宋体" w:cs="宋体"/>
          <w:sz w:val="20"/>
          <w:szCs w:val="20"/>
        </w:rPr>
      </w:pPr>
      <w:r>
        <w:rPr>
          <w:rFonts w:ascii="宋体" w:hAnsi="宋体" w:eastAsia="宋体" w:cs="宋体"/>
          <w:spacing w:val="9"/>
          <w:sz w:val="20"/>
          <w:szCs w:val="20"/>
        </w:rPr>
        <w:t>头可套用第八册第二章“管件连接”定额相应项目。</w:t>
      </w:r>
    </w:p>
    <w:p>
      <w:pPr>
        <w:spacing w:before="158" w:line="277" w:lineRule="exact"/>
        <w:ind w:left="423"/>
        <w:rPr>
          <w:rFonts w:ascii="宋体" w:hAnsi="宋体" w:eastAsia="宋体" w:cs="宋体"/>
          <w:sz w:val="20"/>
          <w:szCs w:val="20"/>
        </w:rPr>
      </w:pPr>
      <w:r>
        <w:rPr>
          <w:rFonts w:ascii="宋体" w:hAnsi="宋体" w:eastAsia="宋体" w:cs="宋体"/>
          <w:b/>
          <w:bCs/>
          <w:spacing w:val="7"/>
          <w:position w:val="1"/>
          <w:sz w:val="20"/>
          <w:szCs w:val="20"/>
        </w:rPr>
        <w:t>55.</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关于套管制作与安装是按施工管径还是</w:t>
      </w:r>
      <w:r>
        <w:rPr>
          <w:rFonts w:ascii="宋体" w:hAnsi="宋体" w:eastAsia="宋体" w:cs="宋体"/>
          <w:b/>
          <w:bCs/>
          <w:spacing w:val="6"/>
          <w:position w:val="1"/>
          <w:sz w:val="20"/>
          <w:szCs w:val="20"/>
        </w:rPr>
        <w:t>介质管道管径计算及是否包含除锈刷漆</w:t>
      </w:r>
    </w:p>
    <w:p>
      <w:pPr>
        <w:spacing w:before="127" w:line="367" w:lineRule="auto"/>
        <w:ind w:left="7" w:firstLine="412"/>
        <w:rPr>
          <w:rFonts w:ascii="宋体" w:hAnsi="宋体" w:eastAsia="宋体" w:cs="宋体"/>
          <w:sz w:val="20"/>
          <w:szCs w:val="20"/>
        </w:rPr>
      </w:pPr>
      <w:r>
        <w:rPr>
          <w:rFonts w:ascii="宋体" w:hAnsi="宋体" w:eastAsia="宋体" w:cs="宋体"/>
          <w:spacing w:val="6"/>
          <w:sz w:val="20"/>
          <w:szCs w:val="20"/>
        </w:rPr>
        <w:t>套管制作与安装分别列项，分一般穿墙套管和柔性、刚性防水套管。根据介质管径的规格</w:t>
      </w:r>
      <w:r>
        <w:rPr>
          <w:rFonts w:ascii="宋体" w:hAnsi="宋体" w:eastAsia="宋体" w:cs="宋体"/>
          <w:spacing w:val="5"/>
          <w:sz w:val="20"/>
          <w:szCs w:val="20"/>
        </w:rPr>
        <w:t>以“个”</w:t>
      </w:r>
      <w:r>
        <w:rPr>
          <w:rFonts w:ascii="宋体" w:hAnsi="宋体" w:eastAsia="宋体" w:cs="宋体"/>
          <w:spacing w:val="9"/>
          <w:sz w:val="20"/>
          <w:szCs w:val="20"/>
        </w:rPr>
        <w:t>为计量单位，应按设计及规范要求选用相应项目。套管的除锈和刷防锈漆已包括在定额内。</w:t>
      </w:r>
    </w:p>
    <w:p>
      <w:pPr>
        <w:spacing w:line="277" w:lineRule="exact"/>
        <w:ind w:left="423"/>
        <w:rPr>
          <w:rFonts w:ascii="宋体" w:hAnsi="宋体" w:eastAsia="宋体" w:cs="宋体"/>
          <w:sz w:val="20"/>
          <w:szCs w:val="20"/>
        </w:rPr>
      </w:pPr>
      <w:r>
        <w:rPr>
          <w:rFonts w:ascii="宋体" w:hAnsi="宋体" w:eastAsia="宋体" w:cs="宋体"/>
          <w:b/>
          <w:bCs/>
          <w:spacing w:val="5"/>
          <w:position w:val="1"/>
          <w:sz w:val="20"/>
          <w:szCs w:val="20"/>
        </w:rPr>
        <w:t>56.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关于第十册雨水管道安装是否适用于室外工程</w:t>
      </w:r>
    </w:p>
    <w:p>
      <w:pPr>
        <w:spacing w:before="125" w:line="226" w:lineRule="auto"/>
        <w:ind w:left="420"/>
        <w:rPr>
          <w:rFonts w:ascii="宋体" w:hAnsi="宋体" w:eastAsia="宋体" w:cs="宋体"/>
          <w:sz w:val="20"/>
          <w:szCs w:val="20"/>
        </w:rPr>
      </w:pPr>
      <w:r>
        <w:rPr>
          <w:rFonts w:ascii="宋体" w:hAnsi="宋体" w:eastAsia="宋体" w:cs="宋体"/>
          <w:spacing w:val="9"/>
          <w:sz w:val="20"/>
          <w:szCs w:val="20"/>
        </w:rPr>
        <w:t>第十册雨水管道安装适用于室内雨水系统；外墙雨水管执行建筑工程定额。</w:t>
      </w:r>
    </w:p>
    <w:p>
      <w:pPr>
        <w:spacing w:before="151" w:line="276" w:lineRule="exact"/>
        <w:ind w:left="423"/>
        <w:rPr>
          <w:rFonts w:ascii="宋体" w:hAnsi="宋体" w:eastAsia="宋体" w:cs="宋体"/>
          <w:sz w:val="20"/>
          <w:szCs w:val="20"/>
        </w:rPr>
      </w:pPr>
      <w:r>
        <w:rPr>
          <w:rFonts w:ascii="宋体" w:hAnsi="宋体" w:eastAsia="宋体" w:cs="宋体"/>
          <w:b/>
          <w:bCs/>
          <w:spacing w:val="7"/>
          <w:position w:val="1"/>
          <w:sz w:val="20"/>
          <w:szCs w:val="20"/>
        </w:rPr>
        <w:t>57.</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关于采暖系统调整费包括的内容？什么情况下</w:t>
      </w:r>
      <w:r>
        <w:rPr>
          <w:rFonts w:ascii="宋体" w:hAnsi="宋体" w:eastAsia="宋体" w:cs="宋体"/>
          <w:b/>
          <w:bCs/>
          <w:spacing w:val="6"/>
          <w:position w:val="1"/>
          <w:sz w:val="20"/>
          <w:szCs w:val="20"/>
        </w:rPr>
        <w:t>计取？室外管网和换热站内如何计价</w:t>
      </w:r>
    </w:p>
    <w:p>
      <w:pPr>
        <w:spacing w:before="126" w:line="369" w:lineRule="auto"/>
        <w:ind w:left="1" w:right="208" w:firstLine="420"/>
        <w:jc w:val="both"/>
        <w:rPr>
          <w:rFonts w:ascii="宋体" w:hAnsi="宋体" w:eastAsia="宋体" w:cs="宋体"/>
          <w:sz w:val="20"/>
          <w:szCs w:val="20"/>
        </w:rPr>
      </w:pPr>
      <w:r>
        <w:rPr>
          <w:rFonts w:ascii="宋体" w:hAnsi="宋体" w:eastAsia="宋体" w:cs="宋体"/>
          <w:spacing w:val="11"/>
          <w:sz w:val="20"/>
          <w:szCs w:val="20"/>
        </w:rPr>
        <w:t>小区内采暖系统调试一般分为室外管网调试和热力入口装置以内系统调试，</w:t>
      </w:r>
      <w:r>
        <w:rPr>
          <w:rFonts w:ascii="宋体" w:hAnsi="宋体" w:eastAsia="宋体" w:cs="宋体"/>
          <w:spacing w:val="10"/>
          <w:sz w:val="20"/>
          <w:szCs w:val="20"/>
        </w:rPr>
        <w:t>均为按规范要求带</w:t>
      </w:r>
      <w:r>
        <w:rPr>
          <w:rFonts w:ascii="宋体" w:hAnsi="宋体" w:eastAsia="宋体" w:cs="宋体"/>
          <w:spacing w:val="11"/>
          <w:sz w:val="20"/>
          <w:szCs w:val="20"/>
        </w:rPr>
        <w:t>热源进行的系统调试。热源接通后缓慢开启供水阀再开启回水阀，对管网进行</w:t>
      </w:r>
      <w:r>
        <w:rPr>
          <w:rFonts w:ascii="宋体" w:hAnsi="宋体" w:eastAsia="宋体" w:cs="宋体"/>
          <w:spacing w:val="10"/>
          <w:sz w:val="20"/>
          <w:szCs w:val="20"/>
        </w:rPr>
        <w:t>全面检查，如观察压</w:t>
      </w:r>
      <w:r>
        <w:rPr>
          <w:rFonts w:ascii="宋体" w:hAnsi="宋体" w:eastAsia="宋体" w:cs="宋体"/>
          <w:spacing w:val="11"/>
          <w:sz w:val="20"/>
          <w:szCs w:val="20"/>
        </w:rPr>
        <w:t>力表和温度计是否符合要求，检查补偿器、固定支架有无变化等，缓慢升温达</w:t>
      </w:r>
      <w:r>
        <w:rPr>
          <w:rFonts w:ascii="宋体" w:hAnsi="宋体" w:eastAsia="宋体" w:cs="宋体"/>
          <w:spacing w:val="10"/>
          <w:sz w:val="20"/>
          <w:szCs w:val="20"/>
        </w:rPr>
        <w:t>到设计运行参数，达</w:t>
      </w:r>
      <w:r>
        <w:rPr>
          <w:rFonts w:ascii="宋体" w:hAnsi="宋体" w:eastAsia="宋体" w:cs="宋体"/>
          <w:spacing w:val="11"/>
          <w:sz w:val="20"/>
          <w:szCs w:val="20"/>
        </w:rPr>
        <w:t>到正常的供热运行条件。如按规范要求带热源进行了系统调试可计取采暖系统</w:t>
      </w:r>
      <w:r>
        <w:rPr>
          <w:rFonts w:ascii="宋体" w:hAnsi="宋体" w:eastAsia="宋体" w:cs="宋体"/>
          <w:spacing w:val="10"/>
          <w:sz w:val="20"/>
          <w:szCs w:val="20"/>
        </w:rPr>
        <w:t>调整费，室外管网部分也可计取。换热站内系统调整费按第一册</w:t>
      </w:r>
      <w:r>
        <w:rPr>
          <w:rFonts w:ascii="宋体" w:hAnsi="宋体" w:eastAsia="宋体" w:cs="宋体"/>
          <w:spacing w:val="9"/>
          <w:sz w:val="20"/>
          <w:szCs w:val="20"/>
        </w:rPr>
        <w:t>《机械设备安装工程》有关规定执行。</w:t>
      </w:r>
    </w:p>
    <w:p>
      <w:pPr>
        <w:spacing w:line="276" w:lineRule="exact"/>
        <w:ind w:left="423"/>
        <w:rPr>
          <w:rFonts w:ascii="宋体" w:hAnsi="宋体" w:eastAsia="宋体" w:cs="宋体"/>
          <w:sz w:val="20"/>
          <w:szCs w:val="20"/>
        </w:rPr>
      </w:pPr>
      <w:r>
        <w:rPr>
          <w:rFonts w:ascii="宋体" w:hAnsi="宋体" w:eastAsia="宋体" w:cs="宋体"/>
          <w:b/>
          <w:bCs/>
          <w:spacing w:val="6"/>
          <w:position w:val="1"/>
          <w:sz w:val="20"/>
          <w:szCs w:val="20"/>
        </w:rPr>
        <w:t>58.</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关于采暖室内直埋塑料管道是否适用于地板辐射采暖系统管道安装定额</w:t>
      </w:r>
    </w:p>
    <w:p>
      <w:pPr>
        <w:spacing w:before="126" w:line="369" w:lineRule="auto"/>
        <w:ind w:left="1" w:right="208" w:firstLine="420"/>
        <w:jc w:val="both"/>
        <w:rPr>
          <w:rFonts w:ascii="宋体" w:hAnsi="宋体" w:eastAsia="宋体" w:cs="宋体"/>
          <w:sz w:val="20"/>
          <w:szCs w:val="20"/>
        </w:rPr>
      </w:pPr>
      <w:r>
        <w:rPr>
          <w:rFonts w:ascii="宋体" w:hAnsi="宋体" w:eastAsia="宋体" w:cs="宋体"/>
          <w:spacing w:val="11"/>
          <w:sz w:val="20"/>
          <w:szCs w:val="20"/>
        </w:rPr>
        <w:t>采暖室内直埋塑料管道是指敷设于室内地坪下或墙内的由采暖分集水器连接散</w:t>
      </w:r>
      <w:r>
        <w:rPr>
          <w:rFonts w:ascii="宋体" w:hAnsi="宋体" w:eastAsia="宋体" w:cs="宋体"/>
          <w:spacing w:val="10"/>
          <w:sz w:val="20"/>
          <w:szCs w:val="20"/>
        </w:rPr>
        <w:t>热器及管井内立</w:t>
      </w:r>
      <w:r>
        <w:rPr>
          <w:rFonts w:ascii="宋体" w:hAnsi="宋体" w:eastAsia="宋体" w:cs="宋体"/>
          <w:spacing w:val="11"/>
          <w:sz w:val="20"/>
          <w:szCs w:val="20"/>
        </w:rPr>
        <w:t>管的塑料采暖管段。直埋塑料管分别设置了热熔管件连接和无接口敷设两项定</w:t>
      </w:r>
      <w:r>
        <w:rPr>
          <w:rFonts w:ascii="宋体" w:hAnsi="宋体" w:eastAsia="宋体" w:cs="宋体"/>
          <w:spacing w:val="10"/>
          <w:sz w:val="20"/>
          <w:szCs w:val="20"/>
        </w:rPr>
        <w:t>额项目，不适用于地</w:t>
      </w:r>
      <w:r>
        <w:rPr>
          <w:rFonts w:ascii="宋体" w:hAnsi="宋体" w:eastAsia="宋体" w:cs="宋体"/>
          <w:spacing w:val="11"/>
          <w:sz w:val="20"/>
          <w:szCs w:val="20"/>
        </w:rPr>
        <w:t>板辐射采暖系统管道安装。地板辐射采暖系统管道安装执行第十册第七章相应</w:t>
      </w:r>
      <w:r>
        <w:rPr>
          <w:rFonts w:ascii="宋体" w:hAnsi="宋体" w:eastAsia="宋体" w:cs="宋体"/>
          <w:spacing w:val="10"/>
          <w:sz w:val="20"/>
          <w:szCs w:val="20"/>
        </w:rPr>
        <w:t>项目。直埋塑料管道</w:t>
      </w:r>
      <w:r>
        <w:rPr>
          <w:rFonts w:ascii="宋体" w:hAnsi="宋体" w:eastAsia="宋体" w:cs="宋体"/>
          <w:spacing w:val="9"/>
          <w:sz w:val="20"/>
          <w:szCs w:val="20"/>
        </w:rPr>
        <w:t>穿伸缩缝、出地面等处如安装柔性塑料套管，仅计材料费。</w:t>
      </w:r>
    </w:p>
    <w:p>
      <w:pPr>
        <w:spacing w:line="277" w:lineRule="exact"/>
        <w:ind w:left="423"/>
        <w:rPr>
          <w:rFonts w:ascii="宋体" w:hAnsi="宋体" w:eastAsia="宋体" w:cs="宋体"/>
          <w:sz w:val="20"/>
          <w:szCs w:val="20"/>
        </w:rPr>
      </w:pPr>
      <w:r>
        <w:rPr>
          <w:rFonts w:ascii="宋体" w:hAnsi="宋体" w:eastAsia="宋体" w:cs="宋体"/>
          <w:b/>
          <w:bCs/>
          <w:spacing w:val="7"/>
          <w:position w:val="1"/>
          <w:sz w:val="20"/>
          <w:szCs w:val="20"/>
        </w:rPr>
        <w:t>59.</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关于地板辐射采暖塑料管道敷设项目工程要求固定管道的方式</w:t>
      </w:r>
      <w:r>
        <w:rPr>
          <w:rFonts w:ascii="宋体" w:hAnsi="宋体" w:eastAsia="宋体" w:cs="宋体"/>
          <w:b/>
          <w:bCs/>
          <w:spacing w:val="6"/>
          <w:position w:val="1"/>
          <w:sz w:val="20"/>
          <w:szCs w:val="20"/>
        </w:rPr>
        <w:t>与定额不同时，如何调整</w:t>
      </w:r>
    </w:p>
    <w:p>
      <w:pPr>
        <w:spacing w:before="121" w:line="357" w:lineRule="auto"/>
        <w:ind w:right="208" w:firstLine="422"/>
        <w:jc w:val="both"/>
        <w:rPr>
          <w:rFonts w:ascii="宋体" w:hAnsi="宋体" w:eastAsia="宋体" w:cs="宋体"/>
          <w:sz w:val="20"/>
          <w:szCs w:val="20"/>
        </w:rPr>
      </w:pPr>
      <w:r>
        <w:rPr>
          <w:rFonts w:ascii="宋体" w:hAnsi="宋体" w:eastAsia="宋体" w:cs="宋体"/>
          <w:spacing w:val="11"/>
          <w:sz w:val="20"/>
          <w:szCs w:val="20"/>
        </w:rPr>
        <w:t>地板辐射采暖塑料管道敷设项目工程包括了固定管道的塑料卡钉（管卡）安</w:t>
      </w:r>
      <w:r>
        <w:rPr>
          <w:rFonts w:ascii="宋体" w:hAnsi="宋体" w:eastAsia="宋体" w:cs="宋体"/>
          <w:spacing w:val="10"/>
          <w:sz w:val="20"/>
          <w:szCs w:val="20"/>
        </w:rPr>
        <w:t>装、局部套管敷设</w:t>
      </w:r>
      <w:r>
        <w:rPr>
          <w:rFonts w:ascii="宋体" w:hAnsi="宋体" w:eastAsia="宋体" w:cs="宋体"/>
          <w:spacing w:val="11"/>
          <w:sz w:val="20"/>
          <w:szCs w:val="20"/>
        </w:rPr>
        <w:t>及地面浇筑的配合用工。如果工程要求固定管道的方式与定额不同时，固定管道</w:t>
      </w:r>
      <w:r>
        <w:rPr>
          <w:rFonts w:ascii="宋体" w:hAnsi="宋体" w:eastAsia="宋体" w:cs="宋体"/>
          <w:spacing w:val="10"/>
          <w:sz w:val="20"/>
          <w:szCs w:val="20"/>
        </w:rPr>
        <w:t>的材料可按设计要</w:t>
      </w:r>
      <w:r>
        <w:rPr>
          <w:rFonts w:ascii="宋体" w:hAnsi="宋体" w:eastAsia="宋体" w:cs="宋体"/>
          <w:spacing w:val="8"/>
          <w:sz w:val="20"/>
          <w:szCs w:val="20"/>
        </w:rPr>
        <w:t>求进行调整，其他不变。</w:t>
      </w:r>
    </w:p>
    <w:p>
      <w:pPr>
        <w:spacing w:before="40" w:line="277" w:lineRule="exact"/>
        <w:ind w:left="423"/>
        <w:rPr>
          <w:rFonts w:ascii="宋体" w:hAnsi="宋体" w:eastAsia="宋体" w:cs="宋体"/>
          <w:sz w:val="20"/>
          <w:szCs w:val="20"/>
        </w:rPr>
      </w:pPr>
      <w:r>
        <w:rPr>
          <w:rFonts w:ascii="宋体" w:hAnsi="宋体" w:eastAsia="宋体" w:cs="宋体"/>
          <w:b/>
          <w:bCs/>
          <w:spacing w:val="6"/>
          <w:position w:val="1"/>
          <w:sz w:val="20"/>
          <w:szCs w:val="20"/>
        </w:rPr>
        <w:t>60.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关于地板辐射采暖的隔热板项目中的塑料薄膜未铺设时，定额如何执行</w:t>
      </w:r>
    </w:p>
    <w:p>
      <w:pPr>
        <w:spacing w:before="124" w:line="353" w:lineRule="auto"/>
        <w:ind w:right="208" w:firstLine="421"/>
        <w:rPr>
          <w:rFonts w:ascii="宋体" w:hAnsi="宋体" w:eastAsia="宋体" w:cs="宋体"/>
          <w:sz w:val="20"/>
          <w:szCs w:val="20"/>
        </w:rPr>
      </w:pPr>
      <w:r>
        <w:rPr>
          <w:rFonts w:ascii="宋体" w:hAnsi="宋体" w:eastAsia="宋体" w:cs="宋体"/>
          <w:spacing w:val="11"/>
          <w:sz w:val="20"/>
          <w:szCs w:val="20"/>
        </w:rPr>
        <w:t>地板辐射采暖的隔热板项目中的塑料薄膜定额是指在接触土壤或室外空气的</w:t>
      </w:r>
      <w:r>
        <w:rPr>
          <w:rFonts w:ascii="宋体" w:hAnsi="宋体" w:eastAsia="宋体" w:cs="宋体"/>
          <w:spacing w:val="10"/>
          <w:sz w:val="20"/>
          <w:szCs w:val="20"/>
        </w:rPr>
        <w:t>楼板与绝热层之间</w:t>
      </w:r>
      <w:r>
        <w:rPr>
          <w:rFonts w:ascii="宋体" w:hAnsi="宋体" w:eastAsia="宋体" w:cs="宋体"/>
          <w:spacing w:val="8"/>
          <w:sz w:val="20"/>
          <w:szCs w:val="20"/>
        </w:rPr>
        <w:t>所铺设的塑料薄膜防潮层。</w:t>
      </w:r>
    </w:p>
    <w:p>
      <w:pPr>
        <w:spacing w:before="34" w:line="370" w:lineRule="auto"/>
        <w:ind w:left="20" w:right="205" w:firstLine="405"/>
        <w:rPr>
          <w:rFonts w:ascii="宋体" w:hAnsi="宋体" w:eastAsia="宋体" w:cs="宋体"/>
          <w:sz w:val="20"/>
          <w:szCs w:val="20"/>
        </w:rPr>
      </w:pPr>
      <w:r>
        <w:rPr>
          <w:rFonts w:ascii="宋体" w:hAnsi="宋体" w:eastAsia="宋体" w:cs="宋体"/>
          <w:spacing w:val="16"/>
          <w:sz w:val="20"/>
          <w:szCs w:val="20"/>
        </w:rPr>
        <w:t>塑料薄膜未铺设时应扣除塑料薄膜材料消耗量。如隔热板自</w:t>
      </w:r>
      <w:r>
        <w:rPr>
          <w:rFonts w:ascii="宋体" w:hAnsi="宋体" w:eastAsia="宋体" w:cs="宋体"/>
          <w:spacing w:val="15"/>
          <w:sz w:val="20"/>
          <w:szCs w:val="20"/>
        </w:rPr>
        <w:t>带保护层（铝箔</w:t>
      </w:r>
      <w:r>
        <w:rPr>
          <w:rFonts w:ascii="宋体" w:hAnsi="宋体" w:eastAsia="宋体" w:cs="宋体"/>
          <w:spacing w:val="-8"/>
          <w:sz w:val="20"/>
          <w:szCs w:val="20"/>
        </w:rPr>
        <w:t>）</w:t>
      </w:r>
      <w:r>
        <w:rPr>
          <w:rFonts w:ascii="宋体" w:hAnsi="宋体" w:eastAsia="宋体" w:cs="宋体"/>
          <w:spacing w:val="-37"/>
          <w:sz w:val="20"/>
          <w:szCs w:val="20"/>
        </w:rPr>
        <w:t xml:space="preserve"> </w:t>
      </w:r>
      <w:r>
        <w:rPr>
          <w:rFonts w:ascii="宋体" w:hAnsi="宋体" w:eastAsia="宋体" w:cs="宋体"/>
          <w:spacing w:val="-8"/>
          <w:sz w:val="20"/>
          <w:szCs w:val="20"/>
        </w:rPr>
        <w:t>，</w:t>
      </w:r>
      <w:r>
        <w:rPr>
          <w:rFonts w:ascii="宋体" w:hAnsi="宋体" w:eastAsia="宋体" w:cs="宋体"/>
          <w:spacing w:val="15"/>
          <w:sz w:val="20"/>
          <w:szCs w:val="20"/>
        </w:rPr>
        <w:t>不得再套用</w:t>
      </w:r>
      <w:r>
        <w:rPr>
          <w:rFonts w:ascii="宋体" w:hAnsi="宋体" w:eastAsia="宋体" w:cs="宋体"/>
          <w:spacing w:val="3"/>
          <w:sz w:val="20"/>
          <w:szCs w:val="20"/>
        </w:rPr>
        <w:t>10-7-116。</w:t>
      </w:r>
    </w:p>
    <w:p>
      <w:pPr>
        <w:spacing w:line="277" w:lineRule="exact"/>
        <w:ind w:left="423"/>
        <w:rPr>
          <w:rFonts w:ascii="宋体" w:hAnsi="宋体" w:eastAsia="宋体" w:cs="宋体"/>
          <w:sz w:val="20"/>
          <w:szCs w:val="20"/>
        </w:rPr>
      </w:pPr>
      <w:r>
        <w:rPr>
          <w:rFonts w:ascii="宋体" w:hAnsi="宋体" w:eastAsia="宋体" w:cs="宋体"/>
          <w:b/>
          <w:bCs/>
          <w:spacing w:val="6"/>
          <w:position w:val="1"/>
          <w:sz w:val="20"/>
          <w:szCs w:val="20"/>
        </w:rPr>
        <w:t>61.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关于成组热媒集配装置包括的内容，每组是否包含分水器和集水器的问题</w:t>
      </w:r>
    </w:p>
    <w:p>
      <w:pPr>
        <w:spacing w:before="122" w:line="277" w:lineRule="exact"/>
        <w:ind w:left="421"/>
        <w:rPr>
          <w:rFonts w:ascii="宋体" w:hAnsi="宋体" w:eastAsia="宋体" w:cs="宋体"/>
          <w:sz w:val="20"/>
          <w:szCs w:val="20"/>
        </w:rPr>
      </w:pPr>
      <w:r>
        <w:rPr>
          <w:rFonts w:ascii="宋体" w:hAnsi="宋体" w:eastAsia="宋体" w:cs="宋体"/>
          <w:spacing w:val="10"/>
          <w:position w:val="1"/>
          <w:sz w:val="20"/>
          <w:szCs w:val="20"/>
        </w:rPr>
        <w:t>成组热媒集配装置包括：成品分集水器和配套供</w:t>
      </w:r>
      <w:r>
        <w:rPr>
          <w:rFonts w:ascii="宋体" w:hAnsi="宋体" w:eastAsia="宋体" w:cs="宋体"/>
          <w:spacing w:val="9"/>
          <w:position w:val="1"/>
          <w:sz w:val="20"/>
          <w:szCs w:val="20"/>
        </w:rPr>
        <w:t>应的固定支架及与分支管连接的部件。</w:t>
      </w:r>
    </w:p>
    <w:p>
      <w:pPr>
        <w:spacing w:before="123" w:line="352" w:lineRule="auto"/>
        <w:ind w:left="12" w:right="208" w:firstLine="413"/>
        <w:rPr>
          <w:rFonts w:ascii="宋体" w:hAnsi="宋体" w:eastAsia="宋体" w:cs="宋体"/>
          <w:sz w:val="20"/>
          <w:szCs w:val="20"/>
        </w:rPr>
      </w:pPr>
      <w:r>
        <w:rPr>
          <w:rFonts w:ascii="宋体" w:hAnsi="宋体" w:eastAsia="宋体" w:cs="宋体"/>
          <w:spacing w:val="11"/>
          <w:sz w:val="20"/>
          <w:szCs w:val="20"/>
        </w:rPr>
        <w:t>每组成组热媒集配装置包含分水器和集水器。固定支架如不随分集水</w:t>
      </w:r>
      <w:r>
        <w:rPr>
          <w:rFonts w:ascii="宋体" w:hAnsi="宋体" w:eastAsia="宋体" w:cs="宋体"/>
          <w:spacing w:val="10"/>
          <w:sz w:val="20"/>
          <w:szCs w:val="20"/>
        </w:rPr>
        <w:t>器配套供应，需现场制作</w:t>
      </w:r>
      <w:r>
        <w:rPr>
          <w:rFonts w:ascii="宋体" w:hAnsi="宋体" w:eastAsia="宋体" w:cs="宋体"/>
          <w:spacing w:val="8"/>
          <w:sz w:val="20"/>
          <w:szCs w:val="20"/>
        </w:rPr>
        <w:t>时，按照第十册第十一章相应项目另行计算。</w:t>
      </w:r>
    </w:p>
    <w:p>
      <w:pPr>
        <w:spacing w:before="38" w:line="369" w:lineRule="auto"/>
        <w:ind w:left="3" w:right="208" w:firstLine="420"/>
        <w:rPr>
          <w:rFonts w:ascii="宋体" w:hAnsi="宋体" w:eastAsia="宋体" w:cs="宋体"/>
          <w:sz w:val="20"/>
          <w:szCs w:val="20"/>
        </w:rPr>
      </w:pPr>
      <w:r>
        <w:rPr>
          <w:rFonts w:ascii="宋体" w:hAnsi="宋体" w:eastAsia="宋体" w:cs="宋体"/>
          <w:b/>
          <w:bCs/>
          <w:spacing w:val="5"/>
          <w:sz w:val="20"/>
          <w:szCs w:val="20"/>
        </w:rPr>
        <w:t>62.</w:t>
      </w:r>
      <w:r>
        <w:rPr>
          <w:rFonts w:ascii="宋体" w:hAnsi="宋体" w:eastAsia="宋体" w:cs="宋体"/>
          <w:spacing w:val="5"/>
          <w:sz w:val="20"/>
          <w:szCs w:val="20"/>
        </w:rPr>
        <w:t xml:space="preserve"> </w:t>
      </w:r>
      <w:r>
        <w:rPr>
          <w:rFonts w:ascii="宋体" w:hAnsi="宋体" w:eastAsia="宋体" w:cs="宋体"/>
          <w:b/>
          <w:bCs/>
          <w:spacing w:val="5"/>
          <w:sz w:val="20"/>
          <w:szCs w:val="20"/>
        </w:rPr>
        <w:t>关于建筑物单层面积较大</w:t>
      </w:r>
      <w:r>
        <w:rPr>
          <w:rFonts w:ascii="宋体" w:hAnsi="宋体" w:eastAsia="宋体" w:cs="宋体"/>
          <w:spacing w:val="-45"/>
          <w:sz w:val="20"/>
          <w:szCs w:val="20"/>
        </w:rPr>
        <w:t xml:space="preserve"> </w:t>
      </w:r>
      <w:r>
        <w:rPr>
          <w:rFonts w:ascii="宋体" w:hAnsi="宋体" w:eastAsia="宋体" w:cs="宋体"/>
          <w:b/>
          <w:bCs/>
          <w:spacing w:val="5"/>
          <w:sz w:val="20"/>
          <w:szCs w:val="20"/>
        </w:rPr>
        <w:t>，</w:t>
      </w:r>
      <w:r>
        <w:rPr>
          <w:rFonts w:ascii="宋体" w:hAnsi="宋体" w:eastAsia="宋体" w:cs="宋体"/>
          <w:spacing w:val="-57"/>
          <w:sz w:val="20"/>
          <w:szCs w:val="20"/>
        </w:rPr>
        <w:t xml:space="preserve"> </w:t>
      </w:r>
      <w:r>
        <w:rPr>
          <w:rFonts w:ascii="宋体" w:hAnsi="宋体" w:eastAsia="宋体" w:cs="宋体"/>
          <w:b/>
          <w:bCs/>
          <w:spacing w:val="5"/>
          <w:sz w:val="20"/>
          <w:szCs w:val="20"/>
        </w:rPr>
        <w:t>自然采光无法满足施工需要，实际施工时需采取照明措施</w:t>
      </w:r>
      <w:r>
        <w:rPr>
          <w:rFonts w:ascii="宋体" w:hAnsi="宋体" w:eastAsia="宋体" w:cs="宋体"/>
          <w:spacing w:val="-60"/>
          <w:sz w:val="20"/>
          <w:szCs w:val="20"/>
        </w:rPr>
        <w:t xml:space="preserve"> </w:t>
      </w:r>
      <w:r>
        <w:rPr>
          <w:rFonts w:ascii="宋体" w:hAnsi="宋体" w:eastAsia="宋体" w:cs="宋体"/>
          <w:b/>
          <w:bCs/>
          <w:spacing w:val="5"/>
          <w:sz w:val="20"/>
          <w:szCs w:val="20"/>
        </w:rPr>
        <w:t>，是否可计取地下室（</w:t>
      </w:r>
      <w:r>
        <w:rPr>
          <w:rFonts w:ascii="宋体" w:hAnsi="宋体" w:eastAsia="宋体" w:cs="宋体"/>
          <w:spacing w:val="-50"/>
          <w:sz w:val="20"/>
          <w:szCs w:val="20"/>
        </w:rPr>
        <w:t xml:space="preserve"> </w:t>
      </w:r>
      <w:r>
        <w:rPr>
          <w:rFonts w:ascii="宋体" w:hAnsi="宋体" w:eastAsia="宋体" w:cs="宋体"/>
          <w:b/>
          <w:bCs/>
          <w:spacing w:val="5"/>
          <w:sz w:val="20"/>
          <w:szCs w:val="20"/>
        </w:rPr>
        <w:t>暗室）施工增加费</w:t>
      </w:r>
    </w:p>
    <w:p>
      <w:pPr>
        <w:spacing w:before="3" w:line="368" w:lineRule="auto"/>
        <w:ind w:left="1" w:right="208" w:firstLine="420"/>
        <w:rPr>
          <w:rFonts w:ascii="宋体" w:hAnsi="宋体" w:eastAsia="宋体" w:cs="宋体"/>
          <w:sz w:val="20"/>
          <w:szCs w:val="20"/>
        </w:rPr>
      </w:pPr>
      <w:r>
        <w:rPr>
          <w:rFonts w:ascii="宋体" w:hAnsi="宋体" w:eastAsia="宋体" w:cs="宋体"/>
          <w:spacing w:val="10"/>
          <w:sz w:val="20"/>
          <w:szCs w:val="20"/>
        </w:rPr>
        <w:t>建筑物单层面积较大，</w:t>
      </w:r>
      <w:r>
        <w:rPr>
          <w:rFonts w:ascii="宋体" w:hAnsi="宋体" w:eastAsia="宋体" w:cs="宋体"/>
          <w:spacing w:val="-57"/>
          <w:sz w:val="20"/>
          <w:szCs w:val="20"/>
        </w:rPr>
        <w:t xml:space="preserve"> </w:t>
      </w:r>
      <w:r>
        <w:rPr>
          <w:rFonts w:ascii="宋体" w:hAnsi="宋体" w:eastAsia="宋体" w:cs="宋体"/>
          <w:spacing w:val="10"/>
          <w:sz w:val="20"/>
          <w:szCs w:val="20"/>
        </w:rPr>
        <w:t>自然采光无法满足施工需要，实际施工时根据甲乙</w:t>
      </w:r>
      <w:r>
        <w:rPr>
          <w:rFonts w:ascii="宋体" w:hAnsi="宋体" w:eastAsia="宋体" w:cs="宋体"/>
          <w:spacing w:val="9"/>
          <w:sz w:val="20"/>
          <w:szCs w:val="20"/>
        </w:rPr>
        <w:t>双方认可的施工组织方案采取了照明措施，可计取地下室（暗室）施工增加费。</w:t>
      </w:r>
    </w:p>
    <w:p>
      <w:pPr>
        <w:spacing w:line="278" w:lineRule="exact"/>
        <w:ind w:left="423"/>
        <w:rPr>
          <w:rFonts w:ascii="宋体" w:hAnsi="宋体" w:eastAsia="宋体" w:cs="宋体"/>
          <w:sz w:val="20"/>
          <w:szCs w:val="20"/>
        </w:rPr>
      </w:pPr>
      <w:r>
        <w:rPr>
          <w:rFonts w:ascii="宋体" w:hAnsi="宋体" w:eastAsia="宋体" w:cs="宋体"/>
          <w:b/>
          <w:bCs/>
          <w:spacing w:val="4"/>
          <w:position w:val="1"/>
          <w:sz w:val="20"/>
          <w:szCs w:val="20"/>
        </w:rPr>
        <w:t>63.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关于电力电缆穿刺线夹如何计算工程量</w:t>
      </w:r>
    </w:p>
    <w:p>
      <w:pPr>
        <w:spacing w:line="278" w:lineRule="exact"/>
        <w:rPr>
          <w:rFonts w:ascii="宋体" w:hAnsi="宋体" w:eastAsia="宋体" w:cs="宋体"/>
          <w:sz w:val="20"/>
          <w:szCs w:val="20"/>
        </w:rPr>
        <w:sectPr>
          <w:footerReference r:id="rId159" w:type="default"/>
          <w:pgSz w:w="11906" w:h="16839"/>
          <w:pgMar w:top="400" w:right="1212"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2" w:lineRule="auto"/>
        <w:ind w:left="442"/>
        <w:rPr>
          <w:rFonts w:ascii="宋体" w:hAnsi="宋体" w:eastAsia="宋体" w:cs="宋体"/>
          <w:sz w:val="20"/>
          <w:szCs w:val="20"/>
        </w:rPr>
      </w:pPr>
      <w:r>
        <w:rPr>
          <w:rFonts w:ascii="宋体" w:hAnsi="宋体" w:eastAsia="宋体" w:cs="宋体"/>
          <w:spacing w:val="9"/>
          <w:sz w:val="20"/>
          <w:szCs w:val="20"/>
        </w:rPr>
        <w:t>电力电缆穿刺线夹安装按主电缆截面大小，以“个”为单位计算</w:t>
      </w:r>
      <w:r>
        <w:rPr>
          <w:rFonts w:ascii="宋体" w:hAnsi="宋体" w:eastAsia="宋体" w:cs="宋体"/>
          <w:spacing w:val="8"/>
          <w:sz w:val="20"/>
          <w:szCs w:val="20"/>
        </w:rPr>
        <w:t>工程量。</w:t>
      </w:r>
    </w:p>
    <w:p>
      <w:pPr>
        <w:spacing w:before="155" w:line="278" w:lineRule="exact"/>
        <w:ind w:left="425"/>
        <w:rPr>
          <w:rFonts w:ascii="宋体" w:hAnsi="宋体" w:eastAsia="宋体" w:cs="宋体"/>
          <w:sz w:val="20"/>
          <w:szCs w:val="20"/>
        </w:rPr>
      </w:pPr>
      <w:r>
        <w:rPr>
          <w:rFonts w:ascii="宋体" w:hAnsi="宋体" w:eastAsia="宋体" w:cs="宋体"/>
          <w:b/>
          <w:bCs/>
          <w:spacing w:val="8"/>
          <w:position w:val="1"/>
          <w:sz w:val="20"/>
          <w:szCs w:val="20"/>
        </w:rPr>
        <w:t>64.</w:t>
      </w:r>
      <w:r>
        <w:rPr>
          <w:rFonts w:ascii="宋体" w:hAnsi="宋体" w:eastAsia="宋体" w:cs="宋体"/>
          <w:spacing w:val="8"/>
          <w:position w:val="1"/>
          <w:sz w:val="20"/>
          <w:szCs w:val="20"/>
        </w:rPr>
        <w:t xml:space="preserve"> </w:t>
      </w:r>
      <w:r>
        <w:rPr>
          <w:rFonts w:ascii="宋体" w:hAnsi="宋体" w:eastAsia="宋体" w:cs="宋体"/>
          <w:b/>
          <w:bCs/>
          <w:spacing w:val="8"/>
          <w:position w:val="1"/>
          <w:sz w:val="20"/>
          <w:szCs w:val="20"/>
        </w:rPr>
        <w:t>关于等电位</w:t>
      </w:r>
      <w:r>
        <w:rPr>
          <w:rFonts w:ascii="宋体" w:hAnsi="宋体" w:eastAsia="宋体" w:cs="宋体"/>
          <w:spacing w:val="-34"/>
          <w:position w:val="1"/>
          <w:sz w:val="20"/>
          <w:szCs w:val="20"/>
        </w:rPr>
        <w:t xml:space="preserve"> </w:t>
      </w:r>
      <w:r>
        <w:rPr>
          <w:rFonts w:ascii="宋体" w:hAnsi="宋体" w:eastAsia="宋体" w:cs="宋体"/>
          <w:b/>
          <w:bCs/>
          <w:position w:val="1"/>
          <w:sz w:val="20"/>
          <w:szCs w:val="20"/>
        </w:rPr>
        <w:t>MEB</w:t>
      </w:r>
      <w:r>
        <w:rPr>
          <w:rFonts w:ascii="宋体" w:hAnsi="宋体" w:eastAsia="宋体" w:cs="宋体"/>
          <w:spacing w:val="-43"/>
          <w:position w:val="1"/>
          <w:sz w:val="20"/>
          <w:szCs w:val="20"/>
        </w:rPr>
        <w:t xml:space="preserve"> </w:t>
      </w:r>
      <w:r>
        <w:rPr>
          <w:rFonts w:ascii="宋体" w:hAnsi="宋体" w:eastAsia="宋体" w:cs="宋体"/>
          <w:b/>
          <w:bCs/>
          <w:spacing w:val="8"/>
          <w:position w:val="1"/>
          <w:sz w:val="20"/>
          <w:szCs w:val="20"/>
        </w:rPr>
        <w:t>箱、等电位引出处的</w:t>
      </w:r>
      <w:r>
        <w:rPr>
          <w:rFonts w:ascii="宋体" w:hAnsi="宋体" w:eastAsia="宋体" w:cs="宋体"/>
          <w:spacing w:val="-39"/>
          <w:position w:val="1"/>
          <w:sz w:val="20"/>
          <w:szCs w:val="20"/>
        </w:rPr>
        <w:t xml:space="preserve"> </w:t>
      </w:r>
      <w:r>
        <w:rPr>
          <w:rFonts w:ascii="宋体" w:hAnsi="宋体" w:eastAsia="宋体" w:cs="宋体"/>
          <w:b/>
          <w:bCs/>
          <w:spacing w:val="8"/>
          <w:position w:val="1"/>
          <w:sz w:val="20"/>
          <w:szCs w:val="20"/>
        </w:rPr>
        <w:t>86、146</w:t>
      </w:r>
      <w:r>
        <w:rPr>
          <w:rFonts w:ascii="宋体" w:hAnsi="宋体" w:eastAsia="宋体" w:cs="宋体"/>
          <w:spacing w:val="-44"/>
          <w:position w:val="1"/>
          <w:sz w:val="20"/>
          <w:szCs w:val="20"/>
        </w:rPr>
        <w:t xml:space="preserve"> </w:t>
      </w:r>
      <w:r>
        <w:rPr>
          <w:rFonts w:ascii="宋体" w:hAnsi="宋体" w:eastAsia="宋体" w:cs="宋体"/>
          <w:b/>
          <w:bCs/>
          <w:spacing w:val="8"/>
          <w:position w:val="1"/>
          <w:sz w:val="20"/>
          <w:szCs w:val="20"/>
        </w:rPr>
        <w:t>标准盒如何执行</w:t>
      </w:r>
      <w:r>
        <w:rPr>
          <w:rFonts w:ascii="宋体" w:hAnsi="宋体" w:eastAsia="宋体" w:cs="宋体"/>
          <w:b/>
          <w:bCs/>
          <w:spacing w:val="7"/>
          <w:position w:val="1"/>
          <w:sz w:val="20"/>
          <w:szCs w:val="20"/>
        </w:rPr>
        <w:t>定额</w:t>
      </w:r>
    </w:p>
    <w:p>
      <w:pPr>
        <w:spacing w:before="123" w:line="277" w:lineRule="exact"/>
        <w:ind w:left="425"/>
        <w:rPr>
          <w:rFonts w:ascii="宋体" w:hAnsi="宋体" w:eastAsia="宋体" w:cs="宋体"/>
          <w:sz w:val="20"/>
          <w:szCs w:val="20"/>
        </w:rPr>
      </w:pPr>
      <w:r>
        <w:rPr>
          <w:rFonts w:ascii="宋体" w:hAnsi="宋体" w:eastAsia="宋体" w:cs="宋体"/>
          <w:spacing w:val="11"/>
          <w:position w:val="1"/>
          <w:sz w:val="20"/>
          <w:szCs w:val="20"/>
        </w:rPr>
        <w:t>等电位</w:t>
      </w:r>
      <w:r>
        <w:rPr>
          <w:rFonts w:ascii="宋体" w:hAnsi="宋体" w:eastAsia="宋体" w:cs="宋体"/>
          <w:spacing w:val="-36"/>
          <w:position w:val="1"/>
          <w:sz w:val="20"/>
          <w:szCs w:val="20"/>
        </w:rPr>
        <w:t xml:space="preserve"> </w:t>
      </w:r>
      <w:r>
        <w:rPr>
          <w:rFonts w:ascii="宋体" w:hAnsi="宋体" w:eastAsia="宋体" w:cs="宋体"/>
          <w:position w:val="1"/>
          <w:sz w:val="20"/>
          <w:szCs w:val="20"/>
        </w:rPr>
        <w:t>MEB</w:t>
      </w:r>
      <w:r>
        <w:rPr>
          <w:rFonts w:ascii="宋体" w:hAnsi="宋体" w:eastAsia="宋体" w:cs="宋体"/>
          <w:spacing w:val="-40"/>
          <w:position w:val="1"/>
          <w:sz w:val="20"/>
          <w:szCs w:val="20"/>
        </w:rPr>
        <w:t xml:space="preserve"> </w:t>
      </w:r>
      <w:r>
        <w:rPr>
          <w:rFonts w:ascii="宋体" w:hAnsi="宋体" w:eastAsia="宋体" w:cs="宋体"/>
          <w:spacing w:val="11"/>
          <w:position w:val="1"/>
          <w:sz w:val="20"/>
          <w:szCs w:val="20"/>
        </w:rPr>
        <w:t>箱执行等电位端子箱定额，等电位引出处的</w:t>
      </w:r>
      <w:r>
        <w:rPr>
          <w:rFonts w:ascii="宋体" w:hAnsi="宋体" w:eastAsia="宋体" w:cs="宋体"/>
          <w:spacing w:val="-40"/>
          <w:position w:val="1"/>
          <w:sz w:val="20"/>
          <w:szCs w:val="20"/>
        </w:rPr>
        <w:t xml:space="preserve"> </w:t>
      </w:r>
      <w:r>
        <w:rPr>
          <w:rFonts w:ascii="宋体" w:hAnsi="宋体" w:eastAsia="宋体" w:cs="宋体"/>
          <w:spacing w:val="11"/>
          <w:position w:val="1"/>
          <w:sz w:val="20"/>
          <w:szCs w:val="20"/>
        </w:rPr>
        <w:t>86、146</w:t>
      </w:r>
      <w:r>
        <w:rPr>
          <w:rFonts w:ascii="宋体" w:hAnsi="宋体" w:eastAsia="宋体" w:cs="宋体"/>
          <w:spacing w:val="-41"/>
          <w:position w:val="1"/>
          <w:sz w:val="20"/>
          <w:szCs w:val="20"/>
        </w:rPr>
        <w:t xml:space="preserve"> </w:t>
      </w:r>
      <w:r>
        <w:rPr>
          <w:rFonts w:ascii="宋体" w:hAnsi="宋体" w:eastAsia="宋体" w:cs="宋体"/>
          <w:spacing w:val="11"/>
          <w:position w:val="1"/>
          <w:sz w:val="20"/>
          <w:szCs w:val="20"/>
        </w:rPr>
        <w:t>标准盒执行开关插座盒</w:t>
      </w:r>
      <w:r>
        <w:rPr>
          <w:rFonts w:ascii="宋体" w:hAnsi="宋体" w:eastAsia="宋体" w:cs="宋体"/>
          <w:spacing w:val="10"/>
          <w:position w:val="1"/>
          <w:sz w:val="20"/>
          <w:szCs w:val="20"/>
        </w:rPr>
        <w:t>定额。</w:t>
      </w:r>
    </w:p>
    <w:p>
      <w:pPr>
        <w:spacing w:before="120" w:line="278" w:lineRule="exact"/>
        <w:ind w:left="425"/>
        <w:rPr>
          <w:rFonts w:ascii="宋体" w:hAnsi="宋体" w:eastAsia="宋体" w:cs="宋体"/>
          <w:sz w:val="20"/>
          <w:szCs w:val="20"/>
        </w:rPr>
      </w:pPr>
      <w:r>
        <w:rPr>
          <w:rFonts w:ascii="宋体" w:hAnsi="宋体" w:eastAsia="宋体" w:cs="宋体"/>
          <w:b/>
          <w:bCs/>
          <w:spacing w:val="5"/>
          <w:position w:val="1"/>
          <w:sz w:val="20"/>
          <w:szCs w:val="20"/>
        </w:rPr>
        <w:t>65.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关于自动化仪表工程中的控制电缆适用范围</w:t>
      </w:r>
    </w:p>
    <w:p>
      <w:pPr>
        <w:spacing w:before="123" w:line="369" w:lineRule="auto"/>
        <w:ind w:left="4" w:right="37" w:firstLine="458"/>
        <w:rPr>
          <w:rFonts w:ascii="宋体" w:hAnsi="宋体" w:eastAsia="宋体" w:cs="宋体"/>
          <w:sz w:val="20"/>
          <w:szCs w:val="20"/>
        </w:rPr>
      </w:pPr>
      <w:r>
        <w:rPr>
          <w:rFonts w:ascii="宋体" w:hAnsi="宋体" w:eastAsia="宋体" w:cs="宋体"/>
          <w:spacing w:val="2"/>
          <w:sz w:val="20"/>
          <w:szCs w:val="20"/>
        </w:rPr>
        <w:t>自动化电缆敷设适用于自动化仪表工程中的控制电缆、仪表电源电缆、屏蔽或非屏蔽电缆（线）、</w:t>
      </w:r>
      <w:r>
        <w:rPr>
          <w:rFonts w:ascii="宋体" w:hAnsi="宋体" w:eastAsia="宋体" w:cs="宋体"/>
          <w:spacing w:val="8"/>
          <w:sz w:val="20"/>
          <w:szCs w:val="20"/>
        </w:rPr>
        <w:t>补偿导线等仪表所有电缆（线）。</w:t>
      </w:r>
    </w:p>
    <w:p>
      <w:pPr>
        <w:spacing w:line="277" w:lineRule="exact"/>
        <w:ind w:left="425"/>
        <w:rPr>
          <w:rFonts w:ascii="宋体" w:hAnsi="宋体" w:eastAsia="宋体" w:cs="宋体"/>
          <w:sz w:val="20"/>
          <w:szCs w:val="20"/>
        </w:rPr>
      </w:pPr>
      <w:r>
        <w:rPr>
          <w:rFonts w:ascii="宋体" w:hAnsi="宋体" w:eastAsia="宋体" w:cs="宋体"/>
          <w:b/>
          <w:bCs/>
          <w:spacing w:val="6"/>
          <w:position w:val="1"/>
          <w:sz w:val="20"/>
          <w:szCs w:val="20"/>
        </w:rPr>
        <w:t>66.</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关于设备框架、管廊上的平台、梯子、栏杆、支架等如何执行定额</w:t>
      </w:r>
    </w:p>
    <w:p>
      <w:pPr>
        <w:spacing w:before="125" w:line="368" w:lineRule="auto"/>
        <w:ind w:right="121" w:firstLine="420"/>
        <w:rPr>
          <w:rFonts w:ascii="宋体" w:hAnsi="宋体" w:eastAsia="宋体" w:cs="宋体"/>
          <w:sz w:val="20"/>
          <w:szCs w:val="20"/>
        </w:rPr>
      </w:pPr>
      <w:r>
        <w:rPr>
          <w:rFonts w:ascii="宋体" w:hAnsi="宋体" w:eastAsia="宋体" w:cs="宋体"/>
          <w:spacing w:val="11"/>
          <w:sz w:val="20"/>
          <w:szCs w:val="20"/>
        </w:rPr>
        <w:t>设备框架、管廊上的平台、梯子、栏杆、支架等的重量应计入设备框架、管廊整体重</w:t>
      </w:r>
      <w:r>
        <w:rPr>
          <w:rFonts w:ascii="宋体" w:hAnsi="宋体" w:eastAsia="宋体" w:cs="宋体"/>
          <w:spacing w:val="10"/>
          <w:sz w:val="20"/>
          <w:szCs w:val="20"/>
        </w:rPr>
        <w:t>量，执行</w:t>
      </w:r>
      <w:r>
        <w:rPr>
          <w:rFonts w:ascii="宋体" w:hAnsi="宋体" w:eastAsia="宋体" w:cs="宋体"/>
          <w:spacing w:val="9"/>
          <w:sz w:val="20"/>
          <w:szCs w:val="20"/>
        </w:rPr>
        <w:t>设备框架、管廊相应定额。</w:t>
      </w:r>
    </w:p>
    <w:p>
      <w:pPr>
        <w:spacing w:line="278" w:lineRule="exact"/>
        <w:ind w:left="425"/>
        <w:rPr>
          <w:rFonts w:ascii="宋体" w:hAnsi="宋体" w:eastAsia="宋体" w:cs="宋体"/>
          <w:sz w:val="20"/>
          <w:szCs w:val="20"/>
        </w:rPr>
      </w:pPr>
      <w:r>
        <w:rPr>
          <w:rFonts w:ascii="宋体" w:hAnsi="宋体" w:eastAsia="宋体" w:cs="宋体"/>
          <w:b/>
          <w:bCs/>
          <w:spacing w:val="4"/>
          <w:position w:val="1"/>
          <w:sz w:val="20"/>
          <w:szCs w:val="20"/>
        </w:rPr>
        <w:t>67.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关于管廊制作安装定额所指管廊高度</w:t>
      </w:r>
    </w:p>
    <w:p>
      <w:pPr>
        <w:spacing w:before="128" w:line="220" w:lineRule="auto"/>
        <w:ind w:left="425"/>
        <w:rPr>
          <w:rFonts w:ascii="宋体" w:hAnsi="宋体" w:eastAsia="宋体" w:cs="宋体"/>
          <w:sz w:val="20"/>
          <w:szCs w:val="20"/>
        </w:rPr>
      </w:pPr>
      <w:r>
        <w:rPr>
          <w:rFonts w:ascii="宋体" w:hAnsi="宋体" w:eastAsia="宋体" w:cs="宋体"/>
          <w:spacing w:val="9"/>
          <w:sz w:val="20"/>
          <w:szCs w:val="20"/>
        </w:rPr>
        <w:t>管廊制作安装定额所指管廊高度是指地面至管廊底的净空高度。</w:t>
      </w:r>
    </w:p>
    <w:p>
      <w:pPr>
        <w:spacing w:before="158" w:line="349" w:lineRule="auto"/>
        <w:ind w:left="8" w:right="120" w:firstLine="416"/>
        <w:rPr>
          <w:rFonts w:ascii="宋体" w:hAnsi="宋体" w:eastAsia="宋体" w:cs="宋体"/>
          <w:sz w:val="20"/>
          <w:szCs w:val="20"/>
        </w:rPr>
      </w:pPr>
      <w:r>
        <w:rPr>
          <w:rFonts w:ascii="宋体" w:hAnsi="宋体" w:eastAsia="宋体" w:cs="宋体"/>
          <w:b/>
          <w:bCs/>
          <w:spacing w:val="8"/>
          <w:sz w:val="20"/>
          <w:szCs w:val="20"/>
        </w:rPr>
        <w:t>68.</w:t>
      </w:r>
      <w:r>
        <w:rPr>
          <w:rFonts w:ascii="宋体" w:hAnsi="宋体" w:eastAsia="宋体" w:cs="宋体"/>
          <w:spacing w:val="8"/>
          <w:sz w:val="20"/>
          <w:szCs w:val="20"/>
        </w:rPr>
        <w:t xml:space="preserve"> </w:t>
      </w:r>
      <w:r>
        <w:rPr>
          <w:rFonts w:ascii="宋体" w:hAnsi="宋体" w:eastAsia="宋体" w:cs="宋体"/>
          <w:b/>
          <w:bCs/>
          <w:spacing w:val="8"/>
          <w:sz w:val="20"/>
          <w:szCs w:val="20"/>
        </w:rPr>
        <w:t>利用建筑物主筋引下定额工作内容中“焊</w:t>
      </w:r>
      <w:r>
        <w:rPr>
          <w:rFonts w:ascii="宋体" w:hAnsi="宋体" w:eastAsia="宋体" w:cs="宋体"/>
          <w:b/>
          <w:bCs/>
          <w:spacing w:val="7"/>
          <w:sz w:val="20"/>
          <w:szCs w:val="20"/>
        </w:rPr>
        <w:t>接”</w:t>
      </w:r>
      <w:r>
        <w:rPr>
          <w:rFonts w:ascii="宋体" w:hAnsi="宋体" w:eastAsia="宋体" w:cs="宋体"/>
          <w:spacing w:val="-70"/>
          <w:sz w:val="20"/>
          <w:szCs w:val="20"/>
        </w:rPr>
        <w:t xml:space="preserve"> </w:t>
      </w:r>
      <w:r>
        <w:rPr>
          <w:rFonts w:ascii="宋体" w:hAnsi="宋体" w:eastAsia="宋体" w:cs="宋体"/>
          <w:b/>
          <w:bCs/>
          <w:spacing w:val="7"/>
          <w:sz w:val="20"/>
          <w:szCs w:val="20"/>
        </w:rPr>
        <w:t>，是否包含引下线上部与避雷网连接、中间</w:t>
      </w:r>
      <w:r>
        <w:rPr>
          <w:rFonts w:ascii="宋体" w:hAnsi="宋体" w:eastAsia="宋体" w:cs="宋体"/>
          <w:b/>
          <w:bCs/>
          <w:spacing w:val="8"/>
          <w:sz w:val="20"/>
          <w:szCs w:val="20"/>
        </w:rPr>
        <w:t>与均压环连接、下部与接地极连接的焊接工作内容</w:t>
      </w:r>
    </w:p>
    <w:p>
      <w:pPr>
        <w:spacing w:before="47" w:line="367" w:lineRule="auto"/>
        <w:ind w:left="3" w:right="118" w:firstLine="418"/>
        <w:rPr>
          <w:rFonts w:ascii="宋体" w:hAnsi="宋体" w:eastAsia="宋体" w:cs="宋体"/>
          <w:sz w:val="20"/>
          <w:szCs w:val="20"/>
        </w:rPr>
      </w:pPr>
      <w:r>
        <w:rPr>
          <w:rFonts w:ascii="宋体" w:hAnsi="宋体" w:eastAsia="宋体" w:cs="宋体"/>
          <w:spacing w:val="10"/>
          <w:sz w:val="20"/>
          <w:szCs w:val="20"/>
        </w:rPr>
        <w:t>定额包括了与避雷网的连接“焊接”工作和与引至接地极的接地线的“焊接”</w:t>
      </w:r>
      <w:r>
        <w:rPr>
          <w:rFonts w:ascii="宋体" w:hAnsi="宋体" w:eastAsia="宋体" w:cs="宋体"/>
          <w:spacing w:val="-63"/>
          <w:sz w:val="20"/>
          <w:szCs w:val="20"/>
        </w:rPr>
        <w:t xml:space="preserve"> </w:t>
      </w:r>
      <w:r>
        <w:rPr>
          <w:rFonts w:ascii="宋体" w:hAnsi="宋体" w:eastAsia="宋体" w:cs="宋体"/>
          <w:spacing w:val="10"/>
          <w:sz w:val="20"/>
          <w:szCs w:val="20"/>
        </w:rPr>
        <w:t>，但不包括与均</w:t>
      </w:r>
      <w:r>
        <w:rPr>
          <w:rFonts w:ascii="宋体" w:hAnsi="宋体" w:eastAsia="宋体" w:cs="宋体"/>
          <w:spacing w:val="9"/>
          <w:sz w:val="20"/>
          <w:szCs w:val="20"/>
        </w:rPr>
        <w:t>压环的“焊接”连接。与均压环的“焊接”执行“4-10-52”柱主筋与圈梁钢筋焊接子目。</w:t>
      </w:r>
    </w:p>
    <w:p>
      <w:pPr>
        <w:spacing w:line="277" w:lineRule="exact"/>
        <w:ind w:left="425"/>
        <w:rPr>
          <w:rFonts w:ascii="宋体" w:hAnsi="宋体" w:eastAsia="宋体" w:cs="宋体"/>
          <w:sz w:val="20"/>
          <w:szCs w:val="20"/>
        </w:rPr>
      </w:pPr>
      <w:r>
        <w:rPr>
          <w:rFonts w:ascii="宋体" w:hAnsi="宋体" w:eastAsia="宋体" w:cs="宋体"/>
          <w:b/>
          <w:bCs/>
          <w:spacing w:val="6"/>
          <w:position w:val="1"/>
          <w:sz w:val="20"/>
          <w:szCs w:val="20"/>
        </w:rPr>
        <w:t>69.</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关于成套配电箱安装定额工作内容中“接线”指的是哪些回路的接线</w:t>
      </w:r>
    </w:p>
    <w:p>
      <w:pPr>
        <w:spacing w:before="126" w:line="366" w:lineRule="auto"/>
        <w:ind w:left="3" w:right="121" w:firstLine="421"/>
        <w:jc w:val="both"/>
        <w:rPr>
          <w:rFonts w:ascii="宋体" w:hAnsi="宋体" w:eastAsia="宋体" w:cs="宋体"/>
          <w:sz w:val="20"/>
          <w:szCs w:val="20"/>
        </w:rPr>
      </w:pPr>
      <w:r>
        <w:rPr>
          <w:rFonts w:ascii="宋体" w:hAnsi="宋体" w:eastAsia="宋体" w:cs="宋体"/>
          <w:spacing w:val="11"/>
          <w:sz w:val="20"/>
          <w:szCs w:val="20"/>
        </w:rPr>
        <w:t>指一次回路进、出线与箱内开关电器的连接、箱体与箱门之间的接地线</w:t>
      </w:r>
      <w:r>
        <w:rPr>
          <w:rFonts w:ascii="宋体" w:hAnsi="宋体" w:eastAsia="宋体" w:cs="宋体"/>
          <w:spacing w:val="10"/>
          <w:sz w:val="20"/>
          <w:szCs w:val="20"/>
        </w:rPr>
        <w:t>连接。由于回路中的零</w:t>
      </w:r>
      <w:r>
        <w:rPr>
          <w:rFonts w:ascii="宋体" w:hAnsi="宋体" w:eastAsia="宋体" w:cs="宋体"/>
          <w:spacing w:val="11"/>
          <w:sz w:val="20"/>
          <w:szCs w:val="20"/>
        </w:rPr>
        <w:t>线属于一次线，各回路的零线有的汇集接至零线端子排，定额也包括了与零</w:t>
      </w:r>
      <w:r>
        <w:rPr>
          <w:rFonts w:ascii="宋体" w:hAnsi="宋体" w:eastAsia="宋体" w:cs="宋体"/>
          <w:spacing w:val="10"/>
          <w:sz w:val="20"/>
          <w:szCs w:val="20"/>
        </w:rPr>
        <w:t>线端子排的接线。对此</w:t>
      </w:r>
      <w:r>
        <w:rPr>
          <w:rFonts w:ascii="宋体" w:hAnsi="宋体" w:eastAsia="宋体" w:cs="宋体"/>
          <w:spacing w:val="9"/>
          <w:sz w:val="20"/>
          <w:szCs w:val="20"/>
        </w:rPr>
        <w:t>不可再按二次接线执行端子板外部接线定额。</w:t>
      </w:r>
    </w:p>
    <w:p>
      <w:pPr>
        <w:spacing w:before="8" w:line="278" w:lineRule="exact"/>
        <w:ind w:left="423"/>
        <w:rPr>
          <w:rFonts w:ascii="宋体" w:hAnsi="宋体" w:eastAsia="宋体" w:cs="宋体"/>
          <w:sz w:val="20"/>
          <w:szCs w:val="20"/>
        </w:rPr>
      </w:pPr>
      <w:r>
        <w:rPr>
          <w:rFonts w:ascii="宋体" w:hAnsi="宋体" w:eastAsia="宋体" w:cs="宋体"/>
          <w:b/>
          <w:bCs/>
          <w:spacing w:val="5"/>
          <w:position w:val="1"/>
          <w:sz w:val="20"/>
          <w:szCs w:val="20"/>
        </w:rPr>
        <w:t>70.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关于电气配管计量是按图示还是最近距离计算</w:t>
      </w:r>
    </w:p>
    <w:p>
      <w:pPr>
        <w:spacing w:before="127" w:line="367" w:lineRule="auto"/>
        <w:ind w:left="1" w:right="118" w:firstLine="441"/>
        <w:jc w:val="both"/>
        <w:rPr>
          <w:rFonts w:ascii="宋体" w:hAnsi="宋体" w:eastAsia="宋体" w:cs="宋体"/>
          <w:sz w:val="20"/>
          <w:szCs w:val="20"/>
        </w:rPr>
      </w:pPr>
      <w:r>
        <w:rPr>
          <w:rFonts w:ascii="宋体" w:hAnsi="宋体" w:eastAsia="宋体" w:cs="宋体"/>
          <w:spacing w:val="10"/>
          <w:sz w:val="20"/>
          <w:szCs w:val="20"/>
        </w:rPr>
        <w:t>电气配管的施工图设计标准、深度是有规范要求的。定额的工程量计算规则制定的前提是符合国家设计规范的要求，计算规则上是按“</w:t>
      </w:r>
      <w:r>
        <w:rPr>
          <w:rFonts w:ascii="宋体" w:hAnsi="宋体" w:eastAsia="宋体" w:cs="宋体"/>
          <w:spacing w:val="-62"/>
          <w:sz w:val="20"/>
          <w:szCs w:val="20"/>
        </w:rPr>
        <w:t xml:space="preserve"> </w:t>
      </w:r>
      <w:r>
        <w:rPr>
          <w:rFonts w:ascii="宋体" w:hAnsi="宋体" w:eastAsia="宋体" w:cs="宋体"/>
          <w:spacing w:val="10"/>
          <w:sz w:val="20"/>
          <w:szCs w:val="20"/>
        </w:rPr>
        <w:t>图示”尺寸进行丈量。实际工程中，施工图没有严格的按</w:t>
      </w:r>
      <w:r>
        <w:rPr>
          <w:rFonts w:ascii="宋体" w:hAnsi="宋体" w:eastAsia="宋体" w:cs="宋体"/>
          <w:spacing w:val="11"/>
          <w:sz w:val="20"/>
          <w:szCs w:val="20"/>
        </w:rPr>
        <w:t>标准进行绘制或有些瑕疵，或是为使平面图的连线看的更明确（如较多回路进出</w:t>
      </w:r>
      <w:r>
        <w:rPr>
          <w:rFonts w:ascii="宋体" w:hAnsi="宋体" w:eastAsia="宋体" w:cs="宋体"/>
          <w:spacing w:val="10"/>
          <w:sz w:val="20"/>
          <w:szCs w:val="20"/>
        </w:rPr>
        <w:t>配电箱时）而将个</w:t>
      </w:r>
      <w:r>
        <w:rPr>
          <w:rFonts w:ascii="宋体" w:hAnsi="宋体" w:eastAsia="宋体" w:cs="宋体"/>
          <w:spacing w:val="11"/>
          <w:sz w:val="20"/>
          <w:szCs w:val="20"/>
        </w:rPr>
        <w:t>别符号放大表示等等，是客观存在的，遇到这种情况，应当实事求是的按施工及</w:t>
      </w:r>
      <w:r>
        <w:rPr>
          <w:rFonts w:ascii="宋体" w:hAnsi="宋体" w:eastAsia="宋体" w:cs="宋体"/>
          <w:spacing w:val="10"/>
          <w:sz w:val="20"/>
          <w:szCs w:val="20"/>
        </w:rPr>
        <w:t>验收规范并结合工</w:t>
      </w:r>
      <w:r>
        <w:rPr>
          <w:rFonts w:ascii="宋体" w:hAnsi="宋体" w:eastAsia="宋体" w:cs="宋体"/>
          <w:spacing w:val="11"/>
          <w:sz w:val="20"/>
          <w:szCs w:val="20"/>
        </w:rPr>
        <w:t>程实际进行定位、修正计量，做好竣工图，不能教条地就按图示尺寸丈量，也不</w:t>
      </w:r>
      <w:r>
        <w:rPr>
          <w:rFonts w:ascii="宋体" w:hAnsi="宋体" w:eastAsia="宋体" w:cs="宋体"/>
          <w:spacing w:val="10"/>
          <w:sz w:val="20"/>
          <w:szCs w:val="20"/>
        </w:rPr>
        <w:t>能简单的按最短距</w:t>
      </w:r>
      <w:r>
        <w:rPr>
          <w:rFonts w:ascii="宋体" w:hAnsi="宋体" w:eastAsia="宋体" w:cs="宋体"/>
          <w:spacing w:val="6"/>
          <w:sz w:val="20"/>
          <w:szCs w:val="20"/>
        </w:rPr>
        <w:t>离计取。</w:t>
      </w:r>
    </w:p>
    <w:p>
      <w:pPr>
        <w:spacing w:before="2" w:line="286" w:lineRule="exact"/>
        <w:ind w:left="423"/>
        <w:rPr>
          <w:rFonts w:ascii="宋体" w:hAnsi="宋体" w:eastAsia="宋体" w:cs="宋体"/>
          <w:sz w:val="20"/>
          <w:szCs w:val="20"/>
        </w:rPr>
      </w:pPr>
      <w:r>
        <w:rPr>
          <w:rFonts w:ascii="宋体" w:hAnsi="宋体" w:eastAsia="宋体" w:cs="宋体"/>
          <w:b/>
          <w:bCs/>
          <w:spacing w:val="5"/>
          <w:position w:val="1"/>
          <w:sz w:val="20"/>
          <w:szCs w:val="20"/>
        </w:rPr>
        <w:t>71.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关于排水管出屋面铸铁管安装如何执行定额</w:t>
      </w:r>
    </w:p>
    <w:p>
      <w:pPr>
        <w:spacing w:before="113" w:line="232" w:lineRule="auto"/>
        <w:ind w:left="423"/>
        <w:rPr>
          <w:rFonts w:ascii="宋体" w:hAnsi="宋体" w:eastAsia="宋体" w:cs="宋体"/>
          <w:sz w:val="20"/>
          <w:szCs w:val="20"/>
        </w:rPr>
      </w:pPr>
      <w:r>
        <w:rPr>
          <w:rFonts w:ascii="宋体" w:hAnsi="宋体" w:eastAsia="宋体" w:cs="宋体"/>
          <w:spacing w:val="9"/>
          <w:sz w:val="20"/>
          <w:szCs w:val="20"/>
        </w:rPr>
        <w:t>排水管出屋面铸铁管执行室内铸铁排水管相应项目。</w:t>
      </w:r>
    </w:p>
    <w:p>
      <w:pPr>
        <w:spacing w:before="157" w:line="276" w:lineRule="exact"/>
        <w:ind w:left="423"/>
        <w:rPr>
          <w:rFonts w:ascii="宋体" w:hAnsi="宋体" w:eastAsia="宋体" w:cs="宋体"/>
          <w:sz w:val="20"/>
          <w:szCs w:val="20"/>
        </w:rPr>
      </w:pPr>
      <w:r>
        <w:rPr>
          <w:rFonts w:ascii="宋体" w:hAnsi="宋体" w:eastAsia="宋体" w:cs="宋体"/>
          <w:b/>
          <w:bCs/>
          <w:spacing w:val="7"/>
          <w:position w:val="1"/>
          <w:sz w:val="20"/>
          <w:szCs w:val="20"/>
        </w:rPr>
        <w:t>72.</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关于电缆工程施工中，因场地、空间等原因无法考</w:t>
      </w:r>
      <w:r>
        <w:rPr>
          <w:rFonts w:ascii="宋体" w:hAnsi="宋体" w:eastAsia="宋体" w:cs="宋体"/>
          <w:b/>
          <w:bCs/>
          <w:spacing w:val="6"/>
          <w:position w:val="1"/>
          <w:sz w:val="20"/>
          <w:szCs w:val="20"/>
        </w:rPr>
        <w:t>虑预留长度时，预留长度的计价</w:t>
      </w:r>
    </w:p>
    <w:p>
      <w:pPr>
        <w:spacing w:before="129" w:line="368" w:lineRule="auto"/>
        <w:ind w:left="3" w:right="118" w:firstLine="439"/>
        <w:jc w:val="both"/>
        <w:rPr>
          <w:rFonts w:ascii="宋体" w:hAnsi="宋体" w:eastAsia="宋体" w:cs="宋体"/>
          <w:sz w:val="20"/>
          <w:szCs w:val="20"/>
        </w:rPr>
      </w:pPr>
      <w:r>
        <w:rPr>
          <w:rFonts w:ascii="宋体" w:hAnsi="宋体" w:eastAsia="宋体" w:cs="宋体"/>
          <w:spacing w:val="10"/>
          <w:sz w:val="20"/>
          <w:szCs w:val="20"/>
        </w:rPr>
        <w:t>电缆计算工程量时应考虑必要的附加长度和预留长度。实际工程中，因场地、空间等原因无法</w:t>
      </w:r>
      <w:r>
        <w:rPr>
          <w:rFonts w:ascii="宋体" w:hAnsi="宋体" w:eastAsia="宋体" w:cs="宋体"/>
          <w:spacing w:val="11"/>
          <w:sz w:val="20"/>
          <w:szCs w:val="20"/>
        </w:rPr>
        <w:t>预留长度时，可按实际长度调整预留长度。因设计或建设单位要求，实际预留</w:t>
      </w:r>
      <w:r>
        <w:rPr>
          <w:rFonts w:ascii="宋体" w:hAnsi="宋体" w:eastAsia="宋体" w:cs="宋体"/>
          <w:spacing w:val="10"/>
          <w:sz w:val="20"/>
          <w:szCs w:val="20"/>
        </w:rPr>
        <w:t>长度超出规定预留长度时，超出规定预留长度的电缆仅计算材料费，电缆敷设附加预留长度中，“</w:t>
      </w:r>
      <w:r>
        <w:rPr>
          <w:rFonts w:ascii="宋体" w:hAnsi="宋体" w:eastAsia="宋体" w:cs="宋体"/>
          <w:spacing w:val="-64"/>
          <w:sz w:val="20"/>
          <w:szCs w:val="20"/>
        </w:rPr>
        <w:t xml:space="preserve"> </w:t>
      </w:r>
      <w:r>
        <w:rPr>
          <w:rFonts w:ascii="宋体" w:hAnsi="宋体" w:eastAsia="宋体" w:cs="宋体"/>
          <w:spacing w:val="10"/>
          <w:sz w:val="20"/>
          <w:szCs w:val="20"/>
        </w:rPr>
        <w:t>电缆敷设驰度、波形</w:t>
      </w:r>
      <w:r>
        <w:rPr>
          <w:rFonts w:ascii="宋体" w:hAnsi="宋体" w:eastAsia="宋体" w:cs="宋体"/>
          <w:spacing w:val="8"/>
          <w:sz w:val="20"/>
          <w:szCs w:val="20"/>
        </w:rPr>
        <w:t>弯度、交叉，按电缆全长</w:t>
      </w:r>
      <w:r>
        <w:rPr>
          <w:rFonts w:ascii="宋体" w:hAnsi="宋体" w:eastAsia="宋体" w:cs="宋体"/>
          <w:spacing w:val="-39"/>
          <w:sz w:val="20"/>
          <w:szCs w:val="20"/>
        </w:rPr>
        <w:t xml:space="preserve"> </w:t>
      </w:r>
      <w:r>
        <w:rPr>
          <w:rFonts w:ascii="宋体" w:hAnsi="宋体" w:eastAsia="宋体" w:cs="宋体"/>
          <w:spacing w:val="8"/>
          <w:sz w:val="20"/>
          <w:szCs w:val="20"/>
        </w:rPr>
        <w:t>2.5%计算”</w:t>
      </w:r>
      <w:r>
        <w:rPr>
          <w:rFonts w:ascii="宋体" w:hAnsi="宋体" w:eastAsia="宋体" w:cs="宋体"/>
          <w:spacing w:val="-71"/>
          <w:sz w:val="20"/>
          <w:szCs w:val="20"/>
        </w:rPr>
        <w:t xml:space="preserve"> </w:t>
      </w:r>
      <w:r>
        <w:rPr>
          <w:rFonts w:ascii="宋体" w:hAnsi="宋体" w:eastAsia="宋体" w:cs="宋体"/>
          <w:spacing w:val="8"/>
          <w:sz w:val="20"/>
          <w:szCs w:val="20"/>
        </w:rPr>
        <w:t>，其“</w:t>
      </w:r>
      <w:r>
        <w:rPr>
          <w:rFonts w:ascii="宋体" w:hAnsi="宋体" w:eastAsia="宋体" w:cs="宋体"/>
          <w:spacing w:val="-75"/>
          <w:sz w:val="20"/>
          <w:szCs w:val="20"/>
        </w:rPr>
        <w:t xml:space="preserve"> </w:t>
      </w:r>
      <w:r>
        <w:rPr>
          <w:rFonts w:ascii="宋体" w:hAnsi="宋体" w:eastAsia="宋体" w:cs="宋体"/>
          <w:spacing w:val="8"/>
          <w:sz w:val="20"/>
          <w:szCs w:val="20"/>
        </w:rPr>
        <w:t>电缆全长”不包括</w:t>
      </w:r>
      <w:r>
        <w:rPr>
          <w:rFonts w:ascii="宋体" w:hAnsi="宋体" w:eastAsia="宋体" w:cs="宋体"/>
          <w:spacing w:val="7"/>
          <w:sz w:val="20"/>
          <w:szCs w:val="20"/>
        </w:rPr>
        <w:t>各部位的预留长度。</w:t>
      </w:r>
    </w:p>
    <w:p>
      <w:pPr>
        <w:spacing w:line="276" w:lineRule="exact"/>
        <w:ind w:left="423"/>
        <w:rPr>
          <w:rFonts w:ascii="宋体" w:hAnsi="宋体" w:eastAsia="宋体" w:cs="宋体"/>
          <w:sz w:val="20"/>
          <w:szCs w:val="20"/>
        </w:rPr>
      </w:pPr>
      <w:r>
        <w:rPr>
          <w:rFonts w:ascii="宋体" w:hAnsi="宋体" w:eastAsia="宋体" w:cs="宋体"/>
          <w:b/>
          <w:bCs/>
          <w:spacing w:val="1"/>
          <w:position w:val="1"/>
          <w:sz w:val="20"/>
          <w:szCs w:val="20"/>
        </w:rPr>
        <w:t>73.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关于套管的计价</w:t>
      </w:r>
    </w:p>
    <w:p>
      <w:pPr>
        <w:spacing w:before="117" w:line="284" w:lineRule="exact"/>
        <w:jc w:val="right"/>
        <w:rPr>
          <w:rFonts w:ascii="宋体" w:hAnsi="宋体" w:eastAsia="宋体" w:cs="宋体"/>
          <w:sz w:val="20"/>
          <w:szCs w:val="20"/>
        </w:rPr>
      </w:pPr>
      <w:r>
        <w:rPr>
          <w:rFonts w:ascii="宋体" w:hAnsi="宋体" w:eastAsia="宋体" w:cs="宋体"/>
          <w:spacing w:val="9"/>
          <w:position w:val="1"/>
          <w:sz w:val="20"/>
          <w:szCs w:val="20"/>
        </w:rPr>
        <w:t>第四册《电气设备安装工程》、第八册《工业管道工程》、第十册《</w:t>
      </w:r>
      <w:r>
        <w:rPr>
          <w:rFonts w:ascii="宋体" w:hAnsi="宋体" w:eastAsia="宋体" w:cs="宋体"/>
          <w:spacing w:val="8"/>
          <w:position w:val="1"/>
          <w:sz w:val="20"/>
          <w:szCs w:val="20"/>
        </w:rPr>
        <w:t>给排水、采暖、燃气工程》</w:t>
      </w:r>
    </w:p>
    <w:p>
      <w:pPr>
        <w:spacing w:line="284" w:lineRule="exact"/>
        <w:rPr>
          <w:rFonts w:ascii="宋体" w:hAnsi="宋体" w:eastAsia="宋体" w:cs="宋体"/>
          <w:sz w:val="20"/>
          <w:szCs w:val="20"/>
        </w:rPr>
        <w:sectPr>
          <w:footerReference r:id="rId160" w:type="default"/>
          <w:pgSz w:w="11906" w:h="16839"/>
          <w:pgMar w:top="400" w:right="1299" w:bottom="1212" w:left="1416" w:header="0" w:footer="897"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3"/>
        <w:rPr>
          <w:rFonts w:ascii="宋体" w:hAnsi="宋体" w:eastAsia="宋体" w:cs="宋体"/>
          <w:sz w:val="20"/>
          <w:szCs w:val="20"/>
        </w:rPr>
      </w:pPr>
      <w:r>
        <w:rPr>
          <w:rFonts w:ascii="宋体" w:hAnsi="宋体" w:eastAsia="宋体" w:cs="宋体"/>
          <w:spacing w:val="9"/>
          <w:sz w:val="20"/>
          <w:szCs w:val="20"/>
        </w:rPr>
        <w:t>均有套管制作安装，实际套用时应根据套管所属专业工程套用各分册相应定额子目。</w:t>
      </w:r>
    </w:p>
    <w:p>
      <w:pPr>
        <w:spacing w:before="155" w:line="278" w:lineRule="exact"/>
        <w:ind w:left="421"/>
        <w:rPr>
          <w:rFonts w:ascii="宋体" w:hAnsi="宋体" w:eastAsia="宋体" w:cs="宋体"/>
          <w:sz w:val="20"/>
          <w:szCs w:val="20"/>
        </w:rPr>
      </w:pPr>
      <w:r>
        <w:rPr>
          <w:rFonts w:ascii="宋体" w:hAnsi="宋体" w:eastAsia="宋体" w:cs="宋体"/>
          <w:b/>
          <w:bCs/>
          <w:spacing w:val="4"/>
          <w:position w:val="1"/>
          <w:sz w:val="20"/>
          <w:szCs w:val="20"/>
        </w:rPr>
        <w:t>74.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关于墙体剔槽定额工程量的计算</w:t>
      </w:r>
    </w:p>
    <w:p>
      <w:pPr>
        <w:spacing w:before="124" w:line="368" w:lineRule="auto"/>
        <w:ind w:left="1" w:right="102" w:firstLine="418"/>
        <w:rPr>
          <w:rFonts w:ascii="宋体" w:hAnsi="宋体" w:eastAsia="宋体" w:cs="宋体"/>
          <w:sz w:val="20"/>
          <w:szCs w:val="20"/>
        </w:rPr>
      </w:pPr>
      <w:r>
        <w:rPr>
          <w:rFonts w:ascii="宋体" w:hAnsi="宋体" w:eastAsia="宋体" w:cs="宋体"/>
          <w:spacing w:val="11"/>
          <w:sz w:val="20"/>
          <w:szCs w:val="20"/>
        </w:rPr>
        <w:t>墙体剔槽定额已综合考虑了开关盒、接线盒剔槽，计算工程量时不扣除开关盒、</w:t>
      </w:r>
      <w:r>
        <w:rPr>
          <w:rFonts w:ascii="宋体" w:hAnsi="宋体" w:eastAsia="宋体" w:cs="宋体"/>
          <w:spacing w:val="10"/>
          <w:sz w:val="20"/>
          <w:szCs w:val="20"/>
        </w:rPr>
        <w:t>接线盒所占长</w:t>
      </w:r>
      <w:r>
        <w:rPr>
          <w:rFonts w:ascii="宋体" w:hAnsi="宋体" w:eastAsia="宋体" w:cs="宋体"/>
          <w:spacing w:val="9"/>
          <w:sz w:val="20"/>
          <w:szCs w:val="20"/>
        </w:rPr>
        <w:t>度，开关盒、接线盒剔槽也不另行计算。</w:t>
      </w:r>
    </w:p>
    <w:p>
      <w:pPr>
        <w:spacing w:line="277" w:lineRule="exact"/>
        <w:ind w:left="421"/>
        <w:rPr>
          <w:rFonts w:ascii="宋体" w:hAnsi="宋体" w:eastAsia="宋体" w:cs="宋体"/>
          <w:sz w:val="20"/>
          <w:szCs w:val="20"/>
        </w:rPr>
      </w:pPr>
      <w:r>
        <w:rPr>
          <w:rFonts w:ascii="宋体" w:hAnsi="宋体" w:eastAsia="宋体" w:cs="宋体"/>
          <w:b/>
          <w:bCs/>
          <w:spacing w:val="4"/>
          <w:position w:val="1"/>
          <w:sz w:val="20"/>
          <w:szCs w:val="20"/>
        </w:rPr>
        <w:t>75.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关于电气明配管是否包含支吊架制安</w:t>
      </w:r>
    </w:p>
    <w:p>
      <w:pPr>
        <w:spacing w:before="127" w:line="223" w:lineRule="auto"/>
        <w:ind w:right="5"/>
        <w:jc w:val="right"/>
        <w:rPr>
          <w:rFonts w:ascii="宋体" w:hAnsi="宋体" w:eastAsia="宋体" w:cs="宋体"/>
          <w:sz w:val="20"/>
          <w:szCs w:val="20"/>
        </w:rPr>
      </w:pPr>
      <w:r>
        <w:rPr>
          <w:rFonts w:ascii="宋体" w:hAnsi="宋体" w:eastAsia="宋体" w:cs="宋体"/>
          <w:spacing w:val="8"/>
          <w:sz w:val="20"/>
          <w:szCs w:val="20"/>
        </w:rPr>
        <w:t>各种电气明配管均不包括其支架、托架、吊架的制作安装，可根据施工工艺按照定额规定计取。</w:t>
      </w:r>
    </w:p>
    <w:p>
      <w:pPr>
        <w:spacing w:before="153" w:line="278" w:lineRule="exact"/>
        <w:ind w:left="421"/>
        <w:rPr>
          <w:rFonts w:ascii="宋体" w:hAnsi="宋体" w:eastAsia="宋体" w:cs="宋体"/>
          <w:sz w:val="20"/>
          <w:szCs w:val="20"/>
        </w:rPr>
      </w:pPr>
      <w:r>
        <w:rPr>
          <w:rFonts w:ascii="宋体" w:hAnsi="宋体" w:eastAsia="宋体" w:cs="宋体"/>
          <w:b/>
          <w:bCs/>
          <w:spacing w:val="3"/>
          <w:position w:val="1"/>
          <w:sz w:val="20"/>
          <w:szCs w:val="20"/>
        </w:rPr>
        <w:t>76.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关于防火封堵的计算规则</w:t>
      </w:r>
    </w:p>
    <w:p>
      <w:pPr>
        <w:spacing w:before="103" w:line="359" w:lineRule="auto"/>
        <w:ind w:left="7" w:firstLine="428"/>
        <w:rPr>
          <w:rFonts w:ascii="宋体" w:hAnsi="宋体" w:eastAsia="宋体" w:cs="宋体"/>
          <w:sz w:val="20"/>
          <w:szCs w:val="20"/>
        </w:rPr>
      </w:pPr>
      <w:r>
        <w:rPr>
          <w:rFonts w:ascii="宋体" w:hAnsi="宋体" w:eastAsia="宋体" w:cs="宋体"/>
          <w:spacing w:val="13"/>
          <w:sz w:val="20"/>
          <w:szCs w:val="20"/>
        </w:rPr>
        <w:t>防火封堵应根据设计要求区分不同的封堵部位、封堵用的材料，按照设计封堵面积，以“m</w:t>
      </w:r>
      <w:r>
        <w:rPr>
          <w:rFonts w:ascii="宋体" w:hAnsi="宋体" w:eastAsia="宋体" w:cs="宋体"/>
          <w:spacing w:val="13"/>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13"/>
          <w:sz w:val="20"/>
          <w:szCs w:val="20"/>
        </w:rPr>
        <w:t>”</w:t>
      </w:r>
      <w:r>
        <w:rPr>
          <w:rFonts w:ascii="宋体" w:hAnsi="宋体" w:eastAsia="宋体" w:cs="宋体"/>
          <w:spacing w:val="9"/>
          <w:sz w:val="20"/>
          <w:szCs w:val="20"/>
        </w:rPr>
        <w:t>为计量单位计算，不扣除电缆、支架以及桥架所占面积。</w:t>
      </w:r>
    </w:p>
    <w:p>
      <w:pPr>
        <w:spacing w:before="41" w:line="276" w:lineRule="exact"/>
        <w:ind w:left="421"/>
        <w:rPr>
          <w:rFonts w:ascii="宋体" w:hAnsi="宋体" w:eastAsia="宋体" w:cs="宋体"/>
          <w:sz w:val="20"/>
          <w:szCs w:val="20"/>
        </w:rPr>
      </w:pPr>
      <w:r>
        <w:rPr>
          <w:rFonts w:ascii="宋体" w:hAnsi="宋体" w:eastAsia="宋体" w:cs="宋体"/>
          <w:b/>
          <w:bCs/>
          <w:spacing w:val="5"/>
          <w:position w:val="1"/>
          <w:sz w:val="20"/>
          <w:szCs w:val="20"/>
        </w:rPr>
        <w:t>77.</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关于消防系统调试出现较少点数时如何计价</w:t>
      </w:r>
    </w:p>
    <w:p>
      <w:pPr>
        <w:spacing w:before="126" w:line="368" w:lineRule="auto"/>
        <w:ind w:left="2" w:right="35" w:firstLine="425"/>
        <w:rPr>
          <w:rFonts w:ascii="宋体" w:hAnsi="宋体" w:eastAsia="宋体" w:cs="宋体"/>
          <w:sz w:val="20"/>
          <w:szCs w:val="20"/>
        </w:rPr>
      </w:pPr>
      <w:r>
        <w:rPr>
          <w:rFonts w:ascii="宋体" w:hAnsi="宋体" w:eastAsia="宋体" w:cs="宋体"/>
          <w:spacing w:val="4"/>
          <w:sz w:val="20"/>
          <w:szCs w:val="20"/>
        </w:rPr>
        <w:t>消防系统调试中，“自动报警系统调试”与“消防应急疏散指示系统调试”定额最小点位</w:t>
      </w:r>
      <w:r>
        <w:rPr>
          <w:rFonts w:ascii="宋体" w:hAnsi="宋体" w:eastAsia="宋体" w:cs="宋体"/>
          <w:spacing w:val="-29"/>
          <w:sz w:val="20"/>
          <w:szCs w:val="20"/>
        </w:rPr>
        <w:t xml:space="preserve"> </w:t>
      </w:r>
      <w:r>
        <w:rPr>
          <w:rFonts w:ascii="宋体" w:hAnsi="宋体" w:eastAsia="宋体" w:cs="宋体"/>
          <w:spacing w:val="4"/>
          <w:sz w:val="20"/>
          <w:szCs w:val="20"/>
        </w:rPr>
        <w:t>64</w:t>
      </w:r>
      <w:r>
        <w:rPr>
          <w:rFonts w:ascii="宋体" w:hAnsi="宋体" w:eastAsia="宋体" w:cs="宋体"/>
          <w:spacing w:val="-39"/>
          <w:sz w:val="20"/>
          <w:szCs w:val="20"/>
        </w:rPr>
        <w:t xml:space="preserve"> </w:t>
      </w:r>
      <w:r>
        <w:rPr>
          <w:rFonts w:ascii="宋体" w:hAnsi="宋体" w:eastAsia="宋体" w:cs="宋体"/>
          <w:spacing w:val="4"/>
          <w:sz w:val="20"/>
          <w:szCs w:val="20"/>
        </w:rPr>
        <w:t>点，</w:t>
      </w:r>
      <w:r>
        <w:rPr>
          <w:rFonts w:ascii="宋体" w:hAnsi="宋体" w:eastAsia="宋体" w:cs="宋体"/>
          <w:spacing w:val="8"/>
          <w:sz w:val="20"/>
          <w:szCs w:val="20"/>
        </w:rPr>
        <w:t>实际施工中可能出现较少点数</w:t>
      </w:r>
      <w:r>
        <w:rPr>
          <w:rFonts w:ascii="宋体" w:hAnsi="宋体" w:eastAsia="宋体" w:cs="宋体"/>
          <w:spacing w:val="-50"/>
          <w:sz w:val="20"/>
          <w:szCs w:val="20"/>
        </w:rPr>
        <w:t xml:space="preserve"> </w:t>
      </w:r>
      <w:r>
        <w:rPr>
          <w:rFonts w:ascii="宋体" w:hAnsi="宋体" w:eastAsia="宋体" w:cs="宋体"/>
          <w:spacing w:val="8"/>
          <w:sz w:val="20"/>
          <w:szCs w:val="20"/>
        </w:rPr>
        <w:t>，如实际调试点数不足定额最少点数的</w:t>
      </w:r>
      <w:r>
        <w:rPr>
          <w:rFonts w:ascii="宋体" w:hAnsi="宋体" w:eastAsia="宋体" w:cs="宋体"/>
          <w:spacing w:val="-19"/>
          <w:sz w:val="20"/>
          <w:szCs w:val="20"/>
        </w:rPr>
        <w:t xml:space="preserve"> </w:t>
      </w:r>
      <w:r>
        <w:rPr>
          <w:rFonts w:ascii="宋体" w:hAnsi="宋体" w:eastAsia="宋体" w:cs="宋体"/>
          <w:spacing w:val="8"/>
          <w:sz w:val="20"/>
          <w:szCs w:val="20"/>
        </w:rPr>
        <w:t>1/2</w:t>
      </w:r>
      <w:r>
        <w:rPr>
          <w:rFonts w:ascii="宋体" w:hAnsi="宋体" w:eastAsia="宋体" w:cs="宋体"/>
          <w:spacing w:val="-31"/>
          <w:sz w:val="20"/>
          <w:szCs w:val="20"/>
        </w:rPr>
        <w:t xml:space="preserve"> </w:t>
      </w:r>
      <w:r>
        <w:rPr>
          <w:rFonts w:ascii="宋体" w:hAnsi="宋体" w:eastAsia="宋体" w:cs="宋体"/>
          <w:spacing w:val="8"/>
          <w:sz w:val="20"/>
          <w:szCs w:val="20"/>
        </w:rPr>
        <w:t>时，可按下列方法计算：</w:t>
      </w:r>
      <w:r>
        <w:rPr>
          <w:rFonts w:ascii="宋体" w:hAnsi="宋体" w:eastAsia="宋体" w:cs="宋体"/>
          <w:spacing w:val="5"/>
          <w:sz w:val="20"/>
          <w:szCs w:val="20"/>
        </w:rPr>
        <w:t>最少点数定额子目的消耗量/最少点数（64</w:t>
      </w:r>
      <w:r>
        <w:rPr>
          <w:rFonts w:ascii="宋体" w:hAnsi="宋体" w:eastAsia="宋体" w:cs="宋体"/>
          <w:spacing w:val="-41"/>
          <w:sz w:val="20"/>
          <w:szCs w:val="20"/>
        </w:rPr>
        <w:t xml:space="preserve"> </w:t>
      </w:r>
      <w:r>
        <w:rPr>
          <w:rFonts w:ascii="宋体" w:hAnsi="宋体" w:eastAsia="宋体" w:cs="宋体"/>
          <w:spacing w:val="5"/>
          <w:sz w:val="20"/>
          <w:szCs w:val="20"/>
        </w:rPr>
        <w:t>点）</w:t>
      </w:r>
      <w:r>
        <w:rPr>
          <w:rFonts w:ascii="宋体" w:hAnsi="宋体" w:eastAsia="宋体" w:cs="宋体"/>
          <w:spacing w:val="-33"/>
          <w:sz w:val="20"/>
          <w:szCs w:val="20"/>
        </w:rPr>
        <w:t xml:space="preserve"> </w:t>
      </w:r>
      <w:r>
        <w:rPr>
          <w:rFonts w:ascii="宋体" w:hAnsi="宋体" w:eastAsia="宋体" w:cs="宋体"/>
          <w:spacing w:val="5"/>
          <w:sz w:val="20"/>
          <w:szCs w:val="20"/>
        </w:rPr>
        <w:t>×实际</w:t>
      </w:r>
      <w:r>
        <w:rPr>
          <w:rFonts w:ascii="宋体" w:hAnsi="宋体" w:eastAsia="宋体" w:cs="宋体"/>
          <w:spacing w:val="4"/>
          <w:sz w:val="20"/>
          <w:szCs w:val="20"/>
        </w:rPr>
        <w:t>调试点数。</w:t>
      </w:r>
    </w:p>
    <w:p>
      <w:pPr>
        <w:spacing w:before="3" w:line="276" w:lineRule="exact"/>
        <w:ind w:left="421"/>
        <w:rPr>
          <w:rFonts w:ascii="宋体" w:hAnsi="宋体" w:eastAsia="宋体" w:cs="宋体"/>
          <w:sz w:val="20"/>
          <w:szCs w:val="20"/>
        </w:rPr>
      </w:pPr>
      <w:r>
        <w:rPr>
          <w:rFonts w:ascii="宋体" w:hAnsi="宋体" w:eastAsia="宋体" w:cs="宋体"/>
          <w:b/>
          <w:bCs/>
          <w:spacing w:val="5"/>
          <w:position w:val="1"/>
          <w:sz w:val="20"/>
          <w:szCs w:val="20"/>
        </w:rPr>
        <w:t>78.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关于只有报警总线接入消火栓报警按钮如何计价</w:t>
      </w:r>
    </w:p>
    <w:p>
      <w:pPr>
        <w:spacing w:before="124" w:line="367" w:lineRule="auto"/>
        <w:ind w:left="1" w:right="100" w:firstLine="419"/>
        <w:rPr>
          <w:rFonts w:ascii="宋体" w:hAnsi="宋体" w:eastAsia="宋体" w:cs="宋体"/>
          <w:sz w:val="20"/>
          <w:szCs w:val="20"/>
        </w:rPr>
      </w:pPr>
      <w:r>
        <w:rPr>
          <w:rFonts w:ascii="宋体" w:hAnsi="宋体" w:eastAsia="宋体" w:cs="宋体"/>
          <w:spacing w:val="9"/>
          <w:sz w:val="20"/>
          <w:szCs w:val="20"/>
        </w:rPr>
        <w:t>“9-4-16</w:t>
      </w:r>
      <w:r>
        <w:rPr>
          <w:rFonts w:ascii="宋体" w:hAnsi="宋体" w:eastAsia="宋体" w:cs="宋体"/>
          <w:spacing w:val="-34"/>
          <w:sz w:val="20"/>
          <w:szCs w:val="20"/>
        </w:rPr>
        <w:t xml:space="preserve"> </w:t>
      </w:r>
      <w:r>
        <w:rPr>
          <w:rFonts w:ascii="宋体" w:hAnsi="宋体" w:eastAsia="宋体" w:cs="宋体"/>
          <w:spacing w:val="9"/>
          <w:sz w:val="20"/>
          <w:szCs w:val="20"/>
        </w:rPr>
        <w:t>消火栓报警按钮”定额子目适用于有直启控制线路</w:t>
      </w:r>
      <w:r>
        <w:rPr>
          <w:rFonts w:ascii="宋体" w:hAnsi="宋体" w:eastAsia="宋体" w:cs="宋体"/>
          <w:spacing w:val="8"/>
          <w:sz w:val="20"/>
          <w:szCs w:val="20"/>
        </w:rPr>
        <w:t>的消防报警按钮，如消火栓报警按</w:t>
      </w:r>
      <w:r>
        <w:rPr>
          <w:rFonts w:ascii="宋体" w:hAnsi="宋体" w:eastAsia="宋体" w:cs="宋体"/>
          <w:spacing w:val="9"/>
          <w:sz w:val="20"/>
          <w:szCs w:val="20"/>
        </w:rPr>
        <w:t>钮没有直启控制线接入，只有报警总线接入，可执行“9-4-14</w:t>
      </w:r>
      <w:r>
        <w:rPr>
          <w:rFonts w:ascii="宋体" w:hAnsi="宋体" w:eastAsia="宋体" w:cs="宋体"/>
          <w:spacing w:val="-36"/>
          <w:sz w:val="20"/>
          <w:szCs w:val="20"/>
        </w:rPr>
        <w:t xml:space="preserve"> </w:t>
      </w:r>
      <w:r>
        <w:rPr>
          <w:rFonts w:ascii="宋体" w:hAnsi="宋体" w:eastAsia="宋体" w:cs="宋体"/>
          <w:spacing w:val="9"/>
          <w:sz w:val="20"/>
          <w:szCs w:val="20"/>
        </w:rPr>
        <w:t>火灾报警按钮”定额子目。</w:t>
      </w:r>
    </w:p>
    <w:p>
      <w:pPr>
        <w:spacing w:before="5" w:line="276" w:lineRule="exact"/>
        <w:ind w:left="421"/>
        <w:rPr>
          <w:rFonts w:ascii="宋体" w:hAnsi="宋体" w:eastAsia="宋体" w:cs="宋体"/>
          <w:sz w:val="20"/>
          <w:szCs w:val="20"/>
        </w:rPr>
      </w:pPr>
      <w:r>
        <w:rPr>
          <w:rFonts w:ascii="宋体" w:hAnsi="宋体" w:eastAsia="宋体" w:cs="宋体"/>
          <w:b/>
          <w:bCs/>
          <w:spacing w:val="6"/>
          <w:position w:val="1"/>
          <w:sz w:val="20"/>
          <w:szCs w:val="20"/>
        </w:rPr>
        <w:t>79.</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w:t>
      </w:r>
      <w:r>
        <w:rPr>
          <w:rFonts w:ascii="宋体" w:hAnsi="宋体" w:eastAsia="宋体" w:cs="宋体"/>
          <w:spacing w:val="-32"/>
          <w:position w:val="1"/>
          <w:sz w:val="20"/>
          <w:szCs w:val="20"/>
        </w:rPr>
        <w:t xml:space="preserve"> </w:t>
      </w:r>
      <w:r>
        <w:rPr>
          <w:rFonts w:ascii="宋体" w:hAnsi="宋体" w:eastAsia="宋体" w:cs="宋体"/>
          <w:b/>
          <w:bCs/>
          <w:position w:val="1"/>
          <w:sz w:val="20"/>
          <w:szCs w:val="20"/>
        </w:rPr>
        <w:t>CO</w:t>
      </w:r>
      <w:r>
        <w:rPr>
          <w:rFonts w:ascii="宋体" w:hAnsi="宋体" w:eastAsia="宋体" w:cs="宋体"/>
          <w:spacing w:val="-43"/>
          <w:position w:val="1"/>
          <w:sz w:val="20"/>
          <w:szCs w:val="20"/>
        </w:rPr>
        <w:t xml:space="preserve"> </w:t>
      </w:r>
      <w:r>
        <w:rPr>
          <w:rFonts w:ascii="宋体" w:hAnsi="宋体" w:eastAsia="宋体" w:cs="宋体"/>
          <w:b/>
          <w:bCs/>
          <w:spacing w:val="6"/>
          <w:position w:val="1"/>
          <w:sz w:val="20"/>
          <w:szCs w:val="20"/>
        </w:rPr>
        <w:t>探测器如何计价</w:t>
      </w:r>
    </w:p>
    <w:p>
      <w:pPr>
        <w:spacing w:before="125" w:line="277" w:lineRule="exact"/>
        <w:ind w:left="426"/>
        <w:rPr>
          <w:rFonts w:ascii="宋体" w:hAnsi="宋体" w:eastAsia="宋体" w:cs="宋体"/>
          <w:sz w:val="20"/>
          <w:szCs w:val="20"/>
        </w:rPr>
      </w:pPr>
      <w:r>
        <w:rPr>
          <w:rFonts w:ascii="宋体" w:hAnsi="宋体" w:eastAsia="宋体" w:cs="宋体"/>
          <w:position w:val="1"/>
          <w:sz w:val="20"/>
          <w:szCs w:val="20"/>
        </w:rPr>
        <w:t>CO</w:t>
      </w:r>
      <w:r>
        <w:rPr>
          <w:rFonts w:ascii="宋体" w:hAnsi="宋体" w:eastAsia="宋体" w:cs="宋体"/>
          <w:spacing w:val="-26"/>
          <w:position w:val="1"/>
          <w:sz w:val="20"/>
          <w:szCs w:val="20"/>
        </w:rPr>
        <w:t xml:space="preserve"> </w:t>
      </w:r>
      <w:r>
        <w:rPr>
          <w:rFonts w:ascii="宋体" w:hAnsi="宋体" w:eastAsia="宋体" w:cs="宋体"/>
          <w:spacing w:val="10"/>
          <w:position w:val="1"/>
          <w:sz w:val="20"/>
          <w:szCs w:val="20"/>
        </w:rPr>
        <w:t>探测器执行</w:t>
      </w:r>
      <w:r>
        <w:rPr>
          <w:rFonts w:ascii="宋体" w:hAnsi="宋体" w:eastAsia="宋体" w:cs="宋体"/>
          <w:spacing w:val="-39"/>
          <w:position w:val="1"/>
          <w:sz w:val="20"/>
          <w:szCs w:val="20"/>
        </w:rPr>
        <w:t xml:space="preserve"> </w:t>
      </w:r>
      <w:r>
        <w:rPr>
          <w:rFonts w:ascii="宋体" w:hAnsi="宋体" w:eastAsia="宋体" w:cs="宋体"/>
          <w:spacing w:val="10"/>
          <w:position w:val="1"/>
          <w:sz w:val="20"/>
          <w:szCs w:val="20"/>
        </w:rPr>
        <w:t>9-4-7</w:t>
      </w:r>
      <w:r>
        <w:rPr>
          <w:rFonts w:ascii="宋体" w:hAnsi="宋体" w:eastAsia="宋体" w:cs="宋体"/>
          <w:spacing w:val="-38"/>
          <w:position w:val="1"/>
          <w:sz w:val="20"/>
          <w:szCs w:val="20"/>
        </w:rPr>
        <w:t xml:space="preserve"> </w:t>
      </w:r>
      <w:r>
        <w:rPr>
          <w:rFonts w:ascii="宋体" w:hAnsi="宋体" w:eastAsia="宋体" w:cs="宋体"/>
          <w:spacing w:val="10"/>
          <w:position w:val="1"/>
          <w:sz w:val="20"/>
          <w:szCs w:val="20"/>
        </w:rPr>
        <w:t>可燃气体探测器定额子目。</w:t>
      </w:r>
    </w:p>
    <w:p>
      <w:pPr>
        <w:spacing w:before="121" w:line="276" w:lineRule="exact"/>
        <w:ind w:left="425"/>
        <w:rPr>
          <w:rFonts w:ascii="宋体" w:hAnsi="宋体" w:eastAsia="宋体" w:cs="宋体"/>
          <w:sz w:val="20"/>
          <w:szCs w:val="20"/>
        </w:rPr>
      </w:pPr>
      <w:r>
        <w:rPr>
          <w:rFonts w:ascii="宋体" w:hAnsi="宋体" w:eastAsia="宋体" w:cs="宋体"/>
          <w:b/>
          <w:bCs/>
          <w:spacing w:val="6"/>
          <w:position w:val="1"/>
          <w:sz w:val="20"/>
          <w:szCs w:val="20"/>
        </w:rPr>
        <w:t>80.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关于在预制叠合楼板上现浇混凝土内预埋电气配管，如何计价</w:t>
      </w:r>
    </w:p>
    <w:p>
      <w:pPr>
        <w:spacing w:before="125" w:line="278" w:lineRule="exact"/>
        <w:ind w:left="424"/>
        <w:rPr>
          <w:rFonts w:ascii="宋体" w:hAnsi="宋体" w:eastAsia="宋体" w:cs="宋体"/>
          <w:sz w:val="20"/>
          <w:szCs w:val="20"/>
        </w:rPr>
      </w:pPr>
      <w:r>
        <w:rPr>
          <w:rFonts w:ascii="宋体" w:hAnsi="宋体" w:eastAsia="宋体" w:cs="宋体"/>
          <w:spacing w:val="7"/>
          <w:position w:val="1"/>
          <w:sz w:val="20"/>
          <w:szCs w:val="20"/>
        </w:rPr>
        <w:t>可执行相应电气配管砖、混凝土结构暗配定额，人工乘以系数</w:t>
      </w:r>
      <w:r>
        <w:rPr>
          <w:rFonts w:ascii="宋体" w:hAnsi="宋体" w:eastAsia="宋体" w:cs="宋体"/>
          <w:spacing w:val="-22"/>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6"/>
          <w:position w:val="1"/>
          <w:sz w:val="20"/>
          <w:szCs w:val="20"/>
        </w:rPr>
        <w:t>3，其余不变。</w:t>
      </w:r>
    </w:p>
    <w:p>
      <w:pPr>
        <w:spacing w:before="123" w:line="276" w:lineRule="exact"/>
        <w:ind w:left="425"/>
        <w:rPr>
          <w:rFonts w:ascii="宋体" w:hAnsi="宋体" w:eastAsia="宋体" w:cs="宋体"/>
          <w:sz w:val="20"/>
          <w:szCs w:val="20"/>
        </w:rPr>
      </w:pPr>
      <w:r>
        <w:rPr>
          <w:rFonts w:ascii="宋体" w:hAnsi="宋体" w:eastAsia="宋体" w:cs="宋体"/>
          <w:b/>
          <w:bCs/>
          <w:spacing w:val="3"/>
          <w:position w:val="1"/>
          <w:sz w:val="20"/>
          <w:szCs w:val="20"/>
        </w:rPr>
        <w:t>81.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关于走廊内</w:t>
      </w:r>
      <w:r>
        <w:rPr>
          <w:rFonts w:ascii="宋体" w:hAnsi="宋体" w:eastAsia="宋体" w:cs="宋体"/>
          <w:spacing w:val="-30"/>
          <w:position w:val="1"/>
          <w:sz w:val="20"/>
          <w:szCs w:val="20"/>
        </w:rPr>
        <w:t xml:space="preserve"> </w:t>
      </w:r>
      <w:r>
        <w:rPr>
          <w:rFonts w:ascii="宋体" w:hAnsi="宋体" w:eastAsia="宋体" w:cs="宋体"/>
          <w:b/>
          <w:bCs/>
          <w:spacing w:val="3"/>
          <w:position w:val="1"/>
          <w:sz w:val="20"/>
          <w:szCs w:val="20"/>
        </w:rPr>
        <w:t>600*600</w:t>
      </w:r>
      <w:r>
        <w:rPr>
          <w:rFonts w:ascii="宋体" w:hAnsi="宋体" w:eastAsia="宋体" w:cs="宋体"/>
          <w:spacing w:val="-46"/>
          <w:position w:val="1"/>
          <w:sz w:val="20"/>
          <w:szCs w:val="20"/>
        </w:rPr>
        <w:t xml:space="preserve"> </w:t>
      </w:r>
      <w:r>
        <w:rPr>
          <w:rFonts w:ascii="宋体" w:hAnsi="宋体" w:eastAsia="宋体" w:cs="宋体"/>
          <w:b/>
          <w:bCs/>
          <w:spacing w:val="3"/>
          <w:position w:val="1"/>
          <w:sz w:val="20"/>
          <w:szCs w:val="20"/>
        </w:rPr>
        <w:t>嵌入式平板灯的计价</w:t>
      </w:r>
    </w:p>
    <w:p>
      <w:pPr>
        <w:spacing w:before="122" w:line="278" w:lineRule="exact"/>
        <w:ind w:left="424"/>
        <w:rPr>
          <w:rFonts w:ascii="宋体" w:hAnsi="宋体" w:eastAsia="宋体" w:cs="宋体"/>
          <w:sz w:val="20"/>
          <w:szCs w:val="20"/>
        </w:rPr>
      </w:pPr>
      <w:r>
        <w:rPr>
          <w:rFonts w:ascii="宋体" w:hAnsi="宋体" w:eastAsia="宋体" w:cs="宋体"/>
          <w:spacing w:val="10"/>
          <w:position w:val="1"/>
          <w:sz w:val="20"/>
          <w:szCs w:val="20"/>
        </w:rPr>
        <w:t>可参照4-14-217 嵌入式成套型双管荧光灯定额执行。</w:t>
      </w:r>
    </w:p>
    <w:p>
      <w:pPr>
        <w:spacing w:before="123" w:line="276" w:lineRule="exact"/>
        <w:ind w:left="425"/>
        <w:rPr>
          <w:rFonts w:ascii="宋体" w:hAnsi="宋体" w:eastAsia="宋体" w:cs="宋体"/>
          <w:sz w:val="20"/>
          <w:szCs w:val="20"/>
        </w:rPr>
      </w:pPr>
      <w:r>
        <w:rPr>
          <w:rFonts w:ascii="宋体" w:hAnsi="宋体" w:eastAsia="宋体" w:cs="宋体"/>
          <w:b/>
          <w:bCs/>
          <w:spacing w:val="5"/>
          <w:position w:val="1"/>
          <w:sz w:val="20"/>
          <w:szCs w:val="20"/>
        </w:rPr>
        <w:t>82.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关于空调系统室内机及室外机的检查接线的计价</w:t>
      </w:r>
    </w:p>
    <w:p>
      <w:pPr>
        <w:spacing w:before="125" w:line="277" w:lineRule="exact"/>
        <w:ind w:left="424"/>
        <w:rPr>
          <w:rFonts w:ascii="宋体" w:hAnsi="宋体" w:eastAsia="宋体" w:cs="宋体"/>
          <w:sz w:val="20"/>
          <w:szCs w:val="20"/>
        </w:rPr>
      </w:pPr>
      <w:r>
        <w:rPr>
          <w:rFonts w:ascii="宋体" w:hAnsi="宋体" w:eastAsia="宋体" w:cs="宋体"/>
          <w:spacing w:val="10"/>
          <w:position w:val="1"/>
          <w:sz w:val="20"/>
          <w:szCs w:val="20"/>
        </w:rPr>
        <w:t>可参照4-6-57 风机盘管检查接线定额执行。</w:t>
      </w:r>
    </w:p>
    <w:p>
      <w:pPr>
        <w:spacing w:before="121" w:line="276" w:lineRule="exact"/>
        <w:ind w:left="425"/>
        <w:rPr>
          <w:rFonts w:ascii="宋体" w:hAnsi="宋体" w:eastAsia="宋体" w:cs="宋体"/>
          <w:sz w:val="20"/>
          <w:szCs w:val="20"/>
        </w:rPr>
      </w:pPr>
      <w:r>
        <w:rPr>
          <w:rFonts w:ascii="宋体" w:hAnsi="宋体" w:eastAsia="宋体" w:cs="宋体"/>
          <w:b/>
          <w:bCs/>
          <w:spacing w:val="3"/>
          <w:position w:val="1"/>
          <w:sz w:val="20"/>
          <w:szCs w:val="20"/>
        </w:rPr>
        <w:t>83.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关于电机检查接线的计价</w:t>
      </w:r>
    </w:p>
    <w:p>
      <w:pPr>
        <w:spacing w:before="116" w:line="372" w:lineRule="auto"/>
        <w:ind w:left="2" w:right="102" w:firstLine="420"/>
        <w:jc w:val="both"/>
        <w:rPr>
          <w:rFonts w:ascii="宋体" w:hAnsi="宋体" w:eastAsia="宋体" w:cs="宋体"/>
          <w:sz w:val="20"/>
          <w:szCs w:val="20"/>
        </w:rPr>
      </w:pPr>
      <w:r>
        <w:rPr>
          <w:rFonts w:ascii="宋体" w:hAnsi="宋体" w:eastAsia="宋体" w:cs="宋体"/>
          <w:spacing w:val="6"/>
          <w:sz w:val="20"/>
          <w:szCs w:val="20"/>
        </w:rPr>
        <w:t>接线直接接在电机本体的接线柱(端子排)上，且完成电机的拆</w:t>
      </w:r>
      <w:r>
        <w:rPr>
          <w:rFonts w:ascii="宋体" w:hAnsi="宋体" w:eastAsia="宋体" w:cs="宋体"/>
          <w:spacing w:val="5"/>
          <w:sz w:val="20"/>
          <w:szCs w:val="20"/>
        </w:rPr>
        <w:t>盖检查及空载试运转等定额描述的</w:t>
      </w:r>
      <w:r>
        <w:rPr>
          <w:rFonts w:ascii="宋体" w:hAnsi="宋体" w:eastAsia="宋体" w:cs="宋体"/>
          <w:spacing w:val="11"/>
          <w:sz w:val="20"/>
          <w:szCs w:val="20"/>
        </w:rPr>
        <w:t>全部工作内容，可执行电机检查接线的定额。对于设备出厂时电机带出线的</w:t>
      </w:r>
      <w:r>
        <w:rPr>
          <w:rFonts w:ascii="宋体" w:hAnsi="宋体" w:eastAsia="宋体" w:cs="宋体"/>
          <w:spacing w:val="10"/>
          <w:sz w:val="20"/>
          <w:szCs w:val="20"/>
        </w:rPr>
        <w:t>或接在成套设备的集成</w:t>
      </w:r>
      <w:r>
        <w:rPr>
          <w:rFonts w:ascii="宋体" w:hAnsi="宋体" w:eastAsia="宋体" w:cs="宋体"/>
          <w:spacing w:val="6"/>
          <w:sz w:val="20"/>
          <w:szCs w:val="20"/>
        </w:rPr>
        <w:t>接线板上的，不计算电机的检查接线(如：排气扇、</w:t>
      </w:r>
      <w:r>
        <w:rPr>
          <w:rFonts w:ascii="宋体" w:hAnsi="宋体" w:eastAsia="宋体" w:cs="宋体"/>
          <w:spacing w:val="5"/>
          <w:sz w:val="20"/>
          <w:szCs w:val="20"/>
        </w:rPr>
        <w:t>电风扇等)。</w:t>
      </w:r>
    </w:p>
    <w:p>
      <w:pPr>
        <w:spacing w:line="276" w:lineRule="exact"/>
        <w:ind w:left="425"/>
        <w:rPr>
          <w:rFonts w:ascii="宋体" w:hAnsi="宋体" w:eastAsia="宋体" w:cs="宋体"/>
          <w:sz w:val="20"/>
          <w:szCs w:val="20"/>
        </w:rPr>
      </w:pPr>
      <w:r>
        <w:rPr>
          <w:rFonts w:ascii="宋体" w:hAnsi="宋体" w:eastAsia="宋体" w:cs="宋体"/>
          <w:b/>
          <w:bCs/>
          <w:spacing w:val="6"/>
          <w:position w:val="1"/>
          <w:sz w:val="20"/>
          <w:szCs w:val="20"/>
        </w:rPr>
        <w:t>84.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关于多联机中央空调制冷剂管路中的分液</w:t>
      </w:r>
      <w:r>
        <w:rPr>
          <w:rFonts w:ascii="宋体" w:hAnsi="宋体" w:eastAsia="宋体" w:cs="宋体"/>
          <w:b/>
          <w:bCs/>
          <w:spacing w:val="5"/>
          <w:position w:val="1"/>
          <w:sz w:val="20"/>
          <w:szCs w:val="20"/>
        </w:rPr>
        <w:t>器安装计量计价</w:t>
      </w:r>
    </w:p>
    <w:p>
      <w:pPr>
        <w:spacing w:before="125" w:line="276"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0"/>
          <w:position w:val="1"/>
          <w:sz w:val="20"/>
          <w:szCs w:val="20"/>
        </w:rPr>
        <w:t xml:space="preserve"> </w:t>
      </w:r>
      <w:r>
        <w:rPr>
          <w:rFonts w:ascii="宋体" w:hAnsi="宋体" w:eastAsia="宋体" w:cs="宋体"/>
          <w:spacing w:val="8"/>
          <w:position w:val="1"/>
          <w:sz w:val="20"/>
          <w:szCs w:val="20"/>
        </w:rPr>
        <w:t>1）室外机模块间的分液器为设备内部配件，其安装包括在室外机安装定额内，不单独计价。</w:t>
      </w:r>
    </w:p>
    <w:p>
      <w:pPr>
        <w:spacing w:before="122" w:line="277" w:lineRule="exact"/>
        <w:ind w:left="413"/>
        <w:rPr>
          <w:rFonts w:ascii="宋体" w:hAnsi="宋体" w:eastAsia="宋体" w:cs="宋体"/>
          <w:sz w:val="20"/>
          <w:szCs w:val="20"/>
        </w:rPr>
      </w:pPr>
      <w:r>
        <w:rPr>
          <w:rFonts w:ascii="宋体" w:hAnsi="宋体" w:eastAsia="宋体" w:cs="宋体"/>
          <w:spacing w:val="7"/>
          <w:position w:val="1"/>
          <w:sz w:val="20"/>
          <w:szCs w:val="20"/>
        </w:rPr>
        <w:t>（2）室内机分液器按气、液管路分液器实际数量分别计算，执行分液器(分支器)安装定额。</w:t>
      </w:r>
    </w:p>
    <w:p>
      <w:pPr>
        <w:spacing w:before="124" w:line="276" w:lineRule="exact"/>
        <w:ind w:left="425"/>
        <w:rPr>
          <w:rFonts w:ascii="宋体" w:hAnsi="宋体" w:eastAsia="宋体" w:cs="宋体"/>
          <w:sz w:val="20"/>
          <w:szCs w:val="20"/>
        </w:rPr>
      </w:pPr>
      <w:r>
        <w:rPr>
          <w:rFonts w:ascii="宋体" w:hAnsi="宋体" w:eastAsia="宋体" w:cs="宋体"/>
          <w:b/>
          <w:bCs/>
          <w:spacing w:val="5"/>
          <w:position w:val="1"/>
          <w:sz w:val="20"/>
          <w:szCs w:val="20"/>
        </w:rPr>
        <w:t>85.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关于通风管道中弯头、三通、变径管等管件的计价</w:t>
      </w:r>
    </w:p>
    <w:p>
      <w:pPr>
        <w:spacing w:before="125" w:line="365" w:lineRule="auto"/>
        <w:ind w:right="23" w:firstLine="423"/>
        <w:jc w:val="both"/>
        <w:rPr>
          <w:rFonts w:ascii="宋体" w:hAnsi="宋体" w:eastAsia="宋体" w:cs="宋体"/>
          <w:sz w:val="20"/>
          <w:szCs w:val="20"/>
        </w:rPr>
      </w:pPr>
      <w:r>
        <w:rPr>
          <w:rFonts w:ascii="宋体" w:hAnsi="宋体" w:eastAsia="宋体" w:cs="宋体"/>
          <w:spacing w:val="10"/>
          <w:sz w:val="20"/>
          <w:szCs w:val="20"/>
        </w:rPr>
        <w:t>根据工程量计算规则</w:t>
      </w:r>
      <w:r>
        <w:rPr>
          <w:rFonts w:ascii="宋体" w:hAnsi="宋体" w:eastAsia="宋体" w:cs="宋体"/>
          <w:spacing w:val="-60"/>
          <w:sz w:val="20"/>
          <w:szCs w:val="20"/>
        </w:rPr>
        <w:t xml:space="preserve"> </w:t>
      </w:r>
      <w:r>
        <w:rPr>
          <w:rFonts w:ascii="宋体" w:hAnsi="宋体" w:eastAsia="宋体" w:cs="宋体"/>
          <w:spacing w:val="10"/>
          <w:sz w:val="20"/>
          <w:szCs w:val="20"/>
        </w:rPr>
        <w:t>，通风管道制作安装以设计图示不同规</w:t>
      </w:r>
      <w:r>
        <w:rPr>
          <w:rFonts w:ascii="宋体" w:hAnsi="宋体" w:eastAsia="宋体" w:cs="宋体"/>
          <w:spacing w:val="9"/>
          <w:sz w:val="20"/>
          <w:szCs w:val="20"/>
        </w:rPr>
        <w:t>格以展开面积(包括风管末端堵头)</w:t>
      </w:r>
      <w:r>
        <w:rPr>
          <w:rFonts w:ascii="宋体" w:hAnsi="宋体" w:eastAsia="宋体" w:cs="宋体"/>
          <w:spacing w:val="8"/>
          <w:sz w:val="20"/>
          <w:szCs w:val="20"/>
        </w:rPr>
        <w:t>计算，其计算长度以设计图示中心线长度为准，包括弯头、三通、变径管、天圆地方</w:t>
      </w:r>
      <w:r>
        <w:rPr>
          <w:rFonts w:ascii="宋体" w:hAnsi="宋体" w:eastAsia="宋体" w:cs="宋体"/>
          <w:spacing w:val="7"/>
          <w:sz w:val="20"/>
          <w:szCs w:val="20"/>
        </w:rPr>
        <w:t>等管件的长度。</w:t>
      </w:r>
      <w:r>
        <w:rPr>
          <w:rFonts w:ascii="宋体" w:hAnsi="宋体" w:eastAsia="宋体" w:cs="宋体"/>
          <w:spacing w:val="10"/>
          <w:sz w:val="20"/>
          <w:szCs w:val="20"/>
        </w:rPr>
        <w:t>弯头、三通、变径管等管件工程量已包括在通风</w:t>
      </w:r>
      <w:r>
        <w:rPr>
          <w:rFonts w:ascii="宋体" w:hAnsi="宋体" w:eastAsia="宋体" w:cs="宋体"/>
          <w:spacing w:val="9"/>
          <w:sz w:val="20"/>
          <w:szCs w:val="20"/>
        </w:rPr>
        <w:t>管道工程量内，不需单独另外计算。</w:t>
      </w:r>
    </w:p>
    <w:p>
      <w:pPr>
        <w:spacing w:line="365" w:lineRule="auto"/>
        <w:rPr>
          <w:rFonts w:ascii="宋体" w:hAnsi="宋体" w:eastAsia="宋体" w:cs="宋体"/>
          <w:sz w:val="20"/>
          <w:szCs w:val="20"/>
        </w:rPr>
        <w:sectPr>
          <w:footerReference r:id="rId161" w:type="default"/>
          <w:pgSz w:w="11906" w:h="16839"/>
          <w:pgMar w:top="400" w:right="131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425"/>
        <w:rPr>
          <w:rFonts w:ascii="宋体" w:hAnsi="宋体" w:eastAsia="宋体" w:cs="宋体"/>
          <w:sz w:val="20"/>
          <w:szCs w:val="20"/>
        </w:rPr>
      </w:pPr>
      <w:r>
        <w:rPr>
          <w:rFonts w:ascii="宋体" w:hAnsi="宋体" w:eastAsia="宋体" w:cs="宋体"/>
          <w:b/>
          <w:bCs/>
          <w:spacing w:val="4"/>
          <w:position w:val="1"/>
          <w:sz w:val="20"/>
          <w:szCs w:val="20"/>
        </w:rPr>
        <w:t>86.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关于消防工程中预作用装置控制器的计价</w:t>
      </w:r>
    </w:p>
    <w:p>
      <w:pPr>
        <w:spacing w:before="215" w:line="5071" w:lineRule="exact"/>
        <w:ind w:firstLine="2171"/>
      </w:pPr>
      <w:r>
        <w:rPr>
          <w:position w:val="-101"/>
        </w:rPr>
        <w:drawing>
          <wp:inline distT="0" distB="0" distL="0" distR="0">
            <wp:extent cx="3314700" cy="322008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397"/>
                    <a:stretch>
                      <a:fillRect/>
                    </a:stretch>
                  </pic:blipFill>
                  <pic:spPr>
                    <a:xfrm>
                      <a:off x="0" y="0"/>
                      <a:ext cx="3314700" cy="3220211"/>
                    </a:xfrm>
                    <a:prstGeom prst="rect">
                      <a:avLst/>
                    </a:prstGeom>
                  </pic:spPr>
                </pic:pic>
              </a:graphicData>
            </a:graphic>
          </wp:inline>
        </w:drawing>
      </w:r>
    </w:p>
    <w:p>
      <w:pPr>
        <w:spacing w:line="372" w:lineRule="auto"/>
        <w:rPr>
          <w:rFonts w:ascii="Arial"/>
          <w:sz w:val="21"/>
        </w:rPr>
      </w:pPr>
    </w:p>
    <w:p>
      <w:pPr>
        <w:spacing w:before="65" w:line="369" w:lineRule="auto"/>
        <w:ind w:left="1" w:right="79" w:firstLine="422"/>
        <w:rPr>
          <w:rFonts w:ascii="宋体" w:hAnsi="宋体" w:eastAsia="宋体" w:cs="宋体"/>
          <w:sz w:val="20"/>
          <w:szCs w:val="20"/>
        </w:rPr>
      </w:pPr>
      <w:r>
        <w:rPr>
          <w:rFonts w:ascii="宋体" w:hAnsi="宋体" w:eastAsia="宋体" w:cs="宋体"/>
          <w:spacing w:val="11"/>
          <w:sz w:val="20"/>
          <w:szCs w:val="20"/>
        </w:rPr>
        <w:t>如上图所示，消防工程中，在安装预作用报警阀的同时再安装预作用装</w:t>
      </w:r>
      <w:r>
        <w:rPr>
          <w:rFonts w:ascii="宋体" w:hAnsi="宋体" w:eastAsia="宋体" w:cs="宋体"/>
          <w:spacing w:val="10"/>
          <w:sz w:val="20"/>
          <w:szCs w:val="20"/>
        </w:rPr>
        <w:t>置控制器，可参照多输</w:t>
      </w:r>
      <w:r>
        <w:rPr>
          <w:rFonts w:ascii="宋体" w:hAnsi="宋体" w:eastAsia="宋体" w:cs="宋体"/>
          <w:spacing w:val="8"/>
          <w:sz w:val="20"/>
          <w:szCs w:val="20"/>
        </w:rPr>
        <w:t>入多输出模块定额子目执行。</w:t>
      </w:r>
    </w:p>
    <w:p>
      <w:pPr>
        <w:spacing w:before="1" w:line="349" w:lineRule="auto"/>
        <w:ind w:right="79" w:firstLine="424"/>
        <w:rPr>
          <w:rFonts w:ascii="宋体" w:hAnsi="宋体" w:eastAsia="宋体" w:cs="宋体"/>
          <w:sz w:val="20"/>
          <w:szCs w:val="20"/>
        </w:rPr>
      </w:pPr>
      <w:r>
        <w:rPr>
          <w:rFonts w:ascii="宋体" w:hAnsi="宋体" w:eastAsia="宋体" w:cs="宋体"/>
          <w:b/>
          <w:bCs/>
          <w:spacing w:val="7"/>
          <w:sz w:val="20"/>
          <w:szCs w:val="20"/>
        </w:rPr>
        <w:t>87.</w:t>
      </w:r>
      <w:r>
        <w:rPr>
          <w:rFonts w:ascii="宋体" w:hAnsi="宋体" w:eastAsia="宋体" w:cs="宋体"/>
          <w:spacing w:val="7"/>
          <w:sz w:val="20"/>
          <w:szCs w:val="20"/>
        </w:rPr>
        <w:t xml:space="preserve"> </w:t>
      </w:r>
      <w:r>
        <w:rPr>
          <w:rFonts w:ascii="宋体" w:hAnsi="宋体" w:eastAsia="宋体" w:cs="宋体"/>
          <w:b/>
          <w:bCs/>
          <w:spacing w:val="7"/>
          <w:sz w:val="20"/>
          <w:szCs w:val="20"/>
        </w:rPr>
        <w:t>关于电缆试验泄露试验子目（4-16-165）、电缆</w:t>
      </w:r>
      <w:r>
        <w:rPr>
          <w:rFonts w:ascii="宋体" w:hAnsi="宋体" w:eastAsia="宋体" w:cs="宋体"/>
          <w:b/>
          <w:bCs/>
          <w:spacing w:val="6"/>
          <w:sz w:val="20"/>
          <w:szCs w:val="20"/>
        </w:rPr>
        <w:t>试验电缆故障点测试子目（4-16-164）的</w:t>
      </w:r>
      <w:r>
        <w:rPr>
          <w:rFonts w:ascii="宋体" w:hAnsi="宋体" w:eastAsia="宋体" w:cs="宋体"/>
          <w:b/>
          <w:bCs/>
          <w:spacing w:val="3"/>
          <w:sz w:val="20"/>
          <w:szCs w:val="20"/>
        </w:rPr>
        <w:t>适用。</w:t>
      </w:r>
    </w:p>
    <w:p>
      <w:pPr>
        <w:spacing w:before="42" w:line="352" w:lineRule="auto"/>
        <w:ind w:left="4" w:right="79" w:firstLine="436"/>
        <w:rPr>
          <w:rFonts w:ascii="宋体" w:hAnsi="宋体" w:eastAsia="宋体" w:cs="宋体"/>
          <w:sz w:val="20"/>
          <w:szCs w:val="20"/>
        </w:rPr>
      </w:pPr>
      <w:r>
        <w:rPr>
          <w:rFonts w:ascii="宋体" w:hAnsi="宋体" w:eastAsia="宋体" w:cs="宋体"/>
          <w:spacing w:val="9"/>
          <w:sz w:val="20"/>
          <w:szCs w:val="20"/>
        </w:rPr>
        <w:t>电缆试验泄露试验子目（4-16-165）、电缆试验电缆故障点测试子</w:t>
      </w:r>
      <w:r>
        <w:rPr>
          <w:rFonts w:ascii="宋体" w:hAnsi="宋体" w:eastAsia="宋体" w:cs="宋体"/>
          <w:spacing w:val="8"/>
          <w:sz w:val="20"/>
          <w:szCs w:val="20"/>
        </w:rPr>
        <w:t>目（4-16-164）是在旧电缆或新电缆出现损伤，需单独做测试时计取。</w:t>
      </w:r>
    </w:p>
    <w:p>
      <w:pPr>
        <w:spacing w:before="34" w:line="351" w:lineRule="auto"/>
        <w:ind w:left="1" w:right="79" w:firstLine="423"/>
        <w:rPr>
          <w:rFonts w:ascii="宋体" w:hAnsi="宋体" w:eastAsia="宋体" w:cs="宋体"/>
          <w:sz w:val="20"/>
          <w:szCs w:val="20"/>
        </w:rPr>
      </w:pPr>
      <w:r>
        <w:rPr>
          <w:rFonts w:ascii="宋体" w:hAnsi="宋体" w:eastAsia="宋体" w:cs="宋体"/>
          <w:b/>
          <w:bCs/>
          <w:spacing w:val="8"/>
          <w:sz w:val="20"/>
          <w:szCs w:val="20"/>
        </w:rPr>
        <w:t>88.</w:t>
      </w:r>
      <w:r>
        <w:rPr>
          <w:rFonts w:ascii="宋体" w:hAnsi="宋体" w:eastAsia="宋体" w:cs="宋体"/>
          <w:spacing w:val="8"/>
          <w:sz w:val="20"/>
          <w:szCs w:val="20"/>
        </w:rPr>
        <w:t xml:space="preserve"> </w:t>
      </w:r>
      <w:r>
        <w:rPr>
          <w:rFonts w:ascii="宋体" w:hAnsi="宋体" w:eastAsia="宋体" w:cs="宋体"/>
          <w:b/>
          <w:bCs/>
          <w:spacing w:val="8"/>
          <w:sz w:val="20"/>
          <w:szCs w:val="20"/>
        </w:rPr>
        <w:t>关于电力电缆敷设完毕后送电之前的绝缘电阻测试及通电安全检查是否包含在电缆敷设定</w:t>
      </w:r>
      <w:r>
        <w:rPr>
          <w:rFonts w:ascii="宋体" w:hAnsi="宋体" w:eastAsia="宋体" w:cs="宋体"/>
          <w:b/>
          <w:bCs/>
          <w:spacing w:val="7"/>
          <w:sz w:val="20"/>
          <w:szCs w:val="20"/>
        </w:rPr>
        <w:t>额子目中的问题</w:t>
      </w:r>
    </w:p>
    <w:p>
      <w:pPr>
        <w:spacing w:before="47" w:line="363" w:lineRule="auto"/>
        <w:ind w:right="79" w:firstLine="440"/>
        <w:rPr>
          <w:rFonts w:ascii="宋体" w:hAnsi="宋体" w:eastAsia="宋体" w:cs="宋体"/>
          <w:sz w:val="20"/>
          <w:szCs w:val="20"/>
        </w:rPr>
      </w:pPr>
      <w:r>
        <w:rPr>
          <w:rFonts w:ascii="宋体" w:hAnsi="宋体" w:eastAsia="宋体" w:cs="宋体"/>
          <w:spacing w:val="10"/>
          <w:sz w:val="20"/>
          <w:szCs w:val="20"/>
        </w:rPr>
        <w:t>电力电缆敷设完毕后送电之前的绝缘电阻测试及通电安全检查不包含在电缆敷设中，应包含在</w:t>
      </w:r>
      <w:r>
        <w:rPr>
          <w:rFonts w:ascii="宋体" w:hAnsi="宋体" w:eastAsia="宋体" w:cs="宋体"/>
          <w:spacing w:val="9"/>
          <w:sz w:val="20"/>
          <w:szCs w:val="20"/>
        </w:rPr>
        <w:t>对应的送配电、电动机等回路调试中。</w:t>
      </w:r>
    </w:p>
    <w:p>
      <w:pPr>
        <w:spacing w:line="284" w:lineRule="exact"/>
        <w:ind w:left="425"/>
        <w:rPr>
          <w:rFonts w:ascii="宋体" w:hAnsi="宋体" w:eastAsia="宋体" w:cs="宋体"/>
          <w:sz w:val="20"/>
          <w:szCs w:val="20"/>
        </w:rPr>
      </w:pPr>
      <w:r>
        <w:rPr>
          <w:rFonts w:ascii="宋体" w:hAnsi="宋体" w:eastAsia="宋体" w:cs="宋体"/>
          <w:b/>
          <w:bCs/>
          <w:spacing w:val="3"/>
          <w:position w:val="1"/>
          <w:sz w:val="20"/>
          <w:szCs w:val="20"/>
        </w:rPr>
        <w:t>89.</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关于消防排烟风管喷涂防火涂料（</w:t>
      </w:r>
      <w:r>
        <w:rPr>
          <w:rFonts w:ascii="宋体" w:hAnsi="宋体" w:eastAsia="宋体" w:cs="宋体"/>
          <w:spacing w:val="-30"/>
          <w:position w:val="1"/>
          <w:sz w:val="20"/>
          <w:szCs w:val="20"/>
        </w:rPr>
        <w:t xml:space="preserve"> </w:t>
      </w:r>
      <w:r>
        <w:rPr>
          <w:rFonts w:ascii="宋体" w:hAnsi="宋体" w:eastAsia="宋体" w:cs="宋体"/>
          <w:b/>
          <w:bCs/>
          <w:spacing w:val="3"/>
          <w:position w:val="1"/>
          <w:sz w:val="20"/>
          <w:szCs w:val="20"/>
        </w:rPr>
        <w:t>内、外喷）的计价</w:t>
      </w:r>
    </w:p>
    <w:p>
      <w:pPr>
        <w:spacing w:before="117" w:line="285" w:lineRule="exact"/>
        <w:ind w:left="427"/>
        <w:rPr>
          <w:rFonts w:ascii="宋体" w:hAnsi="宋体" w:eastAsia="宋体" w:cs="宋体"/>
          <w:sz w:val="20"/>
          <w:szCs w:val="20"/>
        </w:rPr>
      </w:pPr>
      <w:r>
        <w:rPr>
          <w:rFonts w:ascii="宋体" w:hAnsi="宋体" w:eastAsia="宋体" w:cs="宋体"/>
          <w:spacing w:val="7"/>
          <w:position w:val="1"/>
          <w:sz w:val="20"/>
          <w:szCs w:val="20"/>
        </w:rPr>
        <w:t>消防排烟风管喷涂防火涂料（</w:t>
      </w:r>
      <w:r>
        <w:rPr>
          <w:rFonts w:ascii="宋体" w:hAnsi="宋体" w:eastAsia="宋体" w:cs="宋体"/>
          <w:spacing w:val="-38"/>
          <w:position w:val="1"/>
          <w:sz w:val="20"/>
          <w:szCs w:val="20"/>
        </w:rPr>
        <w:t xml:space="preserve"> </w:t>
      </w:r>
      <w:r>
        <w:rPr>
          <w:rFonts w:ascii="宋体" w:hAnsi="宋体" w:eastAsia="宋体" w:cs="宋体"/>
          <w:spacing w:val="7"/>
          <w:position w:val="1"/>
          <w:sz w:val="20"/>
          <w:szCs w:val="20"/>
        </w:rPr>
        <w:t>内、外喷）执行设备喷涂防火涂料。</w:t>
      </w:r>
    </w:p>
    <w:p>
      <w:pPr>
        <w:spacing w:before="121" w:line="352" w:lineRule="auto"/>
        <w:ind w:right="79" w:firstLine="422"/>
        <w:rPr>
          <w:rFonts w:ascii="宋体" w:hAnsi="宋体" w:eastAsia="宋体" w:cs="宋体"/>
          <w:sz w:val="20"/>
          <w:szCs w:val="20"/>
        </w:rPr>
      </w:pPr>
      <w:r>
        <w:rPr>
          <w:rFonts w:ascii="宋体" w:hAnsi="宋体" w:eastAsia="宋体" w:cs="宋体"/>
          <w:b/>
          <w:bCs/>
          <w:spacing w:val="7"/>
          <w:sz w:val="20"/>
          <w:szCs w:val="20"/>
        </w:rPr>
        <w:t>90.</w:t>
      </w:r>
      <w:r>
        <w:rPr>
          <w:rFonts w:ascii="宋体" w:hAnsi="宋体" w:eastAsia="宋体" w:cs="宋体"/>
          <w:spacing w:val="7"/>
          <w:sz w:val="20"/>
          <w:szCs w:val="20"/>
        </w:rPr>
        <w:t xml:space="preserve"> </w:t>
      </w:r>
      <w:r>
        <w:rPr>
          <w:rFonts w:ascii="宋体" w:hAnsi="宋体" w:eastAsia="宋体" w:cs="宋体"/>
          <w:b/>
          <w:bCs/>
          <w:spacing w:val="7"/>
          <w:sz w:val="20"/>
          <w:szCs w:val="20"/>
        </w:rPr>
        <w:t>关于污水处理厂中厂区内管道、设备、电气、仪表等安装工程执行安装工程定额</w:t>
      </w:r>
      <w:r>
        <w:rPr>
          <w:rFonts w:ascii="宋体" w:hAnsi="宋体" w:eastAsia="宋体" w:cs="宋体"/>
          <w:spacing w:val="-47"/>
          <w:sz w:val="20"/>
          <w:szCs w:val="20"/>
        </w:rPr>
        <w:t xml:space="preserve"> </w:t>
      </w:r>
      <w:r>
        <w:rPr>
          <w:rFonts w:ascii="宋体" w:hAnsi="宋体" w:eastAsia="宋体" w:cs="宋体"/>
          <w:b/>
          <w:bCs/>
          <w:spacing w:val="7"/>
          <w:sz w:val="20"/>
          <w:szCs w:val="20"/>
        </w:rPr>
        <w:t>，取费是</w:t>
      </w:r>
      <w:r>
        <w:rPr>
          <w:rFonts w:ascii="宋体" w:hAnsi="宋体" w:eastAsia="宋体" w:cs="宋体"/>
          <w:b/>
          <w:bCs/>
          <w:spacing w:val="8"/>
          <w:sz w:val="20"/>
          <w:szCs w:val="20"/>
        </w:rPr>
        <w:t>按安装工程取费还是按市政工程取费的问题</w:t>
      </w:r>
    </w:p>
    <w:p>
      <w:pPr>
        <w:spacing w:before="42" w:line="223" w:lineRule="auto"/>
        <w:jc w:val="right"/>
        <w:rPr>
          <w:rFonts w:ascii="宋体" w:hAnsi="宋体" w:eastAsia="宋体" w:cs="宋体"/>
          <w:sz w:val="20"/>
          <w:szCs w:val="20"/>
        </w:rPr>
      </w:pPr>
      <w:r>
        <w:rPr>
          <w:rFonts w:ascii="宋体" w:hAnsi="宋体" w:eastAsia="宋体" w:cs="宋体"/>
          <w:spacing w:val="8"/>
          <w:sz w:val="20"/>
          <w:szCs w:val="20"/>
        </w:rPr>
        <w:t>污水处理厂中厂区内管道、设备、电气、仪表等安装工程</w:t>
      </w:r>
      <w:r>
        <w:rPr>
          <w:rFonts w:ascii="宋体" w:hAnsi="宋体" w:eastAsia="宋体" w:cs="宋体"/>
          <w:spacing w:val="7"/>
          <w:sz w:val="20"/>
          <w:szCs w:val="20"/>
        </w:rPr>
        <w:t>执行安装工程定额，按安装工程取费。</w:t>
      </w:r>
    </w:p>
    <w:p>
      <w:pPr>
        <w:spacing w:before="154" w:line="365" w:lineRule="auto"/>
        <w:ind w:right="79" w:firstLine="422"/>
        <w:jc w:val="both"/>
        <w:rPr>
          <w:rFonts w:ascii="宋体" w:hAnsi="宋体" w:eastAsia="宋体" w:cs="宋体"/>
          <w:sz w:val="20"/>
          <w:szCs w:val="20"/>
        </w:rPr>
      </w:pPr>
      <w:r>
        <w:rPr>
          <w:rFonts w:ascii="宋体" w:hAnsi="宋体" w:eastAsia="宋体" w:cs="宋体"/>
          <w:b/>
          <w:bCs/>
          <w:spacing w:val="8"/>
          <w:sz w:val="20"/>
          <w:szCs w:val="20"/>
        </w:rPr>
        <w:t>91.</w:t>
      </w:r>
      <w:r>
        <w:rPr>
          <w:rFonts w:ascii="宋体" w:hAnsi="宋体" w:eastAsia="宋体" w:cs="宋体"/>
          <w:spacing w:val="8"/>
          <w:sz w:val="20"/>
          <w:szCs w:val="20"/>
        </w:rPr>
        <w:t xml:space="preserve"> </w:t>
      </w:r>
      <w:r>
        <w:rPr>
          <w:rFonts w:ascii="宋体" w:hAnsi="宋体" w:eastAsia="宋体" w:cs="宋体"/>
          <w:b/>
          <w:bCs/>
          <w:spacing w:val="8"/>
          <w:sz w:val="20"/>
          <w:szCs w:val="20"/>
        </w:rPr>
        <w:t>电机检查接线定额包括检查定子、转子和轴承、调整和研磨电刷吹扫、测量空气间隙、手</w:t>
      </w:r>
      <w:r>
        <w:rPr>
          <w:rFonts w:ascii="宋体" w:hAnsi="宋体" w:eastAsia="宋体" w:cs="宋体"/>
          <w:b/>
          <w:bCs/>
          <w:spacing w:val="9"/>
          <w:sz w:val="20"/>
          <w:szCs w:val="20"/>
        </w:rPr>
        <w:t>动盘车检查电机转动情况、接地、空载试运转等。如现场未对电机成</w:t>
      </w:r>
      <w:r>
        <w:rPr>
          <w:rFonts w:ascii="宋体" w:hAnsi="宋体" w:eastAsia="宋体" w:cs="宋体"/>
          <w:b/>
          <w:bCs/>
          <w:spacing w:val="8"/>
          <w:sz w:val="20"/>
          <w:szCs w:val="20"/>
        </w:rPr>
        <w:t>品拆卸检查的，应如何调整相</w:t>
      </w:r>
      <w:r>
        <w:rPr>
          <w:rFonts w:ascii="宋体" w:hAnsi="宋体" w:eastAsia="宋体" w:cs="宋体"/>
          <w:b/>
          <w:bCs/>
          <w:spacing w:val="6"/>
          <w:sz w:val="20"/>
          <w:szCs w:val="20"/>
        </w:rPr>
        <w:t>应定额的问题。</w:t>
      </w:r>
    </w:p>
    <w:p>
      <w:pPr>
        <w:spacing w:before="14" w:line="276" w:lineRule="exact"/>
        <w:ind w:left="423"/>
        <w:rPr>
          <w:rFonts w:ascii="宋体" w:hAnsi="宋体" w:eastAsia="宋体" w:cs="宋体"/>
          <w:sz w:val="20"/>
          <w:szCs w:val="20"/>
        </w:rPr>
      </w:pPr>
      <w:r>
        <w:rPr>
          <w:rFonts w:ascii="宋体" w:hAnsi="宋体" w:eastAsia="宋体" w:cs="宋体"/>
          <w:spacing w:val="7"/>
          <w:position w:val="1"/>
          <w:sz w:val="20"/>
          <w:szCs w:val="20"/>
        </w:rPr>
        <w:t>如现场未对电机成品拆卸检查的，可参照</w:t>
      </w:r>
      <w:r>
        <w:rPr>
          <w:rFonts w:ascii="宋体" w:hAnsi="宋体" w:eastAsia="宋体" w:cs="宋体"/>
          <w:spacing w:val="-39"/>
          <w:position w:val="1"/>
          <w:sz w:val="20"/>
          <w:szCs w:val="20"/>
        </w:rPr>
        <w:t xml:space="preserve"> </w:t>
      </w:r>
      <w:r>
        <w:rPr>
          <w:rFonts w:ascii="宋体" w:hAnsi="宋体" w:eastAsia="宋体" w:cs="宋体"/>
          <w:spacing w:val="7"/>
          <w:position w:val="1"/>
          <w:sz w:val="20"/>
          <w:szCs w:val="20"/>
        </w:rPr>
        <w:t>2025</w:t>
      </w:r>
      <w:r>
        <w:rPr>
          <w:rFonts w:ascii="宋体" w:hAnsi="宋体" w:eastAsia="宋体" w:cs="宋体"/>
          <w:spacing w:val="-44"/>
          <w:position w:val="1"/>
          <w:sz w:val="20"/>
          <w:szCs w:val="20"/>
        </w:rPr>
        <w:t xml:space="preserve"> </w:t>
      </w:r>
      <w:r>
        <w:rPr>
          <w:rFonts w:ascii="宋体" w:hAnsi="宋体" w:eastAsia="宋体" w:cs="宋体"/>
          <w:spacing w:val="7"/>
          <w:position w:val="1"/>
          <w:sz w:val="20"/>
          <w:szCs w:val="20"/>
        </w:rPr>
        <w:t>定额的规定执行，相应定额</w:t>
      </w:r>
      <w:r>
        <w:rPr>
          <w:rFonts w:ascii="宋体" w:hAnsi="宋体" w:eastAsia="宋体" w:cs="宋体"/>
          <w:spacing w:val="6"/>
          <w:position w:val="1"/>
          <w:sz w:val="20"/>
          <w:szCs w:val="20"/>
        </w:rPr>
        <w:t>乘以系数</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0.2。</w:t>
      </w:r>
    </w:p>
    <w:p>
      <w:pPr>
        <w:spacing w:before="124" w:line="277" w:lineRule="exact"/>
        <w:ind w:left="422"/>
        <w:rPr>
          <w:rFonts w:ascii="宋体" w:hAnsi="宋体" w:eastAsia="宋体" w:cs="宋体"/>
          <w:sz w:val="20"/>
          <w:szCs w:val="20"/>
        </w:rPr>
      </w:pPr>
      <w:r>
        <w:rPr>
          <w:rFonts w:ascii="宋体" w:hAnsi="宋体" w:eastAsia="宋体" w:cs="宋体"/>
          <w:b/>
          <w:bCs/>
          <w:spacing w:val="2"/>
          <w:position w:val="1"/>
          <w:sz w:val="20"/>
          <w:szCs w:val="20"/>
        </w:rPr>
        <w:t>92.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关于雨水斗安装的计价。</w:t>
      </w:r>
    </w:p>
    <w:p>
      <w:pPr>
        <w:spacing w:line="277" w:lineRule="exact"/>
        <w:rPr>
          <w:rFonts w:ascii="宋体" w:hAnsi="宋体" w:eastAsia="宋体" w:cs="宋体"/>
          <w:sz w:val="20"/>
          <w:szCs w:val="20"/>
        </w:rPr>
        <w:sectPr>
          <w:footerReference r:id="rId162" w:type="default"/>
          <w:pgSz w:w="11906" w:h="16839"/>
          <w:pgMar w:top="400" w:right="1341" w:bottom="1212" w:left="1418"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420"/>
        <w:rPr>
          <w:rFonts w:ascii="宋体" w:hAnsi="宋体" w:eastAsia="宋体" w:cs="宋体"/>
          <w:sz w:val="20"/>
          <w:szCs w:val="20"/>
        </w:rPr>
      </w:pPr>
      <w:r>
        <w:rPr>
          <w:rFonts w:ascii="宋体" w:hAnsi="宋体" w:eastAsia="宋体" w:cs="宋体"/>
          <w:spacing w:val="10"/>
          <w:sz w:val="20"/>
          <w:szCs w:val="20"/>
        </w:rPr>
        <w:t>雨水管安装定额子目中不包含雨水斗安装，雨水斗安</w:t>
      </w:r>
      <w:r>
        <w:rPr>
          <w:rFonts w:ascii="宋体" w:hAnsi="宋体" w:eastAsia="宋体" w:cs="宋体"/>
          <w:spacing w:val="9"/>
          <w:sz w:val="20"/>
          <w:szCs w:val="20"/>
        </w:rPr>
        <w:t>装可借用建筑工程相应定额子目执行。</w:t>
      </w:r>
    </w:p>
    <w:p>
      <w:pPr>
        <w:spacing w:before="125" w:line="276" w:lineRule="exact"/>
        <w:ind w:left="422"/>
        <w:rPr>
          <w:rFonts w:ascii="宋体" w:hAnsi="宋体" w:eastAsia="宋体" w:cs="宋体"/>
          <w:sz w:val="20"/>
          <w:szCs w:val="20"/>
        </w:rPr>
      </w:pPr>
      <w:r>
        <w:rPr>
          <w:rFonts w:ascii="宋体" w:hAnsi="宋体" w:eastAsia="宋体" w:cs="宋体"/>
          <w:b/>
          <w:bCs/>
          <w:spacing w:val="2"/>
          <w:position w:val="1"/>
          <w:sz w:val="20"/>
          <w:szCs w:val="20"/>
        </w:rPr>
        <w:t>93.关于计价依据的解释</w:t>
      </w:r>
    </w:p>
    <w:p>
      <w:pPr>
        <w:spacing w:before="113" w:line="369" w:lineRule="auto"/>
        <w:ind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w:t>
      </w:r>
      <w:r>
        <w:rPr>
          <w:rFonts w:ascii="宋体" w:hAnsi="宋体" w:eastAsia="宋体" w:cs="宋体"/>
          <w:spacing w:val="10"/>
          <w:sz w:val="20"/>
          <w:szCs w:val="20"/>
        </w:rPr>
        <w:t>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163" w:type="default"/>
          <w:pgSz w:w="11906" w:h="16839"/>
          <w:pgMar w:top="400" w:right="1417" w:bottom="1212" w:left="1419"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2" w:lineRule="auto"/>
        <w:ind w:left="1534"/>
        <w:outlineLvl w:val="1"/>
        <w:rPr>
          <w:rFonts w:ascii="宋体" w:hAnsi="宋体" w:eastAsia="宋体" w:cs="宋体"/>
          <w:sz w:val="30"/>
          <w:szCs w:val="30"/>
        </w:rPr>
      </w:pPr>
      <w:bookmarkStart w:id="86" w:name="bookmark159"/>
      <w:bookmarkEnd w:id="86"/>
      <w:r>
        <w:rPr>
          <w:rFonts w:ascii="宋体" w:hAnsi="宋体" w:eastAsia="宋体" w:cs="宋体"/>
          <w:b/>
          <w:bCs/>
          <w:spacing w:val="-3"/>
          <w:sz w:val="30"/>
          <w:szCs w:val="30"/>
        </w:rPr>
        <w:t>第七节</w:t>
      </w:r>
      <w:r>
        <w:rPr>
          <w:rFonts w:ascii="宋体" w:hAnsi="宋体" w:eastAsia="宋体" w:cs="宋体"/>
          <w:spacing w:val="-3"/>
          <w:sz w:val="30"/>
          <w:szCs w:val="30"/>
        </w:rPr>
        <w:t xml:space="preserve">  </w:t>
      </w:r>
      <w:r>
        <w:rPr>
          <w:rFonts w:ascii="宋体" w:hAnsi="宋体" w:eastAsia="宋体" w:cs="宋体"/>
          <w:b/>
          <w:bCs/>
          <w:spacing w:val="-3"/>
          <w:sz w:val="30"/>
          <w:szCs w:val="30"/>
        </w:rPr>
        <w:t>房屋修缮工程定额计价有关问题说明</w:t>
      </w:r>
    </w:p>
    <w:p>
      <w:pPr>
        <w:spacing w:line="245" w:lineRule="auto"/>
        <w:rPr>
          <w:rFonts w:ascii="Arial"/>
          <w:sz w:val="21"/>
        </w:rPr>
      </w:pPr>
    </w:p>
    <w:p>
      <w:pPr>
        <w:spacing w:before="65" w:line="313" w:lineRule="auto"/>
        <w:ind w:left="10" w:right="117" w:firstLine="437"/>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40"/>
          <w:sz w:val="20"/>
          <w:szCs w:val="20"/>
        </w:rPr>
        <w:t xml:space="preserve"> </w:t>
      </w:r>
      <w:r>
        <w:rPr>
          <w:rFonts w:ascii="宋体" w:hAnsi="宋体" w:eastAsia="宋体" w:cs="宋体"/>
          <w:spacing w:val="7"/>
          <w:sz w:val="20"/>
          <w:szCs w:val="20"/>
        </w:rPr>
        <w:t>2020</w:t>
      </w:r>
      <w:r>
        <w:rPr>
          <w:rFonts w:ascii="宋体" w:hAnsi="宋体" w:eastAsia="宋体" w:cs="宋体"/>
          <w:spacing w:val="-38"/>
          <w:sz w:val="20"/>
          <w:szCs w:val="20"/>
        </w:rPr>
        <w:t xml:space="preserve"> </w:t>
      </w:r>
      <w:r>
        <w:rPr>
          <w:rFonts w:ascii="宋体" w:hAnsi="宋体" w:eastAsia="宋体" w:cs="宋体"/>
          <w:spacing w:val="7"/>
          <w:sz w:val="20"/>
          <w:szCs w:val="20"/>
        </w:rPr>
        <w:t>版《山东省房屋修缮工程消耗量定额》以</w:t>
      </w:r>
      <w:r>
        <w:rPr>
          <w:rFonts w:ascii="宋体" w:hAnsi="宋体" w:eastAsia="宋体" w:cs="宋体"/>
          <w:spacing w:val="6"/>
          <w:sz w:val="20"/>
          <w:szCs w:val="20"/>
        </w:rPr>
        <w:t>山东省住房和城乡建设厅鲁建标字〔2020〕26</w:t>
      </w:r>
      <w:r>
        <w:rPr>
          <w:rFonts w:ascii="宋体" w:hAnsi="宋体" w:eastAsia="宋体" w:cs="宋体"/>
          <w:spacing w:val="2"/>
          <w:sz w:val="20"/>
          <w:szCs w:val="20"/>
        </w:rPr>
        <w:t>号文正式颁布，</w:t>
      </w:r>
      <w:r>
        <w:rPr>
          <w:rFonts w:ascii="宋体" w:hAnsi="宋体" w:eastAsia="宋体" w:cs="宋体"/>
          <w:spacing w:val="-48"/>
          <w:sz w:val="20"/>
          <w:szCs w:val="20"/>
        </w:rPr>
        <w:t xml:space="preserve"> </w:t>
      </w:r>
      <w:r>
        <w:rPr>
          <w:rFonts w:ascii="宋体" w:hAnsi="宋体" w:eastAsia="宋体" w:cs="宋体"/>
          <w:spacing w:val="2"/>
          <w:sz w:val="20"/>
          <w:szCs w:val="20"/>
        </w:rPr>
        <w:t>自</w:t>
      </w:r>
      <w:r>
        <w:rPr>
          <w:rFonts w:ascii="宋体" w:hAnsi="宋体" w:eastAsia="宋体" w:cs="宋体"/>
          <w:spacing w:val="-40"/>
          <w:sz w:val="20"/>
          <w:szCs w:val="20"/>
        </w:rPr>
        <w:t xml:space="preserve"> </w:t>
      </w:r>
      <w:r>
        <w:rPr>
          <w:rFonts w:ascii="宋体" w:hAnsi="宋体" w:eastAsia="宋体" w:cs="宋体"/>
          <w:spacing w:val="2"/>
          <w:sz w:val="20"/>
          <w:szCs w:val="20"/>
        </w:rPr>
        <w:t>2021年</w:t>
      </w:r>
      <w:r>
        <w:rPr>
          <w:rFonts w:ascii="宋体" w:hAnsi="宋体" w:eastAsia="宋体" w:cs="宋体"/>
          <w:spacing w:val="-22"/>
          <w:sz w:val="20"/>
          <w:szCs w:val="20"/>
        </w:rPr>
        <w:t xml:space="preserve"> </w:t>
      </w:r>
      <w:r>
        <w:rPr>
          <w:rFonts w:ascii="宋体" w:hAnsi="宋体" w:eastAsia="宋体" w:cs="宋体"/>
          <w:spacing w:val="2"/>
          <w:sz w:val="20"/>
          <w:szCs w:val="20"/>
        </w:rPr>
        <w:t>1</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3"/>
          <w:sz w:val="20"/>
          <w:szCs w:val="20"/>
        </w:rPr>
        <w:t xml:space="preserve"> </w:t>
      </w:r>
      <w:r>
        <w:rPr>
          <w:rFonts w:ascii="宋体" w:hAnsi="宋体" w:eastAsia="宋体" w:cs="宋体"/>
          <w:spacing w:val="2"/>
          <w:sz w:val="20"/>
          <w:szCs w:val="20"/>
        </w:rPr>
        <w:t>1 日起施行。</w:t>
      </w:r>
    </w:p>
    <w:p>
      <w:pPr>
        <w:spacing w:before="123" w:line="312" w:lineRule="auto"/>
        <w:ind w:left="8" w:right="118" w:firstLine="421"/>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25"/>
          <w:sz w:val="20"/>
          <w:szCs w:val="20"/>
        </w:rPr>
        <w:t xml:space="preserve"> </w:t>
      </w:r>
      <w:r>
        <w:rPr>
          <w:rFonts w:ascii="宋体" w:hAnsi="宋体" w:eastAsia="宋体" w:cs="宋体"/>
          <w:spacing w:val="7"/>
          <w:sz w:val="20"/>
          <w:szCs w:val="20"/>
        </w:rPr>
        <w:t>《山东省建设工程费用项目组成及计算规则（2022</w:t>
      </w:r>
      <w:r>
        <w:rPr>
          <w:rFonts w:ascii="宋体" w:hAnsi="宋体" w:eastAsia="宋体" w:cs="宋体"/>
          <w:spacing w:val="-38"/>
          <w:sz w:val="20"/>
          <w:szCs w:val="20"/>
        </w:rPr>
        <w:t xml:space="preserve"> </w:t>
      </w:r>
      <w:r>
        <w:rPr>
          <w:rFonts w:ascii="宋体" w:hAnsi="宋体" w:eastAsia="宋体" w:cs="宋体"/>
          <w:spacing w:val="7"/>
          <w:sz w:val="20"/>
          <w:szCs w:val="20"/>
        </w:rPr>
        <w:t>版）》以山东省住房和城乡建设厅鲁建标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124" w:line="368" w:lineRule="auto"/>
        <w:ind w:left="9" w:right="118" w:firstLine="420"/>
        <w:jc w:val="both"/>
        <w:rPr>
          <w:rFonts w:ascii="宋体" w:hAnsi="宋体" w:eastAsia="宋体" w:cs="宋体"/>
          <w:sz w:val="20"/>
          <w:szCs w:val="20"/>
        </w:rPr>
      </w:pPr>
      <w:r>
        <w:rPr>
          <w:rFonts w:ascii="宋体" w:hAnsi="宋体" w:eastAsia="宋体" w:cs="宋体"/>
          <w:spacing w:val="6"/>
          <w:sz w:val="20"/>
          <w:szCs w:val="20"/>
        </w:rPr>
        <w:t>2023</w:t>
      </w:r>
      <w:r>
        <w:rPr>
          <w:rFonts w:ascii="宋体" w:hAnsi="宋体" w:eastAsia="宋体" w:cs="宋体"/>
          <w:spacing w:val="-20"/>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36"/>
          <w:sz w:val="20"/>
          <w:szCs w:val="20"/>
        </w:rPr>
        <w:t xml:space="preserve"> </w:t>
      </w:r>
      <w:r>
        <w:rPr>
          <w:rFonts w:ascii="宋体" w:hAnsi="宋体" w:eastAsia="宋体" w:cs="宋体"/>
          <w:spacing w:val="6"/>
          <w:sz w:val="20"/>
          <w:szCs w:val="20"/>
        </w:rPr>
        <w:t>月</w:t>
      </w:r>
      <w:r>
        <w:rPr>
          <w:rFonts w:ascii="宋体" w:hAnsi="宋体" w:eastAsia="宋体" w:cs="宋体"/>
          <w:spacing w:val="-36"/>
          <w:sz w:val="20"/>
          <w:szCs w:val="20"/>
        </w:rPr>
        <w:t xml:space="preserve"> </w:t>
      </w:r>
      <w:r>
        <w:rPr>
          <w:rFonts w:ascii="宋体" w:hAnsi="宋体" w:eastAsia="宋体" w:cs="宋体"/>
          <w:spacing w:val="6"/>
          <w:sz w:val="20"/>
          <w:szCs w:val="20"/>
        </w:rPr>
        <w:t>30 日</w:t>
      </w:r>
      <w:r>
        <w:rPr>
          <w:rFonts w:ascii="宋体" w:hAnsi="宋体" w:eastAsia="宋体" w:cs="宋体"/>
          <w:spacing w:val="-59"/>
          <w:sz w:val="20"/>
          <w:szCs w:val="20"/>
        </w:rPr>
        <w:t xml:space="preserve"> </w:t>
      </w:r>
      <w:r>
        <w:rPr>
          <w:rFonts w:ascii="宋体" w:hAnsi="宋体" w:eastAsia="宋体" w:cs="宋体"/>
          <w:spacing w:val="6"/>
          <w:sz w:val="20"/>
          <w:szCs w:val="20"/>
        </w:rPr>
        <w:t>，山东省住房和城乡建设厅发布《关于调整建设工程安全施工费的通知》</w:t>
      </w:r>
      <w:r>
        <w:rPr>
          <w:rFonts w:ascii="宋体" w:hAnsi="宋体" w:eastAsia="宋体" w:cs="宋体"/>
          <w:spacing w:val="-46"/>
          <w:sz w:val="20"/>
          <w:szCs w:val="20"/>
        </w:rPr>
        <w:t xml:space="preserve"> </w:t>
      </w:r>
      <w:r>
        <w:rPr>
          <w:rFonts w:ascii="宋体" w:hAnsi="宋体" w:eastAsia="宋体" w:cs="宋体"/>
          <w:spacing w:val="6"/>
          <w:sz w:val="20"/>
          <w:szCs w:val="20"/>
        </w:rPr>
        <w:t>，</w:t>
      </w: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before="3" w:line="368" w:lineRule="auto"/>
        <w:ind w:left="10" w:right="53"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2" w:line="368" w:lineRule="auto"/>
        <w:ind w:left="5" w:right="120" w:firstLine="428"/>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31"/>
          <w:sz w:val="20"/>
          <w:szCs w:val="20"/>
        </w:rPr>
        <w:t xml:space="preserve"> </w:t>
      </w:r>
      <w:r>
        <w:rPr>
          <w:rFonts w:ascii="宋体" w:hAnsi="宋体" w:eastAsia="宋体" w:cs="宋体"/>
          <w:spacing w:val="7"/>
          <w:sz w:val="20"/>
          <w:szCs w:val="20"/>
        </w:rPr>
        <w:t>2020</w:t>
      </w:r>
      <w:r>
        <w:rPr>
          <w:rFonts w:ascii="宋体" w:hAnsi="宋体" w:eastAsia="宋体" w:cs="宋体"/>
          <w:spacing w:val="-38"/>
          <w:sz w:val="20"/>
          <w:szCs w:val="20"/>
        </w:rPr>
        <w:t xml:space="preserve"> </w:t>
      </w:r>
      <w:r>
        <w:rPr>
          <w:rFonts w:ascii="宋体" w:hAnsi="宋体" w:eastAsia="宋体" w:cs="宋体"/>
          <w:spacing w:val="7"/>
          <w:sz w:val="20"/>
          <w:szCs w:val="20"/>
        </w:rPr>
        <w:t>版《山东省房屋修缮工程价目表》《人工材料机械台班价格表》在山东省住房和城乡建</w:t>
      </w:r>
      <w:r>
        <w:rPr>
          <w:rFonts w:ascii="宋体" w:hAnsi="宋体" w:eastAsia="宋体" w:cs="宋体"/>
          <w:spacing w:val="4"/>
          <w:sz w:val="20"/>
          <w:szCs w:val="20"/>
        </w:rPr>
        <w:t>设厅门户网站的专题专栏“标准造价”网站发布，</w:t>
      </w:r>
      <w:r>
        <w:rPr>
          <w:rFonts w:ascii="宋体" w:hAnsi="宋体" w:eastAsia="宋体" w:cs="宋体"/>
          <w:spacing w:val="-55"/>
          <w:sz w:val="20"/>
          <w:szCs w:val="20"/>
        </w:rPr>
        <w:t xml:space="preserve"> </w:t>
      </w:r>
      <w:r>
        <w:rPr>
          <w:rFonts w:ascii="宋体" w:hAnsi="宋体" w:eastAsia="宋体" w:cs="宋体"/>
          <w:spacing w:val="4"/>
          <w:sz w:val="20"/>
          <w:szCs w:val="20"/>
        </w:rPr>
        <w:t>自</w:t>
      </w:r>
      <w:r>
        <w:rPr>
          <w:rFonts w:ascii="宋体" w:hAnsi="宋体" w:eastAsia="宋体" w:cs="宋体"/>
          <w:spacing w:val="-40"/>
          <w:sz w:val="20"/>
          <w:szCs w:val="20"/>
        </w:rPr>
        <w:t xml:space="preserve"> </w:t>
      </w:r>
      <w:r>
        <w:rPr>
          <w:rFonts w:ascii="宋体" w:hAnsi="宋体" w:eastAsia="宋体" w:cs="宋体"/>
          <w:spacing w:val="4"/>
          <w:sz w:val="20"/>
          <w:szCs w:val="20"/>
        </w:rPr>
        <w:t>2021</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23"/>
          <w:sz w:val="20"/>
          <w:szCs w:val="20"/>
        </w:rPr>
        <w:t xml:space="preserve"> </w:t>
      </w:r>
      <w:r>
        <w:rPr>
          <w:rFonts w:ascii="宋体" w:hAnsi="宋体" w:eastAsia="宋体" w:cs="宋体"/>
          <w:spacing w:val="4"/>
          <w:sz w:val="20"/>
          <w:szCs w:val="20"/>
        </w:rPr>
        <w:t>1</w:t>
      </w:r>
      <w:r>
        <w:rPr>
          <w:rFonts w:ascii="宋体" w:hAnsi="宋体" w:eastAsia="宋体" w:cs="宋体"/>
          <w:spacing w:val="-40"/>
          <w:sz w:val="20"/>
          <w:szCs w:val="20"/>
        </w:rPr>
        <w:t xml:space="preserve"> </w:t>
      </w:r>
      <w:r>
        <w:rPr>
          <w:rFonts w:ascii="宋体" w:hAnsi="宋体" w:eastAsia="宋体" w:cs="宋体"/>
          <w:spacing w:val="4"/>
          <w:sz w:val="20"/>
          <w:szCs w:val="20"/>
        </w:rPr>
        <w:t>月</w:t>
      </w:r>
      <w:r>
        <w:rPr>
          <w:rFonts w:ascii="宋体" w:hAnsi="宋体" w:eastAsia="宋体" w:cs="宋体"/>
          <w:spacing w:val="-25"/>
          <w:sz w:val="20"/>
          <w:szCs w:val="20"/>
        </w:rPr>
        <w:t xml:space="preserve"> </w:t>
      </w:r>
      <w:r>
        <w:rPr>
          <w:rFonts w:ascii="宋体" w:hAnsi="宋体" w:eastAsia="宋体" w:cs="宋体"/>
          <w:spacing w:val="4"/>
          <w:sz w:val="20"/>
          <w:szCs w:val="20"/>
        </w:rPr>
        <w:t>1 日起执行。</w:t>
      </w:r>
    </w:p>
    <w:p>
      <w:pPr>
        <w:spacing w:before="3" w:line="366" w:lineRule="auto"/>
        <w:ind w:firstLine="411"/>
        <w:rPr>
          <w:rFonts w:ascii="宋体" w:hAnsi="宋体" w:eastAsia="宋体" w:cs="宋体"/>
          <w:sz w:val="20"/>
          <w:szCs w:val="20"/>
        </w:rPr>
      </w:pPr>
      <w:r>
        <w:rPr>
          <w:rFonts w:ascii="宋体" w:hAnsi="宋体" w:eastAsia="宋体" w:cs="宋体"/>
          <w:spacing w:val="7"/>
          <w:sz w:val="20"/>
          <w:szCs w:val="20"/>
        </w:rPr>
        <w:t>《山东省建设工程费用项目组成及计算规则（2022</w:t>
      </w:r>
      <w:r>
        <w:rPr>
          <w:rFonts w:ascii="宋体" w:hAnsi="宋体" w:eastAsia="宋体" w:cs="宋体"/>
          <w:spacing w:val="-26"/>
          <w:sz w:val="20"/>
          <w:szCs w:val="20"/>
        </w:rPr>
        <w:t xml:space="preserve"> </w:t>
      </w:r>
      <w:r>
        <w:rPr>
          <w:rFonts w:ascii="宋体" w:hAnsi="宋体" w:eastAsia="宋体" w:cs="宋体"/>
          <w:spacing w:val="7"/>
          <w:sz w:val="20"/>
          <w:szCs w:val="20"/>
        </w:rPr>
        <w:t>版）》与《山东省房屋修缮工程消耗量定额》</w:t>
      </w:r>
      <w:r>
        <w:rPr>
          <w:rFonts w:ascii="宋体" w:hAnsi="宋体" w:eastAsia="宋体" w:cs="宋体"/>
          <w:sz w:val="20"/>
          <w:szCs w:val="20"/>
        </w:rPr>
        <w:t xml:space="preserve"> </w:t>
      </w:r>
      <w:r>
        <w:rPr>
          <w:rFonts w:ascii="宋体" w:hAnsi="宋体" w:eastAsia="宋体" w:cs="宋体"/>
          <w:spacing w:val="8"/>
          <w:sz w:val="20"/>
          <w:szCs w:val="20"/>
        </w:rPr>
        <w:t>（2020</w:t>
      </w:r>
      <w:r>
        <w:rPr>
          <w:rFonts w:ascii="宋体" w:hAnsi="宋体" w:eastAsia="宋体" w:cs="宋体"/>
          <w:spacing w:val="-25"/>
          <w:sz w:val="20"/>
          <w:szCs w:val="20"/>
        </w:rPr>
        <w:t xml:space="preserve"> </w:t>
      </w:r>
      <w:r>
        <w:rPr>
          <w:rFonts w:ascii="宋体" w:hAnsi="宋体" w:eastAsia="宋体" w:cs="宋体"/>
          <w:spacing w:val="8"/>
          <w:sz w:val="20"/>
          <w:szCs w:val="20"/>
        </w:rPr>
        <w:t>版）、《山东省房屋修缮工程价目表》配套使用。</w:t>
      </w:r>
    </w:p>
    <w:p>
      <w:pPr>
        <w:spacing w:before="7" w:line="312" w:lineRule="auto"/>
        <w:ind w:left="8" w:right="152" w:firstLine="418"/>
        <w:rPr>
          <w:rFonts w:ascii="宋体" w:hAnsi="宋体" w:eastAsia="宋体" w:cs="宋体"/>
          <w:sz w:val="20"/>
          <w:szCs w:val="20"/>
        </w:rPr>
      </w:pPr>
      <w:r>
        <w:rPr>
          <w:rFonts w:ascii="宋体" w:hAnsi="宋体" w:eastAsia="宋体" w:cs="宋体"/>
          <w:spacing w:val="7"/>
          <w:sz w:val="20"/>
          <w:szCs w:val="20"/>
        </w:rPr>
        <w:t>4. 房屋修缮工程费用计算程序是工程计价活动的依据。各种费率是编制最高投标限价的依据，</w:t>
      </w:r>
      <w:r>
        <w:rPr>
          <w:rFonts w:ascii="宋体" w:hAnsi="宋体" w:eastAsia="宋体" w:cs="宋体"/>
          <w:spacing w:val="9"/>
          <w:sz w:val="20"/>
          <w:szCs w:val="20"/>
        </w:rPr>
        <w:t>是其他计价活动的重要参考（其中规费、税金必须按规定计取，不得作为竞争性费用）。</w:t>
      </w:r>
    </w:p>
    <w:p>
      <w:pPr>
        <w:spacing w:before="123" w:line="277" w:lineRule="exact"/>
        <w:ind w:left="430"/>
        <w:rPr>
          <w:rFonts w:ascii="宋体" w:hAnsi="宋体" w:eastAsia="宋体" w:cs="宋体"/>
          <w:sz w:val="20"/>
          <w:szCs w:val="20"/>
        </w:rPr>
      </w:pPr>
      <w:r>
        <w:rPr>
          <w:rFonts w:ascii="宋体" w:hAnsi="宋体" w:eastAsia="宋体" w:cs="宋体"/>
          <w:b/>
          <w:bCs/>
          <w:spacing w:val="2"/>
          <w:position w:val="1"/>
          <w:sz w:val="20"/>
          <w:szCs w:val="20"/>
        </w:rPr>
        <w:t>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关于增值税的说明</w:t>
      </w:r>
    </w:p>
    <w:p>
      <w:pPr>
        <w:spacing w:before="123" w:line="369" w:lineRule="auto"/>
        <w:ind w:left="6" w:right="118" w:firstLine="404"/>
        <w:rPr>
          <w:rFonts w:ascii="宋体" w:hAnsi="宋体" w:eastAsia="宋体" w:cs="宋体"/>
          <w:sz w:val="20"/>
          <w:szCs w:val="20"/>
        </w:rPr>
      </w:pPr>
      <w:r>
        <w:rPr>
          <w:rFonts w:ascii="宋体" w:hAnsi="宋体" w:eastAsia="宋体" w:cs="宋体"/>
          <w:spacing w:val="10"/>
          <w:sz w:val="20"/>
          <w:szCs w:val="20"/>
        </w:rPr>
        <w:t>《山东省建设工程费用项目组成及计算规则》中的税率（增值</w:t>
      </w:r>
      <w:r>
        <w:rPr>
          <w:rFonts w:ascii="宋体" w:hAnsi="宋体" w:eastAsia="宋体" w:cs="宋体"/>
          <w:spacing w:val="9"/>
          <w:sz w:val="20"/>
          <w:szCs w:val="20"/>
        </w:rPr>
        <w:t>税一般计税）为</w:t>
      </w:r>
      <w:r>
        <w:rPr>
          <w:rFonts w:ascii="宋体" w:hAnsi="宋体" w:eastAsia="宋体" w:cs="宋体"/>
          <w:spacing w:val="-42"/>
          <w:sz w:val="20"/>
          <w:szCs w:val="20"/>
        </w:rPr>
        <w:t xml:space="preserve"> </w:t>
      </w:r>
      <w:r>
        <w:rPr>
          <w:rFonts w:ascii="宋体" w:hAnsi="宋体" w:eastAsia="宋体" w:cs="宋体"/>
          <w:spacing w:val="9"/>
          <w:sz w:val="20"/>
          <w:szCs w:val="20"/>
        </w:rPr>
        <w:t>9%，增值税一般</w:t>
      </w:r>
      <w:r>
        <w:rPr>
          <w:rFonts w:ascii="宋体" w:hAnsi="宋体" w:eastAsia="宋体" w:cs="宋体"/>
          <w:spacing w:val="12"/>
          <w:sz w:val="20"/>
          <w:szCs w:val="20"/>
        </w:rPr>
        <w:t>计税下，材料费、施工机具使用费在扣除进项税额时，税率分别为</w:t>
      </w:r>
      <w:r>
        <w:rPr>
          <w:rFonts w:ascii="宋体" w:hAnsi="宋体" w:eastAsia="宋体" w:cs="宋体"/>
          <w:spacing w:val="-22"/>
          <w:sz w:val="20"/>
          <w:szCs w:val="20"/>
        </w:rPr>
        <w:t xml:space="preserve"> </w:t>
      </w:r>
      <w:r>
        <w:rPr>
          <w:rFonts w:ascii="宋体" w:hAnsi="宋体" w:eastAsia="宋体" w:cs="宋体"/>
          <w:spacing w:val="12"/>
          <w:sz w:val="20"/>
          <w:szCs w:val="20"/>
        </w:rPr>
        <w:t>13%、9%。</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6.</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关于定额人工单价说明</w:t>
      </w:r>
    </w:p>
    <w:p>
      <w:pPr>
        <w:spacing w:before="124" w:line="369" w:lineRule="auto"/>
        <w:ind w:left="8" w:firstLine="435"/>
        <w:jc w:val="both"/>
        <w:rPr>
          <w:rFonts w:ascii="宋体" w:hAnsi="宋体" w:eastAsia="宋体" w:cs="宋体"/>
          <w:sz w:val="20"/>
          <w:szCs w:val="20"/>
        </w:rPr>
      </w:pPr>
      <w:r>
        <w:rPr>
          <w:rFonts w:ascii="宋体" w:hAnsi="宋体" w:eastAsia="宋体" w:cs="宋体"/>
          <w:spacing w:val="10"/>
          <w:sz w:val="20"/>
          <w:szCs w:val="20"/>
        </w:rPr>
        <w:t>山东省住房和城乡建设厅《关于发布〈山东省房屋修缮工程消耗量定额〉〈山东省市政养护维</w:t>
      </w:r>
      <w:r>
        <w:rPr>
          <w:rFonts w:ascii="宋体" w:hAnsi="宋体" w:eastAsia="宋体" w:cs="宋体"/>
          <w:spacing w:val="7"/>
          <w:sz w:val="20"/>
          <w:szCs w:val="20"/>
        </w:rPr>
        <w:t>修工程消耗量定额〉的通知》（鲁建标字〔2020〕26</w:t>
      </w:r>
      <w:r>
        <w:rPr>
          <w:rFonts w:ascii="宋体" w:hAnsi="宋体" w:eastAsia="宋体" w:cs="宋体"/>
          <w:spacing w:val="-39"/>
          <w:sz w:val="20"/>
          <w:szCs w:val="20"/>
        </w:rPr>
        <w:t xml:space="preserve"> </w:t>
      </w:r>
      <w:r>
        <w:rPr>
          <w:rFonts w:ascii="宋体" w:hAnsi="宋体" w:eastAsia="宋体" w:cs="宋体"/>
          <w:spacing w:val="7"/>
          <w:sz w:val="20"/>
          <w:szCs w:val="20"/>
        </w:rPr>
        <w:t>号）规定：《山东省房屋修缮工程消</w:t>
      </w:r>
      <w:r>
        <w:rPr>
          <w:rFonts w:ascii="宋体" w:hAnsi="宋体" w:eastAsia="宋体" w:cs="宋体"/>
          <w:spacing w:val="6"/>
          <w:sz w:val="20"/>
          <w:szCs w:val="20"/>
        </w:rPr>
        <w:t>耗量定额》</w:t>
      </w:r>
      <w:r>
        <w:rPr>
          <w:rFonts w:ascii="宋体" w:hAnsi="宋体" w:eastAsia="宋体" w:cs="宋体"/>
          <w:spacing w:val="9"/>
          <w:sz w:val="20"/>
          <w:szCs w:val="20"/>
        </w:rPr>
        <w:t>中的综合工日单价为：建筑工程</w:t>
      </w:r>
      <w:r>
        <w:rPr>
          <w:rFonts w:ascii="宋体" w:hAnsi="宋体" w:eastAsia="宋体" w:cs="宋体"/>
          <w:spacing w:val="-19"/>
          <w:sz w:val="20"/>
          <w:szCs w:val="20"/>
        </w:rPr>
        <w:t xml:space="preserve"> </w:t>
      </w:r>
      <w:r>
        <w:rPr>
          <w:rFonts w:ascii="宋体" w:hAnsi="宋体" w:eastAsia="宋体" w:cs="宋体"/>
          <w:spacing w:val="9"/>
          <w:sz w:val="20"/>
          <w:szCs w:val="20"/>
        </w:rPr>
        <w:t>133元/工日</w:t>
      </w:r>
      <w:r>
        <w:rPr>
          <w:rFonts w:ascii="宋体" w:hAnsi="宋体" w:eastAsia="宋体" w:cs="宋体"/>
          <w:spacing w:val="-60"/>
          <w:sz w:val="20"/>
          <w:szCs w:val="20"/>
        </w:rPr>
        <w:t xml:space="preserve"> </w:t>
      </w:r>
      <w:r>
        <w:rPr>
          <w:rFonts w:ascii="宋体" w:hAnsi="宋体" w:eastAsia="宋体" w:cs="宋体"/>
          <w:spacing w:val="9"/>
          <w:sz w:val="20"/>
          <w:szCs w:val="20"/>
        </w:rPr>
        <w:t>，安装工程</w:t>
      </w:r>
      <w:r>
        <w:rPr>
          <w:rFonts w:ascii="宋体" w:hAnsi="宋体" w:eastAsia="宋体" w:cs="宋体"/>
          <w:spacing w:val="-20"/>
          <w:sz w:val="20"/>
          <w:szCs w:val="20"/>
        </w:rPr>
        <w:t xml:space="preserve"> </w:t>
      </w:r>
      <w:r>
        <w:rPr>
          <w:rFonts w:ascii="宋体" w:hAnsi="宋体" w:eastAsia="宋体" w:cs="宋体"/>
          <w:spacing w:val="9"/>
          <w:sz w:val="20"/>
          <w:szCs w:val="20"/>
        </w:rPr>
        <w:t>138</w:t>
      </w:r>
      <w:r>
        <w:rPr>
          <w:rFonts w:ascii="宋体" w:hAnsi="宋体" w:eastAsia="宋体" w:cs="宋体"/>
          <w:spacing w:val="-40"/>
          <w:sz w:val="20"/>
          <w:szCs w:val="20"/>
        </w:rPr>
        <w:t xml:space="preserve"> </w:t>
      </w:r>
      <w:r>
        <w:rPr>
          <w:rFonts w:ascii="宋体" w:hAnsi="宋体" w:eastAsia="宋体" w:cs="宋体"/>
          <w:spacing w:val="9"/>
          <w:sz w:val="20"/>
          <w:szCs w:val="20"/>
        </w:rPr>
        <w:t>元/工日。该</w:t>
      </w:r>
      <w:r>
        <w:rPr>
          <w:rFonts w:ascii="宋体" w:hAnsi="宋体" w:eastAsia="宋体" w:cs="宋体"/>
          <w:spacing w:val="8"/>
          <w:sz w:val="20"/>
          <w:szCs w:val="20"/>
        </w:rPr>
        <w:t>定额人工综合工日单价自</w:t>
      </w:r>
      <w:r>
        <w:rPr>
          <w:rFonts w:ascii="宋体" w:hAnsi="宋体" w:eastAsia="宋体" w:cs="宋体"/>
          <w:sz w:val="20"/>
          <w:szCs w:val="20"/>
        </w:rPr>
        <w:t xml:space="preserve"> </w:t>
      </w:r>
      <w:r>
        <w:rPr>
          <w:rFonts w:ascii="宋体" w:hAnsi="宋体" w:eastAsia="宋体" w:cs="宋体"/>
          <w:spacing w:val="-3"/>
          <w:sz w:val="20"/>
          <w:szCs w:val="20"/>
        </w:rPr>
        <w:t>2021</w:t>
      </w:r>
      <w:r>
        <w:rPr>
          <w:rFonts w:ascii="宋体" w:hAnsi="宋体" w:eastAsia="宋体" w:cs="宋体"/>
          <w:spacing w:val="-31"/>
          <w:sz w:val="20"/>
          <w:szCs w:val="20"/>
        </w:rPr>
        <w:t xml:space="preserve"> </w:t>
      </w:r>
      <w:r>
        <w:rPr>
          <w:rFonts w:ascii="宋体" w:hAnsi="宋体" w:eastAsia="宋体" w:cs="宋体"/>
          <w:spacing w:val="-3"/>
          <w:sz w:val="20"/>
          <w:szCs w:val="20"/>
        </w:rPr>
        <w:t>年</w:t>
      </w:r>
      <w:r>
        <w:rPr>
          <w:rFonts w:ascii="宋体" w:hAnsi="宋体" w:eastAsia="宋体" w:cs="宋体"/>
          <w:spacing w:val="-24"/>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日起施行。</w:t>
      </w:r>
    </w:p>
    <w:p>
      <w:pPr>
        <w:spacing w:before="7" w:line="367" w:lineRule="auto"/>
        <w:ind w:left="10" w:right="41" w:firstLine="420"/>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w:t>
      </w:r>
      <w:r>
        <w:rPr>
          <w:rFonts w:ascii="宋体" w:hAnsi="宋体" w:eastAsia="宋体" w:cs="宋体"/>
          <w:spacing w:val="10"/>
          <w:sz w:val="20"/>
          <w:szCs w:val="20"/>
        </w:rPr>
        <w:t>的计算基础，也是我</w:t>
      </w:r>
      <w:r>
        <w:rPr>
          <w:rFonts w:ascii="宋体" w:hAnsi="宋体" w:eastAsia="宋体" w:cs="宋体"/>
          <w:spacing w:val="8"/>
          <w:sz w:val="20"/>
          <w:szCs w:val="20"/>
        </w:rPr>
        <w:t>市行政区域内国有投资项目编制最高投标限价的依据及投标报价、工程结算等</w:t>
      </w:r>
      <w:r>
        <w:rPr>
          <w:rFonts w:ascii="宋体" w:hAnsi="宋体" w:eastAsia="宋体" w:cs="宋体"/>
          <w:spacing w:val="7"/>
          <w:sz w:val="20"/>
          <w:szCs w:val="20"/>
        </w:rPr>
        <w:t>工程计价活动的参考。</w:t>
      </w:r>
    </w:p>
    <w:p>
      <w:pPr>
        <w:spacing w:line="278" w:lineRule="exact"/>
        <w:ind w:left="428"/>
        <w:rPr>
          <w:rFonts w:ascii="宋体" w:hAnsi="宋体" w:eastAsia="宋体" w:cs="宋体"/>
          <w:sz w:val="20"/>
          <w:szCs w:val="20"/>
        </w:rPr>
      </w:pPr>
      <w:r>
        <w:rPr>
          <w:rFonts w:ascii="宋体" w:hAnsi="宋体" w:eastAsia="宋体" w:cs="宋体"/>
          <w:b/>
          <w:bCs/>
          <w:spacing w:val="2"/>
          <w:position w:val="1"/>
          <w:sz w:val="20"/>
          <w:szCs w:val="20"/>
        </w:rPr>
        <w:t>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关于定额的适用范围</w:t>
      </w:r>
    </w:p>
    <w:p>
      <w:pPr>
        <w:spacing w:before="122" w:line="369" w:lineRule="auto"/>
        <w:ind w:left="7" w:right="118" w:firstLine="404"/>
        <w:jc w:val="both"/>
        <w:rPr>
          <w:rFonts w:ascii="宋体" w:hAnsi="宋体" w:eastAsia="宋体" w:cs="宋体"/>
          <w:sz w:val="20"/>
          <w:szCs w:val="20"/>
        </w:rPr>
      </w:pPr>
      <w:r>
        <w:rPr>
          <w:rFonts w:ascii="宋体" w:hAnsi="宋体" w:eastAsia="宋体" w:cs="宋体"/>
          <w:spacing w:val="10"/>
          <w:sz w:val="20"/>
          <w:szCs w:val="20"/>
        </w:rPr>
        <w:t>《山东省房屋修缮工程消耗量定额（建筑分册）</w:t>
      </w:r>
      <w:r>
        <w:rPr>
          <w:rFonts w:ascii="宋体" w:hAnsi="宋体" w:eastAsia="宋体" w:cs="宋体"/>
          <w:spacing w:val="-50"/>
          <w:sz w:val="20"/>
          <w:szCs w:val="20"/>
        </w:rPr>
        <w:t xml:space="preserve"> </w:t>
      </w:r>
      <w:r>
        <w:rPr>
          <w:rFonts w:ascii="宋体" w:hAnsi="宋体" w:eastAsia="宋体" w:cs="宋体"/>
          <w:spacing w:val="10"/>
          <w:sz w:val="20"/>
          <w:szCs w:val="20"/>
        </w:rPr>
        <w:t>》适用于一般工业厂房、公共建筑及民用建筑</w:t>
      </w:r>
      <w:r>
        <w:rPr>
          <w:rFonts w:ascii="宋体" w:hAnsi="宋体" w:eastAsia="宋体" w:cs="宋体"/>
          <w:spacing w:val="11"/>
          <w:sz w:val="20"/>
          <w:szCs w:val="20"/>
        </w:rPr>
        <w:t>的拆除、维修、改装、安装工程，适用于因地震或其他自然灾害造成房屋建筑</w:t>
      </w:r>
      <w:r>
        <w:rPr>
          <w:rFonts w:ascii="宋体" w:hAnsi="宋体" w:eastAsia="宋体" w:cs="宋体"/>
          <w:spacing w:val="10"/>
          <w:sz w:val="20"/>
          <w:szCs w:val="20"/>
        </w:rPr>
        <w:t>结构损坏的修复，也</w:t>
      </w:r>
      <w:r>
        <w:rPr>
          <w:rFonts w:ascii="宋体" w:hAnsi="宋体" w:eastAsia="宋体" w:cs="宋体"/>
          <w:spacing w:val="3"/>
          <w:sz w:val="20"/>
          <w:szCs w:val="20"/>
        </w:rPr>
        <w:t>适用于房屋建筑结构的改造、加固工程及老旧小区、危房改造等加固工程。添建项目执行</w:t>
      </w:r>
      <w:r>
        <w:rPr>
          <w:rFonts w:ascii="宋体" w:hAnsi="宋体" w:eastAsia="宋体" w:cs="宋体"/>
          <w:spacing w:val="-33"/>
          <w:sz w:val="20"/>
          <w:szCs w:val="20"/>
        </w:rPr>
        <w:t xml:space="preserve"> </w:t>
      </w:r>
      <w:r>
        <w:rPr>
          <w:rFonts w:ascii="宋体" w:hAnsi="宋体" w:eastAsia="宋体" w:cs="宋体"/>
          <w:spacing w:val="3"/>
          <w:sz w:val="20"/>
          <w:szCs w:val="20"/>
        </w:rPr>
        <w:t>2016</w:t>
      </w:r>
      <w:r>
        <w:rPr>
          <w:rFonts w:ascii="宋体" w:hAnsi="宋体" w:eastAsia="宋体" w:cs="宋体"/>
          <w:spacing w:val="-38"/>
          <w:sz w:val="20"/>
          <w:szCs w:val="20"/>
        </w:rPr>
        <w:t xml:space="preserve"> </w:t>
      </w:r>
      <w:r>
        <w:rPr>
          <w:rFonts w:ascii="宋体" w:hAnsi="宋体" w:eastAsia="宋体" w:cs="宋体"/>
          <w:spacing w:val="3"/>
          <w:sz w:val="20"/>
          <w:szCs w:val="20"/>
        </w:rPr>
        <w:t>版《山</w:t>
      </w:r>
      <w:r>
        <w:rPr>
          <w:rFonts w:ascii="宋体" w:hAnsi="宋体" w:eastAsia="宋体" w:cs="宋体"/>
          <w:spacing w:val="8"/>
          <w:sz w:val="20"/>
          <w:szCs w:val="20"/>
        </w:rPr>
        <w:t>东省建筑工程消耗量定额》。</w:t>
      </w:r>
    </w:p>
    <w:p>
      <w:pPr>
        <w:spacing w:line="365" w:lineRule="auto"/>
        <w:ind w:left="6" w:right="121" w:firstLine="404"/>
        <w:jc w:val="both"/>
        <w:rPr>
          <w:rFonts w:ascii="宋体" w:hAnsi="宋体" w:eastAsia="宋体" w:cs="宋体"/>
          <w:sz w:val="20"/>
          <w:szCs w:val="20"/>
        </w:rPr>
      </w:pPr>
      <w:r>
        <w:rPr>
          <w:rFonts w:ascii="宋体" w:hAnsi="宋体" w:eastAsia="宋体" w:cs="宋体"/>
          <w:spacing w:val="10"/>
          <w:sz w:val="20"/>
          <w:szCs w:val="20"/>
        </w:rPr>
        <w:t>《山东省房屋修缮工程消耗量定额（安装分册）</w:t>
      </w:r>
      <w:r>
        <w:rPr>
          <w:rFonts w:ascii="宋体" w:hAnsi="宋体" w:eastAsia="宋体" w:cs="宋体"/>
          <w:spacing w:val="-50"/>
          <w:sz w:val="20"/>
          <w:szCs w:val="20"/>
        </w:rPr>
        <w:t xml:space="preserve"> </w:t>
      </w:r>
      <w:r>
        <w:rPr>
          <w:rFonts w:ascii="宋体" w:hAnsi="宋体" w:eastAsia="宋体" w:cs="宋体"/>
          <w:spacing w:val="10"/>
          <w:sz w:val="20"/>
          <w:szCs w:val="20"/>
        </w:rPr>
        <w:t>》适用于已投入使用的一般工业及民用建筑附</w:t>
      </w:r>
      <w:r>
        <w:rPr>
          <w:rFonts w:ascii="宋体" w:hAnsi="宋体" w:eastAsia="宋体" w:cs="宋体"/>
          <w:spacing w:val="11"/>
          <w:sz w:val="20"/>
          <w:szCs w:val="20"/>
        </w:rPr>
        <w:t>属设备的拆除、维修、更换，不适用于临时工程和零星修理工程。工业设备拆除</w:t>
      </w:r>
      <w:r>
        <w:rPr>
          <w:rFonts w:ascii="宋体" w:hAnsi="宋体" w:eastAsia="宋体" w:cs="宋体"/>
          <w:spacing w:val="10"/>
          <w:sz w:val="20"/>
          <w:szCs w:val="20"/>
        </w:rPr>
        <w:t>、检修执行相关行</w:t>
      </w:r>
      <w:r>
        <w:rPr>
          <w:rFonts w:ascii="宋体" w:hAnsi="宋体" w:eastAsia="宋体" w:cs="宋体"/>
          <w:spacing w:val="6"/>
          <w:sz w:val="20"/>
          <w:szCs w:val="20"/>
        </w:rPr>
        <w:t>业定额。</w:t>
      </w:r>
    </w:p>
    <w:p>
      <w:pPr>
        <w:spacing w:line="365" w:lineRule="auto"/>
        <w:rPr>
          <w:rFonts w:ascii="宋体" w:hAnsi="宋体" w:eastAsia="宋体" w:cs="宋体"/>
          <w:sz w:val="20"/>
          <w:szCs w:val="20"/>
        </w:rPr>
        <w:sectPr>
          <w:footerReference r:id="rId164" w:type="default"/>
          <w:pgSz w:w="11906" w:h="16839"/>
          <w:pgMar w:top="400" w:right="1299" w:bottom="1212" w:left="1411"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2" w:firstLine="420"/>
        <w:rPr>
          <w:rFonts w:ascii="宋体" w:hAnsi="宋体" w:eastAsia="宋体" w:cs="宋体"/>
          <w:sz w:val="20"/>
          <w:szCs w:val="20"/>
        </w:rPr>
      </w:pPr>
      <w:r>
        <w:rPr>
          <w:rFonts w:ascii="宋体" w:hAnsi="宋体" w:eastAsia="宋体" w:cs="宋体"/>
          <w:spacing w:val="8"/>
          <w:sz w:val="20"/>
          <w:szCs w:val="20"/>
        </w:rPr>
        <w:t>房屋修缮工程中拆除后的安装项目，使用《山东省安装工程消耗量定额》</w:t>
      </w:r>
      <w:r>
        <w:rPr>
          <w:rFonts w:ascii="宋体" w:hAnsi="宋体" w:eastAsia="宋体" w:cs="宋体"/>
          <w:spacing w:val="7"/>
          <w:sz w:val="20"/>
          <w:szCs w:val="20"/>
        </w:rPr>
        <w:t>相应项目，定额人工、</w:t>
      </w:r>
      <w:r>
        <w:rPr>
          <w:rFonts w:ascii="宋体" w:hAnsi="宋体" w:eastAsia="宋体" w:cs="宋体"/>
          <w:spacing w:val="-1"/>
          <w:sz w:val="20"/>
          <w:szCs w:val="20"/>
        </w:rPr>
        <w:t>机械乘以系数</w:t>
      </w:r>
      <w:r>
        <w:rPr>
          <w:rFonts w:ascii="宋体" w:hAnsi="宋体" w:eastAsia="宋体" w:cs="宋体"/>
          <w:spacing w:val="-21"/>
          <w:sz w:val="20"/>
          <w:szCs w:val="20"/>
        </w:rPr>
        <w:t xml:space="preserve"> </w:t>
      </w:r>
      <w:r>
        <w:rPr>
          <w:rFonts w:ascii="宋体" w:hAnsi="宋体" w:eastAsia="宋体" w:cs="宋体"/>
          <w:spacing w:val="-1"/>
          <w:sz w:val="20"/>
          <w:szCs w:val="20"/>
        </w:rPr>
        <w:t>1.10。</w:t>
      </w:r>
    </w:p>
    <w:p>
      <w:pPr>
        <w:spacing w:before="2" w:line="279" w:lineRule="exact"/>
        <w:ind w:left="424"/>
        <w:rPr>
          <w:rFonts w:ascii="宋体" w:hAnsi="宋体" w:eastAsia="宋体" w:cs="宋体"/>
          <w:sz w:val="20"/>
          <w:szCs w:val="20"/>
        </w:rPr>
      </w:pPr>
      <w:r>
        <w:rPr>
          <w:rFonts w:ascii="宋体" w:hAnsi="宋体" w:eastAsia="宋体" w:cs="宋体"/>
          <w:b/>
          <w:bCs/>
          <w:spacing w:val="1"/>
          <w:position w:val="1"/>
          <w:sz w:val="20"/>
          <w:szCs w:val="20"/>
        </w:rPr>
        <w:t>8.</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0" w:line="369" w:lineRule="auto"/>
        <w:ind w:left="1" w:right="80"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w:t>
      </w:r>
      <w:r>
        <w:rPr>
          <w:rFonts w:ascii="宋体" w:hAnsi="宋体" w:eastAsia="宋体" w:cs="宋体"/>
          <w:spacing w:val="12"/>
          <w:sz w:val="20"/>
          <w:szCs w:val="20"/>
        </w:rPr>
        <w:t>》（鲁建标字〔2022〕7</w:t>
      </w:r>
      <w:r>
        <w:rPr>
          <w:rFonts w:ascii="宋体" w:hAnsi="宋体" w:eastAsia="宋体" w:cs="宋体"/>
          <w:spacing w:val="11"/>
          <w:sz w:val="20"/>
          <w:szCs w:val="20"/>
        </w:rPr>
        <w:t>号）文件执行，其中安全文明施工费费率执行山东省住房和城乡建设厅《关于调整</w:t>
      </w:r>
      <w:r>
        <w:rPr>
          <w:rFonts w:ascii="宋体" w:hAnsi="宋体" w:eastAsia="宋体" w:cs="宋体"/>
          <w:spacing w:val="10"/>
          <w:sz w:val="20"/>
          <w:szCs w:val="20"/>
        </w:rPr>
        <w:t>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line="277" w:lineRule="exact"/>
        <w:ind w:left="412"/>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7"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7" w:lineRule="exact"/>
        <w:ind w:left="412"/>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6"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8" w:lineRule="exact"/>
        <w:ind w:left="412"/>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7" w:line="223" w:lineRule="auto"/>
        <w:ind w:left="426"/>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3" w:line="276" w:lineRule="exact"/>
        <w:ind w:left="412"/>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3" w:line="368" w:lineRule="auto"/>
        <w:ind w:right="80"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2"/>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8" w:line="278" w:lineRule="exact"/>
        <w:ind w:left="412"/>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20" w:line="369" w:lineRule="auto"/>
        <w:ind w:left="1" w:right="80"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2" w:line="276" w:lineRule="exact"/>
        <w:ind w:left="633"/>
        <w:rPr>
          <w:rFonts w:ascii="宋体" w:hAnsi="宋体" w:eastAsia="宋体" w:cs="宋体"/>
          <w:sz w:val="20"/>
          <w:szCs w:val="20"/>
        </w:rPr>
      </w:pPr>
      <w:r>
        <w:rPr>
          <w:rFonts w:ascii="宋体" w:hAnsi="宋体" w:eastAsia="宋体" w:cs="宋体"/>
          <w:b/>
          <w:bCs/>
          <w:spacing w:val="4"/>
          <w:position w:val="1"/>
          <w:sz w:val="20"/>
          <w:szCs w:val="20"/>
        </w:rPr>
        <w:t>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关于工程建设人工材料价格风险控制</w:t>
      </w:r>
    </w:p>
    <w:p>
      <w:pPr>
        <w:spacing w:before="123" w:line="368" w:lineRule="auto"/>
        <w:ind w:left="1" w:right="83" w:firstLine="410"/>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7"/>
          <w:sz w:val="20"/>
          <w:szCs w:val="20"/>
        </w:rPr>
        <w:t xml:space="preserve"> </w:t>
      </w:r>
      <w:r>
        <w:rPr>
          <w:rFonts w:ascii="宋体" w:hAnsi="宋体" w:eastAsia="宋体" w:cs="宋体"/>
          <w:spacing w:val="6"/>
          <w:sz w:val="20"/>
          <w:szCs w:val="20"/>
        </w:rPr>
        <w:t>1）2019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1"/>
          <w:sz w:val="20"/>
          <w:szCs w:val="20"/>
        </w:rPr>
        <w:t xml:space="preserve"> </w:t>
      </w:r>
      <w:r>
        <w:rPr>
          <w:rFonts w:ascii="宋体" w:hAnsi="宋体" w:eastAsia="宋体" w:cs="宋体"/>
          <w:spacing w:val="6"/>
          <w:sz w:val="20"/>
          <w:szCs w:val="20"/>
        </w:rPr>
        <w:t>9</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16 日，山东省住房</w:t>
      </w:r>
      <w:r>
        <w:rPr>
          <w:rFonts w:ascii="宋体" w:hAnsi="宋体" w:eastAsia="宋体" w:cs="宋体"/>
          <w:spacing w:val="5"/>
          <w:sz w:val="20"/>
          <w:szCs w:val="20"/>
        </w:rPr>
        <w:t>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6" w:line="224" w:lineRule="auto"/>
        <w:ind w:left="42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3" w:line="277"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before="123" w:line="345" w:lineRule="auto"/>
        <w:ind w:right="124" w:firstLine="420"/>
        <w:rPr>
          <w:rFonts w:ascii="宋体" w:hAnsi="宋体" w:eastAsia="宋体" w:cs="宋体"/>
          <w:sz w:val="20"/>
          <w:szCs w:val="20"/>
        </w:rPr>
      </w:pPr>
      <w:r>
        <w:rPr>
          <w:rFonts w:ascii="宋体" w:hAnsi="宋体" w:eastAsia="宋体" w:cs="宋体"/>
          <w:spacing w:val="10"/>
          <w:sz w:val="20"/>
          <w:szCs w:val="20"/>
        </w:rPr>
        <w:t>①设区市建设主管部门发布市定额人工市场指导单价的：市建设主管部门调增</w:t>
      </w:r>
      <w:r>
        <w:rPr>
          <w:rFonts w:ascii="宋体" w:hAnsi="宋体" w:eastAsia="宋体" w:cs="宋体"/>
          <w:spacing w:val="9"/>
          <w:sz w:val="20"/>
          <w:szCs w:val="20"/>
        </w:rPr>
        <w:t>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60" w:line="312" w:lineRule="auto"/>
        <w:ind w:left="1" w:right="80"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before="124" w:line="392" w:lineRule="auto"/>
        <w:ind w:left="1" w:right="124" w:firstLine="423"/>
        <w:rPr>
          <w:rFonts w:ascii="宋体" w:hAnsi="宋体" w:eastAsia="宋体" w:cs="宋体"/>
          <w:sz w:val="20"/>
          <w:szCs w:val="20"/>
        </w:rPr>
      </w:pPr>
      <w:r>
        <w:rPr>
          <w:rFonts w:ascii="宋体" w:hAnsi="宋体" w:eastAsia="宋体" w:cs="宋体"/>
          <w:spacing w:val="9"/>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w:t>
      </w:r>
      <w:r>
        <w:rPr>
          <w:rFonts w:ascii="宋体" w:hAnsi="宋体" w:eastAsia="宋体" w:cs="宋体"/>
          <w:spacing w:val="8"/>
          <w:sz w:val="20"/>
          <w:szCs w:val="20"/>
        </w:rPr>
        <w:t>完成的工程量，各项以省价人</w:t>
      </w:r>
      <w:r>
        <w:rPr>
          <w:rFonts w:ascii="宋体" w:hAnsi="宋体" w:eastAsia="宋体" w:cs="宋体"/>
          <w:spacing w:val="9"/>
          <w:sz w:val="20"/>
          <w:szCs w:val="20"/>
        </w:rPr>
        <w:t>工费（或省价人机费）为基础计取的费用同时进行调整。</w:t>
      </w:r>
    </w:p>
    <w:p>
      <w:pPr>
        <w:spacing w:line="392" w:lineRule="auto"/>
        <w:rPr>
          <w:rFonts w:ascii="宋体" w:hAnsi="宋体" w:eastAsia="宋体" w:cs="宋体"/>
          <w:sz w:val="20"/>
          <w:szCs w:val="20"/>
        </w:rPr>
        <w:sectPr>
          <w:footerReference r:id="rId165" w:type="default"/>
          <w:pgSz w:w="11906" w:h="16839"/>
          <w:pgMar w:top="400" w:right="1337" w:bottom="1212" w:left="1419"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430"/>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4" w:line="276" w:lineRule="exact"/>
        <w:ind w:left="429"/>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4" w:line="366" w:lineRule="auto"/>
        <w:ind w:left="8" w:right="43" w:firstLine="420"/>
        <w:rPr>
          <w:rFonts w:ascii="宋体" w:hAnsi="宋体" w:eastAsia="宋体" w:cs="宋体"/>
          <w:sz w:val="20"/>
          <w:szCs w:val="20"/>
        </w:rPr>
      </w:pPr>
      <w:r>
        <w:rPr>
          <w:rFonts w:ascii="宋体" w:hAnsi="宋体" w:eastAsia="宋体" w:cs="宋体"/>
          <w:spacing w:val="10"/>
          <w:sz w:val="20"/>
          <w:szCs w:val="20"/>
        </w:rPr>
        <w:t>二是合同未对材料价格风险进行约定或约定不具体的，发承包双方按照以下</w:t>
      </w:r>
      <w:r>
        <w:rPr>
          <w:rFonts w:ascii="宋体" w:hAnsi="宋体" w:eastAsia="宋体" w:cs="宋体"/>
          <w:spacing w:val="9"/>
          <w:sz w:val="20"/>
          <w:szCs w:val="20"/>
        </w:rPr>
        <w:t>原则协商调整工程</w:t>
      </w:r>
      <w:r>
        <w:rPr>
          <w:rFonts w:ascii="宋体" w:hAnsi="宋体" w:eastAsia="宋体" w:cs="宋体"/>
          <w:spacing w:val="4"/>
          <w:sz w:val="20"/>
          <w:szCs w:val="20"/>
        </w:rPr>
        <w:t>造价：</w:t>
      </w:r>
    </w:p>
    <w:p>
      <w:pPr>
        <w:spacing w:before="5" w:line="313" w:lineRule="auto"/>
        <w:ind w:left="12" w:firstLine="478"/>
        <w:rPr>
          <w:rFonts w:ascii="宋体" w:hAnsi="宋体" w:eastAsia="宋体" w:cs="宋体"/>
          <w:sz w:val="20"/>
          <w:szCs w:val="20"/>
        </w:rPr>
      </w:pPr>
      <w:r>
        <w:rPr>
          <w:rFonts w:ascii="宋体" w:hAnsi="宋体" w:eastAsia="宋体" w:cs="宋体"/>
          <w:spacing w:val="9"/>
          <w:sz w:val="20"/>
          <w:szCs w:val="20"/>
        </w:rPr>
        <w:t>①调整的范围限定于主要材料。主要材料是指用量较大、占工程造价比例较高的材料，包括的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2" w:line="332" w:lineRule="auto"/>
        <w:ind w:left="8" w:right="2" w:firstLine="482"/>
        <w:rPr>
          <w:rFonts w:ascii="宋体" w:hAnsi="宋体" w:eastAsia="宋体" w:cs="宋体"/>
          <w:sz w:val="20"/>
          <w:szCs w:val="20"/>
        </w:rPr>
      </w:pPr>
      <w:r>
        <w:rPr>
          <w:rFonts w:ascii="宋体" w:hAnsi="宋体" w:eastAsia="宋体" w:cs="宋体"/>
          <w:spacing w:val="9"/>
          <w:sz w:val="20"/>
          <w:szCs w:val="20"/>
        </w:rPr>
        <w:t>②金属材料、木材、水泥、混凝土、沥青混凝土、预制构件、砂浆、砖、瓦、砂子、碎石、石</w:t>
      </w:r>
      <w:r>
        <w:rPr>
          <w:rFonts w:ascii="宋体" w:hAnsi="宋体" w:eastAsia="宋体" w:cs="宋体"/>
          <w:spacing w:val="10"/>
          <w:sz w:val="20"/>
          <w:szCs w:val="20"/>
        </w:rPr>
        <w:t>灰、石材、防水材料、防腐材料、玻璃、保温材料、门窗、面砖、管材、管件、阀门、电线电缆、</w:t>
      </w:r>
      <w:r>
        <w:rPr>
          <w:rFonts w:ascii="宋体" w:hAnsi="宋体" w:eastAsia="宋体" w:cs="宋体"/>
          <w:spacing w:val="9"/>
          <w:sz w:val="20"/>
          <w:szCs w:val="20"/>
        </w:rPr>
        <w:t>灯具、卫生洁具、散热器、苗木、花卉等。</w:t>
      </w:r>
    </w:p>
    <w:p>
      <w:pPr>
        <w:spacing w:before="120" w:line="276" w:lineRule="exact"/>
        <w:ind w:left="491"/>
        <w:rPr>
          <w:rFonts w:ascii="宋体" w:hAnsi="宋体" w:eastAsia="宋体" w:cs="宋体"/>
          <w:sz w:val="20"/>
          <w:szCs w:val="20"/>
        </w:rPr>
      </w:pPr>
      <w:r>
        <w:rPr>
          <w:rFonts w:ascii="宋体" w:hAnsi="宋体" w:eastAsia="宋体" w:cs="宋体"/>
          <w:spacing w:val="11"/>
          <w:position w:val="1"/>
          <w:sz w:val="20"/>
          <w:szCs w:val="20"/>
        </w:rPr>
        <w:t>③合同价中单种材料合价占单位工程造价比</w:t>
      </w:r>
      <w:r>
        <w:rPr>
          <w:rFonts w:ascii="宋体" w:hAnsi="宋体" w:eastAsia="宋体" w:cs="宋体"/>
          <w:spacing w:val="10"/>
          <w:position w:val="1"/>
          <w:sz w:val="20"/>
          <w:szCs w:val="20"/>
        </w:rPr>
        <w:t>例在</w:t>
      </w:r>
      <w:r>
        <w:rPr>
          <w:rFonts w:ascii="宋体" w:hAnsi="宋体" w:eastAsia="宋体" w:cs="宋体"/>
          <w:spacing w:val="-25"/>
          <w:position w:val="1"/>
          <w:sz w:val="20"/>
          <w:szCs w:val="20"/>
        </w:rPr>
        <w:t xml:space="preserve"> </w:t>
      </w:r>
      <w:r>
        <w:rPr>
          <w:rFonts w:ascii="宋体" w:hAnsi="宋体" w:eastAsia="宋体" w:cs="宋体"/>
          <w:spacing w:val="10"/>
          <w:position w:val="1"/>
          <w:sz w:val="20"/>
          <w:szCs w:val="20"/>
        </w:rPr>
        <w:t>1%及以上的材料。</w:t>
      </w:r>
    </w:p>
    <w:p>
      <w:pPr>
        <w:spacing w:before="125" w:line="276" w:lineRule="exact"/>
        <w:ind w:left="491"/>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5" w:line="366" w:lineRule="auto"/>
        <w:ind w:left="11" w:right="62"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5" w:line="368" w:lineRule="auto"/>
        <w:ind w:left="10"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5" w:line="276" w:lineRule="exact"/>
        <w:ind w:left="430"/>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4" w:line="363" w:lineRule="auto"/>
        <w:ind w:firstLine="420"/>
        <w:jc w:val="both"/>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39"/>
          <w:sz w:val="20"/>
          <w:szCs w:val="20"/>
        </w:rPr>
        <w:t xml:space="preserve"> </w:t>
      </w:r>
      <w:r>
        <w:rPr>
          <w:rFonts w:ascii="宋体" w:hAnsi="宋体" w:eastAsia="宋体" w:cs="宋体"/>
          <w:spacing w:val="9"/>
          <w:sz w:val="20"/>
          <w:szCs w:val="20"/>
        </w:rPr>
        <w:t>号）。文件规定：发承包双方已签定施工合同的，若主要建筑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5"/>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47" w:line="277" w:lineRule="exact"/>
        <w:ind w:left="509"/>
        <w:rPr>
          <w:rFonts w:ascii="宋体" w:hAnsi="宋体" w:eastAsia="宋体" w:cs="宋体"/>
          <w:sz w:val="20"/>
          <w:szCs w:val="20"/>
        </w:rPr>
      </w:pPr>
      <w:r>
        <w:rPr>
          <w:rFonts w:ascii="宋体" w:hAnsi="宋体" w:eastAsia="宋体" w:cs="宋体"/>
          <w:b/>
          <w:bCs/>
          <w:spacing w:val="-1"/>
          <w:position w:val="1"/>
          <w:sz w:val="20"/>
          <w:szCs w:val="20"/>
        </w:rPr>
        <w:t>10.</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4" w:line="368" w:lineRule="auto"/>
        <w:ind w:left="9" w:right="3"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before="4" w:line="277"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1"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4" w:line="277"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w:t>
      </w:r>
      <w:r>
        <w:rPr>
          <w:rFonts w:ascii="宋体" w:hAnsi="宋体" w:eastAsia="宋体" w:cs="宋体"/>
          <w:spacing w:val="9"/>
          <w:position w:val="1"/>
          <w:sz w:val="20"/>
          <w:szCs w:val="20"/>
        </w:rPr>
        <w:t>由施工单位支付的检验试验费用；</w:t>
      </w:r>
    </w:p>
    <w:p>
      <w:pPr>
        <w:spacing w:before="122" w:line="277" w:lineRule="exact"/>
        <w:ind w:left="420"/>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4" w:line="276" w:lineRule="exact"/>
        <w:ind w:right="3"/>
        <w:jc w:val="right"/>
        <w:rPr>
          <w:rFonts w:ascii="宋体" w:hAnsi="宋体" w:eastAsia="宋体" w:cs="宋体"/>
          <w:sz w:val="20"/>
          <w:szCs w:val="20"/>
        </w:rPr>
      </w:pPr>
      <w:r>
        <w:rPr>
          <w:rFonts w:ascii="宋体" w:hAnsi="宋体" w:eastAsia="宋体" w:cs="宋体"/>
          <w:spacing w:val="11"/>
          <w:position w:val="1"/>
          <w:sz w:val="20"/>
          <w:szCs w:val="20"/>
        </w:rPr>
        <w:t>对施工单位提供的、具有检验合格证明的材料，建设单位要求再次检验且经检测</w:t>
      </w:r>
      <w:r>
        <w:rPr>
          <w:rFonts w:ascii="宋体" w:hAnsi="宋体" w:eastAsia="宋体" w:cs="宋体"/>
          <w:spacing w:val="10"/>
          <w:position w:val="1"/>
          <w:sz w:val="20"/>
          <w:szCs w:val="20"/>
        </w:rPr>
        <w:t>不合格的，检</w:t>
      </w:r>
    </w:p>
    <w:p>
      <w:pPr>
        <w:spacing w:line="276" w:lineRule="exact"/>
        <w:rPr>
          <w:rFonts w:ascii="宋体" w:hAnsi="宋体" w:eastAsia="宋体" w:cs="宋体"/>
          <w:sz w:val="20"/>
          <w:szCs w:val="20"/>
        </w:rPr>
        <w:sectPr>
          <w:footerReference r:id="rId166" w:type="default"/>
          <w:pgSz w:w="11906" w:h="16839"/>
          <w:pgMar w:top="400" w:right="1417" w:bottom="1212" w:left="1411"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220" w:lineRule="auto"/>
        <w:ind w:left="1"/>
        <w:rPr>
          <w:rFonts w:ascii="宋体" w:hAnsi="宋体" w:eastAsia="宋体" w:cs="宋体"/>
          <w:sz w:val="20"/>
          <w:szCs w:val="20"/>
        </w:rPr>
      </w:pPr>
      <w:r>
        <w:rPr>
          <w:rFonts w:ascii="宋体" w:hAnsi="宋体" w:eastAsia="宋体" w:cs="宋体"/>
          <w:spacing w:val="9"/>
          <w:sz w:val="20"/>
          <w:szCs w:val="20"/>
        </w:rPr>
        <w:t>测费用由施工单位承担，不计入工程造价。</w:t>
      </w:r>
    </w:p>
    <w:p>
      <w:pPr>
        <w:spacing w:before="157" w:line="277" w:lineRule="exact"/>
        <w:ind w:left="440"/>
        <w:rPr>
          <w:rFonts w:ascii="宋体" w:hAnsi="宋体" w:eastAsia="宋体" w:cs="宋体"/>
          <w:sz w:val="20"/>
          <w:szCs w:val="20"/>
        </w:rPr>
      </w:pPr>
      <w:r>
        <w:rPr>
          <w:rFonts w:ascii="宋体" w:hAnsi="宋体" w:eastAsia="宋体" w:cs="宋体"/>
          <w:b/>
          <w:bCs/>
          <w:spacing w:val="-1"/>
          <w:position w:val="1"/>
          <w:sz w:val="20"/>
          <w:szCs w:val="20"/>
        </w:rPr>
        <w:t>11.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24" w:line="349" w:lineRule="auto"/>
        <w:ind w:left="2"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42" w:line="277" w:lineRule="exact"/>
        <w:ind w:left="423"/>
        <w:rPr>
          <w:rFonts w:ascii="宋体" w:hAnsi="宋体" w:eastAsia="宋体" w:cs="宋体"/>
          <w:sz w:val="20"/>
          <w:szCs w:val="20"/>
        </w:rPr>
      </w:pPr>
      <w:r>
        <w:rPr>
          <w:rFonts w:ascii="宋体" w:hAnsi="宋体" w:eastAsia="宋体" w:cs="宋体"/>
          <w:spacing w:val="8"/>
          <w:position w:val="1"/>
          <w:sz w:val="20"/>
          <w:szCs w:val="20"/>
        </w:rPr>
        <w:t>房屋修缮工程材料的采购及保管费率为2.5</w:t>
      </w:r>
      <w:r>
        <w:rPr>
          <w:rFonts w:ascii="宋体" w:hAnsi="宋体" w:eastAsia="宋体" w:cs="宋体"/>
          <w:spacing w:val="-21"/>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21"/>
          <w:position w:val="1"/>
          <w:sz w:val="20"/>
          <w:szCs w:val="20"/>
        </w:rPr>
        <w:t>，</w:t>
      </w:r>
      <w:r>
        <w:rPr>
          <w:rFonts w:ascii="宋体" w:hAnsi="宋体" w:eastAsia="宋体" w:cs="宋体"/>
          <w:spacing w:val="8"/>
          <w:position w:val="1"/>
          <w:sz w:val="20"/>
          <w:szCs w:val="20"/>
        </w:rPr>
        <w:t>设备的采购及保管费率为</w:t>
      </w:r>
      <w:r>
        <w:rPr>
          <w:rFonts w:ascii="宋体" w:hAnsi="宋体" w:eastAsia="宋体" w:cs="宋体"/>
          <w:spacing w:val="-25"/>
          <w:position w:val="1"/>
          <w:sz w:val="20"/>
          <w:szCs w:val="20"/>
        </w:rPr>
        <w:t xml:space="preserve"> </w:t>
      </w:r>
      <w:r>
        <w:rPr>
          <w:rFonts w:ascii="宋体" w:hAnsi="宋体" w:eastAsia="宋体" w:cs="宋体"/>
          <w:spacing w:val="8"/>
          <w:position w:val="1"/>
          <w:sz w:val="20"/>
          <w:szCs w:val="20"/>
        </w:rPr>
        <w:t>1</w:t>
      </w:r>
      <w:r>
        <w:rPr>
          <w:rFonts w:ascii="宋体" w:hAnsi="宋体" w:eastAsia="宋体" w:cs="宋体"/>
          <w:spacing w:val="7"/>
          <w:position w:val="1"/>
          <w:sz w:val="20"/>
          <w:szCs w:val="20"/>
        </w:rPr>
        <w:t>％。</w:t>
      </w:r>
    </w:p>
    <w:p>
      <w:pPr>
        <w:spacing w:before="123" w:line="277" w:lineRule="exact"/>
        <w:ind w:left="423"/>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2" w:line="297" w:lineRule="auto"/>
        <w:ind w:left="1" w:firstLine="420"/>
        <w:rPr>
          <w:rFonts w:ascii="宋体" w:hAnsi="宋体" w:eastAsia="宋体" w:cs="宋体"/>
          <w:sz w:val="20"/>
          <w:szCs w:val="20"/>
        </w:rPr>
      </w:pPr>
      <w:r>
        <w:rPr>
          <w:rFonts w:ascii="宋体" w:hAnsi="宋体" w:eastAsia="宋体" w:cs="宋体"/>
          <w:spacing w:val="11"/>
          <w:sz w:val="20"/>
          <w:szCs w:val="20"/>
        </w:rPr>
        <w:t>①建设单位采购、付款、供应至施工现场、并自行保管，施工单位随用随领，采购</w:t>
      </w:r>
      <w:r>
        <w:rPr>
          <w:rFonts w:ascii="宋体" w:hAnsi="宋体" w:eastAsia="宋体" w:cs="宋体"/>
          <w:spacing w:val="10"/>
          <w:sz w:val="20"/>
          <w:szCs w:val="20"/>
        </w:rPr>
        <w:t>及保管费全</w:t>
      </w:r>
      <w:r>
        <w:rPr>
          <w:rFonts w:ascii="宋体" w:hAnsi="宋体" w:eastAsia="宋体" w:cs="宋体"/>
          <w:spacing w:val="7"/>
          <w:sz w:val="20"/>
          <w:szCs w:val="20"/>
        </w:rPr>
        <w:t>部归建设单位。</w:t>
      </w:r>
    </w:p>
    <w:p>
      <w:pPr>
        <w:spacing w:before="159" w:line="331" w:lineRule="auto"/>
        <w:ind w:left="1" w:right="43" w:firstLine="420"/>
        <w:rPr>
          <w:rFonts w:ascii="宋体" w:hAnsi="宋体" w:eastAsia="宋体" w:cs="宋体"/>
          <w:sz w:val="20"/>
          <w:szCs w:val="20"/>
        </w:rPr>
      </w:pPr>
      <w:r>
        <w:rPr>
          <w:rFonts w:ascii="宋体" w:hAnsi="宋体" w:eastAsia="宋体" w:cs="宋体"/>
          <w:spacing w:val="10"/>
          <w:sz w:val="20"/>
          <w:szCs w:val="20"/>
        </w:rPr>
        <w:t>②建设单位采购、付款、供应至施工现场，交由施工单位保管，建设单位计取</w:t>
      </w:r>
      <w:r>
        <w:rPr>
          <w:rFonts w:ascii="宋体" w:hAnsi="宋体" w:eastAsia="宋体" w:cs="宋体"/>
          <w:spacing w:val="9"/>
          <w:sz w:val="20"/>
          <w:szCs w:val="20"/>
        </w:rPr>
        <w:t>采购及保管费的</w:t>
      </w:r>
      <w:r>
        <w:rPr>
          <w:rFonts w:ascii="宋体" w:hAnsi="宋体" w:eastAsia="宋体" w:cs="宋体"/>
          <w:spacing w:val="10"/>
          <w:sz w:val="20"/>
          <w:szCs w:val="20"/>
        </w:rPr>
        <w:t>60</w:t>
      </w:r>
      <w:r>
        <w:rPr>
          <w:rFonts w:ascii="宋体" w:hAnsi="宋体" w:eastAsia="宋体" w:cs="宋体"/>
          <w:spacing w:val="-18"/>
          <w:sz w:val="20"/>
          <w:szCs w:val="20"/>
        </w:rPr>
        <w:t>％</w:t>
      </w:r>
      <w:r>
        <w:rPr>
          <w:rFonts w:ascii="宋体" w:hAnsi="宋体" w:eastAsia="宋体" w:cs="宋体"/>
          <w:spacing w:val="-36"/>
          <w:sz w:val="20"/>
          <w:szCs w:val="20"/>
        </w:rPr>
        <w:t xml:space="preserve"> </w:t>
      </w:r>
      <w:r>
        <w:rPr>
          <w:rFonts w:ascii="宋体" w:hAnsi="宋体" w:eastAsia="宋体" w:cs="宋体"/>
          <w:spacing w:val="-18"/>
          <w:sz w:val="20"/>
          <w:szCs w:val="20"/>
        </w:rPr>
        <w:t>，</w:t>
      </w:r>
      <w:r>
        <w:rPr>
          <w:rFonts w:ascii="宋体" w:hAnsi="宋体" w:eastAsia="宋体" w:cs="宋体"/>
          <w:spacing w:val="10"/>
          <w:sz w:val="20"/>
          <w:szCs w:val="20"/>
        </w:rPr>
        <w:t>施工单位计取40％</w:t>
      </w:r>
      <w:r>
        <w:rPr>
          <w:rFonts w:ascii="宋体" w:hAnsi="宋体" w:eastAsia="宋体" w:cs="宋体"/>
          <w:spacing w:val="-49"/>
          <w:sz w:val="20"/>
          <w:szCs w:val="20"/>
        </w:rPr>
        <w:t xml:space="preserve"> </w:t>
      </w:r>
      <w:r>
        <w:rPr>
          <w:rFonts w:ascii="宋体" w:hAnsi="宋体" w:eastAsia="宋体" w:cs="宋体"/>
          <w:spacing w:val="10"/>
          <w:sz w:val="20"/>
          <w:szCs w:val="20"/>
        </w:rPr>
        <w:t>。建设单位采购并付款，交提货单由施工企业提运时施工单位计取60%</w:t>
      </w:r>
      <w:r>
        <w:rPr>
          <w:rFonts w:ascii="宋体" w:hAnsi="宋体" w:eastAsia="宋体" w:cs="宋体"/>
          <w:spacing w:val="-36"/>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23" w:line="223" w:lineRule="auto"/>
        <w:ind w:left="421"/>
        <w:rPr>
          <w:rFonts w:ascii="宋体" w:hAnsi="宋体" w:eastAsia="宋体" w:cs="宋体"/>
          <w:sz w:val="20"/>
          <w:szCs w:val="20"/>
        </w:rPr>
      </w:pPr>
      <w:r>
        <w:rPr>
          <w:rFonts w:ascii="宋体" w:hAnsi="宋体" w:eastAsia="宋体" w:cs="宋体"/>
          <w:spacing w:val="10"/>
          <w:sz w:val="20"/>
          <w:szCs w:val="20"/>
        </w:rPr>
        <w:t>③施工单位采购、付款、供应至施工现场，并自行保</w:t>
      </w:r>
      <w:r>
        <w:rPr>
          <w:rFonts w:ascii="宋体" w:hAnsi="宋体" w:eastAsia="宋体" w:cs="宋体"/>
          <w:spacing w:val="9"/>
          <w:sz w:val="20"/>
          <w:szCs w:val="20"/>
        </w:rPr>
        <w:t>管、采购及保管费全部归施工单位。</w:t>
      </w:r>
    </w:p>
    <w:p>
      <w:pPr>
        <w:spacing w:before="156" w:line="298" w:lineRule="auto"/>
        <w:ind w:left="3" w:firstLine="419"/>
        <w:rPr>
          <w:rFonts w:ascii="宋体" w:hAnsi="宋体" w:eastAsia="宋体" w:cs="宋体"/>
          <w:sz w:val="20"/>
          <w:szCs w:val="20"/>
        </w:rPr>
      </w:pPr>
      <w:r>
        <w:rPr>
          <w:rFonts w:ascii="宋体" w:hAnsi="宋体" w:eastAsia="宋体" w:cs="宋体"/>
          <w:spacing w:val="9"/>
          <w:sz w:val="20"/>
          <w:szCs w:val="20"/>
        </w:rPr>
        <w:t>20</w:t>
      </w:r>
      <w:r>
        <w:rPr>
          <w:rFonts w:ascii="宋体" w:hAnsi="宋体" w:eastAsia="宋体" w:cs="宋体"/>
          <w:spacing w:val="-33"/>
          <w:sz w:val="20"/>
          <w:szCs w:val="20"/>
        </w:rPr>
        <w:t xml:space="preserve"> </w:t>
      </w:r>
      <w:r>
        <w:rPr>
          <w:rFonts w:ascii="宋体" w:hAnsi="宋体" w:eastAsia="宋体" w:cs="宋体"/>
          <w:spacing w:val="9"/>
          <w:sz w:val="20"/>
          <w:szCs w:val="20"/>
        </w:rPr>
        <w:t>消耗量定额《山东省房屋修缮工程价目表》材料价格取定表中的材料单价，已包括采购及保</w:t>
      </w:r>
      <w:r>
        <w:rPr>
          <w:rFonts w:ascii="宋体" w:hAnsi="宋体" w:eastAsia="宋体" w:cs="宋体"/>
          <w:spacing w:val="3"/>
          <w:sz w:val="20"/>
          <w:szCs w:val="20"/>
        </w:rPr>
        <w:t>管费。</w:t>
      </w:r>
    </w:p>
    <w:p>
      <w:pPr>
        <w:spacing w:before="156" w:line="366" w:lineRule="auto"/>
        <w:ind w:left="7"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6" w:line="278" w:lineRule="exact"/>
        <w:ind w:left="440"/>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3" w:line="321" w:lineRule="auto"/>
        <w:ind w:left="4" w:firstLine="408"/>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4"/>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半径范围内，并设有水、电计量表。建设单位不能按上述要求</w:t>
      </w:r>
      <w:r>
        <w:rPr>
          <w:rFonts w:ascii="宋体" w:hAnsi="宋体" w:eastAsia="宋体" w:cs="宋体"/>
          <w:spacing w:val="9"/>
          <w:sz w:val="20"/>
          <w:szCs w:val="20"/>
        </w:rPr>
        <w:t>提供时，施工单位依据经过批准的施工组织设计，按相应规定另行单独计算费用。</w:t>
      </w:r>
    </w:p>
    <w:p>
      <w:pPr>
        <w:spacing w:before="157" w:line="278"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19" w:line="297" w:lineRule="auto"/>
        <w:ind w:right="2"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9" w:line="277"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2" w:line="278" w:lineRule="exact"/>
        <w:ind w:left="440"/>
        <w:rPr>
          <w:rFonts w:ascii="宋体" w:hAnsi="宋体" w:eastAsia="宋体" w:cs="宋体"/>
          <w:sz w:val="20"/>
          <w:szCs w:val="20"/>
        </w:rPr>
      </w:pPr>
      <w:r>
        <w:rPr>
          <w:rFonts w:ascii="宋体" w:hAnsi="宋体" w:eastAsia="宋体" w:cs="宋体"/>
          <w:b/>
          <w:bCs/>
          <w:spacing w:val="2"/>
          <w:position w:val="1"/>
          <w:sz w:val="20"/>
          <w:szCs w:val="20"/>
        </w:rPr>
        <w:t>13.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关于建筑垃圾清理运输费用</w:t>
      </w:r>
    </w:p>
    <w:p>
      <w:pPr>
        <w:spacing w:before="124" w:line="369" w:lineRule="auto"/>
        <w:ind w:left="1" w:firstLine="423"/>
        <w:jc w:val="both"/>
        <w:rPr>
          <w:rFonts w:ascii="宋体" w:hAnsi="宋体" w:eastAsia="宋体" w:cs="宋体"/>
          <w:sz w:val="20"/>
          <w:szCs w:val="20"/>
        </w:rPr>
      </w:pPr>
      <w:r>
        <w:rPr>
          <w:rFonts w:ascii="宋体" w:hAnsi="宋体" w:eastAsia="宋体" w:cs="宋体"/>
          <w:spacing w:val="8"/>
          <w:sz w:val="20"/>
          <w:szCs w:val="20"/>
        </w:rPr>
        <w:t>清运建筑垃圾，按其自然状态的实际体积，运距</w:t>
      </w:r>
      <w:r>
        <w:rPr>
          <w:rFonts w:ascii="宋体" w:hAnsi="宋体" w:eastAsia="宋体" w:cs="宋体"/>
          <w:spacing w:val="-9"/>
          <w:sz w:val="20"/>
          <w:szCs w:val="20"/>
        </w:rPr>
        <w:t xml:space="preserve"> </w:t>
      </w:r>
      <w:r>
        <w:rPr>
          <w:rFonts w:ascii="宋体" w:hAnsi="宋体" w:eastAsia="宋体" w:cs="宋体"/>
          <w:spacing w:val="8"/>
          <w:sz w:val="20"/>
          <w:szCs w:val="20"/>
        </w:rPr>
        <w:t>10</w:t>
      </w:r>
      <w:r>
        <w:rPr>
          <w:rFonts w:ascii="宋体" w:hAnsi="宋体" w:eastAsia="宋体" w:cs="宋体"/>
          <w:spacing w:val="-46"/>
          <w:sz w:val="20"/>
          <w:szCs w:val="20"/>
        </w:rPr>
        <w:t xml:space="preserve"> </w:t>
      </w:r>
      <w:r>
        <w:rPr>
          <w:rFonts w:ascii="宋体" w:hAnsi="宋体" w:eastAsia="宋体" w:cs="宋体"/>
          <w:spacing w:val="8"/>
          <w:sz w:val="20"/>
          <w:szCs w:val="20"/>
        </w:rPr>
        <w:t>公里以内时，按每立方米</w:t>
      </w:r>
      <w:r>
        <w:rPr>
          <w:rFonts w:ascii="宋体" w:hAnsi="宋体" w:eastAsia="宋体" w:cs="宋体"/>
          <w:spacing w:val="-41"/>
          <w:sz w:val="20"/>
          <w:szCs w:val="20"/>
        </w:rPr>
        <w:t xml:space="preserve"> </w:t>
      </w:r>
      <w:r>
        <w:rPr>
          <w:rFonts w:ascii="宋体" w:hAnsi="宋体" w:eastAsia="宋体" w:cs="宋体"/>
          <w:spacing w:val="8"/>
          <w:sz w:val="20"/>
          <w:szCs w:val="20"/>
        </w:rPr>
        <w:t>23</w:t>
      </w:r>
      <w:r>
        <w:rPr>
          <w:rFonts w:ascii="宋体" w:hAnsi="宋体" w:eastAsia="宋体" w:cs="宋体"/>
          <w:spacing w:val="-43"/>
          <w:sz w:val="20"/>
          <w:szCs w:val="20"/>
        </w:rPr>
        <w:t xml:space="preserve"> </w:t>
      </w:r>
      <w:r>
        <w:rPr>
          <w:rFonts w:ascii="宋体" w:hAnsi="宋体" w:eastAsia="宋体" w:cs="宋体"/>
          <w:spacing w:val="8"/>
          <w:sz w:val="20"/>
          <w:szCs w:val="20"/>
        </w:rPr>
        <w:t>元计取；每增</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公里（不足</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公里按</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5"/>
          <w:sz w:val="20"/>
          <w:szCs w:val="20"/>
        </w:rPr>
        <w:t xml:space="preserve"> </w:t>
      </w:r>
      <w:r>
        <w:rPr>
          <w:rFonts w:ascii="宋体" w:hAnsi="宋体" w:eastAsia="宋体" w:cs="宋体"/>
          <w:spacing w:val="7"/>
          <w:sz w:val="20"/>
          <w:szCs w:val="20"/>
        </w:rPr>
        <w:t>公里计算）按</w:t>
      </w:r>
      <w:r>
        <w:rPr>
          <w:rFonts w:ascii="宋体" w:hAnsi="宋体" w:eastAsia="宋体" w:cs="宋体"/>
          <w:spacing w:val="-22"/>
          <w:sz w:val="20"/>
          <w:szCs w:val="20"/>
        </w:rPr>
        <w:t xml:space="preserve"> </w:t>
      </w:r>
      <w:r>
        <w:rPr>
          <w:rFonts w:ascii="宋体" w:hAnsi="宋体" w:eastAsia="宋体" w:cs="宋体"/>
          <w:spacing w:val="7"/>
          <w:sz w:val="20"/>
          <w:szCs w:val="20"/>
        </w:rPr>
        <w:t>1.30</w:t>
      </w:r>
      <w:r>
        <w:rPr>
          <w:rFonts w:ascii="宋体" w:hAnsi="宋体" w:eastAsia="宋体" w:cs="宋体"/>
          <w:spacing w:val="-43"/>
          <w:sz w:val="20"/>
          <w:szCs w:val="20"/>
        </w:rPr>
        <w:t xml:space="preserve"> </w:t>
      </w:r>
      <w:r>
        <w:rPr>
          <w:rFonts w:ascii="宋体" w:hAnsi="宋体" w:eastAsia="宋体" w:cs="宋体"/>
          <w:spacing w:val="7"/>
          <w:sz w:val="20"/>
          <w:szCs w:val="20"/>
        </w:rPr>
        <w:t>元计算，以上费用只计取规费及税</w:t>
      </w:r>
      <w:r>
        <w:rPr>
          <w:rFonts w:ascii="宋体" w:hAnsi="宋体" w:eastAsia="宋体" w:cs="宋体"/>
          <w:spacing w:val="6"/>
          <w:sz w:val="20"/>
          <w:szCs w:val="20"/>
        </w:rPr>
        <w:t>金。若合同约定的费</w:t>
      </w:r>
      <w:r>
        <w:rPr>
          <w:rFonts w:ascii="宋体" w:hAnsi="宋体" w:eastAsia="宋体" w:cs="宋体"/>
          <w:spacing w:val="11"/>
          <w:sz w:val="20"/>
          <w:szCs w:val="20"/>
        </w:rPr>
        <w:t>用高于或低于该条款的费用，按合同约定的条款执行。垃圾处置费按发承包双</w:t>
      </w:r>
      <w:r>
        <w:rPr>
          <w:rFonts w:ascii="宋体" w:hAnsi="宋体" w:eastAsia="宋体" w:cs="宋体"/>
          <w:spacing w:val="10"/>
          <w:sz w:val="20"/>
          <w:szCs w:val="20"/>
        </w:rPr>
        <w:t>方约定的费用或按每</w:t>
      </w:r>
      <w:r>
        <w:rPr>
          <w:rFonts w:ascii="宋体" w:hAnsi="宋体" w:eastAsia="宋体" w:cs="宋体"/>
          <w:spacing w:val="7"/>
          <w:sz w:val="20"/>
          <w:szCs w:val="20"/>
        </w:rPr>
        <w:t>立方米</w:t>
      </w:r>
      <w:r>
        <w:rPr>
          <w:rFonts w:ascii="宋体" w:hAnsi="宋体" w:eastAsia="宋体" w:cs="宋体"/>
          <w:spacing w:val="-29"/>
          <w:sz w:val="20"/>
          <w:szCs w:val="20"/>
        </w:rPr>
        <w:t xml:space="preserve"> </w:t>
      </w:r>
      <w:r>
        <w:rPr>
          <w:rFonts w:ascii="宋体" w:hAnsi="宋体" w:eastAsia="宋体" w:cs="宋体"/>
          <w:spacing w:val="7"/>
          <w:sz w:val="20"/>
          <w:szCs w:val="20"/>
        </w:rPr>
        <w:t>4</w:t>
      </w:r>
      <w:r>
        <w:rPr>
          <w:rFonts w:ascii="宋体" w:hAnsi="宋体" w:eastAsia="宋体" w:cs="宋体"/>
          <w:spacing w:val="-45"/>
          <w:sz w:val="20"/>
          <w:szCs w:val="20"/>
        </w:rPr>
        <w:t xml:space="preserve"> </w:t>
      </w:r>
      <w:r>
        <w:rPr>
          <w:rFonts w:ascii="宋体" w:hAnsi="宋体" w:eastAsia="宋体" w:cs="宋体"/>
          <w:spacing w:val="7"/>
          <w:sz w:val="20"/>
          <w:szCs w:val="20"/>
        </w:rPr>
        <w:t>元计取（不需处理时不计取）。</w:t>
      </w:r>
    </w:p>
    <w:p>
      <w:pPr>
        <w:spacing w:line="278" w:lineRule="exact"/>
        <w:ind w:left="440"/>
        <w:rPr>
          <w:rFonts w:ascii="宋体" w:hAnsi="宋体" w:eastAsia="宋体" w:cs="宋体"/>
          <w:sz w:val="20"/>
          <w:szCs w:val="20"/>
        </w:rPr>
      </w:pPr>
      <w:r>
        <w:rPr>
          <w:rFonts w:ascii="宋体" w:hAnsi="宋体" w:eastAsia="宋体" w:cs="宋体"/>
          <w:b/>
          <w:bCs/>
          <w:spacing w:val="2"/>
          <w:position w:val="1"/>
          <w:sz w:val="20"/>
          <w:szCs w:val="20"/>
        </w:rPr>
        <w:t>14.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建筑分册有关问题的说明</w:t>
      </w:r>
    </w:p>
    <w:p>
      <w:pPr>
        <w:spacing w:before="121" w:line="278" w:lineRule="exact"/>
        <w:ind w:left="413"/>
        <w:rPr>
          <w:rFonts w:ascii="宋体" w:hAnsi="宋体" w:eastAsia="宋体" w:cs="宋体"/>
          <w:sz w:val="20"/>
          <w:szCs w:val="20"/>
        </w:rPr>
      </w:pPr>
      <w:r>
        <w:rPr>
          <w:rFonts w:ascii="宋体" w:hAnsi="宋体" w:eastAsia="宋体" w:cs="宋体"/>
          <w:b/>
          <w:bCs/>
          <w:spacing w:val="5"/>
          <w:position w:val="1"/>
          <w:sz w:val="20"/>
          <w:szCs w:val="20"/>
        </w:rPr>
        <w:t>（</w:t>
      </w:r>
      <w:r>
        <w:rPr>
          <w:rFonts w:ascii="宋体" w:hAnsi="宋体" w:eastAsia="宋体" w:cs="宋体"/>
          <w:spacing w:val="-47"/>
          <w:position w:val="1"/>
          <w:sz w:val="20"/>
          <w:szCs w:val="20"/>
        </w:rPr>
        <w:t xml:space="preserve"> </w:t>
      </w:r>
      <w:r>
        <w:rPr>
          <w:rFonts w:ascii="宋体" w:hAnsi="宋体" w:eastAsia="宋体" w:cs="宋体"/>
          <w:b/>
          <w:bCs/>
          <w:spacing w:val="5"/>
          <w:position w:val="1"/>
          <w:sz w:val="20"/>
          <w:szCs w:val="20"/>
        </w:rPr>
        <w:t>1）关于拆除工程定额适用范围</w:t>
      </w:r>
    </w:p>
    <w:p>
      <w:pPr>
        <w:spacing w:before="126" w:line="222" w:lineRule="auto"/>
        <w:ind w:left="420"/>
        <w:rPr>
          <w:rFonts w:ascii="宋体" w:hAnsi="宋体" w:eastAsia="宋体" w:cs="宋体"/>
          <w:sz w:val="20"/>
          <w:szCs w:val="20"/>
        </w:rPr>
      </w:pPr>
      <w:r>
        <w:rPr>
          <w:rFonts w:ascii="宋体" w:hAnsi="宋体" w:eastAsia="宋体" w:cs="宋体"/>
          <w:spacing w:val="10"/>
          <w:sz w:val="20"/>
          <w:szCs w:val="20"/>
        </w:rPr>
        <w:t>拆除工程定额适用于工业或民用房屋建筑工程的人工</w:t>
      </w:r>
      <w:r>
        <w:rPr>
          <w:rFonts w:ascii="宋体" w:hAnsi="宋体" w:eastAsia="宋体" w:cs="宋体"/>
          <w:spacing w:val="9"/>
          <w:sz w:val="20"/>
          <w:szCs w:val="20"/>
        </w:rPr>
        <w:t>或机械拆除，不适用于控制性爆破。</w:t>
      </w:r>
    </w:p>
    <w:p>
      <w:pPr>
        <w:spacing w:before="157" w:line="276" w:lineRule="exact"/>
        <w:ind w:left="413"/>
        <w:rPr>
          <w:rFonts w:ascii="宋体" w:hAnsi="宋体" w:eastAsia="宋体" w:cs="宋体"/>
          <w:sz w:val="20"/>
          <w:szCs w:val="20"/>
        </w:rPr>
      </w:pPr>
      <w:r>
        <w:rPr>
          <w:rFonts w:ascii="宋体" w:hAnsi="宋体" w:eastAsia="宋体" w:cs="宋体"/>
          <w:b/>
          <w:bCs/>
          <w:spacing w:val="8"/>
          <w:position w:val="1"/>
          <w:sz w:val="20"/>
          <w:szCs w:val="20"/>
        </w:rPr>
        <w:t>（2）关于拆除后渣土的计价</w:t>
      </w:r>
    </w:p>
    <w:p>
      <w:pPr>
        <w:spacing w:before="123" w:line="351" w:lineRule="auto"/>
        <w:ind w:left="2" w:firstLine="417"/>
        <w:rPr>
          <w:rFonts w:ascii="宋体" w:hAnsi="宋体" w:eastAsia="宋体" w:cs="宋体"/>
          <w:sz w:val="20"/>
          <w:szCs w:val="20"/>
        </w:rPr>
      </w:pPr>
      <w:r>
        <w:rPr>
          <w:rFonts w:ascii="宋体" w:hAnsi="宋体" w:eastAsia="宋体" w:cs="宋体"/>
          <w:spacing w:val="10"/>
          <w:sz w:val="20"/>
          <w:szCs w:val="20"/>
        </w:rPr>
        <w:t>拆除后的渣土仅包括水平距离</w:t>
      </w:r>
      <w:r>
        <w:rPr>
          <w:rFonts w:ascii="宋体" w:hAnsi="宋体" w:eastAsia="宋体" w:cs="宋体"/>
          <w:spacing w:val="-39"/>
          <w:sz w:val="20"/>
          <w:szCs w:val="20"/>
        </w:rPr>
        <w:t xml:space="preserve"> </w:t>
      </w:r>
      <w:r>
        <w:rPr>
          <w:rFonts w:ascii="宋体" w:hAnsi="宋体" w:eastAsia="宋体" w:cs="宋体"/>
          <w:spacing w:val="10"/>
          <w:sz w:val="20"/>
          <w:szCs w:val="20"/>
        </w:rPr>
        <w:t>20m</w:t>
      </w:r>
      <w:r>
        <w:rPr>
          <w:rFonts w:ascii="宋体" w:hAnsi="宋体" w:eastAsia="宋体" w:cs="宋体"/>
          <w:spacing w:val="-25"/>
          <w:sz w:val="20"/>
          <w:szCs w:val="20"/>
        </w:rPr>
        <w:t xml:space="preserve"> </w:t>
      </w:r>
      <w:r>
        <w:rPr>
          <w:rFonts w:ascii="宋体" w:hAnsi="宋体" w:eastAsia="宋体" w:cs="宋体"/>
          <w:spacing w:val="10"/>
          <w:sz w:val="20"/>
          <w:szCs w:val="20"/>
        </w:rPr>
        <w:t>以内指定地点的清扫归堆，不包括渣土的</w:t>
      </w:r>
      <w:r>
        <w:rPr>
          <w:rFonts w:ascii="宋体" w:hAnsi="宋体" w:eastAsia="宋体" w:cs="宋体"/>
          <w:spacing w:val="9"/>
          <w:sz w:val="20"/>
          <w:szCs w:val="20"/>
        </w:rPr>
        <w:t>装车外运。渣土外运按发承包双方合同约定或参照建筑垃圾清理运输的相关规定处理。</w:t>
      </w:r>
    </w:p>
    <w:p>
      <w:pPr>
        <w:spacing w:line="351" w:lineRule="auto"/>
        <w:rPr>
          <w:rFonts w:ascii="宋体" w:hAnsi="宋体" w:eastAsia="宋体" w:cs="宋体"/>
          <w:sz w:val="20"/>
          <w:szCs w:val="20"/>
        </w:rPr>
        <w:sectPr>
          <w:footerReference r:id="rId167" w:type="default"/>
          <w:pgSz w:w="11906" w:h="16839"/>
          <w:pgMar w:top="400" w:right="141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414"/>
        <w:rPr>
          <w:rFonts w:ascii="宋体" w:hAnsi="宋体" w:eastAsia="宋体" w:cs="宋体"/>
          <w:sz w:val="20"/>
          <w:szCs w:val="20"/>
        </w:rPr>
      </w:pPr>
      <w:r>
        <w:rPr>
          <w:rFonts w:ascii="宋体" w:hAnsi="宋体" w:eastAsia="宋体" w:cs="宋体"/>
          <w:b/>
          <w:bCs/>
          <w:spacing w:val="8"/>
          <w:position w:val="1"/>
          <w:sz w:val="20"/>
          <w:szCs w:val="20"/>
        </w:rPr>
        <w:t>（3）关于拆除可用材料的计价</w:t>
      </w:r>
    </w:p>
    <w:p>
      <w:pPr>
        <w:spacing w:before="123" w:line="353" w:lineRule="auto"/>
        <w:ind w:left="1" w:right="83" w:firstLine="420"/>
        <w:rPr>
          <w:rFonts w:ascii="宋体" w:hAnsi="宋体" w:eastAsia="宋体" w:cs="宋体"/>
          <w:sz w:val="20"/>
          <w:szCs w:val="20"/>
        </w:rPr>
      </w:pPr>
      <w:r>
        <w:rPr>
          <w:rFonts w:ascii="宋体" w:hAnsi="宋体" w:eastAsia="宋体" w:cs="宋体"/>
          <w:spacing w:val="11"/>
          <w:sz w:val="20"/>
          <w:szCs w:val="20"/>
        </w:rPr>
        <w:t>拆除定额未考虑拆除后旧材料的回收利用，如发生利用拆除后的旧材料抵减拆除</w:t>
      </w:r>
      <w:r>
        <w:rPr>
          <w:rFonts w:ascii="宋体" w:hAnsi="宋体" w:eastAsia="宋体" w:cs="宋体"/>
          <w:spacing w:val="10"/>
          <w:sz w:val="20"/>
          <w:szCs w:val="20"/>
        </w:rPr>
        <w:t>人工费或其他</w:t>
      </w:r>
      <w:r>
        <w:rPr>
          <w:rFonts w:ascii="宋体" w:hAnsi="宋体" w:eastAsia="宋体" w:cs="宋体"/>
          <w:spacing w:val="9"/>
          <w:sz w:val="20"/>
          <w:szCs w:val="20"/>
        </w:rPr>
        <w:t>情形，由发包方与承包方另行处理。</w:t>
      </w:r>
    </w:p>
    <w:p>
      <w:pPr>
        <w:spacing w:before="35" w:line="350" w:lineRule="auto"/>
        <w:ind w:left="3" w:right="83" w:firstLine="411"/>
        <w:rPr>
          <w:rFonts w:ascii="宋体" w:hAnsi="宋体" w:eastAsia="宋体" w:cs="宋体"/>
          <w:sz w:val="20"/>
          <w:szCs w:val="20"/>
        </w:rPr>
      </w:pPr>
      <w:r>
        <w:rPr>
          <w:rFonts w:ascii="宋体" w:hAnsi="宋体" w:eastAsia="宋体" w:cs="宋体"/>
          <w:b/>
          <w:bCs/>
          <w:spacing w:val="6"/>
          <w:sz w:val="20"/>
          <w:szCs w:val="20"/>
        </w:rPr>
        <w:t>（4）关于定额中所使用的砂浆除注明外均按干混预拌砂浆编制，若实际使用现拌砂浆或湿拌预</w:t>
      </w:r>
      <w:r>
        <w:rPr>
          <w:rFonts w:ascii="宋体" w:hAnsi="宋体" w:eastAsia="宋体" w:cs="宋体"/>
          <w:b/>
          <w:bCs/>
          <w:spacing w:val="7"/>
          <w:sz w:val="20"/>
          <w:szCs w:val="20"/>
        </w:rPr>
        <w:t>拌砂浆时的计价</w:t>
      </w:r>
    </w:p>
    <w:p>
      <w:pPr>
        <w:spacing w:before="47" w:line="367" w:lineRule="auto"/>
        <w:ind w:left="2" w:right="16" w:firstLine="420"/>
        <w:rPr>
          <w:rFonts w:ascii="宋体" w:hAnsi="宋体" w:eastAsia="宋体" w:cs="宋体"/>
          <w:sz w:val="20"/>
          <w:szCs w:val="20"/>
        </w:rPr>
      </w:pPr>
      <w:r>
        <w:rPr>
          <w:rFonts w:ascii="宋体" w:hAnsi="宋体" w:eastAsia="宋体" w:cs="宋体"/>
          <w:spacing w:val="7"/>
          <w:sz w:val="20"/>
          <w:szCs w:val="20"/>
        </w:rPr>
        <w:t>定额中所使用的砂浆除注明外均按干混预拌砂浆编制，若实际使用现拌砂浆或湿拌预拌砂浆时，</w:t>
      </w:r>
      <w:r>
        <w:rPr>
          <w:rFonts w:ascii="宋体" w:hAnsi="宋体" w:eastAsia="宋体" w:cs="宋体"/>
          <w:spacing w:val="8"/>
          <w:sz w:val="20"/>
          <w:szCs w:val="20"/>
        </w:rPr>
        <w:t>按以下方法调整：</w:t>
      </w:r>
    </w:p>
    <w:p>
      <w:pPr>
        <w:spacing w:line="276" w:lineRule="exact"/>
        <w:ind w:left="441"/>
        <w:rPr>
          <w:rFonts w:ascii="宋体" w:hAnsi="宋体" w:eastAsia="宋体" w:cs="宋体"/>
          <w:sz w:val="20"/>
          <w:szCs w:val="20"/>
        </w:rPr>
      </w:pPr>
      <w:r>
        <w:rPr>
          <w:rFonts w:ascii="宋体" w:hAnsi="宋体" w:eastAsia="宋体" w:cs="宋体"/>
          <w:spacing w:val="6"/>
          <w:position w:val="1"/>
          <w:sz w:val="20"/>
          <w:szCs w:val="20"/>
        </w:rPr>
        <w:t>1）机械拌合调整方法：</w:t>
      </w:r>
    </w:p>
    <w:p>
      <w:pPr>
        <w:spacing w:before="125" w:line="333" w:lineRule="auto"/>
        <w:ind w:right="80" w:firstLine="423"/>
        <w:rPr>
          <w:rFonts w:ascii="宋体" w:hAnsi="宋体" w:eastAsia="宋体" w:cs="宋体"/>
          <w:sz w:val="20"/>
          <w:szCs w:val="20"/>
        </w:rPr>
      </w:pPr>
      <w:r>
        <w:rPr>
          <w:rFonts w:ascii="宋体" w:hAnsi="宋体" w:eastAsia="宋体" w:cs="宋体"/>
          <w:spacing w:val="11"/>
          <w:sz w:val="20"/>
          <w:szCs w:val="20"/>
        </w:rPr>
        <w:t>①使用现拌砂浆的，除将定额中的干混预拌砂浆调换为现拌砂浆外，砌筑定额按每</w:t>
      </w:r>
      <w:r>
        <w:rPr>
          <w:rFonts w:ascii="宋体" w:hAnsi="宋体" w:eastAsia="宋体" w:cs="宋体"/>
          <w:spacing w:val="10"/>
          <w:sz w:val="20"/>
          <w:szCs w:val="20"/>
        </w:rPr>
        <w:t>立方米砂浆</w:t>
      </w:r>
      <w:r>
        <w:rPr>
          <w:rFonts w:ascii="宋体" w:hAnsi="宋体" w:eastAsia="宋体" w:cs="宋体"/>
          <w:spacing w:val="7"/>
          <w:sz w:val="20"/>
          <w:szCs w:val="20"/>
        </w:rPr>
        <w:t>增加 0.396 工日、200L 灰浆搅拌机 0.16</w:t>
      </w:r>
      <w:r>
        <w:rPr>
          <w:rFonts w:ascii="宋体" w:hAnsi="宋体" w:eastAsia="宋体" w:cs="宋体"/>
          <w:spacing w:val="6"/>
          <w:sz w:val="20"/>
          <w:szCs w:val="20"/>
        </w:rPr>
        <w:t>7</w:t>
      </w:r>
      <w:r>
        <w:rPr>
          <w:rFonts w:ascii="宋体" w:hAnsi="宋体" w:eastAsia="宋体" w:cs="宋体"/>
          <w:spacing w:val="31"/>
          <w:sz w:val="20"/>
          <w:szCs w:val="20"/>
        </w:rPr>
        <w:t xml:space="preserve"> </w:t>
      </w:r>
      <w:r>
        <w:rPr>
          <w:rFonts w:ascii="宋体" w:hAnsi="宋体" w:eastAsia="宋体" w:cs="宋体"/>
          <w:spacing w:val="6"/>
          <w:sz w:val="20"/>
          <w:szCs w:val="20"/>
        </w:rPr>
        <w:t>台班，同时扣除原定额中干混砂浆罐式搅拌机台班；其</w:t>
      </w:r>
      <w:r>
        <w:rPr>
          <w:rFonts w:ascii="宋体" w:hAnsi="宋体" w:eastAsia="宋体" w:cs="宋体"/>
          <w:spacing w:val="8"/>
          <w:sz w:val="20"/>
          <w:szCs w:val="20"/>
        </w:rPr>
        <w:t>余定额按每立方米砂浆增加 0.396 工</w:t>
      </w:r>
      <w:r>
        <w:rPr>
          <w:rFonts w:ascii="宋体" w:hAnsi="宋体" w:eastAsia="宋体" w:cs="宋体"/>
          <w:spacing w:val="7"/>
          <w:sz w:val="20"/>
          <w:szCs w:val="20"/>
        </w:rPr>
        <w:t>日，同时将原定额中干混砂浆罐式搅拌机调换为 200L 灰浆搅</w:t>
      </w:r>
      <w:r>
        <w:rPr>
          <w:rFonts w:ascii="宋体" w:hAnsi="宋体" w:eastAsia="宋体" w:cs="宋体"/>
          <w:spacing w:val="8"/>
          <w:sz w:val="20"/>
          <w:szCs w:val="20"/>
        </w:rPr>
        <w:t>拌机，台班含量不变。</w:t>
      </w:r>
    </w:p>
    <w:p>
      <w:pPr>
        <w:spacing w:before="156" w:line="312" w:lineRule="auto"/>
        <w:ind w:left="7" w:right="81" w:firstLine="416"/>
        <w:rPr>
          <w:rFonts w:ascii="宋体" w:hAnsi="宋体" w:eastAsia="宋体" w:cs="宋体"/>
          <w:sz w:val="20"/>
          <w:szCs w:val="20"/>
        </w:rPr>
      </w:pPr>
      <w:r>
        <w:rPr>
          <w:rFonts w:ascii="宋体" w:hAnsi="宋体" w:eastAsia="宋体" w:cs="宋体"/>
          <w:spacing w:val="11"/>
          <w:sz w:val="20"/>
          <w:szCs w:val="20"/>
        </w:rPr>
        <w:t>②使用湿拌预拌砂浆的，除将定额中的干混预拌砂浆调换为湿拌预拌砂浆外，另按</w:t>
      </w:r>
      <w:r>
        <w:rPr>
          <w:rFonts w:ascii="宋体" w:hAnsi="宋体" w:eastAsia="宋体" w:cs="宋体"/>
          <w:spacing w:val="10"/>
          <w:sz w:val="20"/>
          <w:szCs w:val="20"/>
        </w:rPr>
        <w:t>相应定额中</w:t>
      </w:r>
      <w:r>
        <w:rPr>
          <w:rFonts w:ascii="宋体" w:hAnsi="宋体" w:eastAsia="宋体" w:cs="宋体"/>
          <w:spacing w:val="7"/>
          <w:sz w:val="20"/>
          <w:szCs w:val="20"/>
        </w:rPr>
        <w:t>每立方米砂浆扣除 0.20 工日，并扣除干混砂浆罐式搅拌机台班</w:t>
      </w:r>
      <w:r>
        <w:rPr>
          <w:rFonts w:ascii="宋体" w:hAnsi="宋体" w:eastAsia="宋体" w:cs="宋体"/>
          <w:spacing w:val="6"/>
          <w:sz w:val="20"/>
          <w:szCs w:val="20"/>
        </w:rPr>
        <w:t>数量。</w:t>
      </w:r>
    </w:p>
    <w:p>
      <w:pPr>
        <w:spacing w:before="124" w:line="312" w:lineRule="auto"/>
        <w:ind w:left="3" w:right="83" w:firstLine="421"/>
        <w:rPr>
          <w:rFonts w:ascii="宋体" w:hAnsi="宋体" w:eastAsia="宋体" w:cs="宋体"/>
          <w:sz w:val="20"/>
          <w:szCs w:val="20"/>
        </w:rPr>
      </w:pPr>
      <w:r>
        <w:rPr>
          <w:rFonts w:ascii="宋体" w:hAnsi="宋体" w:eastAsia="宋体" w:cs="宋体"/>
          <w:spacing w:val="8"/>
          <w:sz w:val="20"/>
          <w:szCs w:val="20"/>
        </w:rPr>
        <w:t>2）人工拌和调整方法：人工拌和若实际使用现拌砂浆时，除将定额中的干混预拌砂浆调换为现</w:t>
      </w:r>
      <w:r>
        <w:rPr>
          <w:rFonts w:ascii="宋体" w:hAnsi="宋体" w:eastAsia="宋体" w:cs="宋体"/>
          <w:spacing w:val="6"/>
          <w:sz w:val="20"/>
          <w:szCs w:val="20"/>
        </w:rPr>
        <w:t>拌砂浆外，砌筑定额按每立方米砂浆增加 0.475 工日。</w:t>
      </w:r>
    </w:p>
    <w:p>
      <w:pPr>
        <w:spacing w:before="123" w:line="276" w:lineRule="exact"/>
        <w:ind w:left="414"/>
        <w:rPr>
          <w:rFonts w:ascii="宋体" w:hAnsi="宋体" w:eastAsia="宋体" w:cs="宋体"/>
          <w:sz w:val="20"/>
          <w:szCs w:val="20"/>
        </w:rPr>
      </w:pPr>
      <w:r>
        <w:rPr>
          <w:rFonts w:ascii="宋体" w:hAnsi="宋体" w:eastAsia="宋体" w:cs="宋体"/>
          <w:b/>
          <w:bCs/>
          <w:spacing w:val="8"/>
          <w:position w:val="1"/>
          <w:sz w:val="20"/>
          <w:szCs w:val="20"/>
        </w:rPr>
        <w:t>（5）关于砌筑工程中加气混凝土类砌块墙进行切割改锯的计价</w:t>
      </w:r>
    </w:p>
    <w:p>
      <w:pPr>
        <w:spacing w:before="130" w:line="221" w:lineRule="auto"/>
        <w:ind w:left="423"/>
        <w:rPr>
          <w:rFonts w:ascii="宋体" w:hAnsi="宋体" w:eastAsia="宋体" w:cs="宋体"/>
          <w:sz w:val="20"/>
          <w:szCs w:val="20"/>
        </w:rPr>
      </w:pPr>
      <w:r>
        <w:rPr>
          <w:rFonts w:ascii="宋体" w:hAnsi="宋体" w:eastAsia="宋体" w:cs="宋体"/>
          <w:spacing w:val="10"/>
          <w:sz w:val="20"/>
          <w:szCs w:val="20"/>
        </w:rPr>
        <w:t>加气混凝土类砌块墙项目已包括砌块另行切割</w:t>
      </w:r>
      <w:r>
        <w:rPr>
          <w:rFonts w:ascii="宋体" w:hAnsi="宋体" w:eastAsia="宋体" w:cs="宋体"/>
          <w:spacing w:val="9"/>
          <w:sz w:val="20"/>
          <w:szCs w:val="20"/>
        </w:rPr>
        <w:t>改锯的损耗及费用，不再另行计取费用。</w:t>
      </w:r>
    </w:p>
    <w:p>
      <w:pPr>
        <w:spacing w:before="154" w:line="278" w:lineRule="exact"/>
        <w:ind w:left="414"/>
        <w:rPr>
          <w:rFonts w:ascii="宋体" w:hAnsi="宋体" w:eastAsia="宋体" w:cs="宋体"/>
          <w:sz w:val="20"/>
          <w:szCs w:val="20"/>
        </w:rPr>
      </w:pPr>
      <w:r>
        <w:rPr>
          <w:rFonts w:ascii="宋体" w:hAnsi="宋体" w:eastAsia="宋体" w:cs="宋体"/>
          <w:b/>
          <w:bCs/>
          <w:spacing w:val="8"/>
          <w:position w:val="1"/>
          <w:sz w:val="20"/>
          <w:szCs w:val="20"/>
        </w:rPr>
        <w:t>（6）关于建筑分册措施项目的有关说明</w:t>
      </w:r>
    </w:p>
    <w:p>
      <w:pPr>
        <w:spacing w:before="125" w:line="296" w:lineRule="auto"/>
        <w:ind w:left="3" w:right="81" w:firstLine="420"/>
        <w:rPr>
          <w:rFonts w:ascii="宋体" w:hAnsi="宋体" w:eastAsia="宋体" w:cs="宋体"/>
          <w:sz w:val="20"/>
          <w:szCs w:val="20"/>
        </w:rPr>
      </w:pPr>
      <w:r>
        <w:rPr>
          <w:rFonts w:ascii="宋体" w:hAnsi="宋体" w:eastAsia="宋体" w:cs="宋体"/>
          <w:spacing w:val="11"/>
          <w:sz w:val="20"/>
          <w:szCs w:val="20"/>
        </w:rPr>
        <w:t>①定额中不包含卸载支撑及其方案设计、安全检测费及措施费用，发生时按卸载支</w:t>
      </w:r>
      <w:r>
        <w:rPr>
          <w:rFonts w:ascii="宋体" w:hAnsi="宋体" w:eastAsia="宋体" w:cs="宋体"/>
          <w:spacing w:val="10"/>
          <w:sz w:val="20"/>
          <w:szCs w:val="20"/>
        </w:rPr>
        <w:t>撑施工组织</w:t>
      </w:r>
      <w:r>
        <w:rPr>
          <w:rFonts w:ascii="宋体" w:hAnsi="宋体" w:eastAsia="宋体" w:cs="宋体"/>
          <w:spacing w:val="8"/>
          <w:sz w:val="20"/>
          <w:szCs w:val="20"/>
        </w:rPr>
        <w:t>方案或办理签证计取。</w:t>
      </w:r>
    </w:p>
    <w:p>
      <w:pPr>
        <w:spacing w:before="156" w:line="313" w:lineRule="auto"/>
        <w:ind w:left="6" w:right="122" w:firstLine="416"/>
        <w:rPr>
          <w:rFonts w:ascii="宋体" w:hAnsi="宋体" w:eastAsia="宋体" w:cs="宋体"/>
          <w:sz w:val="20"/>
          <w:szCs w:val="20"/>
        </w:rPr>
      </w:pPr>
      <w:r>
        <w:rPr>
          <w:rFonts w:ascii="宋体" w:hAnsi="宋体" w:eastAsia="宋体" w:cs="宋体"/>
          <w:spacing w:val="10"/>
          <w:sz w:val="20"/>
          <w:szCs w:val="20"/>
        </w:rPr>
        <w:t>②脚手架工程的计价应结合具体施工措施方案进行，如本章定额子目不能满足施工</w:t>
      </w:r>
      <w:r>
        <w:rPr>
          <w:rFonts w:ascii="宋体" w:hAnsi="宋体" w:eastAsia="宋体" w:cs="宋体"/>
          <w:spacing w:val="9"/>
          <w:sz w:val="20"/>
          <w:szCs w:val="20"/>
        </w:rPr>
        <w:t>措施要求，</w:t>
      </w:r>
      <w:r>
        <w:rPr>
          <w:rFonts w:ascii="宋体" w:hAnsi="宋体" w:eastAsia="宋体" w:cs="宋体"/>
          <w:spacing w:val="8"/>
          <w:sz w:val="20"/>
          <w:szCs w:val="20"/>
        </w:rPr>
        <w:t>可参照 2016 版《山东省建筑工程消耗量定额》的相关子目计取。</w:t>
      </w:r>
    </w:p>
    <w:p>
      <w:pPr>
        <w:spacing w:before="121" w:line="322" w:lineRule="auto"/>
        <w:ind w:left="3" w:firstLine="420"/>
        <w:rPr>
          <w:rFonts w:ascii="宋体" w:hAnsi="宋体" w:eastAsia="宋体" w:cs="宋体"/>
          <w:sz w:val="20"/>
          <w:szCs w:val="20"/>
        </w:rPr>
      </w:pPr>
      <w:r>
        <w:rPr>
          <w:rFonts w:ascii="宋体" w:hAnsi="宋体" w:eastAsia="宋体" w:cs="宋体"/>
          <w:spacing w:val="8"/>
          <w:sz w:val="20"/>
          <w:szCs w:val="20"/>
        </w:rPr>
        <w:t>③本定额未考虑安装与生产（使用）同时进行施工、有害身体健康环境中施</w:t>
      </w:r>
      <w:r>
        <w:rPr>
          <w:rFonts w:ascii="宋体" w:hAnsi="宋体" w:eastAsia="宋体" w:cs="宋体"/>
          <w:spacing w:val="7"/>
          <w:sz w:val="20"/>
          <w:szCs w:val="20"/>
        </w:rPr>
        <w:t>工（害化合物防护、</w:t>
      </w:r>
      <w:r>
        <w:rPr>
          <w:rFonts w:ascii="宋体" w:hAnsi="宋体" w:eastAsia="宋体" w:cs="宋体"/>
          <w:spacing w:val="10"/>
          <w:sz w:val="20"/>
          <w:szCs w:val="20"/>
        </w:rPr>
        <w:t>粉尘防护、有害气体防护、高浓度氧气防护及降效）、地下室（</w:t>
      </w:r>
      <w:r>
        <w:rPr>
          <w:rFonts w:ascii="宋体" w:hAnsi="宋体" w:eastAsia="宋体" w:cs="宋体"/>
          <w:spacing w:val="-52"/>
          <w:sz w:val="20"/>
          <w:szCs w:val="20"/>
        </w:rPr>
        <w:t xml:space="preserve"> </w:t>
      </w:r>
      <w:r>
        <w:rPr>
          <w:rFonts w:ascii="宋体" w:hAnsi="宋体" w:eastAsia="宋体" w:cs="宋体"/>
          <w:spacing w:val="10"/>
          <w:sz w:val="20"/>
          <w:szCs w:val="20"/>
        </w:rPr>
        <w:t>暗</w:t>
      </w:r>
      <w:r>
        <w:rPr>
          <w:rFonts w:ascii="宋体" w:hAnsi="宋体" w:eastAsia="宋体" w:cs="宋体"/>
          <w:spacing w:val="9"/>
          <w:sz w:val="20"/>
          <w:szCs w:val="20"/>
        </w:rPr>
        <w:t>室）施工，施工时需做专门施工</w:t>
      </w:r>
      <w:r>
        <w:rPr>
          <w:rFonts w:ascii="宋体" w:hAnsi="宋体" w:eastAsia="宋体" w:cs="宋体"/>
          <w:spacing w:val="8"/>
          <w:sz w:val="20"/>
          <w:szCs w:val="20"/>
        </w:rPr>
        <w:t>方案，费用另计。</w:t>
      </w:r>
    </w:p>
    <w:p>
      <w:pPr>
        <w:spacing w:before="156" w:line="276" w:lineRule="exact"/>
        <w:ind w:left="414"/>
        <w:rPr>
          <w:rFonts w:ascii="宋体" w:hAnsi="宋体" w:eastAsia="宋体" w:cs="宋体"/>
          <w:sz w:val="20"/>
          <w:szCs w:val="20"/>
        </w:rPr>
      </w:pPr>
      <w:r>
        <w:rPr>
          <w:rFonts w:ascii="宋体" w:hAnsi="宋体" w:eastAsia="宋体" w:cs="宋体"/>
          <w:b/>
          <w:bCs/>
          <w:spacing w:val="8"/>
          <w:position w:val="1"/>
          <w:sz w:val="20"/>
          <w:szCs w:val="20"/>
        </w:rPr>
        <w:t>（7）关于楼层运出垃圾的计价</w:t>
      </w:r>
    </w:p>
    <w:p>
      <w:pPr>
        <w:spacing w:before="125" w:line="361" w:lineRule="auto"/>
        <w:ind w:left="2" w:right="80" w:firstLine="420"/>
        <w:jc w:val="both"/>
        <w:rPr>
          <w:rFonts w:ascii="宋体" w:hAnsi="宋体" w:eastAsia="宋体" w:cs="宋体"/>
          <w:sz w:val="20"/>
          <w:szCs w:val="20"/>
        </w:rPr>
      </w:pPr>
      <w:r>
        <w:rPr>
          <w:rFonts w:ascii="宋体" w:hAnsi="宋体" w:eastAsia="宋体" w:cs="宋体"/>
          <w:spacing w:val="11"/>
          <w:sz w:val="20"/>
          <w:szCs w:val="20"/>
        </w:rPr>
        <w:t>楼层运出垃圾其垂直运输机械不分卷扬机、施工电梯、塔吊或利用原有电梯，均按</w:t>
      </w:r>
      <w:r>
        <w:rPr>
          <w:rFonts w:ascii="宋体" w:hAnsi="宋体" w:eastAsia="宋体" w:cs="宋体"/>
          <w:spacing w:val="10"/>
          <w:sz w:val="20"/>
          <w:szCs w:val="20"/>
        </w:rPr>
        <w:t>定额执行，</w:t>
      </w:r>
      <w:r>
        <w:rPr>
          <w:rFonts w:ascii="宋体" w:hAnsi="宋体" w:eastAsia="宋体" w:cs="宋体"/>
          <w:spacing w:val="8"/>
          <w:sz w:val="20"/>
          <w:szCs w:val="20"/>
        </w:rPr>
        <w:t>如采用人力运输，每</w:t>
      </w:r>
      <w:r>
        <w:rPr>
          <w:rFonts w:ascii="宋体" w:hAnsi="宋体" w:eastAsia="宋体" w:cs="宋体"/>
          <w:spacing w:val="-25"/>
          <w:sz w:val="20"/>
          <w:szCs w:val="20"/>
        </w:rPr>
        <w:t xml:space="preserve"> </w:t>
      </w:r>
      <w:r>
        <w:rPr>
          <w:rFonts w:ascii="宋体" w:hAnsi="宋体" w:eastAsia="宋体" w:cs="宋体"/>
          <w:spacing w:val="8"/>
          <w:sz w:val="20"/>
          <w:szCs w:val="20"/>
        </w:rPr>
        <w:t>10</w:t>
      </w:r>
      <w:r>
        <w:rPr>
          <w:rFonts w:ascii="宋体" w:hAnsi="宋体" w:eastAsia="宋体" w:cs="宋体"/>
          <w:spacing w:val="-36"/>
          <w:sz w:val="20"/>
          <w:szCs w:val="20"/>
        </w:rPr>
        <w:t xml:space="preserve"> </w:t>
      </w:r>
      <w:r>
        <w:rPr>
          <w:rFonts w:ascii="宋体" w:hAnsi="宋体" w:eastAsia="宋体" w:cs="宋体"/>
          <w:spacing w:val="8"/>
          <w:sz w:val="20"/>
          <w:szCs w:val="20"/>
        </w:rPr>
        <w:t>㎡按垂直运输距离每</w:t>
      </w:r>
      <w:r>
        <w:rPr>
          <w:rFonts w:ascii="宋体" w:hAnsi="宋体" w:eastAsia="宋体" w:cs="宋体"/>
          <w:spacing w:val="-40"/>
          <w:sz w:val="20"/>
          <w:szCs w:val="20"/>
        </w:rPr>
        <w:t xml:space="preserve"> </w:t>
      </w:r>
      <w:r>
        <w:rPr>
          <w:rFonts w:ascii="宋体" w:hAnsi="宋体" w:eastAsia="宋体" w:cs="宋体"/>
          <w:spacing w:val="8"/>
          <w:sz w:val="20"/>
          <w:szCs w:val="20"/>
        </w:rPr>
        <w:t>5m</w:t>
      </w:r>
      <w:r>
        <w:rPr>
          <w:rFonts w:ascii="宋体" w:hAnsi="宋体" w:eastAsia="宋体" w:cs="宋体"/>
          <w:spacing w:val="-42"/>
          <w:sz w:val="20"/>
          <w:szCs w:val="20"/>
        </w:rPr>
        <w:t xml:space="preserve"> </w:t>
      </w:r>
      <w:r>
        <w:rPr>
          <w:rFonts w:ascii="宋体" w:hAnsi="宋体" w:eastAsia="宋体" w:cs="宋体"/>
          <w:spacing w:val="8"/>
          <w:sz w:val="20"/>
          <w:szCs w:val="20"/>
        </w:rPr>
        <w:t>增加人工0.7</w:t>
      </w:r>
      <w:r>
        <w:rPr>
          <w:rFonts w:ascii="宋体" w:hAnsi="宋体" w:eastAsia="宋体" w:cs="宋体"/>
          <w:spacing w:val="7"/>
          <w:sz w:val="20"/>
          <w:szCs w:val="20"/>
        </w:rPr>
        <w:t>8</w:t>
      </w:r>
      <w:r>
        <w:rPr>
          <w:rFonts w:ascii="宋体" w:hAnsi="宋体" w:eastAsia="宋体" w:cs="宋体"/>
          <w:spacing w:val="-41"/>
          <w:sz w:val="20"/>
          <w:szCs w:val="20"/>
        </w:rPr>
        <w:t xml:space="preserve"> </w:t>
      </w:r>
      <w:r>
        <w:rPr>
          <w:rFonts w:ascii="宋体" w:hAnsi="宋体" w:eastAsia="宋体" w:cs="宋体"/>
          <w:spacing w:val="7"/>
          <w:sz w:val="20"/>
          <w:szCs w:val="20"/>
        </w:rPr>
        <w:t>工日，并取消楼层运出垃圾项目中相应的机械费。</w:t>
      </w:r>
    </w:p>
    <w:p>
      <w:pPr>
        <w:spacing w:before="24" w:line="276" w:lineRule="exact"/>
        <w:ind w:left="414"/>
        <w:rPr>
          <w:rFonts w:ascii="宋体" w:hAnsi="宋体" w:eastAsia="宋体" w:cs="宋体"/>
          <w:sz w:val="20"/>
          <w:szCs w:val="20"/>
        </w:rPr>
      </w:pPr>
      <w:r>
        <w:rPr>
          <w:rFonts w:ascii="宋体" w:hAnsi="宋体" w:eastAsia="宋体" w:cs="宋体"/>
          <w:b/>
          <w:bCs/>
          <w:spacing w:val="8"/>
          <w:position w:val="1"/>
          <w:sz w:val="20"/>
          <w:szCs w:val="20"/>
        </w:rPr>
        <w:t>（8）关于防水工程的计价</w:t>
      </w:r>
    </w:p>
    <w:p>
      <w:pPr>
        <w:spacing w:before="124" w:line="369" w:lineRule="auto"/>
        <w:ind w:left="2" w:right="83" w:firstLine="422"/>
        <w:rPr>
          <w:rFonts w:ascii="宋体" w:hAnsi="宋体" w:eastAsia="宋体" w:cs="宋体"/>
          <w:sz w:val="20"/>
          <w:szCs w:val="20"/>
        </w:rPr>
      </w:pPr>
      <w:r>
        <w:rPr>
          <w:rFonts w:ascii="宋体" w:hAnsi="宋体" w:eastAsia="宋体" w:cs="宋体"/>
          <w:spacing w:val="10"/>
          <w:sz w:val="20"/>
          <w:szCs w:val="20"/>
        </w:rPr>
        <w:t>2020《修缮工程消耗量定额》定额内已综合连接处边角部位的附加防水层的工料，以及立墙防水层铺贴高度小于0.5m 的增加工日因素。</w:t>
      </w:r>
    </w:p>
    <w:p>
      <w:pPr>
        <w:spacing w:before="2" w:line="368" w:lineRule="auto"/>
        <w:ind w:left="20" w:right="80" w:firstLine="402"/>
        <w:rPr>
          <w:rFonts w:ascii="宋体" w:hAnsi="宋体" w:eastAsia="宋体" w:cs="宋体"/>
          <w:sz w:val="20"/>
          <w:szCs w:val="20"/>
        </w:rPr>
      </w:pPr>
      <w:r>
        <w:rPr>
          <w:rFonts w:ascii="宋体" w:hAnsi="宋体" w:eastAsia="宋体" w:cs="宋体"/>
          <w:spacing w:val="9"/>
          <w:sz w:val="20"/>
          <w:szCs w:val="20"/>
        </w:rPr>
        <w:t>各种防水做法的屋面工程量均以实做面积按“㎡</w:t>
      </w:r>
      <w:r>
        <w:rPr>
          <w:rFonts w:ascii="宋体" w:hAnsi="宋体" w:eastAsia="宋体" w:cs="宋体"/>
          <w:spacing w:val="-62"/>
          <w:sz w:val="20"/>
          <w:szCs w:val="20"/>
        </w:rPr>
        <w:t xml:space="preserve"> </w:t>
      </w:r>
      <w:r>
        <w:rPr>
          <w:rFonts w:ascii="宋体" w:hAnsi="宋体" w:eastAsia="宋体" w:cs="宋体"/>
          <w:spacing w:val="9"/>
          <w:sz w:val="20"/>
          <w:szCs w:val="20"/>
        </w:rPr>
        <w:t>”计算，斜屋</w:t>
      </w:r>
      <w:r>
        <w:rPr>
          <w:rFonts w:ascii="宋体" w:hAnsi="宋体" w:eastAsia="宋体" w:cs="宋体"/>
          <w:spacing w:val="8"/>
          <w:sz w:val="20"/>
          <w:szCs w:val="20"/>
        </w:rPr>
        <w:t>面按斜面积计算，不扣除</w:t>
      </w:r>
      <w:r>
        <w:rPr>
          <w:rFonts w:ascii="宋体" w:hAnsi="宋体" w:eastAsia="宋体" w:cs="宋体"/>
          <w:spacing w:val="-38"/>
          <w:sz w:val="20"/>
          <w:szCs w:val="20"/>
        </w:rPr>
        <w:t xml:space="preserve"> </w:t>
      </w:r>
      <w:r>
        <w:rPr>
          <w:rFonts w:ascii="宋体" w:hAnsi="宋体" w:eastAsia="宋体" w:cs="宋体"/>
          <w:spacing w:val="8"/>
          <w:sz w:val="20"/>
          <w:szCs w:val="20"/>
        </w:rPr>
        <w:t>0.3</w:t>
      </w:r>
      <w:r>
        <w:rPr>
          <w:rFonts w:ascii="宋体" w:hAnsi="宋体" w:eastAsia="宋体" w:cs="宋体"/>
          <w:spacing w:val="-34"/>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以内的孔洞所占的面积；平台面连接处的立墙防水层高度≤0.5m</w:t>
      </w:r>
      <w:r>
        <w:rPr>
          <w:rFonts w:ascii="宋体" w:hAnsi="宋体" w:eastAsia="宋体" w:cs="宋体"/>
          <w:spacing w:val="-41"/>
          <w:sz w:val="20"/>
          <w:szCs w:val="20"/>
        </w:rPr>
        <w:t xml:space="preserve"> </w:t>
      </w:r>
      <w:r>
        <w:rPr>
          <w:rFonts w:ascii="宋体" w:hAnsi="宋体" w:eastAsia="宋体" w:cs="宋体"/>
          <w:spacing w:val="8"/>
          <w:sz w:val="20"/>
          <w:szCs w:val="20"/>
        </w:rPr>
        <w:t>者，按展开面积计算，并入屋面防</w:t>
      </w:r>
    </w:p>
    <w:p>
      <w:pPr>
        <w:spacing w:line="368" w:lineRule="auto"/>
        <w:rPr>
          <w:rFonts w:ascii="宋体" w:hAnsi="宋体" w:eastAsia="宋体" w:cs="宋体"/>
          <w:sz w:val="20"/>
          <w:szCs w:val="20"/>
        </w:rPr>
        <w:sectPr>
          <w:footerReference r:id="rId168" w:type="default"/>
          <w:pgSz w:w="11906" w:h="16839"/>
          <w:pgMar w:top="400" w:right="1337"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rPr>
          <w:rFonts w:ascii="宋体" w:hAnsi="宋体" w:eastAsia="宋体" w:cs="宋体"/>
          <w:sz w:val="20"/>
          <w:szCs w:val="20"/>
        </w:rPr>
      </w:pPr>
      <w:r>
        <w:rPr>
          <w:rFonts w:ascii="宋体" w:hAnsi="宋体" w:eastAsia="宋体" w:cs="宋体"/>
          <w:spacing w:val="8"/>
          <w:position w:val="1"/>
          <w:sz w:val="20"/>
          <w:szCs w:val="20"/>
        </w:rPr>
        <w:t>水项目的工程量；立墙防水层高度＞0.5m</w:t>
      </w:r>
      <w:r>
        <w:rPr>
          <w:rFonts w:ascii="宋体" w:hAnsi="宋体" w:eastAsia="宋体" w:cs="宋体"/>
          <w:spacing w:val="-25"/>
          <w:position w:val="1"/>
          <w:sz w:val="20"/>
          <w:szCs w:val="20"/>
        </w:rPr>
        <w:t xml:space="preserve"> </w:t>
      </w:r>
      <w:r>
        <w:rPr>
          <w:rFonts w:ascii="宋体" w:hAnsi="宋体" w:eastAsia="宋体" w:cs="宋体"/>
          <w:spacing w:val="8"/>
          <w:position w:val="1"/>
          <w:sz w:val="20"/>
          <w:szCs w:val="20"/>
        </w:rPr>
        <w:t>的，按立墙防水层的面积计算。</w:t>
      </w:r>
    </w:p>
    <w:p>
      <w:pPr>
        <w:spacing w:before="127" w:line="221" w:lineRule="auto"/>
        <w:ind w:left="422"/>
        <w:rPr>
          <w:rFonts w:ascii="宋体" w:hAnsi="宋体" w:eastAsia="宋体" w:cs="宋体"/>
          <w:sz w:val="20"/>
          <w:szCs w:val="20"/>
        </w:rPr>
      </w:pPr>
      <w:r>
        <w:rPr>
          <w:rFonts w:ascii="宋体" w:hAnsi="宋体" w:eastAsia="宋体" w:cs="宋体"/>
          <w:spacing w:val="9"/>
          <w:sz w:val="20"/>
          <w:szCs w:val="20"/>
        </w:rPr>
        <w:t>屋面防水搭接、拼缝、压边、留槎用量已在定额内综合考虑，不另行计算。</w:t>
      </w:r>
    </w:p>
    <w:p>
      <w:pPr>
        <w:spacing w:before="157" w:line="366" w:lineRule="auto"/>
        <w:ind w:left="422"/>
        <w:rPr>
          <w:rFonts w:ascii="宋体" w:hAnsi="宋体" w:eastAsia="宋体" w:cs="宋体"/>
          <w:sz w:val="20"/>
          <w:szCs w:val="20"/>
        </w:rPr>
      </w:pPr>
      <w:r>
        <w:rPr>
          <w:rFonts w:ascii="宋体" w:hAnsi="宋体" w:eastAsia="宋体" w:cs="宋体"/>
          <w:spacing w:val="8"/>
          <w:sz w:val="20"/>
          <w:szCs w:val="20"/>
        </w:rPr>
        <w:t>卷材屋面及卷材防水的附加层、收头、接缝及冷底子油基层均已包</w:t>
      </w:r>
      <w:r>
        <w:rPr>
          <w:rFonts w:ascii="宋体" w:hAnsi="宋体" w:eastAsia="宋体" w:cs="宋体"/>
          <w:spacing w:val="7"/>
          <w:sz w:val="20"/>
          <w:szCs w:val="20"/>
        </w:rPr>
        <w:t>括在定额内，不再另行计算。</w:t>
      </w:r>
      <w:r>
        <w:rPr>
          <w:rFonts w:ascii="宋体" w:hAnsi="宋体" w:eastAsia="宋体" w:cs="宋体"/>
          <w:spacing w:val="10"/>
          <w:sz w:val="20"/>
          <w:szCs w:val="20"/>
        </w:rPr>
        <w:t>卷材防水中，卷材下找平层的嵌缝内容不包括</w:t>
      </w:r>
      <w:r>
        <w:rPr>
          <w:rFonts w:ascii="宋体" w:hAnsi="宋体" w:eastAsia="宋体" w:cs="宋体"/>
          <w:spacing w:val="9"/>
          <w:sz w:val="20"/>
          <w:szCs w:val="20"/>
        </w:rPr>
        <w:t>在定额内，发生时按定额有关项目套用。</w:t>
      </w:r>
    </w:p>
    <w:p>
      <w:pPr>
        <w:spacing w:before="5" w:line="276" w:lineRule="exact"/>
        <w:ind w:left="413"/>
        <w:rPr>
          <w:rFonts w:ascii="宋体" w:hAnsi="宋体" w:eastAsia="宋体" w:cs="宋体"/>
          <w:sz w:val="20"/>
          <w:szCs w:val="20"/>
        </w:rPr>
      </w:pPr>
      <w:r>
        <w:rPr>
          <w:rFonts w:ascii="宋体" w:hAnsi="宋体" w:eastAsia="宋体" w:cs="宋体"/>
          <w:b/>
          <w:bCs/>
          <w:spacing w:val="8"/>
          <w:position w:val="1"/>
          <w:sz w:val="20"/>
          <w:szCs w:val="20"/>
        </w:rPr>
        <w:t>（9）关于垂直运输的计价</w:t>
      </w:r>
    </w:p>
    <w:p>
      <w:pPr>
        <w:spacing w:before="126" w:line="355" w:lineRule="auto"/>
        <w:ind w:right="79" w:firstLine="419"/>
        <w:jc w:val="both"/>
        <w:rPr>
          <w:rFonts w:ascii="宋体" w:hAnsi="宋体" w:eastAsia="宋体" w:cs="宋体"/>
          <w:sz w:val="20"/>
          <w:szCs w:val="20"/>
        </w:rPr>
      </w:pPr>
      <w:r>
        <w:rPr>
          <w:rFonts w:ascii="宋体" w:hAnsi="宋体" w:eastAsia="宋体" w:cs="宋体"/>
          <w:spacing w:val="11"/>
          <w:sz w:val="20"/>
          <w:szCs w:val="20"/>
        </w:rPr>
        <w:t>垂直运输是指合理工期内完成修缮工程全部施工内容所需要的垂直运输费用（不</w:t>
      </w:r>
      <w:r>
        <w:rPr>
          <w:rFonts w:ascii="宋体" w:hAnsi="宋体" w:eastAsia="宋体" w:cs="宋体"/>
          <w:spacing w:val="10"/>
          <w:sz w:val="20"/>
          <w:szCs w:val="20"/>
        </w:rPr>
        <w:t>含拆除）。已</w:t>
      </w:r>
      <w:r>
        <w:rPr>
          <w:rFonts w:ascii="宋体" w:hAnsi="宋体" w:eastAsia="宋体" w:cs="宋体"/>
          <w:spacing w:val="8"/>
          <w:sz w:val="20"/>
          <w:szCs w:val="20"/>
        </w:rPr>
        <w:t>考虑了修缮高度≤3.6m</w:t>
      </w:r>
      <w:r>
        <w:rPr>
          <w:rFonts w:ascii="宋体" w:hAnsi="宋体" w:eastAsia="宋体" w:cs="宋体"/>
          <w:spacing w:val="-24"/>
          <w:sz w:val="20"/>
          <w:szCs w:val="20"/>
        </w:rPr>
        <w:t xml:space="preserve"> </w:t>
      </w:r>
      <w:r>
        <w:rPr>
          <w:rFonts w:ascii="宋体" w:hAnsi="宋体" w:eastAsia="宋体" w:cs="宋体"/>
          <w:spacing w:val="8"/>
          <w:sz w:val="20"/>
          <w:szCs w:val="20"/>
        </w:rPr>
        <w:t>的垂直运输</w:t>
      </w:r>
      <w:r>
        <w:rPr>
          <w:rFonts w:ascii="宋体" w:hAnsi="宋体" w:eastAsia="宋体" w:cs="宋体"/>
          <w:spacing w:val="-36"/>
          <w:sz w:val="20"/>
          <w:szCs w:val="20"/>
        </w:rPr>
        <w:t>，＞</w:t>
      </w:r>
      <w:r>
        <w:rPr>
          <w:rFonts w:ascii="宋体" w:hAnsi="宋体" w:eastAsia="宋体" w:cs="宋体"/>
          <w:spacing w:val="-57"/>
          <w:sz w:val="20"/>
          <w:szCs w:val="20"/>
        </w:rPr>
        <w:t xml:space="preserve"> </w:t>
      </w:r>
      <w:r>
        <w:rPr>
          <w:rFonts w:ascii="宋体" w:hAnsi="宋体" w:eastAsia="宋体" w:cs="宋体"/>
          <w:spacing w:val="8"/>
          <w:sz w:val="20"/>
          <w:szCs w:val="20"/>
        </w:rPr>
        <w:t>3.6m</w:t>
      </w:r>
      <w:r>
        <w:rPr>
          <w:rFonts w:ascii="宋体" w:hAnsi="宋体" w:eastAsia="宋体" w:cs="宋体"/>
          <w:spacing w:val="-40"/>
          <w:sz w:val="20"/>
          <w:szCs w:val="20"/>
        </w:rPr>
        <w:t xml:space="preserve"> </w:t>
      </w:r>
      <w:r>
        <w:rPr>
          <w:rFonts w:ascii="宋体" w:hAnsi="宋体" w:eastAsia="宋体" w:cs="宋体"/>
          <w:spacing w:val="8"/>
          <w:sz w:val="20"/>
          <w:szCs w:val="20"/>
        </w:rPr>
        <w:t>者，在编制最高投标限价时或施工过程中建设单位</w:t>
      </w:r>
      <w:r>
        <w:rPr>
          <w:rFonts w:ascii="宋体" w:hAnsi="宋体" w:eastAsia="宋体" w:cs="宋体"/>
          <w:spacing w:val="7"/>
          <w:sz w:val="20"/>
          <w:szCs w:val="20"/>
        </w:rPr>
        <w:t>未提</w:t>
      </w:r>
      <w:r>
        <w:rPr>
          <w:rFonts w:ascii="宋体" w:hAnsi="宋体" w:eastAsia="宋体" w:cs="宋体"/>
          <w:spacing w:val="9"/>
          <w:sz w:val="20"/>
          <w:szCs w:val="20"/>
        </w:rPr>
        <w:t>供电梯、升降机等垂直运输设备时，可计算垂直运输费用。</w:t>
      </w:r>
    </w:p>
    <w:p>
      <w:pPr>
        <w:spacing w:before="49" w:line="222" w:lineRule="auto"/>
        <w:ind w:left="420"/>
        <w:rPr>
          <w:rFonts w:ascii="宋体" w:hAnsi="宋体" w:eastAsia="宋体" w:cs="宋体"/>
          <w:sz w:val="20"/>
          <w:szCs w:val="20"/>
        </w:rPr>
      </w:pPr>
      <w:r>
        <w:rPr>
          <w:rFonts w:ascii="宋体" w:hAnsi="宋体" w:eastAsia="宋体" w:cs="宋体"/>
          <w:spacing w:val="9"/>
          <w:sz w:val="20"/>
          <w:szCs w:val="20"/>
        </w:rPr>
        <w:t>垂直运输费用按分部分项及措施项目定额人工工日乘以系数计算。</w:t>
      </w:r>
    </w:p>
    <w:p>
      <w:pPr>
        <w:spacing w:before="154" w:line="277" w:lineRule="exact"/>
        <w:ind w:left="420"/>
        <w:rPr>
          <w:rFonts w:ascii="宋体" w:hAnsi="宋体" w:eastAsia="宋体" w:cs="宋体"/>
          <w:sz w:val="20"/>
          <w:szCs w:val="20"/>
        </w:rPr>
      </w:pPr>
      <w:r>
        <w:rPr>
          <w:rFonts w:ascii="宋体" w:hAnsi="宋体" w:eastAsia="宋体" w:cs="宋体"/>
          <w:spacing w:val="11"/>
          <w:position w:val="1"/>
          <w:sz w:val="20"/>
          <w:szCs w:val="20"/>
        </w:rPr>
        <w:t>人力运输+垂直运输机械：按人力运输相应高度对应系数的基础上乘以</w:t>
      </w:r>
      <w:r>
        <w:rPr>
          <w:rFonts w:ascii="宋体" w:hAnsi="宋体" w:eastAsia="宋体" w:cs="宋体"/>
          <w:spacing w:val="-38"/>
          <w:position w:val="1"/>
          <w:sz w:val="20"/>
          <w:szCs w:val="20"/>
        </w:rPr>
        <w:t xml:space="preserve"> </w:t>
      </w:r>
      <w:r>
        <w:rPr>
          <w:rFonts w:ascii="宋体" w:hAnsi="宋体" w:eastAsia="宋体" w:cs="宋体"/>
          <w:spacing w:val="11"/>
          <w:position w:val="1"/>
          <w:sz w:val="20"/>
          <w:szCs w:val="20"/>
        </w:rPr>
        <w:t>60</w:t>
      </w:r>
      <w:r>
        <w:rPr>
          <w:rFonts w:ascii="宋体" w:hAnsi="宋体" w:eastAsia="宋体" w:cs="宋体"/>
          <w:spacing w:val="10"/>
          <w:position w:val="1"/>
          <w:sz w:val="20"/>
          <w:szCs w:val="20"/>
        </w:rPr>
        <w:t>%计算。</w:t>
      </w:r>
    </w:p>
    <w:p>
      <w:pPr>
        <w:spacing w:before="124" w:line="278" w:lineRule="exact"/>
        <w:ind w:left="420"/>
        <w:rPr>
          <w:rFonts w:ascii="宋体" w:hAnsi="宋体" w:eastAsia="宋体" w:cs="宋体"/>
          <w:sz w:val="20"/>
          <w:szCs w:val="20"/>
        </w:rPr>
      </w:pPr>
      <w:r>
        <w:rPr>
          <w:rFonts w:ascii="宋体" w:hAnsi="宋体" w:eastAsia="宋体" w:cs="宋体"/>
          <w:spacing w:val="11"/>
          <w:position w:val="1"/>
          <w:sz w:val="20"/>
          <w:szCs w:val="20"/>
        </w:rPr>
        <w:t>人力运输+现有电梯：按相应高度对应系数的基础上乘以</w:t>
      </w:r>
      <w:r>
        <w:rPr>
          <w:rFonts w:ascii="宋体" w:hAnsi="宋体" w:eastAsia="宋体" w:cs="宋体"/>
          <w:spacing w:val="-36"/>
          <w:position w:val="1"/>
          <w:sz w:val="20"/>
          <w:szCs w:val="20"/>
        </w:rPr>
        <w:t xml:space="preserve"> </w:t>
      </w:r>
      <w:r>
        <w:rPr>
          <w:rFonts w:ascii="宋体" w:hAnsi="宋体" w:eastAsia="宋体" w:cs="宋体"/>
          <w:spacing w:val="11"/>
          <w:position w:val="1"/>
          <w:sz w:val="20"/>
          <w:szCs w:val="20"/>
        </w:rPr>
        <w:t>20%计算。</w:t>
      </w:r>
    </w:p>
    <w:p>
      <w:pPr>
        <w:spacing w:before="123" w:line="277" w:lineRule="exact"/>
        <w:ind w:left="440"/>
        <w:rPr>
          <w:rFonts w:ascii="宋体" w:hAnsi="宋体" w:eastAsia="宋体" w:cs="宋体"/>
          <w:sz w:val="20"/>
          <w:szCs w:val="20"/>
        </w:rPr>
      </w:pPr>
      <w:r>
        <w:rPr>
          <w:rFonts w:ascii="宋体" w:hAnsi="宋体" w:eastAsia="宋体" w:cs="宋体"/>
          <w:b/>
          <w:bCs/>
          <w:spacing w:val="2"/>
          <w:position w:val="1"/>
          <w:sz w:val="20"/>
          <w:szCs w:val="20"/>
        </w:rPr>
        <w:t>15.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安装分册有关问题的说明</w:t>
      </w:r>
    </w:p>
    <w:p>
      <w:pPr>
        <w:spacing w:before="121" w:line="278" w:lineRule="exact"/>
        <w:ind w:left="413"/>
        <w:rPr>
          <w:rFonts w:ascii="宋体" w:hAnsi="宋体" w:eastAsia="宋体" w:cs="宋体"/>
          <w:sz w:val="20"/>
          <w:szCs w:val="20"/>
        </w:rPr>
      </w:pPr>
      <w:r>
        <w:rPr>
          <w:rFonts w:ascii="宋体" w:hAnsi="宋体" w:eastAsia="宋体" w:cs="宋体"/>
          <w:b/>
          <w:bCs/>
          <w:spacing w:val="5"/>
          <w:position w:val="1"/>
          <w:sz w:val="20"/>
          <w:szCs w:val="20"/>
        </w:rPr>
        <w:t>（</w:t>
      </w:r>
      <w:r>
        <w:rPr>
          <w:rFonts w:ascii="宋体" w:hAnsi="宋体" w:eastAsia="宋体" w:cs="宋体"/>
          <w:spacing w:val="-34"/>
          <w:position w:val="1"/>
          <w:sz w:val="20"/>
          <w:szCs w:val="20"/>
        </w:rPr>
        <w:t xml:space="preserve"> </w:t>
      </w:r>
      <w:r>
        <w:rPr>
          <w:rFonts w:ascii="宋体" w:hAnsi="宋体" w:eastAsia="宋体" w:cs="宋体"/>
          <w:b/>
          <w:bCs/>
          <w:spacing w:val="5"/>
          <w:position w:val="1"/>
          <w:sz w:val="20"/>
          <w:szCs w:val="20"/>
        </w:rPr>
        <w:t>1）《安装分册定额》与其他定额的关系</w:t>
      </w:r>
    </w:p>
    <w:p>
      <w:pPr>
        <w:spacing w:before="123" w:line="321" w:lineRule="auto"/>
        <w:ind w:left="3" w:right="77" w:firstLine="417"/>
        <w:rPr>
          <w:rFonts w:ascii="宋体" w:hAnsi="宋体" w:eastAsia="宋体" w:cs="宋体"/>
          <w:sz w:val="20"/>
          <w:szCs w:val="20"/>
        </w:rPr>
      </w:pPr>
      <w:r>
        <w:rPr>
          <w:rFonts w:ascii="宋体" w:hAnsi="宋体" w:eastAsia="宋体" w:cs="宋体"/>
          <w:spacing w:val="11"/>
          <w:sz w:val="20"/>
          <w:szCs w:val="20"/>
        </w:rPr>
        <w:t>①房屋修缮工程中的安装项目，使用《山东省安装工程消耗量定额》相应项目，定</w:t>
      </w:r>
      <w:r>
        <w:rPr>
          <w:rFonts w:ascii="宋体" w:hAnsi="宋体" w:eastAsia="宋体" w:cs="宋体"/>
          <w:spacing w:val="10"/>
          <w:sz w:val="20"/>
          <w:szCs w:val="20"/>
        </w:rPr>
        <w:t>额人工、机</w:t>
      </w:r>
      <w:r>
        <w:rPr>
          <w:rFonts w:ascii="宋体" w:hAnsi="宋体" w:eastAsia="宋体" w:cs="宋体"/>
          <w:spacing w:val="9"/>
          <w:sz w:val="20"/>
          <w:szCs w:val="20"/>
        </w:rPr>
        <w:t>械乘以系数</w:t>
      </w:r>
      <w:r>
        <w:rPr>
          <w:rFonts w:ascii="宋体" w:hAnsi="宋体" w:eastAsia="宋体" w:cs="宋体"/>
          <w:spacing w:val="-22"/>
          <w:sz w:val="20"/>
          <w:szCs w:val="20"/>
        </w:rPr>
        <w:t xml:space="preserve"> </w:t>
      </w:r>
      <w:r>
        <w:rPr>
          <w:rFonts w:ascii="宋体" w:hAnsi="宋体" w:eastAsia="宋体" w:cs="宋体"/>
          <w:spacing w:val="9"/>
          <w:sz w:val="20"/>
          <w:szCs w:val="20"/>
        </w:rPr>
        <w:t>1.10，安装定额的各类调整系数、说明等同</w:t>
      </w:r>
      <w:r>
        <w:rPr>
          <w:rFonts w:ascii="宋体" w:hAnsi="宋体" w:eastAsia="宋体" w:cs="宋体"/>
          <w:spacing w:val="8"/>
          <w:sz w:val="20"/>
          <w:szCs w:val="20"/>
        </w:rPr>
        <w:t>时适用，安装与生产（使用）同时进行增加</w:t>
      </w:r>
      <w:r>
        <w:rPr>
          <w:rFonts w:ascii="宋体" w:hAnsi="宋体" w:eastAsia="宋体" w:cs="宋体"/>
          <w:spacing w:val="6"/>
          <w:sz w:val="20"/>
          <w:szCs w:val="20"/>
        </w:rPr>
        <w:t>费不执行。</w:t>
      </w:r>
    </w:p>
    <w:p>
      <w:pPr>
        <w:spacing w:before="156" w:line="298" w:lineRule="auto"/>
        <w:ind w:left="3" w:right="77" w:firstLine="418"/>
        <w:rPr>
          <w:rFonts w:ascii="宋体" w:hAnsi="宋体" w:eastAsia="宋体" w:cs="宋体"/>
          <w:sz w:val="20"/>
          <w:szCs w:val="20"/>
        </w:rPr>
      </w:pPr>
      <w:r>
        <w:rPr>
          <w:rFonts w:ascii="宋体" w:hAnsi="宋体" w:eastAsia="宋体" w:cs="宋体"/>
          <w:spacing w:val="11"/>
          <w:sz w:val="20"/>
          <w:szCs w:val="20"/>
        </w:rPr>
        <w:t>②房屋修缮工程中的安装项目使用《山东省安装工程消耗量定额》时，工程费用取</w:t>
      </w:r>
      <w:r>
        <w:rPr>
          <w:rFonts w:ascii="宋体" w:hAnsi="宋体" w:eastAsia="宋体" w:cs="宋体"/>
          <w:spacing w:val="10"/>
          <w:sz w:val="20"/>
          <w:szCs w:val="20"/>
        </w:rPr>
        <w:t>费费率仍按</w:t>
      </w:r>
      <w:r>
        <w:rPr>
          <w:rFonts w:ascii="宋体" w:hAnsi="宋体" w:eastAsia="宋体" w:cs="宋体"/>
          <w:spacing w:val="8"/>
          <w:sz w:val="20"/>
          <w:szCs w:val="20"/>
        </w:rPr>
        <w:t>房屋修缮工程费率执行。</w:t>
      </w:r>
    </w:p>
    <w:p>
      <w:pPr>
        <w:spacing w:before="154" w:line="278" w:lineRule="exact"/>
        <w:ind w:left="413"/>
        <w:rPr>
          <w:rFonts w:ascii="宋体" w:hAnsi="宋体" w:eastAsia="宋体" w:cs="宋体"/>
          <w:sz w:val="20"/>
          <w:szCs w:val="20"/>
        </w:rPr>
      </w:pPr>
      <w:r>
        <w:rPr>
          <w:rFonts w:ascii="宋体" w:hAnsi="宋体" w:eastAsia="宋体" w:cs="宋体"/>
          <w:b/>
          <w:bCs/>
          <w:spacing w:val="6"/>
          <w:position w:val="1"/>
          <w:sz w:val="20"/>
          <w:szCs w:val="20"/>
        </w:rPr>
        <w:t>（2）在既有建筑中增加功能，或在已投入使用的建筑物中，整体拆除，重新设计，改变了原有</w:t>
      </w:r>
    </w:p>
    <w:p>
      <w:pPr>
        <w:spacing w:before="126" w:line="221" w:lineRule="auto"/>
        <w:ind w:left="1"/>
        <w:rPr>
          <w:rFonts w:ascii="宋体" w:hAnsi="宋体" w:eastAsia="宋体" w:cs="宋体"/>
          <w:sz w:val="20"/>
          <w:szCs w:val="20"/>
        </w:rPr>
      </w:pPr>
      <w:r>
        <w:rPr>
          <w:rFonts w:ascii="宋体" w:hAnsi="宋体" w:eastAsia="宋体" w:cs="宋体"/>
          <w:b/>
          <w:bCs/>
          <w:spacing w:val="8"/>
          <w:sz w:val="20"/>
          <w:szCs w:val="20"/>
        </w:rPr>
        <w:t>建筑的使用功能的情况下的计价</w:t>
      </w:r>
    </w:p>
    <w:p>
      <w:pPr>
        <w:spacing w:before="162" w:line="368" w:lineRule="auto"/>
        <w:ind w:left="2" w:right="79" w:firstLine="420"/>
        <w:jc w:val="both"/>
        <w:rPr>
          <w:rFonts w:ascii="宋体" w:hAnsi="宋体" w:eastAsia="宋体" w:cs="宋体"/>
          <w:sz w:val="20"/>
          <w:szCs w:val="20"/>
        </w:rPr>
      </w:pPr>
      <w:r>
        <w:rPr>
          <w:rFonts w:ascii="宋体" w:hAnsi="宋体" w:eastAsia="宋体" w:cs="宋体"/>
          <w:spacing w:val="11"/>
          <w:sz w:val="20"/>
          <w:szCs w:val="20"/>
        </w:rPr>
        <w:t>在既有建筑中增加功能，或在已投入使用的建筑物中，整体拆除，重新设</w:t>
      </w:r>
      <w:r>
        <w:rPr>
          <w:rFonts w:ascii="宋体" w:hAnsi="宋体" w:eastAsia="宋体" w:cs="宋体"/>
          <w:spacing w:val="10"/>
          <w:sz w:val="20"/>
          <w:szCs w:val="20"/>
        </w:rPr>
        <w:t>计，改变了原有建筑</w:t>
      </w:r>
      <w:r>
        <w:rPr>
          <w:rFonts w:ascii="宋体" w:hAnsi="宋体" w:eastAsia="宋体" w:cs="宋体"/>
          <w:spacing w:val="11"/>
          <w:sz w:val="20"/>
          <w:szCs w:val="20"/>
        </w:rPr>
        <w:t>的使用功能，执行《山东省安装工程消耗量定额》。举例说明：原建筑为仓</w:t>
      </w:r>
      <w:r>
        <w:rPr>
          <w:rFonts w:ascii="宋体" w:hAnsi="宋体" w:eastAsia="宋体" w:cs="宋体"/>
          <w:spacing w:val="10"/>
          <w:sz w:val="20"/>
          <w:szCs w:val="20"/>
        </w:rPr>
        <w:t>库，原室内设施全部拆</w:t>
      </w:r>
      <w:r>
        <w:rPr>
          <w:rFonts w:ascii="宋体" w:hAnsi="宋体" w:eastAsia="宋体" w:cs="宋体"/>
          <w:spacing w:val="11"/>
          <w:sz w:val="20"/>
          <w:szCs w:val="20"/>
        </w:rPr>
        <w:t>除，重新设计为宿舍楼，水、电、暖、消防专业工程全部重新设计的安装工</w:t>
      </w:r>
      <w:r>
        <w:rPr>
          <w:rFonts w:ascii="宋体" w:hAnsi="宋体" w:eastAsia="宋体" w:cs="宋体"/>
          <w:spacing w:val="10"/>
          <w:sz w:val="20"/>
          <w:szCs w:val="20"/>
        </w:rPr>
        <w:t>程，执行《山东省安装</w:t>
      </w:r>
      <w:r>
        <w:rPr>
          <w:rFonts w:ascii="宋体" w:hAnsi="宋体" w:eastAsia="宋体" w:cs="宋体"/>
          <w:spacing w:val="7"/>
          <w:sz w:val="20"/>
          <w:szCs w:val="20"/>
        </w:rPr>
        <w:t>工程消耗量定额》。</w:t>
      </w:r>
    </w:p>
    <w:p>
      <w:pPr>
        <w:spacing w:line="276" w:lineRule="exact"/>
        <w:ind w:left="413"/>
        <w:rPr>
          <w:rFonts w:ascii="宋体" w:hAnsi="宋体" w:eastAsia="宋体" w:cs="宋体"/>
          <w:sz w:val="20"/>
          <w:szCs w:val="20"/>
        </w:rPr>
      </w:pPr>
      <w:r>
        <w:rPr>
          <w:rFonts w:ascii="宋体" w:hAnsi="宋体" w:eastAsia="宋体" w:cs="宋体"/>
          <w:b/>
          <w:bCs/>
          <w:spacing w:val="8"/>
          <w:position w:val="1"/>
          <w:sz w:val="20"/>
          <w:szCs w:val="20"/>
        </w:rPr>
        <w:t>（3）关于措施项目费的计价</w:t>
      </w:r>
    </w:p>
    <w:p>
      <w:pPr>
        <w:spacing w:before="122" w:line="349" w:lineRule="auto"/>
        <w:ind w:right="77" w:firstLine="421"/>
        <w:rPr>
          <w:rFonts w:ascii="宋体" w:hAnsi="宋体" w:eastAsia="宋体" w:cs="宋体"/>
          <w:sz w:val="20"/>
          <w:szCs w:val="20"/>
        </w:rPr>
      </w:pPr>
      <w:r>
        <w:rPr>
          <w:rFonts w:ascii="宋体" w:hAnsi="宋体" w:eastAsia="宋体" w:cs="宋体"/>
          <w:spacing w:val="11"/>
          <w:sz w:val="20"/>
          <w:szCs w:val="20"/>
        </w:rPr>
        <w:t>①措施项目费是指为完成建设工程施工，发生于该工程施工前和施工过程中的技术</w:t>
      </w:r>
      <w:r>
        <w:rPr>
          <w:rFonts w:ascii="宋体" w:hAnsi="宋体" w:eastAsia="宋体" w:cs="宋体"/>
          <w:spacing w:val="10"/>
          <w:sz w:val="20"/>
          <w:szCs w:val="20"/>
        </w:rPr>
        <w:t>、生活、安</w:t>
      </w:r>
      <w:r>
        <w:rPr>
          <w:rFonts w:ascii="宋体" w:hAnsi="宋体" w:eastAsia="宋体" w:cs="宋体"/>
          <w:spacing w:val="11"/>
          <w:sz w:val="20"/>
          <w:szCs w:val="20"/>
        </w:rPr>
        <w:t>全、环境保护等方面的费用。措施项目费的计取方法主要有两种：一是定额册说</w:t>
      </w:r>
      <w:r>
        <w:rPr>
          <w:rFonts w:ascii="宋体" w:hAnsi="宋体" w:eastAsia="宋体" w:cs="宋体"/>
          <w:spacing w:val="10"/>
          <w:sz w:val="20"/>
          <w:szCs w:val="20"/>
        </w:rPr>
        <w:t>明中列有计取系数</w:t>
      </w:r>
      <w:r>
        <w:rPr>
          <w:rFonts w:ascii="宋体" w:hAnsi="宋体" w:eastAsia="宋体" w:cs="宋体"/>
          <w:spacing w:val="11"/>
          <w:sz w:val="20"/>
          <w:szCs w:val="20"/>
        </w:rPr>
        <w:t>的项目，按系数计取，脚手架搭拆费、建筑物超高增加费。本定额已综合考虑了修缮工</w:t>
      </w:r>
      <w:r>
        <w:rPr>
          <w:rFonts w:ascii="宋体" w:hAnsi="宋体" w:eastAsia="宋体" w:cs="宋体"/>
          <w:spacing w:val="10"/>
          <w:sz w:val="20"/>
          <w:szCs w:val="20"/>
        </w:rPr>
        <w:t>程的特点，</w:t>
      </w:r>
      <w:r>
        <w:rPr>
          <w:rFonts w:ascii="宋体" w:hAnsi="宋体" w:eastAsia="宋体" w:cs="宋体"/>
          <w:spacing w:val="11"/>
          <w:sz w:val="20"/>
          <w:szCs w:val="20"/>
        </w:rPr>
        <w:t>如修缮工程的零星分散、施工现场狭窄、搬运影响操作的障碍物、施工环境差异</w:t>
      </w:r>
      <w:r>
        <w:rPr>
          <w:rFonts w:ascii="宋体" w:hAnsi="宋体" w:eastAsia="宋体" w:cs="宋体"/>
          <w:spacing w:val="10"/>
          <w:sz w:val="20"/>
          <w:szCs w:val="20"/>
        </w:rPr>
        <w:t>等复杂因素，不再计取安装定额中的地下室（</w:t>
      </w:r>
      <w:r>
        <w:rPr>
          <w:rFonts w:ascii="宋体" w:hAnsi="宋体" w:eastAsia="宋体" w:cs="宋体"/>
          <w:spacing w:val="-53"/>
          <w:sz w:val="20"/>
          <w:szCs w:val="20"/>
        </w:rPr>
        <w:t xml:space="preserve"> </w:t>
      </w:r>
      <w:r>
        <w:rPr>
          <w:rFonts w:ascii="宋体" w:hAnsi="宋体" w:eastAsia="宋体" w:cs="宋体"/>
          <w:spacing w:val="10"/>
          <w:sz w:val="20"/>
          <w:szCs w:val="20"/>
        </w:rPr>
        <w:t>暗室）增加费、安装与生产（使用）同时进</w:t>
      </w:r>
      <w:r>
        <w:rPr>
          <w:rFonts w:ascii="宋体" w:hAnsi="宋体" w:eastAsia="宋体" w:cs="宋体"/>
          <w:spacing w:val="9"/>
          <w:sz w:val="20"/>
          <w:szCs w:val="20"/>
        </w:rPr>
        <w:t>行施工增加费等费用。二是</w:t>
      </w:r>
      <w:r>
        <w:rPr>
          <w:rFonts w:ascii="宋体" w:hAnsi="宋体" w:eastAsia="宋体" w:cs="宋体"/>
          <w:spacing w:val="11"/>
          <w:sz w:val="20"/>
          <w:szCs w:val="20"/>
        </w:rPr>
        <w:t>在安装工程费用项目组成及计算规则中按费率计取的项目，如夜间施工费、二次</w:t>
      </w:r>
      <w:r>
        <w:rPr>
          <w:rFonts w:ascii="宋体" w:hAnsi="宋体" w:eastAsia="宋体" w:cs="宋体"/>
          <w:spacing w:val="10"/>
          <w:sz w:val="20"/>
          <w:szCs w:val="20"/>
        </w:rPr>
        <w:t>搬运费、冬雨季施</w:t>
      </w:r>
      <w:r>
        <w:rPr>
          <w:rFonts w:ascii="宋体" w:hAnsi="宋体" w:eastAsia="宋体" w:cs="宋体"/>
          <w:spacing w:val="9"/>
          <w:sz w:val="20"/>
          <w:szCs w:val="20"/>
        </w:rPr>
        <w:t>工增加费、已完工程及设备保护费。</w:t>
      </w:r>
    </w:p>
    <w:p>
      <w:pPr>
        <w:spacing w:before="157" w:line="321" w:lineRule="auto"/>
        <w:ind w:firstLine="420"/>
        <w:rPr>
          <w:rFonts w:ascii="宋体" w:hAnsi="宋体" w:eastAsia="宋体" w:cs="宋体"/>
          <w:sz w:val="20"/>
          <w:szCs w:val="20"/>
        </w:rPr>
      </w:pPr>
      <w:r>
        <w:rPr>
          <w:rFonts w:ascii="宋体" w:hAnsi="宋体" w:eastAsia="宋体" w:cs="宋体"/>
          <w:spacing w:val="9"/>
          <w:sz w:val="20"/>
          <w:szCs w:val="20"/>
        </w:rPr>
        <w:t>②脚手架搭拆包括材料搬运，搭、拆脚手架、拆除脚手架后材料的堆放。按定额人工费（</w:t>
      </w:r>
      <w:r>
        <w:rPr>
          <w:rFonts w:ascii="宋体" w:hAnsi="宋体" w:eastAsia="宋体" w:cs="宋体"/>
          <w:spacing w:val="-33"/>
          <w:sz w:val="20"/>
          <w:szCs w:val="20"/>
        </w:rPr>
        <w:t xml:space="preserve"> </w:t>
      </w:r>
      <w:r>
        <w:rPr>
          <w:rFonts w:ascii="宋体" w:hAnsi="宋体" w:eastAsia="宋体" w:cs="宋体"/>
          <w:spacing w:val="9"/>
          <w:sz w:val="20"/>
          <w:szCs w:val="20"/>
        </w:rPr>
        <w:t>10</w:t>
      </w:r>
      <w:r>
        <w:rPr>
          <w:rFonts w:ascii="宋体" w:hAnsi="宋体" w:eastAsia="宋体" w:cs="宋体"/>
          <w:sz w:val="20"/>
          <w:szCs w:val="20"/>
        </w:rPr>
        <w:t>kV</w:t>
      </w:r>
      <w:r>
        <w:rPr>
          <w:rFonts w:ascii="宋体" w:hAnsi="宋体" w:eastAsia="宋体" w:cs="宋体"/>
          <w:spacing w:val="6"/>
          <w:sz w:val="20"/>
          <w:szCs w:val="20"/>
        </w:rPr>
        <w:t>以下架空配电线路、路灯、室外直埋敷设电缆和管线拆除除外）的 5%计算，其费用中人工费占</w:t>
      </w:r>
      <w:r>
        <w:rPr>
          <w:rFonts w:ascii="宋体" w:hAnsi="宋体" w:eastAsia="宋体" w:cs="宋体"/>
          <w:spacing w:val="-36"/>
          <w:sz w:val="20"/>
          <w:szCs w:val="20"/>
        </w:rPr>
        <w:t xml:space="preserve"> </w:t>
      </w:r>
      <w:r>
        <w:rPr>
          <w:rFonts w:ascii="宋体" w:hAnsi="宋体" w:eastAsia="宋体" w:cs="宋体"/>
          <w:spacing w:val="6"/>
          <w:sz w:val="20"/>
          <w:szCs w:val="20"/>
        </w:rPr>
        <w:t>35</w:t>
      </w:r>
      <w:r>
        <w:rPr>
          <w:rFonts w:ascii="宋体" w:hAnsi="宋体" w:eastAsia="宋体" w:cs="宋体"/>
          <w:spacing w:val="5"/>
          <w:sz w:val="20"/>
          <w:szCs w:val="20"/>
        </w:rPr>
        <w:t>%。</w:t>
      </w:r>
      <w:r>
        <w:rPr>
          <w:rFonts w:ascii="宋体" w:hAnsi="宋体" w:eastAsia="宋体" w:cs="宋体"/>
          <w:spacing w:val="10"/>
          <w:sz w:val="20"/>
          <w:szCs w:val="20"/>
        </w:rPr>
        <w:t>脚手架搭拆系数考虑安装专业自设脚手架，如部分</w:t>
      </w:r>
      <w:r>
        <w:rPr>
          <w:rFonts w:ascii="宋体" w:hAnsi="宋体" w:eastAsia="宋体" w:cs="宋体"/>
          <w:spacing w:val="9"/>
          <w:sz w:val="20"/>
          <w:szCs w:val="20"/>
        </w:rPr>
        <w:t>使用土建专业脚手架按无偿使用考虑。</w:t>
      </w:r>
    </w:p>
    <w:p>
      <w:pPr>
        <w:spacing w:line="321" w:lineRule="auto"/>
        <w:rPr>
          <w:rFonts w:ascii="宋体" w:hAnsi="宋体" w:eastAsia="宋体" w:cs="宋体"/>
          <w:sz w:val="20"/>
          <w:szCs w:val="20"/>
        </w:rPr>
        <w:sectPr>
          <w:footerReference r:id="rId169" w:type="default"/>
          <w:pgSz w:w="11906" w:h="16839"/>
          <w:pgMar w:top="400" w:right="1341"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0" w:lineRule="auto"/>
        <w:ind w:right="83" w:firstLine="413"/>
        <w:rPr>
          <w:rFonts w:ascii="宋体" w:hAnsi="宋体" w:eastAsia="宋体" w:cs="宋体"/>
          <w:sz w:val="20"/>
          <w:szCs w:val="20"/>
        </w:rPr>
      </w:pPr>
      <w:r>
        <w:rPr>
          <w:rFonts w:ascii="宋体" w:hAnsi="宋体" w:eastAsia="宋体" w:cs="宋体"/>
          <w:b/>
          <w:bCs/>
          <w:spacing w:val="6"/>
          <w:sz w:val="20"/>
          <w:szCs w:val="20"/>
        </w:rPr>
        <w:t>（4）关于消防喷头、水流指示器、减压孔板等消防组件不从管道上单独卸下，而是随同管道一</w:t>
      </w:r>
      <w:r>
        <w:rPr>
          <w:rFonts w:ascii="宋体" w:hAnsi="宋体" w:eastAsia="宋体" w:cs="宋体"/>
          <w:b/>
          <w:bCs/>
          <w:spacing w:val="8"/>
          <w:sz w:val="20"/>
          <w:szCs w:val="20"/>
        </w:rPr>
        <w:t>起拆除时的计价</w:t>
      </w:r>
    </w:p>
    <w:p>
      <w:pPr>
        <w:spacing w:before="45" w:line="364" w:lineRule="auto"/>
        <w:ind w:left="12" w:right="83" w:firstLine="411"/>
        <w:rPr>
          <w:rFonts w:ascii="宋体" w:hAnsi="宋体" w:eastAsia="宋体" w:cs="宋体"/>
          <w:sz w:val="20"/>
          <w:szCs w:val="20"/>
        </w:rPr>
      </w:pPr>
      <w:r>
        <w:rPr>
          <w:rFonts w:ascii="宋体" w:hAnsi="宋体" w:eastAsia="宋体" w:cs="宋体"/>
          <w:spacing w:val="11"/>
          <w:sz w:val="20"/>
          <w:szCs w:val="20"/>
        </w:rPr>
        <w:t>如消防喷头、水流指示器、减压孔板等消防组件不从管道上单独卸下，</w:t>
      </w:r>
      <w:r>
        <w:rPr>
          <w:rFonts w:ascii="宋体" w:hAnsi="宋体" w:eastAsia="宋体" w:cs="宋体"/>
          <w:spacing w:val="10"/>
          <w:sz w:val="20"/>
          <w:szCs w:val="20"/>
        </w:rPr>
        <w:t>而是随同管道一起拆除</w:t>
      </w:r>
      <w:r>
        <w:rPr>
          <w:rFonts w:ascii="宋体" w:hAnsi="宋体" w:eastAsia="宋体" w:cs="宋体"/>
          <w:spacing w:val="9"/>
          <w:sz w:val="20"/>
          <w:szCs w:val="20"/>
        </w:rPr>
        <w:t>时，则不应另计消防组件拆除工程量。包含在消防管道的拆除中。</w:t>
      </w:r>
    </w:p>
    <w:p>
      <w:pPr>
        <w:spacing w:line="283" w:lineRule="exact"/>
        <w:ind w:left="413"/>
        <w:rPr>
          <w:rFonts w:ascii="宋体" w:hAnsi="宋体" w:eastAsia="宋体" w:cs="宋体"/>
          <w:sz w:val="20"/>
          <w:szCs w:val="20"/>
        </w:rPr>
      </w:pPr>
      <w:r>
        <w:rPr>
          <w:rFonts w:ascii="宋体" w:hAnsi="宋体" w:eastAsia="宋体" w:cs="宋体"/>
          <w:b/>
          <w:bCs/>
          <w:spacing w:val="8"/>
          <w:position w:val="1"/>
          <w:sz w:val="20"/>
          <w:szCs w:val="20"/>
        </w:rPr>
        <w:t>（5）关于室内明装、暗装给水、排水管拆除的计价</w:t>
      </w:r>
    </w:p>
    <w:p>
      <w:pPr>
        <w:spacing w:before="117" w:line="372" w:lineRule="auto"/>
        <w:ind w:left="14" w:firstLine="411"/>
        <w:rPr>
          <w:rFonts w:ascii="宋体" w:hAnsi="宋体" w:eastAsia="宋体" w:cs="宋体"/>
          <w:sz w:val="20"/>
          <w:szCs w:val="20"/>
        </w:rPr>
      </w:pPr>
      <w:r>
        <w:rPr>
          <w:rFonts w:ascii="宋体" w:hAnsi="宋体" w:eastAsia="宋体" w:cs="宋体"/>
          <w:spacing w:val="8"/>
          <w:sz w:val="20"/>
          <w:szCs w:val="20"/>
        </w:rPr>
        <w:t>室内明装塑料给水管、暗装塑料给水管、明装塑料排水管、暗装塑</w:t>
      </w:r>
      <w:r>
        <w:rPr>
          <w:rFonts w:ascii="宋体" w:hAnsi="宋体" w:eastAsia="宋体" w:cs="宋体"/>
          <w:spacing w:val="7"/>
          <w:sz w:val="20"/>
          <w:szCs w:val="20"/>
        </w:rPr>
        <w:t>料排水管、明装铝塑复合管、</w:t>
      </w:r>
      <w:r>
        <w:rPr>
          <w:rFonts w:ascii="宋体" w:hAnsi="宋体" w:eastAsia="宋体" w:cs="宋体"/>
          <w:spacing w:val="8"/>
          <w:sz w:val="20"/>
          <w:szCs w:val="20"/>
        </w:rPr>
        <w:t>暗装铝塑复合管合并为室内塑料管拆除。</w:t>
      </w:r>
    </w:p>
    <w:p>
      <w:pPr>
        <w:spacing w:line="277" w:lineRule="exact"/>
        <w:ind w:left="440"/>
        <w:rPr>
          <w:rFonts w:ascii="宋体" w:hAnsi="宋体" w:eastAsia="宋体" w:cs="宋体"/>
          <w:sz w:val="20"/>
          <w:szCs w:val="20"/>
        </w:rPr>
      </w:pPr>
      <w:r>
        <w:rPr>
          <w:rFonts w:ascii="宋体" w:hAnsi="宋体" w:eastAsia="宋体" w:cs="宋体"/>
          <w:b/>
          <w:bCs/>
          <w:spacing w:val="1"/>
          <w:position w:val="1"/>
          <w:sz w:val="20"/>
          <w:szCs w:val="20"/>
        </w:rPr>
        <w:t>16.关于计价依据的解释</w:t>
      </w:r>
    </w:p>
    <w:p>
      <w:pPr>
        <w:spacing w:before="125" w:line="368" w:lineRule="auto"/>
        <w:ind w:right="80"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转发山东省住房和城乡建设厅〈关于印发《山东省建设工程计价依据解释工作办法》</w:t>
      </w:r>
      <w:r>
        <w:rPr>
          <w:rFonts w:ascii="宋体" w:hAnsi="宋体" w:eastAsia="宋体" w:cs="宋体"/>
          <w:spacing w:val="10"/>
          <w:sz w:val="20"/>
          <w:szCs w:val="20"/>
        </w:rPr>
        <w:t>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8" w:lineRule="auto"/>
        <w:rPr>
          <w:rFonts w:ascii="宋体" w:hAnsi="宋体" w:eastAsia="宋体" w:cs="宋体"/>
          <w:sz w:val="20"/>
          <w:szCs w:val="20"/>
        </w:rPr>
        <w:sectPr>
          <w:footerReference r:id="rId170" w:type="default"/>
          <w:pgSz w:w="11906" w:h="16839"/>
          <w:pgMar w:top="400" w:right="1337" w:bottom="1212" w:left="1418"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2" w:lineRule="auto"/>
        <w:ind w:left="1829"/>
        <w:outlineLvl w:val="1"/>
        <w:rPr>
          <w:rFonts w:ascii="宋体" w:hAnsi="宋体" w:eastAsia="宋体" w:cs="宋体"/>
          <w:sz w:val="30"/>
          <w:szCs w:val="30"/>
        </w:rPr>
      </w:pPr>
      <w:bookmarkStart w:id="87" w:name="bookmark160"/>
      <w:bookmarkEnd w:id="87"/>
      <w:r>
        <w:rPr>
          <w:rFonts w:ascii="宋体" w:hAnsi="宋体" w:eastAsia="宋体" w:cs="宋体"/>
          <w:b/>
          <w:bCs/>
          <w:spacing w:val="-3"/>
          <w:sz w:val="30"/>
          <w:szCs w:val="30"/>
        </w:rPr>
        <w:t>第八节</w:t>
      </w:r>
      <w:r>
        <w:rPr>
          <w:rFonts w:ascii="宋体" w:hAnsi="宋体" w:eastAsia="宋体" w:cs="宋体"/>
          <w:spacing w:val="-3"/>
          <w:sz w:val="30"/>
          <w:szCs w:val="30"/>
        </w:rPr>
        <w:t xml:space="preserve">  </w:t>
      </w:r>
      <w:r>
        <w:rPr>
          <w:rFonts w:ascii="宋体" w:hAnsi="宋体" w:eastAsia="宋体" w:cs="宋体"/>
          <w:b/>
          <w:bCs/>
          <w:spacing w:val="-3"/>
          <w:sz w:val="30"/>
          <w:szCs w:val="30"/>
        </w:rPr>
        <w:t>市政工程定额计价有关问题说明</w:t>
      </w:r>
    </w:p>
    <w:p>
      <w:pPr>
        <w:spacing w:line="245" w:lineRule="auto"/>
        <w:rPr>
          <w:rFonts w:ascii="Arial"/>
          <w:sz w:val="21"/>
        </w:rPr>
      </w:pPr>
    </w:p>
    <w:p>
      <w:pPr>
        <w:spacing w:before="65" w:line="369" w:lineRule="auto"/>
        <w:ind w:left="5" w:right="66" w:firstLine="437"/>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0"/>
          <w:sz w:val="20"/>
          <w:szCs w:val="20"/>
        </w:rPr>
        <w:t xml:space="preserve"> </w:t>
      </w:r>
      <w:r>
        <w:rPr>
          <w:rFonts w:ascii="宋体" w:hAnsi="宋体" w:eastAsia="宋体" w:cs="宋体"/>
          <w:spacing w:val="5"/>
          <w:sz w:val="20"/>
          <w:szCs w:val="20"/>
        </w:rPr>
        <w:t>2016</w:t>
      </w:r>
      <w:r>
        <w:rPr>
          <w:rFonts w:ascii="宋体" w:hAnsi="宋体" w:eastAsia="宋体" w:cs="宋体"/>
          <w:spacing w:val="-37"/>
          <w:sz w:val="20"/>
          <w:szCs w:val="20"/>
        </w:rPr>
        <w:t xml:space="preserve"> </w:t>
      </w:r>
      <w:r>
        <w:rPr>
          <w:rFonts w:ascii="宋体" w:hAnsi="宋体" w:eastAsia="宋体" w:cs="宋体"/>
          <w:spacing w:val="5"/>
          <w:sz w:val="20"/>
          <w:szCs w:val="20"/>
        </w:rPr>
        <w:t>版《山东省市政工程消耗量定额》以山东省住房和城乡建设厅鲁建标字〔2016〕39</w:t>
      </w:r>
      <w:r>
        <w:rPr>
          <w:rFonts w:ascii="宋体" w:hAnsi="宋体" w:eastAsia="宋体" w:cs="宋体"/>
          <w:spacing w:val="-42"/>
          <w:sz w:val="20"/>
          <w:szCs w:val="20"/>
        </w:rPr>
        <w:t xml:space="preserve"> </w:t>
      </w:r>
      <w:r>
        <w:rPr>
          <w:rFonts w:ascii="宋体" w:hAnsi="宋体" w:eastAsia="宋体" w:cs="宋体"/>
          <w:spacing w:val="5"/>
          <w:sz w:val="20"/>
          <w:szCs w:val="20"/>
        </w:rPr>
        <w:t>号文</w:t>
      </w:r>
      <w:r>
        <w:rPr>
          <w:rFonts w:ascii="宋体" w:hAnsi="宋体" w:eastAsia="宋体" w:cs="宋体"/>
          <w:spacing w:val="-1"/>
          <w:sz w:val="20"/>
          <w:szCs w:val="20"/>
        </w:rPr>
        <w:t>正式颁布，</w:t>
      </w:r>
      <w:r>
        <w:rPr>
          <w:rFonts w:ascii="宋体" w:hAnsi="宋体" w:eastAsia="宋体" w:cs="宋体"/>
          <w:spacing w:val="-50"/>
          <w:sz w:val="20"/>
          <w:szCs w:val="20"/>
        </w:rPr>
        <w:t xml:space="preserve"> </w:t>
      </w:r>
      <w:r>
        <w:rPr>
          <w:rFonts w:ascii="宋体" w:hAnsi="宋体" w:eastAsia="宋体" w:cs="宋体"/>
          <w:spacing w:val="-1"/>
          <w:sz w:val="20"/>
          <w:szCs w:val="20"/>
        </w:rPr>
        <w:t>自</w:t>
      </w:r>
      <w:r>
        <w:rPr>
          <w:rFonts w:ascii="宋体" w:hAnsi="宋体" w:eastAsia="宋体" w:cs="宋体"/>
          <w:spacing w:val="-39"/>
          <w:sz w:val="20"/>
          <w:szCs w:val="20"/>
        </w:rPr>
        <w:t xml:space="preserve"> </w:t>
      </w:r>
      <w:r>
        <w:rPr>
          <w:rFonts w:ascii="宋体" w:hAnsi="宋体" w:eastAsia="宋体" w:cs="宋体"/>
          <w:spacing w:val="-1"/>
          <w:sz w:val="20"/>
          <w:szCs w:val="20"/>
        </w:rPr>
        <w:t>2017</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36"/>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日起施行。</w:t>
      </w:r>
    </w:p>
    <w:p>
      <w:pPr>
        <w:spacing w:before="3" w:line="366" w:lineRule="auto"/>
        <w:ind w:left="2" w:right="66" w:firstLine="404"/>
        <w:rPr>
          <w:rFonts w:ascii="宋体" w:hAnsi="宋体" w:eastAsia="宋体" w:cs="宋体"/>
          <w:sz w:val="20"/>
          <w:szCs w:val="20"/>
        </w:rPr>
      </w:pPr>
      <w:r>
        <w:rPr>
          <w:rFonts w:ascii="宋体" w:hAnsi="宋体" w:eastAsia="宋体" w:cs="宋体"/>
          <w:spacing w:val="9"/>
          <w:sz w:val="20"/>
          <w:szCs w:val="20"/>
        </w:rPr>
        <w:t>《山东省绿色建筑工程消耗量定额》以山东省住房和城乡建设厅鲁建标字〔2018〕14</w:t>
      </w:r>
      <w:r>
        <w:rPr>
          <w:rFonts w:ascii="宋体" w:hAnsi="宋体" w:eastAsia="宋体" w:cs="宋体"/>
          <w:spacing w:val="-35"/>
          <w:sz w:val="20"/>
          <w:szCs w:val="20"/>
        </w:rPr>
        <w:t xml:space="preserve"> </w:t>
      </w:r>
      <w:r>
        <w:rPr>
          <w:rFonts w:ascii="宋体" w:hAnsi="宋体" w:eastAsia="宋体" w:cs="宋体"/>
          <w:spacing w:val="9"/>
          <w:sz w:val="20"/>
          <w:szCs w:val="20"/>
        </w:rPr>
        <w:t>号文正式</w:t>
      </w:r>
      <w:r>
        <w:rPr>
          <w:rFonts w:ascii="宋体" w:hAnsi="宋体" w:eastAsia="宋体" w:cs="宋体"/>
          <w:spacing w:val="-2"/>
          <w:sz w:val="20"/>
          <w:szCs w:val="20"/>
        </w:rPr>
        <w:t>颁布，</w:t>
      </w:r>
      <w:r>
        <w:rPr>
          <w:rFonts w:ascii="宋体" w:hAnsi="宋体" w:eastAsia="宋体" w:cs="宋体"/>
          <w:spacing w:val="-47"/>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2018</w:t>
      </w:r>
      <w:r>
        <w:rPr>
          <w:rFonts w:ascii="宋体" w:hAnsi="宋体" w:eastAsia="宋体" w:cs="宋体"/>
          <w:spacing w:val="-42"/>
          <w:sz w:val="20"/>
          <w:szCs w:val="20"/>
        </w:rPr>
        <w:t xml:space="preserve"> </w:t>
      </w:r>
      <w:r>
        <w:rPr>
          <w:rFonts w:ascii="宋体" w:hAnsi="宋体" w:eastAsia="宋体" w:cs="宋体"/>
          <w:spacing w:val="-2"/>
          <w:sz w:val="20"/>
          <w:szCs w:val="20"/>
        </w:rPr>
        <w:t>年</w:t>
      </w:r>
      <w:r>
        <w:rPr>
          <w:rFonts w:ascii="宋体" w:hAnsi="宋体" w:eastAsia="宋体" w:cs="宋体"/>
          <w:spacing w:val="-39"/>
          <w:sz w:val="20"/>
          <w:szCs w:val="20"/>
        </w:rPr>
        <w:t xml:space="preserve"> </w:t>
      </w:r>
      <w:r>
        <w:rPr>
          <w:rFonts w:ascii="宋体" w:hAnsi="宋体" w:eastAsia="宋体" w:cs="宋体"/>
          <w:spacing w:val="-2"/>
          <w:sz w:val="20"/>
          <w:szCs w:val="20"/>
        </w:rPr>
        <w:t>5</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2"/>
          <w:sz w:val="20"/>
          <w:szCs w:val="20"/>
        </w:rPr>
        <w:t xml:space="preserve"> </w:t>
      </w:r>
      <w:r>
        <w:rPr>
          <w:rFonts w:ascii="宋体" w:hAnsi="宋体" w:eastAsia="宋体" w:cs="宋体"/>
          <w:spacing w:val="-2"/>
          <w:sz w:val="20"/>
          <w:szCs w:val="20"/>
        </w:rPr>
        <w:t>1 日起施行。</w:t>
      </w:r>
    </w:p>
    <w:p>
      <w:pPr>
        <w:spacing w:before="4" w:line="369" w:lineRule="auto"/>
        <w:ind w:left="2" w:right="66" w:firstLine="404"/>
        <w:rPr>
          <w:rFonts w:ascii="宋体" w:hAnsi="宋体" w:eastAsia="宋体" w:cs="宋体"/>
          <w:sz w:val="20"/>
          <w:szCs w:val="20"/>
        </w:rPr>
      </w:pPr>
      <w:r>
        <w:rPr>
          <w:rFonts w:ascii="宋体" w:hAnsi="宋体" w:eastAsia="宋体" w:cs="宋体"/>
          <w:spacing w:val="9"/>
          <w:sz w:val="20"/>
          <w:szCs w:val="20"/>
        </w:rPr>
        <w:t>《山东省城市地下综合管廊工程消耗量定额》（</w:t>
      </w:r>
      <w:r>
        <w:rPr>
          <w:rFonts w:ascii="宋体" w:hAnsi="宋体" w:eastAsia="宋体" w:cs="宋体"/>
          <w:spacing w:val="-53"/>
          <w:sz w:val="20"/>
          <w:szCs w:val="20"/>
        </w:rPr>
        <w:t xml:space="preserve"> </w:t>
      </w:r>
      <w:r>
        <w:rPr>
          <w:rFonts w:ascii="宋体" w:hAnsi="宋体" w:eastAsia="宋体" w:cs="宋体"/>
          <w:sz w:val="20"/>
          <w:szCs w:val="20"/>
        </w:rPr>
        <w:t>SDA</w:t>
      </w:r>
      <w:r>
        <w:rPr>
          <w:rFonts w:ascii="宋体" w:hAnsi="宋体" w:eastAsia="宋体" w:cs="宋体"/>
          <w:spacing w:val="9"/>
          <w:sz w:val="20"/>
          <w:szCs w:val="20"/>
        </w:rPr>
        <w:t>1-31(11)-2019）以山东省住房和城乡建设</w:t>
      </w:r>
      <w:r>
        <w:rPr>
          <w:rFonts w:ascii="宋体" w:hAnsi="宋体" w:eastAsia="宋体" w:cs="宋体"/>
          <w:spacing w:val="3"/>
          <w:sz w:val="20"/>
          <w:szCs w:val="20"/>
        </w:rPr>
        <w:t>厅鲁建标字〔2019〕31</w:t>
      </w:r>
      <w:r>
        <w:rPr>
          <w:rFonts w:ascii="宋体" w:hAnsi="宋体" w:eastAsia="宋体" w:cs="宋体"/>
          <w:spacing w:val="-39"/>
          <w:sz w:val="20"/>
          <w:szCs w:val="20"/>
        </w:rPr>
        <w:t xml:space="preserve"> </w:t>
      </w:r>
      <w:r>
        <w:rPr>
          <w:rFonts w:ascii="宋体" w:hAnsi="宋体" w:eastAsia="宋体" w:cs="宋体"/>
          <w:spacing w:val="3"/>
          <w:sz w:val="20"/>
          <w:szCs w:val="20"/>
        </w:rPr>
        <w:t>号文正式颁布</w:t>
      </w:r>
      <w:r>
        <w:rPr>
          <w:rFonts w:ascii="宋体" w:hAnsi="宋体" w:eastAsia="宋体" w:cs="宋体"/>
          <w:spacing w:val="2"/>
          <w:sz w:val="20"/>
          <w:szCs w:val="20"/>
        </w:rPr>
        <w:t>，</w:t>
      </w:r>
      <w:r>
        <w:rPr>
          <w:rFonts w:ascii="宋体" w:hAnsi="宋体" w:eastAsia="宋体" w:cs="宋体"/>
          <w:spacing w:val="-60"/>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2020</w:t>
      </w:r>
      <w:r>
        <w:rPr>
          <w:rFonts w:ascii="宋体" w:hAnsi="宋体" w:eastAsia="宋体" w:cs="宋体"/>
          <w:spacing w:val="-41"/>
          <w:sz w:val="20"/>
          <w:szCs w:val="20"/>
        </w:rPr>
        <w:t xml:space="preserve"> </w:t>
      </w:r>
      <w:r>
        <w:rPr>
          <w:rFonts w:ascii="宋体" w:hAnsi="宋体" w:eastAsia="宋体" w:cs="宋体"/>
          <w:spacing w:val="2"/>
          <w:sz w:val="20"/>
          <w:szCs w:val="20"/>
        </w:rPr>
        <w:t>年</w:t>
      </w:r>
      <w:r>
        <w:rPr>
          <w:rFonts w:ascii="宋体" w:hAnsi="宋体" w:eastAsia="宋体" w:cs="宋体"/>
          <w:spacing w:val="-22"/>
          <w:sz w:val="20"/>
          <w:szCs w:val="20"/>
        </w:rPr>
        <w:t xml:space="preserve"> </w:t>
      </w:r>
      <w:r>
        <w:rPr>
          <w:rFonts w:ascii="宋体" w:hAnsi="宋体" w:eastAsia="宋体" w:cs="宋体"/>
          <w:spacing w:val="2"/>
          <w:sz w:val="20"/>
          <w:szCs w:val="20"/>
        </w:rPr>
        <w:t>1</w:t>
      </w:r>
      <w:r>
        <w:rPr>
          <w:rFonts w:ascii="宋体" w:hAnsi="宋体" w:eastAsia="宋体" w:cs="宋体"/>
          <w:spacing w:val="-41"/>
          <w:sz w:val="20"/>
          <w:szCs w:val="20"/>
        </w:rPr>
        <w:t xml:space="preserve"> </w:t>
      </w:r>
      <w:r>
        <w:rPr>
          <w:rFonts w:ascii="宋体" w:hAnsi="宋体" w:eastAsia="宋体" w:cs="宋体"/>
          <w:spacing w:val="2"/>
          <w:sz w:val="20"/>
          <w:szCs w:val="20"/>
        </w:rPr>
        <w:t>月</w:t>
      </w:r>
      <w:r>
        <w:rPr>
          <w:rFonts w:ascii="宋体" w:hAnsi="宋体" w:eastAsia="宋体" w:cs="宋体"/>
          <w:spacing w:val="-24"/>
          <w:sz w:val="20"/>
          <w:szCs w:val="20"/>
        </w:rPr>
        <w:t xml:space="preserve"> </w:t>
      </w:r>
      <w:r>
        <w:rPr>
          <w:rFonts w:ascii="宋体" w:hAnsi="宋体" w:eastAsia="宋体" w:cs="宋体"/>
          <w:spacing w:val="2"/>
          <w:sz w:val="20"/>
          <w:szCs w:val="20"/>
        </w:rPr>
        <w:t>1 日起执行。</w:t>
      </w:r>
    </w:p>
    <w:p>
      <w:pPr>
        <w:spacing w:before="1" w:line="368" w:lineRule="auto"/>
        <w:ind w:left="3" w:right="64" w:firstLine="421"/>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pacing w:val="-29"/>
          <w:sz w:val="20"/>
          <w:szCs w:val="20"/>
        </w:rPr>
        <w:t xml:space="preserve"> </w:t>
      </w:r>
      <w:r>
        <w:rPr>
          <w:rFonts w:ascii="宋体" w:hAnsi="宋体" w:eastAsia="宋体" w:cs="宋体"/>
          <w:spacing w:val="9"/>
          <w:sz w:val="20"/>
          <w:szCs w:val="20"/>
        </w:rPr>
        <w:t>《山东省市政工程计价依据动态调整汇编（2</w:t>
      </w:r>
      <w:r>
        <w:rPr>
          <w:rFonts w:ascii="宋体" w:hAnsi="宋体" w:eastAsia="宋体" w:cs="宋体"/>
          <w:spacing w:val="8"/>
          <w:sz w:val="20"/>
          <w:szCs w:val="20"/>
        </w:rPr>
        <w:t>021年度）》以山东省住房和城乡建设厅鲁建标</w:t>
      </w:r>
      <w:r>
        <w:rPr>
          <w:rFonts w:ascii="宋体" w:hAnsi="宋体" w:eastAsia="宋体" w:cs="宋体"/>
          <w:spacing w:val="7"/>
          <w:sz w:val="20"/>
          <w:szCs w:val="20"/>
        </w:rPr>
        <w:t>字〔2022〕2</w:t>
      </w:r>
      <w:r>
        <w:rPr>
          <w:rFonts w:ascii="宋体" w:hAnsi="宋体" w:eastAsia="宋体" w:cs="宋体"/>
          <w:spacing w:val="-40"/>
          <w:sz w:val="20"/>
          <w:szCs w:val="20"/>
        </w:rPr>
        <w:t xml:space="preserve"> </w:t>
      </w:r>
      <w:r>
        <w:rPr>
          <w:rFonts w:ascii="宋体" w:hAnsi="宋体" w:eastAsia="宋体" w:cs="宋体"/>
          <w:spacing w:val="7"/>
          <w:sz w:val="20"/>
          <w:szCs w:val="20"/>
        </w:rPr>
        <w:t>号文正式颁布，本汇编中计价依据修订、增补、勘误自2022</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24"/>
          <w:sz w:val="20"/>
          <w:szCs w:val="20"/>
        </w:rPr>
        <w:t xml:space="preserve"> </w:t>
      </w:r>
      <w:r>
        <w:rPr>
          <w:rFonts w:ascii="宋体" w:hAnsi="宋体" w:eastAsia="宋体" w:cs="宋体"/>
          <w:spacing w:val="7"/>
          <w:sz w:val="20"/>
          <w:szCs w:val="20"/>
        </w:rPr>
        <w:t>1</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42"/>
          <w:sz w:val="20"/>
          <w:szCs w:val="20"/>
        </w:rPr>
        <w:t xml:space="preserve"> </w:t>
      </w:r>
      <w:r>
        <w:rPr>
          <w:rFonts w:ascii="宋体" w:hAnsi="宋体" w:eastAsia="宋体" w:cs="宋体"/>
          <w:spacing w:val="7"/>
          <w:sz w:val="20"/>
          <w:szCs w:val="20"/>
        </w:rPr>
        <w:t xml:space="preserve">24 </w:t>
      </w:r>
      <w:r>
        <w:rPr>
          <w:rFonts w:ascii="宋体" w:hAnsi="宋体" w:eastAsia="宋体" w:cs="宋体"/>
          <w:spacing w:val="6"/>
          <w:sz w:val="20"/>
          <w:szCs w:val="20"/>
        </w:rPr>
        <w:t>日起施行。</w:t>
      </w:r>
    </w:p>
    <w:p>
      <w:pPr>
        <w:spacing w:before="3" w:line="366" w:lineRule="auto"/>
        <w:ind w:right="66" w:firstLine="407"/>
        <w:rPr>
          <w:rFonts w:ascii="宋体" w:hAnsi="宋体" w:eastAsia="宋体" w:cs="宋体"/>
          <w:sz w:val="20"/>
          <w:szCs w:val="20"/>
        </w:rPr>
      </w:pPr>
      <w:r>
        <w:rPr>
          <w:rFonts w:ascii="宋体" w:hAnsi="宋体" w:eastAsia="宋体" w:cs="宋体"/>
          <w:spacing w:val="8"/>
          <w:sz w:val="20"/>
          <w:szCs w:val="20"/>
        </w:rPr>
        <w:t>《山东省市政工程计价依据动态调整汇编（2022</w:t>
      </w:r>
      <w:r>
        <w:rPr>
          <w:rFonts w:ascii="宋体" w:hAnsi="宋体" w:eastAsia="宋体" w:cs="宋体"/>
          <w:spacing w:val="-28"/>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》以山东省住房和城乡建设厅鲁建标字</w:t>
      </w:r>
      <w:r>
        <w:rPr>
          <w:rFonts w:ascii="宋体" w:hAnsi="宋体" w:eastAsia="宋体" w:cs="宋体"/>
          <w:spacing w:val="7"/>
          <w:sz w:val="20"/>
          <w:szCs w:val="20"/>
        </w:rPr>
        <w:t>〔2023〕7</w:t>
      </w:r>
      <w:r>
        <w:rPr>
          <w:rFonts w:ascii="宋体" w:hAnsi="宋体" w:eastAsia="宋体" w:cs="宋体"/>
          <w:spacing w:val="-32"/>
          <w:sz w:val="20"/>
          <w:szCs w:val="20"/>
        </w:rPr>
        <w:t xml:space="preserve"> </w:t>
      </w:r>
      <w:r>
        <w:rPr>
          <w:rFonts w:ascii="宋体" w:hAnsi="宋体" w:eastAsia="宋体" w:cs="宋体"/>
          <w:spacing w:val="7"/>
          <w:sz w:val="20"/>
          <w:szCs w:val="20"/>
        </w:rPr>
        <w:t>号文正式颁布，本汇编中计价依据修订、增补、勘误自</w:t>
      </w:r>
      <w:r>
        <w:rPr>
          <w:rFonts w:ascii="宋体" w:hAnsi="宋体" w:eastAsia="宋体" w:cs="宋体"/>
          <w:spacing w:val="-39"/>
          <w:sz w:val="20"/>
          <w:szCs w:val="20"/>
        </w:rPr>
        <w:t xml:space="preserve"> </w:t>
      </w:r>
      <w:r>
        <w:rPr>
          <w:rFonts w:ascii="宋体" w:hAnsi="宋体" w:eastAsia="宋体" w:cs="宋体"/>
          <w:spacing w:val="7"/>
          <w:sz w:val="20"/>
          <w:szCs w:val="20"/>
        </w:rPr>
        <w:t>2023</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8"/>
          <w:sz w:val="20"/>
          <w:szCs w:val="20"/>
        </w:rPr>
        <w:t xml:space="preserve"> </w:t>
      </w:r>
      <w:r>
        <w:rPr>
          <w:rFonts w:ascii="宋体" w:hAnsi="宋体" w:eastAsia="宋体" w:cs="宋体"/>
          <w:spacing w:val="7"/>
          <w:sz w:val="20"/>
          <w:szCs w:val="20"/>
        </w:rPr>
        <w:t>3</w:t>
      </w:r>
      <w:r>
        <w:rPr>
          <w:rFonts w:ascii="宋体" w:hAnsi="宋体" w:eastAsia="宋体" w:cs="宋体"/>
          <w:spacing w:val="-40"/>
          <w:sz w:val="20"/>
          <w:szCs w:val="20"/>
        </w:rPr>
        <w:t xml:space="preserve"> </w:t>
      </w:r>
      <w:r>
        <w:rPr>
          <w:rFonts w:ascii="宋体" w:hAnsi="宋体" w:eastAsia="宋体" w:cs="宋体"/>
          <w:spacing w:val="7"/>
          <w:sz w:val="20"/>
          <w:szCs w:val="20"/>
        </w:rPr>
        <w:t>月28 日起施行。</w:t>
      </w:r>
    </w:p>
    <w:p>
      <w:pPr>
        <w:spacing w:before="6" w:line="368" w:lineRule="auto"/>
        <w:ind w:left="3" w:right="162" w:firstLine="508"/>
        <w:rPr>
          <w:rFonts w:ascii="宋体" w:hAnsi="宋体" w:eastAsia="宋体" w:cs="宋体"/>
          <w:sz w:val="20"/>
          <w:szCs w:val="20"/>
        </w:rPr>
      </w:pPr>
      <w:r>
        <w:rPr>
          <w:rFonts w:ascii="宋体" w:hAnsi="宋体" w:eastAsia="宋体" w:cs="宋体"/>
          <w:spacing w:val="9"/>
          <w:sz w:val="20"/>
          <w:szCs w:val="20"/>
        </w:rPr>
        <w:t>《山东省市政工程计价依据动态调整汇编（</w:t>
      </w:r>
      <w:r>
        <w:rPr>
          <w:rFonts w:ascii="宋体" w:hAnsi="宋体" w:eastAsia="宋体" w:cs="宋体"/>
          <w:spacing w:val="8"/>
          <w:sz w:val="20"/>
          <w:szCs w:val="20"/>
        </w:rPr>
        <w:t>2023</w:t>
      </w:r>
      <w:r>
        <w:rPr>
          <w:rFonts w:ascii="宋体" w:hAnsi="宋体" w:eastAsia="宋体" w:cs="宋体"/>
          <w:spacing w:val="-41"/>
          <w:sz w:val="20"/>
          <w:szCs w:val="20"/>
        </w:rPr>
        <w:t xml:space="preserve"> </w:t>
      </w:r>
      <w:r>
        <w:rPr>
          <w:rFonts w:ascii="宋体" w:hAnsi="宋体" w:eastAsia="宋体" w:cs="宋体"/>
          <w:spacing w:val="8"/>
          <w:sz w:val="20"/>
          <w:szCs w:val="20"/>
        </w:rPr>
        <w:t>年度）</w:t>
      </w:r>
      <w:r>
        <w:rPr>
          <w:rFonts w:ascii="宋体" w:hAnsi="宋体" w:eastAsia="宋体" w:cs="宋体"/>
          <w:spacing w:val="-55"/>
          <w:sz w:val="20"/>
          <w:szCs w:val="20"/>
        </w:rPr>
        <w:t xml:space="preserve"> </w:t>
      </w:r>
      <w:r>
        <w:rPr>
          <w:rFonts w:ascii="宋体" w:hAnsi="宋体" w:eastAsia="宋体" w:cs="宋体"/>
          <w:spacing w:val="8"/>
          <w:sz w:val="20"/>
          <w:szCs w:val="20"/>
        </w:rPr>
        <w:t>》以山东省住房和城乡建设厅鲁建标</w:t>
      </w:r>
      <w:r>
        <w:rPr>
          <w:rFonts w:ascii="宋体" w:hAnsi="宋体" w:eastAsia="宋体" w:cs="宋体"/>
          <w:spacing w:val="9"/>
          <w:sz w:val="20"/>
          <w:szCs w:val="20"/>
        </w:rPr>
        <w:t>字〔2024〕3</w:t>
      </w:r>
      <w:r>
        <w:rPr>
          <w:rFonts w:ascii="宋体" w:hAnsi="宋体" w:eastAsia="宋体" w:cs="宋体"/>
          <w:spacing w:val="-39"/>
          <w:sz w:val="20"/>
          <w:szCs w:val="20"/>
        </w:rPr>
        <w:t xml:space="preserve"> </w:t>
      </w:r>
      <w:r>
        <w:rPr>
          <w:rFonts w:ascii="宋体" w:hAnsi="宋体" w:eastAsia="宋体" w:cs="宋体"/>
          <w:spacing w:val="9"/>
          <w:sz w:val="20"/>
          <w:szCs w:val="20"/>
        </w:rPr>
        <w:t>号文正式颁布，本汇编中计价依据修订</w:t>
      </w:r>
      <w:r>
        <w:rPr>
          <w:rFonts w:ascii="宋体" w:hAnsi="宋体" w:eastAsia="宋体" w:cs="宋体"/>
          <w:spacing w:val="8"/>
          <w:sz w:val="20"/>
          <w:szCs w:val="20"/>
        </w:rPr>
        <w:t>、增补、勘误自2024</w:t>
      </w:r>
      <w:r>
        <w:rPr>
          <w:rFonts w:ascii="宋体" w:hAnsi="宋体" w:eastAsia="宋体" w:cs="宋体"/>
          <w:spacing w:val="-41"/>
          <w:sz w:val="20"/>
          <w:szCs w:val="20"/>
        </w:rPr>
        <w:t xml:space="preserve"> </w:t>
      </w:r>
      <w:r>
        <w:rPr>
          <w:rFonts w:ascii="宋体" w:hAnsi="宋体" w:eastAsia="宋体" w:cs="宋体"/>
          <w:spacing w:val="8"/>
          <w:sz w:val="20"/>
          <w:szCs w:val="20"/>
        </w:rPr>
        <w:t>年3</w:t>
      </w:r>
      <w:r>
        <w:rPr>
          <w:rFonts w:ascii="宋体" w:hAnsi="宋体" w:eastAsia="宋体" w:cs="宋体"/>
          <w:spacing w:val="-38"/>
          <w:sz w:val="20"/>
          <w:szCs w:val="20"/>
        </w:rPr>
        <w:t xml:space="preserve"> </w:t>
      </w:r>
      <w:r>
        <w:rPr>
          <w:rFonts w:ascii="宋体" w:hAnsi="宋体" w:eastAsia="宋体" w:cs="宋体"/>
          <w:spacing w:val="8"/>
          <w:sz w:val="20"/>
          <w:szCs w:val="20"/>
        </w:rPr>
        <w:t>月</w:t>
      </w:r>
      <w:r>
        <w:rPr>
          <w:rFonts w:ascii="宋体" w:hAnsi="宋体" w:eastAsia="宋体" w:cs="宋体"/>
          <w:spacing w:val="-42"/>
          <w:sz w:val="20"/>
          <w:szCs w:val="20"/>
        </w:rPr>
        <w:t xml:space="preserve"> </w:t>
      </w:r>
      <w:r>
        <w:rPr>
          <w:rFonts w:ascii="宋体" w:hAnsi="宋体" w:eastAsia="宋体" w:cs="宋体"/>
          <w:spacing w:val="8"/>
          <w:sz w:val="20"/>
          <w:szCs w:val="20"/>
        </w:rPr>
        <w:t>29 日起施行。</w:t>
      </w:r>
    </w:p>
    <w:p>
      <w:pPr>
        <w:spacing w:before="1" w:line="369" w:lineRule="auto"/>
        <w:ind w:left="3" w:right="64" w:firstLine="424"/>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28"/>
          <w:sz w:val="20"/>
          <w:szCs w:val="20"/>
        </w:rPr>
        <w:t xml:space="preserve"> </w:t>
      </w:r>
      <w:r>
        <w:rPr>
          <w:rFonts w:ascii="宋体" w:hAnsi="宋体" w:eastAsia="宋体" w:cs="宋体"/>
          <w:spacing w:val="7"/>
          <w:sz w:val="20"/>
          <w:szCs w:val="20"/>
        </w:rPr>
        <w:t>《山东省建设工程费用项目组成及计算规则（2022</w:t>
      </w:r>
      <w:r>
        <w:rPr>
          <w:rFonts w:ascii="宋体" w:hAnsi="宋体" w:eastAsia="宋体" w:cs="宋体"/>
          <w:spacing w:val="-38"/>
          <w:sz w:val="20"/>
          <w:szCs w:val="20"/>
        </w:rPr>
        <w:t xml:space="preserve"> </w:t>
      </w:r>
      <w:r>
        <w:rPr>
          <w:rFonts w:ascii="宋体" w:hAnsi="宋体" w:eastAsia="宋体" w:cs="宋体"/>
          <w:spacing w:val="7"/>
          <w:sz w:val="20"/>
          <w:szCs w:val="20"/>
        </w:rPr>
        <w:t>版）》以山东省住房和城乡建设厅鲁建标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4" w:line="368" w:lineRule="auto"/>
        <w:ind w:left="4" w:right="64" w:firstLine="420"/>
        <w:jc w:val="both"/>
        <w:rPr>
          <w:rFonts w:ascii="宋体" w:hAnsi="宋体" w:eastAsia="宋体" w:cs="宋体"/>
          <w:sz w:val="20"/>
          <w:szCs w:val="20"/>
        </w:rPr>
      </w:pPr>
      <w:r>
        <w:rPr>
          <w:rFonts w:ascii="宋体" w:hAnsi="宋体" w:eastAsia="宋体" w:cs="宋体"/>
          <w:spacing w:val="6"/>
          <w:sz w:val="20"/>
          <w:szCs w:val="20"/>
        </w:rPr>
        <w:t>2023</w:t>
      </w:r>
      <w:r>
        <w:rPr>
          <w:rFonts w:ascii="宋体" w:hAnsi="宋体" w:eastAsia="宋体" w:cs="宋体"/>
          <w:spacing w:val="-20"/>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36"/>
          <w:sz w:val="20"/>
          <w:szCs w:val="20"/>
        </w:rPr>
        <w:t xml:space="preserve"> </w:t>
      </w:r>
      <w:r>
        <w:rPr>
          <w:rFonts w:ascii="宋体" w:hAnsi="宋体" w:eastAsia="宋体" w:cs="宋体"/>
          <w:spacing w:val="6"/>
          <w:sz w:val="20"/>
          <w:szCs w:val="20"/>
        </w:rPr>
        <w:t>月</w:t>
      </w:r>
      <w:r>
        <w:rPr>
          <w:rFonts w:ascii="宋体" w:hAnsi="宋体" w:eastAsia="宋体" w:cs="宋体"/>
          <w:spacing w:val="-36"/>
          <w:sz w:val="20"/>
          <w:szCs w:val="20"/>
        </w:rPr>
        <w:t xml:space="preserve"> </w:t>
      </w:r>
      <w:r>
        <w:rPr>
          <w:rFonts w:ascii="宋体" w:hAnsi="宋体" w:eastAsia="宋体" w:cs="宋体"/>
          <w:spacing w:val="6"/>
          <w:sz w:val="20"/>
          <w:szCs w:val="20"/>
        </w:rPr>
        <w:t>30 日</w:t>
      </w:r>
      <w:r>
        <w:rPr>
          <w:rFonts w:ascii="宋体" w:hAnsi="宋体" w:eastAsia="宋体" w:cs="宋体"/>
          <w:spacing w:val="-59"/>
          <w:sz w:val="20"/>
          <w:szCs w:val="20"/>
        </w:rPr>
        <w:t xml:space="preserve"> </w:t>
      </w:r>
      <w:r>
        <w:rPr>
          <w:rFonts w:ascii="宋体" w:hAnsi="宋体" w:eastAsia="宋体" w:cs="宋体"/>
          <w:spacing w:val="6"/>
          <w:sz w:val="20"/>
          <w:szCs w:val="20"/>
        </w:rPr>
        <w:t>，山东省住房和城乡建设厅发布《关于调整建设工程安全施工费的通知》</w:t>
      </w:r>
      <w:r>
        <w:rPr>
          <w:rFonts w:ascii="宋体" w:hAnsi="宋体" w:eastAsia="宋体" w:cs="宋体"/>
          <w:spacing w:val="-46"/>
          <w:sz w:val="20"/>
          <w:szCs w:val="20"/>
        </w:rPr>
        <w:t xml:space="preserve"> </w:t>
      </w:r>
      <w:r>
        <w:rPr>
          <w:rFonts w:ascii="宋体" w:hAnsi="宋体" w:eastAsia="宋体" w:cs="宋体"/>
          <w:spacing w:val="6"/>
          <w:sz w:val="20"/>
          <w:szCs w:val="20"/>
        </w:rPr>
        <w:t>，</w:t>
      </w: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before="3" w:line="366" w:lineRule="auto"/>
        <w:ind w:left="5"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6" w:line="355" w:lineRule="auto"/>
        <w:ind w:left="5" w:right="66" w:firstLine="420"/>
        <w:jc w:val="both"/>
        <w:rPr>
          <w:rFonts w:ascii="宋体" w:hAnsi="宋体" w:eastAsia="宋体" w:cs="宋体"/>
          <w:sz w:val="20"/>
          <w:szCs w:val="20"/>
        </w:rPr>
      </w:pPr>
      <w:r>
        <w:rPr>
          <w:rFonts w:ascii="宋体" w:hAnsi="宋体" w:eastAsia="宋体" w:cs="宋体"/>
          <w:spacing w:val="6"/>
          <w:sz w:val="20"/>
          <w:szCs w:val="20"/>
        </w:rPr>
        <w:t>2024</w:t>
      </w:r>
      <w:r>
        <w:rPr>
          <w:rFonts w:ascii="宋体" w:hAnsi="宋体" w:eastAsia="宋体" w:cs="宋体"/>
          <w:spacing w:val="-23"/>
          <w:sz w:val="20"/>
          <w:szCs w:val="20"/>
        </w:rPr>
        <w:t xml:space="preserve"> </w:t>
      </w:r>
      <w:r>
        <w:rPr>
          <w:rFonts w:ascii="宋体" w:hAnsi="宋体" w:eastAsia="宋体" w:cs="宋体"/>
          <w:spacing w:val="6"/>
          <w:sz w:val="20"/>
          <w:szCs w:val="20"/>
        </w:rPr>
        <w:t>年</w:t>
      </w:r>
      <w:r>
        <w:rPr>
          <w:rFonts w:ascii="宋体" w:hAnsi="宋体" w:eastAsia="宋体" w:cs="宋体"/>
          <w:spacing w:val="-25"/>
          <w:sz w:val="20"/>
          <w:szCs w:val="20"/>
        </w:rPr>
        <w:t xml:space="preserve"> </w:t>
      </w:r>
      <w:r>
        <w:rPr>
          <w:rFonts w:ascii="宋体" w:hAnsi="宋体" w:eastAsia="宋体" w:cs="宋体"/>
          <w:spacing w:val="6"/>
          <w:sz w:val="20"/>
          <w:szCs w:val="20"/>
        </w:rPr>
        <w:t>11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41"/>
          <w:sz w:val="20"/>
          <w:szCs w:val="20"/>
        </w:rPr>
        <w:t xml:space="preserve"> </w:t>
      </w:r>
      <w:r>
        <w:rPr>
          <w:rFonts w:ascii="宋体" w:hAnsi="宋体" w:eastAsia="宋体" w:cs="宋体"/>
          <w:spacing w:val="6"/>
          <w:sz w:val="20"/>
          <w:szCs w:val="20"/>
        </w:rPr>
        <w:t>29 日，山东省住房和城乡建设厅发布《关于计取市政工程智慧工地建设费用的通</w:t>
      </w:r>
      <w:r>
        <w:rPr>
          <w:rFonts w:ascii="宋体" w:hAnsi="宋体" w:eastAsia="宋体" w:cs="宋体"/>
          <w:spacing w:val="10"/>
          <w:sz w:val="20"/>
          <w:szCs w:val="20"/>
        </w:rPr>
        <w:t>知》</w:t>
      </w:r>
      <w:r>
        <w:rPr>
          <w:rFonts w:ascii="宋体" w:hAnsi="宋体" w:eastAsia="宋体" w:cs="宋体"/>
          <w:spacing w:val="-51"/>
          <w:sz w:val="20"/>
          <w:szCs w:val="20"/>
        </w:rPr>
        <w:t xml:space="preserve"> </w:t>
      </w:r>
      <w:r>
        <w:rPr>
          <w:rFonts w:ascii="宋体" w:hAnsi="宋体" w:eastAsia="宋体" w:cs="宋体"/>
          <w:spacing w:val="10"/>
          <w:sz w:val="20"/>
          <w:szCs w:val="20"/>
        </w:rPr>
        <w:t>，在《山东省建设工程概算费用编制规定》《山东省建</w:t>
      </w:r>
      <w:r>
        <w:rPr>
          <w:rFonts w:ascii="宋体" w:hAnsi="宋体" w:eastAsia="宋体" w:cs="宋体"/>
          <w:spacing w:val="9"/>
          <w:sz w:val="20"/>
          <w:szCs w:val="20"/>
        </w:rPr>
        <w:t>设工程费用项目组成及计算规则》的总价措施费中增加“市政工程智慧工地建设费”项目。</w:t>
      </w:r>
    </w:p>
    <w:p>
      <w:pPr>
        <w:spacing w:before="45" w:line="347" w:lineRule="auto"/>
        <w:ind w:right="66" w:firstLine="421"/>
        <w:rPr>
          <w:rFonts w:ascii="宋体" w:hAnsi="宋体" w:eastAsia="宋体" w:cs="宋体"/>
          <w:sz w:val="20"/>
          <w:szCs w:val="20"/>
        </w:rPr>
      </w:pPr>
      <w:r>
        <w:rPr>
          <w:rFonts w:ascii="宋体" w:hAnsi="宋体" w:eastAsia="宋体" w:cs="宋体"/>
          <w:spacing w:val="9"/>
          <w:sz w:val="20"/>
          <w:szCs w:val="20"/>
        </w:rPr>
        <w:t>4.</w:t>
      </w:r>
      <w:r>
        <w:rPr>
          <w:rFonts w:ascii="宋体" w:hAnsi="宋体" w:eastAsia="宋体" w:cs="宋体"/>
          <w:spacing w:val="-16"/>
          <w:sz w:val="20"/>
          <w:szCs w:val="20"/>
        </w:rPr>
        <w:t xml:space="preserve"> </w:t>
      </w:r>
      <w:r>
        <w:rPr>
          <w:rFonts w:ascii="宋体" w:hAnsi="宋体" w:eastAsia="宋体" w:cs="宋体"/>
          <w:spacing w:val="9"/>
          <w:sz w:val="20"/>
          <w:szCs w:val="20"/>
        </w:rPr>
        <w:t>《山东省市政工程消耗量定额价目表》、《山东省城市</w:t>
      </w:r>
      <w:r>
        <w:rPr>
          <w:rFonts w:ascii="宋体" w:hAnsi="宋体" w:eastAsia="宋体" w:cs="宋体"/>
          <w:spacing w:val="8"/>
          <w:sz w:val="20"/>
          <w:szCs w:val="20"/>
        </w:rPr>
        <w:t>地下综合管廊工程价目表》、《山东</w:t>
      </w:r>
      <w:r>
        <w:rPr>
          <w:rFonts w:ascii="宋体" w:hAnsi="宋体" w:eastAsia="宋体" w:cs="宋体"/>
          <w:spacing w:val="11"/>
          <w:sz w:val="20"/>
          <w:szCs w:val="20"/>
        </w:rPr>
        <w:t>省人工、材料、机械台班单价表》、《山东省城市地下综合管廊工程人材机表》、《</w:t>
      </w:r>
      <w:r>
        <w:rPr>
          <w:rFonts w:ascii="宋体" w:hAnsi="宋体" w:eastAsia="宋体" w:cs="宋体"/>
          <w:spacing w:val="10"/>
          <w:sz w:val="20"/>
          <w:szCs w:val="20"/>
        </w:rPr>
        <w:t>山东省建设工</w:t>
      </w:r>
      <w:r>
        <w:rPr>
          <w:rFonts w:ascii="宋体" w:hAnsi="宋体" w:eastAsia="宋体" w:cs="宋体"/>
          <w:spacing w:val="11"/>
          <w:sz w:val="20"/>
          <w:szCs w:val="20"/>
        </w:rPr>
        <w:t>程施工机械台班费用编制规则》、《山东省建设工程仪器仪表台班费用编制规则》及</w:t>
      </w:r>
      <w:r>
        <w:rPr>
          <w:rFonts w:ascii="宋体" w:hAnsi="宋体" w:eastAsia="宋体" w:cs="宋体"/>
          <w:spacing w:val="10"/>
          <w:sz w:val="20"/>
          <w:szCs w:val="20"/>
        </w:rPr>
        <w:t>《关于调整建</w:t>
      </w:r>
      <w:r>
        <w:rPr>
          <w:rFonts w:ascii="宋体" w:hAnsi="宋体" w:eastAsia="宋体" w:cs="宋体"/>
          <w:spacing w:val="9"/>
          <w:sz w:val="20"/>
          <w:szCs w:val="20"/>
        </w:rPr>
        <w:t>设工程定额人工单价及各专业定额价目表的通知》以山东省住房和城乡建设厅鲁建标字〔2020〕24</w:t>
      </w:r>
      <w:r>
        <w:rPr>
          <w:rFonts w:ascii="宋体" w:hAnsi="宋体" w:eastAsia="宋体" w:cs="宋体"/>
          <w:sz w:val="20"/>
          <w:szCs w:val="20"/>
        </w:rPr>
        <w:t>号文正式颁布，</w:t>
      </w:r>
      <w:r>
        <w:rPr>
          <w:rFonts w:ascii="宋体" w:hAnsi="宋体" w:eastAsia="宋体" w:cs="宋体"/>
          <w:spacing w:val="-50"/>
          <w:sz w:val="20"/>
          <w:szCs w:val="20"/>
        </w:rPr>
        <w:t xml:space="preserve"> </w:t>
      </w:r>
      <w:r>
        <w:rPr>
          <w:rFonts w:ascii="宋体" w:hAnsi="宋体" w:eastAsia="宋体" w:cs="宋体"/>
          <w:sz w:val="20"/>
          <w:szCs w:val="20"/>
        </w:rPr>
        <w:t>自</w:t>
      </w:r>
      <w:r>
        <w:rPr>
          <w:rFonts w:ascii="宋体" w:hAnsi="宋体" w:eastAsia="宋体" w:cs="宋体"/>
          <w:spacing w:val="-39"/>
          <w:sz w:val="20"/>
          <w:szCs w:val="20"/>
        </w:rPr>
        <w:t xml:space="preserve"> </w:t>
      </w:r>
      <w:r>
        <w:rPr>
          <w:rFonts w:ascii="宋体" w:hAnsi="宋体" w:eastAsia="宋体" w:cs="宋体"/>
          <w:sz w:val="20"/>
          <w:szCs w:val="20"/>
        </w:rPr>
        <w:t>2020</w:t>
      </w:r>
      <w:r>
        <w:rPr>
          <w:rFonts w:ascii="宋体" w:hAnsi="宋体" w:eastAsia="宋体" w:cs="宋体"/>
          <w:spacing w:val="-41"/>
          <w:sz w:val="20"/>
          <w:szCs w:val="20"/>
        </w:rPr>
        <w:t xml:space="preserve"> </w:t>
      </w:r>
      <w:r>
        <w:rPr>
          <w:rFonts w:ascii="宋体" w:hAnsi="宋体" w:eastAsia="宋体" w:cs="宋体"/>
          <w:sz w:val="20"/>
          <w:szCs w:val="20"/>
        </w:rPr>
        <w:t>年</w:t>
      </w:r>
      <w:r>
        <w:rPr>
          <w:rFonts w:ascii="宋体" w:hAnsi="宋体" w:eastAsia="宋体" w:cs="宋体"/>
          <w:spacing w:val="-22"/>
          <w:sz w:val="20"/>
          <w:szCs w:val="20"/>
        </w:rPr>
        <w:t xml:space="preserve"> </w:t>
      </w:r>
      <w:r>
        <w:rPr>
          <w:rFonts w:ascii="宋体" w:hAnsi="宋体" w:eastAsia="宋体" w:cs="宋体"/>
          <w:sz w:val="20"/>
          <w:szCs w:val="20"/>
        </w:rPr>
        <w:t>11</w:t>
      </w:r>
      <w:r>
        <w:rPr>
          <w:rFonts w:ascii="宋体" w:hAnsi="宋体" w:eastAsia="宋体" w:cs="宋体"/>
          <w:spacing w:val="-38"/>
          <w:sz w:val="20"/>
          <w:szCs w:val="20"/>
        </w:rPr>
        <w:t xml:space="preserve"> </w:t>
      </w:r>
      <w:r>
        <w:rPr>
          <w:rFonts w:ascii="宋体" w:hAnsi="宋体" w:eastAsia="宋体" w:cs="宋体"/>
          <w:sz w:val="20"/>
          <w:szCs w:val="20"/>
        </w:rPr>
        <w:t>月</w:t>
      </w:r>
      <w:r>
        <w:rPr>
          <w:rFonts w:ascii="宋体" w:hAnsi="宋体" w:eastAsia="宋体" w:cs="宋体"/>
          <w:spacing w:val="-25"/>
          <w:sz w:val="20"/>
          <w:szCs w:val="20"/>
        </w:rPr>
        <w:t xml:space="preserve"> </w:t>
      </w:r>
      <w:r>
        <w:rPr>
          <w:rFonts w:ascii="宋体" w:hAnsi="宋体" w:eastAsia="宋体" w:cs="宋体"/>
          <w:sz w:val="20"/>
          <w:szCs w:val="20"/>
        </w:rPr>
        <w:t>10 日起执行。</w:t>
      </w:r>
    </w:p>
    <w:p>
      <w:pPr>
        <w:spacing w:before="122" w:line="333" w:lineRule="auto"/>
        <w:ind w:left="2" w:right="64" w:firstLine="423"/>
        <w:rPr>
          <w:rFonts w:ascii="宋体" w:hAnsi="宋体" w:eastAsia="宋体" w:cs="宋体"/>
          <w:sz w:val="20"/>
          <w:szCs w:val="20"/>
        </w:rPr>
      </w:pPr>
      <w:r>
        <w:rPr>
          <w:rFonts w:ascii="宋体" w:hAnsi="宋体" w:eastAsia="宋体" w:cs="宋体"/>
          <w:spacing w:val="9"/>
          <w:sz w:val="20"/>
          <w:szCs w:val="20"/>
        </w:rPr>
        <w:t>5.</w:t>
      </w:r>
      <w:r>
        <w:rPr>
          <w:rFonts w:ascii="宋体" w:hAnsi="宋体" w:eastAsia="宋体" w:cs="宋体"/>
          <w:spacing w:val="-16"/>
          <w:sz w:val="20"/>
          <w:szCs w:val="20"/>
        </w:rPr>
        <w:t xml:space="preserve"> </w:t>
      </w:r>
      <w:r>
        <w:rPr>
          <w:rFonts w:ascii="宋体" w:hAnsi="宋体" w:eastAsia="宋体" w:cs="宋体"/>
          <w:spacing w:val="9"/>
          <w:sz w:val="20"/>
          <w:szCs w:val="20"/>
        </w:rPr>
        <w:t>《山东省建设工程费用项目组成及计算规则》与</w:t>
      </w:r>
      <w:r>
        <w:rPr>
          <w:rFonts w:ascii="宋体" w:hAnsi="宋体" w:eastAsia="宋体" w:cs="宋体"/>
          <w:spacing w:val="8"/>
          <w:sz w:val="20"/>
          <w:szCs w:val="20"/>
        </w:rPr>
        <w:t>《山东省市政工程消耗量定额》《山东省绿</w:t>
      </w:r>
      <w:r>
        <w:rPr>
          <w:rFonts w:ascii="宋体" w:hAnsi="宋体" w:eastAsia="宋体" w:cs="宋体"/>
          <w:spacing w:val="11"/>
          <w:sz w:val="20"/>
          <w:szCs w:val="20"/>
        </w:rPr>
        <w:t>色建筑工程消耗量定额》《山东省城市地下综合管廊工程消耗量定额》《山东省市政工</w:t>
      </w:r>
      <w:r>
        <w:rPr>
          <w:rFonts w:ascii="宋体" w:hAnsi="宋体" w:eastAsia="宋体" w:cs="宋体"/>
          <w:spacing w:val="10"/>
          <w:sz w:val="20"/>
          <w:szCs w:val="20"/>
        </w:rPr>
        <w:t>程计价依据</w:t>
      </w:r>
      <w:r>
        <w:rPr>
          <w:rFonts w:ascii="宋体" w:hAnsi="宋体" w:eastAsia="宋体" w:cs="宋体"/>
          <w:spacing w:val="11"/>
          <w:sz w:val="20"/>
          <w:szCs w:val="20"/>
        </w:rPr>
        <w:t>动态调整汇编》《山东省市政工程消耗量定额价目表》《山东省城市地下综合管廊工程</w:t>
      </w:r>
      <w:r>
        <w:rPr>
          <w:rFonts w:ascii="宋体" w:hAnsi="宋体" w:eastAsia="宋体" w:cs="宋体"/>
          <w:spacing w:val="10"/>
          <w:sz w:val="20"/>
          <w:szCs w:val="20"/>
        </w:rPr>
        <w:t>价目表》配</w:t>
      </w:r>
      <w:r>
        <w:rPr>
          <w:rFonts w:ascii="宋体" w:hAnsi="宋体" w:eastAsia="宋体" w:cs="宋体"/>
          <w:spacing w:val="6"/>
          <w:sz w:val="20"/>
          <w:szCs w:val="20"/>
        </w:rPr>
        <w:t>套使用。</w:t>
      </w:r>
    </w:p>
    <w:p>
      <w:pPr>
        <w:spacing w:before="158" w:line="312" w:lineRule="auto"/>
        <w:ind w:left="3" w:right="66" w:firstLine="422"/>
        <w:rPr>
          <w:rFonts w:ascii="宋体" w:hAnsi="宋体" w:eastAsia="宋体" w:cs="宋体"/>
          <w:sz w:val="20"/>
          <w:szCs w:val="20"/>
        </w:rPr>
      </w:pPr>
      <w:r>
        <w:rPr>
          <w:rFonts w:ascii="宋体" w:hAnsi="宋体" w:eastAsia="宋体" w:cs="宋体"/>
          <w:spacing w:val="8"/>
          <w:sz w:val="20"/>
          <w:szCs w:val="20"/>
        </w:rPr>
        <w:t>6. 市政工程费用计算程序是工程计价活动的依据。各种费率是编制最高投标限价的依据，</w:t>
      </w:r>
      <w:r>
        <w:rPr>
          <w:rFonts w:ascii="宋体" w:hAnsi="宋体" w:eastAsia="宋体" w:cs="宋体"/>
          <w:spacing w:val="7"/>
          <w:sz w:val="20"/>
          <w:szCs w:val="20"/>
        </w:rPr>
        <w:t>是其</w:t>
      </w:r>
      <w:r>
        <w:rPr>
          <w:rFonts w:ascii="宋体" w:hAnsi="宋体" w:eastAsia="宋体" w:cs="宋体"/>
          <w:spacing w:val="9"/>
          <w:sz w:val="20"/>
          <w:szCs w:val="20"/>
        </w:rPr>
        <w:t>他计价活动的重要参考（其中规费、税金必须按规定计取，不得作为竞争性费用）。</w:t>
      </w:r>
    </w:p>
    <w:p>
      <w:pPr>
        <w:spacing w:line="312" w:lineRule="auto"/>
        <w:rPr>
          <w:rFonts w:ascii="宋体" w:hAnsi="宋体" w:eastAsia="宋体" w:cs="宋体"/>
          <w:sz w:val="20"/>
          <w:szCs w:val="20"/>
        </w:rPr>
        <w:sectPr>
          <w:footerReference r:id="rId171" w:type="default"/>
          <w:pgSz w:w="11906" w:h="16839"/>
          <w:pgMar w:top="400" w:right="1353"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8"/>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关于增值税调整的说明</w:t>
      </w:r>
    </w:p>
    <w:p>
      <w:pPr>
        <w:tabs>
          <w:tab w:val="left" w:pos="9284"/>
        </w:tabs>
        <w:spacing w:before="121" w:line="369" w:lineRule="auto"/>
        <w:ind w:left="7" w:firstLine="436"/>
        <w:jc w:val="both"/>
        <w:rPr>
          <w:rFonts w:ascii="宋体" w:hAnsi="宋体" w:eastAsia="宋体" w:cs="宋体"/>
          <w:sz w:val="20"/>
          <w:szCs w:val="20"/>
        </w:rPr>
      </w:pPr>
      <w:r>
        <w:rPr>
          <w:rFonts w:ascii="宋体" w:hAnsi="宋体" w:eastAsia="宋体" w:cs="宋体"/>
          <w:spacing w:val="1"/>
          <w:sz w:val="20"/>
          <w:szCs w:val="20"/>
        </w:rPr>
        <w:t>山东省住房和城乡建设厅下发《关于调整建设工程计价依据增值税税率的通知》（鲁建标字</w:t>
      </w:r>
      <w:r>
        <w:rPr>
          <w:rFonts w:ascii="宋体" w:hAnsi="宋体" w:eastAsia="宋体" w:cs="宋体"/>
          <w:sz w:val="20"/>
          <w:szCs w:val="20"/>
        </w:rPr>
        <w:t xml:space="preserve">〔2019〕 </w:t>
      </w:r>
      <w:r>
        <w:rPr>
          <w:rFonts w:ascii="宋体" w:hAnsi="宋体" w:eastAsia="宋体" w:cs="宋体"/>
          <w:spacing w:val="6"/>
          <w:sz w:val="20"/>
          <w:szCs w:val="20"/>
        </w:rPr>
        <w:t>10</w:t>
      </w:r>
      <w:r>
        <w:rPr>
          <w:rFonts w:ascii="宋体" w:hAnsi="宋体" w:eastAsia="宋体" w:cs="宋体"/>
          <w:spacing w:val="-38"/>
          <w:sz w:val="20"/>
          <w:szCs w:val="20"/>
        </w:rPr>
        <w:t xml:space="preserve"> </w:t>
      </w:r>
      <w:r>
        <w:rPr>
          <w:rFonts w:ascii="宋体" w:hAnsi="宋体" w:eastAsia="宋体" w:cs="宋体"/>
          <w:spacing w:val="6"/>
          <w:sz w:val="20"/>
          <w:szCs w:val="20"/>
        </w:rPr>
        <w:t>号</w:t>
      </w:r>
      <w:r>
        <w:rPr>
          <w:rFonts w:ascii="宋体" w:hAnsi="宋体" w:eastAsia="宋体" w:cs="宋体"/>
          <w:spacing w:val="-12"/>
          <w:sz w:val="20"/>
          <w:szCs w:val="20"/>
        </w:rPr>
        <w:t>）</w:t>
      </w:r>
      <w:r>
        <w:rPr>
          <w:rFonts w:ascii="宋体" w:hAnsi="宋体" w:eastAsia="宋体" w:cs="宋体"/>
          <w:spacing w:val="-48"/>
          <w:sz w:val="20"/>
          <w:szCs w:val="20"/>
        </w:rPr>
        <w:t xml:space="preserve"> </w:t>
      </w:r>
      <w:r>
        <w:rPr>
          <w:rFonts w:ascii="宋体" w:hAnsi="宋体" w:eastAsia="宋体" w:cs="宋体"/>
          <w:spacing w:val="-12"/>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自</w:t>
      </w:r>
      <w:r>
        <w:rPr>
          <w:rFonts w:ascii="宋体" w:hAnsi="宋体" w:eastAsia="宋体" w:cs="宋体"/>
          <w:spacing w:val="-40"/>
          <w:sz w:val="20"/>
          <w:szCs w:val="20"/>
        </w:rPr>
        <w:t xml:space="preserve"> </w:t>
      </w:r>
      <w:r>
        <w:rPr>
          <w:rFonts w:ascii="宋体" w:hAnsi="宋体" w:eastAsia="宋体" w:cs="宋体"/>
          <w:spacing w:val="6"/>
          <w:sz w:val="20"/>
          <w:szCs w:val="20"/>
        </w:rPr>
        <w:t>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0"/>
          <w:sz w:val="20"/>
          <w:szCs w:val="20"/>
        </w:rPr>
        <w:t xml:space="preserve"> </w:t>
      </w:r>
      <w:r>
        <w:rPr>
          <w:rFonts w:ascii="宋体" w:hAnsi="宋体" w:eastAsia="宋体" w:cs="宋体"/>
          <w:spacing w:val="6"/>
          <w:sz w:val="20"/>
          <w:szCs w:val="20"/>
        </w:rPr>
        <w:t>4</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 日起执行。通知规定：《山东省建设工程费用项目组成及计算规则》</w:t>
      </w:r>
      <w:r>
        <w:rPr>
          <w:rFonts w:ascii="宋体" w:hAnsi="宋体" w:eastAsia="宋体" w:cs="宋体"/>
          <w:spacing w:val="-57"/>
          <w:sz w:val="20"/>
          <w:szCs w:val="20"/>
        </w:rPr>
        <w:t xml:space="preserve"> </w:t>
      </w:r>
      <w:r>
        <w:rPr>
          <w:rFonts w:ascii="宋体" w:hAnsi="宋体" w:eastAsia="宋体" w:cs="宋体"/>
          <w:spacing w:val="6"/>
          <w:sz w:val="20"/>
          <w:szCs w:val="20"/>
        </w:rPr>
        <w:t>中</w:t>
      </w:r>
      <w:r>
        <w:rPr>
          <w:rFonts w:ascii="宋体" w:hAnsi="宋体" w:eastAsia="宋体" w:cs="宋体"/>
          <w:spacing w:val="11"/>
          <w:sz w:val="20"/>
          <w:szCs w:val="20"/>
        </w:rPr>
        <w:t>的税率（增值税一般计税）从</w:t>
      </w:r>
      <w:r>
        <w:rPr>
          <w:rFonts w:ascii="宋体" w:hAnsi="宋体" w:eastAsia="宋体" w:cs="宋体"/>
          <w:spacing w:val="-25"/>
          <w:sz w:val="20"/>
          <w:szCs w:val="20"/>
        </w:rPr>
        <w:t xml:space="preserve"> </w:t>
      </w:r>
      <w:r>
        <w:rPr>
          <w:rFonts w:ascii="宋体" w:hAnsi="宋体" w:eastAsia="宋体" w:cs="宋体"/>
          <w:spacing w:val="11"/>
          <w:sz w:val="20"/>
          <w:szCs w:val="20"/>
        </w:rPr>
        <w:t>10%调整为9%，其他费率不变。增值税一般计税下，材料费、</w:t>
      </w:r>
      <w:r>
        <w:rPr>
          <w:rFonts w:ascii="宋体" w:hAnsi="宋体" w:eastAsia="宋体" w:cs="宋体"/>
          <w:spacing w:val="10"/>
          <w:sz w:val="20"/>
          <w:szCs w:val="20"/>
        </w:rPr>
        <w:t>施工机</w:t>
      </w:r>
      <w:r>
        <w:rPr>
          <w:rFonts w:ascii="宋体" w:hAnsi="宋体" w:eastAsia="宋体" w:cs="宋体"/>
          <w:spacing w:val="13"/>
          <w:sz w:val="20"/>
          <w:szCs w:val="20"/>
        </w:rPr>
        <w:t>具使用费在扣除进项税额时，原适用</w:t>
      </w:r>
      <w:r>
        <w:rPr>
          <w:rFonts w:ascii="宋体" w:hAnsi="宋体" w:eastAsia="宋体" w:cs="宋体"/>
          <w:spacing w:val="-15"/>
          <w:sz w:val="20"/>
          <w:szCs w:val="20"/>
        </w:rPr>
        <w:t xml:space="preserve"> </w:t>
      </w:r>
      <w:r>
        <w:rPr>
          <w:rFonts w:ascii="宋体" w:hAnsi="宋体" w:eastAsia="宋体" w:cs="宋体"/>
          <w:spacing w:val="13"/>
          <w:sz w:val="20"/>
          <w:szCs w:val="20"/>
        </w:rPr>
        <w:t>16%和</w:t>
      </w:r>
      <w:r>
        <w:rPr>
          <w:rFonts w:ascii="宋体" w:hAnsi="宋体" w:eastAsia="宋体" w:cs="宋体"/>
          <w:spacing w:val="-24"/>
          <w:sz w:val="20"/>
          <w:szCs w:val="20"/>
        </w:rPr>
        <w:t xml:space="preserve"> </w:t>
      </w:r>
      <w:r>
        <w:rPr>
          <w:rFonts w:ascii="宋体" w:hAnsi="宋体" w:eastAsia="宋体" w:cs="宋体"/>
          <w:spacing w:val="13"/>
          <w:sz w:val="20"/>
          <w:szCs w:val="20"/>
        </w:rPr>
        <w:t>10%税率的，税率分别调整为</w:t>
      </w:r>
      <w:r>
        <w:rPr>
          <w:rFonts w:ascii="宋体" w:hAnsi="宋体" w:eastAsia="宋体" w:cs="宋体"/>
          <w:spacing w:val="-25"/>
          <w:sz w:val="20"/>
          <w:szCs w:val="20"/>
        </w:rPr>
        <w:t xml:space="preserve"> </w:t>
      </w:r>
      <w:r>
        <w:rPr>
          <w:rFonts w:ascii="宋体" w:hAnsi="宋体" w:eastAsia="宋体" w:cs="宋体"/>
          <w:spacing w:val="13"/>
          <w:sz w:val="20"/>
          <w:szCs w:val="20"/>
        </w:rPr>
        <w:t>13%、9%。</w:t>
      </w:r>
    </w:p>
    <w:p>
      <w:pPr>
        <w:spacing w:before="2" w:line="277" w:lineRule="exact"/>
        <w:ind w:left="432"/>
        <w:rPr>
          <w:rFonts w:ascii="宋体" w:hAnsi="宋体" w:eastAsia="宋体" w:cs="宋体"/>
          <w:sz w:val="20"/>
          <w:szCs w:val="20"/>
        </w:rPr>
      </w:pPr>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23" w:line="369" w:lineRule="auto"/>
        <w:ind w:right="126" w:firstLine="436"/>
        <w:jc w:val="both"/>
        <w:rPr>
          <w:rFonts w:ascii="宋体" w:hAnsi="宋体" w:eastAsia="宋体" w:cs="宋体"/>
          <w:sz w:val="20"/>
          <w:szCs w:val="20"/>
        </w:rPr>
      </w:pPr>
      <w:r>
        <w:rPr>
          <w:rFonts w:ascii="宋体" w:hAnsi="宋体" w:eastAsia="宋体" w:cs="宋体"/>
          <w:spacing w:val="11"/>
          <w:sz w:val="20"/>
          <w:szCs w:val="20"/>
        </w:rPr>
        <w:t>山东省住房和城乡建设厅《关于调整建设工程定额人工单价及各</w:t>
      </w:r>
      <w:r>
        <w:rPr>
          <w:rFonts w:ascii="宋体" w:hAnsi="宋体" w:eastAsia="宋体" w:cs="宋体"/>
          <w:spacing w:val="10"/>
          <w:sz w:val="20"/>
          <w:szCs w:val="20"/>
        </w:rPr>
        <w:t>专业定额价目表的通知》（鲁</w:t>
      </w:r>
      <w:r>
        <w:rPr>
          <w:rFonts w:ascii="宋体" w:hAnsi="宋体" w:eastAsia="宋体" w:cs="宋体"/>
          <w:spacing w:val="7"/>
          <w:sz w:val="20"/>
          <w:szCs w:val="20"/>
        </w:rPr>
        <w:t>建标字〔2020〕24</w:t>
      </w:r>
      <w:r>
        <w:rPr>
          <w:rFonts w:ascii="宋体" w:hAnsi="宋体" w:eastAsia="宋体" w:cs="宋体"/>
          <w:spacing w:val="-42"/>
          <w:sz w:val="20"/>
          <w:szCs w:val="20"/>
        </w:rPr>
        <w:t xml:space="preserve"> </w:t>
      </w:r>
      <w:r>
        <w:rPr>
          <w:rFonts w:ascii="宋体" w:hAnsi="宋体" w:eastAsia="宋体" w:cs="宋体"/>
          <w:spacing w:val="7"/>
          <w:sz w:val="20"/>
          <w:szCs w:val="20"/>
        </w:rPr>
        <w:t>号）规定：我省《市政工程消</w:t>
      </w:r>
      <w:r>
        <w:rPr>
          <w:rFonts w:ascii="宋体" w:hAnsi="宋体" w:eastAsia="宋体" w:cs="宋体"/>
          <w:spacing w:val="6"/>
          <w:sz w:val="20"/>
          <w:szCs w:val="20"/>
        </w:rPr>
        <w:t>耗量定额（2016</w:t>
      </w:r>
      <w:r>
        <w:rPr>
          <w:rFonts w:ascii="宋体" w:hAnsi="宋体" w:eastAsia="宋体" w:cs="宋体"/>
          <w:spacing w:val="-38"/>
          <w:sz w:val="20"/>
          <w:szCs w:val="20"/>
        </w:rPr>
        <w:t xml:space="preserve"> </w:t>
      </w:r>
      <w:r>
        <w:rPr>
          <w:rFonts w:ascii="宋体" w:hAnsi="宋体" w:eastAsia="宋体" w:cs="宋体"/>
          <w:spacing w:val="6"/>
          <w:sz w:val="20"/>
          <w:szCs w:val="20"/>
        </w:rPr>
        <w:t>版）</w:t>
      </w:r>
      <w:r>
        <w:rPr>
          <w:rFonts w:ascii="宋体" w:hAnsi="宋体" w:eastAsia="宋体" w:cs="宋体"/>
          <w:spacing w:val="-59"/>
          <w:sz w:val="20"/>
          <w:szCs w:val="20"/>
        </w:rPr>
        <w:t xml:space="preserve"> </w:t>
      </w:r>
      <w:r>
        <w:rPr>
          <w:rFonts w:ascii="宋体" w:hAnsi="宋体" w:eastAsia="宋体" w:cs="宋体"/>
          <w:spacing w:val="6"/>
          <w:sz w:val="20"/>
          <w:szCs w:val="20"/>
        </w:rPr>
        <w:t>》、《城市地下综合管廊工程</w:t>
      </w:r>
      <w:r>
        <w:rPr>
          <w:rFonts w:ascii="宋体" w:hAnsi="宋体" w:eastAsia="宋体" w:cs="宋体"/>
          <w:spacing w:val="8"/>
          <w:sz w:val="20"/>
          <w:szCs w:val="20"/>
        </w:rPr>
        <w:t>消耗量定额》中的人工综合工日单价调整为：市政工程（含城市地下综合管廊建筑与装饰工程）117</w:t>
      </w:r>
      <w:r>
        <w:rPr>
          <w:rFonts w:ascii="宋体" w:hAnsi="宋体" w:eastAsia="宋体" w:cs="宋体"/>
          <w:spacing w:val="7"/>
          <w:sz w:val="20"/>
          <w:szCs w:val="20"/>
        </w:rPr>
        <w:t>元/工日、城市地下综合管廊安装工程</w:t>
      </w:r>
      <w:r>
        <w:rPr>
          <w:rFonts w:ascii="宋体" w:hAnsi="宋体" w:eastAsia="宋体" w:cs="宋体"/>
          <w:spacing w:val="-22"/>
          <w:sz w:val="20"/>
          <w:szCs w:val="20"/>
        </w:rPr>
        <w:t xml:space="preserve"> </w:t>
      </w:r>
      <w:r>
        <w:rPr>
          <w:rFonts w:ascii="宋体" w:hAnsi="宋体" w:eastAsia="宋体" w:cs="宋体"/>
          <w:spacing w:val="7"/>
          <w:sz w:val="20"/>
          <w:szCs w:val="20"/>
        </w:rPr>
        <w:t>138</w:t>
      </w:r>
      <w:r>
        <w:rPr>
          <w:rFonts w:ascii="宋体" w:hAnsi="宋体" w:eastAsia="宋体" w:cs="宋体"/>
          <w:spacing w:val="-43"/>
          <w:sz w:val="20"/>
          <w:szCs w:val="20"/>
        </w:rPr>
        <w:t xml:space="preserve"> </w:t>
      </w:r>
      <w:r>
        <w:rPr>
          <w:rFonts w:ascii="宋体" w:hAnsi="宋体" w:eastAsia="宋体" w:cs="宋体"/>
          <w:spacing w:val="7"/>
          <w:sz w:val="20"/>
          <w:szCs w:val="20"/>
        </w:rPr>
        <w:t>元/工日。《山东省建设工程施工机械台班费用编制规则》</w:t>
      </w:r>
      <w:r>
        <w:rPr>
          <w:rFonts w:ascii="宋体" w:hAnsi="宋体" w:eastAsia="宋体" w:cs="宋体"/>
          <w:sz w:val="20"/>
          <w:szCs w:val="20"/>
        </w:rPr>
        <w:t xml:space="preserve"> </w:t>
      </w:r>
      <w:r>
        <w:rPr>
          <w:rFonts w:ascii="宋体" w:hAnsi="宋体" w:eastAsia="宋体" w:cs="宋体"/>
          <w:spacing w:val="8"/>
          <w:sz w:val="20"/>
          <w:szCs w:val="20"/>
        </w:rPr>
        <w:t>（鲁建标字〔2016〕39</w:t>
      </w:r>
      <w:r>
        <w:rPr>
          <w:rFonts w:ascii="宋体" w:hAnsi="宋体" w:eastAsia="宋体" w:cs="宋体"/>
          <w:spacing w:val="-39"/>
          <w:sz w:val="20"/>
          <w:szCs w:val="20"/>
        </w:rPr>
        <w:t xml:space="preserve"> </w:t>
      </w:r>
      <w:r>
        <w:rPr>
          <w:rFonts w:ascii="宋体" w:hAnsi="宋体" w:eastAsia="宋体" w:cs="宋体"/>
          <w:spacing w:val="8"/>
          <w:sz w:val="20"/>
          <w:szCs w:val="20"/>
        </w:rPr>
        <w:t>号）中的人工单价调整为</w:t>
      </w:r>
      <w:r>
        <w:rPr>
          <w:rFonts w:ascii="宋体" w:hAnsi="宋体" w:eastAsia="宋体" w:cs="宋体"/>
          <w:spacing w:val="-22"/>
          <w:sz w:val="20"/>
          <w:szCs w:val="20"/>
        </w:rPr>
        <w:t xml:space="preserve"> </w:t>
      </w:r>
      <w:r>
        <w:rPr>
          <w:rFonts w:ascii="宋体" w:hAnsi="宋体" w:eastAsia="宋体" w:cs="宋体"/>
          <w:spacing w:val="8"/>
          <w:sz w:val="20"/>
          <w:szCs w:val="20"/>
        </w:rPr>
        <w:t>130</w:t>
      </w:r>
      <w:r>
        <w:rPr>
          <w:rFonts w:ascii="宋体" w:hAnsi="宋体" w:eastAsia="宋体" w:cs="宋体"/>
          <w:spacing w:val="-43"/>
          <w:sz w:val="20"/>
          <w:szCs w:val="20"/>
        </w:rPr>
        <w:t xml:space="preserve"> </w:t>
      </w:r>
      <w:r>
        <w:rPr>
          <w:rFonts w:ascii="宋体" w:hAnsi="宋体" w:eastAsia="宋体" w:cs="宋体"/>
          <w:spacing w:val="7"/>
          <w:sz w:val="20"/>
          <w:szCs w:val="20"/>
        </w:rPr>
        <w:t>元/工日。该定额人工综合工日单价自2020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z w:val="20"/>
          <w:szCs w:val="20"/>
        </w:rPr>
        <w:t xml:space="preserve"> </w:t>
      </w:r>
      <w:r>
        <w:rPr>
          <w:rFonts w:ascii="宋体" w:hAnsi="宋体" w:eastAsia="宋体" w:cs="宋体"/>
          <w:spacing w:val="-2"/>
          <w:sz w:val="20"/>
          <w:szCs w:val="20"/>
        </w:rPr>
        <w:t>11</w:t>
      </w:r>
      <w:r>
        <w:rPr>
          <w:rFonts w:ascii="宋体" w:hAnsi="宋体" w:eastAsia="宋体" w:cs="宋体"/>
          <w:spacing w:val="-38"/>
          <w:sz w:val="20"/>
          <w:szCs w:val="20"/>
        </w:rPr>
        <w:t xml:space="preserve"> </w:t>
      </w:r>
      <w:r>
        <w:rPr>
          <w:rFonts w:ascii="宋体" w:hAnsi="宋体" w:eastAsia="宋体" w:cs="宋体"/>
          <w:spacing w:val="-2"/>
          <w:sz w:val="20"/>
          <w:szCs w:val="20"/>
        </w:rPr>
        <w:t>月</w:t>
      </w:r>
      <w:r>
        <w:rPr>
          <w:rFonts w:ascii="宋体" w:hAnsi="宋体" w:eastAsia="宋体" w:cs="宋体"/>
          <w:spacing w:val="-25"/>
          <w:sz w:val="20"/>
          <w:szCs w:val="20"/>
        </w:rPr>
        <w:t xml:space="preserve"> </w:t>
      </w:r>
      <w:r>
        <w:rPr>
          <w:rFonts w:ascii="宋体" w:hAnsi="宋体" w:eastAsia="宋体" w:cs="宋体"/>
          <w:spacing w:val="-2"/>
          <w:sz w:val="20"/>
          <w:szCs w:val="20"/>
        </w:rPr>
        <w:t>10 日执行。</w:t>
      </w:r>
    </w:p>
    <w:p>
      <w:pPr>
        <w:spacing w:before="2" w:line="368" w:lineRule="auto"/>
        <w:ind w:left="6" w:right="208" w:firstLine="420"/>
        <w:jc w:val="both"/>
        <w:rPr>
          <w:rFonts w:ascii="宋体" w:hAnsi="宋体" w:eastAsia="宋体" w:cs="宋体"/>
          <w:sz w:val="20"/>
          <w:szCs w:val="20"/>
        </w:rPr>
      </w:pPr>
      <w:r>
        <w:rPr>
          <w:rFonts w:ascii="宋体" w:hAnsi="宋体" w:eastAsia="宋体" w:cs="宋体"/>
          <w:spacing w:val="11"/>
          <w:sz w:val="20"/>
          <w:szCs w:val="20"/>
        </w:rPr>
        <w:t>淄博市住房和城乡建设局《关于转发山东省住房和城乡建设厅〈关于调整建设工程定</w:t>
      </w:r>
      <w:r>
        <w:rPr>
          <w:rFonts w:ascii="宋体" w:hAnsi="宋体" w:eastAsia="宋体" w:cs="宋体"/>
          <w:spacing w:val="10"/>
          <w:sz w:val="20"/>
          <w:szCs w:val="20"/>
        </w:rPr>
        <w:t>额人工单</w:t>
      </w:r>
      <w:r>
        <w:rPr>
          <w:rFonts w:ascii="宋体" w:hAnsi="宋体" w:eastAsia="宋体" w:cs="宋体"/>
          <w:spacing w:val="11"/>
          <w:sz w:val="20"/>
          <w:szCs w:val="20"/>
        </w:rPr>
        <w:t>价及各专业定额价目表的通知〉的通知》（淄建发〔2020〕215</w:t>
      </w:r>
      <w:r>
        <w:rPr>
          <w:rFonts w:ascii="宋体" w:hAnsi="宋体" w:eastAsia="宋体" w:cs="宋体"/>
          <w:spacing w:val="-38"/>
          <w:sz w:val="20"/>
          <w:szCs w:val="20"/>
        </w:rPr>
        <w:t xml:space="preserve"> </w:t>
      </w:r>
      <w:r>
        <w:rPr>
          <w:rFonts w:ascii="宋体" w:hAnsi="宋体" w:eastAsia="宋体" w:cs="宋体"/>
          <w:spacing w:val="11"/>
          <w:sz w:val="20"/>
          <w:szCs w:val="20"/>
        </w:rPr>
        <w:t>号）规定：市政工程（含城市地下</w:t>
      </w:r>
      <w:r>
        <w:rPr>
          <w:rFonts w:ascii="宋体" w:hAnsi="宋体" w:eastAsia="宋体" w:cs="宋体"/>
          <w:spacing w:val="7"/>
          <w:sz w:val="20"/>
          <w:szCs w:val="20"/>
        </w:rPr>
        <w:t>综合管廊建筑与装饰工程）定额人工市场指导单价为</w:t>
      </w:r>
      <w:r>
        <w:rPr>
          <w:rFonts w:ascii="宋体" w:hAnsi="宋体" w:eastAsia="宋体" w:cs="宋体"/>
          <w:spacing w:val="-7"/>
          <w:sz w:val="20"/>
          <w:szCs w:val="20"/>
        </w:rPr>
        <w:t xml:space="preserve"> </w:t>
      </w:r>
      <w:r>
        <w:rPr>
          <w:rFonts w:ascii="宋体" w:hAnsi="宋体" w:eastAsia="宋体" w:cs="宋体"/>
          <w:spacing w:val="7"/>
          <w:sz w:val="20"/>
          <w:szCs w:val="20"/>
        </w:rPr>
        <w:t>110</w:t>
      </w:r>
      <w:r>
        <w:rPr>
          <w:rFonts w:ascii="宋体" w:hAnsi="宋体" w:eastAsia="宋体" w:cs="宋体"/>
          <w:spacing w:val="-42"/>
          <w:sz w:val="20"/>
          <w:szCs w:val="20"/>
        </w:rPr>
        <w:t xml:space="preserve"> </w:t>
      </w:r>
      <w:r>
        <w:rPr>
          <w:rFonts w:ascii="宋体" w:hAnsi="宋体" w:eastAsia="宋体" w:cs="宋体"/>
          <w:spacing w:val="7"/>
          <w:sz w:val="20"/>
          <w:szCs w:val="20"/>
        </w:rPr>
        <w:t>元/工日，城市地下综合管廊安装工程定额</w:t>
      </w:r>
      <w:r>
        <w:rPr>
          <w:rFonts w:ascii="宋体" w:hAnsi="宋体" w:eastAsia="宋体" w:cs="宋体"/>
          <w:spacing w:val="5"/>
          <w:sz w:val="20"/>
          <w:szCs w:val="20"/>
        </w:rPr>
        <w:t>人工市场指导单价为</w:t>
      </w:r>
      <w:r>
        <w:rPr>
          <w:rFonts w:ascii="宋体" w:hAnsi="宋体" w:eastAsia="宋体" w:cs="宋体"/>
          <w:spacing w:val="-22"/>
          <w:sz w:val="20"/>
          <w:szCs w:val="20"/>
        </w:rPr>
        <w:t xml:space="preserve"> </w:t>
      </w:r>
      <w:r>
        <w:rPr>
          <w:rFonts w:ascii="宋体" w:hAnsi="宋体" w:eastAsia="宋体" w:cs="宋体"/>
          <w:spacing w:val="5"/>
          <w:sz w:val="20"/>
          <w:szCs w:val="20"/>
        </w:rPr>
        <w:t>128</w:t>
      </w:r>
      <w:r>
        <w:rPr>
          <w:rFonts w:ascii="宋体" w:hAnsi="宋体" w:eastAsia="宋体" w:cs="宋体"/>
          <w:spacing w:val="-42"/>
          <w:sz w:val="20"/>
          <w:szCs w:val="20"/>
        </w:rPr>
        <w:t xml:space="preserve"> </w:t>
      </w:r>
      <w:r>
        <w:rPr>
          <w:rFonts w:ascii="宋体" w:hAnsi="宋体" w:eastAsia="宋体" w:cs="宋体"/>
          <w:spacing w:val="5"/>
          <w:sz w:val="20"/>
          <w:szCs w:val="20"/>
        </w:rPr>
        <w:t>元/工日。该定额人工市场指导单价自2020</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5"/>
          <w:sz w:val="20"/>
          <w:szCs w:val="20"/>
        </w:rPr>
        <w:t xml:space="preserve"> </w:t>
      </w:r>
      <w:r>
        <w:rPr>
          <w:rFonts w:ascii="宋体" w:hAnsi="宋体" w:eastAsia="宋体" w:cs="宋体"/>
          <w:spacing w:val="4"/>
          <w:sz w:val="20"/>
          <w:szCs w:val="20"/>
        </w:rPr>
        <w:t>12</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15 日执行。</w:t>
      </w:r>
    </w:p>
    <w:p>
      <w:pPr>
        <w:spacing w:before="8" w:line="368" w:lineRule="auto"/>
        <w:ind w:left="8" w:right="208" w:firstLine="414"/>
        <w:jc w:val="both"/>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省价人工费应作为工程造价中总价措施费、企业管理费、利润等各项费用的计算基础。我市发布的建设工程定额人工市场指导单价是我市行政区域内国有投资项目编制最高投标</w:t>
      </w:r>
      <w:r>
        <w:rPr>
          <w:rFonts w:ascii="宋体" w:hAnsi="宋体" w:eastAsia="宋体" w:cs="宋体"/>
          <w:spacing w:val="10"/>
          <w:sz w:val="20"/>
          <w:szCs w:val="20"/>
        </w:rPr>
        <w:t>限价的依据，也</w:t>
      </w:r>
      <w:r>
        <w:rPr>
          <w:rFonts w:ascii="宋体" w:hAnsi="宋体" w:eastAsia="宋体" w:cs="宋体"/>
          <w:spacing w:val="9"/>
          <w:sz w:val="20"/>
          <w:szCs w:val="20"/>
        </w:rPr>
        <w:t>是投标报价、工程结算等工程计价活动的参考。</w:t>
      </w:r>
    </w:p>
    <w:p>
      <w:pPr>
        <w:spacing w:line="279" w:lineRule="exact"/>
        <w:ind w:left="430"/>
        <w:rPr>
          <w:rFonts w:ascii="宋体" w:hAnsi="宋体" w:eastAsia="宋体" w:cs="宋体"/>
          <w:sz w:val="20"/>
          <w:szCs w:val="20"/>
        </w:rPr>
      </w:pPr>
      <w:r>
        <w:rPr>
          <w:rFonts w:ascii="宋体" w:hAnsi="宋体" w:eastAsia="宋体" w:cs="宋体"/>
          <w:b/>
          <w:bCs/>
          <w:spacing w:val="1"/>
          <w:position w:val="1"/>
          <w:sz w:val="20"/>
          <w:szCs w:val="20"/>
        </w:rPr>
        <w:t>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3" w:line="368" w:lineRule="auto"/>
        <w:ind w:left="9" w:right="208"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w:t>
      </w:r>
      <w:r>
        <w:rPr>
          <w:rFonts w:ascii="宋体" w:hAnsi="宋体" w:eastAsia="宋体" w:cs="宋体"/>
          <w:spacing w:val="12"/>
          <w:sz w:val="20"/>
          <w:szCs w:val="20"/>
        </w:rPr>
        <w:t>》（鲁建标字〔2022〕7</w:t>
      </w:r>
      <w:r>
        <w:rPr>
          <w:rFonts w:ascii="宋体" w:hAnsi="宋体" w:eastAsia="宋体" w:cs="宋体"/>
          <w:spacing w:val="11"/>
          <w:sz w:val="20"/>
          <w:szCs w:val="20"/>
        </w:rPr>
        <w:t>号）文件执行，其中安全文明施工费费率执行山东省住房和城乡建设厅《关于调整</w:t>
      </w:r>
      <w:r>
        <w:rPr>
          <w:rFonts w:ascii="宋体" w:hAnsi="宋体" w:eastAsia="宋体" w:cs="宋体"/>
          <w:spacing w:val="10"/>
          <w:sz w:val="20"/>
          <w:szCs w:val="20"/>
        </w:rPr>
        <w:t>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3" w:line="278" w:lineRule="exact"/>
        <w:ind w:left="420"/>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5" w:line="220" w:lineRule="auto"/>
        <w:ind w:left="434"/>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7" w:lineRule="exact"/>
        <w:ind w:left="420"/>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8" w:line="220" w:lineRule="auto"/>
        <w:ind w:left="434"/>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6" w:line="278" w:lineRule="exact"/>
        <w:ind w:left="420"/>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7" w:line="223" w:lineRule="auto"/>
        <w:ind w:left="434"/>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5" w:line="276" w:lineRule="exact"/>
        <w:ind w:left="420"/>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1" w:line="368" w:lineRule="auto"/>
        <w:ind w:left="8" w:right="208"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2"/>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7" w:line="279" w:lineRule="exact"/>
        <w:ind w:left="420"/>
        <w:rPr>
          <w:rFonts w:ascii="宋体" w:hAnsi="宋体" w:eastAsia="宋体" w:cs="宋体"/>
          <w:sz w:val="20"/>
          <w:szCs w:val="20"/>
        </w:rPr>
      </w:pPr>
      <w:r>
        <w:rPr>
          <w:rFonts w:ascii="宋体" w:hAnsi="宋体" w:eastAsia="宋体" w:cs="宋体"/>
          <w:spacing w:val="9"/>
          <w:position w:val="1"/>
          <w:sz w:val="20"/>
          <w:szCs w:val="20"/>
        </w:rPr>
        <w:t>（5）住房公积金</w:t>
      </w:r>
    </w:p>
    <w:p>
      <w:pPr>
        <w:spacing w:line="279" w:lineRule="exact"/>
        <w:rPr>
          <w:rFonts w:ascii="宋体" w:hAnsi="宋体" w:eastAsia="宋体" w:cs="宋体"/>
          <w:sz w:val="20"/>
          <w:szCs w:val="20"/>
        </w:rPr>
        <w:sectPr>
          <w:footerReference r:id="rId172" w:type="default"/>
          <w:pgSz w:w="11906" w:h="16839"/>
          <w:pgMar w:top="400" w:right="1209"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9" w:right="166"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2" w:line="276" w:lineRule="exact"/>
        <w:ind w:left="447"/>
        <w:rPr>
          <w:rFonts w:ascii="宋体" w:hAnsi="宋体" w:eastAsia="宋体" w:cs="宋体"/>
          <w:sz w:val="20"/>
          <w:szCs w:val="20"/>
        </w:rPr>
      </w:pPr>
      <w:r>
        <w:rPr>
          <w:rFonts w:ascii="宋体" w:hAnsi="宋体" w:eastAsia="宋体" w:cs="宋体"/>
          <w:b/>
          <w:bCs/>
          <w:spacing w:val="2"/>
          <w:position w:val="1"/>
          <w:sz w:val="20"/>
          <w:szCs w:val="20"/>
        </w:rPr>
        <w:t>10.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关于计价依据的适用范围</w:t>
      </w:r>
    </w:p>
    <w:p>
      <w:pPr>
        <w:spacing w:before="124" w:line="361" w:lineRule="auto"/>
        <w:ind w:left="6" w:right="168" w:firstLine="421"/>
        <w:rPr>
          <w:rFonts w:ascii="宋体" w:hAnsi="宋体" w:eastAsia="宋体" w:cs="宋体"/>
          <w:sz w:val="20"/>
          <w:szCs w:val="20"/>
        </w:rPr>
      </w:pPr>
      <w:r>
        <w:rPr>
          <w:rFonts w:ascii="宋体" w:hAnsi="宋体" w:eastAsia="宋体" w:cs="宋体"/>
          <w:spacing w:val="11"/>
          <w:sz w:val="20"/>
          <w:szCs w:val="20"/>
        </w:rPr>
        <w:t>本计价依据适用于我市行政区域内的新建、扩建和改建的市政工程。其中，城市</w:t>
      </w:r>
      <w:r>
        <w:rPr>
          <w:rFonts w:ascii="宋体" w:hAnsi="宋体" w:eastAsia="宋体" w:cs="宋体"/>
          <w:spacing w:val="10"/>
          <w:sz w:val="20"/>
          <w:szCs w:val="20"/>
        </w:rPr>
        <w:t>地下综合管廊</w:t>
      </w:r>
      <w:r>
        <w:rPr>
          <w:rFonts w:ascii="宋体" w:hAnsi="宋体" w:eastAsia="宋体" w:cs="宋体"/>
          <w:spacing w:val="11"/>
          <w:sz w:val="20"/>
          <w:szCs w:val="20"/>
        </w:rPr>
        <w:t>工程相关计价依据适用于山东省行政区域内城市地下综合管廊本体（含标准段、吊</w:t>
      </w:r>
      <w:r>
        <w:rPr>
          <w:rFonts w:ascii="宋体" w:hAnsi="宋体" w:eastAsia="宋体" w:cs="宋体"/>
          <w:spacing w:val="10"/>
          <w:sz w:val="20"/>
          <w:szCs w:val="20"/>
        </w:rPr>
        <w:t>装口、通风口、</w:t>
      </w:r>
      <w:r>
        <w:rPr>
          <w:rFonts w:ascii="宋体" w:hAnsi="宋体" w:eastAsia="宋体" w:cs="宋体"/>
          <w:spacing w:val="11"/>
          <w:sz w:val="20"/>
          <w:szCs w:val="20"/>
        </w:rPr>
        <w:t>管线分支口、端部井、端部人员出入口、逃生口等）的新建、扩建和改建工程的计</w:t>
      </w:r>
      <w:r>
        <w:rPr>
          <w:rFonts w:ascii="宋体" w:hAnsi="宋体" w:eastAsia="宋体" w:cs="宋体"/>
          <w:spacing w:val="10"/>
          <w:sz w:val="20"/>
          <w:szCs w:val="20"/>
        </w:rPr>
        <w:t>价活动。管廊内铺设的其他专业管线、线路套用相关专业定额，</w:t>
      </w:r>
      <w:r>
        <w:rPr>
          <w:rFonts w:ascii="宋体" w:hAnsi="宋体" w:eastAsia="宋体" w:cs="宋体"/>
          <w:spacing w:val="9"/>
          <w:sz w:val="20"/>
          <w:szCs w:val="20"/>
        </w:rPr>
        <w:t>并按相应专业的费用计算规则执行。</w:t>
      </w:r>
    </w:p>
    <w:p>
      <w:pPr>
        <w:spacing w:before="34" w:line="278" w:lineRule="exact"/>
        <w:ind w:left="447"/>
        <w:rPr>
          <w:rFonts w:ascii="宋体" w:hAnsi="宋体" w:eastAsia="宋体" w:cs="宋体"/>
          <w:sz w:val="20"/>
          <w:szCs w:val="20"/>
        </w:rPr>
      </w:pPr>
      <w:r>
        <w:rPr>
          <w:rFonts w:ascii="宋体" w:hAnsi="宋体" w:eastAsia="宋体" w:cs="宋体"/>
          <w:b/>
          <w:bCs/>
          <w:spacing w:val="5"/>
          <w:position w:val="1"/>
          <w:sz w:val="20"/>
          <w:szCs w:val="20"/>
        </w:rPr>
        <w:t>11.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关于市政工程消耗量定额与建筑工程消耗量定额的分界</w:t>
      </w:r>
    </w:p>
    <w:p>
      <w:pPr>
        <w:spacing w:before="123" w:line="321" w:lineRule="auto"/>
        <w:ind w:left="7" w:right="165"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1）道路，以厂区（或小区）范围为界。厂区（或小区）范围以内的道路为建筑工程道路，执</w:t>
      </w:r>
      <w:r>
        <w:rPr>
          <w:rFonts w:ascii="宋体" w:hAnsi="宋体" w:eastAsia="宋体" w:cs="宋体"/>
          <w:spacing w:val="11"/>
          <w:sz w:val="20"/>
          <w:szCs w:val="20"/>
        </w:rPr>
        <w:t>行建筑定额；范围以外的道路为市政工程道路，执行市政定额。若厂区（或小区）范</w:t>
      </w:r>
      <w:r>
        <w:rPr>
          <w:rFonts w:ascii="宋体" w:hAnsi="宋体" w:eastAsia="宋体" w:cs="宋体"/>
          <w:spacing w:val="10"/>
          <w:sz w:val="20"/>
          <w:szCs w:val="20"/>
        </w:rPr>
        <w:t>围内的道路，</w:t>
      </w:r>
      <w:r>
        <w:rPr>
          <w:rFonts w:ascii="宋体" w:hAnsi="宋体" w:eastAsia="宋体" w:cs="宋体"/>
          <w:spacing w:val="9"/>
          <w:sz w:val="20"/>
          <w:szCs w:val="20"/>
        </w:rPr>
        <w:t>按城市道路有关规范设计，也属市政工程道路，执行市政定额。</w:t>
      </w:r>
    </w:p>
    <w:p>
      <w:pPr>
        <w:spacing w:before="149" w:line="335" w:lineRule="auto"/>
        <w:ind w:left="9" w:right="101" w:firstLine="410"/>
        <w:rPr>
          <w:rFonts w:ascii="宋体" w:hAnsi="宋体" w:eastAsia="宋体" w:cs="宋体"/>
          <w:sz w:val="20"/>
          <w:szCs w:val="20"/>
        </w:rPr>
      </w:pPr>
      <w:r>
        <w:rPr>
          <w:rFonts w:ascii="宋体" w:hAnsi="宋体" w:eastAsia="宋体" w:cs="宋体"/>
          <w:spacing w:val="9"/>
          <w:sz w:val="20"/>
          <w:szCs w:val="20"/>
        </w:rPr>
        <w:t>（2）排水管道，以其接入的市政管网的第</w:t>
      </w:r>
      <w:r>
        <w:rPr>
          <w:rFonts w:ascii="宋体" w:hAnsi="宋体" w:eastAsia="宋体" w:cs="宋体"/>
          <w:spacing w:val="8"/>
          <w:sz w:val="20"/>
          <w:szCs w:val="20"/>
        </w:rPr>
        <w:t>一座检查井为界。第一座检查井以内的管道，为建筑工程室外排水管道，执行建筑定额；第一座检查井</w:t>
      </w:r>
      <w:r>
        <w:rPr>
          <w:rFonts w:ascii="宋体" w:hAnsi="宋体" w:eastAsia="宋体" w:cs="宋体"/>
          <w:spacing w:val="7"/>
          <w:sz w:val="20"/>
          <w:szCs w:val="20"/>
        </w:rPr>
        <w:t>及与市政管网相连的管道，为市政工程排水管道，</w:t>
      </w:r>
      <w:r>
        <w:rPr>
          <w:rFonts w:ascii="宋体" w:hAnsi="宋体" w:eastAsia="宋体" w:cs="宋体"/>
          <w:spacing w:val="11"/>
          <w:sz w:val="20"/>
          <w:szCs w:val="20"/>
        </w:rPr>
        <w:t>执行市政定额。若厂区（或小区）范围内的道路，按城市道路有关规范设计</w:t>
      </w:r>
      <w:r>
        <w:rPr>
          <w:rFonts w:ascii="宋体" w:hAnsi="宋体" w:eastAsia="宋体" w:cs="宋体"/>
          <w:spacing w:val="10"/>
          <w:sz w:val="20"/>
          <w:szCs w:val="20"/>
        </w:rPr>
        <w:t>，位于道路之下的排水</w:t>
      </w:r>
      <w:r>
        <w:rPr>
          <w:rFonts w:ascii="宋体" w:hAnsi="宋体" w:eastAsia="宋体" w:cs="宋体"/>
          <w:spacing w:val="9"/>
          <w:sz w:val="20"/>
          <w:szCs w:val="20"/>
        </w:rPr>
        <w:t>管道，也属市政工程排水管道，执行市政定额。</w:t>
      </w:r>
    </w:p>
    <w:p>
      <w:pPr>
        <w:spacing w:before="153" w:line="278" w:lineRule="exact"/>
        <w:ind w:left="447"/>
        <w:rPr>
          <w:rFonts w:ascii="宋体" w:hAnsi="宋体" w:eastAsia="宋体" w:cs="宋体"/>
          <w:sz w:val="20"/>
          <w:szCs w:val="20"/>
        </w:rPr>
      </w:pPr>
      <w:r>
        <w:rPr>
          <w:rFonts w:ascii="宋体" w:hAnsi="宋体" w:eastAsia="宋体" w:cs="宋体"/>
          <w:b/>
          <w:bCs/>
          <w:spacing w:val="5"/>
          <w:position w:val="1"/>
          <w:sz w:val="20"/>
          <w:szCs w:val="20"/>
        </w:rPr>
        <w:t>12.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关于市政工程消耗量定额与安装工程消耗量定额的分界</w:t>
      </w:r>
    </w:p>
    <w:p>
      <w:pPr>
        <w:spacing w:before="123" w:line="313" w:lineRule="auto"/>
        <w:ind w:left="9" w:right="165"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1）给水工程：市政给水管道与厂、区室外给水管道以水表井为界，无水表井者，以与专业管道碰头点为界。</w:t>
      </w:r>
    </w:p>
    <w:p>
      <w:pPr>
        <w:spacing w:before="113" w:line="285" w:lineRule="exact"/>
        <w:ind w:left="420"/>
        <w:rPr>
          <w:rFonts w:ascii="宋体" w:hAnsi="宋体" w:eastAsia="宋体" w:cs="宋体"/>
          <w:sz w:val="20"/>
          <w:szCs w:val="20"/>
        </w:rPr>
      </w:pPr>
      <w:r>
        <w:rPr>
          <w:rFonts w:ascii="宋体" w:hAnsi="宋体" w:eastAsia="宋体" w:cs="宋体"/>
          <w:spacing w:val="9"/>
          <w:position w:val="1"/>
          <w:sz w:val="20"/>
          <w:szCs w:val="20"/>
        </w:rPr>
        <w:t>（2）排水工程：以接入市政管道的检查井、接户井为界。</w:t>
      </w:r>
    </w:p>
    <w:p>
      <w:pPr>
        <w:spacing w:before="124" w:line="276" w:lineRule="exact"/>
        <w:ind w:left="420"/>
        <w:rPr>
          <w:rFonts w:ascii="宋体" w:hAnsi="宋体" w:eastAsia="宋体" w:cs="宋体"/>
          <w:sz w:val="20"/>
          <w:szCs w:val="20"/>
        </w:rPr>
      </w:pPr>
      <w:r>
        <w:rPr>
          <w:rFonts w:ascii="宋体" w:hAnsi="宋体" w:eastAsia="宋体" w:cs="宋体"/>
          <w:spacing w:val="8"/>
          <w:position w:val="1"/>
          <w:sz w:val="20"/>
          <w:szCs w:val="20"/>
        </w:rPr>
        <w:t>（3）燃气与供热工程：</w:t>
      </w:r>
    </w:p>
    <w:p>
      <w:pPr>
        <w:spacing w:before="124" w:line="278" w:lineRule="exact"/>
        <w:ind w:left="434"/>
        <w:rPr>
          <w:rFonts w:ascii="宋体" w:hAnsi="宋体" w:eastAsia="宋体" w:cs="宋体"/>
          <w:sz w:val="20"/>
          <w:szCs w:val="20"/>
        </w:rPr>
      </w:pPr>
      <w:r>
        <w:rPr>
          <w:rFonts w:ascii="宋体" w:hAnsi="宋体" w:eastAsia="宋体" w:cs="宋体"/>
          <w:spacing w:val="8"/>
          <w:position w:val="1"/>
          <w:sz w:val="20"/>
          <w:szCs w:val="20"/>
        </w:rPr>
        <w:t>与安装工程中工业管道界线：以厂区入口第一个计量表（</w:t>
      </w:r>
      <w:r>
        <w:rPr>
          <w:rFonts w:ascii="宋体" w:hAnsi="宋体" w:eastAsia="宋体" w:cs="宋体"/>
          <w:spacing w:val="-50"/>
          <w:position w:val="1"/>
          <w:sz w:val="20"/>
          <w:szCs w:val="20"/>
        </w:rPr>
        <w:t xml:space="preserve"> </w:t>
      </w:r>
      <w:r>
        <w:rPr>
          <w:rFonts w:ascii="宋体" w:hAnsi="宋体" w:eastAsia="宋体" w:cs="宋体"/>
          <w:spacing w:val="8"/>
          <w:position w:val="1"/>
          <w:sz w:val="20"/>
          <w:szCs w:val="20"/>
        </w:rPr>
        <w:t>阀门、碰头点</w:t>
      </w:r>
      <w:r>
        <w:rPr>
          <w:rFonts w:ascii="宋体" w:hAnsi="宋体" w:eastAsia="宋体" w:cs="宋体"/>
          <w:spacing w:val="7"/>
          <w:position w:val="1"/>
          <w:sz w:val="20"/>
          <w:szCs w:val="20"/>
        </w:rPr>
        <w:t>）为界；</w:t>
      </w:r>
    </w:p>
    <w:p>
      <w:pPr>
        <w:spacing w:before="121" w:line="277" w:lineRule="exact"/>
        <w:ind w:left="434"/>
        <w:rPr>
          <w:rFonts w:ascii="宋体" w:hAnsi="宋体" w:eastAsia="宋体" w:cs="宋体"/>
          <w:sz w:val="20"/>
          <w:szCs w:val="20"/>
        </w:rPr>
      </w:pPr>
      <w:r>
        <w:rPr>
          <w:rFonts w:ascii="宋体" w:hAnsi="宋体" w:eastAsia="宋体" w:cs="宋体"/>
          <w:spacing w:val="9"/>
          <w:position w:val="1"/>
          <w:sz w:val="20"/>
          <w:szCs w:val="20"/>
        </w:rPr>
        <w:t>与安装工程室外燃气、采暖管道界线：以与市政燃气、热力管道碰头井（点）为界。</w:t>
      </w:r>
    </w:p>
    <w:p>
      <w:pPr>
        <w:spacing w:before="124" w:line="276" w:lineRule="exact"/>
        <w:ind w:left="447"/>
        <w:rPr>
          <w:rFonts w:ascii="宋体" w:hAnsi="宋体" w:eastAsia="宋体" w:cs="宋体"/>
          <w:sz w:val="20"/>
          <w:szCs w:val="20"/>
        </w:rPr>
      </w:pPr>
      <w:r>
        <w:rPr>
          <w:rFonts w:ascii="宋体" w:hAnsi="宋体" w:eastAsia="宋体" w:cs="宋体"/>
          <w:b/>
          <w:bCs/>
          <w:spacing w:val="3"/>
          <w:position w:val="1"/>
          <w:sz w:val="20"/>
          <w:szCs w:val="20"/>
        </w:rPr>
        <w:t>13.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关于工程建设人工材料价格风险控制</w:t>
      </w:r>
    </w:p>
    <w:p>
      <w:pPr>
        <w:spacing w:before="124" w:line="366" w:lineRule="auto"/>
        <w:ind w:left="9" w:right="168" w:firstLine="473"/>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7"/>
          <w:sz w:val="20"/>
          <w:szCs w:val="20"/>
        </w:rPr>
        <w:t xml:space="preserve"> </w:t>
      </w:r>
      <w:r>
        <w:rPr>
          <w:rFonts w:ascii="宋体" w:hAnsi="宋体" w:eastAsia="宋体" w:cs="宋体"/>
          <w:spacing w:val="4"/>
          <w:sz w:val="20"/>
          <w:szCs w:val="20"/>
        </w:rPr>
        <w:t>1）2019</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42"/>
          <w:sz w:val="20"/>
          <w:szCs w:val="20"/>
        </w:rPr>
        <w:t xml:space="preserve"> </w:t>
      </w:r>
      <w:r>
        <w:rPr>
          <w:rFonts w:ascii="宋体" w:hAnsi="宋体" w:eastAsia="宋体" w:cs="宋体"/>
          <w:spacing w:val="4"/>
          <w:sz w:val="20"/>
          <w:szCs w:val="20"/>
        </w:rPr>
        <w:t>9</w:t>
      </w:r>
      <w:r>
        <w:rPr>
          <w:rFonts w:ascii="宋体" w:hAnsi="宋体" w:eastAsia="宋体" w:cs="宋体"/>
          <w:spacing w:val="-41"/>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16 日，山东省住房和城乡建设厅出台《关于加强工程建设人工材料价格风险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9" w:line="224" w:lineRule="auto"/>
        <w:ind w:left="49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6" w:line="276" w:lineRule="exact"/>
        <w:jc w:val="right"/>
        <w:rPr>
          <w:rFonts w:ascii="宋体" w:hAnsi="宋体" w:eastAsia="宋体" w:cs="宋体"/>
          <w:sz w:val="20"/>
          <w:szCs w:val="20"/>
        </w:rPr>
      </w:pPr>
      <w:r>
        <w:rPr>
          <w:rFonts w:ascii="宋体" w:hAnsi="宋体" w:eastAsia="宋体" w:cs="宋体"/>
          <w:spacing w:val="8"/>
          <w:position w:val="1"/>
          <w:sz w:val="20"/>
          <w:szCs w:val="20"/>
        </w:rPr>
        <w:t>二是合同对人工费调整没有约定或约定不具体的，发承包双方按照以下原则协商调整工程造价：</w:t>
      </w:r>
    </w:p>
    <w:p>
      <w:pPr>
        <w:spacing w:before="123" w:line="345" w:lineRule="auto"/>
        <w:ind w:left="7" w:right="168" w:firstLine="483"/>
        <w:rPr>
          <w:rFonts w:ascii="宋体" w:hAnsi="宋体" w:eastAsia="宋体" w:cs="宋体"/>
          <w:sz w:val="20"/>
          <w:szCs w:val="20"/>
        </w:rPr>
      </w:pPr>
      <w:r>
        <w:rPr>
          <w:rFonts w:ascii="宋体" w:hAnsi="宋体" w:eastAsia="宋体" w:cs="宋体"/>
          <w:spacing w:val="9"/>
          <w:sz w:val="20"/>
          <w:szCs w:val="20"/>
        </w:rPr>
        <w:t>①设区市建设主管部门发布市定额人工市场指导单价的：市建设主管部门调增市定额人工指导单价时，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58" w:line="312" w:lineRule="auto"/>
        <w:ind w:right="355" w:firstLine="491"/>
        <w:rPr>
          <w:rFonts w:ascii="宋体" w:hAnsi="宋体" w:eastAsia="宋体" w:cs="宋体"/>
          <w:sz w:val="20"/>
          <w:szCs w:val="20"/>
        </w:rPr>
      </w:pPr>
      <w:r>
        <w:rPr>
          <w:rFonts w:ascii="宋体" w:hAnsi="宋体" w:eastAsia="宋体" w:cs="宋体"/>
          <w:spacing w:val="10"/>
          <w:sz w:val="20"/>
          <w:szCs w:val="20"/>
        </w:rPr>
        <w:t>②设区市建设主管部门未发布市定额人工市场指导单价的，根据省定额人工单</w:t>
      </w:r>
      <w:r>
        <w:rPr>
          <w:rFonts w:ascii="宋体" w:hAnsi="宋体" w:eastAsia="宋体" w:cs="宋体"/>
          <w:spacing w:val="9"/>
          <w:sz w:val="20"/>
          <w:szCs w:val="20"/>
        </w:rPr>
        <w:t>价的调整幅度（百分比</w:t>
      </w:r>
      <w:r>
        <w:rPr>
          <w:rFonts w:ascii="宋体" w:hAnsi="宋体" w:eastAsia="宋体" w:cs="宋体"/>
          <w:spacing w:val="-8"/>
          <w:sz w:val="20"/>
          <w:szCs w:val="20"/>
        </w:rPr>
        <w:t>）</w:t>
      </w:r>
      <w:r>
        <w:rPr>
          <w:rFonts w:ascii="宋体" w:hAnsi="宋体" w:eastAsia="宋体" w:cs="宋体"/>
          <w:spacing w:val="-52"/>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按照上条原则调整工程价款的人工费。</w:t>
      </w:r>
    </w:p>
    <w:p>
      <w:pPr>
        <w:spacing w:line="312" w:lineRule="auto"/>
        <w:rPr>
          <w:rFonts w:ascii="宋体" w:hAnsi="宋体" w:eastAsia="宋体" w:cs="宋体"/>
          <w:sz w:val="20"/>
          <w:szCs w:val="20"/>
        </w:rPr>
        <w:sectPr>
          <w:footerReference r:id="rId173" w:type="default"/>
          <w:pgSz w:w="11906" w:h="16839"/>
          <w:pgMar w:top="400" w:right="1252" w:bottom="1212" w:left="1411"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9" w:right="2" w:firstLine="485"/>
        <w:rPr>
          <w:rFonts w:ascii="宋体" w:hAnsi="宋体" w:eastAsia="宋体" w:cs="宋体"/>
          <w:sz w:val="20"/>
          <w:szCs w:val="20"/>
        </w:rPr>
      </w:pPr>
      <w:r>
        <w:rPr>
          <w:rFonts w:ascii="宋体" w:hAnsi="宋体" w:eastAsia="宋体" w:cs="宋体"/>
          <w:spacing w:val="9"/>
          <w:sz w:val="20"/>
          <w:szCs w:val="20"/>
        </w:rPr>
        <w:t>三是省建设主管部门调整省定额人工单价时，自调整生效之日起完成的工程量，各项以省价人工费（或省价人机费）为基础计取的费用同时进行调整。</w:t>
      </w:r>
    </w:p>
    <w:p>
      <w:pPr>
        <w:spacing w:line="276" w:lineRule="exact"/>
        <w:ind w:left="493"/>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2" w:line="276" w:lineRule="exact"/>
        <w:ind w:left="491"/>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5" w:line="368" w:lineRule="auto"/>
        <w:ind w:left="8" w:firstLine="483"/>
        <w:rPr>
          <w:rFonts w:ascii="宋体" w:hAnsi="宋体" w:eastAsia="宋体" w:cs="宋体"/>
          <w:sz w:val="20"/>
          <w:szCs w:val="20"/>
        </w:rPr>
      </w:pPr>
      <w:r>
        <w:rPr>
          <w:rFonts w:ascii="宋体" w:hAnsi="宋体" w:eastAsia="宋体" w:cs="宋体"/>
          <w:spacing w:val="9"/>
          <w:sz w:val="20"/>
          <w:szCs w:val="20"/>
        </w:rPr>
        <w:t>二是合同未对材料价格风险进行约定或约定不具体的，发承包双方按照以下原则协商调整工程</w:t>
      </w:r>
      <w:r>
        <w:rPr>
          <w:rFonts w:ascii="宋体" w:hAnsi="宋体" w:eastAsia="宋体" w:cs="宋体"/>
          <w:spacing w:val="4"/>
          <w:sz w:val="20"/>
          <w:szCs w:val="20"/>
        </w:rPr>
        <w:t>造价：</w:t>
      </w:r>
    </w:p>
    <w:p>
      <w:pPr>
        <w:spacing w:line="313" w:lineRule="auto"/>
        <w:ind w:left="12" w:firstLine="478"/>
        <w:rPr>
          <w:rFonts w:ascii="宋体" w:hAnsi="宋体" w:eastAsia="宋体" w:cs="宋体"/>
          <w:sz w:val="20"/>
          <w:szCs w:val="20"/>
        </w:rPr>
      </w:pPr>
      <w:r>
        <w:rPr>
          <w:rFonts w:ascii="宋体" w:hAnsi="宋体" w:eastAsia="宋体" w:cs="宋体"/>
          <w:spacing w:val="9"/>
          <w:sz w:val="20"/>
          <w:szCs w:val="20"/>
        </w:rPr>
        <w:t>①调整的范围限定于主要材料。主要材料是指用量较大、占工程造价比例较高的材料，包括的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5" w:line="331" w:lineRule="auto"/>
        <w:ind w:left="8" w:right="2" w:firstLine="482"/>
        <w:rPr>
          <w:rFonts w:ascii="宋体" w:hAnsi="宋体" w:eastAsia="宋体" w:cs="宋体"/>
          <w:sz w:val="20"/>
          <w:szCs w:val="20"/>
        </w:rPr>
      </w:pPr>
      <w:r>
        <w:rPr>
          <w:rFonts w:ascii="宋体" w:hAnsi="宋体" w:eastAsia="宋体" w:cs="宋体"/>
          <w:spacing w:val="9"/>
          <w:sz w:val="20"/>
          <w:szCs w:val="20"/>
        </w:rPr>
        <w:t>②金属材料、木材、水泥、混凝土、沥青混凝土、预制构件、砂浆、砖、瓦、砂子、碎石、石</w:t>
      </w:r>
      <w:r>
        <w:rPr>
          <w:rFonts w:ascii="宋体" w:hAnsi="宋体" w:eastAsia="宋体" w:cs="宋体"/>
          <w:spacing w:val="10"/>
          <w:sz w:val="20"/>
          <w:szCs w:val="20"/>
        </w:rPr>
        <w:t>灰、石材、防水材料、防腐材料、玻璃、保温材料、门窗、面砖、管材、管件、阀门、电线电缆、</w:t>
      </w:r>
      <w:r>
        <w:rPr>
          <w:rFonts w:ascii="宋体" w:hAnsi="宋体" w:eastAsia="宋体" w:cs="宋体"/>
          <w:spacing w:val="9"/>
          <w:sz w:val="20"/>
          <w:szCs w:val="20"/>
        </w:rPr>
        <w:t>灯具、卫生洁具、散热器、苗木、花卉等。</w:t>
      </w:r>
    </w:p>
    <w:p>
      <w:pPr>
        <w:spacing w:before="123" w:line="275" w:lineRule="exact"/>
        <w:ind w:left="491"/>
        <w:rPr>
          <w:rFonts w:ascii="宋体" w:hAnsi="宋体" w:eastAsia="宋体" w:cs="宋体"/>
          <w:sz w:val="20"/>
          <w:szCs w:val="20"/>
        </w:rPr>
      </w:pPr>
      <w:r>
        <w:rPr>
          <w:rFonts w:ascii="宋体" w:hAnsi="宋体" w:eastAsia="宋体" w:cs="宋体"/>
          <w:spacing w:val="11"/>
          <w:position w:val="1"/>
          <w:sz w:val="20"/>
          <w:szCs w:val="20"/>
        </w:rPr>
        <w:t>③合同价中单种材料合价占单位工程造价比</w:t>
      </w:r>
      <w:r>
        <w:rPr>
          <w:rFonts w:ascii="宋体" w:hAnsi="宋体" w:eastAsia="宋体" w:cs="宋体"/>
          <w:spacing w:val="10"/>
          <w:position w:val="1"/>
          <w:sz w:val="20"/>
          <w:szCs w:val="20"/>
        </w:rPr>
        <w:t>例在</w:t>
      </w:r>
      <w:r>
        <w:rPr>
          <w:rFonts w:ascii="宋体" w:hAnsi="宋体" w:eastAsia="宋体" w:cs="宋体"/>
          <w:spacing w:val="-25"/>
          <w:position w:val="1"/>
          <w:sz w:val="20"/>
          <w:szCs w:val="20"/>
        </w:rPr>
        <w:t xml:space="preserve"> </w:t>
      </w:r>
      <w:r>
        <w:rPr>
          <w:rFonts w:ascii="宋体" w:hAnsi="宋体" w:eastAsia="宋体" w:cs="宋体"/>
          <w:spacing w:val="10"/>
          <w:position w:val="1"/>
          <w:sz w:val="20"/>
          <w:szCs w:val="20"/>
        </w:rPr>
        <w:t>1%及以上的材料。</w:t>
      </w:r>
    </w:p>
    <w:p>
      <w:pPr>
        <w:spacing w:before="123" w:line="275" w:lineRule="exact"/>
        <w:ind w:left="491"/>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6" w:line="368" w:lineRule="auto"/>
        <w:ind w:left="11" w:firstLine="483"/>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0"/>
          <w:sz w:val="20"/>
          <w:szCs w:val="20"/>
        </w:rPr>
        <w:t xml:space="preserve"> </w:t>
      </w:r>
      <w:r>
        <w:rPr>
          <w:rFonts w:ascii="宋体" w:hAnsi="宋体" w:eastAsia="宋体" w:cs="宋体"/>
          <w:spacing w:val="11"/>
          <w:sz w:val="20"/>
          <w:szCs w:val="20"/>
        </w:rPr>
        <w:t>±5%以内（含</w:t>
      </w:r>
      <w:r>
        <w:rPr>
          <w:rFonts w:ascii="宋体" w:hAnsi="宋体" w:eastAsia="宋体" w:cs="宋体"/>
          <w:spacing w:val="-42"/>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1" w:line="369" w:lineRule="auto"/>
        <w:ind w:left="10" w:firstLine="502"/>
        <w:jc w:val="both"/>
        <w:rPr>
          <w:rFonts w:ascii="宋体" w:hAnsi="宋体" w:eastAsia="宋体" w:cs="宋体"/>
          <w:sz w:val="20"/>
          <w:szCs w:val="20"/>
        </w:rPr>
      </w:pPr>
      <w:r>
        <w:rPr>
          <w:rFonts w:ascii="宋体" w:hAnsi="宋体" w:eastAsia="宋体" w:cs="宋体"/>
          <w:spacing w:val="3"/>
          <w:sz w:val="20"/>
          <w:szCs w:val="20"/>
        </w:rPr>
        <w:t>四是材料价差的调整办法参照《建设工程工程量清单计价规</w:t>
      </w:r>
      <w:r>
        <w:rPr>
          <w:rFonts w:ascii="宋体" w:hAnsi="宋体" w:eastAsia="宋体" w:cs="宋体"/>
          <w:spacing w:val="2"/>
          <w:sz w:val="20"/>
          <w:szCs w:val="20"/>
        </w:rPr>
        <w:t>范》（</w:t>
      </w:r>
      <w:r>
        <w:rPr>
          <w:rFonts w:ascii="宋体" w:hAnsi="宋体" w:eastAsia="宋体" w:cs="宋体"/>
          <w:spacing w:val="-60"/>
          <w:sz w:val="20"/>
          <w:szCs w:val="20"/>
        </w:rPr>
        <w:t xml:space="preserve"> </w:t>
      </w:r>
      <w:r>
        <w:rPr>
          <w:rFonts w:ascii="宋体" w:hAnsi="宋体" w:eastAsia="宋体" w:cs="宋体"/>
          <w:sz w:val="20"/>
          <w:szCs w:val="20"/>
        </w:rPr>
        <w:t>GB</w:t>
      </w:r>
      <w:r>
        <w:rPr>
          <w:rFonts w:ascii="宋体" w:hAnsi="宋体" w:eastAsia="宋体" w:cs="宋体"/>
          <w:spacing w:val="2"/>
          <w:sz w:val="20"/>
          <w:szCs w:val="20"/>
        </w:rPr>
        <w:t>50500-2013）附录“A.2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1" w:line="276" w:lineRule="exact"/>
        <w:ind w:left="492"/>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4" w:line="363" w:lineRule="auto"/>
        <w:ind w:firstLine="482"/>
        <w:jc w:val="both"/>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39"/>
          <w:sz w:val="20"/>
          <w:szCs w:val="20"/>
        </w:rPr>
        <w:t xml:space="preserve"> </w:t>
      </w:r>
      <w:r>
        <w:rPr>
          <w:rFonts w:ascii="宋体" w:hAnsi="宋体" w:eastAsia="宋体" w:cs="宋体"/>
          <w:spacing w:val="9"/>
          <w:sz w:val="20"/>
          <w:szCs w:val="20"/>
        </w:rPr>
        <w:t>号）。文件规定：发承包双方已签定施工合同的，若主要建筑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5"/>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49" w:line="278" w:lineRule="exact"/>
        <w:ind w:left="447"/>
        <w:rPr>
          <w:rFonts w:ascii="宋体" w:hAnsi="宋体" w:eastAsia="宋体" w:cs="宋体"/>
          <w:sz w:val="20"/>
          <w:szCs w:val="20"/>
        </w:rPr>
      </w:pPr>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1" w:line="369" w:lineRule="auto"/>
        <w:ind w:left="9" w:right="3"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line="278"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1" w:line="278"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w:t>
      </w:r>
      <w:r>
        <w:rPr>
          <w:rFonts w:ascii="宋体" w:hAnsi="宋体" w:eastAsia="宋体" w:cs="宋体"/>
          <w:spacing w:val="9"/>
          <w:position w:val="1"/>
          <w:sz w:val="20"/>
          <w:szCs w:val="20"/>
        </w:rPr>
        <w:t>由施工单位支付的检验试验费用；</w:t>
      </w:r>
    </w:p>
    <w:p>
      <w:pPr>
        <w:spacing w:line="277" w:lineRule="exact"/>
        <w:rPr>
          <w:rFonts w:ascii="宋体" w:hAnsi="宋体" w:eastAsia="宋体" w:cs="宋体"/>
          <w:sz w:val="20"/>
          <w:szCs w:val="20"/>
        </w:rPr>
        <w:sectPr>
          <w:footerReference r:id="rId174" w:type="default"/>
          <w:pgSz w:w="11906" w:h="16839"/>
          <w:pgMar w:top="400" w:right="1417"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13"/>
        <w:rPr>
          <w:rFonts w:ascii="宋体" w:hAnsi="宋体" w:eastAsia="宋体" w:cs="宋体"/>
          <w:sz w:val="20"/>
          <w:szCs w:val="20"/>
        </w:rPr>
      </w:pPr>
      <w:bookmarkStart w:id="88" w:name="bookmark161"/>
      <w:bookmarkEnd w:id="88"/>
      <w:r>
        <w:rPr>
          <w:rFonts w:ascii="宋体" w:hAnsi="宋体" w:eastAsia="宋体" w:cs="宋体"/>
          <w:spacing w:val="9"/>
          <w:position w:val="1"/>
          <w:sz w:val="20"/>
          <w:szCs w:val="20"/>
        </w:rPr>
        <w:t>（5）其他特殊性检验试验项目。</w:t>
      </w:r>
    </w:p>
    <w:p>
      <w:pPr>
        <w:spacing w:before="122" w:line="352" w:lineRule="auto"/>
        <w:ind w:left="1" w:right="79"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37" w:line="277" w:lineRule="exact"/>
        <w:ind w:left="440"/>
        <w:rPr>
          <w:rFonts w:ascii="宋体" w:hAnsi="宋体" w:eastAsia="宋体" w:cs="宋体"/>
          <w:sz w:val="20"/>
          <w:szCs w:val="20"/>
        </w:rPr>
      </w:pPr>
      <w:r>
        <w:rPr>
          <w:rFonts w:ascii="宋体" w:hAnsi="宋体" w:eastAsia="宋体" w:cs="宋体"/>
          <w:b/>
          <w:bCs/>
          <w:spacing w:val="-1"/>
          <w:position w:val="1"/>
          <w:sz w:val="20"/>
          <w:szCs w:val="20"/>
        </w:rPr>
        <w:t>15.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24" w:line="351" w:lineRule="auto"/>
        <w:ind w:left="2" w:right="79"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37" w:line="277" w:lineRule="exact"/>
        <w:ind w:left="423"/>
        <w:rPr>
          <w:rFonts w:ascii="宋体" w:hAnsi="宋体" w:eastAsia="宋体" w:cs="宋体"/>
          <w:sz w:val="20"/>
          <w:szCs w:val="20"/>
        </w:rPr>
      </w:pPr>
      <w:r>
        <w:rPr>
          <w:rFonts w:ascii="宋体" w:hAnsi="宋体" w:eastAsia="宋体" w:cs="宋体"/>
          <w:spacing w:val="8"/>
          <w:position w:val="1"/>
          <w:sz w:val="20"/>
          <w:szCs w:val="20"/>
        </w:rPr>
        <w:t>市政工程材料的采购及保管费率为2.5</w:t>
      </w:r>
      <w:r>
        <w:rPr>
          <w:rFonts w:ascii="宋体" w:hAnsi="宋体" w:eastAsia="宋体" w:cs="宋体"/>
          <w:spacing w:val="-21"/>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21"/>
          <w:position w:val="1"/>
          <w:sz w:val="20"/>
          <w:szCs w:val="20"/>
        </w:rPr>
        <w:t>，</w:t>
      </w:r>
      <w:r>
        <w:rPr>
          <w:rFonts w:ascii="宋体" w:hAnsi="宋体" w:eastAsia="宋体" w:cs="宋体"/>
          <w:spacing w:val="8"/>
          <w:position w:val="1"/>
          <w:sz w:val="20"/>
          <w:szCs w:val="20"/>
        </w:rPr>
        <w:t>设备的采购及保管</w:t>
      </w:r>
      <w:r>
        <w:rPr>
          <w:rFonts w:ascii="宋体" w:hAnsi="宋体" w:eastAsia="宋体" w:cs="宋体"/>
          <w:spacing w:val="7"/>
          <w:position w:val="1"/>
          <w:sz w:val="20"/>
          <w:szCs w:val="20"/>
        </w:rPr>
        <w:t>费率为</w:t>
      </w:r>
      <w:r>
        <w:rPr>
          <w:rFonts w:ascii="宋体" w:hAnsi="宋体" w:eastAsia="宋体" w:cs="宋体"/>
          <w:spacing w:val="-25"/>
          <w:position w:val="1"/>
          <w:sz w:val="20"/>
          <w:szCs w:val="20"/>
        </w:rPr>
        <w:t xml:space="preserve"> </w:t>
      </w:r>
      <w:r>
        <w:rPr>
          <w:rFonts w:ascii="宋体" w:hAnsi="宋体" w:eastAsia="宋体" w:cs="宋体"/>
          <w:spacing w:val="7"/>
          <w:position w:val="1"/>
          <w:sz w:val="20"/>
          <w:szCs w:val="20"/>
        </w:rPr>
        <w:t>1％。</w:t>
      </w:r>
    </w:p>
    <w:p>
      <w:pPr>
        <w:spacing w:before="124" w:line="277" w:lineRule="exact"/>
        <w:ind w:left="423"/>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6" w:lineRule="auto"/>
        <w:ind w:left="1" w:right="77" w:firstLine="420"/>
        <w:rPr>
          <w:rFonts w:ascii="宋体" w:hAnsi="宋体" w:eastAsia="宋体" w:cs="宋体"/>
          <w:sz w:val="20"/>
          <w:szCs w:val="20"/>
        </w:rPr>
      </w:pPr>
      <w:r>
        <w:rPr>
          <w:rFonts w:ascii="宋体" w:hAnsi="宋体" w:eastAsia="宋体" w:cs="宋体"/>
          <w:spacing w:val="11"/>
          <w:sz w:val="20"/>
          <w:szCs w:val="20"/>
        </w:rPr>
        <w:t>①建设单位采购、付款、供应至施工现场、并自行保管，施工单位随用随领，采购</w:t>
      </w:r>
      <w:r>
        <w:rPr>
          <w:rFonts w:ascii="宋体" w:hAnsi="宋体" w:eastAsia="宋体" w:cs="宋体"/>
          <w:spacing w:val="10"/>
          <w:sz w:val="20"/>
          <w:szCs w:val="20"/>
        </w:rPr>
        <w:t>及保管费全</w:t>
      </w:r>
      <w:r>
        <w:rPr>
          <w:rFonts w:ascii="宋体" w:hAnsi="宋体" w:eastAsia="宋体" w:cs="宋体"/>
          <w:spacing w:val="7"/>
          <w:sz w:val="20"/>
          <w:szCs w:val="20"/>
        </w:rPr>
        <w:t>部归建设单位。</w:t>
      </w:r>
    </w:p>
    <w:p>
      <w:pPr>
        <w:spacing w:before="160" w:line="331" w:lineRule="auto"/>
        <w:ind w:left="1" w:right="119" w:firstLine="420"/>
        <w:rPr>
          <w:rFonts w:ascii="宋体" w:hAnsi="宋体" w:eastAsia="宋体" w:cs="宋体"/>
          <w:sz w:val="20"/>
          <w:szCs w:val="20"/>
        </w:rPr>
      </w:pPr>
      <w:r>
        <w:rPr>
          <w:rFonts w:ascii="宋体" w:hAnsi="宋体" w:eastAsia="宋体" w:cs="宋体"/>
          <w:spacing w:val="10"/>
          <w:sz w:val="20"/>
          <w:szCs w:val="20"/>
        </w:rPr>
        <w:t>②建设单位采购、付款、供应至施工现场，交由施工单位保管，建设单位计取</w:t>
      </w:r>
      <w:r>
        <w:rPr>
          <w:rFonts w:ascii="宋体" w:hAnsi="宋体" w:eastAsia="宋体" w:cs="宋体"/>
          <w:spacing w:val="9"/>
          <w:sz w:val="20"/>
          <w:szCs w:val="20"/>
        </w:rPr>
        <w:t>采购及保管费的</w:t>
      </w:r>
      <w:r>
        <w:rPr>
          <w:rFonts w:ascii="宋体" w:hAnsi="宋体" w:eastAsia="宋体" w:cs="宋体"/>
          <w:spacing w:val="10"/>
          <w:sz w:val="20"/>
          <w:szCs w:val="20"/>
        </w:rPr>
        <w:t>60</w:t>
      </w:r>
      <w:r>
        <w:rPr>
          <w:rFonts w:ascii="宋体" w:hAnsi="宋体" w:eastAsia="宋体" w:cs="宋体"/>
          <w:spacing w:val="-18"/>
          <w:sz w:val="20"/>
          <w:szCs w:val="20"/>
        </w:rPr>
        <w:t>％</w:t>
      </w:r>
      <w:r>
        <w:rPr>
          <w:rFonts w:ascii="宋体" w:hAnsi="宋体" w:eastAsia="宋体" w:cs="宋体"/>
          <w:spacing w:val="-36"/>
          <w:sz w:val="20"/>
          <w:szCs w:val="20"/>
        </w:rPr>
        <w:t xml:space="preserve"> </w:t>
      </w:r>
      <w:r>
        <w:rPr>
          <w:rFonts w:ascii="宋体" w:hAnsi="宋体" w:eastAsia="宋体" w:cs="宋体"/>
          <w:spacing w:val="-18"/>
          <w:sz w:val="20"/>
          <w:szCs w:val="20"/>
        </w:rPr>
        <w:t>，</w:t>
      </w:r>
      <w:r>
        <w:rPr>
          <w:rFonts w:ascii="宋体" w:hAnsi="宋体" w:eastAsia="宋体" w:cs="宋体"/>
          <w:spacing w:val="10"/>
          <w:sz w:val="20"/>
          <w:szCs w:val="20"/>
        </w:rPr>
        <w:t>施工单位计取40％</w:t>
      </w:r>
      <w:r>
        <w:rPr>
          <w:rFonts w:ascii="宋体" w:hAnsi="宋体" w:eastAsia="宋体" w:cs="宋体"/>
          <w:spacing w:val="-49"/>
          <w:sz w:val="20"/>
          <w:szCs w:val="20"/>
        </w:rPr>
        <w:t xml:space="preserve"> </w:t>
      </w:r>
      <w:r>
        <w:rPr>
          <w:rFonts w:ascii="宋体" w:hAnsi="宋体" w:eastAsia="宋体" w:cs="宋体"/>
          <w:spacing w:val="10"/>
          <w:sz w:val="20"/>
          <w:szCs w:val="20"/>
        </w:rPr>
        <w:t>。建设单位采购并付款，交提货单由施工企业提运时施工单位计取60%</w:t>
      </w:r>
      <w:r>
        <w:rPr>
          <w:rFonts w:ascii="宋体" w:hAnsi="宋体" w:eastAsia="宋体" w:cs="宋体"/>
          <w:spacing w:val="-36"/>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23" w:line="223" w:lineRule="auto"/>
        <w:ind w:left="421"/>
        <w:rPr>
          <w:rFonts w:ascii="宋体" w:hAnsi="宋体" w:eastAsia="宋体" w:cs="宋体"/>
          <w:sz w:val="20"/>
          <w:szCs w:val="20"/>
        </w:rPr>
      </w:pPr>
      <w:r>
        <w:rPr>
          <w:rFonts w:ascii="宋体" w:hAnsi="宋体" w:eastAsia="宋体" w:cs="宋体"/>
          <w:spacing w:val="10"/>
          <w:sz w:val="20"/>
          <w:szCs w:val="20"/>
        </w:rPr>
        <w:t>③施工单位采购、付款、供应至施工现场，并自行保</w:t>
      </w:r>
      <w:r>
        <w:rPr>
          <w:rFonts w:ascii="宋体" w:hAnsi="宋体" w:eastAsia="宋体" w:cs="宋体"/>
          <w:spacing w:val="9"/>
          <w:sz w:val="20"/>
          <w:szCs w:val="20"/>
        </w:rPr>
        <w:t>管、采购及保管费全部归施工单位。</w:t>
      </w:r>
    </w:p>
    <w:p>
      <w:pPr>
        <w:spacing w:before="159" w:line="311" w:lineRule="auto"/>
        <w:ind w:left="421" w:firstLine="18"/>
        <w:rPr>
          <w:rFonts w:ascii="宋体" w:hAnsi="宋体" w:eastAsia="宋体" w:cs="宋体"/>
          <w:sz w:val="20"/>
          <w:szCs w:val="20"/>
        </w:rPr>
      </w:pPr>
      <w:r>
        <w:rPr>
          <w:rFonts w:ascii="宋体" w:hAnsi="宋体" w:eastAsia="宋体" w:cs="宋体"/>
          <w:spacing w:val="6"/>
          <w:sz w:val="20"/>
          <w:szCs w:val="20"/>
        </w:rPr>
        <w:t>16</w:t>
      </w:r>
      <w:r>
        <w:rPr>
          <w:rFonts w:ascii="宋体" w:hAnsi="宋体" w:eastAsia="宋体" w:cs="宋体"/>
          <w:spacing w:val="-34"/>
          <w:sz w:val="20"/>
          <w:szCs w:val="20"/>
        </w:rPr>
        <w:t xml:space="preserve"> </w:t>
      </w:r>
      <w:r>
        <w:rPr>
          <w:rFonts w:ascii="宋体" w:hAnsi="宋体" w:eastAsia="宋体" w:cs="宋体"/>
          <w:spacing w:val="6"/>
          <w:sz w:val="20"/>
          <w:szCs w:val="20"/>
        </w:rPr>
        <w:t>消耗量定额《山东省市政工程价目表》材料价格取</w:t>
      </w:r>
      <w:r>
        <w:rPr>
          <w:rFonts w:ascii="宋体" w:hAnsi="宋体" w:eastAsia="宋体" w:cs="宋体"/>
          <w:spacing w:val="5"/>
          <w:sz w:val="20"/>
          <w:szCs w:val="20"/>
        </w:rPr>
        <w:t>定表中的材料单价，已包括采购及保管费。</w:t>
      </w: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p>
    <w:p>
      <w:pPr>
        <w:spacing w:before="125" w:line="276" w:lineRule="exact"/>
        <w:ind w:left="7"/>
        <w:rPr>
          <w:rFonts w:ascii="宋体" w:hAnsi="宋体" w:eastAsia="宋体" w:cs="宋体"/>
          <w:sz w:val="20"/>
          <w:szCs w:val="20"/>
        </w:rPr>
      </w:pPr>
      <w:r>
        <w:rPr>
          <w:rFonts w:ascii="宋体" w:hAnsi="宋体" w:eastAsia="宋体" w:cs="宋体"/>
          <w:spacing w:val="9"/>
          <w:position w:val="1"/>
          <w:sz w:val="20"/>
          <w:szCs w:val="20"/>
        </w:rPr>
        <w:t>为材料供应至施工现场的落地价（应含卸车费用</w:t>
      </w:r>
      <w:r>
        <w:rPr>
          <w:rFonts w:ascii="宋体" w:hAnsi="宋体" w:eastAsia="宋体" w:cs="宋体"/>
          <w:spacing w:val="-8"/>
          <w:position w:val="1"/>
          <w:sz w:val="20"/>
          <w:szCs w:val="20"/>
        </w:rPr>
        <w:t>）</w:t>
      </w:r>
      <w:r>
        <w:rPr>
          <w:rFonts w:ascii="宋体" w:hAnsi="宋体" w:eastAsia="宋体" w:cs="宋体"/>
          <w:spacing w:val="-53"/>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9"/>
          <w:position w:val="1"/>
          <w:sz w:val="20"/>
          <w:szCs w:val="20"/>
        </w:rPr>
        <w:t>未包括材料的采购及保管费。</w:t>
      </w:r>
    </w:p>
    <w:p>
      <w:pPr>
        <w:spacing w:before="125" w:line="277" w:lineRule="exact"/>
        <w:ind w:left="440"/>
        <w:rPr>
          <w:rFonts w:ascii="宋体" w:hAnsi="宋体" w:eastAsia="宋体" w:cs="宋体"/>
          <w:sz w:val="20"/>
          <w:szCs w:val="20"/>
        </w:rPr>
      </w:pPr>
      <w:r>
        <w:rPr>
          <w:rFonts w:ascii="宋体" w:hAnsi="宋体" w:eastAsia="宋体" w:cs="宋体"/>
          <w:b/>
          <w:bCs/>
          <w:spacing w:val="-1"/>
          <w:position w:val="1"/>
          <w:sz w:val="20"/>
          <w:szCs w:val="20"/>
        </w:rPr>
        <w:t>16.</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0" w:line="322" w:lineRule="auto"/>
        <w:ind w:left="4" w:right="76" w:firstLine="408"/>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4"/>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半径范围内，并设有水、电计量表。建设单位不能按上述要求</w:t>
      </w:r>
      <w:r>
        <w:rPr>
          <w:rFonts w:ascii="宋体" w:hAnsi="宋体" w:eastAsia="宋体" w:cs="宋体"/>
          <w:spacing w:val="9"/>
          <w:sz w:val="20"/>
          <w:szCs w:val="20"/>
        </w:rPr>
        <w:t>提供时，施工单位依据经过批准的施工组织设计，按相应规定另行单独计算费用。</w:t>
      </w:r>
    </w:p>
    <w:p>
      <w:pPr>
        <w:spacing w:before="154" w:line="278"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22" w:line="297" w:lineRule="auto"/>
        <w:ind w:right="79"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7"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5" w:line="278" w:lineRule="exact"/>
        <w:ind w:left="440"/>
        <w:rPr>
          <w:rFonts w:ascii="宋体" w:hAnsi="宋体" w:eastAsia="宋体" w:cs="宋体"/>
          <w:sz w:val="20"/>
          <w:szCs w:val="20"/>
        </w:rPr>
      </w:pPr>
      <w:r>
        <w:rPr>
          <w:rFonts w:ascii="宋体" w:hAnsi="宋体" w:eastAsia="宋体" w:cs="宋体"/>
          <w:b/>
          <w:bCs/>
          <w:spacing w:val="2"/>
          <w:position w:val="1"/>
          <w:sz w:val="20"/>
          <w:szCs w:val="20"/>
        </w:rPr>
        <w:t>17.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关于市政工程智慧工地建设费</w:t>
      </w:r>
    </w:p>
    <w:p>
      <w:pPr>
        <w:spacing w:before="123" w:line="355" w:lineRule="auto"/>
        <w:ind w:left="3" w:right="79" w:firstLine="420"/>
        <w:jc w:val="both"/>
        <w:rPr>
          <w:rFonts w:ascii="宋体" w:hAnsi="宋体" w:eastAsia="宋体" w:cs="宋体"/>
          <w:sz w:val="20"/>
          <w:szCs w:val="20"/>
        </w:rPr>
      </w:pPr>
      <w:r>
        <w:rPr>
          <w:rFonts w:ascii="宋体" w:hAnsi="宋体" w:eastAsia="宋体" w:cs="宋体"/>
          <w:spacing w:val="6"/>
          <w:sz w:val="20"/>
          <w:szCs w:val="20"/>
        </w:rPr>
        <w:t>2024</w:t>
      </w:r>
      <w:r>
        <w:rPr>
          <w:rFonts w:ascii="宋体" w:hAnsi="宋体" w:eastAsia="宋体" w:cs="宋体"/>
          <w:spacing w:val="-23"/>
          <w:sz w:val="20"/>
          <w:szCs w:val="20"/>
        </w:rPr>
        <w:t xml:space="preserve"> </w:t>
      </w:r>
      <w:r>
        <w:rPr>
          <w:rFonts w:ascii="宋体" w:hAnsi="宋体" w:eastAsia="宋体" w:cs="宋体"/>
          <w:spacing w:val="6"/>
          <w:sz w:val="20"/>
          <w:szCs w:val="20"/>
        </w:rPr>
        <w:t>年</w:t>
      </w:r>
      <w:r>
        <w:rPr>
          <w:rFonts w:ascii="宋体" w:hAnsi="宋体" w:eastAsia="宋体" w:cs="宋体"/>
          <w:spacing w:val="-25"/>
          <w:sz w:val="20"/>
          <w:szCs w:val="20"/>
        </w:rPr>
        <w:t xml:space="preserve"> </w:t>
      </w:r>
      <w:r>
        <w:rPr>
          <w:rFonts w:ascii="宋体" w:hAnsi="宋体" w:eastAsia="宋体" w:cs="宋体"/>
          <w:spacing w:val="6"/>
          <w:sz w:val="20"/>
          <w:szCs w:val="20"/>
        </w:rPr>
        <w:t>11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41"/>
          <w:sz w:val="20"/>
          <w:szCs w:val="20"/>
        </w:rPr>
        <w:t xml:space="preserve"> </w:t>
      </w:r>
      <w:r>
        <w:rPr>
          <w:rFonts w:ascii="宋体" w:hAnsi="宋体" w:eastAsia="宋体" w:cs="宋体"/>
          <w:spacing w:val="6"/>
          <w:sz w:val="20"/>
          <w:szCs w:val="20"/>
        </w:rPr>
        <w:t>29 日，山东省住房和城乡建设厅发布《关于计取市政工程智慧工地建设费用的通</w:t>
      </w:r>
      <w:r>
        <w:rPr>
          <w:rFonts w:ascii="宋体" w:hAnsi="宋体" w:eastAsia="宋体" w:cs="宋体"/>
          <w:spacing w:val="10"/>
          <w:sz w:val="20"/>
          <w:szCs w:val="20"/>
        </w:rPr>
        <w:t>知》</w:t>
      </w:r>
      <w:r>
        <w:rPr>
          <w:rFonts w:ascii="宋体" w:hAnsi="宋体" w:eastAsia="宋体" w:cs="宋体"/>
          <w:spacing w:val="-51"/>
          <w:sz w:val="20"/>
          <w:szCs w:val="20"/>
        </w:rPr>
        <w:t xml:space="preserve"> </w:t>
      </w:r>
      <w:r>
        <w:rPr>
          <w:rFonts w:ascii="宋体" w:hAnsi="宋体" w:eastAsia="宋体" w:cs="宋体"/>
          <w:spacing w:val="10"/>
          <w:sz w:val="20"/>
          <w:szCs w:val="20"/>
        </w:rPr>
        <w:t>，在《山东省建设工程概算费用编制规定》《山东省建</w:t>
      </w:r>
      <w:r>
        <w:rPr>
          <w:rFonts w:ascii="宋体" w:hAnsi="宋体" w:eastAsia="宋体" w:cs="宋体"/>
          <w:spacing w:val="9"/>
          <w:sz w:val="20"/>
          <w:szCs w:val="20"/>
        </w:rPr>
        <w:t>设工程费用项目组成及计算规则》的总价措施费中增加“市政工程智慧工地建设费”项目。</w:t>
      </w:r>
    </w:p>
    <w:p>
      <w:pPr>
        <w:spacing w:before="46" w:line="349" w:lineRule="auto"/>
        <w:ind w:left="2" w:right="76" w:firstLine="411"/>
        <w:rPr>
          <w:rFonts w:ascii="宋体" w:hAnsi="宋体" w:eastAsia="宋体" w:cs="宋体"/>
          <w:sz w:val="20"/>
          <w:szCs w:val="20"/>
        </w:rPr>
      </w:pPr>
      <w:r>
        <w:rPr>
          <w:rFonts w:ascii="宋体" w:hAnsi="宋体" w:eastAsia="宋体" w:cs="宋体"/>
          <w:spacing w:val="5"/>
          <w:sz w:val="20"/>
          <w:szCs w:val="20"/>
        </w:rPr>
        <w:t>“市政工程智慧工地建设费</w:t>
      </w:r>
      <w:r>
        <w:rPr>
          <w:rFonts w:ascii="宋体" w:hAnsi="宋体" w:eastAsia="宋体" w:cs="宋体"/>
          <w:spacing w:val="-73"/>
          <w:sz w:val="20"/>
          <w:szCs w:val="20"/>
        </w:rPr>
        <w:t xml:space="preserve"> </w:t>
      </w:r>
      <w:r>
        <w:rPr>
          <w:rFonts w:ascii="宋体" w:hAnsi="宋体" w:eastAsia="宋体" w:cs="宋体"/>
          <w:spacing w:val="5"/>
          <w:sz w:val="20"/>
          <w:szCs w:val="20"/>
        </w:rPr>
        <w:t>”计取时，以不含设备费的工</w:t>
      </w:r>
      <w:r>
        <w:rPr>
          <w:rFonts w:ascii="宋体" w:hAnsi="宋体" w:eastAsia="宋体" w:cs="宋体"/>
          <w:spacing w:val="4"/>
          <w:sz w:val="20"/>
          <w:szCs w:val="20"/>
        </w:rPr>
        <w:t>程造价(简称“计费造价</w:t>
      </w:r>
      <w:r>
        <w:rPr>
          <w:rFonts w:ascii="宋体" w:hAnsi="宋体" w:eastAsia="宋体" w:cs="宋体"/>
          <w:spacing w:val="-70"/>
          <w:sz w:val="20"/>
          <w:szCs w:val="20"/>
        </w:rPr>
        <w:t xml:space="preserve"> </w:t>
      </w:r>
      <w:r>
        <w:rPr>
          <w:rFonts w:ascii="宋体" w:hAnsi="宋体" w:eastAsia="宋体" w:cs="宋体"/>
          <w:spacing w:val="4"/>
          <w:sz w:val="20"/>
          <w:szCs w:val="20"/>
        </w:rPr>
        <w:t>”)为基数，区</w:t>
      </w:r>
      <w:r>
        <w:rPr>
          <w:rFonts w:ascii="宋体" w:hAnsi="宋体" w:eastAsia="宋体" w:cs="宋体"/>
          <w:spacing w:val="9"/>
          <w:sz w:val="20"/>
          <w:szCs w:val="20"/>
        </w:rPr>
        <w:t>分不同档位，采用差额定率累进方式，各档位内计费造价分别乘以相应费率计算。</w:t>
      </w:r>
    </w:p>
    <w:p>
      <w:pPr>
        <w:spacing w:before="45" w:line="368" w:lineRule="auto"/>
        <w:ind w:left="1" w:right="79" w:firstLine="412"/>
        <w:rPr>
          <w:rFonts w:ascii="宋体" w:hAnsi="宋体" w:eastAsia="宋体" w:cs="宋体"/>
          <w:sz w:val="20"/>
          <w:szCs w:val="20"/>
        </w:rPr>
      </w:pPr>
      <w:r>
        <w:rPr>
          <w:rFonts w:ascii="宋体" w:hAnsi="宋体" w:eastAsia="宋体" w:cs="宋体"/>
          <w:spacing w:val="10"/>
          <w:sz w:val="20"/>
          <w:szCs w:val="20"/>
        </w:rPr>
        <w:t>“市政工程智慧工地建设费</w:t>
      </w:r>
      <w:r>
        <w:rPr>
          <w:rFonts w:ascii="宋体" w:hAnsi="宋体" w:eastAsia="宋体" w:cs="宋体"/>
          <w:spacing w:val="-58"/>
          <w:sz w:val="20"/>
          <w:szCs w:val="20"/>
        </w:rPr>
        <w:t xml:space="preserve"> </w:t>
      </w:r>
      <w:r>
        <w:rPr>
          <w:rFonts w:ascii="宋体" w:hAnsi="宋体" w:eastAsia="宋体" w:cs="宋体"/>
          <w:spacing w:val="10"/>
          <w:sz w:val="20"/>
          <w:szCs w:val="20"/>
        </w:rPr>
        <w:t>”为包括企业管理费、利润、规费及建筑业增值税在内的全费用价格。如项目包含多个单位工程，应当以整个项目的计费造</w:t>
      </w:r>
      <w:r>
        <w:rPr>
          <w:rFonts w:ascii="宋体" w:hAnsi="宋体" w:eastAsia="宋体" w:cs="宋体"/>
          <w:spacing w:val="9"/>
          <w:sz w:val="20"/>
          <w:szCs w:val="20"/>
        </w:rPr>
        <w:t>价为基数，一次性计算智慧工地建设费。</w:t>
      </w:r>
    </w:p>
    <w:p>
      <w:pPr>
        <w:spacing w:before="1" w:line="368" w:lineRule="auto"/>
        <w:ind w:right="12" w:firstLine="420"/>
        <w:rPr>
          <w:rFonts w:ascii="宋体" w:hAnsi="宋体" w:eastAsia="宋体" w:cs="宋体"/>
          <w:sz w:val="20"/>
          <w:szCs w:val="20"/>
        </w:rPr>
      </w:pPr>
      <w:r>
        <w:rPr>
          <w:rFonts w:ascii="宋体" w:hAnsi="宋体" w:eastAsia="宋体" w:cs="宋体"/>
          <w:spacing w:val="2"/>
          <w:sz w:val="20"/>
          <w:szCs w:val="20"/>
        </w:rPr>
        <w:t>“市政工程智慧工地建设费</w:t>
      </w:r>
      <w:r>
        <w:rPr>
          <w:rFonts w:ascii="宋体" w:hAnsi="宋体" w:eastAsia="宋体" w:cs="宋体"/>
          <w:spacing w:val="-58"/>
          <w:sz w:val="20"/>
          <w:szCs w:val="20"/>
        </w:rPr>
        <w:t xml:space="preserve"> </w:t>
      </w:r>
      <w:r>
        <w:rPr>
          <w:rFonts w:ascii="宋体" w:hAnsi="宋体" w:eastAsia="宋体" w:cs="宋体"/>
          <w:spacing w:val="2"/>
          <w:sz w:val="20"/>
          <w:szCs w:val="20"/>
        </w:rPr>
        <w:t>”主要依据《市政工程智慧工地建设标准》(T/</w:t>
      </w:r>
      <w:r>
        <w:rPr>
          <w:rFonts w:ascii="宋体" w:hAnsi="宋体" w:eastAsia="宋体" w:cs="宋体"/>
          <w:sz w:val="20"/>
          <w:szCs w:val="20"/>
        </w:rPr>
        <w:t>SDSZ</w:t>
      </w:r>
      <w:r>
        <w:rPr>
          <w:rFonts w:ascii="宋体" w:hAnsi="宋体" w:eastAsia="宋体" w:cs="宋体"/>
          <w:spacing w:val="-23"/>
          <w:sz w:val="20"/>
          <w:szCs w:val="20"/>
        </w:rPr>
        <w:t xml:space="preserve"> </w:t>
      </w:r>
      <w:r>
        <w:rPr>
          <w:rFonts w:ascii="宋体" w:hAnsi="宋体" w:eastAsia="宋体" w:cs="宋体"/>
          <w:spacing w:val="2"/>
          <w:sz w:val="20"/>
          <w:szCs w:val="20"/>
        </w:rPr>
        <w:t>11-2023)等编制，</w:t>
      </w:r>
      <w:r>
        <w:rPr>
          <w:rFonts w:ascii="宋体" w:hAnsi="宋体" w:eastAsia="宋体" w:cs="宋体"/>
          <w:spacing w:val="12"/>
          <w:sz w:val="20"/>
          <w:szCs w:val="20"/>
        </w:rPr>
        <w:t>包括基础项和推广项要求的各项内容，已综合考虑了与安全文明施工费等项目的交叉部分。</w:t>
      </w:r>
      <w:r>
        <w:rPr>
          <w:rFonts w:ascii="宋体" w:hAnsi="宋体" w:eastAsia="宋体" w:cs="宋体"/>
          <w:sz w:val="20"/>
          <w:szCs w:val="20"/>
        </w:rPr>
        <w:t>BIM</w:t>
      </w:r>
      <w:r>
        <w:rPr>
          <w:rFonts w:ascii="宋体" w:hAnsi="宋体" w:eastAsia="宋体" w:cs="宋体"/>
          <w:spacing w:val="-27"/>
          <w:sz w:val="20"/>
          <w:szCs w:val="20"/>
        </w:rPr>
        <w:t xml:space="preserve"> </w:t>
      </w:r>
      <w:r>
        <w:rPr>
          <w:rFonts w:ascii="宋体" w:hAnsi="宋体" w:eastAsia="宋体" w:cs="宋体"/>
          <w:spacing w:val="12"/>
          <w:sz w:val="20"/>
          <w:szCs w:val="20"/>
        </w:rPr>
        <w:t>施</w:t>
      </w:r>
    </w:p>
    <w:p>
      <w:pPr>
        <w:spacing w:line="368" w:lineRule="auto"/>
        <w:rPr>
          <w:rFonts w:ascii="宋体" w:hAnsi="宋体" w:eastAsia="宋体" w:cs="宋体"/>
          <w:sz w:val="20"/>
          <w:szCs w:val="20"/>
        </w:rPr>
        <w:sectPr>
          <w:footerReference r:id="rId175" w:type="default"/>
          <w:pgSz w:w="11906" w:h="16839"/>
          <w:pgMar w:top="400" w:right="1341" w:bottom="1212" w:left="1418"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9"/>
        <w:rPr>
          <w:rFonts w:ascii="宋体" w:hAnsi="宋体" w:eastAsia="宋体" w:cs="宋体"/>
          <w:sz w:val="20"/>
          <w:szCs w:val="20"/>
        </w:rPr>
      </w:pPr>
      <w:r>
        <w:rPr>
          <w:rFonts w:ascii="宋体" w:hAnsi="宋体" w:eastAsia="宋体" w:cs="宋体"/>
          <w:spacing w:val="10"/>
          <w:sz w:val="20"/>
          <w:szCs w:val="20"/>
        </w:rPr>
        <w:t>工模型、建筑机器人、智慧厂站和智慧展馆建设等</w:t>
      </w:r>
      <w:r>
        <w:rPr>
          <w:rFonts w:ascii="宋体" w:hAnsi="宋体" w:eastAsia="宋体" w:cs="宋体"/>
          <w:spacing w:val="9"/>
          <w:sz w:val="20"/>
          <w:szCs w:val="20"/>
        </w:rPr>
        <w:t>费用不含在上述费率中，发生时另行计算。</w:t>
      </w:r>
    </w:p>
    <w:p>
      <w:pPr>
        <w:spacing w:before="157" w:line="369" w:lineRule="auto"/>
        <w:ind w:left="9" w:right="12" w:firstLine="419"/>
        <w:jc w:val="both"/>
        <w:rPr>
          <w:rFonts w:ascii="宋体" w:hAnsi="宋体" w:eastAsia="宋体" w:cs="宋体"/>
          <w:sz w:val="20"/>
          <w:szCs w:val="20"/>
        </w:rPr>
      </w:pPr>
      <w:r>
        <w:rPr>
          <w:rFonts w:ascii="宋体" w:hAnsi="宋体" w:eastAsia="宋体" w:cs="宋体"/>
          <w:spacing w:val="11"/>
          <w:sz w:val="20"/>
          <w:szCs w:val="20"/>
        </w:rPr>
        <w:t>有创建智慧工地要求的市政工程项目，参建各方主体在编制工程概算、最高投</w:t>
      </w:r>
      <w:r>
        <w:rPr>
          <w:rFonts w:ascii="宋体" w:hAnsi="宋体" w:eastAsia="宋体" w:cs="宋体"/>
          <w:spacing w:val="10"/>
          <w:sz w:val="20"/>
          <w:szCs w:val="20"/>
        </w:rPr>
        <w:t>标限价、投标报</w:t>
      </w:r>
      <w:r>
        <w:rPr>
          <w:rFonts w:ascii="宋体" w:hAnsi="宋体" w:eastAsia="宋体" w:cs="宋体"/>
          <w:spacing w:val="11"/>
          <w:sz w:val="20"/>
          <w:szCs w:val="20"/>
        </w:rPr>
        <w:t>价、工程结算等各类造价文件时，可结合建设星级，参照《关于计取市政工</w:t>
      </w:r>
      <w:r>
        <w:rPr>
          <w:rFonts w:ascii="宋体" w:hAnsi="宋体" w:eastAsia="宋体" w:cs="宋体"/>
          <w:spacing w:val="10"/>
          <w:sz w:val="20"/>
          <w:szCs w:val="20"/>
        </w:rPr>
        <w:t>程智慧工地建设费用的</w:t>
      </w:r>
      <w:r>
        <w:rPr>
          <w:rFonts w:ascii="宋体" w:hAnsi="宋体" w:eastAsia="宋体" w:cs="宋体"/>
          <w:spacing w:val="5"/>
          <w:sz w:val="20"/>
          <w:szCs w:val="20"/>
        </w:rPr>
        <w:t>通知》</w:t>
      </w:r>
      <w:r>
        <w:rPr>
          <w:rFonts w:ascii="宋体" w:hAnsi="宋体" w:eastAsia="宋体" w:cs="宋体"/>
          <w:spacing w:val="-54"/>
          <w:sz w:val="20"/>
          <w:szCs w:val="20"/>
        </w:rPr>
        <w:t xml:space="preserve"> </w:t>
      </w:r>
      <w:r>
        <w:rPr>
          <w:rFonts w:ascii="宋体" w:hAnsi="宋体" w:eastAsia="宋体" w:cs="宋体"/>
          <w:spacing w:val="5"/>
          <w:sz w:val="20"/>
          <w:szCs w:val="20"/>
        </w:rPr>
        <w:t>，合理确定相关费用。</w:t>
      </w:r>
    </w:p>
    <w:p>
      <w:pPr>
        <w:spacing w:line="277" w:lineRule="exact"/>
        <w:ind w:left="447"/>
        <w:rPr>
          <w:rFonts w:ascii="宋体" w:hAnsi="宋体" w:eastAsia="宋体" w:cs="宋体"/>
          <w:sz w:val="20"/>
          <w:szCs w:val="20"/>
        </w:rPr>
      </w:pPr>
      <w:r>
        <w:rPr>
          <w:rFonts w:ascii="宋体" w:hAnsi="宋体" w:eastAsia="宋体" w:cs="宋体"/>
          <w:b/>
          <w:bCs/>
          <w:position w:val="1"/>
          <w:sz w:val="20"/>
          <w:szCs w:val="20"/>
        </w:rPr>
        <w:t>18.</w:t>
      </w:r>
      <w:r>
        <w:rPr>
          <w:rFonts w:ascii="宋体" w:hAnsi="宋体" w:eastAsia="宋体" w:cs="宋体"/>
          <w:position w:val="1"/>
          <w:sz w:val="20"/>
          <w:szCs w:val="20"/>
        </w:rPr>
        <w:t xml:space="preserve"> </w:t>
      </w:r>
      <w:r>
        <w:rPr>
          <w:rFonts w:ascii="宋体" w:hAnsi="宋体" w:eastAsia="宋体" w:cs="宋体"/>
          <w:b/>
          <w:bCs/>
          <w:position w:val="1"/>
          <w:sz w:val="20"/>
          <w:szCs w:val="20"/>
        </w:rPr>
        <w:t>关于土壤及岩石的分类</w:t>
      </w:r>
    </w:p>
    <w:p>
      <w:pPr>
        <w:spacing w:before="124" w:line="368" w:lineRule="auto"/>
        <w:ind w:left="8" w:right="9" w:firstLine="419"/>
        <w:jc w:val="both"/>
        <w:rPr>
          <w:rFonts w:ascii="宋体" w:hAnsi="宋体" w:eastAsia="宋体" w:cs="宋体"/>
          <w:sz w:val="20"/>
          <w:szCs w:val="20"/>
        </w:rPr>
      </w:pPr>
      <w:r>
        <w:rPr>
          <w:rFonts w:ascii="宋体" w:hAnsi="宋体" w:eastAsia="宋体" w:cs="宋体"/>
          <w:spacing w:val="11"/>
          <w:sz w:val="20"/>
          <w:szCs w:val="20"/>
        </w:rPr>
        <w:t>按国标《工程岩体分级标准》</w:t>
      </w:r>
      <w:r>
        <w:rPr>
          <w:rFonts w:ascii="宋体" w:hAnsi="宋体" w:eastAsia="宋体" w:cs="宋体"/>
          <w:sz w:val="20"/>
          <w:szCs w:val="20"/>
        </w:rPr>
        <w:t>GB</w:t>
      </w:r>
      <w:r>
        <w:rPr>
          <w:rFonts w:ascii="宋体" w:hAnsi="宋体" w:eastAsia="宋体" w:cs="宋体"/>
          <w:spacing w:val="11"/>
          <w:sz w:val="20"/>
          <w:szCs w:val="20"/>
        </w:rPr>
        <w:t>50218-94</w:t>
      </w:r>
      <w:r>
        <w:rPr>
          <w:rFonts w:ascii="宋体" w:hAnsi="宋体" w:eastAsia="宋体" w:cs="宋体"/>
          <w:spacing w:val="-31"/>
          <w:sz w:val="20"/>
          <w:szCs w:val="20"/>
        </w:rPr>
        <w:t xml:space="preserve"> </w:t>
      </w:r>
      <w:r>
        <w:rPr>
          <w:rFonts w:ascii="宋体" w:hAnsi="宋体" w:eastAsia="宋体" w:cs="宋体"/>
          <w:spacing w:val="11"/>
          <w:sz w:val="20"/>
          <w:szCs w:val="20"/>
        </w:rPr>
        <w:t>和《岩土</w:t>
      </w:r>
      <w:r>
        <w:rPr>
          <w:rFonts w:ascii="宋体" w:hAnsi="宋体" w:eastAsia="宋体" w:cs="宋体"/>
          <w:spacing w:val="10"/>
          <w:sz w:val="20"/>
          <w:szCs w:val="20"/>
        </w:rPr>
        <w:t>工程勘察规范》</w:t>
      </w:r>
      <w:r>
        <w:rPr>
          <w:rFonts w:ascii="宋体" w:hAnsi="宋体" w:eastAsia="宋体" w:cs="宋体"/>
          <w:sz w:val="20"/>
          <w:szCs w:val="20"/>
        </w:rPr>
        <w:t>GB</w:t>
      </w:r>
      <w:r>
        <w:rPr>
          <w:rFonts w:ascii="宋体" w:hAnsi="宋体" w:eastAsia="宋体" w:cs="宋体"/>
          <w:spacing w:val="10"/>
          <w:sz w:val="20"/>
          <w:szCs w:val="20"/>
        </w:rPr>
        <w:t>50021-2001（2009</w:t>
      </w:r>
      <w:r>
        <w:rPr>
          <w:rFonts w:ascii="宋体" w:hAnsi="宋体" w:eastAsia="宋体" w:cs="宋体"/>
          <w:spacing w:val="-37"/>
          <w:sz w:val="20"/>
          <w:szCs w:val="20"/>
        </w:rPr>
        <w:t xml:space="preserve"> </w:t>
      </w:r>
      <w:r>
        <w:rPr>
          <w:rFonts w:ascii="宋体" w:hAnsi="宋体" w:eastAsia="宋体" w:cs="宋体"/>
          <w:spacing w:val="10"/>
          <w:sz w:val="20"/>
          <w:szCs w:val="20"/>
        </w:rPr>
        <w:t>年局</w:t>
      </w:r>
      <w:r>
        <w:rPr>
          <w:rFonts w:ascii="宋体" w:hAnsi="宋体" w:eastAsia="宋体" w:cs="宋体"/>
          <w:spacing w:val="11"/>
          <w:sz w:val="20"/>
          <w:szCs w:val="20"/>
        </w:rPr>
        <w:t>部修订版）划分，土壤按一二类土、三类土、四类土划分；岩石按极软岩、软</w:t>
      </w:r>
      <w:r>
        <w:rPr>
          <w:rFonts w:ascii="宋体" w:hAnsi="宋体" w:eastAsia="宋体" w:cs="宋体"/>
          <w:spacing w:val="10"/>
          <w:sz w:val="20"/>
          <w:szCs w:val="20"/>
        </w:rPr>
        <w:t>质岩（包括软岩和较</w:t>
      </w:r>
      <w:r>
        <w:rPr>
          <w:rFonts w:ascii="宋体" w:hAnsi="宋体" w:eastAsia="宋体" w:cs="宋体"/>
          <w:spacing w:val="8"/>
          <w:sz w:val="20"/>
          <w:szCs w:val="20"/>
        </w:rPr>
        <w:t>软岩）、较硬岩和坚硬岩划分。</w:t>
      </w:r>
    </w:p>
    <w:p>
      <w:pPr>
        <w:spacing w:before="2" w:line="277" w:lineRule="exact"/>
        <w:ind w:left="447"/>
        <w:rPr>
          <w:rFonts w:ascii="宋体" w:hAnsi="宋体" w:eastAsia="宋体" w:cs="宋体"/>
          <w:sz w:val="20"/>
          <w:szCs w:val="20"/>
        </w:rPr>
      </w:pPr>
      <w:r>
        <w:rPr>
          <w:rFonts w:ascii="宋体" w:hAnsi="宋体" w:eastAsia="宋体" w:cs="宋体"/>
          <w:b/>
          <w:bCs/>
          <w:spacing w:val="3"/>
          <w:position w:val="1"/>
          <w:sz w:val="20"/>
          <w:szCs w:val="20"/>
        </w:rPr>
        <w:t>19.</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关于大型机械的进出场及安拆费</w:t>
      </w:r>
    </w:p>
    <w:p>
      <w:pPr>
        <w:spacing w:before="122" w:line="277" w:lineRule="exact"/>
        <w:ind w:left="433"/>
        <w:rPr>
          <w:rFonts w:ascii="宋体" w:hAnsi="宋体" w:eastAsia="宋体" w:cs="宋体"/>
          <w:sz w:val="20"/>
          <w:szCs w:val="20"/>
        </w:rPr>
      </w:pPr>
      <w:r>
        <w:rPr>
          <w:rFonts w:ascii="宋体" w:hAnsi="宋体" w:eastAsia="宋体" w:cs="宋体"/>
          <w:spacing w:val="9"/>
          <w:position w:val="1"/>
          <w:sz w:val="20"/>
          <w:szCs w:val="20"/>
        </w:rPr>
        <w:t>大型机械的进出场及安拆费，按《山东省建设工程施工机械台班费用编制规则》的规定计算。</w:t>
      </w:r>
    </w:p>
    <w:p>
      <w:pPr>
        <w:spacing w:before="124" w:line="276" w:lineRule="exact"/>
        <w:ind w:left="422"/>
        <w:rPr>
          <w:rFonts w:ascii="宋体" w:hAnsi="宋体" w:eastAsia="宋体" w:cs="宋体"/>
          <w:sz w:val="20"/>
          <w:szCs w:val="20"/>
        </w:rPr>
      </w:pPr>
      <w:r>
        <w:rPr>
          <w:rFonts w:ascii="宋体" w:hAnsi="宋体" w:eastAsia="宋体" w:cs="宋体"/>
          <w:b/>
          <w:bCs/>
          <w:spacing w:val="4"/>
          <w:position w:val="1"/>
          <w:sz w:val="20"/>
          <w:szCs w:val="20"/>
        </w:rPr>
        <w:t>20.</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关于自卸汽车运土方、运石渣的计价</w:t>
      </w:r>
    </w:p>
    <w:p>
      <w:pPr>
        <w:spacing w:before="125" w:line="349" w:lineRule="auto"/>
        <w:ind w:left="8" w:right="9" w:firstLine="459"/>
        <w:rPr>
          <w:rFonts w:ascii="宋体" w:hAnsi="宋体" w:eastAsia="宋体" w:cs="宋体"/>
          <w:sz w:val="20"/>
          <w:szCs w:val="20"/>
        </w:rPr>
      </w:pPr>
      <w:r>
        <w:rPr>
          <w:rFonts w:ascii="宋体" w:hAnsi="宋体" w:eastAsia="宋体" w:cs="宋体"/>
          <w:spacing w:val="10"/>
          <w:sz w:val="20"/>
          <w:szCs w:val="20"/>
        </w:rPr>
        <w:t>自卸汽车运土方、运石渣定额项目统一规定20</w:t>
      </w:r>
      <w:r>
        <w:rPr>
          <w:rFonts w:ascii="宋体" w:hAnsi="宋体" w:eastAsia="宋体" w:cs="宋体"/>
          <w:sz w:val="20"/>
          <w:szCs w:val="20"/>
        </w:rPr>
        <w:t>km</w:t>
      </w:r>
      <w:r>
        <w:rPr>
          <w:rFonts w:ascii="宋体" w:hAnsi="宋体" w:eastAsia="宋体" w:cs="宋体"/>
          <w:spacing w:val="-23"/>
          <w:sz w:val="20"/>
          <w:szCs w:val="20"/>
        </w:rPr>
        <w:t xml:space="preserve"> </w:t>
      </w:r>
      <w:r>
        <w:rPr>
          <w:rFonts w:ascii="宋体" w:hAnsi="宋体" w:eastAsia="宋体" w:cs="宋体"/>
          <w:spacing w:val="10"/>
          <w:sz w:val="20"/>
          <w:szCs w:val="20"/>
        </w:rPr>
        <w:t>以内的运距，超过</w:t>
      </w:r>
      <w:r>
        <w:rPr>
          <w:rFonts w:ascii="宋体" w:hAnsi="宋体" w:eastAsia="宋体" w:cs="宋体"/>
          <w:spacing w:val="-39"/>
          <w:sz w:val="20"/>
          <w:szCs w:val="20"/>
        </w:rPr>
        <w:t xml:space="preserve"> </w:t>
      </w:r>
      <w:r>
        <w:rPr>
          <w:rFonts w:ascii="宋体" w:hAnsi="宋体" w:eastAsia="宋体" w:cs="宋体"/>
          <w:spacing w:val="10"/>
          <w:sz w:val="20"/>
          <w:szCs w:val="20"/>
        </w:rPr>
        <w:t>20</w:t>
      </w:r>
      <w:r>
        <w:rPr>
          <w:rFonts w:ascii="宋体" w:hAnsi="宋体" w:eastAsia="宋体" w:cs="宋体"/>
          <w:sz w:val="20"/>
          <w:szCs w:val="20"/>
        </w:rPr>
        <w:t>km</w:t>
      </w:r>
      <w:r>
        <w:rPr>
          <w:rFonts w:ascii="宋体" w:hAnsi="宋体" w:eastAsia="宋体" w:cs="宋体"/>
          <w:spacing w:val="-31"/>
          <w:sz w:val="20"/>
          <w:szCs w:val="20"/>
        </w:rPr>
        <w:t xml:space="preserve"> </w:t>
      </w:r>
      <w:r>
        <w:rPr>
          <w:rFonts w:ascii="宋体" w:hAnsi="宋体" w:eastAsia="宋体" w:cs="宋体"/>
          <w:spacing w:val="10"/>
          <w:sz w:val="20"/>
          <w:szCs w:val="20"/>
        </w:rPr>
        <w:t>时，按当地有关管理</w:t>
      </w:r>
      <w:r>
        <w:rPr>
          <w:rFonts w:ascii="宋体" w:hAnsi="宋体" w:eastAsia="宋体" w:cs="宋体"/>
          <w:spacing w:val="8"/>
          <w:sz w:val="20"/>
          <w:szCs w:val="20"/>
        </w:rPr>
        <w:t>部门的规定计算。</w:t>
      </w:r>
    </w:p>
    <w:p>
      <w:pPr>
        <w:spacing w:before="42" w:line="277" w:lineRule="exact"/>
        <w:ind w:left="430"/>
        <w:rPr>
          <w:rFonts w:ascii="宋体" w:hAnsi="宋体" w:eastAsia="宋体" w:cs="宋体"/>
          <w:sz w:val="20"/>
          <w:szCs w:val="20"/>
        </w:rPr>
      </w:pPr>
      <w:r>
        <w:rPr>
          <w:rFonts w:ascii="宋体" w:hAnsi="宋体" w:eastAsia="宋体" w:cs="宋体"/>
          <w:b/>
          <w:bCs/>
          <w:spacing w:val="3"/>
          <w:position w:val="1"/>
          <w:sz w:val="20"/>
          <w:szCs w:val="20"/>
        </w:rPr>
        <w:t>21.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关于材料二次搬运费的计取</w:t>
      </w:r>
    </w:p>
    <w:p>
      <w:pPr>
        <w:spacing w:before="124" w:line="359" w:lineRule="auto"/>
        <w:ind w:left="8" w:right="12" w:firstLine="421"/>
        <w:jc w:val="both"/>
        <w:rPr>
          <w:rFonts w:ascii="宋体" w:hAnsi="宋体" w:eastAsia="宋体" w:cs="宋体"/>
          <w:sz w:val="20"/>
          <w:szCs w:val="20"/>
        </w:rPr>
      </w:pPr>
      <w:r>
        <w:rPr>
          <w:rFonts w:ascii="宋体" w:hAnsi="宋体" w:eastAsia="宋体" w:cs="宋体"/>
          <w:spacing w:val="11"/>
          <w:sz w:val="20"/>
          <w:szCs w:val="20"/>
        </w:rPr>
        <w:t>材料二次搬运费是指因施工场地狭小等特殊原因而发生的二次搬运费用。</w:t>
      </w:r>
      <w:r>
        <w:rPr>
          <w:rFonts w:ascii="宋体" w:hAnsi="宋体" w:eastAsia="宋体" w:cs="宋体"/>
          <w:spacing w:val="10"/>
          <w:sz w:val="20"/>
          <w:szCs w:val="20"/>
        </w:rPr>
        <w:t>一般施工中所用的材</w:t>
      </w:r>
      <w:r>
        <w:rPr>
          <w:rFonts w:ascii="宋体" w:hAnsi="宋体" w:eastAsia="宋体" w:cs="宋体"/>
          <w:spacing w:val="11"/>
          <w:sz w:val="20"/>
          <w:szCs w:val="20"/>
        </w:rPr>
        <w:t>料，包括成品和半成品构件，均应按施工组织设计要求，运送至施工现场指定</w:t>
      </w:r>
      <w:r>
        <w:rPr>
          <w:rFonts w:ascii="宋体" w:hAnsi="宋体" w:eastAsia="宋体" w:cs="宋体"/>
          <w:spacing w:val="10"/>
          <w:sz w:val="20"/>
          <w:szCs w:val="20"/>
        </w:rPr>
        <w:t>的地点堆放；但有些</w:t>
      </w:r>
      <w:r>
        <w:rPr>
          <w:rFonts w:ascii="宋体" w:hAnsi="宋体" w:eastAsia="宋体" w:cs="宋体"/>
          <w:spacing w:val="11"/>
          <w:sz w:val="20"/>
          <w:szCs w:val="20"/>
        </w:rPr>
        <w:t>工地因施工场地狭小，或因交通道路条件较差使得运输车辆难以到达指定地点</w:t>
      </w:r>
      <w:r>
        <w:rPr>
          <w:rFonts w:ascii="宋体" w:hAnsi="宋体" w:eastAsia="宋体" w:cs="宋体"/>
          <w:spacing w:val="10"/>
          <w:sz w:val="20"/>
          <w:szCs w:val="20"/>
        </w:rPr>
        <w:t>，而需要通过人力或</w:t>
      </w:r>
      <w:r>
        <w:rPr>
          <w:rFonts w:ascii="宋体" w:hAnsi="宋体" w:eastAsia="宋体" w:cs="宋体"/>
          <w:spacing w:val="9"/>
          <w:sz w:val="20"/>
          <w:szCs w:val="20"/>
        </w:rPr>
        <w:t>小车进行二次或多次倒运。此时发生的费用，可计取二次搬运费。</w:t>
      </w:r>
    </w:p>
    <w:p>
      <w:pPr>
        <w:spacing w:before="43" w:line="276" w:lineRule="exact"/>
        <w:ind w:left="430"/>
        <w:rPr>
          <w:rFonts w:ascii="宋体" w:hAnsi="宋体" w:eastAsia="宋体" w:cs="宋体"/>
          <w:sz w:val="20"/>
          <w:szCs w:val="20"/>
        </w:rPr>
      </w:pPr>
      <w:r>
        <w:rPr>
          <w:rFonts w:ascii="宋体" w:hAnsi="宋体" w:eastAsia="宋体" w:cs="宋体"/>
          <w:b/>
          <w:bCs/>
          <w:spacing w:val="5"/>
          <w:position w:val="1"/>
          <w:sz w:val="20"/>
          <w:szCs w:val="20"/>
        </w:rPr>
        <w:t>22.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关于施工围挡悬挂宣传标语及公益广告的计价</w:t>
      </w:r>
    </w:p>
    <w:p>
      <w:pPr>
        <w:spacing w:before="129" w:line="221" w:lineRule="auto"/>
        <w:ind w:left="426"/>
        <w:rPr>
          <w:rFonts w:ascii="宋体" w:hAnsi="宋体" w:eastAsia="宋体" w:cs="宋体"/>
          <w:sz w:val="20"/>
          <w:szCs w:val="20"/>
        </w:rPr>
      </w:pPr>
      <w:r>
        <w:rPr>
          <w:rFonts w:ascii="宋体" w:hAnsi="宋体" w:eastAsia="宋体" w:cs="宋体"/>
          <w:spacing w:val="10"/>
          <w:sz w:val="20"/>
          <w:szCs w:val="20"/>
        </w:rPr>
        <w:t>施工围挡悬挂宣传标语及公益广告未包括在文明施工费中</w:t>
      </w:r>
      <w:r>
        <w:rPr>
          <w:rFonts w:ascii="宋体" w:hAnsi="宋体" w:eastAsia="宋体" w:cs="宋体"/>
          <w:spacing w:val="9"/>
          <w:sz w:val="20"/>
          <w:szCs w:val="20"/>
        </w:rPr>
        <w:t>，应按照实际发生的费用单独计算。</w:t>
      </w:r>
    </w:p>
    <w:p>
      <w:pPr>
        <w:spacing w:before="157" w:line="278" w:lineRule="exact"/>
        <w:ind w:left="430"/>
        <w:rPr>
          <w:rFonts w:ascii="宋体" w:hAnsi="宋体" w:eastAsia="宋体" w:cs="宋体"/>
          <w:sz w:val="20"/>
          <w:szCs w:val="20"/>
        </w:rPr>
      </w:pPr>
      <w:r>
        <w:rPr>
          <w:rFonts w:ascii="宋体" w:hAnsi="宋体" w:eastAsia="宋体" w:cs="宋体"/>
          <w:b/>
          <w:bCs/>
          <w:spacing w:val="4"/>
          <w:position w:val="1"/>
          <w:sz w:val="20"/>
          <w:szCs w:val="20"/>
        </w:rPr>
        <w:t>23.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关于建筑垃圾清理运输费用的确定</w:t>
      </w:r>
    </w:p>
    <w:p>
      <w:pPr>
        <w:spacing w:before="121" w:line="277" w:lineRule="exact"/>
        <w:ind w:left="432"/>
        <w:rPr>
          <w:rFonts w:ascii="宋体" w:hAnsi="宋体" w:eastAsia="宋体" w:cs="宋体"/>
          <w:sz w:val="20"/>
          <w:szCs w:val="20"/>
        </w:rPr>
      </w:pPr>
      <w:r>
        <w:rPr>
          <w:rFonts w:ascii="宋体" w:hAnsi="宋体" w:eastAsia="宋体" w:cs="宋体"/>
          <w:spacing w:val="8"/>
          <w:position w:val="1"/>
          <w:sz w:val="20"/>
          <w:szCs w:val="20"/>
        </w:rPr>
        <w:t>清运建筑垃圾，按其自然状态的实际体积，运距</w:t>
      </w:r>
      <w:r>
        <w:rPr>
          <w:rFonts w:ascii="宋体" w:hAnsi="宋体" w:eastAsia="宋体" w:cs="宋体"/>
          <w:spacing w:val="-9"/>
          <w:position w:val="1"/>
          <w:sz w:val="20"/>
          <w:szCs w:val="20"/>
        </w:rPr>
        <w:t xml:space="preserve"> </w:t>
      </w:r>
      <w:r>
        <w:rPr>
          <w:rFonts w:ascii="宋体" w:hAnsi="宋体" w:eastAsia="宋体" w:cs="宋体"/>
          <w:spacing w:val="8"/>
          <w:position w:val="1"/>
          <w:sz w:val="20"/>
          <w:szCs w:val="20"/>
        </w:rPr>
        <w:t>10</w:t>
      </w:r>
      <w:r>
        <w:rPr>
          <w:rFonts w:ascii="宋体" w:hAnsi="宋体" w:eastAsia="宋体" w:cs="宋体"/>
          <w:spacing w:val="-46"/>
          <w:position w:val="1"/>
          <w:sz w:val="20"/>
          <w:szCs w:val="20"/>
        </w:rPr>
        <w:t xml:space="preserve"> </w:t>
      </w:r>
      <w:r>
        <w:rPr>
          <w:rFonts w:ascii="宋体" w:hAnsi="宋体" w:eastAsia="宋体" w:cs="宋体"/>
          <w:spacing w:val="8"/>
          <w:position w:val="1"/>
          <w:sz w:val="20"/>
          <w:szCs w:val="20"/>
        </w:rPr>
        <w:t>公里以内时，按每立方米</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23</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元计取；每增</w:t>
      </w:r>
    </w:p>
    <w:p>
      <w:pPr>
        <w:spacing w:before="125" w:line="331" w:lineRule="auto"/>
        <w:ind w:left="8" w:right="10" w:firstLine="18"/>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25"/>
          <w:sz w:val="20"/>
          <w:szCs w:val="20"/>
        </w:rPr>
        <w:t xml:space="preserve"> </w:t>
      </w:r>
      <w:r>
        <w:rPr>
          <w:rFonts w:ascii="宋体" w:hAnsi="宋体" w:eastAsia="宋体" w:cs="宋体"/>
          <w:spacing w:val="6"/>
          <w:sz w:val="20"/>
          <w:szCs w:val="20"/>
        </w:rPr>
        <w:t>公里（不足</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3"/>
          <w:sz w:val="20"/>
          <w:szCs w:val="20"/>
        </w:rPr>
        <w:t xml:space="preserve"> </w:t>
      </w:r>
      <w:r>
        <w:rPr>
          <w:rFonts w:ascii="宋体" w:hAnsi="宋体" w:eastAsia="宋体" w:cs="宋体"/>
          <w:spacing w:val="6"/>
          <w:sz w:val="20"/>
          <w:szCs w:val="20"/>
        </w:rPr>
        <w:t>公里按</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5"/>
          <w:sz w:val="20"/>
          <w:szCs w:val="20"/>
        </w:rPr>
        <w:t xml:space="preserve"> </w:t>
      </w:r>
      <w:r>
        <w:rPr>
          <w:rFonts w:ascii="宋体" w:hAnsi="宋体" w:eastAsia="宋体" w:cs="宋体"/>
          <w:spacing w:val="6"/>
          <w:sz w:val="20"/>
          <w:szCs w:val="20"/>
        </w:rPr>
        <w:t>公里计算）按</w:t>
      </w:r>
      <w:r>
        <w:rPr>
          <w:rFonts w:ascii="宋体" w:hAnsi="宋体" w:eastAsia="宋体" w:cs="宋体"/>
          <w:spacing w:val="-23"/>
          <w:sz w:val="20"/>
          <w:szCs w:val="20"/>
        </w:rPr>
        <w:t xml:space="preserve"> </w:t>
      </w:r>
      <w:r>
        <w:rPr>
          <w:rFonts w:ascii="宋体" w:hAnsi="宋体" w:eastAsia="宋体" w:cs="宋体"/>
          <w:spacing w:val="6"/>
          <w:sz w:val="20"/>
          <w:szCs w:val="20"/>
        </w:rPr>
        <w:t>1.30</w:t>
      </w:r>
      <w:r>
        <w:rPr>
          <w:rFonts w:ascii="宋体" w:hAnsi="宋体" w:eastAsia="宋体" w:cs="宋体"/>
          <w:spacing w:val="-42"/>
          <w:sz w:val="20"/>
          <w:szCs w:val="20"/>
        </w:rPr>
        <w:t xml:space="preserve"> </w:t>
      </w:r>
      <w:r>
        <w:rPr>
          <w:rFonts w:ascii="宋体" w:hAnsi="宋体" w:eastAsia="宋体" w:cs="宋体"/>
          <w:spacing w:val="6"/>
          <w:sz w:val="20"/>
          <w:szCs w:val="20"/>
        </w:rPr>
        <w:t>元计算，以上费用只计取规费及税金。若合同约定的费</w:t>
      </w:r>
      <w:r>
        <w:rPr>
          <w:rFonts w:ascii="宋体" w:hAnsi="宋体" w:eastAsia="宋体" w:cs="宋体"/>
          <w:spacing w:val="11"/>
          <w:sz w:val="20"/>
          <w:szCs w:val="20"/>
        </w:rPr>
        <w:t>用高于或低于该条款的费用，按合同约定的条款执行。垃圾处置费按发承包双</w:t>
      </w:r>
      <w:r>
        <w:rPr>
          <w:rFonts w:ascii="宋体" w:hAnsi="宋体" w:eastAsia="宋体" w:cs="宋体"/>
          <w:spacing w:val="10"/>
          <w:sz w:val="20"/>
          <w:szCs w:val="20"/>
        </w:rPr>
        <w:t>方约定的费用或按每</w:t>
      </w:r>
      <w:r>
        <w:rPr>
          <w:rFonts w:ascii="宋体" w:hAnsi="宋体" w:eastAsia="宋体" w:cs="宋体"/>
          <w:spacing w:val="7"/>
          <w:sz w:val="20"/>
          <w:szCs w:val="20"/>
        </w:rPr>
        <w:t>立方米</w:t>
      </w:r>
      <w:r>
        <w:rPr>
          <w:rFonts w:ascii="宋体" w:hAnsi="宋体" w:eastAsia="宋体" w:cs="宋体"/>
          <w:spacing w:val="-29"/>
          <w:sz w:val="20"/>
          <w:szCs w:val="20"/>
        </w:rPr>
        <w:t xml:space="preserve"> </w:t>
      </w:r>
      <w:r>
        <w:rPr>
          <w:rFonts w:ascii="宋体" w:hAnsi="宋体" w:eastAsia="宋体" w:cs="宋体"/>
          <w:spacing w:val="7"/>
          <w:sz w:val="20"/>
          <w:szCs w:val="20"/>
        </w:rPr>
        <w:t>4</w:t>
      </w:r>
      <w:r>
        <w:rPr>
          <w:rFonts w:ascii="宋体" w:hAnsi="宋体" w:eastAsia="宋体" w:cs="宋体"/>
          <w:spacing w:val="-45"/>
          <w:sz w:val="20"/>
          <w:szCs w:val="20"/>
        </w:rPr>
        <w:t xml:space="preserve"> </w:t>
      </w:r>
      <w:r>
        <w:rPr>
          <w:rFonts w:ascii="宋体" w:hAnsi="宋体" w:eastAsia="宋体" w:cs="宋体"/>
          <w:spacing w:val="7"/>
          <w:sz w:val="20"/>
          <w:szCs w:val="20"/>
        </w:rPr>
        <w:t>元计取（不需处理时不计取）。</w:t>
      </w:r>
    </w:p>
    <w:p>
      <w:pPr>
        <w:spacing w:before="123" w:line="276" w:lineRule="exact"/>
        <w:ind w:left="430"/>
        <w:rPr>
          <w:rFonts w:ascii="宋体" w:hAnsi="宋体" w:eastAsia="宋体" w:cs="宋体"/>
          <w:sz w:val="20"/>
          <w:szCs w:val="20"/>
        </w:rPr>
      </w:pPr>
      <w:r>
        <w:rPr>
          <w:rFonts w:ascii="宋体" w:hAnsi="宋体" w:eastAsia="宋体" w:cs="宋体"/>
          <w:b/>
          <w:bCs/>
          <w:spacing w:val="6"/>
          <w:position w:val="1"/>
          <w:sz w:val="20"/>
          <w:szCs w:val="20"/>
        </w:rPr>
        <w:t>24.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关于土石方工程中，现场签证为密目网多次覆</w:t>
      </w:r>
      <w:r>
        <w:rPr>
          <w:rFonts w:ascii="宋体" w:hAnsi="宋体" w:eastAsia="宋体" w:cs="宋体"/>
          <w:b/>
          <w:bCs/>
          <w:spacing w:val="5"/>
          <w:position w:val="1"/>
          <w:sz w:val="20"/>
          <w:szCs w:val="20"/>
        </w:rPr>
        <w:t>盖时的计价</w:t>
      </w:r>
    </w:p>
    <w:p>
      <w:pPr>
        <w:spacing w:before="128" w:line="222" w:lineRule="auto"/>
        <w:ind w:left="430"/>
        <w:rPr>
          <w:rFonts w:ascii="宋体" w:hAnsi="宋体" w:eastAsia="宋体" w:cs="宋体"/>
          <w:sz w:val="20"/>
          <w:szCs w:val="20"/>
        </w:rPr>
      </w:pPr>
      <w:r>
        <w:rPr>
          <w:rFonts w:ascii="宋体" w:hAnsi="宋体" w:eastAsia="宋体" w:cs="宋体"/>
          <w:spacing w:val="10"/>
          <w:sz w:val="20"/>
          <w:szCs w:val="20"/>
        </w:rPr>
        <w:t>环境保护费中已综合考虑了密目网的使用和</w:t>
      </w:r>
      <w:r>
        <w:rPr>
          <w:rFonts w:ascii="宋体" w:hAnsi="宋体" w:eastAsia="宋体" w:cs="宋体"/>
          <w:spacing w:val="9"/>
          <w:sz w:val="20"/>
          <w:szCs w:val="20"/>
        </w:rPr>
        <w:t>覆盖，现场签证为多次覆盖时，不另行计算。</w:t>
      </w:r>
    </w:p>
    <w:p>
      <w:pPr>
        <w:spacing w:before="154" w:line="278" w:lineRule="exact"/>
        <w:ind w:left="430"/>
        <w:rPr>
          <w:rFonts w:ascii="宋体" w:hAnsi="宋体" w:eastAsia="宋体" w:cs="宋体"/>
          <w:sz w:val="20"/>
          <w:szCs w:val="20"/>
        </w:rPr>
      </w:pPr>
      <w:r>
        <w:rPr>
          <w:rFonts w:ascii="宋体" w:hAnsi="宋体" w:eastAsia="宋体" w:cs="宋体"/>
          <w:b/>
          <w:bCs/>
          <w:spacing w:val="7"/>
          <w:position w:val="1"/>
          <w:sz w:val="20"/>
          <w:szCs w:val="20"/>
        </w:rPr>
        <w:t>25.</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现有定额或环境保护费、文明施工费及临时设施费中</w:t>
      </w:r>
      <w:r>
        <w:rPr>
          <w:rFonts w:ascii="宋体" w:hAnsi="宋体" w:eastAsia="宋体" w:cs="宋体"/>
          <w:b/>
          <w:bCs/>
          <w:spacing w:val="6"/>
          <w:position w:val="1"/>
          <w:sz w:val="20"/>
          <w:szCs w:val="20"/>
        </w:rPr>
        <w:t>产生的建筑垃圾场外运输的计算</w:t>
      </w:r>
    </w:p>
    <w:p>
      <w:pPr>
        <w:spacing w:before="123" w:line="369" w:lineRule="auto"/>
        <w:ind w:left="10" w:right="12" w:firstLine="420"/>
        <w:rPr>
          <w:rFonts w:ascii="宋体" w:hAnsi="宋体" w:eastAsia="宋体" w:cs="宋体"/>
          <w:sz w:val="20"/>
          <w:szCs w:val="20"/>
        </w:rPr>
      </w:pPr>
      <w:r>
        <w:rPr>
          <w:rFonts w:ascii="宋体" w:hAnsi="宋体" w:eastAsia="宋体" w:cs="宋体"/>
          <w:spacing w:val="11"/>
          <w:sz w:val="20"/>
          <w:szCs w:val="20"/>
        </w:rPr>
        <w:t>现有定额或有关费率中未包含施工红线范围内所有建筑垃圾（包括临时</w:t>
      </w:r>
      <w:r>
        <w:rPr>
          <w:rFonts w:ascii="宋体" w:hAnsi="宋体" w:eastAsia="宋体" w:cs="宋体"/>
          <w:spacing w:val="10"/>
          <w:sz w:val="20"/>
          <w:szCs w:val="20"/>
        </w:rPr>
        <w:t>设施拆除所产生的拆除</w:t>
      </w:r>
      <w:r>
        <w:rPr>
          <w:rFonts w:ascii="宋体" w:hAnsi="宋体" w:eastAsia="宋体" w:cs="宋体"/>
          <w:spacing w:val="9"/>
          <w:sz w:val="20"/>
          <w:szCs w:val="20"/>
        </w:rPr>
        <w:t>垃圾）的外运费用，实际发生时，另行计算。</w:t>
      </w:r>
    </w:p>
    <w:p>
      <w:pPr>
        <w:spacing w:before="1" w:line="351" w:lineRule="auto"/>
        <w:ind w:left="9" w:right="12" w:firstLine="420"/>
        <w:rPr>
          <w:rFonts w:ascii="宋体" w:hAnsi="宋体" w:eastAsia="宋体" w:cs="宋体"/>
          <w:sz w:val="20"/>
          <w:szCs w:val="20"/>
        </w:rPr>
      </w:pPr>
      <w:r>
        <w:rPr>
          <w:rFonts w:ascii="宋体" w:hAnsi="宋体" w:eastAsia="宋体" w:cs="宋体"/>
          <w:b/>
          <w:bCs/>
          <w:spacing w:val="8"/>
          <w:sz w:val="20"/>
          <w:szCs w:val="20"/>
        </w:rPr>
        <w:t>26.</w:t>
      </w:r>
      <w:r>
        <w:rPr>
          <w:rFonts w:ascii="宋体" w:hAnsi="宋体" w:eastAsia="宋体" w:cs="宋体"/>
          <w:spacing w:val="8"/>
          <w:sz w:val="20"/>
          <w:szCs w:val="20"/>
        </w:rPr>
        <w:t xml:space="preserve"> </w:t>
      </w:r>
      <w:r>
        <w:rPr>
          <w:rFonts w:ascii="宋体" w:hAnsi="宋体" w:eastAsia="宋体" w:cs="宋体"/>
          <w:b/>
          <w:bCs/>
          <w:spacing w:val="8"/>
          <w:sz w:val="20"/>
          <w:szCs w:val="20"/>
        </w:rPr>
        <w:t>关于专业工程措施项目中的施工围挡与安全文明施工措施项目清单中的施工现场围挡的区</w:t>
      </w:r>
      <w:r>
        <w:rPr>
          <w:rFonts w:ascii="宋体" w:hAnsi="宋体" w:eastAsia="宋体" w:cs="宋体"/>
          <w:b/>
          <w:bCs/>
          <w:spacing w:val="7"/>
          <w:sz w:val="20"/>
          <w:szCs w:val="20"/>
        </w:rPr>
        <w:t>分及计算</w:t>
      </w:r>
    </w:p>
    <w:p>
      <w:pPr>
        <w:spacing w:before="39" w:line="356" w:lineRule="auto"/>
        <w:ind w:firstLine="411"/>
        <w:jc w:val="both"/>
        <w:rPr>
          <w:rFonts w:ascii="宋体" w:hAnsi="宋体" w:eastAsia="宋体" w:cs="宋体"/>
          <w:sz w:val="20"/>
          <w:szCs w:val="20"/>
        </w:rPr>
      </w:pPr>
      <w:r>
        <w:rPr>
          <w:rFonts w:ascii="宋体" w:hAnsi="宋体" w:eastAsia="宋体" w:cs="宋体"/>
          <w:spacing w:val="12"/>
          <w:sz w:val="20"/>
          <w:szCs w:val="20"/>
        </w:rPr>
        <w:t>《山东省住房和城乡建设厅关于调整山东省建筑和</w:t>
      </w:r>
      <w:r>
        <w:rPr>
          <w:rFonts w:ascii="宋体" w:hAnsi="宋体" w:eastAsia="宋体" w:cs="宋体"/>
          <w:spacing w:val="11"/>
          <w:sz w:val="20"/>
          <w:szCs w:val="20"/>
        </w:rPr>
        <w:t>市政工程安全文明施工费费率标准的通知》</w:t>
      </w:r>
      <w:r>
        <w:rPr>
          <w:rFonts w:ascii="宋体" w:hAnsi="宋体" w:eastAsia="宋体" w:cs="宋体"/>
          <w:sz w:val="20"/>
          <w:szCs w:val="20"/>
        </w:rPr>
        <w:t xml:space="preserve"> </w:t>
      </w:r>
      <w:r>
        <w:rPr>
          <w:rFonts w:ascii="宋体" w:hAnsi="宋体" w:eastAsia="宋体" w:cs="宋体"/>
          <w:spacing w:val="9"/>
          <w:sz w:val="20"/>
          <w:szCs w:val="20"/>
        </w:rPr>
        <w:t>（鲁建标函〔2017〕23</w:t>
      </w:r>
      <w:r>
        <w:rPr>
          <w:rFonts w:ascii="宋体" w:hAnsi="宋体" w:eastAsia="宋体" w:cs="宋体"/>
          <w:spacing w:val="-39"/>
          <w:sz w:val="20"/>
          <w:szCs w:val="20"/>
        </w:rPr>
        <w:t xml:space="preserve"> </w:t>
      </w:r>
      <w:r>
        <w:rPr>
          <w:rFonts w:ascii="宋体" w:hAnsi="宋体" w:eastAsia="宋体" w:cs="宋体"/>
          <w:spacing w:val="9"/>
          <w:sz w:val="20"/>
          <w:szCs w:val="20"/>
        </w:rPr>
        <w:t>号）文件安全文明施工费费率中未包含市政工程施工现场固定式彩钢板围挡</w:t>
      </w:r>
      <w:r>
        <w:rPr>
          <w:rFonts w:ascii="宋体" w:hAnsi="宋体" w:eastAsia="宋体" w:cs="宋体"/>
          <w:spacing w:val="7"/>
          <w:sz w:val="20"/>
          <w:szCs w:val="20"/>
        </w:rPr>
        <w:t>费用。</w:t>
      </w:r>
    </w:p>
    <w:p>
      <w:pPr>
        <w:spacing w:line="356" w:lineRule="auto"/>
        <w:rPr>
          <w:rFonts w:ascii="宋体" w:hAnsi="宋体" w:eastAsia="宋体" w:cs="宋体"/>
          <w:sz w:val="20"/>
          <w:szCs w:val="20"/>
        </w:rPr>
        <w:sectPr>
          <w:footerReference r:id="rId176" w:type="default"/>
          <w:pgSz w:w="11906" w:h="16839"/>
          <w:pgMar w:top="400" w:right="1408"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1" w:lineRule="auto"/>
        <w:ind w:left="8" w:right="33" w:firstLine="418"/>
        <w:rPr>
          <w:rFonts w:ascii="宋体" w:hAnsi="宋体" w:eastAsia="宋体" w:cs="宋体"/>
          <w:sz w:val="20"/>
          <w:szCs w:val="20"/>
        </w:rPr>
      </w:pPr>
      <w:r>
        <w:rPr>
          <w:rFonts w:ascii="宋体" w:hAnsi="宋体" w:eastAsia="宋体" w:cs="宋体"/>
          <w:spacing w:val="11"/>
          <w:sz w:val="20"/>
          <w:szCs w:val="20"/>
        </w:rPr>
        <w:t>施工现场的固定式彩钢板围挡安装及拆除（含路口处）属于安全文明措施之一，市政工</w:t>
      </w:r>
      <w:r>
        <w:rPr>
          <w:rFonts w:ascii="宋体" w:hAnsi="宋体" w:eastAsia="宋体" w:cs="宋体"/>
          <w:spacing w:val="10"/>
          <w:sz w:val="20"/>
          <w:szCs w:val="20"/>
        </w:rPr>
        <w:t>程中该</w:t>
      </w:r>
      <w:r>
        <w:rPr>
          <w:rFonts w:ascii="宋体" w:hAnsi="宋体" w:eastAsia="宋体" w:cs="宋体"/>
          <w:spacing w:val="8"/>
          <w:sz w:val="20"/>
          <w:szCs w:val="20"/>
        </w:rPr>
        <w:t>项目应按定额子目单独进行计算。</w:t>
      </w:r>
    </w:p>
    <w:p>
      <w:pPr>
        <w:spacing w:before="40" w:line="276" w:lineRule="exact"/>
        <w:ind w:left="430"/>
        <w:rPr>
          <w:rFonts w:ascii="宋体" w:hAnsi="宋体" w:eastAsia="宋体" w:cs="宋体"/>
          <w:sz w:val="20"/>
          <w:szCs w:val="20"/>
        </w:rPr>
      </w:pPr>
      <w:r>
        <w:rPr>
          <w:rFonts w:ascii="宋体" w:hAnsi="宋体" w:eastAsia="宋体" w:cs="宋体"/>
          <w:b/>
          <w:bCs/>
          <w:spacing w:val="3"/>
          <w:position w:val="1"/>
          <w:sz w:val="20"/>
          <w:szCs w:val="20"/>
        </w:rPr>
        <w:t>27.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关于夜间施工增加费的计价</w:t>
      </w:r>
    </w:p>
    <w:p>
      <w:pPr>
        <w:spacing w:before="123" w:line="370" w:lineRule="auto"/>
        <w:ind w:left="6" w:right="36" w:firstLine="420"/>
        <w:jc w:val="both"/>
        <w:rPr>
          <w:rFonts w:ascii="宋体" w:hAnsi="宋体" w:eastAsia="宋体" w:cs="宋体"/>
          <w:sz w:val="20"/>
          <w:szCs w:val="20"/>
        </w:rPr>
      </w:pPr>
      <w:r>
        <w:rPr>
          <w:rFonts w:ascii="宋体" w:hAnsi="宋体" w:eastAsia="宋体" w:cs="宋体"/>
          <w:spacing w:val="11"/>
          <w:sz w:val="20"/>
          <w:szCs w:val="20"/>
        </w:rPr>
        <w:t>措施费中的“夜间施工增加费”是指在正常施工条件下因工程结构及施工工艺需</w:t>
      </w:r>
      <w:r>
        <w:rPr>
          <w:rFonts w:ascii="宋体" w:hAnsi="宋体" w:eastAsia="宋体" w:cs="宋体"/>
          <w:spacing w:val="10"/>
          <w:sz w:val="20"/>
          <w:szCs w:val="20"/>
        </w:rPr>
        <w:t>要必须连续施</w:t>
      </w:r>
      <w:r>
        <w:rPr>
          <w:rFonts w:ascii="宋体" w:hAnsi="宋体" w:eastAsia="宋体" w:cs="宋体"/>
          <w:spacing w:val="11"/>
          <w:sz w:val="20"/>
          <w:szCs w:val="20"/>
        </w:rPr>
        <w:t>工所发生的降低工效、施工照明及设施等费用，不适用于完全夜间施工情况。完</w:t>
      </w:r>
      <w:r>
        <w:rPr>
          <w:rFonts w:ascii="宋体" w:hAnsi="宋体" w:eastAsia="宋体" w:cs="宋体"/>
          <w:spacing w:val="10"/>
          <w:sz w:val="20"/>
          <w:szCs w:val="20"/>
        </w:rPr>
        <w:t>全夜间施工是指为</w:t>
      </w:r>
      <w:r>
        <w:rPr>
          <w:rFonts w:ascii="宋体" w:hAnsi="宋体" w:eastAsia="宋体" w:cs="宋体"/>
          <w:spacing w:val="11"/>
          <w:sz w:val="20"/>
          <w:szCs w:val="20"/>
        </w:rPr>
        <w:t>保持主要交通道路白天正常通行，部分市政基础设施类工程须完全在夜间组织实</w:t>
      </w:r>
      <w:r>
        <w:rPr>
          <w:rFonts w:ascii="宋体" w:hAnsi="宋体" w:eastAsia="宋体" w:cs="宋体"/>
          <w:spacing w:val="10"/>
          <w:sz w:val="20"/>
          <w:szCs w:val="20"/>
        </w:rPr>
        <w:t>施施工活动，且白</w:t>
      </w:r>
      <w:r>
        <w:rPr>
          <w:rFonts w:ascii="宋体" w:hAnsi="宋体" w:eastAsia="宋体" w:cs="宋体"/>
          <w:spacing w:val="9"/>
          <w:sz w:val="20"/>
          <w:szCs w:val="20"/>
        </w:rPr>
        <w:t>天人员、机械及剩余材料等均撤离施工现场、恢复临时通车的情况。</w:t>
      </w:r>
    </w:p>
    <w:p>
      <w:pPr>
        <w:spacing w:line="367" w:lineRule="auto"/>
        <w:ind w:left="8" w:right="36" w:firstLine="420"/>
        <w:rPr>
          <w:rFonts w:ascii="宋体" w:hAnsi="宋体" w:eastAsia="宋体" w:cs="宋体"/>
          <w:sz w:val="20"/>
          <w:szCs w:val="20"/>
        </w:rPr>
      </w:pPr>
      <w:r>
        <w:rPr>
          <w:rFonts w:ascii="宋体" w:hAnsi="宋体" w:eastAsia="宋体" w:cs="宋体"/>
          <w:spacing w:val="11"/>
          <w:sz w:val="20"/>
          <w:szCs w:val="20"/>
        </w:rPr>
        <w:t>完全夜间施工的工程其人工降效、增加的照明、机械多次进出场、临时钢板</w:t>
      </w:r>
      <w:r>
        <w:rPr>
          <w:rFonts w:ascii="宋体" w:hAnsi="宋体" w:eastAsia="宋体" w:cs="宋体"/>
          <w:spacing w:val="10"/>
          <w:sz w:val="20"/>
          <w:szCs w:val="20"/>
        </w:rPr>
        <w:t>铺设、交通维护及</w:t>
      </w:r>
      <w:r>
        <w:rPr>
          <w:rFonts w:ascii="宋体" w:hAnsi="宋体" w:eastAsia="宋体" w:cs="宋体"/>
          <w:spacing w:val="8"/>
          <w:sz w:val="20"/>
          <w:szCs w:val="20"/>
        </w:rPr>
        <w:t>疏导等费用可参照以下说明计算：</w:t>
      </w:r>
    </w:p>
    <w:p>
      <w:pPr>
        <w:spacing w:line="297" w:lineRule="auto"/>
        <w:ind w:left="9" w:right="35" w:firstLine="410"/>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34"/>
          <w:sz w:val="20"/>
          <w:szCs w:val="20"/>
        </w:rPr>
        <w:t xml:space="preserve"> </w:t>
      </w:r>
      <w:r>
        <w:rPr>
          <w:rFonts w:ascii="宋体" w:hAnsi="宋体" w:eastAsia="宋体" w:cs="宋体"/>
          <w:spacing w:val="9"/>
          <w:sz w:val="20"/>
          <w:szCs w:val="20"/>
        </w:rPr>
        <w:t>1）依据山东省市政工程有关计价定额计价时，人工降效按25%，计算基础为单位工程夜间施</w:t>
      </w:r>
      <w:r>
        <w:rPr>
          <w:rFonts w:ascii="宋体" w:hAnsi="宋体" w:eastAsia="宋体" w:cs="宋体"/>
          <w:spacing w:val="8"/>
          <w:sz w:val="20"/>
          <w:szCs w:val="20"/>
        </w:rPr>
        <w:t>工分部分项部分的人工消耗。</w:t>
      </w:r>
    </w:p>
    <w:p>
      <w:pPr>
        <w:spacing w:before="158" w:line="296" w:lineRule="auto"/>
        <w:ind w:left="430" w:right="33" w:hanging="10"/>
        <w:rPr>
          <w:rFonts w:ascii="宋体" w:hAnsi="宋体" w:eastAsia="宋体" w:cs="宋体"/>
          <w:sz w:val="20"/>
          <w:szCs w:val="20"/>
        </w:rPr>
      </w:pPr>
      <w:r>
        <w:rPr>
          <w:rFonts w:ascii="宋体" w:hAnsi="宋体" w:eastAsia="宋体" w:cs="宋体"/>
          <w:spacing w:val="9"/>
          <w:sz w:val="20"/>
          <w:szCs w:val="20"/>
        </w:rPr>
        <w:t>（2）夜间照明、机械多次进出场运输、临</w:t>
      </w:r>
      <w:r>
        <w:rPr>
          <w:rFonts w:ascii="宋体" w:hAnsi="宋体" w:eastAsia="宋体" w:cs="宋体"/>
          <w:spacing w:val="8"/>
          <w:sz w:val="20"/>
          <w:szCs w:val="20"/>
        </w:rPr>
        <w:t>时钢板铺设、交通维护及疏导等相关措施项目可根据</w:t>
      </w:r>
      <w:r>
        <w:rPr>
          <w:rFonts w:ascii="宋体" w:hAnsi="宋体" w:eastAsia="宋体" w:cs="宋体"/>
          <w:spacing w:val="9"/>
          <w:sz w:val="20"/>
          <w:szCs w:val="20"/>
        </w:rPr>
        <w:t>经批准的施工方案及现场实际发生计算。</w:t>
      </w:r>
    </w:p>
    <w:p>
      <w:pPr>
        <w:spacing w:before="158" w:line="277" w:lineRule="exact"/>
        <w:ind w:left="420"/>
        <w:rPr>
          <w:rFonts w:ascii="宋体" w:hAnsi="宋体" w:eastAsia="宋体" w:cs="宋体"/>
          <w:sz w:val="20"/>
          <w:szCs w:val="20"/>
        </w:rPr>
      </w:pPr>
      <w:r>
        <w:rPr>
          <w:rFonts w:ascii="宋体" w:hAnsi="宋体" w:eastAsia="宋体" w:cs="宋体"/>
          <w:spacing w:val="9"/>
          <w:position w:val="1"/>
          <w:sz w:val="20"/>
          <w:szCs w:val="20"/>
        </w:rPr>
        <w:t>（3）完全夜间施工增加的费用列入措施项目费。</w:t>
      </w:r>
    </w:p>
    <w:p>
      <w:pPr>
        <w:spacing w:before="123" w:line="277" w:lineRule="exact"/>
        <w:jc w:val="right"/>
        <w:rPr>
          <w:rFonts w:ascii="宋体" w:hAnsi="宋体" w:eastAsia="宋体" w:cs="宋体"/>
          <w:sz w:val="20"/>
          <w:szCs w:val="20"/>
        </w:rPr>
      </w:pPr>
      <w:r>
        <w:rPr>
          <w:rFonts w:ascii="宋体" w:hAnsi="宋体" w:eastAsia="宋体" w:cs="宋体"/>
          <w:spacing w:val="9"/>
          <w:position w:val="1"/>
          <w:sz w:val="20"/>
          <w:szCs w:val="20"/>
        </w:rPr>
        <w:t>（4）为提前工期而采取夜间施工时所发生的费用，由甲乙双方约定，可在其他项目费中列支。</w:t>
      </w:r>
    </w:p>
    <w:p>
      <w:pPr>
        <w:spacing w:before="122" w:line="313" w:lineRule="auto"/>
        <w:ind w:left="9" w:right="33" w:firstLine="410"/>
        <w:rPr>
          <w:rFonts w:ascii="宋体" w:hAnsi="宋体" w:eastAsia="宋体" w:cs="宋体"/>
          <w:sz w:val="20"/>
          <w:szCs w:val="20"/>
        </w:rPr>
      </w:pPr>
      <w:r>
        <w:rPr>
          <w:rFonts w:ascii="宋体" w:hAnsi="宋体" w:eastAsia="宋体" w:cs="宋体"/>
          <w:spacing w:val="8"/>
          <w:sz w:val="20"/>
          <w:szCs w:val="20"/>
        </w:rPr>
        <w:t>（5）其他存在部分夜间施工的项目(非工艺及工序要求连续施工的)，可根据具体施工方案参照</w:t>
      </w:r>
      <w:r>
        <w:rPr>
          <w:rFonts w:ascii="宋体" w:hAnsi="宋体" w:eastAsia="宋体" w:cs="宋体"/>
          <w:spacing w:val="2"/>
          <w:sz w:val="20"/>
          <w:szCs w:val="20"/>
        </w:rPr>
        <w:t>上述(1)、(2) 条调整人工降效及措施项目，增加相</w:t>
      </w:r>
      <w:r>
        <w:rPr>
          <w:rFonts w:ascii="宋体" w:hAnsi="宋体" w:eastAsia="宋体" w:cs="宋体"/>
          <w:spacing w:val="1"/>
          <w:sz w:val="20"/>
          <w:szCs w:val="20"/>
        </w:rPr>
        <w:t>应费用。</w:t>
      </w:r>
    </w:p>
    <w:p>
      <w:pPr>
        <w:spacing w:before="123" w:line="276" w:lineRule="exact"/>
        <w:ind w:left="430"/>
        <w:rPr>
          <w:rFonts w:ascii="宋体" w:hAnsi="宋体" w:eastAsia="宋体" w:cs="宋体"/>
          <w:sz w:val="20"/>
          <w:szCs w:val="20"/>
        </w:rPr>
      </w:pPr>
      <w:r>
        <w:rPr>
          <w:rFonts w:ascii="宋体" w:hAnsi="宋体" w:eastAsia="宋体" w:cs="宋体"/>
          <w:b/>
          <w:bCs/>
          <w:spacing w:val="4"/>
          <w:position w:val="1"/>
          <w:sz w:val="20"/>
          <w:szCs w:val="20"/>
        </w:rPr>
        <w:t>28.</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关于交通维护及疏导费用的计价</w:t>
      </w:r>
    </w:p>
    <w:p>
      <w:pPr>
        <w:spacing w:before="125" w:line="369" w:lineRule="auto"/>
        <w:ind w:left="8" w:right="76" w:firstLine="420"/>
        <w:rPr>
          <w:rFonts w:ascii="宋体" w:hAnsi="宋体" w:eastAsia="宋体" w:cs="宋体"/>
          <w:sz w:val="20"/>
          <w:szCs w:val="20"/>
        </w:rPr>
      </w:pPr>
      <w:r>
        <w:rPr>
          <w:rFonts w:ascii="宋体" w:hAnsi="宋体" w:eastAsia="宋体" w:cs="宋体"/>
          <w:spacing w:val="9"/>
          <w:sz w:val="20"/>
          <w:szCs w:val="20"/>
        </w:rPr>
        <w:t>专业工程措施项目一览表中“交通维护及疏导”</w:t>
      </w:r>
      <w:r>
        <w:rPr>
          <w:rFonts w:ascii="宋体" w:hAnsi="宋体" w:eastAsia="宋体" w:cs="宋体"/>
          <w:spacing w:val="-62"/>
          <w:sz w:val="20"/>
          <w:szCs w:val="20"/>
        </w:rPr>
        <w:t xml:space="preserve"> </w:t>
      </w:r>
      <w:r>
        <w:rPr>
          <w:rFonts w:ascii="宋体" w:hAnsi="宋体" w:eastAsia="宋体" w:cs="宋体"/>
          <w:spacing w:val="9"/>
          <w:sz w:val="20"/>
          <w:szCs w:val="20"/>
        </w:rPr>
        <w:t>，是指根据当地有关管理部门批准的</w:t>
      </w:r>
      <w:r>
        <w:rPr>
          <w:rFonts w:ascii="宋体" w:hAnsi="宋体" w:eastAsia="宋体" w:cs="宋体"/>
          <w:spacing w:val="8"/>
          <w:sz w:val="20"/>
          <w:szCs w:val="20"/>
        </w:rPr>
        <w:t>专项交通组织方案计算的费用，应按实际发生计算。</w:t>
      </w:r>
      <w:r>
        <w:rPr>
          <w:rFonts w:ascii="宋体" w:hAnsi="宋体" w:eastAsia="宋体" w:cs="宋体"/>
          <w:spacing w:val="-56"/>
          <w:sz w:val="20"/>
          <w:szCs w:val="20"/>
        </w:rPr>
        <w:t xml:space="preserve"> </w:t>
      </w:r>
      <w:r>
        <w:rPr>
          <w:rFonts w:ascii="宋体" w:hAnsi="宋体" w:eastAsia="宋体" w:cs="宋体"/>
          <w:spacing w:val="8"/>
          <w:sz w:val="20"/>
          <w:szCs w:val="20"/>
        </w:rPr>
        <w:t>自行组织的不</w:t>
      </w:r>
      <w:r>
        <w:rPr>
          <w:rFonts w:ascii="宋体" w:hAnsi="宋体" w:eastAsia="宋体" w:cs="宋体"/>
          <w:spacing w:val="7"/>
          <w:sz w:val="20"/>
          <w:szCs w:val="20"/>
        </w:rPr>
        <w:t>另计算。</w:t>
      </w:r>
    </w:p>
    <w:p>
      <w:pPr>
        <w:spacing w:line="364" w:lineRule="auto"/>
        <w:ind w:left="7" w:right="33" w:firstLine="421"/>
        <w:jc w:val="both"/>
        <w:rPr>
          <w:rFonts w:ascii="宋体" w:hAnsi="宋体" w:eastAsia="宋体" w:cs="宋体"/>
          <w:sz w:val="20"/>
          <w:szCs w:val="20"/>
        </w:rPr>
      </w:pPr>
      <w:r>
        <w:rPr>
          <w:rFonts w:ascii="宋体" w:hAnsi="宋体" w:eastAsia="宋体" w:cs="宋体"/>
          <w:spacing w:val="8"/>
          <w:sz w:val="20"/>
          <w:szCs w:val="20"/>
        </w:rPr>
        <w:t>此外，关于交通疏导方案编制及审批费用，因市政</w:t>
      </w:r>
      <w:r>
        <w:rPr>
          <w:rFonts w:ascii="宋体" w:hAnsi="宋体" w:eastAsia="宋体" w:cs="宋体"/>
          <w:spacing w:val="7"/>
          <w:sz w:val="20"/>
          <w:szCs w:val="20"/>
        </w:rPr>
        <w:t>工程措施项目一览表第</w:t>
      </w:r>
      <w:r>
        <w:rPr>
          <w:rFonts w:ascii="宋体" w:hAnsi="宋体" w:eastAsia="宋体" w:cs="宋体"/>
          <w:spacing w:val="-36"/>
          <w:sz w:val="20"/>
          <w:szCs w:val="20"/>
        </w:rPr>
        <w:t xml:space="preserve"> </w:t>
      </w:r>
      <w:r>
        <w:rPr>
          <w:rFonts w:ascii="宋体" w:hAnsi="宋体" w:eastAsia="宋体" w:cs="宋体"/>
          <w:spacing w:val="7"/>
          <w:sz w:val="20"/>
          <w:szCs w:val="20"/>
        </w:rPr>
        <w:t>3.11</w:t>
      </w:r>
      <w:r>
        <w:rPr>
          <w:rFonts w:ascii="宋体" w:hAnsi="宋体" w:eastAsia="宋体" w:cs="宋体"/>
          <w:spacing w:val="-41"/>
          <w:sz w:val="20"/>
          <w:szCs w:val="20"/>
        </w:rPr>
        <w:t xml:space="preserve"> </w:t>
      </w:r>
      <w:r>
        <w:rPr>
          <w:rFonts w:ascii="宋体" w:hAnsi="宋体" w:eastAsia="宋体" w:cs="宋体"/>
          <w:spacing w:val="7"/>
          <w:sz w:val="20"/>
          <w:szCs w:val="20"/>
        </w:rPr>
        <w:t>项“交通维护及</w:t>
      </w:r>
      <w:r>
        <w:rPr>
          <w:rFonts w:ascii="宋体" w:hAnsi="宋体" w:eastAsia="宋体" w:cs="宋体"/>
          <w:spacing w:val="10"/>
          <w:sz w:val="20"/>
          <w:szCs w:val="20"/>
        </w:rPr>
        <w:t>疏导</w:t>
      </w:r>
      <w:r>
        <w:rPr>
          <w:rFonts w:ascii="宋体" w:hAnsi="宋体" w:eastAsia="宋体" w:cs="宋体"/>
          <w:spacing w:val="-63"/>
          <w:sz w:val="20"/>
          <w:szCs w:val="20"/>
        </w:rPr>
        <w:t xml:space="preserve"> </w:t>
      </w:r>
      <w:r>
        <w:rPr>
          <w:rFonts w:ascii="宋体" w:hAnsi="宋体" w:eastAsia="宋体" w:cs="宋体"/>
          <w:spacing w:val="10"/>
          <w:sz w:val="20"/>
          <w:szCs w:val="20"/>
        </w:rPr>
        <w:t>”适用于经有关管理部门批复的专项维护及疏导方案，可按实计算相关费用，但未经管理部门</w:t>
      </w:r>
      <w:r>
        <w:rPr>
          <w:rFonts w:ascii="宋体" w:hAnsi="宋体" w:eastAsia="宋体" w:cs="宋体"/>
          <w:spacing w:val="8"/>
          <w:sz w:val="20"/>
          <w:szCs w:val="20"/>
        </w:rPr>
        <w:t>批复的相关方案不可计算。</w:t>
      </w:r>
    </w:p>
    <w:p>
      <w:pPr>
        <w:spacing w:before="17" w:line="276" w:lineRule="exact"/>
        <w:ind w:left="430"/>
        <w:rPr>
          <w:rFonts w:ascii="宋体" w:hAnsi="宋体" w:eastAsia="宋体" w:cs="宋体"/>
          <w:sz w:val="20"/>
          <w:szCs w:val="20"/>
        </w:rPr>
      </w:pPr>
      <w:r>
        <w:rPr>
          <w:rFonts w:ascii="宋体" w:hAnsi="宋体" w:eastAsia="宋体" w:cs="宋体"/>
          <w:b/>
          <w:bCs/>
          <w:spacing w:val="2"/>
          <w:position w:val="1"/>
          <w:sz w:val="20"/>
          <w:szCs w:val="20"/>
        </w:rPr>
        <w:t>29.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关于临时设施费的计价</w:t>
      </w:r>
    </w:p>
    <w:p>
      <w:pPr>
        <w:spacing w:before="126" w:line="368" w:lineRule="auto"/>
        <w:ind w:left="11" w:right="36" w:firstLine="428"/>
        <w:jc w:val="both"/>
        <w:rPr>
          <w:rFonts w:ascii="宋体" w:hAnsi="宋体" w:eastAsia="宋体" w:cs="宋体"/>
          <w:sz w:val="20"/>
          <w:szCs w:val="20"/>
        </w:rPr>
      </w:pPr>
      <w:r>
        <w:rPr>
          <w:rFonts w:ascii="宋体" w:hAnsi="宋体" w:eastAsia="宋体" w:cs="宋体"/>
          <w:spacing w:val="11"/>
          <w:sz w:val="20"/>
          <w:szCs w:val="20"/>
        </w:rPr>
        <w:t>临时设施费是指施工企业为进行建设工程施工所必</w:t>
      </w:r>
      <w:r>
        <w:rPr>
          <w:rFonts w:ascii="宋体" w:hAnsi="宋体" w:eastAsia="宋体" w:cs="宋体"/>
          <w:spacing w:val="10"/>
          <w:sz w:val="20"/>
          <w:szCs w:val="20"/>
        </w:rPr>
        <w:t>须搭设的生活、生产用的临时建设物、构筑</w:t>
      </w:r>
      <w:r>
        <w:rPr>
          <w:rFonts w:ascii="宋体" w:hAnsi="宋体" w:eastAsia="宋体" w:cs="宋体"/>
          <w:spacing w:val="11"/>
          <w:sz w:val="20"/>
          <w:szCs w:val="20"/>
        </w:rPr>
        <w:t>物和其他临时设施费用。不包括为社会车辆及行人通行、以及现场不具</w:t>
      </w:r>
      <w:r>
        <w:rPr>
          <w:rFonts w:ascii="宋体" w:hAnsi="宋体" w:eastAsia="宋体" w:cs="宋体"/>
          <w:spacing w:val="10"/>
          <w:sz w:val="20"/>
          <w:szCs w:val="20"/>
        </w:rPr>
        <w:t>备施工车辆通行条件所必需</w:t>
      </w:r>
      <w:r>
        <w:rPr>
          <w:rFonts w:ascii="宋体" w:hAnsi="宋体" w:eastAsia="宋体" w:cs="宋体"/>
          <w:spacing w:val="9"/>
          <w:sz w:val="20"/>
          <w:szCs w:val="20"/>
        </w:rPr>
        <w:t>的便道、便桥。施工组织设计中为桥梁施工提供工作平台及材料运输通道的便桥另计。</w:t>
      </w:r>
    </w:p>
    <w:p>
      <w:pPr>
        <w:spacing w:line="354" w:lineRule="auto"/>
        <w:ind w:left="10" w:right="33" w:firstLine="416"/>
        <w:jc w:val="both"/>
        <w:rPr>
          <w:rFonts w:ascii="宋体" w:hAnsi="宋体" w:eastAsia="宋体" w:cs="宋体"/>
          <w:sz w:val="20"/>
          <w:szCs w:val="20"/>
        </w:rPr>
      </w:pPr>
      <w:r>
        <w:rPr>
          <w:rFonts w:ascii="宋体" w:hAnsi="宋体" w:eastAsia="宋体" w:cs="宋体"/>
          <w:spacing w:val="11"/>
          <w:sz w:val="20"/>
          <w:szCs w:val="20"/>
        </w:rPr>
        <w:t>包括规定范围内的道路、水电、管线等临时设施，“规定范围内”是指：道路工</w:t>
      </w:r>
      <w:r>
        <w:rPr>
          <w:rFonts w:ascii="宋体" w:hAnsi="宋体" w:eastAsia="宋体" w:cs="宋体"/>
          <w:spacing w:val="10"/>
          <w:sz w:val="20"/>
          <w:szCs w:val="20"/>
        </w:rPr>
        <w:t>程以红线宽度</w:t>
      </w:r>
      <w:r>
        <w:rPr>
          <w:rFonts w:ascii="宋体" w:hAnsi="宋体" w:eastAsia="宋体" w:cs="宋体"/>
          <w:spacing w:val="12"/>
          <w:sz w:val="20"/>
          <w:szCs w:val="20"/>
        </w:rPr>
        <w:t>以外</w:t>
      </w:r>
      <w:r>
        <w:rPr>
          <w:rFonts w:ascii="宋体" w:hAnsi="宋体" w:eastAsia="宋体" w:cs="宋体"/>
          <w:spacing w:val="-23"/>
          <w:sz w:val="20"/>
          <w:szCs w:val="20"/>
        </w:rPr>
        <w:t xml:space="preserve"> </w:t>
      </w:r>
      <w:r>
        <w:rPr>
          <w:rFonts w:ascii="宋体" w:hAnsi="宋体" w:eastAsia="宋体" w:cs="宋体"/>
          <w:spacing w:val="12"/>
          <w:sz w:val="20"/>
          <w:szCs w:val="20"/>
        </w:rPr>
        <w:t>10m</w:t>
      </w:r>
      <w:r>
        <w:rPr>
          <w:rFonts w:ascii="宋体" w:hAnsi="宋体" w:eastAsia="宋体" w:cs="宋体"/>
          <w:spacing w:val="-41"/>
          <w:sz w:val="20"/>
          <w:szCs w:val="20"/>
        </w:rPr>
        <w:t xml:space="preserve"> </w:t>
      </w:r>
      <w:r>
        <w:rPr>
          <w:rFonts w:ascii="宋体" w:hAnsi="宋体" w:eastAsia="宋体" w:cs="宋体"/>
          <w:spacing w:val="12"/>
          <w:sz w:val="20"/>
          <w:szCs w:val="20"/>
        </w:rPr>
        <w:t>及道路施工长度为界；给水、排水、燃气、</w:t>
      </w:r>
      <w:r>
        <w:rPr>
          <w:rFonts w:ascii="宋体" w:hAnsi="宋体" w:eastAsia="宋体" w:cs="宋体"/>
          <w:spacing w:val="11"/>
          <w:sz w:val="20"/>
          <w:szCs w:val="20"/>
        </w:rPr>
        <w:t>供热以沟槽上口宽加</w:t>
      </w:r>
      <w:r>
        <w:rPr>
          <w:rFonts w:ascii="宋体" w:hAnsi="宋体" w:eastAsia="宋体" w:cs="宋体"/>
          <w:spacing w:val="-39"/>
          <w:sz w:val="20"/>
          <w:szCs w:val="20"/>
        </w:rPr>
        <w:t xml:space="preserve"> </w:t>
      </w:r>
      <w:r>
        <w:rPr>
          <w:rFonts w:ascii="宋体" w:hAnsi="宋体" w:eastAsia="宋体" w:cs="宋体"/>
          <w:spacing w:val="11"/>
          <w:sz w:val="20"/>
          <w:szCs w:val="20"/>
        </w:rPr>
        <w:t>5m</w:t>
      </w:r>
      <w:r>
        <w:rPr>
          <w:rFonts w:ascii="宋体" w:hAnsi="宋体" w:eastAsia="宋体" w:cs="宋体"/>
          <w:spacing w:val="-41"/>
          <w:sz w:val="20"/>
          <w:szCs w:val="20"/>
        </w:rPr>
        <w:t xml:space="preserve"> </w:t>
      </w:r>
      <w:r>
        <w:rPr>
          <w:rFonts w:ascii="宋体" w:hAnsi="宋体" w:eastAsia="宋体" w:cs="宋体"/>
          <w:spacing w:val="11"/>
          <w:sz w:val="20"/>
          <w:szCs w:val="20"/>
        </w:rPr>
        <w:t>及管沟长度为界；桥</w:t>
      </w:r>
      <w:r>
        <w:rPr>
          <w:rFonts w:ascii="宋体" w:hAnsi="宋体" w:eastAsia="宋体" w:cs="宋体"/>
          <w:spacing w:val="8"/>
          <w:sz w:val="20"/>
          <w:szCs w:val="20"/>
        </w:rPr>
        <w:t>涵以施工宽度及施工长度为界。</w:t>
      </w:r>
    </w:p>
    <w:p>
      <w:pPr>
        <w:spacing w:before="50" w:line="277" w:lineRule="exact"/>
        <w:ind w:left="433"/>
        <w:rPr>
          <w:rFonts w:ascii="宋体" w:hAnsi="宋体" w:eastAsia="宋体" w:cs="宋体"/>
          <w:sz w:val="20"/>
          <w:szCs w:val="20"/>
        </w:rPr>
      </w:pPr>
      <w:r>
        <w:rPr>
          <w:rFonts w:ascii="宋体" w:hAnsi="宋体" w:eastAsia="宋体" w:cs="宋体"/>
          <w:b/>
          <w:bCs/>
          <w:spacing w:val="5"/>
          <w:position w:val="1"/>
          <w:sz w:val="20"/>
          <w:szCs w:val="20"/>
        </w:rPr>
        <w:t>30.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关于道路工程中的交通标线、标记等工程量的计算</w:t>
      </w:r>
    </w:p>
    <w:p>
      <w:pPr>
        <w:spacing w:before="126" w:line="366" w:lineRule="auto"/>
        <w:ind w:right="33" w:firstLine="429"/>
        <w:jc w:val="both"/>
        <w:rPr>
          <w:rFonts w:ascii="宋体" w:hAnsi="宋体" w:eastAsia="宋体" w:cs="宋体"/>
          <w:sz w:val="20"/>
          <w:szCs w:val="20"/>
        </w:rPr>
      </w:pPr>
      <w:r>
        <w:rPr>
          <w:rFonts w:ascii="宋体" w:hAnsi="宋体" w:eastAsia="宋体" w:cs="宋体"/>
          <w:spacing w:val="11"/>
          <w:sz w:val="20"/>
          <w:szCs w:val="20"/>
        </w:rPr>
        <w:t>道路工程中的横道线、单实线、双实线、虚线、网状线及分合流岛标线等路</w:t>
      </w:r>
      <w:r>
        <w:rPr>
          <w:rFonts w:ascii="宋体" w:hAnsi="宋体" w:eastAsia="宋体" w:cs="宋体"/>
          <w:spacing w:val="10"/>
          <w:sz w:val="20"/>
          <w:szCs w:val="20"/>
        </w:rPr>
        <w:t>面标线，均按设计</w:t>
      </w:r>
      <w:r>
        <w:rPr>
          <w:rFonts w:ascii="宋体" w:hAnsi="宋体" w:eastAsia="宋体" w:cs="宋体"/>
          <w:spacing w:val="11"/>
          <w:sz w:val="20"/>
          <w:szCs w:val="20"/>
        </w:rPr>
        <w:t>图示尺寸以标线漆画的净面积计算。文字、字符等按单体设计图示尺寸以外围矩形面积计算。箭头</w:t>
      </w:r>
      <w:r>
        <w:rPr>
          <w:rFonts w:ascii="宋体" w:hAnsi="宋体" w:eastAsia="宋体" w:cs="宋体"/>
          <w:spacing w:val="9"/>
          <w:sz w:val="20"/>
          <w:szCs w:val="20"/>
        </w:rPr>
        <w:t>（含直线段、斜线 段、弯曲段及箭头部分）按线段所围实际面积计算。</w:t>
      </w:r>
    </w:p>
    <w:p>
      <w:pPr>
        <w:spacing w:line="284" w:lineRule="exact"/>
        <w:ind w:left="433"/>
        <w:rPr>
          <w:rFonts w:ascii="宋体" w:hAnsi="宋体" w:eastAsia="宋体" w:cs="宋体"/>
          <w:sz w:val="20"/>
          <w:szCs w:val="20"/>
        </w:rPr>
      </w:pPr>
      <w:r>
        <w:rPr>
          <w:rFonts w:ascii="宋体" w:hAnsi="宋体" w:eastAsia="宋体" w:cs="宋体"/>
          <w:b/>
          <w:bCs/>
          <w:spacing w:val="5"/>
          <w:position w:val="1"/>
          <w:sz w:val="20"/>
          <w:szCs w:val="20"/>
        </w:rPr>
        <w:t>31.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关于排水工程中的渠道（方沟）防水卷材附加层的计价</w:t>
      </w:r>
    </w:p>
    <w:p>
      <w:pPr>
        <w:spacing w:line="284" w:lineRule="exact"/>
        <w:rPr>
          <w:rFonts w:ascii="宋体" w:hAnsi="宋体" w:eastAsia="宋体" w:cs="宋体"/>
          <w:sz w:val="20"/>
          <w:szCs w:val="20"/>
        </w:rPr>
        <w:sectPr>
          <w:footerReference r:id="rId177" w:type="default"/>
          <w:pgSz w:w="11906" w:h="16839"/>
          <w:pgMar w:top="400" w:right="1384" w:bottom="1212" w:left="1411" w:header="0" w:footer="897" w:gutter="0"/>
        </w:sect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65" w:line="355" w:lineRule="auto"/>
        <w:ind w:left="6" w:right="79" w:firstLine="421"/>
        <w:rPr>
          <w:rFonts w:ascii="宋体" w:hAnsi="宋体" w:eastAsia="宋体" w:cs="宋体"/>
          <w:sz w:val="20"/>
          <w:szCs w:val="20"/>
        </w:rPr>
      </w:pPr>
      <w:r>
        <w:rPr>
          <w:rFonts w:ascii="宋体" w:hAnsi="宋体" w:eastAsia="宋体" w:cs="宋体"/>
          <w:spacing w:val="11"/>
          <w:sz w:val="20"/>
          <w:szCs w:val="20"/>
        </w:rPr>
        <w:t>排水工程中的渠道（方沟）防水卷材定额不包括附加层，附加层套用卷材防水</w:t>
      </w:r>
      <w:r>
        <w:rPr>
          <w:rFonts w:ascii="宋体" w:hAnsi="宋体" w:eastAsia="宋体" w:cs="宋体"/>
          <w:spacing w:val="10"/>
          <w:sz w:val="20"/>
          <w:szCs w:val="20"/>
        </w:rPr>
        <w:t>相应子目另行计</w:t>
      </w:r>
      <w:r>
        <w:rPr>
          <w:rFonts w:ascii="宋体" w:hAnsi="宋体" w:eastAsia="宋体" w:cs="宋体"/>
          <w:spacing w:val="9"/>
          <w:sz w:val="20"/>
          <w:szCs w:val="20"/>
        </w:rPr>
        <w:t>算，其工程量按实际铺贴面积计算。</w:t>
      </w:r>
    </w:p>
    <w:p>
      <w:pPr>
        <w:spacing w:before="41" w:line="277" w:lineRule="exact"/>
        <w:ind w:left="433"/>
        <w:rPr>
          <w:rFonts w:ascii="宋体" w:hAnsi="宋体" w:eastAsia="宋体" w:cs="宋体"/>
          <w:sz w:val="20"/>
          <w:szCs w:val="20"/>
        </w:rPr>
      </w:pPr>
      <w:r>
        <w:rPr>
          <w:rFonts w:ascii="宋体" w:hAnsi="宋体" w:eastAsia="宋体" w:cs="宋体"/>
          <w:b/>
          <w:bCs/>
          <w:spacing w:val="2"/>
          <w:position w:val="1"/>
          <w:sz w:val="20"/>
          <w:szCs w:val="20"/>
        </w:rPr>
        <w:t>32.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关于石方工程量的计算</w:t>
      </w:r>
    </w:p>
    <w:p>
      <w:pPr>
        <w:spacing w:before="120" w:line="356" w:lineRule="auto"/>
        <w:ind w:left="6" w:firstLine="422"/>
        <w:jc w:val="both"/>
        <w:rPr>
          <w:rFonts w:ascii="宋体" w:hAnsi="宋体" w:eastAsia="宋体" w:cs="宋体"/>
          <w:sz w:val="20"/>
          <w:szCs w:val="20"/>
        </w:rPr>
      </w:pPr>
      <w:r>
        <w:rPr>
          <w:rFonts w:ascii="宋体" w:hAnsi="宋体" w:eastAsia="宋体" w:cs="宋体"/>
          <w:spacing w:val="8"/>
          <w:sz w:val="20"/>
          <w:szCs w:val="20"/>
        </w:rPr>
        <w:t>石方工程量按设计图示基础尺寸，加工作面、加允许超挖量计算，开挖坡面每侧允许超挖量:极</w:t>
      </w:r>
      <w:r>
        <w:rPr>
          <w:rFonts w:ascii="宋体" w:hAnsi="宋体" w:eastAsia="宋体" w:cs="宋体"/>
          <w:spacing w:val="11"/>
          <w:sz w:val="20"/>
          <w:szCs w:val="20"/>
        </w:rPr>
        <w:t>软岩、软岩 20</w:t>
      </w:r>
      <w:r>
        <w:rPr>
          <w:rFonts w:ascii="宋体" w:hAnsi="宋体" w:eastAsia="宋体" w:cs="宋体"/>
          <w:sz w:val="20"/>
          <w:szCs w:val="20"/>
        </w:rPr>
        <w:t>cm</w:t>
      </w:r>
      <w:r>
        <w:rPr>
          <w:rFonts w:ascii="宋体" w:hAnsi="宋体" w:eastAsia="宋体" w:cs="宋体"/>
          <w:spacing w:val="11"/>
          <w:sz w:val="20"/>
          <w:szCs w:val="20"/>
        </w:rPr>
        <w:t>，较软岩、硬质岩</w:t>
      </w:r>
      <w:r>
        <w:rPr>
          <w:rFonts w:ascii="宋体" w:hAnsi="宋体" w:eastAsia="宋体" w:cs="宋体"/>
          <w:spacing w:val="-5"/>
          <w:sz w:val="20"/>
          <w:szCs w:val="20"/>
        </w:rPr>
        <w:t xml:space="preserve"> </w:t>
      </w:r>
      <w:r>
        <w:rPr>
          <w:rFonts w:ascii="宋体" w:hAnsi="宋体" w:eastAsia="宋体" w:cs="宋体"/>
          <w:spacing w:val="11"/>
          <w:sz w:val="20"/>
          <w:szCs w:val="20"/>
        </w:rPr>
        <w:t>15</w:t>
      </w:r>
      <w:r>
        <w:rPr>
          <w:rFonts w:ascii="宋体" w:hAnsi="宋体" w:eastAsia="宋体" w:cs="宋体"/>
          <w:sz w:val="20"/>
          <w:szCs w:val="20"/>
        </w:rPr>
        <w:t>cm</w:t>
      </w:r>
      <w:r>
        <w:rPr>
          <w:rFonts w:ascii="宋体" w:hAnsi="宋体" w:eastAsia="宋体" w:cs="宋体"/>
          <w:spacing w:val="11"/>
          <w:sz w:val="20"/>
          <w:szCs w:val="20"/>
        </w:rPr>
        <w:t>，不论实际超挖量大小，均按允许超挖量计算，基底不得</w:t>
      </w:r>
      <w:r>
        <w:rPr>
          <w:rFonts w:ascii="宋体" w:hAnsi="宋体" w:eastAsia="宋体" w:cs="宋体"/>
          <w:spacing w:val="8"/>
          <w:sz w:val="20"/>
          <w:szCs w:val="20"/>
        </w:rPr>
        <w:t>计算超挖工程量。人工凿石、切割机切割石方、小型机械破碎岩石定额子目不计算石</w:t>
      </w:r>
      <w:r>
        <w:rPr>
          <w:rFonts w:ascii="宋体" w:hAnsi="宋体" w:eastAsia="宋体" w:cs="宋体"/>
          <w:spacing w:val="7"/>
          <w:sz w:val="20"/>
          <w:szCs w:val="20"/>
        </w:rPr>
        <w:t>方超挖工程量。</w:t>
      </w:r>
    </w:p>
    <w:p>
      <w:pPr>
        <w:spacing w:before="43" w:line="276" w:lineRule="exact"/>
        <w:ind w:left="433"/>
        <w:rPr>
          <w:rFonts w:ascii="宋体" w:hAnsi="宋体" w:eastAsia="宋体" w:cs="宋体"/>
          <w:sz w:val="20"/>
          <w:szCs w:val="20"/>
        </w:rPr>
      </w:pPr>
      <w:r>
        <w:rPr>
          <w:rFonts w:ascii="宋体" w:hAnsi="宋体" w:eastAsia="宋体" w:cs="宋体"/>
          <w:b/>
          <w:bCs/>
          <w:spacing w:val="4"/>
          <w:position w:val="1"/>
          <w:sz w:val="20"/>
          <w:szCs w:val="20"/>
        </w:rPr>
        <w:t>33.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关于液压破碎锤拆除混凝土路面的计价</w:t>
      </w:r>
    </w:p>
    <w:p>
      <w:pPr>
        <w:spacing w:before="125" w:line="369" w:lineRule="auto"/>
        <w:ind w:right="79" w:firstLine="430"/>
        <w:jc w:val="both"/>
        <w:rPr>
          <w:rFonts w:ascii="宋体" w:hAnsi="宋体" w:eastAsia="宋体" w:cs="宋体"/>
          <w:sz w:val="20"/>
          <w:szCs w:val="20"/>
        </w:rPr>
      </w:pPr>
      <w:r>
        <w:rPr>
          <w:rFonts w:ascii="宋体" w:hAnsi="宋体" w:eastAsia="宋体" w:cs="宋体"/>
          <w:spacing w:val="8"/>
          <w:sz w:val="20"/>
          <w:szCs w:val="20"/>
        </w:rPr>
        <w:t>液压破碎锤拆除无筋混凝土路面和有筋混凝土路</w:t>
      </w:r>
      <w:r>
        <w:rPr>
          <w:rFonts w:ascii="宋体" w:hAnsi="宋体" w:eastAsia="宋体" w:cs="宋体"/>
          <w:spacing w:val="7"/>
          <w:sz w:val="20"/>
          <w:szCs w:val="20"/>
        </w:rPr>
        <w:t>面（1-3-91,92</w:t>
      </w:r>
      <w:r>
        <w:rPr>
          <w:rFonts w:ascii="宋体" w:hAnsi="宋体" w:eastAsia="宋体" w:cs="宋体"/>
          <w:spacing w:val="-15"/>
          <w:sz w:val="20"/>
          <w:szCs w:val="20"/>
        </w:rPr>
        <w:t>）</w:t>
      </w:r>
      <w:r>
        <w:rPr>
          <w:rFonts w:ascii="宋体" w:hAnsi="宋体" w:eastAsia="宋体" w:cs="宋体"/>
          <w:spacing w:val="-57"/>
          <w:sz w:val="20"/>
          <w:szCs w:val="20"/>
        </w:rPr>
        <w:t xml:space="preserve"> </w:t>
      </w:r>
      <w:r>
        <w:rPr>
          <w:rFonts w:ascii="宋体" w:hAnsi="宋体" w:eastAsia="宋体" w:cs="宋体"/>
          <w:spacing w:val="-15"/>
          <w:sz w:val="20"/>
          <w:szCs w:val="20"/>
        </w:rPr>
        <w:t>，</w:t>
      </w:r>
      <w:r>
        <w:rPr>
          <w:rFonts w:ascii="宋体" w:hAnsi="宋体" w:eastAsia="宋体" w:cs="宋体"/>
          <w:spacing w:val="7"/>
          <w:sz w:val="20"/>
          <w:szCs w:val="20"/>
        </w:rPr>
        <w:t>计量单位为百平方米，拆除</w:t>
      </w:r>
      <w:r>
        <w:rPr>
          <w:rFonts w:ascii="宋体" w:hAnsi="宋体" w:eastAsia="宋体" w:cs="宋体"/>
          <w:spacing w:val="14"/>
          <w:sz w:val="20"/>
          <w:szCs w:val="20"/>
        </w:rPr>
        <w:t>厚度综合考虑</w:t>
      </w:r>
      <w:r>
        <w:rPr>
          <w:rFonts w:ascii="宋体" w:hAnsi="宋体" w:eastAsia="宋体" w:cs="宋体"/>
          <w:spacing w:val="-58"/>
          <w:sz w:val="20"/>
          <w:szCs w:val="20"/>
        </w:rPr>
        <w:t xml:space="preserve"> </w:t>
      </w:r>
      <w:r>
        <w:rPr>
          <w:rFonts w:ascii="宋体" w:hAnsi="宋体" w:eastAsia="宋体" w:cs="宋体"/>
          <w:spacing w:val="14"/>
          <w:sz w:val="20"/>
          <w:szCs w:val="20"/>
        </w:rPr>
        <w:t>；拆除路面下各类多合土基层时</w:t>
      </w:r>
      <w:r>
        <w:rPr>
          <w:rFonts w:ascii="宋体" w:hAnsi="宋体" w:eastAsia="宋体" w:cs="宋体"/>
          <w:spacing w:val="-57"/>
          <w:sz w:val="20"/>
          <w:szCs w:val="20"/>
        </w:rPr>
        <w:t xml:space="preserve"> </w:t>
      </w:r>
      <w:r>
        <w:rPr>
          <w:rFonts w:ascii="宋体" w:hAnsi="宋体" w:eastAsia="宋体" w:cs="宋体"/>
          <w:spacing w:val="14"/>
          <w:sz w:val="20"/>
          <w:szCs w:val="20"/>
        </w:rPr>
        <w:t>，另执行“液压锤拆除沥青面层及基层”定额子目</w:t>
      </w:r>
      <w:r>
        <w:rPr>
          <w:rFonts w:ascii="宋体" w:hAnsi="宋体" w:eastAsia="宋体" w:cs="宋体"/>
          <w:spacing w:val="5"/>
          <w:sz w:val="20"/>
          <w:szCs w:val="20"/>
        </w:rPr>
        <w:t>（</w:t>
      </w:r>
      <w:r>
        <w:rPr>
          <w:rFonts w:ascii="宋体" w:hAnsi="宋体" w:eastAsia="宋体" w:cs="宋体"/>
          <w:spacing w:val="-46"/>
          <w:sz w:val="20"/>
          <w:szCs w:val="20"/>
        </w:rPr>
        <w:t xml:space="preserve"> </w:t>
      </w:r>
      <w:r>
        <w:rPr>
          <w:rFonts w:ascii="宋体" w:hAnsi="宋体" w:eastAsia="宋体" w:cs="宋体"/>
          <w:spacing w:val="5"/>
          <w:sz w:val="20"/>
          <w:szCs w:val="20"/>
        </w:rPr>
        <w:t>1-3-93</w:t>
      </w:r>
      <w:r>
        <w:rPr>
          <w:rFonts w:ascii="宋体" w:hAnsi="宋体" w:eastAsia="宋体" w:cs="宋体"/>
          <w:spacing w:val="-3"/>
          <w:sz w:val="20"/>
          <w:szCs w:val="20"/>
        </w:rPr>
        <w:t>）</w:t>
      </w:r>
      <w:r>
        <w:rPr>
          <w:rFonts w:ascii="宋体" w:hAnsi="宋体" w:eastAsia="宋体" w:cs="宋体"/>
          <w:spacing w:val="-50"/>
          <w:sz w:val="20"/>
          <w:szCs w:val="20"/>
        </w:rPr>
        <w:t xml:space="preserve"> </w:t>
      </w:r>
      <w:r>
        <w:rPr>
          <w:rFonts w:ascii="宋体" w:hAnsi="宋体" w:eastAsia="宋体" w:cs="宋体"/>
          <w:spacing w:val="-3"/>
          <w:sz w:val="20"/>
          <w:szCs w:val="20"/>
        </w:rPr>
        <w:t>，</w:t>
      </w:r>
      <w:r>
        <w:rPr>
          <w:rFonts w:ascii="宋体" w:hAnsi="宋体" w:eastAsia="宋体" w:cs="宋体"/>
          <w:spacing w:val="5"/>
          <w:sz w:val="20"/>
          <w:szCs w:val="20"/>
        </w:rPr>
        <w:t>工程量按拆除旧路面积计算。</w:t>
      </w:r>
    </w:p>
    <w:p>
      <w:pPr>
        <w:spacing w:line="276" w:lineRule="exact"/>
        <w:ind w:left="433"/>
        <w:rPr>
          <w:rFonts w:ascii="宋体" w:hAnsi="宋体" w:eastAsia="宋体" w:cs="宋体"/>
          <w:sz w:val="20"/>
          <w:szCs w:val="20"/>
        </w:rPr>
      </w:pPr>
      <w:r>
        <w:rPr>
          <w:rFonts w:ascii="宋体" w:hAnsi="宋体" w:eastAsia="宋体" w:cs="宋体"/>
          <w:b/>
          <w:bCs/>
          <w:spacing w:val="6"/>
          <w:position w:val="1"/>
          <w:sz w:val="20"/>
          <w:szCs w:val="20"/>
        </w:rPr>
        <w:t>34.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关于液压破碎锤拆除旧路后清碴、成堆</w:t>
      </w:r>
      <w:r>
        <w:rPr>
          <w:rFonts w:ascii="宋体" w:hAnsi="宋体" w:eastAsia="宋体" w:cs="宋体"/>
          <w:b/>
          <w:bCs/>
          <w:spacing w:val="5"/>
          <w:position w:val="1"/>
          <w:sz w:val="20"/>
          <w:szCs w:val="20"/>
        </w:rPr>
        <w:t>等清理工作的计价</w:t>
      </w:r>
    </w:p>
    <w:p>
      <w:pPr>
        <w:spacing w:before="128" w:line="223" w:lineRule="auto"/>
        <w:ind w:left="430"/>
        <w:rPr>
          <w:rFonts w:ascii="宋体" w:hAnsi="宋体" w:eastAsia="宋体" w:cs="宋体"/>
          <w:sz w:val="20"/>
          <w:szCs w:val="20"/>
        </w:rPr>
      </w:pPr>
      <w:r>
        <w:rPr>
          <w:rFonts w:ascii="宋体" w:hAnsi="宋体" w:eastAsia="宋体" w:cs="宋体"/>
          <w:spacing w:val="10"/>
          <w:sz w:val="20"/>
          <w:szCs w:val="20"/>
        </w:rPr>
        <w:t>液压破碎锤拆除旧路定额子目不包括路面破碎后</w:t>
      </w:r>
      <w:r>
        <w:rPr>
          <w:rFonts w:ascii="宋体" w:hAnsi="宋体" w:eastAsia="宋体" w:cs="宋体"/>
          <w:spacing w:val="9"/>
          <w:sz w:val="20"/>
          <w:szCs w:val="20"/>
        </w:rPr>
        <w:t>的清碴、成堆等内容，发生时应另行计算。</w:t>
      </w:r>
    </w:p>
    <w:p>
      <w:pPr>
        <w:spacing w:before="154" w:line="276" w:lineRule="exact"/>
        <w:ind w:left="433"/>
        <w:rPr>
          <w:rFonts w:ascii="宋体" w:hAnsi="宋体" w:eastAsia="宋体" w:cs="宋体"/>
          <w:sz w:val="20"/>
          <w:szCs w:val="20"/>
        </w:rPr>
      </w:pPr>
      <w:r>
        <w:rPr>
          <w:rFonts w:ascii="宋体" w:hAnsi="宋体" w:eastAsia="宋体" w:cs="宋体"/>
          <w:b/>
          <w:bCs/>
          <w:spacing w:val="4"/>
          <w:position w:val="1"/>
          <w:sz w:val="20"/>
          <w:szCs w:val="20"/>
        </w:rPr>
        <w:t>35.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关于路面铣刨、路面基层铣刨的计价</w:t>
      </w:r>
    </w:p>
    <w:p>
      <w:pPr>
        <w:spacing w:before="125" w:line="368" w:lineRule="auto"/>
        <w:ind w:left="8" w:firstLine="420"/>
        <w:jc w:val="both"/>
        <w:rPr>
          <w:rFonts w:ascii="宋体" w:hAnsi="宋体" w:eastAsia="宋体" w:cs="宋体"/>
          <w:sz w:val="20"/>
          <w:szCs w:val="20"/>
        </w:rPr>
      </w:pPr>
      <w:r>
        <w:rPr>
          <w:rFonts w:ascii="宋体" w:hAnsi="宋体" w:eastAsia="宋体" w:cs="宋体"/>
          <w:spacing w:val="11"/>
          <w:sz w:val="20"/>
          <w:szCs w:val="20"/>
        </w:rPr>
        <w:t>路面铣刨定额按一次铣刨厚度</w:t>
      </w:r>
      <w:r>
        <w:rPr>
          <w:rFonts w:ascii="宋体" w:hAnsi="宋体" w:eastAsia="宋体" w:cs="宋体"/>
          <w:spacing w:val="-31"/>
          <w:sz w:val="20"/>
          <w:szCs w:val="20"/>
        </w:rPr>
        <w:t xml:space="preserve"> </w:t>
      </w:r>
      <w:r>
        <w:rPr>
          <w:rFonts w:ascii="宋体" w:hAnsi="宋体" w:eastAsia="宋体" w:cs="宋体"/>
          <w:spacing w:val="11"/>
          <w:sz w:val="20"/>
          <w:szCs w:val="20"/>
        </w:rPr>
        <w:t>5</w:t>
      </w:r>
      <w:r>
        <w:rPr>
          <w:rFonts w:ascii="宋体" w:hAnsi="宋体" w:eastAsia="宋体" w:cs="宋体"/>
          <w:sz w:val="20"/>
          <w:szCs w:val="20"/>
        </w:rPr>
        <w:t>cm</w:t>
      </w:r>
      <w:r>
        <w:rPr>
          <w:rFonts w:ascii="宋体" w:hAnsi="宋体" w:eastAsia="宋体" w:cs="宋体"/>
          <w:spacing w:val="-39"/>
          <w:sz w:val="20"/>
          <w:szCs w:val="20"/>
        </w:rPr>
        <w:t xml:space="preserve"> </w:t>
      </w:r>
      <w:r>
        <w:rPr>
          <w:rFonts w:ascii="宋体" w:hAnsi="宋体" w:eastAsia="宋体" w:cs="宋体"/>
          <w:spacing w:val="11"/>
          <w:sz w:val="20"/>
          <w:szCs w:val="20"/>
        </w:rPr>
        <w:t>考虑，铣刨</w:t>
      </w:r>
      <w:r>
        <w:rPr>
          <w:rFonts w:ascii="宋体" w:hAnsi="宋体" w:eastAsia="宋体" w:cs="宋体"/>
          <w:spacing w:val="-39"/>
          <w:sz w:val="20"/>
          <w:szCs w:val="20"/>
        </w:rPr>
        <w:t xml:space="preserve"> </w:t>
      </w:r>
      <w:r>
        <w:rPr>
          <w:rFonts w:ascii="宋体" w:hAnsi="宋体" w:eastAsia="宋体" w:cs="宋体"/>
          <w:spacing w:val="11"/>
          <w:sz w:val="20"/>
          <w:szCs w:val="20"/>
        </w:rPr>
        <w:t>5</w:t>
      </w:r>
      <w:r>
        <w:rPr>
          <w:rFonts w:ascii="宋体" w:hAnsi="宋体" w:eastAsia="宋体" w:cs="宋体"/>
          <w:sz w:val="20"/>
          <w:szCs w:val="20"/>
        </w:rPr>
        <w:t>cm</w:t>
      </w:r>
      <w:r>
        <w:rPr>
          <w:rFonts w:ascii="宋体" w:hAnsi="宋体" w:eastAsia="宋体" w:cs="宋体"/>
          <w:spacing w:val="-22"/>
          <w:sz w:val="20"/>
          <w:szCs w:val="20"/>
        </w:rPr>
        <w:t xml:space="preserve"> </w:t>
      </w:r>
      <w:r>
        <w:rPr>
          <w:rFonts w:ascii="宋体" w:hAnsi="宋体" w:eastAsia="宋体" w:cs="宋体"/>
          <w:spacing w:val="11"/>
          <w:sz w:val="20"/>
          <w:szCs w:val="20"/>
        </w:rPr>
        <w:t>以内时</w:t>
      </w:r>
      <w:r>
        <w:rPr>
          <w:rFonts w:ascii="宋体" w:hAnsi="宋体" w:eastAsia="宋体" w:cs="宋体"/>
          <w:spacing w:val="-60"/>
          <w:sz w:val="20"/>
          <w:szCs w:val="20"/>
        </w:rPr>
        <w:t xml:space="preserve"> </w:t>
      </w:r>
      <w:r>
        <w:rPr>
          <w:rFonts w:ascii="宋体" w:hAnsi="宋体" w:eastAsia="宋体" w:cs="宋体"/>
          <w:spacing w:val="11"/>
          <w:sz w:val="20"/>
          <w:szCs w:val="20"/>
        </w:rPr>
        <w:t>，套用（基本层+每增</w:t>
      </w:r>
      <w:r>
        <w:rPr>
          <w:rFonts w:ascii="宋体" w:hAnsi="宋体" w:eastAsia="宋体" w:cs="宋体"/>
          <w:spacing w:val="-22"/>
          <w:sz w:val="20"/>
          <w:szCs w:val="20"/>
        </w:rPr>
        <w:t xml:space="preserve"> </w:t>
      </w:r>
      <w:r>
        <w:rPr>
          <w:rFonts w:ascii="宋体" w:hAnsi="宋体" w:eastAsia="宋体" w:cs="宋体"/>
          <w:spacing w:val="11"/>
          <w:sz w:val="20"/>
          <w:szCs w:val="20"/>
        </w:rPr>
        <w:t>1</w:t>
      </w:r>
      <w:r>
        <w:rPr>
          <w:rFonts w:ascii="宋体" w:hAnsi="宋体" w:eastAsia="宋体" w:cs="宋体"/>
          <w:sz w:val="20"/>
          <w:szCs w:val="20"/>
        </w:rPr>
        <w:t>cm</w:t>
      </w:r>
      <w:r>
        <w:rPr>
          <w:rFonts w:ascii="宋体" w:hAnsi="宋体" w:eastAsia="宋体" w:cs="宋体"/>
          <w:spacing w:val="11"/>
          <w:sz w:val="20"/>
          <w:szCs w:val="20"/>
        </w:rPr>
        <w:t>）</w:t>
      </w:r>
      <w:r>
        <w:rPr>
          <w:rFonts w:ascii="宋体" w:hAnsi="宋体" w:eastAsia="宋体" w:cs="宋体"/>
          <w:spacing w:val="-59"/>
          <w:sz w:val="20"/>
          <w:szCs w:val="20"/>
        </w:rPr>
        <w:t xml:space="preserve"> </w:t>
      </w:r>
      <w:r>
        <w:rPr>
          <w:rFonts w:ascii="宋体" w:hAnsi="宋体" w:eastAsia="宋体" w:cs="宋体"/>
          <w:spacing w:val="11"/>
          <w:sz w:val="20"/>
          <w:szCs w:val="20"/>
        </w:rPr>
        <w:t>。如果</w:t>
      </w:r>
      <w:r>
        <w:rPr>
          <w:rFonts w:ascii="宋体" w:hAnsi="宋体" w:eastAsia="宋体" w:cs="宋体"/>
          <w:spacing w:val="4"/>
          <w:sz w:val="20"/>
          <w:szCs w:val="20"/>
        </w:rPr>
        <w:t>铣刨厚度超过</w:t>
      </w:r>
      <w:r>
        <w:rPr>
          <w:rFonts w:ascii="宋体" w:hAnsi="宋体" w:eastAsia="宋体" w:cs="宋体"/>
          <w:spacing w:val="-30"/>
          <w:sz w:val="20"/>
          <w:szCs w:val="20"/>
        </w:rPr>
        <w:t xml:space="preserve"> </w:t>
      </w:r>
      <w:r>
        <w:rPr>
          <w:rFonts w:ascii="宋体" w:hAnsi="宋体" w:eastAsia="宋体" w:cs="宋体"/>
          <w:spacing w:val="4"/>
          <w:sz w:val="20"/>
          <w:szCs w:val="20"/>
        </w:rPr>
        <w:t>5</w:t>
      </w:r>
      <w:r>
        <w:rPr>
          <w:rFonts w:ascii="宋体" w:hAnsi="宋体" w:eastAsia="宋体" w:cs="宋体"/>
          <w:sz w:val="20"/>
          <w:szCs w:val="20"/>
        </w:rPr>
        <w:t>cm</w:t>
      </w:r>
      <w:r>
        <w:rPr>
          <w:rFonts w:ascii="宋体" w:hAnsi="宋体" w:eastAsia="宋体" w:cs="宋体"/>
          <w:spacing w:val="4"/>
          <w:sz w:val="20"/>
          <w:szCs w:val="20"/>
        </w:rPr>
        <w:t>，按分层铣刨计算，比如铣刨</w:t>
      </w:r>
      <w:r>
        <w:rPr>
          <w:rFonts w:ascii="宋体" w:hAnsi="宋体" w:eastAsia="宋体" w:cs="宋体"/>
          <w:spacing w:val="-41"/>
          <w:sz w:val="20"/>
          <w:szCs w:val="20"/>
        </w:rPr>
        <w:t xml:space="preserve"> </w:t>
      </w:r>
      <w:r>
        <w:rPr>
          <w:rFonts w:ascii="宋体" w:hAnsi="宋体" w:eastAsia="宋体" w:cs="宋体"/>
          <w:spacing w:val="4"/>
          <w:sz w:val="20"/>
          <w:szCs w:val="20"/>
        </w:rPr>
        <w:t>7</w:t>
      </w:r>
      <w:r>
        <w:rPr>
          <w:rFonts w:ascii="宋体" w:hAnsi="宋体" w:eastAsia="宋体" w:cs="宋体"/>
          <w:sz w:val="20"/>
          <w:szCs w:val="20"/>
        </w:rPr>
        <w:t>cm</w:t>
      </w:r>
      <w:r>
        <w:rPr>
          <w:rFonts w:ascii="宋体" w:hAnsi="宋体" w:eastAsia="宋体" w:cs="宋体"/>
          <w:spacing w:val="-38"/>
          <w:sz w:val="20"/>
          <w:szCs w:val="20"/>
        </w:rPr>
        <w:t xml:space="preserve"> </w:t>
      </w:r>
      <w:r>
        <w:rPr>
          <w:rFonts w:ascii="宋体" w:hAnsi="宋体" w:eastAsia="宋体" w:cs="宋体"/>
          <w:spacing w:val="4"/>
          <w:sz w:val="20"/>
          <w:szCs w:val="20"/>
        </w:rPr>
        <w:t>沥青路面，应套用（</w:t>
      </w:r>
      <w:r>
        <w:rPr>
          <w:rFonts w:ascii="宋体" w:hAnsi="宋体" w:eastAsia="宋体" w:cs="宋体"/>
          <w:spacing w:val="-49"/>
          <w:sz w:val="20"/>
          <w:szCs w:val="20"/>
        </w:rPr>
        <w:t xml:space="preserve"> </w:t>
      </w:r>
      <w:r>
        <w:rPr>
          <w:rFonts w:ascii="宋体" w:hAnsi="宋体" w:eastAsia="宋体" w:cs="宋体"/>
          <w:spacing w:val="4"/>
          <w:sz w:val="20"/>
          <w:szCs w:val="20"/>
        </w:rPr>
        <w:t>1-3-82）</w:t>
      </w:r>
      <w:r>
        <w:rPr>
          <w:rFonts w:ascii="宋体" w:hAnsi="宋体" w:eastAsia="宋体" w:cs="宋体"/>
          <w:spacing w:val="-46"/>
          <w:sz w:val="20"/>
          <w:szCs w:val="20"/>
        </w:rPr>
        <w:t xml:space="preserve"> </w:t>
      </w:r>
      <w:r>
        <w:rPr>
          <w:rFonts w:ascii="宋体" w:hAnsi="宋体" w:eastAsia="宋体" w:cs="宋体"/>
          <w:spacing w:val="4"/>
          <w:sz w:val="20"/>
          <w:szCs w:val="20"/>
        </w:rPr>
        <w:t>×2+（</w:t>
      </w:r>
      <w:r>
        <w:rPr>
          <w:rFonts w:ascii="宋体" w:hAnsi="宋体" w:eastAsia="宋体" w:cs="宋体"/>
          <w:spacing w:val="-49"/>
          <w:sz w:val="20"/>
          <w:szCs w:val="20"/>
        </w:rPr>
        <w:t xml:space="preserve"> </w:t>
      </w:r>
      <w:r>
        <w:rPr>
          <w:rFonts w:ascii="宋体" w:hAnsi="宋体" w:eastAsia="宋体" w:cs="宋体"/>
          <w:spacing w:val="4"/>
          <w:sz w:val="20"/>
          <w:szCs w:val="20"/>
        </w:rPr>
        <w:t>1-3-83）。</w:t>
      </w:r>
      <w:r>
        <w:rPr>
          <w:rFonts w:ascii="宋体" w:hAnsi="宋体" w:eastAsia="宋体" w:cs="宋体"/>
          <w:spacing w:val="10"/>
          <w:sz w:val="20"/>
          <w:szCs w:val="20"/>
        </w:rPr>
        <w:t>路面铣刨定额不适用于一次铣刨厚度超过</w:t>
      </w:r>
      <w:r>
        <w:rPr>
          <w:rFonts w:ascii="宋体" w:hAnsi="宋体" w:eastAsia="宋体" w:cs="宋体"/>
          <w:spacing w:val="-40"/>
          <w:sz w:val="20"/>
          <w:szCs w:val="20"/>
        </w:rPr>
        <w:t xml:space="preserve"> </w:t>
      </w:r>
      <w:r>
        <w:rPr>
          <w:rFonts w:ascii="宋体" w:hAnsi="宋体" w:eastAsia="宋体" w:cs="宋体"/>
          <w:spacing w:val="10"/>
          <w:sz w:val="20"/>
          <w:szCs w:val="20"/>
        </w:rPr>
        <w:t>5</w:t>
      </w:r>
      <w:r>
        <w:rPr>
          <w:rFonts w:ascii="宋体" w:hAnsi="宋体" w:eastAsia="宋体" w:cs="宋体"/>
          <w:sz w:val="20"/>
          <w:szCs w:val="20"/>
        </w:rPr>
        <w:t>cm</w:t>
      </w:r>
      <w:r>
        <w:rPr>
          <w:rFonts w:ascii="宋体" w:hAnsi="宋体" w:eastAsia="宋体" w:cs="宋体"/>
          <w:spacing w:val="-24"/>
          <w:sz w:val="20"/>
          <w:szCs w:val="20"/>
        </w:rPr>
        <w:t xml:space="preserve"> </w:t>
      </w:r>
      <w:r>
        <w:rPr>
          <w:rFonts w:ascii="宋体" w:hAnsi="宋体" w:eastAsia="宋体" w:cs="宋体"/>
          <w:spacing w:val="10"/>
          <w:sz w:val="20"/>
          <w:szCs w:val="20"/>
        </w:rPr>
        <w:t>的情况，发生时</w:t>
      </w:r>
      <w:r>
        <w:rPr>
          <w:rFonts w:ascii="宋体" w:hAnsi="宋体" w:eastAsia="宋体" w:cs="宋体"/>
          <w:spacing w:val="9"/>
          <w:sz w:val="20"/>
          <w:szCs w:val="20"/>
        </w:rPr>
        <w:t>可另行编列补充定额。</w:t>
      </w:r>
    </w:p>
    <w:p>
      <w:pPr>
        <w:spacing w:before="5" w:line="368" w:lineRule="auto"/>
        <w:ind w:left="8" w:right="79" w:firstLine="420"/>
        <w:rPr>
          <w:rFonts w:ascii="宋体" w:hAnsi="宋体" w:eastAsia="宋体" w:cs="宋体"/>
          <w:sz w:val="20"/>
          <w:szCs w:val="20"/>
        </w:rPr>
      </w:pPr>
      <w:r>
        <w:rPr>
          <w:rFonts w:ascii="宋体" w:hAnsi="宋体" w:eastAsia="宋体" w:cs="宋体"/>
          <w:spacing w:val="11"/>
          <w:sz w:val="20"/>
          <w:szCs w:val="20"/>
        </w:rPr>
        <w:t>路面基层铣刨，混凝土基层铣刨参照混凝土路面铣刨执行，其他有骨料基层</w:t>
      </w:r>
      <w:r>
        <w:rPr>
          <w:rFonts w:ascii="宋体" w:hAnsi="宋体" w:eastAsia="宋体" w:cs="宋体"/>
          <w:spacing w:val="10"/>
          <w:sz w:val="20"/>
          <w:szCs w:val="20"/>
        </w:rPr>
        <w:t>铣刨参照沥青路面</w:t>
      </w:r>
      <w:r>
        <w:rPr>
          <w:rFonts w:ascii="宋体" w:hAnsi="宋体" w:eastAsia="宋体" w:cs="宋体"/>
          <w:spacing w:val="7"/>
          <w:sz w:val="20"/>
          <w:szCs w:val="20"/>
        </w:rPr>
        <w:t>铣刨定额执行。</w:t>
      </w:r>
    </w:p>
    <w:p>
      <w:pPr>
        <w:spacing w:line="277" w:lineRule="exact"/>
        <w:ind w:left="433"/>
        <w:rPr>
          <w:rFonts w:ascii="宋体" w:hAnsi="宋体" w:eastAsia="宋体" w:cs="宋体"/>
          <w:sz w:val="20"/>
          <w:szCs w:val="20"/>
        </w:rPr>
      </w:pPr>
      <w:r>
        <w:rPr>
          <w:rFonts w:ascii="宋体" w:hAnsi="宋体" w:eastAsia="宋体" w:cs="宋体"/>
          <w:b/>
          <w:bCs/>
          <w:spacing w:val="4"/>
          <w:position w:val="1"/>
          <w:sz w:val="20"/>
          <w:szCs w:val="20"/>
        </w:rPr>
        <w:t>36.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关于水泥搅拌桩空搅部分的计价</w:t>
      </w:r>
    </w:p>
    <w:p>
      <w:pPr>
        <w:spacing w:before="123" w:line="369" w:lineRule="auto"/>
        <w:ind w:left="10" w:right="76" w:firstLine="417"/>
        <w:rPr>
          <w:rFonts w:ascii="宋体" w:hAnsi="宋体" w:eastAsia="宋体" w:cs="宋体"/>
          <w:sz w:val="20"/>
          <w:szCs w:val="20"/>
        </w:rPr>
      </w:pPr>
      <w:r>
        <w:rPr>
          <w:rFonts w:ascii="宋体" w:hAnsi="宋体" w:eastAsia="宋体" w:cs="宋体"/>
          <w:spacing w:val="10"/>
          <w:sz w:val="20"/>
          <w:szCs w:val="20"/>
        </w:rPr>
        <w:t>水泥搅拌桩空搅部分,按水泥搅拌桩定额子目</w:t>
      </w:r>
      <w:r>
        <w:rPr>
          <w:rFonts w:ascii="宋体" w:hAnsi="宋体" w:eastAsia="宋体" w:cs="宋体"/>
          <w:spacing w:val="9"/>
          <w:sz w:val="20"/>
          <w:szCs w:val="20"/>
        </w:rPr>
        <w:t>的人工含量和搅拌机械台班含量乘以系数0.5</w:t>
      </w:r>
      <w:r>
        <w:rPr>
          <w:rFonts w:ascii="宋体" w:hAnsi="宋体" w:eastAsia="宋体" w:cs="宋体"/>
          <w:spacing w:val="-60"/>
          <w:sz w:val="20"/>
          <w:szCs w:val="20"/>
        </w:rPr>
        <w:t xml:space="preserve"> </w:t>
      </w:r>
      <w:r>
        <w:rPr>
          <w:rFonts w:ascii="宋体" w:hAnsi="宋体" w:eastAsia="宋体" w:cs="宋体"/>
          <w:spacing w:val="9"/>
          <w:sz w:val="20"/>
          <w:szCs w:val="20"/>
        </w:rPr>
        <w:t>，并</w:t>
      </w:r>
      <w:r>
        <w:rPr>
          <w:rFonts w:ascii="宋体" w:hAnsi="宋体" w:eastAsia="宋体" w:cs="宋体"/>
          <w:spacing w:val="8"/>
          <w:sz w:val="20"/>
          <w:szCs w:val="20"/>
        </w:rPr>
        <w:t>删除定额中的材料含量。</w:t>
      </w:r>
    </w:p>
    <w:p>
      <w:pPr>
        <w:spacing w:before="1" w:line="276" w:lineRule="exact"/>
        <w:ind w:left="433"/>
        <w:rPr>
          <w:rFonts w:ascii="宋体" w:hAnsi="宋体" w:eastAsia="宋体" w:cs="宋体"/>
          <w:sz w:val="20"/>
          <w:szCs w:val="20"/>
        </w:rPr>
      </w:pPr>
      <w:r>
        <w:rPr>
          <w:rFonts w:ascii="宋体" w:hAnsi="宋体" w:eastAsia="宋体" w:cs="宋体"/>
          <w:b/>
          <w:bCs/>
          <w:spacing w:val="3"/>
          <w:position w:val="1"/>
          <w:sz w:val="20"/>
          <w:szCs w:val="20"/>
        </w:rPr>
        <w:t>37.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关于盘扣式钢管支架的计价</w:t>
      </w:r>
    </w:p>
    <w:p>
      <w:pPr>
        <w:spacing w:before="129" w:line="367" w:lineRule="auto"/>
        <w:ind w:left="9" w:right="79" w:firstLine="420"/>
        <w:rPr>
          <w:rFonts w:ascii="宋体" w:hAnsi="宋体" w:eastAsia="宋体" w:cs="宋体"/>
          <w:sz w:val="20"/>
          <w:szCs w:val="20"/>
        </w:rPr>
      </w:pPr>
      <w:r>
        <w:rPr>
          <w:rFonts w:ascii="宋体" w:hAnsi="宋体" w:eastAsia="宋体" w:cs="宋体"/>
          <w:spacing w:val="11"/>
          <w:sz w:val="20"/>
          <w:szCs w:val="20"/>
        </w:rPr>
        <w:t>满堂式钢管支架若使用盘扣式脚手架时，按“满堂式钢管支架”定额子目计</w:t>
      </w:r>
      <w:r>
        <w:rPr>
          <w:rFonts w:ascii="宋体" w:hAnsi="宋体" w:eastAsia="宋体" w:cs="宋体"/>
          <w:spacing w:val="10"/>
          <w:sz w:val="20"/>
          <w:szCs w:val="20"/>
        </w:rPr>
        <w:t>算搭拆费用，其使</w:t>
      </w:r>
      <w:r>
        <w:rPr>
          <w:rFonts w:ascii="宋体" w:hAnsi="宋体" w:eastAsia="宋体" w:cs="宋体"/>
          <w:spacing w:val="8"/>
          <w:sz w:val="20"/>
          <w:szCs w:val="20"/>
        </w:rPr>
        <w:t>用费按租赁价格计取。</w:t>
      </w:r>
    </w:p>
    <w:p>
      <w:pPr>
        <w:spacing w:line="277" w:lineRule="exact"/>
        <w:ind w:left="433"/>
        <w:rPr>
          <w:rFonts w:ascii="宋体" w:hAnsi="宋体" w:eastAsia="宋体" w:cs="宋体"/>
          <w:sz w:val="20"/>
          <w:szCs w:val="20"/>
        </w:rPr>
      </w:pPr>
      <w:r>
        <w:rPr>
          <w:rFonts w:ascii="宋体" w:hAnsi="宋体" w:eastAsia="宋体" w:cs="宋体"/>
          <w:b/>
          <w:bCs/>
          <w:spacing w:val="6"/>
          <w:position w:val="1"/>
          <w:sz w:val="20"/>
          <w:szCs w:val="20"/>
        </w:rPr>
        <w:t>38.</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关于市政工程各种管道（包括电力、通讯管道）满包混凝土的计算</w:t>
      </w:r>
    </w:p>
    <w:p>
      <w:pPr>
        <w:spacing w:before="123" w:line="369" w:lineRule="auto"/>
        <w:ind w:left="9" w:right="2" w:firstLine="420"/>
        <w:rPr>
          <w:rFonts w:ascii="宋体" w:hAnsi="宋体" w:eastAsia="宋体" w:cs="宋体"/>
          <w:sz w:val="20"/>
          <w:szCs w:val="20"/>
        </w:rPr>
      </w:pPr>
      <w:r>
        <w:rPr>
          <w:rFonts w:ascii="宋体" w:hAnsi="宋体" w:eastAsia="宋体" w:cs="宋体"/>
          <w:spacing w:val="11"/>
          <w:sz w:val="20"/>
          <w:szCs w:val="20"/>
        </w:rPr>
        <w:t>市政工程各种管道（包括电力、通讯管道）满包混凝土时，通长满包套用</w:t>
      </w:r>
      <w:r>
        <w:rPr>
          <w:rFonts w:ascii="宋体" w:hAnsi="宋体" w:eastAsia="宋体" w:cs="宋体"/>
          <w:spacing w:val="10"/>
          <w:sz w:val="20"/>
          <w:szCs w:val="20"/>
        </w:rPr>
        <w:t>混凝土平基项目，人</w:t>
      </w:r>
      <w:r>
        <w:rPr>
          <w:rFonts w:ascii="宋体" w:hAnsi="宋体" w:eastAsia="宋体" w:cs="宋体"/>
          <w:spacing w:val="5"/>
          <w:sz w:val="20"/>
          <w:szCs w:val="20"/>
        </w:rPr>
        <w:t>工、机械乘以系数</w:t>
      </w:r>
      <w:r>
        <w:rPr>
          <w:rFonts w:ascii="宋体" w:hAnsi="宋体" w:eastAsia="宋体" w:cs="宋体"/>
          <w:spacing w:val="-22"/>
          <w:sz w:val="20"/>
          <w:szCs w:val="20"/>
        </w:rPr>
        <w:t xml:space="preserve"> </w:t>
      </w:r>
      <w:r>
        <w:rPr>
          <w:rFonts w:ascii="宋体" w:hAnsi="宋体" w:eastAsia="宋体" w:cs="宋体"/>
          <w:spacing w:val="5"/>
          <w:sz w:val="20"/>
          <w:szCs w:val="20"/>
        </w:rPr>
        <w:t>1.1；局部满包（长</w:t>
      </w:r>
      <w:r>
        <w:rPr>
          <w:rFonts w:ascii="宋体" w:hAnsi="宋体" w:eastAsia="宋体" w:cs="宋体"/>
          <w:spacing w:val="-22"/>
          <w:sz w:val="20"/>
          <w:szCs w:val="20"/>
        </w:rPr>
        <w:t xml:space="preserve"> </w:t>
      </w:r>
      <w:r>
        <w:rPr>
          <w:rFonts w:ascii="宋体" w:hAnsi="宋体" w:eastAsia="宋体" w:cs="宋体"/>
          <w:spacing w:val="5"/>
          <w:sz w:val="20"/>
          <w:szCs w:val="20"/>
        </w:rPr>
        <w:t>1m</w:t>
      </w:r>
      <w:r>
        <w:rPr>
          <w:rFonts w:ascii="宋体" w:hAnsi="宋体" w:eastAsia="宋体" w:cs="宋体"/>
          <w:spacing w:val="-20"/>
          <w:sz w:val="20"/>
          <w:szCs w:val="20"/>
        </w:rPr>
        <w:t xml:space="preserve"> </w:t>
      </w:r>
      <w:r>
        <w:rPr>
          <w:rFonts w:ascii="宋体" w:hAnsi="宋体" w:eastAsia="宋体" w:cs="宋体"/>
          <w:spacing w:val="5"/>
          <w:sz w:val="20"/>
          <w:szCs w:val="20"/>
        </w:rPr>
        <w:t>内）套用现浇混凝土枕基项目，人工、机械乘以</w:t>
      </w:r>
      <w:r>
        <w:rPr>
          <w:rFonts w:ascii="宋体" w:hAnsi="宋体" w:eastAsia="宋体" w:cs="宋体"/>
          <w:spacing w:val="4"/>
          <w:sz w:val="20"/>
          <w:szCs w:val="20"/>
        </w:rPr>
        <w:t>系数</w:t>
      </w:r>
      <w:r>
        <w:rPr>
          <w:rFonts w:ascii="宋体" w:hAnsi="宋体" w:eastAsia="宋体" w:cs="宋体"/>
          <w:spacing w:val="-25"/>
          <w:sz w:val="20"/>
          <w:szCs w:val="20"/>
        </w:rPr>
        <w:t xml:space="preserve"> </w:t>
      </w:r>
      <w:r>
        <w:rPr>
          <w:rFonts w:ascii="宋体" w:hAnsi="宋体" w:eastAsia="宋体" w:cs="宋体"/>
          <w:spacing w:val="4"/>
          <w:sz w:val="20"/>
          <w:szCs w:val="20"/>
        </w:rPr>
        <w:t>1.2。</w:t>
      </w:r>
    </w:p>
    <w:p>
      <w:pPr>
        <w:spacing w:before="1" w:line="228" w:lineRule="auto"/>
        <w:ind w:left="423"/>
        <w:rPr>
          <w:rFonts w:ascii="宋体" w:hAnsi="宋体" w:eastAsia="宋体" w:cs="宋体"/>
          <w:sz w:val="20"/>
          <w:szCs w:val="20"/>
        </w:rPr>
      </w:pPr>
      <w:r>
        <w:rPr>
          <w:rFonts w:ascii="宋体" w:hAnsi="宋体" w:eastAsia="宋体" w:cs="宋体"/>
          <w:spacing w:val="1"/>
          <w:sz w:val="20"/>
          <w:szCs w:val="20"/>
        </w:rPr>
        <w:t>市政工程管道满包混凝土，计算工程量时应扣除管道所占体积。</w:t>
      </w:r>
    </w:p>
    <w:p>
      <w:pPr>
        <w:spacing w:before="153" w:line="276" w:lineRule="exact"/>
        <w:ind w:left="433"/>
        <w:rPr>
          <w:rFonts w:ascii="宋体" w:hAnsi="宋体" w:eastAsia="宋体" w:cs="宋体"/>
          <w:sz w:val="20"/>
          <w:szCs w:val="20"/>
        </w:rPr>
      </w:pPr>
      <w:r>
        <w:rPr>
          <w:rFonts w:ascii="宋体" w:hAnsi="宋体" w:eastAsia="宋体" w:cs="宋体"/>
          <w:b/>
          <w:bCs/>
          <w:spacing w:val="4"/>
          <w:position w:val="1"/>
          <w:sz w:val="20"/>
          <w:szCs w:val="20"/>
        </w:rPr>
        <w:t>39.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关于桥梁工程盖梁的钢筋骨架制作的计价</w:t>
      </w:r>
    </w:p>
    <w:p>
      <w:pPr>
        <w:spacing w:before="129" w:line="221" w:lineRule="auto"/>
        <w:ind w:left="429"/>
        <w:rPr>
          <w:rFonts w:ascii="宋体" w:hAnsi="宋体" w:eastAsia="宋体" w:cs="宋体"/>
          <w:sz w:val="20"/>
          <w:szCs w:val="20"/>
        </w:rPr>
      </w:pPr>
      <w:r>
        <w:rPr>
          <w:rFonts w:ascii="宋体" w:hAnsi="宋体" w:eastAsia="宋体" w:cs="宋体"/>
          <w:spacing w:val="9"/>
          <w:sz w:val="20"/>
          <w:szCs w:val="20"/>
        </w:rPr>
        <w:t>桥梁工程盖梁的钢筋执行钢筋制作、安装相应子目。</w:t>
      </w:r>
    </w:p>
    <w:p>
      <w:pPr>
        <w:spacing w:before="155" w:line="277" w:lineRule="exact"/>
        <w:ind w:left="426"/>
        <w:rPr>
          <w:rFonts w:ascii="宋体" w:hAnsi="宋体" w:eastAsia="宋体" w:cs="宋体"/>
          <w:sz w:val="20"/>
          <w:szCs w:val="20"/>
        </w:rPr>
      </w:pPr>
      <w:r>
        <w:rPr>
          <w:rFonts w:ascii="宋体" w:hAnsi="宋体" w:eastAsia="宋体" w:cs="宋体"/>
          <w:b/>
          <w:bCs/>
          <w:spacing w:val="7"/>
          <w:position w:val="1"/>
          <w:sz w:val="20"/>
          <w:szCs w:val="20"/>
        </w:rPr>
        <w:t>40.</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关于拆除旧路沥青面层及基层定额子目</w:t>
      </w:r>
      <w:r>
        <w:rPr>
          <w:rFonts w:ascii="宋体" w:hAnsi="宋体" w:eastAsia="宋体" w:cs="宋体"/>
          <w:b/>
          <w:bCs/>
          <w:spacing w:val="6"/>
          <w:position w:val="1"/>
          <w:sz w:val="20"/>
          <w:szCs w:val="20"/>
        </w:rPr>
        <w:t>中的基层是否包含石灰土基层的问题</w:t>
      </w:r>
    </w:p>
    <w:p>
      <w:pPr>
        <w:spacing w:before="129" w:line="219" w:lineRule="auto"/>
        <w:ind w:left="426"/>
        <w:rPr>
          <w:rFonts w:ascii="宋体" w:hAnsi="宋体" w:eastAsia="宋体" w:cs="宋体"/>
          <w:sz w:val="20"/>
          <w:szCs w:val="20"/>
        </w:rPr>
      </w:pPr>
      <w:r>
        <w:rPr>
          <w:rFonts w:ascii="宋体" w:hAnsi="宋体" w:eastAsia="宋体" w:cs="宋体"/>
          <w:spacing w:val="9"/>
          <w:sz w:val="20"/>
          <w:szCs w:val="20"/>
        </w:rPr>
        <w:t>拆除旧路沥青面层及基层子目中的基层包含石灰土基层。</w:t>
      </w:r>
    </w:p>
    <w:p>
      <w:pPr>
        <w:spacing w:before="158" w:line="278" w:lineRule="exact"/>
        <w:ind w:left="426"/>
        <w:rPr>
          <w:rFonts w:ascii="宋体" w:hAnsi="宋体" w:eastAsia="宋体" w:cs="宋体"/>
          <w:sz w:val="20"/>
          <w:szCs w:val="20"/>
        </w:rPr>
      </w:pPr>
      <w:r>
        <w:rPr>
          <w:rFonts w:ascii="宋体" w:hAnsi="宋体" w:eastAsia="宋体" w:cs="宋体"/>
          <w:b/>
          <w:bCs/>
          <w:spacing w:val="5"/>
          <w:position w:val="1"/>
          <w:sz w:val="20"/>
          <w:szCs w:val="20"/>
        </w:rPr>
        <w:t>41.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关于填土夯（压）实相关定额子目使用时的区分</w:t>
      </w:r>
    </w:p>
    <w:p>
      <w:pPr>
        <w:spacing w:before="120" w:line="369" w:lineRule="auto"/>
        <w:ind w:left="10" w:right="76" w:firstLine="417"/>
        <w:rPr>
          <w:rFonts w:ascii="宋体" w:hAnsi="宋体" w:eastAsia="宋体" w:cs="宋体"/>
          <w:sz w:val="20"/>
          <w:szCs w:val="20"/>
        </w:rPr>
      </w:pPr>
      <w:r>
        <w:rPr>
          <w:rFonts w:ascii="宋体" w:hAnsi="宋体" w:eastAsia="宋体" w:cs="宋体"/>
          <w:spacing w:val="10"/>
          <w:sz w:val="20"/>
          <w:szCs w:val="20"/>
        </w:rPr>
        <w:t>定额</w:t>
      </w:r>
      <w:r>
        <w:rPr>
          <w:rFonts w:ascii="宋体" w:hAnsi="宋体" w:eastAsia="宋体" w:cs="宋体"/>
          <w:spacing w:val="44"/>
          <w:sz w:val="20"/>
          <w:szCs w:val="20"/>
        </w:rPr>
        <w:t xml:space="preserve"> </w:t>
      </w:r>
      <w:r>
        <w:rPr>
          <w:rFonts w:ascii="宋体" w:hAnsi="宋体" w:eastAsia="宋体" w:cs="宋体"/>
          <w:spacing w:val="10"/>
          <w:sz w:val="20"/>
          <w:szCs w:val="20"/>
        </w:rPr>
        <w:t>1-1-226 为人工回填、电动夯实机夯实；定额</w:t>
      </w:r>
      <w:r>
        <w:rPr>
          <w:rFonts w:ascii="宋体" w:hAnsi="宋体" w:eastAsia="宋体" w:cs="宋体"/>
          <w:spacing w:val="33"/>
          <w:sz w:val="20"/>
          <w:szCs w:val="20"/>
        </w:rPr>
        <w:t xml:space="preserve"> </w:t>
      </w:r>
      <w:r>
        <w:rPr>
          <w:rFonts w:ascii="宋体" w:hAnsi="宋体" w:eastAsia="宋体" w:cs="宋体"/>
          <w:spacing w:val="10"/>
          <w:sz w:val="20"/>
          <w:szCs w:val="20"/>
        </w:rPr>
        <w:t>1-1-B2 为轮胎式装载机回填、电动夯实机夯实；定额 1-1-B3 为轮胎式装载机回填、钢轮振动压路机压实。使用时根据设计及</w:t>
      </w:r>
      <w:r>
        <w:rPr>
          <w:rFonts w:ascii="宋体" w:hAnsi="宋体" w:eastAsia="宋体" w:cs="宋体"/>
          <w:spacing w:val="9"/>
          <w:sz w:val="20"/>
          <w:szCs w:val="20"/>
        </w:rPr>
        <w:t>施工组织要</w:t>
      </w:r>
    </w:p>
    <w:p>
      <w:pPr>
        <w:spacing w:line="369" w:lineRule="auto"/>
        <w:rPr>
          <w:rFonts w:ascii="宋体" w:hAnsi="宋体" w:eastAsia="宋体" w:cs="宋体"/>
          <w:sz w:val="20"/>
          <w:szCs w:val="20"/>
        </w:rPr>
        <w:sectPr>
          <w:footerReference r:id="rId178" w:type="default"/>
          <w:pgSz w:w="11906" w:h="16839"/>
          <w:pgMar w:top="400" w:right="1341" w:bottom="1212" w:left="1411" w:header="0" w:footer="897"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1"/>
        <w:rPr>
          <w:rFonts w:ascii="宋体" w:hAnsi="宋体" w:eastAsia="宋体" w:cs="宋体"/>
          <w:sz w:val="20"/>
          <w:szCs w:val="20"/>
        </w:rPr>
      </w:pPr>
      <w:r>
        <w:rPr>
          <w:rFonts w:ascii="宋体" w:hAnsi="宋体" w:eastAsia="宋体" w:cs="宋体"/>
          <w:spacing w:val="8"/>
          <w:sz w:val="20"/>
          <w:szCs w:val="20"/>
        </w:rPr>
        <w:t>求选择相应子目。</w:t>
      </w:r>
    </w:p>
    <w:p>
      <w:pPr>
        <w:spacing w:before="155" w:line="277" w:lineRule="exact"/>
        <w:ind w:left="420"/>
        <w:rPr>
          <w:rFonts w:ascii="宋体" w:hAnsi="宋体" w:eastAsia="宋体" w:cs="宋体"/>
          <w:sz w:val="20"/>
          <w:szCs w:val="20"/>
        </w:rPr>
      </w:pPr>
      <w:r>
        <w:rPr>
          <w:rFonts w:ascii="宋体" w:hAnsi="宋体" w:eastAsia="宋体" w:cs="宋体"/>
          <w:b/>
          <w:bCs/>
          <w:spacing w:val="5"/>
          <w:position w:val="1"/>
          <w:sz w:val="20"/>
          <w:szCs w:val="20"/>
        </w:rPr>
        <w:t>42.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关于强夯后的土方开挖应按几类土执行的问题</w:t>
      </w:r>
    </w:p>
    <w:p>
      <w:pPr>
        <w:spacing w:before="129" w:line="219" w:lineRule="auto"/>
        <w:ind w:left="423"/>
        <w:rPr>
          <w:rFonts w:ascii="宋体" w:hAnsi="宋体" w:eastAsia="宋体" w:cs="宋体"/>
          <w:sz w:val="20"/>
          <w:szCs w:val="20"/>
        </w:rPr>
      </w:pPr>
      <w:r>
        <w:rPr>
          <w:rFonts w:ascii="宋体" w:hAnsi="宋体" w:eastAsia="宋体" w:cs="宋体"/>
          <w:spacing w:val="8"/>
          <w:sz w:val="20"/>
          <w:szCs w:val="20"/>
        </w:rPr>
        <w:t>强夯后的土方开挖按三类土执行。</w:t>
      </w:r>
    </w:p>
    <w:p>
      <w:pPr>
        <w:spacing w:before="154" w:line="355" w:lineRule="auto"/>
        <w:ind w:left="17" w:right="81" w:firstLine="402"/>
        <w:jc w:val="both"/>
        <w:rPr>
          <w:rFonts w:ascii="宋体" w:hAnsi="宋体" w:eastAsia="宋体" w:cs="宋体"/>
          <w:sz w:val="20"/>
          <w:szCs w:val="20"/>
        </w:rPr>
      </w:pPr>
      <w:r>
        <w:rPr>
          <w:rFonts w:ascii="宋体" w:hAnsi="宋体" w:eastAsia="宋体" w:cs="宋体"/>
          <w:b/>
          <w:bCs/>
          <w:spacing w:val="8"/>
          <w:sz w:val="20"/>
          <w:szCs w:val="20"/>
        </w:rPr>
        <w:t>43.</w:t>
      </w:r>
      <w:r>
        <w:rPr>
          <w:rFonts w:ascii="宋体" w:hAnsi="宋体" w:eastAsia="宋体" w:cs="宋体"/>
          <w:spacing w:val="8"/>
          <w:sz w:val="20"/>
          <w:szCs w:val="20"/>
        </w:rPr>
        <w:t xml:space="preserve"> </w:t>
      </w:r>
      <w:r>
        <w:rPr>
          <w:rFonts w:ascii="宋体" w:hAnsi="宋体" w:eastAsia="宋体" w:cs="宋体"/>
          <w:b/>
          <w:bCs/>
          <w:spacing w:val="8"/>
          <w:sz w:val="20"/>
          <w:szCs w:val="20"/>
        </w:rPr>
        <w:t>关于根据第一章《土石方工程》工程量计算规则中，管沟回填工程量不扣除管径在</w:t>
      </w:r>
      <w:r>
        <w:rPr>
          <w:rFonts w:ascii="宋体" w:hAnsi="宋体" w:eastAsia="宋体" w:cs="宋体"/>
          <w:spacing w:val="8"/>
          <w:sz w:val="20"/>
          <w:szCs w:val="20"/>
        </w:rPr>
        <w:t xml:space="preserve"> </w:t>
      </w:r>
      <w:r>
        <w:rPr>
          <w:rFonts w:ascii="宋体" w:hAnsi="宋体" w:eastAsia="宋体" w:cs="宋体"/>
          <w:b/>
          <w:bCs/>
          <w:spacing w:val="8"/>
          <w:sz w:val="20"/>
          <w:szCs w:val="20"/>
        </w:rPr>
        <w:t>200</w:t>
      </w:r>
      <w:r>
        <w:rPr>
          <w:rFonts w:ascii="宋体" w:hAnsi="宋体" w:eastAsia="宋体" w:cs="宋体"/>
          <w:b/>
          <w:bCs/>
          <w:sz w:val="20"/>
          <w:szCs w:val="20"/>
        </w:rPr>
        <w:t>mm</w:t>
      </w:r>
      <w:r>
        <w:rPr>
          <w:rFonts w:ascii="宋体" w:hAnsi="宋体" w:eastAsia="宋体" w:cs="宋体"/>
          <w:b/>
          <w:bCs/>
          <w:spacing w:val="8"/>
          <w:sz w:val="20"/>
          <w:szCs w:val="20"/>
        </w:rPr>
        <w:t>以内的管道所占的体积，如果在同一沟槽内有多根管径≤200</w:t>
      </w:r>
      <w:r>
        <w:rPr>
          <w:rFonts w:ascii="宋体" w:hAnsi="宋体" w:eastAsia="宋体" w:cs="宋体"/>
          <w:b/>
          <w:bCs/>
          <w:sz w:val="20"/>
          <w:szCs w:val="20"/>
        </w:rPr>
        <w:t>mm</w:t>
      </w:r>
      <w:r>
        <w:rPr>
          <w:rFonts w:ascii="宋体" w:hAnsi="宋体" w:eastAsia="宋体" w:cs="宋体"/>
          <w:spacing w:val="8"/>
          <w:sz w:val="20"/>
          <w:szCs w:val="20"/>
        </w:rPr>
        <w:t xml:space="preserve"> </w:t>
      </w:r>
      <w:r>
        <w:rPr>
          <w:rFonts w:ascii="宋体" w:hAnsi="宋体" w:eastAsia="宋体" w:cs="宋体"/>
          <w:b/>
          <w:bCs/>
          <w:spacing w:val="8"/>
          <w:sz w:val="20"/>
          <w:szCs w:val="20"/>
        </w:rPr>
        <w:t>的管道，是否扣除管道所占体积的</w:t>
      </w:r>
      <w:r>
        <w:rPr>
          <w:rFonts w:ascii="宋体" w:hAnsi="宋体" w:eastAsia="宋体" w:cs="宋体"/>
          <w:b/>
          <w:bCs/>
          <w:spacing w:val="-2"/>
          <w:sz w:val="20"/>
          <w:szCs w:val="20"/>
        </w:rPr>
        <w:t>问题</w:t>
      </w:r>
    </w:p>
    <w:p>
      <w:pPr>
        <w:spacing w:before="48" w:line="351" w:lineRule="auto"/>
        <w:ind w:left="3" w:right="83" w:firstLine="437"/>
        <w:rPr>
          <w:rFonts w:ascii="宋体" w:hAnsi="宋体" w:eastAsia="宋体" w:cs="宋体"/>
          <w:sz w:val="20"/>
          <w:szCs w:val="20"/>
        </w:rPr>
      </w:pPr>
      <w:r>
        <w:rPr>
          <w:rFonts w:ascii="宋体" w:hAnsi="宋体" w:eastAsia="宋体" w:cs="宋体"/>
          <w:spacing w:val="12"/>
          <w:sz w:val="20"/>
          <w:szCs w:val="20"/>
        </w:rPr>
        <w:t>同一沟槽内有多根管径≤200</w:t>
      </w:r>
      <w:r>
        <w:rPr>
          <w:rFonts w:ascii="宋体" w:hAnsi="宋体" w:eastAsia="宋体" w:cs="宋体"/>
          <w:sz w:val="20"/>
          <w:szCs w:val="20"/>
        </w:rPr>
        <w:t>mm</w:t>
      </w:r>
      <w:r>
        <w:rPr>
          <w:rFonts w:ascii="宋体" w:hAnsi="宋体" w:eastAsia="宋体" w:cs="宋体"/>
          <w:spacing w:val="12"/>
          <w:sz w:val="20"/>
          <w:szCs w:val="20"/>
        </w:rPr>
        <w:t xml:space="preserve"> 的管道时，多根管道直径之和超过 200</w:t>
      </w:r>
      <w:r>
        <w:rPr>
          <w:rFonts w:ascii="宋体" w:hAnsi="宋体" w:eastAsia="宋体" w:cs="宋体"/>
          <w:sz w:val="20"/>
          <w:szCs w:val="20"/>
        </w:rPr>
        <w:t>mm</w:t>
      </w:r>
      <w:r>
        <w:rPr>
          <w:rFonts w:ascii="宋体" w:hAnsi="宋体" w:eastAsia="宋体" w:cs="宋体"/>
          <w:spacing w:val="12"/>
          <w:sz w:val="20"/>
          <w:szCs w:val="20"/>
        </w:rPr>
        <w:t xml:space="preserve"> 的扣除管道所占体</w:t>
      </w:r>
      <w:r>
        <w:rPr>
          <w:rFonts w:ascii="宋体" w:hAnsi="宋体" w:eastAsia="宋体" w:cs="宋体"/>
          <w:spacing w:val="2"/>
          <w:sz w:val="20"/>
          <w:szCs w:val="20"/>
        </w:rPr>
        <w:t>积。</w:t>
      </w:r>
    </w:p>
    <w:p>
      <w:pPr>
        <w:spacing w:before="40" w:line="348" w:lineRule="auto"/>
        <w:ind w:left="17" w:right="83" w:firstLine="402"/>
        <w:rPr>
          <w:rFonts w:ascii="宋体" w:hAnsi="宋体" w:eastAsia="宋体" w:cs="宋体"/>
          <w:sz w:val="20"/>
          <w:szCs w:val="20"/>
        </w:rPr>
      </w:pPr>
      <w:r>
        <w:rPr>
          <w:rFonts w:ascii="宋体" w:hAnsi="宋体" w:eastAsia="宋体" w:cs="宋体"/>
          <w:b/>
          <w:bCs/>
          <w:spacing w:val="8"/>
          <w:sz w:val="20"/>
          <w:szCs w:val="20"/>
        </w:rPr>
        <w:t>44.</w:t>
      </w:r>
      <w:r>
        <w:rPr>
          <w:rFonts w:ascii="宋体" w:hAnsi="宋体" w:eastAsia="宋体" w:cs="宋体"/>
          <w:spacing w:val="8"/>
          <w:sz w:val="20"/>
          <w:szCs w:val="20"/>
        </w:rPr>
        <w:t xml:space="preserve"> </w:t>
      </w:r>
      <w:r>
        <w:rPr>
          <w:rFonts w:ascii="宋体" w:hAnsi="宋体" w:eastAsia="宋体" w:cs="宋体"/>
          <w:b/>
          <w:bCs/>
          <w:spacing w:val="8"/>
          <w:sz w:val="20"/>
          <w:szCs w:val="20"/>
        </w:rPr>
        <w:t>关于钢筋的损耗率是否包括钢筋的搭接、马凳（钢筋或型钢）、支撑筋、定位筋等用量的</w:t>
      </w:r>
      <w:r>
        <w:rPr>
          <w:rFonts w:ascii="宋体" w:hAnsi="宋体" w:eastAsia="宋体" w:cs="宋体"/>
          <w:b/>
          <w:bCs/>
          <w:spacing w:val="-2"/>
          <w:sz w:val="20"/>
          <w:szCs w:val="20"/>
        </w:rPr>
        <w:t>问题</w:t>
      </w:r>
    </w:p>
    <w:p>
      <w:pPr>
        <w:spacing w:before="47" w:line="340" w:lineRule="auto"/>
        <w:ind w:firstLine="41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1）钢筋的损耗率不包括钢筋的设计搭接和定尺长度搭接用量，钢筋的搭接用量计入钢筋工程</w:t>
      </w:r>
      <w:r>
        <w:rPr>
          <w:rFonts w:ascii="宋体" w:hAnsi="宋体" w:eastAsia="宋体" w:cs="宋体"/>
          <w:spacing w:val="8"/>
          <w:sz w:val="20"/>
          <w:szCs w:val="20"/>
        </w:rPr>
        <w:t>量内。钢筋的搭接（接头）数量按设计图示及规范要求计算，未明确时，Φ10</w:t>
      </w:r>
      <w:r>
        <w:rPr>
          <w:rFonts w:ascii="宋体" w:hAnsi="宋体" w:eastAsia="宋体" w:cs="宋体"/>
          <w:spacing w:val="-23"/>
          <w:sz w:val="20"/>
          <w:szCs w:val="20"/>
        </w:rPr>
        <w:t xml:space="preserve"> </w:t>
      </w:r>
      <w:r>
        <w:rPr>
          <w:rFonts w:ascii="宋体" w:hAnsi="宋体" w:eastAsia="宋体" w:cs="宋体"/>
          <w:spacing w:val="8"/>
          <w:sz w:val="20"/>
          <w:szCs w:val="20"/>
        </w:rPr>
        <w:t>以内的钢筋</w:t>
      </w:r>
      <w:r>
        <w:rPr>
          <w:rFonts w:ascii="宋体" w:hAnsi="宋体" w:eastAsia="宋体" w:cs="宋体"/>
          <w:spacing w:val="7"/>
          <w:sz w:val="20"/>
          <w:szCs w:val="20"/>
        </w:rPr>
        <w:t>按</w:t>
      </w:r>
      <w:r>
        <w:rPr>
          <w:rFonts w:ascii="宋体" w:hAnsi="宋体" w:eastAsia="宋体" w:cs="宋体"/>
          <w:spacing w:val="-23"/>
          <w:sz w:val="20"/>
          <w:szCs w:val="20"/>
        </w:rPr>
        <w:t xml:space="preserve"> </w:t>
      </w:r>
      <w:r>
        <w:rPr>
          <w:rFonts w:ascii="宋体" w:hAnsi="宋体" w:eastAsia="宋体" w:cs="宋体"/>
          <w:spacing w:val="7"/>
          <w:sz w:val="20"/>
          <w:szCs w:val="20"/>
        </w:rPr>
        <w:t>12m</w:t>
      </w:r>
      <w:r>
        <w:rPr>
          <w:rFonts w:ascii="宋体" w:hAnsi="宋体" w:eastAsia="宋体" w:cs="宋体"/>
          <w:spacing w:val="-41"/>
          <w:sz w:val="20"/>
          <w:szCs w:val="20"/>
        </w:rPr>
        <w:t xml:space="preserve"> </w:t>
      </w:r>
      <w:r>
        <w:rPr>
          <w:rFonts w:ascii="宋体" w:hAnsi="宋体" w:eastAsia="宋体" w:cs="宋体"/>
          <w:spacing w:val="7"/>
          <w:sz w:val="20"/>
          <w:szCs w:val="20"/>
        </w:rPr>
        <w:t>计</w:t>
      </w:r>
      <w:r>
        <w:rPr>
          <w:rFonts w:ascii="宋体" w:hAnsi="宋体" w:eastAsia="宋体" w:cs="宋体"/>
          <w:spacing w:val="8"/>
          <w:sz w:val="20"/>
          <w:szCs w:val="20"/>
        </w:rPr>
        <w:t>算一个搭接（接头</w:t>
      </w:r>
      <w:r>
        <w:rPr>
          <w:rFonts w:ascii="宋体" w:hAnsi="宋体" w:eastAsia="宋体" w:cs="宋体"/>
          <w:spacing w:val="16"/>
          <w:sz w:val="20"/>
          <w:szCs w:val="20"/>
        </w:rPr>
        <w:t>），</w:t>
      </w:r>
      <w:r>
        <w:rPr>
          <w:rFonts w:ascii="宋体" w:hAnsi="宋体" w:eastAsia="宋体" w:cs="宋体"/>
          <w:spacing w:val="8"/>
          <w:sz w:val="20"/>
          <w:szCs w:val="20"/>
        </w:rPr>
        <w:t>Φ10</w:t>
      </w:r>
      <w:r>
        <w:rPr>
          <w:rFonts w:ascii="宋体" w:hAnsi="宋体" w:eastAsia="宋体" w:cs="宋体"/>
          <w:spacing w:val="-25"/>
          <w:sz w:val="20"/>
          <w:szCs w:val="20"/>
        </w:rPr>
        <w:t xml:space="preserve"> </w:t>
      </w:r>
      <w:r>
        <w:rPr>
          <w:rFonts w:ascii="宋体" w:hAnsi="宋体" w:eastAsia="宋体" w:cs="宋体"/>
          <w:spacing w:val="8"/>
          <w:sz w:val="20"/>
          <w:szCs w:val="20"/>
        </w:rPr>
        <w:t>以上的钢筋按</w:t>
      </w:r>
      <w:r>
        <w:rPr>
          <w:rFonts w:ascii="宋体" w:hAnsi="宋体" w:eastAsia="宋体" w:cs="宋体"/>
          <w:spacing w:val="-40"/>
          <w:sz w:val="20"/>
          <w:szCs w:val="20"/>
        </w:rPr>
        <w:t xml:space="preserve"> </w:t>
      </w:r>
      <w:r>
        <w:rPr>
          <w:rFonts w:ascii="宋体" w:hAnsi="宋体" w:eastAsia="宋体" w:cs="宋体"/>
          <w:spacing w:val="8"/>
          <w:sz w:val="20"/>
          <w:szCs w:val="20"/>
        </w:rPr>
        <w:t>9m</w:t>
      </w:r>
      <w:r>
        <w:rPr>
          <w:rFonts w:ascii="宋体" w:hAnsi="宋体" w:eastAsia="宋体" w:cs="宋体"/>
          <w:spacing w:val="-43"/>
          <w:sz w:val="20"/>
          <w:szCs w:val="20"/>
        </w:rPr>
        <w:t xml:space="preserve"> </w:t>
      </w:r>
      <w:r>
        <w:rPr>
          <w:rFonts w:ascii="宋体" w:hAnsi="宋体" w:eastAsia="宋体" w:cs="宋体"/>
          <w:spacing w:val="8"/>
          <w:sz w:val="20"/>
          <w:szCs w:val="20"/>
        </w:rPr>
        <w:t>计算一个搭</w:t>
      </w:r>
      <w:r>
        <w:rPr>
          <w:rFonts w:ascii="宋体" w:hAnsi="宋体" w:eastAsia="宋体" w:cs="宋体"/>
          <w:spacing w:val="7"/>
          <w:sz w:val="20"/>
          <w:szCs w:val="20"/>
        </w:rPr>
        <w:t>接（接头）。如果使用了电渣压力焊接头、</w:t>
      </w:r>
      <w:r>
        <w:rPr>
          <w:rFonts w:ascii="宋体" w:hAnsi="宋体" w:eastAsia="宋体" w:cs="宋体"/>
          <w:spacing w:val="11"/>
          <w:sz w:val="20"/>
          <w:szCs w:val="20"/>
        </w:rPr>
        <w:t>挤压套筒接头、直螺纹套筒接头等机械连接时，按实际用量套用相应的钢筋接头</w:t>
      </w:r>
      <w:r>
        <w:rPr>
          <w:rFonts w:ascii="宋体" w:hAnsi="宋体" w:eastAsia="宋体" w:cs="宋体"/>
          <w:spacing w:val="10"/>
          <w:sz w:val="20"/>
          <w:szCs w:val="20"/>
        </w:rPr>
        <w:t>定额，不再计算该</w:t>
      </w:r>
      <w:r>
        <w:rPr>
          <w:rFonts w:ascii="宋体" w:hAnsi="宋体" w:eastAsia="宋体" w:cs="宋体"/>
          <w:spacing w:val="8"/>
          <w:sz w:val="20"/>
          <w:szCs w:val="20"/>
        </w:rPr>
        <w:t>处钢筋搭接工程量。</w:t>
      </w:r>
    </w:p>
    <w:p>
      <w:pPr>
        <w:spacing w:before="156" w:line="298" w:lineRule="auto"/>
        <w:ind w:left="3" w:right="80" w:firstLine="409"/>
        <w:rPr>
          <w:rFonts w:ascii="宋体" w:hAnsi="宋体" w:eastAsia="宋体" w:cs="宋体"/>
          <w:sz w:val="20"/>
          <w:szCs w:val="20"/>
        </w:rPr>
      </w:pPr>
      <w:r>
        <w:rPr>
          <w:rFonts w:ascii="宋体" w:hAnsi="宋体" w:eastAsia="宋体" w:cs="宋体"/>
          <w:spacing w:val="9"/>
          <w:sz w:val="20"/>
          <w:szCs w:val="20"/>
        </w:rPr>
        <w:t>（2）钢筋的损耗率不包括马凳（钢筋或型</w:t>
      </w:r>
      <w:r>
        <w:rPr>
          <w:rFonts w:ascii="宋体" w:hAnsi="宋体" w:eastAsia="宋体" w:cs="宋体"/>
          <w:spacing w:val="8"/>
          <w:sz w:val="20"/>
          <w:szCs w:val="20"/>
        </w:rPr>
        <w:t>钢）、支撑筋、定位筋及伸出构件的锚固筋、措施筋</w:t>
      </w:r>
      <w:r>
        <w:rPr>
          <w:rFonts w:ascii="宋体" w:hAnsi="宋体" w:eastAsia="宋体" w:cs="宋体"/>
          <w:spacing w:val="9"/>
          <w:sz w:val="20"/>
          <w:szCs w:val="20"/>
        </w:rPr>
        <w:t>等钢筋用量，应按设计要求及施工规范计算。设计要求及施工规范未明确的不计算。</w:t>
      </w:r>
    </w:p>
    <w:p>
      <w:pPr>
        <w:spacing w:before="156" w:line="349" w:lineRule="auto"/>
        <w:ind w:left="18" w:right="83" w:firstLine="401"/>
        <w:rPr>
          <w:rFonts w:ascii="宋体" w:hAnsi="宋体" w:eastAsia="宋体" w:cs="宋体"/>
          <w:sz w:val="20"/>
          <w:szCs w:val="20"/>
        </w:rPr>
      </w:pPr>
      <w:r>
        <w:rPr>
          <w:rFonts w:ascii="宋体" w:hAnsi="宋体" w:eastAsia="宋体" w:cs="宋体"/>
          <w:b/>
          <w:bCs/>
          <w:spacing w:val="3"/>
          <w:sz w:val="20"/>
          <w:szCs w:val="20"/>
        </w:rPr>
        <w:t>45.</w:t>
      </w:r>
      <w:r>
        <w:rPr>
          <w:rFonts w:ascii="宋体" w:hAnsi="宋体" w:eastAsia="宋体" w:cs="宋体"/>
          <w:spacing w:val="3"/>
          <w:sz w:val="20"/>
          <w:szCs w:val="20"/>
        </w:rPr>
        <w:t xml:space="preserve"> </w:t>
      </w:r>
      <w:r>
        <w:rPr>
          <w:rFonts w:ascii="宋体" w:hAnsi="宋体" w:eastAsia="宋体" w:cs="宋体"/>
          <w:b/>
          <w:bCs/>
          <w:spacing w:val="3"/>
          <w:sz w:val="20"/>
          <w:szCs w:val="20"/>
        </w:rPr>
        <w:t>关于</w:t>
      </w:r>
      <w:r>
        <w:rPr>
          <w:rFonts w:ascii="宋体" w:hAnsi="宋体" w:eastAsia="宋体" w:cs="宋体"/>
          <w:spacing w:val="3"/>
          <w:sz w:val="20"/>
          <w:szCs w:val="20"/>
        </w:rPr>
        <w:t xml:space="preserve"> </w:t>
      </w:r>
      <w:r>
        <w:rPr>
          <w:rFonts w:ascii="宋体" w:hAnsi="宋体" w:eastAsia="宋体" w:cs="宋体"/>
          <w:b/>
          <w:bCs/>
          <w:spacing w:val="3"/>
          <w:sz w:val="20"/>
          <w:szCs w:val="20"/>
        </w:rPr>
        <w:t>2-3-12</w:t>
      </w:r>
      <w:r>
        <w:rPr>
          <w:rFonts w:ascii="宋体" w:hAnsi="宋体" w:eastAsia="宋体" w:cs="宋体"/>
          <w:spacing w:val="-56"/>
          <w:sz w:val="20"/>
          <w:szCs w:val="20"/>
        </w:rPr>
        <w:t xml:space="preserve"> </w:t>
      </w:r>
      <w:r>
        <w:rPr>
          <w:rFonts w:ascii="宋体" w:hAnsi="宋体" w:eastAsia="宋体" w:cs="宋体"/>
          <w:b/>
          <w:bCs/>
          <w:spacing w:val="3"/>
          <w:sz w:val="20"/>
          <w:szCs w:val="20"/>
        </w:rPr>
        <w:t>～</w:t>
      </w:r>
      <w:r>
        <w:rPr>
          <w:rFonts w:ascii="宋体" w:hAnsi="宋体" w:eastAsia="宋体" w:cs="宋体"/>
          <w:spacing w:val="-35"/>
          <w:sz w:val="20"/>
          <w:szCs w:val="20"/>
        </w:rPr>
        <w:t xml:space="preserve"> </w:t>
      </w:r>
      <w:r>
        <w:rPr>
          <w:rFonts w:ascii="宋体" w:hAnsi="宋体" w:eastAsia="宋体" w:cs="宋体"/>
          <w:b/>
          <w:bCs/>
          <w:spacing w:val="3"/>
          <w:sz w:val="20"/>
          <w:szCs w:val="20"/>
        </w:rPr>
        <w:t>13（无结合</w:t>
      </w:r>
      <w:r>
        <w:rPr>
          <w:rFonts w:ascii="宋体" w:hAnsi="宋体" w:eastAsia="宋体" w:cs="宋体"/>
          <w:b/>
          <w:bCs/>
          <w:spacing w:val="2"/>
          <w:sz w:val="20"/>
          <w:szCs w:val="20"/>
        </w:rPr>
        <w:t>料粒料基层）定额子目和</w:t>
      </w:r>
      <w:r>
        <w:rPr>
          <w:rFonts w:ascii="宋体" w:hAnsi="宋体" w:eastAsia="宋体" w:cs="宋体"/>
          <w:spacing w:val="2"/>
          <w:sz w:val="20"/>
          <w:szCs w:val="20"/>
        </w:rPr>
        <w:t xml:space="preserve"> </w:t>
      </w:r>
      <w:r>
        <w:rPr>
          <w:rFonts w:ascii="宋体" w:hAnsi="宋体" w:eastAsia="宋体" w:cs="宋体"/>
          <w:b/>
          <w:bCs/>
          <w:spacing w:val="2"/>
          <w:sz w:val="20"/>
          <w:szCs w:val="20"/>
        </w:rPr>
        <w:t>2-3-14</w:t>
      </w:r>
      <w:r>
        <w:rPr>
          <w:rFonts w:ascii="宋体" w:hAnsi="宋体" w:eastAsia="宋体" w:cs="宋体"/>
          <w:spacing w:val="-55"/>
          <w:sz w:val="20"/>
          <w:szCs w:val="20"/>
        </w:rPr>
        <w:t xml:space="preserve"> </w:t>
      </w:r>
      <w:r>
        <w:rPr>
          <w:rFonts w:ascii="宋体" w:hAnsi="宋体" w:eastAsia="宋体" w:cs="宋体"/>
          <w:b/>
          <w:bCs/>
          <w:spacing w:val="2"/>
          <w:sz w:val="20"/>
          <w:szCs w:val="20"/>
        </w:rPr>
        <w:t>～</w:t>
      </w:r>
      <w:r>
        <w:rPr>
          <w:rFonts w:ascii="宋体" w:hAnsi="宋体" w:eastAsia="宋体" w:cs="宋体"/>
          <w:spacing w:val="-35"/>
          <w:sz w:val="20"/>
          <w:szCs w:val="20"/>
        </w:rPr>
        <w:t xml:space="preserve"> </w:t>
      </w:r>
      <w:r>
        <w:rPr>
          <w:rFonts w:ascii="宋体" w:hAnsi="宋体" w:eastAsia="宋体" w:cs="宋体"/>
          <w:b/>
          <w:bCs/>
          <w:spacing w:val="2"/>
          <w:sz w:val="20"/>
          <w:szCs w:val="20"/>
        </w:rPr>
        <w:t>15（半刚性基层）定额子目</w:t>
      </w:r>
      <w:r>
        <w:rPr>
          <w:rFonts w:ascii="宋体" w:hAnsi="宋体" w:eastAsia="宋体" w:cs="宋体"/>
          <w:b/>
          <w:bCs/>
          <w:spacing w:val="1"/>
          <w:sz w:val="20"/>
          <w:szCs w:val="20"/>
        </w:rPr>
        <w:t>的区别</w:t>
      </w:r>
    </w:p>
    <w:p>
      <w:pPr>
        <w:spacing w:before="44" w:line="364" w:lineRule="auto"/>
        <w:ind w:right="83" w:firstLine="419"/>
        <w:jc w:val="both"/>
        <w:rPr>
          <w:rFonts w:ascii="宋体" w:hAnsi="宋体" w:eastAsia="宋体" w:cs="宋体"/>
          <w:sz w:val="20"/>
          <w:szCs w:val="20"/>
        </w:rPr>
      </w:pPr>
      <w:r>
        <w:rPr>
          <w:rFonts w:ascii="宋体" w:hAnsi="宋体" w:eastAsia="宋体" w:cs="宋体"/>
          <w:spacing w:val="11"/>
          <w:sz w:val="20"/>
          <w:szCs w:val="20"/>
        </w:rPr>
        <w:t>无结合料粒料是指各类碎（砾）石类，包括级配碎石、级配砾石等；半刚性类包</w:t>
      </w:r>
      <w:r>
        <w:rPr>
          <w:rFonts w:ascii="宋体" w:hAnsi="宋体" w:eastAsia="宋体" w:cs="宋体"/>
          <w:spacing w:val="10"/>
          <w:sz w:val="20"/>
          <w:szCs w:val="20"/>
        </w:rPr>
        <w:t>括各类水泥稳</w:t>
      </w:r>
      <w:r>
        <w:rPr>
          <w:rFonts w:ascii="宋体" w:hAnsi="宋体" w:eastAsia="宋体" w:cs="宋体"/>
          <w:spacing w:val="11"/>
          <w:sz w:val="20"/>
          <w:szCs w:val="20"/>
        </w:rPr>
        <w:t>定类、石灰稳定类、工业废渣稳定类等，比如水泥稳定土、水泥稳定碎石、石</w:t>
      </w:r>
      <w:r>
        <w:rPr>
          <w:rFonts w:ascii="宋体" w:hAnsi="宋体" w:eastAsia="宋体" w:cs="宋体"/>
          <w:spacing w:val="10"/>
          <w:sz w:val="20"/>
          <w:szCs w:val="20"/>
        </w:rPr>
        <w:t>灰稳定土、石灰稳定</w:t>
      </w:r>
      <w:r>
        <w:rPr>
          <w:rFonts w:ascii="宋体" w:hAnsi="宋体" w:eastAsia="宋体" w:cs="宋体"/>
          <w:spacing w:val="9"/>
          <w:sz w:val="20"/>
          <w:szCs w:val="20"/>
        </w:rPr>
        <w:t>碎石、石灰粉煤灰土、石灰粉煤灰碎石等。</w:t>
      </w:r>
    </w:p>
    <w:p>
      <w:pPr>
        <w:spacing w:before="16" w:line="276" w:lineRule="exact"/>
        <w:ind w:left="420"/>
        <w:rPr>
          <w:rFonts w:ascii="宋体" w:hAnsi="宋体" w:eastAsia="宋体" w:cs="宋体"/>
          <w:sz w:val="20"/>
          <w:szCs w:val="20"/>
        </w:rPr>
      </w:pPr>
      <w:r>
        <w:rPr>
          <w:rFonts w:ascii="宋体" w:hAnsi="宋体" w:eastAsia="宋体" w:cs="宋体"/>
          <w:b/>
          <w:bCs/>
          <w:spacing w:val="5"/>
          <w:position w:val="1"/>
          <w:sz w:val="20"/>
          <w:szCs w:val="20"/>
        </w:rPr>
        <w:t>46.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关于人行道、广场等铺设仿石板面层的计价</w:t>
      </w:r>
    </w:p>
    <w:p>
      <w:pPr>
        <w:spacing w:before="129" w:line="221" w:lineRule="auto"/>
        <w:ind w:left="420"/>
        <w:rPr>
          <w:rFonts w:ascii="宋体" w:hAnsi="宋体" w:eastAsia="宋体" w:cs="宋体"/>
          <w:sz w:val="20"/>
          <w:szCs w:val="20"/>
        </w:rPr>
      </w:pPr>
      <w:r>
        <w:rPr>
          <w:rFonts w:ascii="宋体" w:hAnsi="宋体" w:eastAsia="宋体" w:cs="宋体"/>
          <w:spacing w:val="9"/>
          <w:sz w:val="20"/>
          <w:szCs w:val="20"/>
        </w:rPr>
        <w:t>人行道、广场等铺设仿石板面层可使用大理石或花岗岩面层铺设定额子目。</w:t>
      </w:r>
    </w:p>
    <w:p>
      <w:pPr>
        <w:spacing w:before="155" w:line="277" w:lineRule="exact"/>
        <w:ind w:left="420"/>
        <w:rPr>
          <w:rFonts w:ascii="宋体" w:hAnsi="宋体" w:eastAsia="宋体" w:cs="宋体"/>
          <w:sz w:val="20"/>
          <w:szCs w:val="20"/>
        </w:rPr>
      </w:pPr>
      <w:r>
        <w:rPr>
          <w:rFonts w:ascii="宋体" w:hAnsi="宋体" w:eastAsia="宋体" w:cs="宋体"/>
          <w:b/>
          <w:bCs/>
          <w:spacing w:val="3"/>
          <w:position w:val="1"/>
          <w:sz w:val="20"/>
          <w:szCs w:val="20"/>
        </w:rPr>
        <w:t>47.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关于道路基层工程量的计算</w:t>
      </w:r>
    </w:p>
    <w:p>
      <w:pPr>
        <w:spacing w:before="123" w:line="352" w:lineRule="auto"/>
        <w:ind w:left="2" w:right="83" w:firstLine="420"/>
        <w:rPr>
          <w:rFonts w:ascii="宋体" w:hAnsi="宋体" w:eastAsia="宋体" w:cs="宋体"/>
          <w:sz w:val="20"/>
          <w:szCs w:val="20"/>
        </w:rPr>
      </w:pPr>
      <w:r>
        <w:rPr>
          <w:rFonts w:ascii="宋体" w:hAnsi="宋体" w:eastAsia="宋体" w:cs="宋体"/>
          <w:spacing w:val="11"/>
          <w:sz w:val="20"/>
          <w:szCs w:val="20"/>
        </w:rPr>
        <w:t>道路基层工程量计算规则中，道路（人行道）基层摊铺不扣除各类井所占面</w:t>
      </w:r>
      <w:r>
        <w:rPr>
          <w:rFonts w:ascii="宋体" w:hAnsi="宋体" w:eastAsia="宋体" w:cs="宋体"/>
          <w:spacing w:val="10"/>
          <w:sz w:val="20"/>
          <w:szCs w:val="20"/>
        </w:rPr>
        <w:t>积，也不需扣除树</w:t>
      </w:r>
      <w:r>
        <w:rPr>
          <w:rFonts w:ascii="宋体" w:hAnsi="宋体" w:eastAsia="宋体" w:cs="宋体"/>
          <w:spacing w:val="7"/>
          <w:sz w:val="20"/>
          <w:szCs w:val="20"/>
        </w:rPr>
        <w:t>池所占面积。</w:t>
      </w:r>
    </w:p>
    <w:p>
      <w:pPr>
        <w:spacing w:before="37" w:line="276" w:lineRule="exact"/>
        <w:ind w:left="420"/>
        <w:rPr>
          <w:rFonts w:ascii="宋体" w:hAnsi="宋体" w:eastAsia="宋体" w:cs="宋体"/>
          <w:sz w:val="20"/>
          <w:szCs w:val="20"/>
        </w:rPr>
      </w:pPr>
      <w:r>
        <w:rPr>
          <w:rFonts w:ascii="宋体" w:hAnsi="宋体" w:eastAsia="宋体" w:cs="宋体"/>
          <w:b/>
          <w:bCs/>
          <w:spacing w:val="4"/>
          <w:position w:val="1"/>
          <w:sz w:val="20"/>
          <w:szCs w:val="20"/>
        </w:rPr>
        <w:t>48.</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关于道路上的鱼骨线、网格线的计价</w:t>
      </w:r>
    </w:p>
    <w:p>
      <w:pPr>
        <w:spacing w:before="128" w:line="222" w:lineRule="auto"/>
        <w:ind w:left="423"/>
        <w:rPr>
          <w:rFonts w:ascii="宋体" w:hAnsi="宋体" w:eastAsia="宋体" w:cs="宋体"/>
          <w:sz w:val="20"/>
          <w:szCs w:val="20"/>
        </w:rPr>
      </w:pPr>
      <w:r>
        <w:rPr>
          <w:rFonts w:ascii="宋体" w:hAnsi="宋体" w:eastAsia="宋体" w:cs="宋体"/>
          <w:spacing w:val="9"/>
          <w:sz w:val="20"/>
          <w:szCs w:val="20"/>
        </w:rPr>
        <w:t>鱼骨线、网格线等均按标线定额执行，工程量按设计图示尺寸以实际划线面积计算。</w:t>
      </w:r>
    </w:p>
    <w:p>
      <w:pPr>
        <w:spacing w:before="157" w:line="277" w:lineRule="exact"/>
        <w:ind w:left="420"/>
        <w:rPr>
          <w:rFonts w:ascii="宋体" w:hAnsi="宋体" w:eastAsia="宋体" w:cs="宋体"/>
          <w:sz w:val="20"/>
          <w:szCs w:val="20"/>
        </w:rPr>
      </w:pPr>
      <w:r>
        <w:rPr>
          <w:rFonts w:ascii="宋体" w:hAnsi="宋体" w:eastAsia="宋体" w:cs="宋体"/>
          <w:b/>
          <w:bCs/>
          <w:spacing w:val="6"/>
          <w:position w:val="1"/>
          <w:sz w:val="20"/>
          <w:szCs w:val="20"/>
        </w:rPr>
        <w:t>49.</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关于旋挖钻机钻孔在什么情况下可按入岩相关定额计算的问题</w:t>
      </w:r>
    </w:p>
    <w:p>
      <w:pPr>
        <w:spacing w:before="126" w:line="368" w:lineRule="auto"/>
        <w:ind w:right="83" w:firstLine="422"/>
        <w:rPr>
          <w:rFonts w:ascii="宋体" w:hAnsi="宋体" w:eastAsia="宋体" w:cs="宋体"/>
          <w:sz w:val="20"/>
          <w:szCs w:val="20"/>
        </w:rPr>
      </w:pPr>
      <w:r>
        <w:rPr>
          <w:rFonts w:ascii="宋体" w:hAnsi="宋体" w:eastAsia="宋体" w:cs="宋体"/>
          <w:spacing w:val="11"/>
          <w:sz w:val="20"/>
          <w:szCs w:val="20"/>
        </w:rPr>
        <w:t>根据桩基工程定额说明中钻孔灌注桩钻孔土质分类，遇软质岩、较硬岩、</w:t>
      </w:r>
      <w:r>
        <w:rPr>
          <w:rFonts w:ascii="宋体" w:hAnsi="宋体" w:eastAsia="宋体" w:cs="宋体"/>
          <w:spacing w:val="10"/>
          <w:sz w:val="20"/>
          <w:szCs w:val="20"/>
        </w:rPr>
        <w:t>坚硬岩时应按入岩相应定额计算，但极软岩（全风化的各种岩石、各种半成</w:t>
      </w:r>
      <w:r>
        <w:rPr>
          <w:rFonts w:ascii="宋体" w:hAnsi="宋体" w:eastAsia="宋体" w:cs="宋体"/>
          <w:spacing w:val="9"/>
          <w:sz w:val="20"/>
          <w:szCs w:val="20"/>
        </w:rPr>
        <w:t>岩、强风化岩）不执行入岩相应定额。</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50.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关于钢板桩引孔的计价</w:t>
      </w:r>
    </w:p>
    <w:p>
      <w:pPr>
        <w:spacing w:before="125" w:line="220" w:lineRule="auto"/>
        <w:ind w:left="423"/>
        <w:rPr>
          <w:rFonts w:ascii="宋体" w:hAnsi="宋体" w:eastAsia="宋体" w:cs="宋体"/>
          <w:sz w:val="20"/>
          <w:szCs w:val="20"/>
        </w:rPr>
      </w:pPr>
      <w:r>
        <w:rPr>
          <w:rFonts w:ascii="宋体" w:hAnsi="宋体" w:eastAsia="宋体" w:cs="宋体"/>
          <w:spacing w:val="9"/>
          <w:sz w:val="20"/>
          <w:szCs w:val="20"/>
        </w:rPr>
        <w:t>钢板桩引孔根据施工方案相应成孔方式套用相应定额。</w:t>
      </w:r>
    </w:p>
    <w:p>
      <w:pPr>
        <w:spacing w:before="160" w:line="277" w:lineRule="exact"/>
        <w:ind w:left="423"/>
        <w:rPr>
          <w:rFonts w:ascii="宋体" w:hAnsi="宋体" w:eastAsia="宋体" w:cs="宋体"/>
          <w:sz w:val="20"/>
          <w:szCs w:val="20"/>
        </w:rPr>
      </w:pPr>
      <w:r>
        <w:rPr>
          <w:rFonts w:ascii="宋体" w:hAnsi="宋体" w:eastAsia="宋体" w:cs="宋体"/>
          <w:b/>
          <w:bCs/>
          <w:spacing w:val="5"/>
          <w:position w:val="1"/>
          <w:sz w:val="20"/>
          <w:szCs w:val="20"/>
        </w:rPr>
        <w:t>51.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桩基工程中的钢筋笼混凝土保护垫块的计算</w:t>
      </w:r>
    </w:p>
    <w:p>
      <w:pPr>
        <w:spacing w:line="277" w:lineRule="exact"/>
        <w:rPr>
          <w:rFonts w:ascii="宋体" w:hAnsi="宋体" w:eastAsia="宋体" w:cs="宋体"/>
          <w:sz w:val="20"/>
          <w:szCs w:val="20"/>
        </w:rPr>
        <w:sectPr>
          <w:footerReference r:id="rId179" w:type="default"/>
          <w:pgSz w:w="11906" w:h="16839"/>
          <w:pgMar w:top="400" w:right="1337"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1" w:lineRule="auto"/>
        <w:ind w:left="423"/>
        <w:rPr>
          <w:rFonts w:ascii="宋体" w:hAnsi="宋体" w:eastAsia="宋体" w:cs="宋体"/>
          <w:sz w:val="20"/>
          <w:szCs w:val="20"/>
        </w:rPr>
      </w:pPr>
      <w:r>
        <w:rPr>
          <w:rFonts w:ascii="宋体" w:hAnsi="宋体" w:eastAsia="宋体" w:cs="宋体"/>
          <w:spacing w:val="9"/>
          <w:sz w:val="20"/>
          <w:szCs w:val="20"/>
        </w:rPr>
        <w:t>钢筋笼混凝土保护垫块在定额中已综合考虑，不单独计算。</w:t>
      </w:r>
    </w:p>
    <w:p>
      <w:pPr>
        <w:spacing w:before="156" w:line="369" w:lineRule="auto"/>
        <w:ind w:left="1" w:right="67" w:firstLine="421"/>
        <w:rPr>
          <w:rFonts w:ascii="宋体" w:hAnsi="宋体" w:eastAsia="宋体" w:cs="宋体"/>
          <w:sz w:val="20"/>
          <w:szCs w:val="20"/>
        </w:rPr>
      </w:pPr>
      <w:bookmarkStart w:id="89" w:name="bookmark162"/>
      <w:bookmarkEnd w:id="89"/>
      <w:r>
        <w:rPr>
          <w:rFonts w:ascii="宋体" w:hAnsi="宋体" w:eastAsia="宋体" w:cs="宋体"/>
          <w:b/>
          <w:bCs/>
          <w:spacing w:val="8"/>
          <w:sz w:val="20"/>
          <w:szCs w:val="20"/>
        </w:rPr>
        <w:t>52.</w:t>
      </w:r>
      <w:r>
        <w:rPr>
          <w:rFonts w:ascii="宋体" w:hAnsi="宋体" w:eastAsia="宋体" w:cs="宋体"/>
          <w:spacing w:val="8"/>
          <w:sz w:val="20"/>
          <w:szCs w:val="20"/>
        </w:rPr>
        <w:t xml:space="preserve"> </w:t>
      </w:r>
      <w:r>
        <w:rPr>
          <w:rFonts w:ascii="宋体" w:hAnsi="宋体" w:eastAsia="宋体" w:cs="宋体"/>
          <w:b/>
          <w:bCs/>
          <w:spacing w:val="8"/>
          <w:sz w:val="20"/>
          <w:szCs w:val="20"/>
        </w:rPr>
        <w:t>关于第六章立交箱涵中箱涵预制顶进工程量计算规则（实土顶工程量按被顶箱涵重量乘以箱涵位移距离分段累计计算）的说明</w:t>
      </w:r>
    </w:p>
    <w:p>
      <w:pPr>
        <w:spacing w:line="369" w:lineRule="auto"/>
        <w:ind w:left="3" w:firstLine="416"/>
        <w:jc w:val="both"/>
        <w:rPr>
          <w:rFonts w:ascii="宋体" w:hAnsi="宋体" w:eastAsia="宋体" w:cs="宋体"/>
          <w:sz w:val="20"/>
          <w:szCs w:val="20"/>
        </w:rPr>
      </w:pPr>
      <w:r>
        <w:rPr>
          <w:rFonts w:ascii="宋体" w:hAnsi="宋体" w:eastAsia="宋体" w:cs="宋体"/>
          <w:spacing w:val="9"/>
          <w:sz w:val="20"/>
          <w:szCs w:val="20"/>
        </w:rPr>
        <w:t>计算规则中“被顶箱涵重量”指每次顶进的重量，例如：每节预制段为</w:t>
      </w:r>
      <w:r>
        <w:rPr>
          <w:rFonts w:ascii="宋体" w:hAnsi="宋体" w:eastAsia="宋体" w:cs="宋体"/>
          <w:spacing w:val="-32"/>
          <w:sz w:val="20"/>
          <w:szCs w:val="20"/>
        </w:rPr>
        <w:t xml:space="preserve"> </w:t>
      </w:r>
      <w:r>
        <w:rPr>
          <w:rFonts w:ascii="宋体" w:hAnsi="宋体" w:eastAsia="宋体" w:cs="宋体"/>
          <w:spacing w:val="9"/>
          <w:sz w:val="20"/>
          <w:szCs w:val="20"/>
        </w:rPr>
        <w:t>5m，即第一段顶进重量</w:t>
      </w:r>
      <w:r>
        <w:rPr>
          <w:rFonts w:ascii="宋体" w:hAnsi="宋体" w:eastAsia="宋体" w:cs="宋体"/>
          <w:sz w:val="20"/>
          <w:szCs w:val="20"/>
        </w:rPr>
        <w:t xml:space="preserve"> </w:t>
      </w:r>
      <w:r>
        <w:rPr>
          <w:rFonts w:ascii="宋体" w:hAnsi="宋体" w:eastAsia="宋体" w:cs="宋体"/>
          <w:spacing w:val="9"/>
          <w:sz w:val="20"/>
          <w:szCs w:val="20"/>
        </w:rPr>
        <w:t>=5m</w:t>
      </w:r>
      <w:r>
        <w:rPr>
          <w:rFonts w:ascii="宋体" w:hAnsi="宋体" w:eastAsia="宋体" w:cs="宋体"/>
          <w:spacing w:val="-42"/>
          <w:sz w:val="20"/>
          <w:szCs w:val="20"/>
        </w:rPr>
        <w:t xml:space="preserve"> </w:t>
      </w:r>
      <w:r>
        <w:rPr>
          <w:rFonts w:ascii="宋体" w:hAnsi="宋体" w:eastAsia="宋体" w:cs="宋体"/>
          <w:spacing w:val="9"/>
          <w:sz w:val="20"/>
          <w:szCs w:val="20"/>
        </w:rPr>
        <w:t>箱涵重量，第二段顶进重量=10m</w:t>
      </w:r>
      <w:r>
        <w:rPr>
          <w:rFonts w:ascii="宋体" w:hAnsi="宋体" w:eastAsia="宋体" w:cs="宋体"/>
          <w:spacing w:val="-42"/>
          <w:sz w:val="20"/>
          <w:szCs w:val="20"/>
        </w:rPr>
        <w:t xml:space="preserve"> </w:t>
      </w:r>
      <w:r>
        <w:rPr>
          <w:rFonts w:ascii="宋体" w:hAnsi="宋体" w:eastAsia="宋体" w:cs="宋体"/>
          <w:spacing w:val="9"/>
          <w:sz w:val="20"/>
          <w:szCs w:val="20"/>
        </w:rPr>
        <w:t>箱涵重量，以此类推。“箱涵位移距离”</w:t>
      </w:r>
      <w:r>
        <w:rPr>
          <w:rFonts w:ascii="宋体" w:hAnsi="宋体" w:eastAsia="宋体" w:cs="宋体"/>
          <w:spacing w:val="8"/>
          <w:sz w:val="20"/>
          <w:szCs w:val="20"/>
        </w:rPr>
        <w:t xml:space="preserve"> 指每次顶进的距离，</w:t>
      </w:r>
      <w:r>
        <w:rPr>
          <w:rFonts w:ascii="宋体" w:hAnsi="宋体" w:eastAsia="宋体" w:cs="宋体"/>
          <w:spacing w:val="14"/>
          <w:sz w:val="20"/>
          <w:szCs w:val="20"/>
        </w:rPr>
        <w:t>例如：每节预制段为</w:t>
      </w:r>
      <w:r>
        <w:rPr>
          <w:rFonts w:ascii="宋体" w:hAnsi="宋体" w:eastAsia="宋体" w:cs="宋体"/>
          <w:spacing w:val="-36"/>
          <w:sz w:val="20"/>
          <w:szCs w:val="20"/>
        </w:rPr>
        <w:t xml:space="preserve"> </w:t>
      </w:r>
      <w:r>
        <w:rPr>
          <w:rFonts w:ascii="宋体" w:hAnsi="宋体" w:eastAsia="宋体" w:cs="宋体"/>
          <w:spacing w:val="14"/>
          <w:sz w:val="20"/>
          <w:szCs w:val="20"/>
        </w:rPr>
        <w:t>5m，则每次位移距离为5m。</w:t>
      </w:r>
    </w:p>
    <w:p>
      <w:pPr>
        <w:spacing w:before="3" w:line="368" w:lineRule="auto"/>
        <w:ind w:right="64" w:firstLine="420"/>
        <w:jc w:val="both"/>
        <w:rPr>
          <w:rFonts w:ascii="宋体" w:hAnsi="宋体" w:eastAsia="宋体" w:cs="宋体"/>
          <w:sz w:val="20"/>
          <w:szCs w:val="20"/>
        </w:rPr>
      </w:pPr>
      <w:r>
        <w:rPr>
          <w:rFonts w:ascii="宋体" w:hAnsi="宋体" w:eastAsia="宋体" w:cs="宋体"/>
          <w:spacing w:val="6"/>
          <w:sz w:val="20"/>
          <w:szCs w:val="20"/>
        </w:rPr>
        <w:t>套用定额时，例如：每节</w:t>
      </w:r>
      <w:r>
        <w:rPr>
          <w:rFonts w:ascii="宋体" w:hAnsi="宋体" w:eastAsia="宋体" w:cs="宋体"/>
          <w:spacing w:val="-39"/>
          <w:sz w:val="20"/>
          <w:szCs w:val="20"/>
        </w:rPr>
        <w:t xml:space="preserve"> </w:t>
      </w:r>
      <w:r>
        <w:rPr>
          <w:rFonts w:ascii="宋体" w:hAnsi="宋体" w:eastAsia="宋体" w:cs="宋体"/>
          <w:spacing w:val="6"/>
          <w:sz w:val="20"/>
          <w:szCs w:val="20"/>
        </w:rPr>
        <w:t>5m，每节重量</w:t>
      </w:r>
      <w:r>
        <w:rPr>
          <w:rFonts w:ascii="宋体" w:hAnsi="宋体" w:eastAsia="宋体" w:cs="宋体"/>
          <w:spacing w:val="-22"/>
          <w:sz w:val="20"/>
          <w:szCs w:val="20"/>
        </w:rPr>
        <w:t xml:space="preserve"> </w:t>
      </w:r>
      <w:r>
        <w:rPr>
          <w:rFonts w:ascii="宋体" w:hAnsi="宋体" w:eastAsia="宋体" w:cs="宋体"/>
          <w:spacing w:val="6"/>
          <w:sz w:val="20"/>
          <w:szCs w:val="20"/>
        </w:rPr>
        <w:t>140t，顶</w:t>
      </w:r>
      <w:r>
        <w:rPr>
          <w:rFonts w:ascii="宋体" w:hAnsi="宋体" w:eastAsia="宋体" w:cs="宋体"/>
          <w:spacing w:val="5"/>
          <w:sz w:val="20"/>
          <w:szCs w:val="20"/>
        </w:rPr>
        <w:t>进第一节工程量为</w:t>
      </w:r>
      <w:r>
        <w:rPr>
          <w:rFonts w:ascii="宋体" w:hAnsi="宋体" w:eastAsia="宋体" w:cs="宋体"/>
          <w:spacing w:val="-22"/>
          <w:sz w:val="20"/>
          <w:szCs w:val="20"/>
        </w:rPr>
        <w:t xml:space="preserve"> </w:t>
      </w:r>
      <w:r>
        <w:rPr>
          <w:rFonts w:ascii="宋体" w:hAnsi="宋体" w:eastAsia="宋体" w:cs="宋体"/>
          <w:spacing w:val="5"/>
          <w:sz w:val="20"/>
          <w:szCs w:val="20"/>
        </w:rPr>
        <w:t>140</w:t>
      </w:r>
      <w:r>
        <w:rPr>
          <w:rFonts w:ascii="宋体" w:hAnsi="宋体" w:eastAsia="宋体" w:cs="宋体"/>
          <w:spacing w:val="-40"/>
          <w:sz w:val="20"/>
          <w:szCs w:val="20"/>
        </w:rPr>
        <w:t xml:space="preserve"> </w:t>
      </w:r>
      <w:r>
        <w:rPr>
          <w:rFonts w:ascii="宋体" w:hAnsi="宋体" w:eastAsia="宋体" w:cs="宋体"/>
          <w:spacing w:val="5"/>
          <w:sz w:val="20"/>
          <w:szCs w:val="20"/>
        </w:rPr>
        <w:t>×5=700t.m，顶进第七</w:t>
      </w:r>
      <w:r>
        <w:rPr>
          <w:rFonts w:ascii="宋体" w:hAnsi="宋体" w:eastAsia="宋体" w:cs="宋体"/>
          <w:spacing w:val="2"/>
          <w:sz w:val="20"/>
          <w:szCs w:val="20"/>
        </w:rPr>
        <w:t>节工程量为</w:t>
      </w:r>
      <w:r>
        <w:rPr>
          <w:rFonts w:ascii="宋体" w:hAnsi="宋体" w:eastAsia="宋体" w:cs="宋体"/>
          <w:spacing w:val="-22"/>
          <w:sz w:val="20"/>
          <w:szCs w:val="20"/>
        </w:rPr>
        <w:t xml:space="preserve"> </w:t>
      </w:r>
      <w:r>
        <w:rPr>
          <w:rFonts w:ascii="宋体" w:hAnsi="宋体" w:eastAsia="宋体" w:cs="宋体"/>
          <w:spacing w:val="2"/>
          <w:sz w:val="20"/>
          <w:szCs w:val="20"/>
        </w:rPr>
        <w:t>140</w:t>
      </w:r>
      <w:r>
        <w:rPr>
          <w:rFonts w:ascii="宋体" w:hAnsi="宋体" w:eastAsia="宋体" w:cs="宋体"/>
          <w:spacing w:val="-43"/>
          <w:sz w:val="20"/>
          <w:szCs w:val="20"/>
        </w:rPr>
        <w:t xml:space="preserve"> </w:t>
      </w:r>
      <w:r>
        <w:rPr>
          <w:rFonts w:ascii="宋体" w:hAnsi="宋体" w:eastAsia="宋体" w:cs="宋体"/>
          <w:spacing w:val="2"/>
          <w:sz w:val="20"/>
          <w:szCs w:val="20"/>
        </w:rPr>
        <w:t>×7</w:t>
      </w:r>
      <w:r>
        <w:rPr>
          <w:rFonts w:ascii="宋体" w:hAnsi="宋体" w:eastAsia="宋体" w:cs="宋体"/>
          <w:spacing w:val="-42"/>
          <w:sz w:val="20"/>
          <w:szCs w:val="20"/>
        </w:rPr>
        <w:t xml:space="preserve"> </w:t>
      </w:r>
      <w:r>
        <w:rPr>
          <w:rFonts w:ascii="宋体" w:hAnsi="宋体" w:eastAsia="宋体" w:cs="宋体"/>
          <w:spacing w:val="2"/>
          <w:sz w:val="20"/>
          <w:szCs w:val="20"/>
        </w:rPr>
        <w:t>×5=4900t.m，第一节自重为</w:t>
      </w:r>
      <w:r>
        <w:rPr>
          <w:rFonts w:ascii="宋体" w:hAnsi="宋体" w:eastAsia="宋体" w:cs="宋体"/>
          <w:spacing w:val="-25"/>
          <w:sz w:val="20"/>
          <w:szCs w:val="20"/>
        </w:rPr>
        <w:t xml:space="preserve"> </w:t>
      </w:r>
      <w:r>
        <w:rPr>
          <w:rFonts w:ascii="宋体" w:hAnsi="宋体" w:eastAsia="宋体" w:cs="宋体"/>
          <w:spacing w:val="2"/>
          <w:sz w:val="20"/>
          <w:szCs w:val="20"/>
        </w:rPr>
        <w:t>140t，第七节自重为980t，即第一</w:t>
      </w:r>
      <w:r>
        <w:rPr>
          <w:rFonts w:ascii="宋体" w:hAnsi="宋体" w:eastAsia="宋体" w:cs="宋体"/>
          <w:spacing w:val="1"/>
          <w:sz w:val="20"/>
          <w:szCs w:val="20"/>
        </w:rPr>
        <w:t>节到第七节套用定</w:t>
      </w:r>
      <w:r>
        <w:rPr>
          <w:rFonts w:ascii="宋体" w:hAnsi="宋体" w:eastAsia="宋体" w:cs="宋体"/>
          <w:sz w:val="20"/>
          <w:szCs w:val="20"/>
        </w:rPr>
        <w:t>额“箱涵顶进自重</w:t>
      </w:r>
      <w:r>
        <w:rPr>
          <w:rFonts w:ascii="宋体" w:hAnsi="宋体" w:eastAsia="宋体" w:cs="宋体"/>
          <w:spacing w:val="42"/>
          <w:sz w:val="20"/>
          <w:szCs w:val="20"/>
        </w:rPr>
        <w:t xml:space="preserve"> </w:t>
      </w:r>
      <w:r>
        <w:rPr>
          <w:rFonts w:ascii="宋体" w:hAnsi="宋体" w:eastAsia="宋体" w:cs="宋体"/>
          <w:sz w:val="20"/>
          <w:szCs w:val="20"/>
        </w:rPr>
        <w:t>1000t</w:t>
      </w:r>
      <w:r>
        <w:rPr>
          <w:rFonts w:ascii="宋体" w:hAnsi="宋体" w:eastAsia="宋体" w:cs="宋体"/>
          <w:spacing w:val="28"/>
          <w:sz w:val="20"/>
          <w:szCs w:val="20"/>
        </w:rPr>
        <w:t xml:space="preserve"> </w:t>
      </w:r>
      <w:r>
        <w:rPr>
          <w:rFonts w:ascii="宋体" w:hAnsi="宋体" w:eastAsia="宋体" w:cs="宋体"/>
          <w:sz w:val="20"/>
          <w:szCs w:val="20"/>
        </w:rPr>
        <w:t>以内”</w:t>
      </w:r>
      <w:r>
        <w:rPr>
          <w:rFonts w:ascii="宋体" w:hAnsi="宋体" w:eastAsia="宋体" w:cs="宋体"/>
          <w:spacing w:val="-70"/>
          <w:sz w:val="20"/>
          <w:szCs w:val="20"/>
        </w:rPr>
        <w:t xml:space="preserve"> </w:t>
      </w:r>
      <w:r>
        <w:rPr>
          <w:rFonts w:ascii="宋体" w:hAnsi="宋体" w:eastAsia="宋体" w:cs="宋体"/>
          <w:sz w:val="20"/>
          <w:szCs w:val="20"/>
        </w:rPr>
        <w:t>；顶进第八节工程量为</w:t>
      </w:r>
      <w:r>
        <w:rPr>
          <w:rFonts w:ascii="宋体" w:hAnsi="宋体" w:eastAsia="宋体" w:cs="宋体"/>
          <w:spacing w:val="-22"/>
          <w:sz w:val="20"/>
          <w:szCs w:val="20"/>
        </w:rPr>
        <w:t xml:space="preserve"> </w:t>
      </w:r>
      <w:r>
        <w:rPr>
          <w:rFonts w:ascii="宋体" w:hAnsi="宋体" w:eastAsia="宋体" w:cs="宋体"/>
          <w:sz w:val="20"/>
          <w:szCs w:val="20"/>
        </w:rPr>
        <w:t>140</w:t>
      </w:r>
      <w:r>
        <w:rPr>
          <w:rFonts w:ascii="宋体" w:hAnsi="宋体" w:eastAsia="宋体" w:cs="宋体"/>
          <w:spacing w:val="-43"/>
          <w:sz w:val="20"/>
          <w:szCs w:val="20"/>
        </w:rPr>
        <w:t xml:space="preserve"> </w:t>
      </w:r>
      <w:r>
        <w:rPr>
          <w:rFonts w:ascii="宋体" w:hAnsi="宋体" w:eastAsia="宋体" w:cs="宋体"/>
          <w:sz w:val="20"/>
          <w:szCs w:val="20"/>
        </w:rPr>
        <w:t>×8</w:t>
      </w:r>
      <w:r>
        <w:rPr>
          <w:rFonts w:ascii="宋体" w:hAnsi="宋体" w:eastAsia="宋体" w:cs="宋体"/>
          <w:spacing w:val="-42"/>
          <w:sz w:val="20"/>
          <w:szCs w:val="20"/>
        </w:rPr>
        <w:t xml:space="preserve"> </w:t>
      </w:r>
      <w:r>
        <w:rPr>
          <w:rFonts w:ascii="宋体" w:hAnsi="宋体" w:eastAsia="宋体" w:cs="宋体"/>
          <w:sz w:val="20"/>
          <w:szCs w:val="20"/>
        </w:rPr>
        <w:t>×5=5600t.m，第八节自重为</w:t>
      </w:r>
      <w:r>
        <w:rPr>
          <w:rFonts w:ascii="宋体" w:hAnsi="宋体" w:eastAsia="宋体" w:cs="宋体"/>
          <w:spacing w:val="-25"/>
          <w:sz w:val="20"/>
          <w:szCs w:val="20"/>
        </w:rPr>
        <w:t xml:space="preserve"> </w:t>
      </w:r>
      <w:r>
        <w:rPr>
          <w:rFonts w:ascii="宋体" w:hAnsi="宋体" w:eastAsia="宋体" w:cs="宋体"/>
          <w:sz w:val="20"/>
          <w:szCs w:val="20"/>
        </w:rPr>
        <w:t>1120t，</w:t>
      </w:r>
      <w:r>
        <w:rPr>
          <w:rFonts w:ascii="宋体" w:hAnsi="宋体" w:eastAsia="宋体" w:cs="宋体"/>
          <w:spacing w:val="5"/>
          <w:sz w:val="20"/>
          <w:szCs w:val="20"/>
        </w:rPr>
        <w:t>套用定额“箱涵顶进自重 2000t 以内”</w:t>
      </w:r>
      <w:r>
        <w:rPr>
          <w:rFonts w:ascii="宋体" w:hAnsi="宋体" w:eastAsia="宋体" w:cs="宋体"/>
          <w:spacing w:val="-66"/>
          <w:sz w:val="20"/>
          <w:szCs w:val="20"/>
        </w:rPr>
        <w:t xml:space="preserve"> </w:t>
      </w:r>
      <w:r>
        <w:rPr>
          <w:rFonts w:ascii="宋体" w:hAnsi="宋体" w:eastAsia="宋体" w:cs="宋体"/>
          <w:spacing w:val="5"/>
          <w:sz w:val="20"/>
          <w:szCs w:val="20"/>
        </w:rPr>
        <w:t>，以此类推。</w:t>
      </w:r>
    </w:p>
    <w:p>
      <w:pPr>
        <w:spacing w:before="3" w:line="276" w:lineRule="exact"/>
        <w:ind w:left="423"/>
        <w:rPr>
          <w:rFonts w:ascii="宋体" w:hAnsi="宋体" w:eastAsia="宋体" w:cs="宋体"/>
          <w:sz w:val="20"/>
          <w:szCs w:val="20"/>
        </w:rPr>
      </w:pPr>
      <w:r>
        <w:rPr>
          <w:rFonts w:ascii="宋体" w:hAnsi="宋体" w:eastAsia="宋体" w:cs="宋体"/>
          <w:b/>
          <w:bCs/>
          <w:spacing w:val="2"/>
          <w:position w:val="1"/>
          <w:sz w:val="20"/>
          <w:szCs w:val="20"/>
        </w:rPr>
        <w:t>53.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关于现浇箱涵的计价</w:t>
      </w:r>
    </w:p>
    <w:p>
      <w:pPr>
        <w:spacing w:before="129" w:line="220" w:lineRule="auto"/>
        <w:ind w:left="420"/>
        <w:rPr>
          <w:rFonts w:ascii="宋体" w:hAnsi="宋体" w:eastAsia="宋体" w:cs="宋体"/>
          <w:sz w:val="20"/>
          <w:szCs w:val="20"/>
        </w:rPr>
      </w:pPr>
      <w:r>
        <w:rPr>
          <w:rFonts w:ascii="宋体" w:hAnsi="宋体" w:eastAsia="宋体" w:cs="宋体"/>
          <w:spacing w:val="9"/>
          <w:sz w:val="20"/>
          <w:szCs w:val="20"/>
        </w:rPr>
        <w:t>第六章立交箱涵适用于现浇箱涵工程。</w:t>
      </w:r>
    </w:p>
    <w:p>
      <w:pPr>
        <w:spacing w:before="160" w:line="370" w:lineRule="auto"/>
        <w:ind w:left="2" w:right="67" w:firstLine="422"/>
        <w:rPr>
          <w:rFonts w:ascii="宋体" w:hAnsi="宋体" w:eastAsia="宋体" w:cs="宋体"/>
          <w:sz w:val="20"/>
          <w:szCs w:val="20"/>
        </w:rPr>
      </w:pPr>
      <w:r>
        <w:rPr>
          <w:rFonts w:ascii="宋体" w:hAnsi="宋体" w:eastAsia="宋体" w:cs="宋体"/>
          <w:spacing w:val="11"/>
          <w:sz w:val="20"/>
          <w:szCs w:val="20"/>
        </w:rPr>
        <w:t>现浇混凝土箱涵侧墙与底板相交部分并入底板计算，现浇混凝土箱涵侧</w:t>
      </w:r>
      <w:r>
        <w:rPr>
          <w:rFonts w:ascii="宋体" w:hAnsi="宋体" w:eastAsia="宋体" w:cs="宋体"/>
          <w:spacing w:val="10"/>
          <w:sz w:val="20"/>
          <w:szCs w:val="20"/>
        </w:rPr>
        <w:t>墙与顶板相交部分并入</w:t>
      </w:r>
      <w:r>
        <w:rPr>
          <w:rFonts w:ascii="宋体" w:hAnsi="宋体" w:eastAsia="宋体" w:cs="宋体"/>
          <w:spacing w:val="8"/>
          <w:sz w:val="20"/>
          <w:szCs w:val="20"/>
        </w:rPr>
        <w:t>顶板计算。腋角并入侧墙计算。</w:t>
      </w:r>
    </w:p>
    <w:p>
      <w:pPr>
        <w:spacing w:before="3" w:line="367" w:lineRule="auto"/>
        <w:ind w:right="67" w:firstLine="424"/>
        <w:jc w:val="both"/>
        <w:rPr>
          <w:rFonts w:ascii="宋体" w:hAnsi="宋体" w:eastAsia="宋体" w:cs="宋体"/>
          <w:sz w:val="20"/>
          <w:szCs w:val="20"/>
        </w:rPr>
      </w:pPr>
      <w:r>
        <w:rPr>
          <w:rFonts w:ascii="宋体" w:hAnsi="宋体" w:eastAsia="宋体" w:cs="宋体"/>
          <w:spacing w:val="11"/>
          <w:sz w:val="20"/>
          <w:szCs w:val="20"/>
        </w:rPr>
        <w:t>现浇混凝土箱涵底板模板按照底板厚度计算模板高度，现浇混凝土箱涵</w:t>
      </w:r>
      <w:r>
        <w:rPr>
          <w:rFonts w:ascii="宋体" w:hAnsi="宋体" w:eastAsia="宋体" w:cs="宋体"/>
          <w:spacing w:val="10"/>
          <w:sz w:val="20"/>
          <w:szCs w:val="20"/>
        </w:rPr>
        <w:t>侧墙外侧模板从底板顶</w:t>
      </w:r>
      <w:r>
        <w:rPr>
          <w:rFonts w:ascii="宋体" w:hAnsi="宋体" w:eastAsia="宋体" w:cs="宋体"/>
          <w:spacing w:val="11"/>
          <w:sz w:val="20"/>
          <w:szCs w:val="20"/>
        </w:rPr>
        <w:t>算至顶板板顶，内侧模板自底板顶算至顶板底，顶板下有腋角的，内侧模板算至</w:t>
      </w:r>
      <w:r>
        <w:rPr>
          <w:rFonts w:ascii="宋体" w:hAnsi="宋体" w:eastAsia="宋体" w:cs="宋体"/>
          <w:spacing w:val="10"/>
          <w:sz w:val="20"/>
          <w:szCs w:val="20"/>
        </w:rPr>
        <w:t>腋角底，顶板下的</w:t>
      </w:r>
      <w:r>
        <w:rPr>
          <w:rFonts w:ascii="宋体" w:hAnsi="宋体" w:eastAsia="宋体" w:cs="宋体"/>
          <w:spacing w:val="9"/>
          <w:sz w:val="20"/>
          <w:szCs w:val="20"/>
        </w:rPr>
        <w:t>腋角模板并入顶板模板计算，底板与侧墙相交处的腋角并入侧墙模板计算。</w:t>
      </w:r>
    </w:p>
    <w:p>
      <w:pPr>
        <w:spacing w:line="277" w:lineRule="exact"/>
        <w:ind w:left="423"/>
        <w:rPr>
          <w:rFonts w:ascii="宋体" w:hAnsi="宋体" w:eastAsia="宋体" w:cs="宋体"/>
          <w:sz w:val="20"/>
          <w:szCs w:val="20"/>
        </w:rPr>
      </w:pPr>
      <w:r>
        <w:rPr>
          <w:rFonts w:ascii="宋体" w:hAnsi="宋体" w:eastAsia="宋体" w:cs="宋体"/>
          <w:b/>
          <w:bCs/>
          <w:spacing w:val="2"/>
          <w:position w:val="1"/>
          <w:sz w:val="20"/>
          <w:szCs w:val="20"/>
        </w:rPr>
        <w:t>54.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关于定额</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3-9-27</w:t>
      </w:r>
      <w:r>
        <w:rPr>
          <w:rFonts w:ascii="宋体" w:hAnsi="宋体" w:eastAsia="宋体" w:cs="宋体"/>
          <w:spacing w:val="-59"/>
          <w:position w:val="1"/>
          <w:sz w:val="20"/>
          <w:szCs w:val="20"/>
        </w:rPr>
        <w:t xml:space="preserve"> </w:t>
      </w:r>
      <w:r>
        <w:rPr>
          <w:rFonts w:ascii="宋体" w:hAnsi="宋体" w:eastAsia="宋体" w:cs="宋体"/>
          <w:b/>
          <w:bCs/>
          <w:spacing w:val="2"/>
          <w:position w:val="1"/>
          <w:sz w:val="20"/>
          <w:szCs w:val="20"/>
        </w:rPr>
        <w:t>～</w:t>
      </w:r>
      <w:r>
        <w:rPr>
          <w:rFonts w:ascii="宋体" w:hAnsi="宋体" w:eastAsia="宋体" w:cs="宋体"/>
          <w:spacing w:val="-49"/>
          <w:position w:val="1"/>
          <w:sz w:val="20"/>
          <w:szCs w:val="20"/>
        </w:rPr>
        <w:t xml:space="preserve"> </w:t>
      </w:r>
      <w:r>
        <w:rPr>
          <w:rFonts w:ascii="宋体" w:hAnsi="宋体" w:eastAsia="宋体" w:cs="宋体"/>
          <w:b/>
          <w:bCs/>
          <w:spacing w:val="2"/>
          <w:position w:val="1"/>
          <w:sz w:val="20"/>
          <w:szCs w:val="20"/>
        </w:rPr>
        <w:t>3-9-31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安装沉降缝的计量</w:t>
      </w:r>
    </w:p>
    <w:p>
      <w:pPr>
        <w:spacing w:before="125" w:line="221" w:lineRule="auto"/>
        <w:ind w:left="422"/>
        <w:rPr>
          <w:rFonts w:ascii="宋体" w:hAnsi="宋体" w:eastAsia="宋体" w:cs="宋体"/>
          <w:sz w:val="20"/>
          <w:szCs w:val="20"/>
        </w:rPr>
      </w:pPr>
      <w:r>
        <w:rPr>
          <w:rFonts w:ascii="宋体" w:hAnsi="宋体" w:eastAsia="宋体" w:cs="宋体"/>
          <w:spacing w:val="9"/>
          <w:sz w:val="20"/>
          <w:szCs w:val="20"/>
        </w:rPr>
        <w:t>安装沉降缝是指按构筑物设计尺寸计算的横断面面积。</w:t>
      </w:r>
    </w:p>
    <w:p>
      <w:pPr>
        <w:spacing w:before="157" w:line="278" w:lineRule="exact"/>
        <w:ind w:left="423"/>
        <w:rPr>
          <w:rFonts w:ascii="宋体" w:hAnsi="宋体" w:eastAsia="宋体" w:cs="宋体"/>
          <w:sz w:val="20"/>
          <w:szCs w:val="20"/>
        </w:rPr>
      </w:pPr>
      <w:r>
        <w:rPr>
          <w:rFonts w:ascii="宋体" w:hAnsi="宋体" w:eastAsia="宋体" w:cs="宋体"/>
          <w:b/>
          <w:bCs/>
          <w:spacing w:val="3"/>
          <w:position w:val="1"/>
          <w:sz w:val="20"/>
          <w:szCs w:val="20"/>
        </w:rPr>
        <w:t>55.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关于水平导向钻进定额的应用</w:t>
      </w:r>
    </w:p>
    <w:p>
      <w:pPr>
        <w:spacing w:before="123" w:line="312" w:lineRule="auto"/>
        <w:ind w:left="3" w:right="64" w:firstLine="409"/>
        <w:rPr>
          <w:rFonts w:ascii="宋体" w:hAnsi="宋体" w:eastAsia="宋体" w:cs="宋体"/>
          <w:sz w:val="20"/>
          <w:szCs w:val="20"/>
        </w:rPr>
      </w:pPr>
      <w:r>
        <w:rPr>
          <w:rFonts w:ascii="宋体" w:hAnsi="宋体" w:eastAsia="宋体" w:cs="宋体"/>
          <w:spacing w:val="11"/>
          <w:sz w:val="20"/>
          <w:szCs w:val="20"/>
        </w:rPr>
        <w:t>（</w:t>
      </w:r>
      <w:r>
        <w:rPr>
          <w:rFonts w:ascii="宋体" w:hAnsi="宋体" w:eastAsia="宋体" w:cs="宋体"/>
          <w:spacing w:val="-46"/>
          <w:sz w:val="20"/>
          <w:szCs w:val="20"/>
        </w:rPr>
        <w:t xml:space="preserve"> </w:t>
      </w:r>
      <w:r>
        <w:rPr>
          <w:rFonts w:ascii="宋体" w:hAnsi="宋体" w:eastAsia="宋体" w:cs="宋体"/>
          <w:spacing w:val="11"/>
          <w:sz w:val="20"/>
          <w:szCs w:val="20"/>
        </w:rPr>
        <w:t>1）定额项目名称中的</w:t>
      </w:r>
      <w:r>
        <w:rPr>
          <w:rFonts w:ascii="宋体" w:hAnsi="宋体" w:eastAsia="宋体" w:cs="宋体"/>
          <w:spacing w:val="-39"/>
          <w:sz w:val="20"/>
          <w:szCs w:val="20"/>
        </w:rPr>
        <w:t xml:space="preserve"> </w:t>
      </w:r>
      <w:r>
        <w:rPr>
          <w:rFonts w:ascii="宋体" w:hAnsi="宋体" w:eastAsia="宋体" w:cs="宋体"/>
          <w:sz w:val="20"/>
          <w:szCs w:val="20"/>
        </w:rPr>
        <w:t>DN</w:t>
      </w:r>
      <w:r>
        <w:rPr>
          <w:rFonts w:ascii="宋体" w:hAnsi="宋体" w:eastAsia="宋体" w:cs="宋体"/>
          <w:spacing w:val="11"/>
          <w:sz w:val="20"/>
          <w:szCs w:val="20"/>
        </w:rPr>
        <w:t>：单管铺设时指铺管管道公称直径，多管铺设在同一孔内时，按多</w:t>
      </w:r>
      <w:r>
        <w:rPr>
          <w:rFonts w:ascii="宋体" w:hAnsi="宋体" w:eastAsia="宋体" w:cs="宋体"/>
          <w:spacing w:val="10"/>
          <w:sz w:val="20"/>
          <w:szCs w:val="20"/>
        </w:rPr>
        <w:t>管最大外围直径计算。当拖拉带保温层管道</w:t>
      </w:r>
      <w:r>
        <w:rPr>
          <w:rFonts w:ascii="宋体" w:hAnsi="宋体" w:eastAsia="宋体" w:cs="宋体"/>
          <w:spacing w:val="9"/>
          <w:sz w:val="20"/>
          <w:szCs w:val="20"/>
        </w:rPr>
        <w:t>时，按保温管道（含保温层厚度）直径计算。</w:t>
      </w:r>
    </w:p>
    <w:p>
      <w:pPr>
        <w:spacing w:before="123" w:line="298" w:lineRule="auto"/>
        <w:ind w:right="66" w:firstLine="412"/>
        <w:rPr>
          <w:rFonts w:ascii="宋体" w:hAnsi="宋体" w:eastAsia="宋体" w:cs="宋体"/>
          <w:sz w:val="20"/>
          <w:szCs w:val="20"/>
        </w:rPr>
      </w:pPr>
      <w:r>
        <w:rPr>
          <w:rFonts w:ascii="宋体" w:hAnsi="宋体" w:eastAsia="宋体" w:cs="宋体"/>
          <w:spacing w:val="8"/>
          <w:sz w:val="20"/>
          <w:szCs w:val="20"/>
        </w:rPr>
        <w:t>（2）水平导向钻进定额的使用顺序是钻导向孔、扩孔、回拖布管三个定额，钻导向孔和扩孔均</w:t>
      </w:r>
      <w:r>
        <w:rPr>
          <w:rFonts w:ascii="宋体" w:hAnsi="宋体" w:eastAsia="宋体" w:cs="宋体"/>
          <w:spacing w:val="10"/>
          <w:sz w:val="20"/>
          <w:szCs w:val="20"/>
        </w:rPr>
        <w:t>按照管道直径选择相应定额项目，每项扩孔子目均已综合考</w:t>
      </w:r>
      <w:r>
        <w:rPr>
          <w:rFonts w:ascii="宋体" w:hAnsi="宋体" w:eastAsia="宋体" w:cs="宋体"/>
          <w:spacing w:val="9"/>
          <w:sz w:val="20"/>
          <w:szCs w:val="20"/>
        </w:rPr>
        <w:t>虑了多次扩孔直至满足设计铺管要求。</w:t>
      </w:r>
    </w:p>
    <w:p>
      <w:pPr>
        <w:spacing w:before="154" w:line="369" w:lineRule="auto"/>
        <w:ind w:firstLine="423"/>
        <w:jc w:val="both"/>
        <w:rPr>
          <w:rFonts w:ascii="宋体" w:hAnsi="宋体" w:eastAsia="宋体" w:cs="宋体"/>
          <w:sz w:val="20"/>
          <w:szCs w:val="20"/>
        </w:rPr>
      </w:pPr>
      <w:r>
        <w:rPr>
          <w:rFonts w:ascii="宋体" w:hAnsi="宋体" w:eastAsia="宋体" w:cs="宋体"/>
          <w:spacing w:val="8"/>
          <w:sz w:val="20"/>
          <w:szCs w:val="20"/>
        </w:rPr>
        <w:t>例如：设计铺设</w:t>
      </w:r>
      <w:r>
        <w:rPr>
          <w:rFonts w:ascii="宋体" w:hAnsi="宋体" w:eastAsia="宋体" w:cs="宋体"/>
          <w:spacing w:val="-34"/>
          <w:sz w:val="20"/>
          <w:szCs w:val="20"/>
        </w:rPr>
        <w:t xml:space="preserve"> </w:t>
      </w:r>
      <w:r>
        <w:rPr>
          <w:rFonts w:ascii="宋体" w:hAnsi="宋体" w:eastAsia="宋体" w:cs="宋体"/>
          <w:sz w:val="20"/>
          <w:szCs w:val="20"/>
        </w:rPr>
        <w:t>DN</w:t>
      </w:r>
      <w:r>
        <w:rPr>
          <w:rFonts w:ascii="宋体" w:hAnsi="宋体" w:eastAsia="宋体" w:cs="宋体"/>
          <w:spacing w:val="8"/>
          <w:sz w:val="20"/>
          <w:szCs w:val="20"/>
        </w:rPr>
        <w:t>200</w:t>
      </w:r>
      <w:r>
        <w:rPr>
          <w:rFonts w:ascii="宋体" w:hAnsi="宋体" w:eastAsia="宋体" w:cs="宋体"/>
          <w:spacing w:val="-24"/>
          <w:sz w:val="20"/>
          <w:szCs w:val="20"/>
        </w:rPr>
        <w:t xml:space="preserve"> </w:t>
      </w:r>
      <w:r>
        <w:rPr>
          <w:rFonts w:ascii="宋体" w:hAnsi="宋体" w:eastAsia="宋体" w:cs="宋体"/>
          <w:spacing w:val="8"/>
          <w:sz w:val="20"/>
          <w:szCs w:val="20"/>
        </w:rPr>
        <w:t>的管道，导向钻孔应套用</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8"/>
          <w:sz w:val="20"/>
          <w:szCs w:val="20"/>
        </w:rPr>
        <w:t xml:space="preserve">≤300 定额子目，扩孔应套用 </w:t>
      </w:r>
      <w:r>
        <w:rPr>
          <w:rFonts w:ascii="宋体" w:hAnsi="宋体" w:eastAsia="宋体" w:cs="宋体"/>
          <w:sz w:val="20"/>
          <w:szCs w:val="20"/>
        </w:rPr>
        <w:t>DN</w:t>
      </w:r>
      <w:r>
        <w:rPr>
          <w:rFonts w:ascii="宋体" w:hAnsi="宋体" w:eastAsia="宋体" w:cs="宋体"/>
          <w:spacing w:val="8"/>
          <w:sz w:val="20"/>
          <w:szCs w:val="20"/>
        </w:rPr>
        <w:t>200</w:t>
      </w:r>
      <w:r>
        <w:rPr>
          <w:rFonts w:ascii="宋体" w:hAnsi="宋体" w:eastAsia="宋体" w:cs="宋体"/>
          <w:spacing w:val="-40"/>
          <w:sz w:val="20"/>
          <w:szCs w:val="20"/>
        </w:rPr>
        <w:t xml:space="preserve"> </w:t>
      </w:r>
      <w:r>
        <w:rPr>
          <w:rFonts w:ascii="宋体" w:hAnsi="宋体" w:eastAsia="宋体" w:cs="宋体"/>
          <w:spacing w:val="8"/>
          <w:sz w:val="20"/>
          <w:szCs w:val="20"/>
        </w:rPr>
        <w:t>子目，</w:t>
      </w:r>
      <w:r>
        <w:rPr>
          <w:rFonts w:ascii="宋体" w:hAnsi="宋体" w:eastAsia="宋体" w:cs="宋体"/>
          <w:spacing w:val="13"/>
          <w:sz w:val="20"/>
          <w:szCs w:val="20"/>
        </w:rPr>
        <w:t>回拖布管套用</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13"/>
          <w:sz w:val="20"/>
          <w:szCs w:val="20"/>
        </w:rPr>
        <w:t>200</w:t>
      </w:r>
      <w:r>
        <w:rPr>
          <w:rFonts w:ascii="宋体" w:hAnsi="宋体" w:eastAsia="宋体" w:cs="宋体"/>
          <w:spacing w:val="-37"/>
          <w:sz w:val="20"/>
          <w:szCs w:val="20"/>
        </w:rPr>
        <w:t xml:space="preserve"> </w:t>
      </w:r>
      <w:r>
        <w:rPr>
          <w:rFonts w:ascii="宋体" w:hAnsi="宋体" w:eastAsia="宋体" w:cs="宋体"/>
          <w:spacing w:val="13"/>
          <w:sz w:val="20"/>
          <w:szCs w:val="20"/>
        </w:rPr>
        <w:t>子目。设计铺设</w:t>
      </w:r>
      <w:r>
        <w:rPr>
          <w:rFonts w:ascii="宋体" w:hAnsi="宋体" w:eastAsia="宋体" w:cs="宋体"/>
          <w:spacing w:val="-40"/>
          <w:sz w:val="20"/>
          <w:szCs w:val="20"/>
        </w:rPr>
        <w:t xml:space="preserve"> </w:t>
      </w:r>
      <w:r>
        <w:rPr>
          <w:rFonts w:ascii="宋体" w:hAnsi="宋体" w:eastAsia="宋体" w:cs="宋体"/>
          <w:sz w:val="20"/>
          <w:szCs w:val="20"/>
        </w:rPr>
        <w:t>DN</w:t>
      </w:r>
      <w:r>
        <w:rPr>
          <w:rFonts w:ascii="宋体" w:hAnsi="宋体" w:eastAsia="宋体" w:cs="宋体"/>
          <w:spacing w:val="13"/>
          <w:sz w:val="20"/>
          <w:szCs w:val="20"/>
        </w:rPr>
        <w:t>800</w:t>
      </w:r>
      <w:r>
        <w:rPr>
          <w:rFonts w:ascii="宋体" w:hAnsi="宋体" w:eastAsia="宋体" w:cs="宋体"/>
          <w:spacing w:val="-24"/>
          <w:sz w:val="20"/>
          <w:szCs w:val="20"/>
        </w:rPr>
        <w:t xml:space="preserve"> </w:t>
      </w:r>
      <w:r>
        <w:rPr>
          <w:rFonts w:ascii="宋体" w:hAnsi="宋体" w:eastAsia="宋体" w:cs="宋体"/>
          <w:spacing w:val="13"/>
          <w:sz w:val="20"/>
          <w:szCs w:val="20"/>
        </w:rPr>
        <w:t>的管道，导向钻孔应套用</w:t>
      </w:r>
      <w:r>
        <w:rPr>
          <w:rFonts w:ascii="宋体" w:hAnsi="宋体" w:eastAsia="宋体" w:cs="宋体"/>
          <w:spacing w:val="-36"/>
          <w:sz w:val="20"/>
          <w:szCs w:val="20"/>
        </w:rPr>
        <w:t xml:space="preserve"> </w:t>
      </w:r>
      <w:r>
        <w:rPr>
          <w:rFonts w:ascii="宋体" w:hAnsi="宋体" w:eastAsia="宋体" w:cs="宋体"/>
          <w:sz w:val="20"/>
          <w:szCs w:val="20"/>
        </w:rPr>
        <w:t>DN</w:t>
      </w:r>
      <w:r>
        <w:rPr>
          <w:rFonts w:ascii="宋体" w:hAnsi="宋体" w:eastAsia="宋体" w:cs="宋体"/>
          <w:spacing w:val="13"/>
          <w:sz w:val="20"/>
          <w:szCs w:val="20"/>
        </w:rPr>
        <w:t>＞</w:t>
      </w:r>
      <w:r>
        <w:rPr>
          <w:rFonts w:ascii="宋体" w:hAnsi="宋体" w:eastAsia="宋体" w:cs="宋体"/>
          <w:spacing w:val="-59"/>
          <w:sz w:val="20"/>
          <w:szCs w:val="20"/>
        </w:rPr>
        <w:t xml:space="preserve"> </w:t>
      </w:r>
      <w:r>
        <w:rPr>
          <w:rFonts w:ascii="宋体" w:hAnsi="宋体" w:eastAsia="宋体" w:cs="宋体"/>
          <w:spacing w:val="13"/>
          <w:sz w:val="20"/>
          <w:szCs w:val="20"/>
        </w:rPr>
        <w:t>600</w:t>
      </w:r>
      <w:r>
        <w:rPr>
          <w:rFonts w:ascii="宋体" w:hAnsi="宋体" w:eastAsia="宋体" w:cs="宋体"/>
          <w:spacing w:val="-40"/>
          <w:sz w:val="20"/>
          <w:szCs w:val="20"/>
        </w:rPr>
        <w:t xml:space="preserve"> </w:t>
      </w:r>
      <w:r>
        <w:rPr>
          <w:rFonts w:ascii="宋体" w:hAnsi="宋体" w:eastAsia="宋体" w:cs="宋体"/>
          <w:spacing w:val="13"/>
          <w:sz w:val="20"/>
          <w:szCs w:val="20"/>
        </w:rPr>
        <w:t>定额子</w:t>
      </w:r>
      <w:r>
        <w:rPr>
          <w:rFonts w:ascii="宋体" w:hAnsi="宋体" w:eastAsia="宋体" w:cs="宋体"/>
          <w:spacing w:val="12"/>
          <w:sz w:val="20"/>
          <w:szCs w:val="20"/>
        </w:rPr>
        <w:t>目，扩孔应</w:t>
      </w:r>
      <w:r>
        <w:rPr>
          <w:rFonts w:ascii="宋体" w:hAnsi="宋体" w:eastAsia="宋体" w:cs="宋体"/>
          <w:spacing w:val="13"/>
          <w:sz w:val="20"/>
          <w:szCs w:val="20"/>
        </w:rPr>
        <w:t>套用</w:t>
      </w:r>
      <w:r>
        <w:rPr>
          <w:rFonts w:ascii="宋体" w:hAnsi="宋体" w:eastAsia="宋体" w:cs="宋体"/>
          <w:spacing w:val="-25"/>
          <w:sz w:val="20"/>
          <w:szCs w:val="20"/>
        </w:rPr>
        <w:t xml:space="preserve"> </w:t>
      </w:r>
      <w:r>
        <w:rPr>
          <w:rFonts w:ascii="宋体" w:hAnsi="宋体" w:eastAsia="宋体" w:cs="宋体"/>
          <w:sz w:val="20"/>
          <w:szCs w:val="20"/>
        </w:rPr>
        <w:t>DN</w:t>
      </w:r>
      <w:r>
        <w:rPr>
          <w:rFonts w:ascii="宋体" w:hAnsi="宋体" w:eastAsia="宋体" w:cs="宋体"/>
          <w:spacing w:val="13"/>
          <w:sz w:val="20"/>
          <w:szCs w:val="20"/>
        </w:rPr>
        <w:t>800</w:t>
      </w:r>
      <w:r>
        <w:rPr>
          <w:rFonts w:ascii="宋体" w:hAnsi="宋体" w:eastAsia="宋体" w:cs="宋体"/>
          <w:spacing w:val="-42"/>
          <w:sz w:val="20"/>
          <w:szCs w:val="20"/>
        </w:rPr>
        <w:t xml:space="preserve"> </w:t>
      </w:r>
      <w:r>
        <w:rPr>
          <w:rFonts w:ascii="宋体" w:hAnsi="宋体" w:eastAsia="宋体" w:cs="宋体"/>
          <w:spacing w:val="13"/>
          <w:sz w:val="20"/>
          <w:szCs w:val="20"/>
        </w:rPr>
        <w:t>子目，回拖布管套用</w:t>
      </w:r>
      <w:r>
        <w:rPr>
          <w:rFonts w:ascii="宋体" w:hAnsi="宋体" w:eastAsia="宋体" w:cs="宋体"/>
          <w:spacing w:val="-36"/>
          <w:sz w:val="20"/>
          <w:szCs w:val="20"/>
        </w:rPr>
        <w:t xml:space="preserve"> </w:t>
      </w:r>
      <w:r>
        <w:rPr>
          <w:rFonts w:ascii="宋体" w:hAnsi="宋体" w:eastAsia="宋体" w:cs="宋体"/>
          <w:sz w:val="20"/>
          <w:szCs w:val="20"/>
        </w:rPr>
        <w:t>DN</w:t>
      </w:r>
      <w:r>
        <w:rPr>
          <w:rFonts w:ascii="宋体" w:hAnsi="宋体" w:eastAsia="宋体" w:cs="宋体"/>
          <w:spacing w:val="13"/>
          <w:sz w:val="20"/>
          <w:szCs w:val="20"/>
        </w:rPr>
        <w:t>800</w:t>
      </w:r>
      <w:r>
        <w:rPr>
          <w:rFonts w:ascii="宋体" w:hAnsi="宋体" w:eastAsia="宋体" w:cs="宋体"/>
          <w:spacing w:val="-40"/>
          <w:sz w:val="20"/>
          <w:szCs w:val="20"/>
        </w:rPr>
        <w:t xml:space="preserve"> </w:t>
      </w:r>
      <w:r>
        <w:rPr>
          <w:rFonts w:ascii="宋体" w:hAnsi="宋体" w:eastAsia="宋体" w:cs="宋体"/>
          <w:spacing w:val="13"/>
          <w:sz w:val="20"/>
          <w:szCs w:val="20"/>
        </w:rPr>
        <w:t>子目。</w:t>
      </w:r>
    </w:p>
    <w:p>
      <w:pPr>
        <w:spacing w:before="2" w:line="321" w:lineRule="auto"/>
        <w:ind w:left="2" w:right="66" w:firstLine="410"/>
        <w:rPr>
          <w:rFonts w:ascii="宋体" w:hAnsi="宋体" w:eastAsia="宋体" w:cs="宋体"/>
          <w:sz w:val="20"/>
          <w:szCs w:val="20"/>
        </w:rPr>
      </w:pPr>
      <w:r>
        <w:rPr>
          <w:rFonts w:ascii="宋体" w:hAnsi="宋体" w:eastAsia="宋体" w:cs="宋体"/>
          <w:spacing w:val="8"/>
          <w:sz w:val="20"/>
          <w:szCs w:val="20"/>
        </w:rPr>
        <w:t>（3）施工中泥浆用量，在定额中按循环利用综合考虑，不可调整。如遇流沙等特殊地质情况按</w:t>
      </w:r>
      <w:r>
        <w:rPr>
          <w:rFonts w:ascii="宋体" w:hAnsi="宋体" w:eastAsia="宋体" w:cs="宋体"/>
          <w:spacing w:val="11"/>
          <w:sz w:val="20"/>
          <w:szCs w:val="20"/>
        </w:rPr>
        <w:t>照经发包方确认的施工方案进行调整。泥浆池砌筑及最终产生的废浆处理，</w:t>
      </w:r>
      <w:r>
        <w:rPr>
          <w:rFonts w:ascii="宋体" w:hAnsi="宋体" w:eastAsia="宋体" w:cs="宋体"/>
          <w:spacing w:val="10"/>
          <w:sz w:val="20"/>
          <w:szCs w:val="20"/>
        </w:rPr>
        <w:t>按经发包方确认的实际</w:t>
      </w:r>
      <w:r>
        <w:rPr>
          <w:rFonts w:ascii="宋体" w:hAnsi="宋体" w:eastAsia="宋体" w:cs="宋体"/>
          <w:spacing w:val="7"/>
          <w:sz w:val="20"/>
          <w:szCs w:val="20"/>
        </w:rPr>
        <w:t>工程量计算。</w:t>
      </w:r>
    </w:p>
    <w:p>
      <w:pPr>
        <w:spacing w:before="156" w:line="332" w:lineRule="auto"/>
        <w:ind w:right="10" w:firstLine="412"/>
        <w:rPr>
          <w:rFonts w:ascii="宋体" w:hAnsi="宋体" w:eastAsia="宋体" w:cs="宋体"/>
          <w:sz w:val="20"/>
          <w:szCs w:val="20"/>
        </w:rPr>
      </w:pPr>
      <w:r>
        <w:rPr>
          <w:rFonts w:ascii="宋体" w:hAnsi="宋体" w:eastAsia="宋体" w:cs="宋体"/>
          <w:spacing w:val="6"/>
          <w:sz w:val="20"/>
          <w:szCs w:val="20"/>
        </w:rPr>
        <w:t>（4）定额 6-3-10</w:t>
      </w:r>
      <w:r>
        <w:rPr>
          <w:rFonts w:ascii="宋体" w:hAnsi="宋体" w:eastAsia="宋体" w:cs="宋体"/>
          <w:spacing w:val="-52"/>
          <w:sz w:val="20"/>
          <w:szCs w:val="20"/>
        </w:rPr>
        <w:t xml:space="preserve"> </w:t>
      </w:r>
      <w:r>
        <w:rPr>
          <w:rFonts w:ascii="宋体" w:hAnsi="宋体" w:eastAsia="宋体" w:cs="宋体"/>
          <w:spacing w:val="6"/>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6-3-15 和补充定额 6-3-B13</w:t>
      </w:r>
      <w:r>
        <w:rPr>
          <w:rFonts w:ascii="宋体" w:hAnsi="宋体" w:eastAsia="宋体" w:cs="宋体"/>
          <w:spacing w:val="-55"/>
          <w:sz w:val="20"/>
          <w:szCs w:val="20"/>
        </w:rPr>
        <w:t xml:space="preserve"> </w:t>
      </w:r>
      <w:r>
        <w:rPr>
          <w:rFonts w:ascii="宋体" w:hAnsi="宋体" w:eastAsia="宋体" w:cs="宋体"/>
          <w:spacing w:val="6"/>
          <w:sz w:val="20"/>
          <w:szCs w:val="20"/>
        </w:rPr>
        <w:t>～</w:t>
      </w:r>
      <w:r>
        <w:rPr>
          <w:rFonts w:ascii="宋体" w:hAnsi="宋体" w:eastAsia="宋体" w:cs="宋体"/>
          <w:spacing w:val="-52"/>
          <w:sz w:val="20"/>
          <w:szCs w:val="20"/>
        </w:rPr>
        <w:t xml:space="preserve"> </w:t>
      </w:r>
      <w:r>
        <w:rPr>
          <w:rFonts w:ascii="宋体" w:hAnsi="宋体" w:eastAsia="宋体" w:cs="宋体"/>
          <w:spacing w:val="6"/>
          <w:sz w:val="20"/>
          <w:szCs w:val="20"/>
        </w:rPr>
        <w:t>6-3-B21</w:t>
      </w:r>
      <w:r>
        <w:rPr>
          <w:rFonts w:ascii="宋体" w:hAnsi="宋体" w:eastAsia="宋体" w:cs="宋体"/>
          <w:spacing w:val="37"/>
          <w:sz w:val="20"/>
          <w:szCs w:val="20"/>
        </w:rPr>
        <w:t xml:space="preserve"> </w:t>
      </w:r>
      <w:r>
        <w:rPr>
          <w:rFonts w:ascii="宋体" w:hAnsi="宋体" w:eastAsia="宋体" w:cs="宋体"/>
          <w:spacing w:val="6"/>
          <w:sz w:val="20"/>
          <w:szCs w:val="20"/>
        </w:rPr>
        <w:t>回拖布管，管材（钢管、</w:t>
      </w:r>
      <w:r>
        <w:rPr>
          <w:rFonts w:ascii="宋体" w:hAnsi="宋体" w:eastAsia="宋体" w:cs="宋体"/>
          <w:sz w:val="20"/>
          <w:szCs w:val="20"/>
        </w:rPr>
        <w:t>PE</w:t>
      </w:r>
      <w:r>
        <w:rPr>
          <w:rFonts w:ascii="宋体" w:hAnsi="宋体" w:eastAsia="宋体" w:cs="宋体"/>
          <w:spacing w:val="-39"/>
          <w:sz w:val="20"/>
          <w:szCs w:val="20"/>
        </w:rPr>
        <w:t xml:space="preserve"> </w:t>
      </w:r>
      <w:r>
        <w:rPr>
          <w:rFonts w:ascii="宋体" w:hAnsi="宋体" w:eastAsia="宋体" w:cs="宋体"/>
          <w:spacing w:val="6"/>
          <w:sz w:val="20"/>
          <w:szCs w:val="20"/>
        </w:rPr>
        <w:t>管）</w:t>
      </w:r>
      <w:r>
        <w:rPr>
          <w:rFonts w:ascii="宋体" w:hAnsi="宋体" w:eastAsia="宋体" w:cs="宋体"/>
          <w:spacing w:val="11"/>
          <w:sz w:val="20"/>
          <w:szCs w:val="20"/>
        </w:rPr>
        <w:t>均未包括接口内容，接口可按市政定额第七册《燃气与集中供热工程》中钢管</w:t>
      </w:r>
      <w:r>
        <w:rPr>
          <w:rFonts w:ascii="宋体" w:hAnsi="宋体" w:eastAsia="宋体" w:cs="宋体"/>
          <w:spacing w:val="10"/>
          <w:sz w:val="20"/>
          <w:szCs w:val="20"/>
        </w:rPr>
        <w:t>安装、塑料管安装相</w:t>
      </w:r>
      <w:r>
        <w:rPr>
          <w:rFonts w:ascii="宋体" w:hAnsi="宋体" w:eastAsia="宋体" w:cs="宋体"/>
          <w:spacing w:val="8"/>
          <w:sz w:val="20"/>
          <w:szCs w:val="20"/>
        </w:rPr>
        <w:t>应子目计算，接口的相应定额子目人工含量乘以0.8</w:t>
      </w:r>
      <w:r>
        <w:rPr>
          <w:rFonts w:ascii="宋体" w:hAnsi="宋体" w:eastAsia="宋体" w:cs="宋体"/>
          <w:spacing w:val="-24"/>
          <w:sz w:val="20"/>
          <w:szCs w:val="20"/>
        </w:rPr>
        <w:t xml:space="preserve"> </w:t>
      </w:r>
      <w:r>
        <w:rPr>
          <w:rFonts w:ascii="宋体" w:hAnsi="宋体" w:eastAsia="宋体" w:cs="宋体"/>
          <w:spacing w:val="8"/>
          <w:sz w:val="20"/>
          <w:szCs w:val="20"/>
        </w:rPr>
        <w:t>的系数。</w:t>
      </w:r>
    </w:p>
    <w:p>
      <w:pPr>
        <w:spacing w:before="113" w:line="285" w:lineRule="exact"/>
        <w:ind w:left="413"/>
        <w:rPr>
          <w:rFonts w:ascii="宋体" w:hAnsi="宋体" w:eastAsia="宋体" w:cs="宋体"/>
          <w:sz w:val="20"/>
          <w:szCs w:val="20"/>
        </w:rPr>
      </w:pPr>
      <w:r>
        <w:rPr>
          <w:rFonts w:ascii="宋体" w:hAnsi="宋体" w:eastAsia="宋体" w:cs="宋体"/>
          <w:spacing w:val="10"/>
          <w:position w:val="1"/>
          <w:sz w:val="20"/>
          <w:szCs w:val="20"/>
        </w:rPr>
        <w:t>（5）水平导向钻进不论在何种专业中使用，均按排水</w:t>
      </w:r>
      <w:r>
        <w:rPr>
          <w:rFonts w:ascii="宋体" w:hAnsi="宋体" w:eastAsia="宋体" w:cs="宋体"/>
          <w:spacing w:val="9"/>
          <w:position w:val="1"/>
          <w:sz w:val="20"/>
          <w:szCs w:val="20"/>
        </w:rPr>
        <w:t>工程中相应费率及取费类别执行。</w:t>
      </w:r>
    </w:p>
    <w:p>
      <w:pPr>
        <w:spacing w:before="123" w:line="277" w:lineRule="exact"/>
        <w:ind w:left="423"/>
        <w:rPr>
          <w:rFonts w:ascii="宋体" w:hAnsi="宋体" w:eastAsia="宋体" w:cs="宋体"/>
          <w:sz w:val="20"/>
          <w:szCs w:val="20"/>
        </w:rPr>
      </w:pPr>
      <w:r>
        <w:rPr>
          <w:rFonts w:ascii="宋体" w:hAnsi="宋体" w:eastAsia="宋体" w:cs="宋体"/>
          <w:b/>
          <w:bCs/>
          <w:spacing w:val="7"/>
          <w:position w:val="1"/>
          <w:sz w:val="20"/>
          <w:szCs w:val="20"/>
        </w:rPr>
        <w:t>56.</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关于第八册水处理工程中现浇混凝土池壁（</w:t>
      </w:r>
      <w:r>
        <w:rPr>
          <w:rFonts w:ascii="宋体" w:hAnsi="宋体" w:eastAsia="宋体" w:cs="宋体"/>
          <w:spacing w:val="-47"/>
          <w:position w:val="1"/>
          <w:sz w:val="20"/>
          <w:szCs w:val="20"/>
        </w:rPr>
        <w:t xml:space="preserve"> </w:t>
      </w:r>
      <w:r>
        <w:rPr>
          <w:rFonts w:ascii="宋体" w:hAnsi="宋体" w:eastAsia="宋体" w:cs="宋体"/>
          <w:b/>
          <w:bCs/>
          <w:spacing w:val="7"/>
          <w:position w:val="1"/>
          <w:sz w:val="20"/>
          <w:szCs w:val="20"/>
        </w:rPr>
        <w:t>隔墙）、池盖、柱、梁、板的模板，在支模高</w:t>
      </w:r>
    </w:p>
    <w:p>
      <w:pPr>
        <w:spacing w:line="277" w:lineRule="exact"/>
        <w:rPr>
          <w:rFonts w:ascii="宋体" w:hAnsi="宋体" w:eastAsia="宋体" w:cs="宋体"/>
          <w:sz w:val="20"/>
          <w:szCs w:val="20"/>
        </w:rPr>
        <w:sectPr>
          <w:footerReference r:id="rId180" w:type="default"/>
          <w:pgSz w:w="11906" w:h="16839"/>
          <w:pgMar w:top="400" w:right="1353"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1"/>
        <w:rPr>
          <w:rFonts w:ascii="宋体" w:hAnsi="宋体" w:eastAsia="宋体" w:cs="宋体"/>
          <w:sz w:val="20"/>
          <w:szCs w:val="20"/>
        </w:rPr>
      </w:pPr>
      <w:r>
        <w:rPr>
          <w:rFonts w:ascii="宋体" w:hAnsi="宋体" w:eastAsia="宋体" w:cs="宋体"/>
          <w:b/>
          <w:bCs/>
          <w:spacing w:val="4"/>
          <w:position w:val="1"/>
          <w:sz w:val="20"/>
          <w:szCs w:val="20"/>
        </w:rPr>
        <w:t>度超过</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3.6m</w:t>
      </w:r>
      <w:r>
        <w:rPr>
          <w:rFonts w:ascii="宋体" w:hAnsi="宋体" w:eastAsia="宋体" w:cs="宋体"/>
          <w:spacing w:val="23"/>
          <w:position w:val="1"/>
          <w:sz w:val="20"/>
          <w:szCs w:val="20"/>
        </w:rPr>
        <w:t xml:space="preserve"> </w:t>
      </w:r>
      <w:r>
        <w:rPr>
          <w:rFonts w:ascii="宋体" w:hAnsi="宋体" w:eastAsia="宋体" w:cs="宋体"/>
          <w:b/>
          <w:bCs/>
          <w:spacing w:val="4"/>
          <w:position w:val="1"/>
          <w:sz w:val="20"/>
          <w:szCs w:val="20"/>
        </w:rPr>
        <w:t>时的计价</w:t>
      </w:r>
    </w:p>
    <w:p>
      <w:pPr>
        <w:spacing w:before="126" w:line="358" w:lineRule="auto"/>
        <w:ind w:right="97" w:firstLine="423"/>
        <w:jc w:val="both"/>
        <w:rPr>
          <w:rFonts w:ascii="宋体" w:hAnsi="宋体" w:eastAsia="宋体" w:cs="宋体"/>
          <w:sz w:val="20"/>
          <w:szCs w:val="20"/>
        </w:rPr>
      </w:pPr>
      <w:r>
        <w:rPr>
          <w:rFonts w:ascii="宋体" w:hAnsi="宋体" w:eastAsia="宋体" w:cs="宋体"/>
          <w:spacing w:val="7"/>
          <w:sz w:val="20"/>
          <w:szCs w:val="20"/>
        </w:rPr>
        <w:t>现浇混凝土池壁（隔墙）、池盖、柱、梁、板是按支模高度 3.6m 编制的，支模高度超过 3.6m</w:t>
      </w:r>
      <w:r>
        <w:rPr>
          <w:rFonts w:ascii="宋体" w:hAnsi="宋体" w:eastAsia="宋体" w:cs="宋体"/>
          <w:spacing w:val="10"/>
          <w:sz w:val="20"/>
          <w:szCs w:val="20"/>
        </w:rPr>
        <w:t>时</w:t>
      </w:r>
      <w:r>
        <w:rPr>
          <w:rFonts w:ascii="宋体" w:hAnsi="宋体" w:eastAsia="宋体" w:cs="宋体"/>
          <w:spacing w:val="-43"/>
          <w:sz w:val="20"/>
          <w:szCs w:val="20"/>
        </w:rPr>
        <w:t xml:space="preserve"> </w:t>
      </w:r>
      <w:r>
        <w:rPr>
          <w:rFonts w:ascii="宋体" w:hAnsi="宋体" w:eastAsia="宋体" w:cs="宋体"/>
          <w:spacing w:val="10"/>
          <w:sz w:val="20"/>
          <w:szCs w:val="20"/>
        </w:rPr>
        <w:t>，另行计算模板支撑超高部分的工程量</w:t>
      </w:r>
      <w:r>
        <w:rPr>
          <w:rFonts w:ascii="宋体" w:hAnsi="宋体" w:eastAsia="宋体" w:cs="宋体"/>
          <w:spacing w:val="-59"/>
          <w:sz w:val="20"/>
          <w:szCs w:val="20"/>
        </w:rPr>
        <w:t xml:space="preserve"> </w:t>
      </w:r>
      <w:r>
        <w:rPr>
          <w:rFonts w:ascii="宋体" w:hAnsi="宋体" w:eastAsia="宋体" w:cs="宋体"/>
          <w:spacing w:val="10"/>
          <w:sz w:val="20"/>
          <w:szCs w:val="20"/>
        </w:rPr>
        <w:t>，按每超高</w:t>
      </w:r>
      <w:r>
        <w:rPr>
          <w:rFonts w:ascii="宋体" w:hAnsi="宋体" w:eastAsia="宋体" w:cs="宋体"/>
          <w:spacing w:val="-22"/>
          <w:sz w:val="20"/>
          <w:szCs w:val="20"/>
        </w:rPr>
        <w:t xml:space="preserve"> </w:t>
      </w:r>
      <w:r>
        <w:rPr>
          <w:rFonts w:ascii="宋体" w:hAnsi="宋体" w:eastAsia="宋体" w:cs="宋体"/>
          <w:spacing w:val="10"/>
          <w:sz w:val="20"/>
          <w:szCs w:val="20"/>
        </w:rPr>
        <w:t>1m</w:t>
      </w:r>
      <w:r>
        <w:rPr>
          <w:rFonts w:ascii="宋体" w:hAnsi="宋体" w:eastAsia="宋体" w:cs="宋体"/>
          <w:spacing w:val="-41"/>
          <w:sz w:val="20"/>
          <w:szCs w:val="20"/>
        </w:rPr>
        <w:t xml:space="preserve"> </w:t>
      </w:r>
      <w:r>
        <w:rPr>
          <w:rFonts w:ascii="宋体" w:hAnsi="宋体" w:eastAsia="宋体" w:cs="宋体"/>
          <w:spacing w:val="10"/>
          <w:sz w:val="20"/>
          <w:szCs w:val="20"/>
        </w:rPr>
        <w:t>计算一次套用相应超高定额子目。超高每</w:t>
      </w:r>
      <w:r>
        <w:rPr>
          <w:rFonts w:ascii="宋体" w:hAnsi="宋体" w:eastAsia="宋体" w:cs="宋体"/>
          <w:spacing w:val="12"/>
          <w:sz w:val="20"/>
          <w:szCs w:val="20"/>
        </w:rPr>
        <w:t>增</w:t>
      </w:r>
      <w:r>
        <w:rPr>
          <w:rFonts w:ascii="宋体" w:hAnsi="宋体" w:eastAsia="宋体" w:cs="宋体"/>
          <w:spacing w:val="-22"/>
          <w:sz w:val="20"/>
          <w:szCs w:val="20"/>
        </w:rPr>
        <w:t xml:space="preserve"> </w:t>
      </w:r>
      <w:r>
        <w:rPr>
          <w:rFonts w:ascii="宋体" w:hAnsi="宋体" w:eastAsia="宋体" w:cs="宋体"/>
          <w:spacing w:val="12"/>
          <w:sz w:val="20"/>
          <w:szCs w:val="20"/>
        </w:rPr>
        <w:t>1m</w:t>
      </w:r>
      <w:r>
        <w:rPr>
          <w:rFonts w:ascii="宋体" w:hAnsi="宋体" w:eastAsia="宋体" w:cs="宋体"/>
          <w:spacing w:val="-20"/>
          <w:sz w:val="20"/>
          <w:szCs w:val="20"/>
        </w:rPr>
        <w:t xml:space="preserve"> </w:t>
      </w:r>
      <w:r>
        <w:rPr>
          <w:rFonts w:ascii="宋体" w:hAnsi="宋体" w:eastAsia="宋体" w:cs="宋体"/>
          <w:spacing w:val="12"/>
          <w:sz w:val="20"/>
          <w:szCs w:val="20"/>
        </w:rPr>
        <w:t>的工程量，梁、板、池盖按超高构件全部混凝土的接触面积计算；柱、池壁</w:t>
      </w:r>
      <w:r>
        <w:rPr>
          <w:rFonts w:ascii="宋体" w:hAnsi="宋体" w:eastAsia="宋体" w:cs="宋体"/>
          <w:spacing w:val="11"/>
          <w:sz w:val="20"/>
          <w:szCs w:val="20"/>
        </w:rPr>
        <w:t>（隔墙）是按超</w:t>
      </w:r>
      <w:r>
        <w:rPr>
          <w:rFonts w:ascii="宋体" w:hAnsi="宋体" w:eastAsia="宋体" w:cs="宋体"/>
          <w:spacing w:val="8"/>
          <w:sz w:val="20"/>
          <w:szCs w:val="20"/>
        </w:rPr>
        <w:t>高部分的混凝土接触面积计算。</w:t>
      </w:r>
    </w:p>
    <w:p>
      <w:pPr>
        <w:spacing w:before="50" w:line="223" w:lineRule="auto"/>
        <w:ind w:left="423"/>
        <w:rPr>
          <w:rFonts w:ascii="宋体" w:hAnsi="宋体" w:eastAsia="宋体" w:cs="宋体"/>
          <w:sz w:val="20"/>
          <w:szCs w:val="20"/>
        </w:rPr>
      </w:pPr>
      <w:r>
        <w:rPr>
          <w:rFonts w:ascii="宋体" w:hAnsi="宋体" w:eastAsia="宋体" w:cs="宋体"/>
          <w:spacing w:val="9"/>
          <w:sz w:val="20"/>
          <w:szCs w:val="20"/>
        </w:rPr>
        <w:t>如遇高荷载、超高等情况需编制专项支撑方案的，应按专项方案编制补充定额。</w:t>
      </w:r>
    </w:p>
    <w:p>
      <w:pPr>
        <w:spacing w:before="154" w:line="351" w:lineRule="auto"/>
        <w:ind w:left="2" w:right="100" w:firstLine="420"/>
        <w:rPr>
          <w:rFonts w:ascii="宋体" w:hAnsi="宋体" w:eastAsia="宋体" w:cs="宋体"/>
          <w:sz w:val="20"/>
          <w:szCs w:val="20"/>
        </w:rPr>
      </w:pPr>
      <w:r>
        <w:rPr>
          <w:rFonts w:ascii="宋体" w:hAnsi="宋体" w:eastAsia="宋体" w:cs="宋体"/>
          <w:b/>
          <w:bCs/>
          <w:spacing w:val="3"/>
          <w:sz w:val="20"/>
          <w:szCs w:val="20"/>
        </w:rPr>
        <w:t>57.</w:t>
      </w:r>
      <w:r>
        <w:rPr>
          <w:rFonts w:ascii="宋体" w:hAnsi="宋体" w:eastAsia="宋体" w:cs="宋体"/>
          <w:spacing w:val="3"/>
          <w:sz w:val="20"/>
          <w:szCs w:val="20"/>
        </w:rPr>
        <w:t xml:space="preserve"> </w:t>
      </w:r>
      <w:r>
        <w:rPr>
          <w:rFonts w:ascii="宋体" w:hAnsi="宋体" w:eastAsia="宋体" w:cs="宋体"/>
          <w:b/>
          <w:bCs/>
          <w:spacing w:val="3"/>
          <w:sz w:val="20"/>
          <w:szCs w:val="20"/>
        </w:rPr>
        <w:t>关于第十册第一章《变配电设备工程》中系统调试（</w:t>
      </w:r>
      <w:r>
        <w:rPr>
          <w:rFonts w:ascii="宋体" w:hAnsi="宋体" w:eastAsia="宋体" w:cs="宋体"/>
          <w:spacing w:val="-49"/>
          <w:sz w:val="20"/>
          <w:szCs w:val="20"/>
        </w:rPr>
        <w:t xml:space="preserve"> </w:t>
      </w:r>
      <w:r>
        <w:rPr>
          <w:rFonts w:ascii="宋体" w:hAnsi="宋体" w:eastAsia="宋体" w:cs="宋体"/>
          <w:b/>
          <w:bCs/>
          <w:spacing w:val="3"/>
          <w:sz w:val="20"/>
          <w:szCs w:val="20"/>
        </w:rPr>
        <w:t>10-1-115、10-1-116</w:t>
      </w:r>
      <w:r>
        <w:rPr>
          <w:rFonts w:ascii="宋体" w:hAnsi="宋体" w:eastAsia="宋体" w:cs="宋体"/>
          <w:spacing w:val="34"/>
          <w:sz w:val="20"/>
          <w:szCs w:val="20"/>
        </w:rPr>
        <w:t xml:space="preserve"> </w:t>
      </w:r>
      <w:r>
        <w:rPr>
          <w:rFonts w:ascii="宋体" w:hAnsi="宋体" w:eastAsia="宋体" w:cs="宋体"/>
          <w:b/>
          <w:bCs/>
          <w:spacing w:val="3"/>
          <w:sz w:val="20"/>
          <w:szCs w:val="20"/>
        </w:rPr>
        <w:t>）定额子目的适</w:t>
      </w:r>
      <w:r>
        <w:rPr>
          <w:rFonts w:ascii="宋体" w:hAnsi="宋体" w:eastAsia="宋体" w:cs="宋体"/>
          <w:b/>
          <w:bCs/>
          <w:spacing w:val="6"/>
          <w:sz w:val="20"/>
          <w:szCs w:val="20"/>
        </w:rPr>
        <w:t>用范围</w:t>
      </w:r>
    </w:p>
    <w:p>
      <w:pPr>
        <w:spacing w:before="43" w:line="360" w:lineRule="auto"/>
        <w:ind w:left="1" w:right="100" w:firstLine="422"/>
        <w:jc w:val="both"/>
        <w:rPr>
          <w:rFonts w:ascii="宋体" w:hAnsi="宋体" w:eastAsia="宋体" w:cs="宋体"/>
          <w:sz w:val="20"/>
          <w:szCs w:val="20"/>
        </w:rPr>
      </w:pPr>
      <w:r>
        <w:rPr>
          <w:rFonts w:ascii="宋体" w:hAnsi="宋体" w:eastAsia="宋体" w:cs="宋体"/>
          <w:spacing w:val="11"/>
          <w:sz w:val="20"/>
          <w:szCs w:val="20"/>
        </w:rPr>
        <w:t>变配电设备系统调试，适用于各种供电回路的系统调试，凡供电系统中</w:t>
      </w:r>
      <w:r>
        <w:rPr>
          <w:rFonts w:ascii="宋体" w:hAnsi="宋体" w:eastAsia="宋体" w:cs="宋体"/>
          <w:spacing w:val="10"/>
          <w:sz w:val="20"/>
          <w:szCs w:val="20"/>
        </w:rPr>
        <w:t>带有仪表、继电器、电</w:t>
      </w:r>
      <w:r>
        <w:rPr>
          <w:rFonts w:ascii="宋体" w:hAnsi="宋体" w:eastAsia="宋体" w:cs="宋体"/>
          <w:spacing w:val="11"/>
          <w:sz w:val="20"/>
          <w:szCs w:val="20"/>
        </w:rPr>
        <w:t>磁开关等调试元件的，均应按照回路数量计算系统调试工程量。如果变配电系</w:t>
      </w:r>
      <w:r>
        <w:rPr>
          <w:rFonts w:ascii="宋体" w:hAnsi="宋体" w:eastAsia="宋体" w:cs="宋体"/>
          <w:spacing w:val="10"/>
          <w:sz w:val="20"/>
          <w:szCs w:val="20"/>
        </w:rPr>
        <w:t>统中仅有电表、保险</w:t>
      </w:r>
      <w:r>
        <w:rPr>
          <w:rFonts w:ascii="宋体" w:hAnsi="宋体" w:eastAsia="宋体" w:cs="宋体"/>
          <w:spacing w:val="9"/>
          <w:sz w:val="20"/>
          <w:szCs w:val="20"/>
        </w:rPr>
        <w:t>器、闸刀等不需要进行调试的设备时不计系统调试。</w:t>
      </w:r>
    </w:p>
    <w:p>
      <w:pPr>
        <w:spacing w:before="27" w:line="277" w:lineRule="exact"/>
        <w:ind w:left="423"/>
        <w:rPr>
          <w:rFonts w:ascii="宋体" w:hAnsi="宋体" w:eastAsia="宋体" w:cs="宋体"/>
          <w:sz w:val="20"/>
          <w:szCs w:val="20"/>
        </w:rPr>
      </w:pPr>
      <w:r>
        <w:rPr>
          <w:rFonts w:ascii="宋体" w:hAnsi="宋体" w:eastAsia="宋体" w:cs="宋体"/>
          <w:b/>
          <w:bCs/>
          <w:spacing w:val="7"/>
          <w:position w:val="1"/>
          <w:sz w:val="20"/>
          <w:szCs w:val="20"/>
        </w:rPr>
        <w:t>58.</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关于第十册第三章《电缆工程》中电缆敷设定</w:t>
      </w:r>
      <w:r>
        <w:rPr>
          <w:rFonts w:ascii="宋体" w:hAnsi="宋体" w:eastAsia="宋体" w:cs="宋体"/>
          <w:b/>
          <w:bCs/>
          <w:spacing w:val="6"/>
          <w:position w:val="1"/>
          <w:sz w:val="20"/>
          <w:szCs w:val="20"/>
        </w:rPr>
        <w:t>额中“垂直通道电缆”的适用范围</w:t>
      </w:r>
    </w:p>
    <w:p>
      <w:pPr>
        <w:spacing w:before="123" w:line="369" w:lineRule="auto"/>
        <w:ind w:left="3" w:right="100" w:firstLine="416"/>
        <w:rPr>
          <w:rFonts w:ascii="宋体" w:hAnsi="宋体" w:eastAsia="宋体" w:cs="宋体"/>
          <w:sz w:val="20"/>
          <w:szCs w:val="20"/>
        </w:rPr>
      </w:pPr>
      <w:r>
        <w:rPr>
          <w:rFonts w:ascii="宋体" w:hAnsi="宋体" w:eastAsia="宋体" w:cs="宋体"/>
          <w:spacing w:val="11"/>
          <w:sz w:val="20"/>
          <w:szCs w:val="20"/>
        </w:rPr>
        <w:t>垂直通道电缆敷设是按电缆在竖直通道内垂直敷设的安装条件下考虑，垂直穿管</w:t>
      </w:r>
      <w:r>
        <w:rPr>
          <w:rFonts w:ascii="宋体" w:hAnsi="宋体" w:eastAsia="宋体" w:cs="宋体"/>
          <w:spacing w:val="10"/>
          <w:sz w:val="20"/>
          <w:szCs w:val="20"/>
        </w:rPr>
        <w:t>或在桥架内垂</w:t>
      </w:r>
      <w:r>
        <w:rPr>
          <w:rFonts w:ascii="宋体" w:hAnsi="宋体" w:eastAsia="宋体" w:cs="宋体"/>
          <w:spacing w:val="8"/>
          <w:sz w:val="20"/>
          <w:szCs w:val="20"/>
        </w:rPr>
        <w:t>直敷设均不属于竖直通道敷设电缆。</w:t>
      </w:r>
    </w:p>
    <w:p>
      <w:pPr>
        <w:spacing w:before="1" w:line="348" w:lineRule="auto"/>
        <w:ind w:left="3" w:right="98" w:firstLine="419"/>
        <w:rPr>
          <w:rFonts w:ascii="宋体" w:hAnsi="宋体" w:eastAsia="宋体" w:cs="宋体"/>
          <w:sz w:val="20"/>
          <w:szCs w:val="20"/>
        </w:rPr>
      </w:pPr>
      <w:r>
        <w:rPr>
          <w:rFonts w:ascii="宋体" w:hAnsi="宋体" w:eastAsia="宋体" w:cs="宋体"/>
          <w:b/>
          <w:bCs/>
          <w:spacing w:val="6"/>
          <w:sz w:val="20"/>
          <w:szCs w:val="20"/>
        </w:rPr>
        <w:t>59.</w:t>
      </w:r>
      <w:r>
        <w:rPr>
          <w:rFonts w:ascii="宋体" w:hAnsi="宋体" w:eastAsia="宋体" w:cs="宋体"/>
          <w:spacing w:val="6"/>
          <w:sz w:val="20"/>
          <w:szCs w:val="20"/>
        </w:rPr>
        <w:t xml:space="preserve"> </w:t>
      </w:r>
      <w:r>
        <w:rPr>
          <w:rFonts w:ascii="宋体" w:hAnsi="宋体" w:eastAsia="宋体" w:cs="宋体"/>
          <w:b/>
          <w:bCs/>
          <w:spacing w:val="6"/>
          <w:sz w:val="20"/>
          <w:szCs w:val="20"/>
        </w:rPr>
        <w:t>关于第十册第五章《照明器具安装工程》中，</w:t>
      </w:r>
      <w:r>
        <w:rPr>
          <w:rFonts w:ascii="宋体" w:hAnsi="宋体" w:eastAsia="宋体" w:cs="宋体"/>
          <w:spacing w:val="6"/>
          <w:sz w:val="20"/>
          <w:szCs w:val="20"/>
        </w:rPr>
        <w:t xml:space="preserve"> </w:t>
      </w:r>
      <w:r>
        <w:rPr>
          <w:rFonts w:ascii="宋体" w:hAnsi="宋体" w:eastAsia="宋体" w:cs="宋体"/>
          <w:b/>
          <w:bCs/>
          <w:spacing w:val="6"/>
          <w:sz w:val="20"/>
          <w:szCs w:val="20"/>
        </w:rPr>
        <w:t>单臂悬挑灯架安装定额分</w:t>
      </w:r>
      <w:r>
        <w:rPr>
          <w:rFonts w:ascii="宋体" w:hAnsi="宋体" w:eastAsia="宋体" w:cs="宋体"/>
          <w:b/>
          <w:bCs/>
          <w:spacing w:val="5"/>
          <w:sz w:val="20"/>
          <w:szCs w:val="20"/>
        </w:rPr>
        <w:t>抱箍式和顶套式，</w:t>
      </w:r>
      <w:r>
        <w:rPr>
          <w:rFonts w:ascii="宋体" w:hAnsi="宋体" w:eastAsia="宋体" w:cs="宋体"/>
          <w:b/>
          <w:bCs/>
          <w:spacing w:val="8"/>
          <w:sz w:val="20"/>
          <w:szCs w:val="20"/>
        </w:rPr>
        <w:t>如果灯杆和灯具是成套购买时定额的套用</w:t>
      </w:r>
    </w:p>
    <w:p>
      <w:pPr>
        <w:spacing w:before="49" w:line="367" w:lineRule="auto"/>
        <w:ind w:left="2" w:right="100" w:firstLine="421"/>
        <w:rPr>
          <w:rFonts w:ascii="宋体" w:hAnsi="宋体" w:eastAsia="宋体" w:cs="宋体"/>
          <w:sz w:val="20"/>
          <w:szCs w:val="20"/>
        </w:rPr>
      </w:pPr>
      <w:r>
        <w:rPr>
          <w:rFonts w:ascii="宋体" w:hAnsi="宋体" w:eastAsia="宋体" w:cs="宋体"/>
          <w:spacing w:val="11"/>
          <w:sz w:val="20"/>
          <w:szCs w:val="20"/>
        </w:rPr>
        <w:t>如果是成套购买路灯，应分别执行成套型灯架、金属立杆等定额项目。</w:t>
      </w:r>
      <w:r>
        <w:rPr>
          <w:rFonts w:ascii="宋体" w:hAnsi="宋体" w:eastAsia="宋体" w:cs="宋体"/>
          <w:spacing w:val="10"/>
          <w:sz w:val="20"/>
          <w:szCs w:val="20"/>
        </w:rPr>
        <w:t>如果是单臂路灯成套购</w:t>
      </w:r>
      <w:r>
        <w:rPr>
          <w:rFonts w:ascii="宋体" w:hAnsi="宋体" w:eastAsia="宋体" w:cs="宋体"/>
          <w:spacing w:val="8"/>
          <w:sz w:val="20"/>
          <w:szCs w:val="20"/>
        </w:rPr>
        <w:t>买，则直接套用第二章《</w:t>
      </w:r>
      <w:r>
        <w:rPr>
          <w:rFonts w:ascii="宋体" w:hAnsi="宋体" w:eastAsia="宋体" w:cs="宋体"/>
          <w:spacing w:val="-25"/>
          <w:sz w:val="20"/>
          <w:szCs w:val="20"/>
        </w:rPr>
        <w:t xml:space="preserve"> </w:t>
      </w:r>
      <w:r>
        <w:rPr>
          <w:rFonts w:ascii="宋体" w:hAnsi="宋体" w:eastAsia="宋体" w:cs="宋体"/>
          <w:spacing w:val="8"/>
          <w:sz w:val="20"/>
          <w:szCs w:val="20"/>
        </w:rPr>
        <w:t>10</w:t>
      </w:r>
      <w:r>
        <w:rPr>
          <w:rFonts w:ascii="宋体" w:hAnsi="宋体" w:eastAsia="宋体" w:cs="宋体"/>
          <w:sz w:val="20"/>
          <w:szCs w:val="20"/>
        </w:rPr>
        <w:t>kV</w:t>
      </w:r>
      <w:r>
        <w:rPr>
          <w:rFonts w:ascii="宋体" w:hAnsi="宋体" w:eastAsia="宋体" w:cs="宋体"/>
          <w:spacing w:val="8"/>
          <w:sz w:val="20"/>
          <w:szCs w:val="20"/>
        </w:rPr>
        <w:t xml:space="preserve"> 以下架空线路工程》中“立金属杆”项目。</w:t>
      </w:r>
    </w:p>
    <w:p>
      <w:pPr>
        <w:spacing w:line="277" w:lineRule="exact"/>
        <w:ind w:left="423"/>
        <w:rPr>
          <w:rFonts w:ascii="宋体" w:hAnsi="宋体" w:eastAsia="宋体" w:cs="宋体"/>
          <w:sz w:val="20"/>
          <w:szCs w:val="20"/>
        </w:rPr>
      </w:pPr>
      <w:r>
        <w:rPr>
          <w:rFonts w:ascii="宋体" w:hAnsi="宋体" w:eastAsia="宋体" w:cs="宋体"/>
          <w:b/>
          <w:bCs/>
          <w:spacing w:val="6"/>
          <w:position w:val="1"/>
          <w:sz w:val="20"/>
          <w:szCs w:val="20"/>
        </w:rPr>
        <w:t>60.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关于第十册第五章《照明器具安装工程》中成套型和组装型路灯安装的区分</w:t>
      </w:r>
    </w:p>
    <w:p>
      <w:pPr>
        <w:spacing w:before="127" w:line="367" w:lineRule="auto"/>
        <w:ind w:right="100" w:firstLine="418"/>
        <w:rPr>
          <w:rFonts w:ascii="宋体" w:hAnsi="宋体" w:eastAsia="宋体" w:cs="宋体"/>
          <w:sz w:val="20"/>
          <w:szCs w:val="20"/>
        </w:rPr>
      </w:pPr>
      <w:r>
        <w:rPr>
          <w:rFonts w:ascii="宋体" w:hAnsi="宋体" w:eastAsia="宋体" w:cs="宋体"/>
          <w:spacing w:val="11"/>
          <w:sz w:val="20"/>
          <w:szCs w:val="20"/>
        </w:rPr>
        <w:t>若路灯灯具的现场安装仅包括灯罩、灯泡的安装，则执行“成套型”相应定额；若</w:t>
      </w:r>
      <w:r>
        <w:rPr>
          <w:rFonts w:ascii="宋体" w:hAnsi="宋体" w:eastAsia="宋体" w:cs="宋体"/>
          <w:spacing w:val="10"/>
          <w:sz w:val="20"/>
          <w:szCs w:val="20"/>
        </w:rPr>
        <w:t>现场组装还</w:t>
      </w:r>
      <w:r>
        <w:rPr>
          <w:rFonts w:ascii="宋体" w:hAnsi="宋体" w:eastAsia="宋体" w:cs="宋体"/>
          <w:spacing w:val="9"/>
          <w:sz w:val="20"/>
          <w:szCs w:val="20"/>
        </w:rPr>
        <w:t>包括镇流器等电子元器件的连接，则执行“组装型”相应定额。</w:t>
      </w:r>
    </w:p>
    <w:p>
      <w:pPr>
        <w:spacing w:line="277" w:lineRule="exact"/>
        <w:ind w:left="423"/>
        <w:rPr>
          <w:rFonts w:ascii="宋体" w:hAnsi="宋体" w:eastAsia="宋体" w:cs="宋体"/>
          <w:sz w:val="20"/>
          <w:szCs w:val="20"/>
        </w:rPr>
      </w:pPr>
      <w:r>
        <w:rPr>
          <w:rFonts w:ascii="宋体" w:hAnsi="宋体" w:eastAsia="宋体" w:cs="宋体"/>
          <w:b/>
          <w:bCs/>
          <w:spacing w:val="6"/>
          <w:position w:val="1"/>
          <w:sz w:val="20"/>
          <w:szCs w:val="20"/>
        </w:rPr>
        <w:t>61.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关于路灯安装工程中从杆座接线盒到灯架、灯具的灯杆内接线的计价</w:t>
      </w:r>
    </w:p>
    <w:p>
      <w:pPr>
        <w:spacing w:before="128" w:line="367" w:lineRule="auto"/>
        <w:ind w:right="100" w:firstLine="418"/>
        <w:rPr>
          <w:rFonts w:ascii="宋体" w:hAnsi="宋体" w:eastAsia="宋体" w:cs="宋体"/>
          <w:sz w:val="20"/>
          <w:szCs w:val="20"/>
        </w:rPr>
      </w:pPr>
      <w:r>
        <w:rPr>
          <w:rFonts w:ascii="宋体" w:hAnsi="宋体" w:eastAsia="宋体" w:cs="宋体"/>
          <w:spacing w:val="11"/>
          <w:sz w:val="20"/>
          <w:szCs w:val="20"/>
        </w:rPr>
        <w:t>从灯杆底部接线端子到灯臂的配线套用管内穿线定额，灯架、灯具内的配线安装人</w:t>
      </w:r>
      <w:r>
        <w:rPr>
          <w:rFonts w:ascii="宋体" w:hAnsi="宋体" w:eastAsia="宋体" w:cs="宋体"/>
          <w:spacing w:val="10"/>
          <w:sz w:val="20"/>
          <w:szCs w:val="20"/>
        </w:rPr>
        <w:t>工已在相应</w:t>
      </w:r>
      <w:r>
        <w:rPr>
          <w:rFonts w:ascii="宋体" w:hAnsi="宋体" w:eastAsia="宋体" w:cs="宋体"/>
          <w:spacing w:val="9"/>
          <w:sz w:val="20"/>
          <w:szCs w:val="20"/>
        </w:rPr>
        <w:t>定额内包括，灯架内导线和灯具配线材料费在灯架和灯具价格内考虑。</w:t>
      </w:r>
    </w:p>
    <w:p>
      <w:pPr>
        <w:spacing w:line="277" w:lineRule="exact"/>
        <w:ind w:left="423"/>
        <w:rPr>
          <w:rFonts w:ascii="宋体" w:hAnsi="宋体" w:eastAsia="宋体" w:cs="宋体"/>
          <w:sz w:val="20"/>
          <w:szCs w:val="20"/>
        </w:rPr>
      </w:pPr>
      <w:r>
        <w:rPr>
          <w:rFonts w:ascii="宋体" w:hAnsi="宋体" w:eastAsia="宋体" w:cs="宋体"/>
          <w:b/>
          <w:bCs/>
          <w:spacing w:val="7"/>
          <w:position w:val="1"/>
          <w:sz w:val="20"/>
          <w:szCs w:val="20"/>
        </w:rPr>
        <w:t>62.</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关于第十册第五章《照明器具安装工程》</w:t>
      </w:r>
      <w:r>
        <w:rPr>
          <w:rFonts w:ascii="宋体" w:hAnsi="宋体" w:eastAsia="宋体" w:cs="宋体"/>
          <w:b/>
          <w:bCs/>
          <w:spacing w:val="6"/>
          <w:position w:val="1"/>
          <w:sz w:val="20"/>
          <w:szCs w:val="20"/>
        </w:rPr>
        <w:t>中“杆座安装”定额子目的适用范围</w:t>
      </w:r>
    </w:p>
    <w:p>
      <w:pPr>
        <w:spacing w:before="126" w:line="368" w:lineRule="auto"/>
        <w:ind w:left="2" w:right="100" w:firstLine="420"/>
        <w:rPr>
          <w:rFonts w:ascii="宋体" w:hAnsi="宋体" w:eastAsia="宋体" w:cs="宋体"/>
          <w:sz w:val="20"/>
          <w:szCs w:val="20"/>
        </w:rPr>
      </w:pPr>
      <w:r>
        <w:rPr>
          <w:rFonts w:ascii="宋体" w:hAnsi="宋体" w:eastAsia="宋体" w:cs="宋体"/>
          <w:spacing w:val="11"/>
          <w:sz w:val="20"/>
          <w:szCs w:val="20"/>
        </w:rPr>
        <w:t>杆座一般除水泥灯杆外，均为连体，特殊情况才有分体。只有当杆座、灯杆</w:t>
      </w:r>
      <w:r>
        <w:rPr>
          <w:rFonts w:ascii="宋体" w:hAnsi="宋体" w:eastAsia="宋体" w:cs="宋体"/>
          <w:spacing w:val="10"/>
          <w:sz w:val="20"/>
          <w:szCs w:val="20"/>
        </w:rPr>
        <w:t>为分体时，才可套</w:t>
      </w:r>
      <w:r>
        <w:rPr>
          <w:rFonts w:ascii="宋体" w:hAnsi="宋体" w:eastAsia="宋体" w:cs="宋体"/>
          <w:spacing w:val="8"/>
          <w:sz w:val="20"/>
          <w:szCs w:val="20"/>
        </w:rPr>
        <w:t>用杆座安装子目。</w:t>
      </w:r>
    </w:p>
    <w:p>
      <w:pPr>
        <w:spacing w:before="1" w:line="351" w:lineRule="auto"/>
        <w:ind w:left="8" w:firstLine="414"/>
        <w:rPr>
          <w:rFonts w:ascii="宋体" w:hAnsi="宋体" w:eastAsia="宋体" w:cs="宋体"/>
          <w:sz w:val="20"/>
          <w:szCs w:val="20"/>
        </w:rPr>
      </w:pPr>
      <w:r>
        <w:rPr>
          <w:rFonts w:ascii="宋体" w:hAnsi="宋体" w:eastAsia="宋体" w:cs="宋体"/>
          <w:b/>
          <w:bCs/>
          <w:spacing w:val="8"/>
          <w:sz w:val="20"/>
          <w:szCs w:val="20"/>
        </w:rPr>
        <w:t>63.</w:t>
      </w:r>
      <w:r>
        <w:rPr>
          <w:rFonts w:ascii="宋体" w:hAnsi="宋体" w:eastAsia="宋体" w:cs="宋体"/>
          <w:spacing w:val="8"/>
          <w:sz w:val="20"/>
          <w:szCs w:val="20"/>
        </w:rPr>
        <w:t xml:space="preserve"> </w:t>
      </w:r>
      <w:r>
        <w:rPr>
          <w:rFonts w:ascii="宋体" w:hAnsi="宋体" w:eastAsia="宋体" w:cs="宋体"/>
          <w:b/>
          <w:bCs/>
          <w:spacing w:val="8"/>
          <w:sz w:val="20"/>
          <w:szCs w:val="20"/>
        </w:rPr>
        <w:t>关于第十册第六章《防雷、接地装置工程》</w:t>
      </w:r>
      <w:r>
        <w:rPr>
          <w:rFonts w:ascii="宋体" w:hAnsi="宋体" w:eastAsia="宋体" w:cs="宋体"/>
          <w:spacing w:val="-58"/>
          <w:sz w:val="20"/>
          <w:szCs w:val="20"/>
        </w:rPr>
        <w:t xml:space="preserve"> </w:t>
      </w:r>
      <w:r>
        <w:rPr>
          <w:rFonts w:ascii="宋体" w:hAnsi="宋体" w:eastAsia="宋体" w:cs="宋体"/>
          <w:b/>
          <w:bCs/>
          <w:spacing w:val="8"/>
          <w:sz w:val="20"/>
          <w:szCs w:val="20"/>
        </w:rPr>
        <w:t>中“独立接地装置调试（6</w:t>
      </w:r>
      <w:r>
        <w:rPr>
          <w:rFonts w:ascii="宋体" w:hAnsi="宋体" w:eastAsia="宋体" w:cs="宋体"/>
          <w:spacing w:val="8"/>
          <w:sz w:val="20"/>
          <w:szCs w:val="20"/>
        </w:rPr>
        <w:t xml:space="preserve"> </w:t>
      </w:r>
      <w:r>
        <w:rPr>
          <w:rFonts w:ascii="宋体" w:hAnsi="宋体" w:eastAsia="宋体" w:cs="宋体"/>
          <w:b/>
          <w:bCs/>
          <w:spacing w:val="8"/>
          <w:sz w:val="20"/>
          <w:szCs w:val="20"/>
        </w:rPr>
        <w:t>根接地极以内</w:t>
      </w:r>
      <w:r>
        <w:rPr>
          <w:rFonts w:ascii="宋体" w:hAnsi="宋体" w:eastAsia="宋体" w:cs="宋体"/>
          <w:spacing w:val="-40"/>
          <w:sz w:val="20"/>
          <w:szCs w:val="20"/>
        </w:rPr>
        <w:t xml:space="preserve"> </w:t>
      </w:r>
      <w:r>
        <w:rPr>
          <w:rFonts w:ascii="宋体" w:hAnsi="宋体" w:eastAsia="宋体" w:cs="宋体"/>
          <w:b/>
          <w:bCs/>
          <w:spacing w:val="8"/>
          <w:sz w:val="20"/>
          <w:szCs w:val="20"/>
        </w:rPr>
        <w:t>）”和“接地网调试”定额子目的适用范围</w:t>
      </w:r>
    </w:p>
    <w:p>
      <w:pPr>
        <w:spacing w:before="47" w:line="367" w:lineRule="auto"/>
        <w:ind w:right="97" w:firstLine="422"/>
        <w:jc w:val="both"/>
        <w:rPr>
          <w:rFonts w:ascii="宋体" w:hAnsi="宋体" w:eastAsia="宋体" w:cs="宋体"/>
          <w:sz w:val="20"/>
          <w:szCs w:val="20"/>
        </w:rPr>
      </w:pPr>
      <w:r>
        <w:rPr>
          <w:rFonts w:ascii="宋体" w:hAnsi="宋体" w:eastAsia="宋体" w:cs="宋体"/>
          <w:spacing w:val="11"/>
          <w:sz w:val="20"/>
          <w:szCs w:val="20"/>
        </w:rPr>
        <w:t>一般一路路灯为一组接地极调试，如果是几路路灯的接地极连在一起，则按</w:t>
      </w:r>
      <w:r>
        <w:rPr>
          <w:rFonts w:ascii="宋体" w:hAnsi="宋体" w:eastAsia="宋体" w:cs="宋体"/>
          <w:spacing w:val="10"/>
          <w:sz w:val="20"/>
          <w:szCs w:val="20"/>
        </w:rPr>
        <w:t>一个接地网调试计</w:t>
      </w:r>
      <w:r>
        <w:rPr>
          <w:rFonts w:ascii="宋体" w:hAnsi="宋体" w:eastAsia="宋体" w:cs="宋体"/>
          <w:spacing w:val="6"/>
          <w:sz w:val="20"/>
          <w:szCs w:val="20"/>
        </w:rPr>
        <w:t>算，不再另计“独立接地装置调试（6 根接地极以内</w:t>
      </w:r>
      <w:r>
        <w:rPr>
          <w:rFonts w:ascii="宋体" w:hAnsi="宋体" w:eastAsia="宋体" w:cs="宋体"/>
          <w:spacing w:val="5"/>
          <w:sz w:val="20"/>
          <w:szCs w:val="20"/>
        </w:rPr>
        <w:t>）”。如一路路灯接地极超过</w:t>
      </w:r>
      <w:r>
        <w:rPr>
          <w:rFonts w:ascii="宋体" w:hAnsi="宋体" w:eastAsia="宋体" w:cs="宋体"/>
          <w:spacing w:val="-39"/>
          <w:sz w:val="20"/>
          <w:szCs w:val="20"/>
        </w:rPr>
        <w:t xml:space="preserve"> </w:t>
      </w:r>
      <w:r>
        <w:rPr>
          <w:rFonts w:ascii="宋体" w:hAnsi="宋体" w:eastAsia="宋体" w:cs="宋体"/>
          <w:spacing w:val="5"/>
          <w:sz w:val="20"/>
          <w:szCs w:val="20"/>
        </w:rPr>
        <w:t>6</w:t>
      </w:r>
      <w:r>
        <w:rPr>
          <w:rFonts w:ascii="宋体" w:hAnsi="宋体" w:eastAsia="宋体" w:cs="宋体"/>
          <w:spacing w:val="-42"/>
          <w:sz w:val="20"/>
          <w:szCs w:val="20"/>
        </w:rPr>
        <w:t xml:space="preserve"> </w:t>
      </w:r>
      <w:r>
        <w:rPr>
          <w:rFonts w:ascii="宋体" w:hAnsi="宋体" w:eastAsia="宋体" w:cs="宋体"/>
          <w:spacing w:val="5"/>
          <w:sz w:val="20"/>
          <w:szCs w:val="20"/>
        </w:rPr>
        <w:t>根的，按照“独</w:t>
      </w:r>
      <w:r>
        <w:rPr>
          <w:rFonts w:ascii="宋体" w:hAnsi="宋体" w:eastAsia="宋体" w:cs="宋体"/>
          <w:spacing w:val="3"/>
          <w:sz w:val="20"/>
          <w:szCs w:val="20"/>
        </w:rPr>
        <w:t>立接地装置调试（6 根接地极以内</w:t>
      </w:r>
      <w:r>
        <w:rPr>
          <w:rFonts w:ascii="宋体" w:hAnsi="宋体" w:eastAsia="宋体" w:cs="宋体"/>
          <w:spacing w:val="-29"/>
          <w:sz w:val="20"/>
          <w:szCs w:val="20"/>
        </w:rPr>
        <w:t xml:space="preserve"> </w:t>
      </w:r>
      <w:r>
        <w:rPr>
          <w:rFonts w:ascii="宋体" w:hAnsi="宋体" w:eastAsia="宋体" w:cs="宋体"/>
          <w:spacing w:val="3"/>
          <w:sz w:val="20"/>
          <w:szCs w:val="20"/>
        </w:rPr>
        <w:t>）”乘以系数</w:t>
      </w:r>
      <w:r>
        <w:rPr>
          <w:rFonts w:ascii="宋体" w:hAnsi="宋体" w:eastAsia="宋体" w:cs="宋体"/>
          <w:spacing w:val="-22"/>
          <w:sz w:val="20"/>
          <w:szCs w:val="20"/>
        </w:rPr>
        <w:t xml:space="preserve"> </w:t>
      </w:r>
      <w:r>
        <w:rPr>
          <w:rFonts w:ascii="宋体" w:hAnsi="宋体" w:eastAsia="宋体" w:cs="宋体"/>
          <w:spacing w:val="3"/>
          <w:sz w:val="20"/>
          <w:szCs w:val="20"/>
        </w:rPr>
        <w:t>1.15</w:t>
      </w:r>
      <w:r>
        <w:rPr>
          <w:rFonts w:ascii="宋体" w:hAnsi="宋体" w:eastAsia="宋体" w:cs="宋体"/>
          <w:spacing w:val="-43"/>
          <w:sz w:val="20"/>
          <w:szCs w:val="20"/>
        </w:rPr>
        <w:t xml:space="preserve"> </w:t>
      </w:r>
      <w:r>
        <w:rPr>
          <w:rFonts w:ascii="宋体" w:hAnsi="宋体" w:eastAsia="宋体" w:cs="宋体"/>
          <w:spacing w:val="3"/>
          <w:sz w:val="20"/>
          <w:szCs w:val="20"/>
        </w:rPr>
        <w:t>计算。</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64.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关于计价依据的解释</w:t>
      </w:r>
    </w:p>
    <w:p>
      <w:pPr>
        <w:spacing w:before="122" w:line="369" w:lineRule="auto"/>
        <w:ind w:left="3" w:right="97" w:firstLine="419"/>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7"/>
          <w:sz w:val="20"/>
          <w:szCs w:val="20"/>
        </w:rPr>
        <w:t xml:space="preserve"> </w:t>
      </w:r>
      <w:r>
        <w:rPr>
          <w:rFonts w:ascii="宋体" w:hAnsi="宋体" w:eastAsia="宋体" w:cs="宋体"/>
          <w:spacing w:val="6"/>
          <w:sz w:val="20"/>
          <w:szCs w:val="20"/>
        </w:rPr>
        <w:t>8</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22"/>
          <w:sz w:val="20"/>
          <w:szCs w:val="20"/>
        </w:rPr>
        <w:t xml:space="preserve"> </w:t>
      </w:r>
      <w:r>
        <w:rPr>
          <w:rFonts w:ascii="宋体" w:hAnsi="宋体" w:eastAsia="宋体" w:cs="宋体"/>
          <w:spacing w:val="6"/>
          <w:sz w:val="20"/>
          <w:szCs w:val="20"/>
        </w:rPr>
        <w:t>11 日淄博市住房和城乡建设局发布《关于</w:t>
      </w:r>
    </w:p>
    <w:p>
      <w:pPr>
        <w:spacing w:line="369" w:lineRule="auto"/>
        <w:rPr>
          <w:rFonts w:ascii="宋体" w:hAnsi="宋体" w:eastAsia="宋体" w:cs="宋体"/>
          <w:sz w:val="20"/>
          <w:szCs w:val="20"/>
        </w:rPr>
        <w:sectPr>
          <w:footerReference r:id="rId181" w:type="default"/>
          <w:pgSz w:w="11906" w:h="16839"/>
          <w:pgMar w:top="400" w:right="1320"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firstLine="1"/>
        <w:jc w:val="both"/>
        <w:rPr>
          <w:rFonts w:ascii="宋体" w:hAnsi="宋体" w:eastAsia="宋体" w:cs="宋体"/>
          <w:sz w:val="20"/>
          <w:szCs w:val="20"/>
        </w:rPr>
      </w:pPr>
      <w:r>
        <w:rPr>
          <w:rFonts w:ascii="宋体" w:hAnsi="宋体" w:eastAsia="宋体" w:cs="宋体"/>
          <w:spacing w:val="11"/>
          <w:sz w:val="20"/>
          <w:szCs w:val="20"/>
        </w:rPr>
        <w:t>转发山东省住房和城乡建设厅〈关于印发《山东省建设工程计价依据解释工</w:t>
      </w:r>
      <w:r>
        <w:rPr>
          <w:rFonts w:ascii="宋体" w:hAnsi="宋体" w:eastAsia="宋体" w:cs="宋体"/>
          <w:spacing w:val="10"/>
          <w:sz w:val="20"/>
          <w:szCs w:val="20"/>
        </w:rPr>
        <w:t>作办法》的通知〉的通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bookmarkStart w:id="90" w:name="bookmark57"/>
      <w:bookmarkEnd w:id="90"/>
      <w:bookmarkStart w:id="91" w:name="bookmark58"/>
      <w:bookmarkEnd w:id="91"/>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182" w:type="default"/>
          <w:pgSz w:w="11906" w:h="16839"/>
          <w:pgMar w:top="400" w:right="1417" w:bottom="1212" w:left="1418" w:header="0" w:footer="897" w:gutter="0"/>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97" w:line="212" w:lineRule="auto"/>
        <w:ind w:left="1225"/>
        <w:outlineLvl w:val="1"/>
        <w:rPr>
          <w:rFonts w:ascii="宋体" w:hAnsi="宋体" w:eastAsia="宋体" w:cs="宋体"/>
          <w:sz w:val="30"/>
          <w:szCs w:val="30"/>
        </w:rPr>
      </w:pPr>
      <w:bookmarkStart w:id="92" w:name="bookmark163"/>
      <w:bookmarkEnd w:id="92"/>
      <w:r>
        <w:rPr>
          <w:rFonts w:ascii="宋体" w:hAnsi="宋体" w:eastAsia="宋体" w:cs="宋体"/>
          <w:b/>
          <w:bCs/>
          <w:spacing w:val="-2"/>
          <w:sz w:val="30"/>
          <w:szCs w:val="30"/>
        </w:rPr>
        <w:t>第九节</w:t>
      </w:r>
      <w:r>
        <w:rPr>
          <w:rFonts w:ascii="宋体" w:hAnsi="宋体" w:eastAsia="宋体" w:cs="宋体"/>
          <w:spacing w:val="-2"/>
          <w:sz w:val="30"/>
          <w:szCs w:val="30"/>
        </w:rPr>
        <w:t xml:space="preserve">  </w:t>
      </w:r>
      <w:r>
        <w:rPr>
          <w:rFonts w:ascii="宋体" w:hAnsi="宋体" w:eastAsia="宋体" w:cs="宋体"/>
          <w:b/>
          <w:bCs/>
          <w:spacing w:val="-2"/>
          <w:sz w:val="30"/>
          <w:szCs w:val="30"/>
        </w:rPr>
        <w:t>市政养护维修工程定额计价有关</w:t>
      </w:r>
      <w:r>
        <w:rPr>
          <w:rFonts w:ascii="宋体" w:hAnsi="宋体" w:eastAsia="宋体" w:cs="宋体"/>
          <w:b/>
          <w:bCs/>
          <w:spacing w:val="-3"/>
          <w:sz w:val="30"/>
          <w:szCs w:val="30"/>
        </w:rPr>
        <w:t>问题说明</w:t>
      </w:r>
    </w:p>
    <w:p>
      <w:pPr>
        <w:spacing w:line="250" w:lineRule="auto"/>
        <w:rPr>
          <w:rFonts w:ascii="Arial"/>
          <w:sz w:val="21"/>
        </w:rPr>
      </w:pPr>
    </w:p>
    <w:p>
      <w:pPr>
        <w:spacing w:before="65" w:line="312" w:lineRule="auto"/>
        <w:ind w:left="3" w:firstLine="437"/>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40"/>
          <w:sz w:val="20"/>
          <w:szCs w:val="20"/>
        </w:rPr>
        <w:t xml:space="preserve"> </w:t>
      </w:r>
      <w:r>
        <w:rPr>
          <w:rFonts w:ascii="宋体" w:hAnsi="宋体" w:eastAsia="宋体" w:cs="宋体"/>
          <w:spacing w:val="5"/>
          <w:sz w:val="20"/>
          <w:szCs w:val="20"/>
        </w:rPr>
        <w:t>2020</w:t>
      </w:r>
      <w:r>
        <w:rPr>
          <w:rFonts w:ascii="宋体" w:hAnsi="宋体" w:eastAsia="宋体" w:cs="宋体"/>
          <w:spacing w:val="-38"/>
          <w:sz w:val="20"/>
          <w:szCs w:val="20"/>
        </w:rPr>
        <w:t xml:space="preserve"> </w:t>
      </w:r>
      <w:r>
        <w:rPr>
          <w:rFonts w:ascii="宋体" w:hAnsi="宋体" w:eastAsia="宋体" w:cs="宋体"/>
          <w:spacing w:val="5"/>
          <w:sz w:val="20"/>
          <w:szCs w:val="20"/>
        </w:rPr>
        <w:t>版《山东省市政养护维修工程消耗量定</w:t>
      </w:r>
      <w:r>
        <w:rPr>
          <w:rFonts w:ascii="宋体" w:hAnsi="宋体" w:eastAsia="宋体" w:cs="宋体"/>
          <w:spacing w:val="4"/>
          <w:sz w:val="20"/>
          <w:szCs w:val="20"/>
        </w:rPr>
        <w:t>额》以山东省住房和城乡建设厅鲁建标字〔2020〕</w:t>
      </w:r>
      <w:r>
        <w:rPr>
          <w:rFonts w:ascii="宋体" w:hAnsi="宋体" w:eastAsia="宋体" w:cs="宋体"/>
          <w:sz w:val="20"/>
          <w:szCs w:val="20"/>
        </w:rPr>
        <w:t xml:space="preserve"> </w:t>
      </w:r>
      <w:r>
        <w:rPr>
          <w:rFonts w:ascii="宋体" w:hAnsi="宋体" w:eastAsia="宋体" w:cs="宋体"/>
          <w:spacing w:val="2"/>
          <w:sz w:val="20"/>
          <w:szCs w:val="20"/>
        </w:rPr>
        <w:t>26</w:t>
      </w:r>
      <w:r>
        <w:rPr>
          <w:rFonts w:ascii="宋体" w:hAnsi="宋体" w:eastAsia="宋体" w:cs="宋体"/>
          <w:spacing w:val="-32"/>
          <w:sz w:val="20"/>
          <w:szCs w:val="20"/>
        </w:rPr>
        <w:t xml:space="preserve"> </w:t>
      </w:r>
      <w:r>
        <w:rPr>
          <w:rFonts w:ascii="宋体" w:hAnsi="宋体" w:eastAsia="宋体" w:cs="宋体"/>
          <w:spacing w:val="2"/>
          <w:sz w:val="20"/>
          <w:szCs w:val="20"/>
        </w:rPr>
        <w:t>号文正式颁布，</w:t>
      </w:r>
      <w:r>
        <w:rPr>
          <w:rFonts w:ascii="宋体" w:hAnsi="宋体" w:eastAsia="宋体" w:cs="宋体"/>
          <w:spacing w:val="-59"/>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2021年</w:t>
      </w:r>
      <w:r>
        <w:rPr>
          <w:rFonts w:ascii="宋体" w:hAnsi="宋体" w:eastAsia="宋体" w:cs="宋体"/>
          <w:spacing w:val="-22"/>
          <w:sz w:val="20"/>
          <w:szCs w:val="20"/>
        </w:rPr>
        <w:t xml:space="preserve"> </w:t>
      </w:r>
      <w:r>
        <w:rPr>
          <w:rFonts w:ascii="宋体" w:hAnsi="宋体" w:eastAsia="宋体" w:cs="宋体"/>
          <w:spacing w:val="2"/>
          <w:sz w:val="20"/>
          <w:szCs w:val="20"/>
        </w:rPr>
        <w:t>1</w:t>
      </w:r>
      <w:r>
        <w:rPr>
          <w:rFonts w:ascii="宋体" w:hAnsi="宋体" w:eastAsia="宋体" w:cs="宋体"/>
          <w:spacing w:val="-41"/>
          <w:sz w:val="20"/>
          <w:szCs w:val="20"/>
        </w:rPr>
        <w:t xml:space="preserve"> </w:t>
      </w:r>
      <w:r>
        <w:rPr>
          <w:rFonts w:ascii="宋体" w:hAnsi="宋体" w:eastAsia="宋体" w:cs="宋体"/>
          <w:spacing w:val="2"/>
          <w:sz w:val="20"/>
          <w:szCs w:val="20"/>
        </w:rPr>
        <w:t>月</w:t>
      </w:r>
      <w:r>
        <w:rPr>
          <w:rFonts w:ascii="宋体" w:hAnsi="宋体" w:eastAsia="宋体" w:cs="宋体"/>
          <w:spacing w:val="-24"/>
          <w:sz w:val="20"/>
          <w:szCs w:val="20"/>
        </w:rPr>
        <w:t xml:space="preserve"> </w:t>
      </w:r>
      <w:r>
        <w:rPr>
          <w:rFonts w:ascii="宋体" w:hAnsi="宋体" w:eastAsia="宋体" w:cs="宋体"/>
          <w:spacing w:val="2"/>
          <w:sz w:val="20"/>
          <w:szCs w:val="20"/>
        </w:rPr>
        <w:t>1 日起施行。</w:t>
      </w:r>
    </w:p>
    <w:p>
      <w:pPr>
        <w:spacing w:before="123" w:line="313" w:lineRule="auto"/>
        <w:ind w:left="1" w:right="105" w:firstLine="421"/>
        <w:rPr>
          <w:rFonts w:ascii="宋体" w:hAnsi="宋体" w:eastAsia="宋体" w:cs="宋体"/>
          <w:sz w:val="20"/>
          <w:szCs w:val="20"/>
        </w:rPr>
      </w:pPr>
      <w:r>
        <w:rPr>
          <w:rFonts w:ascii="宋体" w:hAnsi="宋体" w:eastAsia="宋体" w:cs="宋体"/>
          <w:spacing w:val="7"/>
          <w:sz w:val="20"/>
          <w:szCs w:val="20"/>
        </w:rPr>
        <w:t>2.</w:t>
      </w:r>
      <w:r>
        <w:rPr>
          <w:rFonts w:ascii="宋体" w:hAnsi="宋体" w:eastAsia="宋体" w:cs="宋体"/>
          <w:spacing w:val="-25"/>
          <w:sz w:val="20"/>
          <w:szCs w:val="20"/>
        </w:rPr>
        <w:t xml:space="preserve"> </w:t>
      </w:r>
      <w:r>
        <w:rPr>
          <w:rFonts w:ascii="宋体" w:hAnsi="宋体" w:eastAsia="宋体" w:cs="宋体"/>
          <w:spacing w:val="7"/>
          <w:sz w:val="20"/>
          <w:szCs w:val="20"/>
        </w:rPr>
        <w:t>《山东省建设工程费用项目组成及计算规则（2022</w:t>
      </w:r>
      <w:r>
        <w:rPr>
          <w:rFonts w:ascii="宋体" w:hAnsi="宋体" w:eastAsia="宋体" w:cs="宋体"/>
          <w:spacing w:val="-38"/>
          <w:sz w:val="20"/>
          <w:szCs w:val="20"/>
        </w:rPr>
        <w:t xml:space="preserve"> </w:t>
      </w:r>
      <w:r>
        <w:rPr>
          <w:rFonts w:ascii="宋体" w:hAnsi="宋体" w:eastAsia="宋体" w:cs="宋体"/>
          <w:spacing w:val="7"/>
          <w:sz w:val="20"/>
          <w:szCs w:val="20"/>
        </w:rPr>
        <w:t>版）》以山东省住房和城乡建设厅鲁建标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122" w:line="369" w:lineRule="auto"/>
        <w:ind w:left="2" w:right="105" w:firstLine="420"/>
        <w:jc w:val="both"/>
        <w:rPr>
          <w:rFonts w:ascii="宋体" w:hAnsi="宋体" w:eastAsia="宋体" w:cs="宋体"/>
          <w:sz w:val="20"/>
          <w:szCs w:val="20"/>
        </w:rPr>
      </w:pPr>
      <w:r>
        <w:rPr>
          <w:rFonts w:ascii="宋体" w:hAnsi="宋体" w:eastAsia="宋体" w:cs="宋体"/>
          <w:spacing w:val="6"/>
          <w:sz w:val="20"/>
          <w:szCs w:val="20"/>
        </w:rPr>
        <w:t>2023</w:t>
      </w:r>
      <w:r>
        <w:rPr>
          <w:rFonts w:ascii="宋体" w:hAnsi="宋体" w:eastAsia="宋体" w:cs="宋体"/>
          <w:spacing w:val="-20"/>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36"/>
          <w:sz w:val="20"/>
          <w:szCs w:val="20"/>
        </w:rPr>
        <w:t xml:space="preserve"> </w:t>
      </w:r>
      <w:r>
        <w:rPr>
          <w:rFonts w:ascii="宋体" w:hAnsi="宋体" w:eastAsia="宋体" w:cs="宋体"/>
          <w:spacing w:val="6"/>
          <w:sz w:val="20"/>
          <w:szCs w:val="20"/>
        </w:rPr>
        <w:t>月</w:t>
      </w:r>
      <w:r>
        <w:rPr>
          <w:rFonts w:ascii="宋体" w:hAnsi="宋体" w:eastAsia="宋体" w:cs="宋体"/>
          <w:spacing w:val="-36"/>
          <w:sz w:val="20"/>
          <w:szCs w:val="20"/>
        </w:rPr>
        <w:t xml:space="preserve"> </w:t>
      </w:r>
      <w:r>
        <w:rPr>
          <w:rFonts w:ascii="宋体" w:hAnsi="宋体" w:eastAsia="宋体" w:cs="宋体"/>
          <w:spacing w:val="6"/>
          <w:sz w:val="20"/>
          <w:szCs w:val="20"/>
        </w:rPr>
        <w:t>30 日</w:t>
      </w:r>
      <w:r>
        <w:rPr>
          <w:rFonts w:ascii="宋体" w:hAnsi="宋体" w:eastAsia="宋体" w:cs="宋体"/>
          <w:spacing w:val="-59"/>
          <w:sz w:val="20"/>
          <w:szCs w:val="20"/>
        </w:rPr>
        <w:t xml:space="preserve"> </w:t>
      </w:r>
      <w:r>
        <w:rPr>
          <w:rFonts w:ascii="宋体" w:hAnsi="宋体" w:eastAsia="宋体" w:cs="宋体"/>
          <w:spacing w:val="6"/>
          <w:sz w:val="20"/>
          <w:szCs w:val="20"/>
        </w:rPr>
        <w:t>，山东省住房和城乡建设厅发布《关于调整建设工程安全施工费的通知》</w:t>
      </w:r>
      <w:r>
        <w:rPr>
          <w:rFonts w:ascii="宋体" w:hAnsi="宋体" w:eastAsia="宋体" w:cs="宋体"/>
          <w:spacing w:val="-46"/>
          <w:sz w:val="20"/>
          <w:szCs w:val="20"/>
        </w:rPr>
        <w:t xml:space="preserve"> </w:t>
      </w:r>
      <w:r>
        <w:rPr>
          <w:rFonts w:ascii="宋体" w:hAnsi="宋体" w:eastAsia="宋体" w:cs="宋体"/>
          <w:spacing w:val="6"/>
          <w:sz w:val="20"/>
          <w:szCs w:val="20"/>
        </w:rPr>
        <w:t>，</w:t>
      </w: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line="368" w:lineRule="auto"/>
        <w:ind w:left="3" w:right="40"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3" w:line="366" w:lineRule="auto"/>
        <w:ind w:left="10" w:right="107" w:firstLine="415"/>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31"/>
          <w:sz w:val="20"/>
          <w:szCs w:val="20"/>
        </w:rPr>
        <w:t xml:space="preserve"> </w:t>
      </w:r>
      <w:r>
        <w:rPr>
          <w:rFonts w:ascii="宋体" w:hAnsi="宋体" w:eastAsia="宋体" w:cs="宋体"/>
          <w:spacing w:val="7"/>
          <w:sz w:val="20"/>
          <w:szCs w:val="20"/>
        </w:rPr>
        <w:t>2020</w:t>
      </w:r>
      <w:r>
        <w:rPr>
          <w:rFonts w:ascii="宋体" w:hAnsi="宋体" w:eastAsia="宋体" w:cs="宋体"/>
          <w:spacing w:val="-38"/>
          <w:sz w:val="20"/>
          <w:szCs w:val="20"/>
        </w:rPr>
        <w:t xml:space="preserve"> </w:t>
      </w:r>
      <w:r>
        <w:rPr>
          <w:rFonts w:ascii="宋体" w:hAnsi="宋体" w:eastAsia="宋体" w:cs="宋体"/>
          <w:spacing w:val="7"/>
          <w:sz w:val="20"/>
          <w:szCs w:val="20"/>
        </w:rPr>
        <w:t>版《山东省市政养护维修工程价目表》《人工材料机械台班价格表》在山东省住房和城</w:t>
      </w:r>
      <w:r>
        <w:rPr>
          <w:rFonts w:ascii="宋体" w:hAnsi="宋体" w:eastAsia="宋体" w:cs="宋体"/>
          <w:spacing w:val="4"/>
          <w:sz w:val="20"/>
          <w:szCs w:val="20"/>
        </w:rPr>
        <w:t>乡建设厅门户网站的专题专栏标准造价网站发布，</w:t>
      </w:r>
      <w:r>
        <w:rPr>
          <w:rFonts w:ascii="宋体" w:hAnsi="宋体" w:eastAsia="宋体" w:cs="宋体"/>
          <w:spacing w:val="-57"/>
          <w:sz w:val="20"/>
          <w:szCs w:val="20"/>
        </w:rPr>
        <w:t xml:space="preserve"> </w:t>
      </w:r>
      <w:r>
        <w:rPr>
          <w:rFonts w:ascii="宋体" w:hAnsi="宋体" w:eastAsia="宋体" w:cs="宋体"/>
          <w:spacing w:val="4"/>
          <w:sz w:val="20"/>
          <w:szCs w:val="20"/>
        </w:rPr>
        <w:t>自</w:t>
      </w:r>
      <w:r>
        <w:rPr>
          <w:rFonts w:ascii="宋体" w:hAnsi="宋体" w:eastAsia="宋体" w:cs="宋体"/>
          <w:spacing w:val="-39"/>
          <w:sz w:val="20"/>
          <w:szCs w:val="20"/>
        </w:rPr>
        <w:t xml:space="preserve"> </w:t>
      </w:r>
      <w:r>
        <w:rPr>
          <w:rFonts w:ascii="宋体" w:hAnsi="宋体" w:eastAsia="宋体" w:cs="宋体"/>
          <w:spacing w:val="4"/>
          <w:sz w:val="20"/>
          <w:szCs w:val="20"/>
        </w:rPr>
        <w:t>202</w:t>
      </w:r>
      <w:r>
        <w:rPr>
          <w:rFonts w:ascii="宋体" w:hAnsi="宋体" w:eastAsia="宋体" w:cs="宋体"/>
          <w:spacing w:val="3"/>
          <w:sz w:val="20"/>
          <w:szCs w:val="20"/>
        </w:rPr>
        <w:t>1</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w:t>
      </w:r>
      <w:r>
        <w:rPr>
          <w:rFonts w:ascii="宋体" w:hAnsi="宋体" w:eastAsia="宋体" w:cs="宋体"/>
          <w:spacing w:val="-40"/>
          <w:sz w:val="20"/>
          <w:szCs w:val="20"/>
        </w:rPr>
        <w:t xml:space="preserve"> </w:t>
      </w:r>
      <w:r>
        <w:rPr>
          <w:rFonts w:ascii="宋体" w:hAnsi="宋体" w:eastAsia="宋体" w:cs="宋体"/>
          <w:spacing w:val="3"/>
          <w:sz w:val="20"/>
          <w:szCs w:val="20"/>
        </w:rPr>
        <w:t>月</w:t>
      </w:r>
      <w:r>
        <w:rPr>
          <w:rFonts w:ascii="宋体" w:hAnsi="宋体" w:eastAsia="宋体" w:cs="宋体"/>
          <w:spacing w:val="-25"/>
          <w:sz w:val="20"/>
          <w:szCs w:val="20"/>
        </w:rPr>
        <w:t xml:space="preserve"> </w:t>
      </w:r>
      <w:r>
        <w:rPr>
          <w:rFonts w:ascii="宋体" w:hAnsi="宋体" w:eastAsia="宋体" w:cs="宋体"/>
          <w:spacing w:val="3"/>
          <w:sz w:val="20"/>
          <w:szCs w:val="20"/>
        </w:rPr>
        <w:t>1 日起执行。</w:t>
      </w:r>
    </w:p>
    <w:p>
      <w:pPr>
        <w:spacing w:before="7" w:line="368" w:lineRule="auto"/>
        <w:ind w:right="107" w:firstLine="404"/>
        <w:rPr>
          <w:rFonts w:ascii="宋体" w:hAnsi="宋体" w:eastAsia="宋体" w:cs="宋体"/>
          <w:sz w:val="20"/>
          <w:szCs w:val="20"/>
        </w:rPr>
      </w:pPr>
      <w:r>
        <w:rPr>
          <w:rFonts w:ascii="宋体" w:hAnsi="宋体" w:eastAsia="宋体" w:cs="宋体"/>
          <w:spacing w:val="8"/>
          <w:sz w:val="20"/>
          <w:szCs w:val="20"/>
        </w:rPr>
        <w:t>《山东省建设工程费用项目组成及计算规则（2022</w:t>
      </w:r>
      <w:r>
        <w:rPr>
          <w:rFonts w:ascii="宋体" w:hAnsi="宋体" w:eastAsia="宋体" w:cs="宋体"/>
          <w:spacing w:val="-26"/>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》与《山东省市政养护维修工程消耗量定额》（2020</w:t>
      </w:r>
      <w:r>
        <w:rPr>
          <w:rFonts w:ascii="宋体" w:hAnsi="宋体" w:eastAsia="宋体" w:cs="宋体"/>
          <w:spacing w:val="-22"/>
          <w:sz w:val="20"/>
          <w:szCs w:val="20"/>
        </w:rPr>
        <w:t xml:space="preserve"> </w:t>
      </w:r>
      <w:r>
        <w:rPr>
          <w:rFonts w:ascii="宋体" w:hAnsi="宋体" w:eastAsia="宋体" w:cs="宋体"/>
          <w:spacing w:val="8"/>
          <w:sz w:val="20"/>
          <w:szCs w:val="20"/>
        </w:rPr>
        <w:t>版）、《山东省市政养护维修工程价目表》配套使用。</w:t>
      </w:r>
    </w:p>
    <w:p>
      <w:pPr>
        <w:spacing w:before="2" w:line="312" w:lineRule="auto"/>
        <w:ind w:left="3" w:right="107" w:firstLine="416"/>
        <w:rPr>
          <w:rFonts w:ascii="宋体" w:hAnsi="宋体" w:eastAsia="宋体" w:cs="宋体"/>
          <w:sz w:val="20"/>
          <w:szCs w:val="20"/>
        </w:rPr>
      </w:pPr>
      <w:r>
        <w:rPr>
          <w:rFonts w:ascii="宋体" w:hAnsi="宋体" w:eastAsia="宋体" w:cs="宋体"/>
          <w:spacing w:val="8"/>
          <w:sz w:val="20"/>
          <w:szCs w:val="20"/>
        </w:rPr>
        <w:t>4. 市政养护维修工程费用计算程序是工程计价活动的依据。各种费率是编制最高投标限价的依</w:t>
      </w:r>
      <w:r>
        <w:rPr>
          <w:rFonts w:ascii="宋体" w:hAnsi="宋体" w:eastAsia="宋体" w:cs="宋体"/>
          <w:spacing w:val="10"/>
          <w:sz w:val="20"/>
          <w:szCs w:val="20"/>
        </w:rPr>
        <w:t>据，是其他计价活动的重要参考（其中规费、税金必须按规定计取，不得作为</w:t>
      </w:r>
      <w:r>
        <w:rPr>
          <w:rFonts w:ascii="宋体" w:hAnsi="宋体" w:eastAsia="宋体" w:cs="宋体"/>
          <w:spacing w:val="9"/>
          <w:sz w:val="20"/>
          <w:szCs w:val="20"/>
        </w:rPr>
        <w:t>竞争性费用）</w:t>
      </w:r>
    </w:p>
    <w:p>
      <w:pPr>
        <w:spacing w:before="125" w:line="278" w:lineRule="exact"/>
        <w:ind w:left="423"/>
        <w:rPr>
          <w:rFonts w:ascii="宋体" w:hAnsi="宋体" w:eastAsia="宋体" w:cs="宋体"/>
          <w:sz w:val="20"/>
          <w:szCs w:val="20"/>
        </w:rPr>
      </w:pPr>
      <w:r>
        <w:rPr>
          <w:rFonts w:ascii="宋体" w:hAnsi="宋体" w:eastAsia="宋体" w:cs="宋体"/>
          <w:b/>
          <w:bCs/>
          <w:spacing w:val="2"/>
          <w:position w:val="1"/>
          <w:sz w:val="20"/>
          <w:szCs w:val="20"/>
        </w:rPr>
        <w:t>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关于增值税的说明</w:t>
      </w:r>
    </w:p>
    <w:p>
      <w:pPr>
        <w:spacing w:before="119" w:line="369" w:lineRule="auto"/>
        <w:ind w:right="105" w:firstLine="404"/>
        <w:rPr>
          <w:rFonts w:ascii="宋体" w:hAnsi="宋体" w:eastAsia="宋体" w:cs="宋体"/>
          <w:sz w:val="20"/>
          <w:szCs w:val="20"/>
        </w:rPr>
      </w:pPr>
      <w:r>
        <w:rPr>
          <w:rFonts w:ascii="宋体" w:hAnsi="宋体" w:eastAsia="宋体" w:cs="宋体"/>
          <w:spacing w:val="10"/>
          <w:sz w:val="20"/>
          <w:szCs w:val="20"/>
        </w:rPr>
        <w:t>《山东省建设工程费用项目组成及计算规则》中的税率（增值</w:t>
      </w:r>
      <w:r>
        <w:rPr>
          <w:rFonts w:ascii="宋体" w:hAnsi="宋体" w:eastAsia="宋体" w:cs="宋体"/>
          <w:spacing w:val="9"/>
          <w:sz w:val="20"/>
          <w:szCs w:val="20"/>
        </w:rPr>
        <w:t>税一般计税）为</w:t>
      </w:r>
      <w:r>
        <w:rPr>
          <w:rFonts w:ascii="宋体" w:hAnsi="宋体" w:eastAsia="宋体" w:cs="宋体"/>
          <w:spacing w:val="-42"/>
          <w:sz w:val="20"/>
          <w:szCs w:val="20"/>
        </w:rPr>
        <w:t xml:space="preserve"> </w:t>
      </w:r>
      <w:r>
        <w:rPr>
          <w:rFonts w:ascii="宋体" w:hAnsi="宋体" w:eastAsia="宋体" w:cs="宋体"/>
          <w:spacing w:val="9"/>
          <w:sz w:val="20"/>
          <w:szCs w:val="20"/>
        </w:rPr>
        <w:t>9%，增值税一般</w:t>
      </w:r>
      <w:r>
        <w:rPr>
          <w:rFonts w:ascii="宋体" w:hAnsi="宋体" w:eastAsia="宋体" w:cs="宋体"/>
          <w:spacing w:val="12"/>
          <w:sz w:val="20"/>
          <w:szCs w:val="20"/>
        </w:rPr>
        <w:t>计税下，材料费、施工机具使用费在扣除进项税额时，税率分别为</w:t>
      </w:r>
      <w:r>
        <w:rPr>
          <w:rFonts w:ascii="宋体" w:hAnsi="宋体" w:eastAsia="宋体" w:cs="宋体"/>
          <w:spacing w:val="-22"/>
          <w:sz w:val="20"/>
          <w:szCs w:val="20"/>
        </w:rPr>
        <w:t xml:space="preserve"> </w:t>
      </w:r>
      <w:r>
        <w:rPr>
          <w:rFonts w:ascii="宋体" w:hAnsi="宋体" w:eastAsia="宋体" w:cs="宋体"/>
          <w:spacing w:val="12"/>
          <w:sz w:val="20"/>
          <w:szCs w:val="20"/>
        </w:rPr>
        <w:t>13%、9%。</w:t>
      </w:r>
    </w:p>
    <w:p>
      <w:pPr>
        <w:spacing w:before="3" w:line="277" w:lineRule="exact"/>
        <w:ind w:left="416"/>
        <w:rPr>
          <w:rFonts w:ascii="宋体" w:hAnsi="宋体" w:eastAsia="宋体" w:cs="宋体"/>
          <w:sz w:val="20"/>
          <w:szCs w:val="20"/>
        </w:rPr>
      </w:pPr>
      <w:r>
        <w:rPr>
          <w:rFonts w:ascii="宋体" w:hAnsi="宋体" w:eastAsia="宋体" w:cs="宋体"/>
          <w:b/>
          <w:bCs/>
          <w:spacing w:val="2"/>
          <w:position w:val="1"/>
          <w:sz w:val="20"/>
          <w:szCs w:val="20"/>
        </w:rPr>
        <w:t>6.</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关于定额人工单价说明</w:t>
      </w:r>
    </w:p>
    <w:p>
      <w:pPr>
        <w:spacing w:before="121" w:line="369" w:lineRule="auto"/>
        <w:ind w:right="107" w:firstLine="436"/>
        <w:jc w:val="both"/>
        <w:rPr>
          <w:rFonts w:ascii="宋体" w:hAnsi="宋体" w:eastAsia="宋体" w:cs="宋体"/>
          <w:sz w:val="20"/>
          <w:szCs w:val="20"/>
        </w:rPr>
      </w:pPr>
      <w:r>
        <w:rPr>
          <w:rFonts w:ascii="宋体" w:hAnsi="宋体" w:eastAsia="宋体" w:cs="宋体"/>
          <w:spacing w:val="10"/>
          <w:sz w:val="20"/>
          <w:szCs w:val="20"/>
        </w:rPr>
        <w:t>山东省住房和城乡建设厅《关于发布〈山东省房屋修缮工程消耗量定额〉〈山东省市政养护维</w:t>
      </w:r>
      <w:r>
        <w:rPr>
          <w:rFonts w:ascii="宋体" w:hAnsi="宋体" w:eastAsia="宋体" w:cs="宋体"/>
          <w:spacing w:val="9"/>
          <w:sz w:val="20"/>
          <w:szCs w:val="20"/>
        </w:rPr>
        <w:t>修工程消耗量定额〉的通知》（鲁建标字〔2020〕26</w:t>
      </w:r>
      <w:r>
        <w:rPr>
          <w:rFonts w:ascii="宋体" w:hAnsi="宋体" w:eastAsia="宋体" w:cs="宋体"/>
          <w:spacing w:val="-39"/>
          <w:sz w:val="20"/>
          <w:szCs w:val="20"/>
        </w:rPr>
        <w:t xml:space="preserve"> </w:t>
      </w:r>
      <w:r>
        <w:rPr>
          <w:rFonts w:ascii="宋体" w:hAnsi="宋体" w:eastAsia="宋体" w:cs="宋体"/>
          <w:spacing w:val="9"/>
          <w:sz w:val="20"/>
          <w:szCs w:val="20"/>
        </w:rPr>
        <w:t>号）规定：《山东省市</w:t>
      </w:r>
      <w:r>
        <w:rPr>
          <w:rFonts w:ascii="宋体" w:hAnsi="宋体" w:eastAsia="宋体" w:cs="宋体"/>
          <w:spacing w:val="8"/>
          <w:sz w:val="20"/>
          <w:szCs w:val="20"/>
        </w:rPr>
        <w:t>政养护维修工程消耗量</w:t>
      </w:r>
      <w:r>
        <w:rPr>
          <w:rFonts w:ascii="宋体" w:hAnsi="宋体" w:eastAsia="宋体" w:cs="宋体"/>
          <w:spacing w:val="6"/>
          <w:sz w:val="20"/>
          <w:szCs w:val="20"/>
        </w:rPr>
        <w:t>定额》中的综合工日单价为：117</w:t>
      </w:r>
      <w:r>
        <w:rPr>
          <w:rFonts w:ascii="宋体" w:hAnsi="宋体" w:eastAsia="宋体" w:cs="宋体"/>
          <w:spacing w:val="-43"/>
          <w:sz w:val="20"/>
          <w:szCs w:val="20"/>
        </w:rPr>
        <w:t xml:space="preserve"> </w:t>
      </w:r>
      <w:r>
        <w:rPr>
          <w:rFonts w:ascii="宋体" w:hAnsi="宋体" w:eastAsia="宋体" w:cs="宋体"/>
          <w:spacing w:val="6"/>
          <w:sz w:val="20"/>
          <w:szCs w:val="20"/>
        </w:rPr>
        <w:t>元/工日。该定额人工综合工日单价自2021</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4"/>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5"/>
          <w:sz w:val="20"/>
          <w:szCs w:val="20"/>
        </w:rPr>
        <w:t>月</w:t>
      </w:r>
      <w:r>
        <w:rPr>
          <w:rFonts w:ascii="宋体" w:hAnsi="宋体" w:eastAsia="宋体" w:cs="宋体"/>
          <w:spacing w:val="-25"/>
          <w:sz w:val="20"/>
          <w:szCs w:val="20"/>
        </w:rPr>
        <w:t xml:space="preserve"> </w:t>
      </w:r>
      <w:r>
        <w:rPr>
          <w:rFonts w:ascii="宋体" w:hAnsi="宋体" w:eastAsia="宋体" w:cs="宋体"/>
          <w:spacing w:val="5"/>
          <w:sz w:val="20"/>
          <w:szCs w:val="20"/>
        </w:rPr>
        <w:t>1 日起施行。</w:t>
      </w:r>
    </w:p>
    <w:p>
      <w:pPr>
        <w:spacing w:before="6" w:line="368" w:lineRule="auto"/>
        <w:ind w:left="3" w:right="28" w:firstLine="420"/>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w:t>
      </w:r>
      <w:r>
        <w:rPr>
          <w:rFonts w:ascii="宋体" w:hAnsi="宋体" w:eastAsia="宋体" w:cs="宋体"/>
          <w:spacing w:val="10"/>
          <w:sz w:val="20"/>
          <w:szCs w:val="20"/>
        </w:rPr>
        <w:t>的计算基础，也是我</w:t>
      </w:r>
      <w:r>
        <w:rPr>
          <w:rFonts w:ascii="宋体" w:hAnsi="宋体" w:eastAsia="宋体" w:cs="宋体"/>
          <w:spacing w:val="8"/>
          <w:sz w:val="20"/>
          <w:szCs w:val="20"/>
        </w:rPr>
        <w:t>市行政区域内国有投资项目编制最高投标限价的依据及投标报价、工程结算等</w:t>
      </w:r>
      <w:r>
        <w:rPr>
          <w:rFonts w:ascii="宋体" w:hAnsi="宋体" w:eastAsia="宋体" w:cs="宋体"/>
          <w:spacing w:val="7"/>
          <w:sz w:val="20"/>
          <w:szCs w:val="20"/>
        </w:rPr>
        <w:t>工程计价活动的参考。</w:t>
      </w:r>
    </w:p>
    <w:p>
      <w:pPr>
        <w:spacing w:line="278" w:lineRule="exact"/>
        <w:ind w:left="421"/>
        <w:rPr>
          <w:rFonts w:ascii="宋体" w:hAnsi="宋体" w:eastAsia="宋体" w:cs="宋体"/>
          <w:sz w:val="20"/>
          <w:szCs w:val="20"/>
        </w:rPr>
      </w:pPr>
      <w:r>
        <w:rPr>
          <w:rFonts w:ascii="宋体" w:hAnsi="宋体" w:eastAsia="宋体" w:cs="宋体"/>
          <w:b/>
          <w:bCs/>
          <w:spacing w:val="1"/>
          <w:position w:val="1"/>
          <w:sz w:val="20"/>
          <w:szCs w:val="20"/>
        </w:rPr>
        <w:t>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1" w:line="369" w:lineRule="auto"/>
        <w:ind w:left="2" w:right="105"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w:t>
      </w:r>
      <w:r>
        <w:rPr>
          <w:rFonts w:ascii="宋体" w:hAnsi="宋体" w:eastAsia="宋体" w:cs="宋体"/>
          <w:spacing w:val="12"/>
          <w:sz w:val="20"/>
          <w:szCs w:val="20"/>
        </w:rPr>
        <w:t>》（鲁建标字〔2022〕7</w:t>
      </w:r>
      <w:r>
        <w:rPr>
          <w:rFonts w:ascii="宋体" w:hAnsi="宋体" w:eastAsia="宋体" w:cs="宋体"/>
          <w:spacing w:val="11"/>
          <w:sz w:val="20"/>
          <w:szCs w:val="20"/>
        </w:rPr>
        <w:t>号）文件执行，其中安全文明施工费费率执行山东省住房和城乡建设厅《关于调整</w:t>
      </w:r>
      <w:r>
        <w:rPr>
          <w:rFonts w:ascii="宋体" w:hAnsi="宋体" w:eastAsia="宋体" w:cs="宋体"/>
          <w:spacing w:val="10"/>
          <w:sz w:val="20"/>
          <w:szCs w:val="20"/>
        </w:rPr>
        <w:t>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line="278"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7" w:line="220" w:lineRule="auto"/>
        <w:ind w:left="427"/>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7" w:lineRule="exact"/>
        <w:ind w:left="413"/>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6" w:line="220" w:lineRule="auto"/>
        <w:ind w:left="427"/>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8" w:lineRule="exact"/>
        <w:ind w:left="413"/>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line="278" w:lineRule="exact"/>
        <w:rPr>
          <w:rFonts w:ascii="宋体" w:hAnsi="宋体" w:eastAsia="宋体" w:cs="宋体"/>
          <w:sz w:val="20"/>
          <w:szCs w:val="20"/>
        </w:rPr>
        <w:sectPr>
          <w:footerReference r:id="rId183" w:type="default"/>
          <w:pgSz w:w="11906" w:h="16839"/>
          <w:pgMar w:top="400" w:right="1312"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427"/>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4" w:line="277" w:lineRule="exact"/>
        <w:ind w:left="413"/>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3" w:line="368" w:lineRule="auto"/>
        <w:ind w:left="1"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2"/>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5" w:line="278" w:lineRule="exact"/>
        <w:ind w:left="413"/>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21" w:line="369" w:lineRule="auto"/>
        <w:ind w:left="2"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line="278" w:lineRule="exact"/>
        <w:ind w:left="425"/>
        <w:rPr>
          <w:rFonts w:ascii="宋体" w:hAnsi="宋体" w:eastAsia="宋体" w:cs="宋体"/>
          <w:sz w:val="20"/>
          <w:szCs w:val="20"/>
        </w:rPr>
      </w:pPr>
      <w:r>
        <w:rPr>
          <w:rFonts w:ascii="宋体" w:hAnsi="宋体" w:eastAsia="宋体" w:cs="宋体"/>
          <w:b/>
          <w:bCs/>
          <w:position w:val="1"/>
          <w:sz w:val="20"/>
          <w:szCs w:val="20"/>
        </w:rPr>
        <w:t>8.</w:t>
      </w:r>
      <w:r>
        <w:rPr>
          <w:rFonts w:ascii="宋体" w:hAnsi="宋体" w:eastAsia="宋体" w:cs="宋体"/>
          <w:position w:val="1"/>
          <w:sz w:val="20"/>
          <w:szCs w:val="20"/>
        </w:rPr>
        <w:t xml:space="preserve"> </w:t>
      </w:r>
      <w:r>
        <w:rPr>
          <w:rFonts w:ascii="宋体" w:hAnsi="宋体" w:eastAsia="宋体" w:cs="宋体"/>
          <w:b/>
          <w:bCs/>
          <w:position w:val="1"/>
          <w:sz w:val="20"/>
          <w:szCs w:val="20"/>
        </w:rPr>
        <w:t>定额适用范围</w:t>
      </w:r>
    </w:p>
    <w:p>
      <w:pPr>
        <w:spacing w:before="126" w:line="223" w:lineRule="auto"/>
        <w:ind w:left="420"/>
        <w:rPr>
          <w:rFonts w:ascii="宋体" w:hAnsi="宋体" w:eastAsia="宋体" w:cs="宋体"/>
          <w:sz w:val="20"/>
          <w:szCs w:val="20"/>
        </w:rPr>
      </w:pPr>
      <w:r>
        <w:rPr>
          <w:rFonts w:ascii="宋体" w:hAnsi="宋体" w:eastAsia="宋体" w:cs="宋体"/>
          <w:spacing w:val="9"/>
          <w:sz w:val="20"/>
          <w:szCs w:val="20"/>
        </w:rPr>
        <w:t>定额适用于市政工程的养护和维修，不适用于新建、扩建和改建工程。</w:t>
      </w:r>
    </w:p>
    <w:p>
      <w:pPr>
        <w:spacing w:before="156" w:line="278" w:lineRule="exact"/>
        <w:ind w:left="413"/>
        <w:rPr>
          <w:rFonts w:ascii="宋体" w:hAnsi="宋体" w:eastAsia="宋体" w:cs="宋体"/>
          <w:sz w:val="20"/>
          <w:szCs w:val="20"/>
        </w:rPr>
      </w:pPr>
      <w:r>
        <w:rPr>
          <w:rFonts w:ascii="宋体" w:hAnsi="宋体" w:eastAsia="宋体" w:cs="宋体"/>
          <w:b/>
          <w:bCs/>
          <w:spacing w:val="3"/>
          <w:position w:val="1"/>
          <w:sz w:val="20"/>
          <w:szCs w:val="20"/>
        </w:rPr>
        <w:t>（</w:t>
      </w:r>
      <w:r>
        <w:rPr>
          <w:rFonts w:ascii="宋体" w:hAnsi="宋体" w:eastAsia="宋体" w:cs="宋体"/>
          <w:spacing w:val="-40"/>
          <w:position w:val="1"/>
          <w:sz w:val="20"/>
          <w:szCs w:val="20"/>
        </w:rPr>
        <w:t xml:space="preserve"> </w:t>
      </w:r>
      <w:r>
        <w:rPr>
          <w:rFonts w:ascii="宋体" w:hAnsi="宋体" w:eastAsia="宋体" w:cs="宋体"/>
          <w:b/>
          <w:bCs/>
          <w:spacing w:val="3"/>
          <w:position w:val="1"/>
          <w:sz w:val="20"/>
          <w:szCs w:val="20"/>
        </w:rPr>
        <w:t>1）道路养护维修工程</w:t>
      </w:r>
    </w:p>
    <w:p>
      <w:pPr>
        <w:spacing w:before="125" w:line="368" w:lineRule="auto"/>
        <w:ind w:right="43" w:firstLine="420"/>
        <w:rPr>
          <w:rFonts w:ascii="宋体" w:hAnsi="宋体" w:eastAsia="宋体" w:cs="宋体"/>
          <w:sz w:val="20"/>
          <w:szCs w:val="20"/>
        </w:rPr>
      </w:pPr>
      <w:r>
        <w:rPr>
          <w:rFonts w:ascii="宋体" w:hAnsi="宋体" w:eastAsia="宋体" w:cs="宋体"/>
          <w:spacing w:val="10"/>
          <w:sz w:val="20"/>
          <w:szCs w:val="20"/>
        </w:rPr>
        <w:t>适用于城镇范围内的市政道路、广场、停车场、运动场及市政交通安全设施维修</w:t>
      </w:r>
      <w:r>
        <w:rPr>
          <w:rFonts w:ascii="宋体" w:hAnsi="宋体" w:eastAsia="宋体" w:cs="宋体"/>
          <w:spacing w:val="9"/>
          <w:sz w:val="20"/>
          <w:szCs w:val="20"/>
        </w:rPr>
        <w:t>等工程的养护</w:t>
      </w:r>
      <w:r>
        <w:rPr>
          <w:rFonts w:ascii="宋体" w:hAnsi="宋体" w:eastAsia="宋体" w:cs="宋体"/>
          <w:spacing w:val="8"/>
          <w:sz w:val="20"/>
          <w:szCs w:val="20"/>
        </w:rPr>
        <w:t>及维修工程。具体范围如下：</w:t>
      </w:r>
    </w:p>
    <w:p>
      <w:pPr>
        <w:spacing w:line="275" w:lineRule="exact"/>
        <w:ind w:left="421"/>
        <w:rPr>
          <w:rFonts w:ascii="宋体" w:hAnsi="宋体" w:eastAsia="宋体" w:cs="宋体"/>
          <w:sz w:val="20"/>
          <w:szCs w:val="20"/>
        </w:rPr>
      </w:pPr>
      <w:r>
        <w:rPr>
          <w:rFonts w:ascii="宋体" w:hAnsi="宋体" w:eastAsia="宋体" w:cs="宋体"/>
          <w:spacing w:val="8"/>
          <w:position w:val="1"/>
          <w:sz w:val="20"/>
          <w:szCs w:val="20"/>
        </w:rPr>
        <w:t>①维修旧路单块面积在 400</w:t>
      </w:r>
      <w:r>
        <w:rPr>
          <w:rFonts w:ascii="宋体" w:hAnsi="宋体" w:eastAsia="宋体" w:cs="宋体"/>
          <w:spacing w:val="-36"/>
          <w:position w:val="1"/>
          <w:sz w:val="20"/>
          <w:szCs w:val="20"/>
        </w:rPr>
        <w:t xml:space="preserve"> </w:t>
      </w:r>
      <w:r>
        <w:rPr>
          <w:rFonts w:ascii="宋体" w:hAnsi="宋体" w:eastAsia="宋体" w:cs="宋体"/>
          <w:spacing w:val="8"/>
          <w:position w:val="1"/>
          <w:sz w:val="20"/>
          <w:szCs w:val="20"/>
        </w:rPr>
        <w:t>㎡及以内，维修人行道</w:t>
      </w:r>
      <w:r>
        <w:rPr>
          <w:rFonts w:ascii="宋体" w:hAnsi="宋体" w:eastAsia="宋体" w:cs="宋体"/>
          <w:spacing w:val="7"/>
          <w:position w:val="1"/>
          <w:sz w:val="20"/>
          <w:szCs w:val="20"/>
        </w:rPr>
        <w:t>单块面积在 200</w:t>
      </w:r>
      <w:r>
        <w:rPr>
          <w:rFonts w:ascii="宋体" w:hAnsi="宋体" w:eastAsia="宋体" w:cs="宋体"/>
          <w:spacing w:val="-34"/>
          <w:position w:val="1"/>
          <w:sz w:val="20"/>
          <w:szCs w:val="20"/>
        </w:rPr>
        <w:t xml:space="preserve"> </w:t>
      </w:r>
      <w:r>
        <w:rPr>
          <w:rFonts w:ascii="宋体" w:hAnsi="宋体" w:eastAsia="宋体" w:cs="宋体"/>
          <w:spacing w:val="7"/>
          <w:position w:val="1"/>
          <w:sz w:val="20"/>
          <w:szCs w:val="20"/>
        </w:rPr>
        <w:t>㎡以内；</w:t>
      </w:r>
    </w:p>
    <w:p>
      <w:pPr>
        <w:spacing w:before="123" w:line="275" w:lineRule="exact"/>
        <w:ind w:left="421"/>
        <w:rPr>
          <w:rFonts w:ascii="宋体" w:hAnsi="宋体" w:eastAsia="宋体" w:cs="宋体"/>
          <w:sz w:val="20"/>
          <w:szCs w:val="20"/>
        </w:rPr>
      </w:pPr>
      <w:r>
        <w:rPr>
          <w:rFonts w:ascii="宋体" w:hAnsi="宋体" w:eastAsia="宋体" w:cs="宋体"/>
          <w:spacing w:val="10"/>
          <w:position w:val="1"/>
          <w:sz w:val="20"/>
          <w:szCs w:val="20"/>
        </w:rPr>
        <w:t>②拆除及维修侧、缘石每处长度在 200m</w:t>
      </w:r>
      <w:r>
        <w:rPr>
          <w:rFonts w:ascii="宋体" w:hAnsi="宋体" w:eastAsia="宋体" w:cs="宋体"/>
          <w:spacing w:val="-43"/>
          <w:position w:val="1"/>
          <w:sz w:val="20"/>
          <w:szCs w:val="20"/>
        </w:rPr>
        <w:t xml:space="preserve"> </w:t>
      </w:r>
      <w:r>
        <w:rPr>
          <w:rFonts w:ascii="宋体" w:hAnsi="宋体" w:eastAsia="宋体" w:cs="宋体"/>
          <w:spacing w:val="10"/>
          <w:position w:val="1"/>
          <w:sz w:val="20"/>
          <w:szCs w:val="20"/>
        </w:rPr>
        <w:t>及</w:t>
      </w:r>
      <w:r>
        <w:rPr>
          <w:rFonts w:ascii="宋体" w:hAnsi="宋体" w:eastAsia="宋体" w:cs="宋体"/>
          <w:spacing w:val="9"/>
          <w:position w:val="1"/>
          <w:sz w:val="20"/>
          <w:szCs w:val="20"/>
        </w:rPr>
        <w:t>以内；</w:t>
      </w:r>
    </w:p>
    <w:p>
      <w:pPr>
        <w:spacing w:before="126" w:line="275" w:lineRule="exact"/>
        <w:ind w:left="421"/>
        <w:rPr>
          <w:rFonts w:ascii="宋体" w:hAnsi="宋体" w:eastAsia="宋体" w:cs="宋体"/>
          <w:sz w:val="20"/>
          <w:szCs w:val="20"/>
        </w:rPr>
      </w:pPr>
      <w:r>
        <w:rPr>
          <w:rFonts w:ascii="宋体" w:hAnsi="宋体" w:eastAsia="宋体" w:cs="宋体"/>
          <w:spacing w:val="8"/>
          <w:position w:val="1"/>
          <w:sz w:val="20"/>
          <w:szCs w:val="20"/>
        </w:rPr>
        <w:t>③拆除及维修树穴、树篦及挡车柱 5</w:t>
      </w:r>
      <w:r>
        <w:rPr>
          <w:rFonts w:ascii="宋体" w:hAnsi="宋体" w:eastAsia="宋体" w:cs="宋体"/>
          <w:spacing w:val="-31"/>
          <w:position w:val="1"/>
          <w:sz w:val="20"/>
          <w:szCs w:val="20"/>
        </w:rPr>
        <w:t xml:space="preserve"> </w:t>
      </w:r>
      <w:r>
        <w:rPr>
          <w:rFonts w:ascii="宋体" w:hAnsi="宋体" w:eastAsia="宋体" w:cs="宋体"/>
          <w:spacing w:val="8"/>
          <w:position w:val="1"/>
          <w:sz w:val="20"/>
          <w:szCs w:val="20"/>
        </w:rPr>
        <w:t>个及以内；</w:t>
      </w:r>
    </w:p>
    <w:p>
      <w:pPr>
        <w:spacing w:before="126" w:line="275" w:lineRule="exact"/>
        <w:ind w:left="421"/>
        <w:rPr>
          <w:rFonts w:ascii="宋体" w:hAnsi="宋体" w:eastAsia="宋体" w:cs="宋体"/>
          <w:sz w:val="20"/>
          <w:szCs w:val="20"/>
        </w:rPr>
      </w:pPr>
      <w:r>
        <w:rPr>
          <w:rFonts w:ascii="宋体" w:hAnsi="宋体" w:eastAsia="宋体" w:cs="宋体"/>
          <w:spacing w:val="8"/>
          <w:position w:val="1"/>
          <w:sz w:val="20"/>
          <w:szCs w:val="20"/>
        </w:rPr>
        <w:t>④拆除及维修池体、台阶在 5m</w:t>
      </w:r>
      <w:r>
        <w:rPr>
          <w:rFonts w:ascii="Arial" w:hAnsi="Arial" w:eastAsia="Arial" w:cs="Arial"/>
          <w:spacing w:val="8"/>
          <w:position w:val="1"/>
          <w:sz w:val="20"/>
          <w:szCs w:val="20"/>
        </w:rPr>
        <w:t>3</w:t>
      </w:r>
      <w:r>
        <w:rPr>
          <w:rFonts w:ascii="宋体" w:hAnsi="宋体" w:eastAsia="宋体" w:cs="宋体"/>
          <w:spacing w:val="8"/>
          <w:position w:val="1"/>
          <w:sz w:val="20"/>
          <w:szCs w:val="20"/>
        </w:rPr>
        <w:t>及以内；</w:t>
      </w:r>
    </w:p>
    <w:p>
      <w:pPr>
        <w:spacing w:before="123" w:line="275" w:lineRule="exact"/>
        <w:ind w:left="421"/>
        <w:rPr>
          <w:rFonts w:ascii="宋体" w:hAnsi="宋体" w:eastAsia="宋体" w:cs="宋体"/>
          <w:sz w:val="20"/>
          <w:szCs w:val="20"/>
        </w:rPr>
      </w:pPr>
      <w:r>
        <w:rPr>
          <w:rFonts w:ascii="宋体" w:hAnsi="宋体" w:eastAsia="宋体" w:cs="宋体"/>
          <w:spacing w:val="9"/>
          <w:position w:val="1"/>
          <w:sz w:val="20"/>
          <w:szCs w:val="20"/>
        </w:rPr>
        <w:t>⑤拆除及维修交通设施以下范围内：</w:t>
      </w:r>
    </w:p>
    <w:p>
      <w:pPr>
        <w:spacing w:before="126" w:line="274" w:lineRule="exact"/>
        <w:ind w:left="422"/>
        <w:rPr>
          <w:rFonts w:ascii="宋体" w:hAnsi="宋体" w:eastAsia="宋体" w:cs="宋体"/>
          <w:sz w:val="20"/>
          <w:szCs w:val="20"/>
        </w:rPr>
      </w:pPr>
      <w:r>
        <w:rPr>
          <w:rFonts w:ascii="MS UI Gothic" w:hAnsi="MS UI Gothic" w:eastAsia="MS UI Gothic" w:cs="MS UI Gothic"/>
          <w:spacing w:val="8"/>
          <w:position w:val="1"/>
          <w:sz w:val="20"/>
          <w:szCs w:val="20"/>
        </w:rPr>
        <w:t>Ⓐ</w:t>
      </w:r>
      <w:r>
        <w:rPr>
          <w:rFonts w:ascii="宋体" w:hAnsi="宋体" w:eastAsia="宋体" w:cs="宋体"/>
          <w:spacing w:val="8"/>
          <w:position w:val="1"/>
          <w:sz w:val="20"/>
          <w:szCs w:val="20"/>
        </w:rPr>
        <w:t>拆除及维修交通设施在 5</w:t>
      </w:r>
      <w:r>
        <w:rPr>
          <w:rFonts w:ascii="宋体" w:hAnsi="宋体" w:eastAsia="宋体" w:cs="宋体"/>
          <w:spacing w:val="-28"/>
          <w:position w:val="1"/>
          <w:sz w:val="20"/>
          <w:szCs w:val="20"/>
        </w:rPr>
        <w:t xml:space="preserve"> </w:t>
      </w:r>
      <w:r>
        <w:rPr>
          <w:rFonts w:ascii="宋体" w:hAnsi="宋体" w:eastAsia="宋体" w:cs="宋体"/>
          <w:spacing w:val="8"/>
          <w:position w:val="1"/>
          <w:sz w:val="20"/>
          <w:szCs w:val="20"/>
        </w:rPr>
        <w:t>块（或根、个）及以内；</w:t>
      </w:r>
    </w:p>
    <w:p>
      <w:pPr>
        <w:spacing w:before="127" w:line="273" w:lineRule="exact"/>
        <w:ind w:left="422"/>
        <w:rPr>
          <w:rFonts w:ascii="宋体" w:hAnsi="宋体" w:eastAsia="宋体" w:cs="宋体"/>
          <w:sz w:val="20"/>
          <w:szCs w:val="20"/>
        </w:rPr>
      </w:pPr>
      <w:r>
        <w:rPr>
          <w:rFonts w:ascii="MS UI Gothic" w:hAnsi="MS UI Gothic" w:eastAsia="MS UI Gothic" w:cs="MS UI Gothic"/>
          <w:spacing w:val="7"/>
          <w:position w:val="1"/>
          <w:sz w:val="20"/>
          <w:szCs w:val="20"/>
        </w:rPr>
        <w:t>Ⓑ</w:t>
      </w:r>
      <w:r>
        <w:rPr>
          <w:rFonts w:ascii="宋体" w:hAnsi="宋体" w:eastAsia="宋体" w:cs="宋体"/>
          <w:spacing w:val="7"/>
          <w:position w:val="1"/>
          <w:sz w:val="20"/>
          <w:szCs w:val="20"/>
        </w:rPr>
        <w:t>拆除及维修交通设施在 50</w:t>
      </w:r>
      <w:r>
        <w:rPr>
          <w:rFonts w:ascii="宋体" w:hAnsi="宋体" w:eastAsia="宋体" w:cs="宋体"/>
          <w:spacing w:val="-26"/>
          <w:position w:val="1"/>
          <w:sz w:val="20"/>
          <w:szCs w:val="20"/>
        </w:rPr>
        <w:t xml:space="preserve"> </w:t>
      </w:r>
      <w:r>
        <w:rPr>
          <w:rFonts w:ascii="宋体" w:hAnsi="宋体" w:eastAsia="宋体" w:cs="宋体"/>
          <w:spacing w:val="7"/>
          <w:position w:val="1"/>
          <w:sz w:val="20"/>
          <w:szCs w:val="20"/>
        </w:rPr>
        <w:t>㎡及以内；</w:t>
      </w:r>
    </w:p>
    <w:p>
      <w:pPr>
        <w:spacing w:before="125" w:line="271" w:lineRule="exact"/>
        <w:ind w:left="422"/>
        <w:rPr>
          <w:rFonts w:ascii="宋体" w:hAnsi="宋体" w:eastAsia="宋体" w:cs="宋体"/>
          <w:sz w:val="20"/>
          <w:szCs w:val="20"/>
        </w:rPr>
      </w:pPr>
      <w:r>
        <w:rPr>
          <w:rFonts w:ascii="MS UI Gothic" w:hAnsi="MS UI Gothic" w:eastAsia="MS UI Gothic" w:cs="MS UI Gothic"/>
          <w:spacing w:val="7"/>
          <w:position w:val="1"/>
          <w:sz w:val="20"/>
          <w:szCs w:val="20"/>
        </w:rPr>
        <w:t>Ⓒ</w:t>
      </w:r>
      <w:r>
        <w:rPr>
          <w:rFonts w:ascii="宋体" w:hAnsi="宋体" w:eastAsia="宋体" w:cs="宋体"/>
          <w:spacing w:val="7"/>
          <w:position w:val="1"/>
          <w:sz w:val="20"/>
          <w:szCs w:val="20"/>
        </w:rPr>
        <w:t>拆除及维修交通设施重量在 500</w:t>
      </w:r>
      <w:r>
        <w:rPr>
          <w:rFonts w:ascii="宋体" w:hAnsi="宋体" w:eastAsia="宋体" w:cs="宋体"/>
          <w:position w:val="1"/>
          <w:sz w:val="20"/>
          <w:szCs w:val="20"/>
        </w:rPr>
        <w:t>kg</w:t>
      </w:r>
      <w:r>
        <w:rPr>
          <w:rFonts w:ascii="宋体" w:hAnsi="宋体" w:eastAsia="宋体" w:cs="宋体"/>
          <w:spacing w:val="-28"/>
          <w:position w:val="1"/>
          <w:sz w:val="20"/>
          <w:szCs w:val="20"/>
        </w:rPr>
        <w:t xml:space="preserve"> </w:t>
      </w:r>
      <w:r>
        <w:rPr>
          <w:rFonts w:ascii="宋体" w:hAnsi="宋体" w:eastAsia="宋体" w:cs="宋体"/>
          <w:spacing w:val="7"/>
          <w:position w:val="1"/>
          <w:sz w:val="20"/>
          <w:szCs w:val="20"/>
        </w:rPr>
        <w:t>及以内。</w:t>
      </w:r>
    </w:p>
    <w:p>
      <w:pPr>
        <w:spacing w:before="135" w:line="220" w:lineRule="auto"/>
        <w:ind w:left="421"/>
        <w:rPr>
          <w:rFonts w:ascii="宋体" w:hAnsi="宋体" w:eastAsia="宋体" w:cs="宋体"/>
          <w:sz w:val="20"/>
          <w:szCs w:val="20"/>
        </w:rPr>
      </w:pPr>
      <w:r>
        <w:rPr>
          <w:rFonts w:ascii="宋体" w:hAnsi="宋体" w:eastAsia="宋体" w:cs="宋体"/>
          <w:b/>
          <w:bCs/>
          <w:spacing w:val="8"/>
          <w:sz w:val="20"/>
          <w:szCs w:val="20"/>
        </w:rPr>
        <w:t>超出以上范围的道路及交通设施养护维修工程执行现行市政工程消耗量定额。</w:t>
      </w:r>
    </w:p>
    <w:p>
      <w:pPr>
        <w:spacing w:before="157" w:line="278" w:lineRule="exact"/>
        <w:ind w:left="413"/>
        <w:rPr>
          <w:rFonts w:ascii="宋体" w:hAnsi="宋体" w:eastAsia="宋体" w:cs="宋体"/>
          <w:sz w:val="20"/>
          <w:szCs w:val="20"/>
        </w:rPr>
      </w:pPr>
      <w:r>
        <w:rPr>
          <w:rFonts w:ascii="宋体" w:hAnsi="宋体" w:eastAsia="宋体" w:cs="宋体"/>
          <w:b/>
          <w:bCs/>
          <w:spacing w:val="8"/>
          <w:position w:val="1"/>
          <w:sz w:val="20"/>
          <w:szCs w:val="20"/>
        </w:rPr>
        <w:t>（2）桥涵养护维修工程</w:t>
      </w:r>
    </w:p>
    <w:p>
      <w:pPr>
        <w:spacing w:before="125" w:line="368" w:lineRule="auto"/>
        <w:ind w:left="4" w:right="43" w:firstLine="416"/>
        <w:rPr>
          <w:rFonts w:ascii="宋体" w:hAnsi="宋体" w:eastAsia="宋体" w:cs="宋体"/>
          <w:sz w:val="20"/>
          <w:szCs w:val="20"/>
        </w:rPr>
      </w:pPr>
      <w:r>
        <w:rPr>
          <w:rFonts w:ascii="宋体" w:hAnsi="宋体" w:eastAsia="宋体" w:cs="宋体"/>
          <w:spacing w:val="10"/>
          <w:sz w:val="20"/>
          <w:szCs w:val="20"/>
        </w:rPr>
        <w:t>适用于城镇所辖范围内桥涵、地下通道、人行天桥、涵洞等的养护维修工程。定</w:t>
      </w:r>
      <w:r>
        <w:rPr>
          <w:rFonts w:ascii="宋体" w:hAnsi="宋体" w:eastAsia="宋体" w:cs="宋体"/>
          <w:spacing w:val="9"/>
          <w:sz w:val="20"/>
          <w:szCs w:val="20"/>
        </w:rPr>
        <w:t>额中所列构筑物维修项目也适用于道路、排水等工程中的构筑物维修。</w:t>
      </w:r>
    </w:p>
    <w:p>
      <w:pPr>
        <w:spacing w:line="275" w:lineRule="exact"/>
        <w:ind w:left="421"/>
        <w:rPr>
          <w:rFonts w:ascii="宋体" w:hAnsi="宋体" w:eastAsia="宋体" w:cs="宋体"/>
          <w:sz w:val="20"/>
          <w:szCs w:val="20"/>
        </w:rPr>
      </w:pPr>
      <w:r>
        <w:rPr>
          <w:rFonts w:ascii="宋体" w:hAnsi="宋体" w:eastAsia="宋体" w:cs="宋体"/>
          <w:spacing w:val="8"/>
          <w:position w:val="1"/>
          <w:sz w:val="20"/>
          <w:szCs w:val="20"/>
        </w:rPr>
        <w:t>①桥体及构件饰面修补及粉刷，面积在 500</w:t>
      </w:r>
      <w:r>
        <w:rPr>
          <w:rFonts w:ascii="宋体" w:hAnsi="宋体" w:eastAsia="宋体" w:cs="宋体"/>
          <w:spacing w:val="-37"/>
          <w:position w:val="1"/>
          <w:sz w:val="20"/>
          <w:szCs w:val="20"/>
        </w:rPr>
        <w:t xml:space="preserve"> </w:t>
      </w:r>
      <w:r>
        <w:rPr>
          <w:rFonts w:ascii="宋体" w:hAnsi="宋体" w:eastAsia="宋体" w:cs="宋体"/>
          <w:spacing w:val="8"/>
          <w:position w:val="1"/>
          <w:sz w:val="20"/>
          <w:szCs w:val="20"/>
        </w:rPr>
        <w:t>㎡以内；</w:t>
      </w:r>
    </w:p>
    <w:p>
      <w:pPr>
        <w:spacing w:before="123" w:line="276" w:lineRule="exact"/>
        <w:ind w:left="421"/>
        <w:rPr>
          <w:rFonts w:ascii="宋体" w:hAnsi="宋体" w:eastAsia="宋体" w:cs="宋体"/>
          <w:sz w:val="20"/>
          <w:szCs w:val="20"/>
        </w:rPr>
      </w:pPr>
      <w:r>
        <w:rPr>
          <w:rFonts w:ascii="宋体" w:hAnsi="宋体" w:eastAsia="宋体" w:cs="宋体"/>
          <w:spacing w:val="9"/>
          <w:position w:val="1"/>
          <w:sz w:val="20"/>
          <w:szCs w:val="20"/>
        </w:rPr>
        <w:t>②桥栏杆更换长度在 50m</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以内；</w:t>
      </w:r>
    </w:p>
    <w:p>
      <w:pPr>
        <w:spacing w:before="125" w:line="275" w:lineRule="exact"/>
        <w:ind w:left="421"/>
        <w:rPr>
          <w:rFonts w:ascii="宋体" w:hAnsi="宋体" w:eastAsia="宋体" w:cs="宋体"/>
          <w:sz w:val="20"/>
          <w:szCs w:val="20"/>
        </w:rPr>
      </w:pPr>
      <w:r>
        <w:rPr>
          <w:rFonts w:ascii="宋体" w:hAnsi="宋体" w:eastAsia="宋体" w:cs="宋体"/>
          <w:spacing w:val="10"/>
          <w:position w:val="1"/>
          <w:sz w:val="20"/>
          <w:szCs w:val="20"/>
        </w:rPr>
        <w:t>③砌筑工程砌体在 20m 以内的维修。</w:t>
      </w:r>
    </w:p>
    <w:p>
      <w:pPr>
        <w:spacing w:before="126" w:line="278" w:lineRule="exact"/>
        <w:ind w:left="413"/>
        <w:rPr>
          <w:rFonts w:ascii="宋体" w:hAnsi="宋体" w:eastAsia="宋体" w:cs="宋体"/>
          <w:sz w:val="20"/>
          <w:szCs w:val="20"/>
        </w:rPr>
      </w:pPr>
      <w:r>
        <w:rPr>
          <w:rFonts w:ascii="宋体" w:hAnsi="宋体" w:eastAsia="宋体" w:cs="宋体"/>
          <w:b/>
          <w:bCs/>
          <w:spacing w:val="8"/>
          <w:position w:val="1"/>
          <w:sz w:val="20"/>
          <w:szCs w:val="20"/>
        </w:rPr>
        <w:t>（3）隧道养护维修工程</w:t>
      </w:r>
    </w:p>
    <w:p>
      <w:pPr>
        <w:spacing w:before="125" w:line="220" w:lineRule="auto"/>
        <w:ind w:left="420"/>
        <w:rPr>
          <w:rFonts w:ascii="宋体" w:hAnsi="宋体" w:eastAsia="宋体" w:cs="宋体"/>
          <w:sz w:val="20"/>
          <w:szCs w:val="20"/>
        </w:rPr>
      </w:pPr>
      <w:r>
        <w:rPr>
          <w:rFonts w:ascii="宋体" w:hAnsi="宋体" w:eastAsia="宋体" w:cs="宋体"/>
          <w:spacing w:val="9"/>
          <w:sz w:val="20"/>
          <w:szCs w:val="20"/>
        </w:rPr>
        <w:t>适用于城市市政隧道以及地下过街通道养护工程。</w:t>
      </w:r>
    </w:p>
    <w:p>
      <w:pPr>
        <w:spacing w:before="150" w:line="286" w:lineRule="exact"/>
        <w:ind w:left="413"/>
        <w:rPr>
          <w:rFonts w:ascii="宋体" w:hAnsi="宋体" w:eastAsia="宋体" w:cs="宋体"/>
          <w:sz w:val="20"/>
          <w:szCs w:val="20"/>
        </w:rPr>
      </w:pPr>
      <w:r>
        <w:rPr>
          <w:rFonts w:ascii="宋体" w:hAnsi="宋体" w:eastAsia="宋体" w:cs="宋体"/>
          <w:b/>
          <w:bCs/>
          <w:spacing w:val="8"/>
          <w:position w:val="1"/>
          <w:sz w:val="20"/>
          <w:szCs w:val="20"/>
        </w:rPr>
        <w:t>（4）排水养护维修工程</w:t>
      </w:r>
    </w:p>
    <w:p>
      <w:pPr>
        <w:spacing w:before="115" w:line="285" w:lineRule="exact"/>
        <w:ind w:left="421"/>
        <w:rPr>
          <w:rFonts w:ascii="宋体" w:hAnsi="宋体" w:eastAsia="宋体" w:cs="宋体"/>
          <w:sz w:val="20"/>
          <w:szCs w:val="20"/>
        </w:rPr>
      </w:pPr>
      <w:r>
        <w:rPr>
          <w:rFonts w:ascii="宋体" w:hAnsi="宋体" w:eastAsia="宋体" w:cs="宋体"/>
          <w:spacing w:val="8"/>
          <w:position w:val="1"/>
          <w:sz w:val="20"/>
          <w:szCs w:val="20"/>
        </w:rPr>
        <w:t>排水维修工程适用于：</w:t>
      </w:r>
    </w:p>
    <w:p>
      <w:pPr>
        <w:spacing w:before="114" w:line="233" w:lineRule="auto"/>
        <w:ind w:left="421"/>
        <w:rPr>
          <w:rFonts w:ascii="宋体" w:hAnsi="宋体" w:eastAsia="宋体" w:cs="宋体"/>
          <w:sz w:val="20"/>
          <w:szCs w:val="20"/>
        </w:rPr>
      </w:pPr>
      <w:r>
        <w:rPr>
          <w:rFonts w:ascii="宋体" w:hAnsi="宋体" w:eastAsia="宋体" w:cs="宋体"/>
          <w:spacing w:val="8"/>
          <w:sz w:val="20"/>
          <w:szCs w:val="20"/>
        </w:rPr>
        <w:t>①排水管道的疏通、掏挖；</w:t>
      </w:r>
    </w:p>
    <w:p>
      <w:pPr>
        <w:spacing w:before="148" w:line="233" w:lineRule="auto"/>
        <w:ind w:left="421"/>
        <w:rPr>
          <w:rFonts w:ascii="宋体" w:hAnsi="宋体" w:eastAsia="宋体" w:cs="宋体"/>
          <w:sz w:val="20"/>
          <w:szCs w:val="20"/>
        </w:rPr>
      </w:pPr>
      <w:r>
        <w:rPr>
          <w:rFonts w:ascii="宋体" w:hAnsi="宋体" w:eastAsia="宋体" w:cs="宋体"/>
          <w:spacing w:val="8"/>
          <w:sz w:val="20"/>
          <w:szCs w:val="20"/>
        </w:rPr>
        <w:t>②排水管道的非破坏性修复；</w:t>
      </w:r>
    </w:p>
    <w:p>
      <w:pPr>
        <w:spacing w:line="233" w:lineRule="auto"/>
        <w:rPr>
          <w:rFonts w:ascii="宋体" w:hAnsi="宋体" w:eastAsia="宋体" w:cs="宋体"/>
          <w:sz w:val="20"/>
          <w:szCs w:val="20"/>
        </w:rPr>
        <w:sectPr>
          <w:footerReference r:id="rId184" w:type="default"/>
          <w:pgSz w:w="11906" w:h="16839"/>
          <w:pgMar w:top="400" w:right="141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221" w:lineRule="auto"/>
        <w:ind w:left="421"/>
        <w:rPr>
          <w:rFonts w:ascii="宋体" w:hAnsi="宋体" w:eastAsia="宋体" w:cs="宋体"/>
          <w:sz w:val="20"/>
          <w:szCs w:val="20"/>
        </w:rPr>
      </w:pPr>
      <w:r>
        <w:rPr>
          <w:rFonts w:ascii="宋体" w:hAnsi="宋体" w:eastAsia="宋体" w:cs="宋体"/>
          <w:spacing w:val="9"/>
          <w:sz w:val="20"/>
          <w:szCs w:val="20"/>
        </w:rPr>
        <w:t>③泵站的设备日常维修保养、不包含大中修项目。</w:t>
      </w:r>
    </w:p>
    <w:p>
      <w:pPr>
        <w:spacing w:before="159" w:line="277" w:lineRule="exact"/>
        <w:ind w:left="413"/>
        <w:rPr>
          <w:rFonts w:ascii="宋体" w:hAnsi="宋体" w:eastAsia="宋体" w:cs="宋体"/>
          <w:sz w:val="20"/>
          <w:szCs w:val="20"/>
        </w:rPr>
      </w:pPr>
      <w:r>
        <w:rPr>
          <w:rFonts w:ascii="宋体" w:hAnsi="宋体" w:eastAsia="宋体" w:cs="宋体"/>
          <w:b/>
          <w:bCs/>
          <w:spacing w:val="8"/>
          <w:position w:val="1"/>
          <w:sz w:val="20"/>
          <w:szCs w:val="20"/>
        </w:rPr>
        <w:t>（5）给水、燃气、供热管道养护维修工程</w:t>
      </w:r>
    </w:p>
    <w:p>
      <w:pPr>
        <w:spacing w:before="123" w:line="365" w:lineRule="auto"/>
        <w:ind w:firstLine="420"/>
        <w:jc w:val="both"/>
        <w:rPr>
          <w:rFonts w:ascii="宋体" w:hAnsi="宋体" w:eastAsia="宋体" w:cs="宋体"/>
          <w:sz w:val="20"/>
          <w:szCs w:val="20"/>
        </w:rPr>
      </w:pPr>
      <w:r>
        <w:rPr>
          <w:rFonts w:ascii="宋体" w:hAnsi="宋体" w:eastAsia="宋体" w:cs="宋体"/>
          <w:spacing w:val="10"/>
          <w:sz w:val="20"/>
          <w:szCs w:val="20"/>
        </w:rPr>
        <w:t>适用于市政给水、燃气、供热管道系统投入使用后，由于管材、件破裂或局部腐</w:t>
      </w:r>
      <w:r>
        <w:rPr>
          <w:rFonts w:ascii="宋体" w:hAnsi="宋体" w:eastAsia="宋体" w:cs="宋体"/>
          <w:spacing w:val="9"/>
          <w:sz w:val="20"/>
          <w:szCs w:val="20"/>
        </w:rPr>
        <w:t>蚀、老化、机</w:t>
      </w:r>
      <w:r>
        <w:rPr>
          <w:rFonts w:ascii="宋体" w:hAnsi="宋体" w:eastAsia="宋体" w:cs="宋体"/>
          <w:spacing w:val="10"/>
          <w:sz w:val="20"/>
          <w:szCs w:val="20"/>
        </w:rPr>
        <w:t>械损伤等原因，导致漏水、漏气使运行失控而需要进行拆除、更换或修复；具有功能性</w:t>
      </w:r>
      <w:r>
        <w:rPr>
          <w:rFonts w:ascii="宋体" w:hAnsi="宋体" w:eastAsia="宋体" w:cs="宋体"/>
          <w:spacing w:val="9"/>
          <w:sz w:val="20"/>
          <w:szCs w:val="20"/>
        </w:rPr>
        <w:t>阀、件类的</w:t>
      </w:r>
      <w:r>
        <w:rPr>
          <w:rFonts w:ascii="宋体" w:hAnsi="宋体" w:eastAsia="宋体" w:cs="宋体"/>
          <w:spacing w:val="10"/>
          <w:sz w:val="20"/>
          <w:szCs w:val="20"/>
        </w:rPr>
        <w:t>更换和定期或故障时的解体检査、更换部件、清洗、加液、填料、保养；刷油、更换保</w:t>
      </w:r>
      <w:r>
        <w:rPr>
          <w:rFonts w:ascii="宋体" w:hAnsi="宋体" w:eastAsia="宋体" w:cs="宋体"/>
          <w:spacing w:val="9"/>
          <w:sz w:val="20"/>
          <w:szCs w:val="20"/>
        </w:rPr>
        <w:t>温层和保护</w:t>
      </w:r>
      <w:r>
        <w:rPr>
          <w:rFonts w:ascii="宋体" w:hAnsi="宋体" w:eastAsia="宋体" w:cs="宋体"/>
          <w:spacing w:val="7"/>
          <w:sz w:val="20"/>
          <w:szCs w:val="20"/>
        </w:rPr>
        <w:t>层等维修工程项目，以及巡检、养护等项目。</w:t>
      </w:r>
      <w:r>
        <w:rPr>
          <w:rFonts w:ascii="宋体" w:hAnsi="宋体" w:eastAsia="宋体" w:cs="宋体"/>
          <w:b/>
          <w:bCs/>
          <w:spacing w:val="7"/>
          <w:sz w:val="20"/>
          <w:szCs w:val="20"/>
        </w:rPr>
        <w:t>未投入运行的管道维修和超过</w:t>
      </w:r>
      <w:r>
        <w:rPr>
          <w:rFonts w:ascii="宋体" w:hAnsi="宋体" w:eastAsia="宋体" w:cs="宋体"/>
          <w:spacing w:val="30"/>
          <w:sz w:val="20"/>
          <w:szCs w:val="20"/>
        </w:rPr>
        <w:t xml:space="preserve"> </w:t>
      </w:r>
      <w:r>
        <w:rPr>
          <w:rFonts w:ascii="宋体" w:hAnsi="宋体" w:eastAsia="宋体" w:cs="宋体"/>
          <w:b/>
          <w:bCs/>
          <w:spacing w:val="7"/>
          <w:sz w:val="20"/>
          <w:szCs w:val="20"/>
        </w:rPr>
        <w:t>12</w:t>
      </w:r>
      <w:r>
        <w:rPr>
          <w:rFonts w:ascii="宋体" w:hAnsi="宋体" w:eastAsia="宋体" w:cs="宋体"/>
          <w:spacing w:val="-42"/>
          <w:sz w:val="20"/>
          <w:szCs w:val="20"/>
        </w:rPr>
        <w:t xml:space="preserve"> </w:t>
      </w:r>
      <w:r>
        <w:rPr>
          <w:rFonts w:ascii="宋体" w:hAnsi="宋体" w:eastAsia="宋体" w:cs="宋体"/>
          <w:b/>
          <w:bCs/>
          <w:spacing w:val="7"/>
          <w:sz w:val="20"/>
          <w:szCs w:val="20"/>
        </w:rPr>
        <w:t>延长米的管道更换、移设等工程不得使用本定额。</w:t>
      </w:r>
    </w:p>
    <w:p>
      <w:pPr>
        <w:spacing w:before="22" w:line="278" w:lineRule="exact"/>
        <w:ind w:left="413"/>
        <w:rPr>
          <w:rFonts w:ascii="宋体" w:hAnsi="宋体" w:eastAsia="宋体" w:cs="宋体"/>
          <w:sz w:val="20"/>
          <w:szCs w:val="20"/>
        </w:rPr>
      </w:pPr>
      <w:r>
        <w:rPr>
          <w:rFonts w:ascii="宋体" w:hAnsi="宋体" w:eastAsia="宋体" w:cs="宋体"/>
          <w:b/>
          <w:bCs/>
          <w:spacing w:val="8"/>
          <w:position w:val="1"/>
          <w:sz w:val="20"/>
          <w:szCs w:val="20"/>
        </w:rPr>
        <w:t>（6）路灯养护维修工程</w:t>
      </w:r>
    </w:p>
    <w:p>
      <w:pPr>
        <w:spacing w:before="123" w:line="368" w:lineRule="auto"/>
        <w:ind w:left="3" w:right="1" w:firstLine="417"/>
        <w:jc w:val="both"/>
        <w:rPr>
          <w:rFonts w:ascii="宋体" w:hAnsi="宋体" w:eastAsia="宋体" w:cs="宋体"/>
          <w:sz w:val="20"/>
          <w:szCs w:val="20"/>
        </w:rPr>
      </w:pPr>
      <w:r>
        <w:rPr>
          <w:rFonts w:ascii="宋体" w:hAnsi="宋体" w:eastAsia="宋体" w:cs="宋体"/>
          <w:spacing w:val="10"/>
          <w:sz w:val="20"/>
          <w:szCs w:val="20"/>
        </w:rPr>
        <w:t>适用于市政工程中</w:t>
      </w:r>
      <w:r>
        <w:rPr>
          <w:rFonts w:ascii="宋体" w:hAnsi="宋体" w:eastAsia="宋体" w:cs="宋体"/>
          <w:spacing w:val="-23"/>
          <w:sz w:val="20"/>
          <w:szCs w:val="20"/>
        </w:rPr>
        <w:t xml:space="preserve"> </w:t>
      </w:r>
      <w:r>
        <w:rPr>
          <w:rFonts w:ascii="宋体" w:hAnsi="宋体" w:eastAsia="宋体" w:cs="宋体"/>
          <w:spacing w:val="10"/>
          <w:sz w:val="20"/>
          <w:szCs w:val="20"/>
        </w:rPr>
        <w:t>1</w:t>
      </w:r>
      <w:r>
        <w:rPr>
          <w:rFonts w:ascii="宋体" w:hAnsi="宋体" w:eastAsia="宋体" w:cs="宋体"/>
          <w:sz w:val="20"/>
          <w:szCs w:val="20"/>
        </w:rPr>
        <w:t>KV</w:t>
      </w:r>
      <w:r>
        <w:rPr>
          <w:rFonts w:ascii="宋体" w:hAnsi="宋体" w:eastAsia="宋体" w:cs="宋体"/>
          <w:spacing w:val="-23"/>
          <w:sz w:val="20"/>
          <w:szCs w:val="20"/>
        </w:rPr>
        <w:t xml:space="preserve"> </w:t>
      </w:r>
      <w:r>
        <w:rPr>
          <w:rFonts w:ascii="宋体" w:hAnsi="宋体" w:eastAsia="宋体" w:cs="宋体"/>
          <w:spacing w:val="10"/>
          <w:sz w:val="20"/>
          <w:szCs w:val="20"/>
        </w:rPr>
        <w:t>以下的道路照明（不包括地埋灯、草坪灯、线性灯等景</w:t>
      </w:r>
      <w:r>
        <w:rPr>
          <w:rFonts w:ascii="宋体" w:hAnsi="宋体" w:eastAsia="宋体" w:cs="宋体"/>
          <w:spacing w:val="9"/>
          <w:sz w:val="20"/>
          <w:szCs w:val="20"/>
        </w:rPr>
        <w:t>观照明）及其附</w:t>
      </w:r>
      <w:r>
        <w:rPr>
          <w:rFonts w:ascii="宋体" w:hAnsi="宋体" w:eastAsia="宋体" w:cs="宋体"/>
          <w:spacing w:val="8"/>
          <w:sz w:val="20"/>
          <w:szCs w:val="20"/>
        </w:rPr>
        <w:t>属设施，单项一次维修量在</w:t>
      </w:r>
      <w:r>
        <w:rPr>
          <w:rFonts w:ascii="宋体" w:hAnsi="宋体" w:eastAsia="宋体" w:cs="宋体"/>
          <w:spacing w:val="-38"/>
          <w:sz w:val="20"/>
          <w:szCs w:val="20"/>
        </w:rPr>
        <w:t xml:space="preserve"> </w:t>
      </w:r>
      <w:r>
        <w:rPr>
          <w:rFonts w:ascii="宋体" w:hAnsi="宋体" w:eastAsia="宋体" w:cs="宋体"/>
          <w:spacing w:val="8"/>
          <w:sz w:val="20"/>
          <w:szCs w:val="20"/>
        </w:rPr>
        <w:t>5%以内及控制箱在</w:t>
      </w:r>
      <w:r>
        <w:rPr>
          <w:rFonts w:ascii="宋体" w:hAnsi="宋体" w:eastAsia="宋体" w:cs="宋体"/>
          <w:spacing w:val="-24"/>
          <w:sz w:val="20"/>
          <w:szCs w:val="20"/>
        </w:rPr>
        <w:t xml:space="preserve"> </w:t>
      </w:r>
      <w:r>
        <w:rPr>
          <w:rFonts w:ascii="宋体" w:hAnsi="宋体" w:eastAsia="宋体" w:cs="宋体"/>
          <w:spacing w:val="8"/>
          <w:sz w:val="20"/>
          <w:szCs w:val="20"/>
        </w:rPr>
        <w:t>1</w:t>
      </w:r>
      <w:r>
        <w:rPr>
          <w:rFonts w:ascii="宋体" w:hAnsi="宋体" w:eastAsia="宋体" w:cs="宋体"/>
          <w:spacing w:val="-25"/>
          <w:sz w:val="20"/>
          <w:szCs w:val="20"/>
        </w:rPr>
        <w:t xml:space="preserve"> </w:t>
      </w:r>
      <w:r>
        <w:rPr>
          <w:rFonts w:ascii="宋体" w:hAnsi="宋体" w:eastAsia="宋体" w:cs="宋体"/>
          <w:spacing w:val="8"/>
          <w:sz w:val="20"/>
          <w:szCs w:val="20"/>
        </w:rPr>
        <w:t>台以内的零星小修路灯维修工程。单项一次维修量大于</w:t>
      </w:r>
      <w:r>
        <w:rPr>
          <w:rFonts w:ascii="宋体" w:hAnsi="宋体" w:eastAsia="宋体" w:cs="宋体"/>
          <w:spacing w:val="-26"/>
          <w:sz w:val="20"/>
          <w:szCs w:val="20"/>
        </w:rPr>
        <w:t xml:space="preserve"> </w:t>
      </w:r>
      <w:r>
        <w:rPr>
          <w:rFonts w:ascii="宋体" w:hAnsi="宋体" w:eastAsia="宋体" w:cs="宋体"/>
          <w:spacing w:val="8"/>
          <w:sz w:val="20"/>
          <w:szCs w:val="20"/>
        </w:rPr>
        <w:t>5%时定额人工、机械乘以系数0.95，单项一次维修量大于</w:t>
      </w:r>
      <w:r>
        <w:rPr>
          <w:rFonts w:ascii="宋体" w:hAnsi="宋体" w:eastAsia="宋体" w:cs="宋体"/>
          <w:spacing w:val="-24"/>
          <w:sz w:val="20"/>
          <w:szCs w:val="20"/>
        </w:rPr>
        <w:t xml:space="preserve"> </w:t>
      </w:r>
      <w:r>
        <w:rPr>
          <w:rFonts w:ascii="宋体" w:hAnsi="宋体" w:eastAsia="宋体" w:cs="宋体"/>
          <w:spacing w:val="8"/>
          <w:sz w:val="20"/>
          <w:szCs w:val="20"/>
        </w:rPr>
        <w:t>15%时定额人工、机械乘以系数0.9。</w:t>
      </w:r>
    </w:p>
    <w:p>
      <w:pPr>
        <w:spacing w:before="4" w:line="277" w:lineRule="exact"/>
        <w:ind w:left="423"/>
        <w:rPr>
          <w:rFonts w:ascii="宋体" w:hAnsi="宋体" w:eastAsia="宋体" w:cs="宋体"/>
          <w:sz w:val="20"/>
          <w:szCs w:val="20"/>
        </w:rPr>
      </w:pPr>
      <w:r>
        <w:rPr>
          <w:rFonts w:ascii="宋体" w:hAnsi="宋体" w:eastAsia="宋体" w:cs="宋体"/>
          <w:b/>
          <w:bCs/>
          <w:spacing w:val="2"/>
          <w:position w:val="1"/>
          <w:sz w:val="20"/>
          <w:szCs w:val="20"/>
        </w:rPr>
        <w:t>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定额有关问题说明</w:t>
      </w:r>
    </w:p>
    <w:p>
      <w:pPr>
        <w:spacing w:before="121"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6"/>
          <w:position w:val="1"/>
          <w:sz w:val="20"/>
          <w:szCs w:val="20"/>
        </w:rPr>
        <w:t xml:space="preserve"> </w:t>
      </w:r>
      <w:r>
        <w:rPr>
          <w:rFonts w:ascii="宋体" w:hAnsi="宋体" w:eastAsia="宋体" w:cs="宋体"/>
          <w:spacing w:val="8"/>
          <w:position w:val="1"/>
          <w:sz w:val="20"/>
          <w:szCs w:val="20"/>
        </w:rPr>
        <w:t>1）定额中不含大型机械的安拆及场外运输，发生时按定额有关项目执行。</w:t>
      </w:r>
    </w:p>
    <w:p>
      <w:pPr>
        <w:spacing w:before="123" w:line="298" w:lineRule="auto"/>
        <w:ind w:right="78" w:firstLine="413"/>
        <w:rPr>
          <w:rFonts w:ascii="宋体" w:hAnsi="宋体" w:eastAsia="宋体" w:cs="宋体"/>
          <w:sz w:val="20"/>
          <w:szCs w:val="20"/>
        </w:rPr>
      </w:pPr>
      <w:r>
        <w:rPr>
          <w:rFonts w:ascii="宋体" w:hAnsi="宋体" w:eastAsia="宋体" w:cs="宋体"/>
          <w:spacing w:val="9"/>
          <w:sz w:val="20"/>
          <w:szCs w:val="20"/>
        </w:rPr>
        <w:t>（2）为了不影响公共交通或市民日常生活</w:t>
      </w:r>
      <w:r>
        <w:rPr>
          <w:rFonts w:ascii="宋体" w:hAnsi="宋体" w:eastAsia="宋体" w:cs="宋体"/>
          <w:spacing w:val="8"/>
          <w:sz w:val="20"/>
          <w:szCs w:val="20"/>
        </w:rPr>
        <w:t>，市政设施维修工程必须在夜晚施工的，夜间施工所</w:t>
      </w:r>
      <w:r>
        <w:rPr>
          <w:rFonts w:ascii="宋体" w:hAnsi="宋体" w:eastAsia="宋体" w:cs="宋体"/>
          <w:spacing w:val="9"/>
          <w:sz w:val="20"/>
          <w:szCs w:val="20"/>
        </w:rPr>
        <w:t>需增加的费用应按施工组织方案单独计算。</w:t>
      </w:r>
    </w:p>
    <w:p>
      <w:pPr>
        <w:spacing w:before="154" w:line="278" w:lineRule="exact"/>
        <w:ind w:left="413"/>
        <w:rPr>
          <w:rFonts w:ascii="宋体" w:hAnsi="宋体" w:eastAsia="宋体" w:cs="宋体"/>
          <w:sz w:val="20"/>
          <w:szCs w:val="20"/>
        </w:rPr>
      </w:pPr>
      <w:r>
        <w:rPr>
          <w:rFonts w:ascii="宋体" w:hAnsi="宋体" w:eastAsia="宋体" w:cs="宋体"/>
          <w:spacing w:val="9"/>
          <w:position w:val="1"/>
          <w:sz w:val="20"/>
          <w:szCs w:val="20"/>
        </w:rPr>
        <w:t>（3）定额未列入的项目，可参照《山东省市政工程消耗量定额》（2016</w:t>
      </w:r>
      <w:r>
        <w:rPr>
          <w:rFonts w:ascii="宋体" w:hAnsi="宋体" w:eastAsia="宋体" w:cs="宋体"/>
          <w:spacing w:val="-37"/>
          <w:position w:val="1"/>
          <w:sz w:val="20"/>
          <w:szCs w:val="20"/>
        </w:rPr>
        <w:t xml:space="preserve"> </w:t>
      </w:r>
      <w:r>
        <w:rPr>
          <w:rFonts w:ascii="宋体" w:hAnsi="宋体" w:eastAsia="宋体" w:cs="宋体"/>
          <w:spacing w:val="9"/>
          <w:position w:val="1"/>
          <w:sz w:val="20"/>
          <w:szCs w:val="20"/>
        </w:rPr>
        <w:t>版）相应子</w:t>
      </w:r>
      <w:r>
        <w:rPr>
          <w:rFonts w:ascii="宋体" w:hAnsi="宋体" w:eastAsia="宋体" w:cs="宋体"/>
          <w:spacing w:val="8"/>
          <w:position w:val="1"/>
          <w:sz w:val="20"/>
          <w:szCs w:val="20"/>
        </w:rPr>
        <w:t>目执行，</w:t>
      </w:r>
    </w:p>
    <w:p>
      <w:pPr>
        <w:spacing w:before="124" w:line="296" w:lineRule="auto"/>
        <w:ind w:left="2" w:right="80" w:firstLine="9"/>
        <w:rPr>
          <w:rFonts w:ascii="宋体" w:hAnsi="宋体" w:eastAsia="宋体" w:cs="宋体"/>
          <w:sz w:val="20"/>
          <w:szCs w:val="20"/>
        </w:rPr>
      </w:pPr>
      <w:r>
        <w:rPr>
          <w:rFonts w:ascii="宋体" w:hAnsi="宋体" w:eastAsia="宋体" w:cs="宋体"/>
          <w:spacing w:val="4"/>
          <w:sz w:val="20"/>
          <w:szCs w:val="20"/>
        </w:rPr>
        <w:t>除各章特别说明外，在套用定额相应子目时，人工乘以系数</w:t>
      </w:r>
      <w:r>
        <w:rPr>
          <w:rFonts w:ascii="宋体" w:hAnsi="宋体" w:eastAsia="宋体" w:cs="宋体"/>
          <w:spacing w:val="41"/>
          <w:sz w:val="20"/>
          <w:szCs w:val="20"/>
        </w:rPr>
        <w:t xml:space="preserve"> </w:t>
      </w:r>
      <w:r>
        <w:rPr>
          <w:rFonts w:ascii="宋体" w:hAnsi="宋体" w:eastAsia="宋体" w:cs="宋体"/>
          <w:spacing w:val="4"/>
          <w:sz w:val="20"/>
          <w:szCs w:val="20"/>
        </w:rPr>
        <w:t>1.3，主要施工机械乘以系数</w:t>
      </w:r>
      <w:r>
        <w:rPr>
          <w:rFonts w:ascii="宋体" w:hAnsi="宋体" w:eastAsia="宋体" w:cs="宋体"/>
          <w:spacing w:val="29"/>
          <w:sz w:val="20"/>
          <w:szCs w:val="20"/>
        </w:rPr>
        <w:t xml:space="preserve"> </w:t>
      </w:r>
      <w:r>
        <w:rPr>
          <w:rFonts w:ascii="宋体" w:hAnsi="宋体" w:eastAsia="宋体" w:cs="宋体"/>
          <w:spacing w:val="4"/>
          <w:sz w:val="20"/>
          <w:szCs w:val="20"/>
        </w:rPr>
        <w:t>1.6，其他不变。</w:t>
      </w:r>
    </w:p>
    <w:p>
      <w:pPr>
        <w:spacing w:before="157" w:line="276" w:lineRule="exact"/>
        <w:ind w:left="440"/>
        <w:rPr>
          <w:rFonts w:ascii="宋体" w:hAnsi="宋体" w:eastAsia="宋体" w:cs="宋体"/>
          <w:sz w:val="20"/>
          <w:szCs w:val="20"/>
        </w:rPr>
      </w:pPr>
      <w:r>
        <w:rPr>
          <w:rFonts w:ascii="宋体" w:hAnsi="宋体" w:eastAsia="宋体" w:cs="宋体"/>
          <w:b/>
          <w:bCs/>
          <w:spacing w:val="3"/>
          <w:position w:val="1"/>
          <w:sz w:val="20"/>
          <w:szCs w:val="20"/>
        </w:rPr>
        <w:t>10.</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关于工程建设人工材料价格风险控制</w:t>
      </w:r>
    </w:p>
    <w:p>
      <w:pPr>
        <w:spacing w:before="125" w:line="368" w:lineRule="auto"/>
        <w:ind w:left="2" w:right="80" w:firstLine="473"/>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7"/>
          <w:sz w:val="20"/>
          <w:szCs w:val="20"/>
        </w:rPr>
        <w:t xml:space="preserve"> </w:t>
      </w:r>
      <w:r>
        <w:rPr>
          <w:rFonts w:ascii="宋体" w:hAnsi="宋体" w:eastAsia="宋体" w:cs="宋体"/>
          <w:spacing w:val="4"/>
          <w:sz w:val="20"/>
          <w:szCs w:val="20"/>
        </w:rPr>
        <w:t>1）2019</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42"/>
          <w:sz w:val="20"/>
          <w:szCs w:val="20"/>
        </w:rPr>
        <w:t xml:space="preserve"> </w:t>
      </w:r>
      <w:r>
        <w:rPr>
          <w:rFonts w:ascii="宋体" w:hAnsi="宋体" w:eastAsia="宋体" w:cs="宋体"/>
          <w:spacing w:val="4"/>
          <w:sz w:val="20"/>
          <w:szCs w:val="20"/>
        </w:rPr>
        <w:t>9</w:t>
      </w:r>
      <w:r>
        <w:rPr>
          <w:rFonts w:ascii="宋体" w:hAnsi="宋体" w:eastAsia="宋体" w:cs="宋体"/>
          <w:spacing w:val="-41"/>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16 日，山东省住房和城乡建设厅出台《关于加强工程建设人工材料价格风险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4" w:line="224" w:lineRule="auto"/>
        <w:ind w:left="422"/>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6" w:line="276"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before="123" w:line="345" w:lineRule="auto"/>
        <w:ind w:right="121" w:firstLine="420"/>
        <w:rPr>
          <w:rFonts w:ascii="宋体" w:hAnsi="宋体" w:eastAsia="宋体" w:cs="宋体"/>
          <w:sz w:val="20"/>
          <w:szCs w:val="20"/>
        </w:rPr>
      </w:pPr>
      <w:r>
        <w:rPr>
          <w:rFonts w:ascii="宋体" w:hAnsi="宋体" w:eastAsia="宋体" w:cs="宋体"/>
          <w:spacing w:val="10"/>
          <w:sz w:val="20"/>
          <w:szCs w:val="20"/>
        </w:rPr>
        <w:t>①设区市建设主管部门发布市定额人工市场指导单价的：市建设主管部门调增</w:t>
      </w:r>
      <w:r>
        <w:rPr>
          <w:rFonts w:ascii="宋体" w:hAnsi="宋体" w:eastAsia="宋体" w:cs="宋体"/>
          <w:spacing w:val="9"/>
          <w:sz w:val="20"/>
          <w:szCs w:val="20"/>
        </w:rPr>
        <w:t>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60" w:line="311" w:lineRule="auto"/>
        <w:ind w:left="2" w:right="78"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before="126" w:line="368" w:lineRule="auto"/>
        <w:ind w:left="2" w:right="121" w:firstLine="423"/>
        <w:rPr>
          <w:rFonts w:ascii="宋体" w:hAnsi="宋体" w:eastAsia="宋体" w:cs="宋体"/>
          <w:sz w:val="20"/>
          <w:szCs w:val="20"/>
        </w:rPr>
      </w:pPr>
      <w:r>
        <w:rPr>
          <w:rFonts w:ascii="宋体" w:hAnsi="宋体" w:eastAsia="宋体" w:cs="宋体"/>
          <w:spacing w:val="9"/>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w:t>
      </w:r>
      <w:r>
        <w:rPr>
          <w:rFonts w:ascii="宋体" w:hAnsi="宋体" w:eastAsia="宋体" w:cs="宋体"/>
          <w:spacing w:val="8"/>
          <w:sz w:val="20"/>
          <w:szCs w:val="20"/>
        </w:rPr>
        <w:t>完成的工程量，各项以省价人</w:t>
      </w:r>
      <w:r>
        <w:rPr>
          <w:rFonts w:ascii="宋体" w:hAnsi="宋体" w:eastAsia="宋体" w:cs="宋体"/>
          <w:spacing w:val="9"/>
          <w:sz w:val="20"/>
          <w:szCs w:val="20"/>
        </w:rPr>
        <w:t>工费（或省价人机费）为基础计取的费用同时进行调整。</w:t>
      </w:r>
    </w:p>
    <w:p>
      <w:pPr>
        <w:spacing w:line="277" w:lineRule="exact"/>
        <w:ind w:left="423"/>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4" w:line="276" w:lineRule="exact"/>
        <w:ind w:left="422"/>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line="276" w:lineRule="exact"/>
        <w:rPr>
          <w:rFonts w:ascii="宋体" w:hAnsi="宋体" w:eastAsia="宋体" w:cs="宋体"/>
          <w:sz w:val="20"/>
          <w:szCs w:val="20"/>
        </w:rPr>
        <w:sectPr>
          <w:footerReference r:id="rId185" w:type="default"/>
          <w:pgSz w:w="11906" w:h="16839"/>
          <w:pgMar w:top="400" w:right="1339"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8" w:lineRule="auto"/>
        <w:ind w:left="8" w:right="43" w:firstLine="420"/>
        <w:rPr>
          <w:rFonts w:ascii="宋体" w:hAnsi="宋体" w:eastAsia="宋体" w:cs="宋体"/>
          <w:sz w:val="20"/>
          <w:szCs w:val="20"/>
        </w:rPr>
      </w:pPr>
      <w:r>
        <w:rPr>
          <w:rFonts w:ascii="宋体" w:hAnsi="宋体" w:eastAsia="宋体" w:cs="宋体"/>
          <w:spacing w:val="10"/>
          <w:sz w:val="20"/>
          <w:szCs w:val="20"/>
        </w:rPr>
        <w:t>二是合同未对材料价格风险进行约定或约定不具体的，发承包双方按照以下</w:t>
      </w:r>
      <w:r>
        <w:rPr>
          <w:rFonts w:ascii="宋体" w:hAnsi="宋体" w:eastAsia="宋体" w:cs="宋体"/>
          <w:spacing w:val="9"/>
          <w:sz w:val="20"/>
          <w:szCs w:val="20"/>
        </w:rPr>
        <w:t>原则协商调整工程</w:t>
      </w:r>
      <w:r>
        <w:rPr>
          <w:rFonts w:ascii="宋体" w:hAnsi="宋体" w:eastAsia="宋体" w:cs="宋体"/>
          <w:spacing w:val="4"/>
          <w:sz w:val="20"/>
          <w:szCs w:val="20"/>
        </w:rPr>
        <w:t>造价：</w:t>
      </w:r>
    </w:p>
    <w:p>
      <w:pPr>
        <w:spacing w:before="3" w:line="312" w:lineRule="auto"/>
        <w:ind w:left="12" w:right="43" w:firstLine="416"/>
        <w:rPr>
          <w:rFonts w:ascii="宋体" w:hAnsi="宋体" w:eastAsia="宋体" w:cs="宋体"/>
          <w:sz w:val="20"/>
          <w:szCs w:val="20"/>
        </w:rPr>
      </w:pPr>
      <w:r>
        <w:rPr>
          <w:rFonts w:ascii="宋体" w:hAnsi="宋体" w:eastAsia="宋体" w:cs="宋体"/>
          <w:spacing w:val="10"/>
          <w:sz w:val="20"/>
          <w:szCs w:val="20"/>
        </w:rPr>
        <w:t>①调整的范围限定于主要材料。主要材料是指用量较大、占工程造价比例较高</w:t>
      </w:r>
      <w:r>
        <w:rPr>
          <w:rFonts w:ascii="宋体" w:hAnsi="宋体" w:eastAsia="宋体" w:cs="宋体"/>
          <w:spacing w:val="9"/>
          <w:sz w:val="20"/>
          <w:szCs w:val="20"/>
        </w:rPr>
        <w:t>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5" w:line="331" w:lineRule="auto"/>
        <w:ind w:left="8" w:right="43" w:firstLine="420"/>
        <w:rPr>
          <w:rFonts w:ascii="宋体" w:hAnsi="宋体" w:eastAsia="宋体" w:cs="宋体"/>
          <w:sz w:val="20"/>
          <w:szCs w:val="20"/>
        </w:rPr>
      </w:pPr>
      <w:r>
        <w:rPr>
          <w:rFonts w:ascii="宋体" w:hAnsi="宋体" w:eastAsia="宋体" w:cs="宋体"/>
          <w:spacing w:val="10"/>
          <w:sz w:val="20"/>
          <w:szCs w:val="20"/>
        </w:rPr>
        <w:t>②金属材料、木材、水泥、混凝土、沥青混凝土、预制构件、砂浆、砖、瓦、</w:t>
      </w:r>
      <w:r>
        <w:rPr>
          <w:rFonts w:ascii="宋体" w:hAnsi="宋体" w:eastAsia="宋体" w:cs="宋体"/>
          <w:spacing w:val="9"/>
          <w:sz w:val="20"/>
          <w:szCs w:val="20"/>
        </w:rPr>
        <w:t>砂子、碎石、石</w:t>
      </w:r>
      <w:r>
        <w:rPr>
          <w:rFonts w:ascii="宋体" w:hAnsi="宋体" w:eastAsia="宋体" w:cs="宋体"/>
          <w:spacing w:val="10"/>
          <w:sz w:val="20"/>
          <w:szCs w:val="20"/>
        </w:rPr>
        <w:t>灰、石材、防水材料、防腐材料、玻璃、保温材料、门窗、面砖、管材、管件、阀</w:t>
      </w:r>
      <w:r>
        <w:rPr>
          <w:rFonts w:ascii="宋体" w:hAnsi="宋体" w:eastAsia="宋体" w:cs="宋体"/>
          <w:spacing w:val="9"/>
          <w:sz w:val="20"/>
          <w:szCs w:val="20"/>
        </w:rPr>
        <w:t>门、电线电缆、灯具、卫生洁具、散热器、苗木、花卉等。</w:t>
      </w:r>
    </w:p>
    <w:p>
      <w:pPr>
        <w:spacing w:before="123" w:line="275" w:lineRule="exact"/>
        <w:ind w:left="428"/>
        <w:rPr>
          <w:rFonts w:ascii="宋体" w:hAnsi="宋体" w:eastAsia="宋体" w:cs="宋体"/>
          <w:sz w:val="20"/>
          <w:szCs w:val="20"/>
        </w:rPr>
      </w:pPr>
      <w:r>
        <w:rPr>
          <w:rFonts w:ascii="宋体" w:hAnsi="宋体" w:eastAsia="宋体" w:cs="宋体"/>
          <w:spacing w:val="10"/>
          <w:position w:val="1"/>
          <w:sz w:val="20"/>
          <w:szCs w:val="20"/>
        </w:rPr>
        <w:t>③合同价中单种材料合价占单位工程造价比例在</w:t>
      </w:r>
      <w:r>
        <w:rPr>
          <w:rFonts w:ascii="宋体" w:hAnsi="宋体" w:eastAsia="宋体" w:cs="宋体"/>
          <w:spacing w:val="-6"/>
          <w:position w:val="1"/>
          <w:sz w:val="20"/>
          <w:szCs w:val="20"/>
        </w:rPr>
        <w:t xml:space="preserve"> </w:t>
      </w:r>
      <w:r>
        <w:rPr>
          <w:rFonts w:ascii="宋体" w:hAnsi="宋体" w:eastAsia="宋体" w:cs="宋体"/>
          <w:spacing w:val="10"/>
          <w:position w:val="1"/>
          <w:sz w:val="20"/>
          <w:szCs w:val="20"/>
        </w:rPr>
        <w:t>1%及以上的材料。</w:t>
      </w:r>
    </w:p>
    <w:p>
      <w:pPr>
        <w:spacing w:before="125" w:line="275" w:lineRule="exact"/>
        <w:ind w:left="428"/>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3" w:line="368" w:lineRule="auto"/>
        <w:ind w:left="11" w:right="62"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3" w:line="368" w:lineRule="auto"/>
        <w:ind w:left="10"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5" w:line="276" w:lineRule="exact"/>
        <w:ind w:left="430"/>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2" w:line="363" w:lineRule="auto"/>
        <w:ind w:firstLine="482"/>
        <w:jc w:val="both"/>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39"/>
          <w:sz w:val="20"/>
          <w:szCs w:val="20"/>
        </w:rPr>
        <w:t xml:space="preserve"> </w:t>
      </w:r>
      <w:r>
        <w:rPr>
          <w:rFonts w:ascii="宋体" w:hAnsi="宋体" w:eastAsia="宋体" w:cs="宋体"/>
          <w:spacing w:val="9"/>
          <w:sz w:val="20"/>
          <w:szCs w:val="20"/>
        </w:rPr>
        <w:t>号）。文件规定：发承包双方已签定施工合同的，若主要建筑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5"/>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48" w:line="278" w:lineRule="exact"/>
        <w:ind w:left="509"/>
        <w:rPr>
          <w:rFonts w:ascii="宋体" w:hAnsi="宋体" w:eastAsia="宋体" w:cs="宋体"/>
          <w:sz w:val="20"/>
          <w:szCs w:val="20"/>
        </w:rPr>
      </w:pPr>
      <w:r>
        <w:rPr>
          <w:rFonts w:ascii="宋体" w:hAnsi="宋体" w:eastAsia="宋体" w:cs="宋体"/>
          <w:b/>
          <w:bCs/>
          <w:spacing w:val="-1"/>
          <w:position w:val="1"/>
          <w:sz w:val="20"/>
          <w:szCs w:val="20"/>
        </w:rPr>
        <w:t>11.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4" w:line="368" w:lineRule="auto"/>
        <w:ind w:left="9" w:right="3"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before="3" w:line="278"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0"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4" w:line="278"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0"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（4）建设单位委托第三方机构开展检验试验，并由施</w:t>
      </w:r>
      <w:r>
        <w:rPr>
          <w:rFonts w:ascii="宋体" w:hAnsi="宋体" w:eastAsia="宋体" w:cs="宋体"/>
          <w:spacing w:val="9"/>
          <w:position w:val="1"/>
          <w:sz w:val="20"/>
          <w:szCs w:val="20"/>
        </w:rPr>
        <w:t>工单位支付的检验试验费用；</w:t>
      </w:r>
    </w:p>
    <w:p>
      <w:pPr>
        <w:spacing w:before="124" w:line="278" w:lineRule="exact"/>
        <w:ind w:left="420"/>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4" w:line="349" w:lineRule="auto"/>
        <w:ind w:left="8" w:right="3"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42" w:line="277" w:lineRule="exact"/>
        <w:ind w:left="509"/>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line="277" w:lineRule="exact"/>
        <w:rPr>
          <w:rFonts w:ascii="宋体" w:hAnsi="宋体" w:eastAsia="宋体" w:cs="宋体"/>
          <w:sz w:val="20"/>
          <w:szCs w:val="20"/>
        </w:rPr>
        <w:sectPr>
          <w:footerReference r:id="rId186" w:type="default"/>
          <w:pgSz w:w="11906" w:h="16839"/>
          <w:pgMar w:top="400" w:right="1417"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51" w:lineRule="auto"/>
        <w:ind w:left="2"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40" w:line="277" w:lineRule="exact"/>
        <w:ind w:left="423"/>
        <w:rPr>
          <w:rFonts w:ascii="宋体" w:hAnsi="宋体" w:eastAsia="宋体" w:cs="宋体"/>
          <w:sz w:val="20"/>
          <w:szCs w:val="20"/>
        </w:rPr>
      </w:pPr>
      <w:r>
        <w:rPr>
          <w:rFonts w:ascii="宋体" w:hAnsi="宋体" w:eastAsia="宋体" w:cs="宋体"/>
          <w:spacing w:val="8"/>
          <w:position w:val="1"/>
          <w:sz w:val="20"/>
          <w:szCs w:val="20"/>
        </w:rPr>
        <w:t>市政养护维修工程材料的采购及保管费率为2.5</w:t>
      </w:r>
      <w:r>
        <w:rPr>
          <w:rFonts w:ascii="宋体" w:hAnsi="宋体" w:eastAsia="宋体" w:cs="宋体"/>
          <w:spacing w:val="-20"/>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20"/>
          <w:position w:val="1"/>
          <w:sz w:val="20"/>
          <w:szCs w:val="20"/>
        </w:rPr>
        <w:t>，</w:t>
      </w:r>
      <w:r>
        <w:rPr>
          <w:rFonts w:ascii="宋体" w:hAnsi="宋体" w:eastAsia="宋体" w:cs="宋体"/>
          <w:spacing w:val="8"/>
          <w:position w:val="1"/>
          <w:sz w:val="20"/>
          <w:szCs w:val="20"/>
        </w:rPr>
        <w:t>设备的采购及保管费率为</w:t>
      </w:r>
      <w:r>
        <w:rPr>
          <w:rFonts w:ascii="宋体" w:hAnsi="宋体" w:eastAsia="宋体" w:cs="宋体"/>
          <w:spacing w:val="-25"/>
          <w:position w:val="1"/>
          <w:sz w:val="20"/>
          <w:szCs w:val="20"/>
        </w:rPr>
        <w:t xml:space="preserve"> </w:t>
      </w:r>
      <w:r>
        <w:rPr>
          <w:rFonts w:ascii="宋体" w:hAnsi="宋体" w:eastAsia="宋体" w:cs="宋体"/>
          <w:spacing w:val="8"/>
          <w:position w:val="1"/>
          <w:sz w:val="20"/>
          <w:szCs w:val="20"/>
        </w:rPr>
        <w:t>1％。</w:t>
      </w:r>
    </w:p>
    <w:p>
      <w:pPr>
        <w:spacing w:before="121" w:line="277" w:lineRule="exact"/>
        <w:ind w:left="423"/>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7" w:lineRule="auto"/>
        <w:ind w:left="1" w:firstLine="420"/>
        <w:rPr>
          <w:rFonts w:ascii="宋体" w:hAnsi="宋体" w:eastAsia="宋体" w:cs="宋体"/>
          <w:sz w:val="20"/>
          <w:szCs w:val="20"/>
        </w:rPr>
      </w:pPr>
      <w:r>
        <w:rPr>
          <w:rFonts w:ascii="宋体" w:hAnsi="宋体" w:eastAsia="宋体" w:cs="宋体"/>
          <w:spacing w:val="11"/>
          <w:sz w:val="20"/>
          <w:szCs w:val="20"/>
        </w:rPr>
        <w:t>①建设单位采购、付款、供应至施工现场、并自行保管，施工单位随用随领，采购</w:t>
      </w:r>
      <w:r>
        <w:rPr>
          <w:rFonts w:ascii="宋体" w:hAnsi="宋体" w:eastAsia="宋体" w:cs="宋体"/>
          <w:spacing w:val="10"/>
          <w:sz w:val="20"/>
          <w:szCs w:val="20"/>
        </w:rPr>
        <w:t>及保管费全</w:t>
      </w:r>
      <w:r>
        <w:rPr>
          <w:rFonts w:ascii="宋体" w:hAnsi="宋体" w:eastAsia="宋体" w:cs="宋体"/>
          <w:spacing w:val="7"/>
          <w:sz w:val="20"/>
          <w:szCs w:val="20"/>
        </w:rPr>
        <w:t>部归建设单位。</w:t>
      </w:r>
    </w:p>
    <w:p>
      <w:pPr>
        <w:spacing w:before="156" w:line="332" w:lineRule="auto"/>
        <w:ind w:left="1" w:right="43" w:firstLine="420"/>
        <w:rPr>
          <w:rFonts w:ascii="宋体" w:hAnsi="宋体" w:eastAsia="宋体" w:cs="宋体"/>
          <w:sz w:val="20"/>
          <w:szCs w:val="20"/>
        </w:rPr>
      </w:pPr>
      <w:r>
        <w:rPr>
          <w:rFonts w:ascii="宋体" w:hAnsi="宋体" w:eastAsia="宋体" w:cs="宋体"/>
          <w:spacing w:val="10"/>
          <w:sz w:val="20"/>
          <w:szCs w:val="20"/>
        </w:rPr>
        <w:t>②建设单位采购、付款、供应至施工现场，交由施工单位保管，建设单位计取</w:t>
      </w:r>
      <w:r>
        <w:rPr>
          <w:rFonts w:ascii="宋体" w:hAnsi="宋体" w:eastAsia="宋体" w:cs="宋体"/>
          <w:spacing w:val="9"/>
          <w:sz w:val="20"/>
          <w:szCs w:val="20"/>
        </w:rPr>
        <w:t>采购及保管费的</w:t>
      </w:r>
      <w:r>
        <w:rPr>
          <w:rFonts w:ascii="宋体" w:hAnsi="宋体" w:eastAsia="宋体" w:cs="宋体"/>
          <w:spacing w:val="10"/>
          <w:sz w:val="20"/>
          <w:szCs w:val="20"/>
        </w:rPr>
        <w:t>60</w:t>
      </w:r>
      <w:r>
        <w:rPr>
          <w:rFonts w:ascii="宋体" w:hAnsi="宋体" w:eastAsia="宋体" w:cs="宋体"/>
          <w:spacing w:val="-18"/>
          <w:sz w:val="20"/>
          <w:szCs w:val="20"/>
        </w:rPr>
        <w:t>％</w:t>
      </w:r>
      <w:r>
        <w:rPr>
          <w:rFonts w:ascii="宋体" w:hAnsi="宋体" w:eastAsia="宋体" w:cs="宋体"/>
          <w:spacing w:val="-36"/>
          <w:sz w:val="20"/>
          <w:szCs w:val="20"/>
        </w:rPr>
        <w:t xml:space="preserve"> </w:t>
      </w:r>
      <w:r>
        <w:rPr>
          <w:rFonts w:ascii="宋体" w:hAnsi="宋体" w:eastAsia="宋体" w:cs="宋体"/>
          <w:spacing w:val="-18"/>
          <w:sz w:val="20"/>
          <w:szCs w:val="20"/>
        </w:rPr>
        <w:t>，</w:t>
      </w:r>
      <w:r>
        <w:rPr>
          <w:rFonts w:ascii="宋体" w:hAnsi="宋体" w:eastAsia="宋体" w:cs="宋体"/>
          <w:spacing w:val="10"/>
          <w:sz w:val="20"/>
          <w:szCs w:val="20"/>
        </w:rPr>
        <w:t>施工单位计取40％</w:t>
      </w:r>
      <w:r>
        <w:rPr>
          <w:rFonts w:ascii="宋体" w:hAnsi="宋体" w:eastAsia="宋体" w:cs="宋体"/>
          <w:spacing w:val="-49"/>
          <w:sz w:val="20"/>
          <w:szCs w:val="20"/>
        </w:rPr>
        <w:t xml:space="preserve"> </w:t>
      </w:r>
      <w:r>
        <w:rPr>
          <w:rFonts w:ascii="宋体" w:hAnsi="宋体" w:eastAsia="宋体" w:cs="宋体"/>
          <w:spacing w:val="10"/>
          <w:sz w:val="20"/>
          <w:szCs w:val="20"/>
        </w:rPr>
        <w:t>。建设单位采购并付款，交提货单由施工企业提运时施工单位计取60%</w:t>
      </w:r>
      <w:r>
        <w:rPr>
          <w:rFonts w:ascii="宋体" w:hAnsi="宋体" w:eastAsia="宋体" w:cs="宋体"/>
          <w:spacing w:val="-36"/>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20" w:line="223" w:lineRule="auto"/>
        <w:ind w:left="421"/>
        <w:rPr>
          <w:rFonts w:ascii="宋体" w:hAnsi="宋体" w:eastAsia="宋体" w:cs="宋体"/>
          <w:sz w:val="20"/>
          <w:szCs w:val="20"/>
        </w:rPr>
      </w:pPr>
      <w:r>
        <w:rPr>
          <w:rFonts w:ascii="宋体" w:hAnsi="宋体" w:eastAsia="宋体" w:cs="宋体"/>
          <w:spacing w:val="10"/>
          <w:sz w:val="20"/>
          <w:szCs w:val="20"/>
        </w:rPr>
        <w:t>③施工单位采购、付款、供应至施工现场，并自行保</w:t>
      </w:r>
      <w:r>
        <w:rPr>
          <w:rFonts w:ascii="宋体" w:hAnsi="宋体" w:eastAsia="宋体" w:cs="宋体"/>
          <w:spacing w:val="9"/>
          <w:sz w:val="20"/>
          <w:szCs w:val="20"/>
        </w:rPr>
        <w:t>管、采购及保管费全部归施工单位。</w:t>
      </w:r>
    </w:p>
    <w:p>
      <w:pPr>
        <w:spacing w:before="157" w:line="298" w:lineRule="auto"/>
        <w:ind w:firstLine="423"/>
        <w:rPr>
          <w:rFonts w:ascii="宋体" w:hAnsi="宋体" w:eastAsia="宋体" w:cs="宋体"/>
          <w:sz w:val="20"/>
          <w:szCs w:val="20"/>
        </w:rPr>
      </w:pPr>
      <w:r>
        <w:rPr>
          <w:rFonts w:ascii="宋体" w:hAnsi="宋体" w:eastAsia="宋体" w:cs="宋体"/>
          <w:spacing w:val="9"/>
          <w:sz w:val="20"/>
          <w:szCs w:val="20"/>
        </w:rPr>
        <w:t>20</w:t>
      </w:r>
      <w:r>
        <w:rPr>
          <w:rFonts w:ascii="宋体" w:hAnsi="宋体" w:eastAsia="宋体" w:cs="宋体"/>
          <w:spacing w:val="-33"/>
          <w:sz w:val="20"/>
          <w:szCs w:val="20"/>
        </w:rPr>
        <w:t xml:space="preserve"> </w:t>
      </w:r>
      <w:r>
        <w:rPr>
          <w:rFonts w:ascii="宋体" w:hAnsi="宋体" w:eastAsia="宋体" w:cs="宋体"/>
          <w:spacing w:val="9"/>
          <w:sz w:val="20"/>
          <w:szCs w:val="20"/>
        </w:rPr>
        <w:t>消耗量定额《山东省市政养护维修工程价目表》材料价格取定表中的材料单价，已包括采购</w:t>
      </w:r>
      <w:r>
        <w:rPr>
          <w:rFonts w:ascii="宋体" w:hAnsi="宋体" w:eastAsia="宋体" w:cs="宋体"/>
          <w:spacing w:val="7"/>
          <w:sz w:val="20"/>
          <w:szCs w:val="20"/>
        </w:rPr>
        <w:t>及保管费。</w:t>
      </w:r>
    </w:p>
    <w:p>
      <w:pPr>
        <w:spacing w:before="155" w:line="368" w:lineRule="auto"/>
        <w:ind w:left="7"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4" w:line="277" w:lineRule="exact"/>
        <w:ind w:left="440"/>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0" w:line="322" w:lineRule="auto"/>
        <w:ind w:left="4" w:firstLine="408"/>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4"/>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半径范围内，并设有水、电计量表。建设单位不能按上述要求</w:t>
      </w:r>
      <w:r>
        <w:rPr>
          <w:rFonts w:ascii="宋体" w:hAnsi="宋体" w:eastAsia="宋体" w:cs="宋体"/>
          <w:spacing w:val="9"/>
          <w:sz w:val="20"/>
          <w:szCs w:val="20"/>
        </w:rPr>
        <w:t>提供时，施工单位依据经过批准的施工组织设计，按相应规定另行单独计算费用。</w:t>
      </w:r>
    </w:p>
    <w:p>
      <w:pPr>
        <w:spacing w:before="155" w:line="277"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22" w:line="297" w:lineRule="auto"/>
        <w:ind w:right="2"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7"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5" w:line="278" w:lineRule="exact"/>
        <w:ind w:left="440"/>
        <w:rPr>
          <w:rFonts w:ascii="宋体" w:hAnsi="宋体" w:eastAsia="宋体" w:cs="宋体"/>
          <w:sz w:val="20"/>
          <w:szCs w:val="20"/>
        </w:rPr>
      </w:pPr>
      <w:r>
        <w:rPr>
          <w:rFonts w:ascii="宋体" w:hAnsi="宋体" w:eastAsia="宋体" w:cs="宋体"/>
          <w:b/>
          <w:bCs/>
          <w:spacing w:val="3"/>
          <w:position w:val="1"/>
          <w:sz w:val="20"/>
          <w:szCs w:val="20"/>
        </w:rPr>
        <w:t>14.</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关于建筑垃圾清理运输费用的确定</w:t>
      </w:r>
    </w:p>
    <w:p>
      <w:pPr>
        <w:spacing w:before="123" w:line="277" w:lineRule="exact"/>
        <w:ind w:left="425"/>
        <w:rPr>
          <w:rFonts w:ascii="宋体" w:hAnsi="宋体" w:eastAsia="宋体" w:cs="宋体"/>
          <w:sz w:val="20"/>
          <w:szCs w:val="20"/>
        </w:rPr>
      </w:pPr>
      <w:r>
        <w:rPr>
          <w:rFonts w:ascii="宋体" w:hAnsi="宋体" w:eastAsia="宋体" w:cs="宋体"/>
          <w:spacing w:val="8"/>
          <w:position w:val="1"/>
          <w:sz w:val="20"/>
          <w:szCs w:val="20"/>
        </w:rPr>
        <w:t>清运建筑垃圾，按其自然状态的实际体积，运距</w:t>
      </w:r>
      <w:r>
        <w:rPr>
          <w:rFonts w:ascii="宋体" w:hAnsi="宋体" w:eastAsia="宋体" w:cs="宋体"/>
          <w:spacing w:val="-9"/>
          <w:position w:val="1"/>
          <w:sz w:val="20"/>
          <w:szCs w:val="20"/>
        </w:rPr>
        <w:t xml:space="preserve"> </w:t>
      </w:r>
      <w:r>
        <w:rPr>
          <w:rFonts w:ascii="宋体" w:hAnsi="宋体" w:eastAsia="宋体" w:cs="宋体"/>
          <w:spacing w:val="8"/>
          <w:position w:val="1"/>
          <w:sz w:val="20"/>
          <w:szCs w:val="20"/>
        </w:rPr>
        <w:t>10</w:t>
      </w:r>
      <w:r>
        <w:rPr>
          <w:rFonts w:ascii="宋体" w:hAnsi="宋体" w:eastAsia="宋体" w:cs="宋体"/>
          <w:spacing w:val="-46"/>
          <w:position w:val="1"/>
          <w:sz w:val="20"/>
          <w:szCs w:val="20"/>
        </w:rPr>
        <w:t xml:space="preserve"> </w:t>
      </w:r>
      <w:r>
        <w:rPr>
          <w:rFonts w:ascii="宋体" w:hAnsi="宋体" w:eastAsia="宋体" w:cs="宋体"/>
          <w:spacing w:val="8"/>
          <w:position w:val="1"/>
          <w:sz w:val="20"/>
          <w:szCs w:val="20"/>
        </w:rPr>
        <w:t>公里以内时，按每立方米</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23</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元计取；每增</w:t>
      </w:r>
    </w:p>
    <w:p>
      <w:pPr>
        <w:spacing w:before="121" w:line="332" w:lineRule="auto"/>
        <w:ind w:left="1" w:firstLine="18"/>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25"/>
          <w:sz w:val="20"/>
          <w:szCs w:val="20"/>
        </w:rPr>
        <w:t xml:space="preserve"> </w:t>
      </w:r>
      <w:r>
        <w:rPr>
          <w:rFonts w:ascii="宋体" w:hAnsi="宋体" w:eastAsia="宋体" w:cs="宋体"/>
          <w:spacing w:val="6"/>
          <w:sz w:val="20"/>
          <w:szCs w:val="20"/>
        </w:rPr>
        <w:t>公里（不足</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3"/>
          <w:sz w:val="20"/>
          <w:szCs w:val="20"/>
        </w:rPr>
        <w:t xml:space="preserve"> </w:t>
      </w:r>
      <w:r>
        <w:rPr>
          <w:rFonts w:ascii="宋体" w:hAnsi="宋体" w:eastAsia="宋体" w:cs="宋体"/>
          <w:spacing w:val="6"/>
          <w:sz w:val="20"/>
          <w:szCs w:val="20"/>
        </w:rPr>
        <w:t>公里按</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5"/>
          <w:sz w:val="20"/>
          <w:szCs w:val="20"/>
        </w:rPr>
        <w:t xml:space="preserve"> </w:t>
      </w:r>
      <w:r>
        <w:rPr>
          <w:rFonts w:ascii="宋体" w:hAnsi="宋体" w:eastAsia="宋体" w:cs="宋体"/>
          <w:spacing w:val="6"/>
          <w:sz w:val="20"/>
          <w:szCs w:val="20"/>
        </w:rPr>
        <w:t>公里计算）按</w:t>
      </w:r>
      <w:r>
        <w:rPr>
          <w:rFonts w:ascii="宋体" w:hAnsi="宋体" w:eastAsia="宋体" w:cs="宋体"/>
          <w:spacing w:val="-23"/>
          <w:sz w:val="20"/>
          <w:szCs w:val="20"/>
        </w:rPr>
        <w:t xml:space="preserve"> </w:t>
      </w:r>
      <w:r>
        <w:rPr>
          <w:rFonts w:ascii="宋体" w:hAnsi="宋体" w:eastAsia="宋体" w:cs="宋体"/>
          <w:spacing w:val="6"/>
          <w:sz w:val="20"/>
          <w:szCs w:val="20"/>
        </w:rPr>
        <w:t>1.30</w:t>
      </w:r>
      <w:r>
        <w:rPr>
          <w:rFonts w:ascii="宋体" w:hAnsi="宋体" w:eastAsia="宋体" w:cs="宋体"/>
          <w:spacing w:val="-42"/>
          <w:sz w:val="20"/>
          <w:szCs w:val="20"/>
        </w:rPr>
        <w:t xml:space="preserve"> </w:t>
      </w:r>
      <w:r>
        <w:rPr>
          <w:rFonts w:ascii="宋体" w:hAnsi="宋体" w:eastAsia="宋体" w:cs="宋体"/>
          <w:spacing w:val="6"/>
          <w:sz w:val="20"/>
          <w:szCs w:val="20"/>
        </w:rPr>
        <w:t>元计算，以上费用只计取规费及税金。若合同约定的费</w:t>
      </w:r>
      <w:r>
        <w:rPr>
          <w:rFonts w:ascii="宋体" w:hAnsi="宋体" w:eastAsia="宋体" w:cs="宋体"/>
          <w:spacing w:val="11"/>
          <w:sz w:val="20"/>
          <w:szCs w:val="20"/>
        </w:rPr>
        <w:t>用高于或低于该条款的费用，按合同约定的条款执行。垃圾处置费按发承包双</w:t>
      </w:r>
      <w:r>
        <w:rPr>
          <w:rFonts w:ascii="宋体" w:hAnsi="宋体" w:eastAsia="宋体" w:cs="宋体"/>
          <w:spacing w:val="10"/>
          <w:sz w:val="20"/>
          <w:szCs w:val="20"/>
        </w:rPr>
        <w:t>方约定的费用或按每</w:t>
      </w:r>
      <w:r>
        <w:rPr>
          <w:rFonts w:ascii="宋体" w:hAnsi="宋体" w:eastAsia="宋体" w:cs="宋体"/>
          <w:spacing w:val="7"/>
          <w:sz w:val="20"/>
          <w:szCs w:val="20"/>
        </w:rPr>
        <w:t>立方米</w:t>
      </w:r>
      <w:r>
        <w:rPr>
          <w:rFonts w:ascii="宋体" w:hAnsi="宋体" w:eastAsia="宋体" w:cs="宋体"/>
          <w:spacing w:val="-29"/>
          <w:sz w:val="20"/>
          <w:szCs w:val="20"/>
        </w:rPr>
        <w:t xml:space="preserve"> </w:t>
      </w:r>
      <w:r>
        <w:rPr>
          <w:rFonts w:ascii="宋体" w:hAnsi="宋体" w:eastAsia="宋体" w:cs="宋体"/>
          <w:spacing w:val="7"/>
          <w:sz w:val="20"/>
          <w:szCs w:val="20"/>
        </w:rPr>
        <w:t>4</w:t>
      </w:r>
      <w:r>
        <w:rPr>
          <w:rFonts w:ascii="宋体" w:hAnsi="宋体" w:eastAsia="宋体" w:cs="宋体"/>
          <w:spacing w:val="-45"/>
          <w:sz w:val="20"/>
          <w:szCs w:val="20"/>
        </w:rPr>
        <w:t xml:space="preserve"> </w:t>
      </w:r>
      <w:r>
        <w:rPr>
          <w:rFonts w:ascii="宋体" w:hAnsi="宋体" w:eastAsia="宋体" w:cs="宋体"/>
          <w:spacing w:val="7"/>
          <w:sz w:val="20"/>
          <w:szCs w:val="20"/>
        </w:rPr>
        <w:t>元计取（不需处理时不计取）。</w:t>
      </w:r>
    </w:p>
    <w:p>
      <w:pPr>
        <w:spacing w:before="121" w:line="276" w:lineRule="exact"/>
        <w:ind w:left="440"/>
        <w:rPr>
          <w:rFonts w:ascii="宋体" w:hAnsi="宋体" w:eastAsia="宋体" w:cs="宋体"/>
          <w:sz w:val="20"/>
          <w:szCs w:val="20"/>
        </w:rPr>
      </w:pPr>
      <w:r>
        <w:rPr>
          <w:rFonts w:ascii="宋体" w:hAnsi="宋体" w:eastAsia="宋体" w:cs="宋体"/>
          <w:b/>
          <w:bCs/>
          <w:position w:val="1"/>
          <w:sz w:val="20"/>
          <w:szCs w:val="20"/>
        </w:rPr>
        <w:t>15.关于计价依据的解释</w:t>
      </w:r>
    </w:p>
    <w:p>
      <w:pPr>
        <w:spacing w:before="123" w:line="369" w:lineRule="auto"/>
        <w:ind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w:t>
      </w:r>
      <w:r>
        <w:rPr>
          <w:rFonts w:ascii="宋体" w:hAnsi="宋体" w:eastAsia="宋体" w:cs="宋体"/>
          <w:spacing w:val="10"/>
          <w:sz w:val="20"/>
          <w:szCs w:val="20"/>
        </w:rPr>
        <w:t>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187" w:type="default"/>
          <w:pgSz w:w="11906" w:h="16839"/>
          <w:pgMar w:top="400" w:right="1417" w:bottom="1212" w:left="1418" w:header="0" w:footer="897" w:gutter="0"/>
        </w:sect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98" w:line="212" w:lineRule="auto"/>
        <w:ind w:left="1378"/>
        <w:outlineLvl w:val="1"/>
        <w:rPr>
          <w:rFonts w:ascii="宋体" w:hAnsi="宋体" w:eastAsia="宋体" w:cs="宋体"/>
          <w:sz w:val="30"/>
          <w:szCs w:val="30"/>
        </w:rPr>
      </w:pPr>
      <w:bookmarkStart w:id="93" w:name="bookmark59"/>
      <w:bookmarkEnd w:id="93"/>
      <w:bookmarkStart w:id="94" w:name="bookmark60"/>
      <w:bookmarkEnd w:id="94"/>
      <w:r>
        <w:rPr>
          <w:rFonts w:ascii="宋体" w:hAnsi="宋体" w:eastAsia="宋体" w:cs="宋体"/>
          <w:b/>
          <w:bCs/>
          <w:spacing w:val="-2"/>
          <w:sz w:val="30"/>
          <w:szCs w:val="30"/>
        </w:rPr>
        <w:t>第十节</w:t>
      </w:r>
      <w:r>
        <w:rPr>
          <w:rFonts w:ascii="宋体" w:hAnsi="宋体" w:eastAsia="宋体" w:cs="宋体"/>
          <w:spacing w:val="-2"/>
          <w:sz w:val="30"/>
          <w:szCs w:val="30"/>
        </w:rPr>
        <w:t xml:space="preserve">  </w:t>
      </w:r>
      <w:r>
        <w:rPr>
          <w:rFonts w:ascii="宋体" w:hAnsi="宋体" w:eastAsia="宋体" w:cs="宋体"/>
          <w:b/>
          <w:bCs/>
          <w:spacing w:val="-2"/>
          <w:sz w:val="30"/>
          <w:szCs w:val="30"/>
        </w:rPr>
        <w:t>园林绿化工程定额计价有关问题</w:t>
      </w:r>
      <w:r>
        <w:rPr>
          <w:rFonts w:ascii="宋体" w:hAnsi="宋体" w:eastAsia="宋体" w:cs="宋体"/>
          <w:b/>
          <w:bCs/>
          <w:spacing w:val="-3"/>
          <w:sz w:val="30"/>
          <w:szCs w:val="30"/>
        </w:rPr>
        <w:t>的说明</w:t>
      </w:r>
    </w:p>
    <w:p>
      <w:pPr>
        <w:spacing w:line="254" w:lineRule="auto"/>
        <w:rPr>
          <w:rFonts w:ascii="Arial"/>
          <w:sz w:val="21"/>
        </w:rPr>
      </w:pPr>
    </w:p>
    <w:p>
      <w:pPr>
        <w:spacing w:before="65" w:line="369" w:lineRule="auto"/>
        <w:ind w:left="5" w:right="208" w:firstLine="437"/>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40"/>
          <w:sz w:val="20"/>
          <w:szCs w:val="20"/>
        </w:rPr>
        <w:t xml:space="preserve"> </w:t>
      </w:r>
      <w:r>
        <w:rPr>
          <w:rFonts w:ascii="宋体" w:hAnsi="宋体" w:eastAsia="宋体" w:cs="宋体"/>
          <w:spacing w:val="7"/>
          <w:sz w:val="20"/>
          <w:szCs w:val="20"/>
        </w:rPr>
        <w:t>2016</w:t>
      </w:r>
      <w:r>
        <w:rPr>
          <w:rFonts w:ascii="宋体" w:hAnsi="宋体" w:eastAsia="宋体" w:cs="宋体"/>
          <w:spacing w:val="-38"/>
          <w:sz w:val="20"/>
          <w:szCs w:val="20"/>
        </w:rPr>
        <w:t xml:space="preserve"> </w:t>
      </w:r>
      <w:r>
        <w:rPr>
          <w:rFonts w:ascii="宋体" w:hAnsi="宋体" w:eastAsia="宋体" w:cs="宋体"/>
          <w:spacing w:val="7"/>
          <w:sz w:val="20"/>
          <w:szCs w:val="20"/>
        </w:rPr>
        <w:t>版《山东省园林绿化工程消耗量定额》以</w:t>
      </w:r>
      <w:r>
        <w:rPr>
          <w:rFonts w:ascii="宋体" w:hAnsi="宋体" w:eastAsia="宋体" w:cs="宋体"/>
          <w:spacing w:val="6"/>
          <w:sz w:val="20"/>
          <w:szCs w:val="20"/>
        </w:rPr>
        <w:t>山东省住房和城乡建设厅鲁建标字〔2016〕39</w:t>
      </w:r>
      <w:r>
        <w:rPr>
          <w:rFonts w:ascii="宋体" w:hAnsi="宋体" w:eastAsia="宋体" w:cs="宋体"/>
          <w:sz w:val="20"/>
          <w:szCs w:val="20"/>
        </w:rPr>
        <w:t>号文正式颁布，</w:t>
      </w:r>
      <w:r>
        <w:rPr>
          <w:rFonts w:ascii="宋体" w:hAnsi="宋体" w:eastAsia="宋体" w:cs="宋体"/>
          <w:spacing w:val="-50"/>
          <w:sz w:val="20"/>
          <w:szCs w:val="20"/>
        </w:rPr>
        <w:t xml:space="preserve"> </w:t>
      </w:r>
      <w:r>
        <w:rPr>
          <w:rFonts w:ascii="宋体" w:hAnsi="宋体" w:eastAsia="宋体" w:cs="宋体"/>
          <w:sz w:val="20"/>
          <w:szCs w:val="20"/>
        </w:rPr>
        <w:t>自</w:t>
      </w:r>
      <w:r>
        <w:rPr>
          <w:rFonts w:ascii="宋体" w:hAnsi="宋体" w:eastAsia="宋体" w:cs="宋体"/>
          <w:spacing w:val="-39"/>
          <w:sz w:val="20"/>
          <w:szCs w:val="20"/>
        </w:rPr>
        <w:t xml:space="preserve"> </w:t>
      </w:r>
      <w:r>
        <w:rPr>
          <w:rFonts w:ascii="宋体" w:hAnsi="宋体" w:eastAsia="宋体" w:cs="宋体"/>
          <w:sz w:val="20"/>
          <w:szCs w:val="20"/>
        </w:rPr>
        <w:t>2017</w:t>
      </w:r>
      <w:r>
        <w:rPr>
          <w:rFonts w:ascii="宋体" w:hAnsi="宋体" w:eastAsia="宋体" w:cs="宋体"/>
          <w:spacing w:val="-41"/>
          <w:sz w:val="20"/>
          <w:szCs w:val="20"/>
        </w:rPr>
        <w:t xml:space="preserve"> </w:t>
      </w:r>
      <w:r>
        <w:rPr>
          <w:rFonts w:ascii="宋体" w:hAnsi="宋体" w:eastAsia="宋体" w:cs="宋体"/>
          <w:sz w:val="20"/>
          <w:szCs w:val="20"/>
        </w:rPr>
        <w:t>年</w:t>
      </w:r>
      <w:r>
        <w:rPr>
          <w:rFonts w:ascii="宋体" w:hAnsi="宋体" w:eastAsia="宋体" w:cs="宋体"/>
          <w:spacing w:val="-36"/>
          <w:sz w:val="20"/>
          <w:szCs w:val="20"/>
        </w:rPr>
        <w:t xml:space="preserve"> </w:t>
      </w:r>
      <w:r>
        <w:rPr>
          <w:rFonts w:ascii="宋体" w:hAnsi="宋体" w:eastAsia="宋体" w:cs="宋体"/>
          <w:sz w:val="20"/>
          <w:szCs w:val="20"/>
        </w:rPr>
        <w:t>3</w:t>
      </w:r>
      <w:r>
        <w:rPr>
          <w:rFonts w:ascii="宋体" w:hAnsi="宋体" w:eastAsia="宋体" w:cs="宋体"/>
          <w:spacing w:val="-40"/>
          <w:sz w:val="20"/>
          <w:szCs w:val="20"/>
        </w:rPr>
        <w:t xml:space="preserve"> </w:t>
      </w:r>
      <w:r>
        <w:rPr>
          <w:rFonts w:ascii="宋体" w:hAnsi="宋体" w:eastAsia="宋体" w:cs="宋体"/>
          <w:sz w:val="20"/>
          <w:szCs w:val="20"/>
        </w:rPr>
        <w:t>月</w:t>
      </w:r>
      <w:r>
        <w:rPr>
          <w:rFonts w:ascii="宋体" w:hAnsi="宋体" w:eastAsia="宋体" w:cs="宋体"/>
          <w:spacing w:val="-23"/>
          <w:sz w:val="20"/>
          <w:szCs w:val="20"/>
        </w:rPr>
        <w:t xml:space="preserve"> </w:t>
      </w:r>
      <w:r>
        <w:rPr>
          <w:rFonts w:ascii="宋体" w:hAnsi="宋体" w:eastAsia="宋体" w:cs="宋体"/>
          <w:sz w:val="20"/>
          <w:szCs w:val="20"/>
        </w:rPr>
        <w:t>1 日起施行。</w:t>
      </w:r>
    </w:p>
    <w:p>
      <w:pPr>
        <w:spacing w:before="1" w:line="368" w:lineRule="auto"/>
        <w:ind w:left="2" w:right="210" w:firstLine="404"/>
        <w:rPr>
          <w:rFonts w:ascii="宋体" w:hAnsi="宋体" w:eastAsia="宋体" w:cs="宋体"/>
          <w:sz w:val="20"/>
          <w:szCs w:val="20"/>
        </w:rPr>
      </w:pPr>
      <w:r>
        <w:rPr>
          <w:rFonts w:ascii="宋体" w:hAnsi="宋体" w:eastAsia="宋体" w:cs="宋体"/>
          <w:spacing w:val="9"/>
          <w:sz w:val="20"/>
          <w:szCs w:val="20"/>
        </w:rPr>
        <w:t>《山东省绿色建筑工程消耗量定额》以山东省住房和城乡建设厅鲁建标字〔2018〕14</w:t>
      </w:r>
      <w:r>
        <w:rPr>
          <w:rFonts w:ascii="宋体" w:hAnsi="宋体" w:eastAsia="宋体" w:cs="宋体"/>
          <w:spacing w:val="-35"/>
          <w:sz w:val="20"/>
          <w:szCs w:val="20"/>
        </w:rPr>
        <w:t xml:space="preserve"> </w:t>
      </w:r>
      <w:r>
        <w:rPr>
          <w:rFonts w:ascii="宋体" w:hAnsi="宋体" w:eastAsia="宋体" w:cs="宋体"/>
          <w:spacing w:val="9"/>
          <w:sz w:val="20"/>
          <w:szCs w:val="20"/>
        </w:rPr>
        <w:t>号文正式</w:t>
      </w:r>
      <w:r>
        <w:rPr>
          <w:rFonts w:ascii="宋体" w:hAnsi="宋体" w:eastAsia="宋体" w:cs="宋体"/>
          <w:spacing w:val="-2"/>
          <w:sz w:val="20"/>
          <w:szCs w:val="20"/>
        </w:rPr>
        <w:t>颁布，</w:t>
      </w:r>
      <w:r>
        <w:rPr>
          <w:rFonts w:ascii="宋体" w:hAnsi="宋体" w:eastAsia="宋体" w:cs="宋体"/>
          <w:spacing w:val="-47"/>
          <w:sz w:val="20"/>
          <w:szCs w:val="20"/>
        </w:rPr>
        <w:t xml:space="preserve"> </w:t>
      </w:r>
      <w:r>
        <w:rPr>
          <w:rFonts w:ascii="宋体" w:hAnsi="宋体" w:eastAsia="宋体" w:cs="宋体"/>
          <w:spacing w:val="-2"/>
          <w:sz w:val="20"/>
          <w:szCs w:val="20"/>
        </w:rPr>
        <w:t>自</w:t>
      </w:r>
      <w:r>
        <w:rPr>
          <w:rFonts w:ascii="宋体" w:hAnsi="宋体" w:eastAsia="宋体" w:cs="宋体"/>
          <w:spacing w:val="-39"/>
          <w:sz w:val="20"/>
          <w:szCs w:val="20"/>
        </w:rPr>
        <w:t xml:space="preserve"> </w:t>
      </w:r>
      <w:r>
        <w:rPr>
          <w:rFonts w:ascii="宋体" w:hAnsi="宋体" w:eastAsia="宋体" w:cs="宋体"/>
          <w:spacing w:val="-2"/>
          <w:sz w:val="20"/>
          <w:szCs w:val="20"/>
        </w:rPr>
        <w:t>2018</w:t>
      </w:r>
      <w:r>
        <w:rPr>
          <w:rFonts w:ascii="宋体" w:hAnsi="宋体" w:eastAsia="宋体" w:cs="宋体"/>
          <w:spacing w:val="-42"/>
          <w:sz w:val="20"/>
          <w:szCs w:val="20"/>
        </w:rPr>
        <w:t xml:space="preserve"> </w:t>
      </w:r>
      <w:r>
        <w:rPr>
          <w:rFonts w:ascii="宋体" w:hAnsi="宋体" w:eastAsia="宋体" w:cs="宋体"/>
          <w:spacing w:val="-2"/>
          <w:sz w:val="20"/>
          <w:szCs w:val="20"/>
        </w:rPr>
        <w:t>年</w:t>
      </w:r>
      <w:r>
        <w:rPr>
          <w:rFonts w:ascii="宋体" w:hAnsi="宋体" w:eastAsia="宋体" w:cs="宋体"/>
          <w:spacing w:val="-39"/>
          <w:sz w:val="20"/>
          <w:szCs w:val="20"/>
        </w:rPr>
        <w:t xml:space="preserve"> </w:t>
      </w:r>
      <w:r>
        <w:rPr>
          <w:rFonts w:ascii="宋体" w:hAnsi="宋体" w:eastAsia="宋体" w:cs="宋体"/>
          <w:spacing w:val="-2"/>
          <w:sz w:val="20"/>
          <w:szCs w:val="20"/>
        </w:rPr>
        <w:t>5</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2"/>
          <w:sz w:val="20"/>
          <w:szCs w:val="20"/>
        </w:rPr>
        <w:t xml:space="preserve"> </w:t>
      </w:r>
      <w:r>
        <w:rPr>
          <w:rFonts w:ascii="宋体" w:hAnsi="宋体" w:eastAsia="宋体" w:cs="宋体"/>
          <w:spacing w:val="-2"/>
          <w:sz w:val="20"/>
          <w:szCs w:val="20"/>
        </w:rPr>
        <w:t>1 日起施行。</w:t>
      </w:r>
    </w:p>
    <w:p>
      <w:pPr>
        <w:spacing w:before="3" w:line="311" w:lineRule="auto"/>
        <w:ind w:left="3" w:right="131" w:firstLine="421"/>
        <w:rPr>
          <w:rFonts w:ascii="宋体" w:hAnsi="宋体" w:eastAsia="宋体" w:cs="宋体"/>
          <w:sz w:val="20"/>
          <w:szCs w:val="20"/>
        </w:rPr>
      </w:pPr>
      <w:r>
        <w:rPr>
          <w:rFonts w:ascii="宋体" w:hAnsi="宋体" w:eastAsia="宋体" w:cs="宋体"/>
          <w:spacing w:val="7"/>
          <w:sz w:val="20"/>
          <w:szCs w:val="20"/>
        </w:rPr>
        <w:t>2.《山东省园林绿化工程计价依据动态调整汇编（2023</w:t>
      </w:r>
      <w:r>
        <w:rPr>
          <w:rFonts w:ascii="宋体" w:hAnsi="宋体" w:eastAsia="宋体" w:cs="宋体"/>
          <w:spacing w:val="-41"/>
          <w:sz w:val="20"/>
          <w:szCs w:val="20"/>
        </w:rPr>
        <w:t xml:space="preserve"> </w:t>
      </w:r>
      <w:r>
        <w:rPr>
          <w:rFonts w:ascii="宋体" w:hAnsi="宋体" w:eastAsia="宋体" w:cs="宋体"/>
          <w:spacing w:val="7"/>
          <w:sz w:val="20"/>
          <w:szCs w:val="20"/>
        </w:rPr>
        <w:t>年度</w:t>
      </w:r>
      <w:r>
        <w:rPr>
          <w:rFonts w:ascii="宋体" w:hAnsi="宋体" w:eastAsia="宋体" w:cs="宋体"/>
          <w:spacing w:val="6"/>
          <w:sz w:val="20"/>
          <w:szCs w:val="20"/>
        </w:rPr>
        <w:t>）</w:t>
      </w:r>
      <w:r>
        <w:rPr>
          <w:rFonts w:ascii="宋体" w:hAnsi="宋体" w:eastAsia="宋体" w:cs="宋体"/>
          <w:spacing w:val="-55"/>
          <w:sz w:val="20"/>
          <w:szCs w:val="20"/>
        </w:rPr>
        <w:t xml:space="preserve"> </w:t>
      </w:r>
      <w:r>
        <w:rPr>
          <w:rFonts w:ascii="宋体" w:hAnsi="宋体" w:eastAsia="宋体" w:cs="宋体"/>
          <w:spacing w:val="6"/>
          <w:sz w:val="20"/>
          <w:szCs w:val="20"/>
        </w:rPr>
        <w:t>》以山东省住房和城乡建设厅鲁</w:t>
      </w:r>
      <w:r>
        <w:rPr>
          <w:rFonts w:ascii="宋体" w:hAnsi="宋体" w:eastAsia="宋体" w:cs="宋体"/>
          <w:spacing w:val="8"/>
          <w:sz w:val="20"/>
          <w:szCs w:val="20"/>
        </w:rPr>
        <w:t>建标字〔2024〕3</w:t>
      </w:r>
      <w:r>
        <w:rPr>
          <w:rFonts w:ascii="宋体" w:hAnsi="宋体" w:eastAsia="宋体" w:cs="宋体"/>
          <w:spacing w:val="-31"/>
          <w:sz w:val="20"/>
          <w:szCs w:val="20"/>
        </w:rPr>
        <w:t xml:space="preserve"> </w:t>
      </w:r>
      <w:r>
        <w:rPr>
          <w:rFonts w:ascii="宋体" w:hAnsi="宋体" w:eastAsia="宋体" w:cs="宋体"/>
          <w:spacing w:val="8"/>
          <w:sz w:val="20"/>
          <w:szCs w:val="20"/>
        </w:rPr>
        <w:t>号文正式颁布，本汇编中计价依据修订、增补、勘误自2024</w:t>
      </w:r>
      <w:r>
        <w:rPr>
          <w:rFonts w:ascii="宋体" w:hAnsi="宋体" w:eastAsia="宋体" w:cs="宋体"/>
          <w:spacing w:val="-39"/>
          <w:sz w:val="20"/>
          <w:szCs w:val="20"/>
        </w:rPr>
        <w:t xml:space="preserve"> </w:t>
      </w:r>
      <w:r>
        <w:rPr>
          <w:rFonts w:ascii="宋体" w:hAnsi="宋体" w:eastAsia="宋体" w:cs="宋体"/>
          <w:spacing w:val="8"/>
          <w:sz w:val="20"/>
          <w:szCs w:val="20"/>
        </w:rPr>
        <w:t>年</w:t>
      </w:r>
      <w:r>
        <w:rPr>
          <w:rFonts w:ascii="宋体" w:hAnsi="宋体" w:eastAsia="宋体" w:cs="宋体"/>
          <w:spacing w:val="-38"/>
          <w:sz w:val="20"/>
          <w:szCs w:val="20"/>
        </w:rPr>
        <w:t xml:space="preserve"> </w:t>
      </w:r>
      <w:r>
        <w:rPr>
          <w:rFonts w:ascii="宋体" w:hAnsi="宋体" w:eastAsia="宋体" w:cs="宋体"/>
          <w:spacing w:val="8"/>
          <w:sz w:val="20"/>
          <w:szCs w:val="20"/>
        </w:rPr>
        <w:t>3</w:t>
      </w:r>
      <w:r>
        <w:rPr>
          <w:rFonts w:ascii="宋体" w:hAnsi="宋体" w:eastAsia="宋体" w:cs="宋体"/>
          <w:spacing w:val="-41"/>
          <w:sz w:val="20"/>
          <w:szCs w:val="20"/>
        </w:rPr>
        <w:t xml:space="preserve"> </w:t>
      </w:r>
      <w:r>
        <w:rPr>
          <w:rFonts w:ascii="宋体" w:hAnsi="宋体" w:eastAsia="宋体" w:cs="宋体"/>
          <w:spacing w:val="8"/>
          <w:sz w:val="20"/>
          <w:szCs w:val="20"/>
        </w:rPr>
        <w:t>月29 日起施行。</w:t>
      </w:r>
    </w:p>
    <w:p>
      <w:pPr>
        <w:spacing w:before="124" w:line="313" w:lineRule="auto"/>
        <w:ind w:left="3" w:right="208" w:firstLine="424"/>
        <w:rPr>
          <w:rFonts w:ascii="宋体" w:hAnsi="宋体" w:eastAsia="宋体" w:cs="宋体"/>
          <w:sz w:val="20"/>
          <w:szCs w:val="20"/>
        </w:rPr>
      </w:pPr>
      <w:r>
        <w:rPr>
          <w:rFonts w:ascii="宋体" w:hAnsi="宋体" w:eastAsia="宋体" w:cs="宋体"/>
          <w:spacing w:val="8"/>
          <w:sz w:val="20"/>
          <w:szCs w:val="20"/>
        </w:rPr>
        <w:t>3.《山东省建设工程费用项目组成及计算规则</w:t>
      </w:r>
      <w:r>
        <w:rPr>
          <w:rFonts w:ascii="宋体" w:hAnsi="宋体" w:eastAsia="宋体" w:cs="宋体"/>
          <w:spacing w:val="7"/>
          <w:sz w:val="20"/>
          <w:szCs w:val="20"/>
        </w:rPr>
        <w:t>（2022</w:t>
      </w:r>
      <w:r>
        <w:rPr>
          <w:rFonts w:ascii="宋体" w:hAnsi="宋体" w:eastAsia="宋体" w:cs="宋体"/>
          <w:spacing w:val="-35"/>
          <w:sz w:val="20"/>
          <w:szCs w:val="20"/>
        </w:rPr>
        <w:t xml:space="preserve"> </w:t>
      </w:r>
      <w:r>
        <w:rPr>
          <w:rFonts w:ascii="宋体" w:hAnsi="宋体" w:eastAsia="宋体" w:cs="宋体"/>
          <w:spacing w:val="7"/>
          <w:sz w:val="20"/>
          <w:szCs w:val="20"/>
        </w:rPr>
        <w:t>版）</w:t>
      </w:r>
      <w:r>
        <w:rPr>
          <w:rFonts w:ascii="宋体" w:hAnsi="宋体" w:eastAsia="宋体" w:cs="宋体"/>
          <w:spacing w:val="-52"/>
          <w:sz w:val="20"/>
          <w:szCs w:val="20"/>
        </w:rPr>
        <w:t xml:space="preserve"> </w:t>
      </w:r>
      <w:r>
        <w:rPr>
          <w:rFonts w:ascii="宋体" w:hAnsi="宋体" w:eastAsia="宋体" w:cs="宋体"/>
          <w:spacing w:val="7"/>
          <w:sz w:val="20"/>
          <w:szCs w:val="20"/>
        </w:rPr>
        <w:t>》以山东省住房和城乡建设厅鲁建标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121" w:line="277" w:lineRule="exact"/>
        <w:ind w:left="425"/>
        <w:rPr>
          <w:rFonts w:ascii="宋体" w:hAnsi="宋体" w:eastAsia="宋体" w:cs="宋体"/>
          <w:sz w:val="20"/>
          <w:szCs w:val="20"/>
        </w:rPr>
      </w:pPr>
      <w:r>
        <w:rPr>
          <w:rFonts w:ascii="宋体" w:hAnsi="宋体" w:eastAsia="宋体" w:cs="宋体"/>
          <w:spacing w:val="7"/>
          <w:position w:val="1"/>
          <w:sz w:val="20"/>
          <w:szCs w:val="20"/>
        </w:rPr>
        <w:t>2023</w:t>
      </w:r>
      <w:r>
        <w:rPr>
          <w:rFonts w:ascii="宋体" w:hAnsi="宋体" w:eastAsia="宋体" w:cs="宋体"/>
          <w:spacing w:val="-39"/>
          <w:position w:val="1"/>
          <w:sz w:val="20"/>
          <w:szCs w:val="20"/>
        </w:rPr>
        <w:t xml:space="preserve"> </w:t>
      </w:r>
      <w:r>
        <w:rPr>
          <w:rFonts w:ascii="宋体" w:hAnsi="宋体" w:eastAsia="宋体" w:cs="宋体"/>
          <w:spacing w:val="7"/>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月</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30 日，山东省住房和城乡</w:t>
      </w:r>
      <w:r>
        <w:rPr>
          <w:rFonts w:ascii="宋体" w:hAnsi="宋体" w:eastAsia="宋体" w:cs="宋体"/>
          <w:spacing w:val="6"/>
          <w:position w:val="1"/>
          <w:sz w:val="20"/>
          <w:szCs w:val="20"/>
        </w:rPr>
        <w:t>建设厅发布《关于调整建设工程安全施工费的通知》，</w:t>
      </w:r>
    </w:p>
    <w:p>
      <w:pPr>
        <w:spacing w:before="124" w:line="369" w:lineRule="auto"/>
        <w:ind w:left="4" w:right="208"/>
        <w:rPr>
          <w:rFonts w:ascii="宋体" w:hAnsi="宋体" w:eastAsia="宋体" w:cs="宋体"/>
          <w:sz w:val="20"/>
          <w:szCs w:val="20"/>
        </w:rPr>
      </w:pP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line="368" w:lineRule="auto"/>
        <w:ind w:left="5" w:right="144"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2" w:line="369" w:lineRule="auto"/>
        <w:ind w:right="208" w:firstLine="422"/>
        <w:jc w:val="both"/>
        <w:rPr>
          <w:rFonts w:ascii="宋体" w:hAnsi="宋体" w:eastAsia="宋体" w:cs="宋体"/>
          <w:sz w:val="20"/>
          <w:szCs w:val="20"/>
        </w:rPr>
      </w:pPr>
      <w:r>
        <w:rPr>
          <w:rFonts w:ascii="宋体" w:hAnsi="宋体" w:eastAsia="宋体" w:cs="宋体"/>
          <w:spacing w:val="6"/>
          <w:sz w:val="20"/>
          <w:szCs w:val="20"/>
        </w:rPr>
        <w:t>4.《山东省园林绿化工程消耗量定额价目表》、《山东省人工、材料</w:t>
      </w:r>
      <w:r>
        <w:rPr>
          <w:rFonts w:ascii="宋体" w:hAnsi="宋体" w:eastAsia="宋体" w:cs="宋体"/>
          <w:spacing w:val="5"/>
          <w:sz w:val="20"/>
          <w:szCs w:val="20"/>
        </w:rPr>
        <w:t>、机械台班单价表》、《山</w:t>
      </w:r>
      <w:r>
        <w:rPr>
          <w:rFonts w:ascii="宋体" w:hAnsi="宋体" w:eastAsia="宋体" w:cs="宋体"/>
          <w:spacing w:val="6"/>
          <w:sz w:val="20"/>
          <w:szCs w:val="20"/>
        </w:rPr>
        <w:t>东省建设工程施工机械台班费用编制规则》、《山东省建设工程仪器仪表台班费用编制规则》及《关</w:t>
      </w:r>
      <w:r>
        <w:rPr>
          <w:rFonts w:ascii="宋体" w:hAnsi="宋体" w:eastAsia="宋体" w:cs="宋体"/>
          <w:spacing w:val="15"/>
          <w:sz w:val="20"/>
          <w:szCs w:val="20"/>
        </w:rPr>
        <w:t>于调整建设工程定额人工单价及各专业定额价目表的通知》</w:t>
      </w:r>
      <w:r>
        <w:rPr>
          <w:rFonts w:ascii="宋体" w:hAnsi="宋体" w:eastAsia="宋体" w:cs="宋体"/>
          <w:spacing w:val="-53"/>
          <w:sz w:val="20"/>
          <w:szCs w:val="20"/>
        </w:rPr>
        <w:t xml:space="preserve"> </w:t>
      </w:r>
      <w:r>
        <w:rPr>
          <w:rFonts w:ascii="宋体" w:hAnsi="宋体" w:eastAsia="宋体" w:cs="宋体"/>
          <w:spacing w:val="15"/>
          <w:sz w:val="20"/>
          <w:szCs w:val="20"/>
        </w:rPr>
        <w:t>以山东省住房和</w:t>
      </w:r>
      <w:r>
        <w:rPr>
          <w:rFonts w:ascii="宋体" w:hAnsi="宋体" w:eastAsia="宋体" w:cs="宋体"/>
          <w:spacing w:val="14"/>
          <w:sz w:val="20"/>
          <w:szCs w:val="20"/>
        </w:rPr>
        <w:t>城乡建设厅鲁建标字</w:t>
      </w:r>
      <w:r>
        <w:rPr>
          <w:rFonts w:ascii="宋体" w:hAnsi="宋体" w:eastAsia="宋体" w:cs="宋体"/>
          <w:spacing w:val="1"/>
          <w:sz w:val="20"/>
          <w:szCs w:val="20"/>
        </w:rPr>
        <w:t>〔2020〕24</w:t>
      </w:r>
      <w:r>
        <w:rPr>
          <w:rFonts w:ascii="宋体" w:hAnsi="宋体" w:eastAsia="宋体" w:cs="宋体"/>
          <w:spacing w:val="-27"/>
          <w:sz w:val="20"/>
          <w:szCs w:val="20"/>
        </w:rPr>
        <w:t xml:space="preserve"> </w:t>
      </w:r>
      <w:r>
        <w:rPr>
          <w:rFonts w:ascii="宋体" w:hAnsi="宋体" w:eastAsia="宋体" w:cs="宋体"/>
          <w:spacing w:val="1"/>
          <w:sz w:val="20"/>
          <w:szCs w:val="20"/>
        </w:rPr>
        <w:t>号文正式颁布，</w:t>
      </w:r>
      <w:r>
        <w:rPr>
          <w:rFonts w:ascii="宋体" w:hAnsi="宋体" w:eastAsia="宋体" w:cs="宋体"/>
          <w:spacing w:val="-60"/>
          <w:sz w:val="20"/>
          <w:szCs w:val="20"/>
        </w:rPr>
        <w:t xml:space="preserve"> </w:t>
      </w:r>
      <w:r>
        <w:rPr>
          <w:rFonts w:ascii="宋体" w:hAnsi="宋体" w:eastAsia="宋体" w:cs="宋体"/>
          <w:spacing w:val="1"/>
          <w:sz w:val="20"/>
          <w:szCs w:val="20"/>
        </w:rPr>
        <w:t>自</w:t>
      </w:r>
      <w:r>
        <w:rPr>
          <w:rFonts w:ascii="宋体" w:hAnsi="宋体" w:eastAsia="宋体" w:cs="宋体"/>
          <w:spacing w:val="-37"/>
          <w:sz w:val="20"/>
          <w:szCs w:val="20"/>
        </w:rPr>
        <w:t xml:space="preserve"> </w:t>
      </w:r>
      <w:r>
        <w:rPr>
          <w:rFonts w:ascii="宋体" w:hAnsi="宋体" w:eastAsia="宋体" w:cs="宋体"/>
          <w:spacing w:val="1"/>
          <w:sz w:val="20"/>
          <w:szCs w:val="20"/>
        </w:rPr>
        <w:t>2020</w:t>
      </w:r>
      <w:r>
        <w:rPr>
          <w:rFonts w:ascii="宋体" w:hAnsi="宋体" w:eastAsia="宋体" w:cs="宋体"/>
          <w:spacing w:val="-38"/>
          <w:sz w:val="20"/>
          <w:szCs w:val="20"/>
        </w:rPr>
        <w:t xml:space="preserve"> </w:t>
      </w:r>
      <w:r>
        <w:rPr>
          <w:rFonts w:ascii="宋体" w:hAnsi="宋体" w:eastAsia="宋体" w:cs="宋体"/>
          <w:spacing w:val="1"/>
          <w:sz w:val="20"/>
          <w:szCs w:val="20"/>
        </w:rPr>
        <w:t>年</w:t>
      </w:r>
      <w:r>
        <w:rPr>
          <w:rFonts w:ascii="宋体" w:hAnsi="宋体" w:eastAsia="宋体" w:cs="宋体"/>
          <w:spacing w:val="-25"/>
          <w:sz w:val="20"/>
          <w:szCs w:val="20"/>
        </w:rPr>
        <w:t xml:space="preserve"> </w:t>
      </w:r>
      <w:r>
        <w:rPr>
          <w:rFonts w:ascii="宋体" w:hAnsi="宋体" w:eastAsia="宋体" w:cs="宋体"/>
          <w:spacing w:val="1"/>
          <w:sz w:val="20"/>
          <w:szCs w:val="20"/>
        </w:rPr>
        <w:t>11</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25"/>
          <w:sz w:val="20"/>
          <w:szCs w:val="20"/>
        </w:rPr>
        <w:t xml:space="preserve"> </w:t>
      </w:r>
      <w:r>
        <w:rPr>
          <w:rFonts w:ascii="宋体" w:hAnsi="宋体" w:eastAsia="宋体" w:cs="宋体"/>
          <w:spacing w:val="1"/>
          <w:sz w:val="20"/>
          <w:szCs w:val="20"/>
        </w:rPr>
        <w:t>10 日起执行。</w:t>
      </w:r>
    </w:p>
    <w:p>
      <w:pPr>
        <w:spacing w:before="2" w:line="368" w:lineRule="auto"/>
        <w:ind w:left="5" w:right="211" w:firstLine="401"/>
        <w:rPr>
          <w:rFonts w:ascii="宋体" w:hAnsi="宋体" w:eastAsia="宋体" w:cs="宋体"/>
          <w:sz w:val="20"/>
          <w:szCs w:val="20"/>
        </w:rPr>
      </w:pPr>
      <w:r>
        <w:rPr>
          <w:rFonts w:ascii="宋体" w:hAnsi="宋体" w:eastAsia="宋体" w:cs="宋体"/>
          <w:spacing w:val="11"/>
          <w:sz w:val="20"/>
          <w:szCs w:val="20"/>
        </w:rPr>
        <w:t>《山东省建设工程费用项目组成及计算规则》与《山东省园林绿化工程消耗量定额》、《山东</w:t>
      </w:r>
      <w:r>
        <w:rPr>
          <w:rFonts w:ascii="宋体" w:hAnsi="宋体" w:eastAsia="宋体" w:cs="宋体"/>
          <w:spacing w:val="10"/>
          <w:sz w:val="20"/>
          <w:szCs w:val="20"/>
        </w:rPr>
        <w:t>省绿色建筑工程消耗量定额》及《山东省园林</w:t>
      </w:r>
      <w:r>
        <w:rPr>
          <w:rFonts w:ascii="宋体" w:hAnsi="宋体" w:eastAsia="宋体" w:cs="宋体"/>
          <w:spacing w:val="9"/>
          <w:sz w:val="20"/>
          <w:szCs w:val="20"/>
        </w:rPr>
        <w:t>绿化工程消耗量定额价目表》配套使用。</w:t>
      </w:r>
    </w:p>
    <w:p>
      <w:pPr>
        <w:spacing w:before="5" w:line="346" w:lineRule="auto"/>
        <w:ind w:left="3" w:right="208" w:firstLine="421"/>
        <w:rPr>
          <w:rFonts w:ascii="宋体" w:hAnsi="宋体" w:eastAsia="宋体" w:cs="宋体"/>
          <w:sz w:val="20"/>
          <w:szCs w:val="20"/>
        </w:rPr>
      </w:pPr>
      <w:r>
        <w:rPr>
          <w:rFonts w:ascii="宋体" w:hAnsi="宋体" w:eastAsia="宋体" w:cs="宋体"/>
          <w:spacing w:val="11"/>
          <w:sz w:val="20"/>
          <w:szCs w:val="20"/>
        </w:rPr>
        <w:t>5.《山东省园林绿化工程消耗量定额》、《山东</w:t>
      </w:r>
      <w:r>
        <w:rPr>
          <w:rFonts w:ascii="宋体" w:hAnsi="宋体" w:eastAsia="宋体" w:cs="宋体"/>
          <w:spacing w:val="10"/>
          <w:sz w:val="20"/>
          <w:szCs w:val="20"/>
        </w:rPr>
        <w:t>省绿色建筑工程消耗量定额》《山东省建设工</w:t>
      </w:r>
      <w:r>
        <w:rPr>
          <w:rFonts w:ascii="宋体" w:hAnsi="宋体" w:eastAsia="宋体" w:cs="宋体"/>
          <w:spacing w:val="11"/>
          <w:sz w:val="20"/>
          <w:szCs w:val="20"/>
        </w:rPr>
        <w:t>程施工机械台班费用编制规则》、《山东省建设工程仪器仪表台班费用编制规则》</w:t>
      </w:r>
      <w:r>
        <w:rPr>
          <w:rFonts w:ascii="宋体" w:hAnsi="宋体" w:eastAsia="宋体" w:cs="宋体"/>
          <w:spacing w:val="10"/>
          <w:sz w:val="20"/>
          <w:szCs w:val="20"/>
        </w:rPr>
        <w:t>、《山东省建设</w:t>
      </w:r>
      <w:r>
        <w:rPr>
          <w:rFonts w:ascii="宋体" w:hAnsi="宋体" w:eastAsia="宋体" w:cs="宋体"/>
          <w:spacing w:val="11"/>
          <w:sz w:val="20"/>
          <w:szCs w:val="20"/>
        </w:rPr>
        <w:t>工程费用项目组成及计算规则》、《山东省园林绿化工程消耗量定额价目表》</w:t>
      </w:r>
      <w:r>
        <w:rPr>
          <w:rFonts w:ascii="宋体" w:hAnsi="宋体" w:eastAsia="宋体" w:cs="宋体"/>
          <w:spacing w:val="10"/>
          <w:sz w:val="20"/>
          <w:szCs w:val="20"/>
        </w:rPr>
        <w:t>、《山东省人工、材</w:t>
      </w:r>
      <w:r>
        <w:rPr>
          <w:rFonts w:ascii="宋体" w:hAnsi="宋体" w:eastAsia="宋体" w:cs="宋体"/>
          <w:spacing w:val="9"/>
          <w:sz w:val="20"/>
          <w:szCs w:val="20"/>
        </w:rPr>
        <w:t>料、机械台班单价表》在山东省住房和城乡建设厅门户网站的“标准造价”专栏发布。凡我市</w:t>
      </w:r>
      <w:r>
        <w:rPr>
          <w:rFonts w:ascii="宋体" w:hAnsi="宋体" w:eastAsia="宋体" w:cs="宋体"/>
          <w:spacing w:val="-38"/>
          <w:sz w:val="20"/>
          <w:szCs w:val="20"/>
        </w:rPr>
        <w:t xml:space="preserve"> </w:t>
      </w:r>
      <w:r>
        <w:rPr>
          <w:rFonts w:ascii="宋体" w:hAnsi="宋体" w:eastAsia="宋体" w:cs="宋体"/>
          <w:spacing w:val="9"/>
          <w:sz w:val="20"/>
          <w:szCs w:val="20"/>
        </w:rPr>
        <w:t>2017</w:t>
      </w:r>
      <w:r>
        <w:rPr>
          <w:rFonts w:ascii="宋体" w:hAnsi="宋体" w:eastAsia="宋体" w:cs="宋体"/>
          <w:spacing w:val="8"/>
          <w:sz w:val="20"/>
          <w:szCs w:val="20"/>
        </w:rPr>
        <w:t>年</w:t>
      </w:r>
      <w:r>
        <w:rPr>
          <w:rFonts w:ascii="宋体" w:hAnsi="宋体" w:eastAsia="宋体" w:cs="宋体"/>
          <w:spacing w:val="-36"/>
          <w:sz w:val="20"/>
          <w:szCs w:val="20"/>
        </w:rPr>
        <w:t xml:space="preserve"> </w:t>
      </w:r>
      <w:r>
        <w:rPr>
          <w:rFonts w:ascii="宋体" w:hAnsi="宋体" w:eastAsia="宋体" w:cs="宋体"/>
          <w:spacing w:val="8"/>
          <w:sz w:val="20"/>
          <w:szCs w:val="20"/>
        </w:rPr>
        <w:t>7</w:t>
      </w:r>
      <w:r>
        <w:rPr>
          <w:rFonts w:ascii="宋体" w:hAnsi="宋体" w:eastAsia="宋体" w:cs="宋体"/>
          <w:spacing w:val="-41"/>
          <w:sz w:val="20"/>
          <w:szCs w:val="20"/>
        </w:rPr>
        <w:t xml:space="preserve"> </w:t>
      </w:r>
      <w:r>
        <w:rPr>
          <w:rFonts w:ascii="宋体" w:hAnsi="宋体" w:eastAsia="宋体" w:cs="宋体"/>
          <w:spacing w:val="8"/>
          <w:sz w:val="20"/>
          <w:szCs w:val="20"/>
        </w:rPr>
        <w:t>月5 日后建设工程项目均可按相应发布时间使用。</w:t>
      </w:r>
    </w:p>
    <w:p>
      <w:pPr>
        <w:spacing w:before="125" w:line="312" w:lineRule="auto"/>
        <w:ind w:left="3" w:right="242" w:firstLine="422"/>
        <w:rPr>
          <w:rFonts w:ascii="宋体" w:hAnsi="宋体" w:eastAsia="宋体" w:cs="宋体"/>
          <w:sz w:val="20"/>
          <w:szCs w:val="20"/>
        </w:rPr>
      </w:pPr>
      <w:r>
        <w:rPr>
          <w:rFonts w:ascii="宋体" w:hAnsi="宋体" w:eastAsia="宋体" w:cs="宋体"/>
          <w:spacing w:val="7"/>
          <w:sz w:val="20"/>
          <w:szCs w:val="20"/>
        </w:rPr>
        <w:t>6. 园林绿化工程费用计算程序是工程计价活动的依据。各种费率是编制最高投标限价的依据，</w:t>
      </w:r>
      <w:r>
        <w:rPr>
          <w:rFonts w:ascii="宋体" w:hAnsi="宋体" w:eastAsia="宋体" w:cs="宋体"/>
          <w:spacing w:val="10"/>
          <w:sz w:val="20"/>
          <w:szCs w:val="20"/>
        </w:rPr>
        <w:t>是其他计价活动的重要参考（其中规费、税金必须按规定计取，不得作为竞</w:t>
      </w:r>
      <w:r>
        <w:rPr>
          <w:rFonts w:ascii="宋体" w:hAnsi="宋体" w:eastAsia="宋体" w:cs="宋体"/>
          <w:spacing w:val="9"/>
          <w:sz w:val="20"/>
          <w:szCs w:val="20"/>
        </w:rPr>
        <w:t>争性费用）</w:t>
      </w:r>
    </w:p>
    <w:p>
      <w:pPr>
        <w:spacing w:before="122" w:line="278" w:lineRule="exact"/>
        <w:ind w:left="423"/>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关于增值税调整的说明</w:t>
      </w:r>
    </w:p>
    <w:p>
      <w:pPr>
        <w:tabs>
          <w:tab w:val="left" w:pos="9279"/>
        </w:tabs>
        <w:spacing w:before="122" w:line="369" w:lineRule="auto"/>
        <w:ind w:left="3" w:firstLine="436"/>
        <w:jc w:val="both"/>
        <w:rPr>
          <w:rFonts w:ascii="宋体" w:hAnsi="宋体" w:eastAsia="宋体" w:cs="宋体"/>
          <w:sz w:val="20"/>
          <w:szCs w:val="20"/>
        </w:rPr>
      </w:pPr>
      <w:r>
        <w:rPr>
          <w:rFonts w:ascii="宋体" w:hAnsi="宋体" w:eastAsia="宋体" w:cs="宋体"/>
          <w:spacing w:val="1"/>
          <w:sz w:val="20"/>
          <w:szCs w:val="20"/>
        </w:rPr>
        <w:t>山东省住房和城乡建设厅下发《关于调整建设工程计价依据增值税税率的通知》（鲁建标字</w:t>
      </w:r>
      <w:r>
        <w:rPr>
          <w:rFonts w:ascii="宋体" w:hAnsi="宋体" w:eastAsia="宋体" w:cs="宋体"/>
          <w:sz w:val="20"/>
          <w:szCs w:val="20"/>
        </w:rPr>
        <w:t xml:space="preserve">〔2019〕 </w:t>
      </w:r>
      <w:r>
        <w:rPr>
          <w:rFonts w:ascii="宋体" w:hAnsi="宋体" w:eastAsia="宋体" w:cs="宋体"/>
          <w:spacing w:val="6"/>
          <w:sz w:val="20"/>
          <w:szCs w:val="20"/>
        </w:rPr>
        <w:t>10</w:t>
      </w:r>
      <w:r>
        <w:rPr>
          <w:rFonts w:ascii="宋体" w:hAnsi="宋体" w:eastAsia="宋体" w:cs="宋体"/>
          <w:spacing w:val="-38"/>
          <w:sz w:val="20"/>
          <w:szCs w:val="20"/>
        </w:rPr>
        <w:t xml:space="preserve"> </w:t>
      </w:r>
      <w:r>
        <w:rPr>
          <w:rFonts w:ascii="宋体" w:hAnsi="宋体" w:eastAsia="宋体" w:cs="宋体"/>
          <w:spacing w:val="6"/>
          <w:sz w:val="20"/>
          <w:szCs w:val="20"/>
        </w:rPr>
        <w:t>号</w:t>
      </w:r>
      <w:r>
        <w:rPr>
          <w:rFonts w:ascii="宋体" w:hAnsi="宋体" w:eastAsia="宋体" w:cs="宋体"/>
          <w:spacing w:val="-12"/>
          <w:sz w:val="20"/>
          <w:szCs w:val="20"/>
        </w:rPr>
        <w:t>）</w:t>
      </w:r>
      <w:r>
        <w:rPr>
          <w:rFonts w:ascii="宋体" w:hAnsi="宋体" w:eastAsia="宋体" w:cs="宋体"/>
          <w:spacing w:val="-48"/>
          <w:sz w:val="20"/>
          <w:szCs w:val="20"/>
        </w:rPr>
        <w:t xml:space="preserve"> </w:t>
      </w:r>
      <w:r>
        <w:rPr>
          <w:rFonts w:ascii="宋体" w:hAnsi="宋体" w:eastAsia="宋体" w:cs="宋体"/>
          <w:spacing w:val="-12"/>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自</w:t>
      </w:r>
      <w:r>
        <w:rPr>
          <w:rFonts w:ascii="宋体" w:hAnsi="宋体" w:eastAsia="宋体" w:cs="宋体"/>
          <w:spacing w:val="-40"/>
          <w:sz w:val="20"/>
          <w:szCs w:val="20"/>
        </w:rPr>
        <w:t xml:space="preserve"> </w:t>
      </w:r>
      <w:r>
        <w:rPr>
          <w:rFonts w:ascii="宋体" w:hAnsi="宋体" w:eastAsia="宋体" w:cs="宋体"/>
          <w:spacing w:val="6"/>
          <w:sz w:val="20"/>
          <w:szCs w:val="20"/>
        </w:rPr>
        <w:t>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0"/>
          <w:sz w:val="20"/>
          <w:szCs w:val="20"/>
        </w:rPr>
        <w:t xml:space="preserve"> </w:t>
      </w:r>
      <w:r>
        <w:rPr>
          <w:rFonts w:ascii="宋体" w:hAnsi="宋体" w:eastAsia="宋体" w:cs="宋体"/>
          <w:spacing w:val="6"/>
          <w:sz w:val="20"/>
          <w:szCs w:val="20"/>
        </w:rPr>
        <w:t>4</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 日起执行。通知规定：《山东省建设工程费用项目组成及计算规则》</w:t>
      </w:r>
      <w:r>
        <w:rPr>
          <w:rFonts w:ascii="宋体" w:hAnsi="宋体" w:eastAsia="宋体" w:cs="宋体"/>
          <w:spacing w:val="-57"/>
          <w:sz w:val="20"/>
          <w:szCs w:val="20"/>
        </w:rPr>
        <w:t xml:space="preserve"> </w:t>
      </w:r>
      <w:r>
        <w:rPr>
          <w:rFonts w:ascii="宋体" w:hAnsi="宋体" w:eastAsia="宋体" w:cs="宋体"/>
          <w:spacing w:val="6"/>
          <w:sz w:val="20"/>
          <w:szCs w:val="20"/>
        </w:rPr>
        <w:t>中</w:t>
      </w:r>
      <w:r>
        <w:rPr>
          <w:rFonts w:ascii="宋体" w:hAnsi="宋体" w:eastAsia="宋体" w:cs="宋体"/>
          <w:spacing w:val="11"/>
          <w:sz w:val="20"/>
          <w:szCs w:val="20"/>
        </w:rPr>
        <w:t>的税率（增值税一般计税）从</w:t>
      </w:r>
      <w:r>
        <w:rPr>
          <w:rFonts w:ascii="宋体" w:hAnsi="宋体" w:eastAsia="宋体" w:cs="宋体"/>
          <w:spacing w:val="-25"/>
          <w:sz w:val="20"/>
          <w:szCs w:val="20"/>
        </w:rPr>
        <w:t xml:space="preserve"> </w:t>
      </w:r>
      <w:r>
        <w:rPr>
          <w:rFonts w:ascii="宋体" w:hAnsi="宋体" w:eastAsia="宋体" w:cs="宋体"/>
          <w:spacing w:val="11"/>
          <w:sz w:val="20"/>
          <w:szCs w:val="20"/>
        </w:rPr>
        <w:t>10%调整为9%，其他费率不变。增值税一般计税下，材料费、</w:t>
      </w:r>
      <w:r>
        <w:rPr>
          <w:rFonts w:ascii="宋体" w:hAnsi="宋体" w:eastAsia="宋体" w:cs="宋体"/>
          <w:spacing w:val="10"/>
          <w:sz w:val="20"/>
          <w:szCs w:val="20"/>
        </w:rPr>
        <w:t>施工机</w:t>
      </w:r>
      <w:r>
        <w:rPr>
          <w:rFonts w:ascii="宋体" w:hAnsi="宋体" w:eastAsia="宋体" w:cs="宋体"/>
          <w:spacing w:val="13"/>
          <w:sz w:val="20"/>
          <w:szCs w:val="20"/>
        </w:rPr>
        <w:t>具使用费在扣除进项税额时，原适用</w:t>
      </w:r>
      <w:r>
        <w:rPr>
          <w:rFonts w:ascii="宋体" w:hAnsi="宋体" w:eastAsia="宋体" w:cs="宋体"/>
          <w:spacing w:val="-15"/>
          <w:sz w:val="20"/>
          <w:szCs w:val="20"/>
        </w:rPr>
        <w:t xml:space="preserve"> </w:t>
      </w:r>
      <w:r>
        <w:rPr>
          <w:rFonts w:ascii="宋体" w:hAnsi="宋体" w:eastAsia="宋体" w:cs="宋体"/>
          <w:spacing w:val="13"/>
          <w:sz w:val="20"/>
          <w:szCs w:val="20"/>
        </w:rPr>
        <w:t>16%和</w:t>
      </w:r>
      <w:r>
        <w:rPr>
          <w:rFonts w:ascii="宋体" w:hAnsi="宋体" w:eastAsia="宋体" w:cs="宋体"/>
          <w:spacing w:val="-24"/>
          <w:sz w:val="20"/>
          <w:szCs w:val="20"/>
        </w:rPr>
        <w:t xml:space="preserve"> </w:t>
      </w:r>
      <w:r>
        <w:rPr>
          <w:rFonts w:ascii="宋体" w:hAnsi="宋体" w:eastAsia="宋体" w:cs="宋体"/>
          <w:spacing w:val="13"/>
          <w:sz w:val="20"/>
          <w:szCs w:val="20"/>
        </w:rPr>
        <w:t>10%税率的，税率分别调整为</w:t>
      </w:r>
      <w:r>
        <w:rPr>
          <w:rFonts w:ascii="宋体" w:hAnsi="宋体" w:eastAsia="宋体" w:cs="宋体"/>
          <w:spacing w:val="-25"/>
          <w:sz w:val="20"/>
          <w:szCs w:val="20"/>
        </w:rPr>
        <w:t xml:space="preserve"> </w:t>
      </w:r>
      <w:r>
        <w:rPr>
          <w:rFonts w:ascii="宋体" w:hAnsi="宋体" w:eastAsia="宋体" w:cs="宋体"/>
          <w:spacing w:val="13"/>
          <w:sz w:val="20"/>
          <w:szCs w:val="20"/>
        </w:rPr>
        <w:t>13%、9%。</w:t>
      </w:r>
    </w:p>
    <w:p>
      <w:pPr>
        <w:spacing w:before="3" w:line="276" w:lineRule="exact"/>
        <w:ind w:left="427"/>
        <w:rPr>
          <w:rFonts w:ascii="宋体" w:hAnsi="宋体" w:eastAsia="宋体" w:cs="宋体"/>
          <w:sz w:val="20"/>
          <w:szCs w:val="20"/>
        </w:rPr>
      </w:pPr>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22" w:line="276" w:lineRule="exact"/>
        <w:ind w:left="432"/>
        <w:rPr>
          <w:rFonts w:ascii="宋体" w:hAnsi="宋体" w:eastAsia="宋体" w:cs="宋体"/>
          <w:sz w:val="20"/>
          <w:szCs w:val="20"/>
        </w:rPr>
      </w:pPr>
      <w:r>
        <w:rPr>
          <w:rFonts w:ascii="宋体" w:hAnsi="宋体" w:eastAsia="宋体" w:cs="宋体"/>
          <w:spacing w:val="11"/>
          <w:position w:val="1"/>
          <w:sz w:val="20"/>
          <w:szCs w:val="20"/>
        </w:rPr>
        <w:t>山东省住房和城乡建设厅《关于调整建设工程定额人工单价及各</w:t>
      </w:r>
      <w:r>
        <w:rPr>
          <w:rFonts w:ascii="宋体" w:hAnsi="宋体" w:eastAsia="宋体" w:cs="宋体"/>
          <w:spacing w:val="10"/>
          <w:position w:val="1"/>
          <w:sz w:val="20"/>
          <w:szCs w:val="20"/>
        </w:rPr>
        <w:t>专业定额价目表的通知》（鲁</w:t>
      </w:r>
    </w:p>
    <w:p>
      <w:pPr>
        <w:spacing w:line="276" w:lineRule="exact"/>
        <w:rPr>
          <w:rFonts w:ascii="宋体" w:hAnsi="宋体" w:eastAsia="宋体" w:cs="宋体"/>
          <w:sz w:val="20"/>
          <w:szCs w:val="20"/>
        </w:rPr>
        <w:sectPr>
          <w:footerReference r:id="rId188" w:type="default"/>
          <w:pgSz w:w="11906" w:h="16839"/>
          <w:pgMar w:top="400" w:right="1209" w:bottom="1212" w:left="1416"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1" w:right="62" w:hanging="1"/>
        <w:rPr>
          <w:rFonts w:ascii="宋体" w:hAnsi="宋体" w:eastAsia="宋体" w:cs="宋体"/>
          <w:sz w:val="20"/>
          <w:szCs w:val="20"/>
        </w:rPr>
      </w:pPr>
      <w:bookmarkStart w:id="95" w:name="bookmark164"/>
      <w:bookmarkEnd w:id="95"/>
      <w:r>
        <w:rPr>
          <w:rFonts w:ascii="宋体" w:hAnsi="宋体" w:eastAsia="宋体" w:cs="宋体"/>
          <w:spacing w:val="10"/>
          <w:sz w:val="20"/>
          <w:szCs w:val="20"/>
        </w:rPr>
        <w:t>建标字〔2020〕24</w:t>
      </w:r>
      <w:r>
        <w:rPr>
          <w:rFonts w:ascii="宋体" w:hAnsi="宋体" w:eastAsia="宋体" w:cs="宋体"/>
          <w:spacing w:val="-37"/>
          <w:sz w:val="20"/>
          <w:szCs w:val="20"/>
        </w:rPr>
        <w:t xml:space="preserve"> </w:t>
      </w:r>
      <w:r>
        <w:rPr>
          <w:rFonts w:ascii="宋体" w:hAnsi="宋体" w:eastAsia="宋体" w:cs="宋体"/>
          <w:spacing w:val="10"/>
          <w:sz w:val="20"/>
          <w:szCs w:val="20"/>
        </w:rPr>
        <w:t>号）规定：我省</w:t>
      </w:r>
      <w:r>
        <w:rPr>
          <w:rFonts w:ascii="宋体" w:hAnsi="宋体" w:eastAsia="宋体" w:cs="宋体"/>
          <w:spacing w:val="-39"/>
          <w:sz w:val="20"/>
          <w:szCs w:val="20"/>
        </w:rPr>
        <w:t xml:space="preserve"> </w:t>
      </w:r>
      <w:r>
        <w:rPr>
          <w:rFonts w:ascii="宋体" w:hAnsi="宋体" w:eastAsia="宋体" w:cs="宋体"/>
          <w:spacing w:val="10"/>
          <w:sz w:val="20"/>
          <w:szCs w:val="20"/>
        </w:rPr>
        <w:t>2016</w:t>
      </w:r>
      <w:r>
        <w:rPr>
          <w:rFonts w:ascii="宋体" w:hAnsi="宋体" w:eastAsia="宋体" w:cs="宋体"/>
          <w:spacing w:val="-38"/>
          <w:sz w:val="20"/>
          <w:szCs w:val="20"/>
        </w:rPr>
        <w:t xml:space="preserve"> </w:t>
      </w:r>
      <w:r>
        <w:rPr>
          <w:rFonts w:ascii="宋体" w:hAnsi="宋体" w:eastAsia="宋体" w:cs="宋体"/>
          <w:spacing w:val="10"/>
          <w:sz w:val="20"/>
          <w:szCs w:val="20"/>
        </w:rPr>
        <w:t>版园林绿化工程消耗量定额的人工综合工日单价调</w:t>
      </w:r>
      <w:r>
        <w:rPr>
          <w:rFonts w:ascii="宋体" w:hAnsi="宋体" w:eastAsia="宋体" w:cs="宋体"/>
          <w:spacing w:val="9"/>
          <w:sz w:val="20"/>
          <w:szCs w:val="20"/>
        </w:rPr>
        <w:t>整为：</w:t>
      </w:r>
      <w:r>
        <w:rPr>
          <w:rFonts w:ascii="宋体" w:hAnsi="宋体" w:eastAsia="宋体" w:cs="宋体"/>
          <w:spacing w:val="7"/>
          <w:sz w:val="20"/>
          <w:szCs w:val="20"/>
        </w:rPr>
        <w:t>园林绿化工程</w:t>
      </w:r>
      <w:r>
        <w:rPr>
          <w:rFonts w:ascii="宋体" w:hAnsi="宋体" w:eastAsia="宋体" w:cs="宋体"/>
          <w:spacing w:val="-22"/>
          <w:sz w:val="20"/>
          <w:szCs w:val="20"/>
        </w:rPr>
        <w:t xml:space="preserve"> </w:t>
      </w:r>
      <w:r>
        <w:rPr>
          <w:rFonts w:ascii="宋体" w:hAnsi="宋体" w:eastAsia="宋体" w:cs="宋体"/>
          <w:spacing w:val="7"/>
          <w:sz w:val="20"/>
          <w:szCs w:val="20"/>
        </w:rPr>
        <w:t>117</w:t>
      </w:r>
      <w:r>
        <w:rPr>
          <w:rFonts w:ascii="宋体" w:hAnsi="宋体" w:eastAsia="宋体" w:cs="宋体"/>
          <w:spacing w:val="-43"/>
          <w:sz w:val="20"/>
          <w:szCs w:val="20"/>
        </w:rPr>
        <w:t xml:space="preserve"> </w:t>
      </w:r>
      <w:r>
        <w:rPr>
          <w:rFonts w:ascii="宋体" w:hAnsi="宋体" w:eastAsia="宋体" w:cs="宋体"/>
          <w:spacing w:val="7"/>
          <w:sz w:val="20"/>
          <w:szCs w:val="20"/>
        </w:rPr>
        <w:t>元/工日。《山东省建设工程施工机械台班费用编制规则》（鲁建标字〔2</w:t>
      </w:r>
      <w:r>
        <w:rPr>
          <w:rFonts w:ascii="宋体" w:hAnsi="宋体" w:eastAsia="宋体" w:cs="宋体"/>
          <w:spacing w:val="6"/>
          <w:sz w:val="20"/>
          <w:szCs w:val="20"/>
        </w:rPr>
        <w:t>016〕39</w:t>
      </w:r>
      <w:r>
        <w:rPr>
          <w:rFonts w:ascii="宋体" w:hAnsi="宋体" w:eastAsia="宋体" w:cs="宋体"/>
          <w:spacing w:val="5"/>
          <w:sz w:val="20"/>
          <w:szCs w:val="20"/>
        </w:rPr>
        <w:t>号）中的人工单价调整为</w:t>
      </w:r>
      <w:r>
        <w:rPr>
          <w:rFonts w:ascii="宋体" w:hAnsi="宋体" w:eastAsia="宋体" w:cs="宋体"/>
          <w:spacing w:val="-22"/>
          <w:sz w:val="20"/>
          <w:szCs w:val="20"/>
        </w:rPr>
        <w:t xml:space="preserve"> </w:t>
      </w:r>
      <w:r>
        <w:rPr>
          <w:rFonts w:ascii="宋体" w:hAnsi="宋体" w:eastAsia="宋体" w:cs="宋体"/>
          <w:spacing w:val="5"/>
          <w:sz w:val="20"/>
          <w:szCs w:val="20"/>
        </w:rPr>
        <w:t>130</w:t>
      </w:r>
      <w:r>
        <w:rPr>
          <w:rFonts w:ascii="宋体" w:hAnsi="宋体" w:eastAsia="宋体" w:cs="宋体"/>
          <w:spacing w:val="-43"/>
          <w:sz w:val="20"/>
          <w:szCs w:val="20"/>
        </w:rPr>
        <w:t xml:space="preserve"> </w:t>
      </w:r>
      <w:r>
        <w:rPr>
          <w:rFonts w:ascii="宋体" w:hAnsi="宋体" w:eastAsia="宋体" w:cs="宋体"/>
          <w:spacing w:val="5"/>
          <w:sz w:val="20"/>
          <w:szCs w:val="20"/>
        </w:rPr>
        <w:t>元/工日。该定额人工综合工日单价自2020</w:t>
      </w:r>
      <w:r>
        <w:rPr>
          <w:rFonts w:ascii="宋体" w:hAnsi="宋体" w:eastAsia="宋体" w:cs="宋体"/>
          <w:spacing w:val="-38"/>
          <w:sz w:val="20"/>
          <w:szCs w:val="20"/>
        </w:rPr>
        <w:t xml:space="preserve"> </w:t>
      </w:r>
      <w:r>
        <w:rPr>
          <w:rFonts w:ascii="宋体" w:hAnsi="宋体" w:eastAsia="宋体" w:cs="宋体"/>
          <w:spacing w:val="5"/>
          <w:sz w:val="20"/>
          <w:szCs w:val="20"/>
        </w:rPr>
        <w:t>年</w:t>
      </w:r>
      <w:r>
        <w:rPr>
          <w:rFonts w:ascii="宋体" w:hAnsi="宋体" w:eastAsia="宋体" w:cs="宋体"/>
          <w:spacing w:val="-25"/>
          <w:sz w:val="20"/>
          <w:szCs w:val="20"/>
        </w:rPr>
        <w:t xml:space="preserve"> </w:t>
      </w:r>
      <w:r>
        <w:rPr>
          <w:rFonts w:ascii="宋体" w:hAnsi="宋体" w:eastAsia="宋体" w:cs="宋体"/>
          <w:spacing w:val="5"/>
          <w:sz w:val="20"/>
          <w:szCs w:val="20"/>
        </w:rPr>
        <w:t>11</w:t>
      </w:r>
      <w:r>
        <w:rPr>
          <w:rFonts w:ascii="宋体" w:hAnsi="宋体" w:eastAsia="宋体" w:cs="宋体"/>
          <w:spacing w:val="-38"/>
          <w:sz w:val="20"/>
          <w:szCs w:val="20"/>
        </w:rPr>
        <w:t xml:space="preserve"> </w:t>
      </w:r>
      <w:r>
        <w:rPr>
          <w:rFonts w:ascii="宋体" w:hAnsi="宋体" w:eastAsia="宋体" w:cs="宋体"/>
          <w:spacing w:val="5"/>
          <w:sz w:val="20"/>
          <w:szCs w:val="20"/>
        </w:rPr>
        <w:t>月</w:t>
      </w:r>
      <w:r>
        <w:rPr>
          <w:rFonts w:ascii="宋体" w:hAnsi="宋体" w:eastAsia="宋体" w:cs="宋体"/>
          <w:spacing w:val="-25"/>
          <w:sz w:val="20"/>
          <w:szCs w:val="20"/>
        </w:rPr>
        <w:t xml:space="preserve"> </w:t>
      </w:r>
      <w:r>
        <w:rPr>
          <w:rFonts w:ascii="宋体" w:hAnsi="宋体" w:eastAsia="宋体" w:cs="宋体"/>
          <w:spacing w:val="5"/>
          <w:sz w:val="20"/>
          <w:szCs w:val="20"/>
        </w:rPr>
        <w:t xml:space="preserve">10 </w:t>
      </w:r>
      <w:r>
        <w:rPr>
          <w:rFonts w:ascii="宋体" w:hAnsi="宋体" w:eastAsia="宋体" w:cs="宋体"/>
          <w:spacing w:val="4"/>
          <w:sz w:val="20"/>
          <w:szCs w:val="20"/>
        </w:rPr>
        <w:t>日执行。</w:t>
      </w:r>
    </w:p>
    <w:p>
      <w:pPr>
        <w:spacing w:line="369" w:lineRule="auto"/>
        <w:ind w:left="1" w:right="62" w:firstLine="417"/>
        <w:jc w:val="both"/>
        <w:rPr>
          <w:rFonts w:ascii="宋体" w:hAnsi="宋体" w:eastAsia="宋体" w:cs="宋体"/>
          <w:sz w:val="20"/>
          <w:szCs w:val="20"/>
        </w:rPr>
      </w:pPr>
      <w:r>
        <w:rPr>
          <w:rFonts w:ascii="宋体" w:hAnsi="宋体" w:eastAsia="宋体" w:cs="宋体"/>
          <w:spacing w:val="11"/>
          <w:sz w:val="20"/>
          <w:szCs w:val="20"/>
        </w:rPr>
        <w:t>淄博市住房和城乡建设局《关于转发山东省住房和城乡建设厅〈关于调整建设工程定</w:t>
      </w:r>
      <w:r>
        <w:rPr>
          <w:rFonts w:ascii="宋体" w:hAnsi="宋体" w:eastAsia="宋体" w:cs="宋体"/>
          <w:spacing w:val="10"/>
          <w:sz w:val="20"/>
          <w:szCs w:val="20"/>
        </w:rPr>
        <w:t>额人工单</w:t>
      </w:r>
      <w:r>
        <w:rPr>
          <w:rFonts w:ascii="宋体" w:hAnsi="宋体" w:eastAsia="宋体" w:cs="宋体"/>
          <w:spacing w:val="11"/>
          <w:sz w:val="20"/>
          <w:szCs w:val="20"/>
        </w:rPr>
        <w:t>价及各专业定额价目表的通知〉的通知》（淄建发〔2020〕215</w:t>
      </w:r>
      <w:r>
        <w:rPr>
          <w:rFonts w:ascii="宋体" w:hAnsi="宋体" w:eastAsia="宋体" w:cs="宋体"/>
          <w:spacing w:val="-37"/>
          <w:sz w:val="20"/>
          <w:szCs w:val="20"/>
        </w:rPr>
        <w:t xml:space="preserve"> </w:t>
      </w:r>
      <w:r>
        <w:rPr>
          <w:rFonts w:ascii="宋体" w:hAnsi="宋体" w:eastAsia="宋体" w:cs="宋体"/>
          <w:spacing w:val="11"/>
          <w:sz w:val="20"/>
          <w:szCs w:val="20"/>
        </w:rPr>
        <w:t>号）规定：园林绿化工程</w:t>
      </w:r>
      <w:r>
        <w:rPr>
          <w:rFonts w:ascii="宋体" w:hAnsi="宋体" w:eastAsia="宋体" w:cs="宋体"/>
          <w:spacing w:val="10"/>
          <w:sz w:val="20"/>
          <w:szCs w:val="20"/>
        </w:rPr>
        <w:t>定额人工</w:t>
      </w:r>
      <w:r>
        <w:rPr>
          <w:rFonts w:ascii="宋体" w:hAnsi="宋体" w:eastAsia="宋体" w:cs="宋体"/>
          <w:spacing w:val="4"/>
          <w:sz w:val="20"/>
          <w:szCs w:val="20"/>
        </w:rPr>
        <w:t>市场指导单价为</w:t>
      </w:r>
      <w:r>
        <w:rPr>
          <w:rFonts w:ascii="宋体" w:hAnsi="宋体" w:eastAsia="宋体" w:cs="宋体"/>
          <w:spacing w:val="-4"/>
          <w:sz w:val="20"/>
          <w:szCs w:val="20"/>
        </w:rPr>
        <w:t xml:space="preserve"> </w:t>
      </w:r>
      <w:r>
        <w:rPr>
          <w:rFonts w:ascii="宋体" w:hAnsi="宋体" w:eastAsia="宋体" w:cs="宋体"/>
          <w:spacing w:val="4"/>
          <w:sz w:val="20"/>
          <w:szCs w:val="20"/>
        </w:rPr>
        <w:t>110</w:t>
      </w:r>
      <w:r>
        <w:rPr>
          <w:rFonts w:ascii="宋体" w:hAnsi="宋体" w:eastAsia="宋体" w:cs="宋体"/>
          <w:spacing w:val="-43"/>
          <w:sz w:val="20"/>
          <w:szCs w:val="20"/>
        </w:rPr>
        <w:t xml:space="preserve"> </w:t>
      </w:r>
      <w:r>
        <w:rPr>
          <w:rFonts w:ascii="宋体" w:hAnsi="宋体" w:eastAsia="宋体" w:cs="宋体"/>
          <w:spacing w:val="4"/>
          <w:sz w:val="20"/>
          <w:szCs w:val="20"/>
        </w:rPr>
        <w:t>元/工日。该定额人工市场指导单价自2020</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25"/>
          <w:sz w:val="20"/>
          <w:szCs w:val="20"/>
        </w:rPr>
        <w:t xml:space="preserve"> </w:t>
      </w:r>
      <w:r>
        <w:rPr>
          <w:rFonts w:ascii="宋体" w:hAnsi="宋体" w:eastAsia="宋体" w:cs="宋体"/>
          <w:spacing w:val="4"/>
          <w:sz w:val="20"/>
          <w:szCs w:val="20"/>
        </w:rPr>
        <w:t>12</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5"/>
          <w:sz w:val="20"/>
          <w:szCs w:val="20"/>
        </w:rPr>
        <w:t xml:space="preserve"> </w:t>
      </w:r>
      <w:r>
        <w:rPr>
          <w:rFonts w:ascii="宋体" w:hAnsi="宋体" w:eastAsia="宋体" w:cs="宋体"/>
          <w:spacing w:val="4"/>
          <w:sz w:val="20"/>
          <w:szCs w:val="20"/>
        </w:rPr>
        <w:t>15 日执行。</w:t>
      </w:r>
    </w:p>
    <w:p>
      <w:pPr>
        <w:spacing w:before="5" w:line="368" w:lineRule="auto"/>
        <w:ind w:right="62" w:firstLine="414"/>
        <w:jc w:val="both"/>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省价人工费应作为工程造价中总价措施费、企业管理费、利润等各项费用的计算基础。我市发布的建设工程定额人工市场指导单价是我市行政区域内国有投资项目编制最高投标</w:t>
      </w:r>
      <w:r>
        <w:rPr>
          <w:rFonts w:ascii="宋体" w:hAnsi="宋体" w:eastAsia="宋体" w:cs="宋体"/>
          <w:spacing w:val="10"/>
          <w:sz w:val="20"/>
          <w:szCs w:val="20"/>
        </w:rPr>
        <w:t>限价的依据，也</w:t>
      </w:r>
      <w:r>
        <w:rPr>
          <w:rFonts w:ascii="宋体" w:hAnsi="宋体" w:eastAsia="宋体" w:cs="宋体"/>
          <w:spacing w:val="9"/>
          <w:sz w:val="20"/>
          <w:szCs w:val="20"/>
        </w:rPr>
        <w:t>是投标报价、工程结算等工程计价活动的参考。</w:t>
      </w:r>
    </w:p>
    <w:p>
      <w:pPr>
        <w:spacing w:line="278" w:lineRule="exact"/>
        <w:ind w:left="421"/>
        <w:rPr>
          <w:rFonts w:ascii="宋体" w:hAnsi="宋体" w:eastAsia="宋体" w:cs="宋体"/>
          <w:sz w:val="20"/>
          <w:szCs w:val="20"/>
        </w:rPr>
      </w:pPr>
      <w:r>
        <w:rPr>
          <w:rFonts w:ascii="宋体" w:hAnsi="宋体" w:eastAsia="宋体" w:cs="宋体"/>
          <w:b/>
          <w:bCs/>
          <w:spacing w:val="1"/>
          <w:position w:val="1"/>
          <w:sz w:val="20"/>
          <w:szCs w:val="20"/>
        </w:rPr>
        <w:t>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3" w:line="368" w:lineRule="auto"/>
        <w:ind w:right="62" w:firstLine="412"/>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规费按山东省住房和城乡建设厅《关于调整建设工程费用规则的通知》（鲁建标字〔</w:t>
      </w:r>
      <w:r>
        <w:rPr>
          <w:rFonts w:ascii="宋体" w:hAnsi="宋体" w:eastAsia="宋体" w:cs="宋体"/>
          <w:spacing w:val="12"/>
          <w:sz w:val="20"/>
          <w:szCs w:val="20"/>
        </w:rPr>
        <w:t>2022〕7</w:t>
      </w:r>
      <w:r>
        <w:rPr>
          <w:rFonts w:ascii="宋体" w:hAnsi="宋体" w:eastAsia="宋体" w:cs="宋体"/>
          <w:spacing w:val="11"/>
          <w:sz w:val="20"/>
          <w:szCs w:val="20"/>
        </w:rPr>
        <w:t>号）文件执行，其中安全文明施工费费率执行山东省住房和城乡建设厅《关于调整</w:t>
      </w:r>
      <w:r>
        <w:rPr>
          <w:rFonts w:ascii="宋体" w:hAnsi="宋体" w:eastAsia="宋体" w:cs="宋体"/>
          <w:spacing w:val="10"/>
          <w:sz w:val="20"/>
          <w:szCs w:val="20"/>
        </w:rPr>
        <w:t>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3" w:line="278" w:lineRule="exact"/>
        <w:ind w:left="404"/>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7" w:line="220" w:lineRule="auto"/>
        <w:ind w:left="418"/>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6" w:line="277" w:lineRule="exact"/>
        <w:ind w:left="404"/>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8" w:line="220" w:lineRule="auto"/>
        <w:ind w:left="418"/>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8" w:line="278" w:lineRule="exact"/>
        <w:ind w:left="404"/>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5" w:line="223" w:lineRule="auto"/>
        <w:ind w:left="418"/>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5" w:line="276" w:lineRule="exact"/>
        <w:ind w:left="404"/>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23" w:line="368" w:lineRule="auto"/>
        <w:ind w:left="1" w:right="65" w:firstLine="416"/>
        <w:rPr>
          <w:rFonts w:ascii="宋体" w:hAnsi="宋体" w:eastAsia="宋体" w:cs="宋体"/>
          <w:sz w:val="20"/>
          <w:szCs w:val="20"/>
        </w:rPr>
      </w:pPr>
      <w:r>
        <w:rPr>
          <w:rFonts w:ascii="宋体" w:hAnsi="宋体" w:eastAsia="宋体" w:cs="宋体"/>
          <w:spacing w:val="7"/>
          <w:sz w:val="20"/>
          <w:szCs w:val="20"/>
        </w:rPr>
        <w:t>编制最高投标限价、投标报价时，应依据建设工程创建</w:t>
      </w:r>
      <w:r>
        <w:rPr>
          <w:rFonts w:ascii="宋体" w:hAnsi="宋体" w:eastAsia="宋体" w:cs="宋体"/>
          <w:spacing w:val="6"/>
          <w:sz w:val="20"/>
          <w:szCs w:val="20"/>
        </w:rPr>
        <w:t>目标按省（鲁建标字〔2022〕7</w:t>
      </w:r>
      <w:r>
        <w:rPr>
          <w:rFonts w:ascii="宋体" w:hAnsi="宋体" w:eastAsia="宋体" w:cs="宋体"/>
          <w:spacing w:val="-42"/>
          <w:sz w:val="20"/>
          <w:szCs w:val="20"/>
        </w:rPr>
        <w:t xml:space="preserve"> </w:t>
      </w:r>
      <w:r>
        <w:rPr>
          <w:rFonts w:ascii="宋体" w:hAnsi="宋体" w:eastAsia="宋体" w:cs="宋体"/>
          <w:spacing w:val="6"/>
          <w:sz w:val="20"/>
          <w:szCs w:val="20"/>
        </w:rPr>
        <w:t>号）发布</w:t>
      </w:r>
      <w:r>
        <w:rPr>
          <w:rFonts w:ascii="宋体" w:hAnsi="宋体" w:eastAsia="宋体" w:cs="宋体"/>
          <w:spacing w:val="11"/>
          <w:sz w:val="20"/>
          <w:szCs w:val="20"/>
        </w:rPr>
        <w:t>费率计列优质优价费用；竣工结算时，建设工程达到合同约定的创建目标</w:t>
      </w:r>
      <w:r>
        <w:rPr>
          <w:rFonts w:ascii="宋体" w:hAnsi="宋体" w:eastAsia="宋体" w:cs="宋体"/>
          <w:spacing w:val="10"/>
          <w:sz w:val="20"/>
          <w:szCs w:val="20"/>
        </w:rPr>
        <w:t>时，按照达到等次计取优</w:t>
      </w:r>
      <w:r>
        <w:rPr>
          <w:rFonts w:ascii="宋体" w:hAnsi="宋体" w:eastAsia="宋体" w:cs="宋体"/>
          <w:spacing w:val="11"/>
          <w:sz w:val="20"/>
          <w:szCs w:val="20"/>
        </w:rPr>
        <w:t>质优价费用；未达到或超出合同约定的目标时，合同有明确约定的，根据</w:t>
      </w:r>
      <w:r>
        <w:rPr>
          <w:rFonts w:ascii="宋体" w:hAnsi="宋体" w:eastAsia="宋体" w:cs="宋体"/>
          <w:spacing w:val="10"/>
          <w:sz w:val="20"/>
          <w:szCs w:val="20"/>
        </w:rPr>
        <w:t>合同约定计取；合同未明</w:t>
      </w:r>
      <w:r>
        <w:rPr>
          <w:rFonts w:ascii="宋体" w:hAnsi="宋体" w:eastAsia="宋体" w:cs="宋体"/>
          <w:spacing w:val="8"/>
          <w:sz w:val="20"/>
          <w:szCs w:val="20"/>
        </w:rPr>
        <w:t>确约定的，由发承包双方协商确定。</w:t>
      </w:r>
    </w:p>
    <w:p>
      <w:pPr>
        <w:spacing w:before="5" w:line="279" w:lineRule="exact"/>
        <w:ind w:left="404"/>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22" w:line="369" w:lineRule="auto"/>
        <w:ind w:right="63" w:firstLine="417"/>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编制最高投标限价、投标报价、工程结算时按淄博市住房和城乡建设局《关于发布淄博</w:t>
      </w:r>
      <w:r>
        <w:rPr>
          <w:rFonts w:ascii="宋体" w:hAnsi="宋体" w:eastAsia="宋体" w:cs="宋体"/>
          <w:spacing w:val="10"/>
          <w:sz w:val="20"/>
          <w:szCs w:val="20"/>
        </w:rPr>
        <w:t>市建设工程规费计取标准的通知》（淄建发〔2022〕11号）文件规定执</w:t>
      </w:r>
      <w:r>
        <w:rPr>
          <w:rFonts w:ascii="宋体" w:hAnsi="宋体" w:eastAsia="宋体" w:cs="宋体"/>
          <w:spacing w:val="9"/>
          <w:sz w:val="20"/>
          <w:szCs w:val="20"/>
        </w:rPr>
        <w:t>行。</w:t>
      </w:r>
    </w:p>
    <w:p>
      <w:pPr>
        <w:spacing w:line="276" w:lineRule="exact"/>
        <w:ind w:left="438"/>
        <w:rPr>
          <w:rFonts w:ascii="宋体" w:hAnsi="宋体" w:eastAsia="宋体" w:cs="宋体"/>
          <w:sz w:val="20"/>
          <w:szCs w:val="20"/>
        </w:rPr>
      </w:pPr>
      <w:r>
        <w:rPr>
          <w:rFonts w:ascii="宋体" w:hAnsi="宋体" w:eastAsia="宋体" w:cs="宋体"/>
          <w:b/>
          <w:bCs/>
          <w:spacing w:val="2"/>
          <w:position w:val="1"/>
          <w:sz w:val="20"/>
          <w:szCs w:val="20"/>
        </w:rPr>
        <w:t>10.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关于计价依据的适用范围</w:t>
      </w:r>
    </w:p>
    <w:p>
      <w:pPr>
        <w:spacing w:before="126" w:line="368" w:lineRule="auto"/>
        <w:ind w:right="63" w:firstLine="411"/>
        <w:rPr>
          <w:rFonts w:ascii="宋体" w:hAnsi="宋体" w:eastAsia="宋体" w:cs="宋体"/>
          <w:sz w:val="20"/>
          <w:szCs w:val="20"/>
        </w:rPr>
      </w:pPr>
      <w:r>
        <w:rPr>
          <w:rFonts w:ascii="宋体" w:hAnsi="宋体" w:eastAsia="宋体" w:cs="宋体"/>
          <w:spacing w:val="11"/>
          <w:sz w:val="20"/>
          <w:szCs w:val="20"/>
        </w:rPr>
        <w:t>本计价依据适用于我市行政区域内的园林绿化、园路、园桥、园林景观工程的新建、扩建和改</w:t>
      </w:r>
      <w:r>
        <w:rPr>
          <w:rFonts w:ascii="宋体" w:hAnsi="宋体" w:eastAsia="宋体" w:cs="宋体"/>
          <w:spacing w:val="6"/>
          <w:sz w:val="20"/>
          <w:szCs w:val="20"/>
        </w:rPr>
        <w:t>建工程。</w:t>
      </w:r>
    </w:p>
    <w:p>
      <w:pPr>
        <w:spacing w:line="277" w:lineRule="exact"/>
        <w:ind w:left="438"/>
        <w:rPr>
          <w:rFonts w:ascii="宋体" w:hAnsi="宋体" w:eastAsia="宋体" w:cs="宋体"/>
          <w:sz w:val="20"/>
          <w:szCs w:val="20"/>
        </w:rPr>
      </w:pPr>
      <w:r>
        <w:rPr>
          <w:rFonts w:ascii="宋体" w:hAnsi="宋体" w:eastAsia="宋体" w:cs="宋体"/>
          <w:b/>
          <w:bCs/>
          <w:spacing w:val="3"/>
          <w:position w:val="1"/>
          <w:sz w:val="20"/>
          <w:szCs w:val="20"/>
        </w:rPr>
        <w:t>11.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关于工程建设人工材料价格风险控制</w:t>
      </w:r>
    </w:p>
    <w:p>
      <w:pPr>
        <w:spacing w:before="125" w:line="368" w:lineRule="auto"/>
        <w:ind w:right="65" w:firstLine="410"/>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7"/>
          <w:sz w:val="20"/>
          <w:szCs w:val="20"/>
        </w:rPr>
        <w:t xml:space="preserve"> </w:t>
      </w:r>
      <w:r>
        <w:rPr>
          <w:rFonts w:ascii="宋体" w:hAnsi="宋体" w:eastAsia="宋体" w:cs="宋体"/>
          <w:spacing w:val="6"/>
          <w:sz w:val="20"/>
          <w:szCs w:val="20"/>
        </w:rPr>
        <w:t>1）2019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1"/>
          <w:sz w:val="20"/>
          <w:szCs w:val="20"/>
        </w:rPr>
        <w:t xml:space="preserve"> </w:t>
      </w:r>
      <w:r>
        <w:rPr>
          <w:rFonts w:ascii="宋体" w:hAnsi="宋体" w:eastAsia="宋体" w:cs="宋体"/>
          <w:spacing w:val="6"/>
          <w:sz w:val="20"/>
          <w:szCs w:val="20"/>
        </w:rPr>
        <w:t>9</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16 日，山东省住房</w:t>
      </w:r>
      <w:r>
        <w:rPr>
          <w:rFonts w:ascii="宋体" w:hAnsi="宋体" w:eastAsia="宋体" w:cs="宋体"/>
          <w:spacing w:val="5"/>
          <w:sz w:val="20"/>
          <w:szCs w:val="20"/>
        </w:rPr>
        <w:t>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3" w:line="224" w:lineRule="auto"/>
        <w:ind w:left="420"/>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6" w:line="276"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line="276" w:lineRule="exact"/>
        <w:rPr>
          <w:rFonts w:ascii="宋体" w:hAnsi="宋体" w:eastAsia="宋体" w:cs="宋体"/>
          <w:sz w:val="20"/>
          <w:szCs w:val="20"/>
        </w:rPr>
        <w:sectPr>
          <w:footerReference r:id="rId189" w:type="default"/>
          <w:pgSz w:w="11906" w:h="16839"/>
          <w:pgMar w:top="400" w:right="1355" w:bottom="1212" w:left="1420"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45" w:lineRule="auto"/>
        <w:ind w:left="7" w:right="43" w:firstLine="420"/>
        <w:rPr>
          <w:rFonts w:ascii="宋体" w:hAnsi="宋体" w:eastAsia="宋体" w:cs="宋体"/>
          <w:sz w:val="20"/>
          <w:szCs w:val="20"/>
        </w:rPr>
      </w:pPr>
      <w:r>
        <w:rPr>
          <w:rFonts w:ascii="宋体" w:hAnsi="宋体" w:eastAsia="宋体" w:cs="宋体"/>
          <w:spacing w:val="10"/>
          <w:sz w:val="20"/>
          <w:szCs w:val="20"/>
        </w:rPr>
        <w:t>①设区市建设主管部门发布市定额人工市场指导单价的：市建设主管部门调增</w:t>
      </w:r>
      <w:r>
        <w:rPr>
          <w:rFonts w:ascii="宋体" w:hAnsi="宋体" w:eastAsia="宋体" w:cs="宋体"/>
          <w:spacing w:val="9"/>
          <w:sz w:val="20"/>
          <w:szCs w:val="20"/>
        </w:rPr>
        <w:t>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57" w:line="312" w:lineRule="auto"/>
        <w:ind w:left="9"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before="126" w:line="368" w:lineRule="auto"/>
        <w:ind w:left="9" w:right="43" w:firstLine="423"/>
        <w:rPr>
          <w:rFonts w:ascii="宋体" w:hAnsi="宋体" w:eastAsia="宋体" w:cs="宋体"/>
          <w:sz w:val="20"/>
          <w:szCs w:val="20"/>
        </w:rPr>
      </w:pPr>
      <w:r>
        <w:rPr>
          <w:rFonts w:ascii="宋体" w:hAnsi="宋体" w:eastAsia="宋体" w:cs="宋体"/>
          <w:spacing w:val="9"/>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w:t>
      </w:r>
      <w:r>
        <w:rPr>
          <w:rFonts w:ascii="宋体" w:hAnsi="宋体" w:eastAsia="宋体" w:cs="宋体"/>
          <w:spacing w:val="8"/>
          <w:sz w:val="20"/>
          <w:szCs w:val="20"/>
        </w:rPr>
        <w:t>完成的工程量，各项以省价人</w:t>
      </w:r>
      <w:r>
        <w:rPr>
          <w:rFonts w:ascii="宋体" w:hAnsi="宋体" w:eastAsia="宋体" w:cs="宋体"/>
          <w:spacing w:val="9"/>
          <w:sz w:val="20"/>
          <w:szCs w:val="20"/>
        </w:rPr>
        <w:t>工费（或省价人机费）为基础计取的费用同时进行调整。</w:t>
      </w:r>
    </w:p>
    <w:p>
      <w:pPr>
        <w:spacing w:line="276" w:lineRule="exact"/>
        <w:ind w:left="430"/>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4" w:line="277" w:lineRule="exact"/>
        <w:ind w:left="429"/>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2" w:line="368" w:lineRule="auto"/>
        <w:ind w:left="8" w:right="43" w:firstLine="420"/>
        <w:rPr>
          <w:rFonts w:ascii="宋体" w:hAnsi="宋体" w:eastAsia="宋体" w:cs="宋体"/>
          <w:sz w:val="20"/>
          <w:szCs w:val="20"/>
        </w:rPr>
      </w:pPr>
      <w:r>
        <w:rPr>
          <w:rFonts w:ascii="宋体" w:hAnsi="宋体" w:eastAsia="宋体" w:cs="宋体"/>
          <w:spacing w:val="10"/>
          <w:sz w:val="20"/>
          <w:szCs w:val="20"/>
        </w:rPr>
        <w:t>二是合同未对材料价格风险进行约定或约定不具体的，发承包双方按照以下</w:t>
      </w:r>
      <w:r>
        <w:rPr>
          <w:rFonts w:ascii="宋体" w:hAnsi="宋体" w:eastAsia="宋体" w:cs="宋体"/>
          <w:spacing w:val="9"/>
          <w:sz w:val="20"/>
          <w:szCs w:val="20"/>
        </w:rPr>
        <w:t>原则协商调整工程</w:t>
      </w:r>
      <w:r>
        <w:rPr>
          <w:rFonts w:ascii="宋体" w:hAnsi="宋体" w:eastAsia="宋体" w:cs="宋体"/>
          <w:spacing w:val="4"/>
          <w:sz w:val="20"/>
          <w:szCs w:val="20"/>
        </w:rPr>
        <w:t>造价：</w:t>
      </w:r>
    </w:p>
    <w:p>
      <w:pPr>
        <w:spacing w:before="3" w:line="312" w:lineRule="auto"/>
        <w:ind w:left="12" w:right="43" w:firstLine="416"/>
        <w:rPr>
          <w:rFonts w:ascii="宋体" w:hAnsi="宋体" w:eastAsia="宋体" w:cs="宋体"/>
          <w:sz w:val="20"/>
          <w:szCs w:val="20"/>
        </w:rPr>
      </w:pPr>
      <w:r>
        <w:rPr>
          <w:rFonts w:ascii="宋体" w:hAnsi="宋体" w:eastAsia="宋体" w:cs="宋体"/>
          <w:spacing w:val="10"/>
          <w:sz w:val="20"/>
          <w:szCs w:val="20"/>
        </w:rPr>
        <w:t>①调整的范围限定于主要材料。主要材料是指用量较大、占工程造价比例较高</w:t>
      </w:r>
      <w:r>
        <w:rPr>
          <w:rFonts w:ascii="宋体" w:hAnsi="宋体" w:eastAsia="宋体" w:cs="宋体"/>
          <w:spacing w:val="9"/>
          <w:sz w:val="20"/>
          <w:szCs w:val="20"/>
        </w:rPr>
        <w:t>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5" w:line="331" w:lineRule="auto"/>
        <w:ind w:left="8" w:right="43" w:firstLine="420"/>
        <w:rPr>
          <w:rFonts w:ascii="宋体" w:hAnsi="宋体" w:eastAsia="宋体" w:cs="宋体"/>
          <w:sz w:val="20"/>
          <w:szCs w:val="20"/>
        </w:rPr>
      </w:pPr>
      <w:r>
        <w:rPr>
          <w:rFonts w:ascii="宋体" w:hAnsi="宋体" w:eastAsia="宋体" w:cs="宋体"/>
          <w:spacing w:val="10"/>
          <w:sz w:val="20"/>
          <w:szCs w:val="20"/>
        </w:rPr>
        <w:t>②金属材料、木材、水泥、混凝土、沥青混凝土、预制构件、砂浆、砖、瓦、</w:t>
      </w:r>
      <w:r>
        <w:rPr>
          <w:rFonts w:ascii="宋体" w:hAnsi="宋体" w:eastAsia="宋体" w:cs="宋体"/>
          <w:spacing w:val="9"/>
          <w:sz w:val="20"/>
          <w:szCs w:val="20"/>
        </w:rPr>
        <w:t>砂子、碎石、石</w:t>
      </w:r>
      <w:r>
        <w:rPr>
          <w:rFonts w:ascii="宋体" w:hAnsi="宋体" w:eastAsia="宋体" w:cs="宋体"/>
          <w:spacing w:val="10"/>
          <w:sz w:val="20"/>
          <w:szCs w:val="20"/>
        </w:rPr>
        <w:t>灰、石材、防水材料、防腐材料、玻璃、保温材料、门窗、面砖、管材、管件、阀</w:t>
      </w:r>
      <w:r>
        <w:rPr>
          <w:rFonts w:ascii="宋体" w:hAnsi="宋体" w:eastAsia="宋体" w:cs="宋体"/>
          <w:spacing w:val="9"/>
          <w:sz w:val="20"/>
          <w:szCs w:val="20"/>
        </w:rPr>
        <w:t>门、电线电缆、灯具、卫生洁具、散热器、苗木、花卉等。</w:t>
      </w:r>
    </w:p>
    <w:p>
      <w:pPr>
        <w:spacing w:before="124" w:line="275" w:lineRule="exact"/>
        <w:ind w:left="428"/>
        <w:rPr>
          <w:rFonts w:ascii="宋体" w:hAnsi="宋体" w:eastAsia="宋体" w:cs="宋体"/>
          <w:sz w:val="20"/>
          <w:szCs w:val="20"/>
        </w:rPr>
      </w:pPr>
      <w:r>
        <w:rPr>
          <w:rFonts w:ascii="宋体" w:hAnsi="宋体" w:eastAsia="宋体" w:cs="宋体"/>
          <w:spacing w:val="10"/>
          <w:position w:val="1"/>
          <w:sz w:val="20"/>
          <w:szCs w:val="20"/>
        </w:rPr>
        <w:t>③合同价中单种材料合价占单位工程造价比例在</w:t>
      </w:r>
      <w:r>
        <w:rPr>
          <w:rFonts w:ascii="宋体" w:hAnsi="宋体" w:eastAsia="宋体" w:cs="宋体"/>
          <w:spacing w:val="-6"/>
          <w:position w:val="1"/>
          <w:sz w:val="20"/>
          <w:szCs w:val="20"/>
        </w:rPr>
        <w:t xml:space="preserve"> </w:t>
      </w:r>
      <w:r>
        <w:rPr>
          <w:rFonts w:ascii="宋体" w:hAnsi="宋体" w:eastAsia="宋体" w:cs="宋体"/>
          <w:spacing w:val="10"/>
          <w:position w:val="1"/>
          <w:sz w:val="20"/>
          <w:szCs w:val="20"/>
        </w:rPr>
        <w:t>1%及以上的材料。</w:t>
      </w:r>
    </w:p>
    <w:p>
      <w:pPr>
        <w:spacing w:before="125" w:line="276" w:lineRule="exact"/>
        <w:ind w:left="428"/>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3" w:line="368" w:lineRule="auto"/>
        <w:ind w:left="11" w:right="62"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3" w:line="368" w:lineRule="auto"/>
        <w:ind w:left="10"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5" w:line="276" w:lineRule="exact"/>
        <w:ind w:left="430"/>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2" w:line="363" w:lineRule="auto"/>
        <w:ind w:firstLine="420"/>
        <w:jc w:val="both"/>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39"/>
          <w:sz w:val="20"/>
          <w:szCs w:val="20"/>
        </w:rPr>
        <w:t xml:space="preserve"> </w:t>
      </w:r>
      <w:r>
        <w:rPr>
          <w:rFonts w:ascii="宋体" w:hAnsi="宋体" w:eastAsia="宋体" w:cs="宋体"/>
          <w:spacing w:val="9"/>
          <w:sz w:val="20"/>
          <w:szCs w:val="20"/>
        </w:rPr>
        <w:t>号）。文件规定：发承包双方已签定施工合同的，若主要建筑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5"/>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48" w:line="277" w:lineRule="exact"/>
        <w:ind w:left="447"/>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line="277" w:lineRule="exact"/>
        <w:rPr>
          <w:rFonts w:ascii="宋体" w:hAnsi="宋体" w:eastAsia="宋体" w:cs="宋体"/>
          <w:sz w:val="20"/>
          <w:szCs w:val="20"/>
        </w:rPr>
        <w:sectPr>
          <w:footerReference r:id="rId190" w:type="default"/>
          <w:pgSz w:w="11906" w:h="16839"/>
          <w:pgMar w:top="400" w:right="1417"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51" w:lineRule="auto"/>
        <w:ind w:left="9"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40" w:line="277" w:lineRule="exact"/>
        <w:ind w:left="444"/>
        <w:rPr>
          <w:rFonts w:ascii="宋体" w:hAnsi="宋体" w:eastAsia="宋体" w:cs="宋体"/>
          <w:sz w:val="20"/>
          <w:szCs w:val="20"/>
        </w:rPr>
      </w:pPr>
      <w:r>
        <w:rPr>
          <w:rFonts w:ascii="宋体" w:hAnsi="宋体" w:eastAsia="宋体" w:cs="宋体"/>
          <w:spacing w:val="7"/>
          <w:position w:val="1"/>
          <w:sz w:val="20"/>
          <w:szCs w:val="20"/>
        </w:rPr>
        <w:t>园林绿化工程材料的采购及保管费率为2.5</w:t>
      </w:r>
      <w:r>
        <w:rPr>
          <w:rFonts w:ascii="宋体" w:hAnsi="宋体" w:eastAsia="宋体" w:cs="宋体"/>
          <w:spacing w:val="-12"/>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12"/>
          <w:position w:val="1"/>
          <w:sz w:val="20"/>
          <w:szCs w:val="20"/>
        </w:rPr>
        <w:t>，</w:t>
      </w:r>
      <w:r>
        <w:rPr>
          <w:rFonts w:ascii="宋体" w:hAnsi="宋体" w:eastAsia="宋体" w:cs="宋体"/>
          <w:spacing w:val="7"/>
          <w:position w:val="1"/>
          <w:sz w:val="20"/>
          <w:szCs w:val="20"/>
        </w:rPr>
        <w:t>设备的采购及保管费率为</w:t>
      </w:r>
      <w:r>
        <w:rPr>
          <w:rFonts w:ascii="宋体" w:hAnsi="宋体" w:eastAsia="宋体" w:cs="宋体"/>
          <w:spacing w:val="-25"/>
          <w:position w:val="1"/>
          <w:sz w:val="20"/>
          <w:szCs w:val="20"/>
        </w:rPr>
        <w:t xml:space="preserve"> </w:t>
      </w:r>
      <w:r>
        <w:rPr>
          <w:rFonts w:ascii="宋体" w:hAnsi="宋体" w:eastAsia="宋体" w:cs="宋体"/>
          <w:spacing w:val="7"/>
          <w:position w:val="1"/>
          <w:sz w:val="20"/>
          <w:szCs w:val="20"/>
        </w:rPr>
        <w:t>1％。</w:t>
      </w:r>
    </w:p>
    <w:p>
      <w:pPr>
        <w:spacing w:before="121" w:line="277" w:lineRule="exact"/>
        <w:ind w:left="430"/>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7" w:lineRule="auto"/>
        <w:ind w:left="9" w:right="2"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1）建设单位采购、付款、供应至施工现场、并自行保管，施工单位随用随领，采购及保管费</w:t>
      </w:r>
      <w:r>
        <w:rPr>
          <w:rFonts w:ascii="宋体" w:hAnsi="宋体" w:eastAsia="宋体" w:cs="宋体"/>
          <w:spacing w:val="8"/>
          <w:sz w:val="20"/>
          <w:szCs w:val="20"/>
        </w:rPr>
        <w:t>全部归建设单位。</w:t>
      </w:r>
    </w:p>
    <w:p>
      <w:pPr>
        <w:spacing w:before="156" w:line="332" w:lineRule="auto"/>
        <w:ind w:left="8" w:right="2" w:firstLine="411"/>
        <w:rPr>
          <w:rFonts w:ascii="宋体" w:hAnsi="宋体" w:eastAsia="宋体" w:cs="宋体"/>
          <w:sz w:val="20"/>
          <w:szCs w:val="20"/>
        </w:rPr>
      </w:pPr>
      <w:r>
        <w:rPr>
          <w:rFonts w:ascii="宋体" w:hAnsi="宋体" w:eastAsia="宋体" w:cs="宋体"/>
          <w:spacing w:val="8"/>
          <w:sz w:val="20"/>
          <w:szCs w:val="20"/>
        </w:rPr>
        <w:t>（2）建设单位采购、付款、供应至施工现场，交由施工单位保管，建设单位计取采购及保管费</w:t>
      </w:r>
      <w:r>
        <w:rPr>
          <w:rFonts w:ascii="宋体" w:hAnsi="宋体" w:eastAsia="宋体" w:cs="宋体"/>
          <w:spacing w:val="5"/>
          <w:sz w:val="20"/>
          <w:szCs w:val="20"/>
        </w:rPr>
        <w:t>的</w:t>
      </w:r>
      <w:r>
        <w:rPr>
          <w:rFonts w:ascii="宋体" w:hAnsi="宋体" w:eastAsia="宋体" w:cs="宋体"/>
          <w:spacing w:val="-39"/>
          <w:sz w:val="20"/>
          <w:szCs w:val="20"/>
        </w:rPr>
        <w:t xml:space="preserve"> </w:t>
      </w:r>
      <w:r>
        <w:rPr>
          <w:rFonts w:ascii="宋体" w:hAnsi="宋体" w:eastAsia="宋体" w:cs="宋体"/>
          <w:spacing w:val="5"/>
          <w:sz w:val="20"/>
          <w:szCs w:val="20"/>
        </w:rPr>
        <w:t>60</w:t>
      </w:r>
      <w:r>
        <w:rPr>
          <w:rFonts w:ascii="宋体" w:hAnsi="宋体" w:eastAsia="宋体" w:cs="宋体"/>
          <w:spacing w:val="-40"/>
          <w:sz w:val="20"/>
          <w:szCs w:val="20"/>
        </w:rPr>
        <w:t>％</w:t>
      </w:r>
      <w:r>
        <w:rPr>
          <w:rFonts w:ascii="宋体" w:hAnsi="宋体" w:eastAsia="宋体" w:cs="宋体"/>
          <w:spacing w:val="-58"/>
          <w:sz w:val="20"/>
          <w:szCs w:val="20"/>
        </w:rPr>
        <w:t xml:space="preserve"> </w:t>
      </w:r>
      <w:r>
        <w:rPr>
          <w:rFonts w:ascii="宋体" w:hAnsi="宋体" w:eastAsia="宋体" w:cs="宋体"/>
          <w:spacing w:val="-40"/>
          <w:sz w:val="20"/>
          <w:szCs w:val="20"/>
        </w:rPr>
        <w:t>，</w:t>
      </w:r>
      <w:r>
        <w:rPr>
          <w:rFonts w:ascii="宋体" w:hAnsi="宋体" w:eastAsia="宋体" w:cs="宋体"/>
          <w:spacing w:val="5"/>
          <w:sz w:val="20"/>
          <w:szCs w:val="20"/>
        </w:rPr>
        <w:t>施工单位计取</w:t>
      </w:r>
      <w:r>
        <w:rPr>
          <w:rFonts w:ascii="宋体" w:hAnsi="宋体" w:eastAsia="宋体" w:cs="宋体"/>
          <w:spacing w:val="-45"/>
          <w:sz w:val="20"/>
          <w:szCs w:val="20"/>
        </w:rPr>
        <w:t xml:space="preserve"> </w:t>
      </w:r>
      <w:r>
        <w:rPr>
          <w:rFonts w:ascii="宋体" w:hAnsi="宋体" w:eastAsia="宋体" w:cs="宋体"/>
          <w:spacing w:val="5"/>
          <w:sz w:val="20"/>
          <w:szCs w:val="20"/>
        </w:rPr>
        <w:t>40％。建设单位采购并付款，交提货单由施工企业提运时施工单位计取</w:t>
      </w:r>
      <w:r>
        <w:rPr>
          <w:rFonts w:ascii="宋体" w:hAnsi="宋体" w:eastAsia="宋体" w:cs="宋体"/>
          <w:spacing w:val="-38"/>
          <w:sz w:val="20"/>
          <w:szCs w:val="20"/>
        </w:rPr>
        <w:t xml:space="preserve"> </w:t>
      </w:r>
      <w:r>
        <w:rPr>
          <w:rFonts w:ascii="宋体" w:hAnsi="宋体" w:eastAsia="宋体" w:cs="宋体"/>
          <w:spacing w:val="5"/>
          <w:sz w:val="20"/>
          <w:szCs w:val="20"/>
        </w:rPr>
        <w:t>60%</w:t>
      </w:r>
      <w:r>
        <w:rPr>
          <w:rFonts w:ascii="宋体" w:hAnsi="宋体" w:eastAsia="宋体" w:cs="宋体"/>
          <w:spacing w:val="-34"/>
          <w:sz w:val="20"/>
          <w:szCs w:val="20"/>
        </w:rPr>
        <w:t xml:space="preserve"> </w:t>
      </w:r>
      <w:r>
        <w:rPr>
          <w:rFonts w:ascii="宋体" w:hAnsi="宋体" w:eastAsia="宋体" w:cs="宋体"/>
          <w:spacing w:val="5"/>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19" w:line="277" w:lineRule="exact"/>
        <w:ind w:left="420"/>
        <w:rPr>
          <w:rFonts w:ascii="宋体" w:hAnsi="宋体" w:eastAsia="宋体" w:cs="宋体"/>
          <w:sz w:val="20"/>
          <w:szCs w:val="20"/>
        </w:rPr>
      </w:pPr>
      <w:r>
        <w:rPr>
          <w:rFonts w:ascii="宋体" w:hAnsi="宋体" w:eastAsia="宋体" w:cs="宋体"/>
          <w:spacing w:val="10"/>
          <w:position w:val="1"/>
          <w:sz w:val="20"/>
          <w:szCs w:val="20"/>
        </w:rPr>
        <w:t>（3）施工单位采购、付款、供应至施工现场，并自行保管、采</w:t>
      </w:r>
      <w:r>
        <w:rPr>
          <w:rFonts w:ascii="宋体" w:hAnsi="宋体" w:eastAsia="宋体" w:cs="宋体"/>
          <w:spacing w:val="9"/>
          <w:position w:val="1"/>
          <w:sz w:val="20"/>
          <w:szCs w:val="20"/>
        </w:rPr>
        <w:t>购及保管费全部归施工单位。</w:t>
      </w:r>
    </w:p>
    <w:p>
      <w:pPr>
        <w:spacing w:before="124" w:line="352" w:lineRule="auto"/>
        <w:ind w:left="10" w:firstLine="436"/>
        <w:rPr>
          <w:rFonts w:ascii="宋体" w:hAnsi="宋体" w:eastAsia="宋体" w:cs="宋体"/>
          <w:sz w:val="20"/>
          <w:szCs w:val="20"/>
        </w:rPr>
      </w:pPr>
      <w:r>
        <w:rPr>
          <w:rFonts w:ascii="宋体" w:hAnsi="宋体" w:eastAsia="宋体" w:cs="宋体"/>
          <w:spacing w:val="9"/>
          <w:sz w:val="20"/>
          <w:szCs w:val="20"/>
        </w:rPr>
        <w:t>16</w:t>
      </w:r>
      <w:r>
        <w:rPr>
          <w:rFonts w:ascii="宋体" w:hAnsi="宋体" w:eastAsia="宋体" w:cs="宋体"/>
          <w:spacing w:val="-34"/>
          <w:sz w:val="20"/>
          <w:szCs w:val="20"/>
        </w:rPr>
        <w:t xml:space="preserve"> </w:t>
      </w:r>
      <w:r>
        <w:rPr>
          <w:rFonts w:ascii="宋体" w:hAnsi="宋体" w:eastAsia="宋体" w:cs="宋体"/>
          <w:spacing w:val="9"/>
          <w:sz w:val="20"/>
          <w:szCs w:val="20"/>
        </w:rPr>
        <w:t>消耗量定额《山东省园林绿化工程价目表》材料价格取</w:t>
      </w:r>
      <w:r>
        <w:rPr>
          <w:rFonts w:ascii="宋体" w:hAnsi="宋体" w:eastAsia="宋体" w:cs="宋体"/>
          <w:spacing w:val="8"/>
          <w:sz w:val="20"/>
          <w:szCs w:val="20"/>
        </w:rPr>
        <w:t>定表中的材料单价，已包括采购及保</w:t>
      </w:r>
      <w:r>
        <w:rPr>
          <w:rFonts w:ascii="宋体" w:hAnsi="宋体" w:eastAsia="宋体" w:cs="宋体"/>
          <w:spacing w:val="3"/>
          <w:sz w:val="20"/>
          <w:szCs w:val="20"/>
        </w:rPr>
        <w:t>管费。</w:t>
      </w:r>
    </w:p>
    <w:p>
      <w:pPr>
        <w:spacing w:before="37" w:line="368" w:lineRule="auto"/>
        <w:ind w:left="14"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3" w:line="278" w:lineRule="exact"/>
        <w:ind w:left="447"/>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0" w:line="322" w:lineRule="auto"/>
        <w:ind w:left="11" w:firstLine="408"/>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4"/>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半径范围内，并设有水、电计量表。建设单位不能按上述要求</w:t>
      </w:r>
      <w:r>
        <w:rPr>
          <w:rFonts w:ascii="宋体" w:hAnsi="宋体" w:eastAsia="宋体" w:cs="宋体"/>
          <w:spacing w:val="9"/>
          <w:sz w:val="20"/>
          <w:szCs w:val="20"/>
        </w:rPr>
        <w:t>提供时，施工单位依据经过批准的施工组织设计，按相应规定另行单独计算费用。</w:t>
      </w:r>
    </w:p>
    <w:p>
      <w:pPr>
        <w:spacing w:before="154" w:line="278" w:lineRule="exact"/>
        <w:ind w:left="420"/>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22" w:line="297" w:lineRule="auto"/>
        <w:ind w:left="6" w:right="2"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7" w:line="276" w:lineRule="exact"/>
        <w:ind w:left="420"/>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4" w:line="277" w:lineRule="exact"/>
        <w:ind w:left="447"/>
        <w:rPr>
          <w:rFonts w:ascii="宋体" w:hAnsi="宋体" w:eastAsia="宋体" w:cs="宋体"/>
          <w:sz w:val="20"/>
          <w:szCs w:val="20"/>
        </w:rPr>
      </w:pPr>
      <w:r>
        <w:rPr>
          <w:rFonts w:ascii="宋体" w:hAnsi="宋体" w:eastAsia="宋体" w:cs="宋体"/>
          <w:b/>
          <w:bCs/>
          <w:spacing w:val="5"/>
          <w:position w:val="1"/>
          <w:sz w:val="20"/>
          <w:szCs w:val="20"/>
        </w:rPr>
        <w:t>14.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关于园林绿化工程中施工现场的彩钢板围挡</w:t>
      </w:r>
      <w:r>
        <w:rPr>
          <w:rFonts w:ascii="宋体" w:hAnsi="宋体" w:eastAsia="宋体" w:cs="宋体"/>
          <w:b/>
          <w:bCs/>
          <w:spacing w:val="4"/>
          <w:position w:val="1"/>
          <w:sz w:val="20"/>
          <w:szCs w:val="20"/>
        </w:rPr>
        <w:t>的计价</w:t>
      </w:r>
    </w:p>
    <w:p>
      <w:pPr>
        <w:spacing w:before="124" w:line="277" w:lineRule="exact"/>
        <w:ind w:left="426"/>
        <w:rPr>
          <w:rFonts w:ascii="宋体" w:hAnsi="宋体" w:eastAsia="宋体" w:cs="宋体"/>
          <w:sz w:val="20"/>
          <w:szCs w:val="20"/>
        </w:rPr>
      </w:pPr>
      <w:r>
        <w:rPr>
          <w:rFonts w:ascii="宋体" w:hAnsi="宋体" w:eastAsia="宋体" w:cs="宋体"/>
          <w:spacing w:val="10"/>
          <w:position w:val="1"/>
          <w:sz w:val="20"/>
          <w:szCs w:val="20"/>
        </w:rPr>
        <w:t>答：园林绿化工程中施工现场的彩钢板围挡已含在安全</w:t>
      </w:r>
      <w:r>
        <w:rPr>
          <w:rFonts w:ascii="宋体" w:hAnsi="宋体" w:eastAsia="宋体" w:cs="宋体"/>
          <w:spacing w:val="9"/>
          <w:position w:val="1"/>
          <w:sz w:val="20"/>
          <w:szCs w:val="20"/>
        </w:rPr>
        <w:t>文明施工费中，不可另行计算。</w:t>
      </w:r>
    </w:p>
    <w:p>
      <w:pPr>
        <w:spacing w:before="122" w:line="276" w:lineRule="exact"/>
        <w:ind w:left="447"/>
        <w:rPr>
          <w:rFonts w:ascii="宋体" w:hAnsi="宋体" w:eastAsia="宋体" w:cs="宋体"/>
          <w:sz w:val="20"/>
          <w:szCs w:val="20"/>
        </w:rPr>
      </w:pPr>
      <w:r>
        <w:rPr>
          <w:rFonts w:ascii="宋体" w:hAnsi="宋体" w:eastAsia="宋体" w:cs="宋体"/>
          <w:b/>
          <w:bCs/>
          <w:spacing w:val="4"/>
          <w:position w:val="1"/>
          <w:sz w:val="20"/>
          <w:szCs w:val="20"/>
        </w:rPr>
        <w:t>15.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关于施工围挡悬挂宣传标语及公益广告的计价</w:t>
      </w:r>
    </w:p>
    <w:p>
      <w:pPr>
        <w:spacing w:before="128" w:line="221" w:lineRule="auto"/>
        <w:ind w:left="426"/>
        <w:rPr>
          <w:rFonts w:ascii="宋体" w:hAnsi="宋体" w:eastAsia="宋体" w:cs="宋体"/>
          <w:sz w:val="20"/>
          <w:szCs w:val="20"/>
        </w:rPr>
      </w:pPr>
      <w:r>
        <w:rPr>
          <w:rFonts w:ascii="宋体" w:hAnsi="宋体" w:eastAsia="宋体" w:cs="宋体"/>
          <w:spacing w:val="10"/>
          <w:sz w:val="20"/>
          <w:szCs w:val="20"/>
        </w:rPr>
        <w:t>施工围挡悬挂宣传标语及公益广告未包括在文明施工费中</w:t>
      </w:r>
      <w:r>
        <w:rPr>
          <w:rFonts w:ascii="宋体" w:hAnsi="宋体" w:eastAsia="宋体" w:cs="宋体"/>
          <w:spacing w:val="9"/>
          <w:sz w:val="20"/>
          <w:szCs w:val="20"/>
        </w:rPr>
        <w:t>，应按照实际发生的费用单独计算。</w:t>
      </w:r>
    </w:p>
    <w:p>
      <w:pPr>
        <w:spacing w:before="158" w:line="278" w:lineRule="exact"/>
        <w:ind w:left="447"/>
        <w:rPr>
          <w:rFonts w:ascii="宋体" w:hAnsi="宋体" w:eastAsia="宋体" w:cs="宋体"/>
          <w:sz w:val="20"/>
          <w:szCs w:val="20"/>
        </w:rPr>
      </w:pPr>
      <w:r>
        <w:rPr>
          <w:rFonts w:ascii="宋体" w:hAnsi="宋体" w:eastAsia="宋体" w:cs="宋体"/>
          <w:b/>
          <w:bCs/>
          <w:spacing w:val="2"/>
          <w:position w:val="1"/>
          <w:sz w:val="20"/>
          <w:szCs w:val="20"/>
        </w:rPr>
        <w:t>16.</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关于定额中有关定义说明</w:t>
      </w:r>
    </w:p>
    <w:p>
      <w:pPr>
        <w:spacing w:before="120" w:line="369" w:lineRule="auto"/>
        <w:ind w:right="31" w:firstLine="435"/>
        <w:rPr>
          <w:rFonts w:ascii="宋体" w:hAnsi="宋体" w:eastAsia="宋体" w:cs="宋体"/>
          <w:sz w:val="20"/>
          <w:szCs w:val="20"/>
        </w:rPr>
      </w:pPr>
      <w:r>
        <w:rPr>
          <w:rFonts w:ascii="宋体" w:hAnsi="宋体" w:eastAsia="宋体" w:cs="宋体"/>
          <w:spacing w:val="10"/>
          <w:sz w:val="20"/>
          <w:szCs w:val="20"/>
        </w:rPr>
        <w:t>常绿乔木：指有明显主干，分枝点离地面较高，各级侧枝区别较大，全年不落叶的木本植</w:t>
      </w:r>
      <w:r>
        <w:rPr>
          <w:rFonts w:ascii="宋体" w:hAnsi="宋体" w:eastAsia="宋体" w:cs="宋体"/>
          <w:spacing w:val="9"/>
          <w:sz w:val="20"/>
          <w:szCs w:val="20"/>
        </w:rPr>
        <w:t>物。</w:t>
      </w:r>
      <w:r>
        <w:rPr>
          <w:rFonts w:ascii="宋体" w:hAnsi="宋体" w:eastAsia="宋体" w:cs="宋体"/>
          <w:sz w:val="20"/>
          <w:szCs w:val="20"/>
        </w:rPr>
        <w:t xml:space="preserve"> </w:t>
      </w:r>
      <w:r>
        <w:rPr>
          <w:rFonts w:ascii="宋体" w:hAnsi="宋体" w:eastAsia="宋体" w:cs="宋体"/>
          <w:spacing w:val="10"/>
          <w:sz w:val="20"/>
          <w:szCs w:val="20"/>
        </w:rPr>
        <w:t>（定额表现为带土球乔木）</w:t>
      </w:r>
    </w:p>
    <w:p>
      <w:pPr>
        <w:spacing w:before="2" w:line="367" w:lineRule="auto"/>
        <w:ind w:left="11" w:right="2" w:firstLine="423"/>
        <w:rPr>
          <w:rFonts w:ascii="宋体" w:hAnsi="宋体" w:eastAsia="宋体" w:cs="宋体"/>
          <w:sz w:val="20"/>
          <w:szCs w:val="20"/>
        </w:rPr>
      </w:pPr>
      <w:r>
        <w:rPr>
          <w:rFonts w:ascii="宋体" w:hAnsi="宋体" w:eastAsia="宋体" w:cs="宋体"/>
          <w:spacing w:val="11"/>
          <w:sz w:val="20"/>
          <w:szCs w:val="20"/>
        </w:rPr>
        <w:t>常绿灌木：指无明显主干，分枝点离地面较近，分枝较密，全</w:t>
      </w:r>
      <w:r>
        <w:rPr>
          <w:rFonts w:ascii="宋体" w:hAnsi="宋体" w:eastAsia="宋体" w:cs="宋体"/>
          <w:spacing w:val="10"/>
          <w:sz w:val="20"/>
          <w:szCs w:val="20"/>
        </w:rPr>
        <w:t>年不落叶的木本植物。（定额表</w:t>
      </w:r>
      <w:r>
        <w:rPr>
          <w:rFonts w:ascii="宋体" w:hAnsi="宋体" w:eastAsia="宋体" w:cs="宋体"/>
          <w:spacing w:val="9"/>
          <w:sz w:val="20"/>
          <w:szCs w:val="20"/>
        </w:rPr>
        <w:t>现为带土球灌木）</w:t>
      </w:r>
    </w:p>
    <w:p>
      <w:pPr>
        <w:spacing w:before="4" w:line="369" w:lineRule="auto"/>
        <w:ind w:left="8" w:firstLine="422"/>
        <w:rPr>
          <w:rFonts w:ascii="宋体" w:hAnsi="宋体" w:eastAsia="宋体" w:cs="宋体"/>
          <w:sz w:val="20"/>
          <w:szCs w:val="20"/>
        </w:rPr>
      </w:pPr>
      <w:r>
        <w:rPr>
          <w:rFonts w:ascii="宋体" w:hAnsi="宋体" w:eastAsia="宋体" w:cs="宋体"/>
          <w:spacing w:val="6"/>
          <w:sz w:val="20"/>
          <w:szCs w:val="20"/>
        </w:rPr>
        <w:t>落叶乔木：指有明显主干，分枝点离地面较高，各级侧枝区别较大，冬季落叶</w:t>
      </w:r>
      <w:r>
        <w:rPr>
          <w:rFonts w:ascii="宋体" w:hAnsi="宋体" w:eastAsia="宋体" w:cs="宋体"/>
          <w:spacing w:val="5"/>
          <w:sz w:val="20"/>
          <w:szCs w:val="20"/>
        </w:rPr>
        <w:t>的木本植物。（定</w:t>
      </w:r>
      <w:r>
        <w:rPr>
          <w:rFonts w:ascii="宋体" w:hAnsi="宋体" w:eastAsia="宋体" w:cs="宋体"/>
          <w:spacing w:val="9"/>
          <w:sz w:val="20"/>
          <w:szCs w:val="20"/>
        </w:rPr>
        <w:t>额表现为裸根乔木）</w:t>
      </w:r>
    </w:p>
    <w:p>
      <w:pPr>
        <w:spacing w:before="2" w:line="368" w:lineRule="auto"/>
        <w:ind w:left="14" w:right="2" w:firstLine="416"/>
        <w:rPr>
          <w:rFonts w:ascii="宋体" w:hAnsi="宋体" w:eastAsia="宋体" w:cs="宋体"/>
          <w:sz w:val="20"/>
          <w:szCs w:val="20"/>
        </w:rPr>
      </w:pPr>
      <w:r>
        <w:rPr>
          <w:rFonts w:ascii="宋体" w:hAnsi="宋体" w:eastAsia="宋体" w:cs="宋体"/>
          <w:spacing w:val="11"/>
          <w:sz w:val="20"/>
          <w:szCs w:val="20"/>
        </w:rPr>
        <w:t>落叶灌木：指无明显主干，分枝点离地面较近，分枝较密，冬季落叶的</w:t>
      </w:r>
      <w:r>
        <w:rPr>
          <w:rFonts w:ascii="宋体" w:hAnsi="宋体" w:eastAsia="宋体" w:cs="宋体"/>
          <w:spacing w:val="10"/>
          <w:sz w:val="20"/>
          <w:szCs w:val="20"/>
        </w:rPr>
        <w:t>木本植物。（定额表现</w:t>
      </w:r>
      <w:r>
        <w:rPr>
          <w:rFonts w:ascii="宋体" w:hAnsi="宋体" w:eastAsia="宋体" w:cs="宋体"/>
          <w:spacing w:val="8"/>
          <w:sz w:val="20"/>
          <w:szCs w:val="20"/>
        </w:rPr>
        <w:t>为裸根灌木）</w:t>
      </w:r>
    </w:p>
    <w:p>
      <w:pPr>
        <w:spacing w:line="368" w:lineRule="auto"/>
        <w:rPr>
          <w:rFonts w:ascii="宋体" w:hAnsi="宋体" w:eastAsia="宋体" w:cs="宋体"/>
          <w:sz w:val="20"/>
          <w:szCs w:val="20"/>
        </w:rPr>
        <w:sectPr>
          <w:footerReference r:id="rId191" w:type="default"/>
          <w:pgSz w:w="11906" w:h="16839"/>
          <w:pgMar w:top="400" w:right="1417" w:bottom="1212" w:left="1411"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70" w:lineRule="auto"/>
        <w:ind w:left="3" w:firstLine="418"/>
        <w:rPr>
          <w:rFonts w:ascii="宋体" w:hAnsi="宋体" w:eastAsia="宋体" w:cs="宋体"/>
          <w:sz w:val="20"/>
          <w:szCs w:val="20"/>
        </w:rPr>
      </w:pPr>
      <w:r>
        <w:rPr>
          <w:rFonts w:ascii="宋体" w:hAnsi="宋体" w:eastAsia="宋体" w:cs="宋体"/>
          <w:spacing w:val="11"/>
          <w:sz w:val="20"/>
          <w:szCs w:val="20"/>
        </w:rPr>
        <w:t>竹类植物：指地上杆茎直立有节，节竖实而明显，节间中空的植物。（定额</w:t>
      </w:r>
      <w:r>
        <w:rPr>
          <w:rFonts w:ascii="宋体" w:hAnsi="宋体" w:eastAsia="宋体" w:cs="宋体"/>
          <w:spacing w:val="10"/>
          <w:sz w:val="20"/>
          <w:szCs w:val="20"/>
        </w:rPr>
        <w:t>表现为散生竹、丛</w:t>
      </w:r>
      <w:r>
        <w:rPr>
          <w:rFonts w:ascii="宋体" w:hAnsi="宋体" w:eastAsia="宋体" w:cs="宋体"/>
          <w:spacing w:val="8"/>
          <w:sz w:val="20"/>
          <w:szCs w:val="20"/>
        </w:rPr>
        <w:t>生竹）</w:t>
      </w:r>
    </w:p>
    <w:p>
      <w:pPr>
        <w:spacing w:before="1" w:line="363" w:lineRule="auto"/>
        <w:ind w:left="4" w:firstLine="417"/>
        <w:rPr>
          <w:rFonts w:ascii="宋体" w:hAnsi="宋体" w:eastAsia="宋体" w:cs="宋体"/>
          <w:sz w:val="20"/>
          <w:szCs w:val="20"/>
        </w:rPr>
      </w:pPr>
      <w:r>
        <w:rPr>
          <w:rFonts w:ascii="宋体" w:hAnsi="宋体" w:eastAsia="宋体" w:cs="宋体"/>
          <w:spacing w:val="11"/>
          <w:sz w:val="20"/>
          <w:szCs w:val="20"/>
        </w:rPr>
        <w:t>绿篱：指成行（片）密植，修剪而成的植物墙可用以代替篱笆、栏杆和墙垣</w:t>
      </w:r>
      <w:r>
        <w:rPr>
          <w:rFonts w:ascii="宋体" w:hAnsi="宋体" w:eastAsia="宋体" w:cs="宋体"/>
          <w:spacing w:val="10"/>
          <w:sz w:val="20"/>
          <w:szCs w:val="20"/>
        </w:rPr>
        <w:t>，具有分隔、防护</w:t>
      </w:r>
      <w:r>
        <w:rPr>
          <w:rFonts w:ascii="宋体" w:hAnsi="宋体" w:eastAsia="宋体" w:cs="宋体"/>
          <w:spacing w:val="9"/>
          <w:sz w:val="20"/>
          <w:szCs w:val="20"/>
        </w:rPr>
        <w:t>或装饰作用。（定额表现为单排、双排绿篱）</w:t>
      </w:r>
    </w:p>
    <w:p>
      <w:pPr>
        <w:spacing w:before="11" w:line="369" w:lineRule="auto"/>
        <w:ind w:firstLine="422"/>
        <w:rPr>
          <w:rFonts w:ascii="宋体" w:hAnsi="宋体" w:eastAsia="宋体" w:cs="宋体"/>
          <w:sz w:val="20"/>
          <w:szCs w:val="20"/>
        </w:rPr>
      </w:pPr>
      <w:r>
        <w:rPr>
          <w:rFonts w:ascii="宋体" w:hAnsi="宋体" w:eastAsia="宋体" w:cs="宋体"/>
          <w:spacing w:val="11"/>
          <w:sz w:val="20"/>
          <w:szCs w:val="20"/>
        </w:rPr>
        <w:t>攀缘植物：指以某种方式攀附于其他物体上生长，主干茎不能直立的植物。</w:t>
      </w:r>
      <w:r>
        <w:rPr>
          <w:rFonts w:ascii="宋体" w:hAnsi="宋体" w:eastAsia="宋体" w:cs="宋体"/>
          <w:spacing w:val="10"/>
          <w:sz w:val="20"/>
          <w:szCs w:val="20"/>
        </w:rPr>
        <w:t>（定额表现为攀缘植物）</w:t>
      </w:r>
    </w:p>
    <w:p>
      <w:pPr>
        <w:spacing w:before="1" w:line="368" w:lineRule="auto"/>
        <w:ind w:left="3" w:firstLine="421"/>
        <w:rPr>
          <w:rFonts w:ascii="宋体" w:hAnsi="宋体" w:eastAsia="宋体" w:cs="宋体"/>
          <w:sz w:val="20"/>
          <w:szCs w:val="20"/>
        </w:rPr>
      </w:pPr>
      <w:r>
        <w:rPr>
          <w:rFonts w:ascii="宋体" w:hAnsi="宋体" w:eastAsia="宋体" w:cs="宋体"/>
          <w:spacing w:val="11"/>
          <w:sz w:val="20"/>
          <w:szCs w:val="20"/>
        </w:rPr>
        <w:t>色块：也叫地被植物，指株丛密集、低矮，用于覆盖地面的植物，包</w:t>
      </w:r>
      <w:r>
        <w:rPr>
          <w:rFonts w:ascii="宋体" w:hAnsi="宋体" w:eastAsia="宋体" w:cs="宋体"/>
          <w:spacing w:val="10"/>
          <w:sz w:val="20"/>
          <w:szCs w:val="20"/>
        </w:rPr>
        <w:t>括贴近地面或匍匐地面生</w:t>
      </w:r>
      <w:r>
        <w:rPr>
          <w:rFonts w:ascii="宋体" w:hAnsi="宋体" w:eastAsia="宋体" w:cs="宋体"/>
          <w:spacing w:val="9"/>
          <w:sz w:val="20"/>
          <w:szCs w:val="20"/>
        </w:rPr>
        <w:t>长的草本和木本植物。（定额表现为片植灌木）</w:t>
      </w:r>
    </w:p>
    <w:p>
      <w:pPr>
        <w:spacing w:before="2" w:line="367" w:lineRule="auto"/>
        <w:ind w:firstLine="423"/>
        <w:rPr>
          <w:rFonts w:ascii="宋体" w:hAnsi="宋体" w:eastAsia="宋体" w:cs="宋体"/>
          <w:sz w:val="20"/>
          <w:szCs w:val="20"/>
        </w:rPr>
      </w:pPr>
      <w:r>
        <w:rPr>
          <w:rFonts w:ascii="宋体" w:hAnsi="宋体" w:eastAsia="宋体" w:cs="宋体"/>
          <w:spacing w:val="11"/>
          <w:sz w:val="20"/>
          <w:szCs w:val="20"/>
        </w:rPr>
        <w:t>花卉类植物：指以观赏特性而进行种植的植物材料（一般指观花如一、</w:t>
      </w:r>
      <w:r>
        <w:rPr>
          <w:rFonts w:ascii="宋体" w:hAnsi="宋体" w:eastAsia="宋体" w:cs="宋体"/>
          <w:spacing w:val="10"/>
          <w:sz w:val="20"/>
          <w:szCs w:val="20"/>
        </w:rPr>
        <w:t>二年生及多年生的草本植物）。（定额表现为露地花卉）</w:t>
      </w:r>
    </w:p>
    <w:p>
      <w:pPr>
        <w:spacing w:before="3" w:line="369" w:lineRule="auto"/>
        <w:ind w:left="423" w:right="248" w:hanging="3"/>
        <w:rPr>
          <w:rFonts w:ascii="宋体" w:hAnsi="宋体" w:eastAsia="宋体" w:cs="宋体"/>
          <w:sz w:val="20"/>
          <w:szCs w:val="20"/>
        </w:rPr>
      </w:pPr>
      <w:r>
        <w:rPr>
          <w:rFonts w:ascii="宋体" w:hAnsi="宋体" w:eastAsia="宋体" w:cs="宋体"/>
          <w:spacing w:val="10"/>
          <w:sz w:val="20"/>
          <w:szCs w:val="20"/>
        </w:rPr>
        <w:t>水生类植物：指完全能在水中生长的植物。（定额表现为湿生植物、挺水植物、浮</w:t>
      </w:r>
      <w:r>
        <w:rPr>
          <w:rFonts w:ascii="宋体" w:hAnsi="宋体" w:eastAsia="宋体" w:cs="宋体"/>
          <w:spacing w:val="9"/>
          <w:sz w:val="20"/>
          <w:szCs w:val="20"/>
        </w:rPr>
        <w:t>叶植物）</w:t>
      </w:r>
      <w:r>
        <w:rPr>
          <w:rFonts w:ascii="宋体" w:hAnsi="宋体" w:eastAsia="宋体" w:cs="宋体"/>
          <w:spacing w:val="10"/>
          <w:sz w:val="20"/>
          <w:szCs w:val="20"/>
        </w:rPr>
        <w:t>草坪：指干枝叶均匍地而生，成片种植覆盖地面的草本植物。（定额表现为</w:t>
      </w:r>
      <w:r>
        <w:rPr>
          <w:rFonts w:ascii="宋体" w:hAnsi="宋体" w:eastAsia="宋体" w:cs="宋体"/>
          <w:spacing w:val="9"/>
          <w:sz w:val="20"/>
          <w:szCs w:val="20"/>
        </w:rPr>
        <w:t>铺、种草皮）</w:t>
      </w:r>
    </w:p>
    <w:p>
      <w:pPr>
        <w:spacing w:before="2" w:line="350" w:lineRule="auto"/>
        <w:ind w:left="3" w:firstLine="416"/>
        <w:rPr>
          <w:rFonts w:ascii="宋体" w:hAnsi="宋体" w:eastAsia="宋体" w:cs="宋体"/>
          <w:sz w:val="20"/>
          <w:szCs w:val="20"/>
        </w:rPr>
      </w:pPr>
      <w:r>
        <w:rPr>
          <w:rFonts w:ascii="宋体" w:hAnsi="宋体" w:eastAsia="宋体" w:cs="宋体"/>
          <w:spacing w:val="11"/>
          <w:sz w:val="20"/>
          <w:szCs w:val="20"/>
        </w:rPr>
        <w:t>植生带：指采用有一定韧性和弹性的无纺布，在其上均匀撒播种子和肥料而培育</w:t>
      </w:r>
      <w:r>
        <w:rPr>
          <w:rFonts w:ascii="宋体" w:hAnsi="宋体" w:eastAsia="宋体" w:cs="宋体"/>
          <w:spacing w:val="10"/>
          <w:sz w:val="20"/>
          <w:szCs w:val="20"/>
        </w:rPr>
        <w:t>出来的地毯式</w:t>
      </w:r>
      <w:r>
        <w:rPr>
          <w:rFonts w:ascii="宋体" w:hAnsi="宋体" w:eastAsia="宋体" w:cs="宋体"/>
          <w:spacing w:val="7"/>
          <w:sz w:val="20"/>
          <w:szCs w:val="20"/>
        </w:rPr>
        <w:t>草坪种植生带。</w:t>
      </w:r>
    </w:p>
    <w:p>
      <w:pPr>
        <w:spacing w:before="42" w:line="277" w:lineRule="exact"/>
        <w:ind w:left="420"/>
        <w:rPr>
          <w:rFonts w:ascii="宋体" w:hAnsi="宋体" w:eastAsia="宋体" w:cs="宋体"/>
          <w:sz w:val="20"/>
          <w:szCs w:val="20"/>
        </w:rPr>
      </w:pPr>
      <w:r>
        <w:rPr>
          <w:rFonts w:ascii="宋体" w:hAnsi="宋体" w:eastAsia="宋体" w:cs="宋体"/>
          <w:spacing w:val="10"/>
          <w:position w:val="1"/>
          <w:sz w:val="20"/>
          <w:szCs w:val="20"/>
        </w:rPr>
        <w:t>假植：指苗木不能及时栽植时，将苗木根系用</w:t>
      </w:r>
      <w:r>
        <w:rPr>
          <w:rFonts w:ascii="宋体" w:hAnsi="宋体" w:eastAsia="宋体" w:cs="宋体"/>
          <w:spacing w:val="9"/>
          <w:position w:val="1"/>
          <w:sz w:val="20"/>
          <w:szCs w:val="20"/>
        </w:rPr>
        <w:t>湿润土做临时性填埋的绿化工程措施。</w:t>
      </w:r>
    </w:p>
    <w:p>
      <w:pPr>
        <w:spacing w:before="198" w:line="4049" w:lineRule="exact"/>
        <w:ind w:firstLine="237"/>
      </w:pPr>
      <w:r>
        <w:rPr>
          <w:position w:val="-80"/>
        </w:rPr>
        <w:drawing>
          <wp:inline distT="0" distB="0" distL="0" distR="0">
            <wp:extent cx="5335270" cy="257048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398"/>
                    <a:stretch>
                      <a:fillRect/>
                    </a:stretch>
                  </pic:blipFill>
                  <pic:spPr>
                    <a:xfrm>
                      <a:off x="0" y="0"/>
                      <a:ext cx="5335523" cy="2570988"/>
                    </a:xfrm>
                    <a:prstGeom prst="rect">
                      <a:avLst/>
                    </a:prstGeom>
                  </pic:spPr>
                </pic:pic>
              </a:graphicData>
            </a:graphic>
          </wp:inline>
        </w:drawing>
      </w:r>
    </w:p>
    <w:p>
      <w:pPr>
        <w:spacing w:before="151" w:line="277" w:lineRule="exact"/>
        <w:ind w:left="421"/>
        <w:rPr>
          <w:rFonts w:ascii="宋体" w:hAnsi="宋体" w:eastAsia="宋体" w:cs="宋体"/>
          <w:sz w:val="20"/>
          <w:szCs w:val="20"/>
        </w:rPr>
      </w:pPr>
      <w:r>
        <w:rPr>
          <w:rFonts w:ascii="宋体" w:hAnsi="宋体" w:eastAsia="宋体" w:cs="宋体"/>
          <w:spacing w:val="6"/>
          <w:position w:val="1"/>
          <w:sz w:val="20"/>
          <w:szCs w:val="20"/>
        </w:rPr>
        <w:t>胸径：指地表面向上</w:t>
      </w:r>
      <w:r>
        <w:rPr>
          <w:rFonts w:ascii="宋体" w:hAnsi="宋体" w:eastAsia="宋体" w:cs="宋体"/>
          <w:spacing w:val="-20"/>
          <w:position w:val="1"/>
          <w:sz w:val="20"/>
          <w:szCs w:val="20"/>
        </w:rPr>
        <w:t xml:space="preserve"> </w:t>
      </w:r>
      <w:r>
        <w:rPr>
          <w:rFonts w:ascii="宋体" w:hAnsi="宋体" w:eastAsia="宋体" w:cs="宋体"/>
          <w:spacing w:val="6"/>
          <w:position w:val="1"/>
          <w:sz w:val="20"/>
          <w:szCs w:val="20"/>
        </w:rPr>
        <w:t>1.2m</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高处树干的直径。</w:t>
      </w:r>
    </w:p>
    <w:p>
      <w:pPr>
        <w:spacing w:before="124" w:line="277" w:lineRule="exact"/>
        <w:ind w:left="422"/>
        <w:rPr>
          <w:rFonts w:ascii="宋体" w:hAnsi="宋体" w:eastAsia="宋体" w:cs="宋体"/>
          <w:sz w:val="20"/>
          <w:szCs w:val="20"/>
        </w:rPr>
      </w:pPr>
      <w:r>
        <w:rPr>
          <w:rFonts w:ascii="宋体" w:hAnsi="宋体" w:eastAsia="宋体" w:cs="宋体"/>
          <w:spacing w:val="6"/>
          <w:position w:val="1"/>
          <w:sz w:val="20"/>
          <w:szCs w:val="20"/>
        </w:rPr>
        <w:t>地径：指地表面向上</w:t>
      </w:r>
      <w:r>
        <w:rPr>
          <w:rFonts w:ascii="宋体" w:hAnsi="宋体" w:eastAsia="宋体" w:cs="宋体"/>
          <w:spacing w:val="-26"/>
          <w:position w:val="1"/>
          <w:sz w:val="20"/>
          <w:szCs w:val="20"/>
        </w:rPr>
        <w:t xml:space="preserve"> </w:t>
      </w:r>
      <w:r>
        <w:rPr>
          <w:rFonts w:ascii="宋体" w:hAnsi="宋体" w:eastAsia="宋体" w:cs="宋体"/>
          <w:spacing w:val="6"/>
          <w:position w:val="1"/>
          <w:sz w:val="20"/>
          <w:szCs w:val="20"/>
        </w:rPr>
        <w:t>0.1m</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高处树干直径。</w:t>
      </w:r>
    </w:p>
    <w:p>
      <w:pPr>
        <w:spacing w:before="122" w:line="277" w:lineRule="exact"/>
        <w:ind w:left="426"/>
        <w:rPr>
          <w:rFonts w:ascii="宋体" w:hAnsi="宋体" w:eastAsia="宋体" w:cs="宋体"/>
          <w:sz w:val="20"/>
          <w:szCs w:val="20"/>
        </w:rPr>
      </w:pPr>
      <w:r>
        <w:rPr>
          <w:rFonts w:ascii="宋体" w:hAnsi="宋体" w:eastAsia="宋体" w:cs="宋体"/>
          <w:spacing w:val="9"/>
          <w:position w:val="1"/>
          <w:sz w:val="20"/>
          <w:szCs w:val="20"/>
        </w:rPr>
        <w:t>土球直径：指苗木移植时，根部所带土球的直径。</w:t>
      </w:r>
    </w:p>
    <w:p>
      <w:pPr>
        <w:spacing w:before="123" w:line="278" w:lineRule="exact"/>
        <w:ind w:left="423"/>
        <w:rPr>
          <w:rFonts w:ascii="宋体" w:hAnsi="宋体" w:eastAsia="宋体" w:cs="宋体"/>
          <w:sz w:val="20"/>
          <w:szCs w:val="20"/>
        </w:rPr>
      </w:pPr>
      <w:r>
        <w:rPr>
          <w:rFonts w:ascii="宋体" w:hAnsi="宋体" w:eastAsia="宋体" w:cs="宋体"/>
          <w:spacing w:val="9"/>
          <w:position w:val="1"/>
          <w:sz w:val="20"/>
          <w:szCs w:val="20"/>
        </w:rPr>
        <w:t>盘根丛径：专指丛生竹或水生植物等的根盘直径。</w:t>
      </w:r>
    </w:p>
    <w:p>
      <w:pPr>
        <w:spacing w:before="123" w:line="278" w:lineRule="exact"/>
        <w:ind w:left="422"/>
        <w:rPr>
          <w:rFonts w:ascii="宋体" w:hAnsi="宋体" w:eastAsia="宋体" w:cs="宋体"/>
          <w:sz w:val="20"/>
          <w:szCs w:val="20"/>
        </w:rPr>
      </w:pPr>
      <w:r>
        <w:rPr>
          <w:rFonts w:ascii="宋体" w:hAnsi="宋体" w:eastAsia="宋体" w:cs="宋体"/>
          <w:spacing w:val="9"/>
          <w:position w:val="1"/>
          <w:sz w:val="20"/>
          <w:szCs w:val="20"/>
        </w:rPr>
        <w:t>冠（灌）丛高：指地表面至乔（灌）木顶端的高度。</w:t>
      </w:r>
    </w:p>
    <w:p>
      <w:pPr>
        <w:spacing w:before="121" w:line="277" w:lineRule="exact"/>
        <w:ind w:left="422"/>
        <w:rPr>
          <w:rFonts w:ascii="宋体" w:hAnsi="宋体" w:eastAsia="宋体" w:cs="宋体"/>
          <w:sz w:val="20"/>
          <w:szCs w:val="20"/>
        </w:rPr>
      </w:pPr>
      <w:r>
        <w:rPr>
          <w:rFonts w:ascii="宋体" w:hAnsi="宋体" w:eastAsia="宋体" w:cs="宋体"/>
          <w:spacing w:val="9"/>
          <w:position w:val="1"/>
          <w:sz w:val="20"/>
          <w:szCs w:val="20"/>
        </w:rPr>
        <w:t>绿篱高度：指自地表面至绿篱顶端的高度。</w:t>
      </w:r>
    </w:p>
    <w:p>
      <w:pPr>
        <w:spacing w:before="123" w:line="278" w:lineRule="exact"/>
        <w:ind w:left="423"/>
        <w:rPr>
          <w:rFonts w:ascii="宋体" w:hAnsi="宋体" w:eastAsia="宋体" w:cs="宋体"/>
          <w:sz w:val="20"/>
          <w:szCs w:val="20"/>
        </w:rPr>
      </w:pPr>
      <w:r>
        <w:rPr>
          <w:rFonts w:ascii="宋体" w:hAnsi="宋体" w:eastAsia="宋体" w:cs="宋体"/>
          <w:spacing w:val="9"/>
          <w:position w:val="1"/>
          <w:sz w:val="20"/>
          <w:szCs w:val="20"/>
        </w:rPr>
        <w:t>苗木高度：指苗木自地面至最高生长点之间的垂直距离。</w:t>
      </w:r>
    </w:p>
    <w:p>
      <w:pPr>
        <w:spacing w:before="123" w:line="276" w:lineRule="exact"/>
        <w:ind w:left="422"/>
        <w:rPr>
          <w:rFonts w:ascii="宋体" w:hAnsi="宋体" w:eastAsia="宋体" w:cs="宋体"/>
          <w:sz w:val="20"/>
          <w:szCs w:val="20"/>
        </w:rPr>
      </w:pPr>
      <w:r>
        <w:rPr>
          <w:rFonts w:ascii="宋体" w:hAnsi="宋体" w:eastAsia="宋体" w:cs="宋体"/>
          <w:spacing w:val="9"/>
          <w:position w:val="1"/>
          <w:sz w:val="20"/>
          <w:szCs w:val="20"/>
        </w:rPr>
        <w:t>冠径：又称冠幅，指苗木冠丛垂直投影面的最大直径和最小直径之间的平均值。</w:t>
      </w:r>
    </w:p>
    <w:p>
      <w:pPr>
        <w:spacing w:before="123" w:line="277" w:lineRule="exact"/>
        <w:ind w:left="421"/>
        <w:rPr>
          <w:rFonts w:ascii="宋体" w:hAnsi="宋体" w:eastAsia="宋体" w:cs="宋体"/>
          <w:sz w:val="20"/>
          <w:szCs w:val="20"/>
        </w:rPr>
      </w:pPr>
      <w:r>
        <w:rPr>
          <w:rFonts w:ascii="宋体" w:hAnsi="宋体" w:eastAsia="宋体" w:cs="宋体"/>
          <w:spacing w:val="9"/>
          <w:position w:val="1"/>
          <w:sz w:val="20"/>
          <w:szCs w:val="20"/>
        </w:rPr>
        <w:t>蓬径：指灌木、灌丛垂直投影面的直径。</w:t>
      </w:r>
    </w:p>
    <w:p>
      <w:pPr>
        <w:spacing w:line="277" w:lineRule="exact"/>
        <w:rPr>
          <w:rFonts w:ascii="宋体" w:hAnsi="宋体" w:eastAsia="宋体" w:cs="宋体"/>
          <w:sz w:val="20"/>
          <w:szCs w:val="20"/>
        </w:rPr>
        <w:sectPr>
          <w:footerReference r:id="rId192" w:type="default"/>
          <w:pgSz w:w="11906" w:h="16839"/>
          <w:pgMar w:top="400" w:right="1420"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3"/>
        <w:rPr>
          <w:rFonts w:ascii="宋体" w:hAnsi="宋体" w:eastAsia="宋体" w:cs="宋体"/>
          <w:sz w:val="20"/>
          <w:szCs w:val="20"/>
        </w:rPr>
      </w:pPr>
      <w:r>
        <w:rPr>
          <w:rFonts w:ascii="宋体" w:hAnsi="宋体" w:eastAsia="宋体" w:cs="宋体"/>
          <w:spacing w:val="9"/>
          <w:position w:val="1"/>
          <w:sz w:val="20"/>
          <w:szCs w:val="20"/>
        </w:rPr>
        <w:t>苗木长度：又称蓬长，茎长，系指攀援植物的主径从根部至梢头之间的长度。</w:t>
      </w:r>
    </w:p>
    <w:p>
      <w:pPr>
        <w:spacing w:before="123" w:line="278" w:lineRule="exact"/>
        <w:ind w:left="420"/>
        <w:rPr>
          <w:rFonts w:ascii="宋体" w:hAnsi="宋体" w:eastAsia="宋体" w:cs="宋体"/>
          <w:sz w:val="20"/>
          <w:szCs w:val="20"/>
        </w:rPr>
      </w:pPr>
      <w:r>
        <w:rPr>
          <w:rFonts w:ascii="宋体" w:hAnsi="宋体" w:eastAsia="宋体" w:cs="宋体"/>
          <w:spacing w:val="9"/>
          <w:position w:val="1"/>
          <w:sz w:val="20"/>
          <w:szCs w:val="20"/>
        </w:rPr>
        <w:t>栽植密度：指单位面积内所种植苗木的数量。</w:t>
      </w:r>
    </w:p>
    <w:p>
      <w:pPr>
        <w:spacing w:before="123" w:line="277" w:lineRule="exact"/>
        <w:ind w:left="422"/>
        <w:rPr>
          <w:rFonts w:ascii="宋体" w:hAnsi="宋体" w:eastAsia="宋体" w:cs="宋体"/>
          <w:sz w:val="20"/>
          <w:szCs w:val="20"/>
        </w:rPr>
      </w:pPr>
      <w:r>
        <w:rPr>
          <w:rFonts w:ascii="宋体" w:hAnsi="宋体" w:eastAsia="宋体" w:cs="宋体"/>
          <w:spacing w:val="9"/>
          <w:position w:val="1"/>
          <w:sz w:val="20"/>
          <w:szCs w:val="20"/>
        </w:rPr>
        <w:t>分枝点：指从树干主干分叉分枝的离地面距离最近的接点。</w:t>
      </w:r>
    </w:p>
    <w:p>
      <w:pPr>
        <w:spacing w:before="121" w:line="278" w:lineRule="exact"/>
        <w:ind w:left="440"/>
        <w:rPr>
          <w:rFonts w:ascii="宋体" w:hAnsi="宋体" w:eastAsia="宋体" w:cs="宋体"/>
          <w:sz w:val="20"/>
          <w:szCs w:val="20"/>
        </w:rPr>
      </w:pPr>
      <w:r>
        <w:rPr>
          <w:rFonts w:ascii="宋体" w:hAnsi="宋体" w:eastAsia="宋体" w:cs="宋体"/>
          <w:b/>
          <w:bCs/>
          <w:spacing w:val="4"/>
          <w:position w:val="1"/>
          <w:sz w:val="20"/>
          <w:szCs w:val="20"/>
        </w:rPr>
        <w:t>17.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关于园林绿化工程定额中园路的适用范围</w:t>
      </w:r>
    </w:p>
    <w:p>
      <w:pPr>
        <w:spacing w:before="127" w:line="367" w:lineRule="auto"/>
        <w:ind w:right="182" w:firstLine="437"/>
        <w:rPr>
          <w:rFonts w:ascii="宋体" w:hAnsi="宋体" w:eastAsia="宋体" w:cs="宋体"/>
          <w:sz w:val="20"/>
          <w:szCs w:val="20"/>
        </w:rPr>
      </w:pPr>
      <w:r>
        <w:rPr>
          <w:rFonts w:ascii="宋体" w:hAnsi="宋体" w:eastAsia="宋体" w:cs="宋体"/>
          <w:spacing w:val="10"/>
          <w:sz w:val="20"/>
          <w:szCs w:val="20"/>
        </w:rPr>
        <w:t>园林绿化工程定额中的园路适用于公园、小游园、庭院中的行人甬道、广场、台阶及蹬道，主要由主路延伸路段、通向各个景观空间节点、满足游</w:t>
      </w:r>
      <w:r>
        <w:rPr>
          <w:rFonts w:ascii="宋体" w:hAnsi="宋体" w:eastAsia="宋体" w:cs="宋体"/>
          <w:spacing w:val="9"/>
          <w:sz w:val="20"/>
          <w:szCs w:val="20"/>
        </w:rPr>
        <w:t>览通道要求的道路，不通行车辆。</w:t>
      </w:r>
    </w:p>
    <w:p>
      <w:pPr>
        <w:spacing w:line="277" w:lineRule="exact"/>
        <w:ind w:left="440"/>
        <w:rPr>
          <w:rFonts w:ascii="宋体" w:hAnsi="宋体" w:eastAsia="宋体" w:cs="宋体"/>
          <w:sz w:val="20"/>
          <w:szCs w:val="20"/>
        </w:rPr>
      </w:pPr>
      <w:r>
        <w:rPr>
          <w:rFonts w:ascii="宋体" w:hAnsi="宋体" w:eastAsia="宋体" w:cs="宋体"/>
          <w:b/>
          <w:bCs/>
          <w:spacing w:val="2"/>
          <w:position w:val="1"/>
          <w:sz w:val="20"/>
          <w:szCs w:val="20"/>
        </w:rPr>
        <w:t>18.</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关于苗木运输定额的适用范围</w:t>
      </w:r>
    </w:p>
    <w:p>
      <w:pPr>
        <w:spacing w:before="127" w:line="368" w:lineRule="auto"/>
        <w:ind w:right="182" w:firstLine="422"/>
        <w:jc w:val="both"/>
        <w:rPr>
          <w:rFonts w:ascii="宋体" w:hAnsi="宋体" w:eastAsia="宋体" w:cs="宋体"/>
          <w:sz w:val="20"/>
          <w:szCs w:val="20"/>
        </w:rPr>
      </w:pPr>
      <w:r>
        <w:rPr>
          <w:rFonts w:ascii="宋体" w:hAnsi="宋体" w:eastAsia="宋体" w:cs="宋体"/>
          <w:spacing w:val="8"/>
          <w:sz w:val="20"/>
          <w:szCs w:val="20"/>
        </w:rPr>
        <w:t>苗木运输定额适用于绿化工程中的植物移植，是指将已经种植的苗木移植到其他位 ，包括设计</w:t>
      </w:r>
      <w:r>
        <w:rPr>
          <w:rFonts w:ascii="宋体" w:hAnsi="宋体" w:eastAsia="宋体" w:cs="宋体"/>
          <w:spacing w:val="11"/>
          <w:sz w:val="20"/>
          <w:szCs w:val="20"/>
        </w:rPr>
        <w:t>变更导致的移栽、现场原有树木位移或其他非施工方原因造成的位移，不适用</w:t>
      </w:r>
      <w:r>
        <w:rPr>
          <w:rFonts w:ascii="宋体" w:hAnsi="宋体" w:eastAsia="宋体" w:cs="宋体"/>
          <w:spacing w:val="10"/>
          <w:sz w:val="20"/>
          <w:szCs w:val="20"/>
        </w:rPr>
        <w:t>于新建绿化工程或新</w:t>
      </w:r>
      <w:r>
        <w:rPr>
          <w:rFonts w:ascii="宋体" w:hAnsi="宋体" w:eastAsia="宋体" w:cs="宋体"/>
          <w:spacing w:val="6"/>
          <w:sz w:val="20"/>
          <w:szCs w:val="20"/>
        </w:rPr>
        <w:t>栽植苗木。</w:t>
      </w:r>
    </w:p>
    <w:p>
      <w:pPr>
        <w:spacing w:line="277" w:lineRule="exact"/>
        <w:ind w:left="440"/>
        <w:rPr>
          <w:rFonts w:ascii="宋体" w:hAnsi="宋体" w:eastAsia="宋体" w:cs="宋体"/>
          <w:sz w:val="20"/>
          <w:szCs w:val="20"/>
        </w:rPr>
      </w:pPr>
      <w:r>
        <w:rPr>
          <w:rFonts w:ascii="宋体" w:hAnsi="宋体" w:eastAsia="宋体" w:cs="宋体"/>
          <w:b/>
          <w:bCs/>
          <w:spacing w:val="4"/>
          <w:position w:val="1"/>
          <w:sz w:val="20"/>
          <w:szCs w:val="20"/>
        </w:rPr>
        <w:t>19.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关于“人工换土”定额项目的适用范围</w:t>
      </w:r>
    </w:p>
    <w:p>
      <w:pPr>
        <w:spacing w:before="122" w:line="367" w:lineRule="auto"/>
        <w:ind w:left="1" w:right="182" w:firstLine="419"/>
        <w:rPr>
          <w:rFonts w:ascii="宋体" w:hAnsi="宋体" w:eastAsia="宋体" w:cs="宋体"/>
          <w:sz w:val="20"/>
          <w:szCs w:val="20"/>
        </w:rPr>
      </w:pPr>
      <w:r>
        <w:rPr>
          <w:rFonts w:ascii="宋体" w:hAnsi="宋体" w:eastAsia="宋体" w:cs="宋体"/>
          <w:spacing w:val="11"/>
          <w:sz w:val="20"/>
          <w:szCs w:val="20"/>
        </w:rPr>
        <w:t>定额人工换土主要用于单株植物种植点的土质不能满足植物生长时，采取种植土</w:t>
      </w:r>
      <w:r>
        <w:rPr>
          <w:rFonts w:ascii="宋体" w:hAnsi="宋体" w:eastAsia="宋体" w:cs="宋体"/>
          <w:spacing w:val="10"/>
          <w:sz w:val="20"/>
          <w:szCs w:val="20"/>
        </w:rPr>
        <w:t>换填的施工方</w:t>
      </w:r>
      <w:r>
        <w:rPr>
          <w:rFonts w:ascii="宋体" w:hAnsi="宋体" w:eastAsia="宋体" w:cs="宋体"/>
          <w:spacing w:val="9"/>
          <w:sz w:val="20"/>
          <w:szCs w:val="20"/>
        </w:rPr>
        <w:t>式。定额包括 100m</w:t>
      </w:r>
      <w:r>
        <w:rPr>
          <w:rFonts w:ascii="宋体" w:hAnsi="宋体" w:eastAsia="宋体" w:cs="宋体"/>
          <w:spacing w:val="28"/>
          <w:sz w:val="20"/>
          <w:szCs w:val="20"/>
        </w:rPr>
        <w:t xml:space="preserve"> </w:t>
      </w:r>
      <w:r>
        <w:rPr>
          <w:rFonts w:ascii="宋体" w:hAnsi="宋体" w:eastAsia="宋体" w:cs="宋体"/>
          <w:spacing w:val="9"/>
          <w:sz w:val="20"/>
          <w:szCs w:val="20"/>
        </w:rPr>
        <w:t>以内的土方运输。</w:t>
      </w:r>
    </w:p>
    <w:p>
      <w:pPr>
        <w:spacing w:before="4" w:line="369" w:lineRule="auto"/>
        <w:ind w:left="2" w:right="179" w:firstLine="402"/>
        <w:rPr>
          <w:rFonts w:ascii="宋体" w:hAnsi="宋体" w:eastAsia="宋体" w:cs="宋体"/>
          <w:sz w:val="20"/>
          <w:szCs w:val="20"/>
        </w:rPr>
      </w:pPr>
      <w:r>
        <w:rPr>
          <w:rFonts w:ascii="宋体" w:hAnsi="宋体" w:eastAsia="宋体" w:cs="宋体"/>
          <w:spacing w:val="5"/>
          <w:sz w:val="20"/>
          <w:szCs w:val="20"/>
        </w:rPr>
        <w:t>《山东省园林绿化工程计价依据动态调整汇编（2023</w:t>
      </w:r>
      <w:r>
        <w:rPr>
          <w:rFonts w:ascii="宋体" w:hAnsi="宋体" w:eastAsia="宋体" w:cs="宋体"/>
          <w:spacing w:val="-39"/>
          <w:sz w:val="20"/>
          <w:szCs w:val="20"/>
        </w:rPr>
        <w:t xml:space="preserve"> </w:t>
      </w:r>
      <w:r>
        <w:rPr>
          <w:rFonts w:ascii="宋体" w:hAnsi="宋体" w:eastAsia="宋体" w:cs="宋体"/>
          <w:spacing w:val="4"/>
          <w:sz w:val="20"/>
          <w:szCs w:val="20"/>
        </w:rPr>
        <w:t>年度）》删除了原定额</w:t>
      </w:r>
      <w:r>
        <w:rPr>
          <w:rFonts w:ascii="宋体" w:hAnsi="宋体" w:eastAsia="宋体" w:cs="宋体"/>
          <w:spacing w:val="31"/>
          <w:sz w:val="20"/>
          <w:szCs w:val="20"/>
        </w:rPr>
        <w:t xml:space="preserve"> </w:t>
      </w:r>
      <w:r>
        <w:rPr>
          <w:rFonts w:ascii="宋体" w:hAnsi="宋体" w:eastAsia="宋体" w:cs="宋体"/>
          <w:spacing w:val="4"/>
          <w:sz w:val="20"/>
          <w:szCs w:val="20"/>
        </w:rPr>
        <w:t>1-1-74（草坪、</w:t>
      </w:r>
      <w:r>
        <w:rPr>
          <w:rFonts w:ascii="宋体" w:hAnsi="宋体" w:eastAsia="宋体" w:cs="宋体"/>
          <w:spacing w:val="-38"/>
          <w:sz w:val="20"/>
          <w:szCs w:val="20"/>
        </w:rPr>
        <w:t xml:space="preserve"> </w:t>
      </w:r>
      <w:r>
        <w:rPr>
          <w:rFonts w:ascii="宋体" w:hAnsi="宋体" w:eastAsia="宋体" w:cs="宋体"/>
          <w:spacing w:val="4"/>
          <w:sz w:val="20"/>
          <w:szCs w:val="20"/>
        </w:rPr>
        <w:t>花</w:t>
      </w:r>
      <w:r>
        <w:rPr>
          <w:rFonts w:ascii="宋体" w:hAnsi="宋体" w:eastAsia="宋体" w:cs="宋体"/>
          <w:spacing w:val="10"/>
          <w:sz w:val="20"/>
          <w:szCs w:val="20"/>
        </w:rPr>
        <w:t>卉换土）、1-1-75（片植灌木换土）、1-1-7</w:t>
      </w:r>
      <w:r>
        <w:rPr>
          <w:rFonts w:ascii="宋体" w:hAnsi="宋体" w:eastAsia="宋体" w:cs="宋体"/>
          <w:spacing w:val="9"/>
          <w:sz w:val="20"/>
          <w:szCs w:val="20"/>
        </w:rPr>
        <w:t>8（地面换土综合项）三项定额，当发生草坪、花卉、</w:t>
      </w:r>
      <w:r>
        <w:rPr>
          <w:rFonts w:ascii="宋体" w:hAnsi="宋体" w:eastAsia="宋体" w:cs="宋体"/>
          <w:spacing w:val="12"/>
          <w:sz w:val="20"/>
          <w:szCs w:val="20"/>
        </w:rPr>
        <w:t>片植灌木等需要成片换土时，执行第四章“土方回填”定额子目。“土方回填”定额包括</w:t>
      </w:r>
      <w:r>
        <w:rPr>
          <w:rFonts w:ascii="宋体" w:hAnsi="宋体" w:eastAsia="宋体" w:cs="宋体"/>
          <w:spacing w:val="-28"/>
          <w:sz w:val="20"/>
          <w:szCs w:val="20"/>
        </w:rPr>
        <w:t xml:space="preserve"> </w:t>
      </w:r>
      <w:r>
        <w:rPr>
          <w:rFonts w:ascii="宋体" w:hAnsi="宋体" w:eastAsia="宋体" w:cs="宋体"/>
          <w:spacing w:val="12"/>
          <w:sz w:val="20"/>
          <w:szCs w:val="20"/>
        </w:rPr>
        <w:t>5m</w:t>
      </w:r>
      <w:r>
        <w:rPr>
          <w:rFonts w:ascii="宋体" w:hAnsi="宋体" w:eastAsia="宋体" w:cs="宋体"/>
          <w:spacing w:val="-22"/>
          <w:sz w:val="20"/>
          <w:szCs w:val="20"/>
        </w:rPr>
        <w:t xml:space="preserve"> </w:t>
      </w:r>
      <w:r>
        <w:rPr>
          <w:rFonts w:ascii="宋体" w:hAnsi="宋体" w:eastAsia="宋体" w:cs="宋体"/>
          <w:spacing w:val="12"/>
          <w:sz w:val="20"/>
          <w:szCs w:val="20"/>
        </w:rPr>
        <w:t>以内</w:t>
      </w:r>
      <w:r>
        <w:rPr>
          <w:rFonts w:ascii="宋体" w:hAnsi="宋体" w:eastAsia="宋体" w:cs="宋体"/>
          <w:spacing w:val="9"/>
          <w:sz w:val="20"/>
          <w:szCs w:val="20"/>
        </w:rPr>
        <w:t>的就近取土和回填，若超过</w:t>
      </w:r>
      <w:r>
        <w:rPr>
          <w:rFonts w:ascii="宋体" w:hAnsi="宋体" w:eastAsia="宋体" w:cs="宋体"/>
          <w:spacing w:val="-24"/>
          <w:sz w:val="20"/>
          <w:szCs w:val="20"/>
        </w:rPr>
        <w:t xml:space="preserve"> </w:t>
      </w:r>
      <w:r>
        <w:rPr>
          <w:rFonts w:ascii="宋体" w:hAnsi="宋体" w:eastAsia="宋体" w:cs="宋体"/>
          <w:spacing w:val="9"/>
          <w:sz w:val="20"/>
          <w:szCs w:val="20"/>
        </w:rPr>
        <w:t>5m</w:t>
      </w:r>
      <w:r>
        <w:rPr>
          <w:rFonts w:ascii="宋体" w:hAnsi="宋体" w:eastAsia="宋体" w:cs="宋体"/>
          <w:spacing w:val="-32"/>
          <w:sz w:val="20"/>
          <w:szCs w:val="20"/>
        </w:rPr>
        <w:t xml:space="preserve"> </w:t>
      </w:r>
      <w:r>
        <w:rPr>
          <w:rFonts w:ascii="宋体" w:hAnsi="宋体" w:eastAsia="宋体" w:cs="宋体"/>
          <w:spacing w:val="9"/>
          <w:sz w:val="20"/>
          <w:szCs w:val="20"/>
        </w:rPr>
        <w:t>时按以下规定计算：</w:t>
      </w:r>
    </w:p>
    <w:p>
      <w:pPr>
        <w:spacing w:before="3" w:line="278"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1）就地取余松土或堆积土回填时，除执行回填土定额外，另计土方运输费用；</w:t>
      </w:r>
    </w:p>
    <w:p>
      <w:pPr>
        <w:spacing w:before="120" w:line="278" w:lineRule="exact"/>
        <w:ind w:left="413"/>
        <w:rPr>
          <w:rFonts w:ascii="宋体" w:hAnsi="宋体" w:eastAsia="宋体" w:cs="宋体"/>
          <w:sz w:val="20"/>
          <w:szCs w:val="20"/>
        </w:rPr>
      </w:pPr>
      <w:r>
        <w:rPr>
          <w:rFonts w:ascii="宋体" w:hAnsi="宋体" w:eastAsia="宋体" w:cs="宋体"/>
          <w:spacing w:val="9"/>
          <w:position w:val="1"/>
          <w:sz w:val="20"/>
          <w:szCs w:val="20"/>
        </w:rPr>
        <w:t>（2）外购土时，按实际计算土方费用。</w:t>
      </w:r>
    </w:p>
    <w:p>
      <w:pPr>
        <w:spacing w:before="123" w:line="278" w:lineRule="exact"/>
        <w:ind w:left="423"/>
        <w:rPr>
          <w:rFonts w:ascii="宋体" w:hAnsi="宋体" w:eastAsia="宋体" w:cs="宋体"/>
          <w:sz w:val="20"/>
          <w:szCs w:val="20"/>
        </w:rPr>
      </w:pPr>
      <w:r>
        <w:rPr>
          <w:rFonts w:ascii="宋体" w:hAnsi="宋体" w:eastAsia="宋体" w:cs="宋体"/>
          <w:b/>
          <w:bCs/>
          <w:spacing w:val="6"/>
          <w:position w:val="1"/>
          <w:sz w:val="20"/>
          <w:szCs w:val="20"/>
        </w:rPr>
        <w:t>20.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关于“整理绿化用地”定额项目的适用范围和工程量</w:t>
      </w:r>
      <w:r>
        <w:rPr>
          <w:rFonts w:ascii="宋体" w:hAnsi="宋体" w:eastAsia="宋体" w:cs="宋体"/>
          <w:b/>
          <w:bCs/>
          <w:spacing w:val="5"/>
          <w:position w:val="1"/>
          <w:sz w:val="20"/>
          <w:szCs w:val="20"/>
        </w:rPr>
        <w:t>计算</w:t>
      </w:r>
    </w:p>
    <w:p>
      <w:pPr>
        <w:spacing w:before="123" w:line="365" w:lineRule="auto"/>
        <w:ind w:left="18" w:right="174" w:firstLine="378"/>
        <w:jc w:val="both"/>
        <w:rPr>
          <w:rFonts w:ascii="宋体" w:hAnsi="宋体" w:eastAsia="宋体" w:cs="宋体"/>
          <w:sz w:val="20"/>
          <w:szCs w:val="20"/>
        </w:rPr>
      </w:pPr>
      <w:r>
        <w:rPr>
          <w:rFonts w:ascii="宋体" w:hAnsi="宋体" w:eastAsia="宋体" w:cs="宋体"/>
          <w:spacing w:val="-1"/>
          <w:sz w:val="20"/>
          <w:szCs w:val="20"/>
        </w:rPr>
        <w:t>“整理绿化用地”是指施工场地内原有种植土厚度在</w:t>
      </w:r>
      <w:r>
        <w:rPr>
          <w:rFonts w:ascii="宋体" w:hAnsi="宋体" w:eastAsia="宋体" w:cs="宋体"/>
          <w:spacing w:val="-50"/>
          <w:sz w:val="20"/>
          <w:szCs w:val="20"/>
        </w:rPr>
        <w:t xml:space="preserve"> </w:t>
      </w:r>
      <w:r>
        <w:rPr>
          <w:rFonts w:ascii="宋体" w:hAnsi="宋体" w:eastAsia="宋体" w:cs="宋体"/>
          <w:spacing w:val="-1"/>
          <w:sz w:val="20"/>
          <w:szCs w:val="20"/>
        </w:rPr>
        <w:t>±30cm</w:t>
      </w:r>
      <w:r>
        <w:rPr>
          <w:rFonts w:ascii="宋体" w:hAnsi="宋体" w:eastAsia="宋体" w:cs="宋体"/>
          <w:spacing w:val="-29"/>
          <w:sz w:val="20"/>
          <w:szCs w:val="20"/>
        </w:rPr>
        <w:t xml:space="preserve"> </w:t>
      </w:r>
      <w:r>
        <w:rPr>
          <w:rFonts w:ascii="宋体" w:hAnsi="宋体" w:eastAsia="宋体" w:cs="宋体"/>
          <w:spacing w:val="-1"/>
          <w:sz w:val="20"/>
          <w:szCs w:val="20"/>
        </w:rPr>
        <w:t>内的挖、填、翻松、耙细、平整等工作</w:t>
      </w:r>
      <w:r>
        <w:rPr>
          <w:rFonts w:ascii="宋体" w:hAnsi="宋体" w:eastAsia="宋体" w:cs="宋体"/>
          <w:spacing w:val="6"/>
          <w:sz w:val="20"/>
          <w:szCs w:val="20"/>
        </w:rPr>
        <w:t>内容，但不包括对施工场地内草皮、地被类植物等的清除以及地上垃圾的清理</w:t>
      </w:r>
      <w:r>
        <w:rPr>
          <w:rFonts w:ascii="宋体" w:hAnsi="宋体" w:eastAsia="宋体" w:cs="宋体"/>
          <w:spacing w:val="5"/>
          <w:sz w:val="20"/>
          <w:szCs w:val="20"/>
        </w:rPr>
        <w:t>等工作，两者属于不同的工序，应分别计算。“整理绿化用地”形成的是最终地形和标高。</w:t>
      </w:r>
    </w:p>
    <w:p>
      <w:pPr>
        <w:spacing w:before="14" w:line="368" w:lineRule="auto"/>
        <w:ind w:right="170" w:firstLine="408"/>
        <w:jc w:val="both"/>
        <w:rPr>
          <w:rFonts w:ascii="宋体" w:hAnsi="宋体" w:eastAsia="宋体" w:cs="宋体"/>
          <w:sz w:val="20"/>
          <w:szCs w:val="20"/>
        </w:rPr>
      </w:pPr>
      <w:r>
        <w:rPr>
          <w:rFonts w:ascii="宋体" w:hAnsi="宋体" w:eastAsia="宋体" w:cs="宋体"/>
          <w:spacing w:val="-3"/>
          <w:sz w:val="20"/>
          <w:szCs w:val="20"/>
        </w:rPr>
        <w:t>除特殊说明外，每个绿化工程计取一次整理绿化用地，但在套用了人工回填土定额（4-1-70）后，不</w:t>
      </w:r>
      <w:r>
        <w:rPr>
          <w:rFonts w:ascii="宋体" w:hAnsi="宋体" w:eastAsia="宋体" w:cs="宋体"/>
          <w:spacing w:val="-2"/>
          <w:sz w:val="20"/>
          <w:szCs w:val="20"/>
        </w:rPr>
        <w:t>再计整理绿化地定额项目；套用机械回填土定额（4-1</w:t>
      </w:r>
      <w:r>
        <w:rPr>
          <w:rFonts w:ascii="宋体" w:hAnsi="宋体" w:eastAsia="宋体" w:cs="宋体"/>
          <w:spacing w:val="-3"/>
          <w:sz w:val="20"/>
          <w:szCs w:val="20"/>
        </w:rPr>
        <w:t>-71）后，可计一次整理绿化用地定额项目。在计算</w:t>
      </w:r>
      <w:r>
        <w:rPr>
          <w:rFonts w:ascii="宋体" w:hAnsi="宋体" w:eastAsia="宋体" w:cs="宋体"/>
          <w:spacing w:val="-1"/>
          <w:sz w:val="20"/>
          <w:szCs w:val="20"/>
        </w:rPr>
        <w:t>机械松填土土方工程量时，不需要扣除</w:t>
      </w:r>
      <w:r>
        <w:rPr>
          <w:rFonts w:ascii="宋体" w:hAnsi="宋体" w:eastAsia="宋体" w:cs="宋体"/>
          <w:spacing w:val="-51"/>
          <w:sz w:val="20"/>
          <w:szCs w:val="20"/>
        </w:rPr>
        <w:t xml:space="preserve"> </w:t>
      </w:r>
      <w:r>
        <w:rPr>
          <w:rFonts w:ascii="宋体" w:hAnsi="宋体" w:eastAsia="宋体" w:cs="宋体"/>
          <w:spacing w:val="-1"/>
          <w:sz w:val="20"/>
          <w:szCs w:val="20"/>
        </w:rPr>
        <w:t>30cm</w:t>
      </w:r>
      <w:r>
        <w:rPr>
          <w:rFonts w:ascii="宋体" w:hAnsi="宋体" w:eastAsia="宋体" w:cs="宋体"/>
          <w:spacing w:val="-36"/>
          <w:sz w:val="20"/>
          <w:szCs w:val="20"/>
        </w:rPr>
        <w:t xml:space="preserve"> </w:t>
      </w:r>
      <w:r>
        <w:rPr>
          <w:rFonts w:ascii="宋体" w:hAnsi="宋体" w:eastAsia="宋体" w:cs="宋体"/>
          <w:spacing w:val="-1"/>
          <w:sz w:val="20"/>
          <w:szCs w:val="20"/>
        </w:rPr>
        <w:t>的绿化地整理土方量。</w:t>
      </w:r>
    </w:p>
    <w:p>
      <w:pPr>
        <w:spacing w:before="8" w:line="221" w:lineRule="auto"/>
        <w:ind w:left="409"/>
        <w:rPr>
          <w:rFonts w:ascii="宋体" w:hAnsi="宋体" w:eastAsia="宋体" w:cs="宋体"/>
          <w:sz w:val="20"/>
          <w:szCs w:val="20"/>
        </w:rPr>
      </w:pPr>
      <w:r>
        <w:rPr>
          <w:rFonts w:ascii="宋体" w:hAnsi="宋体" w:eastAsia="宋体" w:cs="宋体"/>
          <w:spacing w:val="4"/>
          <w:sz w:val="20"/>
          <w:szCs w:val="20"/>
        </w:rPr>
        <w:t>“绿地起坡造型”定额已综合考虑了整理绿化地相应用工，故不可再单独计算整理绿</w:t>
      </w:r>
      <w:r>
        <w:rPr>
          <w:rFonts w:ascii="宋体" w:hAnsi="宋体" w:eastAsia="宋体" w:cs="宋体"/>
          <w:spacing w:val="3"/>
          <w:sz w:val="20"/>
          <w:szCs w:val="20"/>
        </w:rPr>
        <w:t>化用地。</w:t>
      </w:r>
    </w:p>
    <w:p>
      <w:pPr>
        <w:spacing w:before="155" w:line="277" w:lineRule="exact"/>
        <w:ind w:left="423"/>
        <w:rPr>
          <w:rFonts w:ascii="宋体" w:hAnsi="宋体" w:eastAsia="宋体" w:cs="宋体"/>
          <w:sz w:val="20"/>
          <w:szCs w:val="20"/>
        </w:rPr>
      </w:pPr>
      <w:r>
        <w:rPr>
          <w:rFonts w:ascii="宋体" w:hAnsi="宋体" w:eastAsia="宋体" w:cs="宋体"/>
          <w:b/>
          <w:bCs/>
          <w:spacing w:val="6"/>
          <w:position w:val="1"/>
          <w:sz w:val="20"/>
          <w:szCs w:val="20"/>
        </w:rPr>
        <w:t>21.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关于“绿地起坡造型”定额项目的适用范围和工程量</w:t>
      </w:r>
      <w:r>
        <w:rPr>
          <w:rFonts w:ascii="宋体" w:hAnsi="宋体" w:eastAsia="宋体" w:cs="宋体"/>
          <w:b/>
          <w:bCs/>
          <w:spacing w:val="5"/>
          <w:position w:val="1"/>
          <w:sz w:val="20"/>
          <w:szCs w:val="20"/>
        </w:rPr>
        <w:t>计算</w:t>
      </w:r>
    </w:p>
    <w:p>
      <w:pPr>
        <w:pStyle w:val="2"/>
        <w:spacing w:before="127" w:line="334" w:lineRule="auto"/>
        <w:ind w:left="1" w:firstLine="409"/>
        <w:jc w:val="both"/>
        <w:rPr>
          <w:rFonts w:ascii="宋体" w:hAnsi="宋体" w:eastAsia="宋体" w:cs="宋体"/>
          <w:sz w:val="20"/>
          <w:szCs w:val="20"/>
        </w:rPr>
      </w:pPr>
      <w:r>
        <w:rPr>
          <w:rFonts w:ascii="宋体" w:hAnsi="宋体" w:eastAsia="宋体" w:cs="宋体"/>
          <w:spacing w:val="6"/>
          <w:sz w:val="20"/>
          <w:szCs w:val="20"/>
        </w:rPr>
        <w:t>在园林绿化建设过程中，绿地的土方造型指按照施工图上标明的等高线的要求进行施工的、有明</w:t>
      </w:r>
      <w:r>
        <w:rPr>
          <w:rFonts w:ascii="宋体" w:hAnsi="宋体" w:eastAsia="宋体" w:cs="宋体"/>
          <w:spacing w:val="1"/>
          <w:sz w:val="20"/>
          <w:szCs w:val="20"/>
        </w:rPr>
        <w:t>显起伏高差的地形，山东省园林绿化定额规定坡顶与</w:t>
      </w:r>
      <w:r>
        <w:rPr>
          <w:rFonts w:ascii="宋体" w:hAnsi="宋体" w:eastAsia="宋体" w:cs="宋体"/>
          <w:sz w:val="20"/>
          <w:szCs w:val="20"/>
        </w:rPr>
        <w:t>坡底高差在</w:t>
      </w:r>
      <w:r>
        <w:rPr>
          <w:rFonts w:ascii="宋体" w:hAnsi="宋体" w:eastAsia="宋体" w:cs="宋体"/>
          <w:spacing w:val="-29"/>
          <w:sz w:val="20"/>
          <w:szCs w:val="20"/>
        </w:rPr>
        <w:t xml:space="preserve"> </w:t>
      </w:r>
      <w:r>
        <w:rPr>
          <w:rFonts w:ascii="宋体" w:hAnsi="宋体" w:eastAsia="宋体" w:cs="宋体"/>
          <w:sz w:val="20"/>
          <w:szCs w:val="20"/>
        </w:rPr>
        <w:t>1.2m</w:t>
      </w:r>
      <w:r>
        <w:rPr>
          <w:rFonts w:ascii="宋体" w:hAnsi="宋体" w:eastAsia="宋体" w:cs="宋体"/>
          <w:spacing w:val="-27"/>
          <w:sz w:val="20"/>
          <w:szCs w:val="20"/>
        </w:rPr>
        <w:t xml:space="preserve"> </w:t>
      </w:r>
      <w:r>
        <w:rPr>
          <w:rFonts w:ascii="宋体" w:hAnsi="宋体" w:eastAsia="宋体" w:cs="宋体"/>
          <w:sz w:val="20"/>
          <w:szCs w:val="20"/>
        </w:rPr>
        <w:t>以内，或平均坡度在 15</w:t>
      </w:r>
      <w:r>
        <w:rPr>
          <w:sz w:val="20"/>
          <w:szCs w:val="20"/>
        </w:rPr>
        <w:t>。</w:t>
      </w:r>
      <w:r>
        <w:rPr>
          <w:rFonts w:ascii="宋体" w:hAnsi="宋体" w:eastAsia="宋体" w:cs="宋体"/>
          <w:sz w:val="20"/>
          <w:szCs w:val="20"/>
        </w:rPr>
        <w:t>以内的</w:t>
      </w:r>
      <w:r>
        <w:rPr>
          <w:rFonts w:ascii="宋体" w:hAnsi="宋体" w:eastAsia="宋体" w:cs="宋体"/>
          <w:spacing w:val="6"/>
          <w:sz w:val="20"/>
          <w:szCs w:val="20"/>
        </w:rPr>
        <w:t>绿地土方堆置可套用绿地起坡造型定额。坡顶与</w:t>
      </w:r>
      <w:r>
        <w:rPr>
          <w:rFonts w:ascii="宋体" w:hAnsi="宋体" w:eastAsia="宋体" w:cs="宋体"/>
          <w:spacing w:val="5"/>
          <w:sz w:val="20"/>
          <w:szCs w:val="20"/>
        </w:rPr>
        <w:t>坡底高差是指最高等高线与最低等高线点之间的高差。绿地起坡造型工程量按设计图示上、下等高线面积乘以上、下层间高度，分层段累计计</w:t>
      </w:r>
      <w:r>
        <w:rPr>
          <w:rFonts w:ascii="宋体" w:hAnsi="宋体" w:eastAsia="宋体" w:cs="宋体"/>
          <w:spacing w:val="4"/>
          <w:sz w:val="20"/>
          <w:szCs w:val="20"/>
        </w:rPr>
        <w:t>算。</w:t>
      </w:r>
    </w:p>
    <w:p>
      <w:pPr>
        <w:spacing w:before="34" w:line="276" w:lineRule="exact"/>
        <w:ind w:left="423"/>
        <w:rPr>
          <w:rFonts w:ascii="宋体" w:hAnsi="宋体" w:eastAsia="宋体" w:cs="宋体"/>
          <w:sz w:val="20"/>
          <w:szCs w:val="20"/>
        </w:rPr>
      </w:pPr>
      <w:r>
        <w:rPr>
          <w:rFonts w:ascii="宋体" w:hAnsi="宋体" w:eastAsia="宋体" w:cs="宋体"/>
          <w:b/>
          <w:bCs/>
          <w:spacing w:val="5"/>
          <w:position w:val="1"/>
          <w:sz w:val="20"/>
          <w:szCs w:val="20"/>
        </w:rPr>
        <w:t>22.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关于绿化养护定额项目的适用范围及</w:t>
      </w:r>
      <w:r>
        <w:rPr>
          <w:rFonts w:ascii="宋体" w:hAnsi="宋体" w:eastAsia="宋体" w:cs="宋体"/>
          <w:b/>
          <w:bCs/>
          <w:spacing w:val="4"/>
          <w:position w:val="1"/>
          <w:sz w:val="20"/>
          <w:szCs w:val="20"/>
        </w:rPr>
        <w:t>计价</w:t>
      </w:r>
    </w:p>
    <w:p>
      <w:pPr>
        <w:spacing w:before="128" w:line="371" w:lineRule="auto"/>
        <w:ind w:left="5" w:right="180" w:firstLine="416"/>
        <w:rPr>
          <w:rFonts w:ascii="宋体" w:hAnsi="宋体" w:eastAsia="宋体" w:cs="宋体"/>
          <w:sz w:val="20"/>
          <w:szCs w:val="20"/>
        </w:rPr>
      </w:pPr>
      <w:r>
        <w:rPr>
          <w:rFonts w:ascii="宋体" w:hAnsi="宋体" w:eastAsia="宋体" w:cs="宋体"/>
          <w:spacing w:val="11"/>
          <w:sz w:val="20"/>
          <w:szCs w:val="20"/>
        </w:rPr>
        <w:t>绿化养护部分定额适用于绿化工程自竣工验收起一年内的连续养护管理，若由于</w:t>
      </w:r>
      <w:r>
        <w:rPr>
          <w:rFonts w:ascii="宋体" w:hAnsi="宋体" w:eastAsia="宋体" w:cs="宋体"/>
          <w:spacing w:val="10"/>
          <w:sz w:val="20"/>
          <w:szCs w:val="20"/>
        </w:rPr>
        <w:t>特殊原因，养</w:t>
      </w:r>
      <w:r>
        <w:rPr>
          <w:rFonts w:ascii="宋体" w:hAnsi="宋体" w:eastAsia="宋体" w:cs="宋体"/>
          <w:spacing w:val="9"/>
          <w:sz w:val="20"/>
          <w:szCs w:val="20"/>
        </w:rPr>
        <w:t>护时间不足一年，可参照定额说明中的表格进行调整。</w:t>
      </w:r>
    </w:p>
    <w:p>
      <w:pPr>
        <w:spacing w:line="371" w:lineRule="auto"/>
        <w:rPr>
          <w:rFonts w:ascii="宋体" w:hAnsi="宋体" w:eastAsia="宋体" w:cs="宋体"/>
          <w:sz w:val="20"/>
          <w:szCs w:val="20"/>
        </w:rPr>
        <w:sectPr>
          <w:footerReference r:id="rId193" w:type="default"/>
          <w:pgSz w:w="11906" w:h="16839"/>
          <w:pgMar w:top="400" w:right="1238"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368" w:lineRule="auto"/>
        <w:ind w:left="4" w:right="35" w:firstLine="413"/>
        <w:rPr>
          <w:rFonts w:ascii="宋体" w:hAnsi="宋体" w:eastAsia="宋体" w:cs="宋体"/>
          <w:sz w:val="20"/>
          <w:szCs w:val="20"/>
        </w:rPr>
      </w:pPr>
      <w:r>
        <w:rPr>
          <w:rFonts w:ascii="宋体" w:hAnsi="宋体" w:eastAsia="宋体" w:cs="宋体"/>
          <w:spacing w:val="6"/>
          <w:sz w:val="20"/>
          <w:szCs w:val="20"/>
        </w:rPr>
        <w:t>该绿化养护定额不适用于一年以后的养护管理。实际养护期为两年的，第二年的养护费用按第一</w:t>
      </w:r>
      <w:r>
        <w:rPr>
          <w:rFonts w:ascii="宋体" w:hAnsi="宋体" w:eastAsia="宋体" w:cs="宋体"/>
          <w:spacing w:val="5"/>
          <w:sz w:val="20"/>
          <w:szCs w:val="20"/>
        </w:rPr>
        <w:t>年的养护费用乘以系数 0.7。两年以后的养护费用由甲乙双方合同约定。</w:t>
      </w:r>
    </w:p>
    <w:p>
      <w:pPr>
        <w:spacing w:line="278" w:lineRule="exact"/>
        <w:ind w:left="423"/>
        <w:rPr>
          <w:rFonts w:ascii="宋体" w:hAnsi="宋体" w:eastAsia="宋体" w:cs="宋体"/>
          <w:sz w:val="20"/>
          <w:szCs w:val="20"/>
        </w:rPr>
      </w:pPr>
      <w:bookmarkStart w:id="96" w:name="bookmark165"/>
      <w:bookmarkEnd w:id="96"/>
      <w:r>
        <w:rPr>
          <w:rFonts w:ascii="宋体" w:hAnsi="宋体" w:eastAsia="宋体" w:cs="宋体"/>
          <w:b/>
          <w:bCs/>
          <w:spacing w:val="2"/>
          <w:position w:val="1"/>
          <w:sz w:val="20"/>
          <w:szCs w:val="20"/>
        </w:rPr>
        <w:t>23.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关于驳岸、护岸项目</w:t>
      </w:r>
    </w:p>
    <w:p>
      <w:pPr>
        <w:spacing w:before="119" w:line="278"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7"/>
          <w:position w:val="1"/>
          <w:sz w:val="20"/>
          <w:szCs w:val="20"/>
        </w:rPr>
        <w:t xml:space="preserve"> </w:t>
      </w:r>
      <w:r>
        <w:rPr>
          <w:rFonts w:ascii="宋体" w:hAnsi="宋体" w:eastAsia="宋体" w:cs="宋体"/>
          <w:spacing w:val="8"/>
          <w:position w:val="1"/>
          <w:sz w:val="20"/>
          <w:szCs w:val="20"/>
        </w:rPr>
        <w:t>1）驳岸不包含驳岸基础部分的工程内容，基础部分根据不同做法另按相应定额执行。</w:t>
      </w:r>
    </w:p>
    <w:p>
      <w:pPr>
        <w:spacing w:before="122" w:line="297" w:lineRule="auto"/>
        <w:ind w:left="7" w:right="37" w:firstLine="406"/>
        <w:rPr>
          <w:rFonts w:ascii="宋体" w:hAnsi="宋体" w:eastAsia="宋体" w:cs="宋体"/>
          <w:sz w:val="20"/>
          <w:szCs w:val="20"/>
        </w:rPr>
      </w:pPr>
      <w:r>
        <w:rPr>
          <w:rFonts w:ascii="宋体" w:hAnsi="宋体" w:eastAsia="宋体" w:cs="宋体"/>
          <w:spacing w:val="13"/>
          <w:sz w:val="20"/>
          <w:szCs w:val="20"/>
        </w:rPr>
        <w:t>（2）镶铺卵石自然护岸项目，适用于满铺卵石护岸，卵石粒径一般在40~200</w:t>
      </w:r>
      <w:r>
        <w:rPr>
          <w:rFonts w:ascii="宋体" w:hAnsi="宋体" w:eastAsia="宋体" w:cs="宋体"/>
          <w:sz w:val="20"/>
          <w:szCs w:val="20"/>
        </w:rPr>
        <w:t>mm</w:t>
      </w:r>
      <w:r>
        <w:rPr>
          <w:rFonts w:ascii="宋体" w:hAnsi="宋体" w:eastAsia="宋体" w:cs="宋体"/>
          <w:spacing w:val="13"/>
          <w:sz w:val="20"/>
          <w:szCs w:val="20"/>
        </w:rPr>
        <w:t>，不</w:t>
      </w:r>
      <w:r>
        <w:rPr>
          <w:rFonts w:ascii="宋体" w:hAnsi="宋体" w:eastAsia="宋体" w:cs="宋体"/>
          <w:spacing w:val="12"/>
          <w:sz w:val="20"/>
          <w:szCs w:val="20"/>
        </w:rPr>
        <w:t>适用于点</w:t>
      </w:r>
      <w:r>
        <w:rPr>
          <w:rFonts w:ascii="宋体" w:hAnsi="宋体" w:eastAsia="宋体" w:cs="宋体"/>
          <w:spacing w:val="6"/>
          <w:sz w:val="20"/>
          <w:szCs w:val="20"/>
        </w:rPr>
        <w:t>布大卵石护岸。</w:t>
      </w:r>
    </w:p>
    <w:p>
      <w:pPr>
        <w:spacing w:before="156" w:line="277" w:lineRule="exact"/>
        <w:ind w:left="423"/>
        <w:rPr>
          <w:rFonts w:ascii="宋体" w:hAnsi="宋体" w:eastAsia="宋体" w:cs="宋体"/>
          <w:sz w:val="20"/>
          <w:szCs w:val="20"/>
        </w:rPr>
      </w:pPr>
      <w:r>
        <w:rPr>
          <w:rFonts w:ascii="宋体" w:hAnsi="宋体" w:eastAsia="宋体" w:cs="宋体"/>
          <w:b/>
          <w:bCs/>
          <w:spacing w:val="1"/>
          <w:position w:val="1"/>
          <w:sz w:val="20"/>
          <w:szCs w:val="20"/>
        </w:rPr>
        <w:t>24.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关于堆塑假山项目</w:t>
      </w:r>
    </w:p>
    <w:p>
      <w:pPr>
        <w:spacing w:before="123" w:line="298" w:lineRule="auto"/>
        <w:ind w:firstLine="413"/>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3"/>
          <w:sz w:val="20"/>
          <w:szCs w:val="20"/>
        </w:rPr>
        <w:t xml:space="preserve"> </w:t>
      </w:r>
      <w:r>
        <w:rPr>
          <w:rFonts w:ascii="宋体" w:hAnsi="宋体" w:eastAsia="宋体" w:cs="宋体"/>
          <w:spacing w:val="8"/>
          <w:sz w:val="20"/>
          <w:szCs w:val="20"/>
        </w:rPr>
        <w:t>1）假山定额项目均按露天、地坪以上的情况考虑，其中包括施工现场的相石、叠山、支撑、</w:t>
      </w:r>
      <w:r>
        <w:rPr>
          <w:rFonts w:ascii="宋体" w:hAnsi="宋体" w:eastAsia="宋体" w:cs="宋体"/>
          <w:spacing w:val="10"/>
          <w:sz w:val="20"/>
          <w:szCs w:val="20"/>
        </w:rPr>
        <w:t>嵌缝、养护等全部操作过程，但不包括采购山石前的</w:t>
      </w:r>
      <w:r>
        <w:rPr>
          <w:rFonts w:ascii="宋体" w:hAnsi="宋体" w:eastAsia="宋体" w:cs="宋体"/>
          <w:spacing w:val="9"/>
          <w:sz w:val="20"/>
          <w:szCs w:val="20"/>
        </w:rPr>
        <w:t>勘察、选石工作，发生时单独计算。</w:t>
      </w:r>
    </w:p>
    <w:p>
      <w:pPr>
        <w:spacing w:before="155" w:line="297" w:lineRule="auto"/>
        <w:ind w:left="2" w:right="37" w:firstLine="411"/>
        <w:rPr>
          <w:rFonts w:ascii="宋体" w:hAnsi="宋体" w:eastAsia="宋体" w:cs="宋体"/>
          <w:sz w:val="20"/>
          <w:szCs w:val="20"/>
        </w:rPr>
      </w:pPr>
      <w:r>
        <w:rPr>
          <w:rFonts w:ascii="宋体" w:hAnsi="宋体" w:eastAsia="宋体" w:cs="宋体"/>
          <w:spacing w:val="9"/>
          <w:sz w:val="20"/>
          <w:szCs w:val="20"/>
        </w:rPr>
        <w:t>（2）假山的定额子目中未包括挖土方、开</w:t>
      </w:r>
      <w:r>
        <w:rPr>
          <w:rFonts w:ascii="宋体" w:hAnsi="宋体" w:eastAsia="宋体" w:cs="宋体"/>
          <w:spacing w:val="8"/>
          <w:sz w:val="20"/>
          <w:szCs w:val="20"/>
        </w:rPr>
        <w:t>凿岩石、假山基础及垫层，发生时应按通用工程一章有关项目另行计算。</w:t>
      </w:r>
    </w:p>
    <w:p>
      <w:pPr>
        <w:spacing w:before="157" w:line="279" w:lineRule="exact"/>
        <w:ind w:left="413"/>
        <w:rPr>
          <w:rFonts w:ascii="宋体" w:hAnsi="宋体" w:eastAsia="宋体" w:cs="宋体"/>
          <w:sz w:val="20"/>
          <w:szCs w:val="20"/>
        </w:rPr>
      </w:pPr>
      <w:r>
        <w:rPr>
          <w:rFonts w:ascii="宋体" w:hAnsi="宋体" w:eastAsia="宋体" w:cs="宋体"/>
          <w:spacing w:val="9"/>
          <w:position w:val="1"/>
          <w:sz w:val="20"/>
          <w:szCs w:val="20"/>
        </w:rPr>
        <w:t>（3）堆筑土山与绿地起坡造型（地形塑造）的区别：</w:t>
      </w:r>
    </w:p>
    <w:p>
      <w:pPr>
        <w:spacing w:before="117" w:line="364" w:lineRule="auto"/>
        <w:ind w:right="35" w:firstLine="419"/>
        <w:jc w:val="both"/>
        <w:rPr>
          <w:rFonts w:ascii="宋体" w:hAnsi="宋体" w:eastAsia="宋体" w:cs="宋体"/>
          <w:sz w:val="20"/>
          <w:szCs w:val="20"/>
        </w:rPr>
      </w:pPr>
      <w:r>
        <w:rPr>
          <w:rFonts w:ascii="宋体" w:hAnsi="宋体" w:eastAsia="宋体" w:cs="宋体"/>
          <w:spacing w:val="6"/>
          <w:sz w:val="20"/>
          <w:szCs w:val="20"/>
        </w:rPr>
        <w:t>绿地起坡造型属于绿化工程中的绿化地整理的范围，山东省园林绿化工程定额规定：坡顶与坡底</w:t>
      </w:r>
      <w:r>
        <w:rPr>
          <w:rFonts w:ascii="宋体" w:hAnsi="宋体" w:eastAsia="宋体" w:cs="宋体"/>
          <w:spacing w:val="5"/>
          <w:sz w:val="20"/>
          <w:szCs w:val="20"/>
        </w:rPr>
        <w:t>高差在</w:t>
      </w:r>
      <w:r>
        <w:rPr>
          <w:rFonts w:ascii="宋体" w:hAnsi="宋体" w:eastAsia="宋体" w:cs="宋体"/>
          <w:spacing w:val="-25"/>
          <w:sz w:val="20"/>
          <w:szCs w:val="20"/>
        </w:rPr>
        <w:t xml:space="preserve"> </w:t>
      </w:r>
      <w:r>
        <w:rPr>
          <w:rFonts w:ascii="宋体" w:hAnsi="宋体" w:eastAsia="宋体" w:cs="宋体"/>
          <w:spacing w:val="5"/>
          <w:sz w:val="20"/>
          <w:szCs w:val="20"/>
        </w:rPr>
        <w:t>1.2m 以内、或平均坡度在</w:t>
      </w:r>
      <w:r>
        <w:rPr>
          <w:rFonts w:ascii="宋体" w:hAnsi="宋体" w:eastAsia="宋体" w:cs="宋体"/>
          <w:spacing w:val="-24"/>
          <w:sz w:val="20"/>
          <w:szCs w:val="20"/>
        </w:rPr>
        <w:t xml:space="preserve"> </w:t>
      </w:r>
      <w:r>
        <w:rPr>
          <w:rFonts w:ascii="宋体" w:hAnsi="宋体" w:eastAsia="宋体" w:cs="宋体"/>
          <w:spacing w:val="5"/>
          <w:sz w:val="20"/>
          <w:szCs w:val="20"/>
        </w:rPr>
        <w:t>15°以内的绿地土方堆置应套用</w:t>
      </w:r>
      <w:r>
        <w:rPr>
          <w:rFonts w:ascii="宋体" w:hAnsi="宋体" w:eastAsia="宋体" w:cs="宋体"/>
          <w:spacing w:val="4"/>
          <w:sz w:val="20"/>
          <w:szCs w:val="20"/>
        </w:rPr>
        <w:t>“绿地起坡造型”子目。堆筑土山</w:t>
      </w:r>
      <w:r>
        <w:rPr>
          <w:rFonts w:ascii="宋体" w:hAnsi="宋体" w:eastAsia="宋体" w:cs="宋体"/>
          <w:spacing w:val="5"/>
          <w:sz w:val="20"/>
          <w:szCs w:val="20"/>
        </w:rPr>
        <w:t>属于园林景观工程，高度较高，坡顶与坡底高差在</w:t>
      </w:r>
      <w:r>
        <w:rPr>
          <w:rFonts w:ascii="宋体" w:hAnsi="宋体" w:eastAsia="宋体" w:cs="宋体"/>
          <w:spacing w:val="-27"/>
          <w:sz w:val="20"/>
          <w:szCs w:val="20"/>
        </w:rPr>
        <w:t xml:space="preserve"> </w:t>
      </w:r>
      <w:r>
        <w:rPr>
          <w:rFonts w:ascii="宋体" w:hAnsi="宋体" w:eastAsia="宋体" w:cs="宋体"/>
          <w:spacing w:val="5"/>
          <w:sz w:val="20"/>
          <w:szCs w:val="20"/>
        </w:rPr>
        <w:t>1.2m 以上、或平均坡</w:t>
      </w:r>
      <w:r>
        <w:rPr>
          <w:rFonts w:ascii="宋体" w:hAnsi="宋体" w:eastAsia="宋体" w:cs="宋体"/>
          <w:spacing w:val="4"/>
          <w:sz w:val="20"/>
          <w:szCs w:val="20"/>
        </w:rPr>
        <w:t>度在</w:t>
      </w:r>
      <w:r>
        <w:rPr>
          <w:rFonts w:ascii="宋体" w:hAnsi="宋体" w:eastAsia="宋体" w:cs="宋体"/>
          <w:spacing w:val="-24"/>
          <w:sz w:val="20"/>
          <w:szCs w:val="20"/>
        </w:rPr>
        <w:t xml:space="preserve"> </w:t>
      </w:r>
      <w:r>
        <w:rPr>
          <w:rFonts w:ascii="宋体" w:hAnsi="宋体" w:eastAsia="宋体" w:cs="宋体"/>
          <w:spacing w:val="4"/>
          <w:sz w:val="20"/>
          <w:szCs w:val="20"/>
        </w:rPr>
        <w:t>15°以上的土方堆筑可</w:t>
      </w:r>
      <w:r>
        <w:rPr>
          <w:rFonts w:ascii="宋体" w:hAnsi="宋体" w:eastAsia="宋体" w:cs="宋体"/>
          <w:spacing w:val="6"/>
          <w:sz w:val="20"/>
          <w:szCs w:val="20"/>
        </w:rPr>
        <w:t>套用“堆筑土山”子目。但无论是起坡造型，还是堆筑土山，均应有明确的园林景观设计要求，通过</w:t>
      </w:r>
      <w:r>
        <w:rPr>
          <w:rFonts w:ascii="宋体" w:hAnsi="宋体" w:eastAsia="宋体" w:cs="宋体"/>
          <w:spacing w:val="7"/>
          <w:sz w:val="20"/>
          <w:szCs w:val="20"/>
        </w:rPr>
        <w:t>等高线图等方式表达土方堆置的体量形式。</w:t>
      </w:r>
    </w:p>
    <w:p>
      <w:pPr>
        <w:spacing w:before="33" w:line="277" w:lineRule="exact"/>
        <w:ind w:left="423"/>
        <w:rPr>
          <w:rFonts w:ascii="宋体" w:hAnsi="宋体" w:eastAsia="宋体" w:cs="宋体"/>
          <w:sz w:val="20"/>
          <w:szCs w:val="20"/>
        </w:rPr>
      </w:pPr>
      <w:r>
        <w:rPr>
          <w:rFonts w:ascii="宋体" w:hAnsi="宋体" w:eastAsia="宋体" w:cs="宋体"/>
          <w:b/>
          <w:bCs/>
          <w:spacing w:val="6"/>
          <w:position w:val="1"/>
          <w:sz w:val="20"/>
          <w:szCs w:val="20"/>
        </w:rPr>
        <w:t>25.</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关于起挖、栽植片植灌木定额与按单株计量的灌木栽植定额的应用</w:t>
      </w:r>
    </w:p>
    <w:p>
      <w:pPr>
        <w:spacing w:before="102" w:line="358" w:lineRule="auto"/>
        <w:ind w:left="1" w:right="37" w:firstLine="416"/>
        <w:rPr>
          <w:rFonts w:ascii="宋体" w:hAnsi="宋体" w:eastAsia="宋体" w:cs="宋体"/>
          <w:sz w:val="20"/>
          <w:szCs w:val="20"/>
        </w:rPr>
      </w:pPr>
      <w:r>
        <w:rPr>
          <w:rFonts w:ascii="宋体" w:hAnsi="宋体" w:eastAsia="宋体" w:cs="宋体"/>
          <w:spacing w:val="5"/>
          <w:sz w:val="20"/>
          <w:szCs w:val="20"/>
        </w:rPr>
        <w:t>起挖、栽植片植灌木，定额栽植密度综合考虑，不可调整。当片植灌木</w:t>
      </w:r>
      <w:r>
        <w:rPr>
          <w:rFonts w:ascii="宋体" w:hAnsi="宋体" w:eastAsia="宋体" w:cs="宋体"/>
          <w:spacing w:val="4"/>
          <w:sz w:val="20"/>
          <w:szCs w:val="20"/>
        </w:rPr>
        <w:t>种植密度≤5</w:t>
      </w:r>
      <w:r>
        <w:rPr>
          <w:rFonts w:ascii="宋体" w:hAnsi="宋体" w:eastAsia="宋体" w:cs="宋体"/>
          <w:spacing w:val="-45"/>
          <w:sz w:val="20"/>
          <w:szCs w:val="20"/>
        </w:rPr>
        <w:t xml:space="preserve"> </w:t>
      </w:r>
      <w:r>
        <w:rPr>
          <w:rFonts w:ascii="宋体" w:hAnsi="宋体" w:eastAsia="宋体" w:cs="宋体"/>
          <w:spacing w:val="4"/>
          <w:sz w:val="20"/>
          <w:szCs w:val="20"/>
        </w:rPr>
        <w:t>株/m</w:t>
      </w:r>
      <w:r>
        <w:rPr>
          <w:rFonts w:ascii="宋体" w:hAnsi="宋体" w:eastAsia="宋体" w:cs="宋体"/>
          <w:spacing w:val="4"/>
          <w:position w:val="10"/>
          <w:sz w:val="10"/>
          <w:szCs w:val="10"/>
        </w:rPr>
        <w:t>2</w:t>
      </w:r>
      <w:r>
        <w:rPr>
          <w:rFonts w:ascii="宋体" w:hAnsi="宋体" w:eastAsia="宋体" w:cs="宋体"/>
          <w:spacing w:val="-11"/>
          <w:position w:val="10"/>
          <w:sz w:val="10"/>
          <w:szCs w:val="10"/>
        </w:rPr>
        <w:t xml:space="preserve"> </w:t>
      </w:r>
      <w:r>
        <w:rPr>
          <w:rFonts w:ascii="宋体" w:hAnsi="宋体" w:eastAsia="宋体" w:cs="宋体"/>
          <w:spacing w:val="4"/>
          <w:sz w:val="20"/>
          <w:szCs w:val="20"/>
        </w:rPr>
        <w:t>时执行</w:t>
      </w:r>
      <w:r>
        <w:rPr>
          <w:rFonts w:ascii="宋体" w:hAnsi="宋体" w:eastAsia="宋体" w:cs="宋体"/>
          <w:spacing w:val="7"/>
          <w:sz w:val="20"/>
          <w:szCs w:val="20"/>
        </w:rPr>
        <w:t>单株灌木栽植定额子目。</w:t>
      </w:r>
    </w:p>
    <w:p>
      <w:pPr>
        <w:spacing w:before="45" w:line="278" w:lineRule="exact"/>
        <w:ind w:left="423"/>
        <w:rPr>
          <w:rFonts w:ascii="宋体" w:hAnsi="宋体" w:eastAsia="宋体" w:cs="宋体"/>
          <w:sz w:val="20"/>
          <w:szCs w:val="20"/>
        </w:rPr>
      </w:pPr>
      <w:r>
        <w:rPr>
          <w:rFonts w:ascii="宋体" w:hAnsi="宋体" w:eastAsia="宋体" w:cs="宋体"/>
          <w:b/>
          <w:bCs/>
          <w:spacing w:val="3"/>
          <w:position w:val="1"/>
          <w:sz w:val="20"/>
          <w:szCs w:val="20"/>
        </w:rPr>
        <w:t>26.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关于片植灌木工程量的计算</w:t>
      </w:r>
    </w:p>
    <w:p>
      <w:pPr>
        <w:spacing w:before="125" w:line="368" w:lineRule="auto"/>
        <w:ind w:left="3" w:right="35" w:firstLine="414"/>
        <w:rPr>
          <w:rFonts w:ascii="宋体" w:hAnsi="宋体" w:eastAsia="宋体" w:cs="宋体"/>
          <w:sz w:val="20"/>
          <w:szCs w:val="20"/>
        </w:rPr>
      </w:pPr>
      <w:r>
        <w:rPr>
          <w:rFonts w:ascii="宋体" w:hAnsi="宋体" w:eastAsia="宋体" w:cs="宋体"/>
          <w:spacing w:val="6"/>
          <w:sz w:val="20"/>
          <w:szCs w:val="20"/>
        </w:rPr>
        <w:t>计算片植灌木工程量应该扣除乔木所占面积，设计图示明确的，按设计图示尺寸扣除；设计未明</w:t>
      </w:r>
      <w:r>
        <w:rPr>
          <w:rFonts w:ascii="宋体" w:hAnsi="宋体" w:eastAsia="宋体" w:cs="宋体"/>
          <w:spacing w:val="7"/>
          <w:sz w:val="20"/>
          <w:szCs w:val="20"/>
        </w:rPr>
        <w:t>确的，应根据施工组织设计确定。</w:t>
      </w:r>
    </w:p>
    <w:p>
      <w:pPr>
        <w:spacing w:line="277" w:lineRule="exact"/>
        <w:ind w:left="423"/>
        <w:rPr>
          <w:rFonts w:ascii="宋体" w:hAnsi="宋体" w:eastAsia="宋体" w:cs="宋体"/>
          <w:sz w:val="20"/>
          <w:szCs w:val="20"/>
        </w:rPr>
      </w:pPr>
      <w:r>
        <w:rPr>
          <w:rFonts w:ascii="宋体" w:hAnsi="宋体" w:eastAsia="宋体" w:cs="宋体"/>
          <w:b/>
          <w:bCs/>
          <w:spacing w:val="3"/>
          <w:position w:val="1"/>
          <w:sz w:val="20"/>
          <w:szCs w:val="20"/>
        </w:rPr>
        <w:t>27.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关于铺种草皮工程量的计算</w:t>
      </w:r>
    </w:p>
    <w:p>
      <w:pPr>
        <w:spacing w:before="125" w:line="368" w:lineRule="auto"/>
        <w:ind w:left="6" w:right="37" w:firstLine="415"/>
        <w:rPr>
          <w:rFonts w:ascii="宋体" w:hAnsi="宋体" w:eastAsia="宋体" w:cs="宋体"/>
          <w:sz w:val="20"/>
          <w:szCs w:val="20"/>
        </w:rPr>
      </w:pPr>
      <w:r>
        <w:rPr>
          <w:rFonts w:ascii="宋体" w:hAnsi="宋体" w:eastAsia="宋体" w:cs="宋体"/>
          <w:spacing w:val="6"/>
          <w:sz w:val="20"/>
          <w:szCs w:val="20"/>
        </w:rPr>
        <w:t>根据工程量计算规则，铺种草皮工程量按设计图示面积计算，是实际铺种面积。若树</w:t>
      </w:r>
      <w:r>
        <w:rPr>
          <w:rFonts w:ascii="宋体" w:hAnsi="宋体" w:eastAsia="宋体" w:cs="宋体"/>
          <w:spacing w:val="5"/>
          <w:sz w:val="20"/>
          <w:szCs w:val="20"/>
        </w:rPr>
        <w:t>穴有明确尺</w:t>
      </w:r>
      <w:r>
        <w:rPr>
          <w:rFonts w:ascii="宋体" w:hAnsi="宋体" w:eastAsia="宋体" w:cs="宋体"/>
          <w:spacing w:val="8"/>
          <w:sz w:val="20"/>
          <w:szCs w:val="20"/>
        </w:rPr>
        <w:t>寸时，按设计图示尺寸扣除树穴所占面积，若设计未</w:t>
      </w:r>
      <w:r>
        <w:rPr>
          <w:rFonts w:ascii="宋体" w:hAnsi="宋体" w:eastAsia="宋体" w:cs="宋体"/>
          <w:spacing w:val="7"/>
          <w:sz w:val="20"/>
          <w:szCs w:val="20"/>
        </w:rPr>
        <w:t>明确、又无法准确计量的可不扣除。</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28.</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关于栽植苗木的计价</w:t>
      </w:r>
    </w:p>
    <w:p>
      <w:pPr>
        <w:spacing w:before="127" w:line="368" w:lineRule="auto"/>
        <w:ind w:left="1" w:right="37" w:firstLine="417"/>
        <w:rPr>
          <w:rFonts w:ascii="宋体" w:hAnsi="宋体" w:eastAsia="宋体" w:cs="宋体"/>
          <w:sz w:val="20"/>
          <w:szCs w:val="20"/>
        </w:rPr>
      </w:pPr>
      <w:r>
        <w:rPr>
          <w:rFonts w:ascii="宋体" w:hAnsi="宋体" w:eastAsia="宋体" w:cs="宋体"/>
          <w:spacing w:val="6"/>
          <w:sz w:val="20"/>
          <w:szCs w:val="20"/>
        </w:rPr>
        <w:t>栽植定额中未包括苗木数量，在套用苗木栽植定额时，应将苗木消耗量及其价格计入相应的</w:t>
      </w:r>
      <w:r>
        <w:rPr>
          <w:rFonts w:ascii="宋体" w:hAnsi="宋体" w:eastAsia="宋体" w:cs="宋体"/>
          <w:spacing w:val="5"/>
          <w:sz w:val="20"/>
          <w:szCs w:val="20"/>
        </w:rPr>
        <w:t>栽植</w:t>
      </w:r>
      <w:r>
        <w:rPr>
          <w:rFonts w:ascii="宋体" w:hAnsi="宋体" w:eastAsia="宋体" w:cs="宋体"/>
          <w:spacing w:val="8"/>
          <w:sz w:val="20"/>
          <w:szCs w:val="20"/>
        </w:rPr>
        <w:t>定额。定额未考虑各种损耗，按栽种成活率</w:t>
      </w:r>
      <w:r>
        <w:rPr>
          <w:rFonts w:ascii="宋体" w:hAnsi="宋体" w:eastAsia="宋体" w:cs="宋体"/>
          <w:spacing w:val="-7"/>
          <w:sz w:val="20"/>
          <w:szCs w:val="20"/>
        </w:rPr>
        <w:t xml:space="preserve"> </w:t>
      </w:r>
      <w:r>
        <w:rPr>
          <w:rFonts w:ascii="宋体" w:hAnsi="宋体" w:eastAsia="宋体" w:cs="宋体"/>
          <w:spacing w:val="8"/>
          <w:sz w:val="20"/>
          <w:szCs w:val="20"/>
        </w:rPr>
        <w:t>100%考虑。</w:t>
      </w:r>
    </w:p>
    <w:p>
      <w:pPr>
        <w:spacing w:line="276" w:lineRule="exact"/>
        <w:ind w:left="423"/>
        <w:rPr>
          <w:rFonts w:ascii="宋体" w:hAnsi="宋体" w:eastAsia="宋体" w:cs="宋体"/>
          <w:sz w:val="20"/>
          <w:szCs w:val="20"/>
        </w:rPr>
      </w:pPr>
      <w:r>
        <w:rPr>
          <w:rFonts w:ascii="宋体" w:hAnsi="宋体" w:eastAsia="宋体" w:cs="宋体"/>
          <w:b/>
          <w:bCs/>
          <w:spacing w:val="6"/>
          <w:position w:val="1"/>
          <w:sz w:val="20"/>
          <w:szCs w:val="20"/>
        </w:rPr>
        <w:t>29.</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关于成片栽植的攀缘植物（如扶芳藤等）栽植和养护的</w:t>
      </w:r>
      <w:r>
        <w:rPr>
          <w:rFonts w:ascii="宋体" w:hAnsi="宋体" w:eastAsia="宋体" w:cs="宋体"/>
          <w:b/>
          <w:bCs/>
          <w:spacing w:val="5"/>
          <w:position w:val="1"/>
          <w:sz w:val="20"/>
          <w:szCs w:val="20"/>
        </w:rPr>
        <w:t>计价</w:t>
      </w:r>
    </w:p>
    <w:p>
      <w:pPr>
        <w:spacing w:before="127" w:line="368" w:lineRule="auto"/>
        <w:ind w:left="9" w:right="37" w:firstLine="410"/>
        <w:rPr>
          <w:rFonts w:ascii="宋体" w:hAnsi="宋体" w:eastAsia="宋体" w:cs="宋体"/>
          <w:sz w:val="20"/>
          <w:szCs w:val="20"/>
        </w:rPr>
      </w:pPr>
      <w:r>
        <w:rPr>
          <w:rFonts w:ascii="宋体" w:hAnsi="宋体" w:eastAsia="宋体" w:cs="宋体"/>
          <w:spacing w:val="6"/>
          <w:sz w:val="20"/>
          <w:szCs w:val="20"/>
        </w:rPr>
        <w:t>攀缘植物栽植及养护定额适用于垂直攀援植物的栽植及养护，成片种植的地面攀援植物</w:t>
      </w:r>
      <w:r>
        <w:rPr>
          <w:rFonts w:ascii="宋体" w:hAnsi="宋体" w:eastAsia="宋体" w:cs="宋体"/>
          <w:spacing w:val="5"/>
          <w:sz w:val="20"/>
          <w:szCs w:val="20"/>
        </w:rPr>
        <w:t>，其栽植</w:t>
      </w:r>
      <w:r>
        <w:rPr>
          <w:rFonts w:ascii="宋体" w:hAnsi="宋体" w:eastAsia="宋体" w:cs="宋体"/>
          <w:spacing w:val="6"/>
          <w:sz w:val="20"/>
          <w:szCs w:val="20"/>
        </w:rPr>
        <w:t>和养护执行片植灌木相应定额。</w:t>
      </w:r>
    </w:p>
    <w:p>
      <w:pPr>
        <w:spacing w:line="277" w:lineRule="exact"/>
        <w:ind w:left="427"/>
        <w:rPr>
          <w:rFonts w:ascii="宋体" w:hAnsi="宋体" w:eastAsia="宋体" w:cs="宋体"/>
          <w:sz w:val="20"/>
          <w:szCs w:val="20"/>
        </w:rPr>
      </w:pPr>
      <w:r>
        <w:rPr>
          <w:rFonts w:ascii="宋体" w:hAnsi="宋体" w:eastAsia="宋体" w:cs="宋体"/>
          <w:b/>
          <w:bCs/>
          <w:spacing w:val="6"/>
          <w:position w:val="1"/>
          <w:sz w:val="20"/>
          <w:szCs w:val="20"/>
        </w:rPr>
        <w:t>30.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关于在铺种草皮定额中，铺种、播种、成品草皮定额子目的区别</w:t>
      </w:r>
    </w:p>
    <w:p>
      <w:pPr>
        <w:spacing w:before="121" w:line="278" w:lineRule="exact"/>
        <w:ind w:left="417"/>
        <w:rPr>
          <w:rFonts w:ascii="宋体" w:hAnsi="宋体" w:eastAsia="宋体" w:cs="宋体"/>
          <w:sz w:val="20"/>
          <w:szCs w:val="20"/>
        </w:rPr>
      </w:pPr>
      <w:r>
        <w:rPr>
          <w:rFonts w:ascii="宋体" w:hAnsi="宋体" w:eastAsia="宋体" w:cs="宋体"/>
          <w:spacing w:val="7"/>
          <w:position w:val="1"/>
          <w:sz w:val="20"/>
          <w:szCs w:val="20"/>
        </w:rPr>
        <w:t>铺种是直接在土中种植草根方式（调整后项目名称改为种草根）。</w:t>
      </w:r>
    </w:p>
    <w:p>
      <w:pPr>
        <w:spacing w:before="127" w:line="221" w:lineRule="auto"/>
        <w:ind w:left="419"/>
        <w:rPr>
          <w:rFonts w:ascii="宋体" w:hAnsi="宋体" w:eastAsia="宋体" w:cs="宋体"/>
          <w:sz w:val="20"/>
          <w:szCs w:val="20"/>
        </w:rPr>
      </w:pPr>
      <w:r>
        <w:rPr>
          <w:rFonts w:ascii="宋体" w:hAnsi="宋体" w:eastAsia="宋体" w:cs="宋体"/>
          <w:spacing w:val="7"/>
          <w:sz w:val="20"/>
          <w:szCs w:val="20"/>
        </w:rPr>
        <w:t>播种是直接在土中播种草籽的方式。</w:t>
      </w:r>
    </w:p>
    <w:p>
      <w:pPr>
        <w:spacing w:line="221" w:lineRule="auto"/>
        <w:rPr>
          <w:rFonts w:ascii="宋体" w:hAnsi="宋体" w:eastAsia="宋体" w:cs="宋体"/>
          <w:sz w:val="20"/>
          <w:szCs w:val="20"/>
        </w:rPr>
        <w:sectPr>
          <w:footerReference r:id="rId194" w:type="default"/>
          <w:pgSz w:w="11906" w:h="16839"/>
          <w:pgMar w:top="400" w:right="1380" w:bottom="1212" w:left="1417" w:header="0" w:footer="897"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419"/>
        <w:rPr>
          <w:rFonts w:ascii="宋体" w:hAnsi="宋体" w:eastAsia="宋体" w:cs="宋体"/>
          <w:sz w:val="20"/>
          <w:szCs w:val="20"/>
        </w:rPr>
      </w:pPr>
      <w:r>
        <w:rPr>
          <w:rFonts w:ascii="宋体" w:hAnsi="宋体" w:eastAsia="宋体" w:cs="宋体"/>
          <w:spacing w:val="8"/>
          <w:sz w:val="20"/>
          <w:szCs w:val="20"/>
        </w:rPr>
        <w:t>成品草皮是指将切割成一定规格的草块，直</w:t>
      </w:r>
      <w:r>
        <w:rPr>
          <w:rFonts w:ascii="宋体" w:hAnsi="宋体" w:eastAsia="宋体" w:cs="宋体"/>
          <w:spacing w:val="7"/>
          <w:sz w:val="20"/>
          <w:szCs w:val="20"/>
        </w:rPr>
        <w:t>接铺设在草坪原土上的方式。</w:t>
      </w:r>
    </w:p>
    <w:p>
      <w:pPr>
        <w:spacing w:before="155" w:line="278" w:lineRule="exact"/>
        <w:ind w:left="426"/>
        <w:rPr>
          <w:rFonts w:ascii="宋体" w:hAnsi="宋体" w:eastAsia="宋体" w:cs="宋体"/>
          <w:sz w:val="20"/>
          <w:szCs w:val="20"/>
        </w:rPr>
      </w:pPr>
      <w:r>
        <w:rPr>
          <w:rFonts w:ascii="宋体" w:hAnsi="宋体" w:eastAsia="宋体" w:cs="宋体"/>
          <w:b/>
          <w:bCs/>
          <w:spacing w:val="6"/>
          <w:position w:val="1"/>
          <w:sz w:val="20"/>
          <w:szCs w:val="20"/>
        </w:rPr>
        <w:t>31.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关于草坪养护定额“暖季型草坪”和“冷季型草坪”的</w:t>
      </w:r>
      <w:r>
        <w:rPr>
          <w:rFonts w:ascii="宋体" w:hAnsi="宋体" w:eastAsia="宋体" w:cs="宋体"/>
          <w:b/>
          <w:bCs/>
          <w:spacing w:val="5"/>
          <w:position w:val="1"/>
          <w:sz w:val="20"/>
          <w:szCs w:val="20"/>
        </w:rPr>
        <w:t>区分</w:t>
      </w:r>
    </w:p>
    <w:p>
      <w:pPr>
        <w:spacing w:before="121" w:line="365" w:lineRule="auto"/>
        <w:ind w:left="3" w:right="61" w:firstLine="427"/>
        <w:jc w:val="both"/>
        <w:rPr>
          <w:rFonts w:ascii="宋体" w:hAnsi="宋体" w:eastAsia="宋体" w:cs="宋体"/>
          <w:sz w:val="20"/>
          <w:szCs w:val="20"/>
        </w:rPr>
      </w:pPr>
      <w:r>
        <w:rPr>
          <w:rFonts w:ascii="宋体" w:hAnsi="宋体" w:eastAsia="宋体" w:cs="宋体"/>
          <w:spacing w:val="6"/>
          <w:sz w:val="20"/>
          <w:szCs w:val="20"/>
        </w:rPr>
        <w:t>暖季型草坪最适合生长的温度为 25℃至 3</w:t>
      </w:r>
      <w:r>
        <w:rPr>
          <w:rFonts w:ascii="宋体" w:hAnsi="宋体" w:eastAsia="宋体" w:cs="宋体"/>
          <w:spacing w:val="5"/>
          <w:sz w:val="20"/>
          <w:szCs w:val="20"/>
        </w:rPr>
        <w:t>5℃, 在-5℃至 42℃范围内都能安全存活，</w:t>
      </w:r>
      <w:r>
        <w:rPr>
          <w:rFonts w:ascii="宋体" w:hAnsi="宋体" w:eastAsia="宋体" w:cs="宋体"/>
          <w:spacing w:val="-21"/>
          <w:sz w:val="20"/>
          <w:szCs w:val="20"/>
        </w:rPr>
        <w:t xml:space="preserve"> </w:t>
      </w:r>
      <w:r>
        <w:rPr>
          <w:rFonts w:ascii="宋体" w:hAnsi="宋体" w:eastAsia="宋体" w:cs="宋体"/>
          <w:spacing w:val="5"/>
          <w:sz w:val="20"/>
          <w:szCs w:val="20"/>
        </w:rPr>
        <w:t>这类草坪</w:t>
      </w:r>
      <w:r>
        <w:rPr>
          <w:rFonts w:ascii="宋体" w:hAnsi="宋体" w:eastAsia="宋体" w:cs="宋体"/>
          <w:spacing w:val="8"/>
          <w:sz w:val="20"/>
          <w:szCs w:val="20"/>
        </w:rPr>
        <w:t>在夏季或温暖地区生长旺盛，多用于长江流域附近及以南地区，主要包括马尼拉草、 天堂草、白喜</w:t>
      </w:r>
      <w:r>
        <w:rPr>
          <w:rFonts w:ascii="宋体" w:hAnsi="宋体" w:eastAsia="宋体" w:cs="宋体"/>
          <w:spacing w:val="6"/>
          <w:sz w:val="20"/>
          <w:szCs w:val="20"/>
        </w:rPr>
        <w:t>草、画眉草等。</w:t>
      </w:r>
    </w:p>
    <w:p>
      <w:pPr>
        <w:spacing w:before="14" w:line="350" w:lineRule="auto"/>
        <w:ind w:left="7" w:firstLine="412"/>
        <w:rPr>
          <w:rFonts w:ascii="宋体" w:hAnsi="宋体" w:eastAsia="宋体" w:cs="宋体"/>
          <w:sz w:val="20"/>
          <w:szCs w:val="20"/>
        </w:rPr>
      </w:pPr>
      <w:r>
        <w:rPr>
          <w:rFonts w:ascii="宋体" w:hAnsi="宋体" w:eastAsia="宋体" w:cs="宋体"/>
          <w:spacing w:val="5"/>
          <w:sz w:val="20"/>
          <w:szCs w:val="20"/>
        </w:rPr>
        <w:t>冷季型草坪主要是指适宜的生长温度在 15℃</w:t>
      </w:r>
      <w:r>
        <w:rPr>
          <w:rFonts w:ascii="宋体" w:hAnsi="宋体" w:eastAsia="宋体" w:cs="宋体"/>
          <w:spacing w:val="4"/>
          <w:sz w:val="20"/>
          <w:szCs w:val="20"/>
        </w:rPr>
        <w:t>至 25℃之间，如 果气温高于 30℃,生长就会缓慢，</w:t>
      </w:r>
      <w:r>
        <w:rPr>
          <w:rFonts w:ascii="宋体" w:hAnsi="宋体" w:eastAsia="宋体" w:cs="宋体"/>
          <w:spacing w:val="7"/>
          <w:sz w:val="20"/>
          <w:szCs w:val="20"/>
        </w:rPr>
        <w:t>多用于长江流域附近及以北地区，主要包括白三叶、剪 股颖、黑麦草、以及高羊茅等种类。</w:t>
      </w:r>
    </w:p>
    <w:p>
      <w:pPr>
        <w:spacing w:before="41" w:line="278" w:lineRule="exact"/>
        <w:ind w:left="426"/>
        <w:rPr>
          <w:rFonts w:ascii="宋体" w:hAnsi="宋体" w:eastAsia="宋体" w:cs="宋体"/>
          <w:sz w:val="20"/>
          <w:szCs w:val="20"/>
        </w:rPr>
      </w:pPr>
      <w:r>
        <w:rPr>
          <w:rFonts w:ascii="宋体" w:hAnsi="宋体" w:eastAsia="宋体" w:cs="宋体"/>
          <w:b/>
          <w:bCs/>
          <w:spacing w:val="1"/>
          <w:position w:val="1"/>
          <w:sz w:val="20"/>
          <w:szCs w:val="20"/>
        </w:rPr>
        <w:t>32.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关于苗木的增值税</w:t>
      </w:r>
    </w:p>
    <w:p>
      <w:pPr>
        <w:spacing w:before="124" w:line="355" w:lineRule="auto"/>
        <w:ind w:left="2" w:right="61" w:firstLine="418"/>
        <w:jc w:val="both"/>
        <w:rPr>
          <w:rFonts w:ascii="宋体" w:hAnsi="宋体" w:eastAsia="宋体" w:cs="宋体"/>
          <w:sz w:val="20"/>
          <w:szCs w:val="20"/>
        </w:rPr>
      </w:pPr>
      <w:r>
        <w:rPr>
          <w:rFonts w:ascii="宋体" w:hAnsi="宋体" w:eastAsia="宋体" w:cs="宋体"/>
          <w:spacing w:val="9"/>
          <w:sz w:val="20"/>
          <w:szCs w:val="20"/>
        </w:rPr>
        <w:t>苗木属于农产品，一般纳税人销售非自产农产品按</w:t>
      </w:r>
      <w:r>
        <w:rPr>
          <w:rFonts w:ascii="宋体" w:hAnsi="宋体" w:eastAsia="宋体" w:cs="宋体"/>
          <w:spacing w:val="-28"/>
          <w:sz w:val="20"/>
          <w:szCs w:val="20"/>
        </w:rPr>
        <w:t xml:space="preserve"> </w:t>
      </w:r>
      <w:r>
        <w:rPr>
          <w:rFonts w:ascii="宋体" w:hAnsi="宋体" w:eastAsia="宋体" w:cs="宋体"/>
          <w:spacing w:val="9"/>
          <w:sz w:val="20"/>
          <w:szCs w:val="20"/>
        </w:rPr>
        <w:t>9%计取销项增值税，小规模纳税人销售非自产农产品按</w:t>
      </w:r>
      <w:r>
        <w:rPr>
          <w:rFonts w:ascii="宋体" w:hAnsi="宋体" w:eastAsia="宋体" w:cs="宋体"/>
          <w:spacing w:val="-30"/>
          <w:sz w:val="20"/>
          <w:szCs w:val="20"/>
        </w:rPr>
        <w:t xml:space="preserve"> </w:t>
      </w:r>
      <w:r>
        <w:rPr>
          <w:rFonts w:ascii="宋体" w:hAnsi="宋体" w:eastAsia="宋体" w:cs="宋体"/>
          <w:spacing w:val="9"/>
          <w:sz w:val="20"/>
          <w:szCs w:val="20"/>
        </w:rPr>
        <w:t>3%计取销项增值税。苗木基地自已培育并销售的苗木属农业生产者销售自产农产品，免</w:t>
      </w:r>
      <w:r>
        <w:rPr>
          <w:rFonts w:ascii="宋体" w:hAnsi="宋体" w:eastAsia="宋体" w:cs="宋体"/>
          <w:spacing w:val="8"/>
          <w:sz w:val="20"/>
          <w:szCs w:val="20"/>
        </w:rPr>
        <w:t>征增值税。定额或清单苗木计价时均按退税价计入，免进</w:t>
      </w:r>
      <w:r>
        <w:rPr>
          <w:rFonts w:ascii="宋体" w:hAnsi="宋体" w:eastAsia="宋体" w:cs="宋体"/>
          <w:spacing w:val="7"/>
          <w:sz w:val="20"/>
          <w:szCs w:val="20"/>
        </w:rPr>
        <w:t>项增值税的苗木视为退税价。</w:t>
      </w:r>
    </w:p>
    <w:p>
      <w:pPr>
        <w:spacing w:before="45" w:line="277" w:lineRule="exact"/>
        <w:ind w:left="426"/>
        <w:rPr>
          <w:rFonts w:ascii="宋体" w:hAnsi="宋体" w:eastAsia="宋体" w:cs="宋体"/>
          <w:sz w:val="20"/>
          <w:szCs w:val="20"/>
        </w:rPr>
      </w:pPr>
      <w:r>
        <w:rPr>
          <w:rFonts w:ascii="宋体" w:hAnsi="宋体" w:eastAsia="宋体" w:cs="宋体"/>
          <w:b/>
          <w:bCs/>
          <w:spacing w:val="9"/>
          <w:position w:val="1"/>
          <w:sz w:val="20"/>
          <w:szCs w:val="20"/>
        </w:rPr>
        <w:t>33.</w:t>
      </w:r>
      <w:r>
        <w:rPr>
          <w:rFonts w:ascii="宋体" w:hAnsi="宋体" w:eastAsia="宋体" w:cs="宋体"/>
          <w:spacing w:val="9"/>
          <w:position w:val="1"/>
          <w:sz w:val="20"/>
          <w:szCs w:val="20"/>
        </w:rPr>
        <w:t xml:space="preserve"> </w:t>
      </w:r>
      <w:r>
        <w:rPr>
          <w:rFonts w:ascii="宋体" w:hAnsi="宋体" w:eastAsia="宋体" w:cs="宋体"/>
          <w:b/>
          <w:bCs/>
          <w:spacing w:val="9"/>
          <w:position w:val="1"/>
          <w:sz w:val="20"/>
          <w:szCs w:val="20"/>
        </w:rPr>
        <w:t>关于石材路面花岗岩板（浆垫）板厚超过</w:t>
      </w:r>
      <w:r>
        <w:rPr>
          <w:rFonts w:ascii="宋体" w:hAnsi="宋体" w:eastAsia="宋体" w:cs="宋体"/>
          <w:spacing w:val="9"/>
          <w:position w:val="1"/>
          <w:sz w:val="20"/>
          <w:szCs w:val="20"/>
        </w:rPr>
        <w:t xml:space="preserve"> </w:t>
      </w:r>
      <w:r>
        <w:rPr>
          <w:rFonts w:ascii="宋体" w:hAnsi="宋体" w:eastAsia="宋体" w:cs="宋体"/>
          <w:b/>
          <w:bCs/>
          <w:spacing w:val="9"/>
          <w:position w:val="1"/>
          <w:sz w:val="20"/>
          <w:szCs w:val="20"/>
        </w:rPr>
        <w:t>6</w:t>
      </w:r>
      <w:r>
        <w:rPr>
          <w:rFonts w:ascii="宋体" w:hAnsi="宋体" w:eastAsia="宋体" w:cs="宋体"/>
          <w:b/>
          <w:bCs/>
          <w:spacing w:val="8"/>
          <w:position w:val="1"/>
          <w:sz w:val="20"/>
          <w:szCs w:val="20"/>
        </w:rPr>
        <w:t>0</w:t>
      </w:r>
      <w:r>
        <w:rPr>
          <w:rFonts w:ascii="宋体" w:hAnsi="宋体" w:eastAsia="宋体" w:cs="宋体"/>
          <w:b/>
          <w:bCs/>
          <w:position w:val="1"/>
          <w:sz w:val="20"/>
          <w:szCs w:val="20"/>
        </w:rPr>
        <w:t>mm</w:t>
      </w:r>
      <w:r>
        <w:rPr>
          <w:rFonts w:ascii="宋体" w:hAnsi="宋体" w:eastAsia="宋体" w:cs="宋体"/>
          <w:spacing w:val="8"/>
          <w:position w:val="1"/>
          <w:sz w:val="20"/>
          <w:szCs w:val="20"/>
        </w:rPr>
        <w:t xml:space="preserve"> </w:t>
      </w:r>
      <w:r>
        <w:rPr>
          <w:rFonts w:ascii="宋体" w:hAnsi="宋体" w:eastAsia="宋体" w:cs="宋体"/>
          <w:b/>
          <w:bCs/>
          <w:spacing w:val="8"/>
          <w:position w:val="1"/>
          <w:sz w:val="20"/>
          <w:szCs w:val="20"/>
        </w:rPr>
        <w:t>时如何执行定额的问题</w:t>
      </w:r>
    </w:p>
    <w:p>
      <w:pPr>
        <w:spacing w:before="123" w:line="351" w:lineRule="auto"/>
        <w:ind w:firstLine="420"/>
        <w:rPr>
          <w:rFonts w:ascii="宋体" w:hAnsi="宋体" w:eastAsia="宋体" w:cs="宋体"/>
          <w:sz w:val="20"/>
          <w:szCs w:val="20"/>
        </w:rPr>
      </w:pPr>
      <w:r>
        <w:rPr>
          <w:rFonts w:ascii="宋体" w:hAnsi="宋体" w:eastAsia="宋体" w:cs="宋体"/>
          <w:spacing w:val="7"/>
          <w:sz w:val="20"/>
          <w:szCs w:val="20"/>
        </w:rPr>
        <w:t>花岗岩板厚超过</w:t>
      </w:r>
      <w:r>
        <w:rPr>
          <w:rFonts w:ascii="宋体" w:hAnsi="宋体" w:eastAsia="宋体" w:cs="宋体"/>
          <w:spacing w:val="-43"/>
          <w:sz w:val="20"/>
          <w:szCs w:val="20"/>
        </w:rPr>
        <w:t xml:space="preserve"> </w:t>
      </w:r>
      <w:r>
        <w:rPr>
          <w:rFonts w:ascii="宋体" w:hAnsi="宋体" w:eastAsia="宋体" w:cs="宋体"/>
          <w:spacing w:val="7"/>
          <w:sz w:val="20"/>
          <w:szCs w:val="20"/>
        </w:rPr>
        <w:t>60</w:t>
      </w:r>
      <w:r>
        <w:rPr>
          <w:rFonts w:ascii="宋体" w:hAnsi="宋体" w:eastAsia="宋体" w:cs="宋体"/>
          <w:sz w:val="20"/>
          <w:szCs w:val="20"/>
        </w:rPr>
        <w:t>mm</w:t>
      </w:r>
      <w:r>
        <w:rPr>
          <w:rFonts w:ascii="宋体" w:hAnsi="宋体" w:eastAsia="宋体" w:cs="宋体"/>
          <w:spacing w:val="-34"/>
          <w:sz w:val="20"/>
          <w:szCs w:val="20"/>
        </w:rPr>
        <w:t xml:space="preserve"> </w:t>
      </w:r>
      <w:r>
        <w:rPr>
          <w:rFonts w:ascii="宋体" w:hAnsi="宋体" w:eastAsia="宋体" w:cs="宋体"/>
          <w:spacing w:val="7"/>
          <w:sz w:val="20"/>
          <w:szCs w:val="20"/>
        </w:rPr>
        <w:t>时，仍执行“花岗岩板厚 60</w:t>
      </w:r>
      <w:r>
        <w:rPr>
          <w:rFonts w:ascii="宋体" w:hAnsi="宋体" w:eastAsia="宋体" w:cs="宋体"/>
          <w:sz w:val="20"/>
          <w:szCs w:val="20"/>
        </w:rPr>
        <w:t>mm</w:t>
      </w:r>
      <w:r>
        <w:rPr>
          <w:rFonts w:ascii="宋体" w:hAnsi="宋体" w:eastAsia="宋体" w:cs="宋体"/>
          <w:spacing w:val="7"/>
          <w:sz w:val="20"/>
          <w:szCs w:val="20"/>
        </w:rPr>
        <w:t>”的定额子目，定额主材规格</w:t>
      </w:r>
      <w:r>
        <w:rPr>
          <w:rFonts w:ascii="宋体" w:hAnsi="宋体" w:eastAsia="宋体" w:cs="宋体"/>
          <w:spacing w:val="6"/>
          <w:sz w:val="20"/>
          <w:szCs w:val="20"/>
        </w:rPr>
        <w:t>可按时调整，其他不调整。</w:t>
      </w:r>
    </w:p>
    <w:p>
      <w:pPr>
        <w:spacing w:before="40" w:line="278" w:lineRule="exact"/>
        <w:ind w:left="426"/>
        <w:rPr>
          <w:rFonts w:ascii="宋体" w:hAnsi="宋体" w:eastAsia="宋体" w:cs="宋体"/>
          <w:sz w:val="20"/>
          <w:szCs w:val="20"/>
        </w:rPr>
      </w:pPr>
      <w:r>
        <w:rPr>
          <w:rFonts w:ascii="宋体" w:hAnsi="宋体" w:eastAsia="宋体" w:cs="宋体"/>
          <w:b/>
          <w:bCs/>
          <w:spacing w:val="3"/>
          <w:position w:val="1"/>
          <w:sz w:val="20"/>
          <w:szCs w:val="20"/>
        </w:rPr>
        <w:t>34.</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关于景石和土山点石的区别</w:t>
      </w:r>
    </w:p>
    <w:p>
      <w:pPr>
        <w:spacing w:before="122" w:line="223" w:lineRule="auto"/>
        <w:ind w:left="421"/>
        <w:rPr>
          <w:rFonts w:ascii="宋体" w:hAnsi="宋体" w:eastAsia="宋体" w:cs="宋体"/>
          <w:sz w:val="20"/>
          <w:szCs w:val="20"/>
        </w:rPr>
      </w:pPr>
      <w:r>
        <w:rPr>
          <w:rFonts w:ascii="宋体" w:hAnsi="宋体" w:eastAsia="宋体" w:cs="宋体"/>
          <w:spacing w:val="7"/>
          <w:sz w:val="20"/>
          <w:szCs w:val="20"/>
        </w:rPr>
        <w:t>景石一般是以整块状态体现，其外形奇特、具有观赏价值的石块。</w:t>
      </w:r>
    </w:p>
    <w:p>
      <w:pPr>
        <w:spacing w:before="157" w:line="369" w:lineRule="auto"/>
        <w:ind w:right="61" w:firstLine="424"/>
        <w:rPr>
          <w:rFonts w:ascii="宋体" w:hAnsi="宋体" w:eastAsia="宋体" w:cs="宋体"/>
          <w:sz w:val="20"/>
          <w:szCs w:val="20"/>
        </w:rPr>
      </w:pPr>
      <w:r>
        <w:rPr>
          <w:rFonts w:ascii="宋体" w:hAnsi="宋体" w:eastAsia="宋体" w:cs="宋体"/>
          <w:spacing w:val="6"/>
          <w:sz w:val="20"/>
          <w:szCs w:val="20"/>
        </w:rPr>
        <w:t>土山点石是指无呼应联系的自然山石分散在草坪、山坡等处，其观赏价值、体量均不</w:t>
      </w:r>
      <w:r>
        <w:rPr>
          <w:rFonts w:ascii="宋体" w:hAnsi="宋体" w:eastAsia="宋体" w:cs="宋体"/>
          <w:spacing w:val="5"/>
          <w:sz w:val="20"/>
          <w:szCs w:val="20"/>
        </w:rPr>
        <w:t>及景石，主</w:t>
      </w:r>
      <w:r>
        <w:rPr>
          <w:rFonts w:ascii="宋体" w:hAnsi="宋体" w:eastAsia="宋体" w:cs="宋体"/>
          <w:spacing w:val="6"/>
          <w:sz w:val="20"/>
          <w:szCs w:val="20"/>
        </w:rPr>
        <w:t>要起点缀环境的作用。</w:t>
      </w:r>
    </w:p>
    <w:p>
      <w:pPr>
        <w:spacing w:line="277" w:lineRule="exact"/>
        <w:ind w:left="426"/>
        <w:rPr>
          <w:rFonts w:ascii="宋体" w:hAnsi="宋体" w:eastAsia="宋体" w:cs="宋体"/>
          <w:sz w:val="20"/>
          <w:szCs w:val="20"/>
        </w:rPr>
      </w:pPr>
      <w:r>
        <w:rPr>
          <w:rFonts w:ascii="宋体" w:hAnsi="宋体" w:eastAsia="宋体" w:cs="宋体"/>
          <w:b/>
          <w:bCs/>
          <w:spacing w:val="5"/>
          <w:position w:val="1"/>
          <w:sz w:val="20"/>
          <w:szCs w:val="20"/>
        </w:rPr>
        <w:t>35.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关于定额松填土（人工松填、机械松填）工程量的计算</w:t>
      </w:r>
    </w:p>
    <w:p>
      <w:pPr>
        <w:spacing w:before="124"/>
        <w:ind w:left="419"/>
        <w:rPr>
          <w:rFonts w:ascii="宋体" w:hAnsi="宋体" w:eastAsia="宋体" w:cs="宋体"/>
          <w:sz w:val="20"/>
          <w:szCs w:val="20"/>
        </w:rPr>
      </w:pPr>
      <w:r>
        <w:rPr>
          <w:rFonts w:ascii="宋体" w:hAnsi="宋体" w:eastAsia="宋体" w:cs="宋体"/>
          <w:spacing w:val="7"/>
          <w:sz w:val="20"/>
          <w:szCs w:val="20"/>
        </w:rPr>
        <w:t>松填土按设计回填体积计算。土方体积换算系数表如下：</w:t>
      </w:r>
    </w:p>
    <w:tbl>
      <w:tblPr>
        <w:tblStyle w:val="5"/>
        <w:tblW w:w="8309"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1940"/>
        <w:gridCol w:w="1941"/>
        <w:gridCol w:w="1941"/>
        <w:gridCol w:w="15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7" w:hRule="atLeast"/>
        </w:trPr>
        <w:tc>
          <w:tcPr>
            <w:tcW w:w="982" w:type="dxa"/>
            <w:tcBorders>
              <w:top w:val="single" w:color="000000" w:sz="4" w:space="0"/>
              <w:left w:val="single" w:color="000000" w:sz="4" w:space="0"/>
            </w:tcBorders>
            <w:vAlign w:val="top"/>
          </w:tcPr>
          <w:p>
            <w:pPr>
              <w:spacing w:before="266" w:line="222" w:lineRule="auto"/>
              <w:ind w:left="318"/>
              <w:rPr>
                <w:rFonts w:ascii="宋体" w:hAnsi="宋体" w:eastAsia="宋体" w:cs="宋体"/>
                <w:sz w:val="20"/>
                <w:szCs w:val="20"/>
              </w:rPr>
            </w:pPr>
            <w:r>
              <w:rPr>
                <w:rFonts w:ascii="宋体" w:hAnsi="宋体" w:eastAsia="宋体" w:cs="宋体"/>
                <w:spacing w:val="6"/>
                <w:sz w:val="20"/>
                <w:szCs w:val="20"/>
              </w:rPr>
              <w:t>序号</w:t>
            </w:r>
          </w:p>
        </w:tc>
        <w:tc>
          <w:tcPr>
            <w:tcW w:w="1940" w:type="dxa"/>
            <w:tcBorders>
              <w:top w:val="single" w:color="000000" w:sz="4" w:space="0"/>
            </w:tcBorders>
            <w:vAlign w:val="top"/>
          </w:tcPr>
          <w:p>
            <w:pPr>
              <w:spacing w:before="264" w:line="223" w:lineRule="auto"/>
              <w:ind w:left="444"/>
              <w:rPr>
                <w:rFonts w:ascii="宋体" w:hAnsi="宋体" w:eastAsia="宋体" w:cs="宋体"/>
                <w:sz w:val="20"/>
                <w:szCs w:val="20"/>
              </w:rPr>
            </w:pPr>
            <w:r>
              <w:rPr>
                <w:rFonts w:ascii="宋体" w:hAnsi="宋体" w:eastAsia="宋体" w:cs="宋体"/>
                <w:spacing w:val="7"/>
                <w:sz w:val="20"/>
                <w:szCs w:val="20"/>
              </w:rPr>
              <w:t>天然密实体积</w:t>
            </w:r>
          </w:p>
        </w:tc>
        <w:tc>
          <w:tcPr>
            <w:tcW w:w="1941" w:type="dxa"/>
            <w:tcBorders>
              <w:top w:val="single" w:color="000000" w:sz="4" w:space="0"/>
            </w:tcBorders>
            <w:vAlign w:val="top"/>
          </w:tcPr>
          <w:p>
            <w:pPr>
              <w:spacing w:before="264" w:line="222" w:lineRule="auto"/>
              <w:ind w:left="625"/>
              <w:rPr>
                <w:rFonts w:ascii="宋体" w:hAnsi="宋体" w:eastAsia="宋体" w:cs="宋体"/>
                <w:sz w:val="20"/>
                <w:szCs w:val="20"/>
              </w:rPr>
            </w:pPr>
            <w:r>
              <w:rPr>
                <w:rFonts w:ascii="宋体" w:hAnsi="宋体" w:eastAsia="宋体" w:cs="宋体"/>
                <w:spacing w:val="7"/>
                <w:sz w:val="20"/>
                <w:szCs w:val="20"/>
              </w:rPr>
              <w:t>虚方体积</w:t>
            </w:r>
          </w:p>
        </w:tc>
        <w:tc>
          <w:tcPr>
            <w:tcW w:w="1941" w:type="dxa"/>
            <w:tcBorders>
              <w:top w:val="single" w:color="000000" w:sz="4" w:space="0"/>
            </w:tcBorders>
            <w:vAlign w:val="top"/>
          </w:tcPr>
          <w:p>
            <w:pPr>
              <w:spacing w:before="264" w:line="223" w:lineRule="auto"/>
              <w:ind w:left="625"/>
              <w:rPr>
                <w:rFonts w:ascii="宋体" w:hAnsi="宋体" w:eastAsia="宋体" w:cs="宋体"/>
                <w:sz w:val="20"/>
                <w:szCs w:val="20"/>
              </w:rPr>
            </w:pPr>
            <w:r>
              <w:rPr>
                <w:rFonts w:ascii="宋体" w:hAnsi="宋体" w:eastAsia="宋体" w:cs="宋体"/>
                <w:spacing w:val="7"/>
                <w:sz w:val="20"/>
                <w:szCs w:val="20"/>
              </w:rPr>
              <w:t>夯实体积</w:t>
            </w:r>
          </w:p>
        </w:tc>
        <w:tc>
          <w:tcPr>
            <w:tcW w:w="1505" w:type="dxa"/>
            <w:tcBorders>
              <w:top w:val="single" w:color="000000" w:sz="4" w:space="0"/>
              <w:right w:val="single" w:color="000000" w:sz="4" w:space="0"/>
            </w:tcBorders>
            <w:vAlign w:val="top"/>
          </w:tcPr>
          <w:p>
            <w:pPr>
              <w:spacing w:before="264" w:line="222" w:lineRule="auto"/>
              <w:ind w:left="405"/>
              <w:rPr>
                <w:rFonts w:ascii="宋体" w:hAnsi="宋体" w:eastAsia="宋体" w:cs="宋体"/>
                <w:sz w:val="20"/>
                <w:szCs w:val="20"/>
              </w:rPr>
            </w:pPr>
            <w:r>
              <w:rPr>
                <w:rFonts w:ascii="宋体" w:hAnsi="宋体" w:eastAsia="宋体" w:cs="宋体"/>
                <w:spacing w:val="7"/>
                <w:sz w:val="20"/>
                <w:szCs w:val="20"/>
              </w:rPr>
              <w:t>松填体积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8" w:hRule="atLeast"/>
        </w:trPr>
        <w:tc>
          <w:tcPr>
            <w:tcW w:w="982" w:type="dxa"/>
            <w:tcBorders>
              <w:left w:val="single" w:color="000000" w:sz="4" w:space="0"/>
            </w:tcBorders>
            <w:vAlign w:val="top"/>
          </w:tcPr>
          <w:p>
            <w:pPr>
              <w:spacing w:before="210" w:line="301" w:lineRule="exact"/>
              <w:ind w:left="487"/>
              <w:rPr>
                <w:rFonts w:ascii="宋体" w:hAnsi="宋体" w:eastAsia="宋体" w:cs="宋体"/>
                <w:sz w:val="20"/>
                <w:szCs w:val="20"/>
              </w:rPr>
            </w:pPr>
            <w:r>
              <w:rPr>
                <w:rFonts w:ascii="宋体" w:hAnsi="宋体" w:eastAsia="宋体" w:cs="宋体"/>
                <w:position w:val="2"/>
                <w:sz w:val="20"/>
                <w:szCs w:val="20"/>
              </w:rPr>
              <w:t>1</w:t>
            </w:r>
          </w:p>
        </w:tc>
        <w:tc>
          <w:tcPr>
            <w:tcW w:w="1940" w:type="dxa"/>
            <w:vAlign w:val="top"/>
          </w:tcPr>
          <w:p>
            <w:pPr>
              <w:spacing w:before="287" w:line="231" w:lineRule="auto"/>
              <w:ind w:left="817"/>
              <w:rPr>
                <w:rFonts w:ascii="宋体" w:hAnsi="宋体" w:eastAsia="宋体" w:cs="宋体"/>
                <w:sz w:val="20"/>
                <w:szCs w:val="20"/>
              </w:rPr>
            </w:pPr>
            <w:r>
              <w:rPr>
                <w:rFonts w:ascii="宋体" w:hAnsi="宋体" w:eastAsia="宋体" w:cs="宋体"/>
                <w:spacing w:val="-12"/>
                <w:sz w:val="20"/>
                <w:szCs w:val="20"/>
              </w:rPr>
              <w:t>0.77</w:t>
            </w:r>
          </w:p>
        </w:tc>
        <w:tc>
          <w:tcPr>
            <w:tcW w:w="1941" w:type="dxa"/>
            <w:vAlign w:val="top"/>
          </w:tcPr>
          <w:p>
            <w:pPr>
              <w:spacing w:before="287" w:line="231" w:lineRule="auto"/>
              <w:ind w:left="856"/>
              <w:rPr>
                <w:rFonts w:ascii="宋体" w:hAnsi="宋体" w:eastAsia="宋体" w:cs="宋体"/>
                <w:sz w:val="20"/>
                <w:szCs w:val="20"/>
              </w:rPr>
            </w:pPr>
            <w:r>
              <w:rPr>
                <w:rFonts w:ascii="宋体" w:hAnsi="宋体" w:eastAsia="宋体" w:cs="宋体"/>
                <w:spacing w:val="-18"/>
                <w:sz w:val="20"/>
                <w:szCs w:val="20"/>
              </w:rPr>
              <w:t>1.00</w:t>
            </w:r>
          </w:p>
        </w:tc>
        <w:tc>
          <w:tcPr>
            <w:tcW w:w="1941" w:type="dxa"/>
            <w:vAlign w:val="top"/>
          </w:tcPr>
          <w:p>
            <w:pPr>
              <w:spacing w:before="287" w:line="231" w:lineRule="auto"/>
              <w:ind w:left="827"/>
              <w:rPr>
                <w:rFonts w:ascii="宋体" w:hAnsi="宋体" w:eastAsia="宋体" w:cs="宋体"/>
                <w:sz w:val="20"/>
                <w:szCs w:val="20"/>
              </w:rPr>
            </w:pPr>
            <w:r>
              <w:rPr>
                <w:rFonts w:ascii="宋体" w:hAnsi="宋体" w:eastAsia="宋体" w:cs="宋体"/>
                <w:spacing w:val="-12"/>
                <w:sz w:val="20"/>
                <w:szCs w:val="20"/>
              </w:rPr>
              <w:t>0.67</w:t>
            </w:r>
          </w:p>
        </w:tc>
        <w:tc>
          <w:tcPr>
            <w:tcW w:w="1505" w:type="dxa"/>
            <w:tcBorders>
              <w:right w:val="single" w:color="000000" w:sz="4" w:space="0"/>
            </w:tcBorders>
            <w:vAlign w:val="top"/>
          </w:tcPr>
          <w:p>
            <w:pPr>
              <w:spacing w:before="287" w:line="231" w:lineRule="auto"/>
              <w:ind w:left="604"/>
              <w:rPr>
                <w:rFonts w:ascii="宋体" w:hAnsi="宋体" w:eastAsia="宋体" w:cs="宋体"/>
                <w:sz w:val="20"/>
                <w:szCs w:val="20"/>
              </w:rPr>
            </w:pPr>
            <w:r>
              <w:rPr>
                <w:rFonts w:ascii="宋体" w:hAnsi="宋体" w:eastAsia="宋体" w:cs="宋体"/>
                <w:spacing w:val="-12"/>
                <w:sz w:val="20"/>
                <w:szCs w:val="20"/>
              </w:rPr>
              <w:t>0.83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9" w:hRule="atLeast"/>
        </w:trPr>
        <w:tc>
          <w:tcPr>
            <w:tcW w:w="982" w:type="dxa"/>
            <w:tcBorders>
              <w:left w:val="single" w:color="000000" w:sz="4" w:space="0"/>
            </w:tcBorders>
            <w:vAlign w:val="top"/>
          </w:tcPr>
          <w:p>
            <w:pPr>
              <w:spacing w:before="211" w:line="301" w:lineRule="exact"/>
              <w:ind w:left="470"/>
              <w:rPr>
                <w:rFonts w:ascii="宋体" w:hAnsi="宋体" w:eastAsia="宋体" w:cs="宋体"/>
                <w:sz w:val="20"/>
                <w:szCs w:val="20"/>
              </w:rPr>
            </w:pPr>
            <w:r>
              <w:rPr>
                <w:rFonts w:ascii="宋体" w:hAnsi="宋体" w:eastAsia="宋体" w:cs="宋体"/>
                <w:position w:val="2"/>
                <w:sz w:val="20"/>
                <w:szCs w:val="20"/>
              </w:rPr>
              <w:t>2</w:t>
            </w:r>
          </w:p>
        </w:tc>
        <w:tc>
          <w:tcPr>
            <w:tcW w:w="1940" w:type="dxa"/>
            <w:vAlign w:val="top"/>
          </w:tcPr>
          <w:p>
            <w:pPr>
              <w:spacing w:before="288" w:line="231" w:lineRule="auto"/>
              <w:ind w:left="817"/>
              <w:rPr>
                <w:rFonts w:ascii="宋体" w:hAnsi="宋体" w:eastAsia="宋体" w:cs="宋体"/>
                <w:sz w:val="20"/>
                <w:szCs w:val="20"/>
              </w:rPr>
            </w:pPr>
            <w:r>
              <w:rPr>
                <w:rFonts w:ascii="宋体" w:hAnsi="宋体" w:eastAsia="宋体" w:cs="宋体"/>
                <w:spacing w:val="-12"/>
                <w:sz w:val="20"/>
                <w:szCs w:val="20"/>
              </w:rPr>
              <w:t>0.92</w:t>
            </w:r>
          </w:p>
        </w:tc>
        <w:tc>
          <w:tcPr>
            <w:tcW w:w="1941" w:type="dxa"/>
            <w:vAlign w:val="top"/>
          </w:tcPr>
          <w:p>
            <w:pPr>
              <w:spacing w:before="288" w:line="231" w:lineRule="auto"/>
              <w:ind w:left="856"/>
              <w:rPr>
                <w:rFonts w:ascii="宋体" w:hAnsi="宋体" w:eastAsia="宋体" w:cs="宋体"/>
                <w:sz w:val="20"/>
                <w:szCs w:val="20"/>
              </w:rPr>
            </w:pPr>
            <w:r>
              <w:rPr>
                <w:rFonts w:ascii="宋体" w:hAnsi="宋体" w:eastAsia="宋体" w:cs="宋体"/>
                <w:spacing w:val="-18"/>
                <w:sz w:val="20"/>
                <w:szCs w:val="20"/>
              </w:rPr>
              <w:t>1.20</w:t>
            </w:r>
          </w:p>
        </w:tc>
        <w:tc>
          <w:tcPr>
            <w:tcW w:w="1941" w:type="dxa"/>
            <w:vAlign w:val="top"/>
          </w:tcPr>
          <w:p>
            <w:pPr>
              <w:spacing w:before="288" w:line="231" w:lineRule="auto"/>
              <w:ind w:left="827"/>
              <w:rPr>
                <w:rFonts w:ascii="宋体" w:hAnsi="宋体" w:eastAsia="宋体" w:cs="宋体"/>
                <w:sz w:val="20"/>
                <w:szCs w:val="20"/>
              </w:rPr>
            </w:pPr>
            <w:r>
              <w:rPr>
                <w:rFonts w:ascii="宋体" w:hAnsi="宋体" w:eastAsia="宋体" w:cs="宋体"/>
                <w:spacing w:val="-12"/>
                <w:sz w:val="20"/>
                <w:szCs w:val="20"/>
              </w:rPr>
              <w:t>0.80</w:t>
            </w:r>
          </w:p>
        </w:tc>
        <w:tc>
          <w:tcPr>
            <w:tcW w:w="1505" w:type="dxa"/>
            <w:tcBorders>
              <w:right w:val="single" w:color="000000" w:sz="4" w:space="0"/>
            </w:tcBorders>
            <w:vAlign w:val="top"/>
          </w:tcPr>
          <w:p>
            <w:pPr>
              <w:spacing w:before="288" w:line="231" w:lineRule="auto"/>
              <w:ind w:left="636"/>
              <w:rPr>
                <w:rFonts w:ascii="宋体" w:hAnsi="宋体" w:eastAsia="宋体" w:cs="宋体"/>
                <w:sz w:val="20"/>
                <w:szCs w:val="20"/>
              </w:rPr>
            </w:pPr>
            <w:r>
              <w:rPr>
                <w:rFonts w:ascii="宋体" w:hAnsi="宋体" w:eastAsia="宋体" w:cs="宋体"/>
                <w:spacing w:val="-18"/>
                <w:sz w:val="20"/>
                <w:szCs w:val="20"/>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3" w:hRule="atLeast"/>
        </w:trPr>
        <w:tc>
          <w:tcPr>
            <w:tcW w:w="982" w:type="dxa"/>
            <w:tcBorders>
              <w:left w:val="single" w:color="000000" w:sz="4" w:space="0"/>
            </w:tcBorders>
            <w:vAlign w:val="top"/>
          </w:tcPr>
          <w:p>
            <w:pPr>
              <w:spacing w:before="214" w:line="300" w:lineRule="exact"/>
              <w:ind w:left="474"/>
              <w:rPr>
                <w:rFonts w:ascii="宋体" w:hAnsi="宋体" w:eastAsia="宋体" w:cs="宋体"/>
                <w:sz w:val="20"/>
                <w:szCs w:val="20"/>
              </w:rPr>
            </w:pPr>
            <w:r>
              <w:rPr>
                <w:rFonts w:ascii="宋体" w:hAnsi="宋体" w:eastAsia="宋体" w:cs="宋体"/>
                <w:position w:val="2"/>
                <w:sz w:val="20"/>
                <w:szCs w:val="20"/>
              </w:rPr>
              <w:t>3</w:t>
            </w:r>
          </w:p>
        </w:tc>
        <w:tc>
          <w:tcPr>
            <w:tcW w:w="1940" w:type="dxa"/>
            <w:vAlign w:val="top"/>
          </w:tcPr>
          <w:p>
            <w:pPr>
              <w:spacing w:before="295" w:line="228" w:lineRule="auto"/>
              <w:ind w:left="852"/>
              <w:rPr>
                <w:rFonts w:ascii="宋体" w:hAnsi="宋体" w:eastAsia="宋体" w:cs="宋体"/>
                <w:sz w:val="20"/>
                <w:szCs w:val="20"/>
              </w:rPr>
            </w:pPr>
            <w:r>
              <w:rPr>
                <w:rFonts w:ascii="宋体" w:hAnsi="宋体" w:eastAsia="宋体" w:cs="宋体"/>
                <w:spacing w:val="-18"/>
                <w:sz w:val="20"/>
                <w:szCs w:val="20"/>
              </w:rPr>
              <w:t>1.00</w:t>
            </w:r>
          </w:p>
        </w:tc>
        <w:tc>
          <w:tcPr>
            <w:tcW w:w="1941" w:type="dxa"/>
            <w:vAlign w:val="top"/>
          </w:tcPr>
          <w:p>
            <w:pPr>
              <w:spacing w:before="295" w:line="228" w:lineRule="auto"/>
              <w:ind w:left="856"/>
              <w:rPr>
                <w:rFonts w:ascii="宋体" w:hAnsi="宋体" w:eastAsia="宋体" w:cs="宋体"/>
                <w:sz w:val="20"/>
                <w:szCs w:val="20"/>
              </w:rPr>
            </w:pPr>
            <w:r>
              <w:rPr>
                <w:rFonts w:ascii="宋体" w:hAnsi="宋体" w:eastAsia="宋体" w:cs="宋体"/>
                <w:spacing w:val="-18"/>
                <w:sz w:val="20"/>
                <w:szCs w:val="20"/>
              </w:rPr>
              <w:t>1.30</w:t>
            </w:r>
          </w:p>
        </w:tc>
        <w:tc>
          <w:tcPr>
            <w:tcW w:w="1941" w:type="dxa"/>
            <w:vAlign w:val="top"/>
          </w:tcPr>
          <w:p>
            <w:pPr>
              <w:spacing w:before="295" w:line="228" w:lineRule="auto"/>
              <w:ind w:left="827"/>
              <w:rPr>
                <w:rFonts w:ascii="宋体" w:hAnsi="宋体" w:eastAsia="宋体" w:cs="宋体"/>
                <w:sz w:val="20"/>
                <w:szCs w:val="20"/>
              </w:rPr>
            </w:pPr>
            <w:r>
              <w:rPr>
                <w:rFonts w:ascii="宋体" w:hAnsi="宋体" w:eastAsia="宋体" w:cs="宋体"/>
                <w:spacing w:val="-12"/>
                <w:sz w:val="20"/>
                <w:szCs w:val="20"/>
              </w:rPr>
              <w:t>0.87</w:t>
            </w:r>
          </w:p>
        </w:tc>
        <w:tc>
          <w:tcPr>
            <w:tcW w:w="1505" w:type="dxa"/>
            <w:tcBorders>
              <w:right w:val="single" w:color="000000" w:sz="4" w:space="0"/>
            </w:tcBorders>
            <w:vAlign w:val="top"/>
          </w:tcPr>
          <w:p>
            <w:pPr>
              <w:spacing w:before="295" w:line="228" w:lineRule="auto"/>
              <w:ind w:left="636"/>
              <w:rPr>
                <w:rFonts w:ascii="宋体" w:hAnsi="宋体" w:eastAsia="宋体" w:cs="宋体"/>
                <w:sz w:val="20"/>
                <w:szCs w:val="20"/>
              </w:rPr>
            </w:pPr>
            <w:r>
              <w:rPr>
                <w:rFonts w:ascii="宋体" w:hAnsi="宋体" w:eastAsia="宋体" w:cs="宋体"/>
                <w:spacing w:val="-18"/>
                <w:sz w:val="20"/>
                <w:szCs w:val="20"/>
              </w:rPr>
              <w:t>1.08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982" w:type="dxa"/>
            <w:tcBorders>
              <w:left w:val="single" w:color="000000" w:sz="4" w:space="0"/>
              <w:bottom w:val="single" w:color="000000" w:sz="4" w:space="0"/>
            </w:tcBorders>
            <w:vAlign w:val="top"/>
          </w:tcPr>
          <w:p>
            <w:pPr>
              <w:spacing w:before="215" w:line="301" w:lineRule="exact"/>
              <w:ind w:left="467"/>
              <w:rPr>
                <w:rFonts w:ascii="宋体" w:hAnsi="宋体" w:eastAsia="宋体" w:cs="宋体"/>
                <w:sz w:val="20"/>
                <w:szCs w:val="20"/>
              </w:rPr>
            </w:pPr>
            <w:r>
              <w:rPr>
                <w:rFonts w:ascii="宋体" w:hAnsi="宋体" w:eastAsia="宋体" w:cs="宋体"/>
                <w:spacing w:val="1"/>
                <w:position w:val="2"/>
                <w:sz w:val="20"/>
                <w:szCs w:val="20"/>
              </w:rPr>
              <w:t>4</w:t>
            </w:r>
          </w:p>
        </w:tc>
        <w:tc>
          <w:tcPr>
            <w:tcW w:w="1940" w:type="dxa"/>
            <w:tcBorders>
              <w:bottom w:val="single" w:color="000000" w:sz="4" w:space="0"/>
            </w:tcBorders>
            <w:vAlign w:val="top"/>
          </w:tcPr>
          <w:p>
            <w:pPr>
              <w:spacing w:before="297" w:line="234" w:lineRule="auto"/>
              <w:ind w:left="852"/>
              <w:rPr>
                <w:rFonts w:ascii="宋体" w:hAnsi="宋体" w:eastAsia="宋体" w:cs="宋体"/>
                <w:sz w:val="20"/>
                <w:szCs w:val="20"/>
              </w:rPr>
            </w:pPr>
            <w:r>
              <w:rPr>
                <w:rFonts w:ascii="宋体" w:hAnsi="宋体" w:eastAsia="宋体" w:cs="宋体"/>
                <w:spacing w:val="-18"/>
                <w:sz w:val="20"/>
                <w:szCs w:val="20"/>
              </w:rPr>
              <w:t>1.15</w:t>
            </w:r>
          </w:p>
        </w:tc>
        <w:tc>
          <w:tcPr>
            <w:tcW w:w="1941" w:type="dxa"/>
            <w:tcBorders>
              <w:bottom w:val="single" w:color="000000" w:sz="4" w:space="0"/>
            </w:tcBorders>
            <w:vAlign w:val="top"/>
          </w:tcPr>
          <w:p>
            <w:pPr>
              <w:spacing w:before="297" w:line="234" w:lineRule="auto"/>
              <w:ind w:left="856"/>
              <w:rPr>
                <w:rFonts w:ascii="宋体" w:hAnsi="宋体" w:eastAsia="宋体" w:cs="宋体"/>
                <w:sz w:val="20"/>
                <w:szCs w:val="20"/>
              </w:rPr>
            </w:pPr>
            <w:r>
              <w:rPr>
                <w:rFonts w:ascii="宋体" w:hAnsi="宋体" w:eastAsia="宋体" w:cs="宋体"/>
                <w:spacing w:val="-18"/>
                <w:sz w:val="20"/>
                <w:szCs w:val="20"/>
              </w:rPr>
              <w:t>1.50</w:t>
            </w:r>
          </w:p>
        </w:tc>
        <w:tc>
          <w:tcPr>
            <w:tcW w:w="1941" w:type="dxa"/>
            <w:tcBorders>
              <w:bottom w:val="single" w:color="000000" w:sz="4" w:space="0"/>
            </w:tcBorders>
            <w:vAlign w:val="top"/>
          </w:tcPr>
          <w:p>
            <w:pPr>
              <w:spacing w:before="297" w:line="234" w:lineRule="auto"/>
              <w:ind w:left="859"/>
              <w:rPr>
                <w:rFonts w:ascii="宋体" w:hAnsi="宋体" w:eastAsia="宋体" w:cs="宋体"/>
                <w:sz w:val="20"/>
                <w:szCs w:val="20"/>
              </w:rPr>
            </w:pPr>
            <w:r>
              <w:rPr>
                <w:rFonts w:ascii="宋体" w:hAnsi="宋体" w:eastAsia="宋体" w:cs="宋体"/>
                <w:spacing w:val="-18"/>
                <w:sz w:val="20"/>
                <w:szCs w:val="20"/>
              </w:rPr>
              <w:t>1.00</w:t>
            </w:r>
          </w:p>
        </w:tc>
        <w:tc>
          <w:tcPr>
            <w:tcW w:w="1505" w:type="dxa"/>
            <w:tcBorders>
              <w:bottom w:val="single" w:color="000000" w:sz="4" w:space="0"/>
              <w:right w:val="single" w:color="000000" w:sz="4" w:space="0"/>
            </w:tcBorders>
            <w:vAlign w:val="top"/>
          </w:tcPr>
          <w:p>
            <w:pPr>
              <w:spacing w:before="297" w:line="234" w:lineRule="auto"/>
              <w:ind w:left="636"/>
              <w:rPr>
                <w:rFonts w:ascii="宋体" w:hAnsi="宋体" w:eastAsia="宋体" w:cs="宋体"/>
                <w:sz w:val="20"/>
                <w:szCs w:val="20"/>
              </w:rPr>
            </w:pPr>
            <w:r>
              <w:rPr>
                <w:rFonts w:ascii="宋体" w:hAnsi="宋体" w:eastAsia="宋体" w:cs="宋体"/>
                <w:spacing w:val="-18"/>
                <w:sz w:val="20"/>
                <w:szCs w:val="20"/>
              </w:rPr>
              <w:t>1.25</w:t>
            </w:r>
          </w:p>
        </w:tc>
      </w:tr>
    </w:tbl>
    <w:p>
      <w:pPr>
        <w:spacing w:before="142" w:line="278" w:lineRule="exact"/>
        <w:ind w:left="443"/>
        <w:rPr>
          <w:rFonts w:ascii="宋体" w:hAnsi="宋体" w:eastAsia="宋体" w:cs="宋体"/>
          <w:sz w:val="20"/>
          <w:szCs w:val="20"/>
        </w:rPr>
      </w:pPr>
      <w:r>
        <w:rPr>
          <w:rFonts w:ascii="宋体" w:hAnsi="宋体" w:eastAsia="宋体" w:cs="宋体"/>
          <w:spacing w:val="4"/>
          <w:position w:val="1"/>
          <w:sz w:val="20"/>
          <w:szCs w:val="20"/>
        </w:rPr>
        <w:t>注：1.天然密实体积指自然形成的、未经开挖施工过</w:t>
      </w:r>
      <w:r>
        <w:rPr>
          <w:rFonts w:ascii="宋体" w:hAnsi="宋体" w:eastAsia="宋体" w:cs="宋体"/>
          <w:spacing w:val="3"/>
          <w:position w:val="1"/>
          <w:sz w:val="20"/>
          <w:szCs w:val="20"/>
        </w:rPr>
        <w:t>的土（石）方体积；</w:t>
      </w:r>
    </w:p>
    <w:p>
      <w:pPr>
        <w:spacing w:before="120" w:line="278" w:lineRule="exact"/>
        <w:ind w:left="828"/>
        <w:rPr>
          <w:rFonts w:ascii="宋体" w:hAnsi="宋体" w:eastAsia="宋体" w:cs="宋体"/>
          <w:sz w:val="20"/>
          <w:szCs w:val="20"/>
        </w:rPr>
      </w:pPr>
      <w:r>
        <w:rPr>
          <w:rFonts w:ascii="宋体" w:hAnsi="宋体" w:eastAsia="宋体" w:cs="宋体"/>
          <w:spacing w:val="3"/>
          <w:position w:val="1"/>
          <w:sz w:val="20"/>
          <w:szCs w:val="20"/>
        </w:rPr>
        <w:t>2.虚方体积指未经碾压、堆积时间≤1</w:t>
      </w:r>
      <w:r>
        <w:rPr>
          <w:rFonts w:ascii="宋体" w:hAnsi="宋体" w:eastAsia="宋体" w:cs="宋体"/>
          <w:spacing w:val="-43"/>
          <w:position w:val="1"/>
          <w:sz w:val="20"/>
          <w:szCs w:val="20"/>
        </w:rPr>
        <w:t xml:space="preserve"> </w:t>
      </w:r>
      <w:r>
        <w:rPr>
          <w:rFonts w:ascii="宋体" w:hAnsi="宋体" w:eastAsia="宋体" w:cs="宋体"/>
          <w:spacing w:val="3"/>
          <w:position w:val="1"/>
          <w:sz w:val="20"/>
          <w:szCs w:val="20"/>
        </w:rPr>
        <w:t>年的土</w:t>
      </w:r>
      <w:r>
        <w:rPr>
          <w:rFonts w:ascii="宋体" w:hAnsi="宋体" w:eastAsia="宋体" w:cs="宋体"/>
          <w:spacing w:val="2"/>
          <w:position w:val="1"/>
          <w:sz w:val="20"/>
          <w:szCs w:val="20"/>
        </w:rPr>
        <w:t>壤体积；</w:t>
      </w:r>
    </w:p>
    <w:p>
      <w:pPr>
        <w:spacing w:before="123" w:line="277" w:lineRule="exact"/>
        <w:ind w:left="832"/>
        <w:rPr>
          <w:rFonts w:ascii="宋体" w:hAnsi="宋体" w:eastAsia="宋体" w:cs="宋体"/>
          <w:sz w:val="20"/>
          <w:szCs w:val="20"/>
        </w:rPr>
      </w:pPr>
      <w:r>
        <w:rPr>
          <w:rFonts w:ascii="宋体" w:hAnsi="宋体" w:eastAsia="宋体" w:cs="宋体"/>
          <w:spacing w:val="3"/>
          <w:position w:val="1"/>
          <w:sz w:val="20"/>
          <w:szCs w:val="20"/>
        </w:rPr>
        <w:t>3.松填体积指挖出的土方、未经夯实的回填土体积；</w:t>
      </w:r>
    </w:p>
    <w:p>
      <w:pPr>
        <w:spacing w:before="124" w:line="277" w:lineRule="exact"/>
        <w:ind w:left="832"/>
        <w:rPr>
          <w:rFonts w:ascii="宋体" w:hAnsi="宋体" w:eastAsia="宋体" w:cs="宋体"/>
          <w:sz w:val="20"/>
          <w:szCs w:val="20"/>
        </w:rPr>
      </w:pPr>
      <w:r>
        <w:rPr>
          <w:rFonts w:ascii="宋体" w:hAnsi="宋体" w:eastAsia="宋体" w:cs="宋体"/>
          <w:spacing w:val="5"/>
          <w:position w:val="1"/>
          <w:sz w:val="20"/>
          <w:szCs w:val="20"/>
        </w:rPr>
        <w:t>4.夯实体积指按规范要求，经分层碾压、夯实后的土壤体积。</w:t>
      </w:r>
    </w:p>
    <w:p>
      <w:pPr>
        <w:spacing w:before="121" w:line="278" w:lineRule="exact"/>
        <w:ind w:left="426"/>
        <w:rPr>
          <w:rFonts w:ascii="宋体" w:hAnsi="宋体" w:eastAsia="宋体" w:cs="宋体"/>
          <w:sz w:val="20"/>
          <w:szCs w:val="20"/>
        </w:rPr>
      </w:pPr>
      <w:r>
        <w:rPr>
          <w:rFonts w:ascii="宋体" w:hAnsi="宋体" w:eastAsia="宋体" w:cs="宋体"/>
          <w:b/>
          <w:bCs/>
          <w:spacing w:val="4"/>
          <w:position w:val="1"/>
          <w:sz w:val="20"/>
          <w:szCs w:val="20"/>
        </w:rPr>
        <w:t>36.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关于建筑垃圾清理运输费用的确定</w:t>
      </w:r>
    </w:p>
    <w:p>
      <w:pPr>
        <w:spacing w:before="121" w:line="356" w:lineRule="auto"/>
        <w:ind w:left="2" w:right="64" w:firstLine="423"/>
        <w:jc w:val="both"/>
        <w:rPr>
          <w:rFonts w:ascii="宋体" w:hAnsi="宋体" w:eastAsia="宋体" w:cs="宋体"/>
          <w:sz w:val="20"/>
          <w:szCs w:val="20"/>
        </w:rPr>
      </w:pPr>
      <w:r>
        <w:rPr>
          <w:rFonts w:ascii="宋体" w:hAnsi="宋体" w:eastAsia="宋体" w:cs="宋体"/>
          <w:spacing w:val="8"/>
          <w:sz w:val="20"/>
          <w:szCs w:val="20"/>
        </w:rPr>
        <w:t>清运建筑垃圾，按其自然状态的实际体积，运距</w:t>
      </w:r>
      <w:r>
        <w:rPr>
          <w:rFonts w:ascii="宋体" w:hAnsi="宋体" w:eastAsia="宋体" w:cs="宋体"/>
          <w:spacing w:val="-9"/>
          <w:sz w:val="20"/>
          <w:szCs w:val="20"/>
        </w:rPr>
        <w:t xml:space="preserve"> </w:t>
      </w:r>
      <w:r>
        <w:rPr>
          <w:rFonts w:ascii="宋体" w:hAnsi="宋体" w:eastAsia="宋体" w:cs="宋体"/>
          <w:spacing w:val="8"/>
          <w:sz w:val="20"/>
          <w:szCs w:val="20"/>
        </w:rPr>
        <w:t>10</w:t>
      </w:r>
      <w:r>
        <w:rPr>
          <w:rFonts w:ascii="宋体" w:hAnsi="宋体" w:eastAsia="宋体" w:cs="宋体"/>
          <w:spacing w:val="-46"/>
          <w:sz w:val="20"/>
          <w:szCs w:val="20"/>
        </w:rPr>
        <w:t xml:space="preserve"> </w:t>
      </w:r>
      <w:r>
        <w:rPr>
          <w:rFonts w:ascii="宋体" w:hAnsi="宋体" w:eastAsia="宋体" w:cs="宋体"/>
          <w:spacing w:val="8"/>
          <w:sz w:val="20"/>
          <w:szCs w:val="20"/>
        </w:rPr>
        <w:t>公里以内时，按每立方米</w:t>
      </w:r>
      <w:r>
        <w:rPr>
          <w:rFonts w:ascii="宋体" w:hAnsi="宋体" w:eastAsia="宋体" w:cs="宋体"/>
          <w:spacing w:val="-41"/>
          <w:sz w:val="20"/>
          <w:szCs w:val="20"/>
        </w:rPr>
        <w:t xml:space="preserve"> </w:t>
      </w:r>
      <w:r>
        <w:rPr>
          <w:rFonts w:ascii="宋体" w:hAnsi="宋体" w:eastAsia="宋体" w:cs="宋体"/>
          <w:spacing w:val="8"/>
          <w:sz w:val="20"/>
          <w:szCs w:val="20"/>
        </w:rPr>
        <w:t>23</w:t>
      </w:r>
      <w:r>
        <w:rPr>
          <w:rFonts w:ascii="宋体" w:hAnsi="宋体" w:eastAsia="宋体" w:cs="宋体"/>
          <w:spacing w:val="-43"/>
          <w:sz w:val="20"/>
          <w:szCs w:val="20"/>
        </w:rPr>
        <w:t xml:space="preserve"> </w:t>
      </w:r>
      <w:r>
        <w:rPr>
          <w:rFonts w:ascii="宋体" w:hAnsi="宋体" w:eastAsia="宋体" w:cs="宋体"/>
          <w:spacing w:val="8"/>
          <w:sz w:val="20"/>
          <w:szCs w:val="20"/>
        </w:rPr>
        <w:t>元计取；每增</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公里（不足</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公里按</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5"/>
          <w:sz w:val="20"/>
          <w:szCs w:val="20"/>
        </w:rPr>
        <w:t xml:space="preserve"> </w:t>
      </w:r>
      <w:r>
        <w:rPr>
          <w:rFonts w:ascii="宋体" w:hAnsi="宋体" w:eastAsia="宋体" w:cs="宋体"/>
          <w:spacing w:val="7"/>
          <w:sz w:val="20"/>
          <w:szCs w:val="20"/>
        </w:rPr>
        <w:t>公里计算）按</w:t>
      </w:r>
      <w:r>
        <w:rPr>
          <w:rFonts w:ascii="宋体" w:hAnsi="宋体" w:eastAsia="宋体" w:cs="宋体"/>
          <w:spacing w:val="-23"/>
          <w:sz w:val="20"/>
          <w:szCs w:val="20"/>
        </w:rPr>
        <w:t xml:space="preserve"> </w:t>
      </w:r>
      <w:r>
        <w:rPr>
          <w:rFonts w:ascii="宋体" w:hAnsi="宋体" w:eastAsia="宋体" w:cs="宋体"/>
          <w:spacing w:val="7"/>
          <w:sz w:val="20"/>
          <w:szCs w:val="20"/>
        </w:rPr>
        <w:t>1.30</w:t>
      </w:r>
      <w:r>
        <w:rPr>
          <w:rFonts w:ascii="宋体" w:hAnsi="宋体" w:eastAsia="宋体" w:cs="宋体"/>
          <w:spacing w:val="-42"/>
          <w:sz w:val="20"/>
          <w:szCs w:val="20"/>
        </w:rPr>
        <w:t xml:space="preserve"> </w:t>
      </w:r>
      <w:r>
        <w:rPr>
          <w:rFonts w:ascii="宋体" w:hAnsi="宋体" w:eastAsia="宋体" w:cs="宋体"/>
          <w:spacing w:val="7"/>
          <w:sz w:val="20"/>
          <w:szCs w:val="20"/>
        </w:rPr>
        <w:t>元计算，以上费用只计取规费及税</w:t>
      </w:r>
      <w:r>
        <w:rPr>
          <w:rFonts w:ascii="宋体" w:hAnsi="宋体" w:eastAsia="宋体" w:cs="宋体"/>
          <w:spacing w:val="6"/>
          <w:sz w:val="20"/>
          <w:szCs w:val="20"/>
        </w:rPr>
        <w:t>金。若合同约定的费</w:t>
      </w:r>
      <w:r>
        <w:rPr>
          <w:rFonts w:ascii="宋体" w:hAnsi="宋体" w:eastAsia="宋体" w:cs="宋体"/>
          <w:spacing w:val="11"/>
          <w:sz w:val="20"/>
          <w:szCs w:val="20"/>
        </w:rPr>
        <w:t>用高于或低于该条款的费用，按合同约定的条款执行。垃圾处置费按发承包</w:t>
      </w:r>
      <w:r>
        <w:rPr>
          <w:rFonts w:ascii="宋体" w:hAnsi="宋体" w:eastAsia="宋体" w:cs="宋体"/>
          <w:spacing w:val="10"/>
          <w:sz w:val="20"/>
          <w:szCs w:val="20"/>
        </w:rPr>
        <w:t>双方约定的费用或按每</w:t>
      </w:r>
    </w:p>
    <w:p>
      <w:pPr>
        <w:spacing w:line="356" w:lineRule="auto"/>
        <w:rPr>
          <w:rFonts w:ascii="宋体" w:hAnsi="宋体" w:eastAsia="宋体" w:cs="宋体"/>
          <w:sz w:val="20"/>
          <w:szCs w:val="20"/>
        </w:rPr>
        <w:sectPr>
          <w:footerReference r:id="rId195" w:type="default"/>
          <w:pgSz w:w="11906" w:h="16839"/>
          <w:pgMar w:top="400" w:right="1353"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1"/>
        <w:rPr>
          <w:rFonts w:ascii="宋体" w:hAnsi="宋体" w:eastAsia="宋体" w:cs="宋体"/>
          <w:sz w:val="20"/>
          <w:szCs w:val="20"/>
        </w:rPr>
      </w:pPr>
      <w:r>
        <w:rPr>
          <w:rFonts w:ascii="宋体" w:hAnsi="宋体" w:eastAsia="宋体" w:cs="宋体"/>
          <w:spacing w:val="7"/>
          <w:position w:val="1"/>
          <w:sz w:val="20"/>
          <w:szCs w:val="20"/>
        </w:rPr>
        <w:t>立方米</w:t>
      </w:r>
      <w:r>
        <w:rPr>
          <w:rFonts w:ascii="宋体" w:hAnsi="宋体" w:eastAsia="宋体" w:cs="宋体"/>
          <w:spacing w:val="-29"/>
          <w:position w:val="1"/>
          <w:sz w:val="20"/>
          <w:szCs w:val="20"/>
        </w:rPr>
        <w:t xml:space="preserve"> </w:t>
      </w:r>
      <w:r>
        <w:rPr>
          <w:rFonts w:ascii="宋体" w:hAnsi="宋体" w:eastAsia="宋体" w:cs="宋体"/>
          <w:spacing w:val="7"/>
          <w:position w:val="1"/>
          <w:sz w:val="20"/>
          <w:szCs w:val="20"/>
        </w:rPr>
        <w:t>4</w:t>
      </w:r>
      <w:r>
        <w:rPr>
          <w:rFonts w:ascii="宋体" w:hAnsi="宋体" w:eastAsia="宋体" w:cs="宋体"/>
          <w:spacing w:val="-45"/>
          <w:position w:val="1"/>
          <w:sz w:val="20"/>
          <w:szCs w:val="20"/>
        </w:rPr>
        <w:t xml:space="preserve"> </w:t>
      </w:r>
      <w:r>
        <w:rPr>
          <w:rFonts w:ascii="宋体" w:hAnsi="宋体" w:eastAsia="宋体" w:cs="宋体"/>
          <w:spacing w:val="7"/>
          <w:position w:val="1"/>
          <w:sz w:val="20"/>
          <w:szCs w:val="20"/>
        </w:rPr>
        <w:t>元计取（不需处理时不计取）。</w:t>
      </w:r>
    </w:p>
    <w:p>
      <w:pPr>
        <w:spacing w:before="123" w:line="276" w:lineRule="exact"/>
        <w:ind w:left="426"/>
        <w:rPr>
          <w:rFonts w:ascii="宋体" w:hAnsi="宋体" w:eastAsia="宋体" w:cs="宋体"/>
          <w:sz w:val="20"/>
          <w:szCs w:val="20"/>
        </w:rPr>
      </w:pPr>
      <w:r>
        <w:rPr>
          <w:rFonts w:ascii="宋体" w:hAnsi="宋体" w:eastAsia="宋体" w:cs="宋体"/>
          <w:b/>
          <w:bCs/>
          <w:spacing w:val="4"/>
          <w:position w:val="1"/>
          <w:sz w:val="20"/>
          <w:szCs w:val="20"/>
        </w:rPr>
        <w:t>37.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关于透水混凝土两侧模板的计价</w:t>
      </w:r>
    </w:p>
    <w:p>
      <w:pPr>
        <w:spacing w:before="127" w:line="223" w:lineRule="auto"/>
        <w:ind w:left="423"/>
        <w:rPr>
          <w:rFonts w:ascii="宋体" w:hAnsi="宋体" w:eastAsia="宋体" w:cs="宋体"/>
          <w:sz w:val="20"/>
          <w:szCs w:val="20"/>
        </w:rPr>
      </w:pPr>
      <w:r>
        <w:rPr>
          <w:rFonts w:ascii="宋体" w:hAnsi="宋体" w:eastAsia="宋体" w:cs="宋体"/>
          <w:spacing w:val="9"/>
          <w:sz w:val="20"/>
          <w:szCs w:val="20"/>
        </w:rPr>
        <w:t>透水混凝土两侧模板，可借用建筑工程消耗量定额的垫层模板子目。</w:t>
      </w:r>
    </w:p>
    <w:p>
      <w:pPr>
        <w:spacing w:before="154" w:line="276" w:lineRule="exact"/>
        <w:ind w:left="426"/>
        <w:rPr>
          <w:rFonts w:ascii="宋体" w:hAnsi="宋体" w:eastAsia="宋体" w:cs="宋体"/>
          <w:sz w:val="20"/>
          <w:szCs w:val="20"/>
        </w:rPr>
      </w:pPr>
      <w:r>
        <w:rPr>
          <w:rFonts w:ascii="宋体" w:hAnsi="宋体" w:eastAsia="宋体" w:cs="宋体"/>
          <w:b/>
          <w:bCs/>
          <w:spacing w:val="6"/>
          <w:position w:val="1"/>
          <w:sz w:val="20"/>
          <w:szCs w:val="20"/>
        </w:rPr>
        <w:t>38.</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关于建设单位打井并支付打井费用后绿</w:t>
      </w:r>
      <w:r>
        <w:rPr>
          <w:rFonts w:ascii="宋体" w:hAnsi="宋体" w:eastAsia="宋体" w:cs="宋体"/>
          <w:b/>
          <w:bCs/>
          <w:spacing w:val="5"/>
          <w:position w:val="1"/>
          <w:sz w:val="20"/>
          <w:szCs w:val="20"/>
        </w:rPr>
        <w:t>化养护部分的计价</w:t>
      </w:r>
    </w:p>
    <w:p>
      <w:pPr>
        <w:spacing w:before="126" w:line="368" w:lineRule="auto"/>
        <w:ind w:left="1" w:right="43" w:firstLine="420"/>
        <w:rPr>
          <w:rFonts w:ascii="宋体" w:hAnsi="宋体" w:eastAsia="宋体" w:cs="宋体"/>
          <w:sz w:val="20"/>
          <w:szCs w:val="20"/>
        </w:rPr>
      </w:pPr>
      <w:r>
        <w:rPr>
          <w:rFonts w:ascii="宋体" w:hAnsi="宋体" w:eastAsia="宋体" w:cs="宋体"/>
          <w:spacing w:val="10"/>
          <w:sz w:val="20"/>
          <w:szCs w:val="20"/>
        </w:rPr>
        <w:t>绿化养护子目中的水按自来水考虑，建设单位打井并支付打井费用的，绿化</w:t>
      </w:r>
      <w:r>
        <w:rPr>
          <w:rFonts w:ascii="宋体" w:hAnsi="宋体" w:eastAsia="宋体" w:cs="宋体"/>
          <w:spacing w:val="9"/>
          <w:sz w:val="20"/>
          <w:szCs w:val="20"/>
        </w:rPr>
        <w:t>养护部分的计价应</w:t>
      </w:r>
      <w:r>
        <w:rPr>
          <w:rFonts w:ascii="宋体" w:hAnsi="宋体" w:eastAsia="宋体" w:cs="宋体"/>
          <w:spacing w:val="8"/>
          <w:sz w:val="20"/>
          <w:szCs w:val="20"/>
        </w:rPr>
        <w:t>扣除绿化养护子目中水的含量;</w:t>
      </w:r>
    </w:p>
    <w:p>
      <w:pPr>
        <w:spacing w:line="277" w:lineRule="exact"/>
        <w:ind w:left="426"/>
        <w:rPr>
          <w:rFonts w:ascii="宋体" w:hAnsi="宋体" w:eastAsia="宋体" w:cs="宋体"/>
          <w:sz w:val="20"/>
          <w:szCs w:val="20"/>
        </w:rPr>
      </w:pPr>
      <w:r>
        <w:rPr>
          <w:rFonts w:ascii="宋体" w:hAnsi="宋体" w:eastAsia="宋体" w:cs="宋体"/>
          <w:b/>
          <w:bCs/>
          <w:spacing w:val="5"/>
          <w:position w:val="1"/>
          <w:sz w:val="20"/>
          <w:szCs w:val="20"/>
        </w:rPr>
        <w:t>39.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关于喷播植草定额子目（</w:t>
      </w:r>
      <w:r>
        <w:rPr>
          <w:rFonts w:ascii="宋体" w:hAnsi="宋体" w:eastAsia="宋体" w:cs="宋体"/>
          <w:spacing w:val="-44"/>
          <w:position w:val="1"/>
          <w:sz w:val="20"/>
          <w:szCs w:val="20"/>
        </w:rPr>
        <w:t xml:space="preserve"> </w:t>
      </w:r>
      <w:r>
        <w:rPr>
          <w:rFonts w:ascii="宋体" w:hAnsi="宋体" w:eastAsia="宋体" w:cs="宋体"/>
          <w:b/>
          <w:bCs/>
          <w:spacing w:val="5"/>
          <w:position w:val="1"/>
          <w:sz w:val="20"/>
          <w:szCs w:val="20"/>
        </w:rPr>
        <w:t>1-2-152、1-2-153）工作</w:t>
      </w:r>
      <w:r>
        <w:rPr>
          <w:rFonts w:ascii="宋体" w:hAnsi="宋体" w:eastAsia="宋体" w:cs="宋体"/>
          <w:b/>
          <w:bCs/>
          <w:spacing w:val="4"/>
          <w:position w:val="1"/>
          <w:sz w:val="20"/>
          <w:szCs w:val="20"/>
        </w:rPr>
        <w:t>内容中是否包含养护的问题</w:t>
      </w:r>
    </w:p>
    <w:p>
      <w:pPr>
        <w:spacing w:before="124" w:line="277" w:lineRule="exact"/>
        <w:ind w:left="430"/>
        <w:rPr>
          <w:rFonts w:ascii="宋体" w:hAnsi="宋体" w:eastAsia="宋体" w:cs="宋体"/>
          <w:sz w:val="20"/>
          <w:szCs w:val="20"/>
        </w:rPr>
      </w:pPr>
      <w:r>
        <w:rPr>
          <w:rFonts w:ascii="宋体" w:hAnsi="宋体" w:eastAsia="宋体" w:cs="宋体"/>
          <w:spacing w:val="7"/>
          <w:position w:val="1"/>
          <w:sz w:val="20"/>
          <w:szCs w:val="20"/>
        </w:rPr>
        <w:t>喷播植草子目(1-2-152、1-2-</w:t>
      </w:r>
      <w:r>
        <w:rPr>
          <w:rFonts w:ascii="宋体" w:hAnsi="宋体" w:eastAsia="宋体" w:cs="宋体"/>
          <w:spacing w:val="6"/>
          <w:position w:val="1"/>
          <w:sz w:val="20"/>
          <w:szCs w:val="20"/>
        </w:rPr>
        <w:t>153)工作内容中不含养护，发生养护时，应单独计算费用。</w:t>
      </w:r>
    </w:p>
    <w:p>
      <w:pPr>
        <w:spacing w:before="123" w:line="278" w:lineRule="exact"/>
        <w:ind w:left="419"/>
        <w:rPr>
          <w:rFonts w:ascii="宋体" w:hAnsi="宋体" w:eastAsia="宋体" w:cs="宋体"/>
          <w:sz w:val="20"/>
          <w:szCs w:val="20"/>
        </w:rPr>
      </w:pPr>
      <w:r>
        <w:rPr>
          <w:rFonts w:ascii="宋体" w:hAnsi="宋体" w:eastAsia="宋体" w:cs="宋体"/>
          <w:b/>
          <w:bCs/>
          <w:spacing w:val="7"/>
          <w:position w:val="1"/>
          <w:sz w:val="20"/>
          <w:szCs w:val="20"/>
        </w:rPr>
        <w:t>40.</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现有定额或环境保护费、文明施工费及临时设施费中产生的建</w:t>
      </w:r>
      <w:r>
        <w:rPr>
          <w:rFonts w:ascii="宋体" w:hAnsi="宋体" w:eastAsia="宋体" w:cs="宋体"/>
          <w:b/>
          <w:bCs/>
          <w:spacing w:val="6"/>
          <w:position w:val="1"/>
          <w:sz w:val="20"/>
          <w:szCs w:val="20"/>
        </w:rPr>
        <w:t>筑垃圾场外运输的计算</w:t>
      </w:r>
    </w:p>
    <w:p>
      <w:pPr>
        <w:spacing w:before="121" w:line="369" w:lineRule="auto"/>
        <w:ind w:left="3" w:right="2" w:firstLine="420"/>
        <w:rPr>
          <w:rFonts w:ascii="宋体" w:hAnsi="宋体" w:eastAsia="宋体" w:cs="宋体"/>
          <w:sz w:val="20"/>
          <w:szCs w:val="20"/>
        </w:rPr>
      </w:pPr>
      <w:r>
        <w:rPr>
          <w:rFonts w:ascii="宋体" w:hAnsi="宋体" w:eastAsia="宋体" w:cs="宋体"/>
          <w:spacing w:val="11"/>
          <w:sz w:val="20"/>
          <w:szCs w:val="20"/>
        </w:rPr>
        <w:t>现有定额或有关费率中未包含施工红线范围内所有建筑垃圾（包括临时</w:t>
      </w:r>
      <w:r>
        <w:rPr>
          <w:rFonts w:ascii="宋体" w:hAnsi="宋体" w:eastAsia="宋体" w:cs="宋体"/>
          <w:spacing w:val="10"/>
          <w:sz w:val="20"/>
          <w:szCs w:val="20"/>
        </w:rPr>
        <w:t>设施拆除所产生的拆除</w:t>
      </w:r>
      <w:r>
        <w:rPr>
          <w:rFonts w:ascii="宋体" w:hAnsi="宋体" w:eastAsia="宋体" w:cs="宋体"/>
          <w:spacing w:val="9"/>
          <w:sz w:val="20"/>
          <w:szCs w:val="20"/>
        </w:rPr>
        <w:t>垃圾）的外运费用，实际发生时，另行计算。</w:t>
      </w:r>
    </w:p>
    <w:p>
      <w:pPr>
        <w:spacing w:before="2" w:line="276" w:lineRule="exact"/>
        <w:ind w:left="419"/>
        <w:rPr>
          <w:rFonts w:ascii="宋体" w:hAnsi="宋体" w:eastAsia="宋体" w:cs="宋体"/>
          <w:sz w:val="20"/>
          <w:szCs w:val="20"/>
        </w:rPr>
      </w:pPr>
      <w:r>
        <w:rPr>
          <w:rFonts w:ascii="宋体" w:hAnsi="宋体" w:eastAsia="宋体" w:cs="宋体"/>
          <w:b/>
          <w:bCs/>
          <w:spacing w:val="2"/>
          <w:position w:val="1"/>
          <w:sz w:val="20"/>
          <w:szCs w:val="20"/>
        </w:rPr>
        <w:t>41.</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关于计价依据的解释</w:t>
      </w:r>
    </w:p>
    <w:p>
      <w:pPr>
        <w:spacing w:before="121" w:line="369" w:lineRule="auto"/>
        <w:ind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2"/>
          <w:sz w:val="20"/>
          <w:szCs w:val="20"/>
        </w:rPr>
        <w:t xml:space="preserve"> </w:t>
      </w:r>
      <w:r>
        <w:rPr>
          <w:rFonts w:ascii="宋体" w:hAnsi="宋体" w:eastAsia="宋体" w:cs="宋体"/>
          <w:spacing w:val="10"/>
          <w:sz w:val="20"/>
          <w:szCs w:val="20"/>
        </w:rPr>
        <w:t>年5</w:t>
      </w:r>
      <w:r>
        <w:rPr>
          <w:rFonts w:ascii="宋体" w:hAnsi="宋体" w:eastAsia="宋体" w:cs="宋体"/>
          <w:spacing w:val="-36"/>
          <w:sz w:val="20"/>
          <w:szCs w:val="20"/>
        </w:rPr>
        <w:t xml:space="preserve"> </w:t>
      </w:r>
      <w:r>
        <w:rPr>
          <w:rFonts w:ascii="宋体" w:hAnsi="宋体" w:eastAsia="宋体" w:cs="宋体"/>
          <w:spacing w:val="10"/>
          <w:sz w:val="20"/>
          <w:szCs w:val="20"/>
        </w:rPr>
        <w:t>月</w:t>
      </w:r>
      <w:r>
        <w:rPr>
          <w:rFonts w:ascii="宋体" w:hAnsi="宋体" w:eastAsia="宋体" w:cs="宋体"/>
          <w:spacing w:val="-39"/>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转发山东省住房和城乡建设厅〈关于印发《山东省建设工程计价依据解释工作办法》</w:t>
      </w:r>
      <w:r>
        <w:rPr>
          <w:rFonts w:ascii="宋体" w:hAnsi="宋体" w:eastAsia="宋体" w:cs="宋体"/>
          <w:spacing w:val="10"/>
          <w:sz w:val="20"/>
          <w:szCs w:val="20"/>
        </w:rPr>
        <w:t>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196" w:type="default"/>
          <w:pgSz w:w="11906" w:h="16839"/>
          <w:pgMar w:top="400" w:right="1417" w:bottom="1212" w:left="1418" w:header="0" w:footer="897" w:gutter="0"/>
        </w:sectPr>
      </w:pPr>
    </w:p>
    <w:p>
      <w:pPr>
        <w:spacing w:line="309" w:lineRule="auto"/>
        <w:rPr>
          <w:rFonts w:ascii="Arial"/>
          <w:sz w:val="21"/>
        </w:rPr>
      </w:pPr>
    </w:p>
    <w:p>
      <w:pPr>
        <w:spacing w:line="309" w:lineRule="auto"/>
        <w:rPr>
          <w:rFonts w:ascii="Arial"/>
          <w:sz w:val="21"/>
        </w:rPr>
      </w:pPr>
    </w:p>
    <w:p>
      <w:pPr>
        <w:spacing w:line="310" w:lineRule="auto"/>
        <w:rPr>
          <w:rFonts w:ascii="Arial"/>
          <w:sz w:val="21"/>
        </w:rPr>
      </w:pPr>
    </w:p>
    <w:p>
      <w:pPr>
        <w:spacing w:before="100" w:line="218" w:lineRule="auto"/>
        <w:ind w:left="1164"/>
        <w:outlineLvl w:val="1"/>
        <w:rPr>
          <w:rFonts w:ascii="宋体" w:hAnsi="宋体" w:eastAsia="宋体" w:cs="宋体"/>
          <w:sz w:val="31"/>
          <w:szCs w:val="31"/>
        </w:rPr>
      </w:pPr>
      <w:bookmarkStart w:id="97" w:name="bookmark61"/>
      <w:bookmarkEnd w:id="97"/>
      <w:bookmarkStart w:id="98" w:name="bookmark62"/>
      <w:bookmarkEnd w:id="98"/>
      <w:r>
        <w:rPr>
          <w:rFonts w:ascii="宋体" w:hAnsi="宋体" w:eastAsia="宋体" w:cs="宋体"/>
          <w:b/>
          <w:bCs/>
          <w:spacing w:val="7"/>
          <w:sz w:val="31"/>
          <w:szCs w:val="31"/>
        </w:rPr>
        <w:t>第十一节</w:t>
      </w:r>
      <w:r>
        <w:rPr>
          <w:rFonts w:ascii="宋体" w:hAnsi="宋体" w:eastAsia="宋体" w:cs="宋体"/>
          <w:spacing w:val="7"/>
          <w:sz w:val="31"/>
          <w:szCs w:val="31"/>
        </w:rPr>
        <w:t xml:space="preserve">  </w:t>
      </w:r>
      <w:r>
        <w:rPr>
          <w:rFonts w:ascii="宋体" w:hAnsi="宋体" w:eastAsia="宋体" w:cs="宋体"/>
          <w:b/>
          <w:bCs/>
          <w:spacing w:val="7"/>
          <w:sz w:val="31"/>
          <w:szCs w:val="31"/>
        </w:rPr>
        <w:t>仿古建筑工程定额计价有关问题说明</w:t>
      </w:r>
    </w:p>
    <w:p>
      <w:pPr>
        <w:spacing w:line="256" w:lineRule="auto"/>
        <w:rPr>
          <w:rFonts w:ascii="Arial"/>
          <w:sz w:val="21"/>
        </w:rPr>
      </w:pPr>
    </w:p>
    <w:p>
      <w:pPr>
        <w:spacing w:before="65" w:line="322" w:lineRule="auto"/>
        <w:ind w:left="2" w:right="64" w:firstLine="437"/>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40"/>
          <w:sz w:val="20"/>
          <w:szCs w:val="20"/>
        </w:rPr>
        <w:t xml:space="preserve"> </w:t>
      </w:r>
      <w:r>
        <w:rPr>
          <w:rFonts w:ascii="宋体" w:hAnsi="宋体" w:eastAsia="宋体" w:cs="宋体"/>
          <w:spacing w:val="7"/>
          <w:sz w:val="20"/>
          <w:szCs w:val="20"/>
        </w:rPr>
        <w:t>2021</w:t>
      </w:r>
      <w:r>
        <w:rPr>
          <w:rFonts w:ascii="宋体" w:hAnsi="宋体" w:eastAsia="宋体" w:cs="宋体"/>
          <w:spacing w:val="-38"/>
          <w:sz w:val="20"/>
          <w:szCs w:val="20"/>
        </w:rPr>
        <w:t xml:space="preserve"> </w:t>
      </w:r>
      <w:r>
        <w:rPr>
          <w:rFonts w:ascii="宋体" w:hAnsi="宋体" w:eastAsia="宋体" w:cs="宋体"/>
          <w:spacing w:val="7"/>
          <w:sz w:val="20"/>
          <w:szCs w:val="20"/>
        </w:rPr>
        <w:t>版《山东省仿古建筑工程消耗量定额》以</w:t>
      </w:r>
      <w:r>
        <w:rPr>
          <w:rFonts w:ascii="宋体" w:hAnsi="宋体" w:eastAsia="宋体" w:cs="宋体"/>
          <w:spacing w:val="6"/>
          <w:sz w:val="20"/>
          <w:szCs w:val="20"/>
        </w:rPr>
        <w:t>山东省住房和城乡建设厅鲁建标字〔2021〕37</w:t>
      </w:r>
      <w:r>
        <w:rPr>
          <w:rFonts w:ascii="宋体" w:hAnsi="宋体" w:eastAsia="宋体" w:cs="宋体"/>
          <w:spacing w:val="-1"/>
          <w:sz w:val="20"/>
          <w:szCs w:val="20"/>
        </w:rPr>
        <w:t>号文正式颁布，</w:t>
      </w:r>
      <w:r>
        <w:rPr>
          <w:rFonts w:ascii="宋体" w:hAnsi="宋体" w:eastAsia="宋体" w:cs="宋体"/>
          <w:spacing w:val="-41"/>
          <w:sz w:val="20"/>
          <w:szCs w:val="20"/>
        </w:rPr>
        <w:t xml:space="preserve"> </w:t>
      </w:r>
      <w:r>
        <w:rPr>
          <w:rFonts w:ascii="宋体" w:hAnsi="宋体" w:eastAsia="宋体" w:cs="宋体"/>
          <w:spacing w:val="-1"/>
          <w:sz w:val="20"/>
          <w:szCs w:val="20"/>
        </w:rPr>
        <w:t>自</w:t>
      </w:r>
      <w:r>
        <w:rPr>
          <w:rFonts w:ascii="宋体" w:hAnsi="宋体" w:eastAsia="宋体" w:cs="宋体"/>
          <w:spacing w:val="-40"/>
          <w:sz w:val="20"/>
          <w:szCs w:val="20"/>
        </w:rPr>
        <w:t xml:space="preserve"> </w:t>
      </w:r>
      <w:r>
        <w:rPr>
          <w:rFonts w:ascii="宋体" w:hAnsi="宋体" w:eastAsia="宋体" w:cs="宋体"/>
          <w:spacing w:val="-1"/>
          <w:sz w:val="20"/>
          <w:szCs w:val="20"/>
        </w:rPr>
        <w:t>2022</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日起施行。</w:t>
      </w:r>
    </w:p>
    <w:p>
      <w:pPr>
        <w:spacing w:before="142" w:line="322" w:lineRule="auto"/>
        <w:ind w:right="64" w:firstLine="421"/>
        <w:rPr>
          <w:rFonts w:ascii="宋体" w:hAnsi="宋体" w:eastAsia="宋体" w:cs="宋体"/>
          <w:sz w:val="20"/>
          <w:szCs w:val="20"/>
        </w:rPr>
      </w:pPr>
      <w:r>
        <w:rPr>
          <w:rFonts w:ascii="宋体" w:hAnsi="宋体" w:eastAsia="宋体" w:cs="宋体"/>
          <w:spacing w:val="8"/>
          <w:sz w:val="20"/>
          <w:szCs w:val="20"/>
        </w:rPr>
        <w:t>2.《山东省建设工程费用项目组成及计算规则（202</w:t>
      </w:r>
      <w:r>
        <w:rPr>
          <w:rFonts w:ascii="宋体" w:hAnsi="宋体" w:eastAsia="宋体" w:cs="宋体"/>
          <w:spacing w:val="7"/>
          <w:sz w:val="20"/>
          <w:szCs w:val="20"/>
        </w:rPr>
        <w:t>2</w:t>
      </w:r>
      <w:r>
        <w:rPr>
          <w:rFonts w:ascii="宋体" w:hAnsi="宋体" w:eastAsia="宋体" w:cs="宋体"/>
          <w:spacing w:val="-36"/>
          <w:sz w:val="20"/>
          <w:szCs w:val="20"/>
        </w:rPr>
        <w:t xml:space="preserve"> </w:t>
      </w:r>
      <w:r>
        <w:rPr>
          <w:rFonts w:ascii="宋体" w:hAnsi="宋体" w:eastAsia="宋体" w:cs="宋体"/>
          <w:spacing w:val="7"/>
          <w:sz w:val="20"/>
          <w:szCs w:val="20"/>
        </w:rPr>
        <w:t>版）</w:t>
      </w:r>
      <w:r>
        <w:rPr>
          <w:rFonts w:ascii="宋体" w:hAnsi="宋体" w:eastAsia="宋体" w:cs="宋体"/>
          <w:spacing w:val="-52"/>
          <w:sz w:val="20"/>
          <w:szCs w:val="20"/>
        </w:rPr>
        <w:t xml:space="preserve"> </w:t>
      </w:r>
      <w:r>
        <w:rPr>
          <w:rFonts w:ascii="宋体" w:hAnsi="宋体" w:eastAsia="宋体" w:cs="宋体"/>
          <w:spacing w:val="7"/>
          <w:sz w:val="20"/>
          <w:szCs w:val="20"/>
        </w:rPr>
        <w:t>》以山东省住房和城乡建设厅鲁建标</w:t>
      </w:r>
      <w:r>
        <w:rPr>
          <w:rFonts w:ascii="宋体" w:hAnsi="宋体" w:eastAsia="宋体" w:cs="宋体"/>
          <w:spacing w:val="3"/>
          <w:sz w:val="20"/>
          <w:szCs w:val="20"/>
        </w:rPr>
        <w:t>字〔2022〕7</w:t>
      </w:r>
      <w:r>
        <w:rPr>
          <w:rFonts w:ascii="宋体" w:hAnsi="宋体" w:eastAsia="宋体" w:cs="宋体"/>
          <w:spacing w:val="-40"/>
          <w:sz w:val="20"/>
          <w:szCs w:val="20"/>
        </w:rPr>
        <w:t xml:space="preserve"> </w:t>
      </w:r>
      <w:r>
        <w:rPr>
          <w:rFonts w:ascii="宋体" w:hAnsi="宋体" w:eastAsia="宋体" w:cs="宋体"/>
          <w:spacing w:val="3"/>
          <w:sz w:val="20"/>
          <w:szCs w:val="20"/>
        </w:rPr>
        <w:t>号文正式颁布，</w:t>
      </w:r>
      <w:r>
        <w:rPr>
          <w:rFonts w:ascii="宋体" w:hAnsi="宋体" w:eastAsia="宋体" w:cs="宋体"/>
          <w:spacing w:val="-59"/>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2022</w:t>
      </w:r>
      <w:r>
        <w:rPr>
          <w:rFonts w:ascii="宋体" w:hAnsi="宋体" w:eastAsia="宋体" w:cs="宋体"/>
          <w:spacing w:val="-38"/>
          <w:sz w:val="20"/>
          <w:szCs w:val="20"/>
        </w:rPr>
        <w:t xml:space="preserve"> </w:t>
      </w:r>
      <w:r>
        <w:rPr>
          <w:rFonts w:ascii="宋体" w:hAnsi="宋体" w:eastAsia="宋体" w:cs="宋体"/>
          <w:spacing w:val="3"/>
          <w:sz w:val="20"/>
          <w:szCs w:val="20"/>
        </w:rPr>
        <w:t>年</w:t>
      </w:r>
      <w:r>
        <w:rPr>
          <w:rFonts w:ascii="宋体" w:hAnsi="宋体" w:eastAsia="宋体" w:cs="宋体"/>
          <w:spacing w:val="-45"/>
          <w:sz w:val="20"/>
          <w:szCs w:val="20"/>
        </w:rPr>
        <w:t xml:space="preserve"> </w:t>
      </w:r>
      <w:r>
        <w:rPr>
          <w:rFonts w:ascii="宋体" w:hAnsi="宋体" w:eastAsia="宋体" w:cs="宋体"/>
          <w:spacing w:val="3"/>
          <w:sz w:val="20"/>
          <w:szCs w:val="20"/>
        </w:rPr>
        <w:t>4</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42"/>
          <w:sz w:val="20"/>
          <w:szCs w:val="20"/>
        </w:rPr>
        <w:t xml:space="preserve"> </w:t>
      </w:r>
      <w:r>
        <w:rPr>
          <w:rFonts w:ascii="宋体" w:hAnsi="宋体" w:eastAsia="宋体" w:cs="宋体"/>
          <w:spacing w:val="2"/>
          <w:sz w:val="20"/>
          <w:szCs w:val="20"/>
        </w:rPr>
        <w:t>27 日起施行。</w:t>
      </w:r>
    </w:p>
    <w:p>
      <w:pPr>
        <w:spacing w:before="143" w:line="387" w:lineRule="auto"/>
        <w:ind w:left="1" w:right="64" w:firstLine="420"/>
        <w:jc w:val="both"/>
        <w:rPr>
          <w:rFonts w:ascii="宋体" w:hAnsi="宋体" w:eastAsia="宋体" w:cs="宋体"/>
          <w:sz w:val="20"/>
          <w:szCs w:val="20"/>
        </w:rPr>
      </w:pPr>
      <w:r>
        <w:rPr>
          <w:rFonts w:ascii="宋体" w:hAnsi="宋体" w:eastAsia="宋体" w:cs="宋体"/>
          <w:spacing w:val="6"/>
          <w:sz w:val="20"/>
          <w:szCs w:val="20"/>
        </w:rPr>
        <w:t>2023</w:t>
      </w:r>
      <w:r>
        <w:rPr>
          <w:rFonts w:ascii="宋体" w:hAnsi="宋体" w:eastAsia="宋体" w:cs="宋体"/>
          <w:spacing w:val="-20"/>
          <w:sz w:val="20"/>
          <w:szCs w:val="20"/>
        </w:rPr>
        <w:t xml:space="preserve"> </w:t>
      </w:r>
      <w:r>
        <w:rPr>
          <w:rFonts w:ascii="宋体" w:hAnsi="宋体" w:eastAsia="宋体" w:cs="宋体"/>
          <w:spacing w:val="6"/>
          <w:sz w:val="20"/>
          <w:szCs w:val="20"/>
        </w:rPr>
        <w:t>年</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36"/>
          <w:sz w:val="20"/>
          <w:szCs w:val="20"/>
        </w:rPr>
        <w:t xml:space="preserve"> </w:t>
      </w:r>
      <w:r>
        <w:rPr>
          <w:rFonts w:ascii="宋体" w:hAnsi="宋体" w:eastAsia="宋体" w:cs="宋体"/>
          <w:spacing w:val="6"/>
          <w:sz w:val="20"/>
          <w:szCs w:val="20"/>
        </w:rPr>
        <w:t>月</w:t>
      </w:r>
      <w:r>
        <w:rPr>
          <w:rFonts w:ascii="宋体" w:hAnsi="宋体" w:eastAsia="宋体" w:cs="宋体"/>
          <w:spacing w:val="-36"/>
          <w:sz w:val="20"/>
          <w:szCs w:val="20"/>
        </w:rPr>
        <w:t xml:space="preserve"> </w:t>
      </w:r>
      <w:r>
        <w:rPr>
          <w:rFonts w:ascii="宋体" w:hAnsi="宋体" w:eastAsia="宋体" w:cs="宋体"/>
          <w:spacing w:val="6"/>
          <w:sz w:val="20"/>
          <w:szCs w:val="20"/>
        </w:rPr>
        <w:t>30 日</w:t>
      </w:r>
      <w:r>
        <w:rPr>
          <w:rFonts w:ascii="宋体" w:hAnsi="宋体" w:eastAsia="宋体" w:cs="宋体"/>
          <w:spacing w:val="-59"/>
          <w:sz w:val="20"/>
          <w:szCs w:val="20"/>
        </w:rPr>
        <w:t xml:space="preserve"> </w:t>
      </w:r>
      <w:r>
        <w:rPr>
          <w:rFonts w:ascii="宋体" w:hAnsi="宋体" w:eastAsia="宋体" w:cs="宋体"/>
          <w:spacing w:val="6"/>
          <w:sz w:val="20"/>
          <w:szCs w:val="20"/>
        </w:rPr>
        <w:t>，山东省住房和城乡建设厅发布《关于调整建设工程安全施工费的通知》</w:t>
      </w:r>
      <w:r>
        <w:rPr>
          <w:rFonts w:ascii="宋体" w:hAnsi="宋体" w:eastAsia="宋体" w:cs="宋体"/>
          <w:spacing w:val="-46"/>
          <w:sz w:val="20"/>
          <w:szCs w:val="20"/>
        </w:rPr>
        <w:t xml:space="preserve"> </w:t>
      </w:r>
      <w:r>
        <w:rPr>
          <w:rFonts w:ascii="宋体" w:hAnsi="宋体" w:eastAsia="宋体" w:cs="宋体"/>
          <w:spacing w:val="6"/>
          <w:sz w:val="20"/>
          <w:szCs w:val="20"/>
        </w:rPr>
        <w:t>，</w:t>
      </w:r>
      <w:r>
        <w:rPr>
          <w:rFonts w:ascii="宋体" w:hAnsi="宋体" w:eastAsia="宋体" w:cs="宋体"/>
          <w:spacing w:val="8"/>
          <w:sz w:val="20"/>
          <w:szCs w:val="20"/>
        </w:rPr>
        <w:t>调整《山东省建设工程费用项目组成及计算规则（2022</w:t>
      </w:r>
      <w:r>
        <w:rPr>
          <w:rFonts w:ascii="宋体" w:hAnsi="宋体" w:eastAsia="宋体" w:cs="宋体"/>
          <w:spacing w:val="-37"/>
          <w:sz w:val="20"/>
          <w:szCs w:val="20"/>
        </w:rPr>
        <w:t xml:space="preserve"> </w:t>
      </w:r>
      <w:r>
        <w:rPr>
          <w:rFonts w:ascii="宋体" w:hAnsi="宋体" w:eastAsia="宋体" w:cs="宋体"/>
          <w:spacing w:val="8"/>
          <w:sz w:val="20"/>
          <w:szCs w:val="20"/>
        </w:rPr>
        <w:t>版）</w:t>
      </w:r>
      <w:r>
        <w:rPr>
          <w:rFonts w:ascii="宋体" w:hAnsi="宋体" w:eastAsia="宋体" w:cs="宋体"/>
          <w:spacing w:val="-57"/>
          <w:sz w:val="20"/>
          <w:szCs w:val="20"/>
        </w:rPr>
        <w:t xml:space="preserve"> </w:t>
      </w:r>
      <w:r>
        <w:rPr>
          <w:rFonts w:ascii="宋体" w:hAnsi="宋体" w:eastAsia="宋体" w:cs="宋体"/>
          <w:spacing w:val="8"/>
          <w:sz w:val="20"/>
          <w:szCs w:val="20"/>
        </w:rPr>
        <w:t>》中各专业工程的安全施工费费率，安</w:t>
      </w:r>
      <w:r>
        <w:rPr>
          <w:rFonts w:ascii="宋体" w:hAnsi="宋体" w:eastAsia="宋体" w:cs="宋体"/>
          <w:spacing w:val="9"/>
          <w:sz w:val="20"/>
          <w:szCs w:val="20"/>
        </w:rPr>
        <w:t>全生产责任保险费用不再单独计算。</w:t>
      </w:r>
    </w:p>
    <w:p>
      <w:pPr>
        <w:spacing w:before="2" w:line="386" w:lineRule="auto"/>
        <w:ind w:left="2" w:firstLine="420"/>
        <w:rPr>
          <w:rFonts w:ascii="宋体" w:hAnsi="宋体" w:eastAsia="宋体" w:cs="宋体"/>
          <w:sz w:val="20"/>
          <w:szCs w:val="20"/>
        </w:rPr>
      </w:pPr>
      <w:r>
        <w:rPr>
          <w:rFonts w:ascii="宋体" w:hAnsi="宋体" w:eastAsia="宋体" w:cs="宋体"/>
          <w:spacing w:val="1"/>
          <w:sz w:val="20"/>
          <w:szCs w:val="20"/>
        </w:rPr>
        <w:t>2024</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38"/>
          <w:sz w:val="20"/>
          <w:szCs w:val="20"/>
        </w:rPr>
        <w:t xml:space="preserve"> </w:t>
      </w:r>
      <w:r>
        <w:rPr>
          <w:rFonts w:ascii="宋体" w:hAnsi="宋体" w:eastAsia="宋体" w:cs="宋体"/>
          <w:spacing w:val="1"/>
          <w:sz w:val="20"/>
          <w:szCs w:val="20"/>
        </w:rPr>
        <w:t>3</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15 日，山东省住房和城乡建设厅发布《关于不再计列“疫情防控措施费”的通知》，</w:t>
      </w:r>
      <w:r>
        <w:rPr>
          <w:rFonts w:ascii="宋体" w:hAnsi="宋体" w:eastAsia="宋体" w:cs="宋体"/>
          <w:spacing w:val="10"/>
          <w:sz w:val="20"/>
          <w:szCs w:val="20"/>
        </w:rPr>
        <w:t>在“措施项目费－总价措施费”中不再计列“疫情防控措施费”。</w:t>
      </w:r>
    </w:p>
    <w:p>
      <w:pPr>
        <w:spacing w:before="3" w:line="387" w:lineRule="auto"/>
        <w:ind w:left="2" w:right="66" w:firstLine="423"/>
        <w:rPr>
          <w:rFonts w:ascii="宋体" w:hAnsi="宋体" w:eastAsia="宋体" w:cs="宋体"/>
          <w:sz w:val="20"/>
          <w:szCs w:val="20"/>
        </w:rPr>
      </w:pPr>
      <w:r>
        <w:rPr>
          <w:rFonts w:ascii="宋体" w:hAnsi="宋体" w:eastAsia="宋体" w:cs="宋体"/>
          <w:spacing w:val="9"/>
          <w:sz w:val="20"/>
          <w:szCs w:val="20"/>
        </w:rPr>
        <w:t>3.《山东省仿古建筑工程价目表》、《山东省仿古建筑工程人工、材料、机械台班单价表》</w:t>
      </w:r>
      <w:r>
        <w:rPr>
          <w:rFonts w:ascii="宋体" w:hAnsi="宋体" w:eastAsia="宋体" w:cs="宋体"/>
          <w:spacing w:val="-39"/>
          <w:sz w:val="20"/>
          <w:szCs w:val="20"/>
        </w:rPr>
        <w:t xml:space="preserve"> </w:t>
      </w:r>
      <w:r>
        <w:rPr>
          <w:rFonts w:ascii="宋体" w:hAnsi="宋体" w:eastAsia="宋体" w:cs="宋体"/>
          <w:spacing w:val="9"/>
          <w:sz w:val="20"/>
          <w:szCs w:val="20"/>
        </w:rPr>
        <w:t>自</w:t>
      </w:r>
      <w:r>
        <w:rPr>
          <w:rFonts w:ascii="宋体" w:hAnsi="宋体" w:eastAsia="宋体" w:cs="宋体"/>
          <w:spacing w:val="-3"/>
          <w:sz w:val="20"/>
          <w:szCs w:val="20"/>
        </w:rPr>
        <w:t>2022</w:t>
      </w:r>
      <w:r>
        <w:rPr>
          <w:rFonts w:ascii="宋体" w:hAnsi="宋体" w:eastAsia="宋体" w:cs="宋体"/>
          <w:spacing w:val="-32"/>
          <w:sz w:val="20"/>
          <w:szCs w:val="20"/>
        </w:rPr>
        <w:t xml:space="preserve"> </w:t>
      </w:r>
      <w:r>
        <w:rPr>
          <w:rFonts w:ascii="宋体" w:hAnsi="宋体" w:eastAsia="宋体" w:cs="宋体"/>
          <w:spacing w:val="-3"/>
          <w:sz w:val="20"/>
          <w:szCs w:val="20"/>
        </w:rPr>
        <w:t>年</w:t>
      </w:r>
      <w:r>
        <w:rPr>
          <w:rFonts w:ascii="宋体" w:hAnsi="宋体" w:eastAsia="宋体" w:cs="宋体"/>
          <w:spacing w:val="-25"/>
          <w:sz w:val="20"/>
          <w:szCs w:val="20"/>
        </w:rPr>
        <w:t xml:space="preserve"> </w:t>
      </w:r>
      <w:r>
        <w:rPr>
          <w:rFonts w:ascii="宋体" w:hAnsi="宋体" w:eastAsia="宋体" w:cs="宋体"/>
          <w:spacing w:val="-3"/>
          <w:sz w:val="20"/>
          <w:szCs w:val="20"/>
        </w:rPr>
        <w:t>1</w:t>
      </w:r>
      <w:r>
        <w:rPr>
          <w:rFonts w:ascii="宋体" w:hAnsi="宋体" w:eastAsia="宋体" w:cs="宋体"/>
          <w:spacing w:val="-40"/>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日起执行。</w:t>
      </w:r>
    </w:p>
    <w:p>
      <w:pPr>
        <w:spacing w:before="2" w:line="386" w:lineRule="auto"/>
        <w:ind w:left="2" w:right="67" w:firstLine="401"/>
        <w:rPr>
          <w:rFonts w:ascii="宋体" w:hAnsi="宋体" w:eastAsia="宋体" w:cs="宋体"/>
          <w:sz w:val="20"/>
          <w:szCs w:val="20"/>
        </w:rPr>
      </w:pPr>
      <w:r>
        <w:rPr>
          <w:rFonts w:ascii="宋体" w:hAnsi="宋体" w:eastAsia="宋体" w:cs="宋体"/>
          <w:spacing w:val="11"/>
          <w:sz w:val="20"/>
          <w:szCs w:val="20"/>
        </w:rPr>
        <w:t>《山东省建设工程费用项目组成及计算规则》与《山东省仿古建筑工程消耗量定额》、《山东</w:t>
      </w:r>
      <w:r>
        <w:rPr>
          <w:rFonts w:ascii="宋体" w:hAnsi="宋体" w:eastAsia="宋体" w:cs="宋体"/>
          <w:spacing w:val="8"/>
          <w:sz w:val="20"/>
          <w:szCs w:val="20"/>
        </w:rPr>
        <w:t>省仿古建筑工程价目表》配套使用。</w:t>
      </w:r>
    </w:p>
    <w:p>
      <w:pPr>
        <w:spacing w:before="3" w:line="347" w:lineRule="auto"/>
        <w:ind w:left="1" w:right="66" w:firstLine="417"/>
        <w:rPr>
          <w:rFonts w:ascii="宋体" w:hAnsi="宋体" w:eastAsia="宋体" w:cs="宋体"/>
          <w:sz w:val="20"/>
          <w:szCs w:val="20"/>
        </w:rPr>
      </w:pPr>
      <w:r>
        <w:rPr>
          <w:rFonts w:ascii="宋体" w:hAnsi="宋体" w:eastAsia="宋体" w:cs="宋体"/>
          <w:spacing w:val="11"/>
          <w:sz w:val="20"/>
          <w:szCs w:val="20"/>
        </w:rPr>
        <w:t>4.《山东省仿古建筑工程消耗量定额》、《山东省建设</w:t>
      </w:r>
      <w:r>
        <w:rPr>
          <w:rFonts w:ascii="宋体" w:hAnsi="宋体" w:eastAsia="宋体" w:cs="宋体"/>
          <w:spacing w:val="10"/>
          <w:sz w:val="20"/>
          <w:szCs w:val="20"/>
        </w:rPr>
        <w:t>工程费用项目组成及计算规则》、《山</w:t>
      </w:r>
      <w:r>
        <w:rPr>
          <w:rFonts w:ascii="宋体" w:hAnsi="宋体" w:eastAsia="宋体" w:cs="宋体"/>
          <w:spacing w:val="11"/>
          <w:sz w:val="20"/>
          <w:szCs w:val="20"/>
        </w:rPr>
        <w:t>东省仿古建筑工程价目表》、《山东省仿古建筑工程人工、材料、机械台班</w:t>
      </w:r>
      <w:r>
        <w:rPr>
          <w:rFonts w:ascii="宋体" w:hAnsi="宋体" w:eastAsia="宋体" w:cs="宋体"/>
          <w:spacing w:val="10"/>
          <w:sz w:val="20"/>
          <w:szCs w:val="20"/>
        </w:rPr>
        <w:t>单价表》在山东省住房</w:t>
      </w:r>
      <w:r>
        <w:rPr>
          <w:rFonts w:ascii="宋体" w:hAnsi="宋体" w:eastAsia="宋体" w:cs="宋体"/>
          <w:spacing w:val="5"/>
          <w:sz w:val="20"/>
          <w:szCs w:val="20"/>
        </w:rPr>
        <w:t>和城乡建设厅门户网站的“标准造价”专栏发布。凡我市</w:t>
      </w:r>
      <w:r>
        <w:rPr>
          <w:rFonts w:ascii="宋体" w:hAnsi="宋体" w:eastAsia="宋体" w:cs="宋体"/>
          <w:spacing w:val="-41"/>
          <w:sz w:val="20"/>
          <w:szCs w:val="20"/>
        </w:rPr>
        <w:t xml:space="preserve"> </w:t>
      </w:r>
      <w:r>
        <w:rPr>
          <w:rFonts w:ascii="宋体" w:hAnsi="宋体" w:eastAsia="宋体" w:cs="宋体"/>
          <w:spacing w:val="5"/>
          <w:sz w:val="20"/>
          <w:szCs w:val="20"/>
        </w:rPr>
        <w:t>2022</w:t>
      </w:r>
      <w:r>
        <w:rPr>
          <w:rFonts w:ascii="宋体" w:hAnsi="宋体" w:eastAsia="宋体" w:cs="宋体"/>
          <w:spacing w:val="-38"/>
          <w:sz w:val="20"/>
          <w:szCs w:val="20"/>
        </w:rPr>
        <w:t xml:space="preserve"> </w:t>
      </w:r>
      <w:r>
        <w:rPr>
          <w:rFonts w:ascii="宋体" w:hAnsi="宋体" w:eastAsia="宋体" w:cs="宋体"/>
          <w:spacing w:val="5"/>
          <w:sz w:val="20"/>
          <w:szCs w:val="20"/>
        </w:rPr>
        <w:t>年</w:t>
      </w:r>
      <w:r>
        <w:rPr>
          <w:rFonts w:ascii="宋体" w:hAnsi="宋体" w:eastAsia="宋体" w:cs="宋体"/>
          <w:spacing w:val="-25"/>
          <w:sz w:val="20"/>
          <w:szCs w:val="20"/>
        </w:rPr>
        <w:t xml:space="preserve"> </w:t>
      </w:r>
      <w:r>
        <w:rPr>
          <w:rFonts w:ascii="宋体" w:hAnsi="宋体" w:eastAsia="宋体" w:cs="宋体"/>
          <w:spacing w:val="5"/>
          <w:sz w:val="20"/>
          <w:szCs w:val="20"/>
        </w:rPr>
        <w:t>1</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23"/>
          <w:sz w:val="20"/>
          <w:szCs w:val="20"/>
        </w:rPr>
        <w:t xml:space="preserve"> </w:t>
      </w:r>
      <w:r>
        <w:rPr>
          <w:rFonts w:ascii="宋体" w:hAnsi="宋体" w:eastAsia="宋体" w:cs="宋体"/>
          <w:spacing w:val="5"/>
          <w:sz w:val="20"/>
          <w:szCs w:val="20"/>
        </w:rPr>
        <w:t>1 日后的建设工程项目均可按</w:t>
      </w:r>
      <w:r>
        <w:rPr>
          <w:rFonts w:ascii="宋体" w:hAnsi="宋体" w:eastAsia="宋体" w:cs="宋体"/>
          <w:spacing w:val="8"/>
          <w:sz w:val="20"/>
          <w:szCs w:val="20"/>
        </w:rPr>
        <w:t>相应发布时间使用。</w:t>
      </w:r>
    </w:p>
    <w:p>
      <w:pPr>
        <w:spacing w:before="178" w:line="321" w:lineRule="auto"/>
        <w:ind w:right="98" w:firstLine="421"/>
        <w:rPr>
          <w:rFonts w:ascii="宋体" w:hAnsi="宋体" w:eastAsia="宋体" w:cs="宋体"/>
          <w:sz w:val="20"/>
          <w:szCs w:val="20"/>
        </w:rPr>
      </w:pPr>
      <w:r>
        <w:rPr>
          <w:rFonts w:ascii="宋体" w:hAnsi="宋体" w:eastAsia="宋体" w:cs="宋体"/>
          <w:spacing w:val="7"/>
          <w:sz w:val="20"/>
          <w:szCs w:val="20"/>
        </w:rPr>
        <w:t>5. 仿古建筑工程费用计算程序是工程计价活动的依据。各种费率是编制最高投标限价的依据，</w:t>
      </w:r>
      <w:r>
        <w:rPr>
          <w:rFonts w:ascii="宋体" w:hAnsi="宋体" w:eastAsia="宋体" w:cs="宋体"/>
          <w:spacing w:val="9"/>
          <w:sz w:val="20"/>
          <w:szCs w:val="20"/>
        </w:rPr>
        <w:t>是其他计价活动的重要参考（其中规费、税金必须按规定计取，不得作为竞争性费用）。</w:t>
      </w:r>
    </w:p>
    <w:p>
      <w:pPr>
        <w:spacing w:before="143" w:line="278" w:lineRule="exact"/>
        <w:ind w:left="423"/>
        <w:rPr>
          <w:rFonts w:ascii="宋体" w:hAnsi="宋体" w:eastAsia="宋体" w:cs="宋体"/>
          <w:sz w:val="20"/>
          <w:szCs w:val="20"/>
        </w:rPr>
      </w:pPr>
      <w:r>
        <w:rPr>
          <w:rFonts w:ascii="宋体" w:hAnsi="宋体" w:eastAsia="宋体" w:cs="宋体"/>
          <w:b/>
          <w:bCs/>
          <w:spacing w:val="1"/>
          <w:position w:val="1"/>
          <w:sz w:val="20"/>
          <w:szCs w:val="20"/>
        </w:rPr>
        <w:t>6.</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关于增值税的说明</w:t>
      </w:r>
    </w:p>
    <w:p>
      <w:pPr>
        <w:spacing w:before="143" w:line="386" w:lineRule="auto"/>
        <w:ind w:left="2" w:firstLine="401"/>
        <w:rPr>
          <w:rFonts w:ascii="宋体" w:hAnsi="宋体" w:eastAsia="宋体" w:cs="宋体"/>
          <w:sz w:val="20"/>
          <w:szCs w:val="20"/>
        </w:rPr>
      </w:pPr>
      <w:r>
        <w:rPr>
          <w:rFonts w:ascii="宋体" w:hAnsi="宋体" w:eastAsia="宋体" w:cs="宋体"/>
          <w:spacing w:val="12"/>
          <w:sz w:val="20"/>
          <w:szCs w:val="20"/>
        </w:rPr>
        <w:t>《山东省建设工程费用项目组成及计算规则》中的税率为9%、3%。增值税一般计税（9%）下，材料费、施工机具使用费在扣除进项税额时，税率分别为</w:t>
      </w:r>
      <w:r>
        <w:rPr>
          <w:rFonts w:ascii="宋体" w:hAnsi="宋体" w:eastAsia="宋体" w:cs="宋体"/>
          <w:spacing w:val="-17"/>
          <w:sz w:val="20"/>
          <w:szCs w:val="20"/>
        </w:rPr>
        <w:t xml:space="preserve"> </w:t>
      </w:r>
      <w:r>
        <w:rPr>
          <w:rFonts w:ascii="宋体" w:hAnsi="宋体" w:eastAsia="宋体" w:cs="宋体"/>
          <w:spacing w:val="12"/>
          <w:sz w:val="20"/>
          <w:szCs w:val="20"/>
        </w:rPr>
        <w:t>13%、9%。</w:t>
      </w:r>
    </w:p>
    <w:p>
      <w:pPr>
        <w:spacing w:before="3" w:line="276" w:lineRule="exact"/>
        <w:ind w:left="420"/>
        <w:rPr>
          <w:rFonts w:ascii="宋体" w:hAnsi="宋体" w:eastAsia="宋体" w:cs="宋体"/>
          <w:sz w:val="20"/>
          <w:szCs w:val="20"/>
        </w:rPr>
      </w:pPr>
      <w:r>
        <w:rPr>
          <w:rFonts w:ascii="宋体" w:hAnsi="宋体" w:eastAsia="宋体" w:cs="宋体"/>
          <w:b/>
          <w:bCs/>
          <w:spacing w:val="3"/>
          <w:position w:val="1"/>
          <w:sz w:val="20"/>
          <w:szCs w:val="20"/>
        </w:rPr>
        <w:t>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44" w:line="386" w:lineRule="auto"/>
        <w:ind w:left="1" w:right="66" w:firstLine="413"/>
        <w:rPr>
          <w:rFonts w:ascii="宋体" w:hAnsi="宋体" w:eastAsia="宋体" w:cs="宋体"/>
          <w:sz w:val="20"/>
          <w:szCs w:val="20"/>
        </w:rPr>
      </w:pPr>
      <w:r>
        <w:rPr>
          <w:rFonts w:ascii="宋体" w:hAnsi="宋体" w:eastAsia="宋体" w:cs="宋体"/>
          <w:spacing w:val="7"/>
          <w:sz w:val="20"/>
          <w:szCs w:val="20"/>
        </w:rPr>
        <w:t>2021版仿古建筑工程消耗量定额的人工综合工日单价为：仿古建筑工程</w:t>
      </w:r>
      <w:r>
        <w:rPr>
          <w:rFonts w:ascii="宋体" w:hAnsi="宋体" w:eastAsia="宋体" w:cs="宋体"/>
          <w:spacing w:val="-22"/>
          <w:sz w:val="20"/>
          <w:szCs w:val="20"/>
        </w:rPr>
        <w:t xml:space="preserve"> </w:t>
      </w:r>
      <w:r>
        <w:rPr>
          <w:rFonts w:ascii="宋体" w:hAnsi="宋体" w:eastAsia="宋体" w:cs="宋体"/>
          <w:spacing w:val="7"/>
          <w:sz w:val="20"/>
          <w:szCs w:val="20"/>
        </w:rPr>
        <w:t>138</w:t>
      </w:r>
      <w:r>
        <w:rPr>
          <w:rFonts w:ascii="宋体" w:hAnsi="宋体" w:eastAsia="宋体" w:cs="宋体"/>
          <w:spacing w:val="-43"/>
          <w:sz w:val="20"/>
          <w:szCs w:val="20"/>
        </w:rPr>
        <w:t xml:space="preserve"> </w:t>
      </w:r>
      <w:r>
        <w:rPr>
          <w:rFonts w:ascii="宋体" w:hAnsi="宋体" w:eastAsia="宋体" w:cs="宋体"/>
          <w:spacing w:val="7"/>
          <w:sz w:val="20"/>
          <w:szCs w:val="20"/>
        </w:rPr>
        <w:t>元/工日。该定额人</w:t>
      </w:r>
      <w:r>
        <w:rPr>
          <w:rFonts w:ascii="宋体" w:hAnsi="宋体" w:eastAsia="宋体" w:cs="宋体"/>
          <w:spacing w:val="1"/>
          <w:sz w:val="20"/>
          <w:szCs w:val="20"/>
        </w:rPr>
        <w:t>工综合工日单价自</w:t>
      </w:r>
      <w:r>
        <w:rPr>
          <w:rFonts w:ascii="宋体" w:hAnsi="宋体" w:eastAsia="宋体" w:cs="宋体"/>
          <w:spacing w:val="-32"/>
          <w:sz w:val="20"/>
          <w:szCs w:val="20"/>
        </w:rPr>
        <w:t xml:space="preserve"> </w:t>
      </w:r>
      <w:r>
        <w:rPr>
          <w:rFonts w:ascii="宋体" w:hAnsi="宋体" w:eastAsia="宋体" w:cs="宋体"/>
          <w:spacing w:val="1"/>
          <w:sz w:val="20"/>
          <w:szCs w:val="20"/>
        </w:rPr>
        <w:t>2022</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3"/>
          <w:sz w:val="20"/>
          <w:szCs w:val="20"/>
        </w:rPr>
        <w:t xml:space="preserve"> </w:t>
      </w:r>
      <w:r>
        <w:rPr>
          <w:rFonts w:ascii="宋体" w:hAnsi="宋体" w:eastAsia="宋体" w:cs="宋体"/>
          <w:spacing w:val="1"/>
          <w:sz w:val="20"/>
          <w:szCs w:val="20"/>
        </w:rPr>
        <w:t>1 日执行。</w:t>
      </w:r>
    </w:p>
    <w:p>
      <w:pPr>
        <w:spacing w:before="7" w:line="384" w:lineRule="auto"/>
        <w:ind w:right="66" w:firstLine="415"/>
        <w:rPr>
          <w:rFonts w:ascii="宋体" w:hAnsi="宋体" w:eastAsia="宋体" w:cs="宋体"/>
          <w:sz w:val="20"/>
          <w:szCs w:val="20"/>
        </w:rPr>
      </w:pPr>
      <w:r>
        <w:rPr>
          <w:rFonts w:ascii="宋体" w:hAnsi="宋体" w:eastAsia="宋体" w:cs="宋体"/>
          <w:spacing w:val="8"/>
          <w:sz w:val="20"/>
          <w:szCs w:val="20"/>
        </w:rPr>
        <w:t>省价人工费应作为工程造价中总价措施费、企业管理费、利润等各项费用的计算基础,也是我市</w:t>
      </w:r>
      <w:r>
        <w:rPr>
          <w:rFonts w:ascii="宋体" w:hAnsi="宋体" w:eastAsia="宋体" w:cs="宋体"/>
          <w:spacing w:val="10"/>
          <w:sz w:val="20"/>
          <w:szCs w:val="20"/>
        </w:rPr>
        <w:t>行政区域内国有投资项目编制最高投标限价的依据及投标报价、</w:t>
      </w:r>
      <w:r>
        <w:rPr>
          <w:rFonts w:ascii="宋体" w:hAnsi="宋体" w:eastAsia="宋体" w:cs="宋体"/>
          <w:spacing w:val="9"/>
          <w:sz w:val="20"/>
          <w:szCs w:val="20"/>
        </w:rPr>
        <w:t>工程结算等工程计价活动的参考。</w:t>
      </w:r>
    </w:p>
    <w:p>
      <w:pPr>
        <w:spacing w:before="5" w:line="278" w:lineRule="exact"/>
        <w:ind w:left="424"/>
        <w:rPr>
          <w:rFonts w:ascii="宋体" w:hAnsi="宋体" w:eastAsia="宋体" w:cs="宋体"/>
          <w:sz w:val="20"/>
          <w:szCs w:val="20"/>
        </w:rPr>
      </w:pPr>
      <w:r>
        <w:rPr>
          <w:rFonts w:ascii="宋体" w:hAnsi="宋体" w:eastAsia="宋体" w:cs="宋体"/>
          <w:b/>
          <w:bCs/>
          <w:spacing w:val="1"/>
          <w:position w:val="1"/>
          <w:sz w:val="20"/>
          <w:szCs w:val="20"/>
        </w:rPr>
        <w:t>8.</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42" w:line="387" w:lineRule="auto"/>
        <w:ind w:left="1" w:right="64" w:firstLine="420"/>
        <w:jc w:val="both"/>
        <w:rPr>
          <w:rFonts w:ascii="宋体" w:hAnsi="宋体" w:eastAsia="宋体" w:cs="宋体"/>
          <w:sz w:val="20"/>
          <w:szCs w:val="20"/>
        </w:rPr>
      </w:pPr>
      <w:r>
        <w:rPr>
          <w:rFonts w:ascii="宋体" w:hAnsi="宋体" w:eastAsia="宋体" w:cs="宋体"/>
          <w:spacing w:val="13"/>
          <w:sz w:val="20"/>
          <w:szCs w:val="20"/>
        </w:rPr>
        <w:t>规费按山东省住房和城乡建设厅《关于调整建设工程费用规则的通知</w:t>
      </w:r>
      <w:r>
        <w:rPr>
          <w:rFonts w:ascii="宋体" w:hAnsi="宋体" w:eastAsia="宋体" w:cs="宋体"/>
          <w:spacing w:val="12"/>
          <w:sz w:val="20"/>
          <w:szCs w:val="20"/>
        </w:rPr>
        <w:t>》（鲁建标字〔2022〕7</w:t>
      </w:r>
      <w:r>
        <w:rPr>
          <w:rFonts w:ascii="宋体" w:hAnsi="宋体" w:eastAsia="宋体" w:cs="宋体"/>
          <w:spacing w:val="11"/>
          <w:sz w:val="20"/>
          <w:szCs w:val="20"/>
        </w:rPr>
        <w:t>号）文件执行，其中安全文明施工费费率执行山东省住房和城乡建设厅《关于调整</w:t>
      </w:r>
      <w:r>
        <w:rPr>
          <w:rFonts w:ascii="宋体" w:hAnsi="宋体" w:eastAsia="宋体" w:cs="宋体"/>
          <w:spacing w:val="10"/>
          <w:sz w:val="20"/>
          <w:szCs w:val="20"/>
        </w:rPr>
        <w:t>建设工程安全施</w:t>
      </w:r>
      <w:r>
        <w:rPr>
          <w:rFonts w:ascii="宋体" w:hAnsi="宋体" w:eastAsia="宋体" w:cs="宋体"/>
          <w:spacing w:val="9"/>
          <w:sz w:val="20"/>
          <w:szCs w:val="20"/>
        </w:rPr>
        <w:t>工费的通知》（鲁建标字〔2023〕2</w:t>
      </w:r>
      <w:r>
        <w:rPr>
          <w:rFonts w:ascii="宋体" w:hAnsi="宋体" w:eastAsia="宋体" w:cs="宋体"/>
          <w:spacing w:val="-40"/>
          <w:sz w:val="20"/>
          <w:szCs w:val="20"/>
        </w:rPr>
        <w:t xml:space="preserve"> </w:t>
      </w:r>
      <w:r>
        <w:rPr>
          <w:rFonts w:ascii="宋体" w:hAnsi="宋体" w:eastAsia="宋体" w:cs="宋体"/>
          <w:spacing w:val="9"/>
          <w:sz w:val="20"/>
          <w:szCs w:val="20"/>
        </w:rPr>
        <w:t>号）文件规定，安全生产责任</w:t>
      </w:r>
      <w:r>
        <w:rPr>
          <w:rFonts w:ascii="宋体" w:hAnsi="宋体" w:eastAsia="宋体" w:cs="宋体"/>
          <w:spacing w:val="8"/>
          <w:sz w:val="20"/>
          <w:szCs w:val="20"/>
        </w:rPr>
        <w:t>保险费用不再单独计算。</w:t>
      </w:r>
    </w:p>
    <w:p>
      <w:pPr>
        <w:spacing w:before="2" w:line="278" w:lineRule="exact"/>
        <w:ind w:left="412"/>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line="278" w:lineRule="exact"/>
        <w:rPr>
          <w:rFonts w:ascii="宋体" w:hAnsi="宋体" w:eastAsia="宋体" w:cs="宋体"/>
          <w:sz w:val="20"/>
          <w:szCs w:val="20"/>
        </w:rPr>
        <w:sectPr>
          <w:footerReference r:id="rId197" w:type="default"/>
          <w:pgSz w:w="11906" w:h="16839"/>
          <w:pgMar w:top="400" w:right="1353" w:bottom="1212" w:left="1419" w:header="0" w:footer="897" w:gutter="0"/>
        </w:sect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65" w:line="220" w:lineRule="auto"/>
        <w:ind w:left="426"/>
        <w:rPr>
          <w:rFonts w:ascii="宋体" w:hAnsi="宋体" w:eastAsia="宋体" w:cs="宋体"/>
          <w:sz w:val="20"/>
          <w:szCs w:val="20"/>
        </w:rPr>
      </w:pPr>
      <w:bookmarkStart w:id="99" w:name="bookmark166"/>
      <w:bookmarkEnd w:id="99"/>
      <w:r>
        <w:rPr>
          <w:rFonts w:ascii="宋体" w:hAnsi="宋体" w:eastAsia="宋体" w:cs="宋体"/>
          <w:spacing w:val="9"/>
          <w:sz w:val="20"/>
          <w:szCs w:val="20"/>
        </w:rPr>
        <w:t>编制最高投标限价、投标报价、工程结算时按省发布的费率执行。</w:t>
      </w:r>
    </w:p>
    <w:p>
      <w:pPr>
        <w:spacing w:before="177" w:line="277" w:lineRule="exact"/>
        <w:ind w:left="412"/>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47"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77" w:line="278" w:lineRule="exact"/>
        <w:ind w:left="412"/>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46" w:line="223" w:lineRule="auto"/>
        <w:ind w:left="426"/>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74" w:line="276" w:lineRule="exact"/>
        <w:ind w:left="412"/>
        <w:rPr>
          <w:rFonts w:ascii="宋体" w:hAnsi="宋体" w:eastAsia="宋体" w:cs="宋体"/>
          <w:sz w:val="20"/>
          <w:szCs w:val="20"/>
        </w:rPr>
      </w:pPr>
      <w:r>
        <w:rPr>
          <w:rFonts w:ascii="宋体" w:hAnsi="宋体" w:eastAsia="宋体" w:cs="宋体"/>
          <w:spacing w:val="9"/>
          <w:position w:val="1"/>
          <w:sz w:val="20"/>
          <w:szCs w:val="20"/>
        </w:rPr>
        <w:t>（4）优质优价费用</w:t>
      </w:r>
    </w:p>
    <w:p>
      <w:pPr>
        <w:spacing w:before="142" w:line="386" w:lineRule="auto"/>
        <w:ind w:left="1" w:right="62" w:firstLine="425"/>
        <w:rPr>
          <w:rFonts w:ascii="宋体" w:hAnsi="宋体" w:eastAsia="宋体" w:cs="宋体"/>
          <w:sz w:val="20"/>
          <w:szCs w:val="20"/>
        </w:rPr>
      </w:pPr>
      <w:r>
        <w:rPr>
          <w:rFonts w:ascii="宋体" w:hAnsi="宋体" w:eastAsia="宋体" w:cs="宋体"/>
          <w:spacing w:val="11"/>
          <w:sz w:val="20"/>
          <w:szCs w:val="20"/>
        </w:rPr>
        <w:t>编制最高投标限价、投标报价时，应依据建设工程创建目标按省（鲁建标字〔2022〕7</w:t>
      </w:r>
      <w:r>
        <w:rPr>
          <w:rFonts w:ascii="宋体" w:hAnsi="宋体" w:eastAsia="宋体" w:cs="宋体"/>
          <w:spacing w:val="-32"/>
          <w:sz w:val="20"/>
          <w:szCs w:val="20"/>
        </w:rPr>
        <w:t xml:space="preserve"> </w:t>
      </w:r>
      <w:r>
        <w:rPr>
          <w:rFonts w:ascii="宋体" w:hAnsi="宋体" w:eastAsia="宋体" w:cs="宋体"/>
          <w:spacing w:val="11"/>
          <w:sz w:val="20"/>
          <w:szCs w:val="20"/>
        </w:rPr>
        <w:t>号）发布费率计列优质优价费用；竣工结算时，建设工程达到合同约定的创建目标时</w:t>
      </w:r>
      <w:r>
        <w:rPr>
          <w:rFonts w:ascii="宋体" w:hAnsi="宋体" w:eastAsia="宋体" w:cs="宋体"/>
          <w:spacing w:val="10"/>
          <w:sz w:val="20"/>
          <w:szCs w:val="20"/>
        </w:rPr>
        <w:t>，按照达到等次计取</w:t>
      </w:r>
      <w:r>
        <w:rPr>
          <w:rFonts w:ascii="宋体" w:hAnsi="宋体" w:eastAsia="宋体" w:cs="宋体"/>
          <w:spacing w:val="11"/>
          <w:sz w:val="20"/>
          <w:szCs w:val="20"/>
        </w:rPr>
        <w:t>优质优价费用；未达到或超出合同约定的目标时，合同有明确约定的，根据合</w:t>
      </w:r>
      <w:r>
        <w:rPr>
          <w:rFonts w:ascii="宋体" w:hAnsi="宋体" w:eastAsia="宋体" w:cs="宋体"/>
          <w:spacing w:val="10"/>
          <w:sz w:val="20"/>
          <w:szCs w:val="20"/>
        </w:rPr>
        <w:t>同约定计取；合同未</w:t>
      </w:r>
      <w:r>
        <w:rPr>
          <w:rFonts w:ascii="宋体" w:hAnsi="宋体" w:eastAsia="宋体" w:cs="宋体"/>
          <w:spacing w:val="9"/>
          <w:sz w:val="20"/>
          <w:szCs w:val="20"/>
        </w:rPr>
        <w:t>明确约定的，由发承包双方协商确定。</w:t>
      </w:r>
    </w:p>
    <w:p>
      <w:pPr>
        <w:spacing w:before="8" w:line="279" w:lineRule="exact"/>
        <w:ind w:left="412"/>
        <w:rPr>
          <w:rFonts w:ascii="宋体" w:hAnsi="宋体" w:eastAsia="宋体" w:cs="宋体"/>
          <w:sz w:val="20"/>
          <w:szCs w:val="20"/>
        </w:rPr>
      </w:pPr>
      <w:r>
        <w:rPr>
          <w:rFonts w:ascii="宋体" w:hAnsi="宋体" w:eastAsia="宋体" w:cs="宋体"/>
          <w:spacing w:val="9"/>
          <w:position w:val="1"/>
          <w:sz w:val="20"/>
          <w:szCs w:val="20"/>
        </w:rPr>
        <w:t>（5）住房公积金</w:t>
      </w:r>
    </w:p>
    <w:p>
      <w:pPr>
        <w:spacing w:before="141" w:line="387" w:lineRule="auto"/>
        <w:ind w:left="1" w:right="63"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2" w:line="276" w:lineRule="exact"/>
        <w:ind w:left="422"/>
        <w:rPr>
          <w:rFonts w:ascii="宋体" w:hAnsi="宋体" w:eastAsia="宋体" w:cs="宋体"/>
          <w:sz w:val="20"/>
          <w:szCs w:val="20"/>
        </w:rPr>
      </w:pPr>
      <w:r>
        <w:rPr>
          <w:rFonts w:ascii="宋体" w:hAnsi="宋体" w:eastAsia="宋体" w:cs="宋体"/>
          <w:b/>
          <w:bCs/>
          <w:spacing w:val="3"/>
          <w:position w:val="1"/>
          <w:sz w:val="20"/>
          <w:szCs w:val="20"/>
        </w:rPr>
        <w:t>9.</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关于计价依据的适用范围</w:t>
      </w:r>
    </w:p>
    <w:p>
      <w:pPr>
        <w:spacing w:before="147" w:line="221" w:lineRule="auto"/>
        <w:ind w:left="420"/>
        <w:rPr>
          <w:rFonts w:ascii="宋体" w:hAnsi="宋体" w:eastAsia="宋体" w:cs="宋体"/>
          <w:sz w:val="20"/>
          <w:szCs w:val="20"/>
        </w:rPr>
      </w:pPr>
      <w:r>
        <w:rPr>
          <w:rFonts w:ascii="宋体" w:hAnsi="宋体" w:eastAsia="宋体" w:cs="宋体"/>
          <w:spacing w:val="9"/>
          <w:sz w:val="20"/>
          <w:szCs w:val="20"/>
        </w:rPr>
        <w:t>本计价依据适用于我市行政区域内新建、扩建的仿古建筑工程。</w:t>
      </w:r>
    </w:p>
    <w:p>
      <w:pPr>
        <w:spacing w:before="177" w:line="278" w:lineRule="exact"/>
        <w:ind w:left="439"/>
        <w:rPr>
          <w:rFonts w:ascii="宋体" w:hAnsi="宋体" w:eastAsia="宋体" w:cs="宋体"/>
          <w:sz w:val="20"/>
          <w:szCs w:val="20"/>
        </w:rPr>
      </w:pPr>
      <w:r>
        <w:rPr>
          <w:rFonts w:ascii="宋体" w:hAnsi="宋体" w:eastAsia="宋体" w:cs="宋体"/>
          <w:b/>
          <w:bCs/>
          <w:spacing w:val="6"/>
          <w:position w:val="1"/>
          <w:sz w:val="20"/>
          <w:szCs w:val="20"/>
        </w:rPr>
        <w:t>10.</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仿古建筑工程消耗量定额与其他专</w:t>
      </w:r>
      <w:r>
        <w:rPr>
          <w:rFonts w:ascii="宋体" w:hAnsi="宋体" w:eastAsia="宋体" w:cs="宋体"/>
          <w:b/>
          <w:bCs/>
          <w:spacing w:val="5"/>
          <w:position w:val="1"/>
          <w:sz w:val="20"/>
          <w:szCs w:val="20"/>
        </w:rPr>
        <w:t>业工程消耗量定额的使用界线</w:t>
      </w:r>
    </w:p>
    <w:p>
      <w:pPr>
        <w:spacing w:before="141" w:line="388" w:lineRule="auto"/>
        <w:ind w:left="2" w:right="62" w:firstLine="401"/>
        <w:jc w:val="both"/>
        <w:rPr>
          <w:rFonts w:ascii="宋体" w:hAnsi="宋体" w:eastAsia="宋体" w:cs="宋体"/>
          <w:sz w:val="20"/>
          <w:szCs w:val="20"/>
        </w:rPr>
      </w:pPr>
      <w:r>
        <w:rPr>
          <w:rFonts w:ascii="宋体" w:hAnsi="宋体" w:eastAsia="宋体" w:cs="宋体"/>
          <w:spacing w:val="11"/>
          <w:sz w:val="20"/>
          <w:szCs w:val="20"/>
        </w:rPr>
        <w:t>《山东省仿古建筑工程消耗量定额》适用于有古建构造、做法特点的构件和分部分项工程，对于土石方工程、地基处理工程、桩基工程、仿古建筑工程中带有现代做法的房屋</w:t>
      </w:r>
      <w:r>
        <w:rPr>
          <w:rFonts w:ascii="宋体" w:hAnsi="宋体" w:eastAsia="宋体" w:cs="宋体"/>
          <w:spacing w:val="10"/>
          <w:sz w:val="20"/>
          <w:szCs w:val="20"/>
        </w:rPr>
        <w:t>建筑与装饰工程，</w:t>
      </w:r>
      <w:r>
        <w:rPr>
          <w:rFonts w:ascii="宋体" w:hAnsi="宋体" w:eastAsia="宋体" w:cs="宋体"/>
          <w:spacing w:val="4"/>
          <w:sz w:val="20"/>
          <w:szCs w:val="20"/>
        </w:rPr>
        <w:t>以及电气、给排水、通风等分部分项工程，执行《山东省建筑工程消耗量定额》</w:t>
      </w:r>
      <w:r>
        <w:rPr>
          <w:rFonts w:ascii="宋体" w:hAnsi="宋体" w:eastAsia="宋体" w:cs="宋体"/>
          <w:sz w:val="20"/>
          <w:szCs w:val="20"/>
        </w:rPr>
        <w:t>SD</w:t>
      </w:r>
      <w:r>
        <w:rPr>
          <w:rFonts w:ascii="宋体" w:hAnsi="宋体" w:eastAsia="宋体" w:cs="宋体"/>
          <w:spacing w:val="-27"/>
          <w:sz w:val="20"/>
          <w:szCs w:val="20"/>
        </w:rPr>
        <w:t xml:space="preserve"> </w:t>
      </w:r>
      <w:r>
        <w:rPr>
          <w:rFonts w:ascii="宋体" w:hAnsi="宋体" w:eastAsia="宋体" w:cs="宋体"/>
          <w:spacing w:val="4"/>
          <w:sz w:val="20"/>
          <w:szCs w:val="20"/>
        </w:rPr>
        <w:t>01-31-2016、《山</w:t>
      </w:r>
      <w:r>
        <w:rPr>
          <w:rFonts w:ascii="宋体" w:hAnsi="宋体" w:eastAsia="宋体" w:cs="宋体"/>
          <w:spacing w:val="9"/>
          <w:sz w:val="20"/>
          <w:szCs w:val="20"/>
        </w:rPr>
        <w:t>东省安装工程消耗量定额》</w:t>
      </w:r>
      <w:r>
        <w:rPr>
          <w:rFonts w:ascii="宋体" w:hAnsi="宋体" w:eastAsia="宋体" w:cs="宋体"/>
          <w:sz w:val="20"/>
          <w:szCs w:val="20"/>
        </w:rPr>
        <w:t>SD</w:t>
      </w:r>
      <w:r>
        <w:rPr>
          <w:rFonts w:ascii="宋体" w:hAnsi="宋体" w:eastAsia="宋体" w:cs="宋体"/>
          <w:spacing w:val="-41"/>
          <w:sz w:val="20"/>
          <w:szCs w:val="20"/>
        </w:rPr>
        <w:t xml:space="preserve"> </w:t>
      </w:r>
      <w:r>
        <w:rPr>
          <w:rFonts w:ascii="宋体" w:hAnsi="宋体" w:eastAsia="宋体" w:cs="宋体"/>
          <w:spacing w:val="9"/>
          <w:sz w:val="20"/>
          <w:szCs w:val="20"/>
        </w:rPr>
        <w:t>02-31-2016</w:t>
      </w:r>
      <w:r>
        <w:rPr>
          <w:rFonts w:ascii="宋体" w:hAnsi="宋体" w:eastAsia="宋体" w:cs="宋体"/>
          <w:spacing w:val="-40"/>
          <w:sz w:val="20"/>
          <w:szCs w:val="20"/>
        </w:rPr>
        <w:t xml:space="preserve"> </w:t>
      </w:r>
      <w:r>
        <w:rPr>
          <w:rFonts w:ascii="宋体" w:hAnsi="宋体" w:eastAsia="宋体" w:cs="宋体"/>
          <w:spacing w:val="9"/>
          <w:sz w:val="20"/>
          <w:szCs w:val="20"/>
        </w:rPr>
        <w:t>相应项目。</w:t>
      </w:r>
    </w:p>
    <w:p>
      <w:pPr>
        <w:spacing w:line="276" w:lineRule="exact"/>
        <w:ind w:left="439"/>
        <w:rPr>
          <w:rFonts w:ascii="宋体" w:hAnsi="宋体" w:eastAsia="宋体" w:cs="宋体"/>
          <w:sz w:val="20"/>
          <w:szCs w:val="20"/>
        </w:rPr>
      </w:pPr>
      <w:r>
        <w:rPr>
          <w:rFonts w:ascii="宋体" w:hAnsi="宋体" w:eastAsia="宋体" w:cs="宋体"/>
          <w:b/>
          <w:bCs/>
          <w:spacing w:val="3"/>
          <w:position w:val="1"/>
          <w:sz w:val="20"/>
          <w:szCs w:val="20"/>
        </w:rPr>
        <w:t>11.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关于工程建设人工材料价格风险控制</w:t>
      </w:r>
    </w:p>
    <w:p>
      <w:pPr>
        <w:spacing w:before="144" w:line="386" w:lineRule="auto"/>
        <w:ind w:left="1" w:right="65" w:firstLine="410"/>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7"/>
          <w:sz w:val="20"/>
          <w:szCs w:val="20"/>
        </w:rPr>
        <w:t xml:space="preserve"> </w:t>
      </w:r>
      <w:r>
        <w:rPr>
          <w:rFonts w:ascii="宋体" w:hAnsi="宋体" w:eastAsia="宋体" w:cs="宋体"/>
          <w:spacing w:val="6"/>
          <w:sz w:val="20"/>
          <w:szCs w:val="20"/>
        </w:rPr>
        <w:t>1）2019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1"/>
          <w:sz w:val="20"/>
          <w:szCs w:val="20"/>
        </w:rPr>
        <w:t xml:space="preserve"> </w:t>
      </w:r>
      <w:r>
        <w:rPr>
          <w:rFonts w:ascii="宋体" w:hAnsi="宋体" w:eastAsia="宋体" w:cs="宋体"/>
          <w:spacing w:val="6"/>
          <w:sz w:val="20"/>
          <w:szCs w:val="20"/>
        </w:rPr>
        <w:t>9</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16 日，山东省住房</w:t>
      </w:r>
      <w:r>
        <w:rPr>
          <w:rFonts w:ascii="宋体" w:hAnsi="宋体" w:eastAsia="宋体" w:cs="宋体"/>
          <w:spacing w:val="5"/>
          <w:sz w:val="20"/>
          <w:szCs w:val="20"/>
        </w:rPr>
        <w:t>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6" w:line="224" w:lineRule="auto"/>
        <w:ind w:left="42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75" w:line="276"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before="146" w:line="360" w:lineRule="auto"/>
        <w:ind w:right="106" w:firstLine="420"/>
        <w:rPr>
          <w:rFonts w:ascii="宋体" w:hAnsi="宋体" w:eastAsia="宋体" w:cs="宋体"/>
          <w:sz w:val="20"/>
          <w:szCs w:val="20"/>
        </w:rPr>
      </w:pPr>
      <w:r>
        <w:rPr>
          <w:rFonts w:ascii="宋体" w:hAnsi="宋体" w:eastAsia="宋体" w:cs="宋体"/>
          <w:spacing w:val="10"/>
          <w:sz w:val="20"/>
          <w:szCs w:val="20"/>
        </w:rPr>
        <w:t>①设区市建设主管部门发布市定额人工市场指导单价的：市建设主管部门调增</w:t>
      </w:r>
      <w:r>
        <w:rPr>
          <w:rFonts w:ascii="宋体" w:hAnsi="宋体" w:eastAsia="宋体" w:cs="宋体"/>
          <w:spacing w:val="9"/>
          <w:sz w:val="20"/>
          <w:szCs w:val="20"/>
        </w:rPr>
        <w:t>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79" w:line="321" w:lineRule="auto"/>
        <w:ind w:left="1" w:right="62"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line="321" w:lineRule="auto"/>
        <w:rPr>
          <w:rFonts w:ascii="宋体" w:hAnsi="宋体" w:eastAsia="宋体" w:cs="宋体"/>
          <w:sz w:val="20"/>
          <w:szCs w:val="20"/>
        </w:rPr>
        <w:sectPr>
          <w:footerReference r:id="rId198" w:type="default"/>
          <w:pgSz w:w="11906" w:h="16839"/>
          <w:pgMar w:top="400" w:right="1355" w:bottom="1212" w:left="1418" w:header="0" w:footer="897" w:gutter="0"/>
        </w:sect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65" w:line="386" w:lineRule="auto"/>
        <w:ind w:left="9" w:right="43" w:firstLine="423"/>
        <w:rPr>
          <w:rFonts w:ascii="宋体" w:hAnsi="宋体" w:eastAsia="宋体" w:cs="宋体"/>
          <w:sz w:val="20"/>
          <w:szCs w:val="20"/>
        </w:rPr>
      </w:pPr>
      <w:r>
        <w:rPr>
          <w:rFonts w:ascii="宋体" w:hAnsi="宋体" w:eastAsia="宋体" w:cs="宋体"/>
          <w:spacing w:val="9"/>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w:t>
      </w:r>
      <w:r>
        <w:rPr>
          <w:rFonts w:ascii="宋体" w:hAnsi="宋体" w:eastAsia="宋体" w:cs="宋体"/>
          <w:spacing w:val="8"/>
          <w:sz w:val="20"/>
          <w:szCs w:val="20"/>
        </w:rPr>
        <w:t>完成的工程量，各项以省价人</w:t>
      </w:r>
      <w:r>
        <w:rPr>
          <w:rFonts w:ascii="宋体" w:hAnsi="宋体" w:eastAsia="宋体" w:cs="宋体"/>
          <w:spacing w:val="9"/>
          <w:sz w:val="20"/>
          <w:szCs w:val="20"/>
        </w:rPr>
        <w:t>工费（或省价人机费）为基础计取的费用同时进行调整。</w:t>
      </w:r>
    </w:p>
    <w:p>
      <w:pPr>
        <w:spacing w:line="276" w:lineRule="exact"/>
        <w:ind w:left="430"/>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43" w:line="277" w:lineRule="exact"/>
        <w:ind w:left="429"/>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43" w:line="386" w:lineRule="auto"/>
        <w:ind w:left="8" w:right="43" w:firstLine="420"/>
        <w:rPr>
          <w:rFonts w:ascii="宋体" w:hAnsi="宋体" w:eastAsia="宋体" w:cs="宋体"/>
          <w:sz w:val="20"/>
          <w:szCs w:val="20"/>
        </w:rPr>
      </w:pPr>
      <w:r>
        <w:rPr>
          <w:rFonts w:ascii="宋体" w:hAnsi="宋体" w:eastAsia="宋体" w:cs="宋体"/>
          <w:spacing w:val="10"/>
          <w:sz w:val="20"/>
          <w:szCs w:val="20"/>
        </w:rPr>
        <w:t>二是合同未对材料价格风险进行约定或约定不具体的，发承包双方按照以下</w:t>
      </w:r>
      <w:r>
        <w:rPr>
          <w:rFonts w:ascii="宋体" w:hAnsi="宋体" w:eastAsia="宋体" w:cs="宋体"/>
          <w:spacing w:val="9"/>
          <w:sz w:val="20"/>
          <w:szCs w:val="20"/>
        </w:rPr>
        <w:t>原则协商调整工程</w:t>
      </w:r>
      <w:r>
        <w:rPr>
          <w:rFonts w:ascii="宋体" w:hAnsi="宋体" w:eastAsia="宋体" w:cs="宋体"/>
          <w:spacing w:val="4"/>
          <w:sz w:val="20"/>
          <w:szCs w:val="20"/>
        </w:rPr>
        <w:t>造价：</w:t>
      </w:r>
    </w:p>
    <w:p>
      <w:pPr>
        <w:spacing w:before="3" w:line="322" w:lineRule="auto"/>
        <w:ind w:left="12" w:right="43" w:firstLine="416"/>
        <w:rPr>
          <w:rFonts w:ascii="宋体" w:hAnsi="宋体" w:eastAsia="宋体" w:cs="宋体"/>
          <w:sz w:val="20"/>
          <w:szCs w:val="20"/>
        </w:rPr>
      </w:pPr>
      <w:r>
        <w:rPr>
          <w:rFonts w:ascii="宋体" w:hAnsi="宋体" w:eastAsia="宋体" w:cs="宋体"/>
          <w:spacing w:val="10"/>
          <w:sz w:val="20"/>
          <w:szCs w:val="20"/>
        </w:rPr>
        <w:t>①调整的范围限定于主要材料。主要材料是指用量较大、占工程造价比例较高</w:t>
      </w:r>
      <w:r>
        <w:rPr>
          <w:rFonts w:ascii="宋体" w:hAnsi="宋体" w:eastAsia="宋体" w:cs="宋体"/>
          <w:spacing w:val="9"/>
          <w:sz w:val="20"/>
          <w:szCs w:val="20"/>
        </w:rPr>
        <w:t>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42" w:line="344" w:lineRule="auto"/>
        <w:ind w:left="8" w:right="43" w:firstLine="420"/>
        <w:rPr>
          <w:rFonts w:ascii="宋体" w:hAnsi="宋体" w:eastAsia="宋体" w:cs="宋体"/>
          <w:sz w:val="20"/>
          <w:szCs w:val="20"/>
        </w:rPr>
      </w:pPr>
      <w:r>
        <w:rPr>
          <w:rFonts w:ascii="宋体" w:hAnsi="宋体" w:eastAsia="宋体" w:cs="宋体"/>
          <w:spacing w:val="10"/>
          <w:sz w:val="20"/>
          <w:szCs w:val="20"/>
        </w:rPr>
        <w:t>②金属材料、木材、水泥、混凝土、沥青混凝土、预制构件、砂浆、砖、瓦、</w:t>
      </w:r>
      <w:r>
        <w:rPr>
          <w:rFonts w:ascii="宋体" w:hAnsi="宋体" w:eastAsia="宋体" w:cs="宋体"/>
          <w:spacing w:val="9"/>
          <w:sz w:val="20"/>
          <w:szCs w:val="20"/>
        </w:rPr>
        <w:t>砂子、碎石、石</w:t>
      </w:r>
      <w:r>
        <w:rPr>
          <w:rFonts w:ascii="宋体" w:hAnsi="宋体" w:eastAsia="宋体" w:cs="宋体"/>
          <w:spacing w:val="10"/>
          <w:sz w:val="20"/>
          <w:szCs w:val="20"/>
        </w:rPr>
        <w:t>灰、石材、防水材料、防腐材料、玻璃、保温材料、门窗、面砖、管材、管件、阀</w:t>
      </w:r>
      <w:r>
        <w:rPr>
          <w:rFonts w:ascii="宋体" w:hAnsi="宋体" w:eastAsia="宋体" w:cs="宋体"/>
          <w:spacing w:val="9"/>
          <w:sz w:val="20"/>
          <w:szCs w:val="20"/>
        </w:rPr>
        <w:t>门、电线电缆、灯具、卫生洁具、散热器、苗木、花卉等。</w:t>
      </w:r>
    </w:p>
    <w:p>
      <w:pPr>
        <w:spacing w:before="142" w:line="275" w:lineRule="exact"/>
        <w:ind w:left="428"/>
        <w:rPr>
          <w:rFonts w:ascii="宋体" w:hAnsi="宋体" w:eastAsia="宋体" w:cs="宋体"/>
          <w:sz w:val="20"/>
          <w:szCs w:val="20"/>
        </w:rPr>
      </w:pPr>
      <w:r>
        <w:rPr>
          <w:rFonts w:ascii="宋体" w:hAnsi="宋体" w:eastAsia="宋体" w:cs="宋体"/>
          <w:spacing w:val="10"/>
          <w:position w:val="1"/>
          <w:sz w:val="20"/>
          <w:szCs w:val="20"/>
        </w:rPr>
        <w:t>③合同价中单种材料合价占单位工程造价比例在</w:t>
      </w:r>
      <w:r>
        <w:rPr>
          <w:rFonts w:ascii="宋体" w:hAnsi="宋体" w:eastAsia="宋体" w:cs="宋体"/>
          <w:spacing w:val="-6"/>
          <w:position w:val="1"/>
          <w:sz w:val="20"/>
          <w:szCs w:val="20"/>
        </w:rPr>
        <w:t xml:space="preserve"> </w:t>
      </w:r>
      <w:r>
        <w:rPr>
          <w:rFonts w:ascii="宋体" w:hAnsi="宋体" w:eastAsia="宋体" w:cs="宋体"/>
          <w:spacing w:val="10"/>
          <w:position w:val="1"/>
          <w:sz w:val="20"/>
          <w:szCs w:val="20"/>
        </w:rPr>
        <w:t>1%及以上的材料。</w:t>
      </w:r>
    </w:p>
    <w:p>
      <w:pPr>
        <w:spacing w:before="145" w:line="275" w:lineRule="exact"/>
        <w:ind w:left="428"/>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45" w:line="386" w:lineRule="auto"/>
        <w:ind w:left="11" w:right="62"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2" w:line="387" w:lineRule="auto"/>
        <w:ind w:left="10"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4" w:line="276" w:lineRule="exact"/>
        <w:ind w:left="430"/>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43" w:line="381" w:lineRule="auto"/>
        <w:ind w:firstLine="482"/>
        <w:jc w:val="both"/>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39"/>
          <w:sz w:val="20"/>
          <w:szCs w:val="20"/>
        </w:rPr>
        <w:t xml:space="preserve"> </w:t>
      </w:r>
      <w:r>
        <w:rPr>
          <w:rFonts w:ascii="宋体" w:hAnsi="宋体" w:eastAsia="宋体" w:cs="宋体"/>
          <w:spacing w:val="9"/>
          <w:sz w:val="20"/>
          <w:szCs w:val="20"/>
        </w:rPr>
        <w:t>号）。文件规定：发承包双方已签定施工合同的，若主要建筑</w:t>
      </w:r>
      <w:r>
        <w:rPr>
          <w:rFonts w:ascii="宋体" w:hAnsi="宋体" w:eastAsia="宋体" w:cs="宋体"/>
          <w:spacing w:val="10"/>
          <w:sz w:val="20"/>
          <w:szCs w:val="20"/>
        </w:rPr>
        <w:t>材料为可调价格，按合同约定执行；若合同中未对主要建筑材料价格风险幅度及调整办法进行约定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5"/>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52" w:line="277" w:lineRule="exact"/>
        <w:ind w:left="509"/>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43" w:line="387" w:lineRule="auto"/>
        <w:ind w:left="9" w:right="3" w:firstLine="418"/>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before="2" w:line="278"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42"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42"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line="277" w:lineRule="exact"/>
        <w:rPr>
          <w:rFonts w:ascii="宋体" w:hAnsi="宋体" w:eastAsia="宋体" w:cs="宋体"/>
          <w:sz w:val="20"/>
          <w:szCs w:val="20"/>
        </w:rPr>
        <w:sectPr>
          <w:footerReference r:id="rId199" w:type="default"/>
          <w:pgSz w:w="11906" w:h="16839"/>
          <w:pgMar w:top="400" w:right="1417" w:bottom="1212" w:left="1411" w:header="0" w:footer="897" w:gutter="0"/>
        </w:sect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65" w:line="278" w:lineRule="exact"/>
        <w:ind w:left="413"/>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42" w:line="277" w:lineRule="exact"/>
        <w:ind w:left="413"/>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（4）建设单位委托第三方机构开展检验试验，并由施</w:t>
      </w:r>
      <w:r>
        <w:rPr>
          <w:rFonts w:ascii="宋体" w:hAnsi="宋体" w:eastAsia="宋体" w:cs="宋体"/>
          <w:spacing w:val="9"/>
          <w:position w:val="1"/>
          <w:sz w:val="20"/>
          <w:szCs w:val="20"/>
        </w:rPr>
        <w:t>工单位支付的检验试验费用；</w:t>
      </w:r>
    </w:p>
    <w:p>
      <w:pPr>
        <w:spacing w:before="143" w:line="277" w:lineRule="exact"/>
        <w:ind w:left="413"/>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42" w:line="368" w:lineRule="auto"/>
        <w:ind w:left="1" w:right="2"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42" w:line="277" w:lineRule="exact"/>
        <w:ind w:left="440"/>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42" w:line="368" w:lineRule="auto"/>
        <w:ind w:left="2"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44" w:line="277" w:lineRule="exact"/>
        <w:ind w:left="420"/>
        <w:rPr>
          <w:rFonts w:ascii="宋体" w:hAnsi="宋体" w:eastAsia="宋体" w:cs="宋体"/>
          <w:sz w:val="20"/>
          <w:szCs w:val="20"/>
        </w:rPr>
      </w:pPr>
      <w:r>
        <w:rPr>
          <w:rFonts w:ascii="宋体" w:hAnsi="宋体" w:eastAsia="宋体" w:cs="宋体"/>
          <w:spacing w:val="8"/>
          <w:position w:val="1"/>
          <w:sz w:val="20"/>
          <w:szCs w:val="20"/>
        </w:rPr>
        <w:t>仿古建筑工程材料的采购及保管费率为2.5</w:t>
      </w:r>
      <w:r>
        <w:rPr>
          <w:rFonts w:ascii="宋体" w:hAnsi="宋体" w:eastAsia="宋体" w:cs="宋体"/>
          <w:spacing w:val="-20"/>
          <w:position w:val="1"/>
          <w:sz w:val="20"/>
          <w:szCs w:val="20"/>
        </w:rPr>
        <w:t>％</w:t>
      </w:r>
      <w:r>
        <w:rPr>
          <w:rFonts w:ascii="宋体" w:hAnsi="宋体" w:eastAsia="宋体" w:cs="宋体"/>
          <w:spacing w:val="-37"/>
          <w:position w:val="1"/>
          <w:sz w:val="20"/>
          <w:szCs w:val="20"/>
        </w:rPr>
        <w:t xml:space="preserve"> </w:t>
      </w:r>
      <w:r>
        <w:rPr>
          <w:rFonts w:ascii="宋体" w:hAnsi="宋体" w:eastAsia="宋体" w:cs="宋体"/>
          <w:spacing w:val="-20"/>
          <w:position w:val="1"/>
          <w:sz w:val="20"/>
          <w:szCs w:val="20"/>
        </w:rPr>
        <w:t>，</w:t>
      </w:r>
      <w:r>
        <w:rPr>
          <w:rFonts w:ascii="宋体" w:hAnsi="宋体" w:eastAsia="宋体" w:cs="宋体"/>
          <w:spacing w:val="8"/>
          <w:position w:val="1"/>
          <w:sz w:val="20"/>
          <w:szCs w:val="20"/>
        </w:rPr>
        <w:t>设备的采购及保管费率为</w:t>
      </w:r>
      <w:r>
        <w:rPr>
          <w:rFonts w:ascii="宋体" w:hAnsi="宋体" w:eastAsia="宋体" w:cs="宋体"/>
          <w:spacing w:val="-24"/>
          <w:position w:val="1"/>
          <w:sz w:val="20"/>
          <w:szCs w:val="20"/>
        </w:rPr>
        <w:t xml:space="preserve"> </w:t>
      </w:r>
      <w:r>
        <w:rPr>
          <w:rFonts w:ascii="宋体" w:hAnsi="宋体" w:eastAsia="宋体" w:cs="宋体"/>
          <w:spacing w:val="8"/>
          <w:position w:val="1"/>
          <w:sz w:val="20"/>
          <w:szCs w:val="20"/>
        </w:rPr>
        <w:t>1％。</w:t>
      </w:r>
    </w:p>
    <w:p>
      <w:pPr>
        <w:spacing w:before="143" w:line="277" w:lineRule="exact"/>
        <w:ind w:left="423"/>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43" w:line="306" w:lineRule="auto"/>
        <w:ind w:left="1" w:firstLine="420"/>
        <w:rPr>
          <w:rFonts w:ascii="宋体" w:hAnsi="宋体" w:eastAsia="宋体" w:cs="宋体"/>
          <w:sz w:val="20"/>
          <w:szCs w:val="20"/>
        </w:rPr>
      </w:pPr>
      <w:r>
        <w:rPr>
          <w:rFonts w:ascii="宋体" w:hAnsi="宋体" w:eastAsia="宋体" w:cs="宋体"/>
          <w:spacing w:val="11"/>
          <w:sz w:val="20"/>
          <w:szCs w:val="20"/>
        </w:rPr>
        <w:t>①建设单位采购、付款、供应至施工现场、并自行保管，施工单位随用随领，采购</w:t>
      </w:r>
      <w:r>
        <w:rPr>
          <w:rFonts w:ascii="宋体" w:hAnsi="宋体" w:eastAsia="宋体" w:cs="宋体"/>
          <w:spacing w:val="10"/>
          <w:sz w:val="20"/>
          <w:szCs w:val="20"/>
        </w:rPr>
        <w:t>及保管费全</w:t>
      </w:r>
      <w:r>
        <w:rPr>
          <w:rFonts w:ascii="宋体" w:hAnsi="宋体" w:eastAsia="宋体" w:cs="宋体"/>
          <w:spacing w:val="7"/>
          <w:sz w:val="20"/>
          <w:szCs w:val="20"/>
        </w:rPr>
        <w:t>部归建设单位。</w:t>
      </w:r>
    </w:p>
    <w:p>
      <w:pPr>
        <w:spacing w:before="177" w:line="344" w:lineRule="auto"/>
        <w:ind w:left="1" w:right="43" w:firstLine="420"/>
        <w:rPr>
          <w:rFonts w:ascii="宋体" w:hAnsi="宋体" w:eastAsia="宋体" w:cs="宋体"/>
          <w:sz w:val="20"/>
          <w:szCs w:val="20"/>
        </w:rPr>
      </w:pPr>
      <w:r>
        <w:rPr>
          <w:rFonts w:ascii="宋体" w:hAnsi="宋体" w:eastAsia="宋体" w:cs="宋体"/>
          <w:spacing w:val="10"/>
          <w:sz w:val="20"/>
          <w:szCs w:val="20"/>
        </w:rPr>
        <w:t>②建设单位采购、付款、供应至施工现场，交由施工单位保管，建设单位计取</w:t>
      </w:r>
      <w:r>
        <w:rPr>
          <w:rFonts w:ascii="宋体" w:hAnsi="宋体" w:eastAsia="宋体" w:cs="宋体"/>
          <w:spacing w:val="9"/>
          <w:sz w:val="20"/>
          <w:szCs w:val="20"/>
        </w:rPr>
        <w:t>采购及保管费的</w:t>
      </w:r>
      <w:r>
        <w:rPr>
          <w:rFonts w:ascii="宋体" w:hAnsi="宋体" w:eastAsia="宋体" w:cs="宋体"/>
          <w:spacing w:val="10"/>
          <w:sz w:val="20"/>
          <w:szCs w:val="20"/>
        </w:rPr>
        <w:t>60</w:t>
      </w:r>
      <w:r>
        <w:rPr>
          <w:rFonts w:ascii="宋体" w:hAnsi="宋体" w:eastAsia="宋体" w:cs="宋体"/>
          <w:spacing w:val="-18"/>
          <w:sz w:val="20"/>
          <w:szCs w:val="20"/>
        </w:rPr>
        <w:t>％</w:t>
      </w:r>
      <w:r>
        <w:rPr>
          <w:rFonts w:ascii="宋体" w:hAnsi="宋体" w:eastAsia="宋体" w:cs="宋体"/>
          <w:spacing w:val="-36"/>
          <w:sz w:val="20"/>
          <w:szCs w:val="20"/>
        </w:rPr>
        <w:t xml:space="preserve"> </w:t>
      </w:r>
      <w:r>
        <w:rPr>
          <w:rFonts w:ascii="宋体" w:hAnsi="宋体" w:eastAsia="宋体" w:cs="宋体"/>
          <w:spacing w:val="-18"/>
          <w:sz w:val="20"/>
          <w:szCs w:val="20"/>
        </w:rPr>
        <w:t>，</w:t>
      </w:r>
      <w:r>
        <w:rPr>
          <w:rFonts w:ascii="宋体" w:hAnsi="宋体" w:eastAsia="宋体" w:cs="宋体"/>
          <w:spacing w:val="10"/>
          <w:sz w:val="20"/>
          <w:szCs w:val="20"/>
        </w:rPr>
        <w:t>施工单位计取40％</w:t>
      </w:r>
      <w:r>
        <w:rPr>
          <w:rFonts w:ascii="宋体" w:hAnsi="宋体" w:eastAsia="宋体" w:cs="宋体"/>
          <w:spacing w:val="-49"/>
          <w:sz w:val="20"/>
          <w:szCs w:val="20"/>
        </w:rPr>
        <w:t xml:space="preserve"> </w:t>
      </w:r>
      <w:r>
        <w:rPr>
          <w:rFonts w:ascii="宋体" w:hAnsi="宋体" w:eastAsia="宋体" w:cs="宋体"/>
          <w:spacing w:val="10"/>
          <w:sz w:val="20"/>
          <w:szCs w:val="20"/>
        </w:rPr>
        <w:t>。建设单位采购并付款，交提货单由施工企业提运时施工单位计取60%</w:t>
      </w:r>
      <w:r>
        <w:rPr>
          <w:rFonts w:ascii="宋体" w:hAnsi="宋体" w:eastAsia="宋体" w:cs="宋体"/>
          <w:spacing w:val="-36"/>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43" w:line="223" w:lineRule="auto"/>
        <w:ind w:left="421"/>
        <w:rPr>
          <w:rFonts w:ascii="宋体" w:hAnsi="宋体" w:eastAsia="宋体" w:cs="宋体"/>
          <w:sz w:val="20"/>
          <w:szCs w:val="20"/>
        </w:rPr>
      </w:pPr>
      <w:r>
        <w:rPr>
          <w:rFonts w:ascii="宋体" w:hAnsi="宋体" w:eastAsia="宋体" w:cs="宋体"/>
          <w:spacing w:val="10"/>
          <w:sz w:val="20"/>
          <w:szCs w:val="20"/>
        </w:rPr>
        <w:t>③施工单位采购、付款、供应至施工现场，并自行保</w:t>
      </w:r>
      <w:r>
        <w:rPr>
          <w:rFonts w:ascii="宋体" w:hAnsi="宋体" w:eastAsia="宋体" w:cs="宋体"/>
          <w:spacing w:val="9"/>
          <w:sz w:val="20"/>
          <w:szCs w:val="20"/>
        </w:rPr>
        <w:t>管、采购及保管费全部归施工单位。</w:t>
      </w:r>
    </w:p>
    <w:p>
      <w:pPr>
        <w:spacing w:before="176" w:line="307" w:lineRule="auto"/>
        <w:ind w:left="3" w:firstLine="419"/>
        <w:rPr>
          <w:rFonts w:ascii="宋体" w:hAnsi="宋体" w:eastAsia="宋体" w:cs="宋体"/>
          <w:sz w:val="20"/>
          <w:szCs w:val="20"/>
        </w:rPr>
      </w:pPr>
      <w:r>
        <w:rPr>
          <w:rFonts w:ascii="宋体" w:hAnsi="宋体" w:eastAsia="宋体" w:cs="宋体"/>
          <w:spacing w:val="9"/>
          <w:sz w:val="20"/>
          <w:szCs w:val="20"/>
        </w:rPr>
        <w:t>21</w:t>
      </w:r>
      <w:r>
        <w:rPr>
          <w:rFonts w:ascii="宋体" w:hAnsi="宋体" w:eastAsia="宋体" w:cs="宋体"/>
          <w:spacing w:val="-33"/>
          <w:sz w:val="20"/>
          <w:szCs w:val="20"/>
        </w:rPr>
        <w:t xml:space="preserve"> </w:t>
      </w:r>
      <w:r>
        <w:rPr>
          <w:rFonts w:ascii="宋体" w:hAnsi="宋体" w:eastAsia="宋体" w:cs="宋体"/>
          <w:spacing w:val="9"/>
          <w:sz w:val="20"/>
          <w:szCs w:val="20"/>
        </w:rPr>
        <w:t>消耗量定额《山东省仿古建筑工程价目表》材料价格取定表中的材料单价，已包括采购及保</w:t>
      </w:r>
      <w:r>
        <w:rPr>
          <w:rFonts w:ascii="宋体" w:hAnsi="宋体" w:eastAsia="宋体" w:cs="宋体"/>
          <w:spacing w:val="3"/>
          <w:sz w:val="20"/>
          <w:szCs w:val="20"/>
        </w:rPr>
        <w:t>管费。</w:t>
      </w:r>
    </w:p>
    <w:p>
      <w:pPr>
        <w:spacing w:before="176" w:line="386" w:lineRule="auto"/>
        <w:ind w:left="7"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4" w:line="277" w:lineRule="exact"/>
        <w:ind w:left="440"/>
        <w:rPr>
          <w:rFonts w:ascii="宋体" w:hAnsi="宋体" w:eastAsia="宋体" w:cs="宋体"/>
          <w:sz w:val="20"/>
          <w:szCs w:val="20"/>
        </w:rPr>
      </w:pPr>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43" w:line="347" w:lineRule="auto"/>
        <w:ind w:firstLine="41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29"/>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半径范围内，并设有水、电计量表。建设单位不能按上述要求</w:t>
      </w:r>
      <w:r>
        <w:rPr>
          <w:rFonts w:ascii="宋体" w:hAnsi="宋体" w:eastAsia="宋体" w:cs="宋体"/>
          <w:spacing w:val="11"/>
          <w:sz w:val="20"/>
          <w:szCs w:val="20"/>
        </w:rPr>
        <w:t>提供时，施工单位依据经过批准的施工组织设计，按建筑、安装消耗量定额及其</w:t>
      </w:r>
      <w:r>
        <w:rPr>
          <w:rFonts w:ascii="宋体" w:hAnsi="宋体" w:eastAsia="宋体" w:cs="宋体"/>
          <w:spacing w:val="10"/>
          <w:sz w:val="20"/>
          <w:szCs w:val="20"/>
        </w:rPr>
        <w:t>相应规定另行单独</w:t>
      </w:r>
      <w:r>
        <w:rPr>
          <w:rFonts w:ascii="宋体" w:hAnsi="宋体" w:eastAsia="宋体" w:cs="宋体"/>
          <w:spacing w:val="7"/>
          <w:sz w:val="20"/>
          <w:szCs w:val="20"/>
        </w:rPr>
        <w:t>计算费用。</w:t>
      </w:r>
    </w:p>
    <w:p>
      <w:pPr>
        <w:spacing w:before="176" w:line="278"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43" w:line="305" w:lineRule="auto"/>
        <w:ind w:right="2"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78"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44" w:line="278" w:lineRule="exact"/>
        <w:ind w:left="440"/>
        <w:rPr>
          <w:rFonts w:ascii="宋体" w:hAnsi="宋体" w:eastAsia="宋体" w:cs="宋体"/>
          <w:sz w:val="20"/>
          <w:szCs w:val="20"/>
        </w:rPr>
      </w:pPr>
      <w:r>
        <w:rPr>
          <w:rFonts w:ascii="宋体" w:hAnsi="宋体" w:eastAsia="宋体" w:cs="宋体"/>
          <w:b/>
          <w:bCs/>
          <w:spacing w:val="3"/>
          <w:position w:val="1"/>
          <w:sz w:val="20"/>
          <w:szCs w:val="20"/>
        </w:rPr>
        <w:t>15.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关于建筑垃圾清理运输费用的确定</w:t>
      </w:r>
    </w:p>
    <w:p>
      <w:pPr>
        <w:spacing w:before="140" w:line="374" w:lineRule="auto"/>
        <w:ind w:left="2" w:firstLine="423"/>
        <w:jc w:val="both"/>
        <w:rPr>
          <w:rFonts w:ascii="宋体" w:hAnsi="宋体" w:eastAsia="宋体" w:cs="宋体"/>
          <w:sz w:val="20"/>
          <w:szCs w:val="20"/>
        </w:rPr>
      </w:pPr>
      <w:r>
        <w:rPr>
          <w:rFonts w:ascii="宋体" w:hAnsi="宋体" w:eastAsia="宋体" w:cs="宋体"/>
          <w:spacing w:val="8"/>
          <w:sz w:val="20"/>
          <w:szCs w:val="20"/>
        </w:rPr>
        <w:t>清运建筑垃圾，按其自然状态的实际体积，运距</w:t>
      </w:r>
      <w:r>
        <w:rPr>
          <w:rFonts w:ascii="宋体" w:hAnsi="宋体" w:eastAsia="宋体" w:cs="宋体"/>
          <w:spacing w:val="-9"/>
          <w:sz w:val="20"/>
          <w:szCs w:val="20"/>
        </w:rPr>
        <w:t xml:space="preserve"> </w:t>
      </w:r>
      <w:r>
        <w:rPr>
          <w:rFonts w:ascii="宋体" w:hAnsi="宋体" w:eastAsia="宋体" w:cs="宋体"/>
          <w:spacing w:val="8"/>
          <w:sz w:val="20"/>
          <w:szCs w:val="20"/>
        </w:rPr>
        <w:t>10</w:t>
      </w:r>
      <w:r>
        <w:rPr>
          <w:rFonts w:ascii="宋体" w:hAnsi="宋体" w:eastAsia="宋体" w:cs="宋体"/>
          <w:spacing w:val="-46"/>
          <w:sz w:val="20"/>
          <w:szCs w:val="20"/>
        </w:rPr>
        <w:t xml:space="preserve"> </w:t>
      </w:r>
      <w:r>
        <w:rPr>
          <w:rFonts w:ascii="宋体" w:hAnsi="宋体" w:eastAsia="宋体" w:cs="宋体"/>
          <w:spacing w:val="8"/>
          <w:sz w:val="20"/>
          <w:szCs w:val="20"/>
        </w:rPr>
        <w:t>公里以内时，按每平方米</w:t>
      </w:r>
      <w:r>
        <w:rPr>
          <w:rFonts w:ascii="宋体" w:hAnsi="宋体" w:eastAsia="宋体" w:cs="宋体"/>
          <w:spacing w:val="-41"/>
          <w:sz w:val="20"/>
          <w:szCs w:val="20"/>
        </w:rPr>
        <w:t xml:space="preserve"> </w:t>
      </w:r>
      <w:r>
        <w:rPr>
          <w:rFonts w:ascii="宋体" w:hAnsi="宋体" w:eastAsia="宋体" w:cs="宋体"/>
          <w:spacing w:val="8"/>
          <w:sz w:val="20"/>
          <w:szCs w:val="20"/>
        </w:rPr>
        <w:t>23</w:t>
      </w:r>
      <w:r>
        <w:rPr>
          <w:rFonts w:ascii="宋体" w:hAnsi="宋体" w:eastAsia="宋体" w:cs="宋体"/>
          <w:spacing w:val="-43"/>
          <w:sz w:val="20"/>
          <w:szCs w:val="20"/>
        </w:rPr>
        <w:t xml:space="preserve"> </w:t>
      </w:r>
      <w:r>
        <w:rPr>
          <w:rFonts w:ascii="宋体" w:hAnsi="宋体" w:eastAsia="宋体" w:cs="宋体"/>
          <w:spacing w:val="8"/>
          <w:sz w:val="20"/>
          <w:szCs w:val="20"/>
        </w:rPr>
        <w:t>元计取；每增</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公里（不足</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公里按</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5"/>
          <w:sz w:val="20"/>
          <w:szCs w:val="20"/>
        </w:rPr>
        <w:t xml:space="preserve"> </w:t>
      </w:r>
      <w:r>
        <w:rPr>
          <w:rFonts w:ascii="宋体" w:hAnsi="宋体" w:eastAsia="宋体" w:cs="宋体"/>
          <w:spacing w:val="7"/>
          <w:sz w:val="20"/>
          <w:szCs w:val="20"/>
        </w:rPr>
        <w:t>公里计算）按</w:t>
      </w:r>
      <w:r>
        <w:rPr>
          <w:rFonts w:ascii="宋体" w:hAnsi="宋体" w:eastAsia="宋体" w:cs="宋体"/>
          <w:spacing w:val="-23"/>
          <w:sz w:val="20"/>
          <w:szCs w:val="20"/>
        </w:rPr>
        <w:t xml:space="preserve"> </w:t>
      </w:r>
      <w:r>
        <w:rPr>
          <w:rFonts w:ascii="宋体" w:hAnsi="宋体" w:eastAsia="宋体" w:cs="宋体"/>
          <w:spacing w:val="7"/>
          <w:sz w:val="20"/>
          <w:szCs w:val="20"/>
        </w:rPr>
        <w:t>1.30</w:t>
      </w:r>
      <w:r>
        <w:rPr>
          <w:rFonts w:ascii="宋体" w:hAnsi="宋体" w:eastAsia="宋体" w:cs="宋体"/>
          <w:spacing w:val="-42"/>
          <w:sz w:val="20"/>
          <w:szCs w:val="20"/>
        </w:rPr>
        <w:t xml:space="preserve"> </w:t>
      </w:r>
      <w:r>
        <w:rPr>
          <w:rFonts w:ascii="宋体" w:hAnsi="宋体" w:eastAsia="宋体" w:cs="宋体"/>
          <w:spacing w:val="7"/>
          <w:sz w:val="20"/>
          <w:szCs w:val="20"/>
        </w:rPr>
        <w:t>元计算，以上费用只计取规费及税</w:t>
      </w:r>
      <w:r>
        <w:rPr>
          <w:rFonts w:ascii="宋体" w:hAnsi="宋体" w:eastAsia="宋体" w:cs="宋体"/>
          <w:spacing w:val="6"/>
          <w:sz w:val="20"/>
          <w:szCs w:val="20"/>
        </w:rPr>
        <w:t>金。若合同约定的费</w:t>
      </w:r>
      <w:r>
        <w:rPr>
          <w:rFonts w:ascii="宋体" w:hAnsi="宋体" w:eastAsia="宋体" w:cs="宋体"/>
          <w:spacing w:val="11"/>
          <w:sz w:val="20"/>
          <w:szCs w:val="20"/>
        </w:rPr>
        <w:t>用高于或低于该条款的费用，按合同约定的条款执行。垃圾处置费按发承包</w:t>
      </w:r>
      <w:r>
        <w:rPr>
          <w:rFonts w:ascii="宋体" w:hAnsi="宋体" w:eastAsia="宋体" w:cs="宋体"/>
          <w:spacing w:val="10"/>
          <w:sz w:val="20"/>
          <w:szCs w:val="20"/>
        </w:rPr>
        <w:t>双方约定的费用或按每</w:t>
      </w:r>
    </w:p>
    <w:p>
      <w:pPr>
        <w:spacing w:line="374" w:lineRule="auto"/>
        <w:rPr>
          <w:rFonts w:ascii="宋体" w:hAnsi="宋体" w:eastAsia="宋体" w:cs="宋体"/>
          <w:sz w:val="20"/>
          <w:szCs w:val="20"/>
        </w:rPr>
        <w:sectPr>
          <w:footerReference r:id="rId200" w:type="default"/>
          <w:pgSz w:w="11906" w:h="16839"/>
          <w:pgMar w:top="400" w:right="1417" w:bottom="1212" w:left="1418" w:header="0" w:footer="897" w:gutter="0"/>
        </w:sect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65" w:line="278" w:lineRule="exact"/>
        <w:rPr>
          <w:rFonts w:ascii="宋体" w:hAnsi="宋体" w:eastAsia="宋体" w:cs="宋体"/>
          <w:sz w:val="20"/>
          <w:szCs w:val="20"/>
        </w:rPr>
      </w:pPr>
      <w:r>
        <w:rPr>
          <w:rFonts w:ascii="宋体" w:hAnsi="宋体" w:eastAsia="宋体" w:cs="宋体"/>
          <w:spacing w:val="7"/>
          <w:position w:val="1"/>
          <w:sz w:val="20"/>
          <w:szCs w:val="20"/>
        </w:rPr>
        <w:t>立方米</w:t>
      </w:r>
      <w:r>
        <w:rPr>
          <w:rFonts w:ascii="宋体" w:hAnsi="宋体" w:eastAsia="宋体" w:cs="宋体"/>
          <w:spacing w:val="-29"/>
          <w:position w:val="1"/>
          <w:sz w:val="20"/>
          <w:szCs w:val="20"/>
        </w:rPr>
        <w:t xml:space="preserve"> </w:t>
      </w:r>
      <w:r>
        <w:rPr>
          <w:rFonts w:ascii="宋体" w:hAnsi="宋体" w:eastAsia="宋体" w:cs="宋体"/>
          <w:spacing w:val="7"/>
          <w:position w:val="1"/>
          <w:sz w:val="20"/>
          <w:szCs w:val="20"/>
        </w:rPr>
        <w:t>4</w:t>
      </w:r>
      <w:r>
        <w:rPr>
          <w:rFonts w:ascii="宋体" w:hAnsi="宋体" w:eastAsia="宋体" w:cs="宋体"/>
          <w:spacing w:val="-45"/>
          <w:position w:val="1"/>
          <w:sz w:val="20"/>
          <w:szCs w:val="20"/>
        </w:rPr>
        <w:t xml:space="preserve"> </w:t>
      </w:r>
      <w:r>
        <w:rPr>
          <w:rFonts w:ascii="宋体" w:hAnsi="宋体" w:eastAsia="宋体" w:cs="宋体"/>
          <w:spacing w:val="7"/>
          <w:position w:val="1"/>
          <w:sz w:val="20"/>
          <w:szCs w:val="20"/>
        </w:rPr>
        <w:t>元计取（不需处理时不计取）。</w:t>
      </w:r>
    </w:p>
    <w:p>
      <w:pPr>
        <w:spacing w:before="142" w:line="277" w:lineRule="exact"/>
        <w:ind w:left="439"/>
        <w:rPr>
          <w:rFonts w:ascii="宋体" w:hAnsi="宋体" w:eastAsia="宋体" w:cs="宋体"/>
          <w:sz w:val="20"/>
          <w:szCs w:val="20"/>
        </w:rPr>
      </w:pPr>
      <w:r>
        <w:rPr>
          <w:rFonts w:ascii="宋体" w:hAnsi="宋体" w:eastAsia="宋体" w:cs="宋体"/>
          <w:b/>
          <w:bCs/>
          <w:spacing w:val="2"/>
          <w:position w:val="1"/>
          <w:sz w:val="20"/>
          <w:szCs w:val="20"/>
        </w:rPr>
        <w:t>16.</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关于超高施工增加的计算</w:t>
      </w:r>
    </w:p>
    <w:p>
      <w:pPr>
        <w:spacing w:before="143" w:line="373" w:lineRule="auto"/>
        <w:ind w:firstLine="420"/>
        <w:jc w:val="both"/>
        <w:rPr>
          <w:rFonts w:ascii="宋体" w:hAnsi="宋体" w:eastAsia="宋体" w:cs="宋体"/>
          <w:sz w:val="20"/>
          <w:szCs w:val="20"/>
        </w:rPr>
      </w:pPr>
      <w:r>
        <w:rPr>
          <w:rFonts w:ascii="宋体" w:hAnsi="宋体" w:eastAsia="宋体" w:cs="宋体"/>
          <w:spacing w:val="8"/>
          <w:sz w:val="20"/>
          <w:szCs w:val="20"/>
        </w:rPr>
        <w:t>本定额除注明高度以外，均按单层建筑物檐高20m，多</w:t>
      </w:r>
      <w:r>
        <w:rPr>
          <w:rFonts w:ascii="宋体" w:hAnsi="宋体" w:eastAsia="宋体" w:cs="宋体"/>
          <w:spacing w:val="7"/>
          <w:sz w:val="20"/>
          <w:szCs w:val="20"/>
        </w:rPr>
        <w:t>层建筑物</w:t>
      </w:r>
      <w:r>
        <w:rPr>
          <w:rFonts w:ascii="宋体" w:hAnsi="宋体" w:eastAsia="宋体" w:cs="宋体"/>
          <w:spacing w:val="-41"/>
          <w:sz w:val="20"/>
          <w:szCs w:val="20"/>
        </w:rPr>
        <w:t xml:space="preserve"> </w:t>
      </w:r>
      <w:r>
        <w:rPr>
          <w:rFonts w:ascii="宋体" w:hAnsi="宋体" w:eastAsia="宋体" w:cs="宋体"/>
          <w:spacing w:val="7"/>
          <w:sz w:val="20"/>
          <w:szCs w:val="20"/>
        </w:rPr>
        <w:t>6</w:t>
      </w:r>
      <w:r>
        <w:rPr>
          <w:rFonts w:ascii="宋体" w:hAnsi="宋体" w:eastAsia="宋体" w:cs="宋体"/>
          <w:spacing w:val="-45"/>
          <w:sz w:val="20"/>
          <w:szCs w:val="20"/>
        </w:rPr>
        <w:t xml:space="preserve"> </w:t>
      </w:r>
      <w:r>
        <w:rPr>
          <w:rFonts w:ascii="宋体" w:hAnsi="宋体" w:eastAsia="宋体" w:cs="宋体"/>
          <w:spacing w:val="7"/>
          <w:sz w:val="20"/>
          <w:szCs w:val="20"/>
        </w:rPr>
        <w:t>层(不含地下室)以内编制，单</w:t>
      </w:r>
      <w:r>
        <w:rPr>
          <w:rFonts w:ascii="宋体" w:hAnsi="宋体" w:eastAsia="宋体" w:cs="宋体"/>
          <w:spacing w:val="10"/>
          <w:sz w:val="20"/>
          <w:szCs w:val="20"/>
        </w:rPr>
        <w:t>层建筑物檐高20m</w:t>
      </w:r>
      <w:r>
        <w:rPr>
          <w:rFonts w:ascii="宋体" w:hAnsi="宋体" w:eastAsia="宋体" w:cs="宋体"/>
          <w:spacing w:val="-5"/>
          <w:sz w:val="20"/>
          <w:szCs w:val="20"/>
        </w:rPr>
        <w:t xml:space="preserve"> </w:t>
      </w:r>
      <w:r>
        <w:rPr>
          <w:rFonts w:ascii="宋体" w:hAnsi="宋体" w:eastAsia="宋体" w:cs="宋体"/>
          <w:spacing w:val="10"/>
          <w:sz w:val="20"/>
          <w:szCs w:val="20"/>
        </w:rPr>
        <w:t>以上、多层建筑物</w:t>
      </w:r>
      <w:r>
        <w:rPr>
          <w:rFonts w:ascii="宋体" w:hAnsi="宋体" w:eastAsia="宋体" w:cs="宋体"/>
          <w:spacing w:val="-36"/>
          <w:sz w:val="20"/>
          <w:szCs w:val="20"/>
        </w:rPr>
        <w:t xml:space="preserve"> </w:t>
      </w:r>
      <w:r>
        <w:rPr>
          <w:rFonts w:ascii="宋体" w:hAnsi="宋体" w:eastAsia="宋体" w:cs="宋体"/>
          <w:spacing w:val="10"/>
          <w:sz w:val="20"/>
          <w:szCs w:val="20"/>
        </w:rPr>
        <w:t>6</w:t>
      </w:r>
      <w:r>
        <w:rPr>
          <w:rFonts w:ascii="宋体" w:hAnsi="宋体" w:eastAsia="宋体" w:cs="宋体"/>
          <w:spacing w:val="-42"/>
          <w:sz w:val="20"/>
          <w:szCs w:val="20"/>
        </w:rPr>
        <w:t xml:space="preserve"> </w:t>
      </w:r>
      <w:r>
        <w:rPr>
          <w:rFonts w:ascii="宋体" w:hAnsi="宋体" w:eastAsia="宋体" w:cs="宋体"/>
          <w:spacing w:val="10"/>
          <w:sz w:val="20"/>
          <w:szCs w:val="20"/>
        </w:rPr>
        <w:t>层(不含地下室)以上的工程，其降效应增加的人工、机械及</w:t>
      </w:r>
      <w:r>
        <w:rPr>
          <w:rFonts w:ascii="宋体" w:hAnsi="宋体" w:eastAsia="宋体" w:cs="宋体"/>
          <w:spacing w:val="9"/>
          <w:sz w:val="20"/>
          <w:szCs w:val="20"/>
        </w:rPr>
        <w:t>有关费用，另按本定额中的超高施工增加计算。</w:t>
      </w:r>
    </w:p>
    <w:p>
      <w:pPr>
        <w:spacing w:before="46" w:line="276" w:lineRule="exact"/>
        <w:ind w:left="439"/>
        <w:rPr>
          <w:rFonts w:ascii="宋体" w:hAnsi="宋体" w:eastAsia="宋体" w:cs="宋体"/>
          <w:sz w:val="20"/>
          <w:szCs w:val="20"/>
        </w:rPr>
      </w:pPr>
      <w:r>
        <w:rPr>
          <w:rFonts w:ascii="宋体" w:hAnsi="宋体" w:eastAsia="宋体" w:cs="宋体"/>
          <w:b/>
          <w:bCs/>
          <w:spacing w:val="1"/>
          <w:position w:val="1"/>
          <w:sz w:val="20"/>
          <w:szCs w:val="20"/>
        </w:rPr>
        <w:t>17.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关于计价依据的解释</w:t>
      </w:r>
    </w:p>
    <w:p>
      <w:pPr>
        <w:spacing w:before="144" w:line="387" w:lineRule="auto"/>
        <w:ind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w:t>
      </w:r>
      <w:r>
        <w:rPr>
          <w:rFonts w:ascii="宋体" w:hAnsi="宋体" w:eastAsia="宋体" w:cs="宋体"/>
          <w:spacing w:val="10"/>
          <w:sz w:val="20"/>
          <w:szCs w:val="20"/>
        </w:rPr>
        <w:t>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87" w:lineRule="auto"/>
        <w:rPr>
          <w:rFonts w:ascii="宋体" w:hAnsi="宋体" w:eastAsia="宋体" w:cs="宋体"/>
          <w:sz w:val="20"/>
          <w:szCs w:val="20"/>
        </w:rPr>
        <w:sectPr>
          <w:footerReference r:id="rId201" w:type="default"/>
          <w:pgSz w:w="11906" w:h="16839"/>
          <w:pgMar w:top="400" w:right="1417" w:bottom="1212" w:left="1419"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7" w:line="213" w:lineRule="auto"/>
        <w:ind w:left="1224"/>
        <w:outlineLvl w:val="1"/>
        <w:rPr>
          <w:rFonts w:ascii="宋体" w:hAnsi="宋体" w:eastAsia="宋体" w:cs="宋体"/>
          <w:sz w:val="30"/>
          <w:szCs w:val="30"/>
        </w:rPr>
      </w:pPr>
      <w:bookmarkStart w:id="100" w:name="bookmark63"/>
      <w:bookmarkEnd w:id="100"/>
      <w:bookmarkStart w:id="101" w:name="bookmark64"/>
      <w:bookmarkEnd w:id="101"/>
      <w:r>
        <w:rPr>
          <w:rFonts w:ascii="宋体" w:hAnsi="宋体" w:eastAsia="宋体" w:cs="宋体"/>
          <w:b/>
          <w:bCs/>
          <w:spacing w:val="-2"/>
          <w:sz w:val="30"/>
          <w:szCs w:val="30"/>
        </w:rPr>
        <w:t>第十二节</w:t>
      </w:r>
      <w:r>
        <w:rPr>
          <w:rFonts w:ascii="宋体" w:hAnsi="宋体" w:eastAsia="宋体" w:cs="宋体"/>
          <w:spacing w:val="-2"/>
          <w:sz w:val="30"/>
          <w:szCs w:val="30"/>
        </w:rPr>
        <w:t xml:space="preserve">  </w:t>
      </w:r>
      <w:r>
        <w:rPr>
          <w:rFonts w:ascii="宋体" w:hAnsi="宋体" w:eastAsia="宋体" w:cs="宋体"/>
          <w:b/>
          <w:bCs/>
          <w:spacing w:val="-2"/>
          <w:sz w:val="30"/>
          <w:szCs w:val="30"/>
        </w:rPr>
        <w:t>古建筑修缮工程定额计价有关问题说明</w:t>
      </w:r>
    </w:p>
    <w:p>
      <w:pPr>
        <w:spacing w:line="244" w:lineRule="auto"/>
        <w:rPr>
          <w:rFonts w:ascii="Arial"/>
          <w:sz w:val="21"/>
        </w:rPr>
      </w:pPr>
    </w:p>
    <w:p>
      <w:pPr>
        <w:spacing w:before="65" w:line="369" w:lineRule="auto"/>
        <w:ind w:left="1" w:right="169" w:firstLine="438"/>
        <w:jc w:val="both"/>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41"/>
          <w:sz w:val="20"/>
          <w:szCs w:val="20"/>
        </w:rPr>
        <w:t xml:space="preserve"> </w:t>
      </w:r>
      <w:r>
        <w:rPr>
          <w:rFonts w:ascii="宋体" w:hAnsi="宋体" w:eastAsia="宋体" w:cs="宋体"/>
          <w:spacing w:val="7"/>
          <w:sz w:val="20"/>
          <w:szCs w:val="20"/>
        </w:rPr>
        <w:t>2023</w:t>
      </w:r>
      <w:r>
        <w:rPr>
          <w:rFonts w:ascii="宋体" w:hAnsi="宋体" w:eastAsia="宋体" w:cs="宋体"/>
          <w:spacing w:val="-37"/>
          <w:sz w:val="20"/>
          <w:szCs w:val="20"/>
        </w:rPr>
        <w:t xml:space="preserve"> </w:t>
      </w:r>
      <w:r>
        <w:rPr>
          <w:rFonts w:ascii="宋体" w:hAnsi="宋体" w:eastAsia="宋体" w:cs="宋体"/>
          <w:spacing w:val="7"/>
          <w:sz w:val="20"/>
          <w:szCs w:val="20"/>
        </w:rPr>
        <w:t>版《山东省古建筑修缮工程消耗量定额》《山东省古建筑修缮工程价目表》《</w:t>
      </w:r>
      <w:r>
        <w:rPr>
          <w:rFonts w:ascii="宋体" w:hAnsi="宋体" w:eastAsia="宋体" w:cs="宋体"/>
          <w:spacing w:val="6"/>
          <w:sz w:val="20"/>
          <w:szCs w:val="20"/>
        </w:rPr>
        <w:t>山东省古</w:t>
      </w:r>
      <w:r>
        <w:rPr>
          <w:rFonts w:ascii="宋体" w:hAnsi="宋体" w:eastAsia="宋体" w:cs="宋体"/>
          <w:spacing w:val="10"/>
          <w:sz w:val="20"/>
          <w:szCs w:val="20"/>
        </w:rPr>
        <w:t>建筑修缮工程人工、材料、机械单价表》《山东省古建筑修缮工程费用项目组成及</w:t>
      </w:r>
      <w:r>
        <w:rPr>
          <w:rFonts w:ascii="宋体" w:hAnsi="宋体" w:eastAsia="宋体" w:cs="宋体"/>
          <w:spacing w:val="9"/>
          <w:sz w:val="20"/>
          <w:szCs w:val="20"/>
        </w:rPr>
        <w:t>计算规则》以山</w:t>
      </w:r>
      <w:r>
        <w:rPr>
          <w:rFonts w:ascii="宋体" w:hAnsi="宋体" w:eastAsia="宋体" w:cs="宋体"/>
          <w:spacing w:val="4"/>
          <w:sz w:val="20"/>
          <w:szCs w:val="20"/>
        </w:rPr>
        <w:t>东省住房和城乡建设厅鲁建标字〔2023〕10</w:t>
      </w:r>
      <w:r>
        <w:rPr>
          <w:rFonts w:ascii="宋体" w:hAnsi="宋体" w:eastAsia="宋体" w:cs="宋体"/>
          <w:spacing w:val="-29"/>
          <w:sz w:val="20"/>
          <w:szCs w:val="20"/>
        </w:rPr>
        <w:t xml:space="preserve"> </w:t>
      </w:r>
      <w:r>
        <w:rPr>
          <w:rFonts w:ascii="宋体" w:hAnsi="宋体" w:eastAsia="宋体" w:cs="宋体"/>
          <w:spacing w:val="4"/>
          <w:sz w:val="20"/>
          <w:szCs w:val="20"/>
        </w:rPr>
        <w:t>号文正式颁布，</w:t>
      </w:r>
      <w:r>
        <w:rPr>
          <w:rFonts w:ascii="宋体" w:hAnsi="宋体" w:eastAsia="宋体" w:cs="宋体"/>
          <w:spacing w:val="-60"/>
          <w:sz w:val="20"/>
          <w:szCs w:val="20"/>
        </w:rPr>
        <w:t xml:space="preserve"> </w:t>
      </w:r>
      <w:r>
        <w:rPr>
          <w:rFonts w:ascii="宋体" w:hAnsi="宋体" w:eastAsia="宋体" w:cs="宋体"/>
          <w:spacing w:val="4"/>
          <w:sz w:val="20"/>
          <w:szCs w:val="20"/>
        </w:rPr>
        <w:t>自</w:t>
      </w:r>
      <w:r>
        <w:rPr>
          <w:rFonts w:ascii="宋体" w:hAnsi="宋体" w:eastAsia="宋体" w:cs="宋体"/>
          <w:spacing w:val="-37"/>
          <w:sz w:val="20"/>
          <w:szCs w:val="20"/>
        </w:rPr>
        <w:t xml:space="preserve"> </w:t>
      </w:r>
      <w:r>
        <w:rPr>
          <w:rFonts w:ascii="宋体" w:hAnsi="宋体" w:eastAsia="宋体" w:cs="宋体"/>
          <w:spacing w:val="4"/>
          <w:sz w:val="20"/>
          <w:szCs w:val="20"/>
        </w:rPr>
        <w:t>2023</w:t>
      </w:r>
      <w:r>
        <w:rPr>
          <w:rFonts w:ascii="宋体" w:hAnsi="宋体" w:eastAsia="宋体" w:cs="宋体"/>
          <w:spacing w:val="-38"/>
          <w:sz w:val="20"/>
          <w:szCs w:val="20"/>
        </w:rPr>
        <w:t xml:space="preserve"> </w:t>
      </w:r>
      <w:r>
        <w:rPr>
          <w:rFonts w:ascii="宋体" w:hAnsi="宋体" w:eastAsia="宋体" w:cs="宋体"/>
          <w:spacing w:val="4"/>
          <w:sz w:val="20"/>
          <w:szCs w:val="20"/>
        </w:rPr>
        <w:t>年</w:t>
      </w:r>
      <w:r>
        <w:rPr>
          <w:rFonts w:ascii="宋体" w:hAnsi="宋体" w:eastAsia="宋体" w:cs="宋体"/>
          <w:spacing w:val="-40"/>
          <w:sz w:val="20"/>
          <w:szCs w:val="20"/>
        </w:rPr>
        <w:t xml:space="preserve"> </w:t>
      </w:r>
      <w:r>
        <w:rPr>
          <w:rFonts w:ascii="宋体" w:hAnsi="宋体" w:eastAsia="宋体" w:cs="宋体"/>
          <w:spacing w:val="4"/>
          <w:sz w:val="20"/>
          <w:szCs w:val="20"/>
        </w:rPr>
        <w:t>8</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 日起施行。</w:t>
      </w:r>
    </w:p>
    <w:p>
      <w:pPr>
        <w:spacing w:before="1" w:line="351" w:lineRule="auto"/>
        <w:ind w:left="4" w:right="198" w:firstLine="400"/>
        <w:rPr>
          <w:rFonts w:ascii="宋体" w:hAnsi="宋体" w:eastAsia="宋体" w:cs="宋体"/>
          <w:sz w:val="20"/>
          <w:szCs w:val="20"/>
        </w:rPr>
      </w:pPr>
      <w:r>
        <w:rPr>
          <w:rFonts w:ascii="宋体" w:hAnsi="宋体" w:eastAsia="宋体" w:cs="宋体"/>
          <w:spacing w:val="11"/>
          <w:sz w:val="20"/>
          <w:szCs w:val="20"/>
        </w:rPr>
        <w:t>《山东省古建筑修缮工程费用项目组成及计算规则</w:t>
      </w:r>
      <w:r>
        <w:rPr>
          <w:rFonts w:ascii="宋体" w:hAnsi="宋体" w:eastAsia="宋体" w:cs="宋体"/>
          <w:spacing w:val="10"/>
          <w:sz w:val="20"/>
          <w:szCs w:val="20"/>
        </w:rPr>
        <w:t>》与《山东省古建筑修缮工程消耗量定额》</w:t>
      </w:r>
      <w:r>
        <w:rPr>
          <w:rFonts w:ascii="宋体" w:hAnsi="宋体" w:eastAsia="宋体" w:cs="宋体"/>
          <w:spacing w:val="6"/>
          <w:sz w:val="20"/>
          <w:szCs w:val="20"/>
        </w:rPr>
        <w:t>配套使用。</w:t>
      </w:r>
    </w:p>
    <w:p>
      <w:pPr>
        <w:spacing w:before="40" w:line="311" w:lineRule="auto"/>
        <w:ind w:left="1" w:firstLine="421"/>
        <w:rPr>
          <w:rFonts w:ascii="宋体" w:hAnsi="宋体" w:eastAsia="宋体" w:cs="宋体"/>
          <w:sz w:val="20"/>
          <w:szCs w:val="20"/>
        </w:rPr>
      </w:pPr>
      <w:r>
        <w:rPr>
          <w:rFonts w:ascii="宋体" w:hAnsi="宋体" w:eastAsia="宋体" w:cs="宋体"/>
          <w:spacing w:val="7"/>
          <w:sz w:val="20"/>
          <w:szCs w:val="20"/>
        </w:rPr>
        <w:t>2. 古建筑修缮工程费用计算程序是工程计价活动的依据。各种费率是编制最高投标限价的依据，</w:t>
      </w:r>
      <w:r>
        <w:rPr>
          <w:rFonts w:ascii="宋体" w:hAnsi="宋体" w:eastAsia="宋体" w:cs="宋体"/>
          <w:spacing w:val="9"/>
          <w:sz w:val="20"/>
          <w:szCs w:val="20"/>
        </w:rPr>
        <w:t>是其他计价活动的重要参考（其中规费、税金必须按规定计取，不得作为竞争性费用）。</w:t>
      </w:r>
    </w:p>
    <w:p>
      <w:pPr>
        <w:spacing w:before="125" w:line="278" w:lineRule="exact"/>
        <w:ind w:left="426"/>
        <w:rPr>
          <w:rFonts w:ascii="宋体" w:hAnsi="宋体" w:eastAsia="宋体" w:cs="宋体"/>
          <w:sz w:val="20"/>
          <w:szCs w:val="20"/>
        </w:rPr>
      </w:pPr>
      <w:r>
        <w:rPr>
          <w:rFonts w:ascii="宋体" w:hAnsi="宋体" w:eastAsia="宋体" w:cs="宋体"/>
          <w:b/>
          <w:bCs/>
          <w:spacing w:val="1"/>
          <w:position w:val="1"/>
          <w:sz w:val="20"/>
          <w:szCs w:val="20"/>
        </w:rPr>
        <w:t>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关于增值税的说明</w:t>
      </w:r>
    </w:p>
    <w:p>
      <w:pPr>
        <w:spacing w:before="124" w:line="366" w:lineRule="auto"/>
        <w:ind w:left="1" w:right="58" w:firstLine="402"/>
        <w:rPr>
          <w:rFonts w:ascii="宋体" w:hAnsi="宋体" w:eastAsia="宋体" w:cs="宋体"/>
          <w:sz w:val="20"/>
          <w:szCs w:val="20"/>
        </w:rPr>
      </w:pPr>
      <w:r>
        <w:rPr>
          <w:rFonts w:ascii="宋体" w:hAnsi="宋体" w:eastAsia="宋体" w:cs="宋体"/>
          <w:spacing w:val="7"/>
          <w:sz w:val="20"/>
          <w:szCs w:val="20"/>
        </w:rPr>
        <w:t>《山东省古建筑修缮工程费用项目组成及计算规则》中的税率为</w:t>
      </w:r>
      <w:r>
        <w:rPr>
          <w:rFonts w:ascii="宋体" w:hAnsi="宋体" w:eastAsia="宋体" w:cs="宋体"/>
          <w:spacing w:val="-42"/>
          <w:sz w:val="20"/>
          <w:szCs w:val="20"/>
        </w:rPr>
        <w:t xml:space="preserve"> </w:t>
      </w:r>
      <w:r>
        <w:rPr>
          <w:rFonts w:ascii="宋体" w:hAnsi="宋体" w:eastAsia="宋体" w:cs="宋体"/>
          <w:spacing w:val="7"/>
          <w:sz w:val="20"/>
          <w:szCs w:val="20"/>
        </w:rPr>
        <w:t>9%、3%。增值税一般计税（9%）</w:t>
      </w:r>
      <w:r>
        <w:rPr>
          <w:rFonts w:ascii="宋体" w:hAnsi="宋体" w:eastAsia="宋体" w:cs="宋体"/>
          <w:spacing w:val="12"/>
          <w:sz w:val="20"/>
          <w:szCs w:val="20"/>
        </w:rPr>
        <w:t>下，材料费、施工机具使用费在扣除进项税额时，税率分别为</w:t>
      </w:r>
      <w:r>
        <w:rPr>
          <w:rFonts w:ascii="宋体" w:hAnsi="宋体" w:eastAsia="宋体" w:cs="宋体"/>
          <w:spacing w:val="-20"/>
          <w:sz w:val="20"/>
          <w:szCs w:val="20"/>
        </w:rPr>
        <w:t xml:space="preserve"> </w:t>
      </w:r>
      <w:r>
        <w:rPr>
          <w:rFonts w:ascii="宋体" w:hAnsi="宋体" w:eastAsia="宋体" w:cs="宋体"/>
          <w:spacing w:val="12"/>
          <w:sz w:val="20"/>
          <w:szCs w:val="20"/>
        </w:rPr>
        <w:t>13%、9%。</w:t>
      </w:r>
    </w:p>
    <w:p>
      <w:pPr>
        <w:spacing w:before="5" w:line="276" w:lineRule="exact"/>
        <w:ind w:left="419"/>
        <w:rPr>
          <w:rFonts w:ascii="宋体" w:hAnsi="宋体" w:eastAsia="宋体" w:cs="宋体"/>
          <w:sz w:val="20"/>
          <w:szCs w:val="20"/>
        </w:rPr>
      </w:pPr>
      <w:r>
        <w:rPr>
          <w:rFonts w:ascii="宋体" w:hAnsi="宋体" w:eastAsia="宋体" w:cs="宋体"/>
          <w:b/>
          <w:bCs/>
          <w:spacing w:val="3"/>
          <w:position w:val="1"/>
          <w:sz w:val="20"/>
          <w:szCs w:val="20"/>
        </w:rPr>
        <w:t>4.</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关于定额人工单价的说明</w:t>
      </w:r>
    </w:p>
    <w:p>
      <w:pPr>
        <w:spacing w:before="125" w:line="366" w:lineRule="auto"/>
        <w:ind w:right="167" w:firstLine="415"/>
        <w:rPr>
          <w:rFonts w:ascii="宋体" w:hAnsi="宋体" w:eastAsia="宋体" w:cs="宋体"/>
          <w:sz w:val="20"/>
          <w:szCs w:val="20"/>
        </w:rPr>
      </w:pPr>
      <w:r>
        <w:rPr>
          <w:rFonts w:ascii="宋体" w:hAnsi="宋体" w:eastAsia="宋体" w:cs="宋体"/>
          <w:spacing w:val="8"/>
          <w:sz w:val="20"/>
          <w:szCs w:val="20"/>
        </w:rPr>
        <w:t>2023</w:t>
      </w:r>
      <w:r>
        <w:rPr>
          <w:rFonts w:ascii="宋体" w:hAnsi="宋体" w:eastAsia="宋体" w:cs="宋体"/>
          <w:spacing w:val="-40"/>
          <w:sz w:val="20"/>
          <w:szCs w:val="20"/>
        </w:rPr>
        <w:t xml:space="preserve"> </w:t>
      </w:r>
      <w:r>
        <w:rPr>
          <w:rFonts w:ascii="宋体" w:hAnsi="宋体" w:eastAsia="宋体" w:cs="宋体"/>
          <w:spacing w:val="8"/>
          <w:sz w:val="20"/>
          <w:szCs w:val="20"/>
        </w:rPr>
        <w:t>版古建筑修缮工程消耗量定额的人工</w:t>
      </w:r>
      <w:r>
        <w:rPr>
          <w:rFonts w:ascii="宋体" w:hAnsi="宋体" w:eastAsia="宋体" w:cs="宋体"/>
          <w:spacing w:val="7"/>
          <w:sz w:val="20"/>
          <w:szCs w:val="20"/>
        </w:rPr>
        <w:t>综合工日单价为：138</w:t>
      </w:r>
      <w:r>
        <w:rPr>
          <w:rFonts w:ascii="宋体" w:hAnsi="宋体" w:eastAsia="宋体" w:cs="宋体"/>
          <w:spacing w:val="-43"/>
          <w:sz w:val="20"/>
          <w:szCs w:val="20"/>
        </w:rPr>
        <w:t xml:space="preserve"> </w:t>
      </w:r>
      <w:r>
        <w:rPr>
          <w:rFonts w:ascii="宋体" w:hAnsi="宋体" w:eastAsia="宋体" w:cs="宋体"/>
          <w:spacing w:val="7"/>
          <w:sz w:val="20"/>
          <w:szCs w:val="20"/>
        </w:rPr>
        <w:t>元/工日。该定额人工综合工日</w:t>
      </w:r>
      <w:r>
        <w:rPr>
          <w:rFonts w:ascii="宋体" w:hAnsi="宋体" w:eastAsia="宋体" w:cs="宋体"/>
          <w:spacing w:val="-1"/>
          <w:sz w:val="20"/>
          <w:szCs w:val="20"/>
        </w:rPr>
        <w:t>单价自</w:t>
      </w:r>
      <w:r>
        <w:rPr>
          <w:rFonts w:ascii="宋体" w:hAnsi="宋体" w:eastAsia="宋体" w:cs="宋体"/>
          <w:spacing w:val="-27"/>
          <w:sz w:val="20"/>
          <w:szCs w:val="20"/>
        </w:rPr>
        <w:t xml:space="preserve"> </w:t>
      </w:r>
      <w:r>
        <w:rPr>
          <w:rFonts w:ascii="宋体" w:hAnsi="宋体" w:eastAsia="宋体" w:cs="宋体"/>
          <w:spacing w:val="-1"/>
          <w:sz w:val="20"/>
          <w:szCs w:val="20"/>
        </w:rPr>
        <w:t>2023</w:t>
      </w:r>
      <w:r>
        <w:rPr>
          <w:rFonts w:ascii="宋体" w:hAnsi="宋体" w:eastAsia="宋体" w:cs="宋体"/>
          <w:spacing w:val="-39"/>
          <w:sz w:val="20"/>
          <w:szCs w:val="20"/>
        </w:rPr>
        <w:t xml:space="preserve"> </w:t>
      </w:r>
      <w:r>
        <w:rPr>
          <w:rFonts w:ascii="宋体" w:hAnsi="宋体" w:eastAsia="宋体" w:cs="宋体"/>
          <w:spacing w:val="-1"/>
          <w:sz w:val="20"/>
          <w:szCs w:val="20"/>
        </w:rPr>
        <w:t>年</w:t>
      </w:r>
      <w:r>
        <w:rPr>
          <w:rFonts w:ascii="宋体" w:hAnsi="宋体" w:eastAsia="宋体" w:cs="宋体"/>
          <w:spacing w:val="-37"/>
          <w:sz w:val="20"/>
          <w:szCs w:val="20"/>
        </w:rPr>
        <w:t xml:space="preserve"> </w:t>
      </w:r>
      <w:r>
        <w:rPr>
          <w:rFonts w:ascii="宋体" w:hAnsi="宋体" w:eastAsia="宋体" w:cs="宋体"/>
          <w:spacing w:val="-1"/>
          <w:sz w:val="20"/>
          <w:szCs w:val="20"/>
        </w:rPr>
        <w:t>8</w:t>
      </w:r>
      <w:r>
        <w:rPr>
          <w:rFonts w:ascii="宋体" w:hAnsi="宋体" w:eastAsia="宋体" w:cs="宋体"/>
          <w:spacing w:val="-40"/>
          <w:sz w:val="20"/>
          <w:szCs w:val="20"/>
        </w:rPr>
        <w:t xml:space="preserve"> </w:t>
      </w:r>
      <w:r>
        <w:rPr>
          <w:rFonts w:ascii="宋体" w:hAnsi="宋体" w:eastAsia="宋体" w:cs="宋体"/>
          <w:spacing w:val="-1"/>
          <w:sz w:val="20"/>
          <w:szCs w:val="20"/>
        </w:rPr>
        <w:t>月</w:t>
      </w:r>
      <w:r>
        <w:rPr>
          <w:rFonts w:ascii="宋体" w:hAnsi="宋体" w:eastAsia="宋体" w:cs="宋体"/>
          <w:spacing w:val="-25"/>
          <w:sz w:val="20"/>
          <w:szCs w:val="20"/>
        </w:rPr>
        <w:t xml:space="preserve"> </w:t>
      </w:r>
      <w:r>
        <w:rPr>
          <w:rFonts w:ascii="宋体" w:hAnsi="宋体" w:eastAsia="宋体" w:cs="宋体"/>
          <w:spacing w:val="-1"/>
          <w:sz w:val="20"/>
          <w:szCs w:val="20"/>
        </w:rPr>
        <w:t>1 日执行。</w:t>
      </w:r>
    </w:p>
    <w:p>
      <w:pPr>
        <w:spacing w:before="10" w:line="367" w:lineRule="auto"/>
        <w:ind w:left="2" w:right="90" w:firstLine="412"/>
        <w:rPr>
          <w:rFonts w:ascii="宋体" w:hAnsi="宋体" w:eastAsia="宋体" w:cs="宋体"/>
          <w:sz w:val="20"/>
          <w:szCs w:val="20"/>
        </w:rPr>
      </w:pPr>
      <w:r>
        <w:rPr>
          <w:rFonts w:ascii="宋体" w:hAnsi="宋体" w:eastAsia="宋体" w:cs="宋体"/>
          <w:spacing w:val="11"/>
          <w:sz w:val="20"/>
          <w:szCs w:val="20"/>
        </w:rPr>
        <w:t>省价人工费应作为工程造价中总价措施费、企业管理费、利润等各项费用的计算基础，也是我</w:t>
      </w:r>
      <w:r>
        <w:rPr>
          <w:rFonts w:ascii="宋体" w:hAnsi="宋体" w:eastAsia="宋体" w:cs="宋体"/>
          <w:spacing w:val="8"/>
          <w:sz w:val="20"/>
          <w:szCs w:val="20"/>
        </w:rPr>
        <w:t>市行政区域内国有投资项目编制最高投标限价的依据及投标报价、工程结算等</w:t>
      </w:r>
      <w:r>
        <w:rPr>
          <w:rFonts w:ascii="宋体" w:hAnsi="宋体" w:eastAsia="宋体" w:cs="宋体"/>
          <w:spacing w:val="7"/>
          <w:sz w:val="20"/>
          <w:szCs w:val="20"/>
        </w:rPr>
        <w:t>工程计价活动的参考。</w:t>
      </w:r>
    </w:p>
    <w:p>
      <w:pPr>
        <w:spacing w:line="279" w:lineRule="exact"/>
        <w:ind w:left="422"/>
        <w:rPr>
          <w:rFonts w:ascii="宋体" w:hAnsi="宋体" w:eastAsia="宋体" w:cs="宋体"/>
          <w:sz w:val="20"/>
          <w:szCs w:val="20"/>
        </w:rPr>
      </w:pPr>
      <w:r>
        <w:rPr>
          <w:rFonts w:ascii="宋体" w:hAnsi="宋体" w:eastAsia="宋体" w:cs="宋体"/>
          <w:b/>
          <w:bCs/>
          <w:spacing w:val="1"/>
          <w:position w:val="1"/>
          <w:sz w:val="20"/>
          <w:szCs w:val="20"/>
        </w:rPr>
        <w:t>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关于规费的计取</w:t>
      </w:r>
    </w:p>
    <w:p>
      <w:pPr>
        <w:spacing w:before="122" w:line="278" w:lineRule="exact"/>
        <w:ind w:left="412"/>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1）安全文明施工费</w:t>
      </w:r>
    </w:p>
    <w:p>
      <w:pPr>
        <w:spacing w:before="127" w:line="367" w:lineRule="auto"/>
        <w:ind w:left="1" w:right="167"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编制最高投标限价、投标报价、工程结算时按省发布的费率执行。安全</w:t>
      </w:r>
      <w:r>
        <w:rPr>
          <w:rFonts w:ascii="宋体" w:hAnsi="宋体" w:eastAsia="宋体" w:cs="宋体"/>
          <w:spacing w:val="10"/>
          <w:sz w:val="20"/>
          <w:szCs w:val="20"/>
        </w:rPr>
        <w:t>施工费费率中已包含安</w:t>
      </w:r>
      <w:r>
        <w:rPr>
          <w:rFonts w:ascii="宋体" w:hAnsi="宋体" w:eastAsia="宋体" w:cs="宋体"/>
          <w:spacing w:val="8"/>
          <w:sz w:val="20"/>
          <w:szCs w:val="20"/>
        </w:rPr>
        <w:t>全生产责任保险费用。</w:t>
      </w:r>
    </w:p>
    <w:p>
      <w:pPr>
        <w:spacing w:line="277" w:lineRule="exact"/>
        <w:ind w:left="412"/>
        <w:rPr>
          <w:rFonts w:ascii="宋体" w:hAnsi="宋体" w:eastAsia="宋体" w:cs="宋体"/>
          <w:sz w:val="20"/>
          <w:szCs w:val="20"/>
        </w:rPr>
      </w:pPr>
      <w:r>
        <w:rPr>
          <w:rFonts w:ascii="宋体" w:hAnsi="宋体" w:eastAsia="宋体" w:cs="宋体"/>
          <w:spacing w:val="9"/>
          <w:position w:val="1"/>
          <w:sz w:val="20"/>
          <w:szCs w:val="20"/>
        </w:rPr>
        <w:t>（2）社会保险费</w:t>
      </w:r>
    </w:p>
    <w:p>
      <w:pPr>
        <w:spacing w:before="128" w:line="220" w:lineRule="auto"/>
        <w:ind w:left="426"/>
        <w:rPr>
          <w:rFonts w:ascii="宋体" w:hAnsi="宋体" w:eastAsia="宋体" w:cs="宋体"/>
          <w:sz w:val="20"/>
          <w:szCs w:val="20"/>
        </w:rPr>
      </w:pPr>
      <w:r>
        <w:rPr>
          <w:rFonts w:ascii="宋体" w:hAnsi="宋体" w:eastAsia="宋体" w:cs="宋体"/>
          <w:spacing w:val="9"/>
          <w:sz w:val="20"/>
          <w:szCs w:val="20"/>
        </w:rPr>
        <w:t>编制最高投标限价、投标报价、工程结算时按省发布的费率执行。</w:t>
      </w:r>
    </w:p>
    <w:p>
      <w:pPr>
        <w:spacing w:before="156" w:line="277" w:lineRule="exact"/>
        <w:ind w:left="412"/>
        <w:rPr>
          <w:rFonts w:ascii="宋体" w:hAnsi="宋体" w:eastAsia="宋体" w:cs="宋体"/>
          <w:sz w:val="20"/>
          <w:szCs w:val="20"/>
        </w:rPr>
      </w:pPr>
      <w:r>
        <w:rPr>
          <w:rFonts w:ascii="宋体" w:hAnsi="宋体" w:eastAsia="宋体" w:cs="宋体"/>
          <w:spacing w:val="9"/>
          <w:position w:val="1"/>
          <w:sz w:val="20"/>
          <w:szCs w:val="20"/>
        </w:rPr>
        <w:t>（3）建设项目工伤保险</w:t>
      </w:r>
    </w:p>
    <w:p>
      <w:pPr>
        <w:spacing w:before="128" w:line="223" w:lineRule="auto"/>
        <w:ind w:left="426"/>
        <w:rPr>
          <w:rFonts w:ascii="宋体" w:hAnsi="宋体" w:eastAsia="宋体" w:cs="宋体"/>
          <w:sz w:val="20"/>
          <w:szCs w:val="20"/>
        </w:rPr>
      </w:pPr>
      <w:r>
        <w:rPr>
          <w:rFonts w:ascii="宋体" w:hAnsi="宋体" w:eastAsia="宋体" w:cs="宋体"/>
          <w:spacing w:val="9"/>
          <w:sz w:val="20"/>
          <w:szCs w:val="20"/>
        </w:rPr>
        <w:t>编制最高投标限价、投标报价时，按省发布的费率执行；结算时，按实际交纳的金额计列。</w:t>
      </w:r>
    </w:p>
    <w:p>
      <w:pPr>
        <w:spacing w:before="155" w:line="278" w:lineRule="exact"/>
        <w:ind w:left="412"/>
        <w:rPr>
          <w:rFonts w:ascii="宋体" w:hAnsi="宋体" w:eastAsia="宋体" w:cs="宋体"/>
          <w:sz w:val="20"/>
          <w:szCs w:val="20"/>
        </w:rPr>
      </w:pPr>
      <w:r>
        <w:rPr>
          <w:rFonts w:ascii="宋体" w:hAnsi="宋体" w:eastAsia="宋体" w:cs="宋体"/>
          <w:spacing w:val="9"/>
          <w:position w:val="1"/>
          <w:sz w:val="20"/>
          <w:szCs w:val="20"/>
        </w:rPr>
        <w:t>（4）住房公积金</w:t>
      </w:r>
    </w:p>
    <w:p>
      <w:pPr>
        <w:spacing w:before="120" w:line="369" w:lineRule="auto"/>
        <w:ind w:left="1" w:right="167" w:firstLine="425"/>
        <w:rPr>
          <w:rFonts w:ascii="宋体" w:hAnsi="宋体" w:eastAsia="宋体" w:cs="宋体"/>
          <w:sz w:val="20"/>
          <w:szCs w:val="20"/>
        </w:rPr>
      </w:pPr>
      <w:r>
        <w:rPr>
          <w:rFonts w:ascii="宋体" w:hAnsi="宋体" w:eastAsia="宋体" w:cs="宋体"/>
          <w:spacing w:val="11"/>
          <w:sz w:val="20"/>
          <w:szCs w:val="20"/>
        </w:rPr>
        <w:t>编制最高投标限价、投标报价、工程结算时按淄博市住房和城乡建设局</w:t>
      </w:r>
      <w:r>
        <w:rPr>
          <w:rFonts w:ascii="宋体" w:hAnsi="宋体" w:eastAsia="宋体" w:cs="宋体"/>
          <w:spacing w:val="10"/>
          <w:sz w:val="20"/>
          <w:szCs w:val="20"/>
        </w:rPr>
        <w:t>《关于发布淄博市建设工程规费计取标准的通知》（淄建发〔2022〕11号）文件规定执</w:t>
      </w:r>
      <w:r>
        <w:rPr>
          <w:rFonts w:ascii="宋体" w:hAnsi="宋体" w:eastAsia="宋体" w:cs="宋体"/>
          <w:spacing w:val="9"/>
          <w:sz w:val="20"/>
          <w:szCs w:val="20"/>
        </w:rPr>
        <w:t>行。</w:t>
      </w:r>
    </w:p>
    <w:p>
      <w:pPr>
        <w:spacing w:before="2" w:line="276" w:lineRule="exact"/>
        <w:ind w:left="423"/>
        <w:rPr>
          <w:rFonts w:ascii="宋体" w:hAnsi="宋体" w:eastAsia="宋体" w:cs="宋体"/>
          <w:sz w:val="20"/>
          <w:szCs w:val="20"/>
        </w:rPr>
      </w:pPr>
      <w:r>
        <w:rPr>
          <w:rFonts w:ascii="宋体" w:hAnsi="宋体" w:eastAsia="宋体" w:cs="宋体"/>
          <w:b/>
          <w:bCs/>
          <w:spacing w:val="3"/>
          <w:position w:val="1"/>
          <w:sz w:val="20"/>
          <w:szCs w:val="20"/>
        </w:rPr>
        <w:t>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关于计价依据的适用范围</w:t>
      </w:r>
    </w:p>
    <w:p>
      <w:pPr>
        <w:spacing w:before="123" w:line="368" w:lineRule="auto"/>
        <w:ind w:right="31" w:firstLine="420"/>
        <w:jc w:val="both"/>
        <w:rPr>
          <w:rFonts w:ascii="宋体" w:hAnsi="宋体" w:eastAsia="宋体" w:cs="宋体"/>
          <w:sz w:val="20"/>
          <w:szCs w:val="20"/>
        </w:rPr>
      </w:pPr>
      <w:r>
        <w:rPr>
          <w:rFonts w:ascii="宋体" w:hAnsi="宋体" w:eastAsia="宋体" w:cs="宋体"/>
          <w:spacing w:val="9"/>
          <w:sz w:val="20"/>
          <w:szCs w:val="20"/>
        </w:rPr>
        <w:t>本计价依据适用于我市行政区域内按照古建筑传统工艺和质量要求进行施工的古建筑修缮工程。</w:t>
      </w:r>
      <w:r>
        <w:rPr>
          <w:rFonts w:ascii="宋体" w:hAnsi="宋体" w:eastAsia="宋体" w:cs="宋体"/>
          <w:spacing w:val="11"/>
          <w:sz w:val="20"/>
          <w:szCs w:val="20"/>
        </w:rPr>
        <w:t>也适用于其他类似做法的古建筑和仿古建筑的修缮工程。此处的仿古建筑是指</w:t>
      </w:r>
      <w:r>
        <w:rPr>
          <w:rFonts w:ascii="宋体" w:hAnsi="宋体" w:eastAsia="宋体" w:cs="宋体"/>
          <w:spacing w:val="10"/>
          <w:sz w:val="20"/>
          <w:szCs w:val="20"/>
        </w:rPr>
        <w:t>利用现代建筑材料或</w:t>
      </w:r>
      <w:r>
        <w:rPr>
          <w:rFonts w:ascii="宋体" w:hAnsi="宋体" w:eastAsia="宋体" w:cs="宋体"/>
          <w:spacing w:val="11"/>
          <w:sz w:val="20"/>
          <w:szCs w:val="20"/>
        </w:rPr>
        <w:t>传统建筑材料对古建筑形式进行符合传统文化特征再建造的建筑物和构筑物。</w:t>
      </w:r>
      <w:r>
        <w:rPr>
          <w:rFonts w:ascii="宋体" w:hAnsi="宋体" w:eastAsia="宋体" w:cs="宋体"/>
          <w:spacing w:val="10"/>
          <w:sz w:val="20"/>
          <w:szCs w:val="20"/>
        </w:rPr>
        <w:t>不适用于新建、扩建</w:t>
      </w:r>
      <w:r>
        <w:rPr>
          <w:rFonts w:ascii="宋体" w:hAnsi="宋体" w:eastAsia="宋体" w:cs="宋体"/>
          <w:spacing w:val="11"/>
          <w:sz w:val="20"/>
          <w:szCs w:val="20"/>
        </w:rPr>
        <w:t>的仿古建筑工程。对于实际工程中所发生的某些采用现代工艺做法的修缮项目</w:t>
      </w:r>
      <w:r>
        <w:rPr>
          <w:rFonts w:ascii="宋体" w:hAnsi="宋体" w:eastAsia="宋体" w:cs="宋体"/>
          <w:spacing w:val="10"/>
          <w:sz w:val="20"/>
          <w:szCs w:val="20"/>
        </w:rPr>
        <w:t>，除另有规定外，均</w:t>
      </w:r>
      <w:r>
        <w:rPr>
          <w:rFonts w:ascii="宋体" w:hAnsi="宋体" w:eastAsia="宋体" w:cs="宋体"/>
          <w:spacing w:val="9"/>
          <w:sz w:val="20"/>
          <w:szCs w:val="20"/>
        </w:rPr>
        <w:t>执行《山东省房屋修缮工程消耗量定额》相应项目及相关规定。</w:t>
      </w:r>
    </w:p>
    <w:p>
      <w:pPr>
        <w:spacing w:before="1" w:line="232" w:lineRule="auto"/>
        <w:ind w:left="420"/>
        <w:rPr>
          <w:rFonts w:ascii="宋体" w:hAnsi="宋体" w:eastAsia="宋体" w:cs="宋体"/>
          <w:sz w:val="20"/>
          <w:szCs w:val="20"/>
        </w:rPr>
      </w:pPr>
      <w:r>
        <w:rPr>
          <w:rFonts w:ascii="宋体" w:hAnsi="宋体" w:eastAsia="宋体" w:cs="宋体"/>
          <w:spacing w:val="8"/>
          <w:sz w:val="20"/>
          <w:szCs w:val="20"/>
        </w:rPr>
        <w:t>对于古建筑修缮工程中发生的土方、消防、电气、给排水、采暖、建筑智能化等工程修缮项目，</w:t>
      </w:r>
    </w:p>
    <w:p>
      <w:pPr>
        <w:spacing w:line="232" w:lineRule="auto"/>
        <w:rPr>
          <w:rFonts w:ascii="宋体" w:hAnsi="宋体" w:eastAsia="宋体" w:cs="宋体"/>
          <w:sz w:val="20"/>
          <w:szCs w:val="20"/>
        </w:rPr>
        <w:sectPr>
          <w:footerReference r:id="rId202" w:type="default"/>
          <w:pgSz w:w="11906" w:h="16839"/>
          <w:pgMar w:top="400" w:right="1250"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3"/>
        <w:rPr>
          <w:rFonts w:ascii="宋体" w:hAnsi="宋体" w:eastAsia="宋体" w:cs="宋体"/>
          <w:sz w:val="20"/>
          <w:szCs w:val="20"/>
        </w:rPr>
      </w:pPr>
      <w:r>
        <w:rPr>
          <w:rFonts w:ascii="宋体" w:hAnsi="宋体" w:eastAsia="宋体" w:cs="宋体"/>
          <w:spacing w:val="9"/>
          <w:position w:val="1"/>
          <w:sz w:val="20"/>
          <w:szCs w:val="20"/>
        </w:rPr>
        <w:t>均执行《山东省房屋修缮工程消耗量定额》相应项目及相关规定。</w:t>
      </w:r>
    </w:p>
    <w:p>
      <w:pPr>
        <w:spacing w:before="123" w:line="276" w:lineRule="exact"/>
        <w:ind w:left="420"/>
        <w:rPr>
          <w:rFonts w:ascii="宋体" w:hAnsi="宋体" w:eastAsia="宋体" w:cs="宋体"/>
          <w:sz w:val="20"/>
          <w:szCs w:val="20"/>
        </w:rPr>
      </w:pPr>
      <w:bookmarkStart w:id="102" w:name="bookmark167"/>
      <w:bookmarkEnd w:id="102"/>
      <w:r>
        <w:rPr>
          <w:rFonts w:ascii="宋体" w:hAnsi="宋体" w:eastAsia="宋体" w:cs="宋体"/>
          <w:b/>
          <w:bCs/>
          <w:spacing w:val="4"/>
          <w:position w:val="1"/>
          <w:sz w:val="20"/>
          <w:szCs w:val="20"/>
        </w:rPr>
        <w:t>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关于工程建设人工材料价格风险控制</w:t>
      </w:r>
    </w:p>
    <w:p>
      <w:pPr>
        <w:spacing w:before="124" w:line="366" w:lineRule="auto"/>
        <w:ind w:left="1" w:right="65" w:firstLine="410"/>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47"/>
          <w:sz w:val="20"/>
          <w:szCs w:val="20"/>
        </w:rPr>
        <w:t xml:space="preserve"> </w:t>
      </w:r>
      <w:r>
        <w:rPr>
          <w:rFonts w:ascii="宋体" w:hAnsi="宋体" w:eastAsia="宋体" w:cs="宋体"/>
          <w:spacing w:val="6"/>
          <w:sz w:val="20"/>
          <w:szCs w:val="20"/>
        </w:rPr>
        <w:t>1）2019</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41"/>
          <w:sz w:val="20"/>
          <w:szCs w:val="20"/>
        </w:rPr>
        <w:t xml:space="preserve"> </w:t>
      </w:r>
      <w:r>
        <w:rPr>
          <w:rFonts w:ascii="宋体" w:hAnsi="宋体" w:eastAsia="宋体" w:cs="宋体"/>
          <w:spacing w:val="6"/>
          <w:sz w:val="20"/>
          <w:szCs w:val="20"/>
        </w:rPr>
        <w:t>9</w:t>
      </w:r>
      <w:r>
        <w:rPr>
          <w:rFonts w:ascii="宋体" w:hAnsi="宋体" w:eastAsia="宋体" w:cs="宋体"/>
          <w:spacing w:val="-41"/>
          <w:sz w:val="20"/>
          <w:szCs w:val="20"/>
        </w:rPr>
        <w:t xml:space="preserve"> </w:t>
      </w:r>
      <w:r>
        <w:rPr>
          <w:rFonts w:ascii="宋体" w:hAnsi="宋体" w:eastAsia="宋体" w:cs="宋体"/>
          <w:spacing w:val="6"/>
          <w:sz w:val="20"/>
          <w:szCs w:val="20"/>
        </w:rPr>
        <w:t>月</w:t>
      </w:r>
      <w:r>
        <w:rPr>
          <w:rFonts w:ascii="宋体" w:hAnsi="宋体" w:eastAsia="宋体" w:cs="宋体"/>
          <w:spacing w:val="-24"/>
          <w:sz w:val="20"/>
          <w:szCs w:val="20"/>
        </w:rPr>
        <w:t xml:space="preserve"> </w:t>
      </w:r>
      <w:r>
        <w:rPr>
          <w:rFonts w:ascii="宋体" w:hAnsi="宋体" w:eastAsia="宋体" w:cs="宋体"/>
          <w:spacing w:val="6"/>
          <w:sz w:val="20"/>
          <w:szCs w:val="20"/>
        </w:rPr>
        <w:t>16 日，山东省住房</w:t>
      </w:r>
      <w:r>
        <w:rPr>
          <w:rFonts w:ascii="宋体" w:hAnsi="宋体" w:eastAsia="宋体" w:cs="宋体"/>
          <w:spacing w:val="5"/>
          <w:sz w:val="20"/>
          <w:szCs w:val="20"/>
        </w:rPr>
        <w:t>和城乡建设厅出台《关于加强工程建设人工材料价格风险</w:t>
      </w:r>
      <w:r>
        <w:rPr>
          <w:rFonts w:ascii="宋体" w:hAnsi="宋体" w:eastAsia="宋体" w:cs="宋体"/>
          <w:spacing w:val="10"/>
          <w:sz w:val="20"/>
          <w:szCs w:val="20"/>
        </w:rPr>
        <w:t>控制的意见》（鲁建标字〔2019〕21号）。文件规定了人工价格变化时的合同价款调整：</w:t>
      </w:r>
    </w:p>
    <w:p>
      <w:pPr>
        <w:spacing w:before="8" w:line="224" w:lineRule="auto"/>
        <w:ind w:left="421"/>
        <w:rPr>
          <w:rFonts w:ascii="宋体" w:hAnsi="宋体" w:eastAsia="宋体" w:cs="宋体"/>
          <w:sz w:val="20"/>
          <w:szCs w:val="20"/>
        </w:rPr>
      </w:pPr>
      <w:r>
        <w:rPr>
          <w:rFonts w:ascii="宋体" w:hAnsi="宋体" w:eastAsia="宋体" w:cs="宋体"/>
          <w:spacing w:val="9"/>
          <w:sz w:val="20"/>
          <w:szCs w:val="20"/>
        </w:rPr>
        <w:t>一是合同对人工费调整有具体约定的，按照合同执行。</w:t>
      </w:r>
    </w:p>
    <w:p>
      <w:pPr>
        <w:spacing w:before="156" w:line="276" w:lineRule="exact"/>
        <w:jc w:val="right"/>
        <w:rPr>
          <w:rFonts w:ascii="宋体" w:hAnsi="宋体" w:eastAsia="宋体" w:cs="宋体"/>
          <w:sz w:val="20"/>
          <w:szCs w:val="20"/>
        </w:rPr>
      </w:pPr>
      <w:r>
        <w:rPr>
          <w:rFonts w:ascii="宋体" w:hAnsi="宋体" w:eastAsia="宋体" w:cs="宋体"/>
          <w:spacing w:val="7"/>
          <w:position w:val="1"/>
          <w:sz w:val="20"/>
          <w:szCs w:val="20"/>
        </w:rPr>
        <w:t>二是合同对人工费调整没有约定或约定不具体的，发承包双方按照以下原则协商调整工程造价：</w:t>
      </w:r>
    </w:p>
    <w:p>
      <w:pPr>
        <w:spacing w:before="123" w:line="345" w:lineRule="auto"/>
        <w:ind w:right="106" w:firstLine="420"/>
        <w:rPr>
          <w:rFonts w:ascii="宋体" w:hAnsi="宋体" w:eastAsia="宋体" w:cs="宋体"/>
          <w:sz w:val="20"/>
          <w:szCs w:val="20"/>
        </w:rPr>
      </w:pPr>
      <w:r>
        <w:rPr>
          <w:rFonts w:ascii="宋体" w:hAnsi="宋体" w:eastAsia="宋体" w:cs="宋体"/>
          <w:spacing w:val="10"/>
          <w:sz w:val="20"/>
          <w:szCs w:val="20"/>
        </w:rPr>
        <w:t>①设区市建设主管部门发布市定额人工市场指导单价的：市建设主管部门调增</w:t>
      </w:r>
      <w:r>
        <w:rPr>
          <w:rFonts w:ascii="宋体" w:hAnsi="宋体" w:eastAsia="宋体" w:cs="宋体"/>
          <w:spacing w:val="9"/>
          <w:sz w:val="20"/>
          <w:szCs w:val="20"/>
        </w:rPr>
        <w:t>市定额人工指导单价时，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自调整生效之日起完成的工程量，根据市定额人工指导</w:t>
      </w:r>
      <w:r>
        <w:rPr>
          <w:rFonts w:ascii="宋体" w:hAnsi="宋体" w:eastAsia="宋体" w:cs="宋体"/>
          <w:spacing w:val="8"/>
          <w:sz w:val="20"/>
          <w:szCs w:val="20"/>
        </w:rPr>
        <w:t>单价的调增幅度（百分比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8"/>
          <w:sz w:val="20"/>
          <w:szCs w:val="20"/>
        </w:rPr>
        <w:t>调增</w:t>
      </w:r>
      <w:r>
        <w:rPr>
          <w:rFonts w:ascii="宋体" w:hAnsi="宋体" w:eastAsia="宋体" w:cs="宋体"/>
          <w:spacing w:val="10"/>
          <w:sz w:val="20"/>
          <w:szCs w:val="20"/>
        </w:rPr>
        <w:t>工程价款的人工费，但合同约定的定额人工单价高于调增后的市定额人工指导单价的</w:t>
      </w:r>
      <w:r>
        <w:rPr>
          <w:rFonts w:ascii="宋体" w:hAnsi="宋体" w:eastAsia="宋体" w:cs="宋体"/>
          <w:spacing w:val="9"/>
          <w:sz w:val="20"/>
          <w:szCs w:val="20"/>
        </w:rPr>
        <w:t>除外；市建设主管部门调减市定额人工指导单价时，</w:t>
      </w:r>
      <w:r>
        <w:rPr>
          <w:rFonts w:ascii="宋体" w:hAnsi="宋体" w:eastAsia="宋体" w:cs="宋体"/>
          <w:spacing w:val="-59"/>
          <w:sz w:val="20"/>
          <w:szCs w:val="20"/>
        </w:rPr>
        <w:t xml:space="preserve"> </w:t>
      </w:r>
      <w:r>
        <w:rPr>
          <w:rFonts w:ascii="宋体" w:hAnsi="宋体" w:eastAsia="宋体" w:cs="宋体"/>
          <w:spacing w:val="9"/>
          <w:sz w:val="20"/>
          <w:szCs w:val="20"/>
        </w:rPr>
        <w:t>自调整生效之日起完成的工程量，根据市定额人工</w:t>
      </w:r>
      <w:r>
        <w:rPr>
          <w:rFonts w:ascii="宋体" w:hAnsi="宋体" w:eastAsia="宋体" w:cs="宋体"/>
          <w:spacing w:val="8"/>
          <w:sz w:val="20"/>
          <w:szCs w:val="20"/>
        </w:rPr>
        <w:t>指导单价</w:t>
      </w:r>
      <w:r>
        <w:rPr>
          <w:rFonts w:ascii="宋体" w:hAnsi="宋体" w:eastAsia="宋体" w:cs="宋体"/>
          <w:spacing w:val="10"/>
          <w:sz w:val="20"/>
          <w:szCs w:val="20"/>
        </w:rPr>
        <w:t>的调减幅度（百分比</w:t>
      </w:r>
      <w:r>
        <w:rPr>
          <w:rFonts w:ascii="宋体" w:hAnsi="宋体" w:eastAsia="宋体" w:cs="宋体"/>
          <w:spacing w:val="-11"/>
          <w:sz w:val="20"/>
          <w:szCs w:val="20"/>
        </w:rPr>
        <w:t>）</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调减工程价款的人工费，但合同约定的定额人工</w:t>
      </w:r>
      <w:r>
        <w:rPr>
          <w:rFonts w:ascii="宋体" w:hAnsi="宋体" w:eastAsia="宋体" w:cs="宋体"/>
          <w:spacing w:val="9"/>
          <w:sz w:val="20"/>
          <w:szCs w:val="20"/>
        </w:rPr>
        <w:t>单价低于调减后的市定额</w:t>
      </w:r>
      <w:r>
        <w:rPr>
          <w:rFonts w:ascii="宋体" w:hAnsi="宋体" w:eastAsia="宋体" w:cs="宋体"/>
          <w:spacing w:val="8"/>
          <w:sz w:val="20"/>
          <w:szCs w:val="20"/>
        </w:rPr>
        <w:t>人工指导单价的除外。</w:t>
      </w:r>
    </w:p>
    <w:p>
      <w:pPr>
        <w:spacing w:before="157" w:line="312" w:lineRule="auto"/>
        <w:ind w:left="1" w:right="62" w:firstLine="419"/>
        <w:rPr>
          <w:rFonts w:ascii="宋体" w:hAnsi="宋体" w:eastAsia="宋体" w:cs="宋体"/>
          <w:sz w:val="20"/>
          <w:szCs w:val="20"/>
        </w:rPr>
      </w:pPr>
      <w:r>
        <w:rPr>
          <w:rFonts w:ascii="宋体" w:hAnsi="宋体" w:eastAsia="宋体" w:cs="宋体"/>
          <w:spacing w:val="6"/>
          <w:sz w:val="20"/>
          <w:szCs w:val="20"/>
        </w:rPr>
        <w:t>②设区市建设主管部门未发布市定额人工市场指导单价的，根据省定额人工单价的</w:t>
      </w:r>
      <w:r>
        <w:rPr>
          <w:rFonts w:ascii="宋体" w:hAnsi="宋体" w:eastAsia="宋体" w:cs="宋体"/>
          <w:spacing w:val="5"/>
          <w:sz w:val="20"/>
          <w:szCs w:val="20"/>
        </w:rPr>
        <w:t>调整幅度（百</w:t>
      </w:r>
      <w:r>
        <w:rPr>
          <w:rFonts w:ascii="宋体" w:hAnsi="宋体" w:eastAsia="宋体" w:cs="宋体"/>
          <w:spacing w:val="8"/>
          <w:sz w:val="20"/>
          <w:szCs w:val="20"/>
        </w:rPr>
        <w:t>分比</w:t>
      </w:r>
      <w:r>
        <w:rPr>
          <w:rFonts w:ascii="宋体" w:hAnsi="宋体" w:eastAsia="宋体" w:cs="宋体"/>
          <w:spacing w:val="-4"/>
          <w:sz w:val="20"/>
          <w:szCs w:val="20"/>
        </w:rPr>
        <w:t>）</w:t>
      </w:r>
      <w:r>
        <w:rPr>
          <w:rFonts w:ascii="宋体" w:hAnsi="宋体" w:eastAsia="宋体" w:cs="宋体"/>
          <w:spacing w:val="-53"/>
          <w:sz w:val="20"/>
          <w:szCs w:val="20"/>
        </w:rPr>
        <w:t xml:space="preserve"> </w:t>
      </w:r>
      <w:r>
        <w:rPr>
          <w:rFonts w:ascii="宋体" w:hAnsi="宋体" w:eastAsia="宋体" w:cs="宋体"/>
          <w:spacing w:val="-4"/>
          <w:sz w:val="20"/>
          <w:szCs w:val="20"/>
        </w:rPr>
        <w:t>，</w:t>
      </w:r>
      <w:r>
        <w:rPr>
          <w:rFonts w:ascii="宋体" w:hAnsi="宋体" w:eastAsia="宋体" w:cs="宋体"/>
          <w:spacing w:val="8"/>
          <w:sz w:val="20"/>
          <w:szCs w:val="20"/>
        </w:rPr>
        <w:t>按照上条原则调整工程价款的人工费。</w:t>
      </w:r>
    </w:p>
    <w:p>
      <w:pPr>
        <w:spacing w:before="127" w:line="368" w:lineRule="auto"/>
        <w:ind w:left="1" w:right="106" w:firstLine="423"/>
        <w:rPr>
          <w:rFonts w:ascii="宋体" w:hAnsi="宋体" w:eastAsia="宋体" w:cs="宋体"/>
          <w:sz w:val="20"/>
          <w:szCs w:val="20"/>
        </w:rPr>
      </w:pPr>
      <w:r>
        <w:rPr>
          <w:rFonts w:ascii="宋体" w:hAnsi="宋体" w:eastAsia="宋体" w:cs="宋体"/>
          <w:spacing w:val="9"/>
          <w:sz w:val="20"/>
          <w:szCs w:val="20"/>
        </w:rPr>
        <w:t>三是省建设主管部门调整省定额人工单价时，</w:t>
      </w:r>
      <w:r>
        <w:rPr>
          <w:rFonts w:ascii="宋体" w:hAnsi="宋体" w:eastAsia="宋体" w:cs="宋体"/>
          <w:spacing w:val="-57"/>
          <w:sz w:val="20"/>
          <w:szCs w:val="20"/>
        </w:rPr>
        <w:t xml:space="preserve"> </w:t>
      </w:r>
      <w:r>
        <w:rPr>
          <w:rFonts w:ascii="宋体" w:hAnsi="宋体" w:eastAsia="宋体" w:cs="宋体"/>
          <w:spacing w:val="9"/>
          <w:sz w:val="20"/>
          <w:szCs w:val="20"/>
        </w:rPr>
        <w:t>自调整生效之日起</w:t>
      </w:r>
      <w:r>
        <w:rPr>
          <w:rFonts w:ascii="宋体" w:hAnsi="宋体" w:eastAsia="宋体" w:cs="宋体"/>
          <w:spacing w:val="8"/>
          <w:sz w:val="20"/>
          <w:szCs w:val="20"/>
        </w:rPr>
        <w:t>完成的工程量，各项以省价人</w:t>
      </w:r>
      <w:r>
        <w:rPr>
          <w:rFonts w:ascii="宋体" w:hAnsi="宋体" w:eastAsia="宋体" w:cs="宋体"/>
          <w:spacing w:val="9"/>
          <w:sz w:val="20"/>
          <w:szCs w:val="20"/>
        </w:rPr>
        <w:t>工费（或省价人机费）为基础计取的费用同时进行调整。</w:t>
      </w:r>
    </w:p>
    <w:p>
      <w:pPr>
        <w:spacing w:line="276" w:lineRule="exact"/>
        <w:ind w:left="423"/>
        <w:rPr>
          <w:rFonts w:ascii="宋体" w:hAnsi="宋体" w:eastAsia="宋体" w:cs="宋体"/>
          <w:sz w:val="20"/>
          <w:szCs w:val="20"/>
        </w:rPr>
      </w:pPr>
      <w:r>
        <w:rPr>
          <w:rFonts w:ascii="宋体" w:hAnsi="宋体" w:eastAsia="宋体" w:cs="宋体"/>
          <w:spacing w:val="9"/>
          <w:position w:val="1"/>
          <w:sz w:val="20"/>
          <w:szCs w:val="20"/>
        </w:rPr>
        <w:t>文件还规定了材料价格变化时的合同价款调整：</w:t>
      </w:r>
    </w:p>
    <w:p>
      <w:pPr>
        <w:spacing w:before="125" w:line="276" w:lineRule="exact"/>
        <w:ind w:left="421"/>
        <w:rPr>
          <w:rFonts w:ascii="宋体" w:hAnsi="宋体" w:eastAsia="宋体" w:cs="宋体"/>
          <w:sz w:val="20"/>
          <w:szCs w:val="20"/>
        </w:rPr>
      </w:pPr>
      <w:r>
        <w:rPr>
          <w:rFonts w:ascii="宋体" w:hAnsi="宋体" w:eastAsia="宋体" w:cs="宋体"/>
          <w:spacing w:val="9"/>
          <w:position w:val="1"/>
          <w:sz w:val="20"/>
          <w:szCs w:val="20"/>
        </w:rPr>
        <w:t>一是合同对材料价格风险范围和调整办法有具体约定的，按照合同执行。</w:t>
      </w:r>
    </w:p>
    <w:p>
      <w:pPr>
        <w:spacing w:before="123" w:line="368" w:lineRule="auto"/>
        <w:ind w:right="106" w:firstLine="420"/>
        <w:rPr>
          <w:rFonts w:ascii="宋体" w:hAnsi="宋体" w:eastAsia="宋体" w:cs="宋体"/>
          <w:sz w:val="20"/>
          <w:szCs w:val="20"/>
        </w:rPr>
      </w:pPr>
      <w:r>
        <w:rPr>
          <w:rFonts w:ascii="宋体" w:hAnsi="宋体" w:eastAsia="宋体" w:cs="宋体"/>
          <w:spacing w:val="10"/>
          <w:sz w:val="20"/>
          <w:szCs w:val="20"/>
        </w:rPr>
        <w:t>二是合同未对材料价格风险进行约定或约定不具体的，发承包双方按照以下</w:t>
      </w:r>
      <w:r>
        <w:rPr>
          <w:rFonts w:ascii="宋体" w:hAnsi="宋体" w:eastAsia="宋体" w:cs="宋体"/>
          <w:spacing w:val="9"/>
          <w:sz w:val="20"/>
          <w:szCs w:val="20"/>
        </w:rPr>
        <w:t>原则协商调整工程</w:t>
      </w:r>
      <w:r>
        <w:rPr>
          <w:rFonts w:ascii="宋体" w:hAnsi="宋体" w:eastAsia="宋体" w:cs="宋体"/>
          <w:spacing w:val="4"/>
          <w:sz w:val="20"/>
          <w:szCs w:val="20"/>
        </w:rPr>
        <w:t>造价：</w:t>
      </w:r>
    </w:p>
    <w:p>
      <w:pPr>
        <w:spacing w:before="3" w:line="312" w:lineRule="auto"/>
        <w:ind w:left="4" w:right="106" w:firstLine="416"/>
        <w:rPr>
          <w:rFonts w:ascii="宋体" w:hAnsi="宋体" w:eastAsia="宋体" w:cs="宋体"/>
          <w:sz w:val="20"/>
          <w:szCs w:val="20"/>
        </w:rPr>
      </w:pPr>
      <w:r>
        <w:rPr>
          <w:rFonts w:ascii="宋体" w:hAnsi="宋体" w:eastAsia="宋体" w:cs="宋体"/>
          <w:spacing w:val="10"/>
          <w:sz w:val="20"/>
          <w:szCs w:val="20"/>
        </w:rPr>
        <w:t>①调整的范围限定于主要材料。主要材料是指用量较大、占工程造价比例较高</w:t>
      </w:r>
      <w:r>
        <w:rPr>
          <w:rFonts w:ascii="宋体" w:hAnsi="宋体" w:eastAsia="宋体" w:cs="宋体"/>
          <w:spacing w:val="9"/>
          <w:sz w:val="20"/>
          <w:szCs w:val="20"/>
        </w:rPr>
        <w:t>的材料，包括的</w:t>
      </w:r>
      <w:r>
        <w:rPr>
          <w:rFonts w:ascii="宋体" w:hAnsi="宋体" w:eastAsia="宋体" w:cs="宋体"/>
          <w:spacing w:val="10"/>
          <w:sz w:val="20"/>
          <w:szCs w:val="20"/>
        </w:rPr>
        <w:t>范围以合同约定为准。当合同未对主要材料</w:t>
      </w:r>
      <w:r>
        <w:rPr>
          <w:rFonts w:ascii="宋体" w:hAnsi="宋体" w:eastAsia="宋体" w:cs="宋体"/>
          <w:spacing w:val="9"/>
          <w:sz w:val="20"/>
          <w:szCs w:val="20"/>
        </w:rPr>
        <w:t>范围进行明确约定时，则一般应包括如下内容：</w:t>
      </w:r>
    </w:p>
    <w:p>
      <w:pPr>
        <w:spacing w:before="125" w:line="331" w:lineRule="auto"/>
        <w:ind w:right="106" w:firstLine="420"/>
        <w:rPr>
          <w:rFonts w:ascii="宋体" w:hAnsi="宋体" w:eastAsia="宋体" w:cs="宋体"/>
          <w:sz w:val="20"/>
          <w:szCs w:val="20"/>
        </w:rPr>
      </w:pPr>
      <w:r>
        <w:rPr>
          <w:rFonts w:ascii="宋体" w:hAnsi="宋体" w:eastAsia="宋体" w:cs="宋体"/>
          <w:spacing w:val="10"/>
          <w:sz w:val="20"/>
          <w:szCs w:val="20"/>
        </w:rPr>
        <w:t>②金属材料、木材、水泥、混凝土、沥青混凝土、预制构件、砂浆、砖、瓦、</w:t>
      </w:r>
      <w:r>
        <w:rPr>
          <w:rFonts w:ascii="宋体" w:hAnsi="宋体" w:eastAsia="宋体" w:cs="宋体"/>
          <w:spacing w:val="9"/>
          <w:sz w:val="20"/>
          <w:szCs w:val="20"/>
        </w:rPr>
        <w:t>砂子、碎石、石</w:t>
      </w:r>
      <w:r>
        <w:rPr>
          <w:rFonts w:ascii="宋体" w:hAnsi="宋体" w:eastAsia="宋体" w:cs="宋体"/>
          <w:spacing w:val="10"/>
          <w:sz w:val="20"/>
          <w:szCs w:val="20"/>
        </w:rPr>
        <w:t>灰、石材、防水材料、防腐材料、玻璃、保温材料、门窗、面砖、管材、管件、阀</w:t>
      </w:r>
      <w:r>
        <w:rPr>
          <w:rFonts w:ascii="宋体" w:hAnsi="宋体" w:eastAsia="宋体" w:cs="宋体"/>
          <w:spacing w:val="9"/>
          <w:sz w:val="20"/>
          <w:szCs w:val="20"/>
        </w:rPr>
        <w:t>门、电线电缆、灯具、卫生洁具、散热器、苗木、花卉等。</w:t>
      </w:r>
    </w:p>
    <w:p>
      <w:pPr>
        <w:spacing w:before="123" w:line="275" w:lineRule="exact"/>
        <w:ind w:left="420"/>
        <w:rPr>
          <w:rFonts w:ascii="宋体" w:hAnsi="宋体" w:eastAsia="宋体" w:cs="宋体"/>
          <w:sz w:val="20"/>
          <w:szCs w:val="20"/>
        </w:rPr>
      </w:pPr>
      <w:r>
        <w:rPr>
          <w:rFonts w:ascii="宋体" w:hAnsi="宋体" w:eastAsia="宋体" w:cs="宋体"/>
          <w:spacing w:val="10"/>
          <w:position w:val="1"/>
          <w:sz w:val="20"/>
          <w:szCs w:val="20"/>
        </w:rPr>
        <w:t>③合同价中单种材料合价占单位工程造价比例在</w:t>
      </w:r>
      <w:r>
        <w:rPr>
          <w:rFonts w:ascii="宋体" w:hAnsi="宋体" w:eastAsia="宋体" w:cs="宋体"/>
          <w:spacing w:val="-6"/>
          <w:position w:val="1"/>
          <w:sz w:val="20"/>
          <w:szCs w:val="20"/>
        </w:rPr>
        <w:t xml:space="preserve"> </w:t>
      </w:r>
      <w:r>
        <w:rPr>
          <w:rFonts w:ascii="宋体" w:hAnsi="宋体" w:eastAsia="宋体" w:cs="宋体"/>
          <w:spacing w:val="10"/>
          <w:position w:val="1"/>
          <w:sz w:val="20"/>
          <w:szCs w:val="20"/>
        </w:rPr>
        <w:t>1%及以上的材料。</w:t>
      </w:r>
    </w:p>
    <w:p>
      <w:pPr>
        <w:spacing w:before="126" w:line="275" w:lineRule="exact"/>
        <w:ind w:left="420"/>
        <w:rPr>
          <w:rFonts w:ascii="宋体" w:hAnsi="宋体" w:eastAsia="宋体" w:cs="宋体"/>
          <w:sz w:val="20"/>
          <w:szCs w:val="20"/>
        </w:rPr>
      </w:pPr>
      <w:r>
        <w:rPr>
          <w:rFonts w:ascii="宋体" w:hAnsi="宋体" w:eastAsia="宋体" w:cs="宋体"/>
          <w:spacing w:val="9"/>
          <w:position w:val="1"/>
          <w:sz w:val="20"/>
          <w:szCs w:val="20"/>
        </w:rPr>
        <w:t>④设区市工程造价管理机构规定的其他主要材料种类。</w:t>
      </w:r>
    </w:p>
    <w:p>
      <w:pPr>
        <w:spacing w:before="124" w:line="368" w:lineRule="auto"/>
        <w:ind w:left="3" w:right="125" w:firstLine="420"/>
        <w:rPr>
          <w:rFonts w:ascii="宋体" w:hAnsi="宋体" w:eastAsia="宋体" w:cs="宋体"/>
          <w:sz w:val="20"/>
          <w:szCs w:val="20"/>
        </w:rPr>
      </w:pPr>
      <w:r>
        <w:rPr>
          <w:rFonts w:ascii="宋体" w:hAnsi="宋体" w:eastAsia="宋体" w:cs="宋体"/>
          <w:spacing w:val="11"/>
          <w:sz w:val="20"/>
          <w:szCs w:val="20"/>
        </w:rPr>
        <w:t>三是主要材料价格发生波动时，波动幅度在</w:t>
      </w:r>
      <w:r>
        <w:rPr>
          <w:rFonts w:ascii="宋体" w:hAnsi="宋体" w:eastAsia="宋体" w:cs="宋体"/>
          <w:spacing w:val="-43"/>
          <w:sz w:val="20"/>
          <w:szCs w:val="20"/>
        </w:rPr>
        <w:t xml:space="preserve"> </w:t>
      </w:r>
      <w:r>
        <w:rPr>
          <w:rFonts w:ascii="宋体" w:hAnsi="宋体" w:eastAsia="宋体" w:cs="宋体"/>
          <w:spacing w:val="11"/>
          <w:sz w:val="20"/>
          <w:szCs w:val="20"/>
        </w:rPr>
        <w:t>±5%以内（含</w:t>
      </w:r>
      <w:r>
        <w:rPr>
          <w:rFonts w:ascii="宋体" w:hAnsi="宋体" w:eastAsia="宋体" w:cs="宋体"/>
          <w:spacing w:val="-39"/>
          <w:sz w:val="20"/>
          <w:szCs w:val="20"/>
        </w:rPr>
        <w:t xml:space="preserve"> </w:t>
      </w:r>
      <w:r>
        <w:rPr>
          <w:rFonts w:ascii="宋体" w:hAnsi="宋体" w:eastAsia="宋体" w:cs="宋体"/>
          <w:spacing w:val="11"/>
          <w:sz w:val="20"/>
          <w:szCs w:val="20"/>
        </w:rPr>
        <w:t>5%）的，材料价差不进行调整；波</w:t>
      </w:r>
      <w:r>
        <w:rPr>
          <w:rFonts w:ascii="宋体" w:hAnsi="宋体" w:eastAsia="宋体" w:cs="宋体"/>
          <w:spacing w:val="9"/>
          <w:sz w:val="20"/>
          <w:szCs w:val="20"/>
        </w:rPr>
        <w:t>动幅度超出</w:t>
      </w:r>
      <w:r>
        <w:rPr>
          <w:rFonts w:ascii="宋体" w:hAnsi="宋体" w:eastAsia="宋体" w:cs="宋体"/>
          <w:spacing w:val="-40"/>
          <w:sz w:val="20"/>
          <w:szCs w:val="20"/>
        </w:rPr>
        <w:t xml:space="preserve"> </w:t>
      </w:r>
      <w:r>
        <w:rPr>
          <w:rFonts w:ascii="宋体" w:hAnsi="宋体" w:eastAsia="宋体" w:cs="宋体"/>
          <w:spacing w:val="9"/>
          <w:sz w:val="20"/>
          <w:szCs w:val="20"/>
        </w:rPr>
        <w:t>±5%的，按照超出部分调整材料价差。</w:t>
      </w:r>
    </w:p>
    <w:p>
      <w:pPr>
        <w:spacing w:before="2" w:line="368" w:lineRule="auto"/>
        <w:ind w:left="2" w:right="62" w:firstLine="440"/>
        <w:jc w:val="both"/>
        <w:rPr>
          <w:rFonts w:ascii="宋体" w:hAnsi="宋体" w:eastAsia="宋体" w:cs="宋体"/>
          <w:sz w:val="20"/>
          <w:szCs w:val="20"/>
        </w:rPr>
      </w:pPr>
      <w:r>
        <w:rPr>
          <w:rFonts w:ascii="宋体" w:hAnsi="宋体" w:eastAsia="宋体" w:cs="宋体"/>
          <w:spacing w:val="4"/>
          <w:sz w:val="20"/>
          <w:szCs w:val="20"/>
        </w:rPr>
        <w:t>四是材料价差的调整办法参照《建设工程工程量清单计价规范》（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4"/>
          <w:sz w:val="20"/>
          <w:szCs w:val="20"/>
        </w:rPr>
        <w:t>50500-2013）</w:t>
      </w:r>
      <w:r>
        <w:rPr>
          <w:rFonts w:ascii="宋体" w:hAnsi="宋体" w:eastAsia="宋体" w:cs="宋体"/>
          <w:spacing w:val="3"/>
          <w:sz w:val="20"/>
          <w:szCs w:val="20"/>
        </w:rPr>
        <w:t>附录“A.2 造</w:t>
      </w:r>
      <w:r>
        <w:rPr>
          <w:rFonts w:ascii="宋体" w:hAnsi="宋体" w:eastAsia="宋体" w:cs="宋体"/>
          <w:spacing w:val="5"/>
          <w:sz w:val="20"/>
          <w:szCs w:val="20"/>
        </w:rPr>
        <w:t>价信息调整价格差额”和《建设工程施工合同（示范文本）》（</w:t>
      </w:r>
      <w:r>
        <w:rPr>
          <w:rFonts w:ascii="宋体" w:hAnsi="宋体" w:eastAsia="宋体" w:cs="宋体"/>
          <w:sz w:val="20"/>
          <w:szCs w:val="20"/>
        </w:rPr>
        <w:t>GF</w:t>
      </w:r>
      <w:r>
        <w:rPr>
          <w:rFonts w:ascii="宋体" w:hAnsi="宋体" w:eastAsia="宋体" w:cs="宋体"/>
          <w:spacing w:val="5"/>
          <w:sz w:val="20"/>
          <w:szCs w:val="20"/>
        </w:rPr>
        <w:t>-2017-0201）通用合同条款“11.1</w:t>
      </w:r>
      <w:r>
        <w:rPr>
          <w:rFonts w:ascii="宋体" w:hAnsi="宋体" w:eastAsia="宋体" w:cs="宋体"/>
          <w:spacing w:val="9"/>
          <w:sz w:val="20"/>
          <w:szCs w:val="20"/>
        </w:rPr>
        <w:t>市场价格波动引起的调整”中“第</w:t>
      </w:r>
      <w:r>
        <w:rPr>
          <w:rFonts w:ascii="宋体" w:hAnsi="宋体" w:eastAsia="宋体" w:cs="宋体"/>
          <w:spacing w:val="-36"/>
          <w:sz w:val="20"/>
          <w:szCs w:val="20"/>
        </w:rPr>
        <w:t xml:space="preserve"> </w:t>
      </w:r>
      <w:r>
        <w:rPr>
          <w:rFonts w:ascii="宋体" w:hAnsi="宋体" w:eastAsia="宋体" w:cs="宋体"/>
          <w:spacing w:val="9"/>
          <w:sz w:val="20"/>
          <w:szCs w:val="20"/>
        </w:rPr>
        <w:t>2</w:t>
      </w:r>
      <w:r>
        <w:rPr>
          <w:rFonts w:ascii="宋体" w:hAnsi="宋体" w:eastAsia="宋体" w:cs="宋体"/>
          <w:spacing w:val="-42"/>
          <w:sz w:val="20"/>
          <w:szCs w:val="20"/>
        </w:rPr>
        <w:t xml:space="preserve"> </w:t>
      </w:r>
      <w:r>
        <w:rPr>
          <w:rFonts w:ascii="宋体" w:hAnsi="宋体" w:eastAsia="宋体" w:cs="宋体"/>
          <w:spacing w:val="9"/>
          <w:sz w:val="20"/>
          <w:szCs w:val="20"/>
        </w:rPr>
        <w:t>种方式：采用造价信息进行价格调整”的有关规定进行。</w:t>
      </w:r>
    </w:p>
    <w:p>
      <w:pPr>
        <w:spacing w:before="5" w:line="277" w:lineRule="exact"/>
        <w:ind w:left="422"/>
        <w:rPr>
          <w:rFonts w:ascii="宋体" w:hAnsi="宋体" w:eastAsia="宋体" w:cs="宋体"/>
          <w:sz w:val="20"/>
          <w:szCs w:val="20"/>
        </w:rPr>
      </w:pPr>
      <w:r>
        <w:rPr>
          <w:rFonts w:ascii="宋体" w:hAnsi="宋体" w:eastAsia="宋体" w:cs="宋体"/>
          <w:spacing w:val="9"/>
          <w:position w:val="1"/>
          <w:sz w:val="20"/>
          <w:szCs w:val="20"/>
        </w:rPr>
        <w:t>材料价格涨跌幅度等具体计算方法由设区市工程造价管理机构确定。</w:t>
      </w:r>
    </w:p>
    <w:p>
      <w:pPr>
        <w:spacing w:before="122" w:line="369" w:lineRule="auto"/>
        <w:ind w:left="12" w:right="62" w:firstLine="400"/>
        <w:rPr>
          <w:rFonts w:ascii="宋体" w:hAnsi="宋体" w:eastAsia="宋体" w:cs="宋体"/>
          <w:sz w:val="20"/>
          <w:szCs w:val="20"/>
        </w:rPr>
      </w:pPr>
      <w:r>
        <w:rPr>
          <w:rFonts w:ascii="宋体" w:hAnsi="宋体" w:eastAsia="宋体" w:cs="宋体"/>
          <w:spacing w:val="10"/>
          <w:sz w:val="20"/>
          <w:szCs w:val="20"/>
        </w:rPr>
        <w:t>（2）2021年</w:t>
      </w:r>
      <w:r>
        <w:rPr>
          <w:rFonts w:ascii="宋体" w:hAnsi="宋体" w:eastAsia="宋体" w:cs="宋体"/>
          <w:spacing w:val="-41"/>
          <w:sz w:val="20"/>
          <w:szCs w:val="20"/>
        </w:rPr>
        <w:t xml:space="preserve"> </w:t>
      </w:r>
      <w:r>
        <w:rPr>
          <w:rFonts w:ascii="宋体" w:hAnsi="宋体" w:eastAsia="宋体" w:cs="宋体"/>
          <w:spacing w:val="10"/>
          <w:sz w:val="20"/>
          <w:szCs w:val="20"/>
        </w:rPr>
        <w:t>6</w:t>
      </w:r>
      <w:r>
        <w:rPr>
          <w:rFonts w:ascii="宋体" w:hAnsi="宋体" w:eastAsia="宋体" w:cs="宋体"/>
          <w:spacing w:val="-38"/>
          <w:sz w:val="20"/>
          <w:szCs w:val="20"/>
        </w:rPr>
        <w:t xml:space="preserve"> </w:t>
      </w:r>
      <w:r>
        <w:rPr>
          <w:rFonts w:ascii="宋体" w:hAnsi="宋体" w:eastAsia="宋体" w:cs="宋体"/>
          <w:spacing w:val="10"/>
          <w:sz w:val="20"/>
          <w:szCs w:val="20"/>
        </w:rPr>
        <w:t>月9 日，淄博市住房和城乡建设局出台《关于进一步加强</w:t>
      </w:r>
      <w:r>
        <w:rPr>
          <w:rFonts w:ascii="宋体" w:hAnsi="宋体" w:eastAsia="宋体" w:cs="宋体"/>
          <w:spacing w:val="9"/>
          <w:sz w:val="20"/>
          <w:szCs w:val="20"/>
        </w:rPr>
        <w:t>建设工程材料价格风险控制的通知》（淄建发〔2021〕97</w:t>
      </w:r>
      <w:r>
        <w:rPr>
          <w:rFonts w:ascii="宋体" w:hAnsi="宋体" w:eastAsia="宋体" w:cs="宋体"/>
          <w:spacing w:val="-40"/>
          <w:sz w:val="20"/>
          <w:szCs w:val="20"/>
        </w:rPr>
        <w:t xml:space="preserve"> </w:t>
      </w:r>
      <w:r>
        <w:rPr>
          <w:rFonts w:ascii="宋体" w:hAnsi="宋体" w:eastAsia="宋体" w:cs="宋体"/>
          <w:spacing w:val="9"/>
          <w:sz w:val="20"/>
          <w:szCs w:val="20"/>
        </w:rPr>
        <w:t>号）。文件规定：</w:t>
      </w:r>
      <w:r>
        <w:rPr>
          <w:rFonts w:ascii="宋体" w:hAnsi="宋体" w:eastAsia="宋体" w:cs="宋体"/>
          <w:spacing w:val="8"/>
          <w:sz w:val="20"/>
          <w:szCs w:val="20"/>
        </w:rPr>
        <w:t>发承包双方已签定施工合同的，若主要建筑</w:t>
      </w:r>
    </w:p>
    <w:p>
      <w:pPr>
        <w:spacing w:line="369" w:lineRule="auto"/>
        <w:rPr>
          <w:rFonts w:ascii="宋体" w:hAnsi="宋体" w:eastAsia="宋体" w:cs="宋体"/>
          <w:sz w:val="20"/>
          <w:szCs w:val="20"/>
        </w:rPr>
        <w:sectPr>
          <w:footerReference r:id="rId203" w:type="default"/>
          <w:pgSz w:w="11906" w:h="16839"/>
          <w:pgMar w:top="400" w:right="1355" w:bottom="1212" w:left="1419" w:header="0" w:footer="897" w:gutter="0"/>
        </w:sect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before="65" w:line="361" w:lineRule="auto"/>
        <w:ind w:right="2" w:firstLine="10"/>
        <w:jc w:val="both"/>
        <w:rPr>
          <w:rFonts w:ascii="宋体" w:hAnsi="宋体" w:eastAsia="宋体" w:cs="宋体"/>
          <w:sz w:val="20"/>
          <w:szCs w:val="20"/>
        </w:rPr>
      </w:pPr>
      <w:r>
        <w:rPr>
          <w:rFonts w:ascii="宋体" w:hAnsi="宋体" w:eastAsia="宋体" w:cs="宋体"/>
          <w:spacing w:val="10"/>
          <w:sz w:val="20"/>
          <w:szCs w:val="20"/>
        </w:rPr>
        <w:t>材料为可调价格，按合同约定执行；若合同中未对主要建筑材料价格风险幅度及</w:t>
      </w:r>
      <w:r>
        <w:rPr>
          <w:rFonts w:ascii="宋体" w:hAnsi="宋体" w:eastAsia="宋体" w:cs="宋体"/>
          <w:spacing w:val="9"/>
          <w:sz w:val="20"/>
          <w:szCs w:val="20"/>
        </w:rPr>
        <w:t>调整办法进行约定</w:t>
      </w:r>
      <w:r>
        <w:rPr>
          <w:rFonts w:ascii="宋体" w:hAnsi="宋体" w:eastAsia="宋体" w:cs="宋体"/>
          <w:spacing w:val="11"/>
          <w:sz w:val="20"/>
          <w:szCs w:val="20"/>
        </w:rPr>
        <w:t>或者约定不明确、不合理的,发承包双方要协商签订补充协议。对于主要材料价格波动幅度超出5%</w:t>
      </w:r>
      <w:r>
        <w:rPr>
          <w:rFonts w:ascii="宋体" w:hAnsi="宋体" w:eastAsia="宋体" w:cs="宋体"/>
          <w:spacing w:val="10"/>
          <w:sz w:val="20"/>
          <w:szCs w:val="20"/>
        </w:rPr>
        <w:t xml:space="preserve"> </w:t>
      </w:r>
      <w:r>
        <w:rPr>
          <w:rFonts w:ascii="宋体" w:hAnsi="宋体" w:eastAsia="宋体" w:cs="宋体"/>
          <w:spacing w:val="9"/>
          <w:sz w:val="20"/>
          <w:szCs w:val="20"/>
        </w:rPr>
        <w:t>（含）的，材料价格风险由建设单位承担,按照</w:t>
      </w:r>
      <w:r>
        <w:rPr>
          <w:rFonts w:ascii="宋体" w:hAnsi="宋体" w:eastAsia="宋体" w:cs="宋体"/>
          <w:spacing w:val="8"/>
          <w:sz w:val="20"/>
          <w:szCs w:val="20"/>
        </w:rPr>
        <w:t>超出部分调整材料价差。若建设单位不承担该费用致</w:t>
      </w:r>
      <w:r>
        <w:rPr>
          <w:rFonts w:ascii="宋体" w:hAnsi="宋体" w:eastAsia="宋体" w:cs="宋体"/>
          <w:spacing w:val="10"/>
          <w:sz w:val="20"/>
          <w:szCs w:val="20"/>
        </w:rPr>
        <w:t>使工程停工的，工期应予以顺延，停工期间发生的人工、周转性材料及机械等费用发承包双方应合</w:t>
      </w:r>
      <w:r>
        <w:rPr>
          <w:rFonts w:ascii="宋体" w:hAnsi="宋体" w:eastAsia="宋体" w:cs="宋体"/>
          <w:spacing w:val="8"/>
          <w:sz w:val="20"/>
          <w:szCs w:val="20"/>
        </w:rPr>
        <w:t>理分担。</w:t>
      </w:r>
    </w:p>
    <w:p>
      <w:pPr>
        <w:spacing w:before="47" w:line="278" w:lineRule="exact"/>
        <w:ind w:left="495"/>
        <w:rPr>
          <w:rFonts w:ascii="宋体" w:hAnsi="宋体" w:eastAsia="宋体" w:cs="宋体"/>
          <w:sz w:val="20"/>
          <w:szCs w:val="20"/>
        </w:rPr>
      </w:pPr>
      <w:r>
        <w:rPr>
          <w:rFonts w:ascii="宋体" w:hAnsi="宋体" w:eastAsia="宋体" w:cs="宋体"/>
          <w:b/>
          <w:bCs/>
          <w:position w:val="1"/>
          <w:sz w:val="20"/>
          <w:szCs w:val="20"/>
        </w:rPr>
        <w:t>8.</w:t>
      </w:r>
      <w:r>
        <w:rPr>
          <w:rFonts w:ascii="宋体" w:hAnsi="宋体" w:eastAsia="宋体" w:cs="宋体"/>
          <w:position w:val="1"/>
          <w:sz w:val="20"/>
          <w:szCs w:val="20"/>
        </w:rPr>
        <w:t xml:space="preserve"> </w:t>
      </w:r>
      <w:r>
        <w:rPr>
          <w:rFonts w:ascii="宋体" w:hAnsi="宋体" w:eastAsia="宋体" w:cs="宋体"/>
          <w:b/>
          <w:bCs/>
          <w:position w:val="1"/>
          <w:sz w:val="20"/>
          <w:szCs w:val="20"/>
        </w:rPr>
        <w:t>关于检验试验费</w:t>
      </w:r>
    </w:p>
    <w:p>
      <w:pPr>
        <w:spacing w:before="121" w:line="369" w:lineRule="auto"/>
        <w:ind w:left="9" w:right="2" w:firstLine="418"/>
        <w:jc w:val="both"/>
        <w:rPr>
          <w:rFonts w:ascii="宋体" w:hAnsi="宋体" w:eastAsia="宋体" w:cs="宋体"/>
          <w:sz w:val="20"/>
          <w:szCs w:val="20"/>
        </w:rPr>
      </w:pPr>
      <w:r>
        <w:rPr>
          <w:rFonts w:ascii="宋体" w:hAnsi="宋体" w:eastAsia="宋体" w:cs="宋体"/>
          <w:spacing w:val="10"/>
          <w:sz w:val="20"/>
          <w:szCs w:val="20"/>
        </w:rPr>
        <w:t>按照《山东省古建筑修缮工程费用项目组成及计算规则》</w:t>
      </w:r>
      <w:r>
        <w:rPr>
          <w:rFonts w:ascii="宋体" w:hAnsi="宋体" w:eastAsia="宋体" w:cs="宋体"/>
          <w:spacing w:val="-54"/>
          <w:sz w:val="20"/>
          <w:szCs w:val="20"/>
        </w:rPr>
        <w:t xml:space="preserve"> </w:t>
      </w:r>
      <w:r>
        <w:rPr>
          <w:rFonts w:ascii="宋体" w:hAnsi="宋体" w:eastAsia="宋体" w:cs="宋体"/>
          <w:spacing w:val="10"/>
          <w:sz w:val="20"/>
          <w:szCs w:val="20"/>
        </w:rPr>
        <w:t>，检验试</w:t>
      </w:r>
      <w:r>
        <w:rPr>
          <w:rFonts w:ascii="宋体" w:hAnsi="宋体" w:eastAsia="宋体" w:cs="宋体"/>
          <w:spacing w:val="9"/>
          <w:sz w:val="20"/>
          <w:szCs w:val="20"/>
        </w:rPr>
        <w:t>验费已列入企业管理费中，</w:t>
      </w:r>
      <w:r>
        <w:rPr>
          <w:rFonts w:ascii="宋体" w:hAnsi="宋体" w:eastAsia="宋体" w:cs="宋体"/>
          <w:spacing w:val="11"/>
          <w:sz w:val="20"/>
          <w:szCs w:val="20"/>
        </w:rPr>
        <w:t>不再单独计算。其他检验试验费（除企业管理费中包含的检验试验费之外，</w:t>
      </w:r>
      <w:r>
        <w:rPr>
          <w:rFonts w:ascii="宋体" w:hAnsi="宋体" w:eastAsia="宋体" w:cs="宋体"/>
          <w:spacing w:val="10"/>
          <w:sz w:val="20"/>
          <w:szCs w:val="20"/>
        </w:rPr>
        <w:t>开展特殊性鉴定，检查</w:t>
      </w:r>
      <w:r>
        <w:rPr>
          <w:rFonts w:ascii="宋体" w:hAnsi="宋体" w:eastAsia="宋体" w:cs="宋体"/>
          <w:spacing w:val="9"/>
          <w:sz w:val="20"/>
          <w:szCs w:val="20"/>
        </w:rPr>
        <w:t>等所发生的费用</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w:t>
      </w:r>
      <w:r>
        <w:rPr>
          <w:rFonts w:ascii="宋体" w:hAnsi="宋体" w:eastAsia="宋体" w:cs="宋体"/>
          <w:spacing w:val="9"/>
          <w:sz w:val="20"/>
          <w:szCs w:val="20"/>
        </w:rPr>
        <w:t>若发生该费用，应单独计算，列入其他项目费中。</w:t>
      </w:r>
    </w:p>
    <w:p>
      <w:pPr>
        <w:spacing w:line="277" w:lineRule="exact"/>
        <w:ind w:left="427"/>
        <w:rPr>
          <w:rFonts w:ascii="宋体" w:hAnsi="宋体" w:eastAsia="宋体" w:cs="宋体"/>
          <w:sz w:val="20"/>
          <w:szCs w:val="20"/>
        </w:rPr>
      </w:pPr>
      <w:r>
        <w:rPr>
          <w:rFonts w:ascii="宋体" w:hAnsi="宋体" w:eastAsia="宋体" w:cs="宋体"/>
          <w:spacing w:val="8"/>
          <w:position w:val="1"/>
          <w:sz w:val="20"/>
          <w:szCs w:val="20"/>
        </w:rPr>
        <w:t>其他检验试验费包括：</w:t>
      </w:r>
    </w:p>
    <w:p>
      <w:pPr>
        <w:spacing w:before="123" w:line="278" w:lineRule="exact"/>
        <w:ind w:left="420"/>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20"/>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1" w:line="278" w:lineRule="exact"/>
        <w:ind w:left="420"/>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20"/>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（4）建设单位委托第三方机构开展检验试验，并由施</w:t>
      </w:r>
      <w:r>
        <w:rPr>
          <w:rFonts w:ascii="宋体" w:hAnsi="宋体" w:eastAsia="宋体" w:cs="宋体"/>
          <w:spacing w:val="9"/>
          <w:position w:val="1"/>
          <w:sz w:val="20"/>
          <w:szCs w:val="20"/>
        </w:rPr>
        <w:t>工单位支付的检验试验费用；</w:t>
      </w:r>
    </w:p>
    <w:p>
      <w:pPr>
        <w:spacing w:before="124" w:line="277" w:lineRule="exact"/>
        <w:ind w:left="420"/>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0" w:line="352" w:lineRule="auto"/>
        <w:ind w:left="8" w:right="2" w:firstLine="419"/>
        <w:rPr>
          <w:rFonts w:ascii="宋体" w:hAnsi="宋体" w:eastAsia="宋体" w:cs="宋体"/>
          <w:sz w:val="20"/>
          <w:szCs w:val="20"/>
        </w:rPr>
      </w:pPr>
      <w:r>
        <w:rPr>
          <w:rFonts w:ascii="宋体" w:hAnsi="宋体" w:eastAsia="宋体" w:cs="宋体"/>
          <w:spacing w:val="11"/>
          <w:sz w:val="20"/>
          <w:szCs w:val="20"/>
        </w:rPr>
        <w:t>对施工单位提供的、具有检验合格证明的材料，建设单位要求再次检验且经检测</w:t>
      </w:r>
      <w:r>
        <w:rPr>
          <w:rFonts w:ascii="宋体" w:hAnsi="宋体" w:eastAsia="宋体" w:cs="宋体"/>
          <w:spacing w:val="10"/>
          <w:sz w:val="20"/>
          <w:szCs w:val="20"/>
        </w:rPr>
        <w:t>不合格的，检</w:t>
      </w:r>
      <w:r>
        <w:rPr>
          <w:rFonts w:ascii="宋体" w:hAnsi="宋体" w:eastAsia="宋体" w:cs="宋体"/>
          <w:spacing w:val="9"/>
          <w:sz w:val="20"/>
          <w:szCs w:val="20"/>
        </w:rPr>
        <w:t>测费用由施工单位承担，不计入工程造价。</w:t>
      </w:r>
    </w:p>
    <w:p>
      <w:pPr>
        <w:spacing w:before="40" w:line="277" w:lineRule="exact"/>
        <w:ind w:left="430"/>
        <w:rPr>
          <w:rFonts w:ascii="宋体" w:hAnsi="宋体" w:eastAsia="宋体" w:cs="宋体"/>
          <w:sz w:val="20"/>
          <w:szCs w:val="20"/>
        </w:rPr>
      </w:pPr>
      <w:r>
        <w:rPr>
          <w:rFonts w:ascii="宋体" w:hAnsi="宋体" w:eastAsia="宋体" w:cs="宋体"/>
          <w:b/>
          <w:bCs/>
          <w:spacing w:val="1"/>
          <w:position w:val="1"/>
          <w:sz w:val="20"/>
          <w:szCs w:val="20"/>
        </w:rPr>
        <w:t>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关于采购保管费</w:t>
      </w:r>
    </w:p>
    <w:p>
      <w:pPr>
        <w:spacing w:before="122" w:line="351" w:lineRule="auto"/>
        <w:ind w:left="9" w:right="2" w:firstLine="420"/>
        <w:rPr>
          <w:rFonts w:ascii="宋体" w:hAnsi="宋体" w:eastAsia="宋体" w:cs="宋体"/>
          <w:sz w:val="20"/>
          <w:szCs w:val="20"/>
        </w:rPr>
      </w:pPr>
      <w:r>
        <w:rPr>
          <w:rFonts w:ascii="宋体" w:hAnsi="宋体" w:eastAsia="宋体" w:cs="宋体"/>
          <w:spacing w:val="11"/>
          <w:sz w:val="20"/>
          <w:szCs w:val="20"/>
        </w:rPr>
        <w:t>材料（设备）费中的采购及保管费：是指采购、供应和保管材料、设备过</w:t>
      </w:r>
      <w:r>
        <w:rPr>
          <w:rFonts w:ascii="宋体" w:hAnsi="宋体" w:eastAsia="宋体" w:cs="宋体"/>
          <w:spacing w:val="10"/>
          <w:sz w:val="20"/>
          <w:szCs w:val="20"/>
        </w:rPr>
        <w:t>程中所需要的各项费</w:t>
      </w:r>
      <w:r>
        <w:rPr>
          <w:rFonts w:ascii="宋体" w:hAnsi="宋体" w:eastAsia="宋体" w:cs="宋体"/>
          <w:spacing w:val="9"/>
          <w:sz w:val="20"/>
          <w:szCs w:val="20"/>
        </w:rPr>
        <w:t>用。包括采购费、仓储费、工地保管费、仓储损耗。</w:t>
      </w:r>
    </w:p>
    <w:p>
      <w:pPr>
        <w:spacing w:before="40" w:line="277" w:lineRule="exact"/>
        <w:ind w:left="428"/>
        <w:rPr>
          <w:rFonts w:ascii="宋体" w:hAnsi="宋体" w:eastAsia="宋体" w:cs="宋体"/>
          <w:sz w:val="20"/>
          <w:szCs w:val="20"/>
        </w:rPr>
      </w:pPr>
      <w:r>
        <w:rPr>
          <w:rFonts w:ascii="宋体" w:hAnsi="宋体" w:eastAsia="宋体" w:cs="宋体"/>
          <w:spacing w:val="8"/>
          <w:position w:val="1"/>
          <w:sz w:val="20"/>
          <w:szCs w:val="20"/>
        </w:rPr>
        <w:t>古建筑修缮工程材料的采购及保管费率为2.5</w:t>
      </w:r>
      <w:r>
        <w:rPr>
          <w:rFonts w:ascii="宋体" w:hAnsi="宋体" w:eastAsia="宋体" w:cs="宋体"/>
          <w:spacing w:val="-21"/>
          <w:position w:val="1"/>
          <w:sz w:val="20"/>
          <w:szCs w:val="20"/>
        </w:rPr>
        <w:t>％</w:t>
      </w:r>
      <w:r>
        <w:rPr>
          <w:rFonts w:ascii="宋体" w:hAnsi="宋体" w:eastAsia="宋体" w:cs="宋体"/>
          <w:spacing w:val="-35"/>
          <w:position w:val="1"/>
          <w:sz w:val="20"/>
          <w:szCs w:val="20"/>
        </w:rPr>
        <w:t xml:space="preserve"> </w:t>
      </w:r>
      <w:r>
        <w:rPr>
          <w:rFonts w:ascii="宋体" w:hAnsi="宋体" w:eastAsia="宋体" w:cs="宋体"/>
          <w:spacing w:val="-21"/>
          <w:position w:val="1"/>
          <w:sz w:val="20"/>
          <w:szCs w:val="20"/>
        </w:rPr>
        <w:t>，</w:t>
      </w:r>
      <w:r>
        <w:rPr>
          <w:rFonts w:ascii="宋体" w:hAnsi="宋体" w:eastAsia="宋体" w:cs="宋体"/>
          <w:spacing w:val="8"/>
          <w:position w:val="1"/>
          <w:sz w:val="20"/>
          <w:szCs w:val="20"/>
        </w:rPr>
        <w:t>设备的采购及保管费率为</w:t>
      </w:r>
      <w:r>
        <w:rPr>
          <w:rFonts w:ascii="宋体" w:hAnsi="宋体" w:eastAsia="宋体" w:cs="宋体"/>
          <w:spacing w:val="-22"/>
          <w:position w:val="1"/>
          <w:sz w:val="20"/>
          <w:szCs w:val="20"/>
        </w:rPr>
        <w:t xml:space="preserve"> </w:t>
      </w:r>
      <w:r>
        <w:rPr>
          <w:rFonts w:ascii="宋体" w:hAnsi="宋体" w:eastAsia="宋体" w:cs="宋体"/>
          <w:spacing w:val="8"/>
          <w:position w:val="1"/>
          <w:sz w:val="20"/>
          <w:szCs w:val="20"/>
        </w:rPr>
        <w:t>1</w:t>
      </w:r>
      <w:r>
        <w:rPr>
          <w:rFonts w:ascii="宋体" w:hAnsi="宋体" w:eastAsia="宋体" w:cs="宋体"/>
          <w:spacing w:val="7"/>
          <w:position w:val="1"/>
          <w:sz w:val="20"/>
          <w:szCs w:val="20"/>
        </w:rPr>
        <w:t>％。</w:t>
      </w:r>
    </w:p>
    <w:p>
      <w:pPr>
        <w:spacing w:before="122" w:line="277" w:lineRule="exact"/>
        <w:ind w:left="430"/>
        <w:rPr>
          <w:rFonts w:ascii="宋体" w:hAnsi="宋体" w:eastAsia="宋体" w:cs="宋体"/>
          <w:sz w:val="20"/>
          <w:szCs w:val="20"/>
        </w:rPr>
      </w:pPr>
      <w:r>
        <w:rPr>
          <w:rFonts w:ascii="宋体" w:hAnsi="宋体" w:eastAsia="宋体" w:cs="宋体"/>
          <w:spacing w:val="9"/>
          <w:position w:val="1"/>
          <w:sz w:val="20"/>
          <w:szCs w:val="20"/>
        </w:rPr>
        <w:t>根据采购与保管分工或方式的不同，采购及保管费一般按下列比例分配：</w:t>
      </w:r>
    </w:p>
    <w:p>
      <w:pPr>
        <w:spacing w:before="124" w:line="297" w:lineRule="auto"/>
        <w:ind w:left="9" w:right="2"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1）建设单位采购、付款、供应至施工现场、并自行保管，施工单位随用随领，采购及保管费</w:t>
      </w:r>
      <w:r>
        <w:rPr>
          <w:rFonts w:ascii="宋体" w:hAnsi="宋体" w:eastAsia="宋体" w:cs="宋体"/>
          <w:spacing w:val="8"/>
          <w:sz w:val="20"/>
          <w:szCs w:val="20"/>
        </w:rPr>
        <w:t>全部归建设单位。</w:t>
      </w:r>
    </w:p>
    <w:p>
      <w:pPr>
        <w:spacing w:before="156" w:line="332" w:lineRule="auto"/>
        <w:ind w:left="8" w:right="2" w:firstLine="411"/>
        <w:rPr>
          <w:rFonts w:ascii="宋体" w:hAnsi="宋体" w:eastAsia="宋体" w:cs="宋体"/>
          <w:sz w:val="20"/>
          <w:szCs w:val="20"/>
        </w:rPr>
      </w:pPr>
      <w:r>
        <w:rPr>
          <w:rFonts w:ascii="宋体" w:hAnsi="宋体" w:eastAsia="宋体" w:cs="宋体"/>
          <w:spacing w:val="8"/>
          <w:sz w:val="20"/>
          <w:szCs w:val="20"/>
        </w:rPr>
        <w:t>（2）建设单位采购、付款、供应至施工现场，交由施工单位保管，建设单位计取采购及保管费</w:t>
      </w:r>
      <w:r>
        <w:rPr>
          <w:rFonts w:ascii="宋体" w:hAnsi="宋体" w:eastAsia="宋体" w:cs="宋体"/>
          <w:spacing w:val="5"/>
          <w:sz w:val="20"/>
          <w:szCs w:val="20"/>
        </w:rPr>
        <w:t>的</w:t>
      </w:r>
      <w:r>
        <w:rPr>
          <w:rFonts w:ascii="宋体" w:hAnsi="宋体" w:eastAsia="宋体" w:cs="宋体"/>
          <w:spacing w:val="-39"/>
          <w:sz w:val="20"/>
          <w:szCs w:val="20"/>
        </w:rPr>
        <w:t xml:space="preserve"> </w:t>
      </w:r>
      <w:r>
        <w:rPr>
          <w:rFonts w:ascii="宋体" w:hAnsi="宋体" w:eastAsia="宋体" w:cs="宋体"/>
          <w:spacing w:val="5"/>
          <w:sz w:val="20"/>
          <w:szCs w:val="20"/>
        </w:rPr>
        <w:t>60</w:t>
      </w:r>
      <w:r>
        <w:rPr>
          <w:rFonts w:ascii="宋体" w:hAnsi="宋体" w:eastAsia="宋体" w:cs="宋体"/>
          <w:spacing w:val="-40"/>
          <w:sz w:val="20"/>
          <w:szCs w:val="20"/>
        </w:rPr>
        <w:t>％</w:t>
      </w:r>
      <w:r>
        <w:rPr>
          <w:rFonts w:ascii="宋体" w:hAnsi="宋体" w:eastAsia="宋体" w:cs="宋体"/>
          <w:spacing w:val="-58"/>
          <w:sz w:val="20"/>
          <w:szCs w:val="20"/>
        </w:rPr>
        <w:t xml:space="preserve"> </w:t>
      </w:r>
      <w:r>
        <w:rPr>
          <w:rFonts w:ascii="宋体" w:hAnsi="宋体" w:eastAsia="宋体" w:cs="宋体"/>
          <w:spacing w:val="-40"/>
          <w:sz w:val="20"/>
          <w:szCs w:val="20"/>
        </w:rPr>
        <w:t>，</w:t>
      </w:r>
      <w:r>
        <w:rPr>
          <w:rFonts w:ascii="宋体" w:hAnsi="宋体" w:eastAsia="宋体" w:cs="宋体"/>
          <w:spacing w:val="5"/>
          <w:sz w:val="20"/>
          <w:szCs w:val="20"/>
        </w:rPr>
        <w:t>施工单位计取</w:t>
      </w:r>
      <w:r>
        <w:rPr>
          <w:rFonts w:ascii="宋体" w:hAnsi="宋体" w:eastAsia="宋体" w:cs="宋体"/>
          <w:spacing w:val="-45"/>
          <w:sz w:val="20"/>
          <w:szCs w:val="20"/>
        </w:rPr>
        <w:t xml:space="preserve"> </w:t>
      </w:r>
      <w:r>
        <w:rPr>
          <w:rFonts w:ascii="宋体" w:hAnsi="宋体" w:eastAsia="宋体" w:cs="宋体"/>
          <w:spacing w:val="5"/>
          <w:sz w:val="20"/>
          <w:szCs w:val="20"/>
        </w:rPr>
        <w:t>40％。建设单位采购并付款，交提货单由施工企业提运时施工单位计取</w:t>
      </w:r>
      <w:r>
        <w:rPr>
          <w:rFonts w:ascii="宋体" w:hAnsi="宋体" w:eastAsia="宋体" w:cs="宋体"/>
          <w:spacing w:val="-38"/>
          <w:sz w:val="20"/>
          <w:szCs w:val="20"/>
        </w:rPr>
        <w:t xml:space="preserve"> </w:t>
      </w:r>
      <w:r>
        <w:rPr>
          <w:rFonts w:ascii="宋体" w:hAnsi="宋体" w:eastAsia="宋体" w:cs="宋体"/>
          <w:spacing w:val="5"/>
          <w:sz w:val="20"/>
          <w:szCs w:val="20"/>
        </w:rPr>
        <w:t>60%</w:t>
      </w:r>
      <w:r>
        <w:rPr>
          <w:rFonts w:ascii="宋体" w:hAnsi="宋体" w:eastAsia="宋体" w:cs="宋体"/>
          <w:spacing w:val="-34"/>
          <w:sz w:val="20"/>
          <w:szCs w:val="20"/>
        </w:rPr>
        <w:t xml:space="preserve"> </w:t>
      </w:r>
      <w:r>
        <w:rPr>
          <w:rFonts w:ascii="宋体" w:hAnsi="宋体" w:eastAsia="宋体" w:cs="宋体"/>
          <w:spacing w:val="5"/>
          <w:sz w:val="20"/>
          <w:szCs w:val="20"/>
        </w:rPr>
        <w:t>,</w:t>
      </w:r>
      <w:r>
        <w:rPr>
          <w:rFonts w:ascii="宋体" w:hAnsi="宋体" w:eastAsia="宋体" w:cs="宋体"/>
          <w:spacing w:val="8"/>
          <w:sz w:val="20"/>
          <w:szCs w:val="20"/>
        </w:rPr>
        <w:t>建设单位计取40％</w:t>
      </w:r>
      <w:r>
        <w:rPr>
          <w:rFonts w:ascii="宋体" w:hAnsi="宋体" w:eastAsia="宋体" w:cs="宋体"/>
          <w:spacing w:val="-31"/>
          <w:sz w:val="20"/>
          <w:szCs w:val="20"/>
        </w:rPr>
        <w:t xml:space="preserve"> </w:t>
      </w:r>
      <w:r>
        <w:rPr>
          <w:rFonts w:ascii="宋体" w:hAnsi="宋体" w:eastAsia="宋体" w:cs="宋体"/>
          <w:spacing w:val="8"/>
          <w:sz w:val="20"/>
          <w:szCs w:val="20"/>
        </w:rPr>
        <w:t>。该费用列入其他项目费中。</w:t>
      </w:r>
    </w:p>
    <w:p>
      <w:pPr>
        <w:spacing w:before="120" w:line="277" w:lineRule="exact"/>
        <w:ind w:left="420"/>
        <w:rPr>
          <w:rFonts w:ascii="宋体" w:hAnsi="宋体" w:eastAsia="宋体" w:cs="宋体"/>
          <w:sz w:val="20"/>
          <w:szCs w:val="20"/>
        </w:rPr>
      </w:pPr>
      <w:r>
        <w:rPr>
          <w:rFonts w:ascii="宋体" w:hAnsi="宋体" w:eastAsia="宋体" w:cs="宋体"/>
          <w:spacing w:val="10"/>
          <w:position w:val="1"/>
          <w:sz w:val="20"/>
          <w:szCs w:val="20"/>
        </w:rPr>
        <w:t>（3）施工单位采购、付款、供应至施工现场，并自行保管、采</w:t>
      </w:r>
      <w:r>
        <w:rPr>
          <w:rFonts w:ascii="宋体" w:hAnsi="宋体" w:eastAsia="宋体" w:cs="宋体"/>
          <w:spacing w:val="9"/>
          <w:position w:val="1"/>
          <w:sz w:val="20"/>
          <w:szCs w:val="20"/>
        </w:rPr>
        <w:t>购及保管费全部归施工单位。</w:t>
      </w:r>
    </w:p>
    <w:p>
      <w:pPr>
        <w:spacing w:before="124" w:line="352" w:lineRule="auto"/>
        <w:ind w:left="10" w:firstLine="419"/>
        <w:rPr>
          <w:rFonts w:ascii="宋体" w:hAnsi="宋体" w:eastAsia="宋体" w:cs="宋体"/>
          <w:sz w:val="20"/>
          <w:szCs w:val="20"/>
        </w:rPr>
      </w:pPr>
      <w:r>
        <w:rPr>
          <w:rFonts w:ascii="宋体" w:hAnsi="宋体" w:eastAsia="宋体" w:cs="宋体"/>
          <w:spacing w:val="9"/>
          <w:sz w:val="20"/>
          <w:szCs w:val="20"/>
        </w:rPr>
        <w:t>21</w:t>
      </w:r>
      <w:r>
        <w:rPr>
          <w:rFonts w:ascii="宋体" w:hAnsi="宋体" w:eastAsia="宋体" w:cs="宋体"/>
          <w:spacing w:val="-33"/>
          <w:sz w:val="20"/>
          <w:szCs w:val="20"/>
        </w:rPr>
        <w:t xml:space="preserve"> </w:t>
      </w:r>
      <w:r>
        <w:rPr>
          <w:rFonts w:ascii="宋体" w:hAnsi="宋体" w:eastAsia="宋体" w:cs="宋体"/>
          <w:spacing w:val="9"/>
          <w:sz w:val="20"/>
          <w:szCs w:val="20"/>
        </w:rPr>
        <w:t>消耗量定额《山东省仿古建筑工程价目表》材料价格取定表中的材料单价，已包括采购及保</w:t>
      </w:r>
      <w:r>
        <w:rPr>
          <w:rFonts w:ascii="宋体" w:hAnsi="宋体" w:eastAsia="宋体" w:cs="宋体"/>
          <w:spacing w:val="3"/>
          <w:sz w:val="20"/>
          <w:szCs w:val="20"/>
        </w:rPr>
        <w:t>管费。</w:t>
      </w:r>
    </w:p>
    <w:p>
      <w:pPr>
        <w:spacing w:before="37" w:line="368" w:lineRule="auto"/>
        <w:ind w:left="14" w:right="2" w:firstLine="414"/>
        <w:rPr>
          <w:rFonts w:ascii="宋体" w:hAnsi="宋体" w:eastAsia="宋体" w:cs="宋体"/>
          <w:sz w:val="20"/>
          <w:szCs w:val="20"/>
        </w:rPr>
      </w:pPr>
      <w:r>
        <w:rPr>
          <w:rFonts w:ascii="宋体" w:hAnsi="宋体" w:eastAsia="宋体" w:cs="宋体"/>
          <w:spacing w:val="11"/>
          <w:sz w:val="20"/>
          <w:szCs w:val="20"/>
        </w:rPr>
        <w:t>建设单位采购或施工单位经建设单位认价后自行采购，其付款价一般（双方未</w:t>
      </w:r>
      <w:r>
        <w:rPr>
          <w:rFonts w:ascii="宋体" w:hAnsi="宋体" w:eastAsia="宋体" w:cs="宋体"/>
          <w:spacing w:val="10"/>
          <w:sz w:val="20"/>
          <w:szCs w:val="20"/>
        </w:rPr>
        <w:t>另行约定时）均</w:t>
      </w:r>
      <w:r>
        <w:rPr>
          <w:rFonts w:ascii="宋体" w:hAnsi="宋体" w:eastAsia="宋体" w:cs="宋体"/>
          <w:spacing w:val="9"/>
          <w:sz w:val="20"/>
          <w:szCs w:val="20"/>
        </w:rPr>
        <w:t>为材料供应至施工现场的落地价（应含卸车费用</w:t>
      </w:r>
      <w:r>
        <w:rPr>
          <w:rFonts w:ascii="宋体" w:hAnsi="宋体" w:eastAsia="宋体" w:cs="宋体"/>
          <w:spacing w:val="-8"/>
          <w:sz w:val="20"/>
          <w:szCs w:val="20"/>
        </w:rPr>
        <w:t>）</w:t>
      </w:r>
      <w:r>
        <w:rPr>
          <w:rFonts w:ascii="宋体" w:hAnsi="宋体" w:eastAsia="宋体" w:cs="宋体"/>
          <w:spacing w:val="-53"/>
          <w:sz w:val="20"/>
          <w:szCs w:val="20"/>
        </w:rPr>
        <w:t xml:space="preserve"> </w:t>
      </w:r>
      <w:r>
        <w:rPr>
          <w:rFonts w:ascii="宋体" w:hAnsi="宋体" w:eastAsia="宋体" w:cs="宋体"/>
          <w:spacing w:val="-8"/>
          <w:sz w:val="20"/>
          <w:szCs w:val="20"/>
        </w:rPr>
        <w:t>，</w:t>
      </w:r>
      <w:r>
        <w:rPr>
          <w:rFonts w:ascii="宋体" w:hAnsi="宋体" w:eastAsia="宋体" w:cs="宋体"/>
          <w:spacing w:val="9"/>
          <w:sz w:val="20"/>
          <w:szCs w:val="20"/>
        </w:rPr>
        <w:t>未包括材料的采购及保管费。</w:t>
      </w:r>
    </w:p>
    <w:p>
      <w:pPr>
        <w:spacing w:before="4" w:line="278" w:lineRule="exact"/>
        <w:ind w:left="447"/>
        <w:rPr>
          <w:rFonts w:ascii="宋体" w:hAnsi="宋体" w:eastAsia="宋体" w:cs="宋体"/>
          <w:sz w:val="20"/>
          <w:szCs w:val="20"/>
        </w:rPr>
      </w:pPr>
      <w:r>
        <w:rPr>
          <w:rFonts w:ascii="宋体" w:hAnsi="宋体" w:eastAsia="宋体" w:cs="宋体"/>
          <w:b/>
          <w:bCs/>
          <w:spacing w:val="-1"/>
          <w:position w:val="1"/>
          <w:sz w:val="20"/>
          <w:szCs w:val="20"/>
        </w:rPr>
        <w:t>10.</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关于施工水电费</w:t>
      </w:r>
    </w:p>
    <w:p>
      <w:pPr>
        <w:spacing w:before="120" w:line="369" w:lineRule="auto"/>
        <w:ind w:left="24" w:firstLine="395"/>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1）建设单位应将自来水水源、强电电源、道路（非指硬化道路</w:t>
      </w:r>
      <w:r>
        <w:rPr>
          <w:rFonts w:ascii="宋体" w:hAnsi="宋体" w:eastAsia="宋体" w:cs="宋体"/>
          <w:spacing w:val="10"/>
          <w:sz w:val="20"/>
          <w:szCs w:val="20"/>
        </w:rPr>
        <w:t>），</w:t>
      </w:r>
      <w:r>
        <w:rPr>
          <w:rFonts w:ascii="宋体" w:hAnsi="宋体" w:eastAsia="宋体" w:cs="宋体"/>
          <w:spacing w:val="7"/>
          <w:sz w:val="20"/>
          <w:szCs w:val="20"/>
        </w:rPr>
        <w:t>提供至距工程单体（含小</w:t>
      </w:r>
      <w:r>
        <w:rPr>
          <w:rFonts w:ascii="宋体" w:hAnsi="宋体" w:eastAsia="宋体" w:cs="宋体"/>
          <w:spacing w:val="10"/>
          <w:sz w:val="20"/>
          <w:szCs w:val="20"/>
        </w:rPr>
        <w:t>区中的单体）或构筑物工程中心</w:t>
      </w:r>
      <w:r>
        <w:rPr>
          <w:rFonts w:ascii="宋体" w:hAnsi="宋体" w:eastAsia="宋体" w:cs="宋体"/>
          <w:spacing w:val="-39"/>
          <w:sz w:val="20"/>
          <w:szCs w:val="20"/>
        </w:rPr>
        <w:t xml:space="preserve"> </w:t>
      </w:r>
      <w:r>
        <w:rPr>
          <w:rFonts w:ascii="宋体" w:hAnsi="宋体" w:eastAsia="宋体" w:cs="宋体"/>
          <w:spacing w:val="10"/>
          <w:sz w:val="20"/>
          <w:szCs w:val="20"/>
        </w:rPr>
        <w:t>50m</w:t>
      </w:r>
      <w:r>
        <w:rPr>
          <w:rFonts w:ascii="宋体" w:hAnsi="宋体" w:eastAsia="宋体" w:cs="宋体"/>
          <w:spacing w:val="-43"/>
          <w:sz w:val="20"/>
          <w:szCs w:val="20"/>
        </w:rPr>
        <w:t xml:space="preserve"> </w:t>
      </w:r>
      <w:r>
        <w:rPr>
          <w:rFonts w:ascii="宋体" w:hAnsi="宋体" w:eastAsia="宋体" w:cs="宋体"/>
          <w:spacing w:val="10"/>
          <w:sz w:val="20"/>
          <w:szCs w:val="20"/>
        </w:rPr>
        <w:t>半径范围内，并设有水、电计量表。建设单位</w:t>
      </w:r>
      <w:r>
        <w:rPr>
          <w:rFonts w:ascii="宋体" w:hAnsi="宋体" w:eastAsia="宋体" w:cs="宋体"/>
          <w:spacing w:val="9"/>
          <w:sz w:val="20"/>
          <w:szCs w:val="20"/>
        </w:rPr>
        <w:t>不能按上述要求</w:t>
      </w:r>
    </w:p>
    <w:p>
      <w:pPr>
        <w:spacing w:line="369" w:lineRule="auto"/>
        <w:rPr>
          <w:rFonts w:ascii="宋体" w:hAnsi="宋体" w:eastAsia="宋体" w:cs="宋体"/>
          <w:sz w:val="20"/>
          <w:szCs w:val="20"/>
        </w:rPr>
        <w:sectPr>
          <w:footerReference r:id="rId204" w:type="default"/>
          <w:pgSz w:w="11906" w:h="16839"/>
          <w:pgMar w:top="400" w:right="1417" w:bottom="1212" w:left="1411"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right="65" w:firstLine="4"/>
        <w:rPr>
          <w:rFonts w:ascii="宋体" w:hAnsi="宋体" w:eastAsia="宋体" w:cs="宋体"/>
          <w:sz w:val="20"/>
          <w:szCs w:val="20"/>
        </w:rPr>
      </w:pPr>
      <w:r>
        <w:rPr>
          <w:rFonts w:ascii="宋体" w:hAnsi="宋体" w:eastAsia="宋体" w:cs="宋体"/>
          <w:spacing w:val="11"/>
          <w:sz w:val="20"/>
          <w:szCs w:val="20"/>
        </w:rPr>
        <w:t>提供时，施工单位依据经过批准的施工组织设计，按建筑、安装消耗量</w:t>
      </w:r>
      <w:r>
        <w:rPr>
          <w:rFonts w:ascii="宋体" w:hAnsi="宋体" w:eastAsia="宋体" w:cs="宋体"/>
          <w:spacing w:val="10"/>
          <w:sz w:val="20"/>
          <w:szCs w:val="20"/>
        </w:rPr>
        <w:t>定额及其相应规定另行单独</w:t>
      </w:r>
      <w:r>
        <w:rPr>
          <w:rFonts w:ascii="宋体" w:hAnsi="宋体" w:eastAsia="宋体" w:cs="宋体"/>
          <w:spacing w:val="7"/>
          <w:sz w:val="20"/>
          <w:szCs w:val="20"/>
        </w:rPr>
        <w:t>计算费用。</w:t>
      </w:r>
    </w:p>
    <w:p>
      <w:pPr>
        <w:spacing w:line="277" w:lineRule="exact"/>
        <w:ind w:left="413"/>
        <w:rPr>
          <w:rFonts w:ascii="宋体" w:hAnsi="宋体" w:eastAsia="宋体" w:cs="宋体"/>
          <w:sz w:val="20"/>
          <w:szCs w:val="20"/>
        </w:rPr>
      </w:pPr>
      <w:r>
        <w:rPr>
          <w:rFonts w:ascii="宋体" w:hAnsi="宋体" w:eastAsia="宋体" w:cs="宋体"/>
          <w:spacing w:val="9"/>
          <w:position w:val="1"/>
          <w:sz w:val="20"/>
          <w:szCs w:val="20"/>
        </w:rPr>
        <w:t>（2）施工企业生活用水、电，由施工企业负责。</w:t>
      </w:r>
    </w:p>
    <w:p>
      <w:pPr>
        <w:spacing w:before="119" w:line="297" w:lineRule="auto"/>
        <w:ind w:right="65" w:firstLine="413"/>
        <w:rPr>
          <w:rFonts w:ascii="宋体" w:hAnsi="宋体" w:eastAsia="宋体" w:cs="宋体"/>
          <w:sz w:val="20"/>
          <w:szCs w:val="20"/>
        </w:rPr>
      </w:pPr>
      <w:r>
        <w:rPr>
          <w:rFonts w:ascii="宋体" w:hAnsi="宋体" w:eastAsia="宋体" w:cs="宋体"/>
          <w:spacing w:val="8"/>
          <w:sz w:val="20"/>
          <w:szCs w:val="20"/>
        </w:rPr>
        <w:t>（3）施工用水、电、消耗量定额子目内包括水、电费，若建设单位供水、电时，施工单位应按</w:t>
      </w:r>
      <w:r>
        <w:rPr>
          <w:rFonts w:ascii="宋体" w:hAnsi="宋体" w:eastAsia="宋体" w:cs="宋体"/>
          <w:spacing w:val="9"/>
          <w:sz w:val="20"/>
          <w:szCs w:val="20"/>
        </w:rPr>
        <w:t>施工水、电表用量及相应的实际价格退给建设单位。</w:t>
      </w:r>
    </w:p>
    <w:p>
      <w:pPr>
        <w:spacing w:before="159" w:line="276" w:lineRule="exact"/>
        <w:ind w:left="413"/>
        <w:rPr>
          <w:rFonts w:ascii="宋体" w:hAnsi="宋体" w:eastAsia="宋体" w:cs="宋体"/>
          <w:sz w:val="20"/>
          <w:szCs w:val="20"/>
        </w:rPr>
      </w:pPr>
      <w:r>
        <w:rPr>
          <w:rFonts w:ascii="宋体" w:hAnsi="宋体" w:eastAsia="宋体" w:cs="宋体"/>
          <w:spacing w:val="10"/>
          <w:position w:val="1"/>
          <w:sz w:val="20"/>
          <w:szCs w:val="20"/>
        </w:rPr>
        <w:t>（4）施工企业供水、电时，按自来水公司、电业局收费单</w:t>
      </w:r>
      <w:r>
        <w:rPr>
          <w:rFonts w:ascii="宋体" w:hAnsi="宋体" w:eastAsia="宋体" w:cs="宋体"/>
          <w:spacing w:val="9"/>
          <w:position w:val="1"/>
          <w:sz w:val="20"/>
          <w:szCs w:val="20"/>
        </w:rPr>
        <w:t>价与定额水、电价格找补差价。</w:t>
      </w:r>
    </w:p>
    <w:p>
      <w:pPr>
        <w:spacing w:before="122" w:line="277" w:lineRule="exact"/>
        <w:ind w:left="440"/>
        <w:rPr>
          <w:rFonts w:ascii="宋体" w:hAnsi="宋体" w:eastAsia="宋体" w:cs="宋体"/>
          <w:sz w:val="20"/>
          <w:szCs w:val="20"/>
        </w:rPr>
      </w:pPr>
      <w:r>
        <w:rPr>
          <w:rFonts w:ascii="宋体" w:hAnsi="宋体" w:eastAsia="宋体" w:cs="宋体"/>
          <w:b/>
          <w:bCs/>
          <w:spacing w:val="3"/>
          <w:position w:val="1"/>
          <w:sz w:val="20"/>
          <w:szCs w:val="20"/>
        </w:rPr>
        <w:t>11.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关于建筑垃圾清理运输费用的确定</w:t>
      </w:r>
    </w:p>
    <w:p>
      <w:pPr>
        <w:spacing w:before="123" w:line="278" w:lineRule="exact"/>
        <w:ind w:left="425"/>
        <w:rPr>
          <w:rFonts w:ascii="宋体" w:hAnsi="宋体" w:eastAsia="宋体" w:cs="宋体"/>
          <w:sz w:val="20"/>
          <w:szCs w:val="20"/>
        </w:rPr>
      </w:pPr>
      <w:r>
        <w:rPr>
          <w:rFonts w:ascii="宋体" w:hAnsi="宋体" w:eastAsia="宋体" w:cs="宋体"/>
          <w:spacing w:val="8"/>
          <w:position w:val="1"/>
          <w:sz w:val="20"/>
          <w:szCs w:val="20"/>
        </w:rPr>
        <w:t>清运建筑垃圾，按其自然状态的实际体积，运距</w:t>
      </w:r>
      <w:r>
        <w:rPr>
          <w:rFonts w:ascii="宋体" w:hAnsi="宋体" w:eastAsia="宋体" w:cs="宋体"/>
          <w:spacing w:val="-9"/>
          <w:position w:val="1"/>
          <w:sz w:val="20"/>
          <w:szCs w:val="20"/>
        </w:rPr>
        <w:t xml:space="preserve"> </w:t>
      </w:r>
      <w:r>
        <w:rPr>
          <w:rFonts w:ascii="宋体" w:hAnsi="宋体" w:eastAsia="宋体" w:cs="宋体"/>
          <w:spacing w:val="8"/>
          <w:position w:val="1"/>
          <w:sz w:val="20"/>
          <w:szCs w:val="20"/>
        </w:rPr>
        <w:t>10</w:t>
      </w:r>
      <w:r>
        <w:rPr>
          <w:rFonts w:ascii="宋体" w:hAnsi="宋体" w:eastAsia="宋体" w:cs="宋体"/>
          <w:spacing w:val="-46"/>
          <w:position w:val="1"/>
          <w:sz w:val="20"/>
          <w:szCs w:val="20"/>
        </w:rPr>
        <w:t xml:space="preserve"> </w:t>
      </w:r>
      <w:r>
        <w:rPr>
          <w:rFonts w:ascii="宋体" w:hAnsi="宋体" w:eastAsia="宋体" w:cs="宋体"/>
          <w:spacing w:val="8"/>
          <w:position w:val="1"/>
          <w:sz w:val="20"/>
          <w:szCs w:val="20"/>
        </w:rPr>
        <w:t>公里以内时，按每平方米</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23</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元计取；每增</w:t>
      </w:r>
    </w:p>
    <w:p>
      <w:pPr>
        <w:spacing w:before="124" w:line="331" w:lineRule="auto"/>
        <w:ind w:left="1" w:right="62" w:firstLine="18"/>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25"/>
          <w:sz w:val="20"/>
          <w:szCs w:val="20"/>
        </w:rPr>
        <w:t xml:space="preserve"> </w:t>
      </w:r>
      <w:r>
        <w:rPr>
          <w:rFonts w:ascii="宋体" w:hAnsi="宋体" w:eastAsia="宋体" w:cs="宋体"/>
          <w:spacing w:val="6"/>
          <w:sz w:val="20"/>
          <w:szCs w:val="20"/>
        </w:rPr>
        <w:t>公里（不足</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3"/>
          <w:sz w:val="20"/>
          <w:szCs w:val="20"/>
        </w:rPr>
        <w:t xml:space="preserve"> </w:t>
      </w:r>
      <w:r>
        <w:rPr>
          <w:rFonts w:ascii="宋体" w:hAnsi="宋体" w:eastAsia="宋体" w:cs="宋体"/>
          <w:spacing w:val="6"/>
          <w:sz w:val="20"/>
          <w:szCs w:val="20"/>
        </w:rPr>
        <w:t>公里按</w:t>
      </w:r>
      <w:r>
        <w:rPr>
          <w:rFonts w:ascii="宋体" w:hAnsi="宋体" w:eastAsia="宋体" w:cs="宋体"/>
          <w:spacing w:val="-22"/>
          <w:sz w:val="20"/>
          <w:szCs w:val="20"/>
        </w:rPr>
        <w:t xml:space="preserve"> </w:t>
      </w:r>
      <w:r>
        <w:rPr>
          <w:rFonts w:ascii="宋体" w:hAnsi="宋体" w:eastAsia="宋体" w:cs="宋体"/>
          <w:spacing w:val="6"/>
          <w:sz w:val="20"/>
          <w:szCs w:val="20"/>
        </w:rPr>
        <w:t>1</w:t>
      </w:r>
      <w:r>
        <w:rPr>
          <w:rFonts w:ascii="宋体" w:hAnsi="宋体" w:eastAsia="宋体" w:cs="宋体"/>
          <w:spacing w:val="-45"/>
          <w:sz w:val="20"/>
          <w:szCs w:val="20"/>
        </w:rPr>
        <w:t xml:space="preserve"> </w:t>
      </w:r>
      <w:r>
        <w:rPr>
          <w:rFonts w:ascii="宋体" w:hAnsi="宋体" w:eastAsia="宋体" w:cs="宋体"/>
          <w:spacing w:val="6"/>
          <w:sz w:val="20"/>
          <w:szCs w:val="20"/>
        </w:rPr>
        <w:t>公里计算）按</w:t>
      </w:r>
      <w:r>
        <w:rPr>
          <w:rFonts w:ascii="宋体" w:hAnsi="宋体" w:eastAsia="宋体" w:cs="宋体"/>
          <w:spacing w:val="-23"/>
          <w:sz w:val="20"/>
          <w:szCs w:val="20"/>
        </w:rPr>
        <w:t xml:space="preserve"> </w:t>
      </w:r>
      <w:r>
        <w:rPr>
          <w:rFonts w:ascii="宋体" w:hAnsi="宋体" w:eastAsia="宋体" w:cs="宋体"/>
          <w:spacing w:val="6"/>
          <w:sz w:val="20"/>
          <w:szCs w:val="20"/>
        </w:rPr>
        <w:t>1.30</w:t>
      </w:r>
      <w:r>
        <w:rPr>
          <w:rFonts w:ascii="宋体" w:hAnsi="宋体" w:eastAsia="宋体" w:cs="宋体"/>
          <w:spacing w:val="-42"/>
          <w:sz w:val="20"/>
          <w:szCs w:val="20"/>
        </w:rPr>
        <w:t xml:space="preserve"> </w:t>
      </w:r>
      <w:r>
        <w:rPr>
          <w:rFonts w:ascii="宋体" w:hAnsi="宋体" w:eastAsia="宋体" w:cs="宋体"/>
          <w:spacing w:val="6"/>
          <w:sz w:val="20"/>
          <w:szCs w:val="20"/>
        </w:rPr>
        <w:t>元计算，以上费用只计取规费及税金。若合同约定的费</w:t>
      </w:r>
      <w:r>
        <w:rPr>
          <w:rFonts w:ascii="宋体" w:hAnsi="宋体" w:eastAsia="宋体" w:cs="宋体"/>
          <w:spacing w:val="11"/>
          <w:sz w:val="20"/>
          <w:szCs w:val="20"/>
        </w:rPr>
        <w:t>用高于或低于该条款的费用，按合同约定的条款执行。垃圾处置费按发承包双</w:t>
      </w:r>
      <w:r>
        <w:rPr>
          <w:rFonts w:ascii="宋体" w:hAnsi="宋体" w:eastAsia="宋体" w:cs="宋体"/>
          <w:spacing w:val="10"/>
          <w:sz w:val="20"/>
          <w:szCs w:val="20"/>
        </w:rPr>
        <w:t>方约定的费用或按每</w:t>
      </w:r>
      <w:r>
        <w:rPr>
          <w:rFonts w:ascii="宋体" w:hAnsi="宋体" w:eastAsia="宋体" w:cs="宋体"/>
          <w:spacing w:val="7"/>
          <w:sz w:val="20"/>
          <w:szCs w:val="20"/>
        </w:rPr>
        <w:t>立方米</w:t>
      </w:r>
      <w:r>
        <w:rPr>
          <w:rFonts w:ascii="宋体" w:hAnsi="宋体" w:eastAsia="宋体" w:cs="宋体"/>
          <w:spacing w:val="-29"/>
          <w:sz w:val="20"/>
          <w:szCs w:val="20"/>
        </w:rPr>
        <w:t xml:space="preserve"> </w:t>
      </w:r>
      <w:r>
        <w:rPr>
          <w:rFonts w:ascii="宋体" w:hAnsi="宋体" w:eastAsia="宋体" w:cs="宋体"/>
          <w:spacing w:val="7"/>
          <w:sz w:val="20"/>
          <w:szCs w:val="20"/>
        </w:rPr>
        <w:t>4</w:t>
      </w:r>
      <w:r>
        <w:rPr>
          <w:rFonts w:ascii="宋体" w:hAnsi="宋体" w:eastAsia="宋体" w:cs="宋体"/>
          <w:spacing w:val="-45"/>
          <w:sz w:val="20"/>
          <w:szCs w:val="20"/>
        </w:rPr>
        <w:t xml:space="preserve"> </w:t>
      </w:r>
      <w:r>
        <w:rPr>
          <w:rFonts w:ascii="宋体" w:hAnsi="宋体" w:eastAsia="宋体" w:cs="宋体"/>
          <w:spacing w:val="7"/>
          <w:sz w:val="20"/>
          <w:szCs w:val="20"/>
        </w:rPr>
        <w:t>元计取（不需处理时不计取）。</w:t>
      </w:r>
    </w:p>
    <w:p>
      <w:pPr>
        <w:spacing w:before="123" w:line="278" w:lineRule="exact"/>
        <w:ind w:left="440"/>
        <w:rPr>
          <w:rFonts w:ascii="宋体" w:hAnsi="宋体" w:eastAsia="宋体" w:cs="宋体"/>
          <w:sz w:val="20"/>
          <w:szCs w:val="20"/>
        </w:rPr>
      </w:pPr>
      <w:r>
        <w:rPr>
          <w:rFonts w:ascii="宋体" w:hAnsi="宋体" w:eastAsia="宋体" w:cs="宋体"/>
          <w:b/>
          <w:bCs/>
          <w:spacing w:val="2"/>
          <w:position w:val="1"/>
          <w:sz w:val="20"/>
          <w:szCs w:val="20"/>
        </w:rPr>
        <w:t>12.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关于拆除项目包含的内容</w:t>
      </w:r>
    </w:p>
    <w:p>
      <w:pPr>
        <w:spacing w:before="120" w:line="352" w:lineRule="auto"/>
        <w:ind w:left="2" w:right="65" w:firstLine="418"/>
        <w:rPr>
          <w:rFonts w:ascii="宋体" w:hAnsi="宋体" w:eastAsia="宋体" w:cs="宋体"/>
          <w:sz w:val="20"/>
          <w:szCs w:val="20"/>
        </w:rPr>
      </w:pPr>
      <w:r>
        <w:rPr>
          <w:rFonts w:ascii="宋体" w:hAnsi="宋体" w:eastAsia="宋体" w:cs="宋体"/>
          <w:spacing w:val="11"/>
          <w:sz w:val="20"/>
          <w:szCs w:val="20"/>
        </w:rPr>
        <w:t>本定额所列拆除项目是以保护性拆除为准，包含了原有材料的清理、整修、分类</w:t>
      </w:r>
      <w:r>
        <w:rPr>
          <w:rFonts w:ascii="宋体" w:hAnsi="宋体" w:eastAsia="宋体" w:cs="宋体"/>
          <w:spacing w:val="10"/>
          <w:sz w:val="20"/>
          <w:szCs w:val="20"/>
        </w:rPr>
        <w:t>码放、以满足</w:t>
      </w:r>
      <w:r>
        <w:rPr>
          <w:rFonts w:ascii="宋体" w:hAnsi="宋体" w:eastAsia="宋体" w:cs="宋体"/>
          <w:spacing w:val="8"/>
          <w:sz w:val="20"/>
          <w:szCs w:val="20"/>
        </w:rPr>
        <w:t>工程继续使用的技术要求。</w:t>
      </w:r>
    </w:p>
    <w:p>
      <w:pPr>
        <w:spacing w:before="40" w:line="278" w:lineRule="exact"/>
        <w:ind w:left="440"/>
        <w:rPr>
          <w:rFonts w:ascii="宋体" w:hAnsi="宋体" w:eastAsia="宋体" w:cs="宋体"/>
          <w:sz w:val="20"/>
          <w:szCs w:val="20"/>
        </w:rPr>
      </w:pPr>
      <w:r>
        <w:rPr>
          <w:rFonts w:ascii="宋体" w:hAnsi="宋体" w:eastAsia="宋体" w:cs="宋体"/>
          <w:b/>
          <w:bCs/>
          <w:spacing w:val="2"/>
          <w:position w:val="1"/>
          <w:sz w:val="20"/>
          <w:szCs w:val="20"/>
        </w:rPr>
        <w:t>13.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关于超高施工增加的计算</w:t>
      </w:r>
    </w:p>
    <w:p>
      <w:pPr>
        <w:spacing w:before="119" w:line="369" w:lineRule="auto"/>
        <w:ind w:left="18" w:firstLine="402"/>
        <w:rPr>
          <w:rFonts w:ascii="宋体" w:hAnsi="宋体" w:eastAsia="宋体" w:cs="宋体"/>
          <w:sz w:val="20"/>
          <w:szCs w:val="20"/>
        </w:rPr>
      </w:pPr>
      <w:r>
        <w:rPr>
          <w:rFonts w:ascii="宋体" w:hAnsi="宋体" w:eastAsia="宋体" w:cs="宋体"/>
          <w:spacing w:val="13"/>
          <w:sz w:val="20"/>
          <w:szCs w:val="20"/>
        </w:rPr>
        <w:t>本定额是以现场水平运距</w:t>
      </w:r>
      <w:r>
        <w:rPr>
          <w:rFonts w:ascii="宋体" w:hAnsi="宋体" w:eastAsia="宋体" w:cs="宋体"/>
          <w:spacing w:val="-22"/>
          <w:sz w:val="20"/>
          <w:szCs w:val="20"/>
        </w:rPr>
        <w:t xml:space="preserve"> </w:t>
      </w:r>
      <w:r>
        <w:rPr>
          <w:rFonts w:ascii="宋体" w:hAnsi="宋体" w:eastAsia="宋体" w:cs="宋体"/>
          <w:spacing w:val="13"/>
          <w:sz w:val="20"/>
          <w:szCs w:val="20"/>
        </w:rPr>
        <w:t>300m</w:t>
      </w:r>
      <w:r>
        <w:rPr>
          <w:rFonts w:ascii="宋体" w:hAnsi="宋体" w:eastAsia="宋体" w:cs="宋体"/>
          <w:spacing w:val="-22"/>
          <w:sz w:val="20"/>
          <w:szCs w:val="20"/>
        </w:rPr>
        <w:t xml:space="preserve"> </w:t>
      </w:r>
      <w:r>
        <w:rPr>
          <w:rFonts w:ascii="宋体" w:hAnsi="宋体" w:eastAsia="宋体" w:cs="宋体"/>
          <w:spacing w:val="13"/>
          <w:sz w:val="20"/>
          <w:szCs w:val="20"/>
        </w:rPr>
        <w:t>以内</w:t>
      </w:r>
      <w:r>
        <w:rPr>
          <w:rFonts w:ascii="宋体" w:hAnsi="宋体" w:eastAsia="宋体" w:cs="宋体"/>
          <w:spacing w:val="-60"/>
          <w:sz w:val="20"/>
          <w:szCs w:val="20"/>
        </w:rPr>
        <w:t xml:space="preserve"> </w:t>
      </w:r>
      <w:r>
        <w:rPr>
          <w:rFonts w:ascii="宋体" w:hAnsi="宋体" w:eastAsia="宋体" w:cs="宋体"/>
          <w:spacing w:val="13"/>
          <w:sz w:val="20"/>
          <w:szCs w:val="20"/>
        </w:rPr>
        <w:t>，建筑物檐高在20m</w:t>
      </w:r>
      <w:r>
        <w:rPr>
          <w:rFonts w:ascii="宋体" w:hAnsi="宋体" w:eastAsia="宋体" w:cs="宋体"/>
          <w:spacing w:val="-22"/>
          <w:sz w:val="20"/>
          <w:szCs w:val="20"/>
        </w:rPr>
        <w:t xml:space="preserve"> </w:t>
      </w:r>
      <w:r>
        <w:rPr>
          <w:rFonts w:ascii="宋体" w:hAnsi="宋体" w:eastAsia="宋体" w:cs="宋体"/>
          <w:spacing w:val="13"/>
          <w:sz w:val="20"/>
          <w:szCs w:val="20"/>
        </w:rPr>
        <w:t>以下为准编制的。建筑物檐高在20m</w:t>
      </w:r>
      <w:r>
        <w:rPr>
          <w:rFonts w:ascii="宋体" w:hAnsi="宋体" w:eastAsia="宋体" w:cs="宋体"/>
          <w:spacing w:val="7"/>
          <w:sz w:val="20"/>
          <w:szCs w:val="20"/>
        </w:rPr>
        <w:t>以上时，其人工、机械等的降效，另按本定额中的超高施工增加计算。其檐高计算起止点规定如下：</w:t>
      </w:r>
    </w:p>
    <w:p>
      <w:pPr>
        <w:spacing w:before="3" w:line="278"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30"/>
          <w:position w:val="1"/>
          <w:sz w:val="20"/>
          <w:szCs w:val="20"/>
        </w:rPr>
        <w:t xml:space="preserve"> </w:t>
      </w:r>
      <w:r>
        <w:rPr>
          <w:rFonts w:ascii="宋体" w:hAnsi="宋体" w:eastAsia="宋体" w:cs="宋体"/>
          <w:spacing w:val="7"/>
          <w:position w:val="1"/>
          <w:sz w:val="20"/>
          <w:szCs w:val="20"/>
        </w:rPr>
        <w:t>1）檐高上皮以正身飞椽上皮为准，无飞椽的量至檐椽上皮。</w:t>
      </w:r>
    </w:p>
    <w:p>
      <w:pPr>
        <w:spacing w:before="121" w:line="277" w:lineRule="exact"/>
        <w:ind w:left="413"/>
        <w:rPr>
          <w:rFonts w:ascii="宋体" w:hAnsi="宋体" w:eastAsia="宋体" w:cs="宋体"/>
          <w:sz w:val="20"/>
          <w:szCs w:val="20"/>
        </w:rPr>
      </w:pPr>
      <w:r>
        <w:rPr>
          <w:rFonts w:ascii="宋体" w:hAnsi="宋体" w:eastAsia="宋体" w:cs="宋体"/>
          <w:spacing w:val="8"/>
          <w:position w:val="1"/>
          <w:sz w:val="20"/>
          <w:szCs w:val="20"/>
        </w:rPr>
        <w:t>（2）檐高下皮规定如下：</w:t>
      </w:r>
    </w:p>
    <w:p>
      <w:pPr>
        <w:spacing w:before="124" w:line="275" w:lineRule="exact"/>
        <w:ind w:left="421"/>
        <w:rPr>
          <w:rFonts w:ascii="宋体" w:hAnsi="宋体" w:eastAsia="宋体" w:cs="宋体"/>
          <w:sz w:val="20"/>
          <w:szCs w:val="20"/>
        </w:rPr>
      </w:pPr>
      <w:r>
        <w:rPr>
          <w:rFonts w:ascii="宋体" w:hAnsi="宋体" w:eastAsia="宋体" w:cs="宋体"/>
          <w:spacing w:val="10"/>
          <w:position w:val="1"/>
          <w:sz w:val="20"/>
          <w:szCs w:val="20"/>
        </w:rPr>
        <w:t>①无月台或月台外边线在檐头外边线以内者</w:t>
      </w:r>
      <w:r>
        <w:rPr>
          <w:rFonts w:ascii="宋体" w:hAnsi="宋体" w:eastAsia="宋体" w:cs="宋体"/>
          <w:spacing w:val="9"/>
          <w:position w:val="1"/>
          <w:sz w:val="20"/>
          <w:szCs w:val="20"/>
        </w:rPr>
        <w:t>，檐高由自然地坪量至最上一层檐头。</w:t>
      </w:r>
    </w:p>
    <w:p>
      <w:pPr>
        <w:spacing w:before="125" w:line="276" w:lineRule="exact"/>
        <w:ind w:left="421"/>
        <w:rPr>
          <w:rFonts w:ascii="宋体" w:hAnsi="宋体" w:eastAsia="宋体" w:cs="宋体"/>
          <w:sz w:val="20"/>
          <w:szCs w:val="20"/>
        </w:rPr>
      </w:pPr>
      <w:r>
        <w:rPr>
          <w:rFonts w:ascii="宋体" w:hAnsi="宋体" w:eastAsia="宋体" w:cs="宋体"/>
          <w:spacing w:val="10"/>
          <w:position w:val="1"/>
          <w:sz w:val="20"/>
          <w:szCs w:val="20"/>
        </w:rPr>
        <w:t>②月台边线在檐头外边线以外或城台、高台上的建筑</w:t>
      </w:r>
      <w:r>
        <w:rPr>
          <w:rFonts w:ascii="宋体" w:hAnsi="宋体" w:eastAsia="宋体" w:cs="宋体"/>
          <w:spacing w:val="9"/>
          <w:position w:val="1"/>
          <w:sz w:val="20"/>
          <w:szCs w:val="20"/>
        </w:rPr>
        <w:t>物，檐高由台上皮量至最上一层檐头。</w:t>
      </w:r>
    </w:p>
    <w:p>
      <w:pPr>
        <w:spacing w:before="123" w:line="276" w:lineRule="exact"/>
        <w:ind w:left="440"/>
        <w:rPr>
          <w:rFonts w:ascii="宋体" w:hAnsi="宋体" w:eastAsia="宋体" w:cs="宋体"/>
          <w:sz w:val="20"/>
          <w:szCs w:val="20"/>
        </w:rPr>
      </w:pPr>
      <w:bookmarkStart w:id="103" w:name="bookmark65"/>
      <w:bookmarkEnd w:id="103"/>
      <w:bookmarkStart w:id="104" w:name="bookmark82"/>
      <w:bookmarkEnd w:id="104"/>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关于计价依据的解释</w:t>
      </w:r>
    </w:p>
    <w:p>
      <w:pPr>
        <w:spacing w:before="123" w:line="369" w:lineRule="auto"/>
        <w:ind w:right="62" w:firstLine="422"/>
        <w:jc w:val="both"/>
        <w:rPr>
          <w:rFonts w:ascii="宋体" w:hAnsi="宋体" w:eastAsia="宋体" w:cs="宋体"/>
          <w:sz w:val="20"/>
          <w:szCs w:val="20"/>
        </w:rPr>
      </w:pPr>
      <w:r>
        <w:rPr>
          <w:rFonts w:ascii="宋体" w:hAnsi="宋体" w:eastAsia="宋体" w:cs="宋体"/>
          <w:spacing w:val="10"/>
          <w:sz w:val="20"/>
          <w:szCs w:val="20"/>
        </w:rPr>
        <w:t>2020</w:t>
      </w:r>
      <w:r>
        <w:rPr>
          <w:rFonts w:ascii="宋体" w:hAnsi="宋体" w:eastAsia="宋体" w:cs="宋体"/>
          <w:spacing w:val="-23"/>
          <w:sz w:val="20"/>
          <w:szCs w:val="20"/>
        </w:rPr>
        <w:t xml:space="preserve"> </w:t>
      </w:r>
      <w:r>
        <w:rPr>
          <w:rFonts w:ascii="宋体" w:hAnsi="宋体" w:eastAsia="宋体" w:cs="宋体"/>
          <w:spacing w:val="10"/>
          <w:sz w:val="20"/>
          <w:szCs w:val="20"/>
        </w:rPr>
        <w:t>年5</w:t>
      </w:r>
      <w:r>
        <w:rPr>
          <w:rFonts w:ascii="宋体" w:hAnsi="宋体" w:eastAsia="宋体" w:cs="宋体"/>
          <w:spacing w:val="-35"/>
          <w:sz w:val="20"/>
          <w:szCs w:val="20"/>
        </w:rPr>
        <w:t xml:space="preserve"> </w:t>
      </w:r>
      <w:r>
        <w:rPr>
          <w:rFonts w:ascii="宋体" w:hAnsi="宋体" w:eastAsia="宋体" w:cs="宋体"/>
          <w:spacing w:val="10"/>
          <w:sz w:val="20"/>
          <w:szCs w:val="20"/>
        </w:rPr>
        <w:t>月</w:t>
      </w:r>
      <w:r>
        <w:rPr>
          <w:rFonts w:ascii="宋体" w:hAnsi="宋体" w:eastAsia="宋体" w:cs="宋体"/>
          <w:spacing w:val="-40"/>
          <w:sz w:val="20"/>
          <w:szCs w:val="20"/>
        </w:rPr>
        <w:t xml:space="preserve"> </w:t>
      </w:r>
      <w:r>
        <w:rPr>
          <w:rFonts w:ascii="宋体" w:hAnsi="宋体" w:eastAsia="宋体" w:cs="宋体"/>
          <w:spacing w:val="10"/>
          <w:sz w:val="20"/>
          <w:szCs w:val="20"/>
        </w:rPr>
        <w:t>28 日山东省住房和城乡建设厅发布《关于印发山东省建设工程计价依据解释工作</w:t>
      </w:r>
      <w:r>
        <w:rPr>
          <w:rFonts w:ascii="宋体" w:hAnsi="宋体" w:eastAsia="宋体" w:cs="宋体"/>
          <w:spacing w:val="7"/>
          <w:sz w:val="20"/>
          <w:szCs w:val="20"/>
        </w:rPr>
        <w:t>办法的通知》（鲁建标字〔2020〕13</w:t>
      </w:r>
      <w:r>
        <w:rPr>
          <w:rFonts w:ascii="宋体" w:hAnsi="宋体" w:eastAsia="宋体" w:cs="宋体"/>
          <w:spacing w:val="-40"/>
          <w:sz w:val="20"/>
          <w:szCs w:val="20"/>
        </w:rPr>
        <w:t xml:space="preserve"> </w:t>
      </w:r>
      <w:r>
        <w:rPr>
          <w:rFonts w:ascii="宋体" w:hAnsi="宋体" w:eastAsia="宋体" w:cs="宋体"/>
          <w:spacing w:val="7"/>
          <w:sz w:val="20"/>
          <w:szCs w:val="20"/>
        </w:rPr>
        <w:t>号</w:t>
      </w:r>
      <w:r>
        <w:rPr>
          <w:rFonts w:ascii="宋体" w:hAnsi="宋体" w:eastAsia="宋体" w:cs="宋体"/>
          <w:spacing w:val="-9"/>
          <w:sz w:val="20"/>
          <w:szCs w:val="20"/>
        </w:rPr>
        <w:t>）</w:t>
      </w:r>
      <w:r>
        <w:rPr>
          <w:rFonts w:ascii="宋体" w:hAnsi="宋体" w:eastAsia="宋体" w:cs="宋体"/>
          <w:spacing w:val="-49"/>
          <w:sz w:val="20"/>
          <w:szCs w:val="20"/>
        </w:rPr>
        <w:t xml:space="preserve"> </w:t>
      </w:r>
      <w:r>
        <w:rPr>
          <w:rFonts w:ascii="宋体" w:hAnsi="宋体" w:eastAsia="宋体" w:cs="宋体"/>
          <w:spacing w:val="-9"/>
          <w:sz w:val="20"/>
          <w:szCs w:val="20"/>
        </w:rPr>
        <w:t>；</w:t>
      </w:r>
      <w:r>
        <w:rPr>
          <w:rFonts w:ascii="宋体" w:hAnsi="宋体" w:eastAsia="宋体" w:cs="宋体"/>
          <w:spacing w:val="7"/>
          <w:sz w:val="20"/>
          <w:szCs w:val="20"/>
        </w:rPr>
        <w:t>2020</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36"/>
          <w:sz w:val="20"/>
          <w:szCs w:val="20"/>
        </w:rPr>
        <w:t xml:space="preserve"> </w:t>
      </w:r>
      <w:r>
        <w:rPr>
          <w:rFonts w:ascii="宋体" w:hAnsi="宋体" w:eastAsia="宋体" w:cs="宋体"/>
          <w:spacing w:val="7"/>
          <w:sz w:val="20"/>
          <w:szCs w:val="20"/>
        </w:rPr>
        <w:t>8</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3"/>
          <w:sz w:val="20"/>
          <w:szCs w:val="20"/>
        </w:rPr>
        <w:t xml:space="preserve"> </w:t>
      </w:r>
      <w:r>
        <w:rPr>
          <w:rFonts w:ascii="宋体" w:hAnsi="宋体" w:eastAsia="宋体" w:cs="宋体"/>
          <w:spacing w:val="7"/>
          <w:sz w:val="20"/>
          <w:szCs w:val="20"/>
        </w:rPr>
        <w:t>1</w:t>
      </w:r>
      <w:r>
        <w:rPr>
          <w:rFonts w:ascii="宋体" w:hAnsi="宋体" w:eastAsia="宋体" w:cs="宋体"/>
          <w:spacing w:val="6"/>
          <w:sz w:val="20"/>
          <w:szCs w:val="20"/>
        </w:rPr>
        <w:t>1 日淄博市住房和城乡建设局发布《关于</w:t>
      </w:r>
      <w:r>
        <w:rPr>
          <w:rFonts w:ascii="宋体" w:hAnsi="宋体" w:eastAsia="宋体" w:cs="宋体"/>
          <w:spacing w:val="11"/>
          <w:sz w:val="20"/>
          <w:szCs w:val="20"/>
        </w:rPr>
        <w:t>转发山东省住房和城乡建设厅〈关于印发《山东省建设工程计价依据解释工作</w:t>
      </w:r>
      <w:r>
        <w:rPr>
          <w:rFonts w:ascii="宋体" w:hAnsi="宋体" w:eastAsia="宋体" w:cs="宋体"/>
          <w:spacing w:val="10"/>
          <w:sz w:val="20"/>
          <w:szCs w:val="20"/>
        </w:rPr>
        <w:t>办法》的通知〉的通</w:t>
      </w:r>
      <w:r>
        <w:rPr>
          <w:rFonts w:ascii="宋体" w:hAnsi="宋体" w:eastAsia="宋体" w:cs="宋体"/>
          <w:spacing w:val="6"/>
          <w:sz w:val="20"/>
          <w:szCs w:val="20"/>
        </w:rPr>
        <w:t>知》</w:t>
      </w:r>
      <w:r>
        <w:rPr>
          <w:rFonts w:ascii="宋体" w:hAnsi="宋体" w:eastAsia="宋体" w:cs="宋体"/>
          <w:spacing w:val="-33"/>
          <w:sz w:val="20"/>
          <w:szCs w:val="20"/>
        </w:rPr>
        <w:t xml:space="preserve"> </w:t>
      </w:r>
      <w:r>
        <w:rPr>
          <w:rFonts w:ascii="宋体" w:hAnsi="宋体" w:eastAsia="宋体" w:cs="宋体"/>
          <w:spacing w:val="6"/>
          <w:sz w:val="20"/>
          <w:szCs w:val="20"/>
        </w:rPr>
        <w:t>；2025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20"/>
          <w:sz w:val="20"/>
          <w:szCs w:val="20"/>
        </w:rPr>
        <w:t xml:space="preserve"> </w:t>
      </w:r>
      <w:r>
        <w:rPr>
          <w:rFonts w:ascii="宋体" w:hAnsi="宋体" w:eastAsia="宋体" w:cs="宋体"/>
          <w:spacing w:val="6"/>
          <w:sz w:val="20"/>
          <w:szCs w:val="20"/>
        </w:rPr>
        <w:t>1</w:t>
      </w:r>
      <w:r>
        <w:rPr>
          <w:rFonts w:ascii="宋体" w:hAnsi="宋体" w:eastAsia="宋体" w:cs="宋体"/>
          <w:spacing w:val="-38"/>
          <w:sz w:val="20"/>
          <w:szCs w:val="20"/>
        </w:rPr>
        <w:t xml:space="preserve"> </w:t>
      </w:r>
      <w:r>
        <w:rPr>
          <w:rFonts w:ascii="宋体" w:hAnsi="宋体" w:eastAsia="宋体" w:cs="宋体"/>
          <w:spacing w:val="6"/>
          <w:sz w:val="20"/>
          <w:szCs w:val="20"/>
        </w:rPr>
        <w:t>月</w:t>
      </w:r>
      <w:r>
        <w:rPr>
          <w:rFonts w:ascii="宋体" w:hAnsi="宋体" w:eastAsia="宋体" w:cs="宋体"/>
          <w:spacing w:val="-19"/>
          <w:sz w:val="20"/>
          <w:szCs w:val="20"/>
        </w:rPr>
        <w:t xml:space="preserve"> </w:t>
      </w:r>
      <w:r>
        <w:rPr>
          <w:rFonts w:ascii="宋体" w:hAnsi="宋体" w:eastAsia="宋体" w:cs="宋体"/>
          <w:spacing w:val="6"/>
          <w:sz w:val="20"/>
          <w:szCs w:val="20"/>
        </w:rPr>
        <w:t>15 日</w:t>
      </w:r>
      <w:r>
        <w:rPr>
          <w:rFonts w:ascii="宋体" w:hAnsi="宋体" w:eastAsia="宋体" w:cs="宋体"/>
          <w:spacing w:val="-60"/>
          <w:sz w:val="20"/>
          <w:szCs w:val="20"/>
        </w:rPr>
        <w:t xml:space="preserve"> </w:t>
      </w:r>
      <w:r>
        <w:rPr>
          <w:rFonts w:ascii="宋体" w:hAnsi="宋体" w:eastAsia="宋体" w:cs="宋体"/>
          <w:spacing w:val="6"/>
          <w:sz w:val="20"/>
          <w:szCs w:val="20"/>
        </w:rPr>
        <w:t>，淄博市住房和城乡建设局发布《关于调整我市建设工程计价依据解释工</w:t>
      </w:r>
      <w:r>
        <w:rPr>
          <w:rFonts w:ascii="宋体" w:hAnsi="宋体" w:eastAsia="宋体" w:cs="宋体"/>
          <w:spacing w:val="10"/>
          <w:sz w:val="20"/>
          <w:szCs w:val="20"/>
        </w:rPr>
        <w:t>作有关事项的通知》。市造价机构日常计价依</w:t>
      </w:r>
      <w:r>
        <w:rPr>
          <w:rFonts w:ascii="宋体" w:hAnsi="宋体" w:eastAsia="宋体" w:cs="宋体"/>
          <w:spacing w:val="9"/>
          <w:sz w:val="20"/>
          <w:szCs w:val="20"/>
        </w:rPr>
        <w:t>据解释工作将按照上述文件内容执行。</w:t>
      </w:r>
    </w:p>
    <w:p>
      <w:pPr>
        <w:spacing w:line="369" w:lineRule="auto"/>
        <w:rPr>
          <w:rFonts w:ascii="宋体" w:hAnsi="宋体" w:eastAsia="宋体" w:cs="宋体"/>
          <w:sz w:val="20"/>
          <w:szCs w:val="20"/>
        </w:rPr>
        <w:sectPr>
          <w:footerReference r:id="rId205" w:type="default"/>
          <w:pgSz w:w="11906" w:h="16839"/>
          <w:pgMar w:top="400" w:right="1355" w:bottom="1212" w:left="1418" w:header="0" w:footer="897" w:gutter="0"/>
        </w:sectPr>
      </w:pPr>
    </w:p>
    <w:p>
      <w:pPr>
        <w:spacing w:line="259" w:lineRule="auto"/>
        <w:rPr>
          <w:rFonts w:ascii="Arial"/>
          <w:sz w:val="21"/>
        </w:rPr>
      </w:pPr>
      <w:r>
        <w:drawing>
          <wp:anchor distT="0" distB="0" distL="0" distR="0" simplePos="0" relativeHeight="257965056" behindDoc="0" locked="0" layoutInCell="0" allowOverlap="1">
            <wp:simplePos x="0" y="0"/>
            <wp:positionH relativeFrom="page">
              <wp:posOffset>3065780</wp:posOffset>
            </wp:positionH>
            <wp:positionV relativeFrom="page">
              <wp:posOffset>2540000</wp:posOffset>
            </wp:positionV>
            <wp:extent cx="50165" cy="1638300"/>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363"/>
                    <a:stretch>
                      <a:fillRect/>
                    </a:stretch>
                  </pic:blipFill>
                  <pic:spPr>
                    <a:xfrm>
                      <a:off x="0" y="0"/>
                      <a:ext cx="50292" cy="1638300"/>
                    </a:xfrm>
                    <a:prstGeom prst="rect">
                      <a:avLst/>
                    </a:prstGeom>
                  </pic:spPr>
                </pic:pic>
              </a:graphicData>
            </a:graphic>
          </wp:anchor>
        </w:drawing>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2"/>
        <w:spacing w:before="133" w:line="232" w:lineRule="auto"/>
        <w:ind w:left="817"/>
        <w:outlineLvl w:val="0"/>
      </w:pPr>
      <w:bookmarkStart w:id="105" w:name="bookmark168"/>
      <w:bookmarkEnd w:id="105"/>
      <w:r>
        <w:rPr>
          <w:spacing w:val="-5"/>
        </w:rPr>
        <w:t>第三章</w:t>
      </w:r>
      <w:r>
        <w:rPr>
          <w:spacing w:val="23"/>
        </w:rPr>
        <w:t xml:space="preserve">   </w:t>
      </w:r>
      <w:r>
        <w:rPr>
          <w:spacing w:val="-5"/>
        </w:rPr>
        <w:t xml:space="preserve">定额计价（ 适用于 </w:t>
      </w:r>
      <w:r>
        <w:rPr>
          <w:rFonts w:ascii="Arial" w:hAnsi="Arial" w:eastAsia="Arial" w:cs="Arial"/>
          <w:spacing w:val="-5"/>
        </w:rPr>
        <w:t xml:space="preserve">2025 </w:t>
      </w:r>
      <w:r>
        <w:rPr>
          <w:spacing w:val="-5"/>
        </w:rPr>
        <w:t>年</w:t>
      </w:r>
      <w:r>
        <w:rPr>
          <w:spacing w:val="25"/>
        </w:rPr>
        <w:t xml:space="preserve"> </w:t>
      </w:r>
      <w:r>
        <w:rPr>
          <w:rFonts w:ascii="Arial" w:hAnsi="Arial" w:eastAsia="Arial" w:cs="Arial"/>
          <w:spacing w:val="-5"/>
        </w:rPr>
        <w:t xml:space="preserve">11 </w:t>
      </w:r>
      <w:r>
        <w:rPr>
          <w:spacing w:val="-5"/>
        </w:rPr>
        <w:t>月</w:t>
      </w:r>
      <w:r>
        <w:rPr>
          <w:spacing w:val="25"/>
        </w:rPr>
        <w:t xml:space="preserve"> </w:t>
      </w:r>
      <w:r>
        <w:rPr>
          <w:rFonts w:ascii="Arial" w:hAnsi="Arial" w:eastAsia="Arial" w:cs="Arial"/>
          <w:spacing w:val="-5"/>
        </w:rPr>
        <w:t xml:space="preserve">1  </w:t>
      </w:r>
      <w:r>
        <w:rPr>
          <w:spacing w:val="-5"/>
        </w:rPr>
        <w:t>日之后 ）</w:t>
      </w:r>
    </w:p>
    <w:p>
      <w:pPr>
        <w:spacing w:before="105" w:line="214" w:lineRule="auto"/>
        <w:ind w:left="3031"/>
        <w:outlineLvl w:val="1"/>
        <w:rPr>
          <w:rFonts w:ascii="宋体" w:hAnsi="宋体" w:eastAsia="宋体" w:cs="宋体"/>
          <w:sz w:val="30"/>
          <w:szCs w:val="30"/>
        </w:rPr>
      </w:pPr>
      <w:bookmarkStart w:id="106" w:name="bookmark67"/>
      <w:bookmarkEnd w:id="106"/>
      <w:bookmarkStart w:id="107" w:name="bookmark84"/>
      <w:bookmarkEnd w:id="107"/>
      <w:bookmarkStart w:id="108" w:name="bookmark86"/>
      <w:bookmarkEnd w:id="108"/>
      <w:bookmarkStart w:id="109" w:name="bookmark88"/>
      <w:bookmarkEnd w:id="109"/>
      <w:bookmarkStart w:id="110" w:name="bookmark66"/>
      <w:bookmarkEnd w:id="110"/>
      <w:bookmarkStart w:id="111" w:name="bookmark83"/>
      <w:bookmarkEnd w:id="111"/>
      <w:bookmarkStart w:id="112" w:name="bookmark85"/>
      <w:bookmarkEnd w:id="112"/>
      <w:bookmarkStart w:id="113" w:name="bookmark87"/>
      <w:bookmarkEnd w:id="113"/>
      <w:r>
        <w:rPr>
          <w:rFonts w:ascii="宋体" w:hAnsi="宋体" w:eastAsia="宋体" w:cs="宋体"/>
          <w:b/>
          <w:bCs/>
          <w:spacing w:val="-3"/>
          <w:sz w:val="30"/>
          <w:szCs w:val="30"/>
        </w:rPr>
        <w:t>第一节</w:t>
      </w:r>
      <w:r>
        <w:rPr>
          <w:rFonts w:ascii="宋体" w:hAnsi="宋体" w:eastAsia="宋体" w:cs="宋体"/>
          <w:spacing w:val="-3"/>
          <w:sz w:val="30"/>
          <w:szCs w:val="30"/>
        </w:rPr>
        <w:t xml:space="preserve">  </w:t>
      </w:r>
      <w:r>
        <w:rPr>
          <w:rFonts w:ascii="宋体" w:hAnsi="宋体" w:eastAsia="宋体" w:cs="宋体"/>
          <w:b/>
          <w:bCs/>
          <w:spacing w:val="-3"/>
          <w:sz w:val="30"/>
          <w:szCs w:val="30"/>
        </w:rPr>
        <w:t>费用项目组成</w:t>
      </w:r>
    </w:p>
    <w:p>
      <w:pPr>
        <w:spacing w:before="277" w:line="277" w:lineRule="exact"/>
        <w:ind w:left="421"/>
        <w:rPr>
          <w:rFonts w:ascii="宋体" w:hAnsi="宋体" w:eastAsia="宋体" w:cs="宋体"/>
          <w:sz w:val="20"/>
          <w:szCs w:val="20"/>
        </w:rPr>
      </w:pPr>
      <w:r>
        <w:rPr>
          <w:rFonts w:ascii="宋体" w:hAnsi="宋体" w:eastAsia="宋体" w:cs="宋体"/>
          <w:spacing w:val="8"/>
          <w:position w:val="1"/>
          <w:sz w:val="20"/>
          <w:szCs w:val="20"/>
        </w:rPr>
        <w:t>建设工程费用项目组成如附表</w:t>
      </w:r>
      <w:r>
        <w:rPr>
          <w:rFonts w:ascii="宋体" w:hAnsi="宋体" w:eastAsia="宋体" w:cs="宋体"/>
          <w:spacing w:val="-20"/>
          <w:position w:val="1"/>
          <w:sz w:val="20"/>
          <w:szCs w:val="20"/>
        </w:rPr>
        <w:t xml:space="preserve"> </w:t>
      </w:r>
      <w:r>
        <w:rPr>
          <w:rFonts w:ascii="宋体" w:hAnsi="宋体" w:eastAsia="宋体" w:cs="宋体"/>
          <w:spacing w:val="8"/>
          <w:position w:val="1"/>
          <w:sz w:val="20"/>
          <w:szCs w:val="20"/>
        </w:rPr>
        <w:t>1</w:t>
      </w:r>
      <w:r>
        <w:rPr>
          <w:rFonts w:ascii="宋体" w:hAnsi="宋体" w:eastAsia="宋体" w:cs="宋体"/>
          <w:spacing w:val="-44"/>
          <w:position w:val="1"/>
          <w:sz w:val="20"/>
          <w:szCs w:val="20"/>
        </w:rPr>
        <w:t xml:space="preserve"> </w:t>
      </w:r>
      <w:r>
        <w:rPr>
          <w:rFonts w:ascii="宋体" w:hAnsi="宋体" w:eastAsia="宋体" w:cs="宋体"/>
          <w:spacing w:val="8"/>
          <w:position w:val="1"/>
          <w:sz w:val="20"/>
          <w:szCs w:val="20"/>
        </w:rPr>
        <w:t>所示，专业工程措施项目一览表如附表</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2</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所示。</w:t>
      </w:r>
    </w:p>
    <w:p>
      <w:pPr>
        <w:spacing w:line="470" w:lineRule="auto"/>
        <w:rPr>
          <w:rFonts w:ascii="Arial"/>
          <w:sz w:val="21"/>
        </w:rPr>
      </w:pPr>
    </w:p>
    <w:p>
      <w:pPr>
        <w:spacing w:before="78" w:line="222" w:lineRule="auto"/>
        <w:ind w:left="2738"/>
        <w:rPr>
          <w:rFonts w:ascii="黑体" w:hAnsi="黑体" w:eastAsia="黑体" w:cs="黑体"/>
          <w:sz w:val="24"/>
          <w:szCs w:val="24"/>
        </w:rPr>
      </w:pPr>
      <w:r>
        <w:rPr>
          <w:rFonts w:ascii="黑体" w:hAnsi="黑体" w:eastAsia="黑体" w:cs="黑体"/>
          <w:spacing w:val="-8"/>
          <w:sz w:val="24"/>
          <w:szCs w:val="24"/>
        </w:rPr>
        <w:t>附表1</w:t>
      </w:r>
      <w:r>
        <w:rPr>
          <w:rFonts w:ascii="黑体" w:hAnsi="黑体" w:eastAsia="黑体" w:cs="黑体"/>
          <w:spacing w:val="19"/>
          <w:sz w:val="24"/>
          <w:szCs w:val="24"/>
        </w:rPr>
        <w:t xml:space="preserve">   </w:t>
      </w:r>
      <w:r>
        <w:rPr>
          <w:rFonts w:ascii="黑体" w:hAnsi="黑体" w:eastAsia="黑体" w:cs="黑体"/>
          <w:spacing w:val="-8"/>
          <w:sz w:val="24"/>
          <w:szCs w:val="24"/>
        </w:rPr>
        <w:t>建设工程费用项</w:t>
      </w:r>
      <w:r>
        <w:rPr>
          <w:rFonts w:ascii="黑体" w:hAnsi="黑体" w:eastAsia="黑体" w:cs="黑体"/>
          <w:spacing w:val="-43"/>
          <w:sz w:val="24"/>
          <w:szCs w:val="24"/>
        </w:rPr>
        <w:t xml:space="preserve"> </w:t>
      </w:r>
      <w:r>
        <w:rPr>
          <w:rFonts w:ascii="黑体" w:hAnsi="黑体" w:eastAsia="黑体" w:cs="黑体"/>
          <w:spacing w:val="-8"/>
          <w:sz w:val="24"/>
          <w:szCs w:val="24"/>
        </w:rPr>
        <w:t>目组成表</w:t>
      </w:r>
    </w:p>
    <w:p>
      <w:pPr>
        <w:spacing w:line="63" w:lineRule="exact"/>
      </w:pPr>
    </w:p>
    <w:p>
      <w:pPr>
        <w:spacing w:line="63" w:lineRule="exact"/>
        <w:sectPr>
          <w:headerReference r:id="rId206" w:type="default"/>
          <w:footerReference r:id="rId207" w:type="default"/>
          <w:pgSz w:w="11905" w:h="16840"/>
          <w:pgMar w:top="400" w:right="1167" w:bottom="1213" w:left="1418" w:header="0" w:footer="898" w:gutter="0"/>
          <w:cols w:equalWidth="0" w:num="1">
            <w:col w:w="9319"/>
          </w:cols>
        </w:sectPr>
      </w:pPr>
    </w:p>
    <w:p>
      <w:pPr>
        <w:spacing w:before="264" w:line="265" w:lineRule="exact"/>
        <w:ind w:left="3658"/>
        <w:rPr>
          <w:rFonts w:ascii="宋体" w:hAnsi="宋体" w:eastAsia="宋体" w:cs="宋体"/>
          <w:sz w:val="20"/>
          <w:szCs w:val="20"/>
        </w:rPr>
      </w:pPr>
      <w:r>
        <w:rPr>
          <w:rFonts w:ascii="宋体" w:hAnsi="宋体" w:eastAsia="宋体" w:cs="宋体"/>
          <w:spacing w:val="11"/>
          <w:position w:val="1"/>
          <w:sz w:val="20"/>
          <w:szCs w:val="20"/>
        </w:rPr>
        <w:t>1.房屋建筑与装饰工程</w:t>
      </w:r>
    </w:p>
    <w:p>
      <w:pPr>
        <w:spacing w:before="1" w:line="219" w:lineRule="auto"/>
        <w:ind w:left="3622"/>
        <w:rPr>
          <w:rFonts w:ascii="宋体" w:hAnsi="宋体" w:eastAsia="宋体" w:cs="宋体"/>
          <w:sz w:val="20"/>
          <w:szCs w:val="20"/>
        </w:rPr>
      </w:pPr>
      <w:r>
        <w:pict>
          <v:shape id="_x0000_s1062" o:spid="_x0000_s1062" o:spt="202" type="#_x0000_t202" style="position:absolute;left:0pt;margin-left:66.85pt;margin-top:8.6pt;height:13.95pt;width:100.9pt;z-index:257963008;mso-width-relative:page;mso-height-relative:page;" filled="f" stroked="f" coordsize="21600,21600">
            <v:path/>
            <v:fill on="f" focussize="0,0"/>
            <v:stroke on="f"/>
            <v:imagedata o:title=""/>
            <o:lock v:ext="edit" aspectratio="f"/>
            <v:textbox inset="0mm,0mm,0mm,0mm">
              <w:txbxContent>
                <w:p>
                  <w:pPr>
                    <w:spacing w:before="19" w:line="215" w:lineRule="auto"/>
                    <w:ind w:left="20"/>
                    <w:rPr>
                      <w:rFonts w:ascii="Arial" w:hAnsi="Arial" w:eastAsia="Arial" w:cs="Arial"/>
                      <w:sz w:val="20"/>
                      <w:szCs w:val="20"/>
                    </w:rPr>
                  </w:pPr>
                  <w:r>
                    <w:rPr>
                      <w:rFonts w:ascii="宋体" w:hAnsi="宋体" w:eastAsia="宋体" w:cs="宋体"/>
                      <w:spacing w:val="19"/>
                      <w:sz w:val="20"/>
                      <w:szCs w:val="20"/>
                    </w:rPr>
                    <w:t>分部分项工程费</w:t>
                  </w:r>
                  <w:r>
                    <w:rPr>
                      <w:rFonts w:ascii="Arial" w:hAnsi="Arial" w:eastAsia="Arial" w:cs="Arial"/>
                      <w:spacing w:val="19"/>
                      <w:position w:val="2"/>
                      <w:sz w:val="20"/>
                      <w:szCs w:val="20"/>
                    </w:rPr>
                    <w:t>——</w:t>
                  </w:r>
                </w:p>
              </w:txbxContent>
            </v:textbox>
          </v:shape>
        </w:pict>
      </w:r>
      <w:r>
        <w:rPr>
          <w:rFonts w:ascii="宋体" w:hAnsi="宋体" w:eastAsia="宋体" w:cs="宋体"/>
          <w:spacing w:val="22"/>
          <w:sz w:val="20"/>
          <w:szCs w:val="20"/>
        </w:rPr>
        <w:t>①土石方工程</w:t>
      </w:r>
    </w:p>
    <w:p>
      <w:pPr>
        <w:spacing w:before="3" w:line="220" w:lineRule="auto"/>
        <w:ind w:left="3601"/>
        <w:rPr>
          <w:rFonts w:ascii="宋体" w:hAnsi="宋体" w:eastAsia="宋体" w:cs="宋体"/>
          <w:sz w:val="20"/>
          <w:szCs w:val="20"/>
        </w:rPr>
      </w:pPr>
      <w:r>
        <w:rPr>
          <w:rFonts w:ascii="宋体" w:hAnsi="宋体" w:eastAsia="宋体" w:cs="宋体"/>
          <w:spacing w:val="26"/>
          <w:sz w:val="20"/>
          <w:szCs w:val="20"/>
        </w:rPr>
        <w:t>②地基处理与边坡支护工程</w:t>
      </w:r>
    </w:p>
    <w:p>
      <w:pPr>
        <w:spacing w:line="220" w:lineRule="auto"/>
        <w:ind w:left="3601"/>
        <w:rPr>
          <w:rFonts w:ascii="宋体" w:hAnsi="宋体" w:eastAsia="宋体" w:cs="宋体"/>
          <w:sz w:val="20"/>
          <w:szCs w:val="20"/>
        </w:rPr>
      </w:pPr>
      <w:r>
        <w:rPr>
          <w:rFonts w:ascii="宋体" w:hAnsi="宋体" w:eastAsia="宋体" w:cs="宋体"/>
          <w:spacing w:val="21"/>
          <w:sz w:val="20"/>
          <w:szCs w:val="20"/>
        </w:rPr>
        <w:t>③桩基工程</w:t>
      </w:r>
    </w:p>
    <w:p>
      <w:pPr>
        <w:spacing w:before="96" w:line="144" w:lineRule="exact"/>
        <w:ind w:left="3618"/>
        <w:rPr>
          <w:rFonts w:ascii="宋体" w:hAnsi="宋体" w:eastAsia="宋体" w:cs="宋体"/>
          <w:sz w:val="20"/>
          <w:szCs w:val="20"/>
        </w:rPr>
      </w:pPr>
      <w:r>
        <w:rPr>
          <w:rFonts w:ascii="宋体" w:hAnsi="宋体" w:eastAsia="宋体" w:cs="宋体"/>
          <w:spacing w:val="3"/>
          <w:position w:val="-9"/>
          <w:sz w:val="20"/>
          <w:szCs w:val="20"/>
        </w:rPr>
        <w:t>……</w:t>
      </w:r>
    </w:p>
    <w:p>
      <w:pPr>
        <w:spacing w:before="1" w:line="264" w:lineRule="exact"/>
        <w:ind w:left="3626"/>
        <w:rPr>
          <w:rFonts w:ascii="宋体" w:hAnsi="宋体" w:eastAsia="宋体" w:cs="宋体"/>
          <w:sz w:val="20"/>
          <w:szCs w:val="20"/>
        </w:rPr>
      </w:pPr>
      <w:r>
        <w:rPr>
          <w:rFonts w:ascii="宋体" w:hAnsi="宋体" w:eastAsia="宋体" w:cs="宋体"/>
          <w:spacing w:val="11"/>
          <w:position w:val="1"/>
          <w:sz w:val="20"/>
          <w:szCs w:val="20"/>
        </w:rPr>
        <w:t>2.通用安装工程</w:t>
      </w:r>
    </w:p>
    <w:p>
      <w:pPr>
        <w:spacing w:before="1" w:line="221" w:lineRule="auto"/>
        <w:ind w:left="3632"/>
        <w:rPr>
          <w:rFonts w:ascii="宋体" w:hAnsi="宋体" w:eastAsia="宋体" w:cs="宋体"/>
          <w:sz w:val="20"/>
          <w:szCs w:val="20"/>
        </w:rPr>
      </w:pPr>
      <w:r>
        <w:rPr>
          <w:rFonts w:ascii="宋体" w:hAnsi="宋体" w:eastAsia="宋体" w:cs="宋体"/>
          <w:spacing w:val="5"/>
          <w:sz w:val="20"/>
          <w:szCs w:val="20"/>
        </w:rPr>
        <w:t>3.市政工程</w:t>
      </w:r>
    </w:p>
    <w:p>
      <w:pPr>
        <w:spacing w:line="278" w:lineRule="exact"/>
        <w:ind w:left="3599"/>
        <w:rPr>
          <w:rFonts w:ascii="宋体" w:hAnsi="宋体" w:eastAsia="宋体" w:cs="宋体"/>
          <w:sz w:val="20"/>
          <w:szCs w:val="20"/>
        </w:rPr>
      </w:pPr>
      <w:r>
        <w:rPr>
          <w:rFonts w:ascii="宋体" w:hAnsi="宋体" w:eastAsia="宋体" w:cs="宋体"/>
          <w:spacing w:val="12"/>
          <w:position w:val="1"/>
          <w:sz w:val="20"/>
          <w:szCs w:val="20"/>
        </w:rPr>
        <w:t>4.园林绿化工程</w:t>
      </w:r>
    </w:p>
    <w:p>
      <w:pPr>
        <w:spacing w:before="81" w:line="143" w:lineRule="exact"/>
        <w:ind w:left="3618"/>
        <w:rPr>
          <w:rFonts w:ascii="宋体" w:hAnsi="宋体" w:eastAsia="宋体" w:cs="宋体"/>
          <w:sz w:val="20"/>
          <w:szCs w:val="20"/>
        </w:rPr>
      </w:pPr>
      <w:r>
        <w:rPr>
          <w:rFonts w:ascii="宋体" w:hAnsi="宋体" w:eastAsia="宋体" w:cs="宋体"/>
          <w:spacing w:val="3"/>
          <w:position w:val="-9"/>
          <w:sz w:val="20"/>
          <w:szCs w:val="20"/>
        </w:rPr>
        <w:t>……</w:t>
      </w:r>
    </w:p>
    <w:p>
      <w:pPr>
        <w:spacing w:line="326" w:lineRule="auto"/>
        <w:rPr>
          <w:rFonts w:ascii="Arial"/>
          <w:sz w:val="21"/>
        </w:rPr>
      </w:pPr>
      <w:r>
        <w:drawing>
          <wp:anchor distT="0" distB="0" distL="0" distR="0" simplePos="0" relativeHeight="257959936" behindDoc="1" locked="0" layoutInCell="1" allowOverlap="1">
            <wp:simplePos x="0" y="0"/>
            <wp:positionH relativeFrom="column">
              <wp:posOffset>1657350</wp:posOffset>
            </wp:positionH>
            <wp:positionV relativeFrom="paragraph">
              <wp:posOffset>22225</wp:posOffset>
            </wp:positionV>
            <wp:extent cx="685800" cy="263017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399"/>
                    <a:stretch>
                      <a:fillRect/>
                    </a:stretch>
                  </pic:blipFill>
                  <pic:spPr>
                    <a:xfrm>
                      <a:off x="0" y="0"/>
                      <a:ext cx="685800" cy="2630423"/>
                    </a:xfrm>
                    <a:prstGeom prst="rect">
                      <a:avLst/>
                    </a:prstGeom>
                  </pic:spPr>
                </pic:pic>
              </a:graphicData>
            </a:graphic>
          </wp:anchor>
        </w:drawing>
      </w:r>
    </w:p>
    <w:p>
      <w:pPr>
        <w:spacing w:before="66" w:line="241" w:lineRule="auto"/>
        <w:ind w:left="4091"/>
        <w:rPr>
          <w:rFonts w:ascii="宋体" w:hAnsi="宋体" w:eastAsia="宋体" w:cs="宋体"/>
          <w:sz w:val="20"/>
          <w:szCs w:val="20"/>
        </w:rPr>
      </w:pPr>
      <w:r>
        <w:drawing>
          <wp:anchor distT="0" distB="0" distL="0" distR="0" simplePos="0" relativeHeight="257960960" behindDoc="1" locked="0" layoutInCell="1" allowOverlap="1">
            <wp:simplePos x="0" y="0"/>
            <wp:positionH relativeFrom="column">
              <wp:posOffset>3882390</wp:posOffset>
            </wp:positionH>
            <wp:positionV relativeFrom="paragraph">
              <wp:posOffset>-1852930</wp:posOffset>
            </wp:positionV>
            <wp:extent cx="1130935" cy="466344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365"/>
                    <a:stretch>
                      <a:fillRect/>
                    </a:stretch>
                  </pic:blipFill>
                  <pic:spPr>
                    <a:xfrm>
                      <a:off x="0" y="0"/>
                      <a:ext cx="1130808" cy="4663440"/>
                    </a:xfrm>
                    <a:prstGeom prst="rect">
                      <a:avLst/>
                    </a:prstGeom>
                  </pic:spPr>
                </pic:pic>
              </a:graphicData>
            </a:graphic>
          </wp:anchor>
        </w:drawing>
      </w:r>
      <w:r>
        <w:rPr>
          <w:rFonts w:ascii="宋体" w:hAnsi="宋体" w:eastAsia="宋体" w:cs="宋体"/>
          <w:spacing w:val="19"/>
          <w:sz w:val="20"/>
          <w:szCs w:val="20"/>
        </w:rPr>
        <w:t>一、通用措施项目费：</w:t>
      </w:r>
    </w:p>
    <w:p>
      <w:pPr>
        <w:spacing w:line="266" w:lineRule="exact"/>
        <w:ind w:left="4121"/>
        <w:rPr>
          <w:rFonts w:ascii="宋体" w:hAnsi="宋体" w:eastAsia="宋体" w:cs="宋体"/>
          <w:sz w:val="20"/>
          <w:szCs w:val="20"/>
        </w:rPr>
      </w:pPr>
      <w:r>
        <w:pict>
          <v:shape id="_x0000_s1063" o:spid="_x0000_s1063" o:spt="202" type="#_x0000_t202" style="position:absolute;left:0pt;margin-left:8.05pt;margin-top:2.6pt;height:104pt;width:15.5pt;z-index:257961984;mso-width-relative:page;mso-height-relative:page;" filled="f" stroked="f" coordsize="21600,21600">
            <v:path/>
            <v:fill on="f" focussize="0,0"/>
            <v:stroke on="f"/>
            <v:imagedata o:title=""/>
            <o:lock v:ext="edit" aspectratio="f"/>
            <v:textbox inset="0mm,0mm,0mm,0mm" style="layout-flow:vertical-ideographic;">
              <w:txbxContent>
                <w:p>
                  <w:pPr>
                    <w:spacing w:before="19" w:line="202" w:lineRule="auto"/>
                    <w:ind w:left="20"/>
                    <w:rPr>
                      <w:rFonts w:ascii="宋体" w:hAnsi="宋体" w:eastAsia="宋体" w:cs="宋体"/>
                      <w:sz w:val="24"/>
                      <w:szCs w:val="24"/>
                    </w:rPr>
                  </w:pPr>
                  <w:r>
                    <w:rPr>
                      <w:rFonts w:ascii="宋体" w:hAnsi="宋体" w:eastAsia="宋体" w:cs="宋体"/>
                      <w:sz w:val="24"/>
                      <w:szCs w:val="24"/>
                    </w:rPr>
                    <w:t>建 设 工 程 费 用</w:t>
                  </w:r>
                </w:p>
              </w:txbxContent>
            </v:textbox>
          </v:shape>
        </w:pict>
      </w:r>
      <w:r>
        <w:rPr>
          <w:rFonts w:ascii="宋体" w:hAnsi="宋体" w:eastAsia="宋体" w:cs="宋体"/>
          <w:spacing w:val="9"/>
          <w:position w:val="1"/>
          <w:sz w:val="20"/>
          <w:szCs w:val="20"/>
        </w:rPr>
        <w:t>1.夜间施工增加费</w:t>
      </w:r>
    </w:p>
    <w:p>
      <w:pPr>
        <w:spacing w:line="264" w:lineRule="exact"/>
        <w:ind w:left="4089"/>
        <w:rPr>
          <w:rFonts w:ascii="宋体" w:hAnsi="宋体" w:eastAsia="宋体" w:cs="宋体"/>
          <w:sz w:val="20"/>
          <w:szCs w:val="20"/>
        </w:rPr>
      </w:pPr>
      <w:r>
        <w:rPr>
          <w:rFonts w:ascii="宋体" w:hAnsi="宋体" w:eastAsia="宋体" w:cs="宋体"/>
          <w:spacing w:val="9"/>
          <w:position w:val="1"/>
          <w:sz w:val="20"/>
          <w:szCs w:val="20"/>
        </w:rPr>
        <w:t>2.二次搬运费</w:t>
      </w:r>
    </w:p>
    <w:p>
      <w:pPr>
        <w:spacing w:line="266" w:lineRule="exact"/>
        <w:ind w:left="4095"/>
        <w:rPr>
          <w:rFonts w:ascii="宋体" w:hAnsi="宋体" w:eastAsia="宋体" w:cs="宋体"/>
          <w:sz w:val="20"/>
          <w:szCs w:val="20"/>
        </w:rPr>
      </w:pPr>
      <w:r>
        <w:rPr>
          <w:rFonts w:ascii="宋体" w:hAnsi="宋体" w:eastAsia="宋体" w:cs="宋体"/>
          <w:spacing w:val="13"/>
          <w:position w:val="1"/>
          <w:sz w:val="20"/>
          <w:szCs w:val="20"/>
        </w:rPr>
        <w:t>3.冬雨季施工增加费</w:t>
      </w:r>
    </w:p>
    <w:p>
      <w:pPr>
        <w:spacing w:line="264" w:lineRule="exact"/>
        <w:ind w:left="4084"/>
        <w:rPr>
          <w:rFonts w:ascii="宋体" w:hAnsi="宋体" w:eastAsia="宋体" w:cs="宋体"/>
          <w:sz w:val="20"/>
          <w:szCs w:val="20"/>
        </w:rPr>
      </w:pPr>
      <w:r>
        <w:pict>
          <v:shape id="_x0000_s1064" o:spid="_x0000_s1064" o:spt="202" type="#_x0000_t202" style="position:absolute;left:0pt;margin-left:69.3pt;margin-top:1.85pt;height:13.9pt;width:57.55pt;z-index:257964032;mso-width-relative:page;mso-height-relative:page;" filled="f" stroked="f" coordsize="21600,21600">
            <v:path/>
            <v:fill on="f" focussize="0,0"/>
            <v:stroke on="f"/>
            <v:imagedata o:title=""/>
            <o:lock v:ext="edit" aspectratio="f"/>
            <v:textbox inset="0mm,0mm,0mm,0mm">
              <w:txbxContent>
                <w:p>
                  <w:pPr>
                    <w:spacing w:before="20" w:line="219" w:lineRule="auto"/>
                    <w:ind w:left="20"/>
                    <w:rPr>
                      <w:rFonts w:ascii="宋体" w:hAnsi="宋体" w:eastAsia="宋体" w:cs="宋体"/>
                      <w:sz w:val="20"/>
                      <w:szCs w:val="20"/>
                    </w:rPr>
                  </w:pPr>
                  <w:r>
                    <w:rPr>
                      <w:rFonts w:ascii="宋体" w:hAnsi="宋体" w:eastAsia="宋体" w:cs="宋体"/>
                      <w:spacing w:val="22"/>
                      <w:sz w:val="20"/>
                      <w:szCs w:val="20"/>
                    </w:rPr>
                    <w:t>措施项目费</w:t>
                  </w:r>
                </w:p>
              </w:txbxContent>
            </v:textbox>
          </v:shape>
        </w:pict>
      </w:r>
      <w:r>
        <w:rPr>
          <w:rFonts w:ascii="宋体" w:hAnsi="宋体" w:eastAsia="宋体" w:cs="宋体"/>
          <w:spacing w:val="17"/>
          <w:position w:val="1"/>
          <w:sz w:val="20"/>
          <w:szCs w:val="20"/>
        </w:rPr>
        <w:t>4.已完工程及设备保护费</w:t>
      </w:r>
    </w:p>
    <w:p>
      <w:pPr>
        <w:spacing w:line="267" w:lineRule="exact"/>
        <w:ind w:left="4091"/>
        <w:rPr>
          <w:rFonts w:ascii="宋体" w:hAnsi="宋体" w:eastAsia="宋体" w:cs="宋体"/>
          <w:sz w:val="20"/>
          <w:szCs w:val="20"/>
        </w:rPr>
      </w:pPr>
      <w:r>
        <w:rPr>
          <w:rFonts w:ascii="宋体" w:hAnsi="宋体" w:eastAsia="宋体" w:cs="宋体"/>
          <w:spacing w:val="19"/>
          <w:position w:val="1"/>
          <w:sz w:val="20"/>
          <w:szCs w:val="20"/>
        </w:rPr>
        <w:t>二、专业措施项目费：</w:t>
      </w:r>
    </w:p>
    <w:p>
      <w:pPr>
        <w:spacing w:line="264" w:lineRule="exact"/>
        <w:ind w:left="4121"/>
        <w:rPr>
          <w:rFonts w:ascii="宋体" w:hAnsi="宋体" w:eastAsia="宋体" w:cs="宋体"/>
          <w:sz w:val="20"/>
          <w:szCs w:val="20"/>
        </w:rPr>
      </w:pPr>
      <w:r>
        <w:rPr>
          <w:rFonts w:ascii="宋体" w:hAnsi="宋体" w:eastAsia="宋体" w:cs="宋体"/>
          <w:position w:val="1"/>
          <w:sz w:val="20"/>
          <w:szCs w:val="20"/>
        </w:rPr>
        <w:t>1.脚手架费</w:t>
      </w:r>
    </w:p>
    <w:p>
      <w:pPr>
        <w:spacing w:line="277" w:lineRule="exact"/>
        <w:ind w:left="4104"/>
        <w:rPr>
          <w:rFonts w:ascii="宋体" w:hAnsi="宋体" w:eastAsia="宋体" w:cs="宋体"/>
          <w:sz w:val="20"/>
          <w:szCs w:val="20"/>
        </w:rPr>
      </w:pPr>
      <w:r>
        <w:rPr>
          <w:rFonts w:ascii="宋体" w:hAnsi="宋体" w:eastAsia="宋体" w:cs="宋体"/>
          <w:spacing w:val="9"/>
          <w:position w:val="1"/>
          <w:sz w:val="20"/>
          <w:szCs w:val="20"/>
        </w:rPr>
        <w:t>2.垂直运输费</w:t>
      </w:r>
    </w:p>
    <w:p>
      <w:pPr>
        <w:spacing w:before="82" w:line="143" w:lineRule="exact"/>
        <w:ind w:left="4120"/>
        <w:rPr>
          <w:rFonts w:ascii="宋体" w:hAnsi="宋体" w:eastAsia="宋体" w:cs="宋体"/>
          <w:sz w:val="20"/>
          <w:szCs w:val="20"/>
        </w:rPr>
      </w:pPr>
      <w:r>
        <w:rPr>
          <w:rFonts w:ascii="宋体" w:hAnsi="宋体" w:eastAsia="宋体" w:cs="宋体"/>
          <w:spacing w:val="3"/>
          <w:position w:val="-9"/>
          <w:sz w:val="20"/>
          <w:szCs w:val="20"/>
        </w:rPr>
        <w:t>……</w:t>
      </w:r>
    </w:p>
    <w:p>
      <w:pPr>
        <w:spacing w:before="2" w:line="264" w:lineRule="exact"/>
        <w:ind w:left="4090"/>
        <w:rPr>
          <w:rFonts w:ascii="宋体" w:hAnsi="宋体" w:eastAsia="宋体" w:cs="宋体"/>
          <w:sz w:val="20"/>
          <w:szCs w:val="20"/>
        </w:rPr>
      </w:pPr>
      <w:r>
        <w:rPr>
          <w:rFonts w:ascii="宋体" w:hAnsi="宋体" w:eastAsia="宋体" w:cs="宋体"/>
          <w:spacing w:val="20"/>
          <w:position w:val="1"/>
          <w:sz w:val="20"/>
          <w:szCs w:val="20"/>
        </w:rPr>
        <w:t>三、安全文明措施费：</w:t>
      </w:r>
    </w:p>
    <w:p>
      <w:pPr>
        <w:spacing w:line="266" w:lineRule="exact"/>
        <w:ind w:left="4121"/>
        <w:rPr>
          <w:rFonts w:ascii="宋体" w:hAnsi="宋体" w:eastAsia="宋体" w:cs="宋体"/>
          <w:sz w:val="20"/>
          <w:szCs w:val="20"/>
        </w:rPr>
      </w:pPr>
      <w:r>
        <w:rPr>
          <w:rFonts w:ascii="宋体" w:hAnsi="宋体" w:eastAsia="宋体" w:cs="宋体"/>
          <w:spacing w:val="4"/>
          <w:position w:val="1"/>
          <w:sz w:val="20"/>
          <w:szCs w:val="20"/>
        </w:rPr>
        <w:t>1.安全生产费</w:t>
      </w:r>
    </w:p>
    <w:p>
      <w:pPr>
        <w:spacing w:line="267" w:lineRule="exact"/>
        <w:ind w:left="4089"/>
        <w:rPr>
          <w:rFonts w:ascii="宋体" w:hAnsi="宋体" w:eastAsia="宋体" w:cs="宋体"/>
          <w:sz w:val="20"/>
          <w:szCs w:val="20"/>
        </w:rPr>
      </w:pPr>
      <w:r>
        <w:rPr>
          <w:rFonts w:ascii="宋体" w:hAnsi="宋体" w:eastAsia="宋体" w:cs="宋体"/>
          <w:spacing w:val="9"/>
          <w:position w:val="1"/>
          <w:sz w:val="20"/>
          <w:szCs w:val="20"/>
        </w:rPr>
        <w:t>2.环境保护费</w:t>
      </w:r>
    </w:p>
    <w:p>
      <w:pPr>
        <w:spacing w:line="264" w:lineRule="exact"/>
        <w:ind w:left="4095"/>
        <w:rPr>
          <w:rFonts w:ascii="宋体" w:hAnsi="宋体" w:eastAsia="宋体" w:cs="宋体"/>
          <w:sz w:val="20"/>
          <w:szCs w:val="20"/>
        </w:rPr>
      </w:pPr>
      <w:r>
        <w:rPr>
          <w:rFonts w:ascii="宋体" w:hAnsi="宋体" w:eastAsia="宋体" w:cs="宋体"/>
          <w:spacing w:val="7"/>
          <w:position w:val="1"/>
          <w:sz w:val="20"/>
          <w:szCs w:val="20"/>
        </w:rPr>
        <w:t>3.文明施工费</w:t>
      </w:r>
    </w:p>
    <w:p>
      <w:pPr>
        <w:spacing w:line="277" w:lineRule="exact"/>
        <w:ind w:left="4084"/>
        <w:rPr>
          <w:rFonts w:ascii="宋体" w:hAnsi="宋体" w:eastAsia="宋体" w:cs="宋体"/>
          <w:sz w:val="20"/>
          <w:szCs w:val="20"/>
        </w:rPr>
      </w:pPr>
      <w:r>
        <w:rPr>
          <w:rFonts w:ascii="宋体" w:hAnsi="宋体" w:eastAsia="宋体" w:cs="宋体"/>
          <w:spacing w:val="9"/>
          <w:position w:val="1"/>
          <w:sz w:val="20"/>
          <w:szCs w:val="20"/>
        </w:rPr>
        <w:t>4.临时设施费</w:t>
      </w:r>
    </w:p>
    <w:p>
      <w:pPr>
        <w:spacing w:line="89" w:lineRule="exact"/>
      </w:pPr>
    </w:p>
    <w:p>
      <w:pPr>
        <w:spacing w:line="14" w:lineRule="auto"/>
        <w:rPr>
          <w:rFonts w:ascii="Arial"/>
          <w:sz w:val="2"/>
        </w:rPr>
      </w:pPr>
      <w:r>
        <w:rPr>
          <w:rFonts w:ascii="Arial" w:hAnsi="Arial" w:eastAsia="Arial" w:cs="Arial"/>
          <w:sz w:val="2"/>
          <w:szCs w:val="2"/>
        </w:rPr>
        <w:br w:type="column"/>
      </w: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65" w:line="222" w:lineRule="auto"/>
        <w:ind w:left="49"/>
        <w:rPr>
          <w:rFonts w:ascii="宋体" w:hAnsi="宋体" w:eastAsia="宋体" w:cs="宋体"/>
          <w:sz w:val="20"/>
          <w:szCs w:val="20"/>
        </w:rPr>
      </w:pPr>
      <w:r>
        <w:rPr>
          <w:rFonts w:ascii="宋体" w:hAnsi="宋体" w:eastAsia="宋体" w:cs="宋体"/>
          <w:spacing w:val="-6"/>
          <w:sz w:val="19"/>
          <w:szCs w:val="19"/>
        </w:rPr>
        <w:t>1</w:t>
      </w:r>
      <w:r>
        <w:rPr>
          <w:rFonts w:ascii="宋体" w:hAnsi="宋体" w:eastAsia="宋体" w:cs="宋体"/>
          <w:spacing w:val="-6"/>
          <w:sz w:val="20"/>
          <w:szCs w:val="20"/>
        </w:rPr>
        <w:t>.人工费</w:t>
      </w:r>
    </w:p>
    <w:p>
      <w:pPr>
        <w:spacing w:line="285" w:lineRule="auto"/>
        <w:rPr>
          <w:rFonts w:ascii="Arial"/>
          <w:sz w:val="21"/>
        </w:rPr>
      </w:pPr>
    </w:p>
    <w:p>
      <w:pPr>
        <w:spacing w:before="66" w:line="277" w:lineRule="exact"/>
        <w:ind w:left="18"/>
        <w:rPr>
          <w:rFonts w:ascii="宋体" w:hAnsi="宋体" w:eastAsia="宋体" w:cs="宋体"/>
          <w:sz w:val="20"/>
          <w:szCs w:val="20"/>
        </w:rPr>
      </w:pPr>
      <w:r>
        <w:rPr>
          <w:rFonts w:ascii="宋体" w:hAnsi="宋体" w:eastAsia="宋体" w:cs="宋体"/>
          <w:spacing w:val="1"/>
          <w:position w:val="1"/>
          <w:sz w:val="20"/>
          <w:szCs w:val="20"/>
        </w:rPr>
        <w:t>2.材料费</w:t>
      </w:r>
    </w:p>
    <w:p>
      <w:pPr>
        <w:spacing w:line="256" w:lineRule="auto"/>
        <w:rPr>
          <w:rFonts w:ascii="Arial"/>
          <w:sz w:val="21"/>
        </w:rPr>
      </w:pPr>
    </w:p>
    <w:p>
      <w:pPr>
        <w:spacing w:before="65" w:line="277" w:lineRule="exact"/>
        <w:jc w:val="right"/>
        <w:rPr>
          <w:rFonts w:ascii="宋体" w:hAnsi="宋体" w:eastAsia="宋体" w:cs="宋体"/>
          <w:sz w:val="20"/>
          <w:szCs w:val="20"/>
        </w:rPr>
      </w:pPr>
      <w:r>
        <w:rPr>
          <w:rFonts w:ascii="宋体" w:hAnsi="宋体" w:eastAsia="宋体" w:cs="宋体"/>
          <w:spacing w:val="9"/>
          <w:position w:val="1"/>
          <w:sz w:val="20"/>
          <w:szCs w:val="20"/>
        </w:rPr>
        <w:t>3.施工机具使用费</w:t>
      </w:r>
    </w:p>
    <w:p>
      <w:pPr>
        <w:spacing w:line="256" w:lineRule="auto"/>
        <w:rPr>
          <w:rFonts w:ascii="Arial"/>
          <w:sz w:val="21"/>
        </w:rPr>
      </w:pPr>
    </w:p>
    <w:p>
      <w:pPr>
        <w:spacing w:before="65" w:line="278" w:lineRule="exact"/>
        <w:ind w:left="12"/>
        <w:rPr>
          <w:rFonts w:ascii="宋体" w:hAnsi="宋体" w:eastAsia="宋体" w:cs="宋体"/>
          <w:sz w:val="20"/>
          <w:szCs w:val="20"/>
        </w:rPr>
      </w:pPr>
      <w:r>
        <w:rPr>
          <w:rFonts w:ascii="宋体" w:hAnsi="宋体" w:eastAsia="宋体" w:cs="宋体"/>
          <w:spacing w:val="9"/>
          <w:position w:val="1"/>
          <w:sz w:val="20"/>
          <w:szCs w:val="20"/>
        </w:rPr>
        <w:t>4.企业管理费</w:t>
      </w:r>
    </w:p>
    <w:p>
      <w:pPr>
        <w:spacing w:line="255" w:lineRule="auto"/>
        <w:rPr>
          <w:rFonts w:ascii="Arial"/>
          <w:sz w:val="21"/>
        </w:rPr>
      </w:pPr>
    </w:p>
    <w:p>
      <w:pPr>
        <w:spacing w:before="66" w:line="278" w:lineRule="exact"/>
        <w:ind w:left="20"/>
        <w:rPr>
          <w:rFonts w:ascii="宋体" w:hAnsi="宋体" w:eastAsia="宋体" w:cs="宋体"/>
          <w:sz w:val="20"/>
          <w:szCs w:val="20"/>
        </w:rPr>
      </w:pPr>
      <w:r>
        <w:rPr>
          <w:rFonts w:ascii="宋体" w:hAnsi="宋体" w:eastAsia="宋体" w:cs="宋体"/>
          <w:spacing w:val="-5"/>
          <w:position w:val="1"/>
          <w:sz w:val="20"/>
          <w:szCs w:val="20"/>
        </w:rPr>
        <w:t>5.利润</w:t>
      </w:r>
    </w:p>
    <w:p>
      <w:pPr>
        <w:spacing w:line="278" w:lineRule="exact"/>
        <w:rPr>
          <w:rFonts w:ascii="宋体" w:hAnsi="宋体" w:eastAsia="宋体" w:cs="宋体"/>
          <w:sz w:val="20"/>
          <w:szCs w:val="20"/>
        </w:rPr>
        <w:sectPr>
          <w:type w:val="continuous"/>
          <w:pgSz w:w="11905" w:h="16840"/>
          <w:pgMar w:top="400" w:right="1167" w:bottom="1213" w:left="1418" w:header="0" w:footer="898" w:gutter="0"/>
          <w:cols w:equalWidth="0" w:num="2">
            <w:col w:w="7531" w:space="100"/>
            <w:col w:w="1688"/>
          </w:cols>
        </w:sectPr>
      </w:pPr>
    </w:p>
    <w:p>
      <w:pPr>
        <w:spacing w:before="61"/>
      </w:pPr>
    </w:p>
    <w:p>
      <w:pPr>
        <w:sectPr>
          <w:type w:val="continuous"/>
          <w:pgSz w:w="11905" w:h="16840"/>
          <w:pgMar w:top="400" w:right="1167" w:bottom="1213" w:left="1418" w:header="0" w:footer="898" w:gutter="0"/>
          <w:cols w:equalWidth="0" w:num="1">
            <w:col w:w="9319"/>
          </w:cols>
        </w:sect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before="66" w:line="223" w:lineRule="auto"/>
        <w:ind w:right="7"/>
        <w:jc w:val="right"/>
        <w:rPr>
          <w:rFonts w:ascii="宋体" w:hAnsi="宋体" w:eastAsia="宋体" w:cs="宋体"/>
          <w:sz w:val="20"/>
          <w:szCs w:val="20"/>
        </w:rPr>
      </w:pPr>
      <w:r>
        <w:rPr>
          <w:rFonts w:ascii="宋体" w:hAnsi="宋体" w:eastAsia="宋体" w:cs="宋体"/>
          <w:spacing w:val="20"/>
          <w:sz w:val="20"/>
          <w:szCs w:val="20"/>
        </w:rPr>
        <w:t>其他项目费</w:t>
      </w:r>
    </w:p>
    <w:p>
      <w:pPr>
        <w:spacing w:before="30"/>
      </w:pPr>
    </w:p>
    <w:p>
      <w:pPr>
        <w:spacing w:before="29"/>
      </w:pPr>
    </w:p>
    <w:p>
      <w:pPr>
        <w:spacing w:before="29"/>
      </w:pPr>
    </w:p>
    <w:p>
      <w:pPr>
        <w:spacing w:before="29"/>
      </w:pPr>
    </w:p>
    <w:p>
      <w:pPr>
        <w:spacing w:before="29"/>
      </w:pPr>
    </w:p>
    <w:p>
      <w:pPr>
        <w:spacing w:before="29"/>
      </w:pPr>
    </w:p>
    <w:p>
      <w:pPr>
        <w:spacing w:line="14" w:lineRule="auto"/>
        <w:rPr>
          <w:rFonts w:ascii="Arial"/>
          <w:sz w:val="2"/>
        </w:rPr>
      </w:pPr>
      <w:r>
        <w:rPr>
          <w:rFonts w:ascii="Arial" w:hAnsi="Arial" w:eastAsia="Arial" w:cs="Arial"/>
          <w:sz w:val="2"/>
          <w:szCs w:val="2"/>
        </w:rPr>
        <w:br w:type="column"/>
      </w:r>
    </w:p>
    <w:p>
      <w:pPr>
        <w:spacing w:before="39" w:line="2633" w:lineRule="exact"/>
      </w:pPr>
      <w:r>
        <w:rPr>
          <w:position w:val="-52"/>
        </w:rPr>
        <w:drawing>
          <wp:inline distT="0" distB="0" distL="0" distR="0">
            <wp:extent cx="530225" cy="167132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366"/>
                    <a:stretch>
                      <a:fillRect/>
                    </a:stretch>
                  </pic:blipFill>
                  <pic:spPr>
                    <a:xfrm>
                      <a:off x="0" y="0"/>
                      <a:ext cx="530352" cy="1671828"/>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before="182" w:line="277" w:lineRule="exact"/>
        <w:ind w:left="34"/>
        <w:rPr>
          <w:rFonts w:ascii="宋体" w:hAnsi="宋体" w:eastAsia="宋体" w:cs="宋体"/>
          <w:sz w:val="20"/>
          <w:szCs w:val="20"/>
        </w:rPr>
      </w:pPr>
      <w:r>
        <w:rPr>
          <w:rFonts w:ascii="宋体" w:hAnsi="宋体" w:eastAsia="宋体" w:cs="宋体"/>
          <w:spacing w:val="-1"/>
          <w:position w:val="1"/>
          <w:sz w:val="20"/>
          <w:szCs w:val="20"/>
        </w:rPr>
        <w:t>1.暂列金额</w:t>
      </w:r>
    </w:p>
    <w:p>
      <w:pPr>
        <w:spacing w:before="42" w:line="276" w:lineRule="exact"/>
        <w:ind w:left="5"/>
        <w:rPr>
          <w:rFonts w:ascii="宋体" w:hAnsi="宋体" w:eastAsia="宋体" w:cs="宋体"/>
          <w:sz w:val="20"/>
          <w:szCs w:val="20"/>
        </w:rPr>
      </w:pPr>
      <w:r>
        <w:rPr>
          <w:rFonts w:ascii="宋体" w:hAnsi="宋体" w:eastAsia="宋体" w:cs="宋体"/>
          <w:spacing w:val="12"/>
          <w:position w:val="1"/>
          <w:sz w:val="20"/>
          <w:szCs w:val="20"/>
        </w:rPr>
        <w:t>2.专业工程暂估价</w:t>
      </w:r>
    </w:p>
    <w:p>
      <w:pPr>
        <w:spacing w:before="50" w:line="280" w:lineRule="exact"/>
        <w:ind w:left="11"/>
        <w:rPr>
          <w:rFonts w:ascii="宋体" w:hAnsi="宋体" w:eastAsia="宋体" w:cs="宋体"/>
          <w:sz w:val="20"/>
          <w:szCs w:val="20"/>
        </w:rPr>
      </w:pPr>
      <w:r>
        <w:rPr>
          <w:rFonts w:ascii="宋体" w:hAnsi="宋体" w:eastAsia="宋体" w:cs="宋体"/>
          <w:position w:val="1"/>
          <w:sz w:val="20"/>
          <w:szCs w:val="20"/>
        </w:rPr>
        <w:t>3.计日工</w:t>
      </w:r>
    </w:p>
    <w:p>
      <w:pPr>
        <w:spacing w:before="42" w:line="278" w:lineRule="exact"/>
        <w:rPr>
          <w:rFonts w:ascii="宋体" w:hAnsi="宋体" w:eastAsia="宋体" w:cs="宋体"/>
          <w:sz w:val="20"/>
          <w:szCs w:val="20"/>
        </w:rPr>
      </w:pPr>
      <w:r>
        <w:rPr>
          <w:rFonts w:ascii="宋体" w:hAnsi="宋体" w:eastAsia="宋体" w:cs="宋体"/>
          <w:spacing w:val="11"/>
          <w:position w:val="1"/>
          <w:sz w:val="20"/>
          <w:szCs w:val="20"/>
        </w:rPr>
        <w:t>4.总承包服务费</w:t>
      </w:r>
    </w:p>
    <w:p>
      <w:pPr>
        <w:spacing w:before="46" w:line="278" w:lineRule="exact"/>
        <w:ind w:left="7"/>
        <w:rPr>
          <w:rFonts w:ascii="宋体" w:hAnsi="宋体" w:eastAsia="宋体" w:cs="宋体"/>
          <w:sz w:val="20"/>
          <w:szCs w:val="20"/>
        </w:rPr>
      </w:pPr>
      <w:r>
        <w:rPr>
          <w:rFonts w:ascii="宋体" w:hAnsi="宋体" w:eastAsia="宋体" w:cs="宋体"/>
          <w:spacing w:val="13"/>
          <w:position w:val="1"/>
          <w:sz w:val="20"/>
          <w:szCs w:val="20"/>
        </w:rPr>
        <w:t>5.建设项目工伤保险</w:t>
      </w:r>
    </w:p>
    <w:p>
      <w:pPr>
        <w:spacing w:before="41" w:line="276" w:lineRule="exact"/>
        <w:ind w:left="3"/>
        <w:rPr>
          <w:rFonts w:ascii="宋体" w:hAnsi="宋体" w:eastAsia="宋体" w:cs="宋体"/>
          <w:sz w:val="20"/>
          <w:szCs w:val="20"/>
        </w:rPr>
      </w:pPr>
      <w:r>
        <w:rPr>
          <w:rFonts w:ascii="宋体" w:hAnsi="宋体" w:eastAsia="宋体" w:cs="宋体"/>
          <w:spacing w:val="8"/>
          <w:position w:val="1"/>
          <w:sz w:val="20"/>
          <w:szCs w:val="20"/>
        </w:rPr>
        <w:t>6.优质优价费</w:t>
      </w:r>
    </w:p>
    <w:p>
      <w:pPr>
        <w:spacing w:before="50" w:line="279" w:lineRule="exact"/>
        <w:ind w:left="6"/>
        <w:rPr>
          <w:rFonts w:ascii="宋体" w:hAnsi="宋体" w:eastAsia="宋体" w:cs="宋体"/>
          <w:sz w:val="20"/>
          <w:szCs w:val="20"/>
        </w:rPr>
      </w:pPr>
      <w:r>
        <w:rPr>
          <w:rFonts w:ascii="宋体" w:hAnsi="宋体" w:eastAsia="宋体" w:cs="宋体"/>
          <w:spacing w:val="-5"/>
          <w:position w:val="1"/>
          <w:sz w:val="20"/>
          <w:szCs w:val="20"/>
        </w:rPr>
        <w:t>7.其他</w:t>
      </w:r>
    </w:p>
    <w:p>
      <w:pPr>
        <w:spacing w:line="279" w:lineRule="exact"/>
        <w:rPr>
          <w:rFonts w:ascii="宋体" w:hAnsi="宋体" w:eastAsia="宋体" w:cs="宋体"/>
          <w:sz w:val="20"/>
          <w:szCs w:val="20"/>
        </w:rPr>
        <w:sectPr>
          <w:type w:val="continuous"/>
          <w:pgSz w:w="11905" w:h="16840"/>
          <w:pgMar w:top="400" w:right="1167" w:bottom="1213" w:left="1418" w:header="0" w:footer="898" w:gutter="0"/>
          <w:cols w:equalWidth="0" w:num="3">
            <w:col w:w="2814" w:space="100"/>
            <w:col w:w="836" w:space="31"/>
            <w:col w:w="5540"/>
          </w:cols>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before="66" w:line="194" w:lineRule="auto"/>
        <w:ind w:left="2295"/>
        <w:rPr>
          <w:rFonts w:ascii="宋体" w:hAnsi="宋体" w:eastAsia="宋体" w:cs="宋体"/>
          <w:sz w:val="20"/>
          <w:szCs w:val="20"/>
        </w:rPr>
      </w:pPr>
      <w:r>
        <w:rPr>
          <w:rFonts w:ascii="宋体" w:hAnsi="宋体" w:eastAsia="宋体" w:cs="宋体"/>
          <w:spacing w:val="6"/>
          <w:sz w:val="20"/>
          <w:szCs w:val="20"/>
        </w:rPr>
        <w:t>增值税</w:t>
      </w:r>
    </w:p>
    <w:p>
      <w:pPr>
        <w:spacing w:line="194" w:lineRule="auto"/>
        <w:rPr>
          <w:rFonts w:ascii="宋体" w:hAnsi="宋体" w:eastAsia="宋体" w:cs="宋体"/>
          <w:sz w:val="20"/>
          <w:szCs w:val="20"/>
        </w:rPr>
        <w:sectPr>
          <w:type w:val="continuous"/>
          <w:pgSz w:w="11905" w:h="16840"/>
          <w:pgMar w:top="400" w:right="1167" w:bottom="1213" w:left="1418" w:header="0" w:footer="898" w:gutter="0"/>
          <w:cols w:equalWidth="0" w:num="1">
            <w:col w:w="9319"/>
          </w:cols>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2"/>
        <w:spacing w:before="103" w:line="279" w:lineRule="auto"/>
        <w:ind w:left="3435" w:right="2850" w:hanging="592"/>
        <w:rPr>
          <w:rFonts w:ascii="黑体" w:hAnsi="黑体" w:eastAsia="黑体" w:cs="黑体"/>
          <w:sz w:val="20"/>
          <w:szCs w:val="20"/>
        </w:rPr>
      </w:pPr>
      <w:r>
        <w:rPr>
          <w:spacing w:val="9"/>
          <w:sz w:val="24"/>
          <w:szCs w:val="24"/>
        </w:rPr>
        <w:t>附表2</w:t>
      </w:r>
      <w:r>
        <w:rPr>
          <w:spacing w:val="14"/>
          <w:sz w:val="24"/>
          <w:szCs w:val="24"/>
        </w:rPr>
        <w:t xml:space="preserve">   </w:t>
      </w:r>
      <w:r>
        <w:rPr>
          <w:spacing w:val="9"/>
          <w:sz w:val="24"/>
          <w:szCs w:val="24"/>
        </w:rPr>
        <w:t>业工程措施项目一览表</w:t>
      </w:r>
      <w:r>
        <w:rPr>
          <w:rFonts w:ascii="黑体" w:hAnsi="黑体" w:eastAsia="黑体" w:cs="黑体"/>
          <w:spacing w:val="24"/>
          <w:sz w:val="20"/>
          <w:szCs w:val="20"/>
        </w:rPr>
        <w:t>专业措施项目一览表</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1" w:line="202" w:lineRule="auto"/>
              <w:ind w:left="477"/>
              <w:rPr>
                <w:rFonts w:ascii="微软雅黑" w:hAnsi="微软雅黑" w:eastAsia="微软雅黑" w:cs="微软雅黑"/>
                <w:sz w:val="18"/>
                <w:szCs w:val="18"/>
              </w:rPr>
            </w:pPr>
            <w:r>
              <w:rPr>
                <w:rFonts w:ascii="微软雅黑" w:hAnsi="微软雅黑" w:eastAsia="微软雅黑" w:cs="微软雅黑"/>
                <w:spacing w:val="-2"/>
                <w:sz w:val="18"/>
                <w:szCs w:val="18"/>
              </w:rPr>
              <w:t>序号</w:t>
            </w:r>
          </w:p>
        </w:tc>
        <w:tc>
          <w:tcPr>
            <w:tcW w:w="5182" w:type="dxa"/>
            <w:tcBorders>
              <w:top w:val="single" w:color="000000" w:sz="4" w:space="0"/>
            </w:tcBorders>
            <w:vAlign w:val="top"/>
          </w:tcPr>
          <w:p>
            <w:pPr>
              <w:spacing w:before="131" w:line="201" w:lineRule="auto"/>
              <w:ind w:left="2045"/>
              <w:rPr>
                <w:rFonts w:ascii="微软雅黑" w:hAnsi="微软雅黑" w:eastAsia="微软雅黑" w:cs="微软雅黑"/>
                <w:sz w:val="18"/>
                <w:szCs w:val="18"/>
              </w:rPr>
            </w:pPr>
            <w:r>
              <w:rPr>
                <w:rFonts w:ascii="微软雅黑" w:hAnsi="微软雅黑" w:eastAsia="微软雅黑" w:cs="微软雅黑"/>
                <w:spacing w:val="2"/>
                <w:sz w:val="18"/>
                <w:szCs w:val="18"/>
              </w:rPr>
              <w:t>措施项目名称</w:t>
            </w:r>
          </w:p>
        </w:tc>
        <w:tc>
          <w:tcPr>
            <w:tcW w:w="2578" w:type="dxa"/>
            <w:tcBorders>
              <w:top w:val="single" w:color="000000" w:sz="4" w:space="0"/>
              <w:right w:val="single" w:color="000000" w:sz="4" w:space="0"/>
            </w:tcBorders>
            <w:vAlign w:val="top"/>
          </w:tcPr>
          <w:p>
            <w:pPr>
              <w:spacing w:before="130" w:line="204" w:lineRule="auto"/>
              <w:ind w:left="1123"/>
              <w:rPr>
                <w:rFonts w:ascii="微软雅黑" w:hAnsi="微软雅黑" w:eastAsia="微软雅黑" w:cs="微软雅黑"/>
                <w:sz w:val="18"/>
                <w:szCs w:val="18"/>
              </w:rPr>
            </w:pPr>
            <w:r>
              <w:rPr>
                <w:rFonts w:ascii="微软雅黑" w:hAnsi="微软雅黑" w:eastAsia="微软雅黑" w:cs="微软雅黑"/>
                <w:spacing w:val="-3"/>
                <w:w w:val="99"/>
                <w:sz w:val="18"/>
                <w:szCs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34" w:line="256" w:lineRule="exact"/>
              <w:ind w:left="642"/>
              <w:rPr>
                <w:rFonts w:ascii="宋体" w:hAnsi="宋体" w:eastAsia="宋体" w:cs="宋体"/>
                <w:sz w:val="18"/>
                <w:szCs w:val="18"/>
              </w:rPr>
            </w:pPr>
            <w:r>
              <w:rPr>
                <w:rFonts w:ascii="宋体" w:hAnsi="宋体" w:eastAsia="宋体" w:cs="宋体"/>
                <w:b/>
                <w:bCs/>
                <w:spacing w:val="-2"/>
                <w:position w:val="1"/>
                <w:sz w:val="18"/>
                <w:szCs w:val="18"/>
              </w:rPr>
              <w:t>1</w:t>
            </w:r>
          </w:p>
        </w:tc>
        <w:tc>
          <w:tcPr>
            <w:tcW w:w="5182" w:type="dxa"/>
            <w:vAlign w:val="top"/>
          </w:tcPr>
          <w:p>
            <w:pPr>
              <w:spacing w:before="125" w:line="215" w:lineRule="auto"/>
              <w:ind w:left="1786"/>
              <w:rPr>
                <w:rFonts w:ascii="宋体" w:hAnsi="宋体" w:eastAsia="宋体" w:cs="宋体"/>
                <w:sz w:val="18"/>
                <w:szCs w:val="18"/>
              </w:rPr>
            </w:pPr>
            <w:r>
              <w:rPr>
                <w:rFonts w:ascii="宋体" w:hAnsi="宋体" w:eastAsia="宋体" w:cs="宋体"/>
                <w:b/>
                <w:bCs/>
                <w:spacing w:val="-4"/>
                <w:sz w:val="18"/>
                <w:szCs w:val="18"/>
              </w:rPr>
              <w:t>建筑工程、装饰工程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36" w:line="254" w:lineRule="exact"/>
              <w:ind w:left="553"/>
              <w:rPr>
                <w:rFonts w:ascii="宋体" w:hAnsi="宋体" w:eastAsia="宋体" w:cs="宋体"/>
                <w:sz w:val="18"/>
                <w:szCs w:val="18"/>
              </w:rPr>
            </w:pPr>
            <w:r>
              <w:rPr>
                <w:rFonts w:ascii="宋体" w:hAnsi="宋体" w:eastAsia="宋体" w:cs="宋体"/>
                <w:spacing w:val="-23"/>
                <w:position w:val="1"/>
                <w:sz w:val="18"/>
                <w:szCs w:val="18"/>
              </w:rPr>
              <w:t>1.1</w:t>
            </w:r>
          </w:p>
        </w:tc>
        <w:tc>
          <w:tcPr>
            <w:tcW w:w="5182" w:type="dxa"/>
            <w:vAlign w:val="top"/>
          </w:tcPr>
          <w:p>
            <w:pPr>
              <w:spacing w:before="123"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38" w:line="252" w:lineRule="exact"/>
              <w:ind w:left="553"/>
              <w:rPr>
                <w:rFonts w:ascii="宋体" w:hAnsi="宋体" w:eastAsia="宋体" w:cs="宋体"/>
                <w:sz w:val="18"/>
                <w:szCs w:val="18"/>
              </w:rPr>
            </w:pPr>
            <w:r>
              <w:rPr>
                <w:rFonts w:ascii="宋体" w:hAnsi="宋体" w:eastAsia="宋体" w:cs="宋体"/>
                <w:spacing w:val="-23"/>
                <w:position w:val="1"/>
                <w:sz w:val="18"/>
                <w:szCs w:val="18"/>
              </w:rPr>
              <w:t>1.2</w:t>
            </w:r>
          </w:p>
        </w:tc>
        <w:tc>
          <w:tcPr>
            <w:tcW w:w="5182" w:type="dxa"/>
            <w:vAlign w:val="top"/>
          </w:tcPr>
          <w:p>
            <w:pPr>
              <w:spacing w:before="124" w:line="212" w:lineRule="auto"/>
              <w:ind w:left="105"/>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0" w:line="250" w:lineRule="exact"/>
              <w:ind w:left="553"/>
              <w:rPr>
                <w:rFonts w:ascii="宋体" w:hAnsi="宋体" w:eastAsia="宋体" w:cs="宋体"/>
                <w:sz w:val="18"/>
                <w:szCs w:val="18"/>
              </w:rPr>
            </w:pPr>
            <w:r>
              <w:rPr>
                <w:rFonts w:ascii="宋体" w:hAnsi="宋体" w:eastAsia="宋体" w:cs="宋体"/>
                <w:spacing w:val="-23"/>
                <w:position w:val="1"/>
                <w:sz w:val="18"/>
                <w:szCs w:val="18"/>
              </w:rPr>
              <w:t>1.3</w:t>
            </w:r>
          </w:p>
        </w:tc>
        <w:tc>
          <w:tcPr>
            <w:tcW w:w="5182" w:type="dxa"/>
            <w:vAlign w:val="top"/>
          </w:tcPr>
          <w:p>
            <w:pPr>
              <w:spacing w:before="125"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0" w:line="250" w:lineRule="exact"/>
              <w:ind w:left="553"/>
              <w:rPr>
                <w:rFonts w:ascii="宋体" w:hAnsi="宋体" w:eastAsia="宋体" w:cs="宋体"/>
                <w:sz w:val="18"/>
                <w:szCs w:val="18"/>
              </w:rPr>
            </w:pPr>
            <w:r>
              <w:rPr>
                <w:rFonts w:ascii="宋体" w:hAnsi="宋体" w:eastAsia="宋体" w:cs="宋体"/>
                <w:spacing w:val="-23"/>
                <w:position w:val="1"/>
                <w:sz w:val="18"/>
                <w:szCs w:val="18"/>
              </w:rPr>
              <w:t>1.4</w:t>
            </w:r>
          </w:p>
        </w:tc>
        <w:tc>
          <w:tcPr>
            <w:tcW w:w="5182" w:type="dxa"/>
            <w:vAlign w:val="top"/>
          </w:tcPr>
          <w:p>
            <w:pPr>
              <w:spacing w:before="116"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2" w:line="248" w:lineRule="exact"/>
              <w:ind w:left="553"/>
              <w:rPr>
                <w:rFonts w:ascii="宋体" w:hAnsi="宋体" w:eastAsia="宋体" w:cs="宋体"/>
                <w:sz w:val="18"/>
                <w:szCs w:val="18"/>
              </w:rPr>
            </w:pPr>
            <w:r>
              <w:rPr>
                <w:rFonts w:ascii="宋体" w:hAnsi="宋体" w:eastAsia="宋体" w:cs="宋体"/>
                <w:spacing w:val="-11"/>
                <w:position w:val="1"/>
                <w:sz w:val="18"/>
                <w:szCs w:val="18"/>
              </w:rPr>
              <w:t>1</w:t>
            </w:r>
            <w:r>
              <w:rPr>
                <w:rFonts w:ascii="宋体" w:hAnsi="宋体" w:eastAsia="宋体" w:cs="宋体"/>
                <w:spacing w:val="-52"/>
                <w:position w:val="1"/>
                <w:sz w:val="18"/>
                <w:szCs w:val="18"/>
              </w:rPr>
              <w:t xml:space="preserve"> </w:t>
            </w:r>
            <w:r>
              <w:rPr>
                <w:rFonts w:ascii="宋体" w:hAnsi="宋体" w:eastAsia="宋体" w:cs="宋体"/>
                <w:spacing w:val="-11"/>
                <w:position w:val="1"/>
                <w:sz w:val="18"/>
                <w:szCs w:val="18"/>
              </w:rPr>
              <w:t>5</w:t>
            </w:r>
          </w:p>
        </w:tc>
        <w:tc>
          <w:tcPr>
            <w:tcW w:w="5182" w:type="dxa"/>
            <w:vAlign w:val="top"/>
          </w:tcPr>
          <w:p>
            <w:pPr>
              <w:spacing w:before="128"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1" w:line="249" w:lineRule="exact"/>
              <w:ind w:left="553"/>
              <w:rPr>
                <w:rFonts w:ascii="宋体" w:hAnsi="宋体" w:eastAsia="宋体" w:cs="宋体"/>
                <w:sz w:val="18"/>
                <w:szCs w:val="18"/>
              </w:rPr>
            </w:pPr>
            <w:r>
              <w:rPr>
                <w:rFonts w:ascii="宋体" w:hAnsi="宋体" w:eastAsia="宋体" w:cs="宋体"/>
                <w:spacing w:val="-23"/>
                <w:position w:val="1"/>
                <w:sz w:val="18"/>
                <w:szCs w:val="18"/>
              </w:rPr>
              <w:t>1.6</w:t>
            </w:r>
          </w:p>
        </w:tc>
        <w:tc>
          <w:tcPr>
            <w:tcW w:w="5182" w:type="dxa"/>
            <w:vAlign w:val="top"/>
          </w:tcPr>
          <w:p>
            <w:pPr>
              <w:spacing w:before="129"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28" w:line="208" w:lineRule="auto"/>
              <w:ind w:left="76"/>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43" w:line="247" w:lineRule="exact"/>
              <w:ind w:left="553"/>
              <w:rPr>
                <w:rFonts w:ascii="宋体" w:hAnsi="宋体" w:eastAsia="宋体" w:cs="宋体"/>
                <w:sz w:val="18"/>
                <w:szCs w:val="18"/>
              </w:rPr>
            </w:pPr>
            <w:r>
              <w:rPr>
                <w:rFonts w:ascii="宋体" w:hAnsi="宋体" w:eastAsia="宋体" w:cs="宋体"/>
                <w:spacing w:val="-23"/>
                <w:position w:val="1"/>
                <w:sz w:val="18"/>
                <w:szCs w:val="18"/>
              </w:rPr>
              <w:t>1.7</w:t>
            </w:r>
          </w:p>
        </w:tc>
        <w:tc>
          <w:tcPr>
            <w:tcW w:w="5182" w:type="dxa"/>
            <w:vAlign w:val="top"/>
          </w:tcPr>
          <w:p>
            <w:pPr>
              <w:spacing w:before="127" w:line="241"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30" w:line="208" w:lineRule="auto"/>
              <w:ind w:left="76"/>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1319" w:type="dxa"/>
            <w:tcBorders>
              <w:left w:val="single" w:color="000000" w:sz="4" w:space="0"/>
            </w:tcBorders>
            <w:vAlign w:val="top"/>
          </w:tcPr>
          <w:p>
            <w:pPr>
              <w:spacing w:before="258" w:line="260" w:lineRule="exact"/>
              <w:ind w:left="553"/>
              <w:rPr>
                <w:rFonts w:ascii="宋体" w:hAnsi="宋体" w:eastAsia="宋体" w:cs="宋体"/>
                <w:sz w:val="18"/>
                <w:szCs w:val="18"/>
              </w:rPr>
            </w:pPr>
            <w:r>
              <w:rPr>
                <w:rFonts w:ascii="宋体" w:hAnsi="宋体" w:eastAsia="宋体" w:cs="宋体"/>
                <w:spacing w:val="-23"/>
                <w:position w:val="1"/>
                <w:sz w:val="18"/>
                <w:szCs w:val="18"/>
              </w:rPr>
              <w:t>1.8</w:t>
            </w:r>
          </w:p>
        </w:tc>
        <w:tc>
          <w:tcPr>
            <w:tcW w:w="5182" w:type="dxa"/>
            <w:vAlign w:val="top"/>
          </w:tcPr>
          <w:p>
            <w:pPr>
              <w:spacing w:before="270" w:line="211" w:lineRule="auto"/>
              <w:ind w:left="106"/>
              <w:rPr>
                <w:rFonts w:ascii="宋体" w:hAnsi="宋体" w:eastAsia="宋体" w:cs="宋体"/>
                <w:sz w:val="18"/>
                <w:szCs w:val="18"/>
              </w:rPr>
            </w:pPr>
            <w:r>
              <w:rPr>
                <w:rFonts w:ascii="宋体" w:hAnsi="宋体" w:eastAsia="宋体" w:cs="宋体"/>
                <w:spacing w:val="-3"/>
                <w:sz w:val="18"/>
                <w:szCs w:val="18"/>
              </w:rPr>
              <w:t>竣工清理</w:t>
            </w:r>
          </w:p>
        </w:tc>
        <w:tc>
          <w:tcPr>
            <w:tcW w:w="2578" w:type="dxa"/>
            <w:tcBorders>
              <w:right w:val="single" w:color="000000" w:sz="4" w:space="0"/>
            </w:tcBorders>
            <w:vAlign w:val="top"/>
          </w:tcPr>
          <w:p>
            <w:pPr>
              <w:spacing w:before="111" w:line="249" w:lineRule="auto"/>
              <w:ind w:left="74" w:right="163"/>
              <w:rPr>
                <w:rFonts w:ascii="宋体" w:hAnsi="宋体" w:eastAsia="宋体" w:cs="宋体"/>
                <w:sz w:val="18"/>
                <w:szCs w:val="18"/>
              </w:rPr>
            </w:pPr>
            <w:r>
              <w:rPr>
                <w:rFonts w:ascii="宋体" w:hAnsi="宋体" w:eastAsia="宋体" w:cs="宋体"/>
                <w:spacing w:val="-1"/>
                <w:sz w:val="18"/>
                <w:szCs w:val="18"/>
              </w:rPr>
              <w:t>竣工验收前的清理、清洁等工</w:t>
            </w:r>
            <w:r>
              <w:rPr>
                <w:rFonts w:ascii="宋体" w:hAnsi="宋体" w:eastAsia="宋体" w:cs="宋体"/>
                <w:spacing w:val="-4"/>
                <w:sz w:val="18"/>
                <w:szCs w:val="18"/>
              </w:rPr>
              <w:t>作内容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1319" w:type="dxa"/>
            <w:tcBorders>
              <w:left w:val="single" w:color="000000" w:sz="4" w:space="0"/>
            </w:tcBorders>
            <w:vAlign w:val="top"/>
          </w:tcPr>
          <w:p>
            <w:pPr>
              <w:spacing w:before="274" w:line="260" w:lineRule="exact"/>
              <w:ind w:left="553"/>
              <w:rPr>
                <w:rFonts w:ascii="宋体" w:hAnsi="宋体" w:eastAsia="宋体" w:cs="宋体"/>
                <w:sz w:val="18"/>
                <w:szCs w:val="18"/>
              </w:rPr>
            </w:pPr>
            <w:r>
              <w:rPr>
                <w:rFonts w:ascii="宋体" w:hAnsi="宋体" w:eastAsia="宋体" w:cs="宋体"/>
                <w:spacing w:val="-23"/>
                <w:position w:val="1"/>
                <w:sz w:val="18"/>
                <w:szCs w:val="18"/>
              </w:rPr>
              <w:t>1.9</w:t>
            </w:r>
          </w:p>
        </w:tc>
        <w:tc>
          <w:tcPr>
            <w:tcW w:w="5182" w:type="dxa"/>
            <w:vAlign w:val="top"/>
          </w:tcPr>
          <w:p>
            <w:pPr>
              <w:spacing w:before="284" w:line="216" w:lineRule="auto"/>
              <w:ind w:left="109"/>
              <w:rPr>
                <w:rFonts w:ascii="宋体" w:hAnsi="宋体" w:eastAsia="宋体" w:cs="宋体"/>
                <w:sz w:val="18"/>
                <w:szCs w:val="18"/>
              </w:rPr>
            </w:pPr>
            <w:r>
              <w:rPr>
                <w:rFonts w:ascii="宋体" w:hAnsi="宋体" w:eastAsia="宋体" w:cs="宋体"/>
                <w:spacing w:val="-3"/>
                <w:sz w:val="18"/>
                <w:szCs w:val="18"/>
              </w:rPr>
              <w:t>建筑工程智慧工地建设</w:t>
            </w:r>
          </w:p>
        </w:tc>
        <w:tc>
          <w:tcPr>
            <w:tcW w:w="2578" w:type="dxa"/>
            <w:tcBorders>
              <w:right w:val="single" w:color="000000" w:sz="4" w:space="0"/>
            </w:tcBorders>
            <w:vAlign w:val="top"/>
          </w:tcPr>
          <w:p>
            <w:pPr>
              <w:spacing w:before="115" w:line="248" w:lineRule="auto"/>
              <w:ind w:left="73" w:right="163" w:firstLine="4"/>
              <w:rPr>
                <w:rFonts w:ascii="宋体" w:hAnsi="宋体" w:eastAsia="宋体" w:cs="宋体"/>
                <w:sz w:val="18"/>
                <w:szCs w:val="18"/>
              </w:rPr>
            </w:pPr>
            <w:r>
              <w:rPr>
                <w:rFonts w:ascii="宋体" w:hAnsi="宋体" w:eastAsia="宋体" w:cs="宋体"/>
                <w:spacing w:val="-1"/>
                <w:sz w:val="18"/>
                <w:szCs w:val="18"/>
              </w:rPr>
              <w:t>不计取企业管理费、利润，仅</w:t>
            </w:r>
            <w:r>
              <w:rPr>
                <w:rFonts w:ascii="宋体" w:hAnsi="宋体" w:eastAsia="宋体" w:cs="宋体"/>
                <w:spacing w:val="-3"/>
                <w:sz w:val="18"/>
                <w:szCs w:val="18"/>
              </w:rPr>
              <w:t>计取增值税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3" w:line="233" w:lineRule="auto"/>
              <w:ind w:left="508"/>
              <w:rPr>
                <w:rFonts w:ascii="宋体" w:hAnsi="宋体" w:eastAsia="宋体" w:cs="宋体"/>
                <w:sz w:val="18"/>
                <w:szCs w:val="18"/>
              </w:rPr>
            </w:pPr>
            <w:r>
              <w:rPr>
                <w:rFonts w:ascii="宋体" w:hAnsi="宋体" w:eastAsia="宋体" w:cs="宋体"/>
                <w:spacing w:val="-19"/>
                <w:sz w:val="18"/>
                <w:szCs w:val="18"/>
              </w:rPr>
              <w:t>1.10</w:t>
            </w:r>
          </w:p>
        </w:tc>
        <w:tc>
          <w:tcPr>
            <w:tcW w:w="5182" w:type="dxa"/>
            <w:vAlign w:val="top"/>
          </w:tcPr>
          <w:p>
            <w:pPr>
              <w:spacing w:before="149"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8"/>
              <w:ind w:left="615"/>
              <w:rPr>
                <w:rFonts w:ascii="宋体" w:hAnsi="宋体" w:eastAsia="宋体" w:cs="宋体"/>
                <w:sz w:val="18"/>
                <w:szCs w:val="18"/>
              </w:rPr>
            </w:pPr>
            <w:r>
              <w:rPr>
                <w:rFonts w:ascii="宋体" w:hAnsi="宋体" w:eastAsia="宋体" w:cs="宋体"/>
                <w:b/>
                <w:bCs/>
                <w:spacing w:val="-2"/>
                <w:sz w:val="18"/>
                <w:szCs w:val="18"/>
              </w:rPr>
              <w:t>2</w:t>
            </w:r>
          </w:p>
        </w:tc>
        <w:tc>
          <w:tcPr>
            <w:tcW w:w="5182" w:type="dxa"/>
            <w:vAlign w:val="top"/>
          </w:tcPr>
          <w:p>
            <w:pPr>
              <w:spacing w:before="150" w:line="212" w:lineRule="auto"/>
              <w:ind w:left="1434"/>
              <w:rPr>
                <w:rFonts w:ascii="宋体" w:hAnsi="宋体" w:eastAsia="宋体" w:cs="宋体"/>
                <w:sz w:val="18"/>
                <w:szCs w:val="18"/>
              </w:rPr>
            </w:pPr>
            <w:r>
              <w:rPr>
                <w:rFonts w:ascii="宋体" w:hAnsi="宋体" w:eastAsia="宋体" w:cs="宋体"/>
                <w:b/>
                <w:bCs/>
                <w:spacing w:val="-5"/>
                <w:sz w:val="18"/>
                <w:szCs w:val="18"/>
              </w:rPr>
              <w:t>安装工程、房屋修缮安装工程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3" w:line="234" w:lineRule="auto"/>
              <w:ind w:left="529"/>
              <w:rPr>
                <w:rFonts w:ascii="宋体" w:hAnsi="宋体" w:eastAsia="宋体" w:cs="宋体"/>
                <w:sz w:val="18"/>
                <w:szCs w:val="18"/>
              </w:rPr>
            </w:pPr>
            <w:r>
              <w:rPr>
                <w:rFonts w:ascii="宋体" w:hAnsi="宋体" w:eastAsia="宋体" w:cs="宋体"/>
                <w:spacing w:val="-19"/>
                <w:sz w:val="18"/>
                <w:szCs w:val="18"/>
              </w:rPr>
              <w:t>2.1</w:t>
            </w:r>
          </w:p>
        </w:tc>
        <w:tc>
          <w:tcPr>
            <w:tcW w:w="5182" w:type="dxa"/>
            <w:vAlign w:val="top"/>
          </w:tcPr>
          <w:p>
            <w:pPr>
              <w:spacing w:before="153"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2" w:line="234" w:lineRule="auto"/>
              <w:ind w:left="529"/>
              <w:rPr>
                <w:rFonts w:ascii="宋体" w:hAnsi="宋体" w:eastAsia="宋体" w:cs="宋体"/>
                <w:sz w:val="18"/>
                <w:szCs w:val="18"/>
              </w:rPr>
            </w:pPr>
            <w:r>
              <w:rPr>
                <w:rFonts w:ascii="宋体" w:hAnsi="宋体" w:eastAsia="宋体" w:cs="宋体"/>
                <w:spacing w:val="-19"/>
                <w:sz w:val="18"/>
                <w:szCs w:val="18"/>
              </w:rPr>
              <w:t>2.2</w:t>
            </w:r>
          </w:p>
        </w:tc>
        <w:tc>
          <w:tcPr>
            <w:tcW w:w="5182" w:type="dxa"/>
            <w:vAlign w:val="top"/>
          </w:tcPr>
          <w:p>
            <w:pPr>
              <w:spacing w:before="147" w:line="212" w:lineRule="auto"/>
              <w:ind w:left="113"/>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4" w:line="232" w:lineRule="auto"/>
              <w:ind w:left="529"/>
              <w:rPr>
                <w:rFonts w:ascii="宋体" w:hAnsi="宋体" w:eastAsia="宋体" w:cs="宋体"/>
                <w:sz w:val="18"/>
                <w:szCs w:val="18"/>
              </w:rPr>
            </w:pPr>
            <w:r>
              <w:rPr>
                <w:rFonts w:ascii="宋体" w:hAnsi="宋体" w:eastAsia="宋体" w:cs="宋体"/>
                <w:spacing w:val="-19"/>
                <w:sz w:val="18"/>
                <w:szCs w:val="18"/>
              </w:rPr>
              <w:t>2.3</w:t>
            </w:r>
          </w:p>
        </w:tc>
        <w:tc>
          <w:tcPr>
            <w:tcW w:w="5182" w:type="dxa"/>
            <w:vAlign w:val="top"/>
          </w:tcPr>
          <w:p>
            <w:pPr>
              <w:spacing w:before="150" w:line="215" w:lineRule="auto"/>
              <w:ind w:left="126"/>
              <w:rPr>
                <w:rFonts w:ascii="宋体" w:hAnsi="宋体" w:eastAsia="宋体" w:cs="宋体"/>
                <w:sz w:val="18"/>
                <w:szCs w:val="18"/>
              </w:rPr>
            </w:pPr>
            <w:r>
              <w:rPr>
                <w:rFonts w:ascii="宋体" w:hAnsi="宋体" w:eastAsia="宋体" w:cs="宋体"/>
                <w:spacing w:val="-7"/>
                <w:sz w:val="18"/>
                <w:szCs w:val="18"/>
              </w:rPr>
              <w:t>临时专用防护棚</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6" w:line="231" w:lineRule="auto"/>
              <w:ind w:left="529"/>
              <w:rPr>
                <w:rFonts w:ascii="宋体" w:hAnsi="宋体" w:eastAsia="宋体" w:cs="宋体"/>
                <w:sz w:val="18"/>
                <w:szCs w:val="18"/>
              </w:rPr>
            </w:pPr>
            <w:r>
              <w:rPr>
                <w:rFonts w:ascii="宋体" w:hAnsi="宋体" w:eastAsia="宋体" w:cs="宋体"/>
                <w:spacing w:val="-19"/>
                <w:sz w:val="18"/>
                <w:szCs w:val="18"/>
              </w:rPr>
              <w:t>2.4</w:t>
            </w:r>
          </w:p>
        </w:tc>
        <w:tc>
          <w:tcPr>
            <w:tcW w:w="5182" w:type="dxa"/>
            <w:vAlign w:val="top"/>
          </w:tcPr>
          <w:p>
            <w:pPr>
              <w:spacing w:before="152" w:line="214" w:lineRule="auto"/>
              <w:ind w:left="102"/>
              <w:rPr>
                <w:rFonts w:ascii="宋体" w:hAnsi="宋体" w:eastAsia="宋体" w:cs="宋体"/>
                <w:sz w:val="18"/>
                <w:szCs w:val="18"/>
              </w:rPr>
            </w:pPr>
            <w:r>
              <w:rPr>
                <w:rFonts w:ascii="宋体" w:hAnsi="宋体" w:eastAsia="宋体" w:cs="宋体"/>
                <w:spacing w:val="-4"/>
                <w:sz w:val="18"/>
                <w:szCs w:val="18"/>
              </w:rPr>
              <w:t>施工操作平台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4" w:line="233" w:lineRule="auto"/>
              <w:ind w:left="529"/>
              <w:rPr>
                <w:rFonts w:ascii="宋体" w:hAnsi="宋体" w:eastAsia="宋体" w:cs="宋体"/>
                <w:sz w:val="18"/>
                <w:szCs w:val="18"/>
              </w:rPr>
            </w:pPr>
            <w:r>
              <w:rPr>
                <w:rFonts w:ascii="宋体" w:hAnsi="宋体" w:eastAsia="宋体" w:cs="宋体"/>
                <w:spacing w:val="-19"/>
                <w:sz w:val="18"/>
                <w:szCs w:val="18"/>
              </w:rPr>
              <w:t>2.5</w:t>
            </w:r>
          </w:p>
        </w:tc>
        <w:tc>
          <w:tcPr>
            <w:tcW w:w="5182" w:type="dxa"/>
            <w:vAlign w:val="top"/>
          </w:tcPr>
          <w:p>
            <w:pPr>
              <w:spacing w:before="153" w:line="210" w:lineRule="auto"/>
              <w:ind w:left="126"/>
              <w:rPr>
                <w:rFonts w:ascii="宋体" w:hAnsi="宋体" w:eastAsia="宋体" w:cs="宋体"/>
                <w:sz w:val="18"/>
                <w:szCs w:val="18"/>
              </w:rPr>
            </w:pPr>
            <w:r>
              <w:rPr>
                <w:rFonts w:ascii="宋体" w:hAnsi="宋体" w:eastAsia="宋体" w:cs="宋体"/>
                <w:spacing w:val="-8"/>
                <w:sz w:val="18"/>
                <w:szCs w:val="18"/>
              </w:rPr>
              <w:t>临时支撑架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6" w:line="230" w:lineRule="auto"/>
              <w:ind w:left="529"/>
              <w:rPr>
                <w:rFonts w:ascii="宋体" w:hAnsi="宋体" w:eastAsia="宋体" w:cs="宋体"/>
                <w:sz w:val="18"/>
                <w:szCs w:val="18"/>
              </w:rPr>
            </w:pPr>
            <w:r>
              <w:rPr>
                <w:rFonts w:ascii="宋体" w:hAnsi="宋体" w:eastAsia="宋体" w:cs="宋体"/>
                <w:spacing w:val="-19"/>
                <w:sz w:val="18"/>
                <w:szCs w:val="18"/>
              </w:rPr>
              <w:t>2.6</w:t>
            </w:r>
          </w:p>
        </w:tc>
        <w:tc>
          <w:tcPr>
            <w:tcW w:w="5182" w:type="dxa"/>
            <w:vAlign w:val="top"/>
          </w:tcPr>
          <w:p>
            <w:pPr>
              <w:spacing w:before="152" w:line="215" w:lineRule="auto"/>
              <w:ind w:left="126"/>
              <w:rPr>
                <w:rFonts w:ascii="宋体" w:hAnsi="宋体" w:eastAsia="宋体" w:cs="宋体"/>
                <w:sz w:val="18"/>
                <w:szCs w:val="18"/>
              </w:rPr>
            </w:pPr>
            <w:r>
              <w:rPr>
                <w:rFonts w:ascii="宋体" w:hAnsi="宋体" w:eastAsia="宋体" w:cs="宋体"/>
                <w:spacing w:val="-3"/>
                <w:sz w:val="18"/>
                <w:szCs w:val="18"/>
              </w:rPr>
              <w:t>隧道内临时施工的通风、供水、供气、供电、照明及通信设施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5" w:line="232" w:lineRule="auto"/>
              <w:ind w:left="529"/>
              <w:rPr>
                <w:rFonts w:ascii="宋体" w:hAnsi="宋体" w:eastAsia="宋体" w:cs="宋体"/>
                <w:sz w:val="18"/>
                <w:szCs w:val="18"/>
              </w:rPr>
            </w:pPr>
            <w:r>
              <w:rPr>
                <w:rFonts w:ascii="宋体" w:hAnsi="宋体" w:eastAsia="宋体" w:cs="宋体"/>
                <w:spacing w:val="-19"/>
                <w:sz w:val="18"/>
                <w:szCs w:val="18"/>
              </w:rPr>
              <w:t>2.7</w:t>
            </w:r>
          </w:p>
        </w:tc>
        <w:tc>
          <w:tcPr>
            <w:tcW w:w="5182" w:type="dxa"/>
            <w:vAlign w:val="top"/>
          </w:tcPr>
          <w:p>
            <w:pPr>
              <w:spacing w:before="154" w:line="211" w:lineRule="auto"/>
              <w:ind w:left="148"/>
              <w:rPr>
                <w:rFonts w:ascii="宋体" w:hAnsi="宋体" w:eastAsia="宋体" w:cs="宋体"/>
                <w:sz w:val="18"/>
                <w:szCs w:val="18"/>
              </w:rPr>
            </w:pPr>
            <w:r>
              <w:rPr>
                <w:rFonts w:ascii="宋体" w:hAnsi="宋体" w:eastAsia="宋体" w:cs="宋体"/>
                <w:spacing w:val="-14"/>
                <w:sz w:val="18"/>
                <w:szCs w:val="18"/>
              </w:rPr>
              <w:t>吊装加固</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6" w:line="231" w:lineRule="auto"/>
              <w:ind w:left="529"/>
              <w:rPr>
                <w:rFonts w:ascii="宋体" w:hAnsi="宋体" w:eastAsia="宋体" w:cs="宋体"/>
                <w:sz w:val="18"/>
                <w:szCs w:val="18"/>
              </w:rPr>
            </w:pPr>
            <w:r>
              <w:rPr>
                <w:rFonts w:ascii="宋体" w:hAnsi="宋体" w:eastAsia="宋体" w:cs="宋体"/>
                <w:spacing w:val="-19"/>
                <w:sz w:val="18"/>
                <w:szCs w:val="18"/>
              </w:rPr>
              <w:t>2.8</w:t>
            </w:r>
          </w:p>
        </w:tc>
        <w:tc>
          <w:tcPr>
            <w:tcW w:w="5182" w:type="dxa"/>
            <w:vAlign w:val="top"/>
          </w:tcPr>
          <w:p>
            <w:pPr>
              <w:spacing w:before="150" w:line="240" w:lineRule="exact"/>
              <w:ind w:left="107"/>
              <w:rPr>
                <w:rFonts w:ascii="宋体" w:hAnsi="宋体" w:eastAsia="宋体" w:cs="宋体"/>
                <w:sz w:val="18"/>
                <w:szCs w:val="18"/>
              </w:rPr>
            </w:pPr>
            <w:r>
              <w:rPr>
                <w:rFonts w:ascii="宋体" w:hAnsi="宋体" w:eastAsia="宋体" w:cs="宋体"/>
                <w:spacing w:val="-1"/>
                <w:position w:val="1"/>
                <w:sz w:val="18"/>
                <w:szCs w:val="18"/>
              </w:rPr>
              <w:t>胎（模）具</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5" w:line="232" w:lineRule="auto"/>
              <w:ind w:left="529"/>
              <w:rPr>
                <w:rFonts w:ascii="宋体" w:hAnsi="宋体" w:eastAsia="宋体" w:cs="宋体"/>
                <w:sz w:val="18"/>
                <w:szCs w:val="18"/>
              </w:rPr>
            </w:pPr>
            <w:r>
              <w:rPr>
                <w:rFonts w:ascii="宋体" w:hAnsi="宋体" w:eastAsia="宋体" w:cs="宋体"/>
                <w:spacing w:val="-19"/>
                <w:sz w:val="18"/>
                <w:szCs w:val="18"/>
              </w:rPr>
              <w:t>2.9</w:t>
            </w:r>
          </w:p>
        </w:tc>
        <w:tc>
          <w:tcPr>
            <w:tcW w:w="5182" w:type="dxa"/>
            <w:vAlign w:val="top"/>
          </w:tcPr>
          <w:p>
            <w:pPr>
              <w:spacing w:before="148" w:line="242"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42"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6" w:line="230" w:lineRule="auto"/>
              <w:ind w:left="483"/>
              <w:rPr>
                <w:rFonts w:ascii="宋体" w:hAnsi="宋体" w:eastAsia="宋体" w:cs="宋体"/>
                <w:sz w:val="18"/>
                <w:szCs w:val="18"/>
              </w:rPr>
            </w:pPr>
            <w:r>
              <w:rPr>
                <w:rFonts w:ascii="宋体" w:hAnsi="宋体" w:eastAsia="宋体" w:cs="宋体"/>
                <w:spacing w:val="-15"/>
                <w:sz w:val="18"/>
                <w:szCs w:val="18"/>
              </w:rPr>
              <w:t>2.10</w:t>
            </w:r>
          </w:p>
        </w:tc>
        <w:tc>
          <w:tcPr>
            <w:tcW w:w="5182" w:type="dxa"/>
            <w:vAlign w:val="top"/>
          </w:tcPr>
          <w:p>
            <w:pPr>
              <w:spacing w:before="154" w:line="211" w:lineRule="auto"/>
              <w:ind w:left="107"/>
              <w:rPr>
                <w:rFonts w:ascii="宋体" w:hAnsi="宋体" w:eastAsia="宋体" w:cs="宋体"/>
                <w:sz w:val="18"/>
                <w:szCs w:val="18"/>
              </w:rPr>
            </w:pPr>
            <w:r>
              <w:rPr>
                <w:rFonts w:ascii="宋体" w:hAnsi="宋体" w:eastAsia="宋体" w:cs="宋体"/>
                <w:spacing w:val="-4"/>
                <w:sz w:val="18"/>
                <w:szCs w:val="18"/>
              </w:rPr>
              <w:t>顶升、提升装置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0" w:line="228" w:lineRule="auto"/>
              <w:ind w:left="483"/>
              <w:rPr>
                <w:rFonts w:ascii="宋体" w:hAnsi="宋体" w:eastAsia="宋体" w:cs="宋体"/>
                <w:sz w:val="18"/>
                <w:szCs w:val="18"/>
              </w:rPr>
            </w:pPr>
            <w:r>
              <w:rPr>
                <w:rFonts w:ascii="宋体" w:hAnsi="宋体" w:eastAsia="宋体" w:cs="宋体"/>
                <w:spacing w:val="-15"/>
                <w:sz w:val="18"/>
                <w:szCs w:val="18"/>
              </w:rPr>
              <w:t>2.11</w:t>
            </w:r>
          </w:p>
        </w:tc>
        <w:tc>
          <w:tcPr>
            <w:tcW w:w="5182" w:type="dxa"/>
            <w:vAlign w:val="top"/>
          </w:tcPr>
          <w:p>
            <w:pPr>
              <w:spacing w:before="158"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45"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8" w:line="229" w:lineRule="auto"/>
              <w:ind w:left="483"/>
              <w:rPr>
                <w:rFonts w:ascii="宋体" w:hAnsi="宋体" w:eastAsia="宋体" w:cs="宋体"/>
                <w:sz w:val="18"/>
                <w:szCs w:val="18"/>
              </w:rPr>
            </w:pPr>
            <w:r>
              <w:rPr>
                <w:rFonts w:ascii="宋体" w:hAnsi="宋体" w:eastAsia="宋体" w:cs="宋体"/>
                <w:spacing w:val="-15"/>
                <w:sz w:val="18"/>
                <w:szCs w:val="18"/>
              </w:rPr>
              <w:t>2.12</w:t>
            </w:r>
          </w:p>
        </w:tc>
        <w:tc>
          <w:tcPr>
            <w:tcW w:w="5182" w:type="dxa"/>
            <w:vAlign w:val="top"/>
          </w:tcPr>
          <w:p>
            <w:pPr>
              <w:spacing w:before="156" w:line="211" w:lineRule="auto"/>
              <w:ind w:left="109"/>
              <w:rPr>
                <w:rFonts w:ascii="宋体" w:hAnsi="宋体" w:eastAsia="宋体" w:cs="宋体"/>
                <w:sz w:val="18"/>
                <w:szCs w:val="18"/>
              </w:rPr>
            </w:pPr>
            <w:r>
              <w:rPr>
                <w:rFonts w:ascii="宋体" w:hAnsi="宋体" w:eastAsia="宋体" w:cs="宋体"/>
                <w:spacing w:val="-3"/>
                <w:sz w:val="18"/>
                <w:szCs w:val="18"/>
              </w:rPr>
              <w:t>安装与生产运行同时进行施工防护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1319" w:type="dxa"/>
            <w:tcBorders>
              <w:left w:val="single" w:color="000000" w:sz="4" w:space="0"/>
            </w:tcBorders>
            <w:vAlign w:val="top"/>
          </w:tcPr>
          <w:p>
            <w:pPr>
              <w:spacing w:before="171" w:line="228" w:lineRule="auto"/>
              <w:ind w:left="483"/>
              <w:rPr>
                <w:rFonts w:ascii="宋体" w:hAnsi="宋体" w:eastAsia="宋体" w:cs="宋体"/>
                <w:sz w:val="18"/>
                <w:szCs w:val="18"/>
              </w:rPr>
            </w:pPr>
            <w:r>
              <w:rPr>
                <w:rFonts w:ascii="宋体" w:hAnsi="宋体" w:eastAsia="宋体" w:cs="宋体"/>
                <w:spacing w:val="-15"/>
                <w:sz w:val="18"/>
                <w:szCs w:val="18"/>
              </w:rPr>
              <w:t>2.13</w:t>
            </w:r>
          </w:p>
        </w:tc>
        <w:tc>
          <w:tcPr>
            <w:tcW w:w="5182" w:type="dxa"/>
            <w:vAlign w:val="top"/>
          </w:tcPr>
          <w:p>
            <w:pPr>
              <w:spacing w:before="156" w:line="216" w:lineRule="auto"/>
              <w:ind w:left="106"/>
              <w:rPr>
                <w:rFonts w:ascii="宋体" w:hAnsi="宋体" w:eastAsia="宋体" w:cs="宋体"/>
                <w:sz w:val="18"/>
                <w:szCs w:val="18"/>
              </w:rPr>
            </w:pPr>
            <w:r>
              <w:rPr>
                <w:rFonts w:ascii="宋体" w:hAnsi="宋体" w:eastAsia="宋体" w:cs="宋体"/>
                <w:spacing w:val="-2"/>
                <w:sz w:val="18"/>
                <w:szCs w:val="18"/>
              </w:rPr>
              <w:t>有害身体健康环境中施工防护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70" w:line="227" w:lineRule="auto"/>
              <w:ind w:left="483"/>
              <w:rPr>
                <w:rFonts w:ascii="宋体" w:hAnsi="宋体" w:eastAsia="宋体" w:cs="宋体"/>
                <w:sz w:val="18"/>
                <w:szCs w:val="18"/>
              </w:rPr>
            </w:pPr>
            <w:r>
              <w:rPr>
                <w:rFonts w:ascii="宋体" w:hAnsi="宋体" w:eastAsia="宋体" w:cs="宋体"/>
                <w:spacing w:val="-15"/>
                <w:sz w:val="18"/>
                <w:szCs w:val="18"/>
              </w:rPr>
              <w:t>2.14</w:t>
            </w:r>
          </w:p>
        </w:tc>
        <w:tc>
          <w:tcPr>
            <w:tcW w:w="5182" w:type="dxa"/>
            <w:vAlign w:val="top"/>
          </w:tcPr>
          <w:p>
            <w:pPr>
              <w:spacing w:before="157"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6" w:line="231" w:lineRule="auto"/>
              <w:ind w:left="620"/>
              <w:rPr>
                <w:rFonts w:ascii="宋体" w:hAnsi="宋体" w:eastAsia="宋体" w:cs="宋体"/>
                <w:sz w:val="18"/>
                <w:szCs w:val="18"/>
              </w:rPr>
            </w:pPr>
            <w:r>
              <w:rPr>
                <w:rFonts w:ascii="宋体" w:hAnsi="宋体" w:eastAsia="宋体" w:cs="宋体"/>
                <w:b/>
                <w:bCs/>
                <w:spacing w:val="-2"/>
                <w:sz w:val="18"/>
                <w:szCs w:val="18"/>
              </w:rPr>
              <w:t>3</w:t>
            </w:r>
          </w:p>
        </w:tc>
        <w:tc>
          <w:tcPr>
            <w:tcW w:w="5182" w:type="dxa"/>
            <w:vAlign w:val="top"/>
          </w:tcPr>
          <w:p>
            <w:pPr>
              <w:spacing w:before="162" w:line="210" w:lineRule="auto"/>
              <w:ind w:left="2239"/>
              <w:rPr>
                <w:rFonts w:ascii="宋体" w:hAnsi="宋体" w:eastAsia="宋体" w:cs="宋体"/>
                <w:sz w:val="18"/>
                <w:szCs w:val="18"/>
              </w:rPr>
            </w:pPr>
            <w:r>
              <w:rPr>
                <w:rFonts w:ascii="宋体" w:hAnsi="宋体" w:eastAsia="宋体" w:cs="宋体"/>
                <w:b/>
                <w:bCs/>
                <w:spacing w:val="-6"/>
                <w:sz w:val="18"/>
                <w:szCs w:val="18"/>
              </w:rPr>
              <w:t>市政工程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319" w:type="dxa"/>
            <w:tcBorders>
              <w:left w:val="single" w:color="000000" w:sz="4" w:space="0"/>
            </w:tcBorders>
            <w:vAlign w:val="top"/>
          </w:tcPr>
          <w:p>
            <w:pPr>
              <w:spacing w:before="175" w:line="225" w:lineRule="auto"/>
              <w:ind w:left="532"/>
              <w:rPr>
                <w:rFonts w:ascii="宋体" w:hAnsi="宋体" w:eastAsia="宋体" w:cs="宋体"/>
                <w:sz w:val="18"/>
                <w:szCs w:val="18"/>
              </w:rPr>
            </w:pPr>
            <w:r>
              <w:rPr>
                <w:rFonts w:ascii="宋体" w:hAnsi="宋体" w:eastAsia="宋体" w:cs="宋体"/>
                <w:spacing w:val="-20"/>
                <w:sz w:val="18"/>
                <w:szCs w:val="18"/>
              </w:rPr>
              <w:t>3.1</w:t>
            </w:r>
          </w:p>
        </w:tc>
        <w:tc>
          <w:tcPr>
            <w:tcW w:w="5182" w:type="dxa"/>
            <w:vAlign w:val="top"/>
          </w:tcPr>
          <w:p>
            <w:pPr>
              <w:spacing w:before="162"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1319" w:type="dxa"/>
            <w:tcBorders>
              <w:left w:val="single" w:color="000000" w:sz="4" w:space="0"/>
              <w:bottom w:val="single" w:color="000000" w:sz="4" w:space="0"/>
            </w:tcBorders>
            <w:vAlign w:val="top"/>
          </w:tcPr>
          <w:p>
            <w:pPr>
              <w:spacing w:before="175" w:line="240" w:lineRule="exact"/>
              <w:ind w:left="532"/>
              <w:rPr>
                <w:rFonts w:ascii="宋体" w:hAnsi="宋体" w:eastAsia="宋体" w:cs="宋体"/>
                <w:sz w:val="18"/>
                <w:szCs w:val="18"/>
              </w:rPr>
            </w:pPr>
            <w:r>
              <w:rPr>
                <w:rFonts w:ascii="宋体" w:hAnsi="宋体" w:eastAsia="宋体" w:cs="宋体"/>
                <w:spacing w:val="-20"/>
                <w:position w:val="1"/>
                <w:sz w:val="18"/>
                <w:szCs w:val="18"/>
              </w:rPr>
              <w:t>3.2</w:t>
            </w:r>
          </w:p>
        </w:tc>
        <w:tc>
          <w:tcPr>
            <w:tcW w:w="5182" w:type="dxa"/>
            <w:tcBorders>
              <w:bottom w:val="single" w:color="000000" w:sz="4" w:space="0"/>
            </w:tcBorders>
            <w:vAlign w:val="top"/>
          </w:tcPr>
          <w:p>
            <w:pPr>
              <w:spacing w:before="159" w:line="214" w:lineRule="auto"/>
              <w:ind w:left="108"/>
              <w:rPr>
                <w:rFonts w:ascii="宋体" w:hAnsi="宋体" w:eastAsia="宋体" w:cs="宋体"/>
                <w:sz w:val="18"/>
                <w:szCs w:val="18"/>
              </w:rPr>
            </w:pPr>
            <w:r>
              <w:rPr>
                <w:rFonts w:ascii="宋体" w:hAnsi="宋体" w:eastAsia="宋体" w:cs="宋体"/>
                <w:spacing w:val="-2"/>
                <w:sz w:val="18"/>
                <w:szCs w:val="18"/>
              </w:rPr>
              <w:t>水上桩基础支架、平台</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headerReference r:id="rId208" w:type="default"/>
          <w:footerReference r:id="rId209" w:type="default"/>
          <w:pgSz w:w="11905" w:h="16840"/>
          <w:pgMar w:top="400" w:right="1398" w:bottom="1213" w:left="1416" w:header="0" w:footer="898" w:gutter="0"/>
        </w:sectPr>
      </w:pPr>
    </w:p>
    <w:p>
      <w:pPr>
        <w:spacing w:before="14"/>
      </w:pPr>
    </w:p>
    <w:p>
      <w:pPr>
        <w:spacing w:before="14"/>
      </w:pPr>
    </w:p>
    <w:p>
      <w:pPr>
        <w:spacing w:before="14"/>
      </w:pPr>
    </w:p>
    <w:p>
      <w:pPr>
        <w:spacing w:before="13"/>
      </w:pPr>
    </w:p>
    <w:p>
      <w:pPr>
        <w:spacing w:before="13"/>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0" w:line="223" w:lineRule="auto"/>
              <w:ind w:left="481"/>
              <w:rPr>
                <w:rFonts w:ascii="黑体" w:hAnsi="黑体" w:eastAsia="黑体" w:cs="黑体"/>
                <w:sz w:val="18"/>
                <w:szCs w:val="18"/>
              </w:rPr>
            </w:pPr>
            <w:bookmarkStart w:id="114" w:name="bookmark169"/>
            <w:bookmarkEnd w:id="114"/>
            <w:r>
              <w:rPr>
                <w:rFonts w:ascii="黑体" w:hAnsi="黑体" w:eastAsia="黑体" w:cs="黑体"/>
                <w:spacing w:val="-4"/>
                <w:sz w:val="18"/>
                <w:szCs w:val="18"/>
              </w:rPr>
              <w:t>序号</w:t>
            </w:r>
          </w:p>
        </w:tc>
        <w:tc>
          <w:tcPr>
            <w:tcW w:w="5182" w:type="dxa"/>
            <w:tcBorders>
              <w:top w:val="single" w:color="000000" w:sz="4" w:space="0"/>
            </w:tcBorders>
            <w:vAlign w:val="top"/>
          </w:tcPr>
          <w:p>
            <w:pPr>
              <w:spacing w:before="127" w:line="222" w:lineRule="auto"/>
              <w:ind w:left="2045"/>
              <w:rPr>
                <w:rFonts w:ascii="黑体" w:hAnsi="黑体" w:eastAsia="黑体" w:cs="黑体"/>
                <w:sz w:val="18"/>
                <w:szCs w:val="18"/>
              </w:rPr>
            </w:pPr>
            <w:r>
              <w:rPr>
                <w:rFonts w:ascii="黑体" w:hAnsi="黑体" w:eastAsia="黑体" w:cs="黑体"/>
                <w:spacing w:val="2"/>
                <w:sz w:val="18"/>
                <w:szCs w:val="18"/>
              </w:rPr>
              <w:t>措施项目名称</w:t>
            </w:r>
          </w:p>
        </w:tc>
        <w:tc>
          <w:tcPr>
            <w:tcW w:w="2578" w:type="dxa"/>
            <w:tcBorders>
              <w:top w:val="single" w:color="000000" w:sz="4" w:space="0"/>
              <w:right w:val="single" w:color="000000" w:sz="4" w:space="0"/>
            </w:tcBorders>
            <w:vAlign w:val="top"/>
          </w:tcPr>
          <w:p>
            <w:pPr>
              <w:spacing w:before="130" w:line="222" w:lineRule="auto"/>
              <w:ind w:left="1122"/>
              <w:rPr>
                <w:rFonts w:ascii="黑体" w:hAnsi="黑体" w:eastAsia="黑体" w:cs="黑体"/>
                <w:sz w:val="18"/>
                <w:szCs w:val="18"/>
              </w:rPr>
            </w:pPr>
            <w:r>
              <w:rPr>
                <w:rFonts w:ascii="黑体" w:hAnsi="黑体" w:eastAsia="黑体" w:cs="黑体"/>
                <w:spacing w:val="-4"/>
                <w:sz w:val="18"/>
                <w:szCs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1319" w:type="dxa"/>
            <w:tcBorders>
              <w:left w:val="single" w:color="000000" w:sz="4" w:space="0"/>
            </w:tcBorders>
            <w:vAlign w:val="top"/>
          </w:tcPr>
          <w:p>
            <w:pPr>
              <w:spacing w:before="154" w:line="242" w:lineRule="auto"/>
              <w:ind w:left="532"/>
              <w:rPr>
                <w:rFonts w:ascii="宋体" w:hAnsi="宋体" w:eastAsia="宋体" w:cs="宋体"/>
                <w:sz w:val="18"/>
                <w:szCs w:val="18"/>
              </w:rPr>
            </w:pPr>
            <w:r>
              <w:rPr>
                <w:rFonts w:ascii="宋体" w:hAnsi="宋体" w:eastAsia="宋体" w:cs="宋体"/>
                <w:spacing w:val="-20"/>
                <w:sz w:val="18"/>
                <w:szCs w:val="18"/>
              </w:rPr>
              <w:t>3.3</w:t>
            </w:r>
          </w:p>
        </w:tc>
        <w:tc>
          <w:tcPr>
            <w:tcW w:w="5182" w:type="dxa"/>
            <w:vAlign w:val="top"/>
          </w:tcPr>
          <w:p>
            <w:pPr>
              <w:spacing w:before="139" w:line="211" w:lineRule="auto"/>
              <w:ind w:left="107"/>
              <w:rPr>
                <w:rFonts w:ascii="宋体" w:hAnsi="宋体" w:eastAsia="宋体" w:cs="宋体"/>
                <w:sz w:val="18"/>
                <w:szCs w:val="18"/>
              </w:rPr>
            </w:pPr>
            <w:r>
              <w:rPr>
                <w:rFonts w:ascii="宋体" w:hAnsi="宋体" w:eastAsia="宋体" w:cs="宋体"/>
                <w:spacing w:val="-3"/>
                <w:sz w:val="18"/>
                <w:szCs w:val="18"/>
              </w:rPr>
              <w:t>桥涵支架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4" w:line="236" w:lineRule="exact"/>
              <w:ind w:left="532"/>
              <w:rPr>
                <w:rFonts w:ascii="宋体" w:hAnsi="宋体" w:eastAsia="宋体" w:cs="宋体"/>
                <w:sz w:val="18"/>
                <w:szCs w:val="18"/>
              </w:rPr>
            </w:pPr>
            <w:r>
              <w:rPr>
                <w:rFonts w:ascii="宋体" w:hAnsi="宋体" w:eastAsia="宋体" w:cs="宋体"/>
                <w:spacing w:val="-20"/>
                <w:position w:val="1"/>
                <w:sz w:val="18"/>
                <w:szCs w:val="18"/>
              </w:rPr>
              <w:t>3.4</w:t>
            </w:r>
          </w:p>
        </w:tc>
        <w:tc>
          <w:tcPr>
            <w:tcW w:w="5182" w:type="dxa"/>
            <w:vAlign w:val="top"/>
          </w:tcPr>
          <w:p>
            <w:pPr>
              <w:spacing w:before="128"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32"/>
              <w:rPr>
                <w:rFonts w:ascii="宋体" w:hAnsi="宋体" w:eastAsia="宋体" w:cs="宋体"/>
                <w:sz w:val="18"/>
                <w:szCs w:val="18"/>
              </w:rPr>
            </w:pPr>
            <w:r>
              <w:rPr>
                <w:rFonts w:ascii="宋体" w:hAnsi="宋体" w:eastAsia="宋体" w:cs="宋体"/>
                <w:spacing w:val="-20"/>
                <w:sz w:val="18"/>
                <w:szCs w:val="18"/>
              </w:rPr>
              <w:t>3.5</w:t>
            </w:r>
          </w:p>
        </w:tc>
        <w:tc>
          <w:tcPr>
            <w:tcW w:w="5182" w:type="dxa"/>
            <w:vAlign w:val="top"/>
          </w:tcPr>
          <w:p>
            <w:pPr>
              <w:spacing w:before="140"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3" w:line="238" w:lineRule="exact"/>
              <w:ind w:left="532"/>
              <w:rPr>
                <w:rFonts w:ascii="宋体" w:hAnsi="宋体" w:eastAsia="宋体" w:cs="宋体"/>
                <w:sz w:val="18"/>
                <w:szCs w:val="18"/>
              </w:rPr>
            </w:pPr>
            <w:r>
              <w:rPr>
                <w:rFonts w:ascii="宋体" w:hAnsi="宋体" w:eastAsia="宋体" w:cs="宋体"/>
                <w:spacing w:val="-20"/>
                <w:position w:val="1"/>
                <w:sz w:val="18"/>
                <w:szCs w:val="18"/>
              </w:rPr>
              <w:t>3.6</w:t>
            </w:r>
          </w:p>
        </w:tc>
        <w:tc>
          <w:tcPr>
            <w:tcW w:w="5182" w:type="dxa"/>
            <w:vAlign w:val="top"/>
          </w:tcPr>
          <w:p>
            <w:pPr>
              <w:spacing w:before="147" w:line="206" w:lineRule="auto"/>
              <w:ind w:left="137"/>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4" w:line="236" w:lineRule="exact"/>
              <w:ind w:left="532"/>
              <w:rPr>
                <w:rFonts w:ascii="宋体" w:hAnsi="宋体" w:eastAsia="宋体" w:cs="宋体"/>
                <w:sz w:val="18"/>
                <w:szCs w:val="18"/>
              </w:rPr>
            </w:pPr>
            <w:r>
              <w:rPr>
                <w:rFonts w:ascii="宋体" w:hAnsi="宋体" w:eastAsia="宋体" w:cs="宋体"/>
                <w:spacing w:val="-20"/>
                <w:position w:val="1"/>
                <w:sz w:val="18"/>
                <w:szCs w:val="18"/>
              </w:rPr>
              <w:t>3.7</w:t>
            </w:r>
          </w:p>
        </w:tc>
        <w:tc>
          <w:tcPr>
            <w:tcW w:w="5182" w:type="dxa"/>
            <w:vAlign w:val="top"/>
          </w:tcPr>
          <w:p>
            <w:pPr>
              <w:spacing w:before="142" w:line="212" w:lineRule="auto"/>
              <w:ind w:left="110"/>
              <w:rPr>
                <w:rFonts w:ascii="宋体" w:hAnsi="宋体" w:eastAsia="宋体" w:cs="宋体"/>
                <w:sz w:val="18"/>
                <w:szCs w:val="18"/>
              </w:rPr>
            </w:pPr>
            <w:r>
              <w:rPr>
                <w:rFonts w:ascii="宋体" w:hAnsi="宋体" w:eastAsia="宋体" w:cs="宋体"/>
                <w:spacing w:val="-3"/>
                <w:sz w:val="18"/>
                <w:szCs w:val="18"/>
              </w:rPr>
              <w:t>筑岛</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32"/>
              <w:rPr>
                <w:rFonts w:ascii="宋体" w:hAnsi="宋体" w:eastAsia="宋体" w:cs="宋体"/>
                <w:sz w:val="18"/>
                <w:szCs w:val="18"/>
              </w:rPr>
            </w:pPr>
            <w:r>
              <w:rPr>
                <w:rFonts w:ascii="宋体" w:hAnsi="宋体" w:eastAsia="宋体" w:cs="宋体"/>
                <w:spacing w:val="-20"/>
                <w:sz w:val="18"/>
                <w:szCs w:val="18"/>
              </w:rPr>
              <w:t>3.8</w:t>
            </w:r>
          </w:p>
        </w:tc>
        <w:tc>
          <w:tcPr>
            <w:tcW w:w="5182" w:type="dxa"/>
            <w:vAlign w:val="top"/>
          </w:tcPr>
          <w:p>
            <w:pPr>
              <w:spacing w:before="143" w:line="212" w:lineRule="auto"/>
              <w:ind w:left="105"/>
              <w:rPr>
                <w:rFonts w:ascii="宋体" w:hAnsi="宋体" w:eastAsia="宋体" w:cs="宋体"/>
                <w:sz w:val="18"/>
                <w:szCs w:val="18"/>
              </w:rPr>
            </w:pPr>
            <w:r>
              <w:rPr>
                <w:rFonts w:ascii="宋体" w:hAnsi="宋体" w:eastAsia="宋体" w:cs="宋体"/>
                <w:spacing w:val="-2"/>
                <w:sz w:val="18"/>
                <w:szCs w:val="18"/>
              </w:rPr>
              <w:t>便道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532"/>
              <w:rPr>
                <w:rFonts w:ascii="宋体" w:hAnsi="宋体" w:eastAsia="宋体" w:cs="宋体"/>
                <w:sz w:val="18"/>
                <w:szCs w:val="18"/>
              </w:rPr>
            </w:pPr>
            <w:r>
              <w:rPr>
                <w:rFonts w:ascii="宋体" w:hAnsi="宋体" w:eastAsia="宋体" w:cs="宋体"/>
                <w:spacing w:val="-20"/>
                <w:sz w:val="18"/>
                <w:szCs w:val="18"/>
              </w:rPr>
              <w:t>3.9</w:t>
            </w:r>
          </w:p>
        </w:tc>
        <w:tc>
          <w:tcPr>
            <w:tcW w:w="5182" w:type="dxa"/>
            <w:vAlign w:val="top"/>
          </w:tcPr>
          <w:p>
            <w:pPr>
              <w:spacing w:before="145" w:line="212" w:lineRule="auto"/>
              <w:ind w:left="105"/>
              <w:rPr>
                <w:rFonts w:ascii="宋体" w:hAnsi="宋体" w:eastAsia="宋体" w:cs="宋体"/>
                <w:sz w:val="18"/>
                <w:szCs w:val="18"/>
              </w:rPr>
            </w:pPr>
            <w:r>
              <w:rPr>
                <w:rFonts w:ascii="宋体" w:hAnsi="宋体" w:eastAsia="宋体" w:cs="宋体"/>
                <w:spacing w:val="-2"/>
                <w:sz w:val="18"/>
                <w:szCs w:val="18"/>
              </w:rPr>
              <w:t>便桥</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0" w:line="237" w:lineRule="auto"/>
              <w:ind w:left="488"/>
              <w:rPr>
                <w:rFonts w:ascii="宋体" w:hAnsi="宋体" w:eastAsia="宋体" w:cs="宋体"/>
                <w:sz w:val="18"/>
                <w:szCs w:val="18"/>
              </w:rPr>
            </w:pPr>
            <w:r>
              <w:rPr>
                <w:rFonts w:ascii="宋体" w:hAnsi="宋体" w:eastAsia="宋体" w:cs="宋体"/>
                <w:spacing w:val="-16"/>
                <w:sz w:val="18"/>
                <w:szCs w:val="18"/>
              </w:rPr>
              <w:t>3.10</w:t>
            </w:r>
          </w:p>
        </w:tc>
        <w:tc>
          <w:tcPr>
            <w:tcW w:w="5182" w:type="dxa"/>
            <w:vAlign w:val="top"/>
          </w:tcPr>
          <w:p>
            <w:pPr>
              <w:spacing w:before="144" w:line="215" w:lineRule="auto"/>
              <w:ind w:left="108"/>
              <w:rPr>
                <w:rFonts w:ascii="宋体" w:hAnsi="宋体" w:eastAsia="宋体" w:cs="宋体"/>
                <w:sz w:val="18"/>
                <w:szCs w:val="18"/>
              </w:rPr>
            </w:pPr>
            <w:r>
              <w:rPr>
                <w:rFonts w:ascii="宋体" w:hAnsi="宋体" w:eastAsia="宋体" w:cs="宋体"/>
                <w:spacing w:val="-3"/>
                <w:sz w:val="18"/>
                <w:szCs w:val="18"/>
              </w:rPr>
              <w:t>洞内施工通风、供水、供电照明、通信设施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8" w:line="239" w:lineRule="auto"/>
              <w:ind w:left="488"/>
              <w:rPr>
                <w:rFonts w:ascii="宋体" w:hAnsi="宋体" w:eastAsia="宋体" w:cs="宋体"/>
                <w:sz w:val="18"/>
                <w:szCs w:val="18"/>
              </w:rPr>
            </w:pPr>
            <w:r>
              <w:rPr>
                <w:rFonts w:ascii="宋体" w:hAnsi="宋体" w:eastAsia="宋体" w:cs="宋体"/>
                <w:spacing w:val="-16"/>
                <w:sz w:val="18"/>
                <w:szCs w:val="18"/>
              </w:rPr>
              <w:t>3.11</w:t>
            </w:r>
          </w:p>
        </w:tc>
        <w:tc>
          <w:tcPr>
            <w:tcW w:w="5182" w:type="dxa"/>
            <w:vAlign w:val="top"/>
          </w:tcPr>
          <w:p>
            <w:pPr>
              <w:spacing w:before="143" w:line="211" w:lineRule="auto"/>
              <w:ind w:left="108"/>
              <w:rPr>
                <w:rFonts w:ascii="宋体" w:hAnsi="宋体" w:eastAsia="宋体" w:cs="宋体"/>
                <w:sz w:val="18"/>
                <w:szCs w:val="18"/>
              </w:rPr>
            </w:pPr>
            <w:r>
              <w:rPr>
                <w:rFonts w:ascii="宋体" w:hAnsi="宋体" w:eastAsia="宋体" w:cs="宋体"/>
                <w:spacing w:val="-4"/>
                <w:sz w:val="18"/>
                <w:szCs w:val="18"/>
              </w:rPr>
              <w:t>洞内外轨道铺设</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9" w:line="237" w:lineRule="auto"/>
              <w:ind w:left="488"/>
              <w:rPr>
                <w:rFonts w:ascii="宋体" w:hAnsi="宋体" w:eastAsia="宋体" w:cs="宋体"/>
                <w:sz w:val="18"/>
                <w:szCs w:val="18"/>
              </w:rPr>
            </w:pPr>
            <w:r>
              <w:rPr>
                <w:rFonts w:ascii="宋体" w:hAnsi="宋体" w:eastAsia="宋体" w:cs="宋体"/>
                <w:spacing w:val="-16"/>
                <w:sz w:val="18"/>
                <w:szCs w:val="18"/>
              </w:rPr>
              <w:t>3.12</w:t>
            </w:r>
          </w:p>
        </w:tc>
        <w:tc>
          <w:tcPr>
            <w:tcW w:w="5182" w:type="dxa"/>
            <w:vAlign w:val="top"/>
          </w:tcPr>
          <w:p>
            <w:pPr>
              <w:spacing w:before="144" w:line="212" w:lineRule="auto"/>
              <w:ind w:left="113"/>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9" w:line="238" w:lineRule="auto"/>
              <w:ind w:left="488"/>
              <w:rPr>
                <w:rFonts w:ascii="宋体" w:hAnsi="宋体" w:eastAsia="宋体" w:cs="宋体"/>
                <w:sz w:val="18"/>
                <w:szCs w:val="18"/>
              </w:rPr>
            </w:pPr>
            <w:r>
              <w:rPr>
                <w:rFonts w:ascii="宋体" w:hAnsi="宋体" w:eastAsia="宋体" w:cs="宋体"/>
                <w:spacing w:val="-16"/>
                <w:sz w:val="18"/>
                <w:szCs w:val="18"/>
              </w:rPr>
              <w:t>3.13</w:t>
            </w:r>
          </w:p>
        </w:tc>
        <w:tc>
          <w:tcPr>
            <w:tcW w:w="5182" w:type="dxa"/>
            <w:vAlign w:val="top"/>
          </w:tcPr>
          <w:p>
            <w:pPr>
              <w:spacing w:before="145" w:line="211" w:lineRule="auto"/>
              <w:ind w:left="106"/>
              <w:rPr>
                <w:rFonts w:ascii="宋体" w:hAnsi="宋体" w:eastAsia="宋体" w:cs="宋体"/>
                <w:sz w:val="18"/>
                <w:szCs w:val="18"/>
              </w:rPr>
            </w:pPr>
            <w:r>
              <w:rPr>
                <w:rFonts w:ascii="宋体" w:hAnsi="宋体" w:eastAsia="宋体" w:cs="宋体"/>
                <w:spacing w:val="-3"/>
                <w:sz w:val="18"/>
                <w:szCs w:val="18"/>
              </w:rPr>
              <w:t>立交箱涵顶进被交线路加固及防护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74" w:hRule="atLeast"/>
        </w:trPr>
        <w:tc>
          <w:tcPr>
            <w:tcW w:w="1319" w:type="dxa"/>
            <w:tcBorders>
              <w:left w:val="single" w:color="000000" w:sz="4" w:space="0"/>
            </w:tcBorders>
            <w:vAlign w:val="top"/>
          </w:tcPr>
          <w:p>
            <w:pPr>
              <w:pStyle w:val="6"/>
              <w:spacing w:line="289" w:lineRule="auto"/>
            </w:pPr>
          </w:p>
          <w:p>
            <w:pPr>
              <w:pStyle w:val="6"/>
              <w:spacing w:line="289" w:lineRule="auto"/>
            </w:pPr>
          </w:p>
          <w:p>
            <w:pPr>
              <w:spacing w:before="59" w:line="259" w:lineRule="exact"/>
              <w:ind w:left="488"/>
              <w:rPr>
                <w:rFonts w:ascii="宋体" w:hAnsi="宋体" w:eastAsia="宋体" w:cs="宋体"/>
                <w:sz w:val="18"/>
                <w:szCs w:val="18"/>
              </w:rPr>
            </w:pPr>
            <w:r>
              <w:rPr>
                <w:rFonts w:ascii="宋体" w:hAnsi="宋体" w:eastAsia="宋体" w:cs="宋体"/>
                <w:spacing w:val="-16"/>
                <w:position w:val="1"/>
                <w:sz w:val="18"/>
                <w:szCs w:val="18"/>
              </w:rPr>
              <w:t>3.14</w:t>
            </w:r>
          </w:p>
        </w:tc>
        <w:tc>
          <w:tcPr>
            <w:tcW w:w="5182" w:type="dxa"/>
            <w:vAlign w:val="top"/>
          </w:tcPr>
          <w:p>
            <w:pPr>
              <w:pStyle w:val="6"/>
              <w:spacing w:line="342" w:lineRule="auto"/>
            </w:pPr>
          </w:p>
          <w:p>
            <w:pPr>
              <w:pStyle w:val="6"/>
              <w:spacing w:line="343" w:lineRule="auto"/>
            </w:pPr>
          </w:p>
          <w:p>
            <w:pPr>
              <w:spacing w:before="59" w:line="211" w:lineRule="auto"/>
              <w:ind w:left="112"/>
              <w:rPr>
                <w:rFonts w:ascii="宋体" w:hAnsi="宋体" w:eastAsia="宋体" w:cs="宋体"/>
                <w:sz w:val="18"/>
                <w:szCs w:val="18"/>
              </w:rPr>
            </w:pPr>
            <w:r>
              <w:rPr>
                <w:rFonts w:ascii="宋体" w:hAnsi="宋体" w:eastAsia="宋体" w:cs="宋体"/>
                <w:spacing w:val="-3"/>
                <w:sz w:val="18"/>
                <w:szCs w:val="18"/>
              </w:rPr>
              <w:t>市政工程地下管线交叉处理</w:t>
            </w:r>
          </w:p>
        </w:tc>
        <w:tc>
          <w:tcPr>
            <w:tcW w:w="2578" w:type="dxa"/>
            <w:tcBorders>
              <w:right w:val="single" w:color="000000" w:sz="4" w:space="0"/>
            </w:tcBorders>
            <w:vAlign w:val="top"/>
          </w:tcPr>
          <w:p>
            <w:pPr>
              <w:spacing w:before="164" w:line="282" w:lineRule="auto"/>
              <w:ind w:left="118" w:right="108" w:hanging="1"/>
              <w:jc w:val="both"/>
              <w:rPr>
                <w:rFonts w:ascii="宋体" w:hAnsi="宋体" w:eastAsia="宋体" w:cs="宋体"/>
                <w:sz w:val="18"/>
                <w:szCs w:val="18"/>
              </w:rPr>
            </w:pPr>
            <w:r>
              <w:rPr>
                <w:rFonts w:ascii="宋体" w:hAnsi="宋体" w:eastAsia="宋体" w:cs="宋体"/>
                <w:sz w:val="18"/>
                <w:szCs w:val="18"/>
              </w:rPr>
              <w:t>对现有施工场地内各种地下交叉管线进行加固及处理所发生的费用，不包括地下管线改移</w:t>
            </w:r>
            <w:r>
              <w:rPr>
                <w:rFonts w:ascii="宋体" w:hAnsi="宋体" w:eastAsia="宋体" w:cs="宋体"/>
                <w:spacing w:val="-3"/>
                <w:sz w:val="18"/>
                <w:szCs w:val="18"/>
              </w:rPr>
              <w:t>发生的费用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0" w:line="237" w:lineRule="auto"/>
              <w:ind w:left="488"/>
              <w:rPr>
                <w:rFonts w:ascii="宋体" w:hAnsi="宋体" w:eastAsia="宋体" w:cs="宋体"/>
                <w:sz w:val="18"/>
                <w:szCs w:val="18"/>
              </w:rPr>
            </w:pPr>
            <w:r>
              <w:rPr>
                <w:rFonts w:ascii="宋体" w:hAnsi="宋体" w:eastAsia="宋体" w:cs="宋体"/>
                <w:spacing w:val="-16"/>
                <w:sz w:val="18"/>
                <w:szCs w:val="18"/>
              </w:rPr>
              <w:t>3.15</w:t>
            </w:r>
          </w:p>
        </w:tc>
        <w:tc>
          <w:tcPr>
            <w:tcW w:w="5182" w:type="dxa"/>
            <w:vAlign w:val="top"/>
          </w:tcPr>
          <w:p>
            <w:pPr>
              <w:spacing w:before="149" w:line="211" w:lineRule="auto"/>
              <w:ind w:left="102"/>
              <w:rPr>
                <w:rFonts w:ascii="宋体" w:hAnsi="宋体" w:eastAsia="宋体" w:cs="宋体"/>
                <w:sz w:val="18"/>
                <w:szCs w:val="18"/>
              </w:rPr>
            </w:pPr>
            <w:r>
              <w:rPr>
                <w:rFonts w:ascii="宋体" w:hAnsi="宋体" w:eastAsia="宋体" w:cs="宋体"/>
                <w:spacing w:val="-2"/>
                <w:sz w:val="18"/>
                <w:szCs w:val="18"/>
              </w:rPr>
              <w:t>施工监测、监控</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1" w:line="236" w:lineRule="auto"/>
              <w:ind w:left="488"/>
              <w:rPr>
                <w:rFonts w:ascii="宋体" w:hAnsi="宋体" w:eastAsia="宋体" w:cs="宋体"/>
                <w:sz w:val="18"/>
                <w:szCs w:val="18"/>
              </w:rPr>
            </w:pPr>
            <w:r>
              <w:rPr>
                <w:rFonts w:ascii="宋体" w:hAnsi="宋体" w:eastAsia="宋体" w:cs="宋体"/>
                <w:spacing w:val="-16"/>
                <w:sz w:val="18"/>
                <w:szCs w:val="18"/>
              </w:rPr>
              <w:t>3.16</w:t>
            </w:r>
          </w:p>
        </w:tc>
        <w:tc>
          <w:tcPr>
            <w:tcW w:w="5182" w:type="dxa"/>
            <w:vAlign w:val="top"/>
          </w:tcPr>
          <w:p>
            <w:pPr>
              <w:spacing w:before="149"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36"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0" w:line="237" w:lineRule="auto"/>
              <w:ind w:left="488"/>
              <w:rPr>
                <w:rFonts w:ascii="宋体" w:hAnsi="宋体" w:eastAsia="宋体" w:cs="宋体"/>
                <w:sz w:val="18"/>
                <w:szCs w:val="18"/>
              </w:rPr>
            </w:pPr>
            <w:r>
              <w:rPr>
                <w:rFonts w:ascii="宋体" w:hAnsi="宋体" w:eastAsia="宋体" w:cs="宋体"/>
                <w:spacing w:val="-16"/>
                <w:sz w:val="18"/>
                <w:szCs w:val="18"/>
              </w:rPr>
              <w:t>3.17</w:t>
            </w:r>
          </w:p>
        </w:tc>
        <w:tc>
          <w:tcPr>
            <w:tcW w:w="5182" w:type="dxa"/>
            <w:vAlign w:val="top"/>
          </w:tcPr>
          <w:p>
            <w:pPr>
              <w:spacing w:before="143" w:line="242"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37"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74" w:hRule="atLeast"/>
        </w:trPr>
        <w:tc>
          <w:tcPr>
            <w:tcW w:w="1319" w:type="dxa"/>
            <w:tcBorders>
              <w:left w:val="single" w:color="000000" w:sz="4" w:space="0"/>
            </w:tcBorders>
            <w:vAlign w:val="top"/>
          </w:tcPr>
          <w:p>
            <w:pPr>
              <w:pStyle w:val="6"/>
              <w:spacing w:line="407" w:lineRule="auto"/>
            </w:pPr>
          </w:p>
          <w:p>
            <w:pPr>
              <w:spacing w:before="59" w:line="259" w:lineRule="exact"/>
              <w:ind w:left="488"/>
              <w:rPr>
                <w:rFonts w:ascii="宋体" w:hAnsi="宋体" w:eastAsia="宋体" w:cs="宋体"/>
                <w:sz w:val="18"/>
                <w:szCs w:val="18"/>
              </w:rPr>
            </w:pPr>
            <w:r>
              <w:rPr>
                <w:rFonts w:ascii="宋体" w:hAnsi="宋体" w:eastAsia="宋体" w:cs="宋体"/>
                <w:spacing w:val="-16"/>
                <w:position w:val="1"/>
                <w:sz w:val="18"/>
                <w:szCs w:val="18"/>
              </w:rPr>
              <w:t>3.18</w:t>
            </w:r>
          </w:p>
        </w:tc>
        <w:tc>
          <w:tcPr>
            <w:tcW w:w="5182" w:type="dxa"/>
            <w:vAlign w:val="top"/>
          </w:tcPr>
          <w:p>
            <w:pPr>
              <w:pStyle w:val="6"/>
              <w:spacing w:line="397" w:lineRule="auto"/>
            </w:pPr>
          </w:p>
          <w:p>
            <w:pPr>
              <w:spacing w:before="59" w:line="207" w:lineRule="auto"/>
              <w:ind w:left="102"/>
              <w:rPr>
                <w:rFonts w:ascii="宋体" w:hAnsi="宋体" w:eastAsia="宋体" w:cs="宋体"/>
                <w:sz w:val="18"/>
                <w:szCs w:val="18"/>
              </w:rPr>
            </w:pPr>
            <w:r>
              <w:rPr>
                <w:rFonts w:ascii="宋体" w:hAnsi="宋体" w:eastAsia="宋体" w:cs="宋体"/>
                <w:spacing w:val="-3"/>
                <w:sz w:val="18"/>
                <w:szCs w:val="18"/>
              </w:rPr>
              <w:t>施工围挡</w:t>
            </w:r>
          </w:p>
        </w:tc>
        <w:tc>
          <w:tcPr>
            <w:tcW w:w="2578" w:type="dxa"/>
            <w:tcBorders>
              <w:right w:val="single" w:color="000000" w:sz="4" w:space="0"/>
            </w:tcBorders>
            <w:vAlign w:val="top"/>
          </w:tcPr>
          <w:p>
            <w:pPr>
              <w:spacing w:before="165" w:line="273" w:lineRule="auto"/>
              <w:ind w:left="125" w:right="113" w:firstLine="27"/>
              <w:jc w:val="both"/>
              <w:rPr>
                <w:rFonts w:ascii="宋体" w:hAnsi="宋体" w:eastAsia="宋体" w:cs="宋体"/>
                <w:sz w:val="18"/>
                <w:szCs w:val="18"/>
              </w:rPr>
            </w:pPr>
            <w:r>
              <w:rPr>
                <w:rFonts w:ascii="宋体" w:hAnsi="宋体" w:eastAsia="宋体" w:cs="宋体"/>
                <w:spacing w:val="-3"/>
                <w:sz w:val="18"/>
                <w:szCs w:val="18"/>
              </w:rPr>
              <w:t>固定式施工护栏的搭拆、运输</w:t>
            </w:r>
            <w:r>
              <w:rPr>
                <w:rFonts w:ascii="宋体" w:hAnsi="宋体" w:eastAsia="宋体" w:cs="宋体"/>
                <w:spacing w:val="-1"/>
                <w:sz w:val="18"/>
                <w:szCs w:val="18"/>
              </w:rPr>
              <w:t>费用，施工围挡购置费摊销或</w:t>
            </w:r>
            <w:r>
              <w:rPr>
                <w:rFonts w:ascii="宋体" w:hAnsi="宋体" w:eastAsia="宋体" w:cs="宋体"/>
                <w:spacing w:val="-3"/>
                <w:sz w:val="18"/>
                <w:szCs w:val="18"/>
              </w:rPr>
              <w:t>租赁使用费以及日常维护费用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27" w:hRule="atLeast"/>
        </w:trPr>
        <w:tc>
          <w:tcPr>
            <w:tcW w:w="1319" w:type="dxa"/>
            <w:tcBorders>
              <w:left w:val="single" w:color="000000" w:sz="4" w:space="0"/>
            </w:tcBorders>
            <w:vAlign w:val="top"/>
          </w:tcPr>
          <w:p>
            <w:pPr>
              <w:pStyle w:val="6"/>
              <w:spacing w:line="252" w:lineRule="auto"/>
            </w:pPr>
          </w:p>
          <w:p>
            <w:pPr>
              <w:pStyle w:val="6"/>
              <w:spacing w:line="252" w:lineRule="auto"/>
            </w:pPr>
          </w:p>
          <w:p>
            <w:pPr>
              <w:pStyle w:val="6"/>
              <w:spacing w:line="252" w:lineRule="auto"/>
            </w:pPr>
          </w:p>
          <w:p>
            <w:pPr>
              <w:spacing w:before="58" w:line="260" w:lineRule="exact"/>
              <w:ind w:left="488"/>
              <w:rPr>
                <w:rFonts w:ascii="宋体" w:hAnsi="宋体" w:eastAsia="宋体" w:cs="宋体"/>
                <w:sz w:val="18"/>
                <w:szCs w:val="18"/>
              </w:rPr>
            </w:pPr>
            <w:r>
              <w:rPr>
                <w:rFonts w:ascii="宋体" w:hAnsi="宋体" w:eastAsia="宋体" w:cs="宋体"/>
                <w:spacing w:val="-16"/>
                <w:position w:val="1"/>
                <w:sz w:val="18"/>
                <w:szCs w:val="18"/>
              </w:rPr>
              <w:t>3.19</w:t>
            </w:r>
          </w:p>
        </w:tc>
        <w:tc>
          <w:tcPr>
            <w:tcW w:w="5182" w:type="dxa"/>
            <w:vAlign w:val="top"/>
          </w:tcPr>
          <w:p>
            <w:pPr>
              <w:pStyle w:val="6"/>
              <w:spacing w:line="287" w:lineRule="auto"/>
            </w:pPr>
          </w:p>
          <w:p>
            <w:pPr>
              <w:pStyle w:val="6"/>
              <w:spacing w:line="288" w:lineRule="auto"/>
            </w:pPr>
          </w:p>
          <w:p>
            <w:pPr>
              <w:spacing w:before="58" w:line="212" w:lineRule="auto"/>
              <w:ind w:left="109"/>
              <w:rPr>
                <w:rFonts w:ascii="宋体" w:hAnsi="宋体" w:eastAsia="宋体" w:cs="宋体"/>
                <w:sz w:val="18"/>
                <w:szCs w:val="18"/>
              </w:rPr>
            </w:pPr>
            <w:r>
              <w:rPr>
                <w:rFonts w:ascii="宋体" w:hAnsi="宋体" w:eastAsia="宋体" w:cs="宋体"/>
                <w:spacing w:val="-4"/>
                <w:sz w:val="18"/>
                <w:szCs w:val="18"/>
              </w:rPr>
              <w:t>交通维护及疏导</w:t>
            </w:r>
          </w:p>
        </w:tc>
        <w:tc>
          <w:tcPr>
            <w:tcW w:w="2578" w:type="dxa"/>
            <w:tcBorders>
              <w:right w:val="single" w:color="000000" w:sz="4" w:space="0"/>
            </w:tcBorders>
            <w:vAlign w:val="top"/>
          </w:tcPr>
          <w:p>
            <w:pPr>
              <w:spacing w:before="134" w:line="263" w:lineRule="auto"/>
              <w:ind w:left="119" w:right="106"/>
              <w:rPr>
                <w:rFonts w:ascii="宋体" w:hAnsi="宋体" w:eastAsia="宋体" w:cs="宋体"/>
                <w:sz w:val="18"/>
                <w:szCs w:val="18"/>
              </w:rPr>
            </w:pPr>
            <w:r>
              <w:rPr>
                <w:rFonts w:ascii="宋体" w:hAnsi="宋体" w:eastAsia="宋体" w:cs="宋体"/>
                <w:spacing w:val="30"/>
                <w:sz w:val="18"/>
                <w:szCs w:val="18"/>
              </w:rPr>
              <w:t>包括周边道路的交通诱导</w:t>
            </w:r>
            <w:r>
              <w:rPr>
                <w:rFonts w:ascii="宋体" w:hAnsi="宋体" w:eastAsia="宋体" w:cs="宋体"/>
                <w:sz w:val="18"/>
                <w:szCs w:val="18"/>
              </w:rPr>
              <w:t>标志、临时红绿灯、交通协勤人员、现场路面隔离设施等。按相关管理部门批复的维护及</w:t>
            </w:r>
            <w:r>
              <w:rPr>
                <w:rFonts w:ascii="宋体" w:hAnsi="宋体" w:eastAsia="宋体" w:cs="宋体"/>
                <w:spacing w:val="-3"/>
                <w:sz w:val="18"/>
                <w:szCs w:val="18"/>
              </w:rPr>
              <w:t>疏导方案计取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1319" w:type="dxa"/>
            <w:tcBorders>
              <w:left w:val="single" w:color="000000" w:sz="4" w:space="0"/>
            </w:tcBorders>
            <w:vAlign w:val="top"/>
          </w:tcPr>
          <w:p>
            <w:pPr>
              <w:spacing w:before="282" w:line="260" w:lineRule="exact"/>
              <w:ind w:left="488"/>
              <w:rPr>
                <w:rFonts w:ascii="宋体" w:hAnsi="宋体" w:eastAsia="宋体" w:cs="宋体"/>
                <w:sz w:val="18"/>
                <w:szCs w:val="18"/>
              </w:rPr>
            </w:pPr>
            <w:r>
              <w:rPr>
                <w:rFonts w:ascii="宋体" w:hAnsi="宋体" w:eastAsia="宋体" w:cs="宋体"/>
                <w:spacing w:val="-16"/>
                <w:position w:val="2"/>
                <w:sz w:val="18"/>
                <w:szCs w:val="18"/>
              </w:rPr>
              <w:t>3.20</w:t>
            </w:r>
          </w:p>
        </w:tc>
        <w:tc>
          <w:tcPr>
            <w:tcW w:w="5182" w:type="dxa"/>
            <w:vAlign w:val="top"/>
          </w:tcPr>
          <w:p>
            <w:pPr>
              <w:spacing w:before="291" w:line="211" w:lineRule="auto"/>
              <w:ind w:left="112"/>
              <w:rPr>
                <w:rFonts w:ascii="宋体" w:hAnsi="宋体" w:eastAsia="宋体" w:cs="宋体"/>
                <w:sz w:val="18"/>
                <w:szCs w:val="18"/>
              </w:rPr>
            </w:pPr>
            <w:r>
              <w:rPr>
                <w:rFonts w:ascii="宋体" w:hAnsi="宋体" w:eastAsia="宋体" w:cs="宋体"/>
                <w:spacing w:val="-4"/>
                <w:sz w:val="18"/>
                <w:szCs w:val="18"/>
              </w:rPr>
              <w:t>市政工程定位复测</w:t>
            </w:r>
          </w:p>
        </w:tc>
        <w:tc>
          <w:tcPr>
            <w:tcW w:w="2578" w:type="dxa"/>
            <w:tcBorders>
              <w:right w:val="single" w:color="000000" w:sz="4" w:space="0"/>
            </w:tcBorders>
            <w:vAlign w:val="top"/>
          </w:tcPr>
          <w:p>
            <w:pPr>
              <w:spacing w:before="120" w:line="250" w:lineRule="auto"/>
              <w:ind w:left="120" w:right="106" w:firstLine="2"/>
              <w:rPr>
                <w:rFonts w:ascii="宋体" w:hAnsi="宋体" w:eastAsia="宋体" w:cs="宋体"/>
                <w:sz w:val="18"/>
                <w:szCs w:val="18"/>
              </w:rPr>
            </w:pPr>
            <w:r>
              <w:rPr>
                <w:rFonts w:ascii="宋体" w:hAnsi="宋体" w:eastAsia="宋体" w:cs="宋体"/>
                <w:sz w:val="18"/>
                <w:szCs w:val="18"/>
              </w:rPr>
              <w:t>工程施工过程中进行全部施工</w:t>
            </w:r>
            <w:r>
              <w:rPr>
                <w:rFonts w:ascii="宋体" w:hAnsi="宋体" w:eastAsia="宋体" w:cs="宋体"/>
                <w:spacing w:val="-2"/>
                <w:sz w:val="18"/>
                <w:szCs w:val="18"/>
              </w:rPr>
              <w:t>测量放线和复测工作的费用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4" w:hRule="atLeast"/>
        </w:trPr>
        <w:tc>
          <w:tcPr>
            <w:tcW w:w="1319" w:type="dxa"/>
            <w:tcBorders>
              <w:left w:val="single" w:color="000000" w:sz="4" w:space="0"/>
            </w:tcBorders>
            <w:vAlign w:val="top"/>
          </w:tcPr>
          <w:p>
            <w:pPr>
              <w:spacing w:before="231" w:line="259" w:lineRule="exact"/>
              <w:ind w:left="488"/>
              <w:rPr>
                <w:rFonts w:ascii="宋体" w:hAnsi="宋体" w:eastAsia="宋体" w:cs="宋体"/>
                <w:sz w:val="18"/>
                <w:szCs w:val="18"/>
              </w:rPr>
            </w:pPr>
            <w:r>
              <w:rPr>
                <w:rFonts w:ascii="宋体" w:hAnsi="宋体" w:eastAsia="宋体" w:cs="宋体"/>
                <w:spacing w:val="-16"/>
                <w:position w:val="1"/>
                <w:sz w:val="18"/>
                <w:szCs w:val="18"/>
              </w:rPr>
              <w:t>3.21</w:t>
            </w:r>
          </w:p>
        </w:tc>
        <w:tc>
          <w:tcPr>
            <w:tcW w:w="5182" w:type="dxa"/>
            <w:vAlign w:val="top"/>
          </w:tcPr>
          <w:p>
            <w:pPr>
              <w:spacing w:before="238" w:line="215" w:lineRule="auto"/>
              <w:ind w:left="112"/>
              <w:rPr>
                <w:rFonts w:ascii="宋体" w:hAnsi="宋体" w:eastAsia="宋体" w:cs="宋体"/>
                <w:sz w:val="18"/>
                <w:szCs w:val="18"/>
              </w:rPr>
            </w:pPr>
            <w:r>
              <w:rPr>
                <w:rFonts w:ascii="宋体" w:hAnsi="宋体" w:eastAsia="宋体" w:cs="宋体"/>
                <w:spacing w:val="-4"/>
                <w:sz w:val="18"/>
                <w:szCs w:val="18"/>
              </w:rPr>
              <w:t>市政工程智慧工地建设</w:t>
            </w:r>
          </w:p>
        </w:tc>
        <w:tc>
          <w:tcPr>
            <w:tcW w:w="2578" w:type="dxa"/>
            <w:tcBorders>
              <w:right w:val="single" w:color="000000" w:sz="4" w:space="0"/>
            </w:tcBorders>
            <w:vAlign w:val="top"/>
          </w:tcPr>
          <w:p>
            <w:pPr>
              <w:spacing w:before="108" w:line="218" w:lineRule="auto"/>
              <w:ind w:left="116" w:right="118"/>
              <w:rPr>
                <w:rFonts w:ascii="宋体" w:hAnsi="宋体" w:eastAsia="宋体" w:cs="宋体"/>
                <w:sz w:val="18"/>
                <w:szCs w:val="18"/>
              </w:rPr>
            </w:pPr>
            <w:r>
              <w:rPr>
                <w:rFonts w:ascii="宋体" w:hAnsi="宋体" w:eastAsia="宋体" w:cs="宋体"/>
                <w:spacing w:val="-1"/>
                <w:sz w:val="18"/>
                <w:szCs w:val="18"/>
              </w:rPr>
              <w:t>包括企业管理费、利润、增值</w:t>
            </w:r>
            <w:r>
              <w:rPr>
                <w:rFonts w:ascii="宋体" w:hAnsi="宋体" w:eastAsia="宋体" w:cs="宋体"/>
                <w:spacing w:val="-2"/>
                <w:sz w:val="18"/>
                <w:szCs w:val="18"/>
              </w:rPr>
              <w:t>税在内的全费用价格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69" w:line="229" w:lineRule="auto"/>
              <w:ind w:left="488"/>
              <w:rPr>
                <w:rFonts w:ascii="宋体" w:hAnsi="宋体" w:eastAsia="宋体" w:cs="宋体"/>
                <w:sz w:val="18"/>
                <w:szCs w:val="18"/>
              </w:rPr>
            </w:pPr>
            <w:r>
              <w:rPr>
                <w:rFonts w:ascii="宋体" w:hAnsi="宋体" w:eastAsia="宋体" w:cs="宋体"/>
                <w:spacing w:val="-16"/>
                <w:sz w:val="18"/>
                <w:szCs w:val="18"/>
              </w:rPr>
              <w:t>3.22</w:t>
            </w:r>
          </w:p>
        </w:tc>
        <w:tc>
          <w:tcPr>
            <w:tcW w:w="5182" w:type="dxa"/>
            <w:vAlign w:val="top"/>
          </w:tcPr>
          <w:p>
            <w:pPr>
              <w:spacing w:before="155"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6" w:line="230" w:lineRule="auto"/>
              <w:ind w:left="610"/>
              <w:rPr>
                <w:rFonts w:ascii="宋体" w:hAnsi="宋体" w:eastAsia="宋体" w:cs="宋体"/>
                <w:sz w:val="18"/>
                <w:szCs w:val="18"/>
              </w:rPr>
            </w:pPr>
            <w:r>
              <w:rPr>
                <w:rFonts w:ascii="宋体" w:hAnsi="宋体" w:eastAsia="宋体" w:cs="宋体"/>
                <w:b/>
                <w:bCs/>
                <w:spacing w:val="-2"/>
                <w:sz w:val="18"/>
                <w:szCs w:val="18"/>
              </w:rPr>
              <w:t>4</w:t>
            </w:r>
          </w:p>
        </w:tc>
        <w:tc>
          <w:tcPr>
            <w:tcW w:w="5182" w:type="dxa"/>
            <w:vAlign w:val="top"/>
          </w:tcPr>
          <w:p>
            <w:pPr>
              <w:spacing w:before="161" w:line="208" w:lineRule="auto"/>
              <w:ind w:left="2078"/>
              <w:rPr>
                <w:rFonts w:ascii="宋体" w:hAnsi="宋体" w:eastAsia="宋体" w:cs="宋体"/>
                <w:sz w:val="18"/>
                <w:szCs w:val="18"/>
              </w:rPr>
            </w:pPr>
            <w:r>
              <w:rPr>
                <w:rFonts w:ascii="宋体" w:hAnsi="宋体" w:eastAsia="宋体" w:cs="宋体"/>
                <w:b/>
                <w:bCs/>
                <w:spacing w:val="-9"/>
                <w:sz w:val="18"/>
                <w:szCs w:val="18"/>
              </w:rPr>
              <w:t>园林绿化工程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71" w:line="227" w:lineRule="auto"/>
              <w:ind w:left="524"/>
              <w:rPr>
                <w:rFonts w:ascii="宋体" w:hAnsi="宋体" w:eastAsia="宋体" w:cs="宋体"/>
                <w:sz w:val="18"/>
                <w:szCs w:val="18"/>
              </w:rPr>
            </w:pPr>
            <w:r>
              <w:rPr>
                <w:rFonts w:ascii="宋体" w:hAnsi="宋体" w:eastAsia="宋体" w:cs="宋体"/>
                <w:spacing w:val="-17"/>
                <w:sz w:val="18"/>
                <w:szCs w:val="18"/>
              </w:rPr>
              <w:t>4.1</w:t>
            </w:r>
          </w:p>
        </w:tc>
        <w:tc>
          <w:tcPr>
            <w:tcW w:w="5182" w:type="dxa"/>
            <w:vAlign w:val="top"/>
          </w:tcPr>
          <w:p>
            <w:pPr>
              <w:spacing w:before="158"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71" w:line="226" w:lineRule="auto"/>
              <w:ind w:left="524"/>
              <w:rPr>
                <w:rFonts w:ascii="宋体" w:hAnsi="宋体" w:eastAsia="宋体" w:cs="宋体"/>
                <w:sz w:val="18"/>
                <w:szCs w:val="18"/>
              </w:rPr>
            </w:pPr>
            <w:r>
              <w:rPr>
                <w:rFonts w:ascii="宋体" w:hAnsi="宋体" w:eastAsia="宋体" w:cs="宋体"/>
                <w:spacing w:val="-17"/>
                <w:sz w:val="18"/>
                <w:szCs w:val="18"/>
              </w:rPr>
              <w:t>4.2</w:t>
            </w:r>
          </w:p>
        </w:tc>
        <w:tc>
          <w:tcPr>
            <w:tcW w:w="5182" w:type="dxa"/>
            <w:vAlign w:val="top"/>
          </w:tcPr>
          <w:p>
            <w:pPr>
              <w:spacing w:before="158" w:line="212" w:lineRule="auto"/>
              <w:ind w:left="105"/>
              <w:rPr>
                <w:rFonts w:ascii="宋体" w:hAnsi="宋体" w:eastAsia="宋体" w:cs="宋体"/>
                <w:sz w:val="18"/>
                <w:szCs w:val="18"/>
              </w:rPr>
            </w:pPr>
            <w:r>
              <w:rPr>
                <w:rFonts w:ascii="宋体" w:hAnsi="宋体" w:eastAsia="宋体" w:cs="宋体"/>
                <w:spacing w:val="-3"/>
                <w:sz w:val="18"/>
                <w:szCs w:val="18"/>
              </w:rPr>
              <w:t>植物养护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1319" w:type="dxa"/>
            <w:tcBorders>
              <w:left w:val="single" w:color="000000" w:sz="4" w:space="0"/>
            </w:tcBorders>
            <w:vAlign w:val="top"/>
          </w:tcPr>
          <w:p>
            <w:pPr>
              <w:spacing w:before="174" w:line="226" w:lineRule="auto"/>
              <w:ind w:left="524"/>
              <w:rPr>
                <w:rFonts w:ascii="宋体" w:hAnsi="宋体" w:eastAsia="宋体" w:cs="宋体"/>
                <w:sz w:val="18"/>
                <w:szCs w:val="18"/>
              </w:rPr>
            </w:pPr>
            <w:r>
              <w:rPr>
                <w:rFonts w:ascii="宋体" w:hAnsi="宋体" w:eastAsia="宋体" w:cs="宋体"/>
                <w:spacing w:val="-17"/>
                <w:sz w:val="18"/>
                <w:szCs w:val="18"/>
              </w:rPr>
              <w:t>4.3</w:t>
            </w:r>
          </w:p>
        </w:tc>
        <w:tc>
          <w:tcPr>
            <w:tcW w:w="5182" w:type="dxa"/>
            <w:vAlign w:val="top"/>
          </w:tcPr>
          <w:p>
            <w:pPr>
              <w:spacing w:before="164" w:line="208" w:lineRule="auto"/>
              <w:ind w:left="107"/>
              <w:rPr>
                <w:rFonts w:ascii="宋体" w:hAnsi="宋体" w:eastAsia="宋体" w:cs="宋体"/>
                <w:sz w:val="18"/>
                <w:szCs w:val="18"/>
              </w:rPr>
            </w:pPr>
            <w:r>
              <w:rPr>
                <w:rFonts w:ascii="宋体" w:hAnsi="宋体" w:eastAsia="宋体" w:cs="宋体"/>
                <w:spacing w:val="-3"/>
                <w:sz w:val="18"/>
                <w:szCs w:val="18"/>
              </w:rPr>
              <w:t>反季节栽植影响措施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1319" w:type="dxa"/>
            <w:tcBorders>
              <w:left w:val="single" w:color="000000" w:sz="4" w:space="0"/>
              <w:bottom w:val="single" w:color="000000" w:sz="4" w:space="0"/>
            </w:tcBorders>
            <w:vAlign w:val="top"/>
          </w:tcPr>
          <w:p>
            <w:pPr>
              <w:spacing w:before="172" w:line="241" w:lineRule="exact"/>
              <w:ind w:left="524"/>
              <w:rPr>
                <w:rFonts w:ascii="宋体" w:hAnsi="宋体" w:eastAsia="宋体" w:cs="宋体"/>
                <w:sz w:val="18"/>
                <w:szCs w:val="18"/>
              </w:rPr>
            </w:pPr>
            <w:r>
              <w:rPr>
                <w:rFonts w:ascii="宋体" w:hAnsi="宋体" w:eastAsia="宋体" w:cs="宋体"/>
                <w:spacing w:val="-17"/>
                <w:position w:val="1"/>
                <w:sz w:val="18"/>
                <w:szCs w:val="18"/>
              </w:rPr>
              <w:t>4.4</w:t>
            </w:r>
          </w:p>
        </w:tc>
        <w:tc>
          <w:tcPr>
            <w:tcW w:w="5182" w:type="dxa"/>
            <w:tcBorders>
              <w:bottom w:val="single" w:color="000000" w:sz="4" w:space="0"/>
            </w:tcBorders>
            <w:vAlign w:val="top"/>
          </w:tcPr>
          <w:p>
            <w:pPr>
              <w:spacing w:before="160" w:line="211" w:lineRule="auto"/>
              <w:ind w:left="106"/>
              <w:rPr>
                <w:rFonts w:ascii="宋体" w:hAnsi="宋体" w:eastAsia="宋体" w:cs="宋体"/>
                <w:sz w:val="18"/>
                <w:szCs w:val="18"/>
              </w:rPr>
            </w:pPr>
            <w:r>
              <w:rPr>
                <w:rFonts w:ascii="宋体" w:hAnsi="宋体" w:eastAsia="宋体" w:cs="宋体"/>
                <w:spacing w:val="-4"/>
                <w:sz w:val="18"/>
                <w:szCs w:val="18"/>
              </w:rPr>
              <w:t>树木支撑架</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210" w:type="default"/>
          <w:pgSz w:w="11905" w:h="16840"/>
          <w:pgMar w:top="400" w:right="1398" w:bottom="1213" w:left="1416" w:header="0" w:footer="898" w:gutter="0"/>
        </w:sectPr>
      </w:pPr>
    </w:p>
    <w:p>
      <w:pPr>
        <w:spacing w:before="13"/>
      </w:pPr>
    </w:p>
    <w:p>
      <w:pPr>
        <w:spacing w:before="13"/>
      </w:pPr>
    </w:p>
    <w:p>
      <w:pPr>
        <w:spacing w:before="13"/>
      </w:pPr>
    </w:p>
    <w:p>
      <w:pPr>
        <w:spacing w:before="12"/>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0" w:line="223" w:lineRule="auto"/>
              <w:ind w:left="481"/>
              <w:rPr>
                <w:rFonts w:ascii="黑体" w:hAnsi="黑体" w:eastAsia="黑体" w:cs="黑体"/>
                <w:sz w:val="18"/>
                <w:szCs w:val="18"/>
              </w:rPr>
            </w:pPr>
            <w:r>
              <w:rPr>
                <w:rFonts w:ascii="黑体" w:hAnsi="黑体" w:eastAsia="黑体" w:cs="黑体"/>
                <w:spacing w:val="-4"/>
                <w:sz w:val="18"/>
                <w:szCs w:val="18"/>
              </w:rPr>
              <w:t>序号</w:t>
            </w:r>
          </w:p>
        </w:tc>
        <w:tc>
          <w:tcPr>
            <w:tcW w:w="5182" w:type="dxa"/>
            <w:tcBorders>
              <w:top w:val="single" w:color="000000" w:sz="4" w:space="0"/>
            </w:tcBorders>
            <w:vAlign w:val="top"/>
          </w:tcPr>
          <w:p>
            <w:pPr>
              <w:spacing w:before="127" w:line="222" w:lineRule="auto"/>
              <w:ind w:left="2045"/>
              <w:rPr>
                <w:rFonts w:ascii="黑体" w:hAnsi="黑体" w:eastAsia="黑体" w:cs="黑体"/>
                <w:sz w:val="18"/>
                <w:szCs w:val="18"/>
              </w:rPr>
            </w:pPr>
            <w:r>
              <w:rPr>
                <w:rFonts w:ascii="黑体" w:hAnsi="黑体" w:eastAsia="黑体" w:cs="黑体"/>
                <w:spacing w:val="2"/>
                <w:sz w:val="18"/>
                <w:szCs w:val="18"/>
              </w:rPr>
              <w:t>措施项目名称</w:t>
            </w:r>
          </w:p>
        </w:tc>
        <w:tc>
          <w:tcPr>
            <w:tcW w:w="2578" w:type="dxa"/>
            <w:tcBorders>
              <w:top w:val="single" w:color="000000" w:sz="4" w:space="0"/>
              <w:right w:val="single" w:color="000000" w:sz="4" w:space="0"/>
            </w:tcBorders>
            <w:vAlign w:val="top"/>
          </w:tcPr>
          <w:p>
            <w:pPr>
              <w:spacing w:before="130" w:line="222" w:lineRule="auto"/>
              <w:ind w:left="1122"/>
              <w:rPr>
                <w:rFonts w:ascii="黑体" w:hAnsi="黑体" w:eastAsia="黑体" w:cs="黑体"/>
                <w:sz w:val="18"/>
                <w:szCs w:val="18"/>
              </w:rPr>
            </w:pPr>
            <w:r>
              <w:rPr>
                <w:rFonts w:ascii="黑体" w:hAnsi="黑体" w:eastAsia="黑体" w:cs="黑体"/>
                <w:spacing w:val="-4"/>
                <w:sz w:val="18"/>
                <w:szCs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3" w:line="237" w:lineRule="exact"/>
              <w:ind w:left="524"/>
              <w:rPr>
                <w:rFonts w:ascii="宋体" w:hAnsi="宋体" w:eastAsia="宋体" w:cs="宋体"/>
                <w:sz w:val="18"/>
                <w:szCs w:val="18"/>
              </w:rPr>
            </w:pPr>
            <w:r>
              <w:rPr>
                <w:rFonts w:ascii="宋体" w:hAnsi="宋体" w:eastAsia="宋体" w:cs="宋体"/>
                <w:spacing w:val="-17"/>
                <w:position w:val="1"/>
                <w:sz w:val="18"/>
                <w:szCs w:val="18"/>
              </w:rPr>
              <w:t>4.5</w:t>
            </w:r>
          </w:p>
        </w:tc>
        <w:tc>
          <w:tcPr>
            <w:tcW w:w="5182" w:type="dxa"/>
            <w:vAlign w:val="top"/>
          </w:tcPr>
          <w:p>
            <w:pPr>
              <w:spacing w:before="138" w:line="211" w:lineRule="auto"/>
              <w:ind w:left="106"/>
              <w:rPr>
                <w:rFonts w:ascii="宋体" w:hAnsi="宋体" w:eastAsia="宋体" w:cs="宋体"/>
                <w:sz w:val="18"/>
                <w:szCs w:val="18"/>
              </w:rPr>
            </w:pPr>
            <w:r>
              <w:rPr>
                <w:rFonts w:ascii="宋体" w:hAnsi="宋体" w:eastAsia="宋体" w:cs="宋体"/>
                <w:spacing w:val="-3"/>
                <w:sz w:val="18"/>
                <w:szCs w:val="18"/>
              </w:rPr>
              <w:t>树木裹干</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3" w:line="237" w:lineRule="exact"/>
              <w:ind w:left="524"/>
              <w:rPr>
                <w:rFonts w:ascii="宋体" w:hAnsi="宋体" w:eastAsia="宋体" w:cs="宋体"/>
                <w:sz w:val="18"/>
                <w:szCs w:val="18"/>
              </w:rPr>
            </w:pPr>
            <w:r>
              <w:rPr>
                <w:rFonts w:ascii="宋体" w:hAnsi="宋体" w:eastAsia="宋体" w:cs="宋体"/>
                <w:spacing w:val="-17"/>
                <w:position w:val="1"/>
                <w:sz w:val="18"/>
                <w:szCs w:val="18"/>
              </w:rPr>
              <w:t>4.6</w:t>
            </w:r>
          </w:p>
        </w:tc>
        <w:tc>
          <w:tcPr>
            <w:tcW w:w="5182" w:type="dxa"/>
            <w:vAlign w:val="top"/>
          </w:tcPr>
          <w:p>
            <w:pPr>
              <w:spacing w:before="136" w:line="241" w:lineRule="exact"/>
              <w:ind w:left="105"/>
              <w:rPr>
                <w:rFonts w:ascii="宋体" w:hAnsi="宋体" w:eastAsia="宋体" w:cs="宋体"/>
                <w:sz w:val="18"/>
                <w:szCs w:val="18"/>
              </w:rPr>
            </w:pPr>
            <w:r>
              <w:rPr>
                <w:rFonts w:ascii="宋体" w:hAnsi="宋体" w:eastAsia="宋体" w:cs="宋体"/>
                <w:spacing w:val="-2"/>
                <w:position w:val="1"/>
                <w:sz w:val="18"/>
                <w:szCs w:val="18"/>
              </w:rPr>
              <w:t>搭设遮阴（防寒）棚</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5" w:line="236" w:lineRule="exact"/>
              <w:ind w:left="524"/>
              <w:rPr>
                <w:rFonts w:ascii="宋体" w:hAnsi="宋体" w:eastAsia="宋体" w:cs="宋体"/>
                <w:sz w:val="18"/>
                <w:szCs w:val="18"/>
              </w:rPr>
            </w:pPr>
            <w:r>
              <w:rPr>
                <w:rFonts w:ascii="宋体" w:hAnsi="宋体" w:eastAsia="宋体" w:cs="宋体"/>
                <w:spacing w:val="-17"/>
                <w:position w:val="1"/>
                <w:sz w:val="18"/>
                <w:szCs w:val="18"/>
              </w:rPr>
              <w:t>4.7</w:t>
            </w:r>
          </w:p>
        </w:tc>
        <w:tc>
          <w:tcPr>
            <w:tcW w:w="5182" w:type="dxa"/>
            <w:vAlign w:val="top"/>
          </w:tcPr>
          <w:p>
            <w:pPr>
              <w:spacing w:before="140" w:line="211" w:lineRule="auto"/>
              <w:ind w:left="106"/>
              <w:rPr>
                <w:rFonts w:ascii="宋体" w:hAnsi="宋体" w:eastAsia="宋体" w:cs="宋体"/>
                <w:sz w:val="18"/>
                <w:szCs w:val="18"/>
              </w:rPr>
            </w:pPr>
            <w:r>
              <w:rPr>
                <w:rFonts w:ascii="宋体" w:hAnsi="宋体" w:eastAsia="宋体" w:cs="宋体"/>
                <w:spacing w:val="-3"/>
                <w:sz w:val="18"/>
                <w:szCs w:val="18"/>
              </w:rPr>
              <w:t>树木输液</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3" w:line="237" w:lineRule="exact"/>
              <w:ind w:left="524"/>
              <w:rPr>
                <w:rFonts w:ascii="宋体" w:hAnsi="宋体" w:eastAsia="宋体" w:cs="宋体"/>
                <w:sz w:val="18"/>
                <w:szCs w:val="18"/>
              </w:rPr>
            </w:pPr>
            <w:r>
              <w:rPr>
                <w:rFonts w:ascii="宋体" w:hAnsi="宋体" w:eastAsia="宋体" w:cs="宋体"/>
                <w:spacing w:val="-17"/>
                <w:position w:val="1"/>
                <w:sz w:val="18"/>
                <w:szCs w:val="18"/>
              </w:rPr>
              <w:t>4.8</w:t>
            </w:r>
          </w:p>
        </w:tc>
        <w:tc>
          <w:tcPr>
            <w:tcW w:w="5182" w:type="dxa"/>
            <w:vAlign w:val="top"/>
          </w:tcPr>
          <w:p>
            <w:pPr>
              <w:spacing w:before="138" w:line="211" w:lineRule="auto"/>
              <w:ind w:left="106"/>
              <w:rPr>
                <w:rFonts w:ascii="宋体" w:hAnsi="宋体" w:eastAsia="宋体" w:cs="宋体"/>
                <w:sz w:val="18"/>
                <w:szCs w:val="18"/>
              </w:rPr>
            </w:pPr>
            <w:r>
              <w:rPr>
                <w:rFonts w:ascii="宋体" w:hAnsi="宋体" w:eastAsia="宋体" w:cs="宋体"/>
                <w:spacing w:val="-3"/>
                <w:sz w:val="18"/>
                <w:szCs w:val="18"/>
              </w:rPr>
              <w:t>树干涂白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24"/>
              <w:rPr>
                <w:rFonts w:ascii="宋体" w:hAnsi="宋体" w:eastAsia="宋体" w:cs="宋体"/>
                <w:sz w:val="18"/>
                <w:szCs w:val="18"/>
              </w:rPr>
            </w:pPr>
            <w:r>
              <w:rPr>
                <w:rFonts w:ascii="宋体" w:hAnsi="宋体" w:eastAsia="宋体" w:cs="宋体"/>
                <w:spacing w:val="-17"/>
                <w:sz w:val="18"/>
                <w:szCs w:val="18"/>
              </w:rPr>
              <w:t>4.9</w:t>
            </w:r>
          </w:p>
        </w:tc>
        <w:tc>
          <w:tcPr>
            <w:tcW w:w="5182" w:type="dxa"/>
            <w:vAlign w:val="top"/>
          </w:tcPr>
          <w:p>
            <w:pPr>
              <w:spacing w:before="141" w:line="210" w:lineRule="auto"/>
              <w:ind w:left="105"/>
              <w:rPr>
                <w:rFonts w:ascii="宋体" w:hAnsi="宋体" w:eastAsia="宋体" w:cs="宋体"/>
                <w:sz w:val="18"/>
                <w:szCs w:val="18"/>
              </w:rPr>
            </w:pPr>
            <w:r>
              <w:rPr>
                <w:rFonts w:ascii="宋体" w:hAnsi="宋体" w:eastAsia="宋体" w:cs="宋体"/>
                <w:spacing w:val="-2"/>
                <w:sz w:val="18"/>
                <w:szCs w:val="18"/>
              </w:rPr>
              <w:t>假植</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476"/>
              <w:rPr>
                <w:rFonts w:ascii="宋体" w:hAnsi="宋体" w:eastAsia="宋体" w:cs="宋体"/>
                <w:sz w:val="18"/>
                <w:szCs w:val="18"/>
              </w:rPr>
            </w:pPr>
            <w:r>
              <w:rPr>
                <w:rFonts w:ascii="宋体" w:hAnsi="宋体" w:eastAsia="宋体" w:cs="宋体"/>
                <w:spacing w:val="-14"/>
                <w:sz w:val="18"/>
                <w:szCs w:val="18"/>
              </w:rPr>
              <w:t>4.10</w:t>
            </w:r>
          </w:p>
        </w:tc>
        <w:tc>
          <w:tcPr>
            <w:tcW w:w="5182" w:type="dxa"/>
            <w:vAlign w:val="top"/>
          </w:tcPr>
          <w:p>
            <w:pPr>
              <w:spacing w:before="141" w:line="212" w:lineRule="auto"/>
              <w:ind w:left="106"/>
              <w:rPr>
                <w:rFonts w:ascii="宋体" w:hAnsi="宋体" w:eastAsia="宋体" w:cs="宋体"/>
                <w:sz w:val="18"/>
                <w:szCs w:val="18"/>
              </w:rPr>
            </w:pPr>
            <w:r>
              <w:rPr>
                <w:rFonts w:ascii="宋体" w:hAnsi="宋体" w:eastAsia="宋体" w:cs="宋体"/>
                <w:spacing w:val="-2"/>
                <w:sz w:val="18"/>
                <w:szCs w:val="18"/>
              </w:rPr>
              <w:t>设施顶面绿化垂直运输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ind w:left="476"/>
              <w:rPr>
                <w:rFonts w:ascii="宋体" w:hAnsi="宋体" w:eastAsia="宋体" w:cs="宋体"/>
                <w:sz w:val="18"/>
                <w:szCs w:val="18"/>
              </w:rPr>
            </w:pPr>
            <w:r>
              <w:rPr>
                <w:rFonts w:ascii="宋体" w:hAnsi="宋体" w:eastAsia="宋体" w:cs="宋体"/>
                <w:spacing w:val="-14"/>
                <w:sz w:val="18"/>
                <w:szCs w:val="18"/>
              </w:rPr>
              <w:t>4.11</w:t>
            </w:r>
          </w:p>
        </w:tc>
        <w:tc>
          <w:tcPr>
            <w:tcW w:w="5182" w:type="dxa"/>
            <w:vAlign w:val="top"/>
          </w:tcPr>
          <w:p>
            <w:pPr>
              <w:spacing w:before="142" w:line="210" w:lineRule="auto"/>
              <w:ind w:left="113"/>
              <w:rPr>
                <w:rFonts w:ascii="宋体" w:hAnsi="宋体" w:eastAsia="宋体" w:cs="宋体"/>
                <w:sz w:val="18"/>
                <w:szCs w:val="18"/>
              </w:rPr>
            </w:pPr>
            <w:r>
              <w:rPr>
                <w:rFonts w:ascii="宋体" w:hAnsi="宋体" w:eastAsia="宋体" w:cs="宋体"/>
                <w:spacing w:val="-3"/>
                <w:sz w:val="18"/>
                <w:szCs w:val="18"/>
              </w:rPr>
              <w:t>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8" w:line="238" w:lineRule="auto"/>
              <w:ind w:left="476"/>
              <w:rPr>
                <w:rFonts w:ascii="宋体" w:hAnsi="宋体" w:eastAsia="宋体" w:cs="宋体"/>
                <w:sz w:val="18"/>
                <w:szCs w:val="18"/>
              </w:rPr>
            </w:pPr>
            <w:r>
              <w:rPr>
                <w:rFonts w:ascii="宋体" w:hAnsi="宋体" w:eastAsia="宋体" w:cs="宋体"/>
                <w:spacing w:val="-14"/>
                <w:sz w:val="18"/>
                <w:szCs w:val="18"/>
              </w:rPr>
              <w:t>4.12</w:t>
            </w:r>
          </w:p>
        </w:tc>
        <w:tc>
          <w:tcPr>
            <w:tcW w:w="5182" w:type="dxa"/>
            <w:vAlign w:val="top"/>
          </w:tcPr>
          <w:p>
            <w:pPr>
              <w:spacing w:before="151" w:line="206" w:lineRule="auto"/>
              <w:ind w:left="137"/>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8" w:line="238" w:lineRule="auto"/>
              <w:ind w:left="476"/>
              <w:rPr>
                <w:rFonts w:ascii="宋体" w:hAnsi="宋体" w:eastAsia="宋体" w:cs="宋体"/>
                <w:sz w:val="18"/>
                <w:szCs w:val="18"/>
              </w:rPr>
            </w:pPr>
            <w:r>
              <w:rPr>
                <w:rFonts w:ascii="宋体" w:hAnsi="宋体" w:eastAsia="宋体" w:cs="宋体"/>
                <w:spacing w:val="-14"/>
                <w:sz w:val="18"/>
                <w:szCs w:val="18"/>
              </w:rPr>
              <w:t>4.13</w:t>
            </w:r>
          </w:p>
        </w:tc>
        <w:tc>
          <w:tcPr>
            <w:tcW w:w="5182" w:type="dxa"/>
            <w:vAlign w:val="top"/>
          </w:tcPr>
          <w:p>
            <w:pPr>
              <w:spacing w:before="132"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0" w:line="236" w:lineRule="auto"/>
              <w:ind w:left="476"/>
              <w:rPr>
                <w:rFonts w:ascii="宋体" w:hAnsi="宋体" w:eastAsia="宋体" w:cs="宋体"/>
                <w:sz w:val="18"/>
                <w:szCs w:val="18"/>
              </w:rPr>
            </w:pPr>
            <w:r>
              <w:rPr>
                <w:rFonts w:ascii="宋体" w:hAnsi="宋体" w:eastAsia="宋体" w:cs="宋体"/>
                <w:spacing w:val="-14"/>
                <w:sz w:val="18"/>
                <w:szCs w:val="18"/>
              </w:rPr>
              <w:t>4.14</w:t>
            </w:r>
          </w:p>
        </w:tc>
        <w:tc>
          <w:tcPr>
            <w:tcW w:w="5182" w:type="dxa"/>
            <w:vAlign w:val="top"/>
          </w:tcPr>
          <w:p>
            <w:pPr>
              <w:spacing w:before="108"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94"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1319" w:type="dxa"/>
            <w:tcBorders>
              <w:left w:val="single" w:color="000000" w:sz="4" w:space="0"/>
            </w:tcBorders>
            <w:vAlign w:val="top"/>
          </w:tcPr>
          <w:p>
            <w:pPr>
              <w:spacing w:before="160" w:line="235" w:lineRule="auto"/>
              <w:ind w:left="476"/>
              <w:rPr>
                <w:rFonts w:ascii="宋体" w:hAnsi="宋体" w:eastAsia="宋体" w:cs="宋体"/>
                <w:sz w:val="18"/>
                <w:szCs w:val="18"/>
              </w:rPr>
            </w:pPr>
            <w:r>
              <w:rPr>
                <w:rFonts w:ascii="宋体" w:hAnsi="宋体" w:eastAsia="宋体" w:cs="宋体"/>
                <w:spacing w:val="-14"/>
                <w:sz w:val="18"/>
                <w:szCs w:val="18"/>
              </w:rPr>
              <w:t>4.15</w:t>
            </w:r>
          </w:p>
        </w:tc>
        <w:tc>
          <w:tcPr>
            <w:tcW w:w="5182" w:type="dxa"/>
            <w:vAlign w:val="top"/>
          </w:tcPr>
          <w:p>
            <w:pPr>
              <w:spacing w:before="100" w:line="241"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96"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3" w:line="234" w:lineRule="auto"/>
              <w:ind w:left="476"/>
              <w:rPr>
                <w:rFonts w:ascii="宋体" w:hAnsi="宋体" w:eastAsia="宋体" w:cs="宋体"/>
                <w:sz w:val="18"/>
                <w:szCs w:val="18"/>
              </w:rPr>
            </w:pPr>
            <w:r>
              <w:rPr>
                <w:rFonts w:ascii="宋体" w:hAnsi="宋体" w:eastAsia="宋体" w:cs="宋体"/>
                <w:spacing w:val="-14"/>
                <w:sz w:val="18"/>
                <w:szCs w:val="18"/>
              </w:rPr>
              <w:t>4.16</w:t>
            </w:r>
          </w:p>
        </w:tc>
        <w:tc>
          <w:tcPr>
            <w:tcW w:w="5182" w:type="dxa"/>
            <w:vAlign w:val="top"/>
          </w:tcPr>
          <w:p>
            <w:pPr>
              <w:spacing w:before="149"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4" w:line="232" w:lineRule="auto"/>
              <w:ind w:left="613"/>
              <w:rPr>
                <w:rFonts w:ascii="宋体" w:hAnsi="宋体" w:eastAsia="宋体" w:cs="宋体"/>
                <w:sz w:val="18"/>
                <w:szCs w:val="18"/>
              </w:rPr>
            </w:pPr>
            <w:r>
              <w:rPr>
                <w:rFonts w:ascii="宋体" w:hAnsi="宋体" w:eastAsia="宋体" w:cs="宋体"/>
                <w:b/>
                <w:bCs/>
                <w:spacing w:val="-2"/>
                <w:sz w:val="18"/>
                <w:szCs w:val="18"/>
              </w:rPr>
              <w:t>5</w:t>
            </w:r>
          </w:p>
        </w:tc>
        <w:tc>
          <w:tcPr>
            <w:tcW w:w="5182" w:type="dxa"/>
            <w:vAlign w:val="top"/>
          </w:tcPr>
          <w:p>
            <w:pPr>
              <w:spacing w:before="150" w:line="215" w:lineRule="auto"/>
              <w:ind w:left="2054"/>
              <w:rPr>
                <w:rFonts w:ascii="宋体" w:hAnsi="宋体" w:eastAsia="宋体" w:cs="宋体"/>
                <w:sz w:val="18"/>
                <w:szCs w:val="18"/>
              </w:rPr>
            </w:pPr>
            <w:r>
              <w:rPr>
                <w:rFonts w:ascii="宋体" w:hAnsi="宋体" w:eastAsia="宋体" w:cs="宋体"/>
                <w:b/>
                <w:bCs/>
                <w:spacing w:val="-5"/>
                <w:sz w:val="18"/>
                <w:szCs w:val="18"/>
              </w:rPr>
              <w:t>仿古建筑工程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49" w:line="243" w:lineRule="exact"/>
              <w:ind w:left="529"/>
              <w:rPr>
                <w:rFonts w:ascii="宋体" w:hAnsi="宋体" w:eastAsia="宋体" w:cs="宋体"/>
                <w:sz w:val="18"/>
                <w:szCs w:val="18"/>
              </w:rPr>
            </w:pPr>
            <w:r>
              <w:rPr>
                <w:rFonts w:ascii="宋体" w:hAnsi="宋体" w:eastAsia="宋体" w:cs="宋体"/>
                <w:spacing w:val="-19"/>
                <w:position w:val="1"/>
                <w:sz w:val="18"/>
                <w:szCs w:val="18"/>
              </w:rPr>
              <w:t>5.1</w:t>
            </w:r>
          </w:p>
        </w:tc>
        <w:tc>
          <w:tcPr>
            <w:tcW w:w="5182" w:type="dxa"/>
            <w:vAlign w:val="top"/>
          </w:tcPr>
          <w:p>
            <w:pPr>
              <w:spacing w:before="136"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4" w:line="232" w:lineRule="auto"/>
              <w:ind w:left="529"/>
              <w:rPr>
                <w:rFonts w:ascii="宋体" w:hAnsi="宋体" w:eastAsia="宋体" w:cs="宋体"/>
                <w:sz w:val="18"/>
                <w:szCs w:val="18"/>
              </w:rPr>
            </w:pPr>
            <w:r>
              <w:rPr>
                <w:rFonts w:ascii="宋体" w:hAnsi="宋体" w:eastAsia="宋体" w:cs="宋体"/>
                <w:spacing w:val="-19"/>
                <w:sz w:val="18"/>
                <w:szCs w:val="18"/>
              </w:rPr>
              <w:t>5.2</w:t>
            </w:r>
          </w:p>
        </w:tc>
        <w:tc>
          <w:tcPr>
            <w:tcW w:w="5182" w:type="dxa"/>
            <w:vAlign w:val="top"/>
          </w:tcPr>
          <w:p>
            <w:pPr>
              <w:spacing w:before="153" w:line="212" w:lineRule="auto"/>
              <w:ind w:left="105"/>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4" w:line="233" w:lineRule="auto"/>
              <w:ind w:left="529"/>
              <w:rPr>
                <w:rFonts w:ascii="宋体" w:hAnsi="宋体" w:eastAsia="宋体" w:cs="宋体"/>
                <w:sz w:val="18"/>
                <w:szCs w:val="18"/>
              </w:rPr>
            </w:pPr>
            <w:r>
              <w:rPr>
                <w:rFonts w:ascii="宋体" w:hAnsi="宋体" w:eastAsia="宋体" w:cs="宋体"/>
                <w:spacing w:val="-19"/>
                <w:sz w:val="18"/>
                <w:szCs w:val="18"/>
              </w:rPr>
              <w:t>5.3</w:t>
            </w:r>
          </w:p>
        </w:tc>
        <w:tc>
          <w:tcPr>
            <w:tcW w:w="5182" w:type="dxa"/>
            <w:vAlign w:val="top"/>
          </w:tcPr>
          <w:p>
            <w:pPr>
              <w:spacing w:before="149"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5" w:line="231" w:lineRule="auto"/>
              <w:ind w:left="529"/>
              <w:rPr>
                <w:rFonts w:ascii="宋体" w:hAnsi="宋体" w:eastAsia="宋体" w:cs="宋体"/>
                <w:sz w:val="18"/>
                <w:szCs w:val="18"/>
              </w:rPr>
            </w:pPr>
            <w:r>
              <w:rPr>
                <w:rFonts w:ascii="宋体" w:hAnsi="宋体" w:eastAsia="宋体" w:cs="宋体"/>
                <w:spacing w:val="-19"/>
                <w:sz w:val="18"/>
                <w:szCs w:val="18"/>
              </w:rPr>
              <w:t>5.4</w:t>
            </w:r>
          </w:p>
        </w:tc>
        <w:tc>
          <w:tcPr>
            <w:tcW w:w="5182" w:type="dxa"/>
            <w:vAlign w:val="top"/>
          </w:tcPr>
          <w:p>
            <w:pPr>
              <w:spacing w:before="139"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7" w:line="230" w:lineRule="auto"/>
              <w:ind w:left="529"/>
              <w:rPr>
                <w:rFonts w:ascii="宋体" w:hAnsi="宋体" w:eastAsia="宋体" w:cs="宋体"/>
                <w:sz w:val="18"/>
                <w:szCs w:val="18"/>
              </w:rPr>
            </w:pPr>
            <w:r>
              <w:rPr>
                <w:rFonts w:ascii="宋体" w:hAnsi="宋体" w:eastAsia="宋体" w:cs="宋体"/>
                <w:spacing w:val="-19"/>
                <w:sz w:val="18"/>
                <w:szCs w:val="18"/>
              </w:rPr>
              <w:t>5.5</w:t>
            </w:r>
          </w:p>
        </w:tc>
        <w:tc>
          <w:tcPr>
            <w:tcW w:w="5182" w:type="dxa"/>
            <w:vAlign w:val="top"/>
          </w:tcPr>
          <w:p>
            <w:pPr>
              <w:spacing w:before="151"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1319" w:type="dxa"/>
            <w:tcBorders>
              <w:left w:val="single" w:color="000000" w:sz="4" w:space="0"/>
            </w:tcBorders>
            <w:vAlign w:val="top"/>
          </w:tcPr>
          <w:p>
            <w:pPr>
              <w:spacing w:before="166" w:line="229" w:lineRule="auto"/>
              <w:ind w:left="529"/>
              <w:rPr>
                <w:rFonts w:ascii="宋体" w:hAnsi="宋体" w:eastAsia="宋体" w:cs="宋体"/>
                <w:sz w:val="18"/>
                <w:szCs w:val="18"/>
              </w:rPr>
            </w:pPr>
            <w:r>
              <w:rPr>
                <w:rFonts w:ascii="宋体" w:hAnsi="宋体" w:eastAsia="宋体" w:cs="宋体"/>
                <w:spacing w:val="-19"/>
                <w:sz w:val="18"/>
                <w:szCs w:val="18"/>
              </w:rPr>
              <w:t>5.6</w:t>
            </w:r>
          </w:p>
        </w:tc>
        <w:tc>
          <w:tcPr>
            <w:tcW w:w="5182" w:type="dxa"/>
            <w:vAlign w:val="top"/>
          </w:tcPr>
          <w:p>
            <w:pPr>
              <w:spacing w:before="113"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00"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4" w:line="232" w:lineRule="auto"/>
              <w:ind w:left="529"/>
              <w:rPr>
                <w:rFonts w:ascii="宋体" w:hAnsi="宋体" w:eastAsia="宋体" w:cs="宋体"/>
                <w:sz w:val="18"/>
                <w:szCs w:val="18"/>
              </w:rPr>
            </w:pPr>
            <w:r>
              <w:rPr>
                <w:rFonts w:ascii="宋体" w:hAnsi="宋体" w:eastAsia="宋体" w:cs="宋体"/>
                <w:spacing w:val="-19"/>
                <w:sz w:val="18"/>
                <w:szCs w:val="18"/>
              </w:rPr>
              <w:t>5.7</w:t>
            </w:r>
          </w:p>
        </w:tc>
        <w:tc>
          <w:tcPr>
            <w:tcW w:w="5182" w:type="dxa"/>
            <w:vAlign w:val="top"/>
          </w:tcPr>
          <w:p>
            <w:pPr>
              <w:spacing w:before="106" w:line="242"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98"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6" w:line="231" w:lineRule="auto"/>
              <w:ind w:left="529"/>
              <w:rPr>
                <w:rFonts w:ascii="宋体" w:hAnsi="宋体" w:eastAsia="宋体" w:cs="宋体"/>
                <w:sz w:val="18"/>
                <w:szCs w:val="18"/>
              </w:rPr>
            </w:pPr>
            <w:r>
              <w:rPr>
                <w:rFonts w:ascii="宋体" w:hAnsi="宋体" w:eastAsia="宋体" w:cs="宋体"/>
                <w:spacing w:val="-19"/>
                <w:sz w:val="18"/>
                <w:szCs w:val="18"/>
              </w:rPr>
              <w:t>5.8</w:t>
            </w:r>
          </w:p>
        </w:tc>
        <w:tc>
          <w:tcPr>
            <w:tcW w:w="5182" w:type="dxa"/>
            <w:vAlign w:val="top"/>
          </w:tcPr>
          <w:p>
            <w:pPr>
              <w:spacing w:before="152"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67" w:line="231" w:lineRule="auto"/>
              <w:ind w:left="618"/>
              <w:rPr>
                <w:rFonts w:ascii="宋体" w:hAnsi="宋体" w:eastAsia="宋体" w:cs="宋体"/>
                <w:sz w:val="18"/>
                <w:szCs w:val="18"/>
              </w:rPr>
            </w:pPr>
            <w:r>
              <w:rPr>
                <w:rFonts w:ascii="宋体" w:hAnsi="宋体" w:eastAsia="宋体" w:cs="宋体"/>
                <w:b/>
                <w:bCs/>
                <w:spacing w:val="-2"/>
                <w:sz w:val="18"/>
                <w:szCs w:val="18"/>
              </w:rPr>
              <w:t>6</w:t>
            </w:r>
          </w:p>
        </w:tc>
        <w:tc>
          <w:tcPr>
            <w:tcW w:w="5182" w:type="dxa"/>
            <w:vAlign w:val="top"/>
          </w:tcPr>
          <w:p>
            <w:pPr>
              <w:spacing w:before="150" w:line="215" w:lineRule="auto"/>
              <w:ind w:left="1876"/>
              <w:rPr>
                <w:rFonts w:ascii="宋体" w:hAnsi="宋体" w:eastAsia="宋体" w:cs="宋体"/>
                <w:sz w:val="18"/>
                <w:szCs w:val="18"/>
              </w:rPr>
            </w:pPr>
            <w:r>
              <w:rPr>
                <w:rFonts w:ascii="宋体" w:hAnsi="宋体" w:eastAsia="宋体" w:cs="宋体"/>
                <w:b/>
                <w:bCs/>
                <w:spacing w:val="-4"/>
                <w:sz w:val="18"/>
                <w:szCs w:val="18"/>
              </w:rPr>
              <w:t>房屋修缮建筑工程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5" w:line="242" w:lineRule="auto"/>
              <w:ind w:left="527"/>
              <w:rPr>
                <w:rFonts w:ascii="宋体" w:hAnsi="宋体" w:eastAsia="宋体" w:cs="宋体"/>
                <w:sz w:val="18"/>
                <w:szCs w:val="18"/>
              </w:rPr>
            </w:pPr>
            <w:r>
              <w:rPr>
                <w:rFonts w:ascii="宋体" w:hAnsi="宋体" w:eastAsia="宋体" w:cs="宋体"/>
                <w:spacing w:val="-19"/>
                <w:sz w:val="18"/>
                <w:szCs w:val="18"/>
              </w:rPr>
              <w:t>6.1</w:t>
            </w:r>
          </w:p>
        </w:tc>
        <w:tc>
          <w:tcPr>
            <w:tcW w:w="5182" w:type="dxa"/>
            <w:vAlign w:val="top"/>
          </w:tcPr>
          <w:p>
            <w:pPr>
              <w:spacing w:before="144"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5" w:line="242" w:lineRule="auto"/>
              <w:ind w:left="527"/>
              <w:rPr>
                <w:rFonts w:ascii="宋体" w:hAnsi="宋体" w:eastAsia="宋体" w:cs="宋体"/>
                <w:sz w:val="18"/>
                <w:szCs w:val="18"/>
              </w:rPr>
            </w:pPr>
            <w:r>
              <w:rPr>
                <w:rFonts w:ascii="宋体" w:hAnsi="宋体" w:eastAsia="宋体" w:cs="宋体"/>
                <w:spacing w:val="-19"/>
                <w:sz w:val="18"/>
                <w:szCs w:val="18"/>
              </w:rPr>
              <w:t>6.2</w:t>
            </w:r>
          </w:p>
        </w:tc>
        <w:tc>
          <w:tcPr>
            <w:tcW w:w="5182" w:type="dxa"/>
            <w:vAlign w:val="top"/>
          </w:tcPr>
          <w:p>
            <w:pPr>
              <w:spacing w:before="141" w:line="212" w:lineRule="auto"/>
              <w:ind w:left="105"/>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7" w:line="241" w:lineRule="auto"/>
              <w:ind w:left="527"/>
              <w:rPr>
                <w:rFonts w:ascii="宋体" w:hAnsi="宋体" w:eastAsia="宋体" w:cs="宋体"/>
                <w:sz w:val="18"/>
                <w:szCs w:val="18"/>
              </w:rPr>
            </w:pPr>
            <w:r>
              <w:rPr>
                <w:rFonts w:ascii="宋体" w:hAnsi="宋体" w:eastAsia="宋体" w:cs="宋体"/>
                <w:spacing w:val="-19"/>
                <w:sz w:val="18"/>
                <w:szCs w:val="18"/>
              </w:rPr>
              <w:t>6.3</w:t>
            </w:r>
          </w:p>
        </w:tc>
        <w:tc>
          <w:tcPr>
            <w:tcW w:w="5182" w:type="dxa"/>
            <w:vAlign w:val="top"/>
          </w:tcPr>
          <w:p>
            <w:pPr>
              <w:spacing w:before="143"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27"/>
              <w:rPr>
                <w:rFonts w:ascii="宋体" w:hAnsi="宋体" w:eastAsia="宋体" w:cs="宋体"/>
                <w:sz w:val="18"/>
                <w:szCs w:val="18"/>
              </w:rPr>
            </w:pPr>
            <w:r>
              <w:rPr>
                <w:rFonts w:ascii="宋体" w:hAnsi="宋体" w:eastAsia="宋体" w:cs="宋体"/>
                <w:spacing w:val="-18"/>
                <w:w w:val="99"/>
                <w:sz w:val="18"/>
                <w:szCs w:val="18"/>
              </w:rPr>
              <w:t>6.4</w:t>
            </w:r>
          </w:p>
        </w:tc>
        <w:tc>
          <w:tcPr>
            <w:tcW w:w="5182" w:type="dxa"/>
            <w:vAlign w:val="top"/>
          </w:tcPr>
          <w:p>
            <w:pPr>
              <w:spacing w:before="131"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527"/>
              <w:rPr>
                <w:rFonts w:ascii="宋体" w:hAnsi="宋体" w:eastAsia="宋体" w:cs="宋体"/>
                <w:sz w:val="18"/>
                <w:szCs w:val="18"/>
              </w:rPr>
            </w:pPr>
            <w:r>
              <w:rPr>
                <w:rFonts w:ascii="宋体" w:hAnsi="宋体" w:eastAsia="宋体" w:cs="宋体"/>
                <w:spacing w:val="-19"/>
                <w:sz w:val="18"/>
                <w:szCs w:val="18"/>
              </w:rPr>
              <w:t>6.5</w:t>
            </w:r>
          </w:p>
        </w:tc>
        <w:tc>
          <w:tcPr>
            <w:tcW w:w="5182" w:type="dxa"/>
            <w:vAlign w:val="top"/>
          </w:tcPr>
          <w:p>
            <w:pPr>
              <w:spacing w:before="143"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1319" w:type="dxa"/>
            <w:tcBorders>
              <w:left w:val="single" w:color="000000" w:sz="4" w:space="0"/>
            </w:tcBorders>
            <w:vAlign w:val="top"/>
          </w:tcPr>
          <w:p>
            <w:pPr>
              <w:spacing w:before="159" w:line="227" w:lineRule="auto"/>
              <w:ind w:left="527"/>
              <w:rPr>
                <w:rFonts w:ascii="宋体" w:hAnsi="宋体" w:eastAsia="宋体" w:cs="宋体"/>
                <w:sz w:val="18"/>
                <w:szCs w:val="18"/>
              </w:rPr>
            </w:pPr>
            <w:r>
              <w:rPr>
                <w:rFonts w:ascii="宋体" w:hAnsi="宋体" w:eastAsia="宋体" w:cs="宋体"/>
                <w:spacing w:val="-19"/>
                <w:sz w:val="18"/>
                <w:szCs w:val="18"/>
              </w:rPr>
              <w:t>6.6</w:t>
            </w:r>
          </w:p>
        </w:tc>
        <w:tc>
          <w:tcPr>
            <w:tcW w:w="5182" w:type="dxa"/>
            <w:vAlign w:val="top"/>
          </w:tcPr>
          <w:p>
            <w:pPr>
              <w:spacing w:before="106"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08" w:line="208" w:lineRule="auto"/>
              <w:ind w:left="76"/>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1319" w:type="dxa"/>
            <w:tcBorders>
              <w:left w:val="single" w:color="000000" w:sz="4" w:space="0"/>
            </w:tcBorders>
            <w:vAlign w:val="top"/>
          </w:tcPr>
          <w:p>
            <w:pPr>
              <w:spacing w:before="159" w:line="226" w:lineRule="auto"/>
              <w:ind w:left="527"/>
              <w:rPr>
                <w:rFonts w:ascii="宋体" w:hAnsi="宋体" w:eastAsia="宋体" w:cs="宋体"/>
                <w:sz w:val="18"/>
                <w:szCs w:val="18"/>
              </w:rPr>
            </w:pPr>
            <w:r>
              <w:rPr>
                <w:rFonts w:ascii="宋体" w:hAnsi="宋体" w:eastAsia="宋体" w:cs="宋体"/>
                <w:spacing w:val="-19"/>
                <w:sz w:val="18"/>
                <w:szCs w:val="18"/>
              </w:rPr>
              <w:t>6.7</w:t>
            </w:r>
          </w:p>
        </w:tc>
        <w:tc>
          <w:tcPr>
            <w:tcW w:w="5182" w:type="dxa"/>
            <w:vAlign w:val="top"/>
          </w:tcPr>
          <w:p>
            <w:pPr>
              <w:spacing w:before="99" w:line="242"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08" w:line="208" w:lineRule="auto"/>
              <w:ind w:left="76"/>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527"/>
              <w:rPr>
                <w:rFonts w:ascii="宋体" w:hAnsi="宋体" w:eastAsia="宋体" w:cs="宋体"/>
                <w:sz w:val="18"/>
                <w:szCs w:val="18"/>
              </w:rPr>
            </w:pPr>
            <w:r>
              <w:rPr>
                <w:rFonts w:ascii="宋体" w:hAnsi="宋体" w:eastAsia="宋体" w:cs="宋体"/>
                <w:spacing w:val="-19"/>
                <w:sz w:val="18"/>
                <w:szCs w:val="18"/>
              </w:rPr>
              <w:t>6.8</w:t>
            </w:r>
          </w:p>
        </w:tc>
        <w:tc>
          <w:tcPr>
            <w:tcW w:w="5182" w:type="dxa"/>
            <w:vAlign w:val="top"/>
          </w:tcPr>
          <w:p>
            <w:pPr>
              <w:spacing w:before="144"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7" w:line="229" w:lineRule="auto"/>
              <w:ind w:left="616"/>
              <w:rPr>
                <w:rFonts w:ascii="宋体" w:hAnsi="宋体" w:eastAsia="宋体" w:cs="宋体"/>
                <w:sz w:val="18"/>
                <w:szCs w:val="18"/>
              </w:rPr>
            </w:pPr>
            <w:r>
              <w:rPr>
                <w:rFonts w:ascii="宋体" w:hAnsi="宋体" w:eastAsia="宋体" w:cs="宋体"/>
                <w:b/>
                <w:bCs/>
                <w:spacing w:val="-2"/>
                <w:sz w:val="18"/>
                <w:szCs w:val="18"/>
              </w:rPr>
              <w:t>7</w:t>
            </w:r>
          </w:p>
        </w:tc>
        <w:tc>
          <w:tcPr>
            <w:tcW w:w="5182" w:type="dxa"/>
            <w:vAlign w:val="top"/>
          </w:tcPr>
          <w:p>
            <w:pPr>
              <w:spacing w:before="157" w:line="215" w:lineRule="auto"/>
              <w:ind w:left="1966"/>
              <w:rPr>
                <w:rFonts w:ascii="宋体" w:hAnsi="宋体" w:eastAsia="宋体" w:cs="宋体"/>
                <w:sz w:val="18"/>
                <w:szCs w:val="18"/>
              </w:rPr>
            </w:pPr>
            <w:r>
              <w:rPr>
                <w:rFonts w:ascii="宋体" w:hAnsi="宋体" w:eastAsia="宋体" w:cs="宋体"/>
                <w:b/>
                <w:bCs/>
                <w:spacing w:val="-5"/>
                <w:sz w:val="18"/>
                <w:szCs w:val="18"/>
              </w:rPr>
              <w:t>古建筑修缮工程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1319" w:type="dxa"/>
            <w:tcBorders>
              <w:left w:val="single" w:color="000000" w:sz="4" w:space="0"/>
              <w:bottom w:val="single" w:color="000000" w:sz="4" w:space="0"/>
            </w:tcBorders>
            <w:vAlign w:val="top"/>
          </w:tcPr>
          <w:p>
            <w:pPr>
              <w:spacing w:before="159" w:line="256" w:lineRule="exact"/>
              <w:ind w:left="530"/>
              <w:rPr>
                <w:rFonts w:ascii="宋体" w:hAnsi="宋体" w:eastAsia="宋体" w:cs="宋体"/>
                <w:sz w:val="18"/>
                <w:szCs w:val="18"/>
              </w:rPr>
            </w:pPr>
            <w:r>
              <w:rPr>
                <w:rFonts w:ascii="宋体" w:hAnsi="宋体" w:eastAsia="宋体" w:cs="宋体"/>
                <w:spacing w:val="-18"/>
                <w:position w:val="1"/>
                <w:sz w:val="18"/>
                <w:szCs w:val="18"/>
              </w:rPr>
              <w:t>7.1</w:t>
            </w:r>
          </w:p>
        </w:tc>
        <w:tc>
          <w:tcPr>
            <w:tcW w:w="5182" w:type="dxa"/>
            <w:tcBorders>
              <w:bottom w:val="single" w:color="000000" w:sz="4" w:space="0"/>
            </w:tcBorders>
            <w:vAlign w:val="top"/>
          </w:tcPr>
          <w:p>
            <w:pPr>
              <w:spacing w:before="146"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211" w:type="default"/>
          <w:pgSz w:w="11905" w:h="16840"/>
          <w:pgMar w:top="400" w:right="1398" w:bottom="1213" w:left="1416" w:header="0" w:footer="898" w:gutter="0"/>
        </w:sectPr>
      </w:pPr>
    </w:p>
    <w:p>
      <w:pPr>
        <w:spacing w:before="14"/>
      </w:pPr>
    </w:p>
    <w:p>
      <w:pPr>
        <w:spacing w:before="14"/>
      </w:pPr>
    </w:p>
    <w:p>
      <w:pPr>
        <w:spacing w:before="14"/>
      </w:pPr>
    </w:p>
    <w:p>
      <w:pPr>
        <w:spacing w:before="13"/>
      </w:pPr>
    </w:p>
    <w:p>
      <w:pPr>
        <w:spacing w:before="13"/>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182"/>
        <w:gridCol w:w="2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319" w:type="dxa"/>
            <w:tcBorders>
              <w:top w:val="single" w:color="000000" w:sz="4" w:space="0"/>
              <w:left w:val="single" w:color="000000" w:sz="4" w:space="0"/>
            </w:tcBorders>
            <w:vAlign w:val="top"/>
          </w:tcPr>
          <w:p>
            <w:pPr>
              <w:spacing w:before="130" w:line="223" w:lineRule="auto"/>
              <w:ind w:left="481"/>
              <w:rPr>
                <w:rFonts w:ascii="黑体" w:hAnsi="黑体" w:eastAsia="黑体" w:cs="黑体"/>
                <w:sz w:val="18"/>
                <w:szCs w:val="18"/>
              </w:rPr>
            </w:pPr>
            <w:r>
              <w:rPr>
                <w:rFonts w:ascii="黑体" w:hAnsi="黑体" w:eastAsia="黑体" w:cs="黑体"/>
                <w:spacing w:val="-4"/>
                <w:sz w:val="18"/>
                <w:szCs w:val="18"/>
              </w:rPr>
              <w:t>序号</w:t>
            </w:r>
          </w:p>
        </w:tc>
        <w:tc>
          <w:tcPr>
            <w:tcW w:w="5182" w:type="dxa"/>
            <w:tcBorders>
              <w:top w:val="single" w:color="000000" w:sz="4" w:space="0"/>
            </w:tcBorders>
            <w:vAlign w:val="top"/>
          </w:tcPr>
          <w:p>
            <w:pPr>
              <w:spacing w:before="127" w:line="222" w:lineRule="auto"/>
              <w:ind w:left="2045"/>
              <w:rPr>
                <w:rFonts w:ascii="黑体" w:hAnsi="黑体" w:eastAsia="黑体" w:cs="黑体"/>
                <w:sz w:val="18"/>
                <w:szCs w:val="18"/>
              </w:rPr>
            </w:pPr>
            <w:r>
              <w:rPr>
                <w:rFonts w:ascii="黑体" w:hAnsi="黑体" w:eastAsia="黑体" w:cs="黑体"/>
                <w:spacing w:val="2"/>
                <w:sz w:val="18"/>
                <w:szCs w:val="18"/>
              </w:rPr>
              <w:t>措施项目名称</w:t>
            </w:r>
          </w:p>
        </w:tc>
        <w:tc>
          <w:tcPr>
            <w:tcW w:w="2578" w:type="dxa"/>
            <w:tcBorders>
              <w:top w:val="single" w:color="000000" w:sz="4" w:space="0"/>
              <w:right w:val="single" w:color="000000" w:sz="4" w:space="0"/>
            </w:tcBorders>
            <w:vAlign w:val="top"/>
          </w:tcPr>
          <w:p>
            <w:pPr>
              <w:spacing w:before="130" w:line="222" w:lineRule="auto"/>
              <w:ind w:left="1122"/>
              <w:rPr>
                <w:rFonts w:ascii="黑体" w:hAnsi="黑体" w:eastAsia="黑体" w:cs="黑体"/>
                <w:sz w:val="18"/>
                <w:szCs w:val="18"/>
              </w:rPr>
            </w:pPr>
            <w:r>
              <w:rPr>
                <w:rFonts w:ascii="黑体" w:hAnsi="黑体" w:eastAsia="黑体" w:cs="黑体"/>
                <w:spacing w:val="-4"/>
                <w:sz w:val="18"/>
                <w:szCs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1319" w:type="dxa"/>
            <w:tcBorders>
              <w:left w:val="single" w:color="000000" w:sz="4" w:space="0"/>
            </w:tcBorders>
            <w:vAlign w:val="top"/>
          </w:tcPr>
          <w:p>
            <w:pPr>
              <w:spacing w:before="154" w:line="242" w:lineRule="auto"/>
              <w:ind w:left="530"/>
              <w:rPr>
                <w:rFonts w:ascii="宋体" w:hAnsi="宋体" w:eastAsia="宋体" w:cs="宋体"/>
                <w:sz w:val="18"/>
                <w:szCs w:val="18"/>
              </w:rPr>
            </w:pPr>
            <w:r>
              <w:rPr>
                <w:rFonts w:ascii="宋体" w:hAnsi="宋体" w:eastAsia="宋体" w:cs="宋体"/>
                <w:spacing w:val="-18"/>
                <w:sz w:val="18"/>
                <w:szCs w:val="18"/>
              </w:rPr>
              <w:t>7.2</w:t>
            </w:r>
          </w:p>
        </w:tc>
        <w:tc>
          <w:tcPr>
            <w:tcW w:w="5182" w:type="dxa"/>
            <w:vAlign w:val="top"/>
          </w:tcPr>
          <w:p>
            <w:pPr>
              <w:spacing w:before="144" w:line="212" w:lineRule="auto"/>
              <w:ind w:left="105"/>
              <w:rPr>
                <w:rFonts w:ascii="宋体" w:hAnsi="宋体" w:eastAsia="宋体" w:cs="宋体"/>
                <w:sz w:val="18"/>
                <w:szCs w:val="18"/>
              </w:rPr>
            </w:pPr>
            <w:r>
              <w:rPr>
                <w:rFonts w:ascii="宋体" w:hAnsi="宋体" w:eastAsia="宋体" w:cs="宋体"/>
                <w:spacing w:val="-3"/>
                <w:sz w:val="18"/>
                <w:szCs w:val="18"/>
              </w:rPr>
              <w:t>垂直运输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4" w:line="236" w:lineRule="exact"/>
              <w:ind w:left="530"/>
              <w:rPr>
                <w:rFonts w:ascii="宋体" w:hAnsi="宋体" w:eastAsia="宋体" w:cs="宋体"/>
                <w:sz w:val="18"/>
                <w:szCs w:val="18"/>
              </w:rPr>
            </w:pPr>
            <w:r>
              <w:rPr>
                <w:rFonts w:ascii="宋体" w:hAnsi="宋体" w:eastAsia="宋体" w:cs="宋体"/>
                <w:spacing w:val="-18"/>
                <w:position w:val="1"/>
                <w:sz w:val="18"/>
                <w:szCs w:val="18"/>
              </w:rPr>
              <w:t>7.3</w:t>
            </w:r>
          </w:p>
        </w:tc>
        <w:tc>
          <w:tcPr>
            <w:tcW w:w="5182" w:type="dxa"/>
            <w:vAlign w:val="top"/>
          </w:tcPr>
          <w:p>
            <w:pPr>
              <w:spacing w:before="138" w:line="212" w:lineRule="auto"/>
              <w:ind w:left="105"/>
              <w:rPr>
                <w:rFonts w:ascii="宋体" w:hAnsi="宋体" w:eastAsia="宋体" w:cs="宋体"/>
                <w:sz w:val="18"/>
                <w:szCs w:val="18"/>
              </w:rPr>
            </w:pPr>
            <w:r>
              <w:rPr>
                <w:rFonts w:ascii="宋体" w:hAnsi="宋体" w:eastAsia="宋体" w:cs="宋体"/>
                <w:spacing w:val="-2"/>
                <w:sz w:val="18"/>
                <w:szCs w:val="18"/>
              </w:rPr>
              <w:t>其他大型机械进出场及安拆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30"/>
              <w:rPr>
                <w:rFonts w:ascii="宋体" w:hAnsi="宋体" w:eastAsia="宋体" w:cs="宋体"/>
                <w:sz w:val="18"/>
                <w:szCs w:val="18"/>
              </w:rPr>
            </w:pPr>
            <w:r>
              <w:rPr>
                <w:rFonts w:ascii="宋体" w:hAnsi="宋体" w:eastAsia="宋体" w:cs="宋体"/>
                <w:spacing w:val="-18"/>
                <w:sz w:val="18"/>
                <w:szCs w:val="18"/>
              </w:rPr>
              <w:t>7.4</w:t>
            </w:r>
          </w:p>
        </w:tc>
        <w:tc>
          <w:tcPr>
            <w:tcW w:w="5182" w:type="dxa"/>
            <w:vAlign w:val="top"/>
          </w:tcPr>
          <w:p>
            <w:pPr>
              <w:spacing w:before="130"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3" w:line="238" w:lineRule="exact"/>
              <w:ind w:left="530"/>
              <w:rPr>
                <w:rFonts w:ascii="宋体" w:hAnsi="宋体" w:eastAsia="宋体" w:cs="宋体"/>
                <w:sz w:val="18"/>
                <w:szCs w:val="18"/>
              </w:rPr>
            </w:pPr>
            <w:r>
              <w:rPr>
                <w:rFonts w:ascii="宋体" w:hAnsi="宋体" w:eastAsia="宋体" w:cs="宋体"/>
                <w:spacing w:val="-18"/>
                <w:position w:val="1"/>
                <w:sz w:val="18"/>
                <w:szCs w:val="18"/>
              </w:rPr>
              <w:t>7.5</w:t>
            </w:r>
          </w:p>
        </w:tc>
        <w:tc>
          <w:tcPr>
            <w:tcW w:w="5182" w:type="dxa"/>
            <w:vAlign w:val="top"/>
          </w:tcPr>
          <w:p>
            <w:pPr>
              <w:spacing w:before="139"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4" w:line="236" w:lineRule="exact"/>
              <w:ind w:left="530"/>
              <w:rPr>
                <w:rFonts w:ascii="宋体" w:hAnsi="宋体" w:eastAsia="宋体" w:cs="宋体"/>
                <w:sz w:val="18"/>
                <w:szCs w:val="18"/>
              </w:rPr>
            </w:pPr>
            <w:r>
              <w:rPr>
                <w:rFonts w:ascii="宋体" w:hAnsi="宋体" w:eastAsia="宋体" w:cs="宋体"/>
                <w:spacing w:val="-18"/>
                <w:position w:val="1"/>
                <w:sz w:val="18"/>
                <w:szCs w:val="18"/>
              </w:rPr>
              <w:t>7.6</w:t>
            </w:r>
          </w:p>
        </w:tc>
        <w:tc>
          <w:tcPr>
            <w:tcW w:w="5182" w:type="dxa"/>
            <w:vAlign w:val="top"/>
          </w:tcPr>
          <w:p>
            <w:pPr>
              <w:spacing w:before="142"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29"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6" w:line="241" w:lineRule="auto"/>
              <w:ind w:left="530"/>
              <w:rPr>
                <w:rFonts w:ascii="宋体" w:hAnsi="宋体" w:eastAsia="宋体" w:cs="宋体"/>
                <w:sz w:val="18"/>
                <w:szCs w:val="18"/>
              </w:rPr>
            </w:pPr>
            <w:r>
              <w:rPr>
                <w:rFonts w:ascii="宋体" w:hAnsi="宋体" w:eastAsia="宋体" w:cs="宋体"/>
                <w:spacing w:val="-18"/>
                <w:sz w:val="18"/>
                <w:szCs w:val="18"/>
              </w:rPr>
              <w:t>7.7</w:t>
            </w:r>
          </w:p>
        </w:tc>
        <w:tc>
          <w:tcPr>
            <w:tcW w:w="5182" w:type="dxa"/>
            <w:vAlign w:val="top"/>
          </w:tcPr>
          <w:p>
            <w:pPr>
              <w:spacing w:before="142" w:line="241"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7" w:line="239" w:lineRule="auto"/>
              <w:ind w:left="530"/>
              <w:rPr>
                <w:rFonts w:ascii="宋体" w:hAnsi="宋体" w:eastAsia="宋体" w:cs="宋体"/>
                <w:sz w:val="18"/>
                <w:szCs w:val="18"/>
              </w:rPr>
            </w:pPr>
            <w:r>
              <w:rPr>
                <w:rFonts w:ascii="宋体" w:hAnsi="宋体" w:eastAsia="宋体" w:cs="宋体"/>
                <w:spacing w:val="-18"/>
                <w:sz w:val="18"/>
                <w:szCs w:val="18"/>
              </w:rPr>
              <w:t>7.8</w:t>
            </w:r>
          </w:p>
        </w:tc>
        <w:tc>
          <w:tcPr>
            <w:tcW w:w="5182" w:type="dxa"/>
            <w:vAlign w:val="top"/>
          </w:tcPr>
          <w:p>
            <w:pPr>
              <w:spacing w:before="144"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53" w:line="237" w:lineRule="exact"/>
              <w:ind w:left="617"/>
              <w:rPr>
                <w:rFonts w:ascii="宋体" w:hAnsi="宋体" w:eastAsia="宋体" w:cs="宋体"/>
                <w:sz w:val="18"/>
                <w:szCs w:val="18"/>
              </w:rPr>
            </w:pPr>
            <w:r>
              <w:rPr>
                <w:rFonts w:ascii="宋体" w:hAnsi="宋体" w:eastAsia="宋体" w:cs="宋体"/>
                <w:b/>
                <w:bCs/>
                <w:spacing w:val="-2"/>
                <w:position w:val="1"/>
                <w:sz w:val="18"/>
                <w:szCs w:val="18"/>
              </w:rPr>
              <w:t>8</w:t>
            </w:r>
          </w:p>
        </w:tc>
        <w:tc>
          <w:tcPr>
            <w:tcW w:w="5182" w:type="dxa"/>
            <w:vAlign w:val="top"/>
          </w:tcPr>
          <w:p>
            <w:pPr>
              <w:spacing w:before="147" w:line="212" w:lineRule="auto"/>
              <w:ind w:left="1879"/>
              <w:rPr>
                <w:rFonts w:ascii="宋体" w:hAnsi="宋体" w:eastAsia="宋体" w:cs="宋体"/>
                <w:sz w:val="18"/>
                <w:szCs w:val="18"/>
              </w:rPr>
            </w:pPr>
            <w:r>
              <w:rPr>
                <w:rFonts w:ascii="宋体" w:hAnsi="宋体" w:eastAsia="宋体" w:cs="宋体"/>
                <w:b/>
                <w:bCs/>
                <w:spacing w:val="-5"/>
                <w:sz w:val="18"/>
                <w:szCs w:val="18"/>
              </w:rPr>
              <w:t>市政养护维修工程</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59" w:line="238" w:lineRule="auto"/>
              <w:ind w:left="529"/>
              <w:rPr>
                <w:rFonts w:ascii="宋体" w:hAnsi="宋体" w:eastAsia="宋体" w:cs="宋体"/>
                <w:sz w:val="18"/>
                <w:szCs w:val="18"/>
              </w:rPr>
            </w:pPr>
            <w:r>
              <w:rPr>
                <w:rFonts w:ascii="宋体" w:hAnsi="宋体" w:eastAsia="宋体" w:cs="宋体"/>
                <w:spacing w:val="-18"/>
                <w:sz w:val="18"/>
                <w:szCs w:val="18"/>
              </w:rPr>
              <w:t>8.1</w:t>
            </w:r>
          </w:p>
        </w:tc>
        <w:tc>
          <w:tcPr>
            <w:tcW w:w="5182" w:type="dxa"/>
            <w:vAlign w:val="top"/>
          </w:tcPr>
          <w:p>
            <w:pPr>
              <w:spacing w:before="146" w:line="208" w:lineRule="auto"/>
              <w:ind w:left="103"/>
              <w:rPr>
                <w:rFonts w:ascii="宋体" w:hAnsi="宋体" w:eastAsia="宋体" w:cs="宋体"/>
                <w:sz w:val="18"/>
                <w:szCs w:val="18"/>
              </w:rPr>
            </w:pPr>
            <w:r>
              <w:rPr>
                <w:rFonts w:ascii="宋体" w:hAnsi="宋体" w:eastAsia="宋体" w:cs="宋体"/>
                <w:spacing w:val="-4"/>
                <w:sz w:val="18"/>
                <w:szCs w:val="18"/>
              </w:rPr>
              <w:t>脚手架</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0" w:line="236" w:lineRule="auto"/>
              <w:ind w:left="529"/>
              <w:rPr>
                <w:rFonts w:ascii="宋体" w:hAnsi="宋体" w:eastAsia="宋体" w:cs="宋体"/>
                <w:sz w:val="18"/>
                <w:szCs w:val="18"/>
              </w:rPr>
            </w:pPr>
            <w:r>
              <w:rPr>
                <w:rFonts w:ascii="宋体" w:hAnsi="宋体" w:eastAsia="宋体" w:cs="宋体"/>
                <w:spacing w:val="-18"/>
                <w:sz w:val="18"/>
                <w:szCs w:val="18"/>
              </w:rPr>
              <w:t>8.2</w:t>
            </w:r>
          </w:p>
        </w:tc>
        <w:tc>
          <w:tcPr>
            <w:tcW w:w="5182" w:type="dxa"/>
            <w:vAlign w:val="top"/>
          </w:tcPr>
          <w:p>
            <w:pPr>
              <w:spacing w:before="134" w:line="222" w:lineRule="auto"/>
              <w:ind w:left="102"/>
              <w:rPr>
                <w:rFonts w:ascii="宋体" w:hAnsi="宋体" w:eastAsia="宋体" w:cs="宋体"/>
                <w:sz w:val="18"/>
                <w:szCs w:val="18"/>
              </w:rPr>
            </w:pPr>
            <w:r>
              <w:rPr>
                <w:rFonts w:ascii="宋体" w:hAnsi="宋体" w:eastAsia="宋体" w:cs="宋体"/>
                <w:spacing w:val="-3"/>
                <w:sz w:val="18"/>
                <w:szCs w:val="18"/>
              </w:rPr>
              <w:t>施工排水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0" w:line="236" w:lineRule="auto"/>
              <w:ind w:left="529"/>
              <w:rPr>
                <w:rFonts w:ascii="宋体" w:hAnsi="宋体" w:eastAsia="宋体" w:cs="宋体"/>
                <w:sz w:val="18"/>
                <w:szCs w:val="18"/>
              </w:rPr>
            </w:pPr>
            <w:r>
              <w:rPr>
                <w:rFonts w:ascii="宋体" w:hAnsi="宋体" w:eastAsia="宋体" w:cs="宋体"/>
                <w:spacing w:val="-18"/>
                <w:sz w:val="18"/>
                <w:szCs w:val="18"/>
              </w:rPr>
              <w:t>8.3</w:t>
            </w:r>
          </w:p>
        </w:tc>
        <w:tc>
          <w:tcPr>
            <w:tcW w:w="5182" w:type="dxa"/>
            <w:vAlign w:val="top"/>
          </w:tcPr>
          <w:p>
            <w:pPr>
              <w:spacing w:before="144" w:line="214" w:lineRule="auto"/>
              <w:ind w:left="102"/>
              <w:rPr>
                <w:rFonts w:ascii="宋体" w:hAnsi="宋体" w:eastAsia="宋体" w:cs="宋体"/>
                <w:sz w:val="18"/>
                <w:szCs w:val="18"/>
              </w:rPr>
            </w:pPr>
            <w:r>
              <w:rPr>
                <w:rFonts w:ascii="宋体" w:hAnsi="宋体" w:eastAsia="宋体" w:cs="宋体"/>
                <w:spacing w:val="-3"/>
                <w:sz w:val="18"/>
                <w:szCs w:val="18"/>
              </w:rPr>
              <w:t>施工降水</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2" w:line="234" w:lineRule="auto"/>
              <w:ind w:left="529"/>
              <w:rPr>
                <w:rFonts w:ascii="宋体" w:hAnsi="宋体" w:eastAsia="宋体" w:cs="宋体"/>
                <w:sz w:val="18"/>
                <w:szCs w:val="18"/>
              </w:rPr>
            </w:pPr>
            <w:r>
              <w:rPr>
                <w:rFonts w:ascii="宋体" w:hAnsi="宋体" w:eastAsia="宋体" w:cs="宋体"/>
                <w:spacing w:val="-17"/>
                <w:w w:val="98"/>
                <w:sz w:val="18"/>
                <w:szCs w:val="18"/>
              </w:rPr>
              <w:t>8.4</w:t>
            </w:r>
          </w:p>
        </w:tc>
        <w:tc>
          <w:tcPr>
            <w:tcW w:w="5182" w:type="dxa"/>
            <w:vAlign w:val="top"/>
          </w:tcPr>
          <w:p>
            <w:pPr>
              <w:spacing w:before="152" w:line="206" w:lineRule="auto"/>
              <w:ind w:left="137"/>
              <w:rPr>
                <w:rFonts w:ascii="宋体" w:hAnsi="宋体" w:eastAsia="宋体" w:cs="宋体"/>
                <w:sz w:val="18"/>
                <w:szCs w:val="18"/>
              </w:rPr>
            </w:pPr>
            <w:r>
              <w:rPr>
                <w:rFonts w:ascii="宋体" w:hAnsi="宋体" w:eastAsia="宋体" w:cs="宋体"/>
                <w:spacing w:val="-10"/>
                <w:sz w:val="18"/>
                <w:szCs w:val="18"/>
              </w:rPr>
              <w:t>围堰</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4" w:line="233" w:lineRule="auto"/>
              <w:ind w:left="529"/>
              <w:rPr>
                <w:rFonts w:ascii="宋体" w:hAnsi="宋体" w:eastAsia="宋体" w:cs="宋体"/>
                <w:sz w:val="18"/>
                <w:szCs w:val="18"/>
              </w:rPr>
            </w:pPr>
            <w:r>
              <w:rPr>
                <w:rFonts w:ascii="宋体" w:hAnsi="宋体" w:eastAsia="宋体" w:cs="宋体"/>
                <w:spacing w:val="-18"/>
                <w:sz w:val="18"/>
                <w:szCs w:val="18"/>
              </w:rPr>
              <w:t>8.5</w:t>
            </w:r>
          </w:p>
        </w:tc>
        <w:tc>
          <w:tcPr>
            <w:tcW w:w="5182" w:type="dxa"/>
            <w:vAlign w:val="top"/>
          </w:tcPr>
          <w:p>
            <w:pPr>
              <w:spacing w:before="150" w:line="212" w:lineRule="auto"/>
              <w:ind w:left="110"/>
              <w:rPr>
                <w:rFonts w:ascii="宋体" w:hAnsi="宋体" w:eastAsia="宋体" w:cs="宋体"/>
                <w:sz w:val="18"/>
                <w:szCs w:val="18"/>
              </w:rPr>
            </w:pPr>
            <w:r>
              <w:rPr>
                <w:rFonts w:ascii="宋体" w:hAnsi="宋体" w:eastAsia="宋体" w:cs="宋体"/>
                <w:spacing w:val="-3"/>
                <w:sz w:val="18"/>
                <w:szCs w:val="18"/>
              </w:rPr>
              <w:t>筑岛</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2" w:line="234" w:lineRule="auto"/>
              <w:ind w:left="529"/>
              <w:rPr>
                <w:rFonts w:ascii="宋体" w:hAnsi="宋体" w:eastAsia="宋体" w:cs="宋体"/>
                <w:sz w:val="18"/>
                <w:szCs w:val="18"/>
              </w:rPr>
            </w:pPr>
            <w:r>
              <w:rPr>
                <w:rFonts w:ascii="宋体" w:hAnsi="宋体" w:eastAsia="宋体" w:cs="宋体"/>
                <w:spacing w:val="-18"/>
                <w:sz w:val="18"/>
                <w:szCs w:val="18"/>
              </w:rPr>
              <w:t>8.6</w:t>
            </w:r>
          </w:p>
        </w:tc>
        <w:tc>
          <w:tcPr>
            <w:tcW w:w="5182" w:type="dxa"/>
            <w:vAlign w:val="top"/>
          </w:tcPr>
          <w:p>
            <w:pPr>
              <w:spacing w:before="148" w:line="212" w:lineRule="auto"/>
              <w:ind w:left="105"/>
              <w:rPr>
                <w:rFonts w:ascii="宋体" w:hAnsi="宋体" w:eastAsia="宋体" w:cs="宋体"/>
                <w:sz w:val="18"/>
                <w:szCs w:val="18"/>
              </w:rPr>
            </w:pPr>
            <w:r>
              <w:rPr>
                <w:rFonts w:ascii="宋体" w:hAnsi="宋体" w:eastAsia="宋体" w:cs="宋体"/>
                <w:spacing w:val="-2"/>
                <w:sz w:val="18"/>
                <w:szCs w:val="18"/>
              </w:rPr>
              <w:t>便道</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4" w:line="232" w:lineRule="auto"/>
              <w:ind w:left="529"/>
              <w:rPr>
                <w:rFonts w:ascii="宋体" w:hAnsi="宋体" w:eastAsia="宋体" w:cs="宋体"/>
                <w:sz w:val="18"/>
                <w:szCs w:val="18"/>
              </w:rPr>
            </w:pPr>
            <w:r>
              <w:rPr>
                <w:rFonts w:ascii="宋体" w:hAnsi="宋体" w:eastAsia="宋体" w:cs="宋体"/>
                <w:spacing w:val="-18"/>
                <w:sz w:val="18"/>
                <w:szCs w:val="18"/>
              </w:rPr>
              <w:t>8.7</w:t>
            </w:r>
          </w:p>
        </w:tc>
        <w:tc>
          <w:tcPr>
            <w:tcW w:w="5182" w:type="dxa"/>
            <w:vAlign w:val="top"/>
          </w:tcPr>
          <w:p>
            <w:pPr>
              <w:spacing w:before="150" w:line="212" w:lineRule="auto"/>
              <w:ind w:left="105"/>
              <w:rPr>
                <w:rFonts w:ascii="宋体" w:hAnsi="宋体" w:eastAsia="宋体" w:cs="宋体"/>
                <w:sz w:val="18"/>
                <w:szCs w:val="18"/>
              </w:rPr>
            </w:pPr>
            <w:r>
              <w:rPr>
                <w:rFonts w:ascii="宋体" w:hAnsi="宋体" w:eastAsia="宋体" w:cs="宋体"/>
                <w:spacing w:val="-2"/>
                <w:sz w:val="18"/>
                <w:szCs w:val="18"/>
              </w:rPr>
              <w:t>便桥</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2" w:line="235" w:lineRule="auto"/>
              <w:ind w:left="529"/>
              <w:rPr>
                <w:rFonts w:ascii="宋体" w:hAnsi="宋体" w:eastAsia="宋体" w:cs="宋体"/>
                <w:sz w:val="18"/>
                <w:szCs w:val="18"/>
              </w:rPr>
            </w:pPr>
            <w:r>
              <w:rPr>
                <w:rFonts w:ascii="宋体" w:hAnsi="宋体" w:eastAsia="宋体" w:cs="宋体"/>
                <w:spacing w:val="-18"/>
                <w:sz w:val="18"/>
                <w:szCs w:val="18"/>
              </w:rPr>
              <w:t>8.8</w:t>
            </w:r>
          </w:p>
        </w:tc>
        <w:tc>
          <w:tcPr>
            <w:tcW w:w="5182" w:type="dxa"/>
            <w:vAlign w:val="top"/>
          </w:tcPr>
          <w:p>
            <w:pPr>
              <w:spacing w:before="148" w:line="215" w:lineRule="auto"/>
              <w:ind w:left="108"/>
              <w:rPr>
                <w:rFonts w:ascii="宋体" w:hAnsi="宋体" w:eastAsia="宋体" w:cs="宋体"/>
                <w:sz w:val="18"/>
                <w:szCs w:val="18"/>
              </w:rPr>
            </w:pPr>
            <w:r>
              <w:rPr>
                <w:rFonts w:ascii="宋体" w:hAnsi="宋体" w:eastAsia="宋体" w:cs="宋体"/>
                <w:spacing w:val="-3"/>
                <w:sz w:val="18"/>
                <w:szCs w:val="18"/>
              </w:rPr>
              <w:t>洞内施工通风、供水、供电照明、通信设施</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1319" w:type="dxa"/>
            <w:tcBorders>
              <w:left w:val="single" w:color="000000" w:sz="4" w:space="0"/>
            </w:tcBorders>
            <w:vAlign w:val="top"/>
          </w:tcPr>
          <w:p>
            <w:pPr>
              <w:spacing w:before="163" w:line="233" w:lineRule="auto"/>
              <w:ind w:left="529"/>
              <w:rPr>
                <w:rFonts w:ascii="宋体" w:hAnsi="宋体" w:eastAsia="宋体" w:cs="宋体"/>
                <w:sz w:val="18"/>
                <w:szCs w:val="18"/>
              </w:rPr>
            </w:pPr>
            <w:r>
              <w:rPr>
                <w:rFonts w:ascii="宋体" w:hAnsi="宋体" w:eastAsia="宋体" w:cs="宋体"/>
                <w:spacing w:val="-18"/>
                <w:sz w:val="18"/>
                <w:szCs w:val="18"/>
              </w:rPr>
              <w:t>8.9</w:t>
            </w:r>
          </w:p>
        </w:tc>
        <w:tc>
          <w:tcPr>
            <w:tcW w:w="5182" w:type="dxa"/>
            <w:vAlign w:val="top"/>
          </w:tcPr>
          <w:p>
            <w:pPr>
              <w:spacing w:before="150" w:line="211" w:lineRule="auto"/>
              <w:ind w:left="108"/>
              <w:rPr>
                <w:rFonts w:ascii="宋体" w:hAnsi="宋体" w:eastAsia="宋体" w:cs="宋体"/>
                <w:sz w:val="18"/>
                <w:szCs w:val="18"/>
              </w:rPr>
            </w:pPr>
            <w:r>
              <w:rPr>
                <w:rFonts w:ascii="宋体" w:hAnsi="宋体" w:eastAsia="宋体" w:cs="宋体"/>
                <w:spacing w:val="-4"/>
                <w:sz w:val="18"/>
                <w:szCs w:val="18"/>
              </w:rPr>
              <w:t>洞内外轨道铺设</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5" w:line="232" w:lineRule="auto"/>
              <w:ind w:left="483"/>
              <w:rPr>
                <w:rFonts w:ascii="宋体" w:hAnsi="宋体" w:eastAsia="宋体" w:cs="宋体"/>
                <w:sz w:val="18"/>
                <w:szCs w:val="18"/>
              </w:rPr>
            </w:pPr>
            <w:r>
              <w:rPr>
                <w:rFonts w:ascii="宋体" w:hAnsi="宋体" w:eastAsia="宋体" w:cs="宋体"/>
                <w:spacing w:val="-15"/>
                <w:sz w:val="18"/>
                <w:szCs w:val="18"/>
              </w:rPr>
              <w:t>8.10</w:t>
            </w:r>
          </w:p>
        </w:tc>
        <w:tc>
          <w:tcPr>
            <w:tcW w:w="5182" w:type="dxa"/>
            <w:vAlign w:val="top"/>
          </w:tcPr>
          <w:p>
            <w:pPr>
              <w:spacing w:before="152" w:line="212" w:lineRule="auto"/>
              <w:ind w:left="113"/>
              <w:rPr>
                <w:rFonts w:ascii="宋体" w:hAnsi="宋体" w:eastAsia="宋体" w:cs="宋体"/>
                <w:sz w:val="18"/>
                <w:szCs w:val="18"/>
              </w:rPr>
            </w:pPr>
            <w:r>
              <w:rPr>
                <w:rFonts w:ascii="宋体" w:hAnsi="宋体" w:eastAsia="宋体" w:cs="宋体"/>
                <w:spacing w:val="-3"/>
                <w:sz w:val="18"/>
                <w:szCs w:val="18"/>
              </w:rPr>
              <w:t>大型机械设备进出场及安拆</w:t>
            </w:r>
          </w:p>
        </w:tc>
        <w:tc>
          <w:tcPr>
            <w:tcW w:w="2578" w:type="dxa"/>
            <w:tcBorders>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12" w:hRule="atLeast"/>
        </w:trPr>
        <w:tc>
          <w:tcPr>
            <w:tcW w:w="1319" w:type="dxa"/>
            <w:tcBorders>
              <w:left w:val="single" w:color="000000" w:sz="4" w:space="0"/>
            </w:tcBorders>
            <w:vAlign w:val="top"/>
          </w:tcPr>
          <w:p>
            <w:pPr>
              <w:pStyle w:val="6"/>
              <w:spacing w:line="293" w:lineRule="auto"/>
            </w:pPr>
          </w:p>
          <w:p>
            <w:pPr>
              <w:pStyle w:val="6"/>
              <w:spacing w:line="293" w:lineRule="auto"/>
            </w:pPr>
          </w:p>
          <w:p>
            <w:pPr>
              <w:spacing w:before="59" w:line="259" w:lineRule="exact"/>
              <w:ind w:left="483"/>
              <w:rPr>
                <w:rFonts w:ascii="宋体" w:hAnsi="宋体" w:eastAsia="宋体" w:cs="宋体"/>
                <w:sz w:val="18"/>
                <w:szCs w:val="18"/>
              </w:rPr>
            </w:pPr>
            <w:r>
              <w:rPr>
                <w:rFonts w:ascii="宋体" w:hAnsi="宋体" w:eastAsia="宋体" w:cs="宋体"/>
                <w:spacing w:val="-15"/>
                <w:position w:val="1"/>
                <w:sz w:val="18"/>
                <w:szCs w:val="18"/>
              </w:rPr>
              <w:t>8.11</w:t>
            </w:r>
          </w:p>
        </w:tc>
        <w:tc>
          <w:tcPr>
            <w:tcW w:w="5182" w:type="dxa"/>
            <w:vAlign w:val="top"/>
          </w:tcPr>
          <w:p>
            <w:pPr>
              <w:pStyle w:val="6"/>
              <w:spacing w:line="287" w:lineRule="auto"/>
            </w:pPr>
          </w:p>
          <w:p>
            <w:pPr>
              <w:pStyle w:val="6"/>
              <w:spacing w:line="287" w:lineRule="auto"/>
            </w:pPr>
          </w:p>
          <w:p>
            <w:pPr>
              <w:spacing w:before="59" w:line="211" w:lineRule="auto"/>
              <w:ind w:left="112"/>
              <w:rPr>
                <w:rFonts w:ascii="宋体" w:hAnsi="宋体" w:eastAsia="宋体" w:cs="宋体"/>
                <w:sz w:val="18"/>
                <w:szCs w:val="18"/>
              </w:rPr>
            </w:pPr>
            <w:r>
              <w:rPr>
                <w:rFonts w:ascii="宋体" w:hAnsi="宋体" w:eastAsia="宋体" w:cs="宋体"/>
                <w:spacing w:val="-3"/>
                <w:sz w:val="18"/>
                <w:szCs w:val="18"/>
              </w:rPr>
              <w:t>市政工程地下管线交叉处理</w:t>
            </w:r>
          </w:p>
        </w:tc>
        <w:tc>
          <w:tcPr>
            <w:tcW w:w="2578" w:type="dxa"/>
            <w:tcBorders>
              <w:right w:val="single" w:color="000000" w:sz="4" w:space="0"/>
            </w:tcBorders>
            <w:vAlign w:val="top"/>
          </w:tcPr>
          <w:p>
            <w:pPr>
              <w:spacing w:before="115" w:line="330" w:lineRule="auto"/>
              <w:ind w:left="118" w:right="118" w:hanging="1"/>
              <w:jc w:val="both"/>
              <w:rPr>
                <w:rFonts w:ascii="宋体" w:hAnsi="宋体" w:eastAsia="宋体" w:cs="宋体"/>
                <w:sz w:val="18"/>
                <w:szCs w:val="18"/>
              </w:rPr>
            </w:pPr>
            <w:r>
              <w:rPr>
                <w:rFonts w:ascii="宋体" w:hAnsi="宋体" w:eastAsia="宋体" w:cs="宋体"/>
                <w:spacing w:val="-1"/>
                <w:sz w:val="18"/>
                <w:szCs w:val="18"/>
              </w:rPr>
              <w:t>对现有施工场地内各种地下交叉管线进行加固及处理所发生的费用，不包括地下管线改移</w:t>
            </w:r>
            <w:r>
              <w:rPr>
                <w:rFonts w:ascii="宋体" w:hAnsi="宋体" w:eastAsia="宋体" w:cs="宋体"/>
                <w:spacing w:val="-3"/>
                <w:sz w:val="18"/>
                <w:szCs w:val="18"/>
              </w:rPr>
              <w:t>发生的费用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319" w:type="dxa"/>
            <w:tcBorders>
              <w:left w:val="single" w:color="000000" w:sz="4" w:space="0"/>
            </w:tcBorders>
            <w:vAlign w:val="top"/>
          </w:tcPr>
          <w:p>
            <w:pPr>
              <w:spacing w:before="167" w:line="230" w:lineRule="auto"/>
              <w:ind w:left="483"/>
              <w:rPr>
                <w:rFonts w:ascii="宋体" w:hAnsi="宋体" w:eastAsia="宋体" w:cs="宋体"/>
                <w:sz w:val="18"/>
                <w:szCs w:val="18"/>
              </w:rPr>
            </w:pPr>
            <w:r>
              <w:rPr>
                <w:rFonts w:ascii="宋体" w:hAnsi="宋体" w:eastAsia="宋体" w:cs="宋体"/>
                <w:spacing w:val="-15"/>
                <w:sz w:val="18"/>
                <w:szCs w:val="18"/>
              </w:rPr>
              <w:t>8.12</w:t>
            </w:r>
          </w:p>
        </w:tc>
        <w:tc>
          <w:tcPr>
            <w:tcW w:w="5182" w:type="dxa"/>
            <w:vAlign w:val="top"/>
          </w:tcPr>
          <w:p>
            <w:pPr>
              <w:spacing w:before="153" w:line="210" w:lineRule="auto"/>
              <w:ind w:left="108"/>
              <w:rPr>
                <w:rFonts w:ascii="宋体" w:hAnsi="宋体" w:eastAsia="宋体" w:cs="宋体"/>
                <w:sz w:val="18"/>
                <w:szCs w:val="18"/>
              </w:rPr>
            </w:pPr>
            <w:r>
              <w:rPr>
                <w:rFonts w:ascii="宋体" w:hAnsi="宋体" w:eastAsia="宋体" w:cs="宋体"/>
                <w:spacing w:val="-3"/>
                <w:sz w:val="18"/>
                <w:szCs w:val="18"/>
              </w:rPr>
              <w:t>特殊地区施工增加</w:t>
            </w:r>
          </w:p>
        </w:tc>
        <w:tc>
          <w:tcPr>
            <w:tcW w:w="2578" w:type="dxa"/>
            <w:tcBorders>
              <w:right w:val="single" w:color="000000" w:sz="4" w:space="0"/>
            </w:tcBorders>
            <w:vAlign w:val="top"/>
          </w:tcPr>
          <w:p>
            <w:pPr>
              <w:spacing w:before="140"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319" w:type="dxa"/>
            <w:tcBorders>
              <w:left w:val="single" w:color="000000" w:sz="4" w:space="0"/>
            </w:tcBorders>
            <w:vAlign w:val="top"/>
          </w:tcPr>
          <w:p>
            <w:pPr>
              <w:spacing w:before="168" w:line="230" w:lineRule="auto"/>
              <w:ind w:left="483"/>
              <w:rPr>
                <w:rFonts w:ascii="宋体" w:hAnsi="宋体" w:eastAsia="宋体" w:cs="宋体"/>
                <w:sz w:val="18"/>
                <w:szCs w:val="18"/>
              </w:rPr>
            </w:pPr>
            <w:r>
              <w:rPr>
                <w:rFonts w:ascii="宋体" w:hAnsi="宋体" w:eastAsia="宋体" w:cs="宋体"/>
                <w:spacing w:val="-15"/>
                <w:sz w:val="18"/>
                <w:szCs w:val="18"/>
              </w:rPr>
              <w:t>8.13</w:t>
            </w:r>
          </w:p>
        </w:tc>
        <w:tc>
          <w:tcPr>
            <w:tcW w:w="5182" w:type="dxa"/>
            <w:vAlign w:val="top"/>
          </w:tcPr>
          <w:p>
            <w:pPr>
              <w:spacing w:before="152" w:line="240" w:lineRule="exact"/>
              <w:ind w:left="121"/>
              <w:rPr>
                <w:rFonts w:ascii="宋体" w:hAnsi="宋体" w:eastAsia="宋体" w:cs="宋体"/>
                <w:sz w:val="18"/>
                <w:szCs w:val="18"/>
              </w:rPr>
            </w:pPr>
            <w:r>
              <w:rPr>
                <w:rFonts w:ascii="宋体" w:hAnsi="宋体" w:eastAsia="宋体" w:cs="宋体"/>
                <w:spacing w:val="-4"/>
                <w:position w:val="1"/>
                <w:sz w:val="18"/>
                <w:szCs w:val="18"/>
              </w:rPr>
              <w:t>既有建（构）筑物、设施保护</w:t>
            </w:r>
          </w:p>
        </w:tc>
        <w:tc>
          <w:tcPr>
            <w:tcW w:w="2578" w:type="dxa"/>
            <w:tcBorders>
              <w:right w:val="single" w:color="000000" w:sz="4" w:space="0"/>
            </w:tcBorders>
            <w:vAlign w:val="top"/>
          </w:tcPr>
          <w:p>
            <w:pPr>
              <w:spacing w:before="141" w:line="208" w:lineRule="auto"/>
              <w:ind w:left="121"/>
              <w:rPr>
                <w:rFonts w:ascii="宋体" w:hAnsi="宋体" w:eastAsia="宋体" w:cs="宋体"/>
                <w:sz w:val="18"/>
                <w:szCs w:val="18"/>
              </w:rPr>
            </w:pPr>
            <w:r>
              <w:rPr>
                <w:rFonts w:ascii="宋体" w:hAnsi="宋体" w:eastAsia="宋体" w:cs="宋体"/>
                <w:spacing w:val="-3"/>
                <w:sz w:val="18"/>
                <w:szCs w:val="18"/>
              </w:rPr>
              <w:t>根据工程实际情况自行考虑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4" w:hRule="atLeast"/>
        </w:trPr>
        <w:tc>
          <w:tcPr>
            <w:tcW w:w="1319" w:type="dxa"/>
            <w:tcBorders>
              <w:left w:val="single" w:color="000000" w:sz="4" w:space="0"/>
            </w:tcBorders>
            <w:vAlign w:val="top"/>
          </w:tcPr>
          <w:p>
            <w:pPr>
              <w:pStyle w:val="6"/>
              <w:spacing w:line="414" w:lineRule="auto"/>
            </w:pPr>
          </w:p>
          <w:p>
            <w:pPr>
              <w:spacing w:before="59" w:line="260" w:lineRule="exact"/>
              <w:ind w:left="483"/>
              <w:rPr>
                <w:rFonts w:ascii="宋体" w:hAnsi="宋体" w:eastAsia="宋体" w:cs="宋体"/>
                <w:sz w:val="18"/>
                <w:szCs w:val="18"/>
              </w:rPr>
            </w:pPr>
            <w:r>
              <w:rPr>
                <w:rFonts w:ascii="宋体" w:hAnsi="宋体" w:eastAsia="宋体" w:cs="宋体"/>
                <w:spacing w:val="-15"/>
                <w:position w:val="1"/>
                <w:sz w:val="18"/>
                <w:szCs w:val="18"/>
              </w:rPr>
              <w:t>8.14</w:t>
            </w:r>
          </w:p>
        </w:tc>
        <w:tc>
          <w:tcPr>
            <w:tcW w:w="5182" w:type="dxa"/>
            <w:vAlign w:val="top"/>
          </w:tcPr>
          <w:p>
            <w:pPr>
              <w:pStyle w:val="6"/>
              <w:spacing w:line="405" w:lineRule="auto"/>
            </w:pPr>
          </w:p>
          <w:p>
            <w:pPr>
              <w:spacing w:before="58" w:line="207" w:lineRule="auto"/>
              <w:ind w:left="102"/>
              <w:rPr>
                <w:rFonts w:ascii="宋体" w:hAnsi="宋体" w:eastAsia="宋体" w:cs="宋体"/>
                <w:sz w:val="18"/>
                <w:szCs w:val="18"/>
              </w:rPr>
            </w:pPr>
            <w:r>
              <w:rPr>
                <w:rFonts w:ascii="宋体" w:hAnsi="宋体" w:eastAsia="宋体" w:cs="宋体"/>
                <w:spacing w:val="-3"/>
                <w:sz w:val="18"/>
                <w:szCs w:val="18"/>
              </w:rPr>
              <w:t>施工围挡</w:t>
            </w:r>
          </w:p>
        </w:tc>
        <w:tc>
          <w:tcPr>
            <w:tcW w:w="2578" w:type="dxa"/>
            <w:tcBorders>
              <w:right w:val="single" w:color="000000" w:sz="4" w:space="0"/>
            </w:tcBorders>
            <w:vAlign w:val="top"/>
          </w:tcPr>
          <w:p>
            <w:pPr>
              <w:spacing w:before="119" w:line="316" w:lineRule="auto"/>
              <w:ind w:left="125" w:right="115" w:firstLine="27"/>
              <w:jc w:val="both"/>
              <w:rPr>
                <w:rFonts w:ascii="宋体" w:hAnsi="宋体" w:eastAsia="宋体" w:cs="宋体"/>
                <w:sz w:val="18"/>
                <w:szCs w:val="18"/>
              </w:rPr>
            </w:pPr>
            <w:r>
              <w:rPr>
                <w:rFonts w:ascii="宋体" w:hAnsi="宋体" w:eastAsia="宋体" w:cs="宋体"/>
                <w:spacing w:val="-3"/>
                <w:sz w:val="18"/>
                <w:szCs w:val="18"/>
              </w:rPr>
              <w:t>固定式施工护栏的搭拆、运输</w:t>
            </w:r>
            <w:r>
              <w:rPr>
                <w:rFonts w:ascii="宋体" w:hAnsi="宋体" w:eastAsia="宋体" w:cs="宋体"/>
                <w:spacing w:val="-1"/>
                <w:sz w:val="18"/>
                <w:szCs w:val="18"/>
              </w:rPr>
              <w:t>费用，施工围挡购置费摊销或</w:t>
            </w:r>
            <w:r>
              <w:rPr>
                <w:rFonts w:ascii="宋体" w:hAnsi="宋体" w:eastAsia="宋体" w:cs="宋体"/>
                <w:spacing w:val="-3"/>
                <w:sz w:val="18"/>
                <w:szCs w:val="18"/>
              </w:rPr>
              <w:t>租赁使用费以及日常维护费用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67" w:hRule="atLeast"/>
        </w:trPr>
        <w:tc>
          <w:tcPr>
            <w:tcW w:w="1319" w:type="dxa"/>
            <w:tcBorders>
              <w:left w:val="single" w:color="000000" w:sz="4" w:space="0"/>
            </w:tcBorders>
            <w:vAlign w:val="top"/>
          </w:tcPr>
          <w:p>
            <w:pPr>
              <w:pStyle w:val="6"/>
              <w:spacing w:line="253" w:lineRule="auto"/>
            </w:pPr>
          </w:p>
          <w:p>
            <w:pPr>
              <w:pStyle w:val="6"/>
              <w:spacing w:line="253" w:lineRule="auto"/>
            </w:pPr>
          </w:p>
          <w:p>
            <w:pPr>
              <w:pStyle w:val="6"/>
              <w:spacing w:line="254" w:lineRule="auto"/>
            </w:pPr>
          </w:p>
          <w:p>
            <w:pPr>
              <w:spacing w:before="58" w:line="260" w:lineRule="exact"/>
              <w:ind w:left="483"/>
              <w:rPr>
                <w:rFonts w:ascii="宋体" w:hAnsi="宋体" w:eastAsia="宋体" w:cs="宋体"/>
                <w:sz w:val="18"/>
                <w:szCs w:val="18"/>
              </w:rPr>
            </w:pPr>
            <w:r>
              <w:rPr>
                <w:rFonts w:ascii="宋体" w:hAnsi="宋体" w:eastAsia="宋体" w:cs="宋体"/>
                <w:spacing w:val="-15"/>
                <w:position w:val="1"/>
                <w:sz w:val="18"/>
                <w:szCs w:val="18"/>
              </w:rPr>
              <w:t>8.15</w:t>
            </w:r>
          </w:p>
        </w:tc>
        <w:tc>
          <w:tcPr>
            <w:tcW w:w="5182" w:type="dxa"/>
            <w:vAlign w:val="top"/>
          </w:tcPr>
          <w:p>
            <w:pPr>
              <w:pStyle w:val="6"/>
              <w:spacing w:line="248" w:lineRule="auto"/>
            </w:pPr>
          </w:p>
          <w:p>
            <w:pPr>
              <w:pStyle w:val="6"/>
              <w:spacing w:line="249" w:lineRule="auto"/>
            </w:pPr>
          </w:p>
          <w:p>
            <w:pPr>
              <w:pStyle w:val="6"/>
              <w:spacing w:line="249" w:lineRule="auto"/>
            </w:pPr>
          </w:p>
          <w:p>
            <w:pPr>
              <w:spacing w:before="58" w:line="212" w:lineRule="auto"/>
              <w:ind w:left="109"/>
              <w:rPr>
                <w:rFonts w:ascii="宋体" w:hAnsi="宋体" w:eastAsia="宋体" w:cs="宋体"/>
                <w:sz w:val="18"/>
                <w:szCs w:val="18"/>
              </w:rPr>
            </w:pPr>
            <w:r>
              <w:rPr>
                <w:rFonts w:ascii="宋体" w:hAnsi="宋体" w:eastAsia="宋体" w:cs="宋体"/>
                <w:spacing w:val="-4"/>
                <w:sz w:val="18"/>
                <w:szCs w:val="18"/>
              </w:rPr>
              <w:t>交通维护及疏导</w:t>
            </w:r>
          </w:p>
        </w:tc>
        <w:tc>
          <w:tcPr>
            <w:tcW w:w="2578" w:type="dxa"/>
            <w:tcBorders>
              <w:right w:val="single" w:color="000000" w:sz="4" w:space="0"/>
            </w:tcBorders>
            <w:vAlign w:val="top"/>
          </w:tcPr>
          <w:p>
            <w:pPr>
              <w:spacing w:before="118" w:line="336" w:lineRule="auto"/>
              <w:ind w:left="119" w:right="106"/>
              <w:rPr>
                <w:rFonts w:ascii="宋体" w:hAnsi="宋体" w:eastAsia="宋体" w:cs="宋体"/>
                <w:sz w:val="18"/>
                <w:szCs w:val="18"/>
              </w:rPr>
            </w:pPr>
            <w:r>
              <w:rPr>
                <w:rFonts w:ascii="宋体" w:hAnsi="宋体" w:eastAsia="宋体" w:cs="宋体"/>
                <w:spacing w:val="30"/>
                <w:sz w:val="18"/>
                <w:szCs w:val="18"/>
              </w:rPr>
              <w:t>包括周边道路的交通诱导</w:t>
            </w:r>
            <w:r>
              <w:rPr>
                <w:rFonts w:ascii="宋体" w:hAnsi="宋体" w:eastAsia="宋体" w:cs="宋体"/>
                <w:sz w:val="18"/>
                <w:szCs w:val="18"/>
              </w:rPr>
              <w:t>标志、临时红绿灯、交通协勤人员、现场路面隔离设施等。按相关管理部门批复的维护及</w:t>
            </w:r>
            <w:r>
              <w:rPr>
                <w:rFonts w:ascii="宋体" w:hAnsi="宋体" w:eastAsia="宋体" w:cs="宋体"/>
                <w:spacing w:val="-3"/>
                <w:sz w:val="18"/>
                <w:szCs w:val="18"/>
              </w:rPr>
              <w:t>疏导方案计取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319" w:type="dxa"/>
            <w:tcBorders>
              <w:left w:val="single" w:color="000000" w:sz="4" w:space="0"/>
              <w:bottom w:val="single" w:color="000000" w:sz="4" w:space="0"/>
            </w:tcBorders>
            <w:vAlign w:val="top"/>
          </w:tcPr>
          <w:p>
            <w:pPr>
              <w:spacing w:before="174" w:line="242" w:lineRule="exact"/>
              <w:ind w:left="483"/>
              <w:rPr>
                <w:rFonts w:ascii="宋体" w:hAnsi="宋体" w:eastAsia="宋体" w:cs="宋体"/>
                <w:sz w:val="18"/>
                <w:szCs w:val="18"/>
              </w:rPr>
            </w:pPr>
            <w:r>
              <w:rPr>
                <w:rFonts w:ascii="宋体" w:hAnsi="宋体" w:eastAsia="宋体" w:cs="宋体"/>
                <w:spacing w:val="-15"/>
                <w:position w:val="1"/>
                <w:sz w:val="18"/>
                <w:szCs w:val="18"/>
              </w:rPr>
              <w:t>8.16</w:t>
            </w:r>
          </w:p>
        </w:tc>
        <w:tc>
          <w:tcPr>
            <w:tcW w:w="5182" w:type="dxa"/>
            <w:tcBorders>
              <w:bottom w:val="single" w:color="000000" w:sz="4" w:space="0"/>
            </w:tcBorders>
            <w:vAlign w:val="top"/>
          </w:tcPr>
          <w:p>
            <w:pPr>
              <w:spacing w:before="160" w:line="214" w:lineRule="auto"/>
              <w:ind w:left="105"/>
              <w:rPr>
                <w:rFonts w:ascii="宋体" w:hAnsi="宋体" w:eastAsia="宋体" w:cs="宋体"/>
                <w:sz w:val="18"/>
                <w:szCs w:val="18"/>
              </w:rPr>
            </w:pPr>
            <w:r>
              <w:rPr>
                <w:rFonts w:ascii="宋体" w:hAnsi="宋体" w:eastAsia="宋体" w:cs="宋体"/>
                <w:spacing w:val="-4"/>
                <w:sz w:val="18"/>
                <w:szCs w:val="18"/>
              </w:rPr>
              <w:t>其他措施项目</w:t>
            </w:r>
          </w:p>
        </w:tc>
        <w:tc>
          <w:tcPr>
            <w:tcW w:w="2578" w:type="dxa"/>
            <w:tcBorders>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212" w:type="default"/>
          <w:pgSz w:w="11905" w:h="16840"/>
          <w:pgMar w:top="400" w:right="1398" w:bottom="1213" w:left="1416" w:header="0" w:footer="898" w:gutter="0"/>
        </w:sect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97" w:line="215" w:lineRule="auto"/>
        <w:ind w:left="2429"/>
        <w:outlineLvl w:val="1"/>
        <w:rPr>
          <w:rFonts w:ascii="宋体" w:hAnsi="宋体" w:eastAsia="宋体" w:cs="宋体"/>
          <w:sz w:val="30"/>
          <w:szCs w:val="30"/>
        </w:rPr>
      </w:pPr>
      <w:bookmarkStart w:id="115" w:name="bookmark69"/>
      <w:bookmarkEnd w:id="115"/>
      <w:bookmarkStart w:id="116" w:name="bookmark68"/>
      <w:bookmarkEnd w:id="116"/>
      <w:r>
        <w:rPr>
          <w:rFonts w:ascii="宋体" w:hAnsi="宋体" w:eastAsia="宋体" w:cs="宋体"/>
          <w:b/>
          <w:bCs/>
          <w:spacing w:val="-3"/>
          <w:sz w:val="30"/>
          <w:szCs w:val="30"/>
        </w:rPr>
        <w:t>第二节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建设工程费用计算程序</w:t>
      </w:r>
    </w:p>
    <w:p>
      <w:pPr>
        <w:spacing w:before="251" w:line="221" w:lineRule="auto"/>
        <w:ind w:left="4179"/>
        <w:rPr>
          <w:rFonts w:ascii="黑体" w:hAnsi="黑体" w:eastAsia="黑体" w:cs="黑体"/>
          <w:sz w:val="24"/>
          <w:szCs w:val="24"/>
        </w:rPr>
      </w:pPr>
      <w:r>
        <w:rPr>
          <w:rFonts w:ascii="黑体" w:hAnsi="黑体" w:eastAsia="黑体" w:cs="黑体"/>
          <w:spacing w:val="-7"/>
          <w:sz w:val="24"/>
          <w:szCs w:val="24"/>
        </w:rPr>
        <w:t>说</w:t>
      </w:r>
      <w:r>
        <w:rPr>
          <w:rFonts w:ascii="黑体" w:hAnsi="黑体" w:eastAsia="黑体" w:cs="黑体"/>
          <w:spacing w:val="25"/>
          <w:sz w:val="24"/>
          <w:szCs w:val="24"/>
        </w:rPr>
        <w:t xml:space="preserve">  </w:t>
      </w:r>
      <w:r>
        <w:rPr>
          <w:rFonts w:ascii="黑体" w:hAnsi="黑体" w:eastAsia="黑体" w:cs="黑体"/>
          <w:spacing w:val="-7"/>
          <w:sz w:val="24"/>
          <w:szCs w:val="24"/>
        </w:rPr>
        <w:t>明</w:t>
      </w:r>
    </w:p>
    <w:p>
      <w:pPr>
        <w:spacing w:line="425" w:lineRule="auto"/>
        <w:rPr>
          <w:rFonts w:ascii="Arial"/>
          <w:sz w:val="21"/>
        </w:rPr>
      </w:pPr>
    </w:p>
    <w:p>
      <w:pPr>
        <w:spacing w:before="65" w:line="223" w:lineRule="auto"/>
        <w:ind w:left="434"/>
        <w:rPr>
          <w:rFonts w:ascii="宋体" w:hAnsi="宋体" w:eastAsia="宋体" w:cs="宋体"/>
          <w:sz w:val="20"/>
          <w:szCs w:val="20"/>
        </w:rPr>
      </w:pPr>
      <w:r>
        <w:rPr>
          <w:rFonts w:ascii="宋体" w:hAnsi="宋体" w:eastAsia="宋体" w:cs="宋体"/>
          <w:spacing w:val="9"/>
          <w:sz w:val="20"/>
          <w:szCs w:val="20"/>
        </w:rPr>
        <w:t>一、按照招投标和结算两个阶段，分别列出建设工程费用计算程序。</w:t>
      </w:r>
    </w:p>
    <w:p>
      <w:pPr>
        <w:spacing w:before="156" w:line="320" w:lineRule="auto"/>
        <w:ind w:left="4" w:firstLine="430"/>
        <w:rPr>
          <w:rFonts w:ascii="宋体" w:hAnsi="宋体" w:eastAsia="宋体" w:cs="宋体"/>
          <w:sz w:val="20"/>
          <w:szCs w:val="20"/>
        </w:rPr>
      </w:pPr>
      <w:r>
        <w:rPr>
          <w:rFonts w:ascii="宋体" w:hAnsi="宋体" w:eastAsia="宋体" w:cs="宋体"/>
          <w:spacing w:val="11"/>
          <w:sz w:val="20"/>
          <w:szCs w:val="20"/>
        </w:rPr>
        <w:t>二、分部分项工程费中的人工费、材料费、施工</w:t>
      </w:r>
      <w:r>
        <w:rPr>
          <w:rFonts w:ascii="宋体" w:hAnsi="宋体" w:eastAsia="宋体" w:cs="宋体"/>
          <w:spacing w:val="10"/>
          <w:sz w:val="20"/>
          <w:szCs w:val="20"/>
        </w:rPr>
        <w:t>机具使用费，在编制最高投标限价、投标报价</w:t>
      </w:r>
      <w:r>
        <w:rPr>
          <w:rFonts w:ascii="宋体" w:hAnsi="宋体" w:eastAsia="宋体" w:cs="宋体"/>
          <w:spacing w:val="7"/>
          <w:sz w:val="20"/>
          <w:szCs w:val="20"/>
        </w:rPr>
        <w:t>时，应全面考虑工程特点、交付标准、工期、市场行情、价格变化预期、企业装备管理水平等因素，</w:t>
      </w:r>
      <w:r>
        <w:rPr>
          <w:rFonts w:ascii="宋体" w:hAnsi="宋体" w:eastAsia="宋体" w:cs="宋体"/>
          <w:spacing w:val="9"/>
          <w:sz w:val="20"/>
          <w:szCs w:val="20"/>
        </w:rPr>
        <w:t>采取科学的计价方法和计价依据合理确定价格。</w:t>
      </w:r>
    </w:p>
    <w:p>
      <w:pPr>
        <w:spacing w:before="160" w:line="331" w:lineRule="auto"/>
        <w:ind w:left="10" w:right="64" w:firstLine="427"/>
        <w:rPr>
          <w:rFonts w:ascii="宋体" w:hAnsi="宋体" w:eastAsia="宋体" w:cs="宋体"/>
          <w:sz w:val="20"/>
          <w:szCs w:val="20"/>
        </w:rPr>
      </w:pPr>
      <w:r>
        <w:rPr>
          <w:rFonts w:ascii="宋体" w:hAnsi="宋体" w:eastAsia="宋体" w:cs="宋体"/>
          <w:spacing w:val="10"/>
          <w:sz w:val="20"/>
          <w:szCs w:val="20"/>
        </w:rPr>
        <w:t>三、企业管理费、利润、措施费（通用、专业）、总承包服务费等费用项目，在编制最高投标</w:t>
      </w:r>
      <w:r>
        <w:rPr>
          <w:rFonts w:ascii="宋体" w:hAnsi="宋体" w:eastAsia="宋体" w:cs="宋体"/>
          <w:spacing w:val="6"/>
          <w:sz w:val="20"/>
          <w:szCs w:val="20"/>
        </w:rPr>
        <w:t>限价、投标报价时，应根据发包工程特点和企业实际情况确定计算方法。本规则</w:t>
      </w:r>
      <w:r>
        <w:rPr>
          <w:rFonts w:ascii="宋体" w:hAnsi="宋体" w:eastAsia="宋体" w:cs="宋体"/>
          <w:spacing w:val="5"/>
          <w:sz w:val="20"/>
          <w:szCs w:val="20"/>
        </w:rPr>
        <w:t>规定的计算方法（及</w:t>
      </w:r>
      <w:r>
        <w:rPr>
          <w:rFonts w:ascii="宋体" w:hAnsi="宋体" w:eastAsia="宋体" w:cs="宋体"/>
          <w:spacing w:val="7"/>
          <w:sz w:val="20"/>
          <w:szCs w:val="20"/>
        </w:rPr>
        <w:t>费率）仅供参考。</w:t>
      </w:r>
    </w:p>
    <w:p>
      <w:pPr>
        <w:spacing w:before="127" w:line="222" w:lineRule="auto"/>
        <w:ind w:left="455"/>
        <w:rPr>
          <w:rFonts w:ascii="宋体" w:hAnsi="宋体" w:eastAsia="宋体" w:cs="宋体"/>
          <w:sz w:val="20"/>
          <w:szCs w:val="20"/>
        </w:rPr>
      </w:pPr>
      <w:r>
        <w:rPr>
          <w:rFonts w:ascii="宋体" w:hAnsi="宋体" w:eastAsia="宋体" w:cs="宋体"/>
          <w:b/>
          <w:bCs/>
          <w:spacing w:val="8"/>
          <w:sz w:val="20"/>
          <w:szCs w:val="20"/>
        </w:rPr>
        <w:t>四、安全文明措施费应按照本章规定的方法计算，</w:t>
      </w:r>
      <w:r>
        <w:rPr>
          <w:rFonts w:ascii="宋体" w:hAnsi="宋体" w:eastAsia="宋体" w:cs="宋体"/>
          <w:b/>
          <w:bCs/>
          <w:spacing w:val="7"/>
          <w:sz w:val="20"/>
          <w:szCs w:val="20"/>
        </w:rPr>
        <w:t>费率应不低于第三章规定的费率。</w:t>
      </w:r>
    </w:p>
    <w:p>
      <w:pPr>
        <w:spacing w:before="158" w:line="320" w:lineRule="auto"/>
        <w:ind w:right="64" w:firstLine="438"/>
        <w:rPr>
          <w:rFonts w:ascii="宋体" w:hAnsi="宋体" w:eastAsia="宋体" w:cs="宋体"/>
          <w:sz w:val="20"/>
          <w:szCs w:val="20"/>
        </w:rPr>
      </w:pPr>
      <w:r>
        <w:rPr>
          <w:rFonts w:ascii="宋体" w:hAnsi="宋体" w:eastAsia="宋体" w:cs="宋体"/>
          <w:spacing w:val="10"/>
          <w:sz w:val="20"/>
          <w:szCs w:val="20"/>
        </w:rPr>
        <w:t>五、采取增值税一般计税方法的建设工程，建设工程费用税前各个构成要素（除专业分包工程</w:t>
      </w:r>
      <w:r>
        <w:rPr>
          <w:rFonts w:ascii="宋体" w:hAnsi="宋体" w:eastAsia="宋体" w:cs="宋体"/>
          <w:spacing w:val="11"/>
          <w:sz w:val="20"/>
          <w:szCs w:val="20"/>
        </w:rPr>
        <w:t>费外）均以不包含增值税的价格计算；采取增值税简易计税方法的，税前各构成</w:t>
      </w:r>
      <w:r>
        <w:rPr>
          <w:rFonts w:ascii="宋体" w:hAnsi="宋体" w:eastAsia="宋体" w:cs="宋体"/>
          <w:spacing w:val="10"/>
          <w:sz w:val="20"/>
          <w:szCs w:val="20"/>
        </w:rPr>
        <w:t>要素均以包含增值</w:t>
      </w:r>
      <w:r>
        <w:rPr>
          <w:rFonts w:ascii="宋体" w:hAnsi="宋体" w:eastAsia="宋体" w:cs="宋体"/>
          <w:spacing w:val="7"/>
          <w:sz w:val="20"/>
          <w:szCs w:val="20"/>
        </w:rPr>
        <w:t>税的价格计算。</w:t>
      </w:r>
    </w:p>
    <w:p>
      <w:pPr>
        <w:spacing w:line="320" w:lineRule="auto"/>
        <w:rPr>
          <w:rFonts w:ascii="宋体" w:hAnsi="宋体" w:eastAsia="宋体" w:cs="宋体"/>
          <w:sz w:val="20"/>
          <w:szCs w:val="20"/>
        </w:rPr>
        <w:sectPr>
          <w:footerReference r:id="rId213" w:type="default"/>
          <w:pgSz w:w="11905" w:h="16840"/>
          <w:pgMar w:top="400" w:right="1354" w:bottom="1213" w:left="1418" w:header="0" w:footer="898" w:gutter="0"/>
        </w:sect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2"/>
        <w:spacing w:before="103" w:line="202" w:lineRule="auto"/>
        <w:ind w:left="487"/>
        <w:rPr>
          <w:sz w:val="24"/>
          <w:szCs w:val="24"/>
        </w:rPr>
      </w:pPr>
      <w:r>
        <w:rPr>
          <w:spacing w:val="-5"/>
          <w:sz w:val="24"/>
          <w:szCs w:val="24"/>
        </w:rPr>
        <w:t>一、工程招投标阶段</w:t>
      </w:r>
    </w:p>
    <w:p>
      <w:pPr>
        <w:spacing w:line="73" w:lineRule="exact"/>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2"/>
        <w:gridCol w:w="3366"/>
        <w:gridCol w:w="48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892" w:type="dxa"/>
            <w:tcBorders>
              <w:top w:val="single" w:color="000000" w:sz="4" w:space="0"/>
              <w:left w:val="single" w:color="000000" w:sz="4" w:space="0"/>
            </w:tcBorders>
            <w:vAlign w:val="top"/>
          </w:tcPr>
          <w:p>
            <w:pPr>
              <w:spacing w:before="135" w:line="187" w:lineRule="auto"/>
              <w:ind w:left="286"/>
              <w:rPr>
                <w:rFonts w:ascii="微软雅黑" w:hAnsi="微软雅黑" w:eastAsia="微软雅黑" w:cs="微软雅黑"/>
                <w:sz w:val="20"/>
                <w:szCs w:val="20"/>
              </w:rPr>
            </w:pPr>
            <w:r>
              <w:rPr>
                <w:rFonts w:ascii="微软雅黑" w:hAnsi="微软雅黑" w:eastAsia="微软雅黑" w:cs="微软雅黑"/>
                <w:spacing w:val="3"/>
                <w:sz w:val="20"/>
                <w:szCs w:val="20"/>
              </w:rPr>
              <w:t>序号</w:t>
            </w:r>
          </w:p>
        </w:tc>
        <w:tc>
          <w:tcPr>
            <w:tcW w:w="3366" w:type="dxa"/>
            <w:tcBorders>
              <w:top w:val="single" w:color="000000" w:sz="4" w:space="0"/>
            </w:tcBorders>
            <w:vAlign w:val="top"/>
          </w:tcPr>
          <w:p>
            <w:pPr>
              <w:spacing w:before="135" w:line="187" w:lineRule="auto"/>
              <w:ind w:left="1345"/>
              <w:rPr>
                <w:rFonts w:ascii="微软雅黑" w:hAnsi="微软雅黑" w:eastAsia="微软雅黑" w:cs="微软雅黑"/>
                <w:sz w:val="20"/>
                <w:szCs w:val="20"/>
              </w:rPr>
            </w:pPr>
            <w:r>
              <w:rPr>
                <w:rFonts w:ascii="微软雅黑" w:hAnsi="微软雅黑" w:eastAsia="微软雅黑" w:cs="微软雅黑"/>
                <w:spacing w:val="-2"/>
                <w:sz w:val="20"/>
                <w:szCs w:val="20"/>
              </w:rPr>
              <w:t>费用名称</w:t>
            </w:r>
          </w:p>
        </w:tc>
        <w:tc>
          <w:tcPr>
            <w:tcW w:w="4821" w:type="dxa"/>
            <w:tcBorders>
              <w:top w:val="single" w:color="000000" w:sz="4" w:space="0"/>
              <w:right w:val="single" w:color="000000" w:sz="4" w:space="0"/>
            </w:tcBorders>
            <w:vAlign w:val="top"/>
          </w:tcPr>
          <w:p>
            <w:pPr>
              <w:spacing w:before="132" w:line="189" w:lineRule="auto"/>
              <w:ind w:left="1923"/>
              <w:rPr>
                <w:rFonts w:ascii="微软雅黑" w:hAnsi="微软雅黑" w:eastAsia="微软雅黑" w:cs="微软雅黑"/>
                <w:sz w:val="20"/>
                <w:szCs w:val="20"/>
              </w:rPr>
            </w:pPr>
            <w:r>
              <w:rPr>
                <w:rFonts w:ascii="微软雅黑" w:hAnsi="微软雅黑" w:eastAsia="微软雅黑" w:cs="微软雅黑"/>
                <w:spacing w:val="1"/>
                <w:sz w:val="20"/>
                <w:szCs w:val="20"/>
              </w:rPr>
              <w:t>计  算</w:t>
            </w:r>
            <w:r>
              <w:rPr>
                <w:rFonts w:ascii="微软雅黑" w:hAnsi="微软雅黑" w:eastAsia="微软雅黑" w:cs="微软雅黑"/>
                <w:spacing w:val="56"/>
                <w:w w:val="101"/>
                <w:sz w:val="20"/>
                <w:szCs w:val="20"/>
              </w:rPr>
              <w:t xml:space="preserve"> </w:t>
            </w:r>
            <w:r>
              <w:rPr>
                <w:rFonts w:ascii="微软雅黑" w:hAnsi="微软雅黑" w:eastAsia="微软雅黑" w:cs="微软雅黑"/>
                <w:spacing w:val="1"/>
                <w:sz w:val="20"/>
                <w:szCs w:val="20"/>
              </w:rPr>
              <w:t>方  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2" w:hRule="atLeast"/>
        </w:trPr>
        <w:tc>
          <w:tcPr>
            <w:tcW w:w="892" w:type="dxa"/>
            <w:vMerge w:val="restart"/>
            <w:tcBorders>
              <w:left w:val="single" w:color="000000" w:sz="4" w:space="0"/>
              <w:bottom w:val="nil"/>
            </w:tcBorders>
            <w:vAlign w:val="top"/>
          </w:tcPr>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6" w:lineRule="auto"/>
            </w:pPr>
          </w:p>
          <w:p>
            <w:pPr>
              <w:pStyle w:val="6"/>
              <w:spacing w:line="256" w:lineRule="auto"/>
            </w:pPr>
          </w:p>
          <w:p>
            <w:pPr>
              <w:spacing w:before="65" w:line="157" w:lineRule="exact"/>
              <w:ind w:left="361"/>
              <w:rPr>
                <w:rFonts w:ascii="宋体" w:hAnsi="宋体" w:eastAsia="宋体" w:cs="宋体"/>
                <w:sz w:val="20"/>
                <w:szCs w:val="20"/>
              </w:rPr>
            </w:pPr>
            <w:r>
              <w:rPr>
                <w:rFonts w:ascii="宋体" w:hAnsi="宋体" w:eastAsia="宋体" w:cs="宋体"/>
                <w:spacing w:val="4"/>
                <w:position w:val="-4"/>
                <w:sz w:val="20"/>
                <w:szCs w:val="20"/>
              </w:rPr>
              <w:t>一</w:t>
            </w:r>
          </w:p>
        </w:tc>
        <w:tc>
          <w:tcPr>
            <w:tcW w:w="3366" w:type="dxa"/>
            <w:vAlign w:val="top"/>
          </w:tcPr>
          <w:p>
            <w:pPr>
              <w:spacing w:before="128" w:line="220" w:lineRule="auto"/>
              <w:ind w:left="110"/>
              <w:rPr>
                <w:rFonts w:ascii="宋体" w:hAnsi="宋体" w:eastAsia="宋体" w:cs="宋体"/>
                <w:sz w:val="20"/>
                <w:szCs w:val="20"/>
              </w:rPr>
            </w:pPr>
            <w:r>
              <w:rPr>
                <w:rFonts w:ascii="宋体" w:hAnsi="宋体" w:eastAsia="宋体" w:cs="宋体"/>
                <w:sz w:val="20"/>
                <w:szCs w:val="20"/>
              </w:rPr>
              <w:t>分部分项工程费</w:t>
            </w:r>
          </w:p>
        </w:tc>
        <w:tc>
          <w:tcPr>
            <w:tcW w:w="4821" w:type="dxa"/>
            <w:tcBorders>
              <w:right w:val="single" w:color="000000" w:sz="4" w:space="0"/>
            </w:tcBorders>
            <w:vAlign w:val="top"/>
          </w:tcPr>
          <w:p>
            <w:pPr>
              <w:spacing w:before="137" w:line="284" w:lineRule="exact"/>
              <w:ind w:left="163"/>
              <w:rPr>
                <w:rFonts w:ascii="宋体" w:hAnsi="宋体" w:eastAsia="宋体" w:cs="宋体"/>
                <w:sz w:val="20"/>
                <w:szCs w:val="20"/>
              </w:rPr>
            </w:pPr>
            <w:r>
              <w:rPr>
                <w:rFonts w:ascii="宋体" w:hAnsi="宋体" w:eastAsia="宋体" w:cs="宋体"/>
                <w:spacing w:val="-13"/>
                <w:position w:val="2"/>
                <w:sz w:val="20"/>
                <w:szCs w:val="20"/>
              </w:rPr>
              <w:t>∑（Ji</w:t>
            </w:r>
            <w:r>
              <w:rPr>
                <w:rFonts w:ascii="宋体" w:hAnsi="宋体" w:eastAsia="宋体" w:cs="宋体"/>
                <w:spacing w:val="46"/>
                <w:position w:val="2"/>
                <w:sz w:val="20"/>
                <w:szCs w:val="20"/>
              </w:rPr>
              <w:t xml:space="preserve"> </w:t>
            </w:r>
            <w:r>
              <w:rPr>
                <w:rFonts w:ascii="宋体" w:hAnsi="宋体" w:eastAsia="宋体" w:cs="宋体"/>
                <w:spacing w:val="-13"/>
                <w:position w:val="2"/>
                <w:sz w:val="20"/>
                <w:szCs w:val="20"/>
              </w:rPr>
              <w:t>×分部分项工程量）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0"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4" w:line="219" w:lineRule="auto"/>
              <w:ind w:left="110"/>
              <w:rPr>
                <w:rFonts w:ascii="宋体" w:hAnsi="宋体" w:eastAsia="宋体" w:cs="宋体"/>
                <w:sz w:val="20"/>
                <w:szCs w:val="20"/>
              </w:rPr>
            </w:pPr>
            <w:r>
              <w:rPr>
                <w:rFonts w:ascii="宋体" w:hAnsi="宋体" w:eastAsia="宋体" w:cs="宋体"/>
                <w:spacing w:val="7"/>
                <w:sz w:val="20"/>
                <w:szCs w:val="20"/>
              </w:rPr>
              <w:t>分部分项工程综合单价</w:t>
            </w:r>
          </w:p>
        </w:tc>
        <w:tc>
          <w:tcPr>
            <w:tcW w:w="4821" w:type="dxa"/>
            <w:tcBorders>
              <w:right w:val="single" w:color="000000" w:sz="4" w:space="0"/>
            </w:tcBorders>
            <w:vAlign w:val="top"/>
          </w:tcPr>
          <w:p>
            <w:pPr>
              <w:spacing w:before="134" w:line="286" w:lineRule="exact"/>
              <w:ind w:left="112"/>
              <w:rPr>
                <w:rFonts w:ascii="宋体" w:hAnsi="宋体" w:eastAsia="宋体" w:cs="宋体"/>
                <w:sz w:val="20"/>
                <w:szCs w:val="20"/>
              </w:rPr>
            </w:pPr>
            <w:r>
              <w:rPr>
                <w:rFonts w:ascii="宋体" w:hAnsi="宋体" w:eastAsia="宋体" w:cs="宋体"/>
                <w:spacing w:val="-20"/>
                <w:position w:val="2"/>
                <w:sz w:val="20"/>
                <w:szCs w:val="20"/>
              </w:rPr>
              <w:t>Ji</w:t>
            </w:r>
            <w:r>
              <w:rPr>
                <w:rFonts w:ascii="宋体" w:hAnsi="宋体" w:eastAsia="宋体" w:cs="宋体"/>
                <w:spacing w:val="-20"/>
                <w:position w:val="3"/>
                <w:sz w:val="20"/>
                <w:szCs w:val="20"/>
              </w:rPr>
              <w:t>=1.1＋</w:t>
            </w:r>
            <w:r>
              <w:rPr>
                <w:rFonts w:ascii="宋体" w:hAnsi="宋体" w:eastAsia="宋体" w:cs="宋体"/>
                <w:spacing w:val="-38"/>
                <w:position w:val="3"/>
                <w:sz w:val="20"/>
                <w:szCs w:val="20"/>
              </w:rPr>
              <w:t xml:space="preserve"> </w:t>
            </w:r>
            <w:r>
              <w:rPr>
                <w:rFonts w:ascii="宋体" w:hAnsi="宋体" w:eastAsia="宋体" w:cs="宋体"/>
                <w:spacing w:val="-20"/>
                <w:position w:val="3"/>
                <w:sz w:val="20"/>
                <w:szCs w:val="20"/>
              </w:rPr>
              <w:t>1.2＋</w:t>
            </w:r>
            <w:r>
              <w:rPr>
                <w:rFonts w:ascii="宋体" w:hAnsi="宋体" w:eastAsia="宋体" w:cs="宋体"/>
                <w:spacing w:val="-45"/>
                <w:position w:val="3"/>
                <w:sz w:val="20"/>
                <w:szCs w:val="20"/>
              </w:rPr>
              <w:t xml:space="preserve"> </w:t>
            </w:r>
            <w:r>
              <w:rPr>
                <w:rFonts w:ascii="宋体" w:hAnsi="宋体" w:eastAsia="宋体" w:cs="宋体"/>
                <w:spacing w:val="-20"/>
                <w:position w:val="3"/>
                <w:sz w:val="20"/>
                <w:szCs w:val="20"/>
              </w:rPr>
              <w:t>1.3＋</w:t>
            </w:r>
            <w:r>
              <w:rPr>
                <w:rFonts w:ascii="宋体" w:hAnsi="宋体" w:eastAsia="宋体" w:cs="宋体"/>
                <w:spacing w:val="-44"/>
                <w:position w:val="3"/>
                <w:sz w:val="20"/>
                <w:szCs w:val="20"/>
              </w:rPr>
              <w:t xml:space="preserve"> </w:t>
            </w:r>
            <w:r>
              <w:rPr>
                <w:rFonts w:ascii="宋体" w:hAnsi="宋体" w:eastAsia="宋体" w:cs="宋体"/>
                <w:spacing w:val="-20"/>
                <w:position w:val="3"/>
                <w:sz w:val="20"/>
                <w:szCs w:val="20"/>
              </w:rPr>
              <w:t>1.4＋</w:t>
            </w:r>
            <w:r>
              <w:rPr>
                <w:rFonts w:ascii="宋体" w:hAnsi="宋体" w:eastAsia="宋体" w:cs="宋体"/>
                <w:spacing w:val="-47"/>
                <w:position w:val="3"/>
                <w:sz w:val="20"/>
                <w:szCs w:val="20"/>
              </w:rPr>
              <w:t xml:space="preserve"> </w:t>
            </w:r>
            <w:r>
              <w:rPr>
                <w:rFonts w:ascii="宋体" w:hAnsi="宋体" w:eastAsia="宋体" w:cs="宋体"/>
                <w:spacing w:val="-20"/>
                <w:position w:val="3"/>
                <w:sz w:val="20"/>
                <w:szCs w:val="20"/>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4" w:line="266" w:lineRule="exact"/>
              <w:ind w:left="137"/>
              <w:rPr>
                <w:rFonts w:ascii="宋体" w:hAnsi="宋体" w:eastAsia="宋体" w:cs="宋体"/>
                <w:sz w:val="20"/>
                <w:szCs w:val="20"/>
              </w:rPr>
            </w:pPr>
            <w:r>
              <w:rPr>
                <w:rFonts w:ascii="宋体" w:hAnsi="宋体" w:eastAsia="宋体" w:cs="宋体"/>
                <w:spacing w:val="-7"/>
                <w:position w:val="1"/>
                <w:sz w:val="20"/>
                <w:szCs w:val="20"/>
              </w:rPr>
              <w:t>1.1人工费</w:t>
            </w:r>
          </w:p>
        </w:tc>
        <w:tc>
          <w:tcPr>
            <w:tcW w:w="4821" w:type="dxa"/>
            <w:tcBorders>
              <w:right w:val="single" w:color="000000" w:sz="4" w:space="0"/>
            </w:tcBorders>
            <w:vAlign w:val="top"/>
          </w:tcPr>
          <w:p>
            <w:pPr>
              <w:spacing w:before="124" w:line="266" w:lineRule="exact"/>
              <w:ind w:left="119"/>
              <w:rPr>
                <w:rFonts w:ascii="宋体" w:hAnsi="宋体" w:eastAsia="宋体" w:cs="宋体"/>
                <w:sz w:val="20"/>
                <w:szCs w:val="20"/>
              </w:rPr>
            </w:pPr>
            <w:r>
              <w:rPr>
                <w:rFonts w:ascii="宋体" w:hAnsi="宋体" w:eastAsia="宋体" w:cs="宋体"/>
                <w:spacing w:val="-13"/>
                <w:position w:val="1"/>
                <w:sz w:val="20"/>
                <w:szCs w:val="20"/>
              </w:rPr>
              <w:t>每计量单位∑（工日消耗量</w:t>
            </w:r>
            <w:r>
              <w:rPr>
                <w:rFonts w:ascii="宋体" w:hAnsi="宋体" w:eastAsia="宋体" w:cs="宋体"/>
                <w:spacing w:val="-62"/>
                <w:position w:val="1"/>
                <w:sz w:val="20"/>
                <w:szCs w:val="20"/>
              </w:rPr>
              <w:t xml:space="preserve"> </w:t>
            </w:r>
            <w:r>
              <w:rPr>
                <w:rFonts w:ascii="宋体" w:hAnsi="宋体" w:eastAsia="宋体" w:cs="宋体"/>
                <w:spacing w:val="-13"/>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37"/>
              <w:rPr>
                <w:rFonts w:ascii="宋体" w:hAnsi="宋体" w:eastAsia="宋体" w:cs="宋体"/>
                <w:sz w:val="20"/>
                <w:szCs w:val="20"/>
              </w:rPr>
            </w:pPr>
            <w:r>
              <w:rPr>
                <w:rFonts w:ascii="宋体" w:hAnsi="宋体" w:eastAsia="宋体" w:cs="宋体"/>
                <w:spacing w:val="-7"/>
                <w:position w:val="1"/>
                <w:sz w:val="20"/>
                <w:szCs w:val="20"/>
              </w:rPr>
              <w:t>1.2材料费</w:t>
            </w:r>
          </w:p>
        </w:tc>
        <w:tc>
          <w:tcPr>
            <w:tcW w:w="4821" w:type="dxa"/>
            <w:tcBorders>
              <w:right w:val="single" w:color="000000" w:sz="4" w:space="0"/>
            </w:tcBorders>
            <w:vAlign w:val="top"/>
          </w:tcPr>
          <w:p>
            <w:pPr>
              <w:spacing w:before="126" w:line="264" w:lineRule="exact"/>
              <w:ind w:left="119"/>
              <w:rPr>
                <w:rFonts w:ascii="宋体" w:hAnsi="宋体" w:eastAsia="宋体" w:cs="宋体"/>
                <w:sz w:val="20"/>
                <w:szCs w:val="20"/>
              </w:rPr>
            </w:pPr>
            <w:r>
              <w:rPr>
                <w:rFonts w:ascii="宋体" w:hAnsi="宋体" w:eastAsia="宋体" w:cs="宋体"/>
                <w:spacing w:val="-13"/>
                <w:position w:val="1"/>
                <w:sz w:val="20"/>
                <w:szCs w:val="20"/>
              </w:rPr>
              <w:t>每计量单位∑（材料消耗量</w:t>
            </w:r>
            <w:r>
              <w:rPr>
                <w:rFonts w:ascii="宋体" w:hAnsi="宋体" w:eastAsia="宋体" w:cs="宋体"/>
                <w:spacing w:val="-62"/>
                <w:position w:val="1"/>
                <w:sz w:val="20"/>
                <w:szCs w:val="20"/>
              </w:rPr>
              <w:t xml:space="preserve"> </w:t>
            </w:r>
            <w:r>
              <w:rPr>
                <w:rFonts w:ascii="宋体" w:hAnsi="宋体" w:eastAsia="宋体" w:cs="宋体"/>
                <w:spacing w:val="-13"/>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37"/>
              <w:rPr>
                <w:rFonts w:ascii="宋体" w:hAnsi="宋体" w:eastAsia="宋体" w:cs="宋体"/>
                <w:sz w:val="20"/>
                <w:szCs w:val="20"/>
              </w:rPr>
            </w:pPr>
            <w:r>
              <w:rPr>
                <w:rFonts w:ascii="宋体" w:hAnsi="宋体" w:eastAsia="宋体" w:cs="宋体"/>
                <w:spacing w:val="-1"/>
                <w:position w:val="1"/>
                <w:sz w:val="20"/>
                <w:szCs w:val="20"/>
              </w:rPr>
              <w:t>1.3施工机具使用费</w:t>
            </w:r>
          </w:p>
        </w:tc>
        <w:tc>
          <w:tcPr>
            <w:tcW w:w="4821" w:type="dxa"/>
            <w:tcBorders>
              <w:right w:val="single" w:color="000000" w:sz="4" w:space="0"/>
            </w:tcBorders>
            <w:vAlign w:val="top"/>
          </w:tcPr>
          <w:p>
            <w:pPr>
              <w:spacing w:before="123" w:line="267" w:lineRule="exact"/>
              <w:ind w:left="119"/>
              <w:rPr>
                <w:rFonts w:ascii="宋体" w:hAnsi="宋体" w:eastAsia="宋体" w:cs="宋体"/>
                <w:sz w:val="20"/>
                <w:szCs w:val="20"/>
              </w:rPr>
            </w:pPr>
            <w:r>
              <w:rPr>
                <w:rFonts w:ascii="宋体" w:hAnsi="宋体" w:eastAsia="宋体" w:cs="宋体"/>
                <w:spacing w:val="-1"/>
                <w:position w:val="1"/>
                <w:sz w:val="20"/>
                <w:szCs w:val="20"/>
              </w:rPr>
              <w:t>每计量单位∑（机械台班消耗量</w:t>
            </w:r>
            <w:r>
              <w:rPr>
                <w:rFonts w:ascii="宋体" w:hAnsi="宋体" w:eastAsia="宋体" w:cs="宋体"/>
                <w:spacing w:val="-47"/>
                <w:position w:val="1"/>
                <w:sz w:val="20"/>
                <w:szCs w:val="20"/>
              </w:rPr>
              <w:t xml:space="preserve"> </w:t>
            </w:r>
            <w:r>
              <w:rPr>
                <w:rFonts w:ascii="宋体" w:hAnsi="宋体" w:eastAsia="宋体" w:cs="宋体"/>
                <w:spacing w:val="-1"/>
                <w:position w:val="1"/>
                <w:sz w:val="20"/>
                <w:szCs w:val="20"/>
              </w:rPr>
              <w:t>×单价）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8" w:line="263" w:lineRule="exact"/>
              <w:ind w:left="137"/>
              <w:rPr>
                <w:rFonts w:ascii="宋体" w:hAnsi="宋体" w:eastAsia="宋体" w:cs="宋体"/>
                <w:sz w:val="20"/>
                <w:szCs w:val="20"/>
              </w:rPr>
            </w:pPr>
            <w:r>
              <w:rPr>
                <w:rFonts w:ascii="宋体" w:hAnsi="宋体" w:eastAsia="宋体" w:cs="宋体"/>
                <w:spacing w:val="-3"/>
                <w:position w:val="1"/>
                <w:sz w:val="20"/>
                <w:szCs w:val="20"/>
              </w:rPr>
              <w:t>1.4企业管理费</w:t>
            </w:r>
          </w:p>
        </w:tc>
        <w:tc>
          <w:tcPr>
            <w:tcW w:w="4821" w:type="dxa"/>
            <w:tcBorders>
              <w:right w:val="single" w:color="000000" w:sz="4" w:space="0"/>
            </w:tcBorders>
            <w:vAlign w:val="top"/>
          </w:tcPr>
          <w:p>
            <w:pPr>
              <w:spacing w:before="128" w:line="263" w:lineRule="exact"/>
              <w:ind w:left="116"/>
              <w:rPr>
                <w:rFonts w:ascii="宋体" w:hAnsi="宋体" w:eastAsia="宋体" w:cs="宋体"/>
                <w:sz w:val="20"/>
                <w:szCs w:val="20"/>
              </w:rPr>
            </w:pPr>
            <w:r>
              <w:rPr>
                <w:rFonts w:ascii="宋体" w:hAnsi="宋体" w:eastAsia="宋体" w:cs="宋体"/>
                <w:spacing w:val="-7"/>
                <w:position w:val="1"/>
                <w:sz w:val="20"/>
                <w:szCs w:val="20"/>
              </w:rPr>
              <w:t>（计费基础 1）</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26" w:line="265" w:lineRule="exact"/>
              <w:ind w:left="137"/>
              <w:rPr>
                <w:rFonts w:ascii="宋体" w:hAnsi="宋体" w:eastAsia="宋体" w:cs="宋体"/>
                <w:sz w:val="20"/>
                <w:szCs w:val="20"/>
              </w:rPr>
            </w:pPr>
            <w:r>
              <w:rPr>
                <w:rFonts w:ascii="宋体" w:hAnsi="宋体" w:eastAsia="宋体" w:cs="宋体"/>
                <w:spacing w:val="-9"/>
                <w:position w:val="1"/>
                <w:sz w:val="20"/>
                <w:szCs w:val="20"/>
              </w:rPr>
              <w:t>1.5利润</w:t>
            </w:r>
          </w:p>
        </w:tc>
        <w:tc>
          <w:tcPr>
            <w:tcW w:w="4821" w:type="dxa"/>
            <w:tcBorders>
              <w:right w:val="single" w:color="000000" w:sz="4" w:space="0"/>
            </w:tcBorders>
            <w:vAlign w:val="top"/>
          </w:tcPr>
          <w:p>
            <w:pPr>
              <w:spacing w:before="126" w:line="265" w:lineRule="exact"/>
              <w:ind w:left="116"/>
              <w:rPr>
                <w:rFonts w:ascii="宋体" w:hAnsi="宋体" w:eastAsia="宋体" w:cs="宋体"/>
                <w:sz w:val="20"/>
                <w:szCs w:val="20"/>
              </w:rPr>
            </w:pPr>
            <w:r>
              <w:rPr>
                <w:rFonts w:ascii="宋体" w:hAnsi="宋体" w:eastAsia="宋体" w:cs="宋体"/>
                <w:spacing w:val="-7"/>
                <w:position w:val="1"/>
                <w:sz w:val="20"/>
                <w:szCs w:val="20"/>
              </w:rPr>
              <w:t>（计费基础</w:t>
            </w:r>
            <w:r>
              <w:rPr>
                <w:rFonts w:ascii="宋体" w:hAnsi="宋体" w:eastAsia="宋体" w:cs="宋体"/>
                <w:spacing w:val="-21"/>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55"/>
                <w:position w:val="1"/>
                <w:sz w:val="20"/>
                <w:szCs w:val="20"/>
              </w:rPr>
              <w:t xml:space="preserve"> </w:t>
            </w:r>
            <w:r>
              <w:rPr>
                <w:rFonts w:ascii="宋体" w:hAnsi="宋体" w:eastAsia="宋体" w:cs="宋体"/>
                <w:spacing w:val="-7"/>
                <w:position w:val="1"/>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1" w:hRule="atLeast"/>
        </w:trPr>
        <w:tc>
          <w:tcPr>
            <w:tcW w:w="892" w:type="dxa"/>
            <w:vMerge w:val="restart"/>
            <w:tcBorders>
              <w:left w:val="single" w:color="000000" w:sz="4" w:space="0"/>
              <w:bottom w:val="nil"/>
            </w:tcBorders>
            <w:vAlign w:val="top"/>
          </w:tcPr>
          <w:p>
            <w:pPr>
              <w:pStyle w:val="6"/>
              <w:spacing w:line="299" w:lineRule="auto"/>
            </w:pPr>
          </w:p>
          <w:p>
            <w:pPr>
              <w:pStyle w:val="6"/>
              <w:spacing w:line="299" w:lineRule="auto"/>
            </w:pPr>
          </w:p>
          <w:p>
            <w:pPr>
              <w:pStyle w:val="6"/>
              <w:spacing w:line="299" w:lineRule="auto"/>
            </w:pPr>
          </w:p>
          <w:p>
            <w:pPr>
              <w:spacing w:before="65" w:line="192" w:lineRule="auto"/>
              <w:ind w:left="361"/>
              <w:rPr>
                <w:rFonts w:ascii="宋体" w:hAnsi="宋体" w:eastAsia="宋体" w:cs="宋体"/>
                <w:sz w:val="20"/>
                <w:szCs w:val="20"/>
              </w:rPr>
            </w:pPr>
            <w:r>
              <w:rPr>
                <w:rFonts w:ascii="宋体" w:hAnsi="宋体" w:eastAsia="宋体" w:cs="宋体"/>
                <w:spacing w:val="4"/>
                <w:sz w:val="20"/>
                <w:szCs w:val="20"/>
              </w:rPr>
              <w:t>二</w:t>
            </w:r>
          </w:p>
        </w:tc>
        <w:tc>
          <w:tcPr>
            <w:tcW w:w="3366" w:type="dxa"/>
            <w:vAlign w:val="top"/>
          </w:tcPr>
          <w:p>
            <w:pPr>
              <w:spacing w:before="135" w:line="219" w:lineRule="auto"/>
              <w:ind w:left="106"/>
              <w:rPr>
                <w:rFonts w:ascii="宋体" w:hAnsi="宋体" w:eastAsia="宋体" w:cs="宋体"/>
                <w:sz w:val="20"/>
                <w:szCs w:val="20"/>
              </w:rPr>
            </w:pPr>
            <w:r>
              <w:rPr>
                <w:rFonts w:ascii="宋体" w:hAnsi="宋体" w:eastAsia="宋体" w:cs="宋体"/>
                <w:spacing w:val="5"/>
                <w:sz w:val="20"/>
                <w:szCs w:val="20"/>
              </w:rPr>
              <w:t>措施项目费</w:t>
            </w:r>
          </w:p>
        </w:tc>
        <w:tc>
          <w:tcPr>
            <w:tcW w:w="4821" w:type="dxa"/>
            <w:tcBorders>
              <w:right w:val="single" w:color="000000" w:sz="4" w:space="0"/>
            </w:tcBorders>
            <w:vAlign w:val="top"/>
          </w:tcPr>
          <w:p>
            <w:pPr>
              <w:spacing w:before="144" w:line="266" w:lineRule="exact"/>
              <w:ind w:left="119"/>
              <w:rPr>
                <w:rFonts w:ascii="宋体" w:hAnsi="宋体" w:eastAsia="宋体" w:cs="宋体"/>
                <w:sz w:val="20"/>
                <w:szCs w:val="20"/>
              </w:rPr>
            </w:pPr>
            <w:r>
              <w:rPr>
                <w:rFonts w:ascii="宋体" w:hAnsi="宋体" w:eastAsia="宋体" w:cs="宋体"/>
                <w:spacing w:val="-11"/>
                <w:position w:val="1"/>
                <w:sz w:val="20"/>
                <w:szCs w:val="20"/>
              </w:rPr>
              <w:t>2.1＋2.2＋2.3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6" w:line="264" w:lineRule="exact"/>
              <w:ind w:left="110"/>
              <w:rPr>
                <w:rFonts w:ascii="宋体" w:hAnsi="宋体" w:eastAsia="宋体" w:cs="宋体"/>
                <w:sz w:val="20"/>
                <w:szCs w:val="20"/>
              </w:rPr>
            </w:pPr>
            <w:r>
              <w:rPr>
                <w:rFonts w:ascii="宋体" w:hAnsi="宋体" w:eastAsia="宋体" w:cs="宋体"/>
                <w:spacing w:val="2"/>
                <w:position w:val="1"/>
                <w:sz w:val="20"/>
                <w:szCs w:val="20"/>
              </w:rPr>
              <w:t>2.1通用措施项目费</w:t>
            </w:r>
          </w:p>
        </w:tc>
        <w:tc>
          <w:tcPr>
            <w:tcW w:w="4821" w:type="dxa"/>
            <w:tcBorders>
              <w:right w:val="single" w:color="000000" w:sz="4" w:space="0"/>
            </w:tcBorders>
            <w:vAlign w:val="top"/>
          </w:tcPr>
          <w:p>
            <w:pPr>
              <w:spacing w:before="126" w:line="264" w:lineRule="exact"/>
              <w:ind w:left="163"/>
              <w:rPr>
                <w:rFonts w:ascii="宋体" w:hAnsi="宋体" w:eastAsia="宋体" w:cs="宋体"/>
                <w:sz w:val="20"/>
                <w:szCs w:val="20"/>
              </w:rPr>
            </w:pPr>
            <w:r>
              <w:rPr>
                <w:rFonts w:ascii="宋体" w:hAnsi="宋体" w:eastAsia="宋体" w:cs="宋体"/>
                <w:spacing w:val="-9"/>
                <w:position w:val="1"/>
                <w:sz w:val="20"/>
                <w:szCs w:val="20"/>
              </w:rPr>
              <w:t>∑（计费基础2</w:t>
            </w:r>
            <w:r>
              <w:rPr>
                <w:rFonts w:ascii="宋体" w:hAnsi="宋体" w:eastAsia="宋体" w:cs="宋体"/>
                <w:spacing w:val="-44"/>
                <w:position w:val="1"/>
                <w:sz w:val="20"/>
                <w:szCs w:val="20"/>
              </w:rPr>
              <w:t xml:space="preserve"> </w:t>
            </w:r>
            <w:r>
              <w:rPr>
                <w:rFonts w:ascii="宋体" w:hAnsi="宋体" w:eastAsia="宋体" w:cs="宋体"/>
                <w:spacing w:val="-9"/>
                <w:position w:val="1"/>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8" w:line="242" w:lineRule="auto"/>
              <w:ind w:left="110"/>
              <w:rPr>
                <w:rFonts w:ascii="宋体" w:hAnsi="宋体" w:eastAsia="宋体" w:cs="宋体"/>
                <w:sz w:val="20"/>
                <w:szCs w:val="20"/>
              </w:rPr>
            </w:pPr>
            <w:r>
              <w:rPr>
                <w:rFonts w:ascii="宋体" w:hAnsi="宋体" w:eastAsia="宋体" w:cs="宋体"/>
                <w:spacing w:val="2"/>
                <w:sz w:val="20"/>
                <w:szCs w:val="20"/>
              </w:rPr>
              <w:t>2.2专业措施项目费</w:t>
            </w:r>
          </w:p>
        </w:tc>
        <w:tc>
          <w:tcPr>
            <w:tcW w:w="4821" w:type="dxa"/>
            <w:tcBorders>
              <w:right w:val="single" w:color="000000" w:sz="4" w:space="0"/>
            </w:tcBorders>
            <w:vAlign w:val="top"/>
          </w:tcPr>
          <w:p>
            <w:pPr>
              <w:spacing w:before="131" w:line="223" w:lineRule="auto"/>
              <w:ind w:left="117"/>
              <w:rPr>
                <w:rFonts w:ascii="宋体" w:hAnsi="宋体" w:eastAsia="宋体" w:cs="宋体"/>
                <w:sz w:val="20"/>
                <w:szCs w:val="20"/>
              </w:rPr>
            </w:pPr>
            <w:r>
              <w:rPr>
                <w:rFonts w:ascii="宋体" w:hAnsi="宋体" w:eastAsia="宋体" w:cs="宋体"/>
                <w:spacing w:val="7"/>
                <w:sz w:val="20"/>
                <w:szCs w:val="20"/>
              </w:rPr>
              <w:t>按各专业工程措施项目计算方法计算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32"/>
              <w:ind w:left="110"/>
              <w:rPr>
                <w:rFonts w:ascii="宋体" w:hAnsi="宋体" w:eastAsia="宋体" w:cs="宋体"/>
                <w:sz w:val="20"/>
                <w:szCs w:val="20"/>
              </w:rPr>
            </w:pPr>
            <w:r>
              <w:rPr>
                <w:rFonts w:ascii="宋体" w:hAnsi="宋体" w:eastAsia="宋体" w:cs="宋体"/>
                <w:spacing w:val="2"/>
                <w:sz w:val="20"/>
                <w:szCs w:val="20"/>
              </w:rPr>
              <w:t>2.3安全文明措施费</w:t>
            </w:r>
          </w:p>
        </w:tc>
        <w:tc>
          <w:tcPr>
            <w:tcW w:w="4821" w:type="dxa"/>
            <w:tcBorders>
              <w:right w:val="single" w:color="000000" w:sz="4" w:space="0"/>
            </w:tcBorders>
            <w:vAlign w:val="top"/>
          </w:tcPr>
          <w:p>
            <w:pPr>
              <w:spacing w:before="132"/>
              <w:ind w:left="163"/>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0"/>
                <w:sz w:val="20"/>
                <w:szCs w:val="20"/>
              </w:rPr>
              <w:t>｛［（</w:t>
            </w:r>
            <w:r>
              <w:rPr>
                <w:rFonts w:ascii="宋体" w:hAnsi="宋体" w:eastAsia="宋体" w:cs="宋体"/>
                <w:spacing w:val="-7"/>
                <w:sz w:val="20"/>
                <w:szCs w:val="20"/>
              </w:rPr>
              <w:t>一</w:t>
            </w:r>
            <w:r>
              <w:rPr>
                <w:rFonts w:ascii="宋体" w:hAnsi="宋体" w:eastAsia="宋体" w:cs="宋体"/>
                <w:spacing w:val="-30"/>
                <w:sz w:val="20"/>
                <w:szCs w:val="20"/>
              </w:rPr>
              <w:t>）＋</w:t>
            </w:r>
            <w:r>
              <w:rPr>
                <w:rFonts w:ascii="宋体" w:hAnsi="宋体" w:eastAsia="宋体" w:cs="宋体"/>
                <w:spacing w:val="-7"/>
                <w:sz w:val="20"/>
                <w:szCs w:val="20"/>
              </w:rPr>
              <w:t>2.1＋2.2＋A.1］</w:t>
            </w:r>
            <w:r>
              <w:rPr>
                <w:rFonts w:ascii="宋体" w:hAnsi="宋体" w:eastAsia="宋体" w:cs="宋体"/>
                <w:spacing w:val="-53"/>
                <w:sz w:val="20"/>
                <w:szCs w:val="20"/>
              </w:rPr>
              <w:t xml:space="preserve"> </w:t>
            </w:r>
            <w:r>
              <w:rPr>
                <w:rFonts w:ascii="宋体" w:hAnsi="宋体" w:eastAsia="宋体" w:cs="宋体"/>
                <w:spacing w:val="-7"/>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 w:hRule="atLeast"/>
        </w:trPr>
        <w:tc>
          <w:tcPr>
            <w:tcW w:w="892" w:type="dxa"/>
            <w:vMerge w:val="restart"/>
            <w:tcBorders>
              <w:left w:val="single" w:color="000000" w:sz="4" w:space="0"/>
              <w:bottom w:val="nil"/>
            </w:tcBorders>
            <w:vAlign w:val="top"/>
          </w:tcPr>
          <w:p>
            <w:pPr>
              <w:pStyle w:val="6"/>
              <w:spacing w:line="245" w:lineRule="auto"/>
            </w:pPr>
          </w:p>
          <w:p>
            <w:pPr>
              <w:pStyle w:val="6"/>
              <w:spacing w:line="245" w:lineRule="auto"/>
            </w:pPr>
          </w:p>
          <w:p>
            <w:pPr>
              <w:pStyle w:val="6"/>
              <w:spacing w:line="245"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pStyle w:val="6"/>
              <w:spacing w:line="246" w:lineRule="auto"/>
            </w:pPr>
          </w:p>
          <w:p>
            <w:pPr>
              <w:spacing w:before="65" w:line="201" w:lineRule="auto"/>
              <w:ind w:left="362"/>
              <w:rPr>
                <w:rFonts w:ascii="宋体" w:hAnsi="宋体" w:eastAsia="宋体" w:cs="宋体"/>
                <w:sz w:val="20"/>
                <w:szCs w:val="20"/>
              </w:rPr>
            </w:pPr>
            <w:r>
              <w:rPr>
                <w:rFonts w:ascii="宋体" w:hAnsi="宋体" w:eastAsia="宋体" w:cs="宋体"/>
                <w:sz w:val="20"/>
                <w:szCs w:val="20"/>
              </w:rPr>
              <w:t>三</w:t>
            </w:r>
          </w:p>
        </w:tc>
        <w:tc>
          <w:tcPr>
            <w:tcW w:w="3366" w:type="dxa"/>
            <w:vAlign w:val="top"/>
          </w:tcPr>
          <w:p>
            <w:pPr>
              <w:spacing w:before="136" w:line="223" w:lineRule="auto"/>
              <w:ind w:left="106"/>
              <w:rPr>
                <w:rFonts w:ascii="宋体" w:hAnsi="宋体" w:eastAsia="宋体" w:cs="宋体"/>
                <w:sz w:val="20"/>
                <w:szCs w:val="20"/>
              </w:rPr>
            </w:pPr>
            <w:r>
              <w:rPr>
                <w:rFonts w:ascii="宋体" w:hAnsi="宋体" w:eastAsia="宋体" w:cs="宋体"/>
                <w:spacing w:val="5"/>
                <w:sz w:val="20"/>
                <w:szCs w:val="20"/>
              </w:rPr>
              <w:t>其他项目费</w:t>
            </w:r>
          </w:p>
        </w:tc>
        <w:tc>
          <w:tcPr>
            <w:tcW w:w="4821" w:type="dxa"/>
            <w:tcBorders>
              <w:right w:val="single" w:color="000000" w:sz="4" w:space="0"/>
            </w:tcBorders>
            <w:vAlign w:val="top"/>
          </w:tcPr>
          <w:p>
            <w:pPr>
              <w:spacing w:before="149" w:line="265" w:lineRule="exact"/>
              <w:ind w:left="122"/>
              <w:rPr>
                <w:rFonts w:ascii="宋体" w:hAnsi="宋体" w:eastAsia="宋体" w:cs="宋体"/>
                <w:sz w:val="20"/>
                <w:szCs w:val="20"/>
              </w:rPr>
            </w:pPr>
            <w:r>
              <w:rPr>
                <w:rFonts w:ascii="宋体" w:hAnsi="宋体" w:eastAsia="宋体" w:cs="宋体"/>
                <w:spacing w:val="-8"/>
                <w:position w:val="1"/>
                <w:sz w:val="20"/>
                <w:szCs w:val="20"/>
              </w:rPr>
              <w:t>3.1</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3.2</w:t>
            </w:r>
            <w:r>
              <w:rPr>
                <w:rFonts w:ascii="宋体" w:hAnsi="宋体" w:eastAsia="宋体" w:cs="宋体"/>
                <w:spacing w:val="-55"/>
                <w:position w:val="1"/>
                <w:sz w:val="20"/>
                <w:szCs w:val="20"/>
              </w:rPr>
              <w:t xml:space="preserve"> </w:t>
            </w: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3.3+…+3.7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4"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4"/>
              <w:ind w:left="116"/>
              <w:rPr>
                <w:rFonts w:ascii="宋体" w:hAnsi="宋体" w:eastAsia="宋体" w:cs="宋体"/>
                <w:sz w:val="20"/>
                <w:szCs w:val="20"/>
              </w:rPr>
            </w:pPr>
            <w:r>
              <w:rPr>
                <w:rFonts w:ascii="宋体" w:hAnsi="宋体" w:eastAsia="宋体" w:cs="宋体"/>
                <w:spacing w:val="-8"/>
                <w:sz w:val="20"/>
                <w:szCs w:val="20"/>
              </w:rPr>
              <w:t>3.1</w:t>
            </w:r>
            <w:r>
              <w:rPr>
                <w:rFonts w:ascii="宋体" w:hAnsi="宋体" w:eastAsia="宋体" w:cs="宋体"/>
                <w:spacing w:val="-48"/>
                <w:sz w:val="20"/>
                <w:szCs w:val="20"/>
              </w:rPr>
              <w:t xml:space="preserve"> </w:t>
            </w:r>
            <w:r>
              <w:rPr>
                <w:rFonts w:ascii="宋体" w:hAnsi="宋体" w:eastAsia="宋体" w:cs="宋体"/>
                <w:spacing w:val="-8"/>
                <w:sz w:val="20"/>
                <w:szCs w:val="20"/>
              </w:rPr>
              <w:t>暂列金额</w:t>
            </w:r>
          </w:p>
        </w:tc>
        <w:tc>
          <w:tcPr>
            <w:tcW w:w="4821" w:type="dxa"/>
            <w:vMerge w:val="restart"/>
            <w:tcBorders>
              <w:bottom w:val="nil"/>
              <w:right w:val="single" w:color="000000" w:sz="4" w:space="0"/>
            </w:tcBorders>
            <w:vAlign w:val="top"/>
          </w:tcPr>
          <w:p>
            <w:pPr>
              <w:pStyle w:val="6"/>
              <w:spacing w:line="292" w:lineRule="auto"/>
            </w:pPr>
          </w:p>
          <w:p>
            <w:pPr>
              <w:pStyle w:val="6"/>
              <w:spacing w:line="292" w:lineRule="auto"/>
            </w:pPr>
          </w:p>
          <w:p>
            <w:pPr>
              <w:pStyle w:val="6"/>
              <w:spacing w:line="292" w:lineRule="auto"/>
            </w:pPr>
          </w:p>
          <w:p>
            <w:pPr>
              <w:spacing w:before="65" w:line="220" w:lineRule="auto"/>
              <w:ind w:left="117"/>
              <w:rPr>
                <w:rFonts w:ascii="宋体" w:hAnsi="宋体" w:eastAsia="宋体" w:cs="宋体"/>
                <w:sz w:val="20"/>
                <w:szCs w:val="20"/>
              </w:rPr>
            </w:pPr>
            <w:r>
              <w:rPr>
                <w:rFonts w:ascii="宋体" w:hAnsi="宋体" w:eastAsia="宋体" w:cs="宋体"/>
                <w:spacing w:val="7"/>
                <w:sz w:val="20"/>
                <w:szCs w:val="20"/>
              </w:rPr>
              <w:t>按第一章相应规定计算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2"/>
              <w:ind w:left="116"/>
              <w:rPr>
                <w:rFonts w:ascii="宋体" w:hAnsi="宋体" w:eastAsia="宋体" w:cs="宋体"/>
                <w:sz w:val="20"/>
                <w:szCs w:val="20"/>
              </w:rPr>
            </w:pPr>
            <w:r>
              <w:rPr>
                <w:rFonts w:ascii="宋体" w:hAnsi="宋体" w:eastAsia="宋体" w:cs="宋体"/>
                <w:spacing w:val="1"/>
                <w:sz w:val="20"/>
                <w:szCs w:val="20"/>
              </w:rPr>
              <w:t>3.2专业工程暂估价</w:t>
            </w:r>
          </w:p>
        </w:tc>
        <w:tc>
          <w:tcPr>
            <w:tcW w:w="4821"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7" w:line="239" w:lineRule="auto"/>
              <w:ind w:left="116"/>
              <w:rPr>
                <w:rFonts w:ascii="宋体" w:hAnsi="宋体" w:eastAsia="宋体" w:cs="宋体"/>
                <w:sz w:val="20"/>
                <w:szCs w:val="20"/>
              </w:rPr>
            </w:pPr>
            <w:r>
              <w:rPr>
                <w:rFonts w:ascii="宋体" w:hAnsi="宋体" w:eastAsia="宋体" w:cs="宋体"/>
                <w:spacing w:val="-3"/>
                <w:sz w:val="20"/>
                <w:szCs w:val="20"/>
              </w:rPr>
              <w:t>3.3计日工</w:t>
            </w:r>
          </w:p>
        </w:tc>
        <w:tc>
          <w:tcPr>
            <w:tcW w:w="4821"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7"/>
              <w:ind w:left="116"/>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44"/>
                <w:sz w:val="20"/>
                <w:szCs w:val="20"/>
              </w:rPr>
              <w:t xml:space="preserve"> </w:t>
            </w:r>
            <w:r>
              <w:rPr>
                <w:rFonts w:ascii="宋体" w:hAnsi="宋体" w:eastAsia="宋体" w:cs="宋体"/>
                <w:spacing w:val="-5"/>
                <w:sz w:val="20"/>
                <w:szCs w:val="20"/>
              </w:rPr>
              <w:t>总承包服务费</w:t>
            </w:r>
          </w:p>
        </w:tc>
        <w:tc>
          <w:tcPr>
            <w:tcW w:w="4821"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8" w:line="238" w:lineRule="auto"/>
              <w:ind w:left="116"/>
              <w:rPr>
                <w:rFonts w:ascii="宋体" w:hAnsi="宋体" w:eastAsia="宋体" w:cs="宋体"/>
                <w:sz w:val="20"/>
                <w:szCs w:val="20"/>
              </w:rPr>
            </w:pPr>
            <w:r>
              <w:rPr>
                <w:rFonts w:ascii="宋体" w:hAnsi="宋体" w:eastAsia="宋体" w:cs="宋体"/>
                <w:spacing w:val="-1"/>
                <w:sz w:val="20"/>
                <w:szCs w:val="20"/>
              </w:rPr>
              <w:t>3.5建设项目工伤保险</w:t>
            </w:r>
          </w:p>
        </w:tc>
        <w:tc>
          <w:tcPr>
            <w:tcW w:w="4821" w:type="dxa"/>
            <w:tcBorders>
              <w:right w:val="single" w:color="000000" w:sz="4" w:space="0"/>
            </w:tcBorders>
            <w:vAlign w:val="top"/>
          </w:tcPr>
          <w:p>
            <w:pPr>
              <w:spacing w:before="138" w:line="238" w:lineRule="auto"/>
              <w:ind w:left="119"/>
              <w:rPr>
                <w:rFonts w:ascii="宋体" w:hAnsi="宋体" w:eastAsia="宋体" w:cs="宋体"/>
                <w:sz w:val="20"/>
                <w:szCs w:val="20"/>
              </w:rPr>
            </w:pPr>
            <w:r>
              <w:rPr>
                <w:rFonts w:ascii="宋体" w:hAnsi="宋体" w:eastAsia="宋体" w:cs="宋体"/>
                <w:spacing w:val="-51"/>
                <w:sz w:val="20"/>
                <w:szCs w:val="20"/>
              </w:rPr>
              <w:t>［（</w:t>
            </w:r>
            <w:r>
              <w:rPr>
                <w:rFonts w:ascii="宋体" w:hAnsi="宋体" w:eastAsia="宋体" w:cs="宋体"/>
                <w:spacing w:val="-7"/>
                <w:sz w:val="20"/>
                <w:szCs w:val="20"/>
              </w:rPr>
              <w:t>一）+（二</w:t>
            </w:r>
            <w:r>
              <w:rPr>
                <w:rFonts w:ascii="宋体" w:hAnsi="宋体" w:eastAsia="宋体" w:cs="宋体"/>
                <w:spacing w:val="-50"/>
                <w:sz w:val="20"/>
                <w:szCs w:val="20"/>
              </w:rPr>
              <w:t xml:space="preserve"> </w:t>
            </w:r>
            <w:r>
              <w:rPr>
                <w:rFonts w:ascii="宋体" w:hAnsi="宋体" w:eastAsia="宋体" w:cs="宋体"/>
                <w:spacing w:val="-51"/>
                <w:sz w:val="20"/>
                <w:szCs w:val="20"/>
              </w:rPr>
              <w:t>）＋</w:t>
            </w:r>
            <w:r>
              <w:rPr>
                <w:rFonts w:ascii="宋体" w:hAnsi="宋体" w:eastAsia="宋体" w:cs="宋体"/>
                <w:spacing w:val="-7"/>
                <w:sz w:val="20"/>
                <w:szCs w:val="20"/>
              </w:rPr>
              <w:t>3.1＋3.2＋3.3＋3.4］</w:t>
            </w:r>
            <w:r>
              <w:rPr>
                <w:rFonts w:ascii="宋体" w:hAnsi="宋体" w:eastAsia="宋体" w:cs="宋体"/>
                <w:spacing w:val="-46"/>
                <w:sz w:val="20"/>
                <w:szCs w:val="20"/>
              </w:rPr>
              <w:t xml:space="preserve"> </w:t>
            </w:r>
            <w:r>
              <w:rPr>
                <w:rFonts w:ascii="宋体" w:hAnsi="宋体" w:eastAsia="宋体" w:cs="宋体"/>
                <w:spacing w:val="-7"/>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9"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39"/>
              <w:ind w:left="116"/>
              <w:rPr>
                <w:rFonts w:ascii="宋体" w:hAnsi="宋体" w:eastAsia="宋体" w:cs="宋体"/>
                <w:sz w:val="20"/>
                <w:szCs w:val="20"/>
              </w:rPr>
            </w:pPr>
            <w:r>
              <w:rPr>
                <w:rFonts w:ascii="宋体" w:hAnsi="宋体" w:eastAsia="宋体" w:cs="宋体"/>
                <w:sz w:val="20"/>
                <w:szCs w:val="20"/>
              </w:rPr>
              <w:t>3.6优质优价费</w:t>
            </w:r>
          </w:p>
        </w:tc>
        <w:tc>
          <w:tcPr>
            <w:tcW w:w="4821" w:type="dxa"/>
            <w:tcBorders>
              <w:right w:val="single" w:color="000000" w:sz="4" w:space="0"/>
            </w:tcBorders>
            <w:vAlign w:val="top"/>
          </w:tcPr>
          <w:p>
            <w:pPr>
              <w:spacing w:before="142" w:line="237" w:lineRule="auto"/>
              <w:ind w:left="119"/>
              <w:rPr>
                <w:rFonts w:ascii="宋体" w:hAnsi="宋体" w:eastAsia="宋体" w:cs="宋体"/>
                <w:sz w:val="20"/>
                <w:szCs w:val="20"/>
              </w:rPr>
            </w:pPr>
            <w:r>
              <w:rPr>
                <w:rFonts w:ascii="宋体" w:hAnsi="宋体" w:eastAsia="宋体" w:cs="宋体"/>
                <w:spacing w:val="-49"/>
                <w:sz w:val="20"/>
                <w:szCs w:val="20"/>
              </w:rPr>
              <w:t>［（</w:t>
            </w:r>
            <w:r>
              <w:rPr>
                <w:rFonts w:ascii="宋体" w:hAnsi="宋体" w:eastAsia="宋体" w:cs="宋体"/>
                <w:spacing w:val="-7"/>
                <w:sz w:val="20"/>
                <w:szCs w:val="20"/>
              </w:rPr>
              <w:t>一）+（二</w:t>
            </w:r>
            <w:r>
              <w:rPr>
                <w:rFonts w:ascii="宋体" w:hAnsi="宋体" w:eastAsia="宋体" w:cs="宋体"/>
                <w:spacing w:val="-53"/>
                <w:sz w:val="20"/>
                <w:szCs w:val="20"/>
              </w:rPr>
              <w:t xml:space="preserve"> </w:t>
            </w:r>
            <w:r>
              <w:rPr>
                <w:rFonts w:ascii="宋体" w:hAnsi="宋体" w:eastAsia="宋体" w:cs="宋体"/>
                <w:spacing w:val="-49"/>
                <w:sz w:val="20"/>
                <w:szCs w:val="20"/>
              </w:rPr>
              <w:t>）＋</w:t>
            </w:r>
            <w:r>
              <w:rPr>
                <w:rFonts w:ascii="宋体" w:hAnsi="宋体" w:eastAsia="宋体" w:cs="宋体"/>
                <w:spacing w:val="-7"/>
                <w:sz w:val="20"/>
                <w:szCs w:val="20"/>
              </w:rPr>
              <w:t>3.1＋3.3＋3.4］</w:t>
            </w:r>
            <w:r>
              <w:rPr>
                <w:rFonts w:ascii="宋体" w:hAnsi="宋体" w:eastAsia="宋体" w:cs="宋体"/>
                <w:spacing w:val="-51"/>
                <w:sz w:val="20"/>
                <w:szCs w:val="20"/>
              </w:rPr>
              <w:t xml:space="preserve"> </w:t>
            </w:r>
            <w:r>
              <w:rPr>
                <w:rFonts w:ascii="宋体" w:hAnsi="宋体" w:eastAsia="宋体" w:cs="宋体"/>
                <w:spacing w:val="-7"/>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trPr>
        <w:tc>
          <w:tcPr>
            <w:tcW w:w="892" w:type="dxa"/>
            <w:vMerge w:val="continue"/>
            <w:tcBorders>
              <w:top w:val="nil"/>
              <w:left w:val="single" w:color="000000" w:sz="4" w:space="0"/>
            </w:tcBorders>
            <w:vAlign w:val="top"/>
          </w:tcPr>
          <w:p>
            <w:pPr>
              <w:pStyle w:val="6"/>
            </w:pPr>
          </w:p>
        </w:tc>
        <w:tc>
          <w:tcPr>
            <w:tcW w:w="3366" w:type="dxa"/>
            <w:vAlign w:val="top"/>
          </w:tcPr>
          <w:p>
            <w:pPr>
              <w:spacing w:before="140" w:line="238" w:lineRule="auto"/>
              <w:ind w:left="116"/>
              <w:rPr>
                <w:rFonts w:ascii="宋体" w:hAnsi="宋体" w:eastAsia="宋体" w:cs="宋体"/>
                <w:sz w:val="20"/>
                <w:szCs w:val="20"/>
              </w:rPr>
            </w:pPr>
            <w:r>
              <w:rPr>
                <w:rFonts w:ascii="宋体" w:hAnsi="宋体" w:eastAsia="宋体" w:cs="宋体"/>
                <w:spacing w:val="-5"/>
                <w:sz w:val="20"/>
                <w:szCs w:val="20"/>
              </w:rPr>
              <w:t>3.7其他</w:t>
            </w:r>
          </w:p>
        </w:tc>
        <w:tc>
          <w:tcPr>
            <w:tcW w:w="4821" w:type="dxa"/>
            <w:tcBorders>
              <w:right w:val="single" w:color="000000" w:sz="4" w:space="0"/>
            </w:tcBorders>
            <w:vAlign w:val="top"/>
          </w:tcPr>
          <w:p>
            <w:pPr>
              <w:spacing w:before="145" w:line="220" w:lineRule="auto"/>
              <w:ind w:left="117"/>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2" w:hRule="atLeast"/>
        </w:trPr>
        <w:tc>
          <w:tcPr>
            <w:tcW w:w="892" w:type="dxa"/>
            <w:tcBorders>
              <w:left w:val="single" w:color="000000" w:sz="4" w:space="0"/>
            </w:tcBorders>
            <w:vAlign w:val="top"/>
          </w:tcPr>
          <w:p>
            <w:pPr>
              <w:spacing w:before="169" w:line="199" w:lineRule="auto"/>
              <w:ind w:left="396"/>
              <w:rPr>
                <w:rFonts w:ascii="宋体" w:hAnsi="宋体" w:eastAsia="宋体" w:cs="宋体"/>
                <w:sz w:val="20"/>
                <w:szCs w:val="20"/>
              </w:rPr>
            </w:pPr>
            <w:r>
              <w:rPr>
                <w:rFonts w:ascii="宋体" w:hAnsi="宋体" w:eastAsia="宋体" w:cs="宋体"/>
                <w:sz w:val="20"/>
                <w:szCs w:val="20"/>
              </w:rPr>
              <w:t>四</w:t>
            </w:r>
          </w:p>
        </w:tc>
        <w:tc>
          <w:tcPr>
            <w:tcW w:w="3366" w:type="dxa"/>
            <w:vAlign w:val="top"/>
          </w:tcPr>
          <w:p>
            <w:pPr>
              <w:spacing w:before="146" w:line="222" w:lineRule="auto"/>
              <w:ind w:left="106"/>
              <w:rPr>
                <w:rFonts w:ascii="宋体" w:hAnsi="宋体" w:eastAsia="宋体" w:cs="宋体"/>
                <w:sz w:val="20"/>
                <w:szCs w:val="20"/>
              </w:rPr>
            </w:pPr>
            <w:r>
              <w:rPr>
                <w:rFonts w:ascii="宋体" w:hAnsi="宋体" w:eastAsia="宋体" w:cs="宋体"/>
                <w:spacing w:val="4"/>
                <w:sz w:val="20"/>
                <w:szCs w:val="20"/>
              </w:rPr>
              <w:t>增值税</w:t>
            </w:r>
          </w:p>
        </w:tc>
        <w:tc>
          <w:tcPr>
            <w:tcW w:w="4821" w:type="dxa"/>
            <w:tcBorders>
              <w:right w:val="single" w:color="000000" w:sz="4" w:space="0"/>
            </w:tcBorders>
            <w:vAlign w:val="top"/>
          </w:tcPr>
          <w:p>
            <w:pPr>
              <w:spacing w:before="143" w:line="239" w:lineRule="auto"/>
              <w:ind w:left="119"/>
              <w:rPr>
                <w:rFonts w:ascii="宋体" w:hAnsi="宋体" w:eastAsia="宋体" w:cs="宋体"/>
                <w:sz w:val="20"/>
                <w:szCs w:val="20"/>
              </w:rPr>
            </w:pPr>
            <w:r>
              <w:rPr>
                <w:rFonts w:ascii="宋体" w:hAnsi="宋体" w:eastAsia="宋体" w:cs="宋体"/>
                <w:spacing w:val="-16"/>
                <w:sz w:val="20"/>
                <w:szCs w:val="20"/>
              </w:rPr>
              <w:t>［（</w:t>
            </w:r>
            <w:r>
              <w:rPr>
                <w:rFonts w:ascii="宋体" w:hAnsi="宋体" w:eastAsia="宋体" w:cs="宋体"/>
                <w:spacing w:val="-6"/>
                <w:sz w:val="20"/>
                <w:szCs w:val="20"/>
              </w:rPr>
              <w:t>一）+（二）+（三）-3.2</w:t>
            </w:r>
            <w:r>
              <w:rPr>
                <w:rFonts w:ascii="宋体" w:hAnsi="宋体" w:eastAsia="宋体" w:cs="宋体"/>
                <w:spacing w:val="-16"/>
                <w:sz w:val="20"/>
                <w:szCs w:val="20"/>
              </w:rPr>
              <w:t>）］</w:t>
            </w:r>
            <w:r>
              <w:rPr>
                <w:rFonts w:ascii="宋体" w:hAnsi="宋体" w:eastAsia="宋体" w:cs="宋体"/>
                <w:spacing w:val="-75"/>
                <w:sz w:val="20"/>
                <w:szCs w:val="20"/>
              </w:rPr>
              <w:t xml:space="preserve"> </w:t>
            </w:r>
            <w:r>
              <w:rPr>
                <w:rFonts w:ascii="宋体" w:hAnsi="宋体" w:eastAsia="宋体" w:cs="宋体"/>
                <w:spacing w:val="-6"/>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4" w:hRule="atLeast"/>
        </w:trPr>
        <w:tc>
          <w:tcPr>
            <w:tcW w:w="892" w:type="dxa"/>
            <w:tcBorders>
              <w:left w:val="single" w:color="000000" w:sz="4" w:space="0"/>
              <w:bottom w:val="single" w:color="000000" w:sz="4" w:space="0"/>
            </w:tcBorders>
            <w:vAlign w:val="top"/>
          </w:tcPr>
          <w:p>
            <w:pPr>
              <w:spacing w:before="176" w:line="201" w:lineRule="auto"/>
              <w:ind w:left="365"/>
              <w:rPr>
                <w:rFonts w:ascii="宋体" w:hAnsi="宋体" w:eastAsia="宋体" w:cs="宋体"/>
                <w:sz w:val="20"/>
                <w:szCs w:val="20"/>
              </w:rPr>
            </w:pPr>
            <w:r>
              <w:rPr>
                <w:rFonts w:ascii="宋体" w:hAnsi="宋体" w:eastAsia="宋体" w:cs="宋体"/>
                <w:sz w:val="20"/>
                <w:szCs w:val="20"/>
              </w:rPr>
              <w:t>五</w:t>
            </w:r>
          </w:p>
        </w:tc>
        <w:tc>
          <w:tcPr>
            <w:tcW w:w="3366" w:type="dxa"/>
            <w:tcBorders>
              <w:bottom w:val="single" w:color="000000" w:sz="4" w:space="0"/>
            </w:tcBorders>
            <w:vAlign w:val="top"/>
          </w:tcPr>
          <w:p>
            <w:pPr>
              <w:spacing w:before="146" w:line="223" w:lineRule="auto"/>
              <w:ind w:left="109"/>
              <w:rPr>
                <w:rFonts w:ascii="宋体" w:hAnsi="宋体" w:eastAsia="宋体" w:cs="宋体"/>
                <w:sz w:val="20"/>
                <w:szCs w:val="20"/>
              </w:rPr>
            </w:pPr>
            <w:r>
              <w:rPr>
                <w:rFonts w:ascii="宋体" w:hAnsi="宋体" w:eastAsia="宋体" w:cs="宋体"/>
                <w:spacing w:val="5"/>
                <w:sz w:val="20"/>
                <w:szCs w:val="20"/>
              </w:rPr>
              <w:t>建设工程费用合计</w:t>
            </w:r>
          </w:p>
        </w:tc>
        <w:tc>
          <w:tcPr>
            <w:tcW w:w="4821" w:type="dxa"/>
            <w:tcBorders>
              <w:bottom w:val="single" w:color="000000" w:sz="4" w:space="0"/>
              <w:right w:val="single" w:color="000000" w:sz="4" w:space="0"/>
            </w:tcBorders>
            <w:vAlign w:val="top"/>
          </w:tcPr>
          <w:p>
            <w:pPr>
              <w:spacing w:before="148" w:line="276" w:lineRule="exact"/>
              <w:ind w:left="116"/>
              <w:rPr>
                <w:rFonts w:ascii="宋体" w:hAnsi="宋体" w:eastAsia="宋体" w:cs="宋体"/>
                <w:sz w:val="20"/>
                <w:szCs w:val="20"/>
              </w:rPr>
            </w:pPr>
            <w:r>
              <w:rPr>
                <w:rFonts w:ascii="宋体" w:hAnsi="宋体" w:eastAsia="宋体" w:cs="宋体"/>
                <w:spacing w:val="-7"/>
                <w:position w:val="1"/>
                <w:sz w:val="20"/>
                <w:szCs w:val="20"/>
              </w:rPr>
              <w:t>（一）+（二）+（三）+（四）</w:t>
            </w:r>
          </w:p>
        </w:tc>
      </w:tr>
    </w:tbl>
    <w:p>
      <w:pPr>
        <w:spacing w:before="121" w:line="277" w:lineRule="exact"/>
        <w:ind w:left="155"/>
        <w:rPr>
          <w:rFonts w:ascii="宋体" w:hAnsi="宋体" w:eastAsia="宋体" w:cs="宋体"/>
          <w:sz w:val="20"/>
          <w:szCs w:val="20"/>
        </w:rPr>
      </w:pPr>
      <w:r>
        <w:rPr>
          <w:rFonts w:ascii="宋体" w:hAnsi="宋体" w:eastAsia="宋体" w:cs="宋体"/>
          <w:spacing w:val="-8"/>
          <w:position w:val="1"/>
          <w:sz w:val="20"/>
          <w:szCs w:val="20"/>
        </w:rPr>
        <w:t>附表：</w:t>
      </w:r>
    </w:p>
    <w:p>
      <w:pPr>
        <w:spacing w:line="71" w:lineRule="exact"/>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2"/>
        <w:gridCol w:w="3366"/>
        <w:gridCol w:w="48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892" w:type="dxa"/>
            <w:vMerge w:val="restart"/>
            <w:tcBorders>
              <w:top w:val="single" w:color="000000" w:sz="4" w:space="0"/>
              <w:left w:val="single" w:color="000000" w:sz="4" w:space="0"/>
              <w:bottom w:val="nil"/>
            </w:tcBorders>
            <w:vAlign w:val="top"/>
          </w:tcPr>
          <w:p>
            <w:pPr>
              <w:pStyle w:val="6"/>
              <w:spacing w:line="320" w:lineRule="auto"/>
            </w:pPr>
          </w:p>
          <w:p>
            <w:pPr>
              <w:pStyle w:val="6"/>
              <w:spacing w:line="321" w:lineRule="auto"/>
            </w:pPr>
          </w:p>
          <w:p>
            <w:pPr>
              <w:spacing w:before="65" w:line="189" w:lineRule="auto"/>
              <w:ind w:left="418"/>
              <w:rPr>
                <w:rFonts w:ascii="宋体" w:hAnsi="宋体" w:eastAsia="宋体" w:cs="宋体"/>
                <w:sz w:val="20"/>
                <w:szCs w:val="20"/>
              </w:rPr>
            </w:pPr>
            <w:r>
              <w:rPr>
                <w:rFonts w:ascii="宋体" w:hAnsi="宋体" w:eastAsia="宋体" w:cs="宋体"/>
                <w:spacing w:val="6"/>
                <w:w w:val="127"/>
                <w:sz w:val="20"/>
                <w:szCs w:val="20"/>
              </w:rPr>
              <w:t>A</w:t>
            </w:r>
          </w:p>
        </w:tc>
        <w:tc>
          <w:tcPr>
            <w:tcW w:w="3366" w:type="dxa"/>
            <w:tcBorders>
              <w:top w:val="single" w:color="000000" w:sz="4" w:space="0"/>
            </w:tcBorders>
            <w:vAlign w:val="top"/>
          </w:tcPr>
          <w:p>
            <w:pPr>
              <w:spacing w:before="136" w:line="221" w:lineRule="auto"/>
              <w:ind w:left="130"/>
              <w:rPr>
                <w:rFonts w:ascii="宋体" w:hAnsi="宋体" w:eastAsia="宋体" w:cs="宋体"/>
                <w:sz w:val="20"/>
                <w:szCs w:val="20"/>
              </w:rPr>
            </w:pPr>
            <w:r>
              <w:rPr>
                <w:rFonts w:ascii="宋体" w:hAnsi="宋体" w:eastAsia="宋体" w:cs="宋体"/>
                <w:spacing w:val="7"/>
                <w:sz w:val="20"/>
                <w:szCs w:val="20"/>
              </w:rPr>
              <w:t>另行计算的费用项目</w:t>
            </w:r>
          </w:p>
        </w:tc>
        <w:tc>
          <w:tcPr>
            <w:tcW w:w="4821" w:type="dxa"/>
            <w:tcBorders>
              <w:top w:val="single" w:color="000000" w:sz="4" w:space="0"/>
              <w:right w:val="single" w:color="000000" w:sz="4" w:space="0"/>
            </w:tcBorders>
            <w:vAlign w:val="top"/>
          </w:tcPr>
          <w:p>
            <w:pPr>
              <w:spacing w:before="137" w:line="223" w:lineRule="auto"/>
              <w:ind w:left="137"/>
              <w:rPr>
                <w:rFonts w:ascii="宋体" w:hAnsi="宋体" w:eastAsia="宋体" w:cs="宋体"/>
                <w:sz w:val="20"/>
                <w:szCs w:val="20"/>
              </w:rPr>
            </w:pPr>
            <w:r>
              <w:rPr>
                <w:rFonts w:ascii="宋体" w:hAnsi="宋体" w:eastAsia="宋体" w:cs="宋体"/>
                <w:spacing w:val="-10"/>
                <w:sz w:val="20"/>
                <w:szCs w:val="20"/>
              </w:rPr>
              <w:t>不计入建设工程费用合计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8" w:hRule="atLeast"/>
        </w:trPr>
        <w:tc>
          <w:tcPr>
            <w:tcW w:w="892" w:type="dxa"/>
            <w:vMerge w:val="continue"/>
            <w:tcBorders>
              <w:top w:val="nil"/>
              <w:left w:val="single" w:color="000000" w:sz="4" w:space="0"/>
              <w:bottom w:val="nil"/>
            </w:tcBorders>
            <w:vAlign w:val="top"/>
          </w:tcPr>
          <w:p>
            <w:pPr>
              <w:pStyle w:val="6"/>
            </w:pPr>
          </w:p>
        </w:tc>
        <w:tc>
          <w:tcPr>
            <w:tcW w:w="3366" w:type="dxa"/>
            <w:vAlign w:val="top"/>
          </w:tcPr>
          <w:p>
            <w:pPr>
              <w:spacing w:before="127"/>
              <w:ind w:left="122"/>
              <w:rPr>
                <w:rFonts w:ascii="宋体" w:hAnsi="宋体" w:eastAsia="宋体" w:cs="宋体"/>
                <w:sz w:val="20"/>
                <w:szCs w:val="20"/>
              </w:rPr>
            </w:pPr>
            <w:r>
              <w:rPr>
                <w:rFonts w:ascii="宋体" w:hAnsi="宋体" w:eastAsia="宋体" w:cs="宋体"/>
                <w:spacing w:val="4"/>
                <w:sz w:val="20"/>
                <w:szCs w:val="20"/>
              </w:rPr>
              <w:t>A.1</w:t>
            </w:r>
            <w:r>
              <w:rPr>
                <w:rFonts w:ascii="宋体" w:hAnsi="宋体" w:eastAsia="宋体" w:cs="宋体"/>
                <w:spacing w:val="-51"/>
                <w:sz w:val="20"/>
                <w:szCs w:val="20"/>
              </w:rPr>
              <w:t xml:space="preserve"> </w:t>
            </w:r>
            <w:r>
              <w:rPr>
                <w:rFonts w:ascii="宋体" w:hAnsi="宋体" w:eastAsia="宋体" w:cs="宋体"/>
                <w:spacing w:val="4"/>
                <w:sz w:val="20"/>
                <w:szCs w:val="20"/>
              </w:rPr>
              <w:t>发包人提供的材料费</w:t>
            </w:r>
          </w:p>
        </w:tc>
        <w:tc>
          <w:tcPr>
            <w:tcW w:w="4821" w:type="dxa"/>
            <w:tcBorders>
              <w:right w:val="single" w:color="000000" w:sz="4" w:space="0"/>
            </w:tcBorders>
            <w:vAlign w:val="top"/>
          </w:tcPr>
          <w:p>
            <w:pPr>
              <w:spacing w:before="127"/>
              <w:ind w:left="133"/>
              <w:rPr>
                <w:rFonts w:ascii="宋体" w:hAnsi="宋体" w:eastAsia="宋体" w:cs="宋体"/>
                <w:sz w:val="20"/>
                <w:szCs w:val="20"/>
              </w:rPr>
            </w:pPr>
            <w:r>
              <w:rPr>
                <w:rFonts w:ascii="宋体" w:hAnsi="宋体" w:eastAsia="宋体" w:cs="宋体"/>
                <w:spacing w:val="-5"/>
                <w:sz w:val="20"/>
                <w:szCs w:val="20"/>
              </w:rPr>
              <w:t>作为</w:t>
            </w:r>
            <w:r>
              <w:rPr>
                <w:rFonts w:ascii="宋体" w:hAnsi="宋体" w:eastAsia="宋体" w:cs="宋体"/>
                <w:spacing w:val="-31"/>
                <w:sz w:val="20"/>
                <w:szCs w:val="20"/>
              </w:rPr>
              <w:t xml:space="preserve"> </w:t>
            </w:r>
            <w:r>
              <w:rPr>
                <w:rFonts w:ascii="宋体" w:hAnsi="宋体" w:eastAsia="宋体" w:cs="宋体"/>
                <w:spacing w:val="-5"/>
                <w:sz w:val="20"/>
                <w:szCs w:val="20"/>
              </w:rPr>
              <w:t>2.3</w:t>
            </w:r>
            <w:r>
              <w:rPr>
                <w:rFonts w:ascii="宋体" w:hAnsi="宋体" w:eastAsia="宋体" w:cs="宋体"/>
                <w:spacing w:val="-34"/>
                <w:sz w:val="20"/>
                <w:szCs w:val="20"/>
              </w:rPr>
              <w:t xml:space="preserve"> </w:t>
            </w:r>
            <w:r>
              <w:rPr>
                <w:rFonts w:ascii="宋体" w:hAnsi="宋体" w:eastAsia="宋体" w:cs="宋体"/>
                <w:spacing w:val="-5"/>
                <w:sz w:val="20"/>
                <w:szCs w:val="20"/>
              </w:rPr>
              <w:t>和</w:t>
            </w:r>
            <w:r>
              <w:rPr>
                <w:rFonts w:ascii="宋体" w:hAnsi="宋体" w:eastAsia="宋体" w:cs="宋体"/>
                <w:spacing w:val="-39"/>
                <w:sz w:val="20"/>
                <w:szCs w:val="20"/>
              </w:rPr>
              <w:t xml:space="preserve"> </w:t>
            </w:r>
            <w:r>
              <w:rPr>
                <w:rFonts w:ascii="宋体" w:hAnsi="宋体" w:eastAsia="宋体" w:cs="宋体"/>
                <w:spacing w:val="-5"/>
                <w:sz w:val="20"/>
                <w:szCs w:val="20"/>
              </w:rPr>
              <w:t>3.4</w:t>
            </w:r>
            <w:r>
              <w:rPr>
                <w:rFonts w:ascii="宋体" w:hAnsi="宋体" w:eastAsia="宋体" w:cs="宋体"/>
                <w:spacing w:val="-43"/>
                <w:sz w:val="20"/>
                <w:szCs w:val="20"/>
              </w:rPr>
              <w:t xml:space="preserve"> </w:t>
            </w:r>
            <w:r>
              <w:rPr>
                <w:rFonts w:ascii="宋体" w:hAnsi="宋体" w:eastAsia="宋体" w:cs="宋体"/>
                <w:spacing w:val="-5"/>
                <w:sz w:val="20"/>
                <w:szCs w:val="20"/>
              </w:rPr>
              <w:t>的计算基础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892" w:type="dxa"/>
            <w:vMerge w:val="continue"/>
            <w:tcBorders>
              <w:top w:val="nil"/>
              <w:left w:val="single" w:color="000000" w:sz="4" w:space="0"/>
              <w:bottom w:val="single" w:color="000000" w:sz="4" w:space="0"/>
            </w:tcBorders>
            <w:vAlign w:val="top"/>
          </w:tcPr>
          <w:p>
            <w:pPr>
              <w:pStyle w:val="6"/>
            </w:pPr>
          </w:p>
        </w:tc>
        <w:tc>
          <w:tcPr>
            <w:tcW w:w="3366" w:type="dxa"/>
            <w:tcBorders>
              <w:bottom w:val="single" w:color="000000" w:sz="4" w:space="0"/>
            </w:tcBorders>
            <w:vAlign w:val="top"/>
          </w:tcPr>
          <w:p>
            <w:pPr>
              <w:spacing w:before="135" w:line="273" w:lineRule="exact"/>
              <w:ind w:left="122"/>
              <w:rPr>
                <w:rFonts w:ascii="宋体" w:hAnsi="宋体" w:eastAsia="宋体" w:cs="宋体"/>
                <w:sz w:val="20"/>
                <w:szCs w:val="20"/>
              </w:rPr>
            </w:pPr>
            <w:r>
              <w:rPr>
                <w:rFonts w:ascii="宋体" w:hAnsi="宋体" w:eastAsia="宋体" w:cs="宋体"/>
                <w:spacing w:val="5"/>
                <w:position w:val="1"/>
                <w:sz w:val="20"/>
                <w:szCs w:val="20"/>
              </w:rPr>
              <w:t>A.2</w:t>
            </w:r>
            <w:r>
              <w:rPr>
                <w:rFonts w:ascii="宋体" w:hAnsi="宋体" w:eastAsia="宋体" w:cs="宋体"/>
                <w:spacing w:val="-43"/>
                <w:position w:val="1"/>
                <w:sz w:val="20"/>
                <w:szCs w:val="20"/>
              </w:rPr>
              <w:t xml:space="preserve"> </w:t>
            </w:r>
            <w:r>
              <w:rPr>
                <w:rFonts w:ascii="宋体" w:hAnsi="宋体" w:eastAsia="宋体" w:cs="宋体"/>
                <w:spacing w:val="5"/>
                <w:position w:val="1"/>
                <w:sz w:val="20"/>
                <w:szCs w:val="20"/>
              </w:rPr>
              <w:t>发包人直接发包的专业工程费</w:t>
            </w:r>
          </w:p>
        </w:tc>
        <w:tc>
          <w:tcPr>
            <w:tcW w:w="4821" w:type="dxa"/>
            <w:tcBorders>
              <w:bottom w:val="single" w:color="000000" w:sz="4" w:space="0"/>
              <w:right w:val="single" w:color="000000" w:sz="4" w:space="0"/>
            </w:tcBorders>
            <w:vAlign w:val="top"/>
          </w:tcPr>
          <w:p>
            <w:pPr>
              <w:spacing w:before="135" w:line="273" w:lineRule="exact"/>
              <w:ind w:left="133"/>
              <w:rPr>
                <w:rFonts w:ascii="宋体" w:hAnsi="宋体" w:eastAsia="宋体" w:cs="宋体"/>
                <w:sz w:val="20"/>
                <w:szCs w:val="20"/>
              </w:rPr>
            </w:pPr>
            <w:r>
              <w:rPr>
                <w:rFonts w:ascii="宋体" w:hAnsi="宋体" w:eastAsia="宋体" w:cs="宋体"/>
                <w:spacing w:val="-8"/>
                <w:position w:val="1"/>
                <w:sz w:val="20"/>
                <w:szCs w:val="20"/>
              </w:rPr>
              <w:t>作为3.4的计算依据</w:t>
            </w:r>
          </w:p>
        </w:tc>
      </w:tr>
    </w:tbl>
    <w:p>
      <w:pPr>
        <w:rPr>
          <w:rFonts w:ascii="Arial"/>
          <w:sz w:val="21"/>
        </w:rPr>
      </w:pPr>
    </w:p>
    <w:p>
      <w:pPr>
        <w:rPr>
          <w:rFonts w:ascii="Arial" w:hAnsi="Arial" w:eastAsia="Arial" w:cs="Arial"/>
          <w:sz w:val="21"/>
          <w:szCs w:val="21"/>
        </w:rPr>
        <w:sectPr>
          <w:footerReference r:id="rId214" w:type="default"/>
          <w:pgSz w:w="11905" w:h="16840"/>
          <w:pgMar w:top="400" w:right="1398" w:bottom="1213" w:left="1416" w:header="0" w:footer="898" w:gutter="0"/>
        </w:sectPr>
      </w:pPr>
    </w:p>
    <w:p>
      <w:pPr>
        <w:spacing w:line="317" w:lineRule="auto"/>
        <w:rPr>
          <w:rFonts w:ascii="Arial"/>
          <w:sz w:val="21"/>
        </w:rPr>
      </w:pPr>
    </w:p>
    <w:p>
      <w:pPr>
        <w:spacing w:line="317" w:lineRule="auto"/>
        <w:rPr>
          <w:rFonts w:ascii="Arial"/>
          <w:sz w:val="21"/>
        </w:rPr>
      </w:pPr>
    </w:p>
    <w:p>
      <w:pPr>
        <w:spacing w:line="317" w:lineRule="auto"/>
        <w:rPr>
          <w:rFonts w:ascii="Arial"/>
          <w:sz w:val="21"/>
        </w:rPr>
      </w:pPr>
    </w:p>
    <w:p>
      <w:pPr>
        <w:pStyle w:val="2"/>
        <w:spacing w:before="86" w:line="209" w:lineRule="auto"/>
        <w:ind w:left="431"/>
        <w:rPr>
          <w:sz w:val="20"/>
          <w:szCs w:val="20"/>
        </w:rPr>
      </w:pPr>
      <w:r>
        <w:rPr>
          <w:spacing w:val="8"/>
          <w:sz w:val="20"/>
          <w:szCs w:val="20"/>
        </w:rPr>
        <w:t>工程招投标阶段计算程序说明：</w:t>
      </w:r>
    </w:p>
    <w:p>
      <w:pPr>
        <w:spacing w:before="107" w:line="312" w:lineRule="auto"/>
        <w:ind w:left="4" w:firstLine="449"/>
        <w:rPr>
          <w:rFonts w:ascii="宋体" w:hAnsi="宋体" w:eastAsia="宋体" w:cs="宋体"/>
          <w:sz w:val="20"/>
          <w:szCs w:val="20"/>
        </w:rPr>
      </w:pPr>
      <w:r>
        <w:rPr>
          <w:rFonts w:ascii="宋体" w:hAnsi="宋体" w:eastAsia="宋体" w:cs="宋体"/>
          <w:spacing w:val="9"/>
          <w:sz w:val="20"/>
          <w:szCs w:val="20"/>
        </w:rPr>
        <w:t>1. 对于建筑、装饰、安装、园林绿化、房屋修缮、古建筑修缮、仿古建筑工程，计费基础 1=</w:t>
      </w:r>
      <w:r>
        <w:rPr>
          <w:rFonts w:ascii="宋体" w:hAnsi="宋体" w:eastAsia="宋体" w:cs="宋体"/>
          <w:spacing w:val="5"/>
          <w:sz w:val="20"/>
          <w:szCs w:val="20"/>
        </w:rPr>
        <w:t xml:space="preserve">分部分项工程量清单综合单价中的“人工费 ”，计费基础 2=分部分项工程费中的“人工费合计 </w:t>
      </w:r>
      <w:r>
        <w:rPr>
          <w:rFonts w:ascii="宋体" w:hAnsi="宋体" w:eastAsia="宋体" w:cs="宋体"/>
          <w:spacing w:val="4"/>
          <w:sz w:val="20"/>
          <w:szCs w:val="20"/>
        </w:rPr>
        <w:t>”。</w:t>
      </w:r>
    </w:p>
    <w:p>
      <w:pPr>
        <w:spacing w:before="121" w:line="313" w:lineRule="auto"/>
        <w:ind w:right="74" w:firstLine="425"/>
        <w:rPr>
          <w:rFonts w:ascii="宋体" w:hAnsi="宋体" w:eastAsia="宋体" w:cs="宋体"/>
          <w:sz w:val="20"/>
          <w:szCs w:val="20"/>
        </w:rPr>
      </w:pPr>
      <w:r>
        <w:rPr>
          <w:rFonts w:ascii="宋体" w:hAnsi="宋体" w:eastAsia="宋体" w:cs="宋体"/>
          <w:spacing w:val="7"/>
          <w:sz w:val="20"/>
          <w:szCs w:val="20"/>
        </w:rPr>
        <w:t>2. 对于市政、市政养护维修工程，计费基础</w:t>
      </w:r>
      <w:r>
        <w:rPr>
          <w:rFonts w:ascii="宋体" w:hAnsi="宋体" w:eastAsia="宋体" w:cs="宋体"/>
          <w:spacing w:val="30"/>
          <w:sz w:val="20"/>
          <w:szCs w:val="20"/>
        </w:rPr>
        <w:t xml:space="preserve"> </w:t>
      </w:r>
      <w:r>
        <w:rPr>
          <w:rFonts w:ascii="宋体" w:hAnsi="宋体" w:eastAsia="宋体" w:cs="宋体"/>
          <w:spacing w:val="7"/>
          <w:sz w:val="20"/>
          <w:szCs w:val="20"/>
        </w:rPr>
        <w:t>1=分部分项工程量清单综合单价中的“人工费+施</w:t>
      </w:r>
      <w:r>
        <w:rPr>
          <w:rFonts w:ascii="宋体" w:hAnsi="宋体" w:eastAsia="宋体" w:cs="宋体"/>
          <w:spacing w:val="9"/>
          <w:sz w:val="20"/>
          <w:szCs w:val="20"/>
        </w:rPr>
        <w:t>工机具使用费 ”</w:t>
      </w:r>
      <w:r>
        <w:rPr>
          <w:rFonts w:ascii="宋体" w:hAnsi="宋体" w:eastAsia="宋体" w:cs="宋体"/>
          <w:spacing w:val="-60"/>
          <w:sz w:val="20"/>
          <w:szCs w:val="20"/>
        </w:rPr>
        <w:t xml:space="preserve"> </w:t>
      </w:r>
      <w:r>
        <w:rPr>
          <w:rFonts w:ascii="宋体" w:hAnsi="宋体" w:eastAsia="宋体" w:cs="宋体"/>
          <w:spacing w:val="9"/>
          <w:sz w:val="20"/>
          <w:szCs w:val="20"/>
        </w:rPr>
        <w:t>；计费基础 2=分部分项工程费中的“人工费合计+施工机具使用费合计 ”。</w:t>
      </w:r>
    </w:p>
    <w:p>
      <w:pPr>
        <w:spacing w:before="124" w:line="296" w:lineRule="auto"/>
        <w:ind w:left="40" w:right="88" w:firstLine="388"/>
        <w:rPr>
          <w:rFonts w:ascii="宋体" w:hAnsi="宋体" w:eastAsia="宋体" w:cs="宋体"/>
          <w:sz w:val="20"/>
          <w:szCs w:val="20"/>
        </w:rPr>
      </w:pPr>
      <w:r>
        <w:rPr>
          <w:rFonts w:ascii="宋体" w:hAnsi="宋体" w:eastAsia="宋体" w:cs="宋体"/>
          <w:spacing w:val="8"/>
          <w:sz w:val="20"/>
          <w:szCs w:val="20"/>
        </w:rPr>
        <w:t>3. 通用措施项目费和以费率计价的专业</w:t>
      </w:r>
      <w:r>
        <w:rPr>
          <w:rFonts w:ascii="宋体" w:hAnsi="宋体" w:eastAsia="宋体" w:cs="宋体"/>
          <w:spacing w:val="7"/>
          <w:sz w:val="20"/>
          <w:szCs w:val="20"/>
        </w:rPr>
        <w:t>措施项目费，其费率已包含相应的企业管理费和利润。</w:t>
      </w:r>
      <w:r>
        <w:rPr>
          <w:rFonts w:ascii="宋体" w:hAnsi="宋体" w:eastAsia="宋体" w:cs="宋体"/>
          <w:spacing w:val="9"/>
          <w:sz w:val="20"/>
          <w:szCs w:val="20"/>
        </w:rPr>
        <w:t>以单价计价形成的专业措施项目，应包含相应的企业管理费</w:t>
      </w:r>
      <w:r>
        <w:rPr>
          <w:rFonts w:ascii="宋体" w:hAnsi="宋体" w:eastAsia="宋体" w:cs="宋体"/>
          <w:spacing w:val="8"/>
          <w:sz w:val="20"/>
          <w:szCs w:val="20"/>
        </w:rPr>
        <w:t>和利润。</w:t>
      </w:r>
    </w:p>
    <w:p>
      <w:pPr>
        <w:spacing w:before="157" w:line="277" w:lineRule="exact"/>
        <w:ind w:left="417"/>
        <w:rPr>
          <w:rFonts w:ascii="宋体" w:hAnsi="宋体" w:eastAsia="宋体" w:cs="宋体"/>
          <w:sz w:val="20"/>
          <w:szCs w:val="20"/>
        </w:rPr>
      </w:pPr>
      <w:r>
        <w:rPr>
          <w:rFonts w:ascii="宋体" w:hAnsi="宋体" w:eastAsia="宋体" w:cs="宋体"/>
          <w:spacing w:val="5"/>
          <w:position w:val="1"/>
          <w:sz w:val="20"/>
          <w:szCs w:val="20"/>
        </w:rPr>
        <w:t>4. 发包人提供材料不计入材料费。</w:t>
      </w:r>
    </w:p>
    <w:p>
      <w:pPr>
        <w:spacing w:before="124" w:line="296" w:lineRule="auto"/>
        <w:ind w:right="74" w:firstLine="424"/>
        <w:rPr>
          <w:rFonts w:ascii="宋体" w:hAnsi="宋体" w:eastAsia="宋体" w:cs="宋体"/>
          <w:sz w:val="20"/>
          <w:szCs w:val="20"/>
        </w:rPr>
      </w:pPr>
      <w:r>
        <w:rPr>
          <w:rFonts w:ascii="宋体" w:hAnsi="宋体" w:eastAsia="宋体" w:cs="宋体"/>
          <w:spacing w:val="8"/>
          <w:sz w:val="20"/>
          <w:szCs w:val="20"/>
        </w:rPr>
        <w:t>5. 建筑工程智慧工地建设费用除增值税外不计取其他费用；市政工程智慧工地建</w:t>
      </w:r>
      <w:r>
        <w:rPr>
          <w:rFonts w:ascii="宋体" w:hAnsi="宋体" w:eastAsia="宋体" w:cs="宋体"/>
          <w:spacing w:val="7"/>
          <w:sz w:val="20"/>
          <w:szCs w:val="20"/>
        </w:rPr>
        <w:t>设费用是包含</w:t>
      </w:r>
      <w:r>
        <w:rPr>
          <w:rFonts w:ascii="宋体" w:hAnsi="宋体" w:eastAsia="宋体" w:cs="宋体"/>
          <w:spacing w:val="10"/>
          <w:sz w:val="20"/>
          <w:szCs w:val="20"/>
        </w:rPr>
        <w:t>增值税在内的全费用价格，直接汇总至“建设工程费用合计 ”。</w:t>
      </w:r>
    </w:p>
    <w:p>
      <w:pPr>
        <w:spacing w:before="157" w:line="321" w:lineRule="auto"/>
        <w:ind w:left="4" w:right="72" w:firstLine="419"/>
        <w:rPr>
          <w:rFonts w:ascii="宋体" w:hAnsi="宋体" w:eastAsia="宋体" w:cs="宋体"/>
          <w:sz w:val="20"/>
          <w:szCs w:val="20"/>
        </w:rPr>
      </w:pPr>
      <w:r>
        <w:rPr>
          <w:rFonts w:ascii="宋体" w:hAnsi="宋体" w:eastAsia="宋体" w:cs="宋体"/>
          <w:spacing w:val="8"/>
          <w:sz w:val="20"/>
          <w:szCs w:val="20"/>
        </w:rPr>
        <w:t>6. 总承包人的建设项目工伤保险费的计费基础包括合同范围内专业分包工程，合同</w:t>
      </w:r>
      <w:r>
        <w:rPr>
          <w:rFonts w:ascii="宋体" w:hAnsi="宋体" w:eastAsia="宋体" w:cs="宋体"/>
          <w:spacing w:val="7"/>
          <w:sz w:val="20"/>
          <w:szCs w:val="20"/>
        </w:rPr>
        <w:t>范围内专业</w:t>
      </w:r>
      <w:r>
        <w:rPr>
          <w:rFonts w:ascii="宋体" w:hAnsi="宋体" w:eastAsia="宋体" w:cs="宋体"/>
          <w:spacing w:val="11"/>
          <w:sz w:val="20"/>
          <w:szCs w:val="20"/>
        </w:rPr>
        <w:t>分包工程的费用中不再重复计列。发包人直接发包的专业工程，建设项</w:t>
      </w:r>
      <w:r>
        <w:rPr>
          <w:rFonts w:ascii="宋体" w:hAnsi="宋体" w:eastAsia="宋体" w:cs="宋体"/>
          <w:spacing w:val="10"/>
          <w:sz w:val="20"/>
          <w:szCs w:val="20"/>
        </w:rPr>
        <w:t>目工伤保险在其工程费用中</w:t>
      </w:r>
      <w:r>
        <w:rPr>
          <w:rFonts w:ascii="宋体" w:hAnsi="宋体" w:eastAsia="宋体" w:cs="宋体"/>
          <w:spacing w:val="6"/>
          <w:sz w:val="20"/>
          <w:szCs w:val="20"/>
        </w:rPr>
        <w:t>另行计取。</w:t>
      </w:r>
    </w:p>
    <w:p>
      <w:pPr>
        <w:spacing w:before="156" w:line="321" w:lineRule="auto"/>
        <w:ind w:left="2" w:right="72" w:firstLine="421"/>
        <w:rPr>
          <w:rFonts w:ascii="宋体" w:hAnsi="宋体" w:eastAsia="宋体" w:cs="宋体"/>
          <w:sz w:val="20"/>
          <w:szCs w:val="20"/>
        </w:rPr>
      </w:pPr>
      <w:r>
        <w:rPr>
          <w:rFonts w:ascii="宋体" w:hAnsi="宋体" w:eastAsia="宋体" w:cs="宋体"/>
          <w:spacing w:val="13"/>
          <w:sz w:val="20"/>
          <w:szCs w:val="20"/>
        </w:rPr>
        <w:t>7. 总承包人的优质优价费的计费基础不包括合同范围内专业分包工程和发包</w:t>
      </w:r>
      <w:r>
        <w:rPr>
          <w:rFonts w:ascii="宋体" w:hAnsi="宋体" w:eastAsia="宋体" w:cs="宋体"/>
          <w:spacing w:val="12"/>
          <w:sz w:val="20"/>
          <w:szCs w:val="20"/>
        </w:rPr>
        <w:t>人直接发包的专</w:t>
      </w:r>
      <w:r>
        <w:rPr>
          <w:rFonts w:ascii="宋体" w:hAnsi="宋体" w:eastAsia="宋体" w:cs="宋体"/>
          <w:spacing w:val="11"/>
          <w:sz w:val="20"/>
          <w:szCs w:val="20"/>
        </w:rPr>
        <w:t>业工程。工程有创奖要求的，合同范围内专业分包工程和发包人直接发包的</w:t>
      </w:r>
      <w:r>
        <w:rPr>
          <w:rFonts w:ascii="宋体" w:hAnsi="宋体" w:eastAsia="宋体" w:cs="宋体"/>
          <w:spacing w:val="10"/>
          <w:sz w:val="20"/>
          <w:szCs w:val="20"/>
        </w:rPr>
        <w:t>专业工程应按创建目标</w:t>
      </w:r>
      <w:r>
        <w:rPr>
          <w:rFonts w:ascii="宋体" w:hAnsi="宋体" w:eastAsia="宋体" w:cs="宋体"/>
          <w:spacing w:val="8"/>
          <w:sz w:val="20"/>
          <w:szCs w:val="20"/>
        </w:rPr>
        <w:t>计列优质优价费。</w:t>
      </w:r>
    </w:p>
    <w:p>
      <w:pPr>
        <w:spacing w:line="321" w:lineRule="auto"/>
        <w:rPr>
          <w:rFonts w:ascii="宋体" w:hAnsi="宋体" w:eastAsia="宋体" w:cs="宋体"/>
          <w:sz w:val="20"/>
          <w:szCs w:val="20"/>
        </w:rPr>
        <w:sectPr>
          <w:footerReference r:id="rId215" w:type="default"/>
          <w:pgSz w:w="11905" w:h="16840"/>
          <w:pgMar w:top="400" w:right="1344" w:bottom="1213" w:left="1420" w:header="0" w:footer="898" w:gutter="0"/>
        </w:sect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8" w:line="222" w:lineRule="auto"/>
        <w:ind w:left="485"/>
        <w:rPr>
          <w:rFonts w:ascii="黑体" w:hAnsi="黑体" w:eastAsia="黑体" w:cs="黑体"/>
          <w:sz w:val="24"/>
          <w:szCs w:val="24"/>
        </w:rPr>
      </w:pPr>
      <w:r>
        <w:rPr>
          <w:rFonts w:ascii="黑体" w:hAnsi="黑体" w:eastAsia="黑体" w:cs="黑体"/>
          <w:spacing w:val="-5"/>
          <w:sz w:val="24"/>
          <w:szCs w:val="24"/>
        </w:rPr>
        <w:t>二、工程结算阶段</w:t>
      </w:r>
    </w:p>
    <w:p>
      <w:pPr>
        <w:spacing w:line="98" w:lineRule="exact"/>
      </w:pPr>
    </w:p>
    <w:tbl>
      <w:tblPr>
        <w:tblStyle w:val="5"/>
        <w:tblW w:w="927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3099"/>
        <w:gridCol w:w="54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691" w:type="dxa"/>
            <w:tcBorders>
              <w:top w:val="single" w:color="000000" w:sz="4" w:space="0"/>
              <w:left w:val="single" w:color="000000" w:sz="4" w:space="0"/>
            </w:tcBorders>
            <w:vAlign w:val="top"/>
          </w:tcPr>
          <w:p>
            <w:pPr>
              <w:spacing w:before="111" w:line="216" w:lineRule="auto"/>
              <w:ind w:left="189"/>
              <w:rPr>
                <w:rFonts w:ascii="黑体" w:hAnsi="黑体" w:eastAsia="黑体" w:cs="黑体"/>
                <w:sz w:val="20"/>
                <w:szCs w:val="20"/>
              </w:rPr>
            </w:pPr>
            <w:r>
              <w:rPr>
                <w:rFonts w:ascii="黑体" w:hAnsi="黑体" w:eastAsia="黑体" w:cs="黑体"/>
                <w:spacing w:val="1"/>
                <w:sz w:val="20"/>
                <w:szCs w:val="20"/>
              </w:rPr>
              <w:t>序号</w:t>
            </w:r>
          </w:p>
        </w:tc>
        <w:tc>
          <w:tcPr>
            <w:tcW w:w="3099" w:type="dxa"/>
            <w:tcBorders>
              <w:top w:val="single" w:color="000000" w:sz="4" w:space="0"/>
            </w:tcBorders>
            <w:vAlign w:val="top"/>
          </w:tcPr>
          <w:p>
            <w:pPr>
              <w:spacing w:before="111" w:line="216" w:lineRule="auto"/>
              <w:ind w:left="1206"/>
              <w:rPr>
                <w:rFonts w:ascii="黑体" w:hAnsi="黑体" w:eastAsia="黑体" w:cs="黑体"/>
                <w:sz w:val="20"/>
                <w:szCs w:val="20"/>
              </w:rPr>
            </w:pPr>
            <w:r>
              <w:rPr>
                <w:rFonts w:ascii="黑体" w:hAnsi="黑体" w:eastAsia="黑体" w:cs="黑体"/>
                <w:spacing w:val="-1"/>
                <w:sz w:val="20"/>
                <w:szCs w:val="20"/>
              </w:rPr>
              <w:t>费用名称</w:t>
            </w:r>
          </w:p>
        </w:tc>
        <w:tc>
          <w:tcPr>
            <w:tcW w:w="5484" w:type="dxa"/>
            <w:tcBorders>
              <w:top w:val="single" w:color="000000" w:sz="4" w:space="0"/>
              <w:right w:val="single" w:color="000000" w:sz="4" w:space="0"/>
            </w:tcBorders>
            <w:vAlign w:val="top"/>
          </w:tcPr>
          <w:p>
            <w:pPr>
              <w:spacing w:before="109" w:line="218" w:lineRule="auto"/>
              <w:ind w:left="2157"/>
              <w:rPr>
                <w:rFonts w:ascii="黑体" w:hAnsi="黑体" w:eastAsia="黑体" w:cs="黑体"/>
                <w:sz w:val="20"/>
                <w:szCs w:val="20"/>
              </w:rPr>
            </w:pPr>
            <w:r>
              <w:rPr>
                <w:rFonts w:ascii="黑体" w:hAnsi="黑体" w:eastAsia="黑体" w:cs="黑体"/>
                <w:spacing w:val="-1"/>
                <w:sz w:val="20"/>
                <w:szCs w:val="20"/>
              </w:rPr>
              <w:t>计</w:t>
            </w:r>
            <w:r>
              <w:rPr>
                <w:rFonts w:ascii="黑体" w:hAnsi="黑体" w:eastAsia="黑体" w:cs="黑体"/>
                <w:spacing w:val="21"/>
                <w:sz w:val="20"/>
                <w:szCs w:val="20"/>
              </w:rPr>
              <w:t xml:space="preserve"> </w:t>
            </w:r>
            <w:r>
              <w:rPr>
                <w:rFonts w:ascii="黑体" w:hAnsi="黑体" w:eastAsia="黑体" w:cs="黑体"/>
                <w:spacing w:val="-1"/>
                <w:sz w:val="20"/>
                <w:szCs w:val="20"/>
              </w:rPr>
              <w:t>算</w:t>
            </w:r>
            <w:r>
              <w:rPr>
                <w:rFonts w:ascii="黑体" w:hAnsi="黑体" w:eastAsia="黑体" w:cs="黑体"/>
                <w:spacing w:val="18"/>
                <w:sz w:val="20"/>
                <w:szCs w:val="20"/>
              </w:rPr>
              <w:t xml:space="preserve"> </w:t>
            </w:r>
            <w:r>
              <w:rPr>
                <w:rFonts w:ascii="黑体" w:hAnsi="黑体" w:eastAsia="黑体" w:cs="黑体"/>
                <w:spacing w:val="-1"/>
                <w:sz w:val="20"/>
                <w:szCs w:val="20"/>
              </w:rPr>
              <w:t>方</w:t>
            </w:r>
            <w:r>
              <w:rPr>
                <w:rFonts w:ascii="黑体" w:hAnsi="黑体" w:eastAsia="黑体" w:cs="黑体"/>
                <w:spacing w:val="22"/>
                <w:sz w:val="20"/>
                <w:szCs w:val="20"/>
              </w:rPr>
              <w:t xml:space="preserve"> </w:t>
            </w:r>
            <w:r>
              <w:rPr>
                <w:rFonts w:ascii="黑体" w:hAnsi="黑体" w:eastAsia="黑体" w:cs="黑体"/>
                <w:spacing w:val="-1"/>
                <w:sz w:val="20"/>
                <w:szCs w:val="20"/>
              </w:rPr>
              <w:t>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7" w:hRule="atLeast"/>
        </w:trPr>
        <w:tc>
          <w:tcPr>
            <w:tcW w:w="691" w:type="dxa"/>
            <w:tcBorders>
              <w:left w:val="single" w:color="000000" w:sz="4" w:space="0"/>
            </w:tcBorders>
            <w:vAlign w:val="top"/>
          </w:tcPr>
          <w:p>
            <w:pPr>
              <w:spacing w:before="221" w:line="145" w:lineRule="exact"/>
              <w:ind w:left="260"/>
              <w:rPr>
                <w:rFonts w:ascii="宋体" w:hAnsi="宋体" w:eastAsia="宋体" w:cs="宋体"/>
                <w:sz w:val="20"/>
                <w:szCs w:val="20"/>
              </w:rPr>
            </w:pPr>
            <w:r>
              <w:rPr>
                <w:rFonts w:ascii="宋体" w:hAnsi="宋体" w:eastAsia="宋体" w:cs="宋体"/>
                <w:spacing w:val="4"/>
                <w:position w:val="-4"/>
                <w:sz w:val="20"/>
                <w:szCs w:val="20"/>
              </w:rPr>
              <w:t>一</w:t>
            </w:r>
          </w:p>
        </w:tc>
        <w:tc>
          <w:tcPr>
            <w:tcW w:w="3099" w:type="dxa"/>
            <w:vAlign w:val="top"/>
          </w:tcPr>
          <w:p>
            <w:pPr>
              <w:spacing w:before="108" w:line="220" w:lineRule="auto"/>
              <w:ind w:left="109"/>
              <w:rPr>
                <w:rFonts w:ascii="宋体" w:hAnsi="宋体" w:eastAsia="宋体" w:cs="宋体"/>
                <w:sz w:val="20"/>
                <w:szCs w:val="20"/>
              </w:rPr>
            </w:pPr>
            <w:r>
              <w:rPr>
                <w:rFonts w:ascii="宋体" w:hAnsi="宋体" w:eastAsia="宋体" w:cs="宋体"/>
                <w:sz w:val="20"/>
                <w:szCs w:val="20"/>
              </w:rPr>
              <w:t>分部分项工程费</w:t>
            </w:r>
          </w:p>
        </w:tc>
        <w:tc>
          <w:tcPr>
            <w:tcW w:w="5484" w:type="dxa"/>
            <w:tcBorders>
              <w:right w:val="single" w:color="000000" w:sz="4" w:space="0"/>
            </w:tcBorders>
            <w:vAlign w:val="top"/>
          </w:tcPr>
          <w:p>
            <w:pPr>
              <w:spacing w:before="98"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1" w:hRule="atLeast"/>
        </w:trPr>
        <w:tc>
          <w:tcPr>
            <w:tcW w:w="691" w:type="dxa"/>
            <w:vMerge w:val="restart"/>
            <w:tcBorders>
              <w:left w:val="single" w:color="000000" w:sz="4" w:space="0"/>
              <w:bottom w:val="nil"/>
            </w:tcBorders>
            <w:vAlign w:val="top"/>
          </w:tcPr>
          <w:p>
            <w:pPr>
              <w:pStyle w:val="6"/>
              <w:spacing w:line="279" w:lineRule="auto"/>
            </w:pPr>
          </w:p>
          <w:p>
            <w:pPr>
              <w:pStyle w:val="6"/>
              <w:spacing w:line="279" w:lineRule="auto"/>
            </w:pPr>
          </w:p>
          <w:p>
            <w:pPr>
              <w:pStyle w:val="6"/>
              <w:spacing w:line="279" w:lineRule="auto"/>
            </w:pPr>
          </w:p>
          <w:p>
            <w:pPr>
              <w:spacing w:before="65" w:line="192" w:lineRule="auto"/>
              <w:ind w:left="301"/>
              <w:rPr>
                <w:rFonts w:ascii="宋体" w:hAnsi="宋体" w:eastAsia="宋体" w:cs="宋体"/>
                <w:sz w:val="20"/>
                <w:szCs w:val="20"/>
              </w:rPr>
            </w:pPr>
            <w:r>
              <w:rPr>
                <w:rFonts w:ascii="宋体" w:hAnsi="宋体" w:eastAsia="宋体" w:cs="宋体"/>
                <w:spacing w:val="4"/>
                <w:sz w:val="20"/>
                <w:szCs w:val="20"/>
              </w:rPr>
              <w:t>二</w:t>
            </w:r>
          </w:p>
        </w:tc>
        <w:tc>
          <w:tcPr>
            <w:tcW w:w="3099" w:type="dxa"/>
            <w:vAlign w:val="top"/>
          </w:tcPr>
          <w:p>
            <w:pPr>
              <w:spacing w:before="112" w:line="219" w:lineRule="auto"/>
              <w:ind w:left="105"/>
              <w:rPr>
                <w:rFonts w:ascii="宋体" w:hAnsi="宋体" w:eastAsia="宋体" w:cs="宋体"/>
                <w:sz w:val="20"/>
                <w:szCs w:val="20"/>
              </w:rPr>
            </w:pPr>
            <w:r>
              <w:rPr>
                <w:rFonts w:ascii="宋体" w:hAnsi="宋体" w:eastAsia="宋体" w:cs="宋体"/>
                <w:spacing w:val="5"/>
                <w:sz w:val="20"/>
                <w:szCs w:val="20"/>
              </w:rPr>
              <w:t>措施项目费</w:t>
            </w:r>
          </w:p>
        </w:tc>
        <w:tc>
          <w:tcPr>
            <w:tcW w:w="5484" w:type="dxa"/>
            <w:tcBorders>
              <w:right w:val="single" w:color="000000" w:sz="4" w:space="0"/>
            </w:tcBorders>
            <w:vAlign w:val="top"/>
          </w:tcPr>
          <w:p>
            <w:pPr>
              <w:spacing w:before="122" w:line="268" w:lineRule="exact"/>
              <w:ind w:left="116"/>
              <w:rPr>
                <w:rFonts w:ascii="宋体" w:hAnsi="宋体" w:eastAsia="宋体" w:cs="宋体"/>
                <w:sz w:val="20"/>
                <w:szCs w:val="20"/>
              </w:rPr>
            </w:pPr>
            <w:r>
              <w:rPr>
                <w:rFonts w:ascii="宋体" w:hAnsi="宋体" w:eastAsia="宋体" w:cs="宋体"/>
                <w:spacing w:val="-11"/>
                <w:position w:val="1"/>
                <w:sz w:val="20"/>
                <w:szCs w:val="20"/>
              </w:rPr>
              <w:t>2.1＋2.2＋2.3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7"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95" w:line="271" w:lineRule="exact"/>
              <w:ind w:left="110"/>
              <w:rPr>
                <w:rFonts w:ascii="宋体" w:hAnsi="宋体" w:eastAsia="宋体" w:cs="宋体"/>
                <w:sz w:val="20"/>
                <w:szCs w:val="20"/>
              </w:rPr>
            </w:pPr>
            <w:r>
              <w:rPr>
                <w:rFonts w:ascii="宋体" w:hAnsi="宋体" w:eastAsia="宋体" w:cs="宋体"/>
                <w:spacing w:val="2"/>
                <w:position w:val="1"/>
                <w:sz w:val="20"/>
                <w:szCs w:val="20"/>
              </w:rPr>
              <w:t>2.1通用措施项目费</w:t>
            </w:r>
          </w:p>
        </w:tc>
        <w:tc>
          <w:tcPr>
            <w:tcW w:w="5484" w:type="dxa"/>
            <w:tcBorders>
              <w:right w:val="single" w:color="000000" w:sz="4" w:space="0"/>
            </w:tcBorders>
            <w:vAlign w:val="top"/>
          </w:tcPr>
          <w:p>
            <w:pPr>
              <w:spacing w:before="107"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9"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04" w:line="265" w:lineRule="exact"/>
              <w:ind w:left="110"/>
              <w:rPr>
                <w:rFonts w:ascii="宋体" w:hAnsi="宋体" w:eastAsia="宋体" w:cs="宋体"/>
                <w:sz w:val="20"/>
                <w:szCs w:val="20"/>
              </w:rPr>
            </w:pPr>
            <w:r>
              <w:rPr>
                <w:rFonts w:ascii="宋体" w:hAnsi="宋体" w:eastAsia="宋体" w:cs="宋体"/>
                <w:spacing w:val="2"/>
                <w:position w:val="1"/>
                <w:sz w:val="20"/>
                <w:szCs w:val="20"/>
              </w:rPr>
              <w:t>2.2专业措施项目费</w:t>
            </w:r>
          </w:p>
        </w:tc>
        <w:tc>
          <w:tcPr>
            <w:tcW w:w="5484" w:type="dxa"/>
            <w:tcBorders>
              <w:right w:val="single" w:color="000000" w:sz="4" w:space="0"/>
            </w:tcBorders>
            <w:vAlign w:val="top"/>
          </w:tcPr>
          <w:p>
            <w:pPr>
              <w:spacing w:before="109" w:line="220" w:lineRule="auto"/>
              <w:ind w:left="112"/>
              <w:rPr>
                <w:rFonts w:ascii="宋体" w:hAnsi="宋体" w:eastAsia="宋体" w:cs="宋体"/>
                <w:sz w:val="20"/>
                <w:szCs w:val="20"/>
              </w:rPr>
            </w:pPr>
            <w:r>
              <w:rPr>
                <w:rFonts w:ascii="宋体" w:hAnsi="宋体" w:eastAsia="宋体" w:cs="宋体"/>
                <w:spacing w:val="7"/>
                <w:sz w:val="20"/>
                <w:szCs w:val="20"/>
              </w:rPr>
              <w:t>按合同约定金额计入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0" w:hRule="atLeast"/>
        </w:trPr>
        <w:tc>
          <w:tcPr>
            <w:tcW w:w="691" w:type="dxa"/>
            <w:vMerge w:val="continue"/>
            <w:tcBorders>
              <w:top w:val="nil"/>
              <w:left w:val="single" w:color="000000" w:sz="4" w:space="0"/>
            </w:tcBorders>
            <w:vAlign w:val="top"/>
          </w:tcPr>
          <w:p>
            <w:pPr>
              <w:pStyle w:val="6"/>
            </w:pPr>
          </w:p>
        </w:tc>
        <w:tc>
          <w:tcPr>
            <w:tcW w:w="3099" w:type="dxa"/>
            <w:vAlign w:val="top"/>
          </w:tcPr>
          <w:p>
            <w:pPr>
              <w:spacing w:before="176" w:line="278" w:lineRule="exact"/>
              <w:ind w:left="110"/>
              <w:rPr>
                <w:rFonts w:ascii="宋体" w:hAnsi="宋体" w:eastAsia="宋体" w:cs="宋体"/>
                <w:sz w:val="20"/>
                <w:szCs w:val="20"/>
              </w:rPr>
            </w:pPr>
            <w:r>
              <w:rPr>
                <w:rFonts w:ascii="宋体" w:hAnsi="宋体" w:eastAsia="宋体" w:cs="宋体"/>
                <w:spacing w:val="2"/>
                <w:position w:val="1"/>
                <w:sz w:val="20"/>
                <w:szCs w:val="20"/>
              </w:rPr>
              <w:t>2.3安全文明措施费</w:t>
            </w:r>
          </w:p>
        </w:tc>
        <w:tc>
          <w:tcPr>
            <w:tcW w:w="5484" w:type="dxa"/>
            <w:tcBorders>
              <w:right w:val="single" w:color="000000" w:sz="4" w:space="0"/>
            </w:tcBorders>
            <w:vAlign w:val="top"/>
          </w:tcPr>
          <w:p>
            <w:pPr>
              <w:spacing w:before="60" w:line="249" w:lineRule="auto"/>
              <w:ind w:left="160" w:right="1037" w:hanging="48"/>
              <w:rPr>
                <w:rFonts w:ascii="宋体" w:hAnsi="宋体" w:eastAsia="宋体" w:cs="宋体"/>
                <w:sz w:val="20"/>
                <w:szCs w:val="20"/>
              </w:rPr>
            </w:pPr>
            <w:r>
              <w:rPr>
                <w:rFonts w:ascii="宋体" w:hAnsi="宋体" w:eastAsia="宋体" w:cs="宋体"/>
                <w:spacing w:val="7"/>
                <w:sz w:val="20"/>
                <w:szCs w:val="20"/>
              </w:rPr>
              <w:t>按调整后的计算基数及合同约定费率重新计算</w:t>
            </w:r>
            <w:r>
              <w:rPr>
                <w:rFonts w:ascii="宋体" w:hAnsi="宋体" w:eastAsia="宋体" w:cs="宋体"/>
                <w:spacing w:val="-9"/>
                <w:sz w:val="20"/>
                <w:szCs w:val="20"/>
              </w:rPr>
              <w:t>∑</w:t>
            </w:r>
            <w:r>
              <w:rPr>
                <w:rFonts w:ascii="宋体" w:hAnsi="宋体" w:eastAsia="宋体" w:cs="宋体"/>
                <w:spacing w:val="-30"/>
                <w:sz w:val="20"/>
                <w:szCs w:val="20"/>
              </w:rPr>
              <w:t>｛［（</w:t>
            </w:r>
            <w:r>
              <w:rPr>
                <w:rFonts w:ascii="宋体" w:hAnsi="宋体" w:eastAsia="宋体" w:cs="宋体"/>
                <w:spacing w:val="-9"/>
                <w:sz w:val="20"/>
                <w:szCs w:val="20"/>
              </w:rPr>
              <w:t>一</w:t>
            </w:r>
            <w:r>
              <w:rPr>
                <w:rFonts w:ascii="宋体" w:hAnsi="宋体" w:eastAsia="宋体" w:cs="宋体"/>
                <w:spacing w:val="-30"/>
                <w:sz w:val="20"/>
                <w:szCs w:val="20"/>
              </w:rPr>
              <w:t>）＋</w:t>
            </w:r>
            <w:r>
              <w:rPr>
                <w:rFonts w:ascii="宋体" w:hAnsi="宋体" w:eastAsia="宋体" w:cs="宋体"/>
                <w:spacing w:val="-9"/>
                <w:sz w:val="20"/>
                <w:szCs w:val="20"/>
              </w:rPr>
              <w:t>2.1＋2.2＋3.1＋A.1］</w:t>
            </w:r>
            <w:r>
              <w:rPr>
                <w:rFonts w:ascii="宋体" w:hAnsi="宋体" w:eastAsia="宋体" w:cs="宋体"/>
                <w:spacing w:val="-57"/>
                <w:sz w:val="20"/>
                <w:szCs w:val="20"/>
              </w:rPr>
              <w:t xml:space="preserve"> </w:t>
            </w:r>
            <w:r>
              <w:rPr>
                <w:rFonts w:ascii="宋体" w:hAnsi="宋体" w:eastAsia="宋体" w:cs="宋体"/>
                <w:spacing w:val="-9"/>
                <w:sz w:val="20"/>
                <w:szCs w:val="20"/>
              </w:rPr>
              <w:t>×相应费率｝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691" w:type="dxa"/>
            <w:vMerge w:val="restart"/>
            <w:tcBorders>
              <w:left w:val="single" w:color="000000" w:sz="4" w:space="0"/>
              <w:bottom w:val="nil"/>
            </w:tcBorders>
            <w:vAlign w:val="top"/>
          </w:tcPr>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spacing w:before="65" w:line="201" w:lineRule="auto"/>
              <w:ind w:left="270"/>
              <w:rPr>
                <w:rFonts w:ascii="宋体" w:hAnsi="宋体" w:eastAsia="宋体" w:cs="宋体"/>
                <w:sz w:val="20"/>
                <w:szCs w:val="20"/>
              </w:rPr>
            </w:pPr>
            <w:r>
              <w:rPr>
                <w:rFonts w:ascii="宋体" w:hAnsi="宋体" w:eastAsia="宋体" w:cs="宋体"/>
                <w:sz w:val="20"/>
                <w:szCs w:val="20"/>
              </w:rPr>
              <w:t>三</w:t>
            </w:r>
          </w:p>
        </w:tc>
        <w:tc>
          <w:tcPr>
            <w:tcW w:w="3099" w:type="dxa"/>
            <w:vAlign w:val="top"/>
          </w:tcPr>
          <w:p>
            <w:pPr>
              <w:spacing w:before="111" w:line="223" w:lineRule="auto"/>
              <w:ind w:left="105"/>
              <w:rPr>
                <w:rFonts w:ascii="宋体" w:hAnsi="宋体" w:eastAsia="宋体" w:cs="宋体"/>
                <w:sz w:val="20"/>
                <w:szCs w:val="20"/>
              </w:rPr>
            </w:pPr>
            <w:r>
              <w:rPr>
                <w:rFonts w:ascii="宋体" w:hAnsi="宋体" w:eastAsia="宋体" w:cs="宋体"/>
                <w:spacing w:val="5"/>
                <w:sz w:val="20"/>
                <w:szCs w:val="20"/>
              </w:rPr>
              <w:t>其他项目费</w:t>
            </w:r>
          </w:p>
        </w:tc>
        <w:tc>
          <w:tcPr>
            <w:tcW w:w="5484" w:type="dxa"/>
            <w:tcBorders>
              <w:right w:val="single" w:color="000000" w:sz="4" w:space="0"/>
            </w:tcBorders>
            <w:vAlign w:val="top"/>
          </w:tcPr>
          <w:p>
            <w:pPr>
              <w:spacing w:before="125" w:line="266" w:lineRule="exact"/>
              <w:ind w:left="122"/>
              <w:rPr>
                <w:rFonts w:ascii="宋体" w:hAnsi="宋体" w:eastAsia="宋体" w:cs="宋体"/>
                <w:sz w:val="20"/>
                <w:szCs w:val="20"/>
              </w:rPr>
            </w:pPr>
            <w:r>
              <w:rPr>
                <w:rFonts w:ascii="宋体" w:hAnsi="宋体" w:eastAsia="宋体" w:cs="宋体"/>
                <w:spacing w:val="-9"/>
                <w:position w:val="1"/>
                <w:sz w:val="20"/>
                <w:szCs w:val="20"/>
              </w:rPr>
              <w:t>3.1</w:t>
            </w:r>
            <w:r>
              <w:rPr>
                <w:rFonts w:ascii="宋体" w:hAnsi="宋体" w:eastAsia="宋体" w:cs="宋体"/>
                <w:spacing w:val="-40"/>
                <w:position w:val="1"/>
                <w:sz w:val="20"/>
                <w:szCs w:val="20"/>
              </w:rPr>
              <w:t xml:space="preserve"> </w:t>
            </w:r>
            <w:r>
              <w:rPr>
                <w:rFonts w:ascii="宋体" w:hAnsi="宋体" w:eastAsia="宋体" w:cs="宋体"/>
                <w:spacing w:val="-9"/>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9"/>
                <w:position w:val="1"/>
                <w:sz w:val="20"/>
                <w:szCs w:val="20"/>
              </w:rPr>
              <w:t>3.2</w:t>
            </w:r>
            <w:r>
              <w:rPr>
                <w:rFonts w:ascii="宋体" w:hAnsi="宋体" w:eastAsia="宋体" w:cs="宋体"/>
                <w:spacing w:val="-56"/>
                <w:position w:val="1"/>
                <w:sz w:val="20"/>
                <w:szCs w:val="20"/>
              </w:rPr>
              <w:t xml:space="preserve"> </w:t>
            </w:r>
            <w:r>
              <w:rPr>
                <w:rFonts w:ascii="宋体" w:hAnsi="宋体" w:eastAsia="宋体" w:cs="宋体"/>
                <w:spacing w:val="-9"/>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9"/>
                <w:position w:val="1"/>
                <w:sz w:val="20"/>
                <w:szCs w:val="20"/>
              </w:rPr>
              <w:t>3.3+…+3.7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07" w:line="276" w:lineRule="exact"/>
              <w:ind w:left="113"/>
              <w:rPr>
                <w:rFonts w:ascii="宋体" w:hAnsi="宋体" w:eastAsia="宋体" w:cs="宋体"/>
                <w:sz w:val="20"/>
                <w:szCs w:val="20"/>
              </w:rPr>
            </w:pPr>
            <w:r>
              <w:rPr>
                <w:rFonts w:ascii="宋体" w:hAnsi="宋体" w:eastAsia="宋体" w:cs="宋体"/>
                <w:spacing w:val="-1"/>
                <w:position w:val="1"/>
                <w:sz w:val="20"/>
                <w:szCs w:val="20"/>
              </w:rPr>
              <w:t>3.1价款调整</w:t>
            </w:r>
          </w:p>
        </w:tc>
        <w:tc>
          <w:tcPr>
            <w:tcW w:w="5484" w:type="dxa"/>
            <w:tcBorders>
              <w:right w:val="single" w:color="000000" w:sz="4" w:space="0"/>
            </w:tcBorders>
            <w:vAlign w:val="top"/>
          </w:tcPr>
          <w:p>
            <w:pPr>
              <w:spacing w:before="126" w:line="265" w:lineRule="exact"/>
              <w:ind w:left="122"/>
              <w:rPr>
                <w:rFonts w:ascii="宋体" w:hAnsi="宋体" w:eastAsia="宋体" w:cs="宋体"/>
                <w:sz w:val="20"/>
                <w:szCs w:val="20"/>
              </w:rPr>
            </w:pPr>
            <w:r>
              <w:rPr>
                <w:rFonts w:ascii="宋体" w:hAnsi="宋体" w:eastAsia="宋体" w:cs="宋体"/>
                <w:spacing w:val="-11"/>
                <w:position w:val="1"/>
                <w:sz w:val="20"/>
                <w:szCs w:val="20"/>
              </w:rPr>
              <w:t>3.1.1＋</w:t>
            </w:r>
            <w:r>
              <w:rPr>
                <w:rFonts w:ascii="宋体" w:hAnsi="宋体" w:eastAsia="宋体" w:cs="宋体"/>
                <w:spacing w:val="-33"/>
                <w:position w:val="1"/>
                <w:sz w:val="20"/>
                <w:szCs w:val="20"/>
              </w:rPr>
              <w:t xml:space="preserve"> </w:t>
            </w:r>
            <w:r>
              <w:rPr>
                <w:rFonts w:ascii="宋体" w:hAnsi="宋体" w:eastAsia="宋体" w:cs="宋体"/>
                <w:spacing w:val="-11"/>
                <w:position w:val="1"/>
                <w:sz w:val="20"/>
                <w:szCs w:val="20"/>
              </w:rPr>
              <w:t>3.1.2</w:t>
            </w:r>
            <w:r>
              <w:rPr>
                <w:rFonts w:ascii="宋体" w:hAnsi="宋体" w:eastAsia="宋体" w:cs="宋体"/>
                <w:spacing w:val="-58"/>
                <w:position w:val="1"/>
                <w:sz w:val="20"/>
                <w:szCs w:val="20"/>
              </w:rPr>
              <w:t xml:space="preserve"> </w:t>
            </w:r>
            <w:r>
              <w:rPr>
                <w:rFonts w:ascii="宋体" w:hAnsi="宋体" w:eastAsia="宋体" w:cs="宋体"/>
                <w:spacing w:val="-11"/>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11"/>
                <w:position w:val="1"/>
                <w:sz w:val="20"/>
                <w:szCs w:val="20"/>
              </w:rPr>
              <w:t>3.1.3+…+3.1.8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7"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60" w:line="252" w:lineRule="auto"/>
              <w:ind w:left="126" w:right="111" w:firstLine="347"/>
              <w:rPr>
                <w:rFonts w:ascii="宋体" w:hAnsi="宋体" w:eastAsia="宋体" w:cs="宋体"/>
                <w:sz w:val="20"/>
                <w:szCs w:val="20"/>
              </w:rPr>
            </w:pPr>
            <w:r>
              <w:rPr>
                <w:rFonts w:ascii="宋体" w:hAnsi="宋体" w:eastAsia="宋体" w:cs="宋体"/>
                <w:spacing w:val="7"/>
                <w:sz w:val="20"/>
                <w:szCs w:val="20"/>
              </w:rPr>
              <w:t>3.1.1 工程量清单缺陷引起</w:t>
            </w:r>
            <w:r>
              <w:rPr>
                <w:rFonts w:ascii="宋体" w:hAnsi="宋体" w:eastAsia="宋体" w:cs="宋体"/>
                <w:spacing w:val="5"/>
                <w:sz w:val="20"/>
                <w:szCs w:val="20"/>
              </w:rPr>
              <w:t>的分部分项工程费增减</w:t>
            </w:r>
          </w:p>
        </w:tc>
        <w:tc>
          <w:tcPr>
            <w:tcW w:w="5484" w:type="dxa"/>
            <w:tcBorders>
              <w:right w:val="single" w:color="000000" w:sz="4" w:space="0"/>
            </w:tcBorders>
            <w:vAlign w:val="top"/>
          </w:tcPr>
          <w:p>
            <w:pPr>
              <w:spacing w:before="184"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7"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63" w:line="251" w:lineRule="auto"/>
              <w:ind w:left="109" w:right="111" w:firstLine="364"/>
              <w:rPr>
                <w:rFonts w:ascii="宋体" w:hAnsi="宋体" w:eastAsia="宋体" w:cs="宋体"/>
                <w:sz w:val="20"/>
                <w:szCs w:val="20"/>
              </w:rPr>
            </w:pPr>
            <w:r>
              <w:rPr>
                <w:rFonts w:ascii="宋体" w:hAnsi="宋体" w:eastAsia="宋体" w:cs="宋体"/>
                <w:spacing w:val="10"/>
                <w:sz w:val="20"/>
                <w:szCs w:val="20"/>
              </w:rPr>
              <w:t>3.1.2</w:t>
            </w:r>
            <w:r>
              <w:rPr>
                <w:rFonts w:ascii="宋体" w:hAnsi="宋体" w:eastAsia="宋体" w:cs="宋体"/>
                <w:spacing w:val="-33"/>
                <w:sz w:val="20"/>
                <w:szCs w:val="20"/>
              </w:rPr>
              <w:t xml:space="preserve"> </w:t>
            </w:r>
            <w:r>
              <w:rPr>
                <w:rFonts w:ascii="宋体" w:hAnsi="宋体" w:eastAsia="宋体" w:cs="宋体"/>
                <w:spacing w:val="10"/>
                <w:sz w:val="20"/>
                <w:szCs w:val="20"/>
              </w:rPr>
              <w:t>工程变更引起的分部</w:t>
            </w:r>
            <w:r>
              <w:rPr>
                <w:rFonts w:ascii="宋体" w:hAnsi="宋体" w:eastAsia="宋体" w:cs="宋体"/>
                <w:spacing w:val="7"/>
                <w:sz w:val="20"/>
                <w:szCs w:val="20"/>
              </w:rPr>
              <w:t>分项工程费增减</w:t>
            </w:r>
          </w:p>
        </w:tc>
        <w:tc>
          <w:tcPr>
            <w:tcW w:w="5484" w:type="dxa"/>
            <w:tcBorders>
              <w:right w:val="single" w:color="000000" w:sz="4" w:space="0"/>
            </w:tcBorders>
            <w:vAlign w:val="top"/>
          </w:tcPr>
          <w:p>
            <w:pPr>
              <w:spacing w:before="186"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8"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61" w:line="255" w:lineRule="auto"/>
              <w:ind w:left="112" w:right="111" w:firstLine="360"/>
              <w:rPr>
                <w:rFonts w:ascii="宋体" w:hAnsi="宋体" w:eastAsia="宋体" w:cs="宋体"/>
                <w:sz w:val="20"/>
                <w:szCs w:val="20"/>
              </w:rPr>
            </w:pPr>
            <w:r>
              <w:rPr>
                <w:rFonts w:ascii="宋体" w:hAnsi="宋体" w:eastAsia="宋体" w:cs="宋体"/>
                <w:spacing w:val="7"/>
                <w:sz w:val="20"/>
                <w:szCs w:val="20"/>
              </w:rPr>
              <w:t>3.1.3 工程变更引起的措施</w:t>
            </w:r>
            <w:r>
              <w:rPr>
                <w:rFonts w:ascii="宋体" w:hAnsi="宋体" w:eastAsia="宋体" w:cs="宋体"/>
                <w:spacing w:val="6"/>
                <w:sz w:val="20"/>
                <w:szCs w:val="20"/>
              </w:rPr>
              <w:t>费增加</w:t>
            </w:r>
          </w:p>
        </w:tc>
        <w:tc>
          <w:tcPr>
            <w:tcW w:w="5484" w:type="dxa"/>
            <w:tcBorders>
              <w:right w:val="single" w:color="000000" w:sz="4" w:space="0"/>
            </w:tcBorders>
            <w:vAlign w:val="top"/>
          </w:tcPr>
          <w:p>
            <w:pPr>
              <w:spacing w:before="188" w:line="249" w:lineRule="auto"/>
              <w:ind w:left="111" w:right="1"/>
              <w:rPr>
                <w:rFonts w:ascii="宋体" w:hAnsi="宋体" w:eastAsia="宋体" w:cs="宋体"/>
                <w:sz w:val="20"/>
                <w:szCs w:val="20"/>
              </w:rPr>
            </w:pPr>
            <w:r>
              <w:rPr>
                <w:rFonts w:ascii="宋体" w:hAnsi="宋体" w:eastAsia="宋体" w:cs="宋体"/>
                <w:spacing w:val="6"/>
                <w:sz w:val="20"/>
                <w:szCs w:val="20"/>
              </w:rPr>
              <w:t>按发包人批准的施工方案、合同约定及清单计价标准规定计算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6"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64" w:line="250" w:lineRule="auto"/>
              <w:ind w:left="122" w:right="125" w:firstLine="351"/>
              <w:rPr>
                <w:rFonts w:ascii="宋体" w:hAnsi="宋体" w:eastAsia="宋体" w:cs="宋体"/>
                <w:sz w:val="20"/>
                <w:szCs w:val="20"/>
              </w:rPr>
            </w:pPr>
            <w:r>
              <w:rPr>
                <w:rFonts w:ascii="宋体" w:hAnsi="宋体" w:eastAsia="宋体" w:cs="宋体"/>
                <w:spacing w:val="2"/>
                <w:sz w:val="20"/>
                <w:szCs w:val="20"/>
              </w:rPr>
              <w:t>3.1.4 工期实质性延长（</w:t>
            </w:r>
            <w:r>
              <w:rPr>
                <w:rFonts w:ascii="宋体" w:hAnsi="宋体" w:eastAsia="宋体" w:cs="宋体"/>
                <w:spacing w:val="-37"/>
                <w:sz w:val="20"/>
                <w:szCs w:val="20"/>
              </w:rPr>
              <w:t xml:space="preserve"> </w:t>
            </w:r>
            <w:r>
              <w:rPr>
                <w:rFonts w:ascii="宋体" w:hAnsi="宋体" w:eastAsia="宋体" w:cs="宋体"/>
                <w:spacing w:val="2"/>
                <w:sz w:val="20"/>
                <w:szCs w:val="20"/>
              </w:rPr>
              <w:t>缩</w:t>
            </w:r>
            <w:r>
              <w:rPr>
                <w:rFonts w:ascii="宋体" w:hAnsi="宋体" w:eastAsia="宋体" w:cs="宋体"/>
                <w:spacing w:val="5"/>
                <w:sz w:val="20"/>
                <w:szCs w:val="20"/>
              </w:rPr>
              <w:t>短）引起措施费增减</w:t>
            </w:r>
          </w:p>
        </w:tc>
        <w:tc>
          <w:tcPr>
            <w:tcW w:w="5484" w:type="dxa"/>
            <w:tcBorders>
              <w:right w:val="single" w:color="000000" w:sz="4" w:space="0"/>
            </w:tcBorders>
            <w:vAlign w:val="top"/>
          </w:tcPr>
          <w:p>
            <w:pPr>
              <w:spacing w:before="70" w:line="247" w:lineRule="auto"/>
              <w:ind w:left="114" w:right="109" w:hanging="2"/>
              <w:rPr>
                <w:rFonts w:ascii="宋体" w:hAnsi="宋体" w:eastAsia="宋体" w:cs="宋体"/>
                <w:sz w:val="20"/>
                <w:szCs w:val="20"/>
              </w:rPr>
            </w:pPr>
            <w:r>
              <w:rPr>
                <w:rFonts w:ascii="宋体" w:hAnsi="宋体" w:eastAsia="宋体" w:cs="宋体"/>
                <w:spacing w:val="10"/>
                <w:sz w:val="20"/>
                <w:szCs w:val="20"/>
              </w:rPr>
              <w:t>按受影响的措施项目中期运行费用、合同约定及清单计价</w:t>
            </w:r>
            <w:r>
              <w:rPr>
                <w:rFonts w:ascii="宋体" w:hAnsi="宋体" w:eastAsia="宋体" w:cs="宋体"/>
                <w:spacing w:val="6"/>
                <w:sz w:val="20"/>
                <w:szCs w:val="20"/>
              </w:rPr>
              <w:t>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19" w:line="239" w:lineRule="auto"/>
              <w:ind w:left="473"/>
              <w:rPr>
                <w:rFonts w:ascii="宋体" w:hAnsi="宋体" w:eastAsia="宋体" w:cs="宋体"/>
                <w:sz w:val="20"/>
                <w:szCs w:val="20"/>
              </w:rPr>
            </w:pPr>
            <w:r>
              <w:rPr>
                <w:rFonts w:ascii="宋体" w:hAnsi="宋体" w:eastAsia="宋体" w:cs="宋体"/>
                <w:spacing w:val="-3"/>
                <w:sz w:val="20"/>
                <w:szCs w:val="20"/>
              </w:rPr>
              <w:t>3.1.5</w:t>
            </w:r>
            <w:r>
              <w:rPr>
                <w:rFonts w:ascii="宋体" w:hAnsi="宋体" w:eastAsia="宋体" w:cs="宋体"/>
                <w:spacing w:val="-48"/>
                <w:sz w:val="20"/>
                <w:szCs w:val="20"/>
              </w:rPr>
              <w:t xml:space="preserve"> </w:t>
            </w:r>
            <w:r>
              <w:rPr>
                <w:rFonts w:ascii="宋体" w:hAnsi="宋体" w:eastAsia="宋体" w:cs="宋体"/>
                <w:spacing w:val="-3"/>
                <w:sz w:val="20"/>
                <w:szCs w:val="20"/>
              </w:rPr>
              <w:t>法律法规及政策性变化</w:t>
            </w:r>
          </w:p>
        </w:tc>
        <w:tc>
          <w:tcPr>
            <w:tcW w:w="5484" w:type="dxa"/>
            <w:tcBorders>
              <w:right w:val="single" w:color="000000" w:sz="4" w:space="0"/>
            </w:tcBorders>
            <w:vAlign w:val="top"/>
          </w:tcPr>
          <w:p>
            <w:pPr>
              <w:spacing w:before="123"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3"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76" w:line="257" w:lineRule="auto"/>
              <w:ind w:left="108" w:right="113" w:firstLine="364"/>
              <w:rPr>
                <w:rFonts w:ascii="宋体" w:hAnsi="宋体" w:eastAsia="宋体" w:cs="宋体"/>
                <w:sz w:val="20"/>
                <w:szCs w:val="20"/>
              </w:rPr>
            </w:pPr>
            <w:r>
              <w:rPr>
                <w:rFonts w:ascii="宋体" w:hAnsi="宋体" w:eastAsia="宋体" w:cs="宋体"/>
                <w:spacing w:val="-3"/>
                <w:sz w:val="20"/>
                <w:szCs w:val="20"/>
              </w:rPr>
              <w:t>3.1.6</w:t>
            </w:r>
            <w:r>
              <w:rPr>
                <w:rFonts w:ascii="宋体" w:hAnsi="宋体" w:eastAsia="宋体" w:cs="宋体"/>
                <w:spacing w:val="-50"/>
                <w:sz w:val="20"/>
                <w:szCs w:val="20"/>
              </w:rPr>
              <w:t xml:space="preserve"> </w:t>
            </w:r>
            <w:r>
              <w:rPr>
                <w:rFonts w:ascii="宋体" w:hAnsi="宋体" w:eastAsia="宋体" w:cs="宋体"/>
                <w:spacing w:val="-3"/>
                <w:sz w:val="20"/>
                <w:szCs w:val="20"/>
              </w:rPr>
              <w:t>价差（物价变化、材料</w:t>
            </w:r>
            <w:r>
              <w:rPr>
                <w:rFonts w:ascii="宋体" w:hAnsi="宋体" w:eastAsia="宋体" w:cs="宋体"/>
                <w:spacing w:val="6"/>
                <w:sz w:val="20"/>
                <w:szCs w:val="20"/>
              </w:rPr>
              <w:t>暂估价）</w:t>
            </w:r>
          </w:p>
        </w:tc>
        <w:tc>
          <w:tcPr>
            <w:tcW w:w="5484" w:type="dxa"/>
            <w:tcBorders>
              <w:right w:val="single" w:color="000000" w:sz="4" w:space="0"/>
            </w:tcBorders>
            <w:vAlign w:val="top"/>
          </w:tcPr>
          <w:p>
            <w:pPr>
              <w:spacing w:before="282" w:line="238" w:lineRule="auto"/>
              <w:jc w:val="right"/>
              <w:rPr>
                <w:rFonts w:ascii="宋体" w:hAnsi="宋体" w:eastAsia="宋体" w:cs="宋体"/>
                <w:sz w:val="20"/>
                <w:szCs w:val="20"/>
              </w:rPr>
            </w:pPr>
            <w:r>
              <w:rPr>
                <w:rFonts w:ascii="宋体" w:hAnsi="宋体" w:eastAsia="宋体" w:cs="宋体"/>
                <w:position w:val="-4"/>
                <w:sz w:val="20"/>
                <w:szCs w:val="20"/>
              </w:rPr>
              <w:drawing>
                <wp:inline distT="0" distB="0" distL="0" distR="0">
                  <wp:extent cx="861060" cy="15176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400"/>
                          <a:stretch>
                            <a:fillRect/>
                          </a:stretch>
                        </pic:blipFill>
                        <pic:spPr>
                          <a:xfrm>
                            <a:off x="0" y="0"/>
                            <a:ext cx="861274" cy="152356"/>
                          </a:xfrm>
                          <a:prstGeom prst="rect">
                            <a:avLst/>
                          </a:prstGeom>
                        </pic:spPr>
                      </pic:pic>
                    </a:graphicData>
                  </a:graphic>
                </wp:inline>
              </w:drawing>
            </w:r>
            <w:r>
              <w:rPr>
                <w:rFonts w:ascii="宋体" w:hAnsi="宋体" w:eastAsia="宋体" w:cs="宋体"/>
                <w:spacing w:val="-2"/>
                <w:sz w:val="20"/>
                <w:szCs w:val="20"/>
              </w:rPr>
              <w:t>（人工费价差+材料费价差+施工机具费价差）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5"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65" w:line="249" w:lineRule="auto"/>
              <w:ind w:left="129" w:right="111" w:firstLine="343"/>
              <w:rPr>
                <w:rFonts w:ascii="宋体" w:hAnsi="宋体" w:eastAsia="宋体" w:cs="宋体"/>
                <w:sz w:val="20"/>
                <w:szCs w:val="20"/>
              </w:rPr>
            </w:pPr>
            <w:r>
              <w:rPr>
                <w:rFonts w:ascii="宋体" w:hAnsi="宋体" w:eastAsia="宋体" w:cs="宋体"/>
                <w:spacing w:val="10"/>
                <w:sz w:val="20"/>
                <w:szCs w:val="20"/>
              </w:rPr>
              <w:t>3.1.7</w:t>
            </w:r>
            <w:r>
              <w:rPr>
                <w:rFonts w:ascii="宋体" w:hAnsi="宋体" w:eastAsia="宋体" w:cs="宋体"/>
                <w:spacing w:val="-33"/>
                <w:sz w:val="20"/>
                <w:szCs w:val="20"/>
              </w:rPr>
              <w:t xml:space="preserve"> </w:t>
            </w:r>
            <w:r>
              <w:rPr>
                <w:rFonts w:ascii="宋体" w:hAnsi="宋体" w:eastAsia="宋体" w:cs="宋体"/>
                <w:spacing w:val="10"/>
                <w:sz w:val="20"/>
                <w:szCs w:val="20"/>
              </w:rPr>
              <w:t>招标时未能确定或详</w:t>
            </w:r>
            <w:r>
              <w:rPr>
                <w:rFonts w:ascii="宋体" w:hAnsi="宋体" w:eastAsia="宋体" w:cs="宋体"/>
                <w:spacing w:val="3"/>
                <w:sz w:val="20"/>
                <w:szCs w:val="20"/>
              </w:rPr>
              <w:t>细说明的工程</w:t>
            </w:r>
          </w:p>
        </w:tc>
        <w:tc>
          <w:tcPr>
            <w:tcW w:w="5484" w:type="dxa"/>
            <w:tcBorders>
              <w:right w:val="single" w:color="000000" w:sz="4" w:space="0"/>
            </w:tcBorders>
            <w:vAlign w:val="top"/>
          </w:tcPr>
          <w:p>
            <w:pPr>
              <w:spacing w:before="193"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3"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80" w:line="255" w:lineRule="auto"/>
              <w:ind w:left="129" w:right="111" w:firstLine="343"/>
              <w:rPr>
                <w:rFonts w:ascii="宋体" w:hAnsi="宋体" w:eastAsia="宋体" w:cs="宋体"/>
                <w:sz w:val="20"/>
                <w:szCs w:val="20"/>
              </w:rPr>
            </w:pPr>
            <w:r>
              <w:rPr>
                <w:rFonts w:ascii="宋体" w:hAnsi="宋体" w:eastAsia="宋体" w:cs="宋体"/>
                <w:spacing w:val="10"/>
                <w:sz w:val="20"/>
                <w:szCs w:val="20"/>
              </w:rPr>
              <w:t>3.1.8</w:t>
            </w:r>
            <w:r>
              <w:rPr>
                <w:rFonts w:ascii="宋体" w:hAnsi="宋体" w:eastAsia="宋体" w:cs="宋体"/>
                <w:spacing w:val="-33"/>
                <w:sz w:val="20"/>
                <w:szCs w:val="20"/>
              </w:rPr>
              <w:t xml:space="preserve"> </w:t>
            </w:r>
            <w:r>
              <w:rPr>
                <w:rFonts w:ascii="宋体" w:hAnsi="宋体" w:eastAsia="宋体" w:cs="宋体"/>
                <w:spacing w:val="10"/>
                <w:sz w:val="20"/>
                <w:szCs w:val="20"/>
              </w:rPr>
              <w:t>招标时未能确定或详</w:t>
            </w:r>
            <w:r>
              <w:rPr>
                <w:rFonts w:ascii="宋体" w:hAnsi="宋体" w:eastAsia="宋体" w:cs="宋体"/>
                <w:spacing w:val="3"/>
                <w:sz w:val="20"/>
                <w:szCs w:val="20"/>
              </w:rPr>
              <w:t>细说明的服务</w:t>
            </w:r>
          </w:p>
        </w:tc>
        <w:tc>
          <w:tcPr>
            <w:tcW w:w="5484" w:type="dxa"/>
            <w:tcBorders>
              <w:right w:val="single" w:color="000000" w:sz="4" w:space="0"/>
            </w:tcBorders>
            <w:vAlign w:val="top"/>
          </w:tcPr>
          <w:p>
            <w:pPr>
              <w:spacing w:before="194"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5" w:line="235" w:lineRule="auto"/>
              <w:ind w:left="113"/>
              <w:rPr>
                <w:rFonts w:ascii="宋体" w:hAnsi="宋体" w:eastAsia="宋体" w:cs="宋体"/>
                <w:sz w:val="20"/>
                <w:szCs w:val="20"/>
              </w:rPr>
            </w:pPr>
            <w:r>
              <w:rPr>
                <w:rFonts w:ascii="宋体" w:hAnsi="宋体" w:eastAsia="宋体" w:cs="宋体"/>
                <w:spacing w:val="1"/>
                <w:sz w:val="20"/>
                <w:szCs w:val="20"/>
              </w:rPr>
              <w:t>3.2专业工程暂估价</w:t>
            </w:r>
          </w:p>
        </w:tc>
        <w:tc>
          <w:tcPr>
            <w:tcW w:w="5484" w:type="dxa"/>
            <w:tcBorders>
              <w:right w:val="single" w:color="000000" w:sz="4" w:space="0"/>
            </w:tcBorders>
            <w:vAlign w:val="top"/>
          </w:tcPr>
          <w:p>
            <w:pPr>
              <w:spacing w:before="120" w:line="220" w:lineRule="auto"/>
              <w:ind w:left="112"/>
              <w:rPr>
                <w:rFonts w:ascii="宋体" w:hAnsi="宋体" w:eastAsia="宋体" w:cs="宋体"/>
                <w:sz w:val="20"/>
                <w:szCs w:val="20"/>
              </w:rPr>
            </w:pPr>
            <w:r>
              <w:rPr>
                <w:rFonts w:ascii="宋体" w:hAnsi="宋体" w:eastAsia="宋体" w:cs="宋体"/>
                <w:spacing w:val="7"/>
                <w:sz w:val="20"/>
                <w:szCs w:val="20"/>
              </w:rPr>
              <w:t>按第一章相应规定计算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6" w:line="235" w:lineRule="auto"/>
              <w:ind w:left="113"/>
              <w:rPr>
                <w:rFonts w:ascii="宋体" w:hAnsi="宋体" w:eastAsia="宋体" w:cs="宋体"/>
                <w:sz w:val="20"/>
                <w:szCs w:val="20"/>
              </w:rPr>
            </w:pPr>
            <w:r>
              <w:rPr>
                <w:rFonts w:ascii="宋体" w:hAnsi="宋体" w:eastAsia="宋体" w:cs="宋体"/>
                <w:spacing w:val="-3"/>
                <w:sz w:val="20"/>
                <w:szCs w:val="20"/>
              </w:rPr>
              <w:t>3.3计日工</w:t>
            </w:r>
          </w:p>
        </w:tc>
        <w:tc>
          <w:tcPr>
            <w:tcW w:w="5484" w:type="dxa"/>
            <w:tcBorders>
              <w:right w:val="single" w:color="000000" w:sz="4" w:space="0"/>
            </w:tcBorders>
            <w:vAlign w:val="top"/>
          </w:tcPr>
          <w:p>
            <w:pPr>
              <w:spacing w:before="128" w:line="219" w:lineRule="auto"/>
              <w:ind w:left="112"/>
              <w:rPr>
                <w:rFonts w:ascii="宋体" w:hAnsi="宋体" w:eastAsia="宋体" w:cs="宋体"/>
                <w:sz w:val="20"/>
                <w:szCs w:val="20"/>
              </w:rPr>
            </w:pPr>
            <w:r>
              <w:rPr>
                <w:rFonts w:ascii="宋体" w:hAnsi="宋体" w:eastAsia="宋体" w:cs="宋体"/>
                <w:spacing w:val="7"/>
                <w:sz w:val="20"/>
                <w:szCs w:val="20"/>
              </w:rPr>
              <w:t>按发承包双方确认的数量及合同约定单价计算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9"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4" w:line="235" w:lineRule="auto"/>
              <w:ind w:left="113"/>
              <w:rPr>
                <w:rFonts w:ascii="宋体" w:hAnsi="宋体" w:eastAsia="宋体" w:cs="宋体"/>
                <w:sz w:val="20"/>
                <w:szCs w:val="20"/>
              </w:rPr>
            </w:pPr>
            <w:r>
              <w:rPr>
                <w:rFonts w:ascii="宋体" w:hAnsi="宋体" w:eastAsia="宋体" w:cs="宋体"/>
                <w:spacing w:val="-5"/>
                <w:sz w:val="20"/>
                <w:szCs w:val="20"/>
              </w:rPr>
              <w:t>3.4</w:t>
            </w:r>
            <w:r>
              <w:rPr>
                <w:rFonts w:ascii="宋体" w:hAnsi="宋体" w:eastAsia="宋体" w:cs="宋体"/>
                <w:spacing w:val="-41"/>
                <w:sz w:val="20"/>
                <w:szCs w:val="20"/>
              </w:rPr>
              <w:t xml:space="preserve"> </w:t>
            </w:r>
            <w:r>
              <w:rPr>
                <w:rFonts w:ascii="宋体" w:hAnsi="宋体" w:eastAsia="宋体" w:cs="宋体"/>
                <w:spacing w:val="-5"/>
                <w:sz w:val="20"/>
                <w:szCs w:val="20"/>
              </w:rPr>
              <w:t>总承包服务费</w:t>
            </w:r>
          </w:p>
        </w:tc>
        <w:tc>
          <w:tcPr>
            <w:tcW w:w="5484" w:type="dxa"/>
            <w:tcBorders>
              <w:right w:val="single" w:color="000000" w:sz="4" w:space="0"/>
            </w:tcBorders>
            <w:vAlign w:val="top"/>
          </w:tcPr>
          <w:p>
            <w:pPr>
              <w:spacing w:before="119" w:line="219" w:lineRule="auto"/>
              <w:ind w:left="112"/>
              <w:rPr>
                <w:rFonts w:ascii="宋体" w:hAnsi="宋体" w:eastAsia="宋体" w:cs="宋体"/>
                <w:sz w:val="20"/>
                <w:szCs w:val="20"/>
              </w:rPr>
            </w:pPr>
            <w:r>
              <w:rPr>
                <w:rFonts w:ascii="宋体" w:hAnsi="宋体" w:eastAsia="宋体" w:cs="宋体"/>
                <w:spacing w:val="7"/>
                <w:sz w:val="20"/>
                <w:szCs w:val="20"/>
              </w:rPr>
              <w:t>按合同约定及清单计价标准规定计算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0"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6" w:line="234" w:lineRule="auto"/>
              <w:ind w:left="113"/>
              <w:rPr>
                <w:rFonts w:ascii="宋体" w:hAnsi="宋体" w:eastAsia="宋体" w:cs="宋体"/>
                <w:sz w:val="20"/>
                <w:szCs w:val="20"/>
              </w:rPr>
            </w:pPr>
            <w:r>
              <w:rPr>
                <w:rFonts w:ascii="宋体" w:hAnsi="宋体" w:eastAsia="宋体" w:cs="宋体"/>
                <w:spacing w:val="-2"/>
                <w:sz w:val="20"/>
                <w:szCs w:val="20"/>
              </w:rPr>
              <w:t>3.5建设项目工伤保险</w:t>
            </w:r>
          </w:p>
        </w:tc>
        <w:tc>
          <w:tcPr>
            <w:tcW w:w="5484" w:type="dxa"/>
            <w:tcBorders>
              <w:right w:val="single" w:color="000000" w:sz="4" w:space="0"/>
            </w:tcBorders>
            <w:vAlign w:val="top"/>
          </w:tcPr>
          <w:p>
            <w:pPr>
              <w:spacing w:before="130" w:line="221" w:lineRule="auto"/>
              <w:ind w:left="112"/>
              <w:rPr>
                <w:rFonts w:ascii="宋体" w:hAnsi="宋体" w:eastAsia="宋体" w:cs="宋体"/>
                <w:sz w:val="20"/>
                <w:szCs w:val="20"/>
              </w:rPr>
            </w:pPr>
            <w:r>
              <w:rPr>
                <w:rFonts w:ascii="宋体" w:hAnsi="宋体" w:eastAsia="宋体" w:cs="宋体"/>
                <w:spacing w:val="5"/>
                <w:sz w:val="20"/>
                <w:szCs w:val="20"/>
              </w:rPr>
              <w:t>按缴费凭据计入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691" w:type="dxa"/>
            <w:vMerge w:val="continue"/>
            <w:tcBorders>
              <w:top w:val="nil"/>
              <w:left w:val="single" w:color="000000" w:sz="4" w:space="0"/>
              <w:bottom w:val="nil"/>
            </w:tcBorders>
            <w:vAlign w:val="top"/>
          </w:tcPr>
          <w:p>
            <w:pPr>
              <w:pStyle w:val="6"/>
            </w:pPr>
          </w:p>
        </w:tc>
        <w:tc>
          <w:tcPr>
            <w:tcW w:w="3099" w:type="dxa"/>
            <w:vAlign w:val="top"/>
          </w:tcPr>
          <w:p>
            <w:pPr>
              <w:spacing w:before="125" w:line="236" w:lineRule="auto"/>
              <w:ind w:left="113"/>
              <w:rPr>
                <w:rFonts w:ascii="宋体" w:hAnsi="宋体" w:eastAsia="宋体" w:cs="宋体"/>
                <w:sz w:val="20"/>
                <w:szCs w:val="20"/>
              </w:rPr>
            </w:pPr>
            <w:r>
              <w:rPr>
                <w:rFonts w:ascii="宋体" w:hAnsi="宋体" w:eastAsia="宋体" w:cs="宋体"/>
                <w:sz w:val="20"/>
                <w:szCs w:val="20"/>
              </w:rPr>
              <w:t>3.6优质优价费</w:t>
            </w:r>
          </w:p>
        </w:tc>
        <w:tc>
          <w:tcPr>
            <w:tcW w:w="5484" w:type="dxa"/>
            <w:tcBorders>
              <w:right w:val="single" w:color="000000" w:sz="4" w:space="0"/>
            </w:tcBorders>
            <w:vAlign w:val="top"/>
          </w:tcPr>
          <w:p>
            <w:pPr>
              <w:spacing w:before="129" w:line="220" w:lineRule="auto"/>
              <w:ind w:left="112"/>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1" w:hRule="atLeast"/>
        </w:trPr>
        <w:tc>
          <w:tcPr>
            <w:tcW w:w="691" w:type="dxa"/>
            <w:vMerge w:val="continue"/>
            <w:tcBorders>
              <w:top w:val="nil"/>
              <w:left w:val="single" w:color="000000" w:sz="4" w:space="0"/>
            </w:tcBorders>
            <w:vAlign w:val="top"/>
          </w:tcPr>
          <w:p>
            <w:pPr>
              <w:pStyle w:val="6"/>
            </w:pPr>
          </w:p>
        </w:tc>
        <w:tc>
          <w:tcPr>
            <w:tcW w:w="3099" w:type="dxa"/>
            <w:vAlign w:val="top"/>
          </w:tcPr>
          <w:p>
            <w:pPr>
              <w:spacing w:before="125" w:line="236" w:lineRule="auto"/>
              <w:ind w:left="113"/>
              <w:rPr>
                <w:rFonts w:ascii="宋体" w:hAnsi="宋体" w:eastAsia="宋体" w:cs="宋体"/>
                <w:sz w:val="20"/>
                <w:szCs w:val="20"/>
              </w:rPr>
            </w:pPr>
            <w:r>
              <w:rPr>
                <w:rFonts w:ascii="宋体" w:hAnsi="宋体" w:eastAsia="宋体" w:cs="宋体"/>
                <w:spacing w:val="-4"/>
                <w:sz w:val="20"/>
                <w:szCs w:val="20"/>
              </w:rPr>
              <w:t>3.7其他</w:t>
            </w:r>
          </w:p>
        </w:tc>
        <w:tc>
          <w:tcPr>
            <w:tcW w:w="5484" w:type="dxa"/>
            <w:tcBorders>
              <w:right w:val="single" w:color="000000" w:sz="4" w:space="0"/>
            </w:tcBorders>
            <w:vAlign w:val="top"/>
          </w:tcPr>
          <w:p>
            <w:pPr>
              <w:spacing w:before="129" w:line="220" w:lineRule="auto"/>
              <w:ind w:left="112"/>
              <w:rPr>
                <w:rFonts w:ascii="宋体" w:hAnsi="宋体" w:eastAsia="宋体" w:cs="宋体"/>
                <w:sz w:val="20"/>
                <w:szCs w:val="20"/>
              </w:rPr>
            </w:pPr>
            <w:r>
              <w:rPr>
                <w:rFonts w:ascii="宋体" w:hAnsi="宋体" w:eastAsia="宋体" w:cs="宋体"/>
                <w:spacing w:val="5"/>
                <w:sz w:val="20"/>
                <w:szCs w:val="20"/>
              </w:rPr>
              <w:t>按合同约定计算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5" w:hRule="atLeast"/>
        </w:trPr>
        <w:tc>
          <w:tcPr>
            <w:tcW w:w="691" w:type="dxa"/>
            <w:tcBorders>
              <w:left w:val="single" w:color="000000" w:sz="4" w:space="0"/>
            </w:tcBorders>
            <w:vAlign w:val="top"/>
          </w:tcPr>
          <w:p>
            <w:pPr>
              <w:spacing w:before="151" w:line="199" w:lineRule="auto"/>
              <w:ind w:left="296"/>
              <w:rPr>
                <w:rFonts w:ascii="宋体" w:hAnsi="宋体" w:eastAsia="宋体" w:cs="宋体"/>
                <w:sz w:val="20"/>
                <w:szCs w:val="20"/>
              </w:rPr>
            </w:pPr>
            <w:r>
              <w:rPr>
                <w:rFonts w:ascii="宋体" w:hAnsi="宋体" w:eastAsia="宋体" w:cs="宋体"/>
                <w:sz w:val="20"/>
                <w:szCs w:val="20"/>
              </w:rPr>
              <w:t>四</w:t>
            </w:r>
          </w:p>
        </w:tc>
        <w:tc>
          <w:tcPr>
            <w:tcW w:w="3099" w:type="dxa"/>
            <w:vAlign w:val="top"/>
          </w:tcPr>
          <w:p>
            <w:pPr>
              <w:spacing w:before="130" w:line="222" w:lineRule="auto"/>
              <w:ind w:left="105"/>
              <w:rPr>
                <w:rFonts w:ascii="宋体" w:hAnsi="宋体" w:eastAsia="宋体" w:cs="宋体"/>
                <w:sz w:val="20"/>
                <w:szCs w:val="20"/>
              </w:rPr>
            </w:pPr>
            <w:r>
              <w:rPr>
                <w:rFonts w:ascii="宋体" w:hAnsi="宋体" w:eastAsia="宋体" w:cs="宋体"/>
                <w:spacing w:val="4"/>
                <w:sz w:val="20"/>
                <w:szCs w:val="20"/>
              </w:rPr>
              <w:t>增值税</w:t>
            </w:r>
          </w:p>
        </w:tc>
        <w:tc>
          <w:tcPr>
            <w:tcW w:w="5484" w:type="dxa"/>
            <w:tcBorders>
              <w:right w:val="single" w:color="000000" w:sz="4" w:space="0"/>
            </w:tcBorders>
            <w:vAlign w:val="top"/>
          </w:tcPr>
          <w:p>
            <w:pPr>
              <w:spacing w:before="127" w:line="238" w:lineRule="auto"/>
              <w:ind w:left="117"/>
              <w:rPr>
                <w:rFonts w:ascii="宋体" w:hAnsi="宋体" w:eastAsia="宋体" w:cs="宋体"/>
                <w:sz w:val="20"/>
                <w:szCs w:val="20"/>
              </w:rPr>
            </w:pPr>
            <w:r>
              <w:rPr>
                <w:rFonts w:ascii="宋体" w:hAnsi="宋体" w:eastAsia="宋体" w:cs="宋体"/>
                <w:spacing w:val="-29"/>
                <w:sz w:val="20"/>
                <w:szCs w:val="20"/>
              </w:rPr>
              <w:t>［（</w:t>
            </w:r>
            <w:r>
              <w:rPr>
                <w:rFonts w:ascii="宋体" w:hAnsi="宋体" w:eastAsia="宋体" w:cs="宋体"/>
                <w:spacing w:val="4"/>
                <w:sz w:val="20"/>
                <w:szCs w:val="20"/>
              </w:rPr>
              <w:t>一</w:t>
            </w:r>
            <w:r>
              <w:rPr>
                <w:rFonts w:ascii="宋体" w:hAnsi="宋体" w:eastAsia="宋体" w:cs="宋体"/>
                <w:spacing w:val="-29"/>
                <w:sz w:val="20"/>
                <w:szCs w:val="20"/>
              </w:rPr>
              <w:t>）＋（</w:t>
            </w:r>
            <w:r>
              <w:rPr>
                <w:rFonts w:ascii="宋体" w:hAnsi="宋体" w:eastAsia="宋体" w:cs="宋体"/>
                <w:spacing w:val="4"/>
                <w:sz w:val="20"/>
                <w:szCs w:val="20"/>
              </w:rPr>
              <w:t>二</w:t>
            </w:r>
            <w:r>
              <w:rPr>
                <w:rFonts w:ascii="宋体" w:hAnsi="宋体" w:eastAsia="宋体" w:cs="宋体"/>
                <w:spacing w:val="-35"/>
                <w:sz w:val="20"/>
                <w:szCs w:val="20"/>
              </w:rPr>
              <w:t xml:space="preserve"> </w:t>
            </w:r>
            <w:r>
              <w:rPr>
                <w:rFonts w:ascii="宋体" w:hAnsi="宋体" w:eastAsia="宋体" w:cs="宋体"/>
                <w:spacing w:val="-29"/>
                <w:sz w:val="20"/>
                <w:szCs w:val="20"/>
              </w:rPr>
              <w:t>）＋（</w:t>
            </w:r>
            <w:r>
              <w:rPr>
                <w:rFonts w:ascii="宋体" w:hAnsi="宋体" w:eastAsia="宋体" w:cs="宋体"/>
                <w:spacing w:val="4"/>
                <w:sz w:val="20"/>
                <w:szCs w:val="20"/>
              </w:rPr>
              <w:t>三</w:t>
            </w:r>
            <w:r>
              <w:rPr>
                <w:rFonts w:ascii="宋体" w:hAnsi="宋体" w:eastAsia="宋体" w:cs="宋体"/>
                <w:spacing w:val="-29"/>
                <w:sz w:val="20"/>
                <w:szCs w:val="20"/>
              </w:rPr>
              <w:t>）－</w:t>
            </w:r>
            <w:r>
              <w:rPr>
                <w:rFonts w:ascii="宋体" w:hAnsi="宋体" w:eastAsia="宋体" w:cs="宋体"/>
                <w:spacing w:val="4"/>
                <w:sz w:val="20"/>
                <w:szCs w:val="20"/>
              </w:rPr>
              <w:t>3.2</w:t>
            </w:r>
            <w:r>
              <w:rPr>
                <w:rFonts w:ascii="宋体" w:hAnsi="宋体" w:eastAsia="宋体" w:cs="宋体"/>
                <w:spacing w:val="-29"/>
                <w:sz w:val="20"/>
                <w:szCs w:val="20"/>
              </w:rPr>
              <w:t>）］</w:t>
            </w:r>
            <w:r>
              <w:rPr>
                <w:rFonts w:ascii="宋体" w:hAnsi="宋体" w:eastAsia="宋体" w:cs="宋体"/>
                <w:spacing w:val="-76"/>
                <w:sz w:val="20"/>
                <w:szCs w:val="20"/>
              </w:rPr>
              <w:t xml:space="preserve"> </w:t>
            </w:r>
            <w:r>
              <w:rPr>
                <w:rFonts w:ascii="宋体" w:hAnsi="宋体" w:eastAsia="宋体" w:cs="宋体"/>
                <w:spacing w:val="4"/>
                <w:sz w:val="20"/>
                <w:szCs w:val="20"/>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4" w:hRule="atLeast"/>
        </w:trPr>
        <w:tc>
          <w:tcPr>
            <w:tcW w:w="691" w:type="dxa"/>
            <w:tcBorders>
              <w:left w:val="single" w:color="000000" w:sz="4" w:space="0"/>
              <w:bottom w:val="single" w:color="000000" w:sz="4" w:space="0"/>
            </w:tcBorders>
            <w:vAlign w:val="top"/>
          </w:tcPr>
          <w:p>
            <w:pPr>
              <w:spacing w:before="156" w:line="201" w:lineRule="auto"/>
              <w:ind w:left="264"/>
              <w:rPr>
                <w:rFonts w:ascii="宋体" w:hAnsi="宋体" w:eastAsia="宋体" w:cs="宋体"/>
                <w:sz w:val="20"/>
                <w:szCs w:val="20"/>
              </w:rPr>
            </w:pPr>
            <w:r>
              <w:rPr>
                <w:rFonts w:ascii="宋体" w:hAnsi="宋体" w:eastAsia="宋体" w:cs="宋体"/>
                <w:sz w:val="20"/>
                <w:szCs w:val="20"/>
              </w:rPr>
              <w:t>五</w:t>
            </w:r>
          </w:p>
        </w:tc>
        <w:tc>
          <w:tcPr>
            <w:tcW w:w="3099" w:type="dxa"/>
            <w:tcBorders>
              <w:bottom w:val="single" w:color="000000" w:sz="4" w:space="0"/>
            </w:tcBorders>
            <w:vAlign w:val="top"/>
          </w:tcPr>
          <w:p>
            <w:pPr>
              <w:spacing w:before="128" w:line="223" w:lineRule="auto"/>
              <w:ind w:left="108"/>
              <w:rPr>
                <w:rFonts w:ascii="宋体" w:hAnsi="宋体" w:eastAsia="宋体" w:cs="宋体"/>
                <w:sz w:val="20"/>
                <w:szCs w:val="20"/>
              </w:rPr>
            </w:pPr>
            <w:r>
              <w:rPr>
                <w:rFonts w:ascii="宋体" w:hAnsi="宋体" w:eastAsia="宋体" w:cs="宋体"/>
                <w:spacing w:val="5"/>
                <w:sz w:val="20"/>
                <w:szCs w:val="20"/>
              </w:rPr>
              <w:t>建设工程费用合计</w:t>
            </w:r>
          </w:p>
        </w:tc>
        <w:tc>
          <w:tcPr>
            <w:tcW w:w="5484" w:type="dxa"/>
            <w:tcBorders>
              <w:bottom w:val="single" w:color="000000" w:sz="4" w:space="0"/>
              <w:right w:val="single" w:color="000000" w:sz="4" w:space="0"/>
            </w:tcBorders>
            <w:vAlign w:val="top"/>
          </w:tcPr>
          <w:p>
            <w:pPr>
              <w:spacing w:before="128" w:line="275" w:lineRule="exact"/>
              <w:ind w:left="114"/>
              <w:rPr>
                <w:rFonts w:ascii="宋体" w:hAnsi="宋体" w:eastAsia="宋体" w:cs="宋体"/>
                <w:sz w:val="20"/>
                <w:szCs w:val="20"/>
              </w:rPr>
            </w:pPr>
            <w:r>
              <w:rPr>
                <w:rFonts w:ascii="宋体" w:hAnsi="宋体" w:eastAsia="宋体" w:cs="宋体"/>
                <w:spacing w:val="21"/>
                <w:position w:val="1"/>
                <w:sz w:val="20"/>
                <w:szCs w:val="20"/>
              </w:rPr>
              <w:t>（一</w:t>
            </w:r>
            <w:r>
              <w:rPr>
                <w:rFonts w:ascii="宋体" w:hAnsi="宋体" w:eastAsia="宋体" w:cs="宋体"/>
                <w:spacing w:val="-34"/>
                <w:position w:val="1"/>
                <w:sz w:val="20"/>
                <w:szCs w:val="20"/>
              </w:rPr>
              <w:t>）＋（</w:t>
            </w:r>
            <w:r>
              <w:rPr>
                <w:rFonts w:ascii="宋体" w:hAnsi="宋体" w:eastAsia="宋体" w:cs="宋体"/>
                <w:spacing w:val="21"/>
                <w:position w:val="1"/>
                <w:sz w:val="20"/>
                <w:szCs w:val="20"/>
              </w:rPr>
              <w:t>二</w:t>
            </w:r>
            <w:r>
              <w:rPr>
                <w:rFonts w:ascii="宋体" w:hAnsi="宋体" w:eastAsia="宋体" w:cs="宋体"/>
                <w:spacing w:val="-34"/>
                <w:position w:val="1"/>
                <w:sz w:val="20"/>
                <w:szCs w:val="20"/>
              </w:rPr>
              <w:t xml:space="preserve"> ）＋（</w:t>
            </w:r>
            <w:r>
              <w:rPr>
                <w:rFonts w:ascii="宋体" w:hAnsi="宋体" w:eastAsia="宋体" w:cs="宋体"/>
                <w:spacing w:val="21"/>
                <w:position w:val="1"/>
                <w:sz w:val="20"/>
                <w:szCs w:val="20"/>
              </w:rPr>
              <w:t>三</w:t>
            </w:r>
            <w:r>
              <w:rPr>
                <w:rFonts w:ascii="宋体" w:hAnsi="宋体" w:eastAsia="宋体" w:cs="宋体"/>
                <w:spacing w:val="-34"/>
                <w:position w:val="1"/>
                <w:sz w:val="20"/>
                <w:szCs w:val="20"/>
              </w:rPr>
              <w:t>）＋（</w:t>
            </w:r>
            <w:r>
              <w:rPr>
                <w:rFonts w:ascii="宋体" w:hAnsi="宋体" w:eastAsia="宋体" w:cs="宋体"/>
                <w:spacing w:val="21"/>
                <w:position w:val="1"/>
                <w:sz w:val="20"/>
                <w:szCs w:val="20"/>
              </w:rPr>
              <w:t>四）</w:t>
            </w:r>
          </w:p>
        </w:tc>
      </w:tr>
    </w:tbl>
    <w:p>
      <w:pPr>
        <w:spacing w:before="102" w:line="276" w:lineRule="exact"/>
        <w:ind w:left="155"/>
        <w:rPr>
          <w:rFonts w:ascii="宋体" w:hAnsi="宋体" w:eastAsia="宋体" w:cs="宋体"/>
          <w:sz w:val="20"/>
          <w:szCs w:val="20"/>
        </w:rPr>
      </w:pPr>
      <w:r>
        <w:rPr>
          <w:rFonts w:ascii="宋体" w:hAnsi="宋体" w:eastAsia="宋体" w:cs="宋体"/>
          <w:spacing w:val="-8"/>
          <w:position w:val="1"/>
          <w:sz w:val="20"/>
          <w:szCs w:val="20"/>
        </w:rPr>
        <w:t>附表：</w:t>
      </w:r>
    </w:p>
    <w:p>
      <w:pPr>
        <w:spacing w:line="33" w:lineRule="exact"/>
      </w:pPr>
    </w:p>
    <w:tbl>
      <w:tblPr>
        <w:tblStyle w:val="5"/>
        <w:tblW w:w="926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3292"/>
        <w:gridCol w:w="52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6" w:hRule="atLeast"/>
        </w:trPr>
        <w:tc>
          <w:tcPr>
            <w:tcW w:w="691" w:type="dxa"/>
            <w:vMerge w:val="restart"/>
            <w:tcBorders>
              <w:top w:val="single" w:color="000000" w:sz="4" w:space="0"/>
              <w:left w:val="single" w:color="000000" w:sz="4" w:space="0"/>
              <w:bottom w:val="nil"/>
            </w:tcBorders>
            <w:vAlign w:val="top"/>
          </w:tcPr>
          <w:p>
            <w:pPr>
              <w:pStyle w:val="6"/>
              <w:spacing w:line="265" w:lineRule="auto"/>
            </w:pPr>
          </w:p>
          <w:p>
            <w:pPr>
              <w:pStyle w:val="6"/>
              <w:spacing w:line="266" w:lineRule="auto"/>
            </w:pPr>
          </w:p>
          <w:p>
            <w:pPr>
              <w:spacing w:before="65" w:line="189" w:lineRule="auto"/>
              <w:ind w:left="318"/>
              <w:rPr>
                <w:rFonts w:ascii="宋体" w:hAnsi="宋体" w:eastAsia="宋体" w:cs="宋体"/>
                <w:sz w:val="20"/>
                <w:szCs w:val="20"/>
              </w:rPr>
            </w:pPr>
            <w:r>
              <w:rPr>
                <w:rFonts w:ascii="宋体" w:hAnsi="宋体" w:eastAsia="宋体" w:cs="宋体"/>
                <w:spacing w:val="6"/>
                <w:w w:val="127"/>
                <w:sz w:val="20"/>
                <w:szCs w:val="20"/>
              </w:rPr>
              <w:t>A</w:t>
            </w:r>
          </w:p>
        </w:tc>
        <w:tc>
          <w:tcPr>
            <w:tcW w:w="3292" w:type="dxa"/>
            <w:tcBorders>
              <w:top w:val="single" w:color="000000" w:sz="4" w:space="0"/>
            </w:tcBorders>
            <w:vAlign w:val="top"/>
          </w:tcPr>
          <w:p>
            <w:pPr>
              <w:spacing w:before="108" w:line="221" w:lineRule="auto"/>
              <w:ind w:left="132"/>
              <w:rPr>
                <w:rFonts w:ascii="宋体" w:hAnsi="宋体" w:eastAsia="宋体" w:cs="宋体"/>
                <w:sz w:val="20"/>
                <w:szCs w:val="20"/>
              </w:rPr>
            </w:pPr>
            <w:r>
              <w:rPr>
                <w:rFonts w:ascii="宋体" w:hAnsi="宋体" w:eastAsia="宋体" w:cs="宋体"/>
                <w:spacing w:val="7"/>
                <w:sz w:val="20"/>
                <w:szCs w:val="20"/>
              </w:rPr>
              <w:t>另行计算的费用项目</w:t>
            </w:r>
          </w:p>
        </w:tc>
        <w:tc>
          <w:tcPr>
            <w:tcW w:w="5277" w:type="dxa"/>
            <w:tcBorders>
              <w:top w:val="single" w:color="000000" w:sz="4" w:space="0"/>
              <w:right w:val="single" w:color="000000" w:sz="4" w:space="0"/>
            </w:tcBorders>
            <w:vAlign w:val="top"/>
          </w:tcPr>
          <w:p>
            <w:pPr>
              <w:spacing w:before="107" w:line="223" w:lineRule="auto"/>
              <w:ind w:left="136"/>
              <w:rPr>
                <w:rFonts w:ascii="宋体" w:hAnsi="宋体" w:eastAsia="宋体" w:cs="宋体"/>
                <w:sz w:val="20"/>
                <w:szCs w:val="20"/>
              </w:rPr>
            </w:pPr>
            <w:r>
              <w:rPr>
                <w:rFonts w:ascii="宋体" w:hAnsi="宋体" w:eastAsia="宋体" w:cs="宋体"/>
                <w:spacing w:val="-10"/>
                <w:sz w:val="20"/>
                <w:szCs w:val="20"/>
              </w:rPr>
              <w:t>不计入建设工程费用合计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9" w:hRule="atLeast"/>
        </w:trPr>
        <w:tc>
          <w:tcPr>
            <w:tcW w:w="691" w:type="dxa"/>
            <w:vMerge w:val="continue"/>
            <w:tcBorders>
              <w:top w:val="nil"/>
              <w:left w:val="single" w:color="000000" w:sz="4" w:space="0"/>
              <w:bottom w:val="nil"/>
            </w:tcBorders>
            <w:vAlign w:val="top"/>
          </w:tcPr>
          <w:p>
            <w:pPr>
              <w:pStyle w:val="6"/>
            </w:pPr>
          </w:p>
        </w:tc>
        <w:tc>
          <w:tcPr>
            <w:tcW w:w="3292" w:type="dxa"/>
            <w:vAlign w:val="top"/>
          </w:tcPr>
          <w:p>
            <w:pPr>
              <w:spacing w:before="100" w:line="239" w:lineRule="auto"/>
              <w:ind w:left="121"/>
              <w:rPr>
                <w:rFonts w:ascii="宋体" w:hAnsi="宋体" w:eastAsia="宋体" w:cs="宋体"/>
                <w:sz w:val="20"/>
                <w:szCs w:val="20"/>
              </w:rPr>
            </w:pPr>
            <w:r>
              <w:rPr>
                <w:rFonts w:ascii="宋体" w:hAnsi="宋体" w:eastAsia="宋体" w:cs="宋体"/>
                <w:spacing w:val="4"/>
                <w:sz w:val="20"/>
                <w:szCs w:val="20"/>
              </w:rPr>
              <w:t>A.1</w:t>
            </w:r>
            <w:r>
              <w:rPr>
                <w:rFonts w:ascii="宋体" w:hAnsi="宋体" w:eastAsia="宋体" w:cs="宋体"/>
                <w:spacing w:val="-53"/>
                <w:sz w:val="20"/>
                <w:szCs w:val="20"/>
              </w:rPr>
              <w:t xml:space="preserve"> </w:t>
            </w:r>
            <w:r>
              <w:rPr>
                <w:rFonts w:ascii="宋体" w:hAnsi="宋体" w:eastAsia="宋体" w:cs="宋体"/>
                <w:spacing w:val="4"/>
                <w:sz w:val="20"/>
                <w:szCs w:val="20"/>
              </w:rPr>
              <w:t>发包人提供的材料费</w:t>
            </w:r>
          </w:p>
        </w:tc>
        <w:tc>
          <w:tcPr>
            <w:tcW w:w="5277" w:type="dxa"/>
            <w:tcBorders>
              <w:right w:val="single" w:color="000000" w:sz="4" w:space="0"/>
            </w:tcBorders>
            <w:vAlign w:val="top"/>
          </w:tcPr>
          <w:p>
            <w:pPr>
              <w:spacing w:before="107" w:line="221" w:lineRule="auto"/>
              <w:ind w:left="132"/>
              <w:rPr>
                <w:rFonts w:ascii="宋体" w:hAnsi="宋体" w:eastAsia="宋体" w:cs="宋体"/>
                <w:sz w:val="20"/>
                <w:szCs w:val="20"/>
              </w:rPr>
            </w:pPr>
            <w:r>
              <w:rPr>
                <w:rFonts w:ascii="宋体" w:hAnsi="宋体" w:eastAsia="宋体" w:cs="宋体"/>
                <w:spacing w:val="-10"/>
                <w:sz w:val="20"/>
                <w:szCs w:val="20"/>
              </w:rPr>
              <w:t>作为调整相关费用的计算基础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7" w:hRule="atLeast"/>
        </w:trPr>
        <w:tc>
          <w:tcPr>
            <w:tcW w:w="691" w:type="dxa"/>
            <w:vMerge w:val="continue"/>
            <w:tcBorders>
              <w:top w:val="nil"/>
              <w:left w:val="single" w:color="000000" w:sz="4" w:space="0"/>
              <w:bottom w:val="single" w:color="000000" w:sz="4" w:space="0"/>
            </w:tcBorders>
            <w:vAlign w:val="top"/>
          </w:tcPr>
          <w:p>
            <w:pPr>
              <w:pStyle w:val="6"/>
            </w:pPr>
          </w:p>
        </w:tc>
        <w:tc>
          <w:tcPr>
            <w:tcW w:w="3292" w:type="dxa"/>
            <w:tcBorders>
              <w:bottom w:val="single" w:color="000000" w:sz="4" w:space="0"/>
            </w:tcBorders>
            <w:vAlign w:val="top"/>
          </w:tcPr>
          <w:p>
            <w:pPr>
              <w:spacing w:before="110" w:line="266" w:lineRule="exact"/>
              <w:ind w:left="121"/>
              <w:rPr>
                <w:rFonts w:ascii="宋体" w:hAnsi="宋体" w:eastAsia="宋体" w:cs="宋体"/>
                <w:sz w:val="20"/>
                <w:szCs w:val="20"/>
              </w:rPr>
            </w:pPr>
            <w:r>
              <w:rPr>
                <w:rFonts w:ascii="宋体" w:hAnsi="宋体" w:eastAsia="宋体" w:cs="宋体"/>
                <w:spacing w:val="5"/>
                <w:position w:val="1"/>
                <w:sz w:val="20"/>
                <w:szCs w:val="20"/>
              </w:rPr>
              <w:t>A.2</w:t>
            </w:r>
            <w:r>
              <w:rPr>
                <w:rFonts w:ascii="宋体" w:hAnsi="宋体" w:eastAsia="宋体" w:cs="宋体"/>
                <w:spacing w:val="-43"/>
                <w:position w:val="1"/>
                <w:sz w:val="20"/>
                <w:szCs w:val="20"/>
              </w:rPr>
              <w:t xml:space="preserve"> </w:t>
            </w:r>
            <w:r>
              <w:rPr>
                <w:rFonts w:ascii="宋体" w:hAnsi="宋体" w:eastAsia="宋体" w:cs="宋体"/>
                <w:spacing w:val="5"/>
                <w:position w:val="1"/>
                <w:sz w:val="20"/>
                <w:szCs w:val="20"/>
              </w:rPr>
              <w:t>发包人直接发包的专业工程费</w:t>
            </w:r>
          </w:p>
        </w:tc>
        <w:tc>
          <w:tcPr>
            <w:tcW w:w="5277" w:type="dxa"/>
            <w:tcBorders>
              <w:bottom w:val="single" w:color="000000" w:sz="4" w:space="0"/>
              <w:right w:val="single" w:color="000000" w:sz="4" w:space="0"/>
            </w:tcBorders>
            <w:vAlign w:val="top"/>
          </w:tcPr>
          <w:p>
            <w:pPr>
              <w:spacing w:before="113" w:line="221" w:lineRule="auto"/>
              <w:ind w:left="132"/>
              <w:rPr>
                <w:rFonts w:ascii="宋体" w:hAnsi="宋体" w:eastAsia="宋体" w:cs="宋体"/>
                <w:sz w:val="20"/>
                <w:szCs w:val="20"/>
              </w:rPr>
            </w:pPr>
            <w:r>
              <w:rPr>
                <w:rFonts w:ascii="宋体" w:hAnsi="宋体" w:eastAsia="宋体" w:cs="宋体"/>
                <w:spacing w:val="-10"/>
                <w:sz w:val="20"/>
                <w:szCs w:val="20"/>
              </w:rPr>
              <w:t>作为调整相关费用的计算依据</w:t>
            </w:r>
          </w:p>
        </w:tc>
      </w:tr>
    </w:tbl>
    <w:p>
      <w:pPr>
        <w:rPr>
          <w:rFonts w:ascii="Arial"/>
          <w:sz w:val="21"/>
        </w:rPr>
      </w:pPr>
    </w:p>
    <w:p>
      <w:pPr>
        <w:rPr>
          <w:rFonts w:ascii="Arial" w:hAnsi="Arial" w:eastAsia="Arial" w:cs="Arial"/>
          <w:sz w:val="21"/>
          <w:szCs w:val="21"/>
        </w:rPr>
        <w:sectPr>
          <w:footerReference r:id="rId216" w:type="default"/>
          <w:pgSz w:w="11905" w:h="16840"/>
          <w:pgMar w:top="400" w:right="1203" w:bottom="1213" w:left="1416" w:header="0" w:footer="898" w:gutter="0"/>
        </w:sectPr>
      </w:pPr>
    </w:p>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pStyle w:val="2"/>
        <w:spacing w:before="85" w:line="209" w:lineRule="auto"/>
        <w:ind w:left="425"/>
        <w:rPr>
          <w:sz w:val="20"/>
          <w:szCs w:val="20"/>
        </w:rPr>
      </w:pPr>
      <w:r>
        <w:rPr>
          <w:spacing w:val="7"/>
          <w:sz w:val="20"/>
          <w:szCs w:val="20"/>
        </w:rPr>
        <w:t>工程结算阶段计算程序说明：</w:t>
      </w:r>
    </w:p>
    <w:p>
      <w:pPr>
        <w:spacing w:before="277" w:line="276" w:lineRule="exact"/>
        <w:ind w:left="415"/>
        <w:rPr>
          <w:rFonts w:ascii="宋体" w:hAnsi="宋体" w:eastAsia="宋体" w:cs="宋体"/>
          <w:sz w:val="20"/>
          <w:szCs w:val="20"/>
        </w:rPr>
      </w:pPr>
      <w:r>
        <w:rPr>
          <w:rFonts w:ascii="宋体" w:hAnsi="宋体" w:eastAsia="宋体" w:cs="宋体"/>
          <w:spacing w:val="10"/>
          <w:position w:val="1"/>
          <w:sz w:val="20"/>
          <w:szCs w:val="20"/>
        </w:rPr>
        <w:t>本计算程序适用于采用单价合同的建设项目。除合同另</w:t>
      </w:r>
      <w:r>
        <w:rPr>
          <w:rFonts w:ascii="宋体" w:hAnsi="宋体" w:eastAsia="宋体" w:cs="宋体"/>
          <w:spacing w:val="9"/>
          <w:position w:val="1"/>
          <w:sz w:val="20"/>
          <w:szCs w:val="20"/>
        </w:rPr>
        <w:t>有约定外，工程结算按以下原则处理：</w:t>
      </w:r>
    </w:p>
    <w:p>
      <w:pPr>
        <w:spacing w:before="251" w:line="276" w:lineRule="exact"/>
        <w:ind w:left="449"/>
        <w:rPr>
          <w:rFonts w:ascii="宋体" w:hAnsi="宋体" w:eastAsia="宋体" w:cs="宋体"/>
          <w:sz w:val="20"/>
          <w:szCs w:val="20"/>
        </w:rPr>
      </w:pPr>
      <w:r>
        <w:rPr>
          <w:rFonts w:ascii="宋体" w:hAnsi="宋体" w:eastAsia="宋体" w:cs="宋体"/>
          <w:spacing w:val="5"/>
          <w:position w:val="1"/>
          <w:sz w:val="20"/>
          <w:szCs w:val="20"/>
        </w:rPr>
        <w:t>1.以价款调整取代暂列金额计入建设工程费用。</w:t>
      </w:r>
    </w:p>
    <w:p>
      <w:pPr>
        <w:spacing w:before="252" w:line="276" w:lineRule="exact"/>
        <w:ind w:left="420"/>
        <w:rPr>
          <w:rFonts w:ascii="宋体" w:hAnsi="宋体" w:eastAsia="宋体" w:cs="宋体"/>
          <w:sz w:val="20"/>
          <w:szCs w:val="20"/>
        </w:rPr>
      </w:pPr>
      <w:r>
        <w:rPr>
          <w:rFonts w:ascii="宋体" w:hAnsi="宋体" w:eastAsia="宋体" w:cs="宋体"/>
          <w:spacing w:val="7"/>
          <w:position w:val="1"/>
          <w:sz w:val="20"/>
          <w:szCs w:val="20"/>
        </w:rPr>
        <w:t>2.因物价变化和材料暂估价引起的价差，不计取企业管理费、利润。</w:t>
      </w:r>
    </w:p>
    <w:p>
      <w:pPr>
        <w:spacing w:before="251" w:line="296" w:lineRule="auto"/>
        <w:ind w:firstLine="424"/>
        <w:rPr>
          <w:rFonts w:ascii="宋体" w:hAnsi="宋体" w:eastAsia="宋体" w:cs="宋体"/>
          <w:sz w:val="20"/>
          <w:szCs w:val="20"/>
        </w:rPr>
      </w:pPr>
      <w:r>
        <w:rPr>
          <w:rFonts w:ascii="宋体" w:hAnsi="宋体" w:eastAsia="宋体" w:cs="宋体"/>
          <w:spacing w:val="8"/>
          <w:sz w:val="20"/>
          <w:szCs w:val="20"/>
        </w:rPr>
        <w:t>3.按总价计价的分部分项清单项目和措施项目（除安全文明措施费外</w:t>
      </w:r>
      <w:r>
        <w:rPr>
          <w:rFonts w:ascii="宋体" w:hAnsi="宋体" w:eastAsia="宋体" w:cs="宋体"/>
          <w:spacing w:val="-14"/>
          <w:sz w:val="20"/>
          <w:szCs w:val="20"/>
        </w:rPr>
        <w:t>）</w:t>
      </w:r>
      <w:r>
        <w:rPr>
          <w:rFonts w:ascii="宋体" w:hAnsi="宋体" w:eastAsia="宋体" w:cs="宋体"/>
          <w:spacing w:val="47"/>
          <w:sz w:val="20"/>
          <w:szCs w:val="20"/>
        </w:rPr>
        <w:t xml:space="preserve"> </w:t>
      </w:r>
      <w:r>
        <w:rPr>
          <w:rFonts w:ascii="宋体" w:hAnsi="宋体" w:eastAsia="宋体" w:cs="宋体"/>
          <w:spacing w:val="-14"/>
          <w:sz w:val="20"/>
          <w:szCs w:val="20"/>
        </w:rPr>
        <w:t>，</w:t>
      </w:r>
      <w:r>
        <w:rPr>
          <w:rFonts w:ascii="宋体" w:hAnsi="宋体" w:eastAsia="宋体" w:cs="宋体"/>
          <w:spacing w:val="8"/>
          <w:sz w:val="20"/>
          <w:szCs w:val="20"/>
        </w:rPr>
        <w:t>其费用不</w:t>
      </w:r>
      <w:r>
        <w:rPr>
          <w:rFonts w:ascii="宋体" w:hAnsi="宋体" w:eastAsia="宋体" w:cs="宋体"/>
          <w:spacing w:val="7"/>
          <w:sz w:val="20"/>
          <w:szCs w:val="20"/>
        </w:rPr>
        <w:t>因物价变化</w:t>
      </w:r>
      <w:r>
        <w:rPr>
          <w:rFonts w:ascii="宋体" w:hAnsi="宋体" w:eastAsia="宋体" w:cs="宋体"/>
          <w:spacing w:val="4"/>
          <w:sz w:val="20"/>
          <w:szCs w:val="20"/>
        </w:rPr>
        <w:t>而调整。</w:t>
      </w:r>
    </w:p>
    <w:p>
      <w:pPr>
        <w:spacing w:before="287" w:line="312" w:lineRule="auto"/>
        <w:ind w:right="2" w:firstLine="412"/>
        <w:rPr>
          <w:rFonts w:ascii="宋体" w:hAnsi="宋体" w:eastAsia="宋体" w:cs="宋体"/>
          <w:sz w:val="20"/>
          <w:szCs w:val="20"/>
        </w:rPr>
      </w:pPr>
      <w:r>
        <w:rPr>
          <w:rFonts w:ascii="宋体" w:hAnsi="宋体" w:eastAsia="宋体" w:cs="宋体"/>
          <w:spacing w:val="11"/>
          <w:sz w:val="20"/>
          <w:szCs w:val="20"/>
        </w:rPr>
        <w:t>4.措施项目（除安全文明措施费外）包干计价。措施项</w:t>
      </w:r>
      <w:r>
        <w:rPr>
          <w:rFonts w:ascii="宋体" w:hAnsi="宋体" w:eastAsia="宋体" w:cs="宋体"/>
          <w:spacing w:val="10"/>
          <w:sz w:val="20"/>
          <w:szCs w:val="20"/>
        </w:rPr>
        <w:t>目除因工程变更、工期实质性延长（缩</w:t>
      </w:r>
      <w:r>
        <w:rPr>
          <w:rFonts w:ascii="宋体" w:hAnsi="宋体" w:eastAsia="宋体" w:cs="宋体"/>
          <w:spacing w:val="9"/>
          <w:sz w:val="20"/>
          <w:szCs w:val="20"/>
        </w:rPr>
        <w:t>短）引起措施费调整外，其他情形不作调整。</w:t>
      </w:r>
    </w:p>
    <w:p>
      <w:pPr>
        <w:spacing w:before="249" w:line="276" w:lineRule="exact"/>
        <w:ind w:left="422"/>
        <w:rPr>
          <w:rFonts w:ascii="宋体" w:hAnsi="宋体" w:eastAsia="宋体" w:cs="宋体"/>
          <w:sz w:val="20"/>
          <w:szCs w:val="20"/>
        </w:rPr>
      </w:pPr>
      <w:r>
        <w:rPr>
          <w:rFonts w:ascii="宋体" w:hAnsi="宋体" w:eastAsia="宋体" w:cs="宋体"/>
          <w:spacing w:val="7"/>
          <w:position w:val="1"/>
          <w:sz w:val="20"/>
          <w:szCs w:val="20"/>
        </w:rPr>
        <w:t>5.采用费率计价的安全文明措施费，根据计费基础变化情况重新计算。</w:t>
      </w:r>
    </w:p>
    <w:p>
      <w:pPr>
        <w:spacing w:before="252" w:line="278" w:lineRule="exact"/>
        <w:ind w:left="418"/>
        <w:rPr>
          <w:rFonts w:ascii="宋体" w:hAnsi="宋体" w:eastAsia="宋体" w:cs="宋体"/>
          <w:sz w:val="20"/>
          <w:szCs w:val="20"/>
        </w:rPr>
      </w:pPr>
      <w:r>
        <w:rPr>
          <w:rFonts w:ascii="宋体" w:hAnsi="宋体" w:eastAsia="宋体" w:cs="宋体"/>
          <w:spacing w:val="5"/>
          <w:position w:val="1"/>
          <w:sz w:val="20"/>
          <w:szCs w:val="20"/>
        </w:rPr>
        <w:t>6.建设项目工伤保险按缴费凭据按实结算。</w:t>
      </w:r>
    </w:p>
    <w:p>
      <w:pPr>
        <w:spacing w:before="250" w:line="276" w:lineRule="exact"/>
        <w:ind w:left="420"/>
        <w:rPr>
          <w:rFonts w:ascii="宋体" w:hAnsi="宋体" w:eastAsia="宋体" w:cs="宋体"/>
          <w:sz w:val="20"/>
          <w:szCs w:val="20"/>
        </w:rPr>
      </w:pPr>
      <w:r>
        <w:rPr>
          <w:rFonts w:ascii="宋体" w:hAnsi="宋体" w:eastAsia="宋体" w:cs="宋体"/>
          <w:spacing w:val="6"/>
          <w:position w:val="1"/>
          <w:sz w:val="20"/>
          <w:szCs w:val="20"/>
        </w:rPr>
        <w:t>7.采用总价合同的工程按国家清单计价标准规定结算。</w:t>
      </w:r>
    </w:p>
    <w:p>
      <w:pPr>
        <w:spacing w:line="276" w:lineRule="exact"/>
        <w:rPr>
          <w:rFonts w:ascii="宋体" w:hAnsi="宋体" w:eastAsia="宋体" w:cs="宋体"/>
          <w:sz w:val="20"/>
          <w:szCs w:val="20"/>
        </w:rPr>
        <w:sectPr>
          <w:footerReference r:id="rId217" w:type="default"/>
          <w:pgSz w:w="11905" w:h="16840"/>
          <w:pgMar w:top="400" w:right="1419" w:bottom="1213" w:left="1424" w:header="0" w:footer="898" w:gutter="0"/>
        </w:sect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before="97" w:line="215" w:lineRule="auto"/>
        <w:ind w:left="2731"/>
        <w:outlineLvl w:val="1"/>
        <w:rPr>
          <w:rFonts w:ascii="宋体" w:hAnsi="宋体" w:eastAsia="宋体" w:cs="宋体"/>
          <w:sz w:val="30"/>
          <w:szCs w:val="30"/>
        </w:rPr>
      </w:pPr>
      <w:bookmarkStart w:id="117" w:name="bookmark70"/>
      <w:bookmarkEnd w:id="117"/>
      <w:bookmarkStart w:id="118" w:name="bookmark71"/>
      <w:bookmarkEnd w:id="118"/>
      <w:r>
        <w:rPr>
          <w:rFonts w:ascii="宋体" w:hAnsi="宋体" w:eastAsia="宋体" w:cs="宋体"/>
          <w:b/>
          <w:bCs/>
          <w:spacing w:val="-3"/>
          <w:sz w:val="30"/>
          <w:szCs w:val="30"/>
        </w:rPr>
        <w:t>第三节</w:t>
      </w:r>
      <w:r>
        <w:rPr>
          <w:rFonts w:ascii="宋体" w:hAnsi="宋体" w:eastAsia="宋体" w:cs="宋体"/>
          <w:spacing w:val="-3"/>
          <w:sz w:val="30"/>
          <w:szCs w:val="30"/>
        </w:rPr>
        <w:t xml:space="preserve">  </w:t>
      </w:r>
      <w:r>
        <w:rPr>
          <w:rFonts w:ascii="宋体" w:hAnsi="宋体" w:eastAsia="宋体" w:cs="宋体"/>
          <w:b/>
          <w:bCs/>
          <w:spacing w:val="-3"/>
          <w:sz w:val="30"/>
          <w:szCs w:val="30"/>
        </w:rPr>
        <w:t>建设工程费用费率</w:t>
      </w:r>
    </w:p>
    <w:p>
      <w:pPr>
        <w:spacing w:before="276" w:line="321" w:lineRule="auto"/>
        <w:ind w:left="3" w:right="55" w:firstLine="467"/>
        <w:jc w:val="both"/>
        <w:rPr>
          <w:rFonts w:ascii="宋体" w:hAnsi="宋体" w:eastAsia="宋体" w:cs="宋体"/>
          <w:sz w:val="20"/>
          <w:szCs w:val="20"/>
        </w:rPr>
      </w:pPr>
      <w:r>
        <w:rPr>
          <w:rFonts w:ascii="宋体" w:hAnsi="宋体" w:eastAsia="宋体" w:cs="宋体"/>
          <w:spacing w:val="20"/>
          <w:sz w:val="20"/>
          <w:szCs w:val="20"/>
        </w:rPr>
        <w:t>企业管理费</w:t>
      </w:r>
      <w:r>
        <w:rPr>
          <w:rFonts w:ascii="宋体" w:hAnsi="宋体" w:eastAsia="宋体" w:cs="宋体"/>
          <w:spacing w:val="-34"/>
          <w:sz w:val="20"/>
          <w:szCs w:val="20"/>
        </w:rPr>
        <w:t xml:space="preserve"> </w:t>
      </w:r>
      <w:r>
        <w:rPr>
          <w:rFonts w:ascii="宋体" w:hAnsi="宋体" w:eastAsia="宋体" w:cs="宋体"/>
          <w:spacing w:val="20"/>
          <w:sz w:val="20"/>
          <w:szCs w:val="20"/>
        </w:rPr>
        <w:t>、利润</w:t>
      </w:r>
      <w:r>
        <w:rPr>
          <w:rFonts w:ascii="宋体" w:hAnsi="宋体" w:eastAsia="宋体" w:cs="宋体"/>
          <w:spacing w:val="-51"/>
          <w:sz w:val="20"/>
          <w:szCs w:val="20"/>
        </w:rPr>
        <w:t xml:space="preserve"> </w:t>
      </w:r>
      <w:r>
        <w:rPr>
          <w:rFonts w:ascii="宋体" w:hAnsi="宋体" w:eastAsia="宋体" w:cs="宋体"/>
          <w:spacing w:val="20"/>
          <w:sz w:val="20"/>
          <w:szCs w:val="20"/>
        </w:rPr>
        <w:t>、措施费（</w:t>
      </w:r>
      <w:r>
        <w:rPr>
          <w:rFonts w:ascii="宋体" w:hAnsi="宋体" w:eastAsia="宋体" w:cs="宋体"/>
          <w:spacing w:val="-12"/>
          <w:sz w:val="20"/>
          <w:szCs w:val="20"/>
        </w:rPr>
        <w:t xml:space="preserve"> </w:t>
      </w:r>
      <w:r>
        <w:rPr>
          <w:rFonts w:ascii="宋体" w:hAnsi="宋体" w:eastAsia="宋体" w:cs="宋体"/>
          <w:spacing w:val="20"/>
          <w:sz w:val="20"/>
          <w:szCs w:val="20"/>
        </w:rPr>
        <w:t>通用</w:t>
      </w:r>
      <w:r>
        <w:rPr>
          <w:rFonts w:ascii="宋体" w:hAnsi="宋体" w:eastAsia="宋体" w:cs="宋体"/>
          <w:spacing w:val="-51"/>
          <w:sz w:val="20"/>
          <w:szCs w:val="20"/>
        </w:rPr>
        <w:t xml:space="preserve"> </w:t>
      </w:r>
      <w:r>
        <w:rPr>
          <w:rFonts w:ascii="宋体" w:hAnsi="宋体" w:eastAsia="宋体" w:cs="宋体"/>
          <w:spacing w:val="20"/>
          <w:sz w:val="20"/>
          <w:szCs w:val="20"/>
        </w:rPr>
        <w:t>、专业</w:t>
      </w:r>
      <w:r>
        <w:rPr>
          <w:rFonts w:ascii="宋体" w:hAnsi="宋体" w:eastAsia="宋体" w:cs="宋体"/>
          <w:spacing w:val="-45"/>
          <w:sz w:val="20"/>
          <w:szCs w:val="20"/>
        </w:rPr>
        <w:t xml:space="preserve"> </w:t>
      </w:r>
      <w:r>
        <w:rPr>
          <w:rFonts w:ascii="宋体" w:hAnsi="宋体" w:eastAsia="宋体" w:cs="宋体"/>
          <w:spacing w:val="20"/>
          <w:sz w:val="20"/>
          <w:szCs w:val="20"/>
        </w:rPr>
        <w:t>）、总承包服务费等费用项</w:t>
      </w:r>
      <w:r>
        <w:rPr>
          <w:rFonts w:ascii="宋体" w:hAnsi="宋体" w:eastAsia="宋体" w:cs="宋体"/>
          <w:spacing w:val="-30"/>
          <w:sz w:val="20"/>
          <w:szCs w:val="20"/>
        </w:rPr>
        <w:t xml:space="preserve"> </w:t>
      </w:r>
      <w:r>
        <w:rPr>
          <w:rFonts w:ascii="宋体" w:hAnsi="宋体" w:eastAsia="宋体" w:cs="宋体"/>
          <w:spacing w:val="20"/>
          <w:sz w:val="20"/>
          <w:szCs w:val="20"/>
        </w:rPr>
        <w:t>目</w:t>
      </w:r>
      <w:r>
        <w:rPr>
          <w:rFonts w:ascii="宋体" w:hAnsi="宋体" w:eastAsia="宋体" w:cs="宋体"/>
          <w:spacing w:val="-40"/>
          <w:sz w:val="20"/>
          <w:szCs w:val="20"/>
        </w:rPr>
        <w:t xml:space="preserve"> </w:t>
      </w:r>
      <w:r>
        <w:rPr>
          <w:rFonts w:ascii="宋体" w:hAnsi="宋体" w:eastAsia="宋体" w:cs="宋体"/>
          <w:spacing w:val="20"/>
          <w:sz w:val="20"/>
          <w:szCs w:val="20"/>
        </w:rPr>
        <w:t>，在编制最高</w:t>
      </w:r>
      <w:r>
        <w:rPr>
          <w:rFonts w:ascii="宋体" w:hAnsi="宋体" w:eastAsia="宋体" w:cs="宋体"/>
          <w:spacing w:val="27"/>
          <w:sz w:val="20"/>
          <w:szCs w:val="20"/>
        </w:rPr>
        <w:t>投标限价</w:t>
      </w:r>
      <w:r>
        <w:rPr>
          <w:rFonts w:ascii="宋体" w:hAnsi="宋体" w:eastAsia="宋体" w:cs="宋体"/>
          <w:spacing w:val="-51"/>
          <w:sz w:val="20"/>
          <w:szCs w:val="20"/>
        </w:rPr>
        <w:t xml:space="preserve"> </w:t>
      </w:r>
      <w:r>
        <w:rPr>
          <w:rFonts w:ascii="宋体" w:hAnsi="宋体" w:eastAsia="宋体" w:cs="宋体"/>
          <w:spacing w:val="27"/>
          <w:sz w:val="20"/>
          <w:szCs w:val="20"/>
        </w:rPr>
        <w:t>、投标报价</w:t>
      </w:r>
      <w:r>
        <w:rPr>
          <w:rFonts w:ascii="宋体" w:hAnsi="宋体" w:eastAsia="宋体" w:cs="宋体"/>
          <w:spacing w:val="-60"/>
          <w:sz w:val="20"/>
          <w:szCs w:val="20"/>
        </w:rPr>
        <w:t xml:space="preserve"> </w:t>
      </w:r>
      <w:r>
        <w:rPr>
          <w:rFonts w:ascii="宋体" w:hAnsi="宋体" w:eastAsia="宋体" w:cs="宋体"/>
          <w:spacing w:val="27"/>
          <w:sz w:val="20"/>
          <w:szCs w:val="20"/>
        </w:rPr>
        <w:t>时</w:t>
      </w:r>
      <w:r>
        <w:rPr>
          <w:rFonts w:ascii="宋体" w:hAnsi="宋体" w:eastAsia="宋体" w:cs="宋体"/>
          <w:spacing w:val="-40"/>
          <w:sz w:val="20"/>
          <w:szCs w:val="20"/>
        </w:rPr>
        <w:t xml:space="preserve"> </w:t>
      </w:r>
      <w:r>
        <w:rPr>
          <w:rFonts w:ascii="宋体" w:hAnsi="宋体" w:eastAsia="宋体" w:cs="宋体"/>
          <w:spacing w:val="27"/>
          <w:sz w:val="20"/>
          <w:szCs w:val="20"/>
        </w:rPr>
        <w:t>，应根据发包工程特点和企业实际情况</w:t>
      </w:r>
      <w:r>
        <w:rPr>
          <w:rFonts w:ascii="宋体" w:hAnsi="宋体" w:eastAsia="宋体" w:cs="宋体"/>
          <w:spacing w:val="26"/>
          <w:sz w:val="20"/>
          <w:szCs w:val="20"/>
        </w:rPr>
        <w:t>确定计算方法</w:t>
      </w:r>
      <w:r>
        <w:rPr>
          <w:rFonts w:ascii="宋体" w:hAnsi="宋体" w:eastAsia="宋体" w:cs="宋体"/>
          <w:spacing w:val="-50"/>
          <w:sz w:val="20"/>
          <w:szCs w:val="20"/>
        </w:rPr>
        <w:t xml:space="preserve"> </w:t>
      </w:r>
      <w:r>
        <w:rPr>
          <w:rFonts w:ascii="宋体" w:hAnsi="宋体" w:eastAsia="宋体" w:cs="宋体"/>
          <w:spacing w:val="26"/>
          <w:sz w:val="20"/>
          <w:szCs w:val="20"/>
        </w:rPr>
        <w:t>。本节所列费</w:t>
      </w:r>
      <w:r>
        <w:rPr>
          <w:rFonts w:ascii="宋体" w:hAnsi="宋体" w:eastAsia="宋体" w:cs="宋体"/>
          <w:spacing w:val="28"/>
          <w:sz w:val="20"/>
          <w:szCs w:val="20"/>
        </w:rPr>
        <w:t>率仅供参考。安全文明措施费应按照规定</w:t>
      </w:r>
      <w:r>
        <w:rPr>
          <w:rFonts w:ascii="宋体" w:hAnsi="宋体" w:eastAsia="宋体" w:cs="宋体"/>
          <w:spacing w:val="-53"/>
          <w:sz w:val="20"/>
          <w:szCs w:val="20"/>
        </w:rPr>
        <w:t xml:space="preserve"> </w:t>
      </w:r>
      <w:r>
        <w:rPr>
          <w:rFonts w:ascii="宋体" w:hAnsi="宋体" w:eastAsia="宋体" w:cs="宋体"/>
          <w:spacing w:val="28"/>
          <w:sz w:val="20"/>
          <w:szCs w:val="20"/>
        </w:rPr>
        <w:t>的</w:t>
      </w:r>
      <w:r>
        <w:rPr>
          <w:rFonts w:ascii="宋体" w:hAnsi="宋体" w:eastAsia="宋体" w:cs="宋体"/>
          <w:spacing w:val="27"/>
          <w:sz w:val="20"/>
          <w:szCs w:val="20"/>
        </w:rPr>
        <w:t>方法计算</w:t>
      </w:r>
      <w:r>
        <w:rPr>
          <w:rFonts w:ascii="宋体" w:hAnsi="宋体" w:eastAsia="宋体" w:cs="宋体"/>
          <w:spacing w:val="-40"/>
          <w:sz w:val="20"/>
          <w:szCs w:val="20"/>
        </w:rPr>
        <w:t xml:space="preserve"> </w:t>
      </w:r>
      <w:r>
        <w:rPr>
          <w:rFonts w:ascii="宋体" w:hAnsi="宋体" w:eastAsia="宋体" w:cs="宋体"/>
          <w:spacing w:val="27"/>
          <w:sz w:val="20"/>
          <w:szCs w:val="20"/>
        </w:rPr>
        <w:t>，费率应不低于本节规定</w:t>
      </w:r>
      <w:r>
        <w:rPr>
          <w:rFonts w:ascii="宋体" w:hAnsi="宋体" w:eastAsia="宋体" w:cs="宋体"/>
          <w:spacing w:val="-53"/>
          <w:sz w:val="20"/>
          <w:szCs w:val="20"/>
        </w:rPr>
        <w:t xml:space="preserve"> </w:t>
      </w:r>
      <w:r>
        <w:rPr>
          <w:rFonts w:ascii="宋体" w:hAnsi="宋体" w:eastAsia="宋体" w:cs="宋体"/>
          <w:spacing w:val="27"/>
          <w:sz w:val="20"/>
          <w:szCs w:val="20"/>
        </w:rPr>
        <w:t>的费率。</w:t>
      </w:r>
    </w:p>
    <w:p>
      <w:pPr>
        <w:spacing w:line="359" w:lineRule="auto"/>
        <w:rPr>
          <w:rFonts w:ascii="Arial"/>
          <w:sz w:val="21"/>
        </w:rPr>
      </w:pPr>
    </w:p>
    <w:p>
      <w:pPr>
        <w:spacing w:line="359" w:lineRule="auto"/>
        <w:rPr>
          <w:rFonts w:ascii="Arial"/>
          <w:sz w:val="21"/>
        </w:rPr>
      </w:pPr>
    </w:p>
    <w:p>
      <w:pPr>
        <w:spacing w:before="78" w:line="222" w:lineRule="auto"/>
        <w:ind w:left="480"/>
        <w:rPr>
          <w:rFonts w:ascii="黑体" w:hAnsi="黑体" w:eastAsia="黑体" w:cs="黑体"/>
          <w:sz w:val="24"/>
          <w:szCs w:val="24"/>
        </w:rPr>
      </w:pPr>
      <w:r>
        <w:rPr>
          <w:rFonts w:ascii="黑体" w:hAnsi="黑体" w:eastAsia="黑体" w:cs="黑体"/>
          <w:spacing w:val="-7"/>
          <w:sz w:val="24"/>
          <w:szCs w:val="24"/>
        </w:rPr>
        <w:t>一、措施项目费</w:t>
      </w:r>
    </w:p>
    <w:p>
      <w:pPr>
        <w:spacing w:before="165" w:line="214" w:lineRule="auto"/>
        <w:ind w:left="417"/>
        <w:rPr>
          <w:rFonts w:ascii="KaiTi_GB2312" w:hAnsi="KaiTi_GB2312" w:eastAsia="KaiTi_GB2312" w:cs="KaiTi_GB2312"/>
          <w:sz w:val="24"/>
          <w:szCs w:val="24"/>
        </w:rPr>
      </w:pPr>
      <w:r>
        <w:rPr>
          <w:rFonts w:ascii="KaiTi_GB2312" w:hAnsi="KaiTi_GB2312" w:eastAsia="KaiTi_GB2312" w:cs="KaiTi_GB2312"/>
          <w:spacing w:val="12"/>
          <w:sz w:val="24"/>
          <w:szCs w:val="24"/>
        </w:rPr>
        <w:t>（一）建筑、装饰、安装、</w:t>
      </w:r>
      <w:r>
        <w:rPr>
          <w:rFonts w:ascii="KaiTi_GB2312" w:hAnsi="KaiTi_GB2312" w:eastAsia="KaiTi_GB2312" w:cs="KaiTi_GB2312"/>
          <w:spacing w:val="-36"/>
          <w:sz w:val="24"/>
          <w:szCs w:val="24"/>
        </w:rPr>
        <w:t xml:space="preserve"> </w:t>
      </w:r>
      <w:r>
        <w:rPr>
          <w:rFonts w:ascii="KaiTi_GB2312" w:hAnsi="KaiTi_GB2312" w:eastAsia="KaiTi_GB2312" w:cs="KaiTi_GB2312"/>
          <w:spacing w:val="12"/>
          <w:sz w:val="24"/>
          <w:szCs w:val="24"/>
        </w:rPr>
        <w:t>园林绿化、房屋修缮、古</w:t>
      </w:r>
      <w:r>
        <w:rPr>
          <w:rFonts w:ascii="KaiTi_GB2312" w:hAnsi="KaiTi_GB2312" w:eastAsia="KaiTi_GB2312" w:cs="KaiTi_GB2312"/>
          <w:spacing w:val="11"/>
          <w:sz w:val="24"/>
          <w:szCs w:val="24"/>
        </w:rPr>
        <w:t>建筑修缮、仿古建筑工程</w:t>
      </w:r>
    </w:p>
    <w:p>
      <w:pPr>
        <w:spacing w:line="390" w:lineRule="auto"/>
        <w:rPr>
          <w:rFonts w:ascii="Arial"/>
          <w:sz w:val="21"/>
        </w:rPr>
      </w:pPr>
    </w:p>
    <w:p>
      <w:pPr>
        <w:spacing w:before="65" w:line="279" w:lineRule="exact"/>
        <w:ind w:left="453"/>
        <w:rPr>
          <w:rFonts w:ascii="宋体" w:hAnsi="宋体" w:eastAsia="宋体" w:cs="宋体"/>
          <w:sz w:val="20"/>
          <w:szCs w:val="20"/>
        </w:rPr>
      </w:pPr>
      <w:r>
        <w:rPr>
          <w:rFonts w:ascii="宋体" w:hAnsi="宋体" w:eastAsia="宋体" w:cs="宋体"/>
          <w:spacing w:val="13"/>
          <w:position w:val="1"/>
          <w:sz w:val="20"/>
          <w:szCs w:val="20"/>
        </w:rPr>
        <w:t>1.</w:t>
      </w:r>
      <w:r>
        <w:rPr>
          <w:rFonts w:ascii="宋体" w:hAnsi="宋体" w:eastAsia="宋体" w:cs="宋体"/>
          <w:spacing w:val="39"/>
          <w:position w:val="1"/>
          <w:sz w:val="20"/>
          <w:szCs w:val="20"/>
        </w:rPr>
        <w:t xml:space="preserve"> </w:t>
      </w:r>
      <w:r>
        <w:rPr>
          <w:rFonts w:ascii="宋体" w:hAnsi="宋体" w:eastAsia="宋体" w:cs="宋体"/>
          <w:spacing w:val="13"/>
          <w:position w:val="1"/>
          <w:sz w:val="20"/>
          <w:szCs w:val="20"/>
        </w:rPr>
        <w:t>一般计税法（单位：</w:t>
      </w:r>
      <w:r>
        <w:rPr>
          <w:rFonts w:ascii="宋体" w:hAnsi="宋体" w:eastAsia="宋体" w:cs="宋体"/>
          <w:spacing w:val="-55"/>
          <w:position w:val="1"/>
          <w:sz w:val="20"/>
          <w:szCs w:val="20"/>
        </w:rPr>
        <w:t xml:space="preserve"> </w:t>
      </w:r>
      <w:r>
        <w:rPr>
          <w:rFonts w:ascii="宋体" w:hAnsi="宋体" w:eastAsia="宋体" w:cs="宋体"/>
          <w:spacing w:val="13"/>
          <w:position w:val="1"/>
          <w:sz w:val="20"/>
          <w:szCs w:val="20"/>
        </w:rPr>
        <w:t>%）</w:t>
      </w:r>
    </w:p>
    <w:p>
      <w:pPr>
        <w:spacing w:line="70" w:lineRule="auto"/>
        <w:rPr>
          <w:rFonts w:ascii="Arial"/>
          <w:sz w:val="2"/>
        </w:rPr>
      </w:pPr>
    </w:p>
    <w:tbl>
      <w:tblPr>
        <w:tblStyle w:val="5"/>
        <w:tblW w:w="9095"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3"/>
        <w:gridCol w:w="1535"/>
        <w:gridCol w:w="1276"/>
        <w:gridCol w:w="1277"/>
        <w:gridCol w:w="1277"/>
        <w:gridCol w:w="1279"/>
        <w:gridCol w:w="14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13" w:hRule="atLeast"/>
        </w:trPr>
        <w:tc>
          <w:tcPr>
            <w:tcW w:w="2568" w:type="dxa"/>
            <w:gridSpan w:val="2"/>
            <w:tcBorders>
              <w:top w:val="single" w:color="000000" w:sz="4" w:space="0"/>
              <w:left w:val="single" w:color="000000" w:sz="4" w:space="0"/>
              <w:tl2br w:val="single" w:color="000000" w:sz="2" w:space="0"/>
            </w:tcBorders>
            <w:vAlign w:val="top"/>
          </w:tcPr>
          <w:p>
            <w:pPr>
              <w:spacing w:before="121" w:line="247" w:lineRule="auto"/>
              <w:ind w:left="124" w:right="372" w:firstLine="1356"/>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276" w:type="dxa"/>
            <w:tcBorders>
              <w:top w:val="single" w:color="000000" w:sz="4" w:space="0"/>
            </w:tcBorders>
            <w:vAlign w:val="top"/>
          </w:tcPr>
          <w:p>
            <w:pPr>
              <w:spacing w:before="129" w:line="243" w:lineRule="auto"/>
              <w:ind w:left="373" w:right="273"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277" w:type="dxa"/>
            <w:tcBorders>
              <w:top w:val="single" w:color="000000" w:sz="4" w:space="0"/>
            </w:tcBorders>
            <w:vAlign w:val="top"/>
          </w:tcPr>
          <w:p>
            <w:pPr>
              <w:spacing w:before="104" w:line="248" w:lineRule="auto"/>
              <w:ind w:left="407" w:right="343" w:firstLine="7"/>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5"/>
                <w:w w:val="101"/>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277" w:type="dxa"/>
            <w:tcBorders>
              <w:top w:val="single" w:color="000000" w:sz="4" w:space="0"/>
            </w:tcBorders>
            <w:vAlign w:val="top"/>
          </w:tcPr>
          <w:p>
            <w:pPr>
              <w:spacing w:before="129" w:line="223" w:lineRule="auto"/>
              <w:ind w:left="298"/>
              <w:rPr>
                <w:rFonts w:ascii="黑体" w:hAnsi="黑体" w:eastAsia="黑体" w:cs="黑体"/>
                <w:sz w:val="18"/>
                <w:szCs w:val="18"/>
              </w:rPr>
            </w:pPr>
            <w:r>
              <w:rPr>
                <w:rFonts w:ascii="黑体" w:hAnsi="黑体" w:eastAsia="黑体" w:cs="黑体"/>
                <w:spacing w:val="-3"/>
                <w:sz w:val="18"/>
                <w:szCs w:val="18"/>
              </w:rPr>
              <w:t>冬雨季施</w:t>
            </w:r>
          </w:p>
          <w:p>
            <w:pPr>
              <w:spacing w:before="17" w:line="223" w:lineRule="auto"/>
              <w:ind w:left="295"/>
              <w:rPr>
                <w:rFonts w:ascii="黑体" w:hAnsi="黑体" w:eastAsia="黑体" w:cs="黑体"/>
                <w:sz w:val="18"/>
                <w:szCs w:val="18"/>
              </w:rPr>
            </w:pPr>
            <w:r>
              <w:rPr>
                <w:rFonts w:ascii="黑体" w:hAnsi="黑体" w:eastAsia="黑体" w:cs="黑体"/>
                <w:spacing w:val="-5"/>
                <w:sz w:val="18"/>
                <w:szCs w:val="18"/>
              </w:rPr>
              <w:t>工增加费</w:t>
            </w:r>
          </w:p>
        </w:tc>
        <w:tc>
          <w:tcPr>
            <w:tcW w:w="1279" w:type="dxa"/>
            <w:tcBorders>
              <w:top w:val="single" w:color="000000" w:sz="4" w:space="0"/>
            </w:tcBorders>
            <w:vAlign w:val="top"/>
          </w:tcPr>
          <w:p>
            <w:pPr>
              <w:spacing w:before="129" w:line="221" w:lineRule="auto"/>
              <w:ind w:left="236"/>
              <w:rPr>
                <w:rFonts w:ascii="黑体" w:hAnsi="黑体" w:eastAsia="黑体" w:cs="黑体"/>
                <w:sz w:val="18"/>
                <w:szCs w:val="18"/>
              </w:rPr>
            </w:pPr>
            <w:r>
              <w:rPr>
                <w:rFonts w:ascii="黑体" w:hAnsi="黑体" w:eastAsia="黑体" w:cs="黑体"/>
                <w:spacing w:val="-6"/>
                <w:sz w:val="18"/>
                <w:szCs w:val="18"/>
              </w:rPr>
              <w:t>已完工程及</w:t>
            </w:r>
          </w:p>
          <w:p>
            <w:pPr>
              <w:spacing w:before="19" w:line="222" w:lineRule="auto"/>
              <w:ind w:left="208"/>
              <w:rPr>
                <w:rFonts w:ascii="黑体" w:hAnsi="黑体" w:eastAsia="黑体" w:cs="黑体"/>
                <w:sz w:val="18"/>
                <w:szCs w:val="18"/>
              </w:rPr>
            </w:pPr>
            <w:r>
              <w:rPr>
                <w:rFonts w:ascii="黑体" w:hAnsi="黑体" w:eastAsia="黑体" w:cs="黑体"/>
                <w:spacing w:val="-4"/>
                <w:sz w:val="18"/>
                <w:szCs w:val="18"/>
              </w:rPr>
              <w:t>设备保护费</w:t>
            </w:r>
          </w:p>
        </w:tc>
        <w:tc>
          <w:tcPr>
            <w:tcW w:w="1418" w:type="dxa"/>
            <w:tcBorders>
              <w:top w:val="single" w:color="000000" w:sz="4" w:space="0"/>
              <w:right w:val="single" w:color="000000" w:sz="4" w:space="0"/>
            </w:tcBorders>
            <w:vAlign w:val="top"/>
          </w:tcPr>
          <w:p>
            <w:pPr>
              <w:spacing w:before="128" w:line="243" w:lineRule="auto"/>
              <w:ind w:left="180" w:right="79" w:hanging="34"/>
              <w:rPr>
                <w:rFonts w:ascii="黑体" w:hAnsi="黑体" w:eastAsia="黑体" w:cs="黑体"/>
                <w:sz w:val="18"/>
                <w:szCs w:val="18"/>
              </w:rPr>
            </w:pPr>
            <w:r>
              <w:rPr>
                <w:rFonts w:ascii="黑体" w:hAnsi="黑体" w:eastAsia="黑体" w:cs="黑体"/>
                <w:spacing w:val="-11"/>
                <w:sz w:val="18"/>
                <w:szCs w:val="18"/>
              </w:rPr>
              <w:t>既有建（构）筑</w:t>
            </w:r>
            <w:r>
              <w:rPr>
                <w:rFonts w:ascii="黑体" w:hAnsi="黑体" w:eastAsia="黑体" w:cs="黑体"/>
                <w:spacing w:val="-4"/>
                <w:sz w:val="18"/>
                <w:szCs w:val="18"/>
              </w:rPr>
              <w:t>物及设施保护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568" w:type="dxa"/>
            <w:gridSpan w:val="2"/>
            <w:tcBorders>
              <w:left w:val="single" w:color="000000" w:sz="4" w:space="0"/>
            </w:tcBorders>
            <w:vAlign w:val="top"/>
          </w:tcPr>
          <w:p>
            <w:pPr>
              <w:spacing w:before="151" w:line="215" w:lineRule="auto"/>
              <w:ind w:left="928"/>
              <w:rPr>
                <w:rFonts w:ascii="宋体" w:hAnsi="宋体" w:eastAsia="宋体" w:cs="宋体"/>
                <w:sz w:val="18"/>
                <w:szCs w:val="18"/>
              </w:rPr>
            </w:pPr>
            <w:r>
              <w:rPr>
                <w:rFonts w:ascii="宋体" w:hAnsi="宋体" w:eastAsia="宋体" w:cs="宋体"/>
                <w:spacing w:val="-4"/>
                <w:sz w:val="18"/>
                <w:szCs w:val="18"/>
              </w:rPr>
              <w:t>建筑工程</w:t>
            </w:r>
          </w:p>
        </w:tc>
        <w:tc>
          <w:tcPr>
            <w:tcW w:w="1276" w:type="dxa"/>
            <w:vAlign w:val="top"/>
          </w:tcPr>
          <w:p>
            <w:pPr>
              <w:spacing w:before="141" w:line="248" w:lineRule="exact"/>
              <w:ind w:left="464"/>
              <w:rPr>
                <w:rFonts w:ascii="宋体" w:hAnsi="宋体" w:eastAsia="宋体" w:cs="宋体"/>
                <w:sz w:val="18"/>
                <w:szCs w:val="18"/>
              </w:rPr>
            </w:pPr>
            <w:r>
              <w:rPr>
                <w:rFonts w:ascii="宋体" w:hAnsi="宋体" w:eastAsia="宋体" w:cs="宋体"/>
                <w:spacing w:val="-15"/>
                <w:position w:val="1"/>
                <w:sz w:val="18"/>
                <w:szCs w:val="18"/>
              </w:rPr>
              <w:t>2.62</w:t>
            </w:r>
          </w:p>
        </w:tc>
        <w:tc>
          <w:tcPr>
            <w:tcW w:w="1277" w:type="dxa"/>
            <w:vAlign w:val="top"/>
          </w:tcPr>
          <w:p>
            <w:pPr>
              <w:spacing w:before="141" w:line="248" w:lineRule="exact"/>
              <w:ind w:left="470"/>
              <w:rPr>
                <w:rFonts w:ascii="宋体" w:hAnsi="宋体" w:eastAsia="宋体" w:cs="宋体"/>
                <w:sz w:val="18"/>
                <w:szCs w:val="18"/>
              </w:rPr>
            </w:pPr>
            <w:r>
              <w:rPr>
                <w:rFonts w:ascii="宋体" w:hAnsi="宋体" w:eastAsia="宋体" w:cs="宋体"/>
                <w:spacing w:val="-15"/>
                <w:position w:val="1"/>
                <w:sz w:val="18"/>
                <w:szCs w:val="18"/>
              </w:rPr>
              <w:t>2.24</w:t>
            </w:r>
          </w:p>
        </w:tc>
        <w:tc>
          <w:tcPr>
            <w:tcW w:w="1277" w:type="dxa"/>
            <w:vAlign w:val="top"/>
          </w:tcPr>
          <w:p>
            <w:pPr>
              <w:spacing w:before="141" w:line="248" w:lineRule="exact"/>
              <w:ind w:left="472"/>
              <w:rPr>
                <w:rFonts w:ascii="宋体" w:hAnsi="宋体" w:eastAsia="宋体" w:cs="宋体"/>
                <w:sz w:val="18"/>
                <w:szCs w:val="18"/>
              </w:rPr>
            </w:pPr>
            <w:r>
              <w:rPr>
                <w:rFonts w:ascii="宋体" w:hAnsi="宋体" w:eastAsia="宋体" w:cs="宋体"/>
                <w:spacing w:val="-15"/>
                <w:position w:val="1"/>
                <w:sz w:val="18"/>
                <w:szCs w:val="18"/>
              </w:rPr>
              <w:t>2.99</w:t>
            </w:r>
          </w:p>
        </w:tc>
        <w:tc>
          <w:tcPr>
            <w:tcW w:w="1279" w:type="dxa"/>
            <w:vAlign w:val="top"/>
          </w:tcPr>
          <w:p>
            <w:pPr>
              <w:spacing w:before="141" w:line="248" w:lineRule="exact"/>
              <w:ind w:left="476"/>
              <w:rPr>
                <w:rFonts w:ascii="宋体" w:hAnsi="宋体" w:eastAsia="宋体" w:cs="宋体"/>
                <w:sz w:val="18"/>
                <w:szCs w:val="18"/>
              </w:rPr>
            </w:pPr>
            <w:r>
              <w:rPr>
                <w:rFonts w:ascii="宋体" w:hAnsi="宋体" w:eastAsia="宋体" w:cs="宋体"/>
                <w:spacing w:val="-14"/>
                <w:position w:val="1"/>
                <w:sz w:val="18"/>
                <w:szCs w:val="18"/>
              </w:rPr>
              <w:t>0.56</w:t>
            </w:r>
          </w:p>
        </w:tc>
        <w:tc>
          <w:tcPr>
            <w:tcW w:w="1418" w:type="dxa"/>
            <w:tcBorders>
              <w:right w:val="single" w:color="000000" w:sz="4" w:space="0"/>
            </w:tcBorders>
            <w:vAlign w:val="top"/>
          </w:tcPr>
          <w:p>
            <w:pPr>
              <w:spacing w:before="274" w:line="115"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58" w:line="211" w:lineRule="auto"/>
              <w:ind w:left="925"/>
              <w:rPr>
                <w:rFonts w:ascii="宋体" w:hAnsi="宋体" w:eastAsia="宋体" w:cs="宋体"/>
                <w:sz w:val="18"/>
                <w:szCs w:val="18"/>
              </w:rPr>
            </w:pPr>
            <w:r>
              <w:rPr>
                <w:rFonts w:ascii="宋体" w:hAnsi="宋体" w:eastAsia="宋体" w:cs="宋体"/>
                <w:spacing w:val="-3"/>
                <w:sz w:val="18"/>
                <w:szCs w:val="18"/>
              </w:rPr>
              <w:t>装饰工程</w:t>
            </w:r>
          </w:p>
        </w:tc>
        <w:tc>
          <w:tcPr>
            <w:tcW w:w="1276" w:type="dxa"/>
            <w:vAlign w:val="top"/>
          </w:tcPr>
          <w:p>
            <w:pPr>
              <w:spacing w:before="143" w:line="247" w:lineRule="exact"/>
              <w:ind w:left="469"/>
              <w:rPr>
                <w:rFonts w:ascii="宋体" w:hAnsi="宋体" w:eastAsia="宋体" w:cs="宋体"/>
                <w:sz w:val="18"/>
                <w:szCs w:val="18"/>
              </w:rPr>
            </w:pPr>
            <w:r>
              <w:rPr>
                <w:rFonts w:ascii="宋体" w:hAnsi="宋体" w:eastAsia="宋体" w:cs="宋体"/>
                <w:spacing w:val="-16"/>
                <w:position w:val="1"/>
                <w:sz w:val="18"/>
                <w:szCs w:val="18"/>
              </w:rPr>
              <w:t>3.77</w:t>
            </w:r>
          </w:p>
        </w:tc>
        <w:tc>
          <w:tcPr>
            <w:tcW w:w="1277" w:type="dxa"/>
            <w:vAlign w:val="top"/>
          </w:tcPr>
          <w:p>
            <w:pPr>
              <w:spacing w:before="143" w:line="247" w:lineRule="exact"/>
              <w:ind w:left="475"/>
              <w:rPr>
                <w:rFonts w:ascii="宋体" w:hAnsi="宋体" w:eastAsia="宋体" w:cs="宋体"/>
                <w:sz w:val="18"/>
                <w:szCs w:val="18"/>
              </w:rPr>
            </w:pPr>
            <w:r>
              <w:rPr>
                <w:rFonts w:ascii="宋体" w:hAnsi="宋体" w:eastAsia="宋体" w:cs="宋体"/>
                <w:spacing w:val="-16"/>
                <w:position w:val="1"/>
                <w:sz w:val="18"/>
                <w:szCs w:val="18"/>
              </w:rPr>
              <w:t>3.40</w:t>
            </w:r>
          </w:p>
        </w:tc>
        <w:tc>
          <w:tcPr>
            <w:tcW w:w="1277" w:type="dxa"/>
            <w:vAlign w:val="top"/>
          </w:tcPr>
          <w:p>
            <w:pPr>
              <w:spacing w:before="143" w:line="247" w:lineRule="exact"/>
              <w:ind w:left="467"/>
              <w:rPr>
                <w:rFonts w:ascii="宋体" w:hAnsi="宋体" w:eastAsia="宋体" w:cs="宋体"/>
                <w:sz w:val="18"/>
                <w:szCs w:val="18"/>
              </w:rPr>
            </w:pPr>
            <w:r>
              <w:rPr>
                <w:rFonts w:ascii="宋体" w:hAnsi="宋体" w:eastAsia="宋体" w:cs="宋体"/>
                <w:spacing w:val="-14"/>
                <w:position w:val="1"/>
                <w:sz w:val="18"/>
                <w:szCs w:val="18"/>
              </w:rPr>
              <w:t>4.25</w:t>
            </w:r>
          </w:p>
        </w:tc>
        <w:tc>
          <w:tcPr>
            <w:tcW w:w="1279" w:type="dxa"/>
            <w:vAlign w:val="top"/>
          </w:tcPr>
          <w:p>
            <w:pPr>
              <w:spacing w:before="143" w:line="247" w:lineRule="exact"/>
              <w:ind w:left="476"/>
              <w:rPr>
                <w:rFonts w:ascii="宋体" w:hAnsi="宋体" w:eastAsia="宋体" w:cs="宋体"/>
                <w:sz w:val="18"/>
                <w:szCs w:val="18"/>
              </w:rPr>
            </w:pPr>
            <w:r>
              <w:rPr>
                <w:rFonts w:ascii="宋体" w:hAnsi="宋体" w:eastAsia="宋体" w:cs="宋体"/>
                <w:spacing w:val="-14"/>
                <w:position w:val="1"/>
                <w:sz w:val="18"/>
                <w:szCs w:val="18"/>
              </w:rPr>
              <w:t>0.56</w:t>
            </w:r>
          </w:p>
        </w:tc>
        <w:tc>
          <w:tcPr>
            <w:tcW w:w="1418" w:type="dxa"/>
            <w:tcBorders>
              <w:right w:val="single" w:color="000000" w:sz="4" w:space="0"/>
            </w:tcBorders>
            <w:vAlign w:val="top"/>
          </w:tcPr>
          <w:p>
            <w:pPr>
              <w:spacing w:before="275" w:line="115"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58" w:line="211" w:lineRule="auto"/>
              <w:ind w:left="931"/>
              <w:rPr>
                <w:rFonts w:ascii="宋体" w:hAnsi="宋体" w:eastAsia="宋体" w:cs="宋体"/>
                <w:sz w:val="18"/>
                <w:szCs w:val="18"/>
              </w:rPr>
            </w:pPr>
            <w:r>
              <w:rPr>
                <w:rFonts w:ascii="宋体" w:hAnsi="宋体" w:eastAsia="宋体" w:cs="宋体"/>
                <w:spacing w:val="-5"/>
                <w:sz w:val="18"/>
                <w:szCs w:val="18"/>
              </w:rPr>
              <w:t>安装工程</w:t>
            </w:r>
          </w:p>
        </w:tc>
        <w:tc>
          <w:tcPr>
            <w:tcW w:w="1276" w:type="dxa"/>
            <w:vAlign w:val="top"/>
          </w:tcPr>
          <w:p>
            <w:pPr>
              <w:spacing w:before="146" w:line="243" w:lineRule="exact"/>
              <w:ind w:left="469"/>
              <w:rPr>
                <w:rFonts w:ascii="宋体" w:hAnsi="宋体" w:eastAsia="宋体" w:cs="宋体"/>
                <w:sz w:val="18"/>
                <w:szCs w:val="18"/>
              </w:rPr>
            </w:pPr>
            <w:r>
              <w:rPr>
                <w:rFonts w:ascii="宋体" w:hAnsi="宋体" w:eastAsia="宋体" w:cs="宋体"/>
                <w:spacing w:val="-16"/>
                <w:position w:val="1"/>
                <w:sz w:val="18"/>
                <w:szCs w:val="18"/>
              </w:rPr>
              <w:t>3.28</w:t>
            </w:r>
          </w:p>
        </w:tc>
        <w:tc>
          <w:tcPr>
            <w:tcW w:w="1277" w:type="dxa"/>
            <w:vAlign w:val="top"/>
          </w:tcPr>
          <w:p>
            <w:pPr>
              <w:spacing w:before="146" w:line="243" w:lineRule="exact"/>
              <w:ind w:left="470"/>
              <w:rPr>
                <w:rFonts w:ascii="宋体" w:hAnsi="宋体" w:eastAsia="宋体" w:cs="宋体"/>
                <w:sz w:val="18"/>
                <w:szCs w:val="18"/>
              </w:rPr>
            </w:pPr>
            <w:r>
              <w:rPr>
                <w:rFonts w:ascii="宋体" w:hAnsi="宋体" w:eastAsia="宋体" w:cs="宋体"/>
                <w:spacing w:val="-15"/>
                <w:position w:val="1"/>
                <w:sz w:val="18"/>
                <w:szCs w:val="18"/>
              </w:rPr>
              <w:t>2.59</w:t>
            </w:r>
          </w:p>
        </w:tc>
        <w:tc>
          <w:tcPr>
            <w:tcW w:w="1277" w:type="dxa"/>
            <w:vAlign w:val="top"/>
          </w:tcPr>
          <w:p>
            <w:pPr>
              <w:spacing w:before="146" w:line="243" w:lineRule="exact"/>
              <w:ind w:left="477"/>
              <w:rPr>
                <w:rFonts w:ascii="宋体" w:hAnsi="宋体" w:eastAsia="宋体" w:cs="宋体"/>
                <w:sz w:val="18"/>
                <w:szCs w:val="18"/>
              </w:rPr>
            </w:pPr>
            <w:r>
              <w:rPr>
                <w:rFonts w:ascii="宋体" w:hAnsi="宋体" w:eastAsia="宋体" w:cs="宋体"/>
                <w:spacing w:val="-15"/>
                <w:position w:val="1"/>
                <w:sz w:val="18"/>
                <w:szCs w:val="18"/>
              </w:rPr>
              <w:t>3.45</w:t>
            </w:r>
          </w:p>
        </w:tc>
        <w:tc>
          <w:tcPr>
            <w:tcW w:w="1279" w:type="dxa"/>
            <w:vAlign w:val="top"/>
          </w:tcPr>
          <w:p>
            <w:pPr>
              <w:spacing w:before="146" w:line="243" w:lineRule="exact"/>
              <w:ind w:left="503"/>
              <w:rPr>
                <w:rFonts w:ascii="宋体" w:hAnsi="宋体" w:eastAsia="宋体" w:cs="宋体"/>
                <w:sz w:val="18"/>
                <w:szCs w:val="18"/>
              </w:rPr>
            </w:pPr>
            <w:r>
              <w:rPr>
                <w:rFonts w:ascii="宋体" w:hAnsi="宋体" w:eastAsia="宋体" w:cs="宋体"/>
                <w:spacing w:val="-19"/>
                <w:position w:val="1"/>
                <w:sz w:val="18"/>
                <w:szCs w:val="18"/>
              </w:rPr>
              <w:t>1.34</w:t>
            </w:r>
          </w:p>
        </w:tc>
        <w:tc>
          <w:tcPr>
            <w:tcW w:w="1418" w:type="dxa"/>
            <w:tcBorders>
              <w:right w:val="single" w:color="000000" w:sz="4" w:space="0"/>
            </w:tcBorders>
            <w:vAlign w:val="top"/>
          </w:tcPr>
          <w:p>
            <w:pPr>
              <w:spacing w:before="278" w:line="111"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trPr>
        <w:tc>
          <w:tcPr>
            <w:tcW w:w="2568" w:type="dxa"/>
            <w:gridSpan w:val="2"/>
            <w:tcBorders>
              <w:left w:val="single" w:color="000000" w:sz="4" w:space="0"/>
            </w:tcBorders>
            <w:vAlign w:val="top"/>
          </w:tcPr>
          <w:p>
            <w:pPr>
              <w:spacing w:before="163" w:line="208" w:lineRule="auto"/>
              <w:ind w:left="774"/>
              <w:rPr>
                <w:rFonts w:ascii="宋体" w:hAnsi="宋体" w:eastAsia="宋体" w:cs="宋体"/>
                <w:sz w:val="18"/>
                <w:szCs w:val="18"/>
              </w:rPr>
            </w:pPr>
            <w:r>
              <w:rPr>
                <w:rFonts w:ascii="宋体" w:hAnsi="宋体" w:eastAsia="宋体" w:cs="宋体"/>
                <w:spacing w:val="-9"/>
                <w:sz w:val="18"/>
                <w:szCs w:val="18"/>
              </w:rPr>
              <w:t>园林绿化工程</w:t>
            </w:r>
          </w:p>
        </w:tc>
        <w:tc>
          <w:tcPr>
            <w:tcW w:w="1276" w:type="dxa"/>
            <w:vAlign w:val="top"/>
          </w:tcPr>
          <w:p>
            <w:pPr>
              <w:spacing w:before="173" w:line="230" w:lineRule="auto"/>
              <w:ind w:left="464"/>
              <w:rPr>
                <w:rFonts w:ascii="宋体" w:hAnsi="宋体" w:eastAsia="宋体" w:cs="宋体"/>
                <w:sz w:val="18"/>
                <w:szCs w:val="18"/>
              </w:rPr>
            </w:pPr>
            <w:r>
              <w:rPr>
                <w:rFonts w:ascii="宋体" w:hAnsi="宋体" w:eastAsia="宋体" w:cs="宋体"/>
                <w:spacing w:val="-15"/>
                <w:sz w:val="18"/>
                <w:szCs w:val="18"/>
              </w:rPr>
              <w:t>2.45</w:t>
            </w:r>
          </w:p>
        </w:tc>
        <w:tc>
          <w:tcPr>
            <w:tcW w:w="1277" w:type="dxa"/>
            <w:vAlign w:val="top"/>
          </w:tcPr>
          <w:p>
            <w:pPr>
              <w:spacing w:before="173" w:line="230" w:lineRule="auto"/>
              <w:ind w:left="465"/>
              <w:rPr>
                <w:rFonts w:ascii="宋体" w:hAnsi="宋体" w:eastAsia="宋体" w:cs="宋体"/>
                <w:sz w:val="18"/>
                <w:szCs w:val="18"/>
              </w:rPr>
            </w:pPr>
            <w:r>
              <w:rPr>
                <w:rFonts w:ascii="宋体" w:hAnsi="宋体" w:eastAsia="宋体" w:cs="宋体"/>
                <w:spacing w:val="-14"/>
                <w:sz w:val="18"/>
                <w:szCs w:val="18"/>
              </w:rPr>
              <w:t>4.90</w:t>
            </w:r>
          </w:p>
        </w:tc>
        <w:tc>
          <w:tcPr>
            <w:tcW w:w="1277" w:type="dxa"/>
            <w:vAlign w:val="top"/>
          </w:tcPr>
          <w:p>
            <w:pPr>
              <w:spacing w:before="173" w:line="230" w:lineRule="auto"/>
              <w:ind w:left="472"/>
              <w:rPr>
                <w:rFonts w:ascii="宋体" w:hAnsi="宋体" w:eastAsia="宋体" w:cs="宋体"/>
                <w:sz w:val="18"/>
                <w:szCs w:val="18"/>
              </w:rPr>
            </w:pPr>
            <w:r>
              <w:rPr>
                <w:rFonts w:ascii="宋体" w:hAnsi="宋体" w:eastAsia="宋体" w:cs="宋体"/>
                <w:spacing w:val="-15"/>
                <w:sz w:val="18"/>
                <w:szCs w:val="18"/>
              </w:rPr>
              <w:t>2.45</w:t>
            </w:r>
          </w:p>
        </w:tc>
        <w:tc>
          <w:tcPr>
            <w:tcW w:w="1279" w:type="dxa"/>
            <w:vAlign w:val="top"/>
          </w:tcPr>
          <w:p>
            <w:pPr>
              <w:spacing w:before="173" w:line="230" w:lineRule="auto"/>
              <w:ind w:left="477"/>
              <w:rPr>
                <w:rFonts w:ascii="宋体" w:hAnsi="宋体" w:eastAsia="宋体" w:cs="宋体"/>
                <w:sz w:val="18"/>
                <w:szCs w:val="18"/>
              </w:rPr>
            </w:pPr>
            <w:r>
              <w:rPr>
                <w:rFonts w:ascii="宋体" w:hAnsi="宋体" w:eastAsia="宋体" w:cs="宋体"/>
                <w:spacing w:val="-15"/>
                <w:sz w:val="18"/>
                <w:szCs w:val="18"/>
              </w:rPr>
              <w:t>6.53</w:t>
            </w:r>
          </w:p>
        </w:tc>
        <w:tc>
          <w:tcPr>
            <w:tcW w:w="1418" w:type="dxa"/>
            <w:tcBorders>
              <w:right w:val="single" w:color="000000" w:sz="4" w:space="0"/>
            </w:tcBorders>
            <w:vAlign w:val="top"/>
          </w:tcPr>
          <w:p>
            <w:pPr>
              <w:pStyle w:val="6"/>
              <w:spacing w:line="245" w:lineRule="auto"/>
            </w:pPr>
          </w:p>
          <w:p>
            <w:pPr>
              <w:spacing w:before="59" w:line="92" w:lineRule="exact"/>
              <w:ind w:left="674"/>
              <w:rPr>
                <w:rFonts w:ascii="宋体" w:hAnsi="宋体" w:eastAsia="宋体" w:cs="宋体"/>
                <w:sz w:val="18"/>
                <w:szCs w:val="18"/>
              </w:rPr>
            </w:pPr>
            <w:r>
              <w:rPr>
                <w:rFonts w:ascii="宋体" w:hAnsi="宋体" w:eastAsia="宋体" w:cs="宋体"/>
                <w:position w:val="-4"/>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1" w:hRule="atLeast"/>
        </w:trPr>
        <w:tc>
          <w:tcPr>
            <w:tcW w:w="1033" w:type="dxa"/>
            <w:vMerge w:val="restart"/>
            <w:tcBorders>
              <w:left w:val="single" w:color="000000" w:sz="4" w:space="0"/>
              <w:bottom w:val="nil"/>
            </w:tcBorders>
            <w:vAlign w:val="top"/>
          </w:tcPr>
          <w:p>
            <w:pPr>
              <w:spacing w:before="232" w:line="356" w:lineRule="auto"/>
              <w:ind w:left="273" w:right="265" w:firstLine="1"/>
              <w:rPr>
                <w:rFonts w:ascii="宋体" w:hAnsi="宋体" w:eastAsia="宋体" w:cs="宋体"/>
                <w:sz w:val="18"/>
                <w:szCs w:val="18"/>
              </w:rPr>
            </w:pPr>
            <w:r>
              <w:rPr>
                <w:rFonts w:ascii="宋体" w:hAnsi="宋体" w:eastAsia="宋体" w:cs="宋体"/>
                <w:spacing w:val="-5"/>
                <w:sz w:val="18"/>
                <w:szCs w:val="18"/>
              </w:rPr>
              <w:t>房</w:t>
            </w:r>
            <w:r>
              <w:rPr>
                <w:rFonts w:ascii="宋体" w:hAnsi="宋体" w:eastAsia="宋体" w:cs="宋体"/>
                <w:spacing w:val="43"/>
                <w:sz w:val="18"/>
                <w:szCs w:val="18"/>
              </w:rPr>
              <w:t xml:space="preserve"> </w:t>
            </w:r>
            <w:r>
              <w:rPr>
                <w:rFonts w:ascii="宋体" w:hAnsi="宋体" w:eastAsia="宋体" w:cs="宋体"/>
                <w:spacing w:val="-5"/>
                <w:sz w:val="18"/>
                <w:szCs w:val="18"/>
              </w:rPr>
              <w:t>屋</w:t>
            </w:r>
            <w:r>
              <w:rPr>
                <w:rFonts w:ascii="宋体" w:hAnsi="宋体" w:eastAsia="宋体" w:cs="宋体"/>
                <w:spacing w:val="-2"/>
                <w:sz w:val="18"/>
                <w:szCs w:val="18"/>
              </w:rPr>
              <w:t>修</w:t>
            </w:r>
            <w:r>
              <w:rPr>
                <w:rFonts w:ascii="宋体" w:hAnsi="宋体" w:eastAsia="宋体" w:cs="宋体"/>
                <w:spacing w:val="-12"/>
                <w:sz w:val="18"/>
                <w:szCs w:val="18"/>
              </w:rPr>
              <w:t xml:space="preserve"> </w:t>
            </w:r>
            <w:r>
              <w:rPr>
                <w:rFonts w:ascii="宋体" w:hAnsi="宋体" w:eastAsia="宋体" w:cs="宋体"/>
                <w:spacing w:val="-2"/>
                <w:sz w:val="18"/>
                <w:szCs w:val="18"/>
              </w:rPr>
              <w:t>缮</w:t>
            </w:r>
          </w:p>
        </w:tc>
        <w:tc>
          <w:tcPr>
            <w:tcW w:w="1535" w:type="dxa"/>
            <w:vAlign w:val="top"/>
          </w:tcPr>
          <w:p>
            <w:pPr>
              <w:spacing w:before="164"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276" w:type="dxa"/>
            <w:vAlign w:val="top"/>
          </w:tcPr>
          <w:p>
            <w:pPr>
              <w:spacing w:before="151" w:line="260" w:lineRule="exact"/>
              <w:ind w:left="459"/>
              <w:rPr>
                <w:rFonts w:ascii="宋体" w:hAnsi="宋体" w:eastAsia="宋体" w:cs="宋体"/>
                <w:sz w:val="18"/>
                <w:szCs w:val="18"/>
              </w:rPr>
            </w:pPr>
            <w:r>
              <w:rPr>
                <w:rFonts w:ascii="宋体" w:hAnsi="宋体" w:eastAsia="宋体" w:cs="宋体"/>
                <w:spacing w:val="-14"/>
                <w:position w:val="2"/>
                <w:sz w:val="18"/>
                <w:szCs w:val="18"/>
              </w:rPr>
              <w:t>4.05</w:t>
            </w:r>
          </w:p>
        </w:tc>
        <w:tc>
          <w:tcPr>
            <w:tcW w:w="1277" w:type="dxa"/>
            <w:vAlign w:val="top"/>
          </w:tcPr>
          <w:p>
            <w:pPr>
              <w:spacing w:before="151" w:line="260" w:lineRule="exact"/>
              <w:ind w:left="475"/>
              <w:rPr>
                <w:rFonts w:ascii="宋体" w:hAnsi="宋体" w:eastAsia="宋体" w:cs="宋体"/>
                <w:sz w:val="18"/>
                <w:szCs w:val="18"/>
              </w:rPr>
            </w:pPr>
            <w:r>
              <w:rPr>
                <w:rFonts w:ascii="宋体" w:hAnsi="宋体" w:eastAsia="宋体" w:cs="宋体"/>
                <w:spacing w:val="-16"/>
                <w:position w:val="2"/>
                <w:sz w:val="18"/>
                <w:szCs w:val="18"/>
              </w:rPr>
              <w:t>3.59</w:t>
            </w:r>
          </w:p>
        </w:tc>
        <w:tc>
          <w:tcPr>
            <w:tcW w:w="1277" w:type="dxa"/>
            <w:vAlign w:val="top"/>
          </w:tcPr>
          <w:p>
            <w:pPr>
              <w:spacing w:before="151" w:line="260" w:lineRule="exact"/>
              <w:ind w:left="467"/>
              <w:rPr>
                <w:rFonts w:ascii="宋体" w:hAnsi="宋体" w:eastAsia="宋体" w:cs="宋体"/>
                <w:sz w:val="18"/>
                <w:szCs w:val="18"/>
              </w:rPr>
            </w:pPr>
            <w:r>
              <w:rPr>
                <w:rFonts w:ascii="宋体" w:hAnsi="宋体" w:eastAsia="宋体" w:cs="宋体"/>
                <w:spacing w:val="-14"/>
                <w:position w:val="1"/>
                <w:sz w:val="18"/>
                <w:szCs w:val="18"/>
              </w:rPr>
              <w:t>4.51</w:t>
            </w:r>
          </w:p>
        </w:tc>
        <w:tc>
          <w:tcPr>
            <w:tcW w:w="1279" w:type="dxa"/>
            <w:vAlign w:val="top"/>
          </w:tcPr>
          <w:p>
            <w:pPr>
              <w:spacing w:before="151" w:line="260" w:lineRule="exact"/>
              <w:ind w:left="476"/>
              <w:rPr>
                <w:rFonts w:ascii="宋体" w:hAnsi="宋体" w:eastAsia="宋体" w:cs="宋体"/>
                <w:sz w:val="18"/>
                <w:szCs w:val="18"/>
              </w:rPr>
            </w:pPr>
            <w:r>
              <w:rPr>
                <w:rFonts w:ascii="宋体" w:hAnsi="宋体" w:eastAsia="宋体" w:cs="宋体"/>
                <w:spacing w:val="-15"/>
                <w:position w:val="2"/>
                <w:sz w:val="18"/>
                <w:szCs w:val="18"/>
              </w:rPr>
              <w:t>2.93</w:t>
            </w:r>
          </w:p>
        </w:tc>
        <w:tc>
          <w:tcPr>
            <w:tcW w:w="1418" w:type="dxa"/>
            <w:tcBorders>
              <w:right w:val="single" w:color="000000" w:sz="4" w:space="0"/>
            </w:tcBorders>
            <w:vAlign w:val="top"/>
          </w:tcPr>
          <w:p>
            <w:pPr>
              <w:spacing w:before="281" w:line="126"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0" w:hRule="atLeast"/>
        </w:trPr>
        <w:tc>
          <w:tcPr>
            <w:tcW w:w="1033" w:type="dxa"/>
            <w:vMerge w:val="continue"/>
            <w:tcBorders>
              <w:top w:val="nil"/>
              <w:left w:val="single" w:color="000000" w:sz="4" w:space="0"/>
            </w:tcBorders>
            <w:vAlign w:val="top"/>
          </w:tcPr>
          <w:p>
            <w:pPr>
              <w:pStyle w:val="6"/>
            </w:pPr>
          </w:p>
        </w:tc>
        <w:tc>
          <w:tcPr>
            <w:tcW w:w="1535" w:type="dxa"/>
            <w:vAlign w:val="top"/>
          </w:tcPr>
          <w:p>
            <w:pPr>
              <w:spacing w:before="167"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276" w:type="dxa"/>
            <w:vAlign w:val="top"/>
          </w:tcPr>
          <w:p>
            <w:pPr>
              <w:spacing w:before="155" w:line="259" w:lineRule="exact"/>
              <w:ind w:left="469"/>
              <w:rPr>
                <w:rFonts w:ascii="宋体" w:hAnsi="宋体" w:eastAsia="宋体" w:cs="宋体"/>
                <w:sz w:val="18"/>
                <w:szCs w:val="18"/>
              </w:rPr>
            </w:pPr>
            <w:r>
              <w:rPr>
                <w:rFonts w:ascii="宋体" w:hAnsi="宋体" w:eastAsia="宋体" w:cs="宋体"/>
                <w:spacing w:val="-16"/>
                <w:position w:val="2"/>
                <w:sz w:val="18"/>
                <w:szCs w:val="18"/>
              </w:rPr>
              <w:t>3.28</w:t>
            </w:r>
          </w:p>
        </w:tc>
        <w:tc>
          <w:tcPr>
            <w:tcW w:w="1277" w:type="dxa"/>
            <w:vAlign w:val="top"/>
          </w:tcPr>
          <w:p>
            <w:pPr>
              <w:spacing w:before="155" w:line="259" w:lineRule="exact"/>
              <w:ind w:left="475"/>
              <w:rPr>
                <w:rFonts w:ascii="宋体" w:hAnsi="宋体" w:eastAsia="宋体" w:cs="宋体"/>
                <w:sz w:val="18"/>
                <w:szCs w:val="18"/>
              </w:rPr>
            </w:pPr>
            <w:r>
              <w:rPr>
                <w:rFonts w:ascii="宋体" w:hAnsi="宋体" w:eastAsia="宋体" w:cs="宋体"/>
                <w:spacing w:val="-16"/>
                <w:position w:val="2"/>
                <w:sz w:val="18"/>
                <w:szCs w:val="18"/>
              </w:rPr>
              <w:t>3.33</w:t>
            </w:r>
          </w:p>
        </w:tc>
        <w:tc>
          <w:tcPr>
            <w:tcW w:w="1277" w:type="dxa"/>
            <w:vAlign w:val="top"/>
          </w:tcPr>
          <w:p>
            <w:pPr>
              <w:spacing w:before="155" w:line="259" w:lineRule="exact"/>
              <w:ind w:left="477"/>
              <w:rPr>
                <w:rFonts w:ascii="宋体" w:hAnsi="宋体" w:eastAsia="宋体" w:cs="宋体"/>
                <w:sz w:val="18"/>
                <w:szCs w:val="18"/>
              </w:rPr>
            </w:pPr>
            <w:r>
              <w:rPr>
                <w:rFonts w:ascii="宋体" w:hAnsi="宋体" w:eastAsia="宋体" w:cs="宋体"/>
                <w:spacing w:val="-15"/>
                <w:position w:val="2"/>
                <w:sz w:val="18"/>
                <w:szCs w:val="18"/>
              </w:rPr>
              <w:t>3.45</w:t>
            </w:r>
          </w:p>
        </w:tc>
        <w:tc>
          <w:tcPr>
            <w:tcW w:w="1279" w:type="dxa"/>
            <w:vAlign w:val="top"/>
          </w:tcPr>
          <w:p>
            <w:pPr>
              <w:spacing w:before="155" w:line="259" w:lineRule="exact"/>
              <w:ind w:left="503"/>
              <w:rPr>
                <w:rFonts w:ascii="宋体" w:hAnsi="宋体" w:eastAsia="宋体" w:cs="宋体"/>
                <w:sz w:val="18"/>
                <w:szCs w:val="18"/>
              </w:rPr>
            </w:pPr>
            <w:r>
              <w:rPr>
                <w:rFonts w:ascii="宋体" w:hAnsi="宋体" w:eastAsia="宋体" w:cs="宋体"/>
                <w:spacing w:val="-19"/>
                <w:position w:val="1"/>
                <w:sz w:val="18"/>
                <w:szCs w:val="18"/>
              </w:rPr>
              <w:t>1.90</w:t>
            </w:r>
          </w:p>
        </w:tc>
        <w:tc>
          <w:tcPr>
            <w:tcW w:w="1418" w:type="dxa"/>
            <w:tcBorders>
              <w:right w:val="single" w:color="000000" w:sz="4" w:space="0"/>
            </w:tcBorders>
            <w:vAlign w:val="top"/>
          </w:tcPr>
          <w:p>
            <w:pPr>
              <w:spacing w:before="287" w:line="126" w:lineRule="exact"/>
              <w:ind w:left="674"/>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568" w:type="dxa"/>
            <w:gridSpan w:val="2"/>
            <w:tcBorders>
              <w:left w:val="single" w:color="000000" w:sz="4" w:space="0"/>
            </w:tcBorders>
            <w:vAlign w:val="top"/>
          </w:tcPr>
          <w:p>
            <w:pPr>
              <w:spacing w:before="167" w:line="215" w:lineRule="auto"/>
              <w:ind w:left="662"/>
              <w:rPr>
                <w:rFonts w:ascii="宋体" w:hAnsi="宋体" w:eastAsia="宋体" w:cs="宋体"/>
                <w:sz w:val="18"/>
                <w:szCs w:val="18"/>
              </w:rPr>
            </w:pPr>
            <w:r>
              <w:rPr>
                <w:rFonts w:ascii="宋体" w:hAnsi="宋体" w:eastAsia="宋体" w:cs="宋体"/>
                <w:spacing w:val="-4"/>
                <w:sz w:val="18"/>
                <w:szCs w:val="18"/>
              </w:rPr>
              <w:t>古建筑修缮工程</w:t>
            </w:r>
          </w:p>
        </w:tc>
        <w:tc>
          <w:tcPr>
            <w:tcW w:w="1276" w:type="dxa"/>
            <w:vAlign w:val="top"/>
          </w:tcPr>
          <w:p>
            <w:pPr>
              <w:spacing w:before="158" w:line="237" w:lineRule="auto"/>
              <w:ind w:left="459"/>
              <w:rPr>
                <w:rFonts w:ascii="宋体" w:hAnsi="宋体" w:eastAsia="宋体" w:cs="宋体"/>
                <w:sz w:val="18"/>
                <w:szCs w:val="18"/>
              </w:rPr>
            </w:pPr>
            <w:r>
              <w:rPr>
                <w:rFonts w:ascii="宋体" w:hAnsi="宋体" w:eastAsia="宋体" w:cs="宋体"/>
                <w:spacing w:val="-14"/>
                <w:sz w:val="18"/>
                <w:szCs w:val="18"/>
              </w:rPr>
              <w:t>4.22</w:t>
            </w:r>
          </w:p>
        </w:tc>
        <w:tc>
          <w:tcPr>
            <w:tcW w:w="1277" w:type="dxa"/>
            <w:vAlign w:val="top"/>
          </w:tcPr>
          <w:p>
            <w:pPr>
              <w:spacing w:before="158" w:line="237" w:lineRule="auto"/>
              <w:ind w:left="475"/>
              <w:rPr>
                <w:rFonts w:ascii="宋体" w:hAnsi="宋体" w:eastAsia="宋体" w:cs="宋体"/>
                <w:sz w:val="18"/>
                <w:szCs w:val="18"/>
              </w:rPr>
            </w:pPr>
            <w:r>
              <w:rPr>
                <w:rFonts w:ascii="宋体" w:hAnsi="宋体" w:eastAsia="宋体" w:cs="宋体"/>
                <w:spacing w:val="-16"/>
                <w:sz w:val="18"/>
                <w:szCs w:val="18"/>
              </w:rPr>
              <w:t>3.73</w:t>
            </w:r>
          </w:p>
        </w:tc>
        <w:tc>
          <w:tcPr>
            <w:tcW w:w="1277" w:type="dxa"/>
            <w:vAlign w:val="top"/>
          </w:tcPr>
          <w:p>
            <w:pPr>
              <w:spacing w:before="158" w:line="237" w:lineRule="auto"/>
              <w:ind w:left="467"/>
              <w:rPr>
                <w:rFonts w:ascii="宋体" w:hAnsi="宋体" w:eastAsia="宋体" w:cs="宋体"/>
                <w:sz w:val="18"/>
                <w:szCs w:val="18"/>
              </w:rPr>
            </w:pPr>
            <w:r>
              <w:rPr>
                <w:rFonts w:ascii="宋体" w:hAnsi="宋体" w:eastAsia="宋体" w:cs="宋体"/>
                <w:spacing w:val="-14"/>
                <w:sz w:val="18"/>
                <w:szCs w:val="18"/>
              </w:rPr>
              <w:t>4.71</w:t>
            </w:r>
          </w:p>
        </w:tc>
        <w:tc>
          <w:tcPr>
            <w:tcW w:w="1279" w:type="dxa"/>
            <w:vAlign w:val="top"/>
          </w:tcPr>
          <w:p>
            <w:pPr>
              <w:spacing w:before="288" w:line="101" w:lineRule="exact"/>
              <w:ind w:left="609"/>
              <w:rPr>
                <w:rFonts w:ascii="宋体" w:hAnsi="宋体" w:eastAsia="宋体" w:cs="宋体"/>
                <w:sz w:val="18"/>
                <w:szCs w:val="18"/>
              </w:rPr>
            </w:pPr>
            <w:r>
              <w:rPr>
                <w:rFonts w:ascii="宋体" w:hAnsi="宋体" w:eastAsia="宋体" w:cs="宋体"/>
                <w:position w:val="-4"/>
                <w:sz w:val="18"/>
                <w:szCs w:val="18"/>
              </w:rPr>
              <w:t>-</w:t>
            </w:r>
          </w:p>
        </w:tc>
        <w:tc>
          <w:tcPr>
            <w:tcW w:w="1418" w:type="dxa"/>
            <w:tcBorders>
              <w:right w:val="single" w:color="000000" w:sz="4" w:space="0"/>
            </w:tcBorders>
            <w:vAlign w:val="top"/>
          </w:tcPr>
          <w:p>
            <w:pPr>
              <w:spacing w:before="158" w:line="237" w:lineRule="auto"/>
              <w:ind w:left="541"/>
              <w:rPr>
                <w:rFonts w:ascii="宋体" w:hAnsi="宋体" w:eastAsia="宋体" w:cs="宋体"/>
                <w:sz w:val="18"/>
                <w:szCs w:val="18"/>
              </w:rPr>
            </w:pPr>
            <w:r>
              <w:rPr>
                <w:rFonts w:ascii="宋体" w:hAnsi="宋体" w:eastAsia="宋体" w:cs="宋体"/>
                <w:spacing w:val="-14"/>
                <w:sz w:val="18"/>
                <w:szCs w:val="18"/>
              </w:rPr>
              <w:t>2.89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2568" w:type="dxa"/>
            <w:gridSpan w:val="2"/>
            <w:tcBorders>
              <w:left w:val="single" w:color="000000" w:sz="4" w:space="0"/>
              <w:bottom w:val="single" w:color="000000" w:sz="4" w:space="0"/>
            </w:tcBorders>
            <w:vAlign w:val="top"/>
          </w:tcPr>
          <w:p>
            <w:pPr>
              <w:spacing w:before="152" w:line="215" w:lineRule="auto"/>
              <w:ind w:left="748"/>
              <w:rPr>
                <w:rFonts w:ascii="宋体" w:hAnsi="宋体" w:eastAsia="宋体" w:cs="宋体"/>
                <w:sz w:val="18"/>
                <w:szCs w:val="18"/>
              </w:rPr>
            </w:pPr>
            <w:r>
              <w:rPr>
                <w:rFonts w:ascii="宋体" w:hAnsi="宋体" w:eastAsia="宋体" w:cs="宋体"/>
                <w:spacing w:val="-4"/>
                <w:sz w:val="18"/>
                <w:szCs w:val="18"/>
              </w:rPr>
              <w:t>仿古建筑工程</w:t>
            </w:r>
          </w:p>
        </w:tc>
        <w:tc>
          <w:tcPr>
            <w:tcW w:w="1276" w:type="dxa"/>
            <w:tcBorders>
              <w:bottom w:val="single" w:color="000000" w:sz="4" w:space="0"/>
            </w:tcBorders>
            <w:vAlign w:val="top"/>
          </w:tcPr>
          <w:p>
            <w:pPr>
              <w:spacing w:before="161" w:line="254" w:lineRule="exact"/>
              <w:ind w:left="463"/>
              <w:rPr>
                <w:rFonts w:ascii="宋体" w:hAnsi="宋体" w:eastAsia="宋体" w:cs="宋体"/>
                <w:sz w:val="18"/>
                <w:szCs w:val="18"/>
              </w:rPr>
            </w:pPr>
            <w:r>
              <w:rPr>
                <w:rFonts w:ascii="宋体" w:hAnsi="宋体" w:eastAsia="宋体" w:cs="宋体"/>
                <w:spacing w:val="-14"/>
                <w:position w:val="1"/>
                <w:sz w:val="18"/>
                <w:szCs w:val="18"/>
              </w:rPr>
              <w:t>0.66</w:t>
            </w:r>
          </w:p>
        </w:tc>
        <w:tc>
          <w:tcPr>
            <w:tcW w:w="1277" w:type="dxa"/>
            <w:tcBorders>
              <w:bottom w:val="single" w:color="000000" w:sz="4" w:space="0"/>
            </w:tcBorders>
            <w:vAlign w:val="top"/>
          </w:tcPr>
          <w:p>
            <w:pPr>
              <w:spacing w:before="161" w:line="254" w:lineRule="exact"/>
              <w:ind w:left="470"/>
              <w:rPr>
                <w:rFonts w:ascii="宋体" w:hAnsi="宋体" w:eastAsia="宋体" w:cs="宋体"/>
                <w:sz w:val="18"/>
                <w:szCs w:val="18"/>
              </w:rPr>
            </w:pPr>
            <w:r>
              <w:rPr>
                <w:rFonts w:ascii="宋体" w:hAnsi="宋体" w:eastAsia="宋体" w:cs="宋体"/>
                <w:spacing w:val="-15"/>
                <w:position w:val="1"/>
                <w:sz w:val="18"/>
                <w:szCs w:val="18"/>
              </w:rPr>
              <w:t>2.39</w:t>
            </w:r>
          </w:p>
        </w:tc>
        <w:tc>
          <w:tcPr>
            <w:tcW w:w="1277" w:type="dxa"/>
            <w:tcBorders>
              <w:bottom w:val="single" w:color="000000" w:sz="4" w:space="0"/>
            </w:tcBorders>
            <w:vAlign w:val="top"/>
          </w:tcPr>
          <w:p>
            <w:pPr>
              <w:spacing w:before="161" w:line="254" w:lineRule="exact"/>
              <w:ind w:left="472"/>
              <w:rPr>
                <w:rFonts w:ascii="宋体" w:hAnsi="宋体" w:eastAsia="宋体" w:cs="宋体"/>
                <w:sz w:val="18"/>
                <w:szCs w:val="18"/>
              </w:rPr>
            </w:pPr>
            <w:r>
              <w:rPr>
                <w:rFonts w:ascii="宋体" w:hAnsi="宋体" w:eastAsia="宋体" w:cs="宋体"/>
                <w:spacing w:val="-14"/>
                <w:position w:val="1"/>
                <w:sz w:val="18"/>
                <w:szCs w:val="18"/>
              </w:rPr>
              <w:t>2.57</w:t>
            </w:r>
          </w:p>
        </w:tc>
        <w:tc>
          <w:tcPr>
            <w:tcW w:w="1279" w:type="dxa"/>
            <w:tcBorders>
              <w:bottom w:val="single" w:color="000000" w:sz="4" w:space="0"/>
            </w:tcBorders>
            <w:vAlign w:val="top"/>
          </w:tcPr>
          <w:p>
            <w:pPr>
              <w:spacing w:before="161" w:line="254" w:lineRule="exact"/>
              <w:ind w:left="476"/>
              <w:rPr>
                <w:rFonts w:ascii="宋体" w:hAnsi="宋体" w:eastAsia="宋体" w:cs="宋体"/>
                <w:sz w:val="18"/>
                <w:szCs w:val="18"/>
              </w:rPr>
            </w:pPr>
            <w:r>
              <w:rPr>
                <w:rFonts w:ascii="宋体" w:hAnsi="宋体" w:eastAsia="宋体" w:cs="宋体"/>
                <w:spacing w:val="-15"/>
                <w:position w:val="1"/>
                <w:sz w:val="18"/>
                <w:szCs w:val="18"/>
              </w:rPr>
              <w:t>0.75</w:t>
            </w:r>
          </w:p>
        </w:tc>
        <w:tc>
          <w:tcPr>
            <w:tcW w:w="1418" w:type="dxa"/>
            <w:tcBorders>
              <w:bottom w:val="single" w:color="000000" w:sz="4" w:space="0"/>
              <w:right w:val="single" w:color="000000" w:sz="4" w:space="0"/>
            </w:tcBorders>
            <w:vAlign w:val="top"/>
          </w:tcPr>
          <w:p>
            <w:pPr>
              <w:spacing w:before="291" w:line="124" w:lineRule="exact"/>
              <w:ind w:left="674"/>
              <w:rPr>
                <w:rFonts w:ascii="宋体" w:hAnsi="宋体" w:eastAsia="宋体" w:cs="宋体"/>
                <w:sz w:val="18"/>
                <w:szCs w:val="18"/>
              </w:rPr>
            </w:pPr>
            <w:r>
              <w:rPr>
                <w:rFonts w:ascii="宋体" w:hAnsi="宋体" w:eastAsia="宋体" w:cs="宋体"/>
                <w:position w:val="-3"/>
                <w:sz w:val="18"/>
                <w:szCs w:val="18"/>
              </w:rPr>
              <w:t>-</w:t>
            </w:r>
          </w:p>
        </w:tc>
      </w:tr>
    </w:tbl>
    <w:p>
      <w:pPr>
        <w:spacing w:before="46"/>
      </w:pPr>
    </w:p>
    <w:p>
      <w:pPr>
        <w:spacing w:before="45"/>
      </w:pPr>
    </w:p>
    <w:p>
      <w:pPr>
        <w:spacing w:before="45"/>
      </w:pPr>
    </w:p>
    <w:p>
      <w:pPr>
        <w:spacing w:before="45"/>
      </w:pPr>
    </w:p>
    <w:tbl>
      <w:tblPr>
        <w:tblStyle w:val="5"/>
        <w:tblW w:w="9079"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5"/>
        <w:gridCol w:w="2284"/>
        <w:gridCol w:w="1423"/>
        <w:gridCol w:w="1422"/>
        <w:gridCol w:w="1423"/>
        <w:gridCol w:w="1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5" w:hRule="atLeast"/>
        </w:trPr>
        <w:tc>
          <w:tcPr>
            <w:tcW w:w="3369" w:type="dxa"/>
            <w:gridSpan w:val="2"/>
            <w:tcBorders>
              <w:top w:val="single" w:color="000000" w:sz="4" w:space="0"/>
              <w:left w:val="single" w:color="000000" w:sz="4" w:space="0"/>
              <w:tl2br w:val="single" w:color="000000" w:sz="2" w:space="0"/>
            </w:tcBorders>
            <w:vAlign w:val="top"/>
          </w:tcPr>
          <w:p>
            <w:pPr>
              <w:spacing w:before="127" w:line="205" w:lineRule="auto"/>
              <w:ind w:left="123" w:right="771" w:firstLine="1762"/>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423" w:type="dxa"/>
            <w:tcBorders>
              <w:top w:val="single" w:color="000000" w:sz="4" w:space="0"/>
            </w:tcBorders>
            <w:vAlign w:val="top"/>
          </w:tcPr>
          <w:p>
            <w:pPr>
              <w:spacing w:before="234" w:line="202" w:lineRule="auto"/>
              <w:ind w:left="278"/>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422" w:type="dxa"/>
            <w:tcBorders>
              <w:top w:val="single" w:color="000000" w:sz="4" w:space="0"/>
            </w:tcBorders>
            <w:vAlign w:val="top"/>
          </w:tcPr>
          <w:p>
            <w:pPr>
              <w:spacing w:before="234" w:line="202" w:lineRule="auto"/>
              <w:ind w:left="270"/>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423" w:type="dxa"/>
            <w:tcBorders>
              <w:top w:val="single" w:color="000000" w:sz="4" w:space="0"/>
            </w:tcBorders>
            <w:vAlign w:val="top"/>
          </w:tcPr>
          <w:p>
            <w:pPr>
              <w:spacing w:before="234" w:line="202" w:lineRule="auto"/>
              <w:ind w:left="284"/>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442" w:type="dxa"/>
            <w:tcBorders>
              <w:top w:val="single" w:color="000000" w:sz="4" w:space="0"/>
              <w:right w:val="single" w:color="000000" w:sz="4" w:space="0"/>
            </w:tcBorders>
            <w:vAlign w:val="top"/>
          </w:tcPr>
          <w:p>
            <w:pPr>
              <w:spacing w:before="234" w:line="202" w:lineRule="auto"/>
              <w:ind w:left="299"/>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9" w:type="dxa"/>
            <w:gridSpan w:val="2"/>
            <w:tcBorders>
              <w:left w:val="single" w:color="000000" w:sz="4" w:space="0"/>
            </w:tcBorders>
            <w:vAlign w:val="top"/>
          </w:tcPr>
          <w:p>
            <w:pPr>
              <w:spacing w:before="151" w:line="215" w:lineRule="auto"/>
              <w:ind w:left="1331"/>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41" w:line="247" w:lineRule="exact"/>
              <w:ind w:left="544"/>
              <w:rPr>
                <w:rFonts w:ascii="宋体" w:hAnsi="宋体" w:eastAsia="宋体" w:cs="宋体"/>
                <w:sz w:val="18"/>
                <w:szCs w:val="18"/>
              </w:rPr>
            </w:pPr>
            <w:r>
              <w:rPr>
                <w:rFonts w:ascii="宋体" w:hAnsi="宋体" w:eastAsia="宋体" w:cs="宋体"/>
                <w:spacing w:val="-16"/>
                <w:position w:val="1"/>
                <w:sz w:val="18"/>
                <w:szCs w:val="18"/>
              </w:rPr>
              <w:t>3.49</w:t>
            </w:r>
          </w:p>
        </w:tc>
        <w:tc>
          <w:tcPr>
            <w:tcW w:w="1422" w:type="dxa"/>
            <w:vAlign w:val="top"/>
          </w:tcPr>
          <w:p>
            <w:pPr>
              <w:spacing w:before="141" w:line="247" w:lineRule="exact"/>
              <w:ind w:left="543"/>
              <w:rPr>
                <w:rFonts w:ascii="宋体" w:hAnsi="宋体" w:eastAsia="宋体" w:cs="宋体"/>
                <w:sz w:val="18"/>
                <w:szCs w:val="18"/>
              </w:rPr>
            </w:pPr>
            <w:r>
              <w:rPr>
                <w:rFonts w:ascii="宋体" w:hAnsi="宋体" w:eastAsia="宋体" w:cs="宋体"/>
                <w:spacing w:val="-14"/>
                <w:position w:val="1"/>
                <w:sz w:val="18"/>
                <w:szCs w:val="18"/>
              </w:rPr>
              <w:t>0.57</w:t>
            </w:r>
          </w:p>
        </w:tc>
        <w:tc>
          <w:tcPr>
            <w:tcW w:w="1423" w:type="dxa"/>
            <w:vAlign w:val="top"/>
          </w:tcPr>
          <w:p>
            <w:pPr>
              <w:spacing w:before="141" w:line="247" w:lineRule="exact"/>
              <w:ind w:left="546"/>
              <w:rPr>
                <w:rFonts w:ascii="宋体" w:hAnsi="宋体" w:eastAsia="宋体" w:cs="宋体"/>
                <w:sz w:val="18"/>
                <w:szCs w:val="18"/>
              </w:rPr>
            </w:pPr>
            <w:r>
              <w:rPr>
                <w:rFonts w:ascii="宋体" w:hAnsi="宋体" w:eastAsia="宋体" w:cs="宋体"/>
                <w:spacing w:val="-14"/>
                <w:position w:val="1"/>
                <w:sz w:val="18"/>
                <w:szCs w:val="18"/>
              </w:rPr>
              <w:t>0.66</w:t>
            </w:r>
          </w:p>
        </w:tc>
        <w:tc>
          <w:tcPr>
            <w:tcW w:w="1442" w:type="dxa"/>
            <w:tcBorders>
              <w:right w:val="single" w:color="000000" w:sz="4" w:space="0"/>
            </w:tcBorders>
            <w:vAlign w:val="top"/>
          </w:tcPr>
          <w:p>
            <w:pPr>
              <w:spacing w:before="141" w:line="247" w:lineRule="exact"/>
              <w:ind w:left="551"/>
              <w:rPr>
                <w:rFonts w:ascii="宋体" w:hAnsi="宋体" w:eastAsia="宋体" w:cs="宋体"/>
                <w:sz w:val="18"/>
                <w:szCs w:val="18"/>
              </w:rPr>
            </w:pPr>
            <w:r>
              <w:rPr>
                <w:rFonts w:ascii="宋体" w:hAnsi="宋体" w:eastAsia="宋体" w:cs="宋体"/>
                <w:spacing w:val="-14"/>
                <w:position w:val="1"/>
                <w:sz w:val="18"/>
                <w:szCs w:val="18"/>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9" w:type="dxa"/>
            <w:gridSpan w:val="2"/>
            <w:tcBorders>
              <w:left w:val="single" w:color="000000" w:sz="4" w:space="0"/>
            </w:tcBorders>
            <w:vAlign w:val="top"/>
          </w:tcPr>
          <w:p>
            <w:pPr>
              <w:spacing w:before="158" w:line="211" w:lineRule="auto"/>
              <w:ind w:left="1328"/>
              <w:rPr>
                <w:rFonts w:ascii="宋体" w:hAnsi="宋体" w:eastAsia="宋体" w:cs="宋体"/>
                <w:sz w:val="18"/>
                <w:szCs w:val="18"/>
              </w:rPr>
            </w:pPr>
            <w:r>
              <w:rPr>
                <w:rFonts w:ascii="宋体" w:hAnsi="宋体" w:eastAsia="宋体" w:cs="宋体"/>
                <w:spacing w:val="-3"/>
                <w:sz w:val="18"/>
                <w:szCs w:val="18"/>
              </w:rPr>
              <w:t>装饰工程</w:t>
            </w:r>
          </w:p>
        </w:tc>
        <w:tc>
          <w:tcPr>
            <w:tcW w:w="1423" w:type="dxa"/>
            <w:vAlign w:val="top"/>
          </w:tcPr>
          <w:p>
            <w:pPr>
              <w:spacing w:before="143" w:line="247" w:lineRule="exact"/>
              <w:ind w:left="544"/>
              <w:rPr>
                <w:rFonts w:ascii="宋体" w:hAnsi="宋体" w:eastAsia="宋体" w:cs="宋体"/>
                <w:sz w:val="18"/>
                <w:szCs w:val="18"/>
              </w:rPr>
            </w:pPr>
            <w:r>
              <w:rPr>
                <w:rFonts w:ascii="宋体" w:hAnsi="宋体" w:eastAsia="宋体" w:cs="宋体"/>
                <w:spacing w:val="-16"/>
                <w:position w:val="1"/>
                <w:sz w:val="18"/>
                <w:szCs w:val="18"/>
              </w:rPr>
              <w:t>3.47</w:t>
            </w:r>
          </w:p>
        </w:tc>
        <w:tc>
          <w:tcPr>
            <w:tcW w:w="1422" w:type="dxa"/>
            <w:vAlign w:val="top"/>
          </w:tcPr>
          <w:p>
            <w:pPr>
              <w:spacing w:before="143" w:line="247" w:lineRule="exact"/>
              <w:ind w:left="543"/>
              <w:rPr>
                <w:rFonts w:ascii="宋体" w:hAnsi="宋体" w:eastAsia="宋体" w:cs="宋体"/>
                <w:sz w:val="18"/>
                <w:szCs w:val="18"/>
              </w:rPr>
            </w:pPr>
            <w:r>
              <w:rPr>
                <w:rFonts w:ascii="宋体" w:hAnsi="宋体" w:eastAsia="宋体" w:cs="宋体"/>
                <w:spacing w:val="-14"/>
                <w:position w:val="1"/>
                <w:sz w:val="18"/>
                <w:szCs w:val="18"/>
              </w:rPr>
              <w:t>0.12</w:t>
            </w:r>
          </w:p>
        </w:tc>
        <w:tc>
          <w:tcPr>
            <w:tcW w:w="1423" w:type="dxa"/>
            <w:vAlign w:val="top"/>
          </w:tcPr>
          <w:p>
            <w:pPr>
              <w:spacing w:before="143" w:line="247" w:lineRule="exact"/>
              <w:ind w:left="546"/>
              <w:rPr>
                <w:rFonts w:ascii="宋体" w:hAnsi="宋体" w:eastAsia="宋体" w:cs="宋体"/>
                <w:sz w:val="18"/>
                <w:szCs w:val="18"/>
              </w:rPr>
            </w:pPr>
            <w:r>
              <w:rPr>
                <w:rFonts w:ascii="宋体" w:hAnsi="宋体" w:eastAsia="宋体" w:cs="宋体"/>
                <w:spacing w:val="-14"/>
                <w:position w:val="1"/>
                <w:sz w:val="18"/>
                <w:szCs w:val="18"/>
              </w:rPr>
              <w:t>0.10</w:t>
            </w:r>
          </w:p>
        </w:tc>
        <w:tc>
          <w:tcPr>
            <w:tcW w:w="1442" w:type="dxa"/>
            <w:tcBorders>
              <w:right w:val="single" w:color="000000" w:sz="4" w:space="0"/>
            </w:tcBorders>
            <w:vAlign w:val="top"/>
          </w:tcPr>
          <w:p>
            <w:pPr>
              <w:spacing w:before="143" w:line="247" w:lineRule="exact"/>
              <w:ind w:left="579"/>
              <w:rPr>
                <w:rFonts w:ascii="宋体" w:hAnsi="宋体" w:eastAsia="宋体" w:cs="宋体"/>
                <w:sz w:val="18"/>
                <w:szCs w:val="18"/>
              </w:rPr>
            </w:pPr>
            <w:r>
              <w:rPr>
                <w:rFonts w:ascii="宋体" w:hAnsi="宋体" w:eastAsia="宋体" w:cs="宋体"/>
                <w:spacing w:val="-19"/>
                <w:position w:val="1"/>
                <w:sz w:val="18"/>
                <w:szCs w:val="18"/>
              </w:rPr>
              <w:t>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9" w:type="dxa"/>
            <w:gridSpan w:val="2"/>
            <w:tcBorders>
              <w:left w:val="single" w:color="000000" w:sz="4" w:space="0"/>
            </w:tcBorders>
            <w:vAlign w:val="top"/>
          </w:tcPr>
          <w:p>
            <w:pPr>
              <w:spacing w:before="158" w:line="211" w:lineRule="auto"/>
              <w:ind w:left="1334"/>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46" w:line="242" w:lineRule="exact"/>
              <w:ind w:left="538"/>
              <w:rPr>
                <w:rFonts w:ascii="宋体" w:hAnsi="宋体" w:eastAsia="宋体" w:cs="宋体"/>
                <w:sz w:val="18"/>
                <w:szCs w:val="18"/>
              </w:rPr>
            </w:pPr>
            <w:r>
              <w:rPr>
                <w:rFonts w:ascii="宋体" w:hAnsi="宋体" w:eastAsia="宋体" w:cs="宋体"/>
                <w:spacing w:val="-15"/>
                <w:position w:val="1"/>
                <w:sz w:val="18"/>
                <w:szCs w:val="18"/>
              </w:rPr>
              <w:t>2.32</w:t>
            </w:r>
          </w:p>
        </w:tc>
        <w:tc>
          <w:tcPr>
            <w:tcW w:w="1422" w:type="dxa"/>
            <w:vAlign w:val="top"/>
          </w:tcPr>
          <w:p>
            <w:pPr>
              <w:spacing w:before="146" w:line="242" w:lineRule="exact"/>
              <w:ind w:left="543"/>
              <w:rPr>
                <w:rFonts w:ascii="宋体" w:hAnsi="宋体" w:eastAsia="宋体" w:cs="宋体"/>
                <w:sz w:val="18"/>
                <w:szCs w:val="18"/>
              </w:rPr>
            </w:pPr>
            <w:r>
              <w:rPr>
                <w:rFonts w:ascii="宋体" w:hAnsi="宋体" w:eastAsia="宋体" w:cs="宋体"/>
                <w:spacing w:val="-14"/>
                <w:position w:val="1"/>
                <w:sz w:val="18"/>
                <w:szCs w:val="18"/>
              </w:rPr>
              <w:t>0.31</w:t>
            </w:r>
          </w:p>
        </w:tc>
        <w:tc>
          <w:tcPr>
            <w:tcW w:w="1423" w:type="dxa"/>
            <w:vAlign w:val="top"/>
          </w:tcPr>
          <w:p>
            <w:pPr>
              <w:spacing w:before="146" w:line="242" w:lineRule="exact"/>
              <w:ind w:left="546"/>
              <w:rPr>
                <w:rFonts w:ascii="宋体" w:hAnsi="宋体" w:eastAsia="宋体" w:cs="宋体"/>
                <w:sz w:val="18"/>
                <w:szCs w:val="18"/>
              </w:rPr>
            </w:pPr>
            <w:r>
              <w:rPr>
                <w:rFonts w:ascii="宋体" w:hAnsi="宋体" w:eastAsia="宋体" w:cs="宋体"/>
                <w:spacing w:val="-14"/>
                <w:position w:val="1"/>
                <w:sz w:val="18"/>
                <w:szCs w:val="18"/>
              </w:rPr>
              <w:t>0.62</w:t>
            </w:r>
          </w:p>
        </w:tc>
        <w:tc>
          <w:tcPr>
            <w:tcW w:w="1442" w:type="dxa"/>
            <w:tcBorders>
              <w:right w:val="single" w:color="000000" w:sz="4" w:space="0"/>
            </w:tcBorders>
            <w:vAlign w:val="top"/>
          </w:tcPr>
          <w:p>
            <w:pPr>
              <w:spacing w:before="146" w:line="242" w:lineRule="exact"/>
              <w:ind w:left="579"/>
              <w:rPr>
                <w:rFonts w:ascii="宋体" w:hAnsi="宋体" w:eastAsia="宋体" w:cs="宋体"/>
                <w:sz w:val="18"/>
                <w:szCs w:val="18"/>
              </w:rPr>
            </w:pPr>
            <w:r>
              <w:rPr>
                <w:rFonts w:ascii="宋体" w:hAnsi="宋体" w:eastAsia="宋体" w:cs="宋体"/>
                <w:spacing w:val="-19"/>
                <w:position w:val="1"/>
                <w:sz w:val="18"/>
                <w:szCs w:val="18"/>
              </w:rPr>
              <w:t>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9" w:type="dxa"/>
            <w:gridSpan w:val="2"/>
            <w:tcBorders>
              <w:left w:val="single" w:color="000000" w:sz="4" w:space="0"/>
            </w:tcBorders>
            <w:vAlign w:val="top"/>
          </w:tcPr>
          <w:p>
            <w:pPr>
              <w:spacing w:before="164" w:line="208" w:lineRule="auto"/>
              <w:ind w:left="1176"/>
              <w:rPr>
                <w:rFonts w:ascii="宋体" w:hAnsi="宋体" w:eastAsia="宋体" w:cs="宋体"/>
                <w:sz w:val="18"/>
                <w:szCs w:val="18"/>
              </w:rPr>
            </w:pPr>
            <w:r>
              <w:rPr>
                <w:rFonts w:ascii="宋体" w:hAnsi="宋体" w:eastAsia="宋体" w:cs="宋体"/>
                <w:spacing w:val="-9"/>
                <w:sz w:val="18"/>
                <w:szCs w:val="18"/>
              </w:rPr>
              <w:t>园林绿化工程</w:t>
            </w:r>
          </w:p>
        </w:tc>
        <w:tc>
          <w:tcPr>
            <w:tcW w:w="1423" w:type="dxa"/>
            <w:vAlign w:val="top"/>
          </w:tcPr>
          <w:p>
            <w:pPr>
              <w:spacing w:before="147" w:line="242" w:lineRule="exact"/>
              <w:ind w:left="565"/>
              <w:rPr>
                <w:rFonts w:ascii="宋体" w:hAnsi="宋体" w:eastAsia="宋体" w:cs="宋体"/>
                <w:sz w:val="18"/>
                <w:szCs w:val="18"/>
              </w:rPr>
            </w:pPr>
            <w:r>
              <w:rPr>
                <w:rFonts w:ascii="宋体" w:hAnsi="宋体" w:eastAsia="宋体" w:cs="宋体"/>
                <w:spacing w:val="-19"/>
                <w:position w:val="1"/>
                <w:sz w:val="18"/>
                <w:szCs w:val="18"/>
              </w:rPr>
              <w:t>1.69</w:t>
            </w:r>
          </w:p>
        </w:tc>
        <w:tc>
          <w:tcPr>
            <w:tcW w:w="1422" w:type="dxa"/>
            <w:vAlign w:val="top"/>
          </w:tcPr>
          <w:p>
            <w:pPr>
              <w:spacing w:before="147" w:line="242" w:lineRule="exact"/>
              <w:ind w:left="543"/>
              <w:rPr>
                <w:rFonts w:ascii="宋体" w:hAnsi="宋体" w:eastAsia="宋体" w:cs="宋体"/>
                <w:sz w:val="18"/>
                <w:szCs w:val="18"/>
              </w:rPr>
            </w:pPr>
            <w:r>
              <w:rPr>
                <w:rFonts w:ascii="宋体" w:hAnsi="宋体" w:eastAsia="宋体" w:cs="宋体"/>
                <w:spacing w:val="-14"/>
                <w:position w:val="1"/>
                <w:sz w:val="18"/>
                <w:szCs w:val="18"/>
              </w:rPr>
              <w:t>0.15</w:t>
            </w:r>
          </w:p>
        </w:tc>
        <w:tc>
          <w:tcPr>
            <w:tcW w:w="1423" w:type="dxa"/>
            <w:vAlign w:val="top"/>
          </w:tcPr>
          <w:p>
            <w:pPr>
              <w:spacing w:before="147" w:line="242" w:lineRule="exact"/>
              <w:ind w:left="546"/>
              <w:rPr>
                <w:rFonts w:ascii="宋体" w:hAnsi="宋体" w:eastAsia="宋体" w:cs="宋体"/>
                <w:sz w:val="18"/>
                <w:szCs w:val="18"/>
              </w:rPr>
            </w:pPr>
            <w:r>
              <w:rPr>
                <w:rFonts w:ascii="宋体" w:hAnsi="宋体" w:eastAsia="宋体" w:cs="宋体"/>
                <w:spacing w:val="-14"/>
                <w:position w:val="1"/>
                <w:sz w:val="18"/>
                <w:szCs w:val="18"/>
              </w:rPr>
              <w:t>0.34</w:t>
            </w:r>
          </w:p>
        </w:tc>
        <w:tc>
          <w:tcPr>
            <w:tcW w:w="1442" w:type="dxa"/>
            <w:tcBorders>
              <w:right w:val="single" w:color="000000" w:sz="4" w:space="0"/>
            </w:tcBorders>
            <w:vAlign w:val="top"/>
          </w:tcPr>
          <w:p>
            <w:pPr>
              <w:spacing w:before="147" w:line="242" w:lineRule="exact"/>
              <w:ind w:left="579"/>
              <w:rPr>
                <w:rFonts w:ascii="宋体" w:hAnsi="宋体" w:eastAsia="宋体" w:cs="宋体"/>
                <w:sz w:val="18"/>
                <w:szCs w:val="18"/>
              </w:rPr>
            </w:pPr>
            <w:r>
              <w:rPr>
                <w:rFonts w:ascii="宋体" w:hAnsi="宋体" w:eastAsia="宋体" w:cs="宋体"/>
                <w:spacing w:val="-19"/>
                <w:position w:val="1"/>
                <w:sz w:val="18"/>
                <w:szCs w:val="18"/>
              </w:rPr>
              <w:t>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1085" w:type="dxa"/>
            <w:vMerge w:val="restart"/>
            <w:tcBorders>
              <w:left w:val="single" w:color="000000" w:sz="4" w:space="0"/>
              <w:bottom w:val="nil"/>
            </w:tcBorders>
            <w:vAlign w:val="top"/>
          </w:tcPr>
          <w:p>
            <w:pPr>
              <w:spacing w:before="289" w:line="211" w:lineRule="auto"/>
              <w:ind w:left="331"/>
              <w:rPr>
                <w:rFonts w:ascii="宋体" w:hAnsi="宋体" w:eastAsia="宋体" w:cs="宋体"/>
                <w:sz w:val="18"/>
                <w:szCs w:val="18"/>
              </w:rPr>
            </w:pPr>
            <w:r>
              <w:rPr>
                <w:rFonts w:ascii="宋体" w:hAnsi="宋体" w:eastAsia="宋体" w:cs="宋体"/>
                <w:spacing w:val="-3"/>
                <w:sz w:val="18"/>
                <w:szCs w:val="18"/>
              </w:rPr>
              <w:t>房</w:t>
            </w:r>
            <w:r>
              <w:rPr>
                <w:rFonts w:ascii="宋体" w:hAnsi="宋体" w:eastAsia="宋体" w:cs="宋体"/>
                <w:spacing w:val="-12"/>
                <w:sz w:val="18"/>
                <w:szCs w:val="18"/>
              </w:rPr>
              <w:t xml:space="preserve"> </w:t>
            </w:r>
            <w:r>
              <w:rPr>
                <w:rFonts w:ascii="宋体" w:hAnsi="宋体" w:eastAsia="宋体" w:cs="宋体"/>
                <w:spacing w:val="-3"/>
                <w:sz w:val="18"/>
                <w:szCs w:val="18"/>
              </w:rPr>
              <w:t>屋</w:t>
            </w:r>
          </w:p>
          <w:p>
            <w:pPr>
              <w:spacing w:before="290" w:line="200" w:lineRule="auto"/>
              <w:ind w:left="330"/>
              <w:rPr>
                <w:rFonts w:ascii="宋体" w:hAnsi="宋体" w:eastAsia="宋体" w:cs="宋体"/>
                <w:sz w:val="18"/>
                <w:szCs w:val="18"/>
              </w:rPr>
            </w:pPr>
            <w:r>
              <w:rPr>
                <w:rFonts w:ascii="宋体" w:hAnsi="宋体" w:eastAsia="宋体" w:cs="宋体"/>
                <w:spacing w:val="-2"/>
                <w:sz w:val="18"/>
                <w:szCs w:val="18"/>
              </w:rPr>
              <w:t>修</w:t>
            </w:r>
            <w:r>
              <w:rPr>
                <w:rFonts w:ascii="宋体" w:hAnsi="宋体" w:eastAsia="宋体" w:cs="宋体"/>
                <w:spacing w:val="-12"/>
                <w:sz w:val="18"/>
                <w:szCs w:val="18"/>
              </w:rPr>
              <w:t xml:space="preserve"> </w:t>
            </w:r>
            <w:r>
              <w:rPr>
                <w:rFonts w:ascii="宋体" w:hAnsi="宋体" w:eastAsia="宋体" w:cs="宋体"/>
                <w:spacing w:val="-2"/>
                <w:sz w:val="18"/>
                <w:szCs w:val="18"/>
              </w:rPr>
              <w:t>缮</w:t>
            </w:r>
          </w:p>
        </w:tc>
        <w:tc>
          <w:tcPr>
            <w:tcW w:w="2284" w:type="dxa"/>
            <w:vAlign w:val="top"/>
          </w:tcPr>
          <w:p>
            <w:pPr>
              <w:spacing w:before="163"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50" w:line="258" w:lineRule="exact"/>
              <w:ind w:left="544"/>
              <w:rPr>
                <w:rFonts w:ascii="宋体" w:hAnsi="宋体" w:eastAsia="宋体" w:cs="宋体"/>
                <w:sz w:val="18"/>
                <w:szCs w:val="18"/>
              </w:rPr>
            </w:pPr>
            <w:r>
              <w:rPr>
                <w:rFonts w:ascii="宋体" w:hAnsi="宋体" w:eastAsia="宋体" w:cs="宋体"/>
                <w:spacing w:val="-16"/>
                <w:position w:val="1"/>
                <w:sz w:val="18"/>
                <w:szCs w:val="18"/>
              </w:rPr>
              <w:t>3.47</w:t>
            </w:r>
          </w:p>
        </w:tc>
        <w:tc>
          <w:tcPr>
            <w:tcW w:w="1422" w:type="dxa"/>
            <w:vAlign w:val="top"/>
          </w:tcPr>
          <w:p>
            <w:pPr>
              <w:spacing w:before="150" w:line="258" w:lineRule="exact"/>
              <w:ind w:left="543"/>
              <w:rPr>
                <w:rFonts w:ascii="宋体" w:hAnsi="宋体" w:eastAsia="宋体" w:cs="宋体"/>
                <w:sz w:val="18"/>
                <w:szCs w:val="18"/>
              </w:rPr>
            </w:pPr>
            <w:r>
              <w:rPr>
                <w:rFonts w:ascii="宋体" w:hAnsi="宋体" w:eastAsia="宋体" w:cs="宋体"/>
                <w:spacing w:val="-14"/>
                <w:position w:val="1"/>
                <w:sz w:val="18"/>
                <w:szCs w:val="18"/>
              </w:rPr>
              <w:t>0.25</w:t>
            </w:r>
          </w:p>
        </w:tc>
        <w:tc>
          <w:tcPr>
            <w:tcW w:w="1423" w:type="dxa"/>
            <w:vAlign w:val="top"/>
          </w:tcPr>
          <w:p>
            <w:pPr>
              <w:spacing w:before="150" w:line="258" w:lineRule="exact"/>
              <w:ind w:left="546"/>
              <w:rPr>
                <w:rFonts w:ascii="宋体" w:hAnsi="宋体" w:eastAsia="宋体" w:cs="宋体"/>
                <w:sz w:val="18"/>
                <w:szCs w:val="18"/>
              </w:rPr>
            </w:pPr>
            <w:r>
              <w:rPr>
                <w:rFonts w:ascii="宋体" w:hAnsi="宋体" w:eastAsia="宋体" w:cs="宋体"/>
                <w:spacing w:val="-14"/>
                <w:position w:val="1"/>
                <w:sz w:val="18"/>
                <w:szCs w:val="18"/>
              </w:rPr>
              <w:t>0.53</w:t>
            </w:r>
          </w:p>
        </w:tc>
        <w:tc>
          <w:tcPr>
            <w:tcW w:w="1442" w:type="dxa"/>
            <w:tcBorders>
              <w:right w:val="single" w:color="000000" w:sz="4" w:space="0"/>
            </w:tcBorders>
            <w:vAlign w:val="top"/>
          </w:tcPr>
          <w:p>
            <w:pPr>
              <w:spacing w:before="150" w:line="258" w:lineRule="exact"/>
              <w:ind w:left="579"/>
              <w:rPr>
                <w:rFonts w:ascii="宋体" w:hAnsi="宋体" w:eastAsia="宋体" w:cs="宋体"/>
                <w:sz w:val="18"/>
                <w:szCs w:val="18"/>
              </w:rPr>
            </w:pPr>
            <w:r>
              <w:rPr>
                <w:rFonts w:ascii="宋体" w:hAnsi="宋体" w:eastAsia="宋体" w:cs="宋体"/>
                <w:spacing w:val="-19"/>
                <w:position w:val="1"/>
                <w:sz w:val="18"/>
                <w:szCs w:val="18"/>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trPr>
        <w:tc>
          <w:tcPr>
            <w:tcW w:w="1085" w:type="dxa"/>
            <w:vMerge w:val="continue"/>
            <w:tcBorders>
              <w:top w:val="nil"/>
              <w:left w:val="single" w:color="000000" w:sz="4" w:space="0"/>
            </w:tcBorders>
            <w:vAlign w:val="top"/>
          </w:tcPr>
          <w:p>
            <w:pPr>
              <w:pStyle w:val="6"/>
            </w:pPr>
          </w:p>
        </w:tc>
        <w:tc>
          <w:tcPr>
            <w:tcW w:w="2284" w:type="dxa"/>
            <w:vAlign w:val="top"/>
          </w:tcPr>
          <w:p>
            <w:pPr>
              <w:spacing w:before="166"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54" w:line="259" w:lineRule="exact"/>
              <w:ind w:left="538"/>
              <w:rPr>
                <w:rFonts w:ascii="宋体" w:hAnsi="宋体" w:eastAsia="宋体" w:cs="宋体"/>
                <w:sz w:val="18"/>
                <w:szCs w:val="18"/>
              </w:rPr>
            </w:pPr>
            <w:r>
              <w:rPr>
                <w:rFonts w:ascii="宋体" w:hAnsi="宋体" w:eastAsia="宋体" w:cs="宋体"/>
                <w:spacing w:val="-15"/>
                <w:position w:val="2"/>
                <w:sz w:val="18"/>
                <w:szCs w:val="18"/>
              </w:rPr>
              <w:t>2.32</w:t>
            </w:r>
          </w:p>
        </w:tc>
        <w:tc>
          <w:tcPr>
            <w:tcW w:w="1422" w:type="dxa"/>
            <w:vAlign w:val="top"/>
          </w:tcPr>
          <w:p>
            <w:pPr>
              <w:spacing w:before="154" w:line="259" w:lineRule="exact"/>
              <w:ind w:left="543"/>
              <w:rPr>
                <w:rFonts w:ascii="宋体" w:hAnsi="宋体" w:eastAsia="宋体" w:cs="宋体"/>
                <w:sz w:val="18"/>
                <w:szCs w:val="18"/>
              </w:rPr>
            </w:pPr>
            <w:r>
              <w:rPr>
                <w:rFonts w:ascii="宋体" w:hAnsi="宋体" w:eastAsia="宋体" w:cs="宋体"/>
                <w:spacing w:val="-14"/>
                <w:position w:val="1"/>
                <w:sz w:val="18"/>
                <w:szCs w:val="18"/>
              </w:rPr>
              <w:t>0.31</w:t>
            </w:r>
          </w:p>
        </w:tc>
        <w:tc>
          <w:tcPr>
            <w:tcW w:w="1423" w:type="dxa"/>
            <w:vAlign w:val="top"/>
          </w:tcPr>
          <w:p>
            <w:pPr>
              <w:spacing w:before="154" w:line="259" w:lineRule="exact"/>
              <w:ind w:left="546"/>
              <w:rPr>
                <w:rFonts w:ascii="宋体" w:hAnsi="宋体" w:eastAsia="宋体" w:cs="宋体"/>
                <w:sz w:val="18"/>
                <w:szCs w:val="18"/>
              </w:rPr>
            </w:pPr>
            <w:r>
              <w:rPr>
                <w:rFonts w:ascii="宋体" w:hAnsi="宋体" w:eastAsia="宋体" w:cs="宋体"/>
                <w:spacing w:val="-14"/>
                <w:position w:val="2"/>
                <w:sz w:val="18"/>
                <w:szCs w:val="18"/>
              </w:rPr>
              <w:t>0.62</w:t>
            </w:r>
          </w:p>
        </w:tc>
        <w:tc>
          <w:tcPr>
            <w:tcW w:w="1442" w:type="dxa"/>
            <w:tcBorders>
              <w:right w:val="single" w:color="000000" w:sz="4" w:space="0"/>
            </w:tcBorders>
            <w:vAlign w:val="top"/>
          </w:tcPr>
          <w:p>
            <w:pPr>
              <w:spacing w:before="154" w:line="259" w:lineRule="exact"/>
              <w:ind w:left="579"/>
              <w:rPr>
                <w:rFonts w:ascii="宋体" w:hAnsi="宋体" w:eastAsia="宋体" w:cs="宋体"/>
                <w:sz w:val="18"/>
                <w:szCs w:val="18"/>
              </w:rPr>
            </w:pPr>
            <w:r>
              <w:rPr>
                <w:rFonts w:ascii="宋体" w:hAnsi="宋体" w:eastAsia="宋体" w:cs="宋体"/>
                <w:spacing w:val="-19"/>
                <w:position w:val="1"/>
                <w:sz w:val="18"/>
                <w:szCs w:val="18"/>
              </w:rPr>
              <w:t>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9" w:type="dxa"/>
            <w:gridSpan w:val="2"/>
            <w:tcBorders>
              <w:left w:val="single" w:color="000000" w:sz="4" w:space="0"/>
            </w:tcBorders>
            <w:vAlign w:val="top"/>
          </w:tcPr>
          <w:p>
            <w:pPr>
              <w:spacing w:before="167" w:line="215" w:lineRule="auto"/>
              <w:ind w:left="1062"/>
              <w:rPr>
                <w:rFonts w:ascii="宋体" w:hAnsi="宋体" w:eastAsia="宋体" w:cs="宋体"/>
                <w:sz w:val="18"/>
                <w:szCs w:val="18"/>
              </w:rPr>
            </w:pPr>
            <w:r>
              <w:rPr>
                <w:rFonts w:ascii="宋体" w:hAnsi="宋体" w:eastAsia="宋体" w:cs="宋体"/>
                <w:spacing w:val="-4"/>
                <w:sz w:val="18"/>
                <w:szCs w:val="18"/>
              </w:rPr>
              <w:t>古建筑修缮工程</w:t>
            </w:r>
          </w:p>
        </w:tc>
        <w:tc>
          <w:tcPr>
            <w:tcW w:w="1423" w:type="dxa"/>
            <w:vAlign w:val="top"/>
          </w:tcPr>
          <w:p>
            <w:pPr>
              <w:spacing w:before="155" w:line="239" w:lineRule="auto"/>
              <w:ind w:left="544"/>
              <w:rPr>
                <w:rFonts w:ascii="宋体" w:hAnsi="宋体" w:eastAsia="宋体" w:cs="宋体"/>
                <w:sz w:val="18"/>
                <w:szCs w:val="18"/>
              </w:rPr>
            </w:pPr>
            <w:r>
              <w:rPr>
                <w:rFonts w:ascii="宋体" w:hAnsi="宋体" w:eastAsia="宋体" w:cs="宋体"/>
                <w:spacing w:val="-16"/>
                <w:sz w:val="18"/>
                <w:szCs w:val="18"/>
              </w:rPr>
              <w:t>3.44</w:t>
            </w:r>
          </w:p>
        </w:tc>
        <w:tc>
          <w:tcPr>
            <w:tcW w:w="1422" w:type="dxa"/>
            <w:vAlign w:val="top"/>
          </w:tcPr>
          <w:p>
            <w:pPr>
              <w:spacing w:before="155" w:line="239" w:lineRule="auto"/>
              <w:ind w:left="543"/>
              <w:rPr>
                <w:rFonts w:ascii="宋体" w:hAnsi="宋体" w:eastAsia="宋体" w:cs="宋体"/>
                <w:sz w:val="18"/>
                <w:szCs w:val="18"/>
              </w:rPr>
            </w:pPr>
            <w:r>
              <w:rPr>
                <w:rFonts w:ascii="宋体" w:hAnsi="宋体" w:eastAsia="宋体" w:cs="宋体"/>
                <w:spacing w:val="-14"/>
                <w:sz w:val="18"/>
                <w:szCs w:val="18"/>
              </w:rPr>
              <w:t>0.24</w:t>
            </w:r>
          </w:p>
        </w:tc>
        <w:tc>
          <w:tcPr>
            <w:tcW w:w="1423" w:type="dxa"/>
            <w:vAlign w:val="top"/>
          </w:tcPr>
          <w:p>
            <w:pPr>
              <w:spacing w:before="155" w:line="239" w:lineRule="auto"/>
              <w:ind w:left="546"/>
              <w:rPr>
                <w:rFonts w:ascii="宋体" w:hAnsi="宋体" w:eastAsia="宋体" w:cs="宋体"/>
                <w:sz w:val="18"/>
                <w:szCs w:val="18"/>
              </w:rPr>
            </w:pPr>
            <w:r>
              <w:rPr>
                <w:rFonts w:ascii="宋体" w:hAnsi="宋体" w:eastAsia="宋体" w:cs="宋体"/>
                <w:spacing w:val="-14"/>
                <w:sz w:val="18"/>
                <w:szCs w:val="18"/>
              </w:rPr>
              <w:t>0.52</w:t>
            </w:r>
          </w:p>
        </w:tc>
        <w:tc>
          <w:tcPr>
            <w:tcW w:w="1442" w:type="dxa"/>
            <w:tcBorders>
              <w:right w:val="single" w:color="000000" w:sz="4" w:space="0"/>
            </w:tcBorders>
            <w:vAlign w:val="top"/>
          </w:tcPr>
          <w:p>
            <w:pPr>
              <w:spacing w:before="155" w:line="239" w:lineRule="auto"/>
              <w:ind w:left="579"/>
              <w:rPr>
                <w:rFonts w:ascii="宋体" w:hAnsi="宋体" w:eastAsia="宋体" w:cs="宋体"/>
                <w:sz w:val="18"/>
                <w:szCs w:val="18"/>
              </w:rPr>
            </w:pPr>
            <w:r>
              <w:rPr>
                <w:rFonts w:ascii="宋体" w:hAnsi="宋体" w:eastAsia="宋体" w:cs="宋体"/>
                <w:spacing w:val="-19"/>
                <w:sz w:val="18"/>
                <w:szCs w:val="18"/>
              </w:rPr>
              <w:t>1.34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369" w:type="dxa"/>
            <w:gridSpan w:val="2"/>
            <w:tcBorders>
              <w:left w:val="single" w:color="000000" w:sz="4" w:space="0"/>
              <w:bottom w:val="single" w:color="000000" w:sz="4" w:space="0"/>
            </w:tcBorders>
            <w:vAlign w:val="top"/>
          </w:tcPr>
          <w:p>
            <w:pPr>
              <w:spacing w:before="152" w:line="215" w:lineRule="auto"/>
              <w:ind w:left="1150"/>
              <w:rPr>
                <w:rFonts w:ascii="宋体" w:hAnsi="宋体" w:eastAsia="宋体" w:cs="宋体"/>
                <w:sz w:val="18"/>
                <w:szCs w:val="18"/>
              </w:rPr>
            </w:pPr>
            <w:r>
              <w:rPr>
                <w:rFonts w:ascii="宋体" w:hAnsi="宋体" w:eastAsia="宋体" w:cs="宋体"/>
                <w:spacing w:val="-4"/>
                <w:sz w:val="18"/>
                <w:szCs w:val="18"/>
              </w:rPr>
              <w:t>仿古建筑工程</w:t>
            </w:r>
          </w:p>
        </w:tc>
        <w:tc>
          <w:tcPr>
            <w:tcW w:w="1423" w:type="dxa"/>
            <w:tcBorders>
              <w:bottom w:val="single" w:color="000000" w:sz="4" w:space="0"/>
            </w:tcBorders>
            <w:vAlign w:val="top"/>
          </w:tcPr>
          <w:p>
            <w:pPr>
              <w:spacing w:before="159" w:line="257" w:lineRule="exact"/>
              <w:ind w:left="544"/>
              <w:rPr>
                <w:rFonts w:ascii="宋体" w:hAnsi="宋体" w:eastAsia="宋体" w:cs="宋体"/>
                <w:sz w:val="18"/>
                <w:szCs w:val="18"/>
              </w:rPr>
            </w:pPr>
            <w:r>
              <w:rPr>
                <w:rFonts w:ascii="宋体" w:hAnsi="宋体" w:eastAsia="宋体" w:cs="宋体"/>
                <w:spacing w:val="-16"/>
                <w:position w:val="1"/>
                <w:sz w:val="18"/>
                <w:szCs w:val="18"/>
              </w:rPr>
              <w:t>3.44</w:t>
            </w:r>
          </w:p>
        </w:tc>
        <w:tc>
          <w:tcPr>
            <w:tcW w:w="1422" w:type="dxa"/>
            <w:tcBorders>
              <w:bottom w:val="single" w:color="000000" w:sz="4" w:space="0"/>
            </w:tcBorders>
            <w:vAlign w:val="top"/>
          </w:tcPr>
          <w:p>
            <w:pPr>
              <w:spacing w:before="159" w:line="257" w:lineRule="exact"/>
              <w:ind w:left="543"/>
              <w:rPr>
                <w:rFonts w:ascii="宋体" w:hAnsi="宋体" w:eastAsia="宋体" w:cs="宋体"/>
                <w:sz w:val="18"/>
                <w:szCs w:val="18"/>
              </w:rPr>
            </w:pPr>
            <w:r>
              <w:rPr>
                <w:rFonts w:ascii="宋体" w:hAnsi="宋体" w:eastAsia="宋体" w:cs="宋体"/>
                <w:spacing w:val="-14"/>
                <w:position w:val="1"/>
                <w:sz w:val="18"/>
                <w:szCs w:val="18"/>
              </w:rPr>
              <w:t>0.64</w:t>
            </w:r>
          </w:p>
        </w:tc>
        <w:tc>
          <w:tcPr>
            <w:tcW w:w="1423" w:type="dxa"/>
            <w:tcBorders>
              <w:bottom w:val="single" w:color="000000" w:sz="4" w:space="0"/>
            </w:tcBorders>
            <w:vAlign w:val="top"/>
          </w:tcPr>
          <w:p>
            <w:pPr>
              <w:spacing w:before="159" w:line="257" w:lineRule="exact"/>
              <w:ind w:left="546"/>
              <w:rPr>
                <w:rFonts w:ascii="宋体" w:hAnsi="宋体" w:eastAsia="宋体" w:cs="宋体"/>
                <w:sz w:val="18"/>
                <w:szCs w:val="18"/>
              </w:rPr>
            </w:pPr>
            <w:r>
              <w:rPr>
                <w:rFonts w:ascii="宋体" w:hAnsi="宋体" w:eastAsia="宋体" w:cs="宋体"/>
                <w:spacing w:val="-14"/>
                <w:position w:val="1"/>
                <w:sz w:val="18"/>
                <w:szCs w:val="18"/>
              </w:rPr>
              <w:t>0.55</w:t>
            </w:r>
          </w:p>
        </w:tc>
        <w:tc>
          <w:tcPr>
            <w:tcW w:w="1442" w:type="dxa"/>
            <w:tcBorders>
              <w:bottom w:val="single" w:color="000000" w:sz="4" w:space="0"/>
              <w:right w:val="single" w:color="000000" w:sz="4" w:space="0"/>
            </w:tcBorders>
            <w:vAlign w:val="top"/>
          </w:tcPr>
          <w:p>
            <w:pPr>
              <w:spacing w:before="159" w:line="257" w:lineRule="exact"/>
              <w:ind w:left="551"/>
              <w:rPr>
                <w:rFonts w:ascii="宋体" w:hAnsi="宋体" w:eastAsia="宋体" w:cs="宋体"/>
                <w:sz w:val="18"/>
                <w:szCs w:val="18"/>
              </w:rPr>
            </w:pPr>
            <w:r>
              <w:rPr>
                <w:rFonts w:ascii="宋体" w:hAnsi="宋体" w:eastAsia="宋体" w:cs="宋体"/>
                <w:spacing w:val="-14"/>
                <w:position w:val="1"/>
                <w:sz w:val="18"/>
                <w:szCs w:val="18"/>
              </w:rPr>
              <w:t>0.90</w:t>
            </w:r>
          </w:p>
        </w:tc>
      </w:tr>
    </w:tbl>
    <w:p>
      <w:pPr>
        <w:rPr>
          <w:rFonts w:ascii="Arial"/>
          <w:sz w:val="21"/>
        </w:rPr>
      </w:pPr>
    </w:p>
    <w:p>
      <w:pPr>
        <w:rPr>
          <w:rFonts w:ascii="Arial" w:hAnsi="Arial" w:eastAsia="Arial" w:cs="Arial"/>
          <w:sz w:val="21"/>
          <w:szCs w:val="21"/>
        </w:rPr>
        <w:sectPr>
          <w:footerReference r:id="rId218" w:type="default"/>
          <w:pgSz w:w="11905" w:h="16840"/>
          <w:pgMar w:top="400" w:right="1382"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6"/>
          <w:position w:val="1"/>
          <w:sz w:val="20"/>
          <w:szCs w:val="20"/>
        </w:rPr>
        <w:t>2.</w:t>
      </w:r>
      <w:r>
        <w:rPr>
          <w:rFonts w:ascii="宋体" w:hAnsi="宋体" w:eastAsia="宋体" w:cs="宋体"/>
          <w:spacing w:val="34"/>
          <w:position w:val="1"/>
          <w:sz w:val="20"/>
          <w:szCs w:val="20"/>
        </w:rPr>
        <w:t xml:space="preserve"> </w:t>
      </w:r>
      <w:r>
        <w:rPr>
          <w:rFonts w:ascii="宋体" w:hAnsi="宋体" w:eastAsia="宋体" w:cs="宋体"/>
          <w:spacing w:val="16"/>
          <w:position w:val="1"/>
          <w:sz w:val="20"/>
          <w:szCs w:val="20"/>
        </w:rPr>
        <w:t>简易计税法（单位：</w:t>
      </w:r>
      <w:r>
        <w:rPr>
          <w:rFonts w:ascii="宋体" w:hAnsi="宋体" w:eastAsia="宋体" w:cs="宋体"/>
          <w:spacing w:val="-50"/>
          <w:position w:val="1"/>
          <w:sz w:val="20"/>
          <w:szCs w:val="20"/>
        </w:rPr>
        <w:t xml:space="preserve"> </w:t>
      </w:r>
      <w:r>
        <w:rPr>
          <w:rFonts w:ascii="宋体" w:hAnsi="宋体" w:eastAsia="宋体" w:cs="宋体"/>
          <w:spacing w:val="16"/>
          <w:position w:val="1"/>
          <w:sz w:val="20"/>
          <w:szCs w:val="20"/>
        </w:rPr>
        <w:t>%）</w:t>
      </w:r>
    </w:p>
    <w:p>
      <w:pPr>
        <w:spacing w:line="149" w:lineRule="exact"/>
      </w:pPr>
    </w:p>
    <w:tbl>
      <w:tblPr>
        <w:tblStyle w:val="5"/>
        <w:tblW w:w="9115"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3"/>
        <w:gridCol w:w="1668"/>
        <w:gridCol w:w="1236"/>
        <w:gridCol w:w="1236"/>
        <w:gridCol w:w="1236"/>
        <w:gridCol w:w="1235"/>
        <w:gridCol w:w="14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2" w:hRule="atLeast"/>
        </w:trPr>
        <w:tc>
          <w:tcPr>
            <w:tcW w:w="2721" w:type="dxa"/>
            <w:gridSpan w:val="2"/>
            <w:tcBorders>
              <w:top w:val="single" w:color="000000" w:sz="4" w:space="0"/>
              <w:left w:val="single" w:color="000000" w:sz="4" w:space="0"/>
              <w:tl2br w:val="single" w:color="000000" w:sz="2" w:space="0"/>
            </w:tcBorders>
            <w:vAlign w:val="top"/>
          </w:tcPr>
          <w:p>
            <w:pPr>
              <w:spacing w:before="122" w:line="246" w:lineRule="auto"/>
              <w:ind w:left="124" w:right="492" w:firstLine="1389"/>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1236" w:type="dxa"/>
            <w:tcBorders>
              <w:top w:val="single" w:color="000000" w:sz="4" w:space="0"/>
            </w:tcBorders>
            <w:vAlign w:val="top"/>
          </w:tcPr>
          <w:p>
            <w:pPr>
              <w:spacing w:before="130" w:line="242" w:lineRule="auto"/>
              <w:ind w:left="352" w:right="252"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236" w:type="dxa"/>
            <w:tcBorders>
              <w:top w:val="single" w:color="000000" w:sz="4" w:space="0"/>
            </w:tcBorders>
            <w:vAlign w:val="top"/>
          </w:tcPr>
          <w:p>
            <w:pPr>
              <w:spacing w:before="104" w:line="248" w:lineRule="auto"/>
              <w:ind w:left="328" w:right="381" w:firstLine="12"/>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5"/>
                <w:w w:val="101"/>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236" w:type="dxa"/>
            <w:tcBorders>
              <w:top w:val="single" w:color="000000" w:sz="4" w:space="0"/>
            </w:tcBorders>
            <w:vAlign w:val="top"/>
          </w:tcPr>
          <w:p>
            <w:pPr>
              <w:spacing w:before="129" w:line="223" w:lineRule="auto"/>
              <w:ind w:left="276"/>
              <w:rPr>
                <w:rFonts w:ascii="黑体" w:hAnsi="黑体" w:eastAsia="黑体" w:cs="黑体"/>
                <w:sz w:val="18"/>
                <w:szCs w:val="18"/>
              </w:rPr>
            </w:pPr>
            <w:r>
              <w:rPr>
                <w:rFonts w:ascii="黑体" w:hAnsi="黑体" w:eastAsia="黑体" w:cs="黑体"/>
                <w:spacing w:val="-3"/>
                <w:sz w:val="18"/>
                <w:szCs w:val="18"/>
              </w:rPr>
              <w:t>冬雨季施</w:t>
            </w:r>
          </w:p>
          <w:p>
            <w:pPr>
              <w:spacing w:before="17" w:line="223" w:lineRule="auto"/>
              <w:ind w:left="273"/>
              <w:rPr>
                <w:rFonts w:ascii="黑体" w:hAnsi="黑体" w:eastAsia="黑体" w:cs="黑体"/>
                <w:sz w:val="18"/>
                <w:szCs w:val="18"/>
              </w:rPr>
            </w:pPr>
            <w:r>
              <w:rPr>
                <w:rFonts w:ascii="黑体" w:hAnsi="黑体" w:eastAsia="黑体" w:cs="黑体"/>
                <w:spacing w:val="-5"/>
                <w:sz w:val="18"/>
                <w:szCs w:val="18"/>
              </w:rPr>
              <w:t>工增加费</w:t>
            </w:r>
          </w:p>
        </w:tc>
        <w:tc>
          <w:tcPr>
            <w:tcW w:w="1235" w:type="dxa"/>
            <w:tcBorders>
              <w:top w:val="single" w:color="000000" w:sz="4" w:space="0"/>
            </w:tcBorders>
            <w:vAlign w:val="top"/>
          </w:tcPr>
          <w:p>
            <w:pPr>
              <w:spacing w:before="129" w:line="221" w:lineRule="auto"/>
              <w:ind w:left="212"/>
              <w:rPr>
                <w:rFonts w:ascii="黑体" w:hAnsi="黑体" w:eastAsia="黑体" w:cs="黑体"/>
                <w:sz w:val="18"/>
                <w:szCs w:val="18"/>
              </w:rPr>
            </w:pPr>
            <w:r>
              <w:rPr>
                <w:rFonts w:ascii="黑体" w:hAnsi="黑体" w:eastAsia="黑体" w:cs="黑体"/>
                <w:spacing w:val="-6"/>
                <w:sz w:val="18"/>
                <w:szCs w:val="18"/>
              </w:rPr>
              <w:t>已完工程及</w:t>
            </w:r>
          </w:p>
          <w:p>
            <w:pPr>
              <w:spacing w:before="19" w:line="222" w:lineRule="auto"/>
              <w:ind w:left="187"/>
              <w:rPr>
                <w:rFonts w:ascii="黑体" w:hAnsi="黑体" w:eastAsia="黑体" w:cs="黑体"/>
                <w:sz w:val="18"/>
                <w:szCs w:val="18"/>
              </w:rPr>
            </w:pPr>
            <w:r>
              <w:rPr>
                <w:rFonts w:ascii="黑体" w:hAnsi="黑体" w:eastAsia="黑体" w:cs="黑体"/>
                <w:spacing w:val="-4"/>
                <w:sz w:val="18"/>
                <w:szCs w:val="18"/>
              </w:rPr>
              <w:t>设备保护费</w:t>
            </w:r>
          </w:p>
        </w:tc>
        <w:tc>
          <w:tcPr>
            <w:tcW w:w="1451" w:type="dxa"/>
            <w:tcBorders>
              <w:top w:val="single" w:color="000000" w:sz="4" w:space="0"/>
              <w:right w:val="single" w:color="000000" w:sz="4" w:space="0"/>
            </w:tcBorders>
            <w:vAlign w:val="top"/>
          </w:tcPr>
          <w:p>
            <w:pPr>
              <w:spacing w:before="130" w:line="242" w:lineRule="auto"/>
              <w:ind w:left="195" w:right="89" w:hanging="50"/>
              <w:rPr>
                <w:rFonts w:ascii="黑体" w:hAnsi="黑体" w:eastAsia="黑体" w:cs="黑体"/>
                <w:sz w:val="18"/>
                <w:szCs w:val="18"/>
              </w:rPr>
            </w:pPr>
            <w:r>
              <w:rPr>
                <w:rFonts w:ascii="黑体" w:hAnsi="黑体" w:eastAsia="黑体" w:cs="黑体"/>
                <w:spacing w:val="-8"/>
                <w:sz w:val="18"/>
                <w:szCs w:val="18"/>
              </w:rPr>
              <w:t>既有建（构）筑</w:t>
            </w:r>
            <w:r>
              <w:rPr>
                <w:rFonts w:ascii="黑体" w:hAnsi="黑体" w:eastAsia="黑体" w:cs="黑体"/>
                <w:spacing w:val="-4"/>
                <w:sz w:val="18"/>
                <w:szCs w:val="18"/>
              </w:rPr>
              <w:t>物及设施保护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721" w:type="dxa"/>
            <w:gridSpan w:val="2"/>
            <w:tcBorders>
              <w:left w:val="single" w:color="000000" w:sz="4" w:space="0"/>
            </w:tcBorders>
            <w:vAlign w:val="top"/>
          </w:tcPr>
          <w:p>
            <w:pPr>
              <w:spacing w:before="152" w:line="215" w:lineRule="auto"/>
              <w:ind w:left="1005"/>
              <w:rPr>
                <w:rFonts w:ascii="宋体" w:hAnsi="宋体" w:eastAsia="宋体" w:cs="宋体"/>
                <w:sz w:val="18"/>
                <w:szCs w:val="18"/>
              </w:rPr>
            </w:pPr>
            <w:r>
              <w:rPr>
                <w:rFonts w:ascii="宋体" w:hAnsi="宋体" w:eastAsia="宋体" w:cs="宋体"/>
                <w:spacing w:val="-4"/>
                <w:sz w:val="18"/>
                <w:szCs w:val="18"/>
              </w:rPr>
              <w:t>建筑工程</w:t>
            </w:r>
          </w:p>
        </w:tc>
        <w:tc>
          <w:tcPr>
            <w:tcW w:w="1236" w:type="dxa"/>
            <w:vAlign w:val="top"/>
          </w:tcPr>
          <w:p>
            <w:pPr>
              <w:spacing w:before="142" w:line="247" w:lineRule="exact"/>
              <w:ind w:left="443"/>
              <w:rPr>
                <w:rFonts w:ascii="宋体" w:hAnsi="宋体" w:eastAsia="宋体" w:cs="宋体"/>
                <w:sz w:val="18"/>
                <w:szCs w:val="18"/>
              </w:rPr>
            </w:pPr>
            <w:r>
              <w:rPr>
                <w:rFonts w:ascii="宋体" w:hAnsi="宋体" w:eastAsia="宋体" w:cs="宋体"/>
                <w:spacing w:val="-15"/>
                <w:position w:val="1"/>
                <w:sz w:val="18"/>
                <w:szCs w:val="18"/>
              </w:rPr>
              <w:t>2.88</w:t>
            </w:r>
          </w:p>
        </w:tc>
        <w:tc>
          <w:tcPr>
            <w:tcW w:w="1236" w:type="dxa"/>
            <w:vAlign w:val="top"/>
          </w:tcPr>
          <w:p>
            <w:pPr>
              <w:spacing w:before="142" w:line="247" w:lineRule="exact"/>
              <w:ind w:left="445"/>
              <w:rPr>
                <w:rFonts w:ascii="宋体" w:hAnsi="宋体" w:eastAsia="宋体" w:cs="宋体"/>
                <w:sz w:val="18"/>
                <w:szCs w:val="18"/>
              </w:rPr>
            </w:pPr>
            <w:r>
              <w:rPr>
                <w:rFonts w:ascii="宋体" w:hAnsi="宋体" w:eastAsia="宋体" w:cs="宋体"/>
                <w:spacing w:val="-15"/>
                <w:position w:val="1"/>
                <w:sz w:val="18"/>
                <w:szCs w:val="18"/>
              </w:rPr>
              <w:t>2.47</w:t>
            </w:r>
          </w:p>
        </w:tc>
        <w:tc>
          <w:tcPr>
            <w:tcW w:w="1236" w:type="dxa"/>
            <w:vAlign w:val="top"/>
          </w:tcPr>
          <w:p>
            <w:pPr>
              <w:spacing w:before="142" w:line="247" w:lineRule="exact"/>
              <w:ind w:left="456"/>
              <w:rPr>
                <w:rFonts w:ascii="宋体" w:hAnsi="宋体" w:eastAsia="宋体" w:cs="宋体"/>
                <w:sz w:val="18"/>
                <w:szCs w:val="18"/>
              </w:rPr>
            </w:pPr>
            <w:r>
              <w:rPr>
                <w:rFonts w:ascii="宋体" w:hAnsi="宋体" w:eastAsia="宋体" w:cs="宋体"/>
                <w:spacing w:val="-16"/>
                <w:position w:val="1"/>
                <w:sz w:val="18"/>
                <w:szCs w:val="18"/>
              </w:rPr>
              <w:t>3.29</w:t>
            </w:r>
          </w:p>
        </w:tc>
        <w:tc>
          <w:tcPr>
            <w:tcW w:w="1235" w:type="dxa"/>
            <w:vAlign w:val="top"/>
          </w:tcPr>
          <w:p>
            <w:pPr>
              <w:spacing w:before="142" w:line="247" w:lineRule="exact"/>
              <w:ind w:left="452"/>
              <w:rPr>
                <w:rFonts w:ascii="宋体" w:hAnsi="宋体" w:eastAsia="宋体" w:cs="宋体"/>
                <w:sz w:val="18"/>
                <w:szCs w:val="18"/>
              </w:rPr>
            </w:pPr>
            <w:r>
              <w:rPr>
                <w:rFonts w:ascii="宋体" w:hAnsi="宋体" w:eastAsia="宋体" w:cs="宋体"/>
                <w:spacing w:val="-14"/>
                <w:position w:val="1"/>
                <w:sz w:val="18"/>
                <w:szCs w:val="18"/>
              </w:rPr>
              <w:t>0.56</w:t>
            </w:r>
          </w:p>
        </w:tc>
        <w:tc>
          <w:tcPr>
            <w:tcW w:w="1451" w:type="dxa"/>
            <w:tcBorders>
              <w:right w:val="single" w:color="000000" w:sz="4" w:space="0"/>
            </w:tcBorders>
            <w:vAlign w:val="top"/>
          </w:tcPr>
          <w:p>
            <w:pPr>
              <w:spacing w:before="275" w:line="114"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59" w:line="211" w:lineRule="auto"/>
              <w:ind w:left="1002"/>
              <w:rPr>
                <w:rFonts w:ascii="宋体" w:hAnsi="宋体" w:eastAsia="宋体" w:cs="宋体"/>
                <w:sz w:val="18"/>
                <w:szCs w:val="18"/>
              </w:rPr>
            </w:pPr>
            <w:r>
              <w:rPr>
                <w:rFonts w:ascii="宋体" w:hAnsi="宋体" w:eastAsia="宋体" w:cs="宋体"/>
                <w:spacing w:val="-3"/>
                <w:sz w:val="18"/>
                <w:szCs w:val="18"/>
              </w:rPr>
              <w:t>装饰工程</w:t>
            </w:r>
          </w:p>
        </w:tc>
        <w:tc>
          <w:tcPr>
            <w:tcW w:w="1236" w:type="dxa"/>
            <w:vAlign w:val="top"/>
          </w:tcPr>
          <w:p>
            <w:pPr>
              <w:spacing w:before="144" w:line="246" w:lineRule="exact"/>
              <w:ind w:left="438"/>
              <w:rPr>
                <w:rFonts w:ascii="宋体" w:hAnsi="宋体" w:eastAsia="宋体" w:cs="宋体"/>
                <w:sz w:val="18"/>
                <w:szCs w:val="18"/>
              </w:rPr>
            </w:pPr>
            <w:r>
              <w:rPr>
                <w:rFonts w:ascii="宋体" w:hAnsi="宋体" w:eastAsia="宋体" w:cs="宋体"/>
                <w:spacing w:val="-14"/>
                <w:position w:val="1"/>
                <w:sz w:val="18"/>
                <w:szCs w:val="18"/>
              </w:rPr>
              <w:t>4.14</w:t>
            </w:r>
          </w:p>
        </w:tc>
        <w:tc>
          <w:tcPr>
            <w:tcW w:w="1236" w:type="dxa"/>
            <w:vAlign w:val="top"/>
          </w:tcPr>
          <w:p>
            <w:pPr>
              <w:spacing w:before="144" w:line="246" w:lineRule="exact"/>
              <w:ind w:left="451"/>
              <w:rPr>
                <w:rFonts w:ascii="宋体" w:hAnsi="宋体" w:eastAsia="宋体" w:cs="宋体"/>
                <w:sz w:val="18"/>
                <w:szCs w:val="18"/>
              </w:rPr>
            </w:pPr>
            <w:r>
              <w:rPr>
                <w:rFonts w:ascii="宋体" w:hAnsi="宋体" w:eastAsia="宋体" w:cs="宋体"/>
                <w:spacing w:val="-15"/>
                <w:position w:val="1"/>
                <w:sz w:val="18"/>
                <w:szCs w:val="18"/>
              </w:rPr>
              <w:t>3.73</w:t>
            </w:r>
          </w:p>
        </w:tc>
        <w:tc>
          <w:tcPr>
            <w:tcW w:w="1236" w:type="dxa"/>
            <w:vAlign w:val="top"/>
          </w:tcPr>
          <w:p>
            <w:pPr>
              <w:spacing w:before="144" w:line="246" w:lineRule="exact"/>
              <w:ind w:left="445"/>
              <w:rPr>
                <w:rFonts w:ascii="宋体" w:hAnsi="宋体" w:eastAsia="宋体" w:cs="宋体"/>
                <w:sz w:val="18"/>
                <w:szCs w:val="18"/>
              </w:rPr>
            </w:pPr>
            <w:r>
              <w:rPr>
                <w:rFonts w:ascii="宋体" w:hAnsi="宋体" w:eastAsia="宋体" w:cs="宋体"/>
                <w:spacing w:val="-14"/>
                <w:position w:val="1"/>
                <w:sz w:val="18"/>
                <w:szCs w:val="18"/>
              </w:rPr>
              <w:t>4.66</w:t>
            </w:r>
          </w:p>
        </w:tc>
        <w:tc>
          <w:tcPr>
            <w:tcW w:w="1235" w:type="dxa"/>
            <w:vAlign w:val="top"/>
          </w:tcPr>
          <w:p>
            <w:pPr>
              <w:spacing w:before="144" w:line="246" w:lineRule="exact"/>
              <w:ind w:left="452"/>
              <w:rPr>
                <w:rFonts w:ascii="宋体" w:hAnsi="宋体" w:eastAsia="宋体" w:cs="宋体"/>
                <w:sz w:val="18"/>
                <w:szCs w:val="18"/>
              </w:rPr>
            </w:pPr>
            <w:r>
              <w:rPr>
                <w:rFonts w:ascii="宋体" w:hAnsi="宋体" w:eastAsia="宋体" w:cs="宋体"/>
                <w:spacing w:val="-14"/>
                <w:position w:val="1"/>
                <w:sz w:val="18"/>
                <w:szCs w:val="18"/>
              </w:rPr>
              <w:t>0.56</w:t>
            </w:r>
          </w:p>
        </w:tc>
        <w:tc>
          <w:tcPr>
            <w:tcW w:w="1451" w:type="dxa"/>
            <w:tcBorders>
              <w:right w:val="single" w:color="000000" w:sz="4" w:space="0"/>
            </w:tcBorders>
            <w:vAlign w:val="top"/>
          </w:tcPr>
          <w:p>
            <w:pPr>
              <w:spacing w:before="276" w:line="113"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59" w:line="211" w:lineRule="auto"/>
              <w:ind w:left="1008"/>
              <w:rPr>
                <w:rFonts w:ascii="宋体" w:hAnsi="宋体" w:eastAsia="宋体" w:cs="宋体"/>
                <w:sz w:val="18"/>
                <w:szCs w:val="18"/>
              </w:rPr>
            </w:pPr>
            <w:r>
              <w:rPr>
                <w:rFonts w:ascii="宋体" w:hAnsi="宋体" w:eastAsia="宋体" w:cs="宋体"/>
                <w:spacing w:val="-5"/>
                <w:sz w:val="18"/>
                <w:szCs w:val="18"/>
              </w:rPr>
              <w:t>安装工程</w:t>
            </w:r>
          </w:p>
        </w:tc>
        <w:tc>
          <w:tcPr>
            <w:tcW w:w="1236" w:type="dxa"/>
            <w:vAlign w:val="top"/>
          </w:tcPr>
          <w:p>
            <w:pPr>
              <w:spacing w:before="147" w:line="242" w:lineRule="exact"/>
              <w:ind w:left="448"/>
              <w:rPr>
                <w:rFonts w:ascii="宋体" w:hAnsi="宋体" w:eastAsia="宋体" w:cs="宋体"/>
                <w:sz w:val="18"/>
                <w:szCs w:val="18"/>
              </w:rPr>
            </w:pPr>
            <w:r>
              <w:rPr>
                <w:rFonts w:ascii="宋体" w:hAnsi="宋体" w:eastAsia="宋体" w:cs="宋体"/>
                <w:spacing w:val="-16"/>
                <w:position w:val="1"/>
                <w:sz w:val="18"/>
                <w:szCs w:val="18"/>
              </w:rPr>
              <w:t>3.49</w:t>
            </w:r>
          </w:p>
        </w:tc>
        <w:tc>
          <w:tcPr>
            <w:tcW w:w="1236" w:type="dxa"/>
            <w:vAlign w:val="top"/>
          </w:tcPr>
          <w:p>
            <w:pPr>
              <w:spacing w:before="147" w:line="242" w:lineRule="exact"/>
              <w:ind w:left="445"/>
              <w:rPr>
                <w:rFonts w:ascii="宋体" w:hAnsi="宋体" w:eastAsia="宋体" w:cs="宋体"/>
                <w:sz w:val="18"/>
                <w:szCs w:val="18"/>
              </w:rPr>
            </w:pPr>
            <w:r>
              <w:rPr>
                <w:rFonts w:ascii="宋体" w:hAnsi="宋体" w:eastAsia="宋体" w:cs="宋体"/>
                <w:spacing w:val="-15"/>
                <w:position w:val="1"/>
                <w:sz w:val="18"/>
                <w:szCs w:val="18"/>
              </w:rPr>
              <w:t>2.81</w:t>
            </w:r>
          </w:p>
        </w:tc>
        <w:tc>
          <w:tcPr>
            <w:tcW w:w="1236" w:type="dxa"/>
            <w:vAlign w:val="top"/>
          </w:tcPr>
          <w:p>
            <w:pPr>
              <w:spacing w:before="147" w:line="242" w:lineRule="exact"/>
              <w:ind w:left="456"/>
              <w:rPr>
                <w:rFonts w:ascii="宋体" w:hAnsi="宋体" w:eastAsia="宋体" w:cs="宋体"/>
                <w:sz w:val="18"/>
                <w:szCs w:val="18"/>
              </w:rPr>
            </w:pPr>
            <w:r>
              <w:rPr>
                <w:rFonts w:ascii="宋体" w:hAnsi="宋体" w:eastAsia="宋体" w:cs="宋体"/>
                <w:spacing w:val="-16"/>
                <w:position w:val="1"/>
                <w:sz w:val="18"/>
                <w:szCs w:val="18"/>
              </w:rPr>
              <w:t>3.75</w:t>
            </w:r>
          </w:p>
        </w:tc>
        <w:tc>
          <w:tcPr>
            <w:tcW w:w="1235" w:type="dxa"/>
            <w:vAlign w:val="top"/>
          </w:tcPr>
          <w:p>
            <w:pPr>
              <w:spacing w:before="147" w:line="242" w:lineRule="exact"/>
              <w:ind w:left="479"/>
              <w:rPr>
                <w:rFonts w:ascii="宋体" w:hAnsi="宋体" w:eastAsia="宋体" w:cs="宋体"/>
                <w:sz w:val="18"/>
                <w:szCs w:val="18"/>
              </w:rPr>
            </w:pPr>
            <w:r>
              <w:rPr>
                <w:rFonts w:ascii="宋体" w:hAnsi="宋体" w:eastAsia="宋体" w:cs="宋体"/>
                <w:spacing w:val="-19"/>
                <w:position w:val="1"/>
                <w:sz w:val="18"/>
                <w:szCs w:val="18"/>
              </w:rPr>
              <w:t>1.47</w:t>
            </w:r>
          </w:p>
        </w:tc>
        <w:tc>
          <w:tcPr>
            <w:tcW w:w="1451" w:type="dxa"/>
            <w:tcBorders>
              <w:right w:val="single" w:color="000000" w:sz="4" w:space="0"/>
            </w:tcBorders>
            <w:vAlign w:val="top"/>
          </w:tcPr>
          <w:p>
            <w:pPr>
              <w:spacing w:before="279" w:line="111"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721" w:type="dxa"/>
            <w:gridSpan w:val="2"/>
            <w:tcBorders>
              <w:left w:val="single" w:color="000000" w:sz="4" w:space="0"/>
            </w:tcBorders>
            <w:vAlign w:val="top"/>
          </w:tcPr>
          <w:p>
            <w:pPr>
              <w:spacing w:before="164" w:line="208" w:lineRule="auto"/>
              <w:ind w:left="850"/>
              <w:rPr>
                <w:rFonts w:ascii="宋体" w:hAnsi="宋体" w:eastAsia="宋体" w:cs="宋体"/>
                <w:sz w:val="18"/>
                <w:szCs w:val="18"/>
              </w:rPr>
            </w:pPr>
            <w:r>
              <w:rPr>
                <w:rFonts w:ascii="宋体" w:hAnsi="宋体" w:eastAsia="宋体" w:cs="宋体"/>
                <w:spacing w:val="-9"/>
                <w:sz w:val="18"/>
                <w:szCs w:val="18"/>
              </w:rPr>
              <w:t>园林绿化工程</w:t>
            </w:r>
          </w:p>
        </w:tc>
        <w:tc>
          <w:tcPr>
            <w:tcW w:w="1236" w:type="dxa"/>
            <w:vAlign w:val="top"/>
          </w:tcPr>
          <w:p>
            <w:pPr>
              <w:spacing w:before="147" w:line="242" w:lineRule="exact"/>
              <w:ind w:left="443"/>
              <w:rPr>
                <w:rFonts w:ascii="宋体" w:hAnsi="宋体" w:eastAsia="宋体" w:cs="宋体"/>
                <w:sz w:val="18"/>
                <w:szCs w:val="18"/>
              </w:rPr>
            </w:pPr>
            <w:r>
              <w:rPr>
                <w:rFonts w:ascii="宋体" w:hAnsi="宋体" w:eastAsia="宋体" w:cs="宋体"/>
                <w:spacing w:val="-14"/>
                <w:position w:val="1"/>
                <w:sz w:val="18"/>
                <w:szCs w:val="18"/>
              </w:rPr>
              <w:t>2.66</w:t>
            </w:r>
          </w:p>
        </w:tc>
        <w:tc>
          <w:tcPr>
            <w:tcW w:w="1236" w:type="dxa"/>
            <w:vAlign w:val="top"/>
          </w:tcPr>
          <w:p>
            <w:pPr>
              <w:spacing w:before="147" w:line="242" w:lineRule="exact"/>
              <w:ind w:left="448"/>
              <w:rPr>
                <w:rFonts w:ascii="宋体" w:hAnsi="宋体" w:eastAsia="宋体" w:cs="宋体"/>
                <w:sz w:val="18"/>
                <w:szCs w:val="18"/>
              </w:rPr>
            </w:pPr>
            <w:r>
              <w:rPr>
                <w:rFonts w:ascii="宋体" w:hAnsi="宋体" w:eastAsia="宋体" w:cs="宋体"/>
                <w:spacing w:val="-15"/>
                <w:position w:val="1"/>
                <w:sz w:val="18"/>
                <w:szCs w:val="18"/>
              </w:rPr>
              <w:t>5.32</w:t>
            </w:r>
          </w:p>
        </w:tc>
        <w:tc>
          <w:tcPr>
            <w:tcW w:w="1236" w:type="dxa"/>
            <w:vAlign w:val="top"/>
          </w:tcPr>
          <w:p>
            <w:pPr>
              <w:spacing w:before="147" w:line="242" w:lineRule="exact"/>
              <w:ind w:left="450"/>
              <w:rPr>
                <w:rFonts w:ascii="宋体" w:hAnsi="宋体" w:eastAsia="宋体" w:cs="宋体"/>
                <w:sz w:val="18"/>
                <w:szCs w:val="18"/>
              </w:rPr>
            </w:pPr>
            <w:r>
              <w:rPr>
                <w:rFonts w:ascii="宋体" w:hAnsi="宋体" w:eastAsia="宋体" w:cs="宋体"/>
                <w:spacing w:val="-14"/>
                <w:position w:val="1"/>
                <w:sz w:val="18"/>
                <w:szCs w:val="18"/>
              </w:rPr>
              <w:t>2.66</w:t>
            </w:r>
          </w:p>
        </w:tc>
        <w:tc>
          <w:tcPr>
            <w:tcW w:w="1235" w:type="dxa"/>
            <w:vAlign w:val="top"/>
          </w:tcPr>
          <w:p>
            <w:pPr>
              <w:spacing w:before="147" w:line="242" w:lineRule="exact"/>
              <w:ind w:left="454"/>
              <w:rPr>
                <w:rFonts w:ascii="宋体" w:hAnsi="宋体" w:eastAsia="宋体" w:cs="宋体"/>
                <w:sz w:val="18"/>
                <w:szCs w:val="18"/>
              </w:rPr>
            </w:pPr>
            <w:r>
              <w:rPr>
                <w:rFonts w:ascii="宋体" w:hAnsi="宋体" w:eastAsia="宋体" w:cs="宋体"/>
                <w:spacing w:val="-14"/>
                <w:position w:val="1"/>
                <w:sz w:val="18"/>
                <w:szCs w:val="18"/>
              </w:rPr>
              <w:t>7.10</w:t>
            </w:r>
          </w:p>
        </w:tc>
        <w:tc>
          <w:tcPr>
            <w:tcW w:w="1451" w:type="dxa"/>
            <w:tcBorders>
              <w:right w:val="single" w:color="000000" w:sz="4" w:space="0"/>
            </w:tcBorders>
            <w:vAlign w:val="top"/>
          </w:tcPr>
          <w:p>
            <w:pPr>
              <w:spacing w:before="280" w:line="109"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53" w:type="dxa"/>
            <w:vMerge w:val="restart"/>
            <w:tcBorders>
              <w:left w:val="single" w:color="000000" w:sz="4" w:space="0"/>
              <w:bottom w:val="nil"/>
            </w:tcBorders>
            <w:vAlign w:val="top"/>
          </w:tcPr>
          <w:p>
            <w:pPr>
              <w:spacing w:before="235" w:line="326" w:lineRule="auto"/>
              <w:ind w:left="352" w:right="343" w:firstLine="1"/>
              <w:rPr>
                <w:rFonts w:ascii="宋体" w:hAnsi="宋体" w:eastAsia="宋体" w:cs="宋体"/>
                <w:sz w:val="18"/>
                <w:szCs w:val="18"/>
              </w:rPr>
            </w:pPr>
            <w:r>
              <w:rPr>
                <w:rFonts w:ascii="宋体" w:hAnsi="宋体" w:eastAsia="宋体" w:cs="宋体"/>
                <w:spacing w:val="-7"/>
                <w:sz w:val="18"/>
                <w:szCs w:val="18"/>
              </w:rPr>
              <w:t>房屋</w:t>
            </w:r>
            <w:r>
              <w:rPr>
                <w:rFonts w:ascii="宋体" w:hAnsi="宋体" w:eastAsia="宋体" w:cs="宋体"/>
                <w:spacing w:val="-6"/>
                <w:sz w:val="18"/>
                <w:szCs w:val="18"/>
              </w:rPr>
              <w:t>修缮</w:t>
            </w:r>
          </w:p>
        </w:tc>
        <w:tc>
          <w:tcPr>
            <w:tcW w:w="1668" w:type="dxa"/>
            <w:vAlign w:val="top"/>
          </w:tcPr>
          <w:p>
            <w:pPr>
              <w:spacing w:before="164" w:line="215" w:lineRule="auto"/>
              <w:ind w:left="468"/>
              <w:rPr>
                <w:rFonts w:ascii="宋体" w:hAnsi="宋体" w:eastAsia="宋体" w:cs="宋体"/>
                <w:sz w:val="18"/>
                <w:szCs w:val="18"/>
              </w:rPr>
            </w:pPr>
            <w:r>
              <w:rPr>
                <w:rFonts w:ascii="宋体" w:hAnsi="宋体" w:eastAsia="宋体" w:cs="宋体"/>
                <w:spacing w:val="-4"/>
                <w:sz w:val="18"/>
                <w:szCs w:val="18"/>
              </w:rPr>
              <w:t>建筑工程</w:t>
            </w:r>
          </w:p>
        </w:tc>
        <w:tc>
          <w:tcPr>
            <w:tcW w:w="1236" w:type="dxa"/>
            <w:vAlign w:val="top"/>
          </w:tcPr>
          <w:p>
            <w:pPr>
              <w:spacing w:before="151" w:line="260" w:lineRule="exact"/>
              <w:ind w:left="438"/>
              <w:rPr>
                <w:rFonts w:ascii="宋体" w:hAnsi="宋体" w:eastAsia="宋体" w:cs="宋体"/>
                <w:sz w:val="18"/>
                <w:szCs w:val="18"/>
              </w:rPr>
            </w:pPr>
            <w:r>
              <w:rPr>
                <w:rFonts w:ascii="宋体" w:hAnsi="宋体" w:eastAsia="宋体" w:cs="宋体"/>
                <w:spacing w:val="-14"/>
                <w:position w:val="2"/>
                <w:sz w:val="18"/>
                <w:szCs w:val="18"/>
              </w:rPr>
              <w:t>4.45</w:t>
            </w:r>
          </w:p>
        </w:tc>
        <w:tc>
          <w:tcPr>
            <w:tcW w:w="1236" w:type="dxa"/>
            <w:vAlign w:val="top"/>
          </w:tcPr>
          <w:p>
            <w:pPr>
              <w:spacing w:before="151" w:line="260" w:lineRule="exact"/>
              <w:ind w:left="451"/>
              <w:rPr>
                <w:rFonts w:ascii="宋体" w:hAnsi="宋体" w:eastAsia="宋体" w:cs="宋体"/>
                <w:sz w:val="18"/>
                <w:szCs w:val="18"/>
              </w:rPr>
            </w:pPr>
            <w:r>
              <w:rPr>
                <w:rFonts w:ascii="宋体" w:hAnsi="宋体" w:eastAsia="宋体" w:cs="宋体"/>
                <w:spacing w:val="-15"/>
                <w:position w:val="2"/>
                <w:sz w:val="18"/>
                <w:szCs w:val="18"/>
              </w:rPr>
              <w:t>3.94</w:t>
            </w:r>
          </w:p>
        </w:tc>
        <w:tc>
          <w:tcPr>
            <w:tcW w:w="1236" w:type="dxa"/>
            <w:vAlign w:val="top"/>
          </w:tcPr>
          <w:p>
            <w:pPr>
              <w:spacing w:before="151" w:line="260" w:lineRule="exact"/>
              <w:ind w:left="445"/>
              <w:rPr>
                <w:rFonts w:ascii="宋体" w:hAnsi="宋体" w:eastAsia="宋体" w:cs="宋体"/>
                <w:sz w:val="18"/>
                <w:szCs w:val="18"/>
              </w:rPr>
            </w:pPr>
            <w:r>
              <w:rPr>
                <w:rFonts w:ascii="宋体" w:hAnsi="宋体" w:eastAsia="宋体" w:cs="宋体"/>
                <w:spacing w:val="-14"/>
                <w:position w:val="2"/>
                <w:sz w:val="18"/>
                <w:szCs w:val="18"/>
              </w:rPr>
              <w:t>4.98</w:t>
            </w:r>
          </w:p>
        </w:tc>
        <w:tc>
          <w:tcPr>
            <w:tcW w:w="1235" w:type="dxa"/>
            <w:vAlign w:val="top"/>
          </w:tcPr>
          <w:p>
            <w:pPr>
              <w:spacing w:before="151" w:line="260" w:lineRule="exact"/>
              <w:ind w:left="458"/>
              <w:rPr>
                <w:rFonts w:ascii="宋体" w:hAnsi="宋体" w:eastAsia="宋体" w:cs="宋体"/>
                <w:sz w:val="18"/>
                <w:szCs w:val="18"/>
              </w:rPr>
            </w:pPr>
            <w:r>
              <w:rPr>
                <w:rFonts w:ascii="宋体" w:hAnsi="宋体" w:eastAsia="宋体" w:cs="宋体"/>
                <w:spacing w:val="-15"/>
                <w:position w:val="2"/>
                <w:sz w:val="18"/>
                <w:szCs w:val="18"/>
              </w:rPr>
              <w:t>3.20</w:t>
            </w:r>
          </w:p>
        </w:tc>
        <w:tc>
          <w:tcPr>
            <w:tcW w:w="1451" w:type="dxa"/>
            <w:tcBorders>
              <w:right w:val="single" w:color="000000" w:sz="4" w:space="0"/>
            </w:tcBorders>
            <w:vAlign w:val="top"/>
          </w:tcPr>
          <w:p>
            <w:pPr>
              <w:spacing w:before="284" w:line="126"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053" w:type="dxa"/>
            <w:vMerge w:val="continue"/>
            <w:tcBorders>
              <w:top w:val="nil"/>
              <w:left w:val="single" w:color="000000" w:sz="4" w:space="0"/>
            </w:tcBorders>
            <w:vAlign w:val="top"/>
          </w:tcPr>
          <w:p>
            <w:pPr>
              <w:pStyle w:val="6"/>
            </w:pPr>
          </w:p>
        </w:tc>
        <w:tc>
          <w:tcPr>
            <w:tcW w:w="1668" w:type="dxa"/>
            <w:vAlign w:val="top"/>
          </w:tcPr>
          <w:p>
            <w:pPr>
              <w:spacing w:before="168" w:line="211" w:lineRule="auto"/>
              <w:ind w:left="471"/>
              <w:rPr>
                <w:rFonts w:ascii="宋体" w:hAnsi="宋体" w:eastAsia="宋体" w:cs="宋体"/>
                <w:sz w:val="18"/>
                <w:szCs w:val="18"/>
              </w:rPr>
            </w:pPr>
            <w:r>
              <w:rPr>
                <w:rFonts w:ascii="宋体" w:hAnsi="宋体" w:eastAsia="宋体" w:cs="宋体"/>
                <w:spacing w:val="-5"/>
                <w:sz w:val="18"/>
                <w:szCs w:val="18"/>
              </w:rPr>
              <w:t>安装工程</w:t>
            </w:r>
          </w:p>
        </w:tc>
        <w:tc>
          <w:tcPr>
            <w:tcW w:w="1236" w:type="dxa"/>
            <w:vAlign w:val="top"/>
          </w:tcPr>
          <w:p>
            <w:pPr>
              <w:spacing w:before="156" w:line="259" w:lineRule="exact"/>
              <w:ind w:left="448"/>
              <w:rPr>
                <w:rFonts w:ascii="宋体" w:hAnsi="宋体" w:eastAsia="宋体" w:cs="宋体"/>
                <w:sz w:val="18"/>
                <w:szCs w:val="18"/>
              </w:rPr>
            </w:pPr>
            <w:r>
              <w:rPr>
                <w:rFonts w:ascii="宋体" w:hAnsi="宋体" w:eastAsia="宋体" w:cs="宋体"/>
                <w:spacing w:val="-16"/>
                <w:position w:val="2"/>
                <w:sz w:val="18"/>
                <w:szCs w:val="18"/>
              </w:rPr>
              <w:t>3.49</w:t>
            </w:r>
          </w:p>
        </w:tc>
        <w:tc>
          <w:tcPr>
            <w:tcW w:w="1236" w:type="dxa"/>
            <w:vAlign w:val="top"/>
          </w:tcPr>
          <w:p>
            <w:pPr>
              <w:spacing w:before="156" w:line="259" w:lineRule="exact"/>
              <w:ind w:left="451"/>
              <w:rPr>
                <w:rFonts w:ascii="宋体" w:hAnsi="宋体" w:eastAsia="宋体" w:cs="宋体"/>
                <w:sz w:val="18"/>
                <w:szCs w:val="18"/>
              </w:rPr>
            </w:pPr>
            <w:r>
              <w:rPr>
                <w:rFonts w:ascii="宋体" w:hAnsi="宋体" w:eastAsia="宋体" w:cs="宋体"/>
                <w:spacing w:val="-15"/>
                <w:position w:val="1"/>
                <w:sz w:val="18"/>
                <w:szCs w:val="18"/>
              </w:rPr>
              <w:t>3.61</w:t>
            </w:r>
          </w:p>
        </w:tc>
        <w:tc>
          <w:tcPr>
            <w:tcW w:w="1236" w:type="dxa"/>
            <w:vAlign w:val="top"/>
          </w:tcPr>
          <w:p>
            <w:pPr>
              <w:spacing w:before="156" w:line="259" w:lineRule="exact"/>
              <w:ind w:left="456"/>
              <w:rPr>
                <w:rFonts w:ascii="宋体" w:hAnsi="宋体" w:eastAsia="宋体" w:cs="宋体"/>
                <w:sz w:val="18"/>
                <w:szCs w:val="18"/>
              </w:rPr>
            </w:pPr>
            <w:r>
              <w:rPr>
                <w:rFonts w:ascii="宋体" w:hAnsi="宋体" w:eastAsia="宋体" w:cs="宋体"/>
                <w:spacing w:val="-16"/>
                <w:position w:val="2"/>
                <w:sz w:val="18"/>
                <w:szCs w:val="18"/>
              </w:rPr>
              <w:t>3.75</w:t>
            </w:r>
          </w:p>
        </w:tc>
        <w:tc>
          <w:tcPr>
            <w:tcW w:w="1235" w:type="dxa"/>
            <w:vAlign w:val="top"/>
          </w:tcPr>
          <w:p>
            <w:pPr>
              <w:spacing w:before="156" w:line="259" w:lineRule="exact"/>
              <w:ind w:left="453"/>
              <w:rPr>
                <w:rFonts w:ascii="宋体" w:hAnsi="宋体" w:eastAsia="宋体" w:cs="宋体"/>
                <w:sz w:val="18"/>
                <w:szCs w:val="18"/>
              </w:rPr>
            </w:pPr>
            <w:r>
              <w:rPr>
                <w:rFonts w:ascii="宋体" w:hAnsi="宋体" w:eastAsia="宋体" w:cs="宋体"/>
                <w:spacing w:val="-15"/>
                <w:position w:val="2"/>
                <w:sz w:val="18"/>
                <w:szCs w:val="18"/>
              </w:rPr>
              <w:t>2.09</w:t>
            </w:r>
          </w:p>
        </w:tc>
        <w:tc>
          <w:tcPr>
            <w:tcW w:w="1451" w:type="dxa"/>
            <w:tcBorders>
              <w:right w:val="single" w:color="000000" w:sz="4" w:space="0"/>
            </w:tcBorders>
            <w:vAlign w:val="top"/>
          </w:tcPr>
          <w:p>
            <w:pPr>
              <w:spacing w:before="288" w:line="126" w:lineRule="exact"/>
              <w:ind w:left="692"/>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2721" w:type="dxa"/>
            <w:gridSpan w:val="2"/>
            <w:tcBorders>
              <w:left w:val="single" w:color="000000" w:sz="4" w:space="0"/>
            </w:tcBorders>
            <w:vAlign w:val="top"/>
          </w:tcPr>
          <w:p>
            <w:pPr>
              <w:spacing w:before="167" w:line="215" w:lineRule="auto"/>
              <w:ind w:left="739"/>
              <w:rPr>
                <w:rFonts w:ascii="宋体" w:hAnsi="宋体" w:eastAsia="宋体" w:cs="宋体"/>
                <w:sz w:val="18"/>
                <w:szCs w:val="18"/>
              </w:rPr>
            </w:pPr>
            <w:r>
              <w:rPr>
                <w:rFonts w:ascii="宋体" w:hAnsi="宋体" w:eastAsia="宋体" w:cs="宋体"/>
                <w:spacing w:val="-4"/>
                <w:sz w:val="18"/>
                <w:szCs w:val="18"/>
              </w:rPr>
              <w:t>古建筑修缮工程</w:t>
            </w:r>
          </w:p>
        </w:tc>
        <w:tc>
          <w:tcPr>
            <w:tcW w:w="1236" w:type="dxa"/>
            <w:vAlign w:val="top"/>
          </w:tcPr>
          <w:p>
            <w:pPr>
              <w:spacing w:before="158" w:line="237" w:lineRule="auto"/>
              <w:ind w:left="438"/>
              <w:rPr>
                <w:rFonts w:ascii="宋体" w:hAnsi="宋体" w:eastAsia="宋体" w:cs="宋体"/>
                <w:sz w:val="18"/>
                <w:szCs w:val="18"/>
              </w:rPr>
            </w:pPr>
            <w:r>
              <w:rPr>
                <w:rFonts w:ascii="宋体" w:hAnsi="宋体" w:eastAsia="宋体" w:cs="宋体"/>
                <w:spacing w:val="-14"/>
                <w:sz w:val="18"/>
                <w:szCs w:val="18"/>
              </w:rPr>
              <w:t>4.61</w:t>
            </w:r>
          </w:p>
        </w:tc>
        <w:tc>
          <w:tcPr>
            <w:tcW w:w="1236" w:type="dxa"/>
            <w:vAlign w:val="top"/>
          </w:tcPr>
          <w:p>
            <w:pPr>
              <w:spacing w:before="158" w:line="237" w:lineRule="auto"/>
              <w:ind w:left="440"/>
              <w:rPr>
                <w:rFonts w:ascii="宋体" w:hAnsi="宋体" w:eastAsia="宋体" w:cs="宋体"/>
                <w:sz w:val="18"/>
                <w:szCs w:val="18"/>
              </w:rPr>
            </w:pPr>
            <w:r>
              <w:rPr>
                <w:rFonts w:ascii="宋体" w:hAnsi="宋体" w:eastAsia="宋体" w:cs="宋体"/>
                <w:spacing w:val="-14"/>
                <w:sz w:val="18"/>
                <w:szCs w:val="18"/>
              </w:rPr>
              <w:t>4.07</w:t>
            </w:r>
          </w:p>
        </w:tc>
        <w:tc>
          <w:tcPr>
            <w:tcW w:w="1236" w:type="dxa"/>
            <w:vAlign w:val="top"/>
          </w:tcPr>
          <w:p>
            <w:pPr>
              <w:spacing w:before="158" w:line="237" w:lineRule="auto"/>
              <w:ind w:left="453"/>
              <w:rPr>
                <w:rFonts w:ascii="宋体" w:hAnsi="宋体" w:eastAsia="宋体" w:cs="宋体"/>
                <w:sz w:val="18"/>
                <w:szCs w:val="18"/>
              </w:rPr>
            </w:pPr>
            <w:r>
              <w:rPr>
                <w:rFonts w:ascii="宋体" w:hAnsi="宋体" w:eastAsia="宋体" w:cs="宋体"/>
                <w:spacing w:val="-15"/>
                <w:sz w:val="18"/>
                <w:szCs w:val="18"/>
              </w:rPr>
              <w:t>5.14</w:t>
            </w:r>
          </w:p>
        </w:tc>
        <w:tc>
          <w:tcPr>
            <w:tcW w:w="1235" w:type="dxa"/>
            <w:vAlign w:val="top"/>
          </w:tcPr>
          <w:p>
            <w:pPr>
              <w:spacing w:before="288" w:line="101" w:lineRule="exact"/>
              <w:ind w:left="588"/>
              <w:rPr>
                <w:rFonts w:ascii="宋体" w:hAnsi="宋体" w:eastAsia="宋体" w:cs="宋体"/>
                <w:sz w:val="18"/>
                <w:szCs w:val="18"/>
              </w:rPr>
            </w:pPr>
            <w:r>
              <w:rPr>
                <w:rFonts w:ascii="宋体" w:hAnsi="宋体" w:eastAsia="宋体" w:cs="宋体"/>
                <w:position w:val="-4"/>
                <w:sz w:val="18"/>
                <w:szCs w:val="18"/>
              </w:rPr>
              <w:t>-</w:t>
            </w:r>
          </w:p>
        </w:tc>
        <w:tc>
          <w:tcPr>
            <w:tcW w:w="1451" w:type="dxa"/>
            <w:tcBorders>
              <w:right w:val="single" w:color="000000" w:sz="4" w:space="0"/>
            </w:tcBorders>
            <w:vAlign w:val="top"/>
          </w:tcPr>
          <w:p>
            <w:pPr>
              <w:spacing w:before="158" w:line="237" w:lineRule="auto"/>
              <w:ind w:left="562"/>
              <w:rPr>
                <w:rFonts w:ascii="宋体" w:hAnsi="宋体" w:eastAsia="宋体" w:cs="宋体"/>
                <w:sz w:val="18"/>
                <w:szCs w:val="18"/>
              </w:rPr>
            </w:pPr>
            <w:r>
              <w:rPr>
                <w:rFonts w:ascii="宋体" w:hAnsi="宋体" w:eastAsia="宋体" w:cs="宋体"/>
                <w:spacing w:val="-15"/>
                <w:sz w:val="18"/>
                <w:szCs w:val="18"/>
              </w:rPr>
              <w:t>3.15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2721" w:type="dxa"/>
            <w:gridSpan w:val="2"/>
            <w:tcBorders>
              <w:left w:val="single" w:color="000000" w:sz="4" w:space="0"/>
              <w:bottom w:val="single" w:color="000000" w:sz="4" w:space="0"/>
            </w:tcBorders>
            <w:vAlign w:val="top"/>
          </w:tcPr>
          <w:p>
            <w:pPr>
              <w:spacing w:before="169" w:line="215" w:lineRule="auto"/>
              <w:ind w:left="824"/>
              <w:rPr>
                <w:rFonts w:ascii="宋体" w:hAnsi="宋体" w:eastAsia="宋体" w:cs="宋体"/>
                <w:sz w:val="18"/>
                <w:szCs w:val="18"/>
              </w:rPr>
            </w:pPr>
            <w:r>
              <w:rPr>
                <w:rFonts w:ascii="宋体" w:hAnsi="宋体" w:eastAsia="宋体" w:cs="宋体"/>
                <w:spacing w:val="-4"/>
                <w:sz w:val="18"/>
                <w:szCs w:val="18"/>
              </w:rPr>
              <w:t>仿古建筑工程</w:t>
            </w:r>
          </w:p>
        </w:tc>
        <w:tc>
          <w:tcPr>
            <w:tcW w:w="1236" w:type="dxa"/>
            <w:tcBorders>
              <w:bottom w:val="single" w:color="000000" w:sz="4" w:space="0"/>
            </w:tcBorders>
            <w:vAlign w:val="top"/>
          </w:tcPr>
          <w:p>
            <w:pPr>
              <w:spacing w:before="161" w:line="254" w:lineRule="exact"/>
              <w:ind w:left="442"/>
              <w:rPr>
                <w:rFonts w:ascii="宋体" w:hAnsi="宋体" w:eastAsia="宋体" w:cs="宋体"/>
                <w:sz w:val="18"/>
                <w:szCs w:val="18"/>
              </w:rPr>
            </w:pPr>
            <w:r>
              <w:rPr>
                <w:rFonts w:ascii="宋体" w:hAnsi="宋体" w:eastAsia="宋体" w:cs="宋体"/>
                <w:spacing w:val="-14"/>
                <w:position w:val="1"/>
                <w:sz w:val="18"/>
                <w:szCs w:val="18"/>
              </w:rPr>
              <w:t>0.73</w:t>
            </w:r>
          </w:p>
        </w:tc>
        <w:tc>
          <w:tcPr>
            <w:tcW w:w="1236" w:type="dxa"/>
            <w:tcBorders>
              <w:bottom w:val="single" w:color="000000" w:sz="4" w:space="0"/>
            </w:tcBorders>
            <w:vAlign w:val="top"/>
          </w:tcPr>
          <w:p>
            <w:pPr>
              <w:spacing w:before="161" w:line="254" w:lineRule="exact"/>
              <w:ind w:left="445"/>
              <w:rPr>
                <w:rFonts w:ascii="宋体" w:hAnsi="宋体" w:eastAsia="宋体" w:cs="宋体"/>
                <w:sz w:val="18"/>
                <w:szCs w:val="18"/>
              </w:rPr>
            </w:pPr>
            <w:r>
              <w:rPr>
                <w:rFonts w:ascii="宋体" w:hAnsi="宋体" w:eastAsia="宋体" w:cs="宋体"/>
                <w:spacing w:val="-14"/>
                <w:position w:val="1"/>
                <w:sz w:val="18"/>
                <w:szCs w:val="18"/>
              </w:rPr>
              <w:t>2.64</w:t>
            </w:r>
          </w:p>
        </w:tc>
        <w:tc>
          <w:tcPr>
            <w:tcW w:w="1236" w:type="dxa"/>
            <w:tcBorders>
              <w:bottom w:val="single" w:color="000000" w:sz="4" w:space="0"/>
            </w:tcBorders>
            <w:vAlign w:val="top"/>
          </w:tcPr>
          <w:p>
            <w:pPr>
              <w:spacing w:before="161" w:line="254" w:lineRule="exact"/>
              <w:ind w:left="450"/>
              <w:rPr>
                <w:rFonts w:ascii="宋体" w:hAnsi="宋体" w:eastAsia="宋体" w:cs="宋体"/>
                <w:sz w:val="18"/>
                <w:szCs w:val="18"/>
              </w:rPr>
            </w:pPr>
            <w:r>
              <w:rPr>
                <w:rFonts w:ascii="宋体" w:hAnsi="宋体" w:eastAsia="宋体" w:cs="宋体"/>
                <w:spacing w:val="-14"/>
                <w:position w:val="1"/>
                <w:sz w:val="18"/>
                <w:szCs w:val="18"/>
              </w:rPr>
              <w:t>2.84</w:t>
            </w:r>
          </w:p>
        </w:tc>
        <w:tc>
          <w:tcPr>
            <w:tcW w:w="1235" w:type="dxa"/>
            <w:tcBorders>
              <w:bottom w:val="single" w:color="000000" w:sz="4" w:space="0"/>
            </w:tcBorders>
            <w:vAlign w:val="top"/>
          </w:tcPr>
          <w:p>
            <w:pPr>
              <w:spacing w:before="161" w:line="254" w:lineRule="exact"/>
              <w:ind w:left="452"/>
              <w:rPr>
                <w:rFonts w:ascii="宋体" w:hAnsi="宋体" w:eastAsia="宋体" w:cs="宋体"/>
                <w:sz w:val="18"/>
                <w:szCs w:val="18"/>
              </w:rPr>
            </w:pPr>
            <w:r>
              <w:rPr>
                <w:rFonts w:ascii="宋体" w:hAnsi="宋体" w:eastAsia="宋体" w:cs="宋体"/>
                <w:spacing w:val="-14"/>
                <w:position w:val="1"/>
                <w:sz w:val="18"/>
                <w:szCs w:val="18"/>
              </w:rPr>
              <w:t>0.83</w:t>
            </w:r>
          </w:p>
        </w:tc>
        <w:tc>
          <w:tcPr>
            <w:tcW w:w="1451" w:type="dxa"/>
            <w:tcBorders>
              <w:bottom w:val="single" w:color="000000" w:sz="4" w:space="0"/>
              <w:right w:val="single" w:color="000000" w:sz="4" w:space="0"/>
            </w:tcBorders>
            <w:vAlign w:val="top"/>
          </w:tcPr>
          <w:p>
            <w:pPr>
              <w:spacing w:before="291" w:line="124" w:lineRule="exact"/>
              <w:ind w:left="692"/>
              <w:rPr>
                <w:rFonts w:ascii="宋体" w:hAnsi="宋体" w:eastAsia="宋体" w:cs="宋体"/>
                <w:sz w:val="18"/>
                <w:szCs w:val="18"/>
              </w:rPr>
            </w:pPr>
            <w:r>
              <w:rPr>
                <w:rFonts w:ascii="宋体" w:hAnsi="宋体" w:eastAsia="宋体" w:cs="宋体"/>
                <w:position w:val="-3"/>
                <w:sz w:val="18"/>
                <w:szCs w:val="18"/>
              </w:rPr>
              <w:t>-</w:t>
            </w:r>
          </w:p>
        </w:tc>
      </w:tr>
    </w:tbl>
    <w:p>
      <w:pPr>
        <w:spacing w:before="106"/>
      </w:pPr>
    </w:p>
    <w:p>
      <w:pPr>
        <w:spacing w:before="106"/>
      </w:pPr>
    </w:p>
    <w:tbl>
      <w:tblPr>
        <w:tblStyle w:val="5"/>
        <w:tblW w:w="9079"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5"/>
        <w:gridCol w:w="2353"/>
        <w:gridCol w:w="1423"/>
        <w:gridCol w:w="1423"/>
        <w:gridCol w:w="1424"/>
        <w:gridCol w:w="14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3" w:hRule="atLeast"/>
        </w:trPr>
        <w:tc>
          <w:tcPr>
            <w:tcW w:w="3368" w:type="dxa"/>
            <w:gridSpan w:val="2"/>
            <w:tcBorders>
              <w:top w:val="single" w:color="000000" w:sz="4" w:space="0"/>
              <w:left w:val="single" w:color="000000" w:sz="4" w:space="0"/>
              <w:tl2br w:val="single" w:color="000000" w:sz="2" w:space="0"/>
            </w:tcBorders>
            <w:vAlign w:val="top"/>
          </w:tcPr>
          <w:p>
            <w:pPr>
              <w:spacing w:before="125" w:line="205" w:lineRule="auto"/>
              <w:ind w:left="125" w:right="770" w:firstLine="1760"/>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423" w:type="dxa"/>
            <w:tcBorders>
              <w:top w:val="single" w:color="000000" w:sz="4" w:space="0"/>
            </w:tcBorders>
            <w:vAlign w:val="top"/>
          </w:tcPr>
          <w:p>
            <w:pPr>
              <w:spacing w:before="232" w:line="202" w:lineRule="auto"/>
              <w:ind w:left="279"/>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423" w:type="dxa"/>
            <w:tcBorders>
              <w:top w:val="single" w:color="000000" w:sz="4" w:space="0"/>
            </w:tcBorders>
            <w:vAlign w:val="top"/>
          </w:tcPr>
          <w:p>
            <w:pPr>
              <w:spacing w:before="232" w:line="202" w:lineRule="auto"/>
              <w:ind w:left="271"/>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424" w:type="dxa"/>
            <w:tcBorders>
              <w:top w:val="single" w:color="000000" w:sz="4" w:space="0"/>
            </w:tcBorders>
            <w:vAlign w:val="top"/>
          </w:tcPr>
          <w:p>
            <w:pPr>
              <w:spacing w:before="232" w:line="202" w:lineRule="auto"/>
              <w:ind w:left="283"/>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441" w:type="dxa"/>
            <w:tcBorders>
              <w:top w:val="single" w:color="000000" w:sz="4" w:space="0"/>
              <w:right w:val="single" w:color="000000" w:sz="4" w:space="0"/>
            </w:tcBorders>
            <w:vAlign w:val="top"/>
          </w:tcPr>
          <w:p>
            <w:pPr>
              <w:spacing w:before="232" w:line="202" w:lineRule="auto"/>
              <w:ind w:left="298"/>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54" w:line="215" w:lineRule="auto"/>
              <w:ind w:left="1330"/>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44" w:line="245" w:lineRule="exact"/>
              <w:ind w:left="544"/>
              <w:rPr>
                <w:rFonts w:ascii="宋体" w:hAnsi="宋体" w:eastAsia="宋体" w:cs="宋体"/>
                <w:sz w:val="18"/>
                <w:szCs w:val="18"/>
              </w:rPr>
            </w:pPr>
            <w:r>
              <w:rPr>
                <w:rFonts w:ascii="宋体" w:hAnsi="宋体" w:eastAsia="宋体" w:cs="宋体"/>
                <w:spacing w:val="-15"/>
                <w:position w:val="1"/>
                <w:sz w:val="18"/>
                <w:szCs w:val="18"/>
              </w:rPr>
              <w:t>3.29</w:t>
            </w:r>
          </w:p>
        </w:tc>
        <w:tc>
          <w:tcPr>
            <w:tcW w:w="1423" w:type="dxa"/>
            <w:vAlign w:val="top"/>
          </w:tcPr>
          <w:p>
            <w:pPr>
              <w:spacing w:before="144" w:line="245" w:lineRule="exact"/>
              <w:ind w:left="543"/>
              <w:rPr>
                <w:rFonts w:ascii="宋体" w:hAnsi="宋体" w:eastAsia="宋体" w:cs="宋体"/>
                <w:sz w:val="18"/>
                <w:szCs w:val="18"/>
              </w:rPr>
            </w:pPr>
            <w:r>
              <w:rPr>
                <w:rFonts w:ascii="宋体" w:hAnsi="宋体" w:eastAsia="宋体" w:cs="宋体"/>
                <w:spacing w:val="-14"/>
                <w:position w:val="1"/>
                <w:sz w:val="18"/>
                <w:szCs w:val="18"/>
              </w:rPr>
              <w:t>0.57</w:t>
            </w:r>
          </w:p>
        </w:tc>
        <w:tc>
          <w:tcPr>
            <w:tcW w:w="1424" w:type="dxa"/>
            <w:vAlign w:val="top"/>
          </w:tcPr>
          <w:p>
            <w:pPr>
              <w:spacing w:before="144" w:line="245" w:lineRule="exact"/>
              <w:ind w:left="548"/>
              <w:rPr>
                <w:rFonts w:ascii="宋体" w:hAnsi="宋体" w:eastAsia="宋体" w:cs="宋体"/>
                <w:sz w:val="18"/>
                <w:szCs w:val="18"/>
              </w:rPr>
            </w:pPr>
            <w:r>
              <w:rPr>
                <w:rFonts w:ascii="宋体" w:hAnsi="宋体" w:eastAsia="宋体" w:cs="宋体"/>
                <w:spacing w:val="-14"/>
                <w:position w:val="1"/>
                <w:sz w:val="18"/>
                <w:szCs w:val="18"/>
              </w:rPr>
              <w:t>0.66</w:t>
            </w:r>
          </w:p>
        </w:tc>
        <w:tc>
          <w:tcPr>
            <w:tcW w:w="1441" w:type="dxa"/>
            <w:tcBorders>
              <w:right w:val="single" w:color="000000" w:sz="4" w:space="0"/>
            </w:tcBorders>
            <w:vAlign w:val="top"/>
          </w:tcPr>
          <w:p>
            <w:pPr>
              <w:spacing w:before="144" w:line="245" w:lineRule="exact"/>
              <w:ind w:left="552"/>
              <w:rPr>
                <w:rFonts w:ascii="宋体" w:hAnsi="宋体" w:eastAsia="宋体" w:cs="宋体"/>
                <w:sz w:val="18"/>
                <w:szCs w:val="18"/>
              </w:rPr>
            </w:pPr>
            <w:r>
              <w:rPr>
                <w:rFonts w:ascii="宋体" w:hAnsi="宋体" w:eastAsia="宋体" w:cs="宋体"/>
                <w:spacing w:val="-14"/>
                <w:position w:val="1"/>
                <w:sz w:val="18"/>
                <w:szCs w:val="18"/>
              </w:rPr>
              <w:t>0.92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60" w:line="211" w:lineRule="auto"/>
              <w:ind w:left="1330"/>
              <w:rPr>
                <w:rFonts w:ascii="宋体" w:hAnsi="宋体" w:eastAsia="宋体" w:cs="宋体"/>
                <w:sz w:val="18"/>
                <w:szCs w:val="18"/>
              </w:rPr>
            </w:pPr>
            <w:r>
              <w:rPr>
                <w:rFonts w:ascii="宋体" w:hAnsi="宋体" w:eastAsia="宋体" w:cs="宋体"/>
                <w:spacing w:val="-3"/>
                <w:sz w:val="18"/>
                <w:szCs w:val="18"/>
              </w:rPr>
              <w:t>装饰工程</w:t>
            </w:r>
          </w:p>
        </w:tc>
        <w:tc>
          <w:tcPr>
            <w:tcW w:w="1423" w:type="dxa"/>
            <w:vAlign w:val="top"/>
          </w:tcPr>
          <w:p>
            <w:pPr>
              <w:spacing w:before="143" w:line="246" w:lineRule="exact"/>
              <w:ind w:left="544"/>
              <w:rPr>
                <w:rFonts w:ascii="宋体" w:hAnsi="宋体" w:eastAsia="宋体" w:cs="宋体"/>
                <w:sz w:val="18"/>
                <w:szCs w:val="18"/>
              </w:rPr>
            </w:pPr>
            <w:r>
              <w:rPr>
                <w:rFonts w:ascii="宋体" w:hAnsi="宋体" w:eastAsia="宋体" w:cs="宋体"/>
                <w:spacing w:val="-15"/>
                <w:position w:val="1"/>
                <w:sz w:val="18"/>
                <w:szCs w:val="18"/>
              </w:rPr>
              <w:t>3.27</w:t>
            </w:r>
          </w:p>
        </w:tc>
        <w:tc>
          <w:tcPr>
            <w:tcW w:w="1423" w:type="dxa"/>
            <w:vAlign w:val="top"/>
          </w:tcPr>
          <w:p>
            <w:pPr>
              <w:spacing w:before="143" w:line="246" w:lineRule="exact"/>
              <w:ind w:left="543"/>
              <w:rPr>
                <w:rFonts w:ascii="宋体" w:hAnsi="宋体" w:eastAsia="宋体" w:cs="宋体"/>
                <w:sz w:val="18"/>
                <w:szCs w:val="18"/>
              </w:rPr>
            </w:pPr>
            <w:r>
              <w:rPr>
                <w:rFonts w:ascii="宋体" w:hAnsi="宋体" w:eastAsia="宋体" w:cs="宋体"/>
                <w:spacing w:val="-14"/>
                <w:position w:val="1"/>
                <w:sz w:val="18"/>
                <w:szCs w:val="18"/>
              </w:rPr>
              <w:t>0.12</w:t>
            </w:r>
          </w:p>
        </w:tc>
        <w:tc>
          <w:tcPr>
            <w:tcW w:w="1424" w:type="dxa"/>
            <w:vAlign w:val="top"/>
          </w:tcPr>
          <w:p>
            <w:pPr>
              <w:spacing w:before="143" w:line="246" w:lineRule="exact"/>
              <w:ind w:left="548"/>
              <w:rPr>
                <w:rFonts w:ascii="宋体" w:hAnsi="宋体" w:eastAsia="宋体" w:cs="宋体"/>
                <w:sz w:val="18"/>
                <w:szCs w:val="18"/>
              </w:rPr>
            </w:pPr>
            <w:r>
              <w:rPr>
                <w:rFonts w:ascii="宋体" w:hAnsi="宋体" w:eastAsia="宋体" w:cs="宋体"/>
                <w:spacing w:val="-14"/>
                <w:position w:val="1"/>
                <w:sz w:val="18"/>
                <w:szCs w:val="18"/>
              </w:rPr>
              <w:t>0.10</w:t>
            </w:r>
          </w:p>
        </w:tc>
        <w:tc>
          <w:tcPr>
            <w:tcW w:w="1441" w:type="dxa"/>
            <w:tcBorders>
              <w:right w:val="single" w:color="000000" w:sz="4" w:space="0"/>
            </w:tcBorders>
            <w:vAlign w:val="top"/>
          </w:tcPr>
          <w:p>
            <w:pPr>
              <w:spacing w:before="143" w:line="246" w:lineRule="exact"/>
              <w:ind w:left="580"/>
              <w:rPr>
                <w:rFonts w:ascii="宋体" w:hAnsi="宋体" w:eastAsia="宋体" w:cs="宋体"/>
                <w:sz w:val="18"/>
                <w:szCs w:val="18"/>
              </w:rPr>
            </w:pPr>
            <w:r>
              <w:rPr>
                <w:rFonts w:ascii="宋体" w:hAnsi="宋体" w:eastAsia="宋体" w:cs="宋体"/>
                <w:spacing w:val="-19"/>
                <w:position w:val="1"/>
                <w:sz w:val="18"/>
                <w:szCs w:val="18"/>
              </w:rPr>
              <w:t>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60" w:line="211" w:lineRule="auto"/>
              <w:ind w:left="1333"/>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47" w:line="242" w:lineRule="exact"/>
              <w:ind w:left="539"/>
              <w:rPr>
                <w:rFonts w:ascii="宋体" w:hAnsi="宋体" w:eastAsia="宋体" w:cs="宋体"/>
                <w:sz w:val="18"/>
                <w:szCs w:val="18"/>
              </w:rPr>
            </w:pPr>
            <w:r>
              <w:rPr>
                <w:rFonts w:ascii="宋体" w:hAnsi="宋体" w:eastAsia="宋体" w:cs="宋体"/>
                <w:spacing w:val="-15"/>
                <w:position w:val="1"/>
                <w:sz w:val="18"/>
                <w:szCs w:val="18"/>
              </w:rPr>
              <w:t>2.19</w:t>
            </w:r>
          </w:p>
        </w:tc>
        <w:tc>
          <w:tcPr>
            <w:tcW w:w="1423" w:type="dxa"/>
            <w:vAlign w:val="top"/>
          </w:tcPr>
          <w:p>
            <w:pPr>
              <w:spacing w:before="147" w:line="242" w:lineRule="exact"/>
              <w:ind w:left="543"/>
              <w:rPr>
                <w:rFonts w:ascii="宋体" w:hAnsi="宋体" w:eastAsia="宋体" w:cs="宋体"/>
                <w:sz w:val="18"/>
                <w:szCs w:val="18"/>
              </w:rPr>
            </w:pPr>
            <w:r>
              <w:rPr>
                <w:rFonts w:ascii="宋体" w:hAnsi="宋体" w:eastAsia="宋体" w:cs="宋体"/>
                <w:spacing w:val="-14"/>
                <w:position w:val="1"/>
                <w:sz w:val="18"/>
                <w:szCs w:val="18"/>
              </w:rPr>
              <w:t>0.32</w:t>
            </w:r>
          </w:p>
        </w:tc>
        <w:tc>
          <w:tcPr>
            <w:tcW w:w="1424" w:type="dxa"/>
            <w:vAlign w:val="top"/>
          </w:tcPr>
          <w:p>
            <w:pPr>
              <w:spacing w:before="147" w:line="242" w:lineRule="exact"/>
              <w:ind w:left="548"/>
              <w:rPr>
                <w:rFonts w:ascii="宋体" w:hAnsi="宋体" w:eastAsia="宋体" w:cs="宋体"/>
                <w:sz w:val="18"/>
                <w:szCs w:val="18"/>
              </w:rPr>
            </w:pPr>
            <w:r>
              <w:rPr>
                <w:rFonts w:ascii="宋体" w:hAnsi="宋体" w:eastAsia="宋体" w:cs="宋体"/>
                <w:spacing w:val="-14"/>
                <w:position w:val="1"/>
                <w:sz w:val="18"/>
                <w:szCs w:val="18"/>
              </w:rPr>
              <w:t>0.63</w:t>
            </w:r>
          </w:p>
        </w:tc>
        <w:tc>
          <w:tcPr>
            <w:tcW w:w="1441" w:type="dxa"/>
            <w:tcBorders>
              <w:right w:val="single" w:color="000000" w:sz="4" w:space="0"/>
            </w:tcBorders>
            <w:vAlign w:val="top"/>
          </w:tcPr>
          <w:p>
            <w:pPr>
              <w:spacing w:before="147" w:line="242" w:lineRule="exact"/>
              <w:ind w:left="580"/>
              <w:rPr>
                <w:rFonts w:ascii="宋体" w:hAnsi="宋体" w:eastAsia="宋体" w:cs="宋体"/>
                <w:sz w:val="18"/>
                <w:szCs w:val="18"/>
              </w:rPr>
            </w:pPr>
            <w:r>
              <w:rPr>
                <w:rFonts w:ascii="宋体" w:hAnsi="宋体" w:eastAsia="宋体" w:cs="宋体"/>
                <w:spacing w:val="-19"/>
                <w:position w:val="1"/>
                <w:sz w:val="18"/>
                <w:szCs w:val="18"/>
              </w:rPr>
              <w:t>1.90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3368" w:type="dxa"/>
            <w:gridSpan w:val="2"/>
            <w:tcBorders>
              <w:left w:val="single" w:color="000000" w:sz="4" w:space="0"/>
            </w:tcBorders>
            <w:vAlign w:val="top"/>
          </w:tcPr>
          <w:p>
            <w:pPr>
              <w:spacing w:before="165" w:line="208" w:lineRule="auto"/>
              <w:ind w:left="1176"/>
              <w:rPr>
                <w:rFonts w:ascii="宋体" w:hAnsi="宋体" w:eastAsia="宋体" w:cs="宋体"/>
                <w:sz w:val="18"/>
                <w:szCs w:val="18"/>
              </w:rPr>
            </w:pPr>
            <w:r>
              <w:rPr>
                <w:rFonts w:ascii="宋体" w:hAnsi="宋体" w:eastAsia="宋体" w:cs="宋体"/>
                <w:spacing w:val="-9"/>
                <w:sz w:val="18"/>
                <w:szCs w:val="18"/>
              </w:rPr>
              <w:t>园林绿化工程</w:t>
            </w:r>
          </w:p>
        </w:tc>
        <w:tc>
          <w:tcPr>
            <w:tcW w:w="1423" w:type="dxa"/>
            <w:vAlign w:val="top"/>
          </w:tcPr>
          <w:p>
            <w:pPr>
              <w:spacing w:before="151" w:line="238" w:lineRule="exact"/>
              <w:ind w:left="566"/>
              <w:rPr>
                <w:rFonts w:ascii="宋体" w:hAnsi="宋体" w:eastAsia="宋体" w:cs="宋体"/>
                <w:sz w:val="18"/>
                <w:szCs w:val="18"/>
              </w:rPr>
            </w:pPr>
            <w:r>
              <w:rPr>
                <w:rFonts w:ascii="宋体" w:hAnsi="宋体" w:eastAsia="宋体" w:cs="宋体"/>
                <w:spacing w:val="-19"/>
                <w:position w:val="1"/>
                <w:sz w:val="18"/>
                <w:szCs w:val="18"/>
              </w:rPr>
              <w:t>1.59</w:t>
            </w:r>
          </w:p>
        </w:tc>
        <w:tc>
          <w:tcPr>
            <w:tcW w:w="1423" w:type="dxa"/>
            <w:vAlign w:val="top"/>
          </w:tcPr>
          <w:p>
            <w:pPr>
              <w:spacing w:before="151" w:line="238" w:lineRule="exact"/>
              <w:ind w:left="543"/>
              <w:rPr>
                <w:rFonts w:ascii="宋体" w:hAnsi="宋体" w:eastAsia="宋体" w:cs="宋体"/>
                <w:sz w:val="18"/>
                <w:szCs w:val="18"/>
              </w:rPr>
            </w:pPr>
            <w:r>
              <w:rPr>
                <w:rFonts w:ascii="宋体" w:hAnsi="宋体" w:eastAsia="宋体" w:cs="宋体"/>
                <w:spacing w:val="-14"/>
                <w:position w:val="1"/>
                <w:sz w:val="18"/>
                <w:szCs w:val="18"/>
              </w:rPr>
              <w:t>0.15</w:t>
            </w:r>
          </w:p>
        </w:tc>
        <w:tc>
          <w:tcPr>
            <w:tcW w:w="1424" w:type="dxa"/>
            <w:vAlign w:val="top"/>
          </w:tcPr>
          <w:p>
            <w:pPr>
              <w:spacing w:before="151" w:line="238" w:lineRule="exact"/>
              <w:ind w:left="548"/>
              <w:rPr>
                <w:rFonts w:ascii="宋体" w:hAnsi="宋体" w:eastAsia="宋体" w:cs="宋体"/>
                <w:sz w:val="18"/>
                <w:szCs w:val="18"/>
              </w:rPr>
            </w:pPr>
            <w:r>
              <w:rPr>
                <w:rFonts w:ascii="宋体" w:hAnsi="宋体" w:eastAsia="宋体" w:cs="宋体"/>
                <w:spacing w:val="-14"/>
                <w:position w:val="1"/>
                <w:sz w:val="18"/>
                <w:szCs w:val="18"/>
              </w:rPr>
              <w:t>0.34</w:t>
            </w:r>
          </w:p>
        </w:tc>
        <w:tc>
          <w:tcPr>
            <w:tcW w:w="1441" w:type="dxa"/>
            <w:tcBorders>
              <w:right w:val="single" w:color="000000" w:sz="4" w:space="0"/>
            </w:tcBorders>
            <w:vAlign w:val="top"/>
          </w:tcPr>
          <w:p>
            <w:pPr>
              <w:spacing w:before="151" w:line="238" w:lineRule="exact"/>
              <w:ind w:left="580"/>
              <w:rPr>
                <w:rFonts w:ascii="宋体" w:hAnsi="宋体" w:eastAsia="宋体" w:cs="宋体"/>
                <w:sz w:val="18"/>
                <w:szCs w:val="18"/>
              </w:rPr>
            </w:pPr>
            <w:r>
              <w:rPr>
                <w:rFonts w:ascii="宋体" w:hAnsi="宋体" w:eastAsia="宋体" w:cs="宋体"/>
                <w:spacing w:val="-19"/>
                <w:position w:val="1"/>
                <w:sz w:val="18"/>
                <w:szCs w:val="18"/>
              </w:rPr>
              <w:t>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1015" w:type="dxa"/>
            <w:vMerge w:val="restart"/>
            <w:tcBorders>
              <w:left w:val="single" w:color="000000" w:sz="4" w:space="0"/>
              <w:bottom w:val="nil"/>
            </w:tcBorders>
            <w:vAlign w:val="top"/>
          </w:tcPr>
          <w:p>
            <w:pPr>
              <w:spacing w:before="237" w:line="326" w:lineRule="auto"/>
              <w:ind w:left="334" w:right="323" w:firstLine="1"/>
              <w:rPr>
                <w:rFonts w:ascii="宋体" w:hAnsi="宋体" w:eastAsia="宋体" w:cs="宋体"/>
                <w:sz w:val="18"/>
                <w:szCs w:val="18"/>
              </w:rPr>
            </w:pPr>
            <w:r>
              <w:rPr>
                <w:rFonts w:ascii="宋体" w:hAnsi="宋体" w:eastAsia="宋体" w:cs="宋体"/>
                <w:spacing w:val="-7"/>
                <w:sz w:val="18"/>
                <w:szCs w:val="18"/>
              </w:rPr>
              <w:t>房屋</w:t>
            </w:r>
            <w:r>
              <w:rPr>
                <w:rFonts w:ascii="宋体" w:hAnsi="宋体" w:eastAsia="宋体" w:cs="宋体"/>
                <w:spacing w:val="-6"/>
                <w:sz w:val="18"/>
                <w:szCs w:val="18"/>
              </w:rPr>
              <w:t>修缮</w:t>
            </w:r>
          </w:p>
        </w:tc>
        <w:tc>
          <w:tcPr>
            <w:tcW w:w="2353" w:type="dxa"/>
            <w:vAlign w:val="top"/>
          </w:tcPr>
          <w:p>
            <w:pPr>
              <w:spacing w:before="165" w:line="215" w:lineRule="auto"/>
              <w:ind w:left="467"/>
              <w:rPr>
                <w:rFonts w:ascii="宋体" w:hAnsi="宋体" w:eastAsia="宋体" w:cs="宋体"/>
                <w:sz w:val="18"/>
                <w:szCs w:val="18"/>
              </w:rPr>
            </w:pPr>
            <w:r>
              <w:rPr>
                <w:rFonts w:ascii="宋体" w:hAnsi="宋体" w:eastAsia="宋体" w:cs="宋体"/>
                <w:spacing w:val="-4"/>
                <w:sz w:val="18"/>
                <w:szCs w:val="18"/>
              </w:rPr>
              <w:t>建筑工程</w:t>
            </w:r>
          </w:p>
        </w:tc>
        <w:tc>
          <w:tcPr>
            <w:tcW w:w="1423" w:type="dxa"/>
            <w:vAlign w:val="top"/>
          </w:tcPr>
          <w:p>
            <w:pPr>
              <w:spacing w:before="155" w:line="260" w:lineRule="exact"/>
              <w:ind w:left="544"/>
              <w:rPr>
                <w:rFonts w:ascii="宋体" w:hAnsi="宋体" w:eastAsia="宋体" w:cs="宋体"/>
                <w:sz w:val="18"/>
                <w:szCs w:val="18"/>
              </w:rPr>
            </w:pPr>
            <w:r>
              <w:rPr>
                <w:rFonts w:ascii="宋体" w:hAnsi="宋体" w:eastAsia="宋体" w:cs="宋体"/>
                <w:spacing w:val="-15"/>
                <w:position w:val="2"/>
                <w:sz w:val="18"/>
                <w:szCs w:val="18"/>
              </w:rPr>
              <w:t>3.27</w:t>
            </w:r>
          </w:p>
        </w:tc>
        <w:tc>
          <w:tcPr>
            <w:tcW w:w="1423" w:type="dxa"/>
            <w:vAlign w:val="top"/>
          </w:tcPr>
          <w:p>
            <w:pPr>
              <w:spacing w:before="155" w:line="260" w:lineRule="exact"/>
              <w:ind w:left="543"/>
              <w:rPr>
                <w:rFonts w:ascii="宋体" w:hAnsi="宋体" w:eastAsia="宋体" w:cs="宋体"/>
                <w:sz w:val="18"/>
                <w:szCs w:val="18"/>
              </w:rPr>
            </w:pPr>
            <w:r>
              <w:rPr>
                <w:rFonts w:ascii="宋体" w:hAnsi="宋体" w:eastAsia="宋体" w:cs="宋体"/>
                <w:spacing w:val="-14"/>
                <w:position w:val="2"/>
                <w:sz w:val="18"/>
                <w:szCs w:val="18"/>
              </w:rPr>
              <w:t>0.25</w:t>
            </w:r>
          </w:p>
        </w:tc>
        <w:tc>
          <w:tcPr>
            <w:tcW w:w="1424" w:type="dxa"/>
            <w:vAlign w:val="top"/>
          </w:tcPr>
          <w:p>
            <w:pPr>
              <w:spacing w:before="155" w:line="260" w:lineRule="exact"/>
              <w:ind w:left="548"/>
              <w:rPr>
                <w:rFonts w:ascii="宋体" w:hAnsi="宋体" w:eastAsia="宋体" w:cs="宋体"/>
                <w:sz w:val="18"/>
                <w:szCs w:val="18"/>
              </w:rPr>
            </w:pPr>
            <w:r>
              <w:rPr>
                <w:rFonts w:ascii="宋体" w:hAnsi="宋体" w:eastAsia="宋体" w:cs="宋体"/>
                <w:spacing w:val="-14"/>
                <w:position w:val="2"/>
                <w:sz w:val="18"/>
                <w:szCs w:val="18"/>
              </w:rPr>
              <w:t>0.53</w:t>
            </w:r>
          </w:p>
        </w:tc>
        <w:tc>
          <w:tcPr>
            <w:tcW w:w="1441" w:type="dxa"/>
            <w:tcBorders>
              <w:right w:val="single" w:color="000000" w:sz="4" w:space="0"/>
            </w:tcBorders>
            <w:vAlign w:val="top"/>
          </w:tcPr>
          <w:p>
            <w:pPr>
              <w:spacing w:before="155" w:line="260" w:lineRule="exact"/>
              <w:ind w:left="580"/>
              <w:rPr>
                <w:rFonts w:ascii="宋体" w:hAnsi="宋体" w:eastAsia="宋体" w:cs="宋体"/>
                <w:sz w:val="18"/>
                <w:szCs w:val="18"/>
              </w:rPr>
            </w:pPr>
            <w:r>
              <w:rPr>
                <w:rFonts w:ascii="宋体" w:hAnsi="宋体" w:eastAsia="宋体" w:cs="宋体"/>
                <w:spacing w:val="-19"/>
                <w:position w:val="1"/>
                <w:sz w:val="18"/>
                <w:szCs w:val="18"/>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1015" w:type="dxa"/>
            <w:vMerge w:val="continue"/>
            <w:tcBorders>
              <w:top w:val="nil"/>
              <w:left w:val="single" w:color="000000" w:sz="4" w:space="0"/>
            </w:tcBorders>
            <w:vAlign w:val="top"/>
          </w:tcPr>
          <w:p>
            <w:pPr>
              <w:pStyle w:val="6"/>
            </w:pPr>
          </w:p>
        </w:tc>
        <w:tc>
          <w:tcPr>
            <w:tcW w:w="2353" w:type="dxa"/>
            <w:vAlign w:val="top"/>
          </w:tcPr>
          <w:p>
            <w:pPr>
              <w:spacing w:before="168" w:line="211" w:lineRule="auto"/>
              <w:ind w:left="470"/>
              <w:rPr>
                <w:rFonts w:ascii="宋体" w:hAnsi="宋体" w:eastAsia="宋体" w:cs="宋体"/>
                <w:sz w:val="18"/>
                <w:szCs w:val="18"/>
              </w:rPr>
            </w:pPr>
            <w:r>
              <w:rPr>
                <w:rFonts w:ascii="宋体" w:hAnsi="宋体" w:eastAsia="宋体" w:cs="宋体"/>
                <w:spacing w:val="-5"/>
                <w:sz w:val="18"/>
                <w:szCs w:val="18"/>
              </w:rPr>
              <w:t>安装工程</w:t>
            </w:r>
          </w:p>
        </w:tc>
        <w:tc>
          <w:tcPr>
            <w:tcW w:w="1423" w:type="dxa"/>
            <w:vAlign w:val="top"/>
          </w:tcPr>
          <w:p>
            <w:pPr>
              <w:spacing w:before="158" w:line="249" w:lineRule="exact"/>
              <w:ind w:left="539"/>
              <w:rPr>
                <w:rFonts w:ascii="宋体" w:hAnsi="宋体" w:eastAsia="宋体" w:cs="宋体"/>
                <w:sz w:val="18"/>
                <w:szCs w:val="18"/>
              </w:rPr>
            </w:pPr>
            <w:r>
              <w:rPr>
                <w:rFonts w:ascii="宋体" w:hAnsi="宋体" w:eastAsia="宋体" w:cs="宋体"/>
                <w:spacing w:val="-15"/>
                <w:position w:val="1"/>
                <w:sz w:val="18"/>
                <w:szCs w:val="18"/>
              </w:rPr>
              <w:t>2.19</w:t>
            </w:r>
          </w:p>
        </w:tc>
        <w:tc>
          <w:tcPr>
            <w:tcW w:w="1423" w:type="dxa"/>
            <w:vAlign w:val="top"/>
          </w:tcPr>
          <w:p>
            <w:pPr>
              <w:spacing w:before="158" w:line="249" w:lineRule="exact"/>
              <w:ind w:left="543"/>
              <w:rPr>
                <w:rFonts w:ascii="宋体" w:hAnsi="宋体" w:eastAsia="宋体" w:cs="宋体"/>
                <w:sz w:val="18"/>
                <w:szCs w:val="18"/>
              </w:rPr>
            </w:pPr>
            <w:r>
              <w:rPr>
                <w:rFonts w:ascii="宋体" w:hAnsi="宋体" w:eastAsia="宋体" w:cs="宋体"/>
                <w:spacing w:val="-14"/>
                <w:position w:val="1"/>
                <w:sz w:val="18"/>
                <w:szCs w:val="18"/>
              </w:rPr>
              <w:t>0.32</w:t>
            </w:r>
          </w:p>
        </w:tc>
        <w:tc>
          <w:tcPr>
            <w:tcW w:w="1424" w:type="dxa"/>
            <w:vAlign w:val="top"/>
          </w:tcPr>
          <w:p>
            <w:pPr>
              <w:spacing w:before="158" w:line="249" w:lineRule="exact"/>
              <w:ind w:left="548"/>
              <w:rPr>
                <w:rFonts w:ascii="宋体" w:hAnsi="宋体" w:eastAsia="宋体" w:cs="宋体"/>
                <w:sz w:val="18"/>
                <w:szCs w:val="18"/>
              </w:rPr>
            </w:pPr>
            <w:r>
              <w:rPr>
                <w:rFonts w:ascii="宋体" w:hAnsi="宋体" w:eastAsia="宋体" w:cs="宋体"/>
                <w:spacing w:val="-14"/>
                <w:position w:val="1"/>
                <w:sz w:val="18"/>
                <w:szCs w:val="18"/>
              </w:rPr>
              <w:t>0.63</w:t>
            </w:r>
          </w:p>
        </w:tc>
        <w:tc>
          <w:tcPr>
            <w:tcW w:w="1441" w:type="dxa"/>
            <w:tcBorders>
              <w:right w:val="single" w:color="000000" w:sz="4" w:space="0"/>
            </w:tcBorders>
            <w:vAlign w:val="top"/>
          </w:tcPr>
          <w:p>
            <w:pPr>
              <w:spacing w:before="158" w:line="249" w:lineRule="exact"/>
              <w:ind w:left="580"/>
              <w:rPr>
                <w:rFonts w:ascii="宋体" w:hAnsi="宋体" w:eastAsia="宋体" w:cs="宋体"/>
                <w:sz w:val="18"/>
                <w:szCs w:val="18"/>
              </w:rPr>
            </w:pPr>
            <w:r>
              <w:rPr>
                <w:rFonts w:ascii="宋体" w:hAnsi="宋体" w:eastAsia="宋体" w:cs="宋体"/>
                <w:spacing w:val="-19"/>
                <w:position w:val="1"/>
                <w:sz w:val="18"/>
                <w:szCs w:val="18"/>
              </w:rPr>
              <w:t>1.90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3368" w:type="dxa"/>
            <w:gridSpan w:val="2"/>
            <w:tcBorders>
              <w:left w:val="single" w:color="000000" w:sz="4" w:space="0"/>
            </w:tcBorders>
            <w:vAlign w:val="top"/>
          </w:tcPr>
          <w:p>
            <w:pPr>
              <w:spacing w:before="169" w:line="215" w:lineRule="auto"/>
              <w:ind w:left="1061"/>
              <w:rPr>
                <w:rFonts w:ascii="宋体" w:hAnsi="宋体" w:eastAsia="宋体" w:cs="宋体"/>
                <w:sz w:val="18"/>
                <w:szCs w:val="18"/>
              </w:rPr>
            </w:pPr>
            <w:r>
              <w:rPr>
                <w:rFonts w:ascii="宋体" w:hAnsi="宋体" w:eastAsia="宋体" w:cs="宋体"/>
                <w:spacing w:val="-4"/>
                <w:sz w:val="18"/>
                <w:szCs w:val="18"/>
              </w:rPr>
              <w:t>古建筑修缮工程</w:t>
            </w:r>
          </w:p>
        </w:tc>
        <w:tc>
          <w:tcPr>
            <w:tcW w:w="1423" w:type="dxa"/>
            <w:vAlign w:val="top"/>
          </w:tcPr>
          <w:p>
            <w:pPr>
              <w:spacing w:before="157" w:line="238" w:lineRule="auto"/>
              <w:ind w:left="544"/>
              <w:rPr>
                <w:rFonts w:ascii="宋体" w:hAnsi="宋体" w:eastAsia="宋体" w:cs="宋体"/>
                <w:sz w:val="18"/>
                <w:szCs w:val="18"/>
              </w:rPr>
            </w:pPr>
            <w:r>
              <w:rPr>
                <w:rFonts w:ascii="宋体" w:hAnsi="宋体" w:eastAsia="宋体" w:cs="宋体"/>
                <w:spacing w:val="-15"/>
                <w:sz w:val="18"/>
                <w:szCs w:val="18"/>
              </w:rPr>
              <w:t>3.24</w:t>
            </w:r>
          </w:p>
        </w:tc>
        <w:tc>
          <w:tcPr>
            <w:tcW w:w="1423" w:type="dxa"/>
            <w:vAlign w:val="top"/>
          </w:tcPr>
          <w:p>
            <w:pPr>
              <w:spacing w:before="157" w:line="238" w:lineRule="auto"/>
              <w:ind w:left="543"/>
              <w:rPr>
                <w:rFonts w:ascii="宋体" w:hAnsi="宋体" w:eastAsia="宋体" w:cs="宋体"/>
                <w:sz w:val="18"/>
                <w:szCs w:val="18"/>
              </w:rPr>
            </w:pPr>
            <w:r>
              <w:rPr>
                <w:rFonts w:ascii="宋体" w:hAnsi="宋体" w:eastAsia="宋体" w:cs="宋体"/>
                <w:spacing w:val="-14"/>
                <w:sz w:val="18"/>
                <w:szCs w:val="18"/>
              </w:rPr>
              <w:t>0.24</w:t>
            </w:r>
          </w:p>
        </w:tc>
        <w:tc>
          <w:tcPr>
            <w:tcW w:w="1424" w:type="dxa"/>
            <w:vAlign w:val="top"/>
          </w:tcPr>
          <w:p>
            <w:pPr>
              <w:spacing w:before="157" w:line="238" w:lineRule="auto"/>
              <w:ind w:left="548"/>
              <w:rPr>
                <w:rFonts w:ascii="宋体" w:hAnsi="宋体" w:eastAsia="宋体" w:cs="宋体"/>
                <w:sz w:val="18"/>
                <w:szCs w:val="18"/>
              </w:rPr>
            </w:pPr>
            <w:r>
              <w:rPr>
                <w:rFonts w:ascii="宋体" w:hAnsi="宋体" w:eastAsia="宋体" w:cs="宋体"/>
                <w:spacing w:val="-14"/>
                <w:sz w:val="18"/>
                <w:szCs w:val="18"/>
              </w:rPr>
              <w:t>0.52</w:t>
            </w:r>
          </w:p>
        </w:tc>
        <w:tc>
          <w:tcPr>
            <w:tcW w:w="1441" w:type="dxa"/>
            <w:tcBorders>
              <w:right w:val="single" w:color="000000" w:sz="4" w:space="0"/>
            </w:tcBorders>
            <w:vAlign w:val="top"/>
          </w:tcPr>
          <w:p>
            <w:pPr>
              <w:spacing w:before="157" w:line="238" w:lineRule="auto"/>
              <w:ind w:left="580"/>
              <w:rPr>
                <w:rFonts w:ascii="宋体" w:hAnsi="宋体" w:eastAsia="宋体" w:cs="宋体"/>
                <w:sz w:val="18"/>
                <w:szCs w:val="18"/>
              </w:rPr>
            </w:pPr>
            <w:r>
              <w:rPr>
                <w:rFonts w:ascii="宋体" w:hAnsi="宋体" w:eastAsia="宋体" w:cs="宋体"/>
                <w:spacing w:val="-19"/>
                <w:sz w:val="18"/>
                <w:szCs w:val="18"/>
              </w:rPr>
              <w:t>1.34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368" w:type="dxa"/>
            <w:gridSpan w:val="2"/>
            <w:tcBorders>
              <w:left w:val="single" w:color="000000" w:sz="4" w:space="0"/>
              <w:bottom w:val="single" w:color="000000" w:sz="4" w:space="0"/>
            </w:tcBorders>
            <w:vAlign w:val="top"/>
          </w:tcPr>
          <w:p>
            <w:pPr>
              <w:spacing w:before="154" w:line="215" w:lineRule="auto"/>
              <w:ind w:left="1150"/>
              <w:rPr>
                <w:rFonts w:ascii="宋体" w:hAnsi="宋体" w:eastAsia="宋体" w:cs="宋体"/>
                <w:sz w:val="18"/>
                <w:szCs w:val="18"/>
              </w:rPr>
            </w:pPr>
            <w:r>
              <w:rPr>
                <w:rFonts w:ascii="宋体" w:hAnsi="宋体" w:eastAsia="宋体" w:cs="宋体"/>
                <w:spacing w:val="-4"/>
                <w:sz w:val="18"/>
                <w:szCs w:val="18"/>
              </w:rPr>
              <w:t>仿古建筑工程</w:t>
            </w:r>
          </w:p>
        </w:tc>
        <w:tc>
          <w:tcPr>
            <w:tcW w:w="1423" w:type="dxa"/>
            <w:tcBorders>
              <w:bottom w:val="single" w:color="000000" w:sz="4" w:space="0"/>
            </w:tcBorders>
            <w:vAlign w:val="top"/>
          </w:tcPr>
          <w:p>
            <w:pPr>
              <w:spacing w:before="161" w:line="254" w:lineRule="exact"/>
              <w:ind w:left="544"/>
              <w:rPr>
                <w:rFonts w:ascii="宋体" w:hAnsi="宋体" w:eastAsia="宋体" w:cs="宋体"/>
                <w:sz w:val="18"/>
                <w:szCs w:val="18"/>
              </w:rPr>
            </w:pPr>
            <w:r>
              <w:rPr>
                <w:rFonts w:ascii="宋体" w:hAnsi="宋体" w:eastAsia="宋体" w:cs="宋体"/>
                <w:spacing w:val="-15"/>
                <w:position w:val="1"/>
                <w:sz w:val="18"/>
                <w:szCs w:val="18"/>
              </w:rPr>
              <w:t>3.24</w:t>
            </w:r>
          </w:p>
        </w:tc>
        <w:tc>
          <w:tcPr>
            <w:tcW w:w="1423" w:type="dxa"/>
            <w:tcBorders>
              <w:bottom w:val="single" w:color="000000" w:sz="4" w:space="0"/>
            </w:tcBorders>
            <w:vAlign w:val="top"/>
          </w:tcPr>
          <w:p>
            <w:pPr>
              <w:spacing w:before="161" w:line="254" w:lineRule="exact"/>
              <w:ind w:left="543"/>
              <w:rPr>
                <w:rFonts w:ascii="宋体" w:hAnsi="宋体" w:eastAsia="宋体" w:cs="宋体"/>
                <w:sz w:val="18"/>
                <w:szCs w:val="18"/>
              </w:rPr>
            </w:pPr>
            <w:r>
              <w:rPr>
                <w:rFonts w:ascii="宋体" w:hAnsi="宋体" w:eastAsia="宋体" w:cs="宋体"/>
                <w:spacing w:val="-14"/>
                <w:position w:val="1"/>
                <w:sz w:val="18"/>
                <w:szCs w:val="18"/>
              </w:rPr>
              <w:t>0.64</w:t>
            </w:r>
          </w:p>
        </w:tc>
        <w:tc>
          <w:tcPr>
            <w:tcW w:w="1424" w:type="dxa"/>
            <w:tcBorders>
              <w:bottom w:val="single" w:color="000000" w:sz="4" w:space="0"/>
            </w:tcBorders>
            <w:vAlign w:val="top"/>
          </w:tcPr>
          <w:p>
            <w:pPr>
              <w:spacing w:before="161" w:line="254" w:lineRule="exact"/>
              <w:ind w:left="548"/>
              <w:rPr>
                <w:rFonts w:ascii="宋体" w:hAnsi="宋体" w:eastAsia="宋体" w:cs="宋体"/>
                <w:sz w:val="18"/>
                <w:szCs w:val="18"/>
              </w:rPr>
            </w:pPr>
            <w:r>
              <w:rPr>
                <w:rFonts w:ascii="宋体" w:hAnsi="宋体" w:eastAsia="宋体" w:cs="宋体"/>
                <w:spacing w:val="-14"/>
                <w:position w:val="1"/>
                <w:sz w:val="18"/>
                <w:szCs w:val="18"/>
              </w:rPr>
              <w:t>0.55</w:t>
            </w:r>
          </w:p>
        </w:tc>
        <w:tc>
          <w:tcPr>
            <w:tcW w:w="1441" w:type="dxa"/>
            <w:tcBorders>
              <w:bottom w:val="single" w:color="000000" w:sz="4" w:space="0"/>
              <w:right w:val="single" w:color="000000" w:sz="4" w:space="0"/>
            </w:tcBorders>
            <w:vAlign w:val="top"/>
          </w:tcPr>
          <w:p>
            <w:pPr>
              <w:spacing w:before="161" w:line="254" w:lineRule="exact"/>
              <w:ind w:left="552"/>
              <w:rPr>
                <w:rFonts w:ascii="宋体" w:hAnsi="宋体" w:eastAsia="宋体" w:cs="宋体"/>
                <w:sz w:val="18"/>
                <w:szCs w:val="18"/>
              </w:rPr>
            </w:pPr>
            <w:r>
              <w:rPr>
                <w:rFonts w:ascii="宋体" w:hAnsi="宋体" w:eastAsia="宋体" w:cs="宋体"/>
                <w:spacing w:val="-14"/>
                <w:position w:val="1"/>
                <w:sz w:val="18"/>
                <w:szCs w:val="18"/>
              </w:rPr>
              <w:t>0.90</w:t>
            </w:r>
          </w:p>
        </w:tc>
      </w:tr>
    </w:tbl>
    <w:p>
      <w:pPr>
        <w:rPr>
          <w:rFonts w:ascii="Arial"/>
          <w:sz w:val="21"/>
        </w:rPr>
      </w:pPr>
    </w:p>
    <w:p>
      <w:pPr>
        <w:rPr>
          <w:rFonts w:ascii="Arial" w:hAnsi="Arial" w:eastAsia="Arial" w:cs="Arial"/>
          <w:sz w:val="21"/>
          <w:szCs w:val="21"/>
        </w:rPr>
        <w:sectPr>
          <w:footerReference r:id="rId219" w:type="default"/>
          <w:pgSz w:w="11905" w:h="16840"/>
          <w:pgMar w:top="400" w:right="1362" w:bottom="1213" w:left="1416" w:header="0" w:footer="898" w:gutter="0"/>
        </w:sect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before="78" w:line="214" w:lineRule="auto"/>
        <w:ind w:left="508"/>
        <w:rPr>
          <w:rFonts w:ascii="KaiTi_GB2312" w:hAnsi="KaiTi_GB2312" w:eastAsia="KaiTi_GB2312" w:cs="KaiTi_GB2312"/>
          <w:sz w:val="24"/>
          <w:szCs w:val="24"/>
        </w:rPr>
      </w:pPr>
      <w:r>
        <w:rPr>
          <w:rFonts w:ascii="KaiTi_GB2312" w:hAnsi="KaiTi_GB2312" w:eastAsia="KaiTi_GB2312" w:cs="KaiTi_GB2312"/>
          <w:spacing w:val="11"/>
          <w:sz w:val="24"/>
          <w:szCs w:val="24"/>
        </w:rPr>
        <w:t>（二）市政、市政养护维修工程</w:t>
      </w:r>
    </w:p>
    <w:p>
      <w:pPr>
        <w:spacing w:line="385" w:lineRule="auto"/>
        <w:rPr>
          <w:rFonts w:ascii="Arial"/>
          <w:sz w:val="21"/>
        </w:rPr>
      </w:pPr>
    </w:p>
    <w:p>
      <w:pPr>
        <w:spacing w:before="65" w:line="278" w:lineRule="exact"/>
        <w:ind w:left="475"/>
        <w:rPr>
          <w:rFonts w:ascii="宋体" w:hAnsi="宋体" w:eastAsia="宋体" w:cs="宋体"/>
          <w:sz w:val="20"/>
          <w:szCs w:val="20"/>
        </w:rPr>
      </w:pPr>
      <w:r>
        <w:rPr>
          <w:rFonts w:ascii="宋体" w:hAnsi="宋体" w:eastAsia="宋体" w:cs="宋体"/>
          <w:spacing w:val="13"/>
          <w:position w:val="1"/>
          <w:sz w:val="20"/>
          <w:szCs w:val="20"/>
        </w:rPr>
        <w:t>1.</w:t>
      </w:r>
      <w:r>
        <w:rPr>
          <w:rFonts w:ascii="宋体" w:hAnsi="宋体" w:eastAsia="宋体" w:cs="宋体"/>
          <w:spacing w:val="34"/>
          <w:position w:val="1"/>
          <w:sz w:val="20"/>
          <w:szCs w:val="20"/>
        </w:rPr>
        <w:t xml:space="preserve"> </w:t>
      </w:r>
      <w:r>
        <w:rPr>
          <w:rFonts w:ascii="宋体" w:hAnsi="宋体" w:eastAsia="宋体" w:cs="宋体"/>
          <w:spacing w:val="13"/>
          <w:position w:val="1"/>
          <w:sz w:val="20"/>
          <w:szCs w:val="20"/>
        </w:rPr>
        <w:t>一般计税法（单位：</w:t>
      </w:r>
      <w:r>
        <w:rPr>
          <w:rFonts w:ascii="宋体" w:hAnsi="宋体" w:eastAsia="宋体" w:cs="宋体"/>
          <w:spacing w:val="-52"/>
          <w:position w:val="1"/>
          <w:sz w:val="20"/>
          <w:szCs w:val="20"/>
        </w:rPr>
        <w:t xml:space="preserve"> </w:t>
      </w:r>
      <w:r>
        <w:rPr>
          <w:rFonts w:ascii="宋体" w:hAnsi="宋体" w:eastAsia="宋体" w:cs="宋体"/>
          <w:spacing w:val="13"/>
          <w:position w:val="1"/>
          <w:sz w:val="20"/>
          <w:szCs w:val="20"/>
        </w:rPr>
        <w:t>%）</w:t>
      </w:r>
    </w:p>
    <w:p>
      <w:pPr>
        <w:spacing w:line="128" w:lineRule="exact"/>
      </w:pPr>
    </w:p>
    <w:tbl>
      <w:tblPr>
        <w:tblStyle w:val="5"/>
        <w:tblW w:w="9079"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5"/>
        <w:gridCol w:w="1671"/>
        <w:gridCol w:w="972"/>
        <w:gridCol w:w="1062"/>
        <w:gridCol w:w="1092"/>
        <w:gridCol w:w="1166"/>
        <w:gridCol w:w="1107"/>
        <w:gridCol w:w="12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4" w:hRule="atLeast"/>
        </w:trPr>
        <w:tc>
          <w:tcPr>
            <w:tcW w:w="2476" w:type="dxa"/>
            <w:gridSpan w:val="2"/>
            <w:tcBorders>
              <w:top w:val="single" w:color="000000" w:sz="4" w:space="0"/>
              <w:left w:val="single" w:color="000000" w:sz="4" w:space="0"/>
              <w:tl2br w:val="single" w:color="000000" w:sz="2" w:space="0"/>
            </w:tcBorders>
            <w:vAlign w:val="top"/>
          </w:tcPr>
          <w:p>
            <w:pPr>
              <w:spacing w:before="64" w:line="328" w:lineRule="auto"/>
              <w:ind w:left="125" w:right="685" w:firstLine="950"/>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972" w:type="dxa"/>
            <w:tcBorders>
              <w:top w:val="single" w:color="000000" w:sz="4" w:space="0"/>
            </w:tcBorders>
            <w:vAlign w:val="top"/>
          </w:tcPr>
          <w:p>
            <w:pPr>
              <w:spacing w:before="181" w:line="241" w:lineRule="auto"/>
              <w:ind w:left="221" w:right="119"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062" w:type="dxa"/>
            <w:tcBorders>
              <w:top w:val="single" w:color="000000" w:sz="4" w:space="0"/>
            </w:tcBorders>
            <w:vAlign w:val="top"/>
          </w:tcPr>
          <w:p>
            <w:pPr>
              <w:spacing w:before="157" w:line="248" w:lineRule="auto"/>
              <w:ind w:left="278" w:right="257" w:firstLine="10"/>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8"/>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092" w:type="dxa"/>
            <w:tcBorders>
              <w:top w:val="single" w:color="000000" w:sz="4" w:space="0"/>
            </w:tcBorders>
            <w:vAlign w:val="top"/>
          </w:tcPr>
          <w:p>
            <w:pPr>
              <w:spacing w:before="181" w:line="241" w:lineRule="auto"/>
              <w:ind w:left="201" w:right="175"/>
              <w:rPr>
                <w:rFonts w:ascii="黑体" w:hAnsi="黑体" w:eastAsia="黑体" w:cs="黑体"/>
                <w:sz w:val="18"/>
                <w:szCs w:val="18"/>
              </w:rPr>
            </w:pPr>
            <w:r>
              <w:rPr>
                <w:rFonts w:ascii="黑体" w:hAnsi="黑体" w:eastAsia="黑体" w:cs="黑体"/>
                <w:spacing w:val="-3"/>
                <w:sz w:val="18"/>
                <w:szCs w:val="18"/>
              </w:rPr>
              <w:t>冬雨季施</w:t>
            </w:r>
            <w:r>
              <w:rPr>
                <w:rFonts w:ascii="黑体" w:hAnsi="黑体" w:eastAsia="黑体" w:cs="黑体"/>
                <w:spacing w:val="-5"/>
                <w:sz w:val="18"/>
                <w:szCs w:val="18"/>
              </w:rPr>
              <w:t>工增加费</w:t>
            </w:r>
          </w:p>
        </w:tc>
        <w:tc>
          <w:tcPr>
            <w:tcW w:w="1166" w:type="dxa"/>
            <w:tcBorders>
              <w:top w:val="single" w:color="000000" w:sz="4" w:space="0"/>
            </w:tcBorders>
            <w:vAlign w:val="top"/>
          </w:tcPr>
          <w:p>
            <w:pPr>
              <w:spacing w:before="182"/>
              <w:ind w:left="153" w:right="112" w:firstLine="25"/>
              <w:rPr>
                <w:rFonts w:ascii="黑体" w:hAnsi="黑体" w:eastAsia="黑体" w:cs="黑体"/>
                <w:sz w:val="18"/>
                <w:szCs w:val="18"/>
              </w:rPr>
            </w:pPr>
            <w:r>
              <w:rPr>
                <w:rFonts w:ascii="黑体" w:hAnsi="黑体" w:eastAsia="黑体" w:cs="黑体"/>
                <w:spacing w:val="-7"/>
                <w:sz w:val="18"/>
                <w:szCs w:val="18"/>
              </w:rPr>
              <w:t>已完工程及</w:t>
            </w:r>
            <w:r>
              <w:rPr>
                <w:rFonts w:ascii="黑体" w:hAnsi="黑体" w:eastAsia="黑体" w:cs="黑体"/>
                <w:spacing w:val="-4"/>
                <w:sz w:val="18"/>
                <w:szCs w:val="18"/>
              </w:rPr>
              <w:t>设备保护费</w:t>
            </w:r>
          </w:p>
        </w:tc>
        <w:tc>
          <w:tcPr>
            <w:tcW w:w="1107" w:type="dxa"/>
            <w:tcBorders>
              <w:top w:val="single" w:color="000000" w:sz="4" w:space="0"/>
            </w:tcBorders>
            <w:vAlign w:val="top"/>
          </w:tcPr>
          <w:p>
            <w:pPr>
              <w:spacing w:before="182"/>
              <w:ind w:left="308" w:right="175" w:hanging="95"/>
              <w:rPr>
                <w:rFonts w:ascii="黑体" w:hAnsi="黑体" w:eastAsia="黑体" w:cs="黑体"/>
                <w:sz w:val="18"/>
                <w:szCs w:val="18"/>
              </w:rPr>
            </w:pPr>
            <w:r>
              <w:rPr>
                <w:rFonts w:ascii="黑体" w:hAnsi="黑体" w:eastAsia="黑体" w:cs="黑体"/>
                <w:spacing w:val="-2"/>
                <w:sz w:val="18"/>
                <w:szCs w:val="18"/>
              </w:rPr>
              <w:t>工程定位</w:t>
            </w:r>
            <w:r>
              <w:rPr>
                <w:rFonts w:ascii="黑体" w:hAnsi="黑体" w:eastAsia="黑体" w:cs="黑体"/>
                <w:spacing w:val="-6"/>
                <w:sz w:val="18"/>
                <w:szCs w:val="18"/>
              </w:rPr>
              <w:t>复测费</w:t>
            </w:r>
          </w:p>
        </w:tc>
        <w:tc>
          <w:tcPr>
            <w:tcW w:w="1204" w:type="dxa"/>
            <w:tcBorders>
              <w:top w:val="single" w:color="000000" w:sz="4" w:space="0"/>
              <w:right w:val="single" w:color="000000" w:sz="4" w:space="0"/>
            </w:tcBorders>
            <w:vAlign w:val="top"/>
          </w:tcPr>
          <w:p>
            <w:pPr>
              <w:spacing w:before="182"/>
              <w:ind w:left="172" w:right="139" w:firstLine="83"/>
              <w:rPr>
                <w:rFonts w:ascii="黑体" w:hAnsi="黑体" w:eastAsia="黑体" w:cs="黑体"/>
                <w:sz w:val="18"/>
                <w:szCs w:val="18"/>
              </w:rPr>
            </w:pPr>
            <w:r>
              <w:rPr>
                <w:rFonts w:ascii="黑体" w:hAnsi="黑体" w:eastAsia="黑体" w:cs="黑体"/>
                <w:spacing w:val="20"/>
                <w:sz w:val="18"/>
                <w:szCs w:val="18"/>
              </w:rPr>
              <w:t>地下管线</w:t>
            </w:r>
            <w:r>
              <w:rPr>
                <w:rFonts w:ascii="黑体" w:hAnsi="黑体" w:eastAsia="黑体" w:cs="黑体"/>
                <w:spacing w:val="-6"/>
                <w:sz w:val="18"/>
                <w:szCs w:val="18"/>
              </w:rPr>
              <w:t>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805" w:type="dxa"/>
            <w:vMerge w:val="restart"/>
            <w:tcBorders>
              <w:left w:val="single" w:color="000000" w:sz="4" w:space="0"/>
              <w:bottom w:val="nil"/>
            </w:tcBorders>
            <w:textDirection w:val="tbRlV"/>
            <w:vAlign w:val="top"/>
          </w:tcPr>
          <w:p>
            <w:pPr>
              <w:spacing w:before="301" w:line="213" w:lineRule="auto"/>
              <w:ind w:left="2164"/>
              <w:rPr>
                <w:rFonts w:ascii="宋体" w:hAnsi="宋体" w:eastAsia="宋体" w:cs="宋体"/>
                <w:sz w:val="18"/>
                <w:szCs w:val="18"/>
              </w:rPr>
            </w:pPr>
            <w:r>
              <w:rPr>
                <w:rFonts w:ascii="宋体" w:hAnsi="宋体" w:eastAsia="宋体" w:cs="宋体"/>
                <w:spacing w:val="-16"/>
                <w:sz w:val="18"/>
                <w:szCs w:val="18"/>
              </w:rPr>
              <w:t>市</w:t>
            </w:r>
            <w:r>
              <w:rPr>
                <w:rFonts w:ascii="宋体" w:hAnsi="宋体" w:eastAsia="宋体" w:cs="宋体"/>
                <w:spacing w:val="76"/>
                <w:sz w:val="18"/>
                <w:szCs w:val="18"/>
              </w:rPr>
              <w:t xml:space="preserve"> </w:t>
            </w:r>
            <w:r>
              <w:rPr>
                <w:rFonts w:ascii="宋体" w:hAnsi="宋体" w:eastAsia="宋体" w:cs="宋体"/>
                <w:spacing w:val="-16"/>
                <w:sz w:val="18"/>
                <w:szCs w:val="18"/>
              </w:rPr>
              <w:t>政</w:t>
            </w:r>
            <w:r>
              <w:rPr>
                <w:rFonts w:ascii="宋体" w:hAnsi="宋体" w:eastAsia="宋体" w:cs="宋体"/>
                <w:spacing w:val="86"/>
                <w:w w:val="101"/>
                <w:sz w:val="18"/>
                <w:szCs w:val="18"/>
              </w:rPr>
              <w:t xml:space="preserve"> </w:t>
            </w:r>
            <w:r>
              <w:rPr>
                <w:rFonts w:ascii="宋体" w:hAnsi="宋体" w:eastAsia="宋体" w:cs="宋体"/>
                <w:spacing w:val="-16"/>
                <w:sz w:val="18"/>
                <w:szCs w:val="18"/>
              </w:rPr>
              <w:t>工</w:t>
            </w:r>
            <w:r>
              <w:rPr>
                <w:rFonts w:ascii="宋体" w:hAnsi="宋体" w:eastAsia="宋体" w:cs="宋体"/>
                <w:spacing w:val="36"/>
                <w:w w:val="101"/>
                <w:sz w:val="18"/>
                <w:szCs w:val="18"/>
              </w:rPr>
              <w:t xml:space="preserve"> </w:t>
            </w:r>
            <w:r>
              <w:rPr>
                <w:rFonts w:ascii="宋体" w:hAnsi="宋体" w:eastAsia="宋体" w:cs="宋体"/>
                <w:spacing w:val="-16"/>
                <w:sz w:val="18"/>
                <w:szCs w:val="18"/>
              </w:rPr>
              <w:t>程</w:t>
            </w:r>
          </w:p>
        </w:tc>
        <w:tc>
          <w:tcPr>
            <w:tcW w:w="1671" w:type="dxa"/>
            <w:vAlign w:val="top"/>
          </w:tcPr>
          <w:p>
            <w:pPr>
              <w:spacing w:before="112" w:line="212" w:lineRule="auto"/>
              <w:ind w:left="535"/>
              <w:rPr>
                <w:rFonts w:ascii="宋体" w:hAnsi="宋体" w:eastAsia="宋体" w:cs="宋体"/>
                <w:sz w:val="18"/>
                <w:szCs w:val="18"/>
              </w:rPr>
            </w:pPr>
            <w:r>
              <w:rPr>
                <w:rFonts w:ascii="宋体" w:hAnsi="宋体" w:eastAsia="宋体" w:cs="宋体"/>
                <w:spacing w:val="-3"/>
                <w:sz w:val="18"/>
                <w:szCs w:val="18"/>
              </w:rPr>
              <w:t>道路工程</w:t>
            </w:r>
          </w:p>
        </w:tc>
        <w:tc>
          <w:tcPr>
            <w:tcW w:w="972" w:type="dxa"/>
            <w:vAlign w:val="top"/>
          </w:tcPr>
          <w:p>
            <w:pPr>
              <w:spacing w:before="124" w:line="237" w:lineRule="exact"/>
              <w:ind w:left="309"/>
              <w:rPr>
                <w:rFonts w:ascii="宋体" w:hAnsi="宋体" w:eastAsia="宋体" w:cs="宋体"/>
                <w:sz w:val="18"/>
                <w:szCs w:val="18"/>
              </w:rPr>
            </w:pPr>
            <w:r>
              <w:rPr>
                <w:rFonts w:ascii="宋体" w:hAnsi="宋体" w:eastAsia="宋体" w:cs="宋体"/>
                <w:spacing w:val="-14"/>
                <w:position w:val="1"/>
                <w:sz w:val="18"/>
                <w:szCs w:val="18"/>
              </w:rPr>
              <w:t>0.66</w:t>
            </w:r>
          </w:p>
        </w:tc>
        <w:tc>
          <w:tcPr>
            <w:tcW w:w="1062" w:type="dxa"/>
            <w:vAlign w:val="top"/>
          </w:tcPr>
          <w:p>
            <w:pPr>
              <w:spacing w:before="124" w:line="237" w:lineRule="exact"/>
              <w:ind w:left="384"/>
              <w:rPr>
                <w:rFonts w:ascii="宋体" w:hAnsi="宋体" w:eastAsia="宋体" w:cs="宋体"/>
                <w:sz w:val="18"/>
                <w:szCs w:val="18"/>
              </w:rPr>
            </w:pPr>
            <w:r>
              <w:rPr>
                <w:rFonts w:ascii="宋体" w:hAnsi="宋体" w:eastAsia="宋体" w:cs="宋体"/>
                <w:spacing w:val="-19"/>
                <w:position w:val="1"/>
                <w:sz w:val="18"/>
                <w:szCs w:val="18"/>
              </w:rPr>
              <w:t>1.14</w:t>
            </w:r>
          </w:p>
        </w:tc>
        <w:tc>
          <w:tcPr>
            <w:tcW w:w="1092" w:type="dxa"/>
            <w:vAlign w:val="top"/>
          </w:tcPr>
          <w:p>
            <w:pPr>
              <w:spacing w:before="124" w:line="237" w:lineRule="exact"/>
              <w:ind w:left="375"/>
              <w:rPr>
                <w:rFonts w:ascii="宋体" w:hAnsi="宋体" w:eastAsia="宋体" w:cs="宋体"/>
                <w:sz w:val="18"/>
                <w:szCs w:val="18"/>
              </w:rPr>
            </w:pPr>
            <w:r>
              <w:rPr>
                <w:rFonts w:ascii="宋体" w:hAnsi="宋体" w:eastAsia="宋体" w:cs="宋体"/>
                <w:spacing w:val="-14"/>
                <w:position w:val="1"/>
                <w:sz w:val="18"/>
                <w:szCs w:val="18"/>
              </w:rPr>
              <w:t>0.41</w:t>
            </w:r>
          </w:p>
        </w:tc>
        <w:tc>
          <w:tcPr>
            <w:tcW w:w="1166" w:type="dxa"/>
            <w:vAlign w:val="top"/>
          </w:tcPr>
          <w:p>
            <w:pPr>
              <w:spacing w:before="124" w:line="237" w:lineRule="exact"/>
              <w:ind w:left="416"/>
              <w:rPr>
                <w:rFonts w:ascii="宋体" w:hAnsi="宋体" w:eastAsia="宋体" w:cs="宋体"/>
                <w:sz w:val="18"/>
                <w:szCs w:val="18"/>
              </w:rPr>
            </w:pPr>
            <w:r>
              <w:rPr>
                <w:rFonts w:ascii="宋体" w:hAnsi="宋体" w:eastAsia="宋体" w:cs="宋体"/>
                <w:spacing w:val="-14"/>
                <w:position w:val="1"/>
                <w:sz w:val="18"/>
                <w:szCs w:val="18"/>
              </w:rPr>
              <w:t>0.63</w:t>
            </w:r>
          </w:p>
        </w:tc>
        <w:tc>
          <w:tcPr>
            <w:tcW w:w="1107" w:type="dxa"/>
            <w:vAlign w:val="top"/>
          </w:tcPr>
          <w:p>
            <w:pPr>
              <w:spacing w:before="124" w:line="237" w:lineRule="exact"/>
              <w:ind w:left="390"/>
              <w:rPr>
                <w:rFonts w:ascii="宋体" w:hAnsi="宋体" w:eastAsia="宋体" w:cs="宋体"/>
                <w:sz w:val="18"/>
                <w:szCs w:val="18"/>
              </w:rPr>
            </w:pPr>
            <w:r>
              <w:rPr>
                <w:rFonts w:ascii="宋体" w:hAnsi="宋体" w:eastAsia="宋体" w:cs="宋体"/>
                <w:spacing w:val="-14"/>
                <w:position w:val="1"/>
                <w:sz w:val="18"/>
                <w:szCs w:val="18"/>
              </w:rPr>
              <w:t>0.13</w:t>
            </w:r>
          </w:p>
        </w:tc>
        <w:tc>
          <w:tcPr>
            <w:tcW w:w="1204" w:type="dxa"/>
            <w:tcBorders>
              <w:right w:val="single" w:color="000000" w:sz="4" w:space="0"/>
            </w:tcBorders>
            <w:vAlign w:val="top"/>
          </w:tcPr>
          <w:p>
            <w:pPr>
              <w:spacing w:before="124" w:line="237" w:lineRule="exact"/>
              <w:ind w:left="432"/>
              <w:rPr>
                <w:rFonts w:ascii="宋体" w:hAnsi="宋体" w:eastAsia="宋体" w:cs="宋体"/>
                <w:sz w:val="18"/>
                <w:szCs w:val="18"/>
              </w:rPr>
            </w:pPr>
            <w:r>
              <w:rPr>
                <w:rFonts w:ascii="宋体" w:hAnsi="宋体" w:eastAsia="宋体" w:cs="宋体"/>
                <w:spacing w:val="-14"/>
                <w:position w:val="1"/>
                <w:sz w:val="18"/>
                <w:szCs w:val="18"/>
              </w:rPr>
              <w:t>0.31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16" w:line="209" w:lineRule="auto"/>
              <w:ind w:left="535"/>
              <w:rPr>
                <w:rFonts w:ascii="宋体" w:hAnsi="宋体" w:eastAsia="宋体" w:cs="宋体"/>
                <w:sz w:val="18"/>
                <w:szCs w:val="18"/>
              </w:rPr>
            </w:pPr>
            <w:r>
              <w:rPr>
                <w:rFonts w:ascii="宋体" w:hAnsi="宋体" w:eastAsia="宋体" w:cs="宋体"/>
                <w:spacing w:val="-3"/>
                <w:sz w:val="18"/>
                <w:szCs w:val="18"/>
              </w:rPr>
              <w:t>桥涵工程</w:t>
            </w:r>
          </w:p>
        </w:tc>
        <w:tc>
          <w:tcPr>
            <w:tcW w:w="972" w:type="dxa"/>
            <w:vAlign w:val="top"/>
          </w:tcPr>
          <w:p>
            <w:pPr>
              <w:spacing w:before="127" w:line="241" w:lineRule="auto"/>
              <w:ind w:left="309"/>
              <w:rPr>
                <w:rFonts w:ascii="宋体" w:hAnsi="宋体" w:eastAsia="宋体" w:cs="宋体"/>
                <w:sz w:val="18"/>
                <w:szCs w:val="18"/>
              </w:rPr>
            </w:pPr>
            <w:r>
              <w:rPr>
                <w:rFonts w:ascii="宋体" w:hAnsi="宋体" w:eastAsia="宋体" w:cs="宋体"/>
                <w:spacing w:val="-14"/>
                <w:sz w:val="18"/>
                <w:szCs w:val="18"/>
              </w:rPr>
              <w:t>0.38</w:t>
            </w:r>
          </w:p>
        </w:tc>
        <w:tc>
          <w:tcPr>
            <w:tcW w:w="1062" w:type="dxa"/>
            <w:vAlign w:val="top"/>
          </w:tcPr>
          <w:p>
            <w:pPr>
              <w:spacing w:before="127" w:line="241" w:lineRule="auto"/>
              <w:ind w:left="384"/>
              <w:rPr>
                <w:rFonts w:ascii="宋体" w:hAnsi="宋体" w:eastAsia="宋体" w:cs="宋体"/>
                <w:sz w:val="18"/>
                <w:szCs w:val="18"/>
              </w:rPr>
            </w:pPr>
            <w:r>
              <w:rPr>
                <w:rFonts w:ascii="宋体" w:hAnsi="宋体" w:eastAsia="宋体" w:cs="宋体"/>
                <w:spacing w:val="-19"/>
                <w:sz w:val="18"/>
                <w:szCs w:val="18"/>
              </w:rPr>
              <w:t>1.51</w:t>
            </w:r>
          </w:p>
        </w:tc>
        <w:tc>
          <w:tcPr>
            <w:tcW w:w="1092" w:type="dxa"/>
            <w:vAlign w:val="top"/>
          </w:tcPr>
          <w:p>
            <w:pPr>
              <w:spacing w:before="127" w:line="241" w:lineRule="auto"/>
              <w:ind w:left="375"/>
              <w:rPr>
                <w:rFonts w:ascii="宋体" w:hAnsi="宋体" w:eastAsia="宋体" w:cs="宋体"/>
                <w:sz w:val="18"/>
                <w:szCs w:val="18"/>
              </w:rPr>
            </w:pPr>
            <w:r>
              <w:rPr>
                <w:rFonts w:ascii="宋体" w:hAnsi="宋体" w:eastAsia="宋体" w:cs="宋体"/>
                <w:spacing w:val="-14"/>
                <w:sz w:val="18"/>
                <w:szCs w:val="18"/>
              </w:rPr>
              <w:t>0.38</w:t>
            </w:r>
          </w:p>
        </w:tc>
        <w:tc>
          <w:tcPr>
            <w:tcW w:w="1166" w:type="dxa"/>
            <w:vAlign w:val="top"/>
          </w:tcPr>
          <w:p>
            <w:pPr>
              <w:spacing w:before="127" w:line="241" w:lineRule="auto"/>
              <w:ind w:left="416"/>
              <w:rPr>
                <w:rFonts w:ascii="宋体" w:hAnsi="宋体" w:eastAsia="宋体" w:cs="宋体"/>
                <w:sz w:val="18"/>
                <w:szCs w:val="18"/>
              </w:rPr>
            </w:pPr>
            <w:r>
              <w:rPr>
                <w:rFonts w:ascii="宋体" w:hAnsi="宋体" w:eastAsia="宋体" w:cs="宋体"/>
                <w:spacing w:val="-14"/>
                <w:sz w:val="18"/>
                <w:szCs w:val="18"/>
              </w:rPr>
              <w:t>0.63</w:t>
            </w:r>
          </w:p>
        </w:tc>
        <w:tc>
          <w:tcPr>
            <w:tcW w:w="1107" w:type="dxa"/>
            <w:vAlign w:val="top"/>
          </w:tcPr>
          <w:p>
            <w:pPr>
              <w:spacing w:before="127" w:line="241" w:lineRule="auto"/>
              <w:ind w:left="390"/>
              <w:rPr>
                <w:rFonts w:ascii="宋体" w:hAnsi="宋体" w:eastAsia="宋体" w:cs="宋体"/>
                <w:sz w:val="18"/>
                <w:szCs w:val="18"/>
              </w:rPr>
            </w:pPr>
            <w:r>
              <w:rPr>
                <w:rFonts w:ascii="宋体" w:hAnsi="宋体" w:eastAsia="宋体" w:cs="宋体"/>
                <w:spacing w:val="-14"/>
                <w:sz w:val="18"/>
                <w:szCs w:val="18"/>
              </w:rPr>
              <w:t>0.08</w:t>
            </w:r>
          </w:p>
        </w:tc>
        <w:tc>
          <w:tcPr>
            <w:tcW w:w="1204" w:type="dxa"/>
            <w:tcBorders>
              <w:right w:val="single" w:color="000000" w:sz="4" w:space="0"/>
            </w:tcBorders>
            <w:vAlign w:val="top"/>
          </w:tcPr>
          <w:p>
            <w:pPr>
              <w:spacing w:before="127" w:line="241" w:lineRule="auto"/>
              <w:ind w:left="432"/>
              <w:rPr>
                <w:rFonts w:ascii="宋体" w:hAnsi="宋体" w:eastAsia="宋体" w:cs="宋体"/>
                <w:sz w:val="18"/>
                <w:szCs w:val="18"/>
              </w:rPr>
            </w:pPr>
            <w:r>
              <w:rPr>
                <w:rFonts w:ascii="宋体" w:hAnsi="宋体" w:eastAsia="宋体" w:cs="宋体"/>
                <w:spacing w:val="-14"/>
                <w:sz w:val="18"/>
                <w:szCs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16" w:line="211" w:lineRule="auto"/>
              <w:ind w:left="554"/>
              <w:rPr>
                <w:rFonts w:ascii="宋体" w:hAnsi="宋体" w:eastAsia="宋体" w:cs="宋体"/>
                <w:sz w:val="18"/>
                <w:szCs w:val="18"/>
              </w:rPr>
            </w:pPr>
            <w:r>
              <w:rPr>
                <w:rFonts w:ascii="宋体" w:hAnsi="宋体" w:eastAsia="宋体" w:cs="宋体"/>
                <w:spacing w:val="-9"/>
                <w:sz w:val="18"/>
                <w:szCs w:val="18"/>
              </w:rPr>
              <w:t>隧道工程</w:t>
            </w:r>
          </w:p>
        </w:tc>
        <w:tc>
          <w:tcPr>
            <w:tcW w:w="972" w:type="dxa"/>
            <w:vAlign w:val="top"/>
          </w:tcPr>
          <w:p>
            <w:pPr>
              <w:spacing w:before="129"/>
              <w:ind w:left="309"/>
              <w:rPr>
                <w:rFonts w:ascii="宋体" w:hAnsi="宋体" w:eastAsia="宋体" w:cs="宋体"/>
                <w:sz w:val="18"/>
                <w:szCs w:val="18"/>
              </w:rPr>
            </w:pPr>
            <w:r>
              <w:rPr>
                <w:rFonts w:ascii="宋体" w:hAnsi="宋体" w:eastAsia="宋体" w:cs="宋体"/>
                <w:spacing w:val="-14"/>
                <w:sz w:val="18"/>
                <w:szCs w:val="18"/>
              </w:rPr>
              <w:t>0.32</w:t>
            </w:r>
          </w:p>
        </w:tc>
        <w:tc>
          <w:tcPr>
            <w:tcW w:w="1062" w:type="dxa"/>
            <w:vAlign w:val="top"/>
          </w:tcPr>
          <w:p>
            <w:pPr>
              <w:spacing w:before="129"/>
              <w:ind w:left="384"/>
              <w:rPr>
                <w:rFonts w:ascii="宋体" w:hAnsi="宋体" w:eastAsia="宋体" w:cs="宋体"/>
                <w:sz w:val="18"/>
                <w:szCs w:val="18"/>
              </w:rPr>
            </w:pPr>
            <w:r>
              <w:rPr>
                <w:rFonts w:ascii="宋体" w:hAnsi="宋体" w:eastAsia="宋体" w:cs="宋体"/>
                <w:spacing w:val="-19"/>
                <w:sz w:val="18"/>
                <w:szCs w:val="18"/>
              </w:rPr>
              <w:t>1.30</w:t>
            </w:r>
          </w:p>
        </w:tc>
        <w:tc>
          <w:tcPr>
            <w:tcW w:w="1092" w:type="dxa"/>
            <w:vAlign w:val="top"/>
          </w:tcPr>
          <w:p>
            <w:pPr>
              <w:spacing w:before="129"/>
              <w:ind w:left="375"/>
              <w:rPr>
                <w:rFonts w:ascii="宋体" w:hAnsi="宋体" w:eastAsia="宋体" w:cs="宋体"/>
                <w:sz w:val="18"/>
                <w:szCs w:val="18"/>
              </w:rPr>
            </w:pPr>
            <w:r>
              <w:rPr>
                <w:rFonts w:ascii="宋体" w:hAnsi="宋体" w:eastAsia="宋体" w:cs="宋体"/>
                <w:spacing w:val="-14"/>
                <w:sz w:val="18"/>
                <w:szCs w:val="18"/>
              </w:rPr>
              <w:t>0.33</w:t>
            </w:r>
          </w:p>
        </w:tc>
        <w:tc>
          <w:tcPr>
            <w:tcW w:w="1166" w:type="dxa"/>
            <w:vAlign w:val="top"/>
          </w:tcPr>
          <w:p>
            <w:pPr>
              <w:spacing w:before="129"/>
              <w:ind w:left="416"/>
              <w:rPr>
                <w:rFonts w:ascii="宋体" w:hAnsi="宋体" w:eastAsia="宋体" w:cs="宋体"/>
                <w:sz w:val="18"/>
                <w:szCs w:val="18"/>
              </w:rPr>
            </w:pPr>
            <w:r>
              <w:rPr>
                <w:rFonts w:ascii="宋体" w:hAnsi="宋体" w:eastAsia="宋体" w:cs="宋体"/>
                <w:spacing w:val="-14"/>
                <w:sz w:val="18"/>
                <w:szCs w:val="18"/>
              </w:rPr>
              <w:t>0.64</w:t>
            </w:r>
          </w:p>
        </w:tc>
        <w:tc>
          <w:tcPr>
            <w:tcW w:w="1107" w:type="dxa"/>
            <w:vAlign w:val="top"/>
          </w:tcPr>
          <w:p>
            <w:pPr>
              <w:spacing w:before="129"/>
              <w:ind w:left="390"/>
              <w:rPr>
                <w:rFonts w:ascii="宋体" w:hAnsi="宋体" w:eastAsia="宋体" w:cs="宋体"/>
                <w:sz w:val="18"/>
                <w:szCs w:val="18"/>
              </w:rPr>
            </w:pPr>
            <w:r>
              <w:rPr>
                <w:rFonts w:ascii="宋体" w:hAnsi="宋体" w:eastAsia="宋体" w:cs="宋体"/>
                <w:spacing w:val="-14"/>
                <w:sz w:val="18"/>
                <w:szCs w:val="18"/>
              </w:rPr>
              <w:t>0.08</w:t>
            </w:r>
          </w:p>
        </w:tc>
        <w:tc>
          <w:tcPr>
            <w:tcW w:w="1204" w:type="dxa"/>
            <w:tcBorders>
              <w:right w:val="single" w:color="000000" w:sz="4" w:space="0"/>
            </w:tcBorders>
            <w:vAlign w:val="top"/>
          </w:tcPr>
          <w:p>
            <w:pPr>
              <w:spacing w:before="129"/>
              <w:ind w:left="432"/>
              <w:rPr>
                <w:rFonts w:ascii="宋体" w:hAnsi="宋体" w:eastAsia="宋体" w:cs="宋体"/>
                <w:sz w:val="18"/>
                <w:szCs w:val="18"/>
              </w:rPr>
            </w:pPr>
            <w:r>
              <w:rPr>
                <w:rFonts w:ascii="宋体" w:hAnsi="宋体" w:eastAsia="宋体" w:cs="宋体"/>
                <w:spacing w:val="-14"/>
                <w:sz w:val="18"/>
                <w:szCs w:val="18"/>
              </w:rPr>
              <w:t>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18" w:line="211" w:lineRule="auto"/>
              <w:ind w:left="540"/>
              <w:rPr>
                <w:rFonts w:ascii="宋体" w:hAnsi="宋体" w:eastAsia="宋体" w:cs="宋体"/>
                <w:sz w:val="18"/>
                <w:szCs w:val="18"/>
              </w:rPr>
            </w:pPr>
            <w:r>
              <w:rPr>
                <w:rFonts w:ascii="宋体" w:hAnsi="宋体" w:eastAsia="宋体" w:cs="宋体"/>
                <w:spacing w:val="-5"/>
                <w:sz w:val="18"/>
                <w:szCs w:val="18"/>
              </w:rPr>
              <w:t>给水工程</w:t>
            </w:r>
          </w:p>
        </w:tc>
        <w:tc>
          <w:tcPr>
            <w:tcW w:w="972" w:type="dxa"/>
            <w:vAlign w:val="top"/>
          </w:tcPr>
          <w:p>
            <w:pPr>
              <w:spacing w:before="130" w:line="248" w:lineRule="exact"/>
              <w:ind w:left="336"/>
              <w:rPr>
                <w:rFonts w:ascii="宋体" w:hAnsi="宋体" w:eastAsia="宋体" w:cs="宋体"/>
                <w:sz w:val="18"/>
                <w:szCs w:val="18"/>
              </w:rPr>
            </w:pPr>
            <w:r>
              <w:rPr>
                <w:rFonts w:ascii="宋体" w:hAnsi="宋体" w:eastAsia="宋体" w:cs="宋体"/>
                <w:spacing w:val="-19"/>
                <w:position w:val="1"/>
                <w:sz w:val="18"/>
                <w:szCs w:val="18"/>
              </w:rPr>
              <w:t>1.53</w:t>
            </w:r>
          </w:p>
        </w:tc>
        <w:tc>
          <w:tcPr>
            <w:tcW w:w="1062" w:type="dxa"/>
            <w:vAlign w:val="top"/>
          </w:tcPr>
          <w:p>
            <w:pPr>
              <w:spacing w:before="130" w:line="248" w:lineRule="exact"/>
              <w:ind w:left="360"/>
              <w:rPr>
                <w:rFonts w:ascii="宋体" w:hAnsi="宋体" w:eastAsia="宋体" w:cs="宋体"/>
                <w:sz w:val="18"/>
                <w:szCs w:val="18"/>
              </w:rPr>
            </w:pPr>
            <w:r>
              <w:rPr>
                <w:rFonts w:ascii="宋体" w:hAnsi="宋体" w:eastAsia="宋体" w:cs="宋体"/>
                <w:spacing w:val="-15"/>
                <w:position w:val="1"/>
                <w:sz w:val="18"/>
                <w:szCs w:val="18"/>
              </w:rPr>
              <w:t>2.02</w:t>
            </w:r>
          </w:p>
        </w:tc>
        <w:tc>
          <w:tcPr>
            <w:tcW w:w="1092" w:type="dxa"/>
            <w:vAlign w:val="top"/>
          </w:tcPr>
          <w:p>
            <w:pPr>
              <w:spacing w:before="130" w:line="248" w:lineRule="exact"/>
              <w:ind w:left="402"/>
              <w:rPr>
                <w:rFonts w:ascii="宋体" w:hAnsi="宋体" w:eastAsia="宋体" w:cs="宋体"/>
                <w:sz w:val="18"/>
                <w:szCs w:val="18"/>
              </w:rPr>
            </w:pPr>
            <w:r>
              <w:rPr>
                <w:rFonts w:ascii="宋体" w:hAnsi="宋体" w:eastAsia="宋体" w:cs="宋体"/>
                <w:spacing w:val="-19"/>
                <w:position w:val="1"/>
                <w:sz w:val="18"/>
                <w:szCs w:val="18"/>
              </w:rPr>
              <w:t>1.53</w:t>
            </w:r>
          </w:p>
        </w:tc>
        <w:tc>
          <w:tcPr>
            <w:tcW w:w="1166" w:type="dxa"/>
            <w:vAlign w:val="top"/>
          </w:tcPr>
          <w:p>
            <w:pPr>
              <w:spacing w:before="130" w:line="248" w:lineRule="exact"/>
              <w:ind w:left="416"/>
              <w:rPr>
                <w:rFonts w:ascii="宋体" w:hAnsi="宋体" w:eastAsia="宋体" w:cs="宋体"/>
                <w:sz w:val="18"/>
                <w:szCs w:val="18"/>
              </w:rPr>
            </w:pPr>
            <w:r>
              <w:rPr>
                <w:rFonts w:ascii="宋体" w:hAnsi="宋体" w:eastAsia="宋体" w:cs="宋体"/>
                <w:spacing w:val="-14"/>
                <w:position w:val="1"/>
                <w:sz w:val="18"/>
                <w:szCs w:val="18"/>
              </w:rPr>
              <w:t>0.80</w:t>
            </w:r>
          </w:p>
        </w:tc>
        <w:tc>
          <w:tcPr>
            <w:tcW w:w="1107" w:type="dxa"/>
            <w:vAlign w:val="top"/>
          </w:tcPr>
          <w:p>
            <w:pPr>
              <w:spacing w:before="130" w:line="248" w:lineRule="exact"/>
              <w:ind w:left="390"/>
              <w:rPr>
                <w:rFonts w:ascii="宋体" w:hAnsi="宋体" w:eastAsia="宋体" w:cs="宋体"/>
                <w:sz w:val="18"/>
                <w:szCs w:val="18"/>
              </w:rPr>
            </w:pPr>
            <w:r>
              <w:rPr>
                <w:rFonts w:ascii="宋体" w:hAnsi="宋体" w:eastAsia="宋体" w:cs="宋体"/>
                <w:spacing w:val="-14"/>
                <w:position w:val="1"/>
                <w:sz w:val="18"/>
                <w:szCs w:val="18"/>
              </w:rPr>
              <w:t>0.33</w:t>
            </w:r>
          </w:p>
        </w:tc>
        <w:tc>
          <w:tcPr>
            <w:tcW w:w="1204" w:type="dxa"/>
            <w:tcBorders>
              <w:right w:val="single" w:color="000000" w:sz="4" w:space="0"/>
            </w:tcBorders>
            <w:vAlign w:val="top"/>
          </w:tcPr>
          <w:p>
            <w:pPr>
              <w:spacing w:before="130" w:line="248" w:lineRule="exact"/>
              <w:ind w:left="460"/>
              <w:rPr>
                <w:rFonts w:ascii="宋体" w:hAnsi="宋体" w:eastAsia="宋体" w:cs="宋体"/>
                <w:sz w:val="18"/>
                <w:szCs w:val="18"/>
              </w:rPr>
            </w:pPr>
            <w:r>
              <w:rPr>
                <w:rFonts w:ascii="宋体" w:hAnsi="宋体" w:eastAsia="宋体" w:cs="宋体"/>
                <w:spacing w:val="-19"/>
                <w:position w:val="1"/>
                <w:sz w:val="18"/>
                <w:szCs w:val="18"/>
              </w:rPr>
              <w:t>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09" w:line="222" w:lineRule="auto"/>
              <w:ind w:left="535"/>
              <w:rPr>
                <w:rFonts w:ascii="宋体" w:hAnsi="宋体" w:eastAsia="宋体" w:cs="宋体"/>
                <w:sz w:val="18"/>
                <w:szCs w:val="18"/>
              </w:rPr>
            </w:pPr>
            <w:r>
              <w:rPr>
                <w:rFonts w:ascii="宋体" w:hAnsi="宋体" w:eastAsia="宋体" w:cs="宋体"/>
                <w:spacing w:val="-3"/>
                <w:sz w:val="18"/>
                <w:szCs w:val="18"/>
              </w:rPr>
              <w:t>排水工程</w:t>
            </w:r>
          </w:p>
        </w:tc>
        <w:tc>
          <w:tcPr>
            <w:tcW w:w="972" w:type="dxa"/>
            <w:vAlign w:val="top"/>
          </w:tcPr>
          <w:p>
            <w:pPr>
              <w:spacing w:before="132" w:line="236" w:lineRule="auto"/>
              <w:ind w:left="309"/>
              <w:rPr>
                <w:rFonts w:ascii="宋体" w:hAnsi="宋体" w:eastAsia="宋体" w:cs="宋体"/>
                <w:sz w:val="18"/>
                <w:szCs w:val="18"/>
              </w:rPr>
            </w:pPr>
            <w:r>
              <w:rPr>
                <w:rFonts w:ascii="宋体" w:hAnsi="宋体" w:eastAsia="宋体" w:cs="宋体"/>
                <w:spacing w:val="-14"/>
                <w:sz w:val="18"/>
                <w:szCs w:val="18"/>
              </w:rPr>
              <w:t>0.42</w:t>
            </w:r>
          </w:p>
        </w:tc>
        <w:tc>
          <w:tcPr>
            <w:tcW w:w="1062" w:type="dxa"/>
            <w:vAlign w:val="top"/>
          </w:tcPr>
          <w:p>
            <w:pPr>
              <w:spacing w:before="132" w:line="236" w:lineRule="auto"/>
              <w:ind w:left="384"/>
              <w:rPr>
                <w:rFonts w:ascii="宋体" w:hAnsi="宋体" w:eastAsia="宋体" w:cs="宋体"/>
                <w:sz w:val="18"/>
                <w:szCs w:val="18"/>
              </w:rPr>
            </w:pPr>
            <w:r>
              <w:rPr>
                <w:rFonts w:ascii="宋体" w:hAnsi="宋体" w:eastAsia="宋体" w:cs="宋体"/>
                <w:spacing w:val="-19"/>
                <w:sz w:val="18"/>
                <w:szCs w:val="18"/>
              </w:rPr>
              <w:t>1.24</w:t>
            </w:r>
          </w:p>
        </w:tc>
        <w:tc>
          <w:tcPr>
            <w:tcW w:w="1092" w:type="dxa"/>
            <w:vAlign w:val="top"/>
          </w:tcPr>
          <w:p>
            <w:pPr>
              <w:spacing w:before="132" w:line="236" w:lineRule="auto"/>
              <w:ind w:left="375"/>
              <w:rPr>
                <w:rFonts w:ascii="宋体" w:hAnsi="宋体" w:eastAsia="宋体" w:cs="宋体"/>
                <w:sz w:val="18"/>
                <w:szCs w:val="18"/>
              </w:rPr>
            </w:pPr>
            <w:r>
              <w:rPr>
                <w:rFonts w:ascii="宋体" w:hAnsi="宋体" w:eastAsia="宋体" w:cs="宋体"/>
                <w:spacing w:val="-14"/>
                <w:sz w:val="18"/>
                <w:szCs w:val="18"/>
              </w:rPr>
              <w:t>0.43</w:t>
            </w:r>
          </w:p>
        </w:tc>
        <w:tc>
          <w:tcPr>
            <w:tcW w:w="1166" w:type="dxa"/>
            <w:vAlign w:val="top"/>
          </w:tcPr>
          <w:p>
            <w:pPr>
              <w:spacing w:before="132" w:line="236" w:lineRule="auto"/>
              <w:ind w:left="416"/>
              <w:rPr>
                <w:rFonts w:ascii="宋体" w:hAnsi="宋体" w:eastAsia="宋体" w:cs="宋体"/>
                <w:sz w:val="18"/>
                <w:szCs w:val="18"/>
              </w:rPr>
            </w:pPr>
            <w:r>
              <w:rPr>
                <w:rFonts w:ascii="宋体" w:hAnsi="宋体" w:eastAsia="宋体" w:cs="宋体"/>
                <w:spacing w:val="-14"/>
                <w:sz w:val="18"/>
                <w:szCs w:val="18"/>
              </w:rPr>
              <w:t>0.49</w:t>
            </w:r>
          </w:p>
        </w:tc>
        <w:tc>
          <w:tcPr>
            <w:tcW w:w="1107" w:type="dxa"/>
            <w:vAlign w:val="top"/>
          </w:tcPr>
          <w:p>
            <w:pPr>
              <w:spacing w:before="132" w:line="236" w:lineRule="auto"/>
              <w:ind w:left="390"/>
              <w:rPr>
                <w:rFonts w:ascii="宋体" w:hAnsi="宋体" w:eastAsia="宋体" w:cs="宋体"/>
                <w:sz w:val="18"/>
                <w:szCs w:val="18"/>
              </w:rPr>
            </w:pPr>
            <w:r>
              <w:rPr>
                <w:rFonts w:ascii="宋体" w:hAnsi="宋体" w:eastAsia="宋体" w:cs="宋体"/>
                <w:spacing w:val="-14"/>
                <w:sz w:val="18"/>
                <w:szCs w:val="18"/>
              </w:rPr>
              <w:t>0.10</w:t>
            </w:r>
          </w:p>
        </w:tc>
        <w:tc>
          <w:tcPr>
            <w:tcW w:w="1204" w:type="dxa"/>
            <w:tcBorders>
              <w:right w:val="single" w:color="000000" w:sz="4" w:space="0"/>
            </w:tcBorders>
            <w:vAlign w:val="top"/>
          </w:tcPr>
          <w:p>
            <w:pPr>
              <w:spacing w:before="132" w:line="236" w:lineRule="auto"/>
              <w:ind w:left="432"/>
              <w:rPr>
                <w:rFonts w:ascii="宋体" w:hAnsi="宋体" w:eastAsia="宋体" w:cs="宋体"/>
                <w:sz w:val="18"/>
                <w:szCs w:val="18"/>
              </w:rPr>
            </w:pPr>
            <w:r>
              <w:rPr>
                <w:rFonts w:ascii="宋体" w:hAnsi="宋体" w:eastAsia="宋体" w:cs="宋体"/>
                <w:spacing w:val="-14"/>
                <w:sz w:val="18"/>
                <w:szCs w:val="18"/>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22" w:line="211" w:lineRule="auto"/>
              <w:ind w:left="532"/>
              <w:rPr>
                <w:rFonts w:ascii="宋体" w:hAnsi="宋体" w:eastAsia="宋体" w:cs="宋体"/>
                <w:sz w:val="18"/>
                <w:szCs w:val="18"/>
              </w:rPr>
            </w:pPr>
            <w:r>
              <w:rPr>
                <w:rFonts w:ascii="宋体" w:hAnsi="宋体" w:eastAsia="宋体" w:cs="宋体"/>
                <w:spacing w:val="-3"/>
                <w:sz w:val="18"/>
                <w:szCs w:val="18"/>
              </w:rPr>
              <w:t>燃气工程</w:t>
            </w:r>
          </w:p>
        </w:tc>
        <w:tc>
          <w:tcPr>
            <w:tcW w:w="972" w:type="dxa"/>
            <w:vAlign w:val="top"/>
          </w:tcPr>
          <w:p>
            <w:pPr>
              <w:spacing w:before="134" w:line="234" w:lineRule="auto"/>
              <w:ind w:left="336"/>
              <w:rPr>
                <w:rFonts w:ascii="宋体" w:hAnsi="宋体" w:eastAsia="宋体" w:cs="宋体"/>
                <w:sz w:val="18"/>
                <w:szCs w:val="18"/>
              </w:rPr>
            </w:pPr>
            <w:r>
              <w:rPr>
                <w:rFonts w:ascii="宋体" w:hAnsi="宋体" w:eastAsia="宋体" w:cs="宋体"/>
                <w:spacing w:val="-19"/>
                <w:sz w:val="18"/>
                <w:szCs w:val="18"/>
              </w:rPr>
              <w:t>1.06</w:t>
            </w:r>
          </w:p>
        </w:tc>
        <w:tc>
          <w:tcPr>
            <w:tcW w:w="1062" w:type="dxa"/>
            <w:vAlign w:val="top"/>
          </w:tcPr>
          <w:p>
            <w:pPr>
              <w:spacing w:before="134" w:line="234" w:lineRule="auto"/>
              <w:ind w:left="384"/>
              <w:rPr>
                <w:rFonts w:ascii="宋体" w:hAnsi="宋体" w:eastAsia="宋体" w:cs="宋体"/>
                <w:sz w:val="18"/>
                <w:szCs w:val="18"/>
              </w:rPr>
            </w:pPr>
            <w:r>
              <w:rPr>
                <w:rFonts w:ascii="宋体" w:hAnsi="宋体" w:eastAsia="宋体" w:cs="宋体"/>
                <w:spacing w:val="-19"/>
                <w:sz w:val="18"/>
                <w:szCs w:val="18"/>
              </w:rPr>
              <w:t>1.32</w:t>
            </w:r>
          </w:p>
        </w:tc>
        <w:tc>
          <w:tcPr>
            <w:tcW w:w="1092" w:type="dxa"/>
            <w:vAlign w:val="top"/>
          </w:tcPr>
          <w:p>
            <w:pPr>
              <w:spacing w:before="134" w:line="234" w:lineRule="auto"/>
              <w:ind w:left="402"/>
              <w:rPr>
                <w:rFonts w:ascii="宋体" w:hAnsi="宋体" w:eastAsia="宋体" w:cs="宋体"/>
                <w:sz w:val="18"/>
                <w:szCs w:val="18"/>
              </w:rPr>
            </w:pPr>
            <w:r>
              <w:rPr>
                <w:rFonts w:ascii="宋体" w:hAnsi="宋体" w:eastAsia="宋体" w:cs="宋体"/>
                <w:spacing w:val="-19"/>
                <w:sz w:val="18"/>
                <w:szCs w:val="18"/>
              </w:rPr>
              <w:t>1.07</w:t>
            </w:r>
          </w:p>
        </w:tc>
        <w:tc>
          <w:tcPr>
            <w:tcW w:w="1166" w:type="dxa"/>
            <w:vAlign w:val="top"/>
          </w:tcPr>
          <w:p>
            <w:pPr>
              <w:spacing w:before="134" w:line="234" w:lineRule="auto"/>
              <w:ind w:left="416"/>
              <w:rPr>
                <w:rFonts w:ascii="宋体" w:hAnsi="宋体" w:eastAsia="宋体" w:cs="宋体"/>
                <w:sz w:val="18"/>
                <w:szCs w:val="18"/>
              </w:rPr>
            </w:pPr>
            <w:r>
              <w:rPr>
                <w:rFonts w:ascii="宋体" w:hAnsi="宋体" w:eastAsia="宋体" w:cs="宋体"/>
                <w:spacing w:val="-14"/>
                <w:sz w:val="18"/>
                <w:szCs w:val="18"/>
              </w:rPr>
              <w:t>0.68</w:t>
            </w:r>
          </w:p>
        </w:tc>
        <w:tc>
          <w:tcPr>
            <w:tcW w:w="1107" w:type="dxa"/>
            <w:vAlign w:val="top"/>
          </w:tcPr>
          <w:p>
            <w:pPr>
              <w:spacing w:before="134" w:line="234" w:lineRule="auto"/>
              <w:ind w:left="390"/>
              <w:rPr>
                <w:rFonts w:ascii="宋体" w:hAnsi="宋体" w:eastAsia="宋体" w:cs="宋体"/>
                <w:sz w:val="18"/>
                <w:szCs w:val="18"/>
              </w:rPr>
            </w:pPr>
            <w:r>
              <w:rPr>
                <w:rFonts w:ascii="宋体" w:hAnsi="宋体" w:eastAsia="宋体" w:cs="宋体"/>
                <w:spacing w:val="-14"/>
                <w:sz w:val="18"/>
                <w:szCs w:val="18"/>
              </w:rPr>
              <w:t>0.69</w:t>
            </w:r>
          </w:p>
        </w:tc>
        <w:tc>
          <w:tcPr>
            <w:tcW w:w="1204" w:type="dxa"/>
            <w:tcBorders>
              <w:right w:val="single" w:color="000000" w:sz="4" w:space="0"/>
            </w:tcBorders>
            <w:vAlign w:val="top"/>
          </w:tcPr>
          <w:p>
            <w:pPr>
              <w:spacing w:before="134" w:line="234" w:lineRule="auto"/>
              <w:ind w:left="432"/>
              <w:rPr>
                <w:rFonts w:ascii="宋体" w:hAnsi="宋体" w:eastAsia="宋体" w:cs="宋体"/>
                <w:sz w:val="18"/>
                <w:szCs w:val="18"/>
              </w:rPr>
            </w:pPr>
            <w:r>
              <w:rPr>
                <w:rFonts w:ascii="宋体" w:hAnsi="宋体" w:eastAsia="宋体" w:cs="宋体"/>
                <w:spacing w:val="-14"/>
                <w:sz w:val="18"/>
                <w:szCs w:val="18"/>
              </w:rPr>
              <w:t>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16" w:line="240" w:lineRule="exact"/>
              <w:ind w:left="534"/>
              <w:rPr>
                <w:rFonts w:ascii="宋体" w:hAnsi="宋体" w:eastAsia="宋体" w:cs="宋体"/>
                <w:sz w:val="18"/>
                <w:szCs w:val="18"/>
              </w:rPr>
            </w:pPr>
            <w:r>
              <w:rPr>
                <w:rFonts w:ascii="宋体" w:hAnsi="宋体" w:eastAsia="宋体" w:cs="宋体"/>
                <w:spacing w:val="-3"/>
                <w:position w:val="1"/>
                <w:sz w:val="18"/>
                <w:szCs w:val="18"/>
              </w:rPr>
              <w:t>供热工程</w:t>
            </w:r>
          </w:p>
        </w:tc>
        <w:tc>
          <w:tcPr>
            <w:tcW w:w="972" w:type="dxa"/>
            <w:vAlign w:val="top"/>
          </w:tcPr>
          <w:p>
            <w:pPr>
              <w:spacing w:before="135" w:line="232" w:lineRule="auto"/>
              <w:ind w:left="336"/>
              <w:rPr>
                <w:rFonts w:ascii="宋体" w:hAnsi="宋体" w:eastAsia="宋体" w:cs="宋体"/>
                <w:sz w:val="18"/>
                <w:szCs w:val="18"/>
              </w:rPr>
            </w:pPr>
            <w:r>
              <w:rPr>
                <w:rFonts w:ascii="宋体" w:hAnsi="宋体" w:eastAsia="宋体" w:cs="宋体"/>
                <w:spacing w:val="-19"/>
                <w:sz w:val="18"/>
                <w:szCs w:val="18"/>
              </w:rPr>
              <w:t>1.00</w:t>
            </w:r>
          </w:p>
        </w:tc>
        <w:tc>
          <w:tcPr>
            <w:tcW w:w="1062" w:type="dxa"/>
            <w:vAlign w:val="top"/>
          </w:tcPr>
          <w:p>
            <w:pPr>
              <w:spacing w:before="135" w:line="232" w:lineRule="auto"/>
              <w:ind w:left="384"/>
              <w:rPr>
                <w:rFonts w:ascii="宋体" w:hAnsi="宋体" w:eastAsia="宋体" w:cs="宋体"/>
                <w:sz w:val="18"/>
                <w:szCs w:val="18"/>
              </w:rPr>
            </w:pPr>
            <w:r>
              <w:rPr>
                <w:rFonts w:ascii="宋体" w:hAnsi="宋体" w:eastAsia="宋体" w:cs="宋体"/>
                <w:spacing w:val="-19"/>
                <w:sz w:val="18"/>
                <w:szCs w:val="18"/>
              </w:rPr>
              <w:t>1.31</w:t>
            </w:r>
          </w:p>
        </w:tc>
        <w:tc>
          <w:tcPr>
            <w:tcW w:w="1092" w:type="dxa"/>
            <w:vAlign w:val="top"/>
          </w:tcPr>
          <w:p>
            <w:pPr>
              <w:spacing w:before="135" w:line="232" w:lineRule="auto"/>
              <w:ind w:left="402"/>
              <w:rPr>
                <w:rFonts w:ascii="宋体" w:hAnsi="宋体" w:eastAsia="宋体" w:cs="宋体"/>
                <w:sz w:val="18"/>
                <w:szCs w:val="18"/>
              </w:rPr>
            </w:pPr>
            <w:r>
              <w:rPr>
                <w:rFonts w:ascii="宋体" w:hAnsi="宋体" w:eastAsia="宋体" w:cs="宋体"/>
                <w:spacing w:val="-19"/>
                <w:sz w:val="18"/>
                <w:szCs w:val="18"/>
              </w:rPr>
              <w:t>1.00</w:t>
            </w:r>
          </w:p>
        </w:tc>
        <w:tc>
          <w:tcPr>
            <w:tcW w:w="1166" w:type="dxa"/>
            <w:vAlign w:val="top"/>
          </w:tcPr>
          <w:p>
            <w:pPr>
              <w:spacing w:before="135" w:line="232" w:lineRule="auto"/>
              <w:ind w:left="416"/>
              <w:rPr>
                <w:rFonts w:ascii="宋体" w:hAnsi="宋体" w:eastAsia="宋体" w:cs="宋体"/>
                <w:sz w:val="18"/>
                <w:szCs w:val="18"/>
              </w:rPr>
            </w:pPr>
            <w:r>
              <w:rPr>
                <w:rFonts w:ascii="宋体" w:hAnsi="宋体" w:eastAsia="宋体" w:cs="宋体"/>
                <w:spacing w:val="-14"/>
                <w:sz w:val="18"/>
                <w:szCs w:val="18"/>
              </w:rPr>
              <w:t>0.53</w:t>
            </w:r>
          </w:p>
        </w:tc>
        <w:tc>
          <w:tcPr>
            <w:tcW w:w="1107" w:type="dxa"/>
            <w:vAlign w:val="top"/>
          </w:tcPr>
          <w:p>
            <w:pPr>
              <w:spacing w:before="135" w:line="232" w:lineRule="auto"/>
              <w:ind w:left="390"/>
              <w:rPr>
                <w:rFonts w:ascii="宋体" w:hAnsi="宋体" w:eastAsia="宋体" w:cs="宋体"/>
                <w:sz w:val="18"/>
                <w:szCs w:val="18"/>
              </w:rPr>
            </w:pPr>
            <w:r>
              <w:rPr>
                <w:rFonts w:ascii="宋体" w:hAnsi="宋体" w:eastAsia="宋体" w:cs="宋体"/>
                <w:spacing w:val="-14"/>
                <w:sz w:val="18"/>
                <w:szCs w:val="18"/>
              </w:rPr>
              <w:t>0.52</w:t>
            </w:r>
          </w:p>
        </w:tc>
        <w:tc>
          <w:tcPr>
            <w:tcW w:w="1204" w:type="dxa"/>
            <w:tcBorders>
              <w:right w:val="single" w:color="000000" w:sz="4" w:space="0"/>
            </w:tcBorders>
            <w:vAlign w:val="top"/>
          </w:tcPr>
          <w:p>
            <w:pPr>
              <w:spacing w:before="135" w:line="232" w:lineRule="auto"/>
              <w:ind w:left="432"/>
              <w:rPr>
                <w:rFonts w:ascii="宋体" w:hAnsi="宋体" w:eastAsia="宋体" w:cs="宋体"/>
                <w:sz w:val="18"/>
                <w:szCs w:val="18"/>
              </w:rPr>
            </w:pPr>
            <w:r>
              <w:rPr>
                <w:rFonts w:ascii="宋体" w:hAnsi="宋体" w:eastAsia="宋体" w:cs="宋体"/>
                <w:spacing w:val="-14"/>
                <w:sz w:val="18"/>
                <w:szCs w:val="18"/>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25" w:line="210" w:lineRule="auto"/>
              <w:ind w:left="447"/>
              <w:rPr>
                <w:rFonts w:ascii="宋体" w:hAnsi="宋体" w:eastAsia="宋体" w:cs="宋体"/>
                <w:sz w:val="18"/>
                <w:szCs w:val="18"/>
              </w:rPr>
            </w:pPr>
            <w:r>
              <w:rPr>
                <w:rFonts w:ascii="宋体" w:hAnsi="宋体" w:eastAsia="宋体" w:cs="宋体"/>
                <w:spacing w:val="-3"/>
                <w:sz w:val="18"/>
                <w:szCs w:val="18"/>
              </w:rPr>
              <w:t>水处理工程</w:t>
            </w:r>
          </w:p>
        </w:tc>
        <w:tc>
          <w:tcPr>
            <w:tcW w:w="972" w:type="dxa"/>
            <w:vAlign w:val="top"/>
          </w:tcPr>
          <w:p>
            <w:pPr>
              <w:spacing w:before="137" w:line="231" w:lineRule="auto"/>
              <w:ind w:left="309"/>
              <w:rPr>
                <w:rFonts w:ascii="宋体" w:hAnsi="宋体" w:eastAsia="宋体" w:cs="宋体"/>
                <w:sz w:val="18"/>
                <w:szCs w:val="18"/>
              </w:rPr>
            </w:pPr>
            <w:r>
              <w:rPr>
                <w:rFonts w:ascii="宋体" w:hAnsi="宋体" w:eastAsia="宋体" w:cs="宋体"/>
                <w:spacing w:val="-14"/>
                <w:sz w:val="18"/>
                <w:szCs w:val="18"/>
              </w:rPr>
              <w:t>0.50</w:t>
            </w:r>
          </w:p>
        </w:tc>
        <w:tc>
          <w:tcPr>
            <w:tcW w:w="1062" w:type="dxa"/>
            <w:vAlign w:val="top"/>
          </w:tcPr>
          <w:p>
            <w:pPr>
              <w:spacing w:before="137" w:line="231" w:lineRule="auto"/>
              <w:ind w:left="357"/>
              <w:rPr>
                <w:rFonts w:ascii="宋体" w:hAnsi="宋体" w:eastAsia="宋体" w:cs="宋体"/>
                <w:sz w:val="18"/>
                <w:szCs w:val="18"/>
              </w:rPr>
            </w:pPr>
            <w:r>
              <w:rPr>
                <w:rFonts w:ascii="宋体" w:hAnsi="宋体" w:eastAsia="宋体" w:cs="宋体"/>
                <w:spacing w:val="-14"/>
                <w:sz w:val="18"/>
                <w:szCs w:val="18"/>
              </w:rPr>
              <w:t>0.89</w:t>
            </w:r>
          </w:p>
        </w:tc>
        <w:tc>
          <w:tcPr>
            <w:tcW w:w="1092" w:type="dxa"/>
            <w:vAlign w:val="top"/>
          </w:tcPr>
          <w:p>
            <w:pPr>
              <w:spacing w:before="137" w:line="231" w:lineRule="auto"/>
              <w:ind w:left="375"/>
              <w:rPr>
                <w:rFonts w:ascii="宋体" w:hAnsi="宋体" w:eastAsia="宋体" w:cs="宋体"/>
                <w:sz w:val="18"/>
                <w:szCs w:val="18"/>
              </w:rPr>
            </w:pPr>
            <w:r>
              <w:rPr>
                <w:rFonts w:ascii="宋体" w:hAnsi="宋体" w:eastAsia="宋体" w:cs="宋体"/>
                <w:spacing w:val="-14"/>
                <w:sz w:val="18"/>
                <w:szCs w:val="18"/>
              </w:rPr>
              <w:t>0.52</w:t>
            </w:r>
          </w:p>
        </w:tc>
        <w:tc>
          <w:tcPr>
            <w:tcW w:w="1166" w:type="dxa"/>
            <w:vAlign w:val="top"/>
          </w:tcPr>
          <w:p>
            <w:pPr>
              <w:spacing w:before="137" w:line="231" w:lineRule="auto"/>
              <w:ind w:left="416"/>
              <w:rPr>
                <w:rFonts w:ascii="宋体" w:hAnsi="宋体" w:eastAsia="宋体" w:cs="宋体"/>
                <w:sz w:val="18"/>
                <w:szCs w:val="18"/>
              </w:rPr>
            </w:pPr>
            <w:r>
              <w:rPr>
                <w:rFonts w:ascii="宋体" w:hAnsi="宋体" w:eastAsia="宋体" w:cs="宋体"/>
                <w:spacing w:val="-14"/>
                <w:sz w:val="18"/>
                <w:szCs w:val="18"/>
              </w:rPr>
              <w:t>0.89</w:t>
            </w:r>
          </w:p>
        </w:tc>
        <w:tc>
          <w:tcPr>
            <w:tcW w:w="1107" w:type="dxa"/>
            <w:vAlign w:val="top"/>
          </w:tcPr>
          <w:p>
            <w:pPr>
              <w:spacing w:before="137" w:line="231" w:lineRule="auto"/>
              <w:ind w:left="390"/>
              <w:rPr>
                <w:rFonts w:ascii="宋体" w:hAnsi="宋体" w:eastAsia="宋体" w:cs="宋体"/>
                <w:sz w:val="18"/>
                <w:szCs w:val="18"/>
              </w:rPr>
            </w:pPr>
            <w:r>
              <w:rPr>
                <w:rFonts w:ascii="宋体" w:hAnsi="宋体" w:eastAsia="宋体" w:cs="宋体"/>
                <w:spacing w:val="-14"/>
                <w:sz w:val="18"/>
                <w:szCs w:val="18"/>
              </w:rPr>
              <w:t>0.11</w:t>
            </w:r>
          </w:p>
        </w:tc>
        <w:tc>
          <w:tcPr>
            <w:tcW w:w="1204" w:type="dxa"/>
            <w:tcBorders>
              <w:right w:val="single" w:color="000000" w:sz="4" w:space="0"/>
            </w:tcBorders>
            <w:vAlign w:val="top"/>
          </w:tcPr>
          <w:p>
            <w:pPr>
              <w:spacing w:before="137" w:line="231" w:lineRule="auto"/>
              <w:ind w:left="432"/>
              <w:rPr>
                <w:rFonts w:ascii="宋体" w:hAnsi="宋体" w:eastAsia="宋体" w:cs="宋体"/>
                <w:sz w:val="18"/>
                <w:szCs w:val="18"/>
              </w:rPr>
            </w:pPr>
            <w:r>
              <w:rPr>
                <w:rFonts w:ascii="宋体" w:hAnsi="宋体" w:eastAsia="宋体" w:cs="宋体"/>
                <w:spacing w:val="-14"/>
                <w:sz w:val="18"/>
                <w:szCs w:val="18"/>
              </w:rPr>
              <w:t>0.29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29" w:line="208" w:lineRule="auto"/>
              <w:ind w:left="179"/>
              <w:rPr>
                <w:rFonts w:ascii="宋体" w:hAnsi="宋体" w:eastAsia="宋体" w:cs="宋体"/>
                <w:sz w:val="18"/>
                <w:szCs w:val="18"/>
              </w:rPr>
            </w:pPr>
            <w:r>
              <w:rPr>
                <w:rFonts w:ascii="宋体" w:hAnsi="宋体" w:eastAsia="宋体" w:cs="宋体"/>
                <w:spacing w:val="-4"/>
                <w:sz w:val="18"/>
                <w:szCs w:val="18"/>
              </w:rPr>
              <w:t>生活垃圾处理工程</w:t>
            </w:r>
          </w:p>
        </w:tc>
        <w:tc>
          <w:tcPr>
            <w:tcW w:w="972" w:type="dxa"/>
            <w:vAlign w:val="top"/>
          </w:tcPr>
          <w:p>
            <w:pPr>
              <w:spacing w:before="138" w:line="229" w:lineRule="auto"/>
              <w:ind w:left="309"/>
              <w:rPr>
                <w:rFonts w:ascii="宋体" w:hAnsi="宋体" w:eastAsia="宋体" w:cs="宋体"/>
                <w:sz w:val="18"/>
                <w:szCs w:val="18"/>
              </w:rPr>
            </w:pPr>
            <w:r>
              <w:rPr>
                <w:rFonts w:ascii="宋体" w:hAnsi="宋体" w:eastAsia="宋体" w:cs="宋体"/>
                <w:spacing w:val="-14"/>
                <w:sz w:val="18"/>
                <w:szCs w:val="18"/>
              </w:rPr>
              <w:t>0.80</w:t>
            </w:r>
          </w:p>
        </w:tc>
        <w:tc>
          <w:tcPr>
            <w:tcW w:w="1062" w:type="dxa"/>
            <w:vAlign w:val="top"/>
          </w:tcPr>
          <w:p>
            <w:pPr>
              <w:spacing w:before="138" w:line="229" w:lineRule="auto"/>
              <w:ind w:left="384"/>
              <w:rPr>
                <w:rFonts w:ascii="宋体" w:hAnsi="宋体" w:eastAsia="宋体" w:cs="宋体"/>
                <w:sz w:val="18"/>
                <w:szCs w:val="18"/>
              </w:rPr>
            </w:pPr>
            <w:r>
              <w:rPr>
                <w:rFonts w:ascii="宋体" w:hAnsi="宋体" w:eastAsia="宋体" w:cs="宋体"/>
                <w:spacing w:val="-19"/>
                <w:sz w:val="18"/>
                <w:szCs w:val="18"/>
              </w:rPr>
              <w:t>1.31</w:t>
            </w:r>
          </w:p>
        </w:tc>
        <w:tc>
          <w:tcPr>
            <w:tcW w:w="1092" w:type="dxa"/>
            <w:vAlign w:val="top"/>
          </w:tcPr>
          <w:p>
            <w:pPr>
              <w:spacing w:before="138" w:line="229" w:lineRule="auto"/>
              <w:ind w:left="375"/>
              <w:rPr>
                <w:rFonts w:ascii="宋体" w:hAnsi="宋体" w:eastAsia="宋体" w:cs="宋体"/>
                <w:sz w:val="18"/>
                <w:szCs w:val="18"/>
              </w:rPr>
            </w:pPr>
            <w:r>
              <w:rPr>
                <w:rFonts w:ascii="宋体" w:hAnsi="宋体" w:eastAsia="宋体" w:cs="宋体"/>
                <w:spacing w:val="-14"/>
                <w:sz w:val="18"/>
                <w:szCs w:val="18"/>
              </w:rPr>
              <w:t>0.82</w:t>
            </w:r>
          </w:p>
        </w:tc>
        <w:tc>
          <w:tcPr>
            <w:tcW w:w="1166" w:type="dxa"/>
            <w:vAlign w:val="top"/>
          </w:tcPr>
          <w:p>
            <w:pPr>
              <w:spacing w:before="138" w:line="229" w:lineRule="auto"/>
              <w:ind w:left="416"/>
              <w:rPr>
                <w:rFonts w:ascii="宋体" w:hAnsi="宋体" w:eastAsia="宋体" w:cs="宋体"/>
                <w:sz w:val="18"/>
                <w:szCs w:val="18"/>
              </w:rPr>
            </w:pPr>
            <w:r>
              <w:rPr>
                <w:rFonts w:ascii="宋体" w:hAnsi="宋体" w:eastAsia="宋体" w:cs="宋体"/>
                <w:spacing w:val="-14"/>
                <w:sz w:val="18"/>
                <w:szCs w:val="18"/>
              </w:rPr>
              <w:t>0.57</w:t>
            </w:r>
          </w:p>
        </w:tc>
        <w:tc>
          <w:tcPr>
            <w:tcW w:w="1107" w:type="dxa"/>
            <w:vAlign w:val="top"/>
          </w:tcPr>
          <w:p>
            <w:pPr>
              <w:spacing w:before="138" w:line="229" w:lineRule="auto"/>
              <w:ind w:left="390"/>
              <w:rPr>
                <w:rFonts w:ascii="宋体" w:hAnsi="宋体" w:eastAsia="宋体" w:cs="宋体"/>
                <w:sz w:val="18"/>
                <w:szCs w:val="18"/>
              </w:rPr>
            </w:pPr>
            <w:r>
              <w:rPr>
                <w:rFonts w:ascii="宋体" w:hAnsi="宋体" w:eastAsia="宋体" w:cs="宋体"/>
                <w:spacing w:val="-14"/>
                <w:sz w:val="18"/>
                <w:szCs w:val="18"/>
              </w:rPr>
              <w:t>0.19</w:t>
            </w:r>
          </w:p>
        </w:tc>
        <w:tc>
          <w:tcPr>
            <w:tcW w:w="1204" w:type="dxa"/>
            <w:tcBorders>
              <w:right w:val="single" w:color="000000" w:sz="4" w:space="0"/>
            </w:tcBorders>
            <w:vAlign w:val="top"/>
          </w:tcPr>
          <w:p>
            <w:pPr>
              <w:spacing w:before="138" w:line="229" w:lineRule="auto"/>
              <w:ind w:left="432"/>
              <w:rPr>
                <w:rFonts w:ascii="宋体" w:hAnsi="宋体" w:eastAsia="宋体" w:cs="宋体"/>
                <w:sz w:val="18"/>
                <w:szCs w:val="18"/>
              </w:rPr>
            </w:pPr>
            <w:r>
              <w:rPr>
                <w:rFonts w:ascii="宋体" w:hAnsi="宋体" w:eastAsia="宋体" w:cs="宋体"/>
                <w:spacing w:val="-14"/>
                <w:sz w:val="18"/>
                <w:szCs w:val="18"/>
              </w:rPr>
              <w:t>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805" w:type="dxa"/>
            <w:vMerge w:val="continue"/>
            <w:tcBorders>
              <w:top w:val="nil"/>
              <w:left w:val="single" w:color="000000" w:sz="4" w:space="0"/>
              <w:bottom w:val="nil"/>
            </w:tcBorders>
            <w:textDirection w:val="tbRlV"/>
            <w:vAlign w:val="top"/>
          </w:tcPr>
          <w:p>
            <w:pPr>
              <w:pStyle w:val="6"/>
            </w:pPr>
          </w:p>
        </w:tc>
        <w:tc>
          <w:tcPr>
            <w:tcW w:w="1671" w:type="dxa"/>
            <w:vAlign w:val="top"/>
          </w:tcPr>
          <w:p>
            <w:pPr>
              <w:spacing w:before="127" w:line="211" w:lineRule="auto"/>
              <w:ind w:left="538"/>
              <w:rPr>
                <w:rFonts w:ascii="宋体" w:hAnsi="宋体" w:eastAsia="宋体" w:cs="宋体"/>
                <w:sz w:val="18"/>
                <w:szCs w:val="18"/>
              </w:rPr>
            </w:pPr>
            <w:r>
              <w:rPr>
                <w:rFonts w:ascii="宋体" w:hAnsi="宋体" w:eastAsia="宋体" w:cs="宋体"/>
                <w:spacing w:val="-5"/>
                <w:sz w:val="18"/>
                <w:szCs w:val="18"/>
              </w:rPr>
              <w:t>路灯工程</w:t>
            </w:r>
          </w:p>
        </w:tc>
        <w:tc>
          <w:tcPr>
            <w:tcW w:w="972" w:type="dxa"/>
            <w:vAlign w:val="top"/>
          </w:tcPr>
          <w:p>
            <w:pPr>
              <w:spacing w:before="138" w:line="229" w:lineRule="auto"/>
              <w:ind w:left="309"/>
              <w:rPr>
                <w:rFonts w:ascii="宋体" w:hAnsi="宋体" w:eastAsia="宋体" w:cs="宋体"/>
                <w:sz w:val="18"/>
                <w:szCs w:val="18"/>
              </w:rPr>
            </w:pPr>
            <w:r>
              <w:rPr>
                <w:rFonts w:ascii="宋体" w:hAnsi="宋体" w:eastAsia="宋体" w:cs="宋体"/>
                <w:spacing w:val="-14"/>
                <w:sz w:val="18"/>
                <w:szCs w:val="18"/>
              </w:rPr>
              <w:t>0.56</w:t>
            </w:r>
          </w:p>
        </w:tc>
        <w:tc>
          <w:tcPr>
            <w:tcW w:w="1062" w:type="dxa"/>
            <w:vAlign w:val="top"/>
          </w:tcPr>
          <w:p>
            <w:pPr>
              <w:spacing w:before="138" w:line="229" w:lineRule="auto"/>
              <w:ind w:left="357"/>
              <w:rPr>
                <w:rFonts w:ascii="宋体" w:hAnsi="宋体" w:eastAsia="宋体" w:cs="宋体"/>
                <w:sz w:val="18"/>
                <w:szCs w:val="18"/>
              </w:rPr>
            </w:pPr>
            <w:r>
              <w:rPr>
                <w:rFonts w:ascii="宋体" w:hAnsi="宋体" w:eastAsia="宋体" w:cs="宋体"/>
                <w:spacing w:val="-14"/>
                <w:sz w:val="18"/>
                <w:szCs w:val="18"/>
              </w:rPr>
              <w:t>0.80</w:t>
            </w:r>
          </w:p>
        </w:tc>
        <w:tc>
          <w:tcPr>
            <w:tcW w:w="1092" w:type="dxa"/>
            <w:vAlign w:val="top"/>
          </w:tcPr>
          <w:p>
            <w:pPr>
              <w:spacing w:before="138" w:line="229" w:lineRule="auto"/>
              <w:ind w:left="375"/>
              <w:rPr>
                <w:rFonts w:ascii="宋体" w:hAnsi="宋体" w:eastAsia="宋体" w:cs="宋体"/>
                <w:sz w:val="18"/>
                <w:szCs w:val="18"/>
              </w:rPr>
            </w:pPr>
            <w:r>
              <w:rPr>
                <w:rFonts w:ascii="宋体" w:hAnsi="宋体" w:eastAsia="宋体" w:cs="宋体"/>
                <w:spacing w:val="-14"/>
                <w:sz w:val="18"/>
                <w:szCs w:val="18"/>
              </w:rPr>
              <w:t>0.79</w:t>
            </w:r>
          </w:p>
        </w:tc>
        <w:tc>
          <w:tcPr>
            <w:tcW w:w="1166" w:type="dxa"/>
            <w:vAlign w:val="top"/>
          </w:tcPr>
          <w:p>
            <w:pPr>
              <w:spacing w:before="138" w:line="229" w:lineRule="auto"/>
              <w:ind w:left="416"/>
              <w:rPr>
                <w:rFonts w:ascii="宋体" w:hAnsi="宋体" w:eastAsia="宋体" w:cs="宋体"/>
                <w:sz w:val="18"/>
                <w:szCs w:val="18"/>
              </w:rPr>
            </w:pPr>
            <w:r>
              <w:rPr>
                <w:rFonts w:ascii="宋体" w:hAnsi="宋体" w:eastAsia="宋体" w:cs="宋体"/>
                <w:spacing w:val="-14"/>
                <w:sz w:val="18"/>
                <w:szCs w:val="18"/>
              </w:rPr>
              <w:t>0.72</w:t>
            </w:r>
          </w:p>
        </w:tc>
        <w:tc>
          <w:tcPr>
            <w:tcW w:w="1107" w:type="dxa"/>
            <w:vAlign w:val="top"/>
          </w:tcPr>
          <w:p>
            <w:pPr>
              <w:spacing w:before="138" w:line="229" w:lineRule="auto"/>
              <w:ind w:left="390"/>
              <w:rPr>
                <w:rFonts w:ascii="宋体" w:hAnsi="宋体" w:eastAsia="宋体" w:cs="宋体"/>
                <w:sz w:val="18"/>
                <w:szCs w:val="18"/>
              </w:rPr>
            </w:pPr>
            <w:r>
              <w:rPr>
                <w:rFonts w:ascii="宋体" w:hAnsi="宋体" w:eastAsia="宋体" w:cs="宋体"/>
                <w:spacing w:val="-14"/>
                <w:sz w:val="18"/>
                <w:szCs w:val="18"/>
              </w:rPr>
              <w:t>0.10</w:t>
            </w:r>
          </w:p>
        </w:tc>
        <w:tc>
          <w:tcPr>
            <w:tcW w:w="1204" w:type="dxa"/>
            <w:tcBorders>
              <w:right w:val="single" w:color="000000" w:sz="4" w:space="0"/>
            </w:tcBorders>
            <w:vAlign w:val="top"/>
          </w:tcPr>
          <w:p>
            <w:pPr>
              <w:spacing w:before="138" w:line="229" w:lineRule="auto"/>
              <w:ind w:left="432"/>
              <w:rPr>
                <w:rFonts w:ascii="宋体" w:hAnsi="宋体" w:eastAsia="宋体" w:cs="宋体"/>
                <w:sz w:val="18"/>
                <w:szCs w:val="18"/>
              </w:rPr>
            </w:pPr>
            <w:r>
              <w:rPr>
                <w:rFonts w:ascii="宋体" w:hAnsi="宋体" w:eastAsia="宋体" w:cs="宋体"/>
                <w:spacing w:val="-14"/>
                <w:sz w:val="18"/>
                <w:szCs w:val="18"/>
              </w:rPr>
              <w:t>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805" w:type="dxa"/>
            <w:vMerge w:val="continue"/>
            <w:tcBorders>
              <w:top w:val="nil"/>
              <w:left w:val="single" w:color="000000" w:sz="4" w:space="0"/>
            </w:tcBorders>
            <w:textDirection w:val="tbRlV"/>
            <w:vAlign w:val="top"/>
          </w:tcPr>
          <w:p>
            <w:pPr>
              <w:pStyle w:val="6"/>
            </w:pPr>
          </w:p>
        </w:tc>
        <w:tc>
          <w:tcPr>
            <w:tcW w:w="1671" w:type="dxa"/>
            <w:vAlign w:val="top"/>
          </w:tcPr>
          <w:p>
            <w:pPr>
              <w:spacing w:before="56" w:line="211" w:lineRule="auto"/>
              <w:ind w:left="50"/>
              <w:rPr>
                <w:rFonts w:ascii="宋体" w:hAnsi="宋体" w:eastAsia="宋体" w:cs="宋体"/>
                <w:sz w:val="18"/>
                <w:szCs w:val="18"/>
              </w:rPr>
            </w:pPr>
            <w:r>
              <w:rPr>
                <w:rFonts w:ascii="宋体" w:hAnsi="宋体" w:eastAsia="宋体" w:cs="宋体"/>
                <w:spacing w:val="-4"/>
                <w:sz w:val="18"/>
                <w:szCs w:val="18"/>
              </w:rPr>
              <w:t>城市地下综合管廊工</w:t>
            </w:r>
          </w:p>
          <w:p>
            <w:pPr>
              <w:spacing w:before="46" w:line="202" w:lineRule="auto"/>
              <w:ind w:left="751"/>
              <w:rPr>
                <w:rFonts w:ascii="宋体" w:hAnsi="宋体" w:eastAsia="宋体" w:cs="宋体"/>
                <w:sz w:val="18"/>
                <w:szCs w:val="18"/>
              </w:rPr>
            </w:pPr>
            <w:r>
              <w:rPr>
                <w:rFonts w:ascii="宋体" w:hAnsi="宋体" w:eastAsia="宋体" w:cs="宋体"/>
                <w:sz w:val="18"/>
                <w:szCs w:val="18"/>
              </w:rPr>
              <w:t>程</w:t>
            </w:r>
          </w:p>
        </w:tc>
        <w:tc>
          <w:tcPr>
            <w:tcW w:w="972" w:type="dxa"/>
            <w:vAlign w:val="top"/>
          </w:tcPr>
          <w:p>
            <w:pPr>
              <w:spacing w:before="191" w:line="260" w:lineRule="exact"/>
              <w:ind w:left="309"/>
              <w:rPr>
                <w:rFonts w:ascii="宋体" w:hAnsi="宋体" w:eastAsia="宋体" w:cs="宋体"/>
                <w:sz w:val="18"/>
                <w:szCs w:val="18"/>
              </w:rPr>
            </w:pPr>
            <w:r>
              <w:rPr>
                <w:rFonts w:ascii="宋体" w:hAnsi="宋体" w:eastAsia="宋体" w:cs="宋体"/>
                <w:spacing w:val="-14"/>
                <w:position w:val="2"/>
                <w:sz w:val="18"/>
                <w:szCs w:val="18"/>
              </w:rPr>
              <w:t>0.28</w:t>
            </w:r>
          </w:p>
        </w:tc>
        <w:tc>
          <w:tcPr>
            <w:tcW w:w="1062" w:type="dxa"/>
            <w:vAlign w:val="top"/>
          </w:tcPr>
          <w:p>
            <w:pPr>
              <w:spacing w:before="191" w:line="260" w:lineRule="exact"/>
              <w:ind w:left="360"/>
              <w:rPr>
                <w:rFonts w:ascii="宋体" w:hAnsi="宋体" w:eastAsia="宋体" w:cs="宋体"/>
                <w:sz w:val="18"/>
                <w:szCs w:val="18"/>
              </w:rPr>
            </w:pPr>
            <w:r>
              <w:rPr>
                <w:rFonts w:ascii="宋体" w:hAnsi="宋体" w:eastAsia="宋体" w:cs="宋体"/>
                <w:spacing w:val="-15"/>
                <w:position w:val="2"/>
                <w:sz w:val="18"/>
                <w:szCs w:val="18"/>
              </w:rPr>
              <w:t>2.04</w:t>
            </w:r>
          </w:p>
        </w:tc>
        <w:tc>
          <w:tcPr>
            <w:tcW w:w="1092" w:type="dxa"/>
            <w:vAlign w:val="top"/>
          </w:tcPr>
          <w:p>
            <w:pPr>
              <w:spacing w:before="191" w:line="260" w:lineRule="exact"/>
              <w:ind w:left="375"/>
              <w:rPr>
                <w:rFonts w:ascii="宋体" w:hAnsi="宋体" w:eastAsia="宋体" w:cs="宋体"/>
                <w:sz w:val="18"/>
                <w:szCs w:val="18"/>
              </w:rPr>
            </w:pPr>
            <w:r>
              <w:rPr>
                <w:rFonts w:ascii="宋体" w:hAnsi="宋体" w:eastAsia="宋体" w:cs="宋体"/>
                <w:spacing w:val="-14"/>
                <w:position w:val="2"/>
                <w:sz w:val="18"/>
                <w:szCs w:val="18"/>
              </w:rPr>
              <w:t>0.28</w:t>
            </w:r>
          </w:p>
        </w:tc>
        <w:tc>
          <w:tcPr>
            <w:tcW w:w="1166" w:type="dxa"/>
            <w:vAlign w:val="top"/>
          </w:tcPr>
          <w:p>
            <w:pPr>
              <w:spacing w:before="191" w:line="260" w:lineRule="exact"/>
              <w:ind w:left="416"/>
              <w:rPr>
                <w:rFonts w:ascii="宋体" w:hAnsi="宋体" w:eastAsia="宋体" w:cs="宋体"/>
                <w:sz w:val="18"/>
                <w:szCs w:val="18"/>
              </w:rPr>
            </w:pPr>
            <w:r>
              <w:rPr>
                <w:rFonts w:ascii="宋体" w:hAnsi="宋体" w:eastAsia="宋体" w:cs="宋体"/>
                <w:spacing w:val="-14"/>
                <w:position w:val="2"/>
                <w:sz w:val="18"/>
                <w:szCs w:val="18"/>
              </w:rPr>
              <w:t>0.52</w:t>
            </w:r>
          </w:p>
        </w:tc>
        <w:tc>
          <w:tcPr>
            <w:tcW w:w="1107" w:type="dxa"/>
            <w:vAlign w:val="top"/>
          </w:tcPr>
          <w:p>
            <w:pPr>
              <w:spacing w:before="191" w:line="260" w:lineRule="exact"/>
              <w:ind w:left="390"/>
              <w:rPr>
                <w:rFonts w:ascii="宋体" w:hAnsi="宋体" w:eastAsia="宋体" w:cs="宋体"/>
                <w:sz w:val="18"/>
                <w:szCs w:val="18"/>
              </w:rPr>
            </w:pPr>
            <w:r>
              <w:rPr>
                <w:rFonts w:ascii="宋体" w:hAnsi="宋体" w:eastAsia="宋体" w:cs="宋体"/>
                <w:spacing w:val="-14"/>
                <w:position w:val="2"/>
                <w:sz w:val="18"/>
                <w:szCs w:val="18"/>
              </w:rPr>
              <w:t>0.09</w:t>
            </w:r>
          </w:p>
        </w:tc>
        <w:tc>
          <w:tcPr>
            <w:tcW w:w="1204" w:type="dxa"/>
            <w:tcBorders>
              <w:right w:val="single" w:color="000000" w:sz="4" w:space="0"/>
            </w:tcBorders>
            <w:vAlign w:val="top"/>
          </w:tcPr>
          <w:p>
            <w:pPr>
              <w:spacing w:before="191" w:line="260" w:lineRule="exact"/>
              <w:ind w:left="432"/>
              <w:rPr>
                <w:rFonts w:ascii="宋体" w:hAnsi="宋体" w:eastAsia="宋体" w:cs="宋体"/>
                <w:sz w:val="18"/>
                <w:szCs w:val="18"/>
              </w:rPr>
            </w:pPr>
            <w:r>
              <w:rPr>
                <w:rFonts w:ascii="宋体" w:hAnsi="宋体" w:eastAsia="宋体" w:cs="宋体"/>
                <w:spacing w:val="-14"/>
                <w:position w:val="2"/>
                <w:sz w:val="18"/>
                <w:szCs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805" w:type="dxa"/>
            <w:vMerge w:val="restart"/>
            <w:tcBorders>
              <w:left w:val="single" w:color="000000" w:sz="4" w:space="0"/>
              <w:bottom w:val="nil"/>
            </w:tcBorders>
            <w:vAlign w:val="top"/>
          </w:tcPr>
          <w:p>
            <w:pPr>
              <w:spacing w:before="67" w:line="210" w:lineRule="auto"/>
              <w:ind w:left="170"/>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63"/>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66"/>
              <w:rPr>
                <w:rFonts w:ascii="宋体" w:hAnsi="宋体" w:eastAsia="宋体" w:cs="宋体"/>
                <w:sz w:val="18"/>
                <w:szCs w:val="18"/>
              </w:rPr>
            </w:pPr>
            <w:r>
              <w:rPr>
                <w:rFonts w:ascii="宋体" w:hAnsi="宋体" w:eastAsia="宋体" w:cs="宋体"/>
                <w:spacing w:val="-3"/>
                <w:sz w:val="18"/>
                <w:szCs w:val="18"/>
              </w:rPr>
              <w:t>维修</w:t>
            </w:r>
          </w:p>
          <w:p>
            <w:pPr>
              <w:spacing w:before="61" w:line="202" w:lineRule="auto"/>
              <w:ind w:left="164"/>
              <w:rPr>
                <w:rFonts w:ascii="宋体" w:hAnsi="宋体" w:eastAsia="宋体" w:cs="宋体"/>
                <w:sz w:val="18"/>
                <w:szCs w:val="18"/>
              </w:rPr>
            </w:pPr>
            <w:r>
              <w:rPr>
                <w:rFonts w:ascii="宋体" w:hAnsi="宋体" w:eastAsia="宋体" w:cs="宋体"/>
                <w:spacing w:val="-3"/>
                <w:sz w:val="18"/>
                <w:szCs w:val="18"/>
              </w:rPr>
              <w:t>工程</w:t>
            </w:r>
          </w:p>
        </w:tc>
        <w:tc>
          <w:tcPr>
            <w:tcW w:w="1671" w:type="dxa"/>
            <w:vAlign w:val="top"/>
          </w:tcPr>
          <w:p>
            <w:pPr>
              <w:spacing w:before="59" w:line="232" w:lineRule="auto"/>
              <w:ind w:left="103" w:right="48"/>
              <w:rPr>
                <w:rFonts w:ascii="宋体" w:hAnsi="宋体" w:eastAsia="宋体" w:cs="宋体"/>
                <w:sz w:val="18"/>
                <w:szCs w:val="18"/>
              </w:rPr>
            </w:pPr>
            <w:r>
              <w:rPr>
                <w:rFonts w:ascii="宋体" w:hAnsi="宋体" w:eastAsia="宋体" w:cs="宋体"/>
                <w:spacing w:val="-12"/>
                <w:sz w:val="18"/>
                <w:szCs w:val="18"/>
              </w:rPr>
              <w:t>道路、桥涵、隧道、</w:t>
            </w:r>
            <w:r>
              <w:rPr>
                <w:rFonts w:ascii="宋体" w:hAnsi="宋体" w:eastAsia="宋体" w:cs="宋体"/>
                <w:spacing w:val="-2"/>
                <w:sz w:val="18"/>
                <w:szCs w:val="18"/>
              </w:rPr>
              <w:t>排水养护维修工程</w:t>
            </w:r>
          </w:p>
        </w:tc>
        <w:tc>
          <w:tcPr>
            <w:tcW w:w="972" w:type="dxa"/>
            <w:vAlign w:val="top"/>
          </w:tcPr>
          <w:p>
            <w:pPr>
              <w:spacing w:before="192" w:line="260" w:lineRule="exact"/>
              <w:ind w:left="336"/>
              <w:rPr>
                <w:rFonts w:ascii="宋体" w:hAnsi="宋体" w:eastAsia="宋体" w:cs="宋体"/>
                <w:sz w:val="18"/>
                <w:szCs w:val="18"/>
              </w:rPr>
            </w:pPr>
            <w:r>
              <w:rPr>
                <w:rFonts w:ascii="宋体" w:hAnsi="宋体" w:eastAsia="宋体" w:cs="宋体"/>
                <w:spacing w:val="-19"/>
                <w:position w:val="1"/>
                <w:sz w:val="18"/>
                <w:szCs w:val="18"/>
              </w:rPr>
              <w:t>1.25</w:t>
            </w:r>
          </w:p>
        </w:tc>
        <w:tc>
          <w:tcPr>
            <w:tcW w:w="1062" w:type="dxa"/>
            <w:vAlign w:val="top"/>
          </w:tcPr>
          <w:p>
            <w:pPr>
              <w:spacing w:before="192" w:line="260" w:lineRule="exact"/>
              <w:ind w:left="384"/>
              <w:rPr>
                <w:rFonts w:ascii="宋体" w:hAnsi="宋体" w:eastAsia="宋体" w:cs="宋体"/>
                <w:sz w:val="18"/>
                <w:szCs w:val="18"/>
              </w:rPr>
            </w:pPr>
            <w:r>
              <w:rPr>
                <w:rFonts w:ascii="宋体" w:hAnsi="宋体" w:eastAsia="宋体" w:cs="宋体"/>
                <w:spacing w:val="-19"/>
                <w:position w:val="1"/>
                <w:sz w:val="18"/>
                <w:szCs w:val="18"/>
              </w:rPr>
              <w:t>1.56</w:t>
            </w:r>
          </w:p>
        </w:tc>
        <w:tc>
          <w:tcPr>
            <w:tcW w:w="1092" w:type="dxa"/>
            <w:vAlign w:val="top"/>
          </w:tcPr>
          <w:p>
            <w:pPr>
              <w:spacing w:before="192" w:line="260" w:lineRule="exact"/>
              <w:ind w:left="375"/>
              <w:rPr>
                <w:rFonts w:ascii="宋体" w:hAnsi="宋体" w:eastAsia="宋体" w:cs="宋体"/>
                <w:sz w:val="18"/>
                <w:szCs w:val="18"/>
              </w:rPr>
            </w:pPr>
            <w:r>
              <w:rPr>
                <w:rFonts w:ascii="宋体" w:hAnsi="宋体" w:eastAsia="宋体" w:cs="宋体"/>
                <w:spacing w:val="-14"/>
                <w:position w:val="2"/>
                <w:sz w:val="18"/>
                <w:szCs w:val="18"/>
              </w:rPr>
              <w:t>0.97</w:t>
            </w:r>
          </w:p>
        </w:tc>
        <w:tc>
          <w:tcPr>
            <w:tcW w:w="1166" w:type="dxa"/>
            <w:vAlign w:val="top"/>
          </w:tcPr>
          <w:p>
            <w:pPr>
              <w:spacing w:before="192" w:line="260" w:lineRule="exact"/>
              <w:ind w:left="416"/>
              <w:rPr>
                <w:rFonts w:ascii="宋体" w:hAnsi="宋体" w:eastAsia="宋体" w:cs="宋体"/>
                <w:sz w:val="18"/>
                <w:szCs w:val="18"/>
              </w:rPr>
            </w:pPr>
            <w:r>
              <w:rPr>
                <w:rFonts w:ascii="宋体" w:hAnsi="宋体" w:eastAsia="宋体" w:cs="宋体"/>
                <w:spacing w:val="-14"/>
                <w:position w:val="2"/>
                <w:sz w:val="18"/>
                <w:szCs w:val="18"/>
              </w:rPr>
              <w:t>0.43</w:t>
            </w:r>
          </w:p>
        </w:tc>
        <w:tc>
          <w:tcPr>
            <w:tcW w:w="1107" w:type="dxa"/>
            <w:vAlign w:val="top"/>
          </w:tcPr>
          <w:p>
            <w:pPr>
              <w:pStyle w:val="6"/>
              <w:spacing w:line="267" w:lineRule="auto"/>
            </w:pPr>
          </w:p>
          <w:p>
            <w:pPr>
              <w:spacing w:before="58" w:line="126" w:lineRule="exact"/>
              <w:ind w:left="528"/>
              <w:rPr>
                <w:rFonts w:ascii="宋体" w:hAnsi="宋体" w:eastAsia="宋体" w:cs="宋体"/>
                <w:sz w:val="18"/>
                <w:szCs w:val="18"/>
              </w:rPr>
            </w:pPr>
            <w:r>
              <w:rPr>
                <w:rFonts w:ascii="宋体" w:hAnsi="宋体" w:eastAsia="宋体" w:cs="宋体"/>
                <w:position w:val="-3"/>
                <w:sz w:val="18"/>
                <w:szCs w:val="18"/>
              </w:rPr>
              <w:t>-</w:t>
            </w:r>
          </w:p>
        </w:tc>
        <w:tc>
          <w:tcPr>
            <w:tcW w:w="1204" w:type="dxa"/>
            <w:tcBorders>
              <w:right w:val="single" w:color="000000" w:sz="4" w:space="0"/>
            </w:tcBorders>
            <w:vAlign w:val="top"/>
          </w:tcPr>
          <w:p>
            <w:pPr>
              <w:pStyle w:val="6"/>
              <w:spacing w:line="267" w:lineRule="auto"/>
            </w:pPr>
          </w:p>
          <w:p>
            <w:pPr>
              <w:spacing w:before="58" w:line="126" w:lineRule="exact"/>
              <w:ind w:left="570"/>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8" w:hRule="atLeast"/>
        </w:trPr>
        <w:tc>
          <w:tcPr>
            <w:tcW w:w="805" w:type="dxa"/>
            <w:vMerge w:val="continue"/>
            <w:tcBorders>
              <w:top w:val="nil"/>
              <w:left w:val="single" w:color="000000" w:sz="4" w:space="0"/>
              <w:bottom w:val="single" w:color="000000" w:sz="4" w:space="0"/>
            </w:tcBorders>
            <w:vAlign w:val="top"/>
          </w:tcPr>
          <w:p>
            <w:pPr>
              <w:pStyle w:val="6"/>
            </w:pPr>
          </w:p>
        </w:tc>
        <w:tc>
          <w:tcPr>
            <w:tcW w:w="1671" w:type="dxa"/>
            <w:tcBorders>
              <w:bottom w:val="single" w:color="000000" w:sz="4" w:space="0"/>
            </w:tcBorders>
            <w:vAlign w:val="top"/>
          </w:tcPr>
          <w:p>
            <w:pPr>
              <w:spacing w:before="63" w:line="245" w:lineRule="auto"/>
              <w:ind w:left="103" w:right="48" w:firstLine="5"/>
              <w:rPr>
                <w:rFonts w:ascii="宋体" w:hAnsi="宋体" w:eastAsia="宋体" w:cs="宋体"/>
                <w:sz w:val="18"/>
                <w:szCs w:val="18"/>
              </w:rPr>
            </w:pPr>
            <w:r>
              <w:rPr>
                <w:rFonts w:ascii="宋体" w:hAnsi="宋体" w:eastAsia="宋体" w:cs="宋体"/>
                <w:spacing w:val="-13"/>
                <w:sz w:val="18"/>
                <w:szCs w:val="18"/>
              </w:rPr>
              <w:t>给水、燃气、供热、</w:t>
            </w:r>
            <w:r>
              <w:rPr>
                <w:rFonts w:ascii="宋体" w:hAnsi="宋体" w:eastAsia="宋体" w:cs="宋体"/>
                <w:spacing w:val="-4"/>
                <w:sz w:val="18"/>
                <w:szCs w:val="18"/>
              </w:rPr>
              <w:t>路灯养护维修工程</w:t>
            </w:r>
          </w:p>
        </w:tc>
        <w:tc>
          <w:tcPr>
            <w:tcW w:w="972" w:type="dxa"/>
            <w:tcBorders>
              <w:bottom w:val="single" w:color="000000" w:sz="4" w:space="0"/>
            </w:tcBorders>
            <w:vAlign w:val="top"/>
          </w:tcPr>
          <w:p>
            <w:pPr>
              <w:spacing w:before="193" w:line="260" w:lineRule="exact"/>
              <w:ind w:left="336"/>
              <w:rPr>
                <w:rFonts w:ascii="宋体" w:hAnsi="宋体" w:eastAsia="宋体" w:cs="宋体"/>
                <w:sz w:val="18"/>
                <w:szCs w:val="18"/>
              </w:rPr>
            </w:pPr>
            <w:r>
              <w:rPr>
                <w:rFonts w:ascii="宋体" w:hAnsi="宋体" w:eastAsia="宋体" w:cs="宋体"/>
                <w:spacing w:val="-19"/>
                <w:position w:val="1"/>
                <w:sz w:val="18"/>
                <w:szCs w:val="18"/>
              </w:rPr>
              <w:t>1.98</w:t>
            </w:r>
          </w:p>
        </w:tc>
        <w:tc>
          <w:tcPr>
            <w:tcW w:w="1062" w:type="dxa"/>
            <w:tcBorders>
              <w:bottom w:val="single" w:color="000000" w:sz="4" w:space="0"/>
            </w:tcBorders>
            <w:vAlign w:val="top"/>
          </w:tcPr>
          <w:p>
            <w:pPr>
              <w:spacing w:before="193" w:line="260" w:lineRule="exact"/>
              <w:ind w:left="360"/>
              <w:rPr>
                <w:rFonts w:ascii="宋体" w:hAnsi="宋体" w:eastAsia="宋体" w:cs="宋体"/>
                <w:sz w:val="18"/>
                <w:szCs w:val="18"/>
              </w:rPr>
            </w:pPr>
            <w:r>
              <w:rPr>
                <w:rFonts w:ascii="宋体" w:hAnsi="宋体" w:eastAsia="宋体" w:cs="宋体"/>
                <w:spacing w:val="-15"/>
                <w:position w:val="1"/>
                <w:sz w:val="18"/>
                <w:szCs w:val="18"/>
              </w:rPr>
              <w:t>2.01</w:t>
            </w:r>
          </w:p>
        </w:tc>
        <w:tc>
          <w:tcPr>
            <w:tcW w:w="1092" w:type="dxa"/>
            <w:tcBorders>
              <w:bottom w:val="single" w:color="000000" w:sz="4" w:space="0"/>
            </w:tcBorders>
            <w:vAlign w:val="top"/>
          </w:tcPr>
          <w:p>
            <w:pPr>
              <w:spacing w:before="193" w:line="260" w:lineRule="exact"/>
              <w:ind w:left="378"/>
              <w:rPr>
                <w:rFonts w:ascii="宋体" w:hAnsi="宋体" w:eastAsia="宋体" w:cs="宋体"/>
                <w:sz w:val="18"/>
                <w:szCs w:val="18"/>
              </w:rPr>
            </w:pPr>
            <w:r>
              <w:rPr>
                <w:rFonts w:ascii="宋体" w:hAnsi="宋体" w:eastAsia="宋体" w:cs="宋体"/>
                <w:spacing w:val="-15"/>
                <w:position w:val="2"/>
                <w:sz w:val="18"/>
                <w:szCs w:val="18"/>
              </w:rPr>
              <w:t>2.07</w:t>
            </w:r>
          </w:p>
        </w:tc>
        <w:tc>
          <w:tcPr>
            <w:tcW w:w="1166" w:type="dxa"/>
            <w:tcBorders>
              <w:bottom w:val="single" w:color="000000" w:sz="4" w:space="0"/>
            </w:tcBorders>
            <w:vAlign w:val="top"/>
          </w:tcPr>
          <w:p>
            <w:pPr>
              <w:spacing w:before="193" w:line="260" w:lineRule="exact"/>
              <w:ind w:left="416"/>
              <w:rPr>
                <w:rFonts w:ascii="宋体" w:hAnsi="宋体" w:eastAsia="宋体" w:cs="宋体"/>
                <w:sz w:val="18"/>
                <w:szCs w:val="18"/>
              </w:rPr>
            </w:pPr>
            <w:r>
              <w:rPr>
                <w:rFonts w:ascii="宋体" w:hAnsi="宋体" w:eastAsia="宋体" w:cs="宋体"/>
                <w:spacing w:val="-14"/>
                <w:position w:val="2"/>
                <w:sz w:val="18"/>
                <w:szCs w:val="18"/>
              </w:rPr>
              <w:t>0.53</w:t>
            </w:r>
          </w:p>
        </w:tc>
        <w:tc>
          <w:tcPr>
            <w:tcW w:w="1107" w:type="dxa"/>
            <w:tcBorders>
              <w:bottom w:val="single" w:color="000000" w:sz="4" w:space="0"/>
            </w:tcBorders>
            <w:vAlign w:val="top"/>
          </w:tcPr>
          <w:p>
            <w:pPr>
              <w:pStyle w:val="6"/>
              <w:spacing w:line="265" w:lineRule="auto"/>
            </w:pPr>
          </w:p>
          <w:p>
            <w:pPr>
              <w:spacing w:before="59" w:line="126" w:lineRule="exact"/>
              <w:ind w:left="528"/>
              <w:rPr>
                <w:rFonts w:ascii="宋体" w:hAnsi="宋体" w:eastAsia="宋体" w:cs="宋体"/>
                <w:sz w:val="18"/>
                <w:szCs w:val="18"/>
              </w:rPr>
            </w:pPr>
            <w:r>
              <w:rPr>
                <w:rFonts w:ascii="宋体" w:hAnsi="宋体" w:eastAsia="宋体" w:cs="宋体"/>
                <w:position w:val="-3"/>
                <w:sz w:val="18"/>
                <w:szCs w:val="18"/>
              </w:rPr>
              <w:t>-</w:t>
            </w:r>
          </w:p>
        </w:tc>
        <w:tc>
          <w:tcPr>
            <w:tcW w:w="1204" w:type="dxa"/>
            <w:tcBorders>
              <w:bottom w:val="single" w:color="000000" w:sz="4" w:space="0"/>
              <w:right w:val="single" w:color="000000" w:sz="4" w:space="0"/>
            </w:tcBorders>
            <w:vAlign w:val="top"/>
          </w:tcPr>
          <w:p>
            <w:pPr>
              <w:pStyle w:val="6"/>
              <w:spacing w:line="265" w:lineRule="auto"/>
            </w:pPr>
          </w:p>
          <w:p>
            <w:pPr>
              <w:spacing w:before="59" w:line="126" w:lineRule="exact"/>
              <w:ind w:left="570"/>
              <w:rPr>
                <w:rFonts w:ascii="宋体" w:hAnsi="宋体" w:eastAsia="宋体" w:cs="宋体"/>
                <w:sz w:val="18"/>
                <w:szCs w:val="18"/>
              </w:rPr>
            </w:pPr>
            <w:r>
              <w:rPr>
                <w:rFonts w:ascii="宋体" w:hAnsi="宋体" w:eastAsia="宋体" w:cs="宋体"/>
                <w:position w:val="-3"/>
                <w:sz w:val="18"/>
                <w:szCs w:val="18"/>
              </w:rPr>
              <w:t>-</w:t>
            </w:r>
          </w:p>
        </w:tc>
      </w:tr>
    </w:tbl>
    <w:p>
      <w:pPr>
        <w:spacing w:before="63"/>
      </w:pPr>
    </w:p>
    <w:tbl>
      <w:tblPr>
        <w:tblStyle w:val="5"/>
        <w:tblW w:w="91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3"/>
        <w:gridCol w:w="1669"/>
        <w:gridCol w:w="1650"/>
        <w:gridCol w:w="1650"/>
        <w:gridCol w:w="1650"/>
        <w:gridCol w:w="16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7" w:hRule="atLeast"/>
        </w:trPr>
        <w:tc>
          <w:tcPr>
            <w:tcW w:w="2502" w:type="dxa"/>
            <w:gridSpan w:val="2"/>
            <w:tcBorders>
              <w:top w:val="single" w:color="000000" w:sz="4" w:space="0"/>
              <w:left w:val="single" w:color="000000" w:sz="4" w:space="0"/>
              <w:tl2br w:val="single" w:color="000000" w:sz="4" w:space="0"/>
            </w:tcBorders>
            <w:vAlign w:val="top"/>
          </w:tcPr>
          <w:p>
            <w:pPr>
              <w:spacing w:before="53" w:line="180" w:lineRule="auto"/>
              <w:ind w:left="124" w:right="700" w:firstLine="966"/>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650" w:type="dxa"/>
            <w:tcBorders>
              <w:top w:val="single" w:color="000000" w:sz="4" w:space="0"/>
            </w:tcBorders>
            <w:vAlign w:val="top"/>
          </w:tcPr>
          <w:p>
            <w:pPr>
              <w:spacing w:before="166" w:line="202" w:lineRule="auto"/>
              <w:ind w:left="390"/>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650" w:type="dxa"/>
            <w:tcBorders>
              <w:top w:val="single" w:color="000000" w:sz="4" w:space="0"/>
            </w:tcBorders>
            <w:vAlign w:val="top"/>
          </w:tcPr>
          <w:p>
            <w:pPr>
              <w:spacing w:before="166" w:line="202" w:lineRule="auto"/>
              <w:ind w:left="386"/>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650" w:type="dxa"/>
            <w:tcBorders>
              <w:top w:val="single" w:color="000000" w:sz="4" w:space="0"/>
            </w:tcBorders>
            <w:vAlign w:val="top"/>
          </w:tcPr>
          <w:p>
            <w:pPr>
              <w:spacing w:before="166" w:line="202" w:lineRule="auto"/>
              <w:ind w:left="397"/>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668" w:type="dxa"/>
            <w:tcBorders>
              <w:top w:val="single" w:color="000000" w:sz="4" w:space="0"/>
              <w:right w:val="single" w:color="000000" w:sz="4" w:space="0"/>
            </w:tcBorders>
            <w:vAlign w:val="top"/>
          </w:tcPr>
          <w:p>
            <w:pPr>
              <w:spacing w:before="166" w:line="202" w:lineRule="auto"/>
              <w:ind w:left="413"/>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restart"/>
            <w:tcBorders>
              <w:left w:val="single" w:color="000000" w:sz="4" w:space="0"/>
              <w:bottom w:val="nil"/>
            </w:tcBorders>
            <w:vAlign w:val="top"/>
          </w:tcPr>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2" w:lineRule="auto"/>
            </w:pPr>
          </w:p>
          <w:p>
            <w:pPr>
              <w:pStyle w:val="6"/>
              <w:spacing w:line="242" w:lineRule="auto"/>
            </w:pPr>
          </w:p>
          <w:p>
            <w:pPr>
              <w:spacing w:before="59" w:line="283" w:lineRule="auto"/>
              <w:ind w:left="175" w:right="303" w:firstLine="3"/>
              <w:rPr>
                <w:rFonts w:ascii="宋体" w:hAnsi="宋体" w:eastAsia="宋体" w:cs="宋体"/>
                <w:sz w:val="18"/>
                <w:szCs w:val="18"/>
              </w:rPr>
            </w:pPr>
            <w:r>
              <w:rPr>
                <w:rFonts w:ascii="宋体" w:hAnsi="宋体" w:eastAsia="宋体" w:cs="宋体"/>
                <w:spacing w:val="-9"/>
                <w:sz w:val="18"/>
                <w:szCs w:val="18"/>
              </w:rPr>
              <w:t>市政</w:t>
            </w:r>
            <w:r>
              <w:rPr>
                <w:rFonts w:ascii="宋体" w:hAnsi="宋体" w:eastAsia="宋体" w:cs="宋体"/>
                <w:spacing w:val="-7"/>
                <w:sz w:val="18"/>
                <w:szCs w:val="18"/>
              </w:rPr>
              <w:t>工程</w:t>
            </w:r>
          </w:p>
        </w:tc>
        <w:tc>
          <w:tcPr>
            <w:tcW w:w="1669" w:type="dxa"/>
            <w:vAlign w:val="top"/>
          </w:tcPr>
          <w:p>
            <w:pPr>
              <w:spacing w:before="95" w:line="212" w:lineRule="auto"/>
              <w:ind w:left="535"/>
              <w:rPr>
                <w:rFonts w:ascii="宋体" w:hAnsi="宋体" w:eastAsia="宋体" w:cs="宋体"/>
                <w:sz w:val="18"/>
                <w:szCs w:val="18"/>
              </w:rPr>
            </w:pPr>
            <w:r>
              <w:rPr>
                <w:rFonts w:ascii="宋体" w:hAnsi="宋体" w:eastAsia="宋体" w:cs="宋体"/>
                <w:spacing w:val="-3"/>
                <w:sz w:val="18"/>
                <w:szCs w:val="18"/>
              </w:rPr>
              <w:t>道路工程</w:t>
            </w:r>
          </w:p>
        </w:tc>
        <w:tc>
          <w:tcPr>
            <w:tcW w:w="1650" w:type="dxa"/>
            <w:vMerge w:val="restart"/>
            <w:tcBorders>
              <w:bottom w:val="nil"/>
            </w:tcBorders>
            <w:vAlign w:val="top"/>
          </w:tcPr>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8" w:line="260" w:lineRule="exact"/>
              <w:ind w:left="677"/>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8" w:line="260" w:lineRule="exact"/>
              <w:ind w:left="683"/>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8" w:line="260" w:lineRule="exact"/>
              <w:ind w:left="659"/>
              <w:rPr>
                <w:rFonts w:ascii="宋体" w:hAnsi="宋体" w:eastAsia="宋体" w:cs="宋体"/>
                <w:sz w:val="18"/>
                <w:szCs w:val="18"/>
              </w:rPr>
            </w:pPr>
            <w:r>
              <w:rPr>
                <w:rFonts w:ascii="宋体" w:hAnsi="宋体" w:eastAsia="宋体" w:cs="宋体"/>
                <w:spacing w:val="-14"/>
                <w:position w:val="2"/>
                <w:sz w:val="18"/>
                <w:szCs w:val="18"/>
              </w:rPr>
              <w:t>0.82</w:t>
            </w:r>
          </w:p>
        </w:tc>
        <w:tc>
          <w:tcPr>
            <w:tcW w:w="1668" w:type="dxa"/>
            <w:vMerge w:val="restart"/>
            <w:tcBorders>
              <w:bottom w:val="nil"/>
              <w:right w:val="single" w:color="000000" w:sz="4" w:space="0"/>
            </w:tcBorders>
            <w:vAlign w:val="top"/>
          </w:tcPr>
          <w:p>
            <w:pPr>
              <w:pStyle w:val="6"/>
              <w:spacing w:line="256" w:lineRule="auto"/>
            </w:pPr>
          </w:p>
          <w:p>
            <w:pPr>
              <w:pStyle w:val="6"/>
              <w:spacing w:line="256" w:lineRule="auto"/>
            </w:pPr>
          </w:p>
          <w:p>
            <w:pPr>
              <w:pStyle w:val="6"/>
              <w:spacing w:line="256" w:lineRule="auto"/>
            </w:pPr>
          </w:p>
          <w:p>
            <w:pPr>
              <w:pStyle w:val="6"/>
              <w:spacing w:line="256" w:lineRule="auto"/>
            </w:pPr>
          </w:p>
          <w:p>
            <w:pPr>
              <w:pStyle w:val="6"/>
              <w:spacing w:line="256" w:lineRule="auto"/>
            </w:pPr>
          </w:p>
          <w:p>
            <w:pPr>
              <w:spacing w:before="58" w:line="260" w:lineRule="exact"/>
              <w:ind w:left="692"/>
              <w:rPr>
                <w:rFonts w:ascii="宋体" w:hAnsi="宋体" w:eastAsia="宋体" w:cs="宋体"/>
                <w:sz w:val="18"/>
                <w:szCs w:val="18"/>
              </w:rPr>
            </w:pPr>
            <w:r>
              <w:rPr>
                <w:rFonts w:ascii="宋体" w:hAnsi="宋体" w:eastAsia="宋体" w:cs="宋体"/>
                <w:spacing w:val="-19"/>
                <w:position w:val="1"/>
                <w:sz w:val="18"/>
                <w:szCs w:val="18"/>
              </w:rPr>
              <w:t>1.78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97" w:line="209" w:lineRule="auto"/>
              <w:ind w:left="535"/>
              <w:rPr>
                <w:rFonts w:ascii="宋体" w:hAnsi="宋体" w:eastAsia="宋体" w:cs="宋体"/>
                <w:sz w:val="18"/>
                <w:szCs w:val="18"/>
              </w:rPr>
            </w:pPr>
            <w:r>
              <w:rPr>
                <w:rFonts w:ascii="宋体" w:hAnsi="宋体" w:eastAsia="宋体" w:cs="宋体"/>
                <w:spacing w:val="-3"/>
                <w:sz w:val="18"/>
                <w:szCs w:val="18"/>
              </w:rPr>
              <w:t>桥涵工程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98" w:line="211" w:lineRule="auto"/>
              <w:ind w:left="554"/>
              <w:rPr>
                <w:rFonts w:ascii="宋体" w:hAnsi="宋体" w:eastAsia="宋体" w:cs="宋体"/>
                <w:sz w:val="18"/>
                <w:szCs w:val="18"/>
              </w:rPr>
            </w:pPr>
            <w:r>
              <w:rPr>
                <w:rFonts w:ascii="宋体" w:hAnsi="宋体" w:eastAsia="宋体" w:cs="宋体"/>
                <w:spacing w:val="-9"/>
                <w:sz w:val="18"/>
                <w:szCs w:val="18"/>
              </w:rPr>
              <w:t>隧道工程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89" w:line="222" w:lineRule="auto"/>
              <w:ind w:left="535"/>
              <w:rPr>
                <w:rFonts w:ascii="宋体" w:hAnsi="宋体" w:eastAsia="宋体" w:cs="宋体"/>
                <w:sz w:val="18"/>
                <w:szCs w:val="18"/>
              </w:rPr>
            </w:pPr>
            <w:r>
              <w:rPr>
                <w:rFonts w:ascii="宋体" w:hAnsi="宋体" w:eastAsia="宋体" w:cs="宋体"/>
                <w:spacing w:val="-3"/>
                <w:sz w:val="18"/>
                <w:szCs w:val="18"/>
              </w:rPr>
              <w:t>排水工程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103" w:line="210" w:lineRule="auto"/>
              <w:ind w:left="447"/>
              <w:rPr>
                <w:rFonts w:ascii="宋体" w:hAnsi="宋体" w:eastAsia="宋体" w:cs="宋体"/>
                <w:sz w:val="18"/>
                <w:szCs w:val="18"/>
              </w:rPr>
            </w:pPr>
            <w:r>
              <w:rPr>
                <w:rFonts w:ascii="宋体" w:hAnsi="宋体" w:eastAsia="宋体" w:cs="宋体"/>
                <w:spacing w:val="-3"/>
                <w:sz w:val="18"/>
                <w:szCs w:val="18"/>
              </w:rPr>
              <w:t>水处理工程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107" w:line="208" w:lineRule="auto"/>
              <w:ind w:left="177"/>
              <w:rPr>
                <w:rFonts w:ascii="宋体" w:hAnsi="宋体" w:eastAsia="宋体" w:cs="宋体"/>
                <w:sz w:val="18"/>
                <w:szCs w:val="18"/>
              </w:rPr>
            </w:pPr>
            <w:r>
              <w:rPr>
                <w:rFonts w:ascii="宋体" w:hAnsi="宋体" w:eastAsia="宋体" w:cs="宋体"/>
                <w:spacing w:val="-4"/>
                <w:sz w:val="18"/>
                <w:szCs w:val="18"/>
              </w:rPr>
              <w:t>生活垃圾处理工程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50" w:line="211" w:lineRule="auto"/>
              <w:ind w:left="50"/>
              <w:rPr>
                <w:rFonts w:ascii="宋体" w:hAnsi="宋体" w:eastAsia="宋体" w:cs="宋体"/>
                <w:sz w:val="18"/>
                <w:szCs w:val="18"/>
              </w:rPr>
            </w:pPr>
            <w:r>
              <w:rPr>
                <w:rFonts w:ascii="宋体" w:hAnsi="宋体" w:eastAsia="宋体" w:cs="宋体"/>
                <w:spacing w:val="-4"/>
                <w:sz w:val="18"/>
                <w:szCs w:val="18"/>
              </w:rPr>
              <w:t>城市地下综合管廊工</w:t>
            </w:r>
          </w:p>
          <w:p>
            <w:pPr>
              <w:spacing w:before="48" w:line="202" w:lineRule="auto"/>
              <w:ind w:left="751"/>
              <w:rPr>
                <w:rFonts w:ascii="宋体" w:hAnsi="宋体" w:eastAsia="宋体" w:cs="宋体"/>
                <w:sz w:val="18"/>
                <w:szCs w:val="18"/>
              </w:rPr>
            </w:pPr>
            <w:r>
              <w:rPr>
                <w:rFonts w:ascii="宋体" w:hAnsi="宋体" w:eastAsia="宋体" w:cs="宋体"/>
                <w:sz w:val="18"/>
                <w:szCs w:val="18"/>
              </w:rPr>
              <w:t>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8"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108" w:line="211" w:lineRule="auto"/>
              <w:ind w:left="540"/>
              <w:rPr>
                <w:rFonts w:ascii="宋体" w:hAnsi="宋体" w:eastAsia="宋体" w:cs="宋体"/>
                <w:sz w:val="18"/>
                <w:szCs w:val="18"/>
              </w:rPr>
            </w:pPr>
            <w:r>
              <w:rPr>
                <w:rFonts w:ascii="宋体" w:hAnsi="宋体" w:eastAsia="宋体" w:cs="宋体"/>
                <w:spacing w:val="-5"/>
                <w:sz w:val="18"/>
                <w:szCs w:val="18"/>
              </w:rPr>
              <w:t>给水工程</w:t>
            </w:r>
          </w:p>
        </w:tc>
        <w:tc>
          <w:tcPr>
            <w:tcW w:w="1650" w:type="dxa"/>
            <w:vMerge w:val="restart"/>
            <w:tcBorders>
              <w:bottom w:val="nil"/>
            </w:tcBorders>
            <w:vAlign w:val="top"/>
          </w:tcPr>
          <w:p>
            <w:pPr>
              <w:pStyle w:val="6"/>
              <w:spacing w:line="452" w:lineRule="auto"/>
            </w:pPr>
          </w:p>
          <w:p>
            <w:pPr>
              <w:spacing w:before="58" w:line="260" w:lineRule="exact"/>
              <w:ind w:left="677"/>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452" w:lineRule="auto"/>
            </w:pPr>
          </w:p>
          <w:p>
            <w:pPr>
              <w:spacing w:before="58" w:line="260" w:lineRule="exact"/>
              <w:ind w:left="683"/>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452" w:lineRule="auto"/>
            </w:pPr>
          </w:p>
          <w:p>
            <w:pPr>
              <w:spacing w:before="58" w:line="260" w:lineRule="exact"/>
              <w:ind w:left="659"/>
              <w:rPr>
                <w:rFonts w:ascii="宋体" w:hAnsi="宋体" w:eastAsia="宋体" w:cs="宋体"/>
                <w:sz w:val="18"/>
                <w:szCs w:val="18"/>
              </w:rPr>
            </w:pPr>
            <w:r>
              <w:rPr>
                <w:rFonts w:ascii="宋体" w:hAnsi="宋体" w:eastAsia="宋体" w:cs="宋体"/>
                <w:spacing w:val="-14"/>
                <w:position w:val="2"/>
                <w:sz w:val="18"/>
                <w:szCs w:val="18"/>
              </w:rPr>
              <w:t>0.82</w:t>
            </w:r>
          </w:p>
        </w:tc>
        <w:tc>
          <w:tcPr>
            <w:tcW w:w="1668" w:type="dxa"/>
            <w:vMerge w:val="restart"/>
            <w:tcBorders>
              <w:bottom w:val="nil"/>
              <w:right w:val="single" w:color="000000" w:sz="4" w:space="0"/>
            </w:tcBorders>
            <w:vAlign w:val="top"/>
          </w:tcPr>
          <w:p>
            <w:pPr>
              <w:pStyle w:val="6"/>
              <w:spacing w:line="452" w:lineRule="auto"/>
            </w:pPr>
          </w:p>
          <w:p>
            <w:pPr>
              <w:spacing w:before="58" w:line="260" w:lineRule="exact"/>
              <w:ind w:left="665"/>
              <w:rPr>
                <w:rFonts w:ascii="宋体" w:hAnsi="宋体" w:eastAsia="宋体" w:cs="宋体"/>
                <w:sz w:val="18"/>
                <w:szCs w:val="18"/>
              </w:rPr>
            </w:pPr>
            <w:r>
              <w:rPr>
                <w:rFonts w:ascii="宋体" w:hAnsi="宋体" w:eastAsia="宋体" w:cs="宋体"/>
                <w:spacing w:val="-14"/>
                <w:position w:val="2"/>
                <w:sz w:val="18"/>
                <w:szCs w:val="18"/>
              </w:rPr>
              <w:t>0.89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109" w:line="211" w:lineRule="auto"/>
              <w:ind w:left="532"/>
              <w:rPr>
                <w:rFonts w:ascii="宋体" w:hAnsi="宋体" w:eastAsia="宋体" w:cs="宋体"/>
                <w:sz w:val="18"/>
                <w:szCs w:val="18"/>
              </w:rPr>
            </w:pPr>
            <w:r>
              <w:rPr>
                <w:rFonts w:ascii="宋体" w:hAnsi="宋体" w:eastAsia="宋体" w:cs="宋体"/>
                <w:spacing w:val="-3"/>
                <w:sz w:val="18"/>
                <w:szCs w:val="18"/>
              </w:rPr>
              <w:t>燃气工程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8"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4" w:hRule="atLeast"/>
        </w:trPr>
        <w:tc>
          <w:tcPr>
            <w:tcW w:w="833" w:type="dxa"/>
            <w:vMerge w:val="continue"/>
            <w:tcBorders>
              <w:top w:val="nil"/>
              <w:left w:val="single" w:color="000000" w:sz="4" w:space="0"/>
              <w:bottom w:val="nil"/>
            </w:tcBorders>
            <w:vAlign w:val="top"/>
          </w:tcPr>
          <w:p>
            <w:pPr>
              <w:pStyle w:val="6"/>
            </w:pPr>
          </w:p>
        </w:tc>
        <w:tc>
          <w:tcPr>
            <w:tcW w:w="1669" w:type="dxa"/>
            <w:vAlign w:val="top"/>
          </w:tcPr>
          <w:p>
            <w:pPr>
              <w:spacing w:before="106" w:line="233" w:lineRule="auto"/>
              <w:ind w:left="534"/>
              <w:rPr>
                <w:rFonts w:ascii="宋体" w:hAnsi="宋体" w:eastAsia="宋体" w:cs="宋体"/>
                <w:sz w:val="18"/>
                <w:szCs w:val="18"/>
              </w:rPr>
            </w:pPr>
            <w:r>
              <w:rPr>
                <w:rFonts w:ascii="宋体" w:hAnsi="宋体" w:eastAsia="宋体" w:cs="宋体"/>
                <w:spacing w:val="-3"/>
                <w:sz w:val="18"/>
                <w:szCs w:val="18"/>
              </w:rPr>
              <w:t>供热工程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8"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8" w:hRule="atLeast"/>
        </w:trPr>
        <w:tc>
          <w:tcPr>
            <w:tcW w:w="833" w:type="dxa"/>
            <w:vMerge w:val="continue"/>
            <w:tcBorders>
              <w:top w:val="nil"/>
              <w:left w:val="single" w:color="000000" w:sz="4" w:space="0"/>
            </w:tcBorders>
            <w:vAlign w:val="top"/>
          </w:tcPr>
          <w:p>
            <w:pPr>
              <w:pStyle w:val="6"/>
            </w:pPr>
          </w:p>
        </w:tc>
        <w:tc>
          <w:tcPr>
            <w:tcW w:w="1669" w:type="dxa"/>
            <w:vAlign w:val="top"/>
          </w:tcPr>
          <w:p>
            <w:pPr>
              <w:spacing w:before="113" w:line="211" w:lineRule="auto"/>
              <w:ind w:left="535"/>
              <w:rPr>
                <w:rFonts w:ascii="宋体" w:hAnsi="宋体" w:eastAsia="宋体" w:cs="宋体"/>
                <w:sz w:val="18"/>
                <w:szCs w:val="18"/>
              </w:rPr>
            </w:pPr>
            <w:r>
              <w:rPr>
                <w:rFonts w:ascii="宋体" w:hAnsi="宋体" w:eastAsia="宋体" w:cs="宋体"/>
                <w:spacing w:val="-5"/>
                <w:sz w:val="18"/>
                <w:szCs w:val="18"/>
              </w:rPr>
              <w:t>路灯工程</w:t>
            </w:r>
          </w:p>
        </w:tc>
        <w:tc>
          <w:tcPr>
            <w:tcW w:w="1650" w:type="dxa"/>
            <w:vAlign w:val="top"/>
          </w:tcPr>
          <w:p>
            <w:pPr>
              <w:spacing w:before="127" w:line="226" w:lineRule="auto"/>
              <w:ind w:left="677"/>
              <w:rPr>
                <w:rFonts w:ascii="宋体" w:hAnsi="宋体" w:eastAsia="宋体" w:cs="宋体"/>
                <w:sz w:val="18"/>
                <w:szCs w:val="18"/>
              </w:rPr>
            </w:pPr>
            <w:r>
              <w:rPr>
                <w:rFonts w:ascii="宋体" w:hAnsi="宋体" w:eastAsia="宋体" w:cs="宋体"/>
                <w:spacing w:val="-19"/>
                <w:sz w:val="18"/>
                <w:szCs w:val="18"/>
              </w:rPr>
              <w:t>1.73</w:t>
            </w:r>
          </w:p>
        </w:tc>
        <w:tc>
          <w:tcPr>
            <w:tcW w:w="1650" w:type="dxa"/>
            <w:vAlign w:val="top"/>
          </w:tcPr>
          <w:p>
            <w:pPr>
              <w:spacing w:before="127" w:line="226" w:lineRule="auto"/>
              <w:ind w:left="683"/>
              <w:rPr>
                <w:rFonts w:ascii="宋体" w:hAnsi="宋体" w:eastAsia="宋体" w:cs="宋体"/>
                <w:sz w:val="18"/>
                <w:szCs w:val="18"/>
              </w:rPr>
            </w:pPr>
            <w:r>
              <w:rPr>
                <w:rFonts w:ascii="宋体" w:hAnsi="宋体" w:eastAsia="宋体" w:cs="宋体"/>
                <w:spacing w:val="-19"/>
                <w:sz w:val="18"/>
                <w:szCs w:val="18"/>
              </w:rPr>
              <w:t>1.31</w:t>
            </w:r>
          </w:p>
        </w:tc>
        <w:tc>
          <w:tcPr>
            <w:tcW w:w="1650" w:type="dxa"/>
            <w:vAlign w:val="top"/>
          </w:tcPr>
          <w:p>
            <w:pPr>
              <w:spacing w:before="127" w:line="226" w:lineRule="auto"/>
              <w:ind w:left="659"/>
              <w:rPr>
                <w:rFonts w:ascii="宋体" w:hAnsi="宋体" w:eastAsia="宋体" w:cs="宋体"/>
                <w:sz w:val="18"/>
                <w:szCs w:val="18"/>
              </w:rPr>
            </w:pPr>
            <w:r>
              <w:rPr>
                <w:rFonts w:ascii="宋体" w:hAnsi="宋体" w:eastAsia="宋体" w:cs="宋体"/>
                <w:spacing w:val="-14"/>
                <w:sz w:val="18"/>
                <w:szCs w:val="18"/>
              </w:rPr>
              <w:t>0.82</w:t>
            </w:r>
          </w:p>
        </w:tc>
        <w:tc>
          <w:tcPr>
            <w:tcW w:w="1668" w:type="dxa"/>
            <w:tcBorders>
              <w:right w:val="single" w:color="000000" w:sz="4" w:space="0"/>
            </w:tcBorders>
            <w:vAlign w:val="top"/>
          </w:tcPr>
          <w:p>
            <w:pPr>
              <w:spacing w:before="127" w:line="226" w:lineRule="auto"/>
              <w:ind w:left="692"/>
              <w:rPr>
                <w:rFonts w:ascii="宋体" w:hAnsi="宋体" w:eastAsia="宋体" w:cs="宋体"/>
                <w:sz w:val="18"/>
                <w:szCs w:val="18"/>
              </w:rPr>
            </w:pPr>
            <w:r>
              <w:rPr>
                <w:rFonts w:ascii="宋体" w:hAnsi="宋体" w:eastAsia="宋体" w:cs="宋体"/>
                <w:spacing w:val="-19"/>
                <w:sz w:val="18"/>
                <w:szCs w:val="18"/>
              </w:rPr>
              <w:t>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4" w:hRule="atLeast"/>
        </w:trPr>
        <w:tc>
          <w:tcPr>
            <w:tcW w:w="833" w:type="dxa"/>
            <w:vMerge w:val="restart"/>
            <w:tcBorders>
              <w:left w:val="single" w:color="000000" w:sz="4" w:space="0"/>
              <w:bottom w:val="nil"/>
            </w:tcBorders>
            <w:vAlign w:val="top"/>
          </w:tcPr>
          <w:p>
            <w:pPr>
              <w:spacing w:before="146" w:line="210" w:lineRule="auto"/>
              <w:ind w:left="178"/>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5"/>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8"/>
              <w:rPr>
                <w:rFonts w:ascii="宋体" w:hAnsi="宋体" w:eastAsia="宋体" w:cs="宋体"/>
                <w:sz w:val="18"/>
                <w:szCs w:val="18"/>
              </w:rPr>
            </w:pPr>
            <w:r>
              <w:rPr>
                <w:rFonts w:ascii="宋体" w:hAnsi="宋体" w:eastAsia="宋体" w:cs="宋体"/>
                <w:spacing w:val="-3"/>
                <w:sz w:val="18"/>
                <w:szCs w:val="18"/>
              </w:rPr>
              <w:t>维修</w:t>
            </w:r>
          </w:p>
          <w:p>
            <w:pPr>
              <w:spacing w:before="66" w:line="202" w:lineRule="auto"/>
              <w:ind w:left="175"/>
              <w:rPr>
                <w:rFonts w:ascii="宋体" w:hAnsi="宋体" w:eastAsia="宋体" w:cs="宋体"/>
                <w:sz w:val="18"/>
                <w:szCs w:val="18"/>
              </w:rPr>
            </w:pPr>
            <w:r>
              <w:rPr>
                <w:rFonts w:ascii="宋体" w:hAnsi="宋体" w:eastAsia="宋体" w:cs="宋体"/>
                <w:spacing w:val="-3"/>
                <w:sz w:val="18"/>
                <w:szCs w:val="18"/>
              </w:rPr>
              <w:t>工程</w:t>
            </w:r>
          </w:p>
        </w:tc>
        <w:tc>
          <w:tcPr>
            <w:tcW w:w="1669" w:type="dxa"/>
            <w:vAlign w:val="top"/>
          </w:tcPr>
          <w:p>
            <w:pPr>
              <w:spacing w:before="136" w:line="250" w:lineRule="auto"/>
              <w:ind w:left="103" w:right="48"/>
              <w:rPr>
                <w:rFonts w:ascii="宋体" w:hAnsi="宋体" w:eastAsia="宋体" w:cs="宋体"/>
                <w:sz w:val="18"/>
                <w:szCs w:val="18"/>
              </w:rPr>
            </w:pPr>
            <w:r>
              <w:rPr>
                <w:rFonts w:ascii="宋体" w:hAnsi="宋体" w:eastAsia="宋体" w:cs="宋体"/>
                <w:spacing w:val="-13"/>
                <w:sz w:val="18"/>
                <w:szCs w:val="18"/>
              </w:rPr>
              <w:t>道路、桥涵、隧道、</w:t>
            </w:r>
            <w:r>
              <w:rPr>
                <w:rFonts w:ascii="宋体" w:hAnsi="宋体" w:eastAsia="宋体" w:cs="宋体"/>
                <w:spacing w:val="-2"/>
                <w:sz w:val="18"/>
                <w:szCs w:val="18"/>
              </w:rPr>
              <w:t>排水养护维修工程</w:t>
            </w:r>
          </w:p>
        </w:tc>
        <w:tc>
          <w:tcPr>
            <w:tcW w:w="1650" w:type="dxa"/>
            <w:vMerge w:val="restart"/>
            <w:tcBorders>
              <w:bottom w:val="nil"/>
            </w:tcBorders>
            <w:vAlign w:val="top"/>
          </w:tcPr>
          <w:p>
            <w:pPr>
              <w:pStyle w:val="6"/>
              <w:spacing w:line="245" w:lineRule="auto"/>
            </w:pPr>
          </w:p>
          <w:p>
            <w:pPr>
              <w:pStyle w:val="6"/>
              <w:spacing w:line="245" w:lineRule="auto"/>
            </w:pPr>
          </w:p>
          <w:p>
            <w:pPr>
              <w:spacing w:before="58" w:line="260" w:lineRule="exact"/>
              <w:ind w:left="677"/>
              <w:rPr>
                <w:rFonts w:ascii="宋体" w:hAnsi="宋体" w:eastAsia="宋体" w:cs="宋体"/>
                <w:sz w:val="18"/>
                <w:szCs w:val="18"/>
              </w:rPr>
            </w:pPr>
            <w:r>
              <w:rPr>
                <w:rFonts w:ascii="宋体" w:hAnsi="宋体" w:eastAsia="宋体" w:cs="宋体"/>
                <w:spacing w:val="-19"/>
                <w:position w:val="1"/>
                <w:sz w:val="18"/>
                <w:szCs w:val="18"/>
              </w:rPr>
              <w:t>1.73</w:t>
            </w:r>
          </w:p>
        </w:tc>
        <w:tc>
          <w:tcPr>
            <w:tcW w:w="1650" w:type="dxa"/>
            <w:vMerge w:val="restart"/>
            <w:tcBorders>
              <w:bottom w:val="nil"/>
            </w:tcBorders>
            <w:vAlign w:val="top"/>
          </w:tcPr>
          <w:p>
            <w:pPr>
              <w:pStyle w:val="6"/>
              <w:spacing w:line="245" w:lineRule="auto"/>
            </w:pPr>
          </w:p>
          <w:p>
            <w:pPr>
              <w:pStyle w:val="6"/>
              <w:spacing w:line="245" w:lineRule="auto"/>
            </w:pPr>
          </w:p>
          <w:p>
            <w:pPr>
              <w:spacing w:before="58" w:line="260" w:lineRule="exact"/>
              <w:ind w:left="683"/>
              <w:rPr>
                <w:rFonts w:ascii="宋体" w:hAnsi="宋体" w:eastAsia="宋体" w:cs="宋体"/>
                <w:sz w:val="18"/>
                <w:szCs w:val="18"/>
              </w:rPr>
            </w:pPr>
            <w:r>
              <w:rPr>
                <w:rFonts w:ascii="宋体" w:hAnsi="宋体" w:eastAsia="宋体" w:cs="宋体"/>
                <w:spacing w:val="-19"/>
                <w:position w:val="1"/>
                <w:sz w:val="18"/>
                <w:szCs w:val="18"/>
              </w:rPr>
              <w:t>1.31</w:t>
            </w:r>
          </w:p>
        </w:tc>
        <w:tc>
          <w:tcPr>
            <w:tcW w:w="1650" w:type="dxa"/>
            <w:vMerge w:val="restart"/>
            <w:tcBorders>
              <w:bottom w:val="nil"/>
            </w:tcBorders>
            <w:vAlign w:val="top"/>
          </w:tcPr>
          <w:p>
            <w:pPr>
              <w:pStyle w:val="6"/>
              <w:spacing w:line="245" w:lineRule="auto"/>
            </w:pPr>
          </w:p>
          <w:p>
            <w:pPr>
              <w:pStyle w:val="6"/>
              <w:spacing w:line="245" w:lineRule="auto"/>
            </w:pPr>
          </w:p>
          <w:p>
            <w:pPr>
              <w:spacing w:before="58" w:line="260" w:lineRule="exact"/>
              <w:ind w:left="659"/>
              <w:rPr>
                <w:rFonts w:ascii="宋体" w:hAnsi="宋体" w:eastAsia="宋体" w:cs="宋体"/>
                <w:sz w:val="18"/>
                <w:szCs w:val="18"/>
              </w:rPr>
            </w:pPr>
            <w:r>
              <w:rPr>
                <w:rFonts w:ascii="宋体" w:hAnsi="宋体" w:eastAsia="宋体" w:cs="宋体"/>
                <w:spacing w:val="-14"/>
                <w:position w:val="2"/>
                <w:sz w:val="18"/>
                <w:szCs w:val="18"/>
              </w:rPr>
              <w:t>0.82</w:t>
            </w:r>
          </w:p>
        </w:tc>
        <w:tc>
          <w:tcPr>
            <w:tcW w:w="1668" w:type="dxa"/>
            <w:vMerge w:val="restart"/>
            <w:tcBorders>
              <w:bottom w:val="nil"/>
              <w:right w:val="single" w:color="000000" w:sz="4" w:space="0"/>
            </w:tcBorders>
            <w:vAlign w:val="top"/>
          </w:tcPr>
          <w:p>
            <w:pPr>
              <w:pStyle w:val="6"/>
              <w:spacing w:line="245" w:lineRule="auto"/>
            </w:pPr>
          </w:p>
          <w:p>
            <w:pPr>
              <w:pStyle w:val="6"/>
              <w:spacing w:line="245" w:lineRule="auto"/>
            </w:pPr>
          </w:p>
          <w:p>
            <w:pPr>
              <w:spacing w:before="58" w:line="260" w:lineRule="exact"/>
              <w:ind w:left="692"/>
              <w:rPr>
                <w:rFonts w:ascii="宋体" w:hAnsi="宋体" w:eastAsia="宋体" w:cs="宋体"/>
                <w:sz w:val="18"/>
                <w:szCs w:val="18"/>
              </w:rPr>
            </w:pPr>
            <w:r>
              <w:rPr>
                <w:rFonts w:ascii="宋体" w:hAnsi="宋体" w:eastAsia="宋体" w:cs="宋体"/>
                <w:spacing w:val="-19"/>
                <w:position w:val="1"/>
                <w:sz w:val="18"/>
                <w:szCs w:val="18"/>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6" w:hRule="atLeast"/>
        </w:trPr>
        <w:tc>
          <w:tcPr>
            <w:tcW w:w="833" w:type="dxa"/>
            <w:vMerge w:val="continue"/>
            <w:tcBorders>
              <w:top w:val="nil"/>
              <w:left w:val="single" w:color="000000" w:sz="4" w:space="0"/>
              <w:bottom w:val="single" w:color="000000" w:sz="4" w:space="0"/>
            </w:tcBorders>
            <w:vAlign w:val="top"/>
          </w:tcPr>
          <w:p>
            <w:pPr>
              <w:pStyle w:val="6"/>
            </w:pPr>
          </w:p>
        </w:tc>
        <w:tc>
          <w:tcPr>
            <w:tcW w:w="1669" w:type="dxa"/>
            <w:tcBorders>
              <w:bottom w:val="single" w:color="000000" w:sz="4" w:space="0"/>
            </w:tcBorders>
            <w:vAlign w:val="top"/>
          </w:tcPr>
          <w:p>
            <w:pPr>
              <w:spacing w:before="92" w:line="253" w:lineRule="auto"/>
              <w:ind w:left="103" w:right="46" w:firstLine="5"/>
              <w:rPr>
                <w:rFonts w:ascii="宋体" w:hAnsi="宋体" w:eastAsia="宋体" w:cs="宋体"/>
                <w:sz w:val="18"/>
                <w:szCs w:val="18"/>
              </w:rPr>
            </w:pPr>
            <w:r>
              <w:rPr>
                <w:rFonts w:ascii="宋体" w:hAnsi="宋体" w:eastAsia="宋体" w:cs="宋体"/>
                <w:spacing w:val="-13"/>
                <w:sz w:val="18"/>
                <w:szCs w:val="18"/>
              </w:rPr>
              <w:t>给水、燃气、供热、</w:t>
            </w:r>
            <w:r>
              <w:rPr>
                <w:rFonts w:ascii="宋体" w:hAnsi="宋体" w:eastAsia="宋体" w:cs="宋体"/>
                <w:spacing w:val="-4"/>
                <w:sz w:val="18"/>
                <w:szCs w:val="18"/>
              </w:rPr>
              <w:t>路灯养护维修工程</w:t>
            </w: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68" w:type="dxa"/>
            <w:vMerge w:val="continue"/>
            <w:tcBorders>
              <w:top w:val="nil"/>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220" w:type="default"/>
          <w:pgSz w:w="11905" w:h="16840"/>
          <w:pgMar w:top="400" w:right="1357"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5"/>
          <w:position w:val="1"/>
          <w:sz w:val="20"/>
          <w:szCs w:val="20"/>
        </w:rPr>
        <w:t>2.</w:t>
      </w:r>
      <w:r>
        <w:rPr>
          <w:rFonts w:ascii="宋体" w:hAnsi="宋体" w:eastAsia="宋体" w:cs="宋体"/>
          <w:spacing w:val="47"/>
          <w:position w:val="1"/>
          <w:sz w:val="20"/>
          <w:szCs w:val="20"/>
        </w:rPr>
        <w:t xml:space="preserve"> </w:t>
      </w:r>
      <w:r>
        <w:rPr>
          <w:rFonts w:ascii="宋体" w:hAnsi="宋体" w:eastAsia="宋体" w:cs="宋体"/>
          <w:spacing w:val="15"/>
          <w:position w:val="1"/>
          <w:sz w:val="20"/>
          <w:szCs w:val="20"/>
        </w:rPr>
        <w:t>简易计税法（单位：</w:t>
      </w:r>
      <w:r>
        <w:rPr>
          <w:rFonts w:ascii="宋体" w:hAnsi="宋体" w:eastAsia="宋体" w:cs="宋体"/>
          <w:spacing w:val="-50"/>
          <w:position w:val="1"/>
          <w:sz w:val="20"/>
          <w:szCs w:val="20"/>
        </w:rPr>
        <w:t xml:space="preserve"> </w:t>
      </w:r>
      <w:r>
        <w:rPr>
          <w:rFonts w:ascii="宋体" w:hAnsi="宋体" w:eastAsia="宋体" w:cs="宋体"/>
          <w:spacing w:val="15"/>
          <w:position w:val="1"/>
          <w:sz w:val="20"/>
          <w:szCs w:val="20"/>
        </w:rPr>
        <w:t>%）</w:t>
      </w:r>
    </w:p>
    <w:p>
      <w:pPr>
        <w:spacing w:line="110" w:lineRule="auto"/>
        <w:rPr>
          <w:rFonts w:ascii="Arial"/>
          <w:sz w:val="2"/>
        </w:rPr>
      </w:pPr>
    </w:p>
    <w:tbl>
      <w:tblPr>
        <w:tblStyle w:val="5"/>
        <w:tblW w:w="9079"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6"/>
        <w:gridCol w:w="1770"/>
        <w:gridCol w:w="957"/>
        <w:gridCol w:w="1092"/>
        <w:gridCol w:w="1077"/>
        <w:gridCol w:w="1151"/>
        <w:gridCol w:w="1107"/>
        <w:gridCol w:w="12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4" w:hRule="atLeast"/>
        </w:trPr>
        <w:tc>
          <w:tcPr>
            <w:tcW w:w="2476" w:type="dxa"/>
            <w:gridSpan w:val="2"/>
            <w:tcBorders>
              <w:top w:val="single" w:color="000000" w:sz="4" w:space="0"/>
              <w:left w:val="single" w:color="000000" w:sz="4" w:space="0"/>
              <w:tl2br w:val="single" w:color="000000" w:sz="2" w:space="0"/>
            </w:tcBorders>
            <w:vAlign w:val="top"/>
          </w:tcPr>
          <w:p>
            <w:pPr>
              <w:spacing w:before="62" w:line="329" w:lineRule="auto"/>
              <w:ind w:left="124" w:right="684" w:firstLine="953"/>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957" w:type="dxa"/>
            <w:tcBorders>
              <w:top w:val="single" w:color="000000" w:sz="4" w:space="0"/>
            </w:tcBorders>
            <w:vAlign w:val="top"/>
          </w:tcPr>
          <w:p>
            <w:pPr>
              <w:spacing w:before="180" w:line="243" w:lineRule="auto"/>
              <w:ind w:left="212" w:right="115" w:hanging="88"/>
              <w:rPr>
                <w:rFonts w:ascii="黑体" w:hAnsi="黑体" w:eastAsia="黑体" w:cs="黑体"/>
                <w:sz w:val="18"/>
                <w:szCs w:val="18"/>
              </w:rPr>
            </w:pPr>
            <w:r>
              <w:rPr>
                <w:rFonts w:ascii="黑体" w:hAnsi="黑体" w:eastAsia="黑体" w:cs="黑体"/>
                <w:spacing w:val="-2"/>
                <w:sz w:val="18"/>
                <w:szCs w:val="18"/>
              </w:rPr>
              <w:t>夜间施工</w:t>
            </w:r>
            <w:r>
              <w:rPr>
                <w:rFonts w:ascii="黑体" w:hAnsi="黑体" w:eastAsia="黑体" w:cs="黑体"/>
                <w:spacing w:val="-5"/>
                <w:sz w:val="18"/>
                <w:szCs w:val="18"/>
              </w:rPr>
              <w:t>增加费</w:t>
            </w:r>
          </w:p>
        </w:tc>
        <w:tc>
          <w:tcPr>
            <w:tcW w:w="1092" w:type="dxa"/>
            <w:tcBorders>
              <w:top w:val="single" w:color="000000" w:sz="4" w:space="0"/>
            </w:tcBorders>
            <w:vAlign w:val="top"/>
          </w:tcPr>
          <w:p>
            <w:pPr>
              <w:spacing w:before="154" w:line="248" w:lineRule="auto"/>
              <w:ind w:left="289" w:right="276" w:firstLine="10"/>
              <w:rPr>
                <w:rFonts w:ascii="黑体" w:hAnsi="黑体" w:eastAsia="黑体" w:cs="黑体"/>
                <w:sz w:val="18"/>
                <w:szCs w:val="18"/>
              </w:rPr>
            </w:pPr>
            <w:r>
              <w:rPr>
                <w:rFonts w:ascii="黑体" w:hAnsi="黑体" w:eastAsia="黑体" w:cs="黑体"/>
                <w:spacing w:val="-9"/>
                <w:sz w:val="18"/>
                <w:szCs w:val="18"/>
              </w:rPr>
              <w:t>二</w:t>
            </w:r>
            <w:r>
              <w:rPr>
                <w:rFonts w:ascii="黑体" w:hAnsi="黑体" w:eastAsia="黑体" w:cs="黑体"/>
                <w:spacing w:val="65"/>
                <w:sz w:val="18"/>
                <w:szCs w:val="18"/>
              </w:rPr>
              <w:t xml:space="preserve"> </w:t>
            </w:r>
            <w:r>
              <w:rPr>
                <w:rFonts w:ascii="黑体" w:hAnsi="黑体" w:eastAsia="黑体" w:cs="黑体"/>
                <w:spacing w:val="-9"/>
                <w:sz w:val="18"/>
                <w:szCs w:val="18"/>
              </w:rPr>
              <w:t>次</w:t>
            </w:r>
            <w:r>
              <w:rPr>
                <w:rFonts w:ascii="黑体" w:hAnsi="黑体" w:eastAsia="黑体" w:cs="黑体"/>
                <w:spacing w:val="-7"/>
                <w:sz w:val="18"/>
                <w:szCs w:val="18"/>
              </w:rPr>
              <w:t>搬运费</w:t>
            </w:r>
          </w:p>
        </w:tc>
        <w:tc>
          <w:tcPr>
            <w:tcW w:w="1077" w:type="dxa"/>
            <w:tcBorders>
              <w:top w:val="single" w:color="000000" w:sz="4" w:space="0"/>
            </w:tcBorders>
            <w:vAlign w:val="top"/>
          </w:tcPr>
          <w:p>
            <w:pPr>
              <w:spacing w:before="180" w:line="243" w:lineRule="auto"/>
              <w:ind w:left="194" w:right="165" w:firstLine="3"/>
              <w:rPr>
                <w:rFonts w:ascii="黑体" w:hAnsi="黑体" w:eastAsia="黑体" w:cs="黑体"/>
                <w:sz w:val="18"/>
                <w:szCs w:val="18"/>
              </w:rPr>
            </w:pPr>
            <w:r>
              <w:rPr>
                <w:rFonts w:ascii="黑体" w:hAnsi="黑体" w:eastAsia="黑体" w:cs="黑体"/>
                <w:spacing w:val="-3"/>
                <w:sz w:val="18"/>
                <w:szCs w:val="18"/>
              </w:rPr>
              <w:t>冬雨季施</w:t>
            </w:r>
            <w:r>
              <w:rPr>
                <w:rFonts w:ascii="黑体" w:hAnsi="黑体" w:eastAsia="黑体" w:cs="黑体"/>
                <w:spacing w:val="-5"/>
                <w:sz w:val="18"/>
                <w:szCs w:val="18"/>
              </w:rPr>
              <w:t>工增加费</w:t>
            </w:r>
          </w:p>
        </w:tc>
        <w:tc>
          <w:tcPr>
            <w:tcW w:w="1151" w:type="dxa"/>
            <w:tcBorders>
              <w:top w:val="single" w:color="000000" w:sz="4" w:space="0"/>
            </w:tcBorders>
            <w:vAlign w:val="top"/>
          </w:tcPr>
          <w:p>
            <w:pPr>
              <w:spacing w:before="178" w:line="243" w:lineRule="auto"/>
              <w:ind w:left="142" w:right="106" w:firstLine="27"/>
              <w:rPr>
                <w:rFonts w:ascii="黑体" w:hAnsi="黑体" w:eastAsia="黑体" w:cs="黑体"/>
                <w:sz w:val="18"/>
                <w:szCs w:val="18"/>
              </w:rPr>
            </w:pPr>
            <w:r>
              <w:rPr>
                <w:rFonts w:ascii="黑体" w:hAnsi="黑体" w:eastAsia="黑体" w:cs="黑体"/>
                <w:spacing w:val="-7"/>
                <w:sz w:val="18"/>
                <w:szCs w:val="18"/>
              </w:rPr>
              <w:t>已完工程及</w:t>
            </w:r>
            <w:r>
              <w:rPr>
                <w:rFonts w:ascii="黑体" w:hAnsi="黑体" w:eastAsia="黑体" w:cs="黑体"/>
                <w:spacing w:val="-4"/>
                <w:sz w:val="18"/>
                <w:szCs w:val="18"/>
              </w:rPr>
              <w:t>设备保护费</w:t>
            </w:r>
          </w:p>
        </w:tc>
        <w:tc>
          <w:tcPr>
            <w:tcW w:w="1107" w:type="dxa"/>
            <w:tcBorders>
              <w:top w:val="single" w:color="000000" w:sz="4" w:space="0"/>
            </w:tcBorders>
            <w:vAlign w:val="top"/>
          </w:tcPr>
          <w:p>
            <w:pPr>
              <w:spacing w:before="178" w:line="243" w:lineRule="auto"/>
              <w:ind w:left="310" w:right="174" w:hanging="95"/>
              <w:rPr>
                <w:rFonts w:ascii="黑体" w:hAnsi="黑体" w:eastAsia="黑体" w:cs="黑体"/>
                <w:sz w:val="18"/>
                <w:szCs w:val="18"/>
              </w:rPr>
            </w:pPr>
            <w:r>
              <w:rPr>
                <w:rFonts w:ascii="黑体" w:hAnsi="黑体" w:eastAsia="黑体" w:cs="黑体"/>
                <w:spacing w:val="-2"/>
                <w:sz w:val="18"/>
                <w:szCs w:val="18"/>
              </w:rPr>
              <w:t>工程定位</w:t>
            </w:r>
            <w:r>
              <w:rPr>
                <w:rFonts w:ascii="黑体" w:hAnsi="黑体" w:eastAsia="黑体" w:cs="黑体"/>
                <w:spacing w:val="-6"/>
                <w:sz w:val="18"/>
                <w:szCs w:val="18"/>
              </w:rPr>
              <w:t>复测费</w:t>
            </w:r>
          </w:p>
        </w:tc>
        <w:tc>
          <w:tcPr>
            <w:tcW w:w="1219" w:type="dxa"/>
            <w:tcBorders>
              <w:top w:val="single" w:color="000000" w:sz="4" w:space="0"/>
              <w:right w:val="single" w:color="000000" w:sz="4" w:space="0"/>
            </w:tcBorders>
            <w:vAlign w:val="top"/>
          </w:tcPr>
          <w:p>
            <w:pPr>
              <w:spacing w:before="178" w:line="243" w:lineRule="auto"/>
              <w:ind w:left="181" w:right="147" w:firstLine="81"/>
              <w:rPr>
                <w:rFonts w:ascii="黑体" w:hAnsi="黑体" w:eastAsia="黑体" w:cs="黑体"/>
                <w:sz w:val="18"/>
                <w:szCs w:val="18"/>
              </w:rPr>
            </w:pPr>
            <w:r>
              <w:rPr>
                <w:rFonts w:ascii="黑体" w:hAnsi="黑体" w:eastAsia="黑体" w:cs="黑体"/>
                <w:spacing w:val="20"/>
                <w:sz w:val="18"/>
                <w:szCs w:val="18"/>
              </w:rPr>
              <w:t>地下管线</w:t>
            </w:r>
            <w:r>
              <w:rPr>
                <w:rFonts w:ascii="黑体" w:hAnsi="黑体" w:eastAsia="黑体" w:cs="黑体"/>
                <w:spacing w:val="-6"/>
                <w:sz w:val="18"/>
                <w:szCs w:val="18"/>
              </w:rPr>
              <w:t>交叉处理费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restart"/>
            <w:tcBorders>
              <w:left w:val="single" w:color="000000" w:sz="4" w:space="0"/>
              <w:bottom w:val="nil"/>
            </w:tcBorders>
            <w:vAlign w:val="top"/>
          </w:tcPr>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spacing w:before="58" w:line="287" w:lineRule="auto"/>
              <w:ind w:left="177" w:right="160"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70" w:type="dxa"/>
            <w:vAlign w:val="top"/>
          </w:tcPr>
          <w:p>
            <w:pPr>
              <w:spacing w:before="111" w:line="212" w:lineRule="auto"/>
              <w:ind w:left="522"/>
              <w:rPr>
                <w:rFonts w:ascii="宋体" w:hAnsi="宋体" w:eastAsia="宋体" w:cs="宋体"/>
                <w:sz w:val="18"/>
                <w:szCs w:val="18"/>
              </w:rPr>
            </w:pPr>
            <w:r>
              <w:rPr>
                <w:rFonts w:ascii="宋体" w:hAnsi="宋体" w:eastAsia="宋体" w:cs="宋体"/>
                <w:spacing w:val="-3"/>
                <w:sz w:val="18"/>
                <w:szCs w:val="18"/>
              </w:rPr>
              <w:t>道路工程</w:t>
            </w:r>
          </w:p>
        </w:tc>
        <w:tc>
          <w:tcPr>
            <w:tcW w:w="957" w:type="dxa"/>
            <w:vAlign w:val="top"/>
          </w:tcPr>
          <w:p>
            <w:pPr>
              <w:spacing w:before="124" w:line="237" w:lineRule="exact"/>
              <w:ind w:left="303"/>
              <w:rPr>
                <w:rFonts w:ascii="宋体" w:hAnsi="宋体" w:eastAsia="宋体" w:cs="宋体"/>
                <w:sz w:val="18"/>
                <w:szCs w:val="18"/>
              </w:rPr>
            </w:pPr>
            <w:r>
              <w:rPr>
                <w:rFonts w:ascii="宋体" w:hAnsi="宋体" w:eastAsia="宋体" w:cs="宋体"/>
                <w:spacing w:val="-14"/>
                <w:position w:val="1"/>
                <w:sz w:val="18"/>
                <w:szCs w:val="18"/>
              </w:rPr>
              <w:t>0.67</w:t>
            </w:r>
          </w:p>
        </w:tc>
        <w:tc>
          <w:tcPr>
            <w:tcW w:w="1092" w:type="dxa"/>
            <w:vAlign w:val="top"/>
          </w:tcPr>
          <w:p>
            <w:pPr>
              <w:spacing w:before="124" w:line="237" w:lineRule="exact"/>
              <w:ind w:left="400"/>
              <w:rPr>
                <w:rFonts w:ascii="宋体" w:hAnsi="宋体" w:eastAsia="宋体" w:cs="宋体"/>
                <w:sz w:val="18"/>
                <w:szCs w:val="18"/>
              </w:rPr>
            </w:pPr>
            <w:r>
              <w:rPr>
                <w:rFonts w:ascii="宋体" w:hAnsi="宋体" w:eastAsia="宋体" w:cs="宋体"/>
                <w:spacing w:val="-19"/>
                <w:position w:val="1"/>
                <w:sz w:val="18"/>
                <w:szCs w:val="18"/>
              </w:rPr>
              <w:t>1.16</w:t>
            </w:r>
          </w:p>
        </w:tc>
        <w:tc>
          <w:tcPr>
            <w:tcW w:w="1077" w:type="dxa"/>
            <w:vAlign w:val="top"/>
          </w:tcPr>
          <w:p>
            <w:pPr>
              <w:spacing w:before="124" w:line="237" w:lineRule="exact"/>
              <w:ind w:left="371"/>
              <w:rPr>
                <w:rFonts w:ascii="宋体" w:hAnsi="宋体" w:eastAsia="宋体" w:cs="宋体"/>
                <w:sz w:val="18"/>
                <w:szCs w:val="18"/>
              </w:rPr>
            </w:pPr>
            <w:r>
              <w:rPr>
                <w:rFonts w:ascii="宋体" w:hAnsi="宋体" w:eastAsia="宋体" w:cs="宋体"/>
                <w:spacing w:val="-14"/>
                <w:position w:val="1"/>
                <w:sz w:val="18"/>
                <w:szCs w:val="18"/>
              </w:rPr>
              <w:t>0.42</w:t>
            </w:r>
          </w:p>
        </w:tc>
        <w:tc>
          <w:tcPr>
            <w:tcW w:w="1151" w:type="dxa"/>
            <w:vAlign w:val="top"/>
          </w:tcPr>
          <w:p>
            <w:pPr>
              <w:spacing w:before="124" w:line="237" w:lineRule="exact"/>
              <w:ind w:left="410"/>
              <w:rPr>
                <w:rFonts w:ascii="宋体" w:hAnsi="宋体" w:eastAsia="宋体" w:cs="宋体"/>
                <w:sz w:val="18"/>
                <w:szCs w:val="18"/>
              </w:rPr>
            </w:pPr>
            <w:r>
              <w:rPr>
                <w:rFonts w:ascii="宋体" w:hAnsi="宋体" w:eastAsia="宋体" w:cs="宋体"/>
                <w:spacing w:val="-14"/>
                <w:position w:val="1"/>
                <w:sz w:val="18"/>
                <w:szCs w:val="18"/>
              </w:rPr>
              <w:t>0.64</w:t>
            </w:r>
          </w:p>
        </w:tc>
        <w:tc>
          <w:tcPr>
            <w:tcW w:w="1107" w:type="dxa"/>
            <w:vAlign w:val="top"/>
          </w:tcPr>
          <w:p>
            <w:pPr>
              <w:spacing w:before="124" w:line="237" w:lineRule="exact"/>
              <w:ind w:left="391"/>
              <w:rPr>
                <w:rFonts w:ascii="宋体" w:hAnsi="宋体" w:eastAsia="宋体" w:cs="宋体"/>
                <w:sz w:val="18"/>
                <w:szCs w:val="18"/>
              </w:rPr>
            </w:pPr>
            <w:r>
              <w:rPr>
                <w:rFonts w:ascii="宋体" w:hAnsi="宋体" w:eastAsia="宋体" w:cs="宋体"/>
                <w:spacing w:val="-14"/>
                <w:position w:val="1"/>
                <w:sz w:val="18"/>
                <w:szCs w:val="18"/>
              </w:rPr>
              <w:t>0.13</w:t>
            </w:r>
          </w:p>
        </w:tc>
        <w:tc>
          <w:tcPr>
            <w:tcW w:w="1219" w:type="dxa"/>
            <w:tcBorders>
              <w:right w:val="single" w:color="000000" w:sz="4" w:space="0"/>
            </w:tcBorders>
            <w:vAlign w:val="top"/>
          </w:tcPr>
          <w:p>
            <w:pPr>
              <w:spacing w:before="124" w:line="237" w:lineRule="exact"/>
              <w:ind w:left="441"/>
              <w:rPr>
                <w:rFonts w:ascii="宋体" w:hAnsi="宋体" w:eastAsia="宋体" w:cs="宋体"/>
                <w:sz w:val="18"/>
                <w:szCs w:val="18"/>
              </w:rPr>
            </w:pPr>
            <w:r>
              <w:rPr>
                <w:rFonts w:ascii="宋体" w:hAnsi="宋体" w:eastAsia="宋体" w:cs="宋体"/>
                <w:spacing w:val="-14"/>
                <w:position w:val="1"/>
                <w:sz w:val="18"/>
                <w:szCs w:val="18"/>
              </w:rPr>
              <w:t>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09" w:lineRule="auto"/>
              <w:ind w:left="522"/>
              <w:rPr>
                <w:rFonts w:ascii="宋体" w:hAnsi="宋体" w:eastAsia="宋体" w:cs="宋体"/>
                <w:sz w:val="18"/>
                <w:szCs w:val="18"/>
              </w:rPr>
            </w:pPr>
            <w:r>
              <w:rPr>
                <w:rFonts w:ascii="宋体" w:hAnsi="宋体" w:eastAsia="宋体" w:cs="宋体"/>
                <w:spacing w:val="-3"/>
                <w:sz w:val="18"/>
                <w:szCs w:val="18"/>
              </w:rPr>
              <w:t>桥涵工程</w:t>
            </w:r>
          </w:p>
        </w:tc>
        <w:tc>
          <w:tcPr>
            <w:tcW w:w="957" w:type="dxa"/>
            <w:vAlign w:val="top"/>
          </w:tcPr>
          <w:p>
            <w:pPr>
              <w:spacing w:before="127" w:line="241" w:lineRule="auto"/>
              <w:ind w:left="303"/>
              <w:rPr>
                <w:rFonts w:ascii="宋体" w:hAnsi="宋体" w:eastAsia="宋体" w:cs="宋体"/>
                <w:sz w:val="18"/>
                <w:szCs w:val="18"/>
              </w:rPr>
            </w:pPr>
            <w:r>
              <w:rPr>
                <w:rFonts w:ascii="宋体" w:hAnsi="宋体" w:eastAsia="宋体" w:cs="宋体"/>
                <w:spacing w:val="-14"/>
                <w:sz w:val="18"/>
                <w:szCs w:val="18"/>
              </w:rPr>
              <w:t>0.40</w:t>
            </w:r>
          </w:p>
        </w:tc>
        <w:tc>
          <w:tcPr>
            <w:tcW w:w="1092" w:type="dxa"/>
            <w:vAlign w:val="top"/>
          </w:tcPr>
          <w:p>
            <w:pPr>
              <w:spacing w:before="127" w:line="241" w:lineRule="auto"/>
              <w:ind w:left="400"/>
              <w:rPr>
                <w:rFonts w:ascii="宋体" w:hAnsi="宋体" w:eastAsia="宋体" w:cs="宋体"/>
                <w:sz w:val="18"/>
                <w:szCs w:val="18"/>
              </w:rPr>
            </w:pPr>
            <w:r>
              <w:rPr>
                <w:rFonts w:ascii="宋体" w:hAnsi="宋体" w:eastAsia="宋体" w:cs="宋体"/>
                <w:spacing w:val="-19"/>
                <w:sz w:val="18"/>
                <w:szCs w:val="18"/>
              </w:rPr>
              <w:t>1.62</w:t>
            </w:r>
          </w:p>
        </w:tc>
        <w:tc>
          <w:tcPr>
            <w:tcW w:w="1077" w:type="dxa"/>
            <w:vAlign w:val="top"/>
          </w:tcPr>
          <w:p>
            <w:pPr>
              <w:spacing w:before="127" w:line="241" w:lineRule="auto"/>
              <w:ind w:left="371"/>
              <w:rPr>
                <w:rFonts w:ascii="宋体" w:hAnsi="宋体" w:eastAsia="宋体" w:cs="宋体"/>
                <w:sz w:val="18"/>
                <w:szCs w:val="18"/>
              </w:rPr>
            </w:pPr>
            <w:r>
              <w:rPr>
                <w:rFonts w:ascii="宋体" w:hAnsi="宋体" w:eastAsia="宋体" w:cs="宋体"/>
                <w:spacing w:val="-14"/>
                <w:sz w:val="18"/>
                <w:szCs w:val="18"/>
              </w:rPr>
              <w:t>0.41</w:t>
            </w:r>
          </w:p>
        </w:tc>
        <w:tc>
          <w:tcPr>
            <w:tcW w:w="1151" w:type="dxa"/>
            <w:vAlign w:val="top"/>
          </w:tcPr>
          <w:p>
            <w:pPr>
              <w:spacing w:before="127" w:line="241" w:lineRule="auto"/>
              <w:ind w:left="410"/>
              <w:rPr>
                <w:rFonts w:ascii="宋体" w:hAnsi="宋体" w:eastAsia="宋体" w:cs="宋体"/>
                <w:sz w:val="18"/>
                <w:szCs w:val="18"/>
              </w:rPr>
            </w:pPr>
            <w:r>
              <w:rPr>
                <w:rFonts w:ascii="宋体" w:hAnsi="宋体" w:eastAsia="宋体" w:cs="宋体"/>
                <w:spacing w:val="-14"/>
                <w:sz w:val="18"/>
                <w:szCs w:val="18"/>
              </w:rPr>
              <w:t>0.66</w:t>
            </w:r>
          </w:p>
        </w:tc>
        <w:tc>
          <w:tcPr>
            <w:tcW w:w="1107" w:type="dxa"/>
            <w:vAlign w:val="top"/>
          </w:tcPr>
          <w:p>
            <w:pPr>
              <w:spacing w:before="127" w:line="241" w:lineRule="auto"/>
              <w:ind w:left="391"/>
              <w:rPr>
                <w:rFonts w:ascii="宋体" w:hAnsi="宋体" w:eastAsia="宋体" w:cs="宋体"/>
                <w:sz w:val="18"/>
                <w:szCs w:val="18"/>
              </w:rPr>
            </w:pPr>
            <w:r>
              <w:rPr>
                <w:rFonts w:ascii="宋体" w:hAnsi="宋体" w:eastAsia="宋体" w:cs="宋体"/>
                <w:spacing w:val="-14"/>
                <w:sz w:val="18"/>
                <w:szCs w:val="18"/>
              </w:rPr>
              <w:t>0.09</w:t>
            </w:r>
          </w:p>
        </w:tc>
        <w:tc>
          <w:tcPr>
            <w:tcW w:w="1219" w:type="dxa"/>
            <w:tcBorders>
              <w:right w:val="single" w:color="000000" w:sz="4" w:space="0"/>
            </w:tcBorders>
            <w:vAlign w:val="top"/>
          </w:tcPr>
          <w:p>
            <w:pPr>
              <w:spacing w:before="127" w:line="241" w:lineRule="auto"/>
              <w:ind w:left="441"/>
              <w:rPr>
                <w:rFonts w:ascii="宋体" w:hAnsi="宋体" w:eastAsia="宋体" w:cs="宋体"/>
                <w:sz w:val="18"/>
                <w:szCs w:val="18"/>
              </w:rPr>
            </w:pPr>
            <w:r>
              <w:rPr>
                <w:rFonts w:ascii="宋体" w:hAnsi="宋体" w:eastAsia="宋体" w:cs="宋体"/>
                <w:spacing w:val="-14"/>
                <w:sz w:val="18"/>
                <w:szCs w:val="18"/>
              </w:rPr>
              <w:t>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11" w:lineRule="auto"/>
              <w:ind w:left="541"/>
              <w:rPr>
                <w:rFonts w:ascii="宋体" w:hAnsi="宋体" w:eastAsia="宋体" w:cs="宋体"/>
                <w:sz w:val="18"/>
                <w:szCs w:val="18"/>
              </w:rPr>
            </w:pPr>
            <w:r>
              <w:rPr>
                <w:rFonts w:ascii="宋体" w:hAnsi="宋体" w:eastAsia="宋体" w:cs="宋体"/>
                <w:spacing w:val="-9"/>
                <w:sz w:val="18"/>
                <w:szCs w:val="18"/>
              </w:rPr>
              <w:t>隧道工程</w:t>
            </w:r>
          </w:p>
        </w:tc>
        <w:tc>
          <w:tcPr>
            <w:tcW w:w="957" w:type="dxa"/>
            <w:vAlign w:val="top"/>
          </w:tcPr>
          <w:p>
            <w:pPr>
              <w:spacing w:before="128" w:line="239" w:lineRule="auto"/>
              <w:ind w:left="303"/>
              <w:rPr>
                <w:rFonts w:ascii="宋体" w:hAnsi="宋体" w:eastAsia="宋体" w:cs="宋体"/>
                <w:sz w:val="18"/>
                <w:szCs w:val="18"/>
              </w:rPr>
            </w:pPr>
            <w:r>
              <w:rPr>
                <w:rFonts w:ascii="宋体" w:hAnsi="宋体" w:eastAsia="宋体" w:cs="宋体"/>
                <w:spacing w:val="-14"/>
                <w:sz w:val="18"/>
                <w:szCs w:val="18"/>
              </w:rPr>
              <w:t>0.33</w:t>
            </w:r>
          </w:p>
        </w:tc>
        <w:tc>
          <w:tcPr>
            <w:tcW w:w="1092" w:type="dxa"/>
            <w:vAlign w:val="top"/>
          </w:tcPr>
          <w:p>
            <w:pPr>
              <w:spacing w:before="128" w:line="239" w:lineRule="auto"/>
              <w:ind w:left="400"/>
              <w:rPr>
                <w:rFonts w:ascii="宋体" w:hAnsi="宋体" w:eastAsia="宋体" w:cs="宋体"/>
                <w:sz w:val="18"/>
                <w:szCs w:val="18"/>
              </w:rPr>
            </w:pPr>
            <w:r>
              <w:rPr>
                <w:rFonts w:ascii="宋体" w:hAnsi="宋体" w:eastAsia="宋体" w:cs="宋体"/>
                <w:spacing w:val="-19"/>
                <w:sz w:val="18"/>
                <w:szCs w:val="18"/>
              </w:rPr>
              <w:t>1.35</w:t>
            </w:r>
          </w:p>
        </w:tc>
        <w:tc>
          <w:tcPr>
            <w:tcW w:w="1077" w:type="dxa"/>
            <w:vAlign w:val="top"/>
          </w:tcPr>
          <w:p>
            <w:pPr>
              <w:spacing w:before="128" w:line="239" w:lineRule="auto"/>
              <w:ind w:left="371"/>
              <w:rPr>
                <w:rFonts w:ascii="宋体" w:hAnsi="宋体" w:eastAsia="宋体" w:cs="宋体"/>
                <w:sz w:val="18"/>
                <w:szCs w:val="18"/>
              </w:rPr>
            </w:pPr>
            <w:r>
              <w:rPr>
                <w:rFonts w:ascii="宋体" w:hAnsi="宋体" w:eastAsia="宋体" w:cs="宋体"/>
                <w:spacing w:val="-14"/>
                <w:sz w:val="18"/>
                <w:szCs w:val="18"/>
              </w:rPr>
              <w:t>0.34</w:t>
            </w:r>
          </w:p>
        </w:tc>
        <w:tc>
          <w:tcPr>
            <w:tcW w:w="1151" w:type="dxa"/>
            <w:vAlign w:val="top"/>
          </w:tcPr>
          <w:p>
            <w:pPr>
              <w:spacing w:before="128" w:line="239" w:lineRule="auto"/>
              <w:ind w:left="410"/>
              <w:rPr>
                <w:rFonts w:ascii="宋体" w:hAnsi="宋体" w:eastAsia="宋体" w:cs="宋体"/>
                <w:sz w:val="18"/>
                <w:szCs w:val="18"/>
              </w:rPr>
            </w:pPr>
            <w:r>
              <w:rPr>
                <w:rFonts w:ascii="宋体" w:hAnsi="宋体" w:eastAsia="宋体" w:cs="宋体"/>
                <w:spacing w:val="-14"/>
                <w:sz w:val="18"/>
                <w:szCs w:val="18"/>
              </w:rPr>
              <w:t>0.67</w:t>
            </w:r>
          </w:p>
        </w:tc>
        <w:tc>
          <w:tcPr>
            <w:tcW w:w="1107" w:type="dxa"/>
            <w:vAlign w:val="top"/>
          </w:tcPr>
          <w:p>
            <w:pPr>
              <w:spacing w:before="128" w:line="239" w:lineRule="auto"/>
              <w:ind w:left="391"/>
              <w:rPr>
                <w:rFonts w:ascii="宋体" w:hAnsi="宋体" w:eastAsia="宋体" w:cs="宋体"/>
                <w:sz w:val="18"/>
                <w:szCs w:val="18"/>
              </w:rPr>
            </w:pPr>
            <w:r>
              <w:rPr>
                <w:rFonts w:ascii="宋体" w:hAnsi="宋体" w:eastAsia="宋体" w:cs="宋体"/>
                <w:spacing w:val="-14"/>
                <w:sz w:val="18"/>
                <w:szCs w:val="18"/>
              </w:rPr>
              <w:t>0.08</w:t>
            </w:r>
          </w:p>
        </w:tc>
        <w:tc>
          <w:tcPr>
            <w:tcW w:w="1219" w:type="dxa"/>
            <w:tcBorders>
              <w:right w:val="single" w:color="000000" w:sz="4" w:space="0"/>
            </w:tcBorders>
            <w:vAlign w:val="top"/>
          </w:tcPr>
          <w:p>
            <w:pPr>
              <w:spacing w:before="128" w:line="239" w:lineRule="auto"/>
              <w:ind w:left="441"/>
              <w:rPr>
                <w:rFonts w:ascii="宋体" w:hAnsi="宋体" w:eastAsia="宋体" w:cs="宋体"/>
                <w:sz w:val="18"/>
                <w:szCs w:val="18"/>
              </w:rPr>
            </w:pPr>
            <w:r>
              <w:rPr>
                <w:rFonts w:ascii="宋体" w:hAnsi="宋体" w:eastAsia="宋体" w:cs="宋体"/>
                <w:spacing w:val="-14"/>
                <w:sz w:val="18"/>
                <w:szCs w:val="18"/>
              </w:rPr>
              <w:t>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9" w:line="211" w:lineRule="auto"/>
              <w:ind w:left="527"/>
              <w:rPr>
                <w:rFonts w:ascii="宋体" w:hAnsi="宋体" w:eastAsia="宋体" w:cs="宋体"/>
                <w:sz w:val="18"/>
                <w:szCs w:val="18"/>
              </w:rPr>
            </w:pPr>
            <w:r>
              <w:rPr>
                <w:rFonts w:ascii="宋体" w:hAnsi="宋体" w:eastAsia="宋体" w:cs="宋体"/>
                <w:spacing w:val="-5"/>
                <w:sz w:val="18"/>
                <w:szCs w:val="18"/>
              </w:rPr>
              <w:t>给水工程</w:t>
            </w:r>
          </w:p>
        </w:tc>
        <w:tc>
          <w:tcPr>
            <w:tcW w:w="957" w:type="dxa"/>
            <w:vAlign w:val="top"/>
          </w:tcPr>
          <w:p>
            <w:pPr>
              <w:spacing w:before="130" w:line="238" w:lineRule="auto"/>
              <w:ind w:left="330"/>
              <w:rPr>
                <w:rFonts w:ascii="宋体" w:hAnsi="宋体" w:eastAsia="宋体" w:cs="宋体"/>
                <w:sz w:val="18"/>
                <w:szCs w:val="18"/>
              </w:rPr>
            </w:pPr>
            <w:r>
              <w:rPr>
                <w:rFonts w:ascii="宋体" w:hAnsi="宋体" w:eastAsia="宋体" w:cs="宋体"/>
                <w:spacing w:val="-19"/>
                <w:sz w:val="18"/>
                <w:szCs w:val="18"/>
              </w:rPr>
              <w:t>1.61</w:t>
            </w:r>
          </w:p>
        </w:tc>
        <w:tc>
          <w:tcPr>
            <w:tcW w:w="1092" w:type="dxa"/>
            <w:vAlign w:val="top"/>
          </w:tcPr>
          <w:p>
            <w:pPr>
              <w:spacing w:before="130" w:line="238" w:lineRule="auto"/>
              <w:ind w:left="374"/>
              <w:rPr>
                <w:rFonts w:ascii="宋体" w:hAnsi="宋体" w:eastAsia="宋体" w:cs="宋体"/>
                <w:sz w:val="18"/>
                <w:szCs w:val="18"/>
              </w:rPr>
            </w:pPr>
            <w:r>
              <w:rPr>
                <w:rFonts w:ascii="宋体" w:hAnsi="宋体" w:eastAsia="宋体" w:cs="宋体"/>
                <w:spacing w:val="-15"/>
                <w:sz w:val="18"/>
                <w:szCs w:val="18"/>
              </w:rPr>
              <w:t>2.14</w:t>
            </w:r>
          </w:p>
        </w:tc>
        <w:tc>
          <w:tcPr>
            <w:tcW w:w="1077" w:type="dxa"/>
            <w:vAlign w:val="top"/>
          </w:tcPr>
          <w:p>
            <w:pPr>
              <w:spacing w:before="130" w:line="238" w:lineRule="auto"/>
              <w:ind w:left="396"/>
              <w:rPr>
                <w:rFonts w:ascii="宋体" w:hAnsi="宋体" w:eastAsia="宋体" w:cs="宋体"/>
                <w:sz w:val="18"/>
                <w:szCs w:val="18"/>
              </w:rPr>
            </w:pPr>
            <w:r>
              <w:rPr>
                <w:rFonts w:ascii="宋体" w:hAnsi="宋体" w:eastAsia="宋体" w:cs="宋体"/>
                <w:spacing w:val="-19"/>
                <w:sz w:val="18"/>
                <w:szCs w:val="18"/>
              </w:rPr>
              <w:t>1.63</w:t>
            </w:r>
          </w:p>
        </w:tc>
        <w:tc>
          <w:tcPr>
            <w:tcW w:w="1151" w:type="dxa"/>
            <w:vAlign w:val="top"/>
          </w:tcPr>
          <w:p>
            <w:pPr>
              <w:spacing w:before="130" w:line="238" w:lineRule="auto"/>
              <w:ind w:left="410"/>
              <w:rPr>
                <w:rFonts w:ascii="宋体" w:hAnsi="宋体" w:eastAsia="宋体" w:cs="宋体"/>
                <w:sz w:val="18"/>
                <w:szCs w:val="18"/>
              </w:rPr>
            </w:pPr>
            <w:r>
              <w:rPr>
                <w:rFonts w:ascii="宋体" w:hAnsi="宋体" w:eastAsia="宋体" w:cs="宋体"/>
                <w:spacing w:val="-14"/>
                <w:sz w:val="18"/>
                <w:szCs w:val="18"/>
              </w:rPr>
              <w:t>0.85</w:t>
            </w:r>
          </w:p>
        </w:tc>
        <w:tc>
          <w:tcPr>
            <w:tcW w:w="1107" w:type="dxa"/>
            <w:vAlign w:val="top"/>
          </w:tcPr>
          <w:p>
            <w:pPr>
              <w:spacing w:before="130" w:line="238" w:lineRule="auto"/>
              <w:ind w:left="391"/>
              <w:rPr>
                <w:rFonts w:ascii="宋体" w:hAnsi="宋体" w:eastAsia="宋体" w:cs="宋体"/>
                <w:sz w:val="18"/>
                <w:szCs w:val="18"/>
              </w:rPr>
            </w:pPr>
            <w:r>
              <w:rPr>
                <w:rFonts w:ascii="宋体" w:hAnsi="宋体" w:eastAsia="宋体" w:cs="宋体"/>
                <w:spacing w:val="-14"/>
                <w:sz w:val="18"/>
                <w:szCs w:val="18"/>
              </w:rPr>
              <w:t>0.35</w:t>
            </w:r>
          </w:p>
        </w:tc>
        <w:tc>
          <w:tcPr>
            <w:tcW w:w="1219" w:type="dxa"/>
            <w:tcBorders>
              <w:right w:val="single" w:color="000000" w:sz="4" w:space="0"/>
            </w:tcBorders>
            <w:vAlign w:val="top"/>
          </w:tcPr>
          <w:p>
            <w:pPr>
              <w:spacing w:before="130" w:line="238" w:lineRule="auto"/>
              <w:ind w:left="469"/>
              <w:rPr>
                <w:rFonts w:ascii="宋体" w:hAnsi="宋体" w:eastAsia="宋体" w:cs="宋体"/>
                <w:sz w:val="18"/>
                <w:szCs w:val="18"/>
              </w:rPr>
            </w:pPr>
            <w:r>
              <w:rPr>
                <w:rFonts w:ascii="宋体" w:hAnsi="宋体" w:eastAsia="宋体" w:cs="宋体"/>
                <w:spacing w:val="-19"/>
                <w:sz w:val="18"/>
                <w:szCs w:val="18"/>
              </w:rPr>
              <w:t>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08" w:line="222" w:lineRule="auto"/>
              <w:ind w:left="522"/>
              <w:rPr>
                <w:rFonts w:ascii="宋体" w:hAnsi="宋体" w:eastAsia="宋体" w:cs="宋体"/>
                <w:sz w:val="18"/>
                <w:szCs w:val="18"/>
              </w:rPr>
            </w:pPr>
            <w:r>
              <w:rPr>
                <w:rFonts w:ascii="宋体" w:hAnsi="宋体" w:eastAsia="宋体" w:cs="宋体"/>
                <w:spacing w:val="-3"/>
                <w:sz w:val="18"/>
                <w:szCs w:val="18"/>
              </w:rPr>
              <w:t>排水工程</w:t>
            </w:r>
          </w:p>
        </w:tc>
        <w:tc>
          <w:tcPr>
            <w:tcW w:w="957" w:type="dxa"/>
            <w:vAlign w:val="top"/>
          </w:tcPr>
          <w:p>
            <w:pPr>
              <w:spacing w:before="131" w:line="236" w:lineRule="auto"/>
              <w:ind w:left="303"/>
              <w:rPr>
                <w:rFonts w:ascii="宋体" w:hAnsi="宋体" w:eastAsia="宋体" w:cs="宋体"/>
                <w:sz w:val="18"/>
                <w:szCs w:val="18"/>
              </w:rPr>
            </w:pPr>
            <w:r>
              <w:rPr>
                <w:rFonts w:ascii="宋体" w:hAnsi="宋体" w:eastAsia="宋体" w:cs="宋体"/>
                <w:spacing w:val="-14"/>
                <w:sz w:val="18"/>
                <w:szCs w:val="18"/>
              </w:rPr>
              <w:t>0.44</w:t>
            </w:r>
          </w:p>
        </w:tc>
        <w:tc>
          <w:tcPr>
            <w:tcW w:w="1092" w:type="dxa"/>
            <w:vAlign w:val="top"/>
          </w:tcPr>
          <w:p>
            <w:pPr>
              <w:spacing w:before="131" w:line="236" w:lineRule="auto"/>
              <w:ind w:left="400"/>
              <w:rPr>
                <w:rFonts w:ascii="宋体" w:hAnsi="宋体" w:eastAsia="宋体" w:cs="宋体"/>
                <w:sz w:val="18"/>
                <w:szCs w:val="18"/>
              </w:rPr>
            </w:pPr>
            <w:r>
              <w:rPr>
                <w:rFonts w:ascii="宋体" w:hAnsi="宋体" w:eastAsia="宋体" w:cs="宋体"/>
                <w:spacing w:val="-19"/>
                <w:sz w:val="18"/>
                <w:szCs w:val="18"/>
              </w:rPr>
              <w:t>1.31</w:t>
            </w:r>
          </w:p>
        </w:tc>
        <w:tc>
          <w:tcPr>
            <w:tcW w:w="1077" w:type="dxa"/>
            <w:vAlign w:val="top"/>
          </w:tcPr>
          <w:p>
            <w:pPr>
              <w:spacing w:before="131" w:line="236" w:lineRule="auto"/>
              <w:ind w:left="371"/>
              <w:rPr>
                <w:rFonts w:ascii="宋体" w:hAnsi="宋体" w:eastAsia="宋体" w:cs="宋体"/>
                <w:sz w:val="18"/>
                <w:szCs w:val="18"/>
              </w:rPr>
            </w:pPr>
            <w:r>
              <w:rPr>
                <w:rFonts w:ascii="宋体" w:hAnsi="宋体" w:eastAsia="宋体" w:cs="宋体"/>
                <w:spacing w:val="-14"/>
                <w:sz w:val="18"/>
                <w:szCs w:val="18"/>
              </w:rPr>
              <w:t>0.45</w:t>
            </w:r>
          </w:p>
        </w:tc>
        <w:tc>
          <w:tcPr>
            <w:tcW w:w="1151" w:type="dxa"/>
            <w:vAlign w:val="top"/>
          </w:tcPr>
          <w:p>
            <w:pPr>
              <w:spacing w:before="131" w:line="236" w:lineRule="auto"/>
              <w:ind w:left="410"/>
              <w:rPr>
                <w:rFonts w:ascii="宋体" w:hAnsi="宋体" w:eastAsia="宋体" w:cs="宋体"/>
                <w:sz w:val="18"/>
                <w:szCs w:val="18"/>
              </w:rPr>
            </w:pPr>
            <w:r>
              <w:rPr>
                <w:rFonts w:ascii="宋体" w:hAnsi="宋体" w:eastAsia="宋体" w:cs="宋体"/>
                <w:spacing w:val="-14"/>
                <w:sz w:val="18"/>
                <w:szCs w:val="18"/>
              </w:rPr>
              <w:t>0.52</w:t>
            </w:r>
          </w:p>
        </w:tc>
        <w:tc>
          <w:tcPr>
            <w:tcW w:w="1107" w:type="dxa"/>
            <w:vAlign w:val="top"/>
          </w:tcPr>
          <w:p>
            <w:pPr>
              <w:spacing w:before="131" w:line="236" w:lineRule="auto"/>
              <w:ind w:left="391"/>
              <w:rPr>
                <w:rFonts w:ascii="宋体" w:hAnsi="宋体" w:eastAsia="宋体" w:cs="宋体"/>
                <w:sz w:val="18"/>
                <w:szCs w:val="18"/>
              </w:rPr>
            </w:pPr>
            <w:r>
              <w:rPr>
                <w:rFonts w:ascii="宋体" w:hAnsi="宋体" w:eastAsia="宋体" w:cs="宋体"/>
                <w:spacing w:val="-14"/>
                <w:sz w:val="18"/>
                <w:szCs w:val="18"/>
              </w:rPr>
              <w:t>0.11</w:t>
            </w:r>
          </w:p>
        </w:tc>
        <w:tc>
          <w:tcPr>
            <w:tcW w:w="1219" w:type="dxa"/>
            <w:tcBorders>
              <w:right w:val="single" w:color="000000" w:sz="4" w:space="0"/>
            </w:tcBorders>
            <w:vAlign w:val="top"/>
          </w:tcPr>
          <w:p>
            <w:pPr>
              <w:spacing w:before="131" w:line="236" w:lineRule="auto"/>
              <w:ind w:left="441"/>
              <w:rPr>
                <w:rFonts w:ascii="宋体" w:hAnsi="宋体" w:eastAsia="宋体" w:cs="宋体"/>
                <w:sz w:val="18"/>
                <w:szCs w:val="18"/>
              </w:rPr>
            </w:pPr>
            <w:r>
              <w:rPr>
                <w:rFonts w:ascii="宋体" w:hAnsi="宋体" w:eastAsia="宋体" w:cs="宋体"/>
                <w:spacing w:val="-14"/>
                <w:sz w:val="18"/>
                <w:szCs w:val="18"/>
              </w:rPr>
              <w:t>0.79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2" w:line="214" w:lineRule="auto"/>
              <w:ind w:left="520"/>
              <w:rPr>
                <w:rFonts w:ascii="宋体" w:hAnsi="宋体" w:eastAsia="宋体" w:cs="宋体"/>
                <w:sz w:val="18"/>
                <w:szCs w:val="18"/>
              </w:rPr>
            </w:pPr>
            <w:r>
              <w:rPr>
                <w:rFonts w:ascii="宋体" w:hAnsi="宋体" w:eastAsia="宋体" w:cs="宋体"/>
                <w:spacing w:val="-3"/>
                <w:sz w:val="18"/>
                <w:szCs w:val="18"/>
              </w:rPr>
              <w:t>燃气工程</w:t>
            </w:r>
          </w:p>
        </w:tc>
        <w:tc>
          <w:tcPr>
            <w:tcW w:w="957" w:type="dxa"/>
            <w:vAlign w:val="top"/>
          </w:tcPr>
          <w:p>
            <w:pPr>
              <w:spacing w:before="134" w:line="234" w:lineRule="auto"/>
              <w:ind w:left="330"/>
              <w:rPr>
                <w:rFonts w:ascii="宋体" w:hAnsi="宋体" w:eastAsia="宋体" w:cs="宋体"/>
                <w:sz w:val="18"/>
                <w:szCs w:val="18"/>
              </w:rPr>
            </w:pPr>
            <w:r>
              <w:rPr>
                <w:rFonts w:ascii="宋体" w:hAnsi="宋体" w:eastAsia="宋体" w:cs="宋体"/>
                <w:spacing w:val="-19"/>
                <w:sz w:val="18"/>
                <w:szCs w:val="18"/>
              </w:rPr>
              <w:t>1.12</w:t>
            </w:r>
          </w:p>
        </w:tc>
        <w:tc>
          <w:tcPr>
            <w:tcW w:w="1092" w:type="dxa"/>
            <w:vAlign w:val="top"/>
          </w:tcPr>
          <w:p>
            <w:pPr>
              <w:spacing w:before="134" w:line="234" w:lineRule="auto"/>
              <w:ind w:left="400"/>
              <w:rPr>
                <w:rFonts w:ascii="宋体" w:hAnsi="宋体" w:eastAsia="宋体" w:cs="宋体"/>
                <w:sz w:val="18"/>
                <w:szCs w:val="18"/>
              </w:rPr>
            </w:pPr>
            <w:r>
              <w:rPr>
                <w:rFonts w:ascii="宋体" w:hAnsi="宋体" w:eastAsia="宋体" w:cs="宋体"/>
                <w:spacing w:val="-19"/>
                <w:sz w:val="18"/>
                <w:szCs w:val="18"/>
              </w:rPr>
              <w:t>1.39</w:t>
            </w:r>
          </w:p>
        </w:tc>
        <w:tc>
          <w:tcPr>
            <w:tcW w:w="1077" w:type="dxa"/>
            <w:vAlign w:val="top"/>
          </w:tcPr>
          <w:p>
            <w:pPr>
              <w:spacing w:before="134" w:line="234" w:lineRule="auto"/>
              <w:ind w:left="396"/>
              <w:rPr>
                <w:rFonts w:ascii="宋体" w:hAnsi="宋体" w:eastAsia="宋体" w:cs="宋体"/>
                <w:sz w:val="18"/>
                <w:szCs w:val="18"/>
              </w:rPr>
            </w:pPr>
            <w:r>
              <w:rPr>
                <w:rFonts w:ascii="宋体" w:hAnsi="宋体" w:eastAsia="宋体" w:cs="宋体"/>
                <w:spacing w:val="-19"/>
                <w:sz w:val="18"/>
                <w:szCs w:val="18"/>
              </w:rPr>
              <w:t>1.13</w:t>
            </w:r>
          </w:p>
        </w:tc>
        <w:tc>
          <w:tcPr>
            <w:tcW w:w="1151" w:type="dxa"/>
            <w:vAlign w:val="top"/>
          </w:tcPr>
          <w:p>
            <w:pPr>
              <w:spacing w:before="134" w:line="234" w:lineRule="auto"/>
              <w:ind w:left="410"/>
              <w:rPr>
                <w:rFonts w:ascii="宋体" w:hAnsi="宋体" w:eastAsia="宋体" w:cs="宋体"/>
                <w:sz w:val="18"/>
                <w:szCs w:val="18"/>
              </w:rPr>
            </w:pPr>
            <w:r>
              <w:rPr>
                <w:rFonts w:ascii="宋体" w:hAnsi="宋体" w:eastAsia="宋体" w:cs="宋体"/>
                <w:spacing w:val="-14"/>
                <w:sz w:val="18"/>
                <w:szCs w:val="18"/>
              </w:rPr>
              <w:t>0.71</w:t>
            </w:r>
          </w:p>
        </w:tc>
        <w:tc>
          <w:tcPr>
            <w:tcW w:w="1107" w:type="dxa"/>
            <w:vAlign w:val="top"/>
          </w:tcPr>
          <w:p>
            <w:pPr>
              <w:spacing w:before="134" w:line="234" w:lineRule="auto"/>
              <w:ind w:left="391"/>
              <w:rPr>
                <w:rFonts w:ascii="宋体" w:hAnsi="宋体" w:eastAsia="宋体" w:cs="宋体"/>
                <w:sz w:val="18"/>
                <w:szCs w:val="18"/>
              </w:rPr>
            </w:pPr>
            <w:r>
              <w:rPr>
                <w:rFonts w:ascii="宋体" w:hAnsi="宋体" w:eastAsia="宋体" w:cs="宋体"/>
                <w:spacing w:val="-14"/>
                <w:sz w:val="18"/>
                <w:szCs w:val="18"/>
              </w:rPr>
              <w:t>0.73</w:t>
            </w:r>
          </w:p>
        </w:tc>
        <w:tc>
          <w:tcPr>
            <w:tcW w:w="1219" w:type="dxa"/>
            <w:tcBorders>
              <w:right w:val="single" w:color="000000" w:sz="4" w:space="0"/>
            </w:tcBorders>
            <w:vAlign w:val="top"/>
          </w:tcPr>
          <w:p>
            <w:pPr>
              <w:spacing w:before="134" w:line="234" w:lineRule="auto"/>
              <w:ind w:left="441"/>
              <w:rPr>
                <w:rFonts w:ascii="宋体" w:hAnsi="宋体" w:eastAsia="宋体" w:cs="宋体"/>
                <w:sz w:val="18"/>
                <w:szCs w:val="18"/>
              </w:rPr>
            </w:pPr>
            <w:r>
              <w:rPr>
                <w:rFonts w:ascii="宋体" w:hAnsi="宋体" w:eastAsia="宋体" w:cs="宋体"/>
                <w:spacing w:val="-14"/>
                <w:sz w:val="18"/>
                <w:szCs w:val="18"/>
              </w:rPr>
              <w:t>0.95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16" w:line="240" w:lineRule="exact"/>
              <w:ind w:left="521"/>
              <w:rPr>
                <w:rFonts w:ascii="宋体" w:hAnsi="宋体" w:eastAsia="宋体" w:cs="宋体"/>
                <w:sz w:val="18"/>
                <w:szCs w:val="18"/>
              </w:rPr>
            </w:pPr>
            <w:r>
              <w:rPr>
                <w:rFonts w:ascii="宋体" w:hAnsi="宋体" w:eastAsia="宋体" w:cs="宋体"/>
                <w:spacing w:val="-3"/>
                <w:position w:val="1"/>
                <w:sz w:val="18"/>
                <w:szCs w:val="18"/>
              </w:rPr>
              <w:t>供热工程</w:t>
            </w:r>
          </w:p>
        </w:tc>
        <w:tc>
          <w:tcPr>
            <w:tcW w:w="957" w:type="dxa"/>
            <w:vAlign w:val="top"/>
          </w:tcPr>
          <w:p>
            <w:pPr>
              <w:spacing w:before="135" w:line="233" w:lineRule="auto"/>
              <w:ind w:left="330"/>
              <w:rPr>
                <w:rFonts w:ascii="宋体" w:hAnsi="宋体" w:eastAsia="宋体" w:cs="宋体"/>
                <w:sz w:val="18"/>
                <w:szCs w:val="18"/>
              </w:rPr>
            </w:pPr>
            <w:r>
              <w:rPr>
                <w:rFonts w:ascii="宋体" w:hAnsi="宋体" w:eastAsia="宋体" w:cs="宋体"/>
                <w:spacing w:val="-19"/>
                <w:sz w:val="18"/>
                <w:szCs w:val="18"/>
              </w:rPr>
              <w:t>1.03</w:t>
            </w:r>
          </w:p>
        </w:tc>
        <w:tc>
          <w:tcPr>
            <w:tcW w:w="1092" w:type="dxa"/>
            <w:vAlign w:val="top"/>
          </w:tcPr>
          <w:p>
            <w:pPr>
              <w:spacing w:before="135" w:line="233" w:lineRule="auto"/>
              <w:ind w:left="400"/>
              <w:rPr>
                <w:rFonts w:ascii="宋体" w:hAnsi="宋体" w:eastAsia="宋体" w:cs="宋体"/>
                <w:sz w:val="18"/>
                <w:szCs w:val="18"/>
              </w:rPr>
            </w:pPr>
            <w:r>
              <w:rPr>
                <w:rFonts w:ascii="宋体" w:hAnsi="宋体" w:eastAsia="宋体" w:cs="宋体"/>
                <w:spacing w:val="-19"/>
                <w:sz w:val="18"/>
                <w:szCs w:val="18"/>
              </w:rPr>
              <w:t>1.35</w:t>
            </w:r>
          </w:p>
        </w:tc>
        <w:tc>
          <w:tcPr>
            <w:tcW w:w="1077" w:type="dxa"/>
            <w:vAlign w:val="top"/>
          </w:tcPr>
          <w:p>
            <w:pPr>
              <w:spacing w:before="135" w:line="233" w:lineRule="auto"/>
              <w:ind w:left="396"/>
              <w:rPr>
                <w:rFonts w:ascii="宋体" w:hAnsi="宋体" w:eastAsia="宋体" w:cs="宋体"/>
                <w:sz w:val="18"/>
                <w:szCs w:val="18"/>
              </w:rPr>
            </w:pPr>
            <w:r>
              <w:rPr>
                <w:rFonts w:ascii="宋体" w:hAnsi="宋体" w:eastAsia="宋体" w:cs="宋体"/>
                <w:spacing w:val="-19"/>
                <w:sz w:val="18"/>
                <w:szCs w:val="18"/>
              </w:rPr>
              <w:t>1.03</w:t>
            </w:r>
          </w:p>
        </w:tc>
        <w:tc>
          <w:tcPr>
            <w:tcW w:w="1151" w:type="dxa"/>
            <w:vAlign w:val="top"/>
          </w:tcPr>
          <w:p>
            <w:pPr>
              <w:spacing w:before="135" w:line="233" w:lineRule="auto"/>
              <w:ind w:left="410"/>
              <w:rPr>
                <w:rFonts w:ascii="宋体" w:hAnsi="宋体" w:eastAsia="宋体" w:cs="宋体"/>
                <w:sz w:val="18"/>
                <w:szCs w:val="18"/>
              </w:rPr>
            </w:pPr>
            <w:r>
              <w:rPr>
                <w:rFonts w:ascii="宋体" w:hAnsi="宋体" w:eastAsia="宋体" w:cs="宋体"/>
                <w:spacing w:val="-14"/>
                <w:sz w:val="18"/>
                <w:szCs w:val="18"/>
              </w:rPr>
              <w:t>0.55</w:t>
            </w:r>
          </w:p>
        </w:tc>
        <w:tc>
          <w:tcPr>
            <w:tcW w:w="1107" w:type="dxa"/>
            <w:vAlign w:val="top"/>
          </w:tcPr>
          <w:p>
            <w:pPr>
              <w:spacing w:before="135" w:line="233" w:lineRule="auto"/>
              <w:ind w:left="391"/>
              <w:rPr>
                <w:rFonts w:ascii="宋体" w:hAnsi="宋体" w:eastAsia="宋体" w:cs="宋体"/>
                <w:sz w:val="18"/>
                <w:szCs w:val="18"/>
              </w:rPr>
            </w:pPr>
            <w:r>
              <w:rPr>
                <w:rFonts w:ascii="宋体" w:hAnsi="宋体" w:eastAsia="宋体" w:cs="宋体"/>
                <w:spacing w:val="-14"/>
                <w:sz w:val="18"/>
                <w:szCs w:val="18"/>
              </w:rPr>
              <w:t>0.54</w:t>
            </w:r>
          </w:p>
        </w:tc>
        <w:tc>
          <w:tcPr>
            <w:tcW w:w="1219" w:type="dxa"/>
            <w:tcBorders>
              <w:right w:val="single" w:color="000000" w:sz="4" w:space="0"/>
            </w:tcBorders>
            <w:vAlign w:val="top"/>
          </w:tcPr>
          <w:p>
            <w:pPr>
              <w:spacing w:before="135" w:line="233" w:lineRule="auto"/>
              <w:ind w:left="441"/>
              <w:rPr>
                <w:rFonts w:ascii="宋体" w:hAnsi="宋体" w:eastAsia="宋体" w:cs="宋体"/>
                <w:sz w:val="18"/>
                <w:szCs w:val="18"/>
              </w:rPr>
            </w:pPr>
            <w:r>
              <w:rPr>
                <w:rFonts w:ascii="宋体" w:hAnsi="宋体" w:eastAsia="宋体" w:cs="宋体"/>
                <w:spacing w:val="-14"/>
                <w:sz w:val="18"/>
                <w:szCs w:val="18"/>
              </w:rPr>
              <w:t>0.82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4" w:line="210" w:lineRule="auto"/>
              <w:ind w:left="435"/>
              <w:rPr>
                <w:rFonts w:ascii="宋体" w:hAnsi="宋体" w:eastAsia="宋体" w:cs="宋体"/>
                <w:sz w:val="18"/>
                <w:szCs w:val="18"/>
              </w:rPr>
            </w:pPr>
            <w:r>
              <w:rPr>
                <w:rFonts w:ascii="宋体" w:hAnsi="宋体" w:eastAsia="宋体" w:cs="宋体"/>
                <w:spacing w:val="-3"/>
                <w:sz w:val="18"/>
                <w:szCs w:val="18"/>
              </w:rPr>
              <w:t>水处理工程</w:t>
            </w:r>
          </w:p>
        </w:tc>
        <w:tc>
          <w:tcPr>
            <w:tcW w:w="957" w:type="dxa"/>
            <w:vAlign w:val="top"/>
          </w:tcPr>
          <w:p>
            <w:pPr>
              <w:spacing w:before="136" w:line="231" w:lineRule="auto"/>
              <w:ind w:left="303"/>
              <w:rPr>
                <w:rFonts w:ascii="宋体" w:hAnsi="宋体" w:eastAsia="宋体" w:cs="宋体"/>
                <w:sz w:val="18"/>
                <w:szCs w:val="18"/>
              </w:rPr>
            </w:pPr>
            <w:r>
              <w:rPr>
                <w:rFonts w:ascii="宋体" w:hAnsi="宋体" w:eastAsia="宋体" w:cs="宋体"/>
                <w:spacing w:val="-14"/>
                <w:sz w:val="18"/>
                <w:szCs w:val="18"/>
              </w:rPr>
              <w:t>0.54</w:t>
            </w:r>
          </w:p>
        </w:tc>
        <w:tc>
          <w:tcPr>
            <w:tcW w:w="1092" w:type="dxa"/>
            <w:vAlign w:val="top"/>
          </w:tcPr>
          <w:p>
            <w:pPr>
              <w:spacing w:before="136" w:line="231" w:lineRule="auto"/>
              <w:ind w:left="373"/>
              <w:rPr>
                <w:rFonts w:ascii="宋体" w:hAnsi="宋体" w:eastAsia="宋体" w:cs="宋体"/>
                <w:sz w:val="18"/>
                <w:szCs w:val="18"/>
              </w:rPr>
            </w:pPr>
            <w:r>
              <w:rPr>
                <w:rFonts w:ascii="宋体" w:hAnsi="宋体" w:eastAsia="宋体" w:cs="宋体"/>
                <w:spacing w:val="-14"/>
                <w:sz w:val="18"/>
                <w:szCs w:val="18"/>
              </w:rPr>
              <w:t>0.95</w:t>
            </w:r>
          </w:p>
        </w:tc>
        <w:tc>
          <w:tcPr>
            <w:tcW w:w="1077" w:type="dxa"/>
            <w:vAlign w:val="top"/>
          </w:tcPr>
          <w:p>
            <w:pPr>
              <w:spacing w:before="136" w:line="231" w:lineRule="auto"/>
              <w:ind w:left="371"/>
              <w:rPr>
                <w:rFonts w:ascii="宋体" w:hAnsi="宋体" w:eastAsia="宋体" w:cs="宋体"/>
                <w:sz w:val="18"/>
                <w:szCs w:val="18"/>
              </w:rPr>
            </w:pPr>
            <w:r>
              <w:rPr>
                <w:rFonts w:ascii="宋体" w:hAnsi="宋体" w:eastAsia="宋体" w:cs="宋体"/>
                <w:spacing w:val="-14"/>
                <w:sz w:val="18"/>
                <w:szCs w:val="18"/>
              </w:rPr>
              <w:t>0.56</w:t>
            </w:r>
          </w:p>
        </w:tc>
        <w:tc>
          <w:tcPr>
            <w:tcW w:w="1151" w:type="dxa"/>
            <w:vAlign w:val="top"/>
          </w:tcPr>
          <w:p>
            <w:pPr>
              <w:spacing w:before="136" w:line="231" w:lineRule="auto"/>
              <w:ind w:left="410"/>
              <w:rPr>
                <w:rFonts w:ascii="宋体" w:hAnsi="宋体" w:eastAsia="宋体" w:cs="宋体"/>
                <w:sz w:val="18"/>
                <w:szCs w:val="18"/>
              </w:rPr>
            </w:pPr>
            <w:r>
              <w:rPr>
                <w:rFonts w:ascii="宋体" w:hAnsi="宋体" w:eastAsia="宋体" w:cs="宋体"/>
                <w:spacing w:val="-14"/>
                <w:sz w:val="18"/>
                <w:szCs w:val="18"/>
              </w:rPr>
              <w:t>0.95</w:t>
            </w:r>
          </w:p>
        </w:tc>
        <w:tc>
          <w:tcPr>
            <w:tcW w:w="1107" w:type="dxa"/>
            <w:vAlign w:val="top"/>
          </w:tcPr>
          <w:p>
            <w:pPr>
              <w:spacing w:before="136" w:line="231" w:lineRule="auto"/>
              <w:ind w:left="391"/>
              <w:rPr>
                <w:rFonts w:ascii="宋体" w:hAnsi="宋体" w:eastAsia="宋体" w:cs="宋体"/>
                <w:sz w:val="18"/>
                <w:szCs w:val="18"/>
              </w:rPr>
            </w:pPr>
            <w:r>
              <w:rPr>
                <w:rFonts w:ascii="宋体" w:hAnsi="宋体" w:eastAsia="宋体" w:cs="宋体"/>
                <w:spacing w:val="-14"/>
                <w:sz w:val="18"/>
                <w:szCs w:val="18"/>
              </w:rPr>
              <w:t>0.12</w:t>
            </w:r>
          </w:p>
        </w:tc>
        <w:tc>
          <w:tcPr>
            <w:tcW w:w="1219" w:type="dxa"/>
            <w:tcBorders>
              <w:right w:val="single" w:color="000000" w:sz="4" w:space="0"/>
            </w:tcBorders>
            <w:vAlign w:val="top"/>
          </w:tcPr>
          <w:p>
            <w:pPr>
              <w:spacing w:before="136" w:line="231" w:lineRule="auto"/>
              <w:ind w:left="441"/>
              <w:rPr>
                <w:rFonts w:ascii="宋体" w:hAnsi="宋体" w:eastAsia="宋体" w:cs="宋体"/>
                <w:sz w:val="18"/>
                <w:szCs w:val="18"/>
              </w:rPr>
            </w:pPr>
            <w:r>
              <w:rPr>
                <w:rFonts w:ascii="宋体" w:hAnsi="宋体" w:eastAsia="宋体" w:cs="宋体"/>
                <w:spacing w:val="-14"/>
                <w:sz w:val="18"/>
                <w:szCs w:val="18"/>
              </w:rPr>
              <w:t>0.31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9" w:line="208" w:lineRule="auto"/>
              <w:ind w:left="166"/>
              <w:rPr>
                <w:rFonts w:ascii="宋体" w:hAnsi="宋体" w:eastAsia="宋体" w:cs="宋体"/>
                <w:sz w:val="18"/>
                <w:szCs w:val="18"/>
              </w:rPr>
            </w:pPr>
            <w:r>
              <w:rPr>
                <w:rFonts w:ascii="宋体" w:hAnsi="宋体" w:eastAsia="宋体" w:cs="宋体"/>
                <w:spacing w:val="-4"/>
                <w:sz w:val="18"/>
                <w:szCs w:val="18"/>
              </w:rPr>
              <w:t>生活垃圾处理工程</w:t>
            </w:r>
          </w:p>
        </w:tc>
        <w:tc>
          <w:tcPr>
            <w:tcW w:w="957" w:type="dxa"/>
            <w:vAlign w:val="top"/>
          </w:tcPr>
          <w:p>
            <w:pPr>
              <w:spacing w:before="138" w:line="229" w:lineRule="auto"/>
              <w:ind w:left="303"/>
              <w:rPr>
                <w:rFonts w:ascii="宋体" w:hAnsi="宋体" w:eastAsia="宋体" w:cs="宋体"/>
                <w:sz w:val="18"/>
                <w:szCs w:val="18"/>
              </w:rPr>
            </w:pPr>
            <w:r>
              <w:rPr>
                <w:rFonts w:ascii="宋体" w:hAnsi="宋体" w:eastAsia="宋体" w:cs="宋体"/>
                <w:spacing w:val="-14"/>
                <w:sz w:val="18"/>
                <w:szCs w:val="18"/>
              </w:rPr>
              <w:t>0.85</w:t>
            </w:r>
          </w:p>
        </w:tc>
        <w:tc>
          <w:tcPr>
            <w:tcW w:w="1092" w:type="dxa"/>
            <w:vAlign w:val="top"/>
          </w:tcPr>
          <w:p>
            <w:pPr>
              <w:spacing w:before="138" w:line="229" w:lineRule="auto"/>
              <w:ind w:left="400"/>
              <w:rPr>
                <w:rFonts w:ascii="宋体" w:hAnsi="宋体" w:eastAsia="宋体" w:cs="宋体"/>
                <w:sz w:val="18"/>
                <w:szCs w:val="18"/>
              </w:rPr>
            </w:pPr>
            <w:r>
              <w:rPr>
                <w:rFonts w:ascii="宋体" w:hAnsi="宋体" w:eastAsia="宋体" w:cs="宋体"/>
                <w:spacing w:val="-19"/>
                <w:sz w:val="18"/>
                <w:szCs w:val="18"/>
              </w:rPr>
              <w:t>1.41</w:t>
            </w:r>
          </w:p>
        </w:tc>
        <w:tc>
          <w:tcPr>
            <w:tcW w:w="1077" w:type="dxa"/>
            <w:vAlign w:val="top"/>
          </w:tcPr>
          <w:p>
            <w:pPr>
              <w:spacing w:before="138" w:line="229" w:lineRule="auto"/>
              <w:ind w:left="371"/>
              <w:rPr>
                <w:rFonts w:ascii="宋体" w:hAnsi="宋体" w:eastAsia="宋体" w:cs="宋体"/>
                <w:sz w:val="18"/>
                <w:szCs w:val="18"/>
              </w:rPr>
            </w:pPr>
            <w:r>
              <w:rPr>
                <w:rFonts w:ascii="宋体" w:hAnsi="宋体" w:eastAsia="宋体" w:cs="宋体"/>
                <w:spacing w:val="-14"/>
                <w:sz w:val="18"/>
                <w:szCs w:val="18"/>
              </w:rPr>
              <w:t>0.87</w:t>
            </w:r>
          </w:p>
        </w:tc>
        <w:tc>
          <w:tcPr>
            <w:tcW w:w="1151" w:type="dxa"/>
            <w:vAlign w:val="top"/>
          </w:tcPr>
          <w:p>
            <w:pPr>
              <w:spacing w:before="138" w:line="229" w:lineRule="auto"/>
              <w:ind w:left="410"/>
              <w:rPr>
                <w:rFonts w:ascii="宋体" w:hAnsi="宋体" w:eastAsia="宋体" w:cs="宋体"/>
                <w:sz w:val="18"/>
                <w:szCs w:val="18"/>
              </w:rPr>
            </w:pPr>
            <w:r>
              <w:rPr>
                <w:rFonts w:ascii="宋体" w:hAnsi="宋体" w:eastAsia="宋体" w:cs="宋体"/>
                <w:spacing w:val="-14"/>
                <w:sz w:val="18"/>
                <w:szCs w:val="18"/>
              </w:rPr>
              <w:t>0.61</w:t>
            </w:r>
          </w:p>
        </w:tc>
        <w:tc>
          <w:tcPr>
            <w:tcW w:w="1107" w:type="dxa"/>
            <w:vAlign w:val="top"/>
          </w:tcPr>
          <w:p>
            <w:pPr>
              <w:spacing w:before="138" w:line="229" w:lineRule="auto"/>
              <w:ind w:left="391"/>
              <w:rPr>
                <w:rFonts w:ascii="宋体" w:hAnsi="宋体" w:eastAsia="宋体" w:cs="宋体"/>
                <w:sz w:val="18"/>
                <w:szCs w:val="18"/>
              </w:rPr>
            </w:pPr>
            <w:r>
              <w:rPr>
                <w:rFonts w:ascii="宋体" w:hAnsi="宋体" w:eastAsia="宋体" w:cs="宋体"/>
                <w:spacing w:val="-14"/>
                <w:sz w:val="18"/>
                <w:szCs w:val="18"/>
              </w:rPr>
              <w:t>0.20</w:t>
            </w:r>
          </w:p>
        </w:tc>
        <w:tc>
          <w:tcPr>
            <w:tcW w:w="1219" w:type="dxa"/>
            <w:tcBorders>
              <w:right w:val="single" w:color="000000" w:sz="4" w:space="0"/>
            </w:tcBorders>
            <w:vAlign w:val="top"/>
          </w:tcPr>
          <w:p>
            <w:pPr>
              <w:spacing w:before="138" w:line="229" w:lineRule="auto"/>
              <w:ind w:left="441"/>
              <w:rPr>
                <w:rFonts w:ascii="宋体" w:hAnsi="宋体" w:eastAsia="宋体" w:cs="宋体"/>
                <w:sz w:val="18"/>
                <w:szCs w:val="18"/>
              </w:rPr>
            </w:pPr>
            <w:r>
              <w:rPr>
                <w:rFonts w:ascii="宋体" w:hAnsi="宋体" w:eastAsia="宋体" w:cs="宋体"/>
                <w:spacing w:val="-14"/>
                <w:sz w:val="18"/>
                <w:szCs w:val="18"/>
              </w:rPr>
              <w:t>0.85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6" w:type="dxa"/>
            <w:vMerge w:val="continue"/>
            <w:tcBorders>
              <w:top w:val="nil"/>
              <w:left w:val="single" w:color="000000" w:sz="4" w:space="0"/>
              <w:bottom w:val="nil"/>
            </w:tcBorders>
            <w:vAlign w:val="top"/>
          </w:tcPr>
          <w:p>
            <w:pPr>
              <w:pStyle w:val="6"/>
            </w:pPr>
          </w:p>
        </w:tc>
        <w:tc>
          <w:tcPr>
            <w:tcW w:w="1770" w:type="dxa"/>
            <w:vAlign w:val="top"/>
          </w:tcPr>
          <w:p>
            <w:pPr>
              <w:spacing w:before="127" w:line="211" w:lineRule="auto"/>
              <w:ind w:left="525"/>
              <w:rPr>
                <w:rFonts w:ascii="宋体" w:hAnsi="宋体" w:eastAsia="宋体" w:cs="宋体"/>
                <w:sz w:val="18"/>
                <w:szCs w:val="18"/>
              </w:rPr>
            </w:pPr>
            <w:r>
              <w:rPr>
                <w:rFonts w:ascii="宋体" w:hAnsi="宋体" w:eastAsia="宋体" w:cs="宋体"/>
                <w:spacing w:val="-5"/>
                <w:sz w:val="18"/>
                <w:szCs w:val="18"/>
              </w:rPr>
              <w:t>路灯工程</w:t>
            </w:r>
          </w:p>
        </w:tc>
        <w:tc>
          <w:tcPr>
            <w:tcW w:w="957" w:type="dxa"/>
            <w:vAlign w:val="top"/>
          </w:tcPr>
          <w:p>
            <w:pPr>
              <w:spacing w:before="138" w:line="230" w:lineRule="auto"/>
              <w:ind w:left="303"/>
              <w:rPr>
                <w:rFonts w:ascii="宋体" w:hAnsi="宋体" w:eastAsia="宋体" w:cs="宋体"/>
                <w:sz w:val="18"/>
                <w:szCs w:val="18"/>
              </w:rPr>
            </w:pPr>
            <w:r>
              <w:rPr>
                <w:rFonts w:ascii="宋体" w:hAnsi="宋体" w:eastAsia="宋体" w:cs="宋体"/>
                <w:spacing w:val="-14"/>
                <w:sz w:val="18"/>
                <w:szCs w:val="18"/>
              </w:rPr>
              <w:t>0.60</w:t>
            </w:r>
          </w:p>
        </w:tc>
        <w:tc>
          <w:tcPr>
            <w:tcW w:w="1092" w:type="dxa"/>
            <w:vAlign w:val="top"/>
          </w:tcPr>
          <w:p>
            <w:pPr>
              <w:spacing w:before="138" w:line="230" w:lineRule="auto"/>
              <w:ind w:left="373"/>
              <w:rPr>
                <w:rFonts w:ascii="宋体" w:hAnsi="宋体" w:eastAsia="宋体" w:cs="宋体"/>
                <w:sz w:val="18"/>
                <w:szCs w:val="18"/>
              </w:rPr>
            </w:pPr>
            <w:r>
              <w:rPr>
                <w:rFonts w:ascii="宋体" w:hAnsi="宋体" w:eastAsia="宋体" w:cs="宋体"/>
                <w:spacing w:val="-14"/>
                <w:sz w:val="18"/>
                <w:szCs w:val="18"/>
              </w:rPr>
              <w:t>0.86</w:t>
            </w:r>
          </w:p>
        </w:tc>
        <w:tc>
          <w:tcPr>
            <w:tcW w:w="1077" w:type="dxa"/>
            <w:vAlign w:val="top"/>
          </w:tcPr>
          <w:p>
            <w:pPr>
              <w:spacing w:before="138" w:line="230" w:lineRule="auto"/>
              <w:ind w:left="371"/>
              <w:rPr>
                <w:rFonts w:ascii="宋体" w:hAnsi="宋体" w:eastAsia="宋体" w:cs="宋体"/>
                <w:sz w:val="18"/>
                <w:szCs w:val="18"/>
              </w:rPr>
            </w:pPr>
            <w:r>
              <w:rPr>
                <w:rFonts w:ascii="宋体" w:hAnsi="宋体" w:eastAsia="宋体" w:cs="宋体"/>
                <w:spacing w:val="-14"/>
                <w:sz w:val="18"/>
                <w:szCs w:val="18"/>
              </w:rPr>
              <w:t>0.85</w:t>
            </w:r>
          </w:p>
        </w:tc>
        <w:tc>
          <w:tcPr>
            <w:tcW w:w="1151" w:type="dxa"/>
            <w:vAlign w:val="top"/>
          </w:tcPr>
          <w:p>
            <w:pPr>
              <w:spacing w:before="138" w:line="230" w:lineRule="auto"/>
              <w:ind w:left="410"/>
              <w:rPr>
                <w:rFonts w:ascii="宋体" w:hAnsi="宋体" w:eastAsia="宋体" w:cs="宋体"/>
                <w:sz w:val="18"/>
                <w:szCs w:val="18"/>
              </w:rPr>
            </w:pPr>
            <w:r>
              <w:rPr>
                <w:rFonts w:ascii="宋体" w:hAnsi="宋体" w:eastAsia="宋体" w:cs="宋体"/>
                <w:spacing w:val="-14"/>
                <w:sz w:val="18"/>
                <w:szCs w:val="18"/>
              </w:rPr>
              <w:t>0.78</w:t>
            </w:r>
          </w:p>
        </w:tc>
        <w:tc>
          <w:tcPr>
            <w:tcW w:w="1107" w:type="dxa"/>
            <w:vAlign w:val="top"/>
          </w:tcPr>
          <w:p>
            <w:pPr>
              <w:spacing w:before="138" w:line="230" w:lineRule="auto"/>
              <w:ind w:left="391"/>
              <w:rPr>
                <w:rFonts w:ascii="宋体" w:hAnsi="宋体" w:eastAsia="宋体" w:cs="宋体"/>
                <w:sz w:val="18"/>
                <w:szCs w:val="18"/>
              </w:rPr>
            </w:pPr>
            <w:r>
              <w:rPr>
                <w:rFonts w:ascii="宋体" w:hAnsi="宋体" w:eastAsia="宋体" w:cs="宋体"/>
                <w:spacing w:val="-14"/>
                <w:sz w:val="18"/>
                <w:szCs w:val="18"/>
              </w:rPr>
              <w:t>0.11</w:t>
            </w:r>
          </w:p>
        </w:tc>
        <w:tc>
          <w:tcPr>
            <w:tcW w:w="1219" w:type="dxa"/>
            <w:tcBorders>
              <w:right w:val="single" w:color="000000" w:sz="4" w:space="0"/>
            </w:tcBorders>
            <w:vAlign w:val="top"/>
          </w:tcPr>
          <w:p>
            <w:pPr>
              <w:spacing w:before="138" w:line="230" w:lineRule="auto"/>
              <w:ind w:left="441"/>
              <w:rPr>
                <w:rFonts w:ascii="宋体" w:hAnsi="宋体" w:eastAsia="宋体" w:cs="宋体"/>
                <w:sz w:val="18"/>
                <w:szCs w:val="18"/>
              </w:rPr>
            </w:pPr>
            <w:r>
              <w:rPr>
                <w:rFonts w:ascii="宋体" w:hAnsi="宋体" w:eastAsia="宋体" w:cs="宋体"/>
                <w:spacing w:val="-14"/>
                <w:sz w:val="18"/>
                <w:szCs w:val="18"/>
              </w:rPr>
              <w:t>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1" w:hRule="atLeast"/>
        </w:trPr>
        <w:tc>
          <w:tcPr>
            <w:tcW w:w="706" w:type="dxa"/>
            <w:vMerge w:val="continue"/>
            <w:tcBorders>
              <w:top w:val="nil"/>
              <w:left w:val="single" w:color="000000" w:sz="4" w:space="0"/>
            </w:tcBorders>
            <w:vAlign w:val="top"/>
          </w:tcPr>
          <w:p>
            <w:pPr>
              <w:pStyle w:val="6"/>
            </w:pPr>
          </w:p>
        </w:tc>
        <w:tc>
          <w:tcPr>
            <w:tcW w:w="1770" w:type="dxa"/>
            <w:vAlign w:val="top"/>
          </w:tcPr>
          <w:p>
            <w:pPr>
              <w:spacing w:before="54" w:line="234" w:lineRule="auto"/>
              <w:ind w:left="525" w:right="346" w:hanging="183"/>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957" w:type="dxa"/>
            <w:vAlign w:val="top"/>
          </w:tcPr>
          <w:p>
            <w:pPr>
              <w:spacing w:before="190" w:line="260" w:lineRule="exact"/>
              <w:ind w:left="303"/>
              <w:rPr>
                <w:rFonts w:ascii="宋体" w:hAnsi="宋体" w:eastAsia="宋体" w:cs="宋体"/>
                <w:sz w:val="18"/>
                <w:szCs w:val="18"/>
              </w:rPr>
            </w:pPr>
            <w:r>
              <w:rPr>
                <w:rFonts w:ascii="宋体" w:hAnsi="宋体" w:eastAsia="宋体" w:cs="宋体"/>
                <w:spacing w:val="-14"/>
                <w:position w:val="2"/>
                <w:sz w:val="18"/>
                <w:szCs w:val="18"/>
              </w:rPr>
              <w:t>0.30</w:t>
            </w:r>
          </w:p>
        </w:tc>
        <w:tc>
          <w:tcPr>
            <w:tcW w:w="1092" w:type="dxa"/>
            <w:vAlign w:val="top"/>
          </w:tcPr>
          <w:p>
            <w:pPr>
              <w:spacing w:before="190" w:line="260" w:lineRule="exact"/>
              <w:ind w:left="374"/>
              <w:rPr>
                <w:rFonts w:ascii="宋体" w:hAnsi="宋体" w:eastAsia="宋体" w:cs="宋体"/>
                <w:sz w:val="18"/>
                <w:szCs w:val="18"/>
              </w:rPr>
            </w:pPr>
            <w:r>
              <w:rPr>
                <w:rFonts w:ascii="宋体" w:hAnsi="宋体" w:eastAsia="宋体" w:cs="宋体"/>
                <w:spacing w:val="-15"/>
                <w:position w:val="1"/>
                <w:sz w:val="18"/>
                <w:szCs w:val="18"/>
              </w:rPr>
              <w:t>2.18</w:t>
            </w:r>
          </w:p>
        </w:tc>
        <w:tc>
          <w:tcPr>
            <w:tcW w:w="1077" w:type="dxa"/>
            <w:vAlign w:val="top"/>
          </w:tcPr>
          <w:p>
            <w:pPr>
              <w:spacing w:before="190" w:line="260" w:lineRule="exact"/>
              <w:ind w:left="371"/>
              <w:rPr>
                <w:rFonts w:ascii="宋体" w:hAnsi="宋体" w:eastAsia="宋体" w:cs="宋体"/>
                <w:sz w:val="18"/>
                <w:szCs w:val="18"/>
              </w:rPr>
            </w:pPr>
            <w:r>
              <w:rPr>
                <w:rFonts w:ascii="宋体" w:hAnsi="宋体" w:eastAsia="宋体" w:cs="宋体"/>
                <w:spacing w:val="-14"/>
                <w:position w:val="2"/>
                <w:sz w:val="18"/>
                <w:szCs w:val="18"/>
              </w:rPr>
              <w:t>0.30</w:t>
            </w:r>
          </w:p>
        </w:tc>
        <w:tc>
          <w:tcPr>
            <w:tcW w:w="1151" w:type="dxa"/>
            <w:vAlign w:val="top"/>
          </w:tcPr>
          <w:p>
            <w:pPr>
              <w:spacing w:before="190" w:line="260" w:lineRule="exact"/>
              <w:ind w:left="410"/>
              <w:rPr>
                <w:rFonts w:ascii="宋体" w:hAnsi="宋体" w:eastAsia="宋体" w:cs="宋体"/>
                <w:sz w:val="18"/>
                <w:szCs w:val="18"/>
              </w:rPr>
            </w:pPr>
            <w:r>
              <w:rPr>
                <w:rFonts w:ascii="宋体" w:hAnsi="宋体" w:eastAsia="宋体" w:cs="宋体"/>
                <w:spacing w:val="-14"/>
                <w:position w:val="2"/>
                <w:sz w:val="18"/>
                <w:szCs w:val="18"/>
              </w:rPr>
              <w:t>0.55</w:t>
            </w:r>
          </w:p>
        </w:tc>
        <w:tc>
          <w:tcPr>
            <w:tcW w:w="1107" w:type="dxa"/>
            <w:vAlign w:val="top"/>
          </w:tcPr>
          <w:p>
            <w:pPr>
              <w:spacing w:before="190" w:line="260" w:lineRule="exact"/>
              <w:ind w:left="391"/>
              <w:rPr>
                <w:rFonts w:ascii="宋体" w:hAnsi="宋体" w:eastAsia="宋体" w:cs="宋体"/>
                <w:sz w:val="18"/>
                <w:szCs w:val="18"/>
              </w:rPr>
            </w:pPr>
            <w:r>
              <w:rPr>
                <w:rFonts w:ascii="宋体" w:hAnsi="宋体" w:eastAsia="宋体" w:cs="宋体"/>
                <w:spacing w:val="-14"/>
                <w:position w:val="1"/>
                <w:sz w:val="18"/>
                <w:szCs w:val="18"/>
              </w:rPr>
              <w:t>0.10</w:t>
            </w:r>
          </w:p>
        </w:tc>
        <w:tc>
          <w:tcPr>
            <w:tcW w:w="1219" w:type="dxa"/>
            <w:tcBorders>
              <w:right w:val="single" w:color="000000" w:sz="4" w:space="0"/>
            </w:tcBorders>
            <w:vAlign w:val="top"/>
          </w:tcPr>
          <w:p>
            <w:pPr>
              <w:spacing w:before="190" w:line="260" w:lineRule="exact"/>
              <w:ind w:left="441"/>
              <w:rPr>
                <w:rFonts w:ascii="宋体" w:hAnsi="宋体" w:eastAsia="宋体" w:cs="宋体"/>
                <w:sz w:val="18"/>
                <w:szCs w:val="18"/>
              </w:rPr>
            </w:pPr>
            <w:r>
              <w:rPr>
                <w:rFonts w:ascii="宋体" w:hAnsi="宋体" w:eastAsia="宋体" w:cs="宋体"/>
                <w:spacing w:val="-14"/>
                <w:position w:val="2"/>
                <w:sz w:val="18"/>
                <w:szCs w:val="18"/>
              </w:rPr>
              <w:t>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6" w:type="dxa"/>
            <w:vMerge w:val="restart"/>
            <w:tcBorders>
              <w:left w:val="single" w:color="000000" w:sz="4" w:space="0"/>
              <w:bottom w:val="nil"/>
            </w:tcBorders>
            <w:vAlign w:val="top"/>
          </w:tcPr>
          <w:p>
            <w:pPr>
              <w:spacing w:before="67" w:line="210" w:lineRule="auto"/>
              <w:ind w:left="180"/>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4"/>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7"/>
              <w:rPr>
                <w:rFonts w:ascii="宋体" w:hAnsi="宋体" w:eastAsia="宋体" w:cs="宋体"/>
                <w:sz w:val="18"/>
                <w:szCs w:val="18"/>
              </w:rPr>
            </w:pPr>
            <w:r>
              <w:rPr>
                <w:rFonts w:ascii="宋体" w:hAnsi="宋体" w:eastAsia="宋体" w:cs="宋体"/>
                <w:spacing w:val="-3"/>
                <w:sz w:val="18"/>
                <w:szCs w:val="18"/>
              </w:rPr>
              <w:t>维修</w:t>
            </w:r>
          </w:p>
          <w:p>
            <w:pPr>
              <w:spacing w:before="61" w:line="202" w:lineRule="auto"/>
              <w:ind w:left="177"/>
              <w:rPr>
                <w:rFonts w:ascii="宋体" w:hAnsi="宋体" w:eastAsia="宋体" w:cs="宋体"/>
                <w:sz w:val="18"/>
                <w:szCs w:val="18"/>
              </w:rPr>
            </w:pPr>
            <w:r>
              <w:rPr>
                <w:rFonts w:ascii="宋体" w:hAnsi="宋体" w:eastAsia="宋体" w:cs="宋体"/>
                <w:spacing w:val="-3"/>
                <w:sz w:val="18"/>
                <w:szCs w:val="18"/>
              </w:rPr>
              <w:t>工程</w:t>
            </w:r>
          </w:p>
        </w:tc>
        <w:tc>
          <w:tcPr>
            <w:tcW w:w="1770" w:type="dxa"/>
            <w:vAlign w:val="top"/>
          </w:tcPr>
          <w:p>
            <w:pPr>
              <w:spacing w:before="59" w:line="232" w:lineRule="auto"/>
              <w:ind w:left="104" w:right="90"/>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957" w:type="dxa"/>
            <w:vAlign w:val="top"/>
          </w:tcPr>
          <w:p>
            <w:pPr>
              <w:spacing w:before="192" w:line="260" w:lineRule="exact"/>
              <w:ind w:left="330"/>
              <w:rPr>
                <w:rFonts w:ascii="宋体" w:hAnsi="宋体" w:eastAsia="宋体" w:cs="宋体"/>
                <w:sz w:val="18"/>
                <w:szCs w:val="18"/>
              </w:rPr>
            </w:pPr>
            <w:r>
              <w:rPr>
                <w:rFonts w:ascii="宋体" w:hAnsi="宋体" w:eastAsia="宋体" w:cs="宋体"/>
                <w:spacing w:val="-19"/>
                <w:position w:val="1"/>
                <w:sz w:val="18"/>
                <w:szCs w:val="18"/>
              </w:rPr>
              <w:t>1.31</w:t>
            </w:r>
          </w:p>
        </w:tc>
        <w:tc>
          <w:tcPr>
            <w:tcW w:w="1092" w:type="dxa"/>
            <w:vAlign w:val="top"/>
          </w:tcPr>
          <w:p>
            <w:pPr>
              <w:spacing w:before="192" w:line="260" w:lineRule="exact"/>
              <w:ind w:left="400"/>
              <w:rPr>
                <w:rFonts w:ascii="宋体" w:hAnsi="宋体" w:eastAsia="宋体" w:cs="宋体"/>
                <w:sz w:val="18"/>
                <w:szCs w:val="18"/>
              </w:rPr>
            </w:pPr>
            <w:r>
              <w:rPr>
                <w:rFonts w:ascii="宋体" w:hAnsi="宋体" w:eastAsia="宋体" w:cs="宋体"/>
                <w:spacing w:val="-19"/>
                <w:position w:val="1"/>
                <w:sz w:val="18"/>
                <w:szCs w:val="18"/>
              </w:rPr>
              <w:t>1.65</w:t>
            </w:r>
          </w:p>
        </w:tc>
        <w:tc>
          <w:tcPr>
            <w:tcW w:w="1077" w:type="dxa"/>
            <w:vAlign w:val="top"/>
          </w:tcPr>
          <w:p>
            <w:pPr>
              <w:spacing w:before="192" w:line="260" w:lineRule="exact"/>
              <w:ind w:left="396"/>
              <w:rPr>
                <w:rFonts w:ascii="宋体" w:hAnsi="宋体" w:eastAsia="宋体" w:cs="宋体"/>
                <w:sz w:val="18"/>
                <w:szCs w:val="18"/>
              </w:rPr>
            </w:pPr>
            <w:r>
              <w:rPr>
                <w:rFonts w:ascii="宋体" w:hAnsi="宋体" w:eastAsia="宋体" w:cs="宋体"/>
                <w:spacing w:val="-19"/>
                <w:position w:val="1"/>
                <w:sz w:val="18"/>
                <w:szCs w:val="18"/>
              </w:rPr>
              <w:t>1.02</w:t>
            </w:r>
          </w:p>
        </w:tc>
        <w:tc>
          <w:tcPr>
            <w:tcW w:w="1151" w:type="dxa"/>
            <w:vAlign w:val="top"/>
          </w:tcPr>
          <w:p>
            <w:pPr>
              <w:spacing w:before="192" w:line="260" w:lineRule="exact"/>
              <w:ind w:left="410"/>
              <w:rPr>
                <w:rFonts w:ascii="宋体" w:hAnsi="宋体" w:eastAsia="宋体" w:cs="宋体"/>
                <w:sz w:val="18"/>
                <w:szCs w:val="18"/>
              </w:rPr>
            </w:pPr>
            <w:r>
              <w:rPr>
                <w:rFonts w:ascii="宋体" w:hAnsi="宋体" w:eastAsia="宋体" w:cs="宋体"/>
                <w:spacing w:val="-14"/>
                <w:position w:val="2"/>
                <w:sz w:val="18"/>
                <w:szCs w:val="18"/>
              </w:rPr>
              <w:t>0.49</w:t>
            </w:r>
          </w:p>
        </w:tc>
        <w:tc>
          <w:tcPr>
            <w:tcW w:w="1107" w:type="dxa"/>
            <w:vAlign w:val="top"/>
          </w:tcPr>
          <w:p>
            <w:pPr>
              <w:pStyle w:val="6"/>
              <w:spacing w:line="267" w:lineRule="auto"/>
            </w:pPr>
          </w:p>
          <w:p>
            <w:pPr>
              <w:spacing w:before="58" w:line="126" w:lineRule="exact"/>
              <w:ind w:left="527"/>
              <w:rPr>
                <w:rFonts w:ascii="宋体" w:hAnsi="宋体" w:eastAsia="宋体" w:cs="宋体"/>
                <w:sz w:val="18"/>
                <w:szCs w:val="18"/>
              </w:rPr>
            </w:pPr>
            <w:r>
              <w:rPr>
                <w:rFonts w:ascii="宋体" w:hAnsi="宋体" w:eastAsia="宋体" w:cs="宋体"/>
                <w:position w:val="-3"/>
                <w:sz w:val="18"/>
                <w:szCs w:val="18"/>
              </w:rPr>
              <w:t>-</w:t>
            </w:r>
          </w:p>
        </w:tc>
        <w:tc>
          <w:tcPr>
            <w:tcW w:w="1219" w:type="dxa"/>
            <w:tcBorders>
              <w:right w:val="single" w:color="000000" w:sz="4" w:space="0"/>
            </w:tcBorders>
            <w:vAlign w:val="top"/>
          </w:tcPr>
          <w:p>
            <w:pPr>
              <w:pStyle w:val="6"/>
              <w:spacing w:line="267" w:lineRule="auto"/>
            </w:pPr>
          </w:p>
          <w:p>
            <w:pPr>
              <w:spacing w:before="58" w:line="126" w:lineRule="exact"/>
              <w:ind w:left="577"/>
              <w:rPr>
                <w:rFonts w:ascii="宋体" w:hAnsi="宋体" w:eastAsia="宋体" w:cs="宋体"/>
                <w:sz w:val="18"/>
                <w:szCs w:val="18"/>
              </w:rPr>
            </w:pPr>
            <w:r>
              <w:rPr>
                <w:rFonts w:ascii="宋体" w:hAnsi="宋体" w:eastAsia="宋体" w:cs="宋体"/>
                <w:position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8" w:hRule="atLeast"/>
        </w:trPr>
        <w:tc>
          <w:tcPr>
            <w:tcW w:w="706" w:type="dxa"/>
            <w:vMerge w:val="continue"/>
            <w:tcBorders>
              <w:top w:val="nil"/>
              <w:left w:val="single" w:color="000000" w:sz="4" w:space="0"/>
              <w:bottom w:val="single" w:color="000000" w:sz="4" w:space="0"/>
            </w:tcBorders>
            <w:vAlign w:val="top"/>
          </w:tcPr>
          <w:p>
            <w:pPr>
              <w:pStyle w:val="6"/>
            </w:pPr>
          </w:p>
        </w:tc>
        <w:tc>
          <w:tcPr>
            <w:tcW w:w="1770" w:type="dxa"/>
            <w:tcBorders>
              <w:bottom w:val="single" w:color="000000" w:sz="4" w:space="0"/>
            </w:tcBorders>
            <w:vAlign w:val="top"/>
          </w:tcPr>
          <w:p>
            <w:pPr>
              <w:spacing w:before="63" w:line="245" w:lineRule="auto"/>
              <w:ind w:left="105" w:right="93"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957" w:type="dxa"/>
            <w:tcBorders>
              <w:bottom w:val="single" w:color="000000" w:sz="4" w:space="0"/>
            </w:tcBorders>
            <w:vAlign w:val="top"/>
          </w:tcPr>
          <w:p>
            <w:pPr>
              <w:spacing w:before="193" w:line="260" w:lineRule="exact"/>
              <w:ind w:left="303"/>
              <w:rPr>
                <w:rFonts w:ascii="宋体" w:hAnsi="宋体" w:eastAsia="宋体" w:cs="宋体"/>
                <w:sz w:val="18"/>
                <w:szCs w:val="18"/>
              </w:rPr>
            </w:pPr>
            <w:r>
              <w:rPr>
                <w:rFonts w:ascii="宋体" w:hAnsi="宋体" w:eastAsia="宋体" w:cs="宋体"/>
                <w:spacing w:val="-15"/>
                <w:position w:val="1"/>
                <w:sz w:val="18"/>
                <w:szCs w:val="18"/>
              </w:rPr>
              <w:t>2.13</w:t>
            </w:r>
          </w:p>
        </w:tc>
        <w:tc>
          <w:tcPr>
            <w:tcW w:w="1092" w:type="dxa"/>
            <w:tcBorders>
              <w:bottom w:val="single" w:color="000000" w:sz="4" w:space="0"/>
            </w:tcBorders>
            <w:vAlign w:val="top"/>
          </w:tcPr>
          <w:p>
            <w:pPr>
              <w:spacing w:before="193" w:line="260" w:lineRule="exact"/>
              <w:ind w:left="374"/>
              <w:rPr>
                <w:rFonts w:ascii="宋体" w:hAnsi="宋体" w:eastAsia="宋体" w:cs="宋体"/>
                <w:sz w:val="18"/>
                <w:szCs w:val="18"/>
              </w:rPr>
            </w:pPr>
            <w:r>
              <w:rPr>
                <w:rFonts w:ascii="宋体" w:hAnsi="宋体" w:eastAsia="宋体" w:cs="宋体"/>
                <w:spacing w:val="-15"/>
                <w:position w:val="2"/>
                <w:sz w:val="18"/>
                <w:szCs w:val="18"/>
              </w:rPr>
              <w:t>2.26</w:t>
            </w:r>
          </w:p>
        </w:tc>
        <w:tc>
          <w:tcPr>
            <w:tcW w:w="1077" w:type="dxa"/>
            <w:tcBorders>
              <w:bottom w:val="single" w:color="000000" w:sz="4" w:space="0"/>
            </w:tcBorders>
            <w:vAlign w:val="top"/>
          </w:tcPr>
          <w:p>
            <w:pPr>
              <w:spacing w:before="193" w:line="260" w:lineRule="exact"/>
              <w:ind w:left="371"/>
              <w:rPr>
                <w:rFonts w:ascii="宋体" w:hAnsi="宋体" w:eastAsia="宋体" w:cs="宋体"/>
                <w:sz w:val="18"/>
                <w:szCs w:val="18"/>
              </w:rPr>
            </w:pPr>
            <w:r>
              <w:rPr>
                <w:rFonts w:ascii="宋体" w:hAnsi="宋体" w:eastAsia="宋体" w:cs="宋体"/>
                <w:spacing w:val="-15"/>
                <w:position w:val="1"/>
                <w:sz w:val="18"/>
                <w:szCs w:val="18"/>
              </w:rPr>
              <w:t>2.13</w:t>
            </w:r>
          </w:p>
        </w:tc>
        <w:tc>
          <w:tcPr>
            <w:tcW w:w="1151" w:type="dxa"/>
            <w:tcBorders>
              <w:bottom w:val="single" w:color="000000" w:sz="4" w:space="0"/>
            </w:tcBorders>
            <w:vAlign w:val="top"/>
          </w:tcPr>
          <w:p>
            <w:pPr>
              <w:spacing w:before="193" w:line="260" w:lineRule="exact"/>
              <w:ind w:left="410"/>
              <w:rPr>
                <w:rFonts w:ascii="宋体" w:hAnsi="宋体" w:eastAsia="宋体" w:cs="宋体"/>
                <w:sz w:val="18"/>
                <w:szCs w:val="18"/>
              </w:rPr>
            </w:pPr>
            <w:r>
              <w:rPr>
                <w:rFonts w:ascii="宋体" w:hAnsi="宋体" w:eastAsia="宋体" w:cs="宋体"/>
                <w:spacing w:val="-14"/>
                <w:position w:val="2"/>
                <w:sz w:val="18"/>
                <w:szCs w:val="18"/>
              </w:rPr>
              <w:t>0.56</w:t>
            </w:r>
          </w:p>
        </w:tc>
        <w:tc>
          <w:tcPr>
            <w:tcW w:w="1107" w:type="dxa"/>
            <w:tcBorders>
              <w:bottom w:val="single" w:color="000000" w:sz="4" w:space="0"/>
            </w:tcBorders>
            <w:vAlign w:val="top"/>
          </w:tcPr>
          <w:p>
            <w:pPr>
              <w:pStyle w:val="6"/>
              <w:spacing w:line="265" w:lineRule="auto"/>
            </w:pPr>
          </w:p>
          <w:p>
            <w:pPr>
              <w:spacing w:before="59" w:line="126" w:lineRule="exact"/>
              <w:ind w:left="527"/>
              <w:rPr>
                <w:rFonts w:ascii="宋体" w:hAnsi="宋体" w:eastAsia="宋体" w:cs="宋体"/>
                <w:sz w:val="18"/>
                <w:szCs w:val="18"/>
              </w:rPr>
            </w:pPr>
            <w:r>
              <w:rPr>
                <w:rFonts w:ascii="宋体" w:hAnsi="宋体" w:eastAsia="宋体" w:cs="宋体"/>
                <w:position w:val="-3"/>
                <w:sz w:val="18"/>
                <w:szCs w:val="18"/>
              </w:rPr>
              <w:t>-</w:t>
            </w:r>
          </w:p>
        </w:tc>
        <w:tc>
          <w:tcPr>
            <w:tcW w:w="1219" w:type="dxa"/>
            <w:tcBorders>
              <w:bottom w:val="single" w:color="000000" w:sz="4" w:space="0"/>
              <w:right w:val="single" w:color="000000" w:sz="4" w:space="0"/>
            </w:tcBorders>
            <w:vAlign w:val="top"/>
          </w:tcPr>
          <w:p>
            <w:pPr>
              <w:pStyle w:val="6"/>
              <w:spacing w:line="265" w:lineRule="auto"/>
            </w:pPr>
          </w:p>
          <w:p>
            <w:pPr>
              <w:spacing w:before="59" w:line="126" w:lineRule="exact"/>
              <w:ind w:left="577"/>
              <w:rPr>
                <w:rFonts w:ascii="宋体" w:hAnsi="宋体" w:eastAsia="宋体" w:cs="宋体"/>
                <w:sz w:val="18"/>
                <w:szCs w:val="18"/>
              </w:rPr>
            </w:pPr>
            <w:r>
              <w:rPr>
                <w:rFonts w:ascii="宋体" w:hAnsi="宋体" w:eastAsia="宋体" w:cs="宋体"/>
                <w:position w:val="-3"/>
                <w:sz w:val="18"/>
                <w:szCs w:val="18"/>
              </w:rPr>
              <w:t>-</w:t>
            </w:r>
          </w:p>
        </w:tc>
      </w:tr>
    </w:tbl>
    <w:p>
      <w:pPr>
        <w:spacing w:before="63"/>
      </w:pPr>
    </w:p>
    <w:tbl>
      <w:tblPr>
        <w:tblStyle w:val="5"/>
        <w:tblW w:w="91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1795"/>
        <w:gridCol w:w="1650"/>
        <w:gridCol w:w="1650"/>
        <w:gridCol w:w="1650"/>
        <w:gridCol w:w="1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7" w:hRule="atLeast"/>
        </w:trPr>
        <w:tc>
          <w:tcPr>
            <w:tcW w:w="2503" w:type="dxa"/>
            <w:gridSpan w:val="2"/>
            <w:tcBorders>
              <w:top w:val="single" w:color="000000" w:sz="4" w:space="0"/>
              <w:left w:val="single" w:color="000000" w:sz="4" w:space="0"/>
              <w:tl2br w:val="single" w:color="000000" w:sz="4" w:space="0"/>
            </w:tcBorders>
            <w:vAlign w:val="top"/>
          </w:tcPr>
          <w:p>
            <w:pPr>
              <w:spacing w:before="66" w:line="276" w:lineRule="auto"/>
              <w:ind w:left="124" w:right="699" w:firstLine="968"/>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1650" w:type="dxa"/>
            <w:tcBorders>
              <w:top w:val="single" w:color="000000" w:sz="4" w:space="0"/>
            </w:tcBorders>
            <w:vAlign w:val="top"/>
          </w:tcPr>
          <w:p>
            <w:pPr>
              <w:spacing w:before="283" w:line="202" w:lineRule="auto"/>
              <w:ind w:left="389"/>
              <w:rPr>
                <w:rFonts w:ascii="微软雅黑" w:hAnsi="微软雅黑" w:eastAsia="微软雅黑" w:cs="微软雅黑"/>
                <w:sz w:val="18"/>
                <w:szCs w:val="18"/>
              </w:rPr>
            </w:pPr>
            <w:r>
              <w:rPr>
                <w:rFonts w:ascii="微软雅黑" w:hAnsi="微软雅黑" w:eastAsia="微软雅黑" w:cs="微软雅黑"/>
                <w:spacing w:val="-4"/>
                <w:w w:val="98"/>
                <w:sz w:val="18"/>
                <w:szCs w:val="18"/>
              </w:rPr>
              <w:t>安全生产费</w:t>
            </w:r>
          </w:p>
        </w:tc>
        <w:tc>
          <w:tcPr>
            <w:tcW w:w="1650" w:type="dxa"/>
            <w:tcBorders>
              <w:top w:val="single" w:color="000000" w:sz="4" w:space="0"/>
            </w:tcBorders>
            <w:vAlign w:val="top"/>
          </w:tcPr>
          <w:p>
            <w:pPr>
              <w:spacing w:before="283" w:line="202" w:lineRule="auto"/>
              <w:ind w:left="385"/>
              <w:rPr>
                <w:rFonts w:ascii="微软雅黑" w:hAnsi="微软雅黑" w:eastAsia="微软雅黑" w:cs="微软雅黑"/>
                <w:sz w:val="18"/>
                <w:szCs w:val="18"/>
              </w:rPr>
            </w:pPr>
            <w:r>
              <w:rPr>
                <w:rFonts w:ascii="微软雅黑" w:hAnsi="微软雅黑" w:eastAsia="微软雅黑" w:cs="微软雅黑"/>
                <w:spacing w:val="-4"/>
                <w:sz w:val="18"/>
                <w:szCs w:val="18"/>
              </w:rPr>
              <w:t>环境保护费</w:t>
            </w:r>
          </w:p>
        </w:tc>
        <w:tc>
          <w:tcPr>
            <w:tcW w:w="1650" w:type="dxa"/>
            <w:tcBorders>
              <w:top w:val="single" w:color="000000" w:sz="4" w:space="0"/>
            </w:tcBorders>
            <w:vAlign w:val="top"/>
          </w:tcPr>
          <w:p>
            <w:pPr>
              <w:spacing w:before="283" w:line="202" w:lineRule="auto"/>
              <w:ind w:left="396"/>
              <w:rPr>
                <w:rFonts w:ascii="微软雅黑" w:hAnsi="微软雅黑" w:eastAsia="微软雅黑" w:cs="微软雅黑"/>
                <w:sz w:val="18"/>
                <w:szCs w:val="18"/>
              </w:rPr>
            </w:pPr>
            <w:r>
              <w:rPr>
                <w:rFonts w:ascii="微软雅黑" w:hAnsi="微软雅黑" w:eastAsia="微软雅黑" w:cs="微软雅黑"/>
                <w:spacing w:val="-5"/>
                <w:sz w:val="18"/>
                <w:szCs w:val="18"/>
              </w:rPr>
              <w:t>文明施工费</w:t>
            </w:r>
          </w:p>
        </w:tc>
        <w:tc>
          <w:tcPr>
            <w:tcW w:w="1667" w:type="dxa"/>
            <w:tcBorders>
              <w:top w:val="single" w:color="000000" w:sz="4" w:space="0"/>
              <w:right w:val="single" w:color="000000" w:sz="4" w:space="0"/>
            </w:tcBorders>
            <w:vAlign w:val="top"/>
          </w:tcPr>
          <w:p>
            <w:pPr>
              <w:spacing w:before="283" w:line="202" w:lineRule="auto"/>
              <w:ind w:left="412"/>
              <w:rPr>
                <w:rFonts w:ascii="微软雅黑" w:hAnsi="微软雅黑" w:eastAsia="微软雅黑" w:cs="微软雅黑"/>
                <w:sz w:val="18"/>
                <w:szCs w:val="18"/>
              </w:rPr>
            </w:pPr>
            <w:r>
              <w:rPr>
                <w:rFonts w:ascii="微软雅黑" w:hAnsi="微软雅黑" w:eastAsia="微软雅黑" w:cs="微软雅黑"/>
                <w:spacing w:val="-4"/>
                <w:w w:val="97"/>
                <w:sz w:val="18"/>
                <w:szCs w:val="18"/>
              </w:rPr>
              <w:t>临时设施费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restart"/>
            <w:tcBorders>
              <w:left w:val="single" w:color="000000" w:sz="4" w:space="0"/>
              <w:bottom w:val="nil"/>
            </w:tcBorders>
            <w:vAlign w:val="top"/>
          </w:tcPr>
          <w:p>
            <w:pPr>
              <w:pStyle w:val="6"/>
              <w:spacing w:line="261" w:lineRule="auto"/>
            </w:pPr>
          </w:p>
          <w:p>
            <w:pPr>
              <w:pStyle w:val="6"/>
              <w:spacing w:line="261"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pStyle w:val="6"/>
              <w:spacing w:line="262" w:lineRule="auto"/>
            </w:pPr>
          </w:p>
          <w:p>
            <w:pPr>
              <w:spacing w:before="58" w:line="283" w:lineRule="auto"/>
              <w:ind w:left="178" w:right="161" w:firstLine="3"/>
              <w:rPr>
                <w:rFonts w:ascii="宋体" w:hAnsi="宋体" w:eastAsia="宋体" w:cs="宋体"/>
                <w:sz w:val="18"/>
                <w:szCs w:val="18"/>
              </w:rPr>
            </w:pPr>
            <w:r>
              <w:rPr>
                <w:rFonts w:ascii="宋体" w:hAnsi="宋体" w:eastAsia="宋体" w:cs="宋体"/>
                <w:spacing w:val="-2"/>
                <w:sz w:val="18"/>
                <w:szCs w:val="18"/>
              </w:rPr>
              <w:t>市政</w:t>
            </w:r>
            <w:r>
              <w:rPr>
                <w:rFonts w:ascii="宋体" w:hAnsi="宋体" w:eastAsia="宋体" w:cs="宋体"/>
                <w:spacing w:val="-3"/>
                <w:sz w:val="18"/>
                <w:szCs w:val="18"/>
              </w:rPr>
              <w:t>工程</w:t>
            </w:r>
          </w:p>
        </w:tc>
        <w:tc>
          <w:tcPr>
            <w:tcW w:w="1795" w:type="dxa"/>
            <w:vAlign w:val="top"/>
          </w:tcPr>
          <w:p>
            <w:pPr>
              <w:spacing w:before="111" w:line="212" w:lineRule="auto"/>
              <w:ind w:left="535"/>
              <w:rPr>
                <w:rFonts w:ascii="宋体" w:hAnsi="宋体" w:eastAsia="宋体" w:cs="宋体"/>
                <w:sz w:val="18"/>
                <w:szCs w:val="18"/>
              </w:rPr>
            </w:pPr>
            <w:r>
              <w:rPr>
                <w:rFonts w:ascii="宋体" w:hAnsi="宋体" w:eastAsia="宋体" w:cs="宋体"/>
                <w:spacing w:val="-3"/>
                <w:sz w:val="18"/>
                <w:szCs w:val="18"/>
              </w:rPr>
              <w:t>道路工程</w:t>
            </w:r>
          </w:p>
        </w:tc>
        <w:tc>
          <w:tcPr>
            <w:tcW w:w="1650" w:type="dxa"/>
            <w:vMerge w:val="restart"/>
            <w:tcBorders>
              <w:bottom w:val="nil"/>
            </w:tcBorders>
            <w:vAlign w:val="top"/>
          </w:tcPr>
          <w:p>
            <w:pPr>
              <w:pStyle w:val="6"/>
              <w:spacing w:line="275"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58" w:line="260"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275"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58" w:line="260"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275"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58" w:line="260"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75" w:lineRule="auto"/>
            </w:pPr>
          </w:p>
          <w:p>
            <w:pPr>
              <w:pStyle w:val="6"/>
              <w:spacing w:line="276" w:lineRule="auto"/>
            </w:pPr>
          </w:p>
          <w:p>
            <w:pPr>
              <w:pStyle w:val="6"/>
              <w:spacing w:line="276" w:lineRule="auto"/>
            </w:pPr>
          </w:p>
          <w:p>
            <w:pPr>
              <w:pStyle w:val="6"/>
              <w:spacing w:line="276" w:lineRule="auto"/>
            </w:pPr>
          </w:p>
          <w:p>
            <w:pPr>
              <w:pStyle w:val="6"/>
              <w:spacing w:line="276" w:lineRule="auto"/>
            </w:pPr>
          </w:p>
          <w:p>
            <w:pPr>
              <w:spacing w:before="58" w:line="260" w:lineRule="exact"/>
              <w:ind w:left="691"/>
              <w:rPr>
                <w:rFonts w:ascii="宋体" w:hAnsi="宋体" w:eastAsia="宋体" w:cs="宋体"/>
                <w:sz w:val="18"/>
                <w:szCs w:val="18"/>
              </w:rPr>
            </w:pPr>
            <w:r>
              <w:rPr>
                <w:rFonts w:ascii="宋体" w:hAnsi="宋体" w:eastAsia="宋体" w:cs="宋体"/>
                <w:spacing w:val="-19"/>
                <w:position w:val="1"/>
                <w:sz w:val="18"/>
                <w:szCs w:val="18"/>
              </w:rPr>
              <w:t>1.79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15" w:line="209" w:lineRule="auto"/>
              <w:ind w:left="535"/>
              <w:rPr>
                <w:rFonts w:ascii="宋体" w:hAnsi="宋体" w:eastAsia="宋体" w:cs="宋体"/>
                <w:sz w:val="18"/>
                <w:szCs w:val="18"/>
              </w:rPr>
            </w:pPr>
            <w:r>
              <w:rPr>
                <w:rFonts w:ascii="宋体" w:hAnsi="宋体" w:eastAsia="宋体" w:cs="宋体"/>
                <w:spacing w:val="-3"/>
                <w:sz w:val="18"/>
                <w:szCs w:val="18"/>
              </w:rPr>
              <w:t>桥涵工程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16" w:line="211" w:lineRule="auto"/>
              <w:ind w:left="554"/>
              <w:rPr>
                <w:rFonts w:ascii="宋体" w:hAnsi="宋体" w:eastAsia="宋体" w:cs="宋体"/>
                <w:sz w:val="18"/>
                <w:szCs w:val="18"/>
              </w:rPr>
            </w:pPr>
            <w:r>
              <w:rPr>
                <w:rFonts w:ascii="宋体" w:hAnsi="宋体" w:eastAsia="宋体" w:cs="宋体"/>
                <w:spacing w:val="-9"/>
                <w:sz w:val="18"/>
                <w:szCs w:val="18"/>
              </w:rPr>
              <w:t>隧道工程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06" w:line="222" w:lineRule="auto"/>
              <w:ind w:left="535"/>
              <w:rPr>
                <w:rFonts w:ascii="宋体" w:hAnsi="宋体" w:eastAsia="宋体" w:cs="宋体"/>
                <w:sz w:val="18"/>
                <w:szCs w:val="18"/>
              </w:rPr>
            </w:pPr>
            <w:r>
              <w:rPr>
                <w:rFonts w:ascii="宋体" w:hAnsi="宋体" w:eastAsia="宋体" w:cs="宋体"/>
                <w:spacing w:val="-3"/>
                <w:sz w:val="18"/>
                <w:szCs w:val="18"/>
              </w:rPr>
              <w:t>排水工程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0" w:line="210" w:lineRule="auto"/>
              <w:ind w:left="445"/>
              <w:rPr>
                <w:rFonts w:ascii="宋体" w:hAnsi="宋体" w:eastAsia="宋体" w:cs="宋体"/>
                <w:sz w:val="18"/>
                <w:szCs w:val="18"/>
              </w:rPr>
            </w:pPr>
            <w:r>
              <w:rPr>
                <w:rFonts w:ascii="宋体" w:hAnsi="宋体" w:eastAsia="宋体" w:cs="宋体"/>
                <w:spacing w:val="-3"/>
                <w:sz w:val="18"/>
                <w:szCs w:val="18"/>
              </w:rPr>
              <w:t>水处理工程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8" w:line="208" w:lineRule="auto"/>
              <w:ind w:left="179"/>
              <w:rPr>
                <w:rFonts w:ascii="宋体" w:hAnsi="宋体" w:eastAsia="宋体" w:cs="宋体"/>
                <w:sz w:val="18"/>
                <w:szCs w:val="18"/>
              </w:rPr>
            </w:pPr>
            <w:r>
              <w:rPr>
                <w:rFonts w:ascii="宋体" w:hAnsi="宋体" w:eastAsia="宋体" w:cs="宋体"/>
                <w:spacing w:val="-4"/>
                <w:sz w:val="18"/>
                <w:szCs w:val="18"/>
              </w:rPr>
              <w:t>生活垃圾处理工程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53" w:line="235" w:lineRule="auto"/>
              <w:ind w:left="538" w:right="358" w:hanging="183"/>
              <w:rPr>
                <w:rFonts w:ascii="宋体" w:hAnsi="宋体" w:eastAsia="宋体" w:cs="宋体"/>
                <w:sz w:val="18"/>
                <w:szCs w:val="18"/>
              </w:rPr>
            </w:pPr>
            <w:r>
              <w:rPr>
                <w:rFonts w:ascii="宋体" w:hAnsi="宋体" w:eastAsia="宋体" w:cs="宋体"/>
                <w:spacing w:val="-1"/>
                <w:sz w:val="18"/>
                <w:szCs w:val="18"/>
              </w:rPr>
              <w:t>城市地下综合</w:t>
            </w:r>
            <w:r>
              <w:rPr>
                <w:rFonts w:ascii="宋体" w:hAnsi="宋体" w:eastAsia="宋体" w:cs="宋体"/>
                <w:spacing w:val="-5"/>
                <w:sz w:val="18"/>
                <w:szCs w:val="18"/>
              </w:rPr>
              <w:t>管廊工程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5" w:line="211" w:lineRule="auto"/>
              <w:ind w:left="540"/>
              <w:rPr>
                <w:rFonts w:ascii="宋体" w:hAnsi="宋体" w:eastAsia="宋体" w:cs="宋体"/>
                <w:sz w:val="18"/>
                <w:szCs w:val="18"/>
              </w:rPr>
            </w:pPr>
            <w:r>
              <w:rPr>
                <w:rFonts w:ascii="宋体" w:hAnsi="宋体" w:eastAsia="宋体" w:cs="宋体"/>
                <w:spacing w:val="-5"/>
                <w:sz w:val="18"/>
                <w:szCs w:val="18"/>
              </w:rPr>
              <w:t>给水工程</w:t>
            </w:r>
          </w:p>
        </w:tc>
        <w:tc>
          <w:tcPr>
            <w:tcW w:w="1650" w:type="dxa"/>
            <w:vMerge w:val="restart"/>
            <w:tcBorders>
              <w:bottom w:val="nil"/>
            </w:tcBorders>
            <w:vAlign w:val="top"/>
          </w:tcPr>
          <w:p>
            <w:pPr>
              <w:pStyle w:val="6"/>
              <w:spacing w:line="251" w:lineRule="auto"/>
            </w:pPr>
          </w:p>
          <w:p>
            <w:pPr>
              <w:pStyle w:val="6"/>
              <w:spacing w:line="251" w:lineRule="auto"/>
            </w:pPr>
          </w:p>
          <w:p>
            <w:pPr>
              <w:spacing w:before="59" w:line="260"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251" w:lineRule="auto"/>
            </w:pPr>
          </w:p>
          <w:p>
            <w:pPr>
              <w:pStyle w:val="6"/>
              <w:spacing w:line="251" w:lineRule="auto"/>
            </w:pPr>
          </w:p>
          <w:p>
            <w:pPr>
              <w:spacing w:before="59" w:line="260"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251" w:lineRule="auto"/>
            </w:pPr>
          </w:p>
          <w:p>
            <w:pPr>
              <w:pStyle w:val="6"/>
              <w:spacing w:line="251" w:lineRule="auto"/>
            </w:pPr>
          </w:p>
          <w:p>
            <w:pPr>
              <w:spacing w:before="59" w:line="260"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251" w:lineRule="auto"/>
            </w:pPr>
          </w:p>
          <w:p>
            <w:pPr>
              <w:pStyle w:val="6"/>
              <w:spacing w:line="251" w:lineRule="auto"/>
            </w:pPr>
          </w:p>
          <w:p>
            <w:pPr>
              <w:spacing w:before="59" w:line="260" w:lineRule="exact"/>
              <w:ind w:left="664"/>
              <w:rPr>
                <w:rFonts w:ascii="宋体" w:hAnsi="宋体" w:eastAsia="宋体" w:cs="宋体"/>
                <w:sz w:val="18"/>
                <w:szCs w:val="18"/>
              </w:rPr>
            </w:pPr>
            <w:r>
              <w:rPr>
                <w:rFonts w:ascii="宋体" w:hAnsi="宋体" w:eastAsia="宋体" w:cs="宋体"/>
                <w:spacing w:val="-14"/>
                <w:position w:val="2"/>
                <w:sz w:val="18"/>
                <w:szCs w:val="18"/>
              </w:rPr>
              <w:t>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6" w:line="214" w:lineRule="auto"/>
              <w:ind w:left="533"/>
              <w:rPr>
                <w:rFonts w:ascii="宋体" w:hAnsi="宋体" w:eastAsia="宋体" w:cs="宋体"/>
                <w:sz w:val="18"/>
                <w:szCs w:val="18"/>
              </w:rPr>
            </w:pPr>
            <w:r>
              <w:rPr>
                <w:rFonts w:ascii="宋体" w:hAnsi="宋体" w:eastAsia="宋体" w:cs="宋体"/>
                <w:spacing w:val="-3"/>
                <w:sz w:val="18"/>
                <w:szCs w:val="18"/>
              </w:rPr>
              <w:t>燃气工程</w:t>
            </w: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50" w:type="dxa"/>
            <w:vMerge w:val="continue"/>
            <w:tcBorders>
              <w:top w:val="nil"/>
              <w:bottom w:val="nil"/>
            </w:tcBorders>
            <w:vAlign w:val="top"/>
          </w:tcPr>
          <w:p>
            <w:pPr>
              <w:pStyle w:val="6"/>
            </w:pPr>
          </w:p>
        </w:tc>
        <w:tc>
          <w:tcPr>
            <w:tcW w:w="1667" w:type="dxa"/>
            <w:vMerge w:val="continue"/>
            <w:tcBorders>
              <w:top w:val="nil"/>
              <w:bottom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bottom w:val="nil"/>
            </w:tcBorders>
            <w:vAlign w:val="top"/>
          </w:tcPr>
          <w:p>
            <w:pPr>
              <w:pStyle w:val="6"/>
            </w:pPr>
          </w:p>
        </w:tc>
        <w:tc>
          <w:tcPr>
            <w:tcW w:w="1795" w:type="dxa"/>
            <w:vAlign w:val="top"/>
          </w:tcPr>
          <w:p>
            <w:pPr>
              <w:spacing w:before="121" w:line="240" w:lineRule="exact"/>
              <w:ind w:left="534"/>
              <w:rPr>
                <w:rFonts w:ascii="宋体" w:hAnsi="宋体" w:eastAsia="宋体" w:cs="宋体"/>
                <w:sz w:val="18"/>
                <w:szCs w:val="18"/>
              </w:rPr>
            </w:pPr>
            <w:r>
              <w:rPr>
                <w:rFonts w:ascii="宋体" w:hAnsi="宋体" w:eastAsia="宋体" w:cs="宋体"/>
                <w:spacing w:val="-3"/>
                <w:position w:val="1"/>
                <w:sz w:val="18"/>
                <w:szCs w:val="18"/>
              </w:rPr>
              <w:t>供热工程</w:t>
            </w: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50" w:type="dxa"/>
            <w:vMerge w:val="continue"/>
            <w:tcBorders>
              <w:top w:val="nil"/>
            </w:tcBorders>
            <w:vAlign w:val="top"/>
          </w:tcPr>
          <w:p>
            <w:pPr>
              <w:pStyle w:val="6"/>
            </w:pPr>
          </w:p>
        </w:tc>
        <w:tc>
          <w:tcPr>
            <w:tcW w:w="1667"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708" w:type="dxa"/>
            <w:vMerge w:val="continue"/>
            <w:tcBorders>
              <w:top w:val="nil"/>
              <w:left w:val="single" w:color="000000" w:sz="4" w:space="0"/>
            </w:tcBorders>
            <w:vAlign w:val="top"/>
          </w:tcPr>
          <w:p>
            <w:pPr>
              <w:pStyle w:val="6"/>
            </w:pPr>
          </w:p>
        </w:tc>
        <w:tc>
          <w:tcPr>
            <w:tcW w:w="1795" w:type="dxa"/>
            <w:vAlign w:val="top"/>
          </w:tcPr>
          <w:p>
            <w:pPr>
              <w:spacing w:before="130" w:line="211" w:lineRule="auto"/>
              <w:ind w:left="538"/>
              <w:rPr>
                <w:rFonts w:ascii="宋体" w:hAnsi="宋体" w:eastAsia="宋体" w:cs="宋体"/>
                <w:sz w:val="18"/>
                <w:szCs w:val="18"/>
              </w:rPr>
            </w:pPr>
            <w:r>
              <w:rPr>
                <w:rFonts w:ascii="宋体" w:hAnsi="宋体" w:eastAsia="宋体" w:cs="宋体"/>
                <w:spacing w:val="-5"/>
                <w:sz w:val="18"/>
                <w:szCs w:val="18"/>
              </w:rPr>
              <w:t>路灯工程</w:t>
            </w:r>
          </w:p>
        </w:tc>
        <w:tc>
          <w:tcPr>
            <w:tcW w:w="1650" w:type="dxa"/>
            <w:vAlign w:val="top"/>
          </w:tcPr>
          <w:p>
            <w:pPr>
              <w:spacing w:before="141" w:line="227" w:lineRule="auto"/>
              <w:ind w:left="676"/>
              <w:rPr>
                <w:rFonts w:ascii="宋体" w:hAnsi="宋体" w:eastAsia="宋体" w:cs="宋体"/>
                <w:sz w:val="18"/>
                <w:szCs w:val="18"/>
              </w:rPr>
            </w:pPr>
            <w:r>
              <w:rPr>
                <w:rFonts w:ascii="宋体" w:hAnsi="宋体" w:eastAsia="宋体" w:cs="宋体"/>
                <w:spacing w:val="-19"/>
                <w:sz w:val="18"/>
                <w:szCs w:val="18"/>
              </w:rPr>
              <w:t>1.63</w:t>
            </w:r>
          </w:p>
        </w:tc>
        <w:tc>
          <w:tcPr>
            <w:tcW w:w="1650" w:type="dxa"/>
            <w:vAlign w:val="top"/>
          </w:tcPr>
          <w:p>
            <w:pPr>
              <w:spacing w:before="141" w:line="227" w:lineRule="auto"/>
              <w:ind w:left="682"/>
              <w:rPr>
                <w:rFonts w:ascii="宋体" w:hAnsi="宋体" w:eastAsia="宋体" w:cs="宋体"/>
                <w:sz w:val="18"/>
                <w:szCs w:val="18"/>
              </w:rPr>
            </w:pPr>
            <w:r>
              <w:rPr>
                <w:rFonts w:ascii="宋体" w:hAnsi="宋体" w:eastAsia="宋体" w:cs="宋体"/>
                <w:spacing w:val="-19"/>
                <w:sz w:val="18"/>
                <w:szCs w:val="18"/>
              </w:rPr>
              <w:t>1.33</w:t>
            </w:r>
          </w:p>
        </w:tc>
        <w:tc>
          <w:tcPr>
            <w:tcW w:w="1650" w:type="dxa"/>
            <w:vAlign w:val="top"/>
          </w:tcPr>
          <w:p>
            <w:pPr>
              <w:spacing w:before="141" w:line="227" w:lineRule="auto"/>
              <w:ind w:left="660"/>
              <w:rPr>
                <w:rFonts w:ascii="宋体" w:hAnsi="宋体" w:eastAsia="宋体" w:cs="宋体"/>
                <w:sz w:val="18"/>
                <w:szCs w:val="18"/>
              </w:rPr>
            </w:pPr>
            <w:r>
              <w:rPr>
                <w:rFonts w:ascii="宋体" w:hAnsi="宋体" w:eastAsia="宋体" w:cs="宋体"/>
                <w:spacing w:val="-14"/>
                <w:sz w:val="18"/>
                <w:szCs w:val="18"/>
              </w:rPr>
              <w:t>0.82</w:t>
            </w:r>
          </w:p>
        </w:tc>
        <w:tc>
          <w:tcPr>
            <w:tcW w:w="1667" w:type="dxa"/>
            <w:tcBorders>
              <w:right w:val="single" w:color="000000" w:sz="4" w:space="0"/>
            </w:tcBorders>
            <w:vAlign w:val="top"/>
          </w:tcPr>
          <w:p>
            <w:pPr>
              <w:spacing w:before="141" w:line="227" w:lineRule="auto"/>
              <w:ind w:left="691"/>
              <w:rPr>
                <w:rFonts w:ascii="宋体" w:hAnsi="宋体" w:eastAsia="宋体" w:cs="宋体"/>
                <w:sz w:val="18"/>
                <w:szCs w:val="18"/>
              </w:rPr>
            </w:pPr>
            <w:r>
              <w:rPr>
                <w:rFonts w:ascii="宋体" w:hAnsi="宋体" w:eastAsia="宋体" w:cs="宋体"/>
                <w:spacing w:val="-19"/>
                <w:sz w:val="18"/>
                <w:szCs w:val="18"/>
              </w:rPr>
              <w:t>1.24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2" w:hRule="atLeast"/>
        </w:trPr>
        <w:tc>
          <w:tcPr>
            <w:tcW w:w="708" w:type="dxa"/>
            <w:vMerge w:val="restart"/>
            <w:tcBorders>
              <w:left w:val="single" w:color="000000" w:sz="4" w:space="0"/>
              <w:bottom w:val="nil"/>
            </w:tcBorders>
            <w:vAlign w:val="top"/>
          </w:tcPr>
          <w:p>
            <w:pPr>
              <w:spacing w:before="68" w:line="210" w:lineRule="auto"/>
              <w:ind w:left="181"/>
              <w:rPr>
                <w:rFonts w:ascii="宋体" w:hAnsi="宋体" w:eastAsia="宋体" w:cs="宋体"/>
                <w:sz w:val="18"/>
                <w:szCs w:val="18"/>
              </w:rPr>
            </w:pPr>
            <w:r>
              <w:rPr>
                <w:rFonts w:ascii="宋体" w:hAnsi="宋体" w:eastAsia="宋体" w:cs="宋体"/>
                <w:spacing w:val="-3"/>
                <w:sz w:val="18"/>
                <w:szCs w:val="18"/>
              </w:rPr>
              <w:t>市政</w:t>
            </w:r>
          </w:p>
          <w:p>
            <w:pPr>
              <w:spacing w:before="58" w:line="212" w:lineRule="auto"/>
              <w:ind w:left="175"/>
              <w:rPr>
                <w:rFonts w:ascii="宋体" w:hAnsi="宋体" w:eastAsia="宋体" w:cs="宋体"/>
                <w:sz w:val="18"/>
                <w:szCs w:val="18"/>
              </w:rPr>
            </w:pPr>
            <w:r>
              <w:rPr>
                <w:rFonts w:ascii="宋体" w:hAnsi="宋体" w:eastAsia="宋体" w:cs="宋体"/>
                <w:spacing w:val="-2"/>
                <w:sz w:val="18"/>
                <w:szCs w:val="18"/>
              </w:rPr>
              <w:t>养护</w:t>
            </w:r>
          </w:p>
          <w:p>
            <w:pPr>
              <w:spacing w:before="57" w:line="212" w:lineRule="auto"/>
              <w:ind w:left="178"/>
              <w:rPr>
                <w:rFonts w:ascii="宋体" w:hAnsi="宋体" w:eastAsia="宋体" w:cs="宋体"/>
                <w:sz w:val="18"/>
                <w:szCs w:val="18"/>
              </w:rPr>
            </w:pPr>
            <w:r>
              <w:rPr>
                <w:rFonts w:ascii="宋体" w:hAnsi="宋体" w:eastAsia="宋体" w:cs="宋体"/>
                <w:spacing w:val="-3"/>
                <w:sz w:val="18"/>
                <w:szCs w:val="18"/>
              </w:rPr>
              <w:t>维修</w:t>
            </w:r>
          </w:p>
          <w:p>
            <w:pPr>
              <w:spacing w:before="59" w:line="202" w:lineRule="auto"/>
              <w:ind w:left="178"/>
              <w:rPr>
                <w:rFonts w:ascii="宋体" w:hAnsi="宋体" w:eastAsia="宋体" w:cs="宋体"/>
                <w:sz w:val="18"/>
                <w:szCs w:val="18"/>
              </w:rPr>
            </w:pPr>
            <w:r>
              <w:rPr>
                <w:rFonts w:ascii="宋体" w:hAnsi="宋体" w:eastAsia="宋体" w:cs="宋体"/>
                <w:spacing w:val="-3"/>
                <w:sz w:val="18"/>
                <w:szCs w:val="18"/>
              </w:rPr>
              <w:t>工程</w:t>
            </w:r>
          </w:p>
        </w:tc>
        <w:tc>
          <w:tcPr>
            <w:tcW w:w="1795" w:type="dxa"/>
            <w:vAlign w:val="top"/>
          </w:tcPr>
          <w:p>
            <w:pPr>
              <w:spacing w:before="57" w:line="233" w:lineRule="auto"/>
              <w:ind w:left="103" w:right="119"/>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1650" w:type="dxa"/>
            <w:vMerge w:val="restart"/>
            <w:tcBorders>
              <w:bottom w:val="nil"/>
            </w:tcBorders>
            <w:vAlign w:val="top"/>
          </w:tcPr>
          <w:p>
            <w:pPr>
              <w:pStyle w:val="6"/>
              <w:spacing w:line="406" w:lineRule="auto"/>
            </w:pPr>
          </w:p>
          <w:p>
            <w:pPr>
              <w:spacing w:before="58" w:line="260" w:lineRule="exact"/>
              <w:ind w:left="676"/>
              <w:rPr>
                <w:rFonts w:ascii="宋体" w:hAnsi="宋体" w:eastAsia="宋体" w:cs="宋体"/>
                <w:sz w:val="18"/>
                <w:szCs w:val="18"/>
              </w:rPr>
            </w:pPr>
            <w:r>
              <w:rPr>
                <w:rFonts w:ascii="宋体" w:hAnsi="宋体" w:eastAsia="宋体" w:cs="宋体"/>
                <w:spacing w:val="-19"/>
                <w:position w:val="1"/>
                <w:sz w:val="18"/>
                <w:szCs w:val="18"/>
              </w:rPr>
              <w:t>1.63</w:t>
            </w:r>
          </w:p>
        </w:tc>
        <w:tc>
          <w:tcPr>
            <w:tcW w:w="1650" w:type="dxa"/>
            <w:vMerge w:val="restart"/>
            <w:tcBorders>
              <w:bottom w:val="nil"/>
            </w:tcBorders>
            <w:vAlign w:val="top"/>
          </w:tcPr>
          <w:p>
            <w:pPr>
              <w:pStyle w:val="6"/>
              <w:spacing w:line="406" w:lineRule="auto"/>
            </w:pPr>
          </w:p>
          <w:p>
            <w:pPr>
              <w:spacing w:before="58" w:line="260" w:lineRule="exact"/>
              <w:ind w:left="682"/>
              <w:rPr>
                <w:rFonts w:ascii="宋体" w:hAnsi="宋体" w:eastAsia="宋体" w:cs="宋体"/>
                <w:sz w:val="18"/>
                <w:szCs w:val="18"/>
              </w:rPr>
            </w:pPr>
            <w:r>
              <w:rPr>
                <w:rFonts w:ascii="宋体" w:hAnsi="宋体" w:eastAsia="宋体" w:cs="宋体"/>
                <w:spacing w:val="-19"/>
                <w:position w:val="1"/>
                <w:sz w:val="18"/>
                <w:szCs w:val="18"/>
              </w:rPr>
              <w:t>1.33</w:t>
            </w:r>
          </w:p>
        </w:tc>
        <w:tc>
          <w:tcPr>
            <w:tcW w:w="1650" w:type="dxa"/>
            <w:vMerge w:val="restart"/>
            <w:tcBorders>
              <w:bottom w:val="nil"/>
            </w:tcBorders>
            <w:vAlign w:val="top"/>
          </w:tcPr>
          <w:p>
            <w:pPr>
              <w:pStyle w:val="6"/>
              <w:spacing w:line="406" w:lineRule="auto"/>
            </w:pPr>
          </w:p>
          <w:p>
            <w:pPr>
              <w:spacing w:before="58" w:line="260" w:lineRule="exact"/>
              <w:ind w:left="660"/>
              <w:rPr>
                <w:rFonts w:ascii="宋体" w:hAnsi="宋体" w:eastAsia="宋体" w:cs="宋体"/>
                <w:sz w:val="18"/>
                <w:szCs w:val="18"/>
              </w:rPr>
            </w:pPr>
            <w:r>
              <w:rPr>
                <w:rFonts w:ascii="宋体" w:hAnsi="宋体" w:eastAsia="宋体" w:cs="宋体"/>
                <w:spacing w:val="-14"/>
                <w:position w:val="2"/>
                <w:sz w:val="18"/>
                <w:szCs w:val="18"/>
              </w:rPr>
              <w:t>0.82</w:t>
            </w:r>
          </w:p>
        </w:tc>
        <w:tc>
          <w:tcPr>
            <w:tcW w:w="1667" w:type="dxa"/>
            <w:vMerge w:val="restart"/>
            <w:tcBorders>
              <w:bottom w:val="nil"/>
              <w:right w:val="single" w:color="000000" w:sz="4" w:space="0"/>
            </w:tcBorders>
            <w:vAlign w:val="top"/>
          </w:tcPr>
          <w:p>
            <w:pPr>
              <w:pStyle w:val="6"/>
              <w:spacing w:line="406" w:lineRule="auto"/>
            </w:pPr>
          </w:p>
          <w:p>
            <w:pPr>
              <w:spacing w:before="58" w:line="260" w:lineRule="exact"/>
              <w:ind w:left="691"/>
              <w:rPr>
                <w:rFonts w:ascii="宋体" w:hAnsi="宋体" w:eastAsia="宋体" w:cs="宋体"/>
                <w:sz w:val="18"/>
                <w:szCs w:val="18"/>
              </w:rPr>
            </w:pPr>
            <w:r>
              <w:rPr>
                <w:rFonts w:ascii="宋体" w:hAnsi="宋体" w:eastAsia="宋体" w:cs="宋体"/>
                <w:spacing w:val="-19"/>
                <w:position w:val="1"/>
                <w:sz w:val="18"/>
                <w:szCs w:val="18"/>
              </w:rPr>
              <w:t>1.42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8" w:hRule="atLeast"/>
        </w:trPr>
        <w:tc>
          <w:tcPr>
            <w:tcW w:w="708" w:type="dxa"/>
            <w:vMerge w:val="continue"/>
            <w:tcBorders>
              <w:top w:val="nil"/>
              <w:left w:val="single" w:color="000000" w:sz="4" w:space="0"/>
              <w:bottom w:val="single" w:color="000000" w:sz="4" w:space="0"/>
            </w:tcBorders>
            <w:vAlign w:val="top"/>
          </w:tcPr>
          <w:p>
            <w:pPr>
              <w:pStyle w:val="6"/>
            </w:pPr>
          </w:p>
        </w:tc>
        <w:tc>
          <w:tcPr>
            <w:tcW w:w="1795" w:type="dxa"/>
            <w:tcBorders>
              <w:bottom w:val="single" w:color="000000" w:sz="4" w:space="0"/>
            </w:tcBorders>
            <w:vAlign w:val="top"/>
          </w:tcPr>
          <w:p>
            <w:pPr>
              <w:spacing w:before="62" w:line="247" w:lineRule="auto"/>
              <w:ind w:left="103" w:right="119" w:firstLine="5"/>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50" w:type="dxa"/>
            <w:vMerge w:val="continue"/>
            <w:tcBorders>
              <w:top w:val="nil"/>
              <w:bottom w:val="single" w:color="000000" w:sz="4" w:space="0"/>
            </w:tcBorders>
            <w:vAlign w:val="top"/>
          </w:tcPr>
          <w:p>
            <w:pPr>
              <w:pStyle w:val="6"/>
            </w:pPr>
          </w:p>
        </w:tc>
        <w:tc>
          <w:tcPr>
            <w:tcW w:w="1667" w:type="dxa"/>
            <w:vMerge w:val="continue"/>
            <w:tcBorders>
              <w:top w:val="nil"/>
              <w:bottom w:val="single" w:color="000000" w:sz="4" w:space="0"/>
              <w:right w:val="single" w:color="000000" w:sz="4" w:space="0"/>
            </w:tcBorders>
            <w:vAlign w:val="top"/>
          </w:tcPr>
          <w:p>
            <w:pPr>
              <w:pStyle w:val="6"/>
            </w:pPr>
          </w:p>
        </w:tc>
      </w:tr>
    </w:tbl>
    <w:p>
      <w:pPr>
        <w:rPr>
          <w:rFonts w:ascii="Arial"/>
          <w:sz w:val="21"/>
        </w:rPr>
      </w:pPr>
    </w:p>
    <w:p>
      <w:pPr>
        <w:rPr>
          <w:rFonts w:ascii="Arial" w:hAnsi="Arial" w:eastAsia="Arial" w:cs="Arial"/>
          <w:sz w:val="21"/>
          <w:szCs w:val="21"/>
        </w:rPr>
        <w:sectPr>
          <w:footerReference r:id="rId221" w:type="default"/>
          <w:pgSz w:w="11905" w:h="16840"/>
          <w:pgMar w:top="400" w:right="1357" w:bottom="1213" w:left="1416" w:header="0" w:footer="898" w:gutter="0"/>
        </w:sect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before="78" w:line="214" w:lineRule="auto"/>
        <w:ind w:left="503"/>
        <w:rPr>
          <w:rFonts w:ascii="KaiTi_GB2312" w:hAnsi="KaiTi_GB2312" w:eastAsia="KaiTi_GB2312" w:cs="KaiTi_GB2312"/>
          <w:sz w:val="24"/>
          <w:szCs w:val="24"/>
        </w:rPr>
      </w:pPr>
      <w:bookmarkStart w:id="119" w:name="bookmark170"/>
      <w:bookmarkEnd w:id="119"/>
      <w:r>
        <w:rPr>
          <w:rFonts w:ascii="KaiTi_GB2312" w:hAnsi="KaiTi_GB2312" w:eastAsia="KaiTi_GB2312" w:cs="KaiTi_GB2312"/>
          <w:spacing w:val="9"/>
          <w:sz w:val="24"/>
          <w:szCs w:val="24"/>
        </w:rPr>
        <w:t>（三）智慧工地建设费</w:t>
      </w:r>
    </w:p>
    <w:p>
      <w:pPr>
        <w:spacing w:line="382" w:lineRule="auto"/>
        <w:rPr>
          <w:rFonts w:ascii="Arial"/>
          <w:sz w:val="21"/>
        </w:rPr>
      </w:pPr>
    </w:p>
    <w:p>
      <w:pPr>
        <w:spacing w:before="65" w:line="277" w:lineRule="exact"/>
        <w:ind w:left="456"/>
        <w:rPr>
          <w:rFonts w:ascii="宋体" w:hAnsi="宋体" w:eastAsia="宋体" w:cs="宋体"/>
          <w:sz w:val="20"/>
          <w:szCs w:val="20"/>
        </w:rPr>
      </w:pPr>
      <w:r>
        <w:rPr>
          <w:rFonts w:ascii="宋体" w:hAnsi="宋体" w:eastAsia="宋体" w:cs="宋体"/>
          <w:spacing w:val="12"/>
          <w:position w:val="1"/>
          <w:sz w:val="20"/>
          <w:szCs w:val="20"/>
        </w:rPr>
        <w:t>1. 建筑工程（单位：元/平方米）</w:t>
      </w:r>
    </w:p>
    <w:p>
      <w:pPr>
        <w:spacing w:line="94" w:lineRule="auto"/>
        <w:rPr>
          <w:rFonts w:ascii="Arial"/>
          <w:sz w:val="2"/>
        </w:rPr>
      </w:pPr>
    </w:p>
    <w:tbl>
      <w:tblPr>
        <w:tblStyle w:val="5"/>
        <w:tblW w:w="9079"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6"/>
        <w:gridCol w:w="2002"/>
        <w:gridCol w:w="2001"/>
        <w:gridCol w:w="2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1" w:hRule="atLeast"/>
        </w:trPr>
        <w:tc>
          <w:tcPr>
            <w:tcW w:w="3056" w:type="dxa"/>
            <w:tcBorders>
              <w:top w:val="single" w:color="000000" w:sz="4" w:space="0"/>
              <w:left w:val="single" w:color="000000" w:sz="4" w:space="0"/>
              <w:tl2br w:val="single" w:color="000000" w:sz="2" w:space="0"/>
            </w:tcBorders>
            <w:vAlign w:val="top"/>
          </w:tcPr>
          <w:p>
            <w:pPr>
              <w:spacing w:before="105" w:line="221" w:lineRule="auto"/>
              <w:ind w:left="2126"/>
              <w:rPr>
                <w:rFonts w:ascii="黑体" w:hAnsi="黑体" w:eastAsia="黑体" w:cs="黑体"/>
                <w:sz w:val="18"/>
                <w:szCs w:val="18"/>
              </w:rPr>
            </w:pPr>
            <w:r>
              <w:rPr>
                <w:rFonts w:ascii="黑体" w:hAnsi="黑体" w:eastAsia="黑体" w:cs="黑体"/>
                <w:spacing w:val="-5"/>
                <w:sz w:val="18"/>
                <w:szCs w:val="18"/>
              </w:rPr>
              <w:t>级别</w:t>
            </w:r>
          </w:p>
          <w:p>
            <w:pPr>
              <w:pStyle w:val="6"/>
              <w:spacing w:line="299" w:lineRule="auto"/>
            </w:pPr>
          </w:p>
          <w:p>
            <w:pPr>
              <w:spacing w:before="59" w:line="215" w:lineRule="auto"/>
              <w:ind w:left="121"/>
              <w:rPr>
                <w:rFonts w:ascii="黑体" w:hAnsi="黑体" w:eastAsia="黑体" w:cs="黑体"/>
                <w:sz w:val="18"/>
                <w:szCs w:val="18"/>
              </w:rPr>
            </w:pPr>
            <w:r>
              <w:rPr>
                <w:rFonts w:ascii="黑体" w:hAnsi="黑体" w:eastAsia="黑体" w:cs="黑体"/>
                <w:spacing w:val="-4"/>
                <w:sz w:val="18"/>
                <w:szCs w:val="18"/>
              </w:rPr>
              <w:t>计算方法</w:t>
            </w:r>
          </w:p>
        </w:tc>
        <w:tc>
          <w:tcPr>
            <w:tcW w:w="2002" w:type="dxa"/>
            <w:tcBorders>
              <w:top w:val="single" w:color="000000" w:sz="4" w:space="0"/>
            </w:tcBorders>
            <w:vAlign w:val="top"/>
          </w:tcPr>
          <w:p>
            <w:pPr>
              <w:pStyle w:val="6"/>
              <w:spacing w:line="311" w:lineRule="auto"/>
            </w:pPr>
          </w:p>
          <w:p>
            <w:pPr>
              <w:spacing w:before="59" w:line="221" w:lineRule="auto"/>
              <w:ind w:left="744"/>
              <w:rPr>
                <w:rFonts w:ascii="黑体" w:hAnsi="黑体" w:eastAsia="黑体" w:cs="黑体"/>
                <w:sz w:val="18"/>
                <w:szCs w:val="18"/>
              </w:rPr>
            </w:pPr>
            <w:r>
              <w:rPr>
                <w:rFonts w:ascii="黑体" w:hAnsi="黑体" w:eastAsia="黑体" w:cs="黑体"/>
                <w:spacing w:val="-6"/>
                <w:sz w:val="18"/>
                <w:szCs w:val="18"/>
              </w:rPr>
              <w:t>一星级</w:t>
            </w:r>
          </w:p>
        </w:tc>
        <w:tc>
          <w:tcPr>
            <w:tcW w:w="2001" w:type="dxa"/>
            <w:tcBorders>
              <w:top w:val="single" w:color="000000" w:sz="4" w:space="0"/>
            </w:tcBorders>
            <w:vAlign w:val="top"/>
          </w:tcPr>
          <w:p>
            <w:pPr>
              <w:pStyle w:val="6"/>
              <w:spacing w:line="311" w:lineRule="auto"/>
            </w:pPr>
          </w:p>
          <w:p>
            <w:pPr>
              <w:spacing w:before="59" w:line="221" w:lineRule="auto"/>
              <w:ind w:left="749"/>
              <w:rPr>
                <w:rFonts w:ascii="黑体" w:hAnsi="黑体" w:eastAsia="黑体" w:cs="黑体"/>
                <w:sz w:val="18"/>
                <w:szCs w:val="18"/>
              </w:rPr>
            </w:pPr>
            <w:r>
              <w:rPr>
                <w:rFonts w:ascii="黑体" w:hAnsi="黑体" w:eastAsia="黑体" w:cs="黑体"/>
                <w:spacing w:val="-6"/>
                <w:sz w:val="18"/>
                <w:szCs w:val="18"/>
              </w:rPr>
              <w:t>二星级</w:t>
            </w:r>
          </w:p>
        </w:tc>
        <w:tc>
          <w:tcPr>
            <w:tcW w:w="2020" w:type="dxa"/>
            <w:tcBorders>
              <w:top w:val="single" w:color="000000" w:sz="4" w:space="0"/>
              <w:right w:val="single" w:color="000000" w:sz="4" w:space="0"/>
            </w:tcBorders>
            <w:vAlign w:val="top"/>
          </w:tcPr>
          <w:p>
            <w:pPr>
              <w:pStyle w:val="6"/>
              <w:spacing w:line="311" w:lineRule="auto"/>
            </w:pPr>
          </w:p>
          <w:p>
            <w:pPr>
              <w:spacing w:before="59" w:line="221" w:lineRule="auto"/>
              <w:ind w:left="755"/>
              <w:rPr>
                <w:rFonts w:ascii="黑体" w:hAnsi="黑体" w:eastAsia="黑体" w:cs="黑体"/>
                <w:sz w:val="18"/>
                <w:szCs w:val="18"/>
              </w:rPr>
            </w:pPr>
            <w:r>
              <w:rPr>
                <w:rFonts w:ascii="黑体" w:hAnsi="黑体" w:eastAsia="黑体" w:cs="黑体"/>
                <w:spacing w:val="-6"/>
                <w:sz w:val="18"/>
                <w:szCs w:val="18"/>
              </w:rPr>
              <w:t>三星级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056" w:type="dxa"/>
            <w:tcBorders>
              <w:left w:val="single" w:color="000000" w:sz="4" w:space="0"/>
              <w:bottom w:val="single" w:color="000000" w:sz="4" w:space="0"/>
            </w:tcBorders>
            <w:vAlign w:val="top"/>
          </w:tcPr>
          <w:p>
            <w:pPr>
              <w:spacing w:before="233" w:line="215" w:lineRule="auto"/>
              <w:ind w:left="272"/>
              <w:rPr>
                <w:rFonts w:ascii="宋体" w:hAnsi="宋体" w:eastAsia="宋体" w:cs="宋体"/>
                <w:sz w:val="18"/>
                <w:szCs w:val="18"/>
              </w:rPr>
            </w:pPr>
            <w:r>
              <w:rPr>
                <w:rFonts w:ascii="宋体" w:hAnsi="宋体" w:eastAsia="宋体" w:cs="宋体"/>
                <w:spacing w:val="-2"/>
                <w:sz w:val="18"/>
                <w:szCs w:val="18"/>
              </w:rPr>
              <w:t>按建设项目的建筑面积进行计算</w:t>
            </w:r>
          </w:p>
        </w:tc>
        <w:tc>
          <w:tcPr>
            <w:tcW w:w="2002" w:type="dxa"/>
            <w:tcBorders>
              <w:bottom w:val="single" w:color="000000" w:sz="4" w:space="0"/>
            </w:tcBorders>
            <w:vAlign w:val="top"/>
          </w:tcPr>
          <w:p>
            <w:pPr>
              <w:spacing w:before="250" w:line="260" w:lineRule="exact"/>
              <w:ind w:left="830"/>
              <w:rPr>
                <w:rFonts w:ascii="宋体" w:hAnsi="宋体" w:eastAsia="宋体" w:cs="宋体"/>
                <w:sz w:val="18"/>
                <w:szCs w:val="18"/>
              </w:rPr>
            </w:pPr>
            <w:r>
              <w:rPr>
                <w:rFonts w:ascii="宋体" w:hAnsi="宋体" w:eastAsia="宋体" w:cs="宋体"/>
                <w:spacing w:val="-7"/>
                <w:position w:val="2"/>
                <w:sz w:val="18"/>
                <w:szCs w:val="18"/>
              </w:rPr>
              <w:t>2～5</w:t>
            </w:r>
          </w:p>
        </w:tc>
        <w:tc>
          <w:tcPr>
            <w:tcW w:w="2001" w:type="dxa"/>
            <w:tcBorders>
              <w:bottom w:val="single" w:color="000000" w:sz="4" w:space="0"/>
            </w:tcBorders>
            <w:vAlign w:val="top"/>
          </w:tcPr>
          <w:p>
            <w:pPr>
              <w:spacing w:before="250" w:line="260" w:lineRule="exact"/>
              <w:ind w:left="827"/>
              <w:rPr>
                <w:rFonts w:ascii="宋体" w:hAnsi="宋体" w:eastAsia="宋体" w:cs="宋体"/>
                <w:sz w:val="18"/>
                <w:szCs w:val="18"/>
              </w:rPr>
            </w:pPr>
            <w:r>
              <w:rPr>
                <w:rFonts w:ascii="宋体" w:hAnsi="宋体" w:eastAsia="宋体" w:cs="宋体"/>
                <w:spacing w:val="-14"/>
                <w:position w:val="2"/>
                <w:sz w:val="18"/>
                <w:szCs w:val="18"/>
              </w:rPr>
              <w:t>4～</w:t>
            </w:r>
            <w:r>
              <w:rPr>
                <w:rFonts w:ascii="宋体" w:hAnsi="宋体" w:eastAsia="宋体" w:cs="宋体"/>
                <w:spacing w:val="-53"/>
                <w:position w:val="2"/>
                <w:sz w:val="18"/>
                <w:szCs w:val="18"/>
              </w:rPr>
              <w:t xml:space="preserve"> </w:t>
            </w:r>
            <w:r>
              <w:rPr>
                <w:rFonts w:ascii="宋体" w:hAnsi="宋体" w:eastAsia="宋体" w:cs="宋体"/>
                <w:spacing w:val="-14"/>
                <w:position w:val="2"/>
                <w:sz w:val="18"/>
                <w:szCs w:val="18"/>
              </w:rPr>
              <w:t>8</w:t>
            </w:r>
          </w:p>
        </w:tc>
        <w:tc>
          <w:tcPr>
            <w:tcW w:w="2020" w:type="dxa"/>
            <w:tcBorders>
              <w:bottom w:val="single" w:color="000000" w:sz="4" w:space="0"/>
              <w:right w:val="single" w:color="000000" w:sz="4" w:space="0"/>
            </w:tcBorders>
            <w:vAlign w:val="top"/>
          </w:tcPr>
          <w:p>
            <w:pPr>
              <w:spacing w:before="250" w:line="260" w:lineRule="exact"/>
              <w:ind w:left="798"/>
              <w:rPr>
                <w:rFonts w:ascii="宋体" w:hAnsi="宋体" w:eastAsia="宋体" w:cs="宋体"/>
                <w:sz w:val="18"/>
                <w:szCs w:val="18"/>
              </w:rPr>
            </w:pPr>
            <w:r>
              <w:rPr>
                <w:rFonts w:ascii="宋体" w:hAnsi="宋体" w:eastAsia="宋体" w:cs="宋体"/>
                <w:spacing w:val="-17"/>
                <w:position w:val="1"/>
                <w:sz w:val="18"/>
                <w:szCs w:val="18"/>
              </w:rPr>
              <w:t>6～</w:t>
            </w:r>
            <w:r>
              <w:rPr>
                <w:rFonts w:ascii="宋体" w:hAnsi="宋体" w:eastAsia="宋体" w:cs="宋体"/>
                <w:spacing w:val="-41"/>
                <w:position w:val="1"/>
                <w:sz w:val="18"/>
                <w:szCs w:val="18"/>
              </w:rPr>
              <w:t xml:space="preserve"> </w:t>
            </w:r>
            <w:r>
              <w:rPr>
                <w:rFonts w:ascii="宋体" w:hAnsi="宋体" w:eastAsia="宋体" w:cs="宋体"/>
                <w:spacing w:val="-17"/>
                <w:position w:val="1"/>
                <w:sz w:val="18"/>
                <w:szCs w:val="18"/>
              </w:rPr>
              <w:t>10</w:t>
            </w:r>
          </w:p>
        </w:tc>
      </w:tr>
    </w:tbl>
    <w:p>
      <w:pPr>
        <w:spacing w:before="12" w:line="239" w:lineRule="exact"/>
        <w:ind w:left="4"/>
        <w:rPr>
          <w:rFonts w:ascii="宋体" w:hAnsi="宋体" w:eastAsia="宋体" w:cs="宋体"/>
          <w:sz w:val="18"/>
          <w:szCs w:val="18"/>
        </w:rPr>
      </w:pPr>
      <w:r>
        <w:rPr>
          <w:rFonts w:ascii="宋体" w:hAnsi="宋体" w:eastAsia="宋体" w:cs="宋体"/>
          <w:spacing w:val="-2"/>
          <w:position w:val="1"/>
          <w:sz w:val="18"/>
          <w:szCs w:val="18"/>
        </w:rPr>
        <w:t>注：1.参照相关评价标准，区分不同星级按照建设项目的建筑面积进行计算。</w:t>
      </w:r>
    </w:p>
    <w:p>
      <w:pPr>
        <w:spacing w:before="5" w:line="241" w:lineRule="exact"/>
        <w:ind w:left="364"/>
        <w:rPr>
          <w:rFonts w:ascii="宋体" w:hAnsi="宋体" w:eastAsia="宋体" w:cs="宋体"/>
          <w:sz w:val="18"/>
          <w:szCs w:val="18"/>
        </w:rPr>
      </w:pPr>
      <w:r>
        <w:rPr>
          <w:rFonts w:ascii="宋体" w:hAnsi="宋体" w:eastAsia="宋体" w:cs="宋体"/>
          <w:spacing w:val="-2"/>
          <w:position w:val="1"/>
          <w:sz w:val="18"/>
          <w:szCs w:val="18"/>
        </w:rPr>
        <w:t>2.该费用不再计取企业管理费、利润，仅计取增值</w:t>
      </w:r>
      <w:r>
        <w:rPr>
          <w:rFonts w:ascii="宋体" w:hAnsi="宋体" w:eastAsia="宋体" w:cs="宋体"/>
          <w:spacing w:val="-3"/>
          <w:position w:val="1"/>
          <w:sz w:val="18"/>
          <w:szCs w:val="18"/>
        </w:rPr>
        <w:t>税。</w:t>
      </w:r>
    </w:p>
    <w:p>
      <w:pPr>
        <w:spacing w:line="243" w:lineRule="auto"/>
        <w:rPr>
          <w:rFonts w:ascii="Arial"/>
          <w:sz w:val="21"/>
        </w:rPr>
      </w:pPr>
    </w:p>
    <w:p>
      <w:pPr>
        <w:spacing w:line="244" w:lineRule="auto"/>
        <w:rPr>
          <w:rFonts w:ascii="Arial"/>
          <w:sz w:val="21"/>
        </w:rPr>
      </w:pPr>
    </w:p>
    <w:p>
      <w:pPr>
        <w:spacing w:before="65" w:line="277" w:lineRule="exact"/>
        <w:ind w:left="427"/>
        <w:rPr>
          <w:rFonts w:ascii="宋体" w:hAnsi="宋体" w:eastAsia="宋体" w:cs="宋体"/>
          <w:sz w:val="20"/>
          <w:szCs w:val="20"/>
        </w:rPr>
      </w:pPr>
      <w:r>
        <w:rPr>
          <w:rFonts w:ascii="宋体" w:hAnsi="宋体" w:eastAsia="宋体" w:cs="宋体"/>
          <w:spacing w:val="15"/>
          <w:position w:val="1"/>
          <w:sz w:val="20"/>
          <w:szCs w:val="20"/>
        </w:rPr>
        <w:t>2.</w:t>
      </w:r>
      <w:r>
        <w:rPr>
          <w:rFonts w:ascii="宋体" w:hAnsi="宋体" w:eastAsia="宋体" w:cs="宋体"/>
          <w:spacing w:val="39"/>
          <w:position w:val="1"/>
          <w:sz w:val="20"/>
          <w:szCs w:val="20"/>
        </w:rPr>
        <w:t xml:space="preserve"> </w:t>
      </w:r>
      <w:r>
        <w:rPr>
          <w:rFonts w:ascii="宋体" w:hAnsi="宋体" w:eastAsia="宋体" w:cs="宋体"/>
          <w:spacing w:val="15"/>
          <w:position w:val="1"/>
          <w:sz w:val="20"/>
          <w:szCs w:val="20"/>
        </w:rPr>
        <w:t>市政工程（单位：</w:t>
      </w:r>
      <w:r>
        <w:rPr>
          <w:rFonts w:ascii="宋体" w:hAnsi="宋体" w:eastAsia="宋体" w:cs="宋体"/>
          <w:spacing w:val="-53"/>
          <w:position w:val="1"/>
          <w:sz w:val="20"/>
          <w:szCs w:val="20"/>
        </w:rPr>
        <w:t xml:space="preserve"> </w:t>
      </w:r>
      <w:r>
        <w:rPr>
          <w:rFonts w:ascii="宋体" w:hAnsi="宋体" w:eastAsia="宋体" w:cs="宋体"/>
          <w:spacing w:val="15"/>
          <w:position w:val="1"/>
          <w:sz w:val="20"/>
          <w:szCs w:val="20"/>
        </w:rPr>
        <w:t>%）</w:t>
      </w:r>
    </w:p>
    <w:p>
      <w:pPr>
        <w:spacing w:line="101" w:lineRule="auto"/>
        <w:rPr>
          <w:rFonts w:ascii="Arial"/>
          <w:sz w:val="2"/>
        </w:rPr>
      </w:pPr>
    </w:p>
    <w:tbl>
      <w:tblPr>
        <w:tblStyle w:val="5"/>
        <w:tblW w:w="9079"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6"/>
        <w:gridCol w:w="1975"/>
        <w:gridCol w:w="1975"/>
        <w:gridCol w:w="19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8" w:hRule="atLeast"/>
        </w:trPr>
        <w:tc>
          <w:tcPr>
            <w:tcW w:w="3136" w:type="dxa"/>
            <w:tcBorders>
              <w:top w:val="single" w:color="000000" w:sz="4" w:space="0"/>
              <w:left w:val="single" w:color="000000" w:sz="4" w:space="0"/>
              <w:tl2br w:val="single" w:color="000000" w:sz="2" w:space="0"/>
            </w:tcBorders>
            <w:vAlign w:val="top"/>
          </w:tcPr>
          <w:p>
            <w:pPr>
              <w:spacing w:before="149" w:line="203" w:lineRule="auto"/>
              <w:ind w:left="2209"/>
              <w:rPr>
                <w:rFonts w:ascii="微软雅黑" w:hAnsi="微软雅黑" w:eastAsia="微软雅黑" w:cs="微软雅黑"/>
                <w:sz w:val="18"/>
                <w:szCs w:val="18"/>
              </w:rPr>
            </w:pPr>
            <w:r>
              <w:rPr>
                <w:rFonts w:ascii="微软雅黑" w:hAnsi="微软雅黑" w:eastAsia="微软雅黑" w:cs="微软雅黑"/>
                <w:spacing w:val="-4"/>
                <w:sz w:val="18"/>
                <w:szCs w:val="18"/>
              </w:rPr>
              <w:t>级别</w:t>
            </w:r>
          </w:p>
          <w:p>
            <w:pPr>
              <w:pStyle w:val="6"/>
              <w:spacing w:line="312" w:lineRule="auto"/>
            </w:pPr>
          </w:p>
          <w:p>
            <w:pPr>
              <w:spacing w:before="77" w:line="168" w:lineRule="auto"/>
              <w:ind w:left="120"/>
              <w:rPr>
                <w:rFonts w:ascii="微软雅黑" w:hAnsi="微软雅黑" w:eastAsia="微软雅黑" w:cs="微软雅黑"/>
                <w:sz w:val="18"/>
                <w:szCs w:val="18"/>
              </w:rPr>
            </w:pPr>
            <w:r>
              <w:rPr>
                <w:rFonts w:ascii="微软雅黑" w:hAnsi="微软雅黑" w:eastAsia="微软雅黑" w:cs="微软雅黑"/>
                <w:spacing w:val="-4"/>
                <w:sz w:val="18"/>
                <w:szCs w:val="18"/>
              </w:rPr>
              <w:t>计费造价</w:t>
            </w:r>
          </w:p>
        </w:tc>
        <w:tc>
          <w:tcPr>
            <w:tcW w:w="1975" w:type="dxa"/>
            <w:tcBorders>
              <w:top w:val="single" w:color="000000" w:sz="4" w:space="0"/>
            </w:tcBorders>
            <w:vAlign w:val="top"/>
          </w:tcPr>
          <w:p>
            <w:pPr>
              <w:pStyle w:val="6"/>
              <w:spacing w:line="374" w:lineRule="auto"/>
            </w:pPr>
          </w:p>
          <w:p>
            <w:pPr>
              <w:spacing w:before="77" w:line="203" w:lineRule="auto"/>
              <w:ind w:left="735"/>
              <w:rPr>
                <w:rFonts w:ascii="微软雅黑" w:hAnsi="微软雅黑" w:eastAsia="微软雅黑" w:cs="微软雅黑"/>
                <w:sz w:val="18"/>
                <w:szCs w:val="18"/>
              </w:rPr>
            </w:pPr>
            <w:r>
              <w:rPr>
                <w:rFonts w:ascii="微软雅黑" w:hAnsi="微软雅黑" w:eastAsia="微软雅黑" w:cs="微软雅黑"/>
                <w:spacing w:val="-4"/>
                <w:w w:val="98"/>
                <w:sz w:val="18"/>
                <w:szCs w:val="18"/>
              </w:rPr>
              <w:t>一星级</w:t>
            </w:r>
          </w:p>
        </w:tc>
        <w:tc>
          <w:tcPr>
            <w:tcW w:w="1975" w:type="dxa"/>
            <w:tcBorders>
              <w:top w:val="single" w:color="000000" w:sz="4" w:space="0"/>
            </w:tcBorders>
            <w:vAlign w:val="top"/>
          </w:tcPr>
          <w:p>
            <w:pPr>
              <w:pStyle w:val="6"/>
              <w:spacing w:line="374" w:lineRule="auto"/>
            </w:pPr>
          </w:p>
          <w:p>
            <w:pPr>
              <w:spacing w:before="77" w:line="203" w:lineRule="auto"/>
              <w:ind w:left="740"/>
              <w:rPr>
                <w:rFonts w:ascii="微软雅黑" w:hAnsi="微软雅黑" w:eastAsia="微软雅黑" w:cs="微软雅黑"/>
                <w:sz w:val="18"/>
                <w:szCs w:val="18"/>
              </w:rPr>
            </w:pPr>
            <w:r>
              <w:rPr>
                <w:rFonts w:ascii="微软雅黑" w:hAnsi="微软雅黑" w:eastAsia="微软雅黑" w:cs="微软雅黑"/>
                <w:spacing w:val="-6"/>
                <w:sz w:val="18"/>
                <w:szCs w:val="18"/>
              </w:rPr>
              <w:t>二星级</w:t>
            </w:r>
          </w:p>
        </w:tc>
        <w:tc>
          <w:tcPr>
            <w:tcW w:w="1993" w:type="dxa"/>
            <w:tcBorders>
              <w:top w:val="single" w:color="000000" w:sz="4" w:space="0"/>
              <w:right w:val="single" w:color="000000" w:sz="4" w:space="0"/>
            </w:tcBorders>
            <w:vAlign w:val="top"/>
          </w:tcPr>
          <w:p>
            <w:pPr>
              <w:pStyle w:val="6"/>
              <w:spacing w:line="374" w:lineRule="auto"/>
            </w:pPr>
          </w:p>
          <w:p>
            <w:pPr>
              <w:spacing w:before="77" w:line="203" w:lineRule="auto"/>
              <w:ind w:left="745"/>
              <w:rPr>
                <w:rFonts w:ascii="微软雅黑" w:hAnsi="微软雅黑" w:eastAsia="微软雅黑" w:cs="微软雅黑"/>
                <w:sz w:val="18"/>
                <w:szCs w:val="18"/>
              </w:rPr>
            </w:pPr>
            <w:r>
              <w:rPr>
                <w:rFonts w:ascii="微软雅黑" w:hAnsi="微软雅黑" w:eastAsia="微软雅黑" w:cs="微软雅黑"/>
                <w:spacing w:val="-7"/>
                <w:sz w:val="18"/>
                <w:szCs w:val="18"/>
              </w:rPr>
              <w:t>三星级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6" w:hRule="atLeast"/>
        </w:trPr>
        <w:tc>
          <w:tcPr>
            <w:tcW w:w="3136" w:type="dxa"/>
            <w:tcBorders>
              <w:left w:val="single" w:color="000000" w:sz="4" w:space="0"/>
            </w:tcBorders>
            <w:vAlign w:val="top"/>
          </w:tcPr>
          <w:p>
            <w:pPr>
              <w:spacing w:before="140" w:line="240" w:lineRule="exact"/>
              <w:ind w:left="193"/>
              <w:rPr>
                <w:rFonts w:ascii="宋体" w:hAnsi="宋体" w:eastAsia="宋体" w:cs="宋体"/>
                <w:sz w:val="18"/>
                <w:szCs w:val="18"/>
              </w:rPr>
            </w:pPr>
            <w:r>
              <w:rPr>
                <w:rFonts w:ascii="宋体" w:hAnsi="宋体" w:eastAsia="宋体" w:cs="宋体"/>
                <w:spacing w:val="-8"/>
                <w:position w:val="1"/>
                <w:sz w:val="18"/>
                <w:szCs w:val="18"/>
              </w:rPr>
              <w:t>≤0.5亿元部分（按0.5亿元计算）</w:t>
            </w:r>
          </w:p>
        </w:tc>
        <w:tc>
          <w:tcPr>
            <w:tcW w:w="1975" w:type="dxa"/>
            <w:vAlign w:val="top"/>
          </w:tcPr>
          <w:p>
            <w:pPr>
              <w:spacing w:before="159" w:line="256" w:lineRule="exact"/>
              <w:ind w:left="815"/>
              <w:rPr>
                <w:rFonts w:ascii="宋体" w:hAnsi="宋体" w:eastAsia="宋体" w:cs="宋体"/>
                <w:sz w:val="18"/>
                <w:szCs w:val="18"/>
              </w:rPr>
            </w:pPr>
            <w:r>
              <w:rPr>
                <w:rFonts w:ascii="宋体" w:hAnsi="宋体" w:eastAsia="宋体" w:cs="宋体"/>
                <w:spacing w:val="-14"/>
                <w:position w:val="1"/>
                <w:sz w:val="18"/>
                <w:szCs w:val="18"/>
              </w:rPr>
              <w:t>0.24</w:t>
            </w:r>
          </w:p>
        </w:tc>
        <w:tc>
          <w:tcPr>
            <w:tcW w:w="1975" w:type="dxa"/>
            <w:vAlign w:val="top"/>
          </w:tcPr>
          <w:p>
            <w:pPr>
              <w:spacing w:before="159" w:line="256" w:lineRule="exact"/>
              <w:ind w:left="820"/>
              <w:rPr>
                <w:rFonts w:ascii="宋体" w:hAnsi="宋体" w:eastAsia="宋体" w:cs="宋体"/>
                <w:sz w:val="18"/>
                <w:szCs w:val="18"/>
              </w:rPr>
            </w:pPr>
            <w:r>
              <w:rPr>
                <w:rFonts w:ascii="宋体" w:hAnsi="宋体" w:eastAsia="宋体" w:cs="宋体"/>
                <w:spacing w:val="-14"/>
                <w:position w:val="1"/>
                <w:sz w:val="18"/>
                <w:szCs w:val="18"/>
              </w:rPr>
              <w:t>0.34</w:t>
            </w:r>
          </w:p>
        </w:tc>
        <w:tc>
          <w:tcPr>
            <w:tcW w:w="1993" w:type="dxa"/>
            <w:tcBorders>
              <w:right w:val="single" w:color="000000" w:sz="4" w:space="0"/>
            </w:tcBorders>
            <w:vAlign w:val="top"/>
          </w:tcPr>
          <w:p>
            <w:pPr>
              <w:spacing w:before="159" w:line="256" w:lineRule="exact"/>
              <w:ind w:left="825"/>
              <w:rPr>
                <w:rFonts w:ascii="宋体" w:hAnsi="宋体" w:eastAsia="宋体" w:cs="宋体"/>
                <w:sz w:val="18"/>
                <w:szCs w:val="18"/>
              </w:rPr>
            </w:pPr>
            <w:r>
              <w:rPr>
                <w:rFonts w:ascii="宋体" w:hAnsi="宋体" w:eastAsia="宋体" w:cs="宋体"/>
                <w:spacing w:val="-14"/>
                <w:position w:val="1"/>
                <w:sz w:val="18"/>
                <w:szCs w:val="18"/>
              </w:rPr>
              <w:t>0.44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43" w:line="241" w:lineRule="exact"/>
              <w:ind w:left="558"/>
              <w:rPr>
                <w:rFonts w:ascii="宋体" w:hAnsi="宋体" w:eastAsia="宋体" w:cs="宋体"/>
                <w:sz w:val="18"/>
                <w:szCs w:val="18"/>
              </w:rPr>
            </w:pPr>
            <w:r>
              <w:rPr>
                <w:rFonts w:ascii="宋体" w:hAnsi="宋体" w:eastAsia="宋体" w:cs="宋体"/>
                <w:spacing w:val="-1"/>
                <w:position w:val="1"/>
                <w:sz w:val="18"/>
                <w:szCs w:val="18"/>
              </w:rPr>
              <w:t>&gt;0.5</w:t>
            </w:r>
            <w:r>
              <w:rPr>
                <w:rFonts w:ascii="宋体" w:hAnsi="宋体" w:eastAsia="宋体" w:cs="宋体"/>
                <w:spacing w:val="-46"/>
                <w:position w:val="1"/>
                <w:sz w:val="18"/>
                <w:szCs w:val="18"/>
              </w:rPr>
              <w:t xml:space="preserve"> </w:t>
            </w:r>
            <w:r>
              <w:rPr>
                <w:rFonts w:ascii="宋体" w:hAnsi="宋体" w:eastAsia="宋体" w:cs="宋体"/>
                <w:spacing w:val="-1"/>
                <w:position w:val="1"/>
                <w:sz w:val="18"/>
                <w:szCs w:val="18"/>
              </w:rPr>
              <w:t>亿元、</w:t>
            </w:r>
            <w:r>
              <w:rPr>
                <w:rFonts w:ascii="宋体" w:hAnsi="宋体" w:eastAsia="宋体" w:cs="宋体"/>
                <w:spacing w:val="-62"/>
                <w:position w:val="1"/>
                <w:sz w:val="18"/>
                <w:szCs w:val="18"/>
              </w:rPr>
              <w:t xml:space="preserve"> </w:t>
            </w:r>
            <w:r>
              <w:rPr>
                <w:rFonts w:ascii="宋体" w:hAnsi="宋体" w:eastAsia="宋体" w:cs="宋体"/>
                <w:spacing w:val="-1"/>
                <w:position w:val="1"/>
                <w:sz w:val="18"/>
                <w:szCs w:val="18"/>
              </w:rPr>
              <w:t>≤1亿元部分</w:t>
            </w:r>
          </w:p>
        </w:tc>
        <w:tc>
          <w:tcPr>
            <w:tcW w:w="1975" w:type="dxa"/>
            <w:vAlign w:val="top"/>
          </w:tcPr>
          <w:p>
            <w:pPr>
              <w:spacing w:before="160" w:line="257" w:lineRule="exact"/>
              <w:ind w:left="815"/>
              <w:rPr>
                <w:rFonts w:ascii="宋体" w:hAnsi="宋体" w:eastAsia="宋体" w:cs="宋体"/>
                <w:sz w:val="18"/>
                <w:szCs w:val="18"/>
              </w:rPr>
            </w:pPr>
            <w:r>
              <w:rPr>
                <w:rFonts w:ascii="宋体" w:hAnsi="宋体" w:eastAsia="宋体" w:cs="宋体"/>
                <w:spacing w:val="-14"/>
                <w:position w:val="1"/>
                <w:sz w:val="18"/>
                <w:szCs w:val="18"/>
              </w:rPr>
              <w:t>0.13</w:t>
            </w:r>
          </w:p>
        </w:tc>
        <w:tc>
          <w:tcPr>
            <w:tcW w:w="1975" w:type="dxa"/>
            <w:vAlign w:val="top"/>
          </w:tcPr>
          <w:p>
            <w:pPr>
              <w:spacing w:before="160" w:line="257" w:lineRule="exact"/>
              <w:ind w:left="820"/>
              <w:rPr>
                <w:rFonts w:ascii="宋体" w:hAnsi="宋体" w:eastAsia="宋体" w:cs="宋体"/>
                <w:sz w:val="18"/>
                <w:szCs w:val="18"/>
              </w:rPr>
            </w:pPr>
            <w:r>
              <w:rPr>
                <w:rFonts w:ascii="宋体" w:hAnsi="宋体" w:eastAsia="宋体" w:cs="宋体"/>
                <w:spacing w:val="-14"/>
                <w:position w:val="1"/>
                <w:sz w:val="18"/>
                <w:szCs w:val="18"/>
              </w:rPr>
              <w:t>0.21</w:t>
            </w:r>
          </w:p>
        </w:tc>
        <w:tc>
          <w:tcPr>
            <w:tcW w:w="1993" w:type="dxa"/>
            <w:tcBorders>
              <w:right w:val="single" w:color="000000" w:sz="4" w:space="0"/>
            </w:tcBorders>
            <w:vAlign w:val="top"/>
          </w:tcPr>
          <w:p>
            <w:pPr>
              <w:spacing w:before="160" w:line="257" w:lineRule="exact"/>
              <w:ind w:left="825"/>
              <w:rPr>
                <w:rFonts w:ascii="宋体" w:hAnsi="宋体" w:eastAsia="宋体" w:cs="宋体"/>
                <w:sz w:val="18"/>
                <w:szCs w:val="18"/>
              </w:rPr>
            </w:pPr>
            <w:r>
              <w:rPr>
                <w:rFonts w:ascii="宋体" w:hAnsi="宋体" w:eastAsia="宋体" w:cs="宋体"/>
                <w:spacing w:val="-14"/>
                <w:position w:val="1"/>
                <w:sz w:val="18"/>
                <w:szCs w:val="18"/>
              </w:rPr>
              <w:t>0.26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48" w:line="241" w:lineRule="exact"/>
              <w:ind w:left="649"/>
              <w:rPr>
                <w:rFonts w:ascii="宋体" w:hAnsi="宋体" w:eastAsia="宋体" w:cs="宋体"/>
                <w:sz w:val="18"/>
                <w:szCs w:val="18"/>
              </w:rPr>
            </w:pPr>
            <w:r>
              <w:rPr>
                <w:rFonts w:ascii="宋体" w:hAnsi="宋体" w:eastAsia="宋体" w:cs="宋体"/>
                <w:spacing w:val="5"/>
                <w:position w:val="1"/>
                <w:sz w:val="18"/>
                <w:szCs w:val="18"/>
              </w:rPr>
              <w:t>&gt;1</w:t>
            </w:r>
            <w:r>
              <w:rPr>
                <w:rFonts w:ascii="宋体" w:hAnsi="宋体" w:eastAsia="宋体" w:cs="宋体"/>
                <w:spacing w:val="-26"/>
                <w:position w:val="1"/>
                <w:sz w:val="18"/>
                <w:szCs w:val="18"/>
              </w:rPr>
              <w:t xml:space="preserve"> </w:t>
            </w:r>
            <w:r>
              <w:rPr>
                <w:rFonts w:ascii="宋体" w:hAnsi="宋体" w:eastAsia="宋体" w:cs="宋体"/>
                <w:spacing w:val="5"/>
                <w:position w:val="1"/>
                <w:sz w:val="18"/>
                <w:szCs w:val="18"/>
              </w:rPr>
              <w:t>亿元</w:t>
            </w:r>
            <w:r>
              <w:rPr>
                <w:rFonts w:ascii="宋体" w:hAnsi="宋体" w:eastAsia="宋体" w:cs="宋体"/>
                <w:spacing w:val="-51"/>
                <w:position w:val="1"/>
                <w:sz w:val="18"/>
                <w:szCs w:val="18"/>
              </w:rPr>
              <w:t xml:space="preserve"> </w:t>
            </w:r>
            <w:r>
              <w:rPr>
                <w:rFonts w:ascii="宋体" w:hAnsi="宋体" w:eastAsia="宋体" w:cs="宋体"/>
                <w:spacing w:val="5"/>
                <w:position w:val="1"/>
                <w:sz w:val="18"/>
                <w:szCs w:val="18"/>
              </w:rPr>
              <w:t>、</w:t>
            </w:r>
            <w:r>
              <w:rPr>
                <w:rFonts w:ascii="宋体" w:hAnsi="宋体" w:eastAsia="宋体" w:cs="宋体"/>
                <w:spacing w:val="-53"/>
                <w:position w:val="1"/>
                <w:sz w:val="18"/>
                <w:szCs w:val="18"/>
              </w:rPr>
              <w:t xml:space="preserve"> </w:t>
            </w:r>
            <w:r>
              <w:rPr>
                <w:rFonts w:ascii="宋体" w:hAnsi="宋体" w:eastAsia="宋体" w:cs="宋体"/>
                <w:spacing w:val="5"/>
                <w:position w:val="1"/>
                <w:sz w:val="18"/>
                <w:szCs w:val="18"/>
              </w:rPr>
              <w:t>≤</w:t>
            </w:r>
            <w:r>
              <w:rPr>
                <w:rFonts w:ascii="宋体" w:hAnsi="宋体" w:eastAsia="宋体" w:cs="宋体"/>
                <w:spacing w:val="-63"/>
                <w:position w:val="1"/>
                <w:sz w:val="18"/>
                <w:szCs w:val="18"/>
              </w:rPr>
              <w:t xml:space="preserve"> </w:t>
            </w:r>
            <w:r>
              <w:rPr>
                <w:rFonts w:ascii="宋体" w:hAnsi="宋体" w:eastAsia="宋体" w:cs="宋体"/>
                <w:spacing w:val="5"/>
                <w:position w:val="1"/>
                <w:sz w:val="18"/>
                <w:szCs w:val="18"/>
              </w:rPr>
              <w:t>3亿元部分</w:t>
            </w:r>
          </w:p>
        </w:tc>
        <w:tc>
          <w:tcPr>
            <w:tcW w:w="1975" w:type="dxa"/>
            <w:vAlign w:val="top"/>
          </w:tcPr>
          <w:p>
            <w:pPr>
              <w:spacing w:before="167" w:line="250" w:lineRule="exact"/>
              <w:ind w:left="815"/>
              <w:rPr>
                <w:rFonts w:ascii="宋体" w:hAnsi="宋体" w:eastAsia="宋体" w:cs="宋体"/>
                <w:sz w:val="18"/>
                <w:szCs w:val="18"/>
              </w:rPr>
            </w:pPr>
            <w:r>
              <w:rPr>
                <w:rFonts w:ascii="宋体" w:hAnsi="宋体" w:eastAsia="宋体" w:cs="宋体"/>
                <w:spacing w:val="-14"/>
                <w:position w:val="1"/>
                <w:sz w:val="18"/>
                <w:szCs w:val="18"/>
              </w:rPr>
              <w:t>0.06</w:t>
            </w:r>
          </w:p>
        </w:tc>
        <w:tc>
          <w:tcPr>
            <w:tcW w:w="1975" w:type="dxa"/>
            <w:vAlign w:val="top"/>
          </w:tcPr>
          <w:p>
            <w:pPr>
              <w:spacing w:before="167" w:line="250" w:lineRule="exact"/>
              <w:ind w:left="820"/>
              <w:rPr>
                <w:rFonts w:ascii="宋体" w:hAnsi="宋体" w:eastAsia="宋体" w:cs="宋体"/>
                <w:sz w:val="18"/>
                <w:szCs w:val="18"/>
              </w:rPr>
            </w:pPr>
            <w:r>
              <w:rPr>
                <w:rFonts w:ascii="宋体" w:hAnsi="宋体" w:eastAsia="宋体" w:cs="宋体"/>
                <w:spacing w:val="-14"/>
                <w:position w:val="1"/>
                <w:sz w:val="18"/>
                <w:szCs w:val="18"/>
              </w:rPr>
              <w:t>0.09</w:t>
            </w:r>
          </w:p>
        </w:tc>
        <w:tc>
          <w:tcPr>
            <w:tcW w:w="1993" w:type="dxa"/>
            <w:tcBorders>
              <w:right w:val="single" w:color="000000" w:sz="4" w:space="0"/>
            </w:tcBorders>
            <w:vAlign w:val="top"/>
          </w:tcPr>
          <w:p>
            <w:pPr>
              <w:spacing w:before="167" w:line="250" w:lineRule="exact"/>
              <w:ind w:left="825"/>
              <w:rPr>
                <w:rFonts w:ascii="宋体" w:hAnsi="宋体" w:eastAsia="宋体" w:cs="宋体"/>
                <w:sz w:val="18"/>
                <w:szCs w:val="18"/>
              </w:rPr>
            </w:pPr>
            <w:r>
              <w:rPr>
                <w:rFonts w:ascii="宋体" w:hAnsi="宋体" w:eastAsia="宋体" w:cs="宋体"/>
                <w:spacing w:val="-14"/>
                <w:position w:val="1"/>
                <w:sz w:val="18"/>
                <w:szCs w:val="18"/>
              </w:rPr>
              <w:t>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3136" w:type="dxa"/>
            <w:tcBorders>
              <w:left w:val="single" w:color="000000" w:sz="4" w:space="0"/>
            </w:tcBorders>
            <w:vAlign w:val="top"/>
          </w:tcPr>
          <w:p>
            <w:pPr>
              <w:spacing w:before="150" w:line="241" w:lineRule="exact"/>
              <w:ind w:left="601"/>
              <w:rPr>
                <w:rFonts w:ascii="宋体" w:hAnsi="宋体" w:eastAsia="宋体" w:cs="宋体"/>
                <w:sz w:val="18"/>
                <w:szCs w:val="18"/>
              </w:rPr>
            </w:pPr>
            <w:r>
              <w:rPr>
                <w:rFonts w:ascii="宋体" w:hAnsi="宋体" w:eastAsia="宋体" w:cs="宋体"/>
                <w:spacing w:val="6"/>
                <w:position w:val="1"/>
                <w:sz w:val="18"/>
                <w:szCs w:val="18"/>
              </w:rPr>
              <w:t>&gt;3亿元、</w:t>
            </w:r>
            <w:r>
              <w:rPr>
                <w:rFonts w:ascii="宋体" w:hAnsi="宋体" w:eastAsia="宋体" w:cs="宋体"/>
                <w:spacing w:val="-58"/>
                <w:position w:val="1"/>
                <w:sz w:val="18"/>
                <w:szCs w:val="18"/>
              </w:rPr>
              <w:t xml:space="preserve"> </w:t>
            </w:r>
            <w:r>
              <w:rPr>
                <w:rFonts w:ascii="宋体" w:hAnsi="宋体" w:eastAsia="宋体" w:cs="宋体"/>
                <w:spacing w:val="6"/>
                <w:position w:val="1"/>
                <w:sz w:val="18"/>
                <w:szCs w:val="18"/>
              </w:rPr>
              <w:t>≤10亿元部分</w:t>
            </w:r>
          </w:p>
        </w:tc>
        <w:tc>
          <w:tcPr>
            <w:tcW w:w="1975" w:type="dxa"/>
            <w:vAlign w:val="top"/>
          </w:tcPr>
          <w:p>
            <w:pPr>
              <w:spacing w:before="167" w:line="250" w:lineRule="exact"/>
              <w:ind w:left="815"/>
              <w:rPr>
                <w:rFonts w:ascii="宋体" w:hAnsi="宋体" w:eastAsia="宋体" w:cs="宋体"/>
                <w:sz w:val="18"/>
                <w:szCs w:val="18"/>
              </w:rPr>
            </w:pPr>
            <w:r>
              <w:rPr>
                <w:rFonts w:ascii="宋体" w:hAnsi="宋体" w:eastAsia="宋体" w:cs="宋体"/>
                <w:spacing w:val="-14"/>
                <w:position w:val="1"/>
                <w:sz w:val="18"/>
                <w:szCs w:val="18"/>
              </w:rPr>
              <w:t>0.04</w:t>
            </w:r>
          </w:p>
        </w:tc>
        <w:tc>
          <w:tcPr>
            <w:tcW w:w="1975" w:type="dxa"/>
            <w:vAlign w:val="top"/>
          </w:tcPr>
          <w:p>
            <w:pPr>
              <w:spacing w:before="167" w:line="250" w:lineRule="exact"/>
              <w:ind w:left="820"/>
              <w:rPr>
                <w:rFonts w:ascii="宋体" w:hAnsi="宋体" w:eastAsia="宋体" w:cs="宋体"/>
                <w:sz w:val="18"/>
                <w:szCs w:val="18"/>
              </w:rPr>
            </w:pPr>
            <w:r>
              <w:rPr>
                <w:rFonts w:ascii="宋体" w:hAnsi="宋体" w:eastAsia="宋体" w:cs="宋体"/>
                <w:spacing w:val="-14"/>
                <w:position w:val="1"/>
                <w:sz w:val="18"/>
                <w:szCs w:val="18"/>
              </w:rPr>
              <w:t>0.06</w:t>
            </w:r>
          </w:p>
        </w:tc>
        <w:tc>
          <w:tcPr>
            <w:tcW w:w="1993" w:type="dxa"/>
            <w:tcBorders>
              <w:right w:val="single" w:color="000000" w:sz="4" w:space="0"/>
            </w:tcBorders>
            <w:vAlign w:val="top"/>
          </w:tcPr>
          <w:p>
            <w:pPr>
              <w:spacing w:before="167" w:line="250" w:lineRule="exact"/>
              <w:ind w:left="825"/>
              <w:rPr>
                <w:rFonts w:ascii="宋体" w:hAnsi="宋体" w:eastAsia="宋体" w:cs="宋体"/>
                <w:sz w:val="18"/>
                <w:szCs w:val="18"/>
              </w:rPr>
            </w:pPr>
            <w:r>
              <w:rPr>
                <w:rFonts w:ascii="宋体" w:hAnsi="宋体" w:eastAsia="宋体" w:cs="宋体"/>
                <w:spacing w:val="-14"/>
                <w:position w:val="1"/>
                <w:sz w:val="18"/>
                <w:szCs w:val="18"/>
              </w:rPr>
              <w:t>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2" w:hRule="atLeast"/>
        </w:trPr>
        <w:tc>
          <w:tcPr>
            <w:tcW w:w="3136" w:type="dxa"/>
            <w:tcBorders>
              <w:left w:val="single" w:color="000000" w:sz="4" w:space="0"/>
              <w:bottom w:val="single" w:color="000000" w:sz="4" w:space="0"/>
            </w:tcBorders>
            <w:vAlign w:val="top"/>
          </w:tcPr>
          <w:p>
            <w:pPr>
              <w:spacing w:before="153" w:line="240" w:lineRule="exact"/>
              <w:ind w:left="1031"/>
              <w:rPr>
                <w:rFonts w:ascii="宋体" w:hAnsi="宋体" w:eastAsia="宋体" w:cs="宋体"/>
                <w:sz w:val="18"/>
                <w:szCs w:val="18"/>
              </w:rPr>
            </w:pPr>
            <w:r>
              <w:rPr>
                <w:rFonts w:ascii="宋体" w:hAnsi="宋体" w:eastAsia="宋体" w:cs="宋体"/>
                <w:spacing w:val="13"/>
                <w:position w:val="1"/>
                <w:sz w:val="18"/>
                <w:szCs w:val="18"/>
              </w:rPr>
              <w:t>&gt;10亿元部分</w:t>
            </w:r>
          </w:p>
        </w:tc>
        <w:tc>
          <w:tcPr>
            <w:tcW w:w="1975" w:type="dxa"/>
            <w:tcBorders>
              <w:bottom w:val="single" w:color="000000" w:sz="4" w:space="0"/>
            </w:tcBorders>
            <w:vAlign w:val="top"/>
          </w:tcPr>
          <w:p>
            <w:pPr>
              <w:spacing w:before="172" w:line="260" w:lineRule="exact"/>
              <w:ind w:left="815"/>
              <w:rPr>
                <w:rFonts w:ascii="宋体" w:hAnsi="宋体" w:eastAsia="宋体" w:cs="宋体"/>
                <w:sz w:val="18"/>
                <w:szCs w:val="18"/>
              </w:rPr>
            </w:pPr>
            <w:r>
              <w:rPr>
                <w:rFonts w:ascii="宋体" w:hAnsi="宋体" w:eastAsia="宋体" w:cs="宋体"/>
                <w:spacing w:val="-14"/>
                <w:position w:val="2"/>
                <w:sz w:val="18"/>
                <w:szCs w:val="18"/>
              </w:rPr>
              <w:t>0.02</w:t>
            </w:r>
          </w:p>
        </w:tc>
        <w:tc>
          <w:tcPr>
            <w:tcW w:w="1975" w:type="dxa"/>
            <w:tcBorders>
              <w:bottom w:val="single" w:color="000000" w:sz="4" w:space="0"/>
            </w:tcBorders>
            <w:vAlign w:val="top"/>
          </w:tcPr>
          <w:p>
            <w:pPr>
              <w:spacing w:before="172" w:line="260" w:lineRule="exact"/>
              <w:ind w:left="820"/>
              <w:rPr>
                <w:rFonts w:ascii="宋体" w:hAnsi="宋体" w:eastAsia="宋体" w:cs="宋体"/>
                <w:sz w:val="18"/>
                <w:szCs w:val="18"/>
              </w:rPr>
            </w:pPr>
            <w:r>
              <w:rPr>
                <w:rFonts w:ascii="宋体" w:hAnsi="宋体" w:eastAsia="宋体" w:cs="宋体"/>
                <w:spacing w:val="-14"/>
                <w:position w:val="2"/>
                <w:sz w:val="18"/>
                <w:szCs w:val="18"/>
              </w:rPr>
              <w:t>0.03</w:t>
            </w:r>
          </w:p>
        </w:tc>
        <w:tc>
          <w:tcPr>
            <w:tcW w:w="1993" w:type="dxa"/>
            <w:tcBorders>
              <w:bottom w:val="single" w:color="000000" w:sz="4" w:space="0"/>
              <w:right w:val="single" w:color="000000" w:sz="4" w:space="0"/>
            </w:tcBorders>
            <w:vAlign w:val="top"/>
          </w:tcPr>
          <w:p>
            <w:pPr>
              <w:spacing w:before="172" w:line="260" w:lineRule="exact"/>
              <w:ind w:left="825"/>
              <w:rPr>
                <w:rFonts w:ascii="宋体" w:hAnsi="宋体" w:eastAsia="宋体" w:cs="宋体"/>
                <w:sz w:val="18"/>
                <w:szCs w:val="18"/>
              </w:rPr>
            </w:pPr>
            <w:r>
              <w:rPr>
                <w:rFonts w:ascii="宋体" w:hAnsi="宋体" w:eastAsia="宋体" w:cs="宋体"/>
                <w:spacing w:val="-14"/>
                <w:position w:val="2"/>
                <w:sz w:val="18"/>
                <w:szCs w:val="18"/>
              </w:rPr>
              <w:t>0.04</w:t>
            </w:r>
          </w:p>
        </w:tc>
      </w:tr>
    </w:tbl>
    <w:p>
      <w:pPr>
        <w:spacing w:before="86" w:line="240" w:lineRule="exact"/>
        <w:ind w:left="4"/>
        <w:rPr>
          <w:rFonts w:ascii="宋体" w:hAnsi="宋体" w:eastAsia="宋体" w:cs="宋体"/>
          <w:sz w:val="18"/>
          <w:szCs w:val="18"/>
        </w:rPr>
      </w:pPr>
      <w:r>
        <w:rPr>
          <w:rFonts w:ascii="宋体" w:hAnsi="宋体" w:eastAsia="宋体" w:cs="宋体"/>
          <w:spacing w:val="-1"/>
          <w:position w:val="1"/>
          <w:sz w:val="18"/>
          <w:szCs w:val="18"/>
        </w:rPr>
        <w:t>注：1. 该费用包括基础项和推广项要求的各项内容，已综合考虑了与安全文明措施费等</w:t>
      </w:r>
      <w:r>
        <w:rPr>
          <w:rFonts w:ascii="宋体" w:hAnsi="宋体" w:eastAsia="宋体" w:cs="宋体"/>
          <w:spacing w:val="-2"/>
          <w:position w:val="1"/>
          <w:sz w:val="18"/>
          <w:szCs w:val="18"/>
        </w:rPr>
        <w:t>项目的交叉部分。</w:t>
      </w:r>
    </w:p>
    <w:p>
      <w:pPr>
        <w:spacing w:before="60" w:line="240" w:lineRule="exact"/>
        <w:ind w:left="364"/>
        <w:rPr>
          <w:rFonts w:ascii="宋体" w:hAnsi="宋体" w:eastAsia="宋体" w:cs="宋体"/>
          <w:sz w:val="18"/>
          <w:szCs w:val="18"/>
        </w:rPr>
      </w:pPr>
      <w:r>
        <w:rPr>
          <w:rFonts w:ascii="宋体" w:hAnsi="宋体" w:eastAsia="宋体" w:cs="宋体"/>
          <w:spacing w:val="-2"/>
          <w:position w:val="1"/>
          <w:sz w:val="18"/>
          <w:szCs w:val="18"/>
        </w:rPr>
        <w:t>2. 该费用为包括企业管理费、利润、增值税在内的全费用价格。</w:t>
      </w:r>
    </w:p>
    <w:p>
      <w:pPr>
        <w:spacing w:before="60" w:line="287" w:lineRule="auto"/>
        <w:ind w:right="30" w:firstLine="366"/>
        <w:rPr>
          <w:rFonts w:ascii="宋体" w:hAnsi="宋体" w:eastAsia="宋体" w:cs="宋体"/>
          <w:sz w:val="18"/>
          <w:szCs w:val="18"/>
        </w:rPr>
      </w:pPr>
      <w:r>
        <w:rPr>
          <w:rFonts w:ascii="宋体" w:hAnsi="宋体" w:eastAsia="宋体" w:cs="宋体"/>
          <w:spacing w:val="-2"/>
          <w:sz w:val="18"/>
          <w:szCs w:val="18"/>
        </w:rPr>
        <w:t>3. “市政工程智慧工地建设费 ”计取时，以不含设备费的工程造价（</w:t>
      </w:r>
      <w:r>
        <w:rPr>
          <w:rFonts w:ascii="宋体" w:hAnsi="宋体" w:eastAsia="宋体" w:cs="宋体"/>
          <w:spacing w:val="-44"/>
          <w:sz w:val="18"/>
          <w:szCs w:val="18"/>
        </w:rPr>
        <w:t xml:space="preserve"> </w:t>
      </w:r>
      <w:r>
        <w:rPr>
          <w:rFonts w:ascii="宋体" w:hAnsi="宋体" w:eastAsia="宋体" w:cs="宋体"/>
          <w:spacing w:val="-2"/>
          <w:sz w:val="18"/>
          <w:szCs w:val="18"/>
        </w:rPr>
        <w:t>以下简称“计费造价 ”）为基数，区分</w:t>
      </w:r>
      <w:r>
        <w:rPr>
          <w:rFonts w:ascii="宋体" w:hAnsi="宋体" w:eastAsia="宋体" w:cs="宋体"/>
          <w:spacing w:val="-3"/>
          <w:sz w:val="18"/>
          <w:szCs w:val="18"/>
        </w:rPr>
        <w:t>0.5</w:t>
      </w:r>
      <w:r>
        <w:rPr>
          <w:rFonts w:ascii="宋体" w:hAnsi="宋体" w:eastAsia="宋体" w:cs="宋体"/>
          <w:spacing w:val="-41"/>
          <w:sz w:val="18"/>
          <w:szCs w:val="18"/>
        </w:rPr>
        <w:t xml:space="preserve"> </w:t>
      </w:r>
      <w:r>
        <w:rPr>
          <w:rFonts w:ascii="宋体" w:hAnsi="宋体" w:eastAsia="宋体" w:cs="宋体"/>
          <w:spacing w:val="-3"/>
          <w:sz w:val="18"/>
          <w:szCs w:val="18"/>
        </w:rPr>
        <w:t>亿元以内、0.5～1</w:t>
      </w:r>
      <w:r>
        <w:rPr>
          <w:rFonts w:ascii="宋体" w:hAnsi="宋体" w:eastAsia="宋体" w:cs="宋体"/>
          <w:spacing w:val="-43"/>
          <w:sz w:val="18"/>
          <w:szCs w:val="18"/>
        </w:rPr>
        <w:t xml:space="preserve"> </w:t>
      </w:r>
      <w:r>
        <w:rPr>
          <w:rFonts w:ascii="宋体" w:hAnsi="宋体" w:eastAsia="宋体" w:cs="宋体"/>
          <w:spacing w:val="-3"/>
          <w:sz w:val="18"/>
          <w:szCs w:val="18"/>
        </w:rPr>
        <w:t>亿元、1～</w:t>
      </w:r>
      <w:r>
        <w:rPr>
          <w:rFonts w:ascii="宋体" w:hAnsi="宋体" w:eastAsia="宋体" w:cs="宋体"/>
          <w:spacing w:val="-49"/>
          <w:sz w:val="18"/>
          <w:szCs w:val="18"/>
        </w:rPr>
        <w:t xml:space="preserve"> </w:t>
      </w:r>
      <w:r>
        <w:rPr>
          <w:rFonts w:ascii="宋体" w:hAnsi="宋体" w:eastAsia="宋体" w:cs="宋体"/>
          <w:spacing w:val="-3"/>
          <w:sz w:val="18"/>
          <w:szCs w:val="18"/>
        </w:rPr>
        <w:t>3 亿元</w:t>
      </w:r>
      <w:r>
        <w:rPr>
          <w:rFonts w:ascii="宋体" w:hAnsi="宋体" w:eastAsia="宋体" w:cs="宋体"/>
          <w:spacing w:val="-4"/>
          <w:sz w:val="18"/>
          <w:szCs w:val="18"/>
        </w:rPr>
        <w:t>、3～</w:t>
      </w:r>
      <w:r>
        <w:rPr>
          <w:rFonts w:ascii="宋体" w:hAnsi="宋体" w:eastAsia="宋体" w:cs="宋体"/>
          <w:spacing w:val="-36"/>
          <w:sz w:val="18"/>
          <w:szCs w:val="18"/>
        </w:rPr>
        <w:t xml:space="preserve"> </w:t>
      </w:r>
      <w:r>
        <w:rPr>
          <w:rFonts w:ascii="宋体" w:hAnsi="宋体" w:eastAsia="宋体" w:cs="宋体"/>
          <w:spacing w:val="-4"/>
          <w:sz w:val="18"/>
          <w:szCs w:val="18"/>
        </w:rPr>
        <w:t>10 亿元、10 亿元以上等档位，采用差额定率累进方式，各档位内计费</w:t>
      </w:r>
      <w:r>
        <w:rPr>
          <w:rFonts w:ascii="宋体" w:hAnsi="宋体" w:eastAsia="宋体" w:cs="宋体"/>
          <w:spacing w:val="-1"/>
          <w:sz w:val="18"/>
          <w:szCs w:val="18"/>
        </w:rPr>
        <w:t>造价分别乘以相应费率计算。计费造价不足0.5</w:t>
      </w:r>
      <w:r>
        <w:rPr>
          <w:rFonts w:ascii="宋体" w:hAnsi="宋体" w:eastAsia="宋体" w:cs="宋体"/>
          <w:spacing w:val="-2"/>
          <w:sz w:val="18"/>
          <w:szCs w:val="18"/>
        </w:rPr>
        <w:t xml:space="preserve"> 亿元的，按 0.5 亿元计算。</w:t>
      </w:r>
    </w:p>
    <w:p>
      <w:pPr>
        <w:spacing w:before="61" w:line="240" w:lineRule="exact"/>
        <w:ind w:left="359"/>
        <w:rPr>
          <w:rFonts w:ascii="宋体" w:hAnsi="宋体" w:eastAsia="宋体" w:cs="宋体"/>
          <w:sz w:val="18"/>
          <w:szCs w:val="18"/>
        </w:rPr>
      </w:pPr>
      <w:r>
        <w:rPr>
          <w:rFonts w:ascii="宋体" w:hAnsi="宋体" w:eastAsia="宋体" w:cs="宋体"/>
          <w:position w:val="1"/>
          <w:sz w:val="18"/>
          <w:szCs w:val="18"/>
        </w:rPr>
        <w:t>4.</w:t>
      </w:r>
      <w:r>
        <w:rPr>
          <w:rFonts w:ascii="宋体" w:hAnsi="宋体" w:eastAsia="宋体" w:cs="宋体"/>
          <w:spacing w:val="-39"/>
          <w:position w:val="1"/>
          <w:sz w:val="18"/>
          <w:szCs w:val="18"/>
        </w:rPr>
        <w:t xml:space="preserve"> </w:t>
      </w:r>
      <w:r>
        <w:rPr>
          <w:rFonts w:ascii="宋体" w:hAnsi="宋体" w:eastAsia="宋体" w:cs="宋体"/>
          <w:position w:val="1"/>
          <w:sz w:val="18"/>
          <w:szCs w:val="18"/>
        </w:rPr>
        <w:t>BIM 施工模型、建筑机器人、智慧厂站和智慧展馆建设等</w:t>
      </w:r>
      <w:r>
        <w:rPr>
          <w:rFonts w:ascii="宋体" w:hAnsi="宋体" w:eastAsia="宋体" w:cs="宋体"/>
          <w:spacing w:val="-1"/>
          <w:position w:val="1"/>
          <w:sz w:val="18"/>
          <w:szCs w:val="18"/>
        </w:rPr>
        <w:t>费用不含在上述费率中，发生时另行计算。</w:t>
      </w:r>
    </w:p>
    <w:p>
      <w:pPr>
        <w:spacing w:line="264" w:lineRule="auto"/>
        <w:rPr>
          <w:rFonts w:ascii="Arial"/>
          <w:sz w:val="21"/>
        </w:rPr>
      </w:pPr>
    </w:p>
    <w:p>
      <w:pPr>
        <w:spacing w:line="265" w:lineRule="auto"/>
        <w:rPr>
          <w:rFonts w:ascii="Arial"/>
          <w:sz w:val="21"/>
        </w:rPr>
      </w:pPr>
    </w:p>
    <w:p>
      <w:pPr>
        <w:spacing w:before="78" w:line="214" w:lineRule="auto"/>
        <w:ind w:left="419"/>
        <w:rPr>
          <w:rFonts w:ascii="KaiTi_GB2312" w:hAnsi="KaiTi_GB2312" w:eastAsia="KaiTi_GB2312" w:cs="KaiTi_GB2312"/>
          <w:sz w:val="24"/>
          <w:szCs w:val="24"/>
        </w:rPr>
      </w:pPr>
      <w:r>
        <w:rPr>
          <w:rFonts w:ascii="KaiTi_GB2312" w:hAnsi="KaiTi_GB2312" w:eastAsia="KaiTi_GB2312" w:cs="KaiTi_GB2312"/>
          <w:spacing w:val="4"/>
          <w:sz w:val="24"/>
          <w:szCs w:val="24"/>
        </w:rPr>
        <w:t>（</w:t>
      </w:r>
      <w:r>
        <w:rPr>
          <w:rFonts w:ascii="KaiTi_GB2312" w:hAnsi="KaiTi_GB2312" w:eastAsia="KaiTi_GB2312" w:cs="KaiTi_GB2312"/>
          <w:spacing w:val="-40"/>
          <w:sz w:val="24"/>
          <w:szCs w:val="24"/>
        </w:rPr>
        <w:t xml:space="preserve"> </w:t>
      </w:r>
      <w:r>
        <w:rPr>
          <w:rFonts w:ascii="KaiTi_GB2312" w:hAnsi="KaiTi_GB2312" w:eastAsia="KaiTi_GB2312" w:cs="KaiTi_GB2312"/>
          <w:spacing w:val="4"/>
          <w:sz w:val="24"/>
          <w:szCs w:val="24"/>
        </w:rPr>
        <w:t>四）二次搬运费补充说明</w:t>
      </w:r>
    </w:p>
    <w:p>
      <w:pPr>
        <w:spacing w:before="276" w:line="363" w:lineRule="auto"/>
        <w:ind w:left="2" w:right="130" w:firstLine="416"/>
        <w:jc w:val="both"/>
        <w:rPr>
          <w:rFonts w:ascii="宋体" w:hAnsi="宋体" w:eastAsia="宋体" w:cs="宋体"/>
          <w:sz w:val="20"/>
          <w:szCs w:val="20"/>
        </w:rPr>
      </w:pPr>
      <w:r>
        <w:rPr>
          <w:rFonts w:ascii="宋体" w:hAnsi="宋体" w:eastAsia="宋体" w:cs="宋体"/>
          <w:spacing w:val="9"/>
          <w:sz w:val="20"/>
          <w:szCs w:val="20"/>
        </w:rPr>
        <w:t>施工现场的场地，受工程规模、工程地点、</w:t>
      </w:r>
      <w:r>
        <w:rPr>
          <w:rFonts w:ascii="宋体" w:hAnsi="宋体" w:eastAsia="宋体" w:cs="宋体"/>
          <w:spacing w:val="8"/>
          <w:sz w:val="20"/>
          <w:szCs w:val="20"/>
        </w:rPr>
        <w:t>周边情况等因素影响而不同。若确因场地因素无法</w:t>
      </w:r>
      <w:r>
        <w:rPr>
          <w:rFonts w:ascii="宋体" w:hAnsi="宋体" w:eastAsia="宋体" w:cs="宋体"/>
          <w:spacing w:val="9"/>
          <w:sz w:val="20"/>
          <w:szCs w:val="20"/>
        </w:rPr>
        <w:t>满足存放材料的条件，必须在施工现场之外存</w:t>
      </w:r>
      <w:r>
        <w:rPr>
          <w:rFonts w:ascii="宋体" w:hAnsi="宋体" w:eastAsia="宋体" w:cs="宋体"/>
          <w:spacing w:val="8"/>
          <w:sz w:val="20"/>
          <w:szCs w:val="20"/>
        </w:rPr>
        <w:t>放材料、或必须在施工现场采用立体架构形式存放材</w:t>
      </w:r>
      <w:r>
        <w:rPr>
          <w:rFonts w:ascii="宋体" w:hAnsi="宋体" w:eastAsia="宋体" w:cs="宋体"/>
          <w:spacing w:val="11"/>
          <w:sz w:val="20"/>
          <w:szCs w:val="20"/>
        </w:rPr>
        <w:t>料时，其由场外到场内的运输费用、或立体架构所发生的搭设费用， 由发承</w:t>
      </w:r>
      <w:r>
        <w:rPr>
          <w:rFonts w:ascii="宋体" w:hAnsi="宋体" w:eastAsia="宋体" w:cs="宋体"/>
          <w:spacing w:val="10"/>
          <w:sz w:val="20"/>
          <w:szCs w:val="20"/>
        </w:rPr>
        <w:t>包双方协商处理，另</w:t>
      </w:r>
      <w:r>
        <w:rPr>
          <w:rFonts w:ascii="宋体" w:hAnsi="宋体" w:eastAsia="宋体" w:cs="宋体"/>
          <w:spacing w:val="6"/>
          <w:sz w:val="20"/>
          <w:szCs w:val="20"/>
        </w:rPr>
        <w:t>行计算。</w:t>
      </w:r>
    </w:p>
    <w:p>
      <w:pPr>
        <w:spacing w:line="363" w:lineRule="auto"/>
        <w:rPr>
          <w:rFonts w:ascii="宋体" w:hAnsi="宋体" w:eastAsia="宋体" w:cs="宋体"/>
          <w:sz w:val="20"/>
          <w:szCs w:val="20"/>
        </w:rPr>
        <w:sectPr>
          <w:footerReference r:id="rId222" w:type="default"/>
          <w:pgSz w:w="11905" w:h="16840"/>
          <w:pgMar w:top="400" w:right="1386" w:bottom="1213" w:left="1418" w:header="0" w:footer="898" w:gutter="0"/>
        </w:sect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8" w:line="221" w:lineRule="auto"/>
        <w:ind w:left="485"/>
        <w:rPr>
          <w:rFonts w:ascii="黑体" w:hAnsi="黑体" w:eastAsia="黑体" w:cs="黑体"/>
          <w:sz w:val="24"/>
          <w:szCs w:val="24"/>
        </w:rPr>
      </w:pPr>
      <w:r>
        <w:rPr>
          <w:rFonts w:ascii="黑体" w:hAnsi="黑体" w:eastAsia="黑体" w:cs="黑体"/>
          <w:spacing w:val="-5"/>
          <w:sz w:val="24"/>
          <w:szCs w:val="24"/>
        </w:rPr>
        <w:t>二、企业管理费、利润</w:t>
      </w:r>
    </w:p>
    <w:p>
      <w:pPr>
        <w:spacing w:before="237" w:line="279" w:lineRule="exact"/>
        <w:ind w:left="446"/>
        <w:rPr>
          <w:rFonts w:ascii="宋体" w:hAnsi="宋体" w:eastAsia="宋体" w:cs="宋体"/>
          <w:sz w:val="20"/>
          <w:szCs w:val="20"/>
        </w:rPr>
      </w:pPr>
      <w:r>
        <w:rPr>
          <w:rFonts w:ascii="宋体" w:hAnsi="宋体" w:eastAsia="宋体" w:cs="宋体"/>
          <w:spacing w:val="13"/>
          <w:position w:val="1"/>
          <w:sz w:val="20"/>
          <w:szCs w:val="20"/>
        </w:rPr>
        <w:t>1.</w:t>
      </w:r>
      <w:r>
        <w:rPr>
          <w:rFonts w:ascii="宋体" w:hAnsi="宋体" w:eastAsia="宋体" w:cs="宋体"/>
          <w:spacing w:val="34"/>
          <w:position w:val="1"/>
          <w:sz w:val="20"/>
          <w:szCs w:val="20"/>
        </w:rPr>
        <w:t xml:space="preserve"> </w:t>
      </w:r>
      <w:r>
        <w:rPr>
          <w:rFonts w:ascii="宋体" w:hAnsi="宋体" w:eastAsia="宋体" w:cs="宋体"/>
          <w:spacing w:val="13"/>
          <w:position w:val="1"/>
          <w:sz w:val="20"/>
          <w:szCs w:val="20"/>
        </w:rPr>
        <w:t>一般计税法（单位：</w:t>
      </w:r>
      <w:r>
        <w:rPr>
          <w:rFonts w:ascii="宋体" w:hAnsi="宋体" w:eastAsia="宋体" w:cs="宋体"/>
          <w:spacing w:val="-52"/>
          <w:position w:val="1"/>
          <w:sz w:val="20"/>
          <w:szCs w:val="20"/>
        </w:rPr>
        <w:t xml:space="preserve"> </w:t>
      </w:r>
      <w:r>
        <w:rPr>
          <w:rFonts w:ascii="宋体" w:hAnsi="宋体" w:eastAsia="宋体" w:cs="宋体"/>
          <w:spacing w:val="13"/>
          <w:position w:val="1"/>
          <w:sz w:val="20"/>
          <w:szCs w:val="20"/>
        </w:rPr>
        <w:t>%）</w:t>
      </w:r>
    </w:p>
    <w:p>
      <w:pPr>
        <w:spacing w:line="75"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1"/>
        <w:gridCol w:w="2379"/>
        <w:gridCol w:w="872"/>
        <w:gridCol w:w="955"/>
        <w:gridCol w:w="956"/>
        <w:gridCol w:w="955"/>
        <w:gridCol w:w="956"/>
        <w:gridCol w:w="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0" w:hRule="atLeast"/>
        </w:trPr>
        <w:tc>
          <w:tcPr>
            <w:tcW w:w="3410" w:type="dxa"/>
            <w:gridSpan w:val="2"/>
            <w:vMerge w:val="restart"/>
            <w:tcBorders>
              <w:top w:val="single" w:color="000000" w:sz="4" w:space="0"/>
              <w:left w:val="single" w:color="000000" w:sz="4" w:space="0"/>
              <w:bottom w:val="nil"/>
              <w:tl2br w:val="single" w:color="000000" w:sz="4" w:space="0"/>
            </w:tcBorders>
            <w:vAlign w:val="top"/>
          </w:tcPr>
          <w:p>
            <w:pPr>
              <w:spacing w:before="282" w:line="309" w:lineRule="auto"/>
              <w:ind w:left="213" w:right="746" w:firstLine="1735"/>
              <w:rPr>
                <w:rFonts w:ascii="黑体" w:hAnsi="黑体" w:eastAsia="黑体" w:cs="黑体"/>
                <w:sz w:val="18"/>
                <w:szCs w:val="18"/>
              </w:rPr>
            </w:pPr>
            <w:r>
              <w:rPr>
                <w:rFonts w:ascii="黑体" w:hAnsi="黑体" w:eastAsia="黑体" w:cs="黑体"/>
                <w:spacing w:val="-4"/>
                <w:sz w:val="18"/>
                <w:szCs w:val="18"/>
              </w:rPr>
              <w:t>费用名称</w:t>
            </w:r>
            <w:r>
              <w:rPr>
                <w:rFonts w:ascii="黑体" w:hAnsi="黑体" w:eastAsia="黑体" w:cs="黑体"/>
                <w:spacing w:val="-5"/>
                <w:sz w:val="18"/>
                <w:szCs w:val="18"/>
              </w:rPr>
              <w:t>专业名称</w:t>
            </w:r>
          </w:p>
        </w:tc>
        <w:tc>
          <w:tcPr>
            <w:tcW w:w="2783" w:type="dxa"/>
            <w:gridSpan w:val="3"/>
            <w:tcBorders>
              <w:top w:val="single" w:color="000000" w:sz="4" w:space="0"/>
            </w:tcBorders>
            <w:vAlign w:val="top"/>
          </w:tcPr>
          <w:p>
            <w:pPr>
              <w:spacing w:before="183" w:line="223" w:lineRule="auto"/>
              <w:ind w:left="952"/>
              <w:rPr>
                <w:rFonts w:ascii="黑体" w:hAnsi="黑体" w:eastAsia="黑体" w:cs="黑体"/>
                <w:sz w:val="18"/>
                <w:szCs w:val="18"/>
              </w:rPr>
            </w:pPr>
            <w:r>
              <w:rPr>
                <w:rFonts w:ascii="黑体" w:hAnsi="黑体" w:eastAsia="黑体" w:cs="黑体"/>
                <w:spacing w:val="-4"/>
                <w:sz w:val="18"/>
                <w:szCs w:val="18"/>
              </w:rPr>
              <w:t>企业管理费</w:t>
            </w:r>
          </w:p>
        </w:tc>
        <w:tc>
          <w:tcPr>
            <w:tcW w:w="2886" w:type="dxa"/>
            <w:gridSpan w:val="3"/>
            <w:tcBorders>
              <w:top w:val="single" w:color="000000" w:sz="4" w:space="0"/>
              <w:right w:val="single" w:color="000000" w:sz="4" w:space="0"/>
            </w:tcBorders>
            <w:vAlign w:val="top"/>
          </w:tcPr>
          <w:p>
            <w:pPr>
              <w:spacing w:before="183" w:line="221" w:lineRule="auto"/>
              <w:ind w:left="1275"/>
              <w:rPr>
                <w:rFonts w:ascii="黑体" w:hAnsi="黑体" w:eastAsia="黑体" w:cs="黑体"/>
                <w:sz w:val="18"/>
                <w:szCs w:val="18"/>
              </w:rPr>
            </w:pPr>
            <w:r>
              <w:rPr>
                <w:rFonts w:ascii="黑体" w:hAnsi="黑体" w:eastAsia="黑体" w:cs="黑体"/>
                <w:spacing w:val="-5"/>
                <w:sz w:val="18"/>
                <w:szCs w:val="18"/>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trPr>
        <w:tc>
          <w:tcPr>
            <w:tcW w:w="3410" w:type="dxa"/>
            <w:gridSpan w:val="2"/>
            <w:vMerge w:val="continue"/>
            <w:tcBorders>
              <w:top w:val="nil"/>
              <w:left w:val="single" w:color="000000" w:sz="4" w:space="0"/>
              <w:tl2br w:val="single" w:color="000000" w:sz="4" w:space="0"/>
            </w:tcBorders>
            <w:vAlign w:val="top"/>
          </w:tcPr>
          <w:p>
            <w:pPr>
              <w:pStyle w:val="6"/>
            </w:pPr>
          </w:p>
        </w:tc>
        <w:tc>
          <w:tcPr>
            <w:tcW w:w="872" w:type="dxa"/>
            <w:vAlign w:val="top"/>
          </w:tcPr>
          <w:p>
            <w:pPr>
              <w:spacing w:before="192" w:line="254" w:lineRule="exact"/>
              <w:ind w:left="408"/>
              <w:rPr>
                <w:rFonts w:ascii="宋体" w:hAnsi="宋体" w:eastAsia="宋体" w:cs="宋体"/>
                <w:sz w:val="18"/>
                <w:szCs w:val="18"/>
              </w:rPr>
            </w:pPr>
            <w:r>
              <w:rPr>
                <w:rFonts w:ascii="宋体" w:hAnsi="宋体" w:eastAsia="宋体" w:cs="宋体"/>
                <w:position w:val="1"/>
                <w:sz w:val="18"/>
                <w:szCs w:val="18"/>
              </w:rPr>
              <w:t>I</w:t>
            </w:r>
          </w:p>
        </w:tc>
        <w:tc>
          <w:tcPr>
            <w:tcW w:w="955" w:type="dxa"/>
            <w:vAlign w:val="top"/>
          </w:tcPr>
          <w:p>
            <w:pPr>
              <w:spacing w:before="204" w:line="197" w:lineRule="auto"/>
              <w:ind w:left="466"/>
              <w:rPr>
                <w:rFonts w:ascii="宋体" w:hAnsi="宋体" w:eastAsia="宋体" w:cs="宋体"/>
                <w:sz w:val="18"/>
                <w:szCs w:val="18"/>
              </w:rPr>
            </w:pPr>
            <w:r>
              <w:rPr>
                <w:rFonts w:ascii="宋体" w:hAnsi="宋体" w:eastAsia="宋体" w:cs="宋体"/>
                <w:sz w:val="18"/>
                <w:szCs w:val="18"/>
              </w:rPr>
              <w:t>Ⅱ</w:t>
            </w:r>
          </w:p>
        </w:tc>
        <w:tc>
          <w:tcPr>
            <w:tcW w:w="956" w:type="dxa"/>
            <w:vAlign w:val="top"/>
          </w:tcPr>
          <w:p>
            <w:pPr>
              <w:spacing w:before="205" w:line="195" w:lineRule="auto"/>
              <w:ind w:left="422"/>
              <w:rPr>
                <w:rFonts w:ascii="宋体" w:hAnsi="宋体" w:eastAsia="宋体" w:cs="宋体"/>
                <w:sz w:val="18"/>
                <w:szCs w:val="18"/>
              </w:rPr>
            </w:pPr>
            <w:r>
              <w:rPr>
                <w:rFonts w:ascii="宋体" w:hAnsi="宋体" w:eastAsia="宋体" w:cs="宋体"/>
                <w:sz w:val="18"/>
                <w:szCs w:val="18"/>
              </w:rPr>
              <w:t>Ⅲ</w:t>
            </w:r>
          </w:p>
        </w:tc>
        <w:tc>
          <w:tcPr>
            <w:tcW w:w="955" w:type="dxa"/>
            <w:vAlign w:val="top"/>
          </w:tcPr>
          <w:p>
            <w:pPr>
              <w:spacing w:before="192" w:line="254" w:lineRule="exact"/>
              <w:ind w:left="457"/>
              <w:rPr>
                <w:rFonts w:ascii="宋体" w:hAnsi="宋体" w:eastAsia="宋体" w:cs="宋体"/>
                <w:sz w:val="18"/>
                <w:szCs w:val="18"/>
              </w:rPr>
            </w:pPr>
            <w:r>
              <w:rPr>
                <w:rFonts w:ascii="宋体" w:hAnsi="宋体" w:eastAsia="宋体" w:cs="宋体"/>
                <w:position w:val="1"/>
                <w:sz w:val="18"/>
                <w:szCs w:val="18"/>
              </w:rPr>
              <w:t>I</w:t>
            </w:r>
          </w:p>
        </w:tc>
        <w:tc>
          <w:tcPr>
            <w:tcW w:w="956" w:type="dxa"/>
            <w:vAlign w:val="top"/>
          </w:tcPr>
          <w:p>
            <w:pPr>
              <w:spacing w:before="204" w:line="197" w:lineRule="auto"/>
              <w:ind w:left="472"/>
              <w:rPr>
                <w:rFonts w:ascii="宋体" w:hAnsi="宋体" w:eastAsia="宋体" w:cs="宋体"/>
                <w:sz w:val="18"/>
                <w:szCs w:val="18"/>
              </w:rPr>
            </w:pPr>
            <w:r>
              <w:rPr>
                <w:rFonts w:ascii="宋体" w:hAnsi="宋体" w:eastAsia="宋体" w:cs="宋体"/>
                <w:sz w:val="18"/>
                <w:szCs w:val="18"/>
              </w:rPr>
              <w:t>Ⅱ</w:t>
            </w:r>
          </w:p>
        </w:tc>
        <w:tc>
          <w:tcPr>
            <w:tcW w:w="975" w:type="dxa"/>
            <w:tcBorders>
              <w:right w:val="single" w:color="000000" w:sz="4" w:space="0"/>
            </w:tcBorders>
            <w:vAlign w:val="top"/>
          </w:tcPr>
          <w:p>
            <w:pPr>
              <w:spacing w:before="205" w:line="195" w:lineRule="auto"/>
              <w:ind w:left="428"/>
              <w:rPr>
                <w:rFonts w:ascii="宋体" w:hAnsi="宋体" w:eastAsia="宋体" w:cs="宋体"/>
                <w:sz w:val="18"/>
                <w:szCs w:val="18"/>
              </w:rPr>
            </w:pPr>
            <w:r>
              <w:rPr>
                <w:rFonts w:ascii="宋体" w:hAnsi="宋体" w:eastAsia="宋体" w:cs="宋体"/>
                <w:sz w:val="18"/>
                <w:szCs w:val="18"/>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1031" w:type="dxa"/>
            <w:vMerge w:val="restart"/>
            <w:tcBorders>
              <w:left w:val="single" w:color="000000" w:sz="4" w:space="0"/>
              <w:bottom w:val="nil"/>
            </w:tcBorders>
            <w:vAlign w:val="top"/>
          </w:tcPr>
          <w:p>
            <w:pPr>
              <w:pStyle w:val="6"/>
              <w:spacing w:line="293" w:lineRule="auto"/>
            </w:pPr>
          </w:p>
          <w:p>
            <w:pPr>
              <w:pStyle w:val="6"/>
              <w:spacing w:line="293" w:lineRule="auto"/>
            </w:pPr>
          </w:p>
          <w:p>
            <w:pPr>
              <w:pStyle w:val="6"/>
              <w:spacing w:line="293" w:lineRule="auto"/>
            </w:pPr>
          </w:p>
          <w:p>
            <w:pPr>
              <w:spacing w:before="58" w:line="215" w:lineRule="auto"/>
              <w:ind w:left="158"/>
              <w:rPr>
                <w:rFonts w:ascii="宋体" w:hAnsi="宋体" w:eastAsia="宋体" w:cs="宋体"/>
                <w:sz w:val="18"/>
                <w:szCs w:val="18"/>
              </w:rPr>
            </w:pPr>
            <w:r>
              <w:rPr>
                <w:rFonts w:ascii="宋体" w:hAnsi="宋体" w:eastAsia="宋体" w:cs="宋体"/>
                <w:spacing w:val="-4"/>
                <w:sz w:val="18"/>
                <w:szCs w:val="18"/>
              </w:rPr>
              <w:t>建筑工程</w:t>
            </w:r>
          </w:p>
        </w:tc>
        <w:tc>
          <w:tcPr>
            <w:tcW w:w="2379" w:type="dxa"/>
            <w:vAlign w:val="top"/>
          </w:tcPr>
          <w:p>
            <w:pPr>
              <w:spacing w:before="163" w:line="215" w:lineRule="auto"/>
              <w:ind w:left="833"/>
              <w:rPr>
                <w:rFonts w:ascii="宋体" w:hAnsi="宋体" w:eastAsia="宋体" w:cs="宋体"/>
                <w:sz w:val="18"/>
                <w:szCs w:val="18"/>
              </w:rPr>
            </w:pPr>
            <w:r>
              <w:rPr>
                <w:rFonts w:ascii="宋体" w:hAnsi="宋体" w:eastAsia="宋体" w:cs="宋体"/>
                <w:spacing w:val="-4"/>
                <w:sz w:val="18"/>
                <w:szCs w:val="18"/>
              </w:rPr>
              <w:t>建筑工程</w:t>
            </w:r>
          </w:p>
        </w:tc>
        <w:tc>
          <w:tcPr>
            <w:tcW w:w="872" w:type="dxa"/>
            <w:vAlign w:val="top"/>
          </w:tcPr>
          <w:p>
            <w:pPr>
              <w:spacing w:before="165" w:line="259" w:lineRule="exact"/>
              <w:ind w:left="225"/>
              <w:rPr>
                <w:rFonts w:ascii="宋体" w:hAnsi="宋体" w:eastAsia="宋体" w:cs="宋体"/>
                <w:sz w:val="18"/>
                <w:szCs w:val="18"/>
              </w:rPr>
            </w:pPr>
            <w:r>
              <w:rPr>
                <w:rFonts w:ascii="宋体" w:hAnsi="宋体" w:eastAsia="宋体" w:cs="宋体"/>
                <w:spacing w:val="-13"/>
                <w:position w:val="1"/>
                <w:sz w:val="18"/>
                <w:szCs w:val="18"/>
              </w:rPr>
              <w:t>39.15</w:t>
            </w:r>
          </w:p>
        </w:tc>
        <w:tc>
          <w:tcPr>
            <w:tcW w:w="955" w:type="dxa"/>
            <w:vAlign w:val="top"/>
          </w:tcPr>
          <w:p>
            <w:pPr>
              <w:spacing w:before="165" w:line="259" w:lineRule="exact"/>
              <w:ind w:left="267"/>
              <w:rPr>
                <w:rFonts w:ascii="宋体" w:hAnsi="宋体" w:eastAsia="宋体" w:cs="宋体"/>
                <w:sz w:val="18"/>
                <w:szCs w:val="18"/>
              </w:rPr>
            </w:pPr>
            <w:r>
              <w:rPr>
                <w:rFonts w:ascii="宋体" w:hAnsi="宋体" w:eastAsia="宋体" w:cs="宋体"/>
                <w:spacing w:val="-13"/>
                <w:position w:val="1"/>
                <w:sz w:val="18"/>
                <w:szCs w:val="18"/>
              </w:rPr>
              <w:t>30.11</w:t>
            </w:r>
          </w:p>
        </w:tc>
        <w:tc>
          <w:tcPr>
            <w:tcW w:w="956" w:type="dxa"/>
            <w:vAlign w:val="top"/>
          </w:tcPr>
          <w:p>
            <w:pPr>
              <w:spacing w:before="165" w:line="259" w:lineRule="exact"/>
              <w:ind w:left="267"/>
              <w:rPr>
                <w:rFonts w:ascii="宋体" w:hAnsi="宋体" w:eastAsia="宋体" w:cs="宋体"/>
                <w:sz w:val="18"/>
                <w:szCs w:val="18"/>
              </w:rPr>
            </w:pPr>
            <w:r>
              <w:rPr>
                <w:rFonts w:ascii="宋体" w:hAnsi="宋体" w:eastAsia="宋体" w:cs="宋体"/>
                <w:spacing w:val="-12"/>
                <w:position w:val="2"/>
                <w:sz w:val="18"/>
                <w:szCs w:val="18"/>
              </w:rPr>
              <w:t>23.27</w:t>
            </w:r>
          </w:p>
        </w:tc>
        <w:tc>
          <w:tcPr>
            <w:tcW w:w="955" w:type="dxa"/>
            <w:vAlign w:val="top"/>
          </w:tcPr>
          <w:p>
            <w:pPr>
              <w:spacing w:before="165" w:line="259" w:lineRule="exact"/>
              <w:ind w:left="274"/>
              <w:rPr>
                <w:rFonts w:ascii="宋体" w:hAnsi="宋体" w:eastAsia="宋体" w:cs="宋体"/>
                <w:sz w:val="18"/>
                <w:szCs w:val="18"/>
              </w:rPr>
            </w:pPr>
            <w:r>
              <w:rPr>
                <w:rFonts w:ascii="宋体" w:hAnsi="宋体" w:eastAsia="宋体" w:cs="宋体"/>
                <w:spacing w:val="-13"/>
                <w:position w:val="1"/>
                <w:sz w:val="18"/>
                <w:szCs w:val="18"/>
              </w:rPr>
              <w:t>32.13</w:t>
            </w:r>
          </w:p>
        </w:tc>
        <w:tc>
          <w:tcPr>
            <w:tcW w:w="956" w:type="dxa"/>
            <w:vAlign w:val="top"/>
          </w:tcPr>
          <w:p>
            <w:pPr>
              <w:spacing w:before="165" w:line="259" w:lineRule="exact"/>
              <w:ind w:left="296"/>
              <w:rPr>
                <w:rFonts w:ascii="宋体" w:hAnsi="宋体" w:eastAsia="宋体" w:cs="宋体"/>
                <w:sz w:val="18"/>
                <w:szCs w:val="18"/>
              </w:rPr>
            </w:pPr>
            <w:r>
              <w:rPr>
                <w:rFonts w:ascii="宋体" w:hAnsi="宋体" w:eastAsia="宋体" w:cs="宋体"/>
                <w:spacing w:val="-16"/>
                <w:position w:val="1"/>
                <w:sz w:val="18"/>
                <w:szCs w:val="18"/>
              </w:rPr>
              <w:t>17.61</w:t>
            </w:r>
          </w:p>
        </w:tc>
        <w:tc>
          <w:tcPr>
            <w:tcW w:w="975" w:type="dxa"/>
            <w:tcBorders>
              <w:right w:val="single" w:color="000000" w:sz="4" w:space="0"/>
            </w:tcBorders>
            <w:vAlign w:val="top"/>
          </w:tcPr>
          <w:p>
            <w:pPr>
              <w:spacing w:before="165" w:line="259" w:lineRule="exact"/>
              <w:ind w:left="300"/>
              <w:rPr>
                <w:rFonts w:ascii="宋体" w:hAnsi="宋体" w:eastAsia="宋体" w:cs="宋体"/>
                <w:sz w:val="18"/>
                <w:szCs w:val="18"/>
              </w:rPr>
            </w:pPr>
            <w:r>
              <w:rPr>
                <w:rFonts w:ascii="宋体" w:hAnsi="宋体" w:eastAsia="宋体" w:cs="宋体"/>
                <w:spacing w:val="-16"/>
                <w:position w:val="1"/>
                <w:sz w:val="18"/>
                <w:szCs w:val="18"/>
              </w:rPr>
              <w:t>13.59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5" w:line="212" w:lineRule="auto"/>
              <w:ind w:left="743"/>
              <w:rPr>
                <w:rFonts w:ascii="宋体" w:hAnsi="宋体" w:eastAsia="宋体" w:cs="宋体"/>
                <w:sz w:val="18"/>
                <w:szCs w:val="18"/>
              </w:rPr>
            </w:pPr>
            <w:r>
              <w:rPr>
                <w:rFonts w:ascii="宋体" w:hAnsi="宋体" w:eastAsia="宋体" w:cs="宋体"/>
                <w:spacing w:val="-4"/>
                <w:sz w:val="18"/>
                <w:szCs w:val="18"/>
              </w:rPr>
              <w:t>构筑物工程</w:t>
            </w:r>
          </w:p>
        </w:tc>
        <w:tc>
          <w:tcPr>
            <w:tcW w:w="872" w:type="dxa"/>
            <w:vAlign w:val="top"/>
          </w:tcPr>
          <w:p>
            <w:pPr>
              <w:spacing w:before="166" w:line="260" w:lineRule="exact"/>
              <w:ind w:left="225"/>
              <w:rPr>
                <w:rFonts w:ascii="宋体" w:hAnsi="宋体" w:eastAsia="宋体" w:cs="宋体"/>
                <w:sz w:val="18"/>
                <w:szCs w:val="18"/>
              </w:rPr>
            </w:pPr>
            <w:r>
              <w:rPr>
                <w:rFonts w:ascii="宋体" w:hAnsi="宋体" w:eastAsia="宋体" w:cs="宋体"/>
                <w:spacing w:val="-13"/>
                <w:position w:val="1"/>
                <w:sz w:val="18"/>
                <w:szCs w:val="18"/>
              </w:rPr>
              <w:t>31.30</w:t>
            </w:r>
          </w:p>
        </w:tc>
        <w:tc>
          <w:tcPr>
            <w:tcW w:w="955" w:type="dxa"/>
            <w:vAlign w:val="top"/>
          </w:tcPr>
          <w:p>
            <w:pPr>
              <w:spacing w:before="166" w:line="260" w:lineRule="exact"/>
              <w:ind w:left="264"/>
              <w:rPr>
                <w:rFonts w:ascii="宋体" w:hAnsi="宋体" w:eastAsia="宋体" w:cs="宋体"/>
                <w:sz w:val="18"/>
                <w:szCs w:val="18"/>
              </w:rPr>
            </w:pPr>
            <w:r>
              <w:rPr>
                <w:rFonts w:ascii="宋体" w:hAnsi="宋体" w:eastAsia="宋体" w:cs="宋体"/>
                <w:spacing w:val="-12"/>
                <w:position w:val="1"/>
                <w:sz w:val="18"/>
                <w:szCs w:val="18"/>
              </w:rPr>
              <w:t>27.16</w:t>
            </w:r>
          </w:p>
        </w:tc>
        <w:tc>
          <w:tcPr>
            <w:tcW w:w="956" w:type="dxa"/>
            <w:vAlign w:val="top"/>
          </w:tcPr>
          <w:p>
            <w:pPr>
              <w:spacing w:before="166" w:line="260" w:lineRule="exact"/>
              <w:ind w:left="294"/>
              <w:rPr>
                <w:rFonts w:ascii="宋体" w:hAnsi="宋体" w:eastAsia="宋体" w:cs="宋体"/>
                <w:sz w:val="18"/>
                <w:szCs w:val="18"/>
              </w:rPr>
            </w:pPr>
            <w:r>
              <w:rPr>
                <w:rFonts w:ascii="宋体" w:hAnsi="宋体" w:eastAsia="宋体" w:cs="宋体"/>
                <w:spacing w:val="-16"/>
                <w:position w:val="1"/>
                <w:sz w:val="18"/>
                <w:szCs w:val="18"/>
              </w:rPr>
              <w:t>18.91</w:t>
            </w:r>
          </w:p>
        </w:tc>
        <w:tc>
          <w:tcPr>
            <w:tcW w:w="955" w:type="dxa"/>
            <w:vAlign w:val="top"/>
          </w:tcPr>
          <w:p>
            <w:pPr>
              <w:spacing w:before="166" w:line="260" w:lineRule="exact"/>
              <w:ind w:left="269"/>
              <w:rPr>
                <w:rFonts w:ascii="宋体" w:hAnsi="宋体" w:eastAsia="宋体" w:cs="宋体"/>
                <w:sz w:val="18"/>
                <w:szCs w:val="18"/>
              </w:rPr>
            </w:pPr>
            <w:r>
              <w:rPr>
                <w:rFonts w:ascii="宋体" w:hAnsi="宋体" w:eastAsia="宋体" w:cs="宋体"/>
                <w:spacing w:val="-12"/>
                <w:position w:val="2"/>
                <w:sz w:val="18"/>
                <w:szCs w:val="18"/>
              </w:rPr>
              <w:t>26.93</w:t>
            </w:r>
          </w:p>
        </w:tc>
        <w:tc>
          <w:tcPr>
            <w:tcW w:w="956" w:type="dxa"/>
            <w:vAlign w:val="top"/>
          </w:tcPr>
          <w:p>
            <w:pPr>
              <w:spacing w:before="166" w:line="260" w:lineRule="exact"/>
              <w:ind w:left="271"/>
              <w:rPr>
                <w:rFonts w:ascii="宋体" w:hAnsi="宋体" w:eastAsia="宋体" w:cs="宋体"/>
                <w:sz w:val="18"/>
                <w:szCs w:val="18"/>
              </w:rPr>
            </w:pPr>
            <w:r>
              <w:rPr>
                <w:rFonts w:ascii="宋体" w:hAnsi="宋体" w:eastAsia="宋体" w:cs="宋体"/>
                <w:spacing w:val="-12"/>
                <w:position w:val="2"/>
                <w:sz w:val="18"/>
                <w:szCs w:val="18"/>
              </w:rPr>
              <w:t>20.99</w:t>
            </w:r>
          </w:p>
        </w:tc>
        <w:tc>
          <w:tcPr>
            <w:tcW w:w="975" w:type="dxa"/>
            <w:tcBorders>
              <w:right w:val="single" w:color="000000" w:sz="4" w:space="0"/>
            </w:tcBorders>
            <w:vAlign w:val="top"/>
          </w:tcPr>
          <w:p>
            <w:pPr>
              <w:spacing w:before="166" w:line="260" w:lineRule="exact"/>
              <w:ind w:left="300"/>
              <w:rPr>
                <w:rFonts w:ascii="宋体" w:hAnsi="宋体" w:eastAsia="宋体" w:cs="宋体"/>
                <w:sz w:val="18"/>
                <w:szCs w:val="18"/>
              </w:rPr>
            </w:pPr>
            <w:r>
              <w:rPr>
                <w:rFonts w:ascii="宋体" w:hAnsi="宋体" w:eastAsia="宋体" w:cs="宋体"/>
                <w:spacing w:val="-16"/>
                <w:position w:val="1"/>
                <w:sz w:val="18"/>
                <w:szCs w:val="18"/>
              </w:rPr>
              <w:t>10.51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6" w:line="213" w:lineRule="auto"/>
              <w:ind w:left="559"/>
              <w:rPr>
                <w:rFonts w:ascii="宋体" w:hAnsi="宋体" w:eastAsia="宋体" w:cs="宋体"/>
                <w:sz w:val="18"/>
                <w:szCs w:val="18"/>
              </w:rPr>
            </w:pPr>
            <w:r>
              <w:rPr>
                <w:rFonts w:ascii="宋体" w:hAnsi="宋体" w:eastAsia="宋体" w:cs="宋体"/>
                <w:spacing w:val="-4"/>
                <w:sz w:val="18"/>
                <w:szCs w:val="18"/>
              </w:rPr>
              <w:t>单独土石方工程</w:t>
            </w:r>
          </w:p>
        </w:tc>
        <w:tc>
          <w:tcPr>
            <w:tcW w:w="872" w:type="dxa"/>
            <w:vAlign w:val="top"/>
          </w:tcPr>
          <w:p>
            <w:pPr>
              <w:spacing w:before="169" w:line="260" w:lineRule="exact"/>
              <w:ind w:left="220"/>
              <w:rPr>
                <w:rFonts w:ascii="宋体" w:hAnsi="宋体" w:eastAsia="宋体" w:cs="宋体"/>
                <w:sz w:val="18"/>
                <w:szCs w:val="18"/>
              </w:rPr>
            </w:pPr>
            <w:r>
              <w:rPr>
                <w:rFonts w:ascii="宋体" w:hAnsi="宋体" w:eastAsia="宋体" w:cs="宋体"/>
                <w:spacing w:val="-12"/>
                <w:position w:val="2"/>
                <w:sz w:val="18"/>
                <w:szCs w:val="18"/>
              </w:rPr>
              <w:t>26.07</w:t>
            </w:r>
          </w:p>
        </w:tc>
        <w:tc>
          <w:tcPr>
            <w:tcW w:w="955" w:type="dxa"/>
            <w:vAlign w:val="top"/>
          </w:tcPr>
          <w:p>
            <w:pPr>
              <w:spacing w:before="169" w:line="260" w:lineRule="exact"/>
              <w:ind w:left="289"/>
              <w:rPr>
                <w:rFonts w:ascii="宋体" w:hAnsi="宋体" w:eastAsia="宋体" w:cs="宋体"/>
                <w:sz w:val="18"/>
                <w:szCs w:val="18"/>
              </w:rPr>
            </w:pPr>
            <w:r>
              <w:rPr>
                <w:rFonts w:ascii="宋体" w:hAnsi="宋体" w:eastAsia="宋体" w:cs="宋体"/>
                <w:spacing w:val="-16"/>
                <w:position w:val="1"/>
                <w:sz w:val="18"/>
                <w:szCs w:val="18"/>
              </w:rPr>
              <w:t>18.05</w:t>
            </w:r>
          </w:p>
        </w:tc>
        <w:tc>
          <w:tcPr>
            <w:tcW w:w="956" w:type="dxa"/>
            <w:vAlign w:val="top"/>
          </w:tcPr>
          <w:p>
            <w:pPr>
              <w:spacing w:before="169" w:line="260" w:lineRule="exact"/>
              <w:ind w:left="294"/>
              <w:rPr>
                <w:rFonts w:ascii="宋体" w:hAnsi="宋体" w:eastAsia="宋体" w:cs="宋体"/>
                <w:sz w:val="18"/>
                <w:szCs w:val="18"/>
              </w:rPr>
            </w:pPr>
            <w:r>
              <w:rPr>
                <w:rFonts w:ascii="宋体" w:hAnsi="宋体" w:eastAsia="宋体" w:cs="宋体"/>
                <w:spacing w:val="-16"/>
                <w:position w:val="1"/>
                <w:sz w:val="18"/>
                <w:szCs w:val="18"/>
              </w:rPr>
              <w:t>11.91</w:t>
            </w:r>
          </w:p>
        </w:tc>
        <w:tc>
          <w:tcPr>
            <w:tcW w:w="955" w:type="dxa"/>
            <w:vAlign w:val="top"/>
          </w:tcPr>
          <w:p>
            <w:pPr>
              <w:spacing w:before="169" w:line="260" w:lineRule="exact"/>
              <w:ind w:left="269"/>
              <w:rPr>
                <w:rFonts w:ascii="宋体" w:hAnsi="宋体" w:eastAsia="宋体" w:cs="宋体"/>
                <w:sz w:val="18"/>
                <w:szCs w:val="18"/>
              </w:rPr>
            </w:pPr>
            <w:r>
              <w:rPr>
                <w:rFonts w:ascii="宋体" w:hAnsi="宋体" w:eastAsia="宋体" w:cs="宋体"/>
                <w:spacing w:val="-12"/>
                <w:position w:val="2"/>
                <w:sz w:val="18"/>
                <w:szCs w:val="18"/>
              </w:rPr>
              <w:t>20.02</w:t>
            </w:r>
          </w:p>
        </w:tc>
        <w:tc>
          <w:tcPr>
            <w:tcW w:w="956" w:type="dxa"/>
            <w:vAlign w:val="top"/>
          </w:tcPr>
          <w:p>
            <w:pPr>
              <w:spacing w:before="169" w:line="260" w:lineRule="exact"/>
              <w:ind w:left="296"/>
              <w:rPr>
                <w:rFonts w:ascii="宋体" w:hAnsi="宋体" w:eastAsia="宋体" w:cs="宋体"/>
                <w:sz w:val="18"/>
                <w:szCs w:val="18"/>
              </w:rPr>
            </w:pPr>
            <w:r>
              <w:rPr>
                <w:rFonts w:ascii="宋体" w:hAnsi="宋体" w:eastAsia="宋体" w:cs="宋体"/>
                <w:spacing w:val="-16"/>
                <w:position w:val="1"/>
                <w:sz w:val="18"/>
                <w:szCs w:val="18"/>
              </w:rPr>
              <w:t>13.88</w:t>
            </w:r>
          </w:p>
        </w:tc>
        <w:tc>
          <w:tcPr>
            <w:tcW w:w="975" w:type="dxa"/>
            <w:tcBorders>
              <w:right w:val="single" w:color="000000" w:sz="4" w:space="0"/>
            </w:tcBorders>
            <w:vAlign w:val="top"/>
          </w:tcPr>
          <w:p>
            <w:pPr>
              <w:spacing w:before="169" w:line="260" w:lineRule="exact"/>
              <w:ind w:left="322"/>
              <w:rPr>
                <w:rFonts w:ascii="宋体" w:hAnsi="宋体" w:eastAsia="宋体" w:cs="宋体"/>
                <w:sz w:val="18"/>
                <w:szCs w:val="18"/>
              </w:rPr>
            </w:pPr>
            <w:r>
              <w:rPr>
                <w:rFonts w:ascii="宋体" w:hAnsi="宋体" w:eastAsia="宋体" w:cs="宋体"/>
                <w:spacing w:val="-15"/>
                <w:position w:val="1"/>
                <w:sz w:val="18"/>
                <w:szCs w:val="18"/>
              </w:rPr>
              <w:t>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68" w:line="208" w:lineRule="auto"/>
              <w:ind w:left="740"/>
              <w:rPr>
                <w:rFonts w:ascii="宋体" w:hAnsi="宋体" w:eastAsia="宋体" w:cs="宋体"/>
                <w:sz w:val="18"/>
                <w:szCs w:val="18"/>
              </w:rPr>
            </w:pPr>
            <w:r>
              <w:rPr>
                <w:rFonts w:ascii="宋体" w:hAnsi="宋体" w:eastAsia="宋体" w:cs="宋体"/>
                <w:spacing w:val="-4"/>
                <w:sz w:val="18"/>
                <w:szCs w:val="18"/>
              </w:rPr>
              <w:t>桩基础工程</w:t>
            </w:r>
          </w:p>
        </w:tc>
        <w:tc>
          <w:tcPr>
            <w:tcW w:w="872" w:type="dxa"/>
            <w:vAlign w:val="top"/>
          </w:tcPr>
          <w:p>
            <w:pPr>
              <w:spacing w:before="171" w:line="259" w:lineRule="exact"/>
              <w:ind w:left="220"/>
              <w:rPr>
                <w:rFonts w:ascii="宋体" w:hAnsi="宋体" w:eastAsia="宋体" w:cs="宋体"/>
                <w:sz w:val="18"/>
                <w:szCs w:val="18"/>
              </w:rPr>
            </w:pPr>
            <w:r>
              <w:rPr>
                <w:rFonts w:ascii="宋体" w:hAnsi="宋体" w:eastAsia="宋体" w:cs="宋体"/>
                <w:spacing w:val="-12"/>
                <w:position w:val="2"/>
                <w:sz w:val="18"/>
                <w:szCs w:val="18"/>
              </w:rPr>
              <w:t>20.93</w:t>
            </w:r>
          </w:p>
        </w:tc>
        <w:tc>
          <w:tcPr>
            <w:tcW w:w="955" w:type="dxa"/>
            <w:vAlign w:val="top"/>
          </w:tcPr>
          <w:p>
            <w:pPr>
              <w:spacing w:before="171" w:line="259" w:lineRule="exact"/>
              <w:ind w:left="289"/>
              <w:rPr>
                <w:rFonts w:ascii="宋体" w:hAnsi="宋体" w:eastAsia="宋体" w:cs="宋体"/>
                <w:sz w:val="18"/>
                <w:szCs w:val="18"/>
              </w:rPr>
            </w:pPr>
            <w:r>
              <w:rPr>
                <w:rFonts w:ascii="宋体" w:hAnsi="宋体" w:eastAsia="宋体" w:cs="宋体"/>
                <w:spacing w:val="-16"/>
                <w:position w:val="1"/>
                <w:sz w:val="18"/>
                <w:szCs w:val="18"/>
              </w:rPr>
              <w:t>15.53</w:t>
            </w:r>
          </w:p>
        </w:tc>
        <w:tc>
          <w:tcPr>
            <w:tcW w:w="956" w:type="dxa"/>
            <w:vAlign w:val="top"/>
          </w:tcPr>
          <w:p>
            <w:pPr>
              <w:spacing w:before="171" w:line="259" w:lineRule="exact"/>
              <w:ind w:left="294"/>
              <w:rPr>
                <w:rFonts w:ascii="宋体" w:hAnsi="宋体" w:eastAsia="宋体" w:cs="宋体"/>
                <w:sz w:val="18"/>
                <w:szCs w:val="18"/>
              </w:rPr>
            </w:pPr>
            <w:r>
              <w:rPr>
                <w:rFonts w:ascii="宋体" w:hAnsi="宋体" w:eastAsia="宋体" w:cs="宋体"/>
                <w:spacing w:val="-16"/>
                <w:position w:val="1"/>
                <w:sz w:val="18"/>
                <w:szCs w:val="18"/>
              </w:rPr>
              <w:t>11.91</w:t>
            </w:r>
          </w:p>
        </w:tc>
        <w:tc>
          <w:tcPr>
            <w:tcW w:w="955" w:type="dxa"/>
            <w:vAlign w:val="top"/>
          </w:tcPr>
          <w:p>
            <w:pPr>
              <w:spacing w:before="171" w:line="259" w:lineRule="exact"/>
              <w:ind w:left="293"/>
              <w:rPr>
                <w:rFonts w:ascii="宋体" w:hAnsi="宋体" w:eastAsia="宋体" w:cs="宋体"/>
                <w:sz w:val="18"/>
                <w:szCs w:val="18"/>
              </w:rPr>
            </w:pPr>
            <w:r>
              <w:rPr>
                <w:rFonts w:ascii="宋体" w:hAnsi="宋体" w:eastAsia="宋体" w:cs="宋体"/>
                <w:spacing w:val="-16"/>
                <w:position w:val="1"/>
                <w:sz w:val="18"/>
                <w:szCs w:val="18"/>
              </w:rPr>
              <w:t>15.17</w:t>
            </w:r>
          </w:p>
        </w:tc>
        <w:tc>
          <w:tcPr>
            <w:tcW w:w="956" w:type="dxa"/>
            <w:vAlign w:val="top"/>
          </w:tcPr>
          <w:p>
            <w:pPr>
              <w:spacing w:before="171" w:line="259" w:lineRule="exact"/>
              <w:ind w:left="296"/>
              <w:rPr>
                <w:rFonts w:ascii="宋体" w:hAnsi="宋体" w:eastAsia="宋体" w:cs="宋体"/>
                <w:sz w:val="18"/>
                <w:szCs w:val="18"/>
              </w:rPr>
            </w:pPr>
            <w:r>
              <w:rPr>
                <w:rFonts w:ascii="宋体" w:hAnsi="宋体" w:eastAsia="宋体" w:cs="宋体"/>
                <w:spacing w:val="-16"/>
                <w:position w:val="1"/>
                <w:sz w:val="18"/>
                <w:szCs w:val="18"/>
              </w:rPr>
              <w:t>11.36</w:t>
            </w:r>
          </w:p>
        </w:tc>
        <w:tc>
          <w:tcPr>
            <w:tcW w:w="975" w:type="dxa"/>
            <w:tcBorders>
              <w:right w:val="single" w:color="000000" w:sz="4" w:space="0"/>
            </w:tcBorders>
            <w:vAlign w:val="top"/>
          </w:tcPr>
          <w:p>
            <w:pPr>
              <w:spacing w:before="171" w:line="259" w:lineRule="exact"/>
              <w:ind w:left="313"/>
              <w:rPr>
                <w:rFonts w:ascii="宋体" w:hAnsi="宋体" w:eastAsia="宋体" w:cs="宋体"/>
                <w:sz w:val="18"/>
                <w:szCs w:val="18"/>
              </w:rPr>
            </w:pPr>
            <w:r>
              <w:rPr>
                <w:rFonts w:ascii="宋体" w:hAnsi="宋体" w:eastAsia="宋体" w:cs="宋体"/>
                <w:spacing w:val="-14"/>
                <w:position w:val="2"/>
                <w:sz w:val="18"/>
                <w:szCs w:val="18"/>
              </w:rPr>
              <w:t>4.35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410" w:type="dxa"/>
            <w:gridSpan w:val="2"/>
            <w:tcBorders>
              <w:left w:val="single" w:color="000000" w:sz="4" w:space="0"/>
            </w:tcBorders>
            <w:vAlign w:val="top"/>
          </w:tcPr>
          <w:p>
            <w:pPr>
              <w:spacing w:before="171" w:line="211" w:lineRule="auto"/>
              <w:ind w:left="1350"/>
              <w:rPr>
                <w:rFonts w:ascii="宋体" w:hAnsi="宋体" w:eastAsia="宋体" w:cs="宋体"/>
                <w:sz w:val="18"/>
                <w:szCs w:val="18"/>
              </w:rPr>
            </w:pPr>
            <w:r>
              <w:rPr>
                <w:rFonts w:ascii="宋体" w:hAnsi="宋体" w:eastAsia="宋体" w:cs="宋体"/>
                <w:spacing w:val="-3"/>
                <w:sz w:val="18"/>
                <w:szCs w:val="18"/>
              </w:rPr>
              <w:t>装饰工程</w:t>
            </w:r>
          </w:p>
        </w:tc>
        <w:tc>
          <w:tcPr>
            <w:tcW w:w="872" w:type="dxa"/>
            <w:vAlign w:val="top"/>
          </w:tcPr>
          <w:p>
            <w:pPr>
              <w:spacing w:before="168" w:line="260" w:lineRule="exact"/>
              <w:ind w:left="218"/>
              <w:rPr>
                <w:rFonts w:ascii="宋体" w:hAnsi="宋体" w:eastAsia="宋体" w:cs="宋体"/>
                <w:sz w:val="18"/>
                <w:szCs w:val="18"/>
              </w:rPr>
            </w:pPr>
            <w:r>
              <w:rPr>
                <w:rFonts w:ascii="宋体" w:hAnsi="宋体" w:eastAsia="宋体" w:cs="宋体"/>
                <w:spacing w:val="-12"/>
                <w:position w:val="1"/>
                <w:sz w:val="18"/>
                <w:szCs w:val="18"/>
              </w:rPr>
              <w:t>61.57</w:t>
            </w:r>
          </w:p>
        </w:tc>
        <w:tc>
          <w:tcPr>
            <w:tcW w:w="955" w:type="dxa"/>
            <w:vAlign w:val="top"/>
          </w:tcPr>
          <w:p>
            <w:pPr>
              <w:spacing w:before="168" w:line="260" w:lineRule="exact"/>
              <w:ind w:left="259"/>
              <w:rPr>
                <w:rFonts w:ascii="宋体" w:hAnsi="宋体" w:eastAsia="宋体" w:cs="宋体"/>
                <w:sz w:val="18"/>
                <w:szCs w:val="18"/>
              </w:rPr>
            </w:pPr>
            <w:r>
              <w:rPr>
                <w:rFonts w:ascii="宋体" w:hAnsi="宋体" w:eastAsia="宋体" w:cs="宋体"/>
                <w:spacing w:val="-12"/>
                <w:position w:val="2"/>
                <w:sz w:val="18"/>
                <w:szCs w:val="18"/>
              </w:rPr>
              <w:t>47.03</w:t>
            </w:r>
          </w:p>
        </w:tc>
        <w:tc>
          <w:tcPr>
            <w:tcW w:w="956" w:type="dxa"/>
            <w:vAlign w:val="top"/>
          </w:tcPr>
          <w:p>
            <w:pPr>
              <w:spacing w:before="168" w:line="260" w:lineRule="exact"/>
              <w:ind w:left="267"/>
              <w:rPr>
                <w:rFonts w:ascii="宋体" w:hAnsi="宋体" w:eastAsia="宋体" w:cs="宋体"/>
                <w:sz w:val="18"/>
                <w:szCs w:val="18"/>
              </w:rPr>
            </w:pPr>
            <w:r>
              <w:rPr>
                <w:rFonts w:ascii="宋体" w:hAnsi="宋体" w:eastAsia="宋体" w:cs="宋体"/>
                <w:spacing w:val="-12"/>
                <w:position w:val="1"/>
                <w:sz w:val="18"/>
                <w:szCs w:val="18"/>
              </w:rPr>
              <w:t>29.81</w:t>
            </w:r>
          </w:p>
        </w:tc>
        <w:tc>
          <w:tcPr>
            <w:tcW w:w="955" w:type="dxa"/>
            <w:vAlign w:val="top"/>
          </w:tcPr>
          <w:p>
            <w:pPr>
              <w:spacing w:before="168" w:line="260" w:lineRule="exact"/>
              <w:ind w:left="274"/>
              <w:rPr>
                <w:rFonts w:ascii="宋体" w:hAnsi="宋体" w:eastAsia="宋体" w:cs="宋体"/>
                <w:sz w:val="18"/>
                <w:szCs w:val="18"/>
              </w:rPr>
            </w:pPr>
            <w:r>
              <w:rPr>
                <w:rFonts w:ascii="宋体" w:hAnsi="宋体" w:eastAsia="宋体" w:cs="宋体"/>
                <w:spacing w:val="-13"/>
                <w:position w:val="2"/>
                <w:sz w:val="18"/>
                <w:szCs w:val="18"/>
              </w:rPr>
              <w:t>34.87</w:t>
            </w:r>
          </w:p>
        </w:tc>
        <w:tc>
          <w:tcPr>
            <w:tcW w:w="956" w:type="dxa"/>
            <w:vAlign w:val="top"/>
          </w:tcPr>
          <w:p>
            <w:pPr>
              <w:spacing w:before="168" w:line="260" w:lineRule="exact"/>
              <w:ind w:left="271"/>
              <w:rPr>
                <w:rFonts w:ascii="宋体" w:hAnsi="宋体" w:eastAsia="宋体" w:cs="宋体"/>
                <w:sz w:val="18"/>
                <w:szCs w:val="18"/>
              </w:rPr>
            </w:pPr>
            <w:r>
              <w:rPr>
                <w:rFonts w:ascii="宋体" w:hAnsi="宋体" w:eastAsia="宋体" w:cs="宋体"/>
                <w:spacing w:val="-12"/>
                <w:position w:val="1"/>
                <w:sz w:val="18"/>
                <w:szCs w:val="18"/>
              </w:rPr>
              <w:t>21.30</w:t>
            </w:r>
          </w:p>
        </w:tc>
        <w:tc>
          <w:tcPr>
            <w:tcW w:w="975" w:type="dxa"/>
            <w:tcBorders>
              <w:right w:val="single" w:color="000000" w:sz="4" w:space="0"/>
            </w:tcBorders>
            <w:vAlign w:val="top"/>
          </w:tcPr>
          <w:p>
            <w:pPr>
              <w:spacing w:before="168" w:line="260" w:lineRule="exact"/>
              <w:ind w:left="300"/>
              <w:rPr>
                <w:rFonts w:ascii="宋体" w:hAnsi="宋体" w:eastAsia="宋体" w:cs="宋体"/>
                <w:sz w:val="18"/>
                <w:szCs w:val="18"/>
              </w:rPr>
            </w:pPr>
            <w:r>
              <w:rPr>
                <w:rFonts w:ascii="宋体" w:hAnsi="宋体" w:eastAsia="宋体" w:cs="宋体"/>
                <w:spacing w:val="-16"/>
                <w:position w:val="1"/>
                <w:sz w:val="18"/>
                <w:szCs w:val="18"/>
              </w:rPr>
              <w:t>16.37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3410" w:type="dxa"/>
            <w:gridSpan w:val="2"/>
            <w:tcBorders>
              <w:left w:val="single" w:color="000000" w:sz="4" w:space="0"/>
            </w:tcBorders>
            <w:vAlign w:val="top"/>
          </w:tcPr>
          <w:p>
            <w:pPr>
              <w:spacing w:before="171" w:line="211" w:lineRule="auto"/>
              <w:ind w:left="1354"/>
              <w:rPr>
                <w:rFonts w:ascii="宋体" w:hAnsi="宋体" w:eastAsia="宋体" w:cs="宋体"/>
                <w:sz w:val="18"/>
                <w:szCs w:val="18"/>
              </w:rPr>
            </w:pPr>
            <w:r>
              <w:rPr>
                <w:rFonts w:ascii="宋体" w:hAnsi="宋体" w:eastAsia="宋体" w:cs="宋体"/>
                <w:spacing w:val="-5"/>
                <w:sz w:val="18"/>
                <w:szCs w:val="18"/>
              </w:rPr>
              <w:t>安装工程</w:t>
            </w:r>
          </w:p>
        </w:tc>
        <w:tc>
          <w:tcPr>
            <w:tcW w:w="2783" w:type="dxa"/>
            <w:gridSpan w:val="3"/>
            <w:vAlign w:val="top"/>
          </w:tcPr>
          <w:p>
            <w:pPr>
              <w:spacing w:before="171" w:line="260" w:lineRule="exact"/>
              <w:ind w:left="1172"/>
              <w:rPr>
                <w:rFonts w:ascii="宋体" w:hAnsi="宋体" w:eastAsia="宋体" w:cs="宋体"/>
                <w:sz w:val="18"/>
                <w:szCs w:val="18"/>
              </w:rPr>
            </w:pPr>
            <w:r>
              <w:rPr>
                <w:rFonts w:ascii="宋体" w:hAnsi="宋体" w:eastAsia="宋体" w:cs="宋体"/>
                <w:spacing w:val="-11"/>
                <w:position w:val="2"/>
                <w:sz w:val="18"/>
                <w:szCs w:val="18"/>
              </w:rPr>
              <w:t>48.08</w:t>
            </w:r>
          </w:p>
        </w:tc>
        <w:tc>
          <w:tcPr>
            <w:tcW w:w="2886" w:type="dxa"/>
            <w:gridSpan w:val="3"/>
            <w:tcBorders>
              <w:right w:val="single" w:color="000000" w:sz="4" w:space="0"/>
            </w:tcBorders>
            <w:vAlign w:val="top"/>
          </w:tcPr>
          <w:p>
            <w:pPr>
              <w:spacing w:before="171" w:line="260" w:lineRule="exact"/>
              <w:ind w:left="1229"/>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restart"/>
            <w:tcBorders>
              <w:left w:val="single" w:color="000000" w:sz="4" w:space="0"/>
              <w:bottom w:val="nil"/>
            </w:tcBorders>
            <w:vAlign w:val="top"/>
          </w:tcPr>
          <w:p>
            <w:pPr>
              <w:pStyle w:val="6"/>
            </w:pPr>
          </w:p>
          <w:p>
            <w:pPr>
              <w:pStyle w:val="6"/>
            </w:pPr>
          </w:p>
          <w:p>
            <w:pPr>
              <w:pStyle w:val="6"/>
            </w:pPr>
          </w:p>
          <w:p>
            <w:pPr>
              <w:pStyle w:val="6"/>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spacing w:before="58" w:line="210" w:lineRule="auto"/>
              <w:ind w:left="162"/>
              <w:rPr>
                <w:rFonts w:ascii="宋体" w:hAnsi="宋体" w:eastAsia="宋体" w:cs="宋体"/>
                <w:sz w:val="18"/>
                <w:szCs w:val="18"/>
              </w:rPr>
            </w:pPr>
            <w:r>
              <w:rPr>
                <w:rFonts w:ascii="宋体" w:hAnsi="宋体" w:eastAsia="宋体" w:cs="宋体"/>
                <w:spacing w:val="-5"/>
                <w:sz w:val="18"/>
                <w:szCs w:val="18"/>
              </w:rPr>
              <w:t>市政工程</w:t>
            </w:r>
          </w:p>
        </w:tc>
        <w:tc>
          <w:tcPr>
            <w:tcW w:w="2379" w:type="dxa"/>
            <w:vAlign w:val="top"/>
          </w:tcPr>
          <w:p>
            <w:pPr>
              <w:spacing w:before="170" w:line="212" w:lineRule="auto"/>
              <w:ind w:left="829"/>
              <w:rPr>
                <w:rFonts w:ascii="宋体" w:hAnsi="宋体" w:eastAsia="宋体" w:cs="宋体"/>
                <w:sz w:val="18"/>
                <w:szCs w:val="18"/>
              </w:rPr>
            </w:pPr>
            <w:r>
              <w:rPr>
                <w:rFonts w:ascii="宋体" w:hAnsi="宋体" w:eastAsia="宋体" w:cs="宋体"/>
                <w:spacing w:val="-3"/>
                <w:sz w:val="18"/>
                <w:szCs w:val="18"/>
              </w:rPr>
              <w:t>道路工程</w:t>
            </w:r>
          </w:p>
        </w:tc>
        <w:tc>
          <w:tcPr>
            <w:tcW w:w="2783" w:type="dxa"/>
            <w:gridSpan w:val="3"/>
            <w:vAlign w:val="top"/>
          </w:tcPr>
          <w:p>
            <w:pPr>
              <w:spacing w:before="185" w:line="253" w:lineRule="exact"/>
              <w:ind w:left="1202"/>
              <w:rPr>
                <w:rFonts w:ascii="宋体" w:hAnsi="宋体" w:eastAsia="宋体" w:cs="宋体"/>
                <w:sz w:val="18"/>
                <w:szCs w:val="18"/>
              </w:rPr>
            </w:pPr>
            <w:r>
              <w:rPr>
                <w:rFonts w:ascii="宋体" w:hAnsi="宋体" w:eastAsia="宋体" w:cs="宋体"/>
                <w:spacing w:val="-16"/>
                <w:position w:val="1"/>
                <w:sz w:val="18"/>
                <w:szCs w:val="18"/>
              </w:rPr>
              <w:t>19.35</w:t>
            </w:r>
          </w:p>
        </w:tc>
        <w:tc>
          <w:tcPr>
            <w:tcW w:w="2886" w:type="dxa"/>
            <w:gridSpan w:val="3"/>
            <w:tcBorders>
              <w:right w:val="single" w:color="000000" w:sz="4" w:space="0"/>
            </w:tcBorders>
            <w:vAlign w:val="top"/>
          </w:tcPr>
          <w:p>
            <w:pPr>
              <w:spacing w:before="185" w:line="253" w:lineRule="exact"/>
              <w:ind w:left="1253"/>
              <w:rPr>
                <w:rFonts w:ascii="宋体" w:hAnsi="宋体" w:eastAsia="宋体" w:cs="宋体"/>
                <w:sz w:val="18"/>
                <w:szCs w:val="18"/>
              </w:rPr>
            </w:pPr>
            <w:r>
              <w:rPr>
                <w:rFonts w:ascii="宋体" w:hAnsi="宋体" w:eastAsia="宋体" w:cs="宋体"/>
                <w:spacing w:val="-16"/>
                <w:position w:val="1"/>
                <w:sz w:val="18"/>
                <w:szCs w:val="18"/>
              </w:rPr>
              <w:t>10.36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2" w:line="209" w:lineRule="auto"/>
              <w:ind w:left="832"/>
              <w:rPr>
                <w:rFonts w:ascii="宋体" w:hAnsi="宋体" w:eastAsia="宋体" w:cs="宋体"/>
                <w:sz w:val="18"/>
                <w:szCs w:val="18"/>
              </w:rPr>
            </w:pPr>
            <w:r>
              <w:rPr>
                <w:rFonts w:ascii="宋体" w:hAnsi="宋体" w:eastAsia="宋体" w:cs="宋体"/>
                <w:spacing w:val="-3"/>
                <w:sz w:val="18"/>
                <w:szCs w:val="18"/>
              </w:rPr>
              <w:t>桥涵工程</w:t>
            </w:r>
          </w:p>
        </w:tc>
        <w:tc>
          <w:tcPr>
            <w:tcW w:w="2783" w:type="dxa"/>
            <w:gridSpan w:val="3"/>
            <w:vAlign w:val="top"/>
          </w:tcPr>
          <w:p>
            <w:pPr>
              <w:spacing w:before="185" w:line="252" w:lineRule="exact"/>
              <w:ind w:left="1202"/>
              <w:rPr>
                <w:rFonts w:ascii="宋体" w:hAnsi="宋体" w:eastAsia="宋体" w:cs="宋体"/>
                <w:sz w:val="18"/>
                <w:szCs w:val="18"/>
              </w:rPr>
            </w:pPr>
            <w:r>
              <w:rPr>
                <w:rFonts w:ascii="宋体" w:hAnsi="宋体" w:eastAsia="宋体" w:cs="宋体"/>
                <w:spacing w:val="-16"/>
                <w:position w:val="1"/>
                <w:sz w:val="18"/>
                <w:szCs w:val="18"/>
              </w:rPr>
              <w:t>18.66</w:t>
            </w:r>
          </w:p>
        </w:tc>
        <w:tc>
          <w:tcPr>
            <w:tcW w:w="2886" w:type="dxa"/>
            <w:gridSpan w:val="3"/>
            <w:tcBorders>
              <w:right w:val="single" w:color="000000" w:sz="4" w:space="0"/>
            </w:tcBorders>
            <w:vAlign w:val="top"/>
          </w:tcPr>
          <w:p>
            <w:pPr>
              <w:spacing w:before="185" w:line="252" w:lineRule="exact"/>
              <w:ind w:left="1253"/>
              <w:rPr>
                <w:rFonts w:ascii="宋体" w:hAnsi="宋体" w:eastAsia="宋体" w:cs="宋体"/>
                <w:sz w:val="18"/>
                <w:szCs w:val="18"/>
              </w:rPr>
            </w:pPr>
            <w:r>
              <w:rPr>
                <w:rFonts w:ascii="宋体" w:hAnsi="宋体" w:eastAsia="宋体" w:cs="宋体"/>
                <w:spacing w:val="-16"/>
                <w:position w:val="1"/>
                <w:sz w:val="18"/>
                <w:szCs w:val="18"/>
              </w:rPr>
              <w:t>11.27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3" w:line="211" w:lineRule="auto"/>
              <w:ind w:left="850"/>
              <w:rPr>
                <w:rFonts w:ascii="宋体" w:hAnsi="宋体" w:eastAsia="宋体" w:cs="宋体"/>
                <w:sz w:val="18"/>
                <w:szCs w:val="18"/>
              </w:rPr>
            </w:pPr>
            <w:r>
              <w:rPr>
                <w:rFonts w:ascii="宋体" w:hAnsi="宋体" w:eastAsia="宋体" w:cs="宋体"/>
                <w:spacing w:val="-9"/>
                <w:sz w:val="18"/>
                <w:szCs w:val="18"/>
              </w:rPr>
              <w:t>隧道工程</w:t>
            </w:r>
          </w:p>
        </w:tc>
        <w:tc>
          <w:tcPr>
            <w:tcW w:w="2783" w:type="dxa"/>
            <w:gridSpan w:val="3"/>
            <w:vAlign w:val="top"/>
          </w:tcPr>
          <w:p>
            <w:pPr>
              <w:spacing w:before="186" w:line="251" w:lineRule="exact"/>
              <w:ind w:left="1202"/>
              <w:rPr>
                <w:rFonts w:ascii="宋体" w:hAnsi="宋体" w:eastAsia="宋体" w:cs="宋体"/>
                <w:sz w:val="18"/>
                <w:szCs w:val="18"/>
              </w:rPr>
            </w:pPr>
            <w:r>
              <w:rPr>
                <w:rFonts w:ascii="宋体" w:hAnsi="宋体" w:eastAsia="宋体" w:cs="宋体"/>
                <w:spacing w:val="-16"/>
                <w:position w:val="1"/>
                <w:sz w:val="18"/>
                <w:szCs w:val="18"/>
              </w:rPr>
              <w:t>14.13</w:t>
            </w:r>
          </w:p>
        </w:tc>
        <w:tc>
          <w:tcPr>
            <w:tcW w:w="2886" w:type="dxa"/>
            <w:gridSpan w:val="3"/>
            <w:tcBorders>
              <w:right w:val="single" w:color="000000" w:sz="4" w:space="0"/>
            </w:tcBorders>
            <w:vAlign w:val="top"/>
          </w:tcPr>
          <w:p>
            <w:pPr>
              <w:spacing w:before="186" w:line="251" w:lineRule="exact"/>
              <w:ind w:left="1272"/>
              <w:rPr>
                <w:rFonts w:ascii="宋体" w:hAnsi="宋体" w:eastAsia="宋体" w:cs="宋体"/>
                <w:sz w:val="18"/>
                <w:szCs w:val="18"/>
              </w:rPr>
            </w:pPr>
            <w:r>
              <w:rPr>
                <w:rFonts w:ascii="宋体" w:hAnsi="宋体" w:eastAsia="宋体" w:cs="宋体"/>
                <w:spacing w:val="-14"/>
                <w:position w:val="1"/>
                <w:sz w:val="18"/>
                <w:szCs w:val="18"/>
              </w:rPr>
              <w:t>9.62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2" w:line="211" w:lineRule="auto"/>
              <w:ind w:left="837"/>
              <w:rPr>
                <w:rFonts w:ascii="宋体" w:hAnsi="宋体" w:eastAsia="宋体" w:cs="宋体"/>
                <w:sz w:val="18"/>
                <w:szCs w:val="18"/>
              </w:rPr>
            </w:pPr>
            <w:r>
              <w:rPr>
                <w:rFonts w:ascii="宋体" w:hAnsi="宋体" w:eastAsia="宋体" w:cs="宋体"/>
                <w:spacing w:val="-5"/>
                <w:sz w:val="18"/>
                <w:szCs w:val="18"/>
              </w:rPr>
              <w:t>给水工程</w:t>
            </w:r>
          </w:p>
        </w:tc>
        <w:tc>
          <w:tcPr>
            <w:tcW w:w="2783" w:type="dxa"/>
            <w:gridSpan w:val="3"/>
            <w:vAlign w:val="top"/>
          </w:tcPr>
          <w:p>
            <w:pPr>
              <w:spacing w:before="184" w:line="253" w:lineRule="exact"/>
              <w:ind w:left="1180"/>
              <w:rPr>
                <w:rFonts w:ascii="宋体" w:hAnsi="宋体" w:eastAsia="宋体" w:cs="宋体"/>
                <w:sz w:val="18"/>
                <w:szCs w:val="18"/>
              </w:rPr>
            </w:pPr>
            <w:r>
              <w:rPr>
                <w:rFonts w:ascii="宋体" w:hAnsi="宋体" w:eastAsia="宋体" w:cs="宋体"/>
                <w:spacing w:val="-13"/>
                <w:position w:val="1"/>
                <w:sz w:val="18"/>
                <w:szCs w:val="18"/>
              </w:rPr>
              <w:t>36.22</w:t>
            </w:r>
          </w:p>
        </w:tc>
        <w:tc>
          <w:tcPr>
            <w:tcW w:w="2886" w:type="dxa"/>
            <w:gridSpan w:val="3"/>
            <w:tcBorders>
              <w:right w:val="single" w:color="000000" w:sz="4" w:space="0"/>
            </w:tcBorders>
            <w:vAlign w:val="top"/>
          </w:tcPr>
          <w:p>
            <w:pPr>
              <w:spacing w:before="184" w:line="253" w:lineRule="exact"/>
              <w:ind w:left="1229"/>
              <w:rPr>
                <w:rFonts w:ascii="宋体" w:hAnsi="宋体" w:eastAsia="宋体" w:cs="宋体"/>
                <w:sz w:val="18"/>
                <w:szCs w:val="18"/>
              </w:rPr>
            </w:pPr>
            <w:r>
              <w:rPr>
                <w:rFonts w:ascii="宋体" w:hAnsi="宋体" w:eastAsia="宋体" w:cs="宋体"/>
                <w:spacing w:val="-12"/>
                <w:position w:val="1"/>
                <w:sz w:val="18"/>
                <w:szCs w:val="18"/>
              </w:rPr>
              <w:t>22.89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63" w:line="222" w:lineRule="auto"/>
              <w:ind w:left="831"/>
              <w:rPr>
                <w:rFonts w:ascii="宋体" w:hAnsi="宋体" w:eastAsia="宋体" w:cs="宋体"/>
                <w:sz w:val="18"/>
                <w:szCs w:val="18"/>
              </w:rPr>
            </w:pPr>
            <w:r>
              <w:rPr>
                <w:rFonts w:ascii="宋体" w:hAnsi="宋体" w:eastAsia="宋体" w:cs="宋体"/>
                <w:spacing w:val="-3"/>
                <w:sz w:val="18"/>
                <w:szCs w:val="18"/>
              </w:rPr>
              <w:t>排水工程</w:t>
            </w:r>
          </w:p>
        </w:tc>
        <w:tc>
          <w:tcPr>
            <w:tcW w:w="2783" w:type="dxa"/>
            <w:gridSpan w:val="3"/>
            <w:vAlign w:val="top"/>
          </w:tcPr>
          <w:p>
            <w:pPr>
              <w:spacing w:before="187" w:line="252" w:lineRule="exact"/>
              <w:ind w:left="1202"/>
              <w:rPr>
                <w:rFonts w:ascii="宋体" w:hAnsi="宋体" w:eastAsia="宋体" w:cs="宋体"/>
                <w:sz w:val="18"/>
                <w:szCs w:val="18"/>
              </w:rPr>
            </w:pPr>
            <w:r>
              <w:rPr>
                <w:rFonts w:ascii="宋体" w:hAnsi="宋体" w:eastAsia="宋体" w:cs="宋体"/>
                <w:spacing w:val="-16"/>
                <w:position w:val="1"/>
                <w:sz w:val="18"/>
                <w:szCs w:val="18"/>
              </w:rPr>
              <w:t>17.08</w:t>
            </w:r>
          </w:p>
        </w:tc>
        <w:tc>
          <w:tcPr>
            <w:tcW w:w="2886" w:type="dxa"/>
            <w:gridSpan w:val="3"/>
            <w:tcBorders>
              <w:right w:val="single" w:color="000000" w:sz="4" w:space="0"/>
            </w:tcBorders>
            <w:vAlign w:val="top"/>
          </w:tcPr>
          <w:p>
            <w:pPr>
              <w:spacing w:before="187" w:line="252" w:lineRule="exact"/>
              <w:ind w:left="1275"/>
              <w:rPr>
                <w:rFonts w:ascii="宋体" w:hAnsi="宋体" w:eastAsia="宋体" w:cs="宋体"/>
                <w:sz w:val="18"/>
                <w:szCs w:val="18"/>
              </w:rPr>
            </w:pPr>
            <w:r>
              <w:rPr>
                <w:rFonts w:ascii="宋体" w:hAnsi="宋体" w:eastAsia="宋体" w:cs="宋体"/>
                <w:spacing w:val="-15"/>
                <w:position w:val="1"/>
                <w:sz w:val="18"/>
                <w:szCs w:val="18"/>
              </w:rPr>
              <w:t>7.88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7" w:line="214" w:lineRule="auto"/>
              <w:ind w:left="826"/>
              <w:rPr>
                <w:rFonts w:ascii="宋体" w:hAnsi="宋体" w:eastAsia="宋体" w:cs="宋体"/>
                <w:sz w:val="18"/>
                <w:szCs w:val="18"/>
              </w:rPr>
            </w:pPr>
            <w:r>
              <w:rPr>
                <w:rFonts w:ascii="宋体" w:hAnsi="宋体" w:eastAsia="宋体" w:cs="宋体"/>
                <w:spacing w:val="-3"/>
                <w:sz w:val="18"/>
                <w:szCs w:val="18"/>
              </w:rPr>
              <w:t>燃气工程</w:t>
            </w:r>
          </w:p>
        </w:tc>
        <w:tc>
          <w:tcPr>
            <w:tcW w:w="2783" w:type="dxa"/>
            <w:gridSpan w:val="3"/>
            <w:vAlign w:val="top"/>
          </w:tcPr>
          <w:p>
            <w:pPr>
              <w:spacing w:before="189" w:line="248" w:lineRule="exact"/>
              <w:ind w:left="1177"/>
              <w:rPr>
                <w:rFonts w:ascii="宋体" w:hAnsi="宋体" w:eastAsia="宋体" w:cs="宋体"/>
                <w:sz w:val="18"/>
                <w:szCs w:val="18"/>
              </w:rPr>
            </w:pPr>
            <w:r>
              <w:rPr>
                <w:rFonts w:ascii="宋体" w:hAnsi="宋体" w:eastAsia="宋体" w:cs="宋体"/>
                <w:spacing w:val="-12"/>
                <w:position w:val="1"/>
                <w:sz w:val="18"/>
                <w:szCs w:val="18"/>
              </w:rPr>
              <w:t>24.19</w:t>
            </w:r>
          </w:p>
        </w:tc>
        <w:tc>
          <w:tcPr>
            <w:tcW w:w="2886" w:type="dxa"/>
            <w:gridSpan w:val="3"/>
            <w:tcBorders>
              <w:right w:val="single" w:color="000000" w:sz="4" w:space="0"/>
            </w:tcBorders>
            <w:vAlign w:val="top"/>
          </w:tcPr>
          <w:p>
            <w:pPr>
              <w:spacing w:before="189" w:line="248" w:lineRule="exact"/>
              <w:ind w:left="1253"/>
              <w:rPr>
                <w:rFonts w:ascii="宋体" w:hAnsi="宋体" w:eastAsia="宋体" w:cs="宋体"/>
                <w:sz w:val="18"/>
                <w:szCs w:val="18"/>
              </w:rPr>
            </w:pPr>
            <w:r>
              <w:rPr>
                <w:rFonts w:ascii="宋体" w:hAnsi="宋体" w:eastAsia="宋体" w:cs="宋体"/>
                <w:spacing w:val="-16"/>
                <w:position w:val="1"/>
                <w:sz w:val="18"/>
                <w:szCs w:val="18"/>
              </w:rPr>
              <w:t>18.00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0" w:line="240" w:lineRule="exact"/>
              <w:ind w:left="830"/>
              <w:rPr>
                <w:rFonts w:ascii="宋体" w:hAnsi="宋体" w:eastAsia="宋体" w:cs="宋体"/>
                <w:sz w:val="18"/>
                <w:szCs w:val="18"/>
              </w:rPr>
            </w:pPr>
            <w:r>
              <w:rPr>
                <w:rFonts w:ascii="宋体" w:hAnsi="宋体" w:eastAsia="宋体" w:cs="宋体"/>
                <w:spacing w:val="-3"/>
                <w:position w:val="1"/>
                <w:sz w:val="18"/>
                <w:szCs w:val="18"/>
              </w:rPr>
              <w:t>供热工程</w:t>
            </w:r>
          </w:p>
        </w:tc>
        <w:tc>
          <w:tcPr>
            <w:tcW w:w="2783" w:type="dxa"/>
            <w:gridSpan w:val="3"/>
            <w:vAlign w:val="top"/>
          </w:tcPr>
          <w:p>
            <w:pPr>
              <w:spacing w:before="190" w:line="249" w:lineRule="exact"/>
              <w:ind w:left="1177"/>
              <w:rPr>
                <w:rFonts w:ascii="宋体" w:hAnsi="宋体" w:eastAsia="宋体" w:cs="宋体"/>
                <w:sz w:val="18"/>
                <w:szCs w:val="18"/>
              </w:rPr>
            </w:pPr>
            <w:r>
              <w:rPr>
                <w:rFonts w:ascii="宋体" w:hAnsi="宋体" w:eastAsia="宋体" w:cs="宋体"/>
                <w:spacing w:val="-12"/>
                <w:position w:val="1"/>
                <w:sz w:val="18"/>
                <w:szCs w:val="18"/>
              </w:rPr>
              <w:t>26.50</w:t>
            </w:r>
          </w:p>
        </w:tc>
        <w:tc>
          <w:tcPr>
            <w:tcW w:w="2886" w:type="dxa"/>
            <w:gridSpan w:val="3"/>
            <w:tcBorders>
              <w:right w:val="single" w:color="000000" w:sz="4" w:space="0"/>
            </w:tcBorders>
            <w:vAlign w:val="top"/>
          </w:tcPr>
          <w:p>
            <w:pPr>
              <w:spacing w:before="190" w:line="249" w:lineRule="exact"/>
              <w:ind w:left="1253"/>
              <w:rPr>
                <w:rFonts w:ascii="宋体" w:hAnsi="宋体" w:eastAsia="宋体" w:cs="宋体"/>
                <w:sz w:val="18"/>
                <w:szCs w:val="18"/>
              </w:rPr>
            </w:pPr>
            <w:r>
              <w:rPr>
                <w:rFonts w:ascii="宋体" w:hAnsi="宋体" w:eastAsia="宋体" w:cs="宋体"/>
                <w:spacing w:val="-16"/>
                <w:position w:val="1"/>
                <w:sz w:val="18"/>
                <w:szCs w:val="18"/>
              </w:rPr>
              <w:t>19.80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5" w:line="210" w:lineRule="auto"/>
              <w:ind w:left="741"/>
              <w:rPr>
                <w:rFonts w:ascii="宋体" w:hAnsi="宋体" w:eastAsia="宋体" w:cs="宋体"/>
                <w:sz w:val="18"/>
                <w:szCs w:val="18"/>
              </w:rPr>
            </w:pPr>
            <w:r>
              <w:rPr>
                <w:rFonts w:ascii="宋体" w:hAnsi="宋体" w:eastAsia="宋体" w:cs="宋体"/>
                <w:spacing w:val="-3"/>
                <w:sz w:val="18"/>
                <w:szCs w:val="18"/>
              </w:rPr>
              <w:t>水处理工程</w:t>
            </w:r>
          </w:p>
        </w:tc>
        <w:tc>
          <w:tcPr>
            <w:tcW w:w="2783" w:type="dxa"/>
            <w:gridSpan w:val="3"/>
            <w:vAlign w:val="top"/>
          </w:tcPr>
          <w:p>
            <w:pPr>
              <w:spacing w:before="189" w:line="248" w:lineRule="exact"/>
              <w:ind w:left="1202"/>
              <w:rPr>
                <w:rFonts w:ascii="宋体" w:hAnsi="宋体" w:eastAsia="宋体" w:cs="宋体"/>
                <w:sz w:val="18"/>
                <w:szCs w:val="18"/>
              </w:rPr>
            </w:pPr>
            <w:r>
              <w:rPr>
                <w:rFonts w:ascii="宋体" w:hAnsi="宋体" w:eastAsia="宋体" w:cs="宋体"/>
                <w:spacing w:val="-16"/>
                <w:position w:val="1"/>
                <w:sz w:val="18"/>
                <w:szCs w:val="18"/>
              </w:rPr>
              <w:t>17.00</w:t>
            </w:r>
          </w:p>
        </w:tc>
        <w:tc>
          <w:tcPr>
            <w:tcW w:w="2886" w:type="dxa"/>
            <w:gridSpan w:val="3"/>
            <w:tcBorders>
              <w:right w:val="single" w:color="000000" w:sz="4" w:space="0"/>
            </w:tcBorders>
            <w:vAlign w:val="top"/>
          </w:tcPr>
          <w:p>
            <w:pPr>
              <w:spacing w:before="189" w:line="248" w:lineRule="exact"/>
              <w:ind w:left="1253"/>
              <w:rPr>
                <w:rFonts w:ascii="宋体" w:hAnsi="宋体" w:eastAsia="宋体" w:cs="宋体"/>
                <w:sz w:val="18"/>
                <w:szCs w:val="18"/>
              </w:rPr>
            </w:pPr>
            <w:r>
              <w:rPr>
                <w:rFonts w:ascii="宋体" w:hAnsi="宋体" w:eastAsia="宋体" w:cs="宋体"/>
                <w:spacing w:val="-16"/>
                <w:position w:val="1"/>
                <w:sz w:val="18"/>
                <w:szCs w:val="18"/>
              </w:rPr>
              <w:t>10.14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80" w:line="208" w:lineRule="auto"/>
              <w:ind w:left="473"/>
              <w:rPr>
                <w:rFonts w:ascii="宋体" w:hAnsi="宋体" w:eastAsia="宋体" w:cs="宋体"/>
                <w:sz w:val="18"/>
                <w:szCs w:val="18"/>
              </w:rPr>
            </w:pPr>
            <w:r>
              <w:rPr>
                <w:rFonts w:ascii="宋体" w:hAnsi="宋体" w:eastAsia="宋体" w:cs="宋体"/>
                <w:spacing w:val="-4"/>
                <w:sz w:val="18"/>
                <w:szCs w:val="18"/>
              </w:rPr>
              <w:t>生活垃圾处理工程</w:t>
            </w:r>
          </w:p>
        </w:tc>
        <w:tc>
          <w:tcPr>
            <w:tcW w:w="2783" w:type="dxa"/>
            <w:gridSpan w:val="3"/>
            <w:vAlign w:val="top"/>
          </w:tcPr>
          <w:p>
            <w:pPr>
              <w:spacing w:before="190" w:line="249" w:lineRule="exact"/>
              <w:ind w:left="1180"/>
              <w:rPr>
                <w:rFonts w:ascii="宋体" w:hAnsi="宋体" w:eastAsia="宋体" w:cs="宋体"/>
                <w:sz w:val="18"/>
                <w:szCs w:val="18"/>
              </w:rPr>
            </w:pPr>
            <w:r>
              <w:rPr>
                <w:rFonts w:ascii="宋体" w:hAnsi="宋体" w:eastAsia="宋体" w:cs="宋体"/>
                <w:spacing w:val="-13"/>
                <w:position w:val="1"/>
                <w:sz w:val="18"/>
                <w:szCs w:val="18"/>
              </w:rPr>
              <w:t>38.10</w:t>
            </w:r>
          </w:p>
        </w:tc>
        <w:tc>
          <w:tcPr>
            <w:tcW w:w="2886" w:type="dxa"/>
            <w:gridSpan w:val="3"/>
            <w:tcBorders>
              <w:right w:val="single" w:color="000000" w:sz="4" w:space="0"/>
            </w:tcBorders>
            <w:vAlign w:val="top"/>
          </w:tcPr>
          <w:p>
            <w:pPr>
              <w:spacing w:before="190" w:line="249" w:lineRule="exact"/>
              <w:ind w:left="1253"/>
              <w:rPr>
                <w:rFonts w:ascii="宋体" w:hAnsi="宋体" w:eastAsia="宋体" w:cs="宋体"/>
                <w:sz w:val="18"/>
                <w:szCs w:val="18"/>
              </w:rPr>
            </w:pPr>
            <w:r>
              <w:rPr>
                <w:rFonts w:ascii="宋体" w:hAnsi="宋体" w:eastAsia="宋体" w:cs="宋体"/>
                <w:spacing w:val="-16"/>
                <w:position w:val="1"/>
                <w:sz w:val="18"/>
                <w:szCs w:val="18"/>
              </w:rPr>
              <w:t>14.22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031" w:type="dxa"/>
            <w:vMerge w:val="continue"/>
            <w:tcBorders>
              <w:top w:val="nil"/>
              <w:left w:val="single" w:color="000000" w:sz="4" w:space="0"/>
              <w:bottom w:val="nil"/>
            </w:tcBorders>
            <w:vAlign w:val="top"/>
          </w:tcPr>
          <w:p>
            <w:pPr>
              <w:pStyle w:val="6"/>
            </w:pPr>
          </w:p>
        </w:tc>
        <w:tc>
          <w:tcPr>
            <w:tcW w:w="2379" w:type="dxa"/>
            <w:vAlign w:val="top"/>
          </w:tcPr>
          <w:p>
            <w:pPr>
              <w:spacing w:before="175" w:line="211" w:lineRule="auto"/>
              <w:ind w:left="832"/>
              <w:rPr>
                <w:rFonts w:ascii="宋体" w:hAnsi="宋体" w:eastAsia="宋体" w:cs="宋体"/>
                <w:sz w:val="18"/>
                <w:szCs w:val="18"/>
              </w:rPr>
            </w:pPr>
            <w:r>
              <w:rPr>
                <w:rFonts w:ascii="宋体" w:hAnsi="宋体" w:eastAsia="宋体" w:cs="宋体"/>
                <w:spacing w:val="-5"/>
                <w:sz w:val="18"/>
                <w:szCs w:val="18"/>
              </w:rPr>
              <w:t>路灯工程</w:t>
            </w:r>
          </w:p>
        </w:tc>
        <w:tc>
          <w:tcPr>
            <w:tcW w:w="2783" w:type="dxa"/>
            <w:gridSpan w:val="3"/>
            <w:vAlign w:val="top"/>
          </w:tcPr>
          <w:p>
            <w:pPr>
              <w:spacing w:before="187" w:line="250" w:lineRule="exact"/>
              <w:ind w:left="1177"/>
              <w:rPr>
                <w:rFonts w:ascii="宋体" w:hAnsi="宋体" w:eastAsia="宋体" w:cs="宋体"/>
                <w:sz w:val="18"/>
                <w:szCs w:val="18"/>
              </w:rPr>
            </w:pPr>
            <w:r>
              <w:rPr>
                <w:rFonts w:ascii="宋体" w:hAnsi="宋体" w:eastAsia="宋体" w:cs="宋体"/>
                <w:spacing w:val="-12"/>
                <w:position w:val="1"/>
                <w:sz w:val="18"/>
                <w:szCs w:val="18"/>
              </w:rPr>
              <w:t>24.05</w:t>
            </w:r>
          </w:p>
        </w:tc>
        <w:tc>
          <w:tcPr>
            <w:tcW w:w="2886" w:type="dxa"/>
            <w:gridSpan w:val="3"/>
            <w:tcBorders>
              <w:right w:val="single" w:color="000000" w:sz="4" w:space="0"/>
            </w:tcBorders>
            <w:vAlign w:val="top"/>
          </w:tcPr>
          <w:p>
            <w:pPr>
              <w:spacing w:before="187" w:line="250" w:lineRule="exact"/>
              <w:ind w:left="1272"/>
              <w:rPr>
                <w:rFonts w:ascii="宋体" w:hAnsi="宋体" w:eastAsia="宋体" w:cs="宋体"/>
                <w:sz w:val="18"/>
                <w:szCs w:val="18"/>
              </w:rPr>
            </w:pPr>
            <w:r>
              <w:rPr>
                <w:rFonts w:ascii="宋体" w:hAnsi="宋体" w:eastAsia="宋体" w:cs="宋体"/>
                <w:spacing w:val="-14"/>
                <w:position w:val="1"/>
                <w:sz w:val="18"/>
                <w:szCs w:val="18"/>
              </w:rPr>
              <w:t>9.83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77" w:line="212" w:lineRule="auto"/>
              <w:ind w:left="292"/>
              <w:rPr>
                <w:rFonts w:ascii="宋体" w:hAnsi="宋体" w:eastAsia="宋体" w:cs="宋体"/>
                <w:sz w:val="18"/>
                <w:szCs w:val="18"/>
              </w:rPr>
            </w:pPr>
            <w:r>
              <w:rPr>
                <w:rFonts w:ascii="宋体" w:hAnsi="宋体" w:eastAsia="宋体" w:cs="宋体"/>
                <w:spacing w:val="-3"/>
                <w:sz w:val="18"/>
                <w:szCs w:val="18"/>
              </w:rPr>
              <w:t>城市地下综合管廊工程</w:t>
            </w:r>
          </w:p>
        </w:tc>
        <w:tc>
          <w:tcPr>
            <w:tcW w:w="2783" w:type="dxa"/>
            <w:gridSpan w:val="3"/>
            <w:vAlign w:val="top"/>
          </w:tcPr>
          <w:p>
            <w:pPr>
              <w:spacing w:before="190" w:line="249" w:lineRule="exact"/>
              <w:ind w:left="1202"/>
              <w:rPr>
                <w:rFonts w:ascii="宋体" w:hAnsi="宋体" w:eastAsia="宋体" w:cs="宋体"/>
                <w:sz w:val="18"/>
                <w:szCs w:val="18"/>
              </w:rPr>
            </w:pPr>
            <w:r>
              <w:rPr>
                <w:rFonts w:ascii="宋体" w:hAnsi="宋体" w:eastAsia="宋体" w:cs="宋体"/>
                <w:spacing w:val="-16"/>
                <w:position w:val="1"/>
                <w:sz w:val="18"/>
                <w:szCs w:val="18"/>
              </w:rPr>
              <w:t>18.84</w:t>
            </w:r>
          </w:p>
        </w:tc>
        <w:tc>
          <w:tcPr>
            <w:tcW w:w="2886" w:type="dxa"/>
            <w:gridSpan w:val="3"/>
            <w:tcBorders>
              <w:right w:val="single" w:color="000000" w:sz="4" w:space="0"/>
            </w:tcBorders>
            <w:vAlign w:val="top"/>
          </w:tcPr>
          <w:p>
            <w:pPr>
              <w:spacing w:before="190" w:line="249" w:lineRule="exact"/>
              <w:ind w:left="1272"/>
              <w:rPr>
                <w:rFonts w:ascii="宋体" w:hAnsi="宋体" w:eastAsia="宋体" w:cs="宋体"/>
                <w:sz w:val="18"/>
                <w:szCs w:val="18"/>
              </w:rPr>
            </w:pPr>
            <w:r>
              <w:rPr>
                <w:rFonts w:ascii="宋体" w:hAnsi="宋体" w:eastAsia="宋体" w:cs="宋体"/>
                <w:spacing w:val="-14"/>
                <w:position w:val="1"/>
                <w:sz w:val="18"/>
                <w:szCs w:val="18"/>
              </w:rPr>
              <w:t>9.71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410" w:type="dxa"/>
            <w:gridSpan w:val="2"/>
            <w:tcBorders>
              <w:left w:val="single" w:color="000000" w:sz="4" w:space="0"/>
            </w:tcBorders>
            <w:vAlign w:val="top"/>
          </w:tcPr>
          <w:p>
            <w:pPr>
              <w:spacing w:before="182" w:line="208" w:lineRule="auto"/>
              <w:ind w:left="1198"/>
              <w:rPr>
                <w:rFonts w:ascii="宋体" w:hAnsi="宋体" w:eastAsia="宋体" w:cs="宋体"/>
                <w:sz w:val="18"/>
                <w:szCs w:val="18"/>
              </w:rPr>
            </w:pPr>
            <w:r>
              <w:rPr>
                <w:rFonts w:ascii="宋体" w:hAnsi="宋体" w:eastAsia="宋体" w:cs="宋体"/>
                <w:spacing w:val="-9"/>
                <w:sz w:val="18"/>
                <w:szCs w:val="18"/>
              </w:rPr>
              <w:t>园林绿化工程</w:t>
            </w:r>
          </w:p>
        </w:tc>
        <w:tc>
          <w:tcPr>
            <w:tcW w:w="2783" w:type="dxa"/>
            <w:gridSpan w:val="3"/>
            <w:vAlign w:val="top"/>
          </w:tcPr>
          <w:p>
            <w:pPr>
              <w:spacing w:before="192" w:line="247" w:lineRule="exact"/>
              <w:ind w:left="1177"/>
              <w:rPr>
                <w:rFonts w:ascii="宋体" w:hAnsi="宋体" w:eastAsia="宋体" w:cs="宋体"/>
                <w:sz w:val="18"/>
                <w:szCs w:val="18"/>
              </w:rPr>
            </w:pPr>
            <w:r>
              <w:rPr>
                <w:rFonts w:ascii="宋体" w:hAnsi="宋体" w:eastAsia="宋体" w:cs="宋体"/>
                <w:spacing w:val="-12"/>
                <w:position w:val="1"/>
                <w:sz w:val="18"/>
                <w:szCs w:val="18"/>
              </w:rPr>
              <w:t>52.33</w:t>
            </w:r>
          </w:p>
        </w:tc>
        <w:tc>
          <w:tcPr>
            <w:tcW w:w="2886" w:type="dxa"/>
            <w:gridSpan w:val="3"/>
            <w:tcBorders>
              <w:right w:val="single" w:color="000000" w:sz="4" w:space="0"/>
            </w:tcBorders>
            <w:vAlign w:val="top"/>
          </w:tcPr>
          <w:p>
            <w:pPr>
              <w:spacing w:before="192" w:line="247" w:lineRule="exact"/>
              <w:ind w:left="1229"/>
              <w:rPr>
                <w:rFonts w:ascii="宋体" w:hAnsi="宋体" w:eastAsia="宋体" w:cs="宋体"/>
                <w:sz w:val="18"/>
                <w:szCs w:val="18"/>
              </w:rPr>
            </w:pPr>
            <w:r>
              <w:rPr>
                <w:rFonts w:ascii="宋体" w:hAnsi="宋体" w:eastAsia="宋体" w:cs="宋体"/>
                <w:spacing w:val="-12"/>
                <w:position w:val="1"/>
                <w:sz w:val="18"/>
                <w:szCs w:val="18"/>
              </w:rPr>
              <w:t>27.26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031" w:type="dxa"/>
            <w:vMerge w:val="restart"/>
            <w:tcBorders>
              <w:left w:val="single" w:color="000000" w:sz="4" w:space="0"/>
              <w:bottom w:val="nil"/>
            </w:tcBorders>
            <w:vAlign w:val="top"/>
          </w:tcPr>
          <w:p>
            <w:pPr>
              <w:spacing w:before="288" w:line="329" w:lineRule="auto"/>
              <w:ind w:left="335" w:right="328" w:firstLine="1"/>
              <w:rPr>
                <w:rFonts w:ascii="宋体" w:hAnsi="宋体" w:eastAsia="宋体" w:cs="宋体"/>
                <w:sz w:val="18"/>
                <w:szCs w:val="18"/>
              </w:rPr>
            </w:pPr>
            <w:r>
              <w:rPr>
                <w:rFonts w:ascii="宋体" w:hAnsi="宋体" w:eastAsia="宋体" w:cs="宋体"/>
                <w:spacing w:val="-2"/>
                <w:sz w:val="18"/>
                <w:szCs w:val="18"/>
              </w:rPr>
              <w:t>房屋修缮</w:t>
            </w:r>
          </w:p>
        </w:tc>
        <w:tc>
          <w:tcPr>
            <w:tcW w:w="2379" w:type="dxa"/>
            <w:vAlign w:val="top"/>
          </w:tcPr>
          <w:p>
            <w:pPr>
              <w:spacing w:before="192" w:line="215" w:lineRule="auto"/>
              <w:ind w:left="833"/>
              <w:rPr>
                <w:rFonts w:ascii="宋体" w:hAnsi="宋体" w:eastAsia="宋体" w:cs="宋体"/>
                <w:sz w:val="18"/>
                <w:szCs w:val="18"/>
              </w:rPr>
            </w:pPr>
            <w:r>
              <w:rPr>
                <w:rFonts w:ascii="宋体" w:hAnsi="宋体" w:eastAsia="宋体" w:cs="宋体"/>
                <w:spacing w:val="-4"/>
                <w:sz w:val="18"/>
                <w:szCs w:val="18"/>
              </w:rPr>
              <w:t>建筑工程</w:t>
            </w:r>
          </w:p>
        </w:tc>
        <w:tc>
          <w:tcPr>
            <w:tcW w:w="2783" w:type="dxa"/>
            <w:gridSpan w:val="3"/>
            <w:vAlign w:val="top"/>
          </w:tcPr>
          <w:p>
            <w:pPr>
              <w:spacing w:before="180" w:line="258" w:lineRule="exact"/>
              <w:ind w:left="1172"/>
              <w:rPr>
                <w:rFonts w:ascii="宋体" w:hAnsi="宋体" w:eastAsia="宋体" w:cs="宋体"/>
                <w:sz w:val="18"/>
                <w:szCs w:val="18"/>
              </w:rPr>
            </w:pPr>
            <w:r>
              <w:rPr>
                <w:rFonts w:ascii="宋体" w:hAnsi="宋体" w:eastAsia="宋体" w:cs="宋体"/>
                <w:spacing w:val="-11"/>
                <w:position w:val="1"/>
                <w:sz w:val="18"/>
                <w:szCs w:val="18"/>
              </w:rPr>
              <w:t>46.16</w:t>
            </w:r>
          </w:p>
        </w:tc>
        <w:tc>
          <w:tcPr>
            <w:tcW w:w="2886" w:type="dxa"/>
            <w:gridSpan w:val="3"/>
            <w:tcBorders>
              <w:right w:val="single" w:color="000000" w:sz="4" w:space="0"/>
            </w:tcBorders>
            <w:vAlign w:val="top"/>
          </w:tcPr>
          <w:p>
            <w:pPr>
              <w:spacing w:before="180" w:line="258" w:lineRule="exact"/>
              <w:ind w:left="1229"/>
              <w:rPr>
                <w:rFonts w:ascii="宋体" w:hAnsi="宋体" w:eastAsia="宋体" w:cs="宋体"/>
                <w:sz w:val="18"/>
                <w:szCs w:val="18"/>
              </w:rPr>
            </w:pPr>
            <w:r>
              <w:rPr>
                <w:rFonts w:ascii="宋体" w:hAnsi="宋体" w:eastAsia="宋体" w:cs="宋体"/>
                <w:spacing w:val="-12"/>
                <w:position w:val="1"/>
                <w:sz w:val="18"/>
                <w:szCs w:val="18"/>
              </w:rPr>
              <w:t>24.15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94" w:line="211" w:lineRule="auto"/>
              <w:ind w:left="836"/>
              <w:rPr>
                <w:rFonts w:ascii="宋体" w:hAnsi="宋体" w:eastAsia="宋体" w:cs="宋体"/>
                <w:sz w:val="18"/>
                <w:szCs w:val="18"/>
              </w:rPr>
            </w:pPr>
            <w:r>
              <w:rPr>
                <w:rFonts w:ascii="宋体" w:hAnsi="宋体" w:eastAsia="宋体" w:cs="宋体"/>
                <w:spacing w:val="-5"/>
                <w:sz w:val="18"/>
                <w:szCs w:val="18"/>
              </w:rPr>
              <w:t>安装工程</w:t>
            </w:r>
          </w:p>
        </w:tc>
        <w:tc>
          <w:tcPr>
            <w:tcW w:w="2783" w:type="dxa"/>
            <w:gridSpan w:val="3"/>
            <w:vAlign w:val="top"/>
          </w:tcPr>
          <w:p>
            <w:pPr>
              <w:spacing w:before="179" w:line="260" w:lineRule="exact"/>
              <w:ind w:left="1172"/>
              <w:rPr>
                <w:rFonts w:ascii="宋体" w:hAnsi="宋体" w:eastAsia="宋体" w:cs="宋体"/>
                <w:sz w:val="18"/>
                <w:szCs w:val="18"/>
              </w:rPr>
            </w:pPr>
            <w:r>
              <w:rPr>
                <w:rFonts w:ascii="宋体" w:hAnsi="宋体" w:eastAsia="宋体" w:cs="宋体"/>
                <w:spacing w:val="-11"/>
                <w:position w:val="2"/>
                <w:sz w:val="18"/>
                <w:szCs w:val="18"/>
              </w:rPr>
              <w:t>48.08</w:t>
            </w:r>
          </w:p>
        </w:tc>
        <w:tc>
          <w:tcPr>
            <w:tcW w:w="2886" w:type="dxa"/>
            <w:gridSpan w:val="3"/>
            <w:tcBorders>
              <w:right w:val="single" w:color="000000" w:sz="4" w:space="0"/>
            </w:tcBorders>
            <w:vAlign w:val="top"/>
          </w:tcPr>
          <w:p>
            <w:pPr>
              <w:spacing w:before="179" w:line="260" w:lineRule="exact"/>
              <w:ind w:left="1229"/>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410" w:type="dxa"/>
            <w:gridSpan w:val="2"/>
            <w:tcBorders>
              <w:left w:val="single" w:color="000000" w:sz="4" w:space="0"/>
            </w:tcBorders>
            <w:vAlign w:val="top"/>
          </w:tcPr>
          <w:p>
            <w:pPr>
              <w:spacing w:before="189" w:line="215" w:lineRule="auto"/>
              <w:ind w:left="1084"/>
              <w:rPr>
                <w:rFonts w:ascii="宋体" w:hAnsi="宋体" w:eastAsia="宋体" w:cs="宋体"/>
                <w:sz w:val="18"/>
                <w:szCs w:val="18"/>
              </w:rPr>
            </w:pPr>
            <w:r>
              <w:rPr>
                <w:rFonts w:ascii="宋体" w:hAnsi="宋体" w:eastAsia="宋体" w:cs="宋体"/>
                <w:spacing w:val="-4"/>
                <w:sz w:val="18"/>
                <w:szCs w:val="18"/>
              </w:rPr>
              <w:t>古建筑修缮工程</w:t>
            </w:r>
          </w:p>
        </w:tc>
        <w:tc>
          <w:tcPr>
            <w:tcW w:w="2783" w:type="dxa"/>
            <w:gridSpan w:val="3"/>
            <w:vAlign w:val="top"/>
          </w:tcPr>
          <w:p>
            <w:pPr>
              <w:spacing w:before="180" w:line="257" w:lineRule="exact"/>
              <w:ind w:left="1172"/>
              <w:rPr>
                <w:rFonts w:ascii="宋体" w:hAnsi="宋体" w:eastAsia="宋体" w:cs="宋体"/>
                <w:sz w:val="18"/>
                <w:szCs w:val="18"/>
              </w:rPr>
            </w:pPr>
            <w:r>
              <w:rPr>
                <w:rFonts w:ascii="宋体" w:hAnsi="宋体" w:eastAsia="宋体" w:cs="宋体"/>
                <w:spacing w:val="-11"/>
                <w:position w:val="1"/>
                <w:sz w:val="18"/>
                <w:szCs w:val="18"/>
              </w:rPr>
              <w:t>47.81</w:t>
            </w:r>
          </w:p>
        </w:tc>
        <w:tc>
          <w:tcPr>
            <w:tcW w:w="2886" w:type="dxa"/>
            <w:gridSpan w:val="3"/>
            <w:tcBorders>
              <w:right w:val="single" w:color="000000" w:sz="4" w:space="0"/>
            </w:tcBorders>
            <w:vAlign w:val="top"/>
          </w:tcPr>
          <w:p>
            <w:pPr>
              <w:spacing w:before="180" w:line="257" w:lineRule="exact"/>
              <w:ind w:left="1229"/>
              <w:rPr>
                <w:rFonts w:ascii="宋体" w:hAnsi="宋体" w:eastAsia="宋体" w:cs="宋体"/>
                <w:sz w:val="18"/>
                <w:szCs w:val="18"/>
              </w:rPr>
            </w:pPr>
            <w:r>
              <w:rPr>
                <w:rFonts w:ascii="宋体" w:hAnsi="宋体" w:eastAsia="宋体" w:cs="宋体"/>
                <w:spacing w:val="-12"/>
                <w:position w:val="1"/>
                <w:sz w:val="18"/>
                <w:szCs w:val="18"/>
              </w:rPr>
              <w:t>28.47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6" w:hRule="atLeast"/>
        </w:trPr>
        <w:tc>
          <w:tcPr>
            <w:tcW w:w="1031" w:type="dxa"/>
            <w:vMerge w:val="restart"/>
            <w:tcBorders>
              <w:left w:val="single" w:color="000000" w:sz="4" w:space="0"/>
              <w:bottom w:val="nil"/>
            </w:tcBorders>
            <w:vAlign w:val="top"/>
          </w:tcPr>
          <w:p>
            <w:pPr>
              <w:spacing w:before="126" w:line="210" w:lineRule="auto"/>
              <w:ind w:left="342"/>
              <w:rPr>
                <w:rFonts w:ascii="宋体" w:hAnsi="宋体" w:eastAsia="宋体" w:cs="宋体"/>
                <w:sz w:val="18"/>
                <w:szCs w:val="18"/>
              </w:rPr>
            </w:pPr>
            <w:r>
              <w:rPr>
                <w:rFonts w:ascii="宋体" w:hAnsi="宋体" w:eastAsia="宋体" w:cs="宋体"/>
                <w:spacing w:val="-3"/>
                <w:sz w:val="18"/>
                <w:szCs w:val="18"/>
              </w:rPr>
              <w:t>市政</w:t>
            </w:r>
          </w:p>
          <w:p>
            <w:pPr>
              <w:spacing w:before="125" w:line="212" w:lineRule="auto"/>
              <w:ind w:left="335"/>
              <w:rPr>
                <w:rFonts w:ascii="宋体" w:hAnsi="宋体" w:eastAsia="宋体" w:cs="宋体"/>
                <w:sz w:val="18"/>
                <w:szCs w:val="18"/>
              </w:rPr>
            </w:pPr>
            <w:r>
              <w:rPr>
                <w:rFonts w:ascii="宋体" w:hAnsi="宋体" w:eastAsia="宋体" w:cs="宋体"/>
                <w:spacing w:val="-2"/>
                <w:sz w:val="18"/>
                <w:szCs w:val="18"/>
              </w:rPr>
              <w:t>养护</w:t>
            </w:r>
          </w:p>
          <w:p>
            <w:pPr>
              <w:spacing w:before="124" w:line="212" w:lineRule="auto"/>
              <w:ind w:left="338"/>
              <w:rPr>
                <w:rFonts w:ascii="宋体" w:hAnsi="宋体" w:eastAsia="宋体" w:cs="宋体"/>
                <w:sz w:val="18"/>
                <w:szCs w:val="18"/>
              </w:rPr>
            </w:pPr>
            <w:r>
              <w:rPr>
                <w:rFonts w:ascii="宋体" w:hAnsi="宋体" w:eastAsia="宋体" w:cs="宋体"/>
                <w:spacing w:val="-3"/>
                <w:sz w:val="18"/>
                <w:szCs w:val="18"/>
              </w:rPr>
              <w:t>维修</w:t>
            </w:r>
          </w:p>
          <w:p>
            <w:pPr>
              <w:spacing w:before="119" w:line="202" w:lineRule="auto"/>
              <w:ind w:left="338"/>
              <w:rPr>
                <w:rFonts w:ascii="宋体" w:hAnsi="宋体" w:eastAsia="宋体" w:cs="宋体"/>
                <w:sz w:val="18"/>
                <w:szCs w:val="18"/>
              </w:rPr>
            </w:pPr>
            <w:r>
              <w:rPr>
                <w:rFonts w:ascii="宋体" w:hAnsi="宋体" w:eastAsia="宋体" w:cs="宋体"/>
                <w:spacing w:val="-3"/>
                <w:sz w:val="18"/>
                <w:szCs w:val="18"/>
              </w:rPr>
              <w:t>工程</w:t>
            </w:r>
          </w:p>
        </w:tc>
        <w:tc>
          <w:tcPr>
            <w:tcW w:w="2379" w:type="dxa"/>
            <w:vAlign w:val="top"/>
          </w:tcPr>
          <w:p>
            <w:pPr>
              <w:spacing w:before="139" w:line="265" w:lineRule="auto"/>
              <w:ind w:left="468" w:right="423" w:hanging="88"/>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2783" w:type="dxa"/>
            <w:gridSpan w:val="3"/>
            <w:vAlign w:val="top"/>
          </w:tcPr>
          <w:p>
            <w:pPr>
              <w:spacing w:before="260" w:line="260" w:lineRule="exact"/>
              <w:ind w:left="1177"/>
              <w:rPr>
                <w:rFonts w:ascii="宋体" w:hAnsi="宋体" w:eastAsia="宋体" w:cs="宋体"/>
                <w:sz w:val="18"/>
                <w:szCs w:val="18"/>
              </w:rPr>
            </w:pPr>
            <w:r>
              <w:rPr>
                <w:rFonts w:ascii="宋体" w:hAnsi="宋体" w:eastAsia="宋体" w:cs="宋体"/>
                <w:spacing w:val="-12"/>
                <w:position w:val="2"/>
                <w:sz w:val="18"/>
                <w:szCs w:val="18"/>
              </w:rPr>
              <w:t>20.07</w:t>
            </w:r>
          </w:p>
        </w:tc>
        <w:tc>
          <w:tcPr>
            <w:tcW w:w="2886" w:type="dxa"/>
            <w:gridSpan w:val="3"/>
            <w:tcBorders>
              <w:right w:val="single" w:color="000000" w:sz="4" w:space="0"/>
            </w:tcBorders>
            <w:vAlign w:val="top"/>
          </w:tcPr>
          <w:p>
            <w:pPr>
              <w:spacing w:before="260" w:line="260" w:lineRule="exact"/>
              <w:ind w:left="1253"/>
              <w:rPr>
                <w:rFonts w:ascii="宋体" w:hAnsi="宋体" w:eastAsia="宋体" w:cs="宋体"/>
                <w:sz w:val="18"/>
                <w:szCs w:val="18"/>
              </w:rPr>
            </w:pPr>
            <w:r>
              <w:rPr>
                <w:rFonts w:ascii="宋体" w:hAnsi="宋体" w:eastAsia="宋体" w:cs="宋体"/>
                <w:spacing w:val="-16"/>
                <w:position w:val="1"/>
                <w:sz w:val="18"/>
                <w:szCs w:val="18"/>
              </w:rPr>
              <w:t>11.79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5" w:hRule="atLeast"/>
        </w:trPr>
        <w:tc>
          <w:tcPr>
            <w:tcW w:w="1031" w:type="dxa"/>
            <w:vMerge w:val="continue"/>
            <w:tcBorders>
              <w:top w:val="nil"/>
              <w:left w:val="single" w:color="000000" w:sz="4" w:space="0"/>
            </w:tcBorders>
            <w:vAlign w:val="top"/>
          </w:tcPr>
          <w:p>
            <w:pPr>
              <w:pStyle w:val="6"/>
            </w:pPr>
          </w:p>
        </w:tc>
        <w:tc>
          <w:tcPr>
            <w:tcW w:w="2379" w:type="dxa"/>
            <w:vAlign w:val="top"/>
          </w:tcPr>
          <w:p>
            <w:pPr>
              <w:spacing w:before="134" w:line="267" w:lineRule="auto"/>
              <w:ind w:left="471" w:right="426" w:hanging="86"/>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2783" w:type="dxa"/>
            <w:gridSpan w:val="3"/>
            <w:vAlign w:val="top"/>
          </w:tcPr>
          <w:p>
            <w:pPr>
              <w:spacing w:before="259" w:line="259" w:lineRule="exact"/>
              <w:ind w:left="1177"/>
              <w:rPr>
                <w:rFonts w:ascii="宋体" w:hAnsi="宋体" w:eastAsia="宋体" w:cs="宋体"/>
                <w:sz w:val="18"/>
                <w:szCs w:val="18"/>
              </w:rPr>
            </w:pPr>
            <w:r>
              <w:rPr>
                <w:rFonts w:ascii="宋体" w:hAnsi="宋体" w:eastAsia="宋体" w:cs="宋体"/>
                <w:spacing w:val="-12"/>
                <w:position w:val="1"/>
                <w:sz w:val="18"/>
                <w:szCs w:val="18"/>
              </w:rPr>
              <w:t>25.19</w:t>
            </w:r>
          </w:p>
        </w:tc>
        <w:tc>
          <w:tcPr>
            <w:tcW w:w="2886" w:type="dxa"/>
            <w:gridSpan w:val="3"/>
            <w:tcBorders>
              <w:right w:val="single" w:color="000000" w:sz="4" w:space="0"/>
            </w:tcBorders>
            <w:vAlign w:val="top"/>
          </w:tcPr>
          <w:p>
            <w:pPr>
              <w:spacing w:before="259" w:line="259" w:lineRule="exact"/>
              <w:ind w:left="1253"/>
              <w:rPr>
                <w:rFonts w:ascii="宋体" w:hAnsi="宋体" w:eastAsia="宋体" w:cs="宋体"/>
                <w:sz w:val="18"/>
                <w:szCs w:val="18"/>
              </w:rPr>
            </w:pPr>
            <w:r>
              <w:rPr>
                <w:rFonts w:ascii="宋体" w:hAnsi="宋体" w:eastAsia="宋体" w:cs="宋体"/>
                <w:spacing w:val="-16"/>
                <w:position w:val="1"/>
                <w:sz w:val="18"/>
                <w:szCs w:val="18"/>
              </w:rPr>
              <w:t>14.86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3410" w:type="dxa"/>
            <w:gridSpan w:val="2"/>
            <w:tcBorders>
              <w:left w:val="single" w:color="000000" w:sz="4" w:space="0"/>
              <w:bottom w:val="single" w:color="000000" w:sz="4" w:space="0"/>
            </w:tcBorders>
            <w:vAlign w:val="top"/>
          </w:tcPr>
          <w:p>
            <w:pPr>
              <w:spacing w:before="201" w:line="215" w:lineRule="auto"/>
              <w:ind w:left="1172"/>
              <w:rPr>
                <w:rFonts w:ascii="宋体" w:hAnsi="宋体" w:eastAsia="宋体" w:cs="宋体"/>
                <w:sz w:val="18"/>
                <w:szCs w:val="18"/>
              </w:rPr>
            </w:pPr>
            <w:r>
              <w:rPr>
                <w:rFonts w:ascii="宋体" w:hAnsi="宋体" w:eastAsia="宋体" w:cs="宋体"/>
                <w:spacing w:val="-4"/>
                <w:sz w:val="18"/>
                <w:szCs w:val="18"/>
              </w:rPr>
              <w:t>仿古建筑工程</w:t>
            </w:r>
          </w:p>
        </w:tc>
        <w:tc>
          <w:tcPr>
            <w:tcW w:w="2783" w:type="dxa"/>
            <w:gridSpan w:val="3"/>
            <w:tcBorders>
              <w:bottom w:val="single" w:color="000000" w:sz="4" w:space="0"/>
            </w:tcBorders>
            <w:vAlign w:val="top"/>
          </w:tcPr>
          <w:p>
            <w:pPr>
              <w:spacing w:before="191" w:line="260" w:lineRule="exact"/>
              <w:ind w:left="1180"/>
              <w:rPr>
                <w:rFonts w:ascii="宋体" w:hAnsi="宋体" w:eastAsia="宋体" w:cs="宋体"/>
                <w:sz w:val="18"/>
                <w:szCs w:val="18"/>
              </w:rPr>
            </w:pPr>
            <w:r>
              <w:rPr>
                <w:rFonts w:ascii="宋体" w:hAnsi="宋体" w:eastAsia="宋体" w:cs="宋体"/>
                <w:spacing w:val="-13"/>
                <w:position w:val="2"/>
                <w:sz w:val="18"/>
                <w:szCs w:val="18"/>
              </w:rPr>
              <w:t>30.59</w:t>
            </w:r>
          </w:p>
        </w:tc>
        <w:tc>
          <w:tcPr>
            <w:tcW w:w="2886" w:type="dxa"/>
            <w:gridSpan w:val="3"/>
            <w:tcBorders>
              <w:bottom w:val="single" w:color="000000" w:sz="4" w:space="0"/>
              <w:right w:val="single" w:color="000000" w:sz="4" w:space="0"/>
            </w:tcBorders>
            <w:vAlign w:val="top"/>
          </w:tcPr>
          <w:p>
            <w:pPr>
              <w:spacing w:before="191" w:line="260" w:lineRule="exact"/>
              <w:ind w:left="1253"/>
              <w:rPr>
                <w:rFonts w:ascii="宋体" w:hAnsi="宋体" w:eastAsia="宋体" w:cs="宋体"/>
                <w:sz w:val="18"/>
                <w:szCs w:val="18"/>
              </w:rPr>
            </w:pPr>
            <w:r>
              <w:rPr>
                <w:rFonts w:ascii="宋体" w:hAnsi="宋体" w:eastAsia="宋体" w:cs="宋体"/>
                <w:spacing w:val="-16"/>
                <w:position w:val="1"/>
                <w:sz w:val="18"/>
                <w:szCs w:val="18"/>
              </w:rPr>
              <w:t>13.13</w:t>
            </w:r>
          </w:p>
        </w:tc>
      </w:tr>
    </w:tbl>
    <w:p>
      <w:pPr>
        <w:rPr>
          <w:rFonts w:ascii="Arial"/>
          <w:sz w:val="21"/>
        </w:rPr>
      </w:pPr>
    </w:p>
    <w:p>
      <w:pPr>
        <w:rPr>
          <w:rFonts w:ascii="Arial" w:hAnsi="Arial" w:eastAsia="Arial" w:cs="Arial"/>
          <w:sz w:val="21"/>
          <w:szCs w:val="21"/>
        </w:rPr>
        <w:sectPr>
          <w:footerReference r:id="rId223" w:type="default"/>
          <w:pgSz w:w="11905" w:h="16840"/>
          <w:pgMar w:top="400" w:right="1398" w:bottom="1213" w:left="1416" w:header="0" w:footer="898" w:gutter="0"/>
        </w:sect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5" w:line="277" w:lineRule="exact"/>
        <w:ind w:left="453"/>
        <w:rPr>
          <w:rFonts w:ascii="宋体" w:hAnsi="宋体" w:eastAsia="宋体" w:cs="宋体"/>
          <w:sz w:val="20"/>
          <w:szCs w:val="20"/>
        </w:rPr>
      </w:pPr>
      <w:r>
        <w:rPr>
          <w:rFonts w:ascii="宋体" w:hAnsi="宋体" w:eastAsia="宋体" w:cs="宋体"/>
          <w:spacing w:val="15"/>
          <w:position w:val="1"/>
          <w:sz w:val="20"/>
          <w:szCs w:val="20"/>
        </w:rPr>
        <w:t>2.</w:t>
      </w:r>
      <w:r>
        <w:rPr>
          <w:rFonts w:ascii="宋体" w:hAnsi="宋体" w:eastAsia="宋体" w:cs="宋体"/>
          <w:spacing w:val="47"/>
          <w:position w:val="1"/>
          <w:sz w:val="20"/>
          <w:szCs w:val="20"/>
        </w:rPr>
        <w:t xml:space="preserve"> </w:t>
      </w:r>
      <w:r>
        <w:rPr>
          <w:rFonts w:ascii="宋体" w:hAnsi="宋体" w:eastAsia="宋体" w:cs="宋体"/>
          <w:spacing w:val="15"/>
          <w:position w:val="1"/>
          <w:sz w:val="20"/>
          <w:szCs w:val="20"/>
        </w:rPr>
        <w:t>简易计税法（单位：</w:t>
      </w:r>
      <w:r>
        <w:rPr>
          <w:rFonts w:ascii="宋体" w:hAnsi="宋体" w:eastAsia="宋体" w:cs="宋体"/>
          <w:spacing w:val="-50"/>
          <w:position w:val="1"/>
          <w:sz w:val="20"/>
          <w:szCs w:val="20"/>
        </w:rPr>
        <w:t xml:space="preserve"> </w:t>
      </w:r>
      <w:r>
        <w:rPr>
          <w:rFonts w:ascii="宋体" w:hAnsi="宋体" w:eastAsia="宋体" w:cs="宋体"/>
          <w:spacing w:val="15"/>
          <w:position w:val="1"/>
          <w:sz w:val="20"/>
          <w:szCs w:val="20"/>
        </w:rPr>
        <w:t>%）</w:t>
      </w:r>
    </w:p>
    <w:p>
      <w:pPr>
        <w:spacing w:line="110"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2"/>
        <w:gridCol w:w="2254"/>
        <w:gridCol w:w="949"/>
        <w:gridCol w:w="950"/>
        <w:gridCol w:w="948"/>
        <w:gridCol w:w="950"/>
        <w:gridCol w:w="949"/>
        <w:gridCol w:w="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0" w:hRule="atLeast"/>
        </w:trPr>
        <w:tc>
          <w:tcPr>
            <w:tcW w:w="3366" w:type="dxa"/>
            <w:gridSpan w:val="2"/>
            <w:vMerge w:val="restart"/>
            <w:tcBorders>
              <w:top w:val="single" w:color="000000" w:sz="4" w:space="0"/>
              <w:left w:val="single" w:color="000000" w:sz="4" w:space="0"/>
              <w:bottom w:val="nil"/>
              <w:tl2br w:val="single" w:color="000000" w:sz="4" w:space="0"/>
            </w:tcBorders>
            <w:vAlign w:val="top"/>
          </w:tcPr>
          <w:p>
            <w:pPr>
              <w:spacing w:before="252" w:line="260" w:lineRule="auto"/>
              <w:ind w:left="304" w:right="453" w:firstLine="1897"/>
              <w:rPr>
                <w:rFonts w:ascii="微软雅黑" w:hAnsi="微软雅黑" w:eastAsia="微软雅黑" w:cs="微软雅黑"/>
                <w:sz w:val="18"/>
                <w:szCs w:val="18"/>
              </w:rPr>
            </w:pPr>
            <w:r>
              <w:rPr>
                <w:rFonts w:ascii="微软雅黑" w:hAnsi="微软雅黑" w:eastAsia="微软雅黑" w:cs="微软雅黑"/>
                <w:spacing w:val="-5"/>
                <w:sz w:val="18"/>
                <w:szCs w:val="18"/>
              </w:rPr>
              <w:t>费用名称专业名称</w:t>
            </w:r>
          </w:p>
        </w:tc>
        <w:tc>
          <w:tcPr>
            <w:tcW w:w="2847" w:type="dxa"/>
            <w:gridSpan w:val="3"/>
            <w:tcBorders>
              <w:top w:val="single" w:color="000000" w:sz="4" w:space="0"/>
            </w:tcBorders>
            <w:vAlign w:val="top"/>
          </w:tcPr>
          <w:p>
            <w:pPr>
              <w:spacing w:before="158" w:line="202" w:lineRule="auto"/>
              <w:ind w:left="985"/>
              <w:rPr>
                <w:rFonts w:ascii="微软雅黑" w:hAnsi="微软雅黑" w:eastAsia="微软雅黑" w:cs="微软雅黑"/>
                <w:sz w:val="18"/>
                <w:szCs w:val="18"/>
              </w:rPr>
            </w:pPr>
            <w:r>
              <w:rPr>
                <w:rFonts w:ascii="微软雅黑" w:hAnsi="微软雅黑" w:eastAsia="微软雅黑" w:cs="微软雅黑"/>
                <w:spacing w:val="-4"/>
                <w:sz w:val="18"/>
                <w:szCs w:val="18"/>
              </w:rPr>
              <w:t>企业管理费</w:t>
            </w:r>
          </w:p>
        </w:tc>
        <w:tc>
          <w:tcPr>
            <w:tcW w:w="2866" w:type="dxa"/>
            <w:gridSpan w:val="3"/>
            <w:tcBorders>
              <w:top w:val="single" w:color="000000" w:sz="4" w:space="0"/>
              <w:right w:val="single" w:color="000000" w:sz="4" w:space="0"/>
            </w:tcBorders>
            <w:vAlign w:val="top"/>
          </w:tcPr>
          <w:p>
            <w:pPr>
              <w:spacing w:before="160" w:line="203" w:lineRule="auto"/>
              <w:ind w:left="1265"/>
              <w:rPr>
                <w:rFonts w:ascii="微软雅黑" w:hAnsi="微软雅黑" w:eastAsia="微软雅黑" w:cs="微软雅黑"/>
                <w:sz w:val="18"/>
                <w:szCs w:val="18"/>
              </w:rPr>
            </w:pPr>
            <w:r>
              <w:rPr>
                <w:rFonts w:ascii="微软雅黑" w:hAnsi="微软雅黑" w:eastAsia="微软雅黑" w:cs="微软雅黑"/>
                <w:spacing w:val="-5"/>
                <w:sz w:val="18"/>
                <w:szCs w:val="18"/>
              </w:rPr>
              <w:t>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trPr>
        <w:tc>
          <w:tcPr>
            <w:tcW w:w="3366" w:type="dxa"/>
            <w:gridSpan w:val="2"/>
            <w:vMerge w:val="continue"/>
            <w:tcBorders>
              <w:top w:val="nil"/>
              <w:left w:val="single" w:color="000000" w:sz="4" w:space="0"/>
              <w:tl2br w:val="single" w:color="000000" w:sz="4" w:space="0"/>
            </w:tcBorders>
            <w:vAlign w:val="top"/>
          </w:tcPr>
          <w:p>
            <w:pPr>
              <w:pStyle w:val="6"/>
            </w:pPr>
          </w:p>
        </w:tc>
        <w:tc>
          <w:tcPr>
            <w:tcW w:w="949" w:type="dxa"/>
            <w:vAlign w:val="top"/>
          </w:tcPr>
          <w:p>
            <w:pPr>
              <w:spacing w:before="190" w:line="256" w:lineRule="exact"/>
              <w:ind w:left="447"/>
              <w:rPr>
                <w:rFonts w:ascii="宋体" w:hAnsi="宋体" w:eastAsia="宋体" w:cs="宋体"/>
                <w:sz w:val="18"/>
                <w:szCs w:val="18"/>
              </w:rPr>
            </w:pPr>
            <w:r>
              <w:rPr>
                <w:rFonts w:ascii="宋体" w:hAnsi="宋体" w:eastAsia="宋体" w:cs="宋体"/>
                <w:position w:val="1"/>
                <w:sz w:val="18"/>
                <w:szCs w:val="18"/>
              </w:rPr>
              <w:t>I</w:t>
            </w:r>
          </w:p>
        </w:tc>
        <w:tc>
          <w:tcPr>
            <w:tcW w:w="950" w:type="dxa"/>
            <w:vAlign w:val="top"/>
          </w:tcPr>
          <w:p>
            <w:pPr>
              <w:spacing w:before="204" w:line="197" w:lineRule="auto"/>
              <w:ind w:left="461"/>
              <w:rPr>
                <w:rFonts w:ascii="宋体" w:hAnsi="宋体" w:eastAsia="宋体" w:cs="宋体"/>
                <w:sz w:val="18"/>
                <w:szCs w:val="18"/>
              </w:rPr>
            </w:pPr>
            <w:r>
              <w:rPr>
                <w:rFonts w:ascii="宋体" w:hAnsi="宋体" w:eastAsia="宋体" w:cs="宋体"/>
                <w:sz w:val="18"/>
                <w:szCs w:val="18"/>
              </w:rPr>
              <w:t>Ⅱ</w:t>
            </w:r>
          </w:p>
        </w:tc>
        <w:tc>
          <w:tcPr>
            <w:tcW w:w="948" w:type="dxa"/>
            <w:vAlign w:val="top"/>
          </w:tcPr>
          <w:p>
            <w:pPr>
              <w:spacing w:before="205" w:line="195" w:lineRule="auto"/>
              <w:ind w:left="418"/>
              <w:rPr>
                <w:rFonts w:ascii="宋体" w:hAnsi="宋体" w:eastAsia="宋体" w:cs="宋体"/>
                <w:sz w:val="18"/>
                <w:szCs w:val="18"/>
              </w:rPr>
            </w:pPr>
            <w:r>
              <w:rPr>
                <w:rFonts w:ascii="宋体" w:hAnsi="宋体" w:eastAsia="宋体" w:cs="宋体"/>
                <w:sz w:val="18"/>
                <w:szCs w:val="18"/>
              </w:rPr>
              <w:t>Ⅲ</w:t>
            </w:r>
          </w:p>
        </w:tc>
        <w:tc>
          <w:tcPr>
            <w:tcW w:w="950" w:type="dxa"/>
            <w:vAlign w:val="top"/>
          </w:tcPr>
          <w:p>
            <w:pPr>
              <w:spacing w:before="190" w:line="256" w:lineRule="exact"/>
              <w:ind w:left="456"/>
              <w:rPr>
                <w:rFonts w:ascii="宋体" w:hAnsi="宋体" w:eastAsia="宋体" w:cs="宋体"/>
                <w:sz w:val="18"/>
                <w:szCs w:val="18"/>
              </w:rPr>
            </w:pPr>
            <w:r>
              <w:rPr>
                <w:rFonts w:ascii="宋体" w:hAnsi="宋体" w:eastAsia="宋体" w:cs="宋体"/>
                <w:position w:val="1"/>
                <w:sz w:val="18"/>
                <w:szCs w:val="18"/>
              </w:rPr>
              <w:t>I</w:t>
            </w:r>
          </w:p>
        </w:tc>
        <w:tc>
          <w:tcPr>
            <w:tcW w:w="949" w:type="dxa"/>
            <w:vAlign w:val="top"/>
          </w:tcPr>
          <w:p>
            <w:pPr>
              <w:spacing w:before="204" w:line="197" w:lineRule="auto"/>
              <w:ind w:left="469"/>
              <w:rPr>
                <w:rFonts w:ascii="宋体" w:hAnsi="宋体" w:eastAsia="宋体" w:cs="宋体"/>
                <w:sz w:val="18"/>
                <w:szCs w:val="18"/>
              </w:rPr>
            </w:pPr>
            <w:r>
              <w:rPr>
                <w:rFonts w:ascii="宋体" w:hAnsi="宋体" w:eastAsia="宋体" w:cs="宋体"/>
                <w:sz w:val="18"/>
                <w:szCs w:val="18"/>
              </w:rPr>
              <w:t>Ⅱ</w:t>
            </w:r>
          </w:p>
        </w:tc>
        <w:tc>
          <w:tcPr>
            <w:tcW w:w="967" w:type="dxa"/>
            <w:tcBorders>
              <w:right w:val="single" w:color="000000" w:sz="4" w:space="0"/>
            </w:tcBorders>
            <w:vAlign w:val="top"/>
          </w:tcPr>
          <w:p>
            <w:pPr>
              <w:spacing w:before="205" w:line="195" w:lineRule="auto"/>
              <w:ind w:left="427"/>
              <w:rPr>
                <w:rFonts w:ascii="宋体" w:hAnsi="宋体" w:eastAsia="宋体" w:cs="宋体"/>
                <w:sz w:val="18"/>
                <w:szCs w:val="18"/>
              </w:rPr>
            </w:pPr>
            <w:r>
              <w:rPr>
                <w:rFonts w:ascii="宋体" w:hAnsi="宋体" w:eastAsia="宋体" w:cs="宋体"/>
                <w:sz w:val="18"/>
                <w:szCs w:val="18"/>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restart"/>
            <w:tcBorders>
              <w:left w:val="single" w:color="000000" w:sz="4" w:space="0"/>
              <w:bottom w:val="nil"/>
            </w:tcBorders>
            <w:vAlign w:val="top"/>
          </w:tcPr>
          <w:p>
            <w:pPr>
              <w:pStyle w:val="6"/>
              <w:spacing w:line="292" w:lineRule="auto"/>
            </w:pPr>
          </w:p>
          <w:p>
            <w:pPr>
              <w:pStyle w:val="6"/>
              <w:spacing w:line="292" w:lineRule="auto"/>
            </w:pPr>
          </w:p>
          <w:p>
            <w:pPr>
              <w:pStyle w:val="6"/>
              <w:spacing w:line="293" w:lineRule="auto"/>
            </w:pPr>
          </w:p>
          <w:p>
            <w:pPr>
              <w:spacing w:before="58" w:line="215" w:lineRule="auto"/>
              <w:ind w:left="201"/>
              <w:rPr>
                <w:rFonts w:ascii="宋体" w:hAnsi="宋体" w:eastAsia="宋体" w:cs="宋体"/>
                <w:sz w:val="18"/>
                <w:szCs w:val="18"/>
              </w:rPr>
            </w:pPr>
            <w:r>
              <w:rPr>
                <w:rFonts w:ascii="宋体" w:hAnsi="宋体" w:eastAsia="宋体" w:cs="宋体"/>
                <w:spacing w:val="-4"/>
                <w:sz w:val="18"/>
                <w:szCs w:val="18"/>
              </w:rPr>
              <w:t>建筑工程</w:t>
            </w:r>
          </w:p>
        </w:tc>
        <w:tc>
          <w:tcPr>
            <w:tcW w:w="2254" w:type="dxa"/>
            <w:vAlign w:val="top"/>
          </w:tcPr>
          <w:p>
            <w:pPr>
              <w:spacing w:before="161" w:line="215" w:lineRule="auto"/>
              <w:ind w:left="769"/>
              <w:rPr>
                <w:rFonts w:ascii="宋体" w:hAnsi="宋体" w:eastAsia="宋体" w:cs="宋体"/>
                <w:sz w:val="18"/>
                <w:szCs w:val="18"/>
              </w:rPr>
            </w:pPr>
            <w:r>
              <w:rPr>
                <w:rFonts w:ascii="宋体" w:hAnsi="宋体" w:eastAsia="宋体" w:cs="宋体"/>
                <w:spacing w:val="-4"/>
                <w:sz w:val="18"/>
                <w:szCs w:val="18"/>
              </w:rPr>
              <w:t>建筑工程</w:t>
            </w:r>
          </w:p>
        </w:tc>
        <w:tc>
          <w:tcPr>
            <w:tcW w:w="949" w:type="dxa"/>
            <w:vAlign w:val="top"/>
          </w:tcPr>
          <w:p>
            <w:pPr>
              <w:spacing w:before="163" w:line="259" w:lineRule="exact"/>
              <w:ind w:left="262"/>
              <w:rPr>
                <w:rFonts w:ascii="宋体" w:hAnsi="宋体" w:eastAsia="宋体" w:cs="宋体"/>
                <w:sz w:val="18"/>
                <w:szCs w:val="18"/>
              </w:rPr>
            </w:pPr>
            <w:r>
              <w:rPr>
                <w:rFonts w:ascii="宋体" w:hAnsi="宋体" w:eastAsia="宋体" w:cs="宋体"/>
                <w:spacing w:val="-13"/>
                <w:position w:val="2"/>
                <w:sz w:val="18"/>
                <w:szCs w:val="18"/>
              </w:rPr>
              <w:t>38.97</w:t>
            </w:r>
          </w:p>
        </w:tc>
        <w:tc>
          <w:tcPr>
            <w:tcW w:w="950" w:type="dxa"/>
            <w:vAlign w:val="top"/>
          </w:tcPr>
          <w:p>
            <w:pPr>
              <w:spacing w:before="163" w:line="259" w:lineRule="exact"/>
              <w:ind w:left="260"/>
              <w:rPr>
                <w:rFonts w:ascii="宋体" w:hAnsi="宋体" w:eastAsia="宋体" w:cs="宋体"/>
                <w:sz w:val="18"/>
                <w:szCs w:val="18"/>
              </w:rPr>
            </w:pPr>
            <w:r>
              <w:rPr>
                <w:rFonts w:ascii="宋体" w:hAnsi="宋体" w:eastAsia="宋体" w:cs="宋体"/>
                <w:spacing w:val="-12"/>
                <w:position w:val="2"/>
                <w:sz w:val="18"/>
                <w:szCs w:val="18"/>
              </w:rPr>
              <w:t>29.93</w:t>
            </w:r>
          </w:p>
        </w:tc>
        <w:tc>
          <w:tcPr>
            <w:tcW w:w="948" w:type="dxa"/>
            <w:vAlign w:val="top"/>
          </w:tcPr>
          <w:p>
            <w:pPr>
              <w:spacing w:before="163" w:line="259" w:lineRule="exact"/>
              <w:ind w:left="263"/>
              <w:rPr>
                <w:rFonts w:ascii="宋体" w:hAnsi="宋体" w:eastAsia="宋体" w:cs="宋体"/>
                <w:sz w:val="18"/>
                <w:szCs w:val="18"/>
              </w:rPr>
            </w:pPr>
            <w:r>
              <w:rPr>
                <w:rFonts w:ascii="宋体" w:hAnsi="宋体" w:eastAsia="宋体" w:cs="宋体"/>
                <w:spacing w:val="-12"/>
                <w:position w:val="2"/>
                <w:sz w:val="18"/>
                <w:szCs w:val="18"/>
              </w:rPr>
              <w:t>23.09</w:t>
            </w:r>
          </w:p>
        </w:tc>
        <w:tc>
          <w:tcPr>
            <w:tcW w:w="950" w:type="dxa"/>
            <w:vAlign w:val="top"/>
          </w:tcPr>
          <w:p>
            <w:pPr>
              <w:spacing w:before="163" w:line="259" w:lineRule="exact"/>
              <w:ind w:left="271"/>
              <w:rPr>
                <w:rFonts w:ascii="宋体" w:hAnsi="宋体" w:eastAsia="宋体" w:cs="宋体"/>
                <w:sz w:val="18"/>
                <w:szCs w:val="18"/>
              </w:rPr>
            </w:pPr>
            <w:r>
              <w:rPr>
                <w:rFonts w:ascii="宋体" w:hAnsi="宋体" w:eastAsia="宋体" w:cs="宋体"/>
                <w:spacing w:val="-13"/>
                <w:position w:val="1"/>
                <w:sz w:val="18"/>
                <w:szCs w:val="18"/>
              </w:rPr>
              <w:t>32.13</w:t>
            </w:r>
          </w:p>
        </w:tc>
        <w:tc>
          <w:tcPr>
            <w:tcW w:w="949" w:type="dxa"/>
            <w:vAlign w:val="top"/>
          </w:tcPr>
          <w:p>
            <w:pPr>
              <w:spacing w:before="163" w:line="259" w:lineRule="exact"/>
              <w:ind w:left="293"/>
              <w:rPr>
                <w:rFonts w:ascii="宋体" w:hAnsi="宋体" w:eastAsia="宋体" w:cs="宋体"/>
                <w:sz w:val="18"/>
                <w:szCs w:val="18"/>
              </w:rPr>
            </w:pPr>
            <w:r>
              <w:rPr>
                <w:rFonts w:ascii="宋体" w:hAnsi="宋体" w:eastAsia="宋体" w:cs="宋体"/>
                <w:spacing w:val="-16"/>
                <w:position w:val="1"/>
                <w:sz w:val="18"/>
                <w:szCs w:val="18"/>
              </w:rPr>
              <w:t>17.61</w:t>
            </w:r>
          </w:p>
        </w:tc>
        <w:tc>
          <w:tcPr>
            <w:tcW w:w="967" w:type="dxa"/>
            <w:tcBorders>
              <w:right w:val="single" w:color="000000" w:sz="4" w:space="0"/>
            </w:tcBorders>
            <w:vAlign w:val="top"/>
          </w:tcPr>
          <w:p>
            <w:pPr>
              <w:spacing w:before="163" w:line="259" w:lineRule="exact"/>
              <w:ind w:left="299"/>
              <w:rPr>
                <w:rFonts w:ascii="宋体" w:hAnsi="宋体" w:eastAsia="宋体" w:cs="宋体"/>
                <w:sz w:val="18"/>
                <w:szCs w:val="18"/>
              </w:rPr>
            </w:pPr>
            <w:r>
              <w:rPr>
                <w:rFonts w:ascii="宋体" w:hAnsi="宋体" w:eastAsia="宋体" w:cs="宋体"/>
                <w:spacing w:val="-16"/>
                <w:position w:val="1"/>
                <w:sz w:val="18"/>
                <w:szCs w:val="18"/>
              </w:rPr>
              <w:t>13.59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4" w:line="212" w:lineRule="auto"/>
              <w:ind w:left="682"/>
              <w:rPr>
                <w:rFonts w:ascii="宋体" w:hAnsi="宋体" w:eastAsia="宋体" w:cs="宋体"/>
                <w:sz w:val="18"/>
                <w:szCs w:val="18"/>
              </w:rPr>
            </w:pPr>
            <w:r>
              <w:rPr>
                <w:rFonts w:ascii="宋体" w:hAnsi="宋体" w:eastAsia="宋体" w:cs="宋体"/>
                <w:spacing w:val="-4"/>
                <w:sz w:val="18"/>
                <w:szCs w:val="18"/>
              </w:rPr>
              <w:t>构筑物工程</w:t>
            </w:r>
          </w:p>
        </w:tc>
        <w:tc>
          <w:tcPr>
            <w:tcW w:w="949" w:type="dxa"/>
            <w:vAlign w:val="top"/>
          </w:tcPr>
          <w:p>
            <w:pPr>
              <w:spacing w:before="163" w:line="260" w:lineRule="exact"/>
              <w:ind w:left="262"/>
              <w:rPr>
                <w:rFonts w:ascii="宋体" w:hAnsi="宋体" w:eastAsia="宋体" w:cs="宋体"/>
                <w:sz w:val="18"/>
                <w:szCs w:val="18"/>
              </w:rPr>
            </w:pPr>
            <w:r>
              <w:rPr>
                <w:rFonts w:ascii="宋体" w:hAnsi="宋体" w:eastAsia="宋体" w:cs="宋体"/>
                <w:spacing w:val="-13"/>
                <w:position w:val="1"/>
                <w:sz w:val="18"/>
                <w:szCs w:val="18"/>
              </w:rPr>
              <w:t>31.12</w:t>
            </w:r>
          </w:p>
        </w:tc>
        <w:tc>
          <w:tcPr>
            <w:tcW w:w="950" w:type="dxa"/>
            <w:vAlign w:val="top"/>
          </w:tcPr>
          <w:p>
            <w:pPr>
              <w:spacing w:before="163" w:line="260" w:lineRule="exact"/>
              <w:ind w:left="260"/>
              <w:rPr>
                <w:rFonts w:ascii="宋体" w:hAnsi="宋体" w:eastAsia="宋体" w:cs="宋体"/>
                <w:sz w:val="18"/>
                <w:szCs w:val="18"/>
              </w:rPr>
            </w:pPr>
            <w:r>
              <w:rPr>
                <w:rFonts w:ascii="宋体" w:hAnsi="宋体" w:eastAsia="宋体" w:cs="宋体"/>
                <w:spacing w:val="-12"/>
                <w:position w:val="2"/>
                <w:sz w:val="18"/>
                <w:szCs w:val="18"/>
              </w:rPr>
              <w:t>27.07</w:t>
            </w:r>
          </w:p>
        </w:tc>
        <w:tc>
          <w:tcPr>
            <w:tcW w:w="948" w:type="dxa"/>
            <w:vAlign w:val="top"/>
          </w:tcPr>
          <w:p>
            <w:pPr>
              <w:spacing w:before="163" w:line="260" w:lineRule="exact"/>
              <w:ind w:left="290"/>
              <w:rPr>
                <w:rFonts w:ascii="宋体" w:hAnsi="宋体" w:eastAsia="宋体" w:cs="宋体"/>
                <w:sz w:val="18"/>
                <w:szCs w:val="18"/>
              </w:rPr>
            </w:pPr>
            <w:r>
              <w:rPr>
                <w:rFonts w:ascii="宋体" w:hAnsi="宋体" w:eastAsia="宋体" w:cs="宋体"/>
                <w:spacing w:val="-16"/>
                <w:position w:val="1"/>
                <w:sz w:val="18"/>
                <w:szCs w:val="18"/>
              </w:rPr>
              <w:t>18.81</w:t>
            </w:r>
          </w:p>
        </w:tc>
        <w:tc>
          <w:tcPr>
            <w:tcW w:w="950" w:type="dxa"/>
            <w:vAlign w:val="top"/>
          </w:tcPr>
          <w:p>
            <w:pPr>
              <w:spacing w:before="163" w:line="260" w:lineRule="exact"/>
              <w:ind w:left="268"/>
              <w:rPr>
                <w:rFonts w:ascii="宋体" w:hAnsi="宋体" w:eastAsia="宋体" w:cs="宋体"/>
                <w:sz w:val="18"/>
                <w:szCs w:val="18"/>
              </w:rPr>
            </w:pPr>
            <w:r>
              <w:rPr>
                <w:rFonts w:ascii="宋体" w:hAnsi="宋体" w:eastAsia="宋体" w:cs="宋体"/>
                <w:spacing w:val="-12"/>
                <w:position w:val="2"/>
                <w:sz w:val="18"/>
                <w:szCs w:val="18"/>
              </w:rPr>
              <w:t>26.93</w:t>
            </w:r>
          </w:p>
        </w:tc>
        <w:tc>
          <w:tcPr>
            <w:tcW w:w="949" w:type="dxa"/>
            <w:vAlign w:val="top"/>
          </w:tcPr>
          <w:p>
            <w:pPr>
              <w:spacing w:before="163" w:line="260" w:lineRule="exact"/>
              <w:ind w:left="268"/>
              <w:rPr>
                <w:rFonts w:ascii="宋体" w:hAnsi="宋体" w:eastAsia="宋体" w:cs="宋体"/>
                <w:sz w:val="18"/>
                <w:szCs w:val="18"/>
              </w:rPr>
            </w:pPr>
            <w:r>
              <w:rPr>
                <w:rFonts w:ascii="宋体" w:hAnsi="宋体" w:eastAsia="宋体" w:cs="宋体"/>
                <w:spacing w:val="-12"/>
                <w:position w:val="2"/>
                <w:sz w:val="18"/>
                <w:szCs w:val="18"/>
              </w:rPr>
              <w:t>20.99</w:t>
            </w:r>
          </w:p>
        </w:tc>
        <w:tc>
          <w:tcPr>
            <w:tcW w:w="967" w:type="dxa"/>
            <w:tcBorders>
              <w:right w:val="single" w:color="000000" w:sz="4" w:space="0"/>
            </w:tcBorders>
            <w:vAlign w:val="top"/>
          </w:tcPr>
          <w:p>
            <w:pPr>
              <w:spacing w:before="163" w:line="260" w:lineRule="exact"/>
              <w:ind w:left="299"/>
              <w:rPr>
                <w:rFonts w:ascii="宋体" w:hAnsi="宋体" w:eastAsia="宋体" w:cs="宋体"/>
                <w:sz w:val="18"/>
                <w:szCs w:val="18"/>
              </w:rPr>
            </w:pPr>
            <w:r>
              <w:rPr>
                <w:rFonts w:ascii="宋体" w:hAnsi="宋体" w:eastAsia="宋体" w:cs="宋体"/>
                <w:spacing w:val="-16"/>
                <w:position w:val="1"/>
                <w:sz w:val="18"/>
                <w:szCs w:val="18"/>
              </w:rPr>
              <w:t>10.51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4" w:line="213" w:lineRule="auto"/>
              <w:ind w:left="497"/>
              <w:rPr>
                <w:rFonts w:ascii="宋体" w:hAnsi="宋体" w:eastAsia="宋体" w:cs="宋体"/>
                <w:sz w:val="18"/>
                <w:szCs w:val="18"/>
              </w:rPr>
            </w:pPr>
            <w:r>
              <w:rPr>
                <w:rFonts w:ascii="宋体" w:hAnsi="宋体" w:eastAsia="宋体" w:cs="宋体"/>
                <w:spacing w:val="-4"/>
                <w:sz w:val="18"/>
                <w:szCs w:val="18"/>
              </w:rPr>
              <w:t>单独土石方工程</w:t>
            </w:r>
          </w:p>
        </w:tc>
        <w:tc>
          <w:tcPr>
            <w:tcW w:w="949" w:type="dxa"/>
            <w:vAlign w:val="top"/>
          </w:tcPr>
          <w:p>
            <w:pPr>
              <w:spacing w:before="167" w:line="260" w:lineRule="exact"/>
              <w:ind w:left="259"/>
              <w:rPr>
                <w:rFonts w:ascii="宋体" w:hAnsi="宋体" w:eastAsia="宋体" w:cs="宋体"/>
                <w:sz w:val="18"/>
                <w:szCs w:val="18"/>
              </w:rPr>
            </w:pPr>
            <w:r>
              <w:rPr>
                <w:rFonts w:ascii="宋体" w:hAnsi="宋体" w:eastAsia="宋体" w:cs="宋体"/>
                <w:spacing w:val="-12"/>
                <w:position w:val="2"/>
                <w:sz w:val="18"/>
                <w:szCs w:val="18"/>
              </w:rPr>
              <w:t>25.98</w:t>
            </w:r>
          </w:p>
        </w:tc>
        <w:tc>
          <w:tcPr>
            <w:tcW w:w="950" w:type="dxa"/>
            <w:vAlign w:val="top"/>
          </w:tcPr>
          <w:p>
            <w:pPr>
              <w:spacing w:before="167" w:line="260" w:lineRule="exact"/>
              <w:ind w:left="285"/>
              <w:rPr>
                <w:rFonts w:ascii="宋体" w:hAnsi="宋体" w:eastAsia="宋体" w:cs="宋体"/>
                <w:sz w:val="18"/>
                <w:szCs w:val="18"/>
              </w:rPr>
            </w:pPr>
            <w:r>
              <w:rPr>
                <w:rFonts w:ascii="宋体" w:hAnsi="宋体" w:eastAsia="宋体" w:cs="宋体"/>
                <w:spacing w:val="-16"/>
                <w:position w:val="1"/>
                <w:sz w:val="18"/>
                <w:szCs w:val="18"/>
              </w:rPr>
              <w:t>17.96</w:t>
            </w:r>
          </w:p>
        </w:tc>
        <w:tc>
          <w:tcPr>
            <w:tcW w:w="948" w:type="dxa"/>
            <w:vAlign w:val="top"/>
          </w:tcPr>
          <w:p>
            <w:pPr>
              <w:spacing w:before="167" w:line="260" w:lineRule="exact"/>
              <w:ind w:left="290"/>
              <w:rPr>
                <w:rFonts w:ascii="宋体" w:hAnsi="宋体" w:eastAsia="宋体" w:cs="宋体"/>
                <w:sz w:val="18"/>
                <w:szCs w:val="18"/>
              </w:rPr>
            </w:pPr>
            <w:r>
              <w:rPr>
                <w:rFonts w:ascii="宋体" w:hAnsi="宋体" w:eastAsia="宋体" w:cs="宋体"/>
                <w:spacing w:val="-16"/>
                <w:position w:val="1"/>
                <w:sz w:val="18"/>
                <w:szCs w:val="18"/>
              </w:rPr>
              <w:t>11.82</w:t>
            </w:r>
          </w:p>
        </w:tc>
        <w:tc>
          <w:tcPr>
            <w:tcW w:w="950" w:type="dxa"/>
            <w:vAlign w:val="top"/>
          </w:tcPr>
          <w:p>
            <w:pPr>
              <w:spacing w:before="167" w:line="260" w:lineRule="exact"/>
              <w:ind w:left="268"/>
              <w:rPr>
                <w:rFonts w:ascii="宋体" w:hAnsi="宋体" w:eastAsia="宋体" w:cs="宋体"/>
                <w:sz w:val="18"/>
                <w:szCs w:val="18"/>
              </w:rPr>
            </w:pPr>
            <w:r>
              <w:rPr>
                <w:rFonts w:ascii="宋体" w:hAnsi="宋体" w:eastAsia="宋体" w:cs="宋体"/>
                <w:spacing w:val="-12"/>
                <w:position w:val="2"/>
                <w:sz w:val="18"/>
                <w:szCs w:val="18"/>
              </w:rPr>
              <w:t>20.02</w:t>
            </w:r>
          </w:p>
        </w:tc>
        <w:tc>
          <w:tcPr>
            <w:tcW w:w="949" w:type="dxa"/>
            <w:vAlign w:val="top"/>
          </w:tcPr>
          <w:p>
            <w:pPr>
              <w:spacing w:before="167" w:line="260" w:lineRule="exact"/>
              <w:ind w:left="293"/>
              <w:rPr>
                <w:rFonts w:ascii="宋体" w:hAnsi="宋体" w:eastAsia="宋体" w:cs="宋体"/>
                <w:sz w:val="18"/>
                <w:szCs w:val="18"/>
              </w:rPr>
            </w:pPr>
            <w:r>
              <w:rPr>
                <w:rFonts w:ascii="宋体" w:hAnsi="宋体" w:eastAsia="宋体" w:cs="宋体"/>
                <w:spacing w:val="-16"/>
                <w:position w:val="1"/>
                <w:sz w:val="18"/>
                <w:szCs w:val="18"/>
              </w:rPr>
              <w:t>13.88</w:t>
            </w:r>
          </w:p>
        </w:tc>
        <w:tc>
          <w:tcPr>
            <w:tcW w:w="967" w:type="dxa"/>
            <w:tcBorders>
              <w:right w:val="single" w:color="000000" w:sz="4" w:space="0"/>
            </w:tcBorders>
            <w:vAlign w:val="top"/>
          </w:tcPr>
          <w:p>
            <w:pPr>
              <w:spacing w:before="167" w:line="260" w:lineRule="exact"/>
              <w:ind w:left="316"/>
              <w:rPr>
                <w:rFonts w:ascii="宋体" w:hAnsi="宋体" w:eastAsia="宋体" w:cs="宋体"/>
                <w:sz w:val="18"/>
                <w:szCs w:val="18"/>
              </w:rPr>
            </w:pPr>
            <w:r>
              <w:rPr>
                <w:rFonts w:ascii="宋体" w:hAnsi="宋体" w:eastAsia="宋体" w:cs="宋体"/>
                <w:spacing w:val="-15"/>
                <w:position w:val="1"/>
                <w:sz w:val="18"/>
                <w:szCs w:val="18"/>
              </w:rPr>
              <w:t>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67" w:line="208" w:lineRule="auto"/>
              <w:ind w:left="679"/>
              <w:rPr>
                <w:rFonts w:ascii="宋体" w:hAnsi="宋体" w:eastAsia="宋体" w:cs="宋体"/>
                <w:sz w:val="18"/>
                <w:szCs w:val="18"/>
              </w:rPr>
            </w:pPr>
            <w:r>
              <w:rPr>
                <w:rFonts w:ascii="宋体" w:hAnsi="宋体" w:eastAsia="宋体" w:cs="宋体"/>
                <w:spacing w:val="-4"/>
                <w:sz w:val="18"/>
                <w:szCs w:val="18"/>
              </w:rPr>
              <w:t>桩基础工程</w:t>
            </w:r>
          </w:p>
        </w:tc>
        <w:tc>
          <w:tcPr>
            <w:tcW w:w="949" w:type="dxa"/>
            <w:vAlign w:val="top"/>
          </w:tcPr>
          <w:p>
            <w:pPr>
              <w:spacing w:before="168" w:line="260" w:lineRule="exact"/>
              <w:ind w:left="259"/>
              <w:rPr>
                <w:rFonts w:ascii="宋体" w:hAnsi="宋体" w:eastAsia="宋体" w:cs="宋体"/>
                <w:sz w:val="18"/>
                <w:szCs w:val="18"/>
              </w:rPr>
            </w:pPr>
            <w:r>
              <w:rPr>
                <w:rFonts w:ascii="宋体" w:hAnsi="宋体" w:eastAsia="宋体" w:cs="宋体"/>
                <w:spacing w:val="-12"/>
                <w:position w:val="2"/>
                <w:sz w:val="18"/>
                <w:szCs w:val="18"/>
              </w:rPr>
              <w:t>20.84</w:t>
            </w:r>
          </w:p>
        </w:tc>
        <w:tc>
          <w:tcPr>
            <w:tcW w:w="950" w:type="dxa"/>
            <w:vAlign w:val="top"/>
          </w:tcPr>
          <w:p>
            <w:pPr>
              <w:spacing w:before="168" w:line="260" w:lineRule="exact"/>
              <w:ind w:left="285"/>
              <w:rPr>
                <w:rFonts w:ascii="宋体" w:hAnsi="宋体" w:eastAsia="宋体" w:cs="宋体"/>
                <w:sz w:val="18"/>
                <w:szCs w:val="18"/>
              </w:rPr>
            </w:pPr>
            <w:r>
              <w:rPr>
                <w:rFonts w:ascii="宋体" w:hAnsi="宋体" w:eastAsia="宋体" w:cs="宋体"/>
                <w:spacing w:val="-16"/>
                <w:position w:val="1"/>
                <w:sz w:val="18"/>
                <w:szCs w:val="18"/>
              </w:rPr>
              <w:t>15.44</w:t>
            </w:r>
          </w:p>
        </w:tc>
        <w:tc>
          <w:tcPr>
            <w:tcW w:w="948" w:type="dxa"/>
            <w:vAlign w:val="top"/>
          </w:tcPr>
          <w:p>
            <w:pPr>
              <w:spacing w:before="168" w:line="260" w:lineRule="exact"/>
              <w:ind w:left="290"/>
              <w:rPr>
                <w:rFonts w:ascii="宋体" w:hAnsi="宋体" w:eastAsia="宋体" w:cs="宋体"/>
                <w:sz w:val="18"/>
                <w:szCs w:val="18"/>
              </w:rPr>
            </w:pPr>
            <w:r>
              <w:rPr>
                <w:rFonts w:ascii="宋体" w:hAnsi="宋体" w:eastAsia="宋体" w:cs="宋体"/>
                <w:spacing w:val="-16"/>
                <w:position w:val="1"/>
                <w:sz w:val="18"/>
                <w:szCs w:val="18"/>
              </w:rPr>
              <w:t>11.82</w:t>
            </w:r>
          </w:p>
        </w:tc>
        <w:tc>
          <w:tcPr>
            <w:tcW w:w="950" w:type="dxa"/>
            <w:vAlign w:val="top"/>
          </w:tcPr>
          <w:p>
            <w:pPr>
              <w:spacing w:before="168" w:line="260" w:lineRule="exact"/>
              <w:ind w:left="292"/>
              <w:rPr>
                <w:rFonts w:ascii="宋体" w:hAnsi="宋体" w:eastAsia="宋体" w:cs="宋体"/>
                <w:sz w:val="18"/>
                <w:szCs w:val="18"/>
              </w:rPr>
            </w:pPr>
            <w:r>
              <w:rPr>
                <w:rFonts w:ascii="宋体" w:hAnsi="宋体" w:eastAsia="宋体" w:cs="宋体"/>
                <w:spacing w:val="-16"/>
                <w:position w:val="1"/>
                <w:sz w:val="18"/>
                <w:szCs w:val="18"/>
              </w:rPr>
              <w:t>15.17</w:t>
            </w:r>
          </w:p>
        </w:tc>
        <w:tc>
          <w:tcPr>
            <w:tcW w:w="949" w:type="dxa"/>
            <w:vAlign w:val="top"/>
          </w:tcPr>
          <w:p>
            <w:pPr>
              <w:spacing w:before="168" w:line="260" w:lineRule="exact"/>
              <w:ind w:left="293"/>
              <w:rPr>
                <w:rFonts w:ascii="宋体" w:hAnsi="宋体" w:eastAsia="宋体" w:cs="宋体"/>
                <w:sz w:val="18"/>
                <w:szCs w:val="18"/>
              </w:rPr>
            </w:pPr>
            <w:r>
              <w:rPr>
                <w:rFonts w:ascii="宋体" w:hAnsi="宋体" w:eastAsia="宋体" w:cs="宋体"/>
                <w:spacing w:val="-16"/>
                <w:position w:val="1"/>
                <w:sz w:val="18"/>
                <w:szCs w:val="18"/>
              </w:rPr>
              <w:t>11.36</w:t>
            </w:r>
          </w:p>
        </w:tc>
        <w:tc>
          <w:tcPr>
            <w:tcW w:w="967" w:type="dxa"/>
            <w:tcBorders>
              <w:right w:val="single" w:color="000000" w:sz="4" w:space="0"/>
            </w:tcBorders>
            <w:vAlign w:val="top"/>
          </w:tcPr>
          <w:p>
            <w:pPr>
              <w:spacing w:before="168" w:line="260" w:lineRule="exact"/>
              <w:ind w:left="310"/>
              <w:rPr>
                <w:rFonts w:ascii="宋体" w:hAnsi="宋体" w:eastAsia="宋体" w:cs="宋体"/>
                <w:sz w:val="18"/>
                <w:szCs w:val="18"/>
              </w:rPr>
            </w:pPr>
            <w:r>
              <w:rPr>
                <w:rFonts w:ascii="宋体" w:hAnsi="宋体" w:eastAsia="宋体" w:cs="宋体"/>
                <w:spacing w:val="-14"/>
                <w:position w:val="2"/>
                <w:sz w:val="18"/>
                <w:szCs w:val="18"/>
              </w:rPr>
              <w:t>4.35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366" w:type="dxa"/>
            <w:gridSpan w:val="2"/>
            <w:tcBorders>
              <w:left w:val="single" w:color="000000" w:sz="4" w:space="0"/>
            </w:tcBorders>
            <w:vAlign w:val="top"/>
          </w:tcPr>
          <w:p>
            <w:pPr>
              <w:spacing w:before="170" w:line="211" w:lineRule="auto"/>
              <w:ind w:left="1326"/>
              <w:rPr>
                <w:rFonts w:ascii="宋体" w:hAnsi="宋体" w:eastAsia="宋体" w:cs="宋体"/>
                <w:sz w:val="18"/>
                <w:szCs w:val="18"/>
              </w:rPr>
            </w:pPr>
            <w:r>
              <w:rPr>
                <w:rFonts w:ascii="宋体" w:hAnsi="宋体" w:eastAsia="宋体" w:cs="宋体"/>
                <w:spacing w:val="-3"/>
                <w:sz w:val="18"/>
                <w:szCs w:val="18"/>
              </w:rPr>
              <w:t>装饰工程</w:t>
            </w:r>
          </w:p>
        </w:tc>
        <w:tc>
          <w:tcPr>
            <w:tcW w:w="949" w:type="dxa"/>
            <w:vAlign w:val="top"/>
          </w:tcPr>
          <w:p>
            <w:pPr>
              <w:spacing w:before="170" w:line="259" w:lineRule="exact"/>
              <w:ind w:left="260"/>
              <w:rPr>
                <w:rFonts w:ascii="宋体" w:hAnsi="宋体" w:eastAsia="宋体" w:cs="宋体"/>
                <w:sz w:val="18"/>
                <w:szCs w:val="18"/>
              </w:rPr>
            </w:pPr>
            <w:r>
              <w:rPr>
                <w:rFonts w:ascii="宋体" w:hAnsi="宋体" w:eastAsia="宋体" w:cs="宋体"/>
                <w:spacing w:val="-12"/>
                <w:position w:val="1"/>
                <w:sz w:val="18"/>
                <w:szCs w:val="18"/>
              </w:rPr>
              <w:t>61.29</w:t>
            </w:r>
          </w:p>
        </w:tc>
        <w:tc>
          <w:tcPr>
            <w:tcW w:w="950" w:type="dxa"/>
            <w:vAlign w:val="top"/>
          </w:tcPr>
          <w:p>
            <w:pPr>
              <w:spacing w:before="170" w:line="259" w:lineRule="exact"/>
              <w:ind w:left="255"/>
              <w:rPr>
                <w:rFonts w:ascii="宋体" w:hAnsi="宋体" w:eastAsia="宋体" w:cs="宋体"/>
                <w:sz w:val="18"/>
                <w:szCs w:val="18"/>
              </w:rPr>
            </w:pPr>
            <w:r>
              <w:rPr>
                <w:rFonts w:ascii="宋体" w:hAnsi="宋体" w:eastAsia="宋体" w:cs="宋体"/>
                <w:spacing w:val="-11"/>
                <w:position w:val="2"/>
                <w:sz w:val="18"/>
                <w:szCs w:val="18"/>
              </w:rPr>
              <w:t>46.76</w:t>
            </w:r>
          </w:p>
        </w:tc>
        <w:tc>
          <w:tcPr>
            <w:tcW w:w="948" w:type="dxa"/>
            <w:vAlign w:val="top"/>
          </w:tcPr>
          <w:p>
            <w:pPr>
              <w:spacing w:before="170" w:line="259" w:lineRule="exact"/>
              <w:ind w:left="263"/>
              <w:rPr>
                <w:rFonts w:ascii="宋体" w:hAnsi="宋体" w:eastAsia="宋体" w:cs="宋体"/>
                <w:sz w:val="18"/>
                <w:szCs w:val="18"/>
              </w:rPr>
            </w:pPr>
            <w:r>
              <w:rPr>
                <w:rFonts w:ascii="宋体" w:hAnsi="宋体" w:eastAsia="宋体" w:cs="宋体"/>
                <w:spacing w:val="-12"/>
                <w:position w:val="2"/>
                <w:sz w:val="18"/>
                <w:szCs w:val="18"/>
              </w:rPr>
              <w:t>29.62</w:t>
            </w:r>
          </w:p>
        </w:tc>
        <w:tc>
          <w:tcPr>
            <w:tcW w:w="950" w:type="dxa"/>
            <w:vAlign w:val="top"/>
          </w:tcPr>
          <w:p>
            <w:pPr>
              <w:spacing w:before="170" w:line="259" w:lineRule="exact"/>
              <w:ind w:left="271"/>
              <w:rPr>
                <w:rFonts w:ascii="宋体" w:hAnsi="宋体" w:eastAsia="宋体" w:cs="宋体"/>
                <w:sz w:val="18"/>
                <w:szCs w:val="18"/>
              </w:rPr>
            </w:pPr>
            <w:r>
              <w:rPr>
                <w:rFonts w:ascii="宋体" w:hAnsi="宋体" w:eastAsia="宋体" w:cs="宋体"/>
                <w:spacing w:val="-13"/>
                <w:position w:val="2"/>
                <w:sz w:val="18"/>
                <w:szCs w:val="18"/>
              </w:rPr>
              <w:t>34.87</w:t>
            </w:r>
          </w:p>
        </w:tc>
        <w:tc>
          <w:tcPr>
            <w:tcW w:w="949" w:type="dxa"/>
            <w:vAlign w:val="top"/>
          </w:tcPr>
          <w:p>
            <w:pPr>
              <w:spacing w:before="170" w:line="259" w:lineRule="exact"/>
              <w:ind w:left="268"/>
              <w:rPr>
                <w:rFonts w:ascii="宋体" w:hAnsi="宋体" w:eastAsia="宋体" w:cs="宋体"/>
                <w:sz w:val="18"/>
                <w:szCs w:val="18"/>
              </w:rPr>
            </w:pPr>
            <w:r>
              <w:rPr>
                <w:rFonts w:ascii="宋体" w:hAnsi="宋体" w:eastAsia="宋体" w:cs="宋体"/>
                <w:spacing w:val="-12"/>
                <w:position w:val="1"/>
                <w:sz w:val="18"/>
                <w:szCs w:val="18"/>
              </w:rPr>
              <w:t>21.30</w:t>
            </w:r>
          </w:p>
        </w:tc>
        <w:tc>
          <w:tcPr>
            <w:tcW w:w="967" w:type="dxa"/>
            <w:tcBorders>
              <w:right w:val="single" w:color="000000" w:sz="4" w:space="0"/>
            </w:tcBorders>
            <w:vAlign w:val="top"/>
          </w:tcPr>
          <w:p>
            <w:pPr>
              <w:spacing w:before="170" w:line="259" w:lineRule="exact"/>
              <w:ind w:left="299"/>
              <w:rPr>
                <w:rFonts w:ascii="宋体" w:hAnsi="宋体" w:eastAsia="宋体" w:cs="宋体"/>
                <w:sz w:val="18"/>
                <w:szCs w:val="18"/>
              </w:rPr>
            </w:pPr>
            <w:r>
              <w:rPr>
                <w:rFonts w:ascii="宋体" w:hAnsi="宋体" w:eastAsia="宋体" w:cs="宋体"/>
                <w:spacing w:val="-16"/>
                <w:position w:val="1"/>
                <w:sz w:val="18"/>
                <w:szCs w:val="18"/>
              </w:rPr>
              <w:t>16.37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3366" w:type="dxa"/>
            <w:gridSpan w:val="2"/>
            <w:tcBorders>
              <w:left w:val="single" w:color="000000" w:sz="4" w:space="0"/>
            </w:tcBorders>
            <w:vAlign w:val="top"/>
          </w:tcPr>
          <w:p>
            <w:pPr>
              <w:spacing w:before="170" w:line="211" w:lineRule="auto"/>
              <w:ind w:left="1330"/>
              <w:rPr>
                <w:rFonts w:ascii="宋体" w:hAnsi="宋体" w:eastAsia="宋体" w:cs="宋体"/>
                <w:sz w:val="18"/>
                <w:szCs w:val="18"/>
              </w:rPr>
            </w:pPr>
            <w:r>
              <w:rPr>
                <w:rFonts w:ascii="宋体" w:hAnsi="宋体" w:eastAsia="宋体" w:cs="宋体"/>
                <w:spacing w:val="-5"/>
                <w:sz w:val="18"/>
                <w:szCs w:val="18"/>
              </w:rPr>
              <w:t>安装工程</w:t>
            </w:r>
          </w:p>
        </w:tc>
        <w:tc>
          <w:tcPr>
            <w:tcW w:w="2847" w:type="dxa"/>
            <w:gridSpan w:val="3"/>
            <w:vAlign w:val="top"/>
          </w:tcPr>
          <w:p>
            <w:pPr>
              <w:spacing w:before="169" w:line="260" w:lineRule="exact"/>
              <w:ind w:left="1204"/>
              <w:rPr>
                <w:rFonts w:ascii="宋体" w:hAnsi="宋体" w:eastAsia="宋体" w:cs="宋体"/>
                <w:sz w:val="18"/>
                <w:szCs w:val="18"/>
              </w:rPr>
            </w:pPr>
            <w:r>
              <w:rPr>
                <w:rFonts w:ascii="宋体" w:hAnsi="宋体" w:eastAsia="宋体" w:cs="宋体"/>
                <w:spacing w:val="-11"/>
                <w:position w:val="2"/>
                <w:sz w:val="18"/>
                <w:szCs w:val="18"/>
              </w:rPr>
              <w:t>47.37</w:t>
            </w:r>
          </w:p>
        </w:tc>
        <w:tc>
          <w:tcPr>
            <w:tcW w:w="2866" w:type="dxa"/>
            <w:gridSpan w:val="3"/>
            <w:tcBorders>
              <w:right w:val="single" w:color="000000" w:sz="4" w:space="0"/>
            </w:tcBorders>
            <w:vAlign w:val="top"/>
          </w:tcPr>
          <w:p>
            <w:pPr>
              <w:spacing w:before="169" w:line="260" w:lineRule="exact"/>
              <w:ind w:left="1218"/>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restart"/>
            <w:tcBorders>
              <w:left w:val="single" w:color="000000" w:sz="4" w:space="0"/>
              <w:bottom w:val="nil"/>
            </w:tcBorders>
            <w:vAlign w:val="top"/>
          </w:tcPr>
          <w:p>
            <w:pPr>
              <w:pStyle w:val="6"/>
            </w:pPr>
          </w:p>
          <w:p>
            <w:pPr>
              <w:pStyle w:val="6"/>
            </w:pPr>
          </w:p>
          <w:p>
            <w:pPr>
              <w:pStyle w:val="6"/>
            </w:pPr>
          </w:p>
          <w:p>
            <w:pPr>
              <w:pStyle w:val="6"/>
            </w:pPr>
          </w:p>
          <w:p>
            <w:pPr>
              <w:pStyle w:val="6"/>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pStyle w:val="6"/>
              <w:spacing w:line="241" w:lineRule="auto"/>
            </w:pPr>
          </w:p>
          <w:p>
            <w:pPr>
              <w:spacing w:before="59" w:line="210" w:lineRule="auto"/>
              <w:ind w:left="205"/>
              <w:rPr>
                <w:rFonts w:ascii="宋体" w:hAnsi="宋体" w:eastAsia="宋体" w:cs="宋体"/>
                <w:sz w:val="18"/>
                <w:szCs w:val="18"/>
              </w:rPr>
            </w:pPr>
            <w:r>
              <w:rPr>
                <w:rFonts w:ascii="宋体" w:hAnsi="宋体" w:eastAsia="宋体" w:cs="宋体"/>
                <w:spacing w:val="-5"/>
                <w:sz w:val="18"/>
                <w:szCs w:val="18"/>
              </w:rPr>
              <w:t>市政工程</w:t>
            </w:r>
          </w:p>
        </w:tc>
        <w:tc>
          <w:tcPr>
            <w:tcW w:w="2254" w:type="dxa"/>
            <w:vAlign w:val="top"/>
          </w:tcPr>
          <w:p>
            <w:pPr>
              <w:spacing w:before="169" w:line="212" w:lineRule="auto"/>
              <w:ind w:left="767"/>
              <w:rPr>
                <w:rFonts w:ascii="宋体" w:hAnsi="宋体" w:eastAsia="宋体" w:cs="宋体"/>
                <w:sz w:val="18"/>
                <w:szCs w:val="18"/>
              </w:rPr>
            </w:pPr>
            <w:r>
              <w:rPr>
                <w:rFonts w:ascii="宋体" w:hAnsi="宋体" w:eastAsia="宋体" w:cs="宋体"/>
                <w:spacing w:val="-3"/>
                <w:sz w:val="18"/>
                <w:szCs w:val="18"/>
              </w:rPr>
              <w:t>道路工程</w:t>
            </w:r>
          </w:p>
        </w:tc>
        <w:tc>
          <w:tcPr>
            <w:tcW w:w="2847" w:type="dxa"/>
            <w:gridSpan w:val="3"/>
            <w:vAlign w:val="top"/>
          </w:tcPr>
          <w:p>
            <w:pPr>
              <w:spacing w:before="182" w:line="256" w:lineRule="exact"/>
              <w:ind w:left="1234"/>
              <w:rPr>
                <w:rFonts w:ascii="宋体" w:hAnsi="宋体" w:eastAsia="宋体" w:cs="宋体"/>
                <w:sz w:val="18"/>
                <w:szCs w:val="18"/>
              </w:rPr>
            </w:pPr>
            <w:r>
              <w:rPr>
                <w:rFonts w:ascii="宋体" w:hAnsi="宋体" w:eastAsia="宋体" w:cs="宋体"/>
                <w:spacing w:val="-16"/>
                <w:position w:val="1"/>
                <w:sz w:val="18"/>
                <w:szCs w:val="18"/>
              </w:rPr>
              <w:t>17.19</w:t>
            </w:r>
          </w:p>
        </w:tc>
        <w:tc>
          <w:tcPr>
            <w:tcW w:w="2866" w:type="dxa"/>
            <w:gridSpan w:val="3"/>
            <w:tcBorders>
              <w:right w:val="single" w:color="000000" w:sz="4" w:space="0"/>
            </w:tcBorders>
            <w:vAlign w:val="top"/>
          </w:tcPr>
          <w:p>
            <w:pPr>
              <w:spacing w:before="182" w:line="256" w:lineRule="exact"/>
              <w:ind w:left="1261"/>
              <w:rPr>
                <w:rFonts w:ascii="宋体" w:hAnsi="宋体" w:eastAsia="宋体" w:cs="宋体"/>
                <w:sz w:val="18"/>
                <w:szCs w:val="18"/>
              </w:rPr>
            </w:pPr>
            <w:r>
              <w:rPr>
                <w:rFonts w:ascii="宋体" w:hAnsi="宋体" w:eastAsia="宋体" w:cs="宋体"/>
                <w:spacing w:val="-14"/>
                <w:position w:val="1"/>
                <w:sz w:val="18"/>
                <w:szCs w:val="18"/>
              </w:rPr>
              <w:t>9.56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2" w:line="209" w:lineRule="auto"/>
              <w:ind w:left="767"/>
              <w:rPr>
                <w:rFonts w:ascii="宋体" w:hAnsi="宋体" w:eastAsia="宋体" w:cs="宋体"/>
                <w:sz w:val="18"/>
                <w:szCs w:val="18"/>
              </w:rPr>
            </w:pPr>
            <w:r>
              <w:rPr>
                <w:rFonts w:ascii="宋体" w:hAnsi="宋体" w:eastAsia="宋体" w:cs="宋体"/>
                <w:spacing w:val="-3"/>
                <w:sz w:val="18"/>
                <w:szCs w:val="18"/>
              </w:rPr>
              <w:t>桥涵工程</w:t>
            </w:r>
          </w:p>
        </w:tc>
        <w:tc>
          <w:tcPr>
            <w:tcW w:w="2847" w:type="dxa"/>
            <w:gridSpan w:val="3"/>
            <w:vAlign w:val="top"/>
          </w:tcPr>
          <w:p>
            <w:pPr>
              <w:spacing w:before="182" w:line="256" w:lineRule="exact"/>
              <w:ind w:left="1234"/>
              <w:rPr>
                <w:rFonts w:ascii="宋体" w:hAnsi="宋体" w:eastAsia="宋体" w:cs="宋体"/>
                <w:sz w:val="18"/>
                <w:szCs w:val="18"/>
              </w:rPr>
            </w:pPr>
            <w:r>
              <w:rPr>
                <w:rFonts w:ascii="宋体" w:hAnsi="宋体" w:eastAsia="宋体" w:cs="宋体"/>
                <w:spacing w:val="-16"/>
                <w:position w:val="1"/>
                <w:sz w:val="18"/>
                <w:szCs w:val="18"/>
              </w:rPr>
              <w:t>17.31</w:t>
            </w:r>
          </w:p>
        </w:tc>
        <w:tc>
          <w:tcPr>
            <w:tcW w:w="2866" w:type="dxa"/>
            <w:gridSpan w:val="3"/>
            <w:tcBorders>
              <w:right w:val="single" w:color="000000" w:sz="4" w:space="0"/>
            </w:tcBorders>
            <w:vAlign w:val="top"/>
          </w:tcPr>
          <w:p>
            <w:pPr>
              <w:spacing w:before="182" w:line="256" w:lineRule="exact"/>
              <w:ind w:left="1243"/>
              <w:rPr>
                <w:rFonts w:ascii="宋体" w:hAnsi="宋体" w:eastAsia="宋体" w:cs="宋体"/>
                <w:sz w:val="18"/>
                <w:szCs w:val="18"/>
              </w:rPr>
            </w:pPr>
            <w:r>
              <w:rPr>
                <w:rFonts w:ascii="宋体" w:hAnsi="宋体" w:eastAsia="宋体" w:cs="宋体"/>
                <w:spacing w:val="-16"/>
                <w:position w:val="1"/>
                <w:sz w:val="18"/>
                <w:szCs w:val="18"/>
              </w:rPr>
              <w:t>10.89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1" w:line="211" w:lineRule="auto"/>
              <w:ind w:left="786"/>
              <w:rPr>
                <w:rFonts w:ascii="宋体" w:hAnsi="宋体" w:eastAsia="宋体" w:cs="宋体"/>
                <w:sz w:val="18"/>
                <w:szCs w:val="18"/>
              </w:rPr>
            </w:pPr>
            <w:r>
              <w:rPr>
                <w:rFonts w:ascii="宋体" w:hAnsi="宋体" w:eastAsia="宋体" w:cs="宋体"/>
                <w:spacing w:val="-9"/>
                <w:sz w:val="18"/>
                <w:szCs w:val="18"/>
              </w:rPr>
              <w:t>隧道工程</w:t>
            </w:r>
          </w:p>
        </w:tc>
        <w:tc>
          <w:tcPr>
            <w:tcW w:w="2847" w:type="dxa"/>
            <w:gridSpan w:val="3"/>
            <w:vAlign w:val="top"/>
          </w:tcPr>
          <w:p>
            <w:pPr>
              <w:spacing w:before="183" w:line="254" w:lineRule="exact"/>
              <w:ind w:left="1234"/>
              <w:rPr>
                <w:rFonts w:ascii="宋体" w:hAnsi="宋体" w:eastAsia="宋体" w:cs="宋体"/>
                <w:sz w:val="18"/>
                <w:szCs w:val="18"/>
              </w:rPr>
            </w:pPr>
            <w:r>
              <w:rPr>
                <w:rFonts w:ascii="宋体" w:hAnsi="宋体" w:eastAsia="宋体" w:cs="宋体"/>
                <w:spacing w:val="-16"/>
                <w:position w:val="1"/>
                <w:sz w:val="18"/>
                <w:szCs w:val="18"/>
              </w:rPr>
              <w:t>12.93</w:t>
            </w:r>
          </w:p>
        </w:tc>
        <w:tc>
          <w:tcPr>
            <w:tcW w:w="2866" w:type="dxa"/>
            <w:gridSpan w:val="3"/>
            <w:tcBorders>
              <w:right w:val="single" w:color="000000" w:sz="4" w:space="0"/>
            </w:tcBorders>
            <w:vAlign w:val="top"/>
          </w:tcPr>
          <w:p>
            <w:pPr>
              <w:spacing w:before="183" w:line="254" w:lineRule="exact"/>
              <w:ind w:left="1261"/>
              <w:rPr>
                <w:rFonts w:ascii="宋体" w:hAnsi="宋体" w:eastAsia="宋体" w:cs="宋体"/>
                <w:sz w:val="18"/>
                <w:szCs w:val="18"/>
              </w:rPr>
            </w:pPr>
            <w:r>
              <w:rPr>
                <w:rFonts w:ascii="宋体" w:hAnsi="宋体" w:eastAsia="宋体" w:cs="宋体"/>
                <w:spacing w:val="-14"/>
                <w:position w:val="1"/>
                <w:sz w:val="18"/>
                <w:szCs w:val="18"/>
              </w:rPr>
              <w:t>9.24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2" w:line="211" w:lineRule="auto"/>
              <w:ind w:left="772"/>
              <w:rPr>
                <w:rFonts w:ascii="宋体" w:hAnsi="宋体" w:eastAsia="宋体" w:cs="宋体"/>
                <w:sz w:val="18"/>
                <w:szCs w:val="18"/>
              </w:rPr>
            </w:pPr>
            <w:r>
              <w:rPr>
                <w:rFonts w:ascii="宋体" w:hAnsi="宋体" w:eastAsia="宋体" w:cs="宋体"/>
                <w:spacing w:val="-5"/>
                <w:sz w:val="18"/>
                <w:szCs w:val="18"/>
              </w:rPr>
              <w:t>给水工程</w:t>
            </w:r>
          </w:p>
        </w:tc>
        <w:tc>
          <w:tcPr>
            <w:tcW w:w="2847" w:type="dxa"/>
            <w:gridSpan w:val="3"/>
            <w:vAlign w:val="top"/>
          </w:tcPr>
          <w:p>
            <w:pPr>
              <w:spacing w:before="184" w:line="253" w:lineRule="exact"/>
              <w:ind w:left="1212"/>
              <w:rPr>
                <w:rFonts w:ascii="宋体" w:hAnsi="宋体" w:eastAsia="宋体" w:cs="宋体"/>
                <w:sz w:val="18"/>
                <w:szCs w:val="18"/>
              </w:rPr>
            </w:pPr>
            <w:r>
              <w:rPr>
                <w:rFonts w:ascii="宋体" w:hAnsi="宋体" w:eastAsia="宋体" w:cs="宋体"/>
                <w:spacing w:val="-13"/>
                <w:position w:val="1"/>
                <w:sz w:val="18"/>
                <w:szCs w:val="18"/>
              </w:rPr>
              <w:t>33.55</w:t>
            </w:r>
          </w:p>
        </w:tc>
        <w:tc>
          <w:tcPr>
            <w:tcW w:w="2866" w:type="dxa"/>
            <w:gridSpan w:val="3"/>
            <w:tcBorders>
              <w:right w:val="single" w:color="000000" w:sz="4" w:space="0"/>
            </w:tcBorders>
            <w:vAlign w:val="top"/>
          </w:tcPr>
          <w:p>
            <w:pPr>
              <w:spacing w:before="184" w:line="253" w:lineRule="exact"/>
              <w:ind w:left="1218"/>
              <w:rPr>
                <w:rFonts w:ascii="宋体" w:hAnsi="宋体" w:eastAsia="宋体" w:cs="宋体"/>
                <w:sz w:val="18"/>
                <w:szCs w:val="18"/>
              </w:rPr>
            </w:pPr>
            <w:r>
              <w:rPr>
                <w:rFonts w:ascii="宋体" w:hAnsi="宋体" w:eastAsia="宋体" w:cs="宋体"/>
                <w:spacing w:val="-12"/>
                <w:position w:val="1"/>
                <w:sz w:val="18"/>
                <w:szCs w:val="18"/>
              </w:rPr>
              <w:t>22.16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3" w:line="222" w:lineRule="auto"/>
              <w:ind w:left="767"/>
              <w:rPr>
                <w:rFonts w:ascii="宋体" w:hAnsi="宋体" w:eastAsia="宋体" w:cs="宋体"/>
                <w:sz w:val="18"/>
                <w:szCs w:val="18"/>
              </w:rPr>
            </w:pPr>
            <w:r>
              <w:rPr>
                <w:rFonts w:ascii="宋体" w:hAnsi="宋体" w:eastAsia="宋体" w:cs="宋体"/>
                <w:spacing w:val="-3"/>
                <w:sz w:val="18"/>
                <w:szCs w:val="18"/>
              </w:rPr>
              <w:t>排水工程</w:t>
            </w:r>
          </w:p>
        </w:tc>
        <w:tc>
          <w:tcPr>
            <w:tcW w:w="2847" w:type="dxa"/>
            <w:gridSpan w:val="3"/>
            <w:vAlign w:val="top"/>
          </w:tcPr>
          <w:p>
            <w:pPr>
              <w:spacing w:before="187" w:line="250" w:lineRule="exact"/>
              <w:ind w:left="1234"/>
              <w:rPr>
                <w:rFonts w:ascii="宋体" w:hAnsi="宋体" w:eastAsia="宋体" w:cs="宋体"/>
                <w:sz w:val="18"/>
                <w:szCs w:val="18"/>
              </w:rPr>
            </w:pPr>
            <w:r>
              <w:rPr>
                <w:rFonts w:ascii="宋体" w:hAnsi="宋体" w:eastAsia="宋体" w:cs="宋体"/>
                <w:spacing w:val="-16"/>
                <w:position w:val="1"/>
                <w:sz w:val="18"/>
                <w:szCs w:val="18"/>
              </w:rPr>
              <w:t>16.02</w:t>
            </w:r>
          </w:p>
        </w:tc>
        <w:tc>
          <w:tcPr>
            <w:tcW w:w="2866" w:type="dxa"/>
            <w:gridSpan w:val="3"/>
            <w:tcBorders>
              <w:right w:val="single" w:color="000000" w:sz="4" w:space="0"/>
            </w:tcBorders>
            <w:vAlign w:val="top"/>
          </w:tcPr>
          <w:p>
            <w:pPr>
              <w:spacing w:before="187" w:line="250" w:lineRule="exact"/>
              <w:ind w:left="1263"/>
              <w:rPr>
                <w:rFonts w:ascii="宋体" w:hAnsi="宋体" w:eastAsia="宋体" w:cs="宋体"/>
                <w:sz w:val="18"/>
                <w:szCs w:val="18"/>
              </w:rPr>
            </w:pPr>
            <w:r>
              <w:rPr>
                <w:rFonts w:ascii="宋体" w:hAnsi="宋体" w:eastAsia="宋体" w:cs="宋体"/>
                <w:spacing w:val="-14"/>
                <w:position w:val="1"/>
                <w:sz w:val="18"/>
                <w:szCs w:val="18"/>
              </w:rPr>
              <w:t>7.60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5" w:line="214" w:lineRule="auto"/>
              <w:ind w:left="765"/>
              <w:rPr>
                <w:rFonts w:ascii="宋体" w:hAnsi="宋体" w:eastAsia="宋体" w:cs="宋体"/>
                <w:sz w:val="18"/>
                <w:szCs w:val="18"/>
              </w:rPr>
            </w:pPr>
            <w:r>
              <w:rPr>
                <w:rFonts w:ascii="宋体" w:hAnsi="宋体" w:eastAsia="宋体" w:cs="宋体"/>
                <w:spacing w:val="-3"/>
                <w:sz w:val="18"/>
                <w:szCs w:val="18"/>
              </w:rPr>
              <w:t>燃气工程</w:t>
            </w:r>
          </w:p>
        </w:tc>
        <w:tc>
          <w:tcPr>
            <w:tcW w:w="2847" w:type="dxa"/>
            <w:gridSpan w:val="3"/>
            <w:vAlign w:val="top"/>
          </w:tcPr>
          <w:p>
            <w:pPr>
              <w:spacing w:before="187" w:line="252" w:lineRule="exact"/>
              <w:ind w:left="1209"/>
              <w:rPr>
                <w:rFonts w:ascii="宋体" w:hAnsi="宋体" w:eastAsia="宋体" w:cs="宋体"/>
                <w:sz w:val="18"/>
                <w:szCs w:val="18"/>
              </w:rPr>
            </w:pPr>
            <w:r>
              <w:rPr>
                <w:rFonts w:ascii="宋体" w:hAnsi="宋体" w:eastAsia="宋体" w:cs="宋体"/>
                <w:spacing w:val="-12"/>
                <w:position w:val="1"/>
                <w:sz w:val="18"/>
                <w:szCs w:val="18"/>
              </w:rPr>
              <w:t>22.03</w:t>
            </w:r>
          </w:p>
        </w:tc>
        <w:tc>
          <w:tcPr>
            <w:tcW w:w="2866" w:type="dxa"/>
            <w:gridSpan w:val="3"/>
            <w:tcBorders>
              <w:right w:val="single" w:color="000000" w:sz="4" w:space="0"/>
            </w:tcBorders>
            <w:vAlign w:val="top"/>
          </w:tcPr>
          <w:p>
            <w:pPr>
              <w:spacing w:before="187" w:line="252" w:lineRule="exact"/>
              <w:ind w:left="1243"/>
              <w:rPr>
                <w:rFonts w:ascii="宋体" w:hAnsi="宋体" w:eastAsia="宋体" w:cs="宋体"/>
                <w:sz w:val="18"/>
                <w:szCs w:val="18"/>
              </w:rPr>
            </w:pPr>
            <w:r>
              <w:rPr>
                <w:rFonts w:ascii="宋体" w:hAnsi="宋体" w:eastAsia="宋体" w:cs="宋体"/>
                <w:spacing w:val="-16"/>
                <w:position w:val="1"/>
                <w:sz w:val="18"/>
                <w:szCs w:val="18"/>
              </w:rPr>
              <w:t>17.20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68" w:line="240" w:lineRule="exact"/>
              <w:ind w:left="766"/>
              <w:rPr>
                <w:rFonts w:ascii="宋体" w:hAnsi="宋体" w:eastAsia="宋体" w:cs="宋体"/>
                <w:sz w:val="18"/>
                <w:szCs w:val="18"/>
              </w:rPr>
            </w:pPr>
            <w:r>
              <w:rPr>
                <w:rFonts w:ascii="宋体" w:hAnsi="宋体" w:eastAsia="宋体" w:cs="宋体"/>
                <w:spacing w:val="-3"/>
                <w:position w:val="1"/>
                <w:sz w:val="18"/>
                <w:szCs w:val="18"/>
              </w:rPr>
              <w:t>供热工程</w:t>
            </w:r>
          </w:p>
        </w:tc>
        <w:tc>
          <w:tcPr>
            <w:tcW w:w="2847" w:type="dxa"/>
            <w:gridSpan w:val="3"/>
            <w:vAlign w:val="top"/>
          </w:tcPr>
          <w:p>
            <w:pPr>
              <w:spacing w:before="187" w:line="250" w:lineRule="exact"/>
              <w:ind w:left="1209"/>
              <w:rPr>
                <w:rFonts w:ascii="宋体" w:hAnsi="宋体" w:eastAsia="宋体" w:cs="宋体"/>
                <w:sz w:val="18"/>
                <w:szCs w:val="18"/>
              </w:rPr>
            </w:pPr>
            <w:r>
              <w:rPr>
                <w:rFonts w:ascii="宋体" w:hAnsi="宋体" w:eastAsia="宋体" w:cs="宋体"/>
                <w:spacing w:val="-12"/>
                <w:position w:val="1"/>
                <w:sz w:val="18"/>
                <w:szCs w:val="18"/>
              </w:rPr>
              <w:t>23.37</w:t>
            </w:r>
          </w:p>
        </w:tc>
        <w:tc>
          <w:tcPr>
            <w:tcW w:w="2866" w:type="dxa"/>
            <w:gridSpan w:val="3"/>
            <w:tcBorders>
              <w:right w:val="single" w:color="000000" w:sz="4" w:space="0"/>
            </w:tcBorders>
            <w:vAlign w:val="top"/>
          </w:tcPr>
          <w:p>
            <w:pPr>
              <w:spacing w:before="187" w:line="250" w:lineRule="exact"/>
              <w:ind w:left="1243"/>
              <w:rPr>
                <w:rFonts w:ascii="宋体" w:hAnsi="宋体" w:eastAsia="宋体" w:cs="宋体"/>
                <w:sz w:val="18"/>
                <w:szCs w:val="18"/>
              </w:rPr>
            </w:pPr>
            <w:r>
              <w:rPr>
                <w:rFonts w:ascii="宋体" w:hAnsi="宋体" w:eastAsia="宋体" w:cs="宋体"/>
                <w:spacing w:val="-16"/>
                <w:position w:val="1"/>
                <w:sz w:val="18"/>
                <w:szCs w:val="18"/>
              </w:rPr>
              <w:t>18.68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5" w:line="210" w:lineRule="auto"/>
              <w:ind w:left="680"/>
              <w:rPr>
                <w:rFonts w:ascii="宋体" w:hAnsi="宋体" w:eastAsia="宋体" w:cs="宋体"/>
                <w:sz w:val="18"/>
                <w:szCs w:val="18"/>
              </w:rPr>
            </w:pPr>
            <w:r>
              <w:rPr>
                <w:rFonts w:ascii="宋体" w:hAnsi="宋体" w:eastAsia="宋体" w:cs="宋体"/>
                <w:spacing w:val="-3"/>
                <w:sz w:val="18"/>
                <w:szCs w:val="18"/>
              </w:rPr>
              <w:t>水处理工程</w:t>
            </w:r>
          </w:p>
        </w:tc>
        <w:tc>
          <w:tcPr>
            <w:tcW w:w="2847" w:type="dxa"/>
            <w:gridSpan w:val="3"/>
            <w:vAlign w:val="top"/>
          </w:tcPr>
          <w:p>
            <w:pPr>
              <w:spacing w:before="187" w:line="252" w:lineRule="exact"/>
              <w:ind w:left="1234"/>
              <w:rPr>
                <w:rFonts w:ascii="宋体" w:hAnsi="宋体" w:eastAsia="宋体" w:cs="宋体"/>
                <w:sz w:val="18"/>
                <w:szCs w:val="18"/>
              </w:rPr>
            </w:pPr>
            <w:r>
              <w:rPr>
                <w:rFonts w:ascii="宋体" w:hAnsi="宋体" w:eastAsia="宋体" w:cs="宋体"/>
                <w:spacing w:val="-16"/>
                <w:position w:val="1"/>
                <w:sz w:val="18"/>
                <w:szCs w:val="18"/>
              </w:rPr>
              <w:t>16.38</w:t>
            </w:r>
          </w:p>
        </w:tc>
        <w:tc>
          <w:tcPr>
            <w:tcW w:w="2866" w:type="dxa"/>
            <w:gridSpan w:val="3"/>
            <w:tcBorders>
              <w:right w:val="single" w:color="000000" w:sz="4" w:space="0"/>
            </w:tcBorders>
            <w:vAlign w:val="top"/>
          </w:tcPr>
          <w:p>
            <w:pPr>
              <w:spacing w:before="187" w:line="252" w:lineRule="exact"/>
              <w:ind w:left="1261"/>
              <w:rPr>
                <w:rFonts w:ascii="宋体" w:hAnsi="宋体" w:eastAsia="宋体" w:cs="宋体"/>
                <w:sz w:val="18"/>
                <w:szCs w:val="18"/>
              </w:rPr>
            </w:pPr>
            <w:r>
              <w:rPr>
                <w:rFonts w:ascii="宋体" w:hAnsi="宋体" w:eastAsia="宋体" w:cs="宋体"/>
                <w:spacing w:val="-14"/>
                <w:position w:val="1"/>
                <w:sz w:val="18"/>
                <w:szCs w:val="18"/>
              </w:rPr>
              <w:t>9.92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8" w:line="208" w:lineRule="auto"/>
              <w:ind w:left="409"/>
              <w:rPr>
                <w:rFonts w:ascii="宋体" w:hAnsi="宋体" w:eastAsia="宋体" w:cs="宋体"/>
                <w:sz w:val="18"/>
                <w:szCs w:val="18"/>
              </w:rPr>
            </w:pPr>
            <w:r>
              <w:rPr>
                <w:rFonts w:ascii="宋体" w:hAnsi="宋体" w:eastAsia="宋体" w:cs="宋体"/>
                <w:spacing w:val="-4"/>
                <w:sz w:val="18"/>
                <w:szCs w:val="18"/>
              </w:rPr>
              <w:t>生活垃圾处理工程</w:t>
            </w:r>
          </w:p>
        </w:tc>
        <w:tc>
          <w:tcPr>
            <w:tcW w:w="2847" w:type="dxa"/>
            <w:gridSpan w:val="3"/>
            <w:vAlign w:val="top"/>
          </w:tcPr>
          <w:p>
            <w:pPr>
              <w:spacing w:before="187" w:line="250" w:lineRule="exact"/>
              <w:ind w:left="1212"/>
              <w:rPr>
                <w:rFonts w:ascii="宋体" w:hAnsi="宋体" w:eastAsia="宋体" w:cs="宋体"/>
                <w:sz w:val="18"/>
                <w:szCs w:val="18"/>
              </w:rPr>
            </w:pPr>
            <w:r>
              <w:rPr>
                <w:rFonts w:ascii="宋体" w:hAnsi="宋体" w:eastAsia="宋体" w:cs="宋体"/>
                <w:spacing w:val="-13"/>
                <w:position w:val="1"/>
                <w:sz w:val="18"/>
                <w:szCs w:val="18"/>
              </w:rPr>
              <w:t>36.04</w:t>
            </w:r>
          </w:p>
        </w:tc>
        <w:tc>
          <w:tcPr>
            <w:tcW w:w="2866" w:type="dxa"/>
            <w:gridSpan w:val="3"/>
            <w:tcBorders>
              <w:right w:val="single" w:color="000000" w:sz="4" w:space="0"/>
            </w:tcBorders>
            <w:vAlign w:val="top"/>
          </w:tcPr>
          <w:p>
            <w:pPr>
              <w:spacing w:before="187" w:line="250" w:lineRule="exact"/>
              <w:ind w:left="1243"/>
              <w:rPr>
                <w:rFonts w:ascii="宋体" w:hAnsi="宋体" w:eastAsia="宋体" w:cs="宋体"/>
                <w:sz w:val="18"/>
                <w:szCs w:val="18"/>
              </w:rPr>
            </w:pPr>
            <w:r>
              <w:rPr>
                <w:rFonts w:ascii="宋体" w:hAnsi="宋体" w:eastAsia="宋体" w:cs="宋体"/>
                <w:spacing w:val="-16"/>
                <w:position w:val="1"/>
                <w:sz w:val="18"/>
                <w:szCs w:val="18"/>
              </w:rPr>
              <w:t>13.83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bottom w:val="nil"/>
            </w:tcBorders>
            <w:vAlign w:val="top"/>
          </w:tcPr>
          <w:p>
            <w:pPr>
              <w:pStyle w:val="6"/>
            </w:pPr>
          </w:p>
        </w:tc>
        <w:tc>
          <w:tcPr>
            <w:tcW w:w="2254" w:type="dxa"/>
            <w:vAlign w:val="top"/>
          </w:tcPr>
          <w:p>
            <w:pPr>
              <w:spacing w:before="176" w:line="211" w:lineRule="auto"/>
              <w:ind w:left="767"/>
              <w:rPr>
                <w:rFonts w:ascii="宋体" w:hAnsi="宋体" w:eastAsia="宋体" w:cs="宋体"/>
                <w:sz w:val="18"/>
                <w:szCs w:val="18"/>
              </w:rPr>
            </w:pPr>
            <w:r>
              <w:rPr>
                <w:rFonts w:ascii="宋体" w:hAnsi="宋体" w:eastAsia="宋体" w:cs="宋体"/>
                <w:spacing w:val="-5"/>
                <w:sz w:val="18"/>
                <w:szCs w:val="18"/>
              </w:rPr>
              <w:t>路灯工程</w:t>
            </w:r>
          </w:p>
        </w:tc>
        <w:tc>
          <w:tcPr>
            <w:tcW w:w="2847" w:type="dxa"/>
            <w:gridSpan w:val="3"/>
            <w:vAlign w:val="top"/>
          </w:tcPr>
          <w:p>
            <w:pPr>
              <w:spacing w:before="188" w:line="249" w:lineRule="exact"/>
              <w:ind w:left="1209"/>
              <w:rPr>
                <w:rFonts w:ascii="宋体" w:hAnsi="宋体" w:eastAsia="宋体" w:cs="宋体"/>
                <w:sz w:val="18"/>
                <w:szCs w:val="18"/>
              </w:rPr>
            </w:pPr>
            <w:r>
              <w:rPr>
                <w:rFonts w:ascii="宋体" w:hAnsi="宋体" w:eastAsia="宋体" w:cs="宋体"/>
                <w:spacing w:val="-12"/>
                <w:position w:val="1"/>
                <w:sz w:val="18"/>
                <w:szCs w:val="18"/>
              </w:rPr>
              <w:t>22.40</w:t>
            </w:r>
          </w:p>
        </w:tc>
        <w:tc>
          <w:tcPr>
            <w:tcW w:w="2866" w:type="dxa"/>
            <w:gridSpan w:val="3"/>
            <w:tcBorders>
              <w:right w:val="single" w:color="000000" w:sz="4" w:space="0"/>
            </w:tcBorders>
            <w:vAlign w:val="top"/>
          </w:tcPr>
          <w:p>
            <w:pPr>
              <w:spacing w:before="188" w:line="249" w:lineRule="exact"/>
              <w:ind w:left="1261"/>
              <w:rPr>
                <w:rFonts w:ascii="宋体" w:hAnsi="宋体" w:eastAsia="宋体" w:cs="宋体"/>
                <w:sz w:val="18"/>
                <w:szCs w:val="18"/>
              </w:rPr>
            </w:pPr>
            <w:r>
              <w:rPr>
                <w:rFonts w:ascii="宋体" w:hAnsi="宋体" w:eastAsia="宋体" w:cs="宋体"/>
                <w:spacing w:val="-14"/>
                <w:position w:val="1"/>
                <w:sz w:val="18"/>
                <w:szCs w:val="18"/>
              </w:rPr>
              <w:t>9.60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8"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78" w:line="212" w:lineRule="auto"/>
              <w:ind w:left="227"/>
              <w:rPr>
                <w:rFonts w:ascii="宋体" w:hAnsi="宋体" w:eastAsia="宋体" w:cs="宋体"/>
                <w:sz w:val="18"/>
                <w:szCs w:val="18"/>
              </w:rPr>
            </w:pPr>
            <w:r>
              <w:rPr>
                <w:rFonts w:ascii="宋体" w:hAnsi="宋体" w:eastAsia="宋体" w:cs="宋体"/>
                <w:spacing w:val="-3"/>
                <w:sz w:val="18"/>
                <w:szCs w:val="18"/>
              </w:rPr>
              <w:t>城市地下综合管廊工程</w:t>
            </w:r>
          </w:p>
        </w:tc>
        <w:tc>
          <w:tcPr>
            <w:tcW w:w="2847" w:type="dxa"/>
            <w:gridSpan w:val="3"/>
            <w:vAlign w:val="top"/>
          </w:tcPr>
          <w:p>
            <w:pPr>
              <w:spacing w:before="191" w:line="246" w:lineRule="exact"/>
              <w:ind w:left="1234"/>
              <w:rPr>
                <w:rFonts w:ascii="宋体" w:hAnsi="宋体" w:eastAsia="宋体" w:cs="宋体"/>
                <w:sz w:val="18"/>
                <w:szCs w:val="18"/>
              </w:rPr>
            </w:pPr>
            <w:r>
              <w:rPr>
                <w:rFonts w:ascii="宋体" w:hAnsi="宋体" w:eastAsia="宋体" w:cs="宋体"/>
                <w:spacing w:val="-16"/>
                <w:position w:val="1"/>
                <w:sz w:val="18"/>
                <w:szCs w:val="18"/>
              </w:rPr>
              <w:t>17.17</w:t>
            </w:r>
          </w:p>
        </w:tc>
        <w:tc>
          <w:tcPr>
            <w:tcW w:w="2866" w:type="dxa"/>
            <w:gridSpan w:val="3"/>
            <w:tcBorders>
              <w:right w:val="single" w:color="000000" w:sz="4" w:space="0"/>
            </w:tcBorders>
            <w:vAlign w:val="top"/>
          </w:tcPr>
          <w:p>
            <w:pPr>
              <w:spacing w:before="191" w:line="246" w:lineRule="exact"/>
              <w:ind w:left="1261"/>
              <w:rPr>
                <w:rFonts w:ascii="宋体" w:hAnsi="宋体" w:eastAsia="宋体" w:cs="宋体"/>
                <w:sz w:val="18"/>
                <w:szCs w:val="18"/>
              </w:rPr>
            </w:pPr>
            <w:r>
              <w:rPr>
                <w:rFonts w:ascii="宋体" w:hAnsi="宋体" w:eastAsia="宋体" w:cs="宋体"/>
                <w:spacing w:val="-14"/>
                <w:position w:val="1"/>
                <w:sz w:val="18"/>
                <w:szCs w:val="18"/>
              </w:rPr>
              <w:t>9.24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366" w:type="dxa"/>
            <w:gridSpan w:val="2"/>
            <w:tcBorders>
              <w:left w:val="single" w:color="000000" w:sz="4" w:space="0"/>
            </w:tcBorders>
            <w:vAlign w:val="top"/>
          </w:tcPr>
          <w:p>
            <w:pPr>
              <w:spacing w:before="181" w:line="208" w:lineRule="auto"/>
              <w:ind w:left="1174"/>
              <w:rPr>
                <w:rFonts w:ascii="宋体" w:hAnsi="宋体" w:eastAsia="宋体" w:cs="宋体"/>
                <w:sz w:val="18"/>
                <w:szCs w:val="18"/>
              </w:rPr>
            </w:pPr>
            <w:r>
              <w:rPr>
                <w:rFonts w:ascii="宋体" w:hAnsi="宋体" w:eastAsia="宋体" w:cs="宋体"/>
                <w:spacing w:val="-9"/>
                <w:sz w:val="18"/>
                <w:szCs w:val="18"/>
              </w:rPr>
              <w:t>园林绿化工程</w:t>
            </w:r>
          </w:p>
        </w:tc>
        <w:tc>
          <w:tcPr>
            <w:tcW w:w="2847" w:type="dxa"/>
            <w:gridSpan w:val="3"/>
            <w:vAlign w:val="top"/>
          </w:tcPr>
          <w:p>
            <w:pPr>
              <w:spacing w:before="191" w:line="248" w:lineRule="exact"/>
              <w:ind w:left="1204"/>
              <w:rPr>
                <w:rFonts w:ascii="宋体" w:hAnsi="宋体" w:eastAsia="宋体" w:cs="宋体"/>
                <w:sz w:val="18"/>
                <w:szCs w:val="18"/>
              </w:rPr>
            </w:pPr>
            <w:r>
              <w:rPr>
                <w:rFonts w:ascii="宋体" w:hAnsi="宋体" w:eastAsia="宋体" w:cs="宋体"/>
                <w:spacing w:val="-11"/>
                <w:position w:val="1"/>
                <w:sz w:val="18"/>
                <w:szCs w:val="18"/>
              </w:rPr>
              <w:t>49.34</w:t>
            </w:r>
          </w:p>
        </w:tc>
        <w:tc>
          <w:tcPr>
            <w:tcW w:w="2866" w:type="dxa"/>
            <w:gridSpan w:val="3"/>
            <w:tcBorders>
              <w:right w:val="single" w:color="000000" w:sz="4" w:space="0"/>
            </w:tcBorders>
            <w:vAlign w:val="top"/>
          </w:tcPr>
          <w:p>
            <w:pPr>
              <w:spacing w:before="191" w:line="248" w:lineRule="exact"/>
              <w:ind w:left="1218"/>
              <w:rPr>
                <w:rFonts w:ascii="宋体" w:hAnsi="宋体" w:eastAsia="宋体" w:cs="宋体"/>
                <w:sz w:val="18"/>
                <w:szCs w:val="18"/>
              </w:rPr>
            </w:pPr>
            <w:r>
              <w:rPr>
                <w:rFonts w:ascii="宋体" w:hAnsi="宋体" w:eastAsia="宋体" w:cs="宋体"/>
                <w:spacing w:val="-12"/>
                <w:position w:val="1"/>
                <w:sz w:val="18"/>
                <w:szCs w:val="18"/>
              </w:rPr>
              <w:t>27.26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1112" w:type="dxa"/>
            <w:vMerge w:val="restart"/>
            <w:tcBorders>
              <w:left w:val="single" w:color="000000" w:sz="4" w:space="0"/>
              <w:bottom w:val="nil"/>
            </w:tcBorders>
            <w:vAlign w:val="top"/>
          </w:tcPr>
          <w:p>
            <w:pPr>
              <w:spacing w:before="286" w:line="330" w:lineRule="auto"/>
              <w:ind w:left="379" w:right="366" w:firstLine="1"/>
              <w:rPr>
                <w:rFonts w:ascii="宋体" w:hAnsi="宋体" w:eastAsia="宋体" w:cs="宋体"/>
                <w:sz w:val="18"/>
                <w:szCs w:val="18"/>
              </w:rPr>
            </w:pPr>
            <w:r>
              <w:rPr>
                <w:rFonts w:ascii="宋体" w:hAnsi="宋体" w:eastAsia="宋体" w:cs="宋体"/>
                <w:spacing w:val="-2"/>
                <w:sz w:val="18"/>
                <w:szCs w:val="18"/>
              </w:rPr>
              <w:t>房屋修缮</w:t>
            </w:r>
          </w:p>
        </w:tc>
        <w:tc>
          <w:tcPr>
            <w:tcW w:w="2254" w:type="dxa"/>
            <w:vAlign w:val="top"/>
          </w:tcPr>
          <w:p>
            <w:pPr>
              <w:spacing w:before="191" w:line="215" w:lineRule="auto"/>
              <w:ind w:left="769"/>
              <w:rPr>
                <w:rFonts w:ascii="宋体" w:hAnsi="宋体" w:eastAsia="宋体" w:cs="宋体"/>
                <w:sz w:val="18"/>
                <w:szCs w:val="18"/>
              </w:rPr>
            </w:pPr>
            <w:r>
              <w:rPr>
                <w:rFonts w:ascii="宋体" w:hAnsi="宋体" w:eastAsia="宋体" w:cs="宋体"/>
                <w:spacing w:val="-4"/>
                <w:sz w:val="18"/>
                <w:szCs w:val="18"/>
              </w:rPr>
              <w:t>建筑工程</w:t>
            </w:r>
          </w:p>
        </w:tc>
        <w:tc>
          <w:tcPr>
            <w:tcW w:w="2847" w:type="dxa"/>
            <w:gridSpan w:val="3"/>
            <w:vAlign w:val="top"/>
          </w:tcPr>
          <w:p>
            <w:pPr>
              <w:spacing w:before="179" w:line="259" w:lineRule="exact"/>
              <w:ind w:left="1204"/>
              <w:rPr>
                <w:rFonts w:ascii="宋体" w:hAnsi="宋体" w:eastAsia="宋体" w:cs="宋体"/>
                <w:sz w:val="18"/>
                <w:szCs w:val="18"/>
              </w:rPr>
            </w:pPr>
            <w:r>
              <w:rPr>
                <w:rFonts w:ascii="宋体" w:hAnsi="宋体" w:eastAsia="宋体" w:cs="宋体"/>
                <w:spacing w:val="-11"/>
                <w:position w:val="2"/>
                <w:sz w:val="18"/>
                <w:szCs w:val="18"/>
              </w:rPr>
              <w:t>45.89</w:t>
            </w:r>
          </w:p>
        </w:tc>
        <w:tc>
          <w:tcPr>
            <w:tcW w:w="2866" w:type="dxa"/>
            <w:gridSpan w:val="3"/>
            <w:tcBorders>
              <w:right w:val="single" w:color="000000" w:sz="4" w:space="0"/>
            </w:tcBorders>
            <w:vAlign w:val="top"/>
          </w:tcPr>
          <w:p>
            <w:pPr>
              <w:spacing w:before="179" w:line="259" w:lineRule="exact"/>
              <w:ind w:left="1218"/>
              <w:rPr>
                <w:rFonts w:ascii="宋体" w:hAnsi="宋体" w:eastAsia="宋体" w:cs="宋体"/>
                <w:sz w:val="18"/>
                <w:szCs w:val="18"/>
              </w:rPr>
            </w:pPr>
            <w:r>
              <w:rPr>
                <w:rFonts w:ascii="宋体" w:hAnsi="宋体" w:eastAsia="宋体" w:cs="宋体"/>
                <w:spacing w:val="-12"/>
                <w:position w:val="1"/>
                <w:sz w:val="18"/>
                <w:szCs w:val="18"/>
              </w:rPr>
              <w:t>24.15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93" w:line="211" w:lineRule="auto"/>
              <w:ind w:left="770"/>
              <w:rPr>
                <w:rFonts w:ascii="宋体" w:hAnsi="宋体" w:eastAsia="宋体" w:cs="宋体"/>
                <w:sz w:val="18"/>
                <w:szCs w:val="18"/>
              </w:rPr>
            </w:pPr>
            <w:r>
              <w:rPr>
                <w:rFonts w:ascii="宋体" w:hAnsi="宋体" w:eastAsia="宋体" w:cs="宋体"/>
                <w:spacing w:val="-5"/>
                <w:sz w:val="18"/>
                <w:szCs w:val="18"/>
              </w:rPr>
              <w:t>安装工程</w:t>
            </w:r>
          </w:p>
        </w:tc>
        <w:tc>
          <w:tcPr>
            <w:tcW w:w="2847" w:type="dxa"/>
            <w:gridSpan w:val="3"/>
            <w:vAlign w:val="top"/>
          </w:tcPr>
          <w:p>
            <w:pPr>
              <w:spacing w:before="178" w:line="260" w:lineRule="exact"/>
              <w:ind w:left="1204"/>
              <w:rPr>
                <w:rFonts w:ascii="宋体" w:hAnsi="宋体" w:eastAsia="宋体" w:cs="宋体"/>
                <w:sz w:val="18"/>
                <w:szCs w:val="18"/>
              </w:rPr>
            </w:pPr>
            <w:r>
              <w:rPr>
                <w:rFonts w:ascii="宋体" w:hAnsi="宋体" w:eastAsia="宋体" w:cs="宋体"/>
                <w:spacing w:val="-11"/>
                <w:position w:val="2"/>
                <w:sz w:val="18"/>
                <w:szCs w:val="18"/>
              </w:rPr>
              <w:t>47.37</w:t>
            </w:r>
          </w:p>
        </w:tc>
        <w:tc>
          <w:tcPr>
            <w:tcW w:w="2866" w:type="dxa"/>
            <w:gridSpan w:val="3"/>
            <w:tcBorders>
              <w:right w:val="single" w:color="000000" w:sz="4" w:space="0"/>
            </w:tcBorders>
            <w:vAlign w:val="top"/>
          </w:tcPr>
          <w:p>
            <w:pPr>
              <w:spacing w:before="178" w:line="260" w:lineRule="exact"/>
              <w:ind w:left="1218"/>
              <w:rPr>
                <w:rFonts w:ascii="宋体" w:hAnsi="宋体" w:eastAsia="宋体" w:cs="宋体"/>
                <w:sz w:val="18"/>
                <w:szCs w:val="18"/>
              </w:rPr>
            </w:pPr>
            <w:r>
              <w:rPr>
                <w:rFonts w:ascii="宋体" w:hAnsi="宋体" w:eastAsia="宋体" w:cs="宋体"/>
                <w:spacing w:val="-12"/>
                <w:position w:val="1"/>
                <w:sz w:val="18"/>
                <w:szCs w:val="18"/>
              </w:rPr>
              <w:t>29.15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9" w:hRule="atLeast"/>
        </w:trPr>
        <w:tc>
          <w:tcPr>
            <w:tcW w:w="3366" w:type="dxa"/>
            <w:gridSpan w:val="2"/>
            <w:tcBorders>
              <w:left w:val="single" w:color="000000" w:sz="4" w:space="0"/>
            </w:tcBorders>
            <w:vAlign w:val="top"/>
          </w:tcPr>
          <w:p>
            <w:pPr>
              <w:spacing w:before="191" w:line="215" w:lineRule="auto"/>
              <w:ind w:left="1063"/>
              <w:rPr>
                <w:rFonts w:ascii="宋体" w:hAnsi="宋体" w:eastAsia="宋体" w:cs="宋体"/>
                <w:sz w:val="18"/>
                <w:szCs w:val="18"/>
              </w:rPr>
            </w:pPr>
            <w:r>
              <w:rPr>
                <w:rFonts w:ascii="宋体" w:hAnsi="宋体" w:eastAsia="宋体" w:cs="宋体"/>
                <w:spacing w:val="-4"/>
                <w:sz w:val="18"/>
                <w:szCs w:val="18"/>
              </w:rPr>
              <w:t>古建筑修缮工程</w:t>
            </w:r>
          </w:p>
        </w:tc>
        <w:tc>
          <w:tcPr>
            <w:tcW w:w="2847" w:type="dxa"/>
            <w:gridSpan w:val="3"/>
            <w:vAlign w:val="top"/>
          </w:tcPr>
          <w:p>
            <w:pPr>
              <w:spacing w:before="182" w:line="256" w:lineRule="exact"/>
              <w:ind w:left="1204"/>
              <w:rPr>
                <w:rFonts w:ascii="宋体" w:hAnsi="宋体" w:eastAsia="宋体" w:cs="宋体"/>
                <w:sz w:val="18"/>
                <w:szCs w:val="18"/>
              </w:rPr>
            </w:pPr>
            <w:r>
              <w:rPr>
                <w:rFonts w:ascii="宋体" w:hAnsi="宋体" w:eastAsia="宋体" w:cs="宋体"/>
                <w:spacing w:val="-11"/>
                <w:position w:val="1"/>
                <w:sz w:val="18"/>
                <w:szCs w:val="18"/>
              </w:rPr>
              <w:t>47.09</w:t>
            </w:r>
          </w:p>
        </w:tc>
        <w:tc>
          <w:tcPr>
            <w:tcW w:w="2866" w:type="dxa"/>
            <w:gridSpan w:val="3"/>
            <w:tcBorders>
              <w:right w:val="single" w:color="000000" w:sz="4" w:space="0"/>
            </w:tcBorders>
            <w:vAlign w:val="top"/>
          </w:tcPr>
          <w:p>
            <w:pPr>
              <w:spacing w:before="182" w:line="256" w:lineRule="exact"/>
              <w:ind w:left="1218"/>
              <w:rPr>
                <w:rFonts w:ascii="宋体" w:hAnsi="宋体" w:eastAsia="宋体" w:cs="宋体"/>
                <w:sz w:val="18"/>
                <w:szCs w:val="18"/>
              </w:rPr>
            </w:pPr>
            <w:r>
              <w:rPr>
                <w:rFonts w:ascii="宋体" w:hAnsi="宋体" w:eastAsia="宋体" w:cs="宋体"/>
                <w:spacing w:val="-12"/>
                <w:position w:val="1"/>
                <w:sz w:val="18"/>
                <w:szCs w:val="18"/>
              </w:rPr>
              <w:t>28.47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6" w:hRule="atLeast"/>
        </w:trPr>
        <w:tc>
          <w:tcPr>
            <w:tcW w:w="1112" w:type="dxa"/>
            <w:vMerge w:val="restart"/>
            <w:tcBorders>
              <w:left w:val="single" w:color="000000" w:sz="4" w:space="0"/>
              <w:bottom w:val="nil"/>
            </w:tcBorders>
            <w:vAlign w:val="top"/>
          </w:tcPr>
          <w:p>
            <w:pPr>
              <w:spacing w:before="126" w:line="210" w:lineRule="auto"/>
              <w:ind w:left="385"/>
              <w:rPr>
                <w:rFonts w:ascii="宋体" w:hAnsi="宋体" w:eastAsia="宋体" w:cs="宋体"/>
                <w:sz w:val="18"/>
                <w:szCs w:val="18"/>
              </w:rPr>
            </w:pPr>
            <w:r>
              <w:rPr>
                <w:rFonts w:ascii="宋体" w:hAnsi="宋体" w:eastAsia="宋体" w:cs="宋体"/>
                <w:spacing w:val="-3"/>
                <w:sz w:val="18"/>
                <w:szCs w:val="18"/>
              </w:rPr>
              <w:t>市政</w:t>
            </w:r>
          </w:p>
          <w:p>
            <w:pPr>
              <w:spacing w:before="125" w:line="212" w:lineRule="auto"/>
              <w:ind w:left="379"/>
              <w:rPr>
                <w:rFonts w:ascii="宋体" w:hAnsi="宋体" w:eastAsia="宋体" w:cs="宋体"/>
                <w:sz w:val="18"/>
                <w:szCs w:val="18"/>
              </w:rPr>
            </w:pPr>
            <w:r>
              <w:rPr>
                <w:rFonts w:ascii="宋体" w:hAnsi="宋体" w:eastAsia="宋体" w:cs="宋体"/>
                <w:spacing w:val="-2"/>
                <w:sz w:val="18"/>
                <w:szCs w:val="18"/>
              </w:rPr>
              <w:t>养护</w:t>
            </w:r>
          </w:p>
          <w:p>
            <w:pPr>
              <w:spacing w:before="124" w:line="212" w:lineRule="auto"/>
              <w:ind w:left="382"/>
              <w:rPr>
                <w:rFonts w:ascii="宋体" w:hAnsi="宋体" w:eastAsia="宋体" w:cs="宋体"/>
                <w:sz w:val="18"/>
                <w:szCs w:val="18"/>
              </w:rPr>
            </w:pPr>
            <w:r>
              <w:rPr>
                <w:rFonts w:ascii="宋体" w:hAnsi="宋体" w:eastAsia="宋体" w:cs="宋体"/>
                <w:spacing w:val="-3"/>
                <w:sz w:val="18"/>
                <w:szCs w:val="18"/>
              </w:rPr>
              <w:t>维修</w:t>
            </w:r>
          </w:p>
          <w:p>
            <w:pPr>
              <w:spacing w:before="119" w:line="202" w:lineRule="auto"/>
              <w:ind w:left="382"/>
              <w:rPr>
                <w:rFonts w:ascii="宋体" w:hAnsi="宋体" w:eastAsia="宋体" w:cs="宋体"/>
                <w:sz w:val="18"/>
                <w:szCs w:val="18"/>
              </w:rPr>
            </w:pPr>
            <w:r>
              <w:rPr>
                <w:rFonts w:ascii="宋体" w:hAnsi="宋体" w:eastAsia="宋体" w:cs="宋体"/>
                <w:spacing w:val="-3"/>
                <w:sz w:val="18"/>
                <w:szCs w:val="18"/>
              </w:rPr>
              <w:t>工程</w:t>
            </w:r>
          </w:p>
        </w:tc>
        <w:tc>
          <w:tcPr>
            <w:tcW w:w="2254" w:type="dxa"/>
            <w:vAlign w:val="top"/>
          </w:tcPr>
          <w:p>
            <w:pPr>
              <w:spacing w:before="137" w:line="266" w:lineRule="auto"/>
              <w:ind w:left="406" w:right="363" w:hanging="90"/>
              <w:rPr>
                <w:rFonts w:ascii="宋体" w:hAnsi="宋体" w:eastAsia="宋体" w:cs="宋体"/>
                <w:sz w:val="18"/>
                <w:szCs w:val="18"/>
              </w:rPr>
            </w:pPr>
            <w:r>
              <w:rPr>
                <w:rFonts w:ascii="宋体" w:hAnsi="宋体" w:eastAsia="宋体" w:cs="宋体"/>
                <w:spacing w:val="-6"/>
                <w:sz w:val="18"/>
                <w:szCs w:val="18"/>
              </w:rPr>
              <w:t>道路、桥涵、隧道、</w:t>
            </w:r>
            <w:r>
              <w:rPr>
                <w:rFonts w:ascii="宋体" w:hAnsi="宋体" w:eastAsia="宋体" w:cs="宋体"/>
                <w:spacing w:val="-2"/>
                <w:sz w:val="18"/>
                <w:szCs w:val="18"/>
              </w:rPr>
              <w:t>排水养护维修工程</w:t>
            </w:r>
          </w:p>
        </w:tc>
        <w:tc>
          <w:tcPr>
            <w:tcW w:w="2847" w:type="dxa"/>
            <w:gridSpan w:val="3"/>
            <w:vAlign w:val="top"/>
          </w:tcPr>
          <w:p>
            <w:pPr>
              <w:spacing w:before="258" w:line="260" w:lineRule="exact"/>
              <w:ind w:left="1234"/>
              <w:rPr>
                <w:rFonts w:ascii="宋体" w:hAnsi="宋体" w:eastAsia="宋体" w:cs="宋体"/>
                <w:sz w:val="18"/>
                <w:szCs w:val="18"/>
              </w:rPr>
            </w:pPr>
            <w:r>
              <w:rPr>
                <w:rFonts w:ascii="宋体" w:hAnsi="宋体" w:eastAsia="宋体" w:cs="宋体"/>
                <w:spacing w:val="-16"/>
                <w:position w:val="1"/>
                <w:sz w:val="18"/>
                <w:szCs w:val="18"/>
              </w:rPr>
              <w:t>18.92</w:t>
            </w:r>
          </w:p>
        </w:tc>
        <w:tc>
          <w:tcPr>
            <w:tcW w:w="2866" w:type="dxa"/>
            <w:gridSpan w:val="3"/>
            <w:tcBorders>
              <w:right w:val="single" w:color="000000" w:sz="4" w:space="0"/>
            </w:tcBorders>
            <w:vAlign w:val="top"/>
          </w:tcPr>
          <w:p>
            <w:pPr>
              <w:spacing w:before="258" w:line="260" w:lineRule="exact"/>
              <w:ind w:left="1243"/>
              <w:rPr>
                <w:rFonts w:ascii="宋体" w:hAnsi="宋体" w:eastAsia="宋体" w:cs="宋体"/>
                <w:sz w:val="18"/>
                <w:szCs w:val="18"/>
              </w:rPr>
            </w:pPr>
            <w:r>
              <w:rPr>
                <w:rFonts w:ascii="宋体" w:hAnsi="宋体" w:eastAsia="宋体" w:cs="宋体"/>
                <w:spacing w:val="-16"/>
                <w:position w:val="1"/>
                <w:sz w:val="18"/>
                <w:szCs w:val="18"/>
              </w:rPr>
              <w:t>11.28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5" w:hRule="atLeast"/>
        </w:trPr>
        <w:tc>
          <w:tcPr>
            <w:tcW w:w="1112" w:type="dxa"/>
            <w:vMerge w:val="continue"/>
            <w:tcBorders>
              <w:top w:val="nil"/>
              <w:left w:val="single" w:color="000000" w:sz="4" w:space="0"/>
            </w:tcBorders>
            <w:vAlign w:val="top"/>
          </w:tcPr>
          <w:p>
            <w:pPr>
              <w:pStyle w:val="6"/>
            </w:pPr>
          </w:p>
        </w:tc>
        <w:tc>
          <w:tcPr>
            <w:tcW w:w="2254" w:type="dxa"/>
            <w:vAlign w:val="top"/>
          </w:tcPr>
          <w:p>
            <w:pPr>
              <w:spacing w:before="134" w:line="267" w:lineRule="auto"/>
              <w:ind w:left="407" w:right="363" w:hanging="83"/>
              <w:rPr>
                <w:rFonts w:ascii="宋体" w:hAnsi="宋体" w:eastAsia="宋体" w:cs="宋体"/>
                <w:sz w:val="18"/>
                <w:szCs w:val="18"/>
              </w:rPr>
            </w:pPr>
            <w:r>
              <w:rPr>
                <w:rFonts w:ascii="宋体" w:hAnsi="宋体" w:eastAsia="宋体" w:cs="宋体"/>
                <w:spacing w:val="-7"/>
                <w:sz w:val="18"/>
                <w:szCs w:val="18"/>
              </w:rPr>
              <w:t>给水、燃气、供热、</w:t>
            </w:r>
            <w:r>
              <w:rPr>
                <w:rFonts w:ascii="宋体" w:hAnsi="宋体" w:eastAsia="宋体" w:cs="宋体"/>
                <w:spacing w:val="-4"/>
                <w:sz w:val="18"/>
                <w:szCs w:val="18"/>
              </w:rPr>
              <w:t>路灯养护维修工程</w:t>
            </w:r>
          </w:p>
        </w:tc>
        <w:tc>
          <w:tcPr>
            <w:tcW w:w="2847" w:type="dxa"/>
            <w:gridSpan w:val="3"/>
            <w:vAlign w:val="top"/>
          </w:tcPr>
          <w:p>
            <w:pPr>
              <w:spacing w:before="259" w:line="260" w:lineRule="exact"/>
              <w:ind w:left="1209"/>
              <w:rPr>
                <w:rFonts w:ascii="宋体" w:hAnsi="宋体" w:eastAsia="宋体" w:cs="宋体"/>
                <w:sz w:val="18"/>
                <w:szCs w:val="18"/>
              </w:rPr>
            </w:pPr>
            <w:r>
              <w:rPr>
                <w:rFonts w:ascii="宋体" w:hAnsi="宋体" w:eastAsia="宋体" w:cs="宋体"/>
                <w:spacing w:val="-12"/>
                <w:position w:val="2"/>
                <w:sz w:val="18"/>
                <w:szCs w:val="18"/>
              </w:rPr>
              <w:t>23.64</w:t>
            </w:r>
          </w:p>
        </w:tc>
        <w:tc>
          <w:tcPr>
            <w:tcW w:w="2866" w:type="dxa"/>
            <w:gridSpan w:val="3"/>
            <w:tcBorders>
              <w:right w:val="single" w:color="000000" w:sz="4" w:space="0"/>
            </w:tcBorders>
            <w:vAlign w:val="top"/>
          </w:tcPr>
          <w:p>
            <w:pPr>
              <w:spacing w:before="259" w:line="260" w:lineRule="exact"/>
              <w:ind w:left="1243"/>
              <w:rPr>
                <w:rFonts w:ascii="宋体" w:hAnsi="宋体" w:eastAsia="宋体" w:cs="宋体"/>
                <w:sz w:val="18"/>
                <w:szCs w:val="18"/>
              </w:rPr>
            </w:pPr>
            <w:r>
              <w:rPr>
                <w:rFonts w:ascii="宋体" w:hAnsi="宋体" w:eastAsia="宋体" w:cs="宋体"/>
                <w:spacing w:val="-16"/>
                <w:position w:val="1"/>
                <w:sz w:val="18"/>
                <w:szCs w:val="18"/>
              </w:rPr>
              <w:t>14.10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3366" w:type="dxa"/>
            <w:gridSpan w:val="2"/>
            <w:tcBorders>
              <w:left w:val="single" w:color="000000" w:sz="4" w:space="0"/>
              <w:bottom w:val="single" w:color="000000" w:sz="4" w:space="0"/>
            </w:tcBorders>
            <w:vAlign w:val="top"/>
          </w:tcPr>
          <w:p>
            <w:pPr>
              <w:spacing w:before="202" w:line="215" w:lineRule="auto"/>
              <w:ind w:left="1148"/>
              <w:rPr>
                <w:rFonts w:ascii="宋体" w:hAnsi="宋体" w:eastAsia="宋体" w:cs="宋体"/>
                <w:sz w:val="18"/>
                <w:szCs w:val="18"/>
              </w:rPr>
            </w:pPr>
            <w:r>
              <w:rPr>
                <w:rFonts w:ascii="宋体" w:hAnsi="宋体" w:eastAsia="宋体" w:cs="宋体"/>
                <w:spacing w:val="-4"/>
                <w:sz w:val="18"/>
                <w:szCs w:val="18"/>
              </w:rPr>
              <w:t>仿古建筑工程</w:t>
            </w:r>
          </w:p>
        </w:tc>
        <w:tc>
          <w:tcPr>
            <w:tcW w:w="2847" w:type="dxa"/>
            <w:gridSpan w:val="3"/>
            <w:tcBorders>
              <w:bottom w:val="single" w:color="000000" w:sz="4" w:space="0"/>
            </w:tcBorders>
            <w:vAlign w:val="top"/>
          </w:tcPr>
          <w:p>
            <w:pPr>
              <w:spacing w:before="189" w:line="260" w:lineRule="exact"/>
              <w:ind w:left="1212"/>
              <w:rPr>
                <w:rFonts w:ascii="宋体" w:hAnsi="宋体" w:eastAsia="宋体" w:cs="宋体"/>
                <w:sz w:val="18"/>
                <w:szCs w:val="18"/>
              </w:rPr>
            </w:pPr>
            <w:r>
              <w:rPr>
                <w:rFonts w:ascii="宋体" w:hAnsi="宋体" w:eastAsia="宋体" w:cs="宋体"/>
                <w:spacing w:val="-13"/>
                <w:position w:val="1"/>
                <w:sz w:val="18"/>
                <w:szCs w:val="18"/>
              </w:rPr>
              <w:t>30.16</w:t>
            </w:r>
          </w:p>
        </w:tc>
        <w:tc>
          <w:tcPr>
            <w:tcW w:w="2866" w:type="dxa"/>
            <w:gridSpan w:val="3"/>
            <w:tcBorders>
              <w:bottom w:val="single" w:color="000000" w:sz="4" w:space="0"/>
              <w:right w:val="single" w:color="000000" w:sz="4" w:space="0"/>
            </w:tcBorders>
            <w:vAlign w:val="top"/>
          </w:tcPr>
          <w:p>
            <w:pPr>
              <w:spacing w:before="189" w:line="260" w:lineRule="exact"/>
              <w:ind w:left="1243"/>
              <w:rPr>
                <w:rFonts w:ascii="宋体" w:hAnsi="宋体" w:eastAsia="宋体" w:cs="宋体"/>
                <w:sz w:val="18"/>
                <w:szCs w:val="18"/>
              </w:rPr>
            </w:pPr>
            <w:r>
              <w:rPr>
                <w:rFonts w:ascii="宋体" w:hAnsi="宋体" w:eastAsia="宋体" w:cs="宋体"/>
                <w:spacing w:val="-16"/>
                <w:position w:val="1"/>
                <w:sz w:val="18"/>
                <w:szCs w:val="18"/>
              </w:rPr>
              <w:t>13.13</w:t>
            </w:r>
          </w:p>
        </w:tc>
      </w:tr>
    </w:tbl>
    <w:p>
      <w:pPr>
        <w:rPr>
          <w:rFonts w:ascii="Arial"/>
          <w:sz w:val="21"/>
        </w:rPr>
      </w:pPr>
    </w:p>
    <w:p>
      <w:pPr>
        <w:rPr>
          <w:rFonts w:ascii="Arial" w:hAnsi="Arial" w:eastAsia="Arial" w:cs="Arial"/>
          <w:sz w:val="21"/>
          <w:szCs w:val="21"/>
        </w:rPr>
        <w:sectPr>
          <w:footerReference r:id="rId224" w:type="default"/>
          <w:pgSz w:w="11905" w:h="16840"/>
          <w:pgMar w:top="400" w:right="1398" w:bottom="1213" w:left="1416" w:header="0" w:footer="898" w:gutter="0"/>
        </w:sect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8" w:line="222" w:lineRule="auto"/>
        <w:ind w:left="481"/>
        <w:rPr>
          <w:rFonts w:ascii="黑体" w:hAnsi="黑体" w:eastAsia="黑体" w:cs="黑体"/>
          <w:sz w:val="24"/>
          <w:szCs w:val="24"/>
        </w:rPr>
      </w:pPr>
      <w:r>
        <w:rPr>
          <w:rFonts w:ascii="黑体" w:hAnsi="黑体" w:eastAsia="黑体" w:cs="黑体"/>
          <w:spacing w:val="-7"/>
          <w:sz w:val="24"/>
          <w:szCs w:val="24"/>
        </w:rPr>
        <w:t>三、其他项目费</w:t>
      </w:r>
    </w:p>
    <w:p>
      <w:pPr>
        <w:spacing w:before="171" w:line="214" w:lineRule="auto"/>
        <w:ind w:left="409"/>
        <w:rPr>
          <w:rFonts w:ascii="KaiTi_GB2312" w:hAnsi="KaiTi_GB2312" w:eastAsia="KaiTi_GB2312" w:cs="KaiTi_GB2312"/>
          <w:sz w:val="24"/>
          <w:szCs w:val="24"/>
        </w:rPr>
      </w:pPr>
      <w:r>
        <w:rPr>
          <w:rFonts w:ascii="KaiTi_GB2312" w:hAnsi="KaiTi_GB2312" w:eastAsia="KaiTi_GB2312" w:cs="KaiTi_GB2312"/>
          <w:spacing w:val="9"/>
          <w:sz w:val="24"/>
          <w:szCs w:val="24"/>
        </w:rPr>
        <w:t>（</w:t>
      </w:r>
      <w:r>
        <w:rPr>
          <w:rFonts w:ascii="KaiTi_GB2312" w:hAnsi="KaiTi_GB2312" w:eastAsia="KaiTi_GB2312" w:cs="KaiTi_GB2312"/>
          <w:spacing w:val="-44"/>
          <w:sz w:val="24"/>
          <w:szCs w:val="24"/>
        </w:rPr>
        <w:t xml:space="preserve"> </w:t>
      </w:r>
      <w:r>
        <w:rPr>
          <w:rFonts w:ascii="KaiTi_GB2312" w:hAnsi="KaiTi_GB2312" w:eastAsia="KaiTi_GB2312" w:cs="KaiTi_GB2312"/>
          <w:spacing w:val="9"/>
          <w:sz w:val="24"/>
          <w:szCs w:val="24"/>
        </w:rPr>
        <w:t>一）建设项目工伤保险、优质优价费</w:t>
      </w:r>
    </w:p>
    <w:p>
      <w:pPr>
        <w:spacing w:line="384" w:lineRule="auto"/>
        <w:rPr>
          <w:rFonts w:ascii="Arial"/>
          <w:sz w:val="21"/>
        </w:rPr>
      </w:pPr>
    </w:p>
    <w:p>
      <w:pPr>
        <w:spacing w:before="65" w:line="279" w:lineRule="exact"/>
        <w:ind w:left="446"/>
        <w:rPr>
          <w:rFonts w:ascii="宋体" w:hAnsi="宋体" w:eastAsia="宋体" w:cs="宋体"/>
          <w:sz w:val="20"/>
          <w:szCs w:val="20"/>
        </w:rPr>
      </w:pPr>
      <w:r>
        <w:rPr>
          <w:rFonts w:ascii="宋体" w:hAnsi="宋体" w:eastAsia="宋体" w:cs="宋体"/>
          <w:spacing w:val="13"/>
          <w:position w:val="1"/>
          <w:sz w:val="20"/>
          <w:szCs w:val="20"/>
        </w:rPr>
        <w:t>1.</w:t>
      </w:r>
      <w:r>
        <w:rPr>
          <w:rFonts w:ascii="宋体" w:hAnsi="宋体" w:eastAsia="宋体" w:cs="宋体"/>
          <w:spacing w:val="34"/>
          <w:position w:val="1"/>
          <w:sz w:val="20"/>
          <w:szCs w:val="20"/>
        </w:rPr>
        <w:t xml:space="preserve"> </w:t>
      </w:r>
      <w:r>
        <w:rPr>
          <w:rFonts w:ascii="宋体" w:hAnsi="宋体" w:eastAsia="宋体" w:cs="宋体"/>
          <w:spacing w:val="13"/>
          <w:position w:val="1"/>
          <w:sz w:val="20"/>
          <w:szCs w:val="20"/>
        </w:rPr>
        <w:t>一般计税法（单位：</w:t>
      </w:r>
      <w:r>
        <w:rPr>
          <w:rFonts w:ascii="宋体" w:hAnsi="宋体" w:eastAsia="宋体" w:cs="宋体"/>
          <w:spacing w:val="-52"/>
          <w:position w:val="1"/>
          <w:sz w:val="20"/>
          <w:szCs w:val="20"/>
        </w:rPr>
        <w:t xml:space="preserve"> </w:t>
      </w:r>
      <w:r>
        <w:rPr>
          <w:rFonts w:ascii="宋体" w:hAnsi="宋体" w:eastAsia="宋体" w:cs="宋体"/>
          <w:spacing w:val="13"/>
          <w:position w:val="1"/>
          <w:sz w:val="20"/>
          <w:szCs w:val="20"/>
        </w:rPr>
        <w:t>%）</w:t>
      </w:r>
    </w:p>
    <w:p>
      <w:pPr>
        <w:spacing w:line="77" w:lineRule="auto"/>
        <w:rPr>
          <w:rFonts w:ascii="Arial"/>
          <w:sz w:val="2"/>
        </w:rPr>
      </w:pPr>
    </w:p>
    <w:tbl>
      <w:tblPr>
        <w:tblStyle w:val="5"/>
        <w:tblW w:w="9053"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5"/>
        <w:gridCol w:w="1141"/>
        <w:gridCol w:w="644"/>
        <w:gridCol w:w="643"/>
        <w:gridCol w:w="645"/>
        <w:gridCol w:w="673"/>
        <w:gridCol w:w="666"/>
        <w:gridCol w:w="799"/>
        <w:gridCol w:w="680"/>
        <w:gridCol w:w="676"/>
        <w:gridCol w:w="678"/>
        <w:gridCol w:w="6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256" w:type="dxa"/>
            <w:gridSpan w:val="2"/>
            <w:vMerge w:val="restart"/>
            <w:tcBorders>
              <w:top w:val="single" w:color="000000" w:sz="4" w:space="0"/>
              <w:left w:val="single" w:color="000000" w:sz="4" w:space="0"/>
              <w:bottom w:val="nil"/>
            </w:tcBorders>
            <w:vAlign w:val="top"/>
          </w:tcPr>
          <w:p>
            <w:pPr>
              <w:spacing w:before="223" w:line="243" w:lineRule="auto"/>
              <w:ind w:left="131" w:right="405" w:firstLine="1007"/>
              <w:rPr>
                <w:rFonts w:ascii="黑体" w:hAnsi="黑体" w:eastAsia="黑体" w:cs="黑体"/>
                <w:sz w:val="18"/>
                <w:szCs w:val="18"/>
              </w:rPr>
            </w:pPr>
            <w:r>
              <w:drawing>
                <wp:anchor distT="0" distB="0" distL="0" distR="0" simplePos="0" relativeHeight="258501632" behindDoc="1" locked="0" layoutInCell="1" allowOverlap="1">
                  <wp:simplePos x="0" y="0"/>
                  <wp:positionH relativeFrom="column">
                    <wp:posOffset>0</wp:posOffset>
                  </wp:positionH>
                  <wp:positionV relativeFrom="paragraph">
                    <wp:posOffset>-635</wp:posOffset>
                  </wp:positionV>
                  <wp:extent cx="1424305" cy="518795"/>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401"/>
                          <a:stretch>
                            <a:fillRect/>
                          </a:stretch>
                        </pic:blipFill>
                        <pic:spPr>
                          <a:xfrm>
                            <a:off x="0" y="0"/>
                            <a:ext cx="1424355" cy="518972"/>
                          </a:xfrm>
                          <a:prstGeom prst="rect">
                            <a:avLst/>
                          </a:prstGeom>
                        </pic:spPr>
                      </pic:pic>
                    </a:graphicData>
                  </a:graphic>
                </wp:anchor>
              </w:drawing>
            </w:r>
            <w:r>
              <w:rPr>
                <w:rFonts w:ascii="黑体" w:hAnsi="黑体" w:eastAsia="黑体" w:cs="黑体"/>
                <w:spacing w:val="-4"/>
                <w:sz w:val="18"/>
                <w:szCs w:val="18"/>
              </w:rPr>
              <w:t>专业名称</w:t>
            </w:r>
            <w:r>
              <w:rPr>
                <w:rFonts w:ascii="黑体" w:hAnsi="黑体" w:eastAsia="黑体" w:cs="黑体"/>
                <w:spacing w:val="-7"/>
                <w:sz w:val="18"/>
                <w:szCs w:val="18"/>
              </w:rPr>
              <w:t>费用名称</w:t>
            </w:r>
          </w:p>
        </w:tc>
        <w:tc>
          <w:tcPr>
            <w:tcW w:w="644" w:type="dxa"/>
            <w:vMerge w:val="restart"/>
            <w:tcBorders>
              <w:top w:val="single" w:color="000000" w:sz="4" w:space="0"/>
              <w:bottom w:val="nil"/>
            </w:tcBorders>
            <w:vAlign w:val="top"/>
          </w:tcPr>
          <w:p>
            <w:pPr>
              <w:pStyle w:val="6"/>
              <w:spacing w:line="259" w:lineRule="auto"/>
            </w:pPr>
          </w:p>
          <w:p>
            <w:pPr>
              <w:spacing w:before="59" w:line="222" w:lineRule="auto"/>
              <w:ind w:left="151"/>
              <w:rPr>
                <w:rFonts w:ascii="黑体" w:hAnsi="黑体" w:eastAsia="黑体" w:cs="黑体"/>
                <w:sz w:val="18"/>
                <w:szCs w:val="18"/>
              </w:rPr>
            </w:pPr>
            <w:r>
              <w:rPr>
                <w:rFonts w:ascii="黑体" w:hAnsi="黑体" w:eastAsia="黑体" w:cs="黑体"/>
                <w:spacing w:val="-4"/>
                <w:sz w:val="18"/>
                <w:szCs w:val="18"/>
              </w:rPr>
              <w:t>建筑</w:t>
            </w:r>
          </w:p>
        </w:tc>
        <w:tc>
          <w:tcPr>
            <w:tcW w:w="643" w:type="dxa"/>
            <w:vMerge w:val="restart"/>
            <w:tcBorders>
              <w:top w:val="single" w:color="000000" w:sz="4" w:space="0"/>
              <w:bottom w:val="nil"/>
            </w:tcBorders>
            <w:vAlign w:val="top"/>
          </w:tcPr>
          <w:p>
            <w:pPr>
              <w:pStyle w:val="6"/>
              <w:spacing w:line="260" w:lineRule="auto"/>
            </w:pPr>
          </w:p>
          <w:p>
            <w:pPr>
              <w:spacing w:before="58" w:line="223" w:lineRule="auto"/>
              <w:ind w:left="156"/>
              <w:rPr>
                <w:rFonts w:ascii="黑体" w:hAnsi="黑体" w:eastAsia="黑体" w:cs="黑体"/>
                <w:sz w:val="18"/>
                <w:szCs w:val="18"/>
              </w:rPr>
            </w:pPr>
            <w:r>
              <w:rPr>
                <w:rFonts w:ascii="黑体" w:hAnsi="黑体" w:eastAsia="黑体" w:cs="黑体"/>
                <w:spacing w:val="-7"/>
                <w:sz w:val="18"/>
                <w:szCs w:val="18"/>
              </w:rPr>
              <w:t>装饰</w:t>
            </w:r>
          </w:p>
        </w:tc>
        <w:tc>
          <w:tcPr>
            <w:tcW w:w="645" w:type="dxa"/>
            <w:vMerge w:val="restart"/>
            <w:tcBorders>
              <w:top w:val="single" w:color="000000" w:sz="4" w:space="0"/>
              <w:bottom w:val="nil"/>
            </w:tcBorders>
            <w:vAlign w:val="top"/>
          </w:tcPr>
          <w:p>
            <w:pPr>
              <w:pStyle w:val="6"/>
              <w:spacing w:line="260" w:lineRule="auto"/>
            </w:pPr>
          </w:p>
          <w:p>
            <w:pPr>
              <w:spacing w:before="58" w:line="223" w:lineRule="auto"/>
              <w:ind w:left="162"/>
              <w:rPr>
                <w:rFonts w:ascii="黑体" w:hAnsi="黑体" w:eastAsia="黑体" w:cs="黑体"/>
                <w:sz w:val="18"/>
                <w:szCs w:val="18"/>
              </w:rPr>
            </w:pPr>
            <w:r>
              <w:rPr>
                <w:rFonts w:ascii="黑体" w:hAnsi="黑体" w:eastAsia="黑体" w:cs="黑体"/>
                <w:spacing w:val="-8"/>
                <w:sz w:val="18"/>
                <w:szCs w:val="18"/>
              </w:rPr>
              <w:t>安装</w:t>
            </w:r>
          </w:p>
        </w:tc>
        <w:tc>
          <w:tcPr>
            <w:tcW w:w="1339" w:type="dxa"/>
            <w:gridSpan w:val="2"/>
            <w:tcBorders>
              <w:top w:val="single" w:color="000000" w:sz="4" w:space="0"/>
            </w:tcBorders>
            <w:vAlign w:val="top"/>
          </w:tcPr>
          <w:p>
            <w:pPr>
              <w:spacing w:before="125" w:line="220" w:lineRule="auto"/>
              <w:ind w:left="322"/>
              <w:rPr>
                <w:rFonts w:ascii="黑体" w:hAnsi="黑体" w:eastAsia="黑体" w:cs="黑体"/>
                <w:sz w:val="18"/>
                <w:szCs w:val="18"/>
              </w:rPr>
            </w:pPr>
            <w:r>
              <w:rPr>
                <w:rFonts w:ascii="黑体" w:hAnsi="黑体" w:eastAsia="黑体" w:cs="黑体"/>
                <w:spacing w:val="-4"/>
                <w:sz w:val="18"/>
                <w:szCs w:val="18"/>
              </w:rPr>
              <w:t>房屋修缮</w:t>
            </w:r>
          </w:p>
        </w:tc>
        <w:tc>
          <w:tcPr>
            <w:tcW w:w="799" w:type="dxa"/>
            <w:vMerge w:val="restart"/>
            <w:tcBorders>
              <w:top w:val="single" w:color="000000" w:sz="4" w:space="0"/>
              <w:bottom w:val="nil"/>
            </w:tcBorders>
            <w:vAlign w:val="top"/>
          </w:tcPr>
          <w:p>
            <w:pPr>
              <w:spacing w:before="223" w:line="243" w:lineRule="auto"/>
              <w:ind w:left="234" w:right="116" w:hanging="83"/>
              <w:rPr>
                <w:rFonts w:ascii="黑体" w:hAnsi="黑体" w:eastAsia="黑体" w:cs="黑体"/>
                <w:sz w:val="18"/>
                <w:szCs w:val="18"/>
              </w:rPr>
            </w:pPr>
            <w:r>
              <w:rPr>
                <w:rFonts w:ascii="黑体" w:hAnsi="黑体" w:eastAsia="黑体" w:cs="黑体"/>
                <w:spacing w:val="-5"/>
                <w:sz w:val="18"/>
                <w:szCs w:val="18"/>
              </w:rPr>
              <w:t>古建筑</w:t>
            </w:r>
            <w:r>
              <w:rPr>
                <w:rFonts w:ascii="黑体" w:hAnsi="黑体" w:eastAsia="黑体" w:cs="黑体"/>
                <w:spacing w:val="-4"/>
                <w:sz w:val="18"/>
                <w:szCs w:val="18"/>
              </w:rPr>
              <w:t>修缮</w:t>
            </w:r>
          </w:p>
        </w:tc>
        <w:tc>
          <w:tcPr>
            <w:tcW w:w="680" w:type="dxa"/>
            <w:vMerge w:val="restart"/>
            <w:tcBorders>
              <w:top w:val="single" w:color="000000" w:sz="4" w:space="0"/>
              <w:bottom w:val="nil"/>
            </w:tcBorders>
            <w:vAlign w:val="top"/>
          </w:tcPr>
          <w:p>
            <w:pPr>
              <w:spacing w:before="224" w:line="242" w:lineRule="auto"/>
              <w:ind w:left="183" w:right="131" w:firstLine="21"/>
              <w:rPr>
                <w:rFonts w:ascii="黑体" w:hAnsi="黑体" w:eastAsia="黑体" w:cs="黑体"/>
                <w:sz w:val="18"/>
                <w:szCs w:val="18"/>
              </w:rPr>
            </w:pPr>
            <w:r>
              <w:rPr>
                <w:rFonts w:ascii="黑体" w:hAnsi="黑体" w:eastAsia="黑体" w:cs="黑体"/>
                <w:spacing w:val="-11"/>
                <w:sz w:val="18"/>
                <w:szCs w:val="18"/>
              </w:rPr>
              <w:t>园林</w:t>
            </w:r>
            <w:r>
              <w:rPr>
                <w:rFonts w:ascii="黑体" w:hAnsi="黑体" w:eastAsia="黑体" w:cs="黑体"/>
                <w:spacing w:val="-4"/>
                <w:sz w:val="18"/>
                <w:szCs w:val="18"/>
              </w:rPr>
              <w:t>绿化</w:t>
            </w:r>
          </w:p>
        </w:tc>
        <w:tc>
          <w:tcPr>
            <w:tcW w:w="676" w:type="dxa"/>
            <w:vMerge w:val="restart"/>
            <w:tcBorders>
              <w:top w:val="single" w:color="000000" w:sz="4" w:space="0"/>
              <w:bottom w:val="nil"/>
            </w:tcBorders>
            <w:vAlign w:val="top"/>
          </w:tcPr>
          <w:p>
            <w:pPr>
              <w:spacing w:before="223" w:line="243" w:lineRule="auto"/>
              <w:ind w:left="182" w:right="138"/>
              <w:rPr>
                <w:rFonts w:ascii="黑体" w:hAnsi="黑体" w:eastAsia="黑体" w:cs="黑体"/>
                <w:sz w:val="18"/>
                <w:szCs w:val="18"/>
              </w:rPr>
            </w:pPr>
            <w:r>
              <w:rPr>
                <w:rFonts w:ascii="黑体" w:hAnsi="黑体" w:eastAsia="黑体" w:cs="黑体"/>
                <w:spacing w:val="-6"/>
                <w:sz w:val="18"/>
                <w:szCs w:val="18"/>
              </w:rPr>
              <w:t>仿古</w:t>
            </w:r>
            <w:r>
              <w:rPr>
                <w:rFonts w:ascii="黑体" w:hAnsi="黑体" w:eastAsia="黑体" w:cs="黑体"/>
                <w:spacing w:val="-9"/>
                <w:sz w:val="18"/>
                <w:szCs w:val="18"/>
              </w:rPr>
              <w:t>建筑</w:t>
            </w:r>
          </w:p>
        </w:tc>
        <w:tc>
          <w:tcPr>
            <w:tcW w:w="678" w:type="dxa"/>
            <w:vMerge w:val="restart"/>
            <w:tcBorders>
              <w:top w:val="single" w:color="000000" w:sz="4" w:space="0"/>
              <w:bottom w:val="nil"/>
            </w:tcBorders>
            <w:vAlign w:val="top"/>
          </w:tcPr>
          <w:p>
            <w:pPr>
              <w:pStyle w:val="6"/>
              <w:spacing w:line="257" w:lineRule="auto"/>
            </w:pPr>
          </w:p>
          <w:p>
            <w:pPr>
              <w:spacing w:before="59" w:line="223" w:lineRule="auto"/>
              <w:ind w:left="189"/>
              <w:rPr>
                <w:rFonts w:ascii="黑体" w:hAnsi="黑体" w:eastAsia="黑体" w:cs="黑体"/>
                <w:sz w:val="18"/>
                <w:szCs w:val="18"/>
              </w:rPr>
            </w:pPr>
            <w:r>
              <w:rPr>
                <w:rFonts w:ascii="黑体" w:hAnsi="黑体" w:eastAsia="黑体" w:cs="黑体"/>
                <w:spacing w:val="-5"/>
                <w:sz w:val="18"/>
                <w:szCs w:val="18"/>
              </w:rPr>
              <w:t>市政</w:t>
            </w:r>
          </w:p>
        </w:tc>
        <w:tc>
          <w:tcPr>
            <w:tcW w:w="693" w:type="dxa"/>
            <w:vMerge w:val="restart"/>
            <w:tcBorders>
              <w:top w:val="single" w:color="000000" w:sz="4" w:space="0"/>
              <w:bottom w:val="nil"/>
              <w:right w:val="single" w:color="000000" w:sz="4" w:space="0"/>
            </w:tcBorders>
            <w:vAlign w:val="top"/>
          </w:tcPr>
          <w:p>
            <w:pPr>
              <w:spacing w:before="94" w:line="223" w:lineRule="auto"/>
              <w:ind w:left="191"/>
              <w:rPr>
                <w:rFonts w:ascii="黑体" w:hAnsi="黑体" w:eastAsia="黑体" w:cs="黑体"/>
                <w:sz w:val="18"/>
                <w:szCs w:val="18"/>
              </w:rPr>
            </w:pPr>
            <w:r>
              <w:rPr>
                <w:rFonts w:ascii="黑体" w:hAnsi="黑体" w:eastAsia="黑体" w:cs="黑体"/>
                <w:spacing w:val="-5"/>
                <w:sz w:val="18"/>
                <w:szCs w:val="18"/>
              </w:rPr>
              <w:t>市政</w:t>
            </w:r>
          </w:p>
          <w:p>
            <w:pPr>
              <w:spacing w:before="12" w:line="221" w:lineRule="auto"/>
              <w:ind w:left="184"/>
              <w:rPr>
                <w:rFonts w:ascii="黑体" w:hAnsi="黑体" w:eastAsia="黑体" w:cs="黑体"/>
                <w:sz w:val="18"/>
                <w:szCs w:val="18"/>
              </w:rPr>
            </w:pPr>
            <w:r>
              <w:rPr>
                <w:rFonts w:ascii="黑体" w:hAnsi="黑体" w:eastAsia="黑体" w:cs="黑体"/>
                <w:spacing w:val="-4"/>
                <w:sz w:val="18"/>
                <w:szCs w:val="18"/>
              </w:rPr>
              <w:t>养护</w:t>
            </w:r>
          </w:p>
          <w:p>
            <w:pPr>
              <w:spacing w:before="17" w:line="222" w:lineRule="auto"/>
              <w:ind w:left="185"/>
              <w:rPr>
                <w:rFonts w:ascii="黑体" w:hAnsi="黑体" w:eastAsia="黑体" w:cs="黑体"/>
                <w:sz w:val="18"/>
                <w:szCs w:val="18"/>
              </w:rPr>
            </w:pPr>
            <w:r>
              <w:rPr>
                <w:rFonts w:ascii="黑体" w:hAnsi="黑体" w:eastAsia="黑体" w:cs="黑体"/>
                <w:spacing w:val="-3"/>
                <w:sz w:val="18"/>
                <w:szCs w:val="18"/>
              </w:rPr>
              <w:t>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9" w:hRule="atLeast"/>
        </w:trPr>
        <w:tc>
          <w:tcPr>
            <w:tcW w:w="2256" w:type="dxa"/>
            <w:gridSpan w:val="2"/>
            <w:vMerge w:val="continue"/>
            <w:tcBorders>
              <w:top w:val="nil"/>
              <w:left w:val="single" w:color="000000" w:sz="4" w:space="0"/>
            </w:tcBorders>
            <w:vAlign w:val="top"/>
          </w:tcPr>
          <w:p>
            <w:pPr>
              <w:pStyle w:val="6"/>
            </w:pPr>
          </w:p>
        </w:tc>
        <w:tc>
          <w:tcPr>
            <w:tcW w:w="644" w:type="dxa"/>
            <w:vMerge w:val="continue"/>
            <w:tcBorders>
              <w:top w:val="nil"/>
            </w:tcBorders>
            <w:vAlign w:val="top"/>
          </w:tcPr>
          <w:p>
            <w:pPr>
              <w:pStyle w:val="6"/>
            </w:pPr>
          </w:p>
        </w:tc>
        <w:tc>
          <w:tcPr>
            <w:tcW w:w="643" w:type="dxa"/>
            <w:vMerge w:val="continue"/>
            <w:tcBorders>
              <w:top w:val="nil"/>
            </w:tcBorders>
            <w:vAlign w:val="top"/>
          </w:tcPr>
          <w:p>
            <w:pPr>
              <w:pStyle w:val="6"/>
            </w:pPr>
          </w:p>
        </w:tc>
        <w:tc>
          <w:tcPr>
            <w:tcW w:w="645" w:type="dxa"/>
            <w:vMerge w:val="continue"/>
            <w:tcBorders>
              <w:top w:val="nil"/>
            </w:tcBorders>
            <w:vAlign w:val="top"/>
          </w:tcPr>
          <w:p>
            <w:pPr>
              <w:pStyle w:val="6"/>
            </w:pPr>
          </w:p>
        </w:tc>
        <w:tc>
          <w:tcPr>
            <w:tcW w:w="673" w:type="dxa"/>
            <w:vAlign w:val="top"/>
          </w:tcPr>
          <w:p>
            <w:pPr>
              <w:spacing w:before="121" w:line="222" w:lineRule="auto"/>
              <w:ind w:left="170"/>
              <w:rPr>
                <w:rFonts w:ascii="黑体" w:hAnsi="黑体" w:eastAsia="黑体" w:cs="黑体"/>
                <w:sz w:val="18"/>
                <w:szCs w:val="18"/>
              </w:rPr>
            </w:pPr>
            <w:r>
              <w:rPr>
                <w:rFonts w:ascii="黑体" w:hAnsi="黑体" w:eastAsia="黑体" w:cs="黑体"/>
                <w:spacing w:val="-4"/>
                <w:sz w:val="18"/>
                <w:szCs w:val="18"/>
              </w:rPr>
              <w:t>建筑</w:t>
            </w:r>
          </w:p>
        </w:tc>
        <w:tc>
          <w:tcPr>
            <w:tcW w:w="666" w:type="dxa"/>
            <w:vAlign w:val="top"/>
          </w:tcPr>
          <w:p>
            <w:pPr>
              <w:spacing w:before="121" w:line="223" w:lineRule="auto"/>
              <w:ind w:left="176"/>
              <w:rPr>
                <w:rFonts w:ascii="黑体" w:hAnsi="黑体" w:eastAsia="黑体" w:cs="黑体"/>
                <w:sz w:val="18"/>
                <w:szCs w:val="18"/>
              </w:rPr>
            </w:pPr>
            <w:r>
              <w:rPr>
                <w:rFonts w:ascii="黑体" w:hAnsi="黑体" w:eastAsia="黑体" w:cs="黑体"/>
                <w:spacing w:val="-8"/>
                <w:sz w:val="18"/>
                <w:szCs w:val="18"/>
              </w:rPr>
              <w:t>安装</w:t>
            </w:r>
          </w:p>
        </w:tc>
        <w:tc>
          <w:tcPr>
            <w:tcW w:w="799" w:type="dxa"/>
            <w:vMerge w:val="continue"/>
            <w:tcBorders>
              <w:top w:val="nil"/>
            </w:tcBorders>
            <w:vAlign w:val="top"/>
          </w:tcPr>
          <w:p>
            <w:pPr>
              <w:pStyle w:val="6"/>
            </w:pPr>
          </w:p>
        </w:tc>
        <w:tc>
          <w:tcPr>
            <w:tcW w:w="680" w:type="dxa"/>
            <w:vMerge w:val="continue"/>
            <w:tcBorders>
              <w:top w:val="nil"/>
            </w:tcBorders>
            <w:vAlign w:val="top"/>
          </w:tcPr>
          <w:p>
            <w:pPr>
              <w:pStyle w:val="6"/>
            </w:pPr>
          </w:p>
        </w:tc>
        <w:tc>
          <w:tcPr>
            <w:tcW w:w="676" w:type="dxa"/>
            <w:vMerge w:val="continue"/>
            <w:tcBorders>
              <w:top w:val="nil"/>
            </w:tcBorders>
            <w:vAlign w:val="top"/>
          </w:tcPr>
          <w:p>
            <w:pPr>
              <w:pStyle w:val="6"/>
            </w:pPr>
          </w:p>
        </w:tc>
        <w:tc>
          <w:tcPr>
            <w:tcW w:w="678" w:type="dxa"/>
            <w:vMerge w:val="continue"/>
            <w:tcBorders>
              <w:top w:val="nil"/>
            </w:tcBorders>
            <w:vAlign w:val="top"/>
          </w:tcPr>
          <w:p>
            <w:pPr>
              <w:pStyle w:val="6"/>
            </w:pPr>
          </w:p>
        </w:tc>
        <w:tc>
          <w:tcPr>
            <w:tcW w:w="693"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2256" w:type="dxa"/>
            <w:gridSpan w:val="2"/>
            <w:tcBorders>
              <w:left w:val="single" w:color="000000" w:sz="4" w:space="0"/>
            </w:tcBorders>
            <w:vAlign w:val="top"/>
          </w:tcPr>
          <w:p>
            <w:pPr>
              <w:spacing w:before="153" w:line="238" w:lineRule="exact"/>
              <w:ind w:left="428"/>
              <w:rPr>
                <w:rFonts w:ascii="宋体" w:hAnsi="宋体" w:eastAsia="宋体" w:cs="宋体"/>
                <w:sz w:val="18"/>
                <w:szCs w:val="18"/>
              </w:rPr>
            </w:pPr>
            <w:r>
              <w:rPr>
                <w:rFonts w:ascii="宋体" w:hAnsi="宋体" w:eastAsia="宋体" w:cs="宋体"/>
                <w:spacing w:val="-8"/>
                <w:position w:val="1"/>
                <w:sz w:val="18"/>
                <w:szCs w:val="18"/>
              </w:rPr>
              <w:t>建设项目工伤保险</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98" w:line="260" w:lineRule="exact"/>
              <w:ind w:left="155"/>
              <w:rPr>
                <w:rFonts w:ascii="宋体" w:hAnsi="宋体" w:eastAsia="宋体" w:cs="宋体"/>
                <w:sz w:val="18"/>
                <w:szCs w:val="18"/>
              </w:rPr>
            </w:pPr>
            <w:r>
              <w:rPr>
                <w:rFonts w:ascii="宋体" w:hAnsi="宋体" w:eastAsia="宋体" w:cs="宋体"/>
                <w:spacing w:val="-12"/>
                <w:position w:val="2"/>
                <w:sz w:val="18"/>
                <w:szCs w:val="18"/>
              </w:rPr>
              <w:t>0.077</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98" w:line="260" w:lineRule="exact"/>
              <w:ind w:left="90"/>
              <w:rPr>
                <w:rFonts w:ascii="宋体" w:hAnsi="宋体" w:eastAsia="宋体" w:cs="宋体"/>
                <w:sz w:val="18"/>
                <w:szCs w:val="18"/>
              </w:rPr>
            </w:pPr>
            <w:r>
              <w:rPr>
                <w:rFonts w:ascii="宋体" w:hAnsi="宋体" w:eastAsia="宋体" w:cs="宋体"/>
                <w:spacing w:val="-12"/>
                <w:position w:val="2"/>
                <w:sz w:val="18"/>
                <w:szCs w:val="18"/>
              </w:rPr>
              <w:t>0.083</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115" w:type="dxa"/>
            <w:vMerge w:val="restart"/>
            <w:tcBorders>
              <w:left w:val="single" w:color="000000" w:sz="4" w:space="0"/>
              <w:bottom w:val="nil"/>
            </w:tcBorders>
            <w:vAlign w:val="top"/>
          </w:tcPr>
          <w:p>
            <w:pPr>
              <w:pStyle w:val="6"/>
              <w:spacing w:line="280" w:lineRule="auto"/>
            </w:pPr>
          </w:p>
          <w:p>
            <w:pPr>
              <w:pStyle w:val="6"/>
              <w:spacing w:line="280" w:lineRule="auto"/>
            </w:pPr>
          </w:p>
          <w:p>
            <w:pPr>
              <w:spacing w:before="59" w:line="211" w:lineRule="auto"/>
              <w:ind w:left="116"/>
              <w:rPr>
                <w:rFonts w:ascii="宋体" w:hAnsi="宋体" w:eastAsia="宋体" w:cs="宋体"/>
                <w:sz w:val="18"/>
                <w:szCs w:val="18"/>
              </w:rPr>
            </w:pPr>
            <w:r>
              <w:rPr>
                <w:rFonts w:ascii="宋体" w:hAnsi="宋体" w:eastAsia="宋体" w:cs="宋体"/>
                <w:spacing w:val="-6"/>
                <w:sz w:val="18"/>
                <w:szCs w:val="18"/>
              </w:rPr>
              <w:t>优质优价费</w:t>
            </w:r>
          </w:p>
        </w:tc>
        <w:tc>
          <w:tcPr>
            <w:tcW w:w="1141" w:type="dxa"/>
            <w:vAlign w:val="top"/>
          </w:tcPr>
          <w:p>
            <w:pPr>
              <w:spacing w:before="164" w:line="211" w:lineRule="auto"/>
              <w:ind w:left="337"/>
              <w:rPr>
                <w:rFonts w:ascii="宋体" w:hAnsi="宋体" w:eastAsia="宋体" w:cs="宋体"/>
                <w:sz w:val="18"/>
                <w:szCs w:val="18"/>
              </w:rPr>
            </w:pPr>
            <w:r>
              <w:rPr>
                <w:rFonts w:ascii="宋体" w:hAnsi="宋体" w:eastAsia="宋体" w:cs="宋体"/>
                <w:spacing w:val="-14"/>
                <w:sz w:val="18"/>
                <w:szCs w:val="18"/>
              </w:rPr>
              <w:t>国家级</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99" w:line="260" w:lineRule="exact"/>
              <w:ind w:left="220"/>
              <w:rPr>
                <w:rFonts w:ascii="宋体" w:hAnsi="宋体" w:eastAsia="宋体" w:cs="宋体"/>
                <w:sz w:val="18"/>
                <w:szCs w:val="18"/>
              </w:rPr>
            </w:pPr>
            <w:r>
              <w:rPr>
                <w:rFonts w:ascii="宋体" w:hAnsi="宋体" w:eastAsia="宋体" w:cs="宋体"/>
                <w:spacing w:val="-19"/>
                <w:position w:val="1"/>
                <w:sz w:val="18"/>
                <w:szCs w:val="18"/>
              </w:rPr>
              <w:t>1.61</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99" w:line="260" w:lineRule="exact"/>
              <w:ind w:left="156"/>
              <w:rPr>
                <w:rFonts w:ascii="宋体" w:hAnsi="宋体" w:eastAsia="宋体" w:cs="宋体"/>
                <w:sz w:val="18"/>
                <w:szCs w:val="18"/>
              </w:rPr>
            </w:pPr>
            <w:r>
              <w:rPr>
                <w:rFonts w:ascii="宋体" w:hAnsi="宋体" w:eastAsia="宋体" w:cs="宋体"/>
                <w:spacing w:val="-19"/>
                <w:position w:val="1"/>
                <w:sz w:val="18"/>
                <w:szCs w:val="18"/>
              </w:rPr>
              <w:t>1.64</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1115" w:type="dxa"/>
            <w:vMerge w:val="continue"/>
            <w:tcBorders>
              <w:top w:val="nil"/>
              <w:left w:val="single" w:color="000000" w:sz="4" w:space="0"/>
              <w:bottom w:val="nil"/>
            </w:tcBorders>
            <w:vAlign w:val="top"/>
          </w:tcPr>
          <w:p>
            <w:pPr>
              <w:pStyle w:val="6"/>
            </w:pPr>
          </w:p>
        </w:tc>
        <w:tc>
          <w:tcPr>
            <w:tcW w:w="1141" w:type="dxa"/>
            <w:vAlign w:val="top"/>
          </w:tcPr>
          <w:p>
            <w:pPr>
              <w:spacing w:before="170" w:line="207" w:lineRule="auto"/>
              <w:ind w:left="306"/>
              <w:rPr>
                <w:rFonts w:ascii="宋体" w:hAnsi="宋体" w:eastAsia="宋体" w:cs="宋体"/>
                <w:sz w:val="18"/>
                <w:szCs w:val="18"/>
              </w:rPr>
            </w:pPr>
            <w:r>
              <w:rPr>
                <w:rFonts w:ascii="宋体" w:hAnsi="宋体" w:eastAsia="宋体" w:cs="宋体"/>
                <w:spacing w:val="-3"/>
                <w:sz w:val="18"/>
                <w:szCs w:val="18"/>
              </w:rPr>
              <w:t>省</w:t>
            </w:r>
            <w:r>
              <w:rPr>
                <w:rFonts w:ascii="宋体" w:hAnsi="宋体" w:eastAsia="宋体" w:cs="宋体"/>
                <w:spacing w:val="6"/>
                <w:sz w:val="18"/>
                <w:szCs w:val="18"/>
              </w:rPr>
              <w:t xml:space="preserve">  </w:t>
            </w:r>
            <w:r>
              <w:rPr>
                <w:rFonts w:ascii="宋体" w:hAnsi="宋体" w:eastAsia="宋体" w:cs="宋体"/>
                <w:spacing w:val="-3"/>
                <w:sz w:val="18"/>
                <w:szCs w:val="18"/>
              </w:rPr>
              <w:t>级</w:t>
            </w:r>
          </w:p>
        </w:tc>
        <w:tc>
          <w:tcPr>
            <w:tcW w:w="644" w:type="dxa"/>
            <w:tcBorders>
              <w:right w:val="nil"/>
            </w:tcBorders>
            <w:vAlign w:val="top"/>
          </w:tcPr>
          <w:p>
            <w:pPr>
              <w:pStyle w:val="6"/>
            </w:pPr>
          </w:p>
        </w:tc>
        <w:tc>
          <w:tcPr>
            <w:tcW w:w="643" w:type="dxa"/>
            <w:tcBorders>
              <w:left w:val="nil"/>
              <w:right w:val="nil"/>
            </w:tcBorders>
            <w:vAlign w:val="top"/>
          </w:tcPr>
          <w:p>
            <w:pPr>
              <w:pStyle w:val="6"/>
            </w:pPr>
          </w:p>
        </w:tc>
        <w:tc>
          <w:tcPr>
            <w:tcW w:w="645" w:type="dxa"/>
            <w:tcBorders>
              <w:left w:val="nil"/>
              <w:right w:val="nil"/>
            </w:tcBorders>
            <w:vAlign w:val="top"/>
          </w:tcPr>
          <w:p>
            <w:pPr>
              <w:spacing w:before="103" w:line="259" w:lineRule="exact"/>
              <w:ind w:left="220"/>
              <w:rPr>
                <w:rFonts w:ascii="宋体" w:hAnsi="宋体" w:eastAsia="宋体" w:cs="宋体"/>
                <w:sz w:val="18"/>
                <w:szCs w:val="18"/>
              </w:rPr>
            </w:pPr>
            <w:r>
              <w:rPr>
                <w:rFonts w:ascii="宋体" w:hAnsi="宋体" w:eastAsia="宋体" w:cs="宋体"/>
                <w:spacing w:val="-19"/>
                <w:position w:val="1"/>
                <w:sz w:val="18"/>
                <w:szCs w:val="18"/>
              </w:rPr>
              <w:t>1.06</w:t>
            </w:r>
          </w:p>
        </w:tc>
        <w:tc>
          <w:tcPr>
            <w:tcW w:w="673" w:type="dxa"/>
            <w:tcBorders>
              <w:left w:val="nil"/>
              <w:right w:val="nil"/>
            </w:tcBorders>
            <w:vAlign w:val="top"/>
          </w:tcPr>
          <w:p>
            <w:pPr>
              <w:pStyle w:val="6"/>
            </w:pPr>
          </w:p>
        </w:tc>
        <w:tc>
          <w:tcPr>
            <w:tcW w:w="666" w:type="dxa"/>
            <w:tcBorders>
              <w:left w:val="nil"/>
            </w:tcBorders>
            <w:vAlign w:val="top"/>
          </w:tcPr>
          <w:p>
            <w:pPr>
              <w:pStyle w:val="6"/>
            </w:pPr>
          </w:p>
        </w:tc>
        <w:tc>
          <w:tcPr>
            <w:tcW w:w="799" w:type="dxa"/>
            <w:tcBorders>
              <w:right w:val="nil"/>
            </w:tcBorders>
            <w:vAlign w:val="top"/>
          </w:tcPr>
          <w:p>
            <w:pPr>
              <w:pStyle w:val="6"/>
            </w:pPr>
          </w:p>
        </w:tc>
        <w:tc>
          <w:tcPr>
            <w:tcW w:w="680" w:type="dxa"/>
            <w:tcBorders>
              <w:left w:val="nil"/>
              <w:right w:val="nil"/>
            </w:tcBorders>
            <w:vAlign w:val="top"/>
          </w:tcPr>
          <w:p>
            <w:pPr>
              <w:pStyle w:val="6"/>
            </w:pPr>
          </w:p>
        </w:tc>
        <w:tc>
          <w:tcPr>
            <w:tcW w:w="676" w:type="dxa"/>
            <w:tcBorders>
              <w:left w:val="nil"/>
              <w:right w:val="nil"/>
            </w:tcBorders>
            <w:vAlign w:val="top"/>
          </w:tcPr>
          <w:p>
            <w:pPr>
              <w:spacing w:before="103" w:line="259" w:lineRule="exact"/>
              <w:ind w:left="156"/>
              <w:rPr>
                <w:rFonts w:ascii="宋体" w:hAnsi="宋体" w:eastAsia="宋体" w:cs="宋体"/>
                <w:sz w:val="18"/>
                <w:szCs w:val="18"/>
              </w:rPr>
            </w:pPr>
            <w:r>
              <w:rPr>
                <w:rFonts w:ascii="宋体" w:hAnsi="宋体" w:eastAsia="宋体" w:cs="宋体"/>
                <w:spacing w:val="-19"/>
                <w:position w:val="1"/>
                <w:sz w:val="18"/>
                <w:szCs w:val="18"/>
              </w:rPr>
              <w:t>1.08</w:t>
            </w:r>
          </w:p>
        </w:tc>
        <w:tc>
          <w:tcPr>
            <w:tcW w:w="678" w:type="dxa"/>
            <w:tcBorders>
              <w:left w:val="nil"/>
              <w:right w:val="nil"/>
            </w:tcBorders>
            <w:vAlign w:val="top"/>
          </w:tcPr>
          <w:p>
            <w:pPr>
              <w:pStyle w:val="6"/>
            </w:pPr>
          </w:p>
        </w:tc>
        <w:tc>
          <w:tcPr>
            <w:tcW w:w="693"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115" w:type="dxa"/>
            <w:vMerge w:val="continue"/>
            <w:tcBorders>
              <w:top w:val="nil"/>
              <w:left w:val="single" w:color="000000" w:sz="4" w:space="0"/>
              <w:bottom w:val="single" w:color="000000" w:sz="4" w:space="0"/>
            </w:tcBorders>
            <w:vAlign w:val="top"/>
          </w:tcPr>
          <w:p>
            <w:pPr>
              <w:pStyle w:val="6"/>
            </w:pPr>
          </w:p>
        </w:tc>
        <w:tc>
          <w:tcPr>
            <w:tcW w:w="1141" w:type="dxa"/>
            <w:tcBorders>
              <w:bottom w:val="single" w:color="000000" w:sz="4" w:space="0"/>
            </w:tcBorders>
            <w:vAlign w:val="top"/>
          </w:tcPr>
          <w:p>
            <w:pPr>
              <w:spacing w:before="172" w:line="210" w:lineRule="auto"/>
              <w:ind w:left="308"/>
              <w:rPr>
                <w:rFonts w:ascii="宋体" w:hAnsi="宋体" w:eastAsia="宋体" w:cs="宋体"/>
                <w:sz w:val="18"/>
                <w:szCs w:val="18"/>
              </w:rPr>
            </w:pPr>
            <w:r>
              <w:rPr>
                <w:rFonts w:ascii="宋体" w:hAnsi="宋体" w:eastAsia="宋体" w:cs="宋体"/>
                <w:spacing w:val="-3"/>
                <w:sz w:val="18"/>
                <w:szCs w:val="18"/>
              </w:rPr>
              <w:t>市</w:t>
            </w:r>
            <w:r>
              <w:rPr>
                <w:rFonts w:ascii="宋体" w:hAnsi="宋体" w:eastAsia="宋体" w:cs="宋体"/>
                <w:spacing w:val="4"/>
                <w:sz w:val="18"/>
                <w:szCs w:val="18"/>
              </w:rPr>
              <w:t xml:space="preserve">  </w:t>
            </w:r>
            <w:r>
              <w:rPr>
                <w:rFonts w:ascii="宋体" w:hAnsi="宋体" w:eastAsia="宋体" w:cs="宋体"/>
                <w:spacing w:val="-3"/>
                <w:sz w:val="18"/>
                <w:szCs w:val="18"/>
              </w:rPr>
              <w:t>级</w:t>
            </w:r>
          </w:p>
        </w:tc>
        <w:tc>
          <w:tcPr>
            <w:tcW w:w="644" w:type="dxa"/>
            <w:tcBorders>
              <w:bottom w:val="single" w:color="000000" w:sz="4" w:space="0"/>
              <w:right w:val="nil"/>
            </w:tcBorders>
            <w:vAlign w:val="top"/>
          </w:tcPr>
          <w:p>
            <w:pPr>
              <w:pStyle w:val="6"/>
            </w:pPr>
          </w:p>
        </w:tc>
        <w:tc>
          <w:tcPr>
            <w:tcW w:w="643" w:type="dxa"/>
            <w:tcBorders>
              <w:left w:val="nil"/>
              <w:bottom w:val="single" w:color="000000" w:sz="4" w:space="0"/>
              <w:right w:val="nil"/>
            </w:tcBorders>
            <w:vAlign w:val="top"/>
          </w:tcPr>
          <w:p>
            <w:pPr>
              <w:pStyle w:val="6"/>
            </w:pPr>
          </w:p>
        </w:tc>
        <w:tc>
          <w:tcPr>
            <w:tcW w:w="645" w:type="dxa"/>
            <w:tcBorders>
              <w:left w:val="nil"/>
              <w:bottom w:val="single" w:color="000000" w:sz="4" w:space="0"/>
              <w:right w:val="nil"/>
            </w:tcBorders>
            <w:vAlign w:val="top"/>
          </w:tcPr>
          <w:p>
            <w:pPr>
              <w:spacing w:before="112" w:line="260" w:lineRule="exact"/>
              <w:ind w:left="198"/>
              <w:rPr>
                <w:rFonts w:ascii="宋体" w:hAnsi="宋体" w:eastAsia="宋体" w:cs="宋体"/>
                <w:sz w:val="18"/>
                <w:szCs w:val="18"/>
              </w:rPr>
            </w:pPr>
            <w:r>
              <w:rPr>
                <w:rFonts w:ascii="宋体" w:hAnsi="宋体" w:eastAsia="宋体" w:cs="宋体"/>
                <w:spacing w:val="-14"/>
                <w:position w:val="2"/>
                <w:sz w:val="18"/>
                <w:szCs w:val="18"/>
              </w:rPr>
              <w:t>0.86</w:t>
            </w:r>
          </w:p>
        </w:tc>
        <w:tc>
          <w:tcPr>
            <w:tcW w:w="673" w:type="dxa"/>
            <w:tcBorders>
              <w:left w:val="nil"/>
              <w:bottom w:val="single" w:color="000000" w:sz="4" w:space="0"/>
              <w:right w:val="nil"/>
            </w:tcBorders>
            <w:vAlign w:val="top"/>
          </w:tcPr>
          <w:p>
            <w:pPr>
              <w:pStyle w:val="6"/>
            </w:pPr>
          </w:p>
        </w:tc>
        <w:tc>
          <w:tcPr>
            <w:tcW w:w="666" w:type="dxa"/>
            <w:tcBorders>
              <w:left w:val="nil"/>
              <w:bottom w:val="single" w:color="000000" w:sz="4" w:space="0"/>
            </w:tcBorders>
            <w:vAlign w:val="top"/>
          </w:tcPr>
          <w:p>
            <w:pPr>
              <w:pStyle w:val="6"/>
            </w:pPr>
          </w:p>
        </w:tc>
        <w:tc>
          <w:tcPr>
            <w:tcW w:w="799" w:type="dxa"/>
            <w:tcBorders>
              <w:bottom w:val="single" w:color="000000" w:sz="4" w:space="0"/>
              <w:right w:val="nil"/>
            </w:tcBorders>
            <w:vAlign w:val="top"/>
          </w:tcPr>
          <w:p>
            <w:pPr>
              <w:pStyle w:val="6"/>
            </w:pPr>
          </w:p>
        </w:tc>
        <w:tc>
          <w:tcPr>
            <w:tcW w:w="680" w:type="dxa"/>
            <w:tcBorders>
              <w:left w:val="nil"/>
              <w:bottom w:val="single" w:color="000000" w:sz="4" w:space="0"/>
              <w:right w:val="nil"/>
            </w:tcBorders>
            <w:vAlign w:val="top"/>
          </w:tcPr>
          <w:p>
            <w:pPr>
              <w:pStyle w:val="6"/>
            </w:pPr>
          </w:p>
        </w:tc>
        <w:tc>
          <w:tcPr>
            <w:tcW w:w="676" w:type="dxa"/>
            <w:tcBorders>
              <w:left w:val="nil"/>
              <w:bottom w:val="single" w:color="000000" w:sz="4" w:space="0"/>
              <w:right w:val="nil"/>
            </w:tcBorders>
            <w:vAlign w:val="top"/>
          </w:tcPr>
          <w:p>
            <w:pPr>
              <w:spacing w:before="112" w:line="260" w:lineRule="exact"/>
              <w:ind w:left="133"/>
              <w:rPr>
                <w:rFonts w:ascii="宋体" w:hAnsi="宋体" w:eastAsia="宋体" w:cs="宋体"/>
                <w:sz w:val="18"/>
                <w:szCs w:val="18"/>
              </w:rPr>
            </w:pPr>
            <w:r>
              <w:rPr>
                <w:rFonts w:ascii="宋体" w:hAnsi="宋体" w:eastAsia="宋体" w:cs="宋体"/>
                <w:spacing w:val="-14"/>
                <w:position w:val="2"/>
                <w:sz w:val="18"/>
                <w:szCs w:val="18"/>
              </w:rPr>
              <w:t>0.86</w:t>
            </w:r>
          </w:p>
        </w:tc>
        <w:tc>
          <w:tcPr>
            <w:tcW w:w="678" w:type="dxa"/>
            <w:tcBorders>
              <w:left w:val="nil"/>
              <w:bottom w:val="single" w:color="000000" w:sz="4" w:space="0"/>
              <w:right w:val="nil"/>
            </w:tcBorders>
            <w:vAlign w:val="top"/>
          </w:tcPr>
          <w:p>
            <w:pPr>
              <w:pStyle w:val="6"/>
            </w:pPr>
          </w:p>
        </w:tc>
        <w:tc>
          <w:tcPr>
            <w:tcW w:w="693" w:type="dxa"/>
            <w:tcBorders>
              <w:left w:val="nil"/>
              <w:bottom w:val="single" w:color="000000" w:sz="4" w:space="0"/>
              <w:right w:val="single" w:color="000000" w:sz="4" w:space="0"/>
            </w:tcBorders>
            <w:vAlign w:val="top"/>
          </w:tcPr>
          <w:p>
            <w:pPr>
              <w:pStyle w:val="6"/>
            </w:pPr>
          </w:p>
        </w:tc>
      </w:tr>
    </w:tbl>
    <w:p>
      <w:pPr>
        <w:spacing w:before="54"/>
        <w:ind w:left="174"/>
        <w:rPr>
          <w:rFonts w:ascii="宋体" w:hAnsi="宋体" w:eastAsia="宋体" w:cs="宋体"/>
          <w:sz w:val="18"/>
          <w:szCs w:val="18"/>
        </w:rPr>
      </w:pPr>
      <w:r>
        <w:rPr>
          <w:rFonts w:ascii="宋体" w:hAnsi="宋体" w:eastAsia="宋体" w:cs="宋体"/>
          <w:spacing w:val="-2"/>
          <w:sz w:val="18"/>
          <w:szCs w:val="18"/>
        </w:rPr>
        <w:t>注：表中建设项目工伤保险费率依据鲁人社字〔2020</w:t>
      </w:r>
      <w:r>
        <w:rPr>
          <w:position w:val="-3"/>
          <w:sz w:val="18"/>
          <w:szCs w:val="18"/>
        </w:rPr>
        <w:drawing>
          <wp:inline distT="0" distB="0" distL="0" distR="0">
            <wp:extent cx="76200" cy="14605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402"/>
                    <a:stretch>
                      <a:fillRect/>
                    </a:stretch>
                  </pic:blipFill>
                  <pic:spPr>
                    <a:xfrm>
                      <a:off x="0" y="0"/>
                      <a:ext cx="76802" cy="146596"/>
                    </a:xfrm>
                    <a:prstGeom prst="rect">
                      <a:avLst/>
                    </a:prstGeom>
                  </pic:spPr>
                </pic:pic>
              </a:graphicData>
            </a:graphic>
          </wp:inline>
        </w:drawing>
      </w:r>
      <w:r>
        <w:rPr>
          <w:rFonts w:ascii="宋体" w:hAnsi="宋体" w:eastAsia="宋体" w:cs="宋体"/>
          <w:spacing w:val="-16"/>
          <w:sz w:val="18"/>
          <w:szCs w:val="18"/>
        </w:rPr>
        <w:t xml:space="preserve"> </w:t>
      </w:r>
      <w:r>
        <w:rPr>
          <w:rFonts w:ascii="宋体" w:hAnsi="宋体" w:eastAsia="宋体" w:cs="宋体"/>
          <w:spacing w:val="-2"/>
          <w:sz w:val="18"/>
          <w:szCs w:val="18"/>
        </w:rPr>
        <w:t>69</w:t>
      </w:r>
      <w:r>
        <w:rPr>
          <w:rFonts w:ascii="宋体" w:hAnsi="宋体" w:eastAsia="宋体" w:cs="宋体"/>
          <w:spacing w:val="-33"/>
          <w:sz w:val="18"/>
          <w:szCs w:val="18"/>
        </w:rPr>
        <w:t xml:space="preserve"> </w:t>
      </w:r>
      <w:r>
        <w:rPr>
          <w:rFonts w:ascii="宋体" w:hAnsi="宋体" w:eastAsia="宋体" w:cs="宋体"/>
          <w:spacing w:val="-2"/>
          <w:sz w:val="18"/>
          <w:szCs w:val="18"/>
        </w:rPr>
        <w:t>号、鲁人社函〔2025</w:t>
      </w:r>
      <w:r>
        <w:rPr>
          <w:position w:val="-3"/>
          <w:sz w:val="18"/>
          <w:szCs w:val="18"/>
        </w:rPr>
        <w:drawing>
          <wp:inline distT="0" distB="0" distL="0" distR="0">
            <wp:extent cx="76200" cy="14605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403"/>
                    <a:stretch>
                      <a:fillRect/>
                    </a:stretch>
                  </pic:blipFill>
                  <pic:spPr>
                    <a:xfrm>
                      <a:off x="0" y="0"/>
                      <a:ext cx="76802" cy="146596"/>
                    </a:xfrm>
                    <a:prstGeom prst="rect">
                      <a:avLst/>
                    </a:prstGeom>
                  </pic:spPr>
                </pic:pic>
              </a:graphicData>
            </a:graphic>
          </wp:inline>
        </w:drawing>
      </w:r>
      <w:r>
        <w:rPr>
          <w:rFonts w:ascii="宋体" w:hAnsi="宋体" w:eastAsia="宋体" w:cs="宋体"/>
          <w:spacing w:val="-31"/>
          <w:sz w:val="18"/>
          <w:szCs w:val="18"/>
        </w:rPr>
        <w:t xml:space="preserve"> </w:t>
      </w:r>
      <w:r>
        <w:rPr>
          <w:rFonts w:ascii="宋体" w:hAnsi="宋体" w:eastAsia="宋体" w:cs="宋体"/>
          <w:spacing w:val="-2"/>
          <w:sz w:val="18"/>
          <w:szCs w:val="18"/>
        </w:rPr>
        <w:t>5号相关规定确定。</w:t>
      </w:r>
    </w:p>
    <w:p>
      <w:pPr>
        <w:spacing w:line="384" w:lineRule="auto"/>
        <w:rPr>
          <w:rFonts w:ascii="Arial"/>
          <w:sz w:val="21"/>
        </w:rPr>
      </w:pPr>
    </w:p>
    <w:p>
      <w:pPr>
        <w:spacing w:before="65" w:line="272" w:lineRule="exact"/>
        <w:ind w:left="417"/>
        <w:rPr>
          <w:rFonts w:ascii="宋体" w:hAnsi="宋体" w:eastAsia="宋体" w:cs="宋体"/>
          <w:sz w:val="20"/>
          <w:szCs w:val="20"/>
        </w:rPr>
      </w:pPr>
      <w:r>
        <w:rPr>
          <w:rFonts w:ascii="宋体" w:hAnsi="宋体" w:eastAsia="宋体" w:cs="宋体"/>
          <w:spacing w:val="15"/>
          <w:position w:val="1"/>
          <w:sz w:val="20"/>
          <w:szCs w:val="20"/>
        </w:rPr>
        <w:t>2.</w:t>
      </w:r>
      <w:r>
        <w:rPr>
          <w:rFonts w:ascii="宋体" w:hAnsi="宋体" w:eastAsia="宋体" w:cs="宋体"/>
          <w:spacing w:val="45"/>
          <w:position w:val="1"/>
          <w:sz w:val="20"/>
          <w:szCs w:val="20"/>
        </w:rPr>
        <w:t xml:space="preserve"> </w:t>
      </w:r>
      <w:r>
        <w:rPr>
          <w:rFonts w:ascii="宋体" w:hAnsi="宋体" w:eastAsia="宋体" w:cs="宋体"/>
          <w:spacing w:val="15"/>
          <w:position w:val="1"/>
          <w:sz w:val="20"/>
          <w:szCs w:val="20"/>
        </w:rPr>
        <w:t>简易计税法（单位：</w:t>
      </w:r>
      <w:r>
        <w:rPr>
          <w:rFonts w:ascii="宋体" w:hAnsi="宋体" w:eastAsia="宋体" w:cs="宋体"/>
          <w:spacing w:val="-50"/>
          <w:position w:val="1"/>
          <w:sz w:val="20"/>
          <w:szCs w:val="20"/>
        </w:rPr>
        <w:t xml:space="preserve"> </w:t>
      </w:r>
      <w:r>
        <w:rPr>
          <w:rFonts w:ascii="宋体" w:hAnsi="宋体" w:eastAsia="宋体" w:cs="宋体"/>
          <w:spacing w:val="15"/>
          <w:position w:val="1"/>
          <w:sz w:val="20"/>
          <w:szCs w:val="20"/>
        </w:rPr>
        <w:t>%）</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6"/>
        <w:gridCol w:w="1140"/>
        <w:gridCol w:w="649"/>
        <w:gridCol w:w="628"/>
        <w:gridCol w:w="656"/>
        <w:gridCol w:w="661"/>
        <w:gridCol w:w="673"/>
        <w:gridCol w:w="794"/>
        <w:gridCol w:w="681"/>
        <w:gridCol w:w="681"/>
        <w:gridCol w:w="681"/>
        <w:gridCol w:w="6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trPr>
        <w:tc>
          <w:tcPr>
            <w:tcW w:w="2276" w:type="dxa"/>
            <w:gridSpan w:val="2"/>
            <w:vMerge w:val="restart"/>
            <w:tcBorders>
              <w:top w:val="single" w:color="000000" w:sz="4" w:space="0"/>
              <w:left w:val="single" w:color="000000" w:sz="4" w:space="0"/>
              <w:bottom w:val="nil"/>
              <w:right w:val="single" w:color="000000" w:sz="4" w:space="0"/>
              <w:tl2br w:val="single" w:color="000000" w:sz="4" w:space="0"/>
            </w:tcBorders>
            <w:vAlign w:val="top"/>
          </w:tcPr>
          <w:p>
            <w:pPr>
              <w:spacing w:before="231" w:line="214" w:lineRule="auto"/>
              <w:ind w:left="135" w:right="416" w:firstLine="1011"/>
              <w:rPr>
                <w:rFonts w:ascii="微软雅黑" w:hAnsi="微软雅黑" w:eastAsia="微软雅黑" w:cs="微软雅黑"/>
                <w:sz w:val="18"/>
                <w:szCs w:val="18"/>
              </w:rPr>
            </w:pPr>
            <w:r>
              <w:rPr>
                <w:rFonts w:ascii="微软雅黑" w:hAnsi="微软雅黑" w:eastAsia="微软雅黑" w:cs="微软雅黑"/>
                <w:spacing w:val="-5"/>
                <w:sz w:val="18"/>
                <w:szCs w:val="18"/>
              </w:rPr>
              <w:t>专业名称</w:t>
            </w:r>
            <w:r>
              <w:rPr>
                <w:rFonts w:ascii="微软雅黑" w:hAnsi="微软雅黑" w:eastAsia="微软雅黑" w:cs="微软雅黑"/>
                <w:spacing w:val="-4"/>
                <w:w w:val="97"/>
                <w:sz w:val="18"/>
                <w:szCs w:val="18"/>
              </w:rPr>
              <w:t>费用名称</w:t>
            </w:r>
          </w:p>
        </w:tc>
        <w:tc>
          <w:tcPr>
            <w:tcW w:w="649" w:type="dxa"/>
            <w:vMerge w:val="restart"/>
            <w:tcBorders>
              <w:top w:val="single" w:color="000000" w:sz="4" w:space="0"/>
              <w:left w:val="single" w:color="000000" w:sz="4" w:space="0"/>
              <w:bottom w:val="nil"/>
            </w:tcBorders>
            <w:vAlign w:val="top"/>
          </w:tcPr>
          <w:p>
            <w:pPr>
              <w:pStyle w:val="6"/>
              <w:spacing w:line="271" w:lineRule="auto"/>
            </w:pPr>
          </w:p>
          <w:p>
            <w:pPr>
              <w:spacing w:before="77" w:line="203" w:lineRule="auto"/>
              <w:ind w:left="153"/>
              <w:rPr>
                <w:rFonts w:ascii="微软雅黑" w:hAnsi="微软雅黑" w:eastAsia="微软雅黑" w:cs="微软雅黑"/>
                <w:sz w:val="18"/>
                <w:szCs w:val="18"/>
              </w:rPr>
            </w:pPr>
            <w:r>
              <w:rPr>
                <w:rFonts w:ascii="微软雅黑" w:hAnsi="微软雅黑" w:eastAsia="微软雅黑" w:cs="微软雅黑"/>
                <w:spacing w:val="-4"/>
                <w:sz w:val="18"/>
                <w:szCs w:val="18"/>
              </w:rPr>
              <w:t>建筑</w:t>
            </w:r>
          </w:p>
        </w:tc>
        <w:tc>
          <w:tcPr>
            <w:tcW w:w="628" w:type="dxa"/>
            <w:vMerge w:val="restart"/>
            <w:tcBorders>
              <w:top w:val="single" w:color="000000" w:sz="4" w:space="0"/>
              <w:bottom w:val="nil"/>
            </w:tcBorders>
            <w:vAlign w:val="top"/>
          </w:tcPr>
          <w:p>
            <w:pPr>
              <w:pStyle w:val="6"/>
              <w:spacing w:line="272" w:lineRule="auto"/>
            </w:pPr>
          </w:p>
          <w:p>
            <w:pPr>
              <w:spacing w:before="77" w:line="202" w:lineRule="auto"/>
              <w:ind w:left="141"/>
              <w:rPr>
                <w:rFonts w:ascii="微软雅黑" w:hAnsi="微软雅黑" w:eastAsia="微软雅黑" w:cs="微软雅黑"/>
                <w:sz w:val="18"/>
                <w:szCs w:val="18"/>
              </w:rPr>
            </w:pPr>
            <w:r>
              <w:rPr>
                <w:rFonts w:ascii="微软雅黑" w:hAnsi="微软雅黑" w:eastAsia="微软雅黑" w:cs="微软雅黑"/>
                <w:spacing w:val="-3"/>
                <w:sz w:val="18"/>
                <w:szCs w:val="18"/>
              </w:rPr>
              <w:t>装饰</w:t>
            </w:r>
          </w:p>
        </w:tc>
        <w:tc>
          <w:tcPr>
            <w:tcW w:w="656" w:type="dxa"/>
            <w:vMerge w:val="restart"/>
            <w:tcBorders>
              <w:top w:val="single" w:color="000000" w:sz="4" w:space="0"/>
              <w:bottom w:val="nil"/>
            </w:tcBorders>
            <w:vAlign w:val="top"/>
          </w:tcPr>
          <w:p>
            <w:pPr>
              <w:pStyle w:val="6"/>
              <w:spacing w:line="272" w:lineRule="auto"/>
            </w:pPr>
          </w:p>
          <w:p>
            <w:pPr>
              <w:spacing w:before="77" w:line="202" w:lineRule="auto"/>
              <w:ind w:left="167"/>
              <w:rPr>
                <w:rFonts w:ascii="微软雅黑" w:hAnsi="微软雅黑" w:eastAsia="微软雅黑" w:cs="微软雅黑"/>
                <w:sz w:val="18"/>
                <w:szCs w:val="18"/>
              </w:rPr>
            </w:pPr>
            <w:r>
              <w:rPr>
                <w:rFonts w:ascii="微软雅黑" w:hAnsi="微软雅黑" w:eastAsia="微软雅黑" w:cs="微软雅黑"/>
                <w:spacing w:val="-5"/>
                <w:w w:val="99"/>
                <w:sz w:val="18"/>
                <w:szCs w:val="18"/>
              </w:rPr>
              <w:t>安装</w:t>
            </w:r>
          </w:p>
        </w:tc>
        <w:tc>
          <w:tcPr>
            <w:tcW w:w="1334" w:type="dxa"/>
            <w:gridSpan w:val="2"/>
            <w:tcBorders>
              <w:top w:val="single" w:color="000000" w:sz="4" w:space="0"/>
            </w:tcBorders>
            <w:vAlign w:val="top"/>
          </w:tcPr>
          <w:p>
            <w:pPr>
              <w:spacing w:before="130" w:line="202" w:lineRule="auto"/>
              <w:ind w:left="317"/>
              <w:rPr>
                <w:rFonts w:ascii="微软雅黑" w:hAnsi="微软雅黑" w:eastAsia="微软雅黑" w:cs="微软雅黑"/>
                <w:sz w:val="18"/>
                <w:szCs w:val="18"/>
              </w:rPr>
            </w:pPr>
            <w:r>
              <w:rPr>
                <w:rFonts w:ascii="微软雅黑" w:hAnsi="微软雅黑" w:eastAsia="微软雅黑" w:cs="微软雅黑"/>
                <w:spacing w:val="-3"/>
                <w:sz w:val="18"/>
                <w:szCs w:val="18"/>
              </w:rPr>
              <w:t>房屋修缮</w:t>
            </w:r>
          </w:p>
        </w:tc>
        <w:tc>
          <w:tcPr>
            <w:tcW w:w="794" w:type="dxa"/>
            <w:vMerge w:val="restart"/>
            <w:tcBorders>
              <w:top w:val="single" w:color="000000" w:sz="4" w:space="0"/>
              <w:bottom w:val="nil"/>
            </w:tcBorders>
            <w:vAlign w:val="top"/>
          </w:tcPr>
          <w:p>
            <w:pPr>
              <w:spacing w:before="224" w:line="243" w:lineRule="auto"/>
              <w:ind w:left="231" w:right="114" w:hanging="83"/>
              <w:rPr>
                <w:rFonts w:ascii="黑体" w:hAnsi="黑体" w:eastAsia="黑体" w:cs="黑体"/>
                <w:sz w:val="18"/>
                <w:szCs w:val="18"/>
              </w:rPr>
            </w:pPr>
            <w:r>
              <w:rPr>
                <w:rFonts w:ascii="黑体" w:hAnsi="黑体" w:eastAsia="黑体" w:cs="黑体"/>
                <w:spacing w:val="-5"/>
                <w:sz w:val="18"/>
                <w:szCs w:val="18"/>
              </w:rPr>
              <w:t>古建筑</w:t>
            </w:r>
            <w:r>
              <w:rPr>
                <w:rFonts w:ascii="黑体" w:hAnsi="黑体" w:eastAsia="黑体" w:cs="黑体"/>
                <w:spacing w:val="-4"/>
                <w:sz w:val="18"/>
                <w:szCs w:val="18"/>
              </w:rPr>
              <w:t>修缮</w:t>
            </w:r>
          </w:p>
        </w:tc>
        <w:tc>
          <w:tcPr>
            <w:tcW w:w="681" w:type="dxa"/>
            <w:vMerge w:val="restart"/>
            <w:tcBorders>
              <w:top w:val="single" w:color="000000" w:sz="4" w:space="0"/>
              <w:bottom w:val="nil"/>
            </w:tcBorders>
            <w:vAlign w:val="top"/>
          </w:tcPr>
          <w:p>
            <w:pPr>
              <w:spacing w:before="226" w:line="242" w:lineRule="auto"/>
              <w:ind w:left="183" w:right="130" w:firstLine="21"/>
              <w:rPr>
                <w:rFonts w:ascii="黑体" w:hAnsi="黑体" w:eastAsia="黑体" w:cs="黑体"/>
                <w:sz w:val="18"/>
                <w:szCs w:val="18"/>
              </w:rPr>
            </w:pPr>
            <w:r>
              <w:rPr>
                <w:rFonts w:ascii="黑体" w:hAnsi="黑体" w:eastAsia="黑体" w:cs="黑体"/>
                <w:spacing w:val="-10"/>
                <w:sz w:val="18"/>
                <w:szCs w:val="18"/>
              </w:rPr>
              <w:t>园林</w:t>
            </w:r>
            <w:r>
              <w:rPr>
                <w:rFonts w:ascii="黑体" w:hAnsi="黑体" w:eastAsia="黑体" w:cs="黑体"/>
                <w:spacing w:val="-4"/>
                <w:sz w:val="18"/>
                <w:szCs w:val="18"/>
              </w:rPr>
              <w:t>绿化</w:t>
            </w:r>
          </w:p>
        </w:tc>
        <w:tc>
          <w:tcPr>
            <w:tcW w:w="681" w:type="dxa"/>
            <w:vMerge w:val="restart"/>
            <w:tcBorders>
              <w:top w:val="single" w:color="000000" w:sz="4" w:space="0"/>
              <w:bottom w:val="nil"/>
            </w:tcBorders>
            <w:vAlign w:val="top"/>
          </w:tcPr>
          <w:p>
            <w:pPr>
              <w:spacing w:before="228"/>
              <w:ind w:left="183" w:right="142"/>
              <w:rPr>
                <w:rFonts w:ascii="黑体" w:hAnsi="黑体" w:eastAsia="黑体" w:cs="黑体"/>
                <w:sz w:val="18"/>
                <w:szCs w:val="18"/>
              </w:rPr>
            </w:pPr>
            <w:r>
              <w:rPr>
                <w:rFonts w:ascii="黑体" w:hAnsi="黑体" w:eastAsia="黑体" w:cs="黑体"/>
                <w:spacing w:val="-6"/>
                <w:sz w:val="18"/>
                <w:szCs w:val="18"/>
              </w:rPr>
              <w:t>仿古</w:t>
            </w:r>
            <w:r>
              <w:rPr>
                <w:rFonts w:ascii="黑体" w:hAnsi="黑体" w:eastAsia="黑体" w:cs="黑体"/>
                <w:spacing w:val="-9"/>
                <w:sz w:val="18"/>
                <w:szCs w:val="18"/>
              </w:rPr>
              <w:t>建筑</w:t>
            </w:r>
          </w:p>
        </w:tc>
        <w:tc>
          <w:tcPr>
            <w:tcW w:w="681" w:type="dxa"/>
            <w:vMerge w:val="restart"/>
            <w:tcBorders>
              <w:top w:val="single" w:color="000000" w:sz="4" w:space="0"/>
              <w:bottom w:val="nil"/>
            </w:tcBorders>
            <w:vAlign w:val="top"/>
          </w:tcPr>
          <w:p>
            <w:pPr>
              <w:pStyle w:val="6"/>
              <w:spacing w:line="259" w:lineRule="auto"/>
            </w:pPr>
          </w:p>
          <w:p>
            <w:pPr>
              <w:spacing w:before="58" w:line="223" w:lineRule="auto"/>
              <w:ind w:left="190"/>
              <w:rPr>
                <w:rFonts w:ascii="黑体" w:hAnsi="黑体" w:eastAsia="黑体" w:cs="黑体"/>
                <w:sz w:val="18"/>
                <w:szCs w:val="18"/>
              </w:rPr>
            </w:pPr>
            <w:r>
              <w:rPr>
                <w:rFonts w:ascii="黑体" w:hAnsi="黑体" w:eastAsia="黑体" w:cs="黑体"/>
                <w:spacing w:val="-5"/>
                <w:sz w:val="18"/>
                <w:szCs w:val="18"/>
              </w:rPr>
              <w:t>市政</w:t>
            </w:r>
          </w:p>
        </w:tc>
        <w:tc>
          <w:tcPr>
            <w:tcW w:w="699" w:type="dxa"/>
            <w:vMerge w:val="restart"/>
            <w:tcBorders>
              <w:top w:val="single" w:color="000000" w:sz="4" w:space="0"/>
              <w:bottom w:val="nil"/>
              <w:right w:val="single" w:color="000000" w:sz="4" w:space="0"/>
            </w:tcBorders>
            <w:vAlign w:val="top"/>
          </w:tcPr>
          <w:p>
            <w:pPr>
              <w:spacing w:before="93" w:line="223" w:lineRule="auto"/>
              <w:ind w:left="193"/>
              <w:rPr>
                <w:rFonts w:ascii="黑体" w:hAnsi="黑体" w:eastAsia="黑体" w:cs="黑体"/>
                <w:sz w:val="18"/>
                <w:szCs w:val="18"/>
              </w:rPr>
            </w:pPr>
            <w:r>
              <w:rPr>
                <w:rFonts w:ascii="黑体" w:hAnsi="黑体" w:eastAsia="黑体" w:cs="黑体"/>
                <w:spacing w:val="-5"/>
                <w:sz w:val="18"/>
                <w:szCs w:val="18"/>
              </w:rPr>
              <w:t>市政</w:t>
            </w:r>
          </w:p>
          <w:p>
            <w:pPr>
              <w:spacing w:before="12" w:line="221" w:lineRule="auto"/>
              <w:ind w:left="186"/>
              <w:rPr>
                <w:rFonts w:ascii="黑体" w:hAnsi="黑体" w:eastAsia="黑体" w:cs="黑体"/>
                <w:sz w:val="18"/>
                <w:szCs w:val="18"/>
              </w:rPr>
            </w:pPr>
            <w:r>
              <w:rPr>
                <w:rFonts w:ascii="黑体" w:hAnsi="黑体" w:eastAsia="黑体" w:cs="黑体"/>
                <w:spacing w:val="-4"/>
                <w:sz w:val="18"/>
                <w:szCs w:val="18"/>
              </w:rPr>
              <w:t>养护</w:t>
            </w:r>
          </w:p>
          <w:p>
            <w:pPr>
              <w:spacing w:before="17" w:line="222" w:lineRule="auto"/>
              <w:ind w:left="187"/>
              <w:rPr>
                <w:rFonts w:ascii="黑体" w:hAnsi="黑体" w:eastAsia="黑体" w:cs="黑体"/>
                <w:sz w:val="18"/>
                <w:szCs w:val="18"/>
              </w:rPr>
            </w:pPr>
            <w:r>
              <w:rPr>
                <w:rFonts w:ascii="黑体" w:hAnsi="黑体" w:eastAsia="黑体" w:cs="黑体"/>
                <w:spacing w:val="-3"/>
                <w:sz w:val="18"/>
                <w:szCs w:val="18"/>
              </w:rPr>
              <w:t>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8" w:hRule="atLeast"/>
        </w:trPr>
        <w:tc>
          <w:tcPr>
            <w:tcW w:w="2276" w:type="dxa"/>
            <w:gridSpan w:val="2"/>
            <w:vMerge w:val="continue"/>
            <w:tcBorders>
              <w:top w:val="nil"/>
              <w:left w:val="single" w:color="000000" w:sz="4" w:space="0"/>
              <w:right w:val="single" w:color="000000" w:sz="4" w:space="0"/>
              <w:tl2br w:val="single" w:color="000000" w:sz="4" w:space="0"/>
            </w:tcBorders>
            <w:vAlign w:val="top"/>
          </w:tcPr>
          <w:p>
            <w:pPr>
              <w:pStyle w:val="6"/>
            </w:pPr>
          </w:p>
        </w:tc>
        <w:tc>
          <w:tcPr>
            <w:tcW w:w="649" w:type="dxa"/>
            <w:vMerge w:val="continue"/>
            <w:tcBorders>
              <w:top w:val="nil"/>
              <w:left w:val="single" w:color="000000" w:sz="4" w:space="0"/>
            </w:tcBorders>
            <w:vAlign w:val="top"/>
          </w:tcPr>
          <w:p>
            <w:pPr>
              <w:pStyle w:val="6"/>
            </w:pPr>
          </w:p>
        </w:tc>
        <w:tc>
          <w:tcPr>
            <w:tcW w:w="628" w:type="dxa"/>
            <w:vMerge w:val="continue"/>
            <w:tcBorders>
              <w:top w:val="nil"/>
            </w:tcBorders>
            <w:vAlign w:val="top"/>
          </w:tcPr>
          <w:p>
            <w:pPr>
              <w:pStyle w:val="6"/>
            </w:pPr>
          </w:p>
        </w:tc>
        <w:tc>
          <w:tcPr>
            <w:tcW w:w="656" w:type="dxa"/>
            <w:vMerge w:val="continue"/>
            <w:tcBorders>
              <w:top w:val="nil"/>
            </w:tcBorders>
            <w:vAlign w:val="top"/>
          </w:tcPr>
          <w:p>
            <w:pPr>
              <w:pStyle w:val="6"/>
            </w:pPr>
          </w:p>
        </w:tc>
        <w:tc>
          <w:tcPr>
            <w:tcW w:w="661" w:type="dxa"/>
            <w:vAlign w:val="top"/>
          </w:tcPr>
          <w:p>
            <w:pPr>
              <w:spacing w:before="123" w:line="203" w:lineRule="auto"/>
              <w:ind w:left="164"/>
              <w:rPr>
                <w:rFonts w:ascii="微软雅黑" w:hAnsi="微软雅黑" w:eastAsia="微软雅黑" w:cs="微软雅黑"/>
                <w:sz w:val="18"/>
                <w:szCs w:val="18"/>
              </w:rPr>
            </w:pPr>
            <w:r>
              <w:rPr>
                <w:rFonts w:ascii="微软雅黑" w:hAnsi="微软雅黑" w:eastAsia="微软雅黑" w:cs="微软雅黑"/>
                <w:spacing w:val="-4"/>
                <w:sz w:val="18"/>
                <w:szCs w:val="18"/>
              </w:rPr>
              <w:t>建筑</w:t>
            </w:r>
          </w:p>
        </w:tc>
        <w:tc>
          <w:tcPr>
            <w:tcW w:w="673" w:type="dxa"/>
            <w:vAlign w:val="top"/>
          </w:tcPr>
          <w:p>
            <w:pPr>
              <w:spacing w:before="123" w:line="202" w:lineRule="auto"/>
              <w:ind w:left="177"/>
              <w:rPr>
                <w:rFonts w:ascii="微软雅黑" w:hAnsi="微软雅黑" w:eastAsia="微软雅黑" w:cs="微软雅黑"/>
                <w:sz w:val="18"/>
                <w:szCs w:val="18"/>
              </w:rPr>
            </w:pPr>
            <w:r>
              <w:rPr>
                <w:rFonts w:ascii="微软雅黑" w:hAnsi="微软雅黑" w:eastAsia="微软雅黑" w:cs="微软雅黑"/>
                <w:spacing w:val="-5"/>
                <w:w w:val="99"/>
                <w:sz w:val="18"/>
                <w:szCs w:val="18"/>
              </w:rPr>
              <w:t>安装</w:t>
            </w:r>
          </w:p>
        </w:tc>
        <w:tc>
          <w:tcPr>
            <w:tcW w:w="794"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81" w:type="dxa"/>
            <w:vMerge w:val="continue"/>
            <w:tcBorders>
              <w:top w:val="nil"/>
            </w:tcBorders>
            <w:vAlign w:val="top"/>
          </w:tcPr>
          <w:p>
            <w:pPr>
              <w:pStyle w:val="6"/>
            </w:pPr>
          </w:p>
        </w:tc>
        <w:tc>
          <w:tcPr>
            <w:tcW w:w="699" w:type="dxa"/>
            <w:vMerge w:val="continue"/>
            <w:tcBorders>
              <w:top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3" w:hRule="atLeast"/>
        </w:trPr>
        <w:tc>
          <w:tcPr>
            <w:tcW w:w="2276" w:type="dxa"/>
            <w:gridSpan w:val="2"/>
            <w:tcBorders>
              <w:left w:val="single" w:color="000000" w:sz="4" w:space="0"/>
              <w:right w:val="single" w:color="000000" w:sz="4" w:space="0"/>
            </w:tcBorders>
            <w:vAlign w:val="top"/>
          </w:tcPr>
          <w:p>
            <w:pPr>
              <w:spacing w:before="153" w:line="239" w:lineRule="exact"/>
              <w:ind w:left="439"/>
              <w:rPr>
                <w:rFonts w:ascii="宋体" w:hAnsi="宋体" w:eastAsia="宋体" w:cs="宋体"/>
                <w:sz w:val="18"/>
                <w:szCs w:val="18"/>
              </w:rPr>
            </w:pPr>
            <w:r>
              <w:rPr>
                <w:rFonts w:ascii="宋体" w:hAnsi="宋体" w:eastAsia="宋体" w:cs="宋体"/>
                <w:spacing w:val="-8"/>
                <w:position w:val="1"/>
                <w:sz w:val="18"/>
                <w:szCs w:val="18"/>
              </w:rPr>
              <w:t>建设项目工伤保险</w:t>
            </w:r>
          </w:p>
        </w:tc>
        <w:tc>
          <w:tcPr>
            <w:tcW w:w="649" w:type="dxa"/>
            <w:tcBorders>
              <w:left w:val="single" w:color="000000" w:sz="4" w:space="0"/>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98" w:line="260" w:lineRule="exact"/>
              <w:ind w:left="165"/>
              <w:rPr>
                <w:rFonts w:ascii="宋体" w:hAnsi="宋体" w:eastAsia="宋体" w:cs="宋体"/>
                <w:sz w:val="18"/>
                <w:szCs w:val="18"/>
              </w:rPr>
            </w:pPr>
            <w:r>
              <w:rPr>
                <w:rFonts w:ascii="宋体" w:hAnsi="宋体" w:eastAsia="宋体" w:cs="宋体"/>
                <w:spacing w:val="-12"/>
                <w:position w:val="2"/>
                <w:sz w:val="18"/>
                <w:szCs w:val="18"/>
              </w:rPr>
              <w:t>0.073</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98" w:line="260" w:lineRule="exact"/>
              <w:ind w:left="101"/>
              <w:rPr>
                <w:rFonts w:ascii="宋体" w:hAnsi="宋体" w:eastAsia="宋体" w:cs="宋体"/>
                <w:sz w:val="18"/>
                <w:szCs w:val="18"/>
              </w:rPr>
            </w:pPr>
            <w:r>
              <w:rPr>
                <w:rFonts w:ascii="宋体" w:hAnsi="宋体" w:eastAsia="宋体" w:cs="宋体"/>
                <w:spacing w:val="-12"/>
                <w:position w:val="2"/>
                <w:sz w:val="18"/>
                <w:szCs w:val="18"/>
              </w:rPr>
              <w:t>0.079</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136" w:type="dxa"/>
            <w:vMerge w:val="restart"/>
            <w:tcBorders>
              <w:left w:val="single" w:color="000000" w:sz="4" w:space="0"/>
              <w:bottom w:val="nil"/>
            </w:tcBorders>
            <w:vAlign w:val="top"/>
          </w:tcPr>
          <w:p>
            <w:pPr>
              <w:pStyle w:val="6"/>
              <w:spacing w:line="281" w:lineRule="auto"/>
            </w:pPr>
          </w:p>
          <w:p>
            <w:pPr>
              <w:pStyle w:val="6"/>
              <w:spacing w:line="281" w:lineRule="auto"/>
            </w:pPr>
          </w:p>
          <w:p>
            <w:pPr>
              <w:spacing w:before="58" w:line="211" w:lineRule="auto"/>
              <w:ind w:left="129"/>
              <w:rPr>
                <w:rFonts w:ascii="宋体" w:hAnsi="宋体" w:eastAsia="宋体" w:cs="宋体"/>
                <w:sz w:val="18"/>
                <w:szCs w:val="18"/>
              </w:rPr>
            </w:pPr>
            <w:r>
              <w:rPr>
                <w:rFonts w:ascii="宋体" w:hAnsi="宋体" w:eastAsia="宋体" w:cs="宋体"/>
                <w:spacing w:val="-6"/>
                <w:sz w:val="18"/>
                <w:szCs w:val="18"/>
              </w:rPr>
              <w:t>优质优价费</w:t>
            </w:r>
          </w:p>
        </w:tc>
        <w:tc>
          <w:tcPr>
            <w:tcW w:w="1140" w:type="dxa"/>
            <w:tcBorders>
              <w:right w:val="single" w:color="000000" w:sz="4" w:space="0"/>
            </w:tcBorders>
            <w:vAlign w:val="top"/>
          </w:tcPr>
          <w:p>
            <w:pPr>
              <w:spacing w:before="165" w:line="211" w:lineRule="auto"/>
              <w:ind w:left="334"/>
              <w:rPr>
                <w:rFonts w:ascii="宋体" w:hAnsi="宋体" w:eastAsia="宋体" w:cs="宋体"/>
                <w:sz w:val="18"/>
                <w:szCs w:val="18"/>
              </w:rPr>
            </w:pPr>
            <w:r>
              <w:rPr>
                <w:rFonts w:ascii="宋体" w:hAnsi="宋体" w:eastAsia="宋体" w:cs="宋体"/>
                <w:spacing w:val="-14"/>
                <w:sz w:val="18"/>
                <w:szCs w:val="18"/>
              </w:rPr>
              <w:t>国家级</w:t>
            </w:r>
          </w:p>
        </w:tc>
        <w:tc>
          <w:tcPr>
            <w:tcW w:w="649" w:type="dxa"/>
            <w:tcBorders>
              <w:left w:val="single" w:color="000000" w:sz="4" w:space="0"/>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101" w:line="259" w:lineRule="exact"/>
              <w:ind w:left="223"/>
              <w:rPr>
                <w:rFonts w:ascii="宋体" w:hAnsi="宋体" w:eastAsia="宋体" w:cs="宋体"/>
                <w:sz w:val="18"/>
                <w:szCs w:val="18"/>
              </w:rPr>
            </w:pPr>
            <w:r>
              <w:rPr>
                <w:rFonts w:ascii="宋体" w:hAnsi="宋体" w:eastAsia="宋体" w:cs="宋体"/>
                <w:spacing w:val="-18"/>
                <w:position w:val="1"/>
                <w:sz w:val="18"/>
                <w:szCs w:val="18"/>
              </w:rPr>
              <w:t>1.52</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101" w:line="259" w:lineRule="exact"/>
              <w:ind w:left="164"/>
              <w:rPr>
                <w:rFonts w:ascii="宋体" w:hAnsi="宋体" w:eastAsia="宋体" w:cs="宋体"/>
                <w:sz w:val="18"/>
                <w:szCs w:val="18"/>
              </w:rPr>
            </w:pPr>
            <w:r>
              <w:rPr>
                <w:rFonts w:ascii="宋体" w:hAnsi="宋体" w:eastAsia="宋体" w:cs="宋体"/>
                <w:spacing w:val="-19"/>
                <w:position w:val="1"/>
                <w:sz w:val="18"/>
                <w:szCs w:val="18"/>
              </w:rPr>
              <w:t>1.55</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1136" w:type="dxa"/>
            <w:vMerge w:val="continue"/>
            <w:tcBorders>
              <w:top w:val="nil"/>
              <w:left w:val="single" w:color="000000" w:sz="4" w:space="0"/>
              <w:bottom w:val="nil"/>
            </w:tcBorders>
            <w:vAlign w:val="top"/>
          </w:tcPr>
          <w:p>
            <w:pPr>
              <w:pStyle w:val="6"/>
            </w:pPr>
          </w:p>
        </w:tc>
        <w:tc>
          <w:tcPr>
            <w:tcW w:w="1140" w:type="dxa"/>
            <w:tcBorders>
              <w:right w:val="single" w:color="000000" w:sz="4" w:space="0"/>
            </w:tcBorders>
            <w:vAlign w:val="top"/>
          </w:tcPr>
          <w:p>
            <w:pPr>
              <w:spacing w:before="171" w:line="207" w:lineRule="auto"/>
              <w:ind w:left="302"/>
              <w:rPr>
                <w:rFonts w:ascii="宋体" w:hAnsi="宋体" w:eastAsia="宋体" w:cs="宋体"/>
                <w:sz w:val="18"/>
                <w:szCs w:val="18"/>
              </w:rPr>
            </w:pPr>
            <w:r>
              <w:rPr>
                <w:rFonts w:ascii="宋体" w:hAnsi="宋体" w:eastAsia="宋体" w:cs="宋体"/>
                <w:spacing w:val="-3"/>
                <w:sz w:val="18"/>
                <w:szCs w:val="18"/>
              </w:rPr>
              <w:t>省</w:t>
            </w:r>
            <w:r>
              <w:rPr>
                <w:rFonts w:ascii="宋体" w:hAnsi="宋体" w:eastAsia="宋体" w:cs="宋体"/>
                <w:spacing w:val="6"/>
                <w:sz w:val="18"/>
                <w:szCs w:val="18"/>
              </w:rPr>
              <w:t xml:space="preserve">  </w:t>
            </w:r>
            <w:r>
              <w:rPr>
                <w:rFonts w:ascii="宋体" w:hAnsi="宋体" w:eastAsia="宋体" w:cs="宋体"/>
                <w:spacing w:val="-3"/>
                <w:sz w:val="18"/>
                <w:szCs w:val="18"/>
              </w:rPr>
              <w:t>级</w:t>
            </w:r>
          </w:p>
        </w:tc>
        <w:tc>
          <w:tcPr>
            <w:tcW w:w="649" w:type="dxa"/>
            <w:tcBorders>
              <w:left w:val="single" w:color="000000" w:sz="4" w:space="0"/>
              <w:right w:val="nil"/>
            </w:tcBorders>
            <w:vAlign w:val="top"/>
          </w:tcPr>
          <w:p>
            <w:pPr>
              <w:pStyle w:val="6"/>
            </w:pPr>
          </w:p>
        </w:tc>
        <w:tc>
          <w:tcPr>
            <w:tcW w:w="628" w:type="dxa"/>
            <w:tcBorders>
              <w:left w:val="nil"/>
              <w:right w:val="nil"/>
            </w:tcBorders>
            <w:vAlign w:val="top"/>
          </w:tcPr>
          <w:p>
            <w:pPr>
              <w:pStyle w:val="6"/>
            </w:pPr>
          </w:p>
        </w:tc>
        <w:tc>
          <w:tcPr>
            <w:tcW w:w="656" w:type="dxa"/>
            <w:tcBorders>
              <w:left w:val="nil"/>
              <w:right w:val="nil"/>
            </w:tcBorders>
            <w:vAlign w:val="top"/>
          </w:tcPr>
          <w:p>
            <w:pPr>
              <w:spacing w:before="104" w:line="260" w:lineRule="exact"/>
              <w:ind w:left="228"/>
              <w:rPr>
                <w:rFonts w:ascii="宋体" w:hAnsi="宋体" w:eastAsia="宋体" w:cs="宋体"/>
                <w:sz w:val="18"/>
                <w:szCs w:val="18"/>
              </w:rPr>
            </w:pPr>
            <w:r>
              <w:rPr>
                <w:rFonts w:ascii="宋体" w:hAnsi="宋体" w:eastAsia="宋体" w:cs="宋体"/>
                <w:spacing w:val="-19"/>
                <w:position w:val="1"/>
                <w:sz w:val="18"/>
                <w:szCs w:val="18"/>
              </w:rPr>
              <w:t>1.01</w:t>
            </w:r>
          </w:p>
        </w:tc>
        <w:tc>
          <w:tcPr>
            <w:tcW w:w="661" w:type="dxa"/>
            <w:tcBorders>
              <w:left w:val="nil"/>
              <w:right w:val="nil"/>
            </w:tcBorders>
            <w:vAlign w:val="top"/>
          </w:tcPr>
          <w:p>
            <w:pPr>
              <w:pStyle w:val="6"/>
            </w:pPr>
          </w:p>
        </w:tc>
        <w:tc>
          <w:tcPr>
            <w:tcW w:w="673" w:type="dxa"/>
            <w:tcBorders>
              <w:left w:val="nil"/>
            </w:tcBorders>
            <w:vAlign w:val="top"/>
          </w:tcPr>
          <w:p>
            <w:pPr>
              <w:pStyle w:val="6"/>
            </w:pPr>
          </w:p>
        </w:tc>
        <w:tc>
          <w:tcPr>
            <w:tcW w:w="794" w:type="dxa"/>
            <w:tcBorders>
              <w:right w:val="nil"/>
            </w:tcBorders>
            <w:vAlign w:val="top"/>
          </w:tcPr>
          <w:p>
            <w:pPr>
              <w:pStyle w:val="6"/>
            </w:pPr>
          </w:p>
        </w:tc>
        <w:tc>
          <w:tcPr>
            <w:tcW w:w="681" w:type="dxa"/>
            <w:tcBorders>
              <w:left w:val="nil"/>
              <w:right w:val="nil"/>
            </w:tcBorders>
            <w:vAlign w:val="top"/>
          </w:tcPr>
          <w:p>
            <w:pPr>
              <w:pStyle w:val="6"/>
            </w:pPr>
          </w:p>
        </w:tc>
        <w:tc>
          <w:tcPr>
            <w:tcW w:w="681" w:type="dxa"/>
            <w:tcBorders>
              <w:left w:val="nil"/>
              <w:right w:val="nil"/>
            </w:tcBorders>
            <w:vAlign w:val="top"/>
          </w:tcPr>
          <w:p>
            <w:pPr>
              <w:spacing w:before="104" w:line="260" w:lineRule="exact"/>
              <w:ind w:left="164"/>
              <w:rPr>
                <w:rFonts w:ascii="宋体" w:hAnsi="宋体" w:eastAsia="宋体" w:cs="宋体"/>
                <w:sz w:val="18"/>
                <w:szCs w:val="18"/>
              </w:rPr>
            </w:pPr>
            <w:r>
              <w:rPr>
                <w:rFonts w:ascii="宋体" w:hAnsi="宋体" w:eastAsia="宋体" w:cs="宋体"/>
                <w:spacing w:val="-19"/>
                <w:position w:val="1"/>
                <w:sz w:val="18"/>
                <w:szCs w:val="18"/>
              </w:rPr>
              <w:t>1.02</w:t>
            </w:r>
          </w:p>
        </w:tc>
        <w:tc>
          <w:tcPr>
            <w:tcW w:w="681" w:type="dxa"/>
            <w:tcBorders>
              <w:left w:val="nil"/>
              <w:right w:val="nil"/>
            </w:tcBorders>
            <w:vAlign w:val="top"/>
          </w:tcPr>
          <w:p>
            <w:pPr>
              <w:pStyle w:val="6"/>
            </w:pPr>
          </w:p>
        </w:tc>
        <w:tc>
          <w:tcPr>
            <w:tcW w:w="699" w:type="dxa"/>
            <w:tcBorders>
              <w:left w:val="nil"/>
              <w:right w:val="single" w:color="000000" w:sz="4"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8" w:hRule="atLeast"/>
        </w:trPr>
        <w:tc>
          <w:tcPr>
            <w:tcW w:w="1136" w:type="dxa"/>
            <w:vMerge w:val="continue"/>
            <w:tcBorders>
              <w:top w:val="nil"/>
              <w:left w:val="single" w:color="000000" w:sz="4" w:space="0"/>
              <w:bottom w:val="single" w:color="000000" w:sz="4" w:space="0"/>
            </w:tcBorders>
            <w:vAlign w:val="top"/>
          </w:tcPr>
          <w:p>
            <w:pPr>
              <w:pStyle w:val="6"/>
            </w:pPr>
          </w:p>
        </w:tc>
        <w:tc>
          <w:tcPr>
            <w:tcW w:w="1140" w:type="dxa"/>
            <w:tcBorders>
              <w:bottom w:val="single" w:color="000000" w:sz="4" w:space="0"/>
              <w:right w:val="single" w:color="000000" w:sz="4" w:space="0"/>
            </w:tcBorders>
            <w:vAlign w:val="top"/>
          </w:tcPr>
          <w:p>
            <w:pPr>
              <w:spacing w:before="175" w:line="210" w:lineRule="auto"/>
              <w:ind w:left="305"/>
              <w:rPr>
                <w:rFonts w:ascii="宋体" w:hAnsi="宋体" w:eastAsia="宋体" w:cs="宋体"/>
                <w:sz w:val="18"/>
                <w:szCs w:val="18"/>
              </w:rPr>
            </w:pPr>
            <w:r>
              <w:rPr>
                <w:rFonts w:ascii="宋体" w:hAnsi="宋体" w:eastAsia="宋体" w:cs="宋体"/>
                <w:spacing w:val="-3"/>
                <w:sz w:val="18"/>
                <w:szCs w:val="18"/>
              </w:rPr>
              <w:t>市</w:t>
            </w:r>
            <w:r>
              <w:rPr>
                <w:rFonts w:ascii="宋体" w:hAnsi="宋体" w:eastAsia="宋体" w:cs="宋体"/>
                <w:spacing w:val="4"/>
                <w:sz w:val="18"/>
                <w:szCs w:val="18"/>
              </w:rPr>
              <w:t xml:space="preserve">  </w:t>
            </w:r>
            <w:r>
              <w:rPr>
                <w:rFonts w:ascii="宋体" w:hAnsi="宋体" w:eastAsia="宋体" w:cs="宋体"/>
                <w:spacing w:val="-3"/>
                <w:sz w:val="18"/>
                <w:szCs w:val="18"/>
              </w:rPr>
              <w:t>级</w:t>
            </w:r>
          </w:p>
        </w:tc>
        <w:tc>
          <w:tcPr>
            <w:tcW w:w="649" w:type="dxa"/>
            <w:tcBorders>
              <w:left w:val="single" w:color="000000" w:sz="4" w:space="0"/>
              <w:bottom w:val="single" w:color="000000" w:sz="4" w:space="0"/>
              <w:right w:val="nil"/>
            </w:tcBorders>
            <w:vAlign w:val="top"/>
          </w:tcPr>
          <w:p>
            <w:pPr>
              <w:pStyle w:val="6"/>
            </w:pPr>
          </w:p>
        </w:tc>
        <w:tc>
          <w:tcPr>
            <w:tcW w:w="628" w:type="dxa"/>
            <w:tcBorders>
              <w:left w:val="nil"/>
              <w:bottom w:val="single" w:color="000000" w:sz="4" w:space="0"/>
              <w:right w:val="nil"/>
            </w:tcBorders>
            <w:vAlign w:val="top"/>
          </w:tcPr>
          <w:p>
            <w:pPr>
              <w:pStyle w:val="6"/>
            </w:pPr>
          </w:p>
        </w:tc>
        <w:tc>
          <w:tcPr>
            <w:tcW w:w="656" w:type="dxa"/>
            <w:tcBorders>
              <w:left w:val="nil"/>
              <w:bottom w:val="single" w:color="000000" w:sz="4" w:space="0"/>
              <w:right w:val="nil"/>
            </w:tcBorders>
            <w:vAlign w:val="top"/>
          </w:tcPr>
          <w:p>
            <w:pPr>
              <w:spacing w:before="112" w:line="260" w:lineRule="exact"/>
              <w:ind w:left="208"/>
              <w:rPr>
                <w:rFonts w:ascii="宋体" w:hAnsi="宋体" w:eastAsia="宋体" w:cs="宋体"/>
                <w:sz w:val="18"/>
                <w:szCs w:val="18"/>
              </w:rPr>
            </w:pPr>
            <w:r>
              <w:rPr>
                <w:rFonts w:ascii="宋体" w:hAnsi="宋体" w:eastAsia="宋体" w:cs="宋体"/>
                <w:spacing w:val="-14"/>
                <w:position w:val="1"/>
                <w:sz w:val="18"/>
                <w:szCs w:val="18"/>
              </w:rPr>
              <w:t>0.81</w:t>
            </w:r>
          </w:p>
        </w:tc>
        <w:tc>
          <w:tcPr>
            <w:tcW w:w="661" w:type="dxa"/>
            <w:tcBorders>
              <w:left w:val="nil"/>
              <w:bottom w:val="single" w:color="000000" w:sz="4" w:space="0"/>
              <w:right w:val="nil"/>
            </w:tcBorders>
            <w:vAlign w:val="top"/>
          </w:tcPr>
          <w:p>
            <w:pPr>
              <w:pStyle w:val="6"/>
            </w:pPr>
          </w:p>
        </w:tc>
        <w:tc>
          <w:tcPr>
            <w:tcW w:w="673" w:type="dxa"/>
            <w:tcBorders>
              <w:left w:val="nil"/>
              <w:bottom w:val="single" w:color="000000" w:sz="4" w:space="0"/>
            </w:tcBorders>
            <w:vAlign w:val="top"/>
          </w:tcPr>
          <w:p>
            <w:pPr>
              <w:pStyle w:val="6"/>
            </w:pPr>
          </w:p>
        </w:tc>
        <w:tc>
          <w:tcPr>
            <w:tcW w:w="794" w:type="dxa"/>
            <w:tcBorders>
              <w:bottom w:val="single" w:color="000000" w:sz="4" w:space="0"/>
              <w:right w:val="nil"/>
            </w:tcBorders>
            <w:vAlign w:val="top"/>
          </w:tcPr>
          <w:p>
            <w:pPr>
              <w:pStyle w:val="6"/>
            </w:pPr>
          </w:p>
        </w:tc>
        <w:tc>
          <w:tcPr>
            <w:tcW w:w="681" w:type="dxa"/>
            <w:tcBorders>
              <w:left w:val="nil"/>
              <w:bottom w:val="single" w:color="000000" w:sz="4" w:space="0"/>
              <w:right w:val="nil"/>
            </w:tcBorders>
            <w:vAlign w:val="top"/>
          </w:tcPr>
          <w:p>
            <w:pPr>
              <w:pStyle w:val="6"/>
            </w:pPr>
          </w:p>
        </w:tc>
        <w:tc>
          <w:tcPr>
            <w:tcW w:w="681" w:type="dxa"/>
            <w:tcBorders>
              <w:left w:val="nil"/>
              <w:bottom w:val="single" w:color="000000" w:sz="4" w:space="0"/>
              <w:right w:val="nil"/>
            </w:tcBorders>
            <w:vAlign w:val="top"/>
          </w:tcPr>
          <w:p>
            <w:pPr>
              <w:spacing w:before="112" w:line="260" w:lineRule="exact"/>
              <w:ind w:left="144"/>
              <w:rPr>
                <w:rFonts w:ascii="宋体" w:hAnsi="宋体" w:eastAsia="宋体" w:cs="宋体"/>
                <w:sz w:val="18"/>
                <w:szCs w:val="18"/>
              </w:rPr>
            </w:pPr>
            <w:r>
              <w:rPr>
                <w:rFonts w:ascii="宋体" w:hAnsi="宋体" w:eastAsia="宋体" w:cs="宋体"/>
                <w:spacing w:val="-14"/>
                <w:position w:val="1"/>
                <w:sz w:val="18"/>
                <w:szCs w:val="18"/>
              </w:rPr>
              <w:t>0.81</w:t>
            </w:r>
          </w:p>
        </w:tc>
        <w:tc>
          <w:tcPr>
            <w:tcW w:w="681" w:type="dxa"/>
            <w:tcBorders>
              <w:left w:val="nil"/>
              <w:bottom w:val="single" w:color="000000" w:sz="4" w:space="0"/>
              <w:right w:val="nil"/>
            </w:tcBorders>
            <w:vAlign w:val="top"/>
          </w:tcPr>
          <w:p>
            <w:pPr>
              <w:pStyle w:val="6"/>
            </w:pPr>
          </w:p>
        </w:tc>
        <w:tc>
          <w:tcPr>
            <w:tcW w:w="699" w:type="dxa"/>
            <w:tcBorders>
              <w:left w:val="nil"/>
              <w:bottom w:val="single" w:color="000000" w:sz="4" w:space="0"/>
              <w:right w:val="single" w:color="000000" w:sz="4" w:space="0"/>
            </w:tcBorders>
            <w:vAlign w:val="top"/>
          </w:tcPr>
          <w:p>
            <w:pPr>
              <w:pStyle w:val="6"/>
            </w:pPr>
          </w:p>
        </w:tc>
      </w:tr>
    </w:tbl>
    <w:p>
      <w:pPr>
        <w:spacing w:before="55"/>
        <w:ind w:left="174"/>
        <w:rPr>
          <w:rFonts w:ascii="宋体" w:hAnsi="宋体" w:eastAsia="宋体" w:cs="宋体"/>
          <w:sz w:val="18"/>
          <w:szCs w:val="18"/>
        </w:rPr>
      </w:pPr>
      <w:r>
        <w:rPr>
          <w:rFonts w:ascii="宋体" w:hAnsi="宋体" w:eastAsia="宋体" w:cs="宋体"/>
          <w:sz w:val="18"/>
          <w:szCs w:val="18"/>
        </w:rPr>
        <w:t>注：表中建设项目工伤保险费率依据鲁人社字〔2020</w:t>
      </w:r>
      <w:r>
        <w:rPr>
          <w:position w:val="-3"/>
          <w:sz w:val="18"/>
          <w:szCs w:val="18"/>
        </w:rPr>
        <w:drawing>
          <wp:inline distT="0" distB="0" distL="0" distR="0">
            <wp:extent cx="76200" cy="14605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404"/>
                    <a:stretch>
                      <a:fillRect/>
                    </a:stretch>
                  </pic:blipFill>
                  <pic:spPr>
                    <a:xfrm>
                      <a:off x="0" y="0"/>
                      <a:ext cx="76663" cy="146596"/>
                    </a:xfrm>
                    <a:prstGeom prst="rect">
                      <a:avLst/>
                    </a:prstGeom>
                  </pic:spPr>
                </pic:pic>
              </a:graphicData>
            </a:graphic>
          </wp:inline>
        </w:drawing>
      </w:r>
      <w:r>
        <w:rPr>
          <w:rFonts w:ascii="宋体" w:hAnsi="宋体" w:eastAsia="宋体" w:cs="宋体"/>
          <w:spacing w:val="-30"/>
          <w:sz w:val="18"/>
          <w:szCs w:val="18"/>
        </w:rPr>
        <w:t xml:space="preserve"> </w:t>
      </w:r>
      <w:r>
        <w:rPr>
          <w:rFonts w:ascii="宋体" w:hAnsi="宋体" w:eastAsia="宋体" w:cs="宋体"/>
          <w:spacing w:val="-1"/>
          <w:sz w:val="18"/>
          <w:szCs w:val="18"/>
        </w:rPr>
        <w:t>69号、鲁人社函〔2025</w:t>
      </w:r>
      <w:r>
        <w:rPr>
          <w:position w:val="-3"/>
          <w:sz w:val="18"/>
          <w:szCs w:val="18"/>
        </w:rPr>
        <w:drawing>
          <wp:inline distT="0" distB="0" distL="0" distR="0">
            <wp:extent cx="76200" cy="14605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405"/>
                    <a:stretch>
                      <a:fillRect/>
                    </a:stretch>
                  </pic:blipFill>
                  <pic:spPr>
                    <a:xfrm>
                      <a:off x="0" y="0"/>
                      <a:ext cx="76663" cy="146596"/>
                    </a:xfrm>
                    <a:prstGeom prst="rect">
                      <a:avLst/>
                    </a:prstGeom>
                  </pic:spPr>
                </pic:pic>
              </a:graphicData>
            </a:graphic>
          </wp:inline>
        </w:drawing>
      </w:r>
      <w:r>
        <w:rPr>
          <w:rFonts w:ascii="宋体" w:hAnsi="宋体" w:eastAsia="宋体" w:cs="宋体"/>
          <w:spacing w:val="-32"/>
          <w:sz w:val="18"/>
          <w:szCs w:val="18"/>
        </w:rPr>
        <w:t xml:space="preserve"> </w:t>
      </w:r>
      <w:r>
        <w:rPr>
          <w:rFonts w:ascii="宋体" w:hAnsi="宋体" w:eastAsia="宋体" w:cs="宋体"/>
          <w:spacing w:val="-1"/>
          <w:sz w:val="18"/>
          <w:szCs w:val="18"/>
        </w:rPr>
        <w:t>5号相关规定确定。</w:t>
      </w:r>
    </w:p>
    <w:p>
      <w:pPr>
        <w:spacing w:line="317" w:lineRule="auto"/>
        <w:rPr>
          <w:rFonts w:ascii="Arial"/>
          <w:sz w:val="21"/>
        </w:rPr>
      </w:pPr>
    </w:p>
    <w:p>
      <w:pPr>
        <w:spacing w:before="79" w:line="213" w:lineRule="auto"/>
        <w:ind w:left="407"/>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64"/>
          <w:sz w:val="24"/>
          <w:szCs w:val="24"/>
        </w:rPr>
        <w:t xml:space="preserve"> </w:t>
      </w:r>
      <w:r>
        <w:rPr>
          <w:rFonts w:ascii="KaiTi_GB2312" w:hAnsi="KaiTi_GB2312" w:eastAsia="KaiTi_GB2312" w:cs="KaiTi_GB2312"/>
          <w:spacing w:val="7"/>
          <w:sz w:val="24"/>
          <w:szCs w:val="24"/>
        </w:rPr>
        <w:t>二）总承包服务费（单位：%）</w:t>
      </w:r>
    </w:p>
    <w:p>
      <w:pPr>
        <w:spacing w:line="131" w:lineRule="exact"/>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0"/>
        <w:gridCol w:w="2484"/>
        <w:gridCol w:w="2609"/>
        <w:gridCol w:w="26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3844" w:type="dxa"/>
            <w:gridSpan w:val="2"/>
            <w:tcBorders>
              <w:top w:val="single" w:color="000000" w:sz="4" w:space="0"/>
              <w:left w:val="single" w:color="000000" w:sz="4" w:space="0"/>
            </w:tcBorders>
            <w:vAlign w:val="top"/>
          </w:tcPr>
          <w:p>
            <w:pPr>
              <w:spacing w:before="131" w:line="202" w:lineRule="auto"/>
              <w:ind w:left="1585"/>
              <w:rPr>
                <w:rFonts w:ascii="微软雅黑" w:hAnsi="微软雅黑" w:eastAsia="微软雅黑" w:cs="微软雅黑"/>
                <w:sz w:val="18"/>
                <w:szCs w:val="18"/>
              </w:rPr>
            </w:pPr>
            <w:r>
              <w:rPr>
                <w:rFonts w:ascii="微软雅黑" w:hAnsi="微软雅黑" w:eastAsia="微软雅黑" w:cs="微软雅黑"/>
                <w:spacing w:val="-4"/>
                <w:w w:val="97"/>
                <w:sz w:val="18"/>
                <w:szCs w:val="18"/>
              </w:rPr>
              <w:t>费用名称</w:t>
            </w:r>
          </w:p>
        </w:tc>
        <w:tc>
          <w:tcPr>
            <w:tcW w:w="2609" w:type="dxa"/>
            <w:tcBorders>
              <w:top w:val="single" w:color="000000" w:sz="4" w:space="0"/>
            </w:tcBorders>
            <w:vAlign w:val="top"/>
          </w:tcPr>
          <w:p>
            <w:pPr>
              <w:spacing w:before="132" w:line="202" w:lineRule="auto"/>
              <w:ind w:left="956"/>
              <w:rPr>
                <w:rFonts w:ascii="微软雅黑" w:hAnsi="微软雅黑" w:eastAsia="微软雅黑" w:cs="微软雅黑"/>
                <w:sz w:val="18"/>
                <w:szCs w:val="18"/>
              </w:rPr>
            </w:pPr>
            <w:r>
              <w:rPr>
                <w:rFonts w:ascii="微软雅黑" w:hAnsi="微软雅黑" w:eastAsia="微软雅黑" w:cs="微软雅黑"/>
                <w:spacing w:val="-4"/>
                <w:sz w:val="18"/>
                <w:szCs w:val="18"/>
              </w:rPr>
              <w:t>计费基础</w:t>
            </w:r>
          </w:p>
        </w:tc>
        <w:tc>
          <w:tcPr>
            <w:tcW w:w="2626" w:type="dxa"/>
            <w:tcBorders>
              <w:top w:val="single" w:color="000000" w:sz="4" w:space="0"/>
              <w:right w:val="single" w:color="000000" w:sz="4" w:space="0"/>
            </w:tcBorders>
            <w:vAlign w:val="top"/>
          </w:tcPr>
          <w:p>
            <w:pPr>
              <w:spacing w:before="132" w:line="202" w:lineRule="auto"/>
              <w:ind w:left="1158"/>
              <w:rPr>
                <w:rFonts w:ascii="微软雅黑" w:hAnsi="微软雅黑" w:eastAsia="微软雅黑" w:cs="微软雅黑"/>
                <w:sz w:val="18"/>
                <w:szCs w:val="18"/>
              </w:rPr>
            </w:pPr>
            <w:r>
              <w:rPr>
                <w:rFonts w:ascii="微软雅黑" w:hAnsi="微软雅黑" w:eastAsia="微软雅黑" w:cs="微软雅黑"/>
                <w:spacing w:val="-6"/>
                <w:sz w:val="18"/>
                <w:szCs w:val="18"/>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360" w:type="dxa"/>
            <w:vMerge w:val="restart"/>
            <w:tcBorders>
              <w:left w:val="single" w:color="000000" w:sz="4" w:space="0"/>
              <w:bottom w:val="nil"/>
            </w:tcBorders>
            <w:vAlign w:val="top"/>
          </w:tcPr>
          <w:p>
            <w:pPr>
              <w:pStyle w:val="6"/>
              <w:spacing w:line="322" w:lineRule="auto"/>
            </w:pPr>
          </w:p>
          <w:p>
            <w:pPr>
              <w:pStyle w:val="6"/>
              <w:spacing w:line="323" w:lineRule="auto"/>
            </w:pPr>
          </w:p>
          <w:p>
            <w:pPr>
              <w:spacing w:before="58" w:line="211" w:lineRule="auto"/>
              <w:ind w:left="151"/>
              <w:rPr>
                <w:rFonts w:ascii="宋体" w:hAnsi="宋体" w:eastAsia="宋体" w:cs="宋体"/>
                <w:sz w:val="18"/>
                <w:szCs w:val="18"/>
              </w:rPr>
            </w:pPr>
            <w:r>
              <w:rPr>
                <w:rFonts w:ascii="宋体" w:hAnsi="宋体" w:eastAsia="宋体" w:cs="宋体"/>
                <w:spacing w:val="-5"/>
                <w:sz w:val="18"/>
                <w:szCs w:val="18"/>
              </w:rPr>
              <w:t>总承包服务费</w:t>
            </w:r>
          </w:p>
        </w:tc>
        <w:tc>
          <w:tcPr>
            <w:tcW w:w="2484" w:type="dxa"/>
            <w:vAlign w:val="top"/>
          </w:tcPr>
          <w:p>
            <w:pPr>
              <w:spacing w:before="121" w:line="240" w:lineRule="exact"/>
              <w:ind w:left="616"/>
              <w:rPr>
                <w:rFonts w:ascii="宋体" w:hAnsi="宋体" w:eastAsia="宋体" w:cs="宋体"/>
                <w:sz w:val="18"/>
                <w:szCs w:val="18"/>
              </w:rPr>
            </w:pPr>
            <w:r>
              <w:rPr>
                <w:rFonts w:ascii="宋体" w:hAnsi="宋体" w:eastAsia="宋体" w:cs="宋体"/>
                <w:spacing w:val="-4"/>
                <w:position w:val="1"/>
                <w:sz w:val="18"/>
                <w:szCs w:val="18"/>
              </w:rPr>
              <w:t>发包人提供材料</w:t>
            </w:r>
          </w:p>
        </w:tc>
        <w:tc>
          <w:tcPr>
            <w:tcW w:w="2609" w:type="dxa"/>
            <w:vAlign w:val="top"/>
          </w:tcPr>
          <w:p>
            <w:pPr>
              <w:spacing w:before="121" w:line="240" w:lineRule="exact"/>
              <w:ind w:left="506"/>
              <w:rPr>
                <w:rFonts w:ascii="宋体" w:hAnsi="宋体" w:eastAsia="宋体" w:cs="宋体"/>
                <w:sz w:val="18"/>
                <w:szCs w:val="18"/>
              </w:rPr>
            </w:pPr>
            <w:r>
              <w:rPr>
                <w:rFonts w:ascii="宋体" w:hAnsi="宋体" w:eastAsia="宋体" w:cs="宋体"/>
                <w:spacing w:val="-4"/>
                <w:position w:val="1"/>
                <w:sz w:val="18"/>
                <w:szCs w:val="18"/>
              </w:rPr>
              <w:t>发包人提供的材料费</w:t>
            </w:r>
          </w:p>
        </w:tc>
        <w:tc>
          <w:tcPr>
            <w:tcW w:w="2626" w:type="dxa"/>
            <w:tcBorders>
              <w:right w:val="single" w:color="000000" w:sz="4" w:space="0"/>
            </w:tcBorders>
            <w:vAlign w:val="top"/>
          </w:tcPr>
          <w:p>
            <w:pPr>
              <w:spacing w:before="137" w:line="245" w:lineRule="exact"/>
              <w:ind w:left="1303"/>
              <w:rPr>
                <w:rFonts w:ascii="宋体" w:hAnsi="宋体" w:eastAsia="宋体" w:cs="宋体"/>
                <w:sz w:val="18"/>
                <w:szCs w:val="18"/>
              </w:rPr>
            </w:pPr>
            <w:r>
              <w:rPr>
                <w:rFonts w:ascii="宋体" w:hAnsi="宋体" w:eastAsia="宋体" w:cs="宋体"/>
                <w:position w:val="1"/>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6" w:hRule="atLeast"/>
        </w:trPr>
        <w:tc>
          <w:tcPr>
            <w:tcW w:w="1360" w:type="dxa"/>
            <w:vMerge w:val="continue"/>
            <w:tcBorders>
              <w:top w:val="nil"/>
              <w:left w:val="single" w:color="000000" w:sz="4" w:space="0"/>
              <w:bottom w:val="nil"/>
            </w:tcBorders>
            <w:vAlign w:val="top"/>
          </w:tcPr>
          <w:p>
            <w:pPr>
              <w:pStyle w:val="6"/>
            </w:pPr>
          </w:p>
        </w:tc>
        <w:tc>
          <w:tcPr>
            <w:tcW w:w="2484" w:type="dxa"/>
            <w:vAlign w:val="top"/>
          </w:tcPr>
          <w:p>
            <w:pPr>
              <w:spacing w:before="104" w:line="293" w:lineRule="auto"/>
              <w:ind w:left="347" w:right="254" w:hanging="95"/>
              <w:rPr>
                <w:rFonts w:ascii="宋体" w:hAnsi="宋体" w:eastAsia="宋体" w:cs="宋体"/>
                <w:sz w:val="18"/>
                <w:szCs w:val="18"/>
              </w:rPr>
            </w:pPr>
            <w:r>
              <w:rPr>
                <w:rFonts w:ascii="宋体" w:hAnsi="宋体" w:eastAsia="宋体" w:cs="宋体"/>
                <w:spacing w:val="-1"/>
                <w:sz w:val="18"/>
                <w:szCs w:val="18"/>
              </w:rPr>
              <w:t>合同范围内专业分包工程</w:t>
            </w:r>
            <w:r>
              <w:rPr>
                <w:rFonts w:ascii="宋体" w:hAnsi="宋体" w:eastAsia="宋体" w:cs="宋体"/>
                <w:spacing w:val="-3"/>
                <w:sz w:val="18"/>
                <w:szCs w:val="18"/>
              </w:rPr>
              <w:t>（承包人实施的除外）</w:t>
            </w:r>
          </w:p>
        </w:tc>
        <w:tc>
          <w:tcPr>
            <w:tcW w:w="2609" w:type="dxa"/>
            <w:vAlign w:val="top"/>
          </w:tcPr>
          <w:p>
            <w:pPr>
              <w:spacing w:before="84" w:line="213" w:lineRule="auto"/>
              <w:ind w:left="593"/>
              <w:rPr>
                <w:rFonts w:ascii="宋体" w:hAnsi="宋体" w:eastAsia="宋体" w:cs="宋体"/>
                <w:sz w:val="18"/>
                <w:szCs w:val="18"/>
              </w:rPr>
            </w:pPr>
            <w:r>
              <w:rPr>
                <w:rFonts w:ascii="宋体" w:hAnsi="宋体" w:eastAsia="宋体" w:cs="宋体"/>
                <w:spacing w:val="-2"/>
                <w:sz w:val="18"/>
                <w:szCs w:val="18"/>
              </w:rPr>
              <w:t>专业工程暂估价或</w:t>
            </w:r>
          </w:p>
          <w:p>
            <w:pPr>
              <w:spacing w:before="135" w:line="213" w:lineRule="auto"/>
              <w:ind w:left="503"/>
              <w:rPr>
                <w:rFonts w:ascii="宋体" w:hAnsi="宋体" w:eastAsia="宋体" w:cs="宋体"/>
                <w:sz w:val="18"/>
                <w:szCs w:val="18"/>
              </w:rPr>
            </w:pPr>
            <w:r>
              <w:rPr>
                <w:rFonts w:ascii="宋体" w:hAnsi="宋体" w:eastAsia="宋体" w:cs="宋体"/>
                <w:spacing w:val="-3"/>
                <w:sz w:val="18"/>
                <w:szCs w:val="18"/>
              </w:rPr>
              <w:t>确认的专业工程价款</w:t>
            </w:r>
          </w:p>
        </w:tc>
        <w:tc>
          <w:tcPr>
            <w:tcW w:w="2626" w:type="dxa"/>
            <w:tcBorders>
              <w:right w:val="single" w:color="000000" w:sz="4" w:space="0"/>
            </w:tcBorders>
            <w:vAlign w:val="top"/>
          </w:tcPr>
          <w:p>
            <w:pPr>
              <w:spacing w:before="259" w:line="260" w:lineRule="exact"/>
              <w:ind w:left="1281"/>
              <w:rPr>
                <w:rFonts w:ascii="宋体" w:hAnsi="宋体" w:eastAsia="宋体" w:cs="宋体"/>
                <w:sz w:val="18"/>
                <w:szCs w:val="18"/>
              </w:rPr>
            </w:pPr>
            <w:r>
              <w:rPr>
                <w:rFonts w:ascii="宋体" w:hAnsi="宋体" w:eastAsia="宋体" w:cs="宋体"/>
                <w:position w:val="2"/>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1360" w:type="dxa"/>
            <w:vMerge w:val="continue"/>
            <w:tcBorders>
              <w:top w:val="nil"/>
              <w:left w:val="single" w:color="000000" w:sz="4" w:space="0"/>
              <w:bottom w:val="single" w:color="000000" w:sz="4" w:space="0"/>
            </w:tcBorders>
            <w:vAlign w:val="top"/>
          </w:tcPr>
          <w:p>
            <w:pPr>
              <w:pStyle w:val="6"/>
            </w:pPr>
          </w:p>
        </w:tc>
        <w:tc>
          <w:tcPr>
            <w:tcW w:w="2484" w:type="dxa"/>
            <w:tcBorders>
              <w:bottom w:val="single" w:color="000000" w:sz="4" w:space="0"/>
            </w:tcBorders>
            <w:vAlign w:val="top"/>
          </w:tcPr>
          <w:p>
            <w:pPr>
              <w:spacing w:before="142" w:line="215" w:lineRule="auto"/>
              <w:ind w:left="167"/>
              <w:rPr>
                <w:rFonts w:ascii="宋体" w:hAnsi="宋体" w:eastAsia="宋体" w:cs="宋体"/>
                <w:sz w:val="18"/>
                <w:szCs w:val="18"/>
              </w:rPr>
            </w:pPr>
            <w:r>
              <w:rPr>
                <w:rFonts w:ascii="宋体" w:hAnsi="宋体" w:eastAsia="宋体" w:cs="宋体"/>
                <w:spacing w:val="-3"/>
                <w:sz w:val="18"/>
                <w:szCs w:val="18"/>
              </w:rPr>
              <w:t>发包人直接发包的专业工程</w:t>
            </w:r>
          </w:p>
        </w:tc>
        <w:tc>
          <w:tcPr>
            <w:tcW w:w="5235" w:type="dxa"/>
            <w:gridSpan w:val="2"/>
            <w:tcBorders>
              <w:bottom w:val="single" w:color="000000" w:sz="4" w:space="0"/>
              <w:right w:val="single" w:color="000000" w:sz="4" w:space="0"/>
            </w:tcBorders>
            <w:vAlign w:val="top"/>
          </w:tcPr>
          <w:p>
            <w:pPr>
              <w:spacing w:before="143" w:line="212" w:lineRule="auto"/>
              <w:ind w:left="1629"/>
              <w:rPr>
                <w:rFonts w:ascii="宋体" w:hAnsi="宋体" w:eastAsia="宋体" w:cs="宋体"/>
                <w:sz w:val="18"/>
                <w:szCs w:val="18"/>
              </w:rPr>
            </w:pPr>
            <w:r>
              <w:rPr>
                <w:rFonts w:ascii="宋体" w:hAnsi="宋体" w:eastAsia="宋体" w:cs="宋体"/>
                <w:spacing w:val="-6"/>
                <w:sz w:val="18"/>
                <w:szCs w:val="18"/>
              </w:rPr>
              <w:t>按合同约定以“项”计算</w:t>
            </w:r>
          </w:p>
        </w:tc>
      </w:tr>
    </w:tbl>
    <w:p>
      <w:pPr>
        <w:spacing w:line="292" w:lineRule="auto"/>
        <w:rPr>
          <w:rFonts w:ascii="Arial"/>
          <w:sz w:val="21"/>
        </w:rPr>
      </w:pPr>
    </w:p>
    <w:p>
      <w:pPr>
        <w:spacing w:line="292" w:lineRule="auto"/>
        <w:rPr>
          <w:rFonts w:ascii="Arial"/>
          <w:sz w:val="21"/>
        </w:rPr>
      </w:pPr>
    </w:p>
    <w:p>
      <w:pPr>
        <w:spacing w:line="293" w:lineRule="auto"/>
        <w:rPr>
          <w:rFonts w:ascii="Arial"/>
          <w:sz w:val="21"/>
        </w:rPr>
      </w:pPr>
    </w:p>
    <w:p>
      <w:pPr>
        <w:spacing w:before="78" w:line="221" w:lineRule="auto"/>
        <w:ind w:left="478"/>
        <w:rPr>
          <w:rFonts w:ascii="黑体" w:hAnsi="黑体" w:eastAsia="黑体" w:cs="黑体"/>
          <w:sz w:val="24"/>
          <w:szCs w:val="24"/>
        </w:rPr>
      </w:pPr>
      <w:r>
        <w:rPr>
          <w:rFonts w:ascii="黑体" w:hAnsi="黑体" w:eastAsia="黑体" w:cs="黑体"/>
          <w:spacing w:val="-12"/>
          <w:sz w:val="24"/>
          <w:szCs w:val="24"/>
        </w:rPr>
        <w:t>四、增值税</w:t>
      </w:r>
    </w:p>
    <w:p>
      <w:pPr>
        <w:spacing w:before="131" w:line="238" w:lineRule="auto"/>
        <w:ind w:right="14"/>
        <w:jc w:val="right"/>
        <w:rPr>
          <w:rFonts w:ascii="宋体" w:hAnsi="宋体" w:eastAsia="宋体" w:cs="宋体"/>
          <w:sz w:val="18"/>
          <w:szCs w:val="18"/>
        </w:rPr>
      </w:pPr>
      <w:r>
        <w:rPr>
          <w:rFonts w:ascii="宋体" w:hAnsi="宋体" w:eastAsia="宋体" w:cs="宋体"/>
          <w:spacing w:val="10"/>
          <w:sz w:val="18"/>
          <w:szCs w:val="18"/>
        </w:rPr>
        <w:t>单位：%</w:t>
      </w: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59"/>
        <w:gridCol w:w="3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6" w:hRule="atLeast"/>
        </w:trPr>
        <w:tc>
          <w:tcPr>
            <w:tcW w:w="6059" w:type="dxa"/>
            <w:tcBorders>
              <w:top w:val="single" w:color="000000" w:sz="4" w:space="0"/>
              <w:left w:val="single" w:color="000000" w:sz="4" w:space="0"/>
            </w:tcBorders>
            <w:vAlign w:val="top"/>
          </w:tcPr>
          <w:p>
            <w:pPr>
              <w:spacing w:before="154" w:line="222" w:lineRule="auto"/>
              <w:ind w:left="2692"/>
              <w:rPr>
                <w:rFonts w:ascii="黑体" w:hAnsi="黑体" w:eastAsia="黑体" w:cs="黑体"/>
                <w:sz w:val="18"/>
                <w:szCs w:val="18"/>
              </w:rPr>
            </w:pPr>
            <w:r>
              <w:rPr>
                <w:rFonts w:ascii="黑体" w:hAnsi="黑体" w:eastAsia="黑体" w:cs="黑体"/>
                <w:spacing w:val="-7"/>
                <w:sz w:val="18"/>
                <w:szCs w:val="18"/>
              </w:rPr>
              <w:t>费用名称</w:t>
            </w:r>
          </w:p>
        </w:tc>
        <w:tc>
          <w:tcPr>
            <w:tcW w:w="3020" w:type="dxa"/>
            <w:tcBorders>
              <w:top w:val="single" w:color="000000" w:sz="4" w:space="0"/>
              <w:right w:val="single" w:color="000000" w:sz="4" w:space="0"/>
            </w:tcBorders>
            <w:vAlign w:val="top"/>
          </w:tcPr>
          <w:p>
            <w:pPr>
              <w:spacing w:before="154" w:line="221" w:lineRule="auto"/>
              <w:ind w:left="1340"/>
              <w:rPr>
                <w:rFonts w:ascii="黑体" w:hAnsi="黑体" w:eastAsia="黑体" w:cs="黑体"/>
                <w:sz w:val="18"/>
                <w:szCs w:val="18"/>
              </w:rPr>
            </w:pPr>
            <w:r>
              <w:rPr>
                <w:rFonts w:ascii="黑体" w:hAnsi="黑体" w:eastAsia="黑体" w:cs="黑体"/>
                <w:spacing w:val="-4"/>
                <w:sz w:val="18"/>
                <w:szCs w:val="18"/>
              </w:rPr>
              <w:t>税率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trPr>
        <w:tc>
          <w:tcPr>
            <w:tcW w:w="6059" w:type="dxa"/>
            <w:tcBorders>
              <w:left w:val="single" w:color="000000" w:sz="4" w:space="0"/>
            </w:tcBorders>
            <w:vAlign w:val="top"/>
          </w:tcPr>
          <w:p>
            <w:pPr>
              <w:spacing w:before="153" w:line="241" w:lineRule="exact"/>
              <w:ind w:left="2228"/>
              <w:rPr>
                <w:rFonts w:ascii="宋体" w:hAnsi="宋体" w:eastAsia="宋体" w:cs="宋体"/>
                <w:sz w:val="18"/>
                <w:szCs w:val="18"/>
              </w:rPr>
            </w:pPr>
            <w:r>
              <w:rPr>
                <w:rFonts w:ascii="宋体" w:hAnsi="宋体" w:eastAsia="宋体" w:cs="宋体"/>
                <w:spacing w:val="-2"/>
                <w:position w:val="1"/>
                <w:sz w:val="18"/>
                <w:szCs w:val="18"/>
              </w:rPr>
              <w:t>增值税（一般计税）</w:t>
            </w:r>
          </w:p>
        </w:tc>
        <w:tc>
          <w:tcPr>
            <w:tcW w:w="3020" w:type="dxa"/>
            <w:tcBorders>
              <w:right w:val="single" w:color="000000" w:sz="4" w:space="0"/>
            </w:tcBorders>
            <w:vAlign w:val="top"/>
          </w:tcPr>
          <w:p>
            <w:pPr>
              <w:spacing w:before="170" w:line="230" w:lineRule="auto"/>
              <w:ind w:left="1473"/>
              <w:rPr>
                <w:rFonts w:ascii="宋体" w:hAnsi="宋体" w:eastAsia="宋体" w:cs="宋体"/>
                <w:sz w:val="18"/>
                <w:szCs w:val="18"/>
              </w:rPr>
            </w:pPr>
            <w:r>
              <w:rPr>
                <w:rFonts w:ascii="宋体" w:hAnsi="宋体" w:eastAsia="宋体" w:cs="宋体"/>
                <w:sz w:val="18"/>
                <w:szCs w:val="18"/>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6059" w:type="dxa"/>
            <w:tcBorders>
              <w:left w:val="single" w:color="000000" w:sz="4" w:space="0"/>
              <w:bottom w:val="single" w:color="000000" w:sz="4" w:space="0"/>
            </w:tcBorders>
            <w:vAlign w:val="top"/>
          </w:tcPr>
          <w:p>
            <w:pPr>
              <w:spacing w:before="161" w:line="240" w:lineRule="exact"/>
              <w:ind w:left="2228"/>
              <w:rPr>
                <w:rFonts w:ascii="宋体" w:hAnsi="宋体" w:eastAsia="宋体" w:cs="宋体"/>
                <w:sz w:val="18"/>
                <w:szCs w:val="18"/>
              </w:rPr>
            </w:pPr>
            <w:r>
              <w:rPr>
                <w:rFonts w:ascii="宋体" w:hAnsi="宋体" w:eastAsia="宋体" w:cs="宋体"/>
                <w:spacing w:val="-2"/>
                <w:position w:val="1"/>
                <w:sz w:val="18"/>
                <w:szCs w:val="18"/>
              </w:rPr>
              <w:t>增值税（简易计税）</w:t>
            </w:r>
          </w:p>
        </w:tc>
        <w:tc>
          <w:tcPr>
            <w:tcW w:w="3020" w:type="dxa"/>
            <w:tcBorders>
              <w:bottom w:val="single" w:color="000000" w:sz="4" w:space="0"/>
              <w:right w:val="single" w:color="000000" w:sz="4" w:space="0"/>
            </w:tcBorders>
            <w:vAlign w:val="top"/>
          </w:tcPr>
          <w:p>
            <w:pPr>
              <w:spacing w:before="154" w:line="254" w:lineRule="exact"/>
              <w:ind w:left="1478"/>
              <w:rPr>
                <w:rFonts w:ascii="宋体" w:hAnsi="宋体" w:eastAsia="宋体" w:cs="宋体"/>
                <w:sz w:val="18"/>
                <w:szCs w:val="18"/>
              </w:rPr>
            </w:pPr>
            <w:r>
              <w:rPr>
                <w:rFonts w:ascii="宋体" w:hAnsi="宋体" w:eastAsia="宋体" w:cs="宋体"/>
                <w:position w:val="1"/>
                <w:sz w:val="18"/>
                <w:szCs w:val="18"/>
              </w:rPr>
              <w:t>3</w:t>
            </w:r>
          </w:p>
        </w:tc>
      </w:tr>
    </w:tbl>
    <w:p>
      <w:pPr>
        <w:rPr>
          <w:rFonts w:ascii="Arial"/>
          <w:sz w:val="21"/>
        </w:rPr>
      </w:pPr>
    </w:p>
    <w:p>
      <w:pPr>
        <w:rPr>
          <w:rFonts w:ascii="Arial" w:hAnsi="Arial" w:eastAsia="Arial" w:cs="Arial"/>
          <w:sz w:val="21"/>
          <w:szCs w:val="21"/>
        </w:rPr>
        <w:sectPr>
          <w:footerReference r:id="rId225" w:type="default"/>
          <w:pgSz w:w="11905" w:h="16840"/>
          <w:pgMar w:top="400" w:right="1398" w:bottom="1213" w:left="1416" w:header="0" w:footer="898" w:gutter="0"/>
        </w:sect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97" w:line="213" w:lineRule="auto"/>
        <w:ind w:left="2729"/>
        <w:outlineLvl w:val="1"/>
        <w:rPr>
          <w:rFonts w:ascii="宋体" w:hAnsi="宋体" w:eastAsia="宋体" w:cs="宋体"/>
          <w:sz w:val="30"/>
          <w:szCs w:val="30"/>
        </w:rPr>
      </w:pPr>
      <w:bookmarkStart w:id="120" w:name="bookmark72"/>
      <w:bookmarkEnd w:id="120"/>
      <w:bookmarkStart w:id="121" w:name="bookmark73"/>
      <w:bookmarkEnd w:id="121"/>
      <w:r>
        <w:rPr>
          <w:rFonts w:ascii="宋体" w:hAnsi="宋体" w:eastAsia="宋体" w:cs="宋体"/>
          <w:b/>
          <w:bCs/>
          <w:spacing w:val="-3"/>
          <w:sz w:val="30"/>
          <w:szCs w:val="30"/>
        </w:rPr>
        <w:t>第四节</w:t>
      </w:r>
      <w:r>
        <w:rPr>
          <w:rFonts w:ascii="宋体" w:hAnsi="宋体" w:eastAsia="宋体" w:cs="宋体"/>
          <w:spacing w:val="-3"/>
          <w:sz w:val="30"/>
          <w:szCs w:val="30"/>
        </w:rPr>
        <w:t xml:space="preserve">  </w:t>
      </w:r>
      <w:r>
        <w:rPr>
          <w:rFonts w:ascii="宋体" w:hAnsi="宋体" w:eastAsia="宋体" w:cs="宋体"/>
          <w:b/>
          <w:bCs/>
          <w:spacing w:val="-3"/>
          <w:sz w:val="30"/>
          <w:szCs w:val="30"/>
        </w:rPr>
        <w:t>工程类别划分标准</w:t>
      </w:r>
    </w:p>
    <w:p>
      <w:pPr>
        <w:spacing w:before="217" w:line="222" w:lineRule="auto"/>
        <w:ind w:left="4121"/>
        <w:rPr>
          <w:rFonts w:ascii="黑体" w:hAnsi="黑体" w:eastAsia="黑体" w:cs="黑体"/>
          <w:sz w:val="28"/>
          <w:szCs w:val="28"/>
        </w:rPr>
      </w:pPr>
      <w:r>
        <w:rPr>
          <w:rFonts w:ascii="黑体" w:hAnsi="黑体" w:eastAsia="黑体" w:cs="黑体"/>
          <w:spacing w:val="-8"/>
          <w:sz w:val="28"/>
          <w:szCs w:val="28"/>
        </w:rPr>
        <w:t>说</w:t>
      </w:r>
      <w:r>
        <w:rPr>
          <w:rFonts w:ascii="黑体" w:hAnsi="黑体" w:eastAsia="黑体" w:cs="黑体"/>
          <w:spacing w:val="27"/>
          <w:sz w:val="28"/>
          <w:szCs w:val="28"/>
        </w:rPr>
        <w:t xml:space="preserve">  </w:t>
      </w:r>
      <w:r>
        <w:rPr>
          <w:rFonts w:ascii="黑体" w:hAnsi="黑体" w:eastAsia="黑体" w:cs="黑体"/>
          <w:spacing w:val="-8"/>
          <w:sz w:val="28"/>
          <w:szCs w:val="28"/>
        </w:rPr>
        <w:t>明</w:t>
      </w:r>
    </w:p>
    <w:p>
      <w:pPr>
        <w:spacing w:before="239" w:line="222" w:lineRule="auto"/>
        <w:jc w:val="right"/>
        <w:rPr>
          <w:rFonts w:ascii="宋体" w:hAnsi="宋体" w:eastAsia="宋体" w:cs="宋体"/>
          <w:sz w:val="20"/>
          <w:szCs w:val="20"/>
        </w:rPr>
      </w:pPr>
      <w:r>
        <w:rPr>
          <w:rFonts w:ascii="宋体" w:hAnsi="宋体" w:eastAsia="宋体" w:cs="宋体"/>
          <w:spacing w:val="6"/>
          <w:sz w:val="20"/>
          <w:szCs w:val="20"/>
        </w:rPr>
        <w:t>一、本章中的工程类别划分标准是结合山东省实际，根据不同专业工程的施</w:t>
      </w:r>
      <w:r>
        <w:rPr>
          <w:rFonts w:ascii="宋体" w:hAnsi="宋体" w:eastAsia="宋体" w:cs="宋体"/>
          <w:spacing w:val="5"/>
          <w:sz w:val="20"/>
          <w:szCs w:val="20"/>
        </w:rPr>
        <w:t>工难易程度确定的。</w:t>
      </w:r>
    </w:p>
    <w:p>
      <w:pPr>
        <w:spacing w:before="149" w:line="301" w:lineRule="auto"/>
        <w:ind w:left="1" w:right="7" w:firstLine="427"/>
        <w:rPr>
          <w:rFonts w:ascii="宋体" w:hAnsi="宋体" w:eastAsia="宋体" w:cs="宋体"/>
          <w:sz w:val="20"/>
          <w:szCs w:val="20"/>
        </w:rPr>
      </w:pPr>
      <w:r>
        <w:rPr>
          <w:rFonts w:ascii="宋体" w:hAnsi="宋体" w:eastAsia="宋体" w:cs="宋体"/>
          <w:spacing w:val="11"/>
          <w:sz w:val="20"/>
          <w:szCs w:val="20"/>
        </w:rPr>
        <w:t>二、确定工程类别以单位工程为划分对象。一个单项工程可</w:t>
      </w:r>
      <w:r>
        <w:rPr>
          <w:rFonts w:ascii="宋体" w:hAnsi="宋体" w:eastAsia="宋体" w:cs="宋体"/>
          <w:spacing w:val="10"/>
          <w:sz w:val="20"/>
          <w:szCs w:val="20"/>
        </w:rPr>
        <w:t>包括建筑工程、装饰工程、给排水工程、暖通工程、电气工程等若干个相对独立的单位工</w:t>
      </w:r>
      <w:r>
        <w:rPr>
          <w:rFonts w:ascii="宋体" w:hAnsi="宋体" w:eastAsia="宋体" w:cs="宋体"/>
          <w:spacing w:val="9"/>
          <w:sz w:val="20"/>
          <w:szCs w:val="20"/>
        </w:rPr>
        <w:t>程。一个单位工程只能确定一个工程类别。</w:t>
      </w:r>
    </w:p>
    <w:p>
      <w:pPr>
        <w:spacing w:before="158" w:line="222" w:lineRule="auto"/>
        <w:ind w:left="432"/>
        <w:rPr>
          <w:rFonts w:ascii="宋体" w:hAnsi="宋体" w:eastAsia="宋体" w:cs="宋体"/>
          <w:sz w:val="20"/>
          <w:szCs w:val="20"/>
        </w:rPr>
      </w:pPr>
      <w:r>
        <w:rPr>
          <w:rFonts w:ascii="宋体" w:hAnsi="宋体" w:eastAsia="宋体" w:cs="宋体"/>
          <w:spacing w:val="9"/>
          <w:sz w:val="20"/>
          <w:szCs w:val="20"/>
        </w:rPr>
        <w:t>三、工程类别划分标准缺项时，发承包双方根据招标文件和合同约定协商处理。</w:t>
      </w:r>
    </w:p>
    <w:p>
      <w:pPr>
        <w:spacing w:before="160" w:line="296" w:lineRule="auto"/>
        <w:ind w:left="1" w:right="74" w:firstLine="448"/>
        <w:rPr>
          <w:rFonts w:ascii="宋体" w:hAnsi="宋体" w:eastAsia="宋体" w:cs="宋体"/>
          <w:sz w:val="20"/>
          <w:szCs w:val="20"/>
        </w:rPr>
      </w:pPr>
      <w:r>
        <w:rPr>
          <w:rFonts w:ascii="宋体" w:hAnsi="宋体" w:eastAsia="宋体" w:cs="宋体"/>
          <w:spacing w:val="9"/>
          <w:sz w:val="20"/>
          <w:szCs w:val="20"/>
        </w:rPr>
        <w:t>四、安装工程、市政工程、园林绿化工程、房</w:t>
      </w:r>
      <w:r>
        <w:rPr>
          <w:rFonts w:ascii="宋体" w:hAnsi="宋体" w:eastAsia="宋体" w:cs="宋体"/>
          <w:spacing w:val="8"/>
          <w:sz w:val="20"/>
          <w:szCs w:val="20"/>
        </w:rPr>
        <w:t>屋修缮工程、古建筑修缮工程、市政养护维修工</w:t>
      </w:r>
      <w:r>
        <w:rPr>
          <w:rFonts w:ascii="宋体" w:hAnsi="宋体" w:eastAsia="宋体" w:cs="宋体"/>
          <w:spacing w:val="9"/>
          <w:sz w:val="20"/>
          <w:szCs w:val="20"/>
        </w:rPr>
        <w:t>程、仿古建筑工程不区分工程类别等级。</w:t>
      </w:r>
    </w:p>
    <w:p>
      <w:pPr>
        <w:spacing w:line="296" w:lineRule="auto"/>
        <w:rPr>
          <w:rFonts w:ascii="宋体" w:hAnsi="宋体" w:eastAsia="宋体" w:cs="宋体"/>
          <w:sz w:val="20"/>
          <w:szCs w:val="20"/>
        </w:rPr>
        <w:sectPr>
          <w:footerReference r:id="rId226" w:type="default"/>
          <w:pgSz w:w="11905" w:h="16840"/>
          <w:pgMar w:top="400" w:right="1412" w:bottom="1213" w:left="1418" w:header="0" w:footer="898" w:gutter="0"/>
        </w:sectPr>
      </w:pPr>
    </w:p>
    <w:p>
      <w:pPr>
        <w:spacing w:line="316" w:lineRule="auto"/>
        <w:rPr>
          <w:rFonts w:ascii="Arial"/>
          <w:sz w:val="21"/>
        </w:rPr>
      </w:pPr>
    </w:p>
    <w:p>
      <w:pPr>
        <w:spacing w:line="316" w:lineRule="auto"/>
        <w:rPr>
          <w:rFonts w:ascii="Arial"/>
          <w:sz w:val="21"/>
        </w:rPr>
      </w:pPr>
    </w:p>
    <w:p>
      <w:pPr>
        <w:spacing w:line="317" w:lineRule="auto"/>
        <w:rPr>
          <w:rFonts w:ascii="Arial"/>
          <w:sz w:val="21"/>
        </w:rPr>
      </w:pPr>
    </w:p>
    <w:p>
      <w:pPr>
        <w:spacing w:before="78" w:line="222" w:lineRule="auto"/>
        <w:ind w:left="472"/>
        <w:rPr>
          <w:rFonts w:ascii="黑体" w:hAnsi="黑体" w:eastAsia="黑体" w:cs="黑体"/>
          <w:sz w:val="24"/>
          <w:szCs w:val="24"/>
        </w:rPr>
      </w:pPr>
      <w:r>
        <w:rPr>
          <w:rFonts w:ascii="黑体" w:hAnsi="黑体" w:eastAsia="黑体" w:cs="黑体"/>
          <w:spacing w:val="-7"/>
          <w:sz w:val="24"/>
          <w:szCs w:val="24"/>
        </w:rPr>
        <w:t>一、建筑工程</w:t>
      </w:r>
    </w:p>
    <w:p>
      <w:pPr>
        <w:spacing w:before="173" w:line="215" w:lineRule="auto"/>
        <w:ind w:left="409"/>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59"/>
          <w:sz w:val="24"/>
          <w:szCs w:val="24"/>
        </w:rPr>
        <w:t xml:space="preserve"> </w:t>
      </w:r>
      <w:r>
        <w:rPr>
          <w:rFonts w:ascii="KaiTi_GB2312" w:hAnsi="KaiTi_GB2312" w:eastAsia="KaiTi_GB2312" w:cs="KaiTi_GB2312"/>
          <w:spacing w:val="7"/>
          <w:sz w:val="24"/>
          <w:szCs w:val="24"/>
        </w:rPr>
        <w:t>一）建筑工程类别划分标准</w:t>
      </w:r>
    </w:p>
    <w:p>
      <w:pPr>
        <w:spacing w:line="70" w:lineRule="auto"/>
        <w:rPr>
          <w:rFonts w:ascii="Arial"/>
          <w:sz w:val="2"/>
        </w:rPr>
      </w:pPr>
    </w:p>
    <w:tbl>
      <w:tblPr>
        <w:tblStyle w:val="5"/>
        <w:tblW w:w="907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2"/>
        <w:gridCol w:w="803"/>
        <w:gridCol w:w="853"/>
        <w:gridCol w:w="1525"/>
        <w:gridCol w:w="673"/>
        <w:gridCol w:w="1531"/>
        <w:gridCol w:w="1531"/>
        <w:gridCol w:w="15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328" w:hRule="atLeast"/>
        </w:trPr>
        <w:tc>
          <w:tcPr>
            <w:tcW w:w="3793" w:type="dxa"/>
            <w:gridSpan w:val="4"/>
            <w:vMerge w:val="restart"/>
            <w:tcBorders>
              <w:top w:val="single" w:color="000000" w:sz="4" w:space="0"/>
              <w:left w:val="single" w:color="000000" w:sz="4" w:space="0"/>
              <w:bottom w:val="nil"/>
            </w:tcBorders>
            <w:vAlign w:val="top"/>
          </w:tcPr>
          <w:p>
            <w:pPr>
              <w:spacing w:before="249" w:line="203" w:lineRule="auto"/>
              <w:ind w:left="1553"/>
              <w:rPr>
                <w:rFonts w:ascii="微软雅黑" w:hAnsi="微软雅黑" w:eastAsia="微软雅黑" w:cs="微软雅黑"/>
                <w:sz w:val="18"/>
                <w:szCs w:val="18"/>
              </w:rPr>
            </w:pPr>
            <w:r>
              <w:rPr>
                <w:rFonts w:ascii="微软雅黑" w:hAnsi="微软雅黑" w:eastAsia="微软雅黑" w:cs="微软雅黑"/>
                <w:spacing w:val="-3"/>
                <w:w w:val="98"/>
                <w:sz w:val="18"/>
                <w:szCs w:val="18"/>
              </w:rPr>
              <w:t>工程特征</w:t>
            </w:r>
          </w:p>
        </w:tc>
        <w:tc>
          <w:tcPr>
            <w:tcW w:w="673" w:type="dxa"/>
            <w:vMerge w:val="restart"/>
            <w:tcBorders>
              <w:top w:val="single" w:color="000000" w:sz="4" w:space="0"/>
              <w:bottom w:val="nil"/>
            </w:tcBorders>
            <w:vAlign w:val="top"/>
          </w:tcPr>
          <w:p>
            <w:pPr>
              <w:spacing w:before="248" w:line="203" w:lineRule="auto"/>
              <w:ind w:left="171"/>
              <w:rPr>
                <w:rFonts w:ascii="微软雅黑" w:hAnsi="微软雅黑" w:eastAsia="微软雅黑" w:cs="微软雅黑"/>
                <w:sz w:val="18"/>
                <w:szCs w:val="18"/>
              </w:rPr>
            </w:pPr>
            <w:r>
              <w:rPr>
                <w:rFonts w:ascii="微软雅黑" w:hAnsi="微软雅黑" w:eastAsia="微软雅黑" w:cs="微软雅黑"/>
                <w:spacing w:val="-6"/>
                <w:sz w:val="18"/>
                <w:szCs w:val="18"/>
              </w:rPr>
              <w:t>单位</w:t>
            </w:r>
          </w:p>
        </w:tc>
        <w:tc>
          <w:tcPr>
            <w:tcW w:w="4613" w:type="dxa"/>
            <w:gridSpan w:val="3"/>
            <w:tcBorders>
              <w:top w:val="single" w:color="000000" w:sz="4" w:space="0"/>
              <w:right w:val="single" w:color="000000" w:sz="4" w:space="0"/>
            </w:tcBorders>
            <w:vAlign w:val="top"/>
          </w:tcPr>
          <w:p>
            <w:pPr>
              <w:spacing w:before="87" w:line="179" w:lineRule="auto"/>
              <w:ind w:left="1961"/>
              <w:rPr>
                <w:rFonts w:ascii="微软雅黑" w:hAnsi="微软雅黑" w:eastAsia="微软雅黑" w:cs="微软雅黑"/>
                <w:sz w:val="18"/>
                <w:szCs w:val="18"/>
              </w:rPr>
            </w:pPr>
            <w:r>
              <w:rPr>
                <w:rFonts w:ascii="微软雅黑" w:hAnsi="微软雅黑" w:eastAsia="微软雅黑" w:cs="微软雅黑"/>
                <w:spacing w:val="-5"/>
                <w:w w:val="99"/>
                <w:sz w:val="18"/>
                <w:szCs w:val="18"/>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8" w:hRule="atLeast"/>
        </w:trPr>
        <w:tc>
          <w:tcPr>
            <w:tcW w:w="3793" w:type="dxa"/>
            <w:gridSpan w:val="4"/>
            <w:vMerge w:val="continue"/>
            <w:tcBorders>
              <w:top w:val="nil"/>
              <w:left w:val="single" w:color="000000" w:sz="4" w:space="0"/>
            </w:tcBorders>
            <w:vAlign w:val="top"/>
          </w:tcPr>
          <w:p>
            <w:pPr>
              <w:pStyle w:val="6"/>
            </w:pPr>
          </w:p>
        </w:tc>
        <w:tc>
          <w:tcPr>
            <w:tcW w:w="673" w:type="dxa"/>
            <w:vMerge w:val="continue"/>
            <w:tcBorders>
              <w:top w:val="nil"/>
            </w:tcBorders>
            <w:vAlign w:val="top"/>
          </w:tcPr>
          <w:p>
            <w:pPr>
              <w:pStyle w:val="6"/>
            </w:pPr>
          </w:p>
        </w:tc>
        <w:tc>
          <w:tcPr>
            <w:tcW w:w="1531" w:type="dxa"/>
            <w:vAlign w:val="top"/>
          </w:tcPr>
          <w:p>
            <w:pPr>
              <w:spacing w:before="97" w:line="236" w:lineRule="auto"/>
              <w:ind w:left="740"/>
              <w:rPr>
                <w:rFonts w:ascii="宋体" w:hAnsi="宋体" w:eastAsia="宋体" w:cs="宋体"/>
                <w:sz w:val="18"/>
                <w:szCs w:val="18"/>
              </w:rPr>
            </w:pPr>
            <w:r>
              <w:rPr>
                <w:rFonts w:ascii="宋体" w:hAnsi="宋体" w:eastAsia="宋体" w:cs="宋体"/>
                <w:sz w:val="18"/>
                <w:szCs w:val="18"/>
              </w:rPr>
              <w:t>I</w:t>
            </w:r>
          </w:p>
        </w:tc>
        <w:tc>
          <w:tcPr>
            <w:tcW w:w="1531" w:type="dxa"/>
            <w:vAlign w:val="top"/>
          </w:tcPr>
          <w:p>
            <w:pPr>
              <w:spacing w:before="97" w:line="236" w:lineRule="auto"/>
              <w:ind w:left="700"/>
              <w:rPr>
                <w:rFonts w:ascii="宋体" w:hAnsi="宋体" w:eastAsia="宋体" w:cs="宋体"/>
                <w:sz w:val="18"/>
                <w:szCs w:val="18"/>
              </w:rPr>
            </w:pPr>
            <w:r>
              <w:rPr>
                <w:rFonts w:ascii="宋体" w:hAnsi="宋体" w:eastAsia="宋体" w:cs="宋体"/>
                <w:spacing w:val="-18"/>
                <w:sz w:val="18"/>
                <w:szCs w:val="18"/>
              </w:rPr>
              <w:t>II</w:t>
            </w:r>
          </w:p>
        </w:tc>
        <w:tc>
          <w:tcPr>
            <w:tcW w:w="1551" w:type="dxa"/>
            <w:tcBorders>
              <w:right w:val="single" w:color="000000" w:sz="4" w:space="0"/>
            </w:tcBorders>
            <w:vAlign w:val="top"/>
          </w:tcPr>
          <w:p>
            <w:pPr>
              <w:spacing w:before="97" w:line="236" w:lineRule="auto"/>
              <w:ind w:left="662"/>
              <w:rPr>
                <w:rFonts w:ascii="宋体" w:hAnsi="宋体" w:eastAsia="宋体" w:cs="宋体"/>
                <w:sz w:val="18"/>
                <w:szCs w:val="18"/>
              </w:rPr>
            </w:pPr>
            <w:r>
              <w:rPr>
                <w:rFonts w:ascii="宋体" w:hAnsi="宋体" w:eastAsia="宋体" w:cs="宋体"/>
                <w:spacing w:val="-23"/>
                <w:sz w:val="18"/>
                <w:szCs w:val="18"/>
              </w:rPr>
              <w:t>III</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2" w:hRule="atLeast"/>
        </w:trPr>
        <w:tc>
          <w:tcPr>
            <w:tcW w:w="612" w:type="dxa"/>
            <w:vMerge w:val="restart"/>
            <w:tcBorders>
              <w:left w:val="single" w:color="000000" w:sz="4" w:space="0"/>
              <w:bottom w:val="nil"/>
            </w:tcBorders>
            <w:vAlign w:val="top"/>
          </w:tcPr>
          <w:p>
            <w:pPr>
              <w:pStyle w:val="6"/>
              <w:spacing w:line="442" w:lineRule="auto"/>
            </w:pPr>
          </w:p>
          <w:p>
            <w:pPr>
              <w:spacing w:before="59" w:line="428" w:lineRule="auto"/>
              <w:ind w:left="140" w:right="100" w:hanging="2"/>
              <w:jc w:val="both"/>
              <w:rPr>
                <w:rFonts w:ascii="宋体" w:hAnsi="宋体" w:eastAsia="宋体" w:cs="宋体"/>
                <w:sz w:val="18"/>
                <w:szCs w:val="18"/>
              </w:rPr>
            </w:pPr>
            <w:r>
              <w:rPr>
                <w:rFonts w:ascii="宋体" w:hAnsi="宋体" w:eastAsia="宋体" w:cs="宋体"/>
                <w:spacing w:val="2"/>
                <w:sz w:val="18"/>
                <w:szCs w:val="18"/>
              </w:rPr>
              <w:t>工业</w:t>
            </w:r>
            <w:r>
              <w:rPr>
                <w:rFonts w:ascii="宋体" w:hAnsi="宋体" w:eastAsia="宋体" w:cs="宋体"/>
                <w:spacing w:val="1"/>
                <w:sz w:val="18"/>
                <w:szCs w:val="18"/>
              </w:rPr>
              <w:t>厂房工程</w:t>
            </w:r>
          </w:p>
        </w:tc>
        <w:tc>
          <w:tcPr>
            <w:tcW w:w="1656" w:type="dxa"/>
            <w:gridSpan w:val="2"/>
            <w:vAlign w:val="top"/>
          </w:tcPr>
          <w:p>
            <w:pPr>
              <w:spacing w:before="239" w:line="210" w:lineRule="auto"/>
              <w:ind w:left="553"/>
              <w:rPr>
                <w:rFonts w:ascii="宋体" w:hAnsi="宋体" w:eastAsia="宋体" w:cs="宋体"/>
                <w:sz w:val="18"/>
                <w:szCs w:val="18"/>
              </w:rPr>
            </w:pPr>
            <w:r>
              <w:rPr>
                <w:rFonts w:ascii="宋体" w:hAnsi="宋体" w:eastAsia="宋体" w:cs="宋体"/>
                <w:spacing w:val="-4"/>
                <w:sz w:val="18"/>
                <w:szCs w:val="18"/>
              </w:rPr>
              <w:t>钢结构</w:t>
            </w:r>
          </w:p>
        </w:tc>
        <w:tc>
          <w:tcPr>
            <w:tcW w:w="1525" w:type="dxa"/>
            <w:vAlign w:val="top"/>
          </w:tcPr>
          <w:p>
            <w:pPr>
              <w:spacing w:before="82" w:line="212" w:lineRule="auto"/>
              <w:ind w:left="582"/>
              <w:rPr>
                <w:rFonts w:ascii="宋体" w:hAnsi="宋体" w:eastAsia="宋体" w:cs="宋体"/>
                <w:sz w:val="18"/>
                <w:szCs w:val="18"/>
              </w:rPr>
            </w:pPr>
            <w:r>
              <w:rPr>
                <w:rFonts w:ascii="宋体" w:hAnsi="宋体" w:eastAsia="宋体" w:cs="宋体"/>
                <w:spacing w:val="-1"/>
                <w:sz w:val="18"/>
                <w:szCs w:val="18"/>
              </w:rPr>
              <w:t>跨度</w:t>
            </w:r>
          </w:p>
          <w:p>
            <w:pPr>
              <w:spacing w:before="135"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vAlign w:val="top"/>
          </w:tcPr>
          <w:p>
            <w:pPr>
              <w:spacing w:before="95"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line="240"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97" w:line="261" w:lineRule="exact"/>
              <w:ind w:left="615"/>
              <w:rPr>
                <w:rFonts w:ascii="宋体" w:hAnsi="宋体" w:eastAsia="宋体" w:cs="宋体"/>
                <w:sz w:val="18"/>
                <w:szCs w:val="18"/>
              </w:rPr>
            </w:pPr>
            <w:r>
              <w:rPr>
                <w:rFonts w:ascii="宋体" w:hAnsi="宋体" w:eastAsia="宋体" w:cs="宋体"/>
                <w:spacing w:val="13"/>
                <w:position w:val="1"/>
                <w:sz w:val="18"/>
                <w:szCs w:val="18"/>
              </w:rPr>
              <w:t>&gt;30</w:t>
            </w:r>
          </w:p>
          <w:p>
            <w:pPr>
              <w:spacing w:before="84" w:line="235" w:lineRule="auto"/>
              <w:ind w:left="479"/>
              <w:rPr>
                <w:rFonts w:ascii="宋体" w:hAnsi="宋体" w:eastAsia="宋体" w:cs="宋体"/>
                <w:sz w:val="18"/>
                <w:szCs w:val="18"/>
              </w:rPr>
            </w:pPr>
            <w:r>
              <w:rPr>
                <w:rFonts w:ascii="宋体" w:hAnsi="宋体" w:eastAsia="宋体" w:cs="宋体"/>
                <w:spacing w:val="7"/>
                <w:sz w:val="18"/>
                <w:szCs w:val="18"/>
              </w:rPr>
              <w:t>&gt;25000</w:t>
            </w:r>
          </w:p>
        </w:tc>
        <w:tc>
          <w:tcPr>
            <w:tcW w:w="1531" w:type="dxa"/>
            <w:vAlign w:val="top"/>
          </w:tcPr>
          <w:p>
            <w:pPr>
              <w:spacing w:before="97" w:line="261" w:lineRule="exact"/>
              <w:ind w:left="620"/>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18</w:t>
            </w:r>
          </w:p>
          <w:p>
            <w:pPr>
              <w:spacing w:before="84" w:line="235"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2" w:line="257" w:lineRule="exact"/>
              <w:ind w:left="644"/>
              <w:rPr>
                <w:rFonts w:ascii="宋体" w:hAnsi="宋体" w:eastAsia="宋体" w:cs="宋体"/>
                <w:sz w:val="18"/>
                <w:szCs w:val="18"/>
              </w:rPr>
            </w:pPr>
            <w:r>
              <w:rPr>
                <w:rFonts w:ascii="宋体" w:hAnsi="宋体" w:eastAsia="宋体" w:cs="宋体"/>
                <w:spacing w:val="-15"/>
                <w:position w:val="1"/>
                <w:sz w:val="18"/>
                <w:szCs w:val="18"/>
              </w:rPr>
              <w:t>≤18</w:t>
            </w:r>
          </w:p>
          <w:p>
            <w:pPr>
              <w:spacing w:before="88"/>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2" w:hRule="atLeast"/>
        </w:trPr>
        <w:tc>
          <w:tcPr>
            <w:tcW w:w="612" w:type="dxa"/>
            <w:vMerge w:val="continue"/>
            <w:tcBorders>
              <w:top w:val="nil"/>
              <w:left w:val="single" w:color="000000" w:sz="4" w:space="0"/>
              <w:bottom w:val="nil"/>
            </w:tcBorders>
            <w:vAlign w:val="top"/>
          </w:tcPr>
          <w:p>
            <w:pPr>
              <w:pStyle w:val="6"/>
            </w:pPr>
          </w:p>
        </w:tc>
        <w:tc>
          <w:tcPr>
            <w:tcW w:w="803" w:type="dxa"/>
            <w:vMerge w:val="restart"/>
            <w:tcBorders>
              <w:bottom w:val="nil"/>
            </w:tcBorders>
            <w:vAlign w:val="top"/>
          </w:tcPr>
          <w:p>
            <w:pPr>
              <w:pStyle w:val="6"/>
              <w:spacing w:line="394" w:lineRule="auto"/>
            </w:pPr>
          </w:p>
          <w:p>
            <w:pPr>
              <w:spacing w:before="58" w:line="374" w:lineRule="auto"/>
              <w:ind w:left="222" w:right="219" w:hanging="3"/>
              <w:rPr>
                <w:rFonts w:ascii="宋体" w:hAnsi="宋体" w:eastAsia="宋体" w:cs="宋体"/>
                <w:sz w:val="18"/>
                <w:szCs w:val="18"/>
              </w:rPr>
            </w:pPr>
            <w:r>
              <w:rPr>
                <w:rFonts w:ascii="宋体" w:hAnsi="宋体" w:eastAsia="宋体" w:cs="宋体"/>
                <w:spacing w:val="-1"/>
                <w:sz w:val="18"/>
                <w:szCs w:val="18"/>
              </w:rPr>
              <w:t>其他</w:t>
            </w:r>
            <w:r>
              <w:rPr>
                <w:rFonts w:ascii="宋体" w:hAnsi="宋体" w:eastAsia="宋体" w:cs="宋体"/>
                <w:spacing w:val="-2"/>
                <w:sz w:val="18"/>
                <w:szCs w:val="18"/>
              </w:rPr>
              <w:t>结构</w:t>
            </w:r>
          </w:p>
        </w:tc>
        <w:tc>
          <w:tcPr>
            <w:tcW w:w="853" w:type="dxa"/>
            <w:vAlign w:val="top"/>
          </w:tcPr>
          <w:p>
            <w:pPr>
              <w:spacing w:before="240" w:line="211" w:lineRule="auto"/>
              <w:ind w:left="244"/>
              <w:rPr>
                <w:rFonts w:ascii="宋体" w:hAnsi="宋体" w:eastAsia="宋体" w:cs="宋体"/>
                <w:sz w:val="18"/>
                <w:szCs w:val="18"/>
              </w:rPr>
            </w:pPr>
            <w:r>
              <w:rPr>
                <w:rFonts w:ascii="宋体" w:hAnsi="宋体" w:eastAsia="宋体" w:cs="宋体"/>
                <w:spacing w:val="-2"/>
                <w:sz w:val="18"/>
                <w:szCs w:val="18"/>
              </w:rPr>
              <w:t>单层</w:t>
            </w:r>
          </w:p>
        </w:tc>
        <w:tc>
          <w:tcPr>
            <w:tcW w:w="1525" w:type="dxa"/>
            <w:vAlign w:val="top"/>
          </w:tcPr>
          <w:p>
            <w:pPr>
              <w:spacing w:before="86" w:line="212" w:lineRule="auto"/>
              <w:ind w:left="582"/>
              <w:rPr>
                <w:rFonts w:ascii="宋体" w:hAnsi="宋体" w:eastAsia="宋体" w:cs="宋体"/>
                <w:sz w:val="18"/>
                <w:szCs w:val="18"/>
              </w:rPr>
            </w:pPr>
            <w:r>
              <w:rPr>
                <w:rFonts w:ascii="宋体" w:hAnsi="宋体" w:eastAsia="宋体" w:cs="宋体"/>
                <w:spacing w:val="-1"/>
                <w:sz w:val="18"/>
                <w:szCs w:val="18"/>
              </w:rPr>
              <w:t>跨度</w:t>
            </w:r>
          </w:p>
          <w:p>
            <w:pPr>
              <w:spacing w:before="132"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vAlign w:val="top"/>
          </w:tcPr>
          <w:p>
            <w:pPr>
              <w:spacing w:before="99"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line="242" w:lineRule="auto"/>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99" w:line="261" w:lineRule="exact"/>
              <w:ind w:left="616"/>
              <w:rPr>
                <w:rFonts w:ascii="宋体" w:hAnsi="宋体" w:eastAsia="宋体" w:cs="宋体"/>
                <w:sz w:val="18"/>
                <w:szCs w:val="18"/>
              </w:rPr>
            </w:pPr>
            <w:r>
              <w:rPr>
                <w:rFonts w:ascii="宋体" w:hAnsi="宋体" w:eastAsia="宋体" w:cs="宋体"/>
                <w:spacing w:val="14"/>
                <w:position w:val="1"/>
                <w:sz w:val="18"/>
                <w:szCs w:val="18"/>
              </w:rPr>
              <w:t>&gt;24</w:t>
            </w:r>
          </w:p>
          <w:p>
            <w:pPr>
              <w:spacing w:before="84" w:line="233" w:lineRule="auto"/>
              <w:ind w:left="479"/>
              <w:rPr>
                <w:rFonts w:ascii="宋体" w:hAnsi="宋体" w:eastAsia="宋体" w:cs="宋体"/>
                <w:sz w:val="18"/>
                <w:szCs w:val="18"/>
              </w:rPr>
            </w:pPr>
            <w:r>
              <w:rPr>
                <w:rFonts w:ascii="宋体" w:hAnsi="宋体" w:eastAsia="宋体" w:cs="宋体"/>
                <w:spacing w:val="7"/>
                <w:sz w:val="18"/>
                <w:szCs w:val="18"/>
              </w:rPr>
              <w:t>&gt;15000</w:t>
            </w:r>
          </w:p>
        </w:tc>
        <w:tc>
          <w:tcPr>
            <w:tcW w:w="1531" w:type="dxa"/>
            <w:vAlign w:val="top"/>
          </w:tcPr>
          <w:p>
            <w:pPr>
              <w:spacing w:before="99" w:line="260" w:lineRule="exact"/>
              <w:ind w:left="620"/>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18</w:t>
            </w:r>
          </w:p>
          <w:p>
            <w:pPr>
              <w:spacing w:before="85" w:line="233" w:lineRule="auto"/>
              <w:ind w:left="484"/>
              <w:rPr>
                <w:rFonts w:ascii="宋体" w:hAnsi="宋体" w:eastAsia="宋体" w:cs="宋体"/>
                <w:sz w:val="18"/>
                <w:szCs w:val="18"/>
              </w:rPr>
            </w:pPr>
            <w:r>
              <w:rPr>
                <w:rFonts w:ascii="宋体" w:hAnsi="宋体" w:eastAsia="宋体" w:cs="宋体"/>
                <w:spacing w:val="7"/>
                <w:sz w:val="18"/>
                <w:szCs w:val="18"/>
              </w:rPr>
              <w:t>&gt;10000</w:t>
            </w:r>
          </w:p>
        </w:tc>
        <w:tc>
          <w:tcPr>
            <w:tcW w:w="1551" w:type="dxa"/>
            <w:tcBorders>
              <w:right w:val="single" w:color="000000" w:sz="4" w:space="0"/>
            </w:tcBorders>
            <w:vAlign w:val="top"/>
          </w:tcPr>
          <w:p>
            <w:pPr>
              <w:spacing w:before="94" w:line="257" w:lineRule="exact"/>
              <w:ind w:left="644"/>
              <w:rPr>
                <w:rFonts w:ascii="宋体" w:hAnsi="宋体" w:eastAsia="宋体" w:cs="宋体"/>
                <w:sz w:val="18"/>
                <w:szCs w:val="18"/>
              </w:rPr>
            </w:pPr>
            <w:r>
              <w:rPr>
                <w:rFonts w:ascii="宋体" w:hAnsi="宋体" w:eastAsia="宋体" w:cs="宋体"/>
                <w:spacing w:val="-15"/>
                <w:position w:val="1"/>
                <w:sz w:val="18"/>
                <w:szCs w:val="18"/>
              </w:rPr>
              <w:t>≤18</w:t>
            </w:r>
          </w:p>
          <w:p>
            <w:pPr>
              <w:spacing w:before="88" w:line="238" w:lineRule="auto"/>
              <w:ind w:left="507"/>
              <w:rPr>
                <w:rFonts w:ascii="宋体" w:hAnsi="宋体" w:eastAsia="宋体" w:cs="宋体"/>
                <w:sz w:val="18"/>
                <w:szCs w:val="18"/>
              </w:rPr>
            </w:pPr>
            <w:r>
              <w:rPr>
                <w:rFonts w:ascii="宋体" w:hAnsi="宋体" w:eastAsia="宋体" w:cs="宋体"/>
                <w:spacing w:val="-8"/>
                <w:sz w:val="18"/>
                <w:szCs w:val="18"/>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continue"/>
            <w:tcBorders>
              <w:top w:val="nil"/>
              <w:left w:val="single" w:color="000000" w:sz="4" w:space="0"/>
            </w:tcBorders>
            <w:vAlign w:val="top"/>
          </w:tcPr>
          <w:p>
            <w:pPr>
              <w:pStyle w:val="6"/>
            </w:pPr>
          </w:p>
        </w:tc>
        <w:tc>
          <w:tcPr>
            <w:tcW w:w="803" w:type="dxa"/>
            <w:vMerge w:val="continue"/>
            <w:tcBorders>
              <w:top w:val="nil"/>
            </w:tcBorders>
            <w:vAlign w:val="top"/>
          </w:tcPr>
          <w:p>
            <w:pPr>
              <w:pStyle w:val="6"/>
            </w:pPr>
          </w:p>
        </w:tc>
        <w:tc>
          <w:tcPr>
            <w:tcW w:w="853" w:type="dxa"/>
            <w:vAlign w:val="top"/>
          </w:tcPr>
          <w:p>
            <w:pPr>
              <w:spacing w:before="243" w:line="205" w:lineRule="auto"/>
              <w:ind w:left="257"/>
              <w:rPr>
                <w:rFonts w:ascii="宋体" w:hAnsi="宋体" w:eastAsia="宋体" w:cs="宋体"/>
                <w:sz w:val="18"/>
                <w:szCs w:val="18"/>
              </w:rPr>
            </w:pPr>
            <w:r>
              <w:rPr>
                <w:rFonts w:ascii="宋体" w:hAnsi="宋体" w:eastAsia="宋体" w:cs="宋体"/>
                <w:spacing w:val="-5"/>
                <w:sz w:val="18"/>
                <w:szCs w:val="18"/>
              </w:rPr>
              <w:t>多层</w:t>
            </w:r>
          </w:p>
        </w:tc>
        <w:tc>
          <w:tcPr>
            <w:tcW w:w="1525" w:type="dxa"/>
            <w:vAlign w:val="top"/>
          </w:tcPr>
          <w:p>
            <w:pPr>
              <w:spacing w:before="81" w:line="304"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98"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4" w:line="239"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1"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3" w:lineRule="auto"/>
              <w:ind w:left="479"/>
              <w:rPr>
                <w:rFonts w:ascii="宋体" w:hAnsi="宋体" w:eastAsia="宋体" w:cs="宋体"/>
                <w:sz w:val="18"/>
                <w:szCs w:val="18"/>
              </w:rPr>
            </w:pPr>
            <w:r>
              <w:rPr>
                <w:rFonts w:ascii="宋体" w:hAnsi="宋体" w:eastAsia="宋体" w:cs="宋体"/>
                <w:spacing w:val="7"/>
                <w:sz w:val="18"/>
                <w:szCs w:val="18"/>
              </w:rPr>
              <w:t>&gt;20000</w:t>
            </w:r>
          </w:p>
        </w:tc>
        <w:tc>
          <w:tcPr>
            <w:tcW w:w="1531" w:type="dxa"/>
            <w:vAlign w:val="top"/>
          </w:tcPr>
          <w:p>
            <w:pPr>
              <w:spacing w:before="101" w:line="260" w:lineRule="exact"/>
              <w:ind w:left="620"/>
              <w:rPr>
                <w:rFonts w:ascii="宋体" w:hAnsi="宋体" w:eastAsia="宋体" w:cs="宋体"/>
                <w:sz w:val="18"/>
                <w:szCs w:val="18"/>
              </w:rPr>
            </w:pPr>
            <w:r>
              <w:rPr>
                <w:rFonts w:ascii="宋体" w:hAnsi="宋体" w:eastAsia="宋体" w:cs="宋体"/>
                <w:spacing w:val="13"/>
                <w:position w:val="1"/>
                <w:sz w:val="18"/>
                <w:szCs w:val="18"/>
              </w:rPr>
              <w:t>&gt;30</w:t>
            </w:r>
          </w:p>
          <w:p>
            <w:pPr>
              <w:spacing w:before="85" w:line="233"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6" w:line="257" w:lineRule="exact"/>
              <w:ind w:left="644"/>
              <w:rPr>
                <w:rFonts w:ascii="宋体" w:hAnsi="宋体" w:eastAsia="宋体" w:cs="宋体"/>
                <w:sz w:val="18"/>
                <w:szCs w:val="18"/>
              </w:rPr>
            </w:pPr>
            <w:r>
              <w:rPr>
                <w:rFonts w:ascii="宋体" w:hAnsi="宋体" w:eastAsia="宋体" w:cs="宋体"/>
                <w:spacing w:val="-15"/>
                <w:position w:val="1"/>
                <w:sz w:val="18"/>
                <w:szCs w:val="18"/>
              </w:rPr>
              <w:t>≤30</w:t>
            </w:r>
          </w:p>
          <w:p>
            <w:pPr>
              <w:spacing w:before="88" w:line="238"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restart"/>
            <w:tcBorders>
              <w:left w:val="single" w:color="000000" w:sz="4" w:space="0"/>
              <w:bottom w:val="nil"/>
            </w:tcBorders>
            <w:vAlign w:val="top"/>
          </w:tcPr>
          <w:p>
            <w:pPr>
              <w:pStyle w:val="6"/>
              <w:spacing w:line="262" w:lineRule="auto"/>
            </w:pPr>
          </w:p>
          <w:p>
            <w:pPr>
              <w:pStyle w:val="6"/>
              <w:spacing w:line="262" w:lineRule="auto"/>
            </w:pPr>
          </w:p>
          <w:p>
            <w:pPr>
              <w:pStyle w:val="6"/>
              <w:spacing w:line="262" w:lineRule="auto"/>
            </w:pPr>
          </w:p>
          <w:p>
            <w:pPr>
              <w:spacing w:before="58" w:line="428" w:lineRule="auto"/>
              <w:ind w:left="138" w:right="100" w:firstLine="30"/>
              <w:jc w:val="both"/>
              <w:rPr>
                <w:rFonts w:ascii="宋体" w:hAnsi="宋体" w:eastAsia="宋体" w:cs="宋体"/>
                <w:sz w:val="18"/>
                <w:szCs w:val="18"/>
              </w:rPr>
            </w:pPr>
            <w:r>
              <w:rPr>
                <w:rFonts w:ascii="宋体" w:hAnsi="宋体" w:eastAsia="宋体" w:cs="宋体"/>
                <w:spacing w:val="-14"/>
                <w:sz w:val="18"/>
                <w:szCs w:val="18"/>
              </w:rPr>
              <w:t>民用</w:t>
            </w:r>
            <w:r>
              <w:rPr>
                <w:rFonts w:ascii="宋体" w:hAnsi="宋体" w:eastAsia="宋体" w:cs="宋体"/>
                <w:spacing w:val="2"/>
                <w:sz w:val="18"/>
                <w:szCs w:val="18"/>
              </w:rPr>
              <w:t>建筑工程</w:t>
            </w:r>
          </w:p>
        </w:tc>
        <w:tc>
          <w:tcPr>
            <w:tcW w:w="1656" w:type="dxa"/>
            <w:gridSpan w:val="2"/>
            <w:vAlign w:val="top"/>
          </w:tcPr>
          <w:p>
            <w:pPr>
              <w:spacing w:before="245" w:line="210" w:lineRule="auto"/>
              <w:ind w:left="553"/>
              <w:rPr>
                <w:rFonts w:ascii="宋体" w:hAnsi="宋体" w:eastAsia="宋体" w:cs="宋体"/>
                <w:sz w:val="18"/>
                <w:szCs w:val="18"/>
              </w:rPr>
            </w:pPr>
            <w:r>
              <w:rPr>
                <w:rFonts w:ascii="宋体" w:hAnsi="宋体" w:eastAsia="宋体" w:cs="宋体"/>
                <w:spacing w:val="-4"/>
                <w:sz w:val="18"/>
                <w:szCs w:val="18"/>
              </w:rPr>
              <w:t>钢结构</w:t>
            </w:r>
          </w:p>
        </w:tc>
        <w:tc>
          <w:tcPr>
            <w:tcW w:w="1525" w:type="dxa"/>
            <w:vAlign w:val="top"/>
          </w:tcPr>
          <w:p>
            <w:pPr>
              <w:spacing w:before="81" w:line="304"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101" w:line="261"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5" w:line="242" w:lineRule="auto"/>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1"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3" w:lineRule="auto"/>
              <w:ind w:left="479"/>
              <w:rPr>
                <w:rFonts w:ascii="宋体" w:hAnsi="宋体" w:eastAsia="宋体" w:cs="宋体"/>
                <w:sz w:val="18"/>
                <w:szCs w:val="18"/>
              </w:rPr>
            </w:pPr>
            <w:r>
              <w:rPr>
                <w:rFonts w:ascii="宋体" w:hAnsi="宋体" w:eastAsia="宋体" w:cs="宋体"/>
                <w:spacing w:val="7"/>
                <w:sz w:val="18"/>
                <w:szCs w:val="18"/>
              </w:rPr>
              <w:t>&gt;30000</w:t>
            </w:r>
          </w:p>
        </w:tc>
        <w:tc>
          <w:tcPr>
            <w:tcW w:w="1531" w:type="dxa"/>
            <w:vAlign w:val="top"/>
          </w:tcPr>
          <w:p>
            <w:pPr>
              <w:spacing w:before="101" w:line="260" w:lineRule="exact"/>
              <w:ind w:left="620"/>
              <w:rPr>
                <w:rFonts w:ascii="宋体" w:hAnsi="宋体" w:eastAsia="宋体" w:cs="宋体"/>
                <w:sz w:val="18"/>
                <w:szCs w:val="18"/>
              </w:rPr>
            </w:pPr>
            <w:r>
              <w:rPr>
                <w:rFonts w:ascii="宋体" w:hAnsi="宋体" w:eastAsia="宋体" w:cs="宋体"/>
                <w:spacing w:val="13"/>
                <w:position w:val="1"/>
                <w:sz w:val="18"/>
                <w:szCs w:val="18"/>
              </w:rPr>
              <w:t>&gt;30</w:t>
            </w:r>
          </w:p>
          <w:p>
            <w:pPr>
              <w:spacing w:before="85" w:line="233"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98" w:line="257" w:lineRule="exact"/>
              <w:ind w:left="644"/>
              <w:rPr>
                <w:rFonts w:ascii="宋体" w:hAnsi="宋体" w:eastAsia="宋体" w:cs="宋体"/>
                <w:sz w:val="18"/>
                <w:szCs w:val="18"/>
              </w:rPr>
            </w:pPr>
            <w:r>
              <w:rPr>
                <w:rFonts w:ascii="宋体" w:hAnsi="宋体" w:eastAsia="宋体" w:cs="宋体"/>
                <w:spacing w:val="-15"/>
                <w:position w:val="1"/>
                <w:sz w:val="18"/>
                <w:szCs w:val="18"/>
              </w:rPr>
              <w:t>≤30</w:t>
            </w:r>
          </w:p>
          <w:p>
            <w:pPr>
              <w:spacing w:before="86" w:line="238"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612" w:type="dxa"/>
            <w:vMerge w:val="continue"/>
            <w:tcBorders>
              <w:top w:val="nil"/>
              <w:left w:val="single" w:color="000000" w:sz="4" w:space="0"/>
              <w:bottom w:val="nil"/>
            </w:tcBorders>
            <w:vAlign w:val="top"/>
          </w:tcPr>
          <w:p>
            <w:pPr>
              <w:pStyle w:val="6"/>
            </w:pPr>
          </w:p>
        </w:tc>
        <w:tc>
          <w:tcPr>
            <w:tcW w:w="1656" w:type="dxa"/>
            <w:gridSpan w:val="2"/>
            <w:vAlign w:val="top"/>
          </w:tcPr>
          <w:p>
            <w:pPr>
              <w:spacing w:before="247" w:line="210" w:lineRule="auto"/>
              <w:ind w:left="376"/>
              <w:rPr>
                <w:rFonts w:ascii="宋体" w:hAnsi="宋体" w:eastAsia="宋体" w:cs="宋体"/>
                <w:sz w:val="18"/>
                <w:szCs w:val="18"/>
              </w:rPr>
            </w:pPr>
            <w:r>
              <w:rPr>
                <w:rFonts w:ascii="宋体" w:hAnsi="宋体" w:eastAsia="宋体" w:cs="宋体"/>
                <w:spacing w:val="-4"/>
                <w:sz w:val="18"/>
                <w:szCs w:val="18"/>
              </w:rPr>
              <w:t>混凝土结构</w:t>
            </w:r>
          </w:p>
        </w:tc>
        <w:tc>
          <w:tcPr>
            <w:tcW w:w="1525" w:type="dxa"/>
            <w:vAlign w:val="top"/>
          </w:tcPr>
          <w:p>
            <w:pPr>
              <w:spacing w:before="83" w:line="303" w:lineRule="auto"/>
              <w:ind w:left="407" w:right="413" w:firstLine="175"/>
              <w:rPr>
                <w:rFonts w:ascii="宋体" w:hAnsi="宋体" w:eastAsia="宋体" w:cs="宋体"/>
                <w:sz w:val="18"/>
                <w:szCs w:val="18"/>
              </w:rPr>
            </w:pPr>
            <w:r>
              <w:rPr>
                <w:rFonts w:ascii="宋体" w:hAnsi="宋体" w:eastAsia="宋体" w:cs="宋体"/>
                <w:spacing w:val="-5"/>
                <w:sz w:val="18"/>
                <w:szCs w:val="18"/>
              </w:rPr>
              <w:t>檐高</w:t>
            </w:r>
            <w:r>
              <w:rPr>
                <w:rFonts w:ascii="宋体" w:hAnsi="宋体" w:eastAsia="宋体" w:cs="宋体"/>
                <w:spacing w:val="-6"/>
                <w:sz w:val="18"/>
                <w:szCs w:val="18"/>
              </w:rPr>
              <w:t>建筑面积</w:t>
            </w:r>
          </w:p>
        </w:tc>
        <w:tc>
          <w:tcPr>
            <w:tcW w:w="673" w:type="dxa"/>
            <w:vAlign w:val="top"/>
          </w:tcPr>
          <w:p>
            <w:pPr>
              <w:spacing w:before="103"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72" w:line="236" w:lineRule="exact"/>
              <w:ind w:left="273"/>
              <w:rPr>
                <w:rFonts w:ascii="宋体" w:hAnsi="宋体" w:eastAsia="宋体" w:cs="宋体"/>
                <w:sz w:val="18"/>
                <w:szCs w:val="18"/>
              </w:rPr>
            </w:pPr>
            <w:r>
              <w:rPr>
                <w:rFonts w:ascii="宋体" w:hAnsi="宋体" w:eastAsia="宋体" w:cs="宋体"/>
                <w:sz w:val="18"/>
                <w:szCs w:val="18"/>
              </w:rPr>
              <w:t>㎡</w:t>
            </w:r>
          </w:p>
        </w:tc>
        <w:tc>
          <w:tcPr>
            <w:tcW w:w="1531" w:type="dxa"/>
            <w:vAlign w:val="top"/>
          </w:tcPr>
          <w:p>
            <w:pPr>
              <w:spacing w:before="103"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5" w:line="231" w:lineRule="auto"/>
              <w:ind w:left="479"/>
              <w:rPr>
                <w:rFonts w:ascii="宋体" w:hAnsi="宋体" w:eastAsia="宋体" w:cs="宋体"/>
                <w:sz w:val="18"/>
                <w:szCs w:val="18"/>
              </w:rPr>
            </w:pPr>
            <w:r>
              <w:rPr>
                <w:rFonts w:ascii="宋体" w:hAnsi="宋体" w:eastAsia="宋体" w:cs="宋体"/>
                <w:spacing w:val="7"/>
                <w:sz w:val="18"/>
                <w:szCs w:val="18"/>
              </w:rPr>
              <w:t>&gt;20000</w:t>
            </w:r>
          </w:p>
        </w:tc>
        <w:tc>
          <w:tcPr>
            <w:tcW w:w="1531" w:type="dxa"/>
            <w:vAlign w:val="top"/>
          </w:tcPr>
          <w:p>
            <w:pPr>
              <w:spacing w:before="103" w:line="260" w:lineRule="exact"/>
              <w:ind w:left="620"/>
              <w:rPr>
                <w:rFonts w:ascii="宋体" w:hAnsi="宋体" w:eastAsia="宋体" w:cs="宋体"/>
                <w:sz w:val="18"/>
                <w:szCs w:val="18"/>
              </w:rPr>
            </w:pPr>
            <w:r>
              <w:rPr>
                <w:rFonts w:ascii="宋体" w:hAnsi="宋体" w:eastAsia="宋体" w:cs="宋体"/>
                <w:spacing w:val="13"/>
                <w:position w:val="1"/>
                <w:sz w:val="18"/>
                <w:szCs w:val="18"/>
              </w:rPr>
              <w:t>&gt;30</w:t>
            </w:r>
          </w:p>
          <w:p>
            <w:pPr>
              <w:spacing w:before="85" w:line="231" w:lineRule="auto"/>
              <w:ind w:left="484"/>
              <w:rPr>
                <w:rFonts w:ascii="宋体" w:hAnsi="宋体" w:eastAsia="宋体" w:cs="宋体"/>
                <w:sz w:val="18"/>
                <w:szCs w:val="18"/>
              </w:rPr>
            </w:pPr>
            <w:r>
              <w:rPr>
                <w:rFonts w:ascii="宋体" w:hAnsi="宋体" w:eastAsia="宋体" w:cs="宋体"/>
                <w:spacing w:val="7"/>
                <w:sz w:val="18"/>
                <w:szCs w:val="18"/>
              </w:rPr>
              <w:t>&gt;10000</w:t>
            </w:r>
          </w:p>
        </w:tc>
        <w:tc>
          <w:tcPr>
            <w:tcW w:w="1551" w:type="dxa"/>
            <w:tcBorders>
              <w:right w:val="single" w:color="000000" w:sz="4" w:space="0"/>
            </w:tcBorders>
            <w:vAlign w:val="top"/>
          </w:tcPr>
          <w:p>
            <w:pPr>
              <w:spacing w:before="98" w:line="257" w:lineRule="exact"/>
              <w:ind w:left="644"/>
              <w:rPr>
                <w:rFonts w:ascii="宋体" w:hAnsi="宋体" w:eastAsia="宋体" w:cs="宋体"/>
                <w:sz w:val="18"/>
                <w:szCs w:val="18"/>
              </w:rPr>
            </w:pPr>
            <w:r>
              <w:rPr>
                <w:rFonts w:ascii="宋体" w:hAnsi="宋体" w:eastAsia="宋体" w:cs="宋体"/>
                <w:spacing w:val="-15"/>
                <w:position w:val="1"/>
                <w:sz w:val="18"/>
                <w:szCs w:val="18"/>
              </w:rPr>
              <w:t>≤30</w:t>
            </w:r>
          </w:p>
          <w:p>
            <w:pPr>
              <w:spacing w:before="88" w:line="236" w:lineRule="auto"/>
              <w:ind w:left="507"/>
              <w:rPr>
                <w:rFonts w:ascii="宋体" w:hAnsi="宋体" w:eastAsia="宋体" w:cs="宋体"/>
                <w:sz w:val="18"/>
                <w:szCs w:val="18"/>
              </w:rPr>
            </w:pPr>
            <w:r>
              <w:rPr>
                <w:rFonts w:ascii="宋体" w:hAnsi="宋体" w:eastAsia="宋体" w:cs="宋体"/>
                <w:spacing w:val="-8"/>
                <w:sz w:val="18"/>
                <w:szCs w:val="18"/>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bottom w:val="nil"/>
            </w:tcBorders>
            <w:vAlign w:val="top"/>
          </w:tcPr>
          <w:p>
            <w:pPr>
              <w:pStyle w:val="6"/>
            </w:pPr>
          </w:p>
        </w:tc>
        <w:tc>
          <w:tcPr>
            <w:tcW w:w="1656" w:type="dxa"/>
            <w:gridSpan w:val="2"/>
            <w:vAlign w:val="top"/>
          </w:tcPr>
          <w:p>
            <w:pPr>
              <w:spacing w:before="247" w:line="211" w:lineRule="auto"/>
              <w:ind w:left="466"/>
              <w:rPr>
                <w:rFonts w:ascii="宋体" w:hAnsi="宋体" w:eastAsia="宋体" w:cs="宋体"/>
                <w:sz w:val="18"/>
                <w:szCs w:val="18"/>
              </w:rPr>
            </w:pPr>
            <w:r>
              <w:rPr>
                <w:rFonts w:ascii="宋体" w:hAnsi="宋体" w:eastAsia="宋体" w:cs="宋体"/>
                <w:spacing w:val="-3"/>
                <w:sz w:val="18"/>
                <w:szCs w:val="18"/>
              </w:rPr>
              <w:t>其他结构</w:t>
            </w:r>
          </w:p>
        </w:tc>
        <w:tc>
          <w:tcPr>
            <w:tcW w:w="1525" w:type="dxa"/>
            <w:vAlign w:val="top"/>
          </w:tcPr>
          <w:p>
            <w:pPr>
              <w:spacing w:before="93" w:line="210" w:lineRule="auto"/>
              <w:ind w:left="584"/>
              <w:rPr>
                <w:rFonts w:ascii="宋体" w:hAnsi="宋体" w:eastAsia="宋体" w:cs="宋体"/>
                <w:sz w:val="18"/>
                <w:szCs w:val="18"/>
              </w:rPr>
            </w:pPr>
            <w:r>
              <w:rPr>
                <w:rFonts w:ascii="宋体" w:hAnsi="宋体" w:eastAsia="宋体" w:cs="宋体"/>
                <w:spacing w:val="-2"/>
                <w:sz w:val="18"/>
                <w:szCs w:val="18"/>
              </w:rPr>
              <w:t>层数</w:t>
            </w:r>
          </w:p>
          <w:p>
            <w:pPr>
              <w:spacing w:before="136"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textDirection w:val="tbRlV"/>
            <w:vAlign w:val="top"/>
          </w:tcPr>
          <w:p>
            <w:pPr>
              <w:spacing w:before="236" w:line="216" w:lineRule="auto"/>
              <w:ind w:left="114"/>
              <w:rPr>
                <w:rFonts w:ascii="宋体" w:hAnsi="宋体" w:eastAsia="宋体" w:cs="宋体"/>
                <w:sz w:val="18"/>
                <w:szCs w:val="18"/>
              </w:rPr>
            </w:pPr>
            <w:r>
              <w:rPr>
                <w:rFonts w:ascii="宋体" w:hAnsi="宋体" w:eastAsia="宋体" w:cs="宋体"/>
                <w:spacing w:val="-9"/>
                <w:sz w:val="18"/>
                <w:szCs w:val="18"/>
              </w:rPr>
              <w:t>层</w:t>
            </w:r>
            <w:r>
              <w:rPr>
                <w:rFonts w:ascii="宋体" w:hAnsi="宋体" w:eastAsia="宋体" w:cs="宋体"/>
                <w:spacing w:val="46"/>
                <w:sz w:val="18"/>
                <w:szCs w:val="18"/>
              </w:rPr>
              <w:t xml:space="preserve"> </w:t>
            </w:r>
            <w:r>
              <w:rPr>
                <w:rFonts w:ascii="宋体" w:hAnsi="宋体" w:eastAsia="宋体" w:cs="宋体"/>
                <w:spacing w:val="-9"/>
                <w:sz w:val="18"/>
                <w:szCs w:val="18"/>
              </w:rPr>
              <w:t>㎡</w:t>
            </w:r>
          </w:p>
        </w:tc>
        <w:tc>
          <w:tcPr>
            <w:tcW w:w="1531" w:type="dxa"/>
            <w:vAlign w:val="top"/>
          </w:tcPr>
          <w:p>
            <w:pPr>
              <w:spacing w:before="220" w:line="124" w:lineRule="exact"/>
              <w:ind w:left="677"/>
              <w:rPr>
                <w:rFonts w:ascii="宋体" w:hAnsi="宋体" w:eastAsia="宋体" w:cs="宋体"/>
                <w:sz w:val="18"/>
                <w:szCs w:val="18"/>
              </w:rPr>
            </w:pPr>
            <w:r>
              <w:rPr>
                <w:rFonts w:ascii="宋体" w:hAnsi="宋体" w:eastAsia="宋体" w:cs="宋体"/>
                <w:position w:val="-3"/>
                <w:sz w:val="18"/>
                <w:szCs w:val="18"/>
              </w:rPr>
              <w:t>—</w:t>
            </w:r>
          </w:p>
          <w:p>
            <w:pPr>
              <w:spacing w:before="188" w:line="123" w:lineRule="exact"/>
              <w:ind w:left="677"/>
              <w:rPr>
                <w:rFonts w:ascii="宋体" w:hAnsi="宋体" w:eastAsia="宋体" w:cs="宋体"/>
                <w:sz w:val="18"/>
                <w:szCs w:val="18"/>
              </w:rPr>
            </w:pPr>
            <w:r>
              <w:rPr>
                <w:rFonts w:ascii="宋体" w:hAnsi="宋体" w:eastAsia="宋体" w:cs="宋体"/>
                <w:position w:val="-3"/>
                <w:sz w:val="18"/>
                <w:szCs w:val="18"/>
              </w:rPr>
              <w:t>—</w:t>
            </w:r>
          </w:p>
        </w:tc>
        <w:tc>
          <w:tcPr>
            <w:tcW w:w="1531" w:type="dxa"/>
            <w:vAlign w:val="top"/>
          </w:tcPr>
          <w:p>
            <w:pPr>
              <w:spacing w:before="105" w:line="260" w:lineRule="exact"/>
              <w:ind w:left="620"/>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10</w:t>
            </w:r>
          </w:p>
          <w:p>
            <w:pPr>
              <w:spacing w:before="84" w:line="230" w:lineRule="auto"/>
              <w:ind w:left="484"/>
              <w:rPr>
                <w:rFonts w:ascii="宋体" w:hAnsi="宋体" w:eastAsia="宋体" w:cs="宋体"/>
                <w:sz w:val="18"/>
                <w:szCs w:val="18"/>
              </w:rPr>
            </w:pPr>
            <w:r>
              <w:rPr>
                <w:rFonts w:ascii="宋体" w:hAnsi="宋体" w:eastAsia="宋体" w:cs="宋体"/>
                <w:spacing w:val="7"/>
                <w:sz w:val="18"/>
                <w:szCs w:val="18"/>
              </w:rPr>
              <w:t>&gt;12000</w:t>
            </w:r>
          </w:p>
        </w:tc>
        <w:tc>
          <w:tcPr>
            <w:tcW w:w="1551" w:type="dxa"/>
            <w:tcBorders>
              <w:right w:val="single" w:color="000000" w:sz="4" w:space="0"/>
            </w:tcBorders>
            <w:vAlign w:val="top"/>
          </w:tcPr>
          <w:p>
            <w:pPr>
              <w:spacing w:before="103" w:line="256" w:lineRule="exact"/>
              <w:ind w:left="644"/>
              <w:rPr>
                <w:rFonts w:ascii="宋体" w:hAnsi="宋体" w:eastAsia="宋体" w:cs="宋体"/>
                <w:sz w:val="18"/>
                <w:szCs w:val="18"/>
              </w:rPr>
            </w:pPr>
            <w:r>
              <w:rPr>
                <w:rFonts w:ascii="宋体" w:hAnsi="宋体" w:eastAsia="宋体" w:cs="宋体"/>
                <w:spacing w:val="-15"/>
                <w:position w:val="1"/>
                <w:sz w:val="18"/>
                <w:szCs w:val="18"/>
              </w:rPr>
              <w:t>≤10</w:t>
            </w:r>
          </w:p>
          <w:p>
            <w:pPr>
              <w:spacing w:before="88" w:line="232" w:lineRule="auto"/>
              <w:ind w:left="507"/>
              <w:rPr>
                <w:rFonts w:ascii="宋体" w:hAnsi="宋体" w:eastAsia="宋体" w:cs="宋体"/>
                <w:sz w:val="18"/>
                <w:szCs w:val="18"/>
              </w:rPr>
            </w:pPr>
            <w:r>
              <w:rPr>
                <w:rFonts w:ascii="宋体" w:hAnsi="宋体" w:eastAsia="宋体" w:cs="宋体"/>
                <w:spacing w:val="-8"/>
                <w:sz w:val="18"/>
                <w:szCs w:val="18"/>
              </w:rPr>
              <w:t>≤12000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tcBorders>
            <w:vAlign w:val="top"/>
          </w:tcPr>
          <w:p>
            <w:pPr>
              <w:pStyle w:val="6"/>
            </w:pPr>
          </w:p>
        </w:tc>
        <w:tc>
          <w:tcPr>
            <w:tcW w:w="1656" w:type="dxa"/>
            <w:gridSpan w:val="2"/>
            <w:vAlign w:val="top"/>
          </w:tcPr>
          <w:p>
            <w:pPr>
              <w:spacing w:before="245" w:line="240" w:lineRule="exact"/>
              <w:ind w:left="103"/>
              <w:rPr>
                <w:rFonts w:ascii="宋体" w:hAnsi="宋体" w:eastAsia="宋体" w:cs="宋体"/>
                <w:sz w:val="18"/>
                <w:szCs w:val="18"/>
              </w:rPr>
            </w:pPr>
            <w:r>
              <w:rPr>
                <w:rFonts w:ascii="宋体" w:hAnsi="宋体" w:eastAsia="宋体" w:cs="宋体"/>
                <w:spacing w:val="-9"/>
                <w:position w:val="1"/>
                <w:sz w:val="18"/>
                <w:szCs w:val="18"/>
              </w:rPr>
              <w:t>独栋别墅</w:t>
            </w:r>
            <w:r>
              <w:rPr>
                <w:rFonts w:ascii="宋体" w:hAnsi="宋体" w:eastAsia="宋体" w:cs="宋体"/>
                <w:spacing w:val="-49"/>
                <w:position w:val="1"/>
                <w:sz w:val="18"/>
                <w:szCs w:val="18"/>
              </w:rPr>
              <w:t xml:space="preserve"> </w:t>
            </w:r>
            <w:r>
              <w:rPr>
                <w:rFonts w:ascii="宋体" w:hAnsi="宋体" w:eastAsia="宋体" w:cs="宋体"/>
                <w:spacing w:val="-9"/>
                <w:position w:val="1"/>
                <w:sz w:val="18"/>
                <w:szCs w:val="18"/>
              </w:rPr>
              <w:t>(≤3层）</w:t>
            </w:r>
          </w:p>
        </w:tc>
        <w:tc>
          <w:tcPr>
            <w:tcW w:w="1525" w:type="dxa"/>
            <w:vAlign w:val="top"/>
          </w:tcPr>
          <w:p>
            <w:pPr>
              <w:spacing w:before="94" w:line="211" w:lineRule="auto"/>
              <w:ind w:left="584"/>
              <w:rPr>
                <w:rFonts w:ascii="宋体" w:hAnsi="宋体" w:eastAsia="宋体" w:cs="宋体"/>
                <w:sz w:val="18"/>
                <w:szCs w:val="18"/>
              </w:rPr>
            </w:pPr>
            <w:r>
              <w:rPr>
                <w:rFonts w:ascii="宋体" w:hAnsi="宋体" w:eastAsia="宋体" w:cs="宋体"/>
                <w:spacing w:val="-2"/>
                <w:sz w:val="18"/>
                <w:szCs w:val="18"/>
              </w:rPr>
              <w:t>栋数</w:t>
            </w:r>
          </w:p>
          <w:p>
            <w:pPr>
              <w:spacing w:before="138" w:line="215" w:lineRule="auto"/>
              <w:ind w:left="407"/>
              <w:rPr>
                <w:rFonts w:ascii="宋体" w:hAnsi="宋体" w:eastAsia="宋体" w:cs="宋体"/>
                <w:sz w:val="18"/>
                <w:szCs w:val="18"/>
              </w:rPr>
            </w:pPr>
            <w:r>
              <w:rPr>
                <w:rFonts w:ascii="宋体" w:hAnsi="宋体" w:eastAsia="宋体" w:cs="宋体"/>
                <w:spacing w:val="-4"/>
                <w:sz w:val="18"/>
                <w:szCs w:val="18"/>
              </w:rPr>
              <w:t>建筑面积</w:t>
            </w:r>
          </w:p>
        </w:tc>
        <w:tc>
          <w:tcPr>
            <w:tcW w:w="673" w:type="dxa"/>
            <w:textDirection w:val="tbRlV"/>
            <w:vAlign w:val="top"/>
          </w:tcPr>
          <w:p>
            <w:pPr>
              <w:spacing w:before="236" w:line="217" w:lineRule="auto"/>
              <w:ind w:left="112"/>
              <w:rPr>
                <w:rFonts w:ascii="宋体" w:hAnsi="宋体" w:eastAsia="宋体" w:cs="宋体"/>
                <w:sz w:val="18"/>
                <w:szCs w:val="18"/>
              </w:rPr>
            </w:pPr>
            <w:r>
              <w:rPr>
                <w:rFonts w:ascii="宋体" w:hAnsi="宋体" w:eastAsia="宋体" w:cs="宋体"/>
                <w:spacing w:val="-6"/>
                <w:sz w:val="18"/>
                <w:szCs w:val="18"/>
              </w:rPr>
              <w:t>栋</w:t>
            </w:r>
            <w:r>
              <w:rPr>
                <w:rFonts w:ascii="宋体" w:hAnsi="宋体" w:eastAsia="宋体" w:cs="宋体"/>
                <w:spacing w:val="43"/>
                <w:sz w:val="18"/>
                <w:szCs w:val="18"/>
              </w:rPr>
              <w:t xml:space="preserve"> </w:t>
            </w:r>
            <w:r>
              <w:rPr>
                <w:rFonts w:ascii="宋体" w:hAnsi="宋体" w:eastAsia="宋体" w:cs="宋体"/>
                <w:spacing w:val="-6"/>
                <w:sz w:val="18"/>
                <w:szCs w:val="18"/>
              </w:rPr>
              <w:t>㎡</w:t>
            </w:r>
          </w:p>
        </w:tc>
        <w:tc>
          <w:tcPr>
            <w:tcW w:w="1531" w:type="dxa"/>
            <w:vAlign w:val="top"/>
          </w:tcPr>
          <w:p>
            <w:pPr>
              <w:spacing w:before="104" w:line="257" w:lineRule="exact"/>
              <w:ind w:left="675"/>
              <w:rPr>
                <w:rFonts w:ascii="宋体" w:hAnsi="宋体" w:eastAsia="宋体" w:cs="宋体"/>
                <w:sz w:val="18"/>
                <w:szCs w:val="18"/>
              </w:rPr>
            </w:pPr>
            <w:r>
              <w:rPr>
                <w:rFonts w:ascii="宋体" w:hAnsi="宋体" w:eastAsia="宋体" w:cs="宋体"/>
                <w:spacing w:val="-15"/>
                <w:position w:val="1"/>
                <w:sz w:val="18"/>
                <w:szCs w:val="18"/>
              </w:rPr>
              <w:t>≤5</w:t>
            </w:r>
          </w:p>
          <w:p>
            <w:pPr>
              <w:spacing w:before="88" w:line="231" w:lineRule="auto"/>
              <w:ind w:left="586"/>
              <w:rPr>
                <w:rFonts w:ascii="宋体" w:hAnsi="宋体" w:eastAsia="宋体" w:cs="宋体"/>
                <w:sz w:val="18"/>
                <w:szCs w:val="18"/>
              </w:rPr>
            </w:pPr>
            <w:r>
              <w:rPr>
                <w:rFonts w:ascii="宋体" w:hAnsi="宋体" w:eastAsia="宋体" w:cs="宋体"/>
                <w:spacing w:val="-11"/>
                <w:sz w:val="18"/>
                <w:szCs w:val="18"/>
              </w:rPr>
              <w:t>≤500</w:t>
            </w:r>
          </w:p>
        </w:tc>
        <w:tc>
          <w:tcPr>
            <w:tcW w:w="1531" w:type="dxa"/>
            <w:vAlign w:val="top"/>
          </w:tcPr>
          <w:p>
            <w:pPr>
              <w:spacing w:before="104" w:line="257" w:lineRule="exact"/>
              <w:ind w:left="639"/>
              <w:rPr>
                <w:rFonts w:ascii="宋体" w:hAnsi="宋体" w:eastAsia="宋体" w:cs="宋体"/>
                <w:sz w:val="18"/>
                <w:szCs w:val="18"/>
              </w:rPr>
            </w:pPr>
            <w:r>
              <w:rPr>
                <w:rFonts w:ascii="宋体" w:hAnsi="宋体" w:eastAsia="宋体" w:cs="宋体"/>
                <w:spacing w:val="-15"/>
                <w:position w:val="1"/>
                <w:sz w:val="18"/>
                <w:szCs w:val="18"/>
              </w:rPr>
              <w:t>≤10</w:t>
            </w:r>
          </w:p>
          <w:p>
            <w:pPr>
              <w:spacing w:before="88" w:line="231" w:lineRule="auto"/>
              <w:ind w:left="591"/>
              <w:rPr>
                <w:rFonts w:ascii="宋体" w:hAnsi="宋体" w:eastAsia="宋体" w:cs="宋体"/>
                <w:sz w:val="18"/>
                <w:szCs w:val="18"/>
              </w:rPr>
            </w:pPr>
            <w:r>
              <w:rPr>
                <w:rFonts w:ascii="宋体" w:hAnsi="宋体" w:eastAsia="宋体" w:cs="宋体"/>
                <w:spacing w:val="-11"/>
                <w:sz w:val="18"/>
                <w:szCs w:val="18"/>
              </w:rPr>
              <w:t>≤700</w:t>
            </w:r>
          </w:p>
        </w:tc>
        <w:tc>
          <w:tcPr>
            <w:tcW w:w="1551" w:type="dxa"/>
            <w:tcBorders>
              <w:right w:val="single" w:color="000000" w:sz="4" w:space="0"/>
            </w:tcBorders>
            <w:vAlign w:val="top"/>
          </w:tcPr>
          <w:p>
            <w:pPr>
              <w:spacing w:before="109" w:line="260" w:lineRule="exact"/>
              <w:ind w:left="625"/>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10</w:t>
            </w:r>
          </w:p>
          <w:p>
            <w:pPr>
              <w:spacing w:before="83" w:line="228" w:lineRule="auto"/>
              <w:ind w:left="580"/>
              <w:rPr>
                <w:rFonts w:ascii="宋体" w:hAnsi="宋体" w:eastAsia="宋体" w:cs="宋体"/>
                <w:sz w:val="18"/>
                <w:szCs w:val="18"/>
              </w:rPr>
            </w:pPr>
            <w:r>
              <w:rPr>
                <w:rFonts w:ascii="宋体" w:hAnsi="宋体" w:eastAsia="宋体" w:cs="宋体"/>
                <w:spacing w:val="10"/>
                <w:sz w:val="18"/>
                <w:szCs w:val="18"/>
              </w:rPr>
              <w:t>&gt;700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6" w:hRule="atLeast"/>
        </w:trPr>
        <w:tc>
          <w:tcPr>
            <w:tcW w:w="612" w:type="dxa"/>
            <w:vMerge w:val="restart"/>
            <w:tcBorders>
              <w:left w:val="single" w:color="000000" w:sz="4" w:space="0"/>
              <w:bottom w:val="nil"/>
            </w:tcBorders>
            <w:vAlign w:val="top"/>
          </w:tcPr>
          <w:p>
            <w:pPr>
              <w:pStyle w:val="6"/>
              <w:spacing w:line="336" w:lineRule="auto"/>
            </w:pPr>
          </w:p>
          <w:p>
            <w:pPr>
              <w:pStyle w:val="6"/>
              <w:spacing w:line="337" w:lineRule="auto"/>
            </w:pPr>
          </w:p>
          <w:p>
            <w:pPr>
              <w:spacing w:before="58" w:line="431" w:lineRule="auto"/>
              <w:ind w:left="157" w:right="100"/>
              <w:jc w:val="both"/>
              <w:rPr>
                <w:rFonts w:ascii="宋体" w:hAnsi="宋体" w:eastAsia="宋体" w:cs="宋体"/>
                <w:sz w:val="18"/>
                <w:szCs w:val="18"/>
              </w:rPr>
            </w:pPr>
            <w:r>
              <w:rPr>
                <w:rFonts w:ascii="宋体" w:hAnsi="宋体" w:eastAsia="宋体" w:cs="宋体"/>
                <w:spacing w:val="-8"/>
                <w:sz w:val="18"/>
                <w:szCs w:val="18"/>
              </w:rPr>
              <w:t>构筑</w:t>
            </w:r>
            <w:r>
              <w:rPr>
                <w:rFonts w:ascii="宋体" w:hAnsi="宋体" w:eastAsia="宋体" w:cs="宋体"/>
                <w:spacing w:val="-7"/>
                <w:sz w:val="18"/>
                <w:szCs w:val="18"/>
              </w:rPr>
              <w:t>物工</w:t>
            </w:r>
            <w:r>
              <w:rPr>
                <w:rFonts w:ascii="宋体" w:hAnsi="宋体" w:eastAsia="宋体" w:cs="宋体"/>
                <w:spacing w:val="24"/>
                <w:w w:val="134"/>
                <w:sz w:val="18"/>
                <w:szCs w:val="18"/>
              </w:rPr>
              <w:t>程</w:t>
            </w:r>
          </w:p>
        </w:tc>
        <w:tc>
          <w:tcPr>
            <w:tcW w:w="1656" w:type="dxa"/>
            <w:gridSpan w:val="2"/>
            <w:vAlign w:val="top"/>
          </w:tcPr>
          <w:p>
            <w:pPr>
              <w:spacing w:before="255" w:line="209" w:lineRule="auto"/>
              <w:ind w:left="651"/>
              <w:rPr>
                <w:rFonts w:ascii="宋体" w:hAnsi="宋体" w:eastAsia="宋体" w:cs="宋体"/>
                <w:sz w:val="18"/>
                <w:szCs w:val="18"/>
              </w:rPr>
            </w:pPr>
            <w:r>
              <w:rPr>
                <w:rFonts w:ascii="宋体" w:hAnsi="宋体" w:eastAsia="宋体" w:cs="宋体"/>
                <w:spacing w:val="-4"/>
                <w:sz w:val="18"/>
                <w:szCs w:val="18"/>
              </w:rPr>
              <w:t>烟囱</w:t>
            </w:r>
          </w:p>
        </w:tc>
        <w:tc>
          <w:tcPr>
            <w:tcW w:w="1525" w:type="dxa"/>
            <w:vAlign w:val="top"/>
          </w:tcPr>
          <w:p>
            <w:pPr>
              <w:spacing w:before="112" w:line="294" w:lineRule="auto"/>
              <w:ind w:left="311" w:right="129" w:hanging="175"/>
              <w:rPr>
                <w:rFonts w:ascii="宋体" w:hAnsi="宋体" w:eastAsia="宋体" w:cs="宋体"/>
                <w:sz w:val="18"/>
                <w:szCs w:val="18"/>
              </w:rPr>
            </w:pPr>
            <w:r>
              <w:rPr>
                <w:rFonts w:ascii="宋体" w:hAnsi="宋体" w:eastAsia="宋体" w:cs="宋体"/>
                <w:spacing w:val="-1"/>
                <w:sz w:val="18"/>
                <w:szCs w:val="18"/>
              </w:rPr>
              <w:t>混凝土结构高度</w:t>
            </w:r>
            <w:r>
              <w:rPr>
                <w:rFonts w:ascii="宋体" w:hAnsi="宋体" w:eastAsia="宋体" w:cs="宋体"/>
                <w:spacing w:val="-3"/>
                <w:sz w:val="18"/>
                <w:szCs w:val="18"/>
              </w:rPr>
              <w:t>砖结构高度</w:t>
            </w:r>
          </w:p>
        </w:tc>
        <w:tc>
          <w:tcPr>
            <w:tcW w:w="673" w:type="dxa"/>
            <w:vAlign w:val="top"/>
          </w:tcPr>
          <w:p>
            <w:pPr>
              <w:spacing w:before="110"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spacing w:before="80" w:line="239" w:lineRule="auto"/>
              <w:ind w:left="292"/>
              <w:rPr>
                <w:rFonts w:ascii="宋体" w:hAnsi="宋体" w:eastAsia="宋体" w:cs="宋体"/>
                <w:sz w:val="18"/>
                <w:szCs w:val="18"/>
              </w:rPr>
            </w:pPr>
            <w:r>
              <w:rPr>
                <w:rFonts w:ascii="宋体" w:hAnsi="宋体" w:eastAsia="宋体" w:cs="宋体"/>
                <w:spacing w:val="2"/>
                <w:w w:val="135"/>
                <w:sz w:val="18"/>
                <w:szCs w:val="18"/>
              </w:rPr>
              <w:t>m</w:t>
            </w:r>
          </w:p>
        </w:tc>
        <w:tc>
          <w:tcPr>
            <w:tcW w:w="1531" w:type="dxa"/>
            <w:vAlign w:val="top"/>
          </w:tcPr>
          <w:p>
            <w:pPr>
              <w:spacing w:before="110" w:line="260" w:lineRule="exact"/>
              <w:ind w:left="570"/>
              <w:rPr>
                <w:rFonts w:ascii="宋体" w:hAnsi="宋体" w:eastAsia="宋体" w:cs="宋体"/>
                <w:sz w:val="18"/>
                <w:szCs w:val="18"/>
              </w:rPr>
            </w:pPr>
            <w:r>
              <w:rPr>
                <w:rFonts w:ascii="宋体" w:hAnsi="宋体" w:eastAsia="宋体" w:cs="宋体"/>
                <w:spacing w:val="10"/>
                <w:position w:val="1"/>
                <w:sz w:val="18"/>
                <w:szCs w:val="18"/>
              </w:rPr>
              <w:t>&gt;100</w:t>
            </w:r>
          </w:p>
          <w:p>
            <w:pPr>
              <w:spacing w:before="82" w:line="239" w:lineRule="auto"/>
              <w:ind w:left="616"/>
              <w:rPr>
                <w:rFonts w:ascii="宋体" w:hAnsi="宋体" w:eastAsia="宋体" w:cs="宋体"/>
                <w:sz w:val="18"/>
                <w:szCs w:val="18"/>
              </w:rPr>
            </w:pPr>
            <w:r>
              <w:rPr>
                <w:rFonts w:ascii="宋体" w:hAnsi="宋体" w:eastAsia="宋体" w:cs="宋体"/>
                <w:spacing w:val="14"/>
                <w:sz w:val="18"/>
                <w:szCs w:val="18"/>
              </w:rPr>
              <w:t>&gt;60</w:t>
            </w:r>
          </w:p>
        </w:tc>
        <w:tc>
          <w:tcPr>
            <w:tcW w:w="1531" w:type="dxa"/>
            <w:vAlign w:val="top"/>
          </w:tcPr>
          <w:p>
            <w:pPr>
              <w:spacing w:before="110" w:line="260" w:lineRule="exact"/>
              <w:ind w:left="621"/>
              <w:rPr>
                <w:rFonts w:ascii="宋体" w:hAnsi="宋体" w:eastAsia="宋体" w:cs="宋体"/>
                <w:sz w:val="18"/>
                <w:szCs w:val="18"/>
              </w:rPr>
            </w:pPr>
            <w:r>
              <w:rPr>
                <w:rFonts w:ascii="宋体" w:hAnsi="宋体" w:eastAsia="宋体" w:cs="宋体"/>
                <w:spacing w:val="14"/>
                <w:position w:val="1"/>
                <w:sz w:val="18"/>
                <w:szCs w:val="18"/>
              </w:rPr>
              <w:t>&gt;60</w:t>
            </w:r>
          </w:p>
          <w:p>
            <w:pPr>
              <w:spacing w:before="82" w:line="239" w:lineRule="auto"/>
              <w:ind w:left="621"/>
              <w:rPr>
                <w:rFonts w:ascii="宋体" w:hAnsi="宋体" w:eastAsia="宋体" w:cs="宋体"/>
                <w:sz w:val="18"/>
                <w:szCs w:val="18"/>
              </w:rPr>
            </w:pPr>
            <w:r>
              <w:rPr>
                <w:rFonts w:ascii="宋体" w:hAnsi="宋体" w:eastAsia="宋体" w:cs="宋体"/>
                <w:spacing w:val="15"/>
                <w:sz w:val="18"/>
                <w:szCs w:val="18"/>
              </w:rPr>
              <w:t>&gt;40</w:t>
            </w:r>
          </w:p>
        </w:tc>
        <w:tc>
          <w:tcPr>
            <w:tcW w:w="1551" w:type="dxa"/>
            <w:tcBorders>
              <w:right w:val="single" w:color="000000" w:sz="4" w:space="0"/>
            </w:tcBorders>
            <w:vAlign w:val="top"/>
          </w:tcPr>
          <w:p>
            <w:pPr>
              <w:spacing w:before="105" w:line="257" w:lineRule="exact"/>
              <w:ind w:left="644"/>
              <w:rPr>
                <w:rFonts w:ascii="宋体" w:hAnsi="宋体" w:eastAsia="宋体" w:cs="宋体"/>
                <w:sz w:val="18"/>
                <w:szCs w:val="18"/>
              </w:rPr>
            </w:pPr>
            <w:r>
              <w:rPr>
                <w:rFonts w:ascii="宋体" w:hAnsi="宋体" w:eastAsia="宋体" w:cs="宋体"/>
                <w:spacing w:val="-15"/>
                <w:position w:val="1"/>
                <w:sz w:val="18"/>
                <w:szCs w:val="18"/>
              </w:rPr>
              <w:t>≤60</w:t>
            </w:r>
          </w:p>
          <w:p>
            <w:pPr>
              <w:spacing w:before="88" w:line="241" w:lineRule="auto"/>
              <w:ind w:left="644"/>
              <w:rPr>
                <w:rFonts w:ascii="宋体" w:hAnsi="宋体" w:eastAsia="宋体" w:cs="宋体"/>
                <w:sz w:val="18"/>
                <w:szCs w:val="18"/>
              </w:rPr>
            </w:pPr>
            <w:r>
              <w:rPr>
                <w:rFonts w:ascii="宋体" w:hAnsi="宋体" w:eastAsia="宋体" w:cs="宋体"/>
                <w:spacing w:val="-15"/>
                <w:sz w:val="18"/>
                <w:szCs w:val="18"/>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bottom w:val="nil"/>
            </w:tcBorders>
            <w:vAlign w:val="top"/>
          </w:tcPr>
          <w:p>
            <w:pPr>
              <w:pStyle w:val="6"/>
            </w:pPr>
          </w:p>
        </w:tc>
        <w:tc>
          <w:tcPr>
            <w:tcW w:w="1656" w:type="dxa"/>
            <w:gridSpan w:val="2"/>
            <w:vAlign w:val="top"/>
          </w:tcPr>
          <w:p>
            <w:pPr>
              <w:spacing w:before="256" w:line="210" w:lineRule="auto"/>
              <w:ind w:left="646"/>
              <w:rPr>
                <w:rFonts w:ascii="宋体" w:hAnsi="宋体" w:eastAsia="宋体" w:cs="宋体"/>
                <w:sz w:val="18"/>
                <w:szCs w:val="18"/>
              </w:rPr>
            </w:pPr>
            <w:r>
              <w:rPr>
                <w:rFonts w:ascii="宋体" w:hAnsi="宋体" w:eastAsia="宋体" w:cs="宋体"/>
                <w:spacing w:val="-2"/>
                <w:sz w:val="18"/>
                <w:szCs w:val="18"/>
              </w:rPr>
              <w:t>水塔</w:t>
            </w:r>
          </w:p>
        </w:tc>
        <w:tc>
          <w:tcPr>
            <w:tcW w:w="1525" w:type="dxa"/>
            <w:vAlign w:val="top"/>
          </w:tcPr>
          <w:p>
            <w:pPr>
              <w:spacing w:before="100" w:line="211" w:lineRule="auto"/>
              <w:ind w:left="593"/>
              <w:rPr>
                <w:rFonts w:ascii="宋体" w:hAnsi="宋体" w:eastAsia="宋体" w:cs="宋体"/>
                <w:sz w:val="18"/>
                <w:szCs w:val="18"/>
              </w:rPr>
            </w:pPr>
            <w:r>
              <w:rPr>
                <w:rFonts w:ascii="宋体" w:hAnsi="宋体" w:eastAsia="宋体" w:cs="宋体"/>
                <w:spacing w:val="-4"/>
                <w:sz w:val="18"/>
                <w:szCs w:val="18"/>
              </w:rPr>
              <w:t>高度</w:t>
            </w:r>
          </w:p>
          <w:p>
            <w:pPr>
              <w:spacing w:before="138" w:line="211" w:lineRule="auto"/>
              <w:ind w:left="587"/>
              <w:rPr>
                <w:rFonts w:ascii="宋体" w:hAnsi="宋体" w:eastAsia="宋体" w:cs="宋体"/>
                <w:sz w:val="18"/>
                <w:szCs w:val="18"/>
              </w:rPr>
            </w:pPr>
            <w:r>
              <w:rPr>
                <w:rFonts w:ascii="宋体" w:hAnsi="宋体" w:eastAsia="宋体" w:cs="宋体"/>
                <w:spacing w:val="-3"/>
                <w:sz w:val="18"/>
                <w:szCs w:val="18"/>
              </w:rPr>
              <w:t>容积</w:t>
            </w:r>
          </w:p>
        </w:tc>
        <w:tc>
          <w:tcPr>
            <w:tcW w:w="673" w:type="dxa"/>
            <w:vAlign w:val="top"/>
          </w:tcPr>
          <w:p>
            <w:pPr>
              <w:spacing w:before="112"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pStyle w:val="6"/>
              <w:spacing w:before="79" w:line="227" w:lineRule="auto"/>
              <w:ind w:left="270"/>
              <w:rPr>
                <w:sz w:val="18"/>
                <w:szCs w:val="18"/>
              </w:rPr>
            </w:pPr>
            <w:r>
              <w:rPr>
                <w:rFonts w:ascii="宋体" w:hAnsi="宋体" w:eastAsia="宋体" w:cs="宋体"/>
                <w:spacing w:val="17"/>
                <w:sz w:val="18"/>
                <w:szCs w:val="18"/>
              </w:rPr>
              <w:t>m</w:t>
            </w:r>
            <w:r>
              <w:rPr>
                <w:spacing w:val="17"/>
                <w:sz w:val="18"/>
                <w:szCs w:val="18"/>
              </w:rPr>
              <w:t>3</w:t>
            </w:r>
          </w:p>
        </w:tc>
        <w:tc>
          <w:tcPr>
            <w:tcW w:w="1531" w:type="dxa"/>
            <w:vAlign w:val="top"/>
          </w:tcPr>
          <w:p>
            <w:pPr>
              <w:spacing w:before="112" w:line="260" w:lineRule="exact"/>
              <w:ind w:left="616"/>
              <w:rPr>
                <w:rFonts w:ascii="宋体" w:hAnsi="宋体" w:eastAsia="宋体" w:cs="宋体"/>
                <w:sz w:val="18"/>
                <w:szCs w:val="18"/>
              </w:rPr>
            </w:pPr>
            <w:r>
              <w:rPr>
                <w:rFonts w:ascii="宋体" w:hAnsi="宋体" w:eastAsia="宋体" w:cs="宋体"/>
                <w:spacing w:val="14"/>
                <w:position w:val="1"/>
                <w:sz w:val="18"/>
                <w:szCs w:val="18"/>
              </w:rPr>
              <w:t>&gt;60</w:t>
            </w:r>
          </w:p>
          <w:p>
            <w:pPr>
              <w:spacing w:before="82" w:line="225" w:lineRule="auto"/>
              <w:ind w:left="570"/>
              <w:rPr>
                <w:rFonts w:ascii="宋体" w:hAnsi="宋体" w:eastAsia="宋体" w:cs="宋体"/>
                <w:sz w:val="18"/>
                <w:szCs w:val="18"/>
              </w:rPr>
            </w:pPr>
            <w:r>
              <w:rPr>
                <w:rFonts w:ascii="宋体" w:hAnsi="宋体" w:eastAsia="宋体" w:cs="宋体"/>
                <w:spacing w:val="10"/>
                <w:sz w:val="18"/>
                <w:szCs w:val="18"/>
              </w:rPr>
              <w:t>&gt;100</w:t>
            </w:r>
          </w:p>
        </w:tc>
        <w:tc>
          <w:tcPr>
            <w:tcW w:w="1531" w:type="dxa"/>
            <w:vAlign w:val="top"/>
          </w:tcPr>
          <w:p>
            <w:pPr>
              <w:spacing w:before="112" w:line="260" w:lineRule="exact"/>
              <w:ind w:left="621"/>
              <w:rPr>
                <w:rFonts w:ascii="宋体" w:hAnsi="宋体" w:eastAsia="宋体" w:cs="宋体"/>
                <w:sz w:val="18"/>
                <w:szCs w:val="18"/>
              </w:rPr>
            </w:pPr>
            <w:r>
              <w:rPr>
                <w:rFonts w:ascii="宋体" w:hAnsi="宋体" w:eastAsia="宋体" w:cs="宋体"/>
                <w:spacing w:val="15"/>
                <w:position w:val="1"/>
                <w:sz w:val="18"/>
                <w:szCs w:val="18"/>
              </w:rPr>
              <w:t>&gt;40</w:t>
            </w:r>
          </w:p>
          <w:p>
            <w:pPr>
              <w:spacing w:before="82" w:line="225" w:lineRule="auto"/>
              <w:ind w:left="621"/>
              <w:rPr>
                <w:rFonts w:ascii="宋体" w:hAnsi="宋体" w:eastAsia="宋体" w:cs="宋体"/>
                <w:sz w:val="18"/>
                <w:szCs w:val="18"/>
              </w:rPr>
            </w:pPr>
            <w:r>
              <w:rPr>
                <w:rFonts w:ascii="宋体" w:hAnsi="宋体" w:eastAsia="宋体" w:cs="宋体"/>
                <w:spacing w:val="14"/>
                <w:sz w:val="18"/>
                <w:szCs w:val="18"/>
              </w:rPr>
              <w:t>&gt;60</w:t>
            </w:r>
          </w:p>
        </w:tc>
        <w:tc>
          <w:tcPr>
            <w:tcW w:w="1551" w:type="dxa"/>
            <w:tcBorders>
              <w:right w:val="single" w:color="000000" w:sz="4" w:space="0"/>
            </w:tcBorders>
            <w:vAlign w:val="top"/>
          </w:tcPr>
          <w:p>
            <w:pPr>
              <w:spacing w:before="107" w:line="257" w:lineRule="exact"/>
              <w:ind w:left="644"/>
              <w:rPr>
                <w:rFonts w:ascii="宋体" w:hAnsi="宋体" w:eastAsia="宋体" w:cs="宋体"/>
                <w:sz w:val="18"/>
                <w:szCs w:val="18"/>
              </w:rPr>
            </w:pPr>
            <w:r>
              <w:rPr>
                <w:rFonts w:ascii="宋体" w:hAnsi="宋体" w:eastAsia="宋体" w:cs="宋体"/>
                <w:spacing w:val="-15"/>
                <w:position w:val="1"/>
                <w:sz w:val="18"/>
                <w:szCs w:val="18"/>
              </w:rPr>
              <w:t>≤40</w:t>
            </w:r>
          </w:p>
          <w:p>
            <w:pPr>
              <w:spacing w:before="89" w:line="227" w:lineRule="auto"/>
              <w:ind w:left="644"/>
              <w:rPr>
                <w:rFonts w:ascii="宋体" w:hAnsi="宋体" w:eastAsia="宋体" w:cs="宋体"/>
                <w:sz w:val="18"/>
                <w:szCs w:val="18"/>
              </w:rPr>
            </w:pPr>
            <w:r>
              <w:rPr>
                <w:rFonts w:ascii="宋体" w:hAnsi="宋体" w:eastAsia="宋体" w:cs="宋体"/>
                <w:spacing w:val="-15"/>
                <w:sz w:val="18"/>
                <w:szCs w:val="18"/>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612" w:type="dxa"/>
            <w:vMerge w:val="continue"/>
            <w:tcBorders>
              <w:top w:val="nil"/>
              <w:left w:val="single" w:color="000000" w:sz="4" w:space="0"/>
              <w:bottom w:val="nil"/>
            </w:tcBorders>
            <w:vAlign w:val="top"/>
          </w:tcPr>
          <w:p>
            <w:pPr>
              <w:pStyle w:val="6"/>
            </w:pPr>
          </w:p>
        </w:tc>
        <w:tc>
          <w:tcPr>
            <w:tcW w:w="1656" w:type="dxa"/>
            <w:gridSpan w:val="2"/>
            <w:vAlign w:val="top"/>
          </w:tcPr>
          <w:p>
            <w:pPr>
              <w:spacing w:before="256" w:line="209" w:lineRule="auto"/>
              <w:ind w:left="647"/>
              <w:rPr>
                <w:rFonts w:ascii="宋体" w:hAnsi="宋体" w:eastAsia="宋体" w:cs="宋体"/>
                <w:sz w:val="18"/>
                <w:szCs w:val="18"/>
              </w:rPr>
            </w:pPr>
            <w:r>
              <w:rPr>
                <w:rFonts w:ascii="宋体" w:hAnsi="宋体" w:eastAsia="宋体" w:cs="宋体"/>
                <w:spacing w:val="-2"/>
                <w:sz w:val="18"/>
                <w:szCs w:val="18"/>
              </w:rPr>
              <w:t>筒仓</w:t>
            </w:r>
          </w:p>
        </w:tc>
        <w:tc>
          <w:tcPr>
            <w:tcW w:w="1525" w:type="dxa"/>
            <w:vAlign w:val="top"/>
          </w:tcPr>
          <w:p>
            <w:pPr>
              <w:spacing w:before="98" w:line="211" w:lineRule="auto"/>
              <w:ind w:left="593"/>
              <w:rPr>
                <w:rFonts w:ascii="宋体" w:hAnsi="宋体" w:eastAsia="宋体" w:cs="宋体"/>
                <w:sz w:val="18"/>
                <w:szCs w:val="18"/>
              </w:rPr>
            </w:pPr>
            <w:r>
              <w:rPr>
                <w:rFonts w:ascii="宋体" w:hAnsi="宋体" w:eastAsia="宋体" w:cs="宋体"/>
                <w:spacing w:val="-4"/>
                <w:sz w:val="18"/>
                <w:szCs w:val="18"/>
              </w:rPr>
              <w:t>高度</w:t>
            </w:r>
          </w:p>
          <w:p>
            <w:pPr>
              <w:spacing w:before="135" w:line="241" w:lineRule="auto"/>
              <w:ind w:left="227"/>
              <w:rPr>
                <w:rFonts w:ascii="宋体" w:hAnsi="宋体" w:eastAsia="宋体" w:cs="宋体"/>
                <w:sz w:val="18"/>
                <w:szCs w:val="18"/>
              </w:rPr>
            </w:pPr>
            <w:r>
              <w:rPr>
                <w:rFonts w:ascii="宋体" w:hAnsi="宋体" w:eastAsia="宋体" w:cs="宋体"/>
                <w:spacing w:val="-4"/>
                <w:sz w:val="18"/>
                <w:szCs w:val="18"/>
              </w:rPr>
              <w:t>容积（单体）</w:t>
            </w:r>
          </w:p>
        </w:tc>
        <w:tc>
          <w:tcPr>
            <w:tcW w:w="673" w:type="dxa"/>
            <w:vAlign w:val="top"/>
          </w:tcPr>
          <w:p>
            <w:pPr>
              <w:spacing w:before="113" w:line="262"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p>
            <w:pPr>
              <w:pStyle w:val="6"/>
              <w:spacing w:before="79" w:line="226" w:lineRule="auto"/>
              <w:ind w:left="270"/>
              <w:rPr>
                <w:sz w:val="18"/>
                <w:szCs w:val="18"/>
              </w:rPr>
            </w:pPr>
            <w:r>
              <w:rPr>
                <w:rFonts w:ascii="宋体" w:hAnsi="宋体" w:eastAsia="宋体" w:cs="宋体"/>
                <w:spacing w:val="17"/>
                <w:sz w:val="18"/>
                <w:szCs w:val="18"/>
              </w:rPr>
              <w:t>m</w:t>
            </w:r>
            <w:r>
              <w:rPr>
                <w:spacing w:val="17"/>
                <w:sz w:val="18"/>
                <w:szCs w:val="18"/>
              </w:rPr>
              <w:t>3</w:t>
            </w:r>
          </w:p>
        </w:tc>
        <w:tc>
          <w:tcPr>
            <w:tcW w:w="1531" w:type="dxa"/>
            <w:vAlign w:val="top"/>
          </w:tcPr>
          <w:p>
            <w:pPr>
              <w:spacing w:before="113" w:line="261" w:lineRule="exact"/>
              <w:ind w:left="615"/>
              <w:rPr>
                <w:rFonts w:ascii="宋体" w:hAnsi="宋体" w:eastAsia="宋体" w:cs="宋体"/>
                <w:sz w:val="18"/>
                <w:szCs w:val="18"/>
              </w:rPr>
            </w:pPr>
            <w:r>
              <w:rPr>
                <w:rFonts w:ascii="宋体" w:hAnsi="宋体" w:eastAsia="宋体" w:cs="宋体"/>
                <w:spacing w:val="13"/>
                <w:position w:val="1"/>
                <w:sz w:val="18"/>
                <w:szCs w:val="18"/>
              </w:rPr>
              <w:t>&gt;35</w:t>
            </w:r>
          </w:p>
          <w:p>
            <w:pPr>
              <w:spacing w:before="80" w:line="226" w:lineRule="auto"/>
              <w:ind w:left="524"/>
              <w:rPr>
                <w:rFonts w:ascii="宋体" w:hAnsi="宋体" w:eastAsia="宋体" w:cs="宋体"/>
                <w:sz w:val="18"/>
                <w:szCs w:val="18"/>
              </w:rPr>
            </w:pPr>
            <w:r>
              <w:rPr>
                <w:rFonts w:ascii="宋体" w:hAnsi="宋体" w:eastAsia="宋体" w:cs="宋体"/>
                <w:spacing w:val="9"/>
                <w:sz w:val="18"/>
                <w:szCs w:val="18"/>
              </w:rPr>
              <w:t>&gt;2500</w:t>
            </w:r>
          </w:p>
        </w:tc>
        <w:tc>
          <w:tcPr>
            <w:tcW w:w="1531" w:type="dxa"/>
            <w:vAlign w:val="top"/>
          </w:tcPr>
          <w:p>
            <w:pPr>
              <w:spacing w:before="113" w:line="261" w:lineRule="exact"/>
              <w:ind w:left="621"/>
              <w:rPr>
                <w:rFonts w:ascii="宋体" w:hAnsi="宋体" w:eastAsia="宋体" w:cs="宋体"/>
                <w:sz w:val="18"/>
                <w:szCs w:val="18"/>
              </w:rPr>
            </w:pPr>
            <w:r>
              <w:rPr>
                <w:rFonts w:ascii="宋体" w:hAnsi="宋体" w:eastAsia="宋体" w:cs="宋体"/>
                <w:spacing w:val="15"/>
                <w:position w:val="1"/>
                <w:sz w:val="18"/>
                <w:szCs w:val="18"/>
              </w:rPr>
              <w:t>&gt;20</w:t>
            </w:r>
          </w:p>
          <w:p>
            <w:pPr>
              <w:spacing w:before="80" w:line="226" w:lineRule="auto"/>
              <w:ind w:left="529"/>
              <w:rPr>
                <w:rFonts w:ascii="宋体" w:hAnsi="宋体" w:eastAsia="宋体" w:cs="宋体"/>
                <w:sz w:val="18"/>
                <w:szCs w:val="18"/>
              </w:rPr>
            </w:pPr>
            <w:r>
              <w:rPr>
                <w:rFonts w:ascii="宋体" w:hAnsi="宋体" w:eastAsia="宋体" w:cs="宋体"/>
                <w:spacing w:val="9"/>
                <w:sz w:val="18"/>
                <w:szCs w:val="18"/>
              </w:rPr>
              <w:t>&gt;1500</w:t>
            </w:r>
          </w:p>
        </w:tc>
        <w:tc>
          <w:tcPr>
            <w:tcW w:w="1551" w:type="dxa"/>
            <w:tcBorders>
              <w:right w:val="single" w:color="000000" w:sz="4" w:space="0"/>
            </w:tcBorders>
            <w:vAlign w:val="top"/>
          </w:tcPr>
          <w:p>
            <w:pPr>
              <w:spacing w:before="111" w:line="257" w:lineRule="exact"/>
              <w:ind w:left="644"/>
              <w:rPr>
                <w:rFonts w:ascii="宋体" w:hAnsi="宋体" w:eastAsia="宋体" w:cs="宋体"/>
                <w:sz w:val="18"/>
                <w:szCs w:val="18"/>
              </w:rPr>
            </w:pPr>
            <w:r>
              <w:rPr>
                <w:rFonts w:ascii="宋体" w:hAnsi="宋体" w:eastAsia="宋体" w:cs="宋体"/>
                <w:spacing w:val="-15"/>
                <w:position w:val="1"/>
                <w:sz w:val="18"/>
                <w:szCs w:val="18"/>
              </w:rPr>
              <w:t>≤20</w:t>
            </w:r>
          </w:p>
          <w:p>
            <w:pPr>
              <w:spacing w:before="86" w:line="226" w:lineRule="auto"/>
              <w:ind w:left="553"/>
              <w:rPr>
                <w:rFonts w:ascii="宋体" w:hAnsi="宋体" w:eastAsia="宋体" w:cs="宋体"/>
                <w:sz w:val="18"/>
                <w:szCs w:val="18"/>
              </w:rPr>
            </w:pPr>
            <w:r>
              <w:rPr>
                <w:rFonts w:ascii="宋体" w:hAnsi="宋体" w:eastAsia="宋体" w:cs="宋体"/>
                <w:spacing w:val="-10"/>
                <w:sz w:val="18"/>
                <w:szCs w:val="18"/>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7" w:hRule="atLeast"/>
        </w:trPr>
        <w:tc>
          <w:tcPr>
            <w:tcW w:w="612" w:type="dxa"/>
            <w:vMerge w:val="continue"/>
            <w:tcBorders>
              <w:top w:val="nil"/>
              <w:left w:val="single" w:color="000000" w:sz="4" w:space="0"/>
            </w:tcBorders>
            <w:vAlign w:val="top"/>
          </w:tcPr>
          <w:p>
            <w:pPr>
              <w:pStyle w:val="6"/>
            </w:pPr>
          </w:p>
        </w:tc>
        <w:tc>
          <w:tcPr>
            <w:tcW w:w="1656" w:type="dxa"/>
            <w:gridSpan w:val="2"/>
            <w:vAlign w:val="top"/>
          </w:tcPr>
          <w:p>
            <w:pPr>
              <w:spacing w:before="168" w:line="211" w:lineRule="auto"/>
              <w:ind w:left="644"/>
              <w:rPr>
                <w:rFonts w:ascii="宋体" w:hAnsi="宋体" w:eastAsia="宋体" w:cs="宋体"/>
                <w:sz w:val="18"/>
                <w:szCs w:val="18"/>
              </w:rPr>
            </w:pPr>
            <w:r>
              <w:rPr>
                <w:rFonts w:ascii="宋体" w:hAnsi="宋体" w:eastAsia="宋体" w:cs="宋体"/>
                <w:spacing w:val="-1"/>
                <w:sz w:val="18"/>
                <w:szCs w:val="18"/>
              </w:rPr>
              <w:t>贮池</w:t>
            </w:r>
          </w:p>
        </w:tc>
        <w:tc>
          <w:tcPr>
            <w:tcW w:w="1525" w:type="dxa"/>
            <w:vAlign w:val="top"/>
          </w:tcPr>
          <w:p>
            <w:pPr>
              <w:spacing w:before="160" w:line="241" w:lineRule="exact"/>
              <w:ind w:left="227"/>
              <w:rPr>
                <w:rFonts w:ascii="宋体" w:hAnsi="宋体" w:eastAsia="宋体" w:cs="宋体"/>
                <w:sz w:val="18"/>
                <w:szCs w:val="18"/>
              </w:rPr>
            </w:pPr>
            <w:r>
              <w:rPr>
                <w:rFonts w:ascii="宋体" w:hAnsi="宋体" w:eastAsia="宋体" w:cs="宋体"/>
                <w:spacing w:val="-4"/>
                <w:position w:val="1"/>
                <w:sz w:val="18"/>
                <w:szCs w:val="18"/>
              </w:rPr>
              <w:t>容积（单体）</w:t>
            </w:r>
          </w:p>
        </w:tc>
        <w:tc>
          <w:tcPr>
            <w:tcW w:w="673" w:type="dxa"/>
            <w:vAlign w:val="top"/>
          </w:tcPr>
          <w:p>
            <w:pPr>
              <w:pStyle w:val="6"/>
              <w:spacing w:before="179" w:line="257" w:lineRule="exact"/>
              <w:ind w:left="270"/>
              <w:rPr>
                <w:sz w:val="18"/>
                <w:szCs w:val="18"/>
              </w:rPr>
            </w:pPr>
            <w:r>
              <w:rPr>
                <w:rFonts w:ascii="宋体" w:hAnsi="宋体" w:eastAsia="宋体" w:cs="宋体"/>
                <w:spacing w:val="17"/>
                <w:position w:val="1"/>
                <w:sz w:val="18"/>
                <w:szCs w:val="18"/>
              </w:rPr>
              <w:t>m</w:t>
            </w:r>
            <w:r>
              <w:rPr>
                <w:spacing w:val="17"/>
                <w:position w:val="1"/>
                <w:sz w:val="18"/>
                <w:szCs w:val="18"/>
              </w:rPr>
              <w:t>3</w:t>
            </w:r>
          </w:p>
        </w:tc>
        <w:tc>
          <w:tcPr>
            <w:tcW w:w="1531" w:type="dxa"/>
            <w:vAlign w:val="top"/>
          </w:tcPr>
          <w:p>
            <w:pPr>
              <w:spacing w:before="179" w:line="258" w:lineRule="exact"/>
              <w:ind w:left="524"/>
              <w:rPr>
                <w:rFonts w:ascii="宋体" w:hAnsi="宋体" w:eastAsia="宋体" w:cs="宋体"/>
                <w:sz w:val="18"/>
                <w:szCs w:val="18"/>
              </w:rPr>
            </w:pPr>
            <w:r>
              <w:rPr>
                <w:rFonts w:ascii="宋体" w:hAnsi="宋体" w:eastAsia="宋体" w:cs="宋体"/>
                <w:spacing w:val="9"/>
                <w:position w:val="1"/>
                <w:sz w:val="18"/>
                <w:szCs w:val="18"/>
              </w:rPr>
              <w:t>&gt;3000</w:t>
            </w:r>
          </w:p>
        </w:tc>
        <w:tc>
          <w:tcPr>
            <w:tcW w:w="1531" w:type="dxa"/>
            <w:vAlign w:val="top"/>
          </w:tcPr>
          <w:p>
            <w:pPr>
              <w:spacing w:before="179" w:line="258" w:lineRule="exact"/>
              <w:ind w:left="529"/>
              <w:rPr>
                <w:rFonts w:ascii="宋体" w:hAnsi="宋体" w:eastAsia="宋体" w:cs="宋体"/>
                <w:sz w:val="18"/>
                <w:szCs w:val="18"/>
              </w:rPr>
            </w:pPr>
            <w:r>
              <w:rPr>
                <w:rFonts w:ascii="宋体" w:hAnsi="宋体" w:eastAsia="宋体" w:cs="宋体"/>
                <w:spacing w:val="9"/>
                <w:position w:val="1"/>
                <w:sz w:val="18"/>
                <w:szCs w:val="18"/>
              </w:rPr>
              <w:t>&gt;1500</w:t>
            </w:r>
          </w:p>
        </w:tc>
        <w:tc>
          <w:tcPr>
            <w:tcW w:w="1551" w:type="dxa"/>
            <w:tcBorders>
              <w:right w:val="single" w:color="000000" w:sz="4" w:space="0"/>
            </w:tcBorders>
            <w:vAlign w:val="top"/>
          </w:tcPr>
          <w:p>
            <w:pPr>
              <w:spacing w:before="174" w:line="257" w:lineRule="exact"/>
              <w:ind w:left="553"/>
              <w:rPr>
                <w:rFonts w:ascii="宋体" w:hAnsi="宋体" w:eastAsia="宋体" w:cs="宋体"/>
                <w:sz w:val="18"/>
                <w:szCs w:val="18"/>
              </w:rPr>
            </w:pPr>
            <w:r>
              <w:rPr>
                <w:rFonts w:ascii="宋体" w:hAnsi="宋体" w:eastAsia="宋体" w:cs="宋体"/>
                <w:spacing w:val="-10"/>
                <w:position w:val="1"/>
                <w:sz w:val="18"/>
                <w:szCs w:val="18"/>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9" w:hRule="atLeast"/>
        </w:trPr>
        <w:tc>
          <w:tcPr>
            <w:tcW w:w="2268" w:type="dxa"/>
            <w:gridSpan w:val="3"/>
            <w:tcBorders>
              <w:left w:val="single" w:color="000000" w:sz="4" w:space="0"/>
            </w:tcBorders>
            <w:vAlign w:val="top"/>
          </w:tcPr>
          <w:p>
            <w:pPr>
              <w:spacing w:before="154" w:line="208" w:lineRule="auto"/>
              <w:ind w:left="777"/>
              <w:rPr>
                <w:rFonts w:ascii="宋体" w:hAnsi="宋体" w:eastAsia="宋体" w:cs="宋体"/>
                <w:sz w:val="18"/>
                <w:szCs w:val="18"/>
              </w:rPr>
            </w:pPr>
            <w:r>
              <w:rPr>
                <w:rFonts w:ascii="宋体" w:hAnsi="宋体" w:eastAsia="宋体" w:cs="宋体"/>
                <w:spacing w:val="-3"/>
                <w:sz w:val="18"/>
                <w:szCs w:val="18"/>
              </w:rPr>
              <w:t>桩基工程</w:t>
            </w:r>
          </w:p>
        </w:tc>
        <w:tc>
          <w:tcPr>
            <w:tcW w:w="1525" w:type="dxa"/>
            <w:vAlign w:val="top"/>
          </w:tcPr>
          <w:p>
            <w:pPr>
              <w:spacing w:before="154" w:line="207" w:lineRule="auto"/>
              <w:ind w:left="585"/>
              <w:rPr>
                <w:rFonts w:ascii="宋体" w:hAnsi="宋体" w:eastAsia="宋体" w:cs="宋体"/>
                <w:sz w:val="18"/>
                <w:szCs w:val="18"/>
              </w:rPr>
            </w:pPr>
            <w:r>
              <w:rPr>
                <w:rFonts w:ascii="宋体" w:hAnsi="宋体" w:eastAsia="宋体" w:cs="宋体"/>
                <w:spacing w:val="-3"/>
                <w:sz w:val="18"/>
                <w:szCs w:val="18"/>
              </w:rPr>
              <w:t>桩长</w:t>
            </w:r>
          </w:p>
        </w:tc>
        <w:tc>
          <w:tcPr>
            <w:tcW w:w="673" w:type="dxa"/>
            <w:vAlign w:val="top"/>
          </w:tcPr>
          <w:p>
            <w:pPr>
              <w:spacing w:before="166" w:line="243" w:lineRule="exact"/>
              <w:ind w:left="292"/>
              <w:rPr>
                <w:rFonts w:ascii="宋体" w:hAnsi="宋体" w:eastAsia="宋体" w:cs="宋体"/>
                <w:sz w:val="18"/>
                <w:szCs w:val="18"/>
              </w:rPr>
            </w:pPr>
            <w:r>
              <w:rPr>
                <w:rFonts w:ascii="宋体" w:hAnsi="宋体" w:eastAsia="宋体" w:cs="宋体"/>
                <w:spacing w:val="2"/>
                <w:w w:val="135"/>
                <w:position w:val="3"/>
                <w:sz w:val="18"/>
                <w:szCs w:val="18"/>
              </w:rPr>
              <w:t>m</w:t>
            </w:r>
          </w:p>
        </w:tc>
        <w:tc>
          <w:tcPr>
            <w:tcW w:w="1531" w:type="dxa"/>
            <w:vAlign w:val="top"/>
          </w:tcPr>
          <w:p>
            <w:pPr>
              <w:spacing w:before="166" w:line="243" w:lineRule="exact"/>
              <w:ind w:left="615"/>
              <w:rPr>
                <w:rFonts w:ascii="宋体" w:hAnsi="宋体" w:eastAsia="宋体" w:cs="宋体"/>
                <w:sz w:val="18"/>
                <w:szCs w:val="18"/>
              </w:rPr>
            </w:pPr>
            <w:r>
              <w:rPr>
                <w:rFonts w:ascii="宋体" w:hAnsi="宋体" w:eastAsia="宋体" w:cs="宋体"/>
                <w:spacing w:val="13"/>
                <w:position w:val="1"/>
                <w:sz w:val="18"/>
                <w:szCs w:val="18"/>
              </w:rPr>
              <w:t>&gt;30</w:t>
            </w:r>
          </w:p>
        </w:tc>
        <w:tc>
          <w:tcPr>
            <w:tcW w:w="1531" w:type="dxa"/>
            <w:vAlign w:val="top"/>
          </w:tcPr>
          <w:p>
            <w:pPr>
              <w:spacing w:before="166" w:line="243" w:lineRule="exact"/>
              <w:ind w:left="620"/>
              <w:rPr>
                <w:rFonts w:ascii="宋体" w:hAnsi="宋体" w:eastAsia="宋体" w:cs="宋体"/>
                <w:sz w:val="18"/>
                <w:szCs w:val="18"/>
              </w:rPr>
            </w:pPr>
            <w:r>
              <w:rPr>
                <w:rFonts w:ascii="宋体" w:hAnsi="宋体" w:eastAsia="宋体" w:cs="宋体"/>
                <w:position w:val="1"/>
                <w:sz w:val="18"/>
                <w:szCs w:val="18"/>
              </w:rPr>
              <w:t>&gt;</w:t>
            </w:r>
            <w:r>
              <w:rPr>
                <w:rFonts w:ascii="宋体" w:hAnsi="宋体" w:eastAsia="宋体" w:cs="宋体"/>
                <w:spacing w:val="-52"/>
                <w:position w:val="1"/>
                <w:sz w:val="18"/>
                <w:szCs w:val="18"/>
              </w:rPr>
              <w:t xml:space="preserve"> </w:t>
            </w:r>
            <w:r>
              <w:rPr>
                <w:rFonts w:ascii="宋体" w:hAnsi="宋体" w:eastAsia="宋体" w:cs="宋体"/>
                <w:position w:val="1"/>
                <w:sz w:val="18"/>
                <w:szCs w:val="18"/>
              </w:rPr>
              <w:t>12</w:t>
            </w:r>
          </w:p>
        </w:tc>
        <w:tc>
          <w:tcPr>
            <w:tcW w:w="1551" w:type="dxa"/>
            <w:tcBorders>
              <w:right w:val="single" w:color="000000" w:sz="4" w:space="0"/>
            </w:tcBorders>
            <w:vAlign w:val="top"/>
          </w:tcPr>
          <w:p>
            <w:pPr>
              <w:spacing w:before="164" w:line="245" w:lineRule="exact"/>
              <w:ind w:left="644"/>
              <w:rPr>
                <w:rFonts w:ascii="宋体" w:hAnsi="宋体" w:eastAsia="宋体" w:cs="宋体"/>
                <w:sz w:val="18"/>
                <w:szCs w:val="18"/>
              </w:rPr>
            </w:pPr>
            <w:r>
              <w:rPr>
                <w:rFonts w:ascii="宋体" w:hAnsi="宋体" w:eastAsia="宋体" w:cs="宋体"/>
                <w:spacing w:val="-15"/>
                <w:position w:val="1"/>
                <w:sz w:val="18"/>
                <w:szCs w:val="18"/>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4" w:hRule="atLeast"/>
        </w:trPr>
        <w:tc>
          <w:tcPr>
            <w:tcW w:w="2268" w:type="dxa"/>
            <w:gridSpan w:val="3"/>
            <w:tcBorders>
              <w:left w:val="single" w:color="000000" w:sz="4" w:space="0"/>
              <w:bottom w:val="single" w:color="000000" w:sz="4" w:space="0"/>
            </w:tcBorders>
            <w:vAlign w:val="top"/>
          </w:tcPr>
          <w:p>
            <w:pPr>
              <w:spacing w:before="260" w:line="213" w:lineRule="auto"/>
              <w:ind w:left="507"/>
              <w:rPr>
                <w:rFonts w:ascii="宋体" w:hAnsi="宋体" w:eastAsia="宋体" w:cs="宋体"/>
                <w:sz w:val="18"/>
                <w:szCs w:val="18"/>
              </w:rPr>
            </w:pPr>
            <w:r>
              <w:rPr>
                <w:rFonts w:ascii="宋体" w:hAnsi="宋体" w:eastAsia="宋体" w:cs="宋体"/>
                <w:spacing w:val="-4"/>
                <w:sz w:val="18"/>
                <w:szCs w:val="18"/>
              </w:rPr>
              <w:t>单独土石方工程</w:t>
            </w:r>
          </w:p>
        </w:tc>
        <w:tc>
          <w:tcPr>
            <w:tcW w:w="1525" w:type="dxa"/>
            <w:tcBorders>
              <w:bottom w:val="single" w:color="000000" w:sz="4" w:space="0"/>
            </w:tcBorders>
            <w:vAlign w:val="top"/>
          </w:tcPr>
          <w:p>
            <w:pPr>
              <w:spacing w:before="262" w:line="210" w:lineRule="auto"/>
              <w:ind w:left="500"/>
              <w:rPr>
                <w:rFonts w:ascii="宋体" w:hAnsi="宋体" w:eastAsia="宋体" w:cs="宋体"/>
                <w:sz w:val="18"/>
                <w:szCs w:val="18"/>
              </w:rPr>
            </w:pPr>
            <w:r>
              <w:rPr>
                <w:rFonts w:ascii="宋体" w:hAnsi="宋体" w:eastAsia="宋体" w:cs="宋体"/>
                <w:spacing w:val="-5"/>
                <w:sz w:val="18"/>
                <w:szCs w:val="18"/>
              </w:rPr>
              <w:t>土石方</w:t>
            </w:r>
          </w:p>
        </w:tc>
        <w:tc>
          <w:tcPr>
            <w:tcW w:w="673" w:type="dxa"/>
            <w:tcBorders>
              <w:bottom w:val="single" w:color="000000" w:sz="4" w:space="0"/>
            </w:tcBorders>
            <w:vAlign w:val="top"/>
          </w:tcPr>
          <w:p>
            <w:pPr>
              <w:pStyle w:val="6"/>
              <w:spacing w:before="273" w:line="256" w:lineRule="exact"/>
              <w:ind w:left="270"/>
              <w:rPr>
                <w:sz w:val="18"/>
                <w:szCs w:val="18"/>
              </w:rPr>
            </w:pPr>
            <w:r>
              <w:rPr>
                <w:rFonts w:ascii="宋体" w:hAnsi="宋体" w:eastAsia="宋体" w:cs="宋体"/>
                <w:spacing w:val="17"/>
                <w:position w:val="1"/>
                <w:sz w:val="18"/>
                <w:szCs w:val="18"/>
              </w:rPr>
              <w:t>m</w:t>
            </w:r>
            <w:r>
              <w:rPr>
                <w:spacing w:val="17"/>
                <w:position w:val="1"/>
                <w:sz w:val="18"/>
                <w:szCs w:val="18"/>
              </w:rPr>
              <w:t>3</w:t>
            </w:r>
          </w:p>
        </w:tc>
        <w:tc>
          <w:tcPr>
            <w:tcW w:w="1531" w:type="dxa"/>
            <w:tcBorders>
              <w:bottom w:val="single" w:color="000000" w:sz="4" w:space="0"/>
            </w:tcBorders>
            <w:vAlign w:val="top"/>
          </w:tcPr>
          <w:p>
            <w:pPr>
              <w:spacing w:before="273" w:line="260" w:lineRule="exact"/>
              <w:ind w:left="479"/>
              <w:rPr>
                <w:rFonts w:ascii="宋体" w:hAnsi="宋体" w:eastAsia="宋体" w:cs="宋体"/>
                <w:sz w:val="18"/>
                <w:szCs w:val="18"/>
              </w:rPr>
            </w:pPr>
            <w:r>
              <w:rPr>
                <w:rFonts w:ascii="宋体" w:hAnsi="宋体" w:eastAsia="宋体" w:cs="宋体"/>
                <w:spacing w:val="7"/>
                <w:position w:val="1"/>
                <w:sz w:val="18"/>
                <w:szCs w:val="18"/>
              </w:rPr>
              <w:t>&gt;30000</w:t>
            </w:r>
          </w:p>
        </w:tc>
        <w:tc>
          <w:tcPr>
            <w:tcW w:w="1531" w:type="dxa"/>
            <w:tcBorders>
              <w:bottom w:val="single" w:color="000000" w:sz="4" w:space="0"/>
            </w:tcBorders>
            <w:vAlign w:val="top"/>
          </w:tcPr>
          <w:p>
            <w:pPr>
              <w:spacing w:before="273" w:line="260" w:lineRule="exact"/>
              <w:ind w:left="484"/>
              <w:rPr>
                <w:rFonts w:ascii="宋体" w:hAnsi="宋体" w:eastAsia="宋体" w:cs="宋体"/>
                <w:sz w:val="18"/>
                <w:szCs w:val="18"/>
              </w:rPr>
            </w:pPr>
            <w:r>
              <w:rPr>
                <w:rFonts w:ascii="宋体" w:hAnsi="宋体" w:eastAsia="宋体" w:cs="宋体"/>
                <w:spacing w:val="7"/>
                <w:position w:val="1"/>
                <w:sz w:val="18"/>
                <w:szCs w:val="18"/>
              </w:rPr>
              <w:t>&gt;12000</w:t>
            </w:r>
          </w:p>
        </w:tc>
        <w:tc>
          <w:tcPr>
            <w:tcW w:w="1551" w:type="dxa"/>
            <w:tcBorders>
              <w:bottom w:val="single" w:color="000000" w:sz="4" w:space="0"/>
              <w:right w:val="single" w:color="000000" w:sz="4" w:space="0"/>
            </w:tcBorders>
            <w:vAlign w:val="top"/>
          </w:tcPr>
          <w:p>
            <w:pPr>
              <w:spacing w:before="239" w:line="257" w:lineRule="exact"/>
              <w:ind w:left="459"/>
              <w:rPr>
                <w:rFonts w:ascii="宋体" w:hAnsi="宋体" w:eastAsia="宋体" w:cs="宋体"/>
                <w:sz w:val="18"/>
                <w:szCs w:val="18"/>
              </w:rPr>
            </w:pPr>
            <w:r>
              <w:rPr>
                <w:rFonts w:ascii="宋体" w:hAnsi="宋体" w:eastAsia="宋体" w:cs="宋体"/>
                <w:spacing w:val="-10"/>
                <w:position w:val="1"/>
                <w:sz w:val="18"/>
                <w:szCs w:val="18"/>
              </w:rPr>
              <w:t>≤</w:t>
            </w:r>
            <w:r>
              <w:rPr>
                <w:rFonts w:ascii="宋体" w:hAnsi="宋体" w:eastAsia="宋体" w:cs="宋体"/>
                <w:spacing w:val="23"/>
                <w:position w:val="1"/>
                <w:sz w:val="18"/>
                <w:szCs w:val="18"/>
              </w:rPr>
              <w:t xml:space="preserve"> </w:t>
            </w:r>
            <w:r>
              <w:rPr>
                <w:rFonts w:ascii="宋体" w:hAnsi="宋体" w:eastAsia="宋体" w:cs="宋体"/>
                <w:spacing w:val="-10"/>
                <w:position w:val="1"/>
                <w:sz w:val="18"/>
                <w:szCs w:val="18"/>
              </w:rPr>
              <w:t>12000</w:t>
            </w:r>
          </w:p>
        </w:tc>
      </w:tr>
    </w:tbl>
    <w:p>
      <w:pPr>
        <w:rPr>
          <w:rFonts w:ascii="Arial"/>
          <w:sz w:val="21"/>
        </w:rPr>
      </w:pPr>
    </w:p>
    <w:p>
      <w:pPr>
        <w:rPr>
          <w:rFonts w:ascii="Arial" w:hAnsi="Arial" w:eastAsia="Arial" w:cs="Arial"/>
          <w:sz w:val="21"/>
          <w:szCs w:val="21"/>
        </w:rPr>
        <w:sectPr>
          <w:footerReference r:id="rId227" w:type="default"/>
          <w:pgSz w:w="11905" w:h="16840"/>
          <w:pgMar w:top="400" w:right="1390" w:bottom="1213" w:left="1424" w:header="0" w:footer="898" w:gutter="0"/>
        </w:sectPr>
      </w:pPr>
    </w:p>
    <w:p>
      <w:pPr>
        <w:spacing w:line="319" w:lineRule="auto"/>
        <w:rPr>
          <w:rFonts w:ascii="Arial"/>
          <w:sz w:val="21"/>
        </w:rPr>
      </w:pPr>
    </w:p>
    <w:p>
      <w:pPr>
        <w:spacing w:line="319" w:lineRule="auto"/>
        <w:rPr>
          <w:rFonts w:ascii="Arial"/>
          <w:sz w:val="21"/>
        </w:rPr>
      </w:pPr>
    </w:p>
    <w:p>
      <w:pPr>
        <w:spacing w:line="320" w:lineRule="auto"/>
        <w:rPr>
          <w:rFonts w:ascii="Arial"/>
          <w:sz w:val="21"/>
        </w:rPr>
      </w:pPr>
    </w:p>
    <w:p>
      <w:pPr>
        <w:spacing w:before="78" w:line="218" w:lineRule="auto"/>
        <w:ind w:left="508"/>
        <w:rPr>
          <w:rFonts w:ascii="KaiTi_GB2312" w:hAnsi="KaiTi_GB2312" w:eastAsia="KaiTi_GB2312" w:cs="KaiTi_GB2312"/>
          <w:sz w:val="24"/>
          <w:szCs w:val="24"/>
        </w:rPr>
      </w:pPr>
      <w:r>
        <w:rPr>
          <w:rFonts w:ascii="KaiTi_GB2312" w:hAnsi="KaiTi_GB2312" w:eastAsia="KaiTi_GB2312" w:cs="KaiTi_GB2312"/>
          <w:spacing w:val="11"/>
          <w:sz w:val="24"/>
          <w:szCs w:val="24"/>
        </w:rPr>
        <w:t>（二）建筑工程类别划分说明</w:t>
      </w:r>
    </w:p>
    <w:p>
      <w:pPr>
        <w:spacing w:before="217" w:line="223" w:lineRule="auto"/>
        <w:ind w:left="428"/>
        <w:rPr>
          <w:rFonts w:ascii="宋体" w:hAnsi="宋体" w:eastAsia="宋体" w:cs="宋体"/>
          <w:sz w:val="20"/>
          <w:szCs w:val="20"/>
        </w:rPr>
      </w:pPr>
      <w:r>
        <w:rPr>
          <w:rFonts w:ascii="宋体" w:hAnsi="宋体" w:eastAsia="宋体" w:cs="宋体"/>
          <w:spacing w:val="9"/>
          <w:sz w:val="20"/>
          <w:szCs w:val="20"/>
        </w:rPr>
        <w:t>工程类别划分标准中有两个指标的，确定类别时需满足其中一项指标。</w:t>
      </w:r>
    </w:p>
    <w:p>
      <w:pPr>
        <w:spacing w:before="116" w:line="332" w:lineRule="auto"/>
        <w:ind w:left="4" w:right="143" w:firstLine="453"/>
        <w:jc w:val="both"/>
        <w:rPr>
          <w:rFonts w:ascii="宋体" w:hAnsi="宋体" w:eastAsia="宋体" w:cs="宋体"/>
          <w:sz w:val="20"/>
          <w:szCs w:val="20"/>
        </w:rPr>
      </w:pPr>
      <w:r>
        <w:rPr>
          <w:rFonts w:ascii="宋体" w:hAnsi="宋体" w:eastAsia="宋体" w:cs="宋体"/>
          <w:spacing w:val="6"/>
          <w:sz w:val="20"/>
          <w:szCs w:val="20"/>
        </w:rPr>
        <w:t>1. 建筑工程确定类别时，应首先确定工程类型。工程类型</w:t>
      </w:r>
      <w:r>
        <w:rPr>
          <w:rFonts w:ascii="宋体" w:hAnsi="宋体" w:eastAsia="宋体" w:cs="宋体"/>
          <w:spacing w:val="5"/>
          <w:sz w:val="20"/>
          <w:szCs w:val="20"/>
        </w:rPr>
        <w:t>按工业厂房工程、民用建筑工程、构</w:t>
      </w:r>
      <w:r>
        <w:rPr>
          <w:rFonts w:ascii="宋体" w:hAnsi="宋体" w:eastAsia="宋体" w:cs="宋体"/>
          <w:spacing w:val="9"/>
          <w:sz w:val="20"/>
          <w:szCs w:val="20"/>
        </w:rPr>
        <w:t>筑物工程、桩基工程、单独土石方工程等五个类型分列。同一单体建筑工程包含多个工程类型时，按建（构）筑物主要功能确定其工程类别。</w:t>
      </w:r>
    </w:p>
    <w:p>
      <w:pPr>
        <w:spacing w:line="277" w:lineRule="exact"/>
        <w:ind w:left="426"/>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9"/>
          <w:position w:val="1"/>
          <w:sz w:val="20"/>
          <w:szCs w:val="20"/>
        </w:rPr>
        <w:t xml:space="preserve"> </w:t>
      </w:r>
      <w:r>
        <w:rPr>
          <w:rFonts w:ascii="宋体" w:hAnsi="宋体" w:eastAsia="宋体" w:cs="宋体"/>
          <w:spacing w:val="8"/>
          <w:position w:val="1"/>
          <w:sz w:val="20"/>
          <w:szCs w:val="20"/>
        </w:rPr>
        <w:t>1）工业厂房工程：直接从事物质生产的</w:t>
      </w:r>
      <w:r>
        <w:rPr>
          <w:rFonts w:ascii="宋体" w:hAnsi="宋体" w:eastAsia="宋体" w:cs="宋体"/>
          <w:spacing w:val="7"/>
          <w:position w:val="1"/>
          <w:sz w:val="20"/>
          <w:szCs w:val="20"/>
        </w:rPr>
        <w:t>生产厂房或生产车间。</w:t>
      </w:r>
    </w:p>
    <w:p>
      <w:pPr>
        <w:spacing w:before="85" w:line="331" w:lineRule="auto"/>
        <w:ind w:left="7" w:right="242" w:firstLine="419"/>
        <w:rPr>
          <w:rFonts w:ascii="宋体" w:hAnsi="宋体" w:eastAsia="宋体" w:cs="宋体"/>
          <w:sz w:val="20"/>
          <w:szCs w:val="20"/>
        </w:rPr>
      </w:pPr>
      <w:r>
        <w:rPr>
          <w:rFonts w:ascii="宋体" w:hAnsi="宋体" w:eastAsia="宋体" w:cs="宋体"/>
          <w:spacing w:val="12"/>
          <w:sz w:val="20"/>
          <w:szCs w:val="20"/>
        </w:rPr>
        <w:t>工业建筑中，为物质生产配套和服务的实验室、化验室、食堂、宿舍、医疗、卫</w:t>
      </w:r>
      <w:r>
        <w:rPr>
          <w:rFonts w:ascii="宋体" w:hAnsi="宋体" w:eastAsia="宋体" w:cs="宋体"/>
          <w:spacing w:val="11"/>
          <w:sz w:val="20"/>
          <w:szCs w:val="20"/>
        </w:rPr>
        <w:t>生及管理用</w:t>
      </w:r>
      <w:r>
        <w:rPr>
          <w:rFonts w:ascii="宋体" w:hAnsi="宋体" w:eastAsia="宋体" w:cs="宋体"/>
          <w:spacing w:val="9"/>
          <w:sz w:val="20"/>
          <w:szCs w:val="20"/>
        </w:rPr>
        <w:t>房等独立建筑物，按民用建筑工程确定工程类别。</w:t>
      </w:r>
    </w:p>
    <w:p>
      <w:pPr>
        <w:spacing w:line="277" w:lineRule="exact"/>
        <w:ind w:left="426"/>
        <w:rPr>
          <w:rFonts w:ascii="宋体" w:hAnsi="宋体" w:eastAsia="宋体" w:cs="宋体"/>
          <w:sz w:val="20"/>
          <w:szCs w:val="20"/>
        </w:rPr>
      </w:pPr>
      <w:r>
        <w:rPr>
          <w:rFonts w:ascii="宋体" w:hAnsi="宋体" w:eastAsia="宋体" w:cs="宋体"/>
          <w:spacing w:val="10"/>
          <w:position w:val="1"/>
          <w:sz w:val="20"/>
          <w:szCs w:val="20"/>
        </w:rPr>
        <w:t>（2）民用建筑工程：直接用于满足人们物质</w:t>
      </w:r>
      <w:r>
        <w:rPr>
          <w:rFonts w:ascii="宋体" w:hAnsi="宋体" w:eastAsia="宋体" w:cs="宋体"/>
          <w:spacing w:val="9"/>
          <w:position w:val="1"/>
          <w:sz w:val="20"/>
          <w:szCs w:val="20"/>
        </w:rPr>
        <w:t>和文化生活需要的非生产性建筑物。</w:t>
      </w:r>
    </w:p>
    <w:p>
      <w:pPr>
        <w:spacing w:before="83" w:line="278" w:lineRule="auto"/>
        <w:ind w:right="169" w:firstLine="426"/>
        <w:rPr>
          <w:rFonts w:ascii="宋体" w:hAnsi="宋体" w:eastAsia="宋体" w:cs="宋体"/>
          <w:sz w:val="20"/>
          <w:szCs w:val="20"/>
        </w:rPr>
      </w:pPr>
      <w:r>
        <w:rPr>
          <w:rFonts w:ascii="宋体" w:hAnsi="宋体" w:eastAsia="宋体" w:cs="宋体"/>
          <w:spacing w:val="11"/>
          <w:sz w:val="20"/>
          <w:szCs w:val="20"/>
        </w:rPr>
        <w:t>（3）构筑物工程：与工业或民用建筑配套、并独立于工业与民用建筑之外，如烟囱、</w:t>
      </w:r>
      <w:r>
        <w:rPr>
          <w:rFonts w:ascii="宋体" w:hAnsi="宋体" w:eastAsia="宋体" w:cs="宋体"/>
          <w:spacing w:val="10"/>
          <w:sz w:val="20"/>
          <w:szCs w:val="20"/>
        </w:rPr>
        <w:t>水塔、</w:t>
      </w:r>
      <w:r>
        <w:rPr>
          <w:rFonts w:ascii="宋体" w:hAnsi="宋体" w:eastAsia="宋体" w:cs="宋体"/>
          <w:spacing w:val="8"/>
          <w:sz w:val="20"/>
          <w:szCs w:val="20"/>
        </w:rPr>
        <w:t>贮仓、水池等工程。</w:t>
      </w:r>
    </w:p>
    <w:p>
      <w:pPr>
        <w:spacing w:before="117" w:line="296" w:lineRule="auto"/>
        <w:ind w:left="6" w:right="144" w:firstLine="420"/>
        <w:rPr>
          <w:rFonts w:ascii="宋体" w:hAnsi="宋体" w:eastAsia="宋体" w:cs="宋体"/>
          <w:sz w:val="20"/>
          <w:szCs w:val="20"/>
        </w:rPr>
      </w:pPr>
      <w:r>
        <w:rPr>
          <w:rFonts w:ascii="宋体" w:hAnsi="宋体" w:eastAsia="宋体" w:cs="宋体"/>
          <w:spacing w:val="12"/>
          <w:sz w:val="20"/>
          <w:szCs w:val="20"/>
        </w:rPr>
        <w:t>（4）桩基工程：浅基础不能满足建筑物的稳定性</w:t>
      </w:r>
      <w:r>
        <w:rPr>
          <w:rFonts w:ascii="宋体" w:hAnsi="宋体" w:eastAsia="宋体" w:cs="宋体"/>
          <w:spacing w:val="11"/>
          <w:sz w:val="20"/>
          <w:szCs w:val="20"/>
        </w:rPr>
        <w:t>要求而采用的一种深基础工艺，主要包括各种现浇和预制混凝土桩、 以及其他材质的桩基础。桩基础工程类别适用于单独发承包桩基础工程</w:t>
      </w:r>
      <w:r>
        <w:rPr>
          <w:rFonts w:ascii="宋体" w:hAnsi="宋体" w:eastAsia="宋体" w:cs="宋体"/>
          <w:spacing w:val="6"/>
          <w:sz w:val="20"/>
          <w:szCs w:val="20"/>
        </w:rPr>
        <w:t>的情况。</w:t>
      </w:r>
    </w:p>
    <w:p>
      <w:pPr>
        <w:spacing w:before="119" w:line="294" w:lineRule="auto"/>
        <w:ind w:left="6" w:right="146" w:firstLine="420"/>
        <w:rPr>
          <w:rFonts w:ascii="宋体" w:hAnsi="宋体" w:eastAsia="宋体" w:cs="宋体"/>
          <w:sz w:val="20"/>
          <w:szCs w:val="20"/>
        </w:rPr>
      </w:pPr>
      <w:r>
        <w:rPr>
          <w:rFonts w:ascii="宋体" w:hAnsi="宋体" w:eastAsia="宋体" w:cs="宋体"/>
          <w:spacing w:val="9"/>
          <w:sz w:val="20"/>
          <w:szCs w:val="20"/>
        </w:rPr>
        <w:t>（5）单独土石方工程：单独发承包的，为使施工场地达到预设标高（设计室外</w:t>
      </w:r>
      <w:r>
        <w:rPr>
          <w:rFonts w:ascii="宋体" w:hAnsi="宋体" w:eastAsia="宋体" w:cs="宋体"/>
          <w:spacing w:val="8"/>
          <w:sz w:val="20"/>
          <w:szCs w:val="20"/>
        </w:rPr>
        <w:t>标高/设计室外</w:t>
      </w:r>
      <w:r>
        <w:rPr>
          <w:rFonts w:ascii="宋体" w:hAnsi="宋体" w:eastAsia="宋体" w:cs="宋体"/>
          <w:spacing w:val="7"/>
          <w:sz w:val="20"/>
          <w:szCs w:val="20"/>
        </w:rPr>
        <w:t>地面做法底标高/委托人指定标高）所进行的土石方工程。</w:t>
      </w:r>
    </w:p>
    <w:p>
      <w:pPr>
        <w:spacing w:before="82" w:line="278" w:lineRule="exact"/>
        <w:ind w:left="429"/>
        <w:rPr>
          <w:rFonts w:ascii="宋体" w:hAnsi="宋体" w:eastAsia="宋体" w:cs="宋体"/>
          <w:sz w:val="20"/>
          <w:szCs w:val="20"/>
        </w:rPr>
      </w:pPr>
      <w:r>
        <w:rPr>
          <w:rFonts w:ascii="宋体" w:hAnsi="宋体" w:eastAsia="宋体" w:cs="宋体"/>
          <w:spacing w:val="4"/>
          <w:position w:val="1"/>
          <w:sz w:val="20"/>
          <w:szCs w:val="20"/>
        </w:rPr>
        <w:t>2. 房屋建筑工程的结构形式</w:t>
      </w:r>
    </w:p>
    <w:p>
      <w:pPr>
        <w:spacing w:before="82" w:line="277" w:lineRule="exact"/>
        <w:ind w:left="426"/>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9"/>
          <w:position w:val="1"/>
          <w:sz w:val="20"/>
          <w:szCs w:val="20"/>
        </w:rPr>
        <w:t xml:space="preserve"> </w:t>
      </w:r>
      <w:r>
        <w:rPr>
          <w:rFonts w:ascii="宋体" w:hAnsi="宋体" w:eastAsia="宋体" w:cs="宋体"/>
          <w:spacing w:val="8"/>
          <w:position w:val="1"/>
          <w:sz w:val="20"/>
          <w:szCs w:val="20"/>
        </w:rPr>
        <w:t>1）钢结构是指柱、梁（屋架）、板等承重构件用钢材制作的建</w:t>
      </w:r>
      <w:r>
        <w:rPr>
          <w:rFonts w:ascii="宋体" w:hAnsi="宋体" w:eastAsia="宋体" w:cs="宋体"/>
          <w:spacing w:val="7"/>
          <w:position w:val="1"/>
          <w:sz w:val="20"/>
          <w:szCs w:val="20"/>
        </w:rPr>
        <w:t>筑物。</w:t>
      </w:r>
    </w:p>
    <w:p>
      <w:pPr>
        <w:spacing w:before="83" w:line="277" w:lineRule="exact"/>
        <w:jc w:val="right"/>
        <w:rPr>
          <w:rFonts w:ascii="宋体" w:hAnsi="宋体" w:eastAsia="宋体" w:cs="宋体"/>
          <w:sz w:val="20"/>
          <w:szCs w:val="20"/>
        </w:rPr>
      </w:pPr>
      <w:r>
        <w:rPr>
          <w:rFonts w:ascii="宋体" w:hAnsi="宋体" w:eastAsia="宋体" w:cs="宋体"/>
          <w:spacing w:val="5"/>
          <w:position w:val="1"/>
          <w:sz w:val="20"/>
          <w:szCs w:val="20"/>
        </w:rPr>
        <w:t>（2）混凝土结构是指柱、梁（屋架）、板等承重构件用现浇或预制的钢筋混凝土制作的建筑物。</w:t>
      </w:r>
    </w:p>
    <w:p>
      <w:pPr>
        <w:spacing w:before="83" w:line="278" w:lineRule="exact"/>
        <w:ind w:left="426"/>
        <w:rPr>
          <w:rFonts w:ascii="宋体" w:hAnsi="宋体" w:eastAsia="宋体" w:cs="宋体"/>
          <w:sz w:val="20"/>
          <w:szCs w:val="20"/>
        </w:rPr>
      </w:pPr>
      <w:r>
        <w:rPr>
          <w:rFonts w:ascii="宋体" w:hAnsi="宋体" w:eastAsia="宋体" w:cs="宋体"/>
          <w:spacing w:val="9"/>
          <w:position w:val="1"/>
          <w:sz w:val="20"/>
          <w:szCs w:val="20"/>
        </w:rPr>
        <w:t>（3）同一建筑物结构形式不同时，按建筑面积大的结构形式确定其工程类别。</w:t>
      </w:r>
    </w:p>
    <w:p>
      <w:pPr>
        <w:spacing w:before="82" w:line="278" w:lineRule="exact"/>
        <w:ind w:left="432"/>
        <w:rPr>
          <w:rFonts w:ascii="宋体" w:hAnsi="宋体" w:eastAsia="宋体" w:cs="宋体"/>
          <w:sz w:val="20"/>
          <w:szCs w:val="20"/>
        </w:rPr>
      </w:pPr>
      <w:r>
        <w:rPr>
          <w:rFonts w:ascii="宋体" w:hAnsi="宋体" w:eastAsia="宋体" w:cs="宋体"/>
          <w:spacing w:val="-4"/>
          <w:position w:val="1"/>
          <w:sz w:val="20"/>
          <w:szCs w:val="20"/>
        </w:rPr>
        <w:t>3.</w:t>
      </w:r>
      <w:r>
        <w:rPr>
          <w:rFonts w:ascii="宋体" w:hAnsi="宋体" w:eastAsia="宋体" w:cs="宋体"/>
          <w:spacing w:val="13"/>
          <w:position w:val="1"/>
          <w:sz w:val="20"/>
          <w:szCs w:val="20"/>
        </w:rPr>
        <w:t xml:space="preserve"> </w:t>
      </w:r>
      <w:r>
        <w:rPr>
          <w:rFonts w:ascii="宋体" w:hAnsi="宋体" w:eastAsia="宋体" w:cs="宋体"/>
          <w:spacing w:val="-4"/>
          <w:position w:val="1"/>
          <w:sz w:val="20"/>
          <w:szCs w:val="20"/>
        </w:rPr>
        <w:t>工程特征</w:t>
      </w:r>
    </w:p>
    <w:p>
      <w:pPr>
        <w:spacing w:before="83" w:line="294" w:lineRule="auto"/>
        <w:ind w:left="10" w:right="144" w:firstLine="416"/>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37"/>
          <w:sz w:val="20"/>
          <w:szCs w:val="20"/>
        </w:rPr>
        <w:t xml:space="preserve"> </w:t>
      </w:r>
      <w:r>
        <w:rPr>
          <w:rFonts w:ascii="宋体" w:hAnsi="宋体" w:eastAsia="宋体" w:cs="宋体"/>
          <w:spacing w:val="10"/>
          <w:sz w:val="20"/>
          <w:szCs w:val="20"/>
        </w:rPr>
        <w:t>1）建筑物檐高是指设计室外地坪至檐口滴水（或屋面板板顶）的高度。突出建筑物主体屋</w:t>
      </w:r>
      <w:r>
        <w:rPr>
          <w:rFonts w:ascii="宋体" w:hAnsi="宋体" w:eastAsia="宋体" w:cs="宋体"/>
          <w:spacing w:val="9"/>
          <w:sz w:val="20"/>
          <w:szCs w:val="20"/>
        </w:rPr>
        <w:t>面楼梯间、 电梯间、水箱间部分高度不计入檐</w:t>
      </w:r>
      <w:r>
        <w:rPr>
          <w:rFonts w:ascii="宋体" w:hAnsi="宋体" w:eastAsia="宋体" w:cs="宋体"/>
          <w:spacing w:val="8"/>
          <w:sz w:val="20"/>
          <w:szCs w:val="20"/>
        </w:rPr>
        <w:t>口高度。</w:t>
      </w:r>
    </w:p>
    <w:p>
      <w:pPr>
        <w:spacing w:before="82" w:line="277" w:lineRule="exact"/>
        <w:ind w:left="426"/>
        <w:rPr>
          <w:rFonts w:ascii="宋体" w:hAnsi="宋体" w:eastAsia="宋体" w:cs="宋体"/>
          <w:sz w:val="20"/>
          <w:szCs w:val="20"/>
        </w:rPr>
      </w:pPr>
      <w:r>
        <w:rPr>
          <w:rFonts w:ascii="宋体" w:hAnsi="宋体" w:eastAsia="宋体" w:cs="宋体"/>
          <w:spacing w:val="9"/>
          <w:position w:val="1"/>
          <w:sz w:val="20"/>
          <w:szCs w:val="20"/>
        </w:rPr>
        <w:t>（2）建筑物的跨度是指设计图示轴线间的宽度。</w:t>
      </w:r>
    </w:p>
    <w:p>
      <w:pPr>
        <w:spacing w:before="83" w:line="278" w:lineRule="exact"/>
        <w:ind w:left="426"/>
        <w:rPr>
          <w:rFonts w:ascii="宋体" w:hAnsi="宋体" w:eastAsia="宋体" w:cs="宋体"/>
          <w:sz w:val="20"/>
          <w:szCs w:val="20"/>
        </w:rPr>
      </w:pPr>
      <w:r>
        <w:rPr>
          <w:rFonts w:ascii="宋体" w:hAnsi="宋体" w:eastAsia="宋体" w:cs="宋体"/>
          <w:spacing w:val="9"/>
          <w:position w:val="1"/>
          <w:sz w:val="20"/>
          <w:szCs w:val="20"/>
        </w:rPr>
        <w:t>（3）建筑物的建筑面积是按建筑面积计算规范的规定计算。</w:t>
      </w:r>
    </w:p>
    <w:p>
      <w:pPr>
        <w:spacing w:before="82" w:line="278" w:lineRule="exact"/>
        <w:ind w:left="426"/>
        <w:rPr>
          <w:rFonts w:ascii="宋体" w:hAnsi="宋体" w:eastAsia="宋体" w:cs="宋体"/>
          <w:sz w:val="20"/>
          <w:szCs w:val="20"/>
        </w:rPr>
      </w:pPr>
      <w:r>
        <w:rPr>
          <w:rFonts w:ascii="宋体" w:hAnsi="宋体" w:eastAsia="宋体" w:cs="宋体"/>
          <w:spacing w:val="9"/>
          <w:position w:val="1"/>
          <w:sz w:val="20"/>
          <w:szCs w:val="20"/>
        </w:rPr>
        <w:t>（4）构筑物高度是指设计室外地坪至构筑物主体结构顶坪的高度。</w:t>
      </w:r>
    </w:p>
    <w:p>
      <w:pPr>
        <w:spacing w:before="82" w:line="278" w:lineRule="exact"/>
        <w:ind w:left="426"/>
        <w:rPr>
          <w:rFonts w:ascii="宋体" w:hAnsi="宋体" w:eastAsia="宋体" w:cs="宋体"/>
          <w:sz w:val="20"/>
          <w:szCs w:val="20"/>
        </w:rPr>
      </w:pPr>
      <w:r>
        <w:rPr>
          <w:rFonts w:ascii="宋体" w:hAnsi="宋体" w:eastAsia="宋体" w:cs="宋体"/>
          <w:spacing w:val="9"/>
          <w:position w:val="1"/>
          <w:sz w:val="20"/>
          <w:szCs w:val="20"/>
        </w:rPr>
        <w:t>（5）构筑物的容积是指设计净容积。</w:t>
      </w:r>
    </w:p>
    <w:p>
      <w:pPr>
        <w:spacing w:before="82" w:line="278" w:lineRule="exact"/>
        <w:ind w:left="426"/>
        <w:rPr>
          <w:rFonts w:ascii="宋体" w:hAnsi="宋体" w:eastAsia="宋体" w:cs="宋体"/>
          <w:sz w:val="20"/>
          <w:szCs w:val="20"/>
        </w:rPr>
      </w:pPr>
      <w:r>
        <w:rPr>
          <w:rFonts w:ascii="宋体" w:hAnsi="宋体" w:eastAsia="宋体" w:cs="宋体"/>
          <w:spacing w:val="8"/>
          <w:position w:val="1"/>
          <w:sz w:val="20"/>
          <w:szCs w:val="20"/>
        </w:rPr>
        <w:t>（6）桩长是指设计桩长（包括桩尖长度）。</w:t>
      </w:r>
    </w:p>
    <w:p>
      <w:pPr>
        <w:spacing w:before="74" w:line="320" w:lineRule="auto"/>
        <w:ind w:left="7" w:right="146" w:firstLine="414"/>
        <w:rPr>
          <w:rFonts w:ascii="宋体" w:hAnsi="宋体" w:eastAsia="宋体" w:cs="宋体"/>
          <w:sz w:val="20"/>
          <w:szCs w:val="20"/>
        </w:rPr>
      </w:pPr>
      <w:r>
        <w:rPr>
          <w:rFonts w:ascii="宋体" w:hAnsi="宋体" w:eastAsia="宋体" w:cs="宋体"/>
          <w:spacing w:val="6"/>
          <w:sz w:val="20"/>
          <w:szCs w:val="20"/>
        </w:rPr>
        <w:t>4. 与建筑物配套的零星项目，如：水表井、消防水泵接合器井、热力入户井、排水检查井、雨</w:t>
      </w:r>
      <w:r>
        <w:rPr>
          <w:rFonts w:ascii="宋体" w:hAnsi="宋体" w:eastAsia="宋体" w:cs="宋体"/>
          <w:spacing w:val="9"/>
          <w:sz w:val="20"/>
          <w:szCs w:val="20"/>
        </w:rPr>
        <w:t>水沉砂池等，按相应建筑物的类别确定工程类别。</w:t>
      </w:r>
    </w:p>
    <w:p>
      <w:pPr>
        <w:spacing w:before="36" w:line="316" w:lineRule="auto"/>
        <w:ind w:left="4" w:right="156" w:firstLine="420"/>
        <w:rPr>
          <w:rFonts w:ascii="宋体" w:hAnsi="宋体" w:eastAsia="宋体" w:cs="宋体"/>
          <w:sz w:val="20"/>
          <w:szCs w:val="20"/>
        </w:rPr>
      </w:pPr>
      <w:r>
        <w:rPr>
          <w:rFonts w:ascii="宋体" w:hAnsi="宋体" w:eastAsia="宋体" w:cs="宋体"/>
          <w:spacing w:val="9"/>
          <w:sz w:val="20"/>
          <w:szCs w:val="20"/>
        </w:rPr>
        <w:t>其他附属项目，如：场区大门、围墙、挡土墙、庭院甬路、室外地面铺装、室外</w:t>
      </w:r>
      <w:r>
        <w:rPr>
          <w:rFonts w:ascii="宋体" w:hAnsi="宋体" w:eastAsia="宋体" w:cs="宋体"/>
          <w:spacing w:val="8"/>
          <w:sz w:val="20"/>
          <w:szCs w:val="20"/>
        </w:rPr>
        <w:t>管道支架等，按建筑工程Ⅲ类确定工程类别。</w:t>
      </w:r>
    </w:p>
    <w:p>
      <w:pPr>
        <w:spacing w:before="14" w:line="313" w:lineRule="auto"/>
        <w:ind w:left="5" w:right="93" w:firstLine="423"/>
        <w:rPr>
          <w:rFonts w:ascii="宋体" w:hAnsi="宋体" w:eastAsia="宋体" w:cs="宋体"/>
          <w:sz w:val="20"/>
          <w:szCs w:val="20"/>
        </w:rPr>
      </w:pPr>
      <w:r>
        <w:rPr>
          <w:rFonts w:ascii="宋体" w:hAnsi="宋体" w:eastAsia="宋体" w:cs="宋体"/>
          <w:spacing w:val="6"/>
          <w:sz w:val="20"/>
          <w:szCs w:val="20"/>
        </w:rPr>
        <w:t>5. 工业厂房的设备基础，单体混凝土体积＞</w:t>
      </w:r>
      <w:r>
        <w:rPr>
          <w:rFonts w:ascii="宋体" w:hAnsi="宋体" w:eastAsia="宋体" w:cs="宋体"/>
          <w:spacing w:val="-45"/>
          <w:sz w:val="20"/>
          <w:szCs w:val="20"/>
        </w:rPr>
        <w:t xml:space="preserve"> </w:t>
      </w:r>
      <w:r>
        <w:rPr>
          <w:rFonts w:ascii="宋体" w:hAnsi="宋体" w:eastAsia="宋体" w:cs="宋体"/>
          <w:spacing w:val="6"/>
          <w:sz w:val="20"/>
          <w:szCs w:val="20"/>
        </w:rPr>
        <w:t>1000m</w:t>
      </w:r>
      <w:r>
        <w:rPr>
          <w:rFonts w:ascii="宋体" w:hAnsi="宋体" w:eastAsia="宋体" w:cs="宋体"/>
          <w:spacing w:val="6"/>
          <w:position w:val="10"/>
          <w:sz w:val="10"/>
          <w:szCs w:val="10"/>
        </w:rPr>
        <w:t>3</w:t>
      </w:r>
      <w:r>
        <w:rPr>
          <w:rFonts w:ascii="宋体" w:hAnsi="宋体" w:eastAsia="宋体" w:cs="宋体"/>
          <w:spacing w:val="-14"/>
          <w:position w:val="10"/>
          <w:sz w:val="10"/>
          <w:szCs w:val="10"/>
        </w:rPr>
        <w:t xml:space="preserve"> </w:t>
      </w:r>
      <w:r>
        <w:rPr>
          <w:rFonts w:ascii="宋体" w:hAnsi="宋体" w:eastAsia="宋体" w:cs="宋体"/>
          <w:spacing w:val="6"/>
          <w:sz w:val="20"/>
          <w:szCs w:val="20"/>
        </w:rPr>
        <w:t>，按构筑物工程</w:t>
      </w:r>
      <w:r>
        <w:rPr>
          <w:rFonts w:ascii="宋体" w:hAnsi="宋体" w:eastAsia="宋体" w:cs="宋体"/>
          <w:spacing w:val="84"/>
          <w:sz w:val="20"/>
          <w:szCs w:val="20"/>
        </w:rPr>
        <w:t xml:space="preserve"> </w:t>
      </w:r>
      <w:r>
        <w:rPr>
          <w:rFonts w:ascii="宋体" w:hAnsi="宋体" w:eastAsia="宋体" w:cs="宋体"/>
          <w:spacing w:val="6"/>
          <w:sz w:val="20"/>
          <w:szCs w:val="20"/>
        </w:rPr>
        <w:t>Ⅰ类；单体混凝</w:t>
      </w:r>
      <w:r>
        <w:rPr>
          <w:rFonts w:ascii="宋体" w:hAnsi="宋体" w:eastAsia="宋体" w:cs="宋体"/>
          <w:spacing w:val="5"/>
          <w:sz w:val="20"/>
          <w:szCs w:val="20"/>
        </w:rPr>
        <w:t>土体积＞</w:t>
      </w:r>
      <w:r>
        <w:rPr>
          <w:rFonts w:ascii="宋体" w:hAnsi="宋体" w:eastAsia="宋体" w:cs="宋体"/>
          <w:sz w:val="20"/>
          <w:szCs w:val="20"/>
        </w:rPr>
        <w:t xml:space="preserve"> </w:t>
      </w:r>
      <w:r>
        <w:rPr>
          <w:rFonts w:ascii="宋体" w:hAnsi="宋体" w:eastAsia="宋体" w:cs="宋体"/>
          <w:spacing w:val="9"/>
          <w:sz w:val="20"/>
          <w:szCs w:val="20"/>
        </w:rPr>
        <w:t>600m</w:t>
      </w:r>
      <w:r>
        <w:rPr>
          <w:rFonts w:ascii="宋体" w:hAnsi="宋体" w:eastAsia="宋体" w:cs="宋体"/>
          <w:spacing w:val="9"/>
          <w:position w:val="10"/>
          <w:sz w:val="10"/>
          <w:szCs w:val="10"/>
        </w:rPr>
        <w:t>3</w:t>
      </w:r>
      <w:r>
        <w:rPr>
          <w:rFonts w:ascii="宋体" w:hAnsi="宋体" w:eastAsia="宋体" w:cs="宋体"/>
          <w:spacing w:val="-4"/>
          <w:position w:val="10"/>
          <w:sz w:val="10"/>
          <w:szCs w:val="10"/>
        </w:rPr>
        <w:t xml:space="preserve"> </w:t>
      </w:r>
      <w:r>
        <w:rPr>
          <w:rFonts w:ascii="宋体" w:hAnsi="宋体" w:eastAsia="宋体" w:cs="宋体"/>
          <w:spacing w:val="9"/>
          <w:sz w:val="20"/>
          <w:szCs w:val="20"/>
        </w:rPr>
        <w:t>，按构筑物工程Ⅱ类；单体混凝土体积≤600m</w:t>
      </w:r>
      <w:r>
        <w:rPr>
          <w:rFonts w:ascii="宋体" w:hAnsi="宋体" w:eastAsia="宋体" w:cs="宋体"/>
          <w:spacing w:val="9"/>
          <w:position w:val="10"/>
          <w:sz w:val="10"/>
          <w:szCs w:val="10"/>
        </w:rPr>
        <w:t>3</w:t>
      </w:r>
      <w:r>
        <w:rPr>
          <w:rFonts w:ascii="宋体" w:hAnsi="宋体" w:eastAsia="宋体" w:cs="宋体"/>
          <w:spacing w:val="-27"/>
          <w:position w:val="10"/>
          <w:sz w:val="10"/>
          <w:szCs w:val="10"/>
        </w:rPr>
        <w:t xml:space="preserve"> </w:t>
      </w:r>
      <w:r>
        <w:rPr>
          <w:rFonts w:ascii="宋体" w:hAnsi="宋体" w:eastAsia="宋体" w:cs="宋体"/>
          <w:spacing w:val="9"/>
          <w:sz w:val="20"/>
          <w:szCs w:val="20"/>
        </w:rPr>
        <w:t>、且＞</w:t>
      </w:r>
      <w:r>
        <w:rPr>
          <w:rFonts w:ascii="宋体" w:hAnsi="宋体" w:eastAsia="宋体" w:cs="宋体"/>
          <w:spacing w:val="-60"/>
          <w:sz w:val="20"/>
          <w:szCs w:val="20"/>
        </w:rPr>
        <w:t xml:space="preserve"> </w:t>
      </w:r>
      <w:r>
        <w:rPr>
          <w:rFonts w:ascii="宋体" w:hAnsi="宋体" w:eastAsia="宋体" w:cs="宋体"/>
          <w:spacing w:val="9"/>
          <w:sz w:val="20"/>
          <w:szCs w:val="20"/>
        </w:rPr>
        <w:t>50m</w:t>
      </w:r>
      <w:r>
        <w:rPr>
          <w:rFonts w:ascii="宋体" w:hAnsi="宋体" w:eastAsia="宋体" w:cs="宋体"/>
          <w:spacing w:val="9"/>
          <w:position w:val="10"/>
          <w:sz w:val="10"/>
          <w:szCs w:val="10"/>
        </w:rPr>
        <w:t>3</w:t>
      </w:r>
      <w:r>
        <w:rPr>
          <w:rFonts w:ascii="宋体" w:hAnsi="宋体" w:eastAsia="宋体" w:cs="宋体"/>
          <w:spacing w:val="-14"/>
          <w:position w:val="10"/>
          <w:sz w:val="10"/>
          <w:szCs w:val="10"/>
        </w:rPr>
        <w:t xml:space="preserve"> </w:t>
      </w:r>
      <w:r>
        <w:rPr>
          <w:rFonts w:ascii="宋体" w:hAnsi="宋体" w:eastAsia="宋体" w:cs="宋体"/>
          <w:spacing w:val="9"/>
          <w:sz w:val="20"/>
          <w:szCs w:val="20"/>
        </w:rPr>
        <w:t>，按构筑物工程Ⅲ类；单体混凝土体积≤50m</w:t>
      </w:r>
      <w:r>
        <w:rPr>
          <w:rFonts w:ascii="宋体" w:hAnsi="宋体" w:eastAsia="宋体" w:cs="宋体"/>
          <w:spacing w:val="9"/>
          <w:position w:val="10"/>
          <w:sz w:val="10"/>
          <w:szCs w:val="10"/>
        </w:rPr>
        <w:t>3</w:t>
      </w:r>
      <w:r>
        <w:rPr>
          <w:rFonts w:ascii="宋体" w:hAnsi="宋体" w:eastAsia="宋体" w:cs="宋体"/>
          <w:spacing w:val="-13"/>
          <w:position w:val="10"/>
          <w:sz w:val="10"/>
          <w:szCs w:val="10"/>
        </w:rPr>
        <w:t xml:space="preserve"> </w:t>
      </w:r>
      <w:r>
        <w:rPr>
          <w:rFonts w:ascii="宋体" w:hAnsi="宋体" w:eastAsia="宋体" w:cs="宋体"/>
          <w:spacing w:val="9"/>
          <w:sz w:val="20"/>
          <w:szCs w:val="20"/>
        </w:rPr>
        <w:t>，按相应建筑物或构筑物的工程类别确定工程</w:t>
      </w:r>
      <w:r>
        <w:rPr>
          <w:rFonts w:ascii="宋体" w:hAnsi="宋体" w:eastAsia="宋体" w:cs="宋体"/>
          <w:spacing w:val="8"/>
          <w:sz w:val="20"/>
          <w:szCs w:val="20"/>
        </w:rPr>
        <w:t>类别。</w:t>
      </w:r>
    </w:p>
    <w:p>
      <w:pPr>
        <w:spacing w:before="83" w:line="277" w:lineRule="exact"/>
        <w:ind w:left="428"/>
        <w:rPr>
          <w:rFonts w:ascii="宋体" w:hAnsi="宋体" w:eastAsia="宋体" w:cs="宋体"/>
          <w:sz w:val="20"/>
          <w:szCs w:val="20"/>
        </w:rPr>
      </w:pPr>
      <w:r>
        <w:rPr>
          <w:rFonts w:ascii="宋体" w:hAnsi="宋体" w:eastAsia="宋体" w:cs="宋体"/>
          <w:spacing w:val="7"/>
          <w:position w:val="1"/>
          <w:sz w:val="20"/>
          <w:szCs w:val="20"/>
        </w:rPr>
        <w:t>6. 单独发承包的强夯工程按单独土石方工程Ⅱ类确定工程类别。</w:t>
      </w:r>
    </w:p>
    <w:p>
      <w:pPr>
        <w:spacing w:line="277" w:lineRule="exact"/>
        <w:rPr>
          <w:rFonts w:ascii="宋体" w:hAnsi="宋体" w:eastAsia="宋体" w:cs="宋体"/>
          <w:sz w:val="20"/>
          <w:szCs w:val="20"/>
        </w:rPr>
        <w:sectPr>
          <w:footerReference r:id="rId228" w:type="default"/>
          <w:pgSz w:w="11905" w:h="16840"/>
          <w:pgMar w:top="400" w:right="1342" w:bottom="1213" w:left="1416" w:header="0" w:footer="898" w:gutter="0"/>
        </w:sect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78" w:line="222" w:lineRule="auto"/>
        <w:ind w:left="478"/>
        <w:rPr>
          <w:rFonts w:ascii="黑体" w:hAnsi="黑体" w:eastAsia="黑体" w:cs="黑体"/>
          <w:sz w:val="24"/>
          <w:szCs w:val="24"/>
        </w:rPr>
      </w:pPr>
      <w:r>
        <w:rPr>
          <w:rFonts w:ascii="黑体" w:hAnsi="黑体" w:eastAsia="黑体" w:cs="黑体"/>
          <w:spacing w:val="-7"/>
          <w:sz w:val="24"/>
          <w:szCs w:val="24"/>
        </w:rPr>
        <w:t>二、装饰工程</w:t>
      </w:r>
    </w:p>
    <w:p>
      <w:pPr>
        <w:spacing w:before="120" w:line="214" w:lineRule="auto"/>
        <w:ind w:left="422"/>
        <w:rPr>
          <w:rFonts w:ascii="KaiTi_GB2312" w:hAnsi="KaiTi_GB2312" w:eastAsia="KaiTi_GB2312" w:cs="KaiTi_GB2312"/>
          <w:sz w:val="24"/>
          <w:szCs w:val="24"/>
        </w:rPr>
      </w:pPr>
      <w:r>
        <w:rPr>
          <w:rFonts w:ascii="KaiTi_GB2312" w:hAnsi="KaiTi_GB2312" w:eastAsia="KaiTi_GB2312" w:cs="KaiTi_GB2312"/>
          <w:spacing w:val="7"/>
          <w:sz w:val="24"/>
          <w:szCs w:val="24"/>
        </w:rPr>
        <w:t>（</w:t>
      </w:r>
      <w:r>
        <w:rPr>
          <w:rFonts w:ascii="KaiTi_GB2312" w:hAnsi="KaiTi_GB2312" w:eastAsia="KaiTi_GB2312" w:cs="KaiTi_GB2312"/>
          <w:spacing w:val="-59"/>
          <w:sz w:val="24"/>
          <w:szCs w:val="24"/>
        </w:rPr>
        <w:t xml:space="preserve"> </w:t>
      </w:r>
      <w:r>
        <w:rPr>
          <w:rFonts w:ascii="KaiTi_GB2312" w:hAnsi="KaiTi_GB2312" w:eastAsia="KaiTi_GB2312" w:cs="KaiTi_GB2312"/>
          <w:spacing w:val="7"/>
          <w:sz w:val="24"/>
          <w:szCs w:val="24"/>
        </w:rPr>
        <w:t>一）装饰工程类别划分标准</w:t>
      </w:r>
    </w:p>
    <w:p>
      <w:pPr>
        <w:spacing w:line="130" w:lineRule="exact"/>
      </w:pPr>
    </w:p>
    <w:tbl>
      <w:tblPr>
        <w:tblStyle w:val="5"/>
        <w:tblW w:w="9079"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3"/>
        <w:gridCol w:w="2106"/>
        <w:gridCol w:w="2106"/>
        <w:gridCol w:w="21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6" w:hRule="atLeast"/>
        </w:trPr>
        <w:tc>
          <w:tcPr>
            <w:tcW w:w="2743" w:type="dxa"/>
            <w:vMerge w:val="restart"/>
            <w:tcBorders>
              <w:top w:val="single" w:color="000000" w:sz="4" w:space="0"/>
              <w:left w:val="single" w:color="000000" w:sz="4" w:space="0"/>
              <w:bottom w:val="nil"/>
            </w:tcBorders>
            <w:vAlign w:val="top"/>
          </w:tcPr>
          <w:p>
            <w:pPr>
              <w:spacing w:before="248" w:line="221" w:lineRule="auto"/>
              <w:ind w:left="1020"/>
              <w:rPr>
                <w:rFonts w:ascii="黑体" w:hAnsi="黑体" w:eastAsia="黑体" w:cs="黑体"/>
                <w:sz w:val="18"/>
                <w:szCs w:val="18"/>
              </w:rPr>
            </w:pPr>
            <w:r>
              <w:rPr>
                <w:rFonts w:ascii="黑体" w:hAnsi="黑体" w:eastAsia="黑体" w:cs="黑体"/>
                <w:spacing w:val="-5"/>
                <w:sz w:val="18"/>
                <w:szCs w:val="18"/>
              </w:rPr>
              <w:t>工程特征</w:t>
            </w:r>
          </w:p>
        </w:tc>
        <w:tc>
          <w:tcPr>
            <w:tcW w:w="6336" w:type="dxa"/>
            <w:gridSpan w:val="3"/>
            <w:tcBorders>
              <w:top w:val="single" w:color="000000" w:sz="4" w:space="0"/>
              <w:right w:val="single" w:color="000000" w:sz="4" w:space="0"/>
            </w:tcBorders>
            <w:vAlign w:val="top"/>
          </w:tcPr>
          <w:p>
            <w:pPr>
              <w:spacing w:before="87" w:line="221" w:lineRule="auto"/>
              <w:ind w:left="2815"/>
              <w:rPr>
                <w:rFonts w:ascii="黑体" w:hAnsi="黑体" w:eastAsia="黑体" w:cs="黑体"/>
                <w:sz w:val="18"/>
                <w:szCs w:val="18"/>
              </w:rPr>
            </w:pPr>
            <w:r>
              <w:rPr>
                <w:rFonts w:ascii="黑体" w:hAnsi="黑体" w:eastAsia="黑体" w:cs="黑体"/>
                <w:spacing w:val="-5"/>
                <w:sz w:val="18"/>
                <w:szCs w:val="18"/>
              </w:rPr>
              <w:t>工程类别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8" w:hRule="atLeast"/>
        </w:trPr>
        <w:tc>
          <w:tcPr>
            <w:tcW w:w="2743" w:type="dxa"/>
            <w:vMerge w:val="continue"/>
            <w:tcBorders>
              <w:top w:val="nil"/>
              <w:left w:val="single" w:color="000000" w:sz="4" w:space="0"/>
            </w:tcBorders>
            <w:vAlign w:val="top"/>
          </w:tcPr>
          <w:p>
            <w:pPr>
              <w:pStyle w:val="6"/>
            </w:pPr>
          </w:p>
        </w:tc>
        <w:tc>
          <w:tcPr>
            <w:tcW w:w="2106" w:type="dxa"/>
            <w:vAlign w:val="top"/>
          </w:tcPr>
          <w:p>
            <w:pPr>
              <w:spacing w:before="99" w:line="234" w:lineRule="auto"/>
              <w:ind w:left="1023"/>
              <w:rPr>
                <w:rFonts w:ascii="宋体" w:hAnsi="宋体" w:eastAsia="宋体" w:cs="宋体"/>
                <w:sz w:val="18"/>
                <w:szCs w:val="18"/>
              </w:rPr>
            </w:pPr>
            <w:r>
              <w:rPr>
                <w:rFonts w:ascii="宋体" w:hAnsi="宋体" w:eastAsia="宋体" w:cs="宋体"/>
                <w:sz w:val="18"/>
                <w:szCs w:val="18"/>
              </w:rPr>
              <w:t>I</w:t>
            </w:r>
          </w:p>
        </w:tc>
        <w:tc>
          <w:tcPr>
            <w:tcW w:w="2106" w:type="dxa"/>
            <w:vAlign w:val="top"/>
          </w:tcPr>
          <w:p>
            <w:pPr>
              <w:spacing w:before="110" w:line="197" w:lineRule="auto"/>
              <w:ind w:left="1042"/>
              <w:rPr>
                <w:rFonts w:ascii="宋体" w:hAnsi="宋体" w:eastAsia="宋体" w:cs="宋体"/>
                <w:sz w:val="18"/>
                <w:szCs w:val="18"/>
              </w:rPr>
            </w:pPr>
            <w:r>
              <w:rPr>
                <w:rFonts w:ascii="宋体" w:hAnsi="宋体" w:eastAsia="宋体" w:cs="宋体"/>
                <w:sz w:val="18"/>
                <w:szCs w:val="18"/>
              </w:rPr>
              <w:t>Ⅱ</w:t>
            </w:r>
          </w:p>
        </w:tc>
        <w:tc>
          <w:tcPr>
            <w:tcW w:w="2124" w:type="dxa"/>
            <w:tcBorders>
              <w:right w:val="single" w:color="000000" w:sz="4" w:space="0"/>
            </w:tcBorders>
            <w:vAlign w:val="top"/>
          </w:tcPr>
          <w:p>
            <w:pPr>
              <w:spacing w:before="112" w:line="195" w:lineRule="auto"/>
              <w:ind w:left="1002"/>
              <w:rPr>
                <w:rFonts w:ascii="宋体" w:hAnsi="宋体" w:eastAsia="宋体" w:cs="宋体"/>
                <w:sz w:val="18"/>
                <w:szCs w:val="18"/>
              </w:rPr>
            </w:pPr>
            <w:r>
              <w:rPr>
                <w:rFonts w:ascii="宋体" w:hAnsi="宋体" w:eastAsia="宋体" w:cs="宋体"/>
                <w:sz w:val="18"/>
                <w:szCs w:val="18"/>
              </w:rPr>
              <w:t>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0" w:hRule="atLeast"/>
        </w:trPr>
        <w:tc>
          <w:tcPr>
            <w:tcW w:w="2743" w:type="dxa"/>
            <w:vMerge w:val="restart"/>
            <w:tcBorders>
              <w:left w:val="single" w:color="000000" w:sz="4" w:space="0"/>
              <w:bottom w:val="nil"/>
            </w:tcBorders>
            <w:vAlign w:val="top"/>
          </w:tcPr>
          <w:p>
            <w:pPr>
              <w:pStyle w:val="6"/>
              <w:spacing w:line="274" w:lineRule="auto"/>
            </w:pPr>
          </w:p>
          <w:p>
            <w:pPr>
              <w:pStyle w:val="6"/>
              <w:spacing w:line="275" w:lineRule="auto"/>
            </w:pPr>
          </w:p>
          <w:p>
            <w:pPr>
              <w:spacing w:before="58" w:line="215" w:lineRule="auto"/>
              <w:ind w:left="812"/>
              <w:rPr>
                <w:rFonts w:ascii="宋体" w:hAnsi="宋体" w:eastAsia="宋体" w:cs="宋体"/>
                <w:sz w:val="18"/>
                <w:szCs w:val="18"/>
              </w:rPr>
            </w:pPr>
            <w:r>
              <w:rPr>
                <w:rFonts w:ascii="宋体" w:hAnsi="宋体" w:eastAsia="宋体" w:cs="宋体"/>
                <w:spacing w:val="-4"/>
                <w:sz w:val="18"/>
                <w:szCs w:val="18"/>
              </w:rPr>
              <w:t>工业与民用建筑</w:t>
            </w:r>
          </w:p>
        </w:tc>
        <w:tc>
          <w:tcPr>
            <w:tcW w:w="2106" w:type="dxa"/>
            <w:vAlign w:val="top"/>
          </w:tcPr>
          <w:p>
            <w:pPr>
              <w:spacing w:before="99" w:line="241" w:lineRule="exact"/>
              <w:ind w:left="111"/>
              <w:rPr>
                <w:rFonts w:ascii="宋体" w:hAnsi="宋体" w:eastAsia="宋体" w:cs="宋体"/>
                <w:sz w:val="18"/>
                <w:szCs w:val="18"/>
              </w:rPr>
            </w:pPr>
            <w:r>
              <w:rPr>
                <w:rFonts w:ascii="宋体" w:hAnsi="宋体" w:eastAsia="宋体" w:cs="宋体"/>
                <w:spacing w:val="-17"/>
                <w:position w:val="1"/>
                <w:sz w:val="18"/>
                <w:szCs w:val="18"/>
              </w:rPr>
              <w:t>特殊公共建筑，包括：观演</w:t>
            </w:r>
          </w:p>
          <w:p>
            <w:pPr>
              <w:spacing w:before="87" w:line="216" w:lineRule="auto"/>
              <w:ind w:left="133"/>
              <w:rPr>
                <w:rFonts w:ascii="宋体" w:hAnsi="宋体" w:eastAsia="宋体" w:cs="宋体"/>
                <w:sz w:val="18"/>
                <w:szCs w:val="18"/>
              </w:rPr>
            </w:pPr>
            <w:r>
              <w:rPr>
                <w:rFonts w:ascii="宋体" w:hAnsi="宋体" w:eastAsia="宋体" w:cs="宋体"/>
                <w:spacing w:val="-8"/>
                <w:sz w:val="18"/>
                <w:szCs w:val="18"/>
              </w:rPr>
              <w:t>展览建筑、交通建筑、体</w:t>
            </w:r>
          </w:p>
          <w:p>
            <w:pPr>
              <w:spacing w:before="119" w:line="212" w:lineRule="auto"/>
              <w:ind w:left="283"/>
              <w:rPr>
                <w:rFonts w:ascii="宋体" w:hAnsi="宋体" w:eastAsia="宋体" w:cs="宋体"/>
                <w:sz w:val="18"/>
                <w:szCs w:val="18"/>
              </w:rPr>
            </w:pPr>
            <w:r>
              <w:rPr>
                <w:rFonts w:ascii="宋体" w:hAnsi="宋体" w:eastAsia="宋体" w:cs="宋体"/>
                <w:spacing w:val="-3"/>
                <w:sz w:val="18"/>
                <w:szCs w:val="18"/>
              </w:rPr>
              <w:t>育场馆、高级会堂等</w:t>
            </w:r>
          </w:p>
        </w:tc>
        <w:tc>
          <w:tcPr>
            <w:tcW w:w="2106" w:type="dxa"/>
            <w:vAlign w:val="top"/>
          </w:tcPr>
          <w:p>
            <w:pPr>
              <w:spacing w:before="99" w:line="241" w:lineRule="exact"/>
              <w:ind w:right="18"/>
              <w:jc w:val="right"/>
              <w:rPr>
                <w:rFonts w:ascii="宋体" w:hAnsi="宋体" w:eastAsia="宋体" w:cs="宋体"/>
                <w:sz w:val="18"/>
                <w:szCs w:val="18"/>
              </w:rPr>
            </w:pPr>
            <w:r>
              <w:rPr>
                <w:rFonts w:ascii="宋体" w:hAnsi="宋体" w:eastAsia="宋体" w:cs="宋体"/>
                <w:spacing w:val="-17"/>
                <w:position w:val="1"/>
                <w:sz w:val="18"/>
                <w:szCs w:val="18"/>
              </w:rPr>
              <w:t>一般公共建筑，包括：办公</w:t>
            </w:r>
          </w:p>
          <w:p>
            <w:pPr>
              <w:spacing w:before="88" w:line="214" w:lineRule="auto"/>
              <w:ind w:left="139"/>
              <w:rPr>
                <w:rFonts w:ascii="宋体" w:hAnsi="宋体" w:eastAsia="宋体" w:cs="宋体"/>
                <w:sz w:val="18"/>
                <w:szCs w:val="18"/>
              </w:rPr>
            </w:pPr>
            <w:r>
              <w:rPr>
                <w:rFonts w:ascii="宋体" w:hAnsi="宋体" w:eastAsia="宋体" w:cs="宋体"/>
                <w:spacing w:val="-8"/>
                <w:sz w:val="18"/>
                <w:szCs w:val="18"/>
              </w:rPr>
              <w:t>建筑、文教卫生建筑、科</w:t>
            </w:r>
          </w:p>
          <w:p>
            <w:pPr>
              <w:spacing w:before="119" w:line="215" w:lineRule="auto"/>
              <w:ind w:left="286"/>
              <w:rPr>
                <w:rFonts w:ascii="宋体" w:hAnsi="宋体" w:eastAsia="宋体" w:cs="宋体"/>
                <w:sz w:val="18"/>
                <w:szCs w:val="18"/>
              </w:rPr>
            </w:pPr>
            <w:r>
              <w:rPr>
                <w:rFonts w:ascii="宋体" w:hAnsi="宋体" w:eastAsia="宋体" w:cs="宋体"/>
                <w:spacing w:val="-2"/>
                <w:sz w:val="18"/>
                <w:szCs w:val="18"/>
              </w:rPr>
              <w:t>研建筑、商业建筑等</w:t>
            </w:r>
          </w:p>
        </w:tc>
        <w:tc>
          <w:tcPr>
            <w:tcW w:w="2124" w:type="dxa"/>
            <w:tcBorders>
              <w:right w:val="single" w:color="000000" w:sz="4" w:space="0"/>
            </w:tcBorders>
            <w:vAlign w:val="top"/>
          </w:tcPr>
          <w:p>
            <w:pPr>
              <w:pStyle w:val="6"/>
              <w:spacing w:line="298" w:lineRule="auto"/>
            </w:pPr>
          </w:p>
          <w:p>
            <w:pPr>
              <w:spacing w:before="59" w:line="215" w:lineRule="auto"/>
              <w:ind w:left="772"/>
              <w:rPr>
                <w:rFonts w:ascii="宋体" w:hAnsi="宋体" w:eastAsia="宋体" w:cs="宋体"/>
                <w:sz w:val="18"/>
                <w:szCs w:val="18"/>
              </w:rPr>
            </w:pPr>
            <w:r>
              <w:rPr>
                <w:rFonts w:ascii="宋体" w:hAnsi="宋体" w:eastAsia="宋体" w:cs="宋体"/>
                <w:spacing w:val="-5"/>
                <w:sz w:val="18"/>
                <w:szCs w:val="18"/>
              </w:rPr>
              <w:t>居住建筑</w:t>
            </w:r>
          </w:p>
          <w:p>
            <w:pPr>
              <w:spacing w:before="135" w:line="211" w:lineRule="auto"/>
              <w:ind w:left="592"/>
              <w:rPr>
                <w:rFonts w:ascii="宋体" w:hAnsi="宋体" w:eastAsia="宋体" w:cs="宋体"/>
                <w:sz w:val="18"/>
                <w:szCs w:val="18"/>
              </w:rPr>
            </w:pPr>
            <w:r>
              <w:rPr>
                <w:rFonts w:ascii="宋体" w:hAnsi="宋体" w:eastAsia="宋体" w:cs="宋体"/>
                <w:spacing w:val="-4"/>
                <w:sz w:val="18"/>
                <w:szCs w:val="18"/>
              </w:rPr>
              <w:t>工业厂房工程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9" w:hRule="atLeast"/>
        </w:trPr>
        <w:tc>
          <w:tcPr>
            <w:tcW w:w="2743" w:type="dxa"/>
            <w:vMerge w:val="continue"/>
            <w:tcBorders>
              <w:top w:val="nil"/>
              <w:left w:val="single" w:color="000000" w:sz="4" w:space="0"/>
            </w:tcBorders>
            <w:vAlign w:val="top"/>
          </w:tcPr>
          <w:p>
            <w:pPr>
              <w:pStyle w:val="6"/>
            </w:pPr>
          </w:p>
        </w:tc>
        <w:tc>
          <w:tcPr>
            <w:tcW w:w="2106" w:type="dxa"/>
            <w:vAlign w:val="top"/>
          </w:tcPr>
          <w:p>
            <w:pPr>
              <w:spacing w:before="93" w:line="211" w:lineRule="auto"/>
              <w:ind w:left="413"/>
              <w:rPr>
                <w:rFonts w:ascii="宋体" w:hAnsi="宋体" w:eastAsia="宋体" w:cs="宋体"/>
                <w:sz w:val="18"/>
                <w:szCs w:val="18"/>
              </w:rPr>
            </w:pPr>
            <w:r>
              <w:rPr>
                <w:rFonts w:ascii="宋体" w:hAnsi="宋体" w:eastAsia="宋体" w:cs="宋体"/>
                <w:spacing w:val="-8"/>
                <w:sz w:val="18"/>
                <w:szCs w:val="18"/>
              </w:rPr>
              <w:t>四星级及以上宾馆</w:t>
            </w:r>
          </w:p>
        </w:tc>
        <w:tc>
          <w:tcPr>
            <w:tcW w:w="2106" w:type="dxa"/>
            <w:vAlign w:val="top"/>
          </w:tcPr>
          <w:p>
            <w:pPr>
              <w:spacing w:before="93" w:line="211" w:lineRule="auto"/>
              <w:ind w:left="651"/>
              <w:rPr>
                <w:rFonts w:ascii="宋体" w:hAnsi="宋体" w:eastAsia="宋体" w:cs="宋体"/>
                <w:sz w:val="18"/>
                <w:szCs w:val="18"/>
              </w:rPr>
            </w:pPr>
            <w:r>
              <w:rPr>
                <w:rFonts w:ascii="宋体" w:hAnsi="宋体" w:eastAsia="宋体" w:cs="宋体"/>
                <w:spacing w:val="-4"/>
                <w:sz w:val="18"/>
                <w:szCs w:val="18"/>
              </w:rPr>
              <w:t>三星级宾馆</w:t>
            </w:r>
          </w:p>
        </w:tc>
        <w:tc>
          <w:tcPr>
            <w:tcW w:w="2124" w:type="dxa"/>
            <w:tcBorders>
              <w:right w:val="single" w:color="000000" w:sz="4" w:space="0"/>
            </w:tcBorders>
            <w:vAlign w:val="top"/>
          </w:tcPr>
          <w:p>
            <w:pPr>
              <w:spacing w:before="93" w:line="211" w:lineRule="auto"/>
              <w:ind w:left="479"/>
              <w:rPr>
                <w:rFonts w:ascii="宋体" w:hAnsi="宋体" w:eastAsia="宋体" w:cs="宋体"/>
                <w:sz w:val="18"/>
                <w:szCs w:val="18"/>
              </w:rPr>
            </w:pPr>
            <w:r>
              <w:rPr>
                <w:rFonts w:ascii="宋体" w:hAnsi="宋体" w:eastAsia="宋体" w:cs="宋体"/>
                <w:spacing w:val="-4"/>
                <w:sz w:val="18"/>
                <w:szCs w:val="18"/>
              </w:rPr>
              <w:t>二星级以下宾馆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3" w:hRule="atLeast"/>
        </w:trPr>
        <w:tc>
          <w:tcPr>
            <w:tcW w:w="2743" w:type="dxa"/>
            <w:tcBorders>
              <w:left w:val="single" w:color="000000" w:sz="4" w:space="0"/>
            </w:tcBorders>
            <w:vAlign w:val="top"/>
          </w:tcPr>
          <w:p>
            <w:pPr>
              <w:spacing w:before="107" w:line="295" w:lineRule="auto"/>
              <w:ind w:left="119" w:right="107" w:hanging="2"/>
              <w:rPr>
                <w:rFonts w:ascii="宋体" w:hAnsi="宋体" w:eastAsia="宋体" w:cs="宋体"/>
                <w:sz w:val="18"/>
                <w:szCs w:val="18"/>
              </w:rPr>
            </w:pPr>
            <w:r>
              <w:rPr>
                <w:rFonts w:ascii="宋体" w:hAnsi="宋体" w:eastAsia="宋体" w:cs="宋体"/>
                <w:spacing w:val="-1"/>
                <w:sz w:val="18"/>
                <w:szCs w:val="18"/>
              </w:rPr>
              <w:t>单独外墙装饰（包括幕墙、各种</w:t>
            </w:r>
            <w:r>
              <w:rPr>
                <w:rFonts w:ascii="宋体" w:hAnsi="宋体" w:eastAsia="宋体" w:cs="宋体"/>
                <w:spacing w:val="-3"/>
                <w:sz w:val="18"/>
                <w:szCs w:val="18"/>
              </w:rPr>
              <w:t>外墙干挂工程）</w:t>
            </w:r>
          </w:p>
        </w:tc>
        <w:tc>
          <w:tcPr>
            <w:tcW w:w="2106" w:type="dxa"/>
            <w:vAlign w:val="top"/>
          </w:tcPr>
          <w:p>
            <w:pPr>
              <w:pStyle w:val="6"/>
              <w:spacing w:line="294" w:lineRule="auto"/>
            </w:pPr>
          </w:p>
          <w:p>
            <w:pPr>
              <w:spacing w:before="59" w:line="240" w:lineRule="exact"/>
              <w:ind w:left="484"/>
              <w:rPr>
                <w:rFonts w:ascii="宋体" w:hAnsi="宋体" w:eastAsia="宋体" w:cs="宋体"/>
                <w:sz w:val="18"/>
                <w:szCs w:val="18"/>
              </w:rPr>
            </w:pPr>
            <w:r>
              <w:rPr>
                <w:rFonts w:ascii="宋体" w:hAnsi="宋体" w:eastAsia="宋体" w:cs="宋体"/>
                <w:spacing w:val="2"/>
                <w:position w:val="1"/>
                <w:sz w:val="18"/>
                <w:szCs w:val="18"/>
              </w:rPr>
              <w:t>幕墙高度＞50m</w:t>
            </w:r>
          </w:p>
        </w:tc>
        <w:tc>
          <w:tcPr>
            <w:tcW w:w="2106" w:type="dxa"/>
            <w:vAlign w:val="top"/>
          </w:tcPr>
          <w:p>
            <w:pPr>
              <w:pStyle w:val="6"/>
              <w:spacing w:line="294" w:lineRule="auto"/>
            </w:pPr>
          </w:p>
          <w:p>
            <w:pPr>
              <w:spacing w:before="59" w:line="240" w:lineRule="exact"/>
              <w:ind w:left="490"/>
              <w:rPr>
                <w:rFonts w:ascii="宋体" w:hAnsi="宋体" w:eastAsia="宋体" w:cs="宋体"/>
                <w:sz w:val="18"/>
                <w:szCs w:val="18"/>
              </w:rPr>
            </w:pPr>
            <w:r>
              <w:rPr>
                <w:rFonts w:ascii="宋体" w:hAnsi="宋体" w:eastAsia="宋体" w:cs="宋体"/>
                <w:spacing w:val="2"/>
                <w:position w:val="1"/>
                <w:sz w:val="18"/>
                <w:szCs w:val="18"/>
              </w:rPr>
              <w:t>幕墙高度＞30m</w:t>
            </w:r>
          </w:p>
        </w:tc>
        <w:tc>
          <w:tcPr>
            <w:tcW w:w="2124" w:type="dxa"/>
            <w:tcBorders>
              <w:right w:val="single" w:color="000000" w:sz="4" w:space="0"/>
            </w:tcBorders>
            <w:vAlign w:val="top"/>
          </w:tcPr>
          <w:p>
            <w:pPr>
              <w:pStyle w:val="6"/>
              <w:spacing w:line="294" w:lineRule="auto"/>
            </w:pPr>
          </w:p>
          <w:p>
            <w:pPr>
              <w:spacing w:before="59" w:line="240" w:lineRule="exact"/>
              <w:ind w:left="496"/>
              <w:rPr>
                <w:rFonts w:ascii="宋体" w:hAnsi="宋体" w:eastAsia="宋体" w:cs="宋体"/>
                <w:sz w:val="18"/>
                <w:szCs w:val="18"/>
              </w:rPr>
            </w:pPr>
            <w:r>
              <w:rPr>
                <w:rFonts w:ascii="宋体" w:hAnsi="宋体" w:eastAsia="宋体" w:cs="宋体"/>
                <w:spacing w:val="2"/>
                <w:position w:val="1"/>
                <w:sz w:val="18"/>
                <w:szCs w:val="18"/>
              </w:rPr>
              <w:t>幕墙高度≤30m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1" w:hRule="atLeast"/>
        </w:trPr>
        <w:tc>
          <w:tcPr>
            <w:tcW w:w="2743" w:type="dxa"/>
            <w:tcBorders>
              <w:left w:val="single" w:color="000000" w:sz="4" w:space="0"/>
              <w:bottom w:val="single" w:color="000000" w:sz="4" w:space="0"/>
            </w:tcBorders>
            <w:vAlign w:val="top"/>
          </w:tcPr>
          <w:p>
            <w:pPr>
              <w:spacing w:before="257" w:line="213" w:lineRule="auto"/>
              <w:ind w:left="117"/>
              <w:rPr>
                <w:rFonts w:ascii="宋体" w:hAnsi="宋体" w:eastAsia="宋体" w:cs="宋体"/>
                <w:sz w:val="18"/>
                <w:szCs w:val="18"/>
              </w:rPr>
            </w:pPr>
            <w:r>
              <w:rPr>
                <w:rFonts w:ascii="宋体" w:hAnsi="宋体" w:eastAsia="宋体" w:cs="宋体"/>
                <w:spacing w:val="-2"/>
                <w:sz w:val="18"/>
                <w:szCs w:val="18"/>
              </w:rPr>
              <w:t>单独招牌、灯箱、美术字等工程</w:t>
            </w:r>
          </w:p>
        </w:tc>
        <w:tc>
          <w:tcPr>
            <w:tcW w:w="2106" w:type="dxa"/>
            <w:tcBorders>
              <w:bottom w:val="single" w:color="000000" w:sz="4" w:space="0"/>
            </w:tcBorders>
            <w:vAlign w:val="top"/>
          </w:tcPr>
          <w:p>
            <w:pPr>
              <w:pStyle w:val="6"/>
              <w:spacing w:line="331" w:lineRule="auto"/>
            </w:pPr>
          </w:p>
          <w:p>
            <w:pPr>
              <w:spacing w:before="58" w:line="124" w:lineRule="exact"/>
              <w:ind w:left="960"/>
              <w:rPr>
                <w:rFonts w:ascii="宋体" w:hAnsi="宋体" w:eastAsia="宋体" w:cs="宋体"/>
                <w:sz w:val="18"/>
                <w:szCs w:val="18"/>
              </w:rPr>
            </w:pPr>
            <w:r>
              <w:rPr>
                <w:rFonts w:ascii="宋体" w:hAnsi="宋体" w:eastAsia="宋体" w:cs="宋体"/>
                <w:position w:val="-3"/>
                <w:sz w:val="18"/>
                <w:szCs w:val="18"/>
              </w:rPr>
              <w:t>—</w:t>
            </w:r>
          </w:p>
        </w:tc>
        <w:tc>
          <w:tcPr>
            <w:tcW w:w="2106" w:type="dxa"/>
            <w:tcBorders>
              <w:bottom w:val="single" w:color="000000" w:sz="4" w:space="0"/>
            </w:tcBorders>
            <w:vAlign w:val="top"/>
          </w:tcPr>
          <w:p>
            <w:pPr>
              <w:pStyle w:val="6"/>
              <w:spacing w:line="331" w:lineRule="auto"/>
            </w:pPr>
          </w:p>
          <w:p>
            <w:pPr>
              <w:spacing w:before="58" w:line="124" w:lineRule="exact"/>
              <w:ind w:left="961"/>
              <w:rPr>
                <w:rFonts w:ascii="宋体" w:hAnsi="宋体" w:eastAsia="宋体" w:cs="宋体"/>
                <w:sz w:val="18"/>
                <w:szCs w:val="18"/>
              </w:rPr>
            </w:pPr>
            <w:r>
              <w:rPr>
                <w:rFonts w:ascii="宋体" w:hAnsi="宋体" w:eastAsia="宋体" w:cs="宋体"/>
                <w:position w:val="-3"/>
                <w:sz w:val="18"/>
                <w:szCs w:val="18"/>
              </w:rPr>
              <w:t>—</w:t>
            </w:r>
          </w:p>
        </w:tc>
        <w:tc>
          <w:tcPr>
            <w:tcW w:w="2124" w:type="dxa"/>
            <w:tcBorders>
              <w:bottom w:val="single" w:color="000000" w:sz="4" w:space="0"/>
              <w:right w:val="single" w:color="000000" w:sz="4" w:space="0"/>
            </w:tcBorders>
            <w:vAlign w:val="top"/>
          </w:tcPr>
          <w:p>
            <w:pPr>
              <w:spacing w:before="122" w:line="212" w:lineRule="auto"/>
              <w:ind w:left="77"/>
              <w:rPr>
                <w:rFonts w:ascii="宋体" w:hAnsi="宋体" w:eastAsia="宋体" w:cs="宋体"/>
                <w:sz w:val="18"/>
                <w:szCs w:val="18"/>
              </w:rPr>
            </w:pPr>
            <w:r>
              <w:rPr>
                <w:rFonts w:ascii="宋体" w:hAnsi="宋体" w:eastAsia="宋体" w:cs="宋体"/>
                <w:spacing w:val="-1"/>
                <w:sz w:val="18"/>
                <w:szCs w:val="18"/>
              </w:rPr>
              <w:t>单独招牌、灯箱、美术字</w:t>
            </w:r>
          </w:p>
          <w:p>
            <w:pPr>
              <w:spacing w:before="106" w:line="213" w:lineRule="auto"/>
              <w:ind w:left="809"/>
              <w:rPr>
                <w:rFonts w:ascii="宋体" w:hAnsi="宋体" w:eastAsia="宋体" w:cs="宋体"/>
                <w:sz w:val="18"/>
                <w:szCs w:val="18"/>
              </w:rPr>
            </w:pPr>
            <w:r>
              <w:rPr>
                <w:rFonts w:ascii="宋体" w:hAnsi="宋体" w:eastAsia="宋体" w:cs="宋体"/>
                <w:spacing w:val="-5"/>
                <w:sz w:val="18"/>
                <w:szCs w:val="18"/>
              </w:rPr>
              <w:t>等工程</w:t>
            </w:r>
          </w:p>
        </w:tc>
      </w:tr>
    </w:tbl>
    <w:p>
      <w:pPr>
        <w:spacing w:line="355" w:lineRule="auto"/>
        <w:rPr>
          <w:rFonts w:ascii="Arial"/>
          <w:sz w:val="21"/>
        </w:rPr>
      </w:pPr>
    </w:p>
    <w:p>
      <w:pPr>
        <w:spacing w:before="78" w:line="214" w:lineRule="auto"/>
        <w:ind w:left="420"/>
        <w:rPr>
          <w:rFonts w:ascii="KaiTi_GB2312" w:hAnsi="KaiTi_GB2312" w:eastAsia="KaiTi_GB2312" w:cs="KaiTi_GB2312"/>
          <w:sz w:val="24"/>
          <w:szCs w:val="24"/>
        </w:rPr>
      </w:pPr>
      <w:r>
        <w:rPr>
          <w:rFonts w:ascii="KaiTi_GB2312" w:hAnsi="KaiTi_GB2312" w:eastAsia="KaiTi_GB2312" w:cs="KaiTi_GB2312"/>
          <w:spacing w:val="11"/>
          <w:sz w:val="24"/>
          <w:szCs w:val="24"/>
        </w:rPr>
        <w:t>（二）装饰工程类别划分说明</w:t>
      </w:r>
    </w:p>
    <w:p>
      <w:pPr>
        <w:spacing w:before="250" w:line="350" w:lineRule="auto"/>
        <w:ind w:left="6" w:right="147" w:firstLine="450"/>
        <w:rPr>
          <w:rFonts w:ascii="宋体" w:hAnsi="宋体" w:eastAsia="宋体" w:cs="宋体"/>
          <w:sz w:val="20"/>
          <w:szCs w:val="20"/>
        </w:rPr>
      </w:pPr>
      <w:r>
        <w:rPr>
          <w:rFonts w:ascii="宋体" w:hAnsi="宋体" w:eastAsia="宋体" w:cs="宋体"/>
          <w:spacing w:val="6"/>
          <w:sz w:val="20"/>
          <w:szCs w:val="20"/>
        </w:rPr>
        <w:t>1. 装饰工程指建筑物主体结构完成后，在主体结构表面</w:t>
      </w:r>
      <w:r>
        <w:rPr>
          <w:rFonts w:ascii="宋体" w:hAnsi="宋体" w:eastAsia="宋体" w:cs="宋体"/>
          <w:spacing w:val="5"/>
          <w:sz w:val="20"/>
          <w:szCs w:val="20"/>
        </w:rPr>
        <w:t>及相关部位进行抹灰、镶贴和铺装面层</w:t>
      </w:r>
      <w:r>
        <w:rPr>
          <w:rFonts w:ascii="宋体" w:hAnsi="宋体" w:eastAsia="宋体" w:cs="宋体"/>
          <w:spacing w:val="9"/>
          <w:sz w:val="20"/>
          <w:szCs w:val="20"/>
        </w:rPr>
        <w:t>等施工，以达到建筑设计效果的施工内容。</w:t>
      </w:r>
    </w:p>
    <w:p>
      <w:pPr>
        <w:spacing w:before="41" w:line="277" w:lineRule="exact"/>
        <w:ind w:left="425"/>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1）通常情况下，楼地面工程至其他装饰工程（第十一章至第十五章）属于装饰工程。</w:t>
      </w:r>
    </w:p>
    <w:p>
      <w:pPr>
        <w:spacing w:before="124" w:line="276" w:lineRule="exact"/>
        <w:ind w:left="425"/>
        <w:rPr>
          <w:rFonts w:ascii="宋体" w:hAnsi="宋体" w:eastAsia="宋体" w:cs="宋体"/>
          <w:sz w:val="20"/>
          <w:szCs w:val="20"/>
        </w:rPr>
      </w:pPr>
      <w:r>
        <w:rPr>
          <w:rFonts w:ascii="宋体" w:hAnsi="宋体" w:eastAsia="宋体" w:cs="宋体"/>
          <w:spacing w:val="10"/>
          <w:position w:val="1"/>
          <w:sz w:val="20"/>
          <w:szCs w:val="20"/>
        </w:rPr>
        <w:t>（2）使用上述章节子目计价，但附着于垫层、或</w:t>
      </w:r>
      <w:r>
        <w:rPr>
          <w:rFonts w:ascii="宋体" w:hAnsi="宋体" w:eastAsia="宋体" w:cs="宋体"/>
          <w:spacing w:val="9"/>
          <w:position w:val="1"/>
          <w:sz w:val="20"/>
          <w:szCs w:val="20"/>
        </w:rPr>
        <w:t>者主体结构的找平层属于建筑工程。</w:t>
      </w:r>
    </w:p>
    <w:p>
      <w:pPr>
        <w:spacing w:before="122" w:line="298" w:lineRule="auto"/>
        <w:ind w:left="5" w:right="30" w:firstLine="419"/>
        <w:rPr>
          <w:rFonts w:ascii="宋体" w:hAnsi="宋体" w:eastAsia="宋体" w:cs="宋体"/>
          <w:sz w:val="20"/>
          <w:szCs w:val="20"/>
        </w:rPr>
      </w:pPr>
      <w:r>
        <w:rPr>
          <w:rFonts w:ascii="宋体" w:hAnsi="宋体" w:eastAsia="宋体" w:cs="宋体"/>
          <w:spacing w:val="3"/>
          <w:sz w:val="20"/>
          <w:szCs w:val="20"/>
        </w:rPr>
        <w:t>（3）使用上述章节子目计价，防水层、保温层的找平层、保护层（兼具装饰层找平作用的除外</w:t>
      </w:r>
      <w:r>
        <w:rPr>
          <w:rFonts w:ascii="宋体" w:hAnsi="宋体" w:eastAsia="宋体" w:cs="宋体"/>
          <w:spacing w:val="-47"/>
          <w:w w:val="89"/>
          <w:sz w:val="20"/>
          <w:szCs w:val="20"/>
        </w:rPr>
        <w:t>），</w:t>
      </w:r>
      <w:r>
        <w:rPr>
          <w:rFonts w:ascii="宋体" w:hAnsi="宋体" w:eastAsia="宋体" w:cs="宋体"/>
          <w:spacing w:val="7"/>
          <w:sz w:val="20"/>
          <w:szCs w:val="20"/>
        </w:rPr>
        <w:t>属于建筑工程。</w:t>
      </w:r>
    </w:p>
    <w:p>
      <w:pPr>
        <w:spacing w:before="157" w:line="296" w:lineRule="auto"/>
        <w:ind w:left="7" w:right="189" w:firstLine="417"/>
        <w:rPr>
          <w:rFonts w:ascii="宋体" w:hAnsi="宋体" w:eastAsia="宋体" w:cs="宋体"/>
          <w:sz w:val="20"/>
          <w:szCs w:val="20"/>
        </w:rPr>
      </w:pPr>
      <w:r>
        <w:rPr>
          <w:rFonts w:ascii="宋体" w:hAnsi="宋体" w:eastAsia="宋体" w:cs="宋体"/>
          <w:spacing w:val="11"/>
          <w:sz w:val="20"/>
          <w:szCs w:val="20"/>
        </w:rPr>
        <w:t>（4）为整体工程或主体结构工程服务的措施项目</w:t>
      </w:r>
      <w:r>
        <w:rPr>
          <w:rFonts w:ascii="宋体" w:hAnsi="宋体" w:eastAsia="宋体" w:cs="宋体"/>
          <w:spacing w:val="10"/>
          <w:sz w:val="20"/>
          <w:szCs w:val="20"/>
        </w:rPr>
        <w:t>，属于建筑工程；单独为装饰工程服务的，</w:t>
      </w:r>
      <w:r>
        <w:rPr>
          <w:rFonts w:ascii="宋体" w:hAnsi="宋体" w:eastAsia="宋体" w:cs="宋体"/>
          <w:spacing w:val="7"/>
          <w:sz w:val="20"/>
          <w:szCs w:val="20"/>
        </w:rPr>
        <w:t>属于装饰工程。</w:t>
      </w:r>
    </w:p>
    <w:p>
      <w:pPr>
        <w:spacing w:before="157" w:line="277" w:lineRule="exact"/>
        <w:jc w:val="right"/>
        <w:rPr>
          <w:rFonts w:ascii="宋体" w:hAnsi="宋体" w:eastAsia="宋体" w:cs="宋体"/>
          <w:sz w:val="20"/>
          <w:szCs w:val="20"/>
        </w:rPr>
      </w:pPr>
      <w:r>
        <w:rPr>
          <w:rFonts w:ascii="宋体" w:hAnsi="宋体" w:eastAsia="宋体" w:cs="宋体"/>
          <w:spacing w:val="6"/>
          <w:position w:val="1"/>
          <w:sz w:val="20"/>
          <w:szCs w:val="20"/>
        </w:rPr>
        <w:t>（5）建筑工程的施工增加（第二十章</w:t>
      </w:r>
      <w:r>
        <w:rPr>
          <w:rFonts w:ascii="宋体" w:hAnsi="宋体" w:eastAsia="宋体" w:cs="宋体"/>
          <w:spacing w:val="-9"/>
          <w:position w:val="1"/>
          <w:sz w:val="20"/>
          <w:szCs w:val="20"/>
        </w:rPr>
        <w:t>），</w:t>
      </w:r>
      <w:r>
        <w:rPr>
          <w:rFonts w:ascii="宋体" w:hAnsi="宋体" w:eastAsia="宋体" w:cs="宋体"/>
          <w:spacing w:val="6"/>
          <w:position w:val="1"/>
          <w:sz w:val="20"/>
          <w:szCs w:val="20"/>
        </w:rPr>
        <w:t>属于建筑工程；装饰工程的施工增加，属于装饰工程。</w:t>
      </w:r>
    </w:p>
    <w:p>
      <w:pPr>
        <w:spacing w:before="124" w:line="331" w:lineRule="auto"/>
        <w:ind w:left="2" w:firstLine="423"/>
        <w:rPr>
          <w:rFonts w:ascii="宋体" w:hAnsi="宋体" w:eastAsia="宋体" w:cs="宋体"/>
          <w:sz w:val="20"/>
          <w:szCs w:val="20"/>
        </w:rPr>
      </w:pPr>
      <w:r>
        <w:rPr>
          <w:rFonts w:ascii="宋体" w:hAnsi="宋体" w:eastAsia="宋体" w:cs="宋体"/>
          <w:spacing w:val="5"/>
          <w:sz w:val="20"/>
          <w:szCs w:val="20"/>
        </w:rPr>
        <w:t>2. 特殊公共建筑包括：观演展览建筑（如影剧院、影视制作播放建筑</w:t>
      </w:r>
      <w:r>
        <w:rPr>
          <w:rFonts w:ascii="宋体" w:hAnsi="宋体" w:eastAsia="宋体" w:cs="宋体"/>
          <w:b/>
          <w:bCs/>
          <w:spacing w:val="5"/>
          <w:sz w:val="20"/>
          <w:szCs w:val="20"/>
        </w:rPr>
        <w:t>、</w:t>
      </w:r>
      <w:r>
        <w:rPr>
          <w:rFonts w:ascii="宋体" w:hAnsi="宋体" w:eastAsia="宋体" w:cs="宋体"/>
          <w:spacing w:val="5"/>
          <w:sz w:val="20"/>
          <w:szCs w:val="20"/>
        </w:rPr>
        <w:t>城市级图书馆、博物馆、</w:t>
      </w:r>
      <w:r>
        <w:rPr>
          <w:rFonts w:ascii="宋体" w:hAnsi="宋体" w:eastAsia="宋体" w:cs="宋体"/>
          <w:spacing w:val="11"/>
          <w:sz w:val="20"/>
          <w:szCs w:val="20"/>
        </w:rPr>
        <w:t>展览馆、纪念馆等）、交通建筑（如汽车、火车、飞机、轮船的站房建筑等</w:t>
      </w:r>
      <w:r>
        <w:rPr>
          <w:rFonts w:ascii="宋体" w:hAnsi="宋体" w:eastAsia="宋体" w:cs="宋体"/>
          <w:spacing w:val="10"/>
          <w:sz w:val="20"/>
          <w:szCs w:val="20"/>
        </w:rPr>
        <w:t>）、体育场馆（如体育</w:t>
      </w:r>
      <w:r>
        <w:rPr>
          <w:rFonts w:ascii="宋体" w:hAnsi="宋体" w:eastAsia="宋体" w:cs="宋体"/>
          <w:spacing w:val="9"/>
          <w:sz w:val="20"/>
          <w:szCs w:val="20"/>
        </w:rPr>
        <w:t>训练、比赛场馆等）、高级会堂等。</w:t>
      </w:r>
    </w:p>
    <w:p>
      <w:pPr>
        <w:spacing w:before="124" w:line="312" w:lineRule="auto"/>
        <w:ind w:left="1" w:right="103" w:firstLine="429"/>
        <w:rPr>
          <w:rFonts w:ascii="宋体" w:hAnsi="宋体" w:eastAsia="宋体" w:cs="宋体"/>
          <w:sz w:val="20"/>
          <w:szCs w:val="20"/>
        </w:rPr>
      </w:pPr>
      <w:r>
        <w:rPr>
          <w:rFonts w:ascii="宋体" w:hAnsi="宋体" w:eastAsia="宋体" w:cs="宋体"/>
          <w:spacing w:val="5"/>
          <w:sz w:val="20"/>
          <w:szCs w:val="20"/>
        </w:rPr>
        <w:t>3. 一般公共建筑包括：办公建筑、文教卫生建筑（如教学楼、实验楼、学校图</w:t>
      </w:r>
      <w:r>
        <w:rPr>
          <w:rFonts w:ascii="宋体" w:hAnsi="宋体" w:eastAsia="宋体" w:cs="宋体"/>
          <w:spacing w:val="4"/>
          <w:sz w:val="20"/>
          <w:szCs w:val="20"/>
        </w:rPr>
        <w:t>书馆、 门诊楼、</w:t>
      </w:r>
      <w:r>
        <w:rPr>
          <w:rFonts w:ascii="宋体" w:hAnsi="宋体" w:eastAsia="宋体" w:cs="宋体"/>
          <w:spacing w:val="9"/>
          <w:sz w:val="20"/>
          <w:szCs w:val="20"/>
        </w:rPr>
        <w:t>病房楼、检验化验楼等）、科研建筑、商业建筑等。</w:t>
      </w:r>
    </w:p>
    <w:p>
      <w:pPr>
        <w:spacing w:before="123" w:line="298" w:lineRule="auto"/>
        <w:ind w:right="249" w:firstLine="420"/>
        <w:rPr>
          <w:rFonts w:ascii="宋体" w:hAnsi="宋体" w:eastAsia="宋体" w:cs="宋体"/>
          <w:sz w:val="20"/>
          <w:szCs w:val="20"/>
        </w:rPr>
      </w:pPr>
      <w:r>
        <w:rPr>
          <w:rFonts w:ascii="宋体" w:hAnsi="宋体" w:eastAsia="宋体" w:cs="宋体"/>
          <w:spacing w:val="9"/>
          <w:sz w:val="20"/>
          <w:szCs w:val="20"/>
        </w:rPr>
        <w:t>4. 宾馆、饭店的星级按《旅游涉外饭店星级标准》确定。不定星级的宾馆、饭店，按照一般公共建筑Ⅱ类确定工程类别。</w:t>
      </w:r>
    </w:p>
    <w:p>
      <w:pPr>
        <w:spacing w:before="154" w:line="297" w:lineRule="auto"/>
        <w:ind w:left="2" w:right="246" w:firstLine="425"/>
        <w:rPr>
          <w:rFonts w:ascii="宋体" w:hAnsi="宋体" w:eastAsia="宋体" w:cs="宋体"/>
          <w:sz w:val="20"/>
          <w:szCs w:val="20"/>
        </w:rPr>
      </w:pPr>
      <w:r>
        <w:rPr>
          <w:rFonts w:ascii="宋体" w:hAnsi="宋体" w:eastAsia="宋体" w:cs="宋体"/>
          <w:spacing w:val="9"/>
          <w:sz w:val="20"/>
          <w:szCs w:val="20"/>
        </w:rPr>
        <w:t>5. 单独外墙装饰的类别适用于单独发承包外墙装饰工程（包括幕墙、各种外墙</w:t>
      </w:r>
      <w:r>
        <w:rPr>
          <w:rFonts w:ascii="宋体" w:hAnsi="宋体" w:eastAsia="宋体" w:cs="宋体"/>
          <w:spacing w:val="8"/>
          <w:sz w:val="20"/>
          <w:szCs w:val="20"/>
        </w:rPr>
        <w:t>干挂工程）的</w:t>
      </w:r>
      <w:r>
        <w:rPr>
          <w:rFonts w:ascii="宋体" w:hAnsi="宋体" w:eastAsia="宋体" w:cs="宋体"/>
          <w:spacing w:val="5"/>
          <w:sz w:val="20"/>
          <w:szCs w:val="20"/>
        </w:rPr>
        <w:t>情况。</w:t>
      </w:r>
    </w:p>
    <w:p>
      <w:pPr>
        <w:spacing w:before="158" w:line="278" w:lineRule="exact"/>
        <w:ind w:left="426"/>
        <w:rPr>
          <w:rFonts w:ascii="宋体" w:hAnsi="宋体" w:eastAsia="宋体" w:cs="宋体"/>
          <w:sz w:val="20"/>
          <w:szCs w:val="20"/>
        </w:rPr>
      </w:pPr>
      <w:r>
        <w:rPr>
          <w:rFonts w:ascii="宋体" w:hAnsi="宋体" w:eastAsia="宋体" w:cs="宋体"/>
          <w:spacing w:val="7"/>
          <w:position w:val="1"/>
          <w:sz w:val="20"/>
          <w:szCs w:val="20"/>
        </w:rPr>
        <w:t>6. 单独招牌、灯箱、美术字等工程的类别仅适用于单独发承包的情况。</w:t>
      </w:r>
    </w:p>
    <w:p>
      <w:pPr>
        <w:spacing w:line="278" w:lineRule="exact"/>
        <w:rPr>
          <w:rFonts w:ascii="宋体" w:hAnsi="宋体" w:eastAsia="宋体" w:cs="宋体"/>
          <w:sz w:val="20"/>
          <w:szCs w:val="20"/>
        </w:rPr>
        <w:sectPr>
          <w:footerReference r:id="rId229" w:type="default"/>
          <w:pgSz w:w="11905" w:h="16840"/>
          <w:pgMar w:top="400" w:right="1338" w:bottom="1213" w:left="1418" w:header="0" w:footer="898" w:gutter="0"/>
        </w:sectPr>
      </w:pPr>
    </w:p>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before="98" w:line="213" w:lineRule="auto"/>
        <w:ind w:left="1376"/>
        <w:outlineLvl w:val="1"/>
        <w:rPr>
          <w:rFonts w:ascii="宋体" w:hAnsi="宋体" w:eastAsia="宋体" w:cs="宋体"/>
          <w:sz w:val="30"/>
          <w:szCs w:val="30"/>
        </w:rPr>
      </w:pPr>
      <w:bookmarkStart w:id="122" w:name="bookmark74"/>
      <w:bookmarkEnd w:id="122"/>
      <w:bookmarkStart w:id="123" w:name="bookmark75"/>
      <w:bookmarkEnd w:id="123"/>
      <w:r>
        <w:rPr>
          <w:rFonts w:ascii="宋体" w:hAnsi="宋体" w:eastAsia="宋体" w:cs="宋体"/>
          <w:b/>
          <w:bCs/>
          <w:spacing w:val="-2"/>
          <w:sz w:val="30"/>
          <w:szCs w:val="30"/>
        </w:rPr>
        <w:t>第五节</w:t>
      </w:r>
      <w:r>
        <w:rPr>
          <w:rFonts w:ascii="宋体" w:hAnsi="宋体" w:eastAsia="宋体" w:cs="宋体"/>
          <w:spacing w:val="-2"/>
          <w:sz w:val="30"/>
          <w:szCs w:val="30"/>
        </w:rPr>
        <w:t xml:space="preserve">  </w:t>
      </w:r>
      <w:r>
        <w:rPr>
          <w:rFonts w:ascii="宋体" w:hAnsi="宋体" w:eastAsia="宋体" w:cs="宋体"/>
          <w:b/>
          <w:bCs/>
          <w:spacing w:val="-2"/>
          <w:sz w:val="30"/>
          <w:szCs w:val="30"/>
        </w:rPr>
        <w:t>建筑、装饰工程定额计价有关问</w:t>
      </w:r>
      <w:r>
        <w:rPr>
          <w:rFonts w:ascii="宋体" w:hAnsi="宋体" w:eastAsia="宋体" w:cs="宋体"/>
          <w:b/>
          <w:bCs/>
          <w:spacing w:val="-3"/>
          <w:sz w:val="30"/>
          <w:szCs w:val="30"/>
        </w:rPr>
        <w:t>题说明</w:t>
      </w:r>
    </w:p>
    <w:p>
      <w:pPr>
        <w:spacing w:line="255" w:lineRule="auto"/>
        <w:rPr>
          <w:rFonts w:ascii="Arial"/>
          <w:sz w:val="21"/>
        </w:rPr>
      </w:pPr>
    </w:p>
    <w:p>
      <w:pPr>
        <w:spacing w:before="65" w:line="331" w:lineRule="auto"/>
        <w:ind w:left="2" w:right="20" w:firstLine="437"/>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38"/>
          <w:sz w:val="20"/>
          <w:szCs w:val="20"/>
        </w:rPr>
        <w:t xml:space="preserve"> </w:t>
      </w:r>
      <w:r>
        <w:rPr>
          <w:rFonts w:ascii="宋体" w:hAnsi="宋体" w:eastAsia="宋体" w:cs="宋体"/>
          <w:spacing w:val="8"/>
          <w:sz w:val="20"/>
          <w:szCs w:val="20"/>
        </w:rPr>
        <w:t>2025</w:t>
      </w:r>
      <w:r>
        <w:rPr>
          <w:rFonts w:ascii="宋体" w:hAnsi="宋体" w:eastAsia="宋体" w:cs="宋体"/>
          <w:spacing w:val="-36"/>
          <w:sz w:val="20"/>
          <w:szCs w:val="20"/>
        </w:rPr>
        <w:t xml:space="preserve"> </w:t>
      </w:r>
      <w:r>
        <w:rPr>
          <w:rFonts w:ascii="宋体" w:hAnsi="宋体" w:eastAsia="宋体" w:cs="宋体"/>
          <w:spacing w:val="8"/>
          <w:sz w:val="20"/>
          <w:szCs w:val="20"/>
        </w:rPr>
        <w:t>年</w:t>
      </w:r>
      <w:r>
        <w:rPr>
          <w:rFonts w:ascii="宋体" w:hAnsi="宋体" w:eastAsia="宋体" w:cs="宋体"/>
          <w:spacing w:val="-37"/>
          <w:sz w:val="20"/>
          <w:szCs w:val="20"/>
        </w:rPr>
        <w:t xml:space="preserve"> </w:t>
      </w:r>
      <w:r>
        <w:rPr>
          <w:rFonts w:ascii="宋体" w:hAnsi="宋体" w:eastAsia="宋体" w:cs="宋体"/>
          <w:spacing w:val="8"/>
          <w:sz w:val="20"/>
          <w:szCs w:val="20"/>
        </w:rPr>
        <w:t>8</w:t>
      </w:r>
      <w:r>
        <w:rPr>
          <w:rFonts w:ascii="宋体" w:hAnsi="宋体" w:eastAsia="宋体" w:cs="宋体"/>
          <w:spacing w:val="-38"/>
          <w:sz w:val="20"/>
          <w:szCs w:val="20"/>
        </w:rPr>
        <w:t xml:space="preserve"> </w:t>
      </w:r>
      <w:r>
        <w:rPr>
          <w:rFonts w:ascii="宋体" w:hAnsi="宋体" w:eastAsia="宋体" w:cs="宋体"/>
          <w:spacing w:val="8"/>
          <w:sz w:val="20"/>
          <w:szCs w:val="20"/>
        </w:rPr>
        <w:t>月29 日</w:t>
      </w:r>
      <w:r>
        <w:rPr>
          <w:rFonts w:ascii="宋体" w:hAnsi="宋体" w:eastAsia="宋体" w:cs="宋体"/>
          <w:spacing w:val="-59"/>
          <w:sz w:val="20"/>
          <w:szCs w:val="20"/>
        </w:rPr>
        <w:t xml:space="preserve"> </w:t>
      </w:r>
      <w:r>
        <w:rPr>
          <w:rFonts w:ascii="宋体" w:hAnsi="宋体" w:eastAsia="宋体" w:cs="宋体"/>
          <w:spacing w:val="8"/>
          <w:sz w:val="20"/>
          <w:szCs w:val="20"/>
        </w:rPr>
        <w:t>，山东省住房和城</w:t>
      </w:r>
      <w:r>
        <w:rPr>
          <w:rFonts w:ascii="宋体" w:hAnsi="宋体" w:eastAsia="宋体" w:cs="宋体"/>
          <w:spacing w:val="7"/>
          <w:sz w:val="20"/>
          <w:szCs w:val="20"/>
        </w:rPr>
        <w:t>乡建设厅发布了《关于发布建设工程造价计价依据的通</w:t>
      </w:r>
      <w:r>
        <w:rPr>
          <w:rFonts w:ascii="宋体" w:hAnsi="宋体" w:eastAsia="宋体" w:cs="宋体"/>
          <w:spacing w:val="11"/>
          <w:sz w:val="20"/>
          <w:szCs w:val="20"/>
        </w:rPr>
        <w:t>知》（鲁建标字〔2025〕7</w:t>
      </w:r>
      <w:r>
        <w:rPr>
          <w:rFonts w:ascii="宋体" w:hAnsi="宋体" w:eastAsia="宋体" w:cs="宋体"/>
          <w:spacing w:val="-39"/>
          <w:sz w:val="20"/>
          <w:szCs w:val="20"/>
        </w:rPr>
        <w:t xml:space="preserve"> </w:t>
      </w:r>
      <w:r>
        <w:rPr>
          <w:rFonts w:ascii="宋体" w:hAnsi="宋体" w:eastAsia="宋体" w:cs="宋体"/>
          <w:spacing w:val="11"/>
          <w:sz w:val="20"/>
          <w:szCs w:val="20"/>
        </w:rPr>
        <w:t>号</w:t>
      </w:r>
      <w:r>
        <w:rPr>
          <w:rFonts w:ascii="宋体" w:hAnsi="宋体" w:eastAsia="宋体" w:cs="宋体"/>
          <w:spacing w:val="-10"/>
          <w:sz w:val="20"/>
          <w:szCs w:val="20"/>
        </w:rPr>
        <w:t>）</w:t>
      </w:r>
      <w:r>
        <w:rPr>
          <w:rFonts w:ascii="宋体" w:hAnsi="宋体" w:eastAsia="宋体" w:cs="宋体"/>
          <w:spacing w:val="-48"/>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对《山东省建设工程费用项目组成及计算规则》《山东省</w:t>
      </w:r>
      <w:r>
        <w:rPr>
          <w:rFonts w:ascii="宋体" w:hAnsi="宋体" w:eastAsia="宋体" w:cs="宋体"/>
          <w:spacing w:val="10"/>
          <w:sz w:val="20"/>
          <w:szCs w:val="20"/>
        </w:rPr>
        <w:t>建筑工</w:t>
      </w:r>
      <w:r>
        <w:rPr>
          <w:rFonts w:ascii="宋体" w:hAnsi="宋体" w:eastAsia="宋体" w:cs="宋体"/>
          <w:spacing w:val="4"/>
          <w:sz w:val="20"/>
          <w:szCs w:val="20"/>
        </w:rPr>
        <w:t>程消耗量定额》进行了修编调整，执行日期为</w:t>
      </w:r>
      <w:r>
        <w:rPr>
          <w:rFonts w:ascii="宋体" w:hAnsi="宋体" w:eastAsia="宋体" w:cs="宋体"/>
          <w:spacing w:val="-35"/>
          <w:sz w:val="20"/>
          <w:szCs w:val="20"/>
        </w:rPr>
        <w:t xml:space="preserve"> </w:t>
      </w:r>
      <w:r>
        <w:rPr>
          <w:rFonts w:ascii="宋体" w:hAnsi="宋体" w:eastAsia="宋体" w:cs="宋体"/>
          <w:spacing w:val="4"/>
          <w:sz w:val="20"/>
          <w:szCs w:val="20"/>
        </w:rPr>
        <w:t>2025</w:t>
      </w:r>
      <w:r>
        <w:rPr>
          <w:rFonts w:ascii="宋体" w:hAnsi="宋体" w:eastAsia="宋体" w:cs="宋体"/>
          <w:spacing w:val="-42"/>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 日。</w:t>
      </w:r>
    </w:p>
    <w:p>
      <w:pPr>
        <w:spacing w:before="124" w:line="331" w:lineRule="auto"/>
        <w:ind w:left="1" w:firstLine="421"/>
        <w:rPr>
          <w:rFonts w:ascii="宋体" w:hAnsi="宋体" w:eastAsia="宋体" w:cs="宋体"/>
          <w:sz w:val="20"/>
          <w:szCs w:val="20"/>
        </w:rPr>
      </w:pPr>
      <w:r>
        <w:rPr>
          <w:rFonts w:ascii="宋体" w:hAnsi="宋体" w:eastAsia="宋体" w:cs="宋体"/>
          <w:spacing w:val="9"/>
          <w:sz w:val="20"/>
          <w:szCs w:val="20"/>
        </w:rPr>
        <w:t>2. 修编调整后的《山东省建设工程费用项目</w:t>
      </w:r>
      <w:r>
        <w:rPr>
          <w:rFonts w:ascii="宋体" w:hAnsi="宋体" w:eastAsia="宋体" w:cs="宋体"/>
          <w:spacing w:val="8"/>
          <w:sz w:val="20"/>
          <w:szCs w:val="20"/>
        </w:rPr>
        <w:t>组成及计算规则》《山东省建筑工程消耗量定额》</w:t>
      </w:r>
      <w:r>
        <w:rPr>
          <w:rFonts w:ascii="宋体" w:hAnsi="宋体" w:eastAsia="宋体" w:cs="宋体"/>
          <w:spacing w:val="11"/>
          <w:sz w:val="20"/>
          <w:szCs w:val="20"/>
        </w:rPr>
        <w:t>是建设工程开展发包与承包计价活动的参考。在使用本计价依据时，应在原有人工</w:t>
      </w:r>
      <w:r>
        <w:rPr>
          <w:rFonts w:ascii="宋体" w:hAnsi="宋体" w:eastAsia="宋体" w:cs="宋体"/>
          <w:spacing w:val="10"/>
          <w:sz w:val="20"/>
          <w:szCs w:val="20"/>
        </w:rPr>
        <w:t>单价水平基础上</w:t>
      </w:r>
      <w:r>
        <w:rPr>
          <w:rFonts w:ascii="宋体" w:hAnsi="宋体" w:eastAsia="宋体" w:cs="宋体"/>
          <w:spacing w:val="14"/>
          <w:sz w:val="20"/>
          <w:szCs w:val="20"/>
        </w:rPr>
        <w:t>进行适当调增。参考调增比例：建筑工程</w:t>
      </w:r>
      <w:r>
        <w:rPr>
          <w:rFonts w:ascii="宋体" w:hAnsi="宋体" w:eastAsia="宋体" w:cs="宋体"/>
          <w:spacing w:val="-16"/>
          <w:sz w:val="20"/>
          <w:szCs w:val="20"/>
        </w:rPr>
        <w:t xml:space="preserve"> </w:t>
      </w:r>
      <w:r>
        <w:rPr>
          <w:rFonts w:ascii="宋体" w:hAnsi="宋体" w:eastAsia="宋体" w:cs="宋体"/>
          <w:spacing w:val="14"/>
          <w:sz w:val="20"/>
          <w:szCs w:val="20"/>
        </w:rPr>
        <w:t>11%，装饰工程5%。</w:t>
      </w:r>
    </w:p>
    <w:p>
      <w:pPr>
        <w:spacing w:before="123" w:line="320" w:lineRule="auto"/>
        <w:ind w:left="2" w:right="22" w:firstLine="424"/>
        <w:rPr>
          <w:rFonts w:ascii="宋体" w:hAnsi="宋体" w:eastAsia="宋体" w:cs="宋体"/>
          <w:sz w:val="20"/>
          <w:szCs w:val="20"/>
        </w:rPr>
      </w:pPr>
      <w:r>
        <w:rPr>
          <w:rFonts w:ascii="宋体" w:hAnsi="宋体" w:eastAsia="宋体" w:cs="宋体"/>
          <w:spacing w:val="8"/>
          <w:sz w:val="20"/>
          <w:szCs w:val="20"/>
        </w:rPr>
        <w:t>3. 修编调整后的《山东省建筑工程消耗量定额》适用于我省行政区域内的一般工业</w:t>
      </w:r>
      <w:r>
        <w:rPr>
          <w:rFonts w:ascii="宋体" w:hAnsi="宋体" w:eastAsia="宋体" w:cs="宋体"/>
          <w:spacing w:val="7"/>
          <w:sz w:val="20"/>
          <w:szCs w:val="20"/>
        </w:rPr>
        <w:t>与民用建筑</w:t>
      </w:r>
      <w:r>
        <w:rPr>
          <w:rFonts w:ascii="宋体" w:hAnsi="宋体" w:eastAsia="宋体" w:cs="宋体"/>
          <w:spacing w:val="11"/>
          <w:sz w:val="20"/>
          <w:szCs w:val="20"/>
        </w:rPr>
        <w:t>的新建、扩建和改建房屋建筑与装饰工程，是开展工程实施阶段计价活动、</w:t>
      </w:r>
      <w:r>
        <w:rPr>
          <w:rFonts w:ascii="宋体" w:hAnsi="宋体" w:eastAsia="宋体" w:cs="宋体"/>
          <w:spacing w:val="10"/>
          <w:sz w:val="20"/>
          <w:szCs w:val="20"/>
        </w:rPr>
        <w:t>编制各类造价文件的参</w:t>
      </w:r>
      <w:r>
        <w:rPr>
          <w:rFonts w:ascii="宋体" w:hAnsi="宋体" w:eastAsia="宋体" w:cs="宋体"/>
          <w:spacing w:val="2"/>
          <w:sz w:val="20"/>
          <w:szCs w:val="20"/>
        </w:rPr>
        <w:t>考。</w:t>
      </w:r>
    </w:p>
    <w:p>
      <w:pPr>
        <w:spacing w:before="160" w:line="276" w:lineRule="exact"/>
        <w:ind w:left="420"/>
        <w:rPr>
          <w:rFonts w:ascii="宋体" w:hAnsi="宋体" w:eastAsia="宋体" w:cs="宋体"/>
          <w:sz w:val="20"/>
          <w:szCs w:val="20"/>
        </w:rPr>
      </w:pPr>
      <w:r>
        <w:rPr>
          <w:rFonts w:ascii="宋体" w:hAnsi="宋体" w:eastAsia="宋体" w:cs="宋体"/>
          <w:spacing w:val="7"/>
          <w:position w:val="1"/>
          <w:sz w:val="20"/>
          <w:szCs w:val="20"/>
        </w:rPr>
        <w:t>4. 拆除工程相关计价按现行《山东省房屋修缮工程消耗量定额》执行。</w:t>
      </w:r>
    </w:p>
    <w:p>
      <w:pPr>
        <w:spacing w:before="124" w:line="278" w:lineRule="exact"/>
        <w:ind w:left="423"/>
        <w:rPr>
          <w:rFonts w:ascii="宋体" w:hAnsi="宋体" w:eastAsia="宋体" w:cs="宋体"/>
          <w:sz w:val="20"/>
          <w:szCs w:val="20"/>
        </w:rPr>
      </w:pPr>
      <w:r>
        <w:rPr>
          <w:rFonts w:ascii="宋体" w:hAnsi="宋体" w:eastAsia="宋体" w:cs="宋体"/>
          <w:b/>
          <w:bCs/>
          <w:spacing w:val="1"/>
          <w:position w:val="1"/>
          <w:sz w:val="20"/>
          <w:szCs w:val="20"/>
        </w:rPr>
        <w:t>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1" w:line="369" w:lineRule="auto"/>
        <w:ind w:right="22" w:firstLine="420"/>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不单独计算。暂列金额中的其他检验试验费是指除企业管理费中包含的检验试</w:t>
      </w:r>
      <w:r>
        <w:rPr>
          <w:rFonts w:ascii="宋体" w:hAnsi="宋体" w:eastAsia="宋体" w:cs="宋体"/>
          <w:spacing w:val="10"/>
          <w:sz w:val="20"/>
          <w:szCs w:val="20"/>
        </w:rPr>
        <w:t>验费之外，开展特殊</w:t>
      </w:r>
      <w:r>
        <w:rPr>
          <w:rFonts w:ascii="宋体" w:hAnsi="宋体" w:eastAsia="宋体" w:cs="宋体"/>
          <w:spacing w:val="9"/>
          <w:sz w:val="20"/>
          <w:szCs w:val="20"/>
        </w:rPr>
        <w:t>性鉴定，检查等所发生的费用，其他检验试验费包括：</w:t>
      </w:r>
    </w:p>
    <w:p>
      <w:pPr>
        <w:spacing w:line="277"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4" w:line="278" w:lineRule="exact"/>
        <w:ind w:left="413"/>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1" w:line="277" w:lineRule="exact"/>
        <w:ind w:left="413"/>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w:t>
      </w:r>
      <w:r>
        <w:rPr>
          <w:rFonts w:ascii="宋体" w:hAnsi="宋体" w:eastAsia="宋体" w:cs="宋体"/>
          <w:spacing w:val="9"/>
          <w:position w:val="1"/>
          <w:sz w:val="20"/>
          <w:szCs w:val="20"/>
        </w:rPr>
        <w:t>，由承包人支付的检验试验费用；</w:t>
      </w:r>
    </w:p>
    <w:p>
      <w:pPr>
        <w:spacing w:before="123" w:line="278" w:lineRule="exact"/>
        <w:ind w:left="413"/>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3" w:line="350" w:lineRule="auto"/>
        <w:ind w:left="2" w:right="22" w:firstLine="418"/>
        <w:rPr>
          <w:rFonts w:ascii="宋体" w:hAnsi="宋体" w:eastAsia="宋体" w:cs="宋体"/>
          <w:sz w:val="20"/>
          <w:szCs w:val="20"/>
        </w:rPr>
      </w:pPr>
      <w:r>
        <w:rPr>
          <w:rFonts w:ascii="宋体" w:hAnsi="宋体" w:eastAsia="宋体" w:cs="宋体"/>
          <w:spacing w:val="11"/>
          <w:sz w:val="20"/>
          <w:szCs w:val="20"/>
        </w:rPr>
        <w:t>对承包人提供的、具有检验合格证明的材料，发包人要求再次检验且经检测不合</w:t>
      </w:r>
      <w:r>
        <w:rPr>
          <w:rFonts w:ascii="宋体" w:hAnsi="宋体" w:eastAsia="宋体" w:cs="宋体"/>
          <w:spacing w:val="10"/>
          <w:sz w:val="20"/>
          <w:szCs w:val="20"/>
        </w:rPr>
        <w:t>格的，检测费</w:t>
      </w:r>
      <w:r>
        <w:rPr>
          <w:rFonts w:ascii="宋体" w:hAnsi="宋体" w:eastAsia="宋体" w:cs="宋体"/>
          <w:spacing w:val="9"/>
          <w:sz w:val="20"/>
          <w:szCs w:val="20"/>
        </w:rPr>
        <w:t>用由承包人承担，不计入工程造价。</w:t>
      </w:r>
    </w:p>
    <w:p>
      <w:pPr>
        <w:spacing w:before="41" w:line="279" w:lineRule="exact"/>
        <w:ind w:left="423"/>
        <w:rPr>
          <w:rFonts w:ascii="宋体" w:hAnsi="宋体" w:eastAsia="宋体" w:cs="宋体"/>
          <w:sz w:val="20"/>
          <w:szCs w:val="20"/>
        </w:rPr>
      </w:pPr>
      <w:r>
        <w:rPr>
          <w:rFonts w:ascii="宋体" w:hAnsi="宋体" w:eastAsia="宋体" w:cs="宋体"/>
          <w:b/>
          <w:bCs/>
          <w:spacing w:val="4"/>
          <w:position w:val="1"/>
          <w:sz w:val="20"/>
          <w:szCs w:val="20"/>
        </w:rPr>
        <w:t>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关于单独土石方、基础土石方的划分</w:t>
      </w:r>
    </w:p>
    <w:p>
      <w:pPr>
        <w:spacing w:before="121" w:line="367" w:lineRule="auto"/>
        <w:ind w:left="3" w:right="18" w:firstLine="416"/>
        <w:rPr>
          <w:rFonts w:ascii="宋体" w:hAnsi="宋体" w:eastAsia="宋体" w:cs="宋体"/>
          <w:sz w:val="20"/>
          <w:szCs w:val="20"/>
        </w:rPr>
      </w:pPr>
      <w:r>
        <w:rPr>
          <w:rFonts w:ascii="宋体" w:hAnsi="宋体" w:eastAsia="宋体" w:cs="宋体"/>
          <w:spacing w:val="6"/>
          <w:sz w:val="20"/>
          <w:szCs w:val="20"/>
        </w:rPr>
        <w:t>单独土石方子目，适用于为使施工场地达到预设标高(设计室外</w:t>
      </w:r>
      <w:r>
        <w:rPr>
          <w:rFonts w:ascii="宋体" w:hAnsi="宋体" w:eastAsia="宋体" w:cs="宋体"/>
          <w:spacing w:val="5"/>
          <w:sz w:val="20"/>
          <w:szCs w:val="20"/>
        </w:rPr>
        <w:t>标高/设计室外地面做法底标高 /</w:t>
      </w:r>
      <w:r>
        <w:rPr>
          <w:rFonts w:ascii="宋体" w:hAnsi="宋体" w:eastAsia="宋体" w:cs="宋体"/>
          <w:spacing w:val="6"/>
          <w:sz w:val="20"/>
          <w:szCs w:val="20"/>
        </w:rPr>
        <w:t>委托人指定标高)所进行的土石方工程。</w:t>
      </w:r>
    </w:p>
    <w:p>
      <w:pPr>
        <w:spacing w:before="9" w:line="222" w:lineRule="auto"/>
        <w:ind w:left="420"/>
        <w:rPr>
          <w:rFonts w:ascii="宋体" w:hAnsi="宋体" w:eastAsia="宋体" w:cs="宋体"/>
          <w:sz w:val="20"/>
          <w:szCs w:val="20"/>
        </w:rPr>
      </w:pPr>
      <w:r>
        <w:rPr>
          <w:rFonts w:ascii="宋体" w:hAnsi="宋体" w:eastAsia="宋体" w:cs="宋体"/>
          <w:spacing w:val="9"/>
          <w:sz w:val="20"/>
          <w:szCs w:val="20"/>
        </w:rPr>
        <w:t>基础土石方子目，适用于预设标高以下为实施基础施工所进行的土石方工程。</w:t>
      </w:r>
    </w:p>
    <w:p>
      <w:pPr>
        <w:spacing w:before="156" w:line="276" w:lineRule="exact"/>
        <w:ind w:left="420"/>
        <w:rPr>
          <w:rFonts w:ascii="宋体" w:hAnsi="宋体" w:eastAsia="宋体" w:cs="宋体"/>
          <w:sz w:val="20"/>
          <w:szCs w:val="20"/>
        </w:rPr>
      </w:pPr>
      <w:r>
        <w:rPr>
          <w:rFonts w:ascii="宋体" w:hAnsi="宋体" w:eastAsia="宋体" w:cs="宋体"/>
          <w:spacing w:val="9"/>
          <w:position w:val="1"/>
          <w:sz w:val="20"/>
          <w:szCs w:val="20"/>
        </w:rPr>
        <w:t>单独土石方子目不能满足计价需要时，可以借用基础土石方子目，相应子目乘以系数0.9。</w:t>
      </w:r>
    </w:p>
    <w:p>
      <w:pPr>
        <w:spacing w:before="123" w:line="276" w:lineRule="exact"/>
        <w:ind w:left="421"/>
        <w:rPr>
          <w:rFonts w:ascii="宋体" w:hAnsi="宋体" w:eastAsia="宋体" w:cs="宋体"/>
          <w:sz w:val="20"/>
          <w:szCs w:val="20"/>
        </w:rPr>
      </w:pPr>
      <w:r>
        <w:rPr>
          <w:rFonts w:ascii="宋体" w:hAnsi="宋体" w:eastAsia="宋体" w:cs="宋体"/>
          <w:b/>
          <w:bCs/>
          <w:spacing w:val="2"/>
          <w:position w:val="1"/>
          <w:sz w:val="20"/>
          <w:szCs w:val="20"/>
        </w:rPr>
        <w:t>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关于平整场地的计价</w:t>
      </w:r>
    </w:p>
    <w:p>
      <w:pPr>
        <w:spacing w:before="125" w:line="352" w:lineRule="auto"/>
        <w:ind w:right="19" w:firstLine="420"/>
        <w:rPr>
          <w:rFonts w:ascii="宋体" w:hAnsi="宋体" w:eastAsia="宋体" w:cs="宋体"/>
          <w:sz w:val="20"/>
          <w:szCs w:val="20"/>
        </w:rPr>
      </w:pPr>
      <w:r>
        <w:rPr>
          <w:rFonts w:ascii="宋体" w:hAnsi="宋体" w:eastAsia="宋体" w:cs="宋体"/>
          <w:spacing w:val="10"/>
          <w:sz w:val="20"/>
          <w:szCs w:val="20"/>
        </w:rPr>
        <w:t>平整场地，系指基础土石方施工前，对建筑物（构筑物）所在场地</w:t>
      </w:r>
      <w:r>
        <w:rPr>
          <w:rFonts w:ascii="宋体" w:hAnsi="宋体" w:eastAsia="宋体" w:cs="宋体"/>
          <w:spacing w:val="-40"/>
          <w:sz w:val="20"/>
          <w:szCs w:val="20"/>
        </w:rPr>
        <w:t xml:space="preserve"> </w:t>
      </w:r>
      <w:r>
        <w:rPr>
          <w:rFonts w:ascii="宋体" w:hAnsi="宋体" w:eastAsia="宋体" w:cs="宋体"/>
          <w:spacing w:val="10"/>
          <w:sz w:val="20"/>
          <w:szCs w:val="20"/>
        </w:rPr>
        <w:t>±300</w:t>
      </w:r>
      <w:r>
        <w:rPr>
          <w:rFonts w:ascii="宋体" w:hAnsi="宋体" w:eastAsia="宋体" w:cs="宋体"/>
          <w:sz w:val="20"/>
          <w:szCs w:val="20"/>
        </w:rPr>
        <w:t>mm</w:t>
      </w:r>
      <w:r>
        <w:rPr>
          <w:rFonts w:ascii="宋体" w:hAnsi="宋体" w:eastAsia="宋体" w:cs="宋体"/>
          <w:spacing w:val="-23"/>
          <w:sz w:val="20"/>
          <w:szCs w:val="20"/>
        </w:rPr>
        <w:t xml:space="preserve"> </w:t>
      </w:r>
      <w:r>
        <w:rPr>
          <w:rFonts w:ascii="宋体" w:hAnsi="宋体" w:eastAsia="宋体" w:cs="宋体"/>
          <w:spacing w:val="10"/>
          <w:sz w:val="20"/>
          <w:szCs w:val="20"/>
        </w:rPr>
        <w:t>以内的就地挖、填及平整。单独土石方和基础土石方由同一承</w:t>
      </w:r>
      <w:r>
        <w:rPr>
          <w:rFonts w:ascii="宋体" w:hAnsi="宋体" w:eastAsia="宋体" w:cs="宋体"/>
          <w:spacing w:val="9"/>
          <w:sz w:val="20"/>
          <w:szCs w:val="20"/>
        </w:rPr>
        <w:t>包人连续施工，不计算平整场地。</w:t>
      </w:r>
    </w:p>
    <w:p>
      <w:pPr>
        <w:spacing w:before="36" w:line="278" w:lineRule="exact"/>
        <w:ind w:left="425"/>
        <w:rPr>
          <w:rFonts w:ascii="宋体" w:hAnsi="宋体" w:eastAsia="宋体" w:cs="宋体"/>
          <w:sz w:val="20"/>
          <w:szCs w:val="20"/>
        </w:rPr>
      </w:pPr>
      <w:r>
        <w:rPr>
          <w:rFonts w:ascii="宋体" w:hAnsi="宋体" w:eastAsia="宋体" w:cs="宋体"/>
          <w:b/>
          <w:bCs/>
          <w:spacing w:val="3"/>
          <w:position w:val="1"/>
          <w:sz w:val="20"/>
          <w:szCs w:val="20"/>
        </w:rPr>
        <w:t>8.</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关于土壤及岩石类别的确定</w:t>
      </w:r>
    </w:p>
    <w:p>
      <w:pPr>
        <w:spacing w:before="127" w:line="367" w:lineRule="auto"/>
        <w:ind w:right="22" w:firstLine="420"/>
        <w:rPr>
          <w:rFonts w:ascii="宋体" w:hAnsi="宋体" w:eastAsia="宋体" w:cs="宋体"/>
          <w:sz w:val="20"/>
          <w:szCs w:val="20"/>
        </w:rPr>
      </w:pPr>
      <w:r>
        <w:rPr>
          <w:rFonts w:ascii="宋体" w:hAnsi="宋体" w:eastAsia="宋体" w:cs="宋体"/>
          <w:spacing w:val="11"/>
          <w:sz w:val="20"/>
          <w:szCs w:val="20"/>
        </w:rPr>
        <w:t>定额中的土壤分类表和岩石分类表是判定土壤和岩石类别的依据，判定时不以开</w:t>
      </w:r>
      <w:r>
        <w:rPr>
          <w:rFonts w:ascii="宋体" w:hAnsi="宋体" w:eastAsia="宋体" w:cs="宋体"/>
          <w:spacing w:val="10"/>
          <w:sz w:val="20"/>
          <w:szCs w:val="20"/>
        </w:rPr>
        <w:t>挖方法对土壤</w:t>
      </w:r>
      <w:r>
        <w:rPr>
          <w:rFonts w:ascii="宋体" w:hAnsi="宋体" w:eastAsia="宋体" w:cs="宋体"/>
          <w:spacing w:val="9"/>
          <w:sz w:val="20"/>
          <w:szCs w:val="20"/>
        </w:rPr>
        <w:t>及岩石类别进行判定，均应以地勘报告为准。</w:t>
      </w:r>
    </w:p>
    <w:p>
      <w:pPr>
        <w:spacing w:line="276" w:lineRule="exact"/>
        <w:ind w:left="423"/>
        <w:rPr>
          <w:rFonts w:ascii="宋体" w:hAnsi="宋体" w:eastAsia="宋体" w:cs="宋体"/>
          <w:sz w:val="20"/>
          <w:szCs w:val="20"/>
        </w:rPr>
      </w:pPr>
      <w:r>
        <w:rPr>
          <w:rFonts w:ascii="宋体" w:hAnsi="宋体" w:eastAsia="宋体" w:cs="宋体"/>
          <w:b/>
          <w:bCs/>
          <w:spacing w:val="6"/>
          <w:position w:val="1"/>
          <w:sz w:val="20"/>
          <w:szCs w:val="20"/>
        </w:rPr>
        <w:t>9.</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关于机械挖土以及机械挖土后的人工清理修整</w:t>
      </w:r>
      <w:r>
        <w:rPr>
          <w:rFonts w:ascii="宋体" w:hAnsi="宋体" w:eastAsia="宋体" w:cs="宋体"/>
          <w:b/>
          <w:bCs/>
          <w:spacing w:val="5"/>
          <w:position w:val="1"/>
          <w:sz w:val="20"/>
          <w:szCs w:val="20"/>
        </w:rPr>
        <w:t>的计价</w:t>
      </w:r>
    </w:p>
    <w:p>
      <w:pPr>
        <w:spacing w:line="276" w:lineRule="exact"/>
        <w:rPr>
          <w:rFonts w:ascii="宋体" w:hAnsi="宋体" w:eastAsia="宋体" w:cs="宋体"/>
          <w:sz w:val="20"/>
          <w:szCs w:val="20"/>
        </w:rPr>
        <w:sectPr>
          <w:footerReference r:id="rId230" w:type="default"/>
          <w:pgSz w:w="11906" w:h="16839"/>
          <w:pgMar w:top="400" w:right="139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1" w:lineRule="auto"/>
        <w:ind w:right="79" w:firstLine="422"/>
        <w:rPr>
          <w:rFonts w:ascii="宋体" w:hAnsi="宋体" w:eastAsia="宋体" w:cs="宋体"/>
          <w:sz w:val="20"/>
          <w:szCs w:val="20"/>
        </w:rPr>
      </w:pPr>
      <w:r>
        <w:rPr>
          <w:rFonts w:ascii="宋体" w:hAnsi="宋体" w:eastAsia="宋体" w:cs="宋体"/>
          <w:spacing w:val="11"/>
          <w:sz w:val="20"/>
          <w:szCs w:val="20"/>
        </w:rPr>
        <w:t>机械挖土后的人工清理修整，系指机械挖土后，对于基底和边坡遗留厚度≤300</w:t>
      </w:r>
      <w:r>
        <w:rPr>
          <w:rFonts w:ascii="宋体" w:hAnsi="宋体" w:eastAsia="宋体" w:cs="宋体"/>
          <w:sz w:val="20"/>
          <w:szCs w:val="20"/>
        </w:rPr>
        <w:t>mm</w:t>
      </w:r>
      <w:r>
        <w:rPr>
          <w:rFonts w:ascii="宋体" w:hAnsi="宋体" w:eastAsia="宋体" w:cs="宋体"/>
          <w:spacing w:val="-8"/>
          <w:sz w:val="20"/>
          <w:szCs w:val="20"/>
        </w:rPr>
        <w:t xml:space="preserve"> </w:t>
      </w:r>
      <w:r>
        <w:rPr>
          <w:rFonts w:ascii="宋体" w:hAnsi="宋体" w:eastAsia="宋体" w:cs="宋体"/>
          <w:spacing w:val="11"/>
          <w:sz w:val="20"/>
          <w:szCs w:val="20"/>
        </w:rPr>
        <w:t>的土方，由</w:t>
      </w:r>
      <w:r>
        <w:rPr>
          <w:rFonts w:ascii="宋体" w:hAnsi="宋体" w:eastAsia="宋体" w:cs="宋体"/>
          <w:spacing w:val="8"/>
          <w:sz w:val="20"/>
          <w:szCs w:val="20"/>
        </w:rPr>
        <w:t>人工进行的基底清理与边坡修整。</w:t>
      </w:r>
    </w:p>
    <w:p>
      <w:pPr>
        <w:spacing w:before="44" w:line="368" w:lineRule="auto"/>
        <w:ind w:right="79" w:firstLine="422"/>
        <w:jc w:val="both"/>
        <w:rPr>
          <w:rFonts w:ascii="宋体" w:hAnsi="宋体" w:eastAsia="宋体" w:cs="宋体"/>
          <w:sz w:val="20"/>
          <w:szCs w:val="20"/>
        </w:rPr>
      </w:pPr>
      <w:r>
        <w:rPr>
          <w:rFonts w:ascii="宋体" w:hAnsi="宋体" w:eastAsia="宋体" w:cs="宋体"/>
          <w:spacing w:val="11"/>
          <w:sz w:val="20"/>
          <w:szCs w:val="20"/>
        </w:rPr>
        <w:t>机械挖土以及机械挖土后的人工清理修整，挖方总量按机械挖土相应规则</w:t>
      </w:r>
      <w:r>
        <w:rPr>
          <w:rFonts w:ascii="宋体" w:hAnsi="宋体" w:eastAsia="宋体" w:cs="宋体"/>
          <w:spacing w:val="10"/>
          <w:sz w:val="20"/>
          <w:szCs w:val="20"/>
        </w:rPr>
        <w:t>一并计算。其中，机</w:t>
      </w:r>
      <w:r>
        <w:rPr>
          <w:rFonts w:ascii="宋体" w:hAnsi="宋体" w:eastAsia="宋体" w:cs="宋体"/>
          <w:spacing w:val="11"/>
          <w:sz w:val="20"/>
          <w:szCs w:val="20"/>
        </w:rPr>
        <w:t>械挖土部分按挖方总量执行相应子目，并乘以规定的系数；人工清理修整部分</w:t>
      </w:r>
      <w:r>
        <w:rPr>
          <w:rFonts w:ascii="宋体" w:hAnsi="宋体" w:eastAsia="宋体" w:cs="宋体"/>
          <w:spacing w:val="10"/>
          <w:sz w:val="20"/>
          <w:szCs w:val="20"/>
        </w:rPr>
        <w:t>，按挖方总量执行规</w:t>
      </w:r>
      <w:r>
        <w:rPr>
          <w:rFonts w:ascii="宋体" w:hAnsi="宋体" w:eastAsia="宋体" w:cs="宋体"/>
          <w:spacing w:val="8"/>
          <w:sz w:val="20"/>
          <w:szCs w:val="20"/>
        </w:rPr>
        <w:t>定的子目，再乘以相应系数。</w:t>
      </w:r>
    </w:p>
    <w:p>
      <w:pPr>
        <w:spacing w:line="276" w:lineRule="exact"/>
        <w:ind w:left="439"/>
        <w:rPr>
          <w:rFonts w:ascii="宋体" w:hAnsi="宋体" w:eastAsia="宋体" w:cs="宋体"/>
          <w:sz w:val="20"/>
          <w:szCs w:val="20"/>
        </w:rPr>
      </w:pPr>
      <w:r>
        <w:rPr>
          <w:rFonts w:ascii="宋体" w:hAnsi="宋体" w:eastAsia="宋体" w:cs="宋体"/>
          <w:b/>
          <w:bCs/>
          <w:spacing w:val="1"/>
          <w:position w:val="1"/>
          <w:sz w:val="20"/>
          <w:szCs w:val="20"/>
        </w:rPr>
        <w:t>10.</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关于土石方运输的计价</w:t>
      </w:r>
    </w:p>
    <w:p>
      <w:pPr>
        <w:spacing w:before="126" w:line="368" w:lineRule="auto"/>
        <w:ind w:right="79" w:firstLine="425"/>
        <w:rPr>
          <w:rFonts w:ascii="宋体" w:hAnsi="宋体" w:eastAsia="宋体" w:cs="宋体"/>
          <w:sz w:val="20"/>
          <w:szCs w:val="20"/>
        </w:rPr>
      </w:pPr>
      <w:r>
        <w:rPr>
          <w:rFonts w:ascii="宋体" w:hAnsi="宋体" w:eastAsia="宋体" w:cs="宋体"/>
          <w:spacing w:val="11"/>
          <w:sz w:val="20"/>
          <w:szCs w:val="20"/>
        </w:rPr>
        <w:t>土石方运输，按施工现场范围内运输编制，不适用于施工现场范围</w:t>
      </w:r>
      <w:r>
        <w:rPr>
          <w:rFonts w:ascii="宋体" w:hAnsi="宋体" w:eastAsia="宋体" w:cs="宋体"/>
          <w:spacing w:val="10"/>
          <w:sz w:val="20"/>
          <w:szCs w:val="20"/>
        </w:rPr>
        <w:t>之外道路上的运输。因弃土</w:t>
      </w:r>
      <w:r>
        <w:rPr>
          <w:rFonts w:ascii="宋体" w:hAnsi="宋体" w:eastAsia="宋体" w:cs="宋体"/>
          <w:spacing w:val="9"/>
          <w:sz w:val="20"/>
          <w:szCs w:val="20"/>
        </w:rPr>
        <w:t>外运以及弃土处理等发生的额外费用，按发承包双方合同约定执行。</w:t>
      </w:r>
    </w:p>
    <w:p>
      <w:pPr>
        <w:spacing w:line="276" w:lineRule="exact"/>
        <w:ind w:left="439"/>
        <w:rPr>
          <w:rFonts w:ascii="宋体" w:hAnsi="宋体" w:eastAsia="宋体" w:cs="宋体"/>
          <w:sz w:val="20"/>
          <w:szCs w:val="20"/>
        </w:rPr>
      </w:pPr>
      <w:r>
        <w:rPr>
          <w:rFonts w:ascii="宋体" w:hAnsi="宋体" w:eastAsia="宋体" w:cs="宋体"/>
          <w:b/>
          <w:bCs/>
          <w:spacing w:val="4"/>
          <w:position w:val="1"/>
          <w:sz w:val="20"/>
          <w:szCs w:val="20"/>
        </w:rPr>
        <w:t>11.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关于筏形基础垫层以下局部加深槽坑的计价</w:t>
      </w:r>
    </w:p>
    <w:p>
      <w:pPr>
        <w:spacing w:before="122" w:line="277" w:lineRule="exact"/>
        <w:ind w:left="418"/>
        <w:rPr>
          <w:rFonts w:ascii="宋体" w:hAnsi="宋体" w:eastAsia="宋体" w:cs="宋体"/>
          <w:sz w:val="20"/>
          <w:szCs w:val="20"/>
        </w:rPr>
      </w:pPr>
      <w:r>
        <w:rPr>
          <w:rFonts w:ascii="宋体" w:hAnsi="宋体" w:eastAsia="宋体" w:cs="宋体"/>
          <w:spacing w:val="10"/>
          <w:position w:val="1"/>
          <w:sz w:val="20"/>
          <w:szCs w:val="20"/>
        </w:rPr>
        <w:t>筏形基础垫层以下局部加深的槽坑，该部分土方并入</w:t>
      </w:r>
      <w:r>
        <w:rPr>
          <w:rFonts w:ascii="宋体" w:hAnsi="宋体" w:eastAsia="宋体" w:cs="宋体"/>
          <w:spacing w:val="9"/>
          <w:position w:val="1"/>
          <w:sz w:val="20"/>
          <w:szCs w:val="20"/>
        </w:rPr>
        <w:t>挖方总量，不再单独执行槽坑子目。</w:t>
      </w:r>
    </w:p>
    <w:p>
      <w:pPr>
        <w:spacing w:before="124" w:line="276" w:lineRule="exact"/>
        <w:ind w:left="439"/>
        <w:rPr>
          <w:rFonts w:ascii="宋体" w:hAnsi="宋体" w:eastAsia="宋体" w:cs="宋体"/>
          <w:sz w:val="20"/>
          <w:szCs w:val="20"/>
        </w:rPr>
      </w:pPr>
      <w:r>
        <w:rPr>
          <w:rFonts w:ascii="宋体" w:hAnsi="宋体" w:eastAsia="宋体" w:cs="宋体"/>
          <w:b/>
          <w:bCs/>
          <w:spacing w:val="2"/>
          <w:position w:val="1"/>
          <w:sz w:val="20"/>
          <w:szCs w:val="20"/>
        </w:rPr>
        <w:t>12.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关于施工坡道土方的计价</w:t>
      </w:r>
    </w:p>
    <w:p>
      <w:pPr>
        <w:spacing w:before="125" w:line="361" w:lineRule="auto"/>
        <w:ind w:left="1" w:right="76" w:firstLine="418"/>
        <w:jc w:val="both"/>
        <w:rPr>
          <w:rFonts w:ascii="宋体" w:hAnsi="宋体" w:eastAsia="宋体" w:cs="宋体"/>
          <w:sz w:val="20"/>
          <w:szCs w:val="20"/>
        </w:rPr>
      </w:pPr>
      <w:r>
        <w:rPr>
          <w:rFonts w:ascii="宋体" w:hAnsi="宋体" w:eastAsia="宋体" w:cs="宋体"/>
          <w:spacing w:val="10"/>
          <w:sz w:val="20"/>
          <w:szCs w:val="20"/>
        </w:rPr>
        <w:t>基坑开挖时如预留施工坡道，其坡道下方土石体积执行机械挖槽坑土石方相应子</w:t>
      </w:r>
      <w:r>
        <w:rPr>
          <w:rFonts w:ascii="宋体" w:hAnsi="宋体" w:eastAsia="宋体" w:cs="宋体"/>
          <w:spacing w:val="9"/>
          <w:sz w:val="20"/>
          <w:szCs w:val="20"/>
        </w:rPr>
        <w:t>目，乘以系数</w:t>
      </w:r>
      <w:r>
        <w:rPr>
          <w:rFonts w:ascii="宋体" w:hAnsi="宋体" w:eastAsia="宋体" w:cs="宋体"/>
          <w:spacing w:val="8"/>
          <w:sz w:val="20"/>
          <w:szCs w:val="20"/>
        </w:rPr>
        <w:t>1.5。该费用已包含挖掘机挖筑形成坡道斜面、使用期间的坡道维护及使用后坡道下的土石方挖除等</w:t>
      </w:r>
      <w:r>
        <w:rPr>
          <w:rFonts w:ascii="宋体" w:hAnsi="宋体" w:eastAsia="宋体" w:cs="宋体"/>
          <w:spacing w:val="9"/>
          <w:sz w:val="20"/>
          <w:szCs w:val="20"/>
        </w:rPr>
        <w:t>工作内容。若采取基坑开挖后再修筑施工坡道的，其费用另行计算。</w:t>
      </w:r>
    </w:p>
    <w:p>
      <w:pPr>
        <w:spacing w:before="28" w:line="224" w:lineRule="auto"/>
        <w:ind w:left="424"/>
        <w:rPr>
          <w:rFonts w:ascii="宋体" w:hAnsi="宋体" w:eastAsia="宋体" w:cs="宋体"/>
          <w:sz w:val="20"/>
          <w:szCs w:val="20"/>
        </w:rPr>
      </w:pPr>
      <w:r>
        <w:rPr>
          <w:rFonts w:ascii="宋体" w:hAnsi="宋体" w:eastAsia="宋体" w:cs="宋体"/>
          <w:spacing w:val="9"/>
          <w:sz w:val="20"/>
          <w:szCs w:val="20"/>
        </w:rPr>
        <w:t>预留施工坡道，按照坡道下方的土石方体积计算，其工程量与基坑土石方不重复计算。</w:t>
      </w:r>
    </w:p>
    <w:p>
      <w:pPr>
        <w:spacing w:before="154" w:line="278" w:lineRule="exact"/>
        <w:ind w:left="439"/>
        <w:rPr>
          <w:rFonts w:ascii="宋体" w:hAnsi="宋体" w:eastAsia="宋体" w:cs="宋体"/>
          <w:sz w:val="20"/>
          <w:szCs w:val="20"/>
        </w:rPr>
      </w:pPr>
      <w:r>
        <w:rPr>
          <w:rFonts w:ascii="宋体" w:hAnsi="宋体" w:eastAsia="宋体" w:cs="宋体"/>
          <w:b/>
          <w:bCs/>
          <w:spacing w:val="2"/>
          <w:position w:val="1"/>
          <w:sz w:val="20"/>
          <w:szCs w:val="20"/>
        </w:rPr>
        <w:t>13.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关于管道沟槽填土的计算</w:t>
      </w:r>
    </w:p>
    <w:p>
      <w:pPr>
        <w:spacing w:before="123" w:line="277" w:lineRule="exact"/>
        <w:ind w:left="423"/>
        <w:rPr>
          <w:rFonts w:ascii="宋体" w:hAnsi="宋体" w:eastAsia="宋体" w:cs="宋体"/>
          <w:sz w:val="20"/>
          <w:szCs w:val="20"/>
        </w:rPr>
      </w:pPr>
      <w:r>
        <w:rPr>
          <w:rFonts w:ascii="宋体" w:hAnsi="宋体" w:eastAsia="宋体" w:cs="宋体"/>
          <w:spacing w:val="6"/>
          <w:position w:val="1"/>
          <w:sz w:val="20"/>
          <w:szCs w:val="20"/>
        </w:rPr>
        <w:t>管道沟槽填土，按挖方体积减去管道基础(含垫层)和管道所占体积计算。</w:t>
      </w:r>
    </w:p>
    <w:p>
      <w:pPr>
        <w:spacing w:before="124" w:line="276" w:lineRule="exact"/>
        <w:ind w:left="439"/>
        <w:rPr>
          <w:rFonts w:ascii="宋体" w:hAnsi="宋体" w:eastAsia="宋体" w:cs="宋体"/>
          <w:sz w:val="20"/>
          <w:szCs w:val="20"/>
        </w:rPr>
      </w:pPr>
      <w:r>
        <w:rPr>
          <w:rFonts w:ascii="宋体" w:hAnsi="宋体" w:eastAsia="宋体" w:cs="宋体"/>
          <w:b/>
          <w:bCs/>
          <w:spacing w:val="1"/>
          <w:position w:val="1"/>
          <w:sz w:val="20"/>
          <w:szCs w:val="20"/>
        </w:rPr>
        <w:t>14.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关于竣工清理的计价</w:t>
      </w:r>
    </w:p>
    <w:p>
      <w:pPr>
        <w:spacing w:before="122" w:line="369" w:lineRule="auto"/>
        <w:ind w:firstLine="420"/>
        <w:rPr>
          <w:rFonts w:ascii="宋体" w:hAnsi="宋体" w:eastAsia="宋体" w:cs="宋体"/>
          <w:sz w:val="20"/>
          <w:szCs w:val="20"/>
        </w:rPr>
      </w:pPr>
      <w:r>
        <w:rPr>
          <w:rFonts w:ascii="宋体" w:hAnsi="宋体" w:eastAsia="宋体" w:cs="宋体"/>
          <w:spacing w:val="11"/>
          <w:sz w:val="20"/>
          <w:szCs w:val="20"/>
        </w:rPr>
        <w:t>竣工清理，系指建筑物（构筑物）内、外建筑垃圾的清理、场内运输和场内指</w:t>
      </w:r>
      <w:r>
        <w:rPr>
          <w:rFonts w:ascii="宋体" w:hAnsi="宋体" w:eastAsia="宋体" w:cs="宋体"/>
          <w:spacing w:val="10"/>
          <w:sz w:val="20"/>
          <w:szCs w:val="20"/>
        </w:rPr>
        <w:t>定地点的集中堆</w:t>
      </w:r>
      <w:r>
        <w:rPr>
          <w:rFonts w:ascii="宋体" w:hAnsi="宋体" w:eastAsia="宋体" w:cs="宋体"/>
          <w:spacing w:val="8"/>
          <w:sz w:val="20"/>
          <w:szCs w:val="20"/>
        </w:rPr>
        <w:t>放，建筑物（构筑物）竣工验收前的清理、清洁等工作内容。不包括建筑垃圾运</w:t>
      </w:r>
      <w:r>
        <w:rPr>
          <w:rFonts w:ascii="宋体" w:hAnsi="宋体" w:eastAsia="宋体" w:cs="宋体"/>
          <w:spacing w:val="7"/>
          <w:sz w:val="20"/>
          <w:szCs w:val="20"/>
        </w:rPr>
        <w:t>出场外的相关内容。</w:t>
      </w:r>
    </w:p>
    <w:p>
      <w:pPr>
        <w:spacing w:before="6" w:line="367" w:lineRule="auto"/>
        <w:ind w:left="2" w:right="79" w:firstLine="418"/>
        <w:rPr>
          <w:rFonts w:ascii="宋体" w:hAnsi="宋体" w:eastAsia="宋体" w:cs="宋体"/>
          <w:sz w:val="20"/>
          <w:szCs w:val="20"/>
        </w:rPr>
      </w:pPr>
      <w:r>
        <w:rPr>
          <w:rFonts w:ascii="宋体" w:hAnsi="宋体" w:eastAsia="宋体" w:cs="宋体"/>
          <w:spacing w:val="11"/>
          <w:sz w:val="20"/>
          <w:szCs w:val="20"/>
        </w:rPr>
        <w:t>竣工清理子目，包括为符合竣工验收标准的清理、清洁，不包括开荒保洁等精</w:t>
      </w:r>
      <w:r>
        <w:rPr>
          <w:rFonts w:ascii="宋体" w:hAnsi="宋体" w:eastAsia="宋体" w:cs="宋体"/>
          <w:spacing w:val="10"/>
          <w:sz w:val="20"/>
          <w:szCs w:val="20"/>
        </w:rPr>
        <w:t>保洁内容，且只</w:t>
      </w:r>
      <w:r>
        <w:rPr>
          <w:rFonts w:ascii="宋体" w:hAnsi="宋体" w:eastAsia="宋体" w:cs="宋体"/>
          <w:spacing w:val="9"/>
          <w:sz w:val="20"/>
          <w:szCs w:val="20"/>
        </w:rPr>
        <w:t>发生于竣工验收前。按照项目属性划分，竣工清理归类为措施项目。</w:t>
      </w:r>
    </w:p>
    <w:p>
      <w:pPr>
        <w:spacing w:before="1" w:line="368" w:lineRule="auto"/>
        <w:ind w:left="1" w:right="79" w:firstLine="419"/>
        <w:jc w:val="both"/>
        <w:rPr>
          <w:rFonts w:ascii="宋体" w:hAnsi="宋体" w:eastAsia="宋体" w:cs="宋体"/>
          <w:sz w:val="20"/>
          <w:szCs w:val="20"/>
        </w:rPr>
      </w:pPr>
      <w:r>
        <w:rPr>
          <w:rFonts w:ascii="宋体" w:hAnsi="宋体" w:eastAsia="宋体" w:cs="宋体"/>
          <w:spacing w:val="11"/>
          <w:sz w:val="20"/>
          <w:szCs w:val="20"/>
        </w:rPr>
        <w:t>建筑物竣工清理，按建筑面积乘以相应层高以体积计算。钢结构建筑物（含建</w:t>
      </w:r>
      <w:r>
        <w:rPr>
          <w:rFonts w:ascii="宋体" w:hAnsi="宋体" w:eastAsia="宋体" w:cs="宋体"/>
          <w:spacing w:val="10"/>
          <w:sz w:val="20"/>
          <w:szCs w:val="20"/>
        </w:rPr>
        <w:t>筑物的钢结构部</w:t>
      </w:r>
      <w:r>
        <w:rPr>
          <w:rFonts w:ascii="宋体" w:hAnsi="宋体" w:eastAsia="宋体" w:cs="宋体"/>
          <w:spacing w:val="6"/>
          <w:sz w:val="20"/>
          <w:szCs w:val="20"/>
        </w:rPr>
        <w:t>分</w:t>
      </w:r>
      <w:r>
        <w:rPr>
          <w:rFonts w:ascii="宋体" w:hAnsi="宋体" w:eastAsia="宋体" w:cs="宋体"/>
          <w:spacing w:val="-5"/>
          <w:sz w:val="20"/>
          <w:szCs w:val="20"/>
        </w:rPr>
        <w:t>），</w:t>
      </w:r>
      <w:r>
        <w:rPr>
          <w:rFonts w:ascii="宋体" w:hAnsi="宋体" w:eastAsia="宋体" w:cs="宋体"/>
          <w:spacing w:val="6"/>
          <w:sz w:val="20"/>
          <w:szCs w:val="20"/>
        </w:rPr>
        <w:t>其竣工清理子目乘以系数0.3；建筑物（钢结构除外）层高＞</w:t>
      </w:r>
      <w:r>
        <w:rPr>
          <w:rFonts w:ascii="宋体" w:hAnsi="宋体" w:eastAsia="宋体" w:cs="宋体"/>
          <w:spacing w:val="-59"/>
          <w:sz w:val="20"/>
          <w:szCs w:val="20"/>
        </w:rPr>
        <w:t xml:space="preserve"> </w:t>
      </w:r>
      <w:r>
        <w:rPr>
          <w:rFonts w:ascii="宋体" w:hAnsi="宋体" w:eastAsia="宋体" w:cs="宋体"/>
          <w:spacing w:val="6"/>
          <w:sz w:val="20"/>
          <w:szCs w:val="20"/>
        </w:rPr>
        <w:t>3.6m</w:t>
      </w:r>
      <w:r>
        <w:rPr>
          <w:rFonts w:ascii="宋体" w:hAnsi="宋体" w:eastAsia="宋体" w:cs="宋体"/>
          <w:spacing w:val="-32"/>
          <w:sz w:val="20"/>
          <w:szCs w:val="20"/>
        </w:rPr>
        <w:t xml:space="preserve"> </w:t>
      </w:r>
      <w:r>
        <w:rPr>
          <w:rFonts w:ascii="宋体" w:hAnsi="宋体" w:eastAsia="宋体" w:cs="宋体"/>
          <w:spacing w:val="6"/>
          <w:sz w:val="20"/>
          <w:szCs w:val="20"/>
        </w:rPr>
        <w:t>时，其超过部</w:t>
      </w:r>
      <w:r>
        <w:rPr>
          <w:rFonts w:ascii="宋体" w:hAnsi="宋体" w:eastAsia="宋体" w:cs="宋体"/>
          <w:spacing w:val="5"/>
          <w:sz w:val="20"/>
          <w:szCs w:val="20"/>
        </w:rPr>
        <w:t>分竣工清理子</w:t>
      </w:r>
      <w:r>
        <w:rPr>
          <w:rFonts w:ascii="宋体" w:hAnsi="宋体" w:eastAsia="宋体" w:cs="宋体"/>
          <w:spacing w:val="6"/>
          <w:sz w:val="20"/>
          <w:szCs w:val="20"/>
        </w:rPr>
        <w:t>目乘以系数0.5。计算</w:t>
      </w:r>
      <w:r>
        <w:rPr>
          <w:rFonts w:ascii="宋体" w:hAnsi="宋体" w:eastAsia="宋体" w:cs="宋体"/>
          <w:spacing w:val="-18"/>
          <w:sz w:val="20"/>
          <w:szCs w:val="20"/>
        </w:rPr>
        <w:t xml:space="preserve"> </w:t>
      </w:r>
      <w:r>
        <w:rPr>
          <w:rFonts w:ascii="宋体" w:hAnsi="宋体" w:eastAsia="宋体" w:cs="宋体"/>
          <w:spacing w:val="6"/>
          <w:sz w:val="20"/>
          <w:szCs w:val="20"/>
        </w:rPr>
        <w:t>1/2</w:t>
      </w:r>
      <w:r>
        <w:rPr>
          <w:rFonts w:ascii="宋体" w:hAnsi="宋体" w:eastAsia="宋体" w:cs="宋体"/>
          <w:spacing w:val="-34"/>
          <w:sz w:val="20"/>
          <w:szCs w:val="20"/>
        </w:rPr>
        <w:t xml:space="preserve"> </w:t>
      </w:r>
      <w:r>
        <w:rPr>
          <w:rFonts w:ascii="宋体" w:hAnsi="宋体" w:eastAsia="宋体" w:cs="宋体"/>
          <w:spacing w:val="6"/>
          <w:sz w:val="20"/>
          <w:szCs w:val="20"/>
        </w:rPr>
        <w:t>面积或不计算面积的空间，无需补足基准面积。</w:t>
      </w:r>
    </w:p>
    <w:p>
      <w:pPr>
        <w:spacing w:before="3" w:line="276" w:lineRule="exact"/>
        <w:ind w:left="439"/>
        <w:rPr>
          <w:rFonts w:ascii="宋体" w:hAnsi="宋体" w:eastAsia="宋体" w:cs="宋体"/>
          <w:sz w:val="20"/>
          <w:szCs w:val="20"/>
        </w:rPr>
      </w:pPr>
      <w:r>
        <w:rPr>
          <w:rFonts w:ascii="宋体" w:hAnsi="宋体" w:eastAsia="宋体" w:cs="宋体"/>
          <w:b/>
          <w:bCs/>
          <w:spacing w:val="4"/>
          <w:position w:val="1"/>
          <w:sz w:val="20"/>
          <w:szCs w:val="20"/>
        </w:rPr>
        <w:t>15.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关于岩石爆破后基础石方开挖深度的确定</w:t>
      </w:r>
    </w:p>
    <w:p>
      <w:pPr>
        <w:spacing w:before="130" w:line="220" w:lineRule="auto"/>
        <w:ind w:left="423"/>
        <w:rPr>
          <w:rFonts w:ascii="宋体" w:hAnsi="宋体" w:eastAsia="宋体" w:cs="宋体"/>
          <w:sz w:val="20"/>
          <w:szCs w:val="20"/>
        </w:rPr>
      </w:pPr>
      <w:r>
        <w:rPr>
          <w:rFonts w:ascii="宋体" w:hAnsi="宋体" w:eastAsia="宋体" w:cs="宋体"/>
          <w:spacing w:val="9"/>
          <w:sz w:val="20"/>
          <w:szCs w:val="20"/>
        </w:rPr>
        <w:t>岩石爆破后，基础石方的开挖深度，应包括岩石爆破的允许超挖深度。</w:t>
      </w:r>
    </w:p>
    <w:p>
      <w:pPr>
        <w:spacing w:before="155" w:line="276" w:lineRule="exact"/>
        <w:ind w:left="439"/>
        <w:rPr>
          <w:rFonts w:ascii="宋体" w:hAnsi="宋体" w:eastAsia="宋体" w:cs="宋体"/>
          <w:sz w:val="20"/>
          <w:szCs w:val="20"/>
        </w:rPr>
      </w:pPr>
      <w:r>
        <w:rPr>
          <w:rFonts w:ascii="宋体" w:hAnsi="宋体" w:eastAsia="宋体" w:cs="宋体"/>
          <w:b/>
          <w:bCs/>
          <w:spacing w:val="4"/>
          <w:position w:val="1"/>
          <w:sz w:val="20"/>
          <w:szCs w:val="20"/>
        </w:rPr>
        <w:t>16.</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关于因岩石爆破而增加的垫层工程量的计算</w:t>
      </w:r>
    </w:p>
    <w:p>
      <w:pPr>
        <w:spacing w:before="126" w:line="368" w:lineRule="auto"/>
        <w:ind w:left="1" w:right="79" w:firstLine="437"/>
        <w:jc w:val="both"/>
        <w:rPr>
          <w:rFonts w:ascii="宋体" w:hAnsi="宋体" w:eastAsia="宋体" w:cs="宋体"/>
          <w:sz w:val="20"/>
          <w:szCs w:val="20"/>
        </w:rPr>
      </w:pPr>
      <w:r>
        <w:rPr>
          <w:rFonts w:ascii="宋体" w:hAnsi="宋体" w:eastAsia="宋体" w:cs="宋体"/>
          <w:spacing w:val="10"/>
          <w:sz w:val="20"/>
          <w:szCs w:val="20"/>
        </w:rPr>
        <w:t>因岩石爆破而增加的垫层工程量，按现场实测结果以体积计算。爆破允许超挖范围以内的垫层</w:t>
      </w:r>
      <w:r>
        <w:rPr>
          <w:rFonts w:ascii="宋体" w:hAnsi="宋体" w:eastAsia="宋体" w:cs="宋体"/>
          <w:spacing w:val="11"/>
          <w:sz w:val="20"/>
          <w:szCs w:val="20"/>
        </w:rPr>
        <w:t>工程量，由发包人承担相应费用；爆破允许超挖范围以外的垫层工程量，由</w:t>
      </w:r>
      <w:r>
        <w:rPr>
          <w:rFonts w:ascii="宋体" w:hAnsi="宋体" w:eastAsia="宋体" w:cs="宋体"/>
          <w:spacing w:val="10"/>
          <w:sz w:val="20"/>
          <w:szCs w:val="20"/>
        </w:rPr>
        <w:t>超爆责任方承担相应费</w:t>
      </w:r>
      <w:r>
        <w:rPr>
          <w:rFonts w:ascii="宋体" w:hAnsi="宋体" w:eastAsia="宋体" w:cs="宋体"/>
          <w:spacing w:val="2"/>
          <w:sz w:val="20"/>
          <w:szCs w:val="20"/>
        </w:rPr>
        <w:t>用。</w:t>
      </w:r>
    </w:p>
    <w:p>
      <w:pPr>
        <w:spacing w:before="5" w:line="368" w:lineRule="auto"/>
        <w:ind w:left="4" w:right="79" w:firstLine="415"/>
        <w:rPr>
          <w:rFonts w:ascii="宋体" w:hAnsi="宋体" w:eastAsia="宋体" w:cs="宋体"/>
          <w:sz w:val="20"/>
          <w:szCs w:val="20"/>
        </w:rPr>
      </w:pPr>
      <w:r>
        <w:rPr>
          <w:rFonts w:ascii="宋体" w:hAnsi="宋体" w:eastAsia="宋体" w:cs="宋体"/>
          <w:spacing w:val="11"/>
          <w:sz w:val="20"/>
          <w:szCs w:val="20"/>
        </w:rPr>
        <w:t>爆破允许超挖范围，以设计或发承包双方确认的施工方案中明确的尺寸为准，没</w:t>
      </w:r>
      <w:r>
        <w:rPr>
          <w:rFonts w:ascii="宋体" w:hAnsi="宋体" w:eastAsia="宋体" w:cs="宋体"/>
          <w:spacing w:val="10"/>
          <w:sz w:val="20"/>
          <w:szCs w:val="20"/>
        </w:rPr>
        <w:t>有明确的可参</w:t>
      </w:r>
      <w:r>
        <w:rPr>
          <w:rFonts w:ascii="宋体" w:hAnsi="宋体" w:eastAsia="宋体" w:cs="宋体"/>
          <w:spacing w:val="9"/>
          <w:sz w:val="20"/>
          <w:szCs w:val="20"/>
        </w:rPr>
        <w:t>照《定额》“第一章 土石方工程”相关规定执</w:t>
      </w:r>
      <w:r>
        <w:rPr>
          <w:rFonts w:ascii="宋体" w:hAnsi="宋体" w:eastAsia="宋体" w:cs="宋体"/>
          <w:spacing w:val="8"/>
          <w:sz w:val="20"/>
          <w:szCs w:val="20"/>
        </w:rPr>
        <w:t>行。</w:t>
      </w:r>
    </w:p>
    <w:p>
      <w:pPr>
        <w:spacing w:line="277" w:lineRule="exact"/>
        <w:ind w:left="439"/>
        <w:rPr>
          <w:rFonts w:ascii="宋体" w:hAnsi="宋体" w:eastAsia="宋体" w:cs="宋体"/>
          <w:sz w:val="20"/>
          <w:szCs w:val="20"/>
        </w:rPr>
      </w:pPr>
      <w:r>
        <w:rPr>
          <w:rFonts w:ascii="宋体" w:hAnsi="宋体" w:eastAsia="宋体" w:cs="宋体"/>
          <w:b/>
          <w:bCs/>
          <w:spacing w:val="4"/>
          <w:position w:val="1"/>
          <w:sz w:val="20"/>
          <w:szCs w:val="20"/>
        </w:rPr>
        <w:t>17.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关于“锚杆机入岩增加”定额子目的适用范围</w:t>
      </w:r>
    </w:p>
    <w:p>
      <w:pPr>
        <w:spacing w:before="123" w:line="277" w:lineRule="exact"/>
        <w:ind w:left="420"/>
        <w:rPr>
          <w:rFonts w:ascii="宋体" w:hAnsi="宋体" w:eastAsia="宋体" w:cs="宋体"/>
          <w:sz w:val="20"/>
          <w:szCs w:val="20"/>
        </w:rPr>
      </w:pPr>
      <w:r>
        <w:rPr>
          <w:rFonts w:ascii="宋体" w:hAnsi="宋体" w:eastAsia="宋体" w:cs="宋体"/>
          <w:spacing w:val="6"/>
          <w:position w:val="1"/>
          <w:sz w:val="20"/>
          <w:szCs w:val="20"/>
        </w:rPr>
        <w:t xml:space="preserve">“锚杆机入岩增加”子目的入岩指钻入坚石 (参见第一章 </w:t>
      </w:r>
      <w:r>
        <w:rPr>
          <w:rFonts w:ascii="宋体" w:hAnsi="宋体" w:eastAsia="宋体" w:cs="宋体"/>
          <w:spacing w:val="5"/>
          <w:position w:val="1"/>
          <w:sz w:val="20"/>
          <w:szCs w:val="20"/>
        </w:rPr>
        <w:t>岩石分类表)，该子目不独立使用，应</w:t>
      </w:r>
    </w:p>
    <w:p>
      <w:pPr>
        <w:spacing w:line="277" w:lineRule="exact"/>
        <w:rPr>
          <w:rFonts w:ascii="宋体" w:hAnsi="宋体" w:eastAsia="宋体" w:cs="宋体"/>
          <w:sz w:val="20"/>
          <w:szCs w:val="20"/>
        </w:rPr>
        <w:sectPr>
          <w:footerReference r:id="rId231" w:type="default"/>
          <w:pgSz w:w="11906" w:h="16839"/>
          <w:pgMar w:top="400" w:right="1341" w:bottom="1212" w:left="1419" w:header="0" w:footer="897"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0" w:lineRule="auto"/>
        <w:ind w:left="3"/>
        <w:rPr>
          <w:rFonts w:ascii="宋体" w:hAnsi="宋体" w:eastAsia="宋体" w:cs="宋体"/>
          <w:sz w:val="20"/>
          <w:szCs w:val="20"/>
        </w:rPr>
      </w:pPr>
      <w:r>
        <w:rPr>
          <w:rFonts w:ascii="宋体" w:hAnsi="宋体" w:eastAsia="宋体" w:cs="宋体"/>
          <w:spacing w:val="9"/>
          <w:sz w:val="20"/>
          <w:szCs w:val="20"/>
        </w:rPr>
        <w:t>在执行“土层锚杆机械钻孔”子目的基础上另行套用入岩增加子目。</w:t>
      </w:r>
    </w:p>
    <w:p>
      <w:pPr>
        <w:spacing w:before="159" w:line="277" w:lineRule="exact"/>
        <w:ind w:left="440"/>
        <w:rPr>
          <w:rFonts w:ascii="宋体" w:hAnsi="宋体" w:eastAsia="宋体" w:cs="宋体"/>
          <w:sz w:val="20"/>
          <w:szCs w:val="20"/>
        </w:rPr>
      </w:pPr>
      <w:bookmarkStart w:id="124" w:name="bookmark171"/>
      <w:bookmarkEnd w:id="124"/>
      <w:r>
        <w:rPr>
          <w:rFonts w:ascii="宋体" w:hAnsi="宋体" w:eastAsia="宋体" w:cs="宋体"/>
          <w:b/>
          <w:bCs/>
          <w:spacing w:val="2"/>
          <w:position w:val="1"/>
          <w:sz w:val="20"/>
          <w:szCs w:val="20"/>
        </w:rPr>
        <w:t>18.</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关于支护桩工程量的计算</w:t>
      </w:r>
    </w:p>
    <w:p>
      <w:pPr>
        <w:spacing w:before="123" w:line="295" w:lineRule="auto"/>
        <w:ind w:left="2" w:firstLine="410"/>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6"/>
          <w:sz w:val="20"/>
          <w:szCs w:val="20"/>
        </w:rPr>
        <w:t xml:space="preserve"> </w:t>
      </w:r>
      <w:r>
        <w:rPr>
          <w:rFonts w:ascii="宋体" w:hAnsi="宋体" w:eastAsia="宋体" w:cs="宋体"/>
          <w:spacing w:val="4"/>
          <w:sz w:val="20"/>
          <w:szCs w:val="20"/>
        </w:rPr>
        <w:t>1）填料桩、深层水泥搅拌桩、预钻孔道高压旋喷（摆喷）水泥桩，同类桩截面有</w:t>
      </w:r>
      <w:r>
        <w:rPr>
          <w:rFonts w:ascii="宋体" w:hAnsi="宋体" w:eastAsia="宋体" w:cs="宋体"/>
          <w:spacing w:val="3"/>
          <w:sz w:val="20"/>
          <w:szCs w:val="20"/>
        </w:rPr>
        <w:t>部分重叠时，</w:t>
      </w:r>
      <w:r>
        <w:rPr>
          <w:rFonts w:ascii="宋体" w:hAnsi="宋体" w:eastAsia="宋体" w:cs="宋体"/>
          <w:spacing w:val="8"/>
          <w:sz w:val="20"/>
          <w:szCs w:val="20"/>
        </w:rPr>
        <w:t>不扣除重叠面积。</w:t>
      </w:r>
    </w:p>
    <w:p>
      <w:pPr>
        <w:spacing w:before="159" w:line="313" w:lineRule="auto"/>
        <w:ind w:left="9" w:right="66" w:firstLine="403"/>
        <w:rPr>
          <w:rFonts w:ascii="宋体" w:hAnsi="宋体" w:eastAsia="宋体" w:cs="宋体"/>
          <w:sz w:val="20"/>
          <w:szCs w:val="20"/>
        </w:rPr>
      </w:pPr>
      <w:r>
        <w:rPr>
          <w:rFonts w:ascii="宋体" w:hAnsi="宋体" w:eastAsia="宋体" w:cs="宋体"/>
          <w:spacing w:val="8"/>
          <w:sz w:val="20"/>
          <w:szCs w:val="20"/>
        </w:rPr>
        <w:t>（2）三轴水泥搅拌桩设计要求全断面套打时，仅计取一遍工程量，相应子目的人工及机械乘以</w:t>
      </w:r>
      <w:r>
        <w:rPr>
          <w:rFonts w:ascii="宋体" w:hAnsi="宋体" w:eastAsia="宋体" w:cs="宋体"/>
          <w:spacing w:val="6"/>
          <w:sz w:val="20"/>
          <w:szCs w:val="20"/>
        </w:rPr>
        <w:t>系数</w:t>
      </w:r>
      <w:r>
        <w:rPr>
          <w:rFonts w:ascii="宋体" w:hAnsi="宋体" w:eastAsia="宋体" w:cs="宋体"/>
          <w:spacing w:val="-17"/>
          <w:sz w:val="20"/>
          <w:szCs w:val="20"/>
        </w:rPr>
        <w:t xml:space="preserve"> </w:t>
      </w:r>
      <w:r>
        <w:rPr>
          <w:rFonts w:ascii="宋体" w:hAnsi="宋体" w:eastAsia="宋体" w:cs="宋体"/>
          <w:spacing w:val="6"/>
          <w:sz w:val="20"/>
          <w:szCs w:val="20"/>
        </w:rPr>
        <w:t>1.5，其余不变。同类桩截面有部分重叠时，不扣除重叠面积。</w:t>
      </w:r>
    </w:p>
    <w:p>
      <w:pPr>
        <w:spacing w:before="121" w:line="313" w:lineRule="auto"/>
        <w:ind w:right="64" w:firstLine="440"/>
        <w:rPr>
          <w:rFonts w:ascii="宋体" w:hAnsi="宋体" w:eastAsia="宋体" w:cs="宋体"/>
          <w:sz w:val="20"/>
          <w:szCs w:val="20"/>
        </w:rPr>
      </w:pPr>
      <w:r>
        <w:rPr>
          <w:rFonts w:ascii="宋体" w:hAnsi="宋体" w:eastAsia="宋体" w:cs="宋体"/>
          <w:spacing w:val="7"/>
          <w:sz w:val="20"/>
          <w:szCs w:val="20"/>
        </w:rPr>
        <w:t>1）三轴水泥搅拌桩子目按单个桩完整圆形截面计算工</w:t>
      </w:r>
      <w:r>
        <w:rPr>
          <w:rFonts w:ascii="宋体" w:hAnsi="宋体" w:eastAsia="宋体" w:cs="宋体"/>
          <w:spacing w:val="6"/>
          <w:sz w:val="20"/>
          <w:szCs w:val="20"/>
        </w:rPr>
        <w:t>程量，三轴成桩截面的重叠面积（</w:t>
      </w:r>
      <w:r>
        <w:rPr>
          <w:rFonts w:ascii="宋体" w:hAnsi="宋体" w:eastAsia="宋体" w:cs="宋体"/>
          <w:spacing w:val="-48"/>
          <w:sz w:val="20"/>
          <w:szCs w:val="20"/>
        </w:rPr>
        <w:t xml:space="preserve"> </w:t>
      </w:r>
      <w:r>
        <w:rPr>
          <w:rFonts w:ascii="宋体" w:hAnsi="宋体" w:eastAsia="宋体" w:cs="宋体"/>
          <w:spacing w:val="6"/>
          <w:sz w:val="20"/>
          <w:szCs w:val="20"/>
        </w:rPr>
        <w:t>图一所</w:t>
      </w:r>
      <w:r>
        <w:rPr>
          <w:rFonts w:ascii="宋体" w:hAnsi="宋体" w:eastAsia="宋体" w:cs="宋体"/>
          <w:spacing w:val="8"/>
          <w:sz w:val="20"/>
          <w:szCs w:val="20"/>
        </w:rPr>
        <w:t>示）计算时不扣除。</w:t>
      </w:r>
    </w:p>
    <w:p>
      <w:pPr>
        <w:spacing w:before="123" w:line="312" w:lineRule="auto"/>
        <w:ind w:right="66" w:firstLine="422"/>
        <w:rPr>
          <w:rFonts w:ascii="宋体" w:hAnsi="宋体" w:eastAsia="宋体" w:cs="宋体"/>
          <w:sz w:val="20"/>
          <w:szCs w:val="20"/>
        </w:rPr>
      </w:pPr>
      <w:r>
        <w:rPr>
          <w:rFonts w:ascii="宋体" w:hAnsi="宋体" w:eastAsia="宋体" w:cs="宋体"/>
          <w:spacing w:val="7"/>
          <w:sz w:val="20"/>
          <w:szCs w:val="20"/>
        </w:rPr>
        <w:t>2）三轴水泥搅拌桩全断面套打时，套打部分（</w:t>
      </w:r>
      <w:r>
        <w:rPr>
          <w:rFonts w:ascii="宋体" w:hAnsi="宋体" w:eastAsia="宋体" w:cs="宋体"/>
          <w:spacing w:val="-51"/>
          <w:sz w:val="20"/>
          <w:szCs w:val="20"/>
        </w:rPr>
        <w:t xml:space="preserve"> </w:t>
      </w:r>
      <w:r>
        <w:rPr>
          <w:rFonts w:ascii="宋体" w:hAnsi="宋体" w:eastAsia="宋体" w:cs="宋体"/>
          <w:spacing w:val="7"/>
          <w:sz w:val="20"/>
          <w:szCs w:val="20"/>
        </w:rPr>
        <w:t>图二中阴影区域）虽进行两次钻掘，但仅计取一遍工程量，执行子目时，仅套打部分的人工及机械乘以系数</w:t>
      </w:r>
      <w:r>
        <w:rPr>
          <w:rFonts w:ascii="宋体" w:hAnsi="宋体" w:eastAsia="宋体" w:cs="宋体"/>
          <w:spacing w:val="-25"/>
          <w:sz w:val="20"/>
          <w:szCs w:val="20"/>
        </w:rPr>
        <w:t xml:space="preserve"> </w:t>
      </w:r>
      <w:r>
        <w:rPr>
          <w:rFonts w:ascii="宋体" w:hAnsi="宋体" w:eastAsia="宋体" w:cs="宋体"/>
          <w:spacing w:val="7"/>
          <w:sz w:val="20"/>
          <w:szCs w:val="20"/>
        </w:rPr>
        <w:t>1.5，其</w:t>
      </w:r>
      <w:r>
        <w:rPr>
          <w:rFonts w:ascii="宋体" w:hAnsi="宋体" w:eastAsia="宋体" w:cs="宋体"/>
          <w:spacing w:val="6"/>
          <w:sz w:val="20"/>
          <w:szCs w:val="20"/>
        </w:rPr>
        <w:t>余不变。</w:t>
      </w:r>
    </w:p>
    <w:p>
      <w:pPr>
        <w:spacing w:line="252" w:lineRule="auto"/>
        <w:rPr>
          <w:rFonts w:ascii="Arial"/>
          <w:sz w:val="21"/>
        </w:rPr>
      </w:pPr>
      <w:r>
        <w:drawing>
          <wp:anchor distT="0" distB="0" distL="0" distR="0" simplePos="0" relativeHeight="258725888" behindDoc="0" locked="0" layoutInCell="1" allowOverlap="1">
            <wp:simplePos x="0" y="0"/>
            <wp:positionH relativeFrom="column">
              <wp:posOffset>1587500</wp:posOffset>
            </wp:positionH>
            <wp:positionV relativeFrom="paragraph">
              <wp:posOffset>108585</wp:posOffset>
            </wp:positionV>
            <wp:extent cx="2081530" cy="144145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406"/>
                    <a:stretch>
                      <a:fillRect/>
                    </a:stretch>
                  </pic:blipFill>
                  <pic:spPr>
                    <a:xfrm>
                      <a:off x="0" y="0"/>
                      <a:ext cx="2081784" cy="1441703"/>
                    </a:xfrm>
                    <a:prstGeom prst="rect">
                      <a:avLst/>
                    </a:prstGeom>
                  </pic:spPr>
                </pic:pic>
              </a:graphicData>
            </a:graphic>
          </wp:anchor>
        </w:drawing>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65" w:line="212" w:lineRule="auto"/>
        <w:ind w:left="1698"/>
        <w:rPr>
          <w:rFonts w:ascii="宋体" w:hAnsi="宋体" w:eastAsia="宋体" w:cs="宋体"/>
          <w:sz w:val="20"/>
          <w:szCs w:val="20"/>
        </w:rPr>
      </w:pPr>
      <w:r>
        <w:rPr>
          <w:rFonts w:ascii="宋体" w:hAnsi="宋体" w:eastAsia="宋体" w:cs="宋体"/>
          <w:b/>
          <w:bCs/>
          <w:spacing w:val="-3"/>
          <w:sz w:val="20"/>
          <w:szCs w:val="20"/>
        </w:rPr>
        <w:t>图一</w:t>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r>
        <w:drawing>
          <wp:anchor distT="0" distB="0" distL="0" distR="0" simplePos="0" relativeHeight="258724864" behindDoc="0" locked="0" layoutInCell="1" allowOverlap="1">
            <wp:simplePos x="0" y="0"/>
            <wp:positionH relativeFrom="column">
              <wp:posOffset>735965</wp:posOffset>
            </wp:positionH>
            <wp:positionV relativeFrom="paragraph">
              <wp:posOffset>126365</wp:posOffset>
            </wp:positionV>
            <wp:extent cx="4044950" cy="1566545"/>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407"/>
                    <a:stretch>
                      <a:fillRect/>
                    </a:stretch>
                  </pic:blipFill>
                  <pic:spPr>
                    <a:xfrm>
                      <a:off x="0" y="0"/>
                      <a:ext cx="4044695" cy="1566671"/>
                    </a:xfrm>
                    <a:prstGeom prst="rect">
                      <a:avLst/>
                    </a:prstGeom>
                  </pic:spPr>
                </pic:pic>
              </a:graphicData>
            </a:graphic>
          </wp:anchor>
        </w:drawing>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66" w:line="212" w:lineRule="auto"/>
        <w:ind w:left="438"/>
        <w:rPr>
          <w:rFonts w:ascii="宋体" w:hAnsi="宋体" w:eastAsia="宋体" w:cs="宋体"/>
          <w:sz w:val="20"/>
          <w:szCs w:val="20"/>
        </w:rPr>
      </w:pPr>
      <w:r>
        <w:rPr>
          <w:rFonts w:ascii="宋体" w:hAnsi="宋体" w:eastAsia="宋体" w:cs="宋体"/>
          <w:b/>
          <w:bCs/>
          <w:spacing w:val="-3"/>
          <w:sz w:val="20"/>
          <w:szCs w:val="20"/>
        </w:rPr>
        <w:t>图二</w:t>
      </w: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65" w:line="277" w:lineRule="exact"/>
        <w:ind w:left="440"/>
        <w:rPr>
          <w:rFonts w:ascii="宋体" w:hAnsi="宋体" w:eastAsia="宋体" w:cs="宋体"/>
          <w:sz w:val="20"/>
          <w:szCs w:val="20"/>
        </w:rPr>
      </w:pPr>
      <w:r>
        <w:rPr>
          <w:rFonts w:ascii="宋体" w:hAnsi="宋体" w:eastAsia="宋体" w:cs="宋体"/>
          <w:b/>
          <w:bCs/>
          <w:spacing w:val="5"/>
          <w:position w:val="1"/>
          <w:sz w:val="20"/>
          <w:szCs w:val="20"/>
        </w:rPr>
        <w:t>19.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关于土工合成材料定额子目（2-1-40~2-1-43）的适用范围</w:t>
      </w:r>
    </w:p>
    <w:p>
      <w:pPr>
        <w:spacing w:before="124" w:line="352" w:lineRule="auto"/>
        <w:ind w:left="2" w:right="67" w:firstLine="424"/>
        <w:rPr>
          <w:rFonts w:ascii="宋体" w:hAnsi="宋体" w:eastAsia="宋体" w:cs="宋体"/>
          <w:sz w:val="20"/>
          <w:szCs w:val="20"/>
        </w:rPr>
      </w:pPr>
      <w:r>
        <w:rPr>
          <w:rFonts w:ascii="宋体" w:hAnsi="宋体" w:eastAsia="宋体" w:cs="宋体"/>
          <w:spacing w:val="11"/>
          <w:sz w:val="20"/>
          <w:szCs w:val="20"/>
        </w:rPr>
        <w:t>土工合成材料子目适用于软弱地基加固工程，也适用于厂区路基加</w:t>
      </w:r>
      <w:r>
        <w:rPr>
          <w:rFonts w:ascii="宋体" w:hAnsi="宋体" w:eastAsia="宋体" w:cs="宋体"/>
          <w:spacing w:val="10"/>
          <w:sz w:val="20"/>
          <w:szCs w:val="20"/>
        </w:rPr>
        <w:t>固，或调整渗透系数的基础</w:t>
      </w:r>
      <w:r>
        <w:rPr>
          <w:rFonts w:ascii="宋体" w:hAnsi="宋体" w:eastAsia="宋体" w:cs="宋体"/>
          <w:spacing w:val="6"/>
          <w:sz w:val="20"/>
          <w:szCs w:val="20"/>
        </w:rPr>
        <w:t>工程设施。</w:t>
      </w:r>
    </w:p>
    <w:p>
      <w:pPr>
        <w:spacing w:before="37" w:line="276" w:lineRule="exact"/>
        <w:ind w:left="423"/>
        <w:rPr>
          <w:rFonts w:ascii="宋体" w:hAnsi="宋体" w:eastAsia="宋体" w:cs="宋体"/>
          <w:sz w:val="20"/>
          <w:szCs w:val="20"/>
        </w:rPr>
      </w:pPr>
      <w:r>
        <w:rPr>
          <w:rFonts w:ascii="宋体" w:hAnsi="宋体" w:eastAsia="宋体" w:cs="宋体"/>
          <w:b/>
          <w:bCs/>
          <w:spacing w:val="5"/>
          <w:position w:val="1"/>
          <w:sz w:val="20"/>
          <w:szCs w:val="20"/>
        </w:rPr>
        <w:t>20.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关于砌块砌体中墙底使用了小青砖的计价</w:t>
      </w:r>
    </w:p>
    <w:p>
      <w:pPr>
        <w:spacing w:before="126" w:line="368" w:lineRule="auto"/>
        <w:ind w:left="1" w:right="66" w:firstLine="421"/>
        <w:rPr>
          <w:rFonts w:ascii="宋体" w:hAnsi="宋体" w:eastAsia="宋体" w:cs="宋体"/>
          <w:sz w:val="20"/>
          <w:szCs w:val="20"/>
        </w:rPr>
      </w:pPr>
      <w:r>
        <w:rPr>
          <w:rFonts w:ascii="宋体" w:hAnsi="宋体" w:eastAsia="宋体" w:cs="宋体"/>
          <w:spacing w:val="11"/>
          <w:sz w:val="20"/>
          <w:szCs w:val="20"/>
        </w:rPr>
        <w:t>根据现行砌体结构工程相关规范，墙底小青砖已不作强制性要求，若设计有</w:t>
      </w:r>
      <w:r>
        <w:rPr>
          <w:rFonts w:ascii="宋体" w:hAnsi="宋体" w:eastAsia="宋体" w:cs="宋体"/>
          <w:spacing w:val="10"/>
          <w:sz w:val="20"/>
          <w:szCs w:val="20"/>
        </w:rPr>
        <w:t>要求时按零星砖砌</w:t>
      </w:r>
      <w:r>
        <w:rPr>
          <w:rFonts w:ascii="宋体" w:hAnsi="宋体" w:eastAsia="宋体" w:cs="宋体"/>
          <w:spacing w:val="7"/>
          <w:sz w:val="20"/>
          <w:szCs w:val="20"/>
        </w:rPr>
        <w:t>体子目执行。</w:t>
      </w:r>
    </w:p>
    <w:p>
      <w:pPr>
        <w:spacing w:line="277" w:lineRule="exact"/>
        <w:ind w:left="423"/>
        <w:rPr>
          <w:rFonts w:ascii="宋体" w:hAnsi="宋体" w:eastAsia="宋体" w:cs="宋体"/>
          <w:sz w:val="20"/>
          <w:szCs w:val="20"/>
        </w:rPr>
      </w:pPr>
      <w:r>
        <w:rPr>
          <w:rFonts w:ascii="宋体" w:hAnsi="宋体" w:eastAsia="宋体" w:cs="宋体"/>
          <w:b/>
          <w:bCs/>
          <w:spacing w:val="7"/>
          <w:position w:val="1"/>
          <w:sz w:val="20"/>
          <w:szCs w:val="20"/>
        </w:rPr>
        <w:t>21.</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关于砌体中的垂直灰缝（宽＞</w:t>
      </w:r>
      <w:r>
        <w:rPr>
          <w:rFonts w:ascii="宋体" w:hAnsi="宋体" w:eastAsia="宋体" w:cs="宋体"/>
          <w:spacing w:val="-40"/>
          <w:position w:val="1"/>
          <w:sz w:val="20"/>
          <w:szCs w:val="20"/>
        </w:rPr>
        <w:t xml:space="preserve"> </w:t>
      </w:r>
      <w:r>
        <w:rPr>
          <w:rFonts w:ascii="宋体" w:hAnsi="宋体" w:eastAsia="宋体" w:cs="宋体"/>
          <w:b/>
          <w:bCs/>
          <w:spacing w:val="7"/>
          <w:position w:val="1"/>
          <w:sz w:val="20"/>
          <w:szCs w:val="20"/>
        </w:rPr>
        <w:t>30</w:t>
      </w:r>
      <w:r>
        <w:rPr>
          <w:rFonts w:ascii="宋体" w:hAnsi="宋体" w:eastAsia="宋体" w:cs="宋体"/>
          <w:b/>
          <w:bCs/>
          <w:position w:val="1"/>
          <w:sz w:val="20"/>
          <w:szCs w:val="20"/>
        </w:rPr>
        <w:t>mm</w:t>
      </w:r>
      <w:r>
        <w:rPr>
          <w:rFonts w:ascii="宋体" w:hAnsi="宋体" w:eastAsia="宋体" w:cs="宋体"/>
          <w:b/>
          <w:bCs/>
          <w:spacing w:val="7"/>
          <w:position w:val="1"/>
          <w:sz w:val="20"/>
          <w:szCs w:val="20"/>
        </w:rPr>
        <w:t>）及墙体芯柱混凝土的计价</w:t>
      </w:r>
    </w:p>
    <w:p>
      <w:pPr>
        <w:spacing w:before="125" w:line="369" w:lineRule="auto"/>
        <w:ind w:left="3" w:right="66" w:firstLine="416"/>
        <w:rPr>
          <w:rFonts w:ascii="宋体" w:hAnsi="宋体" w:eastAsia="宋体" w:cs="宋体"/>
          <w:sz w:val="20"/>
          <w:szCs w:val="20"/>
        </w:rPr>
      </w:pPr>
      <w:r>
        <w:rPr>
          <w:rFonts w:ascii="宋体" w:hAnsi="宋体" w:eastAsia="宋体" w:cs="宋体"/>
          <w:spacing w:val="10"/>
          <w:sz w:val="20"/>
          <w:szCs w:val="20"/>
        </w:rPr>
        <w:t>砌体中的垂直灰缝（宽＞</w:t>
      </w:r>
      <w:r>
        <w:rPr>
          <w:rFonts w:ascii="宋体" w:hAnsi="宋体" w:eastAsia="宋体" w:cs="宋体"/>
          <w:spacing w:val="-57"/>
          <w:sz w:val="20"/>
          <w:szCs w:val="20"/>
        </w:rPr>
        <w:t xml:space="preserve"> </w:t>
      </w:r>
      <w:r>
        <w:rPr>
          <w:rFonts w:ascii="宋体" w:hAnsi="宋体" w:eastAsia="宋体" w:cs="宋体"/>
          <w:spacing w:val="10"/>
          <w:sz w:val="20"/>
          <w:szCs w:val="20"/>
        </w:rPr>
        <w:t>30</w:t>
      </w:r>
      <w:r>
        <w:rPr>
          <w:rFonts w:ascii="宋体" w:hAnsi="宋体" w:eastAsia="宋体" w:cs="宋体"/>
          <w:sz w:val="20"/>
          <w:szCs w:val="20"/>
        </w:rPr>
        <w:t>mm</w:t>
      </w:r>
      <w:r>
        <w:rPr>
          <w:rFonts w:ascii="宋体" w:hAnsi="宋体" w:eastAsia="宋体" w:cs="宋体"/>
          <w:spacing w:val="10"/>
          <w:sz w:val="20"/>
          <w:szCs w:val="20"/>
        </w:rPr>
        <w:t>）及墙体芯柱的混凝土，执行构造柱相关规定</w:t>
      </w:r>
      <w:r>
        <w:rPr>
          <w:rFonts w:ascii="宋体" w:hAnsi="宋体" w:eastAsia="宋体" w:cs="宋体"/>
          <w:spacing w:val="9"/>
          <w:sz w:val="20"/>
          <w:szCs w:val="20"/>
        </w:rPr>
        <w:t>，另行计算。墙体</w:t>
      </w:r>
      <w:r>
        <w:rPr>
          <w:rFonts w:ascii="宋体" w:hAnsi="宋体" w:eastAsia="宋体" w:cs="宋体"/>
          <w:spacing w:val="7"/>
          <w:sz w:val="20"/>
          <w:szCs w:val="20"/>
        </w:rPr>
        <w:t>芯柱示意图如下：</w:t>
      </w:r>
    </w:p>
    <w:p>
      <w:pPr>
        <w:spacing w:line="369" w:lineRule="auto"/>
        <w:rPr>
          <w:rFonts w:ascii="宋体" w:hAnsi="宋体" w:eastAsia="宋体" w:cs="宋体"/>
          <w:sz w:val="20"/>
          <w:szCs w:val="20"/>
        </w:rPr>
        <w:sectPr>
          <w:footerReference r:id="rId232" w:type="default"/>
          <w:pgSz w:w="11906" w:h="16839"/>
          <w:pgMar w:top="400" w:right="1353" w:bottom="1212" w:left="1418" w:header="0" w:footer="897" w:gutter="0"/>
        </w:sect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3327" w:lineRule="exact"/>
        <w:ind w:firstLine="837"/>
      </w:pPr>
      <w:r>
        <w:rPr>
          <w:position w:val="-66"/>
        </w:rPr>
        <w:drawing>
          <wp:inline distT="0" distB="0" distL="0" distR="0">
            <wp:extent cx="4381500" cy="2112010"/>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408"/>
                    <a:stretch>
                      <a:fillRect/>
                    </a:stretch>
                  </pic:blipFill>
                  <pic:spPr>
                    <a:xfrm>
                      <a:off x="0" y="0"/>
                      <a:ext cx="4381500" cy="2112464"/>
                    </a:xfrm>
                    <a:prstGeom prst="rect">
                      <a:avLst/>
                    </a:prstGeom>
                  </pic:spPr>
                </pic:pic>
              </a:graphicData>
            </a:graphic>
          </wp:inline>
        </w:drawing>
      </w:r>
    </w:p>
    <w:p>
      <w:pPr>
        <w:spacing w:line="275" w:lineRule="exact"/>
        <w:ind w:left="423"/>
        <w:rPr>
          <w:rFonts w:ascii="宋体" w:hAnsi="宋体" w:eastAsia="宋体" w:cs="宋体"/>
          <w:sz w:val="20"/>
          <w:szCs w:val="20"/>
        </w:rPr>
      </w:pPr>
      <w:r>
        <w:rPr>
          <w:rFonts w:ascii="宋体" w:hAnsi="宋体" w:eastAsia="宋体" w:cs="宋体"/>
          <w:b/>
          <w:bCs/>
          <w:spacing w:val="6"/>
          <w:position w:val="1"/>
          <w:sz w:val="20"/>
          <w:szCs w:val="20"/>
        </w:rPr>
        <w:t>22.</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关于装饰砌块保温复合墙体定额子目（4-2-5~6）的适用范围</w:t>
      </w:r>
    </w:p>
    <w:p>
      <w:pPr>
        <w:spacing w:before="120" w:line="369" w:lineRule="auto"/>
        <w:ind w:left="6" w:firstLine="414"/>
        <w:rPr>
          <w:rFonts w:ascii="宋体" w:hAnsi="宋体" w:eastAsia="宋体" w:cs="宋体"/>
          <w:sz w:val="20"/>
          <w:szCs w:val="20"/>
        </w:rPr>
      </w:pPr>
      <w:r>
        <w:rPr>
          <w:rFonts w:ascii="宋体" w:hAnsi="宋体" w:eastAsia="宋体" w:cs="宋体"/>
          <w:spacing w:val="8"/>
          <w:sz w:val="20"/>
          <w:szCs w:val="20"/>
        </w:rPr>
        <w:t>装饰砌块保温复合墙体定额子目（4-2-5~6）适用于墙体构造简图</w:t>
      </w:r>
      <w:r>
        <w:rPr>
          <w:rFonts w:ascii="宋体" w:hAnsi="宋体" w:eastAsia="宋体" w:cs="宋体"/>
          <w:spacing w:val="7"/>
          <w:sz w:val="20"/>
          <w:szCs w:val="20"/>
        </w:rPr>
        <w:t>所示的情形，指由外叶墙（非</w:t>
      </w:r>
      <w:r>
        <w:rPr>
          <w:rFonts w:ascii="宋体" w:hAnsi="宋体" w:eastAsia="宋体" w:cs="宋体"/>
          <w:spacing w:val="9"/>
          <w:sz w:val="20"/>
          <w:szCs w:val="20"/>
        </w:rPr>
        <w:t>承重）、保温层、内叶墙（承重）三部分组成的集装饰、保温、承重于一体的复合墙体。</w:t>
      </w:r>
    </w:p>
    <w:p>
      <w:pPr>
        <w:spacing w:before="3" w:line="370" w:lineRule="auto"/>
        <w:ind w:left="2" w:right="2" w:firstLine="418"/>
        <w:rPr>
          <w:rFonts w:ascii="宋体" w:hAnsi="宋体" w:eastAsia="宋体" w:cs="宋体"/>
          <w:sz w:val="20"/>
          <w:szCs w:val="20"/>
        </w:rPr>
      </w:pPr>
      <w:r>
        <w:rPr>
          <w:rFonts w:ascii="宋体" w:hAnsi="宋体" w:eastAsia="宋体" w:cs="宋体"/>
          <w:spacing w:val="11"/>
          <w:sz w:val="20"/>
          <w:szCs w:val="20"/>
        </w:rPr>
        <w:t>装饰砌块保温复合墙体的内外砌块砌筑均已含原浆勾缝用工，不包含装饰砌块外</w:t>
      </w:r>
      <w:r>
        <w:rPr>
          <w:rFonts w:ascii="宋体" w:hAnsi="宋体" w:eastAsia="宋体" w:cs="宋体"/>
          <w:spacing w:val="10"/>
          <w:sz w:val="20"/>
          <w:szCs w:val="20"/>
        </w:rPr>
        <w:t>墙用专业勾缝剂施工用工，以及钢筋网片、U</w:t>
      </w:r>
      <w:r>
        <w:rPr>
          <w:rFonts w:ascii="宋体" w:hAnsi="宋体" w:eastAsia="宋体" w:cs="宋体"/>
          <w:spacing w:val="-38"/>
          <w:sz w:val="20"/>
          <w:szCs w:val="20"/>
        </w:rPr>
        <w:t xml:space="preserve"> </w:t>
      </w:r>
      <w:r>
        <w:rPr>
          <w:rFonts w:ascii="宋体" w:hAnsi="宋体" w:eastAsia="宋体" w:cs="宋体"/>
          <w:spacing w:val="10"/>
          <w:sz w:val="20"/>
          <w:szCs w:val="20"/>
        </w:rPr>
        <w:t>型拉结件的制作、安装。</w:t>
      </w:r>
    </w:p>
    <w:p>
      <w:pPr>
        <w:spacing w:before="201" w:line="2897" w:lineRule="exact"/>
        <w:ind w:firstLine="1708"/>
      </w:pPr>
      <w:r>
        <w:rPr>
          <w:position w:val="-57"/>
        </w:rPr>
        <w:drawing>
          <wp:inline distT="0" distB="0" distL="0" distR="0">
            <wp:extent cx="3047365" cy="183896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409"/>
                    <a:stretch>
                      <a:fillRect/>
                    </a:stretch>
                  </pic:blipFill>
                  <pic:spPr>
                    <a:xfrm>
                      <a:off x="0" y="0"/>
                      <a:ext cx="3047999" cy="1839467"/>
                    </a:xfrm>
                    <a:prstGeom prst="rect">
                      <a:avLst/>
                    </a:prstGeom>
                  </pic:spPr>
                </pic:pic>
              </a:graphicData>
            </a:graphic>
          </wp:inline>
        </w:drawing>
      </w:r>
    </w:p>
    <w:p>
      <w:pPr>
        <w:spacing w:line="429" w:lineRule="auto"/>
        <w:rPr>
          <w:rFonts w:ascii="Arial"/>
          <w:sz w:val="21"/>
        </w:rPr>
      </w:pPr>
    </w:p>
    <w:p>
      <w:pPr>
        <w:spacing w:before="66" w:line="278" w:lineRule="exact"/>
        <w:ind w:left="423"/>
        <w:rPr>
          <w:rFonts w:ascii="宋体" w:hAnsi="宋体" w:eastAsia="宋体" w:cs="宋体"/>
          <w:sz w:val="20"/>
          <w:szCs w:val="20"/>
        </w:rPr>
      </w:pPr>
      <w:r>
        <w:rPr>
          <w:rFonts w:ascii="宋体" w:hAnsi="宋体" w:eastAsia="宋体" w:cs="宋体"/>
          <w:b/>
          <w:bCs/>
          <w:spacing w:val="5"/>
          <w:position w:val="1"/>
          <w:sz w:val="20"/>
          <w:szCs w:val="20"/>
        </w:rPr>
        <w:t>23.</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关于同一构件中混凝土强度等级不同时工程量的计算</w:t>
      </w:r>
    </w:p>
    <w:p>
      <w:pPr>
        <w:spacing w:before="127" w:line="367" w:lineRule="auto"/>
        <w:ind w:right="43" w:firstLine="441"/>
        <w:rPr>
          <w:rFonts w:ascii="宋体" w:hAnsi="宋体" w:eastAsia="宋体" w:cs="宋体"/>
          <w:sz w:val="20"/>
          <w:szCs w:val="20"/>
        </w:rPr>
      </w:pPr>
      <w:r>
        <w:rPr>
          <w:rFonts w:ascii="宋体" w:hAnsi="宋体" w:eastAsia="宋体" w:cs="宋体"/>
          <w:spacing w:val="9"/>
          <w:sz w:val="20"/>
          <w:szCs w:val="20"/>
        </w:rPr>
        <w:t>同一构件中混凝土强度等级不同时，应按设计图示尺寸分别计算，定额已综合考虑各种分隔措</w:t>
      </w:r>
      <w:r>
        <w:rPr>
          <w:rFonts w:ascii="宋体" w:hAnsi="宋体" w:eastAsia="宋体" w:cs="宋体"/>
          <w:spacing w:val="8"/>
          <w:sz w:val="20"/>
          <w:szCs w:val="20"/>
        </w:rPr>
        <w:t>施，使用时不得调整。</w:t>
      </w:r>
    </w:p>
    <w:p>
      <w:pPr>
        <w:spacing w:line="276" w:lineRule="exact"/>
        <w:ind w:left="423"/>
        <w:rPr>
          <w:rFonts w:ascii="宋体" w:hAnsi="宋体" w:eastAsia="宋体" w:cs="宋体"/>
          <w:sz w:val="20"/>
          <w:szCs w:val="20"/>
        </w:rPr>
      </w:pPr>
      <w:r>
        <w:rPr>
          <w:rFonts w:ascii="宋体" w:hAnsi="宋体" w:eastAsia="宋体" w:cs="宋体"/>
          <w:b/>
          <w:bCs/>
          <w:spacing w:val="4"/>
          <w:position w:val="1"/>
          <w:sz w:val="20"/>
          <w:szCs w:val="20"/>
        </w:rPr>
        <w:t>24.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关于各类基础整体浇筑时的计价</w:t>
      </w:r>
    </w:p>
    <w:p>
      <w:pPr>
        <w:spacing w:before="125" w:line="349" w:lineRule="auto"/>
        <w:ind w:right="43" w:firstLine="420"/>
        <w:rPr>
          <w:rFonts w:ascii="宋体" w:hAnsi="宋体" w:eastAsia="宋体" w:cs="宋体"/>
          <w:sz w:val="20"/>
          <w:szCs w:val="20"/>
        </w:rPr>
      </w:pPr>
      <w:r>
        <w:rPr>
          <w:rFonts w:ascii="宋体" w:hAnsi="宋体" w:eastAsia="宋体" w:cs="宋体"/>
          <w:spacing w:val="10"/>
          <w:sz w:val="20"/>
          <w:szCs w:val="20"/>
        </w:rPr>
        <w:t>各类基础整体浇筑时，按各自的设计构件类型分别执行相应子目。筏形基础与</w:t>
      </w:r>
      <w:r>
        <w:rPr>
          <w:rFonts w:ascii="宋体" w:hAnsi="宋体" w:eastAsia="宋体" w:cs="宋体"/>
          <w:spacing w:val="9"/>
          <w:sz w:val="20"/>
          <w:szCs w:val="20"/>
        </w:rPr>
        <w:t>独立基础、条形</w:t>
      </w:r>
      <w:r>
        <w:rPr>
          <w:rFonts w:ascii="宋体" w:hAnsi="宋体" w:eastAsia="宋体" w:cs="宋体"/>
          <w:spacing w:val="10"/>
          <w:sz w:val="20"/>
          <w:szCs w:val="20"/>
        </w:rPr>
        <w:t>基础整体浇筑，依据设计构件属性分别执行相应基础子目，</w:t>
      </w:r>
      <w:r>
        <w:rPr>
          <w:rFonts w:ascii="宋体" w:hAnsi="宋体" w:eastAsia="宋体" w:cs="宋体"/>
          <w:spacing w:val="9"/>
          <w:sz w:val="20"/>
          <w:szCs w:val="20"/>
        </w:rPr>
        <w:t>并按各自设计图示尺寸计算工程量。</w:t>
      </w:r>
    </w:p>
    <w:p>
      <w:pPr>
        <w:spacing w:before="43" w:line="277" w:lineRule="exact"/>
        <w:ind w:left="423"/>
        <w:rPr>
          <w:rFonts w:ascii="宋体" w:hAnsi="宋体" w:eastAsia="宋体" w:cs="宋体"/>
          <w:sz w:val="20"/>
          <w:szCs w:val="20"/>
        </w:rPr>
      </w:pPr>
      <w:r>
        <w:rPr>
          <w:rFonts w:ascii="宋体" w:hAnsi="宋体" w:eastAsia="宋体" w:cs="宋体"/>
          <w:b/>
          <w:bCs/>
          <w:spacing w:val="5"/>
          <w:position w:val="1"/>
          <w:sz w:val="20"/>
          <w:szCs w:val="20"/>
        </w:rPr>
        <w:t>25.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关于地下室外墙定额子目（5-1-25）的适用范围</w:t>
      </w:r>
    </w:p>
    <w:p>
      <w:pPr>
        <w:spacing w:before="125" w:line="368" w:lineRule="auto"/>
        <w:ind w:left="2" w:right="2" w:firstLine="419"/>
        <w:rPr>
          <w:rFonts w:ascii="宋体" w:hAnsi="宋体" w:eastAsia="宋体" w:cs="宋体"/>
          <w:sz w:val="20"/>
          <w:szCs w:val="20"/>
        </w:rPr>
      </w:pPr>
      <w:r>
        <w:rPr>
          <w:rFonts w:ascii="宋体" w:hAnsi="宋体" w:eastAsia="宋体" w:cs="宋体"/>
          <w:spacing w:val="11"/>
          <w:sz w:val="20"/>
          <w:szCs w:val="20"/>
        </w:rPr>
        <w:t>建筑物中，起挡土作用的地下室外围护墙执行地下室外墙子目。此处的地下室</w:t>
      </w:r>
      <w:r>
        <w:rPr>
          <w:rFonts w:ascii="宋体" w:hAnsi="宋体" w:eastAsia="宋体" w:cs="宋体"/>
          <w:spacing w:val="10"/>
          <w:sz w:val="20"/>
          <w:szCs w:val="20"/>
        </w:rPr>
        <w:t>外墙是指建筑物</w:t>
      </w:r>
      <w:r>
        <w:rPr>
          <w:rFonts w:ascii="宋体" w:hAnsi="宋体" w:eastAsia="宋体" w:cs="宋体"/>
          <w:spacing w:val="9"/>
          <w:sz w:val="20"/>
          <w:szCs w:val="20"/>
        </w:rPr>
        <w:t>地下结构最外侧的墙体，当地下室外墙同时为剪力墙时，执行地下室外墙子目。</w:t>
      </w:r>
    </w:p>
    <w:p>
      <w:pPr>
        <w:spacing w:line="278" w:lineRule="exact"/>
        <w:ind w:left="423"/>
        <w:rPr>
          <w:rFonts w:ascii="宋体" w:hAnsi="宋体" w:eastAsia="宋体" w:cs="宋体"/>
          <w:sz w:val="20"/>
          <w:szCs w:val="20"/>
        </w:rPr>
      </w:pPr>
      <w:r>
        <w:rPr>
          <w:rFonts w:ascii="宋体" w:hAnsi="宋体" w:eastAsia="宋体" w:cs="宋体"/>
          <w:b/>
          <w:bCs/>
          <w:spacing w:val="6"/>
          <w:position w:val="1"/>
          <w:sz w:val="20"/>
          <w:szCs w:val="20"/>
        </w:rPr>
        <w:t>26.关于剪力墙定额子目（5-1-28）、直、弧形墙定额子目（5-1-27）的适用范围</w:t>
      </w:r>
    </w:p>
    <w:p>
      <w:pPr>
        <w:spacing w:before="127" w:line="366" w:lineRule="auto"/>
        <w:ind w:right="2" w:firstLine="422"/>
        <w:jc w:val="both"/>
        <w:rPr>
          <w:rFonts w:ascii="宋体" w:hAnsi="宋体" w:eastAsia="宋体" w:cs="宋体"/>
          <w:sz w:val="20"/>
          <w:szCs w:val="20"/>
        </w:rPr>
      </w:pPr>
      <w:r>
        <w:rPr>
          <w:rFonts w:ascii="宋体" w:hAnsi="宋体" w:eastAsia="宋体" w:cs="宋体"/>
          <w:spacing w:val="11"/>
          <w:sz w:val="20"/>
          <w:szCs w:val="20"/>
        </w:rPr>
        <w:t>剪力墙由剪力墙柱、剪力墙身、剪力墙梁构件构成，计算工程量时按混凝土</w:t>
      </w:r>
      <w:r>
        <w:rPr>
          <w:rFonts w:ascii="宋体" w:hAnsi="宋体" w:eastAsia="宋体" w:cs="宋体"/>
          <w:spacing w:val="10"/>
          <w:sz w:val="20"/>
          <w:szCs w:val="20"/>
        </w:rPr>
        <w:t>墙的计算规则合并</w:t>
      </w:r>
      <w:r>
        <w:rPr>
          <w:rFonts w:ascii="宋体" w:hAnsi="宋体" w:eastAsia="宋体" w:cs="宋体"/>
          <w:spacing w:val="11"/>
          <w:sz w:val="20"/>
          <w:szCs w:val="20"/>
        </w:rPr>
        <w:t>计算并执行剪力墙定额子目；没有边缘约束构件仅有墙身设计的钢筋混凝土墙，</w:t>
      </w:r>
      <w:r>
        <w:rPr>
          <w:rFonts w:ascii="宋体" w:hAnsi="宋体" w:eastAsia="宋体" w:cs="宋体"/>
          <w:spacing w:val="10"/>
          <w:sz w:val="20"/>
          <w:szCs w:val="20"/>
        </w:rPr>
        <w:t>执行直、弧形墙子</w:t>
      </w:r>
      <w:r>
        <w:rPr>
          <w:rFonts w:ascii="宋体" w:hAnsi="宋体" w:eastAsia="宋体" w:cs="宋体"/>
          <w:spacing w:val="3"/>
          <w:sz w:val="20"/>
          <w:szCs w:val="20"/>
        </w:rPr>
        <w:t>目。</w:t>
      </w:r>
    </w:p>
    <w:p>
      <w:pPr>
        <w:spacing w:line="366" w:lineRule="auto"/>
        <w:rPr>
          <w:rFonts w:ascii="宋体" w:hAnsi="宋体" w:eastAsia="宋体" w:cs="宋体"/>
          <w:sz w:val="20"/>
          <w:szCs w:val="20"/>
        </w:rPr>
        <w:sectPr>
          <w:headerReference r:id="rId233" w:type="default"/>
          <w:footerReference r:id="rId234" w:type="default"/>
          <w:pgSz w:w="11906" w:h="16839"/>
          <w:pgMar w:top="400" w:right="1417" w:bottom="1212" w:left="1418" w:header="0" w:footer="897" w:gutter="0"/>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4267" w:lineRule="exact"/>
        <w:ind w:firstLine="2140"/>
      </w:pPr>
      <w:r>
        <w:rPr>
          <w:position w:val="-85"/>
        </w:rPr>
        <w:drawing>
          <wp:inline distT="0" distB="0" distL="0" distR="0">
            <wp:extent cx="2752090" cy="2709545"/>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410"/>
                    <a:stretch>
                      <a:fillRect/>
                    </a:stretch>
                  </pic:blipFill>
                  <pic:spPr>
                    <a:xfrm>
                      <a:off x="0" y="0"/>
                      <a:ext cx="2752344" cy="2709671"/>
                    </a:xfrm>
                    <a:prstGeom prst="rect">
                      <a:avLst/>
                    </a:prstGeom>
                  </pic:spPr>
                </pic:pic>
              </a:graphicData>
            </a:graphic>
          </wp:inline>
        </w:drawing>
      </w:r>
    </w:p>
    <w:p>
      <w:pPr>
        <w:spacing w:before="295" w:line="278" w:lineRule="exact"/>
        <w:ind w:left="422"/>
        <w:rPr>
          <w:rFonts w:ascii="宋体" w:hAnsi="宋体" w:eastAsia="宋体" w:cs="宋体"/>
          <w:sz w:val="20"/>
          <w:szCs w:val="20"/>
        </w:rPr>
      </w:pPr>
      <w:r>
        <w:rPr>
          <w:rFonts w:ascii="宋体" w:hAnsi="宋体" w:eastAsia="宋体" w:cs="宋体"/>
          <w:b/>
          <w:bCs/>
          <w:spacing w:val="2"/>
          <w:position w:val="1"/>
          <w:sz w:val="20"/>
          <w:szCs w:val="20"/>
        </w:rPr>
        <w:t>27.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关于楼梯工程量的计算</w:t>
      </w:r>
    </w:p>
    <w:p>
      <w:pPr>
        <w:spacing w:before="123" w:line="224" w:lineRule="auto"/>
        <w:ind w:left="421"/>
        <w:rPr>
          <w:rFonts w:ascii="宋体" w:hAnsi="宋体" w:eastAsia="宋体" w:cs="宋体"/>
          <w:sz w:val="20"/>
          <w:szCs w:val="20"/>
        </w:rPr>
      </w:pPr>
      <w:r>
        <w:rPr>
          <w:rFonts w:ascii="宋体" w:hAnsi="宋体" w:eastAsia="宋体" w:cs="宋体"/>
          <w:spacing w:val="9"/>
          <w:sz w:val="20"/>
          <w:szCs w:val="20"/>
        </w:rPr>
        <w:t>楼梯分为楼梯段和休息平台，分别按相应构件计算规则计算。</w:t>
      </w:r>
    </w:p>
    <w:p>
      <w:pPr>
        <w:spacing w:before="154" w:line="321" w:lineRule="auto"/>
        <w:ind w:left="1" w:firstLine="411"/>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1）楼梯段按设计图示尺寸以踏步段及其下方的斜梁和水平梁体积合并计算。踏步段自第一级</w:t>
      </w:r>
      <w:r>
        <w:rPr>
          <w:rFonts w:ascii="宋体" w:hAnsi="宋体" w:eastAsia="宋体" w:cs="宋体"/>
          <w:spacing w:val="11"/>
          <w:sz w:val="20"/>
          <w:szCs w:val="20"/>
        </w:rPr>
        <w:t>踏步算至最上一级踏步边缘另加一个踏面宽度，按设计图示尺寸以体积计算，</w:t>
      </w:r>
      <w:r>
        <w:rPr>
          <w:rFonts w:ascii="宋体" w:hAnsi="宋体" w:eastAsia="宋体" w:cs="宋体"/>
          <w:spacing w:val="10"/>
          <w:sz w:val="20"/>
          <w:szCs w:val="20"/>
        </w:rPr>
        <w:t>伸入砌体墙内部分并</w:t>
      </w:r>
      <w:r>
        <w:rPr>
          <w:rFonts w:ascii="宋体" w:hAnsi="宋体" w:eastAsia="宋体" w:cs="宋体"/>
          <w:spacing w:val="9"/>
          <w:sz w:val="20"/>
          <w:szCs w:val="20"/>
        </w:rPr>
        <w:t>入楼梯段体积内。旋转楼梯段不包括中心柱。</w:t>
      </w:r>
    </w:p>
    <w:p>
      <w:pPr>
        <w:spacing w:before="157" w:line="277" w:lineRule="exact"/>
        <w:ind w:left="412"/>
        <w:rPr>
          <w:rFonts w:ascii="宋体" w:hAnsi="宋体" w:eastAsia="宋体" w:cs="宋体"/>
          <w:sz w:val="20"/>
          <w:szCs w:val="20"/>
        </w:rPr>
      </w:pPr>
      <w:r>
        <w:rPr>
          <w:rFonts w:ascii="宋体" w:hAnsi="宋体" w:eastAsia="宋体" w:cs="宋体"/>
          <w:spacing w:val="10"/>
          <w:position w:val="1"/>
          <w:sz w:val="20"/>
          <w:szCs w:val="20"/>
        </w:rPr>
        <w:t>（2）楼梯段外其他梯梁及休息平台板，按梁、板</w:t>
      </w:r>
      <w:r>
        <w:rPr>
          <w:rFonts w:ascii="宋体" w:hAnsi="宋体" w:eastAsia="宋体" w:cs="宋体"/>
          <w:spacing w:val="9"/>
          <w:position w:val="1"/>
          <w:sz w:val="20"/>
          <w:szCs w:val="20"/>
        </w:rPr>
        <w:t>相应工程量计算规则分别计算。</w:t>
      </w:r>
    </w:p>
    <w:p>
      <w:pPr>
        <w:spacing w:before="124" w:line="278" w:lineRule="exact"/>
        <w:ind w:left="412"/>
        <w:rPr>
          <w:rFonts w:ascii="宋体" w:hAnsi="宋体" w:eastAsia="宋体" w:cs="宋体"/>
          <w:sz w:val="20"/>
          <w:szCs w:val="20"/>
        </w:rPr>
      </w:pPr>
      <w:r>
        <w:rPr>
          <w:rFonts w:ascii="宋体" w:hAnsi="宋体" w:eastAsia="宋体" w:cs="宋体"/>
          <w:spacing w:val="9"/>
          <w:position w:val="1"/>
          <w:sz w:val="20"/>
          <w:szCs w:val="20"/>
        </w:rPr>
        <w:t>（3）弧形楼梯，执行旋转楼梯子目并计算工程量。</w:t>
      </w:r>
    </w:p>
    <w:p>
      <w:pPr>
        <w:spacing w:before="120" w:line="277" w:lineRule="exact"/>
        <w:ind w:left="422"/>
        <w:rPr>
          <w:rFonts w:ascii="宋体" w:hAnsi="宋体" w:eastAsia="宋体" w:cs="宋体"/>
          <w:sz w:val="20"/>
          <w:szCs w:val="20"/>
        </w:rPr>
      </w:pPr>
      <w:r>
        <w:rPr>
          <w:rFonts w:ascii="宋体" w:hAnsi="宋体" w:eastAsia="宋体" w:cs="宋体"/>
          <w:b/>
          <w:bCs/>
          <w:spacing w:val="5"/>
          <w:position w:val="1"/>
          <w:sz w:val="20"/>
          <w:szCs w:val="20"/>
        </w:rPr>
        <w:t>28.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关于飘窗板定额子目（5-1-42）的适用范围</w:t>
      </w:r>
    </w:p>
    <w:p>
      <w:pPr>
        <w:spacing w:before="131" w:line="367" w:lineRule="auto"/>
        <w:ind w:left="1" w:right="2" w:firstLine="417"/>
        <w:rPr>
          <w:rFonts w:ascii="宋体" w:hAnsi="宋体" w:eastAsia="宋体" w:cs="宋体"/>
          <w:sz w:val="20"/>
          <w:szCs w:val="20"/>
        </w:rPr>
      </w:pPr>
      <w:r>
        <w:rPr>
          <w:rFonts w:ascii="宋体" w:hAnsi="宋体" w:eastAsia="宋体" w:cs="宋体"/>
          <w:spacing w:val="11"/>
          <w:sz w:val="20"/>
          <w:szCs w:val="20"/>
        </w:rPr>
        <w:t>飘窗板子目适用于飘窗上、下的混凝土挑板及飘窗左右的非贯通混凝土立板；飘</w:t>
      </w:r>
      <w:r>
        <w:rPr>
          <w:rFonts w:ascii="宋体" w:hAnsi="宋体" w:eastAsia="宋体" w:cs="宋体"/>
          <w:spacing w:val="10"/>
          <w:sz w:val="20"/>
          <w:szCs w:val="20"/>
        </w:rPr>
        <w:t>窗左右的贯通</w:t>
      </w:r>
      <w:r>
        <w:rPr>
          <w:rFonts w:ascii="宋体" w:hAnsi="宋体" w:eastAsia="宋体" w:cs="宋体"/>
          <w:spacing w:val="9"/>
          <w:sz w:val="20"/>
          <w:szCs w:val="20"/>
        </w:rPr>
        <w:t>混凝土立板执行直、弧形墙子目。如下图。</w:t>
      </w:r>
    </w:p>
    <w:p>
      <w:pPr>
        <w:spacing w:line="314" w:lineRule="auto"/>
        <w:rPr>
          <w:rFonts w:ascii="Arial"/>
          <w:sz w:val="21"/>
        </w:rPr>
      </w:pPr>
    </w:p>
    <w:p>
      <w:pPr>
        <w:spacing w:line="314" w:lineRule="auto"/>
        <w:rPr>
          <w:rFonts w:ascii="Arial"/>
          <w:sz w:val="21"/>
        </w:rPr>
      </w:pPr>
    </w:p>
    <w:p>
      <w:pPr>
        <w:spacing w:before="1" w:line="3165" w:lineRule="exact"/>
        <w:ind w:firstLine="417"/>
      </w:pPr>
      <w:r>
        <w:rPr>
          <w:position w:val="-63"/>
        </w:rPr>
        <w:drawing>
          <wp:inline distT="0" distB="0" distL="0" distR="0">
            <wp:extent cx="5125085" cy="200977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411"/>
                    <a:stretch>
                      <a:fillRect/>
                    </a:stretch>
                  </pic:blipFill>
                  <pic:spPr>
                    <a:xfrm>
                      <a:off x="0" y="0"/>
                      <a:ext cx="5125211" cy="2010155"/>
                    </a:xfrm>
                    <a:prstGeom prst="rect">
                      <a:avLst/>
                    </a:prstGeom>
                  </pic:spPr>
                </pic:pic>
              </a:graphicData>
            </a:graphic>
          </wp:inline>
        </w:drawing>
      </w:r>
    </w:p>
    <w:p>
      <w:pPr>
        <w:spacing w:line="3165" w:lineRule="exact"/>
        <w:sectPr>
          <w:headerReference r:id="rId235" w:type="default"/>
          <w:footerReference r:id="rId236" w:type="default"/>
          <w:pgSz w:w="11906" w:h="16839"/>
          <w:pgMar w:top="400" w:right="141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423"/>
        <w:rPr>
          <w:rFonts w:ascii="宋体" w:hAnsi="宋体" w:eastAsia="宋体" w:cs="宋体"/>
          <w:sz w:val="20"/>
          <w:szCs w:val="20"/>
        </w:rPr>
      </w:pPr>
      <w:bookmarkStart w:id="125" w:name="bookmark172"/>
      <w:bookmarkEnd w:id="125"/>
      <w:r>
        <w:rPr>
          <w:rFonts w:ascii="宋体" w:hAnsi="宋体" w:eastAsia="宋体" w:cs="宋体"/>
          <w:b/>
          <w:bCs/>
          <w:spacing w:val="1"/>
          <w:position w:val="1"/>
          <w:sz w:val="20"/>
          <w:szCs w:val="20"/>
        </w:rPr>
        <w:t>29.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关于阳台的计价</w:t>
      </w:r>
    </w:p>
    <w:p>
      <w:pPr>
        <w:spacing w:before="128" w:line="189" w:lineRule="auto"/>
        <w:ind w:left="441"/>
        <w:rPr>
          <w:rFonts w:ascii="宋体" w:hAnsi="宋体" w:eastAsia="宋体" w:cs="宋体"/>
          <w:sz w:val="20"/>
          <w:szCs w:val="20"/>
        </w:rPr>
      </w:pPr>
      <w:r>
        <w:rPr>
          <w:rFonts w:ascii="宋体" w:hAnsi="宋体" w:eastAsia="宋体" w:cs="宋体"/>
          <w:spacing w:val="8"/>
          <w:sz w:val="20"/>
          <w:szCs w:val="20"/>
        </w:rPr>
        <w:t>阳台按现浇混凝土梁、板等构件分别执行相应子目。如下图。</w:t>
      </w:r>
    </w:p>
    <w:p>
      <w:pPr>
        <w:spacing w:line="2229" w:lineRule="exact"/>
        <w:ind w:left="1540"/>
      </w:pPr>
      <w:r>
        <w:rPr>
          <w:position w:val="-45"/>
        </w:rPr>
        <w:drawing>
          <wp:inline distT="0" distB="0" distL="0" distR="0">
            <wp:extent cx="1875790" cy="141541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412"/>
                    <a:stretch>
                      <a:fillRect/>
                    </a:stretch>
                  </pic:blipFill>
                  <pic:spPr>
                    <a:xfrm>
                      <a:off x="0" y="0"/>
                      <a:ext cx="1876044" cy="1415795"/>
                    </a:xfrm>
                    <a:prstGeom prst="rect">
                      <a:avLst/>
                    </a:prstGeom>
                  </pic:spPr>
                </pic:pic>
              </a:graphicData>
            </a:graphic>
          </wp:inline>
        </w:drawing>
      </w:r>
    </w:p>
    <w:p>
      <w:pPr>
        <w:spacing w:line="296" w:lineRule="auto"/>
        <w:rPr>
          <w:rFonts w:ascii="Arial"/>
          <w:sz w:val="21"/>
        </w:rPr>
      </w:pPr>
    </w:p>
    <w:p>
      <w:pPr>
        <w:spacing w:before="65" w:line="276" w:lineRule="exact"/>
        <w:ind w:left="426"/>
        <w:rPr>
          <w:rFonts w:ascii="宋体" w:hAnsi="宋体" w:eastAsia="宋体" w:cs="宋体"/>
          <w:sz w:val="20"/>
          <w:szCs w:val="20"/>
        </w:rPr>
      </w:pPr>
      <w:r>
        <w:rPr>
          <w:rFonts w:ascii="宋体" w:hAnsi="宋体" w:eastAsia="宋体" w:cs="宋体"/>
          <w:b/>
          <w:bCs/>
          <w:spacing w:val="5"/>
          <w:position w:val="1"/>
          <w:sz w:val="20"/>
          <w:szCs w:val="20"/>
        </w:rPr>
        <w:t>30.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关于混凝土栏板、屋面混凝土女儿墙的计价</w:t>
      </w:r>
    </w:p>
    <w:p>
      <w:pPr>
        <w:spacing w:before="121" w:line="369" w:lineRule="auto"/>
        <w:ind w:firstLine="421"/>
        <w:rPr>
          <w:rFonts w:ascii="宋体" w:hAnsi="宋体" w:eastAsia="宋体" w:cs="宋体"/>
          <w:sz w:val="20"/>
          <w:szCs w:val="20"/>
        </w:rPr>
      </w:pPr>
      <w:r>
        <w:rPr>
          <w:rFonts w:ascii="宋体" w:hAnsi="宋体" w:eastAsia="宋体" w:cs="宋体"/>
          <w:spacing w:val="9"/>
          <w:sz w:val="20"/>
          <w:szCs w:val="20"/>
        </w:rPr>
        <w:t>混凝土栏板、屋面混凝土女儿墙的高度(包括同材质的压顶</w:t>
      </w:r>
      <w:r>
        <w:rPr>
          <w:rFonts w:ascii="宋体" w:hAnsi="宋体" w:eastAsia="宋体" w:cs="宋体"/>
          <w:spacing w:val="8"/>
          <w:sz w:val="20"/>
          <w:szCs w:val="20"/>
        </w:rPr>
        <w:t>扶手部分)≤1.2m</w:t>
      </w:r>
      <w:r>
        <w:rPr>
          <w:rFonts w:ascii="宋体" w:hAnsi="宋体" w:eastAsia="宋体" w:cs="宋体"/>
          <w:spacing w:val="-40"/>
          <w:sz w:val="20"/>
          <w:szCs w:val="20"/>
        </w:rPr>
        <w:t xml:space="preserve"> </w:t>
      </w:r>
      <w:r>
        <w:rPr>
          <w:rFonts w:ascii="宋体" w:hAnsi="宋体" w:eastAsia="宋体" w:cs="宋体"/>
          <w:spacing w:val="8"/>
          <w:sz w:val="20"/>
          <w:szCs w:val="20"/>
        </w:rPr>
        <w:t>且厚度≤100</w:t>
      </w:r>
      <w:r>
        <w:rPr>
          <w:rFonts w:ascii="宋体" w:hAnsi="宋体" w:eastAsia="宋体" w:cs="宋体"/>
          <w:sz w:val="20"/>
          <w:szCs w:val="20"/>
        </w:rPr>
        <w:t>mm</w:t>
      </w:r>
      <w:r>
        <w:rPr>
          <w:rFonts w:ascii="宋体" w:hAnsi="宋体" w:eastAsia="宋体" w:cs="宋体"/>
          <w:spacing w:val="8"/>
          <w:sz w:val="20"/>
          <w:szCs w:val="20"/>
        </w:rPr>
        <w:t>,执行栏板子目；高度＞</w:t>
      </w:r>
      <w:r>
        <w:rPr>
          <w:rFonts w:ascii="宋体" w:hAnsi="宋体" w:eastAsia="宋体" w:cs="宋体"/>
          <w:spacing w:val="-43"/>
          <w:sz w:val="20"/>
          <w:szCs w:val="20"/>
        </w:rPr>
        <w:t xml:space="preserve"> </w:t>
      </w:r>
      <w:r>
        <w:rPr>
          <w:rFonts w:ascii="宋体" w:hAnsi="宋体" w:eastAsia="宋体" w:cs="宋体"/>
          <w:spacing w:val="8"/>
          <w:sz w:val="20"/>
          <w:szCs w:val="20"/>
        </w:rPr>
        <w:t>1.2m</w:t>
      </w:r>
      <w:r>
        <w:rPr>
          <w:rFonts w:ascii="宋体" w:hAnsi="宋体" w:eastAsia="宋体" w:cs="宋体"/>
          <w:spacing w:val="-38"/>
          <w:sz w:val="20"/>
          <w:szCs w:val="20"/>
        </w:rPr>
        <w:t xml:space="preserve"> </w:t>
      </w:r>
      <w:r>
        <w:rPr>
          <w:rFonts w:ascii="宋体" w:hAnsi="宋体" w:eastAsia="宋体" w:cs="宋体"/>
          <w:spacing w:val="8"/>
          <w:sz w:val="20"/>
          <w:szCs w:val="20"/>
        </w:rPr>
        <w:t>或厚度＞</w:t>
      </w:r>
      <w:r>
        <w:rPr>
          <w:rFonts w:ascii="宋体" w:hAnsi="宋体" w:eastAsia="宋体" w:cs="宋体"/>
          <w:spacing w:val="-43"/>
          <w:sz w:val="20"/>
          <w:szCs w:val="20"/>
        </w:rPr>
        <w:t xml:space="preserve"> </w:t>
      </w:r>
      <w:r>
        <w:rPr>
          <w:rFonts w:ascii="宋体" w:hAnsi="宋体" w:eastAsia="宋体" w:cs="宋体"/>
          <w:spacing w:val="8"/>
          <w:sz w:val="20"/>
          <w:szCs w:val="20"/>
        </w:rPr>
        <w:t>100</w:t>
      </w:r>
      <w:r>
        <w:rPr>
          <w:rFonts w:ascii="宋体" w:hAnsi="宋体" w:eastAsia="宋体" w:cs="宋体"/>
          <w:sz w:val="20"/>
          <w:szCs w:val="20"/>
        </w:rPr>
        <w:t>mm</w:t>
      </w:r>
      <w:r>
        <w:rPr>
          <w:rFonts w:ascii="宋体" w:hAnsi="宋体" w:eastAsia="宋体" w:cs="宋体"/>
          <w:spacing w:val="-31"/>
          <w:sz w:val="20"/>
          <w:szCs w:val="20"/>
        </w:rPr>
        <w:t xml:space="preserve"> </w:t>
      </w:r>
      <w:r>
        <w:rPr>
          <w:rFonts w:ascii="宋体" w:hAnsi="宋体" w:eastAsia="宋体" w:cs="宋体"/>
          <w:spacing w:val="8"/>
          <w:sz w:val="20"/>
          <w:szCs w:val="20"/>
        </w:rPr>
        <w:t>时执行直、弧形墙子目，同材</w:t>
      </w:r>
      <w:r>
        <w:rPr>
          <w:rFonts w:ascii="宋体" w:hAnsi="宋体" w:eastAsia="宋体" w:cs="宋体"/>
          <w:spacing w:val="7"/>
          <w:sz w:val="20"/>
          <w:szCs w:val="20"/>
        </w:rPr>
        <w:t>质的压顶扶手并入计算。</w:t>
      </w:r>
    </w:p>
    <w:p>
      <w:pPr>
        <w:spacing w:before="2" w:line="278" w:lineRule="exact"/>
        <w:ind w:left="426"/>
        <w:rPr>
          <w:rFonts w:ascii="宋体" w:hAnsi="宋体" w:eastAsia="宋体" w:cs="宋体"/>
          <w:sz w:val="20"/>
          <w:szCs w:val="20"/>
        </w:rPr>
      </w:pPr>
      <w:r>
        <w:rPr>
          <w:rFonts w:ascii="宋体" w:hAnsi="宋体" w:eastAsia="宋体" w:cs="宋体"/>
          <w:b/>
          <w:bCs/>
          <w:spacing w:val="5"/>
          <w:position w:val="1"/>
          <w:sz w:val="20"/>
          <w:szCs w:val="20"/>
        </w:rPr>
        <w:t>31.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关于预制混凝土构件安装就位后灌缝的计算</w:t>
      </w:r>
    </w:p>
    <w:p>
      <w:pPr>
        <w:spacing w:before="123" w:line="369" w:lineRule="auto"/>
        <w:ind w:firstLine="421"/>
        <w:rPr>
          <w:rFonts w:ascii="宋体" w:hAnsi="宋体" w:eastAsia="宋体" w:cs="宋体"/>
          <w:sz w:val="20"/>
          <w:szCs w:val="20"/>
        </w:rPr>
      </w:pPr>
      <w:r>
        <w:rPr>
          <w:rFonts w:ascii="宋体" w:hAnsi="宋体" w:eastAsia="宋体" w:cs="宋体"/>
          <w:spacing w:val="11"/>
          <w:sz w:val="20"/>
          <w:szCs w:val="20"/>
        </w:rPr>
        <w:t>各类预制混凝土构件安装就位后的灌缝，均套用相应构件的灌缝子目，其工程量按</w:t>
      </w:r>
      <w:r>
        <w:rPr>
          <w:rFonts w:ascii="宋体" w:hAnsi="宋体" w:eastAsia="宋体" w:cs="宋体"/>
          <w:spacing w:val="10"/>
          <w:sz w:val="20"/>
          <w:szCs w:val="20"/>
        </w:rPr>
        <w:t>构件的体积</w:t>
      </w:r>
      <w:r>
        <w:rPr>
          <w:rFonts w:ascii="宋体" w:hAnsi="宋体" w:eastAsia="宋体" w:cs="宋体"/>
          <w:spacing w:val="5"/>
          <w:sz w:val="20"/>
          <w:szCs w:val="20"/>
        </w:rPr>
        <w:t>计算。</w:t>
      </w:r>
    </w:p>
    <w:p>
      <w:pPr>
        <w:spacing w:line="277" w:lineRule="exact"/>
        <w:ind w:left="426"/>
        <w:rPr>
          <w:rFonts w:ascii="宋体" w:hAnsi="宋体" w:eastAsia="宋体" w:cs="宋体"/>
          <w:sz w:val="20"/>
          <w:szCs w:val="20"/>
        </w:rPr>
      </w:pPr>
      <w:r>
        <w:rPr>
          <w:rFonts w:ascii="宋体" w:hAnsi="宋体" w:eastAsia="宋体" w:cs="宋体"/>
          <w:b/>
          <w:bCs/>
          <w:spacing w:val="4"/>
          <w:position w:val="1"/>
          <w:sz w:val="20"/>
          <w:szCs w:val="20"/>
        </w:rPr>
        <w:t>32.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关于混凝土项目添加外加剂的计算</w:t>
      </w:r>
    </w:p>
    <w:p>
      <w:pPr>
        <w:spacing w:before="125" w:line="368" w:lineRule="auto"/>
        <w:ind w:right="2" w:firstLine="422"/>
        <w:rPr>
          <w:rFonts w:ascii="宋体" w:hAnsi="宋体" w:eastAsia="宋体" w:cs="宋体"/>
          <w:sz w:val="20"/>
          <w:szCs w:val="20"/>
        </w:rPr>
      </w:pPr>
      <w:r>
        <w:rPr>
          <w:rFonts w:ascii="宋体" w:hAnsi="宋体" w:eastAsia="宋体" w:cs="宋体"/>
          <w:spacing w:val="11"/>
          <w:sz w:val="20"/>
          <w:szCs w:val="20"/>
        </w:rPr>
        <w:t>混凝土项目中未包括各种外加剂，设计规定需要增加时，可单独计算；当设</w:t>
      </w:r>
      <w:r>
        <w:rPr>
          <w:rFonts w:ascii="宋体" w:hAnsi="宋体" w:eastAsia="宋体" w:cs="宋体"/>
          <w:spacing w:val="10"/>
          <w:sz w:val="20"/>
          <w:szCs w:val="20"/>
        </w:rPr>
        <w:t>计无要求时，不计</w:t>
      </w:r>
      <w:r>
        <w:rPr>
          <w:rFonts w:ascii="宋体" w:hAnsi="宋体" w:eastAsia="宋体" w:cs="宋体"/>
          <w:spacing w:val="3"/>
          <w:sz w:val="20"/>
          <w:szCs w:val="20"/>
        </w:rPr>
        <w:t>算。</w:t>
      </w:r>
    </w:p>
    <w:p>
      <w:pPr>
        <w:spacing w:line="278" w:lineRule="exact"/>
        <w:ind w:left="426"/>
        <w:rPr>
          <w:rFonts w:ascii="宋体" w:hAnsi="宋体" w:eastAsia="宋体" w:cs="宋体"/>
          <w:sz w:val="20"/>
          <w:szCs w:val="20"/>
        </w:rPr>
      </w:pPr>
      <w:r>
        <w:rPr>
          <w:rFonts w:ascii="宋体" w:hAnsi="宋体" w:eastAsia="宋体" w:cs="宋体"/>
          <w:b/>
          <w:bCs/>
          <w:spacing w:val="4"/>
          <w:position w:val="1"/>
          <w:sz w:val="20"/>
          <w:szCs w:val="20"/>
        </w:rPr>
        <w:t>33.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关于混凝土构件预埋铁件工程量的计算</w:t>
      </w:r>
    </w:p>
    <w:p>
      <w:pPr>
        <w:spacing w:before="125" w:line="368" w:lineRule="auto"/>
        <w:ind w:left="1" w:right="2" w:firstLine="420"/>
        <w:rPr>
          <w:rFonts w:ascii="宋体" w:hAnsi="宋体" w:eastAsia="宋体" w:cs="宋体"/>
          <w:sz w:val="20"/>
          <w:szCs w:val="20"/>
        </w:rPr>
      </w:pPr>
      <w:r>
        <w:rPr>
          <w:rFonts w:ascii="宋体" w:hAnsi="宋体" w:eastAsia="宋体" w:cs="宋体"/>
          <w:spacing w:val="11"/>
          <w:sz w:val="20"/>
          <w:szCs w:val="20"/>
        </w:rPr>
        <w:t>混凝土构件预埋铁件工程量，按设计图示尺寸以质量计算。计算铁件工程量</w:t>
      </w:r>
      <w:r>
        <w:rPr>
          <w:rFonts w:ascii="宋体" w:hAnsi="宋体" w:eastAsia="宋体" w:cs="宋体"/>
          <w:spacing w:val="10"/>
          <w:sz w:val="20"/>
          <w:szCs w:val="20"/>
        </w:rPr>
        <w:t>时，不扣除孔眼、</w:t>
      </w:r>
      <w:r>
        <w:rPr>
          <w:rFonts w:ascii="宋体" w:hAnsi="宋体" w:eastAsia="宋体" w:cs="宋体"/>
          <w:spacing w:val="11"/>
          <w:sz w:val="20"/>
          <w:szCs w:val="20"/>
        </w:rPr>
        <w:t>切肢、切边的重量，焊条的重量也不增加。对于不规则形状的钢板，按满足其</w:t>
      </w:r>
      <w:r>
        <w:rPr>
          <w:rFonts w:ascii="宋体" w:hAnsi="宋体" w:eastAsia="宋体" w:cs="宋体"/>
          <w:spacing w:val="10"/>
          <w:sz w:val="20"/>
          <w:szCs w:val="20"/>
        </w:rPr>
        <w:t>形状切割的外接矩形</w:t>
      </w:r>
      <w:r>
        <w:rPr>
          <w:rFonts w:ascii="宋体" w:hAnsi="宋体" w:eastAsia="宋体" w:cs="宋体"/>
          <w:spacing w:val="8"/>
          <w:sz w:val="20"/>
          <w:szCs w:val="20"/>
        </w:rPr>
        <w:t>面积及钢板厚度计算工程量。</w:t>
      </w:r>
    </w:p>
    <w:p>
      <w:pPr>
        <w:spacing w:line="277" w:lineRule="exact"/>
        <w:ind w:left="426"/>
        <w:rPr>
          <w:rFonts w:ascii="宋体" w:hAnsi="宋体" w:eastAsia="宋体" w:cs="宋体"/>
          <w:sz w:val="20"/>
          <w:szCs w:val="20"/>
        </w:rPr>
      </w:pPr>
      <w:r>
        <w:rPr>
          <w:rFonts w:ascii="宋体" w:hAnsi="宋体" w:eastAsia="宋体" w:cs="宋体"/>
          <w:b/>
          <w:bCs/>
          <w:spacing w:val="6"/>
          <w:position w:val="1"/>
          <w:sz w:val="20"/>
          <w:szCs w:val="20"/>
        </w:rPr>
        <w:t>34.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关于现场搅拌混凝土、场内运输混凝土及泵送混凝土增加材料子目的适用范围</w:t>
      </w:r>
    </w:p>
    <w:p>
      <w:pPr>
        <w:spacing w:before="124" w:line="351" w:lineRule="auto"/>
        <w:ind w:left="6" w:right="2" w:firstLine="418"/>
        <w:rPr>
          <w:rFonts w:ascii="宋体" w:hAnsi="宋体" w:eastAsia="宋体" w:cs="宋体"/>
          <w:sz w:val="20"/>
          <w:szCs w:val="20"/>
        </w:rPr>
      </w:pPr>
      <w:r>
        <w:rPr>
          <w:rFonts w:ascii="宋体" w:hAnsi="宋体" w:eastAsia="宋体" w:cs="宋体"/>
          <w:spacing w:val="11"/>
          <w:sz w:val="20"/>
          <w:szCs w:val="20"/>
        </w:rPr>
        <w:t>现场搅拌混凝土、场内运输混凝土及泵送混凝土增加材料子目，仅适用</w:t>
      </w:r>
      <w:r>
        <w:rPr>
          <w:rFonts w:ascii="宋体" w:hAnsi="宋体" w:eastAsia="宋体" w:cs="宋体"/>
          <w:spacing w:val="10"/>
          <w:sz w:val="20"/>
          <w:szCs w:val="20"/>
        </w:rPr>
        <w:t>于在施工现场制作混凝</w:t>
      </w:r>
      <w:r>
        <w:rPr>
          <w:rFonts w:ascii="宋体" w:hAnsi="宋体" w:eastAsia="宋体" w:cs="宋体"/>
          <w:spacing w:val="5"/>
          <w:sz w:val="20"/>
          <w:szCs w:val="20"/>
        </w:rPr>
        <w:t>土的情况。</w:t>
      </w:r>
    </w:p>
    <w:p>
      <w:pPr>
        <w:spacing w:before="40" w:line="369" w:lineRule="auto"/>
        <w:ind w:left="3" w:firstLine="416"/>
        <w:jc w:val="both"/>
        <w:rPr>
          <w:rFonts w:ascii="宋体" w:hAnsi="宋体" w:eastAsia="宋体" w:cs="宋体"/>
          <w:sz w:val="20"/>
          <w:szCs w:val="20"/>
        </w:rPr>
      </w:pPr>
      <w:r>
        <w:rPr>
          <w:rFonts w:ascii="宋体" w:hAnsi="宋体" w:eastAsia="宋体" w:cs="宋体"/>
          <w:spacing w:val="11"/>
          <w:sz w:val="20"/>
          <w:szCs w:val="20"/>
        </w:rPr>
        <w:t>施工单位自行制作混凝土，其泵送剂以及由于混凝土坍落度增大和使用水泥砂浆</w:t>
      </w:r>
      <w:r>
        <w:rPr>
          <w:rFonts w:ascii="宋体" w:hAnsi="宋体" w:eastAsia="宋体" w:cs="宋体"/>
          <w:spacing w:val="10"/>
          <w:sz w:val="20"/>
          <w:szCs w:val="20"/>
        </w:rPr>
        <w:t>润滑输送管道</w:t>
      </w:r>
      <w:r>
        <w:rPr>
          <w:rFonts w:ascii="宋体" w:hAnsi="宋体" w:eastAsia="宋体" w:cs="宋体"/>
          <w:spacing w:val="8"/>
          <w:sz w:val="20"/>
          <w:szCs w:val="20"/>
        </w:rPr>
        <w:t>而增加的水泥用量等内容，执行 5-3-6 泵送混凝土增加材料子目。子目中</w:t>
      </w:r>
      <w:r>
        <w:rPr>
          <w:rFonts w:ascii="宋体" w:hAnsi="宋体" w:eastAsia="宋体" w:cs="宋体"/>
          <w:spacing w:val="7"/>
          <w:sz w:val="20"/>
          <w:szCs w:val="20"/>
        </w:rPr>
        <w:t>的水泥强度等级、泵送剂</w:t>
      </w:r>
      <w:r>
        <w:rPr>
          <w:rFonts w:ascii="宋体" w:hAnsi="宋体" w:eastAsia="宋体" w:cs="宋体"/>
          <w:spacing w:val="10"/>
          <w:sz w:val="20"/>
          <w:szCs w:val="20"/>
        </w:rPr>
        <w:t>的规格和用量，设计与定额不同时，可以换算，其他不变。当施工单位自制混凝</w:t>
      </w:r>
      <w:r>
        <w:rPr>
          <w:rFonts w:ascii="宋体" w:hAnsi="宋体" w:eastAsia="宋体" w:cs="宋体"/>
          <w:spacing w:val="9"/>
          <w:sz w:val="20"/>
          <w:szCs w:val="20"/>
        </w:rPr>
        <w:t>土采用泵送，执行</w:t>
      </w:r>
      <w:r>
        <w:rPr>
          <w:rFonts w:ascii="宋体" w:hAnsi="宋体" w:eastAsia="宋体" w:cs="宋体"/>
          <w:spacing w:val="8"/>
          <w:sz w:val="20"/>
          <w:szCs w:val="20"/>
        </w:rPr>
        <w:t>5-3-7、8</w:t>
      </w:r>
      <w:r>
        <w:rPr>
          <w:rFonts w:ascii="宋体" w:hAnsi="宋体" w:eastAsia="宋体" w:cs="宋体"/>
          <w:spacing w:val="-32"/>
          <w:sz w:val="20"/>
          <w:szCs w:val="20"/>
        </w:rPr>
        <w:t xml:space="preserve"> </w:t>
      </w:r>
      <w:r>
        <w:rPr>
          <w:rFonts w:ascii="宋体" w:hAnsi="宋体" w:eastAsia="宋体" w:cs="宋体"/>
          <w:spacing w:val="8"/>
          <w:sz w:val="20"/>
          <w:szCs w:val="20"/>
        </w:rPr>
        <w:t>泵送混凝土子目时扣除子目中的砂浆。</w:t>
      </w:r>
    </w:p>
    <w:p>
      <w:pPr>
        <w:spacing w:line="276" w:lineRule="exact"/>
        <w:ind w:left="426"/>
        <w:rPr>
          <w:rFonts w:ascii="宋体" w:hAnsi="宋体" w:eastAsia="宋体" w:cs="宋体"/>
          <w:sz w:val="20"/>
          <w:szCs w:val="20"/>
        </w:rPr>
      </w:pPr>
      <w:r>
        <w:rPr>
          <w:rFonts w:ascii="宋体" w:hAnsi="宋体" w:eastAsia="宋体" w:cs="宋体"/>
          <w:b/>
          <w:bCs/>
          <w:spacing w:val="2"/>
          <w:position w:val="1"/>
          <w:sz w:val="20"/>
          <w:szCs w:val="20"/>
        </w:rPr>
        <w:t>35.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关于混凝土养护的计价</w:t>
      </w:r>
    </w:p>
    <w:p>
      <w:pPr>
        <w:spacing w:before="129" w:line="367" w:lineRule="auto"/>
        <w:ind w:left="3" w:right="2" w:firstLine="421"/>
        <w:rPr>
          <w:rFonts w:ascii="宋体" w:hAnsi="宋体" w:eastAsia="宋体" w:cs="宋体"/>
          <w:sz w:val="20"/>
          <w:szCs w:val="20"/>
        </w:rPr>
      </w:pPr>
      <w:r>
        <w:rPr>
          <w:rFonts w:ascii="宋体" w:hAnsi="宋体" w:eastAsia="宋体" w:cs="宋体"/>
          <w:spacing w:val="11"/>
          <w:sz w:val="20"/>
          <w:szCs w:val="20"/>
        </w:rPr>
        <w:t>现浇混凝土中已考虑了混凝土的养护相关费用，如果实际采用的养护手</w:t>
      </w:r>
      <w:r>
        <w:rPr>
          <w:rFonts w:ascii="宋体" w:hAnsi="宋体" w:eastAsia="宋体" w:cs="宋体"/>
          <w:spacing w:val="10"/>
          <w:sz w:val="20"/>
          <w:szCs w:val="20"/>
        </w:rPr>
        <w:t>段不同时，不调整定额</w:t>
      </w:r>
      <w:r>
        <w:rPr>
          <w:rFonts w:ascii="宋体" w:hAnsi="宋体" w:eastAsia="宋体" w:cs="宋体"/>
          <w:spacing w:val="9"/>
          <w:sz w:val="20"/>
          <w:szCs w:val="20"/>
        </w:rPr>
        <w:t>材料。现浇混凝土因低温等天气原因导致的其他措施，在冬雨季施工增加费中考虑。</w:t>
      </w:r>
    </w:p>
    <w:p>
      <w:pPr>
        <w:spacing w:line="276" w:lineRule="exact"/>
        <w:ind w:left="426"/>
        <w:rPr>
          <w:rFonts w:ascii="宋体" w:hAnsi="宋体" w:eastAsia="宋体" w:cs="宋体"/>
          <w:sz w:val="20"/>
          <w:szCs w:val="20"/>
        </w:rPr>
      </w:pPr>
      <w:r>
        <w:rPr>
          <w:rFonts w:ascii="宋体" w:hAnsi="宋体" w:eastAsia="宋体" w:cs="宋体"/>
          <w:b/>
          <w:bCs/>
          <w:spacing w:val="3"/>
          <w:position w:val="1"/>
          <w:sz w:val="20"/>
          <w:szCs w:val="20"/>
        </w:rPr>
        <w:t>36.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关于“钢筋间隔件”的计价</w:t>
      </w:r>
    </w:p>
    <w:p>
      <w:pPr>
        <w:spacing w:before="129" w:line="359" w:lineRule="auto"/>
        <w:ind w:left="3" w:right="2" w:firstLine="420"/>
        <w:rPr>
          <w:rFonts w:ascii="宋体" w:hAnsi="宋体" w:eastAsia="宋体" w:cs="宋体"/>
          <w:sz w:val="20"/>
          <w:szCs w:val="20"/>
        </w:rPr>
      </w:pPr>
      <w:r>
        <w:rPr>
          <w:rFonts w:ascii="宋体" w:hAnsi="宋体" w:eastAsia="宋体" w:cs="宋体"/>
          <w:spacing w:val="11"/>
          <w:sz w:val="20"/>
          <w:szCs w:val="20"/>
        </w:rPr>
        <w:t>钢筋间隔件是钢筋安装过程中设置于钢筋之间，用于固定钢筋位置的专</w:t>
      </w:r>
      <w:r>
        <w:rPr>
          <w:rFonts w:ascii="宋体" w:hAnsi="宋体" w:eastAsia="宋体" w:cs="宋体"/>
          <w:spacing w:val="10"/>
          <w:sz w:val="20"/>
          <w:szCs w:val="20"/>
        </w:rPr>
        <w:t>用间隔件。钢筋间隔件</w:t>
      </w:r>
      <w:r>
        <w:rPr>
          <w:rFonts w:ascii="宋体" w:hAnsi="宋体" w:eastAsia="宋体" w:cs="宋体"/>
          <w:spacing w:val="9"/>
          <w:sz w:val="20"/>
          <w:szCs w:val="20"/>
        </w:rPr>
        <w:t>子目，材料按水泥基类间隔件列项，若材料为塑料类或金属类等，可以替换。</w:t>
      </w:r>
    </w:p>
    <w:p>
      <w:pPr>
        <w:spacing w:line="277" w:lineRule="exact"/>
        <w:jc w:val="right"/>
        <w:rPr>
          <w:rFonts w:ascii="宋体" w:hAnsi="宋体" w:eastAsia="宋体" w:cs="宋体"/>
          <w:sz w:val="20"/>
          <w:szCs w:val="20"/>
        </w:rPr>
      </w:pPr>
      <w:r>
        <w:rPr>
          <w:rFonts w:ascii="宋体" w:hAnsi="宋体" w:eastAsia="宋体" w:cs="宋体"/>
          <w:spacing w:val="6"/>
          <w:position w:val="1"/>
          <w:sz w:val="20"/>
          <w:szCs w:val="20"/>
        </w:rPr>
        <w:t>钢筋间隔件，按发承包双方确认的施工方案以数量计算。无施工方案时，按</w:t>
      </w:r>
      <w:r>
        <w:rPr>
          <w:rFonts w:ascii="宋体" w:hAnsi="宋体" w:eastAsia="宋体" w:cs="宋体"/>
          <w:spacing w:val="-20"/>
          <w:position w:val="1"/>
          <w:sz w:val="20"/>
          <w:szCs w:val="20"/>
        </w:rPr>
        <w:t xml:space="preserve"> </w:t>
      </w:r>
      <w:r>
        <w:rPr>
          <w:rFonts w:ascii="宋体" w:hAnsi="宋体" w:eastAsia="宋体" w:cs="宋体"/>
          <w:spacing w:val="6"/>
          <w:position w:val="1"/>
          <w:sz w:val="20"/>
          <w:szCs w:val="20"/>
        </w:rPr>
        <w:t>1.21个/㎡（模板接</w:t>
      </w:r>
    </w:p>
    <w:p>
      <w:pPr>
        <w:spacing w:line="277" w:lineRule="exact"/>
        <w:rPr>
          <w:rFonts w:ascii="宋体" w:hAnsi="宋体" w:eastAsia="宋体" w:cs="宋体"/>
          <w:sz w:val="20"/>
          <w:szCs w:val="20"/>
        </w:rPr>
        <w:sectPr>
          <w:footerReference r:id="rId237" w:type="default"/>
          <w:pgSz w:w="11906" w:h="16839"/>
          <w:pgMar w:top="400" w:right="1417" w:bottom="1212" w:left="1418" w:header="0" w:footer="897" w:gutter="0"/>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before="65" w:line="278" w:lineRule="exact"/>
        <w:ind w:left="3"/>
        <w:rPr>
          <w:rFonts w:ascii="宋体" w:hAnsi="宋体" w:eastAsia="宋体" w:cs="宋体"/>
          <w:sz w:val="20"/>
          <w:szCs w:val="20"/>
        </w:rPr>
      </w:pPr>
      <w:r>
        <w:rPr>
          <w:rFonts w:ascii="宋体" w:hAnsi="宋体" w:eastAsia="宋体" w:cs="宋体"/>
          <w:spacing w:val="7"/>
          <w:position w:val="1"/>
          <w:sz w:val="20"/>
          <w:szCs w:val="20"/>
        </w:rPr>
        <w:t>触面积）计算。</w:t>
      </w:r>
    </w:p>
    <w:p>
      <w:pPr>
        <w:spacing w:before="101" w:line="276" w:lineRule="exact"/>
        <w:ind w:left="428"/>
        <w:rPr>
          <w:rFonts w:ascii="宋体" w:hAnsi="宋体" w:eastAsia="宋体" w:cs="宋体"/>
          <w:sz w:val="20"/>
          <w:szCs w:val="20"/>
        </w:rPr>
      </w:pPr>
      <w:r>
        <w:rPr>
          <w:rFonts w:ascii="宋体" w:hAnsi="宋体" w:eastAsia="宋体" w:cs="宋体"/>
          <w:b/>
          <w:bCs/>
          <w:spacing w:val="1"/>
          <w:position w:val="1"/>
          <w:sz w:val="20"/>
          <w:szCs w:val="20"/>
        </w:rPr>
        <w:t>37.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关于“马凳钢筋”</w:t>
      </w:r>
      <w:r>
        <w:rPr>
          <w:rFonts w:ascii="宋体" w:hAnsi="宋体" w:eastAsia="宋体" w:cs="宋体"/>
          <w:spacing w:val="-69"/>
          <w:position w:val="1"/>
          <w:sz w:val="20"/>
          <w:szCs w:val="20"/>
        </w:rPr>
        <w:t xml:space="preserve"> </w:t>
      </w:r>
      <w:r>
        <w:rPr>
          <w:rFonts w:ascii="宋体" w:hAnsi="宋体" w:eastAsia="宋体" w:cs="宋体"/>
          <w:b/>
          <w:bCs/>
          <w:spacing w:val="1"/>
          <w:position w:val="1"/>
          <w:sz w:val="20"/>
          <w:szCs w:val="20"/>
        </w:rPr>
        <w:t>的计价</w:t>
      </w:r>
    </w:p>
    <w:p>
      <w:pPr>
        <w:spacing w:before="104" w:line="350" w:lineRule="auto"/>
        <w:ind w:left="4" w:right="64" w:firstLine="418"/>
        <w:jc w:val="both"/>
        <w:rPr>
          <w:rFonts w:ascii="宋体" w:hAnsi="宋体" w:eastAsia="宋体" w:cs="宋体"/>
          <w:sz w:val="20"/>
          <w:szCs w:val="20"/>
        </w:rPr>
      </w:pPr>
      <w:r>
        <w:rPr>
          <w:rFonts w:ascii="宋体" w:hAnsi="宋体" w:eastAsia="宋体" w:cs="宋体"/>
          <w:spacing w:val="7"/>
          <w:sz w:val="20"/>
          <w:szCs w:val="20"/>
        </w:rPr>
        <w:t>“马凳钢筋”定额子目适用于φ8≤钢筋直径≤φ</w:t>
      </w:r>
      <w:r>
        <w:rPr>
          <w:rFonts w:ascii="宋体" w:hAnsi="宋体" w:eastAsia="宋体" w:cs="宋体"/>
          <w:spacing w:val="-75"/>
          <w:sz w:val="20"/>
          <w:szCs w:val="20"/>
        </w:rPr>
        <w:t xml:space="preserve"> </w:t>
      </w:r>
      <w:r>
        <w:rPr>
          <w:rFonts w:ascii="宋体" w:hAnsi="宋体" w:eastAsia="宋体" w:cs="宋体"/>
          <w:spacing w:val="7"/>
          <w:sz w:val="20"/>
          <w:szCs w:val="20"/>
        </w:rPr>
        <w:t>12</w:t>
      </w:r>
      <w:r>
        <w:rPr>
          <w:rFonts w:ascii="宋体" w:hAnsi="宋体" w:eastAsia="宋体" w:cs="宋体"/>
          <w:spacing w:val="-24"/>
          <w:sz w:val="20"/>
          <w:szCs w:val="20"/>
        </w:rPr>
        <w:t xml:space="preserve"> </w:t>
      </w:r>
      <w:r>
        <w:rPr>
          <w:rFonts w:ascii="宋体" w:hAnsi="宋体" w:eastAsia="宋体" w:cs="宋体"/>
          <w:spacing w:val="7"/>
          <w:sz w:val="20"/>
          <w:szCs w:val="20"/>
        </w:rPr>
        <w:t>的情形，钢</w:t>
      </w:r>
      <w:r>
        <w:rPr>
          <w:rFonts w:ascii="宋体" w:hAnsi="宋体" w:eastAsia="宋体" w:cs="宋体"/>
          <w:spacing w:val="6"/>
          <w:sz w:val="20"/>
          <w:szCs w:val="20"/>
        </w:rPr>
        <w:t>筋直径＞</w:t>
      </w:r>
      <w:r>
        <w:rPr>
          <w:rFonts w:ascii="宋体" w:hAnsi="宋体" w:eastAsia="宋体" w:cs="宋体"/>
          <w:spacing w:val="-38"/>
          <w:sz w:val="20"/>
          <w:szCs w:val="20"/>
        </w:rPr>
        <w:t xml:space="preserve"> </w:t>
      </w:r>
      <w:r>
        <w:rPr>
          <w:rFonts w:ascii="宋体" w:hAnsi="宋体" w:eastAsia="宋体" w:cs="宋体"/>
          <w:spacing w:val="6"/>
          <w:sz w:val="20"/>
          <w:szCs w:val="20"/>
        </w:rPr>
        <w:t>Φ</w:t>
      </w:r>
      <w:r>
        <w:rPr>
          <w:rFonts w:ascii="宋体" w:hAnsi="宋体" w:eastAsia="宋体" w:cs="宋体"/>
          <w:spacing w:val="-75"/>
          <w:sz w:val="20"/>
          <w:szCs w:val="20"/>
        </w:rPr>
        <w:t xml:space="preserve"> </w:t>
      </w:r>
      <w:r>
        <w:rPr>
          <w:rFonts w:ascii="宋体" w:hAnsi="宋体" w:eastAsia="宋体" w:cs="宋体"/>
          <w:spacing w:val="6"/>
          <w:sz w:val="20"/>
          <w:szCs w:val="20"/>
        </w:rPr>
        <w:t>12</w:t>
      </w:r>
      <w:r>
        <w:rPr>
          <w:rFonts w:ascii="宋体" w:hAnsi="宋体" w:eastAsia="宋体" w:cs="宋体"/>
          <w:spacing w:val="-28"/>
          <w:sz w:val="20"/>
          <w:szCs w:val="20"/>
        </w:rPr>
        <w:t xml:space="preserve"> </w:t>
      </w:r>
      <w:r>
        <w:rPr>
          <w:rFonts w:ascii="宋体" w:hAnsi="宋体" w:eastAsia="宋体" w:cs="宋体"/>
          <w:spacing w:val="6"/>
          <w:sz w:val="20"/>
          <w:szCs w:val="20"/>
        </w:rPr>
        <w:t>时，应执行现浇</w:t>
      </w:r>
      <w:r>
        <w:rPr>
          <w:rFonts w:ascii="宋体" w:hAnsi="宋体" w:eastAsia="宋体" w:cs="宋体"/>
          <w:spacing w:val="11"/>
          <w:sz w:val="20"/>
          <w:szCs w:val="20"/>
        </w:rPr>
        <w:t>构件钢筋子目。若为成品马凳钢筋，执行钢筋间隔件子目，并换算材料。“马凳</w:t>
      </w:r>
      <w:r>
        <w:rPr>
          <w:rFonts w:ascii="宋体" w:hAnsi="宋体" w:eastAsia="宋体" w:cs="宋体"/>
          <w:spacing w:val="10"/>
          <w:sz w:val="20"/>
          <w:szCs w:val="20"/>
        </w:rPr>
        <w:t>钢筋”子目，材料</w:t>
      </w:r>
      <w:r>
        <w:rPr>
          <w:rFonts w:ascii="宋体" w:hAnsi="宋体" w:eastAsia="宋体" w:cs="宋体"/>
          <w:spacing w:val="9"/>
          <w:sz w:val="20"/>
          <w:szCs w:val="20"/>
        </w:rPr>
        <w:t>中按钢筋直径Φ8</w:t>
      </w:r>
      <w:r>
        <w:rPr>
          <w:rFonts w:ascii="宋体" w:hAnsi="宋体" w:eastAsia="宋体" w:cs="宋体"/>
          <w:spacing w:val="-35"/>
          <w:sz w:val="20"/>
          <w:szCs w:val="20"/>
        </w:rPr>
        <w:t xml:space="preserve"> </w:t>
      </w:r>
      <w:r>
        <w:rPr>
          <w:rFonts w:ascii="宋体" w:hAnsi="宋体" w:eastAsia="宋体" w:cs="宋体"/>
          <w:spacing w:val="9"/>
          <w:sz w:val="20"/>
          <w:szCs w:val="20"/>
        </w:rPr>
        <w:t>列项，设计或实际发生与定额不同时可以换算，但消耗量不变。</w:t>
      </w:r>
    </w:p>
    <w:p>
      <w:pPr>
        <w:spacing w:line="278" w:lineRule="exact"/>
        <w:ind w:left="428"/>
        <w:rPr>
          <w:rFonts w:ascii="宋体" w:hAnsi="宋体" w:eastAsia="宋体" w:cs="宋体"/>
          <w:sz w:val="20"/>
          <w:szCs w:val="20"/>
        </w:rPr>
      </w:pPr>
      <w:r>
        <w:rPr>
          <w:rFonts w:ascii="宋体" w:hAnsi="宋体" w:eastAsia="宋体" w:cs="宋体"/>
          <w:b/>
          <w:bCs/>
          <w:spacing w:val="5"/>
          <w:position w:val="1"/>
          <w:sz w:val="20"/>
          <w:szCs w:val="20"/>
        </w:rPr>
        <w:t>38.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关于钢支撑（6-1-23~25）定额子目的适用范围</w:t>
      </w:r>
    </w:p>
    <w:p>
      <w:pPr>
        <w:spacing w:before="111" w:line="349" w:lineRule="auto"/>
        <w:ind w:left="3" w:firstLine="422"/>
        <w:jc w:val="both"/>
        <w:rPr>
          <w:rFonts w:ascii="宋体" w:hAnsi="宋体" w:eastAsia="宋体" w:cs="宋体"/>
          <w:sz w:val="20"/>
          <w:szCs w:val="20"/>
        </w:rPr>
      </w:pPr>
      <w:r>
        <w:rPr>
          <w:rFonts w:ascii="宋体" w:hAnsi="宋体" w:eastAsia="宋体" w:cs="宋体"/>
          <w:spacing w:val="7"/>
          <w:sz w:val="20"/>
          <w:szCs w:val="20"/>
        </w:rPr>
        <w:t>钢支撑子目分为柱间钢支撑和屋架钢支撑。无论单式柱间支撑还是复式柱间支撑，不区分重量，</w:t>
      </w:r>
      <w:r>
        <w:rPr>
          <w:rFonts w:ascii="宋体" w:hAnsi="宋体" w:eastAsia="宋体" w:cs="宋体"/>
          <w:spacing w:val="11"/>
          <w:sz w:val="20"/>
          <w:szCs w:val="20"/>
        </w:rPr>
        <w:t>均执行柱间钢支撑安装子目。屋架钢支撑不以支撑重量区分钢屋架支撑还是轻</w:t>
      </w:r>
      <w:r>
        <w:rPr>
          <w:rFonts w:ascii="宋体" w:hAnsi="宋体" w:eastAsia="宋体" w:cs="宋体"/>
          <w:spacing w:val="10"/>
          <w:sz w:val="20"/>
          <w:szCs w:val="20"/>
        </w:rPr>
        <w:t>钢屋架支撑，而是以</w:t>
      </w:r>
      <w:r>
        <w:rPr>
          <w:rFonts w:ascii="宋体" w:hAnsi="宋体" w:eastAsia="宋体" w:cs="宋体"/>
          <w:spacing w:val="8"/>
          <w:sz w:val="20"/>
          <w:szCs w:val="20"/>
        </w:rPr>
        <w:t>钢支撑组装形式确定。除</w:t>
      </w:r>
      <w:r>
        <w:rPr>
          <w:rFonts w:ascii="宋体" w:hAnsi="宋体" w:eastAsia="宋体" w:cs="宋体"/>
          <w:spacing w:val="-30"/>
          <w:sz w:val="20"/>
          <w:szCs w:val="20"/>
        </w:rPr>
        <w:t xml:space="preserve"> </w:t>
      </w:r>
      <w:r>
        <w:rPr>
          <w:rFonts w:ascii="宋体" w:hAnsi="宋体" w:eastAsia="宋体" w:cs="宋体"/>
          <w:sz w:val="20"/>
          <w:szCs w:val="20"/>
        </w:rPr>
        <w:t>SC</w:t>
      </w:r>
      <w:r>
        <w:rPr>
          <w:rFonts w:ascii="宋体" w:hAnsi="宋体" w:eastAsia="宋体" w:cs="宋体"/>
          <w:spacing w:val="-42"/>
          <w:sz w:val="20"/>
          <w:szCs w:val="20"/>
        </w:rPr>
        <w:t xml:space="preserve"> </w:t>
      </w:r>
      <w:r>
        <w:rPr>
          <w:rFonts w:ascii="宋体" w:hAnsi="宋体" w:eastAsia="宋体" w:cs="宋体"/>
          <w:spacing w:val="8"/>
          <w:sz w:val="20"/>
          <w:szCs w:val="20"/>
        </w:rPr>
        <w:t>水平支撑为十字型屋架钢支撑，其余系杆、隅撑、拉条、撑杆均为平面组合型屋架钢支撑。</w:t>
      </w:r>
    </w:p>
    <w:p>
      <w:pPr>
        <w:spacing w:line="277" w:lineRule="exact"/>
        <w:ind w:left="428"/>
        <w:rPr>
          <w:rFonts w:ascii="宋体" w:hAnsi="宋体" w:eastAsia="宋体" w:cs="宋体"/>
          <w:sz w:val="20"/>
          <w:szCs w:val="20"/>
        </w:rPr>
      </w:pPr>
      <w:r>
        <w:rPr>
          <w:rFonts w:ascii="宋体" w:hAnsi="宋体" w:eastAsia="宋体" w:cs="宋体"/>
          <w:b/>
          <w:bCs/>
          <w:spacing w:val="4"/>
          <w:position w:val="1"/>
          <w:sz w:val="20"/>
          <w:szCs w:val="20"/>
        </w:rPr>
        <w:t>39.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关于防水工程中平面和立面的区分</w:t>
      </w:r>
    </w:p>
    <w:p>
      <w:pPr>
        <w:spacing w:before="107" w:line="349" w:lineRule="auto"/>
        <w:ind w:left="7" w:right="67" w:firstLine="416"/>
        <w:rPr>
          <w:rFonts w:ascii="宋体" w:hAnsi="宋体" w:eastAsia="宋体" w:cs="宋体"/>
          <w:sz w:val="20"/>
          <w:szCs w:val="20"/>
        </w:rPr>
      </w:pPr>
      <w:r>
        <w:rPr>
          <w:rFonts w:ascii="宋体" w:hAnsi="宋体" w:eastAsia="宋体" w:cs="宋体"/>
          <w:spacing w:val="11"/>
          <w:sz w:val="20"/>
          <w:szCs w:val="20"/>
        </w:rPr>
        <w:t>屋面的女儿墙、伸缩缝、设备基础和天窗等处的弯起部分，按设计图示尺寸</w:t>
      </w:r>
      <w:r>
        <w:rPr>
          <w:rFonts w:ascii="宋体" w:hAnsi="宋体" w:eastAsia="宋体" w:cs="宋体"/>
          <w:spacing w:val="10"/>
          <w:sz w:val="20"/>
          <w:szCs w:val="20"/>
        </w:rPr>
        <w:t>以面积计算，上翻</w:t>
      </w:r>
      <w:r>
        <w:rPr>
          <w:rFonts w:ascii="宋体" w:hAnsi="宋体" w:eastAsia="宋体" w:cs="宋体"/>
          <w:spacing w:val="12"/>
          <w:sz w:val="20"/>
          <w:szCs w:val="20"/>
        </w:rPr>
        <w:t>高度≤500</w:t>
      </w:r>
      <w:r>
        <w:rPr>
          <w:rFonts w:ascii="宋体" w:hAnsi="宋体" w:eastAsia="宋体" w:cs="宋体"/>
          <w:sz w:val="20"/>
          <w:szCs w:val="20"/>
        </w:rPr>
        <w:t>mm</w:t>
      </w:r>
      <w:r>
        <w:rPr>
          <w:rFonts w:ascii="宋体" w:hAnsi="宋体" w:eastAsia="宋体" w:cs="宋体"/>
          <w:spacing w:val="12"/>
          <w:sz w:val="20"/>
          <w:szCs w:val="20"/>
        </w:rPr>
        <w:t xml:space="preserve"> 时，按平面防水计算;上翻高度＞500</w:t>
      </w:r>
      <w:r>
        <w:rPr>
          <w:rFonts w:ascii="宋体" w:hAnsi="宋体" w:eastAsia="宋体" w:cs="宋体"/>
          <w:sz w:val="20"/>
          <w:szCs w:val="20"/>
        </w:rPr>
        <w:t>mm</w:t>
      </w:r>
      <w:r>
        <w:rPr>
          <w:rFonts w:ascii="宋体" w:hAnsi="宋体" w:eastAsia="宋体" w:cs="宋体"/>
          <w:spacing w:val="12"/>
          <w:sz w:val="20"/>
          <w:szCs w:val="20"/>
        </w:rPr>
        <w:t xml:space="preserve"> 时，按立面防水计算。</w:t>
      </w:r>
    </w:p>
    <w:p>
      <w:pPr>
        <w:spacing w:line="349" w:lineRule="auto"/>
        <w:ind w:left="7" w:right="64" w:firstLine="415"/>
        <w:rPr>
          <w:rFonts w:ascii="宋体" w:hAnsi="宋体" w:eastAsia="宋体" w:cs="宋体"/>
          <w:sz w:val="20"/>
          <w:szCs w:val="20"/>
        </w:rPr>
      </w:pPr>
      <w:r>
        <w:rPr>
          <w:rFonts w:ascii="宋体" w:hAnsi="宋体" w:eastAsia="宋体" w:cs="宋体"/>
          <w:spacing w:val="12"/>
          <w:sz w:val="20"/>
          <w:szCs w:val="20"/>
        </w:rPr>
        <w:t>其他部位，除另有规定外，平面与立面交接处，上翻高度</w:t>
      </w:r>
      <w:r>
        <w:rPr>
          <w:rFonts w:ascii="宋体" w:hAnsi="宋体" w:eastAsia="宋体" w:cs="宋体"/>
          <w:spacing w:val="11"/>
          <w:sz w:val="20"/>
          <w:szCs w:val="20"/>
        </w:rPr>
        <w:t>≤300</w:t>
      </w:r>
      <w:r>
        <w:rPr>
          <w:rFonts w:ascii="宋体" w:hAnsi="宋体" w:eastAsia="宋体" w:cs="宋体"/>
          <w:sz w:val="20"/>
          <w:szCs w:val="20"/>
        </w:rPr>
        <w:t>mm</w:t>
      </w:r>
      <w:r>
        <w:rPr>
          <w:rFonts w:ascii="宋体" w:hAnsi="宋体" w:eastAsia="宋体" w:cs="宋体"/>
          <w:spacing w:val="-29"/>
          <w:sz w:val="20"/>
          <w:szCs w:val="20"/>
        </w:rPr>
        <w:t xml:space="preserve"> </w:t>
      </w:r>
      <w:r>
        <w:rPr>
          <w:rFonts w:ascii="宋体" w:hAnsi="宋体" w:eastAsia="宋体" w:cs="宋体"/>
          <w:spacing w:val="11"/>
          <w:sz w:val="20"/>
          <w:szCs w:val="20"/>
        </w:rPr>
        <w:t>时，按平面防水计算；上翻</w:t>
      </w:r>
      <w:r>
        <w:rPr>
          <w:rFonts w:ascii="宋体" w:hAnsi="宋体" w:eastAsia="宋体" w:cs="宋体"/>
          <w:spacing w:val="10"/>
          <w:sz w:val="20"/>
          <w:szCs w:val="20"/>
        </w:rPr>
        <w:t>高度＞</w:t>
      </w:r>
      <w:r>
        <w:rPr>
          <w:rFonts w:ascii="宋体" w:hAnsi="宋体" w:eastAsia="宋体" w:cs="宋体"/>
          <w:spacing w:val="-51"/>
          <w:sz w:val="20"/>
          <w:szCs w:val="20"/>
        </w:rPr>
        <w:t xml:space="preserve"> </w:t>
      </w:r>
      <w:r>
        <w:rPr>
          <w:rFonts w:ascii="宋体" w:hAnsi="宋体" w:eastAsia="宋体" w:cs="宋体"/>
          <w:spacing w:val="10"/>
          <w:sz w:val="20"/>
          <w:szCs w:val="20"/>
        </w:rPr>
        <w:t>300</w:t>
      </w:r>
      <w:r>
        <w:rPr>
          <w:rFonts w:ascii="宋体" w:hAnsi="宋体" w:eastAsia="宋体" w:cs="宋体"/>
          <w:sz w:val="20"/>
          <w:szCs w:val="20"/>
        </w:rPr>
        <w:t>mm</w:t>
      </w:r>
      <w:r>
        <w:rPr>
          <w:rFonts w:ascii="宋体" w:hAnsi="宋体" w:eastAsia="宋体" w:cs="宋体"/>
          <w:spacing w:val="-34"/>
          <w:sz w:val="20"/>
          <w:szCs w:val="20"/>
        </w:rPr>
        <w:t xml:space="preserve"> </w:t>
      </w:r>
      <w:r>
        <w:rPr>
          <w:rFonts w:ascii="宋体" w:hAnsi="宋体" w:eastAsia="宋体" w:cs="宋体"/>
          <w:spacing w:val="10"/>
          <w:sz w:val="20"/>
          <w:szCs w:val="20"/>
        </w:rPr>
        <w:t>时，按立面防水计算。</w:t>
      </w:r>
    </w:p>
    <w:p>
      <w:pPr>
        <w:spacing w:before="4" w:line="276" w:lineRule="exact"/>
        <w:ind w:left="421"/>
        <w:rPr>
          <w:rFonts w:ascii="宋体" w:hAnsi="宋体" w:eastAsia="宋体" w:cs="宋体"/>
          <w:sz w:val="20"/>
          <w:szCs w:val="20"/>
        </w:rPr>
      </w:pPr>
      <w:r>
        <w:rPr>
          <w:rFonts w:ascii="宋体" w:hAnsi="宋体" w:eastAsia="宋体" w:cs="宋体"/>
          <w:b/>
          <w:bCs/>
          <w:spacing w:val="5"/>
          <w:position w:val="1"/>
          <w:sz w:val="20"/>
          <w:szCs w:val="20"/>
        </w:rPr>
        <w:t>40.</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关于非承包人原因发生的多次蓄水检查的计价</w:t>
      </w:r>
    </w:p>
    <w:p>
      <w:pPr>
        <w:spacing w:before="108" w:line="222" w:lineRule="auto"/>
        <w:ind w:left="423"/>
        <w:rPr>
          <w:rFonts w:ascii="宋体" w:hAnsi="宋体" w:eastAsia="宋体" w:cs="宋体"/>
          <w:sz w:val="20"/>
          <w:szCs w:val="20"/>
        </w:rPr>
      </w:pPr>
      <w:r>
        <w:rPr>
          <w:rFonts w:ascii="宋体" w:hAnsi="宋体" w:eastAsia="宋体" w:cs="宋体"/>
          <w:spacing w:val="9"/>
          <w:sz w:val="20"/>
          <w:szCs w:val="20"/>
        </w:rPr>
        <w:t>非承包人原因发生的多次蓄水检查，应分别计算每次的工程量。</w:t>
      </w:r>
    </w:p>
    <w:p>
      <w:pPr>
        <w:spacing w:before="134" w:line="278" w:lineRule="exact"/>
        <w:ind w:left="421"/>
        <w:rPr>
          <w:rFonts w:ascii="宋体" w:hAnsi="宋体" w:eastAsia="宋体" w:cs="宋体"/>
          <w:sz w:val="20"/>
          <w:szCs w:val="20"/>
        </w:rPr>
      </w:pPr>
      <w:r>
        <w:rPr>
          <w:rFonts w:ascii="宋体" w:hAnsi="宋体" w:eastAsia="宋体" w:cs="宋体"/>
          <w:b/>
          <w:bCs/>
          <w:spacing w:val="5"/>
          <w:position w:val="1"/>
          <w:sz w:val="20"/>
          <w:szCs w:val="20"/>
        </w:rPr>
        <w:t>41.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关于墙面、柱面、梁面保温工程量的计算</w:t>
      </w:r>
    </w:p>
    <w:p>
      <w:pPr>
        <w:spacing w:before="108" w:line="348" w:lineRule="auto"/>
        <w:ind w:right="67" w:firstLine="421"/>
        <w:rPr>
          <w:rFonts w:ascii="宋体" w:hAnsi="宋体" w:eastAsia="宋体" w:cs="宋体"/>
          <w:sz w:val="20"/>
          <w:szCs w:val="20"/>
        </w:rPr>
      </w:pPr>
      <w:r>
        <w:rPr>
          <w:rFonts w:ascii="宋体" w:hAnsi="宋体" w:eastAsia="宋体" w:cs="宋体"/>
          <w:spacing w:val="11"/>
          <w:sz w:val="20"/>
          <w:szCs w:val="20"/>
        </w:rPr>
        <w:t>墙面、柱面、梁面保温设计注明了粘结层厚度的，按保温层与粘结层总厚度的中</w:t>
      </w:r>
      <w:r>
        <w:rPr>
          <w:rFonts w:ascii="宋体" w:hAnsi="宋体" w:eastAsia="宋体" w:cs="宋体"/>
          <w:spacing w:val="10"/>
          <w:sz w:val="20"/>
          <w:szCs w:val="20"/>
        </w:rPr>
        <w:t>心线长度乘以</w:t>
      </w:r>
      <w:r>
        <w:rPr>
          <w:rFonts w:ascii="宋体" w:hAnsi="宋体" w:eastAsia="宋体" w:cs="宋体"/>
          <w:spacing w:val="8"/>
          <w:sz w:val="20"/>
          <w:szCs w:val="20"/>
        </w:rPr>
        <w:t>设计高度计算。</w:t>
      </w:r>
    </w:p>
    <w:p>
      <w:pPr>
        <w:spacing w:line="277" w:lineRule="exact"/>
        <w:ind w:left="421"/>
        <w:rPr>
          <w:rFonts w:ascii="宋体" w:hAnsi="宋体" w:eastAsia="宋体" w:cs="宋体"/>
          <w:sz w:val="20"/>
          <w:szCs w:val="20"/>
        </w:rPr>
      </w:pPr>
      <w:r>
        <w:rPr>
          <w:rFonts w:ascii="宋体" w:hAnsi="宋体" w:eastAsia="宋体" w:cs="宋体"/>
          <w:b/>
          <w:bCs/>
          <w:spacing w:val="5"/>
          <w:position w:val="1"/>
          <w:sz w:val="20"/>
          <w:szCs w:val="20"/>
        </w:rPr>
        <w:t>42.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关于保温层（板材）外保护层的计算规则</w:t>
      </w:r>
    </w:p>
    <w:p>
      <w:pPr>
        <w:spacing w:before="105" w:line="337" w:lineRule="auto"/>
        <w:ind w:left="4" w:right="67" w:firstLine="416"/>
        <w:jc w:val="both"/>
        <w:rPr>
          <w:rFonts w:ascii="宋体" w:hAnsi="宋体" w:eastAsia="宋体" w:cs="宋体"/>
          <w:sz w:val="20"/>
          <w:szCs w:val="20"/>
        </w:rPr>
      </w:pPr>
      <w:r>
        <w:rPr>
          <w:rFonts w:ascii="宋体" w:hAnsi="宋体" w:eastAsia="宋体" w:cs="宋体"/>
          <w:spacing w:val="11"/>
          <w:sz w:val="20"/>
          <w:szCs w:val="20"/>
        </w:rPr>
        <w:t>保温层（板材）外的保护层（含找平层或保温砂浆层、抗裂层</w:t>
      </w:r>
      <w:r>
        <w:rPr>
          <w:rFonts w:ascii="宋体" w:hAnsi="宋体" w:eastAsia="宋体" w:cs="宋体"/>
          <w:spacing w:val="-11"/>
          <w:sz w:val="20"/>
          <w:szCs w:val="20"/>
        </w:rPr>
        <w:t>）</w:t>
      </w:r>
      <w:r>
        <w:rPr>
          <w:rFonts w:ascii="宋体" w:hAnsi="宋体" w:eastAsia="宋体" w:cs="宋体"/>
          <w:spacing w:val="-50"/>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按其所处部位（楼地面、墙</w:t>
      </w:r>
      <w:r>
        <w:rPr>
          <w:rFonts w:ascii="宋体" w:hAnsi="宋体" w:eastAsia="宋体" w:cs="宋体"/>
          <w:spacing w:val="11"/>
          <w:sz w:val="20"/>
          <w:szCs w:val="20"/>
        </w:rPr>
        <w:t>柱面、天棚面）设计图示尺寸以面积计算。保护层除按设计图示尺寸计算</w:t>
      </w:r>
      <w:r>
        <w:rPr>
          <w:rFonts w:ascii="宋体" w:hAnsi="宋体" w:eastAsia="宋体" w:cs="宋体"/>
          <w:spacing w:val="10"/>
          <w:sz w:val="20"/>
          <w:szCs w:val="20"/>
        </w:rPr>
        <w:t>外，各部位不扣除或需扣</w:t>
      </w:r>
      <w:r>
        <w:rPr>
          <w:rFonts w:ascii="宋体" w:hAnsi="宋体" w:eastAsia="宋体" w:cs="宋体"/>
          <w:spacing w:val="8"/>
          <w:sz w:val="20"/>
          <w:szCs w:val="20"/>
        </w:rPr>
        <w:t>除的工程量计算规则需同时执行。</w:t>
      </w:r>
    </w:p>
    <w:p>
      <w:pPr>
        <w:spacing w:before="49" w:line="222" w:lineRule="auto"/>
        <w:ind w:left="421"/>
        <w:rPr>
          <w:rFonts w:ascii="宋体" w:hAnsi="宋体" w:eastAsia="宋体" w:cs="宋体"/>
          <w:sz w:val="20"/>
          <w:szCs w:val="20"/>
        </w:rPr>
      </w:pPr>
      <w:r>
        <w:rPr>
          <w:rFonts w:ascii="宋体" w:hAnsi="宋体" w:eastAsia="宋体" w:cs="宋体"/>
          <w:spacing w:val="9"/>
          <w:sz w:val="20"/>
          <w:szCs w:val="20"/>
        </w:rPr>
        <w:t>抗裂砂浆设计有多遍做法时，按照设计做法总厚度执行相应子目。</w:t>
      </w:r>
    </w:p>
    <w:p>
      <w:pPr>
        <w:spacing w:before="134" w:line="278" w:lineRule="exact"/>
        <w:ind w:left="421"/>
        <w:rPr>
          <w:rFonts w:ascii="宋体" w:hAnsi="宋体" w:eastAsia="宋体" w:cs="宋体"/>
          <w:sz w:val="20"/>
          <w:szCs w:val="20"/>
        </w:rPr>
      </w:pPr>
      <w:r>
        <w:rPr>
          <w:rFonts w:ascii="宋体" w:hAnsi="宋体" w:eastAsia="宋体" w:cs="宋体"/>
          <w:b/>
          <w:bCs/>
          <w:spacing w:val="6"/>
          <w:position w:val="1"/>
          <w:sz w:val="20"/>
          <w:szCs w:val="20"/>
        </w:rPr>
        <w:t>43.</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关于方整石台阶，踏步面层外探出基层时工程量的</w:t>
      </w:r>
      <w:r>
        <w:rPr>
          <w:rFonts w:ascii="宋体" w:hAnsi="宋体" w:eastAsia="宋体" w:cs="宋体"/>
          <w:b/>
          <w:bCs/>
          <w:spacing w:val="5"/>
          <w:position w:val="1"/>
          <w:sz w:val="20"/>
          <w:szCs w:val="20"/>
        </w:rPr>
        <w:t>计算</w:t>
      </w:r>
    </w:p>
    <w:p>
      <w:pPr>
        <w:spacing w:before="105" w:line="220" w:lineRule="auto"/>
        <w:ind w:left="423"/>
        <w:rPr>
          <w:rFonts w:ascii="宋体" w:hAnsi="宋体" w:eastAsia="宋体" w:cs="宋体"/>
          <w:sz w:val="20"/>
          <w:szCs w:val="20"/>
        </w:rPr>
      </w:pPr>
      <w:r>
        <w:rPr>
          <w:rFonts w:ascii="宋体" w:hAnsi="宋体" w:eastAsia="宋体" w:cs="宋体"/>
          <w:spacing w:val="10"/>
          <w:sz w:val="20"/>
          <w:szCs w:val="20"/>
        </w:rPr>
        <w:t>方整石台阶，踏步面层外探出基层时，按设计图</w:t>
      </w:r>
      <w:r>
        <w:rPr>
          <w:rFonts w:ascii="宋体" w:hAnsi="宋体" w:eastAsia="宋体" w:cs="宋体"/>
          <w:spacing w:val="9"/>
          <w:sz w:val="20"/>
          <w:szCs w:val="20"/>
        </w:rPr>
        <w:t>示石板面积计算。石板厚度不另计算。</w:t>
      </w:r>
    </w:p>
    <w:p>
      <w:pPr>
        <w:spacing w:line="3204" w:lineRule="exact"/>
        <w:ind w:firstLine="1964"/>
      </w:pPr>
      <w:r>
        <w:rPr>
          <w:position w:val="-64"/>
        </w:rPr>
        <w:drawing>
          <wp:inline distT="0" distB="0" distL="0" distR="0">
            <wp:extent cx="2994660" cy="203454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413"/>
                    <a:stretch>
                      <a:fillRect/>
                    </a:stretch>
                  </pic:blipFill>
                  <pic:spPr>
                    <a:xfrm>
                      <a:off x="0" y="0"/>
                      <a:ext cx="2994660" cy="2034540"/>
                    </a:xfrm>
                    <a:prstGeom prst="rect">
                      <a:avLst/>
                    </a:prstGeom>
                  </pic:spPr>
                </pic:pic>
              </a:graphicData>
            </a:graphic>
          </wp:inline>
        </w:drawing>
      </w:r>
    </w:p>
    <w:p>
      <w:pPr>
        <w:spacing w:line="323" w:lineRule="auto"/>
        <w:rPr>
          <w:rFonts w:ascii="Arial"/>
          <w:sz w:val="21"/>
        </w:rPr>
      </w:pPr>
    </w:p>
    <w:p>
      <w:pPr>
        <w:spacing w:before="59" w:line="213" w:lineRule="auto"/>
        <w:ind w:left="4087"/>
        <w:rPr>
          <w:rFonts w:ascii="宋体" w:hAnsi="宋体" w:eastAsia="宋体" w:cs="宋体"/>
          <w:sz w:val="18"/>
          <w:szCs w:val="18"/>
        </w:rPr>
      </w:pPr>
      <w:r>
        <w:rPr>
          <w:rFonts w:ascii="宋体" w:hAnsi="宋体" w:eastAsia="宋体" w:cs="宋体"/>
          <w:b/>
          <w:bCs/>
          <w:spacing w:val="-3"/>
          <w:sz w:val="18"/>
          <w:szCs w:val="18"/>
        </w:rPr>
        <w:t>方整石台阶</w:t>
      </w:r>
    </w:p>
    <w:p>
      <w:pPr>
        <w:spacing w:line="213" w:lineRule="auto"/>
        <w:rPr>
          <w:rFonts w:ascii="宋体" w:hAnsi="宋体" w:eastAsia="宋体" w:cs="宋体"/>
          <w:sz w:val="18"/>
          <w:szCs w:val="18"/>
        </w:rPr>
        <w:sectPr>
          <w:footerReference r:id="rId238" w:type="default"/>
          <w:pgSz w:w="11906" w:h="16839"/>
          <w:pgMar w:top="400" w:right="1353" w:bottom="1212" w:left="1416" w:header="0" w:footer="897" w:gutter="0"/>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before="65" w:line="278" w:lineRule="exact"/>
        <w:ind w:left="420"/>
        <w:rPr>
          <w:rFonts w:ascii="宋体" w:hAnsi="宋体" w:eastAsia="宋体" w:cs="宋体"/>
          <w:sz w:val="20"/>
          <w:szCs w:val="20"/>
        </w:rPr>
      </w:pPr>
      <w:r>
        <w:rPr>
          <w:rFonts w:ascii="宋体" w:hAnsi="宋体" w:eastAsia="宋体" w:cs="宋体"/>
          <w:b/>
          <w:bCs/>
          <w:spacing w:val="6"/>
          <w:position w:val="1"/>
          <w:sz w:val="20"/>
          <w:szCs w:val="20"/>
        </w:rPr>
        <w:t>44.</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关于楼地面找平层及整体面层遇间壁墙时工</w:t>
      </w:r>
      <w:r>
        <w:rPr>
          <w:rFonts w:ascii="宋体" w:hAnsi="宋体" w:eastAsia="宋体" w:cs="宋体"/>
          <w:b/>
          <w:bCs/>
          <w:spacing w:val="5"/>
          <w:position w:val="1"/>
          <w:sz w:val="20"/>
          <w:szCs w:val="20"/>
        </w:rPr>
        <w:t>程量的计算</w:t>
      </w:r>
    </w:p>
    <w:p>
      <w:pPr>
        <w:spacing w:before="102" w:line="338" w:lineRule="auto"/>
        <w:ind w:left="1" w:firstLine="418"/>
        <w:rPr>
          <w:rFonts w:ascii="宋体" w:hAnsi="宋体" w:eastAsia="宋体" w:cs="宋体"/>
          <w:sz w:val="20"/>
          <w:szCs w:val="20"/>
        </w:rPr>
      </w:pPr>
      <w:r>
        <w:rPr>
          <w:rFonts w:ascii="宋体" w:hAnsi="宋体" w:eastAsia="宋体" w:cs="宋体"/>
          <w:spacing w:val="8"/>
          <w:sz w:val="20"/>
          <w:szCs w:val="20"/>
        </w:rPr>
        <w:t>计算楼地面找平层、整体面层工程量时，需根据施工顺序判断是否扣除：先做找平层/面层，后做间壁墙时，间壁墙所占面积不扣除；先做间壁墙，后做找平层/面层时，间壁墙所占面积应扣除。</w:t>
      </w:r>
      <w:r>
        <w:rPr>
          <w:rFonts w:ascii="宋体" w:hAnsi="宋体" w:eastAsia="宋体" w:cs="宋体"/>
          <w:spacing w:val="9"/>
          <w:sz w:val="20"/>
          <w:szCs w:val="20"/>
        </w:rPr>
        <w:t>最终是否扣除间壁墙，应依据具体设计确定。</w:t>
      </w:r>
    </w:p>
    <w:p>
      <w:pPr>
        <w:spacing w:before="39" w:line="277" w:lineRule="exact"/>
        <w:ind w:left="420"/>
        <w:rPr>
          <w:rFonts w:ascii="宋体" w:hAnsi="宋体" w:eastAsia="宋体" w:cs="宋体"/>
          <w:sz w:val="20"/>
          <w:szCs w:val="20"/>
        </w:rPr>
      </w:pPr>
      <w:r>
        <w:rPr>
          <w:rFonts w:ascii="宋体" w:hAnsi="宋体" w:eastAsia="宋体" w:cs="宋体"/>
          <w:b/>
          <w:bCs/>
          <w:spacing w:val="4"/>
          <w:position w:val="1"/>
          <w:sz w:val="20"/>
          <w:szCs w:val="20"/>
        </w:rPr>
        <w:t>45.</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关于超厚细石混凝土整体面层的计价</w:t>
      </w:r>
    </w:p>
    <w:p>
      <w:pPr>
        <w:spacing w:before="104" w:line="350" w:lineRule="auto"/>
        <w:ind w:firstLine="420"/>
        <w:jc w:val="both"/>
        <w:rPr>
          <w:rFonts w:ascii="宋体" w:hAnsi="宋体" w:eastAsia="宋体" w:cs="宋体"/>
          <w:sz w:val="20"/>
          <w:szCs w:val="20"/>
        </w:rPr>
      </w:pPr>
      <w:r>
        <w:rPr>
          <w:rFonts w:ascii="宋体" w:hAnsi="宋体" w:eastAsia="宋体" w:cs="宋体"/>
          <w:spacing w:val="10"/>
          <w:sz w:val="20"/>
          <w:szCs w:val="20"/>
        </w:rPr>
        <w:t>对于超厚细石混凝土整体面层，其中40</w:t>
      </w:r>
      <w:r>
        <w:rPr>
          <w:rFonts w:ascii="宋体" w:hAnsi="宋体" w:eastAsia="宋体" w:cs="宋体"/>
          <w:sz w:val="20"/>
          <w:szCs w:val="20"/>
        </w:rPr>
        <w:t>mm</w:t>
      </w:r>
      <w:r>
        <w:rPr>
          <w:rFonts w:ascii="宋体" w:hAnsi="宋体" w:eastAsia="宋体" w:cs="宋体"/>
          <w:spacing w:val="-59"/>
          <w:sz w:val="20"/>
          <w:szCs w:val="20"/>
        </w:rPr>
        <w:t xml:space="preserve"> </w:t>
      </w:r>
      <w:r>
        <w:rPr>
          <w:rFonts w:ascii="宋体" w:hAnsi="宋体" w:eastAsia="宋体" w:cs="宋体"/>
          <w:spacing w:val="10"/>
          <w:sz w:val="20"/>
          <w:szCs w:val="20"/>
        </w:rPr>
        <w:t>厚执行细石混凝土楼地面子目。剩余部分</w:t>
      </w:r>
      <w:r>
        <w:rPr>
          <w:rFonts w:ascii="宋体" w:hAnsi="宋体" w:eastAsia="宋体" w:cs="宋体"/>
          <w:spacing w:val="9"/>
          <w:sz w:val="20"/>
          <w:szCs w:val="20"/>
        </w:rPr>
        <w:t>厚度≤60</w:t>
      </w:r>
      <w:r>
        <w:rPr>
          <w:rFonts w:ascii="宋体" w:hAnsi="宋体" w:eastAsia="宋体" w:cs="宋体"/>
          <w:sz w:val="20"/>
          <w:szCs w:val="20"/>
        </w:rPr>
        <w:t>mm</w:t>
      </w:r>
      <w:r>
        <w:rPr>
          <w:rFonts w:ascii="宋体" w:hAnsi="宋体" w:eastAsia="宋体" w:cs="宋体"/>
          <w:spacing w:val="11"/>
          <w:sz w:val="20"/>
          <w:szCs w:val="20"/>
        </w:rPr>
        <w:t>时，执行细石混凝土找平层子目；剩余部分厚度＞</w:t>
      </w:r>
      <w:r>
        <w:rPr>
          <w:rFonts w:ascii="宋体" w:hAnsi="宋体" w:eastAsia="宋体" w:cs="宋体"/>
          <w:spacing w:val="-59"/>
          <w:sz w:val="20"/>
          <w:szCs w:val="20"/>
        </w:rPr>
        <w:t xml:space="preserve"> </w:t>
      </w:r>
      <w:r>
        <w:rPr>
          <w:rFonts w:ascii="宋体" w:hAnsi="宋体" w:eastAsia="宋体" w:cs="宋体"/>
          <w:spacing w:val="11"/>
          <w:sz w:val="20"/>
          <w:szCs w:val="20"/>
        </w:rPr>
        <w:t>60</w:t>
      </w:r>
      <w:r>
        <w:rPr>
          <w:rFonts w:ascii="宋体" w:hAnsi="宋体" w:eastAsia="宋体" w:cs="宋体"/>
          <w:sz w:val="20"/>
          <w:szCs w:val="20"/>
        </w:rPr>
        <w:t>mm</w:t>
      </w:r>
      <w:r>
        <w:rPr>
          <w:rFonts w:ascii="宋体" w:hAnsi="宋体" w:eastAsia="宋体" w:cs="宋体"/>
          <w:spacing w:val="-32"/>
          <w:sz w:val="20"/>
          <w:szCs w:val="20"/>
        </w:rPr>
        <w:t xml:space="preserve"> </w:t>
      </w:r>
      <w:r>
        <w:rPr>
          <w:rFonts w:ascii="宋体" w:hAnsi="宋体" w:eastAsia="宋体" w:cs="宋体"/>
          <w:spacing w:val="11"/>
          <w:sz w:val="20"/>
          <w:szCs w:val="20"/>
        </w:rPr>
        <w:t>时，执行</w:t>
      </w:r>
      <w:r>
        <w:rPr>
          <w:rFonts w:ascii="宋体" w:hAnsi="宋体" w:eastAsia="宋体" w:cs="宋体"/>
          <w:spacing w:val="10"/>
          <w:sz w:val="20"/>
          <w:szCs w:val="20"/>
        </w:rPr>
        <w:t>“第二章 地基处理与边坡支护工</w:t>
      </w:r>
      <w:r>
        <w:rPr>
          <w:rFonts w:ascii="宋体" w:hAnsi="宋体" w:eastAsia="宋体" w:cs="宋体"/>
          <w:spacing w:val="7"/>
          <w:sz w:val="20"/>
          <w:szCs w:val="20"/>
        </w:rPr>
        <w:t>程</w:t>
      </w:r>
      <w:r>
        <w:rPr>
          <w:rFonts w:ascii="宋体" w:hAnsi="宋体" w:eastAsia="宋体" w:cs="宋体"/>
          <w:spacing w:val="-60"/>
          <w:sz w:val="20"/>
          <w:szCs w:val="20"/>
        </w:rPr>
        <w:t xml:space="preserve"> </w:t>
      </w:r>
      <w:r>
        <w:rPr>
          <w:rFonts w:ascii="宋体" w:hAnsi="宋体" w:eastAsia="宋体" w:cs="宋体"/>
          <w:spacing w:val="7"/>
          <w:sz w:val="20"/>
          <w:szCs w:val="20"/>
        </w:rPr>
        <w:t>”混凝土垫层相应子目。超厚细石混凝土整体面层属于装饰工程，并非仅最上层</w:t>
      </w:r>
      <w:r>
        <w:rPr>
          <w:rFonts w:ascii="宋体" w:hAnsi="宋体" w:eastAsia="宋体" w:cs="宋体"/>
          <w:spacing w:val="-42"/>
          <w:sz w:val="20"/>
          <w:szCs w:val="20"/>
        </w:rPr>
        <w:t xml:space="preserve"> </w:t>
      </w:r>
      <w:r>
        <w:rPr>
          <w:rFonts w:ascii="宋体" w:hAnsi="宋体" w:eastAsia="宋体" w:cs="宋体"/>
          <w:spacing w:val="7"/>
          <w:sz w:val="20"/>
          <w:szCs w:val="20"/>
        </w:rPr>
        <w:t>40</w:t>
      </w:r>
      <w:r>
        <w:rPr>
          <w:rFonts w:ascii="宋体" w:hAnsi="宋体" w:eastAsia="宋体" w:cs="宋体"/>
          <w:spacing w:val="-41"/>
          <w:sz w:val="20"/>
          <w:szCs w:val="20"/>
        </w:rPr>
        <w:t xml:space="preserve"> </w:t>
      </w:r>
      <w:r>
        <w:rPr>
          <w:rFonts w:ascii="宋体" w:hAnsi="宋体" w:eastAsia="宋体" w:cs="宋体"/>
          <w:spacing w:val="7"/>
          <w:sz w:val="20"/>
          <w:szCs w:val="20"/>
        </w:rPr>
        <w:t>厚部分，而是</w:t>
      </w:r>
      <w:r>
        <w:rPr>
          <w:rFonts w:ascii="宋体" w:hAnsi="宋体" w:eastAsia="宋体" w:cs="宋体"/>
          <w:spacing w:val="8"/>
          <w:sz w:val="20"/>
          <w:szCs w:val="20"/>
        </w:rPr>
        <w:t>包含</w:t>
      </w:r>
      <w:r>
        <w:rPr>
          <w:rFonts w:ascii="宋体" w:hAnsi="宋体" w:eastAsia="宋体" w:cs="宋体"/>
          <w:spacing w:val="-43"/>
          <w:sz w:val="20"/>
          <w:szCs w:val="20"/>
        </w:rPr>
        <w:t xml:space="preserve"> </w:t>
      </w:r>
      <w:r>
        <w:rPr>
          <w:rFonts w:ascii="宋体" w:hAnsi="宋体" w:eastAsia="宋体" w:cs="宋体"/>
          <w:spacing w:val="8"/>
          <w:sz w:val="20"/>
          <w:szCs w:val="20"/>
        </w:rPr>
        <w:t>40</w:t>
      </w:r>
      <w:r>
        <w:rPr>
          <w:rFonts w:ascii="宋体" w:hAnsi="宋体" w:eastAsia="宋体" w:cs="宋体"/>
          <w:spacing w:val="-42"/>
          <w:sz w:val="20"/>
          <w:szCs w:val="20"/>
        </w:rPr>
        <w:t xml:space="preserve"> </w:t>
      </w:r>
      <w:r>
        <w:rPr>
          <w:rFonts w:ascii="宋体" w:hAnsi="宋体" w:eastAsia="宋体" w:cs="宋体"/>
          <w:spacing w:val="8"/>
          <w:sz w:val="20"/>
          <w:szCs w:val="20"/>
        </w:rPr>
        <w:t>厚以下部分的整体均属装饰工程。</w:t>
      </w:r>
    </w:p>
    <w:p>
      <w:pPr>
        <w:spacing w:before="3" w:line="276" w:lineRule="exact"/>
        <w:ind w:left="420"/>
        <w:rPr>
          <w:rFonts w:ascii="宋体" w:hAnsi="宋体" w:eastAsia="宋体" w:cs="宋体"/>
          <w:sz w:val="20"/>
          <w:szCs w:val="20"/>
        </w:rPr>
      </w:pPr>
      <w:r>
        <w:rPr>
          <w:rFonts w:ascii="宋体" w:hAnsi="宋体" w:eastAsia="宋体" w:cs="宋体"/>
          <w:b/>
          <w:bCs/>
          <w:spacing w:val="5"/>
          <w:position w:val="1"/>
          <w:sz w:val="20"/>
          <w:szCs w:val="20"/>
        </w:rPr>
        <w:t>46.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关于楼地面上地暖管间隙填充细石混凝土的计价</w:t>
      </w:r>
    </w:p>
    <w:p>
      <w:pPr>
        <w:spacing w:before="106" w:line="342" w:lineRule="auto"/>
        <w:ind w:firstLine="421"/>
        <w:jc w:val="both"/>
        <w:rPr>
          <w:rFonts w:ascii="宋体" w:hAnsi="宋体" w:eastAsia="宋体" w:cs="宋体"/>
          <w:sz w:val="20"/>
          <w:szCs w:val="20"/>
        </w:rPr>
      </w:pPr>
      <w:r>
        <w:rPr>
          <w:rFonts w:ascii="宋体" w:hAnsi="宋体" w:eastAsia="宋体" w:cs="宋体"/>
          <w:spacing w:val="12"/>
          <w:sz w:val="20"/>
          <w:szCs w:val="20"/>
        </w:rPr>
        <w:t>楼地面上地暖管间隙填充细石混凝土，当设计厚度≤</w:t>
      </w:r>
      <w:r>
        <w:rPr>
          <w:rFonts w:ascii="宋体" w:hAnsi="宋体" w:eastAsia="宋体" w:cs="宋体"/>
          <w:spacing w:val="11"/>
          <w:sz w:val="20"/>
          <w:szCs w:val="20"/>
        </w:rPr>
        <w:t>60</w:t>
      </w:r>
      <w:r>
        <w:rPr>
          <w:rFonts w:ascii="宋体" w:hAnsi="宋体" w:eastAsia="宋体" w:cs="宋体"/>
          <w:spacing w:val="-39"/>
          <w:sz w:val="20"/>
          <w:szCs w:val="20"/>
        </w:rPr>
        <w:t xml:space="preserve"> </w:t>
      </w:r>
      <w:r>
        <w:rPr>
          <w:rFonts w:ascii="宋体" w:hAnsi="宋体" w:eastAsia="宋体" w:cs="宋体"/>
          <w:spacing w:val="11"/>
          <w:sz w:val="20"/>
          <w:szCs w:val="20"/>
        </w:rPr>
        <w:t>厚时，执行“第十一章 楼地面装饰工</w:t>
      </w:r>
      <w:r>
        <w:rPr>
          <w:rFonts w:ascii="宋体" w:hAnsi="宋体" w:eastAsia="宋体" w:cs="宋体"/>
          <w:spacing w:val="8"/>
          <w:sz w:val="20"/>
          <w:szCs w:val="20"/>
        </w:rPr>
        <w:t>程”细石混凝土找平层及“第十章 保温、隔热、防腐工程”垫层（或楼板）地暖埋管增加子目；设</w:t>
      </w:r>
      <w:r>
        <w:rPr>
          <w:rFonts w:ascii="宋体" w:hAnsi="宋体" w:eastAsia="宋体" w:cs="宋体"/>
          <w:spacing w:val="9"/>
          <w:sz w:val="20"/>
          <w:szCs w:val="20"/>
        </w:rPr>
        <w:t>计厚度＞</w:t>
      </w:r>
      <w:r>
        <w:rPr>
          <w:rFonts w:ascii="宋体" w:hAnsi="宋体" w:eastAsia="宋体" w:cs="宋体"/>
          <w:spacing w:val="-41"/>
          <w:sz w:val="20"/>
          <w:szCs w:val="20"/>
        </w:rPr>
        <w:t xml:space="preserve"> </w:t>
      </w:r>
      <w:r>
        <w:rPr>
          <w:rFonts w:ascii="宋体" w:hAnsi="宋体" w:eastAsia="宋体" w:cs="宋体"/>
          <w:spacing w:val="9"/>
          <w:sz w:val="20"/>
          <w:szCs w:val="20"/>
        </w:rPr>
        <w:t>60</w:t>
      </w:r>
      <w:r>
        <w:rPr>
          <w:rFonts w:ascii="宋体" w:hAnsi="宋体" w:eastAsia="宋体" w:cs="宋体"/>
          <w:spacing w:val="-39"/>
          <w:sz w:val="20"/>
          <w:szCs w:val="20"/>
        </w:rPr>
        <w:t xml:space="preserve"> </w:t>
      </w:r>
      <w:r>
        <w:rPr>
          <w:rFonts w:ascii="宋体" w:hAnsi="宋体" w:eastAsia="宋体" w:cs="宋体"/>
          <w:spacing w:val="9"/>
          <w:sz w:val="20"/>
          <w:szCs w:val="20"/>
        </w:rPr>
        <w:t>厚时</w:t>
      </w:r>
      <w:r>
        <w:rPr>
          <w:rFonts w:ascii="宋体" w:hAnsi="宋体" w:eastAsia="宋体" w:cs="宋体"/>
          <w:spacing w:val="-59"/>
          <w:sz w:val="20"/>
          <w:szCs w:val="20"/>
        </w:rPr>
        <w:t xml:space="preserve"> </w:t>
      </w:r>
      <w:r>
        <w:rPr>
          <w:rFonts w:ascii="宋体" w:hAnsi="宋体" w:eastAsia="宋体" w:cs="宋体"/>
          <w:spacing w:val="9"/>
          <w:sz w:val="20"/>
          <w:szCs w:val="20"/>
        </w:rPr>
        <w:t>，执行第二章 地基处理与边坡支护 混凝土垫层及“第十章 保温、隔热、防腐工</w:t>
      </w:r>
      <w:r>
        <w:rPr>
          <w:rFonts w:ascii="宋体" w:hAnsi="宋体" w:eastAsia="宋体" w:cs="宋体"/>
          <w:spacing w:val="11"/>
          <w:sz w:val="20"/>
          <w:szCs w:val="20"/>
        </w:rPr>
        <w:t>程”垫层（或楼板）地暖埋管增加子目。楼地面上地暖管间隙填充细石混凝土属于建筑</w:t>
      </w:r>
      <w:r>
        <w:rPr>
          <w:rFonts w:ascii="宋体" w:hAnsi="宋体" w:eastAsia="宋体" w:cs="宋体"/>
          <w:spacing w:val="10"/>
          <w:sz w:val="20"/>
          <w:szCs w:val="20"/>
        </w:rPr>
        <w:t>工程。工程</w:t>
      </w:r>
      <w:r>
        <w:rPr>
          <w:rFonts w:ascii="宋体" w:hAnsi="宋体" w:eastAsia="宋体" w:cs="宋体"/>
          <w:spacing w:val="9"/>
          <w:sz w:val="20"/>
          <w:szCs w:val="20"/>
        </w:rPr>
        <w:t>量计算时不扣除地暖管所占体积。</w:t>
      </w:r>
    </w:p>
    <w:p>
      <w:pPr>
        <w:spacing w:before="46" w:line="276" w:lineRule="exact"/>
        <w:ind w:left="420"/>
        <w:rPr>
          <w:rFonts w:ascii="宋体" w:hAnsi="宋体" w:eastAsia="宋体" w:cs="宋体"/>
          <w:sz w:val="20"/>
          <w:szCs w:val="20"/>
        </w:rPr>
      </w:pPr>
      <w:r>
        <w:rPr>
          <w:rFonts w:ascii="宋体" w:hAnsi="宋体" w:eastAsia="宋体" w:cs="宋体"/>
          <w:b/>
          <w:bCs/>
          <w:spacing w:val="3"/>
          <w:position w:val="1"/>
          <w:sz w:val="20"/>
          <w:szCs w:val="20"/>
        </w:rPr>
        <w:t>47.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关于金刚砂耐磨地坪的计价</w:t>
      </w:r>
    </w:p>
    <w:p>
      <w:pPr>
        <w:spacing w:before="102" w:line="351" w:lineRule="auto"/>
        <w:ind w:left="2" w:firstLine="419"/>
        <w:jc w:val="both"/>
        <w:rPr>
          <w:rFonts w:ascii="宋体" w:hAnsi="宋体" w:eastAsia="宋体" w:cs="宋体"/>
          <w:sz w:val="20"/>
          <w:szCs w:val="20"/>
        </w:rPr>
      </w:pPr>
      <w:r>
        <w:rPr>
          <w:rFonts w:ascii="宋体" w:hAnsi="宋体" w:eastAsia="宋体" w:cs="宋体"/>
          <w:spacing w:val="13"/>
          <w:sz w:val="20"/>
          <w:szCs w:val="20"/>
        </w:rPr>
        <w:t>金刚砂耐磨地坪子目中的细石混凝土按厚度</w:t>
      </w:r>
      <w:r>
        <w:rPr>
          <w:rFonts w:ascii="宋体" w:hAnsi="宋体" w:eastAsia="宋体" w:cs="宋体"/>
          <w:spacing w:val="-37"/>
          <w:sz w:val="20"/>
          <w:szCs w:val="20"/>
        </w:rPr>
        <w:t xml:space="preserve"> </w:t>
      </w:r>
      <w:r>
        <w:rPr>
          <w:rFonts w:ascii="宋体" w:hAnsi="宋体" w:eastAsia="宋体" w:cs="宋体"/>
          <w:spacing w:val="13"/>
          <w:sz w:val="20"/>
          <w:szCs w:val="20"/>
        </w:rPr>
        <w:t>50</w:t>
      </w:r>
      <w:r>
        <w:rPr>
          <w:rFonts w:ascii="宋体" w:hAnsi="宋体" w:eastAsia="宋体" w:cs="宋体"/>
          <w:sz w:val="20"/>
          <w:szCs w:val="20"/>
        </w:rPr>
        <w:t>mm</w:t>
      </w:r>
      <w:r>
        <w:rPr>
          <w:rFonts w:ascii="宋体" w:hAnsi="宋体" w:eastAsia="宋体" w:cs="宋体"/>
          <w:spacing w:val="-34"/>
          <w:sz w:val="20"/>
          <w:szCs w:val="20"/>
        </w:rPr>
        <w:t xml:space="preserve"> </w:t>
      </w:r>
      <w:r>
        <w:rPr>
          <w:rFonts w:ascii="宋体" w:hAnsi="宋体" w:eastAsia="宋体" w:cs="宋体"/>
          <w:spacing w:val="13"/>
          <w:sz w:val="20"/>
          <w:szCs w:val="20"/>
        </w:rPr>
        <w:t>编制，设计与定额不同时，可以调整</w:t>
      </w:r>
      <w:r>
        <w:rPr>
          <w:rFonts w:ascii="宋体" w:hAnsi="宋体" w:eastAsia="宋体" w:cs="宋体"/>
          <w:spacing w:val="12"/>
          <w:sz w:val="20"/>
          <w:szCs w:val="20"/>
        </w:rPr>
        <w:t>。耐磨</w:t>
      </w:r>
      <w:r>
        <w:rPr>
          <w:rFonts w:ascii="宋体" w:hAnsi="宋体" w:eastAsia="宋体" w:cs="宋体"/>
          <w:spacing w:val="11"/>
          <w:sz w:val="20"/>
          <w:szCs w:val="20"/>
        </w:rPr>
        <w:t>骨料种类设计与定额不同时，可按设计要求进行换算。选用其他金属或非金</w:t>
      </w:r>
      <w:r>
        <w:rPr>
          <w:rFonts w:ascii="宋体" w:hAnsi="宋体" w:eastAsia="宋体" w:cs="宋体"/>
          <w:spacing w:val="10"/>
          <w:sz w:val="20"/>
          <w:szCs w:val="20"/>
        </w:rPr>
        <w:t>属耐磨骨料施工的耐磨</w:t>
      </w:r>
      <w:r>
        <w:rPr>
          <w:rFonts w:ascii="宋体" w:hAnsi="宋体" w:eastAsia="宋体" w:cs="宋体"/>
          <w:spacing w:val="9"/>
          <w:sz w:val="20"/>
          <w:szCs w:val="20"/>
        </w:rPr>
        <w:t>地坪，可根据设计材质与子目中的金刚砂进行换算。</w:t>
      </w:r>
    </w:p>
    <w:p>
      <w:pPr>
        <w:spacing w:before="2" w:line="333" w:lineRule="auto"/>
        <w:ind w:left="20" w:firstLine="399"/>
        <w:rPr>
          <w:rFonts w:ascii="宋体" w:hAnsi="宋体" w:eastAsia="宋体" w:cs="宋体"/>
          <w:sz w:val="20"/>
          <w:szCs w:val="20"/>
        </w:rPr>
      </w:pPr>
      <w:r>
        <w:rPr>
          <w:rFonts w:ascii="宋体" w:hAnsi="宋体" w:eastAsia="宋体" w:cs="宋体"/>
          <w:b/>
          <w:bCs/>
          <w:spacing w:val="8"/>
          <w:sz w:val="20"/>
          <w:szCs w:val="20"/>
        </w:rPr>
        <w:t>48.</w:t>
      </w:r>
      <w:r>
        <w:rPr>
          <w:rFonts w:ascii="宋体" w:hAnsi="宋体" w:eastAsia="宋体" w:cs="宋体"/>
          <w:spacing w:val="8"/>
          <w:sz w:val="20"/>
          <w:szCs w:val="20"/>
        </w:rPr>
        <w:t xml:space="preserve"> </w:t>
      </w:r>
      <w:r>
        <w:rPr>
          <w:rFonts w:ascii="宋体" w:hAnsi="宋体" w:eastAsia="宋体" w:cs="宋体"/>
          <w:b/>
          <w:bCs/>
          <w:spacing w:val="8"/>
          <w:sz w:val="20"/>
          <w:szCs w:val="20"/>
        </w:rPr>
        <w:t>关于石材底面刷养护液、石材表面刷保护液、块料面层酸洗打蜡、石材结晶子目的适用范</w:t>
      </w:r>
      <w:r>
        <w:rPr>
          <w:rFonts w:ascii="宋体" w:hAnsi="宋体" w:eastAsia="宋体" w:cs="宋体"/>
          <w:b/>
          <w:bCs/>
          <w:spacing w:val="-3"/>
          <w:sz w:val="20"/>
          <w:szCs w:val="20"/>
        </w:rPr>
        <w:t>围</w:t>
      </w:r>
    </w:p>
    <w:p>
      <w:pPr>
        <w:spacing w:before="37" w:line="337" w:lineRule="auto"/>
        <w:ind w:left="2" w:firstLine="420"/>
        <w:jc w:val="both"/>
        <w:rPr>
          <w:rFonts w:ascii="宋体" w:hAnsi="宋体" w:eastAsia="宋体" w:cs="宋体"/>
          <w:sz w:val="20"/>
          <w:szCs w:val="20"/>
        </w:rPr>
      </w:pPr>
      <w:r>
        <w:rPr>
          <w:rFonts w:ascii="宋体" w:hAnsi="宋体" w:eastAsia="宋体" w:cs="宋体"/>
          <w:spacing w:val="11"/>
          <w:sz w:val="20"/>
          <w:szCs w:val="20"/>
        </w:rPr>
        <w:t>石材底面刷养护液、石材表面刷保护液、块料面层酸洗打蜡、石材结晶子目</w:t>
      </w:r>
      <w:r>
        <w:rPr>
          <w:rFonts w:ascii="宋体" w:hAnsi="宋体" w:eastAsia="宋体" w:cs="宋体"/>
          <w:spacing w:val="10"/>
          <w:sz w:val="20"/>
          <w:szCs w:val="20"/>
        </w:rPr>
        <w:t>，仅适用于以上工</w:t>
      </w:r>
      <w:r>
        <w:rPr>
          <w:rFonts w:ascii="宋体" w:hAnsi="宋体" w:eastAsia="宋体" w:cs="宋体"/>
          <w:spacing w:val="11"/>
          <w:sz w:val="20"/>
          <w:szCs w:val="20"/>
        </w:rPr>
        <w:t>艺现场施工的情况。若以上施工工艺在石材加工厂完成，应包含在材料价格中，上</w:t>
      </w:r>
      <w:r>
        <w:rPr>
          <w:rFonts w:ascii="宋体" w:hAnsi="宋体" w:eastAsia="宋体" w:cs="宋体"/>
          <w:spacing w:val="10"/>
          <w:sz w:val="20"/>
          <w:szCs w:val="20"/>
        </w:rPr>
        <w:t>述定额子目不适</w:t>
      </w:r>
      <w:r>
        <w:rPr>
          <w:rFonts w:ascii="宋体" w:hAnsi="宋体" w:eastAsia="宋体" w:cs="宋体"/>
          <w:spacing w:val="2"/>
          <w:sz w:val="20"/>
          <w:szCs w:val="20"/>
        </w:rPr>
        <w:t>用。</w:t>
      </w:r>
    </w:p>
    <w:p>
      <w:pPr>
        <w:spacing w:before="45" w:line="276" w:lineRule="exact"/>
        <w:ind w:left="420"/>
        <w:rPr>
          <w:rFonts w:ascii="宋体" w:hAnsi="宋体" w:eastAsia="宋体" w:cs="宋体"/>
          <w:sz w:val="20"/>
          <w:szCs w:val="20"/>
        </w:rPr>
      </w:pPr>
      <w:r>
        <w:rPr>
          <w:rFonts w:ascii="宋体" w:hAnsi="宋体" w:eastAsia="宋体" w:cs="宋体"/>
          <w:b/>
          <w:bCs/>
          <w:spacing w:val="5"/>
          <w:position w:val="1"/>
          <w:sz w:val="20"/>
          <w:szCs w:val="20"/>
        </w:rPr>
        <w:t>49.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关于与墙相连的梁、柱侧面抹灰的计价</w:t>
      </w:r>
    </w:p>
    <w:p>
      <w:pPr>
        <w:spacing w:before="107" w:line="221" w:lineRule="auto"/>
        <w:ind w:left="427"/>
        <w:rPr>
          <w:rFonts w:ascii="宋体" w:hAnsi="宋体" w:eastAsia="宋体" w:cs="宋体"/>
          <w:sz w:val="20"/>
          <w:szCs w:val="20"/>
        </w:rPr>
      </w:pPr>
      <w:r>
        <w:rPr>
          <w:rFonts w:ascii="宋体" w:hAnsi="宋体" w:eastAsia="宋体" w:cs="宋体"/>
          <w:spacing w:val="8"/>
          <w:sz w:val="20"/>
          <w:szCs w:val="20"/>
        </w:rPr>
        <w:t>与墙相连的梁、柱侧面抹灰执行相应墙面子目。</w:t>
      </w:r>
    </w:p>
    <w:p>
      <w:pPr>
        <w:spacing w:before="136" w:line="276" w:lineRule="exact"/>
        <w:ind w:left="423"/>
        <w:rPr>
          <w:rFonts w:ascii="宋体" w:hAnsi="宋体" w:eastAsia="宋体" w:cs="宋体"/>
          <w:sz w:val="20"/>
          <w:szCs w:val="20"/>
        </w:rPr>
      </w:pPr>
      <w:r>
        <w:rPr>
          <w:rFonts w:ascii="宋体" w:hAnsi="宋体" w:eastAsia="宋体" w:cs="宋体"/>
          <w:b/>
          <w:bCs/>
          <w:spacing w:val="3"/>
          <w:position w:val="1"/>
          <w:sz w:val="20"/>
          <w:szCs w:val="20"/>
        </w:rPr>
        <w:t>50.</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关于立面镶贴块料面层的计价</w:t>
      </w:r>
    </w:p>
    <w:p>
      <w:pPr>
        <w:spacing w:before="105" w:line="349" w:lineRule="auto"/>
        <w:ind w:right="2" w:firstLine="420"/>
        <w:rPr>
          <w:rFonts w:ascii="宋体" w:hAnsi="宋体" w:eastAsia="宋体" w:cs="宋体"/>
          <w:sz w:val="20"/>
          <w:szCs w:val="20"/>
        </w:rPr>
      </w:pPr>
      <w:r>
        <w:rPr>
          <w:rFonts w:ascii="宋体" w:hAnsi="宋体" w:eastAsia="宋体" w:cs="宋体"/>
          <w:spacing w:val="11"/>
          <w:sz w:val="20"/>
          <w:szCs w:val="20"/>
        </w:rPr>
        <w:t>立面镶贴块料高度＞</w:t>
      </w:r>
      <w:r>
        <w:rPr>
          <w:rFonts w:ascii="宋体" w:hAnsi="宋体" w:eastAsia="宋体" w:cs="宋体"/>
          <w:spacing w:val="-42"/>
          <w:sz w:val="20"/>
          <w:szCs w:val="20"/>
        </w:rPr>
        <w:t xml:space="preserve"> </w:t>
      </w:r>
      <w:r>
        <w:rPr>
          <w:rFonts w:ascii="宋体" w:hAnsi="宋体" w:eastAsia="宋体" w:cs="宋体"/>
          <w:spacing w:val="11"/>
          <w:sz w:val="20"/>
          <w:szCs w:val="20"/>
        </w:rPr>
        <w:t>300</w:t>
      </w:r>
      <w:r>
        <w:rPr>
          <w:rFonts w:ascii="宋体" w:hAnsi="宋体" w:eastAsia="宋体" w:cs="宋体"/>
          <w:sz w:val="20"/>
          <w:szCs w:val="20"/>
        </w:rPr>
        <w:t>mm</w:t>
      </w:r>
      <w:r>
        <w:rPr>
          <w:rFonts w:ascii="宋体" w:hAnsi="宋体" w:eastAsia="宋体" w:cs="宋体"/>
          <w:spacing w:val="-33"/>
          <w:sz w:val="20"/>
          <w:szCs w:val="20"/>
        </w:rPr>
        <w:t xml:space="preserve"> </w:t>
      </w:r>
      <w:r>
        <w:rPr>
          <w:rFonts w:ascii="宋体" w:hAnsi="宋体" w:eastAsia="宋体" w:cs="宋体"/>
          <w:spacing w:val="11"/>
          <w:sz w:val="20"/>
          <w:szCs w:val="20"/>
        </w:rPr>
        <w:t>时，执行墙面、墙裙子目；高度≤300</w:t>
      </w:r>
      <w:r>
        <w:rPr>
          <w:rFonts w:ascii="宋体" w:hAnsi="宋体" w:eastAsia="宋体" w:cs="宋体"/>
          <w:sz w:val="20"/>
          <w:szCs w:val="20"/>
        </w:rPr>
        <w:t>mm</w:t>
      </w:r>
      <w:r>
        <w:rPr>
          <w:rFonts w:ascii="宋体" w:hAnsi="宋体" w:eastAsia="宋体" w:cs="宋体"/>
          <w:spacing w:val="-32"/>
          <w:sz w:val="20"/>
          <w:szCs w:val="20"/>
        </w:rPr>
        <w:t xml:space="preserve"> </w:t>
      </w:r>
      <w:r>
        <w:rPr>
          <w:rFonts w:ascii="宋体" w:hAnsi="宋体" w:eastAsia="宋体" w:cs="宋体"/>
          <w:spacing w:val="11"/>
          <w:sz w:val="20"/>
          <w:szCs w:val="20"/>
        </w:rPr>
        <w:t>时，执行踢脚子目。楼梯</w:t>
      </w:r>
      <w:r>
        <w:rPr>
          <w:rFonts w:ascii="宋体" w:hAnsi="宋体" w:eastAsia="宋体" w:cs="宋体"/>
          <w:spacing w:val="9"/>
          <w:sz w:val="20"/>
          <w:szCs w:val="20"/>
        </w:rPr>
        <w:t>段镶贴应依据踏步前缘镶贴高度（h）区分，执行相应子目。</w:t>
      </w:r>
    </w:p>
    <w:p>
      <w:pPr>
        <w:spacing w:before="26" w:line="2072" w:lineRule="exact"/>
        <w:ind w:firstLine="2212"/>
      </w:pPr>
      <w:r>
        <w:rPr>
          <w:position w:val="-41"/>
        </w:rPr>
        <w:drawing>
          <wp:inline distT="0" distB="0" distL="0" distR="0">
            <wp:extent cx="2183765" cy="131508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414"/>
                    <a:stretch>
                      <a:fillRect/>
                    </a:stretch>
                  </pic:blipFill>
                  <pic:spPr>
                    <a:xfrm>
                      <a:off x="0" y="0"/>
                      <a:ext cx="2183891" cy="1315211"/>
                    </a:xfrm>
                    <a:prstGeom prst="rect">
                      <a:avLst/>
                    </a:prstGeom>
                  </pic:spPr>
                </pic:pic>
              </a:graphicData>
            </a:graphic>
          </wp:inline>
        </w:drawing>
      </w:r>
    </w:p>
    <w:p>
      <w:pPr>
        <w:spacing w:before="185" w:line="278" w:lineRule="exact"/>
        <w:ind w:left="423"/>
        <w:rPr>
          <w:rFonts w:ascii="宋体" w:hAnsi="宋体" w:eastAsia="宋体" w:cs="宋体"/>
          <w:sz w:val="20"/>
          <w:szCs w:val="20"/>
        </w:rPr>
      </w:pPr>
      <w:r>
        <w:rPr>
          <w:rFonts w:ascii="宋体" w:hAnsi="宋体" w:eastAsia="宋体" w:cs="宋体"/>
          <w:b/>
          <w:bCs/>
          <w:spacing w:val="4"/>
          <w:position w:val="1"/>
          <w:sz w:val="20"/>
          <w:szCs w:val="20"/>
        </w:rPr>
        <w:t>51.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关于隔断的编制及工程量的计算</w:t>
      </w:r>
    </w:p>
    <w:p>
      <w:pPr>
        <w:spacing w:before="106" w:line="223" w:lineRule="auto"/>
        <w:ind w:right="11"/>
        <w:jc w:val="right"/>
        <w:rPr>
          <w:rFonts w:ascii="宋体" w:hAnsi="宋体" w:eastAsia="宋体" w:cs="宋体"/>
          <w:sz w:val="20"/>
          <w:szCs w:val="20"/>
        </w:rPr>
      </w:pPr>
      <w:r>
        <w:rPr>
          <w:rFonts w:ascii="宋体" w:hAnsi="宋体" w:eastAsia="宋体" w:cs="宋体"/>
          <w:spacing w:val="11"/>
          <w:sz w:val="20"/>
          <w:szCs w:val="20"/>
        </w:rPr>
        <w:t>成品隔断子目采用成品、半成品现场拼装、安装编制，其</w:t>
      </w:r>
      <w:r>
        <w:rPr>
          <w:rFonts w:ascii="宋体" w:hAnsi="宋体" w:eastAsia="宋体" w:cs="宋体"/>
          <w:spacing w:val="10"/>
          <w:sz w:val="20"/>
          <w:szCs w:val="20"/>
        </w:rPr>
        <w:t>余隔断子目适用于现场下料、制作、</w:t>
      </w:r>
    </w:p>
    <w:p>
      <w:pPr>
        <w:spacing w:line="223" w:lineRule="auto"/>
        <w:rPr>
          <w:rFonts w:ascii="宋体" w:hAnsi="宋体" w:eastAsia="宋体" w:cs="宋体"/>
          <w:sz w:val="20"/>
          <w:szCs w:val="20"/>
        </w:rPr>
        <w:sectPr>
          <w:footerReference r:id="rId239" w:type="default"/>
          <w:pgSz w:w="11906" w:h="16839"/>
          <w:pgMar w:top="400" w:right="1417" w:bottom="1212" w:left="1418" w:header="0" w:footer="897" w:gutter="0"/>
        </w:sect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before="65" w:line="223" w:lineRule="auto"/>
        <w:ind w:left="2"/>
        <w:rPr>
          <w:rFonts w:ascii="宋体" w:hAnsi="宋体" w:eastAsia="宋体" w:cs="宋体"/>
          <w:sz w:val="20"/>
          <w:szCs w:val="20"/>
        </w:rPr>
      </w:pPr>
      <w:r>
        <w:rPr>
          <w:rFonts w:ascii="宋体" w:hAnsi="宋体" w:eastAsia="宋体" w:cs="宋体"/>
          <w:spacing w:val="9"/>
          <w:sz w:val="20"/>
          <w:szCs w:val="20"/>
        </w:rPr>
        <w:t>安装的情况。计算隔断工程量时，其高度均包含底座、支腿高度。</w:t>
      </w:r>
    </w:p>
    <w:p>
      <w:pPr>
        <w:spacing w:before="134" w:line="278" w:lineRule="exact"/>
        <w:ind w:left="423"/>
        <w:rPr>
          <w:rFonts w:ascii="宋体" w:hAnsi="宋体" w:eastAsia="宋体" w:cs="宋体"/>
          <w:sz w:val="20"/>
          <w:szCs w:val="20"/>
        </w:rPr>
      </w:pPr>
      <w:r>
        <w:rPr>
          <w:rFonts w:ascii="宋体" w:hAnsi="宋体" w:eastAsia="宋体" w:cs="宋体"/>
          <w:b/>
          <w:bCs/>
          <w:spacing w:val="4"/>
          <w:position w:val="1"/>
          <w:sz w:val="20"/>
          <w:szCs w:val="20"/>
        </w:rPr>
        <w:t>52.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关于木方面刷油漆、涂料工程量的计算</w:t>
      </w:r>
    </w:p>
    <w:p>
      <w:pPr>
        <w:spacing w:before="106" w:line="349" w:lineRule="auto"/>
        <w:ind w:left="2" w:right="120" w:firstLine="420"/>
        <w:rPr>
          <w:rFonts w:ascii="宋体" w:hAnsi="宋体" w:eastAsia="宋体" w:cs="宋体"/>
          <w:sz w:val="20"/>
          <w:szCs w:val="20"/>
        </w:rPr>
      </w:pPr>
      <w:r>
        <w:rPr>
          <w:rFonts w:ascii="宋体" w:hAnsi="宋体" w:eastAsia="宋体" w:cs="宋体"/>
          <w:spacing w:val="10"/>
          <w:sz w:val="20"/>
          <w:szCs w:val="20"/>
        </w:rPr>
        <w:t>木方面刷油漆、涂料的工程量按木方所附墙、板面的投影面积计算。墙面木</w:t>
      </w:r>
      <w:r>
        <w:rPr>
          <w:rFonts w:ascii="宋体" w:hAnsi="宋体" w:eastAsia="宋体" w:cs="宋体"/>
          <w:spacing w:val="9"/>
          <w:sz w:val="20"/>
          <w:szCs w:val="20"/>
        </w:rPr>
        <w:t>龙骨刷防火涂料，</w:t>
      </w:r>
      <w:r>
        <w:rPr>
          <w:rFonts w:ascii="宋体" w:hAnsi="宋体" w:eastAsia="宋体" w:cs="宋体"/>
          <w:spacing w:val="8"/>
          <w:sz w:val="20"/>
          <w:szCs w:val="20"/>
        </w:rPr>
        <w:t>工程量按所依附的墙的面积计算。</w:t>
      </w:r>
    </w:p>
    <w:p>
      <w:pPr>
        <w:spacing w:line="276" w:lineRule="exact"/>
        <w:ind w:left="423"/>
        <w:rPr>
          <w:rFonts w:ascii="宋体" w:hAnsi="宋体" w:eastAsia="宋体" w:cs="宋体"/>
          <w:sz w:val="20"/>
          <w:szCs w:val="20"/>
        </w:rPr>
      </w:pPr>
      <w:r>
        <w:rPr>
          <w:rFonts w:ascii="宋体" w:hAnsi="宋体" w:eastAsia="宋体" w:cs="宋体"/>
          <w:b/>
          <w:bCs/>
          <w:spacing w:val="6"/>
          <w:position w:val="1"/>
          <w:sz w:val="20"/>
          <w:szCs w:val="20"/>
        </w:rPr>
        <w:t>53.</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关于已计算整体外脚手架的建筑物，四周外围的建筑构件脚手架的计算</w:t>
      </w:r>
    </w:p>
    <w:p>
      <w:pPr>
        <w:spacing w:before="103" w:line="338" w:lineRule="auto"/>
        <w:ind w:right="79" w:firstLine="438"/>
        <w:jc w:val="both"/>
        <w:rPr>
          <w:rFonts w:ascii="宋体" w:hAnsi="宋体" w:eastAsia="宋体" w:cs="宋体"/>
          <w:sz w:val="20"/>
          <w:szCs w:val="20"/>
        </w:rPr>
      </w:pPr>
      <w:r>
        <w:rPr>
          <w:rFonts w:ascii="宋体" w:hAnsi="宋体" w:eastAsia="宋体" w:cs="宋体"/>
          <w:spacing w:val="10"/>
          <w:sz w:val="20"/>
          <w:szCs w:val="20"/>
        </w:rPr>
        <w:t>已计算整体外脚手架的建筑物，四周外围的建筑构件（外墙内侧装饰除外）不再计算其他脚手</w:t>
      </w:r>
      <w:r>
        <w:rPr>
          <w:rFonts w:ascii="宋体" w:hAnsi="宋体" w:eastAsia="宋体" w:cs="宋体"/>
          <w:spacing w:val="11"/>
          <w:sz w:val="20"/>
          <w:szCs w:val="20"/>
        </w:rPr>
        <w:t>架。上述建筑物四周外围的建筑构件，包括现浇混凝土框架柱、墙（剪力墙）、</w:t>
      </w:r>
      <w:r>
        <w:rPr>
          <w:rFonts w:ascii="宋体" w:hAnsi="宋体" w:eastAsia="宋体" w:cs="宋体"/>
          <w:spacing w:val="10"/>
          <w:sz w:val="20"/>
          <w:szCs w:val="20"/>
        </w:rPr>
        <w:t>梁以及框架间砌体</w:t>
      </w:r>
      <w:r>
        <w:rPr>
          <w:rFonts w:ascii="宋体" w:hAnsi="宋体" w:eastAsia="宋体" w:cs="宋体"/>
          <w:spacing w:val="9"/>
          <w:sz w:val="20"/>
          <w:szCs w:val="20"/>
        </w:rPr>
        <w:t>墙、砌体柱等，均不再单独计算脚手架。</w:t>
      </w:r>
    </w:p>
    <w:p>
      <w:pPr>
        <w:spacing w:before="39" w:line="277" w:lineRule="exact"/>
        <w:ind w:left="423"/>
        <w:rPr>
          <w:rFonts w:ascii="宋体" w:hAnsi="宋体" w:eastAsia="宋体" w:cs="宋体"/>
          <w:sz w:val="20"/>
          <w:szCs w:val="20"/>
        </w:rPr>
      </w:pPr>
      <w:r>
        <w:rPr>
          <w:rFonts w:ascii="宋体" w:hAnsi="宋体" w:eastAsia="宋体" w:cs="宋体"/>
          <w:b/>
          <w:bCs/>
          <w:spacing w:val="4"/>
          <w:position w:val="1"/>
          <w:sz w:val="20"/>
          <w:szCs w:val="20"/>
        </w:rPr>
        <w:t>54.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关于与混凝土墙整浇的柱脚手架的计算</w:t>
      </w:r>
    </w:p>
    <w:p>
      <w:pPr>
        <w:spacing w:before="108" w:line="337" w:lineRule="auto"/>
        <w:ind w:right="12" w:firstLine="427"/>
        <w:jc w:val="both"/>
        <w:rPr>
          <w:rFonts w:ascii="宋体" w:hAnsi="宋体" w:eastAsia="宋体" w:cs="宋体"/>
          <w:sz w:val="20"/>
          <w:szCs w:val="20"/>
        </w:rPr>
      </w:pPr>
      <w:r>
        <w:rPr>
          <w:rFonts w:ascii="宋体" w:hAnsi="宋体" w:eastAsia="宋体" w:cs="宋体"/>
          <w:spacing w:val="7"/>
          <w:sz w:val="20"/>
          <w:szCs w:val="20"/>
        </w:rPr>
        <w:t>与墙整浇的柱不单独计算脚手架。与混凝土墙整浇中间柱、端部柱、角部柱均按墙计算脚手架，</w:t>
      </w:r>
      <w:r>
        <w:rPr>
          <w:rFonts w:ascii="宋体" w:hAnsi="宋体" w:eastAsia="宋体" w:cs="宋体"/>
          <w:spacing w:val="8"/>
          <w:sz w:val="20"/>
          <w:szCs w:val="20"/>
        </w:rPr>
        <w:t>墙遇中间柱，墙中心线长度按通过柱身计算；墙遇端部柱</w:t>
      </w:r>
      <w:r>
        <w:rPr>
          <w:rFonts w:ascii="宋体" w:hAnsi="宋体" w:eastAsia="宋体" w:cs="宋体"/>
          <w:spacing w:val="7"/>
          <w:sz w:val="20"/>
          <w:szCs w:val="20"/>
        </w:rPr>
        <w:t>，墙中心线长度算至柱对侧；墙遇角部柱，</w:t>
      </w:r>
      <w:r>
        <w:rPr>
          <w:rFonts w:ascii="宋体" w:hAnsi="宋体" w:eastAsia="宋体" w:cs="宋体"/>
          <w:spacing w:val="9"/>
          <w:sz w:val="20"/>
          <w:szCs w:val="20"/>
        </w:rPr>
        <w:t>两端中心线均算至两中心线的延长线相交点。</w:t>
      </w:r>
    </w:p>
    <w:p>
      <w:pPr>
        <w:spacing w:line="1916" w:lineRule="exact"/>
        <w:ind w:firstLine="1012"/>
      </w:pPr>
      <w:r>
        <w:rPr>
          <w:position w:val="-38"/>
        </w:rPr>
        <w:drawing>
          <wp:inline distT="0" distB="0" distL="0" distR="0">
            <wp:extent cx="4606925" cy="121602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415"/>
                    <a:stretch>
                      <a:fillRect/>
                    </a:stretch>
                  </pic:blipFill>
                  <pic:spPr>
                    <a:xfrm>
                      <a:off x="0" y="0"/>
                      <a:ext cx="4607052" cy="1216152"/>
                    </a:xfrm>
                    <a:prstGeom prst="rect">
                      <a:avLst/>
                    </a:prstGeom>
                  </pic:spPr>
                </pic:pic>
              </a:graphicData>
            </a:graphic>
          </wp:inline>
        </w:drawing>
      </w:r>
    </w:p>
    <w:p>
      <w:pPr>
        <w:spacing w:line="339" w:lineRule="auto"/>
        <w:rPr>
          <w:rFonts w:ascii="Arial"/>
          <w:sz w:val="21"/>
        </w:rPr>
      </w:pPr>
    </w:p>
    <w:p>
      <w:pPr>
        <w:spacing w:before="65" w:line="277" w:lineRule="exact"/>
        <w:ind w:left="423"/>
        <w:rPr>
          <w:rFonts w:ascii="宋体" w:hAnsi="宋体" w:eastAsia="宋体" w:cs="宋体"/>
          <w:sz w:val="20"/>
          <w:szCs w:val="20"/>
        </w:rPr>
      </w:pPr>
      <w:r>
        <w:rPr>
          <w:rFonts w:ascii="宋体" w:hAnsi="宋体" w:eastAsia="宋体" w:cs="宋体"/>
          <w:b/>
          <w:bCs/>
          <w:spacing w:val="5"/>
          <w:position w:val="1"/>
          <w:sz w:val="20"/>
          <w:szCs w:val="20"/>
        </w:rPr>
        <w:t>55.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关于墙、梁、板相交处外侧模板工程量的计算</w:t>
      </w:r>
    </w:p>
    <w:p>
      <w:pPr>
        <w:spacing w:before="107" w:line="313" w:lineRule="auto"/>
        <w:ind w:left="1" w:firstLine="420"/>
        <w:rPr>
          <w:rFonts w:ascii="宋体" w:hAnsi="宋体" w:eastAsia="宋体" w:cs="宋体"/>
          <w:sz w:val="20"/>
          <w:szCs w:val="20"/>
        </w:rPr>
      </w:pPr>
      <w:r>
        <w:rPr>
          <w:rFonts w:ascii="宋体" w:hAnsi="宋体" w:eastAsia="宋体" w:cs="宋体"/>
          <w:spacing w:val="8"/>
          <w:sz w:val="20"/>
          <w:szCs w:val="20"/>
        </w:rPr>
        <w:t>梁、板相交时，边缘处梁外侧模板不扣除板厚。墙、板相交时，边</w:t>
      </w:r>
      <w:r>
        <w:rPr>
          <w:rFonts w:ascii="宋体" w:hAnsi="宋体" w:eastAsia="宋体" w:cs="宋体"/>
          <w:spacing w:val="7"/>
          <w:sz w:val="20"/>
          <w:szCs w:val="20"/>
        </w:rPr>
        <w:t>缘处墙外侧模板不扣除板厚。</w:t>
      </w:r>
      <w:r>
        <w:rPr>
          <w:rFonts w:ascii="宋体" w:hAnsi="宋体" w:eastAsia="宋体" w:cs="宋体"/>
          <w:spacing w:val="9"/>
          <w:sz w:val="20"/>
          <w:szCs w:val="20"/>
        </w:rPr>
        <w:t>边缘处是指位于建筑物的梁、板、墙等构件的边缘位置。</w:t>
      </w:r>
    </w:p>
    <w:p>
      <w:pPr>
        <w:spacing w:line="2335" w:lineRule="exact"/>
        <w:ind w:firstLine="2066"/>
      </w:pPr>
      <w:r>
        <w:rPr>
          <w:position w:val="-46"/>
        </w:rPr>
        <w:drawing>
          <wp:inline distT="0" distB="0" distL="0" distR="0">
            <wp:extent cx="3431540" cy="1482725"/>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416"/>
                    <a:stretch>
                      <a:fillRect/>
                    </a:stretch>
                  </pic:blipFill>
                  <pic:spPr>
                    <a:xfrm>
                      <a:off x="0" y="0"/>
                      <a:ext cx="3432048" cy="1482852"/>
                    </a:xfrm>
                    <a:prstGeom prst="rect">
                      <a:avLst/>
                    </a:prstGeom>
                  </pic:spPr>
                </pic:pic>
              </a:graphicData>
            </a:graphic>
          </wp:inline>
        </w:drawing>
      </w:r>
    </w:p>
    <w:p>
      <w:pPr>
        <w:spacing w:line="334" w:lineRule="auto"/>
        <w:rPr>
          <w:rFonts w:ascii="Arial"/>
          <w:sz w:val="21"/>
        </w:rPr>
      </w:pPr>
    </w:p>
    <w:p>
      <w:pPr>
        <w:spacing w:before="66" w:line="277" w:lineRule="exact"/>
        <w:ind w:left="423"/>
        <w:rPr>
          <w:rFonts w:ascii="宋体" w:hAnsi="宋体" w:eastAsia="宋体" w:cs="宋体"/>
          <w:sz w:val="20"/>
          <w:szCs w:val="20"/>
        </w:rPr>
      </w:pPr>
      <w:r>
        <w:rPr>
          <w:rFonts w:ascii="宋体" w:hAnsi="宋体" w:eastAsia="宋体" w:cs="宋体"/>
          <w:b/>
          <w:bCs/>
          <w:spacing w:val="5"/>
          <w:position w:val="1"/>
          <w:sz w:val="20"/>
          <w:szCs w:val="20"/>
        </w:rPr>
        <w:t>56.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关于与筏形基础整浇的下卧部位模板的计量</w:t>
      </w:r>
    </w:p>
    <w:p>
      <w:pPr>
        <w:spacing w:before="103" w:line="338" w:lineRule="auto"/>
        <w:ind w:right="12" w:firstLine="427"/>
        <w:jc w:val="both"/>
        <w:rPr>
          <w:rFonts w:ascii="宋体" w:hAnsi="宋体" w:eastAsia="宋体" w:cs="宋体"/>
          <w:sz w:val="20"/>
          <w:szCs w:val="20"/>
        </w:rPr>
      </w:pPr>
      <w:r>
        <w:rPr>
          <w:rFonts w:ascii="宋体" w:hAnsi="宋体" w:eastAsia="宋体" w:cs="宋体"/>
          <w:spacing w:val="7"/>
          <w:sz w:val="20"/>
          <w:szCs w:val="20"/>
        </w:rPr>
        <w:t>与筏形基础整浇的独立基础、条形基础、集水坑等下卧部位模板，支模方式与筏形基础一致时，</w:t>
      </w:r>
      <w:r>
        <w:rPr>
          <w:rFonts w:ascii="宋体" w:hAnsi="宋体" w:eastAsia="宋体" w:cs="宋体"/>
          <w:spacing w:val="11"/>
          <w:sz w:val="20"/>
          <w:szCs w:val="20"/>
        </w:rPr>
        <w:t>并入筏形基础模板工程量内。支模方式与筏形基础不一致时，按发承包双方确认</w:t>
      </w:r>
      <w:r>
        <w:rPr>
          <w:rFonts w:ascii="宋体" w:hAnsi="宋体" w:eastAsia="宋体" w:cs="宋体"/>
          <w:spacing w:val="10"/>
          <w:sz w:val="20"/>
          <w:szCs w:val="20"/>
        </w:rPr>
        <w:t>的施工方案另行计</w:t>
      </w:r>
      <w:r>
        <w:rPr>
          <w:rFonts w:ascii="宋体" w:hAnsi="宋体" w:eastAsia="宋体" w:cs="宋体"/>
          <w:spacing w:val="3"/>
          <w:sz w:val="20"/>
          <w:szCs w:val="20"/>
        </w:rPr>
        <w:t>算。</w:t>
      </w:r>
    </w:p>
    <w:p>
      <w:pPr>
        <w:spacing w:line="356" w:lineRule="auto"/>
        <w:rPr>
          <w:rFonts w:ascii="Arial"/>
          <w:sz w:val="21"/>
        </w:rPr>
      </w:pPr>
    </w:p>
    <w:p>
      <w:pPr>
        <w:spacing w:before="65" w:line="336" w:lineRule="auto"/>
        <w:ind w:left="1" w:right="79" w:firstLine="423"/>
        <w:jc w:val="both"/>
        <w:rPr>
          <w:rFonts w:ascii="宋体" w:hAnsi="宋体" w:eastAsia="宋体" w:cs="宋体"/>
          <w:sz w:val="20"/>
          <w:szCs w:val="20"/>
        </w:rPr>
      </w:pPr>
      <w:r>
        <w:rPr>
          <w:rFonts w:ascii="宋体" w:hAnsi="宋体" w:eastAsia="宋体" w:cs="宋体"/>
          <w:spacing w:val="11"/>
          <w:sz w:val="20"/>
          <w:szCs w:val="20"/>
        </w:rPr>
        <w:t>现浇混凝土梁板式筏形基础模板子目按上翻梁编制。若是下翻梁形式的</w:t>
      </w:r>
      <w:r>
        <w:rPr>
          <w:rFonts w:ascii="宋体" w:hAnsi="宋体" w:eastAsia="宋体" w:cs="宋体"/>
          <w:spacing w:val="10"/>
          <w:sz w:val="20"/>
          <w:szCs w:val="20"/>
        </w:rPr>
        <w:t>筏形基础，应执行平板</w:t>
      </w:r>
      <w:r>
        <w:rPr>
          <w:rFonts w:ascii="宋体" w:hAnsi="宋体" w:eastAsia="宋体" w:cs="宋体"/>
          <w:spacing w:val="11"/>
          <w:sz w:val="20"/>
          <w:szCs w:val="20"/>
        </w:rPr>
        <w:t>式筏形基础模板子目，下翻部位面积并入计算。若下翻部位采用砖胎模形式的</w:t>
      </w:r>
      <w:r>
        <w:rPr>
          <w:rFonts w:ascii="宋体" w:hAnsi="宋体" w:eastAsia="宋体" w:cs="宋体"/>
          <w:spacing w:val="10"/>
          <w:sz w:val="20"/>
          <w:szCs w:val="20"/>
        </w:rPr>
        <w:t>，执行砖胎模相应子</w:t>
      </w:r>
      <w:r>
        <w:rPr>
          <w:rFonts w:ascii="宋体" w:hAnsi="宋体" w:eastAsia="宋体" w:cs="宋体"/>
          <w:spacing w:val="2"/>
          <w:sz w:val="20"/>
          <w:szCs w:val="20"/>
        </w:rPr>
        <w:t>目。</w:t>
      </w:r>
    </w:p>
    <w:p>
      <w:pPr>
        <w:spacing w:before="47" w:line="278" w:lineRule="exact"/>
        <w:ind w:left="423"/>
        <w:rPr>
          <w:rFonts w:ascii="宋体" w:hAnsi="宋体" w:eastAsia="宋体" w:cs="宋体"/>
          <w:sz w:val="20"/>
          <w:szCs w:val="20"/>
        </w:rPr>
      </w:pPr>
      <w:r>
        <w:rPr>
          <w:rFonts w:ascii="宋体" w:hAnsi="宋体" w:eastAsia="宋体" w:cs="宋体"/>
          <w:b/>
          <w:bCs/>
          <w:spacing w:val="4"/>
          <w:position w:val="1"/>
          <w:sz w:val="20"/>
          <w:szCs w:val="20"/>
        </w:rPr>
        <w:t>57.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关于外墙螺栓孔防水子目的适用范围</w:t>
      </w:r>
    </w:p>
    <w:p>
      <w:pPr>
        <w:spacing w:line="278" w:lineRule="exact"/>
        <w:rPr>
          <w:rFonts w:ascii="宋体" w:hAnsi="宋体" w:eastAsia="宋体" w:cs="宋体"/>
          <w:sz w:val="20"/>
          <w:szCs w:val="20"/>
        </w:rPr>
        <w:sectPr>
          <w:footerReference r:id="rId240" w:type="default"/>
          <w:pgSz w:w="11906" w:h="16839"/>
          <w:pgMar w:top="400" w:right="1341" w:bottom="1212" w:left="1418" w:header="0" w:footer="897" w:gutter="0"/>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before="65" w:line="349" w:lineRule="auto"/>
        <w:ind w:right="3" w:firstLine="420"/>
        <w:rPr>
          <w:rFonts w:ascii="宋体" w:hAnsi="宋体" w:eastAsia="宋体" w:cs="宋体"/>
          <w:sz w:val="20"/>
          <w:szCs w:val="20"/>
        </w:rPr>
      </w:pPr>
      <w:r>
        <w:rPr>
          <w:rFonts w:ascii="宋体" w:hAnsi="宋体" w:eastAsia="宋体" w:cs="宋体"/>
          <w:spacing w:val="8"/>
          <w:sz w:val="20"/>
          <w:szCs w:val="20"/>
        </w:rPr>
        <w:t>外墙螺栓孔部位防水子目（</w:t>
      </w:r>
      <w:r>
        <w:rPr>
          <w:rFonts w:ascii="宋体" w:hAnsi="宋体" w:eastAsia="宋体" w:cs="宋体"/>
          <w:spacing w:val="-46"/>
          <w:sz w:val="20"/>
          <w:szCs w:val="20"/>
        </w:rPr>
        <w:t xml:space="preserve"> </w:t>
      </w:r>
      <w:r>
        <w:rPr>
          <w:rFonts w:ascii="宋体" w:hAnsi="宋体" w:eastAsia="宋体" w:cs="宋体"/>
          <w:spacing w:val="8"/>
          <w:sz w:val="20"/>
          <w:szCs w:val="20"/>
        </w:rPr>
        <w:t>18-1-139</w:t>
      </w:r>
      <w:r>
        <w:rPr>
          <w:rFonts w:ascii="宋体" w:hAnsi="宋体" w:eastAsia="宋体" w:cs="宋体"/>
          <w:spacing w:val="-1"/>
          <w:sz w:val="20"/>
          <w:szCs w:val="20"/>
        </w:rPr>
        <w:t>）</w:t>
      </w:r>
      <w:r>
        <w:rPr>
          <w:rFonts w:ascii="宋体" w:hAnsi="宋体" w:eastAsia="宋体" w:cs="宋体"/>
          <w:spacing w:val="-51"/>
          <w:sz w:val="20"/>
          <w:szCs w:val="20"/>
        </w:rPr>
        <w:t xml:space="preserve"> </w:t>
      </w:r>
      <w:r>
        <w:rPr>
          <w:rFonts w:ascii="宋体" w:hAnsi="宋体" w:eastAsia="宋体" w:cs="宋体"/>
          <w:spacing w:val="-1"/>
          <w:sz w:val="20"/>
          <w:szCs w:val="20"/>
        </w:rPr>
        <w:t>，</w:t>
      </w:r>
      <w:r>
        <w:rPr>
          <w:rFonts w:ascii="宋体" w:hAnsi="宋体" w:eastAsia="宋体" w:cs="宋体"/>
          <w:spacing w:val="8"/>
          <w:sz w:val="20"/>
          <w:szCs w:val="20"/>
        </w:rPr>
        <w:t>系指现浇混凝土墙（梁）、电梯井壁等，拆除模板后</w:t>
      </w:r>
      <w:r>
        <w:rPr>
          <w:rFonts w:ascii="宋体" w:hAnsi="宋体" w:eastAsia="宋体" w:cs="宋体"/>
          <w:spacing w:val="11"/>
          <w:sz w:val="20"/>
          <w:szCs w:val="20"/>
        </w:rPr>
        <w:t>对拉螺栓孔外侧直径</w:t>
      </w:r>
      <w:r>
        <w:rPr>
          <w:rFonts w:ascii="宋体" w:hAnsi="宋体" w:eastAsia="宋体" w:cs="宋体"/>
          <w:spacing w:val="-22"/>
          <w:sz w:val="20"/>
          <w:szCs w:val="20"/>
        </w:rPr>
        <w:t xml:space="preserve"> </w:t>
      </w:r>
      <w:r>
        <w:rPr>
          <w:rFonts w:ascii="宋体" w:hAnsi="宋体" w:eastAsia="宋体" w:cs="宋体"/>
          <w:spacing w:val="11"/>
          <w:sz w:val="20"/>
          <w:szCs w:val="20"/>
        </w:rPr>
        <w:t>150</w:t>
      </w:r>
      <w:r>
        <w:rPr>
          <w:rFonts w:ascii="宋体" w:hAnsi="宋体" w:eastAsia="宋体" w:cs="宋体"/>
          <w:sz w:val="20"/>
          <w:szCs w:val="20"/>
        </w:rPr>
        <w:t>mm</w:t>
      </w:r>
      <w:r>
        <w:rPr>
          <w:rFonts w:ascii="宋体" w:hAnsi="宋体" w:eastAsia="宋体" w:cs="宋体"/>
          <w:spacing w:val="-38"/>
          <w:sz w:val="20"/>
          <w:szCs w:val="20"/>
        </w:rPr>
        <w:t xml:space="preserve"> </w:t>
      </w:r>
      <w:r>
        <w:rPr>
          <w:rFonts w:ascii="宋体" w:hAnsi="宋体" w:eastAsia="宋体" w:cs="宋体"/>
          <w:spacing w:val="11"/>
          <w:sz w:val="20"/>
          <w:szCs w:val="20"/>
        </w:rPr>
        <w:t>范围内刷聚氨酯防水三遍所需要增加的人工、材</w:t>
      </w:r>
      <w:r>
        <w:rPr>
          <w:rFonts w:ascii="宋体" w:hAnsi="宋体" w:eastAsia="宋体" w:cs="宋体"/>
          <w:spacing w:val="10"/>
          <w:sz w:val="20"/>
          <w:szCs w:val="20"/>
        </w:rPr>
        <w:t>料消耗量。</w:t>
      </w:r>
    </w:p>
    <w:p>
      <w:pPr>
        <w:spacing w:before="2" w:line="277" w:lineRule="exact"/>
        <w:ind w:left="422"/>
        <w:rPr>
          <w:rFonts w:ascii="宋体" w:hAnsi="宋体" w:eastAsia="宋体" w:cs="宋体"/>
          <w:sz w:val="20"/>
          <w:szCs w:val="20"/>
        </w:rPr>
      </w:pPr>
      <w:r>
        <w:rPr>
          <w:rFonts w:ascii="宋体" w:hAnsi="宋体" w:eastAsia="宋体" w:cs="宋体"/>
          <w:b/>
          <w:bCs/>
          <w:spacing w:val="4"/>
          <w:position w:val="1"/>
          <w:sz w:val="20"/>
          <w:szCs w:val="20"/>
        </w:rPr>
        <w:t>58.</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关于混凝土清水池垂直运输的计价</w:t>
      </w:r>
    </w:p>
    <w:p>
      <w:pPr>
        <w:spacing w:before="106" w:line="349" w:lineRule="auto"/>
        <w:ind w:left="2" w:firstLine="419"/>
        <w:rPr>
          <w:rFonts w:ascii="宋体" w:hAnsi="宋体" w:eastAsia="宋体" w:cs="宋体"/>
          <w:sz w:val="20"/>
          <w:szCs w:val="20"/>
        </w:rPr>
      </w:pPr>
      <w:r>
        <w:rPr>
          <w:rFonts w:ascii="宋体" w:hAnsi="宋体" w:eastAsia="宋体" w:cs="宋体"/>
          <w:spacing w:val="11"/>
          <w:sz w:val="20"/>
          <w:szCs w:val="20"/>
        </w:rPr>
        <w:t>混凝土清水池垂直运输按封闭式编制，定额设置了≤500m3、1000m3、5000m3三个基本子目。</w:t>
      </w:r>
      <w:r>
        <w:rPr>
          <w:rFonts w:ascii="宋体" w:hAnsi="宋体" w:eastAsia="宋体" w:cs="宋体"/>
          <w:spacing w:val="5"/>
          <w:sz w:val="20"/>
          <w:szCs w:val="20"/>
        </w:rPr>
        <w:t>清水池设计容量(500～5000m3)与定额不同时，按插入法计算；设计容量＞5000m3时，</w:t>
      </w:r>
      <w:r>
        <w:rPr>
          <w:rFonts w:ascii="宋体" w:hAnsi="宋体" w:eastAsia="宋体" w:cs="宋体"/>
          <w:spacing w:val="4"/>
          <w:sz w:val="20"/>
          <w:szCs w:val="20"/>
        </w:rPr>
        <w:t>按每增加500m3</w:t>
      </w:r>
      <w:r>
        <w:rPr>
          <w:rFonts w:ascii="宋体" w:hAnsi="宋体" w:eastAsia="宋体" w:cs="宋体"/>
          <w:spacing w:val="8"/>
          <w:sz w:val="20"/>
          <w:szCs w:val="20"/>
        </w:rPr>
        <w:t>子目调整。当容量≤500m3时，按≤500m3子目（</w:t>
      </w:r>
      <w:r>
        <w:rPr>
          <w:rFonts w:ascii="宋体" w:hAnsi="宋体" w:eastAsia="宋体" w:cs="宋体"/>
          <w:spacing w:val="-29"/>
          <w:sz w:val="20"/>
          <w:szCs w:val="20"/>
        </w:rPr>
        <w:t xml:space="preserve"> </w:t>
      </w:r>
      <w:r>
        <w:rPr>
          <w:rFonts w:ascii="宋体" w:hAnsi="宋体" w:eastAsia="宋体" w:cs="宋体"/>
          <w:spacing w:val="8"/>
          <w:sz w:val="20"/>
          <w:szCs w:val="20"/>
        </w:rPr>
        <w:t>19-1-66</w:t>
      </w:r>
      <w:r>
        <w:rPr>
          <w:rFonts w:ascii="宋体" w:hAnsi="宋体" w:eastAsia="宋体" w:cs="宋体"/>
          <w:spacing w:val="-40"/>
          <w:sz w:val="20"/>
          <w:szCs w:val="20"/>
        </w:rPr>
        <w:t xml:space="preserve"> </w:t>
      </w:r>
      <w:r>
        <w:rPr>
          <w:rFonts w:ascii="宋体" w:hAnsi="宋体" w:eastAsia="宋体" w:cs="宋体"/>
          <w:spacing w:val="8"/>
          <w:sz w:val="20"/>
          <w:szCs w:val="20"/>
        </w:rPr>
        <w:t>子目）执行。</w:t>
      </w:r>
    </w:p>
    <w:p>
      <w:pPr>
        <w:spacing w:line="349" w:lineRule="auto"/>
        <w:rPr>
          <w:rFonts w:ascii="宋体" w:hAnsi="宋体" w:eastAsia="宋体" w:cs="宋体"/>
          <w:sz w:val="20"/>
          <w:szCs w:val="20"/>
        </w:rPr>
        <w:sectPr>
          <w:footerReference r:id="rId241" w:type="default"/>
          <w:pgSz w:w="11906" w:h="16839"/>
          <w:pgMar w:top="400" w:right="1416" w:bottom="1212" w:left="1419"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2" w:lineRule="auto"/>
        <w:ind w:left="1827"/>
        <w:outlineLvl w:val="1"/>
        <w:rPr>
          <w:rFonts w:ascii="宋体" w:hAnsi="宋体" w:eastAsia="宋体" w:cs="宋体"/>
          <w:sz w:val="30"/>
          <w:szCs w:val="30"/>
        </w:rPr>
      </w:pPr>
      <w:bookmarkStart w:id="126" w:name="bookmark77"/>
      <w:bookmarkEnd w:id="126"/>
      <w:bookmarkStart w:id="127" w:name="bookmark76"/>
      <w:bookmarkEnd w:id="127"/>
      <w:r>
        <w:rPr>
          <w:rFonts w:ascii="宋体" w:hAnsi="宋体" w:eastAsia="宋体" w:cs="宋体"/>
          <w:b/>
          <w:bCs/>
          <w:spacing w:val="-3"/>
          <w:sz w:val="30"/>
          <w:szCs w:val="30"/>
        </w:rPr>
        <w:t>第六节</w:t>
      </w:r>
      <w:r>
        <w:rPr>
          <w:rFonts w:ascii="宋体" w:hAnsi="宋体" w:eastAsia="宋体" w:cs="宋体"/>
          <w:spacing w:val="-3"/>
          <w:sz w:val="30"/>
          <w:szCs w:val="30"/>
        </w:rPr>
        <w:t xml:space="preserve">  </w:t>
      </w:r>
      <w:r>
        <w:rPr>
          <w:rFonts w:ascii="宋体" w:hAnsi="宋体" w:eastAsia="宋体" w:cs="宋体"/>
          <w:b/>
          <w:bCs/>
          <w:spacing w:val="-3"/>
          <w:sz w:val="30"/>
          <w:szCs w:val="30"/>
        </w:rPr>
        <w:t>安装工程定额计价有关问题说明</w:t>
      </w:r>
    </w:p>
    <w:p>
      <w:pPr>
        <w:spacing w:line="246" w:lineRule="auto"/>
        <w:rPr>
          <w:rFonts w:ascii="Arial"/>
          <w:sz w:val="21"/>
        </w:rPr>
      </w:pPr>
    </w:p>
    <w:p>
      <w:pPr>
        <w:spacing w:before="65" w:line="332" w:lineRule="auto"/>
        <w:ind w:left="1" w:right="80" w:firstLine="437"/>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38"/>
          <w:sz w:val="20"/>
          <w:szCs w:val="20"/>
        </w:rPr>
        <w:t xml:space="preserve"> </w:t>
      </w:r>
      <w:r>
        <w:rPr>
          <w:rFonts w:ascii="宋体" w:hAnsi="宋体" w:eastAsia="宋体" w:cs="宋体"/>
          <w:spacing w:val="8"/>
          <w:sz w:val="20"/>
          <w:szCs w:val="20"/>
        </w:rPr>
        <w:t>2025</w:t>
      </w:r>
      <w:r>
        <w:rPr>
          <w:rFonts w:ascii="宋体" w:hAnsi="宋体" w:eastAsia="宋体" w:cs="宋体"/>
          <w:spacing w:val="-36"/>
          <w:sz w:val="20"/>
          <w:szCs w:val="20"/>
        </w:rPr>
        <w:t xml:space="preserve"> </w:t>
      </w:r>
      <w:r>
        <w:rPr>
          <w:rFonts w:ascii="宋体" w:hAnsi="宋体" w:eastAsia="宋体" w:cs="宋体"/>
          <w:spacing w:val="8"/>
          <w:sz w:val="20"/>
          <w:szCs w:val="20"/>
        </w:rPr>
        <w:t>年</w:t>
      </w:r>
      <w:r>
        <w:rPr>
          <w:rFonts w:ascii="宋体" w:hAnsi="宋体" w:eastAsia="宋体" w:cs="宋体"/>
          <w:spacing w:val="-37"/>
          <w:sz w:val="20"/>
          <w:szCs w:val="20"/>
        </w:rPr>
        <w:t xml:space="preserve"> </w:t>
      </w:r>
      <w:r>
        <w:rPr>
          <w:rFonts w:ascii="宋体" w:hAnsi="宋体" w:eastAsia="宋体" w:cs="宋体"/>
          <w:spacing w:val="8"/>
          <w:sz w:val="20"/>
          <w:szCs w:val="20"/>
        </w:rPr>
        <w:t>8</w:t>
      </w:r>
      <w:r>
        <w:rPr>
          <w:rFonts w:ascii="宋体" w:hAnsi="宋体" w:eastAsia="宋体" w:cs="宋体"/>
          <w:spacing w:val="-38"/>
          <w:sz w:val="20"/>
          <w:szCs w:val="20"/>
        </w:rPr>
        <w:t xml:space="preserve"> </w:t>
      </w:r>
      <w:r>
        <w:rPr>
          <w:rFonts w:ascii="宋体" w:hAnsi="宋体" w:eastAsia="宋体" w:cs="宋体"/>
          <w:spacing w:val="8"/>
          <w:sz w:val="20"/>
          <w:szCs w:val="20"/>
        </w:rPr>
        <w:t>月29 日</w:t>
      </w:r>
      <w:r>
        <w:rPr>
          <w:rFonts w:ascii="宋体" w:hAnsi="宋体" w:eastAsia="宋体" w:cs="宋体"/>
          <w:spacing w:val="-59"/>
          <w:sz w:val="20"/>
          <w:szCs w:val="20"/>
        </w:rPr>
        <w:t xml:space="preserve"> </w:t>
      </w:r>
      <w:r>
        <w:rPr>
          <w:rFonts w:ascii="宋体" w:hAnsi="宋体" w:eastAsia="宋体" w:cs="宋体"/>
          <w:spacing w:val="8"/>
          <w:sz w:val="20"/>
          <w:szCs w:val="20"/>
        </w:rPr>
        <w:t>，山东省住房和城</w:t>
      </w:r>
      <w:r>
        <w:rPr>
          <w:rFonts w:ascii="宋体" w:hAnsi="宋体" w:eastAsia="宋体" w:cs="宋体"/>
          <w:spacing w:val="7"/>
          <w:sz w:val="20"/>
          <w:szCs w:val="20"/>
        </w:rPr>
        <w:t>乡建设厅发布了《关于发布建设工程造价计价依据的通</w:t>
      </w:r>
      <w:r>
        <w:rPr>
          <w:rFonts w:ascii="宋体" w:hAnsi="宋体" w:eastAsia="宋体" w:cs="宋体"/>
          <w:spacing w:val="11"/>
          <w:sz w:val="20"/>
          <w:szCs w:val="20"/>
        </w:rPr>
        <w:t>知》（鲁建标字〔2025〕7</w:t>
      </w:r>
      <w:r>
        <w:rPr>
          <w:rFonts w:ascii="宋体" w:hAnsi="宋体" w:eastAsia="宋体" w:cs="宋体"/>
          <w:spacing w:val="-39"/>
          <w:sz w:val="20"/>
          <w:szCs w:val="20"/>
        </w:rPr>
        <w:t xml:space="preserve"> </w:t>
      </w:r>
      <w:r>
        <w:rPr>
          <w:rFonts w:ascii="宋体" w:hAnsi="宋体" w:eastAsia="宋体" w:cs="宋体"/>
          <w:spacing w:val="11"/>
          <w:sz w:val="20"/>
          <w:szCs w:val="20"/>
        </w:rPr>
        <w:t>号</w:t>
      </w:r>
      <w:r>
        <w:rPr>
          <w:rFonts w:ascii="宋体" w:hAnsi="宋体" w:eastAsia="宋体" w:cs="宋体"/>
          <w:spacing w:val="-10"/>
          <w:sz w:val="20"/>
          <w:szCs w:val="20"/>
        </w:rPr>
        <w:t>）</w:t>
      </w:r>
      <w:r>
        <w:rPr>
          <w:rFonts w:ascii="宋体" w:hAnsi="宋体" w:eastAsia="宋体" w:cs="宋体"/>
          <w:spacing w:val="-48"/>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对《山东省建设工程费用项目组成及计算规则》《山东省</w:t>
      </w:r>
      <w:r>
        <w:rPr>
          <w:rFonts w:ascii="宋体" w:hAnsi="宋体" w:eastAsia="宋体" w:cs="宋体"/>
          <w:spacing w:val="10"/>
          <w:sz w:val="20"/>
          <w:szCs w:val="20"/>
        </w:rPr>
        <w:t>安装工</w:t>
      </w:r>
      <w:r>
        <w:rPr>
          <w:rFonts w:ascii="宋体" w:hAnsi="宋体" w:eastAsia="宋体" w:cs="宋体"/>
          <w:spacing w:val="4"/>
          <w:sz w:val="20"/>
          <w:szCs w:val="20"/>
        </w:rPr>
        <w:t>程消耗量定额》进行了修编调整，执行日期为</w:t>
      </w:r>
      <w:r>
        <w:rPr>
          <w:rFonts w:ascii="宋体" w:hAnsi="宋体" w:eastAsia="宋体" w:cs="宋体"/>
          <w:spacing w:val="-35"/>
          <w:sz w:val="20"/>
          <w:szCs w:val="20"/>
        </w:rPr>
        <w:t xml:space="preserve"> </w:t>
      </w:r>
      <w:r>
        <w:rPr>
          <w:rFonts w:ascii="宋体" w:hAnsi="宋体" w:eastAsia="宋体" w:cs="宋体"/>
          <w:spacing w:val="4"/>
          <w:sz w:val="20"/>
          <w:szCs w:val="20"/>
        </w:rPr>
        <w:t>2025</w:t>
      </w:r>
      <w:r>
        <w:rPr>
          <w:rFonts w:ascii="宋体" w:hAnsi="宋体" w:eastAsia="宋体" w:cs="宋体"/>
          <w:spacing w:val="-42"/>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 日。</w:t>
      </w:r>
    </w:p>
    <w:p>
      <w:pPr>
        <w:spacing w:before="121" w:line="332" w:lineRule="auto"/>
        <w:ind w:left="1" w:right="60" w:firstLine="421"/>
        <w:rPr>
          <w:rFonts w:ascii="宋体" w:hAnsi="宋体" w:eastAsia="宋体" w:cs="宋体"/>
          <w:sz w:val="20"/>
          <w:szCs w:val="20"/>
        </w:rPr>
      </w:pPr>
      <w:r>
        <w:rPr>
          <w:rFonts w:ascii="宋体" w:hAnsi="宋体" w:eastAsia="宋体" w:cs="宋体"/>
          <w:spacing w:val="9"/>
          <w:sz w:val="20"/>
          <w:szCs w:val="20"/>
        </w:rPr>
        <w:t>2. 修编调整后的《山东省建设工程费用项目</w:t>
      </w:r>
      <w:r>
        <w:rPr>
          <w:rFonts w:ascii="宋体" w:hAnsi="宋体" w:eastAsia="宋体" w:cs="宋体"/>
          <w:spacing w:val="8"/>
          <w:sz w:val="20"/>
          <w:szCs w:val="20"/>
        </w:rPr>
        <w:t>组成及计算规则》《山东省安装工程消耗量定额》</w:t>
      </w:r>
      <w:r>
        <w:rPr>
          <w:rFonts w:ascii="宋体" w:hAnsi="宋体" w:eastAsia="宋体" w:cs="宋体"/>
          <w:spacing w:val="11"/>
          <w:sz w:val="20"/>
          <w:szCs w:val="20"/>
        </w:rPr>
        <w:t>是建设工程开展发包与承包计价活动的参考。在使用本计价依据时，应在原有</w:t>
      </w:r>
      <w:r>
        <w:rPr>
          <w:rFonts w:ascii="宋体" w:hAnsi="宋体" w:eastAsia="宋体" w:cs="宋体"/>
          <w:spacing w:val="10"/>
          <w:sz w:val="20"/>
          <w:szCs w:val="20"/>
        </w:rPr>
        <w:t>人工单价水平基础上</w:t>
      </w:r>
      <w:r>
        <w:rPr>
          <w:rFonts w:ascii="宋体" w:hAnsi="宋体" w:eastAsia="宋体" w:cs="宋体"/>
          <w:spacing w:val="9"/>
          <w:sz w:val="20"/>
          <w:szCs w:val="20"/>
        </w:rPr>
        <w:t>进行适当调增。参考调增比例：安装、房屋修缮安装工程</w:t>
      </w:r>
      <w:r>
        <w:rPr>
          <w:rFonts w:ascii="宋体" w:hAnsi="宋体" w:eastAsia="宋体" w:cs="宋体"/>
          <w:spacing w:val="-39"/>
          <w:sz w:val="20"/>
          <w:szCs w:val="20"/>
        </w:rPr>
        <w:t xml:space="preserve"> </w:t>
      </w:r>
      <w:r>
        <w:rPr>
          <w:rFonts w:ascii="宋体" w:hAnsi="宋体" w:eastAsia="宋体" w:cs="宋体"/>
          <w:spacing w:val="9"/>
          <w:sz w:val="20"/>
          <w:szCs w:val="20"/>
        </w:rPr>
        <w:t>9.5</w:t>
      </w:r>
      <w:r>
        <w:rPr>
          <w:rFonts w:ascii="宋体" w:hAnsi="宋体" w:eastAsia="宋体" w:cs="宋体"/>
          <w:spacing w:val="8"/>
          <w:sz w:val="20"/>
          <w:szCs w:val="20"/>
        </w:rPr>
        <w:t>%。</w:t>
      </w:r>
    </w:p>
    <w:p>
      <w:pPr>
        <w:spacing w:before="121" w:line="297" w:lineRule="auto"/>
        <w:ind w:left="2" w:firstLine="423"/>
        <w:rPr>
          <w:rFonts w:ascii="宋体" w:hAnsi="宋体" w:eastAsia="宋体" w:cs="宋体"/>
          <w:sz w:val="20"/>
          <w:szCs w:val="20"/>
        </w:rPr>
      </w:pPr>
      <w:r>
        <w:rPr>
          <w:rFonts w:ascii="宋体" w:hAnsi="宋体" w:eastAsia="宋体" w:cs="宋体"/>
          <w:spacing w:val="5"/>
          <w:sz w:val="20"/>
          <w:szCs w:val="20"/>
        </w:rPr>
        <w:t>3. 修编调整后的《山东省安装工程消耗量定额》适用于我省行政区域内工业与民用建筑的新建、</w:t>
      </w:r>
      <w:r>
        <w:rPr>
          <w:rFonts w:ascii="宋体" w:hAnsi="宋体" w:eastAsia="宋体" w:cs="宋体"/>
          <w:spacing w:val="9"/>
          <w:sz w:val="20"/>
          <w:szCs w:val="20"/>
        </w:rPr>
        <w:t>扩建通用安装工程，是开展工程实施阶段计价活动、编制各类造价文件的参考。</w:t>
      </w:r>
    </w:p>
    <w:p>
      <w:pPr>
        <w:spacing w:before="157" w:line="278" w:lineRule="exact"/>
        <w:ind w:left="419"/>
        <w:rPr>
          <w:rFonts w:ascii="宋体" w:hAnsi="宋体" w:eastAsia="宋体" w:cs="宋体"/>
          <w:sz w:val="20"/>
          <w:szCs w:val="20"/>
        </w:rPr>
      </w:pPr>
      <w:r>
        <w:rPr>
          <w:rFonts w:ascii="宋体" w:hAnsi="宋体" w:eastAsia="宋体" w:cs="宋体"/>
          <w:b/>
          <w:bCs/>
          <w:spacing w:val="1"/>
          <w:position w:val="1"/>
          <w:sz w:val="20"/>
          <w:szCs w:val="20"/>
        </w:rPr>
        <w:t>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1" w:line="369" w:lineRule="auto"/>
        <w:ind w:left="1" w:right="83" w:firstLine="419"/>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不再单独计算。暂列金额中的其他检验试验费是指除企业管理费中包含的检验</w:t>
      </w:r>
      <w:r>
        <w:rPr>
          <w:rFonts w:ascii="宋体" w:hAnsi="宋体" w:eastAsia="宋体" w:cs="宋体"/>
          <w:spacing w:val="10"/>
          <w:sz w:val="20"/>
          <w:szCs w:val="20"/>
        </w:rPr>
        <w:t>试验费之外，开展特</w:t>
      </w:r>
      <w:r>
        <w:rPr>
          <w:rFonts w:ascii="宋体" w:hAnsi="宋体" w:eastAsia="宋体" w:cs="宋体"/>
          <w:spacing w:val="9"/>
          <w:sz w:val="20"/>
          <w:szCs w:val="20"/>
        </w:rPr>
        <w:t>殊性鉴定，检查等所发生的费用，其他检验试验费包括：</w:t>
      </w:r>
    </w:p>
    <w:p>
      <w:pPr>
        <w:spacing w:line="277" w:lineRule="exact"/>
        <w:ind w:left="412"/>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12"/>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3" w:line="278" w:lineRule="exact"/>
        <w:ind w:left="412"/>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1" w:line="277" w:lineRule="exact"/>
        <w:ind w:left="412"/>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w:t>
      </w:r>
      <w:r>
        <w:rPr>
          <w:rFonts w:ascii="宋体" w:hAnsi="宋体" w:eastAsia="宋体" w:cs="宋体"/>
          <w:spacing w:val="9"/>
          <w:position w:val="1"/>
          <w:sz w:val="20"/>
          <w:szCs w:val="20"/>
        </w:rPr>
        <w:t>，由承包人支付的检验试验费用；</w:t>
      </w:r>
    </w:p>
    <w:p>
      <w:pPr>
        <w:spacing w:before="124" w:line="277" w:lineRule="exact"/>
        <w:ind w:left="412"/>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3" w:line="350" w:lineRule="auto"/>
        <w:ind w:left="1" w:right="83" w:firstLine="418"/>
        <w:rPr>
          <w:rFonts w:ascii="宋体" w:hAnsi="宋体" w:eastAsia="宋体" w:cs="宋体"/>
          <w:sz w:val="20"/>
          <w:szCs w:val="20"/>
        </w:rPr>
      </w:pPr>
      <w:r>
        <w:rPr>
          <w:rFonts w:ascii="宋体" w:hAnsi="宋体" w:eastAsia="宋体" w:cs="宋体"/>
          <w:spacing w:val="11"/>
          <w:sz w:val="20"/>
          <w:szCs w:val="20"/>
        </w:rPr>
        <w:t>对承包人提供的、具有检验合格证明的材料，发包人要求再次检验且经检测不合</w:t>
      </w:r>
      <w:r>
        <w:rPr>
          <w:rFonts w:ascii="宋体" w:hAnsi="宋体" w:eastAsia="宋体" w:cs="宋体"/>
          <w:spacing w:val="10"/>
          <w:sz w:val="20"/>
          <w:szCs w:val="20"/>
        </w:rPr>
        <w:t>格的，检测费</w:t>
      </w:r>
      <w:r>
        <w:rPr>
          <w:rFonts w:ascii="宋体" w:hAnsi="宋体" w:eastAsia="宋体" w:cs="宋体"/>
          <w:spacing w:val="9"/>
          <w:sz w:val="20"/>
          <w:szCs w:val="20"/>
        </w:rPr>
        <w:t>用由承包人承担，不计入工程造价。</w:t>
      </w:r>
    </w:p>
    <w:p>
      <w:pPr>
        <w:spacing w:before="41" w:line="278" w:lineRule="exact"/>
        <w:ind w:left="422"/>
        <w:rPr>
          <w:rFonts w:ascii="宋体" w:hAnsi="宋体" w:eastAsia="宋体" w:cs="宋体"/>
          <w:sz w:val="20"/>
          <w:szCs w:val="20"/>
        </w:rPr>
      </w:pPr>
      <w:r>
        <w:rPr>
          <w:rFonts w:ascii="宋体" w:hAnsi="宋体" w:eastAsia="宋体" w:cs="宋体"/>
          <w:b/>
          <w:bCs/>
          <w:spacing w:val="2"/>
          <w:position w:val="1"/>
          <w:sz w:val="20"/>
          <w:szCs w:val="20"/>
        </w:rPr>
        <w:t>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关于水平和垂直运输</w:t>
      </w:r>
    </w:p>
    <w:p>
      <w:pPr>
        <w:spacing w:before="123" w:line="355" w:lineRule="auto"/>
        <w:ind w:left="1" w:right="80" w:firstLine="411"/>
        <w:jc w:val="both"/>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1）水平运输：水平运输距离是指自现场仓库或指定堆放地点运至安装地点或垂直运输点的距</w:t>
      </w:r>
      <w:r>
        <w:rPr>
          <w:rFonts w:ascii="宋体" w:hAnsi="宋体" w:eastAsia="宋体" w:cs="宋体"/>
          <w:spacing w:val="10"/>
          <w:sz w:val="20"/>
          <w:szCs w:val="20"/>
        </w:rPr>
        <w:t>离。定额设备水平运距按照200m，材料（含成品、半成品）水平运距按照</w:t>
      </w:r>
      <w:r>
        <w:rPr>
          <w:rFonts w:ascii="宋体" w:hAnsi="宋体" w:eastAsia="宋体" w:cs="宋体"/>
          <w:spacing w:val="9"/>
          <w:sz w:val="20"/>
          <w:szCs w:val="20"/>
        </w:rPr>
        <w:t xml:space="preserve"> 300m 综合取定，执行定</w:t>
      </w:r>
      <w:r>
        <w:rPr>
          <w:rFonts w:ascii="宋体" w:hAnsi="宋体" w:eastAsia="宋体" w:cs="宋体"/>
          <w:spacing w:val="7"/>
          <w:sz w:val="20"/>
          <w:szCs w:val="20"/>
        </w:rPr>
        <w:t>额时不做调整。</w:t>
      </w:r>
    </w:p>
    <w:p>
      <w:pPr>
        <w:spacing w:before="51" w:line="219" w:lineRule="auto"/>
        <w:ind w:left="420"/>
        <w:rPr>
          <w:rFonts w:ascii="宋体" w:hAnsi="宋体" w:eastAsia="宋体" w:cs="宋体"/>
          <w:sz w:val="20"/>
          <w:szCs w:val="20"/>
        </w:rPr>
      </w:pPr>
      <w:r>
        <w:rPr>
          <w:rFonts w:ascii="宋体" w:hAnsi="宋体" w:eastAsia="宋体" w:cs="宋体"/>
          <w:spacing w:val="10"/>
          <w:sz w:val="20"/>
          <w:szCs w:val="20"/>
        </w:rPr>
        <w:t>定额未考虑场外运输和场内二次搬运。工程实</w:t>
      </w:r>
      <w:r>
        <w:rPr>
          <w:rFonts w:ascii="宋体" w:hAnsi="宋体" w:eastAsia="宋体" w:cs="宋体"/>
          <w:spacing w:val="9"/>
          <w:sz w:val="20"/>
          <w:szCs w:val="20"/>
        </w:rPr>
        <w:t>际发生时应根据有关规定另行计算。</w:t>
      </w:r>
    </w:p>
    <w:p>
      <w:pPr>
        <w:spacing w:before="156" w:line="369" w:lineRule="auto"/>
        <w:ind w:left="1" w:right="80" w:firstLine="411"/>
        <w:rPr>
          <w:rFonts w:ascii="宋体" w:hAnsi="宋体" w:eastAsia="宋体" w:cs="宋体"/>
          <w:sz w:val="20"/>
          <w:szCs w:val="20"/>
        </w:rPr>
      </w:pPr>
      <w:r>
        <w:rPr>
          <w:rFonts w:ascii="宋体" w:hAnsi="宋体" w:eastAsia="宋体" w:cs="宋体"/>
          <w:spacing w:val="8"/>
          <w:sz w:val="20"/>
          <w:szCs w:val="20"/>
        </w:rPr>
        <w:t>（2）垂直运输：垂直运输基准面为室外地坪。定额垂直运输按照建筑物层数</w:t>
      </w:r>
      <w:r>
        <w:rPr>
          <w:rFonts w:ascii="宋体" w:hAnsi="宋体" w:eastAsia="宋体" w:cs="宋体"/>
          <w:spacing w:val="-37"/>
          <w:sz w:val="20"/>
          <w:szCs w:val="20"/>
        </w:rPr>
        <w:t xml:space="preserve"> </w:t>
      </w:r>
      <w:r>
        <w:rPr>
          <w:rFonts w:ascii="宋体" w:hAnsi="宋体" w:eastAsia="宋体" w:cs="宋体"/>
          <w:spacing w:val="8"/>
          <w:sz w:val="20"/>
          <w:szCs w:val="20"/>
        </w:rPr>
        <w:t>6</w:t>
      </w:r>
      <w:r>
        <w:rPr>
          <w:rFonts w:ascii="宋体" w:hAnsi="宋体" w:eastAsia="宋体" w:cs="宋体"/>
          <w:spacing w:val="-44"/>
          <w:sz w:val="20"/>
          <w:szCs w:val="20"/>
        </w:rPr>
        <w:t xml:space="preserve"> </w:t>
      </w:r>
      <w:r>
        <w:rPr>
          <w:rFonts w:ascii="宋体" w:hAnsi="宋体" w:eastAsia="宋体" w:cs="宋体"/>
          <w:spacing w:val="8"/>
          <w:sz w:val="20"/>
          <w:szCs w:val="20"/>
        </w:rPr>
        <w:t>层以下、建筑高</w:t>
      </w:r>
      <w:r>
        <w:rPr>
          <w:rFonts w:ascii="宋体" w:hAnsi="宋体" w:eastAsia="宋体" w:cs="宋体"/>
          <w:spacing w:val="9"/>
          <w:sz w:val="20"/>
          <w:szCs w:val="20"/>
        </w:rPr>
        <w:t>度</w:t>
      </w:r>
      <w:r>
        <w:rPr>
          <w:rFonts w:ascii="宋体" w:hAnsi="宋体" w:eastAsia="宋体" w:cs="宋体"/>
          <w:spacing w:val="-36"/>
          <w:sz w:val="20"/>
          <w:szCs w:val="20"/>
        </w:rPr>
        <w:t xml:space="preserve"> </w:t>
      </w:r>
      <w:r>
        <w:rPr>
          <w:rFonts w:ascii="宋体" w:hAnsi="宋体" w:eastAsia="宋体" w:cs="宋体"/>
          <w:spacing w:val="9"/>
          <w:sz w:val="20"/>
          <w:szCs w:val="20"/>
        </w:rPr>
        <w:t>20m</w:t>
      </w:r>
      <w:r>
        <w:rPr>
          <w:rFonts w:ascii="宋体" w:hAnsi="宋体" w:eastAsia="宋体" w:cs="宋体"/>
          <w:spacing w:val="-25"/>
          <w:sz w:val="20"/>
          <w:szCs w:val="20"/>
        </w:rPr>
        <w:t xml:space="preserve"> </w:t>
      </w:r>
      <w:r>
        <w:rPr>
          <w:rFonts w:ascii="宋体" w:hAnsi="宋体" w:eastAsia="宋体" w:cs="宋体"/>
          <w:spacing w:val="9"/>
          <w:sz w:val="20"/>
          <w:szCs w:val="20"/>
        </w:rPr>
        <w:t>以下，地下深度</w:t>
      </w:r>
      <w:r>
        <w:rPr>
          <w:rFonts w:ascii="宋体" w:hAnsi="宋体" w:eastAsia="宋体" w:cs="宋体"/>
          <w:spacing w:val="-25"/>
          <w:sz w:val="20"/>
          <w:szCs w:val="20"/>
        </w:rPr>
        <w:t xml:space="preserve"> </w:t>
      </w:r>
      <w:r>
        <w:rPr>
          <w:rFonts w:ascii="宋体" w:hAnsi="宋体" w:eastAsia="宋体" w:cs="宋体"/>
          <w:spacing w:val="9"/>
          <w:sz w:val="20"/>
          <w:szCs w:val="20"/>
        </w:rPr>
        <w:t>10m</w:t>
      </w:r>
      <w:r>
        <w:rPr>
          <w:rFonts w:ascii="宋体" w:hAnsi="宋体" w:eastAsia="宋体" w:cs="宋体"/>
          <w:spacing w:val="-22"/>
          <w:sz w:val="20"/>
          <w:szCs w:val="20"/>
        </w:rPr>
        <w:t xml:space="preserve"> </w:t>
      </w:r>
      <w:r>
        <w:rPr>
          <w:rFonts w:ascii="宋体" w:hAnsi="宋体" w:eastAsia="宋体" w:cs="宋体"/>
          <w:spacing w:val="9"/>
          <w:sz w:val="20"/>
          <w:szCs w:val="20"/>
        </w:rPr>
        <w:t>以内考虑，工程实际超过时，计算建筑超高（深）增加费。</w:t>
      </w:r>
    </w:p>
    <w:p>
      <w:pPr>
        <w:spacing w:before="2" w:line="277" w:lineRule="exact"/>
        <w:ind w:left="423"/>
        <w:rPr>
          <w:rFonts w:ascii="宋体" w:hAnsi="宋体" w:eastAsia="宋体" w:cs="宋体"/>
          <w:sz w:val="20"/>
          <w:szCs w:val="20"/>
        </w:rPr>
      </w:pPr>
      <w:r>
        <w:rPr>
          <w:rFonts w:ascii="宋体" w:hAnsi="宋体" w:eastAsia="宋体" w:cs="宋体"/>
          <w:b/>
          <w:bCs/>
          <w:spacing w:val="5"/>
          <w:position w:val="1"/>
          <w:sz w:val="20"/>
          <w:szCs w:val="20"/>
        </w:rPr>
        <w:t>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关于炉钢架采用柱包筋方式安装时的计价</w:t>
      </w:r>
    </w:p>
    <w:p>
      <w:pPr>
        <w:spacing w:before="121" w:line="369" w:lineRule="auto"/>
        <w:ind w:left="18" w:right="80" w:firstLine="418"/>
        <w:rPr>
          <w:rFonts w:ascii="宋体" w:hAnsi="宋体" w:eastAsia="宋体" w:cs="宋体"/>
          <w:sz w:val="20"/>
          <w:szCs w:val="20"/>
        </w:rPr>
      </w:pPr>
      <w:r>
        <w:rPr>
          <w:rFonts w:ascii="宋体" w:hAnsi="宋体" w:eastAsia="宋体" w:cs="宋体"/>
          <w:spacing w:val="6"/>
          <w:sz w:val="20"/>
          <w:szCs w:val="20"/>
        </w:rPr>
        <w:t>当锅炉钢架采用柱包筋方式安装时，钢架执行相应定额乘以系数，其中人工乘以</w:t>
      </w:r>
      <w:r>
        <w:rPr>
          <w:rFonts w:ascii="宋体" w:hAnsi="宋体" w:eastAsia="宋体" w:cs="宋体"/>
          <w:spacing w:val="36"/>
          <w:sz w:val="20"/>
          <w:szCs w:val="20"/>
        </w:rPr>
        <w:t xml:space="preserve"> </w:t>
      </w:r>
      <w:r>
        <w:rPr>
          <w:rFonts w:ascii="宋体" w:hAnsi="宋体" w:eastAsia="宋体" w:cs="宋体"/>
          <w:spacing w:val="6"/>
          <w:sz w:val="20"/>
          <w:szCs w:val="20"/>
        </w:rPr>
        <w:t>1.1</w:t>
      </w:r>
      <w:r>
        <w:rPr>
          <w:rFonts w:ascii="宋体" w:hAnsi="宋体" w:eastAsia="宋体" w:cs="宋体"/>
          <w:spacing w:val="43"/>
          <w:sz w:val="20"/>
          <w:szCs w:val="20"/>
        </w:rPr>
        <w:t xml:space="preserve"> </w:t>
      </w:r>
      <w:r>
        <w:rPr>
          <w:rFonts w:ascii="宋体" w:hAnsi="宋体" w:eastAsia="宋体" w:cs="宋体"/>
          <w:spacing w:val="6"/>
          <w:sz w:val="20"/>
          <w:szCs w:val="20"/>
        </w:rPr>
        <w:t>，材料乘</w:t>
      </w:r>
      <w:r>
        <w:rPr>
          <w:rFonts w:ascii="宋体" w:hAnsi="宋体" w:eastAsia="宋体" w:cs="宋体"/>
          <w:spacing w:val="-9"/>
          <w:sz w:val="20"/>
          <w:szCs w:val="20"/>
        </w:rPr>
        <w:t>以</w:t>
      </w:r>
      <w:r>
        <w:rPr>
          <w:rFonts w:ascii="宋体" w:hAnsi="宋体" w:eastAsia="宋体" w:cs="宋体"/>
          <w:spacing w:val="30"/>
          <w:sz w:val="20"/>
          <w:szCs w:val="20"/>
        </w:rPr>
        <w:t xml:space="preserve"> </w:t>
      </w:r>
      <w:r>
        <w:rPr>
          <w:rFonts w:ascii="宋体" w:hAnsi="宋体" w:eastAsia="宋体" w:cs="宋体"/>
          <w:spacing w:val="-9"/>
          <w:sz w:val="20"/>
          <w:szCs w:val="20"/>
        </w:rPr>
        <w:t>1.06</w:t>
      </w:r>
      <w:r>
        <w:rPr>
          <w:rFonts w:ascii="宋体" w:hAnsi="宋体" w:eastAsia="宋体" w:cs="宋体"/>
          <w:spacing w:val="41"/>
          <w:sz w:val="20"/>
          <w:szCs w:val="20"/>
        </w:rPr>
        <w:t xml:space="preserve"> </w:t>
      </w:r>
      <w:r>
        <w:rPr>
          <w:rFonts w:ascii="宋体" w:hAnsi="宋体" w:eastAsia="宋体" w:cs="宋体"/>
          <w:spacing w:val="-9"/>
          <w:sz w:val="20"/>
          <w:szCs w:val="20"/>
        </w:rPr>
        <w:t>，机械乘以</w:t>
      </w:r>
      <w:r>
        <w:rPr>
          <w:rFonts w:ascii="宋体" w:hAnsi="宋体" w:eastAsia="宋体" w:cs="宋体"/>
          <w:spacing w:val="29"/>
          <w:sz w:val="20"/>
          <w:szCs w:val="20"/>
        </w:rPr>
        <w:t xml:space="preserve"> </w:t>
      </w:r>
      <w:r>
        <w:rPr>
          <w:rFonts w:ascii="宋体" w:hAnsi="宋体" w:eastAsia="宋体" w:cs="宋体"/>
          <w:spacing w:val="-9"/>
          <w:sz w:val="20"/>
          <w:szCs w:val="20"/>
        </w:rPr>
        <w:t>1.1。</w:t>
      </w:r>
    </w:p>
    <w:p>
      <w:pPr>
        <w:spacing w:before="3" w:line="278" w:lineRule="exact"/>
        <w:ind w:left="421"/>
        <w:rPr>
          <w:rFonts w:ascii="宋体" w:hAnsi="宋体" w:eastAsia="宋体" w:cs="宋体"/>
          <w:sz w:val="20"/>
          <w:szCs w:val="20"/>
        </w:rPr>
      </w:pPr>
      <w:r>
        <w:rPr>
          <w:rFonts w:ascii="宋体" w:hAnsi="宋体" w:eastAsia="宋体" w:cs="宋体"/>
          <w:b/>
          <w:bCs/>
          <w:spacing w:val="4"/>
          <w:position w:val="1"/>
          <w:sz w:val="20"/>
          <w:szCs w:val="20"/>
        </w:rPr>
        <w:t>7.</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关于生物质锅炉的有关规定和说明</w:t>
      </w:r>
    </w:p>
    <w:p>
      <w:pPr>
        <w:spacing w:before="120" w:line="278" w:lineRule="exact"/>
        <w:ind w:left="412"/>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5"/>
          <w:position w:val="1"/>
          <w:sz w:val="20"/>
          <w:szCs w:val="20"/>
        </w:rPr>
        <w:t>1）生物质锅炉汽包安装时，执行相应定额乘以系数 1.18 。</w:t>
      </w:r>
    </w:p>
    <w:p>
      <w:pPr>
        <w:spacing w:before="123" w:line="278" w:lineRule="exact"/>
        <w:ind w:left="412"/>
        <w:rPr>
          <w:rFonts w:ascii="宋体" w:hAnsi="宋体" w:eastAsia="宋体" w:cs="宋体"/>
          <w:sz w:val="20"/>
          <w:szCs w:val="20"/>
        </w:rPr>
      </w:pPr>
      <w:r>
        <w:rPr>
          <w:rFonts w:ascii="宋体" w:hAnsi="宋体" w:eastAsia="宋体" w:cs="宋体"/>
          <w:spacing w:val="7"/>
          <w:position w:val="1"/>
          <w:sz w:val="20"/>
          <w:szCs w:val="20"/>
        </w:rPr>
        <w:t>（2）生物质锅炉水压试验时，执行相应定额乘以系数 1</w:t>
      </w:r>
      <w:r>
        <w:rPr>
          <w:rFonts w:ascii="宋体" w:hAnsi="宋体" w:eastAsia="宋体" w:cs="宋体"/>
          <w:spacing w:val="6"/>
          <w:position w:val="1"/>
          <w:sz w:val="20"/>
          <w:szCs w:val="20"/>
        </w:rPr>
        <w:t>.10。</w:t>
      </w:r>
    </w:p>
    <w:p>
      <w:pPr>
        <w:spacing w:before="123" w:line="278" w:lineRule="exact"/>
        <w:ind w:left="412"/>
        <w:rPr>
          <w:rFonts w:ascii="宋体" w:hAnsi="宋体" w:eastAsia="宋体" w:cs="宋体"/>
          <w:sz w:val="20"/>
          <w:szCs w:val="20"/>
        </w:rPr>
      </w:pPr>
      <w:r>
        <w:rPr>
          <w:rFonts w:ascii="宋体" w:hAnsi="宋体" w:eastAsia="宋体" w:cs="宋体"/>
          <w:spacing w:val="7"/>
          <w:position w:val="1"/>
          <w:sz w:val="20"/>
          <w:szCs w:val="20"/>
        </w:rPr>
        <w:t>（3）生物质锅炉风压试验时，执行相应定额乘以系数 1</w:t>
      </w:r>
      <w:r>
        <w:rPr>
          <w:rFonts w:ascii="宋体" w:hAnsi="宋体" w:eastAsia="宋体" w:cs="宋体"/>
          <w:spacing w:val="6"/>
          <w:position w:val="1"/>
          <w:sz w:val="20"/>
          <w:szCs w:val="20"/>
        </w:rPr>
        <w:t>.05。</w:t>
      </w:r>
    </w:p>
    <w:p>
      <w:pPr>
        <w:spacing w:line="278" w:lineRule="exact"/>
        <w:rPr>
          <w:rFonts w:ascii="宋体" w:hAnsi="宋体" w:eastAsia="宋体" w:cs="宋体"/>
          <w:sz w:val="20"/>
          <w:szCs w:val="20"/>
        </w:rPr>
        <w:sectPr>
          <w:footerReference r:id="rId242" w:type="default"/>
          <w:pgSz w:w="11906" w:h="16839"/>
          <w:pgMar w:top="400" w:right="133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13" w:lineRule="auto"/>
        <w:ind w:right="80" w:firstLine="412"/>
        <w:rPr>
          <w:rFonts w:ascii="宋体" w:hAnsi="宋体" w:eastAsia="宋体" w:cs="宋体"/>
          <w:sz w:val="20"/>
          <w:szCs w:val="20"/>
        </w:rPr>
      </w:pPr>
      <w:r>
        <w:rPr>
          <w:rFonts w:ascii="宋体" w:hAnsi="宋体" w:eastAsia="宋体" w:cs="宋体"/>
          <w:spacing w:val="8"/>
          <w:sz w:val="20"/>
          <w:szCs w:val="20"/>
        </w:rPr>
        <w:t>（4）生物质锅炉烘炉、煮炉时</w:t>
      </w:r>
      <w:r>
        <w:rPr>
          <w:rFonts w:ascii="宋体" w:hAnsi="宋体" w:eastAsia="宋体" w:cs="宋体"/>
          <w:spacing w:val="-60"/>
          <w:sz w:val="20"/>
          <w:szCs w:val="20"/>
        </w:rPr>
        <w:t xml:space="preserve"> </w:t>
      </w:r>
      <w:r>
        <w:rPr>
          <w:rFonts w:ascii="宋体" w:hAnsi="宋体" w:eastAsia="宋体" w:cs="宋体"/>
          <w:spacing w:val="8"/>
          <w:sz w:val="20"/>
          <w:szCs w:val="20"/>
        </w:rPr>
        <w:t>，执行相应定额乘以系数</w:t>
      </w:r>
      <w:r>
        <w:rPr>
          <w:rFonts w:ascii="宋体" w:hAnsi="宋体" w:eastAsia="宋体" w:cs="宋体"/>
          <w:spacing w:val="34"/>
          <w:sz w:val="20"/>
          <w:szCs w:val="20"/>
        </w:rPr>
        <w:t xml:space="preserve"> </w:t>
      </w:r>
      <w:r>
        <w:rPr>
          <w:rFonts w:ascii="宋体" w:hAnsi="宋体" w:eastAsia="宋体" w:cs="宋体"/>
          <w:spacing w:val="8"/>
          <w:sz w:val="20"/>
          <w:szCs w:val="20"/>
        </w:rPr>
        <w:t>1.05。生物质锅炉酸洗时</w:t>
      </w:r>
      <w:r>
        <w:rPr>
          <w:rFonts w:ascii="宋体" w:hAnsi="宋体" w:eastAsia="宋体" w:cs="宋体"/>
          <w:spacing w:val="-60"/>
          <w:sz w:val="20"/>
          <w:szCs w:val="20"/>
        </w:rPr>
        <w:t xml:space="preserve"> </w:t>
      </w:r>
      <w:r>
        <w:rPr>
          <w:rFonts w:ascii="宋体" w:hAnsi="宋体" w:eastAsia="宋体" w:cs="宋体"/>
          <w:spacing w:val="8"/>
          <w:sz w:val="20"/>
          <w:szCs w:val="20"/>
        </w:rPr>
        <w:t>，执</w:t>
      </w:r>
      <w:r>
        <w:rPr>
          <w:rFonts w:ascii="宋体" w:hAnsi="宋体" w:eastAsia="宋体" w:cs="宋体"/>
          <w:spacing w:val="7"/>
          <w:sz w:val="20"/>
          <w:szCs w:val="20"/>
        </w:rPr>
        <w:t>行相应</w:t>
      </w:r>
      <w:r>
        <w:rPr>
          <w:rFonts w:ascii="宋体" w:hAnsi="宋体" w:eastAsia="宋体" w:cs="宋体"/>
          <w:spacing w:val="-1"/>
          <w:sz w:val="20"/>
          <w:szCs w:val="20"/>
        </w:rPr>
        <w:t>定额乘以系数</w:t>
      </w:r>
      <w:r>
        <w:rPr>
          <w:rFonts w:ascii="宋体" w:hAnsi="宋体" w:eastAsia="宋体" w:cs="宋体"/>
          <w:spacing w:val="35"/>
          <w:sz w:val="20"/>
          <w:szCs w:val="20"/>
        </w:rPr>
        <w:t xml:space="preserve"> </w:t>
      </w:r>
      <w:r>
        <w:rPr>
          <w:rFonts w:ascii="宋体" w:hAnsi="宋体" w:eastAsia="宋体" w:cs="宋体"/>
          <w:spacing w:val="-1"/>
          <w:sz w:val="20"/>
          <w:szCs w:val="20"/>
        </w:rPr>
        <w:t>1.05。</w:t>
      </w:r>
    </w:p>
    <w:p>
      <w:pPr>
        <w:spacing w:before="123" w:line="277" w:lineRule="exact"/>
        <w:ind w:left="412"/>
        <w:rPr>
          <w:rFonts w:ascii="宋体" w:hAnsi="宋体" w:eastAsia="宋体" w:cs="宋体"/>
          <w:sz w:val="20"/>
          <w:szCs w:val="20"/>
        </w:rPr>
      </w:pPr>
      <w:r>
        <w:rPr>
          <w:rFonts w:ascii="宋体" w:hAnsi="宋体" w:eastAsia="宋体" w:cs="宋体"/>
          <w:spacing w:val="8"/>
          <w:position w:val="1"/>
          <w:sz w:val="20"/>
          <w:szCs w:val="20"/>
        </w:rPr>
        <w:t>（5）生物质锅炉蒸汽严密性试验及安全门调整时</w:t>
      </w:r>
      <w:r>
        <w:rPr>
          <w:rFonts w:ascii="宋体" w:hAnsi="宋体" w:eastAsia="宋体" w:cs="宋体"/>
          <w:spacing w:val="7"/>
          <w:position w:val="1"/>
          <w:sz w:val="20"/>
          <w:szCs w:val="20"/>
        </w:rPr>
        <w:t>，执行相应定额乘以系数 1.07。</w:t>
      </w:r>
    </w:p>
    <w:p>
      <w:pPr>
        <w:spacing w:before="122" w:line="345" w:lineRule="auto"/>
        <w:ind w:firstLine="412"/>
        <w:rPr>
          <w:rFonts w:ascii="宋体" w:hAnsi="宋体" w:eastAsia="宋体" w:cs="宋体"/>
          <w:sz w:val="20"/>
          <w:szCs w:val="20"/>
        </w:rPr>
      </w:pPr>
      <w:r>
        <w:rPr>
          <w:rFonts w:ascii="宋体" w:hAnsi="宋体" w:eastAsia="宋体" w:cs="宋体"/>
          <w:spacing w:val="10"/>
          <w:sz w:val="20"/>
          <w:szCs w:val="20"/>
        </w:rPr>
        <w:t>（6）生物质锅炉综合破碎机安装定额包括综合破碎机设备本体（底座、刀辊、刀具）、外壳、</w:t>
      </w:r>
      <w:r>
        <w:rPr>
          <w:rFonts w:ascii="宋体" w:hAnsi="宋体" w:eastAsia="宋体" w:cs="宋体"/>
          <w:spacing w:val="11"/>
          <w:sz w:val="20"/>
          <w:szCs w:val="20"/>
        </w:rPr>
        <w:t>电机、附属平台梯子栏杆等的组对安装；生物质锅炉进料系统设备安装定额包</w:t>
      </w:r>
      <w:r>
        <w:rPr>
          <w:rFonts w:ascii="宋体" w:hAnsi="宋体" w:eastAsia="宋体" w:cs="宋体"/>
          <w:spacing w:val="10"/>
          <w:sz w:val="20"/>
          <w:szCs w:val="20"/>
        </w:rPr>
        <w:t>括生物质槽式链板输</w:t>
      </w:r>
      <w:r>
        <w:rPr>
          <w:rFonts w:ascii="宋体" w:hAnsi="宋体" w:eastAsia="宋体" w:cs="宋体"/>
          <w:spacing w:val="9"/>
          <w:sz w:val="20"/>
          <w:szCs w:val="20"/>
        </w:rPr>
        <w:t>送进料设备本体（机头、机尾、机架、漏斗</w:t>
      </w:r>
      <w:r>
        <w:rPr>
          <w:rFonts w:ascii="宋体" w:hAnsi="宋体" w:eastAsia="宋体" w:cs="宋体"/>
          <w:spacing w:val="-23"/>
          <w:sz w:val="20"/>
          <w:szCs w:val="20"/>
        </w:rPr>
        <w:t xml:space="preserve"> </w:t>
      </w:r>
      <w:r>
        <w:rPr>
          <w:rFonts w:ascii="宋体" w:hAnsi="宋体" w:eastAsia="宋体" w:cs="宋体"/>
          <w:spacing w:val="9"/>
          <w:sz w:val="20"/>
          <w:szCs w:val="20"/>
        </w:rPr>
        <w:t>）、转动装置、附属平台梯子栏杆等的组对安装；生物质锅炉出料系统设备安装包括出料胶带机设备本体（机头、机尾、机架、漏斗</w:t>
      </w:r>
      <w:r>
        <w:rPr>
          <w:rFonts w:ascii="宋体" w:hAnsi="宋体" w:eastAsia="宋体" w:cs="宋体"/>
          <w:spacing w:val="-23"/>
          <w:sz w:val="20"/>
          <w:szCs w:val="20"/>
        </w:rPr>
        <w:t xml:space="preserve"> </w:t>
      </w:r>
      <w:r>
        <w:rPr>
          <w:rFonts w:ascii="宋体" w:hAnsi="宋体" w:eastAsia="宋体" w:cs="宋体"/>
          <w:spacing w:val="9"/>
          <w:sz w:val="20"/>
          <w:szCs w:val="20"/>
        </w:rPr>
        <w:t>）、金属构架、拉紧</w:t>
      </w:r>
      <w:r>
        <w:rPr>
          <w:rFonts w:ascii="宋体" w:hAnsi="宋体" w:eastAsia="宋体" w:cs="宋体"/>
          <w:spacing w:val="8"/>
          <w:sz w:val="20"/>
          <w:szCs w:val="20"/>
        </w:rPr>
        <w:t>装置构架、滑槽、滚筒、小车、固定滑轮、重锤、钢丝绳、弹簧、保护栅等安装及皮带敷设</w:t>
      </w:r>
      <w:r>
        <w:rPr>
          <w:rFonts w:ascii="宋体" w:hAnsi="宋体" w:eastAsia="宋体" w:cs="宋体"/>
          <w:spacing w:val="7"/>
          <w:sz w:val="20"/>
          <w:szCs w:val="20"/>
        </w:rPr>
        <w:t>及胶接、导料槽安装。</w:t>
      </w:r>
    </w:p>
    <w:p>
      <w:pPr>
        <w:spacing w:before="155" w:line="297" w:lineRule="auto"/>
        <w:ind w:left="3" w:right="80" w:firstLine="409"/>
        <w:rPr>
          <w:rFonts w:ascii="宋体" w:hAnsi="宋体" w:eastAsia="宋体" w:cs="宋体"/>
          <w:sz w:val="20"/>
          <w:szCs w:val="20"/>
        </w:rPr>
      </w:pPr>
      <w:r>
        <w:rPr>
          <w:rFonts w:ascii="宋体" w:hAnsi="宋体" w:eastAsia="宋体" w:cs="宋体"/>
          <w:spacing w:val="9"/>
          <w:sz w:val="20"/>
          <w:szCs w:val="20"/>
        </w:rPr>
        <w:t>（7）生物质锅炉燃料输送设备安装包括生</w:t>
      </w:r>
      <w:r>
        <w:rPr>
          <w:rFonts w:ascii="宋体" w:hAnsi="宋体" w:eastAsia="宋体" w:cs="宋体"/>
          <w:spacing w:val="8"/>
          <w:sz w:val="20"/>
          <w:szCs w:val="20"/>
        </w:rPr>
        <w:t>物质散装给料机及炉前给料机壳体、螺旋体传动装置</w:t>
      </w:r>
      <w:r>
        <w:rPr>
          <w:rFonts w:ascii="宋体" w:hAnsi="宋体" w:eastAsia="宋体" w:cs="宋体"/>
          <w:spacing w:val="9"/>
          <w:sz w:val="20"/>
          <w:szCs w:val="20"/>
        </w:rPr>
        <w:t>等的安装及设备本体范围内的料斗组合安装。</w:t>
      </w:r>
    </w:p>
    <w:p>
      <w:pPr>
        <w:spacing w:before="158" w:line="278" w:lineRule="exact"/>
        <w:ind w:left="424"/>
        <w:rPr>
          <w:rFonts w:ascii="宋体" w:hAnsi="宋体" w:eastAsia="宋体" w:cs="宋体"/>
          <w:sz w:val="20"/>
          <w:szCs w:val="20"/>
        </w:rPr>
      </w:pPr>
      <w:r>
        <w:rPr>
          <w:rFonts w:ascii="宋体" w:hAnsi="宋体" w:eastAsia="宋体" w:cs="宋体"/>
          <w:b/>
          <w:bCs/>
          <w:spacing w:val="6"/>
          <w:position w:val="1"/>
          <w:sz w:val="20"/>
          <w:szCs w:val="20"/>
        </w:rPr>
        <w:t>8.</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关于塔类设备分段现场高空组对定额子</w:t>
      </w:r>
      <w:r>
        <w:rPr>
          <w:rFonts w:ascii="宋体" w:hAnsi="宋体" w:eastAsia="宋体" w:cs="宋体"/>
          <w:b/>
          <w:bCs/>
          <w:spacing w:val="5"/>
          <w:position w:val="1"/>
          <w:sz w:val="20"/>
          <w:szCs w:val="20"/>
        </w:rPr>
        <w:t>目的适用范围</w:t>
      </w:r>
    </w:p>
    <w:p>
      <w:pPr>
        <w:spacing w:before="121" w:line="363" w:lineRule="auto"/>
        <w:ind w:right="80" w:firstLine="419"/>
        <w:jc w:val="both"/>
        <w:rPr>
          <w:rFonts w:ascii="宋体" w:hAnsi="宋体" w:eastAsia="宋体" w:cs="宋体"/>
          <w:sz w:val="20"/>
          <w:szCs w:val="20"/>
        </w:rPr>
      </w:pPr>
      <w:r>
        <w:rPr>
          <w:rFonts w:ascii="宋体" w:hAnsi="宋体" w:eastAsia="宋体" w:cs="宋体"/>
          <w:spacing w:val="11"/>
          <w:sz w:val="20"/>
          <w:szCs w:val="20"/>
        </w:rPr>
        <w:t>“塔类设备分段现场高空组对”定额子目适用于设备实际分段超过四段（含四段）的</w:t>
      </w:r>
      <w:r>
        <w:rPr>
          <w:rFonts w:ascii="宋体" w:hAnsi="宋体" w:eastAsia="宋体" w:cs="宋体"/>
          <w:spacing w:val="10"/>
          <w:sz w:val="20"/>
          <w:szCs w:val="20"/>
        </w:rPr>
        <w:t>情况。其</w:t>
      </w:r>
      <w:r>
        <w:rPr>
          <w:rFonts w:ascii="宋体" w:hAnsi="宋体" w:eastAsia="宋体" w:cs="宋体"/>
          <w:spacing w:val="11"/>
          <w:sz w:val="20"/>
          <w:szCs w:val="20"/>
        </w:rPr>
        <w:t>中，最底段按照整体塔器安装执行，其余各段依据各段设计壁厚或直径执行塔类设</w:t>
      </w:r>
      <w:r>
        <w:rPr>
          <w:rFonts w:ascii="宋体" w:hAnsi="宋体" w:eastAsia="宋体" w:cs="宋体"/>
          <w:spacing w:val="10"/>
          <w:sz w:val="20"/>
          <w:szCs w:val="20"/>
        </w:rPr>
        <w:t>备分段现场高空</w:t>
      </w:r>
      <w:r>
        <w:rPr>
          <w:rFonts w:ascii="宋体" w:hAnsi="宋体" w:eastAsia="宋体" w:cs="宋体"/>
          <w:spacing w:val="6"/>
          <w:sz w:val="20"/>
          <w:szCs w:val="20"/>
        </w:rPr>
        <w:t>组对子目。</w:t>
      </w:r>
    </w:p>
    <w:p>
      <w:pPr>
        <w:spacing w:before="20" w:line="276" w:lineRule="exact"/>
        <w:ind w:left="422"/>
        <w:rPr>
          <w:rFonts w:ascii="宋体" w:hAnsi="宋体" w:eastAsia="宋体" w:cs="宋体"/>
          <w:sz w:val="20"/>
          <w:szCs w:val="20"/>
        </w:rPr>
      </w:pPr>
      <w:r>
        <w:rPr>
          <w:rFonts w:ascii="宋体" w:hAnsi="宋体" w:eastAsia="宋体" w:cs="宋体"/>
          <w:b/>
          <w:bCs/>
          <w:spacing w:val="3"/>
          <w:position w:val="1"/>
          <w:sz w:val="20"/>
          <w:szCs w:val="20"/>
        </w:rPr>
        <w:t>9.</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关于矩形铝母线安装的计价</w:t>
      </w:r>
    </w:p>
    <w:p>
      <w:pPr>
        <w:spacing w:before="125" w:line="277" w:lineRule="exact"/>
        <w:ind w:left="420"/>
        <w:rPr>
          <w:rFonts w:ascii="宋体" w:hAnsi="宋体" w:eastAsia="宋体" w:cs="宋体"/>
          <w:sz w:val="20"/>
          <w:szCs w:val="20"/>
        </w:rPr>
      </w:pPr>
      <w:r>
        <w:rPr>
          <w:rFonts w:ascii="宋体" w:hAnsi="宋体" w:eastAsia="宋体" w:cs="宋体"/>
          <w:spacing w:val="6"/>
          <w:position w:val="1"/>
          <w:sz w:val="20"/>
          <w:szCs w:val="20"/>
        </w:rPr>
        <w:t>矩形铝母线安装执行铜母线安装定额乘以系数 0.70。</w:t>
      </w:r>
    </w:p>
    <w:p>
      <w:pPr>
        <w:spacing w:before="123" w:line="277" w:lineRule="exact"/>
        <w:ind w:left="439"/>
        <w:rPr>
          <w:rFonts w:ascii="宋体" w:hAnsi="宋体" w:eastAsia="宋体" w:cs="宋体"/>
          <w:sz w:val="20"/>
          <w:szCs w:val="20"/>
        </w:rPr>
      </w:pPr>
      <w:r>
        <w:rPr>
          <w:rFonts w:ascii="宋体" w:hAnsi="宋体" w:eastAsia="宋体" w:cs="宋体"/>
          <w:b/>
          <w:bCs/>
          <w:spacing w:val="6"/>
          <w:position w:val="1"/>
          <w:sz w:val="20"/>
          <w:szCs w:val="20"/>
        </w:rPr>
        <w:t>10.关于执行电机检查接线定额时，现场未对电机成品拆卸检查的情况下的计价</w:t>
      </w:r>
    </w:p>
    <w:p>
      <w:pPr>
        <w:spacing w:before="126" w:line="368" w:lineRule="auto"/>
        <w:ind w:right="80" w:firstLine="440"/>
        <w:jc w:val="both"/>
        <w:rPr>
          <w:rFonts w:ascii="宋体" w:hAnsi="宋体" w:eastAsia="宋体" w:cs="宋体"/>
          <w:sz w:val="20"/>
          <w:szCs w:val="20"/>
        </w:rPr>
      </w:pPr>
      <w:r>
        <w:rPr>
          <w:rFonts w:ascii="宋体" w:hAnsi="宋体" w:eastAsia="宋体" w:cs="宋体"/>
          <w:spacing w:val="10"/>
          <w:sz w:val="20"/>
          <w:szCs w:val="20"/>
        </w:rPr>
        <w:t>电机检查接线定额包括检查定子、转子和轴承、调整和研磨电刷吹扫、测量空气间隙、手动盘</w:t>
      </w:r>
      <w:r>
        <w:rPr>
          <w:rFonts w:ascii="宋体" w:hAnsi="宋体" w:eastAsia="宋体" w:cs="宋体"/>
          <w:spacing w:val="11"/>
          <w:sz w:val="20"/>
          <w:szCs w:val="20"/>
        </w:rPr>
        <w:t>车检查电机转动情况、接地、空载试运转等内容。如现场未对电机成品拆卸检查的，</w:t>
      </w:r>
      <w:r>
        <w:rPr>
          <w:rFonts w:ascii="宋体" w:hAnsi="宋体" w:eastAsia="宋体" w:cs="宋体"/>
          <w:spacing w:val="10"/>
          <w:sz w:val="20"/>
          <w:szCs w:val="20"/>
        </w:rPr>
        <w:t>执行该定额时</w:t>
      </w:r>
      <w:r>
        <w:rPr>
          <w:rFonts w:ascii="宋体" w:hAnsi="宋体" w:eastAsia="宋体" w:cs="宋体"/>
          <w:spacing w:val="1"/>
          <w:sz w:val="20"/>
          <w:szCs w:val="20"/>
        </w:rPr>
        <w:t>应乘以系数 0.2。</w:t>
      </w:r>
    </w:p>
    <w:p>
      <w:pPr>
        <w:spacing w:line="276" w:lineRule="exact"/>
        <w:ind w:left="439"/>
        <w:rPr>
          <w:rFonts w:ascii="宋体" w:hAnsi="宋体" w:eastAsia="宋体" w:cs="宋体"/>
          <w:sz w:val="20"/>
          <w:szCs w:val="20"/>
        </w:rPr>
      </w:pPr>
      <w:r>
        <w:rPr>
          <w:rFonts w:ascii="宋体" w:hAnsi="宋体" w:eastAsia="宋体" w:cs="宋体"/>
          <w:b/>
          <w:bCs/>
          <w:spacing w:val="5"/>
          <w:position w:val="1"/>
          <w:sz w:val="20"/>
          <w:szCs w:val="20"/>
        </w:rPr>
        <w:t>11.</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关于铝合金、铝芯电缆敷设及电缆头制作、安装的计价</w:t>
      </w:r>
    </w:p>
    <w:p>
      <w:pPr>
        <w:spacing w:before="129" w:line="367" w:lineRule="auto"/>
        <w:ind w:right="83" w:firstLine="440"/>
        <w:rPr>
          <w:rFonts w:ascii="宋体" w:hAnsi="宋体" w:eastAsia="宋体" w:cs="宋体"/>
          <w:sz w:val="20"/>
          <w:szCs w:val="20"/>
        </w:rPr>
      </w:pPr>
      <w:r>
        <w:rPr>
          <w:rFonts w:ascii="宋体" w:hAnsi="宋体" w:eastAsia="宋体" w:cs="宋体"/>
          <w:spacing w:val="10"/>
          <w:sz w:val="20"/>
          <w:szCs w:val="20"/>
        </w:rPr>
        <w:t>电气电缆敷设及电缆头制作、安装定额按铜芯编制，铝合金、铝芯电缆敷设及电缆头制作、安</w:t>
      </w:r>
      <w:r>
        <w:rPr>
          <w:rFonts w:ascii="宋体" w:hAnsi="宋体" w:eastAsia="宋体" w:cs="宋体"/>
          <w:spacing w:val="6"/>
          <w:sz w:val="20"/>
          <w:szCs w:val="20"/>
        </w:rPr>
        <w:t>装按铜芯相应规格定额人工、机械乘以系数 0.9。</w:t>
      </w:r>
    </w:p>
    <w:p>
      <w:pPr>
        <w:spacing w:line="276" w:lineRule="exact"/>
        <w:ind w:left="439"/>
        <w:rPr>
          <w:rFonts w:ascii="宋体" w:hAnsi="宋体" w:eastAsia="宋体" w:cs="宋体"/>
          <w:sz w:val="20"/>
          <w:szCs w:val="20"/>
        </w:rPr>
      </w:pPr>
      <w:r>
        <w:rPr>
          <w:rFonts w:ascii="宋体" w:hAnsi="宋体" w:eastAsia="宋体" w:cs="宋体"/>
          <w:b/>
          <w:bCs/>
          <w:spacing w:val="3"/>
          <w:position w:val="1"/>
          <w:sz w:val="20"/>
          <w:szCs w:val="20"/>
        </w:rPr>
        <w:t>12.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关于桥架单独揭或盖桥架盖板的计价</w:t>
      </w:r>
    </w:p>
    <w:p>
      <w:pPr>
        <w:spacing w:before="124" w:line="277" w:lineRule="exact"/>
        <w:ind w:left="421"/>
        <w:rPr>
          <w:rFonts w:ascii="宋体" w:hAnsi="宋体" w:eastAsia="宋体" w:cs="宋体"/>
          <w:sz w:val="20"/>
          <w:szCs w:val="20"/>
        </w:rPr>
      </w:pPr>
      <w:r>
        <w:rPr>
          <w:rFonts w:ascii="宋体" w:hAnsi="宋体" w:eastAsia="宋体" w:cs="宋体"/>
          <w:spacing w:val="9"/>
          <w:position w:val="1"/>
          <w:sz w:val="20"/>
          <w:szCs w:val="20"/>
        </w:rPr>
        <w:t>桥架单独揭或盖桥架盖板，可以参照《山东省房屋修缮工程消耗量定额》执行。</w:t>
      </w:r>
    </w:p>
    <w:p>
      <w:pPr>
        <w:spacing w:before="124" w:line="276" w:lineRule="exact"/>
        <w:ind w:left="439"/>
        <w:rPr>
          <w:rFonts w:ascii="宋体" w:hAnsi="宋体" w:eastAsia="宋体" w:cs="宋体"/>
          <w:sz w:val="20"/>
          <w:szCs w:val="20"/>
        </w:rPr>
      </w:pPr>
      <w:r>
        <w:rPr>
          <w:rFonts w:ascii="宋体" w:hAnsi="宋体" w:eastAsia="宋体" w:cs="宋体"/>
          <w:b/>
          <w:bCs/>
          <w:spacing w:val="1"/>
          <w:position w:val="1"/>
          <w:sz w:val="20"/>
          <w:szCs w:val="20"/>
        </w:rPr>
        <w:t>13.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关于铝芯线穿管的计价</w:t>
      </w:r>
    </w:p>
    <w:p>
      <w:pPr>
        <w:spacing w:before="123" w:line="277" w:lineRule="exact"/>
        <w:ind w:left="423"/>
        <w:rPr>
          <w:rFonts w:ascii="宋体" w:hAnsi="宋体" w:eastAsia="宋体" w:cs="宋体"/>
          <w:sz w:val="20"/>
          <w:szCs w:val="20"/>
        </w:rPr>
      </w:pPr>
      <w:r>
        <w:rPr>
          <w:rFonts w:ascii="宋体" w:hAnsi="宋体" w:eastAsia="宋体" w:cs="宋体"/>
          <w:spacing w:val="6"/>
          <w:position w:val="1"/>
          <w:sz w:val="20"/>
          <w:szCs w:val="20"/>
        </w:rPr>
        <w:t>铝芯线穿管按铜芯线相同截面相应定额人工乘以系数 0.85。</w:t>
      </w:r>
    </w:p>
    <w:p>
      <w:pPr>
        <w:spacing w:before="123" w:line="277" w:lineRule="exact"/>
        <w:ind w:left="439"/>
        <w:rPr>
          <w:rFonts w:ascii="宋体" w:hAnsi="宋体" w:eastAsia="宋体" w:cs="宋体"/>
          <w:sz w:val="20"/>
          <w:szCs w:val="20"/>
        </w:rPr>
      </w:pPr>
      <w:r>
        <w:rPr>
          <w:rFonts w:ascii="宋体" w:hAnsi="宋体" w:eastAsia="宋体" w:cs="宋体"/>
          <w:b/>
          <w:bCs/>
          <w:spacing w:val="3"/>
          <w:position w:val="1"/>
          <w:sz w:val="20"/>
          <w:szCs w:val="20"/>
        </w:rPr>
        <w:t>14.</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关于组合式荧光灯安装的计价</w:t>
      </w:r>
    </w:p>
    <w:p>
      <w:pPr>
        <w:spacing w:before="128" w:line="367" w:lineRule="auto"/>
        <w:ind w:right="124" w:firstLine="418"/>
        <w:rPr>
          <w:rFonts w:ascii="宋体" w:hAnsi="宋体" w:eastAsia="宋体" w:cs="宋体"/>
          <w:sz w:val="20"/>
          <w:szCs w:val="20"/>
        </w:rPr>
      </w:pPr>
      <w:r>
        <w:rPr>
          <w:rFonts w:ascii="宋体" w:hAnsi="宋体" w:eastAsia="宋体" w:cs="宋体"/>
          <w:spacing w:val="10"/>
          <w:sz w:val="20"/>
          <w:szCs w:val="20"/>
        </w:rPr>
        <w:t>荧光灯具安装定额按照成套型荧光灯考虑，采用组合式荧光灯时，执行相应的成套型</w:t>
      </w:r>
      <w:r>
        <w:rPr>
          <w:rFonts w:ascii="宋体" w:hAnsi="宋体" w:eastAsia="宋体" w:cs="宋体"/>
          <w:spacing w:val="9"/>
          <w:sz w:val="20"/>
          <w:szCs w:val="20"/>
        </w:rPr>
        <w:t>荧光灯安</w:t>
      </w:r>
      <w:r>
        <w:rPr>
          <w:rFonts w:ascii="宋体" w:hAnsi="宋体" w:eastAsia="宋体" w:cs="宋体"/>
          <w:sz w:val="20"/>
          <w:szCs w:val="20"/>
        </w:rPr>
        <w:t>装定额乘以系数</w:t>
      </w:r>
      <w:r>
        <w:rPr>
          <w:rFonts w:ascii="宋体" w:hAnsi="宋体" w:eastAsia="宋体" w:cs="宋体"/>
          <w:spacing w:val="30"/>
          <w:sz w:val="20"/>
          <w:szCs w:val="20"/>
        </w:rPr>
        <w:t xml:space="preserve"> </w:t>
      </w:r>
      <w:r>
        <w:rPr>
          <w:rFonts w:ascii="宋体" w:hAnsi="宋体" w:eastAsia="宋体" w:cs="宋体"/>
          <w:sz w:val="20"/>
          <w:szCs w:val="20"/>
        </w:rPr>
        <w:t>1.1。</w:t>
      </w:r>
    </w:p>
    <w:p>
      <w:pPr>
        <w:spacing w:line="276" w:lineRule="exact"/>
        <w:ind w:left="439"/>
        <w:rPr>
          <w:rFonts w:ascii="宋体" w:hAnsi="宋体" w:eastAsia="宋体" w:cs="宋体"/>
          <w:sz w:val="20"/>
          <w:szCs w:val="20"/>
        </w:rPr>
      </w:pPr>
      <w:r>
        <w:rPr>
          <w:rFonts w:ascii="宋体" w:hAnsi="宋体" w:eastAsia="宋体" w:cs="宋体"/>
          <w:b/>
          <w:bCs/>
          <w:spacing w:val="3"/>
          <w:position w:val="1"/>
          <w:sz w:val="20"/>
          <w:szCs w:val="20"/>
        </w:rPr>
        <w:t>15.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关于不锈钢管道、管件的计价</w:t>
      </w:r>
    </w:p>
    <w:p>
      <w:pPr>
        <w:spacing w:before="125" w:line="278" w:lineRule="exact"/>
        <w:ind w:left="412"/>
        <w:rPr>
          <w:rFonts w:ascii="宋体" w:hAnsi="宋体" w:eastAsia="宋体" w:cs="宋体"/>
          <w:sz w:val="20"/>
          <w:szCs w:val="20"/>
        </w:rPr>
      </w:pPr>
      <w:r>
        <w:rPr>
          <w:rFonts w:ascii="宋体" w:hAnsi="宋体" w:eastAsia="宋体" w:cs="宋体"/>
          <w:spacing w:val="5"/>
          <w:position w:val="1"/>
          <w:sz w:val="20"/>
          <w:szCs w:val="20"/>
        </w:rPr>
        <w:t>（</w:t>
      </w:r>
      <w:r>
        <w:rPr>
          <w:rFonts w:ascii="宋体" w:hAnsi="宋体" w:eastAsia="宋体" w:cs="宋体"/>
          <w:spacing w:val="-30"/>
          <w:position w:val="1"/>
          <w:sz w:val="20"/>
          <w:szCs w:val="20"/>
        </w:rPr>
        <w:t xml:space="preserve"> </w:t>
      </w:r>
      <w:r>
        <w:rPr>
          <w:rFonts w:ascii="宋体" w:hAnsi="宋体" w:eastAsia="宋体" w:cs="宋体"/>
          <w:spacing w:val="5"/>
          <w:position w:val="1"/>
          <w:sz w:val="20"/>
          <w:szCs w:val="20"/>
        </w:rPr>
        <w:t>1）不锈钢管道螺纹连接可按碳钢管道螺纹连接相应定额人工乘以系数</w:t>
      </w:r>
      <w:r>
        <w:rPr>
          <w:rFonts w:ascii="宋体" w:hAnsi="宋体" w:eastAsia="宋体" w:cs="宋体"/>
          <w:spacing w:val="31"/>
          <w:position w:val="1"/>
          <w:sz w:val="20"/>
          <w:szCs w:val="20"/>
        </w:rPr>
        <w:t xml:space="preserve"> </w:t>
      </w:r>
      <w:r>
        <w:rPr>
          <w:rFonts w:ascii="宋体" w:hAnsi="宋体" w:eastAsia="宋体" w:cs="宋体"/>
          <w:spacing w:val="5"/>
          <w:position w:val="1"/>
          <w:sz w:val="20"/>
          <w:szCs w:val="20"/>
        </w:rPr>
        <w:t>1.15。</w:t>
      </w:r>
    </w:p>
    <w:p>
      <w:pPr>
        <w:spacing w:before="120" w:line="278" w:lineRule="exact"/>
        <w:ind w:left="412"/>
        <w:rPr>
          <w:rFonts w:ascii="宋体" w:hAnsi="宋体" w:eastAsia="宋体" w:cs="宋体"/>
          <w:sz w:val="20"/>
          <w:szCs w:val="20"/>
        </w:rPr>
      </w:pPr>
      <w:r>
        <w:rPr>
          <w:rFonts w:ascii="宋体" w:hAnsi="宋体" w:eastAsia="宋体" w:cs="宋体"/>
          <w:spacing w:val="7"/>
          <w:position w:val="1"/>
          <w:sz w:val="20"/>
          <w:szCs w:val="20"/>
        </w:rPr>
        <w:t>（2）抛光不锈钢管道安装按相应定额人工乘以</w:t>
      </w:r>
      <w:r>
        <w:rPr>
          <w:rFonts w:ascii="宋体" w:hAnsi="宋体" w:eastAsia="宋体" w:cs="宋体"/>
          <w:spacing w:val="6"/>
          <w:position w:val="1"/>
          <w:sz w:val="20"/>
          <w:szCs w:val="20"/>
        </w:rPr>
        <w:t>系数 1.2。</w:t>
      </w:r>
    </w:p>
    <w:p>
      <w:pPr>
        <w:spacing w:before="123" w:line="278" w:lineRule="exact"/>
        <w:ind w:left="412"/>
        <w:rPr>
          <w:rFonts w:ascii="宋体" w:hAnsi="宋体" w:eastAsia="宋体" w:cs="宋体"/>
          <w:sz w:val="20"/>
          <w:szCs w:val="20"/>
        </w:rPr>
      </w:pPr>
      <w:r>
        <w:rPr>
          <w:rFonts w:ascii="宋体" w:hAnsi="宋体" w:eastAsia="宋体" w:cs="宋体"/>
          <w:spacing w:val="7"/>
          <w:position w:val="1"/>
          <w:sz w:val="20"/>
          <w:szCs w:val="20"/>
        </w:rPr>
        <w:t>（3）不锈钢管件螺纹连接可按碳钢管件螺纹连接相应定额人工乘以系数</w:t>
      </w:r>
      <w:r>
        <w:rPr>
          <w:rFonts w:ascii="宋体" w:hAnsi="宋体" w:eastAsia="宋体" w:cs="宋体"/>
          <w:spacing w:val="31"/>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6"/>
          <w:position w:val="1"/>
          <w:sz w:val="20"/>
          <w:szCs w:val="20"/>
        </w:rPr>
        <w:t>.15。</w:t>
      </w:r>
    </w:p>
    <w:p>
      <w:pPr>
        <w:spacing w:line="278" w:lineRule="exact"/>
        <w:rPr>
          <w:rFonts w:ascii="宋体" w:hAnsi="宋体" w:eastAsia="宋体" w:cs="宋体"/>
          <w:sz w:val="20"/>
          <w:szCs w:val="20"/>
        </w:rPr>
        <w:sectPr>
          <w:footerReference r:id="rId243" w:type="default"/>
          <w:pgSz w:w="11906" w:h="16839"/>
          <w:pgMar w:top="400" w:right="1337" w:bottom="1212" w:left="1419"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12"/>
        <w:rPr>
          <w:rFonts w:ascii="宋体" w:hAnsi="宋体" w:eastAsia="宋体" w:cs="宋体"/>
          <w:sz w:val="20"/>
          <w:szCs w:val="20"/>
        </w:rPr>
      </w:pPr>
      <w:r>
        <w:rPr>
          <w:rFonts w:ascii="宋体" w:hAnsi="宋体" w:eastAsia="宋体" w:cs="宋体"/>
          <w:spacing w:val="7"/>
          <w:position w:val="1"/>
          <w:sz w:val="20"/>
          <w:szCs w:val="20"/>
        </w:rPr>
        <w:t>（4）抛光不锈钢管件安装按相应定额人工乘以</w:t>
      </w:r>
      <w:r>
        <w:rPr>
          <w:rFonts w:ascii="宋体" w:hAnsi="宋体" w:eastAsia="宋体" w:cs="宋体"/>
          <w:spacing w:val="6"/>
          <w:position w:val="1"/>
          <w:sz w:val="20"/>
          <w:szCs w:val="20"/>
        </w:rPr>
        <w:t>系数 1.2。</w:t>
      </w:r>
    </w:p>
    <w:p>
      <w:pPr>
        <w:spacing w:before="123" w:line="276" w:lineRule="exact"/>
        <w:ind w:left="439"/>
        <w:rPr>
          <w:rFonts w:ascii="宋体" w:hAnsi="宋体" w:eastAsia="宋体" w:cs="宋体"/>
          <w:sz w:val="20"/>
          <w:szCs w:val="20"/>
        </w:rPr>
      </w:pPr>
      <w:r>
        <w:rPr>
          <w:rFonts w:ascii="宋体" w:hAnsi="宋体" w:eastAsia="宋体" w:cs="宋体"/>
          <w:b/>
          <w:bCs/>
          <w:spacing w:val="3"/>
          <w:position w:val="1"/>
          <w:sz w:val="20"/>
          <w:szCs w:val="20"/>
        </w:rPr>
        <w:t>16.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关于消防水炮系统管道的计价</w:t>
      </w:r>
    </w:p>
    <w:p>
      <w:pPr>
        <w:spacing w:before="129" w:line="220" w:lineRule="auto"/>
        <w:ind w:left="427"/>
        <w:rPr>
          <w:rFonts w:ascii="宋体" w:hAnsi="宋体" w:eastAsia="宋体" w:cs="宋体"/>
          <w:sz w:val="20"/>
          <w:szCs w:val="20"/>
        </w:rPr>
      </w:pPr>
      <w:r>
        <w:rPr>
          <w:rFonts w:ascii="宋体" w:hAnsi="宋体" w:eastAsia="宋体" w:cs="宋体"/>
          <w:spacing w:val="8"/>
          <w:sz w:val="20"/>
          <w:szCs w:val="20"/>
        </w:rPr>
        <w:t>消防水炮系统管道按水喷淋管道相关子目执行。</w:t>
      </w:r>
    </w:p>
    <w:p>
      <w:pPr>
        <w:spacing w:before="155" w:line="277" w:lineRule="exact"/>
        <w:ind w:left="439"/>
        <w:rPr>
          <w:rFonts w:ascii="宋体" w:hAnsi="宋体" w:eastAsia="宋体" w:cs="宋体"/>
          <w:sz w:val="20"/>
          <w:szCs w:val="20"/>
        </w:rPr>
      </w:pPr>
      <w:r>
        <w:rPr>
          <w:rFonts w:ascii="宋体" w:hAnsi="宋体" w:eastAsia="宋体" w:cs="宋体"/>
          <w:b/>
          <w:bCs/>
          <w:spacing w:val="3"/>
          <w:position w:val="1"/>
          <w:sz w:val="20"/>
          <w:szCs w:val="20"/>
        </w:rPr>
        <w:t>17.</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关于消防自动报警系统“点数”</w:t>
      </w:r>
      <w:r>
        <w:rPr>
          <w:rFonts w:ascii="宋体" w:hAnsi="宋体" w:eastAsia="宋体" w:cs="宋体"/>
          <w:spacing w:val="-77"/>
          <w:position w:val="1"/>
          <w:sz w:val="20"/>
          <w:szCs w:val="20"/>
        </w:rPr>
        <w:t xml:space="preserve"> </w:t>
      </w:r>
      <w:r>
        <w:rPr>
          <w:rFonts w:ascii="宋体" w:hAnsi="宋体" w:eastAsia="宋体" w:cs="宋体"/>
          <w:b/>
          <w:bCs/>
          <w:spacing w:val="3"/>
          <w:position w:val="1"/>
          <w:sz w:val="20"/>
          <w:szCs w:val="20"/>
        </w:rPr>
        <w:t>的</w:t>
      </w:r>
      <w:r>
        <w:rPr>
          <w:rFonts w:ascii="宋体" w:hAnsi="宋体" w:eastAsia="宋体" w:cs="宋体"/>
          <w:b/>
          <w:bCs/>
          <w:spacing w:val="2"/>
          <w:position w:val="1"/>
          <w:sz w:val="20"/>
          <w:szCs w:val="20"/>
        </w:rPr>
        <w:t>定义</w:t>
      </w:r>
    </w:p>
    <w:p>
      <w:pPr>
        <w:spacing w:before="123" w:line="278" w:lineRule="exact"/>
        <w:jc w:val="right"/>
        <w:rPr>
          <w:rFonts w:ascii="宋体" w:hAnsi="宋体" w:eastAsia="宋体" w:cs="宋体"/>
          <w:sz w:val="20"/>
          <w:szCs w:val="20"/>
        </w:rPr>
      </w:pPr>
      <w:r>
        <w:rPr>
          <w:rFonts w:ascii="宋体" w:hAnsi="宋体" w:eastAsia="宋体" w:cs="宋体"/>
          <w:spacing w:val="8"/>
          <w:position w:val="1"/>
          <w:sz w:val="20"/>
          <w:szCs w:val="20"/>
        </w:rPr>
        <w:t>消防自动报警系统的“点数”，通常指的是需要地址</w:t>
      </w:r>
      <w:r>
        <w:rPr>
          <w:rFonts w:ascii="宋体" w:hAnsi="宋体" w:eastAsia="宋体" w:cs="宋体"/>
          <w:spacing w:val="7"/>
          <w:position w:val="1"/>
          <w:sz w:val="20"/>
          <w:szCs w:val="20"/>
        </w:rPr>
        <w:t>编码、占用控制器一个地址号的设备总数。</w:t>
      </w:r>
    </w:p>
    <w:p>
      <w:pPr>
        <w:spacing w:before="123" w:line="278" w:lineRule="exact"/>
        <w:ind w:left="439"/>
        <w:rPr>
          <w:rFonts w:ascii="宋体" w:hAnsi="宋体" w:eastAsia="宋体" w:cs="宋体"/>
          <w:sz w:val="20"/>
          <w:szCs w:val="20"/>
        </w:rPr>
      </w:pPr>
      <w:r>
        <w:rPr>
          <w:rFonts w:ascii="宋体" w:hAnsi="宋体" w:eastAsia="宋体" w:cs="宋体"/>
          <w:b/>
          <w:bCs/>
          <w:spacing w:val="5"/>
          <w:position w:val="1"/>
          <w:sz w:val="20"/>
          <w:szCs w:val="20"/>
        </w:rPr>
        <w:t>18.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关于第十三册支架制作安装相关定额子目的适用范围</w:t>
      </w:r>
    </w:p>
    <w:p>
      <w:pPr>
        <w:spacing w:before="111" w:line="372" w:lineRule="auto"/>
        <w:ind w:left="1" w:right="79" w:firstLine="421"/>
        <w:jc w:val="both"/>
        <w:rPr>
          <w:rFonts w:ascii="宋体" w:hAnsi="宋体" w:eastAsia="宋体" w:cs="宋体"/>
          <w:sz w:val="20"/>
          <w:szCs w:val="20"/>
        </w:rPr>
      </w:pPr>
      <w:r>
        <w:rPr>
          <w:rFonts w:ascii="宋体" w:hAnsi="宋体" w:eastAsia="宋体" w:cs="宋体"/>
          <w:spacing w:val="11"/>
          <w:sz w:val="20"/>
          <w:szCs w:val="20"/>
        </w:rPr>
        <w:t>支架制作、安装项目，适用于室内外给排水、暖通等管道、设备支吊架，</w:t>
      </w:r>
      <w:r>
        <w:rPr>
          <w:rFonts w:ascii="宋体" w:hAnsi="宋体" w:eastAsia="宋体" w:cs="宋体"/>
          <w:spacing w:val="10"/>
          <w:sz w:val="20"/>
          <w:szCs w:val="20"/>
        </w:rPr>
        <w:t>电气、仪表管线、桥</w:t>
      </w:r>
      <w:r>
        <w:rPr>
          <w:rFonts w:ascii="宋体" w:hAnsi="宋体" w:eastAsia="宋体" w:cs="宋体"/>
          <w:spacing w:val="11"/>
          <w:sz w:val="20"/>
          <w:szCs w:val="20"/>
        </w:rPr>
        <w:t>架、设备支吊架，民用泵房、机房内管道、设备支吊架等。工业管道支架执行</w:t>
      </w:r>
      <w:r>
        <w:rPr>
          <w:rFonts w:ascii="宋体" w:hAnsi="宋体" w:eastAsia="宋体" w:cs="宋体"/>
          <w:spacing w:val="10"/>
          <w:sz w:val="20"/>
          <w:szCs w:val="20"/>
        </w:rPr>
        <w:t>第八册《工业管道工程》相关项目。工业设备支架执行第三册《静置设备与工</w:t>
      </w:r>
      <w:r>
        <w:rPr>
          <w:rFonts w:ascii="宋体" w:hAnsi="宋体" w:eastAsia="宋体" w:cs="宋体"/>
          <w:spacing w:val="9"/>
          <w:sz w:val="20"/>
          <w:szCs w:val="20"/>
        </w:rPr>
        <w:t>艺金属结构制作安装工程》相关项目。</w:t>
      </w:r>
    </w:p>
    <w:p>
      <w:pPr>
        <w:spacing w:line="276" w:lineRule="exact"/>
        <w:ind w:left="439"/>
        <w:rPr>
          <w:rFonts w:ascii="宋体" w:hAnsi="宋体" w:eastAsia="宋体" w:cs="宋体"/>
          <w:sz w:val="20"/>
          <w:szCs w:val="20"/>
        </w:rPr>
      </w:pPr>
      <w:r>
        <w:rPr>
          <w:rFonts w:ascii="宋体" w:hAnsi="宋体" w:eastAsia="宋体" w:cs="宋体"/>
          <w:b/>
          <w:bCs/>
          <w:spacing w:val="5"/>
          <w:position w:val="1"/>
          <w:sz w:val="20"/>
          <w:szCs w:val="20"/>
        </w:rPr>
        <w:t>19.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关于砖墙及砌体墙钻孔、墙体保温层上钻孔</w:t>
      </w:r>
      <w:r>
        <w:rPr>
          <w:rFonts w:ascii="宋体" w:hAnsi="宋体" w:eastAsia="宋体" w:cs="宋体"/>
          <w:b/>
          <w:bCs/>
          <w:spacing w:val="4"/>
          <w:position w:val="1"/>
          <w:sz w:val="20"/>
          <w:szCs w:val="20"/>
        </w:rPr>
        <w:t>的计价</w:t>
      </w:r>
    </w:p>
    <w:p>
      <w:pPr>
        <w:spacing w:before="125" w:line="378" w:lineRule="auto"/>
        <w:ind w:left="1" w:right="76" w:firstLine="417"/>
        <w:rPr>
          <w:rFonts w:ascii="宋体" w:hAnsi="宋体" w:eastAsia="宋体" w:cs="宋体"/>
          <w:sz w:val="20"/>
          <w:szCs w:val="20"/>
        </w:rPr>
      </w:pPr>
      <w:r>
        <w:rPr>
          <w:rFonts w:ascii="宋体" w:hAnsi="宋体" w:eastAsia="宋体" w:cs="宋体"/>
          <w:spacing w:val="7"/>
          <w:sz w:val="20"/>
          <w:szCs w:val="20"/>
        </w:rPr>
        <w:t>砖墙及砌体墙钻孔按机械钻孔项目乘以系数 0.6</w:t>
      </w:r>
      <w:r>
        <w:rPr>
          <w:rFonts w:ascii="宋体" w:hAnsi="宋体" w:eastAsia="宋体" w:cs="宋体"/>
          <w:spacing w:val="47"/>
          <w:sz w:val="20"/>
          <w:szCs w:val="20"/>
        </w:rPr>
        <w:t xml:space="preserve"> </w:t>
      </w:r>
      <w:r>
        <w:rPr>
          <w:rFonts w:ascii="宋体" w:hAnsi="宋体" w:eastAsia="宋体" w:cs="宋体"/>
          <w:spacing w:val="7"/>
          <w:sz w:val="20"/>
          <w:szCs w:val="20"/>
        </w:rPr>
        <w:t>。墙体保温层上钻孔按机械钻孔项目乘以系数</w:t>
      </w:r>
      <w:r>
        <w:rPr>
          <w:rFonts w:ascii="宋体" w:hAnsi="宋体" w:eastAsia="宋体" w:cs="宋体"/>
          <w:spacing w:val="-12"/>
          <w:sz w:val="20"/>
          <w:szCs w:val="20"/>
        </w:rPr>
        <w:t>0.3。</w:t>
      </w:r>
    </w:p>
    <w:p>
      <w:pPr>
        <w:spacing w:line="378" w:lineRule="auto"/>
        <w:rPr>
          <w:rFonts w:ascii="宋体" w:hAnsi="宋体" w:eastAsia="宋体" w:cs="宋体"/>
          <w:sz w:val="20"/>
          <w:szCs w:val="20"/>
        </w:rPr>
        <w:sectPr>
          <w:footerReference r:id="rId244" w:type="default"/>
          <w:pgSz w:w="11906" w:h="16839"/>
          <w:pgMar w:top="400" w:right="1341" w:bottom="1212" w:left="1418" w:header="0" w:footer="897" w:gutter="0"/>
        </w:sect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98" w:line="212" w:lineRule="auto"/>
        <w:ind w:left="1827"/>
        <w:outlineLvl w:val="1"/>
        <w:rPr>
          <w:rFonts w:ascii="宋体" w:hAnsi="宋体" w:eastAsia="宋体" w:cs="宋体"/>
          <w:sz w:val="30"/>
          <w:szCs w:val="30"/>
        </w:rPr>
      </w:pPr>
      <w:bookmarkStart w:id="128" w:name="bookmark78"/>
      <w:bookmarkEnd w:id="128"/>
      <w:bookmarkStart w:id="129" w:name="bookmark79"/>
      <w:bookmarkEnd w:id="129"/>
      <w:r>
        <w:rPr>
          <w:rFonts w:ascii="宋体" w:hAnsi="宋体" w:eastAsia="宋体" w:cs="宋体"/>
          <w:b/>
          <w:bCs/>
          <w:spacing w:val="-3"/>
          <w:sz w:val="30"/>
          <w:szCs w:val="30"/>
        </w:rPr>
        <w:t>第七节</w:t>
      </w:r>
      <w:r>
        <w:rPr>
          <w:rFonts w:ascii="宋体" w:hAnsi="宋体" w:eastAsia="宋体" w:cs="宋体"/>
          <w:spacing w:val="-3"/>
          <w:sz w:val="30"/>
          <w:szCs w:val="30"/>
        </w:rPr>
        <w:t xml:space="preserve">  </w:t>
      </w:r>
      <w:r>
        <w:rPr>
          <w:rFonts w:ascii="宋体" w:hAnsi="宋体" w:eastAsia="宋体" w:cs="宋体"/>
          <w:b/>
          <w:bCs/>
          <w:spacing w:val="-3"/>
          <w:sz w:val="30"/>
          <w:szCs w:val="30"/>
        </w:rPr>
        <w:t>市政工程定额计价有关问题说明</w:t>
      </w:r>
    </w:p>
    <w:p>
      <w:pPr>
        <w:spacing w:line="254" w:lineRule="auto"/>
        <w:rPr>
          <w:rFonts w:ascii="Arial"/>
          <w:sz w:val="21"/>
        </w:rPr>
      </w:pPr>
    </w:p>
    <w:p>
      <w:pPr>
        <w:spacing w:before="65" w:line="369" w:lineRule="auto"/>
        <w:ind w:right="118" w:firstLine="422"/>
        <w:jc w:val="both"/>
        <w:rPr>
          <w:rFonts w:ascii="宋体" w:hAnsi="宋体" w:eastAsia="宋体" w:cs="宋体"/>
          <w:sz w:val="20"/>
          <w:szCs w:val="20"/>
        </w:rPr>
      </w:pPr>
      <w:r>
        <w:rPr>
          <w:rFonts w:ascii="宋体" w:hAnsi="宋体" w:eastAsia="宋体" w:cs="宋体"/>
          <w:spacing w:val="9"/>
          <w:sz w:val="20"/>
          <w:szCs w:val="20"/>
        </w:rPr>
        <w:t>一、2025</w:t>
      </w:r>
      <w:r>
        <w:rPr>
          <w:rFonts w:ascii="宋体" w:hAnsi="宋体" w:eastAsia="宋体" w:cs="宋体"/>
          <w:spacing w:val="-21"/>
          <w:sz w:val="20"/>
          <w:szCs w:val="20"/>
        </w:rPr>
        <w:t xml:space="preserve"> </w:t>
      </w:r>
      <w:r>
        <w:rPr>
          <w:rFonts w:ascii="宋体" w:hAnsi="宋体" w:eastAsia="宋体" w:cs="宋体"/>
          <w:spacing w:val="9"/>
          <w:sz w:val="20"/>
          <w:szCs w:val="20"/>
        </w:rPr>
        <w:t>年</w:t>
      </w:r>
      <w:r>
        <w:rPr>
          <w:rFonts w:ascii="宋体" w:hAnsi="宋体" w:eastAsia="宋体" w:cs="宋体"/>
          <w:spacing w:val="-34"/>
          <w:sz w:val="20"/>
          <w:szCs w:val="20"/>
        </w:rPr>
        <w:t xml:space="preserve"> </w:t>
      </w:r>
      <w:r>
        <w:rPr>
          <w:rFonts w:ascii="宋体" w:hAnsi="宋体" w:eastAsia="宋体" w:cs="宋体"/>
          <w:spacing w:val="9"/>
          <w:sz w:val="20"/>
          <w:szCs w:val="20"/>
        </w:rPr>
        <w:t>8</w:t>
      </w:r>
      <w:r>
        <w:rPr>
          <w:rFonts w:ascii="宋体" w:hAnsi="宋体" w:eastAsia="宋体" w:cs="宋体"/>
          <w:spacing w:val="-38"/>
          <w:sz w:val="20"/>
          <w:szCs w:val="20"/>
        </w:rPr>
        <w:t xml:space="preserve"> </w:t>
      </w:r>
      <w:r>
        <w:rPr>
          <w:rFonts w:ascii="宋体" w:hAnsi="宋体" w:eastAsia="宋体" w:cs="宋体"/>
          <w:spacing w:val="9"/>
          <w:sz w:val="20"/>
          <w:szCs w:val="20"/>
        </w:rPr>
        <w:t>月29 日</w:t>
      </w:r>
      <w:r>
        <w:rPr>
          <w:rFonts w:ascii="宋体" w:hAnsi="宋体" w:eastAsia="宋体" w:cs="宋体"/>
          <w:spacing w:val="-60"/>
          <w:sz w:val="20"/>
          <w:szCs w:val="20"/>
        </w:rPr>
        <w:t xml:space="preserve"> </w:t>
      </w:r>
      <w:r>
        <w:rPr>
          <w:rFonts w:ascii="宋体" w:hAnsi="宋体" w:eastAsia="宋体" w:cs="宋体"/>
          <w:spacing w:val="9"/>
          <w:sz w:val="20"/>
          <w:szCs w:val="20"/>
        </w:rPr>
        <w:t>，山东省住房和城乡建设厅发布了《关于发布建设工程造价计价依据的</w:t>
      </w:r>
      <w:r>
        <w:rPr>
          <w:rFonts w:ascii="宋体" w:hAnsi="宋体" w:eastAsia="宋体" w:cs="宋体"/>
          <w:spacing w:val="11"/>
          <w:sz w:val="20"/>
          <w:szCs w:val="20"/>
        </w:rPr>
        <w:t>通知》（鲁建标字〔2025〕7</w:t>
      </w:r>
      <w:r>
        <w:rPr>
          <w:rFonts w:ascii="宋体" w:hAnsi="宋体" w:eastAsia="宋体" w:cs="宋体"/>
          <w:spacing w:val="-39"/>
          <w:sz w:val="20"/>
          <w:szCs w:val="20"/>
        </w:rPr>
        <w:t xml:space="preserve"> </w:t>
      </w:r>
      <w:r>
        <w:rPr>
          <w:rFonts w:ascii="宋体" w:hAnsi="宋体" w:eastAsia="宋体" w:cs="宋体"/>
          <w:spacing w:val="11"/>
          <w:sz w:val="20"/>
          <w:szCs w:val="20"/>
        </w:rPr>
        <w:t>号</w:t>
      </w:r>
      <w:r>
        <w:rPr>
          <w:rFonts w:ascii="宋体" w:hAnsi="宋体" w:eastAsia="宋体" w:cs="宋体"/>
          <w:spacing w:val="-9"/>
          <w:sz w:val="20"/>
          <w:szCs w:val="20"/>
        </w:rPr>
        <w:t>）</w:t>
      </w:r>
      <w:r>
        <w:rPr>
          <w:rFonts w:ascii="宋体" w:hAnsi="宋体" w:eastAsia="宋体" w:cs="宋体"/>
          <w:spacing w:val="-48"/>
          <w:sz w:val="20"/>
          <w:szCs w:val="20"/>
        </w:rPr>
        <w:t xml:space="preserve"> </w:t>
      </w:r>
      <w:r>
        <w:rPr>
          <w:rFonts w:ascii="宋体" w:hAnsi="宋体" w:eastAsia="宋体" w:cs="宋体"/>
          <w:spacing w:val="-9"/>
          <w:sz w:val="20"/>
          <w:szCs w:val="20"/>
        </w:rPr>
        <w:t>，</w:t>
      </w:r>
      <w:r>
        <w:rPr>
          <w:rFonts w:ascii="宋体" w:hAnsi="宋体" w:eastAsia="宋体" w:cs="宋体"/>
          <w:spacing w:val="11"/>
          <w:sz w:val="20"/>
          <w:szCs w:val="20"/>
        </w:rPr>
        <w:t>对《山东省建设工程费用项目组成及计算规则》《山东省市政</w:t>
      </w:r>
      <w:r>
        <w:rPr>
          <w:rFonts w:ascii="宋体" w:hAnsi="宋体" w:eastAsia="宋体" w:cs="宋体"/>
          <w:spacing w:val="10"/>
          <w:sz w:val="20"/>
          <w:szCs w:val="20"/>
        </w:rPr>
        <w:t>工程消耗量定额》等系列建设工程造价计价依据（</w:t>
      </w:r>
      <w:r>
        <w:rPr>
          <w:rFonts w:ascii="宋体" w:hAnsi="宋体" w:eastAsia="宋体" w:cs="宋体"/>
          <w:spacing w:val="-49"/>
          <w:sz w:val="20"/>
          <w:szCs w:val="20"/>
        </w:rPr>
        <w:t xml:space="preserve"> </w:t>
      </w:r>
      <w:r>
        <w:rPr>
          <w:rFonts w:ascii="宋体" w:hAnsi="宋体" w:eastAsia="宋体" w:cs="宋体"/>
          <w:spacing w:val="10"/>
          <w:sz w:val="20"/>
          <w:szCs w:val="20"/>
        </w:rPr>
        <w:t>以下简称本</w:t>
      </w:r>
      <w:r>
        <w:rPr>
          <w:rFonts w:ascii="宋体" w:hAnsi="宋体" w:eastAsia="宋体" w:cs="宋体"/>
          <w:spacing w:val="9"/>
          <w:sz w:val="20"/>
          <w:szCs w:val="20"/>
        </w:rPr>
        <w:t>计价依据）进行了修编调整，执行日</w:t>
      </w:r>
      <w:r>
        <w:rPr>
          <w:rFonts w:ascii="宋体" w:hAnsi="宋体" w:eastAsia="宋体" w:cs="宋体"/>
          <w:spacing w:val="-4"/>
          <w:sz w:val="20"/>
          <w:szCs w:val="20"/>
        </w:rPr>
        <w:t>期为</w:t>
      </w:r>
      <w:r>
        <w:rPr>
          <w:rFonts w:ascii="宋体" w:hAnsi="宋体" w:eastAsia="宋体" w:cs="宋体"/>
          <w:spacing w:val="-29"/>
          <w:sz w:val="20"/>
          <w:szCs w:val="20"/>
        </w:rPr>
        <w:t xml:space="preserve"> </w:t>
      </w:r>
      <w:r>
        <w:rPr>
          <w:rFonts w:ascii="宋体" w:hAnsi="宋体" w:eastAsia="宋体" w:cs="宋体"/>
          <w:spacing w:val="-4"/>
          <w:sz w:val="20"/>
          <w:szCs w:val="20"/>
        </w:rPr>
        <w:t>2025</w:t>
      </w:r>
      <w:r>
        <w:rPr>
          <w:rFonts w:ascii="宋体" w:hAnsi="宋体" w:eastAsia="宋体" w:cs="宋体"/>
          <w:spacing w:val="-41"/>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5"/>
          <w:sz w:val="20"/>
          <w:szCs w:val="20"/>
        </w:rPr>
        <w:t xml:space="preserve"> </w:t>
      </w:r>
      <w:r>
        <w:rPr>
          <w:rFonts w:ascii="宋体" w:hAnsi="宋体" w:eastAsia="宋体" w:cs="宋体"/>
          <w:spacing w:val="-4"/>
          <w:sz w:val="20"/>
          <w:szCs w:val="20"/>
        </w:rPr>
        <w:t>1 日。</w:t>
      </w:r>
    </w:p>
    <w:p>
      <w:pPr>
        <w:spacing w:before="4" w:line="331" w:lineRule="auto"/>
        <w:ind w:left="1" w:firstLine="420"/>
        <w:rPr>
          <w:rFonts w:ascii="宋体" w:hAnsi="宋体" w:eastAsia="宋体" w:cs="宋体"/>
          <w:sz w:val="20"/>
          <w:szCs w:val="20"/>
        </w:rPr>
      </w:pPr>
      <w:r>
        <w:rPr>
          <w:rFonts w:ascii="宋体" w:hAnsi="宋体" w:eastAsia="宋体" w:cs="宋体"/>
          <w:spacing w:val="9"/>
          <w:sz w:val="20"/>
          <w:szCs w:val="20"/>
        </w:rPr>
        <w:t>二、修编调整后的《山东省建设工程费用项目组成及计算规则》</w:t>
      </w:r>
      <w:r>
        <w:rPr>
          <w:rFonts w:ascii="宋体" w:hAnsi="宋体" w:eastAsia="宋体" w:cs="宋体"/>
          <w:spacing w:val="8"/>
          <w:sz w:val="20"/>
          <w:szCs w:val="20"/>
        </w:rPr>
        <w:t>《山东省市政工程消耗量定额》</w:t>
      </w:r>
      <w:r>
        <w:rPr>
          <w:rFonts w:ascii="宋体" w:hAnsi="宋体" w:eastAsia="宋体" w:cs="宋体"/>
          <w:spacing w:val="11"/>
          <w:sz w:val="20"/>
          <w:szCs w:val="20"/>
        </w:rPr>
        <w:t>是建设工程开展发包与承包计价活动的参考。在使用本计价依据时，应在原有</w:t>
      </w:r>
      <w:r>
        <w:rPr>
          <w:rFonts w:ascii="宋体" w:hAnsi="宋体" w:eastAsia="宋体" w:cs="宋体"/>
          <w:spacing w:val="10"/>
          <w:sz w:val="20"/>
          <w:szCs w:val="20"/>
        </w:rPr>
        <w:t>人工单价水平基础上进行适当调增。参考调增比例：市政、市政养护维修工程</w:t>
      </w:r>
      <w:r>
        <w:rPr>
          <w:rFonts w:ascii="宋体" w:hAnsi="宋体" w:eastAsia="宋体" w:cs="宋体"/>
          <w:spacing w:val="-11"/>
          <w:sz w:val="20"/>
          <w:szCs w:val="20"/>
        </w:rPr>
        <w:t xml:space="preserve"> </w:t>
      </w:r>
      <w:r>
        <w:rPr>
          <w:rFonts w:ascii="宋体" w:hAnsi="宋体" w:eastAsia="宋体" w:cs="宋体"/>
          <w:spacing w:val="10"/>
          <w:sz w:val="20"/>
          <w:szCs w:val="20"/>
        </w:rPr>
        <w:t>11%。</w:t>
      </w:r>
    </w:p>
    <w:p>
      <w:pPr>
        <w:spacing w:before="123" w:line="296" w:lineRule="auto"/>
        <w:ind w:left="1" w:right="121" w:firstLine="423"/>
        <w:rPr>
          <w:rFonts w:ascii="宋体" w:hAnsi="宋体" w:eastAsia="宋体" w:cs="宋体"/>
          <w:sz w:val="20"/>
          <w:szCs w:val="20"/>
        </w:rPr>
      </w:pPr>
      <w:r>
        <w:rPr>
          <w:rFonts w:ascii="宋体" w:hAnsi="宋体" w:eastAsia="宋体" w:cs="宋体"/>
          <w:spacing w:val="11"/>
          <w:sz w:val="20"/>
          <w:szCs w:val="20"/>
        </w:rPr>
        <w:t>三、修编调整后的《山东省市政工程消耗量定额》适用于我省城镇管</w:t>
      </w:r>
      <w:r>
        <w:rPr>
          <w:rFonts w:ascii="宋体" w:hAnsi="宋体" w:eastAsia="宋体" w:cs="宋体"/>
          <w:spacing w:val="10"/>
          <w:sz w:val="20"/>
          <w:szCs w:val="20"/>
        </w:rPr>
        <w:t>辖范围内新建、扩建和改</w:t>
      </w:r>
      <w:r>
        <w:rPr>
          <w:rFonts w:ascii="宋体" w:hAnsi="宋体" w:eastAsia="宋体" w:cs="宋体"/>
          <w:spacing w:val="9"/>
          <w:sz w:val="20"/>
          <w:szCs w:val="20"/>
        </w:rPr>
        <w:t>建的市政工程，是开展工程实施阶段计价活动、编制各类造价文件的参考。</w:t>
      </w:r>
    </w:p>
    <w:p>
      <w:pPr>
        <w:spacing w:before="163" w:line="220" w:lineRule="auto"/>
        <w:ind w:left="443"/>
        <w:rPr>
          <w:rFonts w:ascii="宋体" w:hAnsi="宋体" w:eastAsia="宋体" w:cs="宋体"/>
          <w:sz w:val="20"/>
          <w:szCs w:val="20"/>
        </w:rPr>
      </w:pPr>
      <w:r>
        <w:rPr>
          <w:rFonts w:ascii="宋体" w:hAnsi="宋体" w:eastAsia="宋体" w:cs="宋体"/>
          <w:spacing w:val="6"/>
          <w:sz w:val="20"/>
          <w:szCs w:val="20"/>
        </w:rPr>
        <w:t>四、关于检验试验费</w:t>
      </w:r>
    </w:p>
    <w:p>
      <w:pPr>
        <w:spacing w:before="157" w:line="369" w:lineRule="auto"/>
        <w:ind w:left="1" w:right="121" w:firstLine="419"/>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不再单独计算。暂列金额中的其他检验试验费是指除企业管理费中包含的检验</w:t>
      </w:r>
      <w:r>
        <w:rPr>
          <w:rFonts w:ascii="宋体" w:hAnsi="宋体" w:eastAsia="宋体" w:cs="宋体"/>
          <w:spacing w:val="10"/>
          <w:sz w:val="20"/>
          <w:szCs w:val="20"/>
        </w:rPr>
        <w:t>试验费之外，开展特</w:t>
      </w:r>
      <w:r>
        <w:rPr>
          <w:rFonts w:ascii="宋体" w:hAnsi="宋体" w:eastAsia="宋体" w:cs="宋体"/>
          <w:spacing w:val="9"/>
          <w:sz w:val="20"/>
          <w:szCs w:val="20"/>
        </w:rPr>
        <w:t>殊性鉴定，检查等所发生的费用，其他检验试验费包括：</w:t>
      </w:r>
    </w:p>
    <w:p>
      <w:pPr>
        <w:spacing w:line="277" w:lineRule="exact"/>
        <w:ind w:left="413"/>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1" w:line="277" w:lineRule="exact"/>
        <w:ind w:left="413"/>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3" w:line="278" w:lineRule="exact"/>
        <w:ind w:left="413"/>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3" w:line="277" w:lineRule="exact"/>
        <w:ind w:left="413"/>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w:t>
      </w:r>
      <w:r>
        <w:rPr>
          <w:rFonts w:ascii="宋体" w:hAnsi="宋体" w:eastAsia="宋体" w:cs="宋体"/>
          <w:spacing w:val="9"/>
          <w:position w:val="1"/>
          <w:sz w:val="20"/>
          <w:szCs w:val="20"/>
        </w:rPr>
        <w:t>，由承包人支付的检验试验费用；</w:t>
      </w:r>
    </w:p>
    <w:p>
      <w:pPr>
        <w:spacing w:before="122" w:line="277" w:lineRule="exact"/>
        <w:ind w:left="413"/>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3" w:line="352" w:lineRule="auto"/>
        <w:ind w:left="2" w:right="121" w:firstLine="418"/>
        <w:rPr>
          <w:rFonts w:ascii="宋体" w:hAnsi="宋体" w:eastAsia="宋体" w:cs="宋体"/>
          <w:sz w:val="20"/>
          <w:szCs w:val="20"/>
        </w:rPr>
      </w:pPr>
      <w:r>
        <w:rPr>
          <w:rFonts w:ascii="宋体" w:hAnsi="宋体" w:eastAsia="宋体" w:cs="宋体"/>
          <w:spacing w:val="11"/>
          <w:sz w:val="20"/>
          <w:szCs w:val="20"/>
        </w:rPr>
        <w:t>对承包人提供的、具有检验合格证明的材料，发包人要求再次检验且经检测不合</w:t>
      </w:r>
      <w:r>
        <w:rPr>
          <w:rFonts w:ascii="宋体" w:hAnsi="宋体" w:eastAsia="宋体" w:cs="宋体"/>
          <w:spacing w:val="10"/>
          <w:sz w:val="20"/>
          <w:szCs w:val="20"/>
        </w:rPr>
        <w:t>格的，检测费</w:t>
      </w:r>
      <w:r>
        <w:rPr>
          <w:rFonts w:ascii="宋体" w:hAnsi="宋体" w:eastAsia="宋体" w:cs="宋体"/>
          <w:spacing w:val="9"/>
          <w:sz w:val="20"/>
          <w:szCs w:val="20"/>
        </w:rPr>
        <w:t>用由承包人承担，不计入工程造价。</w:t>
      </w:r>
    </w:p>
    <w:p>
      <w:pPr>
        <w:spacing w:before="37" w:line="278" w:lineRule="exact"/>
        <w:ind w:left="426"/>
        <w:rPr>
          <w:rFonts w:ascii="宋体" w:hAnsi="宋体" w:eastAsia="宋体" w:cs="宋体"/>
          <w:sz w:val="20"/>
          <w:szCs w:val="20"/>
        </w:rPr>
      </w:pPr>
      <w:r>
        <w:rPr>
          <w:rFonts w:ascii="宋体" w:hAnsi="宋体" w:eastAsia="宋体" w:cs="宋体"/>
          <w:b/>
          <w:bCs/>
          <w:spacing w:val="8"/>
          <w:position w:val="1"/>
          <w:sz w:val="20"/>
          <w:szCs w:val="20"/>
        </w:rPr>
        <w:t>五、关于《山东省市政工程消耗量定额》与《山东省安装工程定额》的使用界线划分</w:t>
      </w:r>
    </w:p>
    <w:p>
      <w:pPr>
        <w:spacing w:before="123" w:line="365" w:lineRule="auto"/>
        <w:ind w:left="4" w:right="121" w:firstLine="423"/>
        <w:rPr>
          <w:rFonts w:ascii="宋体" w:hAnsi="宋体" w:eastAsia="宋体" w:cs="宋体"/>
          <w:sz w:val="20"/>
          <w:szCs w:val="20"/>
        </w:rPr>
      </w:pPr>
      <w:r>
        <w:rPr>
          <w:rFonts w:ascii="宋体" w:hAnsi="宋体" w:eastAsia="宋体" w:cs="宋体"/>
          <w:spacing w:val="11"/>
          <w:sz w:val="20"/>
          <w:szCs w:val="20"/>
        </w:rPr>
        <w:t>给水工程：市政给水管道与厂、区室外给水管道以水表井为界</w:t>
      </w:r>
      <w:r>
        <w:rPr>
          <w:rFonts w:ascii="宋体" w:hAnsi="宋体" w:eastAsia="宋体" w:cs="宋体"/>
          <w:spacing w:val="10"/>
          <w:sz w:val="20"/>
          <w:szCs w:val="20"/>
        </w:rPr>
        <w:t>，无水表井者，以与专业管道碰</w:t>
      </w:r>
      <w:r>
        <w:rPr>
          <w:rFonts w:ascii="宋体" w:hAnsi="宋体" w:eastAsia="宋体" w:cs="宋体"/>
          <w:spacing w:val="6"/>
          <w:sz w:val="20"/>
          <w:szCs w:val="20"/>
        </w:rPr>
        <w:t>头点为界。</w:t>
      </w:r>
    </w:p>
    <w:p>
      <w:pPr>
        <w:spacing w:line="286" w:lineRule="exact"/>
        <w:ind w:left="421"/>
        <w:rPr>
          <w:rFonts w:ascii="宋体" w:hAnsi="宋体" w:eastAsia="宋体" w:cs="宋体"/>
          <w:sz w:val="20"/>
          <w:szCs w:val="20"/>
        </w:rPr>
      </w:pPr>
      <w:r>
        <w:rPr>
          <w:rFonts w:ascii="宋体" w:hAnsi="宋体" w:eastAsia="宋体" w:cs="宋体"/>
          <w:spacing w:val="9"/>
          <w:position w:val="1"/>
          <w:sz w:val="20"/>
          <w:szCs w:val="20"/>
        </w:rPr>
        <w:t>排水工程：以接入市政管道的检查井、接户井为界。</w:t>
      </w:r>
    </w:p>
    <w:p>
      <w:pPr>
        <w:spacing w:before="123" w:line="277" w:lineRule="exact"/>
        <w:ind w:left="419"/>
        <w:rPr>
          <w:rFonts w:ascii="宋体" w:hAnsi="宋体" w:eastAsia="宋体" w:cs="宋体"/>
          <w:sz w:val="20"/>
          <w:szCs w:val="20"/>
        </w:rPr>
      </w:pPr>
      <w:r>
        <w:rPr>
          <w:rFonts w:ascii="宋体" w:hAnsi="宋体" w:eastAsia="宋体" w:cs="宋体"/>
          <w:spacing w:val="8"/>
          <w:position w:val="1"/>
          <w:sz w:val="20"/>
          <w:szCs w:val="20"/>
        </w:rPr>
        <w:t>燃气与供热工程：</w:t>
      </w:r>
    </w:p>
    <w:p>
      <w:pPr>
        <w:spacing w:before="124" w:line="277" w:lineRule="exact"/>
        <w:ind w:left="427"/>
        <w:rPr>
          <w:rFonts w:ascii="宋体" w:hAnsi="宋体" w:eastAsia="宋体" w:cs="宋体"/>
          <w:sz w:val="20"/>
          <w:szCs w:val="20"/>
        </w:rPr>
      </w:pPr>
      <w:r>
        <w:rPr>
          <w:rFonts w:ascii="宋体" w:hAnsi="宋体" w:eastAsia="宋体" w:cs="宋体"/>
          <w:spacing w:val="8"/>
          <w:position w:val="1"/>
          <w:sz w:val="20"/>
          <w:szCs w:val="20"/>
        </w:rPr>
        <w:t>与安装工程中工业管道界线：以厂区入口第一个计量表（</w:t>
      </w:r>
      <w:r>
        <w:rPr>
          <w:rFonts w:ascii="宋体" w:hAnsi="宋体" w:eastAsia="宋体" w:cs="宋体"/>
          <w:spacing w:val="-50"/>
          <w:position w:val="1"/>
          <w:sz w:val="20"/>
          <w:szCs w:val="20"/>
        </w:rPr>
        <w:t xml:space="preserve"> </w:t>
      </w:r>
      <w:r>
        <w:rPr>
          <w:rFonts w:ascii="宋体" w:hAnsi="宋体" w:eastAsia="宋体" w:cs="宋体"/>
          <w:spacing w:val="8"/>
          <w:position w:val="1"/>
          <w:sz w:val="20"/>
          <w:szCs w:val="20"/>
        </w:rPr>
        <w:t>阀门、碰头点</w:t>
      </w:r>
      <w:r>
        <w:rPr>
          <w:rFonts w:ascii="宋体" w:hAnsi="宋体" w:eastAsia="宋体" w:cs="宋体"/>
          <w:spacing w:val="7"/>
          <w:position w:val="1"/>
          <w:sz w:val="20"/>
          <w:szCs w:val="20"/>
        </w:rPr>
        <w:t>）为界；</w:t>
      </w:r>
    </w:p>
    <w:p>
      <w:pPr>
        <w:spacing w:before="121" w:line="277" w:lineRule="exact"/>
        <w:ind w:left="427"/>
        <w:rPr>
          <w:rFonts w:ascii="宋体" w:hAnsi="宋体" w:eastAsia="宋体" w:cs="宋体"/>
          <w:sz w:val="20"/>
          <w:szCs w:val="20"/>
        </w:rPr>
      </w:pPr>
      <w:r>
        <w:rPr>
          <w:rFonts w:ascii="宋体" w:hAnsi="宋体" w:eastAsia="宋体" w:cs="宋体"/>
          <w:spacing w:val="9"/>
          <w:position w:val="1"/>
          <w:sz w:val="20"/>
          <w:szCs w:val="20"/>
        </w:rPr>
        <w:t>与安装工程室外燃气、采暖管道界线：以与市政燃气、热力管道碰头井（点）为界。</w:t>
      </w:r>
    </w:p>
    <w:p>
      <w:pPr>
        <w:spacing w:before="127" w:line="222" w:lineRule="auto"/>
        <w:ind w:left="421"/>
        <w:rPr>
          <w:rFonts w:ascii="宋体" w:hAnsi="宋体" w:eastAsia="宋体" w:cs="宋体"/>
          <w:sz w:val="20"/>
          <w:szCs w:val="20"/>
        </w:rPr>
      </w:pPr>
      <w:r>
        <w:rPr>
          <w:rFonts w:ascii="宋体" w:hAnsi="宋体" w:eastAsia="宋体" w:cs="宋体"/>
          <w:b/>
          <w:bCs/>
          <w:spacing w:val="8"/>
          <w:sz w:val="20"/>
          <w:szCs w:val="20"/>
        </w:rPr>
        <w:t>六、关于水平运输和垂直运输的说明</w:t>
      </w:r>
    </w:p>
    <w:p>
      <w:pPr>
        <w:spacing w:before="158" w:line="366" w:lineRule="auto"/>
        <w:ind w:left="22" w:right="120" w:firstLine="382"/>
        <w:rPr>
          <w:rFonts w:ascii="宋体" w:hAnsi="宋体" w:eastAsia="宋体" w:cs="宋体"/>
          <w:sz w:val="20"/>
          <w:szCs w:val="20"/>
        </w:rPr>
      </w:pPr>
      <w:r>
        <w:rPr>
          <w:rFonts w:ascii="宋体" w:hAnsi="宋体" w:eastAsia="宋体" w:cs="宋体"/>
          <w:spacing w:val="11"/>
          <w:sz w:val="20"/>
          <w:szCs w:val="20"/>
        </w:rPr>
        <w:t>《山东省市政工程消耗量定额》除各册另有说明外，材料、成品、半成品从工地仓库、现场集</w:t>
      </w:r>
      <w:r>
        <w:rPr>
          <w:rFonts w:ascii="宋体" w:hAnsi="宋体" w:eastAsia="宋体" w:cs="宋体"/>
          <w:spacing w:val="9"/>
          <w:sz w:val="20"/>
          <w:szCs w:val="20"/>
        </w:rPr>
        <w:t>中堆放地点或现场加工地点至操作安装地点的水平和垂直运输已综合考虑在定额内，不另行计算。</w:t>
      </w:r>
    </w:p>
    <w:p>
      <w:pPr>
        <w:spacing w:before="21" w:line="387" w:lineRule="auto"/>
        <w:ind w:left="2" w:right="118" w:firstLine="420"/>
        <w:rPr>
          <w:rFonts w:ascii="宋体" w:hAnsi="宋体" w:eastAsia="宋体" w:cs="宋体"/>
          <w:sz w:val="20"/>
          <w:szCs w:val="20"/>
        </w:rPr>
      </w:pPr>
      <w:r>
        <w:rPr>
          <w:rFonts w:ascii="宋体" w:hAnsi="宋体" w:eastAsia="宋体" w:cs="宋体"/>
          <w:spacing w:val="11"/>
          <w:sz w:val="20"/>
          <w:szCs w:val="20"/>
        </w:rPr>
        <w:t>材料、成品、半成品的场内运输距离（除特殊说明外）定额</w:t>
      </w:r>
      <w:r>
        <w:rPr>
          <w:rFonts w:ascii="宋体" w:hAnsi="宋体" w:eastAsia="宋体" w:cs="宋体"/>
          <w:spacing w:val="10"/>
          <w:sz w:val="20"/>
          <w:szCs w:val="20"/>
        </w:rPr>
        <w:t>按</w:t>
      </w:r>
      <w:r>
        <w:rPr>
          <w:rFonts w:ascii="宋体" w:hAnsi="宋体" w:eastAsia="宋体" w:cs="宋体"/>
          <w:spacing w:val="-22"/>
          <w:sz w:val="20"/>
          <w:szCs w:val="20"/>
        </w:rPr>
        <w:t xml:space="preserve"> </w:t>
      </w:r>
      <w:r>
        <w:rPr>
          <w:rFonts w:ascii="宋体" w:hAnsi="宋体" w:eastAsia="宋体" w:cs="宋体"/>
          <w:spacing w:val="10"/>
          <w:sz w:val="20"/>
          <w:szCs w:val="20"/>
        </w:rPr>
        <w:t>150m</w:t>
      </w:r>
      <w:r>
        <w:rPr>
          <w:rFonts w:ascii="宋体" w:hAnsi="宋体" w:eastAsia="宋体" w:cs="宋体"/>
          <w:spacing w:val="-20"/>
          <w:sz w:val="20"/>
          <w:szCs w:val="20"/>
        </w:rPr>
        <w:t xml:space="preserve"> </w:t>
      </w:r>
      <w:r>
        <w:rPr>
          <w:rFonts w:ascii="宋体" w:hAnsi="宋体" w:eastAsia="宋体" w:cs="宋体"/>
          <w:spacing w:val="10"/>
          <w:sz w:val="20"/>
          <w:szCs w:val="20"/>
        </w:rPr>
        <w:t>以内综合考虑</w:t>
      </w:r>
      <w:r>
        <w:rPr>
          <w:rFonts w:ascii="宋体" w:hAnsi="宋体" w:eastAsia="宋体" w:cs="宋体"/>
          <w:spacing w:val="-59"/>
          <w:sz w:val="20"/>
          <w:szCs w:val="20"/>
        </w:rPr>
        <w:t xml:space="preserve"> </w:t>
      </w:r>
      <w:r>
        <w:rPr>
          <w:rFonts w:ascii="宋体" w:hAnsi="宋体" w:eastAsia="宋体" w:cs="宋体"/>
          <w:spacing w:val="10"/>
          <w:sz w:val="20"/>
          <w:szCs w:val="20"/>
        </w:rPr>
        <w:t>，除特殊情况外，不再单独计算场内运输费用。注意与“二次搬运费”</w:t>
      </w:r>
      <w:r>
        <w:rPr>
          <w:rFonts w:ascii="宋体" w:hAnsi="宋体" w:eastAsia="宋体" w:cs="宋体"/>
          <w:spacing w:val="-64"/>
          <w:sz w:val="20"/>
          <w:szCs w:val="20"/>
        </w:rPr>
        <w:t xml:space="preserve"> </w:t>
      </w:r>
      <w:r>
        <w:rPr>
          <w:rFonts w:ascii="宋体" w:hAnsi="宋体" w:eastAsia="宋体" w:cs="宋体"/>
          <w:spacing w:val="10"/>
          <w:sz w:val="20"/>
          <w:szCs w:val="20"/>
        </w:rPr>
        <w:t>的区别：二次搬运费是指因施工场地条</w:t>
      </w:r>
      <w:r>
        <w:rPr>
          <w:rFonts w:ascii="宋体" w:hAnsi="宋体" w:eastAsia="宋体" w:cs="宋体"/>
          <w:spacing w:val="11"/>
          <w:sz w:val="20"/>
          <w:szCs w:val="20"/>
        </w:rPr>
        <w:t>件及施工程序限制而发生的材料、构配件、半成品等一次运输不能到达堆放</w:t>
      </w:r>
      <w:r>
        <w:rPr>
          <w:rFonts w:ascii="宋体" w:hAnsi="宋体" w:eastAsia="宋体" w:cs="宋体"/>
          <w:spacing w:val="10"/>
          <w:sz w:val="20"/>
          <w:szCs w:val="20"/>
        </w:rPr>
        <w:t>地点，必须进行二次或</w:t>
      </w:r>
    </w:p>
    <w:p>
      <w:pPr>
        <w:spacing w:line="387" w:lineRule="auto"/>
        <w:rPr>
          <w:rFonts w:ascii="宋体" w:hAnsi="宋体" w:eastAsia="宋体" w:cs="宋体"/>
          <w:sz w:val="20"/>
          <w:szCs w:val="20"/>
        </w:rPr>
        <w:sectPr>
          <w:footerReference r:id="rId245" w:type="default"/>
          <w:pgSz w:w="11906" w:h="16839"/>
          <w:pgMar w:top="400" w:right="1299" w:bottom="1212" w:left="1418" w:header="0" w:footer="897" w:gutter="0"/>
        </w:sectPr>
      </w:pP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before="65" w:line="219" w:lineRule="auto"/>
        <w:ind w:left="7"/>
        <w:rPr>
          <w:rFonts w:ascii="宋体" w:hAnsi="宋体" w:eastAsia="宋体" w:cs="宋体"/>
          <w:sz w:val="20"/>
          <w:szCs w:val="20"/>
        </w:rPr>
      </w:pPr>
      <w:r>
        <w:rPr>
          <w:rFonts w:ascii="宋体" w:hAnsi="宋体" w:eastAsia="宋体" w:cs="宋体"/>
          <w:spacing w:val="7"/>
          <w:sz w:val="20"/>
          <w:szCs w:val="20"/>
        </w:rPr>
        <w:t>多次搬运所发生的费用。</w:t>
      </w:r>
    </w:p>
    <w:p>
      <w:pPr>
        <w:spacing w:before="175" w:line="368" w:lineRule="auto"/>
        <w:ind w:right="66" w:firstLine="423"/>
        <w:rPr>
          <w:rFonts w:ascii="宋体" w:hAnsi="宋体" w:eastAsia="宋体" w:cs="宋体"/>
          <w:sz w:val="20"/>
          <w:szCs w:val="20"/>
        </w:rPr>
      </w:pPr>
      <w:r>
        <w:rPr>
          <w:rFonts w:ascii="宋体" w:hAnsi="宋体" w:eastAsia="宋体" w:cs="宋体"/>
          <w:spacing w:val="8"/>
          <w:sz w:val="20"/>
          <w:szCs w:val="20"/>
        </w:rPr>
        <w:t>钢筋定额已包含</w:t>
      </w:r>
      <w:r>
        <w:rPr>
          <w:rFonts w:ascii="宋体" w:hAnsi="宋体" w:eastAsia="宋体" w:cs="宋体"/>
          <w:spacing w:val="-22"/>
          <w:sz w:val="20"/>
          <w:szCs w:val="20"/>
        </w:rPr>
        <w:t xml:space="preserve"> </w:t>
      </w:r>
      <w:r>
        <w:rPr>
          <w:rFonts w:ascii="宋体" w:hAnsi="宋体" w:eastAsia="宋体" w:cs="宋体"/>
          <w:spacing w:val="8"/>
          <w:sz w:val="20"/>
          <w:szCs w:val="20"/>
        </w:rPr>
        <w:t>150m</w:t>
      </w:r>
      <w:r>
        <w:rPr>
          <w:rFonts w:ascii="宋体" w:hAnsi="宋体" w:eastAsia="宋体" w:cs="宋体"/>
          <w:spacing w:val="-22"/>
          <w:sz w:val="20"/>
          <w:szCs w:val="20"/>
        </w:rPr>
        <w:t xml:space="preserve"> </w:t>
      </w:r>
      <w:r>
        <w:rPr>
          <w:rFonts w:ascii="宋体" w:hAnsi="宋体" w:eastAsia="宋体" w:cs="宋体"/>
          <w:spacing w:val="8"/>
          <w:sz w:val="20"/>
          <w:szCs w:val="20"/>
        </w:rPr>
        <w:t>的钢筋水平运输距离，若现场钢筋水平运</w:t>
      </w:r>
      <w:r>
        <w:rPr>
          <w:rFonts w:ascii="宋体" w:hAnsi="宋体" w:eastAsia="宋体" w:cs="宋体"/>
          <w:spacing w:val="7"/>
          <w:sz w:val="20"/>
          <w:szCs w:val="20"/>
        </w:rPr>
        <w:t>距超过</w:t>
      </w:r>
      <w:r>
        <w:rPr>
          <w:rFonts w:ascii="宋体" w:hAnsi="宋体" w:eastAsia="宋体" w:cs="宋体"/>
          <w:spacing w:val="-22"/>
          <w:sz w:val="20"/>
          <w:szCs w:val="20"/>
        </w:rPr>
        <w:t xml:space="preserve"> </w:t>
      </w:r>
      <w:r>
        <w:rPr>
          <w:rFonts w:ascii="宋体" w:hAnsi="宋体" w:eastAsia="宋体" w:cs="宋体"/>
          <w:spacing w:val="7"/>
          <w:sz w:val="20"/>
          <w:szCs w:val="20"/>
        </w:rPr>
        <w:t>150m</w:t>
      </w:r>
      <w:r>
        <w:rPr>
          <w:rFonts w:ascii="宋体" w:hAnsi="宋体" w:eastAsia="宋体" w:cs="宋体"/>
          <w:spacing w:val="-29"/>
          <w:sz w:val="20"/>
          <w:szCs w:val="20"/>
        </w:rPr>
        <w:t xml:space="preserve"> </w:t>
      </w:r>
      <w:r>
        <w:rPr>
          <w:rFonts w:ascii="宋体" w:hAnsi="宋体" w:eastAsia="宋体" w:cs="宋体"/>
          <w:spacing w:val="7"/>
          <w:sz w:val="20"/>
          <w:szCs w:val="20"/>
        </w:rPr>
        <w:t>时，超运距应另行</w:t>
      </w:r>
      <w:r>
        <w:rPr>
          <w:rFonts w:ascii="宋体" w:hAnsi="宋体" w:eastAsia="宋体" w:cs="宋体"/>
          <w:spacing w:val="8"/>
          <w:sz w:val="20"/>
          <w:szCs w:val="20"/>
        </w:rPr>
        <w:t>套用钢筋水平运输定额。</w:t>
      </w:r>
    </w:p>
    <w:p>
      <w:pPr>
        <w:spacing w:before="46" w:line="221" w:lineRule="auto"/>
        <w:ind w:left="420"/>
        <w:rPr>
          <w:rFonts w:ascii="宋体" w:hAnsi="宋体" w:eastAsia="宋体" w:cs="宋体"/>
          <w:sz w:val="20"/>
          <w:szCs w:val="20"/>
        </w:rPr>
      </w:pPr>
      <w:r>
        <w:rPr>
          <w:rFonts w:ascii="宋体" w:hAnsi="宋体" w:eastAsia="宋体" w:cs="宋体"/>
          <w:b/>
          <w:bCs/>
          <w:spacing w:val="8"/>
          <w:sz w:val="20"/>
          <w:szCs w:val="20"/>
        </w:rPr>
        <w:t>七、关于第一册</w:t>
      </w:r>
      <w:r>
        <w:rPr>
          <w:rFonts w:ascii="宋体" w:hAnsi="宋体" w:eastAsia="宋体" w:cs="宋体"/>
          <w:spacing w:val="8"/>
          <w:sz w:val="20"/>
          <w:szCs w:val="20"/>
        </w:rPr>
        <w:t xml:space="preserve"> </w:t>
      </w:r>
      <w:r>
        <w:rPr>
          <w:rFonts w:ascii="宋体" w:hAnsi="宋体" w:eastAsia="宋体" w:cs="宋体"/>
          <w:b/>
          <w:bCs/>
          <w:spacing w:val="8"/>
          <w:sz w:val="20"/>
          <w:szCs w:val="20"/>
        </w:rPr>
        <w:t>通用工程</w:t>
      </w:r>
    </w:p>
    <w:p>
      <w:pPr>
        <w:spacing w:before="176" w:line="276" w:lineRule="exact"/>
        <w:ind w:left="440"/>
        <w:rPr>
          <w:rFonts w:ascii="宋体" w:hAnsi="宋体" w:eastAsia="宋体" w:cs="宋体"/>
          <w:sz w:val="20"/>
          <w:szCs w:val="20"/>
        </w:rPr>
      </w:pPr>
      <w:r>
        <w:rPr>
          <w:rFonts w:ascii="宋体" w:hAnsi="宋体" w:eastAsia="宋体" w:cs="宋体"/>
          <w:b/>
          <w:bCs/>
          <w:spacing w:val="1"/>
          <w:position w:val="1"/>
          <w:sz w:val="20"/>
          <w:szCs w:val="20"/>
        </w:rPr>
        <w:t>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关于人工挖土的计价</w:t>
      </w:r>
    </w:p>
    <w:p>
      <w:pPr>
        <w:spacing w:before="147" w:line="387" w:lineRule="auto"/>
        <w:ind w:left="18" w:right="67" w:firstLine="413"/>
        <w:jc w:val="both"/>
        <w:rPr>
          <w:rFonts w:ascii="宋体" w:hAnsi="宋体" w:eastAsia="宋体" w:cs="宋体"/>
          <w:sz w:val="20"/>
          <w:szCs w:val="20"/>
        </w:rPr>
      </w:pPr>
      <w:r>
        <w:rPr>
          <w:rFonts w:ascii="宋体" w:hAnsi="宋体" w:eastAsia="宋体" w:cs="宋体"/>
          <w:spacing w:val="11"/>
          <w:sz w:val="20"/>
          <w:szCs w:val="20"/>
        </w:rPr>
        <w:t>除大型支撑基坑土方开挖定额子目外，机械挖土时人</w:t>
      </w:r>
      <w:r>
        <w:rPr>
          <w:rFonts w:ascii="宋体" w:hAnsi="宋体" w:eastAsia="宋体" w:cs="宋体"/>
          <w:spacing w:val="10"/>
          <w:sz w:val="20"/>
          <w:szCs w:val="20"/>
        </w:rPr>
        <w:t>工辅助切边、整修边坡和清理机下余土，已包含在定额内。设计要求进行的人工开挖底层土，按设计要求计算。设计仅要求基底人工开挖未</w:t>
      </w:r>
      <w:r>
        <w:rPr>
          <w:rFonts w:ascii="宋体" w:hAnsi="宋体" w:eastAsia="宋体" w:cs="宋体"/>
          <w:spacing w:val="9"/>
          <w:sz w:val="20"/>
          <w:szCs w:val="20"/>
        </w:rPr>
        <w:t>明确开挖深度的，可按基底标高以上</w:t>
      </w:r>
      <w:r>
        <w:rPr>
          <w:rFonts w:ascii="宋体" w:hAnsi="宋体" w:eastAsia="宋体" w:cs="宋体"/>
          <w:spacing w:val="-30"/>
          <w:sz w:val="20"/>
          <w:szCs w:val="20"/>
        </w:rPr>
        <w:t xml:space="preserve"> </w:t>
      </w:r>
      <w:r>
        <w:rPr>
          <w:rFonts w:ascii="宋体" w:hAnsi="宋体" w:eastAsia="宋体" w:cs="宋体"/>
          <w:spacing w:val="9"/>
          <w:sz w:val="20"/>
          <w:szCs w:val="20"/>
        </w:rPr>
        <w:t>20</w:t>
      </w:r>
      <w:r>
        <w:rPr>
          <w:rFonts w:ascii="宋体" w:hAnsi="宋体" w:eastAsia="宋体" w:cs="宋体"/>
          <w:sz w:val="20"/>
          <w:szCs w:val="20"/>
        </w:rPr>
        <w:t>cm</w:t>
      </w:r>
      <w:r>
        <w:rPr>
          <w:rFonts w:ascii="宋体" w:hAnsi="宋体" w:eastAsia="宋体" w:cs="宋体"/>
          <w:spacing w:val="-43"/>
          <w:sz w:val="20"/>
          <w:szCs w:val="20"/>
        </w:rPr>
        <w:t xml:space="preserve"> </w:t>
      </w:r>
      <w:r>
        <w:rPr>
          <w:rFonts w:ascii="宋体" w:hAnsi="宋体" w:eastAsia="宋体" w:cs="宋体"/>
          <w:spacing w:val="9"/>
          <w:sz w:val="20"/>
          <w:szCs w:val="20"/>
        </w:rPr>
        <w:t>计算人工挖土。</w:t>
      </w:r>
    </w:p>
    <w:p>
      <w:pPr>
        <w:spacing w:line="276" w:lineRule="exact"/>
        <w:ind w:left="423"/>
        <w:rPr>
          <w:rFonts w:ascii="宋体" w:hAnsi="宋体" w:eastAsia="宋体" w:cs="宋体"/>
          <w:sz w:val="20"/>
          <w:szCs w:val="20"/>
        </w:rPr>
      </w:pPr>
      <w:r>
        <w:rPr>
          <w:rFonts w:ascii="宋体" w:hAnsi="宋体" w:eastAsia="宋体" w:cs="宋体"/>
          <w:b/>
          <w:bCs/>
          <w:spacing w:val="2"/>
          <w:position w:val="1"/>
          <w:sz w:val="20"/>
          <w:szCs w:val="20"/>
        </w:rPr>
        <w:t>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关于桩间挖土的计价</w:t>
      </w:r>
    </w:p>
    <w:p>
      <w:pPr>
        <w:spacing w:before="143" w:line="387" w:lineRule="auto"/>
        <w:ind w:left="1" w:right="64" w:firstLine="420"/>
        <w:jc w:val="both"/>
        <w:rPr>
          <w:rFonts w:ascii="宋体" w:hAnsi="宋体" w:eastAsia="宋体" w:cs="宋体"/>
          <w:sz w:val="20"/>
          <w:szCs w:val="20"/>
        </w:rPr>
      </w:pPr>
      <w:r>
        <w:rPr>
          <w:rFonts w:ascii="宋体" w:hAnsi="宋体" w:eastAsia="宋体" w:cs="宋体"/>
          <w:spacing w:val="5"/>
          <w:sz w:val="20"/>
          <w:szCs w:val="20"/>
        </w:rPr>
        <w:t>桩间挖土是指相邻桩间净距离≤4.0m，桩外缘向外</w:t>
      </w:r>
      <w:r>
        <w:rPr>
          <w:rFonts w:ascii="宋体" w:hAnsi="宋体" w:eastAsia="宋体" w:cs="宋体"/>
          <w:spacing w:val="-24"/>
          <w:sz w:val="20"/>
          <w:szCs w:val="20"/>
        </w:rPr>
        <w:t xml:space="preserve"> </w:t>
      </w:r>
      <w:r>
        <w:rPr>
          <w:rFonts w:ascii="宋体" w:hAnsi="宋体" w:eastAsia="宋体" w:cs="宋体"/>
          <w:spacing w:val="5"/>
          <w:sz w:val="20"/>
          <w:szCs w:val="20"/>
        </w:rPr>
        <w:t>1.2m</w:t>
      </w:r>
      <w:r>
        <w:rPr>
          <w:rFonts w:ascii="宋体" w:hAnsi="宋体" w:eastAsia="宋体" w:cs="宋体"/>
          <w:spacing w:val="-38"/>
          <w:sz w:val="20"/>
          <w:szCs w:val="20"/>
        </w:rPr>
        <w:t xml:space="preserve"> </w:t>
      </w:r>
      <w:r>
        <w:rPr>
          <w:rFonts w:ascii="宋体" w:hAnsi="宋体" w:eastAsia="宋体" w:cs="宋体"/>
          <w:spacing w:val="5"/>
          <w:sz w:val="20"/>
          <w:szCs w:val="20"/>
        </w:rPr>
        <w:t>范围内、桩顶设计标高以上</w:t>
      </w:r>
      <w:r>
        <w:rPr>
          <w:rFonts w:ascii="宋体" w:hAnsi="宋体" w:eastAsia="宋体" w:cs="宋体"/>
          <w:spacing w:val="-23"/>
          <w:sz w:val="20"/>
          <w:szCs w:val="20"/>
        </w:rPr>
        <w:t xml:space="preserve"> </w:t>
      </w:r>
      <w:r>
        <w:rPr>
          <w:rFonts w:ascii="宋体" w:hAnsi="宋体" w:eastAsia="宋体" w:cs="宋体"/>
          <w:spacing w:val="4"/>
          <w:sz w:val="20"/>
          <w:szCs w:val="20"/>
        </w:rPr>
        <w:t>1.2m（不足</w:t>
      </w:r>
      <w:r>
        <w:rPr>
          <w:rFonts w:ascii="宋体" w:hAnsi="宋体" w:eastAsia="宋体" w:cs="宋体"/>
          <w:spacing w:val="10"/>
          <w:sz w:val="20"/>
          <w:szCs w:val="20"/>
        </w:rPr>
        <w:t>时按实计算）至基础（含垫层）底的挖土为桩间挖土。桩间挖土不扣除桩径</w:t>
      </w:r>
      <w:r>
        <w:rPr>
          <w:rFonts w:ascii="宋体" w:hAnsi="宋体" w:eastAsia="宋体" w:cs="宋体"/>
          <w:spacing w:val="-39"/>
          <w:sz w:val="20"/>
          <w:szCs w:val="20"/>
        </w:rPr>
        <w:t xml:space="preserve"> </w:t>
      </w:r>
      <w:r>
        <w:rPr>
          <w:rFonts w:ascii="宋体" w:hAnsi="宋体" w:eastAsia="宋体" w:cs="宋体"/>
          <w:spacing w:val="10"/>
          <w:sz w:val="20"/>
          <w:szCs w:val="20"/>
        </w:rPr>
        <w:t>600</w:t>
      </w:r>
      <w:r>
        <w:rPr>
          <w:rFonts w:ascii="宋体" w:hAnsi="宋体" w:eastAsia="宋体" w:cs="宋体"/>
          <w:sz w:val="20"/>
          <w:szCs w:val="20"/>
        </w:rPr>
        <w:t>mm</w:t>
      </w:r>
      <w:r>
        <w:rPr>
          <w:rFonts w:ascii="宋体" w:hAnsi="宋体" w:eastAsia="宋体" w:cs="宋体"/>
          <w:spacing w:val="-25"/>
          <w:sz w:val="20"/>
          <w:szCs w:val="20"/>
        </w:rPr>
        <w:t xml:space="preserve"> </w:t>
      </w:r>
      <w:r>
        <w:rPr>
          <w:rFonts w:ascii="宋体" w:hAnsi="宋体" w:eastAsia="宋体" w:cs="宋体"/>
          <w:spacing w:val="10"/>
          <w:sz w:val="20"/>
          <w:szCs w:val="20"/>
        </w:rPr>
        <w:t>以内的桩体和空</w:t>
      </w:r>
      <w:r>
        <w:rPr>
          <w:rFonts w:ascii="宋体" w:hAnsi="宋体" w:eastAsia="宋体" w:cs="宋体"/>
          <w:spacing w:val="5"/>
          <w:sz w:val="20"/>
          <w:szCs w:val="20"/>
        </w:rPr>
        <w:t>孔所占体积，相应定额子目人工、机械乘以系数</w:t>
      </w:r>
      <w:r>
        <w:rPr>
          <w:rFonts w:ascii="宋体" w:hAnsi="宋体" w:eastAsia="宋体" w:cs="宋体"/>
          <w:spacing w:val="-11"/>
          <w:sz w:val="20"/>
          <w:szCs w:val="20"/>
        </w:rPr>
        <w:t xml:space="preserve"> </w:t>
      </w:r>
      <w:r>
        <w:rPr>
          <w:rFonts w:ascii="宋体" w:hAnsi="宋体" w:eastAsia="宋体" w:cs="宋体"/>
          <w:spacing w:val="5"/>
          <w:sz w:val="20"/>
          <w:szCs w:val="20"/>
        </w:rPr>
        <w:t>1.50。</w:t>
      </w:r>
    </w:p>
    <w:p>
      <w:pPr>
        <w:spacing w:before="6" w:line="223" w:lineRule="auto"/>
        <w:ind w:left="422"/>
        <w:rPr>
          <w:rFonts w:ascii="宋体" w:hAnsi="宋体" w:eastAsia="宋体" w:cs="宋体"/>
          <w:sz w:val="20"/>
          <w:szCs w:val="20"/>
        </w:rPr>
      </w:pPr>
      <w:r>
        <w:rPr>
          <w:rFonts w:ascii="宋体" w:hAnsi="宋体" w:eastAsia="宋体" w:cs="宋体"/>
          <w:spacing w:val="9"/>
          <w:sz w:val="20"/>
          <w:szCs w:val="20"/>
        </w:rPr>
        <w:t>桩间土没有单独的定额设项，发生时需要套用正常挖土定额后乘以换算系数计算。</w:t>
      </w:r>
    </w:p>
    <w:p>
      <w:pPr>
        <w:spacing w:before="175" w:line="278" w:lineRule="exact"/>
        <w:ind w:left="426"/>
        <w:rPr>
          <w:rFonts w:ascii="宋体" w:hAnsi="宋体" w:eastAsia="宋体" w:cs="宋体"/>
          <w:sz w:val="20"/>
          <w:szCs w:val="20"/>
        </w:rPr>
      </w:pPr>
      <w:r>
        <w:rPr>
          <w:rFonts w:ascii="宋体" w:hAnsi="宋体" w:eastAsia="宋体" w:cs="宋体"/>
          <w:b/>
          <w:bCs/>
          <w:spacing w:val="6"/>
          <w:position w:val="1"/>
          <w:sz w:val="20"/>
          <w:szCs w:val="20"/>
        </w:rPr>
        <w:t>3.</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关于振冲碎石桩、高压水泥旋喷桩空打（搅）部分</w:t>
      </w:r>
      <w:r>
        <w:rPr>
          <w:rFonts w:ascii="宋体" w:hAnsi="宋体" w:eastAsia="宋体" w:cs="宋体"/>
          <w:b/>
          <w:bCs/>
          <w:spacing w:val="5"/>
          <w:position w:val="1"/>
          <w:sz w:val="20"/>
          <w:szCs w:val="20"/>
        </w:rPr>
        <w:t>的计算</w:t>
      </w:r>
    </w:p>
    <w:p>
      <w:pPr>
        <w:spacing w:before="142" w:line="277" w:lineRule="exact"/>
        <w:ind w:left="425"/>
        <w:rPr>
          <w:rFonts w:ascii="宋体" w:hAnsi="宋体" w:eastAsia="宋体" w:cs="宋体"/>
          <w:sz w:val="20"/>
          <w:szCs w:val="20"/>
        </w:rPr>
      </w:pPr>
      <w:r>
        <w:rPr>
          <w:rFonts w:ascii="宋体" w:hAnsi="宋体" w:eastAsia="宋体" w:cs="宋体"/>
          <w:spacing w:val="7"/>
          <w:position w:val="1"/>
          <w:sz w:val="20"/>
          <w:szCs w:val="20"/>
        </w:rPr>
        <w:t>空打（搅）部分按相应定额人工及机械消耗量乘以系数</w:t>
      </w:r>
      <w:r>
        <w:rPr>
          <w:rFonts w:ascii="宋体" w:hAnsi="宋体" w:eastAsia="宋体" w:cs="宋体"/>
          <w:spacing w:val="-38"/>
          <w:position w:val="1"/>
          <w:sz w:val="20"/>
          <w:szCs w:val="20"/>
        </w:rPr>
        <w:t xml:space="preserve"> </w:t>
      </w:r>
      <w:r>
        <w:rPr>
          <w:rFonts w:ascii="宋体" w:hAnsi="宋体" w:eastAsia="宋体" w:cs="宋体"/>
          <w:spacing w:val="7"/>
          <w:position w:val="1"/>
          <w:sz w:val="20"/>
          <w:szCs w:val="20"/>
        </w:rPr>
        <w:t>0.5</w:t>
      </w:r>
      <w:r>
        <w:rPr>
          <w:rFonts w:ascii="宋体" w:hAnsi="宋体" w:eastAsia="宋体" w:cs="宋体"/>
          <w:spacing w:val="-43"/>
          <w:position w:val="1"/>
          <w:sz w:val="20"/>
          <w:szCs w:val="20"/>
        </w:rPr>
        <w:t xml:space="preserve"> </w:t>
      </w:r>
      <w:r>
        <w:rPr>
          <w:rFonts w:ascii="宋体" w:hAnsi="宋体" w:eastAsia="宋体" w:cs="宋体"/>
          <w:spacing w:val="7"/>
          <w:position w:val="1"/>
          <w:sz w:val="20"/>
          <w:szCs w:val="20"/>
        </w:rPr>
        <w:t>计算，其他不计。</w:t>
      </w:r>
    </w:p>
    <w:p>
      <w:pPr>
        <w:spacing w:before="143" w:line="278" w:lineRule="exact"/>
        <w:ind w:left="420"/>
        <w:rPr>
          <w:rFonts w:ascii="宋体" w:hAnsi="宋体" w:eastAsia="宋体" w:cs="宋体"/>
          <w:sz w:val="20"/>
          <w:szCs w:val="20"/>
        </w:rPr>
      </w:pPr>
      <w:r>
        <w:rPr>
          <w:rFonts w:ascii="宋体" w:hAnsi="宋体" w:eastAsia="宋体" w:cs="宋体"/>
          <w:b/>
          <w:bCs/>
          <w:spacing w:val="5"/>
          <w:position w:val="1"/>
          <w:sz w:val="20"/>
          <w:szCs w:val="20"/>
        </w:rPr>
        <w:t>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关于地下连续墙项目废渣及废浆运弃的计算</w:t>
      </w:r>
    </w:p>
    <w:p>
      <w:pPr>
        <w:spacing w:before="145" w:line="387" w:lineRule="auto"/>
        <w:ind w:right="64" w:firstLine="422"/>
        <w:jc w:val="both"/>
        <w:rPr>
          <w:rFonts w:ascii="宋体" w:hAnsi="宋体" w:eastAsia="宋体" w:cs="宋体"/>
          <w:sz w:val="20"/>
          <w:szCs w:val="20"/>
        </w:rPr>
      </w:pPr>
      <w:r>
        <w:rPr>
          <w:rFonts w:ascii="宋体" w:hAnsi="宋体" w:eastAsia="宋体" w:cs="宋体"/>
          <w:spacing w:val="11"/>
          <w:sz w:val="20"/>
          <w:szCs w:val="20"/>
        </w:rPr>
        <w:t>地下连续墙项目未包括泥浆池的制作、拆除，发生时根据施工组织设计另行</w:t>
      </w:r>
      <w:r>
        <w:rPr>
          <w:rFonts w:ascii="宋体" w:hAnsi="宋体" w:eastAsia="宋体" w:cs="宋体"/>
          <w:spacing w:val="10"/>
          <w:sz w:val="20"/>
          <w:szCs w:val="20"/>
        </w:rPr>
        <w:t>计算。废渣及废浆</w:t>
      </w:r>
      <w:r>
        <w:rPr>
          <w:rFonts w:ascii="宋体" w:hAnsi="宋体" w:eastAsia="宋体" w:cs="宋体"/>
          <w:spacing w:val="11"/>
          <w:sz w:val="20"/>
          <w:szCs w:val="20"/>
        </w:rPr>
        <w:t>运弃费用另行分别计算，废渣及废浆体积均按地下连续墙的体积计算。执行定额</w:t>
      </w:r>
      <w:r>
        <w:rPr>
          <w:rFonts w:ascii="宋体" w:hAnsi="宋体" w:eastAsia="宋体" w:cs="宋体"/>
          <w:spacing w:val="10"/>
          <w:sz w:val="20"/>
          <w:szCs w:val="20"/>
        </w:rPr>
        <w:t>时，废渣运弃套用第一册第一章“土石方工程”</w:t>
      </w:r>
      <w:r>
        <w:rPr>
          <w:rFonts w:ascii="宋体" w:hAnsi="宋体" w:eastAsia="宋体" w:cs="宋体"/>
          <w:spacing w:val="-62"/>
          <w:sz w:val="20"/>
          <w:szCs w:val="20"/>
        </w:rPr>
        <w:t xml:space="preserve"> </w:t>
      </w:r>
      <w:r>
        <w:rPr>
          <w:rFonts w:ascii="宋体" w:hAnsi="宋体" w:eastAsia="宋体" w:cs="宋体"/>
          <w:spacing w:val="10"/>
          <w:sz w:val="20"/>
          <w:szCs w:val="20"/>
        </w:rPr>
        <w:t>中淤泥外运相应定额，废浆运弃套用第三册第一章“桩基”中废浆外</w:t>
      </w:r>
      <w:r>
        <w:rPr>
          <w:rFonts w:ascii="宋体" w:hAnsi="宋体" w:eastAsia="宋体" w:cs="宋体"/>
          <w:spacing w:val="7"/>
          <w:sz w:val="20"/>
          <w:szCs w:val="20"/>
        </w:rPr>
        <w:t>运相应定额。</w:t>
      </w:r>
    </w:p>
    <w:p>
      <w:pPr>
        <w:spacing w:line="278" w:lineRule="exact"/>
        <w:ind w:left="423"/>
        <w:rPr>
          <w:rFonts w:ascii="宋体" w:hAnsi="宋体" w:eastAsia="宋体" w:cs="宋体"/>
          <w:sz w:val="20"/>
          <w:szCs w:val="20"/>
        </w:rPr>
      </w:pPr>
      <w:r>
        <w:rPr>
          <w:rFonts w:ascii="宋体" w:hAnsi="宋体" w:eastAsia="宋体" w:cs="宋体"/>
          <w:b/>
          <w:bCs/>
          <w:spacing w:val="5"/>
          <w:position w:val="1"/>
          <w:sz w:val="20"/>
          <w:szCs w:val="20"/>
        </w:rPr>
        <w:t>5.</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关于锚杆（索）钻孔入岩增加定额子目的适用范围</w:t>
      </w:r>
    </w:p>
    <w:p>
      <w:pPr>
        <w:spacing w:before="142" w:line="278" w:lineRule="exact"/>
        <w:ind w:left="420"/>
        <w:rPr>
          <w:rFonts w:ascii="宋体" w:hAnsi="宋体" w:eastAsia="宋体" w:cs="宋体"/>
          <w:sz w:val="20"/>
          <w:szCs w:val="20"/>
        </w:rPr>
      </w:pPr>
      <w:r>
        <w:rPr>
          <w:rFonts w:ascii="宋体" w:hAnsi="宋体" w:eastAsia="宋体" w:cs="宋体"/>
          <w:spacing w:val="10"/>
          <w:position w:val="1"/>
          <w:sz w:val="20"/>
          <w:szCs w:val="20"/>
        </w:rPr>
        <w:t>锚杆（索）钻孔入岩增加适用于除极软岩、软岩以</w:t>
      </w:r>
      <w:r>
        <w:rPr>
          <w:rFonts w:ascii="宋体" w:hAnsi="宋体" w:eastAsia="宋体" w:cs="宋体"/>
          <w:spacing w:val="9"/>
          <w:position w:val="1"/>
          <w:sz w:val="20"/>
          <w:szCs w:val="20"/>
        </w:rPr>
        <w:t>外的各类较软岩、较硬岩及坚硬岩。</w:t>
      </w:r>
    </w:p>
    <w:p>
      <w:pPr>
        <w:spacing w:before="142" w:line="276" w:lineRule="exact"/>
        <w:ind w:left="423"/>
        <w:rPr>
          <w:rFonts w:ascii="宋体" w:hAnsi="宋体" w:eastAsia="宋体" w:cs="宋体"/>
          <w:sz w:val="20"/>
          <w:szCs w:val="20"/>
        </w:rPr>
      </w:pPr>
      <w:r>
        <w:rPr>
          <w:rFonts w:ascii="宋体" w:hAnsi="宋体" w:eastAsia="宋体" w:cs="宋体"/>
          <w:b/>
          <w:bCs/>
          <w:spacing w:val="3"/>
          <w:position w:val="1"/>
          <w:sz w:val="20"/>
          <w:szCs w:val="20"/>
        </w:rPr>
        <w:t>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关于钢绞线张拉的计价</w:t>
      </w:r>
    </w:p>
    <w:p>
      <w:pPr>
        <w:spacing w:before="144" w:line="387" w:lineRule="auto"/>
        <w:ind w:right="64" w:firstLine="423"/>
        <w:jc w:val="both"/>
        <w:rPr>
          <w:rFonts w:ascii="宋体" w:hAnsi="宋体" w:eastAsia="宋体" w:cs="宋体"/>
          <w:sz w:val="20"/>
          <w:szCs w:val="20"/>
        </w:rPr>
      </w:pPr>
      <w:r>
        <w:rPr>
          <w:rFonts w:ascii="宋体" w:hAnsi="宋体" w:eastAsia="宋体" w:cs="宋体"/>
          <w:spacing w:val="9"/>
          <w:sz w:val="20"/>
          <w:szCs w:val="20"/>
        </w:rPr>
        <w:t>钢绞线张拉定额按两端张拉考虑</w:t>
      </w:r>
      <w:r>
        <w:rPr>
          <w:rFonts w:ascii="宋体" w:hAnsi="宋体" w:eastAsia="宋体" w:cs="宋体"/>
          <w:spacing w:val="-56"/>
          <w:sz w:val="20"/>
          <w:szCs w:val="20"/>
        </w:rPr>
        <w:t xml:space="preserve"> </w:t>
      </w:r>
      <w:r>
        <w:rPr>
          <w:rFonts w:ascii="宋体" w:hAnsi="宋体" w:eastAsia="宋体" w:cs="宋体"/>
          <w:spacing w:val="9"/>
          <w:sz w:val="20"/>
          <w:szCs w:val="20"/>
        </w:rPr>
        <w:t>，如设计采用单端张拉时，人工和机械消耗量乘以系数</w:t>
      </w:r>
      <w:r>
        <w:rPr>
          <w:rFonts w:ascii="宋体" w:hAnsi="宋体" w:eastAsia="宋体" w:cs="宋体"/>
          <w:spacing w:val="-37"/>
          <w:sz w:val="20"/>
          <w:szCs w:val="20"/>
        </w:rPr>
        <w:t xml:space="preserve"> </w:t>
      </w:r>
      <w:r>
        <w:rPr>
          <w:rFonts w:ascii="宋体" w:hAnsi="宋体" w:eastAsia="宋体" w:cs="宋体"/>
          <w:spacing w:val="9"/>
          <w:sz w:val="20"/>
          <w:szCs w:val="20"/>
        </w:rPr>
        <w:t>0.8</w:t>
      </w:r>
      <w:r>
        <w:rPr>
          <w:rFonts w:ascii="宋体" w:hAnsi="宋体" w:eastAsia="宋体" w:cs="宋体"/>
          <w:spacing w:val="-41"/>
          <w:sz w:val="20"/>
          <w:szCs w:val="20"/>
        </w:rPr>
        <w:t xml:space="preserve"> </w:t>
      </w:r>
      <w:r>
        <w:rPr>
          <w:rFonts w:ascii="宋体" w:hAnsi="宋体" w:eastAsia="宋体" w:cs="宋体"/>
          <w:spacing w:val="9"/>
          <w:sz w:val="20"/>
          <w:szCs w:val="20"/>
        </w:rPr>
        <w:t>计</w:t>
      </w:r>
      <w:r>
        <w:rPr>
          <w:rFonts w:ascii="宋体" w:hAnsi="宋体" w:eastAsia="宋体" w:cs="宋体"/>
          <w:spacing w:val="10"/>
          <w:sz w:val="20"/>
          <w:szCs w:val="20"/>
        </w:rPr>
        <w:t>算。单端张拉或双端张拉应按设计规定确定，如果设计未规定，可按以下规则</w:t>
      </w:r>
      <w:r>
        <w:rPr>
          <w:rFonts w:ascii="宋体" w:hAnsi="宋体" w:eastAsia="宋体" w:cs="宋体"/>
          <w:spacing w:val="9"/>
          <w:sz w:val="20"/>
          <w:szCs w:val="20"/>
        </w:rPr>
        <w:t>执行：直线</w:t>
      </w:r>
      <w:r>
        <w:rPr>
          <w:rFonts w:ascii="宋体" w:hAnsi="宋体" w:eastAsia="宋体" w:cs="宋体"/>
          <w:spacing w:val="-39"/>
          <w:sz w:val="20"/>
          <w:szCs w:val="20"/>
        </w:rPr>
        <w:t xml:space="preserve"> </w:t>
      </w:r>
      <w:r>
        <w:rPr>
          <w:rFonts w:ascii="宋体" w:hAnsi="宋体" w:eastAsia="宋体" w:cs="宋体"/>
          <w:spacing w:val="9"/>
          <w:sz w:val="20"/>
          <w:szCs w:val="20"/>
        </w:rPr>
        <w:t>20m</w:t>
      </w:r>
      <w:r>
        <w:rPr>
          <w:rFonts w:ascii="宋体" w:hAnsi="宋体" w:eastAsia="宋体" w:cs="宋体"/>
          <w:spacing w:val="-25"/>
          <w:sz w:val="20"/>
          <w:szCs w:val="20"/>
        </w:rPr>
        <w:t xml:space="preserve"> </w:t>
      </w:r>
      <w:r>
        <w:rPr>
          <w:rFonts w:ascii="宋体" w:hAnsi="宋体" w:eastAsia="宋体" w:cs="宋体"/>
          <w:spacing w:val="9"/>
          <w:sz w:val="20"/>
          <w:szCs w:val="20"/>
        </w:rPr>
        <w:t>以内的按单端张拉执行，直线</w:t>
      </w:r>
      <w:r>
        <w:rPr>
          <w:rFonts w:ascii="宋体" w:hAnsi="宋体" w:eastAsia="宋体" w:cs="宋体"/>
          <w:spacing w:val="-26"/>
          <w:sz w:val="20"/>
          <w:szCs w:val="20"/>
        </w:rPr>
        <w:t xml:space="preserve"> </w:t>
      </w:r>
      <w:r>
        <w:rPr>
          <w:rFonts w:ascii="宋体" w:hAnsi="宋体" w:eastAsia="宋体" w:cs="宋体"/>
          <w:spacing w:val="9"/>
          <w:sz w:val="20"/>
          <w:szCs w:val="20"/>
        </w:rPr>
        <w:t>20m</w:t>
      </w:r>
      <w:r>
        <w:rPr>
          <w:rFonts w:ascii="宋体" w:hAnsi="宋体" w:eastAsia="宋体" w:cs="宋体"/>
          <w:spacing w:val="-25"/>
          <w:sz w:val="20"/>
          <w:szCs w:val="20"/>
        </w:rPr>
        <w:t xml:space="preserve"> </w:t>
      </w:r>
      <w:r>
        <w:rPr>
          <w:rFonts w:ascii="宋体" w:hAnsi="宋体" w:eastAsia="宋体" w:cs="宋体"/>
          <w:spacing w:val="9"/>
          <w:sz w:val="20"/>
          <w:szCs w:val="20"/>
        </w:rPr>
        <w:t>以上和曲线钢筋均按双端张拉执行。</w:t>
      </w:r>
    </w:p>
    <w:p>
      <w:pPr>
        <w:spacing w:before="2" w:line="277" w:lineRule="exact"/>
        <w:ind w:left="421"/>
        <w:rPr>
          <w:rFonts w:ascii="宋体" w:hAnsi="宋体" w:eastAsia="宋体" w:cs="宋体"/>
          <w:sz w:val="20"/>
          <w:szCs w:val="20"/>
        </w:rPr>
      </w:pPr>
      <w:r>
        <w:rPr>
          <w:rFonts w:ascii="宋体" w:hAnsi="宋体" w:eastAsia="宋体" w:cs="宋体"/>
          <w:b/>
          <w:bCs/>
          <w:spacing w:val="6"/>
          <w:position w:val="1"/>
          <w:sz w:val="20"/>
          <w:szCs w:val="20"/>
        </w:rPr>
        <w:t>7.</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关于液压破碎锤拆除水泥混凝土路面、</w:t>
      </w:r>
      <w:r>
        <w:rPr>
          <w:rFonts w:ascii="宋体" w:hAnsi="宋体" w:eastAsia="宋体" w:cs="宋体"/>
          <w:b/>
          <w:bCs/>
          <w:spacing w:val="5"/>
          <w:position w:val="1"/>
          <w:sz w:val="20"/>
          <w:szCs w:val="20"/>
        </w:rPr>
        <w:t>基层的计价</w:t>
      </w:r>
    </w:p>
    <w:p>
      <w:pPr>
        <w:spacing w:before="145" w:line="372" w:lineRule="auto"/>
        <w:ind w:left="2" w:firstLine="421"/>
        <w:jc w:val="both"/>
        <w:rPr>
          <w:rFonts w:ascii="宋体" w:hAnsi="宋体" w:eastAsia="宋体" w:cs="宋体"/>
          <w:sz w:val="20"/>
          <w:szCs w:val="20"/>
        </w:rPr>
      </w:pPr>
      <w:r>
        <w:rPr>
          <w:rFonts w:ascii="宋体" w:hAnsi="宋体" w:eastAsia="宋体" w:cs="宋体"/>
          <w:spacing w:val="9"/>
          <w:sz w:val="20"/>
          <w:szCs w:val="20"/>
        </w:rPr>
        <w:t>液压破碎锤拆除水泥混凝土路面，定额区分无筋、有筋按路面厚</w:t>
      </w:r>
      <w:r>
        <w:rPr>
          <w:rFonts w:ascii="宋体" w:hAnsi="宋体" w:eastAsia="宋体" w:cs="宋体"/>
          <w:spacing w:val="8"/>
          <w:sz w:val="20"/>
          <w:szCs w:val="20"/>
        </w:rPr>
        <w:t>度20</w:t>
      </w:r>
      <w:r>
        <w:rPr>
          <w:rFonts w:ascii="宋体" w:hAnsi="宋体" w:eastAsia="宋体" w:cs="宋体"/>
          <w:sz w:val="20"/>
          <w:szCs w:val="20"/>
        </w:rPr>
        <w:t>cm</w:t>
      </w:r>
      <w:r>
        <w:rPr>
          <w:rFonts w:ascii="宋体" w:hAnsi="宋体" w:eastAsia="宋体" w:cs="宋体"/>
          <w:spacing w:val="-25"/>
          <w:sz w:val="20"/>
          <w:szCs w:val="20"/>
        </w:rPr>
        <w:t xml:space="preserve"> </w:t>
      </w:r>
      <w:r>
        <w:rPr>
          <w:rFonts w:ascii="宋体" w:hAnsi="宋体" w:eastAsia="宋体" w:cs="宋体"/>
          <w:spacing w:val="8"/>
          <w:sz w:val="20"/>
          <w:szCs w:val="20"/>
        </w:rPr>
        <w:t>以内、30</w:t>
      </w:r>
      <w:r>
        <w:rPr>
          <w:rFonts w:ascii="宋体" w:hAnsi="宋体" w:eastAsia="宋体" w:cs="宋体"/>
          <w:sz w:val="20"/>
          <w:szCs w:val="20"/>
        </w:rPr>
        <w:t>cm</w:t>
      </w:r>
      <w:r>
        <w:rPr>
          <w:rFonts w:ascii="宋体" w:hAnsi="宋体" w:eastAsia="宋体" w:cs="宋体"/>
          <w:spacing w:val="-22"/>
          <w:sz w:val="20"/>
          <w:szCs w:val="20"/>
        </w:rPr>
        <w:t xml:space="preserve"> </w:t>
      </w:r>
      <w:r>
        <w:rPr>
          <w:rFonts w:ascii="宋体" w:hAnsi="宋体" w:eastAsia="宋体" w:cs="宋体"/>
          <w:spacing w:val="8"/>
          <w:sz w:val="20"/>
          <w:szCs w:val="20"/>
        </w:rPr>
        <w:t>以内划分，路面厚度超过</w:t>
      </w:r>
      <w:r>
        <w:rPr>
          <w:rFonts w:ascii="宋体" w:hAnsi="宋体" w:eastAsia="宋体" w:cs="宋体"/>
          <w:spacing w:val="-36"/>
          <w:sz w:val="20"/>
          <w:szCs w:val="20"/>
        </w:rPr>
        <w:t xml:space="preserve"> </w:t>
      </w:r>
      <w:r>
        <w:rPr>
          <w:rFonts w:ascii="宋体" w:hAnsi="宋体" w:eastAsia="宋体" w:cs="宋体"/>
          <w:spacing w:val="8"/>
          <w:sz w:val="20"/>
          <w:szCs w:val="20"/>
        </w:rPr>
        <w:t>30</w:t>
      </w:r>
      <w:r>
        <w:rPr>
          <w:rFonts w:ascii="宋体" w:hAnsi="宋体" w:eastAsia="宋体" w:cs="宋体"/>
          <w:sz w:val="20"/>
          <w:szCs w:val="20"/>
        </w:rPr>
        <w:t>cm</w:t>
      </w:r>
      <w:r>
        <w:rPr>
          <w:rFonts w:ascii="宋体" w:hAnsi="宋体" w:eastAsia="宋体" w:cs="宋体"/>
          <w:spacing w:val="-31"/>
          <w:sz w:val="20"/>
          <w:szCs w:val="20"/>
        </w:rPr>
        <w:t xml:space="preserve"> </w:t>
      </w:r>
      <w:r>
        <w:rPr>
          <w:rFonts w:ascii="宋体" w:hAnsi="宋体" w:eastAsia="宋体" w:cs="宋体"/>
          <w:spacing w:val="8"/>
          <w:sz w:val="20"/>
          <w:szCs w:val="20"/>
        </w:rPr>
        <w:t>时执行液压破碎锤拆除较硬岩子目。拆除水泥混凝土基</w:t>
      </w:r>
      <w:r>
        <w:rPr>
          <w:rFonts w:ascii="宋体" w:hAnsi="宋体" w:eastAsia="宋体" w:cs="宋体"/>
          <w:spacing w:val="7"/>
          <w:sz w:val="20"/>
          <w:szCs w:val="20"/>
        </w:rPr>
        <w:t>层按拆除水泥混凝土路面</w:t>
      </w:r>
      <w:r>
        <w:rPr>
          <w:rFonts w:ascii="宋体" w:hAnsi="宋体" w:eastAsia="宋体" w:cs="宋体"/>
          <w:spacing w:val="4"/>
          <w:sz w:val="20"/>
          <w:szCs w:val="20"/>
        </w:rPr>
        <w:t>执行。</w:t>
      </w:r>
    </w:p>
    <w:p>
      <w:pPr>
        <w:spacing w:before="49" w:line="277" w:lineRule="exact"/>
        <w:ind w:left="425"/>
        <w:rPr>
          <w:rFonts w:ascii="宋体" w:hAnsi="宋体" w:eastAsia="宋体" w:cs="宋体"/>
          <w:sz w:val="20"/>
          <w:szCs w:val="20"/>
        </w:rPr>
      </w:pPr>
      <w:r>
        <w:rPr>
          <w:rFonts w:ascii="宋体" w:hAnsi="宋体" w:eastAsia="宋体" w:cs="宋体"/>
          <w:b/>
          <w:bCs/>
          <w:spacing w:val="5"/>
          <w:position w:val="1"/>
          <w:sz w:val="20"/>
          <w:szCs w:val="20"/>
        </w:rPr>
        <w:t>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关于打拔槽型钢板桩、拉森钢板桩的计价</w:t>
      </w:r>
    </w:p>
    <w:p>
      <w:pPr>
        <w:spacing w:before="143" w:line="387" w:lineRule="auto"/>
        <w:ind w:left="1" w:right="66" w:firstLine="425"/>
        <w:rPr>
          <w:rFonts w:ascii="宋体" w:hAnsi="宋体" w:eastAsia="宋体" w:cs="宋体"/>
          <w:sz w:val="20"/>
          <w:szCs w:val="20"/>
        </w:rPr>
      </w:pPr>
      <w:r>
        <w:rPr>
          <w:rFonts w:ascii="宋体" w:hAnsi="宋体" w:eastAsia="宋体" w:cs="宋体"/>
          <w:spacing w:val="7"/>
          <w:sz w:val="20"/>
          <w:szCs w:val="20"/>
        </w:rPr>
        <w:t>打拔槽型钢板桩、打拔拉森钢板桩定额按照使用期</w:t>
      </w:r>
      <w:r>
        <w:rPr>
          <w:rFonts w:ascii="宋体" w:hAnsi="宋体" w:eastAsia="宋体" w:cs="宋体"/>
          <w:spacing w:val="-18"/>
          <w:sz w:val="20"/>
          <w:szCs w:val="20"/>
        </w:rPr>
        <w:t xml:space="preserve"> </w:t>
      </w:r>
      <w:r>
        <w:rPr>
          <w:rFonts w:ascii="宋体" w:hAnsi="宋体" w:eastAsia="宋体" w:cs="宋体"/>
          <w:spacing w:val="7"/>
          <w:sz w:val="20"/>
          <w:szCs w:val="20"/>
        </w:rPr>
        <w:t>30</w:t>
      </w:r>
      <w:r>
        <w:rPr>
          <w:rFonts w:ascii="宋体" w:hAnsi="宋体" w:eastAsia="宋体" w:cs="宋体"/>
          <w:spacing w:val="-38"/>
          <w:sz w:val="20"/>
          <w:szCs w:val="20"/>
        </w:rPr>
        <w:t xml:space="preserve"> </w:t>
      </w:r>
      <w:r>
        <w:rPr>
          <w:rFonts w:ascii="宋体" w:hAnsi="宋体" w:eastAsia="宋体" w:cs="宋体"/>
          <w:spacing w:val="7"/>
          <w:sz w:val="20"/>
          <w:szCs w:val="20"/>
        </w:rPr>
        <w:t>天以内考虑。使用期按批准的施工组织计</w:t>
      </w:r>
      <w:r>
        <w:rPr>
          <w:rFonts w:ascii="宋体" w:hAnsi="宋体" w:eastAsia="宋体" w:cs="宋体"/>
          <w:spacing w:val="9"/>
          <w:sz w:val="20"/>
          <w:szCs w:val="20"/>
        </w:rPr>
        <w:t>划的进场时间起，至拆除整理后的离场时间为止计算。使用期</w:t>
      </w:r>
      <w:r>
        <w:rPr>
          <w:rFonts w:ascii="宋体" w:hAnsi="宋体" w:eastAsia="宋体" w:cs="宋体"/>
          <w:spacing w:val="-19"/>
          <w:sz w:val="20"/>
          <w:szCs w:val="20"/>
        </w:rPr>
        <w:t xml:space="preserve"> </w:t>
      </w:r>
      <w:r>
        <w:rPr>
          <w:rFonts w:ascii="宋体" w:hAnsi="宋体" w:eastAsia="宋体" w:cs="宋体"/>
          <w:spacing w:val="9"/>
          <w:sz w:val="20"/>
          <w:szCs w:val="20"/>
        </w:rPr>
        <w:t>30</w:t>
      </w:r>
      <w:r>
        <w:rPr>
          <w:rFonts w:ascii="宋体" w:hAnsi="宋体" w:eastAsia="宋体" w:cs="宋体"/>
          <w:spacing w:val="-37"/>
          <w:sz w:val="20"/>
          <w:szCs w:val="20"/>
        </w:rPr>
        <w:t xml:space="preserve"> </w:t>
      </w:r>
      <w:r>
        <w:rPr>
          <w:rFonts w:ascii="宋体" w:hAnsi="宋体" w:eastAsia="宋体" w:cs="宋体"/>
          <w:spacing w:val="9"/>
          <w:sz w:val="20"/>
          <w:szCs w:val="20"/>
        </w:rPr>
        <w:t>天以内不调整，若实际超过</w:t>
      </w:r>
      <w:r>
        <w:rPr>
          <w:rFonts w:ascii="宋体" w:hAnsi="宋体" w:eastAsia="宋体" w:cs="宋体"/>
          <w:spacing w:val="-39"/>
          <w:sz w:val="20"/>
          <w:szCs w:val="20"/>
        </w:rPr>
        <w:t xml:space="preserve"> </w:t>
      </w:r>
      <w:r>
        <w:rPr>
          <w:rFonts w:ascii="宋体" w:hAnsi="宋体" w:eastAsia="宋体" w:cs="宋体"/>
          <w:spacing w:val="9"/>
          <w:sz w:val="20"/>
          <w:szCs w:val="20"/>
        </w:rPr>
        <w:t>30</w:t>
      </w:r>
      <w:r>
        <w:rPr>
          <w:rFonts w:ascii="宋体" w:hAnsi="宋体" w:eastAsia="宋体" w:cs="宋体"/>
          <w:spacing w:val="-37"/>
          <w:sz w:val="20"/>
          <w:szCs w:val="20"/>
        </w:rPr>
        <w:t xml:space="preserve"> </w:t>
      </w:r>
      <w:r>
        <w:rPr>
          <w:rFonts w:ascii="宋体" w:hAnsi="宋体" w:eastAsia="宋体" w:cs="宋体"/>
          <w:spacing w:val="9"/>
          <w:sz w:val="20"/>
          <w:szCs w:val="20"/>
        </w:rPr>
        <w:t>天</w:t>
      </w:r>
    </w:p>
    <w:p>
      <w:pPr>
        <w:spacing w:line="387" w:lineRule="auto"/>
        <w:rPr>
          <w:rFonts w:ascii="宋体" w:hAnsi="宋体" w:eastAsia="宋体" w:cs="宋体"/>
          <w:sz w:val="20"/>
          <w:szCs w:val="20"/>
        </w:rPr>
        <w:sectPr>
          <w:footerReference r:id="rId246" w:type="default"/>
          <w:pgSz w:w="11906" w:h="16839"/>
          <w:pgMar w:top="400" w:right="1353" w:bottom="1212" w:left="1418" w:header="0" w:footer="897" w:gutter="0"/>
        </w:sect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before="65" w:line="367" w:lineRule="auto"/>
        <w:ind w:left="2" w:right="83" w:firstLine="9"/>
        <w:rPr>
          <w:rFonts w:ascii="宋体" w:hAnsi="宋体" w:eastAsia="宋体" w:cs="宋体"/>
          <w:sz w:val="20"/>
          <w:szCs w:val="20"/>
        </w:rPr>
      </w:pPr>
      <w:r>
        <w:rPr>
          <w:rFonts w:ascii="宋体" w:hAnsi="宋体" w:eastAsia="宋体" w:cs="宋体"/>
          <w:spacing w:val="2"/>
          <w:sz w:val="20"/>
          <w:szCs w:val="20"/>
        </w:rPr>
        <w:t>时按(</w:t>
      </w:r>
      <w:r>
        <w:rPr>
          <w:rFonts w:ascii="宋体" w:hAnsi="宋体" w:eastAsia="宋体" w:cs="宋体"/>
          <w:spacing w:val="-44"/>
          <w:sz w:val="20"/>
          <w:szCs w:val="20"/>
        </w:rPr>
        <w:t xml:space="preserve"> </w:t>
      </w:r>
      <w:r>
        <w:rPr>
          <w:rFonts w:ascii="宋体" w:hAnsi="宋体" w:eastAsia="宋体" w:cs="宋体"/>
          <w:spacing w:val="2"/>
          <w:sz w:val="20"/>
          <w:szCs w:val="20"/>
        </w:rPr>
        <w:t>×</w:t>
      </w:r>
      <w:r>
        <w:rPr>
          <w:rFonts w:ascii="宋体" w:hAnsi="宋体" w:eastAsia="宋体" w:cs="宋体"/>
          <w:spacing w:val="-42"/>
          <w:sz w:val="20"/>
          <w:szCs w:val="20"/>
        </w:rPr>
        <w:t xml:space="preserve"> </w:t>
      </w:r>
      <w:r>
        <w:rPr>
          <w:rFonts w:ascii="宋体" w:hAnsi="宋体" w:eastAsia="宋体" w:cs="宋体"/>
          <w:spacing w:val="2"/>
          <w:sz w:val="20"/>
          <w:szCs w:val="20"/>
        </w:rPr>
        <w:t>×)元/t ·d</w:t>
      </w:r>
      <w:r>
        <w:rPr>
          <w:rFonts w:ascii="宋体" w:hAnsi="宋体" w:eastAsia="宋体" w:cs="宋体"/>
          <w:spacing w:val="-39"/>
          <w:sz w:val="20"/>
          <w:szCs w:val="20"/>
        </w:rPr>
        <w:t xml:space="preserve"> </w:t>
      </w:r>
      <w:r>
        <w:rPr>
          <w:rFonts w:ascii="宋体" w:hAnsi="宋体" w:eastAsia="宋体" w:cs="宋体"/>
          <w:spacing w:val="2"/>
          <w:sz w:val="20"/>
          <w:szCs w:val="20"/>
        </w:rPr>
        <w:t>另计使用增加费。当使用费超过主材原值时</w:t>
      </w:r>
      <w:r>
        <w:rPr>
          <w:rFonts w:ascii="宋体" w:hAnsi="宋体" w:eastAsia="宋体" w:cs="宋体"/>
          <w:spacing w:val="1"/>
          <w:sz w:val="20"/>
          <w:szCs w:val="20"/>
        </w:rPr>
        <w:t>，按主材原值计算。定额内钢板桩使</w:t>
      </w:r>
      <w:r>
        <w:rPr>
          <w:rFonts w:ascii="宋体" w:hAnsi="宋体" w:eastAsia="宋体" w:cs="宋体"/>
          <w:spacing w:val="9"/>
          <w:sz w:val="20"/>
          <w:szCs w:val="20"/>
        </w:rPr>
        <w:t>用含量未考虑周转。钢板桩损耗量包含在钢板桩使用中。</w:t>
      </w:r>
    </w:p>
    <w:p>
      <w:pPr>
        <w:spacing w:before="43" w:line="276" w:lineRule="exact"/>
        <w:ind w:left="423"/>
        <w:rPr>
          <w:rFonts w:ascii="宋体" w:hAnsi="宋体" w:eastAsia="宋体" w:cs="宋体"/>
          <w:sz w:val="20"/>
          <w:szCs w:val="20"/>
        </w:rPr>
      </w:pPr>
      <w:r>
        <w:rPr>
          <w:rFonts w:ascii="宋体" w:hAnsi="宋体" w:eastAsia="宋体" w:cs="宋体"/>
          <w:b/>
          <w:bCs/>
          <w:spacing w:val="2"/>
          <w:position w:val="1"/>
          <w:sz w:val="20"/>
          <w:szCs w:val="20"/>
        </w:rPr>
        <w:t>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关于施工围挡的计价</w:t>
      </w:r>
    </w:p>
    <w:p>
      <w:pPr>
        <w:spacing w:before="144" w:line="383" w:lineRule="auto"/>
        <w:ind w:right="16" w:firstLine="423"/>
        <w:jc w:val="both"/>
        <w:rPr>
          <w:rFonts w:ascii="宋体" w:hAnsi="宋体" w:eastAsia="宋体" w:cs="宋体"/>
          <w:sz w:val="20"/>
          <w:szCs w:val="20"/>
        </w:rPr>
      </w:pPr>
      <w:r>
        <w:rPr>
          <w:rFonts w:ascii="宋体" w:hAnsi="宋体" w:eastAsia="宋体" w:cs="宋体"/>
          <w:spacing w:val="9"/>
          <w:sz w:val="20"/>
          <w:szCs w:val="20"/>
        </w:rPr>
        <w:t>市政工程中施工围挡未包含在安全文明措施费中，发生时应单独计算</w:t>
      </w:r>
      <w:r>
        <w:rPr>
          <w:rFonts w:ascii="宋体" w:hAnsi="宋体" w:eastAsia="宋体" w:cs="宋体"/>
          <w:spacing w:val="8"/>
          <w:sz w:val="20"/>
          <w:szCs w:val="20"/>
        </w:rPr>
        <w:t>（与其他专业工程不同</w:t>
      </w:r>
      <w:r>
        <w:rPr>
          <w:rFonts w:ascii="宋体" w:hAnsi="宋体" w:eastAsia="宋体" w:cs="宋体"/>
          <w:spacing w:val="-21"/>
          <w:sz w:val="20"/>
          <w:szCs w:val="20"/>
        </w:rPr>
        <w:t>），</w:t>
      </w:r>
      <w:r>
        <w:rPr>
          <w:rFonts w:ascii="宋体" w:hAnsi="宋体" w:eastAsia="宋体" w:cs="宋体"/>
          <w:spacing w:val="11"/>
          <w:sz w:val="20"/>
          <w:szCs w:val="20"/>
        </w:rPr>
        <w:t>但围挡上的公益广告、企业宣传已按有关管理部门的规定综合考虑在文明施工费</w:t>
      </w:r>
      <w:r>
        <w:rPr>
          <w:rFonts w:ascii="宋体" w:hAnsi="宋体" w:eastAsia="宋体" w:cs="宋体"/>
          <w:spacing w:val="10"/>
          <w:sz w:val="20"/>
          <w:szCs w:val="20"/>
        </w:rPr>
        <w:t>内，不再单独计算</w:t>
      </w:r>
      <w:r>
        <w:rPr>
          <w:rFonts w:ascii="宋体" w:hAnsi="宋体" w:eastAsia="宋体" w:cs="宋体"/>
          <w:spacing w:val="7"/>
          <w:sz w:val="20"/>
          <w:szCs w:val="20"/>
        </w:rPr>
        <w:t>相应费用。</w:t>
      </w:r>
    </w:p>
    <w:p>
      <w:pPr>
        <w:spacing w:before="18" w:line="221" w:lineRule="auto"/>
        <w:ind w:left="419"/>
        <w:rPr>
          <w:rFonts w:ascii="宋体" w:hAnsi="宋体" w:eastAsia="宋体" w:cs="宋体"/>
          <w:sz w:val="20"/>
          <w:szCs w:val="20"/>
        </w:rPr>
      </w:pPr>
      <w:r>
        <w:rPr>
          <w:rFonts w:ascii="宋体" w:hAnsi="宋体" w:eastAsia="宋体" w:cs="宋体"/>
          <w:b/>
          <w:bCs/>
          <w:spacing w:val="8"/>
          <w:sz w:val="20"/>
          <w:szCs w:val="20"/>
        </w:rPr>
        <w:t>八、关于第二册</w:t>
      </w:r>
      <w:r>
        <w:rPr>
          <w:rFonts w:ascii="宋体" w:hAnsi="宋体" w:eastAsia="宋体" w:cs="宋体"/>
          <w:spacing w:val="8"/>
          <w:sz w:val="20"/>
          <w:szCs w:val="20"/>
        </w:rPr>
        <w:t xml:space="preserve"> </w:t>
      </w:r>
      <w:r>
        <w:rPr>
          <w:rFonts w:ascii="宋体" w:hAnsi="宋体" w:eastAsia="宋体" w:cs="宋体"/>
          <w:b/>
          <w:bCs/>
          <w:spacing w:val="8"/>
          <w:sz w:val="20"/>
          <w:szCs w:val="20"/>
        </w:rPr>
        <w:t>道路工程</w:t>
      </w:r>
    </w:p>
    <w:p>
      <w:pPr>
        <w:spacing w:before="177" w:line="276" w:lineRule="exact"/>
        <w:ind w:left="440"/>
        <w:rPr>
          <w:rFonts w:ascii="宋体" w:hAnsi="宋体" w:eastAsia="宋体" w:cs="宋体"/>
          <w:sz w:val="20"/>
          <w:szCs w:val="20"/>
        </w:rPr>
      </w:pPr>
      <w:r>
        <w:rPr>
          <w:rFonts w:ascii="宋体" w:hAnsi="宋体" w:eastAsia="宋体" w:cs="宋体"/>
          <w:b/>
          <w:bCs/>
          <w:spacing w:val="4"/>
          <w:position w:val="1"/>
          <w:sz w:val="20"/>
          <w:szCs w:val="20"/>
        </w:rPr>
        <w:t>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关于道路工程中</w:t>
      </w:r>
      <w:r>
        <w:rPr>
          <w:rFonts w:ascii="宋体" w:hAnsi="宋体" w:eastAsia="宋体" w:cs="宋体"/>
          <w:spacing w:val="-26"/>
          <w:position w:val="1"/>
          <w:sz w:val="20"/>
          <w:szCs w:val="20"/>
        </w:rPr>
        <w:t xml:space="preserve"> </w:t>
      </w:r>
      <w:r>
        <w:rPr>
          <w:rFonts w:ascii="宋体" w:hAnsi="宋体" w:eastAsia="宋体" w:cs="宋体"/>
          <w:b/>
          <w:bCs/>
          <w:position w:val="1"/>
          <w:sz w:val="20"/>
          <w:szCs w:val="20"/>
        </w:rPr>
        <w:t>PC</w:t>
      </w:r>
      <w:r>
        <w:rPr>
          <w:rFonts w:ascii="宋体" w:hAnsi="宋体" w:eastAsia="宋体" w:cs="宋体"/>
          <w:spacing w:val="-45"/>
          <w:position w:val="1"/>
          <w:sz w:val="20"/>
          <w:szCs w:val="20"/>
        </w:rPr>
        <w:t xml:space="preserve"> </w:t>
      </w:r>
      <w:r>
        <w:rPr>
          <w:rFonts w:ascii="宋体" w:hAnsi="宋体" w:eastAsia="宋体" w:cs="宋体"/>
          <w:b/>
          <w:bCs/>
          <w:spacing w:val="4"/>
          <w:position w:val="1"/>
          <w:sz w:val="20"/>
          <w:szCs w:val="20"/>
        </w:rPr>
        <w:t>砖铺装的计价</w:t>
      </w:r>
    </w:p>
    <w:p>
      <w:pPr>
        <w:spacing w:before="144" w:line="277" w:lineRule="exact"/>
        <w:ind w:left="422"/>
        <w:rPr>
          <w:rFonts w:ascii="宋体" w:hAnsi="宋体" w:eastAsia="宋体" w:cs="宋体"/>
          <w:sz w:val="20"/>
          <w:szCs w:val="20"/>
        </w:rPr>
      </w:pPr>
      <w:r>
        <w:rPr>
          <w:rFonts w:ascii="宋体" w:hAnsi="宋体" w:eastAsia="宋体" w:cs="宋体"/>
          <w:position w:val="1"/>
          <w:sz w:val="20"/>
          <w:szCs w:val="20"/>
        </w:rPr>
        <w:t>PC</w:t>
      </w:r>
      <w:r>
        <w:rPr>
          <w:rFonts w:ascii="宋体" w:hAnsi="宋体" w:eastAsia="宋体" w:cs="宋体"/>
          <w:spacing w:val="-40"/>
          <w:position w:val="1"/>
          <w:sz w:val="20"/>
          <w:szCs w:val="20"/>
        </w:rPr>
        <w:t xml:space="preserve"> </w:t>
      </w:r>
      <w:r>
        <w:rPr>
          <w:rFonts w:ascii="宋体" w:hAnsi="宋体" w:eastAsia="宋体" w:cs="宋体"/>
          <w:spacing w:val="10"/>
          <w:position w:val="1"/>
          <w:sz w:val="20"/>
          <w:szCs w:val="20"/>
        </w:rPr>
        <w:t>砖铺装按花岗岩板铺装相应定额执行，人工乘以系数0.9。</w:t>
      </w:r>
    </w:p>
    <w:p>
      <w:pPr>
        <w:spacing w:before="143" w:line="278" w:lineRule="exact"/>
        <w:ind w:left="423"/>
        <w:rPr>
          <w:rFonts w:ascii="宋体" w:hAnsi="宋体" w:eastAsia="宋体" w:cs="宋体"/>
          <w:sz w:val="20"/>
          <w:szCs w:val="20"/>
        </w:rPr>
      </w:pPr>
      <w:r>
        <w:rPr>
          <w:rFonts w:ascii="宋体" w:hAnsi="宋体" w:eastAsia="宋体" w:cs="宋体"/>
          <w:b/>
          <w:bCs/>
          <w:spacing w:val="5"/>
          <w:position w:val="1"/>
          <w:sz w:val="20"/>
          <w:szCs w:val="20"/>
        </w:rPr>
        <w:t>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关于道路工程中路面标志标线工程量的计算</w:t>
      </w:r>
    </w:p>
    <w:p>
      <w:pPr>
        <w:spacing w:before="145" w:line="388" w:lineRule="auto"/>
        <w:ind w:left="5" w:firstLine="415"/>
        <w:jc w:val="both"/>
        <w:rPr>
          <w:rFonts w:ascii="宋体" w:hAnsi="宋体" w:eastAsia="宋体" w:cs="宋体"/>
          <w:sz w:val="20"/>
          <w:szCs w:val="20"/>
        </w:rPr>
      </w:pPr>
      <w:r>
        <w:rPr>
          <w:rFonts w:ascii="宋体" w:hAnsi="宋体" w:eastAsia="宋体" w:cs="宋体"/>
          <w:spacing w:val="8"/>
          <w:sz w:val="20"/>
          <w:szCs w:val="20"/>
        </w:rPr>
        <w:t>标线、横道线按标线漆划的净面积计算。文字、字符、图形按单体的外围矩形</w:t>
      </w:r>
      <w:r>
        <w:rPr>
          <w:rFonts w:ascii="宋体" w:hAnsi="宋体" w:eastAsia="宋体" w:cs="宋体"/>
          <w:spacing w:val="7"/>
          <w:sz w:val="20"/>
          <w:szCs w:val="20"/>
        </w:rPr>
        <w:t>面积计算。菱形、</w:t>
      </w:r>
      <w:r>
        <w:rPr>
          <w:rFonts w:ascii="宋体" w:hAnsi="宋体" w:eastAsia="宋体" w:cs="宋体"/>
          <w:spacing w:val="11"/>
          <w:sz w:val="20"/>
          <w:szCs w:val="20"/>
        </w:rPr>
        <w:t>三角形、各类箭头均按标记的净面积计算。预制成型标线按实际贴铺</w:t>
      </w:r>
      <w:r>
        <w:rPr>
          <w:rFonts w:ascii="宋体" w:hAnsi="宋体" w:eastAsia="宋体" w:cs="宋体"/>
          <w:spacing w:val="10"/>
          <w:sz w:val="20"/>
          <w:szCs w:val="20"/>
        </w:rPr>
        <w:t>面积计算。清除标线按实际清</w:t>
      </w:r>
      <w:r>
        <w:rPr>
          <w:rFonts w:ascii="宋体" w:hAnsi="宋体" w:eastAsia="宋体" w:cs="宋体"/>
          <w:spacing w:val="6"/>
          <w:sz w:val="20"/>
          <w:szCs w:val="20"/>
        </w:rPr>
        <w:t>除面积计算。</w:t>
      </w:r>
    </w:p>
    <w:p>
      <w:pPr>
        <w:spacing w:line="221" w:lineRule="auto"/>
        <w:ind w:left="423"/>
        <w:rPr>
          <w:rFonts w:ascii="宋体" w:hAnsi="宋体" w:eastAsia="宋体" w:cs="宋体"/>
          <w:sz w:val="20"/>
          <w:szCs w:val="20"/>
        </w:rPr>
      </w:pPr>
      <w:r>
        <w:rPr>
          <w:rFonts w:ascii="宋体" w:hAnsi="宋体" w:eastAsia="宋体" w:cs="宋体"/>
          <w:b/>
          <w:bCs/>
          <w:spacing w:val="7"/>
          <w:sz w:val="20"/>
          <w:szCs w:val="20"/>
        </w:rPr>
        <w:t>九、关于第三册</w:t>
      </w:r>
      <w:r>
        <w:rPr>
          <w:rFonts w:ascii="宋体" w:hAnsi="宋体" w:eastAsia="宋体" w:cs="宋体"/>
          <w:spacing w:val="7"/>
          <w:sz w:val="20"/>
          <w:szCs w:val="20"/>
        </w:rPr>
        <w:t xml:space="preserve"> </w:t>
      </w:r>
      <w:r>
        <w:rPr>
          <w:rFonts w:ascii="宋体" w:hAnsi="宋体" w:eastAsia="宋体" w:cs="宋体"/>
          <w:b/>
          <w:bCs/>
          <w:spacing w:val="7"/>
          <w:sz w:val="20"/>
          <w:szCs w:val="20"/>
        </w:rPr>
        <w:t>桥涵工程</w:t>
      </w:r>
    </w:p>
    <w:p>
      <w:pPr>
        <w:spacing w:before="177" w:line="277" w:lineRule="exact"/>
        <w:ind w:left="440"/>
        <w:rPr>
          <w:rFonts w:ascii="宋体" w:hAnsi="宋体" w:eastAsia="宋体" w:cs="宋体"/>
          <w:sz w:val="20"/>
          <w:szCs w:val="20"/>
        </w:rPr>
      </w:pPr>
      <w:r>
        <w:rPr>
          <w:rFonts w:ascii="宋体" w:hAnsi="宋体" w:eastAsia="宋体" w:cs="宋体"/>
          <w:b/>
          <w:bCs/>
          <w:spacing w:val="-1"/>
          <w:position w:val="1"/>
          <w:sz w:val="20"/>
          <w:szCs w:val="20"/>
        </w:rPr>
        <w:t>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关于引孔的说明</w:t>
      </w:r>
    </w:p>
    <w:p>
      <w:pPr>
        <w:spacing w:before="146" w:line="386" w:lineRule="auto"/>
        <w:ind w:left="1" w:right="83" w:firstLine="425"/>
        <w:rPr>
          <w:rFonts w:ascii="宋体" w:hAnsi="宋体" w:eastAsia="宋体" w:cs="宋体"/>
          <w:sz w:val="20"/>
          <w:szCs w:val="20"/>
        </w:rPr>
      </w:pPr>
      <w:r>
        <w:rPr>
          <w:rFonts w:ascii="宋体" w:hAnsi="宋体" w:eastAsia="宋体" w:cs="宋体"/>
          <w:spacing w:val="11"/>
          <w:sz w:val="20"/>
          <w:szCs w:val="20"/>
        </w:rPr>
        <w:t>打桩定额未考虑引孔，引孔费用另行计算。引孔部分打拔桩执行</w:t>
      </w:r>
      <w:r>
        <w:rPr>
          <w:rFonts w:ascii="宋体" w:hAnsi="宋体" w:eastAsia="宋体" w:cs="宋体"/>
          <w:spacing w:val="10"/>
          <w:sz w:val="20"/>
          <w:szCs w:val="20"/>
        </w:rPr>
        <w:t>相应定额时机械消耗量乘以系</w:t>
      </w:r>
      <w:r>
        <w:rPr>
          <w:rFonts w:ascii="宋体" w:hAnsi="宋体" w:eastAsia="宋体" w:cs="宋体"/>
          <w:sz w:val="20"/>
          <w:szCs w:val="20"/>
        </w:rPr>
        <w:t>数</w:t>
      </w:r>
      <w:r>
        <w:rPr>
          <w:rFonts w:ascii="宋体" w:hAnsi="宋体" w:eastAsia="宋体" w:cs="宋体"/>
          <w:spacing w:val="-34"/>
          <w:sz w:val="20"/>
          <w:szCs w:val="20"/>
        </w:rPr>
        <w:t xml:space="preserve"> </w:t>
      </w:r>
      <w:r>
        <w:rPr>
          <w:rFonts w:ascii="宋体" w:hAnsi="宋体" w:eastAsia="宋体" w:cs="宋体"/>
          <w:sz w:val="20"/>
          <w:szCs w:val="20"/>
        </w:rPr>
        <w:t>0.5，其他不变。</w:t>
      </w:r>
    </w:p>
    <w:p>
      <w:pPr>
        <w:spacing w:line="277" w:lineRule="exact"/>
        <w:ind w:left="423"/>
        <w:rPr>
          <w:rFonts w:ascii="宋体" w:hAnsi="宋体" w:eastAsia="宋体" w:cs="宋体"/>
          <w:sz w:val="20"/>
          <w:szCs w:val="20"/>
        </w:rPr>
      </w:pPr>
      <w:r>
        <w:rPr>
          <w:rFonts w:ascii="宋体" w:hAnsi="宋体" w:eastAsia="宋体" w:cs="宋体"/>
          <w:b/>
          <w:bCs/>
          <w:spacing w:val="3"/>
          <w:position w:val="1"/>
          <w:sz w:val="20"/>
          <w:szCs w:val="20"/>
        </w:rPr>
        <w:t>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关于钻机钻孔入岩的界定</w:t>
      </w:r>
    </w:p>
    <w:p>
      <w:pPr>
        <w:spacing w:before="149" w:line="220" w:lineRule="auto"/>
        <w:ind w:left="422"/>
        <w:rPr>
          <w:rFonts w:ascii="宋体" w:hAnsi="宋体" w:eastAsia="宋体" w:cs="宋体"/>
          <w:sz w:val="20"/>
          <w:szCs w:val="20"/>
        </w:rPr>
      </w:pPr>
      <w:r>
        <w:rPr>
          <w:rFonts w:ascii="宋体" w:hAnsi="宋体" w:eastAsia="宋体" w:cs="宋体"/>
          <w:spacing w:val="9"/>
          <w:sz w:val="20"/>
          <w:szCs w:val="20"/>
        </w:rPr>
        <w:t>钻机钻孔从较软岩开始为入岩，入极软岩执行砾石定额，入软岩执行卵石定额。</w:t>
      </w:r>
    </w:p>
    <w:p>
      <w:pPr>
        <w:spacing w:before="176" w:line="278" w:lineRule="exact"/>
        <w:ind w:left="426"/>
        <w:rPr>
          <w:rFonts w:ascii="宋体" w:hAnsi="宋体" w:eastAsia="宋体" w:cs="宋体"/>
          <w:sz w:val="20"/>
          <w:szCs w:val="20"/>
        </w:rPr>
      </w:pPr>
      <w:r>
        <w:rPr>
          <w:rFonts w:ascii="宋体" w:hAnsi="宋体" w:eastAsia="宋体" w:cs="宋体"/>
          <w:b/>
          <w:bCs/>
          <w:spacing w:val="5"/>
          <w:position w:val="1"/>
          <w:sz w:val="20"/>
          <w:szCs w:val="20"/>
        </w:rPr>
        <w:t>3.</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关于钻孔灌注桩项目桩渣与废浆外运的计算</w:t>
      </w:r>
    </w:p>
    <w:p>
      <w:pPr>
        <w:spacing w:before="144" w:line="223" w:lineRule="auto"/>
        <w:ind w:left="426"/>
        <w:rPr>
          <w:rFonts w:ascii="宋体" w:hAnsi="宋体" w:eastAsia="宋体" w:cs="宋体"/>
          <w:sz w:val="20"/>
          <w:szCs w:val="20"/>
        </w:rPr>
      </w:pPr>
      <w:r>
        <w:rPr>
          <w:rFonts w:ascii="宋体" w:hAnsi="宋体" w:eastAsia="宋体" w:cs="宋体"/>
          <w:spacing w:val="9"/>
          <w:sz w:val="20"/>
          <w:szCs w:val="20"/>
        </w:rPr>
        <w:t>干作业成孔时，桩渣外运执行土石方外运定额，工程量按成孔体积计算。</w:t>
      </w:r>
    </w:p>
    <w:p>
      <w:pPr>
        <w:spacing w:before="178" w:line="387" w:lineRule="auto"/>
        <w:ind w:right="80" w:firstLine="425"/>
        <w:rPr>
          <w:rFonts w:ascii="宋体" w:hAnsi="宋体" w:eastAsia="宋体" w:cs="宋体"/>
          <w:sz w:val="20"/>
          <w:szCs w:val="20"/>
        </w:rPr>
      </w:pPr>
      <w:r>
        <w:rPr>
          <w:rFonts w:ascii="宋体" w:hAnsi="宋体" w:eastAsia="宋体" w:cs="宋体"/>
          <w:spacing w:val="11"/>
          <w:sz w:val="20"/>
          <w:szCs w:val="20"/>
        </w:rPr>
        <w:t>泥浆护壁成孔时，桩渣与废浆外运分别计算。桩渣外运执行淤泥外运定额</w:t>
      </w:r>
      <w:r>
        <w:rPr>
          <w:rFonts w:ascii="宋体" w:hAnsi="宋体" w:eastAsia="宋体" w:cs="宋体"/>
          <w:spacing w:val="10"/>
          <w:sz w:val="20"/>
          <w:szCs w:val="20"/>
        </w:rPr>
        <w:t>，工程量按成孔体积</w:t>
      </w:r>
      <w:r>
        <w:rPr>
          <w:rFonts w:ascii="宋体" w:hAnsi="宋体" w:eastAsia="宋体" w:cs="宋体"/>
          <w:spacing w:val="7"/>
          <w:sz w:val="20"/>
          <w:szCs w:val="20"/>
        </w:rPr>
        <w:t>计算；废浆外运（含护壁泥浆）执行本章定额子目，工程量按成孔体积的</w:t>
      </w:r>
      <w:r>
        <w:rPr>
          <w:rFonts w:ascii="宋体" w:hAnsi="宋体" w:eastAsia="宋体" w:cs="宋体"/>
          <w:spacing w:val="-19"/>
          <w:sz w:val="20"/>
          <w:szCs w:val="20"/>
        </w:rPr>
        <w:t xml:space="preserve"> </w:t>
      </w:r>
      <w:r>
        <w:rPr>
          <w:rFonts w:ascii="宋体" w:hAnsi="宋体" w:eastAsia="宋体" w:cs="宋体"/>
          <w:spacing w:val="7"/>
          <w:sz w:val="20"/>
          <w:szCs w:val="20"/>
        </w:rPr>
        <w:t>1.5</w:t>
      </w:r>
      <w:r>
        <w:rPr>
          <w:rFonts w:ascii="宋体" w:hAnsi="宋体" w:eastAsia="宋体" w:cs="宋体"/>
          <w:spacing w:val="-44"/>
          <w:sz w:val="20"/>
          <w:szCs w:val="20"/>
        </w:rPr>
        <w:t xml:space="preserve"> </w:t>
      </w:r>
      <w:r>
        <w:rPr>
          <w:rFonts w:ascii="宋体" w:hAnsi="宋体" w:eastAsia="宋体" w:cs="宋体"/>
          <w:spacing w:val="7"/>
          <w:sz w:val="20"/>
          <w:szCs w:val="20"/>
        </w:rPr>
        <w:t>倍计算。</w:t>
      </w:r>
    </w:p>
    <w:p>
      <w:pPr>
        <w:spacing w:line="276" w:lineRule="exact"/>
        <w:ind w:left="420"/>
        <w:rPr>
          <w:rFonts w:ascii="宋体" w:hAnsi="宋体" w:eastAsia="宋体" w:cs="宋体"/>
          <w:sz w:val="20"/>
          <w:szCs w:val="20"/>
        </w:rPr>
      </w:pPr>
      <w:r>
        <w:rPr>
          <w:rFonts w:ascii="宋体" w:hAnsi="宋体" w:eastAsia="宋体" w:cs="宋体"/>
          <w:b/>
          <w:bCs/>
          <w:spacing w:val="4"/>
          <w:position w:val="1"/>
          <w:sz w:val="20"/>
          <w:szCs w:val="20"/>
        </w:rPr>
        <w:t>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关于箱涵顶板模板支架的计价</w:t>
      </w:r>
    </w:p>
    <w:p>
      <w:pPr>
        <w:spacing w:before="147" w:line="222" w:lineRule="auto"/>
        <w:ind w:left="421"/>
        <w:rPr>
          <w:rFonts w:ascii="宋体" w:hAnsi="宋体" w:eastAsia="宋体" w:cs="宋体"/>
          <w:sz w:val="20"/>
          <w:szCs w:val="20"/>
        </w:rPr>
      </w:pPr>
      <w:r>
        <w:rPr>
          <w:rFonts w:ascii="宋体" w:hAnsi="宋体" w:eastAsia="宋体" w:cs="宋体"/>
          <w:spacing w:val="9"/>
          <w:sz w:val="20"/>
          <w:szCs w:val="20"/>
        </w:rPr>
        <w:t>箱涵顶板模板不包含模板支架，模板支架执行本册定额第二章中箱涵支架定额。</w:t>
      </w:r>
    </w:p>
    <w:p>
      <w:pPr>
        <w:spacing w:before="180" w:line="221" w:lineRule="auto"/>
        <w:ind w:left="428"/>
        <w:rPr>
          <w:rFonts w:ascii="宋体" w:hAnsi="宋体" w:eastAsia="宋体" w:cs="宋体"/>
          <w:sz w:val="20"/>
          <w:szCs w:val="20"/>
        </w:rPr>
      </w:pPr>
      <w:r>
        <w:rPr>
          <w:rFonts w:ascii="宋体" w:hAnsi="宋体" w:eastAsia="宋体" w:cs="宋体"/>
          <w:b/>
          <w:bCs/>
          <w:spacing w:val="7"/>
          <w:sz w:val="20"/>
          <w:szCs w:val="20"/>
        </w:rPr>
        <w:t>十、关于第五册</w:t>
      </w:r>
      <w:r>
        <w:rPr>
          <w:rFonts w:ascii="宋体" w:hAnsi="宋体" w:eastAsia="宋体" w:cs="宋体"/>
          <w:spacing w:val="7"/>
          <w:sz w:val="20"/>
          <w:szCs w:val="20"/>
        </w:rPr>
        <w:t xml:space="preserve"> </w:t>
      </w:r>
      <w:r>
        <w:rPr>
          <w:rFonts w:ascii="宋体" w:hAnsi="宋体" w:eastAsia="宋体" w:cs="宋体"/>
          <w:b/>
          <w:bCs/>
          <w:spacing w:val="7"/>
          <w:sz w:val="20"/>
          <w:szCs w:val="20"/>
        </w:rPr>
        <w:t>给水工程</w:t>
      </w:r>
    </w:p>
    <w:p>
      <w:pPr>
        <w:spacing w:before="179" w:line="383" w:lineRule="auto"/>
        <w:ind w:left="2" w:right="83" w:firstLine="418"/>
        <w:rPr>
          <w:rFonts w:ascii="宋体" w:hAnsi="宋体" w:eastAsia="宋体" w:cs="宋体"/>
          <w:sz w:val="20"/>
          <w:szCs w:val="20"/>
        </w:rPr>
      </w:pPr>
      <w:r>
        <w:rPr>
          <w:rFonts w:ascii="宋体" w:hAnsi="宋体" w:eastAsia="宋体" w:cs="宋体"/>
          <w:spacing w:val="11"/>
          <w:sz w:val="20"/>
          <w:szCs w:val="20"/>
        </w:rPr>
        <w:t>本册定额适用于城镇市政公用给水专业设计及验收、管理范围内的新建、扩建工</w:t>
      </w:r>
      <w:r>
        <w:rPr>
          <w:rFonts w:ascii="宋体" w:hAnsi="宋体" w:eastAsia="宋体" w:cs="宋体"/>
          <w:spacing w:val="10"/>
          <w:sz w:val="20"/>
          <w:szCs w:val="20"/>
        </w:rPr>
        <w:t>程。与安装工</w:t>
      </w:r>
      <w:r>
        <w:rPr>
          <w:rFonts w:ascii="宋体" w:hAnsi="宋体" w:eastAsia="宋体" w:cs="宋体"/>
          <w:spacing w:val="9"/>
          <w:sz w:val="20"/>
          <w:szCs w:val="20"/>
        </w:rPr>
        <w:t>程的划分以给水管进户至对用户计量的水表为界。</w:t>
      </w:r>
    </w:p>
    <w:p>
      <w:pPr>
        <w:spacing w:before="1" w:line="231" w:lineRule="auto"/>
        <w:ind w:left="428"/>
        <w:rPr>
          <w:rFonts w:ascii="宋体" w:hAnsi="宋体" w:eastAsia="宋体" w:cs="宋体"/>
          <w:sz w:val="20"/>
          <w:szCs w:val="20"/>
        </w:rPr>
      </w:pPr>
      <w:r>
        <w:rPr>
          <w:rFonts w:ascii="宋体" w:hAnsi="宋体" w:eastAsia="宋体" w:cs="宋体"/>
          <w:b/>
          <w:bCs/>
          <w:spacing w:val="7"/>
          <w:sz w:val="20"/>
          <w:szCs w:val="20"/>
        </w:rPr>
        <w:t>十一、关于第六册</w:t>
      </w:r>
      <w:r>
        <w:rPr>
          <w:rFonts w:ascii="宋体" w:hAnsi="宋体" w:eastAsia="宋体" w:cs="宋体"/>
          <w:spacing w:val="7"/>
          <w:sz w:val="20"/>
          <w:szCs w:val="20"/>
        </w:rPr>
        <w:t xml:space="preserve"> </w:t>
      </w:r>
      <w:r>
        <w:rPr>
          <w:rFonts w:ascii="宋体" w:hAnsi="宋体" w:eastAsia="宋体" w:cs="宋体"/>
          <w:b/>
          <w:bCs/>
          <w:spacing w:val="7"/>
          <w:sz w:val="20"/>
          <w:szCs w:val="20"/>
        </w:rPr>
        <w:t>排水工程</w:t>
      </w:r>
    </w:p>
    <w:p>
      <w:pPr>
        <w:spacing w:before="177" w:line="278" w:lineRule="exact"/>
        <w:ind w:left="440"/>
        <w:rPr>
          <w:rFonts w:ascii="宋体" w:hAnsi="宋体" w:eastAsia="宋体" w:cs="宋体"/>
          <w:sz w:val="20"/>
          <w:szCs w:val="20"/>
        </w:rPr>
      </w:pPr>
      <w:r>
        <w:rPr>
          <w:rFonts w:ascii="宋体" w:hAnsi="宋体" w:eastAsia="宋体" w:cs="宋体"/>
          <w:b/>
          <w:bCs/>
          <w:spacing w:val="3"/>
          <w:position w:val="1"/>
          <w:sz w:val="20"/>
          <w:szCs w:val="20"/>
        </w:rPr>
        <w:t>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关于定型混凝土管道基础的计算</w:t>
      </w:r>
    </w:p>
    <w:p>
      <w:pPr>
        <w:spacing w:before="135" w:line="375" w:lineRule="auto"/>
        <w:ind w:right="80" w:firstLine="420"/>
        <w:jc w:val="both"/>
        <w:rPr>
          <w:rFonts w:ascii="宋体" w:hAnsi="宋体" w:eastAsia="宋体" w:cs="宋体"/>
          <w:sz w:val="20"/>
          <w:szCs w:val="20"/>
        </w:rPr>
      </w:pPr>
      <w:r>
        <w:rPr>
          <w:rFonts w:ascii="宋体" w:hAnsi="宋体" w:eastAsia="宋体" w:cs="宋体"/>
          <w:spacing w:val="4"/>
          <w:sz w:val="20"/>
          <w:szCs w:val="20"/>
        </w:rPr>
        <w:t>定型混凝土管道基础 ( Φ300</w:t>
      </w:r>
      <w:r>
        <w:rPr>
          <w:rFonts w:ascii="宋体" w:hAnsi="宋体" w:eastAsia="宋体" w:cs="宋体"/>
          <w:spacing w:val="-34"/>
          <w:sz w:val="20"/>
          <w:szCs w:val="20"/>
        </w:rPr>
        <w:t xml:space="preserve"> </w:t>
      </w:r>
      <w:r>
        <w:rPr>
          <w:rFonts w:ascii="宋体" w:hAnsi="宋体" w:eastAsia="宋体" w:cs="宋体"/>
          <w:spacing w:val="4"/>
          <w:sz w:val="20"/>
          <w:szCs w:val="20"/>
        </w:rPr>
        <w:t>至Φ600）按《混凝土排水管道基础及接口》23S516-16/17</w:t>
      </w:r>
      <w:r>
        <w:rPr>
          <w:rFonts w:ascii="宋体" w:hAnsi="宋体" w:eastAsia="宋体" w:cs="宋体"/>
          <w:spacing w:val="-24"/>
          <w:sz w:val="20"/>
          <w:szCs w:val="20"/>
        </w:rPr>
        <w:t xml:space="preserve"> </w:t>
      </w:r>
      <w:r>
        <w:rPr>
          <w:rFonts w:ascii="宋体" w:hAnsi="宋体" w:eastAsia="宋体" w:cs="宋体"/>
          <w:spacing w:val="3"/>
          <w:sz w:val="20"/>
          <w:szCs w:val="20"/>
        </w:rPr>
        <w:t>图集中</w:t>
      </w:r>
      <w:r>
        <w:rPr>
          <w:rFonts w:ascii="宋体" w:hAnsi="宋体" w:eastAsia="宋体" w:cs="宋体"/>
          <w:spacing w:val="9"/>
          <w:sz w:val="20"/>
          <w:szCs w:val="20"/>
        </w:rPr>
        <w:t>Ⅱ级管道混凝土基础计入，如实际采用</w:t>
      </w:r>
      <w:r>
        <w:rPr>
          <w:rFonts w:ascii="宋体" w:hAnsi="宋体" w:eastAsia="宋体" w:cs="宋体"/>
          <w:spacing w:val="-20"/>
          <w:sz w:val="20"/>
          <w:szCs w:val="20"/>
        </w:rPr>
        <w:t xml:space="preserve"> </w:t>
      </w:r>
      <w:r>
        <w:rPr>
          <w:rFonts w:ascii="宋体" w:hAnsi="宋体" w:eastAsia="宋体" w:cs="宋体"/>
          <w:spacing w:val="9"/>
          <w:sz w:val="20"/>
          <w:szCs w:val="20"/>
        </w:rPr>
        <w:t>Ⅰ级混凝土管道混凝土基础时，混凝土用量可按下表调整，</w:t>
      </w:r>
      <w:r>
        <w:rPr>
          <w:rFonts w:ascii="宋体" w:hAnsi="宋体" w:eastAsia="宋体" w:cs="宋体"/>
          <w:spacing w:val="6"/>
          <w:sz w:val="20"/>
          <w:szCs w:val="20"/>
        </w:rPr>
        <w:t>其他不变。</w:t>
      </w:r>
    </w:p>
    <w:p>
      <w:pPr>
        <w:spacing w:line="375" w:lineRule="auto"/>
        <w:rPr>
          <w:rFonts w:ascii="宋体" w:hAnsi="宋体" w:eastAsia="宋体" w:cs="宋体"/>
          <w:sz w:val="20"/>
          <w:szCs w:val="20"/>
        </w:rPr>
        <w:sectPr>
          <w:footerReference r:id="rId247" w:type="default"/>
          <w:pgSz w:w="11906" w:h="16839"/>
          <w:pgMar w:top="400" w:right="1337"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995" w:lineRule="exact"/>
        <w:ind w:firstLine="179"/>
      </w:pPr>
      <w:r>
        <w:rPr>
          <w:position w:val="-59"/>
        </w:rPr>
        <w:drawing>
          <wp:inline distT="0" distB="0" distL="0" distR="0">
            <wp:extent cx="5263515" cy="190182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417"/>
                    <a:stretch>
                      <a:fillRect/>
                    </a:stretch>
                  </pic:blipFill>
                  <pic:spPr>
                    <a:xfrm>
                      <a:off x="0" y="0"/>
                      <a:ext cx="5263895" cy="1901952"/>
                    </a:xfrm>
                    <a:prstGeom prst="rect">
                      <a:avLst/>
                    </a:prstGeom>
                  </pic:spPr>
                </pic:pic>
              </a:graphicData>
            </a:graphic>
          </wp:inline>
        </w:drawing>
      </w:r>
    </w:p>
    <w:p>
      <w:pPr>
        <w:spacing w:before="271" w:line="277" w:lineRule="exact"/>
        <w:ind w:left="422"/>
        <w:rPr>
          <w:rFonts w:ascii="宋体" w:hAnsi="宋体" w:eastAsia="宋体" w:cs="宋体"/>
          <w:sz w:val="20"/>
          <w:szCs w:val="20"/>
        </w:rPr>
      </w:pPr>
      <w:r>
        <w:rPr>
          <w:rFonts w:ascii="宋体" w:hAnsi="宋体" w:eastAsia="宋体" w:cs="宋体"/>
          <w:b/>
          <w:bCs/>
          <w:spacing w:val="6"/>
          <w:position w:val="1"/>
          <w:sz w:val="20"/>
          <w:szCs w:val="20"/>
        </w:rPr>
        <w:t>2.</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关于市政工程各种管道（包括电力、通信管道）通长满包混凝土的计价</w:t>
      </w:r>
    </w:p>
    <w:p>
      <w:pPr>
        <w:spacing w:before="122" w:line="351" w:lineRule="auto"/>
        <w:ind w:left="1" w:firstLine="421"/>
        <w:rPr>
          <w:rFonts w:ascii="宋体" w:hAnsi="宋体" w:eastAsia="宋体" w:cs="宋体"/>
          <w:sz w:val="20"/>
          <w:szCs w:val="20"/>
        </w:rPr>
      </w:pPr>
      <w:r>
        <w:rPr>
          <w:rFonts w:ascii="宋体" w:hAnsi="宋体" w:eastAsia="宋体" w:cs="宋体"/>
          <w:spacing w:val="8"/>
          <w:sz w:val="20"/>
          <w:szCs w:val="20"/>
        </w:rPr>
        <w:t>市政工程各种管道（包括电力、通信管道）通长</w:t>
      </w:r>
      <w:r>
        <w:rPr>
          <w:rFonts w:ascii="宋体" w:hAnsi="宋体" w:eastAsia="宋体" w:cs="宋体"/>
          <w:spacing w:val="7"/>
          <w:sz w:val="20"/>
          <w:szCs w:val="20"/>
        </w:rPr>
        <w:t>满包，均按第十一册管廊工程中的“管道包封</w:t>
      </w:r>
      <w:r>
        <w:rPr>
          <w:rFonts w:ascii="宋体" w:hAnsi="宋体" w:eastAsia="宋体" w:cs="宋体"/>
          <w:spacing w:val="-70"/>
          <w:sz w:val="20"/>
          <w:szCs w:val="20"/>
        </w:rPr>
        <w:t xml:space="preserve"> </w:t>
      </w:r>
      <w:r>
        <w:rPr>
          <w:rFonts w:ascii="宋体" w:hAnsi="宋体" w:eastAsia="宋体" w:cs="宋体"/>
          <w:spacing w:val="7"/>
          <w:sz w:val="20"/>
          <w:szCs w:val="20"/>
        </w:rPr>
        <w:t>”</w:t>
      </w:r>
      <w:r>
        <w:rPr>
          <w:rFonts w:ascii="宋体" w:hAnsi="宋体" w:eastAsia="宋体" w:cs="宋体"/>
          <w:spacing w:val="6"/>
          <w:sz w:val="20"/>
          <w:szCs w:val="20"/>
        </w:rPr>
        <w:t>项目执行。</w:t>
      </w:r>
    </w:p>
    <w:p>
      <w:pPr>
        <w:spacing w:before="40" w:line="277" w:lineRule="exact"/>
        <w:ind w:left="426"/>
        <w:rPr>
          <w:rFonts w:ascii="宋体" w:hAnsi="宋体" w:eastAsia="宋体" w:cs="宋体"/>
          <w:sz w:val="20"/>
          <w:szCs w:val="20"/>
        </w:rPr>
      </w:pPr>
      <w:r>
        <w:rPr>
          <w:rFonts w:ascii="宋体" w:hAnsi="宋体" w:eastAsia="宋体" w:cs="宋体"/>
          <w:b/>
          <w:bCs/>
          <w:spacing w:val="3"/>
          <w:position w:val="1"/>
          <w:sz w:val="20"/>
          <w:szCs w:val="20"/>
        </w:rPr>
        <w:t>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关于水平定向钻进的计价</w:t>
      </w:r>
    </w:p>
    <w:p>
      <w:pPr>
        <w:spacing w:before="121" w:line="359" w:lineRule="auto"/>
        <w:ind w:left="1" w:right="100" w:firstLine="418"/>
        <w:rPr>
          <w:rFonts w:ascii="宋体" w:hAnsi="宋体" w:eastAsia="宋体" w:cs="宋体"/>
          <w:sz w:val="20"/>
          <w:szCs w:val="20"/>
        </w:rPr>
      </w:pPr>
      <w:r>
        <w:rPr>
          <w:rFonts w:ascii="宋体" w:hAnsi="宋体" w:eastAsia="宋体" w:cs="宋体"/>
          <w:spacing w:val="11"/>
          <w:sz w:val="20"/>
          <w:szCs w:val="20"/>
        </w:rPr>
        <w:t>水平定向钻进包括水平定向钻进土层和钻进岩层</w:t>
      </w:r>
      <w:r>
        <w:rPr>
          <w:rFonts w:ascii="宋体" w:hAnsi="宋体" w:eastAsia="宋体" w:cs="宋体"/>
          <w:spacing w:val="-59"/>
          <w:sz w:val="20"/>
          <w:szCs w:val="20"/>
        </w:rPr>
        <w:t xml:space="preserve"> </w:t>
      </w:r>
      <w:r>
        <w:rPr>
          <w:rFonts w:ascii="宋体" w:hAnsi="宋体" w:eastAsia="宋体" w:cs="宋体"/>
          <w:spacing w:val="11"/>
          <w:sz w:val="20"/>
          <w:szCs w:val="20"/>
        </w:rPr>
        <w:t>，适用于穿越距离</w:t>
      </w:r>
      <w:r>
        <w:rPr>
          <w:rFonts w:ascii="宋体" w:hAnsi="宋体" w:eastAsia="宋体" w:cs="宋体"/>
          <w:spacing w:val="-36"/>
          <w:sz w:val="20"/>
          <w:szCs w:val="20"/>
        </w:rPr>
        <w:t xml:space="preserve"> </w:t>
      </w:r>
      <w:r>
        <w:rPr>
          <w:rFonts w:ascii="宋体" w:hAnsi="宋体" w:eastAsia="宋体" w:cs="宋体"/>
          <w:spacing w:val="11"/>
          <w:sz w:val="20"/>
          <w:szCs w:val="20"/>
        </w:rPr>
        <w:t>300m</w:t>
      </w:r>
      <w:r>
        <w:rPr>
          <w:rFonts w:ascii="宋体" w:hAnsi="宋体" w:eastAsia="宋体" w:cs="宋体"/>
          <w:spacing w:val="-20"/>
          <w:sz w:val="20"/>
          <w:szCs w:val="20"/>
        </w:rPr>
        <w:t xml:space="preserve"> </w:t>
      </w:r>
      <w:r>
        <w:rPr>
          <w:rFonts w:ascii="宋体" w:hAnsi="宋体" w:eastAsia="宋体" w:cs="宋体"/>
          <w:spacing w:val="11"/>
          <w:sz w:val="20"/>
          <w:szCs w:val="20"/>
        </w:rPr>
        <w:t>以内水平定向钻进施</w:t>
      </w:r>
      <w:r>
        <w:rPr>
          <w:rFonts w:ascii="宋体" w:hAnsi="宋体" w:eastAsia="宋体" w:cs="宋体"/>
          <w:spacing w:val="2"/>
          <w:sz w:val="20"/>
          <w:szCs w:val="20"/>
        </w:rPr>
        <w:t>工。</w:t>
      </w:r>
    </w:p>
    <w:p>
      <w:pPr>
        <w:spacing w:before="23" w:line="360" w:lineRule="auto"/>
        <w:ind w:right="100" w:firstLine="420"/>
        <w:jc w:val="both"/>
        <w:rPr>
          <w:rFonts w:ascii="宋体" w:hAnsi="宋体" w:eastAsia="宋体" w:cs="宋体"/>
          <w:sz w:val="20"/>
          <w:szCs w:val="20"/>
        </w:rPr>
      </w:pPr>
      <w:r>
        <w:rPr>
          <w:rFonts w:ascii="宋体" w:hAnsi="宋体" w:eastAsia="宋体" w:cs="宋体"/>
          <w:spacing w:val="11"/>
          <w:sz w:val="20"/>
          <w:szCs w:val="20"/>
        </w:rPr>
        <w:t>水平定向钻进土层按照《岩土工程勘察规范》土类综合考虑，不适用于穿越砂土</w:t>
      </w:r>
      <w:r>
        <w:rPr>
          <w:rFonts w:ascii="宋体" w:hAnsi="宋体" w:eastAsia="宋体" w:cs="宋体"/>
          <w:spacing w:val="10"/>
          <w:sz w:val="20"/>
          <w:szCs w:val="20"/>
        </w:rPr>
        <w:t>、碎石土、杂</w:t>
      </w:r>
      <w:r>
        <w:rPr>
          <w:rFonts w:ascii="宋体" w:hAnsi="宋体" w:eastAsia="宋体" w:cs="宋体"/>
          <w:spacing w:val="11"/>
          <w:sz w:val="20"/>
          <w:szCs w:val="20"/>
        </w:rPr>
        <w:t>填土。钻进岩层按《工程岩体分级标准》中较软岩考虑，如穿越极软岩时，按钻导向</w:t>
      </w:r>
      <w:r>
        <w:rPr>
          <w:rFonts w:ascii="宋体" w:hAnsi="宋体" w:eastAsia="宋体" w:cs="宋体"/>
          <w:spacing w:val="10"/>
          <w:sz w:val="20"/>
          <w:szCs w:val="20"/>
        </w:rPr>
        <w:t>孔和扩孔定额</w:t>
      </w:r>
      <w:r>
        <w:rPr>
          <w:rFonts w:ascii="宋体" w:hAnsi="宋体" w:eastAsia="宋体" w:cs="宋体"/>
          <w:spacing w:val="8"/>
          <w:sz w:val="20"/>
          <w:szCs w:val="20"/>
        </w:rPr>
        <w:t>人工、材料、机械乘以系数</w:t>
      </w:r>
      <w:r>
        <w:rPr>
          <w:rFonts w:ascii="宋体" w:hAnsi="宋体" w:eastAsia="宋体" w:cs="宋体"/>
          <w:spacing w:val="-40"/>
          <w:sz w:val="20"/>
          <w:szCs w:val="20"/>
        </w:rPr>
        <w:t xml:space="preserve"> </w:t>
      </w:r>
      <w:r>
        <w:rPr>
          <w:rFonts w:ascii="宋体" w:hAnsi="宋体" w:eastAsia="宋体" w:cs="宋体"/>
          <w:spacing w:val="8"/>
          <w:sz w:val="20"/>
          <w:szCs w:val="20"/>
        </w:rPr>
        <w:t>0.35</w:t>
      </w:r>
      <w:r>
        <w:rPr>
          <w:rFonts w:ascii="宋体" w:hAnsi="宋体" w:eastAsia="宋体" w:cs="宋体"/>
          <w:spacing w:val="-43"/>
          <w:sz w:val="20"/>
          <w:szCs w:val="20"/>
        </w:rPr>
        <w:t xml:space="preserve"> </w:t>
      </w:r>
      <w:r>
        <w:rPr>
          <w:rFonts w:ascii="宋体" w:hAnsi="宋体" w:eastAsia="宋体" w:cs="宋体"/>
          <w:spacing w:val="8"/>
          <w:sz w:val="20"/>
          <w:szCs w:val="20"/>
        </w:rPr>
        <w:t>计算；如穿越软岩时，按钻导向孔和扩孔定</w:t>
      </w:r>
      <w:r>
        <w:rPr>
          <w:rFonts w:ascii="宋体" w:hAnsi="宋体" w:eastAsia="宋体" w:cs="宋体"/>
          <w:spacing w:val="7"/>
          <w:sz w:val="20"/>
          <w:szCs w:val="20"/>
        </w:rPr>
        <w:t>额人工、材料、机械乘</w:t>
      </w:r>
      <w:r>
        <w:rPr>
          <w:rFonts w:ascii="宋体" w:hAnsi="宋体" w:eastAsia="宋体" w:cs="宋体"/>
          <w:spacing w:val="5"/>
          <w:sz w:val="20"/>
          <w:szCs w:val="20"/>
        </w:rPr>
        <w:t>以系数</w:t>
      </w:r>
      <w:r>
        <w:rPr>
          <w:rFonts w:ascii="宋体" w:hAnsi="宋体" w:eastAsia="宋体" w:cs="宋体"/>
          <w:spacing w:val="-40"/>
          <w:sz w:val="20"/>
          <w:szCs w:val="20"/>
        </w:rPr>
        <w:t xml:space="preserve"> </w:t>
      </w:r>
      <w:r>
        <w:rPr>
          <w:rFonts w:ascii="宋体" w:hAnsi="宋体" w:eastAsia="宋体" w:cs="宋体"/>
          <w:spacing w:val="5"/>
          <w:sz w:val="20"/>
          <w:szCs w:val="20"/>
        </w:rPr>
        <w:t>0.7</w:t>
      </w:r>
      <w:r>
        <w:rPr>
          <w:rFonts w:ascii="宋体" w:hAnsi="宋体" w:eastAsia="宋体" w:cs="宋体"/>
          <w:spacing w:val="-43"/>
          <w:sz w:val="20"/>
          <w:szCs w:val="20"/>
        </w:rPr>
        <w:t xml:space="preserve"> </w:t>
      </w:r>
      <w:r>
        <w:rPr>
          <w:rFonts w:ascii="宋体" w:hAnsi="宋体" w:eastAsia="宋体" w:cs="宋体"/>
          <w:spacing w:val="5"/>
          <w:sz w:val="20"/>
          <w:szCs w:val="20"/>
        </w:rPr>
        <w:t>计算；如穿越较硬岩时，按钻导向孔和扩孔定额人工、材</w:t>
      </w:r>
      <w:r>
        <w:rPr>
          <w:rFonts w:ascii="宋体" w:hAnsi="宋体" w:eastAsia="宋体" w:cs="宋体"/>
          <w:spacing w:val="4"/>
          <w:sz w:val="20"/>
          <w:szCs w:val="20"/>
        </w:rPr>
        <w:t>料、机械乘以系数</w:t>
      </w:r>
      <w:r>
        <w:rPr>
          <w:rFonts w:ascii="宋体" w:hAnsi="宋体" w:eastAsia="宋体" w:cs="宋体"/>
          <w:spacing w:val="-22"/>
          <w:sz w:val="20"/>
          <w:szCs w:val="20"/>
        </w:rPr>
        <w:t xml:space="preserve"> </w:t>
      </w:r>
      <w:r>
        <w:rPr>
          <w:rFonts w:ascii="宋体" w:hAnsi="宋体" w:eastAsia="宋体" w:cs="宋体"/>
          <w:spacing w:val="4"/>
          <w:sz w:val="20"/>
          <w:szCs w:val="20"/>
        </w:rPr>
        <w:t>1.3</w:t>
      </w:r>
      <w:r>
        <w:rPr>
          <w:rFonts w:ascii="宋体" w:hAnsi="宋体" w:eastAsia="宋体" w:cs="宋体"/>
          <w:spacing w:val="-43"/>
          <w:sz w:val="20"/>
          <w:szCs w:val="20"/>
        </w:rPr>
        <w:t xml:space="preserve"> </w:t>
      </w:r>
      <w:r>
        <w:rPr>
          <w:rFonts w:ascii="宋体" w:hAnsi="宋体" w:eastAsia="宋体" w:cs="宋体"/>
          <w:spacing w:val="4"/>
          <w:sz w:val="20"/>
          <w:szCs w:val="20"/>
        </w:rPr>
        <w:t>计算。本</w:t>
      </w:r>
      <w:r>
        <w:rPr>
          <w:rFonts w:ascii="宋体" w:hAnsi="宋体" w:eastAsia="宋体" w:cs="宋体"/>
          <w:spacing w:val="8"/>
          <w:sz w:val="20"/>
          <w:szCs w:val="20"/>
        </w:rPr>
        <w:t>定额不适用于穿越坚硬岩。</w:t>
      </w:r>
    </w:p>
    <w:p>
      <w:pPr>
        <w:spacing w:before="50" w:line="369" w:lineRule="auto"/>
        <w:ind w:left="1" w:right="102" w:firstLine="421"/>
        <w:rPr>
          <w:rFonts w:ascii="宋体" w:hAnsi="宋体" w:eastAsia="宋体" w:cs="宋体"/>
          <w:sz w:val="20"/>
          <w:szCs w:val="20"/>
        </w:rPr>
      </w:pPr>
      <w:r>
        <w:rPr>
          <w:rFonts w:ascii="宋体" w:hAnsi="宋体" w:eastAsia="宋体" w:cs="宋体"/>
          <w:spacing w:val="11"/>
          <w:sz w:val="20"/>
          <w:szCs w:val="20"/>
        </w:rPr>
        <w:t>如穿越特殊地质碎石土、杂填土、溶洞、透水岩层、坚硬岩等采取其他</w:t>
      </w:r>
      <w:r>
        <w:rPr>
          <w:rFonts w:ascii="宋体" w:hAnsi="宋体" w:eastAsia="宋体" w:cs="宋体"/>
          <w:spacing w:val="10"/>
          <w:sz w:val="20"/>
          <w:szCs w:val="20"/>
        </w:rPr>
        <w:t>措施（如夯管或注浆固</w:t>
      </w:r>
      <w:r>
        <w:rPr>
          <w:rFonts w:ascii="宋体" w:hAnsi="宋体" w:eastAsia="宋体" w:cs="宋体"/>
          <w:spacing w:val="8"/>
          <w:sz w:val="20"/>
          <w:szCs w:val="20"/>
        </w:rPr>
        <w:t>化后）施工时，费用另计。</w:t>
      </w:r>
    </w:p>
    <w:p>
      <w:pPr>
        <w:spacing w:line="276" w:lineRule="exact"/>
        <w:ind w:left="419"/>
        <w:rPr>
          <w:rFonts w:ascii="宋体" w:hAnsi="宋体" w:eastAsia="宋体" w:cs="宋体"/>
          <w:sz w:val="20"/>
          <w:szCs w:val="20"/>
        </w:rPr>
      </w:pPr>
      <w:r>
        <w:rPr>
          <w:rFonts w:ascii="宋体" w:hAnsi="宋体" w:eastAsia="宋体" w:cs="宋体"/>
          <w:b/>
          <w:bCs/>
          <w:spacing w:val="1"/>
          <w:position w:val="1"/>
          <w:sz w:val="20"/>
          <w:szCs w:val="20"/>
        </w:rPr>
        <w:t>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关于顶管的计价</w:t>
      </w:r>
    </w:p>
    <w:p>
      <w:pPr>
        <w:spacing w:before="125" w:line="313" w:lineRule="auto"/>
        <w:ind w:right="78" w:firstLine="412"/>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7"/>
          <w:sz w:val="20"/>
          <w:szCs w:val="20"/>
        </w:rPr>
        <w:t xml:space="preserve"> </w:t>
      </w:r>
      <w:r>
        <w:rPr>
          <w:rFonts w:ascii="宋体" w:hAnsi="宋体" w:eastAsia="宋体" w:cs="宋体"/>
          <w:spacing w:val="8"/>
          <w:sz w:val="20"/>
          <w:szCs w:val="20"/>
        </w:rPr>
        <w:t>1）工作坑内管（涵）明敷，应根据管径、接口形式执行本册第</w:t>
      </w:r>
      <w:r>
        <w:rPr>
          <w:rFonts w:ascii="宋体" w:hAnsi="宋体" w:eastAsia="宋体" w:cs="宋体"/>
          <w:spacing w:val="7"/>
          <w:sz w:val="20"/>
          <w:szCs w:val="20"/>
        </w:rPr>
        <w:t>二章“管道敷设”相应子目，</w:t>
      </w:r>
      <w:r>
        <w:rPr>
          <w:rFonts w:ascii="宋体" w:hAnsi="宋体" w:eastAsia="宋体" w:cs="宋体"/>
          <w:spacing w:val="2"/>
          <w:sz w:val="20"/>
          <w:szCs w:val="20"/>
        </w:rPr>
        <w:t>人工乘以系数</w:t>
      </w:r>
      <w:r>
        <w:rPr>
          <w:rFonts w:ascii="宋体" w:hAnsi="宋体" w:eastAsia="宋体" w:cs="宋体"/>
          <w:spacing w:val="-14"/>
          <w:sz w:val="20"/>
          <w:szCs w:val="20"/>
        </w:rPr>
        <w:t xml:space="preserve"> </w:t>
      </w:r>
      <w:r>
        <w:rPr>
          <w:rFonts w:ascii="宋体" w:hAnsi="宋体" w:eastAsia="宋体" w:cs="宋体"/>
          <w:spacing w:val="2"/>
          <w:sz w:val="20"/>
          <w:szCs w:val="20"/>
        </w:rPr>
        <w:t>1.1，其他不变。</w:t>
      </w:r>
    </w:p>
    <w:p>
      <w:pPr>
        <w:spacing w:before="121" w:line="298" w:lineRule="auto"/>
        <w:ind w:left="1" w:right="102" w:firstLine="410"/>
        <w:rPr>
          <w:rFonts w:ascii="宋体" w:hAnsi="宋体" w:eastAsia="宋体" w:cs="宋体"/>
          <w:sz w:val="20"/>
          <w:szCs w:val="20"/>
        </w:rPr>
      </w:pPr>
      <w:r>
        <w:rPr>
          <w:rFonts w:ascii="宋体" w:hAnsi="宋体" w:eastAsia="宋体" w:cs="宋体"/>
          <w:spacing w:val="8"/>
          <w:sz w:val="20"/>
          <w:szCs w:val="20"/>
        </w:rPr>
        <w:t>（2）顶进机械及附属设备安拆定额中，已包含双向顶进时设备调向的安拆以及设备工作坑之间转移，进出场费用另行计算。</w:t>
      </w:r>
    </w:p>
    <w:p>
      <w:pPr>
        <w:spacing w:before="156" w:line="277" w:lineRule="exact"/>
        <w:ind w:left="412"/>
        <w:rPr>
          <w:rFonts w:ascii="宋体" w:hAnsi="宋体" w:eastAsia="宋体" w:cs="宋体"/>
          <w:sz w:val="20"/>
          <w:szCs w:val="20"/>
        </w:rPr>
      </w:pPr>
      <w:r>
        <w:rPr>
          <w:rFonts w:ascii="宋体" w:hAnsi="宋体" w:eastAsia="宋体" w:cs="宋体"/>
          <w:spacing w:val="10"/>
          <w:position w:val="1"/>
          <w:sz w:val="20"/>
          <w:szCs w:val="20"/>
        </w:rPr>
        <w:t>（3）顶管顶进工程，洞内临时照明、临时通</w:t>
      </w:r>
      <w:r>
        <w:rPr>
          <w:rFonts w:ascii="宋体" w:hAnsi="宋体" w:eastAsia="宋体" w:cs="宋体"/>
          <w:spacing w:val="9"/>
          <w:position w:val="1"/>
          <w:sz w:val="20"/>
          <w:szCs w:val="20"/>
        </w:rPr>
        <w:t>风已综合考虑，不单独计算。</w:t>
      </w:r>
    </w:p>
    <w:p>
      <w:pPr>
        <w:spacing w:before="121" w:line="276" w:lineRule="exact"/>
        <w:ind w:left="422"/>
        <w:rPr>
          <w:rFonts w:ascii="宋体" w:hAnsi="宋体" w:eastAsia="宋体" w:cs="宋体"/>
          <w:sz w:val="20"/>
          <w:szCs w:val="20"/>
        </w:rPr>
      </w:pPr>
      <w:r>
        <w:rPr>
          <w:rFonts w:ascii="宋体" w:hAnsi="宋体" w:eastAsia="宋体" w:cs="宋体"/>
          <w:b/>
          <w:bCs/>
          <w:spacing w:val="3"/>
          <w:position w:val="1"/>
          <w:sz w:val="20"/>
          <w:szCs w:val="20"/>
        </w:rPr>
        <w:t>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关于渠道（方沟）的计价</w:t>
      </w:r>
    </w:p>
    <w:p>
      <w:pPr>
        <w:spacing w:before="106" w:line="293" w:lineRule="exact"/>
        <w:ind w:right="32"/>
        <w:jc w:val="right"/>
        <w:rPr>
          <w:rFonts w:ascii="宋体" w:hAnsi="宋体" w:eastAsia="宋体" w:cs="宋体"/>
          <w:sz w:val="20"/>
          <w:szCs w:val="20"/>
        </w:rPr>
      </w:pPr>
      <w:r>
        <w:rPr>
          <w:rFonts w:ascii="宋体" w:hAnsi="宋体" w:eastAsia="宋体" w:cs="宋体"/>
          <w:spacing w:val="7"/>
          <w:position w:val="2"/>
          <w:sz w:val="20"/>
          <w:szCs w:val="20"/>
        </w:rPr>
        <w:t>（</w:t>
      </w:r>
      <w:r>
        <w:rPr>
          <w:rFonts w:ascii="宋体" w:hAnsi="宋体" w:eastAsia="宋体" w:cs="宋体"/>
          <w:spacing w:val="-34"/>
          <w:position w:val="2"/>
          <w:sz w:val="20"/>
          <w:szCs w:val="20"/>
        </w:rPr>
        <w:t xml:space="preserve"> </w:t>
      </w:r>
      <w:r>
        <w:rPr>
          <w:rFonts w:ascii="宋体" w:hAnsi="宋体" w:eastAsia="宋体" w:cs="宋体"/>
          <w:spacing w:val="7"/>
          <w:position w:val="2"/>
          <w:sz w:val="20"/>
          <w:szCs w:val="20"/>
        </w:rPr>
        <w:t>1）排水箱涵断面净面积大于</w:t>
      </w:r>
      <w:r>
        <w:rPr>
          <w:rFonts w:ascii="宋体" w:hAnsi="宋体" w:eastAsia="宋体" w:cs="宋体"/>
          <w:spacing w:val="-42"/>
          <w:position w:val="2"/>
          <w:sz w:val="20"/>
          <w:szCs w:val="20"/>
        </w:rPr>
        <w:t xml:space="preserve"> </w:t>
      </w:r>
      <w:r>
        <w:rPr>
          <w:rFonts w:ascii="宋体" w:hAnsi="宋体" w:eastAsia="宋体" w:cs="宋体"/>
          <w:spacing w:val="7"/>
          <w:position w:val="2"/>
          <w:sz w:val="20"/>
          <w:szCs w:val="20"/>
        </w:rPr>
        <w:t>4m</w:t>
      </w:r>
      <w:r>
        <w:rPr>
          <w:rFonts w:ascii="宋体" w:hAnsi="宋体" w:eastAsia="宋体" w:cs="宋体"/>
          <w:spacing w:val="7"/>
          <w:position w:val="12"/>
          <w:sz w:val="10"/>
          <w:szCs w:val="10"/>
        </w:rPr>
        <w:t>2</w:t>
      </w:r>
      <w:r>
        <w:rPr>
          <w:rFonts w:ascii="宋体" w:hAnsi="宋体" w:eastAsia="宋体" w:cs="宋体"/>
          <w:spacing w:val="-9"/>
          <w:position w:val="12"/>
          <w:sz w:val="10"/>
          <w:szCs w:val="10"/>
        </w:rPr>
        <w:t xml:space="preserve"> </w:t>
      </w:r>
      <w:r>
        <w:rPr>
          <w:rFonts w:ascii="宋体" w:hAnsi="宋体" w:eastAsia="宋体" w:cs="宋体"/>
          <w:spacing w:val="7"/>
          <w:position w:val="2"/>
          <w:sz w:val="20"/>
          <w:szCs w:val="20"/>
        </w:rPr>
        <w:t>时,按第三册《桥涵工程》中“现浇混凝土箱涵”项目执行。</w:t>
      </w:r>
    </w:p>
    <w:p>
      <w:pPr>
        <w:spacing w:before="127" w:line="277" w:lineRule="exact"/>
        <w:ind w:left="412"/>
        <w:rPr>
          <w:rFonts w:ascii="宋体" w:hAnsi="宋体" w:eastAsia="宋体" w:cs="宋体"/>
          <w:sz w:val="20"/>
          <w:szCs w:val="20"/>
        </w:rPr>
      </w:pPr>
      <w:r>
        <w:rPr>
          <w:rFonts w:ascii="宋体" w:hAnsi="宋体" w:eastAsia="宋体" w:cs="宋体"/>
          <w:spacing w:val="10"/>
          <w:position w:val="1"/>
          <w:sz w:val="20"/>
          <w:szCs w:val="20"/>
        </w:rPr>
        <w:t>（2）施工缝按第八册《水处理工程》中“变</w:t>
      </w:r>
      <w:r>
        <w:rPr>
          <w:rFonts w:ascii="宋体" w:hAnsi="宋体" w:eastAsia="宋体" w:cs="宋体"/>
          <w:spacing w:val="9"/>
          <w:position w:val="1"/>
          <w:sz w:val="20"/>
          <w:szCs w:val="20"/>
        </w:rPr>
        <w:t>形缝与止水带”有关项目执行。</w:t>
      </w:r>
    </w:p>
    <w:p>
      <w:pPr>
        <w:spacing w:before="121" w:line="313" w:lineRule="auto"/>
        <w:ind w:right="100" w:firstLine="412"/>
        <w:rPr>
          <w:rFonts w:ascii="宋体" w:hAnsi="宋体" w:eastAsia="宋体" w:cs="宋体"/>
          <w:sz w:val="20"/>
          <w:szCs w:val="20"/>
        </w:rPr>
      </w:pPr>
      <w:r>
        <w:rPr>
          <w:rFonts w:ascii="宋体" w:hAnsi="宋体" w:eastAsia="宋体" w:cs="宋体"/>
          <w:spacing w:val="4"/>
          <w:sz w:val="20"/>
          <w:szCs w:val="20"/>
        </w:rPr>
        <w:t>（3）电力隧道(管廊)执行第十一册《城市</w:t>
      </w:r>
      <w:r>
        <w:rPr>
          <w:rFonts w:ascii="宋体" w:hAnsi="宋体" w:eastAsia="宋体" w:cs="宋体"/>
          <w:spacing w:val="3"/>
          <w:sz w:val="20"/>
          <w:szCs w:val="20"/>
        </w:rPr>
        <w:t>地下综合管廊工程》有关项目。电力沟(截面小,无容纳人员进入工作的空间)执行本章“渠道(方沟)</w:t>
      </w:r>
      <w:r>
        <w:rPr>
          <w:rFonts w:ascii="宋体" w:hAnsi="宋体" w:eastAsia="宋体" w:cs="宋体"/>
          <w:spacing w:val="-84"/>
          <w:sz w:val="20"/>
          <w:szCs w:val="20"/>
        </w:rPr>
        <w:t xml:space="preserve"> </w:t>
      </w:r>
      <w:r>
        <w:rPr>
          <w:rFonts w:ascii="宋体" w:hAnsi="宋体" w:eastAsia="宋体" w:cs="宋体"/>
          <w:spacing w:val="3"/>
          <w:sz w:val="20"/>
          <w:szCs w:val="20"/>
        </w:rPr>
        <w:t>”相应项目。</w:t>
      </w:r>
    </w:p>
    <w:p>
      <w:pPr>
        <w:spacing w:before="123" w:line="277" w:lineRule="exact"/>
        <w:ind w:left="423"/>
        <w:rPr>
          <w:rFonts w:ascii="宋体" w:hAnsi="宋体" w:eastAsia="宋体" w:cs="宋体"/>
          <w:sz w:val="20"/>
          <w:szCs w:val="20"/>
        </w:rPr>
      </w:pPr>
      <w:r>
        <w:rPr>
          <w:rFonts w:ascii="宋体" w:hAnsi="宋体" w:eastAsia="宋体" w:cs="宋体"/>
          <w:b/>
          <w:bCs/>
          <w:spacing w:val="3"/>
          <w:position w:val="1"/>
          <w:sz w:val="20"/>
          <w:szCs w:val="20"/>
        </w:rPr>
        <w:t>6.</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关于模板及井字架的计价</w:t>
      </w:r>
    </w:p>
    <w:p>
      <w:pPr>
        <w:spacing w:before="121" w:line="369" w:lineRule="auto"/>
        <w:ind w:left="1" w:right="100" w:firstLine="411"/>
        <w:rPr>
          <w:rFonts w:ascii="宋体" w:hAnsi="宋体" w:eastAsia="宋体" w:cs="宋体"/>
          <w:sz w:val="20"/>
          <w:szCs w:val="20"/>
        </w:rPr>
      </w:pPr>
      <w:r>
        <w:rPr>
          <w:rFonts w:ascii="宋体" w:hAnsi="宋体" w:eastAsia="宋体" w:cs="宋体"/>
          <w:spacing w:val="9"/>
          <w:sz w:val="20"/>
          <w:szCs w:val="20"/>
        </w:rPr>
        <w:t>（</w:t>
      </w:r>
      <w:r>
        <w:rPr>
          <w:rFonts w:ascii="宋体" w:hAnsi="宋体" w:eastAsia="宋体" w:cs="宋体"/>
          <w:spacing w:val="-47"/>
          <w:sz w:val="20"/>
          <w:szCs w:val="20"/>
        </w:rPr>
        <w:t xml:space="preserve"> </w:t>
      </w:r>
      <w:r>
        <w:rPr>
          <w:rFonts w:ascii="宋体" w:hAnsi="宋体" w:eastAsia="宋体" w:cs="宋体"/>
          <w:spacing w:val="9"/>
          <w:sz w:val="20"/>
          <w:szCs w:val="20"/>
        </w:rPr>
        <w:t>1）混凝土顶（盖）板组合钢模板定额按使用期</w:t>
      </w:r>
      <w:r>
        <w:rPr>
          <w:rFonts w:ascii="宋体" w:hAnsi="宋体" w:eastAsia="宋体" w:cs="宋体"/>
          <w:spacing w:val="-35"/>
          <w:sz w:val="20"/>
          <w:szCs w:val="20"/>
        </w:rPr>
        <w:t xml:space="preserve"> </w:t>
      </w:r>
      <w:r>
        <w:rPr>
          <w:rFonts w:ascii="宋体" w:hAnsi="宋体" w:eastAsia="宋体" w:cs="宋体"/>
          <w:spacing w:val="9"/>
          <w:sz w:val="20"/>
          <w:szCs w:val="20"/>
        </w:rPr>
        <w:t>30</w:t>
      </w:r>
      <w:r>
        <w:rPr>
          <w:rFonts w:ascii="宋体" w:hAnsi="宋体" w:eastAsia="宋体" w:cs="宋体"/>
          <w:spacing w:val="-37"/>
          <w:sz w:val="20"/>
          <w:szCs w:val="20"/>
        </w:rPr>
        <w:t xml:space="preserve"> </w:t>
      </w:r>
      <w:r>
        <w:rPr>
          <w:rFonts w:ascii="宋体" w:hAnsi="宋体" w:eastAsia="宋体" w:cs="宋体"/>
          <w:spacing w:val="9"/>
          <w:sz w:val="20"/>
          <w:szCs w:val="20"/>
        </w:rPr>
        <w:t>天内考虑，其他混凝土构件</w:t>
      </w:r>
      <w:r>
        <w:rPr>
          <w:rFonts w:ascii="宋体" w:hAnsi="宋体" w:eastAsia="宋体" w:cs="宋体"/>
          <w:spacing w:val="8"/>
          <w:sz w:val="20"/>
          <w:szCs w:val="20"/>
        </w:rPr>
        <w:t>组合钢模板定额按使用期</w:t>
      </w:r>
      <w:r>
        <w:rPr>
          <w:rFonts w:ascii="宋体" w:hAnsi="宋体" w:eastAsia="宋体" w:cs="宋体"/>
          <w:spacing w:val="-22"/>
          <w:sz w:val="20"/>
          <w:szCs w:val="20"/>
        </w:rPr>
        <w:t xml:space="preserve"> </w:t>
      </w:r>
      <w:r>
        <w:rPr>
          <w:rFonts w:ascii="宋体" w:hAnsi="宋体" w:eastAsia="宋体" w:cs="宋体"/>
          <w:spacing w:val="8"/>
          <w:sz w:val="20"/>
          <w:szCs w:val="20"/>
        </w:rPr>
        <w:t>15</w:t>
      </w:r>
      <w:r>
        <w:rPr>
          <w:rFonts w:ascii="宋体" w:hAnsi="宋体" w:eastAsia="宋体" w:cs="宋体"/>
          <w:spacing w:val="-40"/>
          <w:sz w:val="20"/>
          <w:szCs w:val="20"/>
        </w:rPr>
        <w:t xml:space="preserve"> </w:t>
      </w:r>
      <w:r>
        <w:rPr>
          <w:rFonts w:ascii="宋体" w:hAnsi="宋体" w:eastAsia="宋体" w:cs="宋体"/>
          <w:spacing w:val="8"/>
          <w:sz w:val="20"/>
          <w:szCs w:val="20"/>
        </w:rPr>
        <w:t>天内考虑。组合钢模板的使用</w:t>
      </w:r>
      <w:r>
        <w:rPr>
          <w:rFonts w:ascii="宋体" w:hAnsi="宋体" w:eastAsia="宋体" w:cs="宋体"/>
          <w:spacing w:val="7"/>
          <w:sz w:val="20"/>
          <w:szCs w:val="20"/>
        </w:rPr>
        <w:t>期均按批准的施工组织计划的进场时间起，至拆除整理</w:t>
      </w:r>
    </w:p>
    <w:p>
      <w:pPr>
        <w:spacing w:line="369" w:lineRule="auto"/>
        <w:rPr>
          <w:rFonts w:ascii="宋体" w:hAnsi="宋体" w:eastAsia="宋体" w:cs="宋体"/>
          <w:sz w:val="20"/>
          <w:szCs w:val="20"/>
        </w:rPr>
        <w:sectPr>
          <w:footerReference r:id="rId248" w:type="default"/>
          <w:pgSz w:w="11906" w:h="16839"/>
          <w:pgMar w:top="400" w:right="1317"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1" w:hanging="1"/>
        <w:rPr>
          <w:rFonts w:ascii="宋体" w:hAnsi="宋体" w:eastAsia="宋体" w:cs="宋体"/>
          <w:sz w:val="20"/>
          <w:szCs w:val="20"/>
        </w:rPr>
      </w:pPr>
      <w:bookmarkStart w:id="130" w:name="bookmark173"/>
      <w:bookmarkEnd w:id="130"/>
      <w:r>
        <w:rPr>
          <w:rFonts w:ascii="宋体" w:hAnsi="宋体" w:eastAsia="宋体" w:cs="宋体"/>
          <w:sz w:val="20"/>
          <w:szCs w:val="20"/>
        </w:rPr>
        <w:t>后的离场时间为止计算。定额使用期内不调整，若实际使用期超过时按 ( ×</w:t>
      </w:r>
      <w:r>
        <w:rPr>
          <w:rFonts w:ascii="宋体" w:hAnsi="宋体" w:eastAsia="宋体" w:cs="宋体"/>
          <w:spacing w:val="-44"/>
          <w:sz w:val="20"/>
          <w:szCs w:val="20"/>
        </w:rPr>
        <w:t xml:space="preserve"> </w:t>
      </w:r>
      <w:r>
        <w:rPr>
          <w:rFonts w:ascii="宋体" w:hAnsi="宋体" w:eastAsia="宋体" w:cs="宋体"/>
          <w:sz w:val="20"/>
          <w:szCs w:val="20"/>
        </w:rPr>
        <w:t>×</w:t>
      </w:r>
      <w:r>
        <w:rPr>
          <w:rFonts w:ascii="宋体" w:hAnsi="宋体" w:eastAsia="宋体" w:cs="宋体"/>
          <w:spacing w:val="-41"/>
          <w:sz w:val="20"/>
          <w:szCs w:val="20"/>
        </w:rPr>
        <w:t xml:space="preserve"> </w:t>
      </w:r>
      <w:r>
        <w:rPr>
          <w:rFonts w:ascii="宋体" w:hAnsi="宋体" w:eastAsia="宋体" w:cs="宋体"/>
          <w:sz w:val="20"/>
          <w:szCs w:val="20"/>
        </w:rPr>
        <w:t>) 元/</w:t>
      </w:r>
      <w:r>
        <w:rPr>
          <w:rFonts w:ascii="宋体" w:hAnsi="宋体" w:eastAsia="宋体" w:cs="宋体"/>
          <w:spacing w:val="-1"/>
          <w:sz w:val="20"/>
          <w:szCs w:val="20"/>
        </w:rPr>
        <w:t>t ·d</w:t>
      </w:r>
      <w:r>
        <w:rPr>
          <w:rFonts w:ascii="宋体" w:hAnsi="宋体" w:eastAsia="宋体" w:cs="宋体"/>
          <w:spacing w:val="-39"/>
          <w:sz w:val="20"/>
          <w:szCs w:val="20"/>
        </w:rPr>
        <w:t xml:space="preserve"> </w:t>
      </w:r>
      <w:r>
        <w:rPr>
          <w:rFonts w:ascii="宋体" w:hAnsi="宋体" w:eastAsia="宋体" w:cs="宋体"/>
          <w:spacing w:val="-1"/>
          <w:sz w:val="20"/>
          <w:szCs w:val="20"/>
        </w:rPr>
        <w:t>另计使用增</w:t>
      </w:r>
      <w:r>
        <w:rPr>
          <w:rFonts w:ascii="宋体" w:hAnsi="宋体" w:eastAsia="宋体" w:cs="宋体"/>
          <w:spacing w:val="10"/>
          <w:sz w:val="20"/>
          <w:szCs w:val="20"/>
        </w:rPr>
        <w:t>加费。当使用费超过主材原值时，按主材原值</w:t>
      </w:r>
      <w:r>
        <w:rPr>
          <w:rFonts w:ascii="宋体" w:hAnsi="宋体" w:eastAsia="宋体" w:cs="宋体"/>
          <w:spacing w:val="9"/>
          <w:sz w:val="20"/>
          <w:szCs w:val="20"/>
        </w:rPr>
        <w:t>计算。使用损耗均按包含在使用费中考虑。</w:t>
      </w:r>
    </w:p>
    <w:p>
      <w:pPr>
        <w:spacing w:before="2" w:line="312" w:lineRule="auto"/>
        <w:ind w:left="1" w:firstLine="411"/>
        <w:rPr>
          <w:rFonts w:ascii="宋体" w:hAnsi="宋体" w:eastAsia="宋体" w:cs="宋体"/>
          <w:sz w:val="20"/>
          <w:szCs w:val="20"/>
        </w:rPr>
      </w:pPr>
      <w:r>
        <w:rPr>
          <w:rFonts w:ascii="宋体" w:hAnsi="宋体" w:eastAsia="宋体" w:cs="宋体"/>
          <w:spacing w:val="9"/>
          <w:sz w:val="20"/>
          <w:szCs w:val="20"/>
        </w:rPr>
        <w:t>（2）顶板模板定额已综合考虑了模板竖直</w:t>
      </w:r>
      <w:r>
        <w:rPr>
          <w:rFonts w:ascii="宋体" w:hAnsi="宋体" w:eastAsia="宋体" w:cs="宋体"/>
          <w:spacing w:val="8"/>
          <w:sz w:val="20"/>
          <w:szCs w:val="20"/>
        </w:rPr>
        <w:t>方向的支撑，不得另行计算。（这里主要指渠道的顶板）</w:t>
      </w:r>
    </w:p>
    <w:p>
      <w:pPr>
        <w:spacing w:before="125" w:line="331" w:lineRule="auto"/>
        <w:ind w:right="2" w:firstLine="412"/>
        <w:rPr>
          <w:rFonts w:ascii="宋体" w:hAnsi="宋体" w:eastAsia="宋体" w:cs="宋体"/>
          <w:sz w:val="20"/>
          <w:szCs w:val="20"/>
        </w:rPr>
      </w:pPr>
      <w:r>
        <w:rPr>
          <w:rFonts w:ascii="宋体" w:hAnsi="宋体" w:eastAsia="宋体" w:cs="宋体"/>
          <w:spacing w:val="8"/>
          <w:sz w:val="20"/>
          <w:szCs w:val="20"/>
        </w:rPr>
        <w:t>（3）渠（涵）直墙的模板综合考虑了对拉螺栓和钢管支撑，均按摊销考虑。使用止水螺杆时应</w:t>
      </w:r>
      <w:r>
        <w:rPr>
          <w:rFonts w:ascii="宋体" w:hAnsi="宋体" w:eastAsia="宋体" w:cs="宋体"/>
          <w:spacing w:val="11"/>
          <w:sz w:val="20"/>
          <w:szCs w:val="20"/>
        </w:rPr>
        <w:t>按实际用量调整定额中对拉螺栓消耗量。对拉螺栓套管孔洞处理设计有要求时</w:t>
      </w:r>
      <w:r>
        <w:rPr>
          <w:rFonts w:ascii="宋体" w:hAnsi="宋体" w:eastAsia="宋体" w:cs="宋体"/>
          <w:spacing w:val="10"/>
          <w:sz w:val="20"/>
          <w:szCs w:val="20"/>
        </w:rPr>
        <w:t>，执行第一册《通用工程》中堵眼增加子目。止水螺杆需切割处理的，执行</w:t>
      </w:r>
      <w:r>
        <w:rPr>
          <w:rFonts w:ascii="宋体" w:hAnsi="宋体" w:eastAsia="宋体" w:cs="宋体"/>
          <w:spacing w:val="9"/>
          <w:sz w:val="20"/>
          <w:szCs w:val="20"/>
        </w:rPr>
        <w:t>第一册《通用工程》中端头处理子目。</w:t>
      </w:r>
    </w:p>
    <w:p>
      <w:pPr>
        <w:spacing w:before="123" w:line="277" w:lineRule="exact"/>
        <w:ind w:left="413"/>
        <w:rPr>
          <w:rFonts w:ascii="宋体" w:hAnsi="宋体" w:eastAsia="宋体" w:cs="宋体"/>
          <w:sz w:val="20"/>
          <w:szCs w:val="20"/>
        </w:rPr>
      </w:pPr>
      <w:r>
        <w:rPr>
          <w:rFonts w:ascii="宋体" w:hAnsi="宋体" w:eastAsia="宋体" w:cs="宋体"/>
          <w:spacing w:val="10"/>
          <w:position w:val="1"/>
          <w:sz w:val="20"/>
          <w:szCs w:val="20"/>
        </w:rPr>
        <w:t>（4）套用井字架定额时，当井室短边净尺寸超</w:t>
      </w:r>
      <w:r>
        <w:rPr>
          <w:rFonts w:ascii="宋体" w:hAnsi="宋体" w:eastAsia="宋体" w:cs="宋体"/>
          <w:spacing w:val="-38"/>
          <w:position w:val="1"/>
          <w:sz w:val="20"/>
          <w:szCs w:val="20"/>
        </w:rPr>
        <w:t xml:space="preserve"> </w:t>
      </w:r>
      <w:r>
        <w:rPr>
          <w:rFonts w:ascii="宋体" w:hAnsi="宋体" w:eastAsia="宋体" w:cs="宋体"/>
          <w:spacing w:val="10"/>
          <w:position w:val="1"/>
          <w:sz w:val="20"/>
          <w:szCs w:val="20"/>
        </w:rPr>
        <w:t>3m</w:t>
      </w:r>
      <w:r>
        <w:rPr>
          <w:rFonts w:ascii="宋体" w:hAnsi="宋体" w:eastAsia="宋体" w:cs="宋体"/>
          <w:spacing w:val="-29"/>
          <w:position w:val="1"/>
          <w:sz w:val="20"/>
          <w:szCs w:val="20"/>
        </w:rPr>
        <w:t xml:space="preserve"> </w:t>
      </w:r>
      <w:r>
        <w:rPr>
          <w:rFonts w:ascii="宋体" w:hAnsi="宋体" w:eastAsia="宋体" w:cs="宋体"/>
          <w:spacing w:val="10"/>
          <w:position w:val="1"/>
          <w:sz w:val="20"/>
          <w:szCs w:val="20"/>
        </w:rPr>
        <w:t>时按脚手架相应</w:t>
      </w:r>
      <w:r>
        <w:rPr>
          <w:rFonts w:ascii="宋体" w:hAnsi="宋体" w:eastAsia="宋体" w:cs="宋体"/>
          <w:spacing w:val="9"/>
          <w:position w:val="1"/>
          <w:sz w:val="20"/>
          <w:szCs w:val="20"/>
        </w:rPr>
        <w:t>定额执行。</w:t>
      </w:r>
    </w:p>
    <w:p>
      <w:pPr>
        <w:spacing w:before="123" w:line="277" w:lineRule="exact"/>
        <w:ind w:left="428"/>
        <w:rPr>
          <w:rFonts w:ascii="宋体" w:hAnsi="宋体" w:eastAsia="宋体" w:cs="宋体"/>
          <w:sz w:val="20"/>
          <w:szCs w:val="20"/>
        </w:rPr>
      </w:pPr>
      <w:r>
        <w:rPr>
          <w:rFonts w:ascii="宋体" w:hAnsi="宋体" w:eastAsia="宋体" w:cs="宋体"/>
          <w:b/>
          <w:bCs/>
          <w:spacing w:val="7"/>
          <w:position w:val="1"/>
          <w:sz w:val="20"/>
          <w:szCs w:val="20"/>
        </w:rPr>
        <w:t>十二、关于第七册</w:t>
      </w:r>
      <w:r>
        <w:rPr>
          <w:rFonts w:ascii="宋体" w:hAnsi="宋体" w:eastAsia="宋体" w:cs="宋体"/>
          <w:spacing w:val="7"/>
          <w:position w:val="1"/>
          <w:sz w:val="20"/>
          <w:szCs w:val="20"/>
        </w:rPr>
        <w:t xml:space="preserve"> </w:t>
      </w:r>
      <w:r>
        <w:rPr>
          <w:rFonts w:ascii="宋体" w:hAnsi="宋体" w:eastAsia="宋体" w:cs="宋体"/>
          <w:b/>
          <w:bCs/>
          <w:spacing w:val="7"/>
          <w:position w:val="1"/>
          <w:sz w:val="20"/>
          <w:szCs w:val="20"/>
        </w:rPr>
        <w:t>燃气与集中供热工程</w:t>
      </w:r>
    </w:p>
    <w:p>
      <w:pPr>
        <w:spacing w:before="121" w:line="276" w:lineRule="exact"/>
        <w:ind w:left="440"/>
        <w:rPr>
          <w:rFonts w:ascii="宋体" w:hAnsi="宋体" w:eastAsia="宋体" w:cs="宋体"/>
          <w:sz w:val="20"/>
          <w:szCs w:val="20"/>
        </w:rPr>
      </w:pPr>
      <w:r>
        <w:rPr>
          <w:rFonts w:ascii="宋体" w:hAnsi="宋体" w:eastAsia="宋体" w:cs="宋体"/>
          <w:b/>
          <w:bCs/>
          <w:spacing w:val="1"/>
          <w:position w:val="1"/>
          <w:sz w:val="20"/>
          <w:szCs w:val="20"/>
        </w:rPr>
        <w:t>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关于各类定型井的计价</w:t>
      </w:r>
    </w:p>
    <w:p>
      <w:pPr>
        <w:spacing w:before="123" w:line="366" w:lineRule="auto"/>
        <w:ind w:firstLine="421"/>
        <w:jc w:val="both"/>
        <w:rPr>
          <w:rFonts w:ascii="宋体" w:hAnsi="宋体" w:eastAsia="宋体" w:cs="宋体"/>
          <w:sz w:val="20"/>
          <w:szCs w:val="20"/>
        </w:rPr>
      </w:pPr>
      <w:r>
        <w:rPr>
          <w:rFonts w:ascii="宋体" w:hAnsi="宋体" w:eastAsia="宋体" w:cs="宋体"/>
          <w:spacing w:val="11"/>
          <w:sz w:val="20"/>
          <w:szCs w:val="20"/>
        </w:rPr>
        <w:t>各类定型井按山东省建筑标准设计图集《城镇热水管道直埋敷设》L23R401</w:t>
      </w:r>
      <w:r>
        <w:rPr>
          <w:rFonts w:ascii="宋体" w:hAnsi="宋体" w:eastAsia="宋体" w:cs="宋体"/>
          <w:spacing w:val="-36"/>
          <w:sz w:val="20"/>
          <w:szCs w:val="20"/>
        </w:rPr>
        <w:t xml:space="preserve"> </w:t>
      </w:r>
      <w:r>
        <w:rPr>
          <w:rFonts w:ascii="宋体" w:hAnsi="宋体" w:eastAsia="宋体" w:cs="宋体"/>
          <w:spacing w:val="11"/>
          <w:sz w:val="20"/>
          <w:szCs w:val="20"/>
        </w:rPr>
        <w:t>编制，其中阀</w:t>
      </w:r>
      <w:r>
        <w:rPr>
          <w:rFonts w:ascii="宋体" w:hAnsi="宋体" w:eastAsia="宋体" w:cs="宋体"/>
          <w:spacing w:val="10"/>
          <w:sz w:val="20"/>
          <w:szCs w:val="20"/>
        </w:rPr>
        <w:t>门检</w:t>
      </w:r>
      <w:r>
        <w:rPr>
          <w:rFonts w:ascii="宋体" w:hAnsi="宋体" w:eastAsia="宋体" w:cs="宋体"/>
          <w:spacing w:val="11"/>
          <w:sz w:val="20"/>
          <w:szCs w:val="20"/>
        </w:rPr>
        <w:t>查井的设备孔参照对应井室顶板做法按预制盖板考虑编制。各类井的井净深是指</w:t>
      </w:r>
      <w:r>
        <w:rPr>
          <w:rFonts w:ascii="宋体" w:hAnsi="宋体" w:eastAsia="宋体" w:cs="宋体"/>
          <w:spacing w:val="10"/>
          <w:sz w:val="20"/>
          <w:szCs w:val="20"/>
        </w:rPr>
        <w:t>井盖底面到混凝土底板顶面的距离。若实际设计要求与本定额所采用的标准图集不同时，执行第六册“非定型井</w:t>
      </w:r>
      <w:r>
        <w:rPr>
          <w:rFonts w:ascii="宋体" w:hAnsi="宋体" w:eastAsia="宋体" w:cs="宋体"/>
          <w:spacing w:val="-62"/>
          <w:sz w:val="20"/>
          <w:szCs w:val="20"/>
        </w:rPr>
        <w:t xml:space="preserve"> </w:t>
      </w:r>
      <w:r>
        <w:rPr>
          <w:rFonts w:ascii="宋体" w:hAnsi="宋体" w:eastAsia="宋体" w:cs="宋体"/>
          <w:spacing w:val="10"/>
          <w:sz w:val="20"/>
          <w:szCs w:val="20"/>
        </w:rPr>
        <w:t>”相</w:t>
      </w:r>
      <w:r>
        <w:rPr>
          <w:rFonts w:ascii="宋体" w:hAnsi="宋体" w:eastAsia="宋体" w:cs="宋体"/>
          <w:spacing w:val="6"/>
          <w:sz w:val="20"/>
          <w:szCs w:val="20"/>
        </w:rPr>
        <w:t>应子目。</w:t>
      </w:r>
    </w:p>
    <w:p>
      <w:pPr>
        <w:spacing w:before="20" w:line="221" w:lineRule="auto"/>
        <w:ind w:left="428"/>
        <w:rPr>
          <w:rFonts w:ascii="宋体" w:hAnsi="宋体" w:eastAsia="宋体" w:cs="宋体"/>
          <w:sz w:val="20"/>
          <w:szCs w:val="20"/>
        </w:rPr>
      </w:pPr>
      <w:r>
        <w:rPr>
          <w:rFonts w:ascii="宋体" w:hAnsi="宋体" w:eastAsia="宋体" w:cs="宋体"/>
          <w:b/>
          <w:bCs/>
          <w:spacing w:val="7"/>
          <w:sz w:val="20"/>
          <w:szCs w:val="20"/>
        </w:rPr>
        <w:t>十三、关于第八册</w:t>
      </w:r>
      <w:r>
        <w:rPr>
          <w:rFonts w:ascii="宋体" w:hAnsi="宋体" w:eastAsia="宋体" w:cs="宋体"/>
          <w:spacing w:val="7"/>
          <w:sz w:val="20"/>
          <w:szCs w:val="20"/>
        </w:rPr>
        <w:t xml:space="preserve"> </w:t>
      </w:r>
      <w:r>
        <w:rPr>
          <w:rFonts w:ascii="宋体" w:hAnsi="宋体" w:eastAsia="宋体" w:cs="宋体"/>
          <w:b/>
          <w:bCs/>
          <w:spacing w:val="7"/>
          <w:sz w:val="20"/>
          <w:szCs w:val="20"/>
        </w:rPr>
        <w:t>水处理工程</w:t>
      </w:r>
    </w:p>
    <w:p>
      <w:pPr>
        <w:spacing w:before="156" w:line="350" w:lineRule="auto"/>
        <w:ind w:left="1" w:right="2" w:firstLine="438"/>
        <w:rPr>
          <w:rFonts w:ascii="宋体" w:hAnsi="宋体" w:eastAsia="宋体" w:cs="宋体"/>
          <w:sz w:val="20"/>
          <w:szCs w:val="20"/>
        </w:rPr>
      </w:pPr>
      <w:r>
        <w:rPr>
          <w:rFonts w:ascii="宋体" w:hAnsi="宋体" w:eastAsia="宋体" w:cs="宋体"/>
          <w:b/>
          <w:bCs/>
          <w:spacing w:val="7"/>
          <w:sz w:val="20"/>
          <w:szCs w:val="20"/>
        </w:rPr>
        <w:t>1.</w:t>
      </w:r>
      <w:r>
        <w:rPr>
          <w:rFonts w:ascii="宋体" w:hAnsi="宋体" w:eastAsia="宋体" w:cs="宋体"/>
          <w:spacing w:val="7"/>
          <w:sz w:val="20"/>
          <w:szCs w:val="20"/>
        </w:rPr>
        <w:t xml:space="preserve"> </w:t>
      </w:r>
      <w:r>
        <w:rPr>
          <w:rFonts w:ascii="宋体" w:hAnsi="宋体" w:eastAsia="宋体" w:cs="宋体"/>
          <w:b/>
          <w:bCs/>
          <w:spacing w:val="7"/>
          <w:sz w:val="20"/>
          <w:szCs w:val="20"/>
        </w:rPr>
        <w:t>关于水处理工程有盖池体（封闭池体</w:t>
      </w:r>
      <w:r>
        <w:rPr>
          <w:rFonts w:ascii="宋体" w:hAnsi="宋体" w:eastAsia="宋体" w:cs="宋体"/>
          <w:b/>
          <w:bCs/>
          <w:spacing w:val="-25"/>
          <w:sz w:val="20"/>
          <w:szCs w:val="20"/>
        </w:rPr>
        <w:t>）（</w:t>
      </w:r>
      <w:r>
        <w:rPr>
          <w:rFonts w:ascii="宋体" w:hAnsi="宋体" w:eastAsia="宋体" w:cs="宋体"/>
          <w:b/>
          <w:bCs/>
          <w:spacing w:val="7"/>
          <w:sz w:val="20"/>
          <w:szCs w:val="20"/>
        </w:rPr>
        <w:t>包括池内壁、隔墙、池盖、无梁盖柱）的模板、支架拆除的计价</w:t>
      </w:r>
    </w:p>
    <w:p>
      <w:pPr>
        <w:spacing w:before="42" w:line="367" w:lineRule="auto"/>
        <w:ind w:left="5" w:right="2" w:firstLine="416"/>
        <w:rPr>
          <w:rFonts w:ascii="宋体" w:hAnsi="宋体" w:eastAsia="宋体" w:cs="宋体"/>
          <w:sz w:val="20"/>
          <w:szCs w:val="20"/>
        </w:rPr>
      </w:pPr>
      <w:r>
        <w:rPr>
          <w:rFonts w:ascii="宋体" w:hAnsi="宋体" w:eastAsia="宋体" w:cs="宋体"/>
          <w:spacing w:val="12"/>
          <w:sz w:val="20"/>
          <w:szCs w:val="20"/>
        </w:rPr>
        <w:t>有盖池体（封闭池体</w:t>
      </w:r>
      <w:r>
        <w:rPr>
          <w:rFonts w:ascii="宋体" w:hAnsi="宋体" w:eastAsia="宋体" w:cs="宋体"/>
          <w:spacing w:val="-12"/>
          <w:sz w:val="20"/>
          <w:szCs w:val="20"/>
        </w:rPr>
        <w:t>）（</w:t>
      </w:r>
      <w:r>
        <w:rPr>
          <w:rFonts w:ascii="宋体" w:hAnsi="宋体" w:eastAsia="宋体" w:cs="宋体"/>
          <w:spacing w:val="12"/>
          <w:sz w:val="20"/>
          <w:szCs w:val="20"/>
        </w:rPr>
        <w:t>包括池内壁、隔墙、池盖、无梁盖柱）的模板、支架拆除，若需通过</w:t>
      </w:r>
      <w:r>
        <w:rPr>
          <w:rFonts w:ascii="宋体" w:hAnsi="宋体" w:eastAsia="宋体" w:cs="宋体"/>
          <w:spacing w:val="6"/>
          <w:sz w:val="20"/>
          <w:szCs w:val="20"/>
        </w:rPr>
        <w:t>预留孔洞运出池外时按相应定额的人工含量乘以系数</w:t>
      </w:r>
      <w:r>
        <w:rPr>
          <w:rFonts w:ascii="宋体" w:hAnsi="宋体" w:eastAsia="宋体" w:cs="宋体"/>
          <w:spacing w:val="-12"/>
          <w:sz w:val="20"/>
          <w:szCs w:val="20"/>
        </w:rPr>
        <w:t xml:space="preserve"> </w:t>
      </w:r>
      <w:r>
        <w:rPr>
          <w:rFonts w:ascii="宋体" w:hAnsi="宋体" w:eastAsia="宋体" w:cs="宋体"/>
          <w:spacing w:val="6"/>
          <w:sz w:val="20"/>
          <w:szCs w:val="20"/>
        </w:rPr>
        <w:t>1.18，其他不变。</w:t>
      </w:r>
    </w:p>
    <w:p>
      <w:pPr>
        <w:spacing w:before="4" w:line="277" w:lineRule="exact"/>
        <w:ind w:left="423"/>
        <w:rPr>
          <w:rFonts w:ascii="宋体" w:hAnsi="宋体" w:eastAsia="宋体" w:cs="宋体"/>
          <w:sz w:val="20"/>
          <w:szCs w:val="20"/>
        </w:rPr>
      </w:pPr>
      <w:r>
        <w:rPr>
          <w:rFonts w:ascii="宋体" w:hAnsi="宋体" w:eastAsia="宋体" w:cs="宋体"/>
          <w:b/>
          <w:bCs/>
          <w:spacing w:val="4"/>
          <w:position w:val="1"/>
          <w:sz w:val="20"/>
          <w:szCs w:val="20"/>
        </w:rPr>
        <w:t>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关于模板支架、脚手架工程量的计算</w:t>
      </w:r>
    </w:p>
    <w:p>
      <w:pPr>
        <w:spacing w:before="123" w:line="321" w:lineRule="auto"/>
        <w:ind w:left="2" w:firstLine="410"/>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1）池盖模板支架工程量按池盖面积乘以池底顶至池盖底高度计算，柱、梁、池壁所占体积均</w:t>
      </w:r>
      <w:r>
        <w:rPr>
          <w:rFonts w:ascii="宋体" w:hAnsi="宋体" w:eastAsia="宋体" w:cs="宋体"/>
          <w:spacing w:val="11"/>
          <w:sz w:val="20"/>
          <w:szCs w:val="20"/>
        </w:rPr>
        <w:t>不扣除。池盖以下的柱、梁、内隔墙、池壁内侧不再单独计算脚手架；池壁</w:t>
      </w:r>
      <w:r>
        <w:rPr>
          <w:rFonts w:ascii="宋体" w:hAnsi="宋体" w:eastAsia="宋体" w:cs="宋体"/>
          <w:spacing w:val="10"/>
          <w:sz w:val="20"/>
          <w:szCs w:val="20"/>
        </w:rPr>
        <w:t>外侧脚手架按池壁外侧</w:t>
      </w:r>
      <w:r>
        <w:rPr>
          <w:rFonts w:ascii="宋体" w:hAnsi="宋体" w:eastAsia="宋体" w:cs="宋体"/>
          <w:spacing w:val="7"/>
          <w:sz w:val="20"/>
          <w:szCs w:val="20"/>
        </w:rPr>
        <w:t>投影面积计算。</w:t>
      </w:r>
    </w:p>
    <w:p>
      <w:pPr>
        <w:spacing w:before="157" w:line="321" w:lineRule="auto"/>
        <w:ind w:firstLine="412"/>
        <w:rPr>
          <w:rFonts w:ascii="宋体" w:hAnsi="宋体" w:eastAsia="宋体" w:cs="宋体"/>
          <w:sz w:val="20"/>
          <w:szCs w:val="20"/>
        </w:rPr>
      </w:pPr>
      <w:r>
        <w:rPr>
          <w:rFonts w:ascii="宋体" w:hAnsi="宋体" w:eastAsia="宋体" w:cs="宋体"/>
          <w:spacing w:val="8"/>
          <w:sz w:val="20"/>
          <w:szCs w:val="20"/>
        </w:rPr>
        <w:t>（2）无池盖构筑物的单梁，单梁模板支架工程量按池底顶至梁底高度乘以梁长，再乘以（梁宽</w:t>
      </w:r>
      <w:r>
        <w:rPr>
          <w:rFonts w:ascii="宋体" w:hAnsi="宋体" w:eastAsia="宋体" w:cs="宋体"/>
          <w:spacing w:val="10"/>
          <w:sz w:val="20"/>
          <w:szCs w:val="20"/>
        </w:rPr>
        <w:t>+2m）计算。单梁脚手架不再单独计算。单柱脚手架按（柱周长+3.6m）乘以柱高计算。池壁</w:t>
      </w:r>
      <w:r>
        <w:rPr>
          <w:rFonts w:ascii="宋体" w:hAnsi="宋体" w:eastAsia="宋体" w:cs="宋体"/>
          <w:spacing w:val="9"/>
          <w:sz w:val="20"/>
          <w:szCs w:val="20"/>
        </w:rPr>
        <w:t>脚手架按池壁两侧投影面积计算</w:t>
      </w:r>
    </w:p>
    <w:p>
      <w:pPr>
        <w:spacing w:before="158" w:line="277" w:lineRule="exact"/>
        <w:ind w:left="413"/>
        <w:rPr>
          <w:rFonts w:ascii="宋体" w:hAnsi="宋体" w:eastAsia="宋体" w:cs="宋体"/>
          <w:sz w:val="20"/>
          <w:szCs w:val="20"/>
        </w:rPr>
      </w:pPr>
      <w:r>
        <w:rPr>
          <w:rFonts w:ascii="宋体" w:hAnsi="宋体" w:eastAsia="宋体" w:cs="宋体"/>
          <w:spacing w:val="10"/>
          <w:position w:val="1"/>
          <w:sz w:val="20"/>
          <w:szCs w:val="20"/>
        </w:rPr>
        <w:t>（3）走道板及挑檐模板支架按其面积乘以池</w:t>
      </w:r>
      <w:r>
        <w:rPr>
          <w:rFonts w:ascii="宋体" w:hAnsi="宋体" w:eastAsia="宋体" w:cs="宋体"/>
          <w:spacing w:val="9"/>
          <w:position w:val="1"/>
          <w:sz w:val="20"/>
          <w:szCs w:val="20"/>
        </w:rPr>
        <w:t>底顶至走道板或挑檐底高度计算。</w:t>
      </w:r>
    </w:p>
    <w:p>
      <w:pPr>
        <w:spacing w:before="125" w:line="221" w:lineRule="auto"/>
        <w:ind w:left="428"/>
        <w:rPr>
          <w:rFonts w:ascii="宋体" w:hAnsi="宋体" w:eastAsia="宋体" w:cs="宋体"/>
          <w:sz w:val="20"/>
          <w:szCs w:val="20"/>
        </w:rPr>
      </w:pPr>
      <w:r>
        <w:rPr>
          <w:rFonts w:ascii="宋体" w:hAnsi="宋体" w:eastAsia="宋体" w:cs="宋体"/>
          <w:b/>
          <w:bCs/>
          <w:spacing w:val="7"/>
          <w:sz w:val="20"/>
          <w:szCs w:val="20"/>
        </w:rPr>
        <w:t>十四、关于第十册</w:t>
      </w:r>
      <w:r>
        <w:rPr>
          <w:rFonts w:ascii="宋体" w:hAnsi="宋体" w:eastAsia="宋体" w:cs="宋体"/>
          <w:spacing w:val="7"/>
          <w:sz w:val="20"/>
          <w:szCs w:val="20"/>
        </w:rPr>
        <w:t xml:space="preserve"> </w:t>
      </w:r>
      <w:r>
        <w:rPr>
          <w:rFonts w:ascii="宋体" w:hAnsi="宋体" w:eastAsia="宋体" w:cs="宋体"/>
          <w:b/>
          <w:bCs/>
          <w:spacing w:val="7"/>
          <w:sz w:val="20"/>
          <w:szCs w:val="20"/>
        </w:rPr>
        <w:t>路灯工程</w:t>
      </w:r>
    </w:p>
    <w:p>
      <w:pPr>
        <w:spacing w:before="157" w:line="277" w:lineRule="exact"/>
        <w:ind w:left="440"/>
        <w:rPr>
          <w:rFonts w:ascii="宋体" w:hAnsi="宋体" w:eastAsia="宋体" w:cs="宋体"/>
          <w:sz w:val="20"/>
          <w:szCs w:val="20"/>
        </w:rPr>
      </w:pPr>
      <w:r>
        <w:rPr>
          <w:rFonts w:ascii="宋体" w:hAnsi="宋体" w:eastAsia="宋体" w:cs="宋体"/>
          <w:b/>
          <w:bCs/>
          <w:spacing w:val="3"/>
          <w:position w:val="1"/>
          <w:sz w:val="20"/>
          <w:szCs w:val="20"/>
        </w:rPr>
        <w:t>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关于支架、横担、撑铁材料的计价</w:t>
      </w:r>
    </w:p>
    <w:p>
      <w:pPr>
        <w:spacing w:before="124" w:line="277" w:lineRule="exact"/>
        <w:ind w:left="423"/>
        <w:rPr>
          <w:rFonts w:ascii="宋体" w:hAnsi="宋体" w:eastAsia="宋体" w:cs="宋体"/>
          <w:sz w:val="20"/>
          <w:szCs w:val="20"/>
        </w:rPr>
      </w:pPr>
      <w:r>
        <w:rPr>
          <w:rFonts w:ascii="宋体" w:hAnsi="宋体" w:eastAsia="宋体" w:cs="宋体"/>
          <w:spacing w:val="9"/>
          <w:position w:val="1"/>
          <w:sz w:val="20"/>
          <w:szCs w:val="20"/>
        </w:rPr>
        <w:t>变压器、杆上配电设备不包括支架、横担、撑铁材料，应按实际发生计算。</w:t>
      </w:r>
    </w:p>
    <w:p>
      <w:pPr>
        <w:spacing w:before="122" w:line="276" w:lineRule="exact"/>
        <w:ind w:left="423"/>
        <w:rPr>
          <w:rFonts w:ascii="宋体" w:hAnsi="宋体" w:eastAsia="宋体" w:cs="宋体"/>
          <w:sz w:val="20"/>
          <w:szCs w:val="20"/>
        </w:rPr>
      </w:pPr>
      <w:r>
        <w:rPr>
          <w:rFonts w:ascii="宋体" w:hAnsi="宋体" w:eastAsia="宋体" w:cs="宋体"/>
          <w:b/>
          <w:bCs/>
          <w:spacing w:val="2"/>
          <w:position w:val="1"/>
          <w:sz w:val="20"/>
          <w:szCs w:val="20"/>
        </w:rPr>
        <w:t>2.</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关于系统调试的计价</w:t>
      </w:r>
    </w:p>
    <w:p>
      <w:pPr>
        <w:spacing w:before="126" w:line="370" w:lineRule="auto"/>
        <w:ind w:left="2" w:right="44" w:firstLine="438"/>
        <w:rPr>
          <w:rFonts w:ascii="宋体" w:hAnsi="宋体" w:eastAsia="宋体" w:cs="宋体"/>
          <w:sz w:val="20"/>
          <w:szCs w:val="20"/>
        </w:rPr>
      </w:pPr>
      <w:r>
        <w:rPr>
          <w:rFonts w:ascii="宋体" w:hAnsi="宋体" w:eastAsia="宋体" w:cs="宋体"/>
          <w:spacing w:val="9"/>
          <w:sz w:val="20"/>
          <w:szCs w:val="20"/>
        </w:rPr>
        <w:t>电力变压器系统是指变压器本体，各电压线圈所联系着的高压开关，电流互感器，测量仪表，继电保护等一次回路及二次回路的总称。</w:t>
      </w:r>
    </w:p>
    <w:p>
      <w:pPr>
        <w:spacing w:before="1" w:line="371" w:lineRule="auto"/>
        <w:ind w:left="4" w:right="2" w:firstLine="416"/>
        <w:rPr>
          <w:rFonts w:ascii="宋体" w:hAnsi="宋体" w:eastAsia="宋体" w:cs="宋体"/>
          <w:sz w:val="20"/>
          <w:szCs w:val="20"/>
        </w:rPr>
      </w:pPr>
      <w:r>
        <w:rPr>
          <w:rFonts w:ascii="宋体" w:hAnsi="宋体" w:eastAsia="宋体" w:cs="宋体"/>
          <w:spacing w:val="11"/>
          <w:sz w:val="20"/>
          <w:szCs w:val="20"/>
        </w:rPr>
        <w:t>送配电装置是指具有一个断路器的一回或两回线路的配电设备、继电保护，测量</w:t>
      </w:r>
      <w:r>
        <w:rPr>
          <w:rFonts w:ascii="宋体" w:hAnsi="宋体" w:eastAsia="宋体" w:cs="宋体"/>
          <w:spacing w:val="10"/>
          <w:sz w:val="20"/>
          <w:szCs w:val="20"/>
        </w:rPr>
        <w:t>仪表总称。变</w:t>
      </w:r>
      <w:r>
        <w:rPr>
          <w:rFonts w:ascii="宋体" w:hAnsi="宋体" w:eastAsia="宋体" w:cs="宋体"/>
          <w:spacing w:val="11"/>
          <w:sz w:val="20"/>
          <w:szCs w:val="20"/>
        </w:rPr>
        <w:t>配电装置调试，凡供电系统中带有仪表、继电器、电磁开关等调试元件</w:t>
      </w:r>
      <w:r>
        <w:rPr>
          <w:rFonts w:ascii="宋体" w:hAnsi="宋体" w:eastAsia="宋体" w:cs="宋体"/>
          <w:spacing w:val="10"/>
          <w:sz w:val="20"/>
          <w:szCs w:val="20"/>
        </w:rPr>
        <w:t>的，应按照回路数量计算系</w:t>
      </w:r>
    </w:p>
    <w:p>
      <w:pPr>
        <w:spacing w:line="371" w:lineRule="auto"/>
        <w:rPr>
          <w:rFonts w:ascii="宋体" w:hAnsi="宋体" w:eastAsia="宋体" w:cs="宋体"/>
          <w:sz w:val="20"/>
          <w:szCs w:val="20"/>
        </w:rPr>
        <w:sectPr>
          <w:footerReference r:id="rId249" w:type="default"/>
          <w:pgSz w:w="11906" w:h="16839"/>
          <w:pgMar w:top="400" w:right="1417"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0" w:lineRule="auto"/>
        <w:ind w:right="83" w:firstLine="3"/>
        <w:rPr>
          <w:rFonts w:ascii="宋体" w:hAnsi="宋体" w:eastAsia="宋体" w:cs="宋体"/>
          <w:sz w:val="20"/>
          <w:szCs w:val="20"/>
        </w:rPr>
      </w:pPr>
      <w:r>
        <w:rPr>
          <w:rFonts w:ascii="宋体" w:hAnsi="宋体" w:eastAsia="宋体" w:cs="宋体"/>
          <w:spacing w:val="11"/>
          <w:sz w:val="20"/>
          <w:szCs w:val="20"/>
        </w:rPr>
        <w:t>统调试工程量。如果变配电系统中仅有电表、保险器、闸刀等不需要进行</w:t>
      </w:r>
      <w:r>
        <w:rPr>
          <w:rFonts w:ascii="宋体" w:hAnsi="宋体" w:eastAsia="宋体" w:cs="宋体"/>
          <w:spacing w:val="10"/>
          <w:sz w:val="20"/>
          <w:szCs w:val="20"/>
        </w:rPr>
        <w:t>调试的设备时不计系统调</w:t>
      </w:r>
      <w:r>
        <w:rPr>
          <w:rFonts w:ascii="宋体" w:hAnsi="宋体" w:eastAsia="宋体" w:cs="宋体"/>
          <w:spacing w:val="3"/>
          <w:sz w:val="20"/>
          <w:szCs w:val="20"/>
        </w:rPr>
        <w:t>试。</w:t>
      </w:r>
    </w:p>
    <w:p>
      <w:pPr>
        <w:spacing w:before="48" w:line="219" w:lineRule="auto"/>
        <w:ind w:left="441"/>
        <w:rPr>
          <w:rFonts w:ascii="宋体" w:hAnsi="宋体" w:eastAsia="宋体" w:cs="宋体"/>
          <w:sz w:val="20"/>
          <w:szCs w:val="20"/>
        </w:rPr>
      </w:pPr>
      <w:r>
        <w:rPr>
          <w:rFonts w:ascii="宋体" w:hAnsi="宋体" w:eastAsia="宋体" w:cs="宋体"/>
          <w:spacing w:val="7"/>
          <w:sz w:val="20"/>
          <w:szCs w:val="20"/>
        </w:rPr>
        <w:t>电力电缆调试是指电缆的泄漏实验。</w:t>
      </w:r>
    </w:p>
    <w:p>
      <w:pPr>
        <w:spacing w:before="155" w:line="278" w:lineRule="exact"/>
        <w:ind w:left="427"/>
        <w:rPr>
          <w:rFonts w:ascii="宋体" w:hAnsi="宋体" w:eastAsia="宋体" w:cs="宋体"/>
          <w:sz w:val="20"/>
          <w:szCs w:val="20"/>
        </w:rPr>
      </w:pPr>
      <w:r>
        <w:rPr>
          <w:rFonts w:ascii="宋体" w:hAnsi="宋体" w:eastAsia="宋体" w:cs="宋体"/>
          <w:b/>
          <w:bCs/>
          <w:spacing w:val="4"/>
          <w:position w:val="1"/>
          <w:sz w:val="20"/>
          <w:szCs w:val="20"/>
        </w:rPr>
        <w:t>3.</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关于电缆敷设方式及工程量计算</w:t>
      </w:r>
    </w:p>
    <w:p>
      <w:pPr>
        <w:spacing w:before="128" w:line="368" w:lineRule="auto"/>
        <w:ind w:left="1" w:firstLine="440"/>
        <w:rPr>
          <w:rFonts w:ascii="宋体" w:hAnsi="宋体" w:eastAsia="宋体" w:cs="宋体"/>
          <w:sz w:val="20"/>
          <w:szCs w:val="20"/>
        </w:rPr>
      </w:pPr>
      <w:r>
        <w:rPr>
          <w:rFonts w:ascii="宋体" w:hAnsi="宋体" w:eastAsia="宋体" w:cs="宋体"/>
          <w:spacing w:val="7"/>
          <w:sz w:val="20"/>
          <w:szCs w:val="20"/>
        </w:rPr>
        <w:t>电缆敷设方式为水平敷设，综合了埋地、穿管、桥架内水平及竖向敷设。未考虑在河流和水区、</w:t>
      </w:r>
      <w:r>
        <w:rPr>
          <w:rFonts w:ascii="宋体" w:hAnsi="宋体" w:eastAsia="宋体" w:cs="宋体"/>
          <w:spacing w:val="5"/>
          <w:sz w:val="20"/>
          <w:szCs w:val="20"/>
        </w:rPr>
        <w:t>水底、井下等条件的电缆敷设。单段高度大于</w:t>
      </w:r>
      <w:r>
        <w:rPr>
          <w:rFonts w:ascii="宋体" w:hAnsi="宋体" w:eastAsia="宋体" w:cs="宋体"/>
          <w:spacing w:val="-36"/>
          <w:sz w:val="20"/>
          <w:szCs w:val="20"/>
        </w:rPr>
        <w:t xml:space="preserve"> </w:t>
      </w:r>
      <w:r>
        <w:rPr>
          <w:rFonts w:ascii="宋体" w:hAnsi="宋体" w:eastAsia="宋体" w:cs="宋体"/>
          <w:spacing w:val="5"/>
          <w:sz w:val="20"/>
          <w:szCs w:val="20"/>
        </w:rPr>
        <w:t>3</w:t>
      </w:r>
      <w:r>
        <w:rPr>
          <w:rFonts w:ascii="宋体" w:hAnsi="宋体" w:eastAsia="宋体" w:cs="宋体"/>
          <w:spacing w:val="4"/>
          <w:sz w:val="20"/>
          <w:szCs w:val="20"/>
        </w:rPr>
        <w:t>.6m</w:t>
      </w:r>
      <w:r>
        <w:rPr>
          <w:rFonts w:ascii="宋体" w:hAnsi="宋体" w:eastAsia="宋体" w:cs="宋体"/>
          <w:spacing w:val="-25"/>
          <w:sz w:val="20"/>
          <w:szCs w:val="20"/>
        </w:rPr>
        <w:t xml:space="preserve"> </w:t>
      </w:r>
      <w:r>
        <w:rPr>
          <w:rFonts w:ascii="宋体" w:hAnsi="宋体" w:eastAsia="宋体" w:cs="宋体"/>
          <w:spacing w:val="4"/>
          <w:sz w:val="20"/>
          <w:szCs w:val="20"/>
        </w:rPr>
        <w:t>的布放段，执行安装工程消耗量定额的相应项目。</w:t>
      </w:r>
    </w:p>
    <w:p>
      <w:pPr>
        <w:spacing w:before="1" w:line="222" w:lineRule="auto"/>
        <w:ind w:left="441"/>
        <w:rPr>
          <w:rFonts w:ascii="宋体" w:hAnsi="宋体" w:eastAsia="宋体" w:cs="宋体"/>
          <w:sz w:val="20"/>
          <w:szCs w:val="20"/>
        </w:rPr>
      </w:pPr>
      <w:r>
        <w:rPr>
          <w:rFonts w:ascii="宋体" w:hAnsi="宋体" w:eastAsia="宋体" w:cs="宋体"/>
          <w:spacing w:val="9"/>
          <w:sz w:val="20"/>
          <w:szCs w:val="20"/>
        </w:rPr>
        <w:t>电缆敷设长度应根据敷设路径的水平和垂直敷设长度，另加下表规定预留</w:t>
      </w:r>
      <w:r>
        <w:rPr>
          <w:rFonts w:ascii="宋体" w:hAnsi="宋体" w:eastAsia="宋体" w:cs="宋体"/>
          <w:spacing w:val="8"/>
          <w:sz w:val="20"/>
          <w:szCs w:val="20"/>
        </w:rPr>
        <w:t>长度。</w:t>
      </w:r>
    </w:p>
    <w:p>
      <w:pPr>
        <w:spacing w:line="318" w:lineRule="auto"/>
        <w:rPr>
          <w:rFonts w:ascii="Arial"/>
          <w:sz w:val="21"/>
        </w:rPr>
      </w:pPr>
    </w:p>
    <w:p>
      <w:pPr>
        <w:spacing w:before="1" w:line="1835" w:lineRule="exact"/>
        <w:ind w:firstLine="226"/>
      </w:pPr>
      <w:r>
        <w:rPr>
          <w:position w:val="-36"/>
        </w:rPr>
        <w:drawing>
          <wp:inline distT="0" distB="0" distL="0" distR="0">
            <wp:extent cx="5262245" cy="1165225"/>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418"/>
                    <a:stretch>
                      <a:fillRect/>
                    </a:stretch>
                  </pic:blipFill>
                  <pic:spPr>
                    <a:xfrm>
                      <a:off x="0" y="0"/>
                      <a:ext cx="5262371" cy="1165292"/>
                    </a:xfrm>
                    <a:prstGeom prst="rect">
                      <a:avLst/>
                    </a:prstGeom>
                  </pic:spPr>
                </pic:pic>
              </a:graphicData>
            </a:graphic>
          </wp:inline>
        </w:drawing>
      </w:r>
    </w:p>
    <w:p>
      <w:pPr>
        <w:spacing w:line="277" w:lineRule="exact"/>
        <w:ind w:left="420"/>
        <w:rPr>
          <w:rFonts w:ascii="宋体" w:hAnsi="宋体" w:eastAsia="宋体" w:cs="宋体"/>
          <w:sz w:val="20"/>
          <w:szCs w:val="20"/>
        </w:rPr>
      </w:pPr>
      <w:r>
        <w:rPr>
          <w:rFonts w:ascii="宋体" w:hAnsi="宋体" w:eastAsia="宋体" w:cs="宋体"/>
          <w:b/>
          <w:bCs/>
          <w:spacing w:val="4"/>
          <w:position w:val="1"/>
          <w:sz w:val="20"/>
          <w:szCs w:val="20"/>
        </w:rPr>
        <w:t>4.</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关于电缆终端头及中间头的计算</w:t>
      </w:r>
    </w:p>
    <w:p>
      <w:pPr>
        <w:spacing w:before="127" w:line="368" w:lineRule="auto"/>
        <w:ind w:right="83" w:firstLine="441"/>
        <w:jc w:val="both"/>
        <w:rPr>
          <w:rFonts w:ascii="宋体" w:hAnsi="宋体" w:eastAsia="宋体" w:cs="宋体"/>
          <w:sz w:val="20"/>
          <w:szCs w:val="20"/>
        </w:rPr>
      </w:pPr>
      <w:r>
        <w:rPr>
          <w:rFonts w:ascii="宋体" w:hAnsi="宋体" w:eastAsia="宋体" w:cs="宋体"/>
          <w:spacing w:val="10"/>
          <w:sz w:val="20"/>
          <w:szCs w:val="20"/>
        </w:rPr>
        <w:t>电缆终端头及中间头以“个”为单位计算。电缆头按实际制作个数计算，灯杆接线盒内、接线</w:t>
      </w:r>
      <w:r>
        <w:rPr>
          <w:rFonts w:ascii="宋体" w:hAnsi="宋体" w:eastAsia="宋体" w:cs="宋体"/>
          <w:spacing w:val="11"/>
          <w:sz w:val="20"/>
          <w:szCs w:val="20"/>
        </w:rPr>
        <w:t>井内电缆接头有设计图示的，按图示计算。没有图示的，按制作工艺区分，采用</w:t>
      </w:r>
      <w:r>
        <w:rPr>
          <w:rFonts w:ascii="宋体" w:hAnsi="宋体" w:eastAsia="宋体" w:cs="宋体"/>
          <w:spacing w:val="10"/>
          <w:sz w:val="20"/>
          <w:szCs w:val="20"/>
        </w:rPr>
        <w:t>压接管、热缩套管</w:t>
      </w:r>
      <w:r>
        <w:rPr>
          <w:rFonts w:ascii="宋体" w:hAnsi="宋体" w:eastAsia="宋体" w:cs="宋体"/>
          <w:spacing w:val="9"/>
          <w:sz w:val="20"/>
          <w:szCs w:val="20"/>
        </w:rPr>
        <w:t>的按中间头计算，采用热缩指套和热缩帽的按终端头计算。</w:t>
      </w:r>
    </w:p>
    <w:p>
      <w:pPr>
        <w:spacing w:line="278" w:lineRule="exact"/>
        <w:ind w:left="423"/>
        <w:rPr>
          <w:rFonts w:ascii="宋体" w:hAnsi="宋体" w:eastAsia="宋体" w:cs="宋体"/>
          <w:sz w:val="20"/>
          <w:szCs w:val="20"/>
        </w:rPr>
      </w:pPr>
      <w:r>
        <w:rPr>
          <w:rFonts w:ascii="宋体" w:hAnsi="宋体" w:eastAsia="宋体" w:cs="宋体"/>
          <w:b/>
          <w:bCs/>
          <w:spacing w:val="3"/>
          <w:position w:val="1"/>
          <w:sz w:val="20"/>
          <w:szCs w:val="20"/>
        </w:rPr>
        <w:t>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关于各种配管工程量的计算</w:t>
      </w:r>
    </w:p>
    <w:p>
      <w:pPr>
        <w:spacing w:before="123" w:line="355" w:lineRule="auto"/>
        <w:ind w:right="83" w:firstLine="421"/>
        <w:rPr>
          <w:rFonts w:ascii="宋体" w:hAnsi="宋体" w:eastAsia="宋体" w:cs="宋体"/>
          <w:sz w:val="20"/>
          <w:szCs w:val="20"/>
        </w:rPr>
      </w:pPr>
      <w:r>
        <w:rPr>
          <w:rFonts w:ascii="宋体" w:hAnsi="宋体" w:eastAsia="宋体" w:cs="宋体"/>
          <w:spacing w:val="11"/>
          <w:sz w:val="20"/>
          <w:szCs w:val="20"/>
        </w:rPr>
        <w:t>各种配管的工程量，应区别不同敷设方式、敷设位置、管材材质、规格，以“</w:t>
      </w:r>
      <w:r>
        <w:rPr>
          <w:rFonts w:ascii="宋体" w:hAnsi="宋体" w:eastAsia="宋体" w:cs="宋体"/>
          <w:spacing w:val="10"/>
          <w:sz w:val="20"/>
          <w:szCs w:val="20"/>
        </w:rPr>
        <w:t>延长米”计算。</w:t>
      </w:r>
      <w:r>
        <w:rPr>
          <w:rFonts w:ascii="宋体" w:hAnsi="宋体" w:eastAsia="宋体" w:cs="宋体"/>
          <w:spacing w:val="11"/>
          <w:sz w:val="20"/>
          <w:szCs w:val="20"/>
        </w:rPr>
        <w:t>不扣除管路中间的接线箱（盒）、灯盒、开关盒所占长度，配管埋地敷设时按设</w:t>
      </w:r>
      <w:r>
        <w:rPr>
          <w:rFonts w:ascii="宋体" w:hAnsi="宋体" w:eastAsia="宋体" w:cs="宋体"/>
          <w:spacing w:val="10"/>
          <w:sz w:val="20"/>
          <w:szCs w:val="20"/>
        </w:rPr>
        <w:t>计图示长度，扣除</w:t>
      </w:r>
      <w:r>
        <w:rPr>
          <w:rFonts w:ascii="宋体" w:hAnsi="宋体" w:eastAsia="宋体" w:cs="宋体"/>
          <w:spacing w:val="7"/>
          <w:sz w:val="20"/>
          <w:szCs w:val="20"/>
        </w:rPr>
        <w:t>井净长度。</w:t>
      </w:r>
    </w:p>
    <w:p>
      <w:pPr>
        <w:spacing w:before="50" w:line="221" w:lineRule="auto"/>
        <w:ind w:left="429"/>
        <w:rPr>
          <w:rFonts w:ascii="宋体" w:hAnsi="宋体" w:eastAsia="宋体" w:cs="宋体"/>
          <w:sz w:val="20"/>
          <w:szCs w:val="20"/>
        </w:rPr>
      </w:pPr>
      <w:r>
        <w:rPr>
          <w:rFonts w:ascii="宋体" w:hAnsi="宋体" w:eastAsia="宋体" w:cs="宋体"/>
          <w:b/>
          <w:bCs/>
          <w:spacing w:val="7"/>
          <w:sz w:val="20"/>
          <w:szCs w:val="20"/>
        </w:rPr>
        <w:t>十五、关于第十一册</w:t>
      </w:r>
      <w:r>
        <w:rPr>
          <w:rFonts w:ascii="宋体" w:hAnsi="宋体" w:eastAsia="宋体" w:cs="宋体"/>
          <w:spacing w:val="7"/>
          <w:sz w:val="20"/>
          <w:szCs w:val="20"/>
        </w:rPr>
        <w:t xml:space="preserve"> </w:t>
      </w:r>
      <w:r>
        <w:rPr>
          <w:rFonts w:ascii="宋体" w:hAnsi="宋体" w:eastAsia="宋体" w:cs="宋体"/>
          <w:b/>
          <w:bCs/>
          <w:spacing w:val="7"/>
          <w:sz w:val="20"/>
          <w:szCs w:val="20"/>
        </w:rPr>
        <w:t>城市地下综合管廊工程</w:t>
      </w:r>
    </w:p>
    <w:p>
      <w:pPr>
        <w:spacing w:before="155" w:line="277" w:lineRule="exact"/>
        <w:ind w:left="441"/>
        <w:rPr>
          <w:rFonts w:ascii="宋体" w:hAnsi="宋体" w:eastAsia="宋体" w:cs="宋体"/>
          <w:sz w:val="20"/>
          <w:szCs w:val="20"/>
        </w:rPr>
      </w:pPr>
      <w:r>
        <w:rPr>
          <w:rFonts w:ascii="宋体" w:hAnsi="宋体" w:eastAsia="宋体" w:cs="宋体"/>
          <w:b/>
          <w:bCs/>
          <w:spacing w:val="4"/>
          <w:position w:val="1"/>
          <w:sz w:val="20"/>
          <w:szCs w:val="20"/>
        </w:rPr>
        <w:t>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关于现浇混凝土顶板和梁中模板支架的计算</w:t>
      </w:r>
    </w:p>
    <w:p>
      <w:pPr>
        <w:spacing w:before="128" w:line="367" w:lineRule="auto"/>
        <w:ind w:left="4" w:right="3" w:firstLine="418"/>
        <w:rPr>
          <w:rFonts w:ascii="宋体" w:hAnsi="宋体" w:eastAsia="宋体" w:cs="宋体"/>
          <w:sz w:val="20"/>
          <w:szCs w:val="20"/>
        </w:rPr>
      </w:pPr>
      <w:r>
        <w:rPr>
          <w:rFonts w:ascii="宋体" w:hAnsi="宋体" w:eastAsia="宋体" w:cs="宋体"/>
          <w:spacing w:val="8"/>
          <w:sz w:val="20"/>
          <w:szCs w:val="20"/>
        </w:rPr>
        <w:t>顶板和梁的模板定额未包括模板下的支架，支架另执行本章的“管</w:t>
      </w:r>
      <w:r>
        <w:rPr>
          <w:rFonts w:ascii="宋体" w:hAnsi="宋体" w:eastAsia="宋体" w:cs="宋体"/>
          <w:spacing w:val="7"/>
          <w:sz w:val="20"/>
          <w:szCs w:val="20"/>
        </w:rPr>
        <w:t>廊顶板满堂钢管支架”项目。</w:t>
      </w:r>
      <w:r>
        <w:rPr>
          <w:rFonts w:ascii="宋体" w:hAnsi="宋体" w:eastAsia="宋体" w:cs="宋体"/>
          <w:spacing w:val="8"/>
          <w:sz w:val="20"/>
          <w:szCs w:val="20"/>
        </w:rPr>
        <w:t>钢管支架综合考虑钢管用量按</w:t>
      </w:r>
      <w:r>
        <w:rPr>
          <w:rFonts w:ascii="宋体" w:hAnsi="宋体" w:eastAsia="宋体" w:cs="宋体"/>
          <w:spacing w:val="-33"/>
          <w:sz w:val="20"/>
          <w:szCs w:val="20"/>
        </w:rPr>
        <w:t xml:space="preserve"> </w:t>
      </w:r>
      <w:r>
        <w:rPr>
          <w:rFonts w:ascii="宋体" w:hAnsi="宋体" w:eastAsia="宋体" w:cs="宋体"/>
          <w:spacing w:val="8"/>
          <w:sz w:val="20"/>
          <w:szCs w:val="20"/>
        </w:rPr>
        <w:t>40</w:t>
      </w:r>
      <w:r>
        <w:rPr>
          <w:rFonts w:ascii="宋体" w:hAnsi="宋体" w:eastAsia="宋体" w:cs="宋体"/>
          <w:sz w:val="20"/>
          <w:szCs w:val="20"/>
        </w:rPr>
        <w:t>kg</w:t>
      </w:r>
      <w:r>
        <w:rPr>
          <w:rFonts w:ascii="宋体" w:hAnsi="宋体" w:eastAsia="宋体" w:cs="宋体"/>
          <w:spacing w:val="8"/>
          <w:sz w:val="20"/>
          <w:szCs w:val="20"/>
        </w:rPr>
        <w:t>/m</w:t>
      </w:r>
      <w:r>
        <w:rPr>
          <w:rFonts w:ascii="宋体" w:hAnsi="宋体" w:eastAsia="宋体" w:cs="宋体"/>
          <w:spacing w:val="8"/>
          <w:position w:val="10"/>
          <w:sz w:val="10"/>
          <w:szCs w:val="10"/>
        </w:rPr>
        <w:t>3</w:t>
      </w:r>
      <w:r>
        <w:rPr>
          <w:rFonts w:ascii="宋体" w:hAnsi="宋体" w:eastAsia="宋体" w:cs="宋体"/>
          <w:spacing w:val="-18"/>
          <w:position w:val="10"/>
          <w:sz w:val="10"/>
          <w:szCs w:val="10"/>
        </w:rPr>
        <w:t xml:space="preserve"> </w:t>
      </w:r>
      <w:r>
        <w:rPr>
          <w:rFonts w:ascii="宋体" w:hAnsi="宋体" w:eastAsia="宋体" w:cs="宋体"/>
          <w:spacing w:val="8"/>
          <w:sz w:val="20"/>
          <w:szCs w:val="20"/>
        </w:rPr>
        <w:t>考虑，该钢管用量可按施工方案进行调整。</w:t>
      </w:r>
    </w:p>
    <w:p>
      <w:pPr>
        <w:spacing w:line="277" w:lineRule="exact"/>
        <w:ind w:left="423"/>
        <w:rPr>
          <w:rFonts w:ascii="宋体" w:hAnsi="宋体" w:eastAsia="宋体" w:cs="宋体"/>
          <w:sz w:val="20"/>
          <w:szCs w:val="20"/>
        </w:rPr>
      </w:pPr>
      <w:r>
        <w:rPr>
          <w:rFonts w:ascii="宋体" w:hAnsi="宋体" w:eastAsia="宋体" w:cs="宋体"/>
          <w:b/>
          <w:bCs/>
          <w:spacing w:val="4"/>
          <w:position w:val="1"/>
          <w:sz w:val="20"/>
          <w:szCs w:val="20"/>
        </w:rPr>
        <w:t>2.</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关于现浇混凝土构件模板工程的计算</w:t>
      </w:r>
    </w:p>
    <w:p>
      <w:pPr>
        <w:spacing w:before="105" w:line="367" w:lineRule="auto"/>
        <w:ind w:left="4" w:right="80" w:firstLine="420"/>
        <w:rPr>
          <w:rFonts w:ascii="宋体" w:hAnsi="宋体" w:eastAsia="宋体" w:cs="宋体"/>
          <w:sz w:val="20"/>
          <w:szCs w:val="20"/>
        </w:rPr>
      </w:pPr>
      <w:r>
        <w:rPr>
          <w:rFonts w:ascii="宋体" w:hAnsi="宋体" w:eastAsia="宋体" w:cs="宋体"/>
          <w:spacing w:val="6"/>
          <w:sz w:val="20"/>
          <w:szCs w:val="20"/>
        </w:rPr>
        <w:t>现浇混凝土构件模板按构件与模板的接触面积计算。不扣除单孔面积</w:t>
      </w:r>
      <w:r>
        <w:rPr>
          <w:rFonts w:ascii="宋体" w:hAnsi="宋体" w:eastAsia="宋体" w:cs="宋体"/>
          <w:spacing w:val="-27"/>
          <w:sz w:val="20"/>
          <w:szCs w:val="20"/>
        </w:rPr>
        <w:t xml:space="preserve"> </w:t>
      </w:r>
      <w:r>
        <w:rPr>
          <w:rFonts w:ascii="宋体" w:hAnsi="宋体" w:eastAsia="宋体" w:cs="宋体"/>
          <w:spacing w:val="6"/>
          <w:sz w:val="20"/>
          <w:szCs w:val="20"/>
        </w:rPr>
        <w:t>0.3m</w:t>
      </w:r>
      <w:r>
        <w:rPr>
          <w:rFonts w:ascii="宋体" w:hAnsi="宋体" w:eastAsia="宋体" w:cs="宋体"/>
          <w:spacing w:val="6"/>
          <w:position w:val="10"/>
          <w:sz w:val="10"/>
          <w:szCs w:val="10"/>
        </w:rPr>
        <w:t xml:space="preserve">2 </w:t>
      </w:r>
      <w:r>
        <w:rPr>
          <w:rFonts w:ascii="宋体" w:hAnsi="宋体" w:eastAsia="宋体" w:cs="宋体"/>
          <w:spacing w:val="6"/>
          <w:sz w:val="20"/>
          <w:szCs w:val="20"/>
        </w:rPr>
        <w:t>以内的孔洞所占的面</w:t>
      </w:r>
      <w:r>
        <w:rPr>
          <w:rFonts w:ascii="宋体" w:hAnsi="宋体" w:eastAsia="宋体" w:cs="宋体"/>
          <w:spacing w:val="8"/>
          <w:sz w:val="20"/>
          <w:szCs w:val="20"/>
        </w:rPr>
        <w:t>积，孔洞侧壁模板亦不另行增加。单孔面积大于</w:t>
      </w:r>
      <w:r>
        <w:rPr>
          <w:rFonts w:ascii="宋体" w:hAnsi="宋体" w:eastAsia="宋体" w:cs="宋体"/>
          <w:spacing w:val="-36"/>
          <w:sz w:val="20"/>
          <w:szCs w:val="20"/>
        </w:rPr>
        <w:t xml:space="preserve"> </w:t>
      </w:r>
      <w:r>
        <w:rPr>
          <w:rFonts w:ascii="宋体" w:hAnsi="宋体" w:eastAsia="宋体" w:cs="宋体"/>
          <w:spacing w:val="8"/>
          <w:sz w:val="20"/>
          <w:szCs w:val="20"/>
        </w:rPr>
        <w:t>0.3m</w:t>
      </w:r>
      <w:r>
        <w:rPr>
          <w:rFonts w:ascii="宋体" w:hAnsi="宋体" w:eastAsia="宋体" w:cs="宋体"/>
          <w:spacing w:val="8"/>
          <w:position w:val="10"/>
          <w:sz w:val="10"/>
          <w:szCs w:val="10"/>
        </w:rPr>
        <w:t xml:space="preserve">2 </w:t>
      </w:r>
      <w:r>
        <w:rPr>
          <w:rFonts w:ascii="宋体" w:hAnsi="宋体" w:eastAsia="宋体" w:cs="宋体"/>
          <w:spacing w:val="8"/>
          <w:sz w:val="20"/>
          <w:szCs w:val="20"/>
        </w:rPr>
        <w:t>以上的孔洞，孔洞侧壁模板工程量另行计算</w:t>
      </w:r>
    </w:p>
    <w:p>
      <w:pPr>
        <w:spacing w:before="15" w:line="286" w:lineRule="exact"/>
        <w:ind w:left="427"/>
        <w:rPr>
          <w:rFonts w:ascii="宋体" w:hAnsi="宋体" w:eastAsia="宋体" w:cs="宋体"/>
          <w:sz w:val="20"/>
          <w:szCs w:val="20"/>
        </w:rPr>
      </w:pPr>
      <w:r>
        <w:rPr>
          <w:rFonts w:ascii="宋体" w:hAnsi="宋体" w:eastAsia="宋体" w:cs="宋体"/>
          <w:b/>
          <w:bCs/>
          <w:spacing w:val="3"/>
          <w:position w:val="1"/>
          <w:sz w:val="20"/>
          <w:szCs w:val="20"/>
        </w:rPr>
        <w:t>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关于管廊排管包封的计算</w:t>
      </w:r>
    </w:p>
    <w:p>
      <w:pPr>
        <w:spacing w:before="116" w:line="372" w:lineRule="auto"/>
        <w:ind w:left="3" w:right="83" w:firstLine="418"/>
        <w:rPr>
          <w:rFonts w:ascii="宋体" w:hAnsi="宋体" w:eastAsia="宋体" w:cs="宋体"/>
          <w:sz w:val="20"/>
          <w:szCs w:val="20"/>
        </w:rPr>
      </w:pPr>
      <w:r>
        <w:rPr>
          <w:rFonts w:ascii="宋体" w:hAnsi="宋体" w:eastAsia="宋体" w:cs="宋体"/>
          <w:spacing w:val="11"/>
          <w:sz w:val="20"/>
          <w:szCs w:val="20"/>
        </w:rPr>
        <w:t>排管的包封均执行本册“管道包封”定额。排管包封按设计图示满包截面面积</w:t>
      </w:r>
      <w:r>
        <w:rPr>
          <w:rFonts w:ascii="宋体" w:hAnsi="宋体" w:eastAsia="宋体" w:cs="宋体"/>
          <w:spacing w:val="10"/>
          <w:sz w:val="20"/>
          <w:szCs w:val="20"/>
        </w:rPr>
        <w:t>乘以管廊外壁至</w:t>
      </w:r>
      <w:r>
        <w:rPr>
          <w:rFonts w:ascii="宋体" w:hAnsi="宋体" w:eastAsia="宋体" w:cs="宋体"/>
          <w:spacing w:val="9"/>
          <w:sz w:val="20"/>
          <w:szCs w:val="20"/>
        </w:rPr>
        <w:t>检查井外壁间的长度，以体积计算，扣除管道所占体积。</w:t>
      </w:r>
    </w:p>
    <w:p>
      <w:pPr>
        <w:spacing w:line="278" w:lineRule="exact"/>
        <w:ind w:right="40"/>
        <w:jc w:val="right"/>
        <w:rPr>
          <w:rFonts w:ascii="宋体" w:hAnsi="宋体" w:eastAsia="宋体" w:cs="宋体"/>
          <w:sz w:val="20"/>
          <w:szCs w:val="20"/>
        </w:rPr>
      </w:pPr>
      <w:r>
        <w:rPr>
          <w:rFonts w:ascii="宋体" w:hAnsi="宋体" w:eastAsia="宋体" w:cs="宋体"/>
          <w:b/>
          <w:bCs/>
          <w:spacing w:val="4"/>
          <w:position w:val="1"/>
          <w:sz w:val="20"/>
          <w:szCs w:val="20"/>
        </w:rPr>
        <w:t>十六、《山东省建设工程费用项目组成及计算规则》使用有关说明(以下解释仅适用于市政工程)</w:t>
      </w:r>
    </w:p>
    <w:p>
      <w:pPr>
        <w:spacing w:before="123" w:line="277" w:lineRule="exact"/>
        <w:ind w:left="529"/>
        <w:rPr>
          <w:rFonts w:ascii="宋体" w:hAnsi="宋体" w:eastAsia="宋体" w:cs="宋体"/>
          <w:sz w:val="20"/>
          <w:szCs w:val="20"/>
        </w:rPr>
      </w:pPr>
      <w:r>
        <w:rPr>
          <w:rFonts w:ascii="宋体" w:hAnsi="宋体" w:eastAsia="宋体" w:cs="宋体"/>
          <w:b/>
          <w:bCs/>
          <w:spacing w:val="-3"/>
          <w:position w:val="1"/>
          <w:sz w:val="20"/>
          <w:szCs w:val="20"/>
        </w:rPr>
        <w:t>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通用措施项目费中“夜间施工增加费</w:t>
      </w:r>
      <w:r>
        <w:rPr>
          <w:rFonts w:ascii="宋体" w:hAnsi="宋体" w:eastAsia="宋体" w:cs="宋体"/>
          <w:b/>
          <w:bCs/>
          <w:spacing w:val="-4"/>
          <w:position w:val="1"/>
          <w:sz w:val="20"/>
          <w:szCs w:val="20"/>
        </w:rPr>
        <w:t>”：</w:t>
      </w:r>
    </w:p>
    <w:p>
      <w:pPr>
        <w:spacing w:before="126" w:line="370" w:lineRule="auto"/>
        <w:ind w:left="12" w:right="83" w:firstLine="480"/>
        <w:rPr>
          <w:rFonts w:ascii="宋体" w:hAnsi="宋体" w:eastAsia="宋体" w:cs="宋体"/>
          <w:sz w:val="20"/>
          <w:szCs w:val="20"/>
        </w:rPr>
      </w:pPr>
      <w:r>
        <w:rPr>
          <w:rFonts w:ascii="宋体" w:hAnsi="宋体" w:eastAsia="宋体" w:cs="宋体"/>
          <w:spacing w:val="9"/>
          <w:sz w:val="20"/>
          <w:szCs w:val="20"/>
        </w:rPr>
        <w:t>通用措施项目费中的“夜间施工增加费”是指在正常施工条件下因工程结构及施工工艺需要必</w:t>
      </w:r>
      <w:r>
        <w:rPr>
          <w:rFonts w:ascii="宋体" w:hAnsi="宋体" w:eastAsia="宋体" w:cs="宋体"/>
          <w:spacing w:val="11"/>
          <w:sz w:val="20"/>
          <w:szCs w:val="20"/>
        </w:rPr>
        <w:t>须连续施工所发生的降低工效、施工照明及设施等费用，不适用于完全夜间施工</w:t>
      </w:r>
      <w:r>
        <w:rPr>
          <w:rFonts w:ascii="宋体" w:hAnsi="宋体" w:eastAsia="宋体" w:cs="宋体"/>
          <w:spacing w:val="10"/>
          <w:sz w:val="20"/>
          <w:szCs w:val="20"/>
        </w:rPr>
        <w:t>情况。</w:t>
      </w:r>
    </w:p>
    <w:p>
      <w:pPr>
        <w:spacing w:line="221" w:lineRule="auto"/>
        <w:ind w:left="495"/>
        <w:rPr>
          <w:rFonts w:ascii="宋体" w:hAnsi="宋体" w:eastAsia="宋体" w:cs="宋体"/>
          <w:sz w:val="20"/>
          <w:szCs w:val="20"/>
        </w:rPr>
      </w:pPr>
      <w:r>
        <w:rPr>
          <w:rFonts w:ascii="宋体" w:hAnsi="宋体" w:eastAsia="宋体" w:cs="宋体"/>
          <w:spacing w:val="13"/>
          <w:sz w:val="20"/>
          <w:szCs w:val="20"/>
        </w:rPr>
        <w:t>完全夜间施工是指为保持主要交通道路白天正常通行</w:t>
      </w:r>
      <w:r>
        <w:rPr>
          <w:rFonts w:ascii="宋体" w:hAnsi="宋体" w:eastAsia="宋体" w:cs="宋体"/>
          <w:spacing w:val="-49"/>
          <w:sz w:val="20"/>
          <w:szCs w:val="20"/>
        </w:rPr>
        <w:t xml:space="preserve"> </w:t>
      </w:r>
      <w:r>
        <w:rPr>
          <w:rFonts w:ascii="宋体" w:hAnsi="宋体" w:eastAsia="宋体" w:cs="宋体"/>
          <w:spacing w:val="13"/>
          <w:sz w:val="20"/>
          <w:szCs w:val="20"/>
        </w:rPr>
        <w:t>，部分市政基础设施类工程须完全在夜</w:t>
      </w:r>
    </w:p>
    <w:p>
      <w:pPr>
        <w:spacing w:line="221" w:lineRule="auto"/>
        <w:rPr>
          <w:rFonts w:ascii="宋体" w:hAnsi="宋体" w:eastAsia="宋体" w:cs="宋体"/>
          <w:sz w:val="20"/>
          <w:szCs w:val="20"/>
        </w:rPr>
        <w:sectPr>
          <w:footerReference r:id="rId250" w:type="default"/>
          <w:pgSz w:w="11906" w:h="16839"/>
          <w:pgMar w:top="400" w:right="1337" w:bottom="1212" w:left="1417"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9" w:lineRule="auto"/>
        <w:ind w:left="12" w:right="4" w:firstLine="14"/>
        <w:jc w:val="both"/>
        <w:rPr>
          <w:rFonts w:ascii="宋体" w:hAnsi="宋体" w:eastAsia="宋体" w:cs="宋体"/>
          <w:sz w:val="20"/>
          <w:szCs w:val="20"/>
        </w:rPr>
      </w:pPr>
      <w:r>
        <w:rPr>
          <w:rFonts w:ascii="宋体" w:hAnsi="宋体" w:eastAsia="宋体" w:cs="宋体"/>
          <w:spacing w:val="10"/>
          <w:sz w:val="20"/>
          <w:szCs w:val="20"/>
        </w:rPr>
        <w:t>间组织实施施工活动，且白天人员、机械及剩余材料等均撤离施工现场、恢复临时通车的情况。完</w:t>
      </w:r>
      <w:r>
        <w:rPr>
          <w:rFonts w:ascii="宋体" w:hAnsi="宋体" w:eastAsia="宋体" w:cs="宋体"/>
          <w:spacing w:val="11"/>
          <w:sz w:val="20"/>
          <w:szCs w:val="20"/>
        </w:rPr>
        <w:t>全夜间施工的工程其人工降效、增加的照明、机械多次进出</w:t>
      </w:r>
      <w:r>
        <w:rPr>
          <w:rFonts w:ascii="宋体" w:hAnsi="宋体" w:eastAsia="宋体" w:cs="宋体"/>
          <w:spacing w:val="10"/>
          <w:sz w:val="20"/>
          <w:szCs w:val="20"/>
        </w:rPr>
        <w:t>场、临时钢板铺设、交通维护及疏导等</w:t>
      </w:r>
      <w:r>
        <w:rPr>
          <w:rFonts w:ascii="宋体" w:hAnsi="宋体" w:eastAsia="宋体" w:cs="宋体"/>
          <w:spacing w:val="7"/>
          <w:sz w:val="20"/>
          <w:szCs w:val="20"/>
        </w:rPr>
        <w:t>费用可参照以下说明计算：</w:t>
      </w:r>
    </w:p>
    <w:p>
      <w:pPr>
        <w:spacing w:line="297" w:lineRule="auto"/>
        <w:ind w:left="12" w:right="7" w:firstLine="480"/>
        <w:rPr>
          <w:rFonts w:ascii="宋体" w:hAnsi="宋体" w:eastAsia="宋体" w:cs="宋体"/>
          <w:sz w:val="20"/>
          <w:szCs w:val="20"/>
        </w:rPr>
      </w:pPr>
      <w:r>
        <w:rPr>
          <w:rFonts w:ascii="宋体" w:hAnsi="宋体" w:eastAsia="宋体" w:cs="宋体"/>
          <w:spacing w:val="5"/>
          <w:sz w:val="20"/>
          <w:szCs w:val="20"/>
        </w:rPr>
        <w:t>（</w:t>
      </w:r>
      <w:r>
        <w:rPr>
          <w:rFonts w:ascii="宋体" w:hAnsi="宋体" w:eastAsia="宋体" w:cs="宋体"/>
          <w:spacing w:val="-46"/>
          <w:sz w:val="20"/>
          <w:szCs w:val="20"/>
        </w:rPr>
        <w:t xml:space="preserve"> </w:t>
      </w:r>
      <w:r>
        <w:rPr>
          <w:rFonts w:ascii="宋体" w:hAnsi="宋体" w:eastAsia="宋体" w:cs="宋体"/>
          <w:spacing w:val="5"/>
          <w:sz w:val="20"/>
          <w:szCs w:val="20"/>
        </w:rPr>
        <w:t>1）依据山东省市政工程有关计价定额计价时，人工降效按 25%，计算基础为单位工程夜间施</w:t>
      </w:r>
      <w:r>
        <w:rPr>
          <w:rFonts w:ascii="宋体" w:hAnsi="宋体" w:eastAsia="宋体" w:cs="宋体"/>
          <w:spacing w:val="7"/>
          <w:sz w:val="20"/>
          <w:szCs w:val="20"/>
        </w:rPr>
        <w:t>工分部分项部分的人工消耗。</w:t>
      </w:r>
    </w:p>
    <w:p>
      <w:pPr>
        <w:spacing w:before="157" w:line="296" w:lineRule="auto"/>
        <w:ind w:left="16" w:right="7" w:firstLine="476"/>
        <w:rPr>
          <w:rFonts w:ascii="宋体" w:hAnsi="宋体" w:eastAsia="宋体" w:cs="宋体"/>
          <w:sz w:val="20"/>
          <w:szCs w:val="20"/>
        </w:rPr>
      </w:pPr>
      <w:r>
        <w:rPr>
          <w:rFonts w:ascii="宋体" w:hAnsi="宋体" w:eastAsia="宋体" w:cs="宋体"/>
          <w:spacing w:val="7"/>
          <w:sz w:val="20"/>
          <w:szCs w:val="20"/>
        </w:rPr>
        <w:t>（2）夜间照明、机械多次进出场运输、临时钢板</w:t>
      </w:r>
      <w:r>
        <w:rPr>
          <w:rFonts w:ascii="宋体" w:hAnsi="宋体" w:eastAsia="宋体" w:cs="宋体"/>
          <w:spacing w:val="6"/>
          <w:sz w:val="20"/>
          <w:szCs w:val="20"/>
        </w:rPr>
        <w:t>铺设、交通维护及疏导等相关措施项目可根据</w:t>
      </w:r>
      <w:r>
        <w:rPr>
          <w:rFonts w:ascii="宋体" w:hAnsi="宋体" w:eastAsia="宋体" w:cs="宋体"/>
          <w:spacing w:val="7"/>
          <w:sz w:val="20"/>
          <w:szCs w:val="20"/>
        </w:rPr>
        <w:t>经批准的施工方案及现场实际发生计算。</w:t>
      </w:r>
    </w:p>
    <w:p>
      <w:pPr>
        <w:spacing w:before="157" w:line="278" w:lineRule="exact"/>
        <w:ind w:left="492"/>
        <w:rPr>
          <w:rFonts w:ascii="宋体" w:hAnsi="宋体" w:eastAsia="宋体" w:cs="宋体"/>
          <w:sz w:val="20"/>
          <w:szCs w:val="20"/>
        </w:rPr>
      </w:pPr>
      <w:r>
        <w:rPr>
          <w:rFonts w:ascii="宋体" w:hAnsi="宋体" w:eastAsia="宋体" w:cs="宋体"/>
          <w:spacing w:val="7"/>
          <w:position w:val="1"/>
          <w:sz w:val="20"/>
          <w:szCs w:val="20"/>
        </w:rPr>
        <w:t>（3）完全夜间施工增加的费用列入措施项目费。</w:t>
      </w:r>
    </w:p>
    <w:p>
      <w:pPr>
        <w:spacing w:before="123" w:line="277" w:lineRule="exact"/>
        <w:ind w:left="492"/>
        <w:rPr>
          <w:rFonts w:ascii="宋体" w:hAnsi="宋体" w:eastAsia="宋体" w:cs="宋体"/>
          <w:sz w:val="20"/>
          <w:szCs w:val="20"/>
        </w:rPr>
      </w:pPr>
      <w:r>
        <w:rPr>
          <w:rFonts w:ascii="宋体" w:hAnsi="宋体" w:eastAsia="宋体" w:cs="宋体"/>
          <w:spacing w:val="5"/>
          <w:position w:val="1"/>
          <w:sz w:val="20"/>
          <w:szCs w:val="20"/>
        </w:rPr>
        <w:t>（4）为提前工期而采取夜间施工时所发生的费用，由甲乙双方约定，可在其他项目费中列支。</w:t>
      </w:r>
    </w:p>
    <w:p>
      <w:pPr>
        <w:spacing w:before="122" w:line="313" w:lineRule="auto"/>
        <w:ind w:left="13" w:right="9" w:firstLine="479"/>
        <w:rPr>
          <w:rFonts w:ascii="宋体" w:hAnsi="宋体" w:eastAsia="宋体" w:cs="宋体"/>
          <w:sz w:val="20"/>
          <w:szCs w:val="20"/>
        </w:rPr>
      </w:pPr>
      <w:r>
        <w:rPr>
          <w:rFonts w:ascii="宋体" w:hAnsi="宋体" w:eastAsia="宋体" w:cs="宋体"/>
          <w:spacing w:val="7"/>
          <w:sz w:val="20"/>
          <w:szCs w:val="20"/>
        </w:rPr>
        <w:t>（5）其他存在部分夜间施工的项目（非工艺及工序</w:t>
      </w:r>
      <w:r>
        <w:rPr>
          <w:rFonts w:ascii="宋体" w:hAnsi="宋体" w:eastAsia="宋体" w:cs="宋体"/>
          <w:spacing w:val="6"/>
          <w:sz w:val="20"/>
          <w:szCs w:val="20"/>
        </w:rPr>
        <w:t>要求连续施工的</w:t>
      </w:r>
      <w:r>
        <w:rPr>
          <w:rFonts w:ascii="宋体" w:hAnsi="宋体" w:eastAsia="宋体" w:cs="宋体"/>
          <w:spacing w:val="4"/>
          <w:sz w:val="20"/>
          <w:szCs w:val="20"/>
        </w:rPr>
        <w:t>），</w:t>
      </w:r>
      <w:r>
        <w:rPr>
          <w:rFonts w:ascii="宋体" w:hAnsi="宋体" w:eastAsia="宋体" w:cs="宋体"/>
          <w:spacing w:val="6"/>
          <w:sz w:val="20"/>
          <w:szCs w:val="20"/>
        </w:rPr>
        <w:t>可根据具体施工方案参</w:t>
      </w:r>
      <w:r>
        <w:rPr>
          <w:rFonts w:ascii="宋体" w:hAnsi="宋体" w:eastAsia="宋体" w:cs="宋体"/>
          <w:spacing w:val="5"/>
          <w:sz w:val="20"/>
          <w:szCs w:val="20"/>
        </w:rPr>
        <w:t>照上述（</w:t>
      </w:r>
      <w:r>
        <w:rPr>
          <w:rFonts w:ascii="宋体" w:hAnsi="宋体" w:eastAsia="宋体" w:cs="宋体"/>
          <w:spacing w:val="-47"/>
          <w:sz w:val="20"/>
          <w:szCs w:val="20"/>
        </w:rPr>
        <w:t xml:space="preserve"> </w:t>
      </w:r>
      <w:r>
        <w:rPr>
          <w:rFonts w:ascii="宋体" w:hAnsi="宋体" w:eastAsia="宋体" w:cs="宋体"/>
          <w:spacing w:val="5"/>
          <w:sz w:val="20"/>
          <w:szCs w:val="20"/>
        </w:rPr>
        <w:t>1</w:t>
      </w:r>
      <w:r>
        <w:rPr>
          <w:rFonts w:ascii="宋体" w:hAnsi="宋体" w:eastAsia="宋体" w:cs="宋体"/>
          <w:spacing w:val="-43"/>
          <w:sz w:val="20"/>
          <w:szCs w:val="20"/>
        </w:rPr>
        <w:t xml:space="preserve"> </w:t>
      </w:r>
      <w:r>
        <w:rPr>
          <w:rFonts w:ascii="宋体" w:hAnsi="宋体" w:eastAsia="宋体" w:cs="宋体"/>
          <w:spacing w:val="5"/>
          <w:sz w:val="20"/>
          <w:szCs w:val="20"/>
        </w:rPr>
        <w:t>）、（2）条调整人工降效及措</w:t>
      </w:r>
      <w:r>
        <w:rPr>
          <w:rFonts w:ascii="宋体" w:hAnsi="宋体" w:eastAsia="宋体" w:cs="宋体"/>
          <w:spacing w:val="4"/>
          <w:sz w:val="20"/>
          <w:szCs w:val="20"/>
        </w:rPr>
        <w:t>施项目，增加相应费用。</w:t>
      </w:r>
    </w:p>
    <w:p>
      <w:pPr>
        <w:spacing w:before="123" w:line="278" w:lineRule="exact"/>
        <w:ind w:left="493"/>
        <w:rPr>
          <w:rFonts w:ascii="宋体" w:hAnsi="宋体" w:eastAsia="宋体" w:cs="宋体"/>
          <w:sz w:val="20"/>
          <w:szCs w:val="20"/>
        </w:rPr>
      </w:pPr>
      <w:r>
        <w:rPr>
          <w:rFonts w:ascii="宋体" w:hAnsi="宋体" w:eastAsia="宋体" w:cs="宋体"/>
          <w:b/>
          <w:bCs/>
          <w:spacing w:val="-1"/>
          <w:position w:val="1"/>
          <w:sz w:val="20"/>
          <w:szCs w:val="20"/>
        </w:rPr>
        <w:t>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通用措施项目费中“二次搬运费”：</w:t>
      </w:r>
    </w:p>
    <w:p>
      <w:pPr>
        <w:spacing w:before="120" w:line="369" w:lineRule="auto"/>
        <w:ind w:left="15" w:right="12" w:firstLine="480"/>
        <w:rPr>
          <w:rFonts w:ascii="宋体" w:hAnsi="宋体" w:eastAsia="宋体" w:cs="宋体"/>
          <w:sz w:val="20"/>
          <w:szCs w:val="20"/>
        </w:rPr>
      </w:pPr>
      <w:r>
        <w:rPr>
          <w:rFonts w:ascii="宋体" w:hAnsi="宋体" w:eastAsia="宋体" w:cs="宋体"/>
          <w:spacing w:val="14"/>
          <w:sz w:val="20"/>
          <w:szCs w:val="20"/>
        </w:rPr>
        <w:t>二次搬运费的概念：是指因施工场地条件及施工程序限制而发生的材料、构配件、半成品等</w:t>
      </w:r>
      <w:r>
        <w:rPr>
          <w:rFonts w:ascii="宋体" w:hAnsi="宋体" w:eastAsia="宋体" w:cs="宋体"/>
          <w:spacing w:val="11"/>
          <w:sz w:val="20"/>
          <w:szCs w:val="20"/>
        </w:rPr>
        <w:t>一次运输不能到达堆放地点，必须进行二次或多次搬运所发</w:t>
      </w:r>
      <w:r>
        <w:rPr>
          <w:rFonts w:ascii="宋体" w:hAnsi="宋体" w:eastAsia="宋体" w:cs="宋体"/>
          <w:spacing w:val="10"/>
          <w:sz w:val="20"/>
          <w:szCs w:val="20"/>
        </w:rPr>
        <w:t>生的费用，不含上山或过河的费用。</w:t>
      </w:r>
    </w:p>
    <w:p>
      <w:pPr>
        <w:spacing w:before="1" w:line="369" w:lineRule="auto"/>
        <w:ind w:firstLine="425"/>
        <w:rPr>
          <w:rFonts w:ascii="宋体" w:hAnsi="宋体" w:eastAsia="宋体" w:cs="宋体"/>
          <w:sz w:val="20"/>
          <w:szCs w:val="20"/>
        </w:rPr>
      </w:pPr>
      <w:r>
        <w:rPr>
          <w:rFonts w:ascii="宋体" w:hAnsi="宋体" w:eastAsia="宋体" w:cs="宋体"/>
          <w:spacing w:val="11"/>
          <w:sz w:val="20"/>
          <w:szCs w:val="20"/>
        </w:rPr>
        <w:t>一般认为工程上使用的材料因施工环境和场地限制，不能直接运至</w:t>
      </w:r>
      <w:r>
        <w:rPr>
          <w:rFonts w:ascii="宋体" w:hAnsi="宋体" w:eastAsia="宋体" w:cs="宋体"/>
          <w:spacing w:val="10"/>
          <w:sz w:val="20"/>
          <w:szCs w:val="20"/>
        </w:rPr>
        <w:t>施工组织设计要求范围内的</w:t>
      </w:r>
      <w:r>
        <w:rPr>
          <w:rFonts w:ascii="宋体" w:hAnsi="宋体" w:eastAsia="宋体" w:cs="宋体"/>
          <w:spacing w:val="11"/>
          <w:sz w:val="20"/>
          <w:szCs w:val="20"/>
        </w:rPr>
        <w:t>堆放地点，必须再次运输才能到达指定地点所发生的装运卸的费用，包含在二</w:t>
      </w:r>
      <w:r>
        <w:rPr>
          <w:rFonts w:ascii="宋体" w:hAnsi="宋体" w:eastAsia="宋体" w:cs="宋体"/>
          <w:spacing w:val="10"/>
          <w:sz w:val="20"/>
          <w:szCs w:val="20"/>
        </w:rPr>
        <w:t>次搬运费内。从施工组织设计要求的材料堆放地点运至施工操作安装地点的运输已包含在定额内（见总说明</w:t>
      </w:r>
      <w:r>
        <w:rPr>
          <w:rFonts w:ascii="宋体" w:hAnsi="宋体" w:eastAsia="宋体" w:cs="宋体"/>
          <w:spacing w:val="3"/>
          <w:sz w:val="20"/>
          <w:szCs w:val="20"/>
        </w:rPr>
        <w:t>）</w:t>
      </w:r>
      <w:r>
        <w:rPr>
          <w:rFonts w:ascii="宋体" w:hAnsi="宋体" w:eastAsia="宋体" w:cs="宋体"/>
          <w:spacing w:val="-42"/>
          <w:sz w:val="20"/>
          <w:szCs w:val="20"/>
        </w:rPr>
        <w:t xml:space="preserve"> </w:t>
      </w:r>
      <w:r>
        <w:rPr>
          <w:rFonts w:ascii="宋体" w:hAnsi="宋体" w:eastAsia="宋体" w:cs="宋体"/>
          <w:spacing w:val="3"/>
          <w:sz w:val="20"/>
          <w:szCs w:val="20"/>
        </w:rPr>
        <w:t>，</w:t>
      </w:r>
      <w:r>
        <w:rPr>
          <w:rFonts w:ascii="宋体" w:hAnsi="宋体" w:eastAsia="宋体" w:cs="宋体"/>
          <w:spacing w:val="10"/>
          <w:sz w:val="20"/>
          <w:szCs w:val="20"/>
        </w:rPr>
        <w:t>定额按</w:t>
      </w:r>
      <w:r>
        <w:rPr>
          <w:rFonts w:ascii="宋体" w:hAnsi="宋体" w:eastAsia="宋体" w:cs="宋体"/>
          <w:spacing w:val="8"/>
          <w:sz w:val="20"/>
          <w:szCs w:val="20"/>
        </w:rPr>
        <w:t>150m综合考虑。</w:t>
      </w:r>
    </w:p>
    <w:p>
      <w:pPr>
        <w:spacing w:before="1" w:line="278" w:lineRule="exact"/>
        <w:ind w:left="499"/>
        <w:rPr>
          <w:rFonts w:ascii="宋体" w:hAnsi="宋体" w:eastAsia="宋体" w:cs="宋体"/>
          <w:sz w:val="20"/>
          <w:szCs w:val="20"/>
        </w:rPr>
      </w:pPr>
      <w:r>
        <w:rPr>
          <w:rFonts w:ascii="宋体" w:hAnsi="宋体" w:eastAsia="宋体" w:cs="宋体"/>
          <w:b/>
          <w:bCs/>
          <w:spacing w:val="-1"/>
          <w:position w:val="1"/>
          <w:sz w:val="20"/>
          <w:szCs w:val="20"/>
        </w:rPr>
        <w:t>3.</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通用措施项目费中“冬雨季施工增加费”：</w:t>
      </w:r>
    </w:p>
    <w:p>
      <w:pPr>
        <w:spacing w:before="115" w:line="367" w:lineRule="auto"/>
        <w:ind w:left="23" w:right="64" w:firstLine="471"/>
        <w:jc w:val="both"/>
        <w:rPr>
          <w:rFonts w:ascii="宋体" w:hAnsi="宋体" w:eastAsia="宋体" w:cs="宋体"/>
          <w:sz w:val="20"/>
          <w:szCs w:val="20"/>
        </w:rPr>
      </w:pPr>
      <w:r>
        <w:rPr>
          <w:rFonts w:ascii="宋体" w:hAnsi="宋体" w:eastAsia="宋体" w:cs="宋体"/>
          <w:spacing w:val="12"/>
          <w:sz w:val="20"/>
          <w:szCs w:val="20"/>
        </w:rPr>
        <w:t>冬雨季施工增加费的概念：在冬季或雨季施工</w:t>
      </w:r>
      <w:r>
        <w:rPr>
          <w:rFonts w:ascii="宋体" w:hAnsi="宋体" w:eastAsia="宋体" w:cs="宋体"/>
          <w:spacing w:val="-59"/>
          <w:sz w:val="20"/>
          <w:szCs w:val="20"/>
        </w:rPr>
        <w:t xml:space="preserve"> </w:t>
      </w:r>
      <w:r>
        <w:rPr>
          <w:rFonts w:ascii="宋体" w:hAnsi="宋体" w:eastAsia="宋体" w:cs="宋体"/>
          <w:spacing w:val="12"/>
          <w:sz w:val="20"/>
          <w:szCs w:val="20"/>
        </w:rPr>
        <w:t>，引起防寒、</w:t>
      </w:r>
      <w:r>
        <w:rPr>
          <w:rFonts w:ascii="宋体" w:hAnsi="宋体" w:eastAsia="宋体" w:cs="宋体"/>
          <w:spacing w:val="11"/>
          <w:sz w:val="20"/>
          <w:szCs w:val="20"/>
        </w:rPr>
        <w:t>保温、防滑、防潮和排除雨雪等</w:t>
      </w:r>
      <w:r>
        <w:rPr>
          <w:rFonts w:ascii="宋体" w:hAnsi="宋体" w:eastAsia="宋体" w:cs="宋体"/>
          <w:spacing w:val="9"/>
          <w:sz w:val="20"/>
          <w:szCs w:val="20"/>
        </w:rPr>
        <w:t>措施的增加，人工和机械降效等费用。冬雨季施工增加费不包括混凝土外加剂费用及采用暖棚法施</w:t>
      </w:r>
      <w:r>
        <w:rPr>
          <w:rFonts w:ascii="宋体" w:hAnsi="宋体" w:eastAsia="宋体" w:cs="宋体"/>
          <w:spacing w:val="5"/>
          <w:sz w:val="20"/>
          <w:szCs w:val="20"/>
        </w:rPr>
        <w:t>工所增加的费用。</w:t>
      </w:r>
    </w:p>
    <w:p>
      <w:pPr>
        <w:spacing w:before="15" w:line="278" w:lineRule="exact"/>
        <w:ind w:left="487"/>
        <w:rPr>
          <w:rFonts w:ascii="宋体" w:hAnsi="宋体" w:eastAsia="宋体" w:cs="宋体"/>
          <w:sz w:val="20"/>
          <w:szCs w:val="20"/>
        </w:rPr>
      </w:pPr>
      <w:r>
        <w:rPr>
          <w:rFonts w:ascii="宋体" w:hAnsi="宋体" w:eastAsia="宋体" w:cs="宋体"/>
          <w:b/>
          <w:bCs/>
          <w:spacing w:val="-1"/>
          <w:position w:val="1"/>
          <w:sz w:val="20"/>
          <w:szCs w:val="20"/>
        </w:rPr>
        <w:t>4.</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市政专业措施项目中“地下管线交叉处理”：</w:t>
      </w:r>
    </w:p>
    <w:p>
      <w:pPr>
        <w:spacing w:before="126" w:line="364" w:lineRule="auto"/>
        <w:ind w:left="9" w:right="67" w:firstLine="480"/>
        <w:jc w:val="both"/>
        <w:rPr>
          <w:rFonts w:ascii="宋体" w:hAnsi="宋体" w:eastAsia="宋体" w:cs="宋体"/>
          <w:sz w:val="20"/>
          <w:szCs w:val="20"/>
        </w:rPr>
      </w:pPr>
      <w:r>
        <w:rPr>
          <w:rFonts w:ascii="宋体" w:hAnsi="宋体" w:eastAsia="宋体" w:cs="宋体"/>
          <w:spacing w:val="12"/>
          <w:sz w:val="20"/>
          <w:szCs w:val="20"/>
        </w:rPr>
        <w:t>地下管线交叉处理指施工过程中对现有施工场地范围内各种地下交叉管线进行加固</w:t>
      </w:r>
      <w:r>
        <w:rPr>
          <w:rFonts w:ascii="宋体" w:hAnsi="宋体" w:eastAsia="宋体" w:cs="宋体"/>
          <w:spacing w:val="11"/>
          <w:sz w:val="20"/>
          <w:szCs w:val="20"/>
        </w:rPr>
        <w:t>及处理</w:t>
      </w:r>
      <w:r>
        <w:rPr>
          <w:rFonts w:ascii="宋体" w:hAnsi="宋体" w:eastAsia="宋体" w:cs="宋体"/>
          <w:spacing w:val="-60"/>
          <w:sz w:val="20"/>
          <w:szCs w:val="20"/>
        </w:rPr>
        <w:t xml:space="preserve"> </w:t>
      </w:r>
      <w:r>
        <w:rPr>
          <w:rFonts w:ascii="宋体" w:hAnsi="宋体" w:eastAsia="宋体" w:cs="宋体"/>
          <w:spacing w:val="11"/>
          <w:sz w:val="20"/>
          <w:szCs w:val="20"/>
        </w:rPr>
        <w:t>，</w:t>
      </w:r>
      <w:r>
        <w:rPr>
          <w:rFonts w:ascii="宋体" w:hAnsi="宋体" w:eastAsia="宋体" w:cs="宋体"/>
          <w:spacing w:val="13"/>
          <w:sz w:val="20"/>
          <w:szCs w:val="20"/>
        </w:rPr>
        <w:t>不包括地下管线改、移位。按《山东省建设工程费用项目组成及计算规则》</w:t>
      </w:r>
      <w:r>
        <w:rPr>
          <w:rFonts w:ascii="宋体" w:hAnsi="宋体" w:eastAsia="宋体" w:cs="宋体"/>
          <w:spacing w:val="-52"/>
          <w:sz w:val="20"/>
          <w:szCs w:val="20"/>
        </w:rPr>
        <w:t xml:space="preserve"> </w:t>
      </w:r>
      <w:r>
        <w:rPr>
          <w:rFonts w:ascii="宋体" w:hAnsi="宋体" w:eastAsia="宋体" w:cs="宋体"/>
          <w:spacing w:val="13"/>
          <w:sz w:val="20"/>
          <w:szCs w:val="20"/>
        </w:rPr>
        <w:t>中费率形式计取该项</w:t>
      </w:r>
      <w:r>
        <w:rPr>
          <w:rFonts w:ascii="宋体" w:hAnsi="宋体" w:eastAsia="宋体" w:cs="宋体"/>
          <w:spacing w:val="9"/>
          <w:sz w:val="20"/>
          <w:szCs w:val="20"/>
        </w:rPr>
        <w:t>费用时，包括对原有管线进行隔离保护、悬吊或支撑保护，不包括对原有地下管线进行混凝土包封</w:t>
      </w:r>
      <w:r>
        <w:rPr>
          <w:rFonts w:ascii="宋体" w:hAnsi="宋体" w:eastAsia="宋体" w:cs="宋体"/>
          <w:spacing w:val="4"/>
          <w:sz w:val="20"/>
          <w:szCs w:val="20"/>
        </w:rPr>
        <w:t>处理。</w:t>
      </w:r>
    </w:p>
    <w:p>
      <w:pPr>
        <w:spacing w:before="18" w:line="278" w:lineRule="exact"/>
        <w:ind w:left="495"/>
        <w:rPr>
          <w:rFonts w:ascii="宋体" w:hAnsi="宋体" w:eastAsia="宋体" w:cs="宋体"/>
          <w:sz w:val="20"/>
          <w:szCs w:val="20"/>
        </w:rPr>
      </w:pPr>
      <w:r>
        <w:rPr>
          <w:rFonts w:ascii="宋体" w:hAnsi="宋体" w:eastAsia="宋体" w:cs="宋体"/>
          <w:b/>
          <w:bCs/>
          <w:spacing w:val="-1"/>
          <w:position w:val="1"/>
          <w:sz w:val="20"/>
          <w:szCs w:val="20"/>
        </w:rPr>
        <w:t>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市政专业措施项目中“交通维护及疏导”：</w:t>
      </w:r>
    </w:p>
    <w:p>
      <w:pPr>
        <w:spacing w:before="124" w:line="369" w:lineRule="auto"/>
        <w:ind w:left="10" w:right="2" w:firstLine="488"/>
        <w:jc w:val="both"/>
        <w:rPr>
          <w:rFonts w:ascii="宋体" w:hAnsi="宋体" w:eastAsia="宋体" w:cs="宋体"/>
          <w:sz w:val="20"/>
          <w:szCs w:val="20"/>
        </w:rPr>
      </w:pPr>
      <w:r>
        <w:rPr>
          <w:rFonts w:ascii="宋体" w:hAnsi="宋体" w:eastAsia="宋体" w:cs="宋体"/>
          <w:spacing w:val="8"/>
          <w:sz w:val="20"/>
          <w:szCs w:val="20"/>
        </w:rPr>
        <w:t>市政专业措施项目中“交通维护及疏导”</w:t>
      </w:r>
      <w:r>
        <w:rPr>
          <w:rFonts w:ascii="宋体" w:hAnsi="宋体" w:eastAsia="宋体" w:cs="宋体"/>
          <w:spacing w:val="-55"/>
          <w:sz w:val="20"/>
          <w:szCs w:val="20"/>
        </w:rPr>
        <w:t xml:space="preserve"> </w:t>
      </w:r>
      <w:r>
        <w:rPr>
          <w:rFonts w:ascii="宋体" w:hAnsi="宋体" w:eastAsia="宋体" w:cs="宋体"/>
          <w:spacing w:val="8"/>
          <w:sz w:val="20"/>
          <w:szCs w:val="20"/>
        </w:rPr>
        <w:t>，是指在车辆、行人通行的市政道路上施工，因施工</w:t>
      </w:r>
      <w:r>
        <w:rPr>
          <w:rFonts w:ascii="宋体" w:hAnsi="宋体" w:eastAsia="宋体" w:cs="宋体"/>
          <w:spacing w:val="6"/>
          <w:sz w:val="20"/>
          <w:szCs w:val="20"/>
        </w:rPr>
        <w:t>路段不能全封闭，导致需要在施工现场范围内采取交通疏解措施所需的费用，</w:t>
      </w:r>
      <w:r>
        <w:rPr>
          <w:rFonts w:ascii="宋体" w:hAnsi="宋体" w:eastAsia="宋体" w:cs="宋体"/>
          <w:spacing w:val="5"/>
          <w:sz w:val="20"/>
          <w:szCs w:val="20"/>
        </w:rPr>
        <w:t>一般包括周边道路的交</w:t>
      </w:r>
      <w:r>
        <w:rPr>
          <w:rFonts w:ascii="宋体" w:hAnsi="宋体" w:eastAsia="宋体" w:cs="宋体"/>
          <w:spacing w:val="11"/>
          <w:sz w:val="20"/>
          <w:szCs w:val="20"/>
        </w:rPr>
        <w:t>通诱导标线、警示灯、指示牌、临时信号灯、交通协勤</w:t>
      </w:r>
      <w:r>
        <w:rPr>
          <w:rFonts w:ascii="宋体" w:hAnsi="宋体" w:eastAsia="宋体" w:cs="宋体"/>
          <w:spacing w:val="10"/>
          <w:sz w:val="20"/>
          <w:szCs w:val="20"/>
        </w:rPr>
        <w:t>人员及现场路面隔离设施等。该部分费用应根据当地有关管理部门批复的专项交通疏解方案计算相关费用。</w:t>
      </w:r>
    </w:p>
    <w:p>
      <w:pPr>
        <w:spacing w:line="278" w:lineRule="exact"/>
        <w:ind w:left="494"/>
        <w:rPr>
          <w:rFonts w:ascii="宋体" w:hAnsi="宋体" w:eastAsia="宋体" w:cs="宋体"/>
          <w:sz w:val="20"/>
          <w:szCs w:val="20"/>
        </w:rPr>
      </w:pPr>
      <w:r>
        <w:rPr>
          <w:rFonts w:ascii="宋体" w:hAnsi="宋体" w:eastAsia="宋体" w:cs="宋体"/>
          <w:b/>
          <w:bCs/>
          <w:spacing w:val="-1"/>
          <w:position w:val="1"/>
          <w:sz w:val="20"/>
          <w:szCs w:val="20"/>
        </w:rPr>
        <w:t>6.</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安全文明措施费中“环境保护费”：</w:t>
      </w:r>
    </w:p>
    <w:p>
      <w:pPr>
        <w:spacing w:before="125" w:line="371" w:lineRule="auto"/>
        <w:ind w:left="8" w:right="69" w:firstLine="482"/>
        <w:rPr>
          <w:rFonts w:ascii="宋体" w:hAnsi="宋体" w:eastAsia="宋体" w:cs="宋体"/>
          <w:sz w:val="20"/>
          <w:szCs w:val="20"/>
        </w:rPr>
      </w:pPr>
      <w:r>
        <w:rPr>
          <w:rFonts w:ascii="宋体" w:hAnsi="宋体" w:eastAsia="宋体" w:cs="宋体"/>
          <w:spacing w:val="12"/>
          <w:sz w:val="20"/>
          <w:szCs w:val="20"/>
        </w:rPr>
        <w:t>环境保护费是指承包人按照国家及地方主管部门要求</w:t>
      </w:r>
      <w:r>
        <w:rPr>
          <w:rFonts w:ascii="宋体" w:hAnsi="宋体" w:eastAsia="宋体" w:cs="宋体"/>
          <w:spacing w:val="-59"/>
          <w:sz w:val="20"/>
          <w:szCs w:val="20"/>
        </w:rPr>
        <w:t xml:space="preserve"> </w:t>
      </w:r>
      <w:r>
        <w:rPr>
          <w:rFonts w:ascii="宋体" w:hAnsi="宋体" w:eastAsia="宋体" w:cs="宋体"/>
          <w:spacing w:val="12"/>
          <w:sz w:val="20"/>
          <w:szCs w:val="20"/>
        </w:rPr>
        <w:t>，采取措施避免或减</w:t>
      </w:r>
      <w:r>
        <w:rPr>
          <w:rFonts w:ascii="宋体" w:hAnsi="宋体" w:eastAsia="宋体" w:cs="宋体"/>
          <w:spacing w:val="11"/>
          <w:sz w:val="20"/>
          <w:szCs w:val="20"/>
        </w:rPr>
        <w:t>少施工过程中对环</w:t>
      </w:r>
      <w:r>
        <w:rPr>
          <w:rFonts w:ascii="宋体" w:hAnsi="宋体" w:eastAsia="宋体" w:cs="宋体"/>
          <w:spacing w:val="14"/>
          <w:sz w:val="20"/>
          <w:szCs w:val="20"/>
        </w:rPr>
        <w:t>境产生的垃圾、扬尘、气体、污水、噪声等各类污染所发生的费用。环境保护措施应符合国家和</w:t>
      </w:r>
    </w:p>
    <w:p>
      <w:pPr>
        <w:spacing w:line="371" w:lineRule="auto"/>
        <w:rPr>
          <w:rFonts w:ascii="宋体" w:hAnsi="宋体" w:eastAsia="宋体" w:cs="宋体"/>
          <w:sz w:val="20"/>
          <w:szCs w:val="20"/>
        </w:rPr>
        <w:sectPr>
          <w:footerReference r:id="rId251" w:type="default"/>
          <w:pgSz w:w="11906" w:h="16839"/>
          <w:pgMar w:top="400" w:right="1410" w:bottom="1212" w:left="1420"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8" w:lineRule="auto"/>
        <w:ind w:left="10" w:right="41" w:firstLine="1"/>
        <w:rPr>
          <w:rFonts w:ascii="宋体" w:hAnsi="宋体" w:eastAsia="宋体" w:cs="宋体"/>
          <w:sz w:val="20"/>
          <w:szCs w:val="20"/>
        </w:rPr>
      </w:pPr>
      <w:r>
        <w:rPr>
          <w:rFonts w:ascii="宋体" w:hAnsi="宋体" w:eastAsia="宋体" w:cs="宋体"/>
          <w:spacing w:val="13"/>
          <w:sz w:val="20"/>
          <w:szCs w:val="20"/>
        </w:rPr>
        <w:t>省有关规定及技术标准要求。按《山东省建设工程费用项目组成及计算规则》</w:t>
      </w:r>
      <w:r>
        <w:rPr>
          <w:rFonts w:ascii="宋体" w:hAnsi="宋体" w:eastAsia="宋体" w:cs="宋体"/>
          <w:spacing w:val="-53"/>
          <w:sz w:val="20"/>
          <w:szCs w:val="20"/>
        </w:rPr>
        <w:t xml:space="preserve"> </w:t>
      </w:r>
      <w:r>
        <w:rPr>
          <w:rFonts w:ascii="宋体" w:hAnsi="宋体" w:eastAsia="宋体" w:cs="宋体"/>
          <w:spacing w:val="13"/>
          <w:sz w:val="20"/>
          <w:szCs w:val="20"/>
        </w:rPr>
        <w:t>中费率形式计取该</w:t>
      </w:r>
      <w:r>
        <w:rPr>
          <w:rFonts w:ascii="宋体" w:hAnsi="宋体" w:eastAsia="宋体" w:cs="宋体"/>
          <w:spacing w:val="10"/>
          <w:sz w:val="20"/>
          <w:szCs w:val="20"/>
        </w:rPr>
        <w:t>项费用时，已包括视频监测及扬尘噪声监测、喷淋设施（含水</w:t>
      </w:r>
      <w:r>
        <w:rPr>
          <w:rFonts w:ascii="宋体" w:hAnsi="宋体" w:eastAsia="宋体" w:cs="宋体"/>
          <w:spacing w:val="9"/>
          <w:sz w:val="20"/>
          <w:szCs w:val="20"/>
        </w:rPr>
        <w:t>电）等费用，洒水车降尘包含水费。</w:t>
      </w:r>
    </w:p>
    <w:p>
      <w:pPr>
        <w:spacing w:before="3" w:line="278" w:lineRule="exact"/>
        <w:ind w:left="498"/>
        <w:rPr>
          <w:rFonts w:ascii="宋体" w:hAnsi="宋体" w:eastAsia="宋体" w:cs="宋体"/>
          <w:sz w:val="20"/>
          <w:szCs w:val="20"/>
        </w:rPr>
      </w:pPr>
      <w:r>
        <w:rPr>
          <w:rFonts w:ascii="宋体" w:hAnsi="宋体" w:eastAsia="宋体" w:cs="宋体"/>
          <w:b/>
          <w:bCs/>
          <w:spacing w:val="-1"/>
          <w:position w:val="1"/>
          <w:sz w:val="20"/>
          <w:szCs w:val="20"/>
        </w:rPr>
        <w:t>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安全文明措施费中“临时设施费”：</w:t>
      </w:r>
    </w:p>
    <w:p>
      <w:pPr>
        <w:spacing w:before="124" w:line="367" w:lineRule="auto"/>
        <w:ind w:left="10" w:right="56" w:firstLine="507"/>
        <w:rPr>
          <w:rFonts w:ascii="宋体" w:hAnsi="宋体" w:eastAsia="宋体" w:cs="宋体"/>
          <w:sz w:val="20"/>
          <w:szCs w:val="20"/>
        </w:rPr>
      </w:pPr>
      <w:r>
        <w:rPr>
          <w:rFonts w:ascii="宋体" w:hAnsi="宋体" w:eastAsia="宋体" w:cs="宋体"/>
          <w:spacing w:val="12"/>
          <w:sz w:val="20"/>
          <w:szCs w:val="20"/>
        </w:rPr>
        <w:t>临时设施费是指承包人为进行建设工程施工所必须搭设的生活、生产用的临时建设物、构筑</w:t>
      </w:r>
      <w:r>
        <w:rPr>
          <w:rFonts w:ascii="宋体" w:hAnsi="宋体" w:eastAsia="宋体" w:cs="宋体"/>
          <w:spacing w:val="13"/>
          <w:sz w:val="20"/>
          <w:szCs w:val="20"/>
        </w:rPr>
        <w:t>物和其他临时设施费用。其他临时设施包括：办公室、加工场（棚）</w:t>
      </w:r>
      <w:r>
        <w:rPr>
          <w:rFonts w:ascii="宋体" w:hAnsi="宋体" w:eastAsia="宋体" w:cs="宋体"/>
          <w:spacing w:val="-46"/>
          <w:sz w:val="20"/>
          <w:szCs w:val="20"/>
        </w:rPr>
        <w:t xml:space="preserve"> </w:t>
      </w:r>
      <w:r>
        <w:rPr>
          <w:rFonts w:ascii="宋体" w:hAnsi="宋体" w:eastAsia="宋体" w:cs="宋体"/>
          <w:spacing w:val="13"/>
          <w:sz w:val="20"/>
          <w:szCs w:val="20"/>
        </w:rPr>
        <w:t>、仓库、堆放场地、宿舍、卫生间、食堂、文化卫生用房</w:t>
      </w:r>
      <w:r>
        <w:rPr>
          <w:rFonts w:ascii="宋体" w:hAnsi="宋体" w:eastAsia="宋体" w:cs="宋体"/>
          <w:spacing w:val="-53"/>
          <w:sz w:val="20"/>
          <w:szCs w:val="20"/>
        </w:rPr>
        <w:t xml:space="preserve"> </w:t>
      </w:r>
      <w:r>
        <w:rPr>
          <w:rFonts w:ascii="宋体" w:hAnsi="宋体" w:eastAsia="宋体" w:cs="宋体"/>
          <w:spacing w:val="13"/>
          <w:sz w:val="20"/>
          <w:szCs w:val="20"/>
        </w:rPr>
        <w:t>，规定范围内的道路、水电、管线等。规定范围内以接入市政的水</w:t>
      </w:r>
      <w:r>
        <w:rPr>
          <w:rFonts w:ascii="宋体" w:hAnsi="宋体" w:eastAsia="宋体" w:cs="宋体"/>
          <w:spacing w:val="9"/>
          <w:sz w:val="20"/>
          <w:szCs w:val="20"/>
        </w:rPr>
        <w:t>源、电源以红线为界，红线以内的包括在临时设施费中，超出红线范围的属于建设单位的“三通一</w:t>
      </w:r>
      <w:r>
        <w:rPr>
          <w:rFonts w:ascii="宋体" w:hAnsi="宋体" w:eastAsia="宋体" w:cs="宋体"/>
          <w:spacing w:val="4"/>
          <w:sz w:val="20"/>
          <w:szCs w:val="20"/>
        </w:rPr>
        <w:t>平”费用。</w:t>
      </w:r>
    </w:p>
    <w:p>
      <w:pPr>
        <w:spacing w:before="12" w:line="368" w:lineRule="auto"/>
        <w:ind w:left="1" w:firstLine="424"/>
        <w:rPr>
          <w:rFonts w:ascii="宋体" w:hAnsi="宋体" w:eastAsia="宋体" w:cs="宋体"/>
          <w:sz w:val="20"/>
          <w:szCs w:val="20"/>
        </w:rPr>
      </w:pPr>
      <w:r>
        <w:rPr>
          <w:rFonts w:ascii="宋体" w:hAnsi="宋体" w:eastAsia="宋体" w:cs="宋体"/>
          <w:spacing w:val="11"/>
          <w:sz w:val="20"/>
          <w:szCs w:val="20"/>
        </w:rPr>
        <w:t>不包括为社会车辆及行人通行、以及施工现场不具备施工车辆通行</w:t>
      </w:r>
      <w:r>
        <w:rPr>
          <w:rFonts w:ascii="宋体" w:hAnsi="宋体" w:eastAsia="宋体" w:cs="宋体"/>
          <w:spacing w:val="10"/>
          <w:sz w:val="20"/>
          <w:szCs w:val="20"/>
        </w:rPr>
        <w:t>条件所必需的施工便道、便</w:t>
      </w:r>
      <w:r>
        <w:rPr>
          <w:rFonts w:ascii="宋体" w:hAnsi="宋体" w:eastAsia="宋体" w:cs="宋体"/>
          <w:spacing w:val="11"/>
          <w:sz w:val="20"/>
          <w:szCs w:val="20"/>
        </w:rPr>
        <w:t>桥。施工组织设计中为桥梁施工提供工作平台及材料运输通道的便桥应单独计算。</w:t>
      </w:r>
    </w:p>
    <w:p>
      <w:pPr>
        <w:spacing w:line="277" w:lineRule="exact"/>
        <w:ind w:left="497"/>
        <w:rPr>
          <w:rFonts w:ascii="宋体" w:hAnsi="宋体" w:eastAsia="宋体" w:cs="宋体"/>
          <w:sz w:val="20"/>
          <w:szCs w:val="20"/>
        </w:rPr>
      </w:pPr>
      <w:r>
        <w:rPr>
          <w:rFonts w:ascii="宋体" w:hAnsi="宋体" w:eastAsia="宋体" w:cs="宋体"/>
          <w:spacing w:val="2"/>
          <w:position w:val="1"/>
          <w:sz w:val="20"/>
          <w:szCs w:val="20"/>
        </w:rPr>
        <w:t xml:space="preserve">8. </w:t>
      </w:r>
      <w:r>
        <w:rPr>
          <w:rFonts w:ascii="宋体" w:hAnsi="宋体" w:eastAsia="宋体" w:cs="宋体"/>
          <w:b/>
          <w:bCs/>
          <w:spacing w:val="2"/>
          <w:position w:val="1"/>
          <w:sz w:val="20"/>
          <w:szCs w:val="20"/>
        </w:rPr>
        <w:t>市政专业措施项目中“市政工程智慧</w:t>
      </w:r>
      <w:r>
        <w:rPr>
          <w:rFonts w:ascii="宋体" w:hAnsi="宋体" w:eastAsia="宋体" w:cs="宋体"/>
          <w:b/>
          <w:bCs/>
          <w:spacing w:val="1"/>
          <w:position w:val="1"/>
          <w:sz w:val="20"/>
          <w:szCs w:val="20"/>
        </w:rPr>
        <w:t>工地建设费”：</w:t>
      </w:r>
    </w:p>
    <w:p>
      <w:pPr>
        <w:spacing w:before="123" w:line="359" w:lineRule="auto"/>
        <w:ind w:left="7" w:right="96" w:firstLine="468"/>
        <w:rPr>
          <w:rFonts w:ascii="宋体" w:hAnsi="宋体" w:eastAsia="宋体" w:cs="宋体"/>
          <w:sz w:val="20"/>
          <w:szCs w:val="20"/>
        </w:rPr>
      </w:pPr>
      <w:r>
        <w:rPr>
          <w:rFonts w:ascii="宋体" w:hAnsi="宋体" w:eastAsia="宋体" w:cs="宋体"/>
          <w:spacing w:val="12"/>
          <w:sz w:val="20"/>
          <w:szCs w:val="20"/>
        </w:rPr>
        <w:t>“市政工程智慧工地建设费”主要依据山东省市政行业协会团体标准《市政工程智慧工程建</w:t>
      </w:r>
      <w:r>
        <w:rPr>
          <w:rFonts w:ascii="宋体" w:hAnsi="宋体" w:eastAsia="宋体" w:cs="宋体"/>
          <w:spacing w:val="10"/>
          <w:sz w:val="20"/>
          <w:szCs w:val="20"/>
        </w:rPr>
        <w:t>设标准》（</w:t>
      </w:r>
      <w:r>
        <w:rPr>
          <w:rFonts w:ascii="宋体" w:hAnsi="宋体" w:eastAsia="宋体" w:cs="宋体"/>
          <w:spacing w:val="-35"/>
          <w:sz w:val="20"/>
          <w:szCs w:val="20"/>
        </w:rPr>
        <w:t xml:space="preserve"> </w:t>
      </w:r>
      <w:r>
        <w:rPr>
          <w:rFonts w:ascii="宋体" w:hAnsi="宋体" w:eastAsia="宋体" w:cs="宋体"/>
          <w:spacing w:val="10"/>
          <w:sz w:val="20"/>
          <w:szCs w:val="20"/>
        </w:rPr>
        <w:t>T/</w:t>
      </w:r>
      <w:r>
        <w:rPr>
          <w:rFonts w:ascii="宋体" w:hAnsi="宋体" w:eastAsia="宋体" w:cs="宋体"/>
          <w:sz w:val="20"/>
          <w:szCs w:val="20"/>
        </w:rPr>
        <w:t>SDSZ</w:t>
      </w:r>
      <w:r>
        <w:rPr>
          <w:rFonts w:ascii="宋体" w:hAnsi="宋体" w:eastAsia="宋体" w:cs="宋体"/>
          <w:spacing w:val="-21"/>
          <w:sz w:val="20"/>
          <w:szCs w:val="20"/>
        </w:rPr>
        <w:t xml:space="preserve"> </w:t>
      </w:r>
      <w:r>
        <w:rPr>
          <w:rFonts w:ascii="宋体" w:hAnsi="宋体" w:eastAsia="宋体" w:cs="宋体"/>
          <w:spacing w:val="10"/>
          <w:sz w:val="20"/>
          <w:szCs w:val="20"/>
        </w:rPr>
        <w:t>11-2023）编制</w:t>
      </w:r>
      <w:r>
        <w:rPr>
          <w:rFonts w:ascii="宋体" w:hAnsi="宋体" w:eastAsia="宋体" w:cs="宋体"/>
          <w:spacing w:val="-57"/>
          <w:sz w:val="20"/>
          <w:szCs w:val="20"/>
        </w:rPr>
        <w:t xml:space="preserve"> </w:t>
      </w:r>
      <w:r>
        <w:rPr>
          <w:rFonts w:ascii="宋体" w:hAnsi="宋体" w:eastAsia="宋体" w:cs="宋体"/>
          <w:spacing w:val="10"/>
          <w:sz w:val="20"/>
          <w:szCs w:val="20"/>
        </w:rPr>
        <w:t>，包括标准中基础项和推广项要求的</w:t>
      </w:r>
      <w:r>
        <w:rPr>
          <w:rFonts w:ascii="宋体" w:hAnsi="宋体" w:eastAsia="宋体" w:cs="宋体"/>
          <w:spacing w:val="9"/>
          <w:sz w:val="20"/>
          <w:szCs w:val="20"/>
        </w:rPr>
        <w:t>各项内容</w:t>
      </w:r>
      <w:r>
        <w:rPr>
          <w:rFonts w:ascii="宋体" w:hAnsi="宋体" w:eastAsia="宋体" w:cs="宋体"/>
          <w:spacing w:val="-57"/>
          <w:sz w:val="20"/>
          <w:szCs w:val="20"/>
        </w:rPr>
        <w:t xml:space="preserve"> </w:t>
      </w:r>
      <w:r>
        <w:rPr>
          <w:rFonts w:ascii="宋体" w:hAnsi="宋体" w:eastAsia="宋体" w:cs="宋体"/>
          <w:spacing w:val="9"/>
          <w:sz w:val="20"/>
          <w:szCs w:val="20"/>
        </w:rPr>
        <w:t>，已综合考虑了</w:t>
      </w:r>
      <w:r>
        <w:rPr>
          <w:rFonts w:ascii="宋体" w:hAnsi="宋体" w:eastAsia="宋体" w:cs="宋体"/>
          <w:spacing w:val="11"/>
          <w:sz w:val="20"/>
          <w:szCs w:val="20"/>
        </w:rPr>
        <w:t>与安全文明施工费等项目的交叉部分。但不包括</w:t>
      </w:r>
      <w:r>
        <w:rPr>
          <w:rFonts w:ascii="宋体" w:hAnsi="宋体" w:eastAsia="宋体" w:cs="宋体"/>
          <w:sz w:val="20"/>
          <w:szCs w:val="20"/>
        </w:rPr>
        <w:t>BIM</w:t>
      </w:r>
      <w:r>
        <w:rPr>
          <w:rFonts w:ascii="宋体" w:hAnsi="宋体" w:eastAsia="宋体" w:cs="宋体"/>
          <w:spacing w:val="11"/>
          <w:sz w:val="20"/>
          <w:szCs w:val="20"/>
        </w:rPr>
        <w:t>施工模型、建筑机械人、智慧厂站和智慧展馆</w:t>
      </w:r>
      <w:r>
        <w:rPr>
          <w:rFonts w:ascii="宋体" w:hAnsi="宋体" w:eastAsia="宋体" w:cs="宋体"/>
          <w:spacing w:val="7"/>
          <w:sz w:val="20"/>
          <w:szCs w:val="20"/>
        </w:rPr>
        <w:t>建设费用，发生时另行计算。</w:t>
      </w:r>
    </w:p>
    <w:p>
      <w:pPr>
        <w:spacing w:before="45" w:line="369" w:lineRule="auto"/>
        <w:ind w:left="13" w:right="54" w:firstLine="479"/>
        <w:rPr>
          <w:rFonts w:ascii="宋体" w:hAnsi="宋体" w:eastAsia="宋体" w:cs="宋体"/>
          <w:sz w:val="20"/>
          <w:szCs w:val="20"/>
        </w:rPr>
      </w:pPr>
      <w:r>
        <w:rPr>
          <w:rFonts w:ascii="宋体" w:hAnsi="宋体" w:eastAsia="宋体" w:cs="宋体"/>
          <w:spacing w:val="8"/>
          <w:sz w:val="20"/>
          <w:szCs w:val="20"/>
        </w:rPr>
        <w:t>有创建智慧工地要求的建设项目，参建各方主体在编制工程概算、最高</w:t>
      </w:r>
      <w:r>
        <w:rPr>
          <w:rFonts w:ascii="宋体" w:hAnsi="宋体" w:eastAsia="宋体" w:cs="宋体"/>
          <w:spacing w:val="7"/>
          <w:sz w:val="20"/>
          <w:szCs w:val="20"/>
        </w:rPr>
        <w:t>投标限价、投标报价、</w:t>
      </w:r>
      <w:r>
        <w:rPr>
          <w:rFonts w:ascii="宋体" w:hAnsi="宋体" w:eastAsia="宋体" w:cs="宋体"/>
          <w:spacing w:val="8"/>
          <w:sz w:val="20"/>
          <w:szCs w:val="20"/>
        </w:rPr>
        <w:t>工程结算等各类造价文件时，结合建设星级，合理计算相关费用。</w:t>
      </w:r>
    </w:p>
    <w:p>
      <w:pPr>
        <w:spacing w:before="2" w:line="367" w:lineRule="auto"/>
        <w:ind w:left="16" w:right="83" w:firstLine="459"/>
        <w:jc w:val="both"/>
        <w:rPr>
          <w:rFonts w:ascii="宋体" w:hAnsi="宋体" w:eastAsia="宋体" w:cs="宋体"/>
          <w:sz w:val="20"/>
          <w:szCs w:val="20"/>
        </w:rPr>
      </w:pPr>
      <w:r>
        <w:rPr>
          <w:rFonts w:ascii="宋体" w:hAnsi="宋体" w:eastAsia="宋体" w:cs="宋体"/>
          <w:spacing w:val="10"/>
          <w:sz w:val="20"/>
          <w:szCs w:val="20"/>
        </w:rPr>
        <w:t>“市政工程智慧工地建设费”计取时</w:t>
      </w:r>
      <w:r>
        <w:rPr>
          <w:rFonts w:ascii="宋体" w:hAnsi="宋体" w:eastAsia="宋体" w:cs="宋体"/>
          <w:spacing w:val="-60"/>
          <w:sz w:val="20"/>
          <w:szCs w:val="20"/>
        </w:rPr>
        <w:t xml:space="preserve"> </w:t>
      </w:r>
      <w:r>
        <w:rPr>
          <w:rFonts w:ascii="宋体" w:hAnsi="宋体" w:eastAsia="宋体" w:cs="宋体"/>
          <w:spacing w:val="10"/>
          <w:sz w:val="20"/>
          <w:szCs w:val="20"/>
        </w:rPr>
        <w:t>，以不含设备费的工程造价（</w:t>
      </w:r>
      <w:r>
        <w:rPr>
          <w:rFonts w:ascii="宋体" w:hAnsi="宋体" w:eastAsia="宋体" w:cs="宋体"/>
          <w:spacing w:val="-45"/>
          <w:sz w:val="20"/>
          <w:szCs w:val="20"/>
        </w:rPr>
        <w:t xml:space="preserve"> </w:t>
      </w:r>
      <w:r>
        <w:rPr>
          <w:rFonts w:ascii="宋体" w:hAnsi="宋体" w:eastAsia="宋体" w:cs="宋体"/>
          <w:spacing w:val="9"/>
          <w:sz w:val="20"/>
          <w:szCs w:val="20"/>
        </w:rPr>
        <w:t>以下简称“计费造价”</w:t>
      </w:r>
      <w:r>
        <w:rPr>
          <w:rFonts w:ascii="宋体" w:hAnsi="宋体" w:eastAsia="宋体" w:cs="宋体"/>
          <w:spacing w:val="-77"/>
          <w:sz w:val="20"/>
          <w:szCs w:val="20"/>
        </w:rPr>
        <w:t xml:space="preserve"> </w:t>
      </w:r>
      <w:r>
        <w:rPr>
          <w:rFonts w:ascii="宋体" w:hAnsi="宋体" w:eastAsia="宋体" w:cs="宋体"/>
          <w:spacing w:val="9"/>
          <w:sz w:val="20"/>
          <w:szCs w:val="20"/>
        </w:rPr>
        <w:t>）</w:t>
      </w:r>
      <w:r>
        <w:rPr>
          <w:rFonts w:ascii="宋体" w:hAnsi="宋体" w:eastAsia="宋体" w:cs="宋体"/>
          <w:spacing w:val="2"/>
          <w:sz w:val="20"/>
          <w:szCs w:val="20"/>
        </w:rPr>
        <w:t>为基数，区分0.5亿元以内、0.5～1亿元、1～3亿元、3～10亿元、10亿元以上等档位</w:t>
      </w:r>
      <w:r>
        <w:rPr>
          <w:rFonts w:ascii="宋体" w:hAnsi="宋体" w:eastAsia="宋体" w:cs="宋体"/>
          <w:spacing w:val="-52"/>
          <w:sz w:val="20"/>
          <w:szCs w:val="20"/>
        </w:rPr>
        <w:t xml:space="preserve"> </w:t>
      </w:r>
      <w:r>
        <w:rPr>
          <w:rFonts w:ascii="宋体" w:hAnsi="宋体" w:eastAsia="宋体" w:cs="宋体"/>
          <w:spacing w:val="2"/>
          <w:sz w:val="20"/>
          <w:szCs w:val="20"/>
        </w:rPr>
        <w:t>，采用差额定率</w:t>
      </w:r>
      <w:r>
        <w:rPr>
          <w:rFonts w:ascii="宋体" w:hAnsi="宋体" w:eastAsia="宋体" w:cs="宋体"/>
          <w:spacing w:val="7"/>
          <w:sz w:val="20"/>
          <w:szCs w:val="20"/>
        </w:rPr>
        <w:t>累进方式，各档位内计费造价分别乘以相应费率计算。计</w:t>
      </w:r>
      <w:r>
        <w:rPr>
          <w:rFonts w:ascii="宋体" w:hAnsi="宋体" w:eastAsia="宋体" w:cs="宋体"/>
          <w:spacing w:val="6"/>
          <w:sz w:val="20"/>
          <w:szCs w:val="20"/>
        </w:rPr>
        <w:t>费造价不足0.5亿元的，按0.5亿元计算。</w:t>
      </w:r>
    </w:p>
    <w:p>
      <w:pPr>
        <w:spacing w:before="235" w:line="2383" w:lineRule="exact"/>
        <w:ind w:firstLine="364"/>
      </w:pPr>
      <w:r>
        <w:rPr>
          <w:position w:val="-47"/>
        </w:rPr>
        <w:drawing>
          <wp:inline distT="0" distB="0" distL="0" distR="0">
            <wp:extent cx="4998720" cy="1513205"/>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419"/>
                    <a:stretch>
                      <a:fillRect/>
                    </a:stretch>
                  </pic:blipFill>
                  <pic:spPr>
                    <a:xfrm>
                      <a:off x="0" y="0"/>
                      <a:ext cx="4998720" cy="1513332"/>
                    </a:xfrm>
                    <a:prstGeom prst="rect">
                      <a:avLst/>
                    </a:prstGeom>
                  </pic:spPr>
                </pic:pic>
              </a:graphicData>
            </a:graphic>
          </wp:inline>
        </w:drawing>
      </w:r>
    </w:p>
    <w:p>
      <w:pPr>
        <w:spacing w:before="204" w:line="277" w:lineRule="exact"/>
        <w:ind w:left="492"/>
        <w:rPr>
          <w:rFonts w:ascii="宋体" w:hAnsi="宋体" w:eastAsia="宋体" w:cs="宋体"/>
          <w:sz w:val="20"/>
          <w:szCs w:val="20"/>
        </w:rPr>
      </w:pPr>
      <w:r>
        <w:rPr>
          <w:rFonts w:ascii="宋体" w:hAnsi="宋体" w:eastAsia="宋体" w:cs="宋体"/>
          <w:spacing w:val="10"/>
          <w:position w:val="1"/>
          <w:sz w:val="20"/>
          <w:szCs w:val="20"/>
        </w:rPr>
        <w:t>例如：某总承包工程项目总造价6个亿</w:t>
      </w:r>
      <w:r>
        <w:rPr>
          <w:rFonts w:ascii="宋体" w:hAnsi="宋体" w:eastAsia="宋体" w:cs="宋体"/>
          <w:spacing w:val="-43"/>
          <w:position w:val="1"/>
          <w:sz w:val="20"/>
          <w:szCs w:val="20"/>
        </w:rPr>
        <w:t xml:space="preserve"> </w:t>
      </w:r>
      <w:r>
        <w:rPr>
          <w:rFonts w:ascii="宋体" w:hAnsi="宋体" w:eastAsia="宋体" w:cs="宋体"/>
          <w:spacing w:val="10"/>
          <w:position w:val="1"/>
          <w:sz w:val="20"/>
          <w:szCs w:val="20"/>
        </w:rPr>
        <w:t>，计划创建三星级智慧工地，智慧工地费用</w:t>
      </w:r>
    </w:p>
    <w:p>
      <w:pPr>
        <w:spacing w:before="143" w:line="278" w:lineRule="exact"/>
        <w:ind w:left="9"/>
        <w:rPr>
          <w:rFonts w:ascii="宋体" w:hAnsi="宋体" w:eastAsia="宋体" w:cs="宋体"/>
          <w:sz w:val="20"/>
          <w:szCs w:val="20"/>
        </w:rPr>
      </w:pPr>
      <w:r>
        <w:rPr>
          <w:rFonts w:ascii="宋体" w:hAnsi="宋体" w:eastAsia="宋体" w:cs="宋体"/>
          <w:spacing w:val="4"/>
          <w:position w:val="1"/>
          <w:sz w:val="20"/>
          <w:szCs w:val="20"/>
        </w:rPr>
        <w:t>计算如下：</w:t>
      </w:r>
    </w:p>
    <w:p>
      <w:pPr>
        <w:spacing w:before="142" w:line="291" w:lineRule="exact"/>
        <w:jc w:val="right"/>
        <w:rPr>
          <w:rFonts w:ascii="宋体" w:hAnsi="宋体" w:eastAsia="宋体" w:cs="宋体"/>
          <w:sz w:val="20"/>
          <w:szCs w:val="20"/>
        </w:rPr>
      </w:pPr>
      <w:r>
        <w:rPr>
          <w:rFonts w:ascii="宋体" w:hAnsi="宋体" w:eastAsia="宋体" w:cs="宋体"/>
          <w:spacing w:val="4"/>
          <w:position w:val="1"/>
          <w:sz w:val="20"/>
          <w:szCs w:val="20"/>
        </w:rPr>
        <w:t>5000</w:t>
      </w:r>
      <w:r>
        <w:rPr>
          <w:rFonts w:ascii="宋体" w:hAnsi="宋体" w:eastAsia="宋体" w:cs="宋体"/>
          <w:spacing w:val="-41"/>
          <w:position w:val="1"/>
          <w:sz w:val="20"/>
          <w:szCs w:val="20"/>
        </w:rPr>
        <w:t xml:space="preserve"> </w:t>
      </w:r>
      <w:r>
        <w:rPr>
          <w:rFonts w:ascii="宋体" w:hAnsi="宋体" w:eastAsia="宋体" w:cs="宋体"/>
          <w:spacing w:val="4"/>
          <w:position w:val="1"/>
          <w:sz w:val="20"/>
          <w:szCs w:val="20"/>
        </w:rPr>
        <w:t>×0.44%</w:t>
      </w:r>
      <w:r>
        <w:rPr>
          <w:rFonts w:ascii="宋体" w:hAnsi="宋体" w:eastAsia="宋体" w:cs="宋体"/>
          <w:spacing w:val="-52"/>
          <w:position w:val="1"/>
          <w:sz w:val="20"/>
          <w:szCs w:val="20"/>
        </w:rPr>
        <w:t>＋（</w:t>
      </w:r>
      <w:r>
        <w:rPr>
          <w:rFonts w:ascii="宋体" w:hAnsi="宋体" w:eastAsia="宋体" w:cs="宋体"/>
          <w:spacing w:val="-50"/>
          <w:position w:val="1"/>
          <w:sz w:val="20"/>
          <w:szCs w:val="20"/>
        </w:rPr>
        <w:t xml:space="preserve"> </w:t>
      </w:r>
      <w:r>
        <w:rPr>
          <w:rFonts w:ascii="宋体" w:hAnsi="宋体" w:eastAsia="宋体" w:cs="宋体"/>
          <w:spacing w:val="4"/>
          <w:position w:val="1"/>
          <w:sz w:val="20"/>
          <w:szCs w:val="20"/>
        </w:rPr>
        <w:t>10000－5000）×0.26%</w:t>
      </w:r>
      <w:r>
        <w:rPr>
          <w:rFonts w:ascii="宋体" w:hAnsi="宋体" w:eastAsia="宋体" w:cs="宋体"/>
          <w:spacing w:val="-52"/>
          <w:position w:val="1"/>
          <w:sz w:val="20"/>
          <w:szCs w:val="20"/>
        </w:rPr>
        <w:t>＋（</w:t>
      </w:r>
      <w:r>
        <w:rPr>
          <w:rFonts w:ascii="宋体" w:hAnsi="宋体" w:eastAsia="宋体" w:cs="宋体"/>
          <w:spacing w:val="3"/>
          <w:position w:val="1"/>
          <w:sz w:val="20"/>
          <w:szCs w:val="20"/>
        </w:rPr>
        <w:t>30000－</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10000）×0.11%</w:t>
      </w:r>
      <w:r>
        <w:rPr>
          <w:rFonts w:ascii="宋体" w:hAnsi="宋体" w:eastAsia="宋体" w:cs="宋体"/>
          <w:spacing w:val="-52"/>
          <w:position w:val="1"/>
          <w:sz w:val="20"/>
          <w:szCs w:val="20"/>
        </w:rPr>
        <w:t>＋（</w:t>
      </w:r>
      <w:r>
        <w:rPr>
          <w:rFonts w:ascii="宋体" w:hAnsi="宋体" w:eastAsia="宋体" w:cs="宋体"/>
          <w:spacing w:val="3"/>
          <w:position w:val="1"/>
          <w:sz w:val="20"/>
          <w:szCs w:val="20"/>
        </w:rPr>
        <w:t>60000－30000）×0.08%</w:t>
      </w:r>
    </w:p>
    <w:p>
      <w:pPr>
        <w:spacing w:before="129" w:line="279" w:lineRule="exact"/>
        <w:ind w:left="95"/>
        <w:rPr>
          <w:rFonts w:ascii="宋体" w:hAnsi="宋体" w:eastAsia="宋体" w:cs="宋体"/>
          <w:sz w:val="20"/>
          <w:szCs w:val="20"/>
        </w:rPr>
      </w:pPr>
      <w:r>
        <w:rPr>
          <w:rFonts w:ascii="宋体" w:hAnsi="宋体" w:eastAsia="宋体" w:cs="宋体"/>
          <w:spacing w:val="-1"/>
          <w:position w:val="2"/>
          <w:sz w:val="20"/>
          <w:szCs w:val="20"/>
        </w:rPr>
        <w:t>=</w:t>
      </w:r>
      <w:r>
        <w:rPr>
          <w:rFonts w:ascii="宋体" w:hAnsi="宋体" w:eastAsia="宋体" w:cs="宋体"/>
          <w:spacing w:val="-30"/>
          <w:position w:val="2"/>
          <w:sz w:val="20"/>
          <w:szCs w:val="20"/>
        </w:rPr>
        <w:t xml:space="preserve"> </w:t>
      </w:r>
      <w:r>
        <w:rPr>
          <w:rFonts w:ascii="宋体" w:hAnsi="宋体" w:eastAsia="宋体" w:cs="宋体"/>
          <w:spacing w:val="-1"/>
          <w:position w:val="2"/>
          <w:sz w:val="20"/>
          <w:szCs w:val="20"/>
        </w:rPr>
        <w:t>81</w:t>
      </w:r>
      <w:r>
        <w:rPr>
          <w:rFonts w:ascii="宋体" w:hAnsi="宋体" w:eastAsia="宋体" w:cs="宋体"/>
          <w:spacing w:val="10"/>
          <w:position w:val="2"/>
          <w:sz w:val="20"/>
          <w:szCs w:val="20"/>
        </w:rPr>
        <w:t xml:space="preserve"> </w:t>
      </w:r>
      <w:r>
        <w:rPr>
          <w:rFonts w:ascii="宋体" w:hAnsi="宋体" w:eastAsia="宋体" w:cs="宋体"/>
          <w:spacing w:val="-1"/>
          <w:position w:val="2"/>
          <w:sz w:val="20"/>
          <w:szCs w:val="20"/>
        </w:rPr>
        <w:t>万。</w:t>
      </w:r>
    </w:p>
    <w:p>
      <w:pPr>
        <w:spacing w:before="145" w:line="221" w:lineRule="auto"/>
        <w:ind w:left="494"/>
        <w:rPr>
          <w:rFonts w:ascii="宋体" w:hAnsi="宋体" w:eastAsia="宋体" w:cs="宋体"/>
          <w:sz w:val="20"/>
          <w:szCs w:val="20"/>
        </w:rPr>
      </w:pPr>
      <w:r>
        <w:rPr>
          <w:rFonts w:ascii="宋体" w:hAnsi="宋体" w:eastAsia="宋体" w:cs="宋体"/>
          <w:spacing w:val="7"/>
          <w:sz w:val="20"/>
          <w:szCs w:val="20"/>
        </w:rPr>
        <w:t>该项费用为全费价格，不再计算企业管理费、利润及增值税。</w:t>
      </w:r>
    </w:p>
    <w:p>
      <w:pPr>
        <w:spacing w:before="177" w:line="278" w:lineRule="exact"/>
        <w:ind w:left="410"/>
        <w:rPr>
          <w:rFonts w:ascii="宋体" w:hAnsi="宋体" w:eastAsia="宋体" w:cs="宋体"/>
          <w:sz w:val="20"/>
          <w:szCs w:val="20"/>
        </w:rPr>
      </w:pPr>
      <w:r>
        <w:rPr>
          <w:rFonts w:ascii="宋体" w:hAnsi="宋体" w:eastAsia="宋体" w:cs="宋体"/>
          <w:b/>
          <w:bCs/>
          <w:spacing w:val="-2"/>
          <w:position w:val="1"/>
          <w:sz w:val="20"/>
          <w:szCs w:val="20"/>
        </w:rPr>
        <w:t>9.</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企业管理费中“检验试验费”：</w:t>
      </w:r>
    </w:p>
    <w:p>
      <w:pPr>
        <w:spacing w:before="142" w:line="277" w:lineRule="exact"/>
        <w:ind w:left="492"/>
        <w:rPr>
          <w:rFonts w:ascii="宋体" w:hAnsi="宋体" w:eastAsia="宋体" w:cs="宋体"/>
          <w:sz w:val="20"/>
          <w:szCs w:val="20"/>
        </w:rPr>
      </w:pPr>
      <w:r>
        <w:rPr>
          <w:rFonts w:ascii="宋体" w:hAnsi="宋体" w:eastAsia="宋体" w:cs="宋体"/>
          <w:spacing w:val="12"/>
          <w:position w:val="1"/>
          <w:sz w:val="20"/>
          <w:szCs w:val="20"/>
        </w:rPr>
        <w:t>检验试验费是指承包人按照有关标准规定，对建筑以及材料、构件和建筑安装</w:t>
      </w:r>
      <w:r>
        <w:rPr>
          <w:rFonts w:ascii="宋体" w:hAnsi="宋体" w:eastAsia="宋体" w:cs="宋体"/>
          <w:spacing w:val="11"/>
          <w:position w:val="1"/>
          <w:sz w:val="20"/>
          <w:szCs w:val="20"/>
        </w:rPr>
        <w:t>物进行一般鉴</w:t>
      </w:r>
    </w:p>
    <w:p>
      <w:pPr>
        <w:spacing w:line="277" w:lineRule="exact"/>
        <w:rPr>
          <w:rFonts w:ascii="宋体" w:hAnsi="宋体" w:eastAsia="宋体" w:cs="宋体"/>
          <w:sz w:val="20"/>
          <w:szCs w:val="20"/>
        </w:rPr>
        <w:sectPr>
          <w:footerReference r:id="rId252" w:type="default"/>
          <w:pgSz w:w="11906" w:h="16839"/>
          <w:pgMar w:top="400" w:right="1419" w:bottom="1212" w:left="1418" w:header="0" w:footer="897" w:gutter="0"/>
        </w:sect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before="65" w:line="376" w:lineRule="auto"/>
        <w:ind w:left="8" w:right="101"/>
        <w:rPr>
          <w:rFonts w:ascii="宋体" w:hAnsi="宋体" w:eastAsia="宋体" w:cs="宋体"/>
          <w:sz w:val="20"/>
          <w:szCs w:val="20"/>
        </w:rPr>
      </w:pPr>
      <w:r>
        <w:rPr>
          <w:rFonts w:ascii="宋体" w:hAnsi="宋体" w:eastAsia="宋体" w:cs="宋体"/>
          <w:spacing w:val="13"/>
          <w:sz w:val="20"/>
          <w:szCs w:val="20"/>
        </w:rPr>
        <w:t>定、检查所发生的费用。一般鉴定、检查是指施工过程中按相关规范所规定的材料品种、规格、取样批量、取样数量、取样方法以及检测项目等内容所进行的鉴定、检查。比如：钢筋、水泥、</w:t>
      </w:r>
      <w:r>
        <w:rPr>
          <w:rFonts w:ascii="宋体" w:hAnsi="宋体" w:eastAsia="宋体" w:cs="宋体"/>
          <w:spacing w:val="12"/>
          <w:sz w:val="20"/>
          <w:szCs w:val="20"/>
        </w:rPr>
        <w:t>砂石等材料的一般检测</w:t>
      </w:r>
      <w:r>
        <w:rPr>
          <w:rFonts w:ascii="宋体" w:hAnsi="宋体" w:eastAsia="宋体" w:cs="宋体"/>
          <w:spacing w:val="-47"/>
          <w:sz w:val="20"/>
          <w:szCs w:val="20"/>
        </w:rPr>
        <w:t xml:space="preserve"> </w:t>
      </w:r>
      <w:r>
        <w:rPr>
          <w:rFonts w:ascii="宋体" w:hAnsi="宋体" w:eastAsia="宋体" w:cs="宋体"/>
          <w:spacing w:val="12"/>
          <w:sz w:val="20"/>
          <w:szCs w:val="20"/>
        </w:rPr>
        <w:t>，混凝土和砂浆配合比设计、混凝土和砂浆试块、土工试验等。企业管理</w:t>
      </w:r>
      <w:r>
        <w:rPr>
          <w:rFonts w:ascii="宋体" w:hAnsi="宋体" w:eastAsia="宋体" w:cs="宋体"/>
          <w:spacing w:val="10"/>
          <w:sz w:val="20"/>
          <w:szCs w:val="20"/>
        </w:rPr>
        <w:t>费中的检验试验费只是作为施工企业内部质量保证措施的费用。</w:t>
      </w:r>
    </w:p>
    <w:p>
      <w:pPr>
        <w:spacing w:before="48" w:line="278" w:lineRule="exact"/>
        <w:ind w:left="495"/>
        <w:rPr>
          <w:rFonts w:ascii="宋体" w:hAnsi="宋体" w:eastAsia="宋体" w:cs="宋体"/>
          <w:sz w:val="20"/>
          <w:szCs w:val="20"/>
        </w:rPr>
      </w:pPr>
      <w:r>
        <w:rPr>
          <w:rFonts w:ascii="宋体" w:hAnsi="宋体" w:eastAsia="宋体" w:cs="宋体"/>
          <w:spacing w:val="5"/>
          <w:position w:val="1"/>
          <w:sz w:val="20"/>
          <w:szCs w:val="20"/>
        </w:rPr>
        <w:t>不包括以下内容：</w:t>
      </w:r>
    </w:p>
    <w:p>
      <w:pPr>
        <w:spacing w:before="142" w:line="277" w:lineRule="exact"/>
        <w:ind w:left="408"/>
        <w:rPr>
          <w:rFonts w:ascii="宋体" w:hAnsi="宋体" w:eastAsia="宋体" w:cs="宋体"/>
          <w:sz w:val="20"/>
          <w:szCs w:val="20"/>
        </w:rPr>
      </w:pPr>
      <w:r>
        <w:rPr>
          <w:rFonts w:ascii="宋体" w:hAnsi="宋体" w:eastAsia="宋体" w:cs="宋体"/>
          <w:spacing w:val="6"/>
          <w:position w:val="1"/>
          <w:sz w:val="20"/>
          <w:szCs w:val="20"/>
        </w:rPr>
        <w:t>（</w:t>
      </w:r>
      <w:r>
        <w:rPr>
          <w:rFonts w:ascii="宋体" w:hAnsi="宋体" w:eastAsia="宋体" w:cs="宋体"/>
          <w:spacing w:val="-52"/>
          <w:position w:val="1"/>
          <w:sz w:val="20"/>
          <w:szCs w:val="20"/>
        </w:rPr>
        <w:t xml:space="preserve"> </w:t>
      </w:r>
      <w:r>
        <w:rPr>
          <w:rFonts w:ascii="宋体" w:hAnsi="宋体" w:eastAsia="宋体" w:cs="宋体"/>
          <w:spacing w:val="6"/>
          <w:position w:val="1"/>
          <w:sz w:val="20"/>
          <w:szCs w:val="20"/>
        </w:rPr>
        <w:t>1）超出相应规范规定，另外要求增加的鉴定、检查的</w:t>
      </w:r>
      <w:r>
        <w:rPr>
          <w:rFonts w:ascii="宋体" w:hAnsi="宋体" w:eastAsia="宋体" w:cs="宋体"/>
          <w:spacing w:val="5"/>
          <w:position w:val="1"/>
          <w:sz w:val="20"/>
          <w:szCs w:val="20"/>
        </w:rPr>
        <w:t>费用；</w:t>
      </w:r>
    </w:p>
    <w:p>
      <w:pPr>
        <w:spacing w:before="142" w:line="277" w:lineRule="exact"/>
        <w:ind w:left="404"/>
        <w:rPr>
          <w:rFonts w:ascii="宋体" w:hAnsi="宋体" w:eastAsia="宋体" w:cs="宋体"/>
          <w:sz w:val="20"/>
          <w:szCs w:val="20"/>
        </w:rPr>
      </w:pPr>
      <w:r>
        <w:rPr>
          <w:rFonts w:ascii="宋体" w:hAnsi="宋体" w:eastAsia="宋体" w:cs="宋体"/>
          <w:spacing w:val="5"/>
          <w:position w:val="1"/>
          <w:sz w:val="20"/>
          <w:szCs w:val="20"/>
        </w:rPr>
        <w:t>（2）对新结构、新材料的试验费用；</w:t>
      </w:r>
    </w:p>
    <w:p>
      <w:pPr>
        <w:spacing w:before="143" w:line="278" w:lineRule="exact"/>
        <w:ind w:left="408"/>
        <w:rPr>
          <w:rFonts w:ascii="宋体" w:hAnsi="宋体" w:eastAsia="宋体" w:cs="宋体"/>
          <w:sz w:val="20"/>
          <w:szCs w:val="20"/>
        </w:rPr>
      </w:pPr>
      <w:r>
        <w:rPr>
          <w:rFonts w:ascii="宋体" w:hAnsi="宋体" w:eastAsia="宋体" w:cs="宋体"/>
          <w:spacing w:val="7"/>
          <w:position w:val="1"/>
          <w:sz w:val="20"/>
          <w:szCs w:val="20"/>
        </w:rPr>
        <w:t>（3）对构件做破坏性试验及其他特殊要求检验试验的费用；</w:t>
      </w:r>
    </w:p>
    <w:p>
      <w:pPr>
        <w:spacing w:before="142" w:line="322" w:lineRule="auto"/>
        <w:ind w:right="81" w:firstLine="403"/>
        <w:rPr>
          <w:rFonts w:ascii="宋体" w:hAnsi="宋体" w:eastAsia="宋体" w:cs="宋体"/>
          <w:sz w:val="20"/>
          <w:szCs w:val="20"/>
        </w:rPr>
      </w:pPr>
      <w:r>
        <w:rPr>
          <w:rFonts w:ascii="宋体" w:hAnsi="宋体" w:eastAsia="宋体" w:cs="宋体"/>
          <w:spacing w:val="7"/>
          <w:sz w:val="20"/>
          <w:szCs w:val="20"/>
        </w:rPr>
        <w:t>（4）建设单位委托第三方专业检测机构进行的检验检测的费用，</w:t>
      </w:r>
      <w:r>
        <w:rPr>
          <w:rFonts w:ascii="宋体" w:hAnsi="宋体" w:eastAsia="宋体" w:cs="宋体"/>
          <w:spacing w:val="6"/>
          <w:sz w:val="20"/>
          <w:szCs w:val="20"/>
        </w:rPr>
        <w:t>如桩基检测（静载试验、钻芯</w:t>
      </w:r>
      <w:r>
        <w:rPr>
          <w:rFonts w:ascii="宋体" w:hAnsi="宋体" w:eastAsia="宋体" w:cs="宋体"/>
          <w:spacing w:val="8"/>
          <w:sz w:val="20"/>
          <w:szCs w:val="20"/>
        </w:rPr>
        <w:t>法、低应变法、高应变法、声波透射法等）、基坑监测等。</w:t>
      </w:r>
    </w:p>
    <w:p>
      <w:pPr>
        <w:spacing w:before="142" w:line="368" w:lineRule="auto"/>
        <w:ind w:left="13" w:right="79" w:firstLine="476"/>
        <w:rPr>
          <w:rFonts w:ascii="宋体" w:hAnsi="宋体" w:eastAsia="宋体" w:cs="宋体"/>
          <w:sz w:val="20"/>
          <w:szCs w:val="20"/>
        </w:rPr>
      </w:pPr>
      <w:r>
        <w:rPr>
          <w:rFonts w:ascii="宋体" w:hAnsi="宋体" w:eastAsia="宋体" w:cs="宋体"/>
          <w:spacing w:val="11"/>
          <w:sz w:val="20"/>
          <w:szCs w:val="20"/>
        </w:rPr>
        <w:t>规范规定应由施工企业自检的项目（属于施工企业内部质量控制</w:t>
      </w:r>
      <w:r>
        <w:rPr>
          <w:rFonts w:ascii="宋体" w:hAnsi="宋体" w:eastAsia="宋体" w:cs="宋体"/>
          <w:spacing w:val="6"/>
          <w:sz w:val="20"/>
          <w:szCs w:val="20"/>
        </w:rPr>
        <w:t>）</w:t>
      </w:r>
      <w:r>
        <w:rPr>
          <w:rFonts w:ascii="宋体" w:hAnsi="宋体" w:eastAsia="宋体" w:cs="宋体"/>
          <w:spacing w:val="-33"/>
          <w:sz w:val="20"/>
          <w:szCs w:val="20"/>
        </w:rPr>
        <w:t xml:space="preserve"> </w:t>
      </w:r>
      <w:r>
        <w:rPr>
          <w:rFonts w:ascii="宋体" w:hAnsi="宋体" w:eastAsia="宋体" w:cs="宋体"/>
          <w:spacing w:val="6"/>
          <w:sz w:val="20"/>
          <w:szCs w:val="20"/>
        </w:rPr>
        <w:t>，</w:t>
      </w:r>
      <w:r>
        <w:rPr>
          <w:rFonts w:ascii="宋体" w:hAnsi="宋体" w:eastAsia="宋体" w:cs="宋体"/>
          <w:spacing w:val="11"/>
          <w:sz w:val="20"/>
          <w:szCs w:val="20"/>
        </w:rPr>
        <w:t>如建设单位单独委托第</w:t>
      </w:r>
      <w:r>
        <w:rPr>
          <w:rFonts w:ascii="宋体" w:hAnsi="宋体" w:eastAsia="宋体" w:cs="宋体"/>
          <w:spacing w:val="9"/>
          <w:sz w:val="20"/>
          <w:szCs w:val="20"/>
        </w:rPr>
        <w:t>三方机构检测，费用应由建设单位承担，企业管理费中的检验检测费不</w:t>
      </w:r>
      <w:r>
        <w:rPr>
          <w:rFonts w:ascii="宋体" w:hAnsi="宋体" w:eastAsia="宋体" w:cs="宋体"/>
          <w:spacing w:val="8"/>
          <w:sz w:val="20"/>
          <w:szCs w:val="20"/>
        </w:rPr>
        <w:t>扣除。</w:t>
      </w:r>
    </w:p>
    <w:p>
      <w:pPr>
        <w:spacing w:before="43" w:line="279" w:lineRule="exact"/>
        <w:ind w:left="527"/>
        <w:rPr>
          <w:rFonts w:ascii="宋体" w:hAnsi="宋体" w:eastAsia="宋体" w:cs="宋体"/>
          <w:sz w:val="20"/>
          <w:szCs w:val="20"/>
        </w:rPr>
      </w:pPr>
      <w:r>
        <w:rPr>
          <w:rFonts w:ascii="宋体" w:hAnsi="宋体" w:eastAsia="宋体" w:cs="宋体"/>
          <w:b/>
          <w:bCs/>
          <w:spacing w:val="-4"/>
          <w:position w:val="1"/>
          <w:sz w:val="20"/>
          <w:szCs w:val="20"/>
        </w:rPr>
        <w:t>10.</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费用项目组成中“其他项目费”：</w:t>
      </w:r>
    </w:p>
    <w:p>
      <w:pPr>
        <w:spacing w:before="145" w:line="387" w:lineRule="auto"/>
        <w:ind w:left="7" w:firstLine="480"/>
        <w:rPr>
          <w:rFonts w:ascii="宋体" w:hAnsi="宋体" w:eastAsia="宋体" w:cs="宋体"/>
          <w:sz w:val="20"/>
          <w:szCs w:val="20"/>
        </w:rPr>
      </w:pPr>
      <w:r>
        <w:rPr>
          <w:rFonts w:ascii="宋体" w:hAnsi="宋体" w:eastAsia="宋体" w:cs="宋体"/>
          <w:spacing w:val="13"/>
          <w:sz w:val="20"/>
          <w:szCs w:val="20"/>
        </w:rPr>
        <w:t>其他项目费的构成内容视工程不同阶段组成也不相同。工程招投标阶段</w:t>
      </w:r>
      <w:r>
        <w:rPr>
          <w:rFonts w:ascii="宋体" w:hAnsi="宋体" w:eastAsia="宋体" w:cs="宋体"/>
          <w:spacing w:val="-45"/>
          <w:sz w:val="20"/>
          <w:szCs w:val="20"/>
        </w:rPr>
        <w:t xml:space="preserve"> </w:t>
      </w:r>
      <w:r>
        <w:rPr>
          <w:rFonts w:ascii="宋体" w:hAnsi="宋体" w:eastAsia="宋体" w:cs="宋体"/>
          <w:spacing w:val="13"/>
          <w:sz w:val="20"/>
          <w:szCs w:val="20"/>
        </w:rPr>
        <w:t>，由暂列金额、专业工程暂估价、计日工、总承包服务费、建设项目工伤保险、优质优价费及其他共7项构</w:t>
      </w:r>
      <w:r>
        <w:rPr>
          <w:rFonts w:ascii="宋体" w:hAnsi="宋体" w:eastAsia="宋体" w:cs="宋体"/>
          <w:spacing w:val="12"/>
          <w:sz w:val="20"/>
          <w:szCs w:val="20"/>
        </w:rPr>
        <w:t>成；工程结</w:t>
      </w:r>
      <w:r>
        <w:rPr>
          <w:rFonts w:ascii="宋体" w:hAnsi="宋体" w:eastAsia="宋体" w:cs="宋体"/>
          <w:spacing w:val="10"/>
          <w:sz w:val="20"/>
          <w:szCs w:val="20"/>
        </w:rPr>
        <w:t>算阶段</w:t>
      </w:r>
      <w:r>
        <w:rPr>
          <w:rFonts w:ascii="宋体" w:hAnsi="宋体" w:eastAsia="宋体" w:cs="宋体"/>
          <w:spacing w:val="-57"/>
          <w:sz w:val="20"/>
          <w:szCs w:val="20"/>
        </w:rPr>
        <w:t xml:space="preserve"> </w:t>
      </w:r>
      <w:r>
        <w:rPr>
          <w:rFonts w:ascii="宋体" w:hAnsi="宋体" w:eastAsia="宋体" w:cs="宋体"/>
          <w:spacing w:val="10"/>
          <w:sz w:val="20"/>
          <w:szCs w:val="20"/>
        </w:rPr>
        <w:t>，由价款调整、确定的专业工程（或专业分包）价格、确认</w:t>
      </w:r>
      <w:r>
        <w:rPr>
          <w:rFonts w:ascii="宋体" w:hAnsi="宋体" w:eastAsia="宋体" w:cs="宋体"/>
          <w:spacing w:val="9"/>
          <w:sz w:val="20"/>
          <w:szCs w:val="20"/>
        </w:rPr>
        <w:t>的计日工价格、总承包服务费、</w:t>
      </w:r>
      <w:r>
        <w:rPr>
          <w:rFonts w:ascii="宋体" w:hAnsi="宋体" w:eastAsia="宋体" w:cs="宋体"/>
          <w:spacing w:val="2"/>
          <w:sz w:val="20"/>
          <w:szCs w:val="20"/>
        </w:rPr>
        <w:t>建设项目工伤保险、优质优价费及其他（包括工期奖惩、质量奖惩等  ）构成，其中价款调整又由</w:t>
      </w:r>
      <w:r>
        <w:rPr>
          <w:rFonts w:ascii="宋体" w:hAnsi="宋体" w:eastAsia="宋体" w:cs="宋体"/>
          <w:spacing w:val="-33"/>
          <w:sz w:val="20"/>
          <w:szCs w:val="20"/>
        </w:rPr>
        <w:t xml:space="preserve"> </w:t>
      </w:r>
      <w:r>
        <w:rPr>
          <w:rFonts w:ascii="宋体" w:hAnsi="宋体" w:eastAsia="宋体" w:cs="宋体"/>
          <w:spacing w:val="2"/>
          <w:sz w:val="20"/>
          <w:szCs w:val="20"/>
        </w:rPr>
        <w:t>8小</w:t>
      </w:r>
      <w:r>
        <w:rPr>
          <w:rFonts w:ascii="宋体" w:hAnsi="宋体" w:eastAsia="宋体" w:cs="宋体"/>
          <w:spacing w:val="8"/>
          <w:sz w:val="20"/>
          <w:szCs w:val="20"/>
        </w:rPr>
        <w:t>项组成（详见费用计算程序）。</w:t>
      </w:r>
    </w:p>
    <w:p>
      <w:pPr>
        <w:spacing w:line="278" w:lineRule="exact"/>
        <w:ind w:left="466"/>
        <w:rPr>
          <w:rFonts w:ascii="宋体" w:hAnsi="宋体" w:eastAsia="宋体" w:cs="宋体"/>
          <w:sz w:val="20"/>
          <w:szCs w:val="20"/>
        </w:rPr>
      </w:pPr>
      <w:r>
        <w:rPr>
          <w:rFonts w:ascii="宋体" w:hAnsi="宋体" w:eastAsia="宋体" w:cs="宋体"/>
          <w:spacing w:val="3"/>
          <w:position w:val="1"/>
          <w:sz w:val="20"/>
          <w:szCs w:val="20"/>
        </w:rPr>
        <w:t>（</w:t>
      </w:r>
      <w:r>
        <w:rPr>
          <w:rFonts w:ascii="宋体" w:hAnsi="宋体" w:eastAsia="宋体" w:cs="宋体"/>
          <w:spacing w:val="-51"/>
          <w:position w:val="1"/>
          <w:sz w:val="20"/>
          <w:szCs w:val="20"/>
        </w:rPr>
        <w:t xml:space="preserve"> </w:t>
      </w:r>
      <w:r>
        <w:rPr>
          <w:rFonts w:ascii="宋体" w:hAnsi="宋体" w:eastAsia="宋体" w:cs="宋体"/>
          <w:spacing w:val="3"/>
          <w:position w:val="1"/>
          <w:sz w:val="20"/>
          <w:szCs w:val="20"/>
        </w:rPr>
        <w:t>1）施工总承包服务费分为三部分：</w:t>
      </w:r>
    </w:p>
    <w:p>
      <w:pPr>
        <w:spacing w:before="142" w:line="322" w:lineRule="auto"/>
        <w:ind w:left="29" w:right="74" w:firstLine="479"/>
        <w:rPr>
          <w:rFonts w:ascii="宋体" w:hAnsi="宋体" w:eastAsia="宋体" w:cs="宋体"/>
          <w:sz w:val="20"/>
          <w:szCs w:val="20"/>
        </w:rPr>
      </w:pPr>
      <w:r>
        <w:rPr>
          <w:rFonts w:ascii="宋体" w:hAnsi="宋体" w:eastAsia="宋体" w:cs="宋体"/>
          <w:spacing w:val="9"/>
          <w:sz w:val="20"/>
          <w:szCs w:val="20"/>
        </w:rPr>
        <w:t>1）承包人对发包人提供的材料（或设备）进行管理、服务的，可按甲供材料（或设备）金额</w:t>
      </w:r>
      <w:r>
        <w:rPr>
          <w:rFonts w:ascii="宋体" w:hAnsi="宋体" w:eastAsia="宋体" w:cs="宋体"/>
          <w:spacing w:val="6"/>
          <w:sz w:val="20"/>
          <w:szCs w:val="20"/>
        </w:rPr>
        <w:t>的</w:t>
      </w:r>
      <w:r>
        <w:rPr>
          <w:rFonts w:ascii="宋体" w:hAnsi="宋体" w:eastAsia="宋体" w:cs="宋体"/>
          <w:spacing w:val="-27"/>
          <w:sz w:val="20"/>
          <w:szCs w:val="20"/>
        </w:rPr>
        <w:t xml:space="preserve"> </w:t>
      </w:r>
      <w:r>
        <w:rPr>
          <w:rFonts w:ascii="宋体" w:hAnsi="宋体" w:eastAsia="宋体" w:cs="宋体"/>
          <w:spacing w:val="6"/>
          <w:sz w:val="20"/>
          <w:szCs w:val="20"/>
        </w:rPr>
        <w:t>1%计取总承包服务费。</w:t>
      </w:r>
    </w:p>
    <w:p>
      <w:pPr>
        <w:spacing w:before="141" w:line="334" w:lineRule="auto"/>
        <w:ind w:left="9" w:right="36" w:firstLine="479"/>
        <w:rPr>
          <w:rFonts w:ascii="宋体" w:hAnsi="宋体" w:eastAsia="宋体" w:cs="宋体"/>
          <w:sz w:val="20"/>
          <w:szCs w:val="20"/>
        </w:rPr>
      </w:pPr>
      <w:r>
        <w:rPr>
          <w:rFonts w:ascii="宋体" w:hAnsi="宋体" w:eastAsia="宋体" w:cs="宋体"/>
          <w:spacing w:val="11"/>
          <w:sz w:val="20"/>
          <w:szCs w:val="20"/>
        </w:rPr>
        <w:t>2）承包人对合同范围内的专业分包工程（指发包人对相关专业单独发</w:t>
      </w:r>
      <w:r>
        <w:rPr>
          <w:rFonts w:ascii="宋体" w:hAnsi="宋体" w:eastAsia="宋体" w:cs="宋体"/>
          <w:spacing w:val="10"/>
          <w:sz w:val="20"/>
          <w:szCs w:val="20"/>
        </w:rPr>
        <w:t>包的工程）提供配合、</w:t>
      </w:r>
      <w:r>
        <w:rPr>
          <w:rFonts w:ascii="宋体" w:hAnsi="宋体" w:eastAsia="宋体" w:cs="宋体"/>
          <w:spacing w:val="14"/>
          <w:sz w:val="20"/>
          <w:szCs w:val="20"/>
        </w:rPr>
        <w:t>协调、现场管理、临设使用、竣工资料汇总等服</w:t>
      </w:r>
      <w:r>
        <w:rPr>
          <w:rFonts w:ascii="宋体" w:hAnsi="宋体" w:eastAsia="宋体" w:cs="宋体"/>
          <w:spacing w:val="13"/>
          <w:sz w:val="20"/>
          <w:szCs w:val="20"/>
        </w:rPr>
        <w:t>务的，可按专业分包工程金额的3%计取总承包服</w:t>
      </w:r>
      <w:r>
        <w:rPr>
          <w:rFonts w:ascii="宋体" w:hAnsi="宋体" w:eastAsia="宋体" w:cs="宋体"/>
          <w:spacing w:val="3"/>
          <w:sz w:val="20"/>
          <w:szCs w:val="20"/>
        </w:rPr>
        <w:t>务费。</w:t>
      </w:r>
    </w:p>
    <w:p>
      <w:pPr>
        <w:spacing w:before="175" w:line="307" w:lineRule="auto"/>
        <w:ind w:left="17" w:right="76" w:firstLine="474"/>
        <w:rPr>
          <w:rFonts w:ascii="宋体" w:hAnsi="宋体" w:eastAsia="宋体" w:cs="宋体"/>
          <w:sz w:val="20"/>
          <w:szCs w:val="20"/>
        </w:rPr>
      </w:pPr>
      <w:r>
        <w:rPr>
          <w:rFonts w:ascii="宋体" w:hAnsi="宋体" w:eastAsia="宋体" w:cs="宋体"/>
          <w:spacing w:val="10"/>
          <w:sz w:val="20"/>
          <w:szCs w:val="20"/>
        </w:rPr>
        <w:t>3）承包人对非合同范围内的发包人直接发包的工程提供协调及配</w:t>
      </w:r>
      <w:r>
        <w:rPr>
          <w:rFonts w:ascii="宋体" w:hAnsi="宋体" w:eastAsia="宋体" w:cs="宋体"/>
          <w:spacing w:val="9"/>
          <w:sz w:val="20"/>
          <w:szCs w:val="20"/>
        </w:rPr>
        <w:t>合服务的，按双方约定计算</w:t>
      </w:r>
      <w:r>
        <w:rPr>
          <w:rFonts w:ascii="宋体" w:hAnsi="宋体" w:eastAsia="宋体" w:cs="宋体"/>
          <w:spacing w:val="4"/>
          <w:sz w:val="20"/>
          <w:szCs w:val="20"/>
        </w:rPr>
        <w:t>相关费用。</w:t>
      </w:r>
    </w:p>
    <w:p>
      <w:pPr>
        <w:spacing w:before="175" w:line="278" w:lineRule="exact"/>
        <w:ind w:left="466"/>
        <w:rPr>
          <w:rFonts w:ascii="宋体" w:hAnsi="宋体" w:eastAsia="宋体" w:cs="宋体"/>
          <w:sz w:val="20"/>
          <w:szCs w:val="20"/>
        </w:rPr>
      </w:pPr>
      <w:r>
        <w:rPr>
          <w:rFonts w:ascii="宋体" w:hAnsi="宋体" w:eastAsia="宋体" w:cs="宋体"/>
          <w:spacing w:val="6"/>
          <w:position w:val="1"/>
          <w:sz w:val="20"/>
          <w:szCs w:val="20"/>
        </w:rPr>
        <w:t>（2）建设项目工伤保险</w:t>
      </w:r>
    </w:p>
    <w:p>
      <w:pPr>
        <w:spacing w:before="142" w:line="370" w:lineRule="auto"/>
        <w:ind w:left="11" w:right="17" w:firstLine="479"/>
        <w:rPr>
          <w:rFonts w:ascii="宋体" w:hAnsi="宋体" w:eastAsia="宋体" w:cs="宋体"/>
          <w:sz w:val="20"/>
          <w:szCs w:val="20"/>
        </w:rPr>
      </w:pPr>
      <w:r>
        <w:rPr>
          <w:rFonts w:ascii="宋体" w:hAnsi="宋体" w:eastAsia="宋体" w:cs="宋体"/>
          <w:spacing w:val="6"/>
          <w:sz w:val="20"/>
          <w:szCs w:val="20"/>
        </w:rPr>
        <w:t>根据鲁人社字【2020】69号文、鲁人社函〔2</w:t>
      </w:r>
      <w:r>
        <w:rPr>
          <w:rFonts w:ascii="宋体" w:hAnsi="宋体" w:eastAsia="宋体" w:cs="宋体"/>
          <w:spacing w:val="5"/>
          <w:sz w:val="20"/>
          <w:szCs w:val="20"/>
        </w:rPr>
        <w:t>025〕5号文相关规定确定费率。工程招投标阶段，</w:t>
      </w:r>
      <w:r>
        <w:rPr>
          <w:rFonts w:ascii="宋体" w:hAnsi="宋体" w:eastAsia="宋体" w:cs="宋体"/>
          <w:spacing w:val="9"/>
          <w:sz w:val="20"/>
          <w:szCs w:val="20"/>
        </w:rPr>
        <w:t>按规定费率计算相关费用；工程结算时应按缴费</w:t>
      </w:r>
      <w:r>
        <w:rPr>
          <w:rFonts w:ascii="宋体" w:hAnsi="宋体" w:eastAsia="宋体" w:cs="宋体"/>
          <w:spacing w:val="8"/>
          <w:sz w:val="20"/>
          <w:szCs w:val="20"/>
        </w:rPr>
        <w:t>凭证按实计取。</w:t>
      </w:r>
    </w:p>
    <w:p>
      <w:pPr>
        <w:spacing w:before="39" w:line="276" w:lineRule="exact"/>
        <w:ind w:left="466"/>
        <w:rPr>
          <w:rFonts w:ascii="宋体" w:hAnsi="宋体" w:eastAsia="宋体" w:cs="宋体"/>
          <w:sz w:val="20"/>
          <w:szCs w:val="20"/>
        </w:rPr>
      </w:pPr>
      <w:r>
        <w:rPr>
          <w:rFonts w:ascii="宋体" w:hAnsi="宋体" w:eastAsia="宋体" w:cs="宋体"/>
          <w:spacing w:val="6"/>
          <w:position w:val="1"/>
          <w:sz w:val="20"/>
          <w:szCs w:val="20"/>
        </w:rPr>
        <w:t>（3）优质优价费</w:t>
      </w:r>
    </w:p>
    <w:p>
      <w:pPr>
        <w:spacing w:before="147" w:line="388" w:lineRule="auto"/>
        <w:ind w:right="2" w:firstLine="426"/>
        <w:rPr>
          <w:rFonts w:ascii="宋体" w:hAnsi="宋体" w:eastAsia="宋体" w:cs="宋体"/>
          <w:sz w:val="20"/>
          <w:szCs w:val="20"/>
        </w:rPr>
      </w:pPr>
      <w:r>
        <w:rPr>
          <w:rFonts w:ascii="宋体" w:hAnsi="宋体" w:eastAsia="宋体" w:cs="宋体"/>
          <w:spacing w:val="11"/>
          <w:sz w:val="20"/>
          <w:szCs w:val="20"/>
        </w:rPr>
        <w:t>发包人有创建优质优价工程要求的，应在招标文件和最高投标限</w:t>
      </w:r>
      <w:r>
        <w:rPr>
          <w:rFonts w:ascii="宋体" w:hAnsi="宋体" w:eastAsia="宋体" w:cs="宋体"/>
          <w:spacing w:val="10"/>
          <w:sz w:val="20"/>
          <w:szCs w:val="20"/>
        </w:rPr>
        <w:t>价中编列优质优价费。当建设</w:t>
      </w:r>
      <w:r>
        <w:rPr>
          <w:rFonts w:ascii="宋体" w:hAnsi="宋体" w:eastAsia="宋体" w:cs="宋体"/>
          <w:spacing w:val="11"/>
          <w:sz w:val="20"/>
          <w:szCs w:val="20"/>
        </w:rPr>
        <w:t>工程达到合同约定的创建目标时，按合同约定计取相应费用；未达到或超出合</w:t>
      </w:r>
      <w:r>
        <w:rPr>
          <w:rFonts w:ascii="宋体" w:hAnsi="宋体" w:eastAsia="宋体" w:cs="宋体"/>
          <w:spacing w:val="10"/>
          <w:sz w:val="20"/>
          <w:szCs w:val="20"/>
        </w:rPr>
        <w:t>同约定目标时，合同</w:t>
      </w:r>
      <w:r>
        <w:rPr>
          <w:rFonts w:ascii="宋体" w:hAnsi="宋体" w:eastAsia="宋体" w:cs="宋体"/>
          <w:spacing w:val="8"/>
          <w:sz w:val="20"/>
          <w:szCs w:val="20"/>
        </w:rPr>
        <w:t>有约定的按合同约定计取</w:t>
      </w:r>
      <w:r>
        <w:rPr>
          <w:rFonts w:ascii="宋体" w:hAnsi="宋体" w:eastAsia="宋体" w:cs="宋体"/>
          <w:spacing w:val="-46"/>
          <w:sz w:val="20"/>
          <w:szCs w:val="20"/>
        </w:rPr>
        <w:t xml:space="preserve"> </w:t>
      </w:r>
      <w:r>
        <w:rPr>
          <w:rFonts w:ascii="宋体" w:hAnsi="宋体" w:eastAsia="宋体" w:cs="宋体"/>
          <w:spacing w:val="8"/>
          <w:sz w:val="20"/>
          <w:szCs w:val="20"/>
        </w:rPr>
        <w:t>，未有约定的</w:t>
      </w:r>
      <w:r>
        <w:rPr>
          <w:rFonts w:ascii="宋体" w:hAnsi="宋体" w:eastAsia="宋体" w:cs="宋体"/>
          <w:spacing w:val="-59"/>
          <w:sz w:val="20"/>
          <w:szCs w:val="20"/>
        </w:rPr>
        <w:t xml:space="preserve"> </w:t>
      </w:r>
      <w:r>
        <w:rPr>
          <w:rFonts w:ascii="宋体" w:hAnsi="宋体" w:eastAsia="宋体" w:cs="宋体"/>
          <w:spacing w:val="8"/>
          <w:sz w:val="20"/>
          <w:szCs w:val="20"/>
        </w:rPr>
        <w:t>，由发承包双方另行协商计取。</w:t>
      </w:r>
    </w:p>
    <w:p>
      <w:pPr>
        <w:spacing w:line="388" w:lineRule="auto"/>
        <w:rPr>
          <w:rFonts w:ascii="宋体" w:hAnsi="宋体" w:eastAsia="宋体" w:cs="宋体"/>
          <w:sz w:val="20"/>
          <w:szCs w:val="20"/>
        </w:rPr>
        <w:sectPr>
          <w:footerReference r:id="rId253" w:type="default"/>
          <w:pgSz w:w="11906" w:h="16839"/>
          <w:pgMar w:top="400" w:right="1417" w:bottom="1212" w:left="1420"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641"/>
        <w:rPr>
          <w:rFonts w:ascii="宋体" w:hAnsi="宋体" w:eastAsia="宋体" w:cs="宋体"/>
          <w:sz w:val="20"/>
          <w:szCs w:val="20"/>
        </w:rPr>
      </w:pPr>
      <w:bookmarkStart w:id="131" w:name="bookmark174"/>
      <w:bookmarkEnd w:id="131"/>
      <w:r>
        <w:rPr>
          <w:rFonts w:ascii="宋体" w:hAnsi="宋体" w:eastAsia="宋体" w:cs="宋体"/>
          <w:b/>
          <w:bCs/>
          <w:spacing w:val="-6"/>
          <w:position w:val="1"/>
          <w:sz w:val="20"/>
          <w:szCs w:val="20"/>
        </w:rPr>
        <w:t>11.</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措施项目有关说明：</w:t>
      </w:r>
    </w:p>
    <w:p>
      <w:pPr>
        <w:spacing w:line="103" w:lineRule="exact"/>
      </w:pPr>
    </w:p>
    <w:tbl>
      <w:tblPr>
        <w:tblStyle w:val="5"/>
        <w:tblW w:w="94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906"/>
        <w:gridCol w:w="46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4" w:hRule="atLeast"/>
        </w:trPr>
        <w:tc>
          <w:tcPr>
            <w:tcW w:w="851" w:type="dxa"/>
            <w:vAlign w:val="top"/>
          </w:tcPr>
          <w:p>
            <w:pPr>
              <w:spacing w:before="143" w:line="222" w:lineRule="auto"/>
              <w:ind w:left="222"/>
              <w:rPr>
                <w:rFonts w:ascii="宋体" w:hAnsi="宋体" w:eastAsia="宋体" w:cs="宋体"/>
                <w:sz w:val="20"/>
                <w:szCs w:val="20"/>
              </w:rPr>
            </w:pPr>
            <w:r>
              <w:rPr>
                <w:rFonts w:ascii="宋体" w:hAnsi="宋体" w:eastAsia="宋体" w:cs="宋体"/>
                <w:spacing w:val="12"/>
                <w:sz w:val="20"/>
                <w:szCs w:val="20"/>
              </w:rPr>
              <w:t>序号</w:t>
            </w:r>
          </w:p>
        </w:tc>
        <w:tc>
          <w:tcPr>
            <w:tcW w:w="3906" w:type="dxa"/>
            <w:vAlign w:val="top"/>
          </w:tcPr>
          <w:p>
            <w:pPr>
              <w:spacing w:before="146" w:line="217" w:lineRule="auto"/>
              <w:ind w:left="1383"/>
              <w:rPr>
                <w:rFonts w:ascii="宋体" w:hAnsi="宋体" w:eastAsia="宋体" w:cs="宋体"/>
                <w:sz w:val="20"/>
                <w:szCs w:val="20"/>
              </w:rPr>
            </w:pPr>
            <w:r>
              <w:rPr>
                <w:rFonts w:ascii="宋体" w:hAnsi="宋体" w:eastAsia="宋体" w:cs="宋体"/>
                <w:spacing w:val="22"/>
                <w:sz w:val="20"/>
                <w:szCs w:val="20"/>
              </w:rPr>
              <w:t>措施项目名称</w:t>
            </w:r>
          </w:p>
        </w:tc>
        <w:tc>
          <w:tcPr>
            <w:tcW w:w="4646" w:type="dxa"/>
            <w:vAlign w:val="top"/>
          </w:tcPr>
          <w:p>
            <w:pPr>
              <w:spacing w:before="144" w:line="218" w:lineRule="auto"/>
              <w:ind w:left="1855"/>
              <w:rPr>
                <w:rFonts w:ascii="宋体" w:hAnsi="宋体" w:eastAsia="宋体" w:cs="宋体"/>
                <w:sz w:val="20"/>
                <w:szCs w:val="20"/>
              </w:rPr>
            </w:pPr>
            <w:r>
              <w:rPr>
                <w:rFonts w:ascii="宋体" w:hAnsi="宋体" w:eastAsia="宋体" w:cs="宋体"/>
                <w:spacing w:val="19"/>
                <w:sz w:val="20"/>
                <w:szCs w:val="20"/>
              </w:rPr>
              <w:t>有关说明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9403" w:type="dxa"/>
            <w:gridSpan w:val="3"/>
            <w:vAlign w:val="top"/>
          </w:tcPr>
          <w:p>
            <w:pPr>
              <w:spacing w:before="141" w:line="223" w:lineRule="auto"/>
              <w:ind w:left="4088"/>
              <w:rPr>
                <w:rFonts w:ascii="宋体" w:hAnsi="宋体" w:eastAsia="宋体" w:cs="宋体"/>
                <w:sz w:val="20"/>
                <w:szCs w:val="20"/>
              </w:rPr>
            </w:pPr>
            <w:r>
              <w:rPr>
                <w:rFonts w:ascii="宋体" w:hAnsi="宋体" w:eastAsia="宋体" w:cs="宋体"/>
                <w:spacing w:val="16"/>
                <w:sz w:val="20"/>
                <w:szCs w:val="20"/>
              </w:rPr>
              <w:t>专业措施项</w:t>
            </w:r>
            <w:r>
              <w:rPr>
                <w:rFonts w:ascii="宋体" w:hAnsi="宋体" w:eastAsia="宋体" w:cs="宋体"/>
                <w:spacing w:val="-37"/>
                <w:sz w:val="20"/>
                <w:szCs w:val="20"/>
              </w:rPr>
              <w:t xml:space="preserve"> </w:t>
            </w:r>
            <w:r>
              <w:rPr>
                <w:rFonts w:ascii="宋体" w:hAnsi="宋体" w:eastAsia="宋体" w:cs="宋体"/>
                <w:spacing w:val="16"/>
                <w:sz w:val="20"/>
                <w:szCs w:val="20"/>
              </w:rPr>
              <w:t>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7" w:line="233" w:lineRule="auto"/>
              <w:ind w:left="415"/>
              <w:rPr>
                <w:rFonts w:ascii="宋体" w:hAnsi="宋体" w:eastAsia="宋体" w:cs="宋体"/>
                <w:sz w:val="20"/>
                <w:szCs w:val="20"/>
              </w:rPr>
            </w:pPr>
            <w:r>
              <w:rPr>
                <w:rFonts w:ascii="宋体" w:hAnsi="宋体" w:eastAsia="宋体" w:cs="宋体"/>
                <w:sz w:val="20"/>
                <w:szCs w:val="20"/>
              </w:rPr>
              <w:t>1</w:t>
            </w:r>
          </w:p>
        </w:tc>
        <w:tc>
          <w:tcPr>
            <w:tcW w:w="3906" w:type="dxa"/>
            <w:vAlign w:val="top"/>
          </w:tcPr>
          <w:p>
            <w:pPr>
              <w:spacing w:before="144" w:line="216" w:lineRule="auto"/>
              <w:ind w:left="111"/>
              <w:rPr>
                <w:rFonts w:ascii="宋体" w:hAnsi="宋体" w:eastAsia="宋体" w:cs="宋体"/>
                <w:sz w:val="20"/>
                <w:szCs w:val="20"/>
              </w:rPr>
            </w:pPr>
            <w:r>
              <w:rPr>
                <w:rFonts w:ascii="宋体" w:hAnsi="宋体" w:eastAsia="宋体" w:cs="宋体"/>
                <w:spacing w:val="18"/>
                <w:sz w:val="20"/>
                <w:szCs w:val="20"/>
              </w:rPr>
              <w:t>脚手架</w:t>
            </w:r>
          </w:p>
        </w:tc>
        <w:tc>
          <w:tcPr>
            <w:tcW w:w="4646" w:type="dxa"/>
            <w:vAlign w:val="top"/>
          </w:tcPr>
          <w:p>
            <w:pPr>
              <w:spacing w:before="140" w:line="223" w:lineRule="auto"/>
              <w:ind w:right="9"/>
              <w:jc w:val="right"/>
              <w:rPr>
                <w:rFonts w:ascii="宋体" w:hAnsi="宋体" w:eastAsia="宋体" w:cs="宋体"/>
                <w:sz w:val="20"/>
                <w:szCs w:val="20"/>
              </w:rPr>
            </w:pPr>
            <w:r>
              <w:rPr>
                <w:rFonts w:ascii="宋体" w:hAnsi="宋体" w:eastAsia="宋体" w:cs="宋体"/>
                <w:spacing w:val="14"/>
                <w:sz w:val="20"/>
                <w:szCs w:val="20"/>
              </w:rPr>
              <w:t>包括安全网、密目网、钢板网，可参照定额计算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8" w:line="232" w:lineRule="auto"/>
              <w:ind w:left="384"/>
              <w:rPr>
                <w:rFonts w:ascii="宋体" w:hAnsi="宋体" w:eastAsia="宋体" w:cs="宋体"/>
                <w:sz w:val="20"/>
                <w:szCs w:val="20"/>
              </w:rPr>
            </w:pPr>
            <w:r>
              <w:rPr>
                <w:rFonts w:ascii="宋体" w:hAnsi="宋体" w:eastAsia="宋体" w:cs="宋体"/>
                <w:sz w:val="20"/>
                <w:szCs w:val="20"/>
              </w:rPr>
              <w:t>2</w:t>
            </w:r>
          </w:p>
        </w:tc>
        <w:tc>
          <w:tcPr>
            <w:tcW w:w="3906" w:type="dxa"/>
            <w:vAlign w:val="top"/>
          </w:tcPr>
          <w:p>
            <w:pPr>
              <w:spacing w:before="142" w:line="222" w:lineRule="auto"/>
              <w:ind w:left="113"/>
              <w:rPr>
                <w:rFonts w:ascii="宋体" w:hAnsi="宋体" w:eastAsia="宋体" w:cs="宋体"/>
                <w:sz w:val="20"/>
                <w:szCs w:val="20"/>
              </w:rPr>
            </w:pPr>
            <w:r>
              <w:rPr>
                <w:rFonts w:ascii="宋体" w:hAnsi="宋体" w:eastAsia="宋体" w:cs="宋体"/>
                <w:spacing w:val="23"/>
                <w:sz w:val="20"/>
                <w:szCs w:val="20"/>
              </w:rPr>
              <w:t>水上桩基础支架、平台</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6" w:line="234" w:lineRule="auto"/>
              <w:ind w:left="389"/>
              <w:rPr>
                <w:rFonts w:ascii="宋体" w:hAnsi="宋体" w:eastAsia="宋体" w:cs="宋体"/>
                <w:sz w:val="20"/>
                <w:szCs w:val="20"/>
              </w:rPr>
            </w:pPr>
            <w:r>
              <w:rPr>
                <w:rFonts w:ascii="宋体" w:hAnsi="宋体" w:eastAsia="宋体" w:cs="宋体"/>
                <w:sz w:val="20"/>
                <w:szCs w:val="20"/>
              </w:rPr>
              <w:t>3</w:t>
            </w:r>
          </w:p>
        </w:tc>
        <w:tc>
          <w:tcPr>
            <w:tcW w:w="3906" w:type="dxa"/>
            <w:vAlign w:val="top"/>
          </w:tcPr>
          <w:p>
            <w:pPr>
              <w:spacing w:before="142" w:line="219" w:lineRule="auto"/>
              <w:ind w:left="113"/>
              <w:rPr>
                <w:rFonts w:ascii="宋体" w:hAnsi="宋体" w:eastAsia="宋体" w:cs="宋体"/>
                <w:sz w:val="20"/>
                <w:szCs w:val="20"/>
              </w:rPr>
            </w:pPr>
            <w:r>
              <w:rPr>
                <w:rFonts w:ascii="宋体" w:hAnsi="宋体" w:eastAsia="宋体" w:cs="宋体"/>
                <w:spacing w:val="19"/>
                <w:sz w:val="20"/>
                <w:szCs w:val="20"/>
              </w:rPr>
              <w:t>桥涵支架</w:t>
            </w:r>
          </w:p>
        </w:tc>
        <w:tc>
          <w:tcPr>
            <w:tcW w:w="4646" w:type="dxa"/>
            <w:vAlign w:val="top"/>
          </w:tcPr>
          <w:p>
            <w:pPr>
              <w:spacing w:before="142" w:line="220" w:lineRule="auto"/>
              <w:ind w:left="117"/>
              <w:rPr>
                <w:rFonts w:ascii="宋体" w:hAnsi="宋体" w:eastAsia="宋体" w:cs="宋体"/>
                <w:sz w:val="20"/>
                <w:szCs w:val="20"/>
              </w:rPr>
            </w:pPr>
            <w:r>
              <w:rPr>
                <w:rFonts w:ascii="宋体" w:hAnsi="宋体" w:eastAsia="宋体" w:cs="宋体"/>
                <w:spacing w:val="22"/>
                <w:sz w:val="20"/>
                <w:szCs w:val="20"/>
              </w:rPr>
              <w:t>包括箱涵顶板支架</w:t>
            </w:r>
            <w:r>
              <w:rPr>
                <w:rFonts w:ascii="宋体" w:hAnsi="宋体" w:eastAsia="宋体" w:cs="宋体"/>
                <w:spacing w:val="-40"/>
                <w:sz w:val="20"/>
                <w:szCs w:val="20"/>
              </w:rPr>
              <w:t xml:space="preserve"> </w:t>
            </w:r>
            <w:r>
              <w:rPr>
                <w:rFonts w:ascii="宋体" w:hAnsi="宋体" w:eastAsia="宋体" w:cs="宋体"/>
                <w:spacing w:val="22"/>
                <w:sz w:val="20"/>
                <w:szCs w:val="20"/>
              </w:rPr>
              <w:t>，钢管柱支架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7" w:line="233" w:lineRule="auto"/>
              <w:ind w:left="378"/>
              <w:rPr>
                <w:rFonts w:ascii="宋体" w:hAnsi="宋体" w:eastAsia="宋体" w:cs="宋体"/>
                <w:sz w:val="20"/>
                <w:szCs w:val="20"/>
              </w:rPr>
            </w:pPr>
            <w:r>
              <w:rPr>
                <w:rFonts w:ascii="宋体" w:hAnsi="宋体" w:eastAsia="宋体" w:cs="宋体"/>
                <w:spacing w:val="1"/>
                <w:sz w:val="20"/>
                <w:szCs w:val="20"/>
              </w:rPr>
              <w:t>4</w:t>
            </w:r>
          </w:p>
        </w:tc>
        <w:tc>
          <w:tcPr>
            <w:tcW w:w="3906" w:type="dxa"/>
            <w:vAlign w:val="top"/>
          </w:tcPr>
          <w:p>
            <w:pPr>
              <w:spacing w:before="129" w:line="232" w:lineRule="auto"/>
              <w:ind w:left="110"/>
              <w:rPr>
                <w:rFonts w:ascii="宋体" w:hAnsi="宋体" w:eastAsia="宋体" w:cs="宋体"/>
                <w:sz w:val="20"/>
                <w:szCs w:val="20"/>
              </w:rPr>
            </w:pPr>
            <w:r>
              <w:rPr>
                <w:rFonts w:ascii="宋体" w:hAnsi="宋体" w:eastAsia="宋体" w:cs="宋体"/>
                <w:spacing w:val="17"/>
                <w:sz w:val="20"/>
                <w:szCs w:val="20"/>
              </w:rPr>
              <w:t>施工排水</w:t>
            </w:r>
            <w:r>
              <w:rPr>
                <w:rFonts w:ascii="宋体" w:hAnsi="宋体" w:eastAsia="宋体" w:cs="宋体"/>
                <w:spacing w:val="-58"/>
                <w:sz w:val="20"/>
                <w:szCs w:val="20"/>
              </w:rPr>
              <w:t xml:space="preserve"> </w:t>
            </w:r>
            <w:r>
              <w:rPr>
                <w:rFonts w:ascii="宋体" w:hAnsi="宋体" w:eastAsia="宋体" w:cs="宋体"/>
                <w:spacing w:val="17"/>
                <w:sz w:val="20"/>
                <w:szCs w:val="20"/>
              </w:rPr>
              <w:t>、降水</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7" w:line="233" w:lineRule="auto"/>
              <w:ind w:left="386"/>
              <w:rPr>
                <w:rFonts w:ascii="宋体" w:hAnsi="宋体" w:eastAsia="宋体" w:cs="宋体"/>
                <w:sz w:val="20"/>
                <w:szCs w:val="20"/>
              </w:rPr>
            </w:pPr>
            <w:r>
              <w:rPr>
                <w:rFonts w:ascii="宋体" w:hAnsi="宋体" w:eastAsia="宋体" w:cs="宋体"/>
                <w:sz w:val="20"/>
                <w:szCs w:val="20"/>
              </w:rPr>
              <w:t>5</w:t>
            </w:r>
          </w:p>
        </w:tc>
        <w:tc>
          <w:tcPr>
            <w:tcW w:w="3906" w:type="dxa"/>
            <w:vAlign w:val="top"/>
          </w:tcPr>
          <w:p>
            <w:pPr>
              <w:spacing w:before="143" w:line="220" w:lineRule="auto"/>
              <w:ind w:left="150"/>
              <w:rPr>
                <w:rFonts w:ascii="宋体" w:hAnsi="宋体" w:eastAsia="宋体" w:cs="宋体"/>
                <w:sz w:val="20"/>
                <w:szCs w:val="20"/>
              </w:rPr>
            </w:pPr>
            <w:r>
              <w:rPr>
                <w:rFonts w:ascii="宋体" w:hAnsi="宋体" w:eastAsia="宋体" w:cs="宋体"/>
                <w:spacing w:val="11"/>
                <w:sz w:val="20"/>
                <w:szCs w:val="20"/>
              </w:rPr>
              <w:t>围堰、筑岛</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38" w:line="232" w:lineRule="auto"/>
              <w:ind w:left="384"/>
              <w:rPr>
                <w:rFonts w:ascii="宋体" w:hAnsi="宋体" w:eastAsia="宋体" w:cs="宋体"/>
                <w:sz w:val="20"/>
                <w:szCs w:val="20"/>
              </w:rPr>
            </w:pPr>
            <w:r>
              <w:rPr>
                <w:rFonts w:ascii="宋体" w:hAnsi="宋体" w:eastAsia="宋体" w:cs="宋体"/>
                <w:sz w:val="20"/>
                <w:szCs w:val="20"/>
              </w:rPr>
              <w:t>6</w:t>
            </w:r>
          </w:p>
        </w:tc>
        <w:tc>
          <w:tcPr>
            <w:tcW w:w="3906" w:type="dxa"/>
            <w:vAlign w:val="top"/>
          </w:tcPr>
          <w:p>
            <w:pPr>
              <w:spacing w:before="143" w:line="220" w:lineRule="auto"/>
              <w:ind w:left="110"/>
              <w:rPr>
                <w:rFonts w:ascii="宋体" w:hAnsi="宋体" w:eastAsia="宋体" w:cs="宋体"/>
                <w:sz w:val="20"/>
                <w:szCs w:val="20"/>
              </w:rPr>
            </w:pPr>
            <w:r>
              <w:rPr>
                <w:rFonts w:ascii="宋体" w:hAnsi="宋体" w:eastAsia="宋体" w:cs="宋体"/>
                <w:spacing w:val="20"/>
                <w:sz w:val="20"/>
                <w:szCs w:val="20"/>
              </w:rPr>
              <w:t>便道、便桥</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9" w:hRule="atLeast"/>
        </w:trPr>
        <w:tc>
          <w:tcPr>
            <w:tcW w:w="851" w:type="dxa"/>
            <w:vAlign w:val="top"/>
          </w:tcPr>
          <w:p>
            <w:pPr>
              <w:spacing w:before="127" w:line="299" w:lineRule="exact"/>
              <w:ind w:left="384"/>
              <w:rPr>
                <w:rFonts w:ascii="宋体" w:hAnsi="宋体" w:eastAsia="宋体" w:cs="宋体"/>
                <w:sz w:val="20"/>
                <w:szCs w:val="20"/>
              </w:rPr>
            </w:pPr>
            <w:r>
              <w:rPr>
                <w:rFonts w:ascii="宋体" w:hAnsi="宋体" w:eastAsia="宋体" w:cs="宋体"/>
                <w:position w:val="2"/>
                <w:sz w:val="20"/>
                <w:szCs w:val="20"/>
              </w:rPr>
              <w:t>7</w:t>
            </w:r>
          </w:p>
        </w:tc>
        <w:tc>
          <w:tcPr>
            <w:tcW w:w="3906" w:type="dxa"/>
            <w:vAlign w:val="top"/>
          </w:tcPr>
          <w:p>
            <w:pPr>
              <w:spacing w:before="141" w:line="299" w:lineRule="auto"/>
              <w:ind w:left="114" w:right="147" w:firstLine="2"/>
              <w:rPr>
                <w:rFonts w:ascii="宋体" w:hAnsi="宋体" w:eastAsia="宋体" w:cs="宋体"/>
                <w:sz w:val="20"/>
                <w:szCs w:val="20"/>
              </w:rPr>
            </w:pPr>
            <w:r>
              <w:rPr>
                <w:rFonts w:ascii="宋体" w:hAnsi="宋体" w:eastAsia="宋体" w:cs="宋体"/>
                <w:spacing w:val="19"/>
                <w:sz w:val="20"/>
                <w:szCs w:val="20"/>
              </w:rPr>
              <w:t>洞内施工通风</w:t>
            </w:r>
            <w:r>
              <w:rPr>
                <w:rFonts w:ascii="宋体" w:hAnsi="宋体" w:eastAsia="宋体" w:cs="宋体"/>
                <w:spacing w:val="-52"/>
                <w:sz w:val="20"/>
                <w:szCs w:val="20"/>
              </w:rPr>
              <w:t xml:space="preserve"> </w:t>
            </w:r>
            <w:r>
              <w:rPr>
                <w:rFonts w:ascii="宋体" w:hAnsi="宋体" w:eastAsia="宋体" w:cs="宋体"/>
                <w:spacing w:val="19"/>
                <w:sz w:val="20"/>
                <w:szCs w:val="20"/>
              </w:rPr>
              <w:t>、供水</w:t>
            </w:r>
            <w:r>
              <w:rPr>
                <w:rFonts w:ascii="宋体" w:hAnsi="宋体" w:eastAsia="宋体" w:cs="宋体"/>
                <w:spacing w:val="-58"/>
                <w:sz w:val="20"/>
                <w:szCs w:val="20"/>
              </w:rPr>
              <w:t xml:space="preserve"> </w:t>
            </w:r>
            <w:r>
              <w:rPr>
                <w:rFonts w:ascii="宋体" w:hAnsi="宋体" w:eastAsia="宋体" w:cs="宋体"/>
                <w:spacing w:val="19"/>
                <w:sz w:val="20"/>
                <w:szCs w:val="20"/>
              </w:rPr>
              <w:t>、供电照明</w:t>
            </w:r>
            <w:r>
              <w:rPr>
                <w:rFonts w:ascii="宋体" w:hAnsi="宋体" w:eastAsia="宋体" w:cs="宋体"/>
                <w:spacing w:val="-59"/>
                <w:sz w:val="20"/>
                <w:szCs w:val="20"/>
              </w:rPr>
              <w:t xml:space="preserve"> </w:t>
            </w:r>
            <w:r>
              <w:rPr>
                <w:rFonts w:ascii="宋体" w:hAnsi="宋体" w:eastAsia="宋体" w:cs="宋体"/>
                <w:spacing w:val="19"/>
                <w:sz w:val="20"/>
                <w:szCs w:val="20"/>
              </w:rPr>
              <w:t>、通</w:t>
            </w:r>
            <w:r>
              <w:rPr>
                <w:rFonts w:ascii="宋体" w:hAnsi="宋体" w:eastAsia="宋体" w:cs="宋体"/>
                <w:spacing w:val="22"/>
                <w:sz w:val="20"/>
                <w:szCs w:val="20"/>
              </w:rPr>
              <w:t>信设施</w:t>
            </w:r>
            <w:r>
              <w:rPr>
                <w:rFonts w:ascii="宋体" w:hAnsi="宋体" w:eastAsia="宋体" w:cs="宋体"/>
                <w:spacing w:val="-59"/>
                <w:sz w:val="20"/>
                <w:szCs w:val="20"/>
              </w:rPr>
              <w:t xml:space="preserve"> </w:t>
            </w:r>
            <w:r>
              <w:rPr>
                <w:rFonts w:ascii="宋体" w:hAnsi="宋体" w:eastAsia="宋体" w:cs="宋体"/>
                <w:spacing w:val="22"/>
                <w:sz w:val="20"/>
                <w:szCs w:val="20"/>
              </w:rPr>
              <w:t>、洞内外轨道铺设</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9" w:hRule="atLeast"/>
        </w:trPr>
        <w:tc>
          <w:tcPr>
            <w:tcW w:w="851" w:type="dxa"/>
            <w:vAlign w:val="top"/>
          </w:tcPr>
          <w:p>
            <w:pPr>
              <w:spacing w:before="139" w:line="299" w:lineRule="exact"/>
              <w:ind w:left="386"/>
              <w:rPr>
                <w:rFonts w:ascii="宋体" w:hAnsi="宋体" w:eastAsia="宋体" w:cs="宋体"/>
                <w:sz w:val="20"/>
                <w:szCs w:val="20"/>
              </w:rPr>
            </w:pPr>
            <w:r>
              <w:rPr>
                <w:rFonts w:ascii="宋体" w:hAnsi="宋体" w:eastAsia="宋体" w:cs="宋体"/>
                <w:position w:val="2"/>
                <w:sz w:val="20"/>
                <w:szCs w:val="20"/>
              </w:rPr>
              <w:t>8</w:t>
            </w:r>
          </w:p>
        </w:tc>
        <w:tc>
          <w:tcPr>
            <w:tcW w:w="3906" w:type="dxa"/>
            <w:vAlign w:val="top"/>
          </w:tcPr>
          <w:p>
            <w:pPr>
              <w:spacing w:before="143" w:line="220" w:lineRule="auto"/>
              <w:ind w:left="119"/>
              <w:rPr>
                <w:rFonts w:ascii="宋体" w:hAnsi="宋体" w:eastAsia="宋体" w:cs="宋体"/>
                <w:sz w:val="20"/>
                <w:szCs w:val="20"/>
              </w:rPr>
            </w:pPr>
            <w:r>
              <w:rPr>
                <w:rFonts w:ascii="宋体" w:hAnsi="宋体" w:eastAsia="宋体" w:cs="宋体"/>
                <w:spacing w:val="23"/>
                <w:sz w:val="20"/>
                <w:szCs w:val="20"/>
              </w:rPr>
              <w:t>大型机械设备进出场及安拆</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9" w:hRule="atLeast"/>
        </w:trPr>
        <w:tc>
          <w:tcPr>
            <w:tcW w:w="851" w:type="dxa"/>
            <w:vAlign w:val="top"/>
          </w:tcPr>
          <w:p>
            <w:pPr>
              <w:spacing w:before="139" w:line="300" w:lineRule="exact"/>
              <w:ind w:left="384"/>
              <w:rPr>
                <w:rFonts w:ascii="宋体" w:hAnsi="宋体" w:eastAsia="宋体" w:cs="宋体"/>
                <w:sz w:val="20"/>
                <w:szCs w:val="20"/>
              </w:rPr>
            </w:pPr>
            <w:r>
              <w:rPr>
                <w:rFonts w:ascii="宋体" w:hAnsi="宋体" w:eastAsia="宋体" w:cs="宋体"/>
                <w:position w:val="2"/>
                <w:sz w:val="20"/>
                <w:szCs w:val="20"/>
              </w:rPr>
              <w:t>9</w:t>
            </w:r>
          </w:p>
        </w:tc>
        <w:tc>
          <w:tcPr>
            <w:tcW w:w="3906" w:type="dxa"/>
            <w:vAlign w:val="top"/>
          </w:tcPr>
          <w:p>
            <w:pPr>
              <w:spacing w:before="145" w:line="219" w:lineRule="auto"/>
              <w:ind w:left="112"/>
              <w:rPr>
                <w:rFonts w:ascii="宋体" w:hAnsi="宋体" w:eastAsia="宋体" w:cs="宋体"/>
                <w:sz w:val="20"/>
                <w:szCs w:val="20"/>
              </w:rPr>
            </w:pPr>
            <w:r>
              <w:rPr>
                <w:rFonts w:ascii="宋体" w:hAnsi="宋体" w:eastAsia="宋体" w:cs="宋体"/>
                <w:spacing w:val="26"/>
                <w:sz w:val="20"/>
                <w:szCs w:val="20"/>
              </w:rPr>
              <w:t>立交箱涵顶进被交线路加固及安拆</w:t>
            </w:r>
          </w:p>
        </w:tc>
        <w:tc>
          <w:tcPr>
            <w:tcW w:w="4646" w:type="dxa"/>
            <w:vAlign w:val="top"/>
          </w:tcPr>
          <w:p>
            <w:pPr>
              <w:spacing w:before="144" w:line="220" w:lineRule="auto"/>
              <w:ind w:left="117"/>
              <w:rPr>
                <w:rFonts w:ascii="宋体" w:hAnsi="宋体" w:eastAsia="宋体" w:cs="宋体"/>
                <w:sz w:val="20"/>
                <w:szCs w:val="20"/>
              </w:rPr>
            </w:pPr>
            <w:r>
              <w:rPr>
                <w:rFonts w:ascii="宋体" w:hAnsi="宋体" w:eastAsia="宋体" w:cs="宋体"/>
                <w:spacing w:val="23"/>
                <w:sz w:val="20"/>
                <w:szCs w:val="20"/>
              </w:rPr>
              <w:t>按施工组织设计计算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9" w:hRule="atLeast"/>
        </w:trPr>
        <w:tc>
          <w:tcPr>
            <w:tcW w:w="851" w:type="dxa"/>
            <w:vAlign w:val="top"/>
          </w:tcPr>
          <w:p>
            <w:pPr>
              <w:spacing w:before="131" w:line="299" w:lineRule="exact"/>
              <w:ind w:left="362"/>
              <w:rPr>
                <w:rFonts w:ascii="宋体" w:hAnsi="宋体" w:eastAsia="宋体" w:cs="宋体"/>
                <w:sz w:val="20"/>
                <w:szCs w:val="20"/>
              </w:rPr>
            </w:pPr>
            <w:r>
              <w:rPr>
                <w:rFonts w:ascii="宋体" w:hAnsi="宋体" w:eastAsia="宋体" w:cs="宋体"/>
                <w:spacing w:val="-10"/>
                <w:position w:val="2"/>
                <w:sz w:val="20"/>
                <w:szCs w:val="20"/>
              </w:rPr>
              <w:t>10</w:t>
            </w:r>
          </w:p>
        </w:tc>
        <w:tc>
          <w:tcPr>
            <w:tcW w:w="3906" w:type="dxa"/>
            <w:vAlign w:val="top"/>
          </w:tcPr>
          <w:p>
            <w:pPr>
              <w:spacing w:before="145" w:line="219" w:lineRule="auto"/>
              <w:ind w:left="121"/>
              <w:rPr>
                <w:rFonts w:ascii="宋体" w:hAnsi="宋体" w:eastAsia="宋体" w:cs="宋体"/>
                <w:sz w:val="20"/>
                <w:szCs w:val="20"/>
              </w:rPr>
            </w:pPr>
            <w:r>
              <w:rPr>
                <w:rFonts w:ascii="宋体" w:hAnsi="宋体" w:eastAsia="宋体" w:cs="宋体"/>
                <w:spacing w:val="24"/>
                <w:sz w:val="20"/>
                <w:szCs w:val="20"/>
              </w:rPr>
              <w:t>市政工程地下管线交叉处理</w:t>
            </w:r>
          </w:p>
        </w:tc>
        <w:tc>
          <w:tcPr>
            <w:tcW w:w="4646" w:type="dxa"/>
            <w:vAlign w:val="top"/>
          </w:tcPr>
          <w:p>
            <w:pPr>
              <w:spacing w:before="143" w:line="298" w:lineRule="auto"/>
              <w:ind w:left="116" w:right="117" w:firstLine="5"/>
              <w:rPr>
                <w:rFonts w:ascii="宋体" w:hAnsi="宋体" w:eastAsia="宋体" w:cs="宋体"/>
                <w:sz w:val="20"/>
                <w:szCs w:val="20"/>
              </w:rPr>
            </w:pPr>
            <w:r>
              <w:rPr>
                <w:rFonts w:ascii="宋体" w:hAnsi="宋体" w:eastAsia="宋体" w:cs="宋体"/>
                <w:spacing w:val="17"/>
                <w:sz w:val="20"/>
                <w:szCs w:val="20"/>
              </w:rPr>
              <w:t>定额计价时按费率计算</w:t>
            </w:r>
            <w:r>
              <w:rPr>
                <w:rFonts w:ascii="宋体" w:hAnsi="宋体" w:eastAsia="宋体" w:cs="宋体"/>
                <w:spacing w:val="-41"/>
                <w:sz w:val="20"/>
                <w:szCs w:val="20"/>
              </w:rPr>
              <w:t xml:space="preserve"> </w:t>
            </w:r>
            <w:r>
              <w:rPr>
                <w:rFonts w:ascii="宋体" w:hAnsi="宋体" w:eastAsia="宋体" w:cs="宋体"/>
                <w:spacing w:val="17"/>
                <w:sz w:val="20"/>
                <w:szCs w:val="20"/>
              </w:rPr>
              <w:t>，注意定额计价与清单</w:t>
            </w:r>
            <w:r>
              <w:rPr>
                <w:rFonts w:ascii="宋体" w:hAnsi="宋体" w:eastAsia="宋体" w:cs="宋体"/>
                <w:spacing w:val="23"/>
                <w:sz w:val="20"/>
                <w:szCs w:val="20"/>
              </w:rPr>
              <w:t>计价时所包含的内容不同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0" w:line="230" w:lineRule="auto"/>
              <w:ind w:left="362"/>
              <w:rPr>
                <w:rFonts w:ascii="宋体" w:hAnsi="宋体" w:eastAsia="宋体" w:cs="宋体"/>
                <w:sz w:val="20"/>
                <w:szCs w:val="20"/>
              </w:rPr>
            </w:pPr>
            <w:r>
              <w:rPr>
                <w:rFonts w:ascii="宋体" w:hAnsi="宋体" w:eastAsia="宋体" w:cs="宋体"/>
                <w:spacing w:val="-10"/>
                <w:sz w:val="20"/>
                <w:szCs w:val="20"/>
              </w:rPr>
              <w:t>11</w:t>
            </w:r>
          </w:p>
        </w:tc>
        <w:tc>
          <w:tcPr>
            <w:tcW w:w="3906" w:type="dxa"/>
            <w:vAlign w:val="top"/>
          </w:tcPr>
          <w:p>
            <w:pPr>
              <w:spacing w:before="146" w:line="219" w:lineRule="auto"/>
              <w:ind w:left="110"/>
              <w:rPr>
                <w:rFonts w:ascii="宋体" w:hAnsi="宋体" w:eastAsia="宋体" w:cs="宋体"/>
                <w:sz w:val="20"/>
                <w:szCs w:val="20"/>
              </w:rPr>
            </w:pPr>
            <w:r>
              <w:rPr>
                <w:rFonts w:ascii="宋体" w:hAnsi="宋体" w:eastAsia="宋体" w:cs="宋体"/>
                <w:spacing w:val="17"/>
                <w:sz w:val="20"/>
                <w:szCs w:val="20"/>
              </w:rPr>
              <w:t>施工监测</w:t>
            </w:r>
            <w:r>
              <w:rPr>
                <w:rFonts w:ascii="宋体" w:hAnsi="宋体" w:eastAsia="宋体" w:cs="宋体"/>
                <w:spacing w:val="-58"/>
                <w:sz w:val="20"/>
                <w:szCs w:val="20"/>
              </w:rPr>
              <w:t xml:space="preserve"> </w:t>
            </w:r>
            <w:r>
              <w:rPr>
                <w:rFonts w:ascii="宋体" w:hAnsi="宋体" w:eastAsia="宋体" w:cs="宋体"/>
                <w:spacing w:val="17"/>
                <w:sz w:val="20"/>
                <w:szCs w:val="20"/>
              </w:rPr>
              <w:t>、监控</w:t>
            </w:r>
          </w:p>
        </w:tc>
        <w:tc>
          <w:tcPr>
            <w:tcW w:w="464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0" w:line="230" w:lineRule="auto"/>
              <w:ind w:left="362"/>
              <w:rPr>
                <w:rFonts w:ascii="宋体" w:hAnsi="宋体" w:eastAsia="宋体" w:cs="宋体"/>
                <w:sz w:val="20"/>
                <w:szCs w:val="20"/>
              </w:rPr>
            </w:pPr>
            <w:r>
              <w:rPr>
                <w:rFonts w:ascii="宋体" w:hAnsi="宋体" w:eastAsia="宋体" w:cs="宋体"/>
                <w:spacing w:val="-10"/>
                <w:sz w:val="20"/>
                <w:szCs w:val="20"/>
              </w:rPr>
              <w:t>12</w:t>
            </w:r>
          </w:p>
        </w:tc>
        <w:tc>
          <w:tcPr>
            <w:tcW w:w="3906" w:type="dxa"/>
            <w:vAlign w:val="top"/>
          </w:tcPr>
          <w:p>
            <w:pPr>
              <w:spacing w:before="146" w:line="218" w:lineRule="auto"/>
              <w:ind w:left="114"/>
              <w:rPr>
                <w:rFonts w:ascii="宋体" w:hAnsi="宋体" w:eastAsia="宋体" w:cs="宋体"/>
                <w:sz w:val="20"/>
                <w:szCs w:val="20"/>
              </w:rPr>
            </w:pPr>
            <w:r>
              <w:rPr>
                <w:rFonts w:ascii="宋体" w:hAnsi="宋体" w:eastAsia="宋体" w:cs="宋体"/>
                <w:spacing w:val="23"/>
                <w:sz w:val="20"/>
                <w:szCs w:val="20"/>
              </w:rPr>
              <w:t>特殊地区施工增加</w:t>
            </w:r>
          </w:p>
        </w:tc>
        <w:tc>
          <w:tcPr>
            <w:tcW w:w="4646" w:type="dxa"/>
            <w:vAlign w:val="top"/>
          </w:tcPr>
          <w:p>
            <w:pPr>
              <w:spacing w:before="146" w:line="220" w:lineRule="auto"/>
              <w:ind w:left="117"/>
              <w:rPr>
                <w:rFonts w:ascii="宋体" w:hAnsi="宋体" w:eastAsia="宋体" w:cs="宋体"/>
                <w:sz w:val="20"/>
                <w:szCs w:val="20"/>
              </w:rPr>
            </w:pPr>
            <w:r>
              <w:rPr>
                <w:rFonts w:ascii="宋体" w:hAnsi="宋体" w:eastAsia="宋体" w:cs="宋体"/>
                <w:spacing w:val="23"/>
                <w:sz w:val="20"/>
                <w:szCs w:val="20"/>
              </w:rPr>
              <w:t>按施工组织设计计算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62"/>
              <w:rPr>
                <w:rFonts w:ascii="宋体" w:hAnsi="宋体" w:eastAsia="宋体" w:cs="宋体"/>
                <w:sz w:val="20"/>
                <w:szCs w:val="20"/>
              </w:rPr>
            </w:pPr>
            <w:r>
              <w:rPr>
                <w:rFonts w:ascii="宋体" w:hAnsi="宋体" w:eastAsia="宋体" w:cs="宋体"/>
                <w:spacing w:val="-10"/>
                <w:sz w:val="20"/>
                <w:szCs w:val="20"/>
              </w:rPr>
              <w:t>13</w:t>
            </w:r>
          </w:p>
        </w:tc>
        <w:tc>
          <w:tcPr>
            <w:tcW w:w="3906" w:type="dxa"/>
            <w:vAlign w:val="top"/>
          </w:tcPr>
          <w:p>
            <w:pPr>
              <w:spacing w:before="141" w:line="229" w:lineRule="auto"/>
              <w:ind w:left="130"/>
              <w:rPr>
                <w:rFonts w:ascii="宋体" w:hAnsi="宋体" w:eastAsia="宋体" w:cs="宋体"/>
                <w:sz w:val="20"/>
                <w:szCs w:val="20"/>
              </w:rPr>
            </w:pPr>
            <w:r>
              <w:rPr>
                <w:rFonts w:ascii="宋体" w:hAnsi="宋体" w:eastAsia="宋体" w:cs="宋体"/>
                <w:spacing w:val="14"/>
                <w:sz w:val="20"/>
                <w:szCs w:val="20"/>
              </w:rPr>
              <w:t>既有建（</w:t>
            </w:r>
            <w:r>
              <w:rPr>
                <w:rFonts w:ascii="宋体" w:hAnsi="宋体" w:eastAsia="宋体" w:cs="宋体"/>
                <w:spacing w:val="-46"/>
                <w:sz w:val="20"/>
                <w:szCs w:val="20"/>
              </w:rPr>
              <w:t xml:space="preserve"> </w:t>
            </w:r>
            <w:r>
              <w:rPr>
                <w:rFonts w:ascii="宋体" w:hAnsi="宋体" w:eastAsia="宋体" w:cs="宋体"/>
                <w:spacing w:val="14"/>
                <w:sz w:val="20"/>
                <w:szCs w:val="20"/>
              </w:rPr>
              <w:t>构</w:t>
            </w:r>
            <w:r>
              <w:rPr>
                <w:rFonts w:ascii="宋体" w:hAnsi="宋体" w:eastAsia="宋体" w:cs="宋体"/>
                <w:spacing w:val="-26"/>
                <w:sz w:val="20"/>
                <w:szCs w:val="20"/>
              </w:rPr>
              <w:t xml:space="preserve"> </w:t>
            </w:r>
            <w:r>
              <w:rPr>
                <w:rFonts w:ascii="宋体" w:hAnsi="宋体" w:eastAsia="宋体" w:cs="宋体"/>
                <w:spacing w:val="14"/>
                <w:sz w:val="20"/>
                <w:szCs w:val="20"/>
              </w:rPr>
              <w:t>）筑物、设施保护</w:t>
            </w:r>
          </w:p>
        </w:tc>
        <w:tc>
          <w:tcPr>
            <w:tcW w:w="4646" w:type="dxa"/>
            <w:vAlign w:val="top"/>
          </w:tcPr>
          <w:p>
            <w:pPr>
              <w:spacing w:before="146" w:line="220" w:lineRule="auto"/>
              <w:ind w:left="117"/>
              <w:rPr>
                <w:rFonts w:ascii="宋体" w:hAnsi="宋体" w:eastAsia="宋体" w:cs="宋体"/>
                <w:sz w:val="20"/>
                <w:szCs w:val="20"/>
              </w:rPr>
            </w:pPr>
            <w:r>
              <w:rPr>
                <w:rFonts w:ascii="宋体" w:hAnsi="宋体" w:eastAsia="宋体" w:cs="宋体"/>
                <w:spacing w:val="23"/>
                <w:sz w:val="20"/>
                <w:szCs w:val="20"/>
              </w:rPr>
              <w:t>按施工组织设计计算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62"/>
              <w:rPr>
                <w:rFonts w:ascii="宋体" w:hAnsi="宋体" w:eastAsia="宋体" w:cs="宋体"/>
                <w:sz w:val="20"/>
                <w:szCs w:val="20"/>
              </w:rPr>
            </w:pPr>
            <w:r>
              <w:rPr>
                <w:rFonts w:ascii="宋体" w:hAnsi="宋体" w:eastAsia="宋体" w:cs="宋体"/>
                <w:spacing w:val="-10"/>
                <w:sz w:val="20"/>
                <w:szCs w:val="20"/>
              </w:rPr>
              <w:t>14</w:t>
            </w:r>
          </w:p>
        </w:tc>
        <w:tc>
          <w:tcPr>
            <w:tcW w:w="3906" w:type="dxa"/>
            <w:vAlign w:val="top"/>
          </w:tcPr>
          <w:p>
            <w:pPr>
              <w:spacing w:before="150" w:line="215" w:lineRule="auto"/>
              <w:ind w:left="110"/>
              <w:rPr>
                <w:rFonts w:ascii="宋体" w:hAnsi="宋体" w:eastAsia="宋体" w:cs="宋体"/>
                <w:sz w:val="20"/>
                <w:szCs w:val="20"/>
              </w:rPr>
            </w:pPr>
            <w:r>
              <w:rPr>
                <w:rFonts w:ascii="宋体" w:hAnsi="宋体" w:eastAsia="宋体" w:cs="宋体"/>
                <w:spacing w:val="19"/>
                <w:sz w:val="20"/>
                <w:szCs w:val="20"/>
              </w:rPr>
              <w:t>施工围挡</w:t>
            </w:r>
          </w:p>
        </w:tc>
        <w:tc>
          <w:tcPr>
            <w:tcW w:w="4646" w:type="dxa"/>
            <w:vAlign w:val="top"/>
          </w:tcPr>
          <w:p>
            <w:pPr>
              <w:spacing w:before="145" w:line="223" w:lineRule="auto"/>
              <w:ind w:right="16"/>
              <w:jc w:val="right"/>
              <w:rPr>
                <w:rFonts w:ascii="宋体" w:hAnsi="宋体" w:eastAsia="宋体" w:cs="宋体"/>
                <w:sz w:val="20"/>
                <w:szCs w:val="20"/>
              </w:rPr>
            </w:pPr>
            <w:r>
              <w:rPr>
                <w:rFonts w:ascii="宋体" w:hAnsi="宋体" w:eastAsia="宋体" w:cs="宋体"/>
                <w:spacing w:val="25"/>
                <w:sz w:val="20"/>
                <w:szCs w:val="20"/>
              </w:rPr>
              <w:t>未包括在安全文明措施费中，可参照定额计算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0" w:line="230" w:lineRule="auto"/>
              <w:ind w:left="362"/>
              <w:rPr>
                <w:rFonts w:ascii="宋体" w:hAnsi="宋体" w:eastAsia="宋体" w:cs="宋体"/>
                <w:sz w:val="20"/>
                <w:szCs w:val="20"/>
              </w:rPr>
            </w:pPr>
            <w:r>
              <w:rPr>
                <w:rFonts w:ascii="宋体" w:hAnsi="宋体" w:eastAsia="宋体" w:cs="宋体"/>
                <w:spacing w:val="-10"/>
                <w:sz w:val="20"/>
                <w:szCs w:val="20"/>
              </w:rPr>
              <w:t>15</w:t>
            </w:r>
          </w:p>
        </w:tc>
        <w:tc>
          <w:tcPr>
            <w:tcW w:w="3906" w:type="dxa"/>
            <w:vAlign w:val="top"/>
          </w:tcPr>
          <w:p>
            <w:pPr>
              <w:spacing w:before="143" w:line="220" w:lineRule="auto"/>
              <w:ind w:left="117"/>
              <w:rPr>
                <w:rFonts w:ascii="宋体" w:hAnsi="宋体" w:eastAsia="宋体" w:cs="宋体"/>
                <w:sz w:val="20"/>
                <w:szCs w:val="20"/>
              </w:rPr>
            </w:pPr>
            <w:r>
              <w:rPr>
                <w:rFonts w:ascii="宋体" w:hAnsi="宋体" w:eastAsia="宋体" w:cs="宋体"/>
                <w:spacing w:val="22"/>
                <w:sz w:val="20"/>
                <w:szCs w:val="20"/>
              </w:rPr>
              <w:t>交通围护及疏导</w:t>
            </w:r>
          </w:p>
        </w:tc>
        <w:tc>
          <w:tcPr>
            <w:tcW w:w="4646" w:type="dxa"/>
            <w:vAlign w:val="top"/>
          </w:tcPr>
          <w:p>
            <w:pPr>
              <w:spacing w:before="146" w:line="217" w:lineRule="auto"/>
              <w:ind w:left="120"/>
              <w:rPr>
                <w:rFonts w:ascii="宋体" w:hAnsi="宋体" w:eastAsia="宋体" w:cs="宋体"/>
                <w:sz w:val="20"/>
                <w:szCs w:val="20"/>
              </w:rPr>
            </w:pPr>
            <w:r>
              <w:rPr>
                <w:rFonts w:ascii="宋体" w:hAnsi="宋体" w:eastAsia="宋体" w:cs="宋体"/>
                <w:spacing w:val="22"/>
                <w:sz w:val="20"/>
                <w:szCs w:val="20"/>
              </w:rPr>
              <w:t>见本节有关说明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0" w:line="230" w:lineRule="auto"/>
              <w:ind w:left="362"/>
              <w:rPr>
                <w:rFonts w:ascii="宋体" w:hAnsi="宋体" w:eastAsia="宋体" w:cs="宋体"/>
                <w:sz w:val="20"/>
                <w:szCs w:val="20"/>
              </w:rPr>
            </w:pPr>
            <w:r>
              <w:rPr>
                <w:rFonts w:ascii="宋体" w:hAnsi="宋体" w:eastAsia="宋体" w:cs="宋体"/>
                <w:spacing w:val="-10"/>
                <w:sz w:val="20"/>
                <w:szCs w:val="20"/>
              </w:rPr>
              <w:t>16</w:t>
            </w:r>
          </w:p>
        </w:tc>
        <w:tc>
          <w:tcPr>
            <w:tcW w:w="3906" w:type="dxa"/>
            <w:vAlign w:val="top"/>
          </w:tcPr>
          <w:p>
            <w:pPr>
              <w:spacing w:before="146" w:line="219" w:lineRule="auto"/>
              <w:ind w:left="121"/>
              <w:rPr>
                <w:rFonts w:ascii="宋体" w:hAnsi="宋体" w:eastAsia="宋体" w:cs="宋体"/>
                <w:sz w:val="20"/>
                <w:szCs w:val="20"/>
              </w:rPr>
            </w:pPr>
            <w:r>
              <w:rPr>
                <w:rFonts w:ascii="宋体" w:hAnsi="宋体" w:eastAsia="宋体" w:cs="宋体"/>
                <w:spacing w:val="21"/>
                <w:sz w:val="20"/>
                <w:szCs w:val="20"/>
              </w:rPr>
              <w:t>市政工程定位复测</w:t>
            </w:r>
          </w:p>
        </w:tc>
        <w:tc>
          <w:tcPr>
            <w:tcW w:w="4646" w:type="dxa"/>
            <w:vAlign w:val="top"/>
          </w:tcPr>
          <w:p>
            <w:pPr>
              <w:spacing w:before="143" w:line="223" w:lineRule="auto"/>
              <w:ind w:left="116"/>
              <w:rPr>
                <w:rFonts w:ascii="宋体" w:hAnsi="宋体" w:eastAsia="宋体" w:cs="宋体"/>
                <w:sz w:val="20"/>
                <w:szCs w:val="20"/>
              </w:rPr>
            </w:pPr>
            <w:r>
              <w:rPr>
                <w:rFonts w:ascii="宋体" w:hAnsi="宋体" w:eastAsia="宋体" w:cs="宋体"/>
                <w:spacing w:val="21"/>
                <w:sz w:val="20"/>
                <w:szCs w:val="20"/>
              </w:rPr>
              <w:t>参照费率计算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62"/>
              <w:rPr>
                <w:rFonts w:ascii="宋体" w:hAnsi="宋体" w:eastAsia="宋体" w:cs="宋体"/>
                <w:sz w:val="20"/>
                <w:szCs w:val="20"/>
              </w:rPr>
            </w:pPr>
            <w:r>
              <w:rPr>
                <w:rFonts w:ascii="宋体" w:hAnsi="宋体" w:eastAsia="宋体" w:cs="宋体"/>
                <w:spacing w:val="-10"/>
                <w:sz w:val="20"/>
                <w:szCs w:val="20"/>
              </w:rPr>
              <w:t>17</w:t>
            </w:r>
          </w:p>
        </w:tc>
        <w:tc>
          <w:tcPr>
            <w:tcW w:w="3906" w:type="dxa"/>
            <w:vAlign w:val="top"/>
          </w:tcPr>
          <w:p>
            <w:pPr>
              <w:spacing w:before="145" w:line="223" w:lineRule="auto"/>
              <w:ind w:left="121"/>
              <w:rPr>
                <w:rFonts w:ascii="宋体" w:hAnsi="宋体" w:eastAsia="宋体" w:cs="宋体"/>
                <w:sz w:val="20"/>
                <w:szCs w:val="20"/>
              </w:rPr>
            </w:pPr>
            <w:r>
              <w:rPr>
                <w:rFonts w:ascii="宋体" w:hAnsi="宋体" w:eastAsia="宋体" w:cs="宋体"/>
                <w:spacing w:val="23"/>
                <w:sz w:val="20"/>
                <w:szCs w:val="20"/>
              </w:rPr>
              <w:t>市政工程智慧工地建设</w:t>
            </w:r>
          </w:p>
        </w:tc>
        <w:tc>
          <w:tcPr>
            <w:tcW w:w="4646" w:type="dxa"/>
            <w:vAlign w:val="top"/>
          </w:tcPr>
          <w:p>
            <w:pPr>
              <w:spacing w:before="144" w:line="223" w:lineRule="auto"/>
              <w:ind w:left="116"/>
              <w:rPr>
                <w:rFonts w:ascii="宋体" w:hAnsi="宋体" w:eastAsia="宋体" w:cs="宋体"/>
                <w:sz w:val="20"/>
                <w:szCs w:val="20"/>
              </w:rPr>
            </w:pPr>
            <w:r>
              <w:rPr>
                <w:rFonts w:ascii="宋体" w:hAnsi="宋体" w:eastAsia="宋体" w:cs="宋体"/>
                <w:spacing w:val="21"/>
                <w:sz w:val="20"/>
                <w:szCs w:val="20"/>
              </w:rPr>
              <w:t>参照费率计算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9" w:hRule="atLeast"/>
        </w:trPr>
        <w:tc>
          <w:tcPr>
            <w:tcW w:w="851" w:type="dxa"/>
            <w:vAlign w:val="top"/>
          </w:tcPr>
          <w:p>
            <w:pPr>
              <w:spacing w:before="130" w:line="300" w:lineRule="exact"/>
              <w:ind w:left="362"/>
              <w:rPr>
                <w:rFonts w:ascii="宋体" w:hAnsi="宋体" w:eastAsia="宋体" w:cs="宋体"/>
                <w:sz w:val="20"/>
                <w:szCs w:val="20"/>
              </w:rPr>
            </w:pPr>
            <w:r>
              <w:rPr>
                <w:rFonts w:ascii="宋体" w:hAnsi="宋体" w:eastAsia="宋体" w:cs="宋体"/>
                <w:spacing w:val="-10"/>
                <w:position w:val="2"/>
                <w:sz w:val="20"/>
                <w:szCs w:val="20"/>
              </w:rPr>
              <w:t>18</w:t>
            </w:r>
          </w:p>
        </w:tc>
        <w:tc>
          <w:tcPr>
            <w:tcW w:w="3906" w:type="dxa"/>
            <w:vAlign w:val="top"/>
          </w:tcPr>
          <w:p>
            <w:pPr>
              <w:spacing w:before="145" w:line="222" w:lineRule="auto"/>
              <w:ind w:left="111"/>
              <w:rPr>
                <w:rFonts w:ascii="宋体" w:hAnsi="宋体" w:eastAsia="宋体" w:cs="宋体"/>
                <w:sz w:val="20"/>
                <w:szCs w:val="20"/>
              </w:rPr>
            </w:pPr>
            <w:r>
              <w:rPr>
                <w:rFonts w:ascii="宋体" w:hAnsi="宋体" w:eastAsia="宋体" w:cs="宋体"/>
                <w:spacing w:val="18"/>
                <w:sz w:val="20"/>
                <w:szCs w:val="20"/>
              </w:rPr>
              <w:t>其他措施项</w:t>
            </w:r>
            <w:r>
              <w:rPr>
                <w:rFonts w:ascii="宋体" w:hAnsi="宋体" w:eastAsia="宋体" w:cs="宋体"/>
                <w:spacing w:val="-38"/>
                <w:sz w:val="20"/>
                <w:szCs w:val="20"/>
              </w:rPr>
              <w:t xml:space="preserve"> </w:t>
            </w:r>
            <w:r>
              <w:rPr>
                <w:rFonts w:ascii="宋体" w:hAnsi="宋体" w:eastAsia="宋体" w:cs="宋体"/>
                <w:spacing w:val="18"/>
                <w:sz w:val="20"/>
                <w:szCs w:val="20"/>
              </w:rPr>
              <w:t>目</w:t>
            </w:r>
          </w:p>
        </w:tc>
        <w:tc>
          <w:tcPr>
            <w:tcW w:w="4646" w:type="dxa"/>
            <w:vAlign w:val="top"/>
          </w:tcPr>
          <w:p>
            <w:pPr>
              <w:spacing w:before="147" w:line="296" w:lineRule="auto"/>
              <w:ind w:left="119" w:right="120" w:hanging="2"/>
              <w:rPr>
                <w:rFonts w:ascii="宋体" w:hAnsi="宋体" w:eastAsia="宋体" w:cs="宋体"/>
                <w:sz w:val="20"/>
                <w:szCs w:val="20"/>
              </w:rPr>
            </w:pPr>
            <w:r>
              <w:rPr>
                <w:rFonts w:ascii="宋体" w:hAnsi="宋体" w:eastAsia="宋体" w:cs="宋体"/>
                <w:spacing w:val="20"/>
                <w:sz w:val="20"/>
                <w:szCs w:val="20"/>
              </w:rPr>
              <w:t>包括水处理工程顶板满堂式钢管支架、地下管</w:t>
            </w:r>
            <w:r>
              <w:rPr>
                <w:rFonts w:ascii="宋体" w:hAnsi="宋体" w:eastAsia="宋体" w:cs="宋体"/>
                <w:spacing w:val="23"/>
                <w:sz w:val="20"/>
                <w:szCs w:val="20"/>
              </w:rPr>
              <w:t>廊工程顶板满堂式钢管支架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9403" w:type="dxa"/>
            <w:gridSpan w:val="3"/>
            <w:vAlign w:val="top"/>
          </w:tcPr>
          <w:p>
            <w:pPr>
              <w:spacing w:before="149" w:line="216" w:lineRule="auto"/>
              <w:ind w:left="4088"/>
              <w:rPr>
                <w:rFonts w:ascii="宋体" w:hAnsi="宋体" w:eastAsia="宋体" w:cs="宋体"/>
                <w:sz w:val="20"/>
                <w:szCs w:val="20"/>
              </w:rPr>
            </w:pPr>
            <w:r>
              <w:rPr>
                <w:rFonts w:ascii="宋体" w:hAnsi="宋体" w:eastAsia="宋体" w:cs="宋体"/>
                <w:spacing w:val="15"/>
                <w:sz w:val="20"/>
                <w:szCs w:val="20"/>
              </w:rPr>
              <w:t>通用措施项目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3" w:line="228" w:lineRule="auto"/>
              <w:ind w:left="415"/>
              <w:rPr>
                <w:rFonts w:ascii="宋体" w:hAnsi="宋体" w:eastAsia="宋体" w:cs="宋体"/>
                <w:sz w:val="20"/>
                <w:szCs w:val="20"/>
              </w:rPr>
            </w:pPr>
            <w:r>
              <w:rPr>
                <w:rFonts w:ascii="宋体" w:hAnsi="宋体" w:eastAsia="宋体" w:cs="宋体"/>
                <w:sz w:val="20"/>
                <w:szCs w:val="20"/>
              </w:rPr>
              <w:t>1</w:t>
            </w:r>
          </w:p>
        </w:tc>
        <w:tc>
          <w:tcPr>
            <w:tcW w:w="3906" w:type="dxa"/>
            <w:vAlign w:val="top"/>
          </w:tcPr>
          <w:p>
            <w:pPr>
              <w:spacing w:before="148" w:line="220" w:lineRule="auto"/>
              <w:ind w:left="117"/>
              <w:rPr>
                <w:rFonts w:ascii="宋体" w:hAnsi="宋体" w:eastAsia="宋体" w:cs="宋体"/>
                <w:sz w:val="20"/>
                <w:szCs w:val="20"/>
              </w:rPr>
            </w:pPr>
            <w:r>
              <w:rPr>
                <w:rFonts w:ascii="宋体" w:hAnsi="宋体" w:eastAsia="宋体" w:cs="宋体"/>
                <w:spacing w:val="22"/>
                <w:sz w:val="20"/>
                <w:szCs w:val="20"/>
              </w:rPr>
              <w:t>夜间施工增加费</w:t>
            </w:r>
          </w:p>
        </w:tc>
        <w:tc>
          <w:tcPr>
            <w:tcW w:w="4646" w:type="dxa"/>
            <w:vMerge w:val="restart"/>
            <w:tcBorders>
              <w:bottom w:val="nil"/>
            </w:tcBorders>
            <w:vAlign w:val="top"/>
          </w:tcPr>
          <w:p>
            <w:pPr>
              <w:pStyle w:val="6"/>
              <w:spacing w:line="476" w:lineRule="auto"/>
            </w:pPr>
          </w:p>
          <w:p>
            <w:pPr>
              <w:spacing w:before="65" w:line="223" w:lineRule="auto"/>
              <w:ind w:left="116"/>
              <w:rPr>
                <w:rFonts w:ascii="宋体" w:hAnsi="宋体" w:eastAsia="宋体" w:cs="宋体"/>
                <w:sz w:val="20"/>
                <w:szCs w:val="20"/>
              </w:rPr>
            </w:pPr>
            <w:r>
              <w:rPr>
                <w:rFonts w:ascii="宋体" w:hAnsi="宋体" w:eastAsia="宋体" w:cs="宋体"/>
                <w:spacing w:val="22"/>
                <w:sz w:val="20"/>
                <w:szCs w:val="20"/>
              </w:rPr>
              <w:t>参照相应费率计算</w:t>
            </w:r>
            <w:r>
              <w:rPr>
                <w:rFonts w:ascii="宋体" w:hAnsi="宋体" w:eastAsia="宋体" w:cs="宋体"/>
                <w:spacing w:val="-45"/>
                <w:sz w:val="20"/>
                <w:szCs w:val="20"/>
              </w:rPr>
              <w:t xml:space="preserve"> </w:t>
            </w:r>
            <w:r>
              <w:rPr>
                <w:rFonts w:ascii="宋体" w:hAnsi="宋体" w:eastAsia="宋体" w:cs="宋体"/>
                <w:spacing w:val="22"/>
                <w:sz w:val="20"/>
                <w:szCs w:val="20"/>
              </w:rPr>
              <w:t>，包干使用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4" w:line="227" w:lineRule="auto"/>
              <w:ind w:left="384"/>
              <w:rPr>
                <w:rFonts w:ascii="宋体" w:hAnsi="宋体" w:eastAsia="宋体" w:cs="宋体"/>
                <w:sz w:val="20"/>
                <w:szCs w:val="20"/>
              </w:rPr>
            </w:pPr>
            <w:r>
              <w:rPr>
                <w:rFonts w:ascii="宋体" w:hAnsi="宋体" w:eastAsia="宋体" w:cs="宋体"/>
                <w:sz w:val="20"/>
                <w:szCs w:val="20"/>
              </w:rPr>
              <w:t>2</w:t>
            </w:r>
          </w:p>
        </w:tc>
        <w:tc>
          <w:tcPr>
            <w:tcW w:w="3906" w:type="dxa"/>
            <w:vAlign w:val="top"/>
          </w:tcPr>
          <w:p>
            <w:pPr>
              <w:spacing w:before="150" w:line="219" w:lineRule="auto"/>
              <w:ind w:left="117"/>
              <w:rPr>
                <w:rFonts w:ascii="宋体" w:hAnsi="宋体" w:eastAsia="宋体" w:cs="宋体"/>
                <w:sz w:val="20"/>
                <w:szCs w:val="20"/>
              </w:rPr>
            </w:pPr>
            <w:r>
              <w:rPr>
                <w:rFonts w:ascii="宋体" w:hAnsi="宋体" w:eastAsia="宋体" w:cs="宋体"/>
                <w:spacing w:val="19"/>
                <w:sz w:val="20"/>
                <w:szCs w:val="20"/>
              </w:rPr>
              <w:t>二次搬运费</w:t>
            </w:r>
          </w:p>
        </w:tc>
        <w:tc>
          <w:tcPr>
            <w:tcW w:w="464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89"/>
              <w:rPr>
                <w:rFonts w:ascii="宋体" w:hAnsi="宋体" w:eastAsia="宋体" w:cs="宋体"/>
                <w:sz w:val="20"/>
                <w:szCs w:val="20"/>
              </w:rPr>
            </w:pPr>
            <w:r>
              <w:rPr>
                <w:rFonts w:ascii="宋体" w:hAnsi="宋体" w:eastAsia="宋体" w:cs="宋体"/>
                <w:sz w:val="20"/>
                <w:szCs w:val="20"/>
              </w:rPr>
              <w:t>3</w:t>
            </w:r>
          </w:p>
        </w:tc>
        <w:tc>
          <w:tcPr>
            <w:tcW w:w="3906" w:type="dxa"/>
            <w:vAlign w:val="top"/>
          </w:tcPr>
          <w:p>
            <w:pPr>
              <w:spacing w:before="147" w:line="220" w:lineRule="auto"/>
              <w:ind w:left="119"/>
              <w:rPr>
                <w:rFonts w:ascii="宋体" w:hAnsi="宋体" w:eastAsia="宋体" w:cs="宋体"/>
                <w:sz w:val="20"/>
                <w:szCs w:val="20"/>
              </w:rPr>
            </w:pPr>
            <w:r>
              <w:rPr>
                <w:rFonts w:ascii="宋体" w:hAnsi="宋体" w:eastAsia="宋体" w:cs="宋体"/>
                <w:spacing w:val="23"/>
                <w:sz w:val="20"/>
                <w:szCs w:val="20"/>
              </w:rPr>
              <w:t>冬雨季施工增加费</w:t>
            </w:r>
          </w:p>
        </w:tc>
        <w:tc>
          <w:tcPr>
            <w:tcW w:w="464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78"/>
              <w:rPr>
                <w:rFonts w:ascii="宋体" w:hAnsi="宋体" w:eastAsia="宋体" w:cs="宋体"/>
                <w:sz w:val="20"/>
                <w:szCs w:val="20"/>
              </w:rPr>
            </w:pPr>
            <w:r>
              <w:rPr>
                <w:rFonts w:ascii="宋体" w:hAnsi="宋体" w:eastAsia="宋体" w:cs="宋体"/>
                <w:spacing w:val="1"/>
                <w:sz w:val="20"/>
                <w:szCs w:val="20"/>
              </w:rPr>
              <w:t>4</w:t>
            </w:r>
          </w:p>
        </w:tc>
        <w:tc>
          <w:tcPr>
            <w:tcW w:w="3906" w:type="dxa"/>
            <w:vAlign w:val="top"/>
          </w:tcPr>
          <w:p>
            <w:pPr>
              <w:spacing w:before="146" w:line="222" w:lineRule="auto"/>
              <w:ind w:left="153"/>
              <w:rPr>
                <w:rFonts w:ascii="宋体" w:hAnsi="宋体" w:eastAsia="宋体" w:cs="宋体"/>
                <w:sz w:val="20"/>
                <w:szCs w:val="20"/>
              </w:rPr>
            </w:pPr>
            <w:r>
              <w:rPr>
                <w:rFonts w:ascii="宋体" w:hAnsi="宋体" w:eastAsia="宋体" w:cs="宋体"/>
                <w:spacing w:val="18"/>
                <w:sz w:val="20"/>
                <w:szCs w:val="20"/>
              </w:rPr>
              <w:t>已完工程及设备保护费</w:t>
            </w:r>
          </w:p>
        </w:tc>
        <w:tc>
          <w:tcPr>
            <w:tcW w:w="4646" w:type="dxa"/>
            <w:vMerge w:val="continue"/>
            <w:tcBorders>
              <w:top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9403" w:type="dxa"/>
            <w:gridSpan w:val="3"/>
            <w:vAlign w:val="top"/>
          </w:tcPr>
          <w:p>
            <w:pPr>
              <w:spacing w:before="149" w:line="219" w:lineRule="auto"/>
              <w:ind w:left="3985"/>
              <w:rPr>
                <w:rFonts w:ascii="宋体" w:hAnsi="宋体" w:eastAsia="宋体" w:cs="宋体"/>
                <w:sz w:val="20"/>
                <w:szCs w:val="20"/>
              </w:rPr>
            </w:pPr>
            <w:r>
              <w:rPr>
                <w:rFonts w:ascii="宋体" w:hAnsi="宋体" w:eastAsia="宋体" w:cs="宋体"/>
                <w:spacing w:val="21"/>
                <w:sz w:val="20"/>
                <w:szCs w:val="20"/>
              </w:rPr>
              <w:t>安全文明措施费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4" w:line="227" w:lineRule="auto"/>
              <w:ind w:left="415"/>
              <w:rPr>
                <w:rFonts w:ascii="宋体" w:hAnsi="宋体" w:eastAsia="宋体" w:cs="宋体"/>
                <w:sz w:val="20"/>
                <w:szCs w:val="20"/>
              </w:rPr>
            </w:pPr>
            <w:r>
              <w:rPr>
                <w:rFonts w:ascii="宋体" w:hAnsi="宋体" w:eastAsia="宋体" w:cs="宋体"/>
                <w:sz w:val="20"/>
                <w:szCs w:val="20"/>
              </w:rPr>
              <w:t>1</w:t>
            </w:r>
          </w:p>
        </w:tc>
        <w:tc>
          <w:tcPr>
            <w:tcW w:w="3906" w:type="dxa"/>
            <w:vAlign w:val="top"/>
          </w:tcPr>
          <w:p>
            <w:pPr>
              <w:spacing w:before="151" w:line="219" w:lineRule="auto"/>
              <w:ind w:left="117"/>
              <w:rPr>
                <w:rFonts w:ascii="宋体" w:hAnsi="宋体" w:eastAsia="宋体" w:cs="宋体"/>
                <w:sz w:val="20"/>
                <w:szCs w:val="20"/>
              </w:rPr>
            </w:pPr>
            <w:r>
              <w:rPr>
                <w:rFonts w:ascii="宋体" w:hAnsi="宋体" w:eastAsia="宋体" w:cs="宋体"/>
                <w:spacing w:val="19"/>
                <w:sz w:val="20"/>
                <w:szCs w:val="20"/>
              </w:rPr>
              <w:t>安全施工费</w:t>
            </w:r>
          </w:p>
        </w:tc>
        <w:tc>
          <w:tcPr>
            <w:tcW w:w="4646" w:type="dxa"/>
            <w:vMerge w:val="restart"/>
            <w:tcBorders>
              <w:bottom w:val="nil"/>
            </w:tcBorders>
            <w:vAlign w:val="top"/>
          </w:tcPr>
          <w:p>
            <w:pPr>
              <w:pStyle w:val="6"/>
              <w:spacing w:line="477" w:lineRule="auto"/>
            </w:pPr>
          </w:p>
          <w:p>
            <w:pPr>
              <w:spacing w:before="65" w:line="223" w:lineRule="auto"/>
              <w:ind w:left="117"/>
              <w:rPr>
                <w:rFonts w:ascii="宋体" w:hAnsi="宋体" w:eastAsia="宋体" w:cs="宋体"/>
                <w:sz w:val="20"/>
                <w:szCs w:val="20"/>
              </w:rPr>
            </w:pPr>
            <w:r>
              <w:rPr>
                <w:rFonts w:ascii="宋体" w:hAnsi="宋体" w:eastAsia="宋体" w:cs="宋体"/>
                <w:spacing w:val="23"/>
                <w:sz w:val="20"/>
                <w:szCs w:val="20"/>
              </w:rPr>
              <w:t>按相关规定计算</w:t>
            </w:r>
            <w:r>
              <w:rPr>
                <w:rFonts w:ascii="宋体" w:hAnsi="宋体" w:eastAsia="宋体" w:cs="宋体"/>
                <w:spacing w:val="-34"/>
                <w:sz w:val="20"/>
                <w:szCs w:val="20"/>
              </w:rPr>
              <w:t xml:space="preserve"> </w:t>
            </w:r>
            <w:r>
              <w:rPr>
                <w:rFonts w:ascii="宋体" w:hAnsi="宋体" w:eastAsia="宋体" w:cs="宋体"/>
                <w:spacing w:val="23"/>
                <w:sz w:val="20"/>
                <w:szCs w:val="20"/>
              </w:rPr>
              <w:t>，费率不得低于规定费率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84"/>
              <w:rPr>
                <w:rFonts w:ascii="宋体" w:hAnsi="宋体" w:eastAsia="宋体" w:cs="宋体"/>
                <w:sz w:val="20"/>
                <w:szCs w:val="20"/>
              </w:rPr>
            </w:pPr>
            <w:r>
              <w:rPr>
                <w:rFonts w:ascii="宋体" w:hAnsi="宋体" w:eastAsia="宋体" w:cs="宋体"/>
                <w:sz w:val="20"/>
                <w:szCs w:val="20"/>
              </w:rPr>
              <w:t>2</w:t>
            </w:r>
          </w:p>
        </w:tc>
        <w:tc>
          <w:tcPr>
            <w:tcW w:w="3906" w:type="dxa"/>
            <w:vAlign w:val="top"/>
          </w:tcPr>
          <w:p>
            <w:pPr>
              <w:spacing w:before="146" w:line="222" w:lineRule="auto"/>
              <w:ind w:left="113"/>
              <w:rPr>
                <w:rFonts w:ascii="宋体" w:hAnsi="宋体" w:eastAsia="宋体" w:cs="宋体"/>
                <w:sz w:val="20"/>
                <w:szCs w:val="20"/>
              </w:rPr>
            </w:pPr>
            <w:r>
              <w:rPr>
                <w:rFonts w:ascii="宋体" w:hAnsi="宋体" w:eastAsia="宋体" w:cs="宋体"/>
                <w:spacing w:val="21"/>
                <w:sz w:val="20"/>
                <w:szCs w:val="20"/>
              </w:rPr>
              <w:t>环境保护费</w:t>
            </w:r>
          </w:p>
        </w:tc>
        <w:tc>
          <w:tcPr>
            <w:tcW w:w="464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0" w:hRule="atLeast"/>
        </w:trPr>
        <w:tc>
          <w:tcPr>
            <w:tcW w:w="851" w:type="dxa"/>
            <w:vAlign w:val="top"/>
          </w:tcPr>
          <w:p>
            <w:pPr>
              <w:spacing w:before="141" w:line="229" w:lineRule="auto"/>
              <w:ind w:left="389"/>
              <w:rPr>
                <w:rFonts w:ascii="宋体" w:hAnsi="宋体" w:eastAsia="宋体" w:cs="宋体"/>
                <w:sz w:val="20"/>
                <w:szCs w:val="20"/>
              </w:rPr>
            </w:pPr>
            <w:r>
              <w:rPr>
                <w:rFonts w:ascii="宋体" w:hAnsi="宋体" w:eastAsia="宋体" w:cs="宋体"/>
                <w:sz w:val="20"/>
                <w:szCs w:val="20"/>
              </w:rPr>
              <w:t>3</w:t>
            </w:r>
          </w:p>
        </w:tc>
        <w:tc>
          <w:tcPr>
            <w:tcW w:w="3906" w:type="dxa"/>
            <w:vAlign w:val="top"/>
          </w:tcPr>
          <w:p>
            <w:pPr>
              <w:spacing w:before="149" w:line="219" w:lineRule="auto"/>
              <w:ind w:left="117"/>
              <w:rPr>
                <w:rFonts w:ascii="宋体" w:hAnsi="宋体" w:eastAsia="宋体" w:cs="宋体"/>
                <w:sz w:val="20"/>
                <w:szCs w:val="20"/>
              </w:rPr>
            </w:pPr>
            <w:r>
              <w:rPr>
                <w:rFonts w:ascii="宋体" w:hAnsi="宋体" w:eastAsia="宋体" w:cs="宋体"/>
                <w:spacing w:val="19"/>
                <w:sz w:val="20"/>
                <w:szCs w:val="20"/>
              </w:rPr>
              <w:t>文明施工费</w:t>
            </w:r>
          </w:p>
        </w:tc>
        <w:tc>
          <w:tcPr>
            <w:tcW w:w="464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2" w:hRule="atLeast"/>
        </w:trPr>
        <w:tc>
          <w:tcPr>
            <w:tcW w:w="851" w:type="dxa"/>
            <w:vAlign w:val="top"/>
          </w:tcPr>
          <w:p>
            <w:pPr>
              <w:spacing w:before="142" w:line="230" w:lineRule="auto"/>
              <w:ind w:left="378"/>
              <w:rPr>
                <w:rFonts w:ascii="宋体" w:hAnsi="宋体" w:eastAsia="宋体" w:cs="宋体"/>
                <w:sz w:val="20"/>
                <w:szCs w:val="20"/>
              </w:rPr>
            </w:pPr>
            <w:r>
              <w:rPr>
                <w:rFonts w:ascii="宋体" w:hAnsi="宋体" w:eastAsia="宋体" w:cs="宋体"/>
                <w:spacing w:val="1"/>
                <w:sz w:val="20"/>
                <w:szCs w:val="20"/>
              </w:rPr>
              <w:t>4</w:t>
            </w:r>
          </w:p>
        </w:tc>
        <w:tc>
          <w:tcPr>
            <w:tcW w:w="3906" w:type="dxa"/>
            <w:vAlign w:val="top"/>
          </w:tcPr>
          <w:p>
            <w:pPr>
              <w:spacing w:before="149" w:line="219" w:lineRule="auto"/>
              <w:ind w:left="136"/>
              <w:rPr>
                <w:rFonts w:ascii="宋体" w:hAnsi="宋体" w:eastAsia="宋体" w:cs="宋体"/>
                <w:sz w:val="20"/>
                <w:szCs w:val="20"/>
              </w:rPr>
            </w:pPr>
            <w:r>
              <w:rPr>
                <w:rFonts w:ascii="宋体" w:hAnsi="宋体" w:eastAsia="宋体" w:cs="宋体"/>
                <w:spacing w:val="14"/>
                <w:sz w:val="20"/>
                <w:szCs w:val="20"/>
              </w:rPr>
              <w:t>临时设施费</w:t>
            </w:r>
          </w:p>
        </w:tc>
        <w:tc>
          <w:tcPr>
            <w:tcW w:w="4646" w:type="dxa"/>
            <w:vMerge w:val="continue"/>
            <w:tcBorders>
              <w:top w:val="nil"/>
            </w:tcBorders>
            <w:vAlign w:val="top"/>
          </w:tcPr>
          <w:p>
            <w:pPr>
              <w:pStyle w:val="6"/>
            </w:pPr>
          </w:p>
        </w:tc>
      </w:tr>
    </w:tbl>
    <w:p>
      <w:pPr>
        <w:spacing w:line="132" w:lineRule="exact"/>
        <w:rPr>
          <w:rFonts w:ascii="Arial"/>
          <w:sz w:val="11"/>
        </w:rPr>
      </w:pPr>
    </w:p>
    <w:p>
      <w:pPr>
        <w:spacing w:line="132" w:lineRule="exact"/>
        <w:rPr>
          <w:rFonts w:ascii="Arial" w:hAnsi="Arial" w:eastAsia="Arial" w:cs="Arial"/>
          <w:sz w:val="11"/>
          <w:szCs w:val="11"/>
        </w:rPr>
        <w:sectPr>
          <w:footerReference r:id="rId254" w:type="default"/>
          <w:pgSz w:w="11906" w:h="16839"/>
          <w:pgMar w:top="400" w:right="1080"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42"/>
        <w:rPr>
          <w:rFonts w:ascii="宋体" w:hAnsi="宋体" w:eastAsia="宋体" w:cs="宋体"/>
          <w:sz w:val="20"/>
          <w:szCs w:val="20"/>
        </w:rPr>
      </w:pPr>
      <w:bookmarkStart w:id="132" w:name="bookmark175"/>
      <w:bookmarkEnd w:id="132"/>
      <w:r>
        <w:rPr>
          <w:rFonts w:ascii="宋体" w:hAnsi="宋体" w:eastAsia="宋体" w:cs="宋体"/>
          <w:spacing w:val="13"/>
          <w:position w:val="1"/>
          <w:sz w:val="20"/>
          <w:szCs w:val="20"/>
        </w:rPr>
        <w:t>其他说明：</w:t>
      </w:r>
    </w:p>
    <w:p>
      <w:pPr>
        <w:spacing w:before="123" w:line="365" w:lineRule="auto"/>
        <w:ind w:right="157" w:firstLine="471"/>
        <w:rPr>
          <w:rFonts w:ascii="宋体" w:hAnsi="宋体" w:eastAsia="宋体" w:cs="宋体"/>
          <w:sz w:val="20"/>
          <w:szCs w:val="20"/>
        </w:rPr>
      </w:pPr>
      <w:r>
        <w:rPr>
          <w:rFonts w:ascii="宋体" w:hAnsi="宋体" w:eastAsia="宋体" w:cs="宋体"/>
          <w:spacing w:val="24"/>
          <w:sz w:val="20"/>
          <w:szCs w:val="20"/>
        </w:rPr>
        <w:t>根据</w:t>
      </w:r>
      <w:r>
        <w:rPr>
          <w:rFonts w:ascii="宋体" w:hAnsi="宋体" w:eastAsia="宋体" w:cs="宋体"/>
          <w:spacing w:val="-7"/>
          <w:sz w:val="20"/>
          <w:szCs w:val="20"/>
        </w:rPr>
        <w:t xml:space="preserve"> </w:t>
      </w:r>
      <w:r>
        <w:rPr>
          <w:rFonts w:ascii="宋体" w:hAnsi="宋体" w:eastAsia="宋体" w:cs="宋体"/>
          <w:sz w:val="20"/>
          <w:szCs w:val="20"/>
        </w:rPr>
        <w:t>GB</w:t>
      </w:r>
      <w:r>
        <w:rPr>
          <w:rFonts w:ascii="宋体" w:hAnsi="宋体" w:eastAsia="宋体" w:cs="宋体"/>
          <w:spacing w:val="24"/>
          <w:sz w:val="20"/>
          <w:szCs w:val="20"/>
        </w:rPr>
        <w:t>/T50857-2024《</w:t>
      </w:r>
      <w:r>
        <w:rPr>
          <w:rFonts w:ascii="宋体" w:hAnsi="宋体" w:eastAsia="宋体" w:cs="宋体"/>
          <w:spacing w:val="-33"/>
          <w:sz w:val="20"/>
          <w:szCs w:val="20"/>
        </w:rPr>
        <w:t xml:space="preserve"> </w:t>
      </w:r>
      <w:r>
        <w:rPr>
          <w:rFonts w:ascii="宋体" w:hAnsi="宋体" w:eastAsia="宋体" w:cs="宋体"/>
          <w:spacing w:val="24"/>
          <w:sz w:val="20"/>
          <w:szCs w:val="20"/>
        </w:rPr>
        <w:t>市政工程工程量计算标准</w:t>
      </w:r>
      <w:r>
        <w:rPr>
          <w:rFonts w:ascii="宋体" w:hAnsi="宋体" w:eastAsia="宋体" w:cs="宋体"/>
          <w:spacing w:val="-39"/>
          <w:sz w:val="20"/>
          <w:szCs w:val="20"/>
        </w:rPr>
        <w:t xml:space="preserve"> </w:t>
      </w:r>
      <w:r>
        <w:rPr>
          <w:rFonts w:ascii="宋体" w:hAnsi="宋体" w:eastAsia="宋体" w:cs="宋体"/>
          <w:spacing w:val="24"/>
          <w:sz w:val="20"/>
          <w:szCs w:val="20"/>
        </w:rPr>
        <w:t>》规定</w:t>
      </w:r>
      <w:r>
        <w:rPr>
          <w:rFonts w:ascii="宋体" w:hAnsi="宋体" w:eastAsia="宋体" w:cs="宋体"/>
          <w:spacing w:val="-40"/>
          <w:sz w:val="20"/>
          <w:szCs w:val="20"/>
        </w:rPr>
        <w:t xml:space="preserve"> </w:t>
      </w:r>
      <w:r>
        <w:rPr>
          <w:rFonts w:ascii="宋体" w:hAnsi="宋体" w:eastAsia="宋体" w:cs="宋体"/>
          <w:spacing w:val="24"/>
          <w:sz w:val="20"/>
          <w:szCs w:val="20"/>
        </w:rPr>
        <w:t>，混凝土模</w:t>
      </w:r>
      <w:r>
        <w:rPr>
          <w:rFonts w:ascii="宋体" w:hAnsi="宋体" w:eastAsia="宋体" w:cs="宋体"/>
          <w:spacing w:val="23"/>
          <w:sz w:val="20"/>
          <w:szCs w:val="20"/>
        </w:rPr>
        <w:t>板包含在相应混</w:t>
      </w:r>
      <w:r>
        <w:rPr>
          <w:rFonts w:ascii="宋体" w:hAnsi="宋体" w:eastAsia="宋体" w:cs="宋体"/>
          <w:spacing w:val="27"/>
          <w:sz w:val="20"/>
          <w:szCs w:val="20"/>
        </w:rPr>
        <w:t>凝土构件工作内容中</w:t>
      </w:r>
      <w:r>
        <w:rPr>
          <w:rFonts w:ascii="宋体" w:hAnsi="宋体" w:eastAsia="宋体" w:cs="宋体"/>
          <w:spacing w:val="-57"/>
          <w:sz w:val="20"/>
          <w:szCs w:val="20"/>
        </w:rPr>
        <w:t xml:space="preserve"> </w:t>
      </w:r>
      <w:r>
        <w:rPr>
          <w:rFonts w:ascii="宋体" w:hAnsi="宋体" w:eastAsia="宋体" w:cs="宋体"/>
          <w:spacing w:val="27"/>
          <w:sz w:val="20"/>
          <w:szCs w:val="20"/>
        </w:rPr>
        <w:t>。招标人编制清单及最高投标限价时</w:t>
      </w:r>
      <w:r>
        <w:rPr>
          <w:rFonts w:ascii="宋体" w:hAnsi="宋体" w:eastAsia="宋体" w:cs="宋体"/>
          <w:spacing w:val="-45"/>
          <w:sz w:val="20"/>
          <w:szCs w:val="20"/>
        </w:rPr>
        <w:t xml:space="preserve"> </w:t>
      </w:r>
      <w:r>
        <w:rPr>
          <w:rFonts w:ascii="宋体" w:hAnsi="宋体" w:eastAsia="宋体" w:cs="宋体"/>
          <w:spacing w:val="27"/>
          <w:sz w:val="20"/>
          <w:szCs w:val="20"/>
        </w:rPr>
        <w:t>，可</w:t>
      </w:r>
      <w:r>
        <w:rPr>
          <w:rFonts w:ascii="宋体" w:hAnsi="宋体" w:eastAsia="宋体" w:cs="宋体"/>
          <w:spacing w:val="26"/>
          <w:sz w:val="20"/>
          <w:szCs w:val="20"/>
        </w:rPr>
        <w:t>根据工程实际情况考虑是否</w:t>
      </w:r>
      <w:r>
        <w:rPr>
          <w:rFonts w:ascii="宋体" w:hAnsi="宋体" w:eastAsia="宋体" w:cs="宋体"/>
          <w:spacing w:val="22"/>
          <w:sz w:val="20"/>
          <w:szCs w:val="20"/>
        </w:rPr>
        <w:t>在分部分项工程中单独编制模板清单项</w:t>
      </w:r>
      <w:r>
        <w:rPr>
          <w:rFonts w:ascii="宋体" w:hAnsi="宋体" w:eastAsia="宋体" w:cs="宋体"/>
          <w:spacing w:val="-26"/>
          <w:sz w:val="20"/>
          <w:szCs w:val="20"/>
        </w:rPr>
        <w:t xml:space="preserve"> </w:t>
      </w:r>
      <w:r>
        <w:rPr>
          <w:rFonts w:ascii="宋体" w:hAnsi="宋体" w:eastAsia="宋体" w:cs="宋体"/>
          <w:spacing w:val="22"/>
          <w:sz w:val="20"/>
          <w:szCs w:val="20"/>
        </w:rPr>
        <w:t>目</w:t>
      </w:r>
      <w:r>
        <w:rPr>
          <w:rFonts w:ascii="宋体" w:hAnsi="宋体" w:eastAsia="宋体" w:cs="宋体"/>
          <w:spacing w:val="-45"/>
          <w:sz w:val="20"/>
          <w:szCs w:val="20"/>
        </w:rPr>
        <w:t xml:space="preserve"> </w:t>
      </w:r>
      <w:r>
        <w:rPr>
          <w:rFonts w:ascii="宋体" w:hAnsi="宋体" w:eastAsia="宋体" w:cs="宋体"/>
          <w:spacing w:val="22"/>
          <w:sz w:val="20"/>
          <w:szCs w:val="20"/>
        </w:rPr>
        <w:t>，并且在编制说明中予以详细说明。</w:t>
      </w:r>
    </w:p>
    <w:p>
      <w:pPr>
        <w:spacing w:before="17" w:line="222" w:lineRule="auto"/>
        <w:ind w:left="583"/>
        <w:rPr>
          <w:rFonts w:ascii="宋体" w:hAnsi="宋体" w:eastAsia="宋体" w:cs="宋体"/>
          <w:sz w:val="20"/>
          <w:szCs w:val="20"/>
        </w:rPr>
      </w:pPr>
      <w:r>
        <w:rPr>
          <w:rFonts w:ascii="宋体" w:hAnsi="宋体" w:eastAsia="宋体" w:cs="宋体"/>
          <w:spacing w:val="25"/>
          <w:sz w:val="20"/>
          <w:szCs w:val="20"/>
        </w:rPr>
        <w:t>混凝土泵送费</w:t>
      </w:r>
      <w:r>
        <w:rPr>
          <w:rFonts w:ascii="宋体" w:hAnsi="宋体" w:eastAsia="宋体" w:cs="宋体"/>
          <w:spacing w:val="-58"/>
          <w:sz w:val="20"/>
          <w:szCs w:val="20"/>
        </w:rPr>
        <w:t xml:space="preserve"> </w:t>
      </w:r>
      <w:r>
        <w:rPr>
          <w:rFonts w:ascii="宋体" w:hAnsi="宋体" w:eastAsia="宋体" w:cs="宋体"/>
          <w:spacing w:val="25"/>
          <w:sz w:val="20"/>
          <w:szCs w:val="20"/>
        </w:rPr>
        <w:t>、垂直运输费应包含在相应混凝土</w:t>
      </w:r>
      <w:r>
        <w:rPr>
          <w:rFonts w:ascii="宋体" w:hAnsi="宋体" w:eastAsia="宋体" w:cs="宋体"/>
          <w:spacing w:val="24"/>
          <w:sz w:val="20"/>
          <w:szCs w:val="20"/>
        </w:rPr>
        <w:t>构件工作内容中。</w:t>
      </w:r>
    </w:p>
    <w:p>
      <w:pPr>
        <w:spacing w:before="156" w:line="278" w:lineRule="exact"/>
        <w:ind w:left="529"/>
        <w:rPr>
          <w:rFonts w:ascii="宋体" w:hAnsi="宋体" w:eastAsia="宋体" w:cs="宋体"/>
          <w:sz w:val="20"/>
          <w:szCs w:val="20"/>
        </w:rPr>
      </w:pPr>
      <w:r>
        <w:rPr>
          <w:rFonts w:ascii="宋体" w:hAnsi="宋体" w:eastAsia="宋体" w:cs="宋体"/>
          <w:b/>
          <w:bCs/>
          <w:spacing w:val="-5"/>
          <w:position w:val="1"/>
          <w:sz w:val="20"/>
          <w:szCs w:val="20"/>
        </w:rPr>
        <w:t>12.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市政工程取费有关说明：</w:t>
      </w:r>
    </w:p>
    <w:p>
      <w:pPr>
        <w:spacing w:before="119" w:line="351" w:lineRule="auto"/>
        <w:ind w:left="29" w:right="102" w:firstLine="465"/>
        <w:rPr>
          <w:rFonts w:ascii="宋体" w:hAnsi="宋体" w:eastAsia="宋体" w:cs="宋体"/>
          <w:sz w:val="20"/>
          <w:szCs w:val="20"/>
        </w:rPr>
      </w:pPr>
      <w:r>
        <w:rPr>
          <w:rFonts w:ascii="宋体" w:hAnsi="宋体" w:eastAsia="宋体" w:cs="宋体"/>
          <w:spacing w:val="7"/>
          <w:sz w:val="20"/>
          <w:szCs w:val="20"/>
        </w:rPr>
        <w:t>2025年市政工程费用费率中，企业管理费和利润不再区分费率等级，编制最高投标限价和</w:t>
      </w:r>
      <w:r>
        <w:rPr>
          <w:rFonts w:ascii="宋体" w:hAnsi="宋体" w:eastAsia="宋体" w:cs="宋体"/>
          <w:spacing w:val="6"/>
          <w:sz w:val="20"/>
          <w:szCs w:val="20"/>
        </w:rPr>
        <w:t>投标</w:t>
      </w:r>
      <w:r>
        <w:rPr>
          <w:rFonts w:ascii="宋体" w:hAnsi="宋体" w:eastAsia="宋体" w:cs="宋体"/>
          <w:spacing w:val="5"/>
          <w:sz w:val="20"/>
          <w:szCs w:val="20"/>
        </w:rPr>
        <w:t>报价时可参照相应费率计算费用。</w:t>
      </w:r>
    </w:p>
    <w:p>
      <w:pPr>
        <w:spacing w:before="42" w:line="278" w:lineRule="exact"/>
        <w:ind w:left="492"/>
        <w:rPr>
          <w:rFonts w:ascii="宋体" w:hAnsi="宋体" w:eastAsia="宋体" w:cs="宋体"/>
          <w:sz w:val="20"/>
          <w:szCs w:val="20"/>
        </w:rPr>
      </w:pPr>
      <w:r>
        <w:rPr>
          <w:rFonts w:ascii="宋体" w:hAnsi="宋体" w:eastAsia="宋体" w:cs="宋体"/>
          <w:spacing w:val="4"/>
          <w:position w:val="1"/>
          <w:sz w:val="20"/>
          <w:szCs w:val="20"/>
        </w:rPr>
        <w:t>（1）道路工程</w:t>
      </w:r>
    </w:p>
    <w:p>
      <w:pPr>
        <w:spacing w:before="124" w:line="368" w:lineRule="auto"/>
        <w:ind w:left="10" w:right="27" w:firstLine="481"/>
        <w:rPr>
          <w:rFonts w:ascii="宋体" w:hAnsi="宋体" w:eastAsia="宋体" w:cs="宋体"/>
          <w:sz w:val="20"/>
          <w:szCs w:val="20"/>
        </w:rPr>
      </w:pPr>
      <w:r>
        <w:rPr>
          <w:rFonts w:ascii="宋体" w:hAnsi="宋体" w:eastAsia="宋体" w:cs="宋体"/>
          <w:spacing w:val="4"/>
          <w:sz w:val="20"/>
          <w:szCs w:val="20"/>
        </w:rPr>
        <w:t>道路工程适用于城市地面高速干道、主干道、次干道、支路、人行道以及市政广场、停车场，也</w:t>
      </w:r>
      <w:r>
        <w:rPr>
          <w:rFonts w:ascii="宋体" w:hAnsi="宋体" w:eastAsia="宋体" w:cs="宋体"/>
          <w:spacing w:val="11"/>
          <w:sz w:val="20"/>
          <w:szCs w:val="20"/>
        </w:rPr>
        <w:t>适用于园林景区、公园、厂区等区域内按市政标准设计的道路、</w:t>
      </w:r>
      <w:r>
        <w:rPr>
          <w:rFonts w:ascii="宋体" w:hAnsi="宋体" w:eastAsia="宋体" w:cs="宋体"/>
          <w:spacing w:val="10"/>
          <w:sz w:val="20"/>
          <w:szCs w:val="20"/>
        </w:rPr>
        <w:t>广场、停车场等，并包括交通设施</w:t>
      </w:r>
      <w:r>
        <w:rPr>
          <w:rFonts w:ascii="宋体" w:hAnsi="宋体" w:eastAsia="宋体" w:cs="宋体"/>
          <w:spacing w:val="9"/>
          <w:sz w:val="20"/>
          <w:szCs w:val="20"/>
        </w:rPr>
        <w:t>工程，单独施工的护坡、挡墙工程参照道路工程计取</w:t>
      </w:r>
      <w:r>
        <w:rPr>
          <w:rFonts w:ascii="宋体" w:hAnsi="宋体" w:eastAsia="宋体" w:cs="宋体"/>
          <w:spacing w:val="8"/>
          <w:sz w:val="20"/>
          <w:szCs w:val="20"/>
        </w:rPr>
        <w:t>相关费用。</w:t>
      </w:r>
    </w:p>
    <w:p>
      <w:pPr>
        <w:spacing w:line="278" w:lineRule="exact"/>
        <w:ind w:left="489"/>
        <w:rPr>
          <w:rFonts w:ascii="宋体" w:hAnsi="宋体" w:eastAsia="宋体" w:cs="宋体"/>
          <w:sz w:val="20"/>
          <w:szCs w:val="20"/>
        </w:rPr>
      </w:pPr>
      <w:r>
        <w:rPr>
          <w:rFonts w:ascii="宋体" w:hAnsi="宋体" w:eastAsia="宋体" w:cs="宋体"/>
          <w:spacing w:val="3"/>
          <w:position w:val="1"/>
          <w:sz w:val="20"/>
          <w:szCs w:val="20"/>
        </w:rPr>
        <w:t>（2）桥梁工程</w:t>
      </w:r>
    </w:p>
    <w:p>
      <w:pPr>
        <w:spacing w:before="122" w:line="369" w:lineRule="auto"/>
        <w:ind w:left="28" w:right="105" w:firstLine="463"/>
        <w:rPr>
          <w:rFonts w:ascii="宋体" w:hAnsi="宋体" w:eastAsia="宋体" w:cs="宋体"/>
          <w:sz w:val="20"/>
          <w:szCs w:val="20"/>
        </w:rPr>
      </w:pPr>
      <w:r>
        <w:rPr>
          <w:rFonts w:ascii="宋体" w:hAnsi="宋体" w:eastAsia="宋体" w:cs="宋体"/>
          <w:spacing w:val="8"/>
          <w:sz w:val="20"/>
          <w:szCs w:val="20"/>
        </w:rPr>
        <w:t>桥涵工程适用于立交桥、高架路、跨河桥、人行天桥、明挖车行(或人行)通道</w:t>
      </w:r>
      <w:r>
        <w:rPr>
          <w:rFonts w:ascii="宋体" w:hAnsi="宋体" w:eastAsia="宋体" w:cs="宋体"/>
          <w:spacing w:val="-46"/>
          <w:sz w:val="20"/>
          <w:szCs w:val="20"/>
        </w:rPr>
        <w:t xml:space="preserve"> </w:t>
      </w:r>
      <w:r>
        <w:rPr>
          <w:rFonts w:ascii="宋体" w:hAnsi="宋体" w:eastAsia="宋体" w:cs="宋体"/>
          <w:spacing w:val="8"/>
          <w:sz w:val="20"/>
          <w:szCs w:val="20"/>
        </w:rPr>
        <w:t>，单跨跨径 5m</w:t>
      </w:r>
      <w:r>
        <w:rPr>
          <w:rFonts w:ascii="宋体" w:hAnsi="宋体" w:eastAsia="宋体" w:cs="宋体"/>
          <w:spacing w:val="5"/>
          <w:sz w:val="20"/>
          <w:szCs w:val="20"/>
        </w:rPr>
        <w:t>以内、或多跨总长 8m</w:t>
      </w:r>
      <w:r>
        <w:rPr>
          <w:rFonts w:ascii="宋体" w:hAnsi="宋体" w:eastAsia="宋体" w:cs="宋体"/>
          <w:spacing w:val="112"/>
          <w:sz w:val="20"/>
          <w:szCs w:val="20"/>
        </w:rPr>
        <w:t xml:space="preserve"> </w:t>
      </w:r>
      <w:r>
        <w:rPr>
          <w:rFonts w:ascii="宋体" w:hAnsi="宋体" w:eastAsia="宋体" w:cs="宋体"/>
          <w:spacing w:val="5"/>
          <w:sz w:val="20"/>
          <w:szCs w:val="20"/>
        </w:rPr>
        <w:t>以内的各类拱涵、板涵，并包括相应的附属工程。</w:t>
      </w:r>
    </w:p>
    <w:p>
      <w:pPr>
        <w:spacing w:before="1" w:line="278" w:lineRule="exact"/>
        <w:ind w:left="485"/>
        <w:rPr>
          <w:rFonts w:ascii="宋体" w:hAnsi="宋体" w:eastAsia="宋体" w:cs="宋体"/>
          <w:sz w:val="20"/>
          <w:szCs w:val="20"/>
        </w:rPr>
      </w:pPr>
      <w:r>
        <w:rPr>
          <w:rFonts w:ascii="宋体" w:hAnsi="宋体" w:eastAsia="宋体" w:cs="宋体"/>
          <w:spacing w:val="3"/>
          <w:position w:val="1"/>
          <w:sz w:val="20"/>
          <w:szCs w:val="20"/>
        </w:rPr>
        <w:t>（3）隧道工程</w:t>
      </w:r>
    </w:p>
    <w:p>
      <w:pPr>
        <w:spacing w:before="128" w:line="363" w:lineRule="auto"/>
        <w:ind w:left="16" w:right="15" w:firstLine="498"/>
        <w:rPr>
          <w:rFonts w:ascii="宋体" w:hAnsi="宋体" w:eastAsia="宋体" w:cs="宋体"/>
          <w:sz w:val="20"/>
          <w:szCs w:val="20"/>
        </w:rPr>
      </w:pPr>
      <w:r>
        <w:rPr>
          <w:rFonts w:ascii="宋体" w:hAnsi="宋体" w:eastAsia="宋体" w:cs="宋体"/>
          <w:spacing w:val="9"/>
          <w:sz w:val="20"/>
          <w:szCs w:val="20"/>
        </w:rPr>
        <w:t>隧道工程适用于采用暗挖方式施工的各类岩石隧道和软土隧道，包括车行隧道、人行隧</w:t>
      </w:r>
      <w:r>
        <w:rPr>
          <w:rFonts w:ascii="宋体" w:hAnsi="宋体" w:eastAsia="宋体" w:cs="宋体"/>
          <w:spacing w:val="8"/>
          <w:sz w:val="20"/>
          <w:szCs w:val="20"/>
        </w:rPr>
        <w:t>道、给</w:t>
      </w:r>
      <w:r>
        <w:rPr>
          <w:rFonts w:ascii="宋体" w:hAnsi="宋体" w:eastAsia="宋体" w:cs="宋体"/>
          <w:spacing w:val="-3"/>
          <w:sz w:val="20"/>
          <w:szCs w:val="20"/>
        </w:rPr>
        <w:t>排水隧道及电缆（公用事业）隧道等隧道工程,并包括相</w:t>
      </w:r>
      <w:r>
        <w:rPr>
          <w:rFonts w:ascii="宋体" w:hAnsi="宋体" w:eastAsia="宋体" w:cs="宋体"/>
          <w:spacing w:val="-4"/>
          <w:sz w:val="20"/>
          <w:szCs w:val="20"/>
        </w:rPr>
        <w:t>应的装饰等附属工程。</w:t>
      </w:r>
    </w:p>
    <w:p>
      <w:pPr>
        <w:spacing w:line="285" w:lineRule="exact"/>
        <w:ind w:left="487"/>
        <w:rPr>
          <w:rFonts w:ascii="宋体" w:hAnsi="宋体" w:eastAsia="宋体" w:cs="宋体"/>
          <w:sz w:val="20"/>
          <w:szCs w:val="20"/>
        </w:rPr>
      </w:pPr>
      <w:r>
        <w:rPr>
          <w:rFonts w:ascii="宋体" w:hAnsi="宋体" w:eastAsia="宋体" w:cs="宋体"/>
          <w:spacing w:val="6"/>
          <w:position w:val="1"/>
          <w:sz w:val="20"/>
          <w:szCs w:val="20"/>
        </w:rPr>
        <w:t>（4）排水工程</w:t>
      </w:r>
    </w:p>
    <w:p>
      <w:pPr>
        <w:spacing w:before="117" w:line="368" w:lineRule="auto"/>
        <w:ind w:left="10" w:firstLine="480"/>
        <w:rPr>
          <w:rFonts w:ascii="宋体" w:hAnsi="宋体" w:eastAsia="宋体" w:cs="宋体"/>
          <w:sz w:val="20"/>
          <w:szCs w:val="20"/>
        </w:rPr>
      </w:pPr>
      <w:r>
        <w:rPr>
          <w:rFonts w:ascii="宋体" w:hAnsi="宋体" w:eastAsia="宋体" w:cs="宋体"/>
          <w:spacing w:val="10"/>
          <w:sz w:val="20"/>
          <w:szCs w:val="20"/>
        </w:rPr>
        <w:t>排水工程适用于城镇范围内市政雨水、污水排水管网及各类沟渠、地下管沟（不区</w:t>
      </w:r>
      <w:r>
        <w:rPr>
          <w:rFonts w:ascii="宋体" w:hAnsi="宋体" w:eastAsia="宋体" w:cs="宋体"/>
          <w:spacing w:val="9"/>
          <w:sz w:val="20"/>
          <w:szCs w:val="20"/>
        </w:rPr>
        <w:t>分净断面）</w:t>
      </w:r>
      <w:r>
        <w:rPr>
          <w:rFonts w:ascii="宋体" w:hAnsi="宋体" w:eastAsia="宋体" w:cs="宋体"/>
          <w:spacing w:val="12"/>
          <w:sz w:val="20"/>
          <w:szCs w:val="20"/>
        </w:rPr>
        <w:t>工程</w:t>
      </w:r>
      <w:r>
        <w:rPr>
          <w:rFonts w:ascii="宋体" w:hAnsi="宋体" w:eastAsia="宋体" w:cs="宋体"/>
          <w:spacing w:val="-59"/>
          <w:sz w:val="20"/>
          <w:szCs w:val="20"/>
        </w:rPr>
        <w:t xml:space="preserve"> </w:t>
      </w:r>
      <w:r>
        <w:rPr>
          <w:rFonts w:ascii="宋体" w:hAnsi="宋体" w:eastAsia="宋体" w:cs="宋体"/>
          <w:spacing w:val="12"/>
          <w:sz w:val="20"/>
          <w:szCs w:val="20"/>
        </w:rPr>
        <w:t>，也适用于园林景区、公园、厂区等区域内按市政标准设计的雨</w:t>
      </w:r>
      <w:r>
        <w:rPr>
          <w:rFonts w:ascii="宋体" w:hAnsi="宋体" w:eastAsia="宋体" w:cs="宋体"/>
          <w:spacing w:val="11"/>
          <w:sz w:val="20"/>
          <w:szCs w:val="20"/>
        </w:rPr>
        <w:t>水、污水排水管道</w:t>
      </w:r>
      <w:r>
        <w:rPr>
          <w:rFonts w:ascii="宋体" w:hAnsi="宋体" w:eastAsia="宋体" w:cs="宋体"/>
          <w:spacing w:val="-57"/>
          <w:sz w:val="20"/>
          <w:szCs w:val="20"/>
        </w:rPr>
        <w:t xml:space="preserve"> </w:t>
      </w:r>
      <w:r>
        <w:rPr>
          <w:rFonts w:ascii="宋体" w:hAnsi="宋体" w:eastAsia="宋体" w:cs="宋体"/>
          <w:spacing w:val="11"/>
          <w:sz w:val="20"/>
          <w:szCs w:val="20"/>
        </w:rPr>
        <w:t>，并包括土石方挖填、检查井等相应的附属工程。河道清淤、河道及护岸铺砌参照排水工程计算相关费用。</w:t>
      </w:r>
      <w:r>
        <w:rPr>
          <w:rFonts w:ascii="宋体" w:hAnsi="宋体" w:eastAsia="宋体" w:cs="宋体"/>
          <w:spacing w:val="9"/>
          <w:sz w:val="20"/>
          <w:szCs w:val="20"/>
        </w:rPr>
        <w:t>水平定向钻进工程随管线专业类别计取相关费用。当排水管道设计为压力</w:t>
      </w:r>
      <w:r>
        <w:rPr>
          <w:rFonts w:ascii="宋体" w:hAnsi="宋体" w:eastAsia="宋体" w:cs="宋体"/>
          <w:spacing w:val="8"/>
          <w:sz w:val="20"/>
          <w:szCs w:val="20"/>
        </w:rPr>
        <w:t>管时，执行给水工程相应定额，并按给水工程相应费率取费。</w:t>
      </w:r>
    </w:p>
    <w:p>
      <w:pPr>
        <w:spacing w:before="12" w:line="278" w:lineRule="exact"/>
        <w:ind w:left="489"/>
        <w:rPr>
          <w:rFonts w:ascii="宋体" w:hAnsi="宋体" w:eastAsia="宋体" w:cs="宋体"/>
          <w:sz w:val="20"/>
          <w:szCs w:val="20"/>
        </w:rPr>
      </w:pPr>
      <w:r>
        <w:rPr>
          <w:rFonts w:ascii="宋体" w:hAnsi="宋体" w:eastAsia="宋体" w:cs="宋体"/>
          <w:spacing w:val="3"/>
          <w:position w:val="1"/>
          <w:sz w:val="20"/>
          <w:szCs w:val="20"/>
        </w:rPr>
        <w:t>（5）水处理工程</w:t>
      </w:r>
    </w:p>
    <w:p>
      <w:pPr>
        <w:spacing w:before="125" w:line="369" w:lineRule="auto"/>
        <w:ind w:left="7" w:right="104" w:firstLine="484"/>
        <w:rPr>
          <w:rFonts w:ascii="宋体" w:hAnsi="宋体" w:eastAsia="宋体" w:cs="宋体"/>
          <w:sz w:val="20"/>
          <w:szCs w:val="20"/>
        </w:rPr>
      </w:pPr>
      <w:r>
        <w:rPr>
          <w:rFonts w:ascii="宋体" w:hAnsi="宋体" w:eastAsia="宋体" w:cs="宋体"/>
          <w:spacing w:val="12"/>
          <w:sz w:val="20"/>
          <w:szCs w:val="20"/>
        </w:rPr>
        <w:t>水处理工程适用于污水处理厂、雨水泵站、污水泵站、净水厂内的各类构筑物及水处理专用</w:t>
      </w:r>
      <w:r>
        <w:rPr>
          <w:rFonts w:ascii="宋体" w:hAnsi="宋体" w:eastAsia="宋体" w:cs="宋体"/>
          <w:spacing w:val="13"/>
          <w:sz w:val="20"/>
          <w:szCs w:val="20"/>
        </w:rPr>
        <w:t>设备安装</w:t>
      </w:r>
      <w:r>
        <w:rPr>
          <w:rFonts w:ascii="宋体" w:hAnsi="宋体" w:eastAsia="宋体" w:cs="宋体"/>
          <w:spacing w:val="-57"/>
          <w:sz w:val="20"/>
          <w:szCs w:val="20"/>
        </w:rPr>
        <w:t xml:space="preserve"> </w:t>
      </w:r>
      <w:r>
        <w:rPr>
          <w:rFonts w:ascii="宋体" w:hAnsi="宋体" w:eastAsia="宋体" w:cs="宋体"/>
          <w:spacing w:val="13"/>
          <w:sz w:val="20"/>
          <w:szCs w:val="20"/>
        </w:rPr>
        <w:t>，并包括相应土石方工程、基坑及边坡支护等附属工程。水处</w:t>
      </w:r>
      <w:r>
        <w:rPr>
          <w:rFonts w:ascii="宋体" w:hAnsi="宋体" w:eastAsia="宋体" w:cs="宋体"/>
          <w:spacing w:val="12"/>
          <w:sz w:val="20"/>
          <w:szCs w:val="20"/>
        </w:rPr>
        <w:t>理构筑物内及构筑物之间</w:t>
      </w:r>
      <w:r>
        <w:rPr>
          <w:rFonts w:ascii="宋体" w:hAnsi="宋体" w:eastAsia="宋体" w:cs="宋体"/>
          <w:spacing w:val="9"/>
          <w:sz w:val="20"/>
          <w:szCs w:val="20"/>
        </w:rPr>
        <w:t>的机电、照明、消防等相关设备、工艺管线安装工程执行安装工程相应费率标准。建筑物</w:t>
      </w:r>
      <w:r>
        <w:rPr>
          <w:rFonts w:ascii="宋体" w:hAnsi="宋体" w:eastAsia="宋体" w:cs="宋体"/>
          <w:spacing w:val="8"/>
          <w:sz w:val="20"/>
          <w:szCs w:val="20"/>
        </w:rPr>
        <w:t>执行建筑</w:t>
      </w:r>
      <w:r>
        <w:rPr>
          <w:rFonts w:ascii="宋体" w:hAnsi="宋体" w:eastAsia="宋体" w:cs="宋体"/>
          <w:spacing w:val="7"/>
          <w:sz w:val="20"/>
          <w:szCs w:val="20"/>
        </w:rPr>
        <w:t>工程相应费率标准。</w:t>
      </w:r>
    </w:p>
    <w:p>
      <w:pPr>
        <w:spacing w:before="1" w:line="364" w:lineRule="auto"/>
        <w:ind w:left="14" w:right="109" w:firstLine="477"/>
        <w:jc w:val="both"/>
        <w:rPr>
          <w:rFonts w:ascii="宋体" w:hAnsi="宋体" w:eastAsia="宋体" w:cs="宋体"/>
          <w:sz w:val="20"/>
          <w:szCs w:val="20"/>
        </w:rPr>
      </w:pPr>
      <w:r>
        <w:rPr>
          <w:rFonts w:ascii="宋体" w:hAnsi="宋体" w:eastAsia="宋体" w:cs="宋体"/>
          <w:spacing w:val="11"/>
          <w:sz w:val="20"/>
          <w:szCs w:val="20"/>
        </w:rPr>
        <w:t>全地下式水厂（地下箱体）市政工程、土建工程共有的土石方、桩基、支护等</w:t>
      </w:r>
      <w:r>
        <w:rPr>
          <w:rFonts w:ascii="宋体" w:hAnsi="宋体" w:eastAsia="宋体" w:cs="宋体"/>
          <w:spacing w:val="-46"/>
          <w:sz w:val="20"/>
          <w:szCs w:val="20"/>
        </w:rPr>
        <w:t xml:space="preserve"> </w:t>
      </w:r>
      <w:r>
        <w:rPr>
          <w:rFonts w:ascii="宋体" w:hAnsi="宋体" w:eastAsia="宋体" w:cs="宋体"/>
          <w:spacing w:val="11"/>
          <w:sz w:val="20"/>
          <w:szCs w:val="20"/>
        </w:rPr>
        <w:t>，按从属于水</w:t>
      </w:r>
      <w:r>
        <w:rPr>
          <w:rFonts w:ascii="宋体" w:hAnsi="宋体" w:eastAsia="宋体" w:cs="宋体"/>
          <w:spacing w:val="13"/>
          <w:sz w:val="20"/>
          <w:szCs w:val="20"/>
        </w:rPr>
        <w:t>厂主体的市政工程属性</w:t>
      </w:r>
      <w:r>
        <w:rPr>
          <w:rFonts w:ascii="宋体" w:hAnsi="宋体" w:eastAsia="宋体" w:cs="宋体"/>
          <w:spacing w:val="-60"/>
          <w:sz w:val="20"/>
          <w:szCs w:val="20"/>
        </w:rPr>
        <w:t xml:space="preserve"> </w:t>
      </w:r>
      <w:r>
        <w:rPr>
          <w:rFonts w:ascii="宋体" w:hAnsi="宋体" w:eastAsia="宋体" w:cs="宋体"/>
          <w:spacing w:val="13"/>
          <w:sz w:val="20"/>
          <w:szCs w:val="20"/>
        </w:rPr>
        <w:t>，执行水处理工程相应取费标准。地下箱</w:t>
      </w:r>
      <w:r>
        <w:rPr>
          <w:rFonts w:ascii="宋体" w:hAnsi="宋体" w:eastAsia="宋体" w:cs="宋体"/>
          <w:spacing w:val="12"/>
          <w:sz w:val="20"/>
          <w:szCs w:val="20"/>
        </w:rPr>
        <w:t>体的池体和设备间执行水处理工</w:t>
      </w:r>
      <w:r>
        <w:rPr>
          <w:rFonts w:ascii="宋体" w:hAnsi="宋体" w:eastAsia="宋体" w:cs="宋体"/>
          <w:spacing w:val="10"/>
          <w:sz w:val="20"/>
          <w:szCs w:val="20"/>
        </w:rPr>
        <w:t>程取费标准</w:t>
      </w:r>
      <w:r>
        <w:rPr>
          <w:rFonts w:ascii="宋体" w:hAnsi="宋体" w:eastAsia="宋体" w:cs="宋体"/>
          <w:spacing w:val="-57"/>
          <w:sz w:val="20"/>
          <w:szCs w:val="20"/>
        </w:rPr>
        <w:t xml:space="preserve"> </w:t>
      </w:r>
      <w:r>
        <w:rPr>
          <w:rFonts w:ascii="宋体" w:hAnsi="宋体" w:eastAsia="宋体" w:cs="宋体"/>
          <w:spacing w:val="10"/>
          <w:sz w:val="20"/>
          <w:szCs w:val="20"/>
        </w:rPr>
        <w:t>，其他执行建筑工程取费标准。或者由发承包双方协商确定。</w:t>
      </w:r>
    </w:p>
    <w:p>
      <w:pPr>
        <w:spacing w:before="16" w:line="278" w:lineRule="exact"/>
        <w:ind w:left="487"/>
        <w:rPr>
          <w:rFonts w:ascii="宋体" w:hAnsi="宋体" w:eastAsia="宋体" w:cs="宋体"/>
          <w:sz w:val="20"/>
          <w:szCs w:val="20"/>
        </w:rPr>
      </w:pPr>
      <w:r>
        <w:rPr>
          <w:rFonts w:ascii="宋体" w:hAnsi="宋体" w:eastAsia="宋体" w:cs="宋体"/>
          <w:spacing w:val="-1"/>
          <w:position w:val="1"/>
          <w:sz w:val="20"/>
          <w:szCs w:val="20"/>
        </w:rPr>
        <w:t>（6）生活垃圾处理工程</w:t>
      </w:r>
    </w:p>
    <w:p>
      <w:pPr>
        <w:spacing w:before="127" w:line="373" w:lineRule="auto"/>
        <w:ind w:left="25" w:right="25" w:firstLine="2"/>
        <w:rPr>
          <w:rFonts w:ascii="宋体" w:hAnsi="宋体" w:eastAsia="宋体" w:cs="宋体"/>
          <w:sz w:val="20"/>
          <w:szCs w:val="20"/>
        </w:rPr>
      </w:pPr>
      <w:r>
        <w:rPr>
          <w:rFonts w:ascii="宋体" w:hAnsi="宋体" w:eastAsia="宋体" w:cs="宋体"/>
          <w:spacing w:val="6"/>
          <w:sz w:val="20"/>
          <w:szCs w:val="20"/>
        </w:rPr>
        <w:t>生活垃圾处理工程适用于生活垃圾填埋场、生活垃圾</w:t>
      </w:r>
      <w:r>
        <w:rPr>
          <w:rFonts w:ascii="宋体" w:hAnsi="宋体" w:eastAsia="宋体" w:cs="宋体"/>
          <w:spacing w:val="5"/>
          <w:sz w:val="20"/>
          <w:szCs w:val="20"/>
        </w:rPr>
        <w:t>焚烧厂内相关设施及附属工程。当生活垃圾卫生</w:t>
      </w:r>
      <w:r>
        <w:rPr>
          <w:rFonts w:ascii="宋体" w:hAnsi="宋体" w:eastAsia="宋体" w:cs="宋体"/>
          <w:spacing w:val="7"/>
          <w:sz w:val="20"/>
          <w:szCs w:val="20"/>
        </w:rPr>
        <w:t>填埋渗滤液处理作为一个单位工程时，执行水处理工程相关费率标准。</w:t>
      </w:r>
    </w:p>
    <w:p>
      <w:pPr>
        <w:spacing w:line="373" w:lineRule="auto"/>
        <w:rPr>
          <w:rFonts w:ascii="宋体" w:hAnsi="宋体" w:eastAsia="宋体" w:cs="宋体"/>
          <w:sz w:val="20"/>
          <w:szCs w:val="20"/>
        </w:rPr>
        <w:sectPr>
          <w:footerReference r:id="rId255" w:type="default"/>
          <w:pgSz w:w="11906" w:h="16839"/>
          <w:pgMar w:top="400" w:right="1390"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91"/>
        <w:rPr>
          <w:rFonts w:ascii="宋体" w:hAnsi="宋体" w:eastAsia="宋体" w:cs="宋体"/>
          <w:sz w:val="20"/>
          <w:szCs w:val="20"/>
        </w:rPr>
      </w:pPr>
      <w:bookmarkStart w:id="133" w:name="bookmark176"/>
      <w:bookmarkEnd w:id="133"/>
      <w:r>
        <w:rPr>
          <w:rFonts w:ascii="宋体" w:hAnsi="宋体" w:eastAsia="宋体" w:cs="宋体"/>
          <w:spacing w:val="1"/>
          <w:position w:val="1"/>
          <w:sz w:val="20"/>
          <w:szCs w:val="20"/>
        </w:rPr>
        <w:t>（7）路灯工程</w:t>
      </w:r>
    </w:p>
    <w:p>
      <w:pPr>
        <w:spacing w:before="128" w:line="368" w:lineRule="auto"/>
        <w:ind w:left="11" w:firstLine="482"/>
        <w:rPr>
          <w:rFonts w:ascii="宋体" w:hAnsi="宋体" w:eastAsia="宋体" w:cs="宋体"/>
          <w:sz w:val="20"/>
          <w:szCs w:val="20"/>
        </w:rPr>
      </w:pPr>
      <w:r>
        <w:rPr>
          <w:rFonts w:ascii="宋体" w:hAnsi="宋体" w:eastAsia="宋体" w:cs="宋体"/>
          <w:spacing w:val="13"/>
          <w:sz w:val="20"/>
          <w:szCs w:val="20"/>
        </w:rPr>
        <w:t>路灯工程适用于城镇范围内市政道路、高架桥、立交桥、地下通道的功能性照明工程</w:t>
      </w:r>
      <w:r>
        <w:rPr>
          <w:rFonts w:ascii="宋体" w:hAnsi="宋体" w:eastAsia="宋体" w:cs="宋体"/>
          <w:spacing w:val="-49"/>
          <w:sz w:val="20"/>
          <w:szCs w:val="20"/>
        </w:rPr>
        <w:t xml:space="preserve"> </w:t>
      </w:r>
      <w:r>
        <w:rPr>
          <w:rFonts w:ascii="宋体" w:hAnsi="宋体" w:eastAsia="宋体" w:cs="宋体"/>
          <w:spacing w:val="13"/>
          <w:sz w:val="20"/>
          <w:szCs w:val="20"/>
        </w:rPr>
        <w:t>，也适</w:t>
      </w:r>
      <w:r>
        <w:rPr>
          <w:rFonts w:ascii="宋体" w:hAnsi="宋体" w:eastAsia="宋体" w:cs="宋体"/>
          <w:spacing w:val="11"/>
          <w:sz w:val="20"/>
          <w:szCs w:val="20"/>
        </w:rPr>
        <w:t>用于市政广场、园林景区、公园内草坪灯、地埋灯、庭院灯等功能性照明。城市立交桥、高架桥、广场、园林景区、公园等其他装饰照明、景观照明、艺术喷泉照明等执行安装工程相应取费标准。随道路工程、路灯工程施工的通信、电力、交通排管参</w:t>
      </w:r>
      <w:r>
        <w:rPr>
          <w:rFonts w:ascii="宋体" w:hAnsi="宋体" w:eastAsia="宋体" w:cs="宋体"/>
          <w:spacing w:val="10"/>
          <w:sz w:val="20"/>
          <w:szCs w:val="20"/>
        </w:rPr>
        <w:t>照路灯工程取费标准，随管廊施工的配套排</w:t>
      </w:r>
      <w:r>
        <w:rPr>
          <w:rFonts w:ascii="宋体" w:hAnsi="宋体" w:eastAsia="宋体" w:cs="宋体"/>
          <w:spacing w:val="6"/>
          <w:sz w:val="20"/>
          <w:szCs w:val="20"/>
        </w:rPr>
        <w:t>管并入管廊工程中取费。</w:t>
      </w:r>
    </w:p>
    <w:p>
      <w:pPr>
        <w:spacing w:line="277" w:lineRule="exact"/>
        <w:ind w:left="484"/>
        <w:rPr>
          <w:rFonts w:ascii="宋体" w:hAnsi="宋体" w:eastAsia="宋体" w:cs="宋体"/>
          <w:sz w:val="20"/>
          <w:szCs w:val="20"/>
        </w:rPr>
      </w:pPr>
      <w:r>
        <w:rPr>
          <w:rFonts w:ascii="宋体" w:hAnsi="宋体" w:eastAsia="宋体" w:cs="宋体"/>
          <w:spacing w:val="9"/>
          <w:position w:val="1"/>
          <w:sz w:val="20"/>
          <w:szCs w:val="20"/>
        </w:rPr>
        <w:t>（8）城市地下综合管廊工程</w:t>
      </w:r>
    </w:p>
    <w:p>
      <w:pPr>
        <w:spacing w:before="128" w:line="370" w:lineRule="auto"/>
        <w:ind w:left="10" w:right="90" w:firstLine="421"/>
        <w:rPr>
          <w:rFonts w:ascii="宋体" w:hAnsi="宋体" w:eastAsia="宋体" w:cs="宋体"/>
          <w:sz w:val="20"/>
          <w:szCs w:val="20"/>
        </w:rPr>
      </w:pPr>
      <w:r>
        <w:rPr>
          <w:rFonts w:ascii="宋体" w:hAnsi="宋体" w:eastAsia="宋体" w:cs="宋体"/>
          <w:spacing w:val="9"/>
          <w:sz w:val="20"/>
          <w:szCs w:val="20"/>
        </w:rPr>
        <w:t>城市地下综合管廊工程适用于采用明挖方式施工的地下综合管廊工程，并包括土石方工程、管廊装饰等附属工程。地下综合管廊中的机电、照明、消防等相关设备安装、管线</w:t>
      </w:r>
    </w:p>
    <w:p>
      <w:pPr>
        <w:spacing w:before="18" w:line="222" w:lineRule="auto"/>
        <w:ind w:left="419"/>
        <w:rPr>
          <w:rFonts w:ascii="宋体" w:hAnsi="宋体" w:eastAsia="宋体" w:cs="宋体"/>
          <w:sz w:val="20"/>
          <w:szCs w:val="20"/>
        </w:rPr>
      </w:pPr>
      <w:r>
        <w:rPr>
          <w:rFonts w:ascii="宋体" w:hAnsi="宋体" w:eastAsia="宋体" w:cs="宋体"/>
          <w:spacing w:val="7"/>
          <w:sz w:val="20"/>
          <w:szCs w:val="20"/>
        </w:rPr>
        <w:t>安装均执行通用安装工程定额及相应费率。</w:t>
      </w:r>
    </w:p>
    <w:p>
      <w:pPr>
        <w:spacing w:line="222" w:lineRule="auto"/>
        <w:rPr>
          <w:rFonts w:ascii="宋体" w:hAnsi="宋体" w:eastAsia="宋体" w:cs="宋体"/>
          <w:sz w:val="20"/>
          <w:szCs w:val="20"/>
        </w:rPr>
        <w:sectPr>
          <w:footerReference r:id="rId256" w:type="default"/>
          <w:pgSz w:w="11906" w:h="16839"/>
          <w:pgMar w:top="400" w:right="1392" w:bottom="1212" w:left="1418" w:header="0" w:footer="897" w:gutter="0"/>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2" w:lineRule="auto"/>
        <w:ind w:left="1525"/>
        <w:outlineLvl w:val="1"/>
        <w:rPr>
          <w:rFonts w:ascii="宋体" w:hAnsi="宋体" w:eastAsia="宋体" w:cs="宋体"/>
          <w:sz w:val="30"/>
          <w:szCs w:val="30"/>
        </w:rPr>
      </w:pPr>
      <w:bookmarkStart w:id="134" w:name="bookmark81"/>
      <w:bookmarkEnd w:id="134"/>
      <w:bookmarkStart w:id="135" w:name="bookmark80"/>
      <w:bookmarkEnd w:id="135"/>
      <w:r>
        <w:rPr>
          <w:rFonts w:ascii="宋体" w:hAnsi="宋体" w:eastAsia="宋体" w:cs="宋体"/>
          <w:b/>
          <w:bCs/>
          <w:spacing w:val="-3"/>
          <w:sz w:val="30"/>
          <w:szCs w:val="30"/>
        </w:rPr>
        <w:t>第八节</w:t>
      </w:r>
      <w:r>
        <w:rPr>
          <w:rFonts w:ascii="宋体" w:hAnsi="宋体" w:eastAsia="宋体" w:cs="宋体"/>
          <w:spacing w:val="-3"/>
          <w:sz w:val="30"/>
          <w:szCs w:val="30"/>
        </w:rPr>
        <w:t xml:space="preserve">  </w:t>
      </w:r>
      <w:r>
        <w:rPr>
          <w:rFonts w:ascii="宋体" w:hAnsi="宋体" w:eastAsia="宋体" w:cs="宋体"/>
          <w:b/>
          <w:bCs/>
          <w:spacing w:val="-3"/>
          <w:sz w:val="30"/>
          <w:szCs w:val="30"/>
        </w:rPr>
        <w:t>园林绿化工程定额计价有关问题说明</w:t>
      </w:r>
    </w:p>
    <w:p>
      <w:pPr>
        <w:spacing w:line="246" w:lineRule="auto"/>
        <w:rPr>
          <w:rFonts w:ascii="Arial"/>
          <w:sz w:val="21"/>
        </w:rPr>
      </w:pPr>
    </w:p>
    <w:p>
      <w:pPr>
        <w:spacing w:before="65" w:line="332" w:lineRule="auto"/>
        <w:ind w:right="80" w:firstLine="437"/>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38"/>
          <w:sz w:val="20"/>
          <w:szCs w:val="20"/>
        </w:rPr>
        <w:t xml:space="preserve"> </w:t>
      </w:r>
      <w:r>
        <w:rPr>
          <w:rFonts w:ascii="宋体" w:hAnsi="宋体" w:eastAsia="宋体" w:cs="宋体"/>
          <w:spacing w:val="8"/>
          <w:sz w:val="20"/>
          <w:szCs w:val="20"/>
        </w:rPr>
        <w:t>2025</w:t>
      </w:r>
      <w:r>
        <w:rPr>
          <w:rFonts w:ascii="宋体" w:hAnsi="宋体" w:eastAsia="宋体" w:cs="宋体"/>
          <w:spacing w:val="-36"/>
          <w:sz w:val="20"/>
          <w:szCs w:val="20"/>
        </w:rPr>
        <w:t xml:space="preserve"> </w:t>
      </w:r>
      <w:r>
        <w:rPr>
          <w:rFonts w:ascii="宋体" w:hAnsi="宋体" w:eastAsia="宋体" w:cs="宋体"/>
          <w:spacing w:val="8"/>
          <w:sz w:val="20"/>
          <w:szCs w:val="20"/>
        </w:rPr>
        <w:t>年</w:t>
      </w:r>
      <w:r>
        <w:rPr>
          <w:rFonts w:ascii="宋体" w:hAnsi="宋体" w:eastAsia="宋体" w:cs="宋体"/>
          <w:spacing w:val="-37"/>
          <w:sz w:val="20"/>
          <w:szCs w:val="20"/>
        </w:rPr>
        <w:t xml:space="preserve"> </w:t>
      </w:r>
      <w:r>
        <w:rPr>
          <w:rFonts w:ascii="宋体" w:hAnsi="宋体" w:eastAsia="宋体" w:cs="宋体"/>
          <w:spacing w:val="8"/>
          <w:sz w:val="20"/>
          <w:szCs w:val="20"/>
        </w:rPr>
        <w:t>8</w:t>
      </w:r>
      <w:r>
        <w:rPr>
          <w:rFonts w:ascii="宋体" w:hAnsi="宋体" w:eastAsia="宋体" w:cs="宋体"/>
          <w:spacing w:val="-38"/>
          <w:sz w:val="20"/>
          <w:szCs w:val="20"/>
        </w:rPr>
        <w:t xml:space="preserve"> </w:t>
      </w:r>
      <w:r>
        <w:rPr>
          <w:rFonts w:ascii="宋体" w:hAnsi="宋体" w:eastAsia="宋体" w:cs="宋体"/>
          <w:spacing w:val="8"/>
          <w:sz w:val="20"/>
          <w:szCs w:val="20"/>
        </w:rPr>
        <w:t>月29 日</w:t>
      </w:r>
      <w:r>
        <w:rPr>
          <w:rFonts w:ascii="宋体" w:hAnsi="宋体" w:eastAsia="宋体" w:cs="宋体"/>
          <w:spacing w:val="-59"/>
          <w:sz w:val="20"/>
          <w:szCs w:val="20"/>
        </w:rPr>
        <w:t xml:space="preserve"> </w:t>
      </w:r>
      <w:r>
        <w:rPr>
          <w:rFonts w:ascii="宋体" w:hAnsi="宋体" w:eastAsia="宋体" w:cs="宋体"/>
          <w:spacing w:val="8"/>
          <w:sz w:val="20"/>
          <w:szCs w:val="20"/>
        </w:rPr>
        <w:t>，山东省住房和城</w:t>
      </w:r>
      <w:r>
        <w:rPr>
          <w:rFonts w:ascii="宋体" w:hAnsi="宋体" w:eastAsia="宋体" w:cs="宋体"/>
          <w:spacing w:val="7"/>
          <w:sz w:val="20"/>
          <w:szCs w:val="20"/>
        </w:rPr>
        <w:t>乡建设厅发布了《关于发布建设工程造价计价依据的通</w:t>
      </w:r>
      <w:r>
        <w:rPr>
          <w:rFonts w:ascii="宋体" w:hAnsi="宋体" w:eastAsia="宋体" w:cs="宋体"/>
          <w:spacing w:val="11"/>
          <w:sz w:val="20"/>
          <w:szCs w:val="20"/>
        </w:rPr>
        <w:t>知》（鲁建标字〔2025〕7</w:t>
      </w:r>
      <w:r>
        <w:rPr>
          <w:rFonts w:ascii="宋体" w:hAnsi="宋体" w:eastAsia="宋体" w:cs="宋体"/>
          <w:spacing w:val="-39"/>
          <w:sz w:val="20"/>
          <w:szCs w:val="20"/>
        </w:rPr>
        <w:t xml:space="preserve"> </w:t>
      </w:r>
      <w:r>
        <w:rPr>
          <w:rFonts w:ascii="宋体" w:hAnsi="宋体" w:eastAsia="宋体" w:cs="宋体"/>
          <w:spacing w:val="11"/>
          <w:sz w:val="20"/>
          <w:szCs w:val="20"/>
        </w:rPr>
        <w:t>号</w:t>
      </w:r>
      <w:r>
        <w:rPr>
          <w:rFonts w:ascii="宋体" w:hAnsi="宋体" w:eastAsia="宋体" w:cs="宋体"/>
          <w:spacing w:val="-10"/>
          <w:sz w:val="20"/>
          <w:szCs w:val="20"/>
        </w:rPr>
        <w:t>）</w:t>
      </w:r>
      <w:r>
        <w:rPr>
          <w:rFonts w:ascii="宋体" w:hAnsi="宋体" w:eastAsia="宋体" w:cs="宋体"/>
          <w:spacing w:val="-48"/>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对《山东省建设工程费用项目组成及计算规则》《山东省</w:t>
      </w:r>
      <w:r>
        <w:rPr>
          <w:rFonts w:ascii="宋体" w:hAnsi="宋体" w:eastAsia="宋体" w:cs="宋体"/>
          <w:spacing w:val="10"/>
          <w:sz w:val="20"/>
          <w:szCs w:val="20"/>
        </w:rPr>
        <w:t>园林绿</w:t>
      </w:r>
      <w:r>
        <w:rPr>
          <w:rFonts w:ascii="宋体" w:hAnsi="宋体" w:eastAsia="宋体" w:cs="宋体"/>
          <w:spacing w:val="4"/>
          <w:sz w:val="20"/>
          <w:szCs w:val="20"/>
        </w:rPr>
        <w:t>化工程消耗量定额》进行了修编调整，执行日期为</w:t>
      </w:r>
      <w:r>
        <w:rPr>
          <w:rFonts w:ascii="宋体" w:hAnsi="宋体" w:eastAsia="宋体" w:cs="宋体"/>
          <w:spacing w:val="-23"/>
          <w:sz w:val="20"/>
          <w:szCs w:val="20"/>
        </w:rPr>
        <w:t xml:space="preserve"> </w:t>
      </w:r>
      <w:r>
        <w:rPr>
          <w:rFonts w:ascii="宋体" w:hAnsi="宋体" w:eastAsia="宋体" w:cs="宋体"/>
          <w:spacing w:val="4"/>
          <w:sz w:val="20"/>
          <w:szCs w:val="20"/>
        </w:rPr>
        <w:t>2025</w:t>
      </w:r>
      <w:r>
        <w:rPr>
          <w:rFonts w:ascii="宋体" w:hAnsi="宋体" w:eastAsia="宋体" w:cs="宋体"/>
          <w:spacing w:val="-42"/>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4"/>
          <w:sz w:val="20"/>
          <w:szCs w:val="20"/>
        </w:rPr>
        <w:t xml:space="preserve"> </w:t>
      </w:r>
      <w:r>
        <w:rPr>
          <w:rFonts w:ascii="宋体" w:hAnsi="宋体" w:eastAsia="宋体" w:cs="宋体"/>
          <w:spacing w:val="4"/>
          <w:sz w:val="20"/>
          <w:szCs w:val="20"/>
        </w:rPr>
        <w:t>1 日。</w:t>
      </w:r>
    </w:p>
    <w:p>
      <w:pPr>
        <w:spacing w:before="121" w:line="332" w:lineRule="auto"/>
        <w:ind w:right="80" w:firstLine="421"/>
        <w:rPr>
          <w:rFonts w:ascii="宋体" w:hAnsi="宋体" w:eastAsia="宋体" w:cs="宋体"/>
          <w:sz w:val="20"/>
          <w:szCs w:val="20"/>
        </w:rPr>
      </w:pPr>
      <w:r>
        <w:rPr>
          <w:rFonts w:ascii="宋体" w:hAnsi="宋体" w:eastAsia="宋体" w:cs="宋体"/>
          <w:spacing w:val="8"/>
          <w:sz w:val="20"/>
          <w:szCs w:val="20"/>
        </w:rPr>
        <w:t>2. 修编调整后的《山东省建设工程费用项目组成及计算规则》《山东省园林绿化工程消耗量定</w:t>
      </w:r>
      <w:r>
        <w:rPr>
          <w:rFonts w:ascii="宋体" w:hAnsi="宋体" w:eastAsia="宋体" w:cs="宋体"/>
          <w:spacing w:val="11"/>
          <w:sz w:val="20"/>
          <w:szCs w:val="20"/>
        </w:rPr>
        <w:t>额》是建设工程开展发包与承包计价活动的参考。在使用本计价依据时，应在</w:t>
      </w:r>
      <w:r>
        <w:rPr>
          <w:rFonts w:ascii="宋体" w:hAnsi="宋体" w:eastAsia="宋体" w:cs="宋体"/>
          <w:spacing w:val="10"/>
          <w:sz w:val="20"/>
          <w:szCs w:val="20"/>
        </w:rPr>
        <w:t>原有人工单价水平基础上进行适当调增。参考调增比例：园林绿化工程</w:t>
      </w:r>
      <w:r>
        <w:rPr>
          <w:rFonts w:ascii="宋体" w:hAnsi="宋体" w:eastAsia="宋体" w:cs="宋体"/>
          <w:spacing w:val="-13"/>
          <w:sz w:val="20"/>
          <w:szCs w:val="20"/>
        </w:rPr>
        <w:t xml:space="preserve"> </w:t>
      </w:r>
      <w:r>
        <w:rPr>
          <w:rFonts w:ascii="宋体" w:hAnsi="宋体" w:eastAsia="宋体" w:cs="宋体"/>
          <w:spacing w:val="10"/>
          <w:sz w:val="20"/>
          <w:szCs w:val="20"/>
        </w:rPr>
        <w:t>11%。</w:t>
      </w:r>
    </w:p>
    <w:p>
      <w:pPr>
        <w:spacing w:before="119" w:line="321" w:lineRule="auto"/>
        <w:ind w:left="15" w:firstLine="409"/>
        <w:rPr>
          <w:rFonts w:ascii="宋体" w:hAnsi="宋体" w:eastAsia="宋体" w:cs="宋体"/>
          <w:sz w:val="20"/>
          <w:szCs w:val="20"/>
        </w:rPr>
      </w:pPr>
      <w:r>
        <w:rPr>
          <w:rFonts w:ascii="宋体" w:hAnsi="宋体" w:eastAsia="宋体" w:cs="宋体"/>
          <w:spacing w:val="5"/>
          <w:sz w:val="20"/>
          <w:szCs w:val="20"/>
        </w:rPr>
        <w:t>3. 修编调整后的《山东省园林绿化工程消耗量定额》适用于我省行政区域内的园林绿化、园路、</w:t>
      </w:r>
      <w:r>
        <w:rPr>
          <w:rFonts w:ascii="宋体" w:hAnsi="宋体" w:eastAsia="宋体" w:cs="宋体"/>
          <w:spacing w:val="10"/>
          <w:sz w:val="20"/>
          <w:szCs w:val="20"/>
        </w:rPr>
        <w:t>园桥、园林景观工程的新建、扩建和改建工程，是开展工程实施阶段计价活动、编制各类造价文件</w:t>
      </w:r>
      <w:r>
        <w:rPr>
          <w:rFonts w:ascii="宋体" w:hAnsi="宋体" w:eastAsia="宋体" w:cs="宋体"/>
          <w:spacing w:val="2"/>
          <w:sz w:val="20"/>
          <w:szCs w:val="20"/>
        </w:rPr>
        <w:t>的参考。</w:t>
      </w:r>
    </w:p>
    <w:p>
      <w:pPr>
        <w:spacing w:before="157" w:line="298" w:lineRule="auto"/>
        <w:ind w:right="80" w:firstLine="418"/>
        <w:rPr>
          <w:rFonts w:ascii="宋体" w:hAnsi="宋体" w:eastAsia="宋体" w:cs="宋体"/>
          <w:sz w:val="20"/>
          <w:szCs w:val="20"/>
        </w:rPr>
      </w:pPr>
      <w:r>
        <w:rPr>
          <w:rFonts w:ascii="宋体" w:hAnsi="宋体" w:eastAsia="宋体" w:cs="宋体"/>
          <w:spacing w:val="7"/>
          <w:sz w:val="20"/>
          <w:szCs w:val="20"/>
        </w:rPr>
        <w:t>4. 园林景观工程内的电气、亮化、智能化等安装工程执行《山东省安装工程消耗量定额》</w:t>
      </w:r>
      <w:r>
        <w:rPr>
          <w:rFonts w:ascii="宋体" w:hAnsi="宋体" w:eastAsia="宋体" w:cs="宋体"/>
          <w:spacing w:val="-53"/>
          <w:sz w:val="20"/>
          <w:szCs w:val="20"/>
        </w:rPr>
        <w:t xml:space="preserve"> </w:t>
      </w:r>
      <w:r>
        <w:rPr>
          <w:rFonts w:ascii="宋体" w:hAnsi="宋体" w:eastAsia="宋体" w:cs="宋体"/>
          <w:spacing w:val="7"/>
          <w:sz w:val="20"/>
          <w:szCs w:val="20"/>
        </w:rPr>
        <w:t>，给</w:t>
      </w:r>
      <w:r>
        <w:rPr>
          <w:rFonts w:ascii="宋体" w:hAnsi="宋体" w:eastAsia="宋体" w:cs="宋体"/>
          <w:spacing w:val="9"/>
          <w:sz w:val="20"/>
          <w:szCs w:val="20"/>
        </w:rPr>
        <w:t>排水工程按照设计标准执行相应专业定额。</w:t>
      </w:r>
    </w:p>
    <w:p>
      <w:pPr>
        <w:spacing w:before="155" w:line="278" w:lineRule="exact"/>
        <w:ind w:left="421"/>
        <w:rPr>
          <w:rFonts w:ascii="宋体" w:hAnsi="宋体" w:eastAsia="宋体" w:cs="宋体"/>
          <w:sz w:val="20"/>
          <w:szCs w:val="20"/>
        </w:rPr>
      </w:pPr>
      <w:r>
        <w:rPr>
          <w:rFonts w:ascii="宋体" w:hAnsi="宋体" w:eastAsia="宋体" w:cs="宋体"/>
          <w:b/>
          <w:bCs/>
          <w:spacing w:val="1"/>
          <w:position w:val="1"/>
          <w:sz w:val="20"/>
          <w:szCs w:val="20"/>
        </w:rPr>
        <w:t>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关于检验试验费：</w:t>
      </w:r>
    </w:p>
    <w:p>
      <w:pPr>
        <w:spacing w:before="121" w:line="369" w:lineRule="auto"/>
        <w:ind w:right="83" w:firstLine="419"/>
        <w:jc w:val="both"/>
        <w:rPr>
          <w:rFonts w:ascii="宋体" w:hAnsi="宋体" w:eastAsia="宋体" w:cs="宋体"/>
          <w:sz w:val="20"/>
          <w:szCs w:val="20"/>
        </w:rPr>
      </w:pPr>
      <w:r>
        <w:rPr>
          <w:rFonts w:ascii="宋体" w:hAnsi="宋体" w:eastAsia="宋体" w:cs="宋体"/>
          <w:spacing w:val="11"/>
          <w:sz w:val="20"/>
          <w:szCs w:val="20"/>
        </w:rPr>
        <w:t>按照《山东省建设工程费用项目组成及计算规则》的组成，检验试验费已列入</w:t>
      </w:r>
      <w:r>
        <w:rPr>
          <w:rFonts w:ascii="宋体" w:hAnsi="宋体" w:eastAsia="宋体" w:cs="宋体"/>
          <w:spacing w:val="10"/>
          <w:sz w:val="20"/>
          <w:szCs w:val="20"/>
        </w:rPr>
        <w:t>企业管理费中，</w:t>
      </w:r>
      <w:r>
        <w:rPr>
          <w:rFonts w:ascii="宋体" w:hAnsi="宋体" w:eastAsia="宋体" w:cs="宋体"/>
          <w:spacing w:val="11"/>
          <w:sz w:val="20"/>
          <w:szCs w:val="20"/>
        </w:rPr>
        <w:t>不再单独计算。暂列金额中的其他检验试验费是指除企业管理费中包含的检验</w:t>
      </w:r>
      <w:r>
        <w:rPr>
          <w:rFonts w:ascii="宋体" w:hAnsi="宋体" w:eastAsia="宋体" w:cs="宋体"/>
          <w:spacing w:val="10"/>
          <w:sz w:val="20"/>
          <w:szCs w:val="20"/>
        </w:rPr>
        <w:t>试验费之外，开展特</w:t>
      </w:r>
      <w:r>
        <w:rPr>
          <w:rFonts w:ascii="宋体" w:hAnsi="宋体" w:eastAsia="宋体" w:cs="宋体"/>
          <w:spacing w:val="9"/>
          <w:sz w:val="20"/>
          <w:szCs w:val="20"/>
        </w:rPr>
        <w:t>殊性鉴定，检查等所发生的费用，其他检验试验费包括：</w:t>
      </w:r>
    </w:p>
    <w:p>
      <w:pPr>
        <w:spacing w:line="278" w:lineRule="exact"/>
        <w:ind w:left="411"/>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1）规范规定之外要求增加鉴定、检查产生的费用；</w:t>
      </w:r>
    </w:p>
    <w:p>
      <w:pPr>
        <w:spacing w:before="123" w:line="277" w:lineRule="exact"/>
        <w:ind w:left="411"/>
        <w:rPr>
          <w:rFonts w:ascii="宋体" w:hAnsi="宋体" w:eastAsia="宋体" w:cs="宋体"/>
          <w:sz w:val="20"/>
          <w:szCs w:val="20"/>
        </w:rPr>
      </w:pPr>
      <w:r>
        <w:rPr>
          <w:rFonts w:ascii="宋体" w:hAnsi="宋体" w:eastAsia="宋体" w:cs="宋体"/>
          <w:spacing w:val="9"/>
          <w:position w:val="1"/>
          <w:sz w:val="20"/>
          <w:szCs w:val="20"/>
        </w:rPr>
        <w:t>（2）新结构、新材料的试验费用；</w:t>
      </w:r>
    </w:p>
    <w:p>
      <w:pPr>
        <w:spacing w:before="124" w:line="278" w:lineRule="exact"/>
        <w:ind w:left="411"/>
        <w:rPr>
          <w:rFonts w:ascii="宋体" w:hAnsi="宋体" w:eastAsia="宋体" w:cs="宋体"/>
          <w:sz w:val="20"/>
          <w:szCs w:val="20"/>
        </w:rPr>
      </w:pPr>
      <w:r>
        <w:rPr>
          <w:rFonts w:ascii="宋体" w:hAnsi="宋体" w:eastAsia="宋体" w:cs="宋体"/>
          <w:spacing w:val="9"/>
          <w:position w:val="1"/>
          <w:sz w:val="20"/>
          <w:szCs w:val="20"/>
        </w:rPr>
        <w:t>（3）对构件进行破坏性检验试验的费用；</w:t>
      </w:r>
    </w:p>
    <w:p>
      <w:pPr>
        <w:spacing w:before="120" w:line="277" w:lineRule="exact"/>
        <w:ind w:left="411"/>
        <w:rPr>
          <w:rFonts w:ascii="宋体" w:hAnsi="宋体" w:eastAsia="宋体" w:cs="宋体"/>
          <w:sz w:val="20"/>
          <w:szCs w:val="20"/>
        </w:rPr>
      </w:pPr>
      <w:r>
        <w:rPr>
          <w:rFonts w:ascii="宋体" w:hAnsi="宋体" w:eastAsia="宋体" w:cs="宋体"/>
          <w:spacing w:val="10"/>
          <w:position w:val="1"/>
          <w:sz w:val="20"/>
          <w:szCs w:val="20"/>
        </w:rPr>
        <w:t>（4）建设单位委托第三方机构开展检验试验</w:t>
      </w:r>
      <w:r>
        <w:rPr>
          <w:rFonts w:ascii="宋体" w:hAnsi="宋体" w:eastAsia="宋体" w:cs="宋体"/>
          <w:spacing w:val="9"/>
          <w:position w:val="1"/>
          <w:sz w:val="20"/>
          <w:szCs w:val="20"/>
        </w:rPr>
        <w:t>，由承包人支付的检验试验费用；</w:t>
      </w:r>
    </w:p>
    <w:p>
      <w:pPr>
        <w:spacing w:before="124" w:line="278" w:lineRule="exact"/>
        <w:ind w:left="411"/>
        <w:rPr>
          <w:rFonts w:ascii="宋体" w:hAnsi="宋体" w:eastAsia="宋体" w:cs="宋体"/>
          <w:sz w:val="20"/>
          <w:szCs w:val="20"/>
        </w:rPr>
      </w:pPr>
      <w:r>
        <w:rPr>
          <w:rFonts w:ascii="宋体" w:hAnsi="宋体" w:eastAsia="宋体" w:cs="宋体"/>
          <w:spacing w:val="9"/>
          <w:position w:val="1"/>
          <w:sz w:val="20"/>
          <w:szCs w:val="20"/>
        </w:rPr>
        <w:t>（5）其他特殊性检验试验项目。</w:t>
      </w:r>
    </w:p>
    <w:p>
      <w:pPr>
        <w:spacing w:before="122" w:line="350" w:lineRule="auto"/>
        <w:ind w:right="83" w:firstLine="418"/>
        <w:rPr>
          <w:rFonts w:ascii="宋体" w:hAnsi="宋体" w:eastAsia="宋体" w:cs="宋体"/>
          <w:sz w:val="20"/>
          <w:szCs w:val="20"/>
        </w:rPr>
      </w:pPr>
      <w:r>
        <w:rPr>
          <w:rFonts w:ascii="宋体" w:hAnsi="宋体" w:eastAsia="宋体" w:cs="宋体"/>
          <w:spacing w:val="11"/>
          <w:sz w:val="20"/>
          <w:szCs w:val="20"/>
        </w:rPr>
        <w:t>对承包人提供的、具有检验合格证明的材料，发包人要求再次检验且经检测不合</w:t>
      </w:r>
      <w:r>
        <w:rPr>
          <w:rFonts w:ascii="宋体" w:hAnsi="宋体" w:eastAsia="宋体" w:cs="宋体"/>
          <w:spacing w:val="10"/>
          <w:sz w:val="20"/>
          <w:szCs w:val="20"/>
        </w:rPr>
        <w:t>格的，检测费</w:t>
      </w:r>
      <w:r>
        <w:rPr>
          <w:rFonts w:ascii="宋体" w:hAnsi="宋体" w:eastAsia="宋体" w:cs="宋体"/>
          <w:spacing w:val="9"/>
          <w:sz w:val="20"/>
          <w:szCs w:val="20"/>
        </w:rPr>
        <w:t>用由承包人承担，不计入工程造价。</w:t>
      </w:r>
    </w:p>
    <w:p>
      <w:pPr>
        <w:spacing w:before="42" w:line="276" w:lineRule="exact"/>
        <w:ind w:left="422"/>
        <w:rPr>
          <w:rFonts w:ascii="宋体" w:hAnsi="宋体" w:eastAsia="宋体" w:cs="宋体"/>
          <w:sz w:val="20"/>
          <w:szCs w:val="20"/>
        </w:rPr>
      </w:pPr>
      <w:r>
        <w:rPr>
          <w:rFonts w:ascii="宋体" w:hAnsi="宋体" w:eastAsia="宋体" w:cs="宋体"/>
          <w:b/>
          <w:bCs/>
          <w:spacing w:val="5"/>
          <w:position w:val="1"/>
          <w:sz w:val="20"/>
          <w:szCs w:val="20"/>
        </w:rPr>
        <w:t>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关于地被、露地花卉及草本类植物换土的计价</w:t>
      </w:r>
    </w:p>
    <w:p>
      <w:pPr>
        <w:spacing w:before="128" w:line="220" w:lineRule="auto"/>
        <w:ind w:left="420"/>
        <w:rPr>
          <w:rFonts w:ascii="宋体" w:hAnsi="宋体" w:eastAsia="宋体" w:cs="宋体"/>
          <w:sz w:val="20"/>
          <w:szCs w:val="20"/>
        </w:rPr>
      </w:pPr>
      <w:r>
        <w:rPr>
          <w:rFonts w:ascii="宋体" w:hAnsi="宋体" w:eastAsia="宋体" w:cs="宋体"/>
          <w:spacing w:val="9"/>
          <w:sz w:val="20"/>
          <w:szCs w:val="20"/>
        </w:rPr>
        <w:t>地被、露地花卉及草本类植物换土按成片换土</w:t>
      </w:r>
      <w:r>
        <w:rPr>
          <w:rFonts w:ascii="宋体" w:hAnsi="宋体" w:eastAsia="宋体" w:cs="宋体"/>
          <w:spacing w:val="8"/>
          <w:sz w:val="20"/>
          <w:szCs w:val="20"/>
        </w:rPr>
        <w:t>执行“</w:t>
      </w:r>
      <w:r>
        <w:rPr>
          <w:rFonts w:ascii="宋体" w:hAnsi="宋体" w:eastAsia="宋体" w:cs="宋体"/>
          <w:spacing w:val="-69"/>
          <w:sz w:val="20"/>
          <w:szCs w:val="20"/>
        </w:rPr>
        <w:t xml:space="preserve"> </w:t>
      </w:r>
      <w:r>
        <w:rPr>
          <w:rFonts w:ascii="宋体" w:hAnsi="宋体" w:eastAsia="宋体" w:cs="宋体"/>
          <w:spacing w:val="8"/>
          <w:sz w:val="20"/>
          <w:szCs w:val="20"/>
        </w:rPr>
        <w:t>回填种植土”定额项目。</w:t>
      </w:r>
    </w:p>
    <w:p>
      <w:pPr>
        <w:spacing w:before="157" w:line="276" w:lineRule="exact"/>
        <w:ind w:left="420"/>
        <w:rPr>
          <w:rFonts w:ascii="宋体" w:hAnsi="宋体" w:eastAsia="宋体" w:cs="宋体"/>
          <w:sz w:val="20"/>
          <w:szCs w:val="20"/>
        </w:rPr>
      </w:pPr>
      <w:r>
        <w:rPr>
          <w:rFonts w:ascii="宋体" w:hAnsi="宋体" w:eastAsia="宋体" w:cs="宋体"/>
          <w:b/>
          <w:bCs/>
          <w:spacing w:val="2"/>
          <w:position w:val="1"/>
          <w:sz w:val="20"/>
          <w:szCs w:val="20"/>
        </w:rPr>
        <w:t>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关于苗木修剪的计价</w:t>
      </w:r>
    </w:p>
    <w:p>
      <w:pPr>
        <w:spacing w:before="128" w:line="368" w:lineRule="auto"/>
        <w:ind w:right="80" w:firstLine="421"/>
        <w:jc w:val="both"/>
        <w:rPr>
          <w:rFonts w:ascii="宋体" w:hAnsi="宋体" w:eastAsia="宋体" w:cs="宋体"/>
          <w:sz w:val="20"/>
          <w:szCs w:val="20"/>
        </w:rPr>
      </w:pPr>
      <w:r>
        <w:rPr>
          <w:rFonts w:ascii="宋体" w:hAnsi="宋体" w:eastAsia="宋体" w:cs="宋体"/>
          <w:spacing w:val="11"/>
          <w:sz w:val="20"/>
          <w:szCs w:val="20"/>
        </w:rPr>
        <w:t>苗木修剪相关定额子目适用于对现状乔灌木的修剪。不适用于新栽苗木施</w:t>
      </w:r>
      <w:r>
        <w:rPr>
          <w:rFonts w:ascii="宋体" w:hAnsi="宋体" w:eastAsia="宋体" w:cs="宋体"/>
          <w:spacing w:val="10"/>
          <w:sz w:val="20"/>
          <w:szCs w:val="20"/>
        </w:rPr>
        <w:t>工期养护、保存期养</w:t>
      </w:r>
      <w:r>
        <w:rPr>
          <w:rFonts w:ascii="宋体" w:hAnsi="宋体" w:eastAsia="宋体" w:cs="宋体"/>
          <w:spacing w:val="11"/>
          <w:sz w:val="20"/>
          <w:szCs w:val="20"/>
        </w:rPr>
        <w:t>护期间的修剪，不适用于片植灌木修剪。新栽植苗木修剪包含在栽植子目中，养护</w:t>
      </w:r>
      <w:r>
        <w:rPr>
          <w:rFonts w:ascii="宋体" w:hAnsi="宋体" w:eastAsia="宋体" w:cs="宋体"/>
          <w:spacing w:val="10"/>
          <w:sz w:val="20"/>
          <w:szCs w:val="20"/>
        </w:rPr>
        <w:t>期间的修剪含在</w:t>
      </w:r>
      <w:r>
        <w:rPr>
          <w:rFonts w:ascii="宋体" w:hAnsi="宋体" w:eastAsia="宋体" w:cs="宋体"/>
          <w:spacing w:val="9"/>
          <w:sz w:val="20"/>
          <w:szCs w:val="20"/>
        </w:rPr>
        <w:t>养护子目中，无需单独套用修剪子目。</w:t>
      </w:r>
    </w:p>
    <w:p>
      <w:pPr>
        <w:spacing w:line="277" w:lineRule="exact"/>
        <w:ind w:left="423"/>
        <w:rPr>
          <w:rFonts w:ascii="宋体" w:hAnsi="宋体" w:eastAsia="宋体" w:cs="宋体"/>
          <w:sz w:val="20"/>
          <w:szCs w:val="20"/>
        </w:rPr>
      </w:pPr>
      <w:r>
        <w:rPr>
          <w:rFonts w:ascii="宋体" w:hAnsi="宋体" w:eastAsia="宋体" w:cs="宋体"/>
          <w:b/>
          <w:bCs/>
          <w:spacing w:val="2"/>
          <w:position w:val="1"/>
          <w:sz w:val="20"/>
          <w:szCs w:val="20"/>
        </w:rPr>
        <w:t>8.</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关于回填种植土的计价</w:t>
      </w:r>
    </w:p>
    <w:p>
      <w:pPr>
        <w:spacing w:before="124" w:line="278" w:lineRule="exact"/>
        <w:ind w:left="444"/>
        <w:rPr>
          <w:rFonts w:ascii="宋体" w:hAnsi="宋体" w:eastAsia="宋体" w:cs="宋体"/>
          <w:sz w:val="20"/>
          <w:szCs w:val="20"/>
        </w:rPr>
      </w:pPr>
      <w:r>
        <w:rPr>
          <w:rFonts w:ascii="宋体" w:hAnsi="宋体" w:eastAsia="宋体" w:cs="宋体"/>
          <w:spacing w:val="9"/>
          <w:position w:val="1"/>
          <w:sz w:val="20"/>
          <w:szCs w:val="20"/>
        </w:rPr>
        <w:t>回填种植土定额包括</w:t>
      </w:r>
      <w:r>
        <w:rPr>
          <w:rFonts w:ascii="宋体" w:hAnsi="宋体" w:eastAsia="宋体" w:cs="宋体"/>
          <w:spacing w:val="-30"/>
          <w:position w:val="1"/>
          <w:sz w:val="20"/>
          <w:szCs w:val="20"/>
        </w:rPr>
        <w:t xml:space="preserve"> </w:t>
      </w:r>
      <w:r>
        <w:rPr>
          <w:rFonts w:ascii="宋体" w:hAnsi="宋体" w:eastAsia="宋体" w:cs="宋体"/>
          <w:spacing w:val="9"/>
          <w:position w:val="1"/>
          <w:sz w:val="20"/>
          <w:szCs w:val="20"/>
        </w:rPr>
        <w:t>5m</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以内的就近取土和回填，若超过</w:t>
      </w:r>
      <w:r>
        <w:rPr>
          <w:rFonts w:ascii="宋体" w:hAnsi="宋体" w:eastAsia="宋体" w:cs="宋体"/>
          <w:spacing w:val="-39"/>
          <w:position w:val="1"/>
          <w:sz w:val="20"/>
          <w:szCs w:val="20"/>
        </w:rPr>
        <w:t xml:space="preserve"> </w:t>
      </w:r>
      <w:r>
        <w:rPr>
          <w:rFonts w:ascii="宋体" w:hAnsi="宋体" w:eastAsia="宋体" w:cs="宋体"/>
          <w:spacing w:val="9"/>
          <w:position w:val="1"/>
          <w:sz w:val="20"/>
          <w:szCs w:val="20"/>
        </w:rPr>
        <w:t>5m</w:t>
      </w:r>
      <w:r>
        <w:rPr>
          <w:rFonts w:ascii="宋体" w:hAnsi="宋体" w:eastAsia="宋体" w:cs="宋体"/>
          <w:spacing w:val="-31"/>
          <w:position w:val="1"/>
          <w:sz w:val="20"/>
          <w:szCs w:val="20"/>
        </w:rPr>
        <w:t xml:space="preserve"> </w:t>
      </w:r>
      <w:r>
        <w:rPr>
          <w:rFonts w:ascii="宋体" w:hAnsi="宋体" w:eastAsia="宋体" w:cs="宋体"/>
          <w:spacing w:val="9"/>
          <w:position w:val="1"/>
          <w:sz w:val="20"/>
          <w:szCs w:val="20"/>
        </w:rPr>
        <w:t>时按以下规定计算:</w:t>
      </w:r>
    </w:p>
    <w:p>
      <w:pPr>
        <w:spacing w:before="121" w:line="277" w:lineRule="exact"/>
        <w:ind w:left="411"/>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1"/>
          <w:position w:val="1"/>
          <w:sz w:val="20"/>
          <w:szCs w:val="20"/>
        </w:rPr>
        <w:t xml:space="preserve"> </w:t>
      </w:r>
      <w:r>
        <w:rPr>
          <w:rFonts w:ascii="宋体" w:hAnsi="宋体" w:eastAsia="宋体" w:cs="宋体"/>
          <w:spacing w:val="8"/>
          <w:position w:val="1"/>
          <w:sz w:val="20"/>
          <w:szCs w:val="20"/>
        </w:rPr>
        <w:t>1）就地取余种植土或堆积种植土回填时，除执行回填种植土定额外，另计土方运输费用；</w:t>
      </w:r>
    </w:p>
    <w:p>
      <w:pPr>
        <w:spacing w:before="123" w:line="278" w:lineRule="exact"/>
        <w:ind w:left="411"/>
        <w:rPr>
          <w:rFonts w:ascii="宋体" w:hAnsi="宋体" w:eastAsia="宋体" w:cs="宋体"/>
          <w:sz w:val="20"/>
          <w:szCs w:val="20"/>
        </w:rPr>
      </w:pPr>
      <w:r>
        <w:rPr>
          <w:rFonts w:ascii="宋体" w:hAnsi="宋体" w:eastAsia="宋体" w:cs="宋体"/>
          <w:spacing w:val="9"/>
          <w:position w:val="1"/>
          <w:sz w:val="20"/>
          <w:szCs w:val="20"/>
        </w:rPr>
        <w:t>（2）外购种植土时，按实际计算种植土费用。</w:t>
      </w:r>
    </w:p>
    <w:p>
      <w:pPr>
        <w:spacing w:before="123" w:line="279" w:lineRule="exact"/>
        <w:ind w:left="421"/>
        <w:rPr>
          <w:rFonts w:ascii="宋体" w:hAnsi="宋体" w:eastAsia="宋体" w:cs="宋体"/>
          <w:sz w:val="20"/>
          <w:szCs w:val="20"/>
        </w:rPr>
      </w:pPr>
      <w:r>
        <w:rPr>
          <w:rFonts w:ascii="宋体" w:hAnsi="宋体" w:eastAsia="宋体" w:cs="宋体"/>
          <w:b/>
          <w:bCs/>
          <w:spacing w:val="4"/>
          <w:position w:val="1"/>
          <w:sz w:val="20"/>
          <w:szCs w:val="20"/>
        </w:rPr>
        <w:t>9.</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关于绿地起坡造型子目（</w:t>
      </w:r>
      <w:r>
        <w:rPr>
          <w:rFonts w:ascii="宋体" w:hAnsi="宋体" w:eastAsia="宋体" w:cs="宋体"/>
          <w:spacing w:val="-44"/>
          <w:position w:val="1"/>
          <w:sz w:val="20"/>
          <w:szCs w:val="20"/>
        </w:rPr>
        <w:t xml:space="preserve"> </w:t>
      </w:r>
      <w:r>
        <w:rPr>
          <w:rFonts w:ascii="宋体" w:hAnsi="宋体" w:eastAsia="宋体" w:cs="宋体"/>
          <w:b/>
          <w:bCs/>
          <w:spacing w:val="4"/>
          <w:position w:val="1"/>
          <w:sz w:val="20"/>
          <w:szCs w:val="20"/>
        </w:rPr>
        <w:t>1-1-113~1-1-114）的适用范围</w:t>
      </w:r>
    </w:p>
    <w:p>
      <w:pPr>
        <w:spacing w:line="279" w:lineRule="exact"/>
        <w:rPr>
          <w:rFonts w:ascii="宋体" w:hAnsi="宋体" w:eastAsia="宋体" w:cs="宋体"/>
          <w:sz w:val="20"/>
          <w:szCs w:val="20"/>
        </w:rPr>
        <w:sectPr>
          <w:footerReference r:id="rId257" w:type="default"/>
          <w:pgSz w:w="11906" w:h="16839"/>
          <w:pgMar w:top="400" w:right="1337" w:bottom="1212" w:left="1420"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66" w:lineRule="auto"/>
        <w:ind w:left="2" w:right="2" w:firstLine="419"/>
        <w:jc w:val="both"/>
        <w:rPr>
          <w:rFonts w:ascii="宋体" w:hAnsi="宋体" w:eastAsia="宋体" w:cs="宋体"/>
          <w:sz w:val="20"/>
          <w:szCs w:val="20"/>
        </w:rPr>
      </w:pPr>
      <w:r>
        <w:rPr>
          <w:rFonts w:ascii="宋体" w:hAnsi="宋体" w:eastAsia="宋体" w:cs="宋体"/>
          <w:spacing w:val="7"/>
          <w:sz w:val="20"/>
          <w:szCs w:val="20"/>
        </w:rPr>
        <w:t>绿地起坡造型适用于坡顶与坡底高差大于0.</w:t>
      </w:r>
      <w:r>
        <w:rPr>
          <w:rFonts w:ascii="宋体" w:hAnsi="宋体" w:eastAsia="宋体" w:cs="宋体"/>
          <w:spacing w:val="6"/>
          <w:sz w:val="20"/>
          <w:szCs w:val="20"/>
        </w:rPr>
        <w:t>3m，且小于或等于</w:t>
      </w:r>
      <w:r>
        <w:rPr>
          <w:rFonts w:ascii="宋体" w:hAnsi="宋体" w:eastAsia="宋体" w:cs="宋体"/>
          <w:spacing w:val="-22"/>
          <w:sz w:val="20"/>
          <w:szCs w:val="20"/>
        </w:rPr>
        <w:t xml:space="preserve"> </w:t>
      </w:r>
      <w:r>
        <w:rPr>
          <w:rFonts w:ascii="宋体" w:hAnsi="宋体" w:eastAsia="宋体" w:cs="宋体"/>
          <w:spacing w:val="6"/>
          <w:sz w:val="20"/>
          <w:szCs w:val="20"/>
        </w:rPr>
        <w:t>1.0m</w:t>
      </w:r>
      <w:r>
        <w:rPr>
          <w:rFonts w:ascii="宋体" w:hAnsi="宋体" w:eastAsia="宋体" w:cs="宋体"/>
          <w:spacing w:val="-25"/>
          <w:sz w:val="20"/>
          <w:szCs w:val="20"/>
        </w:rPr>
        <w:t xml:space="preserve"> </w:t>
      </w:r>
      <w:r>
        <w:rPr>
          <w:rFonts w:ascii="宋体" w:hAnsi="宋体" w:eastAsia="宋体" w:cs="宋体"/>
          <w:spacing w:val="6"/>
          <w:sz w:val="20"/>
          <w:szCs w:val="20"/>
        </w:rPr>
        <w:t>的土坡造型堆置，且有明确</w:t>
      </w:r>
      <w:r>
        <w:rPr>
          <w:rFonts w:ascii="宋体" w:hAnsi="宋体" w:eastAsia="宋体" w:cs="宋体"/>
          <w:spacing w:val="11"/>
          <w:sz w:val="20"/>
          <w:szCs w:val="20"/>
        </w:rPr>
        <w:t>的园林景观设计要求，通过等高线图等方式表达土方堆置的体量形式。绿</w:t>
      </w:r>
      <w:r>
        <w:rPr>
          <w:rFonts w:ascii="宋体" w:hAnsi="宋体" w:eastAsia="宋体" w:cs="宋体"/>
          <w:spacing w:val="10"/>
          <w:sz w:val="20"/>
          <w:szCs w:val="20"/>
        </w:rPr>
        <w:t>地起坡造型已综合考虑了</w:t>
      </w:r>
      <w:r>
        <w:rPr>
          <w:rFonts w:ascii="宋体" w:hAnsi="宋体" w:eastAsia="宋体" w:cs="宋体"/>
          <w:spacing w:val="9"/>
          <w:sz w:val="20"/>
          <w:szCs w:val="20"/>
        </w:rPr>
        <w:t>整理绿化地工作内容，整理绿化地不再单独计算。</w:t>
      </w:r>
    </w:p>
    <w:p>
      <w:pPr>
        <w:spacing w:before="11" w:line="276" w:lineRule="exact"/>
        <w:ind w:left="439"/>
        <w:rPr>
          <w:rFonts w:ascii="宋体" w:hAnsi="宋体" w:eastAsia="宋体" w:cs="宋体"/>
          <w:sz w:val="20"/>
          <w:szCs w:val="20"/>
        </w:rPr>
      </w:pPr>
      <w:r>
        <w:rPr>
          <w:rFonts w:ascii="宋体" w:hAnsi="宋体" w:eastAsia="宋体" w:cs="宋体"/>
          <w:b/>
          <w:bCs/>
          <w:spacing w:val="2"/>
          <w:position w:val="1"/>
          <w:sz w:val="20"/>
          <w:szCs w:val="20"/>
        </w:rPr>
        <w:t>10.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关于整理绿化用地的计价</w:t>
      </w:r>
    </w:p>
    <w:p>
      <w:pPr>
        <w:spacing w:before="123" w:line="365" w:lineRule="auto"/>
        <w:ind w:left="11" w:firstLine="411"/>
        <w:rPr>
          <w:rFonts w:ascii="宋体" w:hAnsi="宋体" w:eastAsia="宋体" w:cs="宋体"/>
          <w:sz w:val="20"/>
          <w:szCs w:val="20"/>
        </w:rPr>
      </w:pPr>
      <w:r>
        <w:rPr>
          <w:rFonts w:ascii="宋体" w:hAnsi="宋体" w:eastAsia="宋体" w:cs="宋体"/>
          <w:spacing w:val="7"/>
          <w:sz w:val="20"/>
          <w:szCs w:val="20"/>
        </w:rPr>
        <w:t>整理绿化用地是指施工场地内原有种植土厚度在士</w:t>
      </w:r>
      <w:r>
        <w:rPr>
          <w:rFonts w:ascii="宋体" w:hAnsi="宋体" w:eastAsia="宋体" w:cs="宋体"/>
          <w:spacing w:val="-22"/>
          <w:sz w:val="20"/>
          <w:szCs w:val="20"/>
        </w:rPr>
        <w:t xml:space="preserve"> </w:t>
      </w:r>
      <w:r>
        <w:rPr>
          <w:rFonts w:ascii="宋体" w:hAnsi="宋体" w:eastAsia="宋体" w:cs="宋体"/>
          <w:spacing w:val="7"/>
          <w:sz w:val="20"/>
          <w:szCs w:val="20"/>
        </w:rPr>
        <w:t>30</w:t>
      </w:r>
      <w:r>
        <w:rPr>
          <w:rFonts w:ascii="宋体" w:hAnsi="宋体" w:eastAsia="宋体" w:cs="宋体"/>
          <w:sz w:val="20"/>
          <w:szCs w:val="20"/>
        </w:rPr>
        <w:t>cm</w:t>
      </w:r>
      <w:r>
        <w:rPr>
          <w:rFonts w:ascii="宋体" w:hAnsi="宋体" w:eastAsia="宋体" w:cs="宋体"/>
          <w:spacing w:val="-20"/>
          <w:sz w:val="20"/>
          <w:szCs w:val="20"/>
        </w:rPr>
        <w:t xml:space="preserve"> </w:t>
      </w:r>
      <w:r>
        <w:rPr>
          <w:rFonts w:ascii="宋体" w:hAnsi="宋体" w:eastAsia="宋体" w:cs="宋体"/>
          <w:spacing w:val="7"/>
          <w:sz w:val="20"/>
          <w:szCs w:val="20"/>
        </w:rPr>
        <w:t>内的挖、填、翻松、耙细、平整等工作</w:t>
      </w:r>
      <w:r>
        <w:rPr>
          <w:rFonts w:ascii="宋体" w:hAnsi="宋体" w:eastAsia="宋体" w:cs="宋体"/>
          <w:spacing w:val="11"/>
          <w:sz w:val="20"/>
          <w:szCs w:val="20"/>
        </w:rPr>
        <w:t>内容，但不包括对施工场地内草皮、地被类植物、建筑垃圾</w:t>
      </w:r>
      <w:r>
        <w:rPr>
          <w:rFonts w:ascii="宋体" w:hAnsi="宋体" w:eastAsia="宋体" w:cs="宋体"/>
          <w:spacing w:val="10"/>
          <w:sz w:val="20"/>
          <w:szCs w:val="20"/>
        </w:rPr>
        <w:t>等的清除以及地上垃圾的清理等工作。</w:t>
      </w:r>
      <w:r>
        <w:rPr>
          <w:rFonts w:ascii="宋体" w:hAnsi="宋体" w:eastAsia="宋体" w:cs="宋体"/>
          <w:spacing w:val="9"/>
          <w:sz w:val="20"/>
          <w:szCs w:val="20"/>
        </w:rPr>
        <w:t>除特殊说明外，每个绿化工程计取一次整理绿化</w:t>
      </w:r>
      <w:r>
        <w:rPr>
          <w:rFonts w:ascii="宋体" w:hAnsi="宋体" w:eastAsia="宋体" w:cs="宋体"/>
          <w:spacing w:val="8"/>
          <w:sz w:val="20"/>
          <w:szCs w:val="20"/>
        </w:rPr>
        <w:t>用地。</w:t>
      </w:r>
    </w:p>
    <w:p>
      <w:pPr>
        <w:spacing w:before="14" w:line="364" w:lineRule="auto"/>
        <w:ind w:left="1" w:right="2" w:firstLine="418"/>
        <w:jc w:val="both"/>
        <w:rPr>
          <w:rFonts w:ascii="宋体" w:hAnsi="宋体" w:eastAsia="宋体" w:cs="宋体"/>
          <w:sz w:val="20"/>
          <w:szCs w:val="20"/>
        </w:rPr>
      </w:pPr>
      <w:r>
        <w:rPr>
          <w:rFonts w:ascii="宋体" w:hAnsi="宋体" w:eastAsia="宋体" w:cs="宋体"/>
          <w:spacing w:val="11"/>
          <w:sz w:val="20"/>
          <w:szCs w:val="20"/>
        </w:rPr>
        <w:t>人工回填种植土定额及第四章《通用工程》的人工松填土定额已综合考虑了整理</w:t>
      </w:r>
      <w:r>
        <w:rPr>
          <w:rFonts w:ascii="宋体" w:hAnsi="宋体" w:eastAsia="宋体" w:cs="宋体"/>
          <w:spacing w:val="10"/>
          <w:sz w:val="20"/>
          <w:szCs w:val="20"/>
        </w:rPr>
        <w:t>绿化地相应用</w:t>
      </w:r>
      <w:r>
        <w:rPr>
          <w:rFonts w:ascii="宋体" w:hAnsi="宋体" w:eastAsia="宋体" w:cs="宋体"/>
          <w:spacing w:val="11"/>
          <w:sz w:val="20"/>
          <w:szCs w:val="20"/>
        </w:rPr>
        <w:t>工，不可再单独计算整理绿化用地。采用机械回填种植土、机械松填土的，</w:t>
      </w:r>
      <w:r>
        <w:rPr>
          <w:rFonts w:ascii="宋体" w:hAnsi="宋体" w:eastAsia="宋体" w:cs="宋体"/>
          <w:spacing w:val="10"/>
          <w:sz w:val="20"/>
          <w:szCs w:val="20"/>
        </w:rPr>
        <w:t>可计取一次整理绿化用</w:t>
      </w:r>
      <w:r>
        <w:rPr>
          <w:rFonts w:ascii="宋体" w:hAnsi="宋体" w:eastAsia="宋体" w:cs="宋体"/>
          <w:spacing w:val="2"/>
          <w:sz w:val="20"/>
          <w:szCs w:val="20"/>
        </w:rPr>
        <w:t>地。</w:t>
      </w:r>
    </w:p>
    <w:p>
      <w:pPr>
        <w:spacing w:before="17" w:line="276" w:lineRule="exact"/>
        <w:ind w:left="439"/>
        <w:rPr>
          <w:rFonts w:ascii="宋体" w:hAnsi="宋体" w:eastAsia="宋体" w:cs="宋体"/>
          <w:sz w:val="20"/>
          <w:szCs w:val="20"/>
        </w:rPr>
      </w:pPr>
      <w:r>
        <w:rPr>
          <w:rFonts w:ascii="宋体" w:hAnsi="宋体" w:eastAsia="宋体" w:cs="宋体"/>
          <w:b/>
          <w:bCs/>
          <w:spacing w:val="1"/>
          <w:position w:val="1"/>
          <w:sz w:val="20"/>
          <w:szCs w:val="20"/>
        </w:rPr>
        <w:t>11.</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关于土壤改良的计价</w:t>
      </w:r>
    </w:p>
    <w:p>
      <w:pPr>
        <w:spacing w:before="124" w:line="365" w:lineRule="auto"/>
        <w:ind w:left="1" w:firstLine="321"/>
        <w:jc w:val="both"/>
        <w:rPr>
          <w:rFonts w:ascii="宋体" w:hAnsi="宋体" w:eastAsia="宋体" w:cs="宋体"/>
          <w:sz w:val="20"/>
          <w:szCs w:val="20"/>
        </w:rPr>
      </w:pPr>
      <w:r>
        <w:rPr>
          <w:rFonts w:ascii="宋体" w:hAnsi="宋体" w:eastAsia="宋体" w:cs="宋体"/>
          <w:spacing w:val="8"/>
          <w:sz w:val="20"/>
          <w:szCs w:val="20"/>
        </w:rPr>
        <w:t>土壤改良定额子目（</w:t>
      </w:r>
      <w:r>
        <w:rPr>
          <w:rFonts w:ascii="宋体" w:hAnsi="宋体" w:eastAsia="宋体" w:cs="宋体"/>
          <w:spacing w:val="-47"/>
          <w:sz w:val="20"/>
          <w:szCs w:val="20"/>
        </w:rPr>
        <w:t xml:space="preserve"> </w:t>
      </w:r>
      <w:r>
        <w:rPr>
          <w:rFonts w:ascii="宋体" w:hAnsi="宋体" w:eastAsia="宋体" w:cs="宋体"/>
          <w:spacing w:val="8"/>
          <w:sz w:val="20"/>
          <w:szCs w:val="20"/>
        </w:rPr>
        <w:t>1-1-117~1-1-118）按照就地拌合编制，若实际使用的肥料含量与定额不同</w:t>
      </w:r>
      <w:r>
        <w:rPr>
          <w:rFonts w:ascii="宋体" w:hAnsi="宋体" w:eastAsia="宋体" w:cs="宋体"/>
          <w:spacing w:val="11"/>
          <w:sz w:val="20"/>
          <w:szCs w:val="20"/>
        </w:rPr>
        <w:t>时，可进行调整，其他不变。若实际采用集中拌合方式，执行挖土、运输、回</w:t>
      </w:r>
      <w:r>
        <w:rPr>
          <w:rFonts w:ascii="宋体" w:hAnsi="宋体" w:eastAsia="宋体" w:cs="宋体"/>
          <w:spacing w:val="10"/>
          <w:sz w:val="20"/>
          <w:szCs w:val="20"/>
        </w:rPr>
        <w:t>填定额，并另行计算</w:t>
      </w:r>
      <w:r>
        <w:rPr>
          <w:rFonts w:ascii="宋体" w:hAnsi="宋体" w:eastAsia="宋体" w:cs="宋体"/>
          <w:spacing w:val="6"/>
          <w:sz w:val="20"/>
          <w:szCs w:val="20"/>
        </w:rPr>
        <w:t>拌合费用。</w:t>
      </w:r>
    </w:p>
    <w:p>
      <w:pPr>
        <w:spacing w:before="14" w:line="276" w:lineRule="exact"/>
        <w:ind w:left="439"/>
        <w:rPr>
          <w:rFonts w:ascii="宋体" w:hAnsi="宋体" w:eastAsia="宋体" w:cs="宋体"/>
          <w:sz w:val="20"/>
          <w:szCs w:val="20"/>
        </w:rPr>
      </w:pPr>
      <w:r>
        <w:rPr>
          <w:rFonts w:ascii="宋体" w:hAnsi="宋体" w:eastAsia="宋体" w:cs="宋体"/>
          <w:b/>
          <w:bCs/>
          <w:spacing w:val="1"/>
          <w:position w:val="1"/>
          <w:sz w:val="20"/>
          <w:szCs w:val="20"/>
        </w:rPr>
        <w:t>12.</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关于机械挖树坑的计价</w:t>
      </w:r>
    </w:p>
    <w:p>
      <w:pPr>
        <w:spacing w:before="128" w:line="360" w:lineRule="auto"/>
        <w:ind w:left="1" w:firstLine="418"/>
        <w:jc w:val="both"/>
        <w:rPr>
          <w:rFonts w:ascii="宋体" w:hAnsi="宋体" w:eastAsia="宋体" w:cs="宋体"/>
          <w:sz w:val="20"/>
          <w:szCs w:val="20"/>
        </w:rPr>
      </w:pPr>
      <w:r>
        <w:rPr>
          <w:rFonts w:ascii="宋体" w:hAnsi="宋体" w:eastAsia="宋体" w:cs="宋体"/>
          <w:spacing w:val="11"/>
          <w:sz w:val="20"/>
          <w:szCs w:val="20"/>
        </w:rPr>
        <w:t>起挖、栽植花木均按人工挖坑考虑，若采用机械挖坑时，执行机械挖树坑定额外</w:t>
      </w:r>
      <w:r>
        <w:rPr>
          <w:rFonts w:ascii="宋体" w:hAnsi="宋体" w:eastAsia="宋体" w:cs="宋体"/>
          <w:spacing w:val="10"/>
          <w:sz w:val="20"/>
          <w:szCs w:val="20"/>
        </w:rPr>
        <w:t>，相应栽植定</w:t>
      </w:r>
      <w:r>
        <w:rPr>
          <w:rFonts w:ascii="宋体" w:hAnsi="宋体" w:eastAsia="宋体" w:cs="宋体"/>
          <w:spacing w:val="11"/>
          <w:sz w:val="20"/>
          <w:szCs w:val="20"/>
        </w:rPr>
        <w:t>额人工调减</w:t>
      </w:r>
      <w:r>
        <w:rPr>
          <w:rFonts w:ascii="宋体" w:hAnsi="宋体" w:eastAsia="宋体" w:cs="宋体"/>
          <w:spacing w:val="-18"/>
          <w:sz w:val="20"/>
          <w:szCs w:val="20"/>
        </w:rPr>
        <w:t xml:space="preserve"> </w:t>
      </w:r>
      <w:r>
        <w:rPr>
          <w:rFonts w:ascii="宋体" w:hAnsi="宋体" w:eastAsia="宋体" w:cs="宋体"/>
          <w:spacing w:val="11"/>
          <w:sz w:val="20"/>
          <w:szCs w:val="20"/>
        </w:rPr>
        <w:t>30%。机械挖树坑时，土类综合考虑，遇三类土、四类土时栽植定额人工不再增加相应</w:t>
      </w:r>
      <w:r>
        <w:rPr>
          <w:rFonts w:ascii="宋体" w:hAnsi="宋体" w:eastAsia="宋体" w:cs="宋体"/>
          <w:spacing w:val="4"/>
          <w:sz w:val="20"/>
          <w:szCs w:val="20"/>
        </w:rPr>
        <w:t>系数。</w:t>
      </w:r>
    </w:p>
    <w:p>
      <w:pPr>
        <w:spacing w:before="25" w:line="276" w:lineRule="exact"/>
        <w:ind w:left="439"/>
        <w:rPr>
          <w:rFonts w:ascii="宋体" w:hAnsi="宋体" w:eastAsia="宋体" w:cs="宋体"/>
          <w:sz w:val="20"/>
          <w:szCs w:val="20"/>
        </w:rPr>
      </w:pPr>
      <w:r>
        <w:rPr>
          <w:rFonts w:ascii="宋体" w:hAnsi="宋体" w:eastAsia="宋体" w:cs="宋体"/>
          <w:b/>
          <w:bCs/>
          <w:spacing w:val="3"/>
          <w:position w:val="1"/>
          <w:sz w:val="20"/>
          <w:szCs w:val="20"/>
        </w:rPr>
        <w:t>13.</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关于起挖、栽植片植花灌木的计价</w:t>
      </w:r>
    </w:p>
    <w:p>
      <w:pPr>
        <w:spacing w:before="104" w:line="374" w:lineRule="auto"/>
        <w:ind w:left="1" w:firstLine="417"/>
        <w:jc w:val="both"/>
        <w:rPr>
          <w:rFonts w:ascii="宋体" w:hAnsi="宋体" w:eastAsia="宋体" w:cs="宋体"/>
          <w:sz w:val="20"/>
          <w:szCs w:val="20"/>
        </w:rPr>
      </w:pPr>
      <w:r>
        <w:rPr>
          <w:rFonts w:ascii="宋体" w:hAnsi="宋体" w:eastAsia="宋体" w:cs="宋体"/>
          <w:spacing w:val="9"/>
          <w:sz w:val="20"/>
          <w:szCs w:val="20"/>
        </w:rPr>
        <w:t>起挖、栽植片植花灌木，定额栽植密度综合考虑。当片植灌木种植密度≤5</w:t>
      </w:r>
      <w:r>
        <w:rPr>
          <w:rFonts w:ascii="宋体" w:hAnsi="宋体" w:eastAsia="宋体" w:cs="宋体"/>
          <w:spacing w:val="-30"/>
          <w:sz w:val="20"/>
          <w:szCs w:val="20"/>
        </w:rPr>
        <w:t xml:space="preserve"> </w:t>
      </w:r>
      <w:r>
        <w:rPr>
          <w:rFonts w:ascii="宋体" w:hAnsi="宋体" w:eastAsia="宋体" w:cs="宋体"/>
          <w:spacing w:val="9"/>
          <w:sz w:val="20"/>
          <w:szCs w:val="20"/>
        </w:rPr>
        <w:t>株/m</w:t>
      </w:r>
      <w:r>
        <w:rPr>
          <w:rFonts w:ascii="宋体" w:hAnsi="宋体" w:eastAsia="宋体" w:cs="宋体"/>
          <w:spacing w:val="9"/>
          <w:position w:val="10"/>
          <w:sz w:val="10"/>
          <w:szCs w:val="10"/>
        </w:rPr>
        <w:t>2</w:t>
      </w:r>
      <w:r>
        <w:rPr>
          <w:rFonts w:ascii="宋体" w:hAnsi="宋体" w:eastAsia="宋体" w:cs="宋体"/>
          <w:spacing w:val="-9"/>
          <w:position w:val="10"/>
          <w:sz w:val="10"/>
          <w:szCs w:val="10"/>
        </w:rPr>
        <w:t xml:space="preserve"> </w:t>
      </w:r>
      <w:r>
        <w:rPr>
          <w:rFonts w:ascii="宋体" w:hAnsi="宋体" w:eastAsia="宋体" w:cs="宋体"/>
          <w:spacing w:val="9"/>
          <w:sz w:val="20"/>
          <w:szCs w:val="20"/>
        </w:rPr>
        <w:t>时执行单株灌</w:t>
      </w:r>
      <w:r>
        <w:rPr>
          <w:rFonts w:ascii="宋体" w:hAnsi="宋体" w:eastAsia="宋体" w:cs="宋体"/>
          <w:spacing w:val="6"/>
          <w:sz w:val="20"/>
          <w:szCs w:val="20"/>
        </w:rPr>
        <w:t>木栽植定额子目。当栽植片植灌木设计有图案花纹要求时人工乘以系数</w:t>
      </w:r>
      <w:r>
        <w:rPr>
          <w:rFonts w:ascii="宋体" w:hAnsi="宋体" w:eastAsia="宋体" w:cs="宋体"/>
          <w:spacing w:val="-7"/>
          <w:sz w:val="20"/>
          <w:szCs w:val="20"/>
        </w:rPr>
        <w:t xml:space="preserve"> </w:t>
      </w:r>
      <w:r>
        <w:rPr>
          <w:rFonts w:ascii="宋体" w:hAnsi="宋体" w:eastAsia="宋体" w:cs="宋体"/>
          <w:spacing w:val="6"/>
          <w:sz w:val="20"/>
          <w:szCs w:val="20"/>
        </w:rPr>
        <w:t>1.1。当栽植花卉设计有图案</w:t>
      </w:r>
      <w:r>
        <w:rPr>
          <w:rFonts w:ascii="宋体" w:hAnsi="宋体" w:eastAsia="宋体" w:cs="宋体"/>
          <w:spacing w:val="2"/>
          <w:sz w:val="20"/>
          <w:szCs w:val="20"/>
        </w:rPr>
        <w:t>花纹要求时人工乘以系数</w:t>
      </w:r>
      <w:r>
        <w:rPr>
          <w:rFonts w:ascii="宋体" w:hAnsi="宋体" w:eastAsia="宋体" w:cs="宋体"/>
          <w:spacing w:val="-14"/>
          <w:sz w:val="20"/>
          <w:szCs w:val="20"/>
        </w:rPr>
        <w:t xml:space="preserve"> </w:t>
      </w:r>
      <w:r>
        <w:rPr>
          <w:rFonts w:ascii="宋体" w:hAnsi="宋体" w:eastAsia="宋体" w:cs="宋体"/>
          <w:spacing w:val="2"/>
          <w:sz w:val="20"/>
          <w:szCs w:val="20"/>
        </w:rPr>
        <w:t>1.15。</w:t>
      </w:r>
    </w:p>
    <w:p>
      <w:pPr>
        <w:spacing w:before="5" w:line="276" w:lineRule="exact"/>
        <w:ind w:left="439"/>
        <w:rPr>
          <w:rFonts w:ascii="宋体" w:hAnsi="宋体" w:eastAsia="宋体" w:cs="宋体"/>
          <w:sz w:val="20"/>
          <w:szCs w:val="20"/>
        </w:rPr>
      </w:pPr>
      <w:r>
        <w:rPr>
          <w:rFonts w:ascii="宋体" w:hAnsi="宋体" w:eastAsia="宋体" w:cs="宋体"/>
          <w:b/>
          <w:bCs/>
          <w:spacing w:val="2"/>
          <w:position w:val="1"/>
          <w:sz w:val="20"/>
          <w:szCs w:val="20"/>
        </w:rPr>
        <w:t>14.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关于胸径、地径、冠径(冠幅)、丛生乔木土球直径的定义</w:t>
      </w:r>
    </w:p>
    <w:p>
      <w:pPr>
        <w:spacing w:before="125" w:line="277" w:lineRule="exact"/>
        <w:ind w:left="421"/>
        <w:rPr>
          <w:rFonts w:ascii="宋体" w:hAnsi="宋体" w:eastAsia="宋体" w:cs="宋体"/>
          <w:sz w:val="20"/>
          <w:szCs w:val="20"/>
        </w:rPr>
      </w:pPr>
      <w:r>
        <w:rPr>
          <w:rFonts w:ascii="宋体" w:hAnsi="宋体" w:eastAsia="宋体" w:cs="宋体"/>
          <w:spacing w:val="8"/>
          <w:position w:val="1"/>
          <w:sz w:val="20"/>
          <w:szCs w:val="20"/>
        </w:rPr>
        <w:t>胸径指地表面向上</w:t>
      </w:r>
      <w:r>
        <w:rPr>
          <w:rFonts w:ascii="宋体" w:hAnsi="宋体" w:eastAsia="宋体" w:cs="宋体"/>
          <w:spacing w:val="-22"/>
          <w:position w:val="1"/>
          <w:sz w:val="20"/>
          <w:szCs w:val="20"/>
        </w:rPr>
        <w:t xml:space="preserve"> </w:t>
      </w:r>
      <w:r>
        <w:rPr>
          <w:rFonts w:ascii="宋体" w:hAnsi="宋体" w:eastAsia="宋体" w:cs="宋体"/>
          <w:spacing w:val="8"/>
          <w:position w:val="1"/>
          <w:sz w:val="20"/>
          <w:szCs w:val="20"/>
        </w:rPr>
        <w:t>1.3m</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高处的树干直径；地径指地表面向上</w:t>
      </w:r>
      <w:r>
        <w:rPr>
          <w:rFonts w:ascii="宋体" w:hAnsi="宋体" w:eastAsia="宋体" w:cs="宋体"/>
          <w:spacing w:val="-22"/>
          <w:position w:val="1"/>
          <w:sz w:val="20"/>
          <w:szCs w:val="20"/>
        </w:rPr>
        <w:t xml:space="preserve"> </w:t>
      </w:r>
      <w:r>
        <w:rPr>
          <w:rFonts w:ascii="宋体" w:hAnsi="宋体" w:eastAsia="宋体" w:cs="宋体"/>
          <w:spacing w:val="8"/>
          <w:position w:val="1"/>
          <w:sz w:val="20"/>
          <w:szCs w:val="20"/>
        </w:rPr>
        <w:t>10</w:t>
      </w:r>
      <w:r>
        <w:rPr>
          <w:rFonts w:ascii="宋体" w:hAnsi="宋体" w:eastAsia="宋体" w:cs="宋体"/>
          <w:position w:val="1"/>
          <w:sz w:val="20"/>
          <w:szCs w:val="20"/>
        </w:rPr>
        <w:t>cm</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处的树干直径。</w:t>
      </w:r>
    </w:p>
    <w:p>
      <w:pPr>
        <w:spacing w:before="121" w:line="276" w:lineRule="exact"/>
        <w:ind w:left="421"/>
        <w:rPr>
          <w:rFonts w:ascii="宋体" w:hAnsi="宋体" w:eastAsia="宋体" w:cs="宋体"/>
          <w:sz w:val="20"/>
          <w:szCs w:val="20"/>
        </w:rPr>
      </w:pPr>
      <w:r>
        <w:rPr>
          <w:rFonts w:ascii="宋体" w:hAnsi="宋体" w:eastAsia="宋体" w:cs="宋体"/>
          <w:spacing w:val="6"/>
          <w:position w:val="1"/>
          <w:sz w:val="20"/>
          <w:szCs w:val="20"/>
        </w:rPr>
        <w:t>冠径(冠幅)：为苗木冠从垂直投影面的最大直径和最小直径之间的平均值。</w:t>
      </w:r>
    </w:p>
    <w:p>
      <w:pPr>
        <w:spacing w:before="125" w:line="278" w:lineRule="exact"/>
        <w:ind w:left="419"/>
        <w:rPr>
          <w:rFonts w:ascii="宋体" w:hAnsi="宋体" w:eastAsia="宋体" w:cs="宋体"/>
          <w:sz w:val="20"/>
          <w:szCs w:val="20"/>
        </w:rPr>
      </w:pPr>
      <w:r>
        <w:rPr>
          <w:rFonts w:ascii="宋体" w:hAnsi="宋体" w:eastAsia="宋体" w:cs="宋体"/>
          <w:spacing w:val="6"/>
          <w:position w:val="1"/>
          <w:sz w:val="20"/>
          <w:szCs w:val="20"/>
        </w:rPr>
        <w:t>丛生乔木土球直径：按单杆胸径</w:t>
      </w:r>
      <w:r>
        <w:rPr>
          <w:rFonts w:ascii="宋体" w:hAnsi="宋体" w:eastAsia="宋体" w:cs="宋体"/>
          <w:spacing w:val="-39"/>
          <w:position w:val="1"/>
          <w:sz w:val="20"/>
          <w:szCs w:val="20"/>
        </w:rPr>
        <w:t xml:space="preserve"> </w:t>
      </w:r>
      <w:r>
        <w:rPr>
          <w:rFonts w:ascii="宋体" w:hAnsi="宋体" w:eastAsia="宋体" w:cs="宋体"/>
          <w:spacing w:val="6"/>
          <w:position w:val="1"/>
          <w:sz w:val="20"/>
          <w:szCs w:val="20"/>
        </w:rPr>
        <w:t>×杆数的</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3</w:t>
      </w:r>
      <w:r>
        <w:rPr>
          <w:rFonts w:ascii="宋体" w:hAnsi="宋体" w:eastAsia="宋体" w:cs="宋体"/>
          <w:spacing w:val="-47"/>
          <w:position w:val="1"/>
          <w:sz w:val="20"/>
          <w:szCs w:val="20"/>
        </w:rPr>
        <w:t xml:space="preserve"> </w:t>
      </w:r>
      <w:r>
        <w:rPr>
          <w:rFonts w:ascii="宋体" w:hAnsi="宋体" w:eastAsia="宋体" w:cs="宋体"/>
          <w:spacing w:val="6"/>
          <w:position w:val="1"/>
          <w:sz w:val="20"/>
          <w:szCs w:val="20"/>
        </w:rPr>
        <w:t>倍计算。</w:t>
      </w:r>
    </w:p>
    <w:p>
      <w:pPr>
        <w:spacing w:before="123" w:line="276" w:lineRule="exact"/>
        <w:ind w:left="439"/>
        <w:rPr>
          <w:rFonts w:ascii="宋体" w:hAnsi="宋体" w:eastAsia="宋体" w:cs="宋体"/>
          <w:sz w:val="20"/>
          <w:szCs w:val="20"/>
        </w:rPr>
      </w:pPr>
      <w:r>
        <w:rPr>
          <w:rFonts w:ascii="宋体" w:hAnsi="宋体" w:eastAsia="宋体" w:cs="宋体"/>
          <w:b/>
          <w:bCs/>
          <w:spacing w:val="1"/>
          <w:position w:val="1"/>
          <w:sz w:val="20"/>
          <w:szCs w:val="20"/>
        </w:rPr>
        <w:t>15.</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关于攀缘植物的计价</w:t>
      </w:r>
    </w:p>
    <w:p>
      <w:pPr>
        <w:spacing w:before="126" w:line="368" w:lineRule="auto"/>
        <w:ind w:left="1" w:firstLine="417"/>
        <w:jc w:val="both"/>
        <w:rPr>
          <w:rFonts w:ascii="宋体" w:hAnsi="宋体" w:eastAsia="宋体" w:cs="宋体"/>
          <w:sz w:val="20"/>
          <w:szCs w:val="20"/>
        </w:rPr>
      </w:pPr>
      <w:r>
        <w:rPr>
          <w:rFonts w:ascii="宋体" w:hAnsi="宋体" w:eastAsia="宋体" w:cs="宋体"/>
          <w:spacing w:val="11"/>
          <w:sz w:val="20"/>
          <w:szCs w:val="20"/>
        </w:rPr>
        <w:t>起挖攀缘植物，按起挖带土球灌木有关项目执行。攀缘植物栽植及养护定额适用</w:t>
      </w:r>
      <w:r>
        <w:rPr>
          <w:rFonts w:ascii="宋体" w:hAnsi="宋体" w:eastAsia="宋体" w:cs="宋体"/>
          <w:spacing w:val="10"/>
          <w:sz w:val="20"/>
          <w:szCs w:val="20"/>
        </w:rPr>
        <w:t>于垂直攀缘植</w:t>
      </w:r>
      <w:r>
        <w:rPr>
          <w:rFonts w:ascii="宋体" w:hAnsi="宋体" w:eastAsia="宋体" w:cs="宋体"/>
          <w:spacing w:val="11"/>
          <w:sz w:val="20"/>
          <w:szCs w:val="20"/>
        </w:rPr>
        <w:t>物的栽植及养护，成片种植的地面攀缘植物，其栽植和养护执行片植灌木相应定额</w:t>
      </w:r>
      <w:r>
        <w:rPr>
          <w:rFonts w:ascii="宋体" w:hAnsi="宋体" w:eastAsia="宋体" w:cs="宋体"/>
          <w:spacing w:val="10"/>
          <w:sz w:val="20"/>
          <w:szCs w:val="20"/>
        </w:rPr>
        <w:t>。如扶芳藤在地</w:t>
      </w:r>
      <w:r>
        <w:rPr>
          <w:rFonts w:ascii="宋体" w:hAnsi="宋体" w:eastAsia="宋体" w:cs="宋体"/>
          <w:spacing w:val="9"/>
          <w:sz w:val="20"/>
          <w:szCs w:val="20"/>
        </w:rPr>
        <w:t>上攀缘，应执行片植灌木栽植及养护定额。</w:t>
      </w:r>
    </w:p>
    <w:p>
      <w:pPr>
        <w:spacing w:line="278" w:lineRule="exact"/>
        <w:ind w:left="439"/>
        <w:rPr>
          <w:rFonts w:ascii="宋体" w:hAnsi="宋体" w:eastAsia="宋体" w:cs="宋体"/>
          <w:sz w:val="20"/>
          <w:szCs w:val="20"/>
        </w:rPr>
      </w:pPr>
      <w:r>
        <w:rPr>
          <w:rFonts w:ascii="宋体" w:hAnsi="宋体" w:eastAsia="宋体" w:cs="宋体"/>
          <w:b/>
          <w:bCs/>
          <w:spacing w:val="5"/>
          <w:position w:val="1"/>
          <w:sz w:val="20"/>
          <w:szCs w:val="20"/>
        </w:rPr>
        <w:t>16.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关于铺种草皮定额中，种草根、播种、成品草皮的区别</w:t>
      </w:r>
    </w:p>
    <w:p>
      <w:pPr>
        <w:spacing w:before="127" w:line="368" w:lineRule="auto"/>
        <w:ind w:left="1" w:firstLine="417"/>
        <w:jc w:val="both"/>
        <w:rPr>
          <w:rFonts w:ascii="宋体" w:hAnsi="宋体" w:eastAsia="宋体" w:cs="宋体"/>
          <w:sz w:val="20"/>
          <w:szCs w:val="20"/>
        </w:rPr>
      </w:pPr>
      <w:r>
        <w:rPr>
          <w:rFonts w:ascii="宋体" w:hAnsi="宋体" w:eastAsia="宋体" w:cs="宋体"/>
          <w:spacing w:val="11"/>
          <w:sz w:val="20"/>
          <w:szCs w:val="20"/>
        </w:rPr>
        <w:t>铺种草皮分为种草根、播种、成品草皮三种方式。</w:t>
      </w:r>
      <w:r>
        <w:rPr>
          <w:rFonts w:ascii="宋体" w:hAnsi="宋体" w:eastAsia="宋体" w:cs="宋体"/>
          <w:b/>
          <w:bCs/>
          <w:spacing w:val="11"/>
          <w:sz w:val="20"/>
          <w:szCs w:val="20"/>
        </w:rPr>
        <w:t>种草根</w:t>
      </w:r>
      <w:r>
        <w:rPr>
          <w:rFonts w:ascii="宋体" w:hAnsi="宋体" w:eastAsia="宋体" w:cs="宋体"/>
          <w:spacing w:val="11"/>
          <w:sz w:val="20"/>
          <w:szCs w:val="20"/>
        </w:rPr>
        <w:t>是直接在</w:t>
      </w:r>
      <w:r>
        <w:rPr>
          <w:rFonts w:ascii="宋体" w:hAnsi="宋体" w:eastAsia="宋体" w:cs="宋体"/>
          <w:spacing w:val="10"/>
          <w:sz w:val="20"/>
          <w:szCs w:val="20"/>
        </w:rPr>
        <w:t>土中种植草根方式；</w:t>
      </w:r>
      <w:r>
        <w:rPr>
          <w:rFonts w:ascii="宋体" w:hAnsi="宋体" w:eastAsia="宋体" w:cs="宋体"/>
          <w:b/>
          <w:bCs/>
          <w:spacing w:val="10"/>
          <w:sz w:val="20"/>
          <w:szCs w:val="20"/>
        </w:rPr>
        <w:t>播种</w:t>
      </w:r>
      <w:r>
        <w:rPr>
          <w:rFonts w:ascii="宋体" w:hAnsi="宋体" w:eastAsia="宋体" w:cs="宋体"/>
          <w:spacing w:val="10"/>
          <w:sz w:val="20"/>
          <w:szCs w:val="20"/>
        </w:rPr>
        <w:t xml:space="preserve">是直接在土中播种草籽的方式; </w:t>
      </w:r>
      <w:r>
        <w:rPr>
          <w:rFonts w:ascii="宋体" w:hAnsi="宋体" w:eastAsia="宋体" w:cs="宋体"/>
          <w:b/>
          <w:bCs/>
          <w:spacing w:val="10"/>
          <w:sz w:val="20"/>
          <w:szCs w:val="20"/>
        </w:rPr>
        <w:t>成品草皮</w:t>
      </w:r>
      <w:r>
        <w:rPr>
          <w:rFonts w:ascii="宋体" w:hAnsi="宋体" w:eastAsia="宋体" w:cs="宋体"/>
          <w:spacing w:val="10"/>
          <w:sz w:val="20"/>
          <w:szCs w:val="20"/>
        </w:rPr>
        <w:t>是指将切割成一定规格的草块，直接铺设在草坪原土上的方</w:t>
      </w:r>
      <w:r>
        <w:rPr>
          <w:rFonts w:ascii="宋体" w:hAnsi="宋体" w:eastAsia="宋体" w:cs="宋体"/>
          <w:spacing w:val="8"/>
          <w:sz w:val="20"/>
          <w:szCs w:val="20"/>
        </w:rPr>
        <w:t>式。铺成品草皮定额含铺砂，若实际未铺砂，删除材料“</w:t>
      </w:r>
      <w:r>
        <w:rPr>
          <w:rFonts w:ascii="宋体" w:hAnsi="宋体" w:eastAsia="宋体" w:cs="宋体"/>
          <w:spacing w:val="-73"/>
          <w:sz w:val="20"/>
          <w:szCs w:val="20"/>
        </w:rPr>
        <w:t xml:space="preserve"> </w:t>
      </w:r>
      <w:r>
        <w:rPr>
          <w:rFonts w:ascii="宋体" w:hAnsi="宋体" w:eastAsia="宋体" w:cs="宋体"/>
          <w:spacing w:val="8"/>
          <w:sz w:val="20"/>
          <w:szCs w:val="20"/>
        </w:rPr>
        <w:t>中砂”</w:t>
      </w:r>
      <w:r>
        <w:rPr>
          <w:rFonts w:ascii="宋体" w:hAnsi="宋体" w:eastAsia="宋体" w:cs="宋体"/>
          <w:spacing w:val="-72"/>
          <w:sz w:val="20"/>
          <w:szCs w:val="20"/>
        </w:rPr>
        <w:t xml:space="preserve"> </w:t>
      </w:r>
      <w:r>
        <w:rPr>
          <w:rFonts w:ascii="宋体" w:hAnsi="宋体" w:eastAsia="宋体" w:cs="宋体"/>
          <w:spacing w:val="8"/>
          <w:sz w:val="20"/>
          <w:szCs w:val="20"/>
        </w:rPr>
        <w:t>，其他不做调整。</w:t>
      </w:r>
    </w:p>
    <w:p>
      <w:pPr>
        <w:spacing w:line="278" w:lineRule="exact"/>
        <w:ind w:left="439"/>
        <w:rPr>
          <w:rFonts w:ascii="宋体" w:hAnsi="宋体" w:eastAsia="宋体" w:cs="宋体"/>
          <w:sz w:val="20"/>
          <w:szCs w:val="20"/>
        </w:rPr>
      </w:pPr>
      <w:r>
        <w:rPr>
          <w:rFonts w:ascii="宋体" w:hAnsi="宋体" w:eastAsia="宋体" w:cs="宋体"/>
          <w:b/>
          <w:bCs/>
          <w:spacing w:val="6"/>
          <w:position w:val="1"/>
          <w:sz w:val="20"/>
          <w:szCs w:val="20"/>
        </w:rPr>
        <w:t>17.</w:t>
      </w:r>
      <w:r>
        <w:rPr>
          <w:rFonts w:ascii="宋体" w:hAnsi="宋体" w:eastAsia="宋体" w:cs="宋体"/>
          <w:spacing w:val="6"/>
          <w:position w:val="1"/>
          <w:sz w:val="20"/>
          <w:szCs w:val="20"/>
        </w:rPr>
        <w:t xml:space="preserve"> </w:t>
      </w:r>
      <w:r>
        <w:rPr>
          <w:rFonts w:ascii="宋体" w:hAnsi="宋体" w:eastAsia="宋体" w:cs="宋体"/>
          <w:b/>
          <w:bCs/>
          <w:spacing w:val="6"/>
          <w:position w:val="1"/>
          <w:sz w:val="20"/>
          <w:szCs w:val="20"/>
        </w:rPr>
        <w:t>关于草坪养护定额中，“暖季型草坪”和</w:t>
      </w:r>
      <w:r>
        <w:rPr>
          <w:rFonts w:ascii="宋体" w:hAnsi="宋体" w:eastAsia="宋体" w:cs="宋体"/>
          <w:b/>
          <w:bCs/>
          <w:spacing w:val="5"/>
          <w:position w:val="1"/>
          <w:sz w:val="20"/>
          <w:szCs w:val="20"/>
        </w:rPr>
        <w:t>“冷季型草坪”的区别</w:t>
      </w:r>
    </w:p>
    <w:p>
      <w:pPr>
        <w:spacing w:line="278" w:lineRule="exact"/>
        <w:rPr>
          <w:rFonts w:ascii="宋体" w:hAnsi="宋体" w:eastAsia="宋体" w:cs="宋体"/>
          <w:sz w:val="20"/>
          <w:szCs w:val="20"/>
        </w:rPr>
        <w:sectPr>
          <w:footerReference r:id="rId258" w:type="default"/>
          <w:pgSz w:w="11906" w:h="16839"/>
          <w:pgMar w:top="400" w:right="1417" w:bottom="1212" w:left="1418" w:header="0" w:footer="897"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9" w:lineRule="auto"/>
        <w:ind w:left="3" w:right="63" w:firstLine="420"/>
        <w:jc w:val="both"/>
        <w:rPr>
          <w:rFonts w:ascii="宋体" w:hAnsi="宋体" w:eastAsia="宋体" w:cs="宋体"/>
          <w:sz w:val="20"/>
          <w:szCs w:val="20"/>
        </w:rPr>
      </w:pPr>
      <w:bookmarkStart w:id="136" w:name="bookmark177"/>
      <w:bookmarkEnd w:id="136"/>
      <w:r>
        <w:rPr>
          <w:rFonts w:ascii="宋体" w:hAnsi="宋体" w:eastAsia="宋体" w:cs="宋体"/>
          <w:spacing w:val="2"/>
          <w:sz w:val="20"/>
          <w:szCs w:val="20"/>
        </w:rPr>
        <w:t>草坪养护定额分“暖季型草坪”和“冷季型草坪”。</w:t>
      </w:r>
      <w:r>
        <w:rPr>
          <w:rFonts w:ascii="宋体" w:hAnsi="宋体" w:eastAsia="宋体" w:cs="宋体"/>
          <w:b/>
          <w:bCs/>
          <w:spacing w:val="2"/>
          <w:sz w:val="20"/>
          <w:szCs w:val="20"/>
        </w:rPr>
        <w:t>暖季型草坪</w:t>
      </w:r>
      <w:r>
        <w:rPr>
          <w:rFonts w:ascii="宋体" w:hAnsi="宋体" w:eastAsia="宋体" w:cs="宋体"/>
          <w:spacing w:val="2"/>
          <w:sz w:val="20"/>
          <w:szCs w:val="20"/>
        </w:rPr>
        <w:t>最</w:t>
      </w:r>
      <w:r>
        <w:rPr>
          <w:rFonts w:ascii="宋体" w:hAnsi="宋体" w:eastAsia="宋体" w:cs="宋体"/>
          <w:spacing w:val="1"/>
          <w:sz w:val="20"/>
          <w:szCs w:val="20"/>
        </w:rPr>
        <w:t>适合生长的温度为</w:t>
      </w:r>
      <w:r>
        <w:rPr>
          <w:rFonts w:ascii="宋体" w:hAnsi="宋体" w:eastAsia="宋体" w:cs="宋体"/>
          <w:spacing w:val="-39"/>
          <w:sz w:val="20"/>
          <w:szCs w:val="20"/>
        </w:rPr>
        <w:t xml:space="preserve"> </w:t>
      </w:r>
      <w:r>
        <w:rPr>
          <w:rFonts w:ascii="宋体" w:hAnsi="宋体" w:eastAsia="宋体" w:cs="宋体"/>
          <w:spacing w:val="1"/>
          <w:sz w:val="20"/>
          <w:szCs w:val="20"/>
        </w:rPr>
        <w:t>26℃至35℃,</w:t>
      </w:r>
      <w:r>
        <w:rPr>
          <w:rFonts w:ascii="宋体" w:hAnsi="宋体" w:eastAsia="宋体" w:cs="宋体"/>
          <w:spacing w:val="9"/>
          <w:sz w:val="20"/>
          <w:szCs w:val="20"/>
        </w:rPr>
        <w:t>在-5℃至</w:t>
      </w:r>
      <w:r>
        <w:rPr>
          <w:rFonts w:ascii="宋体" w:hAnsi="宋体" w:eastAsia="宋体" w:cs="宋体"/>
          <w:spacing w:val="-42"/>
          <w:sz w:val="20"/>
          <w:szCs w:val="20"/>
        </w:rPr>
        <w:t xml:space="preserve"> </w:t>
      </w:r>
      <w:r>
        <w:rPr>
          <w:rFonts w:ascii="宋体" w:hAnsi="宋体" w:eastAsia="宋体" w:cs="宋体"/>
          <w:spacing w:val="9"/>
          <w:sz w:val="20"/>
          <w:szCs w:val="20"/>
        </w:rPr>
        <w:t>42℃范围内都能安全存活,这类草坪在夏季或温暖地区生长旺盛,主要包括</w:t>
      </w:r>
      <w:r>
        <w:rPr>
          <w:rFonts w:ascii="宋体" w:hAnsi="宋体" w:eastAsia="宋体" w:cs="宋体"/>
          <w:spacing w:val="8"/>
          <w:sz w:val="20"/>
          <w:szCs w:val="20"/>
        </w:rPr>
        <w:t>马尼拉草、天堂</w:t>
      </w:r>
      <w:r>
        <w:rPr>
          <w:rFonts w:ascii="宋体" w:hAnsi="宋体" w:eastAsia="宋体" w:cs="宋体"/>
          <w:sz w:val="20"/>
          <w:szCs w:val="20"/>
        </w:rPr>
        <w:t>草、白喜草、画眉草等;</w:t>
      </w:r>
      <w:r>
        <w:rPr>
          <w:rFonts w:ascii="宋体" w:hAnsi="宋体" w:eastAsia="宋体" w:cs="宋体"/>
          <w:b/>
          <w:bCs/>
          <w:sz w:val="20"/>
          <w:szCs w:val="20"/>
        </w:rPr>
        <w:t>冷季型草坪</w:t>
      </w:r>
      <w:r>
        <w:rPr>
          <w:rFonts w:ascii="宋体" w:hAnsi="宋体" w:eastAsia="宋体" w:cs="宋体"/>
          <w:sz w:val="20"/>
          <w:szCs w:val="20"/>
        </w:rPr>
        <w:t>主要是指适宜的生长温度在</w:t>
      </w:r>
      <w:r>
        <w:rPr>
          <w:rFonts w:ascii="宋体" w:hAnsi="宋体" w:eastAsia="宋体" w:cs="宋体"/>
          <w:spacing w:val="-23"/>
          <w:sz w:val="20"/>
          <w:szCs w:val="20"/>
        </w:rPr>
        <w:t xml:space="preserve"> </w:t>
      </w:r>
      <w:r>
        <w:rPr>
          <w:rFonts w:ascii="宋体" w:hAnsi="宋体" w:eastAsia="宋体" w:cs="宋体"/>
          <w:sz w:val="20"/>
          <w:szCs w:val="20"/>
        </w:rPr>
        <w:t>1</w:t>
      </w:r>
      <w:r>
        <w:rPr>
          <w:rFonts w:ascii="宋体" w:hAnsi="宋体" w:eastAsia="宋体" w:cs="宋体"/>
          <w:spacing w:val="-1"/>
          <w:sz w:val="20"/>
          <w:szCs w:val="20"/>
        </w:rPr>
        <w:t>5℃至</w:t>
      </w:r>
      <w:r>
        <w:rPr>
          <w:rFonts w:ascii="宋体" w:hAnsi="宋体" w:eastAsia="宋体" w:cs="宋体"/>
          <w:spacing w:val="-41"/>
          <w:sz w:val="20"/>
          <w:szCs w:val="20"/>
        </w:rPr>
        <w:t xml:space="preserve"> </w:t>
      </w:r>
      <w:r>
        <w:rPr>
          <w:rFonts w:ascii="宋体" w:hAnsi="宋体" w:eastAsia="宋体" w:cs="宋体"/>
          <w:spacing w:val="-1"/>
          <w:sz w:val="20"/>
          <w:szCs w:val="20"/>
        </w:rPr>
        <w:t>26℃之间，如果气温高于</w:t>
      </w:r>
      <w:r>
        <w:rPr>
          <w:rFonts w:ascii="宋体" w:hAnsi="宋体" w:eastAsia="宋体" w:cs="宋体"/>
          <w:spacing w:val="-36"/>
          <w:sz w:val="20"/>
          <w:szCs w:val="20"/>
        </w:rPr>
        <w:t xml:space="preserve"> </w:t>
      </w:r>
      <w:r>
        <w:rPr>
          <w:rFonts w:ascii="宋体" w:hAnsi="宋体" w:eastAsia="宋体" w:cs="宋体"/>
          <w:spacing w:val="-1"/>
          <w:sz w:val="20"/>
          <w:szCs w:val="20"/>
        </w:rPr>
        <w:t>30℃</w:t>
      </w:r>
      <w:r>
        <w:rPr>
          <w:rFonts w:ascii="宋体" w:hAnsi="宋体" w:eastAsia="宋体" w:cs="宋体"/>
          <w:spacing w:val="-62"/>
          <w:sz w:val="20"/>
          <w:szCs w:val="20"/>
        </w:rPr>
        <w:t xml:space="preserve"> </w:t>
      </w:r>
      <w:r>
        <w:rPr>
          <w:rFonts w:ascii="宋体" w:hAnsi="宋体" w:eastAsia="宋体" w:cs="宋体"/>
          <w:spacing w:val="-1"/>
          <w:sz w:val="20"/>
          <w:szCs w:val="20"/>
        </w:rPr>
        <w:t>,</w:t>
      </w:r>
      <w:r>
        <w:rPr>
          <w:rFonts w:ascii="宋体" w:hAnsi="宋体" w:eastAsia="宋体" w:cs="宋体"/>
          <w:spacing w:val="9"/>
          <w:sz w:val="20"/>
          <w:szCs w:val="20"/>
        </w:rPr>
        <w:t>生长就会缓慢，主要包括白三叶、剪股颖、黑麦草以及高羊茅等种类。</w:t>
      </w:r>
    </w:p>
    <w:p>
      <w:pPr>
        <w:spacing w:before="46" w:line="276" w:lineRule="exact"/>
        <w:ind w:left="440"/>
        <w:rPr>
          <w:rFonts w:ascii="宋体" w:hAnsi="宋体" w:eastAsia="宋体" w:cs="宋体"/>
          <w:sz w:val="20"/>
          <w:szCs w:val="20"/>
        </w:rPr>
      </w:pPr>
      <w:r>
        <w:rPr>
          <w:rFonts w:ascii="宋体" w:hAnsi="宋体" w:eastAsia="宋体" w:cs="宋体"/>
          <w:b/>
          <w:bCs/>
          <w:spacing w:val="5"/>
          <w:position w:val="1"/>
          <w:sz w:val="20"/>
          <w:szCs w:val="20"/>
        </w:rPr>
        <w:t>18.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关于墙面绿化、高架桥绿化、屋顶花园绿化</w:t>
      </w:r>
      <w:r>
        <w:rPr>
          <w:rFonts w:ascii="宋体" w:hAnsi="宋体" w:eastAsia="宋体" w:cs="宋体"/>
          <w:b/>
          <w:bCs/>
          <w:spacing w:val="4"/>
          <w:position w:val="1"/>
          <w:sz w:val="20"/>
          <w:szCs w:val="20"/>
        </w:rPr>
        <w:t>的计价</w:t>
      </w:r>
    </w:p>
    <w:p>
      <w:pPr>
        <w:spacing w:before="124" w:line="367" w:lineRule="auto"/>
        <w:ind w:firstLine="419"/>
        <w:rPr>
          <w:rFonts w:ascii="宋体" w:hAnsi="宋体" w:eastAsia="宋体" w:cs="宋体"/>
          <w:sz w:val="20"/>
          <w:szCs w:val="20"/>
        </w:rPr>
      </w:pPr>
      <w:r>
        <w:rPr>
          <w:rFonts w:ascii="宋体" w:hAnsi="宋体" w:eastAsia="宋体" w:cs="宋体"/>
          <w:spacing w:val="3"/>
          <w:sz w:val="20"/>
          <w:szCs w:val="20"/>
        </w:rPr>
        <w:t>墙面绿化、高架桥绿化套用相应定额项目，人工乘以系数</w:t>
      </w:r>
      <w:r>
        <w:rPr>
          <w:rFonts w:ascii="宋体" w:hAnsi="宋体" w:eastAsia="宋体" w:cs="宋体"/>
          <w:spacing w:val="-19"/>
          <w:sz w:val="20"/>
          <w:szCs w:val="20"/>
        </w:rPr>
        <w:t xml:space="preserve"> </w:t>
      </w:r>
      <w:r>
        <w:rPr>
          <w:rFonts w:ascii="宋体" w:hAnsi="宋体" w:eastAsia="宋体" w:cs="宋体"/>
          <w:spacing w:val="3"/>
          <w:sz w:val="20"/>
          <w:szCs w:val="20"/>
        </w:rPr>
        <w:t>1.4；屋顶花园绿化套用相应定额项目，</w:t>
      </w:r>
      <w:r>
        <w:rPr>
          <w:rFonts w:ascii="宋体" w:hAnsi="宋体" w:eastAsia="宋体" w:cs="宋体"/>
          <w:spacing w:val="7"/>
          <w:sz w:val="20"/>
          <w:szCs w:val="20"/>
        </w:rPr>
        <w:t>人工乘以系数</w:t>
      </w:r>
      <w:r>
        <w:rPr>
          <w:rFonts w:ascii="宋体" w:hAnsi="宋体" w:eastAsia="宋体" w:cs="宋体"/>
          <w:spacing w:val="-22"/>
          <w:sz w:val="20"/>
          <w:szCs w:val="20"/>
        </w:rPr>
        <w:t xml:space="preserve"> </w:t>
      </w:r>
      <w:r>
        <w:rPr>
          <w:rFonts w:ascii="宋体" w:hAnsi="宋体" w:eastAsia="宋体" w:cs="宋体"/>
          <w:spacing w:val="7"/>
          <w:sz w:val="20"/>
          <w:szCs w:val="20"/>
        </w:rPr>
        <w:t>1.05。定额不包括苗木的垂</w:t>
      </w:r>
      <w:r>
        <w:rPr>
          <w:rFonts w:ascii="宋体" w:hAnsi="宋体" w:eastAsia="宋体" w:cs="宋体"/>
          <w:spacing w:val="6"/>
          <w:sz w:val="20"/>
          <w:szCs w:val="20"/>
        </w:rPr>
        <w:t>直运输费用，发生时另行计算。</w:t>
      </w:r>
    </w:p>
    <w:p>
      <w:pPr>
        <w:spacing w:before="4" w:line="278" w:lineRule="exact"/>
        <w:ind w:left="420"/>
        <w:rPr>
          <w:rFonts w:ascii="宋体" w:hAnsi="宋体" w:eastAsia="宋体" w:cs="宋体"/>
          <w:sz w:val="20"/>
          <w:szCs w:val="20"/>
        </w:rPr>
      </w:pPr>
      <w:r>
        <w:rPr>
          <w:rFonts w:ascii="宋体" w:hAnsi="宋体" w:eastAsia="宋体" w:cs="宋体"/>
          <w:spacing w:val="7"/>
          <w:position w:val="1"/>
          <w:sz w:val="20"/>
          <w:szCs w:val="20"/>
        </w:rPr>
        <w:t>墙面绿化、高架桥绿化、屋顶花园绿化养护按相应养护定额，人工乘以系数</w:t>
      </w:r>
      <w:r>
        <w:rPr>
          <w:rFonts w:ascii="宋体" w:hAnsi="宋体" w:eastAsia="宋体" w:cs="宋体"/>
          <w:spacing w:val="-6"/>
          <w:position w:val="1"/>
          <w:sz w:val="20"/>
          <w:szCs w:val="20"/>
        </w:rPr>
        <w:t xml:space="preserve"> </w:t>
      </w:r>
      <w:r>
        <w:rPr>
          <w:rFonts w:ascii="宋体" w:hAnsi="宋体" w:eastAsia="宋体" w:cs="宋体"/>
          <w:spacing w:val="7"/>
          <w:position w:val="1"/>
          <w:sz w:val="20"/>
          <w:szCs w:val="20"/>
        </w:rPr>
        <w:t>1.1，其他不变。</w:t>
      </w:r>
    </w:p>
    <w:p>
      <w:pPr>
        <w:spacing w:before="123" w:line="276" w:lineRule="exact"/>
        <w:ind w:left="440"/>
        <w:rPr>
          <w:rFonts w:ascii="宋体" w:hAnsi="宋体" w:eastAsia="宋体" w:cs="宋体"/>
          <w:sz w:val="20"/>
          <w:szCs w:val="20"/>
        </w:rPr>
      </w:pPr>
      <w:r>
        <w:rPr>
          <w:rFonts w:ascii="宋体" w:hAnsi="宋体" w:eastAsia="宋体" w:cs="宋体"/>
          <w:b/>
          <w:bCs/>
          <w:spacing w:val="1"/>
          <w:position w:val="1"/>
          <w:sz w:val="20"/>
          <w:szCs w:val="20"/>
        </w:rPr>
        <w:t>19.</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关于洒水车浇水的计价</w:t>
      </w:r>
    </w:p>
    <w:p>
      <w:pPr>
        <w:spacing w:before="126" w:line="368" w:lineRule="auto"/>
        <w:ind w:right="67" w:firstLine="420"/>
        <w:rPr>
          <w:rFonts w:ascii="宋体" w:hAnsi="宋体" w:eastAsia="宋体" w:cs="宋体"/>
          <w:sz w:val="20"/>
          <w:szCs w:val="20"/>
        </w:rPr>
      </w:pPr>
      <w:r>
        <w:rPr>
          <w:rFonts w:ascii="宋体" w:hAnsi="宋体" w:eastAsia="宋体" w:cs="宋体"/>
          <w:spacing w:val="11"/>
          <w:sz w:val="20"/>
          <w:szCs w:val="20"/>
        </w:rPr>
        <w:t>定额中苗木栽植、养护项目，浇水均按人工胶管浇水考虑，若采用洒水车浇水，</w:t>
      </w:r>
      <w:r>
        <w:rPr>
          <w:rFonts w:ascii="宋体" w:hAnsi="宋体" w:eastAsia="宋体" w:cs="宋体"/>
          <w:spacing w:val="10"/>
          <w:sz w:val="20"/>
          <w:szCs w:val="20"/>
        </w:rPr>
        <w:t>按定额中的用</w:t>
      </w:r>
      <w:r>
        <w:rPr>
          <w:rFonts w:ascii="宋体" w:hAnsi="宋体" w:eastAsia="宋体" w:cs="宋体"/>
          <w:spacing w:val="9"/>
          <w:sz w:val="20"/>
          <w:szCs w:val="20"/>
        </w:rPr>
        <w:t>水量，另执行“洒水车浇水”定额子目。</w:t>
      </w:r>
    </w:p>
    <w:p>
      <w:pPr>
        <w:spacing w:line="276" w:lineRule="exact"/>
        <w:ind w:left="423"/>
        <w:rPr>
          <w:rFonts w:ascii="宋体" w:hAnsi="宋体" w:eastAsia="宋体" w:cs="宋体"/>
          <w:sz w:val="20"/>
          <w:szCs w:val="20"/>
        </w:rPr>
      </w:pPr>
      <w:r>
        <w:rPr>
          <w:rFonts w:ascii="宋体" w:hAnsi="宋体" w:eastAsia="宋体" w:cs="宋体"/>
          <w:b/>
          <w:bCs/>
          <w:spacing w:val="3"/>
          <w:position w:val="1"/>
          <w:sz w:val="20"/>
          <w:szCs w:val="20"/>
        </w:rPr>
        <w:t>20.</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关于苗木反季节栽植的计价</w:t>
      </w:r>
    </w:p>
    <w:p>
      <w:pPr>
        <w:spacing w:before="126" w:line="368" w:lineRule="auto"/>
        <w:ind w:left="3" w:right="89" w:firstLine="416"/>
        <w:rPr>
          <w:rFonts w:ascii="宋体" w:hAnsi="宋体" w:eastAsia="宋体" w:cs="宋体"/>
          <w:sz w:val="20"/>
          <w:szCs w:val="20"/>
        </w:rPr>
      </w:pPr>
      <w:r>
        <w:rPr>
          <w:rFonts w:ascii="宋体" w:hAnsi="宋体" w:eastAsia="宋体" w:cs="宋体"/>
          <w:spacing w:val="10"/>
          <w:sz w:val="20"/>
          <w:szCs w:val="20"/>
        </w:rPr>
        <w:t>定额中苗木栽植是按正常施工季节进行编制的。若是反季节栽植，增加的修剪、遮阳、喷雾、</w:t>
      </w:r>
      <w:r>
        <w:rPr>
          <w:rFonts w:ascii="宋体" w:hAnsi="宋体" w:eastAsia="宋体" w:cs="宋体"/>
          <w:spacing w:val="9"/>
          <w:sz w:val="20"/>
          <w:szCs w:val="20"/>
        </w:rPr>
        <w:t>生根剂、营养液等费用，按实际发生另行计算。</w:t>
      </w:r>
    </w:p>
    <w:p>
      <w:pPr>
        <w:spacing w:line="278" w:lineRule="exact"/>
        <w:ind w:left="423"/>
        <w:rPr>
          <w:rFonts w:ascii="宋体" w:hAnsi="宋体" w:eastAsia="宋体" w:cs="宋体"/>
          <w:sz w:val="20"/>
          <w:szCs w:val="20"/>
        </w:rPr>
      </w:pPr>
      <w:r>
        <w:rPr>
          <w:rFonts w:ascii="宋体" w:hAnsi="宋体" w:eastAsia="宋体" w:cs="宋体"/>
          <w:b/>
          <w:bCs/>
          <w:spacing w:val="3"/>
          <w:position w:val="1"/>
          <w:sz w:val="20"/>
          <w:szCs w:val="20"/>
        </w:rPr>
        <w:t>21.</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关于苗木运输定额的适用范围</w:t>
      </w:r>
    </w:p>
    <w:p>
      <w:pPr>
        <w:spacing w:before="124" w:line="368" w:lineRule="auto"/>
        <w:ind w:right="64" w:firstLine="423"/>
        <w:jc w:val="both"/>
        <w:rPr>
          <w:rFonts w:ascii="宋体" w:hAnsi="宋体" w:eastAsia="宋体" w:cs="宋体"/>
          <w:sz w:val="20"/>
          <w:szCs w:val="20"/>
        </w:rPr>
      </w:pPr>
      <w:r>
        <w:rPr>
          <w:rFonts w:ascii="宋体" w:hAnsi="宋体" w:eastAsia="宋体" w:cs="宋体"/>
          <w:spacing w:val="11"/>
          <w:sz w:val="20"/>
          <w:szCs w:val="20"/>
        </w:rPr>
        <w:t>苗木运输定额适用于绿化工程中的植物移植，是指将已经种植的苗木移植到其他</w:t>
      </w:r>
      <w:r>
        <w:rPr>
          <w:rFonts w:ascii="宋体" w:hAnsi="宋体" w:eastAsia="宋体" w:cs="宋体"/>
          <w:spacing w:val="10"/>
          <w:sz w:val="20"/>
          <w:szCs w:val="20"/>
        </w:rPr>
        <w:t>位置，包括设</w:t>
      </w:r>
      <w:r>
        <w:rPr>
          <w:rFonts w:ascii="宋体" w:hAnsi="宋体" w:eastAsia="宋体" w:cs="宋体"/>
          <w:spacing w:val="11"/>
          <w:sz w:val="20"/>
          <w:szCs w:val="20"/>
        </w:rPr>
        <w:t>计变更导致的移栽、现场原有树木位移或其他非施工方原因造成的位移，不适用</w:t>
      </w:r>
      <w:r>
        <w:rPr>
          <w:rFonts w:ascii="宋体" w:hAnsi="宋体" w:eastAsia="宋体" w:cs="宋体"/>
          <w:spacing w:val="10"/>
          <w:sz w:val="20"/>
          <w:szCs w:val="20"/>
        </w:rPr>
        <w:t>于新建绿化工程或</w:t>
      </w:r>
      <w:r>
        <w:rPr>
          <w:rFonts w:ascii="宋体" w:hAnsi="宋体" w:eastAsia="宋体" w:cs="宋体"/>
          <w:spacing w:val="7"/>
          <w:sz w:val="20"/>
          <w:szCs w:val="20"/>
        </w:rPr>
        <w:t>新栽植苗木。</w:t>
      </w:r>
    </w:p>
    <w:p>
      <w:pPr>
        <w:spacing w:line="277" w:lineRule="exact"/>
        <w:ind w:left="423"/>
        <w:rPr>
          <w:rFonts w:ascii="宋体" w:hAnsi="宋体" w:eastAsia="宋体" w:cs="宋体"/>
          <w:sz w:val="20"/>
          <w:szCs w:val="20"/>
        </w:rPr>
      </w:pPr>
      <w:r>
        <w:rPr>
          <w:rFonts w:ascii="宋体" w:hAnsi="宋体" w:eastAsia="宋体" w:cs="宋体"/>
          <w:spacing w:val="11"/>
          <w:position w:val="1"/>
          <w:sz w:val="20"/>
          <w:szCs w:val="20"/>
        </w:rPr>
        <w:t>苗木运输定额均按带土球苗木考虑，裸根苗木运输按带土</w:t>
      </w:r>
      <w:r>
        <w:rPr>
          <w:rFonts w:ascii="宋体" w:hAnsi="宋体" w:eastAsia="宋体" w:cs="宋体"/>
          <w:spacing w:val="10"/>
          <w:position w:val="1"/>
          <w:sz w:val="20"/>
          <w:szCs w:val="20"/>
        </w:rPr>
        <w:t>球苗木运输定额的</w:t>
      </w:r>
      <w:r>
        <w:rPr>
          <w:rFonts w:ascii="宋体" w:hAnsi="宋体" w:eastAsia="宋体" w:cs="宋体"/>
          <w:spacing w:val="-39"/>
          <w:position w:val="1"/>
          <w:sz w:val="20"/>
          <w:szCs w:val="20"/>
        </w:rPr>
        <w:t xml:space="preserve"> </w:t>
      </w:r>
      <w:r>
        <w:rPr>
          <w:rFonts w:ascii="宋体" w:hAnsi="宋体" w:eastAsia="宋体" w:cs="宋体"/>
          <w:spacing w:val="10"/>
          <w:position w:val="1"/>
          <w:sz w:val="20"/>
          <w:szCs w:val="20"/>
        </w:rPr>
        <w:t>25%计算。</w:t>
      </w:r>
    </w:p>
    <w:p>
      <w:pPr>
        <w:spacing w:before="124" w:line="278" w:lineRule="exact"/>
        <w:ind w:left="423"/>
        <w:rPr>
          <w:rFonts w:ascii="宋体" w:hAnsi="宋体" w:eastAsia="宋体" w:cs="宋体"/>
          <w:sz w:val="20"/>
          <w:szCs w:val="20"/>
        </w:rPr>
      </w:pPr>
      <w:r>
        <w:rPr>
          <w:rFonts w:ascii="宋体" w:hAnsi="宋体" w:eastAsia="宋体" w:cs="宋体"/>
          <w:b/>
          <w:bCs/>
          <w:spacing w:val="3"/>
          <w:position w:val="1"/>
          <w:sz w:val="20"/>
          <w:szCs w:val="20"/>
        </w:rPr>
        <w:t>22.</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关于绿化养护各阶段的划分</w:t>
      </w:r>
    </w:p>
    <w:p>
      <w:pPr>
        <w:spacing w:before="125" w:line="368" w:lineRule="auto"/>
        <w:ind w:left="1" w:right="67" w:firstLine="420"/>
        <w:rPr>
          <w:rFonts w:ascii="宋体" w:hAnsi="宋体" w:eastAsia="宋体" w:cs="宋体"/>
          <w:sz w:val="20"/>
          <w:szCs w:val="20"/>
        </w:rPr>
      </w:pPr>
      <w:r>
        <w:rPr>
          <w:rFonts w:ascii="宋体" w:hAnsi="宋体" w:eastAsia="宋体" w:cs="宋体"/>
          <w:spacing w:val="11"/>
          <w:sz w:val="20"/>
          <w:szCs w:val="20"/>
        </w:rPr>
        <w:t>绿化养护分为施工期养护、保存期养护，其中施工期养护包括栽植期养护和</w:t>
      </w:r>
      <w:r>
        <w:rPr>
          <w:rFonts w:ascii="宋体" w:hAnsi="宋体" w:eastAsia="宋体" w:cs="宋体"/>
          <w:spacing w:val="10"/>
          <w:sz w:val="20"/>
          <w:szCs w:val="20"/>
        </w:rPr>
        <w:t>成活期养护，具体</w:t>
      </w:r>
      <w:r>
        <w:rPr>
          <w:rFonts w:ascii="宋体" w:hAnsi="宋体" w:eastAsia="宋体" w:cs="宋体"/>
          <w:spacing w:val="6"/>
          <w:sz w:val="20"/>
          <w:szCs w:val="20"/>
        </w:rPr>
        <w:t>划分如下：</w:t>
      </w:r>
    </w:p>
    <w:p>
      <w:pPr>
        <w:spacing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8"/>
          <w:position w:val="1"/>
          <w:sz w:val="20"/>
          <w:szCs w:val="20"/>
        </w:rPr>
        <w:t xml:space="preserve"> </w:t>
      </w:r>
      <w:r>
        <w:rPr>
          <w:rFonts w:ascii="宋体" w:hAnsi="宋体" w:eastAsia="宋体" w:cs="宋体"/>
          <w:spacing w:val="8"/>
          <w:position w:val="1"/>
          <w:sz w:val="20"/>
          <w:szCs w:val="20"/>
        </w:rPr>
        <w:t>1）栽植期养护是指：苗木种植后，至苗木种植分项工程验收期间的绿化养护管理。</w:t>
      </w:r>
    </w:p>
    <w:p>
      <w:pPr>
        <w:spacing w:before="123" w:line="278" w:lineRule="exact"/>
        <w:ind w:left="413"/>
        <w:rPr>
          <w:rFonts w:ascii="宋体" w:hAnsi="宋体" w:eastAsia="宋体" w:cs="宋体"/>
          <w:sz w:val="20"/>
          <w:szCs w:val="20"/>
        </w:rPr>
      </w:pPr>
      <w:r>
        <w:rPr>
          <w:rFonts w:ascii="宋体" w:hAnsi="宋体" w:eastAsia="宋体" w:cs="宋体"/>
          <w:spacing w:val="10"/>
          <w:position w:val="1"/>
          <w:sz w:val="20"/>
          <w:szCs w:val="20"/>
        </w:rPr>
        <w:t>（2）成活期养护是指：苗木种植分项工程验收后，至</w:t>
      </w:r>
      <w:r>
        <w:rPr>
          <w:rFonts w:ascii="宋体" w:hAnsi="宋体" w:eastAsia="宋体" w:cs="宋体"/>
          <w:spacing w:val="9"/>
          <w:position w:val="1"/>
          <w:sz w:val="20"/>
          <w:szCs w:val="20"/>
        </w:rPr>
        <w:t>竣工验收期间的绿化养护管理。</w:t>
      </w:r>
    </w:p>
    <w:p>
      <w:pPr>
        <w:spacing w:before="121" w:line="278" w:lineRule="exact"/>
        <w:ind w:left="413"/>
        <w:rPr>
          <w:rFonts w:ascii="宋体" w:hAnsi="宋体" w:eastAsia="宋体" w:cs="宋体"/>
          <w:sz w:val="20"/>
          <w:szCs w:val="20"/>
        </w:rPr>
      </w:pPr>
      <w:r>
        <w:rPr>
          <w:rFonts w:ascii="宋体" w:hAnsi="宋体" w:eastAsia="宋体" w:cs="宋体"/>
          <w:spacing w:val="10"/>
          <w:position w:val="1"/>
          <w:sz w:val="20"/>
          <w:szCs w:val="20"/>
        </w:rPr>
        <w:t>（3）保存期养护是指：绿化工程竣工验收后</w:t>
      </w:r>
      <w:r>
        <w:rPr>
          <w:rFonts w:ascii="宋体" w:hAnsi="宋体" w:eastAsia="宋体" w:cs="宋体"/>
          <w:spacing w:val="9"/>
          <w:position w:val="1"/>
          <w:sz w:val="20"/>
          <w:szCs w:val="20"/>
        </w:rPr>
        <w:t>，至移交期间的绿化养护管理。</w:t>
      </w:r>
    </w:p>
    <w:p>
      <w:pPr>
        <w:spacing w:before="14" w:line="1730" w:lineRule="exact"/>
        <w:ind w:firstLine="297"/>
      </w:pPr>
      <w:r>
        <w:rPr>
          <w:position w:val="-34"/>
        </w:rPr>
        <w:drawing>
          <wp:inline distT="0" distB="0" distL="0" distR="0">
            <wp:extent cx="5265420" cy="109855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420"/>
                    <a:stretch>
                      <a:fillRect/>
                    </a:stretch>
                  </pic:blipFill>
                  <pic:spPr>
                    <a:xfrm>
                      <a:off x="0" y="0"/>
                      <a:ext cx="5265420" cy="1098803"/>
                    </a:xfrm>
                    <a:prstGeom prst="rect">
                      <a:avLst/>
                    </a:prstGeom>
                  </pic:spPr>
                </pic:pic>
              </a:graphicData>
            </a:graphic>
          </wp:inline>
        </w:drawing>
      </w:r>
    </w:p>
    <w:p>
      <w:pPr>
        <w:spacing w:before="150" w:line="278" w:lineRule="exact"/>
        <w:ind w:left="423"/>
        <w:rPr>
          <w:rFonts w:ascii="宋体" w:hAnsi="宋体" w:eastAsia="宋体" w:cs="宋体"/>
          <w:sz w:val="20"/>
          <w:szCs w:val="20"/>
        </w:rPr>
      </w:pPr>
      <w:r>
        <w:rPr>
          <w:rFonts w:ascii="宋体" w:hAnsi="宋体" w:eastAsia="宋体" w:cs="宋体"/>
          <w:b/>
          <w:bCs/>
          <w:spacing w:val="5"/>
          <w:position w:val="1"/>
          <w:sz w:val="20"/>
          <w:szCs w:val="20"/>
        </w:rPr>
        <w:t>23.</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关于绿化养护定额的适用范围及调整</w:t>
      </w:r>
      <w:r>
        <w:rPr>
          <w:rFonts w:ascii="宋体" w:hAnsi="宋体" w:eastAsia="宋体" w:cs="宋体"/>
          <w:b/>
          <w:bCs/>
          <w:spacing w:val="4"/>
          <w:position w:val="1"/>
          <w:sz w:val="20"/>
          <w:szCs w:val="20"/>
        </w:rPr>
        <w:t>方式</w:t>
      </w:r>
    </w:p>
    <w:p>
      <w:pPr>
        <w:spacing w:before="127" w:line="385" w:lineRule="auto"/>
        <w:ind w:right="67" w:firstLine="420"/>
        <w:rPr>
          <w:rFonts w:ascii="宋体" w:hAnsi="宋体" w:eastAsia="宋体" w:cs="宋体"/>
          <w:sz w:val="20"/>
          <w:szCs w:val="20"/>
        </w:rPr>
      </w:pPr>
      <w:r>
        <w:rPr>
          <w:rFonts w:ascii="宋体" w:hAnsi="宋体" w:eastAsia="宋体" w:cs="宋体"/>
          <w:spacing w:val="11"/>
          <w:sz w:val="20"/>
          <w:szCs w:val="20"/>
        </w:rPr>
        <w:t>本章定额适用于从竣工验收合格时间起一年以内的绿化工程，对其栽植的苗木、</w:t>
      </w:r>
      <w:r>
        <w:rPr>
          <w:rFonts w:ascii="宋体" w:hAnsi="宋体" w:eastAsia="宋体" w:cs="宋体"/>
          <w:spacing w:val="10"/>
          <w:sz w:val="20"/>
          <w:szCs w:val="20"/>
        </w:rPr>
        <w:t>绿篱等植物进</w:t>
      </w:r>
      <w:r>
        <w:rPr>
          <w:rFonts w:ascii="宋体" w:hAnsi="宋体" w:eastAsia="宋体" w:cs="宋体"/>
          <w:spacing w:val="11"/>
          <w:sz w:val="20"/>
          <w:szCs w:val="20"/>
        </w:rPr>
        <w:t>行浇水、施肥、施药、修剪、除草等养护管理所发生的费用。若保存养护时间不</w:t>
      </w:r>
      <w:r>
        <w:rPr>
          <w:rFonts w:ascii="宋体" w:hAnsi="宋体" w:eastAsia="宋体" w:cs="宋体"/>
          <w:spacing w:val="10"/>
          <w:sz w:val="20"/>
          <w:szCs w:val="20"/>
        </w:rPr>
        <w:t>足一年，其人工、</w:t>
      </w:r>
      <w:r>
        <w:rPr>
          <w:rFonts w:ascii="宋体" w:hAnsi="宋体" w:eastAsia="宋体" w:cs="宋体"/>
          <w:spacing w:val="9"/>
          <w:sz w:val="20"/>
          <w:szCs w:val="20"/>
        </w:rPr>
        <w:t>材料、机械可参照下表系数进行调整：</w:t>
      </w:r>
    </w:p>
    <w:p>
      <w:pPr>
        <w:spacing w:line="385" w:lineRule="auto"/>
        <w:rPr>
          <w:rFonts w:ascii="宋体" w:hAnsi="宋体" w:eastAsia="宋体" w:cs="宋体"/>
          <w:sz w:val="20"/>
          <w:szCs w:val="20"/>
        </w:rPr>
        <w:sectPr>
          <w:footerReference r:id="rId259" w:type="default"/>
          <w:pgSz w:w="11906" w:h="16839"/>
          <w:pgMar w:top="400" w:right="1353" w:bottom="1212" w:left="1418" w:header="0" w:footer="897" w:gutter="0"/>
        </w:sect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1224" w:lineRule="exact"/>
        <w:ind w:firstLine="114"/>
      </w:pPr>
      <w:r>
        <w:rPr>
          <w:position w:val="-24"/>
        </w:rPr>
        <w:drawing>
          <wp:inline distT="0" distB="0" distL="0" distR="0">
            <wp:extent cx="5262245" cy="77724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421"/>
                    <a:stretch>
                      <a:fillRect/>
                    </a:stretch>
                  </pic:blipFill>
                  <pic:spPr>
                    <a:xfrm>
                      <a:off x="0" y="0"/>
                      <a:ext cx="5262371" cy="777240"/>
                    </a:xfrm>
                    <a:prstGeom prst="rect">
                      <a:avLst/>
                    </a:prstGeom>
                  </pic:spPr>
                </pic:pic>
              </a:graphicData>
            </a:graphic>
          </wp:inline>
        </w:drawing>
      </w:r>
    </w:p>
    <w:p>
      <w:pPr>
        <w:spacing w:before="156" w:line="278" w:lineRule="exact"/>
        <w:ind w:left="412"/>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1）若养护时间不足整月，按照向上取整计算月数。</w:t>
      </w:r>
    </w:p>
    <w:p>
      <w:pPr>
        <w:spacing w:before="122" w:line="297" w:lineRule="auto"/>
        <w:ind w:left="3" w:right="76" w:firstLine="409"/>
        <w:rPr>
          <w:rFonts w:ascii="宋体" w:hAnsi="宋体" w:eastAsia="宋体" w:cs="宋体"/>
          <w:sz w:val="20"/>
          <w:szCs w:val="20"/>
        </w:rPr>
      </w:pPr>
      <w:r>
        <w:rPr>
          <w:rFonts w:ascii="宋体" w:hAnsi="宋体" w:eastAsia="宋体" w:cs="宋体"/>
          <w:spacing w:val="11"/>
          <w:sz w:val="20"/>
          <w:szCs w:val="20"/>
        </w:rPr>
        <w:t>（2）实际保存期养护时间为两年的，第二年的养护费用</w:t>
      </w:r>
      <w:r>
        <w:rPr>
          <w:rFonts w:ascii="宋体" w:hAnsi="宋体" w:eastAsia="宋体" w:cs="宋体"/>
          <w:spacing w:val="10"/>
          <w:sz w:val="20"/>
          <w:szCs w:val="20"/>
        </w:rPr>
        <w:t>按第一年的养护费用乘以系数0.7。两</w:t>
      </w:r>
      <w:r>
        <w:rPr>
          <w:rFonts w:ascii="宋体" w:hAnsi="宋体" w:eastAsia="宋体" w:cs="宋体"/>
          <w:spacing w:val="9"/>
          <w:sz w:val="20"/>
          <w:szCs w:val="20"/>
        </w:rPr>
        <w:t>年以后的保存期养护费用由甲乙双方合同约定。</w:t>
      </w:r>
    </w:p>
    <w:p>
      <w:pPr>
        <w:spacing w:before="156" w:line="278" w:lineRule="exact"/>
        <w:jc w:val="right"/>
        <w:rPr>
          <w:rFonts w:ascii="宋体" w:hAnsi="宋体" w:eastAsia="宋体" w:cs="宋体"/>
          <w:sz w:val="20"/>
          <w:szCs w:val="20"/>
        </w:rPr>
      </w:pPr>
      <w:r>
        <w:rPr>
          <w:rFonts w:ascii="宋体" w:hAnsi="宋体" w:eastAsia="宋体" w:cs="宋体"/>
          <w:spacing w:val="5"/>
          <w:position w:val="1"/>
          <w:sz w:val="20"/>
          <w:szCs w:val="20"/>
        </w:rPr>
        <w:t>（3）成活期养护应在合同中约定相应计算方法，未约定时，也可参照保存期养护相关定额执行。</w:t>
      </w:r>
    </w:p>
    <w:p>
      <w:pPr>
        <w:spacing w:before="123" w:line="277" w:lineRule="exact"/>
        <w:ind w:left="412"/>
        <w:rPr>
          <w:rFonts w:ascii="宋体" w:hAnsi="宋体" w:eastAsia="宋体" w:cs="宋体"/>
          <w:sz w:val="20"/>
          <w:szCs w:val="20"/>
        </w:rPr>
      </w:pPr>
      <w:r>
        <w:rPr>
          <w:rFonts w:ascii="宋体" w:hAnsi="宋体" w:eastAsia="宋体" w:cs="宋体"/>
          <w:spacing w:val="10"/>
          <w:position w:val="1"/>
          <w:sz w:val="20"/>
          <w:szCs w:val="20"/>
        </w:rPr>
        <w:t>（4）养护定额已综合考虑树干涂白，套用养</w:t>
      </w:r>
      <w:r>
        <w:rPr>
          <w:rFonts w:ascii="宋体" w:hAnsi="宋体" w:eastAsia="宋体" w:cs="宋体"/>
          <w:spacing w:val="9"/>
          <w:position w:val="1"/>
          <w:sz w:val="20"/>
          <w:szCs w:val="20"/>
        </w:rPr>
        <w:t>护定额的不再单独计取树干涂白。</w:t>
      </w:r>
    </w:p>
    <w:p>
      <w:pPr>
        <w:spacing w:before="121" w:line="278" w:lineRule="exact"/>
        <w:ind w:left="422"/>
        <w:rPr>
          <w:rFonts w:ascii="宋体" w:hAnsi="宋体" w:eastAsia="宋体" w:cs="宋体"/>
          <w:sz w:val="20"/>
          <w:szCs w:val="20"/>
        </w:rPr>
      </w:pPr>
      <w:r>
        <w:rPr>
          <w:rFonts w:ascii="宋体" w:hAnsi="宋体" w:eastAsia="宋体" w:cs="宋体"/>
          <w:b/>
          <w:bCs/>
          <w:spacing w:val="2"/>
          <w:position w:val="1"/>
          <w:sz w:val="20"/>
          <w:szCs w:val="20"/>
        </w:rPr>
        <w:t>24.</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关于混凝土路面固化定额子目(2-1-15)的适用范围</w:t>
      </w:r>
    </w:p>
    <w:p>
      <w:pPr>
        <w:spacing w:before="124" w:line="363" w:lineRule="auto"/>
        <w:ind w:right="79" w:firstLine="421"/>
        <w:jc w:val="both"/>
        <w:rPr>
          <w:rFonts w:ascii="宋体" w:hAnsi="宋体" w:eastAsia="宋体" w:cs="宋体"/>
          <w:sz w:val="20"/>
          <w:szCs w:val="20"/>
        </w:rPr>
      </w:pPr>
      <w:r>
        <w:rPr>
          <w:rFonts w:ascii="宋体" w:hAnsi="宋体" w:eastAsia="宋体" w:cs="宋体"/>
          <w:spacing w:val="11"/>
          <w:sz w:val="20"/>
          <w:szCs w:val="20"/>
        </w:rPr>
        <w:t>混凝土路面固化是指通过使用化学固化剂（如硅酸锂、硅酸钾等）对已成型</w:t>
      </w:r>
      <w:r>
        <w:rPr>
          <w:rFonts w:ascii="宋体" w:hAnsi="宋体" w:eastAsia="宋体" w:cs="宋体"/>
          <w:spacing w:val="10"/>
          <w:sz w:val="20"/>
          <w:szCs w:val="20"/>
        </w:rPr>
        <w:t>混凝土路面进行渗</w:t>
      </w:r>
      <w:r>
        <w:rPr>
          <w:rFonts w:ascii="宋体" w:hAnsi="宋体" w:eastAsia="宋体" w:cs="宋体"/>
          <w:spacing w:val="11"/>
          <w:sz w:val="20"/>
          <w:szCs w:val="20"/>
        </w:rPr>
        <w:t>透处理，使其发生一系列复杂的化学反应，从而永久性地提高路面表层硬度、</w:t>
      </w:r>
      <w:r>
        <w:rPr>
          <w:rFonts w:ascii="宋体" w:hAnsi="宋体" w:eastAsia="宋体" w:cs="宋体"/>
          <w:spacing w:val="10"/>
          <w:sz w:val="20"/>
          <w:szCs w:val="20"/>
        </w:rPr>
        <w:t>密度、耐磨性和抗渗</w:t>
      </w:r>
      <w:r>
        <w:rPr>
          <w:rFonts w:ascii="宋体" w:hAnsi="宋体" w:eastAsia="宋体" w:cs="宋体"/>
          <w:spacing w:val="2"/>
          <w:sz w:val="20"/>
          <w:szCs w:val="20"/>
        </w:rPr>
        <w:t>性。</w:t>
      </w:r>
    </w:p>
    <w:p>
      <w:pPr>
        <w:spacing w:before="19" w:line="276" w:lineRule="exact"/>
        <w:ind w:left="422"/>
        <w:rPr>
          <w:rFonts w:ascii="宋体" w:hAnsi="宋体" w:eastAsia="宋体" w:cs="宋体"/>
          <w:sz w:val="20"/>
          <w:szCs w:val="20"/>
        </w:rPr>
      </w:pPr>
      <w:r>
        <w:rPr>
          <w:rFonts w:ascii="宋体" w:hAnsi="宋体" w:eastAsia="宋体" w:cs="宋体"/>
          <w:b/>
          <w:bCs/>
          <w:spacing w:val="3"/>
          <w:position w:val="1"/>
          <w:sz w:val="20"/>
          <w:szCs w:val="20"/>
        </w:rPr>
        <w:t>25.</w:t>
      </w:r>
      <w:r>
        <w:rPr>
          <w:rFonts w:ascii="宋体" w:hAnsi="宋体" w:eastAsia="宋体" w:cs="宋体"/>
          <w:spacing w:val="3"/>
          <w:position w:val="1"/>
          <w:sz w:val="20"/>
          <w:szCs w:val="20"/>
        </w:rPr>
        <w:t xml:space="preserve"> </w:t>
      </w:r>
      <w:r>
        <w:rPr>
          <w:rFonts w:ascii="宋体" w:hAnsi="宋体" w:eastAsia="宋体" w:cs="宋体"/>
          <w:b/>
          <w:bCs/>
          <w:spacing w:val="3"/>
          <w:position w:val="1"/>
          <w:sz w:val="20"/>
          <w:szCs w:val="20"/>
        </w:rPr>
        <w:t>关于室外木地板龙骨的计价</w:t>
      </w:r>
    </w:p>
    <w:p>
      <w:pPr>
        <w:spacing w:before="130" w:line="220" w:lineRule="auto"/>
        <w:ind w:left="420"/>
        <w:rPr>
          <w:rFonts w:ascii="宋体" w:hAnsi="宋体" w:eastAsia="宋体" w:cs="宋体"/>
          <w:sz w:val="20"/>
          <w:szCs w:val="20"/>
        </w:rPr>
      </w:pPr>
      <w:r>
        <w:rPr>
          <w:rFonts w:ascii="宋体" w:hAnsi="宋体" w:eastAsia="宋体" w:cs="宋体"/>
          <w:spacing w:val="10"/>
          <w:sz w:val="20"/>
          <w:szCs w:val="20"/>
        </w:rPr>
        <w:t>“室外木地板”定额子目中不含龙骨，龙骨按</w:t>
      </w:r>
      <w:r>
        <w:rPr>
          <w:rFonts w:ascii="宋体" w:hAnsi="宋体" w:eastAsia="宋体" w:cs="宋体"/>
          <w:spacing w:val="9"/>
          <w:sz w:val="20"/>
          <w:szCs w:val="20"/>
        </w:rPr>
        <w:t>“通用工程”中相应定额子目执行。</w:t>
      </w:r>
    </w:p>
    <w:p>
      <w:pPr>
        <w:spacing w:before="154" w:line="278" w:lineRule="exact"/>
        <w:ind w:left="422"/>
        <w:rPr>
          <w:rFonts w:ascii="宋体" w:hAnsi="宋体" w:eastAsia="宋体" w:cs="宋体"/>
          <w:sz w:val="20"/>
          <w:szCs w:val="20"/>
        </w:rPr>
      </w:pPr>
      <w:r>
        <w:rPr>
          <w:rFonts w:ascii="宋体" w:hAnsi="宋体" w:eastAsia="宋体" w:cs="宋体"/>
          <w:b/>
          <w:bCs/>
          <w:spacing w:val="5"/>
          <w:position w:val="1"/>
          <w:sz w:val="20"/>
          <w:szCs w:val="20"/>
        </w:rPr>
        <w:t>26.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关于散置卵石定额子目（2-1-51）的适用范围</w:t>
      </w:r>
    </w:p>
    <w:p>
      <w:pPr>
        <w:spacing w:before="127" w:line="367" w:lineRule="auto"/>
        <w:ind w:left="16" w:right="79" w:firstLine="405"/>
        <w:rPr>
          <w:rFonts w:ascii="宋体" w:hAnsi="宋体" w:eastAsia="宋体" w:cs="宋体"/>
          <w:sz w:val="20"/>
          <w:szCs w:val="20"/>
        </w:rPr>
      </w:pPr>
      <w:r>
        <w:rPr>
          <w:rFonts w:ascii="宋体" w:hAnsi="宋体" w:eastAsia="宋体" w:cs="宋体"/>
          <w:spacing w:val="11"/>
          <w:sz w:val="20"/>
          <w:szCs w:val="20"/>
        </w:rPr>
        <w:t>散置卵石指将光滑圆润的卵石，不采用砂浆砌筑或粘合剂固定，而是自然、</w:t>
      </w:r>
      <w:r>
        <w:rPr>
          <w:rFonts w:ascii="宋体" w:hAnsi="宋体" w:eastAsia="宋体" w:cs="宋体"/>
          <w:spacing w:val="10"/>
          <w:sz w:val="20"/>
          <w:szCs w:val="20"/>
        </w:rPr>
        <w:t>松散地铺设在某一</w:t>
      </w:r>
      <w:r>
        <w:rPr>
          <w:rFonts w:ascii="宋体" w:hAnsi="宋体" w:eastAsia="宋体" w:cs="宋体"/>
          <w:spacing w:val="9"/>
          <w:sz w:val="20"/>
          <w:szCs w:val="20"/>
        </w:rPr>
        <w:t>区域的一种景观或工程做法。它强调的是卵石本身的自然形态和松散铺设的随机美感。</w:t>
      </w:r>
    </w:p>
    <w:p>
      <w:pPr>
        <w:spacing w:line="276" w:lineRule="exact"/>
        <w:ind w:left="422"/>
        <w:rPr>
          <w:rFonts w:ascii="宋体" w:hAnsi="宋体" w:eastAsia="宋体" w:cs="宋体"/>
          <w:sz w:val="20"/>
          <w:szCs w:val="20"/>
        </w:rPr>
      </w:pPr>
      <w:r>
        <w:rPr>
          <w:rFonts w:ascii="宋体" w:hAnsi="宋体" w:eastAsia="宋体" w:cs="宋体"/>
          <w:b/>
          <w:bCs/>
          <w:spacing w:val="1"/>
          <w:position w:val="1"/>
          <w:sz w:val="20"/>
          <w:szCs w:val="20"/>
        </w:rPr>
        <w:t>27.</w:t>
      </w:r>
      <w:r>
        <w:rPr>
          <w:rFonts w:ascii="宋体" w:hAnsi="宋体" w:eastAsia="宋体" w:cs="宋体"/>
          <w:spacing w:val="1"/>
          <w:position w:val="1"/>
          <w:sz w:val="20"/>
          <w:szCs w:val="20"/>
        </w:rPr>
        <w:t xml:space="preserve"> </w:t>
      </w:r>
      <w:r>
        <w:rPr>
          <w:rFonts w:ascii="宋体" w:hAnsi="宋体" w:eastAsia="宋体" w:cs="宋体"/>
          <w:b/>
          <w:bCs/>
          <w:spacing w:val="1"/>
          <w:position w:val="1"/>
          <w:sz w:val="20"/>
          <w:szCs w:val="20"/>
        </w:rPr>
        <w:t>关于汀步的计价</w:t>
      </w:r>
    </w:p>
    <w:p>
      <w:pPr>
        <w:spacing w:before="128" w:line="367" w:lineRule="auto"/>
        <w:ind w:left="6" w:right="79" w:firstLine="413"/>
        <w:rPr>
          <w:rFonts w:ascii="宋体" w:hAnsi="宋体" w:eastAsia="宋体" w:cs="宋体"/>
          <w:sz w:val="20"/>
          <w:szCs w:val="20"/>
        </w:rPr>
      </w:pPr>
      <w:r>
        <w:rPr>
          <w:rFonts w:ascii="宋体" w:hAnsi="宋体" w:eastAsia="宋体" w:cs="宋体"/>
          <w:spacing w:val="11"/>
          <w:sz w:val="20"/>
          <w:szCs w:val="20"/>
        </w:rPr>
        <w:t>水中汀步施工时按不带水施工考虑，若带水施工，另行计算有关措施费用；陆上</w:t>
      </w:r>
      <w:r>
        <w:rPr>
          <w:rFonts w:ascii="宋体" w:hAnsi="宋体" w:eastAsia="宋体" w:cs="宋体"/>
          <w:spacing w:val="10"/>
          <w:sz w:val="20"/>
          <w:szCs w:val="20"/>
        </w:rPr>
        <w:t>汀步按花岗岩</w:t>
      </w:r>
      <w:r>
        <w:rPr>
          <w:rFonts w:ascii="宋体" w:hAnsi="宋体" w:eastAsia="宋体" w:cs="宋体"/>
          <w:spacing w:val="9"/>
          <w:sz w:val="20"/>
          <w:szCs w:val="20"/>
        </w:rPr>
        <w:t>编制，当设计与定额主材不同时，材料可以换算，其他不变。</w:t>
      </w:r>
    </w:p>
    <w:p>
      <w:pPr>
        <w:spacing w:line="277" w:lineRule="exact"/>
        <w:ind w:left="425"/>
        <w:rPr>
          <w:rFonts w:ascii="宋体" w:hAnsi="宋体" w:eastAsia="宋体" w:cs="宋体"/>
          <w:sz w:val="20"/>
          <w:szCs w:val="20"/>
        </w:rPr>
      </w:pPr>
      <w:r>
        <w:rPr>
          <w:rFonts w:ascii="宋体" w:hAnsi="宋体" w:eastAsia="宋体" w:cs="宋体"/>
          <w:b/>
          <w:bCs/>
          <w:spacing w:val="5"/>
          <w:position w:val="1"/>
          <w:sz w:val="20"/>
          <w:szCs w:val="20"/>
        </w:rPr>
        <w:t>28.</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关于园桥施工中围堰、筑堤、抽水、搭拆旋胎的计价</w:t>
      </w:r>
    </w:p>
    <w:p>
      <w:pPr>
        <w:spacing w:before="128" w:line="223" w:lineRule="auto"/>
        <w:ind w:left="436"/>
        <w:rPr>
          <w:rFonts w:ascii="宋体" w:hAnsi="宋体" w:eastAsia="宋体" w:cs="宋体"/>
          <w:sz w:val="20"/>
          <w:szCs w:val="20"/>
        </w:rPr>
      </w:pPr>
      <w:r>
        <w:rPr>
          <w:rFonts w:ascii="宋体" w:hAnsi="宋体" w:eastAsia="宋体" w:cs="宋体"/>
          <w:spacing w:val="9"/>
          <w:sz w:val="20"/>
          <w:szCs w:val="20"/>
        </w:rPr>
        <w:t>园桥施工中，若需围堰、筑堤、抽水、搭拆旋胎等，按措施项目另行计算。</w:t>
      </w:r>
    </w:p>
    <w:p>
      <w:pPr>
        <w:spacing w:before="155" w:line="278" w:lineRule="exact"/>
        <w:ind w:left="422"/>
        <w:rPr>
          <w:rFonts w:ascii="宋体" w:hAnsi="宋体" w:eastAsia="宋体" w:cs="宋体"/>
          <w:sz w:val="20"/>
          <w:szCs w:val="20"/>
        </w:rPr>
      </w:pPr>
      <w:r>
        <w:rPr>
          <w:rFonts w:ascii="宋体" w:hAnsi="宋体" w:eastAsia="宋体" w:cs="宋体"/>
          <w:b/>
          <w:bCs/>
          <w:spacing w:val="5"/>
          <w:position w:val="1"/>
          <w:sz w:val="20"/>
          <w:szCs w:val="20"/>
        </w:rPr>
        <w:t>29.</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关于堆筑土山定额子目（3-1-1~2）的适用范围</w:t>
      </w:r>
    </w:p>
    <w:p>
      <w:pPr>
        <w:spacing w:before="120" w:line="352" w:lineRule="auto"/>
        <w:ind w:left="3" w:right="79" w:firstLine="418"/>
        <w:rPr>
          <w:rFonts w:ascii="宋体" w:hAnsi="宋体" w:eastAsia="宋体" w:cs="宋体"/>
          <w:sz w:val="20"/>
          <w:szCs w:val="20"/>
        </w:rPr>
      </w:pPr>
      <w:r>
        <w:rPr>
          <w:rFonts w:ascii="宋体" w:hAnsi="宋体" w:eastAsia="宋体" w:cs="宋体"/>
          <w:spacing w:val="9"/>
          <w:sz w:val="20"/>
          <w:szCs w:val="20"/>
        </w:rPr>
        <w:t>堆筑土山定额子目（3-1-1~2）适用于坡顶</w:t>
      </w:r>
      <w:r>
        <w:rPr>
          <w:rFonts w:ascii="宋体" w:hAnsi="宋体" w:eastAsia="宋体" w:cs="宋体"/>
          <w:spacing w:val="8"/>
          <w:sz w:val="20"/>
          <w:szCs w:val="20"/>
        </w:rPr>
        <w:t>与坡底高差大于</w:t>
      </w:r>
      <w:r>
        <w:rPr>
          <w:rFonts w:ascii="宋体" w:hAnsi="宋体" w:eastAsia="宋体" w:cs="宋体"/>
          <w:spacing w:val="-22"/>
          <w:sz w:val="20"/>
          <w:szCs w:val="20"/>
        </w:rPr>
        <w:t xml:space="preserve"> </w:t>
      </w:r>
      <w:r>
        <w:rPr>
          <w:rFonts w:ascii="宋体" w:hAnsi="宋体" w:eastAsia="宋体" w:cs="宋体"/>
          <w:spacing w:val="8"/>
          <w:sz w:val="20"/>
          <w:szCs w:val="20"/>
        </w:rPr>
        <w:t>1.0m</w:t>
      </w:r>
      <w:r>
        <w:rPr>
          <w:rFonts w:ascii="宋体" w:hAnsi="宋体" w:eastAsia="宋体" w:cs="宋体"/>
          <w:spacing w:val="-25"/>
          <w:sz w:val="20"/>
          <w:szCs w:val="20"/>
        </w:rPr>
        <w:t xml:space="preserve"> </w:t>
      </w:r>
      <w:r>
        <w:rPr>
          <w:rFonts w:ascii="宋体" w:hAnsi="宋体" w:eastAsia="宋体" w:cs="宋体"/>
          <w:spacing w:val="8"/>
          <w:sz w:val="20"/>
          <w:szCs w:val="20"/>
        </w:rPr>
        <w:t>的土坡堆筑，且有明确的园林</w:t>
      </w:r>
      <w:r>
        <w:rPr>
          <w:rFonts w:ascii="宋体" w:hAnsi="宋体" w:eastAsia="宋体" w:cs="宋体"/>
          <w:spacing w:val="9"/>
          <w:sz w:val="20"/>
          <w:szCs w:val="20"/>
        </w:rPr>
        <w:t>景观设计要求，通过等高线图等方式表达土方堆置的体量形式。</w:t>
      </w:r>
    </w:p>
    <w:p>
      <w:pPr>
        <w:spacing w:before="40" w:line="276" w:lineRule="exact"/>
        <w:ind w:left="426"/>
        <w:rPr>
          <w:rFonts w:ascii="宋体" w:hAnsi="宋体" w:eastAsia="宋体" w:cs="宋体"/>
          <w:sz w:val="20"/>
          <w:szCs w:val="20"/>
        </w:rPr>
      </w:pPr>
      <w:r>
        <w:rPr>
          <w:rFonts w:ascii="宋体" w:hAnsi="宋体" w:eastAsia="宋体" w:cs="宋体"/>
          <w:b/>
          <w:bCs/>
          <w:spacing w:val="2"/>
          <w:position w:val="1"/>
          <w:sz w:val="20"/>
          <w:szCs w:val="20"/>
        </w:rPr>
        <w:t>30.</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关于堆砌石假山的计价</w:t>
      </w:r>
    </w:p>
    <w:p>
      <w:pPr>
        <w:spacing w:before="121" w:line="369" w:lineRule="auto"/>
        <w:ind w:right="76" w:firstLine="421"/>
        <w:rPr>
          <w:rFonts w:ascii="宋体" w:hAnsi="宋体" w:eastAsia="宋体" w:cs="宋体"/>
          <w:sz w:val="20"/>
          <w:szCs w:val="20"/>
        </w:rPr>
      </w:pPr>
      <w:r>
        <w:rPr>
          <w:rFonts w:ascii="宋体" w:hAnsi="宋体" w:eastAsia="宋体" w:cs="宋体"/>
          <w:spacing w:val="13"/>
          <w:sz w:val="20"/>
          <w:szCs w:val="20"/>
        </w:rPr>
        <w:t>堆砌石假山定额中</w:t>
      </w:r>
      <w:r>
        <w:rPr>
          <w:rFonts w:ascii="宋体" w:hAnsi="宋体" w:eastAsia="宋体" w:cs="宋体"/>
          <w:spacing w:val="-60"/>
          <w:sz w:val="20"/>
          <w:szCs w:val="20"/>
        </w:rPr>
        <w:t xml:space="preserve"> </w:t>
      </w:r>
      <w:r>
        <w:rPr>
          <w:rFonts w:ascii="宋体" w:hAnsi="宋体" w:eastAsia="宋体" w:cs="宋体"/>
          <w:spacing w:val="13"/>
          <w:sz w:val="20"/>
          <w:szCs w:val="20"/>
        </w:rPr>
        <w:t>，堆砌高度按4m</w:t>
      </w:r>
      <w:r>
        <w:rPr>
          <w:rFonts w:ascii="宋体" w:hAnsi="宋体" w:eastAsia="宋体" w:cs="宋体"/>
          <w:spacing w:val="-22"/>
          <w:sz w:val="20"/>
          <w:szCs w:val="20"/>
        </w:rPr>
        <w:t xml:space="preserve"> </w:t>
      </w:r>
      <w:r>
        <w:rPr>
          <w:rFonts w:ascii="宋体" w:hAnsi="宋体" w:eastAsia="宋体" w:cs="宋体"/>
          <w:spacing w:val="13"/>
          <w:sz w:val="20"/>
          <w:szCs w:val="20"/>
        </w:rPr>
        <w:t>以内考虑，假山高度在4m</w:t>
      </w:r>
      <w:r>
        <w:rPr>
          <w:rFonts w:ascii="宋体" w:hAnsi="宋体" w:eastAsia="宋体" w:cs="宋体"/>
          <w:spacing w:val="-23"/>
          <w:sz w:val="20"/>
          <w:szCs w:val="20"/>
        </w:rPr>
        <w:t xml:space="preserve"> </w:t>
      </w:r>
      <w:r>
        <w:rPr>
          <w:rFonts w:ascii="宋体" w:hAnsi="宋体" w:eastAsia="宋体" w:cs="宋体"/>
          <w:spacing w:val="12"/>
          <w:sz w:val="20"/>
          <w:szCs w:val="20"/>
        </w:rPr>
        <w:t>以上时</w:t>
      </w:r>
      <w:r>
        <w:rPr>
          <w:rFonts w:ascii="宋体" w:hAnsi="宋体" w:eastAsia="宋体" w:cs="宋体"/>
          <w:spacing w:val="-59"/>
          <w:sz w:val="20"/>
          <w:szCs w:val="20"/>
        </w:rPr>
        <w:t xml:space="preserve"> </w:t>
      </w:r>
      <w:r>
        <w:rPr>
          <w:rFonts w:ascii="宋体" w:hAnsi="宋体" w:eastAsia="宋体" w:cs="宋体"/>
          <w:spacing w:val="12"/>
          <w:sz w:val="20"/>
          <w:szCs w:val="20"/>
        </w:rPr>
        <w:t>，每超过</w:t>
      </w:r>
      <w:r>
        <w:rPr>
          <w:rFonts w:ascii="宋体" w:hAnsi="宋体" w:eastAsia="宋体" w:cs="宋体"/>
          <w:spacing w:val="-22"/>
          <w:sz w:val="20"/>
          <w:szCs w:val="20"/>
        </w:rPr>
        <w:t xml:space="preserve"> </w:t>
      </w:r>
      <w:r>
        <w:rPr>
          <w:rFonts w:ascii="宋体" w:hAnsi="宋体" w:eastAsia="宋体" w:cs="宋体"/>
          <w:spacing w:val="12"/>
          <w:sz w:val="20"/>
          <w:szCs w:val="20"/>
        </w:rPr>
        <w:t>1m，超过部分</w:t>
      </w:r>
      <w:r>
        <w:rPr>
          <w:rFonts w:ascii="宋体" w:hAnsi="宋体" w:eastAsia="宋体" w:cs="宋体"/>
          <w:spacing w:val="6"/>
          <w:sz w:val="20"/>
          <w:szCs w:val="20"/>
        </w:rPr>
        <w:t>其人工和机械乘以系数</w:t>
      </w:r>
      <w:r>
        <w:rPr>
          <w:rFonts w:ascii="宋体" w:hAnsi="宋体" w:eastAsia="宋体" w:cs="宋体"/>
          <w:spacing w:val="-5"/>
          <w:sz w:val="20"/>
          <w:szCs w:val="20"/>
        </w:rPr>
        <w:t xml:space="preserve"> </w:t>
      </w:r>
      <w:r>
        <w:rPr>
          <w:rFonts w:ascii="宋体" w:hAnsi="宋体" w:eastAsia="宋体" w:cs="宋体"/>
          <w:spacing w:val="6"/>
          <w:sz w:val="20"/>
          <w:szCs w:val="20"/>
        </w:rPr>
        <w:t>1.05，不足</w:t>
      </w:r>
      <w:r>
        <w:rPr>
          <w:rFonts w:ascii="宋体" w:hAnsi="宋体" w:eastAsia="宋体" w:cs="宋体"/>
          <w:spacing w:val="-25"/>
          <w:sz w:val="20"/>
          <w:szCs w:val="20"/>
        </w:rPr>
        <w:t xml:space="preserve"> </w:t>
      </w:r>
      <w:r>
        <w:rPr>
          <w:rFonts w:ascii="宋体" w:hAnsi="宋体" w:eastAsia="宋体" w:cs="宋体"/>
          <w:spacing w:val="6"/>
          <w:sz w:val="20"/>
          <w:szCs w:val="20"/>
        </w:rPr>
        <w:t>1m</w:t>
      </w:r>
      <w:r>
        <w:rPr>
          <w:rFonts w:ascii="宋体" w:hAnsi="宋体" w:eastAsia="宋体" w:cs="宋体"/>
          <w:spacing w:val="-43"/>
          <w:sz w:val="20"/>
          <w:szCs w:val="20"/>
        </w:rPr>
        <w:t xml:space="preserve"> </w:t>
      </w:r>
      <w:r>
        <w:rPr>
          <w:rFonts w:ascii="宋体" w:hAnsi="宋体" w:eastAsia="宋体" w:cs="宋体"/>
          <w:spacing w:val="6"/>
          <w:sz w:val="20"/>
          <w:szCs w:val="20"/>
        </w:rPr>
        <w:t>按</w:t>
      </w:r>
      <w:r>
        <w:rPr>
          <w:rFonts w:ascii="宋体" w:hAnsi="宋体" w:eastAsia="宋体" w:cs="宋体"/>
          <w:spacing w:val="-22"/>
          <w:sz w:val="20"/>
          <w:szCs w:val="20"/>
        </w:rPr>
        <w:t xml:space="preserve"> </w:t>
      </w:r>
      <w:r>
        <w:rPr>
          <w:rFonts w:ascii="宋体" w:hAnsi="宋体" w:eastAsia="宋体" w:cs="宋体"/>
          <w:spacing w:val="6"/>
          <w:sz w:val="20"/>
          <w:szCs w:val="20"/>
        </w:rPr>
        <w:t>1m</w:t>
      </w:r>
      <w:r>
        <w:rPr>
          <w:rFonts w:ascii="宋体" w:hAnsi="宋体" w:eastAsia="宋体" w:cs="宋体"/>
          <w:spacing w:val="-43"/>
          <w:sz w:val="20"/>
          <w:szCs w:val="20"/>
        </w:rPr>
        <w:t xml:space="preserve"> </w:t>
      </w:r>
      <w:r>
        <w:rPr>
          <w:rFonts w:ascii="宋体" w:hAnsi="宋体" w:eastAsia="宋体" w:cs="宋体"/>
          <w:spacing w:val="6"/>
          <w:sz w:val="20"/>
          <w:szCs w:val="20"/>
        </w:rPr>
        <w:t>计入，其他不变。</w:t>
      </w:r>
    </w:p>
    <w:p>
      <w:pPr>
        <w:spacing w:before="8" w:line="221" w:lineRule="auto"/>
        <w:ind w:left="421"/>
        <w:rPr>
          <w:rFonts w:ascii="宋体" w:hAnsi="宋体" w:eastAsia="宋体" w:cs="宋体"/>
          <w:sz w:val="20"/>
          <w:szCs w:val="20"/>
        </w:rPr>
      </w:pPr>
      <w:r>
        <w:rPr>
          <w:rFonts w:ascii="宋体" w:hAnsi="宋体" w:eastAsia="宋体" w:cs="宋体"/>
          <w:spacing w:val="9"/>
          <w:sz w:val="20"/>
          <w:szCs w:val="20"/>
        </w:rPr>
        <w:t>堆砌假山定额未包括假山的基础及垫层，发生时按相应定额子目另行计算。</w:t>
      </w:r>
    </w:p>
    <w:p>
      <w:pPr>
        <w:spacing w:before="154" w:line="277" w:lineRule="exact"/>
        <w:ind w:left="426"/>
        <w:rPr>
          <w:rFonts w:ascii="宋体" w:hAnsi="宋体" w:eastAsia="宋体" w:cs="宋体"/>
          <w:sz w:val="20"/>
          <w:szCs w:val="20"/>
        </w:rPr>
      </w:pPr>
      <w:r>
        <w:rPr>
          <w:rFonts w:ascii="宋体" w:hAnsi="宋体" w:eastAsia="宋体" w:cs="宋体"/>
          <w:b/>
          <w:bCs/>
          <w:spacing w:val="4"/>
          <w:position w:val="1"/>
          <w:sz w:val="20"/>
          <w:szCs w:val="20"/>
        </w:rPr>
        <w:t>31.</w:t>
      </w:r>
      <w:r>
        <w:rPr>
          <w:rFonts w:ascii="宋体" w:hAnsi="宋体" w:eastAsia="宋体" w:cs="宋体"/>
          <w:spacing w:val="4"/>
          <w:position w:val="1"/>
          <w:sz w:val="20"/>
          <w:szCs w:val="20"/>
        </w:rPr>
        <w:t xml:space="preserve"> </w:t>
      </w:r>
      <w:r>
        <w:rPr>
          <w:rFonts w:ascii="宋体" w:hAnsi="宋体" w:eastAsia="宋体" w:cs="宋体"/>
          <w:b/>
          <w:bCs/>
          <w:spacing w:val="4"/>
          <w:position w:val="1"/>
          <w:sz w:val="20"/>
          <w:szCs w:val="20"/>
        </w:rPr>
        <w:t>关于布置景石与土山点石的区分</w:t>
      </w:r>
    </w:p>
    <w:p>
      <w:pPr>
        <w:spacing w:before="128" w:line="221" w:lineRule="auto"/>
        <w:ind w:left="426"/>
        <w:rPr>
          <w:rFonts w:ascii="宋体" w:hAnsi="宋体" w:eastAsia="宋体" w:cs="宋体"/>
          <w:sz w:val="20"/>
          <w:szCs w:val="20"/>
        </w:rPr>
      </w:pPr>
      <w:r>
        <w:rPr>
          <w:rFonts w:ascii="宋体" w:hAnsi="宋体" w:eastAsia="宋体" w:cs="宋体"/>
          <w:spacing w:val="9"/>
          <w:sz w:val="20"/>
          <w:szCs w:val="20"/>
        </w:rPr>
        <w:t>布置景石是指天然独块的景石的安置，其外形奇特、具有观赏价值。</w:t>
      </w:r>
    </w:p>
    <w:p>
      <w:pPr>
        <w:spacing w:before="157" w:line="367" w:lineRule="auto"/>
        <w:ind w:left="9" w:right="120" w:firstLine="416"/>
        <w:rPr>
          <w:rFonts w:ascii="宋体" w:hAnsi="宋体" w:eastAsia="宋体" w:cs="宋体"/>
          <w:sz w:val="20"/>
          <w:szCs w:val="20"/>
        </w:rPr>
      </w:pPr>
      <w:r>
        <w:rPr>
          <w:rFonts w:ascii="宋体" w:hAnsi="宋体" w:eastAsia="宋体" w:cs="宋体"/>
          <w:spacing w:val="10"/>
          <w:sz w:val="20"/>
          <w:szCs w:val="20"/>
        </w:rPr>
        <w:t>土山点石是指无呼应联系的自然山石分散在草坪、山坡等处，其观</w:t>
      </w:r>
      <w:r>
        <w:rPr>
          <w:rFonts w:ascii="宋体" w:hAnsi="宋体" w:eastAsia="宋体" w:cs="宋体"/>
          <w:spacing w:val="9"/>
          <w:sz w:val="20"/>
          <w:szCs w:val="20"/>
        </w:rPr>
        <w:t>赏价值、体量均不及景石，</w:t>
      </w:r>
      <w:r>
        <w:rPr>
          <w:rFonts w:ascii="宋体" w:hAnsi="宋体" w:eastAsia="宋体" w:cs="宋体"/>
          <w:spacing w:val="7"/>
          <w:sz w:val="20"/>
          <w:szCs w:val="20"/>
        </w:rPr>
        <w:t>主要起点缀环境的作用。</w:t>
      </w:r>
    </w:p>
    <w:p>
      <w:pPr>
        <w:spacing w:before="4" w:line="277" w:lineRule="exact"/>
        <w:ind w:left="426"/>
        <w:rPr>
          <w:rFonts w:ascii="宋体" w:hAnsi="宋体" w:eastAsia="宋体" w:cs="宋体"/>
          <w:sz w:val="20"/>
          <w:szCs w:val="20"/>
        </w:rPr>
      </w:pPr>
      <w:r>
        <w:rPr>
          <w:rFonts w:ascii="宋体" w:hAnsi="宋体" w:eastAsia="宋体" w:cs="宋体"/>
          <w:b/>
          <w:bCs/>
          <w:spacing w:val="5"/>
          <w:position w:val="1"/>
          <w:sz w:val="20"/>
          <w:szCs w:val="20"/>
        </w:rPr>
        <w:t>32.</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关于膜结构屋面钢支撑、锚固支座、混凝土基础的计价</w:t>
      </w:r>
    </w:p>
    <w:p>
      <w:pPr>
        <w:spacing w:line="277" w:lineRule="exact"/>
        <w:rPr>
          <w:rFonts w:ascii="宋体" w:hAnsi="宋体" w:eastAsia="宋体" w:cs="宋体"/>
          <w:sz w:val="20"/>
          <w:szCs w:val="20"/>
        </w:rPr>
        <w:sectPr>
          <w:footerReference r:id="rId260" w:type="default"/>
          <w:pgSz w:w="11906" w:h="16839"/>
          <w:pgMar w:top="400" w:right="1341"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220" w:lineRule="auto"/>
        <w:ind w:left="420"/>
        <w:rPr>
          <w:rFonts w:ascii="宋体" w:hAnsi="宋体" w:eastAsia="宋体" w:cs="宋体"/>
          <w:sz w:val="20"/>
          <w:szCs w:val="20"/>
        </w:rPr>
      </w:pPr>
      <w:r>
        <w:rPr>
          <w:rFonts w:ascii="宋体" w:hAnsi="宋体" w:eastAsia="宋体" w:cs="宋体"/>
          <w:spacing w:val="9"/>
          <w:sz w:val="20"/>
          <w:szCs w:val="20"/>
        </w:rPr>
        <w:t>膜结构屋面钢支撑、锚固支座、混凝土基础另按相应子目计算。</w:t>
      </w:r>
    </w:p>
    <w:p>
      <w:pPr>
        <w:spacing w:before="157" w:line="276" w:lineRule="exact"/>
        <w:ind w:left="424"/>
        <w:rPr>
          <w:rFonts w:ascii="宋体" w:hAnsi="宋体" w:eastAsia="宋体" w:cs="宋体"/>
          <w:sz w:val="20"/>
          <w:szCs w:val="20"/>
        </w:rPr>
      </w:pPr>
      <w:bookmarkStart w:id="137" w:name="bookmark178"/>
      <w:bookmarkEnd w:id="137"/>
      <w:r>
        <w:rPr>
          <w:rFonts w:ascii="宋体" w:hAnsi="宋体" w:eastAsia="宋体" w:cs="宋体"/>
          <w:b/>
          <w:bCs/>
          <w:spacing w:val="2"/>
          <w:position w:val="1"/>
          <w:sz w:val="20"/>
          <w:szCs w:val="20"/>
        </w:rPr>
        <w:t>33.</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关于混凝土花架的计价</w:t>
      </w:r>
    </w:p>
    <w:p>
      <w:pPr>
        <w:spacing w:before="105" w:line="356" w:lineRule="auto"/>
        <w:ind w:left="17" w:right="1" w:firstLine="405"/>
        <w:rPr>
          <w:rFonts w:ascii="宋体" w:hAnsi="宋体" w:eastAsia="宋体" w:cs="宋体"/>
          <w:sz w:val="20"/>
          <w:szCs w:val="20"/>
        </w:rPr>
      </w:pPr>
      <w:r>
        <w:rPr>
          <w:rFonts w:ascii="宋体" w:hAnsi="宋体" w:eastAsia="宋体" w:cs="宋体"/>
          <w:spacing w:val="9"/>
          <w:sz w:val="20"/>
          <w:szCs w:val="20"/>
        </w:rPr>
        <w:t>现浇混凝土花架、预制混凝土花架安装项目，适用于梁、檩、柱断</w:t>
      </w:r>
      <w:r>
        <w:rPr>
          <w:rFonts w:ascii="宋体" w:hAnsi="宋体" w:eastAsia="宋体" w:cs="宋体"/>
          <w:spacing w:val="8"/>
          <w:sz w:val="20"/>
          <w:szCs w:val="20"/>
        </w:rPr>
        <w:t>面在</w:t>
      </w:r>
      <w:r>
        <w:rPr>
          <w:rFonts w:ascii="宋体" w:hAnsi="宋体" w:eastAsia="宋体" w:cs="宋体"/>
          <w:spacing w:val="-39"/>
          <w:sz w:val="20"/>
          <w:szCs w:val="20"/>
        </w:rPr>
        <w:t xml:space="preserve"> </w:t>
      </w:r>
      <w:r>
        <w:rPr>
          <w:rFonts w:ascii="宋体" w:hAnsi="宋体" w:eastAsia="宋体" w:cs="宋体"/>
          <w:spacing w:val="8"/>
          <w:sz w:val="20"/>
          <w:szCs w:val="20"/>
        </w:rPr>
        <w:t>220</w:t>
      </w:r>
      <w:r>
        <w:rPr>
          <w:rFonts w:ascii="宋体" w:hAnsi="宋体" w:eastAsia="宋体" w:cs="宋体"/>
          <w:sz w:val="20"/>
          <w:szCs w:val="20"/>
        </w:rPr>
        <w:t>cm</w:t>
      </w:r>
      <w:r>
        <w:rPr>
          <w:rFonts w:ascii="宋体" w:hAnsi="宋体" w:eastAsia="宋体" w:cs="宋体"/>
          <w:spacing w:val="8"/>
          <w:position w:val="10"/>
          <w:sz w:val="10"/>
          <w:szCs w:val="10"/>
        </w:rPr>
        <w:t xml:space="preserve">2 </w:t>
      </w:r>
      <w:r>
        <w:rPr>
          <w:rFonts w:ascii="宋体" w:hAnsi="宋体" w:eastAsia="宋体" w:cs="宋体"/>
          <w:spacing w:val="8"/>
          <w:sz w:val="20"/>
          <w:szCs w:val="20"/>
        </w:rPr>
        <w:t>以内，高度在6m</w:t>
      </w:r>
      <w:r>
        <w:rPr>
          <w:rFonts w:ascii="宋体" w:hAnsi="宋体" w:eastAsia="宋体" w:cs="宋体"/>
          <w:spacing w:val="5"/>
          <w:sz w:val="20"/>
          <w:szCs w:val="20"/>
        </w:rPr>
        <w:t>以下的轻型花架。</w:t>
      </w:r>
    </w:p>
    <w:p>
      <w:pPr>
        <w:spacing w:before="47" w:line="277" w:lineRule="exact"/>
        <w:ind w:left="422"/>
        <w:rPr>
          <w:rFonts w:ascii="宋体" w:hAnsi="宋体" w:eastAsia="宋体" w:cs="宋体"/>
          <w:sz w:val="20"/>
          <w:szCs w:val="20"/>
        </w:rPr>
      </w:pPr>
      <w:r>
        <w:rPr>
          <w:rFonts w:ascii="宋体" w:hAnsi="宋体" w:eastAsia="宋体" w:cs="宋体"/>
          <w:spacing w:val="10"/>
          <w:position w:val="1"/>
          <w:sz w:val="20"/>
          <w:szCs w:val="20"/>
        </w:rPr>
        <w:t>花架定额中未含钢筋和模板，钢筋执行《通用工</w:t>
      </w:r>
      <w:r>
        <w:rPr>
          <w:rFonts w:ascii="宋体" w:hAnsi="宋体" w:eastAsia="宋体" w:cs="宋体"/>
          <w:spacing w:val="9"/>
          <w:position w:val="1"/>
          <w:sz w:val="20"/>
          <w:szCs w:val="20"/>
        </w:rPr>
        <w:t>程》钢筋子目，模板执行措施项目模板子目。</w:t>
      </w:r>
    </w:p>
    <w:p>
      <w:pPr>
        <w:spacing w:before="123" w:line="278" w:lineRule="exact"/>
        <w:ind w:left="424"/>
        <w:rPr>
          <w:rFonts w:ascii="宋体" w:hAnsi="宋体" w:eastAsia="宋体" w:cs="宋体"/>
          <w:sz w:val="20"/>
          <w:szCs w:val="20"/>
        </w:rPr>
      </w:pPr>
      <w:r>
        <w:rPr>
          <w:rFonts w:ascii="宋体" w:hAnsi="宋体" w:eastAsia="宋体" w:cs="宋体"/>
          <w:b/>
          <w:bCs/>
          <w:spacing w:val="5"/>
          <w:position w:val="1"/>
          <w:sz w:val="20"/>
          <w:szCs w:val="20"/>
        </w:rPr>
        <w:t>34.</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关于宾格挡墙定额子目（4-2-13）的适用范围</w:t>
      </w:r>
    </w:p>
    <w:p>
      <w:pPr>
        <w:spacing w:before="124" w:line="368" w:lineRule="auto"/>
        <w:ind w:right="2" w:firstLine="420"/>
        <w:rPr>
          <w:rFonts w:ascii="宋体" w:hAnsi="宋体" w:eastAsia="宋体" w:cs="宋体"/>
          <w:sz w:val="20"/>
          <w:szCs w:val="20"/>
        </w:rPr>
      </w:pPr>
      <w:r>
        <w:rPr>
          <w:rFonts w:ascii="宋体" w:hAnsi="宋体" w:eastAsia="宋体" w:cs="宋体"/>
          <w:spacing w:val="11"/>
          <w:sz w:val="20"/>
          <w:szCs w:val="20"/>
        </w:rPr>
        <w:t>宾格是生态格网结构的一种，根据工程设计要求组装成箱笼，并装入块石等</w:t>
      </w:r>
      <w:r>
        <w:rPr>
          <w:rFonts w:ascii="宋体" w:hAnsi="宋体" w:eastAsia="宋体" w:cs="宋体"/>
          <w:spacing w:val="10"/>
          <w:sz w:val="20"/>
          <w:szCs w:val="20"/>
        </w:rPr>
        <w:t>填充料后连接成一体，用做边坡防护、河道治理等。定额中石料填充按照乱</w:t>
      </w:r>
      <w:r>
        <w:rPr>
          <w:rFonts w:ascii="宋体" w:hAnsi="宋体" w:eastAsia="宋体" w:cs="宋体"/>
          <w:spacing w:val="9"/>
          <w:sz w:val="20"/>
          <w:szCs w:val="20"/>
        </w:rPr>
        <w:t>石考虑，宾格网钢丝按照低碳钢丝考虑。</w:t>
      </w:r>
    </w:p>
    <w:p>
      <w:pPr>
        <w:spacing w:line="276" w:lineRule="exact"/>
        <w:ind w:left="424"/>
        <w:rPr>
          <w:rFonts w:ascii="宋体" w:hAnsi="宋体" w:eastAsia="宋体" w:cs="宋体"/>
          <w:sz w:val="20"/>
          <w:szCs w:val="20"/>
        </w:rPr>
      </w:pPr>
      <w:r>
        <w:rPr>
          <w:rFonts w:ascii="宋体" w:hAnsi="宋体" w:eastAsia="宋体" w:cs="宋体"/>
          <w:b/>
          <w:bCs/>
          <w:spacing w:val="2"/>
          <w:position w:val="1"/>
          <w:sz w:val="20"/>
          <w:szCs w:val="20"/>
        </w:rPr>
        <w:t>35.</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关于搭设遮荫棚的计价</w:t>
      </w:r>
    </w:p>
    <w:p>
      <w:pPr>
        <w:spacing w:before="123" w:line="352" w:lineRule="auto"/>
        <w:ind w:right="2" w:firstLine="417"/>
        <w:rPr>
          <w:rFonts w:ascii="宋体" w:hAnsi="宋体" w:eastAsia="宋体" w:cs="宋体"/>
          <w:sz w:val="20"/>
          <w:szCs w:val="20"/>
        </w:rPr>
      </w:pPr>
      <w:r>
        <w:rPr>
          <w:rFonts w:ascii="宋体" w:hAnsi="宋体" w:eastAsia="宋体" w:cs="宋体"/>
          <w:spacing w:val="9"/>
          <w:sz w:val="20"/>
          <w:szCs w:val="20"/>
        </w:rPr>
        <w:t>搭设遮荫棚定额子目中，树棍和遮荫网含量均为一次使</w:t>
      </w:r>
      <w:r>
        <w:rPr>
          <w:rFonts w:ascii="宋体" w:hAnsi="宋体" w:eastAsia="宋体" w:cs="宋体"/>
          <w:spacing w:val="8"/>
          <w:sz w:val="20"/>
          <w:szCs w:val="20"/>
        </w:rPr>
        <w:t>用量，树棍搭设间距为</w:t>
      </w:r>
      <w:r>
        <w:rPr>
          <w:rFonts w:ascii="宋体" w:hAnsi="宋体" w:eastAsia="宋体" w:cs="宋体"/>
          <w:spacing w:val="-22"/>
          <w:sz w:val="20"/>
          <w:szCs w:val="20"/>
        </w:rPr>
        <w:t xml:space="preserve"> </w:t>
      </w:r>
      <w:r>
        <w:rPr>
          <w:rFonts w:ascii="宋体" w:hAnsi="宋体" w:eastAsia="宋体" w:cs="宋体"/>
          <w:spacing w:val="8"/>
          <w:sz w:val="20"/>
          <w:szCs w:val="20"/>
        </w:rPr>
        <w:t>1.5m，不考虑周</w:t>
      </w:r>
      <w:r>
        <w:rPr>
          <w:rFonts w:ascii="宋体" w:hAnsi="宋体" w:eastAsia="宋体" w:cs="宋体"/>
          <w:spacing w:val="9"/>
          <w:sz w:val="20"/>
          <w:szCs w:val="20"/>
        </w:rPr>
        <w:t>转摊销次数。若树棍和遮荫网实际消耗量与定额不同时可按实调整，其他不变。</w:t>
      </w:r>
    </w:p>
    <w:p>
      <w:pPr>
        <w:spacing w:before="38" w:line="367" w:lineRule="auto"/>
        <w:ind w:firstLine="418"/>
        <w:rPr>
          <w:rFonts w:ascii="宋体" w:hAnsi="宋体" w:eastAsia="宋体" w:cs="宋体"/>
          <w:sz w:val="20"/>
          <w:szCs w:val="20"/>
        </w:rPr>
      </w:pPr>
      <w:r>
        <w:rPr>
          <w:rFonts w:ascii="宋体" w:hAnsi="宋体" w:eastAsia="宋体" w:cs="宋体"/>
          <w:spacing w:val="6"/>
          <w:sz w:val="20"/>
          <w:szCs w:val="20"/>
        </w:rPr>
        <w:t>搭设遮荫棚时以单层遮荫网考虑的，搭设双层遮荫网，人工乘以系数</w:t>
      </w:r>
      <w:r>
        <w:rPr>
          <w:rFonts w:ascii="宋体" w:hAnsi="宋体" w:eastAsia="宋体" w:cs="宋体"/>
          <w:spacing w:val="-10"/>
          <w:sz w:val="20"/>
          <w:szCs w:val="20"/>
        </w:rPr>
        <w:t xml:space="preserve"> </w:t>
      </w:r>
      <w:r>
        <w:rPr>
          <w:rFonts w:ascii="宋体" w:hAnsi="宋体" w:eastAsia="宋体" w:cs="宋体"/>
          <w:spacing w:val="6"/>
          <w:sz w:val="20"/>
          <w:szCs w:val="20"/>
        </w:rPr>
        <w:t>1.2，遮荫网的用量乘以系</w:t>
      </w:r>
      <w:r>
        <w:rPr>
          <w:rFonts w:ascii="宋体" w:hAnsi="宋体" w:eastAsia="宋体" w:cs="宋体"/>
          <w:sz w:val="20"/>
          <w:szCs w:val="20"/>
        </w:rPr>
        <w:t>数</w:t>
      </w:r>
      <w:r>
        <w:rPr>
          <w:rFonts w:ascii="宋体" w:hAnsi="宋体" w:eastAsia="宋体" w:cs="宋体"/>
          <w:spacing w:val="-34"/>
          <w:sz w:val="20"/>
          <w:szCs w:val="20"/>
        </w:rPr>
        <w:t xml:space="preserve"> </w:t>
      </w:r>
      <w:r>
        <w:rPr>
          <w:rFonts w:ascii="宋体" w:hAnsi="宋体" w:eastAsia="宋体" w:cs="宋体"/>
          <w:sz w:val="20"/>
          <w:szCs w:val="20"/>
        </w:rPr>
        <w:t>2.0，其他不变</w:t>
      </w:r>
    </w:p>
    <w:p>
      <w:pPr>
        <w:spacing w:before="5" w:line="277" w:lineRule="exact"/>
        <w:ind w:left="424"/>
        <w:rPr>
          <w:rFonts w:ascii="宋体" w:hAnsi="宋体" w:eastAsia="宋体" w:cs="宋体"/>
          <w:sz w:val="20"/>
          <w:szCs w:val="20"/>
        </w:rPr>
      </w:pPr>
      <w:r>
        <w:rPr>
          <w:rFonts w:ascii="宋体" w:hAnsi="宋体" w:eastAsia="宋体" w:cs="宋体"/>
          <w:b/>
          <w:bCs/>
          <w:spacing w:val="5"/>
          <w:position w:val="1"/>
          <w:sz w:val="20"/>
          <w:szCs w:val="20"/>
        </w:rPr>
        <w:t>36.</w:t>
      </w:r>
      <w:r>
        <w:rPr>
          <w:rFonts w:ascii="宋体" w:hAnsi="宋体" w:eastAsia="宋体" w:cs="宋体"/>
          <w:spacing w:val="5"/>
          <w:position w:val="1"/>
          <w:sz w:val="20"/>
          <w:szCs w:val="20"/>
        </w:rPr>
        <w:t xml:space="preserve"> </w:t>
      </w:r>
      <w:r>
        <w:rPr>
          <w:rFonts w:ascii="宋体" w:hAnsi="宋体" w:eastAsia="宋体" w:cs="宋体"/>
          <w:b/>
          <w:bCs/>
          <w:spacing w:val="5"/>
          <w:position w:val="1"/>
          <w:sz w:val="20"/>
          <w:szCs w:val="20"/>
        </w:rPr>
        <w:t>关于搭设防风障（5-3-23~5-3-25）工程量的计算</w:t>
      </w:r>
    </w:p>
    <w:p>
      <w:pPr>
        <w:spacing w:before="123" w:line="350" w:lineRule="auto"/>
        <w:ind w:left="1" w:right="2" w:firstLine="416"/>
        <w:rPr>
          <w:rFonts w:ascii="宋体" w:hAnsi="宋体" w:eastAsia="宋体" w:cs="宋体"/>
          <w:sz w:val="20"/>
          <w:szCs w:val="20"/>
        </w:rPr>
      </w:pPr>
      <w:r>
        <w:rPr>
          <w:rFonts w:ascii="宋体" w:hAnsi="宋体" w:eastAsia="宋体" w:cs="宋体"/>
          <w:spacing w:val="9"/>
          <w:sz w:val="20"/>
          <w:szCs w:val="20"/>
        </w:rPr>
        <w:t>搭设防风障定额子目中，树棍和防风障含量为一次使用量，树棍搭设间距为</w:t>
      </w:r>
      <w:r>
        <w:rPr>
          <w:rFonts w:ascii="宋体" w:hAnsi="宋体" w:eastAsia="宋体" w:cs="宋体"/>
          <w:spacing w:val="-24"/>
          <w:sz w:val="20"/>
          <w:szCs w:val="20"/>
        </w:rPr>
        <w:t xml:space="preserve"> </w:t>
      </w:r>
      <w:r>
        <w:rPr>
          <w:rFonts w:ascii="宋体" w:hAnsi="宋体" w:eastAsia="宋体" w:cs="宋体"/>
          <w:spacing w:val="9"/>
          <w:sz w:val="20"/>
          <w:szCs w:val="20"/>
        </w:rPr>
        <w:t>1</w:t>
      </w:r>
      <w:r>
        <w:rPr>
          <w:rFonts w:ascii="宋体" w:hAnsi="宋体" w:eastAsia="宋体" w:cs="宋体"/>
          <w:spacing w:val="8"/>
          <w:sz w:val="20"/>
          <w:szCs w:val="20"/>
        </w:rPr>
        <w:t>m，不考虑周转摊</w:t>
      </w:r>
      <w:r>
        <w:rPr>
          <w:rFonts w:ascii="宋体" w:hAnsi="宋体" w:eastAsia="宋体" w:cs="宋体"/>
          <w:spacing w:val="9"/>
          <w:sz w:val="20"/>
          <w:szCs w:val="20"/>
        </w:rPr>
        <w:t>销次数。若树棍和防风障实际消耗量与定额不同时可按实调整，其他不变。</w:t>
      </w:r>
    </w:p>
    <w:p>
      <w:pPr>
        <w:spacing w:before="41" w:line="276" w:lineRule="exact"/>
        <w:ind w:left="424"/>
        <w:rPr>
          <w:rFonts w:ascii="宋体" w:hAnsi="宋体" w:eastAsia="宋体" w:cs="宋体"/>
          <w:sz w:val="20"/>
          <w:szCs w:val="20"/>
        </w:rPr>
      </w:pPr>
      <w:r>
        <w:rPr>
          <w:rFonts w:ascii="宋体" w:hAnsi="宋体" w:eastAsia="宋体" w:cs="宋体"/>
          <w:b/>
          <w:bCs/>
          <w:spacing w:val="2"/>
          <w:position w:val="1"/>
          <w:sz w:val="20"/>
          <w:szCs w:val="20"/>
        </w:rPr>
        <w:t>37.</w:t>
      </w:r>
      <w:r>
        <w:rPr>
          <w:rFonts w:ascii="宋体" w:hAnsi="宋体" w:eastAsia="宋体" w:cs="宋体"/>
          <w:spacing w:val="2"/>
          <w:position w:val="1"/>
          <w:sz w:val="20"/>
          <w:szCs w:val="20"/>
        </w:rPr>
        <w:t xml:space="preserve"> </w:t>
      </w:r>
      <w:r>
        <w:rPr>
          <w:rFonts w:ascii="宋体" w:hAnsi="宋体" w:eastAsia="宋体" w:cs="宋体"/>
          <w:b/>
          <w:bCs/>
          <w:spacing w:val="2"/>
          <w:position w:val="1"/>
          <w:sz w:val="20"/>
          <w:szCs w:val="20"/>
        </w:rPr>
        <w:t>关于树干涂白的计价</w:t>
      </w:r>
    </w:p>
    <w:p>
      <w:pPr>
        <w:spacing w:before="129" w:line="368" w:lineRule="auto"/>
        <w:ind w:left="3" w:firstLine="415"/>
        <w:rPr>
          <w:rFonts w:ascii="宋体" w:hAnsi="宋体" w:eastAsia="宋体" w:cs="宋体"/>
          <w:sz w:val="20"/>
          <w:szCs w:val="20"/>
        </w:rPr>
      </w:pPr>
      <w:r>
        <w:rPr>
          <w:rFonts w:ascii="宋体" w:hAnsi="宋体" w:eastAsia="宋体" w:cs="宋体"/>
          <w:spacing w:val="11"/>
          <w:sz w:val="20"/>
          <w:szCs w:val="20"/>
        </w:rPr>
        <w:t>“树干涂白”定额适用于定额养护工程外的树干涂白。养护定额已综合考虑树干涂白</w:t>
      </w:r>
      <w:r>
        <w:rPr>
          <w:rFonts w:ascii="宋体" w:hAnsi="宋体" w:eastAsia="宋体" w:cs="宋体"/>
          <w:spacing w:val="10"/>
          <w:sz w:val="20"/>
          <w:szCs w:val="20"/>
        </w:rPr>
        <w:t>，套用养</w:t>
      </w:r>
      <w:r>
        <w:rPr>
          <w:rFonts w:ascii="宋体" w:hAnsi="宋体" w:eastAsia="宋体" w:cs="宋体"/>
          <w:spacing w:val="8"/>
          <w:sz w:val="20"/>
          <w:szCs w:val="20"/>
        </w:rPr>
        <w:t>护定额的不再单独计取树干涂白。</w:t>
      </w:r>
    </w:p>
    <w:p>
      <w:pPr>
        <w:spacing w:line="368" w:lineRule="auto"/>
        <w:rPr>
          <w:rFonts w:ascii="宋体" w:hAnsi="宋体" w:eastAsia="宋体" w:cs="宋体"/>
          <w:sz w:val="20"/>
          <w:szCs w:val="20"/>
        </w:rPr>
        <w:sectPr>
          <w:footerReference r:id="rId261" w:type="default"/>
          <w:pgSz w:w="11906" w:h="16839"/>
          <w:pgMar w:top="400" w:right="1417" w:bottom="1212" w:left="1420" w:header="0" w:footer="897" w:gutter="0"/>
        </w:sect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2"/>
        <w:spacing w:before="133" w:line="207" w:lineRule="auto"/>
        <w:ind w:left="2310"/>
        <w:outlineLvl w:val="0"/>
      </w:pPr>
      <w:bookmarkStart w:id="138" w:name="bookmark179"/>
      <w:bookmarkEnd w:id="138"/>
      <w:r>
        <w:rPr>
          <w:spacing w:val="7"/>
        </w:rPr>
        <w:t>第四章</w:t>
      </w:r>
      <w:r>
        <w:rPr>
          <w:spacing w:val="21"/>
        </w:rPr>
        <w:t xml:space="preserve">   </w:t>
      </w:r>
      <w:r>
        <w:rPr>
          <w:spacing w:val="7"/>
        </w:rPr>
        <w:t>城市环境卫生作业计价</w:t>
      </w:r>
    </w:p>
    <w:p>
      <w:pPr>
        <w:spacing w:before="126" w:line="214" w:lineRule="auto"/>
        <w:ind w:left="3031"/>
        <w:outlineLvl w:val="1"/>
        <w:rPr>
          <w:rFonts w:ascii="宋体" w:hAnsi="宋体" w:eastAsia="宋体" w:cs="宋体"/>
          <w:sz w:val="30"/>
          <w:szCs w:val="30"/>
        </w:rPr>
      </w:pPr>
      <w:bookmarkStart w:id="139" w:name="bookmark180"/>
      <w:bookmarkEnd w:id="139"/>
      <w:r>
        <w:rPr>
          <w:rFonts w:ascii="宋体" w:hAnsi="宋体" w:eastAsia="宋体" w:cs="宋体"/>
          <w:b/>
          <w:bCs/>
          <w:spacing w:val="-3"/>
          <w:sz w:val="30"/>
          <w:szCs w:val="30"/>
        </w:rPr>
        <w:t>第一节</w:t>
      </w:r>
      <w:r>
        <w:rPr>
          <w:rFonts w:ascii="宋体" w:hAnsi="宋体" w:eastAsia="宋体" w:cs="宋体"/>
          <w:spacing w:val="-3"/>
          <w:sz w:val="30"/>
          <w:szCs w:val="30"/>
        </w:rPr>
        <w:t xml:space="preserve">  </w:t>
      </w:r>
      <w:r>
        <w:rPr>
          <w:rFonts w:ascii="宋体" w:hAnsi="宋体" w:eastAsia="宋体" w:cs="宋体"/>
          <w:b/>
          <w:bCs/>
          <w:spacing w:val="-3"/>
          <w:sz w:val="30"/>
          <w:szCs w:val="30"/>
        </w:rPr>
        <w:t>费用项目组成</w:t>
      </w:r>
    </w:p>
    <w:p>
      <w:pPr>
        <w:spacing w:before="282" w:line="220" w:lineRule="auto"/>
        <w:ind w:left="422"/>
        <w:rPr>
          <w:rFonts w:ascii="宋体" w:hAnsi="宋体" w:eastAsia="宋体" w:cs="宋体"/>
          <w:sz w:val="20"/>
          <w:szCs w:val="20"/>
        </w:rPr>
      </w:pPr>
      <w:r>
        <w:rPr>
          <w:rFonts w:ascii="宋体" w:hAnsi="宋体" w:eastAsia="宋体" w:cs="宋体"/>
          <w:spacing w:val="9"/>
          <w:sz w:val="20"/>
          <w:szCs w:val="20"/>
        </w:rPr>
        <w:t>环境卫生作业费用项目组成如下表所示</w:t>
      </w:r>
    </w:p>
    <w:p>
      <w:pPr>
        <w:spacing w:line="251" w:lineRule="auto"/>
        <w:rPr>
          <w:rFonts w:ascii="Arial"/>
          <w:sz w:val="21"/>
        </w:rPr>
      </w:pPr>
      <w:r>
        <w:drawing>
          <wp:anchor distT="0" distB="0" distL="0" distR="0" simplePos="0" relativeHeight="259619840" behindDoc="0" locked="0" layoutInCell="1" allowOverlap="1">
            <wp:simplePos x="0" y="0"/>
            <wp:positionH relativeFrom="column">
              <wp:posOffset>1483995</wp:posOffset>
            </wp:positionH>
            <wp:positionV relativeFrom="paragraph">
              <wp:posOffset>142240</wp:posOffset>
            </wp:positionV>
            <wp:extent cx="88265" cy="2057400"/>
            <wp:effectExtent l="0" t="0" r="0" b="0"/>
            <wp:wrapNone/>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422"/>
                    <a:stretch>
                      <a:fillRect/>
                    </a:stretch>
                  </pic:blipFill>
                  <pic:spPr>
                    <a:xfrm>
                      <a:off x="0" y="0"/>
                      <a:ext cx="88391" cy="2057400"/>
                    </a:xfrm>
                    <a:prstGeom prst="rect">
                      <a:avLst/>
                    </a:prstGeom>
                  </pic:spPr>
                </pic:pic>
              </a:graphicData>
            </a:graphic>
          </wp:anchor>
        </w:drawing>
      </w:r>
    </w:p>
    <w:p>
      <w:pPr>
        <w:spacing w:line="251" w:lineRule="auto"/>
        <w:rPr>
          <w:rFonts w:ascii="Arial"/>
          <w:sz w:val="21"/>
        </w:rPr>
      </w:pPr>
      <w:r>
        <w:pict>
          <v:shape id="_x0000_s1065" o:spid="_x0000_s1065" o:spt="202" type="#_x0000_t202" style="position:absolute;left:0pt;margin-left:126.75pt;margin-top:4.95pt;height:67.95pt;width:115.3pt;z-index:259616768;mso-width-relative:page;mso-height-relative:page;" filled="f" stroked="f" coordsize="21600,21600">
            <v:path/>
            <v:fill on="f" focussize="0,0"/>
            <v:stroke on="f"/>
            <v:imagedata o:title=""/>
            <o:lock v:ext="edit" aspectratio="f"/>
            <v:textbox inset="0mm,0mm,0mm,0mm">
              <w:txbxContent>
                <w:p>
                  <w:pPr>
                    <w:spacing w:before="20" w:line="262" w:lineRule="exact"/>
                    <w:ind w:left="39"/>
                    <w:rPr>
                      <w:rFonts w:ascii="宋体" w:hAnsi="宋体" w:eastAsia="宋体" w:cs="宋体"/>
                      <w:sz w:val="19"/>
                      <w:szCs w:val="19"/>
                    </w:rPr>
                  </w:pPr>
                  <w:r>
                    <w:rPr>
                      <w:rFonts w:ascii="宋体" w:hAnsi="宋体" w:eastAsia="宋体" w:cs="宋体"/>
                      <w:spacing w:val="12"/>
                      <w:position w:val="1"/>
                      <w:sz w:val="19"/>
                      <w:szCs w:val="19"/>
                    </w:rPr>
                    <w:t>1.计时工资或计件工资</w:t>
                  </w:r>
                </w:p>
                <w:p>
                  <w:pPr>
                    <w:spacing w:before="1" w:line="264" w:lineRule="exact"/>
                    <w:ind w:left="22"/>
                    <w:rPr>
                      <w:rFonts w:ascii="宋体" w:hAnsi="宋体" w:eastAsia="宋体" w:cs="宋体"/>
                      <w:sz w:val="19"/>
                      <w:szCs w:val="19"/>
                    </w:rPr>
                  </w:pPr>
                  <w:r>
                    <w:rPr>
                      <w:rFonts w:ascii="宋体" w:hAnsi="宋体" w:eastAsia="宋体" w:cs="宋体"/>
                      <w:spacing w:val="-2"/>
                      <w:position w:val="1"/>
                      <w:sz w:val="19"/>
                      <w:szCs w:val="19"/>
                    </w:rPr>
                    <w:t>2.奖金</w:t>
                  </w:r>
                </w:p>
                <w:p>
                  <w:pPr>
                    <w:spacing w:line="264" w:lineRule="exact"/>
                    <w:ind w:left="26"/>
                    <w:rPr>
                      <w:rFonts w:ascii="宋体" w:hAnsi="宋体" w:eastAsia="宋体" w:cs="宋体"/>
                      <w:sz w:val="19"/>
                      <w:szCs w:val="19"/>
                    </w:rPr>
                  </w:pPr>
                  <w:r>
                    <w:rPr>
                      <w:rFonts w:ascii="宋体" w:hAnsi="宋体" w:eastAsia="宋体" w:cs="宋体"/>
                      <w:spacing w:val="8"/>
                      <w:position w:val="1"/>
                      <w:sz w:val="19"/>
                      <w:szCs w:val="19"/>
                    </w:rPr>
                    <w:t>3.津贴、补贴</w:t>
                  </w:r>
                </w:p>
                <w:p>
                  <w:pPr>
                    <w:spacing w:line="262" w:lineRule="exact"/>
                    <w:ind w:left="20"/>
                    <w:rPr>
                      <w:rFonts w:ascii="宋体" w:hAnsi="宋体" w:eastAsia="宋体" w:cs="宋体"/>
                      <w:sz w:val="19"/>
                      <w:szCs w:val="19"/>
                    </w:rPr>
                  </w:pPr>
                  <w:r>
                    <w:rPr>
                      <w:rFonts w:ascii="宋体" w:hAnsi="宋体" w:eastAsia="宋体" w:cs="宋体"/>
                      <w:spacing w:val="11"/>
                      <w:position w:val="1"/>
                      <w:sz w:val="19"/>
                      <w:szCs w:val="19"/>
                    </w:rPr>
                    <w:t>4.加班加点工资</w:t>
                  </w:r>
                </w:p>
                <w:p>
                  <w:pPr>
                    <w:spacing w:before="1" w:line="263" w:lineRule="exact"/>
                    <w:ind w:left="22"/>
                    <w:rPr>
                      <w:rFonts w:ascii="宋体" w:hAnsi="宋体" w:eastAsia="宋体" w:cs="宋体"/>
                      <w:sz w:val="19"/>
                      <w:szCs w:val="19"/>
                    </w:rPr>
                  </w:pPr>
                  <w:r>
                    <w:rPr>
                      <w:rFonts w:ascii="宋体" w:hAnsi="宋体" w:eastAsia="宋体" w:cs="宋体"/>
                      <w:spacing w:val="14"/>
                      <w:position w:val="1"/>
                      <w:sz w:val="19"/>
                      <w:szCs w:val="19"/>
                    </w:rPr>
                    <w:t>5.特殊情况下支付的工资</w:t>
                  </w:r>
                </w:p>
              </w:txbxContent>
            </v:textbox>
          </v:shape>
        </w:pict>
      </w:r>
    </w:p>
    <w:p>
      <w:pPr>
        <w:spacing w:line="251" w:lineRule="auto"/>
        <w:rPr>
          <w:rFonts w:ascii="Arial"/>
          <w:sz w:val="21"/>
        </w:rPr>
      </w:pPr>
    </w:p>
    <w:p>
      <w:pPr>
        <w:spacing w:line="251" w:lineRule="auto"/>
        <w:rPr>
          <w:rFonts w:ascii="Arial"/>
          <w:sz w:val="21"/>
        </w:rPr>
      </w:pPr>
      <w:r>
        <w:pict>
          <v:shape id="_x0000_s1066" o:spid="_x0000_s1066" o:spt="202" type="#_x0000_t202" style="position:absolute;left:0pt;margin-left:25.9pt;margin-top:9.35pt;height:321.95pt;width:95.35pt;z-index:259615744;mso-width-relative:page;mso-height-relative:page;" filled="f" stroked="f" coordsize="21600,21600">
            <v:path/>
            <v:fill on="f" focussize="0,0"/>
            <v:stroke on="f"/>
            <v:imagedata o:title=""/>
            <o:lock v:ext="edit" aspectratio="f"/>
            <v:textbox inset="0mm,0mm,0mm,0mm">
              <w:txbxContent>
                <w:p>
                  <w:pPr>
                    <w:spacing w:before="20" w:line="218" w:lineRule="auto"/>
                    <w:ind w:left="310"/>
                    <w:rPr>
                      <w:rFonts w:ascii="宋体" w:hAnsi="宋体" w:eastAsia="宋体" w:cs="宋体"/>
                      <w:sz w:val="19"/>
                      <w:szCs w:val="19"/>
                    </w:rPr>
                  </w:pPr>
                  <w:r>
                    <w:rPr>
                      <w:rFonts w:ascii="宋体" w:hAnsi="宋体" w:eastAsia="宋体" w:cs="宋体"/>
                      <w:spacing w:val="14"/>
                      <w:sz w:val="19"/>
                      <w:szCs w:val="19"/>
                    </w:rPr>
                    <w:t xml:space="preserve">人工费  </w:t>
                  </w:r>
                  <w:r>
                    <w:rPr>
                      <w:rFonts w:ascii="宋体" w:hAnsi="宋体" w:eastAsia="宋体" w:cs="宋体"/>
                      <w:strike/>
                      <w:sz w:val="19"/>
                      <w:szCs w:val="19"/>
                    </w:rPr>
                    <w:t xml:space="preserve">      </w:t>
                  </w: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tabs>
                      <w:tab w:val="left" w:pos="392"/>
                      <w:tab w:val="left" w:pos="499"/>
                    </w:tabs>
                    <w:spacing w:before="62" w:line="1189" w:lineRule="auto"/>
                    <w:ind w:left="20" w:right="20"/>
                    <w:rPr>
                      <w:rFonts w:ascii="宋体" w:hAnsi="宋体" w:eastAsia="宋体" w:cs="宋体"/>
                      <w:sz w:val="22"/>
                      <w:szCs w:val="22"/>
                    </w:rPr>
                  </w:pPr>
                  <w:r>
                    <w:rPr>
                      <w:rFonts w:ascii="宋体" w:hAnsi="宋体" w:eastAsia="宋体" w:cs="宋体"/>
                      <w:strike/>
                      <w:sz w:val="19"/>
                      <w:szCs w:val="19"/>
                    </w:rPr>
                    <w:tab/>
                  </w:r>
                  <w:r>
                    <w:rPr>
                      <w:rFonts w:ascii="宋体" w:hAnsi="宋体" w:eastAsia="宋体" w:cs="宋体"/>
                      <w:strike/>
                      <w:sz w:val="19"/>
                      <w:szCs w:val="19"/>
                    </w:rPr>
                    <w:tab/>
                  </w:r>
                  <w:r>
                    <w:rPr>
                      <w:rFonts w:ascii="宋体" w:hAnsi="宋体" w:eastAsia="宋体" w:cs="宋体"/>
                      <w:spacing w:val="-8"/>
                      <w:sz w:val="19"/>
                      <w:szCs w:val="19"/>
                    </w:rPr>
                    <w:t xml:space="preserve"> </w:t>
                  </w:r>
                  <w:r>
                    <w:rPr>
                      <w:rFonts w:ascii="宋体" w:hAnsi="宋体" w:eastAsia="宋体" w:cs="宋体"/>
                      <w:spacing w:val="18"/>
                      <w:sz w:val="19"/>
                      <w:szCs w:val="19"/>
                    </w:rPr>
                    <w:t>材料费</w:t>
                  </w:r>
                  <w:r>
                    <w:rPr>
                      <w:rFonts w:ascii="宋体" w:hAnsi="宋体" w:eastAsia="宋体" w:cs="宋体"/>
                      <w:spacing w:val="-27"/>
                      <w:sz w:val="19"/>
                      <w:szCs w:val="19"/>
                    </w:rPr>
                    <w:t xml:space="preserve"> </w:t>
                  </w:r>
                  <w:r>
                    <w:rPr>
                      <w:rFonts w:ascii="宋体" w:hAnsi="宋体" w:eastAsia="宋体" w:cs="宋体"/>
                      <w:strike/>
                      <w:spacing w:val="1"/>
                      <w:sz w:val="19"/>
                      <w:szCs w:val="19"/>
                    </w:rPr>
                    <w:t xml:space="preserve">     </w:t>
                  </w:r>
                  <w:r>
                    <w:rPr>
                      <w:rFonts w:ascii="宋体" w:hAnsi="宋体" w:eastAsia="宋体" w:cs="宋体"/>
                      <w:sz w:val="22"/>
                      <w:szCs w:val="22"/>
                      <w:u w:val="single" w:color="auto"/>
                    </w:rPr>
                    <w:tab/>
                  </w:r>
                  <w:r>
                    <w:rPr>
                      <w:rFonts w:ascii="宋体" w:hAnsi="宋体" w:eastAsia="宋体" w:cs="宋体"/>
                      <w:spacing w:val="-7"/>
                      <w:sz w:val="22"/>
                      <w:szCs w:val="22"/>
                      <w:u w:val="single" w:color="auto"/>
                    </w:rPr>
                    <w:t>施</w:t>
                  </w:r>
                  <w:r>
                    <w:rPr>
                      <w:rFonts w:ascii="宋体" w:hAnsi="宋体" w:eastAsia="宋体" w:cs="宋体"/>
                      <w:spacing w:val="-7"/>
                      <w:sz w:val="22"/>
                      <w:szCs w:val="22"/>
                    </w:rPr>
                    <w:t>工机具使用费</w:t>
                  </w:r>
                </w:p>
                <w:p>
                  <w:pPr>
                    <w:spacing w:line="264" w:lineRule="auto"/>
                    <w:rPr>
                      <w:rFonts w:ascii="Arial"/>
                      <w:sz w:val="21"/>
                    </w:rPr>
                  </w:pPr>
                </w:p>
                <w:p>
                  <w:pPr>
                    <w:spacing w:before="62" w:line="220" w:lineRule="auto"/>
                    <w:ind w:left="563"/>
                    <w:rPr>
                      <w:rFonts w:ascii="宋体" w:hAnsi="宋体" w:eastAsia="宋体" w:cs="宋体"/>
                      <w:sz w:val="19"/>
                      <w:szCs w:val="19"/>
                    </w:rPr>
                  </w:pPr>
                  <w:r>
                    <w:rPr>
                      <w:rFonts w:ascii="宋体" w:hAnsi="宋体" w:eastAsia="宋体" w:cs="宋体"/>
                      <w:spacing w:val="21"/>
                      <w:sz w:val="19"/>
                      <w:szCs w:val="19"/>
                    </w:rPr>
                    <w:t>企业管理费</w:t>
                  </w: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tabs>
                      <w:tab w:val="left" w:pos="499"/>
                    </w:tabs>
                    <w:spacing w:before="61" w:line="217" w:lineRule="auto"/>
                    <w:ind w:left="20"/>
                    <w:rPr>
                      <w:rFonts w:ascii="宋体" w:hAnsi="宋体" w:eastAsia="宋体" w:cs="宋体"/>
                      <w:sz w:val="19"/>
                      <w:szCs w:val="19"/>
                    </w:rPr>
                  </w:pPr>
                  <w:r>
                    <w:rPr>
                      <w:rFonts w:ascii="宋体" w:hAnsi="宋体" w:eastAsia="宋体" w:cs="宋体"/>
                      <w:strike/>
                      <w:sz w:val="19"/>
                      <w:szCs w:val="19"/>
                    </w:rPr>
                    <w:tab/>
                  </w:r>
                  <w:r>
                    <w:rPr>
                      <w:rFonts w:ascii="宋体" w:hAnsi="宋体" w:eastAsia="宋体" w:cs="宋体"/>
                      <w:spacing w:val="-31"/>
                      <w:sz w:val="19"/>
                      <w:szCs w:val="19"/>
                    </w:rPr>
                    <w:t xml:space="preserve"> </w:t>
                  </w:r>
                  <w:r>
                    <w:rPr>
                      <w:rFonts w:ascii="宋体" w:hAnsi="宋体" w:eastAsia="宋体" w:cs="宋体"/>
                      <w:spacing w:val="15"/>
                      <w:sz w:val="19"/>
                      <w:szCs w:val="19"/>
                    </w:rPr>
                    <w:t>利润</w:t>
                  </w:r>
                </w:p>
              </w:txbxContent>
            </v:textbox>
          </v:shape>
        </w:pic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62" w:line="263" w:lineRule="exact"/>
        <w:ind w:left="2541"/>
        <w:rPr>
          <w:rFonts w:ascii="宋体" w:hAnsi="宋体" w:eastAsia="宋体" w:cs="宋体"/>
          <w:sz w:val="19"/>
          <w:szCs w:val="19"/>
        </w:rPr>
      </w:pPr>
      <w:r>
        <w:drawing>
          <wp:anchor distT="0" distB="0" distL="0" distR="0" simplePos="0" relativeHeight="259613696" behindDoc="1" locked="0" layoutInCell="1" allowOverlap="1">
            <wp:simplePos x="0" y="0"/>
            <wp:positionH relativeFrom="column">
              <wp:posOffset>3641725</wp:posOffset>
            </wp:positionH>
            <wp:positionV relativeFrom="paragraph">
              <wp:posOffset>132715</wp:posOffset>
            </wp:positionV>
            <wp:extent cx="86995" cy="127254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423"/>
                    <a:stretch>
                      <a:fillRect/>
                    </a:stretch>
                  </pic:blipFill>
                  <pic:spPr>
                    <a:xfrm>
                      <a:off x="0" y="0"/>
                      <a:ext cx="86867" cy="1272539"/>
                    </a:xfrm>
                    <a:prstGeom prst="rect">
                      <a:avLst/>
                    </a:prstGeom>
                  </pic:spPr>
                </pic:pic>
              </a:graphicData>
            </a:graphic>
          </wp:anchor>
        </w:drawing>
      </w:r>
      <w:r>
        <w:rPr>
          <w:rFonts w:ascii="宋体" w:hAnsi="宋体" w:eastAsia="宋体" w:cs="宋体"/>
          <w:spacing w:val="4"/>
          <w:position w:val="1"/>
          <w:sz w:val="19"/>
          <w:szCs w:val="19"/>
        </w:rPr>
        <w:t>1.材料原价</w:t>
      </w:r>
    </w:p>
    <w:p>
      <w:pPr>
        <w:spacing w:before="1" w:line="235" w:lineRule="auto"/>
        <w:ind w:left="2524"/>
        <w:rPr>
          <w:rFonts w:ascii="宋体" w:hAnsi="宋体" w:eastAsia="宋体" w:cs="宋体"/>
          <w:sz w:val="19"/>
          <w:szCs w:val="19"/>
        </w:rPr>
      </w:pPr>
      <w:r>
        <w:rPr>
          <w:rFonts w:ascii="宋体" w:hAnsi="宋体" w:eastAsia="宋体" w:cs="宋体"/>
          <w:spacing w:val="8"/>
          <w:position w:val="1"/>
          <w:sz w:val="19"/>
          <w:szCs w:val="19"/>
        </w:rPr>
        <w:t xml:space="preserve">2.运杂费                          </w:t>
      </w:r>
      <w:r>
        <w:rPr>
          <w:rFonts w:ascii="宋体" w:hAnsi="宋体" w:eastAsia="宋体" w:cs="宋体"/>
          <w:spacing w:val="8"/>
          <w:position w:val="-1"/>
          <w:sz w:val="19"/>
          <w:szCs w:val="19"/>
        </w:rPr>
        <w:t>①折旧费</w:t>
      </w:r>
    </w:p>
    <w:p>
      <w:pPr>
        <w:spacing w:before="2" w:line="235" w:lineRule="auto"/>
        <w:ind w:left="2528"/>
        <w:rPr>
          <w:rFonts w:ascii="宋体" w:hAnsi="宋体" w:eastAsia="宋体" w:cs="宋体"/>
          <w:sz w:val="19"/>
          <w:szCs w:val="19"/>
        </w:rPr>
      </w:pPr>
      <w:r>
        <w:rPr>
          <w:rFonts w:ascii="宋体" w:hAnsi="宋体" w:eastAsia="宋体" w:cs="宋体"/>
          <w:spacing w:val="12"/>
          <w:position w:val="1"/>
          <w:sz w:val="19"/>
          <w:szCs w:val="19"/>
        </w:rPr>
        <w:t>3.运输损耗费</w:t>
      </w:r>
      <w:r>
        <w:rPr>
          <w:rFonts w:ascii="宋体" w:hAnsi="宋体" w:eastAsia="宋体" w:cs="宋体"/>
          <w:spacing w:val="2"/>
          <w:position w:val="1"/>
          <w:sz w:val="19"/>
          <w:szCs w:val="19"/>
        </w:rPr>
        <w:t xml:space="preserve">                       </w:t>
      </w:r>
      <w:r>
        <w:rPr>
          <w:rFonts w:ascii="宋体" w:hAnsi="宋体" w:eastAsia="宋体" w:cs="宋体"/>
          <w:spacing w:val="12"/>
          <w:position w:val="-1"/>
          <w:sz w:val="19"/>
          <w:szCs w:val="19"/>
        </w:rPr>
        <w:t>②检修费</w:t>
      </w:r>
    </w:p>
    <w:p>
      <w:pPr>
        <w:spacing w:before="2" w:line="262" w:lineRule="exact"/>
        <w:ind w:left="2521"/>
        <w:rPr>
          <w:rFonts w:ascii="宋体" w:hAnsi="宋体" w:eastAsia="宋体" w:cs="宋体"/>
          <w:sz w:val="19"/>
          <w:szCs w:val="19"/>
        </w:rPr>
      </w:pPr>
      <w:r>
        <w:rPr>
          <w:rFonts w:ascii="宋体" w:hAnsi="宋体" w:eastAsia="宋体" w:cs="宋体"/>
          <w:spacing w:val="14"/>
          <w:position w:val="2"/>
          <w:sz w:val="19"/>
          <w:szCs w:val="19"/>
        </w:rPr>
        <w:t>4.采购及保管费</w:t>
      </w:r>
      <w:r>
        <w:rPr>
          <w:rFonts w:ascii="宋体" w:hAnsi="宋体" w:eastAsia="宋体" w:cs="宋体"/>
          <w:spacing w:val="1"/>
          <w:position w:val="2"/>
          <w:sz w:val="19"/>
          <w:szCs w:val="19"/>
        </w:rPr>
        <w:t xml:space="preserve">                   </w:t>
      </w:r>
      <w:r>
        <w:rPr>
          <w:rFonts w:ascii="宋体" w:hAnsi="宋体" w:eastAsia="宋体" w:cs="宋体"/>
          <w:position w:val="2"/>
          <w:sz w:val="19"/>
          <w:szCs w:val="19"/>
        </w:rPr>
        <w:t xml:space="preserve">  </w:t>
      </w:r>
      <w:r>
        <w:rPr>
          <w:rFonts w:ascii="宋体" w:hAnsi="宋体" w:eastAsia="宋体" w:cs="宋体"/>
          <w:spacing w:val="14"/>
          <w:position w:val="1"/>
          <w:sz w:val="19"/>
          <w:szCs w:val="19"/>
        </w:rPr>
        <w:t>③维护费</w:t>
      </w:r>
    </w:p>
    <w:p>
      <w:pPr>
        <w:spacing w:before="23" w:line="222" w:lineRule="auto"/>
        <w:ind w:left="5953"/>
        <w:rPr>
          <w:rFonts w:ascii="宋体" w:hAnsi="宋体" w:eastAsia="宋体" w:cs="宋体"/>
          <w:sz w:val="19"/>
          <w:szCs w:val="19"/>
        </w:rPr>
      </w:pPr>
      <w:r>
        <w:drawing>
          <wp:anchor distT="0" distB="0" distL="0" distR="0" simplePos="0" relativeHeight="259614720" behindDoc="1" locked="0" layoutInCell="1" allowOverlap="1">
            <wp:simplePos x="0" y="0"/>
            <wp:positionH relativeFrom="column">
              <wp:posOffset>1941195</wp:posOffset>
            </wp:positionH>
            <wp:positionV relativeFrom="paragraph">
              <wp:posOffset>165735</wp:posOffset>
            </wp:positionV>
            <wp:extent cx="76200" cy="770890"/>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424"/>
                    <a:stretch>
                      <a:fillRect/>
                    </a:stretch>
                  </pic:blipFill>
                  <pic:spPr>
                    <a:xfrm>
                      <a:off x="0" y="0"/>
                      <a:ext cx="76200" cy="771143"/>
                    </a:xfrm>
                    <a:prstGeom prst="rect">
                      <a:avLst/>
                    </a:prstGeom>
                  </pic:spPr>
                </pic:pic>
              </a:graphicData>
            </a:graphic>
          </wp:anchor>
        </w:drawing>
      </w:r>
      <w:r>
        <w:rPr>
          <w:rFonts w:ascii="宋体" w:hAnsi="宋体" w:eastAsia="宋体" w:cs="宋体"/>
          <w:spacing w:val="23"/>
          <w:sz w:val="19"/>
          <w:szCs w:val="19"/>
        </w:rPr>
        <w:t>④安拆费及场外运费</w:t>
      </w:r>
    </w:p>
    <w:p>
      <w:pPr>
        <w:spacing w:before="30" w:line="242" w:lineRule="auto"/>
        <w:ind w:left="3280"/>
        <w:rPr>
          <w:rFonts w:ascii="宋体" w:hAnsi="宋体" w:eastAsia="宋体" w:cs="宋体"/>
          <w:sz w:val="19"/>
          <w:szCs w:val="19"/>
        </w:rPr>
      </w:pPr>
      <w:r>
        <w:rPr>
          <w:rFonts w:ascii="宋体" w:hAnsi="宋体" w:eastAsia="宋体" w:cs="宋体"/>
          <w:spacing w:val="15"/>
          <w:sz w:val="19"/>
          <w:szCs w:val="19"/>
        </w:rPr>
        <w:t xml:space="preserve">1.施工机械使用费  </w:t>
      </w:r>
      <w:r>
        <w:rPr>
          <w:rFonts w:ascii="宋体" w:hAnsi="宋体" w:eastAsia="宋体" w:cs="宋体"/>
          <w:strike/>
          <w:spacing w:val="1"/>
          <w:sz w:val="19"/>
          <w:szCs w:val="19"/>
        </w:rPr>
        <w:t xml:space="preserve">     </w:t>
      </w:r>
      <w:r>
        <w:rPr>
          <w:rFonts w:ascii="宋体" w:hAnsi="宋体" w:eastAsia="宋体" w:cs="宋体"/>
          <w:spacing w:val="18"/>
          <w:sz w:val="19"/>
          <w:szCs w:val="19"/>
        </w:rPr>
        <w:t xml:space="preserve">   </w:t>
      </w:r>
      <w:r>
        <w:rPr>
          <w:rFonts w:ascii="宋体" w:hAnsi="宋体" w:eastAsia="宋体" w:cs="宋体"/>
          <w:spacing w:val="15"/>
          <w:position w:val="1"/>
          <w:sz w:val="19"/>
          <w:szCs w:val="19"/>
        </w:rPr>
        <w:t>⑤人工费</w:t>
      </w:r>
    </w:p>
    <w:p>
      <w:pPr>
        <w:tabs>
          <w:tab w:val="left" w:pos="2997"/>
        </w:tabs>
        <w:spacing w:before="1" w:line="238" w:lineRule="auto"/>
        <w:ind w:left="2517" w:right="1473" w:firstLine="3435"/>
        <w:rPr>
          <w:rFonts w:ascii="宋体" w:hAnsi="宋体" w:eastAsia="宋体" w:cs="宋体"/>
          <w:sz w:val="19"/>
          <w:szCs w:val="19"/>
        </w:rPr>
      </w:pPr>
      <w:r>
        <w:pict>
          <v:shape id="_x0000_s1067" o:spid="_x0000_s1067" o:spt="202" type="#_x0000_t202" style="position:absolute;left:0pt;margin-left:1.55pt;margin-top:16.7pt;height:122pt;width:15.9pt;z-index:259618816;mso-width-relative:page;mso-height-relative:page;" filled="f" stroked="f" coordsize="21600,21600">
            <v:path/>
            <v:fill on="f" focussize="0,0"/>
            <v:stroke on="f"/>
            <v:imagedata o:title=""/>
            <o:lock v:ext="edit" aspectratio="f"/>
            <v:textbox inset="0mm,0mm,0mm,0mm" style="layout-flow:vertical-ideographic;">
              <w:txbxContent>
                <w:p>
                  <w:pPr>
                    <w:spacing w:before="20" w:line="207" w:lineRule="auto"/>
                    <w:ind w:left="20"/>
                    <w:rPr>
                      <w:rFonts w:ascii="宋体" w:hAnsi="宋体" w:eastAsia="宋体" w:cs="宋体"/>
                      <w:sz w:val="24"/>
                      <w:szCs w:val="24"/>
                    </w:rPr>
                  </w:pPr>
                  <w:r>
                    <w:rPr>
                      <w:rFonts w:ascii="宋体" w:hAnsi="宋体" w:eastAsia="宋体" w:cs="宋体"/>
                      <w:sz w:val="24"/>
                      <w:szCs w:val="24"/>
                    </w:rPr>
                    <w:t>城市环境卫生作业费用</w:t>
                  </w:r>
                </w:p>
              </w:txbxContent>
            </v:textbox>
          </v:shape>
        </w:pict>
      </w:r>
      <w:r>
        <w:pict>
          <v:shape id="_x0000_s1068" o:spid="_x0000_s1068" o:spt="202" type="#_x0000_t202" style="position:absolute;left:0pt;margin-left:385.55pt;margin-top:27.55pt;height:11.8pt;width:41.9pt;z-index:259620864;mso-width-relative:page;mso-height-relative:page;" filled="f" stroked="f" coordsize="21600,21600">
            <v:path/>
            <v:fill on="f" focussize="0,0"/>
            <v:stroke on="f"/>
            <v:imagedata o:title=""/>
            <o:lock v:ext="edit" aspectratio="f"/>
            <v:textbox inset="0mm,0mm,0mm,0mm">
              <w:txbxContent>
                <w:p>
                  <w:pPr>
                    <w:spacing w:before="19" w:line="190" w:lineRule="auto"/>
                    <w:ind w:left="20"/>
                    <w:rPr>
                      <w:rFonts w:ascii="宋体" w:hAnsi="宋体" w:eastAsia="宋体" w:cs="宋体"/>
                      <w:sz w:val="19"/>
                      <w:szCs w:val="19"/>
                    </w:rPr>
                  </w:pPr>
                  <w:r>
                    <w:rPr>
                      <w:rFonts w:ascii="宋体" w:hAnsi="宋体" w:eastAsia="宋体" w:cs="宋体"/>
                      <w:spacing w:val="9"/>
                      <w:sz w:val="19"/>
                      <w:szCs w:val="19"/>
                    </w:rPr>
                    <w:t>①折旧费</w:t>
                  </w:r>
                </w:p>
              </w:txbxContent>
            </v:textbox>
          </v:shape>
        </w:pict>
      </w:r>
      <w:r>
        <w:drawing>
          <wp:anchor distT="0" distB="0" distL="0" distR="0" simplePos="0" relativeHeight="259623936" behindDoc="0" locked="0" layoutInCell="1" allowOverlap="1">
            <wp:simplePos x="0" y="0"/>
            <wp:positionH relativeFrom="column">
              <wp:posOffset>4784725</wp:posOffset>
            </wp:positionH>
            <wp:positionV relativeFrom="paragraph">
              <wp:posOffset>325755</wp:posOffset>
            </wp:positionV>
            <wp:extent cx="76200" cy="697865"/>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425"/>
                    <a:stretch>
                      <a:fillRect/>
                    </a:stretch>
                  </pic:blipFill>
                  <pic:spPr>
                    <a:xfrm>
                      <a:off x="0" y="0"/>
                      <a:ext cx="76200" cy="697991"/>
                    </a:xfrm>
                    <a:prstGeom prst="rect">
                      <a:avLst/>
                    </a:prstGeom>
                  </pic:spPr>
                </pic:pic>
              </a:graphicData>
            </a:graphic>
          </wp:anchor>
        </w:drawing>
      </w:r>
      <w:r>
        <w:rPr>
          <w:rFonts w:ascii="宋体" w:hAnsi="宋体" w:eastAsia="宋体" w:cs="宋体"/>
          <w:spacing w:val="22"/>
          <w:sz w:val="19"/>
          <w:szCs w:val="19"/>
        </w:rPr>
        <w:t>⑥燃料动力费</w:t>
      </w:r>
      <w:r>
        <w:rPr>
          <w:rFonts w:ascii="宋体" w:hAnsi="宋体" w:eastAsia="宋体" w:cs="宋体"/>
          <w:strike/>
          <w:sz w:val="19"/>
          <w:szCs w:val="19"/>
        </w:rPr>
        <w:tab/>
      </w:r>
      <w:r>
        <w:rPr>
          <w:rFonts w:ascii="宋体" w:hAnsi="宋体" w:eastAsia="宋体" w:cs="宋体"/>
          <w:sz w:val="19"/>
          <w:szCs w:val="19"/>
        </w:rPr>
        <w:t xml:space="preserve">                               </w:t>
      </w:r>
      <w:r>
        <w:rPr>
          <w:rFonts w:ascii="宋体" w:hAnsi="宋体" w:eastAsia="宋体" w:cs="宋体"/>
          <w:spacing w:val="20"/>
          <w:sz w:val="19"/>
          <w:szCs w:val="19"/>
        </w:rPr>
        <w:t>⑦其他费</w:t>
      </w:r>
    </w:p>
    <w:p>
      <w:pPr>
        <w:spacing w:before="212" w:line="194" w:lineRule="auto"/>
        <w:ind w:left="3264"/>
        <w:rPr>
          <w:rFonts w:ascii="宋体" w:hAnsi="宋体" w:eastAsia="宋体" w:cs="宋体"/>
          <w:sz w:val="19"/>
          <w:szCs w:val="19"/>
        </w:rPr>
      </w:pPr>
      <w:r>
        <w:rPr>
          <w:rFonts w:ascii="宋体" w:hAnsi="宋体" w:eastAsia="宋体" w:cs="宋体"/>
          <w:spacing w:val="16"/>
          <w:sz w:val="19"/>
          <w:szCs w:val="19"/>
        </w:rPr>
        <w:t>2.施工仪器仪表使用费</w:t>
      </w:r>
      <w:r>
        <w:rPr>
          <w:rFonts w:ascii="宋体" w:hAnsi="宋体" w:eastAsia="宋体" w:cs="宋体"/>
          <w:spacing w:val="-38"/>
          <w:sz w:val="19"/>
          <w:szCs w:val="19"/>
        </w:rPr>
        <w:t xml:space="preserve"> </w:t>
      </w:r>
      <w:r>
        <w:rPr>
          <w:rFonts w:ascii="宋体" w:hAnsi="宋体" w:eastAsia="宋体" w:cs="宋体"/>
          <w:strike/>
          <w:sz w:val="19"/>
          <w:szCs w:val="19"/>
        </w:rPr>
        <w:t xml:space="preserve">                       </w:t>
      </w:r>
    </w:p>
    <w:p>
      <w:pPr>
        <w:spacing w:before="1" w:line="194" w:lineRule="auto"/>
        <w:ind w:left="7731"/>
        <w:rPr>
          <w:rFonts w:ascii="宋体" w:hAnsi="宋体" w:eastAsia="宋体" w:cs="宋体"/>
          <w:sz w:val="19"/>
          <w:szCs w:val="19"/>
        </w:rPr>
      </w:pPr>
      <w:r>
        <w:pict>
          <v:shape id="_x0000_s1069" o:spid="_x0000_s1069" o:spt="202" type="#_x0000_t202" style="position:absolute;left:0pt;margin-left:142.6pt;margin-top:8.6pt;height:102.2pt;width:61.9pt;z-index:259617792;mso-width-relative:page;mso-height-relative:page;" filled="f" stroked="f" coordsize="21600,21600">
            <v:path/>
            <v:fill on="f" focussize="0,0"/>
            <v:stroke on="f"/>
            <v:imagedata o:title=""/>
            <o:lock v:ext="edit" aspectratio="f"/>
            <v:textbox inset="0mm,0mm,0mm,0mm">
              <w:txbxContent>
                <w:p>
                  <w:pPr>
                    <w:spacing w:before="20"/>
                    <w:ind w:left="20"/>
                    <w:rPr>
                      <w:rFonts w:ascii="宋体" w:hAnsi="宋体" w:eastAsia="宋体" w:cs="宋体"/>
                      <w:sz w:val="22"/>
                      <w:szCs w:val="22"/>
                    </w:rPr>
                  </w:pPr>
                  <w:r>
                    <w:rPr>
                      <w:rFonts w:ascii="宋体" w:hAnsi="宋体" w:eastAsia="宋体" w:cs="宋体"/>
                      <w:position w:val="-7"/>
                      <w:sz w:val="22"/>
                      <w:szCs w:val="22"/>
                    </w:rPr>
                    <w:drawing>
                      <wp:inline distT="0" distB="0" distL="0" distR="0">
                        <wp:extent cx="86360" cy="127190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426"/>
                                <a:stretch>
                                  <a:fillRect/>
                                </a:stretch>
                              </pic:blipFill>
                              <pic:spPr>
                                <a:xfrm>
                                  <a:off x="0" y="0"/>
                                  <a:ext cx="86867" cy="1272539"/>
                                </a:xfrm>
                                <a:prstGeom prst="rect">
                                  <a:avLst/>
                                </a:prstGeom>
                              </pic:spPr>
                            </pic:pic>
                          </a:graphicData>
                        </a:graphic>
                      </wp:inline>
                    </w:drawing>
                  </w:r>
                  <w:r>
                    <w:rPr>
                      <w:rFonts w:ascii="宋体" w:hAnsi="宋体" w:eastAsia="宋体" w:cs="宋体"/>
                      <w:spacing w:val="-6"/>
                      <w:sz w:val="22"/>
                      <w:szCs w:val="22"/>
                    </w:rPr>
                    <w:t>8.工会经费</w:t>
                  </w:r>
                </w:p>
              </w:txbxContent>
            </v:textbox>
          </v:shape>
        </w:pict>
      </w:r>
      <w:r>
        <w:rPr>
          <w:rFonts w:ascii="宋体" w:hAnsi="宋体" w:eastAsia="宋体" w:cs="宋体"/>
          <w:spacing w:val="9"/>
          <w:sz w:val="19"/>
          <w:szCs w:val="19"/>
        </w:rPr>
        <w:t>②维护费</w:t>
      </w:r>
    </w:p>
    <w:p>
      <w:pPr>
        <w:spacing w:before="43" w:line="214" w:lineRule="auto"/>
        <w:ind w:left="3078"/>
        <w:rPr>
          <w:rFonts w:ascii="宋体" w:hAnsi="宋体" w:eastAsia="宋体" w:cs="宋体"/>
          <w:sz w:val="19"/>
          <w:szCs w:val="19"/>
        </w:rPr>
      </w:pPr>
      <w:r>
        <w:rPr>
          <w:rFonts w:ascii="宋体" w:hAnsi="宋体" w:eastAsia="宋体" w:cs="宋体"/>
          <w:spacing w:val="11"/>
          <w:sz w:val="19"/>
          <w:szCs w:val="19"/>
        </w:rPr>
        <w:t>1.管理人员工资</w:t>
      </w:r>
      <w:r>
        <w:rPr>
          <w:rFonts w:ascii="宋体" w:hAnsi="宋体" w:eastAsia="宋体" w:cs="宋体"/>
          <w:spacing w:val="7"/>
          <w:sz w:val="19"/>
          <w:szCs w:val="19"/>
        </w:rPr>
        <w:t xml:space="preserve">              </w:t>
      </w:r>
      <w:r>
        <w:rPr>
          <w:rFonts w:ascii="宋体" w:hAnsi="宋体" w:eastAsia="宋体" w:cs="宋体"/>
          <w:spacing w:val="11"/>
          <w:sz w:val="19"/>
          <w:szCs w:val="19"/>
        </w:rPr>
        <w:t>9.职工教育经费</w:t>
      </w:r>
      <w:r>
        <w:rPr>
          <w:rFonts w:ascii="宋体" w:hAnsi="宋体" w:eastAsia="宋体" w:cs="宋体"/>
          <w:spacing w:val="32"/>
          <w:sz w:val="19"/>
          <w:szCs w:val="19"/>
        </w:rPr>
        <w:t xml:space="preserve">   </w:t>
      </w:r>
      <w:r>
        <w:rPr>
          <w:rFonts w:ascii="宋体" w:hAnsi="宋体" w:eastAsia="宋体" w:cs="宋体"/>
          <w:spacing w:val="11"/>
          <w:position w:val="-2"/>
          <w:sz w:val="19"/>
          <w:szCs w:val="19"/>
        </w:rPr>
        <w:t>③校验费</w:t>
      </w:r>
    </w:p>
    <w:p>
      <w:pPr>
        <w:spacing w:line="171" w:lineRule="auto"/>
        <w:ind w:left="3062"/>
        <w:rPr>
          <w:rFonts w:ascii="宋体" w:hAnsi="宋体" w:eastAsia="宋体" w:cs="宋体"/>
          <w:sz w:val="19"/>
          <w:szCs w:val="19"/>
        </w:rPr>
      </w:pPr>
      <w:r>
        <w:rPr>
          <w:rFonts w:ascii="宋体" w:hAnsi="宋体" w:eastAsia="宋体" w:cs="宋体"/>
          <w:spacing w:val="7"/>
          <w:position w:val="2"/>
          <w:sz w:val="19"/>
          <w:szCs w:val="19"/>
        </w:rPr>
        <w:t>2.办公费                    10.财产保险费</w:t>
      </w:r>
      <w:r>
        <w:rPr>
          <w:rFonts w:ascii="宋体" w:hAnsi="宋体" w:eastAsia="宋体" w:cs="宋体"/>
          <w:spacing w:val="15"/>
          <w:position w:val="2"/>
          <w:sz w:val="19"/>
          <w:szCs w:val="19"/>
        </w:rPr>
        <w:t xml:space="preserve">     </w:t>
      </w:r>
      <w:r>
        <w:rPr>
          <w:rFonts w:ascii="宋体" w:hAnsi="宋体" w:eastAsia="宋体" w:cs="宋体"/>
          <w:spacing w:val="7"/>
          <w:position w:val="-7"/>
          <w:sz w:val="19"/>
          <w:szCs w:val="19"/>
        </w:rPr>
        <w:t>④</w:t>
      </w:r>
      <w:r>
        <w:rPr>
          <w:rFonts w:ascii="宋体" w:hAnsi="宋体" w:eastAsia="宋体" w:cs="宋体"/>
          <w:spacing w:val="6"/>
          <w:position w:val="-7"/>
          <w:sz w:val="19"/>
          <w:szCs w:val="19"/>
        </w:rPr>
        <w:t>动力费</w:t>
      </w:r>
    </w:p>
    <w:p>
      <w:pPr>
        <w:tabs>
          <w:tab w:val="left" w:pos="2817"/>
        </w:tabs>
        <w:spacing w:before="1" w:line="196" w:lineRule="auto"/>
        <w:ind w:left="2337"/>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29"/>
          <w:sz w:val="19"/>
          <w:szCs w:val="19"/>
        </w:rPr>
        <w:t xml:space="preserve">  </w:t>
      </w:r>
      <w:r>
        <w:rPr>
          <w:rFonts w:ascii="宋体" w:hAnsi="宋体" w:eastAsia="宋体" w:cs="宋体"/>
          <w:spacing w:val="8"/>
          <w:sz w:val="19"/>
          <w:szCs w:val="19"/>
        </w:rPr>
        <w:t>3.差旅交通费</w:t>
      </w:r>
      <w:r>
        <w:rPr>
          <w:rFonts w:ascii="宋体" w:hAnsi="宋体" w:eastAsia="宋体" w:cs="宋体"/>
          <w:spacing w:val="1"/>
          <w:sz w:val="19"/>
          <w:szCs w:val="19"/>
        </w:rPr>
        <w:t xml:space="preserve">                </w:t>
      </w:r>
      <w:r>
        <w:rPr>
          <w:rFonts w:ascii="宋体" w:hAnsi="宋体" w:eastAsia="宋体" w:cs="宋体"/>
          <w:spacing w:val="8"/>
          <w:sz w:val="19"/>
          <w:szCs w:val="19"/>
        </w:rPr>
        <w:t>11.财务费</w:t>
      </w:r>
    </w:p>
    <w:p>
      <w:pPr>
        <w:spacing w:before="11" w:line="233" w:lineRule="auto"/>
        <w:ind w:left="3059"/>
        <w:rPr>
          <w:rFonts w:ascii="宋体" w:hAnsi="宋体" w:eastAsia="宋体" w:cs="宋体"/>
          <w:sz w:val="19"/>
          <w:szCs w:val="19"/>
        </w:rPr>
      </w:pPr>
      <w:r>
        <w:rPr>
          <w:rFonts w:ascii="宋体" w:hAnsi="宋体" w:eastAsia="宋体" w:cs="宋体"/>
          <w:spacing w:val="9"/>
          <w:sz w:val="19"/>
          <w:szCs w:val="19"/>
        </w:rPr>
        <w:t>4.固定资产使用费</w:t>
      </w:r>
      <w:r>
        <w:rPr>
          <w:rFonts w:ascii="宋体" w:hAnsi="宋体" w:eastAsia="宋体" w:cs="宋体"/>
          <w:spacing w:val="4"/>
          <w:sz w:val="19"/>
          <w:szCs w:val="19"/>
        </w:rPr>
        <w:t xml:space="preserve">           </w:t>
      </w:r>
      <w:r>
        <w:rPr>
          <w:rFonts w:ascii="宋体" w:hAnsi="宋体" w:eastAsia="宋体" w:cs="宋体"/>
          <w:spacing w:val="9"/>
          <w:sz w:val="19"/>
          <w:szCs w:val="19"/>
        </w:rPr>
        <w:t>12.税金</w:t>
      </w:r>
    </w:p>
    <w:p>
      <w:pPr>
        <w:spacing w:before="1" w:line="233" w:lineRule="auto"/>
        <w:ind w:left="3062"/>
        <w:rPr>
          <w:rFonts w:ascii="宋体" w:hAnsi="宋体" w:eastAsia="宋体" w:cs="宋体"/>
          <w:sz w:val="19"/>
          <w:szCs w:val="19"/>
        </w:rPr>
      </w:pPr>
      <w:r>
        <w:rPr>
          <w:rFonts w:ascii="宋体" w:hAnsi="宋体" w:eastAsia="宋体" w:cs="宋体"/>
          <w:spacing w:val="9"/>
          <w:sz w:val="19"/>
          <w:szCs w:val="19"/>
        </w:rPr>
        <w:t>5.工具用具使用费</w:t>
      </w:r>
      <w:r>
        <w:rPr>
          <w:rFonts w:ascii="宋体" w:hAnsi="宋体" w:eastAsia="宋体" w:cs="宋体"/>
          <w:spacing w:val="4"/>
          <w:sz w:val="19"/>
          <w:szCs w:val="19"/>
        </w:rPr>
        <w:t xml:space="preserve">           </w:t>
      </w:r>
      <w:r>
        <w:rPr>
          <w:rFonts w:ascii="宋体" w:hAnsi="宋体" w:eastAsia="宋体" w:cs="宋体"/>
          <w:spacing w:val="9"/>
          <w:sz w:val="19"/>
          <w:szCs w:val="19"/>
        </w:rPr>
        <w:t>13.其他</w:t>
      </w:r>
    </w:p>
    <w:p>
      <w:pPr>
        <w:spacing w:line="233" w:lineRule="auto"/>
        <w:ind w:left="3063"/>
        <w:rPr>
          <w:rFonts w:ascii="宋体" w:hAnsi="宋体" w:eastAsia="宋体" w:cs="宋体"/>
          <w:sz w:val="19"/>
          <w:szCs w:val="19"/>
        </w:rPr>
      </w:pPr>
      <w:r>
        <w:rPr>
          <w:rFonts w:ascii="宋体" w:hAnsi="宋体" w:eastAsia="宋体" w:cs="宋体"/>
          <w:spacing w:val="17"/>
          <w:sz w:val="19"/>
          <w:szCs w:val="19"/>
        </w:rPr>
        <w:t>6.劳动保险和职工福利费</w:t>
      </w:r>
    </w:p>
    <w:p>
      <w:pPr>
        <w:spacing w:before="1" w:line="221" w:lineRule="auto"/>
        <w:ind w:left="3061"/>
        <w:rPr>
          <w:rFonts w:ascii="宋体" w:hAnsi="宋体" w:eastAsia="宋体" w:cs="宋体"/>
          <w:sz w:val="19"/>
          <w:szCs w:val="19"/>
        </w:rPr>
      </w:pPr>
      <w:r>
        <w:rPr>
          <w:rFonts w:ascii="宋体" w:hAnsi="宋体" w:eastAsia="宋体" w:cs="宋体"/>
          <w:spacing w:val="12"/>
          <w:sz w:val="19"/>
          <w:szCs w:val="19"/>
        </w:rPr>
        <w:t>7.劳动保护费</w:t>
      </w:r>
    </w:p>
    <w:p>
      <w:pPr>
        <w:spacing w:before="8"/>
      </w:pPr>
    </w:p>
    <w:p>
      <w:pPr>
        <w:spacing w:before="8"/>
      </w:pPr>
    </w:p>
    <w:p>
      <w:pPr>
        <w:spacing w:before="8"/>
      </w:pPr>
    </w:p>
    <w:p>
      <w:pPr>
        <w:spacing w:before="8"/>
      </w:pPr>
    </w:p>
    <w:p>
      <w:pPr>
        <w:sectPr>
          <w:headerReference r:id="rId262" w:type="default"/>
          <w:footerReference r:id="rId263" w:type="default"/>
          <w:pgSz w:w="11906" w:h="16839"/>
          <w:pgMar w:top="400" w:right="1785" w:bottom="1212" w:left="1418" w:header="0" w:footer="897" w:gutter="0"/>
          <w:cols w:equalWidth="0" w:num="1">
            <w:col w:w="8702"/>
          </w:cols>
        </w:sectPr>
      </w:pPr>
    </w:p>
    <w:p>
      <w:pPr>
        <w:spacing w:line="277" w:lineRule="auto"/>
        <w:rPr>
          <w:rFonts w:ascii="Arial"/>
          <w:sz w:val="21"/>
        </w:rPr>
      </w:pPr>
      <w:r>
        <w:drawing>
          <wp:anchor distT="0" distB="0" distL="0" distR="0" simplePos="0" relativeHeight="259621888" behindDoc="0" locked="0" layoutInCell="1" allowOverlap="1">
            <wp:simplePos x="0" y="0"/>
            <wp:positionH relativeFrom="column">
              <wp:posOffset>1268730</wp:posOffset>
            </wp:positionH>
            <wp:positionV relativeFrom="paragraph">
              <wp:posOffset>26035</wp:posOffset>
            </wp:positionV>
            <wp:extent cx="76200" cy="697865"/>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425"/>
                    <a:stretch>
                      <a:fillRect/>
                    </a:stretch>
                  </pic:blipFill>
                  <pic:spPr>
                    <a:xfrm>
                      <a:off x="0" y="0"/>
                      <a:ext cx="76200" cy="697991"/>
                    </a:xfrm>
                    <a:prstGeom prst="rect">
                      <a:avLst/>
                    </a:prstGeom>
                  </pic:spPr>
                </pic:pic>
              </a:graphicData>
            </a:graphic>
          </wp:anchor>
        </w:drawing>
      </w:r>
    </w:p>
    <w:p>
      <w:pPr>
        <w:spacing w:before="62" w:line="218" w:lineRule="auto"/>
        <w:ind w:left="997"/>
        <w:rPr>
          <w:rFonts w:ascii="宋体" w:hAnsi="宋体" w:eastAsia="宋体" w:cs="宋体"/>
          <w:sz w:val="19"/>
          <w:szCs w:val="19"/>
        </w:rPr>
      </w:pPr>
      <w:r>
        <w:drawing>
          <wp:anchor distT="0" distB="0" distL="0" distR="0" simplePos="0" relativeHeight="259622912" behindDoc="0" locked="0" layoutInCell="1" allowOverlap="1">
            <wp:simplePos x="0" y="0"/>
            <wp:positionH relativeFrom="column">
              <wp:posOffset>945515</wp:posOffset>
            </wp:positionH>
            <wp:positionV relativeFrom="paragraph">
              <wp:posOffset>102235</wp:posOffset>
            </wp:positionV>
            <wp:extent cx="250190" cy="15875"/>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427"/>
                    <a:stretch>
                      <a:fillRect/>
                    </a:stretch>
                  </pic:blipFill>
                  <pic:spPr>
                    <a:xfrm>
                      <a:off x="0" y="0"/>
                      <a:ext cx="250342" cy="15875"/>
                    </a:xfrm>
                    <a:prstGeom prst="rect">
                      <a:avLst/>
                    </a:prstGeom>
                  </pic:spPr>
                </pic:pic>
              </a:graphicData>
            </a:graphic>
          </wp:anchor>
        </w:drawing>
      </w:r>
      <w:r>
        <w:rPr>
          <w:rFonts w:ascii="宋体" w:hAnsi="宋体" w:eastAsia="宋体" w:cs="宋体"/>
          <w:spacing w:val="6"/>
          <w:sz w:val="19"/>
          <w:szCs w:val="19"/>
        </w:rPr>
        <w:t>规费</w:t>
      </w:r>
    </w:p>
    <w:p>
      <w:pPr>
        <w:spacing w:line="14" w:lineRule="auto"/>
        <w:rPr>
          <w:rFonts w:ascii="Arial"/>
          <w:sz w:val="2"/>
        </w:rPr>
      </w:pPr>
      <w:r>
        <w:rPr>
          <w:rFonts w:ascii="Arial" w:hAnsi="Arial" w:eastAsia="Arial" w:cs="Arial"/>
          <w:sz w:val="2"/>
          <w:szCs w:val="2"/>
        </w:rPr>
        <w:br w:type="column"/>
      </w:r>
    </w:p>
    <w:p>
      <w:pPr>
        <w:spacing w:before="202" w:line="261" w:lineRule="exact"/>
        <w:jc w:val="right"/>
        <w:rPr>
          <w:rFonts w:ascii="宋体" w:hAnsi="宋体" w:eastAsia="宋体" w:cs="宋体"/>
          <w:sz w:val="19"/>
          <w:szCs w:val="19"/>
        </w:rPr>
      </w:pPr>
      <w:r>
        <w:rPr>
          <w:rFonts w:ascii="宋体" w:hAnsi="宋体" w:eastAsia="宋体" w:cs="宋体"/>
          <w:spacing w:val="2"/>
          <w:position w:val="1"/>
          <w:sz w:val="19"/>
          <w:szCs w:val="19"/>
        </w:rPr>
        <w:t>1.社会保险费</w:t>
      </w:r>
    </w:p>
    <w:p>
      <w:pPr>
        <w:spacing w:before="51" w:line="265" w:lineRule="exact"/>
        <w:jc w:val="right"/>
        <w:rPr>
          <w:rFonts w:ascii="宋体" w:hAnsi="宋体" w:eastAsia="宋体" w:cs="宋体"/>
          <w:sz w:val="19"/>
          <w:szCs w:val="19"/>
        </w:rPr>
      </w:pPr>
      <w:r>
        <w:rPr>
          <w:rFonts w:ascii="宋体" w:hAnsi="宋体" w:eastAsia="宋体" w:cs="宋体"/>
          <w:spacing w:val="4"/>
          <w:position w:val="1"/>
          <w:sz w:val="19"/>
          <w:szCs w:val="19"/>
        </w:rPr>
        <w:t>2.住房公积金</w:t>
      </w:r>
    </w:p>
    <w:p>
      <w:pPr>
        <w:spacing w:before="50" w:line="263" w:lineRule="exact"/>
        <w:jc w:val="right"/>
        <w:rPr>
          <w:rFonts w:ascii="宋体" w:hAnsi="宋体" w:eastAsia="宋体" w:cs="宋体"/>
          <w:sz w:val="19"/>
          <w:szCs w:val="19"/>
        </w:rPr>
      </w:pPr>
      <w:r>
        <w:rPr>
          <w:rFonts w:ascii="宋体" w:hAnsi="宋体" w:eastAsia="宋体" w:cs="宋体"/>
          <w:spacing w:val="3"/>
          <w:position w:val="1"/>
          <w:sz w:val="19"/>
          <w:szCs w:val="19"/>
        </w:rPr>
        <w:t>3.安全生产费</w:t>
      </w:r>
    </w:p>
    <w:p>
      <w:pPr>
        <w:spacing w:line="14" w:lineRule="auto"/>
        <w:rPr>
          <w:rFonts w:ascii="Arial"/>
          <w:sz w:val="2"/>
        </w:rPr>
      </w:pPr>
      <w:r>
        <w:rPr>
          <w:rFonts w:ascii="Arial" w:hAnsi="Arial" w:eastAsia="Arial" w:cs="Arial"/>
          <w:sz w:val="2"/>
          <w:szCs w:val="2"/>
        </w:rPr>
        <w:br w:type="column"/>
      </w:r>
    </w:p>
    <w:p>
      <w:pPr>
        <w:spacing w:line="1264" w:lineRule="exact"/>
      </w:pPr>
      <w:r>
        <w:rPr>
          <w:position w:val="-25"/>
        </w:rPr>
        <w:drawing>
          <wp:inline distT="0" distB="0" distL="0" distR="0">
            <wp:extent cx="1111885" cy="80200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428"/>
                    <a:stretch>
                      <a:fillRect/>
                    </a:stretch>
                  </pic:blipFill>
                  <pic:spPr>
                    <a:xfrm>
                      <a:off x="0" y="0"/>
                      <a:ext cx="1111910" cy="802271"/>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before="8" w:line="233" w:lineRule="auto"/>
        <w:rPr>
          <w:rFonts w:ascii="宋体" w:hAnsi="宋体" w:eastAsia="宋体" w:cs="宋体"/>
          <w:sz w:val="19"/>
          <w:szCs w:val="19"/>
        </w:rPr>
      </w:pPr>
      <w:r>
        <w:rPr>
          <w:rFonts w:ascii="宋体" w:hAnsi="宋体" w:eastAsia="宋体" w:cs="宋体"/>
          <w:spacing w:val="22"/>
          <w:sz w:val="19"/>
          <w:szCs w:val="19"/>
        </w:rPr>
        <w:t>①养老保险费</w:t>
      </w:r>
    </w:p>
    <w:p>
      <w:pPr>
        <w:spacing w:line="233" w:lineRule="auto"/>
        <w:rPr>
          <w:rFonts w:ascii="宋体" w:hAnsi="宋体" w:eastAsia="宋体" w:cs="宋体"/>
          <w:sz w:val="19"/>
          <w:szCs w:val="19"/>
        </w:rPr>
      </w:pPr>
      <w:r>
        <w:rPr>
          <w:rFonts w:ascii="宋体" w:hAnsi="宋体" w:eastAsia="宋体" w:cs="宋体"/>
          <w:spacing w:val="22"/>
          <w:sz w:val="19"/>
          <w:szCs w:val="19"/>
        </w:rPr>
        <w:t>②失业保险费</w:t>
      </w:r>
    </w:p>
    <w:p>
      <w:pPr>
        <w:spacing w:before="1" w:line="233" w:lineRule="auto"/>
        <w:rPr>
          <w:rFonts w:ascii="宋体" w:hAnsi="宋体" w:eastAsia="宋体" w:cs="宋体"/>
          <w:sz w:val="19"/>
          <w:szCs w:val="19"/>
        </w:rPr>
      </w:pPr>
      <w:r>
        <w:rPr>
          <w:rFonts w:ascii="宋体" w:hAnsi="宋体" w:eastAsia="宋体" w:cs="宋体"/>
          <w:spacing w:val="22"/>
          <w:sz w:val="19"/>
          <w:szCs w:val="19"/>
        </w:rPr>
        <w:t>③医疗保险费</w:t>
      </w:r>
    </w:p>
    <w:p>
      <w:pPr>
        <w:spacing w:line="233" w:lineRule="auto"/>
        <w:rPr>
          <w:rFonts w:ascii="宋体" w:hAnsi="宋体" w:eastAsia="宋体" w:cs="宋体"/>
          <w:sz w:val="19"/>
          <w:szCs w:val="19"/>
        </w:rPr>
      </w:pPr>
      <w:r>
        <w:rPr>
          <w:rFonts w:ascii="宋体" w:hAnsi="宋体" w:eastAsia="宋体" w:cs="宋体"/>
          <w:spacing w:val="22"/>
          <w:sz w:val="19"/>
          <w:szCs w:val="19"/>
        </w:rPr>
        <w:t>④生育保险费</w:t>
      </w:r>
    </w:p>
    <w:p>
      <w:pPr>
        <w:spacing w:line="262" w:lineRule="exact"/>
        <w:rPr>
          <w:rFonts w:ascii="宋体" w:hAnsi="宋体" w:eastAsia="宋体" w:cs="宋体"/>
          <w:sz w:val="19"/>
          <w:szCs w:val="19"/>
        </w:rPr>
      </w:pPr>
      <w:r>
        <w:rPr>
          <w:rFonts w:ascii="宋体" w:hAnsi="宋体" w:eastAsia="宋体" w:cs="宋体"/>
          <w:spacing w:val="22"/>
          <w:position w:val="1"/>
          <w:sz w:val="19"/>
          <w:szCs w:val="19"/>
        </w:rPr>
        <w:t>⑤工伤保险费</w:t>
      </w:r>
    </w:p>
    <w:p>
      <w:pPr>
        <w:spacing w:line="262" w:lineRule="exact"/>
        <w:rPr>
          <w:rFonts w:ascii="宋体" w:hAnsi="宋体" w:eastAsia="宋体" w:cs="宋体"/>
          <w:sz w:val="19"/>
          <w:szCs w:val="19"/>
        </w:rPr>
        <w:sectPr>
          <w:type w:val="continuous"/>
          <w:pgSz w:w="11906" w:h="16839"/>
          <w:pgMar w:top="400" w:right="1785" w:bottom="1212" w:left="1418" w:header="0" w:footer="897" w:gutter="0"/>
          <w:cols w:equalWidth="0" w:num="4">
            <w:col w:w="2119" w:space="60"/>
            <w:col w:w="1171" w:space="68"/>
            <w:col w:w="1752" w:space="42"/>
            <w:col w:w="3490"/>
          </w:cols>
        </w:sect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65" w:line="196" w:lineRule="auto"/>
        <w:ind w:left="1586"/>
        <w:rPr>
          <w:rFonts w:ascii="宋体" w:hAnsi="宋体" w:eastAsia="宋体" w:cs="宋体"/>
          <w:sz w:val="20"/>
          <w:szCs w:val="20"/>
        </w:rPr>
      </w:pPr>
      <w:r>
        <w:rPr>
          <w:rFonts w:ascii="宋体" w:hAnsi="宋体" w:eastAsia="宋体" w:cs="宋体"/>
          <w:spacing w:val="8"/>
          <w:sz w:val="20"/>
          <w:szCs w:val="20"/>
        </w:rPr>
        <w:t>税金</w:t>
      </w:r>
      <w:r>
        <w:rPr>
          <w:rFonts w:ascii="宋体" w:hAnsi="宋体" w:eastAsia="宋体" w:cs="宋体"/>
          <w:spacing w:val="18"/>
          <w:sz w:val="20"/>
          <w:szCs w:val="20"/>
        </w:rPr>
        <w:t xml:space="preserve"> </w:t>
      </w:r>
      <w:r>
        <w:rPr>
          <w:rFonts w:ascii="宋体" w:hAnsi="宋体" w:eastAsia="宋体" w:cs="宋体"/>
          <w:strike/>
          <w:sz w:val="20"/>
          <w:szCs w:val="20"/>
        </w:rPr>
        <w:t xml:space="preserve">         </w:t>
      </w:r>
      <w:r>
        <w:rPr>
          <w:rFonts w:ascii="宋体" w:hAnsi="宋体" w:eastAsia="宋体" w:cs="宋体"/>
          <w:spacing w:val="99"/>
          <w:sz w:val="20"/>
          <w:szCs w:val="20"/>
        </w:rPr>
        <w:t xml:space="preserve"> </w:t>
      </w:r>
      <w:r>
        <w:rPr>
          <w:rFonts w:ascii="宋体" w:hAnsi="宋体" w:eastAsia="宋体" w:cs="宋体"/>
          <w:spacing w:val="8"/>
          <w:sz w:val="20"/>
          <w:szCs w:val="20"/>
        </w:rPr>
        <w:t>增值税</w:t>
      </w:r>
    </w:p>
    <w:p>
      <w:pPr>
        <w:spacing w:line="196" w:lineRule="auto"/>
        <w:rPr>
          <w:rFonts w:ascii="宋体" w:hAnsi="宋体" w:eastAsia="宋体" w:cs="宋体"/>
          <w:sz w:val="20"/>
          <w:szCs w:val="20"/>
        </w:rPr>
        <w:sectPr>
          <w:type w:val="continuous"/>
          <w:pgSz w:w="11906" w:h="16839"/>
          <w:pgMar w:top="400" w:right="1785" w:bottom="1212" w:left="1418" w:header="0" w:footer="897" w:gutter="0"/>
          <w:cols w:equalWidth="0" w:num="1">
            <w:col w:w="8702"/>
          </w:cols>
        </w:sectPr>
      </w:pPr>
    </w:p>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98" w:line="214" w:lineRule="auto"/>
        <w:ind w:left="2587"/>
        <w:outlineLvl w:val="1"/>
        <w:rPr>
          <w:rFonts w:ascii="宋体" w:hAnsi="宋体" w:eastAsia="宋体" w:cs="宋体"/>
          <w:sz w:val="30"/>
          <w:szCs w:val="30"/>
        </w:rPr>
      </w:pPr>
      <w:bookmarkStart w:id="140" w:name="bookmark181"/>
      <w:bookmarkEnd w:id="140"/>
      <w:r>
        <w:rPr>
          <w:rFonts w:ascii="宋体" w:hAnsi="宋体" w:eastAsia="宋体" w:cs="宋体"/>
          <w:b/>
          <w:bCs/>
          <w:spacing w:val="-3"/>
          <w:sz w:val="30"/>
          <w:szCs w:val="30"/>
        </w:rPr>
        <w:t>第二节</w:t>
      </w:r>
      <w:r>
        <w:rPr>
          <w:rFonts w:ascii="宋体" w:hAnsi="宋体" w:eastAsia="宋体" w:cs="宋体"/>
          <w:spacing w:val="-3"/>
          <w:sz w:val="30"/>
          <w:szCs w:val="30"/>
        </w:rPr>
        <w:t xml:space="preserve">  </w:t>
      </w:r>
      <w:r>
        <w:rPr>
          <w:rFonts w:ascii="宋体" w:hAnsi="宋体" w:eastAsia="宋体" w:cs="宋体"/>
          <w:b/>
          <w:bCs/>
          <w:spacing w:val="-3"/>
          <w:sz w:val="30"/>
          <w:szCs w:val="30"/>
        </w:rPr>
        <w:t>费用计算程序及费率</w:t>
      </w:r>
    </w:p>
    <w:p>
      <w:pPr>
        <w:spacing w:before="217" w:line="222" w:lineRule="auto"/>
        <w:ind w:left="580"/>
        <w:rPr>
          <w:rFonts w:ascii="黑体" w:hAnsi="黑体" w:eastAsia="黑体" w:cs="黑体"/>
          <w:sz w:val="28"/>
          <w:szCs w:val="28"/>
        </w:rPr>
      </w:pPr>
      <w:r>
        <w:rPr>
          <w:rFonts w:ascii="黑体" w:hAnsi="黑体" w:eastAsia="黑体" w:cs="黑体"/>
          <w:spacing w:val="-1"/>
          <w:sz w:val="28"/>
          <w:szCs w:val="28"/>
        </w:rPr>
        <w:t>一、环境卫生作业计价定额费用计算程序</w:t>
      </w:r>
    </w:p>
    <w:p>
      <w:pPr>
        <w:spacing w:before="84" w:line="230" w:lineRule="auto"/>
        <w:ind w:left="2867"/>
        <w:rPr>
          <w:rFonts w:ascii="黑体" w:hAnsi="黑体" w:eastAsia="黑体" w:cs="黑体"/>
          <w:sz w:val="20"/>
          <w:szCs w:val="20"/>
        </w:rPr>
      </w:pPr>
      <w:r>
        <w:rPr>
          <w:rFonts w:ascii="黑体" w:hAnsi="黑体" w:eastAsia="黑体" w:cs="黑体"/>
          <w:spacing w:val="9"/>
          <w:sz w:val="20"/>
          <w:szCs w:val="20"/>
        </w:rPr>
        <w:t>环境卫生作业计价定额费用计算程序</w:t>
      </w:r>
    </w:p>
    <w:p>
      <w:pPr>
        <w:spacing w:line="24" w:lineRule="auto"/>
        <w:rPr>
          <w:rFonts w:ascii="Arial"/>
          <w:sz w:val="2"/>
        </w:rPr>
      </w:pPr>
    </w:p>
    <w:tbl>
      <w:tblPr>
        <w:tblStyle w:val="5"/>
        <w:tblW w:w="9093"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2952"/>
        <w:gridCol w:w="47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441" w:type="dxa"/>
            <w:tcBorders>
              <w:top w:val="single" w:color="000000" w:sz="6" w:space="0"/>
              <w:left w:val="single" w:color="000000" w:sz="6" w:space="0"/>
            </w:tcBorders>
            <w:vAlign w:val="top"/>
          </w:tcPr>
          <w:p>
            <w:pPr>
              <w:spacing w:before="116" w:line="222" w:lineRule="auto"/>
              <w:ind w:left="488"/>
              <w:rPr>
                <w:rFonts w:ascii="宋体" w:hAnsi="宋体" w:eastAsia="宋体" w:cs="宋体"/>
                <w:sz w:val="20"/>
                <w:szCs w:val="20"/>
              </w:rPr>
            </w:pPr>
            <w:r>
              <w:rPr>
                <w:rFonts w:ascii="宋体" w:hAnsi="宋体" w:eastAsia="宋体" w:cs="宋体"/>
                <w:b/>
                <w:bCs/>
                <w:sz w:val="20"/>
                <w:szCs w:val="20"/>
              </w:rPr>
              <w:t>序号</w:t>
            </w:r>
          </w:p>
        </w:tc>
        <w:tc>
          <w:tcPr>
            <w:tcW w:w="2952" w:type="dxa"/>
            <w:tcBorders>
              <w:top w:val="single" w:color="000000" w:sz="6" w:space="0"/>
            </w:tcBorders>
            <w:vAlign w:val="top"/>
          </w:tcPr>
          <w:p>
            <w:pPr>
              <w:spacing w:before="119" w:line="219" w:lineRule="auto"/>
              <w:ind w:left="1067"/>
              <w:rPr>
                <w:rFonts w:ascii="宋体" w:hAnsi="宋体" w:eastAsia="宋体" w:cs="宋体"/>
                <w:sz w:val="20"/>
                <w:szCs w:val="20"/>
              </w:rPr>
            </w:pPr>
            <w:r>
              <w:rPr>
                <w:rFonts w:ascii="宋体" w:hAnsi="宋体" w:eastAsia="宋体" w:cs="宋体"/>
                <w:b/>
                <w:bCs/>
                <w:spacing w:val="2"/>
                <w:sz w:val="20"/>
                <w:szCs w:val="20"/>
              </w:rPr>
              <w:t>费用名称</w:t>
            </w:r>
          </w:p>
        </w:tc>
        <w:tc>
          <w:tcPr>
            <w:tcW w:w="4700" w:type="dxa"/>
            <w:tcBorders>
              <w:top w:val="single" w:color="000000" w:sz="6" w:space="0"/>
              <w:right w:val="single" w:color="000000" w:sz="6" w:space="0"/>
            </w:tcBorders>
            <w:vAlign w:val="top"/>
          </w:tcPr>
          <w:p>
            <w:pPr>
              <w:spacing w:before="116" w:line="220" w:lineRule="auto"/>
              <w:ind w:left="1944"/>
              <w:rPr>
                <w:rFonts w:ascii="宋体" w:hAnsi="宋体" w:eastAsia="宋体" w:cs="宋体"/>
                <w:sz w:val="20"/>
                <w:szCs w:val="20"/>
              </w:rPr>
            </w:pPr>
            <w:r>
              <w:rPr>
                <w:rFonts w:ascii="宋体" w:hAnsi="宋体" w:eastAsia="宋体" w:cs="宋体"/>
                <w:b/>
                <w:bCs/>
                <w:sz w:val="20"/>
                <w:szCs w:val="20"/>
              </w:rPr>
              <w:t>计算方法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3" w:hRule="atLeast"/>
        </w:trPr>
        <w:tc>
          <w:tcPr>
            <w:tcW w:w="1441" w:type="dxa"/>
            <w:tcBorders>
              <w:left w:val="single" w:color="000000" w:sz="6" w:space="0"/>
            </w:tcBorders>
            <w:vAlign w:val="top"/>
          </w:tcPr>
          <w:p>
            <w:pPr>
              <w:spacing w:before="226" w:line="147" w:lineRule="exact"/>
              <w:ind w:left="613"/>
              <w:rPr>
                <w:rFonts w:ascii="宋体" w:hAnsi="宋体" w:eastAsia="宋体" w:cs="宋体"/>
                <w:sz w:val="20"/>
                <w:szCs w:val="20"/>
              </w:rPr>
            </w:pPr>
            <w:r>
              <w:rPr>
                <w:rFonts w:ascii="宋体" w:hAnsi="宋体" w:eastAsia="宋体" w:cs="宋体"/>
                <w:spacing w:val="4"/>
                <w:position w:val="-4"/>
                <w:sz w:val="20"/>
                <w:szCs w:val="20"/>
              </w:rPr>
              <w:t>一</w:t>
            </w:r>
          </w:p>
        </w:tc>
        <w:tc>
          <w:tcPr>
            <w:tcW w:w="2952" w:type="dxa"/>
            <w:vAlign w:val="top"/>
          </w:tcPr>
          <w:p>
            <w:pPr>
              <w:spacing w:before="121" w:line="223" w:lineRule="auto"/>
              <w:ind w:left="987"/>
              <w:rPr>
                <w:rFonts w:ascii="宋体" w:hAnsi="宋体" w:eastAsia="宋体" w:cs="宋体"/>
                <w:sz w:val="20"/>
                <w:szCs w:val="20"/>
              </w:rPr>
            </w:pPr>
            <w:r>
              <w:rPr>
                <w:rFonts w:ascii="宋体" w:hAnsi="宋体" w:eastAsia="宋体" w:cs="宋体"/>
                <w:spacing w:val="12"/>
                <w:sz w:val="20"/>
                <w:szCs w:val="20"/>
              </w:rPr>
              <w:t>直接作业费</w:t>
            </w:r>
          </w:p>
        </w:tc>
        <w:tc>
          <w:tcPr>
            <w:tcW w:w="4700" w:type="dxa"/>
            <w:tcBorders>
              <w:right w:val="single" w:color="000000" w:sz="6" w:space="0"/>
            </w:tcBorders>
            <w:vAlign w:val="top"/>
          </w:tcPr>
          <w:p>
            <w:pPr>
              <w:spacing w:before="118" w:line="235" w:lineRule="auto"/>
              <w:ind w:left="285"/>
              <w:rPr>
                <w:rFonts w:ascii="宋体" w:hAnsi="宋体" w:eastAsia="宋体" w:cs="宋体"/>
                <w:sz w:val="20"/>
                <w:szCs w:val="20"/>
              </w:rPr>
            </w:pPr>
            <w:r>
              <w:rPr>
                <w:rFonts w:ascii="宋体" w:hAnsi="宋体" w:eastAsia="宋体" w:cs="宋体"/>
                <w:spacing w:val="9"/>
                <w:sz w:val="20"/>
                <w:szCs w:val="20"/>
              </w:rPr>
              <w:t>【(人工费+材料费+机械费)</w:t>
            </w:r>
            <w:r>
              <w:rPr>
                <w:rFonts w:ascii="宋体" w:hAnsi="宋体" w:eastAsia="宋体" w:cs="宋体"/>
                <w:spacing w:val="-40"/>
                <w:sz w:val="20"/>
                <w:szCs w:val="20"/>
              </w:rPr>
              <w:t xml:space="preserve"> </w:t>
            </w:r>
            <w:r>
              <w:rPr>
                <w:rFonts w:ascii="宋体" w:hAnsi="宋体" w:eastAsia="宋体" w:cs="宋体"/>
                <w:spacing w:val="9"/>
                <w:sz w:val="20"/>
                <w:szCs w:val="20"/>
              </w:rPr>
              <w:t>×作业量</w:t>
            </w:r>
            <w:r>
              <w:rPr>
                <w:rFonts w:ascii="宋体" w:hAnsi="宋体" w:eastAsia="宋体" w:cs="宋体"/>
                <w:spacing w:val="-53"/>
                <w:sz w:val="20"/>
                <w:szCs w:val="20"/>
              </w:rPr>
              <w:t xml:space="preserve"> </w:t>
            </w:r>
            <w:r>
              <w:rPr>
                <w:rFonts w:ascii="宋体" w:hAnsi="宋体" w:eastAsia="宋体" w:cs="宋体"/>
                <w:spacing w:val="9"/>
                <w:sz w:val="20"/>
                <w:szCs w:val="20"/>
              </w:rPr>
              <w:t>】之和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441" w:type="dxa"/>
            <w:tcBorders>
              <w:left w:val="single" w:color="000000" w:sz="6" w:space="0"/>
            </w:tcBorders>
            <w:vAlign w:val="top"/>
          </w:tcPr>
          <w:p>
            <w:pPr>
              <w:spacing w:before="141" w:line="192" w:lineRule="auto"/>
              <w:ind w:left="613"/>
              <w:rPr>
                <w:rFonts w:ascii="宋体" w:hAnsi="宋体" w:eastAsia="宋体" w:cs="宋体"/>
                <w:sz w:val="20"/>
                <w:szCs w:val="20"/>
              </w:rPr>
            </w:pPr>
            <w:r>
              <w:rPr>
                <w:rFonts w:ascii="宋体" w:hAnsi="宋体" w:eastAsia="宋体" w:cs="宋体"/>
                <w:spacing w:val="4"/>
                <w:sz w:val="20"/>
                <w:szCs w:val="20"/>
              </w:rPr>
              <w:t>二</w:t>
            </w:r>
          </w:p>
        </w:tc>
        <w:tc>
          <w:tcPr>
            <w:tcW w:w="2952" w:type="dxa"/>
            <w:vAlign w:val="top"/>
          </w:tcPr>
          <w:p>
            <w:pPr>
              <w:spacing w:before="129" w:line="220" w:lineRule="auto"/>
              <w:ind w:left="986"/>
              <w:rPr>
                <w:rFonts w:ascii="宋体" w:hAnsi="宋体" w:eastAsia="宋体" w:cs="宋体"/>
                <w:sz w:val="20"/>
                <w:szCs w:val="20"/>
              </w:rPr>
            </w:pPr>
            <w:r>
              <w:rPr>
                <w:rFonts w:ascii="宋体" w:hAnsi="宋体" w:eastAsia="宋体" w:cs="宋体"/>
                <w:spacing w:val="12"/>
                <w:sz w:val="20"/>
                <w:szCs w:val="20"/>
              </w:rPr>
              <w:t>企业管理费</w:t>
            </w:r>
          </w:p>
        </w:tc>
        <w:tc>
          <w:tcPr>
            <w:tcW w:w="4700" w:type="dxa"/>
            <w:tcBorders>
              <w:right w:val="single" w:color="000000" w:sz="6" w:space="0"/>
            </w:tcBorders>
            <w:vAlign w:val="top"/>
          </w:tcPr>
          <w:p>
            <w:pPr>
              <w:spacing w:before="127" w:line="222" w:lineRule="auto"/>
              <w:ind w:left="1606"/>
              <w:rPr>
                <w:rFonts w:ascii="宋体" w:hAnsi="宋体" w:eastAsia="宋体" w:cs="宋体"/>
                <w:sz w:val="20"/>
                <w:szCs w:val="20"/>
              </w:rPr>
            </w:pPr>
            <w:r>
              <w:rPr>
                <w:rFonts w:ascii="宋体" w:hAnsi="宋体" w:eastAsia="宋体" w:cs="宋体"/>
                <w:spacing w:val="2"/>
                <w:sz w:val="20"/>
                <w:szCs w:val="20"/>
              </w:rPr>
              <w:t>一</w:t>
            </w:r>
            <w:r>
              <w:rPr>
                <w:rFonts w:ascii="宋体" w:hAnsi="宋体" w:eastAsia="宋体" w:cs="宋体"/>
                <w:spacing w:val="-39"/>
                <w:sz w:val="20"/>
                <w:szCs w:val="20"/>
              </w:rPr>
              <w:t xml:space="preserve"> </w:t>
            </w:r>
            <w:r>
              <w:rPr>
                <w:rFonts w:ascii="宋体" w:hAnsi="宋体" w:eastAsia="宋体" w:cs="宋体"/>
                <w:spacing w:val="2"/>
                <w:sz w:val="20"/>
                <w:szCs w:val="20"/>
              </w:rPr>
              <w:t>×管理费费率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1441" w:type="dxa"/>
            <w:tcBorders>
              <w:left w:val="single" w:color="000000" w:sz="6" w:space="0"/>
            </w:tcBorders>
            <w:vAlign w:val="top"/>
          </w:tcPr>
          <w:p>
            <w:pPr>
              <w:spacing w:before="92" w:line="201" w:lineRule="auto"/>
              <w:ind w:left="616"/>
              <w:rPr>
                <w:rFonts w:ascii="宋体" w:hAnsi="宋体" w:eastAsia="宋体" w:cs="宋体"/>
                <w:sz w:val="20"/>
                <w:szCs w:val="20"/>
              </w:rPr>
            </w:pPr>
            <w:r>
              <w:rPr>
                <w:rFonts w:ascii="宋体" w:hAnsi="宋体" w:eastAsia="宋体" w:cs="宋体"/>
                <w:sz w:val="20"/>
                <w:szCs w:val="20"/>
              </w:rPr>
              <w:t>三</w:t>
            </w:r>
          </w:p>
        </w:tc>
        <w:tc>
          <w:tcPr>
            <w:tcW w:w="2952" w:type="dxa"/>
            <w:vAlign w:val="top"/>
          </w:tcPr>
          <w:p>
            <w:pPr>
              <w:spacing w:before="122" w:line="217" w:lineRule="auto"/>
              <w:ind w:left="1296"/>
              <w:rPr>
                <w:rFonts w:ascii="宋体" w:hAnsi="宋体" w:eastAsia="宋体" w:cs="宋体"/>
                <w:sz w:val="20"/>
                <w:szCs w:val="20"/>
              </w:rPr>
            </w:pPr>
            <w:r>
              <w:rPr>
                <w:rFonts w:ascii="宋体" w:hAnsi="宋体" w:eastAsia="宋体" w:cs="宋体"/>
                <w:spacing w:val="14"/>
                <w:sz w:val="20"/>
                <w:szCs w:val="20"/>
              </w:rPr>
              <w:t>利润</w:t>
            </w:r>
          </w:p>
        </w:tc>
        <w:tc>
          <w:tcPr>
            <w:tcW w:w="4700" w:type="dxa"/>
            <w:tcBorders>
              <w:right w:val="single" w:color="000000" w:sz="6" w:space="0"/>
            </w:tcBorders>
            <w:vAlign w:val="top"/>
          </w:tcPr>
          <w:p>
            <w:pPr>
              <w:spacing w:before="119" w:line="222" w:lineRule="auto"/>
              <w:ind w:left="1812"/>
              <w:rPr>
                <w:rFonts w:ascii="宋体" w:hAnsi="宋体" w:eastAsia="宋体" w:cs="宋体"/>
                <w:sz w:val="20"/>
                <w:szCs w:val="20"/>
              </w:rPr>
            </w:pPr>
            <w:r>
              <w:rPr>
                <w:rFonts w:ascii="宋体" w:hAnsi="宋体" w:eastAsia="宋体" w:cs="宋体"/>
                <w:spacing w:val="-1"/>
                <w:sz w:val="20"/>
                <w:szCs w:val="20"/>
              </w:rPr>
              <w:t>一</w:t>
            </w:r>
            <w:r>
              <w:rPr>
                <w:rFonts w:ascii="宋体" w:hAnsi="宋体" w:eastAsia="宋体" w:cs="宋体"/>
                <w:spacing w:val="-36"/>
                <w:sz w:val="20"/>
                <w:szCs w:val="20"/>
              </w:rPr>
              <w:t xml:space="preserve"> </w:t>
            </w:r>
            <w:r>
              <w:rPr>
                <w:rFonts w:ascii="宋体" w:hAnsi="宋体" w:eastAsia="宋体" w:cs="宋体"/>
                <w:spacing w:val="-1"/>
                <w:sz w:val="20"/>
                <w:szCs w:val="20"/>
              </w:rPr>
              <w:t>×利润率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441" w:type="dxa"/>
            <w:tcBorders>
              <w:left w:val="single" w:color="000000" w:sz="6" w:space="0"/>
            </w:tcBorders>
            <w:vAlign w:val="top"/>
          </w:tcPr>
          <w:p>
            <w:pPr>
              <w:spacing w:before="102" w:line="199" w:lineRule="auto"/>
              <w:ind w:left="634"/>
              <w:rPr>
                <w:rFonts w:ascii="宋体" w:hAnsi="宋体" w:eastAsia="宋体" w:cs="宋体"/>
                <w:sz w:val="20"/>
                <w:szCs w:val="20"/>
              </w:rPr>
            </w:pPr>
            <w:r>
              <w:rPr>
                <w:rFonts w:ascii="宋体" w:hAnsi="宋体" w:eastAsia="宋体" w:cs="宋体"/>
                <w:sz w:val="20"/>
                <w:szCs w:val="20"/>
              </w:rPr>
              <w:t>四</w:t>
            </w:r>
          </w:p>
        </w:tc>
        <w:tc>
          <w:tcPr>
            <w:tcW w:w="2952" w:type="dxa"/>
            <w:vAlign w:val="top"/>
          </w:tcPr>
          <w:p>
            <w:pPr>
              <w:spacing w:before="136" w:line="219" w:lineRule="auto"/>
              <w:ind w:left="1296"/>
              <w:rPr>
                <w:rFonts w:ascii="宋体" w:hAnsi="宋体" w:eastAsia="宋体" w:cs="宋体"/>
                <w:sz w:val="20"/>
                <w:szCs w:val="20"/>
              </w:rPr>
            </w:pPr>
            <w:r>
              <w:rPr>
                <w:rFonts w:ascii="宋体" w:hAnsi="宋体" w:eastAsia="宋体" w:cs="宋体"/>
                <w:spacing w:val="13"/>
                <w:sz w:val="20"/>
                <w:szCs w:val="20"/>
              </w:rPr>
              <w:t>规费</w:t>
            </w:r>
          </w:p>
        </w:tc>
        <w:tc>
          <w:tcPr>
            <w:tcW w:w="4700" w:type="dxa"/>
            <w:tcBorders>
              <w:right w:val="single" w:color="000000" w:sz="6" w:space="0"/>
            </w:tcBorders>
            <w:vAlign w:val="top"/>
          </w:tcPr>
          <w:p>
            <w:pPr>
              <w:spacing w:before="128" w:line="234" w:lineRule="auto"/>
              <w:ind w:left="1846"/>
              <w:rPr>
                <w:rFonts w:ascii="宋体" w:hAnsi="宋体" w:eastAsia="宋体" w:cs="宋体"/>
                <w:sz w:val="20"/>
                <w:szCs w:val="20"/>
              </w:rPr>
            </w:pPr>
            <w:r>
              <w:rPr>
                <w:rFonts w:ascii="宋体" w:hAnsi="宋体" w:eastAsia="宋体" w:cs="宋体"/>
                <w:spacing w:val="-10"/>
                <w:sz w:val="20"/>
                <w:szCs w:val="20"/>
              </w:rPr>
              <w:t>4.1+4.2+4.3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441" w:type="dxa"/>
            <w:tcBorders>
              <w:left w:val="single" w:color="000000" w:sz="6" w:space="0"/>
            </w:tcBorders>
            <w:vAlign w:val="top"/>
          </w:tcPr>
          <w:p>
            <w:pPr>
              <w:spacing w:before="82" w:line="298" w:lineRule="exact"/>
              <w:ind w:left="589"/>
              <w:rPr>
                <w:rFonts w:ascii="宋体" w:hAnsi="宋体" w:eastAsia="宋体" w:cs="宋体"/>
                <w:sz w:val="20"/>
                <w:szCs w:val="20"/>
              </w:rPr>
            </w:pPr>
            <w:r>
              <w:rPr>
                <w:rFonts w:ascii="宋体" w:hAnsi="宋体" w:eastAsia="宋体" w:cs="宋体"/>
                <w:spacing w:val="-16"/>
                <w:position w:val="2"/>
                <w:sz w:val="20"/>
                <w:szCs w:val="20"/>
              </w:rPr>
              <w:t>4.1</w:t>
            </w:r>
          </w:p>
        </w:tc>
        <w:tc>
          <w:tcPr>
            <w:tcW w:w="2952" w:type="dxa"/>
            <w:vAlign w:val="top"/>
          </w:tcPr>
          <w:p>
            <w:pPr>
              <w:spacing w:before="129" w:line="233" w:lineRule="auto"/>
              <w:ind w:left="985"/>
              <w:rPr>
                <w:rFonts w:ascii="宋体" w:hAnsi="宋体" w:eastAsia="宋体" w:cs="宋体"/>
                <w:sz w:val="20"/>
                <w:szCs w:val="20"/>
              </w:rPr>
            </w:pPr>
            <w:r>
              <w:rPr>
                <w:rFonts w:ascii="宋体" w:hAnsi="宋体" w:eastAsia="宋体" w:cs="宋体"/>
                <w:spacing w:val="12"/>
                <w:sz w:val="20"/>
                <w:szCs w:val="20"/>
              </w:rPr>
              <w:t>社会保险费</w:t>
            </w:r>
          </w:p>
        </w:tc>
        <w:tc>
          <w:tcPr>
            <w:tcW w:w="4700" w:type="dxa"/>
            <w:tcBorders>
              <w:right w:val="single" w:color="000000" w:sz="6" w:space="0"/>
            </w:tcBorders>
            <w:vAlign w:val="top"/>
          </w:tcPr>
          <w:p>
            <w:pPr>
              <w:spacing w:before="129" w:line="233" w:lineRule="auto"/>
              <w:ind w:left="1543"/>
              <w:rPr>
                <w:rFonts w:ascii="宋体" w:hAnsi="宋体" w:eastAsia="宋体" w:cs="宋体"/>
                <w:sz w:val="20"/>
                <w:szCs w:val="20"/>
              </w:rPr>
            </w:pPr>
            <w:r>
              <w:rPr>
                <w:rFonts w:ascii="宋体" w:hAnsi="宋体" w:eastAsia="宋体" w:cs="宋体"/>
                <w:spacing w:val="-6"/>
                <w:sz w:val="20"/>
                <w:szCs w:val="20"/>
              </w:rPr>
              <w:t>(一+二+三)</w:t>
            </w:r>
            <w:r>
              <w:rPr>
                <w:rFonts w:ascii="宋体" w:hAnsi="宋体" w:eastAsia="宋体" w:cs="宋体"/>
                <w:spacing w:val="-36"/>
                <w:sz w:val="20"/>
                <w:szCs w:val="20"/>
              </w:rPr>
              <w:t xml:space="preserve"> </w:t>
            </w:r>
            <w:r>
              <w:rPr>
                <w:rFonts w:ascii="宋体" w:hAnsi="宋体" w:eastAsia="宋体" w:cs="宋体"/>
                <w:spacing w:val="-6"/>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3" w:hRule="atLeast"/>
        </w:trPr>
        <w:tc>
          <w:tcPr>
            <w:tcW w:w="1441" w:type="dxa"/>
            <w:tcBorders>
              <w:left w:val="single" w:color="000000" w:sz="6" w:space="0"/>
            </w:tcBorders>
            <w:vAlign w:val="top"/>
          </w:tcPr>
          <w:p>
            <w:pPr>
              <w:spacing w:before="78" w:line="295" w:lineRule="exact"/>
              <w:ind w:left="589"/>
              <w:rPr>
                <w:rFonts w:ascii="宋体" w:hAnsi="宋体" w:eastAsia="宋体" w:cs="宋体"/>
                <w:sz w:val="20"/>
                <w:szCs w:val="20"/>
              </w:rPr>
            </w:pPr>
            <w:r>
              <w:rPr>
                <w:rFonts w:ascii="宋体" w:hAnsi="宋体" w:eastAsia="宋体" w:cs="宋体"/>
                <w:spacing w:val="-16"/>
                <w:position w:val="2"/>
                <w:sz w:val="20"/>
                <w:szCs w:val="20"/>
              </w:rPr>
              <w:t>4.2</w:t>
            </w:r>
          </w:p>
        </w:tc>
        <w:tc>
          <w:tcPr>
            <w:tcW w:w="2952" w:type="dxa"/>
            <w:vAlign w:val="top"/>
          </w:tcPr>
          <w:p>
            <w:pPr>
              <w:spacing w:before="131" w:line="219" w:lineRule="auto"/>
              <w:ind w:left="1004"/>
              <w:rPr>
                <w:rFonts w:ascii="宋体" w:hAnsi="宋体" w:eastAsia="宋体" w:cs="宋体"/>
                <w:sz w:val="20"/>
                <w:szCs w:val="20"/>
              </w:rPr>
            </w:pPr>
            <w:r>
              <w:rPr>
                <w:rFonts w:ascii="宋体" w:hAnsi="宋体" w:eastAsia="宋体" w:cs="宋体"/>
                <w:spacing w:val="5"/>
                <w:sz w:val="20"/>
                <w:szCs w:val="20"/>
              </w:rPr>
              <w:t>住房公积金</w:t>
            </w:r>
          </w:p>
        </w:tc>
        <w:tc>
          <w:tcPr>
            <w:tcW w:w="4700" w:type="dxa"/>
            <w:tcBorders>
              <w:right w:val="single" w:color="000000" w:sz="6" w:space="0"/>
            </w:tcBorders>
            <w:vAlign w:val="top"/>
          </w:tcPr>
          <w:p>
            <w:pPr>
              <w:spacing w:before="130" w:line="220" w:lineRule="auto"/>
              <w:ind w:left="1290"/>
              <w:rPr>
                <w:rFonts w:ascii="宋体" w:hAnsi="宋体" w:eastAsia="宋体" w:cs="宋体"/>
                <w:sz w:val="20"/>
                <w:szCs w:val="20"/>
              </w:rPr>
            </w:pPr>
            <w:r>
              <w:rPr>
                <w:rFonts w:ascii="宋体" w:hAnsi="宋体" w:eastAsia="宋体" w:cs="宋体"/>
                <w:spacing w:val="5"/>
                <w:sz w:val="20"/>
                <w:szCs w:val="20"/>
              </w:rPr>
              <w:t>省价人工费之和</w:t>
            </w:r>
            <w:r>
              <w:rPr>
                <w:rFonts w:ascii="宋体" w:hAnsi="宋体" w:eastAsia="宋体" w:cs="宋体"/>
                <w:spacing w:val="-43"/>
                <w:sz w:val="20"/>
                <w:szCs w:val="20"/>
              </w:rPr>
              <w:t xml:space="preserve"> </w:t>
            </w:r>
            <w:r>
              <w:rPr>
                <w:rFonts w:ascii="宋体" w:hAnsi="宋体" w:eastAsia="宋体" w:cs="宋体"/>
                <w:spacing w:val="5"/>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441" w:type="dxa"/>
            <w:tcBorders>
              <w:left w:val="single" w:color="000000" w:sz="6" w:space="0"/>
            </w:tcBorders>
            <w:vAlign w:val="top"/>
          </w:tcPr>
          <w:p>
            <w:pPr>
              <w:spacing w:before="84" w:line="297" w:lineRule="exact"/>
              <w:ind w:left="589"/>
              <w:rPr>
                <w:rFonts w:ascii="宋体" w:hAnsi="宋体" w:eastAsia="宋体" w:cs="宋体"/>
                <w:sz w:val="20"/>
                <w:szCs w:val="20"/>
              </w:rPr>
            </w:pPr>
            <w:r>
              <w:rPr>
                <w:rFonts w:ascii="宋体" w:hAnsi="宋体" w:eastAsia="宋体" w:cs="宋体"/>
                <w:spacing w:val="-16"/>
                <w:position w:val="2"/>
                <w:sz w:val="20"/>
                <w:szCs w:val="20"/>
              </w:rPr>
              <w:t>4.3</w:t>
            </w:r>
          </w:p>
        </w:tc>
        <w:tc>
          <w:tcPr>
            <w:tcW w:w="2952" w:type="dxa"/>
            <w:vAlign w:val="top"/>
          </w:tcPr>
          <w:p>
            <w:pPr>
              <w:spacing w:before="137" w:line="220" w:lineRule="auto"/>
              <w:ind w:left="986"/>
              <w:rPr>
                <w:rFonts w:ascii="宋体" w:hAnsi="宋体" w:eastAsia="宋体" w:cs="宋体"/>
                <w:sz w:val="20"/>
                <w:szCs w:val="20"/>
              </w:rPr>
            </w:pPr>
            <w:r>
              <w:rPr>
                <w:rFonts w:ascii="宋体" w:hAnsi="宋体" w:eastAsia="宋体" w:cs="宋体"/>
                <w:spacing w:val="12"/>
                <w:sz w:val="20"/>
                <w:szCs w:val="20"/>
              </w:rPr>
              <w:t>安全生产费</w:t>
            </w:r>
          </w:p>
        </w:tc>
        <w:tc>
          <w:tcPr>
            <w:tcW w:w="4700" w:type="dxa"/>
            <w:tcBorders>
              <w:right w:val="single" w:color="000000" w:sz="6" w:space="0"/>
            </w:tcBorders>
            <w:vAlign w:val="top"/>
          </w:tcPr>
          <w:p>
            <w:pPr>
              <w:spacing w:before="131" w:line="231" w:lineRule="auto"/>
              <w:ind w:left="1543"/>
              <w:rPr>
                <w:rFonts w:ascii="宋体" w:hAnsi="宋体" w:eastAsia="宋体" w:cs="宋体"/>
                <w:sz w:val="20"/>
                <w:szCs w:val="20"/>
              </w:rPr>
            </w:pPr>
            <w:r>
              <w:rPr>
                <w:rFonts w:ascii="宋体" w:hAnsi="宋体" w:eastAsia="宋体" w:cs="宋体"/>
                <w:spacing w:val="-6"/>
                <w:sz w:val="20"/>
                <w:szCs w:val="20"/>
              </w:rPr>
              <w:t>(一+二+三)</w:t>
            </w:r>
            <w:r>
              <w:rPr>
                <w:rFonts w:ascii="宋体" w:hAnsi="宋体" w:eastAsia="宋体" w:cs="宋体"/>
                <w:spacing w:val="-36"/>
                <w:sz w:val="20"/>
                <w:szCs w:val="20"/>
              </w:rPr>
              <w:t xml:space="preserve"> </w:t>
            </w:r>
            <w:r>
              <w:rPr>
                <w:rFonts w:ascii="宋体" w:hAnsi="宋体" w:eastAsia="宋体" w:cs="宋体"/>
                <w:spacing w:val="-6"/>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3" w:hRule="atLeast"/>
        </w:trPr>
        <w:tc>
          <w:tcPr>
            <w:tcW w:w="1441" w:type="dxa"/>
            <w:tcBorders>
              <w:left w:val="single" w:color="000000" w:sz="6" w:space="0"/>
            </w:tcBorders>
            <w:vAlign w:val="top"/>
          </w:tcPr>
          <w:p>
            <w:pPr>
              <w:spacing w:before="101" w:line="201" w:lineRule="auto"/>
              <w:ind w:left="617"/>
              <w:rPr>
                <w:rFonts w:ascii="宋体" w:hAnsi="宋体" w:eastAsia="宋体" w:cs="宋体"/>
                <w:sz w:val="20"/>
                <w:szCs w:val="20"/>
              </w:rPr>
            </w:pPr>
            <w:r>
              <w:rPr>
                <w:rFonts w:ascii="宋体" w:hAnsi="宋体" w:eastAsia="宋体" w:cs="宋体"/>
                <w:sz w:val="20"/>
                <w:szCs w:val="20"/>
              </w:rPr>
              <w:t>五</w:t>
            </w:r>
          </w:p>
        </w:tc>
        <w:tc>
          <w:tcPr>
            <w:tcW w:w="2952" w:type="dxa"/>
            <w:vAlign w:val="top"/>
          </w:tcPr>
          <w:p>
            <w:pPr>
              <w:spacing w:before="138" w:line="213" w:lineRule="auto"/>
              <w:ind w:left="1315"/>
              <w:rPr>
                <w:rFonts w:ascii="宋体" w:hAnsi="宋体" w:eastAsia="宋体" w:cs="宋体"/>
                <w:sz w:val="20"/>
                <w:szCs w:val="20"/>
              </w:rPr>
            </w:pPr>
            <w:r>
              <w:rPr>
                <w:rFonts w:ascii="宋体" w:hAnsi="宋体" w:eastAsia="宋体" w:cs="宋体"/>
                <w:spacing w:val="5"/>
                <w:sz w:val="20"/>
                <w:szCs w:val="20"/>
              </w:rPr>
              <w:t>税金</w:t>
            </w:r>
          </w:p>
        </w:tc>
        <w:tc>
          <w:tcPr>
            <w:tcW w:w="4700" w:type="dxa"/>
            <w:tcBorders>
              <w:right w:val="single" w:color="000000" w:sz="6" w:space="0"/>
            </w:tcBorders>
            <w:vAlign w:val="top"/>
          </w:tcPr>
          <w:p>
            <w:pPr>
              <w:spacing w:before="129" w:line="225" w:lineRule="auto"/>
              <w:ind w:left="1390"/>
              <w:rPr>
                <w:rFonts w:ascii="宋体" w:hAnsi="宋体" w:eastAsia="宋体" w:cs="宋体"/>
                <w:sz w:val="20"/>
                <w:szCs w:val="20"/>
              </w:rPr>
            </w:pPr>
            <w:r>
              <w:rPr>
                <w:rFonts w:ascii="宋体" w:hAnsi="宋体" w:eastAsia="宋体" w:cs="宋体"/>
                <w:spacing w:val="-4"/>
                <w:sz w:val="20"/>
                <w:szCs w:val="20"/>
              </w:rPr>
              <w:t>(一+二+三+四)</w:t>
            </w:r>
            <w:r>
              <w:rPr>
                <w:rFonts w:ascii="宋体" w:hAnsi="宋体" w:eastAsia="宋体" w:cs="宋体"/>
                <w:spacing w:val="-38"/>
                <w:sz w:val="20"/>
                <w:szCs w:val="20"/>
              </w:rPr>
              <w:t xml:space="preserve"> </w:t>
            </w:r>
            <w:r>
              <w:rPr>
                <w:rFonts w:ascii="宋体" w:hAnsi="宋体" w:eastAsia="宋体" w:cs="宋体"/>
                <w:spacing w:val="-4"/>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2" w:hRule="atLeast"/>
        </w:trPr>
        <w:tc>
          <w:tcPr>
            <w:tcW w:w="1441" w:type="dxa"/>
            <w:tcBorders>
              <w:left w:val="single" w:color="000000" w:sz="6" w:space="0"/>
              <w:bottom w:val="single" w:color="000000" w:sz="6" w:space="0"/>
            </w:tcBorders>
            <w:vAlign w:val="top"/>
          </w:tcPr>
          <w:p>
            <w:pPr>
              <w:spacing w:before="106" w:line="206" w:lineRule="auto"/>
              <w:ind w:left="612"/>
              <w:rPr>
                <w:rFonts w:ascii="宋体" w:hAnsi="宋体" w:eastAsia="宋体" w:cs="宋体"/>
                <w:sz w:val="20"/>
                <w:szCs w:val="20"/>
              </w:rPr>
            </w:pPr>
            <w:r>
              <w:rPr>
                <w:rFonts w:ascii="宋体" w:hAnsi="宋体" w:eastAsia="宋体" w:cs="宋体"/>
                <w:spacing w:val="4"/>
                <w:sz w:val="20"/>
                <w:szCs w:val="20"/>
              </w:rPr>
              <w:t>六</w:t>
            </w:r>
          </w:p>
        </w:tc>
        <w:tc>
          <w:tcPr>
            <w:tcW w:w="2952" w:type="dxa"/>
            <w:tcBorders>
              <w:bottom w:val="single" w:color="000000" w:sz="6" w:space="0"/>
            </w:tcBorders>
            <w:vAlign w:val="top"/>
          </w:tcPr>
          <w:p>
            <w:pPr>
              <w:spacing w:before="143" w:line="222" w:lineRule="auto"/>
              <w:ind w:left="690"/>
              <w:rPr>
                <w:rFonts w:ascii="宋体" w:hAnsi="宋体" w:eastAsia="宋体" w:cs="宋体"/>
                <w:sz w:val="20"/>
                <w:szCs w:val="20"/>
              </w:rPr>
            </w:pPr>
            <w:r>
              <w:rPr>
                <w:rFonts w:ascii="宋体" w:hAnsi="宋体" w:eastAsia="宋体" w:cs="宋体"/>
                <w:spacing w:val="7"/>
                <w:sz w:val="20"/>
                <w:szCs w:val="20"/>
              </w:rPr>
              <w:t>环卫作业费用合计</w:t>
            </w:r>
          </w:p>
        </w:tc>
        <w:tc>
          <w:tcPr>
            <w:tcW w:w="4700" w:type="dxa"/>
            <w:tcBorders>
              <w:bottom w:val="single" w:color="000000" w:sz="6" w:space="0"/>
              <w:right w:val="single" w:color="000000" w:sz="6" w:space="0"/>
            </w:tcBorders>
            <w:vAlign w:val="top"/>
          </w:tcPr>
          <w:p>
            <w:pPr>
              <w:spacing w:before="159" w:line="200" w:lineRule="auto"/>
              <w:ind w:left="1586"/>
              <w:rPr>
                <w:rFonts w:ascii="宋体" w:hAnsi="宋体" w:eastAsia="宋体" w:cs="宋体"/>
                <w:sz w:val="20"/>
                <w:szCs w:val="20"/>
              </w:rPr>
            </w:pPr>
            <w:r>
              <w:rPr>
                <w:rFonts w:ascii="宋体" w:hAnsi="宋体" w:eastAsia="宋体" w:cs="宋体"/>
                <w:spacing w:val="12"/>
                <w:sz w:val="20"/>
                <w:szCs w:val="20"/>
              </w:rPr>
              <w:t>一+二+三+四+五</w:t>
            </w:r>
          </w:p>
        </w:tc>
      </w:tr>
    </w:tbl>
    <w:p>
      <w:pPr>
        <w:spacing w:before="124" w:line="278" w:lineRule="exact"/>
        <w:ind w:left="560"/>
        <w:rPr>
          <w:rFonts w:ascii="宋体" w:hAnsi="宋体" w:eastAsia="宋体" w:cs="宋体"/>
          <w:sz w:val="20"/>
          <w:szCs w:val="20"/>
        </w:rPr>
      </w:pPr>
      <w:r>
        <w:rPr>
          <w:rFonts w:ascii="宋体" w:hAnsi="宋体" w:eastAsia="宋体" w:cs="宋体"/>
          <w:spacing w:val="-2"/>
          <w:position w:val="1"/>
          <w:sz w:val="20"/>
          <w:szCs w:val="20"/>
        </w:rPr>
        <w:t>说</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明</w:t>
      </w:r>
      <w:r>
        <w:rPr>
          <w:rFonts w:ascii="宋体" w:hAnsi="宋体" w:eastAsia="宋体" w:cs="宋体"/>
          <w:spacing w:val="-64"/>
          <w:position w:val="1"/>
          <w:sz w:val="20"/>
          <w:szCs w:val="20"/>
        </w:rPr>
        <w:t xml:space="preserve"> </w:t>
      </w:r>
      <w:r>
        <w:rPr>
          <w:rFonts w:ascii="宋体" w:hAnsi="宋体" w:eastAsia="宋体" w:cs="宋体"/>
          <w:spacing w:val="-2"/>
          <w:position w:val="1"/>
          <w:sz w:val="20"/>
          <w:szCs w:val="20"/>
        </w:rPr>
        <w:t>：</w:t>
      </w:r>
    </w:p>
    <w:p>
      <w:pPr>
        <w:spacing w:before="101" w:line="277" w:lineRule="exact"/>
        <w:ind w:left="583"/>
        <w:rPr>
          <w:rFonts w:ascii="宋体" w:hAnsi="宋体" w:eastAsia="宋体" w:cs="宋体"/>
          <w:sz w:val="20"/>
          <w:szCs w:val="20"/>
        </w:rPr>
      </w:pPr>
      <w:r>
        <w:rPr>
          <w:rFonts w:ascii="宋体" w:hAnsi="宋体" w:eastAsia="宋体" w:cs="宋体"/>
          <w:spacing w:val="9"/>
          <w:position w:val="1"/>
          <w:sz w:val="20"/>
          <w:szCs w:val="20"/>
        </w:rPr>
        <w:t>1.上述费用计算程序是计算我市环境卫生作业费用的依据。</w:t>
      </w:r>
    </w:p>
    <w:p>
      <w:pPr>
        <w:spacing w:before="102" w:line="276" w:lineRule="exact"/>
        <w:ind w:left="566"/>
        <w:rPr>
          <w:rFonts w:ascii="宋体" w:hAnsi="宋体" w:eastAsia="宋体" w:cs="宋体"/>
          <w:sz w:val="20"/>
          <w:szCs w:val="20"/>
        </w:rPr>
      </w:pPr>
      <w:r>
        <w:rPr>
          <w:rFonts w:ascii="宋体" w:hAnsi="宋体" w:eastAsia="宋体" w:cs="宋体"/>
          <w:spacing w:val="10"/>
          <w:position w:val="1"/>
          <w:sz w:val="20"/>
          <w:szCs w:val="20"/>
        </w:rPr>
        <w:t>2.当人工费、材料费实际价格与定额取定不同时</w:t>
      </w:r>
      <w:r>
        <w:rPr>
          <w:rFonts w:ascii="宋体" w:hAnsi="宋体" w:eastAsia="宋体" w:cs="宋体"/>
          <w:spacing w:val="-60"/>
          <w:position w:val="1"/>
          <w:sz w:val="20"/>
          <w:szCs w:val="20"/>
        </w:rPr>
        <w:t xml:space="preserve"> </w:t>
      </w:r>
      <w:r>
        <w:rPr>
          <w:rFonts w:ascii="宋体" w:hAnsi="宋体" w:eastAsia="宋体" w:cs="宋体"/>
          <w:spacing w:val="10"/>
          <w:position w:val="1"/>
          <w:sz w:val="20"/>
          <w:szCs w:val="20"/>
        </w:rPr>
        <w:t>，可按照实际进</w:t>
      </w:r>
      <w:r>
        <w:rPr>
          <w:rFonts w:ascii="宋体" w:hAnsi="宋体" w:eastAsia="宋体" w:cs="宋体"/>
          <w:spacing w:val="9"/>
          <w:position w:val="1"/>
          <w:sz w:val="20"/>
          <w:szCs w:val="20"/>
        </w:rPr>
        <w:t>行调整。</w:t>
      </w:r>
    </w:p>
    <w:p>
      <w:pPr>
        <w:spacing w:before="45" w:line="222" w:lineRule="auto"/>
        <w:ind w:left="580"/>
        <w:rPr>
          <w:rFonts w:ascii="黑体" w:hAnsi="黑体" w:eastAsia="黑体" w:cs="黑体"/>
          <w:sz w:val="28"/>
          <w:szCs w:val="28"/>
        </w:rPr>
      </w:pPr>
      <w:r>
        <w:rPr>
          <w:rFonts w:ascii="黑体" w:hAnsi="黑体" w:eastAsia="黑体" w:cs="黑体"/>
          <w:spacing w:val="-2"/>
          <w:sz w:val="28"/>
          <w:szCs w:val="28"/>
        </w:rPr>
        <w:t>二、环境卫生作业费用费率</w:t>
      </w:r>
    </w:p>
    <w:p>
      <w:pPr>
        <w:spacing w:before="90" w:line="222" w:lineRule="auto"/>
        <w:ind w:left="3532"/>
        <w:rPr>
          <w:rFonts w:ascii="宋体" w:hAnsi="宋体" w:eastAsia="宋体" w:cs="宋体"/>
          <w:sz w:val="20"/>
          <w:szCs w:val="20"/>
        </w:rPr>
      </w:pPr>
      <w:r>
        <w:rPr>
          <w:rFonts w:ascii="宋体" w:hAnsi="宋体" w:eastAsia="宋体" w:cs="宋体"/>
          <w:b/>
          <w:bCs/>
          <w:sz w:val="20"/>
          <w:szCs w:val="20"/>
        </w:rPr>
        <w:t>环境卫生作业费用费率</w:t>
      </w:r>
    </w:p>
    <w:p>
      <w:pPr>
        <w:spacing w:before="128"/>
      </w:pPr>
    </w:p>
    <w:tbl>
      <w:tblPr>
        <w:tblStyle w:val="5"/>
        <w:tblW w:w="91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2"/>
        <w:gridCol w:w="3172"/>
        <w:gridCol w:w="3192"/>
        <w:gridCol w:w="17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2" w:hRule="atLeast"/>
        </w:trPr>
        <w:tc>
          <w:tcPr>
            <w:tcW w:w="1082" w:type="dxa"/>
            <w:tcBorders>
              <w:top w:val="single" w:color="000000" w:sz="6" w:space="0"/>
              <w:left w:val="single" w:color="000000" w:sz="6" w:space="0"/>
            </w:tcBorders>
            <w:vAlign w:val="top"/>
          </w:tcPr>
          <w:p>
            <w:pPr>
              <w:spacing w:before="117" w:line="222" w:lineRule="auto"/>
              <w:ind w:left="307"/>
              <w:rPr>
                <w:rFonts w:ascii="宋体" w:hAnsi="宋体" w:eastAsia="宋体" w:cs="宋体"/>
                <w:sz w:val="20"/>
                <w:szCs w:val="20"/>
              </w:rPr>
            </w:pPr>
            <w:r>
              <w:rPr>
                <w:rFonts w:ascii="宋体" w:hAnsi="宋体" w:eastAsia="宋体" w:cs="宋体"/>
                <w:b/>
                <w:bCs/>
                <w:sz w:val="20"/>
                <w:szCs w:val="20"/>
              </w:rPr>
              <w:t>序号</w:t>
            </w:r>
          </w:p>
        </w:tc>
        <w:tc>
          <w:tcPr>
            <w:tcW w:w="3172" w:type="dxa"/>
            <w:tcBorders>
              <w:top w:val="single" w:color="000000" w:sz="6" w:space="0"/>
            </w:tcBorders>
            <w:vAlign w:val="top"/>
          </w:tcPr>
          <w:p>
            <w:pPr>
              <w:spacing w:before="120" w:line="219" w:lineRule="auto"/>
              <w:ind w:left="1178"/>
              <w:rPr>
                <w:rFonts w:ascii="宋体" w:hAnsi="宋体" w:eastAsia="宋体" w:cs="宋体"/>
                <w:sz w:val="20"/>
                <w:szCs w:val="20"/>
              </w:rPr>
            </w:pPr>
            <w:r>
              <w:rPr>
                <w:rFonts w:ascii="宋体" w:hAnsi="宋体" w:eastAsia="宋体" w:cs="宋体"/>
                <w:b/>
                <w:bCs/>
                <w:spacing w:val="2"/>
                <w:sz w:val="20"/>
                <w:szCs w:val="20"/>
              </w:rPr>
              <w:t>费用名称</w:t>
            </w:r>
          </w:p>
        </w:tc>
        <w:tc>
          <w:tcPr>
            <w:tcW w:w="4940" w:type="dxa"/>
            <w:gridSpan w:val="2"/>
            <w:tcBorders>
              <w:top w:val="single" w:color="000000" w:sz="6" w:space="0"/>
              <w:right w:val="single" w:color="000000" w:sz="6" w:space="0"/>
            </w:tcBorders>
            <w:vAlign w:val="top"/>
          </w:tcPr>
          <w:p>
            <w:pPr>
              <w:spacing w:before="116" w:line="222" w:lineRule="auto"/>
              <w:ind w:left="2266"/>
              <w:rPr>
                <w:rFonts w:ascii="宋体" w:hAnsi="宋体" w:eastAsia="宋体" w:cs="宋体"/>
                <w:sz w:val="20"/>
                <w:szCs w:val="20"/>
              </w:rPr>
            </w:pPr>
            <w:r>
              <w:rPr>
                <w:rFonts w:ascii="宋体" w:hAnsi="宋体" w:eastAsia="宋体" w:cs="宋体"/>
                <w:b/>
                <w:bCs/>
                <w:spacing w:val="1"/>
                <w:sz w:val="20"/>
                <w:szCs w:val="20"/>
              </w:rPr>
              <w:t>费率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3" w:hRule="atLeast"/>
        </w:trPr>
        <w:tc>
          <w:tcPr>
            <w:tcW w:w="1082" w:type="dxa"/>
            <w:tcBorders>
              <w:left w:val="single" w:color="000000" w:sz="6" w:space="0"/>
            </w:tcBorders>
            <w:vAlign w:val="top"/>
          </w:tcPr>
          <w:p>
            <w:pPr>
              <w:spacing w:before="279" w:line="103" w:lineRule="exact"/>
              <w:ind w:left="432"/>
              <w:rPr>
                <w:rFonts w:ascii="宋体" w:hAnsi="宋体" w:eastAsia="宋体" w:cs="宋体"/>
                <w:sz w:val="20"/>
                <w:szCs w:val="20"/>
              </w:rPr>
            </w:pPr>
            <w:r>
              <w:rPr>
                <w:rFonts w:ascii="宋体" w:hAnsi="宋体" w:eastAsia="宋体" w:cs="宋体"/>
                <w:spacing w:val="4"/>
                <w:position w:val="-5"/>
                <w:sz w:val="20"/>
                <w:szCs w:val="20"/>
              </w:rPr>
              <w:t>一</w:t>
            </w:r>
          </w:p>
        </w:tc>
        <w:tc>
          <w:tcPr>
            <w:tcW w:w="3172" w:type="dxa"/>
            <w:vAlign w:val="top"/>
          </w:tcPr>
          <w:p>
            <w:pPr>
              <w:spacing w:before="128" w:line="220" w:lineRule="auto"/>
              <w:ind w:left="1049"/>
              <w:rPr>
                <w:rFonts w:ascii="宋体" w:hAnsi="宋体" w:eastAsia="宋体" w:cs="宋体"/>
                <w:sz w:val="20"/>
                <w:szCs w:val="20"/>
              </w:rPr>
            </w:pPr>
            <w:r>
              <w:rPr>
                <w:rFonts w:ascii="宋体" w:hAnsi="宋体" w:eastAsia="宋体" w:cs="宋体"/>
                <w:spacing w:val="12"/>
                <w:sz w:val="20"/>
                <w:szCs w:val="20"/>
              </w:rPr>
              <w:t>企业管理费</w:t>
            </w:r>
          </w:p>
        </w:tc>
        <w:tc>
          <w:tcPr>
            <w:tcW w:w="4940" w:type="dxa"/>
            <w:gridSpan w:val="2"/>
            <w:tcBorders>
              <w:right w:val="single" w:color="000000" w:sz="6" w:space="0"/>
            </w:tcBorders>
            <w:vAlign w:val="top"/>
          </w:tcPr>
          <w:p>
            <w:pPr>
              <w:spacing w:before="108" w:line="274" w:lineRule="exact"/>
              <w:ind w:left="2302"/>
              <w:rPr>
                <w:rFonts w:ascii="宋体" w:hAnsi="宋体" w:eastAsia="宋体" w:cs="宋体"/>
                <w:sz w:val="20"/>
                <w:szCs w:val="20"/>
              </w:rPr>
            </w:pPr>
            <w:r>
              <w:rPr>
                <w:rFonts w:ascii="宋体" w:hAnsi="宋体" w:eastAsia="宋体" w:cs="宋体"/>
                <w:spacing w:val="16"/>
                <w:position w:val="1"/>
                <w:sz w:val="20"/>
                <w:szCs w:val="20"/>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3" w:hRule="atLeast"/>
        </w:trPr>
        <w:tc>
          <w:tcPr>
            <w:tcW w:w="1082" w:type="dxa"/>
            <w:tcBorders>
              <w:left w:val="single" w:color="000000" w:sz="6" w:space="0"/>
            </w:tcBorders>
            <w:vAlign w:val="top"/>
          </w:tcPr>
          <w:p>
            <w:pPr>
              <w:spacing w:before="184" w:line="174" w:lineRule="auto"/>
              <w:ind w:left="432"/>
              <w:rPr>
                <w:rFonts w:ascii="宋体" w:hAnsi="宋体" w:eastAsia="宋体" w:cs="宋体"/>
                <w:sz w:val="20"/>
                <w:szCs w:val="20"/>
              </w:rPr>
            </w:pPr>
            <w:r>
              <w:rPr>
                <w:rFonts w:ascii="宋体" w:hAnsi="宋体" w:eastAsia="宋体" w:cs="宋体"/>
                <w:spacing w:val="4"/>
                <w:sz w:val="20"/>
                <w:szCs w:val="20"/>
              </w:rPr>
              <w:t>二</w:t>
            </w:r>
          </w:p>
        </w:tc>
        <w:tc>
          <w:tcPr>
            <w:tcW w:w="3172" w:type="dxa"/>
            <w:vAlign w:val="top"/>
          </w:tcPr>
          <w:p>
            <w:pPr>
              <w:spacing w:before="126" w:line="217" w:lineRule="auto"/>
              <w:ind w:left="1357"/>
              <w:rPr>
                <w:rFonts w:ascii="宋体" w:hAnsi="宋体" w:eastAsia="宋体" w:cs="宋体"/>
                <w:sz w:val="20"/>
                <w:szCs w:val="20"/>
              </w:rPr>
            </w:pPr>
            <w:r>
              <w:rPr>
                <w:rFonts w:ascii="宋体" w:hAnsi="宋体" w:eastAsia="宋体" w:cs="宋体"/>
                <w:spacing w:val="14"/>
                <w:sz w:val="20"/>
                <w:szCs w:val="20"/>
              </w:rPr>
              <w:t>利润</w:t>
            </w:r>
          </w:p>
        </w:tc>
        <w:tc>
          <w:tcPr>
            <w:tcW w:w="4940" w:type="dxa"/>
            <w:gridSpan w:val="2"/>
            <w:tcBorders>
              <w:right w:val="single" w:color="000000" w:sz="6" w:space="0"/>
            </w:tcBorders>
            <w:vAlign w:val="top"/>
          </w:tcPr>
          <w:p>
            <w:pPr>
              <w:spacing w:before="111" w:line="241" w:lineRule="auto"/>
              <w:ind w:left="2333"/>
              <w:rPr>
                <w:rFonts w:ascii="宋体" w:hAnsi="宋体" w:eastAsia="宋体" w:cs="宋体"/>
                <w:sz w:val="20"/>
                <w:szCs w:val="20"/>
              </w:rPr>
            </w:pPr>
            <w:r>
              <w:rPr>
                <w:rFonts w:ascii="宋体" w:hAnsi="宋体" w:eastAsia="宋体" w:cs="宋体"/>
                <w:spacing w:val="14"/>
                <w:w w:val="120"/>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3" w:hRule="atLeast"/>
        </w:trPr>
        <w:tc>
          <w:tcPr>
            <w:tcW w:w="1082" w:type="dxa"/>
            <w:tcBorders>
              <w:left w:val="single" w:color="000000" w:sz="6" w:space="0"/>
            </w:tcBorders>
            <w:vAlign w:val="top"/>
          </w:tcPr>
          <w:p>
            <w:pPr>
              <w:spacing w:before="149" w:line="201" w:lineRule="auto"/>
              <w:ind w:left="435"/>
              <w:rPr>
                <w:rFonts w:ascii="宋体" w:hAnsi="宋体" w:eastAsia="宋体" w:cs="宋体"/>
                <w:sz w:val="20"/>
                <w:szCs w:val="20"/>
              </w:rPr>
            </w:pPr>
            <w:r>
              <w:rPr>
                <w:rFonts w:ascii="宋体" w:hAnsi="宋体" w:eastAsia="宋体" w:cs="宋体"/>
                <w:sz w:val="20"/>
                <w:szCs w:val="20"/>
              </w:rPr>
              <w:t>三</w:t>
            </w:r>
          </w:p>
        </w:tc>
        <w:tc>
          <w:tcPr>
            <w:tcW w:w="8112" w:type="dxa"/>
            <w:gridSpan w:val="3"/>
            <w:tcBorders>
              <w:right w:val="single" w:color="000000" w:sz="6" w:space="0"/>
            </w:tcBorders>
            <w:vAlign w:val="top"/>
          </w:tcPr>
          <w:p>
            <w:pPr>
              <w:spacing w:before="132" w:line="219" w:lineRule="auto"/>
              <w:ind w:left="3826"/>
              <w:rPr>
                <w:rFonts w:ascii="宋体" w:hAnsi="宋体" w:eastAsia="宋体" w:cs="宋体"/>
                <w:sz w:val="20"/>
                <w:szCs w:val="20"/>
              </w:rPr>
            </w:pPr>
            <w:r>
              <w:rPr>
                <w:rFonts w:ascii="宋体" w:hAnsi="宋体" w:eastAsia="宋体" w:cs="宋体"/>
                <w:spacing w:val="13"/>
                <w:sz w:val="20"/>
                <w:szCs w:val="20"/>
              </w:rPr>
              <w:t>规费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3" w:hRule="atLeast"/>
        </w:trPr>
        <w:tc>
          <w:tcPr>
            <w:tcW w:w="1082" w:type="dxa"/>
            <w:vMerge w:val="restart"/>
            <w:tcBorders>
              <w:left w:val="single" w:color="000000" w:sz="6" w:space="0"/>
              <w:bottom w:val="nil"/>
            </w:tcBorders>
            <w:vAlign w:val="top"/>
          </w:tcPr>
          <w:p>
            <w:pPr>
              <w:pStyle w:val="6"/>
              <w:spacing w:line="259" w:lineRule="auto"/>
            </w:pPr>
          </w:p>
          <w:p>
            <w:pPr>
              <w:spacing w:before="65" w:line="299" w:lineRule="exact"/>
              <w:ind w:left="417"/>
              <w:rPr>
                <w:rFonts w:ascii="宋体" w:hAnsi="宋体" w:eastAsia="宋体" w:cs="宋体"/>
                <w:sz w:val="20"/>
                <w:szCs w:val="20"/>
              </w:rPr>
            </w:pPr>
            <w:r>
              <w:rPr>
                <w:rFonts w:ascii="宋体" w:hAnsi="宋体" w:eastAsia="宋体" w:cs="宋体"/>
                <w:spacing w:val="-19"/>
                <w:position w:val="2"/>
                <w:sz w:val="20"/>
                <w:szCs w:val="20"/>
              </w:rPr>
              <w:t>3.1</w:t>
            </w:r>
          </w:p>
        </w:tc>
        <w:tc>
          <w:tcPr>
            <w:tcW w:w="3172" w:type="dxa"/>
            <w:vMerge w:val="restart"/>
            <w:tcBorders>
              <w:bottom w:val="nil"/>
            </w:tcBorders>
            <w:vAlign w:val="top"/>
          </w:tcPr>
          <w:p>
            <w:pPr>
              <w:pStyle w:val="6"/>
              <w:spacing w:line="259" w:lineRule="auto"/>
            </w:pPr>
          </w:p>
          <w:p>
            <w:pPr>
              <w:spacing w:before="65" w:line="277" w:lineRule="exact"/>
              <w:ind w:left="1048"/>
              <w:rPr>
                <w:rFonts w:ascii="宋体" w:hAnsi="宋体" w:eastAsia="宋体" w:cs="宋体"/>
                <w:sz w:val="20"/>
                <w:szCs w:val="20"/>
              </w:rPr>
            </w:pPr>
            <w:r>
              <w:rPr>
                <w:rFonts w:ascii="宋体" w:hAnsi="宋体" w:eastAsia="宋体" w:cs="宋体"/>
                <w:spacing w:val="12"/>
                <w:position w:val="1"/>
                <w:sz w:val="20"/>
                <w:szCs w:val="20"/>
              </w:rPr>
              <w:t>社会保险费</w:t>
            </w:r>
          </w:p>
        </w:tc>
        <w:tc>
          <w:tcPr>
            <w:tcW w:w="3192" w:type="dxa"/>
            <w:vAlign w:val="top"/>
          </w:tcPr>
          <w:p>
            <w:pPr>
              <w:spacing w:before="118" w:line="219" w:lineRule="auto"/>
              <w:ind w:left="957"/>
              <w:rPr>
                <w:rFonts w:ascii="宋体" w:hAnsi="宋体" w:eastAsia="宋体" w:cs="宋体"/>
                <w:sz w:val="20"/>
                <w:szCs w:val="20"/>
              </w:rPr>
            </w:pPr>
            <w:r>
              <w:rPr>
                <w:rFonts w:ascii="宋体" w:hAnsi="宋体" w:eastAsia="宋体" w:cs="宋体"/>
                <w:spacing w:val="12"/>
                <w:sz w:val="20"/>
                <w:szCs w:val="20"/>
              </w:rPr>
              <w:t>一般计税法下</w:t>
            </w:r>
          </w:p>
        </w:tc>
        <w:tc>
          <w:tcPr>
            <w:tcW w:w="1748" w:type="dxa"/>
            <w:tcBorders>
              <w:right w:val="single" w:color="000000" w:sz="6" w:space="0"/>
            </w:tcBorders>
            <w:vAlign w:val="top"/>
          </w:tcPr>
          <w:p>
            <w:pPr>
              <w:spacing w:before="127" w:line="236" w:lineRule="auto"/>
              <w:ind w:left="634"/>
              <w:rPr>
                <w:rFonts w:ascii="宋体" w:hAnsi="宋体" w:eastAsia="宋体" w:cs="宋体"/>
                <w:sz w:val="20"/>
                <w:szCs w:val="20"/>
              </w:rPr>
            </w:pPr>
            <w:r>
              <w:rPr>
                <w:rFonts w:ascii="宋体" w:hAnsi="宋体" w:eastAsia="宋体" w:cs="宋体"/>
                <w:spacing w:val="-1"/>
                <w:sz w:val="20"/>
                <w:szCs w:val="20"/>
              </w:rPr>
              <w:t>1.52%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082" w:type="dxa"/>
            <w:vMerge w:val="continue"/>
            <w:tcBorders>
              <w:top w:val="nil"/>
              <w:left w:val="single" w:color="000000" w:sz="6" w:space="0"/>
            </w:tcBorders>
            <w:vAlign w:val="top"/>
          </w:tcPr>
          <w:p>
            <w:pPr>
              <w:pStyle w:val="6"/>
            </w:pPr>
          </w:p>
        </w:tc>
        <w:tc>
          <w:tcPr>
            <w:tcW w:w="3172" w:type="dxa"/>
            <w:vMerge w:val="continue"/>
            <w:tcBorders>
              <w:top w:val="nil"/>
            </w:tcBorders>
            <w:vAlign w:val="top"/>
          </w:tcPr>
          <w:p>
            <w:pPr>
              <w:pStyle w:val="6"/>
            </w:pPr>
          </w:p>
        </w:tc>
        <w:tc>
          <w:tcPr>
            <w:tcW w:w="3192" w:type="dxa"/>
            <w:vAlign w:val="top"/>
          </w:tcPr>
          <w:p>
            <w:pPr>
              <w:spacing w:before="118" w:line="218" w:lineRule="auto"/>
              <w:ind w:left="960"/>
              <w:rPr>
                <w:rFonts w:ascii="宋体" w:hAnsi="宋体" w:eastAsia="宋体" w:cs="宋体"/>
                <w:sz w:val="20"/>
                <w:szCs w:val="20"/>
              </w:rPr>
            </w:pPr>
            <w:r>
              <w:rPr>
                <w:rFonts w:ascii="宋体" w:hAnsi="宋体" w:eastAsia="宋体" w:cs="宋体"/>
                <w:spacing w:val="11"/>
                <w:sz w:val="20"/>
                <w:szCs w:val="20"/>
              </w:rPr>
              <w:t>简易计税法下</w:t>
            </w:r>
          </w:p>
        </w:tc>
        <w:tc>
          <w:tcPr>
            <w:tcW w:w="1748" w:type="dxa"/>
            <w:tcBorders>
              <w:right w:val="single" w:color="000000" w:sz="6" w:space="0"/>
            </w:tcBorders>
            <w:vAlign w:val="top"/>
          </w:tcPr>
          <w:p>
            <w:pPr>
              <w:spacing w:before="127" w:line="235" w:lineRule="auto"/>
              <w:ind w:left="639"/>
              <w:rPr>
                <w:rFonts w:ascii="宋体" w:hAnsi="宋体" w:eastAsia="宋体" w:cs="宋体"/>
                <w:sz w:val="20"/>
                <w:szCs w:val="20"/>
              </w:rPr>
            </w:pPr>
            <w:r>
              <w:rPr>
                <w:rFonts w:ascii="宋体" w:hAnsi="宋体" w:eastAsia="宋体" w:cs="宋体"/>
                <w:spacing w:val="-2"/>
                <w:sz w:val="20"/>
                <w:szCs w:val="20"/>
              </w:rPr>
              <w:t>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3" w:hRule="atLeast"/>
        </w:trPr>
        <w:tc>
          <w:tcPr>
            <w:tcW w:w="1082" w:type="dxa"/>
            <w:tcBorders>
              <w:left w:val="single" w:color="000000" w:sz="6" w:space="0"/>
            </w:tcBorders>
            <w:vAlign w:val="top"/>
          </w:tcPr>
          <w:p>
            <w:pPr>
              <w:spacing w:before="129" w:line="234" w:lineRule="auto"/>
              <w:ind w:left="417"/>
              <w:rPr>
                <w:rFonts w:ascii="宋体" w:hAnsi="宋体" w:eastAsia="宋体" w:cs="宋体"/>
                <w:sz w:val="20"/>
                <w:szCs w:val="20"/>
              </w:rPr>
            </w:pPr>
            <w:r>
              <w:rPr>
                <w:rFonts w:ascii="宋体" w:hAnsi="宋体" w:eastAsia="宋体" w:cs="宋体"/>
                <w:spacing w:val="-19"/>
                <w:sz w:val="20"/>
                <w:szCs w:val="20"/>
              </w:rPr>
              <w:t>3.2</w:t>
            </w:r>
          </w:p>
        </w:tc>
        <w:tc>
          <w:tcPr>
            <w:tcW w:w="3172" w:type="dxa"/>
            <w:vAlign w:val="top"/>
          </w:tcPr>
          <w:p>
            <w:pPr>
              <w:spacing w:before="134" w:line="219" w:lineRule="auto"/>
              <w:ind w:left="1067"/>
              <w:rPr>
                <w:rFonts w:ascii="宋体" w:hAnsi="宋体" w:eastAsia="宋体" w:cs="宋体"/>
                <w:sz w:val="20"/>
                <w:szCs w:val="20"/>
              </w:rPr>
            </w:pPr>
            <w:r>
              <w:rPr>
                <w:rFonts w:ascii="宋体" w:hAnsi="宋体" w:eastAsia="宋体" w:cs="宋体"/>
                <w:spacing w:val="5"/>
                <w:sz w:val="20"/>
                <w:szCs w:val="20"/>
              </w:rPr>
              <w:t>住房公积金</w:t>
            </w:r>
          </w:p>
        </w:tc>
        <w:tc>
          <w:tcPr>
            <w:tcW w:w="4940" w:type="dxa"/>
            <w:gridSpan w:val="2"/>
            <w:tcBorders>
              <w:right w:val="single" w:color="000000" w:sz="6" w:space="0"/>
            </w:tcBorders>
            <w:vAlign w:val="top"/>
          </w:tcPr>
          <w:p>
            <w:pPr>
              <w:spacing w:before="114" w:line="268" w:lineRule="exact"/>
              <w:ind w:left="2348"/>
              <w:rPr>
                <w:rFonts w:ascii="宋体" w:hAnsi="宋体" w:eastAsia="宋体" w:cs="宋体"/>
                <w:sz w:val="20"/>
                <w:szCs w:val="20"/>
              </w:rPr>
            </w:pPr>
            <w:r>
              <w:rPr>
                <w:rFonts w:ascii="宋体" w:hAnsi="宋体" w:eastAsia="宋体" w:cs="宋体"/>
                <w:spacing w:val="-19"/>
                <w:position w:val="1"/>
                <w:sz w:val="20"/>
                <w:szCs w:val="20"/>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0" w:hRule="atLeast"/>
        </w:trPr>
        <w:tc>
          <w:tcPr>
            <w:tcW w:w="1082" w:type="dxa"/>
            <w:tcBorders>
              <w:left w:val="single" w:color="000000" w:sz="6" w:space="0"/>
            </w:tcBorders>
            <w:vAlign w:val="top"/>
          </w:tcPr>
          <w:p>
            <w:pPr>
              <w:pStyle w:val="6"/>
              <w:spacing w:line="438" w:lineRule="auto"/>
            </w:pPr>
          </w:p>
          <w:p>
            <w:pPr>
              <w:spacing w:before="65" w:line="264" w:lineRule="exact"/>
              <w:ind w:left="417"/>
              <w:rPr>
                <w:rFonts w:ascii="宋体" w:hAnsi="宋体" w:eastAsia="宋体" w:cs="宋体"/>
                <w:sz w:val="20"/>
                <w:szCs w:val="20"/>
              </w:rPr>
            </w:pPr>
            <w:r>
              <w:rPr>
                <w:rFonts w:ascii="宋体" w:hAnsi="宋体" w:eastAsia="宋体" w:cs="宋体"/>
                <w:spacing w:val="-19"/>
                <w:position w:val="1"/>
                <w:sz w:val="20"/>
                <w:szCs w:val="20"/>
              </w:rPr>
              <w:t>3.3</w:t>
            </w:r>
          </w:p>
        </w:tc>
        <w:tc>
          <w:tcPr>
            <w:tcW w:w="3172" w:type="dxa"/>
            <w:vAlign w:val="top"/>
          </w:tcPr>
          <w:p>
            <w:pPr>
              <w:pStyle w:val="6"/>
              <w:spacing w:line="265" w:lineRule="auto"/>
            </w:pPr>
          </w:p>
          <w:p>
            <w:pPr>
              <w:spacing w:before="65" w:line="220" w:lineRule="auto"/>
              <w:ind w:left="1050"/>
              <w:rPr>
                <w:rFonts w:ascii="宋体" w:hAnsi="宋体" w:eastAsia="宋体" w:cs="宋体"/>
                <w:sz w:val="20"/>
                <w:szCs w:val="20"/>
              </w:rPr>
            </w:pPr>
            <w:r>
              <w:rPr>
                <w:rFonts w:ascii="宋体" w:hAnsi="宋体" w:eastAsia="宋体" w:cs="宋体"/>
                <w:spacing w:val="12"/>
                <w:sz w:val="20"/>
                <w:szCs w:val="20"/>
              </w:rPr>
              <w:t>安全生产费</w:t>
            </w:r>
          </w:p>
        </w:tc>
        <w:tc>
          <w:tcPr>
            <w:tcW w:w="4940" w:type="dxa"/>
            <w:gridSpan w:val="2"/>
            <w:tcBorders>
              <w:right w:val="single" w:color="000000" w:sz="6" w:space="0"/>
            </w:tcBorders>
            <w:vAlign w:val="top"/>
          </w:tcPr>
          <w:p>
            <w:pPr>
              <w:spacing w:before="117" w:line="278" w:lineRule="exact"/>
              <w:ind w:left="258"/>
              <w:rPr>
                <w:rFonts w:ascii="宋体" w:hAnsi="宋体" w:eastAsia="宋体" w:cs="宋体"/>
                <w:sz w:val="20"/>
                <w:szCs w:val="20"/>
              </w:rPr>
            </w:pPr>
            <w:r>
              <w:rPr>
                <w:rFonts w:ascii="宋体" w:hAnsi="宋体" w:eastAsia="宋体" w:cs="宋体"/>
                <w:spacing w:val="10"/>
                <w:position w:val="1"/>
                <w:sz w:val="20"/>
                <w:szCs w:val="20"/>
              </w:rPr>
              <w:t>参照《企业安全生产费用提取和使用管理办法》</w:t>
            </w:r>
          </w:p>
          <w:p>
            <w:pPr>
              <w:spacing w:before="87" w:line="220" w:lineRule="auto"/>
              <w:ind w:left="1827"/>
              <w:rPr>
                <w:rFonts w:ascii="宋体" w:hAnsi="宋体" w:eastAsia="宋体" w:cs="宋体"/>
                <w:sz w:val="20"/>
                <w:szCs w:val="20"/>
              </w:rPr>
            </w:pPr>
            <w:r>
              <w:rPr>
                <w:rFonts w:ascii="宋体" w:hAnsi="宋体" w:eastAsia="宋体" w:cs="宋体"/>
                <w:spacing w:val="10"/>
                <w:sz w:val="20"/>
                <w:szCs w:val="20"/>
              </w:rPr>
              <w:t>有关规定计算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2" w:hRule="atLeast"/>
        </w:trPr>
        <w:tc>
          <w:tcPr>
            <w:tcW w:w="1082" w:type="dxa"/>
            <w:vMerge w:val="restart"/>
            <w:tcBorders>
              <w:left w:val="single" w:color="000000" w:sz="6" w:space="0"/>
              <w:bottom w:val="nil"/>
            </w:tcBorders>
            <w:vAlign w:val="top"/>
          </w:tcPr>
          <w:p>
            <w:pPr>
              <w:pStyle w:val="6"/>
              <w:spacing w:line="290" w:lineRule="auto"/>
            </w:pPr>
          </w:p>
          <w:p>
            <w:pPr>
              <w:spacing w:before="65" w:line="199" w:lineRule="auto"/>
              <w:ind w:left="453"/>
              <w:rPr>
                <w:rFonts w:ascii="宋体" w:hAnsi="宋体" w:eastAsia="宋体" w:cs="宋体"/>
                <w:sz w:val="20"/>
                <w:szCs w:val="20"/>
              </w:rPr>
            </w:pPr>
            <w:r>
              <w:rPr>
                <w:rFonts w:ascii="宋体" w:hAnsi="宋体" w:eastAsia="宋体" w:cs="宋体"/>
                <w:sz w:val="20"/>
                <w:szCs w:val="20"/>
              </w:rPr>
              <w:t>四</w:t>
            </w:r>
          </w:p>
        </w:tc>
        <w:tc>
          <w:tcPr>
            <w:tcW w:w="3172" w:type="dxa"/>
            <w:vMerge w:val="restart"/>
            <w:tcBorders>
              <w:bottom w:val="nil"/>
            </w:tcBorders>
            <w:vAlign w:val="top"/>
          </w:tcPr>
          <w:p>
            <w:pPr>
              <w:pStyle w:val="6"/>
              <w:spacing w:line="268" w:lineRule="auto"/>
            </w:pPr>
          </w:p>
          <w:p>
            <w:pPr>
              <w:spacing w:before="65" w:line="278" w:lineRule="exact"/>
              <w:ind w:left="958"/>
              <w:rPr>
                <w:rFonts w:ascii="宋体" w:hAnsi="宋体" w:eastAsia="宋体" w:cs="宋体"/>
                <w:sz w:val="20"/>
                <w:szCs w:val="20"/>
              </w:rPr>
            </w:pPr>
            <w:r>
              <w:rPr>
                <w:rFonts w:ascii="宋体" w:hAnsi="宋体" w:eastAsia="宋体" w:cs="宋体"/>
                <w:spacing w:val="9"/>
                <w:position w:val="1"/>
                <w:sz w:val="20"/>
                <w:szCs w:val="20"/>
              </w:rPr>
              <w:t>税金(增值税)</w:t>
            </w:r>
          </w:p>
        </w:tc>
        <w:tc>
          <w:tcPr>
            <w:tcW w:w="3192" w:type="dxa"/>
            <w:vAlign w:val="top"/>
          </w:tcPr>
          <w:p>
            <w:pPr>
              <w:spacing w:before="125" w:line="219" w:lineRule="auto"/>
              <w:ind w:left="957"/>
              <w:rPr>
                <w:rFonts w:ascii="宋体" w:hAnsi="宋体" w:eastAsia="宋体" w:cs="宋体"/>
                <w:sz w:val="20"/>
                <w:szCs w:val="20"/>
              </w:rPr>
            </w:pPr>
            <w:r>
              <w:rPr>
                <w:rFonts w:ascii="宋体" w:hAnsi="宋体" w:eastAsia="宋体" w:cs="宋体"/>
                <w:spacing w:val="12"/>
                <w:sz w:val="20"/>
                <w:szCs w:val="20"/>
              </w:rPr>
              <w:t>一般计税法下</w:t>
            </w:r>
          </w:p>
        </w:tc>
        <w:tc>
          <w:tcPr>
            <w:tcW w:w="1748" w:type="dxa"/>
            <w:tcBorders>
              <w:right w:val="single" w:color="000000" w:sz="6" w:space="0"/>
            </w:tcBorders>
            <w:vAlign w:val="top"/>
          </w:tcPr>
          <w:p>
            <w:pPr>
              <w:spacing w:before="119" w:line="242" w:lineRule="auto"/>
              <w:ind w:left="740"/>
              <w:rPr>
                <w:rFonts w:ascii="宋体" w:hAnsi="宋体" w:eastAsia="宋体" w:cs="宋体"/>
                <w:sz w:val="20"/>
                <w:szCs w:val="20"/>
              </w:rPr>
            </w:pPr>
            <w:r>
              <w:rPr>
                <w:rFonts w:ascii="宋体" w:hAnsi="宋体" w:eastAsia="宋体" w:cs="宋体"/>
                <w:spacing w:val="11"/>
                <w:w w:val="123"/>
                <w:sz w:val="20"/>
                <w:szCs w:val="20"/>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2" w:hRule="atLeast"/>
        </w:trPr>
        <w:tc>
          <w:tcPr>
            <w:tcW w:w="1082" w:type="dxa"/>
            <w:vMerge w:val="continue"/>
            <w:tcBorders>
              <w:top w:val="nil"/>
              <w:left w:val="single" w:color="000000" w:sz="6" w:space="0"/>
              <w:bottom w:val="single" w:color="000000" w:sz="6" w:space="0"/>
            </w:tcBorders>
            <w:vAlign w:val="top"/>
          </w:tcPr>
          <w:p>
            <w:pPr>
              <w:pStyle w:val="6"/>
            </w:pPr>
          </w:p>
        </w:tc>
        <w:tc>
          <w:tcPr>
            <w:tcW w:w="3172" w:type="dxa"/>
            <w:vMerge w:val="continue"/>
            <w:tcBorders>
              <w:top w:val="nil"/>
              <w:bottom w:val="single" w:color="000000" w:sz="6" w:space="0"/>
            </w:tcBorders>
            <w:vAlign w:val="top"/>
          </w:tcPr>
          <w:p>
            <w:pPr>
              <w:pStyle w:val="6"/>
            </w:pPr>
          </w:p>
        </w:tc>
        <w:tc>
          <w:tcPr>
            <w:tcW w:w="3192" w:type="dxa"/>
            <w:tcBorders>
              <w:bottom w:val="single" w:color="000000" w:sz="6" w:space="0"/>
            </w:tcBorders>
            <w:vAlign w:val="top"/>
          </w:tcPr>
          <w:p>
            <w:pPr>
              <w:spacing w:before="126" w:line="218" w:lineRule="auto"/>
              <w:ind w:left="960"/>
              <w:rPr>
                <w:rFonts w:ascii="宋体" w:hAnsi="宋体" w:eastAsia="宋体" w:cs="宋体"/>
                <w:sz w:val="20"/>
                <w:szCs w:val="20"/>
              </w:rPr>
            </w:pPr>
            <w:r>
              <w:rPr>
                <w:rFonts w:ascii="宋体" w:hAnsi="宋体" w:eastAsia="宋体" w:cs="宋体"/>
                <w:spacing w:val="11"/>
                <w:sz w:val="20"/>
                <w:szCs w:val="20"/>
              </w:rPr>
              <w:t>简易计税法下</w:t>
            </w:r>
          </w:p>
        </w:tc>
        <w:tc>
          <w:tcPr>
            <w:tcW w:w="1748" w:type="dxa"/>
            <w:tcBorders>
              <w:bottom w:val="single" w:color="000000" w:sz="6" w:space="0"/>
              <w:right w:val="single" w:color="000000" w:sz="6" w:space="0"/>
            </w:tcBorders>
            <w:vAlign w:val="top"/>
          </w:tcPr>
          <w:p>
            <w:pPr>
              <w:spacing w:before="121" w:line="281" w:lineRule="exact"/>
              <w:ind w:left="742"/>
              <w:rPr>
                <w:rFonts w:ascii="宋体" w:hAnsi="宋体" w:eastAsia="宋体" w:cs="宋体"/>
                <w:sz w:val="20"/>
                <w:szCs w:val="20"/>
              </w:rPr>
            </w:pPr>
            <w:r>
              <w:rPr>
                <w:rFonts w:ascii="宋体" w:hAnsi="宋体" w:eastAsia="宋体" w:cs="宋体"/>
                <w:spacing w:val="14"/>
                <w:w w:val="118"/>
                <w:position w:val="1"/>
                <w:sz w:val="20"/>
                <w:szCs w:val="20"/>
              </w:rPr>
              <w:t>3%</w:t>
            </w:r>
          </w:p>
        </w:tc>
      </w:tr>
    </w:tbl>
    <w:p>
      <w:pPr>
        <w:spacing w:before="109" w:line="278" w:lineRule="exact"/>
        <w:ind w:left="627"/>
        <w:rPr>
          <w:rFonts w:ascii="宋体" w:hAnsi="宋体" w:eastAsia="宋体" w:cs="宋体"/>
          <w:sz w:val="20"/>
          <w:szCs w:val="20"/>
        </w:rPr>
      </w:pPr>
      <w:r>
        <w:rPr>
          <w:rFonts w:ascii="宋体" w:hAnsi="宋体" w:eastAsia="宋体" w:cs="宋体"/>
          <w:spacing w:val="-2"/>
          <w:position w:val="1"/>
          <w:sz w:val="20"/>
          <w:szCs w:val="20"/>
        </w:rPr>
        <w:t>说</w:t>
      </w:r>
      <w:r>
        <w:rPr>
          <w:rFonts w:ascii="宋体" w:hAnsi="宋体" w:eastAsia="宋体" w:cs="宋体"/>
          <w:spacing w:val="-15"/>
          <w:position w:val="1"/>
          <w:sz w:val="20"/>
          <w:szCs w:val="20"/>
        </w:rPr>
        <w:t xml:space="preserve"> </w:t>
      </w:r>
      <w:r>
        <w:rPr>
          <w:rFonts w:ascii="宋体" w:hAnsi="宋体" w:eastAsia="宋体" w:cs="宋体"/>
          <w:spacing w:val="-2"/>
          <w:position w:val="1"/>
          <w:sz w:val="20"/>
          <w:szCs w:val="20"/>
        </w:rPr>
        <w:t>明</w:t>
      </w:r>
      <w:r>
        <w:rPr>
          <w:rFonts w:ascii="宋体" w:hAnsi="宋体" w:eastAsia="宋体" w:cs="宋体"/>
          <w:spacing w:val="-61"/>
          <w:position w:val="1"/>
          <w:sz w:val="20"/>
          <w:szCs w:val="20"/>
        </w:rPr>
        <w:t xml:space="preserve"> </w:t>
      </w:r>
      <w:r>
        <w:rPr>
          <w:rFonts w:ascii="宋体" w:hAnsi="宋体" w:eastAsia="宋体" w:cs="宋体"/>
          <w:spacing w:val="-2"/>
          <w:position w:val="1"/>
          <w:sz w:val="20"/>
          <w:szCs w:val="20"/>
        </w:rPr>
        <w:t>：</w:t>
      </w:r>
    </w:p>
    <w:p>
      <w:pPr>
        <w:spacing w:before="82" w:line="276" w:lineRule="exact"/>
        <w:ind w:left="583"/>
        <w:rPr>
          <w:rFonts w:ascii="宋体" w:hAnsi="宋体" w:eastAsia="宋体" w:cs="宋体"/>
          <w:sz w:val="20"/>
          <w:szCs w:val="20"/>
        </w:rPr>
      </w:pPr>
      <w:r>
        <w:rPr>
          <w:rFonts w:ascii="宋体" w:hAnsi="宋体" w:eastAsia="宋体" w:cs="宋体"/>
          <w:spacing w:val="11"/>
          <w:position w:val="1"/>
          <w:sz w:val="20"/>
          <w:szCs w:val="20"/>
        </w:rPr>
        <w:t>1.费率表中的费率是环境卫生作业计价时的参考。其中规费、税金应按规定</w:t>
      </w:r>
      <w:r>
        <w:rPr>
          <w:rFonts w:ascii="宋体" w:hAnsi="宋体" w:eastAsia="宋体" w:cs="宋体"/>
          <w:spacing w:val="10"/>
          <w:position w:val="1"/>
          <w:sz w:val="20"/>
          <w:szCs w:val="20"/>
        </w:rPr>
        <w:t>计取。</w:t>
      </w:r>
    </w:p>
    <w:p>
      <w:pPr>
        <w:spacing w:before="85" w:line="278" w:lineRule="auto"/>
        <w:ind w:left="131" w:right="347" w:firstLine="431"/>
        <w:rPr>
          <w:rFonts w:ascii="宋体" w:hAnsi="宋体" w:eastAsia="宋体" w:cs="宋体"/>
          <w:sz w:val="20"/>
          <w:szCs w:val="20"/>
        </w:rPr>
      </w:pPr>
      <w:r>
        <w:rPr>
          <w:rFonts w:ascii="宋体" w:hAnsi="宋体" w:eastAsia="宋体" w:cs="宋体"/>
          <w:spacing w:val="16"/>
          <w:sz w:val="20"/>
          <w:szCs w:val="20"/>
        </w:rPr>
        <w:t>2.企业管理费和利润是按全省各地区水平</w:t>
      </w:r>
      <w:r>
        <w:rPr>
          <w:rFonts w:ascii="宋体" w:hAnsi="宋体" w:eastAsia="宋体" w:cs="宋体"/>
          <w:spacing w:val="15"/>
          <w:sz w:val="20"/>
          <w:szCs w:val="20"/>
        </w:rPr>
        <w:t>综合取定的</w:t>
      </w:r>
      <w:r>
        <w:rPr>
          <w:rFonts w:ascii="宋体" w:hAnsi="宋体" w:eastAsia="宋体" w:cs="宋体"/>
          <w:spacing w:val="-55"/>
          <w:sz w:val="20"/>
          <w:szCs w:val="20"/>
        </w:rPr>
        <w:t xml:space="preserve"> </w:t>
      </w:r>
      <w:r>
        <w:rPr>
          <w:rFonts w:ascii="宋体" w:hAnsi="宋体" w:eastAsia="宋体" w:cs="宋体"/>
          <w:spacing w:val="15"/>
          <w:sz w:val="20"/>
          <w:szCs w:val="20"/>
        </w:rPr>
        <w:t>，属于指导性费用</w:t>
      </w:r>
      <w:r>
        <w:rPr>
          <w:rFonts w:ascii="宋体" w:hAnsi="宋体" w:eastAsia="宋体" w:cs="宋体"/>
          <w:spacing w:val="-52"/>
          <w:sz w:val="20"/>
          <w:szCs w:val="20"/>
        </w:rPr>
        <w:t xml:space="preserve"> </w:t>
      </w:r>
      <w:r>
        <w:rPr>
          <w:rFonts w:ascii="宋体" w:hAnsi="宋体" w:eastAsia="宋体" w:cs="宋体"/>
          <w:spacing w:val="15"/>
          <w:sz w:val="20"/>
          <w:szCs w:val="20"/>
        </w:rPr>
        <w:t>，环卫作业承发包双方</w:t>
      </w:r>
      <w:r>
        <w:rPr>
          <w:rFonts w:ascii="宋体" w:hAnsi="宋体" w:eastAsia="宋体" w:cs="宋体"/>
          <w:spacing w:val="54"/>
          <w:sz w:val="20"/>
          <w:szCs w:val="20"/>
        </w:rPr>
        <w:t xml:space="preserve"> </w:t>
      </w:r>
      <w:r>
        <w:rPr>
          <w:rFonts w:ascii="宋体" w:hAnsi="宋体" w:eastAsia="宋体" w:cs="宋体"/>
          <w:spacing w:val="15"/>
          <w:sz w:val="20"/>
          <w:szCs w:val="20"/>
        </w:rPr>
        <w:t>应根据环卫项目和作业现场实际情况在合同中约定</w:t>
      </w:r>
      <w:r>
        <w:rPr>
          <w:rFonts w:ascii="宋体" w:hAnsi="宋体" w:eastAsia="宋体" w:cs="宋体"/>
          <w:spacing w:val="14"/>
          <w:sz w:val="20"/>
          <w:szCs w:val="20"/>
        </w:rPr>
        <w:t>执行。</w:t>
      </w:r>
    </w:p>
    <w:p>
      <w:pPr>
        <w:spacing w:line="278" w:lineRule="auto"/>
        <w:rPr>
          <w:rFonts w:ascii="宋体" w:hAnsi="宋体" w:eastAsia="宋体" w:cs="宋体"/>
          <w:sz w:val="20"/>
          <w:szCs w:val="20"/>
        </w:rPr>
        <w:sectPr>
          <w:headerReference r:id="rId264" w:type="default"/>
          <w:footerReference r:id="rId265" w:type="default"/>
          <w:pgSz w:w="11906" w:h="16839"/>
          <w:pgMar w:top="400" w:right="1284" w:bottom="1212" w:left="1412" w:header="0" w:footer="897" w:gutter="0"/>
        </w:sectPr>
      </w:pPr>
    </w:p>
    <w:p>
      <w:pPr>
        <w:spacing w:line="316" w:lineRule="auto"/>
        <w:rPr>
          <w:rFonts w:ascii="Arial"/>
          <w:sz w:val="21"/>
        </w:rPr>
      </w:pPr>
    </w:p>
    <w:p>
      <w:pPr>
        <w:spacing w:line="316" w:lineRule="auto"/>
        <w:rPr>
          <w:rFonts w:ascii="Arial"/>
          <w:sz w:val="21"/>
        </w:rPr>
      </w:pPr>
    </w:p>
    <w:p>
      <w:pPr>
        <w:spacing w:line="316" w:lineRule="auto"/>
        <w:rPr>
          <w:rFonts w:ascii="Arial"/>
          <w:sz w:val="21"/>
        </w:rPr>
      </w:pPr>
    </w:p>
    <w:p>
      <w:pPr>
        <w:spacing w:before="97" w:line="213" w:lineRule="auto"/>
        <w:ind w:left="3031"/>
        <w:outlineLvl w:val="1"/>
        <w:rPr>
          <w:rFonts w:ascii="宋体" w:hAnsi="宋体" w:eastAsia="宋体" w:cs="宋体"/>
          <w:sz w:val="30"/>
          <w:szCs w:val="30"/>
        </w:rPr>
      </w:pPr>
      <w:bookmarkStart w:id="141" w:name="bookmark182"/>
      <w:bookmarkEnd w:id="141"/>
      <w:r>
        <w:rPr>
          <w:rFonts w:ascii="宋体" w:hAnsi="宋体" w:eastAsia="宋体" w:cs="宋体"/>
          <w:b/>
          <w:bCs/>
          <w:spacing w:val="-3"/>
          <w:sz w:val="30"/>
          <w:szCs w:val="30"/>
        </w:rPr>
        <w:t>第三节</w:t>
      </w:r>
      <w:r>
        <w:rPr>
          <w:rFonts w:ascii="宋体" w:hAnsi="宋体" w:eastAsia="宋体" w:cs="宋体"/>
          <w:spacing w:val="-3"/>
          <w:sz w:val="30"/>
          <w:szCs w:val="30"/>
        </w:rPr>
        <w:t xml:space="preserve">  </w:t>
      </w:r>
      <w:r>
        <w:rPr>
          <w:rFonts w:ascii="宋体" w:hAnsi="宋体" w:eastAsia="宋体" w:cs="宋体"/>
          <w:b/>
          <w:bCs/>
          <w:spacing w:val="-3"/>
          <w:sz w:val="30"/>
          <w:szCs w:val="30"/>
        </w:rPr>
        <w:t>有关问题说明</w:t>
      </w:r>
    </w:p>
    <w:p>
      <w:pPr>
        <w:spacing w:line="243" w:lineRule="auto"/>
        <w:rPr>
          <w:rFonts w:ascii="Arial"/>
          <w:sz w:val="21"/>
        </w:rPr>
      </w:pPr>
    </w:p>
    <w:p>
      <w:pPr>
        <w:spacing w:before="65" w:line="332" w:lineRule="auto"/>
        <w:ind w:left="2" w:firstLine="477"/>
        <w:rPr>
          <w:rFonts w:ascii="宋体" w:hAnsi="宋体" w:eastAsia="宋体" w:cs="宋体"/>
          <w:sz w:val="20"/>
          <w:szCs w:val="20"/>
        </w:rPr>
      </w:pPr>
      <w:r>
        <w:rPr>
          <w:rFonts w:ascii="宋体" w:hAnsi="宋体" w:eastAsia="宋体" w:cs="宋体"/>
          <w:spacing w:val="7"/>
          <w:sz w:val="20"/>
          <w:szCs w:val="20"/>
        </w:rPr>
        <w:t>1. 山东省住房和城乡建设厅印发《山东省环境卫生作业计价定额》、《山东省环境卫生作业</w:t>
      </w:r>
      <w:r>
        <w:rPr>
          <w:rFonts w:ascii="宋体" w:hAnsi="宋体" w:eastAsia="宋体" w:cs="宋体"/>
          <w:spacing w:val="6"/>
          <w:sz w:val="20"/>
          <w:szCs w:val="20"/>
        </w:rPr>
        <w:t>费 用项目组成及计算规则》、《材机价格取定表》、《作业机械台班单价表》（鲁建标字〔2018〕</w:t>
      </w:r>
      <w:r>
        <w:rPr>
          <w:rFonts w:ascii="宋体" w:hAnsi="宋体" w:eastAsia="宋体" w:cs="宋体"/>
          <w:spacing w:val="14"/>
          <w:sz w:val="20"/>
          <w:szCs w:val="20"/>
        </w:rPr>
        <w:t xml:space="preserve"> </w:t>
      </w:r>
      <w:r>
        <w:rPr>
          <w:rFonts w:ascii="宋体" w:hAnsi="宋体" w:eastAsia="宋体" w:cs="宋体"/>
          <w:spacing w:val="5"/>
          <w:sz w:val="20"/>
          <w:szCs w:val="20"/>
        </w:rPr>
        <w:t>28 号）在山东省住房和城乡建设厅门户网站定额站子目网站发布，</w:t>
      </w:r>
      <w:r>
        <w:rPr>
          <w:rFonts w:ascii="宋体" w:hAnsi="宋体" w:eastAsia="宋体" w:cs="宋体"/>
          <w:spacing w:val="-51"/>
          <w:sz w:val="20"/>
          <w:szCs w:val="20"/>
        </w:rPr>
        <w:t xml:space="preserve"> </w:t>
      </w:r>
      <w:r>
        <w:rPr>
          <w:rFonts w:ascii="宋体" w:hAnsi="宋体" w:eastAsia="宋体" w:cs="宋体"/>
          <w:spacing w:val="5"/>
          <w:sz w:val="20"/>
          <w:szCs w:val="20"/>
        </w:rPr>
        <w:t>自</w:t>
      </w:r>
      <w:r>
        <w:rPr>
          <w:rFonts w:ascii="宋体" w:hAnsi="宋体" w:eastAsia="宋体" w:cs="宋体"/>
          <w:spacing w:val="-41"/>
          <w:sz w:val="20"/>
          <w:szCs w:val="20"/>
        </w:rPr>
        <w:t xml:space="preserve"> </w:t>
      </w:r>
      <w:r>
        <w:rPr>
          <w:rFonts w:ascii="宋体" w:hAnsi="宋体" w:eastAsia="宋体" w:cs="宋体"/>
          <w:spacing w:val="5"/>
          <w:sz w:val="20"/>
          <w:szCs w:val="20"/>
        </w:rPr>
        <w:t>2018</w:t>
      </w:r>
      <w:r>
        <w:rPr>
          <w:rFonts w:ascii="宋体" w:hAnsi="宋体" w:eastAsia="宋体" w:cs="宋体"/>
          <w:spacing w:val="-39"/>
          <w:sz w:val="20"/>
          <w:szCs w:val="20"/>
        </w:rPr>
        <w:t xml:space="preserve"> </w:t>
      </w:r>
      <w:r>
        <w:rPr>
          <w:rFonts w:ascii="宋体" w:hAnsi="宋体" w:eastAsia="宋体" w:cs="宋体"/>
          <w:spacing w:val="5"/>
          <w:sz w:val="20"/>
          <w:szCs w:val="20"/>
        </w:rPr>
        <w:t>年</w:t>
      </w:r>
      <w:r>
        <w:rPr>
          <w:rFonts w:ascii="宋体" w:hAnsi="宋体" w:eastAsia="宋体" w:cs="宋体"/>
          <w:spacing w:val="-42"/>
          <w:sz w:val="20"/>
          <w:szCs w:val="20"/>
        </w:rPr>
        <w:t xml:space="preserve"> </w:t>
      </w:r>
      <w:r>
        <w:rPr>
          <w:rFonts w:ascii="宋体" w:hAnsi="宋体" w:eastAsia="宋体" w:cs="宋体"/>
          <w:spacing w:val="5"/>
          <w:sz w:val="20"/>
          <w:szCs w:val="20"/>
        </w:rPr>
        <w:t>9</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22"/>
          <w:sz w:val="20"/>
          <w:szCs w:val="20"/>
        </w:rPr>
        <w:t xml:space="preserve"> </w:t>
      </w:r>
      <w:r>
        <w:rPr>
          <w:rFonts w:ascii="宋体" w:hAnsi="宋体" w:eastAsia="宋体" w:cs="宋体"/>
          <w:spacing w:val="5"/>
          <w:sz w:val="20"/>
          <w:szCs w:val="20"/>
        </w:rPr>
        <w:t>1 日起实施。</w:t>
      </w:r>
    </w:p>
    <w:p>
      <w:pPr>
        <w:spacing w:before="122" w:line="297" w:lineRule="auto"/>
        <w:ind w:left="2" w:right="126" w:firstLine="460"/>
        <w:rPr>
          <w:rFonts w:ascii="宋体" w:hAnsi="宋体" w:eastAsia="宋体" w:cs="宋体"/>
          <w:sz w:val="20"/>
          <w:szCs w:val="20"/>
        </w:rPr>
      </w:pPr>
      <w:r>
        <w:rPr>
          <w:rFonts w:ascii="宋体" w:hAnsi="宋体" w:eastAsia="宋体" w:cs="宋体"/>
          <w:spacing w:val="7"/>
          <w:sz w:val="20"/>
          <w:szCs w:val="20"/>
        </w:rPr>
        <w:t>2. 本定额适用于山东省行政区域内省辖市、县级市、县城、中心镇等的各种环境卫生作业计</w:t>
      </w:r>
      <w:r>
        <w:rPr>
          <w:rFonts w:ascii="宋体" w:hAnsi="宋体" w:eastAsia="宋体" w:cs="宋体"/>
          <w:spacing w:val="8"/>
          <w:sz w:val="20"/>
          <w:szCs w:val="20"/>
        </w:rPr>
        <w:t>价 活动，其他区域可参照执行。</w:t>
      </w:r>
    </w:p>
    <w:p>
      <w:pPr>
        <w:spacing w:before="158" w:line="321" w:lineRule="auto"/>
        <w:ind w:left="1" w:right="4" w:firstLine="465"/>
        <w:rPr>
          <w:rFonts w:ascii="宋体" w:hAnsi="宋体" w:eastAsia="宋体" w:cs="宋体"/>
          <w:sz w:val="20"/>
          <w:szCs w:val="20"/>
        </w:rPr>
      </w:pPr>
      <w:r>
        <w:rPr>
          <w:rFonts w:ascii="宋体" w:hAnsi="宋体" w:eastAsia="宋体" w:cs="宋体"/>
          <w:spacing w:val="8"/>
          <w:sz w:val="20"/>
          <w:szCs w:val="20"/>
        </w:rPr>
        <w:t>3. 本定额是按《环境卫生设施设置标准》（</w:t>
      </w:r>
      <w:r>
        <w:rPr>
          <w:rFonts w:ascii="宋体" w:hAnsi="宋体" w:eastAsia="宋体" w:cs="宋体"/>
          <w:spacing w:val="-30"/>
          <w:sz w:val="20"/>
          <w:szCs w:val="20"/>
        </w:rPr>
        <w:t xml:space="preserve"> </w:t>
      </w:r>
      <w:r>
        <w:rPr>
          <w:rFonts w:ascii="宋体" w:hAnsi="宋体" w:eastAsia="宋体" w:cs="宋体"/>
          <w:sz w:val="20"/>
          <w:szCs w:val="20"/>
        </w:rPr>
        <w:t>CJJ</w:t>
      </w:r>
      <w:r>
        <w:rPr>
          <w:rFonts w:ascii="宋体" w:hAnsi="宋体" w:eastAsia="宋体" w:cs="宋体"/>
          <w:spacing w:val="8"/>
          <w:sz w:val="20"/>
          <w:szCs w:val="20"/>
        </w:rPr>
        <w:t>27-2012）和《城市环境卫生质量标准》（城建〔1997〕21号）等国家标准编制的，反映了山东省环境卫生行业的综合平均消耗水平。未能符合</w:t>
      </w:r>
      <w:r>
        <w:rPr>
          <w:rFonts w:ascii="宋体" w:hAnsi="宋体" w:eastAsia="宋体" w:cs="宋体"/>
          <w:spacing w:val="9"/>
          <w:sz w:val="20"/>
          <w:szCs w:val="20"/>
        </w:rPr>
        <w:t>上述标准要  求的区域，在执行该定额时，应做相应的调整。</w:t>
      </w:r>
    </w:p>
    <w:p>
      <w:pPr>
        <w:spacing w:before="156" w:line="295" w:lineRule="auto"/>
        <w:ind w:left="1" w:right="122" w:firstLine="459"/>
        <w:rPr>
          <w:rFonts w:ascii="宋体" w:hAnsi="宋体" w:eastAsia="宋体" w:cs="宋体"/>
          <w:sz w:val="20"/>
          <w:szCs w:val="20"/>
        </w:rPr>
      </w:pPr>
      <w:r>
        <w:rPr>
          <w:rFonts w:ascii="宋体" w:hAnsi="宋体" w:eastAsia="宋体" w:cs="宋体"/>
          <w:spacing w:val="7"/>
          <w:sz w:val="20"/>
          <w:szCs w:val="20"/>
        </w:rPr>
        <w:t>4. 本定额作为我省编制环卫作业项目预算、最高投标限价、投标报价、签订合同价以及确定</w:t>
      </w:r>
      <w:r>
        <w:rPr>
          <w:rFonts w:ascii="宋体" w:hAnsi="宋体" w:eastAsia="宋体" w:cs="宋体"/>
          <w:spacing w:val="8"/>
          <w:sz w:val="20"/>
          <w:szCs w:val="20"/>
        </w:rPr>
        <w:t>结 算价的依据和参考。</w:t>
      </w:r>
    </w:p>
    <w:p>
      <w:pPr>
        <w:spacing w:before="159" w:line="277" w:lineRule="exact"/>
        <w:ind w:left="463"/>
        <w:rPr>
          <w:rFonts w:ascii="宋体" w:hAnsi="宋体" w:eastAsia="宋体" w:cs="宋体"/>
          <w:sz w:val="20"/>
          <w:szCs w:val="20"/>
        </w:rPr>
      </w:pPr>
      <w:r>
        <w:rPr>
          <w:rFonts w:ascii="宋体" w:hAnsi="宋体" w:eastAsia="宋体" w:cs="宋体"/>
          <w:spacing w:val="7"/>
          <w:position w:val="1"/>
          <w:sz w:val="20"/>
          <w:szCs w:val="20"/>
        </w:rPr>
        <w:t>5. 本定额未包括各类停车场水、电、修缮、租赁等相关费</w:t>
      </w:r>
      <w:r>
        <w:rPr>
          <w:rFonts w:ascii="宋体" w:hAnsi="宋体" w:eastAsia="宋体" w:cs="宋体"/>
          <w:spacing w:val="6"/>
          <w:position w:val="1"/>
          <w:sz w:val="20"/>
          <w:szCs w:val="20"/>
        </w:rPr>
        <w:t>用。</w:t>
      </w:r>
    </w:p>
    <w:p>
      <w:pPr>
        <w:spacing w:before="124" w:line="276" w:lineRule="exact"/>
        <w:ind w:left="464"/>
        <w:rPr>
          <w:rFonts w:ascii="宋体" w:hAnsi="宋体" w:eastAsia="宋体" w:cs="宋体"/>
          <w:sz w:val="20"/>
          <w:szCs w:val="20"/>
        </w:rPr>
      </w:pPr>
      <w:r>
        <w:rPr>
          <w:rFonts w:ascii="宋体" w:hAnsi="宋体" w:eastAsia="宋体" w:cs="宋体"/>
          <w:spacing w:val="5"/>
          <w:position w:val="1"/>
          <w:sz w:val="20"/>
          <w:szCs w:val="20"/>
        </w:rPr>
        <w:t>6. 本定额的人工不分工种和技术等级，定额人工单价</w:t>
      </w:r>
      <w:r>
        <w:rPr>
          <w:rFonts w:ascii="宋体" w:hAnsi="宋体" w:eastAsia="宋体" w:cs="宋体"/>
          <w:spacing w:val="4"/>
          <w:position w:val="1"/>
          <w:sz w:val="20"/>
          <w:szCs w:val="20"/>
        </w:rPr>
        <w:t>取定为</w:t>
      </w:r>
      <w:r>
        <w:rPr>
          <w:rFonts w:ascii="宋体" w:hAnsi="宋体" w:eastAsia="宋体" w:cs="宋体"/>
          <w:spacing w:val="-22"/>
          <w:position w:val="1"/>
          <w:sz w:val="20"/>
          <w:szCs w:val="20"/>
        </w:rPr>
        <w:t xml:space="preserve"> </w:t>
      </w:r>
      <w:r>
        <w:rPr>
          <w:rFonts w:ascii="宋体" w:hAnsi="宋体" w:eastAsia="宋体" w:cs="宋体"/>
          <w:spacing w:val="4"/>
          <w:position w:val="1"/>
          <w:sz w:val="20"/>
          <w:szCs w:val="20"/>
        </w:rPr>
        <w:t>105</w:t>
      </w:r>
      <w:r>
        <w:rPr>
          <w:rFonts w:ascii="宋体" w:hAnsi="宋体" w:eastAsia="宋体" w:cs="宋体"/>
          <w:spacing w:val="-43"/>
          <w:position w:val="1"/>
          <w:sz w:val="20"/>
          <w:szCs w:val="20"/>
        </w:rPr>
        <w:t xml:space="preserve"> </w:t>
      </w:r>
      <w:r>
        <w:rPr>
          <w:rFonts w:ascii="宋体" w:hAnsi="宋体" w:eastAsia="宋体" w:cs="宋体"/>
          <w:spacing w:val="4"/>
          <w:position w:val="1"/>
          <w:sz w:val="20"/>
          <w:szCs w:val="20"/>
        </w:rPr>
        <w:t>元/工日。</w:t>
      </w:r>
    </w:p>
    <w:p>
      <w:pPr>
        <w:spacing w:before="123" w:line="312" w:lineRule="auto"/>
        <w:ind w:left="1" w:right="124" w:firstLine="460"/>
        <w:rPr>
          <w:rFonts w:ascii="宋体" w:hAnsi="宋体" w:eastAsia="宋体" w:cs="宋体"/>
          <w:sz w:val="20"/>
          <w:szCs w:val="20"/>
        </w:rPr>
      </w:pPr>
      <w:r>
        <w:rPr>
          <w:rFonts w:ascii="宋体" w:hAnsi="宋体" w:eastAsia="宋体" w:cs="宋体"/>
          <w:spacing w:val="7"/>
          <w:sz w:val="20"/>
          <w:szCs w:val="20"/>
        </w:rPr>
        <w:t>7. 本定额中材料单价，是根据编制期市场价格水平综合取定的。若实际材料单价与定额取定不</w:t>
      </w:r>
      <w:r>
        <w:rPr>
          <w:rFonts w:ascii="宋体" w:hAnsi="宋体" w:eastAsia="宋体" w:cs="宋体"/>
          <w:spacing w:val="42"/>
          <w:sz w:val="20"/>
          <w:szCs w:val="20"/>
        </w:rPr>
        <w:t xml:space="preserve"> </w:t>
      </w:r>
      <w:r>
        <w:rPr>
          <w:rFonts w:ascii="宋体" w:hAnsi="宋体" w:eastAsia="宋体" w:cs="宋体"/>
          <w:spacing w:val="7"/>
          <w:sz w:val="20"/>
          <w:szCs w:val="20"/>
        </w:rPr>
        <w:t>同时，定额中材料单价可以按实调整。</w:t>
      </w:r>
    </w:p>
    <w:p>
      <w:pPr>
        <w:spacing w:before="126" w:line="331" w:lineRule="auto"/>
        <w:ind w:right="122" w:firstLine="465"/>
        <w:rPr>
          <w:rFonts w:ascii="宋体" w:hAnsi="宋体" w:eastAsia="宋体" w:cs="宋体"/>
          <w:sz w:val="20"/>
          <w:szCs w:val="20"/>
        </w:rPr>
      </w:pPr>
      <w:r>
        <w:rPr>
          <w:rFonts w:ascii="宋体" w:hAnsi="宋体" w:eastAsia="宋体" w:cs="宋体"/>
          <w:spacing w:val="7"/>
          <w:sz w:val="20"/>
          <w:szCs w:val="20"/>
        </w:rPr>
        <w:t>8. 本定额中机械台班单价，是根据《山东省建设工程施工机械台班费用编制规则》的相关规</w:t>
      </w:r>
      <w:r>
        <w:rPr>
          <w:rFonts w:ascii="宋体" w:hAnsi="宋体" w:eastAsia="宋体" w:cs="宋体"/>
          <w:spacing w:val="9"/>
          <w:sz w:val="20"/>
          <w:szCs w:val="20"/>
        </w:rPr>
        <w:t>定 制定的，包括折旧费、检修费、维护费、安拆费及场外运</w:t>
      </w:r>
      <w:r>
        <w:rPr>
          <w:rFonts w:ascii="宋体" w:hAnsi="宋体" w:eastAsia="宋体" w:cs="宋体"/>
          <w:spacing w:val="8"/>
          <w:sz w:val="20"/>
          <w:szCs w:val="20"/>
        </w:rPr>
        <w:t>费、机上人工费、燃料动力费及按国</w:t>
      </w:r>
      <w:bookmarkStart w:id="142" w:name="bookmark89"/>
      <w:bookmarkEnd w:id="142"/>
      <w:r>
        <w:rPr>
          <w:rFonts w:ascii="宋体" w:hAnsi="宋体" w:eastAsia="宋体" w:cs="宋体"/>
          <w:spacing w:val="8"/>
          <w:sz w:val="20"/>
          <w:szCs w:val="20"/>
        </w:rPr>
        <w:t>家规 定应缴纳的车船税、保险费及检测费。</w:t>
      </w:r>
    </w:p>
    <w:p>
      <w:pPr>
        <w:spacing w:line="331" w:lineRule="auto"/>
        <w:rPr>
          <w:rFonts w:ascii="宋体" w:hAnsi="宋体" w:eastAsia="宋体" w:cs="宋体"/>
          <w:sz w:val="20"/>
          <w:szCs w:val="20"/>
        </w:rPr>
        <w:sectPr>
          <w:footerReference r:id="rId266" w:type="default"/>
          <w:pgSz w:w="11906" w:h="16839"/>
          <w:pgMar w:top="400" w:right="1492" w:bottom="1212" w:left="1418" w:header="0" w:footer="897" w:gutter="0"/>
        </w:sectPr>
      </w:pPr>
    </w:p>
    <w:p>
      <w:pPr>
        <w:spacing w:line="316" w:lineRule="auto"/>
        <w:rPr>
          <w:rFonts w:ascii="Arial"/>
          <w:sz w:val="21"/>
        </w:rPr>
      </w:pPr>
    </w:p>
    <w:p>
      <w:pPr>
        <w:spacing w:line="316" w:lineRule="auto"/>
        <w:rPr>
          <w:rFonts w:ascii="Arial"/>
          <w:sz w:val="21"/>
        </w:rPr>
      </w:pPr>
    </w:p>
    <w:p>
      <w:pPr>
        <w:spacing w:line="317" w:lineRule="auto"/>
        <w:rPr>
          <w:rFonts w:ascii="Arial"/>
          <w:sz w:val="21"/>
        </w:rPr>
      </w:pPr>
    </w:p>
    <w:p>
      <w:pPr>
        <w:spacing w:before="166" w:line="208" w:lineRule="auto"/>
        <w:ind w:left="1898"/>
        <w:outlineLvl w:val="0"/>
        <w:rPr>
          <w:rFonts w:ascii="方正小标宋简体" w:hAnsi="方正小标宋简体" w:eastAsia="方正小标宋简体" w:cs="方正小标宋简体"/>
          <w:sz w:val="43"/>
          <w:szCs w:val="43"/>
        </w:rPr>
      </w:pPr>
      <w:bookmarkStart w:id="143" w:name="bookmark91"/>
      <w:bookmarkEnd w:id="143"/>
      <w:bookmarkStart w:id="144" w:name="bookmark90"/>
      <w:bookmarkEnd w:id="144"/>
      <w:r>
        <w:rPr>
          <w:rFonts w:ascii="方正小标宋简体" w:hAnsi="方正小标宋简体" w:eastAsia="方正小标宋简体" w:cs="方正小标宋简体"/>
          <w:spacing w:val="7"/>
          <w:sz w:val="43"/>
          <w:szCs w:val="43"/>
        </w:rPr>
        <w:t>第四部分    工程总承包计价</w:t>
      </w:r>
    </w:p>
    <w:p>
      <w:pPr>
        <w:spacing w:line="302" w:lineRule="auto"/>
        <w:rPr>
          <w:rFonts w:ascii="Arial"/>
          <w:sz w:val="21"/>
        </w:rPr>
      </w:pPr>
    </w:p>
    <w:p>
      <w:pPr>
        <w:spacing w:line="303" w:lineRule="auto"/>
        <w:rPr>
          <w:rFonts w:ascii="Arial"/>
          <w:sz w:val="21"/>
        </w:rPr>
      </w:pPr>
    </w:p>
    <w:p>
      <w:pPr>
        <w:pStyle w:val="2"/>
        <w:spacing w:before="133" w:line="207" w:lineRule="auto"/>
        <w:ind w:left="3588"/>
        <w:outlineLvl w:val="0"/>
      </w:pPr>
      <w:bookmarkStart w:id="145" w:name="bookmark183"/>
      <w:bookmarkEnd w:id="145"/>
      <w:r>
        <w:rPr>
          <w:spacing w:val="1"/>
        </w:rPr>
        <w:t>第一章</w:t>
      </w:r>
      <w:r>
        <w:rPr>
          <w:spacing w:val="24"/>
        </w:rPr>
        <w:t xml:space="preserve">   </w:t>
      </w:r>
      <w:r>
        <w:rPr>
          <w:spacing w:val="1"/>
        </w:rPr>
        <w:t>总则</w:t>
      </w:r>
    </w:p>
    <w:p>
      <w:pPr>
        <w:spacing w:before="239" w:line="368" w:lineRule="auto"/>
        <w:ind w:left="1" w:right="138" w:firstLine="419"/>
        <w:jc w:val="both"/>
        <w:rPr>
          <w:rFonts w:ascii="宋体" w:hAnsi="宋体" w:eastAsia="宋体" w:cs="宋体"/>
          <w:sz w:val="20"/>
          <w:szCs w:val="20"/>
        </w:rPr>
      </w:pPr>
      <w:r>
        <w:rPr>
          <w:rFonts w:ascii="宋体" w:hAnsi="宋体" w:eastAsia="宋体" w:cs="宋体"/>
          <w:spacing w:val="9"/>
          <w:sz w:val="20"/>
          <w:szCs w:val="20"/>
        </w:rPr>
        <w:t>一、2023年</w:t>
      </w:r>
      <w:r>
        <w:rPr>
          <w:rFonts w:ascii="宋体" w:hAnsi="宋体" w:eastAsia="宋体" w:cs="宋体"/>
          <w:spacing w:val="-34"/>
          <w:sz w:val="20"/>
          <w:szCs w:val="20"/>
        </w:rPr>
        <w:t xml:space="preserve"> </w:t>
      </w:r>
      <w:r>
        <w:rPr>
          <w:rFonts w:ascii="宋体" w:hAnsi="宋体" w:eastAsia="宋体" w:cs="宋体"/>
          <w:spacing w:val="9"/>
          <w:sz w:val="20"/>
          <w:szCs w:val="20"/>
        </w:rPr>
        <w:t>8</w:t>
      </w:r>
      <w:r>
        <w:rPr>
          <w:rFonts w:ascii="宋体" w:hAnsi="宋体" w:eastAsia="宋体" w:cs="宋体"/>
          <w:spacing w:val="-38"/>
          <w:sz w:val="20"/>
          <w:szCs w:val="20"/>
        </w:rPr>
        <w:t xml:space="preserve"> </w:t>
      </w:r>
      <w:r>
        <w:rPr>
          <w:rFonts w:ascii="宋体" w:hAnsi="宋体" w:eastAsia="宋体" w:cs="宋体"/>
          <w:spacing w:val="9"/>
          <w:sz w:val="20"/>
          <w:szCs w:val="20"/>
        </w:rPr>
        <w:t>月24 日</w:t>
      </w:r>
      <w:r>
        <w:rPr>
          <w:rFonts w:ascii="宋体" w:hAnsi="宋体" w:eastAsia="宋体" w:cs="宋体"/>
          <w:spacing w:val="-60"/>
          <w:sz w:val="20"/>
          <w:szCs w:val="20"/>
        </w:rPr>
        <w:t xml:space="preserve"> </w:t>
      </w:r>
      <w:r>
        <w:rPr>
          <w:rFonts w:ascii="宋体" w:hAnsi="宋体" w:eastAsia="宋体" w:cs="宋体"/>
          <w:spacing w:val="9"/>
          <w:sz w:val="20"/>
          <w:szCs w:val="20"/>
        </w:rPr>
        <w:t>，为规范全省工程总承包项目计价活动</w:t>
      </w:r>
      <w:r>
        <w:rPr>
          <w:rFonts w:ascii="宋体" w:hAnsi="宋体" w:eastAsia="宋体" w:cs="宋体"/>
          <w:spacing w:val="-59"/>
          <w:sz w:val="20"/>
          <w:szCs w:val="20"/>
        </w:rPr>
        <w:t xml:space="preserve"> </w:t>
      </w:r>
      <w:r>
        <w:rPr>
          <w:rFonts w:ascii="宋体" w:hAnsi="宋体" w:eastAsia="宋体" w:cs="宋体"/>
          <w:spacing w:val="9"/>
          <w:sz w:val="20"/>
          <w:szCs w:val="20"/>
        </w:rPr>
        <w:t>，维护发承包双方合法权益</w:t>
      </w:r>
      <w:r>
        <w:rPr>
          <w:rFonts w:ascii="宋体" w:hAnsi="宋体" w:eastAsia="宋体" w:cs="宋体"/>
          <w:spacing w:val="-60"/>
          <w:sz w:val="20"/>
          <w:szCs w:val="20"/>
        </w:rPr>
        <w:t xml:space="preserve"> </w:t>
      </w:r>
      <w:r>
        <w:rPr>
          <w:rFonts w:ascii="宋体" w:hAnsi="宋体" w:eastAsia="宋体" w:cs="宋体"/>
          <w:spacing w:val="8"/>
          <w:sz w:val="20"/>
          <w:szCs w:val="20"/>
        </w:rPr>
        <w:t>，山</w:t>
      </w:r>
      <w:r>
        <w:rPr>
          <w:rFonts w:ascii="宋体" w:hAnsi="宋体" w:eastAsia="宋体" w:cs="宋体"/>
          <w:spacing w:val="9"/>
          <w:sz w:val="20"/>
          <w:szCs w:val="20"/>
        </w:rPr>
        <w:t>东省住房和城乡建设厅以鲁建标字〔2023〕14</w:t>
      </w:r>
      <w:r>
        <w:rPr>
          <w:rFonts w:ascii="宋体" w:hAnsi="宋体" w:eastAsia="宋体" w:cs="宋体"/>
          <w:spacing w:val="-42"/>
          <w:sz w:val="20"/>
          <w:szCs w:val="20"/>
        </w:rPr>
        <w:t xml:space="preserve"> </w:t>
      </w:r>
      <w:r>
        <w:rPr>
          <w:rFonts w:ascii="宋体" w:hAnsi="宋体" w:eastAsia="宋体" w:cs="宋体"/>
          <w:spacing w:val="9"/>
          <w:sz w:val="20"/>
          <w:szCs w:val="20"/>
        </w:rPr>
        <w:t>号文发布《山东省房屋建筑和市</w:t>
      </w:r>
      <w:r>
        <w:rPr>
          <w:rFonts w:ascii="宋体" w:hAnsi="宋体" w:eastAsia="宋体" w:cs="宋体"/>
          <w:spacing w:val="8"/>
          <w:sz w:val="20"/>
          <w:szCs w:val="20"/>
        </w:rPr>
        <w:t>政基础设施项目工程</w:t>
      </w:r>
      <w:r>
        <w:rPr>
          <w:rFonts w:ascii="宋体" w:hAnsi="宋体" w:eastAsia="宋体" w:cs="宋体"/>
          <w:spacing w:val="4"/>
          <w:sz w:val="20"/>
          <w:szCs w:val="20"/>
        </w:rPr>
        <w:t>总承包计价规则》（</w:t>
      </w:r>
      <w:r>
        <w:rPr>
          <w:rFonts w:ascii="宋体" w:hAnsi="宋体" w:eastAsia="宋体" w:cs="宋体"/>
          <w:spacing w:val="-36"/>
          <w:sz w:val="20"/>
          <w:szCs w:val="20"/>
        </w:rPr>
        <w:t xml:space="preserve"> </w:t>
      </w:r>
      <w:r>
        <w:rPr>
          <w:rFonts w:ascii="宋体" w:hAnsi="宋体" w:eastAsia="宋体" w:cs="宋体"/>
          <w:spacing w:val="4"/>
          <w:sz w:val="20"/>
          <w:szCs w:val="20"/>
        </w:rPr>
        <w:t>以下简称《计价规则》</w:t>
      </w:r>
      <w:r>
        <w:rPr>
          <w:rFonts w:ascii="宋体" w:hAnsi="宋体" w:eastAsia="宋体" w:cs="宋体"/>
          <w:spacing w:val="-32"/>
          <w:sz w:val="20"/>
          <w:szCs w:val="20"/>
        </w:rPr>
        <w:t xml:space="preserve"> </w:t>
      </w:r>
      <w:r>
        <w:rPr>
          <w:rFonts w:ascii="宋体" w:hAnsi="宋体" w:eastAsia="宋体" w:cs="宋体"/>
          <w:spacing w:val="4"/>
          <w:sz w:val="20"/>
          <w:szCs w:val="20"/>
        </w:rPr>
        <w:t>）。</w:t>
      </w:r>
    </w:p>
    <w:p>
      <w:pPr>
        <w:spacing w:before="8" w:line="221" w:lineRule="auto"/>
        <w:jc w:val="right"/>
        <w:rPr>
          <w:rFonts w:ascii="宋体" w:hAnsi="宋体" w:eastAsia="宋体" w:cs="宋体"/>
          <w:sz w:val="20"/>
          <w:szCs w:val="20"/>
        </w:rPr>
      </w:pPr>
      <w:r>
        <w:rPr>
          <w:rFonts w:ascii="宋体" w:hAnsi="宋体" w:eastAsia="宋体" w:cs="宋体"/>
          <w:spacing w:val="9"/>
          <w:sz w:val="20"/>
          <w:szCs w:val="20"/>
        </w:rPr>
        <w:t>本规则适用于山东省行政区域内房屋建筑和市政基础设施项目采用工程总承包模式的计价活动。</w:t>
      </w:r>
    </w:p>
    <w:p>
      <w:pPr>
        <w:spacing w:before="162" w:line="369" w:lineRule="auto"/>
        <w:ind w:left="4" w:right="139" w:firstLine="414"/>
        <w:rPr>
          <w:rFonts w:ascii="宋体" w:hAnsi="宋体" w:eastAsia="宋体" w:cs="宋体"/>
          <w:sz w:val="20"/>
          <w:szCs w:val="20"/>
        </w:rPr>
      </w:pPr>
      <w:r>
        <w:rPr>
          <w:rFonts w:ascii="宋体" w:hAnsi="宋体" w:eastAsia="宋体" w:cs="宋体"/>
          <w:spacing w:val="11"/>
          <w:sz w:val="20"/>
          <w:szCs w:val="20"/>
        </w:rPr>
        <w:t>本规则附录一、附录二应作为编制工程总承包项目清单的依据。附录一为房屋建</w:t>
      </w:r>
      <w:r>
        <w:rPr>
          <w:rFonts w:ascii="宋体" w:hAnsi="宋体" w:eastAsia="宋体" w:cs="宋体"/>
          <w:spacing w:val="10"/>
          <w:sz w:val="20"/>
          <w:szCs w:val="20"/>
        </w:rPr>
        <w:t>筑项目工程总</w:t>
      </w:r>
      <w:r>
        <w:rPr>
          <w:rFonts w:ascii="宋体" w:hAnsi="宋体" w:eastAsia="宋体" w:cs="宋体"/>
          <w:spacing w:val="11"/>
          <w:sz w:val="20"/>
          <w:szCs w:val="20"/>
        </w:rPr>
        <w:t>承包项目清单及计算规则，适用于工业与民用建筑项目；附录二为</w:t>
      </w:r>
      <w:r>
        <w:rPr>
          <w:rFonts w:ascii="宋体" w:hAnsi="宋体" w:eastAsia="宋体" w:cs="宋体"/>
          <w:spacing w:val="10"/>
          <w:sz w:val="20"/>
          <w:szCs w:val="20"/>
        </w:rPr>
        <w:t>市政基础设施项目工程总承包项</w:t>
      </w:r>
      <w:r>
        <w:rPr>
          <w:rFonts w:ascii="宋体" w:hAnsi="宋体" w:eastAsia="宋体" w:cs="宋体"/>
          <w:spacing w:val="9"/>
          <w:sz w:val="20"/>
          <w:szCs w:val="20"/>
        </w:rPr>
        <w:t>目清单及计算规则，适用于城市市政基础设施建设项目。</w:t>
      </w:r>
    </w:p>
    <w:p>
      <w:pPr>
        <w:spacing w:before="1" w:line="294" w:lineRule="auto"/>
        <w:ind w:right="136" w:firstLine="420"/>
        <w:rPr>
          <w:rFonts w:ascii="宋体" w:hAnsi="宋体" w:eastAsia="宋体" w:cs="宋体"/>
          <w:sz w:val="20"/>
          <w:szCs w:val="20"/>
        </w:rPr>
      </w:pPr>
      <w:r>
        <w:rPr>
          <w:rFonts w:ascii="宋体" w:hAnsi="宋体" w:eastAsia="宋体" w:cs="宋体"/>
          <w:spacing w:val="11"/>
          <w:sz w:val="20"/>
          <w:szCs w:val="20"/>
        </w:rPr>
        <w:t>二、工程总承包是指承包人按照与发包人签订的合同，对工程设计、采购、施工</w:t>
      </w:r>
      <w:r>
        <w:rPr>
          <w:rFonts w:ascii="宋体" w:hAnsi="宋体" w:eastAsia="宋体" w:cs="宋体"/>
          <w:spacing w:val="10"/>
          <w:sz w:val="20"/>
          <w:szCs w:val="20"/>
        </w:rPr>
        <w:t>或者设计、施工等阶段实行总承包，并对工程的质量、安全、工期和</w:t>
      </w:r>
      <w:r>
        <w:rPr>
          <w:rFonts w:ascii="宋体" w:hAnsi="宋体" w:eastAsia="宋体" w:cs="宋体"/>
          <w:spacing w:val="9"/>
          <w:sz w:val="20"/>
          <w:szCs w:val="20"/>
        </w:rPr>
        <w:t>造价等全面负责的工程建设组织实施方式。</w:t>
      </w:r>
    </w:p>
    <w:p>
      <w:pPr>
        <w:spacing w:before="162" w:line="295" w:lineRule="auto"/>
        <w:ind w:right="136" w:firstLine="423"/>
        <w:rPr>
          <w:rFonts w:ascii="宋体" w:hAnsi="宋体" w:eastAsia="宋体" w:cs="宋体"/>
          <w:sz w:val="20"/>
          <w:szCs w:val="20"/>
        </w:rPr>
      </w:pPr>
      <w:r>
        <w:rPr>
          <w:rFonts w:ascii="宋体" w:hAnsi="宋体" w:eastAsia="宋体" w:cs="宋体"/>
          <w:spacing w:val="8"/>
          <w:sz w:val="20"/>
          <w:szCs w:val="20"/>
        </w:rPr>
        <w:t>三、房屋建筑和市政基础设施项目工程总承包的计价活动应遵循平等、自愿、 公平、诚信、守法、绿色的原则。</w:t>
      </w:r>
    </w:p>
    <w:p>
      <w:pPr>
        <w:spacing w:line="253" w:lineRule="auto"/>
        <w:rPr>
          <w:rFonts w:ascii="Arial"/>
          <w:sz w:val="21"/>
        </w:rPr>
      </w:pPr>
    </w:p>
    <w:p>
      <w:pPr>
        <w:spacing w:line="253" w:lineRule="auto"/>
        <w:rPr>
          <w:rFonts w:ascii="Arial"/>
          <w:sz w:val="21"/>
        </w:rPr>
      </w:pPr>
    </w:p>
    <w:p>
      <w:pPr>
        <w:pStyle w:val="2"/>
        <w:spacing w:before="133" w:line="207" w:lineRule="auto"/>
        <w:ind w:left="3268"/>
        <w:outlineLvl w:val="0"/>
      </w:pPr>
      <w:bookmarkStart w:id="146" w:name="bookmark92"/>
      <w:bookmarkEnd w:id="146"/>
      <w:bookmarkStart w:id="147" w:name="bookmark93"/>
      <w:bookmarkEnd w:id="147"/>
      <w:r>
        <w:rPr>
          <w:spacing w:val="6"/>
        </w:rPr>
        <w:t>第二章</w:t>
      </w:r>
      <w:r>
        <w:rPr>
          <w:spacing w:val="18"/>
        </w:rPr>
        <w:t xml:space="preserve">   </w:t>
      </w:r>
      <w:r>
        <w:rPr>
          <w:spacing w:val="6"/>
        </w:rPr>
        <w:t>基本规定</w:t>
      </w:r>
    </w:p>
    <w:p>
      <w:pPr>
        <w:pStyle w:val="2"/>
        <w:spacing w:before="206" w:line="202" w:lineRule="auto"/>
        <w:ind w:left="490"/>
        <w:rPr>
          <w:sz w:val="24"/>
          <w:szCs w:val="24"/>
        </w:rPr>
      </w:pPr>
      <w:r>
        <w:rPr>
          <w:spacing w:val="-3"/>
          <w:sz w:val="24"/>
          <w:szCs w:val="24"/>
        </w:rPr>
        <w:t>一、计价办法</w:t>
      </w:r>
    </w:p>
    <w:p>
      <w:pPr>
        <w:spacing w:before="87" w:line="368" w:lineRule="auto"/>
        <w:ind w:right="138" w:firstLine="438"/>
        <w:jc w:val="both"/>
        <w:rPr>
          <w:rFonts w:ascii="宋体" w:hAnsi="宋体" w:eastAsia="宋体" w:cs="宋体"/>
          <w:sz w:val="20"/>
          <w:szCs w:val="20"/>
        </w:rPr>
      </w:pPr>
      <w:r>
        <w:rPr>
          <w:rFonts w:ascii="宋体" w:hAnsi="宋体" w:eastAsia="宋体" w:cs="宋体"/>
          <w:spacing w:val="8"/>
          <w:sz w:val="20"/>
          <w:szCs w:val="20"/>
        </w:rPr>
        <w:t>1. 采用工程总承包方式的政府投资或国有资金投资</w:t>
      </w:r>
      <w:r>
        <w:rPr>
          <w:rFonts w:ascii="宋体" w:hAnsi="宋体" w:eastAsia="宋体" w:cs="宋体"/>
          <w:spacing w:val="7"/>
          <w:sz w:val="20"/>
          <w:szCs w:val="20"/>
        </w:rPr>
        <w:t>的大中型建设项目，原则上应当在初步设计</w:t>
      </w:r>
      <w:r>
        <w:rPr>
          <w:rFonts w:ascii="宋体" w:hAnsi="宋体" w:eastAsia="宋体" w:cs="宋体"/>
          <w:spacing w:val="11"/>
          <w:sz w:val="20"/>
          <w:szCs w:val="20"/>
        </w:rPr>
        <w:t>审批及概算核定完成后进行工程总承包项目发包；其中，按照国家有关规定简</w:t>
      </w:r>
      <w:r>
        <w:rPr>
          <w:rFonts w:ascii="宋体" w:hAnsi="宋体" w:eastAsia="宋体" w:cs="宋体"/>
          <w:spacing w:val="10"/>
          <w:sz w:val="20"/>
          <w:szCs w:val="20"/>
        </w:rPr>
        <w:t>化报批文件和审批程</w:t>
      </w:r>
      <w:r>
        <w:rPr>
          <w:rFonts w:ascii="宋体" w:hAnsi="宋体" w:eastAsia="宋体" w:cs="宋体"/>
          <w:spacing w:val="11"/>
          <w:sz w:val="20"/>
          <w:szCs w:val="20"/>
        </w:rPr>
        <w:t>序的政府投资项目，应当在完成相应的投资决策审批后进行工程总承包项目发</w:t>
      </w:r>
      <w:r>
        <w:rPr>
          <w:rFonts w:ascii="宋体" w:hAnsi="宋体" w:eastAsia="宋体" w:cs="宋体"/>
          <w:spacing w:val="10"/>
          <w:sz w:val="20"/>
          <w:szCs w:val="20"/>
        </w:rPr>
        <w:t>包。采用工程总承包</w:t>
      </w:r>
      <w:r>
        <w:rPr>
          <w:rFonts w:ascii="宋体" w:hAnsi="宋体" w:eastAsia="宋体" w:cs="宋体"/>
          <w:spacing w:val="9"/>
          <w:sz w:val="20"/>
          <w:szCs w:val="20"/>
        </w:rPr>
        <w:t>方式的企业投资项目，应当在核准或者备案后进行工程总承包项目发包。</w:t>
      </w:r>
    </w:p>
    <w:p>
      <w:pPr>
        <w:spacing w:before="9" w:line="220" w:lineRule="auto"/>
        <w:ind w:left="422"/>
        <w:rPr>
          <w:rFonts w:ascii="宋体" w:hAnsi="宋体" w:eastAsia="宋体" w:cs="宋体"/>
          <w:sz w:val="20"/>
          <w:szCs w:val="20"/>
        </w:rPr>
      </w:pPr>
      <w:r>
        <w:rPr>
          <w:rFonts w:ascii="宋体" w:hAnsi="宋体" w:eastAsia="宋体" w:cs="宋体"/>
          <w:spacing w:val="9"/>
          <w:sz w:val="20"/>
          <w:szCs w:val="20"/>
        </w:rPr>
        <w:t>经批准的投资估算或设计概算应作为确定工程总承包项目工程造价控制目标的依据。</w:t>
      </w:r>
    </w:p>
    <w:p>
      <w:pPr>
        <w:spacing w:before="160" w:line="349" w:lineRule="auto"/>
        <w:ind w:left="17" w:right="136" w:firstLine="404"/>
        <w:rPr>
          <w:rFonts w:ascii="宋体" w:hAnsi="宋体" w:eastAsia="宋体" w:cs="宋体"/>
          <w:sz w:val="20"/>
          <w:szCs w:val="20"/>
        </w:rPr>
      </w:pPr>
      <w:r>
        <w:rPr>
          <w:rFonts w:ascii="宋体" w:hAnsi="宋体" w:eastAsia="宋体" w:cs="宋体"/>
          <w:spacing w:val="8"/>
          <w:sz w:val="20"/>
          <w:szCs w:val="20"/>
        </w:rPr>
        <w:t>2. 房屋建筑和市政基础设施项目工程总承包一般应采用总</w:t>
      </w:r>
      <w:r>
        <w:rPr>
          <w:rFonts w:ascii="宋体" w:hAnsi="宋体" w:eastAsia="宋体" w:cs="宋体"/>
          <w:spacing w:val="7"/>
          <w:sz w:val="20"/>
          <w:szCs w:val="20"/>
        </w:rPr>
        <w:t>价合同，除根据《计价规则》第</w:t>
      </w:r>
      <w:r>
        <w:rPr>
          <w:rFonts w:ascii="宋体" w:hAnsi="宋体" w:eastAsia="宋体" w:cs="宋体"/>
          <w:spacing w:val="-43"/>
          <w:sz w:val="20"/>
          <w:szCs w:val="20"/>
        </w:rPr>
        <w:t xml:space="preserve"> </w:t>
      </w:r>
      <w:r>
        <w:rPr>
          <w:rFonts w:ascii="宋体" w:hAnsi="宋体" w:eastAsia="宋体" w:cs="宋体"/>
          <w:spacing w:val="7"/>
          <w:sz w:val="20"/>
          <w:szCs w:val="20"/>
        </w:rPr>
        <w:t>7</w:t>
      </w:r>
      <w:r>
        <w:rPr>
          <w:rFonts w:ascii="宋体" w:hAnsi="宋体" w:eastAsia="宋体" w:cs="宋体"/>
          <w:spacing w:val="-40"/>
          <w:sz w:val="20"/>
          <w:szCs w:val="20"/>
        </w:rPr>
        <w:t xml:space="preserve"> </w:t>
      </w:r>
      <w:r>
        <w:rPr>
          <w:rFonts w:ascii="宋体" w:hAnsi="宋体" w:eastAsia="宋体" w:cs="宋体"/>
          <w:spacing w:val="7"/>
          <w:sz w:val="20"/>
          <w:szCs w:val="20"/>
        </w:rPr>
        <w:t>章</w:t>
      </w:r>
      <w:r>
        <w:rPr>
          <w:rFonts w:ascii="宋体" w:hAnsi="宋体" w:eastAsia="宋体" w:cs="宋体"/>
          <w:spacing w:val="8"/>
          <w:sz w:val="20"/>
          <w:szCs w:val="20"/>
        </w:rPr>
        <w:t>以及合同相关约定进行调整外，合同价款不予调整。</w:t>
      </w:r>
    </w:p>
    <w:p>
      <w:pPr>
        <w:spacing w:before="44" w:line="368" w:lineRule="auto"/>
        <w:ind w:left="3" w:right="139" w:firstLine="416"/>
        <w:rPr>
          <w:rFonts w:ascii="宋体" w:hAnsi="宋体" w:eastAsia="宋体" w:cs="宋体"/>
          <w:sz w:val="20"/>
          <w:szCs w:val="20"/>
        </w:rPr>
      </w:pPr>
      <w:r>
        <w:rPr>
          <w:rFonts w:ascii="宋体" w:hAnsi="宋体" w:eastAsia="宋体" w:cs="宋体"/>
          <w:spacing w:val="11"/>
          <w:sz w:val="20"/>
          <w:szCs w:val="20"/>
        </w:rPr>
        <w:t>采用总价合同的，也可将项目发包时无法预测施工条件变化的项目单独列项，</w:t>
      </w:r>
      <w:r>
        <w:rPr>
          <w:rFonts w:ascii="宋体" w:hAnsi="宋体" w:eastAsia="宋体" w:cs="宋体"/>
          <w:spacing w:val="10"/>
          <w:sz w:val="20"/>
          <w:szCs w:val="20"/>
        </w:rPr>
        <w:t>按照应予计量的</w:t>
      </w:r>
      <w:r>
        <w:rPr>
          <w:rFonts w:ascii="宋体" w:hAnsi="宋体" w:eastAsia="宋体" w:cs="宋体"/>
          <w:spacing w:val="8"/>
          <w:sz w:val="20"/>
          <w:szCs w:val="20"/>
        </w:rPr>
        <w:t>实际工程量和价格进行结算支付。</w:t>
      </w:r>
    </w:p>
    <w:p>
      <w:pPr>
        <w:spacing w:line="276" w:lineRule="exact"/>
        <w:ind w:left="530"/>
        <w:rPr>
          <w:rFonts w:ascii="宋体" w:hAnsi="宋体" w:eastAsia="宋体" w:cs="宋体"/>
          <w:sz w:val="20"/>
          <w:szCs w:val="20"/>
        </w:rPr>
      </w:pPr>
      <w:r>
        <w:rPr>
          <w:rFonts w:ascii="宋体" w:hAnsi="宋体" w:eastAsia="宋体" w:cs="宋体"/>
          <w:spacing w:val="8"/>
          <w:position w:val="1"/>
          <w:sz w:val="20"/>
          <w:szCs w:val="20"/>
        </w:rPr>
        <w:t>3. 依据《计价规则》编制的工程总承包项目清单及其价</w:t>
      </w:r>
      <w:r>
        <w:rPr>
          <w:rFonts w:ascii="宋体" w:hAnsi="宋体" w:eastAsia="宋体" w:cs="宋体"/>
          <w:spacing w:val="7"/>
          <w:position w:val="1"/>
          <w:sz w:val="20"/>
          <w:szCs w:val="20"/>
        </w:rPr>
        <w:t>格应作为总价合同的组成部分。</w:t>
      </w:r>
    </w:p>
    <w:p>
      <w:pPr>
        <w:spacing w:before="128" w:line="369" w:lineRule="auto"/>
        <w:ind w:right="139" w:firstLine="420"/>
        <w:rPr>
          <w:rFonts w:ascii="宋体" w:hAnsi="宋体" w:eastAsia="宋体" w:cs="宋体"/>
          <w:sz w:val="20"/>
          <w:szCs w:val="20"/>
        </w:rPr>
      </w:pPr>
      <w:r>
        <w:rPr>
          <w:rFonts w:ascii="宋体" w:hAnsi="宋体" w:eastAsia="宋体" w:cs="宋体"/>
          <w:spacing w:val="11"/>
          <w:sz w:val="20"/>
          <w:szCs w:val="20"/>
        </w:rPr>
        <w:t>项目清单是指发包人提供的载明工程总承包项目工程费用、工程总承包其他费</w:t>
      </w:r>
      <w:r>
        <w:rPr>
          <w:rFonts w:ascii="宋体" w:hAnsi="宋体" w:eastAsia="宋体" w:cs="宋体"/>
          <w:spacing w:val="10"/>
          <w:sz w:val="20"/>
          <w:szCs w:val="20"/>
        </w:rPr>
        <w:t>和暂列金额的名</w:t>
      </w:r>
      <w:r>
        <w:rPr>
          <w:rFonts w:ascii="宋体" w:hAnsi="宋体" w:eastAsia="宋体" w:cs="宋体"/>
          <w:spacing w:val="9"/>
          <w:sz w:val="20"/>
          <w:szCs w:val="20"/>
        </w:rPr>
        <w:t>称及发包人要求等内容的项目明细清单。</w:t>
      </w:r>
    </w:p>
    <w:p>
      <w:pPr>
        <w:spacing w:before="1" w:line="368" w:lineRule="auto"/>
        <w:ind w:right="168" w:firstLine="420"/>
        <w:rPr>
          <w:rFonts w:ascii="宋体" w:hAnsi="宋体" w:eastAsia="宋体" w:cs="宋体"/>
          <w:sz w:val="20"/>
          <w:szCs w:val="20"/>
        </w:rPr>
      </w:pPr>
      <w:r>
        <w:rPr>
          <w:rFonts w:ascii="宋体" w:hAnsi="宋体" w:eastAsia="宋体" w:cs="宋体"/>
          <w:spacing w:val="10"/>
          <w:sz w:val="20"/>
          <w:szCs w:val="20"/>
        </w:rPr>
        <w:t>项目清单价格是指承包人按发包人提供的工程总承包项目清单格式和要求填写并标明的价格。</w:t>
      </w:r>
      <w:r>
        <w:rPr>
          <w:rFonts w:ascii="宋体" w:hAnsi="宋体" w:eastAsia="宋体" w:cs="宋体"/>
          <w:spacing w:val="9"/>
          <w:sz w:val="20"/>
          <w:szCs w:val="20"/>
        </w:rPr>
        <w:t>项目清单价格应包括成本、利润和税金以及一定范围内的风险费用。</w:t>
      </w:r>
    </w:p>
    <w:p>
      <w:pPr>
        <w:spacing w:line="277" w:lineRule="exact"/>
        <w:ind w:left="418"/>
        <w:rPr>
          <w:rFonts w:ascii="宋体" w:hAnsi="宋体" w:eastAsia="宋体" w:cs="宋体"/>
          <w:sz w:val="20"/>
          <w:szCs w:val="20"/>
        </w:rPr>
      </w:pPr>
      <w:r>
        <w:rPr>
          <w:rFonts w:ascii="宋体" w:hAnsi="宋体" w:eastAsia="宋体" w:cs="宋体"/>
          <w:spacing w:val="8"/>
          <w:position w:val="1"/>
          <w:sz w:val="20"/>
          <w:szCs w:val="20"/>
        </w:rPr>
        <w:t>4. 采用工程总承包方式发包，发包人应给予投标人合理的时间和充分的信息审核发包人要求，</w:t>
      </w:r>
    </w:p>
    <w:p>
      <w:pPr>
        <w:spacing w:line="277" w:lineRule="exact"/>
        <w:rPr>
          <w:rFonts w:ascii="宋体" w:hAnsi="宋体" w:eastAsia="宋体" w:cs="宋体"/>
          <w:sz w:val="20"/>
          <w:szCs w:val="20"/>
        </w:rPr>
        <w:sectPr>
          <w:footerReference r:id="rId267" w:type="default"/>
          <w:pgSz w:w="11906" w:h="16839"/>
          <w:pgMar w:top="400" w:right="1281" w:bottom="1212" w:left="1420"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6" w:lineRule="exact"/>
        <w:ind w:left="3"/>
        <w:rPr>
          <w:rFonts w:ascii="宋体" w:hAnsi="宋体" w:eastAsia="宋体" w:cs="宋体"/>
          <w:sz w:val="20"/>
          <w:szCs w:val="20"/>
        </w:rPr>
      </w:pPr>
      <w:bookmarkStart w:id="148" w:name="bookmark184"/>
      <w:bookmarkEnd w:id="148"/>
      <w:r>
        <w:rPr>
          <w:rFonts w:ascii="宋体" w:hAnsi="宋体" w:eastAsia="宋体" w:cs="宋体"/>
          <w:spacing w:val="10"/>
          <w:position w:val="1"/>
          <w:sz w:val="20"/>
          <w:szCs w:val="20"/>
        </w:rPr>
        <w:t>进行设计、风险评估和估价。如发包人要以施工图进行工</w:t>
      </w:r>
      <w:r>
        <w:rPr>
          <w:rFonts w:ascii="宋体" w:hAnsi="宋体" w:eastAsia="宋体" w:cs="宋体"/>
          <w:spacing w:val="9"/>
          <w:position w:val="1"/>
          <w:sz w:val="20"/>
          <w:szCs w:val="20"/>
        </w:rPr>
        <w:t>程计量计价的，应当采用施工总承包。</w:t>
      </w:r>
    </w:p>
    <w:p>
      <w:pPr>
        <w:pStyle w:val="2"/>
        <w:spacing w:before="90" w:line="202" w:lineRule="auto"/>
        <w:ind w:left="493"/>
        <w:rPr>
          <w:sz w:val="24"/>
          <w:szCs w:val="24"/>
        </w:rPr>
      </w:pPr>
      <w:r>
        <w:rPr>
          <w:spacing w:val="-2"/>
          <w:sz w:val="24"/>
          <w:szCs w:val="24"/>
        </w:rPr>
        <w:t>二、材料和设备供应方式</w:t>
      </w:r>
    </w:p>
    <w:p>
      <w:pPr>
        <w:spacing w:before="88" w:line="277" w:lineRule="exact"/>
        <w:ind w:left="441"/>
        <w:rPr>
          <w:rFonts w:ascii="宋体" w:hAnsi="宋体" w:eastAsia="宋体" w:cs="宋体"/>
          <w:sz w:val="20"/>
          <w:szCs w:val="20"/>
        </w:rPr>
      </w:pPr>
      <w:r>
        <w:rPr>
          <w:rFonts w:ascii="宋体" w:hAnsi="宋体" w:eastAsia="宋体" w:cs="宋体"/>
          <w:spacing w:val="7"/>
          <w:position w:val="1"/>
          <w:sz w:val="20"/>
          <w:szCs w:val="20"/>
        </w:rPr>
        <w:t>1. 采用工程总承包方式发包， 一般由承包人负责材料和设备的采购、运输和保管。</w:t>
      </w:r>
    </w:p>
    <w:p>
      <w:pPr>
        <w:spacing w:before="121" w:line="322" w:lineRule="auto"/>
        <w:ind w:left="2" w:right="64" w:firstLine="422"/>
        <w:rPr>
          <w:rFonts w:ascii="宋体" w:hAnsi="宋体" w:eastAsia="宋体" w:cs="宋体"/>
          <w:sz w:val="20"/>
          <w:szCs w:val="20"/>
        </w:rPr>
      </w:pPr>
      <w:r>
        <w:rPr>
          <w:rFonts w:ascii="宋体" w:hAnsi="宋体" w:eastAsia="宋体" w:cs="宋体"/>
          <w:spacing w:val="8"/>
          <w:sz w:val="20"/>
          <w:szCs w:val="20"/>
        </w:rPr>
        <w:t>2. 承包人应按照合同约定的品牌、规格提供材料和设备，并满足合同约定的质量标准。若需更</w:t>
      </w:r>
      <w:r>
        <w:rPr>
          <w:rFonts w:ascii="宋体" w:hAnsi="宋体" w:eastAsia="宋体" w:cs="宋体"/>
          <w:spacing w:val="11"/>
          <w:sz w:val="20"/>
          <w:szCs w:val="20"/>
        </w:rPr>
        <w:t>换，应报发包人核准，对更换部分的价格变化按合同约定的有关规定执行；如果承包</w:t>
      </w:r>
      <w:r>
        <w:rPr>
          <w:rFonts w:ascii="宋体" w:hAnsi="宋体" w:eastAsia="宋体" w:cs="宋体"/>
          <w:spacing w:val="10"/>
          <w:sz w:val="20"/>
          <w:szCs w:val="20"/>
        </w:rPr>
        <w:t>人擅自更换，</w:t>
      </w:r>
      <w:r>
        <w:rPr>
          <w:rFonts w:ascii="宋体" w:hAnsi="宋体" w:eastAsia="宋体" w:cs="宋体"/>
          <w:spacing w:val="9"/>
          <w:sz w:val="20"/>
          <w:szCs w:val="20"/>
        </w:rPr>
        <w:t>承包人应当进行改正，并承担由此造成的返工损失，延误的工期不予顺延。</w:t>
      </w:r>
    </w:p>
    <w:p>
      <w:pPr>
        <w:spacing w:before="154" w:line="321" w:lineRule="auto"/>
        <w:ind w:left="2" w:firstLine="425"/>
        <w:rPr>
          <w:rFonts w:ascii="宋体" w:hAnsi="宋体" w:eastAsia="宋体" w:cs="宋体"/>
          <w:sz w:val="20"/>
          <w:szCs w:val="20"/>
        </w:rPr>
      </w:pPr>
      <w:r>
        <w:rPr>
          <w:rFonts w:ascii="宋体" w:hAnsi="宋体" w:eastAsia="宋体" w:cs="宋体"/>
          <w:spacing w:val="8"/>
          <w:sz w:val="20"/>
          <w:szCs w:val="20"/>
        </w:rPr>
        <w:t>3. 发包人视工程具体情况，可以要求承包人在施工过程中更换相关材料或设备，对</w:t>
      </w:r>
      <w:r>
        <w:rPr>
          <w:rFonts w:ascii="宋体" w:hAnsi="宋体" w:eastAsia="宋体" w:cs="宋体"/>
          <w:spacing w:val="7"/>
          <w:sz w:val="20"/>
          <w:szCs w:val="20"/>
        </w:rPr>
        <w:t>更换部分的</w:t>
      </w:r>
      <w:r>
        <w:rPr>
          <w:rFonts w:ascii="宋体" w:hAnsi="宋体" w:eastAsia="宋体" w:cs="宋体"/>
          <w:spacing w:val="8"/>
          <w:sz w:val="20"/>
          <w:szCs w:val="20"/>
        </w:rPr>
        <w:t>价格变化按合同约定的有关规定执行。如果对承包人造</w:t>
      </w:r>
      <w:r>
        <w:rPr>
          <w:rFonts w:ascii="宋体" w:hAnsi="宋体" w:eastAsia="宋体" w:cs="宋体"/>
          <w:spacing w:val="7"/>
          <w:sz w:val="20"/>
          <w:szCs w:val="20"/>
        </w:rPr>
        <w:t>成影响，由此导致的费用增加由发包人承担，</w:t>
      </w:r>
      <w:r>
        <w:rPr>
          <w:rFonts w:ascii="宋体" w:hAnsi="宋体" w:eastAsia="宋体" w:cs="宋体"/>
          <w:spacing w:val="8"/>
          <w:sz w:val="20"/>
          <w:szCs w:val="20"/>
        </w:rPr>
        <w:t>延误的工期应予顺延。</w:t>
      </w:r>
    </w:p>
    <w:p>
      <w:pPr>
        <w:pStyle w:val="2"/>
        <w:spacing w:before="123" w:line="202" w:lineRule="auto"/>
        <w:ind w:left="496"/>
        <w:rPr>
          <w:sz w:val="24"/>
          <w:szCs w:val="24"/>
        </w:rPr>
      </w:pPr>
      <w:r>
        <w:rPr>
          <w:spacing w:val="-3"/>
          <w:sz w:val="24"/>
          <w:szCs w:val="24"/>
        </w:rPr>
        <w:t>三、计价风险</w:t>
      </w:r>
    </w:p>
    <w:p>
      <w:pPr>
        <w:spacing w:before="87" w:line="321" w:lineRule="auto"/>
        <w:ind w:left="2" w:right="64" w:firstLine="439"/>
        <w:rPr>
          <w:rFonts w:ascii="宋体" w:hAnsi="宋体" w:eastAsia="宋体" w:cs="宋体"/>
          <w:sz w:val="20"/>
          <w:szCs w:val="20"/>
        </w:rPr>
      </w:pPr>
      <w:r>
        <w:rPr>
          <w:rFonts w:ascii="宋体" w:hAnsi="宋体" w:eastAsia="宋体" w:cs="宋体"/>
          <w:spacing w:val="8"/>
          <w:sz w:val="20"/>
          <w:szCs w:val="20"/>
        </w:rPr>
        <w:t>1. 采用工程总承包方式发包，应当根据工程总承包发包依</w:t>
      </w:r>
      <w:r>
        <w:rPr>
          <w:rFonts w:ascii="宋体" w:hAnsi="宋体" w:eastAsia="宋体" w:cs="宋体"/>
          <w:spacing w:val="7"/>
          <w:sz w:val="20"/>
          <w:szCs w:val="20"/>
        </w:rPr>
        <w:t>据的基础条件，在招标文件、合同中</w:t>
      </w:r>
      <w:r>
        <w:rPr>
          <w:rFonts w:ascii="宋体" w:hAnsi="宋体" w:eastAsia="宋体" w:cs="宋体"/>
          <w:spacing w:val="11"/>
          <w:sz w:val="20"/>
          <w:szCs w:val="20"/>
        </w:rPr>
        <w:t>明确计价的风险内容及其范围，不得采用无限风险、所有风险或类似语句约定</w:t>
      </w:r>
      <w:r>
        <w:rPr>
          <w:rFonts w:ascii="宋体" w:hAnsi="宋体" w:eastAsia="宋体" w:cs="宋体"/>
          <w:spacing w:val="10"/>
          <w:sz w:val="20"/>
          <w:szCs w:val="20"/>
        </w:rPr>
        <w:t>计价中的风险内容及</w:t>
      </w:r>
      <w:r>
        <w:rPr>
          <w:rFonts w:ascii="宋体" w:hAnsi="宋体" w:eastAsia="宋体" w:cs="宋体"/>
          <w:spacing w:val="6"/>
          <w:sz w:val="20"/>
          <w:szCs w:val="20"/>
        </w:rPr>
        <w:t>其范围。</w:t>
      </w:r>
    </w:p>
    <w:p>
      <w:pPr>
        <w:spacing w:before="156" w:line="276" w:lineRule="exact"/>
        <w:ind w:left="424"/>
        <w:rPr>
          <w:rFonts w:ascii="宋体" w:hAnsi="宋体" w:eastAsia="宋体" w:cs="宋体"/>
          <w:sz w:val="20"/>
          <w:szCs w:val="20"/>
        </w:rPr>
      </w:pPr>
      <w:r>
        <w:rPr>
          <w:rFonts w:ascii="宋体" w:hAnsi="宋体" w:eastAsia="宋体" w:cs="宋体"/>
          <w:spacing w:val="8"/>
          <w:position w:val="1"/>
          <w:sz w:val="20"/>
          <w:szCs w:val="20"/>
        </w:rPr>
        <w:t>2. 以下事项引起的计价风险由发包人承担，发包人应及时调整相应的</w:t>
      </w:r>
      <w:r>
        <w:rPr>
          <w:rFonts w:ascii="宋体" w:hAnsi="宋体" w:eastAsia="宋体" w:cs="宋体"/>
          <w:spacing w:val="7"/>
          <w:position w:val="1"/>
          <w:sz w:val="20"/>
          <w:szCs w:val="20"/>
        </w:rPr>
        <w:t>合同价格和工期：</w:t>
      </w:r>
    </w:p>
    <w:p>
      <w:pPr>
        <w:spacing w:before="125" w:line="278" w:lineRule="exact"/>
        <w:ind w:left="414"/>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1）法律法规、政策以及工程建设强制性标准发生变化；</w:t>
      </w:r>
    </w:p>
    <w:p>
      <w:pPr>
        <w:spacing w:before="120" w:line="277" w:lineRule="exact"/>
        <w:ind w:left="414"/>
        <w:rPr>
          <w:rFonts w:ascii="宋体" w:hAnsi="宋体" w:eastAsia="宋体" w:cs="宋体"/>
          <w:sz w:val="20"/>
          <w:szCs w:val="20"/>
        </w:rPr>
      </w:pPr>
      <w:r>
        <w:rPr>
          <w:rFonts w:ascii="宋体" w:hAnsi="宋体" w:eastAsia="宋体" w:cs="宋体"/>
          <w:spacing w:val="9"/>
          <w:position w:val="1"/>
          <w:sz w:val="20"/>
          <w:szCs w:val="20"/>
        </w:rPr>
        <w:t>（2）发包人提供的工程项目原始数据和基准资料错误；</w:t>
      </w:r>
    </w:p>
    <w:p>
      <w:pPr>
        <w:spacing w:before="124" w:line="276" w:lineRule="exact"/>
        <w:ind w:left="414"/>
        <w:rPr>
          <w:rFonts w:ascii="宋体" w:hAnsi="宋体" w:eastAsia="宋体" w:cs="宋体"/>
          <w:sz w:val="20"/>
          <w:szCs w:val="20"/>
        </w:rPr>
      </w:pPr>
      <w:r>
        <w:rPr>
          <w:rFonts w:ascii="宋体" w:hAnsi="宋体" w:eastAsia="宋体" w:cs="宋体"/>
          <w:spacing w:val="7"/>
          <w:position w:val="1"/>
          <w:sz w:val="20"/>
          <w:szCs w:val="20"/>
        </w:rPr>
        <w:t>（3）专用合同条件中约定的人工、主要材料(设备)等市场价格波动超过约定幅度的部分；</w:t>
      </w:r>
    </w:p>
    <w:p>
      <w:pPr>
        <w:spacing w:before="125" w:line="312" w:lineRule="auto"/>
        <w:ind w:left="1" w:right="64" w:firstLine="413"/>
        <w:rPr>
          <w:rFonts w:ascii="宋体" w:hAnsi="宋体" w:eastAsia="宋体" w:cs="宋体"/>
          <w:sz w:val="20"/>
          <w:szCs w:val="20"/>
        </w:rPr>
      </w:pPr>
      <w:r>
        <w:rPr>
          <w:rFonts w:ascii="宋体" w:hAnsi="宋体" w:eastAsia="宋体" w:cs="宋体"/>
          <w:spacing w:val="8"/>
          <w:sz w:val="20"/>
          <w:szCs w:val="20"/>
        </w:rPr>
        <w:t>（4）可行性研究报告批准或方案设计后发包的，发包人要求和(或)方案设计发生变更；初步设</w:t>
      </w:r>
      <w:r>
        <w:rPr>
          <w:rFonts w:ascii="宋体" w:hAnsi="宋体" w:eastAsia="宋体" w:cs="宋体"/>
          <w:spacing w:val="5"/>
          <w:sz w:val="20"/>
          <w:szCs w:val="20"/>
        </w:rPr>
        <w:t>计批准后发包的，发包人要求和(或)初步设计发生变更；</w:t>
      </w:r>
    </w:p>
    <w:p>
      <w:pPr>
        <w:spacing w:before="123" w:line="278" w:lineRule="exact"/>
        <w:ind w:left="414"/>
        <w:rPr>
          <w:rFonts w:ascii="宋体" w:hAnsi="宋体" w:eastAsia="宋体" w:cs="宋体"/>
          <w:sz w:val="20"/>
          <w:szCs w:val="20"/>
        </w:rPr>
      </w:pPr>
      <w:r>
        <w:rPr>
          <w:rFonts w:ascii="宋体" w:hAnsi="宋体" w:eastAsia="宋体" w:cs="宋体"/>
          <w:spacing w:val="9"/>
          <w:position w:val="1"/>
          <w:sz w:val="20"/>
          <w:szCs w:val="20"/>
        </w:rPr>
        <w:t>（5）不可预见的地质条件造成的工程费用和工期的变化；</w:t>
      </w:r>
    </w:p>
    <w:p>
      <w:pPr>
        <w:spacing w:before="123" w:line="278" w:lineRule="exact"/>
        <w:ind w:left="414"/>
        <w:rPr>
          <w:rFonts w:ascii="宋体" w:hAnsi="宋体" w:eastAsia="宋体" w:cs="宋体"/>
          <w:sz w:val="20"/>
          <w:szCs w:val="20"/>
        </w:rPr>
      </w:pPr>
      <w:r>
        <w:rPr>
          <w:rFonts w:ascii="宋体" w:hAnsi="宋体" w:eastAsia="宋体" w:cs="宋体"/>
          <w:spacing w:val="9"/>
          <w:position w:val="1"/>
          <w:sz w:val="20"/>
          <w:szCs w:val="20"/>
        </w:rPr>
        <w:t>（6）不可抗力造成的应由发包人承担的费用和工期的变化；</w:t>
      </w:r>
    </w:p>
    <w:p>
      <w:pPr>
        <w:spacing w:before="120" w:line="278" w:lineRule="exact"/>
        <w:ind w:left="414"/>
        <w:rPr>
          <w:rFonts w:ascii="宋体" w:hAnsi="宋体" w:eastAsia="宋体" w:cs="宋体"/>
          <w:sz w:val="20"/>
          <w:szCs w:val="20"/>
        </w:rPr>
      </w:pPr>
      <w:r>
        <w:rPr>
          <w:rFonts w:ascii="宋体" w:hAnsi="宋体" w:eastAsia="宋体" w:cs="宋体"/>
          <w:spacing w:val="9"/>
          <w:position w:val="1"/>
          <w:sz w:val="20"/>
          <w:szCs w:val="20"/>
        </w:rPr>
        <w:t>（7）其他应当由发包人承担责任的事项。</w:t>
      </w:r>
    </w:p>
    <w:p>
      <w:pPr>
        <w:spacing w:before="123" w:line="278" w:lineRule="exact"/>
        <w:ind w:left="433"/>
        <w:rPr>
          <w:rFonts w:ascii="宋体" w:hAnsi="宋体" w:eastAsia="宋体" w:cs="宋体"/>
          <w:sz w:val="20"/>
          <w:szCs w:val="20"/>
        </w:rPr>
      </w:pPr>
      <w:r>
        <w:rPr>
          <w:rFonts w:ascii="宋体" w:hAnsi="宋体" w:eastAsia="宋体" w:cs="宋体"/>
          <w:spacing w:val="9"/>
          <w:position w:val="1"/>
          <w:sz w:val="20"/>
          <w:szCs w:val="20"/>
        </w:rPr>
        <w:t>除合同约定发包人应承担的风险外，其他风险应有承包人承担。</w:t>
      </w:r>
    </w:p>
    <w:p>
      <w:pPr>
        <w:spacing w:before="123" w:line="277" w:lineRule="exact"/>
        <w:ind w:left="428"/>
        <w:rPr>
          <w:rFonts w:ascii="宋体" w:hAnsi="宋体" w:eastAsia="宋体" w:cs="宋体"/>
          <w:sz w:val="20"/>
          <w:szCs w:val="20"/>
        </w:rPr>
      </w:pPr>
      <w:r>
        <w:rPr>
          <w:rFonts w:ascii="宋体" w:hAnsi="宋体" w:eastAsia="宋体" w:cs="宋体"/>
          <w:spacing w:val="7"/>
          <w:position w:val="1"/>
          <w:sz w:val="20"/>
          <w:szCs w:val="20"/>
        </w:rPr>
        <w:t>3. 采用工程总承包，发承包双方对勘察设计工作的分工可参照下列划分：</w:t>
      </w:r>
    </w:p>
    <w:p>
      <w:pPr>
        <w:spacing w:before="122" w:line="323" w:lineRule="auto"/>
        <w:ind w:left="2" w:right="64"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1）可行性研究报告批准或方案设计后发包的，由发包人负责可行性研究勘察和初步勘察；承</w:t>
      </w:r>
      <w:r>
        <w:rPr>
          <w:rFonts w:ascii="宋体" w:hAnsi="宋体" w:eastAsia="宋体" w:cs="宋体"/>
          <w:spacing w:val="11"/>
          <w:sz w:val="20"/>
          <w:szCs w:val="20"/>
        </w:rPr>
        <w:t>包人负责详细勘察和施工勘察以及初步设计和施工图设计、专项设计工作，并</w:t>
      </w:r>
      <w:r>
        <w:rPr>
          <w:rFonts w:ascii="宋体" w:hAnsi="宋体" w:eastAsia="宋体" w:cs="宋体"/>
          <w:spacing w:val="10"/>
          <w:sz w:val="20"/>
          <w:szCs w:val="20"/>
        </w:rPr>
        <w:t>按规定取得相关部门</w:t>
      </w:r>
      <w:r>
        <w:rPr>
          <w:rFonts w:ascii="宋体" w:hAnsi="宋体" w:eastAsia="宋体" w:cs="宋体"/>
          <w:spacing w:val="6"/>
          <w:sz w:val="20"/>
          <w:szCs w:val="20"/>
        </w:rPr>
        <w:t>的批准；</w:t>
      </w:r>
    </w:p>
    <w:p>
      <w:pPr>
        <w:spacing w:before="150" w:line="298" w:lineRule="auto"/>
        <w:ind w:right="66" w:firstLine="414"/>
        <w:rPr>
          <w:rFonts w:ascii="宋体" w:hAnsi="宋体" w:eastAsia="宋体" w:cs="宋体"/>
          <w:sz w:val="20"/>
          <w:szCs w:val="20"/>
        </w:rPr>
      </w:pPr>
      <w:r>
        <w:rPr>
          <w:rFonts w:ascii="宋体" w:hAnsi="宋体" w:eastAsia="宋体" w:cs="宋体"/>
          <w:spacing w:val="8"/>
          <w:sz w:val="20"/>
          <w:szCs w:val="20"/>
        </w:rPr>
        <w:t>（2）初步设计后发包的，由发包人负责详细勘察；承包人负责施工勘察以及施工图设计、专项</w:t>
      </w:r>
      <w:r>
        <w:rPr>
          <w:rFonts w:ascii="宋体" w:hAnsi="宋体" w:eastAsia="宋体" w:cs="宋体"/>
          <w:spacing w:val="9"/>
          <w:sz w:val="20"/>
          <w:szCs w:val="20"/>
        </w:rPr>
        <w:t>设计工作，并按规定取得相关部门的批准。</w:t>
      </w:r>
    </w:p>
    <w:p>
      <w:pPr>
        <w:spacing w:before="157" w:line="320" w:lineRule="auto"/>
        <w:ind w:right="67" w:firstLine="420"/>
        <w:rPr>
          <w:rFonts w:ascii="宋体" w:hAnsi="宋体" w:eastAsia="宋体" w:cs="宋体"/>
          <w:sz w:val="20"/>
          <w:szCs w:val="20"/>
        </w:rPr>
      </w:pPr>
      <w:r>
        <w:rPr>
          <w:rFonts w:ascii="宋体" w:hAnsi="宋体" w:eastAsia="宋体" w:cs="宋体"/>
          <w:spacing w:val="8"/>
          <w:sz w:val="20"/>
          <w:szCs w:val="20"/>
        </w:rPr>
        <w:t>4. 承包人在合同约定承包范围内实施设计时，应当在满足发包人要求的前提下进行优化设计，</w:t>
      </w:r>
      <w:r>
        <w:rPr>
          <w:rFonts w:ascii="宋体" w:hAnsi="宋体" w:eastAsia="宋体" w:cs="宋体"/>
          <w:spacing w:val="11"/>
          <w:sz w:val="20"/>
          <w:szCs w:val="20"/>
        </w:rPr>
        <w:t>从中选取最优设计方案；在满足发包人提供的设计文件技术标准的前提下进行深化</w:t>
      </w:r>
      <w:r>
        <w:rPr>
          <w:rFonts w:ascii="宋体" w:hAnsi="宋体" w:eastAsia="宋体" w:cs="宋体"/>
          <w:spacing w:val="10"/>
          <w:sz w:val="20"/>
          <w:szCs w:val="20"/>
        </w:rPr>
        <w:t>设计，实现合同目标。在此基础上进行的优化设计和深化设计导致</w:t>
      </w:r>
      <w:r>
        <w:rPr>
          <w:rFonts w:ascii="宋体" w:hAnsi="宋体" w:eastAsia="宋体" w:cs="宋体"/>
          <w:spacing w:val="9"/>
          <w:sz w:val="20"/>
          <w:szCs w:val="20"/>
        </w:rPr>
        <w:t>的盈亏均归承包人享有或承担。</w:t>
      </w:r>
    </w:p>
    <w:p>
      <w:pPr>
        <w:spacing w:before="159" w:line="321" w:lineRule="auto"/>
        <w:ind w:left="4" w:right="66" w:firstLine="420"/>
        <w:rPr>
          <w:rFonts w:ascii="宋体" w:hAnsi="宋体" w:eastAsia="宋体" w:cs="宋体"/>
          <w:sz w:val="20"/>
          <w:szCs w:val="20"/>
        </w:rPr>
      </w:pPr>
      <w:r>
        <w:rPr>
          <w:rFonts w:ascii="宋体" w:hAnsi="宋体" w:eastAsia="宋体" w:cs="宋体"/>
          <w:spacing w:val="8"/>
          <w:sz w:val="20"/>
          <w:szCs w:val="20"/>
        </w:rPr>
        <w:t>5. 如果承包人设计文件中存在错误、遗漏、含混、不一致、不适当或其他缺陷，即使发包人做</w:t>
      </w:r>
      <w:r>
        <w:rPr>
          <w:rFonts w:ascii="宋体" w:hAnsi="宋体" w:eastAsia="宋体" w:cs="宋体"/>
          <w:spacing w:val="11"/>
          <w:sz w:val="20"/>
          <w:szCs w:val="20"/>
        </w:rPr>
        <w:t>出了任何同意或批准，承包人仍应对前述问题带来的缺陷和工程问题进行改</w:t>
      </w:r>
      <w:r>
        <w:rPr>
          <w:rFonts w:ascii="宋体" w:hAnsi="宋体" w:eastAsia="宋体" w:cs="宋体"/>
          <w:spacing w:val="10"/>
          <w:sz w:val="20"/>
          <w:szCs w:val="20"/>
        </w:rPr>
        <w:t>正，并承担相应费用。发包人要求的错误导致承包人设计文件错误、遗漏、含</w:t>
      </w:r>
      <w:r>
        <w:rPr>
          <w:rFonts w:ascii="宋体" w:hAnsi="宋体" w:eastAsia="宋体" w:cs="宋体"/>
          <w:spacing w:val="9"/>
          <w:sz w:val="20"/>
          <w:szCs w:val="20"/>
        </w:rPr>
        <w:t>混、不一致、不适当或其他缺陷的除外。</w:t>
      </w:r>
    </w:p>
    <w:p>
      <w:pPr>
        <w:spacing w:line="321" w:lineRule="auto"/>
        <w:rPr>
          <w:rFonts w:ascii="宋体" w:hAnsi="宋体" w:eastAsia="宋体" w:cs="宋体"/>
          <w:sz w:val="20"/>
          <w:szCs w:val="20"/>
        </w:rPr>
        <w:sectPr>
          <w:footerReference r:id="rId268" w:type="default"/>
          <w:pgSz w:w="11906" w:h="16839"/>
          <w:pgMar w:top="400" w:right="1353"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2" w:lineRule="auto"/>
        <w:ind w:left="2" w:right="3" w:firstLine="402"/>
        <w:rPr>
          <w:rFonts w:ascii="宋体" w:hAnsi="宋体" w:eastAsia="宋体" w:cs="宋体"/>
          <w:sz w:val="20"/>
          <w:szCs w:val="20"/>
        </w:rPr>
      </w:pPr>
      <w:r>
        <w:rPr>
          <w:rFonts w:ascii="宋体" w:hAnsi="宋体" w:eastAsia="宋体" w:cs="宋体"/>
          <w:spacing w:val="3"/>
          <w:sz w:val="20"/>
          <w:szCs w:val="20"/>
        </w:rPr>
        <w:t>《建设项目工程总承包合同(示范文本)》  (</w:t>
      </w:r>
      <w:r>
        <w:rPr>
          <w:rFonts w:ascii="宋体" w:hAnsi="宋体" w:eastAsia="宋体" w:cs="宋体"/>
          <w:sz w:val="20"/>
          <w:szCs w:val="20"/>
        </w:rPr>
        <w:t>GF</w:t>
      </w:r>
      <w:r>
        <w:rPr>
          <w:rFonts w:ascii="宋体" w:hAnsi="宋体" w:eastAsia="宋体" w:cs="宋体"/>
          <w:spacing w:val="3"/>
          <w:sz w:val="20"/>
          <w:szCs w:val="20"/>
        </w:rPr>
        <w:t>-2020-0216) 第</w:t>
      </w:r>
      <w:r>
        <w:rPr>
          <w:rFonts w:ascii="宋体" w:hAnsi="宋体" w:eastAsia="宋体" w:cs="宋体"/>
          <w:spacing w:val="-40"/>
          <w:sz w:val="20"/>
          <w:szCs w:val="20"/>
        </w:rPr>
        <w:t xml:space="preserve"> </w:t>
      </w:r>
      <w:r>
        <w:rPr>
          <w:rFonts w:ascii="宋体" w:hAnsi="宋体" w:eastAsia="宋体" w:cs="宋体"/>
          <w:spacing w:val="3"/>
          <w:sz w:val="20"/>
          <w:szCs w:val="20"/>
        </w:rPr>
        <w:t>5.</w:t>
      </w:r>
      <w:r>
        <w:rPr>
          <w:rFonts w:ascii="宋体" w:hAnsi="宋体" w:eastAsia="宋体" w:cs="宋体"/>
          <w:spacing w:val="2"/>
          <w:sz w:val="20"/>
          <w:szCs w:val="20"/>
        </w:rPr>
        <w:t>2.1</w:t>
      </w:r>
      <w:r>
        <w:rPr>
          <w:rFonts w:ascii="宋体" w:hAnsi="宋体" w:eastAsia="宋体" w:cs="宋体"/>
          <w:spacing w:val="-40"/>
          <w:sz w:val="20"/>
          <w:szCs w:val="20"/>
        </w:rPr>
        <w:t xml:space="preserve"> </w:t>
      </w:r>
      <w:r>
        <w:rPr>
          <w:rFonts w:ascii="宋体" w:hAnsi="宋体" w:eastAsia="宋体" w:cs="宋体"/>
          <w:spacing w:val="2"/>
          <w:sz w:val="20"/>
          <w:szCs w:val="20"/>
        </w:rPr>
        <w:t>条规定“发包人对承包人文</w:t>
      </w:r>
      <w:r>
        <w:rPr>
          <w:rFonts w:ascii="宋体" w:hAnsi="宋体" w:eastAsia="宋体" w:cs="宋体"/>
          <w:spacing w:val="8"/>
          <w:sz w:val="20"/>
          <w:szCs w:val="20"/>
        </w:rPr>
        <w:t>件的审查和同意不得被理解为对合同的修改或改变，也并不减轻或免除承包人任</w:t>
      </w:r>
      <w:r>
        <w:rPr>
          <w:rFonts w:ascii="宋体" w:hAnsi="宋体" w:eastAsia="宋体" w:cs="宋体"/>
          <w:spacing w:val="7"/>
          <w:sz w:val="20"/>
          <w:szCs w:val="20"/>
        </w:rPr>
        <w:t>何的责任和义务”。</w:t>
      </w:r>
    </w:p>
    <w:p>
      <w:pPr>
        <w:spacing w:line="387" w:lineRule="auto"/>
        <w:rPr>
          <w:rFonts w:ascii="Arial"/>
          <w:sz w:val="21"/>
        </w:rPr>
      </w:pPr>
    </w:p>
    <w:p>
      <w:pPr>
        <w:pStyle w:val="2"/>
        <w:spacing w:before="133" w:line="206" w:lineRule="auto"/>
        <w:ind w:left="2149"/>
        <w:outlineLvl w:val="0"/>
      </w:pPr>
      <w:bookmarkStart w:id="149" w:name="bookmark94"/>
      <w:bookmarkEnd w:id="149"/>
      <w:bookmarkStart w:id="150" w:name="bookmark95"/>
      <w:bookmarkEnd w:id="150"/>
      <w:r>
        <w:rPr>
          <w:spacing w:val="7"/>
        </w:rPr>
        <w:t>第三章</w:t>
      </w:r>
      <w:r>
        <w:rPr>
          <w:spacing w:val="23"/>
        </w:rPr>
        <w:t xml:space="preserve">   </w:t>
      </w:r>
      <w:r>
        <w:rPr>
          <w:spacing w:val="7"/>
        </w:rPr>
        <w:t>工程总承包项目清单编制</w:t>
      </w:r>
    </w:p>
    <w:p>
      <w:pPr>
        <w:pStyle w:val="2"/>
        <w:spacing w:before="207" w:line="202" w:lineRule="auto"/>
        <w:ind w:left="492"/>
        <w:rPr>
          <w:sz w:val="24"/>
          <w:szCs w:val="24"/>
        </w:rPr>
      </w:pPr>
      <w:r>
        <w:rPr>
          <w:spacing w:val="-3"/>
          <w:sz w:val="24"/>
          <w:szCs w:val="24"/>
        </w:rPr>
        <w:t>一、一般规定</w:t>
      </w:r>
    </w:p>
    <w:p>
      <w:pPr>
        <w:spacing w:before="88" w:line="276" w:lineRule="exact"/>
        <w:ind w:left="440"/>
        <w:rPr>
          <w:rFonts w:ascii="宋体" w:hAnsi="宋体" w:eastAsia="宋体" w:cs="宋体"/>
          <w:sz w:val="20"/>
          <w:szCs w:val="20"/>
        </w:rPr>
      </w:pPr>
      <w:r>
        <w:rPr>
          <w:rFonts w:ascii="宋体" w:hAnsi="宋体" w:eastAsia="宋体" w:cs="宋体"/>
          <w:spacing w:val="8"/>
          <w:position w:val="1"/>
          <w:sz w:val="20"/>
          <w:szCs w:val="20"/>
        </w:rPr>
        <w:t>1. 工程总承包项目清单应依据《计价规</w:t>
      </w:r>
      <w:r>
        <w:rPr>
          <w:rFonts w:ascii="宋体" w:hAnsi="宋体" w:eastAsia="宋体" w:cs="宋体"/>
          <w:spacing w:val="7"/>
          <w:position w:val="1"/>
          <w:sz w:val="20"/>
          <w:szCs w:val="20"/>
        </w:rPr>
        <w:t>则》及不同发包阶段的发包范围和内容进行编制。</w:t>
      </w:r>
    </w:p>
    <w:p>
      <w:pPr>
        <w:spacing w:before="122" w:line="351" w:lineRule="auto"/>
        <w:ind w:left="4" w:right="83" w:firstLine="416"/>
        <w:rPr>
          <w:rFonts w:ascii="宋体" w:hAnsi="宋体" w:eastAsia="宋体" w:cs="宋体"/>
          <w:sz w:val="20"/>
          <w:szCs w:val="20"/>
        </w:rPr>
      </w:pPr>
      <w:r>
        <w:rPr>
          <w:rFonts w:ascii="宋体" w:hAnsi="宋体" w:eastAsia="宋体" w:cs="宋体"/>
          <w:spacing w:val="6"/>
          <w:sz w:val="20"/>
          <w:szCs w:val="20"/>
        </w:rPr>
        <w:t>单位工程(包括子单位工程)层级清单适用于可行性研究或方案设计</w:t>
      </w:r>
      <w:r>
        <w:rPr>
          <w:rFonts w:ascii="宋体" w:hAnsi="宋体" w:eastAsia="宋体" w:cs="宋体"/>
          <w:spacing w:val="5"/>
          <w:sz w:val="20"/>
          <w:szCs w:val="20"/>
        </w:rPr>
        <w:t>阶段，分部分项工程层级清单</w:t>
      </w:r>
      <w:r>
        <w:rPr>
          <w:rFonts w:ascii="宋体" w:hAnsi="宋体" w:eastAsia="宋体" w:cs="宋体"/>
          <w:spacing w:val="9"/>
          <w:sz w:val="20"/>
          <w:szCs w:val="20"/>
        </w:rPr>
        <w:t>可同时适用于可行性研究或方案设计、初步设计阶段。</w:t>
      </w:r>
    </w:p>
    <w:p>
      <w:pPr>
        <w:spacing w:before="42" w:line="277" w:lineRule="exact"/>
        <w:ind w:left="423"/>
        <w:rPr>
          <w:rFonts w:ascii="宋体" w:hAnsi="宋体" w:eastAsia="宋体" w:cs="宋体"/>
          <w:sz w:val="20"/>
          <w:szCs w:val="20"/>
        </w:rPr>
      </w:pPr>
      <w:r>
        <w:rPr>
          <w:rFonts w:ascii="宋体" w:hAnsi="宋体" w:eastAsia="宋体" w:cs="宋体"/>
          <w:spacing w:val="6"/>
          <w:position w:val="1"/>
          <w:sz w:val="20"/>
          <w:szCs w:val="20"/>
        </w:rPr>
        <w:t>2. 工程总承包项目清单应作为招标文件的组成部分。</w:t>
      </w:r>
    </w:p>
    <w:p>
      <w:pPr>
        <w:spacing w:before="119" w:line="322" w:lineRule="auto"/>
        <w:ind w:left="1" w:right="108" w:firstLine="424"/>
        <w:rPr>
          <w:rFonts w:ascii="宋体" w:hAnsi="宋体" w:eastAsia="宋体" w:cs="宋体"/>
          <w:sz w:val="20"/>
          <w:szCs w:val="20"/>
        </w:rPr>
      </w:pPr>
      <w:r>
        <w:rPr>
          <w:rFonts w:ascii="宋体" w:hAnsi="宋体" w:eastAsia="宋体" w:cs="宋体"/>
          <w:spacing w:val="7"/>
          <w:sz w:val="20"/>
          <w:szCs w:val="20"/>
        </w:rPr>
        <w:t>3. 工程总承包项目清单的发包人要求应依据不同发包阶段的设计文件和功能需求等进行编制，</w:t>
      </w:r>
      <w:r>
        <w:rPr>
          <w:rFonts w:ascii="宋体" w:hAnsi="宋体" w:eastAsia="宋体" w:cs="宋体"/>
          <w:spacing w:val="10"/>
          <w:sz w:val="20"/>
          <w:szCs w:val="20"/>
        </w:rPr>
        <w:t>列明工程总承包项目的内容、范围、规模、功能需求、品质、设计与其他技术标准、质量、安全、</w:t>
      </w:r>
      <w:r>
        <w:rPr>
          <w:rFonts w:ascii="宋体" w:hAnsi="宋体" w:eastAsia="宋体" w:cs="宋体"/>
          <w:spacing w:val="9"/>
          <w:sz w:val="20"/>
          <w:szCs w:val="20"/>
        </w:rPr>
        <w:t>节约能源、生态环境保护、工期、验收等建造目标。</w:t>
      </w:r>
    </w:p>
    <w:p>
      <w:pPr>
        <w:spacing w:before="155" w:line="277" w:lineRule="exact"/>
        <w:ind w:left="420"/>
        <w:rPr>
          <w:rFonts w:ascii="宋体" w:hAnsi="宋体" w:eastAsia="宋体" w:cs="宋体"/>
          <w:sz w:val="20"/>
          <w:szCs w:val="20"/>
        </w:rPr>
      </w:pPr>
      <w:r>
        <w:rPr>
          <w:rFonts w:ascii="宋体" w:hAnsi="宋体" w:eastAsia="宋体" w:cs="宋体"/>
          <w:spacing w:val="8"/>
          <w:position w:val="1"/>
          <w:sz w:val="20"/>
          <w:szCs w:val="20"/>
        </w:rPr>
        <w:t>4. 工程总承包项目清单应作为编制标底、最高投标限价、投标报价、合同价格调整等的依据之</w:t>
      </w:r>
    </w:p>
    <w:p>
      <w:pPr>
        <w:spacing w:before="221" w:line="158" w:lineRule="exact"/>
        <w:ind w:left="2"/>
        <w:rPr>
          <w:rFonts w:ascii="宋体" w:hAnsi="宋体" w:eastAsia="宋体" w:cs="宋体"/>
          <w:sz w:val="20"/>
          <w:szCs w:val="20"/>
        </w:rPr>
      </w:pPr>
      <w:r>
        <w:rPr>
          <w:rFonts w:ascii="宋体" w:hAnsi="宋体" w:eastAsia="宋体" w:cs="宋体"/>
          <w:spacing w:val="2"/>
          <w:sz w:val="20"/>
          <w:szCs w:val="20"/>
        </w:rPr>
        <w:t>一。</w:t>
      </w:r>
    </w:p>
    <w:p>
      <w:pPr>
        <w:spacing w:before="146" w:line="278" w:lineRule="exact"/>
        <w:ind w:left="423"/>
        <w:rPr>
          <w:rFonts w:ascii="宋体" w:hAnsi="宋体" w:eastAsia="宋体" w:cs="宋体"/>
          <w:sz w:val="20"/>
          <w:szCs w:val="20"/>
        </w:rPr>
      </w:pPr>
      <w:r>
        <w:rPr>
          <w:rFonts w:ascii="宋体" w:hAnsi="宋体" w:eastAsia="宋体" w:cs="宋体"/>
          <w:spacing w:val="8"/>
          <w:position w:val="1"/>
          <w:sz w:val="20"/>
          <w:szCs w:val="20"/>
        </w:rPr>
        <w:t>5. 工程总承包项目清单应由工程费用项目清单、工程总承包其他费项目清单和暂列金额组成。</w:t>
      </w:r>
    </w:p>
    <w:p>
      <w:pPr>
        <w:pStyle w:val="2"/>
        <w:spacing w:before="88" w:line="201" w:lineRule="auto"/>
        <w:ind w:left="491"/>
        <w:rPr>
          <w:sz w:val="24"/>
          <w:szCs w:val="24"/>
        </w:rPr>
      </w:pPr>
      <w:r>
        <w:rPr>
          <w:spacing w:val="-2"/>
          <w:sz w:val="24"/>
          <w:szCs w:val="24"/>
        </w:rPr>
        <w:t>二、工程费用项目清单</w:t>
      </w:r>
    </w:p>
    <w:p>
      <w:pPr>
        <w:spacing w:before="88" w:line="298" w:lineRule="auto"/>
        <w:ind w:right="80" w:firstLine="440"/>
        <w:rPr>
          <w:rFonts w:ascii="宋体" w:hAnsi="宋体" w:eastAsia="宋体" w:cs="宋体"/>
          <w:sz w:val="20"/>
          <w:szCs w:val="20"/>
        </w:rPr>
      </w:pPr>
      <w:r>
        <w:rPr>
          <w:rFonts w:ascii="宋体" w:hAnsi="宋体" w:eastAsia="宋体" w:cs="宋体"/>
          <w:spacing w:val="8"/>
          <w:sz w:val="20"/>
          <w:szCs w:val="20"/>
        </w:rPr>
        <w:t>1. 工程费用项目清单应根据《计价规则》附录一、附录二</w:t>
      </w:r>
      <w:r>
        <w:rPr>
          <w:rFonts w:ascii="宋体" w:hAnsi="宋体" w:eastAsia="宋体" w:cs="宋体"/>
          <w:spacing w:val="7"/>
          <w:sz w:val="20"/>
          <w:szCs w:val="20"/>
        </w:rPr>
        <w:t>规定的项目编码、项目名称、发包人</w:t>
      </w:r>
      <w:r>
        <w:rPr>
          <w:rFonts w:ascii="宋体" w:hAnsi="宋体" w:eastAsia="宋体" w:cs="宋体"/>
          <w:spacing w:val="9"/>
          <w:sz w:val="20"/>
          <w:szCs w:val="20"/>
        </w:rPr>
        <w:t>要求、计量单位和工程量计算规则进行编制。</w:t>
      </w:r>
    </w:p>
    <w:p>
      <w:pPr>
        <w:spacing w:before="154" w:line="278" w:lineRule="exact"/>
        <w:ind w:left="423"/>
        <w:rPr>
          <w:rFonts w:ascii="宋体" w:hAnsi="宋体" w:eastAsia="宋体" w:cs="宋体"/>
          <w:sz w:val="20"/>
          <w:szCs w:val="20"/>
        </w:rPr>
      </w:pPr>
      <w:r>
        <w:rPr>
          <w:rFonts w:ascii="宋体" w:hAnsi="宋体" w:eastAsia="宋体" w:cs="宋体"/>
          <w:spacing w:val="8"/>
          <w:position w:val="1"/>
          <w:sz w:val="20"/>
          <w:szCs w:val="20"/>
        </w:rPr>
        <w:t>2. 工程费用是指完成房屋建筑和市政基础设施项目发生的建筑安装工程费和设</w:t>
      </w:r>
      <w:r>
        <w:rPr>
          <w:rFonts w:ascii="宋体" w:hAnsi="宋体" w:eastAsia="宋体" w:cs="宋体"/>
          <w:spacing w:val="7"/>
          <w:position w:val="1"/>
          <w:sz w:val="20"/>
          <w:szCs w:val="20"/>
        </w:rPr>
        <w:t>备购置费。</w:t>
      </w:r>
    </w:p>
    <w:p>
      <w:pPr>
        <w:spacing w:before="123"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8"/>
          <w:position w:val="1"/>
          <w:sz w:val="20"/>
          <w:szCs w:val="20"/>
        </w:rPr>
        <w:t>1）建筑安装工程费包括房屋建筑工程费和市政基</w:t>
      </w:r>
      <w:r>
        <w:rPr>
          <w:rFonts w:ascii="宋体" w:hAnsi="宋体" w:eastAsia="宋体" w:cs="宋体"/>
          <w:spacing w:val="7"/>
          <w:position w:val="1"/>
          <w:sz w:val="20"/>
          <w:szCs w:val="20"/>
        </w:rPr>
        <w:t>础设施工程费。</w:t>
      </w:r>
    </w:p>
    <w:p>
      <w:pPr>
        <w:spacing w:before="126" w:line="364" w:lineRule="auto"/>
        <w:ind w:left="2" w:right="83" w:firstLine="420"/>
        <w:rPr>
          <w:rFonts w:ascii="宋体" w:hAnsi="宋体" w:eastAsia="宋体" w:cs="宋体"/>
          <w:sz w:val="20"/>
          <w:szCs w:val="20"/>
        </w:rPr>
      </w:pPr>
      <w:r>
        <w:rPr>
          <w:rFonts w:ascii="宋体" w:hAnsi="宋体" w:eastAsia="宋体" w:cs="宋体"/>
          <w:spacing w:val="11"/>
          <w:sz w:val="20"/>
          <w:szCs w:val="20"/>
        </w:rPr>
        <w:t>房屋建筑工程费是指为完成各类房屋建筑及其附属设施和与其配套的线路</w:t>
      </w:r>
      <w:r>
        <w:rPr>
          <w:rFonts w:ascii="宋体" w:hAnsi="宋体" w:eastAsia="宋体" w:cs="宋体"/>
          <w:spacing w:val="10"/>
          <w:sz w:val="20"/>
          <w:szCs w:val="20"/>
        </w:rPr>
        <w:t>、管道、设备安装工</w:t>
      </w:r>
      <w:r>
        <w:rPr>
          <w:rFonts w:ascii="宋体" w:hAnsi="宋体" w:eastAsia="宋体" w:cs="宋体"/>
          <w:spacing w:val="9"/>
          <w:sz w:val="20"/>
          <w:szCs w:val="20"/>
        </w:rPr>
        <w:t>程及室内外装修装饰工程而发生的费用。</w:t>
      </w:r>
    </w:p>
    <w:p>
      <w:pPr>
        <w:spacing w:before="2" w:line="367" w:lineRule="auto"/>
        <w:ind w:left="3" w:right="83" w:firstLine="420"/>
        <w:rPr>
          <w:rFonts w:ascii="宋体" w:hAnsi="宋体" w:eastAsia="宋体" w:cs="宋体"/>
          <w:sz w:val="20"/>
          <w:szCs w:val="20"/>
        </w:rPr>
      </w:pPr>
      <w:r>
        <w:rPr>
          <w:rFonts w:ascii="宋体" w:hAnsi="宋体" w:eastAsia="宋体" w:cs="宋体"/>
          <w:spacing w:val="11"/>
          <w:sz w:val="20"/>
          <w:szCs w:val="20"/>
        </w:rPr>
        <w:t>市政基础设施工程费是指为完成城市道路、公共交通、供水、排水、燃气</w:t>
      </w:r>
      <w:r>
        <w:rPr>
          <w:rFonts w:ascii="宋体" w:hAnsi="宋体" w:eastAsia="宋体" w:cs="宋体"/>
          <w:spacing w:val="10"/>
          <w:sz w:val="20"/>
          <w:szCs w:val="20"/>
        </w:rPr>
        <w:t>、热力、园林绿化、</w:t>
      </w:r>
      <w:r>
        <w:rPr>
          <w:rFonts w:ascii="宋体" w:hAnsi="宋体" w:eastAsia="宋体" w:cs="宋体"/>
          <w:spacing w:val="11"/>
          <w:sz w:val="20"/>
          <w:szCs w:val="20"/>
        </w:rPr>
        <w:t>环卫、污水处理、垃圾处理、防洪、地下公共设施及其附属设施的土建、</w:t>
      </w:r>
      <w:r>
        <w:rPr>
          <w:rFonts w:ascii="宋体" w:hAnsi="宋体" w:eastAsia="宋体" w:cs="宋体"/>
          <w:spacing w:val="10"/>
          <w:sz w:val="20"/>
          <w:szCs w:val="20"/>
        </w:rPr>
        <w:t>管道、设备安装工程而发</w:t>
      </w:r>
      <w:r>
        <w:rPr>
          <w:rFonts w:ascii="宋体" w:hAnsi="宋体" w:eastAsia="宋体" w:cs="宋体"/>
          <w:spacing w:val="6"/>
          <w:sz w:val="20"/>
          <w:szCs w:val="20"/>
        </w:rPr>
        <w:t>生的费用。</w:t>
      </w:r>
    </w:p>
    <w:p>
      <w:pPr>
        <w:spacing w:before="12" w:line="351" w:lineRule="auto"/>
        <w:ind w:left="2" w:right="80" w:firstLine="410"/>
        <w:rPr>
          <w:rFonts w:ascii="宋体" w:hAnsi="宋体" w:eastAsia="宋体" w:cs="宋体"/>
          <w:sz w:val="20"/>
          <w:szCs w:val="20"/>
        </w:rPr>
      </w:pPr>
      <w:r>
        <w:rPr>
          <w:rFonts w:ascii="宋体" w:hAnsi="宋体" w:eastAsia="宋体" w:cs="宋体"/>
          <w:spacing w:val="9"/>
          <w:sz w:val="20"/>
          <w:szCs w:val="20"/>
        </w:rPr>
        <w:t>（2）设备购置费是指为房屋建筑和市政基</w:t>
      </w:r>
      <w:r>
        <w:rPr>
          <w:rFonts w:ascii="宋体" w:hAnsi="宋体" w:eastAsia="宋体" w:cs="宋体"/>
          <w:spacing w:val="8"/>
          <w:sz w:val="20"/>
          <w:szCs w:val="20"/>
        </w:rPr>
        <w:t>础设施项目购置或自制达到固定资产标准的设备及工</w:t>
      </w:r>
      <w:r>
        <w:rPr>
          <w:rFonts w:ascii="宋体" w:hAnsi="宋体" w:eastAsia="宋体" w:cs="宋体"/>
          <w:spacing w:val="9"/>
          <w:sz w:val="20"/>
          <w:szCs w:val="20"/>
        </w:rPr>
        <w:t>器具、家具等所需的费用。不包括应列入建筑安装工程费的建筑设备的价值。</w:t>
      </w:r>
    </w:p>
    <w:p>
      <w:pPr>
        <w:spacing w:before="31" w:line="374" w:lineRule="auto"/>
        <w:ind w:left="2" w:firstLine="419"/>
        <w:rPr>
          <w:rFonts w:ascii="宋体" w:hAnsi="宋体" w:eastAsia="宋体" w:cs="宋体"/>
          <w:sz w:val="20"/>
          <w:szCs w:val="20"/>
        </w:rPr>
      </w:pPr>
      <w:r>
        <w:rPr>
          <w:rFonts w:ascii="宋体" w:hAnsi="宋体" w:eastAsia="宋体" w:cs="宋体"/>
          <w:spacing w:val="8"/>
          <w:sz w:val="20"/>
          <w:szCs w:val="20"/>
        </w:rPr>
        <w:t>建筑设备是指房屋建筑和市政基础设施及其配套的附属工程中电气、采暖、</w:t>
      </w:r>
      <w:r>
        <w:rPr>
          <w:rFonts w:ascii="宋体" w:hAnsi="宋体" w:eastAsia="宋体" w:cs="宋体"/>
          <w:spacing w:val="7"/>
          <w:sz w:val="20"/>
          <w:szCs w:val="20"/>
        </w:rPr>
        <w:t>通风空调、给排水、</w:t>
      </w:r>
      <w:r>
        <w:rPr>
          <w:rFonts w:ascii="宋体" w:hAnsi="宋体" w:eastAsia="宋体" w:cs="宋体"/>
          <w:spacing w:val="9"/>
          <w:sz w:val="20"/>
          <w:szCs w:val="20"/>
        </w:rPr>
        <w:t>通信及建筑智能等为房屋和市政基础设施功能服务的设备。</w:t>
      </w:r>
    </w:p>
    <w:p>
      <w:pPr>
        <w:spacing w:line="278" w:lineRule="exact"/>
        <w:ind w:left="426"/>
        <w:rPr>
          <w:rFonts w:ascii="宋体" w:hAnsi="宋体" w:eastAsia="宋体" w:cs="宋体"/>
          <w:sz w:val="20"/>
          <w:szCs w:val="20"/>
        </w:rPr>
      </w:pPr>
      <w:r>
        <w:rPr>
          <w:rFonts w:ascii="宋体" w:hAnsi="宋体" w:eastAsia="宋体" w:cs="宋体"/>
          <w:spacing w:val="6"/>
          <w:position w:val="1"/>
          <w:sz w:val="20"/>
          <w:szCs w:val="20"/>
        </w:rPr>
        <w:t>3. 工程费用项目清单的项目编码按以下规则确定：</w:t>
      </w:r>
    </w:p>
    <w:p>
      <w:pPr>
        <w:spacing w:before="120" w:line="354" w:lineRule="auto"/>
        <w:ind w:left="2" w:right="80" w:firstLine="417"/>
        <w:rPr>
          <w:rFonts w:ascii="宋体" w:hAnsi="宋体" w:eastAsia="宋体" w:cs="宋体"/>
          <w:sz w:val="20"/>
          <w:szCs w:val="20"/>
        </w:rPr>
      </w:pPr>
      <w:r>
        <w:rPr>
          <w:rFonts w:ascii="宋体" w:hAnsi="宋体" w:eastAsia="宋体" w:cs="宋体"/>
          <w:spacing w:val="8"/>
          <w:sz w:val="20"/>
          <w:szCs w:val="20"/>
        </w:rPr>
        <w:t>第一级编码为专业工程分类码，房屋建筑工程</w:t>
      </w:r>
      <w:r>
        <w:rPr>
          <w:rFonts w:ascii="宋体" w:hAnsi="宋体" w:eastAsia="宋体" w:cs="宋体"/>
          <w:spacing w:val="7"/>
          <w:sz w:val="20"/>
          <w:szCs w:val="20"/>
        </w:rPr>
        <w:t>为</w:t>
      </w:r>
      <w:r>
        <w:rPr>
          <w:rFonts w:ascii="宋体" w:hAnsi="宋体" w:eastAsia="宋体" w:cs="宋体"/>
          <w:spacing w:val="-40"/>
          <w:sz w:val="20"/>
          <w:szCs w:val="20"/>
        </w:rPr>
        <w:t xml:space="preserve"> </w:t>
      </w:r>
      <w:r>
        <w:rPr>
          <w:rFonts w:ascii="宋体" w:hAnsi="宋体" w:eastAsia="宋体" w:cs="宋体"/>
          <w:spacing w:val="7"/>
          <w:sz w:val="20"/>
          <w:szCs w:val="20"/>
        </w:rPr>
        <w:t>01,市政基础设施工程为</w:t>
      </w:r>
      <w:r>
        <w:rPr>
          <w:rFonts w:ascii="宋体" w:hAnsi="宋体" w:eastAsia="宋体" w:cs="宋体"/>
          <w:spacing w:val="-40"/>
          <w:sz w:val="20"/>
          <w:szCs w:val="20"/>
        </w:rPr>
        <w:t xml:space="preserve"> </w:t>
      </w:r>
      <w:r>
        <w:rPr>
          <w:rFonts w:ascii="宋体" w:hAnsi="宋体" w:eastAsia="宋体" w:cs="宋体"/>
          <w:spacing w:val="7"/>
          <w:sz w:val="20"/>
          <w:szCs w:val="20"/>
        </w:rPr>
        <w:t>02,由编制人根据专业工程类别设置；</w:t>
      </w:r>
    </w:p>
    <w:p>
      <w:pPr>
        <w:spacing w:before="39" w:line="224" w:lineRule="auto"/>
        <w:ind w:left="420"/>
        <w:rPr>
          <w:rFonts w:ascii="宋体" w:hAnsi="宋体" w:eastAsia="宋体" w:cs="宋体"/>
          <w:sz w:val="20"/>
          <w:szCs w:val="20"/>
        </w:rPr>
      </w:pPr>
      <w:r>
        <w:rPr>
          <w:rFonts w:ascii="宋体" w:hAnsi="宋体" w:eastAsia="宋体" w:cs="宋体"/>
          <w:spacing w:val="9"/>
          <w:sz w:val="20"/>
          <w:szCs w:val="20"/>
        </w:rPr>
        <w:t>第二级编码为单位工程分类码，由附录一、附录二对应字母组成；</w:t>
      </w:r>
    </w:p>
    <w:p>
      <w:pPr>
        <w:spacing w:before="152" w:line="277" w:lineRule="exact"/>
        <w:ind w:left="420"/>
        <w:rPr>
          <w:rFonts w:ascii="宋体" w:hAnsi="宋体" w:eastAsia="宋体" w:cs="宋体"/>
          <w:sz w:val="20"/>
          <w:szCs w:val="20"/>
        </w:rPr>
      </w:pPr>
      <w:r>
        <w:rPr>
          <w:rFonts w:ascii="宋体" w:hAnsi="宋体" w:eastAsia="宋体" w:cs="宋体"/>
          <w:spacing w:val="11"/>
          <w:position w:val="1"/>
          <w:sz w:val="20"/>
          <w:szCs w:val="20"/>
        </w:rPr>
        <w:t>第三级编码为子单位工程分类码，由</w:t>
      </w:r>
      <w:r>
        <w:rPr>
          <w:rFonts w:ascii="宋体" w:hAnsi="宋体" w:eastAsia="宋体" w:cs="宋体"/>
          <w:spacing w:val="-23"/>
          <w:position w:val="1"/>
          <w:sz w:val="20"/>
          <w:szCs w:val="20"/>
        </w:rPr>
        <w:t xml:space="preserve"> </w:t>
      </w:r>
      <w:r>
        <w:rPr>
          <w:rFonts w:ascii="宋体" w:hAnsi="宋体" w:eastAsia="宋体" w:cs="宋体"/>
          <w:spacing w:val="11"/>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11"/>
          <w:position w:val="1"/>
          <w:sz w:val="20"/>
          <w:szCs w:val="20"/>
        </w:rPr>
        <w:t>位数字组成，附录表中以X</w:t>
      </w:r>
      <w:r>
        <w:rPr>
          <w:rFonts w:ascii="宋体" w:hAnsi="宋体" w:eastAsia="宋体" w:cs="宋体"/>
          <w:spacing w:val="-41"/>
          <w:position w:val="1"/>
          <w:sz w:val="20"/>
          <w:szCs w:val="20"/>
        </w:rPr>
        <w:t xml:space="preserve"> </w:t>
      </w:r>
      <w:r>
        <w:rPr>
          <w:rFonts w:ascii="宋体" w:hAnsi="宋体" w:eastAsia="宋体" w:cs="宋体"/>
          <w:spacing w:val="11"/>
          <w:position w:val="1"/>
          <w:sz w:val="20"/>
          <w:szCs w:val="20"/>
        </w:rPr>
        <w:t>表示的，由编制人根据不同</w:t>
      </w:r>
    </w:p>
    <w:p>
      <w:pPr>
        <w:spacing w:line="277" w:lineRule="exact"/>
        <w:rPr>
          <w:rFonts w:ascii="宋体" w:hAnsi="宋体" w:eastAsia="宋体" w:cs="宋体"/>
          <w:sz w:val="20"/>
          <w:szCs w:val="20"/>
        </w:rPr>
        <w:sectPr>
          <w:footerReference r:id="rId269" w:type="default"/>
          <w:pgSz w:w="11906" w:h="16839"/>
          <w:pgMar w:top="400" w:right="1337" w:bottom="1212" w:left="1418"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4" w:lineRule="auto"/>
        <w:ind w:left="3"/>
        <w:rPr>
          <w:rFonts w:ascii="宋体" w:hAnsi="宋体" w:eastAsia="宋体" w:cs="宋体"/>
          <w:sz w:val="20"/>
          <w:szCs w:val="20"/>
        </w:rPr>
      </w:pPr>
      <w:r>
        <w:rPr>
          <w:rFonts w:ascii="宋体" w:hAnsi="宋体" w:eastAsia="宋体" w:cs="宋体"/>
          <w:spacing w:val="8"/>
          <w:sz w:val="20"/>
          <w:szCs w:val="20"/>
        </w:rPr>
        <w:t>子单位工程对应数字设置；</w:t>
      </w:r>
    </w:p>
    <w:p>
      <w:pPr>
        <w:spacing w:before="157" w:line="225" w:lineRule="auto"/>
        <w:ind w:left="420"/>
        <w:rPr>
          <w:rFonts w:ascii="宋体" w:hAnsi="宋体" w:eastAsia="宋体" w:cs="宋体"/>
          <w:sz w:val="20"/>
          <w:szCs w:val="20"/>
        </w:rPr>
      </w:pPr>
      <w:r>
        <w:rPr>
          <w:rFonts w:ascii="宋体" w:hAnsi="宋体" w:eastAsia="宋体" w:cs="宋体"/>
          <w:spacing w:val="9"/>
          <w:sz w:val="20"/>
          <w:szCs w:val="20"/>
        </w:rPr>
        <w:t>第四级编码为分部工程分类码，由两位数字组成；</w:t>
      </w:r>
    </w:p>
    <w:p>
      <w:pPr>
        <w:spacing w:before="157" w:line="225" w:lineRule="auto"/>
        <w:ind w:left="420"/>
        <w:rPr>
          <w:rFonts w:ascii="宋体" w:hAnsi="宋体" w:eastAsia="宋体" w:cs="宋体"/>
          <w:sz w:val="20"/>
          <w:szCs w:val="20"/>
        </w:rPr>
      </w:pPr>
      <w:r>
        <w:rPr>
          <w:rFonts w:ascii="宋体" w:hAnsi="宋体" w:eastAsia="宋体" w:cs="宋体"/>
          <w:spacing w:val="9"/>
          <w:sz w:val="20"/>
          <w:szCs w:val="20"/>
        </w:rPr>
        <w:t>第五级编码为分项工程分类码，由两位数字组成；</w:t>
      </w:r>
    </w:p>
    <w:p>
      <w:pPr>
        <w:spacing w:before="153" w:line="369" w:lineRule="auto"/>
        <w:ind w:left="41" w:right="65" w:firstLine="378"/>
        <w:rPr>
          <w:rFonts w:ascii="宋体" w:hAnsi="宋体" w:eastAsia="宋体" w:cs="宋体"/>
          <w:sz w:val="20"/>
          <w:szCs w:val="20"/>
        </w:rPr>
      </w:pPr>
      <w:r>
        <w:rPr>
          <w:rFonts w:ascii="宋体" w:hAnsi="宋体" w:eastAsia="宋体" w:cs="宋体"/>
          <w:spacing w:val="11"/>
          <w:sz w:val="20"/>
          <w:szCs w:val="20"/>
        </w:rPr>
        <w:t>第六级编码为顺序码，由两位数字组成。顺序码由编制人根据拟建项目的工程费</w:t>
      </w:r>
      <w:r>
        <w:rPr>
          <w:rFonts w:ascii="宋体" w:hAnsi="宋体" w:eastAsia="宋体" w:cs="宋体"/>
          <w:spacing w:val="10"/>
          <w:sz w:val="20"/>
          <w:szCs w:val="20"/>
        </w:rPr>
        <w:t>用项目清单项</w:t>
      </w:r>
      <w:r>
        <w:rPr>
          <w:rFonts w:ascii="宋体" w:hAnsi="宋体" w:eastAsia="宋体" w:cs="宋体"/>
          <w:spacing w:val="4"/>
          <w:sz w:val="20"/>
          <w:szCs w:val="20"/>
        </w:rPr>
        <w:t>目名称及发包人要求设置，</w:t>
      </w:r>
      <w:r>
        <w:rPr>
          <w:rFonts w:ascii="宋体" w:hAnsi="宋体" w:eastAsia="宋体" w:cs="宋体"/>
          <w:spacing w:val="-52"/>
          <w:sz w:val="20"/>
          <w:szCs w:val="20"/>
        </w:rPr>
        <w:t xml:space="preserve"> </w:t>
      </w:r>
      <w:r>
        <w:rPr>
          <w:rFonts w:ascii="宋体" w:hAnsi="宋体" w:eastAsia="宋体" w:cs="宋体"/>
          <w:spacing w:val="4"/>
          <w:sz w:val="20"/>
          <w:szCs w:val="20"/>
        </w:rPr>
        <w:t>自</w:t>
      </w:r>
      <w:r>
        <w:rPr>
          <w:rFonts w:ascii="宋体" w:hAnsi="宋体" w:eastAsia="宋体" w:cs="宋体"/>
          <w:spacing w:val="-40"/>
          <w:sz w:val="20"/>
          <w:szCs w:val="20"/>
        </w:rPr>
        <w:t xml:space="preserve"> </w:t>
      </w:r>
      <w:r>
        <w:rPr>
          <w:rFonts w:ascii="宋体" w:hAnsi="宋体" w:eastAsia="宋体" w:cs="宋体"/>
          <w:spacing w:val="4"/>
          <w:sz w:val="20"/>
          <w:szCs w:val="20"/>
        </w:rPr>
        <w:t>01</w:t>
      </w:r>
      <w:r>
        <w:rPr>
          <w:rFonts w:ascii="宋体" w:hAnsi="宋体" w:eastAsia="宋体" w:cs="宋体"/>
          <w:spacing w:val="-45"/>
          <w:sz w:val="20"/>
          <w:szCs w:val="20"/>
        </w:rPr>
        <w:t xml:space="preserve"> </w:t>
      </w:r>
      <w:r>
        <w:rPr>
          <w:rFonts w:ascii="宋体" w:hAnsi="宋体" w:eastAsia="宋体" w:cs="宋体"/>
          <w:spacing w:val="4"/>
          <w:sz w:val="20"/>
          <w:szCs w:val="20"/>
        </w:rPr>
        <w:t>起顺序编制。</w:t>
      </w:r>
    </w:p>
    <w:p>
      <w:pPr>
        <w:spacing w:line="321" w:lineRule="auto"/>
        <w:ind w:right="62" w:firstLine="419"/>
        <w:rPr>
          <w:rFonts w:ascii="宋体" w:hAnsi="宋体" w:eastAsia="宋体" w:cs="宋体"/>
          <w:sz w:val="20"/>
          <w:szCs w:val="20"/>
        </w:rPr>
      </w:pPr>
      <w:r>
        <w:rPr>
          <w:rFonts w:ascii="宋体" w:hAnsi="宋体" w:eastAsia="宋体" w:cs="宋体"/>
          <w:spacing w:val="8"/>
          <w:sz w:val="20"/>
          <w:szCs w:val="20"/>
        </w:rPr>
        <w:t>4. 初步设计批准后编列项目清单的，分部分项工程数量应依据初步设计图纸计算。可行性研究</w:t>
      </w:r>
      <w:r>
        <w:rPr>
          <w:rFonts w:ascii="宋体" w:hAnsi="宋体" w:eastAsia="宋体" w:cs="宋体"/>
          <w:spacing w:val="11"/>
          <w:sz w:val="20"/>
          <w:szCs w:val="20"/>
        </w:rPr>
        <w:t>批准或方案设计后编列项目清单的，分部分项工程数量可不填写，但涉及的材</w:t>
      </w:r>
      <w:r>
        <w:rPr>
          <w:rFonts w:ascii="宋体" w:hAnsi="宋体" w:eastAsia="宋体" w:cs="宋体"/>
          <w:spacing w:val="10"/>
          <w:sz w:val="20"/>
          <w:szCs w:val="20"/>
        </w:rPr>
        <w:t>质、品质、档次等完</w:t>
      </w:r>
      <w:r>
        <w:rPr>
          <w:rFonts w:ascii="宋体" w:hAnsi="宋体" w:eastAsia="宋体" w:cs="宋体"/>
          <w:spacing w:val="9"/>
          <w:sz w:val="20"/>
          <w:szCs w:val="20"/>
        </w:rPr>
        <w:t>工交付标准应在项目清单的发包人要求中明确。</w:t>
      </w:r>
    </w:p>
    <w:p>
      <w:pPr>
        <w:spacing w:before="155" w:line="277" w:lineRule="exact"/>
        <w:ind w:left="423"/>
        <w:rPr>
          <w:rFonts w:ascii="宋体" w:hAnsi="宋体" w:eastAsia="宋体" w:cs="宋体"/>
          <w:sz w:val="20"/>
          <w:szCs w:val="20"/>
        </w:rPr>
      </w:pPr>
      <w:r>
        <w:rPr>
          <w:rFonts w:ascii="宋体" w:hAnsi="宋体" w:eastAsia="宋体" w:cs="宋体"/>
          <w:spacing w:val="8"/>
          <w:position w:val="1"/>
          <w:sz w:val="20"/>
          <w:szCs w:val="20"/>
        </w:rPr>
        <w:t>5. 编制工程费用项目清单，出现附录一、附录二未</w:t>
      </w:r>
      <w:r>
        <w:rPr>
          <w:rFonts w:ascii="宋体" w:hAnsi="宋体" w:eastAsia="宋体" w:cs="宋体"/>
          <w:spacing w:val="7"/>
          <w:position w:val="1"/>
          <w:sz w:val="20"/>
          <w:szCs w:val="20"/>
        </w:rPr>
        <w:t>列的项目，编制人可作补充。</w:t>
      </w:r>
    </w:p>
    <w:p>
      <w:pPr>
        <w:pStyle w:val="2"/>
        <w:spacing w:before="90" w:line="201" w:lineRule="auto"/>
        <w:ind w:left="495"/>
        <w:rPr>
          <w:sz w:val="24"/>
          <w:szCs w:val="24"/>
        </w:rPr>
      </w:pPr>
      <w:r>
        <w:rPr>
          <w:spacing w:val="-2"/>
          <w:sz w:val="24"/>
          <w:szCs w:val="24"/>
        </w:rPr>
        <w:t>三、工程总承包其他费项目清单</w:t>
      </w:r>
    </w:p>
    <w:p>
      <w:pPr>
        <w:spacing w:before="88" w:line="298" w:lineRule="auto"/>
        <w:ind w:right="62" w:firstLine="439"/>
        <w:rPr>
          <w:rFonts w:ascii="宋体" w:hAnsi="宋体" w:eastAsia="宋体" w:cs="宋体"/>
          <w:sz w:val="20"/>
          <w:szCs w:val="20"/>
        </w:rPr>
      </w:pPr>
      <w:r>
        <w:rPr>
          <w:rFonts w:ascii="宋体" w:hAnsi="宋体" w:eastAsia="宋体" w:cs="宋体"/>
          <w:spacing w:val="8"/>
          <w:sz w:val="20"/>
          <w:szCs w:val="20"/>
        </w:rPr>
        <w:t>1. 工程总承包其他费项目清单应根据工程总承包项目的发</w:t>
      </w:r>
      <w:r>
        <w:rPr>
          <w:rFonts w:ascii="宋体" w:hAnsi="宋体" w:eastAsia="宋体" w:cs="宋体"/>
          <w:spacing w:val="7"/>
          <w:sz w:val="20"/>
          <w:szCs w:val="20"/>
        </w:rPr>
        <w:t>包范围和工作内容列项，并编写发包</w:t>
      </w:r>
      <w:r>
        <w:rPr>
          <w:rFonts w:ascii="宋体" w:hAnsi="宋体" w:eastAsia="宋体" w:cs="宋体"/>
          <w:spacing w:val="6"/>
          <w:sz w:val="20"/>
          <w:szCs w:val="20"/>
        </w:rPr>
        <w:t>人要求。</w:t>
      </w:r>
    </w:p>
    <w:p>
      <w:pPr>
        <w:spacing w:before="154" w:line="332" w:lineRule="auto"/>
        <w:ind w:right="62" w:firstLine="422"/>
        <w:rPr>
          <w:rFonts w:ascii="宋体" w:hAnsi="宋体" w:eastAsia="宋体" w:cs="宋体"/>
          <w:sz w:val="20"/>
          <w:szCs w:val="20"/>
        </w:rPr>
      </w:pPr>
      <w:r>
        <w:rPr>
          <w:rFonts w:ascii="宋体" w:hAnsi="宋体" w:eastAsia="宋体" w:cs="宋体"/>
          <w:spacing w:val="13"/>
          <w:sz w:val="20"/>
          <w:szCs w:val="20"/>
        </w:rPr>
        <w:t>2. 工程总承包其他费是指完成房屋建筑和市政基础设施项目发生的除工程费用和暂列金额以</w:t>
      </w:r>
      <w:r>
        <w:rPr>
          <w:rFonts w:ascii="宋体" w:hAnsi="宋体" w:eastAsia="宋体" w:cs="宋体"/>
          <w:spacing w:val="8"/>
          <w:sz w:val="20"/>
          <w:szCs w:val="20"/>
        </w:rPr>
        <w:t>外的费用，包 括：勘察设计费、研究试验费、工程总承包管理费、土地及占道使用补偿费、工程保</w:t>
      </w:r>
      <w:r>
        <w:rPr>
          <w:rFonts w:ascii="宋体" w:hAnsi="宋体" w:eastAsia="宋体" w:cs="宋体"/>
          <w:spacing w:val="9"/>
          <w:sz w:val="20"/>
          <w:szCs w:val="20"/>
        </w:rPr>
        <w:t>险费、场地准备费以及其他专项费等。</w:t>
      </w:r>
    </w:p>
    <w:p>
      <w:pPr>
        <w:spacing w:before="121" w:line="356" w:lineRule="auto"/>
        <w:ind w:left="2" w:firstLine="419"/>
        <w:jc w:val="both"/>
        <w:rPr>
          <w:rFonts w:ascii="宋体" w:hAnsi="宋体" w:eastAsia="宋体" w:cs="宋体"/>
          <w:sz w:val="20"/>
          <w:szCs w:val="20"/>
        </w:rPr>
      </w:pPr>
      <w:r>
        <w:rPr>
          <w:rFonts w:ascii="宋体" w:hAnsi="宋体" w:eastAsia="宋体" w:cs="宋体"/>
          <w:spacing w:val="7"/>
          <w:sz w:val="20"/>
          <w:szCs w:val="20"/>
        </w:rPr>
        <w:t>勘察设计费：是指用于完成房屋建筑和市政基础设施项目工程勘察、设计所发生的费用。包括：</w:t>
      </w:r>
      <w:r>
        <w:rPr>
          <w:rFonts w:ascii="宋体" w:hAnsi="宋体" w:eastAsia="宋体" w:cs="宋体"/>
          <w:spacing w:val="11"/>
          <w:sz w:val="20"/>
          <w:szCs w:val="20"/>
        </w:rPr>
        <w:t>工程勘察、方案设计、初步设计、施工图设计、专项设计、竣工图编制、建</w:t>
      </w:r>
      <w:r>
        <w:rPr>
          <w:rFonts w:ascii="宋体" w:hAnsi="宋体" w:eastAsia="宋体" w:cs="宋体"/>
          <w:spacing w:val="10"/>
          <w:sz w:val="20"/>
          <w:szCs w:val="20"/>
        </w:rPr>
        <w:t>筑信息模型 (</w:t>
      </w:r>
      <w:r>
        <w:rPr>
          <w:rFonts w:ascii="宋体" w:hAnsi="宋体" w:eastAsia="宋体" w:cs="宋体"/>
          <w:sz w:val="20"/>
          <w:szCs w:val="20"/>
        </w:rPr>
        <w:t>BIM</w:t>
      </w:r>
      <w:r>
        <w:rPr>
          <w:rFonts w:ascii="宋体" w:hAnsi="宋体" w:eastAsia="宋体" w:cs="宋体"/>
          <w:spacing w:val="10"/>
          <w:sz w:val="20"/>
          <w:szCs w:val="20"/>
        </w:rPr>
        <w:t>)技术</w:t>
      </w:r>
      <w:r>
        <w:rPr>
          <w:rFonts w:ascii="宋体" w:hAnsi="宋体" w:eastAsia="宋体" w:cs="宋体"/>
          <w:spacing w:val="8"/>
          <w:sz w:val="20"/>
          <w:szCs w:val="20"/>
        </w:rPr>
        <w:t>服务等所需的费用。</w:t>
      </w:r>
    </w:p>
    <w:p>
      <w:pPr>
        <w:spacing w:before="41" w:line="366" w:lineRule="auto"/>
        <w:ind w:right="65" w:firstLine="420"/>
        <w:jc w:val="both"/>
        <w:rPr>
          <w:rFonts w:ascii="宋体" w:hAnsi="宋体" w:eastAsia="宋体" w:cs="宋体"/>
          <w:sz w:val="20"/>
          <w:szCs w:val="20"/>
        </w:rPr>
      </w:pPr>
      <w:r>
        <w:rPr>
          <w:rFonts w:ascii="宋体" w:hAnsi="宋体" w:eastAsia="宋体" w:cs="宋体"/>
          <w:spacing w:val="11"/>
          <w:sz w:val="20"/>
          <w:szCs w:val="20"/>
        </w:rPr>
        <w:t>研究试验费：是指用于为房屋建筑和市政基础设施项目提供研究或验证设计数据</w:t>
      </w:r>
      <w:r>
        <w:rPr>
          <w:rFonts w:ascii="宋体" w:hAnsi="宋体" w:eastAsia="宋体" w:cs="宋体"/>
          <w:spacing w:val="10"/>
          <w:sz w:val="20"/>
          <w:szCs w:val="20"/>
        </w:rPr>
        <w:t>、资料进行必</w:t>
      </w:r>
      <w:r>
        <w:rPr>
          <w:rFonts w:ascii="宋体" w:hAnsi="宋体" w:eastAsia="宋体" w:cs="宋体"/>
          <w:spacing w:val="11"/>
          <w:sz w:val="20"/>
          <w:szCs w:val="20"/>
        </w:rPr>
        <w:t>要的研究实验以及按照设计规定在建设过程中必须进行实验、验证所需的费用，</w:t>
      </w:r>
      <w:r>
        <w:rPr>
          <w:rFonts w:ascii="宋体" w:hAnsi="宋体" w:eastAsia="宋体" w:cs="宋体"/>
          <w:spacing w:val="10"/>
          <w:sz w:val="20"/>
          <w:szCs w:val="20"/>
        </w:rPr>
        <w:t>以及科研成果、先</w:t>
      </w:r>
      <w:r>
        <w:rPr>
          <w:rFonts w:ascii="宋体" w:hAnsi="宋体" w:eastAsia="宋体" w:cs="宋体"/>
          <w:spacing w:val="9"/>
          <w:sz w:val="20"/>
          <w:szCs w:val="20"/>
        </w:rPr>
        <w:t>进技术等的一次性技术转让费。</w:t>
      </w:r>
    </w:p>
    <w:p>
      <w:pPr>
        <w:spacing w:before="11" w:line="352" w:lineRule="auto"/>
        <w:ind w:left="2" w:right="65" w:firstLine="420"/>
        <w:rPr>
          <w:rFonts w:ascii="宋体" w:hAnsi="宋体" w:eastAsia="宋体" w:cs="宋体"/>
          <w:sz w:val="20"/>
          <w:szCs w:val="20"/>
        </w:rPr>
      </w:pPr>
      <w:r>
        <w:rPr>
          <w:rFonts w:ascii="宋体" w:hAnsi="宋体" w:eastAsia="宋体" w:cs="宋体"/>
          <w:spacing w:val="11"/>
          <w:sz w:val="20"/>
          <w:szCs w:val="20"/>
        </w:rPr>
        <w:t>工程总承包管理费：是指总承包单位用于组织勘察设计、设备采购、建筑安</w:t>
      </w:r>
      <w:r>
        <w:rPr>
          <w:rFonts w:ascii="宋体" w:hAnsi="宋体" w:eastAsia="宋体" w:cs="宋体"/>
          <w:spacing w:val="10"/>
          <w:sz w:val="20"/>
          <w:szCs w:val="20"/>
        </w:rPr>
        <w:t>装施工所发生的协</w:t>
      </w:r>
      <w:r>
        <w:rPr>
          <w:rFonts w:ascii="宋体" w:hAnsi="宋体" w:eastAsia="宋体" w:cs="宋体"/>
          <w:spacing w:val="9"/>
          <w:sz w:val="20"/>
          <w:szCs w:val="20"/>
        </w:rPr>
        <w:t>调管理费用和招标投标费、财务费、咨询费等其他管理性质的费用。</w:t>
      </w:r>
    </w:p>
    <w:p>
      <w:pPr>
        <w:spacing w:before="39" w:line="351" w:lineRule="auto"/>
        <w:ind w:left="18" w:right="65" w:firstLine="402"/>
        <w:rPr>
          <w:rFonts w:ascii="宋体" w:hAnsi="宋体" w:eastAsia="宋体" w:cs="宋体"/>
          <w:sz w:val="20"/>
          <w:szCs w:val="20"/>
        </w:rPr>
      </w:pPr>
      <w:r>
        <w:rPr>
          <w:rFonts w:ascii="宋体" w:hAnsi="宋体" w:eastAsia="宋体" w:cs="宋体"/>
          <w:spacing w:val="11"/>
          <w:sz w:val="20"/>
          <w:szCs w:val="20"/>
        </w:rPr>
        <w:t>招标投标费是指总承包单位用于材料、设备采购以及工程设计、施工分包等招</w:t>
      </w:r>
      <w:r>
        <w:rPr>
          <w:rFonts w:ascii="宋体" w:hAnsi="宋体" w:eastAsia="宋体" w:cs="宋体"/>
          <w:spacing w:val="10"/>
          <w:sz w:val="20"/>
          <w:szCs w:val="20"/>
        </w:rPr>
        <w:t>标和总承包投标</w:t>
      </w:r>
      <w:r>
        <w:rPr>
          <w:rFonts w:ascii="宋体" w:hAnsi="宋体" w:eastAsia="宋体" w:cs="宋体"/>
          <w:spacing w:val="1"/>
          <w:sz w:val="20"/>
          <w:szCs w:val="20"/>
        </w:rPr>
        <w:t>的费用。</w:t>
      </w:r>
    </w:p>
    <w:p>
      <w:pPr>
        <w:spacing w:before="41" w:line="370" w:lineRule="auto"/>
        <w:ind w:right="65" w:firstLine="423"/>
        <w:rPr>
          <w:rFonts w:ascii="宋体" w:hAnsi="宋体" w:eastAsia="宋体" w:cs="宋体"/>
          <w:sz w:val="20"/>
          <w:szCs w:val="20"/>
        </w:rPr>
      </w:pPr>
      <w:r>
        <w:rPr>
          <w:rFonts w:ascii="宋体" w:hAnsi="宋体" w:eastAsia="宋体" w:cs="宋体"/>
          <w:spacing w:val="11"/>
          <w:sz w:val="20"/>
          <w:szCs w:val="20"/>
        </w:rPr>
        <w:t>财务费是指总承包单位组织工程总承包提供投标担保、履约担保、预付款</w:t>
      </w:r>
      <w:r>
        <w:rPr>
          <w:rFonts w:ascii="宋体" w:hAnsi="宋体" w:eastAsia="宋体" w:cs="宋体"/>
          <w:spacing w:val="10"/>
          <w:sz w:val="20"/>
          <w:szCs w:val="20"/>
        </w:rPr>
        <w:t>担保以及可能需要的</w:t>
      </w:r>
      <w:r>
        <w:rPr>
          <w:rFonts w:ascii="宋体" w:hAnsi="宋体" w:eastAsia="宋体" w:cs="宋体"/>
          <w:spacing w:val="8"/>
          <w:sz w:val="20"/>
          <w:szCs w:val="20"/>
        </w:rPr>
        <w:t>筹集资金等所发生的费用。</w:t>
      </w:r>
    </w:p>
    <w:p>
      <w:pPr>
        <w:spacing w:line="221" w:lineRule="auto"/>
        <w:ind w:left="427"/>
        <w:rPr>
          <w:rFonts w:ascii="宋体" w:hAnsi="宋体" w:eastAsia="宋体" w:cs="宋体"/>
          <w:sz w:val="20"/>
          <w:szCs w:val="20"/>
        </w:rPr>
      </w:pPr>
      <w:r>
        <w:rPr>
          <w:rFonts w:ascii="宋体" w:hAnsi="宋体" w:eastAsia="宋体" w:cs="宋体"/>
          <w:spacing w:val="9"/>
          <w:sz w:val="20"/>
          <w:szCs w:val="20"/>
        </w:rPr>
        <w:t>咨询费是指总承包单位用于工程总承包项目所需要的工程技术经济咨询、法律咨询等的费用。</w:t>
      </w:r>
    </w:p>
    <w:p>
      <w:pPr>
        <w:spacing w:before="156" w:line="352" w:lineRule="auto"/>
        <w:ind w:left="2" w:right="65" w:firstLine="424"/>
        <w:rPr>
          <w:rFonts w:ascii="宋体" w:hAnsi="宋体" w:eastAsia="宋体" w:cs="宋体"/>
          <w:sz w:val="20"/>
          <w:szCs w:val="20"/>
        </w:rPr>
      </w:pPr>
      <w:r>
        <w:rPr>
          <w:rFonts w:ascii="宋体" w:hAnsi="宋体" w:eastAsia="宋体" w:cs="宋体"/>
          <w:spacing w:val="11"/>
          <w:sz w:val="20"/>
          <w:szCs w:val="20"/>
        </w:rPr>
        <w:t>土地及占道使用补偿费：是指在项目建设期内因需要而用于临时租</w:t>
      </w:r>
      <w:r>
        <w:rPr>
          <w:rFonts w:ascii="宋体" w:hAnsi="宋体" w:eastAsia="宋体" w:cs="宋体"/>
          <w:spacing w:val="10"/>
          <w:sz w:val="20"/>
          <w:szCs w:val="20"/>
        </w:rPr>
        <w:t>用土地使用权或临时占用道</w:t>
      </w:r>
      <w:r>
        <w:rPr>
          <w:rFonts w:ascii="宋体" w:hAnsi="宋体" w:eastAsia="宋体" w:cs="宋体"/>
          <w:spacing w:val="9"/>
          <w:sz w:val="20"/>
          <w:szCs w:val="20"/>
        </w:rPr>
        <w:t>路而发生的费用以及用于土地复垦、植被或道路恢复等的费用。</w:t>
      </w:r>
    </w:p>
    <w:p>
      <w:pPr>
        <w:spacing w:before="38" w:line="369" w:lineRule="auto"/>
        <w:ind w:left="3" w:right="65" w:firstLine="419"/>
        <w:jc w:val="both"/>
        <w:rPr>
          <w:rFonts w:ascii="宋体" w:hAnsi="宋体" w:eastAsia="宋体" w:cs="宋体"/>
          <w:sz w:val="20"/>
          <w:szCs w:val="20"/>
        </w:rPr>
      </w:pPr>
      <w:r>
        <w:rPr>
          <w:rFonts w:ascii="宋体" w:hAnsi="宋体" w:eastAsia="宋体" w:cs="宋体"/>
          <w:spacing w:val="11"/>
          <w:sz w:val="20"/>
          <w:szCs w:val="20"/>
        </w:rPr>
        <w:t>工程保险费：是指在项目建设期内对建筑工程、安装工程、机械设备和人身</w:t>
      </w:r>
      <w:r>
        <w:rPr>
          <w:rFonts w:ascii="宋体" w:hAnsi="宋体" w:eastAsia="宋体" w:cs="宋体"/>
          <w:spacing w:val="10"/>
          <w:sz w:val="20"/>
          <w:szCs w:val="20"/>
        </w:rPr>
        <w:t>安全进行投保而发</w:t>
      </w:r>
      <w:r>
        <w:rPr>
          <w:rFonts w:ascii="宋体" w:hAnsi="宋体" w:eastAsia="宋体" w:cs="宋体"/>
          <w:spacing w:val="11"/>
          <w:sz w:val="20"/>
          <w:szCs w:val="20"/>
        </w:rPr>
        <w:t>生的费用。包括建设工程设计责任险、建筑工程一切险、安装工程一切险</w:t>
      </w:r>
      <w:r>
        <w:rPr>
          <w:rFonts w:ascii="宋体" w:hAnsi="宋体" w:eastAsia="宋体" w:cs="宋体"/>
          <w:spacing w:val="10"/>
          <w:sz w:val="20"/>
          <w:szCs w:val="20"/>
        </w:rPr>
        <w:t>、工程质量保险等，不包</w:t>
      </w:r>
      <w:r>
        <w:rPr>
          <w:rFonts w:ascii="宋体" w:hAnsi="宋体" w:eastAsia="宋体" w:cs="宋体"/>
          <w:spacing w:val="8"/>
          <w:sz w:val="20"/>
          <w:szCs w:val="20"/>
        </w:rPr>
        <w:t>括应列入建筑安装工程费的保险。</w:t>
      </w:r>
    </w:p>
    <w:p>
      <w:pPr>
        <w:spacing w:before="1" w:line="351" w:lineRule="auto"/>
        <w:ind w:right="65" w:firstLine="421"/>
        <w:rPr>
          <w:rFonts w:ascii="宋体" w:hAnsi="宋体" w:eastAsia="宋体" w:cs="宋体"/>
          <w:sz w:val="20"/>
          <w:szCs w:val="20"/>
        </w:rPr>
      </w:pPr>
      <w:r>
        <w:rPr>
          <w:rFonts w:ascii="宋体" w:hAnsi="宋体" w:eastAsia="宋体" w:cs="宋体"/>
          <w:spacing w:val="11"/>
          <w:sz w:val="20"/>
          <w:szCs w:val="20"/>
        </w:rPr>
        <w:t>场地准备费：是指为达到项目实施条件所发生的地表清理、临时水、电、路</w:t>
      </w:r>
      <w:r>
        <w:rPr>
          <w:rFonts w:ascii="宋体" w:hAnsi="宋体" w:eastAsia="宋体" w:cs="宋体"/>
          <w:spacing w:val="10"/>
          <w:sz w:val="20"/>
          <w:szCs w:val="20"/>
        </w:rPr>
        <w:t>等的接入工程，不</w:t>
      </w:r>
      <w:r>
        <w:rPr>
          <w:rFonts w:ascii="宋体" w:hAnsi="宋体" w:eastAsia="宋体" w:cs="宋体"/>
          <w:spacing w:val="9"/>
          <w:sz w:val="20"/>
          <w:szCs w:val="20"/>
        </w:rPr>
        <w:t>包括应列入建筑安装工程费的施工现场范围内的临时水、电、路工程。</w:t>
      </w:r>
    </w:p>
    <w:p>
      <w:pPr>
        <w:spacing w:line="351" w:lineRule="auto"/>
        <w:rPr>
          <w:rFonts w:ascii="宋体" w:hAnsi="宋体" w:eastAsia="宋体" w:cs="宋体"/>
          <w:sz w:val="20"/>
          <w:szCs w:val="20"/>
        </w:rPr>
        <w:sectPr>
          <w:footerReference r:id="rId270" w:type="default"/>
          <w:pgSz w:w="11906" w:h="16839"/>
          <w:pgMar w:top="400" w:right="1355"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6"/>
        <w:rPr>
          <w:rFonts w:ascii="宋体" w:hAnsi="宋体" w:eastAsia="宋体" w:cs="宋体"/>
          <w:sz w:val="20"/>
          <w:szCs w:val="20"/>
        </w:rPr>
      </w:pPr>
      <w:r>
        <w:rPr>
          <w:rFonts w:ascii="宋体" w:hAnsi="宋体" w:eastAsia="宋体" w:cs="宋体"/>
          <w:spacing w:val="4"/>
          <w:position w:val="1"/>
          <w:sz w:val="20"/>
          <w:szCs w:val="20"/>
        </w:rPr>
        <w:t>3. 编制工程总承包其他费项目清单，出现第</w:t>
      </w:r>
      <w:r>
        <w:rPr>
          <w:rFonts w:ascii="宋体" w:hAnsi="宋体" w:eastAsia="宋体" w:cs="宋体"/>
          <w:spacing w:val="-34"/>
          <w:position w:val="1"/>
          <w:sz w:val="20"/>
          <w:szCs w:val="20"/>
        </w:rPr>
        <w:t xml:space="preserve"> </w:t>
      </w:r>
      <w:r>
        <w:rPr>
          <w:rFonts w:ascii="宋体" w:hAnsi="宋体" w:eastAsia="宋体" w:cs="宋体"/>
          <w:spacing w:val="4"/>
          <w:position w:val="1"/>
          <w:sz w:val="20"/>
          <w:szCs w:val="20"/>
        </w:rPr>
        <w:t>3.3.1</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条未列的项目，编制人可作补充。</w:t>
      </w:r>
    </w:p>
    <w:p>
      <w:pPr>
        <w:pStyle w:val="2"/>
        <w:spacing w:before="87" w:line="202" w:lineRule="auto"/>
        <w:ind w:left="505"/>
        <w:rPr>
          <w:sz w:val="24"/>
          <w:szCs w:val="24"/>
        </w:rPr>
      </w:pPr>
      <w:r>
        <w:rPr>
          <w:spacing w:val="-5"/>
          <w:sz w:val="24"/>
          <w:szCs w:val="24"/>
        </w:rPr>
        <w:t>四、暂列金额</w:t>
      </w:r>
    </w:p>
    <w:p>
      <w:pPr>
        <w:spacing w:before="90" w:line="276" w:lineRule="exact"/>
        <w:ind w:left="440"/>
        <w:rPr>
          <w:rFonts w:ascii="宋体" w:hAnsi="宋体" w:eastAsia="宋体" w:cs="宋体"/>
          <w:sz w:val="20"/>
          <w:szCs w:val="20"/>
        </w:rPr>
      </w:pPr>
      <w:r>
        <w:rPr>
          <w:rFonts w:ascii="宋体" w:hAnsi="宋体" w:eastAsia="宋体" w:cs="宋体"/>
          <w:spacing w:val="7"/>
          <w:position w:val="1"/>
          <w:sz w:val="20"/>
          <w:szCs w:val="20"/>
        </w:rPr>
        <w:t>1. 暂列金额应根据建设项目的复杂程度、设计深度、工程环境条件等列项并估算。</w:t>
      </w:r>
    </w:p>
    <w:p>
      <w:pPr>
        <w:spacing w:before="123" w:line="321" w:lineRule="auto"/>
        <w:ind w:left="4" w:right="179" w:firstLine="418"/>
        <w:rPr>
          <w:rFonts w:ascii="宋体" w:hAnsi="宋体" w:eastAsia="宋体" w:cs="宋体"/>
          <w:sz w:val="20"/>
          <w:szCs w:val="20"/>
        </w:rPr>
      </w:pPr>
      <w:r>
        <w:rPr>
          <w:rFonts w:ascii="宋体" w:hAnsi="宋体" w:eastAsia="宋体" w:cs="宋体"/>
          <w:spacing w:val="8"/>
          <w:sz w:val="20"/>
          <w:szCs w:val="20"/>
        </w:rPr>
        <w:t>2. 暂列金额是指发包人在项目清单中暂定并包括在合同价格中，用于合同签订时尚未确定或不</w:t>
      </w:r>
      <w:r>
        <w:rPr>
          <w:rFonts w:ascii="宋体" w:hAnsi="宋体" w:eastAsia="宋体" w:cs="宋体"/>
          <w:spacing w:val="11"/>
          <w:sz w:val="20"/>
          <w:szCs w:val="20"/>
        </w:rPr>
        <w:t>可预见的所需材料、工程设备、服务的采购，可能发生的工程变更、合</w:t>
      </w:r>
      <w:r>
        <w:rPr>
          <w:rFonts w:ascii="宋体" w:hAnsi="宋体" w:eastAsia="宋体" w:cs="宋体"/>
          <w:spacing w:val="10"/>
          <w:sz w:val="20"/>
          <w:szCs w:val="20"/>
        </w:rPr>
        <w:t>同约定调整因素出现时的合</w:t>
      </w:r>
      <w:r>
        <w:rPr>
          <w:rFonts w:ascii="宋体" w:hAnsi="宋体" w:eastAsia="宋体" w:cs="宋体"/>
          <w:spacing w:val="9"/>
          <w:sz w:val="20"/>
          <w:szCs w:val="20"/>
        </w:rPr>
        <w:t>同价款调整以及发生的索赔、现场签证等的费用。</w:t>
      </w:r>
    </w:p>
    <w:p>
      <w:pPr>
        <w:pStyle w:val="2"/>
        <w:spacing w:before="241" w:line="206" w:lineRule="auto"/>
        <w:ind w:left="2149"/>
        <w:outlineLvl w:val="0"/>
      </w:pPr>
      <w:bookmarkStart w:id="151" w:name="bookmark97"/>
      <w:bookmarkEnd w:id="151"/>
      <w:bookmarkStart w:id="152" w:name="bookmark96"/>
      <w:bookmarkEnd w:id="152"/>
      <w:r>
        <w:rPr>
          <w:spacing w:val="8"/>
        </w:rPr>
        <w:t>第四章</w:t>
      </w:r>
      <w:r>
        <w:rPr>
          <w:spacing w:val="18"/>
        </w:rPr>
        <w:t xml:space="preserve">   </w:t>
      </w:r>
      <w:r>
        <w:rPr>
          <w:spacing w:val="8"/>
        </w:rPr>
        <w:t>标底或最高投标限价编制</w:t>
      </w:r>
    </w:p>
    <w:p>
      <w:pPr>
        <w:spacing w:before="242" w:line="276" w:lineRule="exact"/>
        <w:ind w:left="440"/>
        <w:rPr>
          <w:rFonts w:ascii="宋体" w:hAnsi="宋体" w:eastAsia="宋体" w:cs="宋体"/>
          <w:sz w:val="20"/>
          <w:szCs w:val="20"/>
        </w:rPr>
      </w:pPr>
      <w:r>
        <w:rPr>
          <w:rFonts w:ascii="宋体" w:hAnsi="宋体" w:eastAsia="宋体" w:cs="宋体"/>
          <w:spacing w:val="7"/>
          <w:position w:val="1"/>
          <w:sz w:val="20"/>
          <w:szCs w:val="20"/>
        </w:rPr>
        <w:t>1. 招标人采用工程总承包方式发包的，可以选择设置标底或最高投标限价进行招标。</w:t>
      </w:r>
    </w:p>
    <w:p>
      <w:pPr>
        <w:spacing w:before="124" w:line="313" w:lineRule="auto"/>
        <w:ind w:left="1" w:right="182" w:firstLine="421"/>
        <w:rPr>
          <w:rFonts w:ascii="宋体" w:hAnsi="宋体" w:eastAsia="宋体" w:cs="宋体"/>
          <w:sz w:val="20"/>
          <w:szCs w:val="20"/>
        </w:rPr>
      </w:pPr>
      <w:r>
        <w:rPr>
          <w:rFonts w:ascii="宋体" w:hAnsi="宋体" w:eastAsia="宋体" w:cs="宋体"/>
          <w:spacing w:val="8"/>
          <w:sz w:val="20"/>
          <w:szCs w:val="20"/>
        </w:rPr>
        <w:t>2. 标底或最高投标限价应依据招标文件、工程总承包项目清单及其他相关资料，按下列规定形</w:t>
      </w:r>
      <w:r>
        <w:rPr>
          <w:rFonts w:ascii="宋体" w:hAnsi="宋体" w:eastAsia="宋体" w:cs="宋体"/>
          <w:spacing w:val="2"/>
          <w:sz w:val="20"/>
          <w:szCs w:val="20"/>
        </w:rPr>
        <w:t>成：</w:t>
      </w:r>
    </w:p>
    <w:p>
      <w:pPr>
        <w:spacing w:before="121" w:line="297" w:lineRule="auto"/>
        <w:ind w:left="1" w:right="179" w:firstLine="411"/>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1）在可行性研究或方案设计批准后发包的，招标人宜采用投资估算中与发包范围一致的估算</w:t>
      </w:r>
      <w:r>
        <w:rPr>
          <w:rFonts w:ascii="宋体" w:hAnsi="宋体" w:eastAsia="宋体" w:cs="宋体"/>
          <w:spacing w:val="9"/>
          <w:sz w:val="20"/>
          <w:szCs w:val="20"/>
        </w:rPr>
        <w:t>金额为限额按照本规则的规定编制。</w:t>
      </w:r>
    </w:p>
    <w:p>
      <w:pPr>
        <w:spacing w:before="156" w:line="297" w:lineRule="auto"/>
        <w:ind w:left="1" w:right="179" w:firstLine="411"/>
        <w:rPr>
          <w:rFonts w:ascii="宋体" w:hAnsi="宋体" w:eastAsia="宋体" w:cs="宋体"/>
          <w:sz w:val="20"/>
          <w:szCs w:val="20"/>
        </w:rPr>
      </w:pPr>
      <w:r>
        <w:rPr>
          <w:rFonts w:ascii="宋体" w:hAnsi="宋体" w:eastAsia="宋体" w:cs="宋体"/>
          <w:spacing w:val="9"/>
          <w:sz w:val="20"/>
          <w:szCs w:val="20"/>
        </w:rPr>
        <w:t>（2）在初步设计批准后发包的，招标人宜</w:t>
      </w:r>
      <w:r>
        <w:rPr>
          <w:rFonts w:ascii="宋体" w:hAnsi="宋体" w:eastAsia="宋体" w:cs="宋体"/>
          <w:spacing w:val="8"/>
          <w:sz w:val="20"/>
          <w:szCs w:val="20"/>
        </w:rPr>
        <w:t>采用初步设计概算中与发包范围一致的概算金额为限额按照本规则的规定编制。</w:t>
      </w:r>
    </w:p>
    <w:p>
      <w:pPr>
        <w:pStyle w:val="2"/>
        <w:spacing w:before="244" w:line="207" w:lineRule="auto"/>
        <w:ind w:left="2951"/>
        <w:outlineLvl w:val="1"/>
      </w:pPr>
      <w:bookmarkStart w:id="153" w:name="bookmark99"/>
      <w:bookmarkEnd w:id="153"/>
      <w:bookmarkStart w:id="154" w:name="bookmark98"/>
      <w:bookmarkEnd w:id="154"/>
      <w:r>
        <w:rPr>
          <w:spacing w:val="6"/>
        </w:rPr>
        <w:t>第五章</w:t>
      </w:r>
      <w:r>
        <w:rPr>
          <w:spacing w:val="20"/>
        </w:rPr>
        <w:t xml:space="preserve">   </w:t>
      </w:r>
      <w:r>
        <w:rPr>
          <w:spacing w:val="6"/>
        </w:rPr>
        <w:t>投标报价编制</w:t>
      </w:r>
    </w:p>
    <w:p>
      <w:pPr>
        <w:spacing w:before="237" w:line="297" w:lineRule="auto"/>
        <w:ind w:left="3" w:right="179" w:firstLine="437"/>
        <w:rPr>
          <w:rFonts w:ascii="宋体" w:hAnsi="宋体" w:eastAsia="宋体" w:cs="宋体"/>
          <w:sz w:val="20"/>
          <w:szCs w:val="20"/>
        </w:rPr>
      </w:pPr>
      <w:r>
        <w:rPr>
          <w:rFonts w:ascii="宋体" w:hAnsi="宋体" w:eastAsia="宋体" w:cs="宋体"/>
          <w:spacing w:val="8"/>
          <w:sz w:val="20"/>
          <w:szCs w:val="20"/>
        </w:rPr>
        <w:t>1. 投标人应依据《计价规则》、招标文件</w:t>
      </w:r>
      <w:r>
        <w:rPr>
          <w:rFonts w:ascii="宋体" w:hAnsi="宋体" w:eastAsia="宋体" w:cs="宋体"/>
          <w:spacing w:val="7"/>
          <w:sz w:val="20"/>
          <w:szCs w:val="20"/>
        </w:rPr>
        <w:t>(包括招标项目清单)及其答疑纪要、可行性研究、方</w:t>
      </w:r>
      <w:r>
        <w:rPr>
          <w:rFonts w:ascii="宋体" w:hAnsi="宋体" w:eastAsia="宋体" w:cs="宋体"/>
          <w:spacing w:val="9"/>
          <w:sz w:val="20"/>
          <w:szCs w:val="20"/>
        </w:rPr>
        <w:t>案设计或初步设计文件、本企业积累的同类或类似工程的价格自主确定投标报价。</w:t>
      </w:r>
    </w:p>
    <w:p>
      <w:pPr>
        <w:spacing w:before="160" w:line="320" w:lineRule="auto"/>
        <w:ind w:left="1" w:right="179" w:firstLine="421"/>
        <w:rPr>
          <w:rFonts w:ascii="宋体" w:hAnsi="宋体" w:eastAsia="宋体" w:cs="宋体"/>
          <w:sz w:val="20"/>
          <w:szCs w:val="20"/>
        </w:rPr>
      </w:pPr>
      <w:r>
        <w:rPr>
          <w:rFonts w:ascii="宋体" w:hAnsi="宋体" w:eastAsia="宋体" w:cs="宋体"/>
          <w:spacing w:val="8"/>
          <w:sz w:val="20"/>
          <w:szCs w:val="20"/>
        </w:rPr>
        <w:t>2. 可行性研究或方案设计批准后发包的，招标人提供的工程费用项目清单可不列分部分项工程</w:t>
      </w:r>
      <w:r>
        <w:rPr>
          <w:rFonts w:ascii="宋体" w:hAnsi="宋体" w:eastAsia="宋体" w:cs="宋体"/>
          <w:spacing w:val="11"/>
          <w:sz w:val="20"/>
          <w:szCs w:val="20"/>
        </w:rPr>
        <w:t>数量，由投标人自主填报分部分项工程数量。初步设计批准后发包的，招标人</w:t>
      </w:r>
      <w:r>
        <w:rPr>
          <w:rFonts w:ascii="宋体" w:hAnsi="宋体" w:eastAsia="宋体" w:cs="宋体"/>
          <w:spacing w:val="10"/>
          <w:sz w:val="20"/>
          <w:szCs w:val="20"/>
        </w:rPr>
        <w:t>提供的工程费用项目</w:t>
      </w:r>
      <w:r>
        <w:rPr>
          <w:rFonts w:ascii="宋体" w:hAnsi="宋体" w:eastAsia="宋体" w:cs="宋体"/>
          <w:spacing w:val="9"/>
          <w:sz w:val="20"/>
          <w:szCs w:val="20"/>
        </w:rPr>
        <w:t>清单分部分项工程数量作为投标人投标报价的参考。</w:t>
      </w:r>
    </w:p>
    <w:p>
      <w:pPr>
        <w:spacing w:before="159" w:line="321" w:lineRule="auto"/>
        <w:ind w:left="1" w:right="179" w:firstLine="424"/>
        <w:rPr>
          <w:rFonts w:ascii="宋体" w:hAnsi="宋体" w:eastAsia="宋体" w:cs="宋体"/>
          <w:sz w:val="20"/>
          <w:szCs w:val="20"/>
        </w:rPr>
      </w:pPr>
      <w:r>
        <w:rPr>
          <w:rFonts w:ascii="宋体" w:hAnsi="宋体" w:eastAsia="宋体" w:cs="宋体"/>
          <w:spacing w:val="8"/>
          <w:sz w:val="20"/>
          <w:szCs w:val="20"/>
        </w:rPr>
        <w:t>3. 投标人应结合招标时的设计文件和完工交付要求对招标项目清单进行复核。投标人对招</w:t>
      </w:r>
      <w:r>
        <w:rPr>
          <w:rFonts w:ascii="宋体" w:hAnsi="宋体" w:eastAsia="宋体" w:cs="宋体"/>
          <w:spacing w:val="7"/>
          <w:sz w:val="20"/>
          <w:szCs w:val="20"/>
        </w:rPr>
        <w:t>标项</w:t>
      </w:r>
      <w:r>
        <w:rPr>
          <w:rFonts w:ascii="宋体" w:hAnsi="宋体" w:eastAsia="宋体" w:cs="宋体"/>
          <w:spacing w:val="11"/>
          <w:sz w:val="20"/>
          <w:szCs w:val="20"/>
        </w:rPr>
        <w:t>目清单有疑问或异议的，应按照招标文件的规定，及时书面提请招标人澄清。</w:t>
      </w:r>
      <w:r>
        <w:rPr>
          <w:rFonts w:ascii="宋体" w:hAnsi="宋体" w:eastAsia="宋体" w:cs="宋体"/>
          <w:spacing w:val="10"/>
          <w:sz w:val="20"/>
          <w:szCs w:val="20"/>
        </w:rPr>
        <w:t>招标人核实后对招标</w:t>
      </w:r>
      <w:r>
        <w:rPr>
          <w:rFonts w:ascii="宋体" w:hAnsi="宋体" w:eastAsia="宋体" w:cs="宋体"/>
          <w:spacing w:val="9"/>
          <w:sz w:val="20"/>
          <w:szCs w:val="20"/>
        </w:rPr>
        <w:t>项目清单进行修正的，投标人按修正后的招标项目清单报价。</w:t>
      </w:r>
    </w:p>
    <w:p>
      <w:pPr>
        <w:spacing w:before="158" w:line="331" w:lineRule="auto"/>
        <w:ind w:right="61" w:firstLine="420"/>
        <w:rPr>
          <w:rFonts w:ascii="宋体" w:hAnsi="宋体" w:eastAsia="宋体" w:cs="宋体"/>
          <w:sz w:val="20"/>
          <w:szCs w:val="20"/>
        </w:rPr>
      </w:pPr>
      <w:r>
        <w:rPr>
          <w:rFonts w:ascii="宋体" w:hAnsi="宋体" w:eastAsia="宋体" w:cs="宋体"/>
          <w:spacing w:val="1"/>
          <w:sz w:val="20"/>
          <w:szCs w:val="20"/>
        </w:rPr>
        <w:t>4. 投标人对招标项目清单存在的缺陷或异议未提请招标人修正或澄清，或按《计价规则》第5.0.3</w:t>
      </w:r>
      <w:r>
        <w:rPr>
          <w:rFonts w:ascii="宋体" w:hAnsi="宋体" w:eastAsia="宋体" w:cs="宋体"/>
          <w:spacing w:val="9"/>
          <w:sz w:val="20"/>
          <w:szCs w:val="20"/>
        </w:rPr>
        <w:t>条的规定提出疑问或异议后未被招标人采纳，投标人应在投标报价中综合考虑</w:t>
      </w:r>
      <w:r>
        <w:rPr>
          <w:rFonts w:ascii="宋体" w:hAnsi="宋体" w:eastAsia="宋体" w:cs="宋体"/>
          <w:spacing w:val="8"/>
          <w:sz w:val="20"/>
          <w:szCs w:val="20"/>
        </w:rPr>
        <w:t>，但属于《计价规则》</w:t>
      </w:r>
      <w:r>
        <w:rPr>
          <w:rFonts w:ascii="宋体" w:hAnsi="宋体" w:eastAsia="宋体" w:cs="宋体"/>
          <w:sz w:val="20"/>
          <w:szCs w:val="20"/>
        </w:rPr>
        <w:t>第</w:t>
      </w:r>
      <w:r>
        <w:rPr>
          <w:rFonts w:ascii="宋体" w:hAnsi="宋体" w:eastAsia="宋体" w:cs="宋体"/>
          <w:spacing w:val="-34"/>
          <w:sz w:val="20"/>
          <w:szCs w:val="20"/>
        </w:rPr>
        <w:t xml:space="preserve"> </w:t>
      </w:r>
      <w:r>
        <w:rPr>
          <w:rFonts w:ascii="宋体" w:hAnsi="宋体" w:eastAsia="宋体" w:cs="宋体"/>
          <w:sz w:val="20"/>
          <w:szCs w:val="20"/>
        </w:rPr>
        <w:t>2.3.2</w:t>
      </w:r>
      <w:r>
        <w:rPr>
          <w:rFonts w:ascii="宋体" w:hAnsi="宋体" w:eastAsia="宋体" w:cs="宋体"/>
          <w:spacing w:val="-40"/>
          <w:sz w:val="20"/>
          <w:szCs w:val="20"/>
        </w:rPr>
        <w:t xml:space="preserve"> </w:t>
      </w:r>
      <w:r>
        <w:rPr>
          <w:rFonts w:ascii="宋体" w:hAnsi="宋体" w:eastAsia="宋体" w:cs="宋体"/>
          <w:sz w:val="20"/>
          <w:szCs w:val="20"/>
        </w:rPr>
        <w:t>条规定范围的风险除外。</w:t>
      </w:r>
    </w:p>
    <w:p>
      <w:pPr>
        <w:spacing w:before="123" w:line="277" w:lineRule="exact"/>
        <w:jc w:val="right"/>
        <w:rPr>
          <w:rFonts w:ascii="宋体" w:hAnsi="宋体" w:eastAsia="宋体" w:cs="宋体"/>
          <w:sz w:val="20"/>
          <w:szCs w:val="20"/>
        </w:rPr>
      </w:pPr>
      <w:r>
        <w:rPr>
          <w:rFonts w:ascii="宋体" w:hAnsi="宋体" w:eastAsia="宋体" w:cs="宋体"/>
          <w:spacing w:val="7"/>
          <w:position w:val="1"/>
          <w:sz w:val="20"/>
          <w:szCs w:val="20"/>
        </w:rPr>
        <w:t>5. 项目清单发包人要求中对产品品质做出要求的，投标人应对采用的产品品牌及档次予以明示。</w:t>
      </w:r>
    </w:p>
    <w:p>
      <w:pPr>
        <w:spacing w:before="122" w:line="276" w:lineRule="exact"/>
        <w:ind w:left="423"/>
        <w:rPr>
          <w:rFonts w:ascii="宋体" w:hAnsi="宋体" w:eastAsia="宋体" w:cs="宋体"/>
          <w:sz w:val="20"/>
          <w:szCs w:val="20"/>
        </w:rPr>
      </w:pPr>
      <w:r>
        <w:rPr>
          <w:rFonts w:ascii="宋体" w:hAnsi="宋体" w:eastAsia="宋体" w:cs="宋体"/>
          <w:spacing w:val="8"/>
          <w:position w:val="1"/>
          <w:sz w:val="20"/>
          <w:szCs w:val="20"/>
        </w:rPr>
        <w:t>6. 暂列金额应按招标项目清单中列出的金额填写，不</w:t>
      </w:r>
      <w:r>
        <w:rPr>
          <w:rFonts w:ascii="宋体" w:hAnsi="宋体" w:eastAsia="宋体" w:cs="宋体"/>
          <w:spacing w:val="7"/>
          <w:position w:val="1"/>
          <w:sz w:val="20"/>
          <w:szCs w:val="20"/>
        </w:rPr>
        <w:t>得变动，并计入投标总价中。</w:t>
      </w:r>
    </w:p>
    <w:p>
      <w:pPr>
        <w:pStyle w:val="2"/>
        <w:spacing w:before="210" w:line="207" w:lineRule="auto"/>
        <w:ind w:left="2951"/>
        <w:outlineLvl w:val="1"/>
      </w:pPr>
      <w:bookmarkStart w:id="155" w:name="bookmark100"/>
      <w:bookmarkEnd w:id="155"/>
      <w:bookmarkStart w:id="156" w:name="bookmark101"/>
      <w:bookmarkEnd w:id="156"/>
      <w:r>
        <w:rPr>
          <w:spacing w:val="6"/>
        </w:rPr>
        <w:t>第六章</w:t>
      </w:r>
      <w:r>
        <w:rPr>
          <w:spacing w:val="20"/>
        </w:rPr>
        <w:t xml:space="preserve">   </w:t>
      </w:r>
      <w:r>
        <w:rPr>
          <w:spacing w:val="6"/>
        </w:rPr>
        <w:t>合同价款约定</w:t>
      </w:r>
    </w:p>
    <w:p>
      <w:pPr>
        <w:spacing w:before="240" w:line="296" w:lineRule="auto"/>
        <w:ind w:left="2" w:right="179" w:firstLine="437"/>
        <w:rPr>
          <w:rFonts w:ascii="宋体" w:hAnsi="宋体" w:eastAsia="宋体" w:cs="宋体"/>
          <w:sz w:val="20"/>
          <w:szCs w:val="20"/>
        </w:rPr>
      </w:pPr>
      <w:r>
        <w:rPr>
          <w:rFonts w:ascii="宋体" w:hAnsi="宋体" w:eastAsia="宋体" w:cs="宋体"/>
          <w:spacing w:val="8"/>
          <w:sz w:val="20"/>
          <w:szCs w:val="20"/>
        </w:rPr>
        <w:t>1. 实行招标的工程总承包合同价格，应由发承包双方依据</w:t>
      </w:r>
      <w:r>
        <w:rPr>
          <w:rFonts w:ascii="宋体" w:hAnsi="宋体" w:eastAsia="宋体" w:cs="宋体"/>
          <w:spacing w:val="7"/>
          <w:sz w:val="20"/>
          <w:szCs w:val="20"/>
        </w:rPr>
        <w:t>招标文件和中标人的投标文件及中标</w:t>
      </w:r>
      <w:r>
        <w:rPr>
          <w:rFonts w:ascii="宋体" w:hAnsi="宋体" w:eastAsia="宋体" w:cs="宋体"/>
          <w:spacing w:val="8"/>
          <w:sz w:val="20"/>
          <w:szCs w:val="20"/>
        </w:rPr>
        <w:t>通知书在合同中约定。</w:t>
      </w:r>
    </w:p>
    <w:p>
      <w:pPr>
        <w:spacing w:before="159" w:line="276" w:lineRule="exact"/>
        <w:ind w:left="423"/>
        <w:rPr>
          <w:rFonts w:ascii="宋体" w:hAnsi="宋体" w:eastAsia="宋体" w:cs="宋体"/>
          <w:sz w:val="20"/>
          <w:szCs w:val="20"/>
        </w:rPr>
      </w:pPr>
      <w:r>
        <w:rPr>
          <w:rFonts w:ascii="宋体" w:hAnsi="宋体" w:eastAsia="宋体" w:cs="宋体"/>
          <w:spacing w:val="8"/>
          <w:position w:val="1"/>
          <w:sz w:val="20"/>
          <w:szCs w:val="20"/>
        </w:rPr>
        <w:t>2. 不实行招标的工程总承包合同价格，应由发承包双方</w:t>
      </w:r>
      <w:r>
        <w:rPr>
          <w:rFonts w:ascii="宋体" w:hAnsi="宋体" w:eastAsia="宋体" w:cs="宋体"/>
          <w:spacing w:val="7"/>
          <w:position w:val="1"/>
          <w:sz w:val="20"/>
          <w:szCs w:val="20"/>
        </w:rPr>
        <w:t>协商确定并在合同中约定。</w:t>
      </w:r>
    </w:p>
    <w:p>
      <w:pPr>
        <w:spacing w:line="276" w:lineRule="exact"/>
        <w:rPr>
          <w:rFonts w:ascii="宋体" w:hAnsi="宋体" w:eastAsia="宋体" w:cs="宋体"/>
          <w:sz w:val="20"/>
          <w:szCs w:val="20"/>
        </w:rPr>
        <w:sectPr>
          <w:footerReference r:id="rId271" w:type="default"/>
          <w:pgSz w:w="11906" w:h="16839"/>
          <w:pgMar w:top="400" w:right="1238"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6"/>
        <w:rPr>
          <w:rFonts w:ascii="宋体" w:hAnsi="宋体" w:eastAsia="宋体" w:cs="宋体"/>
          <w:sz w:val="20"/>
          <w:szCs w:val="20"/>
        </w:rPr>
      </w:pPr>
      <w:bookmarkStart w:id="157" w:name="bookmark185"/>
      <w:bookmarkEnd w:id="157"/>
      <w:r>
        <w:rPr>
          <w:rFonts w:ascii="宋体" w:hAnsi="宋体" w:eastAsia="宋体" w:cs="宋体"/>
          <w:spacing w:val="6"/>
          <w:position w:val="1"/>
          <w:sz w:val="20"/>
          <w:szCs w:val="20"/>
        </w:rPr>
        <w:t>3. 发承包双方应在合同中对下列事项进行约定：</w:t>
      </w:r>
    </w:p>
    <w:p>
      <w:pPr>
        <w:spacing w:before="123" w:line="277" w:lineRule="exact"/>
        <w:ind w:left="412"/>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0"/>
          <w:position w:val="1"/>
          <w:sz w:val="20"/>
          <w:szCs w:val="20"/>
        </w:rPr>
        <w:t xml:space="preserve"> </w:t>
      </w:r>
      <w:r>
        <w:rPr>
          <w:rFonts w:ascii="宋体" w:hAnsi="宋体" w:eastAsia="宋体" w:cs="宋体"/>
          <w:spacing w:val="7"/>
          <w:position w:val="1"/>
          <w:sz w:val="20"/>
          <w:szCs w:val="20"/>
        </w:rPr>
        <w:t>1）预付款的支付比例或金额、支付时间及抵扣方式；</w:t>
      </w:r>
    </w:p>
    <w:p>
      <w:pPr>
        <w:spacing w:before="123" w:line="277" w:lineRule="exact"/>
        <w:ind w:left="412"/>
        <w:rPr>
          <w:rFonts w:ascii="宋体" w:hAnsi="宋体" w:eastAsia="宋体" w:cs="宋体"/>
          <w:sz w:val="20"/>
          <w:szCs w:val="20"/>
        </w:rPr>
      </w:pPr>
      <w:r>
        <w:rPr>
          <w:rFonts w:ascii="宋体" w:hAnsi="宋体" w:eastAsia="宋体" w:cs="宋体"/>
          <w:spacing w:val="9"/>
          <w:position w:val="1"/>
          <w:sz w:val="20"/>
          <w:szCs w:val="20"/>
        </w:rPr>
        <w:t>（2）安全文明施工费的支付计划，使用要求；</w:t>
      </w:r>
    </w:p>
    <w:p>
      <w:pPr>
        <w:spacing w:before="121" w:line="277" w:lineRule="exact"/>
        <w:ind w:left="412"/>
        <w:rPr>
          <w:rFonts w:ascii="宋体" w:hAnsi="宋体" w:eastAsia="宋体" w:cs="宋体"/>
          <w:sz w:val="20"/>
          <w:szCs w:val="20"/>
        </w:rPr>
      </w:pPr>
      <w:r>
        <w:rPr>
          <w:rFonts w:ascii="宋体" w:hAnsi="宋体" w:eastAsia="宋体" w:cs="宋体"/>
          <w:spacing w:val="9"/>
          <w:position w:val="1"/>
          <w:sz w:val="20"/>
          <w:szCs w:val="20"/>
        </w:rPr>
        <w:t>（3）过程结算与支付的节点，进度款的支付比例及时限；</w:t>
      </w:r>
    </w:p>
    <w:p>
      <w:pPr>
        <w:spacing w:before="123" w:line="277" w:lineRule="exact"/>
        <w:ind w:left="412"/>
        <w:rPr>
          <w:rFonts w:ascii="宋体" w:hAnsi="宋体" w:eastAsia="宋体" w:cs="宋体"/>
          <w:sz w:val="20"/>
          <w:szCs w:val="20"/>
        </w:rPr>
      </w:pPr>
      <w:r>
        <w:rPr>
          <w:rFonts w:ascii="宋体" w:hAnsi="宋体" w:eastAsia="宋体" w:cs="宋体"/>
          <w:spacing w:val="9"/>
          <w:position w:val="1"/>
          <w:sz w:val="20"/>
          <w:szCs w:val="20"/>
        </w:rPr>
        <w:t>（4）价格风险分担的内容、范围（幅度）以及超出时的调整办法；</w:t>
      </w:r>
    </w:p>
    <w:p>
      <w:pPr>
        <w:spacing w:before="124" w:line="276" w:lineRule="exact"/>
        <w:ind w:left="412"/>
        <w:rPr>
          <w:rFonts w:ascii="宋体" w:hAnsi="宋体" w:eastAsia="宋体" w:cs="宋体"/>
          <w:sz w:val="20"/>
          <w:szCs w:val="20"/>
        </w:rPr>
      </w:pPr>
      <w:r>
        <w:rPr>
          <w:rFonts w:ascii="宋体" w:hAnsi="宋体" w:eastAsia="宋体" w:cs="宋体"/>
          <w:spacing w:val="9"/>
          <w:position w:val="1"/>
          <w:sz w:val="20"/>
          <w:szCs w:val="20"/>
        </w:rPr>
        <w:t>（5）合同价款的调整因素、方法、程序；</w:t>
      </w:r>
    </w:p>
    <w:p>
      <w:pPr>
        <w:spacing w:before="123" w:line="276" w:lineRule="exact"/>
        <w:ind w:left="412"/>
        <w:rPr>
          <w:rFonts w:ascii="宋体" w:hAnsi="宋体" w:eastAsia="宋体" w:cs="宋体"/>
          <w:sz w:val="20"/>
          <w:szCs w:val="20"/>
        </w:rPr>
      </w:pPr>
      <w:r>
        <w:rPr>
          <w:rFonts w:ascii="宋体" w:hAnsi="宋体" w:eastAsia="宋体" w:cs="宋体"/>
          <w:spacing w:val="9"/>
          <w:position w:val="1"/>
          <w:sz w:val="20"/>
          <w:szCs w:val="20"/>
        </w:rPr>
        <w:t>（6）竣工结算编制与核对、价款支付及时限；</w:t>
      </w:r>
    </w:p>
    <w:p>
      <w:pPr>
        <w:spacing w:before="124" w:line="278" w:lineRule="exact"/>
        <w:ind w:left="412"/>
        <w:rPr>
          <w:rFonts w:ascii="宋体" w:hAnsi="宋体" w:eastAsia="宋体" w:cs="宋体"/>
          <w:sz w:val="20"/>
          <w:szCs w:val="20"/>
        </w:rPr>
      </w:pPr>
      <w:r>
        <w:rPr>
          <w:rFonts w:ascii="宋体" w:hAnsi="宋体" w:eastAsia="宋体" w:cs="宋体"/>
          <w:spacing w:val="9"/>
          <w:position w:val="1"/>
          <w:sz w:val="20"/>
          <w:szCs w:val="20"/>
        </w:rPr>
        <w:t>（7）提前竣工的奖励及误期赔偿的额度；</w:t>
      </w:r>
    </w:p>
    <w:p>
      <w:pPr>
        <w:spacing w:before="123" w:line="278" w:lineRule="exact"/>
        <w:ind w:left="412"/>
        <w:rPr>
          <w:rFonts w:ascii="宋体" w:hAnsi="宋体" w:eastAsia="宋体" w:cs="宋体"/>
          <w:sz w:val="20"/>
          <w:szCs w:val="20"/>
        </w:rPr>
      </w:pPr>
      <w:r>
        <w:rPr>
          <w:rFonts w:ascii="宋体" w:hAnsi="宋体" w:eastAsia="宋体" w:cs="宋体"/>
          <w:spacing w:val="9"/>
          <w:position w:val="1"/>
          <w:sz w:val="20"/>
          <w:szCs w:val="20"/>
        </w:rPr>
        <w:t>（8）质量保证金的比例或数额、预留方式及缺陷责任期；</w:t>
      </w:r>
    </w:p>
    <w:p>
      <w:pPr>
        <w:spacing w:before="121" w:line="276" w:lineRule="exact"/>
        <w:ind w:left="412"/>
        <w:rPr>
          <w:rFonts w:ascii="宋体" w:hAnsi="宋体" w:eastAsia="宋体" w:cs="宋体"/>
          <w:sz w:val="20"/>
          <w:szCs w:val="20"/>
        </w:rPr>
      </w:pPr>
      <w:r>
        <w:rPr>
          <w:rFonts w:ascii="宋体" w:hAnsi="宋体" w:eastAsia="宋体" w:cs="宋体"/>
          <w:spacing w:val="9"/>
          <w:position w:val="1"/>
          <w:sz w:val="20"/>
          <w:szCs w:val="20"/>
        </w:rPr>
        <w:t>（9）违约责任以及发生合同价款争议的解决方法；</w:t>
      </w:r>
    </w:p>
    <w:p>
      <w:pPr>
        <w:spacing w:before="124" w:line="277" w:lineRule="exact"/>
        <w:ind w:left="412"/>
        <w:rPr>
          <w:rFonts w:ascii="宋体" w:hAnsi="宋体" w:eastAsia="宋体" w:cs="宋体"/>
          <w:sz w:val="20"/>
          <w:szCs w:val="20"/>
        </w:rPr>
      </w:pPr>
      <w:r>
        <w:rPr>
          <w:rFonts w:ascii="宋体" w:hAnsi="宋体" w:eastAsia="宋体" w:cs="宋体"/>
          <w:spacing w:val="6"/>
          <w:position w:val="1"/>
          <w:sz w:val="20"/>
          <w:szCs w:val="20"/>
        </w:rPr>
        <w:t>（</w:t>
      </w:r>
      <w:r>
        <w:rPr>
          <w:rFonts w:ascii="宋体" w:hAnsi="宋体" w:eastAsia="宋体" w:cs="宋体"/>
          <w:spacing w:val="-31"/>
          <w:position w:val="1"/>
          <w:sz w:val="20"/>
          <w:szCs w:val="20"/>
        </w:rPr>
        <w:t xml:space="preserve"> </w:t>
      </w:r>
      <w:r>
        <w:rPr>
          <w:rFonts w:ascii="宋体" w:hAnsi="宋体" w:eastAsia="宋体" w:cs="宋体"/>
          <w:spacing w:val="6"/>
          <w:position w:val="1"/>
          <w:sz w:val="20"/>
          <w:szCs w:val="20"/>
        </w:rPr>
        <w:t>10）与合同履行、工程价款有关的其他事项。</w:t>
      </w:r>
    </w:p>
    <w:p>
      <w:pPr>
        <w:pStyle w:val="2"/>
        <w:spacing w:before="209" w:line="207" w:lineRule="auto"/>
        <w:ind w:left="2950"/>
        <w:outlineLvl w:val="1"/>
      </w:pPr>
      <w:bookmarkStart w:id="158" w:name="bookmark102"/>
      <w:bookmarkEnd w:id="158"/>
      <w:bookmarkStart w:id="159" w:name="bookmark103"/>
      <w:bookmarkEnd w:id="159"/>
      <w:r>
        <w:rPr>
          <w:spacing w:val="6"/>
        </w:rPr>
        <w:t>第七章</w:t>
      </w:r>
      <w:r>
        <w:rPr>
          <w:spacing w:val="20"/>
        </w:rPr>
        <w:t xml:space="preserve">   </w:t>
      </w:r>
      <w:r>
        <w:rPr>
          <w:spacing w:val="6"/>
        </w:rPr>
        <w:t>合同价款调整</w:t>
      </w:r>
    </w:p>
    <w:p>
      <w:pPr>
        <w:pStyle w:val="2"/>
        <w:spacing w:before="207" w:line="202" w:lineRule="auto"/>
        <w:ind w:left="492"/>
        <w:rPr>
          <w:sz w:val="24"/>
          <w:szCs w:val="24"/>
        </w:rPr>
      </w:pPr>
      <w:r>
        <w:rPr>
          <w:spacing w:val="-3"/>
          <w:sz w:val="24"/>
          <w:szCs w:val="24"/>
        </w:rPr>
        <w:t>一、一般规定</w:t>
      </w:r>
    </w:p>
    <w:p>
      <w:pPr>
        <w:spacing w:before="86" w:line="276" w:lineRule="exact"/>
        <w:ind w:left="439"/>
        <w:rPr>
          <w:rFonts w:ascii="宋体" w:hAnsi="宋体" w:eastAsia="宋体" w:cs="宋体"/>
          <w:sz w:val="20"/>
          <w:szCs w:val="20"/>
        </w:rPr>
      </w:pPr>
      <w:r>
        <w:rPr>
          <w:rFonts w:ascii="宋体" w:hAnsi="宋体" w:eastAsia="宋体" w:cs="宋体"/>
          <w:spacing w:val="4"/>
          <w:position w:val="1"/>
          <w:sz w:val="20"/>
          <w:szCs w:val="20"/>
        </w:rPr>
        <w:t>1. 下列事项发生，发承包双方可按《计价规则》7.2-7.5</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节规定</w:t>
      </w:r>
      <w:r>
        <w:rPr>
          <w:rFonts w:ascii="宋体" w:hAnsi="宋体" w:eastAsia="宋体" w:cs="宋体"/>
          <w:spacing w:val="3"/>
          <w:position w:val="1"/>
          <w:sz w:val="20"/>
          <w:szCs w:val="20"/>
        </w:rPr>
        <w:t>调整合同价款：</w:t>
      </w:r>
    </w:p>
    <w:p>
      <w:pPr>
        <w:spacing w:before="125" w:line="278" w:lineRule="exact"/>
        <w:ind w:left="412"/>
        <w:rPr>
          <w:rFonts w:ascii="宋体" w:hAnsi="宋体" w:eastAsia="宋体" w:cs="宋体"/>
          <w:sz w:val="20"/>
          <w:szCs w:val="20"/>
        </w:rPr>
      </w:pPr>
      <w:r>
        <w:rPr>
          <w:rFonts w:ascii="宋体" w:hAnsi="宋体" w:eastAsia="宋体" w:cs="宋体"/>
          <w:spacing w:val="3"/>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3"/>
          <w:position w:val="1"/>
          <w:sz w:val="20"/>
          <w:szCs w:val="20"/>
        </w:rPr>
        <w:t>1）法律法规变化；</w:t>
      </w:r>
    </w:p>
    <w:p>
      <w:pPr>
        <w:spacing w:before="120" w:line="279" w:lineRule="exact"/>
        <w:ind w:left="412"/>
        <w:rPr>
          <w:rFonts w:ascii="宋体" w:hAnsi="宋体" w:eastAsia="宋体" w:cs="宋体"/>
          <w:sz w:val="20"/>
          <w:szCs w:val="20"/>
        </w:rPr>
      </w:pPr>
      <w:r>
        <w:rPr>
          <w:rFonts w:ascii="宋体" w:hAnsi="宋体" w:eastAsia="宋体" w:cs="宋体"/>
          <w:spacing w:val="8"/>
          <w:position w:val="1"/>
          <w:sz w:val="20"/>
          <w:szCs w:val="20"/>
        </w:rPr>
        <w:t>（2）工程变更；</w:t>
      </w:r>
    </w:p>
    <w:p>
      <w:pPr>
        <w:spacing w:before="122" w:line="276" w:lineRule="exact"/>
        <w:ind w:left="412"/>
        <w:rPr>
          <w:rFonts w:ascii="宋体" w:hAnsi="宋体" w:eastAsia="宋体" w:cs="宋体"/>
          <w:sz w:val="20"/>
          <w:szCs w:val="20"/>
        </w:rPr>
      </w:pPr>
      <w:r>
        <w:rPr>
          <w:rFonts w:ascii="宋体" w:hAnsi="宋体" w:eastAsia="宋体" w:cs="宋体"/>
          <w:spacing w:val="8"/>
          <w:position w:val="1"/>
          <w:sz w:val="20"/>
          <w:szCs w:val="20"/>
        </w:rPr>
        <w:t>（3）物价变化；</w:t>
      </w:r>
    </w:p>
    <w:p>
      <w:pPr>
        <w:spacing w:before="125" w:line="278" w:lineRule="exact"/>
        <w:ind w:left="412"/>
        <w:rPr>
          <w:rFonts w:ascii="宋体" w:hAnsi="宋体" w:eastAsia="宋体" w:cs="宋体"/>
          <w:sz w:val="20"/>
          <w:szCs w:val="20"/>
        </w:rPr>
      </w:pPr>
      <w:r>
        <w:rPr>
          <w:rFonts w:ascii="宋体" w:hAnsi="宋体" w:eastAsia="宋体" w:cs="宋体"/>
          <w:spacing w:val="9"/>
          <w:position w:val="1"/>
          <w:sz w:val="20"/>
          <w:szCs w:val="20"/>
        </w:rPr>
        <w:t>（4）发承包双方约定的其他调整事项。</w:t>
      </w:r>
    </w:p>
    <w:p>
      <w:pPr>
        <w:spacing w:before="119" w:line="352" w:lineRule="auto"/>
        <w:ind w:left="4" w:firstLine="418"/>
        <w:rPr>
          <w:rFonts w:ascii="宋体" w:hAnsi="宋体" w:eastAsia="宋体" w:cs="宋体"/>
          <w:sz w:val="20"/>
          <w:szCs w:val="20"/>
        </w:rPr>
      </w:pPr>
      <w:r>
        <w:rPr>
          <w:rFonts w:ascii="宋体" w:hAnsi="宋体" w:eastAsia="宋体" w:cs="宋体"/>
          <w:spacing w:val="1"/>
          <w:sz w:val="20"/>
          <w:szCs w:val="20"/>
        </w:rPr>
        <w:t>2. 经发承包双方确认调整的合同价款，作为追</w:t>
      </w:r>
      <w:r>
        <w:rPr>
          <w:rFonts w:ascii="宋体" w:hAnsi="宋体" w:eastAsia="宋体" w:cs="宋体"/>
          <w:sz w:val="20"/>
          <w:szCs w:val="20"/>
        </w:rPr>
        <w:t>加（减）合同价款与工程进度款同期支付（扣减）。</w:t>
      </w:r>
      <w:r>
        <w:rPr>
          <w:rFonts w:ascii="宋体" w:hAnsi="宋体" w:eastAsia="宋体" w:cs="宋体"/>
          <w:spacing w:val="9"/>
          <w:sz w:val="20"/>
          <w:szCs w:val="20"/>
        </w:rPr>
        <w:t>实行过程结算的，应计入当期过程结算价款。</w:t>
      </w:r>
    </w:p>
    <w:p>
      <w:pPr>
        <w:pStyle w:val="2"/>
        <w:spacing w:before="6" w:line="202" w:lineRule="auto"/>
        <w:ind w:left="491"/>
        <w:rPr>
          <w:sz w:val="24"/>
          <w:szCs w:val="24"/>
        </w:rPr>
      </w:pPr>
      <w:r>
        <w:rPr>
          <w:spacing w:val="-2"/>
          <w:sz w:val="24"/>
          <w:szCs w:val="24"/>
        </w:rPr>
        <w:t>二、法律法规变化</w:t>
      </w:r>
    </w:p>
    <w:p>
      <w:pPr>
        <w:spacing w:before="86" w:line="353" w:lineRule="auto"/>
        <w:ind w:left="22" w:right="76" w:firstLine="417"/>
        <w:rPr>
          <w:rFonts w:ascii="宋体" w:hAnsi="宋体" w:eastAsia="宋体" w:cs="宋体"/>
          <w:sz w:val="20"/>
          <w:szCs w:val="20"/>
        </w:rPr>
      </w:pPr>
      <w:r>
        <w:rPr>
          <w:rFonts w:ascii="宋体" w:hAnsi="宋体" w:eastAsia="宋体" w:cs="宋体"/>
          <w:spacing w:val="8"/>
          <w:sz w:val="20"/>
          <w:szCs w:val="20"/>
        </w:rPr>
        <w:t>1. 基准日期后，因法律法规、政策、工程建设强制性标准</w:t>
      </w:r>
      <w:r>
        <w:rPr>
          <w:rFonts w:ascii="宋体" w:hAnsi="宋体" w:eastAsia="宋体" w:cs="宋体"/>
          <w:spacing w:val="7"/>
          <w:sz w:val="20"/>
          <w:szCs w:val="20"/>
        </w:rPr>
        <w:t>发生变化导致承包人在合同履行过程</w:t>
      </w:r>
      <w:r>
        <w:rPr>
          <w:rFonts w:ascii="宋体" w:hAnsi="宋体" w:eastAsia="宋体" w:cs="宋体"/>
          <w:spacing w:val="9"/>
          <w:sz w:val="20"/>
          <w:szCs w:val="20"/>
        </w:rPr>
        <w:t>中所需要的费用增加时，由发包人承担由此增加的费用；减少时，应从合同价款中予以扣减。</w:t>
      </w:r>
    </w:p>
    <w:p>
      <w:pPr>
        <w:spacing w:before="37" w:line="349" w:lineRule="auto"/>
        <w:ind w:left="5" w:right="76" w:firstLine="416"/>
        <w:rPr>
          <w:rFonts w:ascii="宋体" w:hAnsi="宋体" w:eastAsia="宋体" w:cs="宋体"/>
          <w:sz w:val="20"/>
          <w:szCs w:val="20"/>
        </w:rPr>
      </w:pPr>
      <w:r>
        <w:rPr>
          <w:rFonts w:ascii="宋体" w:hAnsi="宋体" w:eastAsia="宋体" w:cs="宋体"/>
          <w:spacing w:val="11"/>
          <w:sz w:val="20"/>
          <w:szCs w:val="20"/>
        </w:rPr>
        <w:t>招标发包的工程以投标截止日前</w:t>
      </w:r>
      <w:r>
        <w:rPr>
          <w:rFonts w:ascii="宋体" w:hAnsi="宋体" w:eastAsia="宋体" w:cs="宋体"/>
          <w:spacing w:val="-21"/>
          <w:sz w:val="20"/>
          <w:szCs w:val="20"/>
        </w:rPr>
        <w:t xml:space="preserve"> </w:t>
      </w:r>
      <w:r>
        <w:rPr>
          <w:rFonts w:ascii="宋体" w:hAnsi="宋体" w:eastAsia="宋体" w:cs="宋体"/>
          <w:spacing w:val="11"/>
          <w:sz w:val="20"/>
          <w:szCs w:val="20"/>
        </w:rPr>
        <w:t>28</w:t>
      </w:r>
      <w:r>
        <w:rPr>
          <w:rFonts w:ascii="宋体" w:hAnsi="宋体" w:eastAsia="宋体" w:cs="宋体"/>
          <w:spacing w:val="-35"/>
          <w:sz w:val="20"/>
          <w:szCs w:val="20"/>
        </w:rPr>
        <w:t xml:space="preserve"> </w:t>
      </w:r>
      <w:r>
        <w:rPr>
          <w:rFonts w:ascii="宋体" w:hAnsi="宋体" w:eastAsia="宋体" w:cs="宋体"/>
          <w:spacing w:val="11"/>
          <w:sz w:val="20"/>
          <w:szCs w:val="20"/>
        </w:rPr>
        <w:t>天的日期为基准日期</w:t>
      </w:r>
      <w:r>
        <w:rPr>
          <w:rFonts w:ascii="宋体" w:hAnsi="宋体" w:eastAsia="宋体" w:cs="宋体"/>
          <w:spacing w:val="-59"/>
          <w:sz w:val="20"/>
          <w:szCs w:val="20"/>
        </w:rPr>
        <w:t xml:space="preserve"> </w:t>
      </w:r>
      <w:r>
        <w:rPr>
          <w:rFonts w:ascii="宋体" w:hAnsi="宋体" w:eastAsia="宋体" w:cs="宋体"/>
          <w:spacing w:val="11"/>
          <w:sz w:val="20"/>
          <w:szCs w:val="20"/>
        </w:rPr>
        <w:t>，直接发包的工程以合同订立日前28</w:t>
      </w:r>
      <w:r>
        <w:rPr>
          <w:rFonts w:ascii="宋体" w:hAnsi="宋体" w:eastAsia="宋体" w:cs="宋体"/>
          <w:spacing w:val="8"/>
          <w:sz w:val="20"/>
          <w:szCs w:val="20"/>
        </w:rPr>
        <w:t>天的日期为基准日期。</w:t>
      </w:r>
    </w:p>
    <w:p>
      <w:pPr>
        <w:spacing w:before="44" w:line="361" w:lineRule="auto"/>
        <w:ind w:right="76" w:firstLine="422"/>
        <w:jc w:val="both"/>
        <w:rPr>
          <w:rFonts w:ascii="宋体" w:hAnsi="宋体" w:eastAsia="宋体" w:cs="宋体"/>
          <w:sz w:val="20"/>
          <w:szCs w:val="20"/>
        </w:rPr>
      </w:pPr>
      <w:r>
        <w:rPr>
          <w:rFonts w:ascii="宋体" w:hAnsi="宋体" w:eastAsia="宋体" w:cs="宋体"/>
          <w:spacing w:val="8"/>
          <w:sz w:val="20"/>
          <w:szCs w:val="20"/>
        </w:rPr>
        <w:t>2. 因非承包人原因导致工期延误，在工期延误期间出现法律法规、政策、工程建设强制性标准</w:t>
      </w:r>
      <w:r>
        <w:rPr>
          <w:rFonts w:ascii="宋体" w:hAnsi="宋体" w:eastAsia="宋体" w:cs="宋体"/>
          <w:spacing w:val="11"/>
          <w:sz w:val="20"/>
          <w:szCs w:val="20"/>
        </w:rPr>
        <w:t>变化的，由此减少的费用不应从合同价款中扣减，由此增加的费用由发包人承</w:t>
      </w:r>
      <w:r>
        <w:rPr>
          <w:rFonts w:ascii="宋体" w:hAnsi="宋体" w:eastAsia="宋体" w:cs="宋体"/>
          <w:spacing w:val="10"/>
          <w:sz w:val="20"/>
          <w:szCs w:val="20"/>
        </w:rPr>
        <w:t>担；因承包人原因导</w:t>
      </w:r>
      <w:r>
        <w:rPr>
          <w:rFonts w:ascii="宋体" w:hAnsi="宋体" w:eastAsia="宋体" w:cs="宋体"/>
          <w:spacing w:val="11"/>
          <w:sz w:val="20"/>
          <w:szCs w:val="20"/>
        </w:rPr>
        <w:t>致工期延误，在工期延误期间出现法律法规、政策、工程建设强制性标准变化</w:t>
      </w:r>
      <w:r>
        <w:rPr>
          <w:rFonts w:ascii="宋体" w:hAnsi="宋体" w:eastAsia="宋体" w:cs="宋体"/>
          <w:spacing w:val="10"/>
          <w:sz w:val="20"/>
          <w:szCs w:val="20"/>
        </w:rPr>
        <w:t>的，由此增加的费用</w:t>
      </w:r>
      <w:r>
        <w:rPr>
          <w:rFonts w:ascii="宋体" w:hAnsi="宋体" w:eastAsia="宋体" w:cs="宋体"/>
          <w:spacing w:val="9"/>
          <w:sz w:val="20"/>
          <w:szCs w:val="20"/>
        </w:rPr>
        <w:t>由承包人承担，由此减少的费用从合同价款中扣减。</w:t>
      </w:r>
    </w:p>
    <w:p>
      <w:pPr>
        <w:pStyle w:val="2"/>
        <w:spacing w:before="1" w:line="202" w:lineRule="auto"/>
        <w:ind w:left="494"/>
        <w:rPr>
          <w:sz w:val="24"/>
          <w:szCs w:val="24"/>
        </w:rPr>
      </w:pPr>
      <w:r>
        <w:rPr>
          <w:spacing w:val="-3"/>
          <w:sz w:val="24"/>
          <w:szCs w:val="24"/>
        </w:rPr>
        <w:t>三、工程变更</w:t>
      </w:r>
    </w:p>
    <w:p>
      <w:pPr>
        <w:spacing w:before="87" w:line="368" w:lineRule="auto"/>
        <w:ind w:left="2" w:right="79" w:firstLine="437"/>
        <w:rPr>
          <w:rFonts w:ascii="宋体" w:hAnsi="宋体" w:eastAsia="宋体" w:cs="宋体"/>
          <w:sz w:val="20"/>
          <w:szCs w:val="20"/>
        </w:rPr>
      </w:pPr>
      <w:r>
        <w:rPr>
          <w:rFonts w:ascii="宋体" w:hAnsi="宋体" w:eastAsia="宋体" w:cs="宋体"/>
          <w:spacing w:val="8"/>
          <w:sz w:val="20"/>
          <w:szCs w:val="20"/>
        </w:rPr>
        <w:t>1. 因发包人变更发包人要求、方案设计或初步设计</w:t>
      </w:r>
      <w:r>
        <w:rPr>
          <w:rFonts w:ascii="宋体" w:hAnsi="宋体" w:eastAsia="宋体" w:cs="宋体"/>
          <w:spacing w:val="7"/>
          <w:sz w:val="20"/>
          <w:szCs w:val="20"/>
        </w:rPr>
        <w:t>文件，导致工程变更的，可按照下列规定调整合同价款：</w:t>
      </w:r>
    </w:p>
    <w:p>
      <w:pPr>
        <w:spacing w:before="4" w:line="349" w:lineRule="auto"/>
        <w:ind w:left="1" w:right="76" w:firstLine="411"/>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1）发承包双方约定项目清单合同价格适用于价款调整的，因工程变更引起项目清单或其工程</w:t>
      </w:r>
      <w:r>
        <w:rPr>
          <w:rFonts w:ascii="宋体" w:hAnsi="宋体" w:eastAsia="宋体" w:cs="宋体"/>
          <w:spacing w:val="11"/>
          <w:sz w:val="20"/>
          <w:szCs w:val="20"/>
        </w:rPr>
        <w:t>数量发生变化时，变更工程项目价格采用适用的项目清单合同价格，项目清单</w:t>
      </w:r>
      <w:r>
        <w:rPr>
          <w:rFonts w:ascii="宋体" w:hAnsi="宋体" w:eastAsia="宋体" w:cs="宋体"/>
          <w:spacing w:val="10"/>
          <w:sz w:val="20"/>
          <w:szCs w:val="20"/>
        </w:rPr>
        <w:t>合同价格中没有适用</w:t>
      </w:r>
    </w:p>
    <w:p>
      <w:pPr>
        <w:spacing w:line="349" w:lineRule="auto"/>
        <w:rPr>
          <w:rFonts w:ascii="宋体" w:hAnsi="宋体" w:eastAsia="宋体" w:cs="宋体"/>
          <w:sz w:val="20"/>
          <w:szCs w:val="20"/>
        </w:rPr>
        <w:sectPr>
          <w:footerReference r:id="rId272" w:type="default"/>
          <w:pgSz w:w="11906" w:h="16839"/>
          <w:pgMar w:top="400" w:right="1341" w:bottom="1212" w:left="1418" w:header="0" w:footer="897"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4" w:lineRule="auto"/>
        <w:ind w:left="6"/>
        <w:rPr>
          <w:rFonts w:ascii="宋体" w:hAnsi="宋体" w:eastAsia="宋体" w:cs="宋体"/>
          <w:sz w:val="20"/>
          <w:szCs w:val="20"/>
        </w:rPr>
      </w:pPr>
      <w:bookmarkStart w:id="160" w:name="bookmark186"/>
      <w:bookmarkEnd w:id="160"/>
      <w:r>
        <w:rPr>
          <w:rFonts w:ascii="宋体" w:hAnsi="宋体" w:eastAsia="宋体" w:cs="宋体"/>
          <w:spacing w:val="9"/>
          <w:sz w:val="20"/>
          <w:szCs w:val="20"/>
        </w:rPr>
        <w:t>但有类似于变更工程项目的，可在合理范围内参照类似项目的价格；</w:t>
      </w:r>
    </w:p>
    <w:p>
      <w:pPr>
        <w:spacing w:before="155" w:line="368" w:lineRule="auto"/>
        <w:ind w:left="9" w:right="2" w:firstLine="410"/>
        <w:rPr>
          <w:rFonts w:ascii="宋体" w:hAnsi="宋体" w:eastAsia="宋体" w:cs="宋体"/>
          <w:sz w:val="20"/>
          <w:szCs w:val="20"/>
        </w:rPr>
      </w:pPr>
      <w:r>
        <w:rPr>
          <w:rFonts w:ascii="宋体" w:hAnsi="宋体" w:eastAsia="宋体" w:cs="宋体"/>
          <w:spacing w:val="8"/>
          <w:sz w:val="20"/>
          <w:szCs w:val="20"/>
        </w:rPr>
        <w:t>（2）发承包双方约定项目清单合同价格不适用于价款调整的，因工程变更引起项目清单或其工</w:t>
      </w:r>
      <w:r>
        <w:rPr>
          <w:rFonts w:ascii="宋体" w:hAnsi="宋体" w:eastAsia="宋体" w:cs="宋体"/>
          <w:spacing w:val="9"/>
          <w:sz w:val="20"/>
          <w:szCs w:val="20"/>
        </w:rPr>
        <w:t>程数量发生变化时，根据变更工程的合理成本和利润调整合同价款：</w:t>
      </w:r>
    </w:p>
    <w:p>
      <w:pPr>
        <w:spacing w:before="2" w:line="298" w:lineRule="auto"/>
        <w:ind w:left="6" w:right="2" w:firstLine="440"/>
        <w:rPr>
          <w:rFonts w:ascii="宋体" w:hAnsi="宋体" w:eastAsia="宋体" w:cs="宋体"/>
          <w:sz w:val="20"/>
          <w:szCs w:val="20"/>
        </w:rPr>
      </w:pPr>
      <w:r>
        <w:rPr>
          <w:rFonts w:ascii="宋体" w:hAnsi="宋体" w:eastAsia="宋体" w:cs="宋体"/>
          <w:spacing w:val="8"/>
          <w:sz w:val="20"/>
          <w:szCs w:val="20"/>
        </w:rPr>
        <w:t>1）因工程变更引起项目清单的全部或主要发包人要求变化的，发承包</w:t>
      </w:r>
      <w:r>
        <w:rPr>
          <w:rFonts w:ascii="宋体" w:hAnsi="宋体" w:eastAsia="宋体" w:cs="宋体"/>
          <w:spacing w:val="7"/>
          <w:sz w:val="20"/>
          <w:szCs w:val="20"/>
        </w:rPr>
        <w:t>双方根据相同定价原则分</w:t>
      </w:r>
      <w:r>
        <w:rPr>
          <w:rFonts w:ascii="宋体" w:hAnsi="宋体" w:eastAsia="宋体" w:cs="宋体"/>
          <w:spacing w:val="10"/>
          <w:sz w:val="20"/>
          <w:szCs w:val="20"/>
        </w:rPr>
        <w:t>别确定变更工程项目清单与原项目清单的价</w:t>
      </w:r>
      <w:r>
        <w:rPr>
          <w:rFonts w:ascii="宋体" w:hAnsi="宋体" w:eastAsia="宋体" w:cs="宋体"/>
          <w:spacing w:val="9"/>
          <w:sz w:val="20"/>
          <w:szCs w:val="20"/>
        </w:rPr>
        <w:t>格，按照二者差价调整合同价款；</w:t>
      </w:r>
    </w:p>
    <w:p>
      <w:pPr>
        <w:spacing w:before="155" w:line="297" w:lineRule="auto"/>
        <w:ind w:left="9" w:right="2" w:firstLine="420"/>
        <w:rPr>
          <w:rFonts w:ascii="宋体" w:hAnsi="宋体" w:eastAsia="宋体" w:cs="宋体"/>
          <w:sz w:val="20"/>
          <w:szCs w:val="20"/>
        </w:rPr>
      </w:pPr>
      <w:r>
        <w:rPr>
          <w:rFonts w:ascii="宋体" w:hAnsi="宋体" w:eastAsia="宋体" w:cs="宋体"/>
          <w:spacing w:val="8"/>
          <w:sz w:val="20"/>
          <w:szCs w:val="20"/>
        </w:rPr>
        <w:t>2）因工程变更引起项目清单的非主要发包人要求变化的，发承包双方仅针对项目清单中变更部</w:t>
      </w:r>
      <w:r>
        <w:rPr>
          <w:rFonts w:ascii="宋体" w:hAnsi="宋体" w:eastAsia="宋体" w:cs="宋体"/>
          <w:spacing w:val="10"/>
          <w:sz w:val="20"/>
          <w:szCs w:val="20"/>
        </w:rPr>
        <w:t>分，根据相同定价原则分别确定变更方案与原</w:t>
      </w:r>
      <w:r>
        <w:rPr>
          <w:rFonts w:ascii="宋体" w:hAnsi="宋体" w:eastAsia="宋体" w:cs="宋体"/>
          <w:spacing w:val="9"/>
          <w:sz w:val="20"/>
          <w:szCs w:val="20"/>
        </w:rPr>
        <w:t>方案的价格，按照二者差价调整合同价款；</w:t>
      </w:r>
    </w:p>
    <w:p>
      <w:pPr>
        <w:spacing w:before="154" w:line="321" w:lineRule="auto"/>
        <w:ind w:left="7" w:right="2" w:firstLine="425"/>
        <w:rPr>
          <w:rFonts w:ascii="宋体" w:hAnsi="宋体" w:eastAsia="宋体" w:cs="宋体"/>
          <w:sz w:val="20"/>
          <w:szCs w:val="20"/>
        </w:rPr>
      </w:pPr>
      <w:r>
        <w:rPr>
          <w:rFonts w:ascii="宋体" w:hAnsi="宋体" w:eastAsia="宋体" w:cs="宋体"/>
          <w:spacing w:val="8"/>
          <w:sz w:val="20"/>
          <w:szCs w:val="20"/>
        </w:rPr>
        <w:t>3）对于发包人在招标时未予以明确、工程实施过程中再提出发包人要求的，在按照上述两种方</w:t>
      </w:r>
      <w:r>
        <w:rPr>
          <w:rFonts w:ascii="宋体" w:hAnsi="宋体" w:eastAsia="宋体" w:cs="宋体"/>
          <w:spacing w:val="11"/>
          <w:sz w:val="20"/>
          <w:szCs w:val="20"/>
        </w:rPr>
        <w:t>式调整合同价款时，原项目清单或原方案的价格按照满足国家设计、施工、验</w:t>
      </w:r>
      <w:r>
        <w:rPr>
          <w:rFonts w:ascii="宋体" w:hAnsi="宋体" w:eastAsia="宋体" w:cs="宋体"/>
          <w:spacing w:val="10"/>
          <w:sz w:val="20"/>
          <w:szCs w:val="20"/>
        </w:rPr>
        <w:t>收规范的最低标准确</w:t>
      </w:r>
      <w:r>
        <w:rPr>
          <w:rFonts w:ascii="宋体" w:hAnsi="宋体" w:eastAsia="宋体" w:cs="宋体"/>
          <w:spacing w:val="2"/>
          <w:sz w:val="20"/>
          <w:szCs w:val="20"/>
        </w:rPr>
        <w:t>定。</w:t>
      </w:r>
    </w:p>
    <w:p>
      <w:pPr>
        <w:spacing w:before="158" w:line="312" w:lineRule="auto"/>
        <w:ind w:left="6" w:firstLine="423"/>
        <w:rPr>
          <w:rFonts w:ascii="宋体" w:hAnsi="宋体" w:eastAsia="宋体" w:cs="宋体"/>
          <w:sz w:val="20"/>
          <w:szCs w:val="20"/>
        </w:rPr>
      </w:pPr>
      <w:r>
        <w:rPr>
          <w:rFonts w:ascii="宋体" w:hAnsi="宋体" w:eastAsia="宋体" w:cs="宋体"/>
          <w:spacing w:val="8"/>
          <w:sz w:val="20"/>
          <w:szCs w:val="20"/>
        </w:rPr>
        <w:t>2. 承包人提出合理化建议，发包人认为可以降低造价、缩短工期或提高工程经济效益，指示变</w:t>
      </w:r>
      <w:r>
        <w:rPr>
          <w:rFonts w:ascii="宋体" w:hAnsi="宋体" w:eastAsia="宋体" w:cs="宋体"/>
          <w:spacing w:val="7"/>
          <w:sz w:val="20"/>
          <w:szCs w:val="20"/>
        </w:rPr>
        <w:t>更的，按照本规则第7.3.1</w:t>
      </w:r>
      <w:r>
        <w:rPr>
          <w:rFonts w:ascii="宋体" w:hAnsi="宋体" w:eastAsia="宋体" w:cs="宋体"/>
          <w:spacing w:val="-27"/>
          <w:sz w:val="20"/>
          <w:szCs w:val="20"/>
        </w:rPr>
        <w:t xml:space="preserve"> </w:t>
      </w:r>
      <w:r>
        <w:rPr>
          <w:rFonts w:ascii="宋体" w:hAnsi="宋体" w:eastAsia="宋体" w:cs="宋体"/>
          <w:spacing w:val="7"/>
          <w:sz w:val="20"/>
          <w:szCs w:val="20"/>
        </w:rPr>
        <w:t>条规定调整合同价款，同时按照合同约定进行利益分享。</w:t>
      </w:r>
    </w:p>
    <w:p>
      <w:pPr>
        <w:spacing w:before="122" w:line="322" w:lineRule="auto"/>
        <w:ind w:firstLine="433"/>
        <w:rPr>
          <w:rFonts w:ascii="宋体" w:hAnsi="宋体" w:eastAsia="宋体" w:cs="宋体"/>
          <w:sz w:val="20"/>
          <w:szCs w:val="20"/>
        </w:rPr>
      </w:pPr>
      <w:r>
        <w:rPr>
          <w:rFonts w:ascii="宋体" w:hAnsi="宋体" w:eastAsia="宋体" w:cs="宋体"/>
          <w:spacing w:val="12"/>
          <w:sz w:val="20"/>
          <w:szCs w:val="20"/>
        </w:rPr>
        <w:t>3. 当发包人提出的工程变更删减了合同中的某项原定工作或工程</w:t>
      </w:r>
      <w:r>
        <w:rPr>
          <w:rFonts w:ascii="宋体" w:hAnsi="宋体" w:eastAsia="宋体" w:cs="宋体"/>
          <w:spacing w:val="-59"/>
          <w:sz w:val="20"/>
          <w:szCs w:val="20"/>
        </w:rPr>
        <w:t xml:space="preserve"> </w:t>
      </w:r>
      <w:r>
        <w:rPr>
          <w:rFonts w:ascii="宋体" w:hAnsi="宋体" w:eastAsia="宋体" w:cs="宋体"/>
          <w:spacing w:val="12"/>
          <w:sz w:val="20"/>
          <w:szCs w:val="20"/>
        </w:rPr>
        <w:t>，致使承包人发生的</w:t>
      </w:r>
      <w:r>
        <w:rPr>
          <w:rFonts w:ascii="宋体" w:hAnsi="宋体" w:eastAsia="宋体" w:cs="宋体"/>
          <w:spacing w:val="11"/>
          <w:sz w:val="20"/>
          <w:szCs w:val="20"/>
        </w:rPr>
        <w:t>费用或（和）得到的收益不能被包括在其他已支付或应支付的项目中，也未被包含在任何替代的工作或工</w:t>
      </w:r>
      <w:r>
        <w:rPr>
          <w:rFonts w:ascii="宋体" w:hAnsi="宋体" w:eastAsia="宋体" w:cs="宋体"/>
          <w:spacing w:val="9"/>
          <w:sz w:val="20"/>
          <w:szCs w:val="20"/>
        </w:rPr>
        <w:t>程中时，承包人有权提出并应得到合理的费用及利润补偿。</w:t>
      </w:r>
    </w:p>
    <w:p>
      <w:pPr>
        <w:spacing w:before="156" w:line="333" w:lineRule="auto"/>
        <w:ind w:left="6" w:firstLine="420"/>
        <w:rPr>
          <w:rFonts w:ascii="宋体" w:hAnsi="宋体" w:eastAsia="宋体" w:cs="宋体"/>
          <w:sz w:val="20"/>
          <w:szCs w:val="20"/>
        </w:rPr>
      </w:pPr>
      <w:r>
        <w:rPr>
          <w:rFonts w:ascii="宋体" w:hAnsi="宋体" w:eastAsia="宋体" w:cs="宋体"/>
          <w:spacing w:val="8"/>
          <w:sz w:val="20"/>
          <w:szCs w:val="20"/>
        </w:rPr>
        <w:t>4. 当发包人提出的工程变更扩大了建设规模，勘察设计费、工程总承包管理费按照合同约定的</w:t>
      </w:r>
      <w:r>
        <w:rPr>
          <w:rFonts w:ascii="宋体" w:hAnsi="宋体" w:eastAsia="宋体" w:cs="宋体"/>
          <w:spacing w:val="11"/>
          <w:sz w:val="20"/>
          <w:szCs w:val="20"/>
        </w:rPr>
        <w:t>计费办法调整，无约定时可按照扩大部分的建筑安装工程费占合同建筑安装工程</w:t>
      </w:r>
      <w:r>
        <w:rPr>
          <w:rFonts w:ascii="宋体" w:hAnsi="宋体" w:eastAsia="宋体" w:cs="宋体"/>
          <w:spacing w:val="10"/>
          <w:sz w:val="20"/>
          <w:szCs w:val="20"/>
        </w:rPr>
        <w:t>费的比例调整；当</w:t>
      </w:r>
      <w:r>
        <w:rPr>
          <w:rFonts w:ascii="宋体" w:hAnsi="宋体" w:eastAsia="宋体" w:cs="宋体"/>
          <w:spacing w:val="11"/>
          <w:sz w:val="20"/>
          <w:szCs w:val="20"/>
        </w:rPr>
        <w:t>发包人提出的工程变更仅对原建设规模内局部功能、布局、工艺进行调整，工程</w:t>
      </w:r>
      <w:r>
        <w:rPr>
          <w:rFonts w:ascii="宋体" w:hAnsi="宋体" w:eastAsia="宋体" w:cs="宋体"/>
          <w:spacing w:val="10"/>
          <w:sz w:val="20"/>
          <w:szCs w:val="20"/>
        </w:rPr>
        <w:t>总承包管理费不调</w:t>
      </w:r>
      <w:r>
        <w:rPr>
          <w:rFonts w:ascii="宋体" w:hAnsi="宋体" w:eastAsia="宋体" w:cs="宋体"/>
          <w:spacing w:val="9"/>
          <w:sz w:val="20"/>
          <w:szCs w:val="20"/>
        </w:rPr>
        <w:t>整，勘察设计费按照合同约定的计费办法调整。</w:t>
      </w:r>
    </w:p>
    <w:p>
      <w:pPr>
        <w:pStyle w:val="2"/>
        <w:spacing w:before="120" w:line="202" w:lineRule="auto"/>
        <w:ind w:left="512"/>
        <w:rPr>
          <w:sz w:val="24"/>
          <w:szCs w:val="24"/>
        </w:rPr>
      </w:pPr>
      <w:r>
        <w:rPr>
          <w:spacing w:val="-5"/>
          <w:sz w:val="24"/>
          <w:szCs w:val="24"/>
        </w:rPr>
        <w:t>四、物价变化</w:t>
      </w:r>
    </w:p>
    <w:p>
      <w:pPr>
        <w:spacing w:before="90" w:line="366" w:lineRule="auto"/>
        <w:ind w:left="10" w:firstLine="437"/>
        <w:rPr>
          <w:rFonts w:ascii="宋体" w:hAnsi="宋体" w:eastAsia="宋体" w:cs="宋体"/>
          <w:sz w:val="20"/>
          <w:szCs w:val="20"/>
        </w:rPr>
      </w:pPr>
      <w:r>
        <w:rPr>
          <w:rFonts w:ascii="宋体" w:hAnsi="宋体" w:eastAsia="宋体" w:cs="宋体"/>
          <w:spacing w:val="9"/>
          <w:sz w:val="20"/>
          <w:szCs w:val="20"/>
        </w:rPr>
        <w:t>1.</w:t>
      </w:r>
      <w:r>
        <w:rPr>
          <w:rFonts w:ascii="宋体" w:hAnsi="宋体" w:eastAsia="宋体" w:cs="宋体"/>
          <w:spacing w:val="32"/>
          <w:sz w:val="20"/>
          <w:szCs w:val="20"/>
        </w:rPr>
        <w:t xml:space="preserve"> </w:t>
      </w:r>
      <w:r>
        <w:rPr>
          <w:rFonts w:ascii="宋体" w:hAnsi="宋体" w:eastAsia="宋体" w:cs="宋体"/>
          <w:spacing w:val="9"/>
          <w:sz w:val="20"/>
          <w:szCs w:val="20"/>
        </w:rPr>
        <w:t>因人工、主要材料（设备） 等市场价</w:t>
      </w:r>
      <w:r>
        <w:rPr>
          <w:rFonts w:ascii="宋体" w:hAnsi="宋体" w:eastAsia="宋体" w:cs="宋体"/>
          <w:spacing w:val="8"/>
          <w:sz w:val="20"/>
          <w:szCs w:val="20"/>
        </w:rPr>
        <w:t>格波动影响合同价格时</w:t>
      </w:r>
      <w:r>
        <w:rPr>
          <w:rFonts w:ascii="宋体" w:hAnsi="宋体" w:eastAsia="宋体" w:cs="宋体"/>
          <w:spacing w:val="-59"/>
          <w:sz w:val="20"/>
          <w:szCs w:val="20"/>
        </w:rPr>
        <w:t xml:space="preserve"> </w:t>
      </w:r>
      <w:r>
        <w:rPr>
          <w:rFonts w:ascii="宋体" w:hAnsi="宋体" w:eastAsia="宋体" w:cs="宋体"/>
          <w:spacing w:val="8"/>
          <w:sz w:val="20"/>
          <w:szCs w:val="20"/>
        </w:rPr>
        <w:t>，根据合同约定的价格指数权</w:t>
      </w:r>
      <w:r>
        <w:rPr>
          <w:rFonts w:ascii="宋体" w:hAnsi="宋体" w:eastAsia="宋体" w:cs="宋体"/>
          <w:spacing w:val="9"/>
          <w:sz w:val="20"/>
          <w:szCs w:val="20"/>
        </w:rPr>
        <w:t>重表，按下式计算差额并调整合同价款：</w:t>
      </w:r>
    </w:p>
    <w:p>
      <w:pPr>
        <w:spacing w:before="176" w:line="799" w:lineRule="exact"/>
        <w:ind w:firstLine="424"/>
      </w:pPr>
      <w:r>
        <w:rPr>
          <w:position w:val="-15"/>
        </w:rPr>
        <w:drawing>
          <wp:inline distT="0" distB="0" distL="0" distR="0">
            <wp:extent cx="5152390" cy="50736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429"/>
                    <a:stretch>
                      <a:fillRect/>
                    </a:stretch>
                  </pic:blipFill>
                  <pic:spPr>
                    <a:xfrm>
                      <a:off x="0" y="0"/>
                      <a:ext cx="5152644" cy="507491"/>
                    </a:xfrm>
                    <a:prstGeom prst="rect">
                      <a:avLst/>
                    </a:prstGeom>
                  </pic:spPr>
                </pic:pic>
              </a:graphicData>
            </a:graphic>
          </wp:inline>
        </w:drawing>
      </w:r>
    </w:p>
    <w:p>
      <w:pPr>
        <w:spacing w:before="231" w:line="278" w:lineRule="exact"/>
        <w:ind w:left="428"/>
        <w:rPr>
          <w:rFonts w:ascii="宋体" w:hAnsi="宋体" w:eastAsia="宋体" w:cs="宋体"/>
          <w:sz w:val="20"/>
          <w:szCs w:val="20"/>
        </w:rPr>
      </w:pPr>
      <w:r>
        <w:rPr>
          <w:rFonts w:ascii="宋体" w:hAnsi="宋体" w:eastAsia="宋体" w:cs="宋体"/>
          <w:spacing w:val="4"/>
          <w:position w:val="1"/>
          <w:sz w:val="20"/>
          <w:szCs w:val="20"/>
        </w:rPr>
        <w:t>式中：</w:t>
      </w:r>
    </w:p>
    <w:p>
      <w:pPr>
        <w:spacing w:before="123" w:line="276" w:lineRule="exact"/>
        <w:ind w:left="452"/>
        <w:rPr>
          <w:rFonts w:ascii="宋体" w:hAnsi="宋体" w:eastAsia="宋体" w:cs="宋体"/>
          <w:sz w:val="20"/>
          <w:szCs w:val="20"/>
        </w:rPr>
      </w:pPr>
      <w:r>
        <w:rPr>
          <w:rFonts w:ascii="宋体" w:hAnsi="宋体" w:eastAsia="宋体" w:cs="宋体"/>
          <w:spacing w:val="7"/>
          <w:position w:val="1"/>
          <w:sz w:val="20"/>
          <w:szCs w:val="20"/>
        </w:rPr>
        <w:t>△P——需调整的价格差额；</w:t>
      </w:r>
    </w:p>
    <w:p>
      <w:pPr>
        <w:spacing w:before="121" w:line="352" w:lineRule="auto"/>
        <w:ind w:left="6" w:right="2" w:firstLine="422"/>
        <w:rPr>
          <w:rFonts w:ascii="宋体" w:hAnsi="宋体" w:eastAsia="宋体" w:cs="宋体"/>
          <w:sz w:val="20"/>
          <w:szCs w:val="20"/>
        </w:rPr>
      </w:pPr>
      <w:r>
        <w:rPr>
          <w:rFonts w:ascii="宋体" w:hAnsi="宋体" w:eastAsia="宋体" w:cs="宋体"/>
          <w:spacing w:val="11"/>
          <w:sz w:val="20"/>
          <w:szCs w:val="20"/>
        </w:rPr>
        <w:t>P0——约定的工程形象进度节点承包人应得到的合</w:t>
      </w:r>
      <w:r>
        <w:rPr>
          <w:rFonts w:ascii="宋体" w:hAnsi="宋体" w:eastAsia="宋体" w:cs="宋体"/>
          <w:spacing w:val="10"/>
          <w:sz w:val="20"/>
          <w:szCs w:val="20"/>
        </w:rPr>
        <w:t>同价金额。此项金额应不包括价格调整、不</w:t>
      </w:r>
      <w:r>
        <w:rPr>
          <w:rFonts w:ascii="宋体" w:hAnsi="宋体" w:eastAsia="宋体" w:cs="宋体"/>
          <w:spacing w:val="9"/>
          <w:sz w:val="20"/>
          <w:szCs w:val="20"/>
        </w:rPr>
        <w:t>计质量保证金的扣留和支付、预付款的支付和扣回。</w:t>
      </w:r>
    </w:p>
    <w:p>
      <w:pPr>
        <w:spacing w:before="44" w:line="367" w:lineRule="auto"/>
        <w:ind w:left="6" w:right="2" w:firstLine="438"/>
        <w:rPr>
          <w:rFonts w:ascii="宋体" w:hAnsi="宋体" w:eastAsia="宋体" w:cs="宋体"/>
          <w:sz w:val="20"/>
          <w:szCs w:val="20"/>
        </w:rPr>
      </w:pPr>
      <w:r>
        <w:rPr>
          <w:rFonts w:ascii="宋体" w:hAnsi="宋体" w:eastAsia="宋体" w:cs="宋体"/>
          <w:spacing w:val="10"/>
          <w:sz w:val="20"/>
          <w:szCs w:val="20"/>
        </w:rPr>
        <w:t>已按现行价格计价的变更及其他金额，也不计在内，但按中标价的项目清单价格计算的变更应</w:t>
      </w:r>
      <w:r>
        <w:rPr>
          <w:rFonts w:ascii="宋体" w:hAnsi="宋体" w:eastAsia="宋体" w:cs="宋体"/>
          <w:spacing w:val="7"/>
          <w:sz w:val="20"/>
          <w:szCs w:val="20"/>
        </w:rPr>
        <w:t>计算在内；</w:t>
      </w:r>
    </w:p>
    <w:p>
      <w:pPr>
        <w:spacing w:line="276" w:lineRule="exact"/>
        <w:ind w:left="429"/>
        <w:rPr>
          <w:rFonts w:ascii="宋体" w:hAnsi="宋体" w:eastAsia="宋体" w:cs="宋体"/>
          <w:sz w:val="20"/>
          <w:szCs w:val="20"/>
        </w:rPr>
      </w:pPr>
      <w:r>
        <w:rPr>
          <w:rFonts w:ascii="宋体" w:hAnsi="宋体" w:eastAsia="宋体" w:cs="宋体"/>
          <w:spacing w:val="10"/>
          <w:position w:val="1"/>
          <w:sz w:val="20"/>
          <w:szCs w:val="20"/>
        </w:rPr>
        <w:t>A——定值权重，为约定的工程形象进度节点合同价中不调整部分的权重；</w:t>
      </w:r>
    </w:p>
    <w:p>
      <w:pPr>
        <w:spacing w:before="125" w:line="366" w:lineRule="auto"/>
        <w:ind w:left="14" w:right="2" w:firstLine="418"/>
        <w:rPr>
          <w:rFonts w:ascii="宋体" w:hAnsi="宋体" w:eastAsia="宋体" w:cs="宋体"/>
          <w:sz w:val="20"/>
          <w:szCs w:val="20"/>
        </w:rPr>
      </w:pPr>
      <w:r>
        <w:rPr>
          <w:rFonts w:ascii="宋体" w:hAnsi="宋体" w:eastAsia="宋体" w:cs="宋体"/>
          <w:spacing w:val="7"/>
          <w:sz w:val="20"/>
          <w:szCs w:val="20"/>
        </w:rPr>
        <w:t>B1</w:t>
      </w:r>
      <w:r>
        <w:rPr>
          <w:rFonts w:ascii="宋体" w:hAnsi="宋体" w:eastAsia="宋体" w:cs="宋体"/>
          <w:spacing w:val="30"/>
          <w:sz w:val="20"/>
          <w:szCs w:val="20"/>
        </w:rPr>
        <w:t xml:space="preserve"> </w:t>
      </w:r>
      <w:r>
        <w:rPr>
          <w:rFonts w:ascii="宋体" w:hAnsi="宋体" w:eastAsia="宋体" w:cs="宋体"/>
          <w:spacing w:val="7"/>
          <w:sz w:val="20"/>
          <w:szCs w:val="20"/>
        </w:rPr>
        <w:t>、B2</w:t>
      </w:r>
      <w:r>
        <w:rPr>
          <w:rFonts w:ascii="宋体" w:hAnsi="宋体" w:eastAsia="宋体" w:cs="宋体"/>
          <w:spacing w:val="31"/>
          <w:sz w:val="20"/>
          <w:szCs w:val="20"/>
        </w:rPr>
        <w:t xml:space="preserve"> </w:t>
      </w:r>
      <w:r>
        <w:rPr>
          <w:rFonts w:ascii="宋体" w:hAnsi="宋体" w:eastAsia="宋体" w:cs="宋体"/>
          <w:spacing w:val="7"/>
          <w:sz w:val="20"/>
          <w:szCs w:val="20"/>
        </w:rPr>
        <w:t>、B3</w:t>
      </w:r>
      <w:r>
        <w:rPr>
          <w:rFonts w:ascii="宋体" w:hAnsi="宋体" w:eastAsia="宋体" w:cs="宋体"/>
          <w:spacing w:val="30"/>
          <w:sz w:val="20"/>
          <w:szCs w:val="20"/>
        </w:rPr>
        <w:t xml:space="preserve"> </w:t>
      </w:r>
      <w:r>
        <w:rPr>
          <w:rFonts w:ascii="宋体" w:hAnsi="宋体" w:eastAsia="宋体" w:cs="宋体"/>
          <w:spacing w:val="7"/>
          <w:sz w:val="20"/>
          <w:szCs w:val="20"/>
        </w:rPr>
        <w:t>、 … 、</w:t>
      </w:r>
      <w:r>
        <w:rPr>
          <w:rFonts w:ascii="宋体" w:hAnsi="宋体" w:eastAsia="宋体" w:cs="宋体"/>
          <w:sz w:val="20"/>
          <w:szCs w:val="20"/>
        </w:rPr>
        <w:t>Bn</w:t>
      </w:r>
      <w:r>
        <w:rPr>
          <w:rFonts w:ascii="宋体" w:hAnsi="宋体" w:eastAsia="宋体" w:cs="宋体"/>
          <w:spacing w:val="7"/>
          <w:sz w:val="20"/>
          <w:szCs w:val="20"/>
        </w:rPr>
        <w:t xml:space="preserve"> ——各可调因子的变值权重（</w:t>
      </w:r>
      <w:r>
        <w:rPr>
          <w:rFonts w:ascii="宋体" w:hAnsi="宋体" w:eastAsia="宋体" w:cs="宋体"/>
          <w:spacing w:val="-50"/>
          <w:sz w:val="20"/>
          <w:szCs w:val="20"/>
        </w:rPr>
        <w:t xml:space="preserve"> </w:t>
      </w:r>
      <w:r>
        <w:rPr>
          <w:rFonts w:ascii="宋体" w:hAnsi="宋体" w:eastAsia="宋体" w:cs="宋体"/>
          <w:spacing w:val="7"/>
          <w:sz w:val="20"/>
          <w:szCs w:val="20"/>
        </w:rPr>
        <w:t>即可调部分的权重</w:t>
      </w:r>
      <w:r>
        <w:rPr>
          <w:rFonts w:ascii="宋体" w:hAnsi="宋体" w:eastAsia="宋体" w:cs="宋体"/>
          <w:spacing w:val="9"/>
          <w:sz w:val="20"/>
          <w:szCs w:val="20"/>
        </w:rPr>
        <w:t>），</w:t>
      </w:r>
      <w:r>
        <w:rPr>
          <w:rFonts w:ascii="宋体" w:hAnsi="宋体" w:eastAsia="宋体" w:cs="宋体"/>
          <w:spacing w:val="6"/>
          <w:sz w:val="20"/>
          <w:szCs w:val="20"/>
        </w:rPr>
        <w:t>为可调因子在</w:t>
      </w:r>
      <w:r>
        <w:rPr>
          <w:rFonts w:ascii="宋体" w:hAnsi="宋体" w:eastAsia="宋体" w:cs="宋体"/>
          <w:spacing w:val="8"/>
          <w:sz w:val="20"/>
          <w:szCs w:val="20"/>
        </w:rPr>
        <w:t>约定的工程形象进度节点合同价中所占的比例；</w:t>
      </w:r>
    </w:p>
    <w:p>
      <w:pPr>
        <w:spacing w:before="6" w:line="276" w:lineRule="exact"/>
        <w:ind w:left="431"/>
        <w:rPr>
          <w:rFonts w:ascii="宋体" w:hAnsi="宋体" w:eastAsia="宋体" w:cs="宋体"/>
          <w:sz w:val="20"/>
          <w:szCs w:val="20"/>
        </w:rPr>
      </w:pPr>
      <w:r>
        <w:rPr>
          <w:rFonts w:ascii="宋体" w:hAnsi="宋体" w:eastAsia="宋体" w:cs="宋体"/>
          <w:position w:val="1"/>
          <w:sz w:val="20"/>
          <w:szCs w:val="20"/>
        </w:rPr>
        <w:t>Ftl</w:t>
      </w:r>
      <w:r>
        <w:rPr>
          <w:rFonts w:ascii="宋体" w:hAnsi="宋体" w:eastAsia="宋体" w:cs="宋体"/>
          <w:spacing w:val="1"/>
          <w:position w:val="1"/>
          <w:sz w:val="20"/>
          <w:szCs w:val="20"/>
        </w:rPr>
        <w:t>、</w:t>
      </w:r>
      <w:r>
        <w:rPr>
          <w:rFonts w:ascii="宋体" w:hAnsi="宋体" w:eastAsia="宋体" w:cs="宋体"/>
          <w:position w:val="1"/>
          <w:sz w:val="20"/>
          <w:szCs w:val="20"/>
        </w:rPr>
        <w:t>Ft</w:t>
      </w:r>
      <w:r>
        <w:rPr>
          <w:rFonts w:ascii="宋体" w:hAnsi="宋体" w:eastAsia="宋体" w:cs="宋体"/>
          <w:spacing w:val="1"/>
          <w:position w:val="1"/>
          <w:sz w:val="20"/>
          <w:szCs w:val="20"/>
        </w:rPr>
        <w:t>2、</w:t>
      </w:r>
      <w:r>
        <w:rPr>
          <w:rFonts w:ascii="宋体" w:hAnsi="宋体" w:eastAsia="宋体" w:cs="宋体"/>
          <w:position w:val="1"/>
          <w:sz w:val="20"/>
          <w:szCs w:val="20"/>
        </w:rPr>
        <w:t>Ft</w:t>
      </w:r>
      <w:r>
        <w:rPr>
          <w:rFonts w:ascii="宋体" w:hAnsi="宋体" w:eastAsia="宋体" w:cs="宋体"/>
          <w:spacing w:val="1"/>
          <w:position w:val="1"/>
          <w:sz w:val="20"/>
          <w:szCs w:val="20"/>
        </w:rPr>
        <w:t>3、 …</w:t>
      </w:r>
      <w:r>
        <w:rPr>
          <w:rFonts w:ascii="宋体" w:hAnsi="宋体" w:eastAsia="宋体" w:cs="宋体"/>
          <w:spacing w:val="32"/>
          <w:position w:val="1"/>
          <w:sz w:val="20"/>
          <w:szCs w:val="20"/>
        </w:rPr>
        <w:t xml:space="preserve"> </w:t>
      </w:r>
      <w:r>
        <w:rPr>
          <w:rFonts w:ascii="宋体" w:hAnsi="宋体" w:eastAsia="宋体" w:cs="宋体"/>
          <w:spacing w:val="1"/>
          <w:position w:val="1"/>
          <w:sz w:val="20"/>
          <w:szCs w:val="20"/>
        </w:rPr>
        <w:t>、</w:t>
      </w:r>
      <w:r>
        <w:rPr>
          <w:rFonts w:ascii="宋体" w:hAnsi="宋体" w:eastAsia="宋体" w:cs="宋体"/>
          <w:position w:val="1"/>
          <w:sz w:val="20"/>
          <w:szCs w:val="20"/>
        </w:rPr>
        <w:t>Ftn</w:t>
      </w:r>
      <w:r>
        <w:rPr>
          <w:rFonts w:ascii="宋体" w:hAnsi="宋体" w:eastAsia="宋体" w:cs="宋体"/>
          <w:spacing w:val="1"/>
          <w:position w:val="1"/>
          <w:sz w:val="20"/>
          <w:szCs w:val="20"/>
        </w:rPr>
        <w:t>——各可调因子的现行价格指数；</w:t>
      </w:r>
    </w:p>
    <w:p>
      <w:pPr>
        <w:spacing w:line="276" w:lineRule="exact"/>
        <w:rPr>
          <w:rFonts w:ascii="宋体" w:hAnsi="宋体" w:eastAsia="宋体" w:cs="宋体"/>
          <w:sz w:val="20"/>
          <w:szCs w:val="20"/>
        </w:rPr>
        <w:sectPr>
          <w:footerReference r:id="rId273" w:type="default"/>
          <w:pgSz w:w="11906" w:h="16839"/>
          <w:pgMar w:top="400" w:right="1417" w:bottom="1212" w:left="1411"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51" w:lineRule="auto"/>
        <w:ind w:left="3" w:firstLine="420"/>
        <w:rPr>
          <w:rFonts w:ascii="宋体" w:hAnsi="宋体" w:eastAsia="宋体" w:cs="宋体"/>
          <w:sz w:val="20"/>
          <w:szCs w:val="20"/>
        </w:rPr>
      </w:pPr>
      <w:bookmarkStart w:id="161" w:name="bookmark187"/>
      <w:bookmarkEnd w:id="161"/>
      <w:r>
        <w:rPr>
          <w:rFonts w:ascii="宋体" w:hAnsi="宋体" w:eastAsia="宋体" w:cs="宋体"/>
          <w:spacing w:val="9"/>
          <w:sz w:val="20"/>
          <w:szCs w:val="20"/>
        </w:rPr>
        <w:t>F01、F02、F03、 … 、F0n——各可调因子的基本价格指数，指基准日期的各可调因子的价格</w:t>
      </w:r>
      <w:r>
        <w:rPr>
          <w:rFonts w:ascii="宋体" w:hAnsi="宋体" w:eastAsia="宋体" w:cs="宋体"/>
          <w:spacing w:val="3"/>
          <w:sz w:val="20"/>
          <w:szCs w:val="20"/>
        </w:rPr>
        <w:t>指数。</w:t>
      </w:r>
    </w:p>
    <w:p>
      <w:pPr>
        <w:spacing w:before="44" w:line="367" w:lineRule="auto"/>
        <w:ind w:left="1" w:right="2" w:firstLine="437"/>
        <w:rPr>
          <w:rFonts w:ascii="宋体" w:hAnsi="宋体" w:eastAsia="宋体" w:cs="宋体"/>
          <w:sz w:val="20"/>
          <w:szCs w:val="20"/>
        </w:rPr>
      </w:pPr>
      <w:r>
        <w:rPr>
          <w:rFonts w:ascii="宋体" w:hAnsi="宋体" w:eastAsia="宋体" w:cs="宋体"/>
          <w:spacing w:val="10"/>
          <w:sz w:val="20"/>
          <w:szCs w:val="20"/>
        </w:rPr>
        <w:t>以上价格指数调差公式中的各可调因子、定值和变值权重，以及价格指数及其来源由发承包双</w:t>
      </w:r>
      <w:r>
        <w:rPr>
          <w:rFonts w:ascii="宋体" w:hAnsi="宋体" w:eastAsia="宋体" w:cs="宋体"/>
          <w:spacing w:val="9"/>
          <w:sz w:val="20"/>
          <w:szCs w:val="20"/>
        </w:rPr>
        <w:t>方在合同中约定。缺乏价格指数时，可采用同一来源的价格代替。</w:t>
      </w:r>
    </w:p>
    <w:p>
      <w:pPr>
        <w:spacing w:before="2" w:line="341" w:lineRule="auto"/>
        <w:ind w:left="1" w:right="2" w:firstLine="422"/>
        <w:rPr>
          <w:rFonts w:ascii="宋体" w:hAnsi="宋体" w:eastAsia="宋体" w:cs="宋体"/>
          <w:sz w:val="20"/>
          <w:szCs w:val="20"/>
        </w:rPr>
      </w:pPr>
      <w:r>
        <w:rPr>
          <w:rFonts w:ascii="宋体" w:hAnsi="宋体" w:eastAsia="宋体" w:cs="宋体"/>
          <w:spacing w:val="11"/>
          <w:sz w:val="20"/>
          <w:szCs w:val="20"/>
        </w:rPr>
        <w:t>如合同约定价格风险幅度的，现行价格指数应考虑此风险幅度系数并进</w:t>
      </w:r>
      <w:r>
        <w:rPr>
          <w:rFonts w:ascii="宋体" w:hAnsi="宋体" w:eastAsia="宋体" w:cs="宋体"/>
          <w:spacing w:val="10"/>
          <w:sz w:val="20"/>
          <w:szCs w:val="20"/>
        </w:rPr>
        <w:t>行修正，以现行价格指</w:t>
      </w:r>
      <w:r>
        <w:rPr>
          <w:rFonts w:ascii="宋体" w:hAnsi="宋体" w:eastAsia="宋体" w:cs="宋体"/>
          <w:spacing w:val="-3"/>
          <w:sz w:val="20"/>
          <w:szCs w:val="20"/>
        </w:rPr>
        <w:t>数修正值</w:t>
      </w:r>
      <w:r>
        <w:rPr>
          <w:rFonts w:ascii="宋体" w:hAnsi="宋体" w:eastAsia="宋体" w:cs="宋体"/>
          <w:spacing w:val="-25"/>
          <w:sz w:val="20"/>
          <w:szCs w:val="20"/>
        </w:rPr>
        <w:t xml:space="preserve"> </w:t>
      </w:r>
      <w:r>
        <w:rPr>
          <w:rFonts w:ascii="宋体" w:hAnsi="宋体" w:eastAsia="宋体" w:cs="宋体"/>
          <w:spacing w:val="-3"/>
          <w:sz w:val="20"/>
          <w:szCs w:val="20"/>
        </w:rPr>
        <w:t>Fti'代替公式中的现行价格指数</w:t>
      </w:r>
      <w:r>
        <w:rPr>
          <w:rFonts w:ascii="宋体" w:hAnsi="宋体" w:eastAsia="宋体" w:cs="宋体"/>
          <w:spacing w:val="-35"/>
          <w:sz w:val="20"/>
          <w:szCs w:val="20"/>
        </w:rPr>
        <w:t xml:space="preserve"> </w:t>
      </w:r>
      <w:r>
        <w:rPr>
          <w:rFonts w:ascii="宋体" w:hAnsi="宋体" w:eastAsia="宋体" w:cs="宋体"/>
          <w:spacing w:val="-3"/>
          <w:sz w:val="20"/>
          <w:szCs w:val="20"/>
        </w:rPr>
        <w:t>Fti。</w:t>
      </w:r>
    </w:p>
    <w:p>
      <w:pPr>
        <w:spacing w:line="1271" w:lineRule="exact"/>
        <w:ind w:firstLine="628"/>
      </w:pPr>
      <w:r>
        <w:rPr>
          <w:position w:val="-25"/>
        </w:rPr>
        <w:drawing>
          <wp:inline distT="0" distB="0" distL="0" distR="0">
            <wp:extent cx="5115560" cy="807085"/>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430"/>
                    <a:stretch>
                      <a:fillRect/>
                    </a:stretch>
                  </pic:blipFill>
                  <pic:spPr>
                    <a:xfrm>
                      <a:off x="0" y="0"/>
                      <a:ext cx="5116068" cy="807153"/>
                    </a:xfrm>
                    <a:prstGeom prst="rect">
                      <a:avLst/>
                    </a:prstGeom>
                  </pic:spPr>
                </pic:pic>
              </a:graphicData>
            </a:graphic>
          </wp:inline>
        </w:drawing>
      </w:r>
    </w:p>
    <w:p>
      <w:pPr>
        <w:spacing w:line="241" w:lineRule="auto"/>
        <w:ind w:left="421"/>
        <w:rPr>
          <w:rFonts w:ascii="宋体" w:hAnsi="宋体" w:eastAsia="宋体" w:cs="宋体"/>
          <w:sz w:val="20"/>
          <w:szCs w:val="20"/>
        </w:rPr>
      </w:pPr>
      <w:r>
        <w:rPr>
          <w:rFonts w:ascii="宋体" w:hAnsi="宋体" w:eastAsia="宋体" w:cs="宋体"/>
          <w:sz w:val="20"/>
          <w:szCs w:val="20"/>
        </w:rPr>
        <w:t>ri</w:t>
      </w:r>
      <w:r>
        <w:rPr>
          <w:rFonts w:ascii="宋体" w:hAnsi="宋体" w:eastAsia="宋体" w:cs="宋体"/>
          <w:spacing w:val="3"/>
          <w:sz w:val="20"/>
          <w:szCs w:val="20"/>
        </w:rPr>
        <w:t xml:space="preserve"> </w:t>
      </w:r>
      <w:r>
        <w:rPr>
          <w:rFonts w:ascii="Arial" w:hAnsi="Arial" w:eastAsia="Arial" w:cs="Arial"/>
          <w:spacing w:val="3"/>
          <w:sz w:val="20"/>
          <w:szCs w:val="20"/>
        </w:rPr>
        <w:t>-</w:t>
      </w:r>
      <w:r>
        <w:rPr>
          <w:rFonts w:ascii="宋体" w:hAnsi="宋体" w:eastAsia="宋体" w:cs="宋体"/>
          <w:spacing w:val="3"/>
          <w:sz w:val="20"/>
          <w:szCs w:val="20"/>
        </w:rPr>
        <w:t>风险幅度系数，</w:t>
      </w:r>
      <w:r>
        <w:rPr>
          <w:rFonts w:ascii="宋体" w:hAnsi="宋体" w:eastAsia="宋体" w:cs="宋体"/>
          <w:sz w:val="20"/>
          <w:szCs w:val="20"/>
        </w:rPr>
        <w:t>ai</w:t>
      </w:r>
      <w:r>
        <w:rPr>
          <w:rFonts w:ascii="宋体" w:hAnsi="宋体" w:eastAsia="宋体" w:cs="宋体"/>
          <w:spacing w:val="3"/>
          <w:sz w:val="20"/>
          <w:szCs w:val="20"/>
        </w:rPr>
        <w:t xml:space="preserve"> </w:t>
      </w:r>
      <w:r>
        <w:rPr>
          <w:rFonts w:ascii="Arial" w:hAnsi="Arial" w:eastAsia="Arial" w:cs="Arial"/>
          <w:spacing w:val="3"/>
          <w:sz w:val="20"/>
          <w:szCs w:val="20"/>
        </w:rPr>
        <w:t>-</w:t>
      </w:r>
      <w:r>
        <w:rPr>
          <w:rFonts w:ascii="宋体" w:hAnsi="宋体" w:eastAsia="宋体" w:cs="宋体"/>
          <w:spacing w:val="3"/>
          <w:sz w:val="20"/>
          <w:szCs w:val="20"/>
        </w:rPr>
        <w:t>现行价格指数修正系数，i=1，</w:t>
      </w:r>
      <w:r>
        <w:rPr>
          <w:rFonts w:ascii="宋体" w:hAnsi="宋体" w:eastAsia="宋体" w:cs="宋体"/>
          <w:spacing w:val="26"/>
          <w:sz w:val="20"/>
          <w:szCs w:val="20"/>
        </w:rPr>
        <w:t xml:space="preserve"> </w:t>
      </w:r>
      <w:r>
        <w:rPr>
          <w:rFonts w:ascii="宋体" w:hAnsi="宋体" w:eastAsia="宋体" w:cs="宋体"/>
          <w:spacing w:val="2"/>
          <w:sz w:val="20"/>
          <w:szCs w:val="20"/>
        </w:rPr>
        <w:t>……</w:t>
      </w:r>
      <w:r>
        <w:rPr>
          <w:rFonts w:ascii="宋体" w:hAnsi="宋体" w:eastAsia="宋体" w:cs="宋体"/>
          <w:spacing w:val="41"/>
          <w:sz w:val="20"/>
          <w:szCs w:val="20"/>
        </w:rPr>
        <w:t xml:space="preserve"> </w:t>
      </w:r>
      <w:r>
        <w:rPr>
          <w:rFonts w:ascii="宋体" w:hAnsi="宋体" w:eastAsia="宋体" w:cs="宋体"/>
          <w:spacing w:val="2"/>
          <w:sz w:val="20"/>
          <w:szCs w:val="20"/>
        </w:rPr>
        <w:t>,</w:t>
      </w:r>
      <w:r>
        <w:rPr>
          <w:rFonts w:ascii="宋体" w:hAnsi="宋体" w:eastAsia="宋体" w:cs="宋体"/>
          <w:spacing w:val="49"/>
          <w:sz w:val="20"/>
          <w:szCs w:val="20"/>
        </w:rPr>
        <w:t xml:space="preserve"> </w:t>
      </w:r>
      <w:r>
        <w:rPr>
          <w:rFonts w:ascii="宋体" w:hAnsi="宋体" w:eastAsia="宋体" w:cs="宋体"/>
          <w:spacing w:val="2"/>
          <w:sz w:val="20"/>
          <w:szCs w:val="20"/>
        </w:rPr>
        <w:t>n。</w:t>
      </w:r>
    </w:p>
    <w:p>
      <w:pPr>
        <w:spacing w:before="126" w:line="278" w:lineRule="exact"/>
        <w:ind w:left="423"/>
        <w:rPr>
          <w:rFonts w:ascii="宋体" w:hAnsi="宋体" w:eastAsia="宋体" w:cs="宋体"/>
          <w:sz w:val="20"/>
          <w:szCs w:val="20"/>
        </w:rPr>
      </w:pPr>
      <w:r>
        <w:rPr>
          <w:rFonts w:ascii="宋体" w:hAnsi="宋体" w:eastAsia="宋体" w:cs="宋体"/>
          <w:spacing w:val="8"/>
          <w:position w:val="1"/>
          <w:sz w:val="20"/>
          <w:szCs w:val="20"/>
        </w:rPr>
        <w:t>2. 权重的调整。工程变更导致原定合同中的权重发生较大变化时，由发承包双方协</w:t>
      </w:r>
      <w:r>
        <w:rPr>
          <w:rFonts w:ascii="宋体" w:hAnsi="宋体" w:eastAsia="宋体" w:cs="宋体"/>
          <w:spacing w:val="7"/>
          <w:position w:val="1"/>
          <w:sz w:val="20"/>
          <w:szCs w:val="20"/>
        </w:rPr>
        <w:t>商调整。</w:t>
      </w:r>
    </w:p>
    <w:p>
      <w:pPr>
        <w:spacing w:before="75" w:line="291" w:lineRule="auto"/>
        <w:ind w:right="2" w:firstLine="426"/>
        <w:rPr>
          <w:rFonts w:ascii="宋体" w:hAnsi="宋体" w:eastAsia="宋体" w:cs="宋体"/>
          <w:sz w:val="20"/>
          <w:szCs w:val="20"/>
        </w:rPr>
      </w:pPr>
      <w:r>
        <w:rPr>
          <w:rFonts w:ascii="宋体" w:hAnsi="宋体" w:eastAsia="宋体" w:cs="宋体"/>
          <w:spacing w:val="8"/>
          <w:sz w:val="20"/>
          <w:szCs w:val="20"/>
        </w:rPr>
        <w:t>3. 工期延误后的价格调整。因非承包人原因导致工期延误的，计划进度日期后续工</w:t>
      </w:r>
      <w:r>
        <w:rPr>
          <w:rFonts w:ascii="宋体" w:hAnsi="宋体" w:eastAsia="宋体" w:cs="宋体"/>
          <w:spacing w:val="7"/>
          <w:sz w:val="20"/>
          <w:szCs w:val="20"/>
        </w:rPr>
        <w:t>程的价格指</w:t>
      </w:r>
      <w:r>
        <w:rPr>
          <w:rFonts w:ascii="宋体" w:hAnsi="宋体" w:eastAsia="宋体" w:cs="宋体"/>
          <w:spacing w:val="11"/>
          <w:sz w:val="20"/>
          <w:szCs w:val="20"/>
        </w:rPr>
        <w:t>数，采用计划进度日期与实际进度日期两者的较高者作为现行价格指数；因承包</w:t>
      </w:r>
      <w:r>
        <w:rPr>
          <w:rFonts w:ascii="宋体" w:hAnsi="宋体" w:eastAsia="宋体" w:cs="宋体"/>
          <w:spacing w:val="10"/>
          <w:sz w:val="20"/>
          <w:szCs w:val="20"/>
        </w:rPr>
        <w:t>人原因导致工期延</w:t>
      </w:r>
      <w:r>
        <w:rPr>
          <w:rFonts w:ascii="宋体" w:hAnsi="宋体" w:eastAsia="宋体" w:cs="宋体"/>
          <w:spacing w:val="11"/>
          <w:sz w:val="20"/>
          <w:szCs w:val="20"/>
        </w:rPr>
        <w:t>误的，计划进度日期后续工程的价格指数，采用计划进度日期与实际进度日期两</w:t>
      </w:r>
      <w:r>
        <w:rPr>
          <w:rFonts w:ascii="宋体" w:hAnsi="宋体" w:eastAsia="宋体" w:cs="宋体"/>
          <w:spacing w:val="10"/>
          <w:sz w:val="20"/>
          <w:szCs w:val="20"/>
        </w:rPr>
        <w:t>者的较低者作为现</w:t>
      </w:r>
      <w:r>
        <w:rPr>
          <w:rFonts w:ascii="宋体" w:hAnsi="宋体" w:eastAsia="宋体" w:cs="宋体"/>
          <w:spacing w:val="7"/>
          <w:sz w:val="20"/>
          <w:szCs w:val="20"/>
        </w:rPr>
        <w:t>行价格指数。</w:t>
      </w:r>
    </w:p>
    <w:p>
      <w:pPr>
        <w:pStyle w:val="2"/>
        <w:spacing w:before="65" w:line="201" w:lineRule="auto"/>
        <w:ind w:left="489"/>
        <w:rPr>
          <w:sz w:val="24"/>
          <w:szCs w:val="24"/>
        </w:rPr>
      </w:pPr>
      <w:r>
        <w:rPr>
          <w:spacing w:val="-2"/>
          <w:sz w:val="24"/>
          <w:szCs w:val="24"/>
        </w:rPr>
        <w:t>五、其他调整事项</w:t>
      </w:r>
    </w:p>
    <w:p>
      <w:pPr>
        <w:spacing w:before="27" w:line="314" w:lineRule="auto"/>
        <w:ind w:firstLine="440"/>
        <w:rPr>
          <w:rFonts w:ascii="宋体" w:hAnsi="宋体" w:eastAsia="宋体" w:cs="宋体"/>
          <w:sz w:val="20"/>
          <w:szCs w:val="20"/>
        </w:rPr>
      </w:pPr>
      <w:r>
        <w:rPr>
          <w:rFonts w:ascii="宋体" w:hAnsi="宋体" w:eastAsia="宋体" w:cs="宋体"/>
          <w:spacing w:val="8"/>
          <w:sz w:val="20"/>
          <w:szCs w:val="20"/>
        </w:rPr>
        <w:t>1. 发包人要求合同工程提前竣工的，应征得承包人同意后</w:t>
      </w:r>
      <w:r>
        <w:rPr>
          <w:rFonts w:ascii="宋体" w:hAnsi="宋体" w:eastAsia="宋体" w:cs="宋体"/>
          <w:spacing w:val="7"/>
          <w:sz w:val="20"/>
          <w:szCs w:val="20"/>
        </w:rPr>
        <w:t>与承包人商定采取加快工程进度的措</w:t>
      </w:r>
      <w:r>
        <w:rPr>
          <w:rFonts w:ascii="宋体" w:hAnsi="宋体" w:eastAsia="宋体" w:cs="宋体"/>
          <w:spacing w:val="10"/>
          <w:sz w:val="20"/>
          <w:szCs w:val="20"/>
        </w:rPr>
        <w:t>施，并应修订合同工程进度计划。发包人应承担承包人由此增</w:t>
      </w:r>
      <w:r>
        <w:rPr>
          <w:rFonts w:ascii="宋体" w:hAnsi="宋体" w:eastAsia="宋体" w:cs="宋体"/>
          <w:spacing w:val="9"/>
          <w:sz w:val="20"/>
          <w:szCs w:val="20"/>
        </w:rPr>
        <w:t>加的提前竣工（赶工补偿）费用。</w:t>
      </w:r>
    </w:p>
    <w:p>
      <w:pPr>
        <w:spacing w:before="5" w:line="312" w:lineRule="auto"/>
        <w:ind w:left="1" w:right="2" w:firstLine="421"/>
        <w:rPr>
          <w:rFonts w:ascii="宋体" w:hAnsi="宋体" w:eastAsia="宋体" w:cs="宋体"/>
          <w:sz w:val="20"/>
          <w:szCs w:val="20"/>
        </w:rPr>
      </w:pPr>
      <w:r>
        <w:rPr>
          <w:rFonts w:ascii="宋体" w:hAnsi="宋体" w:eastAsia="宋体" w:cs="宋体"/>
          <w:spacing w:val="11"/>
          <w:sz w:val="20"/>
          <w:szCs w:val="20"/>
        </w:rPr>
        <w:t>发承包双方应在合同中约定提前竣工每日历天应补偿额度，此项费用应作</w:t>
      </w:r>
      <w:r>
        <w:rPr>
          <w:rFonts w:ascii="宋体" w:hAnsi="宋体" w:eastAsia="宋体" w:cs="宋体"/>
          <w:spacing w:val="10"/>
          <w:sz w:val="20"/>
          <w:szCs w:val="20"/>
        </w:rPr>
        <w:t>为增加合同价款列入</w:t>
      </w:r>
      <w:r>
        <w:rPr>
          <w:rFonts w:ascii="宋体" w:hAnsi="宋体" w:eastAsia="宋体" w:cs="宋体"/>
          <w:spacing w:val="9"/>
          <w:sz w:val="20"/>
          <w:szCs w:val="20"/>
        </w:rPr>
        <w:t>竣工结算文件中，与结算款一并支付。</w:t>
      </w:r>
    </w:p>
    <w:p>
      <w:pPr>
        <w:spacing w:before="1" w:line="298" w:lineRule="auto"/>
        <w:ind w:right="2" w:firstLine="422"/>
        <w:rPr>
          <w:rFonts w:ascii="宋体" w:hAnsi="宋体" w:eastAsia="宋体" w:cs="宋体"/>
          <w:sz w:val="20"/>
          <w:szCs w:val="20"/>
        </w:rPr>
      </w:pPr>
      <w:r>
        <w:rPr>
          <w:rFonts w:ascii="宋体" w:hAnsi="宋体" w:eastAsia="宋体" w:cs="宋体"/>
          <w:spacing w:val="8"/>
          <w:sz w:val="20"/>
          <w:szCs w:val="20"/>
        </w:rPr>
        <w:t>2. 因承包人原因导致合同工程发生误期，承包人应赔偿发包人由此造成的损失，或按照合同约定向发包人支付误期赔偿费。</w:t>
      </w:r>
    </w:p>
    <w:p>
      <w:pPr>
        <w:spacing w:before="38" w:line="311" w:lineRule="auto"/>
        <w:ind w:left="1" w:right="2" w:firstLine="421"/>
        <w:rPr>
          <w:rFonts w:ascii="宋体" w:hAnsi="宋体" w:eastAsia="宋体" w:cs="宋体"/>
          <w:sz w:val="20"/>
          <w:szCs w:val="20"/>
        </w:rPr>
      </w:pPr>
      <w:r>
        <w:rPr>
          <w:rFonts w:ascii="宋体" w:hAnsi="宋体" w:eastAsia="宋体" w:cs="宋体"/>
          <w:spacing w:val="11"/>
          <w:sz w:val="20"/>
          <w:szCs w:val="20"/>
        </w:rPr>
        <w:t>发承包双方应在合同中约定误期赔偿费，并应明确每日历天应赔额度。误</w:t>
      </w:r>
      <w:r>
        <w:rPr>
          <w:rFonts w:ascii="宋体" w:hAnsi="宋体" w:eastAsia="宋体" w:cs="宋体"/>
          <w:spacing w:val="10"/>
          <w:sz w:val="20"/>
          <w:szCs w:val="20"/>
        </w:rPr>
        <w:t>期赔偿费应列入竣工</w:t>
      </w:r>
      <w:r>
        <w:rPr>
          <w:rFonts w:ascii="宋体" w:hAnsi="宋体" w:eastAsia="宋体" w:cs="宋体"/>
          <w:spacing w:val="8"/>
          <w:sz w:val="20"/>
          <w:szCs w:val="20"/>
        </w:rPr>
        <w:t>结算文件中，在结算款中扣除。</w:t>
      </w:r>
    </w:p>
    <w:p>
      <w:pPr>
        <w:spacing w:before="2" w:line="269" w:lineRule="auto"/>
        <w:ind w:left="4" w:firstLine="421"/>
        <w:rPr>
          <w:rFonts w:ascii="宋体" w:hAnsi="宋体" w:eastAsia="宋体" w:cs="宋体"/>
          <w:sz w:val="20"/>
          <w:szCs w:val="20"/>
        </w:rPr>
      </w:pPr>
      <w:r>
        <w:rPr>
          <w:rFonts w:ascii="宋体" w:hAnsi="宋体" w:eastAsia="宋体" w:cs="宋体"/>
          <w:spacing w:val="8"/>
          <w:sz w:val="20"/>
          <w:szCs w:val="20"/>
        </w:rPr>
        <w:t>3. 承包人应发包人要求完成合同以外的零星项目，应及时向发包人提出工程签证要求，发</w:t>
      </w:r>
      <w:r>
        <w:rPr>
          <w:rFonts w:ascii="宋体" w:hAnsi="宋体" w:eastAsia="宋体" w:cs="宋体"/>
          <w:spacing w:val="7"/>
          <w:sz w:val="20"/>
          <w:szCs w:val="20"/>
        </w:rPr>
        <w:t>承包</w:t>
      </w:r>
      <w:r>
        <w:rPr>
          <w:rFonts w:ascii="宋体" w:hAnsi="宋体" w:eastAsia="宋体" w:cs="宋体"/>
          <w:spacing w:val="9"/>
          <w:sz w:val="20"/>
          <w:szCs w:val="20"/>
        </w:rPr>
        <w:t>双方根据完成项目的合理成本和利润确定价款，作为增加合同价款，与进度款同期支付。</w:t>
      </w:r>
    </w:p>
    <w:p>
      <w:pPr>
        <w:spacing w:before="97" w:line="276" w:lineRule="exact"/>
        <w:ind w:left="420"/>
        <w:rPr>
          <w:rFonts w:ascii="宋体" w:hAnsi="宋体" w:eastAsia="宋体" w:cs="宋体"/>
          <w:sz w:val="20"/>
          <w:szCs w:val="20"/>
        </w:rPr>
      </w:pPr>
      <w:r>
        <w:rPr>
          <w:rFonts w:ascii="宋体" w:hAnsi="宋体" w:eastAsia="宋体" w:cs="宋体"/>
          <w:spacing w:val="7"/>
          <w:position w:val="1"/>
          <w:sz w:val="20"/>
          <w:szCs w:val="20"/>
        </w:rPr>
        <w:t>4. 发生不可抗力事件、索赔时，按照合同约定的方式调整合同价款。</w:t>
      </w:r>
    </w:p>
    <w:p>
      <w:pPr>
        <w:spacing w:before="63" w:line="268" w:lineRule="auto"/>
        <w:ind w:left="1" w:firstLine="421"/>
        <w:rPr>
          <w:rFonts w:ascii="宋体" w:hAnsi="宋体" w:eastAsia="宋体" w:cs="宋体"/>
          <w:sz w:val="20"/>
          <w:szCs w:val="20"/>
        </w:rPr>
      </w:pPr>
      <w:r>
        <w:rPr>
          <w:rFonts w:ascii="宋体" w:hAnsi="宋体" w:eastAsia="宋体" w:cs="宋体"/>
          <w:spacing w:val="8"/>
          <w:sz w:val="20"/>
          <w:szCs w:val="20"/>
        </w:rPr>
        <w:t>5. 已签约合同价中的暂列金额应由发包人掌握使用。发包人按照本章规定支付后，暂列金额余额应归发包人所有。</w:t>
      </w:r>
    </w:p>
    <w:p>
      <w:pPr>
        <w:spacing w:line="388" w:lineRule="auto"/>
        <w:rPr>
          <w:rFonts w:ascii="Arial"/>
          <w:sz w:val="21"/>
        </w:rPr>
      </w:pPr>
    </w:p>
    <w:p>
      <w:pPr>
        <w:pStyle w:val="2"/>
        <w:spacing w:before="134" w:line="207" w:lineRule="auto"/>
        <w:ind w:left="2790"/>
        <w:outlineLvl w:val="1"/>
      </w:pPr>
      <w:bookmarkStart w:id="162" w:name="bookmark105"/>
      <w:bookmarkEnd w:id="162"/>
      <w:bookmarkStart w:id="163" w:name="bookmark104"/>
      <w:bookmarkEnd w:id="163"/>
      <w:r>
        <w:rPr>
          <w:spacing w:val="6"/>
        </w:rPr>
        <w:t>第八章</w:t>
      </w:r>
      <w:r>
        <w:rPr>
          <w:spacing w:val="21"/>
        </w:rPr>
        <w:t xml:space="preserve">   </w:t>
      </w:r>
      <w:r>
        <w:rPr>
          <w:spacing w:val="6"/>
        </w:rPr>
        <w:t>工程结算与支付</w:t>
      </w:r>
    </w:p>
    <w:p>
      <w:pPr>
        <w:pStyle w:val="2"/>
        <w:spacing w:before="146" w:line="202" w:lineRule="auto"/>
        <w:ind w:left="492"/>
        <w:rPr>
          <w:sz w:val="24"/>
          <w:szCs w:val="24"/>
        </w:rPr>
      </w:pPr>
      <w:r>
        <w:rPr>
          <w:spacing w:val="-2"/>
          <w:sz w:val="24"/>
          <w:szCs w:val="24"/>
        </w:rPr>
        <w:t>一、过程结算与支付</w:t>
      </w:r>
    </w:p>
    <w:p>
      <w:pPr>
        <w:spacing w:before="30" w:line="268" w:lineRule="auto"/>
        <w:ind w:left="1" w:firstLine="438"/>
        <w:rPr>
          <w:rFonts w:ascii="宋体" w:hAnsi="宋体" w:eastAsia="宋体" w:cs="宋体"/>
          <w:sz w:val="20"/>
          <w:szCs w:val="20"/>
        </w:rPr>
      </w:pPr>
      <w:r>
        <w:rPr>
          <w:rFonts w:ascii="宋体" w:hAnsi="宋体" w:eastAsia="宋体" w:cs="宋体"/>
          <w:spacing w:val="8"/>
          <w:sz w:val="20"/>
          <w:szCs w:val="20"/>
        </w:rPr>
        <w:t>1. 发承包双方应按照合同约定的时间、程序和方法，在合</w:t>
      </w:r>
      <w:r>
        <w:rPr>
          <w:rFonts w:ascii="宋体" w:hAnsi="宋体" w:eastAsia="宋体" w:cs="宋体"/>
          <w:spacing w:val="7"/>
          <w:sz w:val="20"/>
          <w:szCs w:val="20"/>
        </w:rPr>
        <w:t>同履行过程中办理过程结算，支付进</w:t>
      </w:r>
      <w:r>
        <w:rPr>
          <w:rFonts w:ascii="宋体" w:hAnsi="宋体" w:eastAsia="宋体" w:cs="宋体"/>
          <w:spacing w:val="4"/>
          <w:sz w:val="20"/>
          <w:szCs w:val="20"/>
        </w:rPr>
        <w:t>度款。</w:t>
      </w:r>
    </w:p>
    <w:p>
      <w:pPr>
        <w:spacing w:before="97" w:line="270" w:lineRule="auto"/>
        <w:ind w:left="418" w:right="21" w:firstLine="4"/>
        <w:rPr>
          <w:rFonts w:ascii="宋体" w:hAnsi="宋体" w:eastAsia="宋体" w:cs="宋体"/>
          <w:sz w:val="20"/>
          <w:szCs w:val="20"/>
        </w:rPr>
      </w:pPr>
      <w:r>
        <w:rPr>
          <w:rFonts w:ascii="宋体" w:hAnsi="宋体" w:eastAsia="宋体" w:cs="宋体"/>
          <w:spacing w:val="8"/>
          <w:sz w:val="20"/>
          <w:szCs w:val="20"/>
        </w:rPr>
        <w:t>2. 工程费用中的建筑安装工程费按照合同约定</w:t>
      </w:r>
      <w:r>
        <w:rPr>
          <w:rFonts w:ascii="宋体" w:hAnsi="宋体" w:eastAsia="宋体" w:cs="宋体"/>
          <w:spacing w:val="7"/>
          <w:sz w:val="20"/>
          <w:szCs w:val="20"/>
        </w:rPr>
        <w:t>的过程结算节点及进度款支付比例支付进度款。</w:t>
      </w:r>
      <w:r>
        <w:rPr>
          <w:rFonts w:ascii="宋体" w:hAnsi="宋体" w:eastAsia="宋体" w:cs="宋体"/>
          <w:spacing w:val="10"/>
          <w:sz w:val="20"/>
          <w:szCs w:val="20"/>
        </w:rPr>
        <w:t>设备购置费按订立采购合同、进场验收、安装就位</w:t>
      </w:r>
      <w:r>
        <w:rPr>
          <w:rFonts w:ascii="宋体" w:hAnsi="宋体" w:eastAsia="宋体" w:cs="宋体"/>
          <w:spacing w:val="9"/>
          <w:sz w:val="20"/>
          <w:szCs w:val="20"/>
        </w:rPr>
        <w:t>等阶段约定的比例支付进度款。</w:t>
      </w:r>
    </w:p>
    <w:p>
      <w:pPr>
        <w:spacing w:before="95" w:line="300" w:lineRule="auto"/>
        <w:ind w:right="2" w:firstLine="422"/>
        <w:rPr>
          <w:rFonts w:ascii="宋体" w:hAnsi="宋体" w:eastAsia="宋体" w:cs="宋体"/>
          <w:sz w:val="20"/>
          <w:szCs w:val="20"/>
        </w:rPr>
      </w:pPr>
      <w:r>
        <w:rPr>
          <w:rFonts w:ascii="宋体" w:hAnsi="宋体" w:eastAsia="宋体" w:cs="宋体"/>
          <w:spacing w:val="11"/>
          <w:sz w:val="20"/>
          <w:szCs w:val="20"/>
        </w:rPr>
        <w:t>过程结算节点相邻之间超过一个月的，发包人应按照下一过程结算节点的</w:t>
      </w:r>
      <w:r>
        <w:rPr>
          <w:rFonts w:ascii="宋体" w:hAnsi="宋体" w:eastAsia="宋体" w:cs="宋体"/>
          <w:spacing w:val="10"/>
          <w:sz w:val="20"/>
          <w:szCs w:val="20"/>
        </w:rPr>
        <w:t>工程价款，按月按约</w:t>
      </w:r>
      <w:r>
        <w:rPr>
          <w:rFonts w:ascii="宋体" w:hAnsi="宋体" w:eastAsia="宋体" w:cs="宋体"/>
          <w:spacing w:val="8"/>
          <w:sz w:val="20"/>
          <w:szCs w:val="20"/>
        </w:rPr>
        <w:t>定比例预支付人工费。</w:t>
      </w:r>
    </w:p>
    <w:p>
      <w:pPr>
        <w:spacing w:line="300" w:lineRule="auto"/>
        <w:rPr>
          <w:rFonts w:ascii="宋体" w:hAnsi="宋体" w:eastAsia="宋体" w:cs="宋体"/>
          <w:sz w:val="20"/>
          <w:szCs w:val="20"/>
        </w:rPr>
        <w:sectPr>
          <w:footerReference r:id="rId274" w:type="default"/>
          <w:pgSz w:w="11906" w:h="16839"/>
          <w:pgMar w:top="400" w:right="1417" w:bottom="1212" w:left="1418" w:header="0" w:footer="897" w:gutter="0"/>
        </w:sect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65" w:line="278" w:lineRule="exact"/>
        <w:ind w:left="426"/>
        <w:rPr>
          <w:rFonts w:ascii="宋体" w:hAnsi="宋体" w:eastAsia="宋体" w:cs="宋体"/>
          <w:sz w:val="20"/>
          <w:szCs w:val="20"/>
        </w:rPr>
      </w:pPr>
      <w:bookmarkStart w:id="164" w:name="bookmark188"/>
      <w:bookmarkEnd w:id="164"/>
      <w:r>
        <w:rPr>
          <w:rFonts w:ascii="宋体" w:hAnsi="宋体" w:eastAsia="宋体" w:cs="宋体"/>
          <w:spacing w:val="8"/>
          <w:position w:val="1"/>
          <w:sz w:val="20"/>
          <w:szCs w:val="20"/>
        </w:rPr>
        <w:t>3. 工程总承包其他费按照约定的工作进度计划及</w:t>
      </w:r>
      <w:r>
        <w:rPr>
          <w:rFonts w:ascii="宋体" w:hAnsi="宋体" w:eastAsia="宋体" w:cs="宋体"/>
          <w:spacing w:val="7"/>
          <w:position w:val="1"/>
          <w:sz w:val="20"/>
          <w:szCs w:val="20"/>
        </w:rPr>
        <w:t>进度款支付比例支付进度款 。其中：</w:t>
      </w:r>
    </w:p>
    <w:p>
      <w:pPr>
        <w:spacing w:before="63" w:line="277" w:lineRule="exact"/>
        <w:ind w:left="421"/>
        <w:rPr>
          <w:rFonts w:ascii="宋体" w:hAnsi="宋体" w:eastAsia="宋体" w:cs="宋体"/>
          <w:sz w:val="20"/>
          <w:szCs w:val="20"/>
        </w:rPr>
      </w:pPr>
      <w:r>
        <w:rPr>
          <w:rFonts w:ascii="宋体" w:hAnsi="宋体" w:eastAsia="宋体" w:cs="宋体"/>
          <w:spacing w:val="9"/>
          <w:position w:val="1"/>
          <w:sz w:val="20"/>
          <w:szCs w:val="20"/>
        </w:rPr>
        <w:t>勘察费：按照提供勘察成果文件的时间对应的工作量进行支付。</w:t>
      </w:r>
    </w:p>
    <w:p>
      <w:pPr>
        <w:spacing w:before="63" w:line="277" w:lineRule="exact"/>
        <w:ind w:left="418"/>
        <w:rPr>
          <w:rFonts w:ascii="宋体" w:hAnsi="宋体" w:eastAsia="宋体" w:cs="宋体"/>
          <w:sz w:val="20"/>
          <w:szCs w:val="20"/>
        </w:rPr>
      </w:pPr>
      <w:r>
        <w:rPr>
          <w:rFonts w:ascii="宋体" w:hAnsi="宋体" w:eastAsia="宋体" w:cs="宋体"/>
          <w:spacing w:val="9"/>
          <w:position w:val="1"/>
          <w:sz w:val="20"/>
          <w:szCs w:val="20"/>
        </w:rPr>
        <w:t>设计费：按照提供设计阶段性成果文件的时间对应的工作量进行支付。</w:t>
      </w:r>
    </w:p>
    <w:p>
      <w:pPr>
        <w:spacing w:before="61" w:line="300" w:lineRule="auto"/>
        <w:ind w:right="2" w:firstLine="422"/>
        <w:rPr>
          <w:rFonts w:ascii="宋体" w:hAnsi="宋体" w:eastAsia="宋体" w:cs="宋体"/>
          <w:sz w:val="20"/>
          <w:szCs w:val="20"/>
        </w:rPr>
      </w:pPr>
      <w:r>
        <w:rPr>
          <w:rFonts w:ascii="宋体" w:hAnsi="宋体" w:eastAsia="宋体" w:cs="宋体"/>
          <w:spacing w:val="11"/>
          <w:sz w:val="20"/>
          <w:szCs w:val="20"/>
        </w:rPr>
        <w:t>工程总承包管理费：按照建筑安装工程费过程结算节点对应价款占合同建筑</w:t>
      </w:r>
      <w:r>
        <w:rPr>
          <w:rFonts w:ascii="宋体" w:hAnsi="宋体" w:eastAsia="宋体" w:cs="宋体"/>
          <w:spacing w:val="10"/>
          <w:sz w:val="20"/>
          <w:szCs w:val="20"/>
        </w:rPr>
        <w:t>安装工程费的比例</w:t>
      </w:r>
      <w:r>
        <w:rPr>
          <w:rFonts w:ascii="宋体" w:hAnsi="宋体" w:eastAsia="宋体" w:cs="宋体"/>
          <w:spacing w:val="9"/>
          <w:sz w:val="20"/>
          <w:szCs w:val="20"/>
        </w:rPr>
        <w:t>计算工程总承包管理费支付比例，支付进度款。</w:t>
      </w:r>
    </w:p>
    <w:p>
      <w:pPr>
        <w:spacing w:before="31" w:line="297" w:lineRule="auto"/>
        <w:ind w:right="2" w:firstLine="420"/>
        <w:rPr>
          <w:rFonts w:ascii="宋体" w:hAnsi="宋体" w:eastAsia="宋体" w:cs="宋体"/>
          <w:sz w:val="20"/>
          <w:szCs w:val="20"/>
        </w:rPr>
      </w:pPr>
      <w:r>
        <w:rPr>
          <w:rFonts w:ascii="宋体" w:hAnsi="宋体" w:eastAsia="宋体" w:cs="宋体"/>
          <w:spacing w:val="8"/>
          <w:sz w:val="20"/>
          <w:szCs w:val="20"/>
        </w:rPr>
        <w:t>4. 发承包双方已确认应计入当期施工过程结算的合同价款调整金额应列入过程结算价款，并同</w:t>
      </w:r>
      <w:r>
        <w:rPr>
          <w:rFonts w:ascii="宋体" w:hAnsi="宋体" w:eastAsia="宋体" w:cs="宋体"/>
          <w:spacing w:val="6"/>
          <w:sz w:val="20"/>
          <w:szCs w:val="20"/>
        </w:rPr>
        <w:t>期支付。</w:t>
      </w:r>
    </w:p>
    <w:p>
      <w:pPr>
        <w:pStyle w:val="2"/>
        <w:spacing w:line="202" w:lineRule="auto"/>
        <w:ind w:left="491"/>
        <w:rPr>
          <w:sz w:val="24"/>
          <w:szCs w:val="24"/>
        </w:rPr>
      </w:pPr>
      <w:r>
        <w:rPr>
          <w:spacing w:val="-2"/>
          <w:sz w:val="24"/>
          <w:szCs w:val="24"/>
        </w:rPr>
        <w:t>二、竣工结算与支付</w:t>
      </w:r>
    </w:p>
    <w:p>
      <w:pPr>
        <w:spacing w:before="30" w:line="297" w:lineRule="auto"/>
        <w:ind w:left="3" w:right="2" w:firstLine="437"/>
        <w:rPr>
          <w:rFonts w:ascii="宋体" w:hAnsi="宋体" w:eastAsia="宋体" w:cs="宋体"/>
          <w:sz w:val="20"/>
          <w:szCs w:val="20"/>
        </w:rPr>
      </w:pPr>
      <w:r>
        <w:rPr>
          <w:rFonts w:ascii="宋体" w:hAnsi="宋体" w:eastAsia="宋体" w:cs="宋体"/>
          <w:spacing w:val="8"/>
          <w:sz w:val="20"/>
          <w:szCs w:val="20"/>
        </w:rPr>
        <w:t>1. 发承包双方应当在合同约定时间内办理工程竣工</w:t>
      </w:r>
      <w:r>
        <w:rPr>
          <w:rFonts w:ascii="宋体" w:hAnsi="宋体" w:eastAsia="宋体" w:cs="宋体"/>
          <w:spacing w:val="7"/>
          <w:sz w:val="20"/>
          <w:szCs w:val="20"/>
        </w:rPr>
        <w:t>结算，在合同履行过程中已经办理并确认的</w:t>
      </w:r>
      <w:r>
        <w:rPr>
          <w:rFonts w:ascii="宋体" w:hAnsi="宋体" w:eastAsia="宋体" w:cs="宋体"/>
          <w:spacing w:val="8"/>
          <w:sz w:val="20"/>
          <w:szCs w:val="20"/>
        </w:rPr>
        <w:t>过程结算价款应直接进入竣工结算。</w:t>
      </w:r>
    </w:p>
    <w:p>
      <w:pPr>
        <w:spacing w:before="35" w:line="276" w:lineRule="exact"/>
        <w:ind w:left="421"/>
        <w:rPr>
          <w:rFonts w:ascii="宋体" w:hAnsi="宋体" w:eastAsia="宋体" w:cs="宋体"/>
          <w:sz w:val="20"/>
          <w:szCs w:val="20"/>
        </w:rPr>
      </w:pPr>
      <w:r>
        <w:rPr>
          <w:rFonts w:ascii="宋体" w:hAnsi="宋体" w:eastAsia="宋体" w:cs="宋体"/>
          <w:spacing w:val="10"/>
          <w:position w:val="1"/>
          <w:sz w:val="20"/>
          <w:szCs w:val="20"/>
        </w:rPr>
        <w:t>竣工结算合同价款=签约合同价-暂列金额+（-）按照合同约定调整的价款。</w:t>
      </w:r>
    </w:p>
    <w:p>
      <w:pPr>
        <w:spacing w:before="67" w:line="223" w:lineRule="auto"/>
        <w:ind w:left="422"/>
        <w:rPr>
          <w:rFonts w:ascii="宋体" w:hAnsi="宋体" w:eastAsia="宋体" w:cs="宋体"/>
          <w:sz w:val="20"/>
          <w:szCs w:val="20"/>
        </w:rPr>
      </w:pPr>
      <w:r>
        <w:rPr>
          <w:rFonts w:ascii="宋体" w:hAnsi="宋体" w:eastAsia="宋体" w:cs="宋体"/>
          <w:spacing w:val="9"/>
          <w:sz w:val="20"/>
          <w:szCs w:val="20"/>
        </w:rPr>
        <w:t>未支付的价款=竣工结算合同价款-已支付的合同价款。</w:t>
      </w:r>
    </w:p>
    <w:p>
      <w:pPr>
        <w:spacing w:before="95" w:line="314" w:lineRule="auto"/>
        <w:ind w:left="2" w:firstLine="420"/>
        <w:rPr>
          <w:rFonts w:ascii="宋体" w:hAnsi="宋体" w:eastAsia="宋体" w:cs="宋体"/>
          <w:sz w:val="20"/>
          <w:szCs w:val="20"/>
        </w:rPr>
      </w:pPr>
      <w:r>
        <w:rPr>
          <w:rFonts w:ascii="宋体" w:hAnsi="宋体" w:eastAsia="宋体" w:cs="宋体"/>
          <w:spacing w:val="6"/>
          <w:sz w:val="20"/>
          <w:szCs w:val="20"/>
        </w:rPr>
        <w:t>2. 承包人应根据办理的竣工结算文件,向发包人提交</w:t>
      </w:r>
      <w:r>
        <w:rPr>
          <w:rFonts w:ascii="宋体" w:hAnsi="宋体" w:eastAsia="宋体" w:cs="宋体"/>
          <w:spacing w:val="5"/>
          <w:sz w:val="20"/>
          <w:szCs w:val="20"/>
        </w:rPr>
        <w:t>竣工结算款支付申请。该申请应包括下列内</w:t>
      </w:r>
      <w:r>
        <w:rPr>
          <w:rFonts w:ascii="宋体" w:hAnsi="宋体" w:eastAsia="宋体" w:cs="宋体"/>
          <w:spacing w:val="2"/>
          <w:sz w:val="20"/>
          <w:szCs w:val="20"/>
        </w:rPr>
        <w:t>容：</w:t>
      </w:r>
    </w:p>
    <w:p>
      <w:pPr>
        <w:spacing w:before="1" w:line="276" w:lineRule="exact"/>
        <w:ind w:left="413"/>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4"/>
          <w:position w:val="1"/>
          <w:sz w:val="20"/>
          <w:szCs w:val="20"/>
        </w:rPr>
        <w:t>1）竣工结算合同价款；</w:t>
      </w:r>
    </w:p>
    <w:p>
      <w:pPr>
        <w:spacing w:before="62" w:line="277" w:lineRule="exact"/>
        <w:ind w:left="413"/>
        <w:rPr>
          <w:rFonts w:ascii="宋体" w:hAnsi="宋体" w:eastAsia="宋体" w:cs="宋体"/>
          <w:sz w:val="20"/>
          <w:szCs w:val="20"/>
        </w:rPr>
      </w:pPr>
      <w:r>
        <w:rPr>
          <w:rFonts w:ascii="宋体" w:hAnsi="宋体" w:eastAsia="宋体" w:cs="宋体"/>
          <w:spacing w:val="9"/>
          <w:position w:val="1"/>
          <w:sz w:val="20"/>
          <w:szCs w:val="20"/>
        </w:rPr>
        <w:t>（2）累计已实际支付的合同价款；</w:t>
      </w:r>
    </w:p>
    <w:p>
      <w:pPr>
        <w:spacing w:before="64" w:line="279" w:lineRule="exact"/>
        <w:ind w:left="413"/>
        <w:rPr>
          <w:rFonts w:ascii="宋体" w:hAnsi="宋体" w:eastAsia="宋体" w:cs="宋体"/>
          <w:sz w:val="20"/>
          <w:szCs w:val="20"/>
        </w:rPr>
      </w:pPr>
      <w:r>
        <w:rPr>
          <w:rFonts w:ascii="宋体" w:hAnsi="宋体" w:eastAsia="宋体" w:cs="宋体"/>
          <w:spacing w:val="8"/>
          <w:position w:val="1"/>
          <w:sz w:val="20"/>
          <w:szCs w:val="20"/>
        </w:rPr>
        <w:t>（3）应预留的质量保证金；</w:t>
      </w:r>
    </w:p>
    <w:p>
      <w:pPr>
        <w:spacing w:before="62" w:line="278" w:lineRule="exact"/>
        <w:ind w:left="413"/>
        <w:rPr>
          <w:rFonts w:ascii="宋体" w:hAnsi="宋体" w:eastAsia="宋体" w:cs="宋体"/>
          <w:sz w:val="20"/>
          <w:szCs w:val="20"/>
        </w:rPr>
      </w:pPr>
      <w:r>
        <w:rPr>
          <w:rFonts w:ascii="宋体" w:hAnsi="宋体" w:eastAsia="宋体" w:cs="宋体"/>
          <w:spacing w:val="9"/>
          <w:position w:val="1"/>
          <w:sz w:val="20"/>
          <w:szCs w:val="20"/>
        </w:rPr>
        <w:t>（4）实际应支付的竣工结算款金额。</w:t>
      </w:r>
    </w:p>
    <w:p>
      <w:pPr>
        <w:spacing w:before="61" w:line="285" w:lineRule="auto"/>
        <w:ind w:firstLine="425"/>
        <w:rPr>
          <w:rFonts w:ascii="宋体" w:hAnsi="宋体" w:eastAsia="宋体" w:cs="宋体"/>
          <w:sz w:val="20"/>
          <w:szCs w:val="20"/>
        </w:rPr>
      </w:pPr>
      <w:r>
        <w:rPr>
          <w:rFonts w:ascii="宋体" w:hAnsi="宋体" w:eastAsia="宋体" w:cs="宋体"/>
          <w:spacing w:val="8"/>
          <w:sz w:val="20"/>
          <w:szCs w:val="20"/>
        </w:rPr>
        <w:t>3. 发包人应按照合同约定的质量保证金比例从结算款中预留质量保证金。承包人未按照合</w:t>
      </w:r>
      <w:r>
        <w:rPr>
          <w:rFonts w:ascii="宋体" w:hAnsi="宋体" w:eastAsia="宋体" w:cs="宋体"/>
          <w:spacing w:val="7"/>
          <w:sz w:val="20"/>
          <w:szCs w:val="20"/>
        </w:rPr>
        <w:t>同约</w:t>
      </w:r>
      <w:r>
        <w:rPr>
          <w:rFonts w:ascii="宋体" w:hAnsi="宋体" w:eastAsia="宋体" w:cs="宋体"/>
          <w:spacing w:val="11"/>
          <w:sz w:val="20"/>
          <w:szCs w:val="20"/>
        </w:rPr>
        <w:t>定履行属于自身责任的工程缺陷修复义务的，发包人有权从质量保证金中扣除</w:t>
      </w:r>
      <w:r>
        <w:rPr>
          <w:rFonts w:ascii="宋体" w:hAnsi="宋体" w:eastAsia="宋体" w:cs="宋体"/>
          <w:spacing w:val="10"/>
          <w:sz w:val="20"/>
          <w:szCs w:val="20"/>
        </w:rPr>
        <w:t>用于缺陷修复的各项支出。在合同约定的缺陷责任期终止后，发包人应</w:t>
      </w:r>
      <w:r>
        <w:rPr>
          <w:rFonts w:ascii="宋体" w:hAnsi="宋体" w:eastAsia="宋体" w:cs="宋体"/>
          <w:spacing w:val="9"/>
          <w:sz w:val="20"/>
          <w:szCs w:val="20"/>
        </w:rPr>
        <w:t>将剩余的质量保证金返还给承包人。</w:t>
      </w:r>
    </w:p>
    <w:p>
      <w:pPr>
        <w:spacing w:before="94" w:line="270" w:lineRule="auto"/>
        <w:ind w:left="2" w:firstLine="417"/>
        <w:rPr>
          <w:rFonts w:ascii="宋体" w:hAnsi="宋体" w:eastAsia="宋体" w:cs="宋体"/>
          <w:sz w:val="20"/>
          <w:szCs w:val="20"/>
        </w:rPr>
      </w:pPr>
      <w:r>
        <w:rPr>
          <w:rFonts w:ascii="宋体" w:hAnsi="宋体" w:eastAsia="宋体" w:cs="宋体"/>
          <w:spacing w:val="8"/>
          <w:sz w:val="20"/>
          <w:szCs w:val="20"/>
        </w:rPr>
        <w:t>4. 缺陷责任期终止后，发包人应按照合同约定向承包人支付最终结清款。最终结清时，承包人</w:t>
      </w:r>
      <w:r>
        <w:rPr>
          <w:rFonts w:ascii="宋体" w:hAnsi="宋体" w:eastAsia="宋体" w:cs="宋体"/>
          <w:spacing w:val="10"/>
          <w:sz w:val="20"/>
          <w:szCs w:val="20"/>
        </w:rPr>
        <w:t>被预留的质量保证金不足以抵减发包人工程缺陷修复费</w:t>
      </w:r>
      <w:r>
        <w:rPr>
          <w:rFonts w:ascii="宋体" w:hAnsi="宋体" w:eastAsia="宋体" w:cs="宋体"/>
          <w:spacing w:val="9"/>
          <w:sz w:val="20"/>
          <w:szCs w:val="20"/>
        </w:rPr>
        <w:t>用的，承包人应承担不足部分的补偿责任。</w:t>
      </w:r>
    </w:p>
    <w:p>
      <w:pPr>
        <w:spacing w:line="434" w:lineRule="auto"/>
        <w:rPr>
          <w:rFonts w:ascii="Arial"/>
          <w:sz w:val="21"/>
        </w:rPr>
      </w:pPr>
    </w:p>
    <w:p>
      <w:pPr>
        <w:pStyle w:val="2"/>
        <w:spacing w:before="133" w:line="191" w:lineRule="auto"/>
        <w:ind w:left="2585" w:right="713" w:hanging="1893"/>
        <w:outlineLvl w:val="1"/>
      </w:pPr>
      <w:bookmarkStart w:id="165" w:name="bookmark107"/>
      <w:bookmarkEnd w:id="165"/>
      <w:bookmarkStart w:id="166" w:name="bookmark106"/>
      <w:bookmarkEnd w:id="166"/>
      <w:r>
        <w:rPr>
          <w:spacing w:val="10"/>
        </w:rPr>
        <w:t>第九章   房屋建筑项目工程总承包项目清单及计</w:t>
      </w:r>
      <w:r>
        <w:rPr>
          <w:spacing w:val="9"/>
        </w:rPr>
        <w:t>算规则</w:t>
      </w:r>
      <w:bookmarkStart w:id="167" w:name="bookmark106"/>
      <w:bookmarkEnd w:id="167"/>
      <w:r>
        <w:rPr>
          <w:spacing w:val="-4"/>
        </w:rPr>
        <w:t>（ 土建部分 ）有关问题说明</w:t>
      </w:r>
    </w:p>
    <w:p>
      <w:pPr>
        <w:spacing w:before="252" w:line="311" w:lineRule="auto"/>
        <w:ind w:firstLine="440"/>
        <w:rPr>
          <w:rFonts w:ascii="宋体" w:hAnsi="宋体" w:eastAsia="宋体" w:cs="宋体"/>
          <w:sz w:val="20"/>
          <w:szCs w:val="20"/>
        </w:rPr>
      </w:pPr>
      <w:r>
        <w:rPr>
          <w:rFonts w:ascii="宋体" w:hAnsi="宋体" w:eastAsia="宋体" w:cs="宋体"/>
          <w:spacing w:val="10"/>
          <w:sz w:val="20"/>
          <w:szCs w:val="20"/>
        </w:rPr>
        <w:t>1.</w:t>
      </w:r>
      <w:r>
        <w:rPr>
          <w:rFonts w:ascii="宋体" w:hAnsi="宋体" w:eastAsia="宋体" w:cs="宋体"/>
          <w:spacing w:val="-37"/>
          <w:sz w:val="20"/>
          <w:szCs w:val="20"/>
        </w:rPr>
        <w:t xml:space="preserve"> </w:t>
      </w:r>
      <w:r>
        <w:rPr>
          <w:rFonts w:ascii="宋体" w:hAnsi="宋体" w:eastAsia="宋体" w:cs="宋体"/>
          <w:spacing w:val="10"/>
          <w:sz w:val="20"/>
          <w:szCs w:val="20"/>
        </w:rPr>
        <w:t>2023年</w:t>
      </w:r>
      <w:r>
        <w:rPr>
          <w:rFonts w:ascii="宋体" w:hAnsi="宋体" w:eastAsia="宋体" w:cs="宋体"/>
          <w:spacing w:val="-37"/>
          <w:sz w:val="20"/>
          <w:szCs w:val="20"/>
        </w:rPr>
        <w:t xml:space="preserve"> </w:t>
      </w:r>
      <w:r>
        <w:rPr>
          <w:rFonts w:ascii="宋体" w:hAnsi="宋体" w:eastAsia="宋体" w:cs="宋体"/>
          <w:spacing w:val="10"/>
          <w:sz w:val="20"/>
          <w:szCs w:val="20"/>
        </w:rPr>
        <w:t>8</w:t>
      </w:r>
      <w:r>
        <w:rPr>
          <w:rFonts w:ascii="宋体" w:hAnsi="宋体" w:eastAsia="宋体" w:cs="宋体"/>
          <w:spacing w:val="-38"/>
          <w:sz w:val="20"/>
          <w:szCs w:val="20"/>
        </w:rPr>
        <w:t xml:space="preserve"> </w:t>
      </w:r>
      <w:r>
        <w:rPr>
          <w:rFonts w:ascii="宋体" w:hAnsi="宋体" w:eastAsia="宋体" w:cs="宋体"/>
          <w:spacing w:val="10"/>
          <w:sz w:val="20"/>
          <w:szCs w:val="20"/>
        </w:rPr>
        <w:t>月24 日山东省住房和城乡建设厅发布《关于发布〈山东省</w:t>
      </w:r>
      <w:r>
        <w:rPr>
          <w:rFonts w:ascii="宋体" w:hAnsi="宋体" w:eastAsia="宋体" w:cs="宋体"/>
          <w:spacing w:val="9"/>
          <w:sz w:val="20"/>
          <w:szCs w:val="20"/>
        </w:rPr>
        <w:t>房屋建筑和市政基础设</w:t>
      </w:r>
      <w:r>
        <w:rPr>
          <w:rFonts w:ascii="宋体" w:hAnsi="宋体" w:eastAsia="宋体" w:cs="宋体"/>
          <w:spacing w:val="8"/>
          <w:sz w:val="20"/>
          <w:szCs w:val="20"/>
        </w:rPr>
        <w:t>施项目工程总承包计价规则〉的通知》（鲁建标字〔2023〕14</w:t>
      </w:r>
      <w:r>
        <w:rPr>
          <w:rFonts w:ascii="宋体" w:hAnsi="宋体" w:eastAsia="宋体" w:cs="宋体"/>
          <w:spacing w:val="-42"/>
          <w:sz w:val="20"/>
          <w:szCs w:val="20"/>
        </w:rPr>
        <w:t xml:space="preserve"> </w:t>
      </w:r>
      <w:r>
        <w:rPr>
          <w:rFonts w:ascii="宋体" w:hAnsi="宋体" w:eastAsia="宋体" w:cs="宋体"/>
          <w:spacing w:val="8"/>
          <w:sz w:val="20"/>
          <w:szCs w:val="20"/>
        </w:rPr>
        <w:t>号）。</w:t>
      </w:r>
    </w:p>
    <w:p>
      <w:pPr>
        <w:spacing w:before="126" w:line="320" w:lineRule="auto"/>
        <w:ind w:left="3" w:firstLine="420"/>
        <w:rPr>
          <w:rFonts w:ascii="宋体" w:hAnsi="宋体" w:eastAsia="宋体" w:cs="宋体"/>
          <w:sz w:val="20"/>
          <w:szCs w:val="20"/>
        </w:rPr>
      </w:pPr>
      <w:r>
        <w:rPr>
          <w:rFonts w:ascii="宋体" w:hAnsi="宋体" w:eastAsia="宋体" w:cs="宋体"/>
          <w:spacing w:val="8"/>
          <w:sz w:val="20"/>
          <w:szCs w:val="20"/>
        </w:rPr>
        <w:t>2. 本规则所称工程总承包，是指承包人按照与发包人签订的合同，对工程设计、采购、施工或</w:t>
      </w:r>
      <w:r>
        <w:rPr>
          <w:rFonts w:ascii="宋体" w:hAnsi="宋体" w:eastAsia="宋体" w:cs="宋体"/>
          <w:spacing w:val="11"/>
          <w:sz w:val="20"/>
          <w:szCs w:val="20"/>
        </w:rPr>
        <w:t>者设计、施工等阶段实行总承包，并对工程的质量、安全、工期和造价等</w:t>
      </w:r>
      <w:r>
        <w:rPr>
          <w:rFonts w:ascii="宋体" w:hAnsi="宋体" w:eastAsia="宋体" w:cs="宋体"/>
          <w:spacing w:val="10"/>
          <w:sz w:val="20"/>
          <w:szCs w:val="20"/>
        </w:rPr>
        <w:t>全面负责的工程建设组织</w:t>
      </w:r>
      <w:r>
        <w:rPr>
          <w:rFonts w:ascii="宋体" w:hAnsi="宋体" w:eastAsia="宋体" w:cs="宋体"/>
          <w:spacing w:val="6"/>
          <w:sz w:val="20"/>
          <w:szCs w:val="20"/>
        </w:rPr>
        <w:t>实施方式。</w:t>
      </w:r>
    </w:p>
    <w:p>
      <w:pPr>
        <w:spacing w:before="159" w:line="297" w:lineRule="auto"/>
        <w:ind w:left="6" w:firstLine="420"/>
        <w:rPr>
          <w:rFonts w:ascii="宋体" w:hAnsi="宋体" w:eastAsia="宋体" w:cs="宋体"/>
          <w:sz w:val="20"/>
          <w:szCs w:val="20"/>
        </w:rPr>
      </w:pPr>
      <w:r>
        <w:rPr>
          <w:rFonts w:ascii="宋体" w:hAnsi="宋体" w:eastAsia="宋体" w:cs="宋体"/>
          <w:spacing w:val="13"/>
          <w:sz w:val="20"/>
          <w:szCs w:val="20"/>
        </w:rPr>
        <w:t>3. 本规则适用于山东省行政区域内房屋建筑和市政基础设施项目采用工程总承包模</w:t>
      </w:r>
      <w:r>
        <w:rPr>
          <w:rFonts w:ascii="宋体" w:hAnsi="宋体" w:eastAsia="宋体" w:cs="宋体"/>
          <w:spacing w:val="12"/>
          <w:sz w:val="20"/>
          <w:szCs w:val="20"/>
        </w:rPr>
        <w:t>式的计价</w:t>
      </w:r>
      <w:r>
        <w:rPr>
          <w:rFonts w:ascii="宋体" w:hAnsi="宋体" w:eastAsia="宋体" w:cs="宋体"/>
          <w:spacing w:val="2"/>
          <w:sz w:val="20"/>
          <w:szCs w:val="20"/>
        </w:rPr>
        <w:t>活动。</w:t>
      </w:r>
    </w:p>
    <w:p>
      <w:pPr>
        <w:spacing w:before="156" w:line="297" w:lineRule="auto"/>
        <w:ind w:left="3" w:right="2" w:firstLine="416"/>
        <w:rPr>
          <w:rFonts w:ascii="宋体" w:hAnsi="宋体" w:eastAsia="宋体" w:cs="宋体"/>
          <w:sz w:val="20"/>
          <w:szCs w:val="20"/>
        </w:rPr>
      </w:pPr>
      <w:r>
        <w:rPr>
          <w:rFonts w:ascii="宋体" w:hAnsi="宋体" w:eastAsia="宋体" w:cs="宋体"/>
          <w:spacing w:val="8"/>
          <w:sz w:val="20"/>
          <w:szCs w:val="20"/>
        </w:rPr>
        <w:t>4. 房屋建筑和市政基础设施项目工程总承包一般应采用总价</w:t>
      </w:r>
      <w:r>
        <w:rPr>
          <w:rFonts w:ascii="宋体" w:hAnsi="宋体" w:eastAsia="宋体" w:cs="宋体"/>
          <w:spacing w:val="7"/>
          <w:sz w:val="20"/>
          <w:szCs w:val="20"/>
        </w:rPr>
        <w:t>合同，除根据本规则第</w:t>
      </w:r>
      <w:r>
        <w:rPr>
          <w:rFonts w:ascii="宋体" w:hAnsi="宋体" w:eastAsia="宋体" w:cs="宋体"/>
          <w:spacing w:val="-41"/>
          <w:sz w:val="20"/>
          <w:szCs w:val="20"/>
        </w:rPr>
        <w:t xml:space="preserve"> </w:t>
      </w:r>
      <w:r>
        <w:rPr>
          <w:rFonts w:ascii="宋体" w:hAnsi="宋体" w:eastAsia="宋体" w:cs="宋体"/>
          <w:spacing w:val="7"/>
          <w:sz w:val="20"/>
          <w:szCs w:val="20"/>
        </w:rPr>
        <w:t>7</w:t>
      </w:r>
      <w:r>
        <w:rPr>
          <w:rFonts w:ascii="宋体" w:hAnsi="宋体" w:eastAsia="宋体" w:cs="宋体"/>
          <w:spacing w:val="-42"/>
          <w:sz w:val="20"/>
          <w:szCs w:val="20"/>
        </w:rPr>
        <w:t xml:space="preserve"> </w:t>
      </w:r>
      <w:r>
        <w:rPr>
          <w:rFonts w:ascii="宋体" w:hAnsi="宋体" w:eastAsia="宋体" w:cs="宋体"/>
          <w:spacing w:val="7"/>
          <w:sz w:val="20"/>
          <w:szCs w:val="20"/>
        </w:rPr>
        <w:t>章合同价</w:t>
      </w:r>
      <w:r>
        <w:rPr>
          <w:rFonts w:ascii="宋体" w:hAnsi="宋体" w:eastAsia="宋体" w:cs="宋体"/>
          <w:spacing w:val="9"/>
          <w:sz w:val="20"/>
          <w:szCs w:val="20"/>
        </w:rPr>
        <w:t>款的调整以及合同相关约定进行调整外，合同价款不予调整。</w:t>
      </w:r>
    </w:p>
    <w:p>
      <w:pPr>
        <w:spacing w:before="158" w:line="277" w:lineRule="exact"/>
        <w:ind w:left="423"/>
        <w:rPr>
          <w:rFonts w:ascii="宋体" w:hAnsi="宋体" w:eastAsia="宋体" w:cs="宋体"/>
          <w:sz w:val="20"/>
          <w:szCs w:val="20"/>
        </w:rPr>
      </w:pPr>
      <w:r>
        <w:rPr>
          <w:rFonts w:ascii="宋体" w:hAnsi="宋体" w:eastAsia="宋体" w:cs="宋体"/>
          <w:spacing w:val="7"/>
          <w:position w:val="1"/>
          <w:sz w:val="20"/>
          <w:szCs w:val="20"/>
        </w:rPr>
        <w:t>5. 使用《附录一房屋建筑项目工程总承包项目清单及计算规则》</w:t>
      </w:r>
      <w:r>
        <w:rPr>
          <w:rFonts w:ascii="宋体" w:hAnsi="宋体" w:eastAsia="宋体" w:cs="宋体"/>
          <w:spacing w:val="-53"/>
          <w:position w:val="1"/>
          <w:sz w:val="20"/>
          <w:szCs w:val="20"/>
        </w:rPr>
        <w:t xml:space="preserve"> </w:t>
      </w:r>
      <w:r>
        <w:rPr>
          <w:rFonts w:ascii="宋体" w:hAnsi="宋体" w:eastAsia="宋体" w:cs="宋体"/>
          <w:spacing w:val="6"/>
          <w:position w:val="1"/>
          <w:sz w:val="20"/>
          <w:szCs w:val="20"/>
        </w:rPr>
        <w:t>，应按照以下规定执行：</w:t>
      </w:r>
    </w:p>
    <w:p>
      <w:pPr>
        <w:spacing w:before="121" w:line="278" w:lineRule="exact"/>
        <w:ind w:right="2"/>
        <w:jc w:val="right"/>
        <w:rPr>
          <w:rFonts w:ascii="宋体" w:hAnsi="宋体" w:eastAsia="宋体" w:cs="宋体"/>
          <w:sz w:val="20"/>
          <w:szCs w:val="20"/>
        </w:rPr>
      </w:pPr>
      <w:r>
        <w:rPr>
          <w:rFonts w:ascii="宋体" w:hAnsi="宋体" w:eastAsia="宋体" w:cs="宋体"/>
          <w:spacing w:val="7"/>
          <w:position w:val="1"/>
          <w:sz w:val="20"/>
          <w:szCs w:val="20"/>
        </w:rPr>
        <w:t>（</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1）竖向土石方暨单独土石方工程，适用于自然地坪与设计室外地坪之间，且挖方或填方工程</w:t>
      </w:r>
    </w:p>
    <w:p>
      <w:pPr>
        <w:spacing w:line="278" w:lineRule="exact"/>
        <w:rPr>
          <w:rFonts w:ascii="宋体" w:hAnsi="宋体" w:eastAsia="宋体" w:cs="宋体"/>
          <w:sz w:val="20"/>
          <w:szCs w:val="20"/>
        </w:rPr>
        <w:sectPr>
          <w:footerReference r:id="rId275" w:type="default"/>
          <w:pgSz w:w="11906" w:h="16839"/>
          <w:pgMar w:top="400" w:right="141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8" w:lineRule="exact"/>
        <w:ind w:left="1"/>
        <w:rPr>
          <w:rFonts w:ascii="宋体" w:hAnsi="宋体" w:eastAsia="宋体" w:cs="宋体"/>
          <w:sz w:val="20"/>
          <w:szCs w:val="20"/>
        </w:rPr>
      </w:pPr>
      <w:bookmarkStart w:id="168" w:name="bookmark189"/>
      <w:bookmarkEnd w:id="168"/>
      <w:r>
        <w:rPr>
          <w:rFonts w:ascii="宋体" w:hAnsi="宋体" w:eastAsia="宋体" w:cs="宋体"/>
          <w:spacing w:val="4"/>
          <w:position w:val="1"/>
          <w:sz w:val="20"/>
          <w:szCs w:val="20"/>
        </w:rPr>
        <w:t>量＞</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5000m</w:t>
      </w:r>
      <w:r>
        <w:rPr>
          <w:rFonts w:ascii="Arial" w:hAnsi="Arial" w:eastAsia="Arial" w:cs="Arial"/>
          <w:spacing w:val="4"/>
          <w:position w:val="1"/>
          <w:sz w:val="20"/>
          <w:szCs w:val="20"/>
        </w:rPr>
        <w:t>3</w:t>
      </w:r>
      <w:r>
        <w:rPr>
          <w:rFonts w:ascii="宋体" w:hAnsi="宋体" w:eastAsia="宋体" w:cs="宋体"/>
          <w:spacing w:val="4"/>
          <w:position w:val="1"/>
          <w:sz w:val="20"/>
          <w:szCs w:val="20"/>
        </w:rPr>
        <w:t>的土石方工程。</w:t>
      </w:r>
    </w:p>
    <w:p>
      <w:pPr>
        <w:spacing w:before="122" w:line="278" w:lineRule="exact"/>
        <w:ind w:left="413"/>
        <w:rPr>
          <w:rFonts w:ascii="宋体" w:hAnsi="宋体" w:eastAsia="宋体" w:cs="宋体"/>
          <w:sz w:val="20"/>
          <w:szCs w:val="20"/>
        </w:rPr>
      </w:pPr>
      <w:r>
        <w:rPr>
          <w:rFonts w:ascii="宋体" w:hAnsi="宋体" w:eastAsia="宋体" w:cs="宋体"/>
          <w:spacing w:val="10"/>
          <w:position w:val="1"/>
          <w:sz w:val="20"/>
          <w:szCs w:val="20"/>
        </w:rPr>
        <w:t>（2）建筑功能分为住宅、公寓、别墅、厂房、综合办公楼</w:t>
      </w:r>
      <w:r>
        <w:rPr>
          <w:rFonts w:ascii="宋体" w:hAnsi="宋体" w:eastAsia="宋体" w:cs="宋体"/>
          <w:spacing w:val="9"/>
          <w:position w:val="1"/>
          <w:sz w:val="20"/>
          <w:szCs w:val="20"/>
        </w:rPr>
        <w:t>、商业建筑及其他公共建筑等。</w:t>
      </w:r>
    </w:p>
    <w:p>
      <w:pPr>
        <w:spacing w:before="123" w:line="312" w:lineRule="auto"/>
        <w:ind w:left="2" w:right="179" w:firstLine="410"/>
        <w:rPr>
          <w:rFonts w:ascii="宋体" w:hAnsi="宋体" w:eastAsia="宋体" w:cs="宋体"/>
          <w:sz w:val="20"/>
          <w:szCs w:val="20"/>
        </w:rPr>
      </w:pPr>
      <w:r>
        <w:rPr>
          <w:rFonts w:ascii="宋体" w:hAnsi="宋体" w:eastAsia="宋体" w:cs="宋体"/>
          <w:spacing w:val="9"/>
          <w:sz w:val="20"/>
          <w:szCs w:val="20"/>
        </w:rPr>
        <w:t>（3）基础土石方工程，适用于设计室外地</w:t>
      </w:r>
      <w:r>
        <w:rPr>
          <w:rFonts w:ascii="宋体" w:hAnsi="宋体" w:eastAsia="宋体" w:cs="宋体"/>
          <w:spacing w:val="8"/>
          <w:sz w:val="20"/>
          <w:szCs w:val="20"/>
        </w:rPr>
        <w:t>坪以下的基础土石方工程，以及自然地坪与设计室外地坪之间挖方或填方工程量≤5000m</w:t>
      </w:r>
      <w:r>
        <w:rPr>
          <w:rFonts w:ascii="Arial" w:hAnsi="Arial" w:eastAsia="Arial" w:cs="Arial"/>
          <w:spacing w:val="8"/>
          <w:sz w:val="20"/>
          <w:szCs w:val="20"/>
        </w:rPr>
        <w:t>3</w:t>
      </w:r>
      <w:r>
        <w:rPr>
          <w:rFonts w:ascii="宋体" w:hAnsi="宋体" w:eastAsia="宋体" w:cs="宋体"/>
          <w:spacing w:val="8"/>
          <w:sz w:val="20"/>
          <w:szCs w:val="20"/>
        </w:rPr>
        <w:t>的土石方工程。</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（4）</w:t>
      </w:r>
      <w:r>
        <w:rPr>
          <w:rFonts w:ascii="宋体" w:hAnsi="宋体" w:eastAsia="宋体" w:cs="宋体"/>
          <w:spacing w:val="-80"/>
          <w:position w:val="1"/>
          <w:sz w:val="20"/>
          <w:szCs w:val="20"/>
        </w:rPr>
        <w:t xml:space="preserve"> </w:t>
      </w:r>
      <w:r>
        <w:rPr>
          <w:rFonts w:ascii="宋体" w:hAnsi="宋体" w:eastAsia="宋体" w:cs="宋体"/>
          <w:spacing w:val="9"/>
          <w:position w:val="1"/>
          <w:sz w:val="20"/>
          <w:szCs w:val="20"/>
        </w:rPr>
        <w:t>“桩基础”、“边坡支护”项目中，包含相应钢筋制</w:t>
      </w:r>
      <w:r>
        <w:rPr>
          <w:rFonts w:ascii="宋体" w:hAnsi="宋体" w:eastAsia="宋体" w:cs="宋体"/>
          <w:spacing w:val="8"/>
          <w:position w:val="1"/>
          <w:sz w:val="20"/>
          <w:szCs w:val="20"/>
        </w:rPr>
        <w:t>作安装。</w:t>
      </w:r>
    </w:p>
    <w:p>
      <w:pPr>
        <w:spacing w:before="123" w:line="277" w:lineRule="exact"/>
        <w:ind w:left="413"/>
        <w:rPr>
          <w:rFonts w:ascii="宋体" w:hAnsi="宋体" w:eastAsia="宋体" w:cs="宋体"/>
          <w:sz w:val="20"/>
          <w:szCs w:val="20"/>
        </w:rPr>
      </w:pPr>
      <w:r>
        <w:rPr>
          <w:rFonts w:ascii="宋体" w:hAnsi="宋体" w:eastAsia="宋体" w:cs="宋体"/>
          <w:spacing w:val="9"/>
          <w:position w:val="1"/>
          <w:sz w:val="20"/>
          <w:szCs w:val="20"/>
        </w:rPr>
        <w:t>（5）钢筋混凝土中不包含圈梁、过梁、构造柱、压顶等的混凝土。</w:t>
      </w:r>
    </w:p>
    <w:p>
      <w:pPr>
        <w:spacing w:before="119" w:line="322" w:lineRule="auto"/>
        <w:ind w:left="1" w:firstLine="411"/>
        <w:rPr>
          <w:rFonts w:ascii="宋体" w:hAnsi="宋体" w:eastAsia="宋体" w:cs="宋体"/>
          <w:sz w:val="20"/>
          <w:szCs w:val="20"/>
        </w:rPr>
      </w:pPr>
      <w:r>
        <w:rPr>
          <w:rFonts w:ascii="宋体" w:hAnsi="宋体" w:eastAsia="宋体" w:cs="宋体"/>
          <w:spacing w:val="8"/>
          <w:sz w:val="20"/>
          <w:szCs w:val="20"/>
        </w:rPr>
        <w:t>（6）钢筋的计算按设计要求以质量计算或参照概算定额附录指标含量乘以建</w:t>
      </w:r>
      <w:r>
        <w:rPr>
          <w:rFonts w:ascii="宋体" w:hAnsi="宋体" w:eastAsia="宋体" w:cs="宋体"/>
          <w:spacing w:val="7"/>
          <w:sz w:val="20"/>
          <w:szCs w:val="20"/>
        </w:rPr>
        <w:t>筑面积以质量计算。</w:t>
      </w:r>
      <w:r>
        <w:rPr>
          <w:rFonts w:ascii="宋体" w:hAnsi="宋体" w:eastAsia="宋体" w:cs="宋体"/>
          <w:spacing w:val="9"/>
          <w:sz w:val="20"/>
          <w:szCs w:val="20"/>
        </w:rPr>
        <w:t>铁件包含在相应构件中，不单独列项计算。马镫筋等措施钢筋由承包人综合考虑</w:t>
      </w:r>
      <w:r>
        <w:rPr>
          <w:rFonts w:ascii="宋体" w:hAnsi="宋体" w:eastAsia="宋体" w:cs="宋体"/>
          <w:spacing w:val="8"/>
          <w:sz w:val="20"/>
          <w:szCs w:val="20"/>
        </w:rPr>
        <w:t>，不单独列项计算。</w:t>
      </w:r>
      <w:r>
        <w:rPr>
          <w:rFonts w:ascii="宋体" w:hAnsi="宋体" w:eastAsia="宋体" w:cs="宋体"/>
          <w:spacing w:val="9"/>
          <w:sz w:val="20"/>
          <w:szCs w:val="20"/>
        </w:rPr>
        <w:t>钢筋的计算不包含圈梁、过梁、构造柱、压顶等的钢筋。</w:t>
      </w:r>
    </w:p>
    <w:p>
      <w:pPr>
        <w:spacing w:before="155" w:line="278" w:lineRule="exact"/>
        <w:ind w:left="413"/>
        <w:rPr>
          <w:rFonts w:ascii="宋体" w:hAnsi="宋体" w:eastAsia="宋体" w:cs="宋体"/>
          <w:sz w:val="20"/>
          <w:szCs w:val="20"/>
        </w:rPr>
      </w:pPr>
      <w:r>
        <w:rPr>
          <w:rFonts w:ascii="宋体" w:hAnsi="宋体" w:eastAsia="宋体" w:cs="宋体"/>
          <w:spacing w:val="10"/>
          <w:position w:val="1"/>
          <w:sz w:val="20"/>
          <w:szCs w:val="20"/>
        </w:rPr>
        <w:t>（7）砌筑工程中应包含过梁、圈梁、构造柱、压</w:t>
      </w:r>
      <w:r>
        <w:rPr>
          <w:rFonts w:ascii="宋体" w:hAnsi="宋体" w:eastAsia="宋体" w:cs="宋体"/>
          <w:spacing w:val="9"/>
          <w:position w:val="1"/>
          <w:sz w:val="20"/>
          <w:szCs w:val="20"/>
        </w:rPr>
        <w:t>顶等钢筋混凝土、砌体拉结筋。</w:t>
      </w:r>
    </w:p>
    <w:p>
      <w:pPr>
        <w:spacing w:before="124" w:line="297" w:lineRule="auto"/>
        <w:ind w:right="181" w:firstLine="413"/>
        <w:rPr>
          <w:rFonts w:ascii="宋体" w:hAnsi="宋体" w:eastAsia="宋体" w:cs="宋体"/>
          <w:sz w:val="20"/>
          <w:szCs w:val="20"/>
        </w:rPr>
      </w:pPr>
      <w:r>
        <w:rPr>
          <w:rFonts w:ascii="宋体" w:hAnsi="宋体" w:eastAsia="宋体" w:cs="宋体"/>
          <w:spacing w:val="8"/>
          <w:sz w:val="20"/>
          <w:szCs w:val="20"/>
        </w:rPr>
        <w:t>（8）钢结构的“钢构件”项目中，螺栓、栓钉、连接钢板等应、由承包人综合考虑，不单独计</w:t>
      </w:r>
      <w:r>
        <w:rPr>
          <w:rFonts w:ascii="宋体" w:hAnsi="宋体" w:eastAsia="宋体" w:cs="宋体"/>
          <w:spacing w:val="7"/>
          <w:sz w:val="20"/>
          <w:szCs w:val="20"/>
        </w:rPr>
        <w:t>算工程量。</w:t>
      </w:r>
    </w:p>
    <w:p>
      <w:pPr>
        <w:spacing w:before="155" w:line="313" w:lineRule="auto"/>
        <w:ind w:left="8" w:right="179" w:firstLine="404"/>
        <w:rPr>
          <w:rFonts w:ascii="宋体" w:hAnsi="宋体" w:eastAsia="宋体" w:cs="宋体"/>
          <w:sz w:val="20"/>
          <w:szCs w:val="20"/>
        </w:rPr>
      </w:pPr>
      <w:r>
        <w:rPr>
          <w:rFonts w:ascii="宋体" w:hAnsi="宋体" w:eastAsia="宋体" w:cs="宋体"/>
          <w:spacing w:val="9"/>
          <w:sz w:val="20"/>
          <w:szCs w:val="20"/>
        </w:rPr>
        <w:t>（9）屋面工程包括屋面结构层以上的找平</w:t>
      </w:r>
      <w:r>
        <w:rPr>
          <w:rFonts w:ascii="宋体" w:hAnsi="宋体" w:eastAsia="宋体" w:cs="宋体"/>
          <w:spacing w:val="8"/>
          <w:sz w:val="20"/>
          <w:szCs w:val="20"/>
        </w:rPr>
        <w:t>层、保温层、防水层、保护层、面层以及缝处理、屋面天沟檐沟等全部的构造。</w:t>
      </w:r>
    </w:p>
    <w:p>
      <w:pPr>
        <w:spacing w:before="123" w:line="296" w:lineRule="auto"/>
        <w:ind w:left="2" w:right="182"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10）防水防腐保温工程包括基础与地下防水</w:t>
      </w:r>
      <w:r>
        <w:rPr>
          <w:rFonts w:ascii="宋体" w:hAnsi="宋体" w:eastAsia="宋体" w:cs="宋体"/>
          <w:spacing w:val="9"/>
          <w:sz w:val="20"/>
          <w:szCs w:val="20"/>
        </w:rPr>
        <w:t>、地下室保温、混凝土板、上保温、天棚保温等</w:t>
      </w:r>
      <w:r>
        <w:rPr>
          <w:rFonts w:ascii="宋体" w:hAnsi="宋体" w:eastAsia="宋体" w:cs="宋体"/>
          <w:spacing w:val="7"/>
          <w:sz w:val="20"/>
          <w:szCs w:val="20"/>
        </w:rPr>
        <w:t>全部工程内容。</w:t>
      </w:r>
    </w:p>
    <w:p>
      <w:pPr>
        <w:spacing w:before="157" w:line="298" w:lineRule="auto"/>
        <w:ind w:left="2" w:right="182"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11）装配式工程包括装配式梁、装配式板、</w:t>
      </w:r>
      <w:r>
        <w:rPr>
          <w:rFonts w:ascii="宋体" w:hAnsi="宋体" w:eastAsia="宋体" w:cs="宋体"/>
          <w:spacing w:val="9"/>
          <w:sz w:val="20"/>
          <w:szCs w:val="20"/>
        </w:rPr>
        <w:t>装配式柱、装配式墙、集成卫生间等装配式构件全部工程内容，包含了除装配式幕墙之外的装配式相关内容。</w:t>
      </w:r>
    </w:p>
    <w:p>
      <w:pPr>
        <w:spacing w:before="154" w:line="297" w:lineRule="auto"/>
        <w:ind w:right="182" w:firstLine="413"/>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12）措施项目大型机械进出场、施工超高增</w:t>
      </w:r>
      <w:r>
        <w:rPr>
          <w:rFonts w:ascii="宋体" w:hAnsi="宋体" w:eastAsia="宋体" w:cs="宋体"/>
          <w:spacing w:val="9"/>
          <w:sz w:val="20"/>
          <w:szCs w:val="20"/>
        </w:rPr>
        <w:t>加由承包人综合考虑，不单独计算。脚手架工程综合考虑整个施工期内全部脚手架。装饰工程不再单独计算脚手架。</w:t>
      </w:r>
    </w:p>
    <w:p>
      <w:pPr>
        <w:spacing w:before="159"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44"/>
          <w:position w:val="1"/>
          <w:sz w:val="20"/>
          <w:szCs w:val="20"/>
        </w:rPr>
        <w:t xml:space="preserve"> </w:t>
      </w:r>
      <w:r>
        <w:rPr>
          <w:rFonts w:ascii="宋体" w:hAnsi="宋体" w:eastAsia="宋体" w:cs="宋体"/>
          <w:spacing w:val="8"/>
          <w:position w:val="1"/>
          <w:sz w:val="20"/>
          <w:szCs w:val="20"/>
        </w:rPr>
        <w:t>13）外立面装饰工程计算规则：按设计图示尺寸以建筑物外立面投影面积计算。</w:t>
      </w:r>
    </w:p>
    <w:p>
      <w:pPr>
        <w:spacing w:before="121" w:line="296" w:lineRule="auto"/>
        <w:ind w:left="2" w:right="182"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14）外立面装饰除幕墙工程外，外立面的保</w:t>
      </w:r>
      <w:r>
        <w:rPr>
          <w:rFonts w:ascii="宋体" w:hAnsi="宋体" w:eastAsia="宋体" w:cs="宋体"/>
          <w:spacing w:val="9"/>
          <w:sz w:val="20"/>
          <w:szCs w:val="20"/>
        </w:rPr>
        <w:t>温、防水、防腐不在本小节中包含，应按相应章</w:t>
      </w:r>
      <w:r>
        <w:rPr>
          <w:rFonts w:ascii="宋体" w:hAnsi="宋体" w:eastAsia="宋体" w:cs="宋体"/>
          <w:spacing w:val="6"/>
          <w:sz w:val="20"/>
          <w:szCs w:val="20"/>
        </w:rPr>
        <w:t>节列项。</w:t>
      </w:r>
    </w:p>
    <w:p>
      <w:pPr>
        <w:spacing w:before="160" w:line="277" w:lineRule="exact"/>
        <w:ind w:left="413"/>
        <w:rPr>
          <w:rFonts w:ascii="宋体" w:hAnsi="宋体" w:eastAsia="宋体" w:cs="宋体"/>
          <w:sz w:val="20"/>
          <w:szCs w:val="20"/>
        </w:rPr>
      </w:pPr>
      <w:r>
        <w:rPr>
          <w:rFonts w:ascii="宋体" w:hAnsi="宋体" w:eastAsia="宋体" w:cs="宋体"/>
          <w:spacing w:val="8"/>
          <w:position w:val="1"/>
          <w:sz w:val="20"/>
          <w:szCs w:val="20"/>
        </w:rPr>
        <w:t>（</w:t>
      </w:r>
      <w:r>
        <w:rPr>
          <w:rFonts w:ascii="宋体" w:hAnsi="宋体" w:eastAsia="宋体" w:cs="宋体"/>
          <w:spacing w:val="-36"/>
          <w:position w:val="1"/>
          <w:sz w:val="20"/>
          <w:szCs w:val="20"/>
        </w:rPr>
        <w:t xml:space="preserve"> </w:t>
      </w:r>
      <w:r>
        <w:rPr>
          <w:rFonts w:ascii="宋体" w:hAnsi="宋体" w:eastAsia="宋体" w:cs="宋体"/>
          <w:spacing w:val="8"/>
          <w:position w:val="1"/>
          <w:sz w:val="20"/>
          <w:szCs w:val="20"/>
        </w:rPr>
        <w:t>15）构筑物工程主要包括烟囱、水塔、水池这几类常见的与房屋建筑相关的构筑物项目。</w:t>
      </w:r>
    </w:p>
    <w:p>
      <w:pPr>
        <w:spacing w:line="474" w:lineRule="auto"/>
        <w:rPr>
          <w:rFonts w:ascii="Arial"/>
          <w:sz w:val="21"/>
        </w:rPr>
      </w:pPr>
    </w:p>
    <w:p>
      <w:pPr>
        <w:pStyle w:val="2"/>
        <w:spacing w:before="133" w:line="191" w:lineRule="auto"/>
        <w:ind w:left="2585" w:right="892" w:hanging="1893"/>
        <w:outlineLvl w:val="1"/>
      </w:pPr>
      <w:bookmarkStart w:id="169" w:name="bookmark108"/>
      <w:bookmarkEnd w:id="169"/>
      <w:bookmarkStart w:id="170" w:name="bookmark109"/>
      <w:bookmarkEnd w:id="170"/>
      <w:r>
        <w:rPr>
          <w:spacing w:val="10"/>
        </w:rPr>
        <w:t>第十章   房屋建筑项目工程总承包项目清单及计</w:t>
      </w:r>
      <w:r>
        <w:rPr>
          <w:spacing w:val="9"/>
        </w:rPr>
        <w:t>算规则</w:t>
      </w:r>
      <w:bookmarkStart w:id="171" w:name="bookmark108"/>
      <w:bookmarkEnd w:id="171"/>
      <w:r>
        <w:rPr>
          <w:spacing w:val="-4"/>
        </w:rPr>
        <w:t>（ 安装部分 ）有关问题说明</w:t>
      </w:r>
    </w:p>
    <w:p>
      <w:pPr>
        <w:spacing w:before="250" w:line="312" w:lineRule="auto"/>
        <w:ind w:right="179" w:firstLine="440"/>
        <w:rPr>
          <w:rFonts w:ascii="宋体" w:hAnsi="宋体" w:eastAsia="宋体" w:cs="宋体"/>
          <w:sz w:val="20"/>
          <w:szCs w:val="20"/>
        </w:rPr>
      </w:pPr>
      <w:r>
        <w:rPr>
          <w:rFonts w:ascii="宋体" w:hAnsi="宋体" w:eastAsia="宋体" w:cs="宋体"/>
          <w:spacing w:val="10"/>
          <w:sz w:val="20"/>
          <w:szCs w:val="20"/>
        </w:rPr>
        <w:t>1.</w:t>
      </w:r>
      <w:r>
        <w:rPr>
          <w:rFonts w:ascii="宋体" w:hAnsi="宋体" w:eastAsia="宋体" w:cs="宋体"/>
          <w:spacing w:val="-37"/>
          <w:sz w:val="20"/>
          <w:szCs w:val="20"/>
        </w:rPr>
        <w:t xml:space="preserve"> </w:t>
      </w:r>
      <w:r>
        <w:rPr>
          <w:rFonts w:ascii="宋体" w:hAnsi="宋体" w:eastAsia="宋体" w:cs="宋体"/>
          <w:spacing w:val="10"/>
          <w:sz w:val="20"/>
          <w:szCs w:val="20"/>
        </w:rPr>
        <w:t>2023年</w:t>
      </w:r>
      <w:r>
        <w:rPr>
          <w:rFonts w:ascii="宋体" w:hAnsi="宋体" w:eastAsia="宋体" w:cs="宋体"/>
          <w:spacing w:val="-37"/>
          <w:sz w:val="20"/>
          <w:szCs w:val="20"/>
        </w:rPr>
        <w:t xml:space="preserve"> </w:t>
      </w:r>
      <w:r>
        <w:rPr>
          <w:rFonts w:ascii="宋体" w:hAnsi="宋体" w:eastAsia="宋体" w:cs="宋体"/>
          <w:spacing w:val="10"/>
          <w:sz w:val="20"/>
          <w:szCs w:val="20"/>
        </w:rPr>
        <w:t>8</w:t>
      </w:r>
      <w:r>
        <w:rPr>
          <w:rFonts w:ascii="宋体" w:hAnsi="宋体" w:eastAsia="宋体" w:cs="宋体"/>
          <w:spacing w:val="-38"/>
          <w:sz w:val="20"/>
          <w:szCs w:val="20"/>
        </w:rPr>
        <w:t xml:space="preserve"> </w:t>
      </w:r>
      <w:r>
        <w:rPr>
          <w:rFonts w:ascii="宋体" w:hAnsi="宋体" w:eastAsia="宋体" w:cs="宋体"/>
          <w:spacing w:val="10"/>
          <w:sz w:val="20"/>
          <w:szCs w:val="20"/>
        </w:rPr>
        <w:t>月24 日山东省住房和城乡建设厅发布《关于发布〈山东省</w:t>
      </w:r>
      <w:r>
        <w:rPr>
          <w:rFonts w:ascii="宋体" w:hAnsi="宋体" w:eastAsia="宋体" w:cs="宋体"/>
          <w:spacing w:val="9"/>
          <w:sz w:val="20"/>
          <w:szCs w:val="20"/>
        </w:rPr>
        <w:t>房屋建筑和市政基础设</w:t>
      </w:r>
      <w:r>
        <w:rPr>
          <w:rFonts w:ascii="宋体" w:hAnsi="宋体" w:eastAsia="宋体" w:cs="宋体"/>
          <w:spacing w:val="8"/>
          <w:sz w:val="20"/>
          <w:szCs w:val="20"/>
        </w:rPr>
        <w:t>施项目工程总承包计价规则〉的通知》（鲁建标字〔2023〕14</w:t>
      </w:r>
      <w:r>
        <w:rPr>
          <w:rFonts w:ascii="宋体" w:hAnsi="宋体" w:eastAsia="宋体" w:cs="宋体"/>
          <w:spacing w:val="-42"/>
          <w:sz w:val="20"/>
          <w:szCs w:val="20"/>
        </w:rPr>
        <w:t xml:space="preserve"> </w:t>
      </w:r>
      <w:r>
        <w:rPr>
          <w:rFonts w:ascii="宋体" w:hAnsi="宋体" w:eastAsia="宋体" w:cs="宋体"/>
          <w:spacing w:val="8"/>
          <w:sz w:val="20"/>
          <w:szCs w:val="20"/>
        </w:rPr>
        <w:t>号）。</w:t>
      </w:r>
    </w:p>
    <w:p>
      <w:pPr>
        <w:spacing w:before="126" w:line="320" w:lineRule="auto"/>
        <w:ind w:left="3" w:right="179" w:firstLine="420"/>
        <w:rPr>
          <w:rFonts w:ascii="宋体" w:hAnsi="宋体" w:eastAsia="宋体" w:cs="宋体"/>
          <w:sz w:val="20"/>
          <w:szCs w:val="20"/>
        </w:rPr>
      </w:pPr>
      <w:r>
        <w:rPr>
          <w:rFonts w:ascii="宋体" w:hAnsi="宋体" w:eastAsia="宋体" w:cs="宋体"/>
          <w:spacing w:val="8"/>
          <w:sz w:val="20"/>
          <w:szCs w:val="20"/>
        </w:rPr>
        <w:t>2. 本规则所称工程总承包，是指承包人按照与发包人签订的合同，对工程设计、采购、施工或</w:t>
      </w:r>
      <w:r>
        <w:rPr>
          <w:rFonts w:ascii="宋体" w:hAnsi="宋体" w:eastAsia="宋体" w:cs="宋体"/>
          <w:spacing w:val="11"/>
          <w:sz w:val="20"/>
          <w:szCs w:val="20"/>
        </w:rPr>
        <w:t>者设计、施工等阶段实行总承包，并对工程的质量、安全、工期和造价等</w:t>
      </w:r>
      <w:r>
        <w:rPr>
          <w:rFonts w:ascii="宋体" w:hAnsi="宋体" w:eastAsia="宋体" w:cs="宋体"/>
          <w:spacing w:val="10"/>
          <w:sz w:val="20"/>
          <w:szCs w:val="20"/>
        </w:rPr>
        <w:t>全面负责的工程建设组织</w:t>
      </w:r>
      <w:r>
        <w:rPr>
          <w:rFonts w:ascii="宋体" w:hAnsi="宋体" w:eastAsia="宋体" w:cs="宋体"/>
          <w:spacing w:val="6"/>
          <w:sz w:val="20"/>
          <w:szCs w:val="20"/>
        </w:rPr>
        <w:t>实施方式。</w:t>
      </w:r>
    </w:p>
    <w:p>
      <w:pPr>
        <w:spacing w:before="158" w:line="296" w:lineRule="auto"/>
        <w:ind w:left="6" w:right="179" w:firstLine="420"/>
        <w:rPr>
          <w:rFonts w:ascii="宋体" w:hAnsi="宋体" w:eastAsia="宋体" w:cs="宋体"/>
          <w:sz w:val="20"/>
          <w:szCs w:val="20"/>
        </w:rPr>
      </w:pPr>
      <w:r>
        <w:rPr>
          <w:rFonts w:ascii="宋体" w:hAnsi="宋体" w:eastAsia="宋体" w:cs="宋体"/>
          <w:spacing w:val="13"/>
          <w:sz w:val="20"/>
          <w:szCs w:val="20"/>
        </w:rPr>
        <w:t>3. 本规则适用于山东省行政区域内房屋建筑和市政基础设施项目采用工程总承包模</w:t>
      </w:r>
      <w:r>
        <w:rPr>
          <w:rFonts w:ascii="宋体" w:hAnsi="宋体" w:eastAsia="宋体" w:cs="宋体"/>
          <w:spacing w:val="12"/>
          <w:sz w:val="20"/>
          <w:szCs w:val="20"/>
        </w:rPr>
        <w:t>式的计价</w:t>
      </w:r>
      <w:r>
        <w:rPr>
          <w:rFonts w:ascii="宋体" w:hAnsi="宋体" w:eastAsia="宋体" w:cs="宋体"/>
          <w:spacing w:val="2"/>
          <w:sz w:val="20"/>
          <w:szCs w:val="20"/>
        </w:rPr>
        <w:t>活动。</w:t>
      </w:r>
    </w:p>
    <w:p>
      <w:pPr>
        <w:spacing w:line="296" w:lineRule="auto"/>
        <w:rPr>
          <w:rFonts w:ascii="宋体" w:hAnsi="宋体" w:eastAsia="宋体" w:cs="宋体"/>
          <w:sz w:val="20"/>
          <w:szCs w:val="20"/>
        </w:rPr>
        <w:sectPr>
          <w:footerReference r:id="rId276" w:type="default"/>
          <w:pgSz w:w="11906" w:h="16839"/>
          <w:pgMar w:top="400" w:right="1238"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97" w:lineRule="auto"/>
        <w:ind w:left="3" w:right="2" w:firstLine="416"/>
        <w:rPr>
          <w:rFonts w:ascii="宋体" w:hAnsi="宋体" w:eastAsia="宋体" w:cs="宋体"/>
          <w:sz w:val="20"/>
          <w:szCs w:val="20"/>
        </w:rPr>
      </w:pPr>
      <w:bookmarkStart w:id="172" w:name="bookmark190"/>
      <w:bookmarkEnd w:id="172"/>
      <w:r>
        <w:rPr>
          <w:rFonts w:ascii="宋体" w:hAnsi="宋体" w:eastAsia="宋体" w:cs="宋体"/>
          <w:spacing w:val="8"/>
          <w:sz w:val="20"/>
          <w:szCs w:val="20"/>
        </w:rPr>
        <w:t>4. 房屋建筑和市政基础设施项目工程总承包一般应采用总价</w:t>
      </w:r>
      <w:r>
        <w:rPr>
          <w:rFonts w:ascii="宋体" w:hAnsi="宋体" w:eastAsia="宋体" w:cs="宋体"/>
          <w:spacing w:val="7"/>
          <w:sz w:val="20"/>
          <w:szCs w:val="20"/>
        </w:rPr>
        <w:t>合同，除根据本规则第</w:t>
      </w:r>
      <w:r>
        <w:rPr>
          <w:rFonts w:ascii="宋体" w:hAnsi="宋体" w:eastAsia="宋体" w:cs="宋体"/>
          <w:spacing w:val="-41"/>
          <w:sz w:val="20"/>
          <w:szCs w:val="20"/>
        </w:rPr>
        <w:t xml:space="preserve"> </w:t>
      </w:r>
      <w:r>
        <w:rPr>
          <w:rFonts w:ascii="宋体" w:hAnsi="宋体" w:eastAsia="宋体" w:cs="宋体"/>
          <w:spacing w:val="7"/>
          <w:sz w:val="20"/>
          <w:szCs w:val="20"/>
        </w:rPr>
        <w:t>7</w:t>
      </w:r>
      <w:r>
        <w:rPr>
          <w:rFonts w:ascii="宋体" w:hAnsi="宋体" w:eastAsia="宋体" w:cs="宋体"/>
          <w:spacing w:val="-42"/>
          <w:sz w:val="20"/>
          <w:szCs w:val="20"/>
        </w:rPr>
        <w:t xml:space="preserve"> </w:t>
      </w:r>
      <w:r>
        <w:rPr>
          <w:rFonts w:ascii="宋体" w:hAnsi="宋体" w:eastAsia="宋体" w:cs="宋体"/>
          <w:spacing w:val="7"/>
          <w:sz w:val="20"/>
          <w:szCs w:val="20"/>
        </w:rPr>
        <w:t>章合同价</w:t>
      </w:r>
      <w:r>
        <w:rPr>
          <w:rFonts w:ascii="宋体" w:hAnsi="宋体" w:eastAsia="宋体" w:cs="宋体"/>
          <w:spacing w:val="9"/>
          <w:sz w:val="20"/>
          <w:szCs w:val="20"/>
        </w:rPr>
        <w:t>款的调整以及合同相关约定进行调整外，合同价款不予调整。</w:t>
      </w:r>
    </w:p>
    <w:p>
      <w:pPr>
        <w:spacing w:before="157" w:line="277" w:lineRule="exact"/>
        <w:ind w:left="422"/>
        <w:rPr>
          <w:rFonts w:ascii="宋体" w:hAnsi="宋体" w:eastAsia="宋体" w:cs="宋体"/>
          <w:sz w:val="20"/>
          <w:szCs w:val="20"/>
        </w:rPr>
      </w:pPr>
      <w:r>
        <w:rPr>
          <w:rFonts w:ascii="宋体" w:hAnsi="宋体" w:eastAsia="宋体" w:cs="宋体"/>
          <w:spacing w:val="7"/>
          <w:position w:val="1"/>
          <w:sz w:val="20"/>
          <w:szCs w:val="20"/>
        </w:rPr>
        <w:t>5. 使用《附录一房屋建筑项目工程总承包项目清单及计算规则》</w:t>
      </w:r>
      <w:r>
        <w:rPr>
          <w:rFonts w:ascii="宋体" w:hAnsi="宋体" w:eastAsia="宋体" w:cs="宋体"/>
          <w:spacing w:val="-53"/>
          <w:position w:val="1"/>
          <w:sz w:val="20"/>
          <w:szCs w:val="20"/>
        </w:rPr>
        <w:t xml:space="preserve"> </w:t>
      </w:r>
      <w:r>
        <w:rPr>
          <w:rFonts w:ascii="宋体" w:hAnsi="宋体" w:eastAsia="宋体" w:cs="宋体"/>
          <w:spacing w:val="6"/>
          <w:position w:val="1"/>
          <w:sz w:val="20"/>
          <w:szCs w:val="20"/>
        </w:rPr>
        <w:t>，应按照以下规定执行：</w:t>
      </w:r>
    </w:p>
    <w:p>
      <w:pPr>
        <w:spacing w:before="114" w:line="301" w:lineRule="auto"/>
        <w:ind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39"/>
          <w:sz w:val="20"/>
          <w:szCs w:val="20"/>
        </w:rPr>
        <w:t xml:space="preserve"> </w:t>
      </w:r>
      <w:r>
        <w:rPr>
          <w:rFonts w:ascii="宋体" w:hAnsi="宋体" w:eastAsia="宋体" w:cs="宋体"/>
          <w:spacing w:val="7"/>
          <w:sz w:val="20"/>
          <w:szCs w:val="20"/>
        </w:rPr>
        <w:t>1）给排水、采暖、燃气工程的各系统调试、单机调试、联动调试等已包括在相应清单中，不</w:t>
      </w:r>
      <w:r>
        <w:rPr>
          <w:rFonts w:ascii="宋体" w:hAnsi="宋体" w:eastAsia="宋体" w:cs="宋体"/>
          <w:spacing w:val="6"/>
          <w:sz w:val="20"/>
          <w:szCs w:val="20"/>
        </w:rPr>
        <w:t>单独列项。</w:t>
      </w:r>
    </w:p>
    <w:p>
      <w:pPr>
        <w:spacing w:before="156" w:line="278" w:lineRule="exact"/>
        <w:ind w:left="412"/>
        <w:rPr>
          <w:rFonts w:ascii="宋体" w:hAnsi="宋体" w:eastAsia="宋体" w:cs="宋体"/>
          <w:sz w:val="20"/>
          <w:szCs w:val="20"/>
        </w:rPr>
      </w:pPr>
      <w:r>
        <w:rPr>
          <w:rFonts w:ascii="宋体" w:hAnsi="宋体" w:eastAsia="宋体" w:cs="宋体"/>
          <w:spacing w:val="9"/>
          <w:position w:val="1"/>
          <w:sz w:val="20"/>
          <w:szCs w:val="20"/>
        </w:rPr>
        <w:t>（2）措施项目不单独列项，含在相应清单项目中。</w:t>
      </w:r>
    </w:p>
    <w:p>
      <w:pPr>
        <w:spacing w:before="120" w:line="277" w:lineRule="exact"/>
        <w:ind w:left="412"/>
        <w:rPr>
          <w:rFonts w:ascii="宋体" w:hAnsi="宋体" w:eastAsia="宋体" w:cs="宋体"/>
          <w:sz w:val="20"/>
          <w:szCs w:val="20"/>
        </w:rPr>
      </w:pPr>
      <w:r>
        <w:rPr>
          <w:rFonts w:ascii="宋体" w:hAnsi="宋体" w:eastAsia="宋体" w:cs="宋体"/>
          <w:spacing w:val="9"/>
          <w:position w:val="1"/>
          <w:sz w:val="20"/>
          <w:szCs w:val="20"/>
        </w:rPr>
        <w:t>（3）民用燃气工程中燃气管道支管为立干管至灶前阀门的燃气管道。</w:t>
      </w:r>
    </w:p>
    <w:p>
      <w:pPr>
        <w:spacing w:before="123" w:line="299" w:lineRule="auto"/>
        <w:ind w:firstLine="412"/>
        <w:rPr>
          <w:rFonts w:ascii="宋体" w:hAnsi="宋体" w:eastAsia="宋体" w:cs="宋体"/>
          <w:sz w:val="20"/>
          <w:szCs w:val="20"/>
        </w:rPr>
      </w:pPr>
      <w:r>
        <w:rPr>
          <w:rFonts w:ascii="宋体" w:hAnsi="宋体" w:eastAsia="宋体" w:cs="宋体"/>
          <w:spacing w:val="9"/>
          <w:sz w:val="20"/>
          <w:szCs w:val="20"/>
        </w:rPr>
        <w:t>（4）公用燃气工程中燃气管道支管与干管</w:t>
      </w:r>
      <w:r>
        <w:rPr>
          <w:rFonts w:ascii="宋体" w:hAnsi="宋体" w:eastAsia="宋体" w:cs="宋体"/>
          <w:spacing w:val="8"/>
          <w:sz w:val="20"/>
          <w:szCs w:val="20"/>
        </w:rPr>
        <w:t>的界限：灶具所在房间有立干管的，立干管以后为燃</w:t>
      </w:r>
      <w:r>
        <w:rPr>
          <w:rFonts w:ascii="宋体" w:hAnsi="宋体" w:eastAsia="宋体" w:cs="宋体"/>
          <w:spacing w:val="10"/>
          <w:sz w:val="20"/>
          <w:szCs w:val="20"/>
        </w:rPr>
        <w:t>气管道支管；无立干管的，以灶具所在房间外墙为界，墙内为燃气管道支管.</w:t>
      </w:r>
    </w:p>
    <w:p>
      <w:pPr>
        <w:spacing w:before="153" w:line="313" w:lineRule="auto"/>
        <w:ind w:left="40" w:firstLine="371"/>
        <w:rPr>
          <w:rFonts w:ascii="宋体" w:hAnsi="宋体" w:eastAsia="宋体" w:cs="宋体"/>
          <w:sz w:val="20"/>
          <w:szCs w:val="20"/>
        </w:rPr>
      </w:pPr>
      <w:r>
        <w:rPr>
          <w:rFonts w:ascii="宋体" w:hAnsi="宋体" w:eastAsia="宋体" w:cs="宋体"/>
          <w:spacing w:val="9"/>
          <w:sz w:val="20"/>
          <w:szCs w:val="20"/>
        </w:rPr>
        <w:t>（5）室外消防管网，包括管道安装、室外</w:t>
      </w:r>
      <w:r>
        <w:rPr>
          <w:rFonts w:ascii="宋体" w:hAnsi="宋体" w:eastAsia="宋体" w:cs="宋体"/>
          <w:spacing w:val="8"/>
          <w:sz w:val="20"/>
          <w:szCs w:val="20"/>
        </w:rPr>
        <w:t>消火栓、水泵接合器、井室砌筑等执行《房屋建筑项目工程总承包项目清单及计算规则》E</w:t>
      </w:r>
      <w:r>
        <w:rPr>
          <w:rFonts w:ascii="宋体" w:hAnsi="宋体" w:eastAsia="宋体" w:cs="宋体"/>
          <w:spacing w:val="-32"/>
          <w:sz w:val="20"/>
          <w:szCs w:val="20"/>
        </w:rPr>
        <w:t xml:space="preserve"> </w:t>
      </w:r>
      <w:r>
        <w:rPr>
          <w:rFonts w:ascii="宋体" w:hAnsi="宋体" w:eastAsia="宋体" w:cs="宋体"/>
          <w:spacing w:val="8"/>
          <w:sz w:val="20"/>
          <w:szCs w:val="20"/>
        </w:rPr>
        <w:t>总图工程相关项目清单。</w:t>
      </w:r>
    </w:p>
    <w:p>
      <w:pPr>
        <w:spacing w:before="123" w:line="277" w:lineRule="exact"/>
        <w:ind w:left="412"/>
        <w:rPr>
          <w:rFonts w:ascii="宋体" w:hAnsi="宋体" w:eastAsia="宋体" w:cs="宋体"/>
          <w:sz w:val="20"/>
          <w:szCs w:val="20"/>
        </w:rPr>
      </w:pPr>
      <w:r>
        <w:rPr>
          <w:rFonts w:ascii="宋体" w:hAnsi="宋体" w:eastAsia="宋体" w:cs="宋体"/>
          <w:spacing w:val="9"/>
          <w:position w:val="1"/>
          <w:sz w:val="20"/>
          <w:szCs w:val="20"/>
        </w:rPr>
        <w:t>（6）火灾自动报警系统中干线与支线的界限划分：</w:t>
      </w:r>
    </w:p>
    <w:p>
      <w:pPr>
        <w:spacing w:before="121" w:line="277" w:lineRule="exact"/>
        <w:ind w:left="439"/>
        <w:rPr>
          <w:rFonts w:ascii="宋体" w:hAnsi="宋体" w:eastAsia="宋体" w:cs="宋体"/>
          <w:sz w:val="20"/>
          <w:szCs w:val="20"/>
        </w:rPr>
      </w:pPr>
      <w:r>
        <w:rPr>
          <w:rFonts w:ascii="宋体" w:hAnsi="宋体" w:eastAsia="宋体" w:cs="宋体"/>
          <w:spacing w:val="7"/>
          <w:position w:val="1"/>
          <w:sz w:val="20"/>
          <w:szCs w:val="20"/>
        </w:rPr>
        <w:t>1</w:t>
      </w:r>
      <w:r>
        <w:rPr>
          <w:rFonts w:ascii="宋体" w:hAnsi="宋体" w:eastAsia="宋体" w:cs="宋体"/>
          <w:spacing w:val="-36"/>
          <w:position w:val="1"/>
          <w:sz w:val="20"/>
          <w:szCs w:val="20"/>
        </w:rPr>
        <w:t xml:space="preserve"> </w:t>
      </w:r>
      <w:r>
        <w:rPr>
          <w:rFonts w:ascii="宋体" w:hAnsi="宋体" w:eastAsia="宋体" w:cs="宋体"/>
          <w:spacing w:val="7"/>
          <w:position w:val="1"/>
          <w:sz w:val="20"/>
          <w:szCs w:val="20"/>
        </w:rPr>
        <w:t>）由消防控制中心至分线箱（端子箱）的管线为干线，其他为支路管线</w:t>
      </w:r>
    </w:p>
    <w:p>
      <w:pPr>
        <w:spacing w:before="124" w:line="277" w:lineRule="exact"/>
        <w:ind w:left="422"/>
        <w:rPr>
          <w:rFonts w:ascii="宋体" w:hAnsi="宋体" w:eastAsia="宋体" w:cs="宋体"/>
          <w:sz w:val="20"/>
          <w:szCs w:val="20"/>
        </w:rPr>
      </w:pPr>
      <w:r>
        <w:rPr>
          <w:rFonts w:ascii="宋体" w:hAnsi="宋体" w:eastAsia="宋体" w:cs="宋体"/>
          <w:spacing w:val="9"/>
          <w:position w:val="1"/>
          <w:sz w:val="20"/>
          <w:szCs w:val="20"/>
        </w:rPr>
        <w:t>2）由广播控制柜至分线箱的管线为干线，其他为支路管线。</w:t>
      </w:r>
    </w:p>
    <w:p>
      <w:pPr>
        <w:spacing w:before="124" w:line="277" w:lineRule="exact"/>
        <w:ind w:left="412"/>
        <w:rPr>
          <w:rFonts w:ascii="宋体" w:hAnsi="宋体" w:eastAsia="宋体" w:cs="宋体"/>
          <w:sz w:val="20"/>
          <w:szCs w:val="20"/>
        </w:rPr>
      </w:pPr>
      <w:r>
        <w:rPr>
          <w:rFonts w:ascii="宋体" w:hAnsi="宋体" w:eastAsia="宋体" w:cs="宋体"/>
          <w:spacing w:val="9"/>
          <w:position w:val="1"/>
          <w:sz w:val="20"/>
          <w:szCs w:val="20"/>
        </w:rPr>
        <w:t>（7）空调管路系统包括制冷剂管路安装、空调水管路安装等。</w:t>
      </w:r>
    </w:p>
    <w:p>
      <w:pPr>
        <w:spacing w:before="121" w:line="297" w:lineRule="auto"/>
        <w:ind w:left="3" w:firstLine="436"/>
        <w:rPr>
          <w:rFonts w:ascii="宋体" w:hAnsi="宋体" w:eastAsia="宋体" w:cs="宋体"/>
          <w:sz w:val="20"/>
          <w:szCs w:val="20"/>
        </w:rPr>
      </w:pPr>
      <w:r>
        <w:rPr>
          <w:rFonts w:ascii="宋体" w:hAnsi="宋体" w:eastAsia="宋体" w:cs="宋体"/>
          <w:spacing w:val="8"/>
          <w:sz w:val="20"/>
          <w:szCs w:val="20"/>
        </w:rPr>
        <w:t>1）制冷剂管路，是指商用中央空调（一拖多）系统中，室内外机（机组）间</w:t>
      </w:r>
      <w:r>
        <w:rPr>
          <w:rFonts w:ascii="宋体" w:hAnsi="宋体" w:eastAsia="宋体" w:cs="宋体"/>
          <w:spacing w:val="7"/>
          <w:sz w:val="20"/>
          <w:szCs w:val="20"/>
        </w:rPr>
        <w:t>连接的制冷剂气液管及冷凝管。</w:t>
      </w:r>
    </w:p>
    <w:p>
      <w:pPr>
        <w:spacing w:before="158" w:line="312" w:lineRule="auto"/>
        <w:ind w:left="1" w:firstLine="420"/>
        <w:rPr>
          <w:rFonts w:ascii="宋体" w:hAnsi="宋体" w:eastAsia="宋体" w:cs="宋体"/>
          <w:sz w:val="20"/>
          <w:szCs w:val="20"/>
        </w:rPr>
      </w:pPr>
      <w:r>
        <w:rPr>
          <w:rFonts w:ascii="宋体" w:hAnsi="宋体" w:eastAsia="宋体" w:cs="宋体"/>
          <w:spacing w:val="10"/>
          <w:sz w:val="20"/>
          <w:szCs w:val="20"/>
        </w:rPr>
        <w:t>2）空调水主管包含主横干管、主立管及从主立管分出的管径大于</w:t>
      </w:r>
      <w:r>
        <w:rPr>
          <w:rFonts w:ascii="宋体" w:hAnsi="宋体" w:eastAsia="宋体" w:cs="宋体"/>
          <w:spacing w:val="-37"/>
          <w:sz w:val="20"/>
          <w:szCs w:val="20"/>
        </w:rPr>
        <w:t xml:space="preserve"> </w:t>
      </w:r>
      <w:r>
        <w:rPr>
          <w:rFonts w:ascii="宋体" w:hAnsi="宋体" w:eastAsia="宋体" w:cs="宋体"/>
          <w:sz w:val="20"/>
          <w:szCs w:val="20"/>
        </w:rPr>
        <w:t>DN</w:t>
      </w:r>
      <w:r>
        <w:rPr>
          <w:rFonts w:ascii="宋体" w:hAnsi="宋体" w:eastAsia="宋体" w:cs="宋体"/>
          <w:spacing w:val="10"/>
          <w:sz w:val="20"/>
          <w:szCs w:val="20"/>
        </w:rPr>
        <w:t>80</w:t>
      </w:r>
      <w:r>
        <w:rPr>
          <w:rFonts w:ascii="宋体" w:hAnsi="宋体" w:eastAsia="宋体" w:cs="宋体"/>
          <w:spacing w:val="-24"/>
          <w:sz w:val="20"/>
          <w:szCs w:val="20"/>
        </w:rPr>
        <w:t xml:space="preserve"> </w:t>
      </w:r>
      <w:r>
        <w:rPr>
          <w:rFonts w:ascii="宋体" w:hAnsi="宋体" w:eastAsia="宋体" w:cs="宋体"/>
          <w:spacing w:val="10"/>
          <w:sz w:val="20"/>
          <w:szCs w:val="20"/>
        </w:rPr>
        <w:t>的空调冷热水</w:t>
      </w:r>
      <w:r>
        <w:rPr>
          <w:rFonts w:ascii="宋体" w:hAnsi="宋体" w:eastAsia="宋体" w:cs="宋体"/>
          <w:spacing w:val="9"/>
          <w:sz w:val="20"/>
          <w:szCs w:val="20"/>
        </w:rPr>
        <w:t>管道。空</w:t>
      </w:r>
      <w:r>
        <w:rPr>
          <w:rFonts w:ascii="宋体" w:hAnsi="宋体" w:eastAsia="宋体" w:cs="宋体"/>
          <w:spacing w:val="10"/>
          <w:sz w:val="20"/>
          <w:szCs w:val="20"/>
        </w:rPr>
        <w:t>调水支管包含从主管分出的管径小于等于</w:t>
      </w:r>
      <w:r>
        <w:rPr>
          <w:rFonts w:ascii="宋体" w:hAnsi="宋体" w:eastAsia="宋体" w:cs="宋体"/>
          <w:spacing w:val="-21"/>
          <w:sz w:val="20"/>
          <w:szCs w:val="20"/>
        </w:rPr>
        <w:t xml:space="preserve"> </w:t>
      </w:r>
      <w:r>
        <w:rPr>
          <w:rFonts w:ascii="宋体" w:hAnsi="宋体" w:eastAsia="宋体" w:cs="宋体"/>
          <w:sz w:val="20"/>
          <w:szCs w:val="20"/>
        </w:rPr>
        <w:t>DN</w:t>
      </w:r>
      <w:r>
        <w:rPr>
          <w:rFonts w:ascii="宋体" w:hAnsi="宋体" w:eastAsia="宋体" w:cs="宋体"/>
          <w:spacing w:val="10"/>
          <w:sz w:val="20"/>
          <w:szCs w:val="20"/>
        </w:rPr>
        <w:t>80</w:t>
      </w:r>
      <w:r>
        <w:rPr>
          <w:rFonts w:ascii="宋体" w:hAnsi="宋体" w:eastAsia="宋体" w:cs="宋体"/>
          <w:spacing w:val="-24"/>
          <w:sz w:val="20"/>
          <w:szCs w:val="20"/>
        </w:rPr>
        <w:t xml:space="preserve"> </w:t>
      </w:r>
      <w:r>
        <w:rPr>
          <w:rFonts w:ascii="宋体" w:hAnsi="宋体" w:eastAsia="宋体" w:cs="宋体"/>
          <w:spacing w:val="10"/>
          <w:sz w:val="20"/>
          <w:szCs w:val="20"/>
        </w:rPr>
        <w:t>的空调冷热水管道以及凝结水管道。</w:t>
      </w:r>
    </w:p>
    <w:p>
      <w:pPr>
        <w:spacing w:before="121" w:line="341" w:lineRule="auto"/>
        <w:ind w:firstLine="412"/>
        <w:rPr>
          <w:rFonts w:ascii="宋体" w:hAnsi="宋体" w:eastAsia="宋体" w:cs="宋体"/>
          <w:sz w:val="20"/>
          <w:szCs w:val="20"/>
        </w:rPr>
      </w:pPr>
      <w:r>
        <w:rPr>
          <w:rFonts w:ascii="宋体" w:hAnsi="宋体" w:eastAsia="宋体" w:cs="宋体"/>
          <w:spacing w:val="10"/>
          <w:sz w:val="20"/>
          <w:szCs w:val="20"/>
        </w:rPr>
        <w:t>（8）电气工程室外配电箱、电缆敷设以及</w:t>
      </w:r>
      <w:r>
        <w:rPr>
          <w:rFonts w:ascii="宋体" w:hAnsi="宋体" w:eastAsia="宋体" w:cs="宋体"/>
          <w:spacing w:val="-23"/>
          <w:sz w:val="20"/>
          <w:szCs w:val="20"/>
        </w:rPr>
        <w:t xml:space="preserve"> </w:t>
      </w:r>
      <w:r>
        <w:rPr>
          <w:rFonts w:ascii="宋体" w:hAnsi="宋体" w:eastAsia="宋体" w:cs="宋体"/>
          <w:spacing w:val="10"/>
          <w:sz w:val="20"/>
          <w:szCs w:val="20"/>
        </w:rPr>
        <w:t>10</w:t>
      </w:r>
      <w:r>
        <w:rPr>
          <w:rFonts w:ascii="宋体" w:hAnsi="宋体" w:eastAsia="宋体" w:cs="宋体"/>
          <w:sz w:val="20"/>
          <w:szCs w:val="20"/>
        </w:rPr>
        <w:t>kV</w:t>
      </w:r>
      <w:r>
        <w:rPr>
          <w:rFonts w:ascii="宋体" w:hAnsi="宋体" w:eastAsia="宋体" w:cs="宋体"/>
          <w:spacing w:val="-25"/>
          <w:sz w:val="20"/>
          <w:szCs w:val="20"/>
        </w:rPr>
        <w:t xml:space="preserve"> </w:t>
      </w:r>
      <w:r>
        <w:rPr>
          <w:rFonts w:ascii="宋体" w:hAnsi="宋体" w:eastAsia="宋体" w:cs="宋体"/>
          <w:spacing w:val="10"/>
          <w:sz w:val="20"/>
          <w:szCs w:val="20"/>
        </w:rPr>
        <w:t>以下架空线路等室外电气工程</w:t>
      </w:r>
      <w:r>
        <w:rPr>
          <w:rFonts w:ascii="宋体" w:hAnsi="宋体" w:eastAsia="宋体" w:cs="宋体"/>
          <w:spacing w:val="9"/>
          <w:sz w:val="20"/>
          <w:szCs w:val="20"/>
        </w:rPr>
        <w:t>，执行《房屋建筑项目工程总承包项目清单及计算规则》E202</w:t>
      </w:r>
      <w:r>
        <w:rPr>
          <w:rFonts w:ascii="宋体" w:hAnsi="宋体" w:eastAsia="宋体" w:cs="宋体"/>
          <w:spacing w:val="-33"/>
          <w:sz w:val="20"/>
          <w:szCs w:val="20"/>
        </w:rPr>
        <w:t xml:space="preserve"> </w:t>
      </w:r>
      <w:r>
        <w:rPr>
          <w:rFonts w:ascii="宋体" w:hAnsi="宋体" w:eastAsia="宋体" w:cs="宋体"/>
          <w:spacing w:val="9"/>
          <w:sz w:val="20"/>
          <w:szCs w:val="20"/>
        </w:rPr>
        <w:t>总图电气工程相关项目清单。涉及医疗专</w:t>
      </w:r>
      <w:r>
        <w:rPr>
          <w:rFonts w:ascii="宋体" w:hAnsi="宋体" w:eastAsia="宋体" w:cs="宋体"/>
          <w:spacing w:val="8"/>
          <w:sz w:val="20"/>
          <w:szCs w:val="20"/>
        </w:rPr>
        <w:t>项、体育专</w:t>
      </w:r>
      <w:r>
        <w:rPr>
          <w:rFonts w:ascii="宋体" w:hAnsi="宋体" w:eastAsia="宋体" w:cs="宋体"/>
          <w:spacing w:val="11"/>
          <w:sz w:val="20"/>
          <w:szCs w:val="20"/>
        </w:rPr>
        <w:t>项、演艺专项、人防专项等专项工程中的电气工程，以及电气工程中抗震支架</w:t>
      </w:r>
      <w:r>
        <w:rPr>
          <w:rFonts w:ascii="宋体" w:hAnsi="宋体" w:eastAsia="宋体" w:cs="宋体"/>
          <w:spacing w:val="10"/>
          <w:sz w:val="20"/>
          <w:szCs w:val="20"/>
        </w:rPr>
        <w:t>、充电桩、建筑物亮</w:t>
      </w:r>
      <w:r>
        <w:rPr>
          <w:rFonts w:ascii="宋体" w:hAnsi="宋体" w:eastAsia="宋体" w:cs="宋体"/>
          <w:spacing w:val="11"/>
          <w:sz w:val="20"/>
          <w:szCs w:val="20"/>
        </w:rPr>
        <w:t>化工程等专项工程</w:t>
      </w:r>
      <w:r>
        <w:rPr>
          <w:rFonts w:ascii="宋体" w:hAnsi="宋体" w:eastAsia="宋体" w:cs="宋体"/>
          <w:spacing w:val="-60"/>
          <w:sz w:val="20"/>
          <w:szCs w:val="20"/>
        </w:rPr>
        <w:t xml:space="preserve"> </w:t>
      </w:r>
      <w:r>
        <w:rPr>
          <w:rFonts w:ascii="宋体" w:hAnsi="宋体" w:eastAsia="宋体" w:cs="宋体"/>
          <w:spacing w:val="11"/>
          <w:sz w:val="20"/>
          <w:szCs w:val="20"/>
        </w:rPr>
        <w:t>，执行《房屋建筑项目工程总承包项目清单及计算规则》F</w:t>
      </w:r>
      <w:r>
        <w:rPr>
          <w:rFonts w:ascii="宋体" w:hAnsi="宋体" w:eastAsia="宋体" w:cs="宋体"/>
          <w:spacing w:val="-41"/>
          <w:sz w:val="20"/>
          <w:szCs w:val="20"/>
        </w:rPr>
        <w:t xml:space="preserve"> </w:t>
      </w:r>
      <w:r>
        <w:rPr>
          <w:rFonts w:ascii="宋体" w:hAnsi="宋体" w:eastAsia="宋体" w:cs="宋体"/>
          <w:spacing w:val="11"/>
          <w:sz w:val="20"/>
          <w:szCs w:val="20"/>
        </w:rPr>
        <w:t>专项工程</w:t>
      </w:r>
      <w:r>
        <w:rPr>
          <w:rFonts w:ascii="宋体" w:hAnsi="宋体" w:eastAsia="宋体" w:cs="宋体"/>
          <w:spacing w:val="10"/>
          <w:sz w:val="20"/>
          <w:szCs w:val="20"/>
        </w:rPr>
        <w:t>相关项目清</w:t>
      </w:r>
      <w:r>
        <w:rPr>
          <w:rFonts w:ascii="宋体" w:hAnsi="宋体" w:eastAsia="宋体" w:cs="宋体"/>
          <w:spacing w:val="2"/>
          <w:sz w:val="20"/>
          <w:szCs w:val="20"/>
        </w:rPr>
        <w:t>单。</w:t>
      </w:r>
    </w:p>
    <w:p>
      <w:pPr>
        <w:spacing w:before="154" w:line="278" w:lineRule="exact"/>
        <w:ind w:left="412"/>
        <w:rPr>
          <w:rFonts w:ascii="宋体" w:hAnsi="宋体" w:eastAsia="宋体" w:cs="宋体"/>
          <w:sz w:val="20"/>
          <w:szCs w:val="20"/>
        </w:rPr>
      </w:pPr>
      <w:r>
        <w:rPr>
          <w:rFonts w:ascii="宋体" w:hAnsi="宋体" w:eastAsia="宋体" w:cs="宋体"/>
          <w:spacing w:val="12"/>
          <w:position w:val="1"/>
          <w:sz w:val="20"/>
          <w:szCs w:val="20"/>
        </w:rPr>
        <w:t>（9）电气工程中得防雷、接地包括避雷装置、接地装置等，均安建筑</w:t>
      </w:r>
      <w:r>
        <w:rPr>
          <w:rFonts w:ascii="宋体" w:hAnsi="宋体" w:eastAsia="宋体" w:cs="宋体"/>
          <w:spacing w:val="11"/>
          <w:position w:val="1"/>
          <w:sz w:val="20"/>
          <w:szCs w:val="20"/>
        </w:rPr>
        <w:t>面积以m2</w:t>
      </w:r>
      <w:r>
        <w:rPr>
          <w:rFonts w:ascii="宋体" w:hAnsi="宋体" w:eastAsia="宋体" w:cs="宋体"/>
          <w:spacing w:val="-45"/>
          <w:position w:val="1"/>
          <w:sz w:val="20"/>
          <w:szCs w:val="20"/>
        </w:rPr>
        <w:t xml:space="preserve"> </w:t>
      </w:r>
      <w:r>
        <w:rPr>
          <w:rFonts w:ascii="宋体" w:hAnsi="宋体" w:eastAsia="宋体" w:cs="宋体"/>
          <w:spacing w:val="11"/>
          <w:position w:val="1"/>
          <w:sz w:val="20"/>
          <w:szCs w:val="20"/>
        </w:rPr>
        <w:t>计算。</w:t>
      </w:r>
    </w:p>
    <w:p>
      <w:pPr>
        <w:spacing w:before="123" w:line="299" w:lineRule="auto"/>
        <w:ind w:left="35" w:right="2" w:firstLine="377"/>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10）电气工程得配管、配线的支路管线敷设</w:t>
      </w:r>
      <w:r>
        <w:rPr>
          <w:rFonts w:ascii="宋体" w:hAnsi="宋体" w:eastAsia="宋体" w:cs="宋体"/>
          <w:spacing w:val="9"/>
          <w:sz w:val="20"/>
          <w:szCs w:val="20"/>
        </w:rPr>
        <w:t>适用于从配电箱、盘、柜引出至各用电器具出线</w:t>
      </w:r>
      <w:r>
        <w:rPr>
          <w:rFonts w:ascii="宋体" w:hAnsi="宋体" w:eastAsia="宋体" w:cs="宋体"/>
          <w:spacing w:val="8"/>
          <w:sz w:val="20"/>
          <w:szCs w:val="20"/>
        </w:rPr>
        <w:t>口的全部管线敷设；箱与箱之间的连接管线计入干线部分。</w:t>
      </w:r>
    </w:p>
    <w:p>
      <w:pPr>
        <w:spacing w:before="151" w:line="296" w:lineRule="auto"/>
        <w:ind w:right="2" w:firstLine="41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11）电梯工程电梯配套的控制箱至电梯的电</w:t>
      </w:r>
      <w:r>
        <w:rPr>
          <w:rFonts w:ascii="宋体" w:hAnsi="宋体" w:eastAsia="宋体" w:cs="宋体"/>
          <w:spacing w:val="9"/>
          <w:sz w:val="20"/>
          <w:szCs w:val="20"/>
        </w:rPr>
        <w:t>缆及控制箱的安装均包含在相应清单中，不单独</w:t>
      </w:r>
      <w:r>
        <w:rPr>
          <w:rFonts w:ascii="宋体" w:hAnsi="宋体" w:eastAsia="宋体" w:cs="宋体"/>
          <w:spacing w:val="2"/>
          <w:sz w:val="20"/>
          <w:szCs w:val="20"/>
        </w:rPr>
        <w:t>列。</w:t>
      </w:r>
    </w:p>
    <w:p>
      <w:pPr>
        <w:pStyle w:val="2"/>
        <w:spacing w:before="246" w:line="191" w:lineRule="auto"/>
        <w:ind w:left="2477" w:right="341" w:hanging="2373"/>
        <w:outlineLvl w:val="1"/>
      </w:pPr>
      <w:bookmarkStart w:id="173" w:name="bookmark110"/>
      <w:bookmarkEnd w:id="173"/>
      <w:bookmarkStart w:id="174" w:name="bookmark111"/>
      <w:bookmarkEnd w:id="174"/>
      <w:r>
        <w:rPr>
          <w:spacing w:val="10"/>
        </w:rPr>
        <w:t>第十一章   市政基础设施项目工程总承包项目清单及计</w:t>
      </w:r>
      <w:r>
        <w:rPr>
          <w:spacing w:val="9"/>
        </w:rPr>
        <w:t>算规则</w:t>
      </w:r>
      <w:bookmarkStart w:id="175" w:name="bookmark110"/>
      <w:bookmarkEnd w:id="175"/>
      <w:r>
        <w:rPr>
          <w:spacing w:val="-4"/>
        </w:rPr>
        <w:t>（ 市政部分 ）有关问题说明</w:t>
      </w:r>
    </w:p>
    <w:p>
      <w:pPr>
        <w:spacing w:before="252" w:line="312" w:lineRule="auto"/>
        <w:ind w:right="2" w:firstLine="438"/>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35"/>
          <w:sz w:val="20"/>
          <w:szCs w:val="20"/>
        </w:rPr>
        <w:t xml:space="preserve"> </w:t>
      </w:r>
      <w:r>
        <w:rPr>
          <w:rFonts w:ascii="宋体" w:hAnsi="宋体" w:eastAsia="宋体" w:cs="宋体"/>
          <w:spacing w:val="6"/>
          <w:sz w:val="20"/>
          <w:szCs w:val="20"/>
        </w:rPr>
        <w:t>2023</w:t>
      </w:r>
      <w:r>
        <w:rPr>
          <w:rFonts w:ascii="宋体" w:hAnsi="宋体" w:eastAsia="宋体" w:cs="宋体"/>
          <w:spacing w:val="-38"/>
          <w:sz w:val="20"/>
          <w:szCs w:val="20"/>
        </w:rPr>
        <w:t xml:space="preserve"> </w:t>
      </w:r>
      <w:r>
        <w:rPr>
          <w:rFonts w:ascii="宋体" w:hAnsi="宋体" w:eastAsia="宋体" w:cs="宋体"/>
          <w:spacing w:val="6"/>
          <w:sz w:val="20"/>
          <w:szCs w:val="20"/>
        </w:rPr>
        <w:t>年</w:t>
      </w:r>
      <w:r>
        <w:rPr>
          <w:rFonts w:ascii="宋体" w:hAnsi="宋体" w:eastAsia="宋体" w:cs="宋体"/>
          <w:spacing w:val="-37"/>
          <w:sz w:val="20"/>
          <w:szCs w:val="20"/>
        </w:rPr>
        <w:t xml:space="preserve"> </w:t>
      </w:r>
      <w:r>
        <w:rPr>
          <w:rFonts w:ascii="宋体" w:hAnsi="宋体" w:eastAsia="宋体" w:cs="宋体"/>
          <w:spacing w:val="6"/>
          <w:sz w:val="20"/>
          <w:szCs w:val="20"/>
        </w:rPr>
        <w:t>8</w:t>
      </w:r>
      <w:r>
        <w:rPr>
          <w:rFonts w:ascii="宋体" w:hAnsi="宋体" w:eastAsia="宋体" w:cs="宋体"/>
          <w:spacing w:val="-41"/>
          <w:sz w:val="20"/>
          <w:szCs w:val="20"/>
        </w:rPr>
        <w:t xml:space="preserve"> </w:t>
      </w:r>
      <w:r>
        <w:rPr>
          <w:rFonts w:ascii="宋体" w:hAnsi="宋体" w:eastAsia="宋体" w:cs="宋体"/>
          <w:spacing w:val="6"/>
          <w:sz w:val="20"/>
          <w:szCs w:val="20"/>
        </w:rPr>
        <w:t>月24 日山东省住房和城乡建设厅发布《关于发布&lt;山东省房屋建筑和市政基础设施</w:t>
      </w:r>
      <w:r>
        <w:rPr>
          <w:rFonts w:ascii="宋体" w:hAnsi="宋体" w:eastAsia="宋体" w:cs="宋体"/>
          <w:spacing w:val="8"/>
          <w:sz w:val="20"/>
          <w:szCs w:val="20"/>
        </w:rPr>
        <w:t>项目工程总承包计价规则&gt;的通知》（鲁建标字〔2023〕14</w:t>
      </w:r>
      <w:r>
        <w:rPr>
          <w:rFonts w:ascii="宋体" w:hAnsi="宋体" w:eastAsia="宋体" w:cs="宋体"/>
          <w:spacing w:val="-41"/>
          <w:sz w:val="20"/>
          <w:szCs w:val="20"/>
        </w:rPr>
        <w:t xml:space="preserve"> </w:t>
      </w:r>
      <w:r>
        <w:rPr>
          <w:rFonts w:ascii="宋体" w:hAnsi="宋体" w:eastAsia="宋体" w:cs="宋体"/>
          <w:spacing w:val="8"/>
          <w:sz w:val="20"/>
          <w:szCs w:val="20"/>
        </w:rPr>
        <w:t>号）。</w:t>
      </w:r>
    </w:p>
    <w:p>
      <w:pPr>
        <w:spacing w:before="123" w:line="277" w:lineRule="exact"/>
        <w:jc w:val="right"/>
        <w:rPr>
          <w:rFonts w:ascii="宋体" w:hAnsi="宋体" w:eastAsia="宋体" w:cs="宋体"/>
          <w:sz w:val="20"/>
          <w:szCs w:val="20"/>
        </w:rPr>
      </w:pPr>
      <w:r>
        <w:rPr>
          <w:rFonts w:ascii="宋体" w:hAnsi="宋体" w:eastAsia="宋体" w:cs="宋体"/>
          <w:spacing w:val="8"/>
          <w:position w:val="1"/>
          <w:sz w:val="20"/>
          <w:szCs w:val="20"/>
        </w:rPr>
        <w:t>2. 本规则所称工程总承包，是指承包人按照与发包人签订的合同，对工程设计、采购、施工或</w:t>
      </w:r>
    </w:p>
    <w:p>
      <w:pPr>
        <w:spacing w:line="277" w:lineRule="exact"/>
        <w:rPr>
          <w:rFonts w:ascii="宋体" w:hAnsi="宋体" w:eastAsia="宋体" w:cs="宋体"/>
          <w:sz w:val="20"/>
          <w:szCs w:val="20"/>
        </w:rPr>
        <w:sectPr>
          <w:footerReference r:id="rId277" w:type="default"/>
          <w:pgSz w:w="11906" w:h="16839"/>
          <w:pgMar w:top="400" w:right="1417" w:bottom="1212" w:left="1419"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4" w:right="83" w:hanging="1"/>
        <w:rPr>
          <w:rFonts w:ascii="宋体" w:hAnsi="宋体" w:eastAsia="宋体" w:cs="宋体"/>
          <w:sz w:val="20"/>
          <w:szCs w:val="20"/>
        </w:rPr>
      </w:pPr>
      <w:bookmarkStart w:id="176" w:name="bookmark191"/>
      <w:bookmarkEnd w:id="176"/>
      <w:r>
        <w:rPr>
          <w:rFonts w:ascii="宋体" w:hAnsi="宋体" w:eastAsia="宋体" w:cs="宋体"/>
          <w:spacing w:val="11"/>
          <w:sz w:val="20"/>
          <w:szCs w:val="20"/>
        </w:rPr>
        <w:t>者设计、施工等阶段实行总承包，并对工程的质量、安全、工期和造价等</w:t>
      </w:r>
      <w:r>
        <w:rPr>
          <w:rFonts w:ascii="宋体" w:hAnsi="宋体" w:eastAsia="宋体" w:cs="宋体"/>
          <w:spacing w:val="10"/>
          <w:sz w:val="20"/>
          <w:szCs w:val="20"/>
        </w:rPr>
        <w:t>全面负责的工程建设组织</w:t>
      </w:r>
      <w:r>
        <w:rPr>
          <w:rFonts w:ascii="宋体" w:hAnsi="宋体" w:eastAsia="宋体" w:cs="宋体"/>
          <w:spacing w:val="6"/>
          <w:sz w:val="20"/>
          <w:szCs w:val="20"/>
        </w:rPr>
        <w:t>实施方式。</w:t>
      </w:r>
    </w:p>
    <w:p>
      <w:pPr>
        <w:spacing w:before="1" w:line="295" w:lineRule="auto"/>
        <w:ind w:left="6" w:right="80" w:firstLine="420"/>
        <w:rPr>
          <w:rFonts w:ascii="宋体" w:hAnsi="宋体" w:eastAsia="宋体" w:cs="宋体"/>
          <w:sz w:val="20"/>
          <w:szCs w:val="20"/>
        </w:rPr>
      </w:pPr>
      <w:r>
        <w:rPr>
          <w:rFonts w:ascii="宋体" w:hAnsi="宋体" w:eastAsia="宋体" w:cs="宋体"/>
          <w:spacing w:val="13"/>
          <w:sz w:val="20"/>
          <w:szCs w:val="20"/>
        </w:rPr>
        <w:t>3. 本规则适用于山东省行政区域内房屋建筑和市政基础设施项目采用工程总承包模</w:t>
      </w:r>
      <w:r>
        <w:rPr>
          <w:rFonts w:ascii="宋体" w:hAnsi="宋体" w:eastAsia="宋体" w:cs="宋体"/>
          <w:spacing w:val="12"/>
          <w:sz w:val="20"/>
          <w:szCs w:val="20"/>
        </w:rPr>
        <w:t>式的计价</w:t>
      </w:r>
      <w:r>
        <w:rPr>
          <w:rFonts w:ascii="宋体" w:hAnsi="宋体" w:eastAsia="宋体" w:cs="宋体"/>
          <w:spacing w:val="2"/>
          <w:sz w:val="20"/>
          <w:szCs w:val="20"/>
        </w:rPr>
        <w:t>活动。</w:t>
      </w:r>
    </w:p>
    <w:p>
      <w:pPr>
        <w:spacing w:before="159" w:line="297" w:lineRule="auto"/>
        <w:ind w:left="3" w:right="83" w:firstLine="416"/>
        <w:rPr>
          <w:rFonts w:ascii="宋体" w:hAnsi="宋体" w:eastAsia="宋体" w:cs="宋体"/>
          <w:sz w:val="20"/>
          <w:szCs w:val="20"/>
        </w:rPr>
      </w:pPr>
      <w:r>
        <w:rPr>
          <w:rFonts w:ascii="宋体" w:hAnsi="宋体" w:eastAsia="宋体" w:cs="宋体"/>
          <w:spacing w:val="8"/>
          <w:sz w:val="20"/>
          <w:szCs w:val="20"/>
        </w:rPr>
        <w:t>4. 房屋建筑和市政基础设施项目工程总承包一般应采用总价</w:t>
      </w:r>
      <w:r>
        <w:rPr>
          <w:rFonts w:ascii="宋体" w:hAnsi="宋体" w:eastAsia="宋体" w:cs="宋体"/>
          <w:spacing w:val="7"/>
          <w:sz w:val="20"/>
          <w:szCs w:val="20"/>
        </w:rPr>
        <w:t>合同，除根据本规则第</w:t>
      </w:r>
      <w:r>
        <w:rPr>
          <w:rFonts w:ascii="宋体" w:hAnsi="宋体" w:eastAsia="宋体" w:cs="宋体"/>
          <w:spacing w:val="-41"/>
          <w:sz w:val="20"/>
          <w:szCs w:val="20"/>
        </w:rPr>
        <w:t xml:space="preserve"> </w:t>
      </w:r>
      <w:r>
        <w:rPr>
          <w:rFonts w:ascii="宋体" w:hAnsi="宋体" w:eastAsia="宋体" w:cs="宋体"/>
          <w:spacing w:val="7"/>
          <w:sz w:val="20"/>
          <w:szCs w:val="20"/>
        </w:rPr>
        <w:t>7</w:t>
      </w:r>
      <w:r>
        <w:rPr>
          <w:rFonts w:ascii="宋体" w:hAnsi="宋体" w:eastAsia="宋体" w:cs="宋体"/>
          <w:spacing w:val="-42"/>
          <w:sz w:val="20"/>
          <w:szCs w:val="20"/>
        </w:rPr>
        <w:t xml:space="preserve"> </w:t>
      </w:r>
      <w:r>
        <w:rPr>
          <w:rFonts w:ascii="宋体" w:hAnsi="宋体" w:eastAsia="宋体" w:cs="宋体"/>
          <w:spacing w:val="7"/>
          <w:sz w:val="20"/>
          <w:szCs w:val="20"/>
        </w:rPr>
        <w:t>章合同价</w:t>
      </w:r>
      <w:r>
        <w:rPr>
          <w:rFonts w:ascii="宋体" w:hAnsi="宋体" w:eastAsia="宋体" w:cs="宋体"/>
          <w:spacing w:val="9"/>
          <w:sz w:val="20"/>
          <w:szCs w:val="20"/>
        </w:rPr>
        <w:t>款的调整以及合同相关约定进行调整外，合同价款不予调整。</w:t>
      </w:r>
    </w:p>
    <w:p>
      <w:pPr>
        <w:spacing w:before="155" w:line="276" w:lineRule="exact"/>
        <w:ind w:left="423"/>
        <w:rPr>
          <w:rFonts w:ascii="宋体" w:hAnsi="宋体" w:eastAsia="宋体" w:cs="宋体"/>
          <w:sz w:val="20"/>
          <w:szCs w:val="20"/>
        </w:rPr>
      </w:pPr>
      <w:r>
        <w:rPr>
          <w:rFonts w:ascii="宋体" w:hAnsi="宋体" w:eastAsia="宋体" w:cs="宋体"/>
          <w:spacing w:val="7"/>
          <w:position w:val="1"/>
          <w:sz w:val="20"/>
          <w:szCs w:val="20"/>
        </w:rPr>
        <w:t>5. 使用《附录二市政基础设施项目工程总承包项目清单及计算规则》</w:t>
      </w:r>
      <w:r>
        <w:rPr>
          <w:rFonts w:ascii="宋体" w:hAnsi="宋体" w:eastAsia="宋体" w:cs="宋体"/>
          <w:spacing w:val="-53"/>
          <w:position w:val="1"/>
          <w:sz w:val="20"/>
          <w:szCs w:val="20"/>
        </w:rPr>
        <w:t xml:space="preserve"> </w:t>
      </w:r>
      <w:r>
        <w:rPr>
          <w:rFonts w:ascii="宋体" w:hAnsi="宋体" w:eastAsia="宋体" w:cs="宋体"/>
          <w:spacing w:val="7"/>
          <w:position w:val="1"/>
          <w:sz w:val="20"/>
          <w:szCs w:val="20"/>
        </w:rPr>
        <w:t>，应按照以下</w:t>
      </w:r>
      <w:r>
        <w:rPr>
          <w:rFonts w:ascii="宋体" w:hAnsi="宋体" w:eastAsia="宋体" w:cs="宋体"/>
          <w:spacing w:val="6"/>
          <w:position w:val="1"/>
          <w:sz w:val="20"/>
          <w:szCs w:val="20"/>
        </w:rPr>
        <w:t>规定执行：</w:t>
      </w:r>
    </w:p>
    <w:p>
      <w:pPr>
        <w:spacing w:before="123" w:line="341" w:lineRule="auto"/>
        <w:ind w:right="83" w:firstLine="412"/>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宋体" w:hAnsi="宋体" w:eastAsia="宋体" w:cs="宋体"/>
          <w:spacing w:val="7"/>
          <w:sz w:val="20"/>
          <w:szCs w:val="20"/>
        </w:rPr>
        <w:t>1）本附录中各专业工程土（石）方的开挖计算规则按设计图示尺寸，包括工作面和放坡宽度</w:t>
      </w:r>
      <w:r>
        <w:rPr>
          <w:rFonts w:ascii="宋体" w:hAnsi="宋体" w:eastAsia="宋体" w:cs="宋体"/>
          <w:spacing w:val="11"/>
          <w:sz w:val="20"/>
          <w:szCs w:val="20"/>
        </w:rPr>
        <w:t>以体积计算。如初设图纸能明确具体开挖尺寸的可按设计图示尺寸以体积计算</w:t>
      </w:r>
      <w:r>
        <w:rPr>
          <w:rFonts w:ascii="宋体" w:hAnsi="宋体" w:eastAsia="宋体" w:cs="宋体"/>
          <w:spacing w:val="10"/>
          <w:sz w:val="20"/>
          <w:szCs w:val="20"/>
        </w:rPr>
        <w:t>；若初设图纸未明确</w:t>
      </w:r>
      <w:r>
        <w:rPr>
          <w:rFonts w:ascii="宋体" w:hAnsi="宋体" w:eastAsia="宋体" w:cs="宋体"/>
          <w:spacing w:val="11"/>
          <w:sz w:val="20"/>
          <w:szCs w:val="20"/>
        </w:rPr>
        <w:t>时，可参照国家计算规范的相关规定增加工作面及放坡工程量计算。石方工程</w:t>
      </w:r>
      <w:r>
        <w:rPr>
          <w:rFonts w:ascii="宋体" w:hAnsi="宋体" w:eastAsia="宋体" w:cs="宋体"/>
          <w:spacing w:val="10"/>
          <w:sz w:val="20"/>
          <w:szCs w:val="20"/>
        </w:rPr>
        <w:t>量按设计图示尺寸加允许超挖量计算，开挖坡面每侧允许超挖量：极软岩、软岩</w:t>
      </w:r>
      <w:r>
        <w:rPr>
          <w:rFonts w:ascii="宋体" w:hAnsi="宋体" w:eastAsia="宋体" w:cs="宋体"/>
          <w:spacing w:val="-26"/>
          <w:sz w:val="20"/>
          <w:szCs w:val="20"/>
        </w:rPr>
        <w:t xml:space="preserve"> </w:t>
      </w:r>
      <w:r>
        <w:rPr>
          <w:rFonts w:ascii="宋体" w:hAnsi="宋体" w:eastAsia="宋体" w:cs="宋体"/>
          <w:spacing w:val="10"/>
          <w:sz w:val="20"/>
          <w:szCs w:val="20"/>
        </w:rPr>
        <w:t>20</w:t>
      </w:r>
      <w:r>
        <w:rPr>
          <w:rFonts w:ascii="宋体" w:hAnsi="宋体" w:eastAsia="宋体" w:cs="宋体"/>
          <w:sz w:val="20"/>
          <w:szCs w:val="20"/>
        </w:rPr>
        <w:t>cm</w:t>
      </w:r>
      <w:r>
        <w:rPr>
          <w:rFonts w:ascii="宋体" w:hAnsi="宋体" w:eastAsia="宋体" w:cs="宋体"/>
          <w:spacing w:val="10"/>
          <w:sz w:val="20"/>
          <w:szCs w:val="20"/>
        </w:rPr>
        <w:t>，较软岩、硬质岩</w:t>
      </w:r>
      <w:r>
        <w:rPr>
          <w:rFonts w:ascii="宋体" w:hAnsi="宋体" w:eastAsia="宋体" w:cs="宋体"/>
          <w:spacing w:val="-22"/>
          <w:sz w:val="20"/>
          <w:szCs w:val="20"/>
        </w:rPr>
        <w:t xml:space="preserve"> </w:t>
      </w:r>
      <w:r>
        <w:rPr>
          <w:rFonts w:ascii="宋体" w:hAnsi="宋体" w:eastAsia="宋体" w:cs="宋体"/>
          <w:spacing w:val="10"/>
          <w:sz w:val="20"/>
          <w:szCs w:val="20"/>
        </w:rPr>
        <w:t>15</w:t>
      </w:r>
      <w:r>
        <w:rPr>
          <w:rFonts w:ascii="宋体" w:hAnsi="宋体" w:eastAsia="宋体" w:cs="宋体"/>
          <w:sz w:val="20"/>
          <w:szCs w:val="20"/>
        </w:rPr>
        <w:t>cm</w:t>
      </w:r>
      <w:r>
        <w:rPr>
          <w:rFonts w:ascii="宋体" w:hAnsi="宋体" w:eastAsia="宋体" w:cs="宋体"/>
          <w:spacing w:val="10"/>
          <w:sz w:val="20"/>
          <w:szCs w:val="20"/>
        </w:rPr>
        <w:t>。</w:t>
      </w:r>
    </w:p>
    <w:p>
      <w:pPr>
        <w:spacing w:before="124" w:line="321" w:lineRule="auto"/>
        <w:ind w:firstLine="412"/>
        <w:rPr>
          <w:rFonts w:ascii="宋体" w:hAnsi="宋体" w:eastAsia="宋体" w:cs="宋体"/>
          <w:sz w:val="20"/>
          <w:szCs w:val="20"/>
        </w:rPr>
      </w:pPr>
      <w:r>
        <w:rPr>
          <w:rFonts w:ascii="宋体" w:hAnsi="宋体" w:eastAsia="宋体" w:cs="宋体"/>
          <w:spacing w:val="4"/>
          <w:sz w:val="20"/>
          <w:szCs w:val="20"/>
        </w:rPr>
        <w:t>（2）土（石）方开挖应按开挖前天然密实体积（</w:t>
      </w:r>
      <w:r>
        <w:rPr>
          <w:rFonts w:ascii="宋体" w:hAnsi="宋体" w:eastAsia="宋体" w:cs="宋体"/>
          <w:spacing w:val="-25"/>
          <w:sz w:val="20"/>
          <w:szCs w:val="20"/>
        </w:rPr>
        <w:t xml:space="preserve"> </w:t>
      </w:r>
      <w:r>
        <w:rPr>
          <w:rFonts w:ascii="宋体" w:hAnsi="宋体" w:eastAsia="宋体" w:cs="宋体"/>
          <w:spacing w:val="4"/>
          <w:sz w:val="20"/>
          <w:szCs w:val="20"/>
        </w:rPr>
        <w:t>自然方）计算。回填按</w:t>
      </w:r>
      <w:r>
        <w:rPr>
          <w:rFonts w:ascii="宋体" w:hAnsi="宋体" w:eastAsia="宋体" w:cs="宋体"/>
          <w:spacing w:val="3"/>
          <w:sz w:val="20"/>
          <w:szCs w:val="20"/>
        </w:rPr>
        <w:t>挖方清单工程量减垫层、</w:t>
      </w:r>
      <w:r>
        <w:rPr>
          <w:rFonts w:ascii="宋体" w:hAnsi="宋体" w:eastAsia="宋体" w:cs="宋体"/>
          <w:spacing w:val="11"/>
          <w:sz w:val="20"/>
          <w:szCs w:val="20"/>
        </w:rPr>
        <w:t>基础、构筑物等埋入体积计算。余方弃置按挖方工程量减利用回填方体积计算</w:t>
      </w:r>
      <w:r>
        <w:rPr>
          <w:rFonts w:ascii="宋体" w:hAnsi="宋体" w:eastAsia="宋体" w:cs="宋体"/>
          <w:spacing w:val="10"/>
          <w:sz w:val="20"/>
          <w:szCs w:val="20"/>
        </w:rPr>
        <w:t>。不同状态的土、石</w:t>
      </w:r>
      <w:r>
        <w:rPr>
          <w:rFonts w:ascii="宋体" w:hAnsi="宋体" w:eastAsia="宋体" w:cs="宋体"/>
          <w:spacing w:val="9"/>
          <w:sz w:val="20"/>
          <w:szCs w:val="20"/>
        </w:rPr>
        <w:t>方体积，按土、石方体积换算系数表换算。</w:t>
      </w:r>
    </w:p>
    <w:p>
      <w:pPr>
        <w:spacing w:before="158" w:line="333" w:lineRule="auto"/>
        <w:ind w:left="2" w:right="80" w:firstLine="410"/>
        <w:rPr>
          <w:rFonts w:ascii="宋体" w:hAnsi="宋体" w:eastAsia="宋体" w:cs="宋体"/>
          <w:sz w:val="20"/>
          <w:szCs w:val="20"/>
        </w:rPr>
      </w:pPr>
      <w:r>
        <w:rPr>
          <w:rFonts w:ascii="宋体" w:hAnsi="宋体" w:eastAsia="宋体" w:cs="宋体"/>
          <w:spacing w:val="9"/>
          <w:sz w:val="20"/>
          <w:szCs w:val="20"/>
        </w:rPr>
        <w:t>（3）竖向土（石）方开挖及回填深度：道</w:t>
      </w:r>
      <w:r>
        <w:rPr>
          <w:rFonts w:ascii="宋体" w:hAnsi="宋体" w:eastAsia="宋体" w:cs="宋体"/>
          <w:spacing w:val="8"/>
          <w:sz w:val="20"/>
          <w:szCs w:val="20"/>
        </w:rPr>
        <w:t>路工程为从原始地貌标高算至道路结构层底标高，桥</w:t>
      </w:r>
      <w:r>
        <w:rPr>
          <w:rFonts w:ascii="宋体" w:hAnsi="宋体" w:eastAsia="宋体" w:cs="宋体"/>
          <w:spacing w:val="11"/>
          <w:sz w:val="20"/>
          <w:szCs w:val="20"/>
        </w:rPr>
        <w:t>梁工程算至桥面、地面或河床设计标高，管网工程、综合管廊工程、水处理</w:t>
      </w:r>
      <w:r>
        <w:rPr>
          <w:rFonts w:ascii="宋体" w:hAnsi="宋体" w:eastAsia="宋体" w:cs="宋体"/>
          <w:spacing w:val="10"/>
          <w:sz w:val="20"/>
          <w:szCs w:val="20"/>
        </w:rPr>
        <w:t>工程均算至设计回填标</w:t>
      </w:r>
      <w:r>
        <w:rPr>
          <w:rFonts w:ascii="宋体" w:hAnsi="宋体" w:eastAsia="宋体" w:cs="宋体"/>
          <w:spacing w:val="11"/>
          <w:sz w:val="20"/>
          <w:szCs w:val="20"/>
        </w:rPr>
        <w:t>高，园林绿化工程算至结构层（种植土）底标高。民用燃气工程中燃气管道</w:t>
      </w:r>
      <w:r>
        <w:rPr>
          <w:rFonts w:ascii="宋体" w:hAnsi="宋体" w:eastAsia="宋体" w:cs="宋体"/>
          <w:spacing w:val="10"/>
          <w:sz w:val="20"/>
          <w:szCs w:val="20"/>
        </w:rPr>
        <w:t>支管为立干管至灶前阀</w:t>
      </w:r>
      <w:r>
        <w:rPr>
          <w:rFonts w:ascii="宋体" w:hAnsi="宋体" w:eastAsia="宋体" w:cs="宋体"/>
          <w:spacing w:val="7"/>
          <w:sz w:val="20"/>
          <w:szCs w:val="20"/>
        </w:rPr>
        <w:t>门的燃气管道。</w:t>
      </w:r>
    </w:p>
    <w:p>
      <w:pPr>
        <w:spacing w:before="154" w:line="321" w:lineRule="auto"/>
        <w:ind w:right="83" w:firstLine="412"/>
        <w:rPr>
          <w:rFonts w:ascii="宋体" w:hAnsi="宋体" w:eastAsia="宋体" w:cs="宋体"/>
          <w:sz w:val="20"/>
          <w:szCs w:val="20"/>
        </w:rPr>
      </w:pPr>
      <w:r>
        <w:rPr>
          <w:rFonts w:ascii="宋体" w:hAnsi="宋体" w:eastAsia="宋体" w:cs="宋体"/>
          <w:spacing w:val="8"/>
          <w:sz w:val="20"/>
          <w:szCs w:val="20"/>
        </w:rPr>
        <w:t>（4）道路工程按设计道路路面面积计算，包括按照断面设计要求内的机动车道、非机动车道及</w:t>
      </w:r>
      <w:r>
        <w:rPr>
          <w:rFonts w:ascii="宋体" w:hAnsi="宋体" w:eastAsia="宋体" w:cs="宋体"/>
          <w:spacing w:val="11"/>
          <w:sz w:val="20"/>
          <w:szCs w:val="20"/>
        </w:rPr>
        <w:t>人行道面层面积之和（不含路沿石所占面积</w:t>
      </w:r>
      <w:r>
        <w:rPr>
          <w:rFonts w:ascii="宋体" w:hAnsi="宋体" w:eastAsia="宋体" w:cs="宋体"/>
          <w:spacing w:val="-10"/>
          <w:sz w:val="20"/>
          <w:szCs w:val="20"/>
        </w:rPr>
        <w:t>）</w:t>
      </w:r>
      <w:r>
        <w:rPr>
          <w:rFonts w:ascii="宋体" w:hAnsi="宋体" w:eastAsia="宋体" w:cs="宋体"/>
          <w:spacing w:val="-54"/>
          <w:sz w:val="20"/>
          <w:szCs w:val="20"/>
        </w:rPr>
        <w:t xml:space="preserve"> </w:t>
      </w:r>
      <w:r>
        <w:rPr>
          <w:rFonts w:ascii="宋体" w:hAnsi="宋体" w:eastAsia="宋体" w:cs="宋体"/>
          <w:spacing w:val="-10"/>
          <w:sz w:val="20"/>
          <w:szCs w:val="20"/>
        </w:rPr>
        <w:t>，</w:t>
      </w:r>
      <w:r>
        <w:rPr>
          <w:rFonts w:ascii="宋体" w:hAnsi="宋体" w:eastAsia="宋体" w:cs="宋体"/>
          <w:spacing w:val="11"/>
          <w:sz w:val="20"/>
          <w:szCs w:val="20"/>
        </w:rPr>
        <w:t>不扣除各种井、侧平</w:t>
      </w:r>
      <w:r>
        <w:rPr>
          <w:rFonts w:ascii="宋体" w:hAnsi="宋体" w:eastAsia="宋体" w:cs="宋体"/>
          <w:spacing w:val="10"/>
          <w:sz w:val="20"/>
          <w:szCs w:val="20"/>
        </w:rPr>
        <w:t>石、树池所占面积。道路等级</w:t>
      </w:r>
      <w:r>
        <w:rPr>
          <w:rFonts w:ascii="宋体" w:hAnsi="宋体" w:eastAsia="宋体" w:cs="宋体"/>
          <w:spacing w:val="9"/>
          <w:sz w:val="20"/>
          <w:szCs w:val="20"/>
        </w:rPr>
        <w:t>按快速路、主干道、次干道、支路等进行划分。</w:t>
      </w:r>
    </w:p>
    <w:p>
      <w:pPr>
        <w:spacing w:before="157" w:line="333" w:lineRule="auto"/>
        <w:ind w:left="1" w:right="80" w:firstLine="411"/>
        <w:rPr>
          <w:rFonts w:ascii="宋体" w:hAnsi="宋体" w:eastAsia="宋体" w:cs="宋体"/>
          <w:sz w:val="20"/>
          <w:szCs w:val="20"/>
        </w:rPr>
      </w:pPr>
      <w:r>
        <w:rPr>
          <w:rFonts w:ascii="宋体" w:hAnsi="宋体" w:eastAsia="宋体" w:cs="宋体"/>
          <w:spacing w:val="9"/>
          <w:sz w:val="20"/>
          <w:szCs w:val="20"/>
        </w:rPr>
        <w:t>（5）桥梁工程按设计桥梁水平投影面积计</w:t>
      </w:r>
      <w:r>
        <w:rPr>
          <w:rFonts w:ascii="宋体" w:hAnsi="宋体" w:eastAsia="宋体" w:cs="宋体"/>
          <w:spacing w:val="8"/>
          <w:sz w:val="20"/>
          <w:szCs w:val="20"/>
        </w:rPr>
        <w:t>算，桥长：梁式桥为两端桥台伸缩缝间长度，拱式桥</w:t>
      </w:r>
      <w:r>
        <w:rPr>
          <w:rFonts w:ascii="宋体" w:hAnsi="宋体" w:eastAsia="宋体" w:cs="宋体"/>
          <w:spacing w:val="11"/>
          <w:sz w:val="20"/>
          <w:szCs w:val="20"/>
        </w:rPr>
        <w:t>为两端桥台起拱线间长度；宽度为桥面结构外缘间距离，包括车行道、分隔带</w:t>
      </w:r>
      <w:r>
        <w:rPr>
          <w:rFonts w:ascii="宋体" w:hAnsi="宋体" w:eastAsia="宋体" w:cs="宋体"/>
          <w:spacing w:val="10"/>
          <w:sz w:val="20"/>
          <w:szCs w:val="20"/>
        </w:rPr>
        <w:t>、人行道、护栏等全</w:t>
      </w:r>
      <w:r>
        <w:rPr>
          <w:rFonts w:ascii="宋体" w:hAnsi="宋体" w:eastAsia="宋体" w:cs="宋体"/>
          <w:spacing w:val="11"/>
          <w:sz w:val="20"/>
          <w:szCs w:val="20"/>
        </w:rPr>
        <w:t>部宽度。通道、箱涵工程按设计结构外围水平投影面积计算，设计结构外围不</w:t>
      </w:r>
      <w:r>
        <w:rPr>
          <w:rFonts w:ascii="宋体" w:hAnsi="宋体" w:eastAsia="宋体" w:cs="宋体"/>
          <w:spacing w:val="10"/>
          <w:sz w:val="20"/>
          <w:szCs w:val="20"/>
        </w:rPr>
        <w:t>包括防水层、保护层</w:t>
      </w:r>
      <w:r>
        <w:rPr>
          <w:rFonts w:ascii="宋体" w:hAnsi="宋体" w:eastAsia="宋体" w:cs="宋体"/>
          <w:spacing w:val="6"/>
          <w:sz w:val="20"/>
          <w:szCs w:val="20"/>
        </w:rPr>
        <w:t>等的厚度。</w:t>
      </w:r>
    </w:p>
    <w:p>
      <w:pPr>
        <w:spacing w:before="157" w:line="313" w:lineRule="auto"/>
        <w:ind w:left="2" w:right="80" w:firstLine="410"/>
        <w:rPr>
          <w:rFonts w:ascii="宋体" w:hAnsi="宋体" w:eastAsia="宋体" w:cs="宋体"/>
          <w:sz w:val="20"/>
          <w:szCs w:val="20"/>
        </w:rPr>
      </w:pPr>
      <w:r>
        <w:rPr>
          <w:rFonts w:ascii="宋体" w:hAnsi="宋体" w:eastAsia="宋体" w:cs="宋体"/>
          <w:spacing w:val="9"/>
          <w:sz w:val="20"/>
          <w:szCs w:val="20"/>
        </w:rPr>
        <w:t>（6）隧道工程按设计隧道中心线长度计算</w:t>
      </w:r>
      <w:r>
        <w:rPr>
          <w:rFonts w:ascii="宋体" w:hAnsi="宋体" w:eastAsia="宋体" w:cs="宋体"/>
          <w:spacing w:val="8"/>
          <w:sz w:val="20"/>
          <w:szCs w:val="20"/>
        </w:rPr>
        <w:t>。设计隧道中心线长度是指隧道进、出口洞门端面与路线轴线交点间的距离。</w:t>
      </w:r>
    </w:p>
    <w:p>
      <w:pPr>
        <w:spacing w:before="121" w:line="298" w:lineRule="auto"/>
        <w:ind w:right="3" w:firstLine="413"/>
        <w:rPr>
          <w:rFonts w:ascii="宋体" w:hAnsi="宋体" w:eastAsia="宋体" w:cs="宋体"/>
          <w:sz w:val="20"/>
          <w:szCs w:val="20"/>
        </w:rPr>
      </w:pPr>
      <w:r>
        <w:rPr>
          <w:rFonts w:ascii="宋体" w:hAnsi="宋体" w:eastAsia="宋体" w:cs="宋体"/>
          <w:spacing w:val="5"/>
          <w:sz w:val="20"/>
          <w:szCs w:val="20"/>
        </w:rPr>
        <w:t>（7）综合管廊的计算一是按设计管廊中心线长度计算；二是按设计管廊结构外围水平投影面积。</w:t>
      </w:r>
      <w:r>
        <w:rPr>
          <w:rFonts w:ascii="宋体" w:hAnsi="宋体" w:eastAsia="宋体" w:cs="宋体"/>
          <w:spacing w:val="10"/>
          <w:sz w:val="20"/>
          <w:szCs w:val="20"/>
        </w:rPr>
        <w:t>计算管廊结构外围水平投影面积按管廊侧墙结构外沿</w:t>
      </w:r>
      <w:r>
        <w:rPr>
          <w:rFonts w:ascii="宋体" w:hAnsi="宋体" w:eastAsia="宋体" w:cs="宋体"/>
          <w:spacing w:val="9"/>
          <w:sz w:val="20"/>
          <w:szCs w:val="20"/>
        </w:rPr>
        <w:t>计算，不含各类防水层、保护层等。</w:t>
      </w:r>
    </w:p>
    <w:p>
      <w:pPr>
        <w:spacing w:before="156" w:line="333" w:lineRule="auto"/>
        <w:ind w:left="1" w:right="80" w:firstLine="411"/>
        <w:rPr>
          <w:rFonts w:ascii="宋体" w:hAnsi="宋体" w:eastAsia="宋体" w:cs="宋体"/>
          <w:sz w:val="20"/>
          <w:szCs w:val="20"/>
        </w:rPr>
      </w:pPr>
      <w:r>
        <w:rPr>
          <w:rFonts w:ascii="宋体" w:hAnsi="宋体" w:eastAsia="宋体" w:cs="宋体"/>
          <w:spacing w:val="11"/>
          <w:sz w:val="20"/>
          <w:szCs w:val="20"/>
        </w:rPr>
        <w:t>（8）管网工程的计算是按设计管 网（管渠）中心线长度计算，不扣除附</w:t>
      </w:r>
      <w:r>
        <w:rPr>
          <w:rFonts w:ascii="宋体" w:hAnsi="宋体" w:eastAsia="宋体" w:cs="宋体"/>
          <w:spacing w:val="10"/>
          <w:sz w:val="20"/>
          <w:szCs w:val="20"/>
        </w:rPr>
        <w:t>属构筑物、管件、阀</w:t>
      </w:r>
      <w:r>
        <w:rPr>
          <w:rFonts w:ascii="宋体" w:hAnsi="宋体" w:eastAsia="宋体" w:cs="宋体"/>
          <w:spacing w:val="9"/>
          <w:sz w:val="20"/>
          <w:szCs w:val="20"/>
        </w:rPr>
        <w:t>门及其他附属设备所占长度。设计管网</w:t>
      </w:r>
      <w:r>
        <w:rPr>
          <w:rFonts w:ascii="宋体" w:hAnsi="宋体" w:eastAsia="宋体" w:cs="宋体"/>
          <w:spacing w:val="45"/>
          <w:sz w:val="20"/>
          <w:szCs w:val="20"/>
        </w:rPr>
        <w:t xml:space="preserve"> </w:t>
      </w:r>
      <w:r>
        <w:rPr>
          <w:rFonts w:ascii="宋体" w:hAnsi="宋体" w:eastAsia="宋体" w:cs="宋体"/>
          <w:spacing w:val="9"/>
          <w:sz w:val="20"/>
          <w:szCs w:val="20"/>
        </w:rPr>
        <w:t>中心线长度包括干管和支管长度</w:t>
      </w:r>
      <w:r>
        <w:rPr>
          <w:rFonts w:ascii="宋体" w:hAnsi="宋体" w:eastAsia="宋体" w:cs="宋体"/>
          <w:spacing w:val="43"/>
          <w:sz w:val="20"/>
          <w:szCs w:val="20"/>
        </w:rPr>
        <w:t xml:space="preserve"> </w:t>
      </w:r>
      <w:r>
        <w:rPr>
          <w:rFonts w:ascii="宋体" w:hAnsi="宋体" w:eastAsia="宋体" w:cs="宋体"/>
          <w:spacing w:val="9"/>
          <w:sz w:val="20"/>
          <w:szCs w:val="20"/>
        </w:rPr>
        <w:t>，支管长度从主管的管中</w:t>
      </w:r>
      <w:r>
        <w:rPr>
          <w:rFonts w:ascii="宋体" w:hAnsi="宋体" w:eastAsia="宋体" w:cs="宋体"/>
          <w:spacing w:val="8"/>
          <w:sz w:val="20"/>
          <w:szCs w:val="20"/>
        </w:rPr>
        <w:t>心计算至支管末端或垂直交接 的管中心处。本规则不包括管沟路面开挖和恢复的工作内容，路面开</w:t>
      </w:r>
      <w:r>
        <w:rPr>
          <w:rFonts w:ascii="宋体" w:hAnsi="宋体" w:eastAsia="宋体" w:cs="宋体"/>
          <w:spacing w:val="9"/>
          <w:sz w:val="20"/>
          <w:szCs w:val="20"/>
        </w:rPr>
        <w:t>挖及恢复应另执行本规则其他相应项目。</w:t>
      </w:r>
    </w:p>
    <w:p>
      <w:pPr>
        <w:spacing w:before="156" w:line="313" w:lineRule="auto"/>
        <w:ind w:left="1" w:right="80" w:firstLine="411"/>
        <w:rPr>
          <w:rFonts w:ascii="宋体" w:hAnsi="宋体" w:eastAsia="宋体" w:cs="宋体"/>
          <w:sz w:val="20"/>
          <w:szCs w:val="20"/>
        </w:rPr>
      </w:pPr>
      <w:r>
        <w:rPr>
          <w:rFonts w:ascii="宋体" w:hAnsi="宋体" w:eastAsia="宋体" w:cs="宋体"/>
          <w:spacing w:val="9"/>
          <w:sz w:val="20"/>
          <w:szCs w:val="20"/>
        </w:rPr>
        <w:t>（9）水处理工程按设计处理规模以“座”</w:t>
      </w:r>
      <w:r>
        <w:rPr>
          <w:rFonts w:ascii="宋体" w:hAnsi="宋体" w:eastAsia="宋体" w:cs="宋体"/>
          <w:spacing w:val="8"/>
          <w:sz w:val="20"/>
          <w:szCs w:val="20"/>
        </w:rPr>
        <w:t>计算。厂区管网工程包括室外雨水、污水、给水、电</w:t>
      </w:r>
      <w:r>
        <w:rPr>
          <w:rFonts w:ascii="宋体" w:hAnsi="宋体" w:eastAsia="宋体" w:cs="宋体"/>
          <w:spacing w:val="11"/>
          <w:sz w:val="20"/>
          <w:szCs w:val="20"/>
        </w:rPr>
        <w:t>力等非工艺管网和室外工艺管网，包含相应的各种管道（含实验、消毒、冲洗</w:t>
      </w:r>
      <w:r>
        <w:rPr>
          <w:rFonts w:ascii="宋体" w:hAnsi="宋体" w:eastAsia="宋体" w:cs="宋体"/>
          <w:spacing w:val="10"/>
          <w:sz w:val="20"/>
          <w:szCs w:val="20"/>
        </w:rPr>
        <w:t>、防腐绝热等）、阀</w:t>
      </w:r>
    </w:p>
    <w:p>
      <w:pPr>
        <w:spacing w:line="313" w:lineRule="auto"/>
        <w:rPr>
          <w:rFonts w:ascii="宋体" w:hAnsi="宋体" w:eastAsia="宋体" w:cs="宋体"/>
          <w:sz w:val="20"/>
          <w:szCs w:val="20"/>
        </w:rPr>
        <w:sectPr>
          <w:footerReference r:id="rId278" w:type="default"/>
          <w:pgSz w:w="11906" w:h="16839"/>
          <w:pgMar w:top="400" w:right="1337"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22"/>
        <w:rPr>
          <w:rFonts w:ascii="宋体" w:hAnsi="宋体" w:eastAsia="宋体" w:cs="宋体"/>
          <w:sz w:val="20"/>
          <w:szCs w:val="20"/>
        </w:rPr>
      </w:pPr>
      <w:r>
        <w:rPr>
          <w:rFonts w:ascii="宋体" w:hAnsi="宋体" w:eastAsia="宋体" w:cs="宋体"/>
          <w:spacing w:val="9"/>
          <w:position w:val="1"/>
          <w:sz w:val="20"/>
          <w:szCs w:val="20"/>
        </w:rPr>
        <w:t>门及管件、基础（支架）、检查井及土石方等，以及动力线缆、弱电线缆、路灯等工程内容。</w:t>
      </w:r>
    </w:p>
    <w:p>
      <w:pPr>
        <w:spacing w:before="122" w:line="297" w:lineRule="auto"/>
        <w:ind w:left="3" w:right="83" w:firstLine="410"/>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10）园林绿化工程按设计面积计算包括各种</w:t>
      </w:r>
      <w:r>
        <w:rPr>
          <w:rFonts w:ascii="宋体" w:hAnsi="宋体" w:eastAsia="宋体" w:cs="宋体"/>
          <w:spacing w:val="9"/>
          <w:sz w:val="20"/>
          <w:szCs w:val="20"/>
        </w:rPr>
        <w:t>类型的绿化及景观工程等全部工程内容。园林绿化工程设计面积是指设计绿化栽植面积及景观占地面积之和。</w:t>
      </w:r>
    </w:p>
    <w:p>
      <w:pPr>
        <w:spacing w:before="156" w:line="322" w:lineRule="auto"/>
        <w:ind w:left="3" w:firstLine="411"/>
        <w:rPr>
          <w:rFonts w:ascii="宋体" w:hAnsi="宋体" w:eastAsia="宋体" w:cs="宋体"/>
          <w:sz w:val="20"/>
          <w:szCs w:val="20"/>
        </w:rPr>
      </w:pPr>
      <w:r>
        <w:rPr>
          <w:rFonts w:ascii="宋体" w:hAnsi="宋体" w:eastAsia="宋体" w:cs="宋体"/>
          <w:spacing w:val="10"/>
          <w:sz w:val="20"/>
          <w:szCs w:val="20"/>
        </w:rPr>
        <w:t>（</w:t>
      </w:r>
      <w:r>
        <w:rPr>
          <w:rFonts w:ascii="宋体" w:hAnsi="宋体" w:eastAsia="宋体" w:cs="宋体"/>
          <w:spacing w:val="-47"/>
          <w:sz w:val="20"/>
          <w:szCs w:val="20"/>
        </w:rPr>
        <w:t xml:space="preserve"> </w:t>
      </w:r>
      <w:r>
        <w:rPr>
          <w:rFonts w:ascii="宋体" w:hAnsi="宋体" w:eastAsia="宋体" w:cs="宋体"/>
          <w:spacing w:val="10"/>
          <w:sz w:val="20"/>
          <w:szCs w:val="20"/>
        </w:rPr>
        <w:t>11）交通设施工程按设计道路中心线长度计</w:t>
      </w:r>
      <w:r>
        <w:rPr>
          <w:rFonts w:ascii="宋体" w:hAnsi="宋体" w:eastAsia="宋体" w:cs="宋体"/>
          <w:spacing w:val="9"/>
          <w:sz w:val="20"/>
          <w:szCs w:val="20"/>
        </w:rPr>
        <w:t>算包括交通安全设施、交通管理设施等全部工程</w:t>
      </w:r>
      <w:r>
        <w:rPr>
          <w:rFonts w:ascii="宋体" w:hAnsi="宋体" w:eastAsia="宋体" w:cs="宋体"/>
          <w:spacing w:val="8"/>
          <w:sz w:val="20"/>
          <w:szCs w:val="20"/>
        </w:rPr>
        <w:t>内容。交通安全设施包括交通标志、标线，护栏、防撞护栏，隔离栏等，交通管理设施包</w:t>
      </w:r>
      <w:r>
        <w:rPr>
          <w:rFonts w:ascii="宋体" w:hAnsi="宋体" w:eastAsia="宋体" w:cs="宋体"/>
          <w:spacing w:val="7"/>
          <w:sz w:val="20"/>
          <w:szCs w:val="20"/>
        </w:rPr>
        <w:t>括信号灯、</w:t>
      </w:r>
      <w:r>
        <w:rPr>
          <w:rFonts w:ascii="宋体" w:hAnsi="宋体" w:eastAsia="宋体" w:cs="宋体"/>
          <w:spacing w:val="9"/>
          <w:sz w:val="20"/>
          <w:szCs w:val="20"/>
        </w:rPr>
        <w:t>信号控制系统、监控系统、智能引导系统等智能化交通设施。</w:t>
      </w:r>
    </w:p>
    <w:p>
      <w:pPr>
        <w:spacing w:before="151" w:line="322" w:lineRule="auto"/>
        <w:ind w:left="4" w:right="43" w:firstLine="409"/>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12）照明和亮化工程。照明工程计算规则为：1. 按设计道路中心</w:t>
      </w:r>
      <w:r>
        <w:rPr>
          <w:rFonts w:ascii="宋体" w:hAnsi="宋体" w:eastAsia="宋体" w:cs="宋体"/>
          <w:spacing w:val="6"/>
          <w:sz w:val="20"/>
          <w:szCs w:val="20"/>
        </w:rPr>
        <w:t>线长度计算；2.按设计广场</w:t>
      </w:r>
      <w:r>
        <w:rPr>
          <w:rFonts w:ascii="宋体" w:hAnsi="宋体" w:eastAsia="宋体" w:cs="宋体"/>
          <w:spacing w:val="9"/>
          <w:sz w:val="20"/>
          <w:szCs w:val="20"/>
        </w:rPr>
        <w:t>面积计算；亮化工程计算规则为按设计景观亮化面积计算，包括</w:t>
      </w:r>
      <w:r>
        <w:rPr>
          <w:rFonts w:ascii="宋体" w:hAnsi="宋体" w:eastAsia="宋体" w:cs="宋体"/>
          <w:spacing w:val="8"/>
          <w:sz w:val="20"/>
          <w:szCs w:val="20"/>
        </w:rPr>
        <w:t>道路照明、桥涵照明</w:t>
      </w:r>
      <w:r>
        <w:rPr>
          <w:rFonts w:ascii="宋体" w:hAnsi="宋体" w:eastAsia="宋体" w:cs="宋体"/>
          <w:spacing w:val="30"/>
          <w:sz w:val="20"/>
          <w:szCs w:val="20"/>
        </w:rPr>
        <w:t xml:space="preserve"> </w:t>
      </w:r>
      <w:r>
        <w:rPr>
          <w:rFonts w:ascii="宋体" w:hAnsi="宋体" w:eastAsia="宋体" w:cs="宋体"/>
          <w:spacing w:val="8"/>
          <w:sz w:val="20"/>
          <w:szCs w:val="20"/>
        </w:rPr>
        <w:t>、隧道照明、</w:t>
      </w:r>
      <w:r>
        <w:rPr>
          <w:rFonts w:ascii="宋体" w:hAnsi="宋体" w:eastAsia="宋体" w:cs="宋体"/>
          <w:spacing w:val="9"/>
          <w:sz w:val="20"/>
          <w:szCs w:val="20"/>
        </w:rPr>
        <w:t>广场照明、桥梁亮化、景观亮化等全部工程内容。</w:t>
      </w:r>
    </w:p>
    <w:p>
      <w:pPr>
        <w:spacing w:before="156" w:line="297" w:lineRule="auto"/>
        <w:ind w:left="1" w:right="16" w:firstLine="413"/>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38"/>
          <w:sz w:val="20"/>
          <w:szCs w:val="20"/>
        </w:rPr>
        <w:t xml:space="preserve"> </w:t>
      </w:r>
      <w:r>
        <w:rPr>
          <w:rFonts w:ascii="宋体" w:hAnsi="宋体" w:eastAsia="宋体" w:cs="宋体"/>
          <w:spacing w:val="6"/>
          <w:sz w:val="20"/>
          <w:szCs w:val="20"/>
        </w:rPr>
        <w:t>13）拆除工程包括拆除构筑物、拆除道路、管道保护性拆除、拆除市政交通设施、拆除其他，</w:t>
      </w:r>
      <w:r>
        <w:rPr>
          <w:rFonts w:ascii="宋体" w:hAnsi="宋体" w:eastAsia="宋体" w:cs="宋体"/>
          <w:spacing w:val="9"/>
          <w:sz w:val="20"/>
          <w:szCs w:val="20"/>
        </w:rPr>
        <w:t>计算时按各自的工程量计算规则计算。</w:t>
      </w:r>
    </w:p>
    <w:p>
      <w:pPr>
        <w:spacing w:before="150" w:line="323" w:lineRule="auto"/>
        <w:ind w:right="80" w:firstLine="414"/>
        <w:rPr>
          <w:rFonts w:ascii="宋体" w:hAnsi="宋体" w:eastAsia="宋体" w:cs="宋体"/>
          <w:sz w:val="20"/>
          <w:szCs w:val="20"/>
        </w:rPr>
      </w:pPr>
      <w:r>
        <w:rPr>
          <w:rFonts w:ascii="宋体" w:hAnsi="宋体" w:eastAsia="宋体" w:cs="宋体"/>
          <w:spacing w:val="-1"/>
          <w:sz w:val="20"/>
          <w:szCs w:val="20"/>
        </w:rPr>
        <w:t>（</w:t>
      </w:r>
      <w:r>
        <w:rPr>
          <w:rFonts w:ascii="宋体" w:hAnsi="宋体" w:eastAsia="宋体" w:cs="宋体"/>
          <w:spacing w:val="-33"/>
          <w:sz w:val="20"/>
          <w:szCs w:val="20"/>
        </w:rPr>
        <w:t xml:space="preserve"> </w:t>
      </w:r>
      <w:r>
        <w:rPr>
          <w:rFonts w:ascii="宋体" w:hAnsi="宋体" w:eastAsia="宋体" w:cs="宋体"/>
          <w:spacing w:val="-1"/>
          <w:sz w:val="20"/>
          <w:szCs w:val="20"/>
        </w:rPr>
        <w:t>14）措施项目包括了</w:t>
      </w:r>
      <w:r>
        <w:rPr>
          <w:rFonts w:ascii="宋体" w:hAnsi="宋体" w:eastAsia="宋体" w:cs="宋体"/>
          <w:spacing w:val="-24"/>
          <w:sz w:val="20"/>
          <w:szCs w:val="20"/>
        </w:rPr>
        <w:t xml:space="preserve"> </w:t>
      </w:r>
      <w:r>
        <w:rPr>
          <w:rFonts w:ascii="宋体" w:hAnsi="宋体" w:eastAsia="宋体" w:cs="宋体"/>
          <w:spacing w:val="-1"/>
          <w:sz w:val="20"/>
          <w:szCs w:val="20"/>
        </w:rPr>
        <w:t>1.施工降（排）水</w:t>
      </w:r>
      <w:r>
        <w:rPr>
          <w:rFonts w:ascii="宋体" w:hAnsi="宋体" w:eastAsia="宋体" w:cs="宋体"/>
          <w:spacing w:val="-40"/>
          <w:sz w:val="20"/>
          <w:szCs w:val="20"/>
        </w:rPr>
        <w:t xml:space="preserve"> </w:t>
      </w:r>
      <w:r>
        <w:rPr>
          <w:rFonts w:ascii="宋体" w:hAnsi="宋体" w:eastAsia="宋体" w:cs="宋体"/>
          <w:spacing w:val="-1"/>
          <w:sz w:val="20"/>
          <w:szCs w:val="20"/>
        </w:rPr>
        <w:t>2.</w:t>
      </w:r>
      <w:r>
        <w:rPr>
          <w:rFonts w:ascii="宋体" w:hAnsi="宋体" w:eastAsia="宋体" w:cs="宋体"/>
          <w:spacing w:val="30"/>
          <w:sz w:val="20"/>
          <w:szCs w:val="20"/>
        </w:rPr>
        <w:t xml:space="preserve"> </w:t>
      </w:r>
      <w:r>
        <w:rPr>
          <w:rFonts w:ascii="宋体" w:hAnsi="宋体" w:eastAsia="宋体" w:cs="宋体"/>
          <w:spacing w:val="-1"/>
          <w:sz w:val="20"/>
          <w:szCs w:val="20"/>
        </w:rPr>
        <w:t>围堰（筑岛）3.便道</w:t>
      </w:r>
      <w:r>
        <w:rPr>
          <w:rFonts w:ascii="宋体" w:hAnsi="宋体" w:eastAsia="宋体" w:cs="宋体"/>
          <w:spacing w:val="-45"/>
          <w:sz w:val="20"/>
          <w:szCs w:val="20"/>
        </w:rPr>
        <w:t xml:space="preserve"> </w:t>
      </w:r>
      <w:r>
        <w:rPr>
          <w:rFonts w:ascii="宋体" w:hAnsi="宋体" w:eastAsia="宋体" w:cs="宋体"/>
          <w:spacing w:val="-1"/>
          <w:sz w:val="20"/>
          <w:szCs w:val="20"/>
        </w:rPr>
        <w:t>4.便桥</w:t>
      </w:r>
      <w:r>
        <w:rPr>
          <w:rFonts w:ascii="宋体" w:hAnsi="宋体" w:eastAsia="宋体" w:cs="宋体"/>
          <w:spacing w:val="-44"/>
          <w:sz w:val="20"/>
          <w:szCs w:val="20"/>
        </w:rPr>
        <w:t xml:space="preserve"> </w:t>
      </w:r>
      <w:r>
        <w:rPr>
          <w:rFonts w:ascii="宋体" w:hAnsi="宋体" w:eastAsia="宋体" w:cs="宋体"/>
          <w:spacing w:val="-1"/>
          <w:sz w:val="20"/>
          <w:szCs w:val="20"/>
        </w:rPr>
        <w:t>5.施工围挡</w:t>
      </w:r>
      <w:r>
        <w:rPr>
          <w:rFonts w:ascii="宋体" w:hAnsi="宋体" w:eastAsia="宋体" w:cs="宋体"/>
          <w:spacing w:val="-41"/>
          <w:sz w:val="20"/>
          <w:szCs w:val="20"/>
        </w:rPr>
        <w:t xml:space="preserve"> </w:t>
      </w:r>
      <w:r>
        <w:rPr>
          <w:rFonts w:ascii="宋体" w:hAnsi="宋体" w:eastAsia="宋体" w:cs="宋体"/>
          <w:spacing w:val="-1"/>
          <w:sz w:val="20"/>
          <w:szCs w:val="20"/>
        </w:rPr>
        <w:t>6.洞内临时</w:t>
      </w:r>
      <w:r>
        <w:rPr>
          <w:rFonts w:ascii="宋体" w:hAnsi="宋体" w:eastAsia="宋体" w:cs="宋体"/>
          <w:spacing w:val="6"/>
          <w:sz w:val="20"/>
          <w:szCs w:val="20"/>
        </w:rPr>
        <w:t>设施</w:t>
      </w:r>
      <w:r>
        <w:rPr>
          <w:rFonts w:ascii="宋体" w:hAnsi="宋体" w:eastAsia="宋体" w:cs="宋体"/>
          <w:spacing w:val="-33"/>
          <w:sz w:val="20"/>
          <w:szCs w:val="20"/>
        </w:rPr>
        <w:t xml:space="preserve"> </w:t>
      </w:r>
      <w:r>
        <w:rPr>
          <w:rFonts w:ascii="宋体" w:hAnsi="宋体" w:eastAsia="宋体" w:cs="宋体"/>
          <w:spacing w:val="6"/>
          <w:sz w:val="20"/>
          <w:szCs w:val="20"/>
        </w:rPr>
        <w:t>7.大型机械进出场及安拆</w:t>
      </w:r>
      <w:r>
        <w:rPr>
          <w:rFonts w:ascii="宋体" w:hAnsi="宋体" w:eastAsia="宋体" w:cs="宋体"/>
          <w:spacing w:val="-36"/>
          <w:sz w:val="20"/>
          <w:szCs w:val="20"/>
        </w:rPr>
        <w:t xml:space="preserve"> </w:t>
      </w:r>
      <w:r>
        <w:rPr>
          <w:rFonts w:ascii="宋体" w:hAnsi="宋体" w:eastAsia="宋体" w:cs="宋体"/>
          <w:spacing w:val="6"/>
          <w:sz w:val="20"/>
          <w:szCs w:val="20"/>
        </w:rPr>
        <w:t>8.盾构机械进出场、转场、调头及安拆</w:t>
      </w:r>
      <w:r>
        <w:rPr>
          <w:rFonts w:ascii="宋体" w:hAnsi="宋体" w:eastAsia="宋体" w:cs="宋体"/>
          <w:spacing w:val="-37"/>
          <w:sz w:val="20"/>
          <w:szCs w:val="20"/>
        </w:rPr>
        <w:t xml:space="preserve"> </w:t>
      </w:r>
      <w:r>
        <w:rPr>
          <w:rFonts w:ascii="宋体" w:hAnsi="宋体" w:eastAsia="宋体" w:cs="宋体"/>
          <w:spacing w:val="6"/>
          <w:sz w:val="20"/>
          <w:szCs w:val="20"/>
        </w:rPr>
        <w:t>9.其他措施。所有措施项目的</w:t>
      </w:r>
      <w:r>
        <w:rPr>
          <w:rFonts w:ascii="宋体" w:hAnsi="宋体" w:eastAsia="宋体" w:cs="宋体"/>
          <w:spacing w:val="9"/>
          <w:sz w:val="20"/>
          <w:szCs w:val="20"/>
        </w:rPr>
        <w:t>工程量均按整体单位工程为计量单位。</w:t>
      </w:r>
    </w:p>
    <w:p>
      <w:pPr>
        <w:spacing w:line="323" w:lineRule="auto"/>
        <w:rPr>
          <w:rFonts w:ascii="宋体" w:hAnsi="宋体" w:eastAsia="宋体" w:cs="宋体"/>
          <w:sz w:val="20"/>
          <w:szCs w:val="20"/>
        </w:rPr>
        <w:sectPr>
          <w:footerReference r:id="rId279" w:type="default"/>
          <w:pgSz w:w="11906" w:h="16839"/>
          <w:pgMar w:top="400" w:right="1337" w:bottom="1212" w:left="1416" w:header="0" w:footer="897" w:gutter="0"/>
        </w:sect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2"/>
        <w:spacing w:before="184" w:line="204" w:lineRule="auto"/>
        <w:ind w:left="2579"/>
        <w:outlineLvl w:val="0"/>
        <w:rPr>
          <w:sz w:val="43"/>
          <w:szCs w:val="43"/>
        </w:rPr>
      </w:pPr>
      <w:bookmarkStart w:id="177" w:name="bookmark110"/>
      <w:bookmarkEnd w:id="177"/>
      <w:bookmarkStart w:id="178" w:name="bookmark112"/>
      <w:bookmarkEnd w:id="178"/>
      <w:r>
        <w:rPr>
          <w:spacing w:val="4"/>
          <w:sz w:val="43"/>
          <w:szCs w:val="43"/>
        </w:rPr>
        <w:t>第五部分</w:t>
      </w:r>
      <w:r>
        <w:rPr>
          <w:spacing w:val="26"/>
          <w:sz w:val="43"/>
          <w:szCs w:val="43"/>
        </w:rPr>
        <w:t xml:space="preserve">   </w:t>
      </w:r>
      <w:r>
        <w:rPr>
          <w:spacing w:val="4"/>
          <w:sz w:val="43"/>
          <w:szCs w:val="43"/>
        </w:rPr>
        <w:t>有关文件</w:t>
      </w: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before="135" w:line="209" w:lineRule="auto"/>
        <w:ind w:left="1839"/>
        <w:outlineLvl w:val="0"/>
        <w:rPr>
          <w:rFonts w:ascii="方正小标宋简体" w:hAnsi="方正小标宋简体" w:eastAsia="方正小标宋简体" w:cs="方正小标宋简体"/>
          <w:sz w:val="35"/>
          <w:szCs w:val="35"/>
        </w:rPr>
      </w:pPr>
      <w:bookmarkStart w:id="179" w:name="bookmark113"/>
      <w:bookmarkEnd w:id="179"/>
      <w:r>
        <w:rPr>
          <w:rFonts w:ascii="方正小标宋简体" w:hAnsi="方正小标宋简体" w:eastAsia="方正小标宋简体" w:cs="方正小标宋简体"/>
          <w:spacing w:val="9"/>
          <w:sz w:val="35"/>
          <w:szCs w:val="35"/>
        </w:rPr>
        <w:t>住房城乡建设部关于发布国家标准</w:t>
      </w:r>
    </w:p>
    <w:p>
      <w:pPr>
        <w:spacing w:before="111" w:line="363" w:lineRule="auto"/>
        <w:ind w:left="1144" w:right="756" w:hanging="408"/>
        <w:outlineLvl w:val="0"/>
        <w:rPr>
          <w:rFonts w:ascii="KaiTi_GB2312" w:hAnsi="KaiTi_GB2312" w:eastAsia="KaiTi_GB2312" w:cs="KaiTi_GB2312"/>
          <w:sz w:val="28"/>
          <w:szCs w:val="28"/>
        </w:rPr>
      </w:pPr>
      <w:bookmarkStart w:id="180" w:name="bookmark113"/>
      <w:bookmarkEnd w:id="180"/>
      <w:r>
        <w:rPr>
          <w:rFonts w:ascii="方正小标宋简体" w:hAnsi="方正小标宋简体" w:eastAsia="方正小标宋简体" w:cs="方正小标宋简体"/>
          <w:spacing w:val="9"/>
          <w:sz w:val="35"/>
          <w:szCs w:val="35"/>
        </w:rPr>
        <w:t>《房屋建筑与装饰工程工程量计算标准》</w:t>
      </w:r>
      <w:r>
        <w:rPr>
          <w:rFonts w:ascii="方正小标宋简体" w:hAnsi="方正小标宋简体" w:eastAsia="方正小标宋简体" w:cs="方正小标宋简体"/>
          <w:spacing w:val="-51"/>
          <w:sz w:val="35"/>
          <w:szCs w:val="35"/>
        </w:rPr>
        <w:t xml:space="preserve"> </w:t>
      </w:r>
      <w:r>
        <w:rPr>
          <w:rFonts w:ascii="方正小标宋简体" w:hAnsi="方正小标宋简体" w:eastAsia="方正小标宋简体" w:cs="方正小标宋简体"/>
          <w:spacing w:val="9"/>
          <w:sz w:val="35"/>
          <w:szCs w:val="35"/>
        </w:rPr>
        <w:t>的公告</w:t>
      </w:r>
      <w:bookmarkStart w:id="181" w:name="bookmark113"/>
      <w:bookmarkEnd w:id="181"/>
      <w:r>
        <w:rPr>
          <w:rFonts w:ascii="KaiTi_GB2312" w:hAnsi="KaiTi_GB2312" w:eastAsia="KaiTi_GB2312" w:cs="KaiTi_GB2312"/>
          <w:spacing w:val="-4"/>
          <w:sz w:val="28"/>
          <w:szCs w:val="28"/>
        </w:rPr>
        <w:t>中华人民共和国住房和城乡建设部公告</w:t>
      </w:r>
      <w:r>
        <w:rPr>
          <w:rFonts w:ascii="KaiTi_GB2312" w:hAnsi="KaiTi_GB2312" w:eastAsia="KaiTi_GB2312" w:cs="KaiTi_GB2312"/>
          <w:spacing w:val="-37"/>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年第</w:t>
      </w:r>
      <w:r>
        <w:rPr>
          <w:rFonts w:ascii="KaiTi_GB2312" w:hAnsi="KaiTi_GB2312" w:eastAsia="KaiTi_GB2312" w:cs="KaiTi_GB2312"/>
          <w:spacing w:val="-42"/>
          <w:sz w:val="28"/>
          <w:szCs w:val="28"/>
        </w:rPr>
        <w:t xml:space="preserve"> </w:t>
      </w:r>
      <w:r>
        <w:rPr>
          <w:rFonts w:ascii="KaiTi_GB2312" w:hAnsi="KaiTi_GB2312" w:eastAsia="KaiTi_GB2312" w:cs="KaiTi_GB2312"/>
          <w:spacing w:val="-4"/>
          <w:sz w:val="28"/>
          <w:szCs w:val="28"/>
        </w:rPr>
        <w:t>191</w:t>
      </w:r>
      <w:r>
        <w:rPr>
          <w:rFonts w:ascii="KaiTi_GB2312" w:hAnsi="KaiTi_GB2312" w:eastAsia="KaiTi_GB2312" w:cs="KaiTi_GB2312"/>
          <w:spacing w:val="-54"/>
          <w:sz w:val="28"/>
          <w:szCs w:val="28"/>
        </w:rPr>
        <w:t xml:space="preserve"> </w:t>
      </w:r>
      <w:r>
        <w:rPr>
          <w:rFonts w:ascii="KaiTi_GB2312" w:hAnsi="KaiTi_GB2312" w:eastAsia="KaiTi_GB2312" w:cs="KaiTi_GB2312"/>
          <w:spacing w:val="-4"/>
          <w:sz w:val="28"/>
          <w:szCs w:val="28"/>
        </w:rPr>
        <w:t>号</w:t>
      </w:r>
    </w:p>
    <w:p>
      <w:pPr>
        <w:spacing w:line="465" w:lineRule="auto"/>
        <w:rPr>
          <w:rFonts w:ascii="Arial"/>
          <w:sz w:val="21"/>
        </w:rPr>
      </w:pPr>
    </w:p>
    <w:p>
      <w:pPr>
        <w:spacing w:before="66" w:line="357" w:lineRule="auto"/>
        <w:ind w:left="3" w:firstLine="421"/>
        <w:jc w:val="both"/>
        <w:rPr>
          <w:rFonts w:ascii="宋体" w:hAnsi="宋体" w:eastAsia="宋体" w:cs="宋体"/>
          <w:sz w:val="20"/>
          <w:szCs w:val="20"/>
        </w:rPr>
      </w:pPr>
      <w:r>
        <w:rPr>
          <w:rFonts w:ascii="宋体" w:hAnsi="宋体" w:eastAsia="宋体" w:cs="宋体"/>
          <w:spacing w:val="7"/>
          <w:sz w:val="20"/>
          <w:szCs w:val="20"/>
        </w:rPr>
        <w:t>现批准《房屋建筑与装饰工程工程量计算标准》为国家标准，编号为</w:t>
      </w:r>
      <w:r>
        <w:rPr>
          <w:rFonts w:ascii="宋体" w:hAnsi="宋体" w:eastAsia="宋体" w:cs="宋体"/>
          <w:spacing w:val="-35"/>
          <w:sz w:val="20"/>
          <w:szCs w:val="20"/>
        </w:rPr>
        <w:t xml:space="preserve"> </w:t>
      </w:r>
      <w:r>
        <w:rPr>
          <w:rFonts w:ascii="宋体" w:hAnsi="宋体" w:eastAsia="宋体" w:cs="宋体"/>
          <w:sz w:val="20"/>
          <w:szCs w:val="20"/>
        </w:rPr>
        <w:t>GB</w:t>
      </w:r>
      <w:r>
        <w:rPr>
          <w:rFonts w:ascii="宋体" w:hAnsi="宋体" w:eastAsia="宋体" w:cs="宋体"/>
          <w:spacing w:val="6"/>
          <w:sz w:val="20"/>
          <w:szCs w:val="20"/>
        </w:rPr>
        <w:t>/T50854-2024，自</w:t>
      </w:r>
      <w:r>
        <w:rPr>
          <w:rFonts w:ascii="宋体" w:hAnsi="宋体" w:eastAsia="宋体" w:cs="宋体"/>
          <w:spacing w:val="-39"/>
          <w:sz w:val="20"/>
          <w:szCs w:val="20"/>
        </w:rPr>
        <w:t xml:space="preserve"> </w:t>
      </w:r>
      <w:r>
        <w:rPr>
          <w:rFonts w:ascii="宋体" w:hAnsi="宋体" w:eastAsia="宋体" w:cs="宋体"/>
          <w:spacing w:val="6"/>
          <w:sz w:val="20"/>
          <w:szCs w:val="20"/>
        </w:rPr>
        <w:t>2025</w:t>
      </w:r>
      <w:r>
        <w:rPr>
          <w:rFonts w:ascii="宋体" w:hAnsi="宋体" w:eastAsia="宋体" w:cs="宋体"/>
          <w:spacing w:val="8"/>
          <w:sz w:val="20"/>
          <w:szCs w:val="20"/>
        </w:rPr>
        <w:t>年</w:t>
      </w:r>
      <w:r>
        <w:rPr>
          <w:rFonts w:ascii="宋体" w:hAnsi="宋体" w:eastAsia="宋体" w:cs="宋体"/>
          <w:spacing w:val="-41"/>
          <w:sz w:val="20"/>
          <w:szCs w:val="20"/>
        </w:rPr>
        <w:t xml:space="preserve"> </w:t>
      </w:r>
      <w:r>
        <w:rPr>
          <w:rFonts w:ascii="宋体" w:hAnsi="宋体" w:eastAsia="宋体" w:cs="宋体"/>
          <w:spacing w:val="8"/>
          <w:sz w:val="20"/>
          <w:szCs w:val="20"/>
        </w:rPr>
        <w:t>9</w:t>
      </w:r>
      <w:r>
        <w:rPr>
          <w:rFonts w:ascii="宋体" w:hAnsi="宋体" w:eastAsia="宋体" w:cs="宋体"/>
          <w:spacing w:val="-41"/>
          <w:sz w:val="20"/>
          <w:szCs w:val="20"/>
        </w:rPr>
        <w:t xml:space="preserve"> </w:t>
      </w:r>
      <w:r>
        <w:rPr>
          <w:rFonts w:ascii="宋体" w:hAnsi="宋体" w:eastAsia="宋体" w:cs="宋体"/>
          <w:spacing w:val="8"/>
          <w:sz w:val="20"/>
          <w:szCs w:val="20"/>
        </w:rPr>
        <w:t>月</w:t>
      </w:r>
      <w:r>
        <w:rPr>
          <w:rFonts w:ascii="宋体" w:hAnsi="宋体" w:eastAsia="宋体" w:cs="宋体"/>
          <w:spacing w:val="-22"/>
          <w:sz w:val="20"/>
          <w:szCs w:val="20"/>
        </w:rPr>
        <w:t xml:space="preserve"> </w:t>
      </w:r>
      <w:r>
        <w:rPr>
          <w:rFonts w:ascii="宋体" w:hAnsi="宋体" w:eastAsia="宋体" w:cs="宋体"/>
          <w:spacing w:val="8"/>
          <w:sz w:val="20"/>
          <w:szCs w:val="20"/>
        </w:rPr>
        <w:t>1 日起实施。原国家标准《房屋建筑与装饰工程工程量计算规范》</w:t>
      </w:r>
      <w:r>
        <w:rPr>
          <w:rFonts w:ascii="宋体" w:hAnsi="宋体" w:eastAsia="宋体" w:cs="宋体"/>
          <w:spacing w:val="7"/>
          <w:sz w:val="20"/>
          <w:szCs w:val="20"/>
        </w:rPr>
        <w:t>（</w:t>
      </w:r>
      <w:r>
        <w:rPr>
          <w:rFonts w:ascii="宋体" w:hAnsi="宋体" w:eastAsia="宋体" w:cs="宋体"/>
          <w:sz w:val="20"/>
          <w:szCs w:val="20"/>
        </w:rPr>
        <w:t>GB</w:t>
      </w:r>
      <w:r>
        <w:rPr>
          <w:rFonts w:ascii="宋体" w:hAnsi="宋体" w:eastAsia="宋体" w:cs="宋体"/>
          <w:spacing w:val="7"/>
          <w:sz w:val="20"/>
          <w:szCs w:val="20"/>
        </w:rPr>
        <w:t>50854-2013）同时废</w:t>
      </w:r>
      <w:r>
        <w:rPr>
          <w:rFonts w:ascii="宋体" w:hAnsi="宋体" w:eastAsia="宋体" w:cs="宋体"/>
          <w:spacing w:val="1"/>
          <w:sz w:val="20"/>
          <w:szCs w:val="20"/>
        </w:rPr>
        <w:t>止。</w:t>
      </w:r>
    </w:p>
    <w:p>
      <w:pPr>
        <w:spacing w:before="39" w:line="349" w:lineRule="auto"/>
        <w:ind w:right="84"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65" w:line="221" w:lineRule="auto"/>
        <w:ind w:left="7289"/>
        <w:rPr>
          <w:rFonts w:ascii="宋体" w:hAnsi="宋体" w:eastAsia="宋体" w:cs="宋体"/>
          <w:sz w:val="20"/>
          <w:szCs w:val="20"/>
        </w:rPr>
      </w:pPr>
      <w:r>
        <w:rPr>
          <w:rFonts w:ascii="宋体" w:hAnsi="宋体" w:eastAsia="宋体" w:cs="宋体"/>
          <w:spacing w:val="9"/>
          <w:sz w:val="20"/>
          <w:szCs w:val="20"/>
        </w:rPr>
        <w:t>住房城乡建设部</w:t>
      </w:r>
    </w:p>
    <w:p>
      <w:pPr>
        <w:spacing w:before="159" w:line="278" w:lineRule="exact"/>
        <w:ind w:left="7193"/>
        <w:rPr>
          <w:rFonts w:ascii="宋体" w:hAnsi="宋体" w:eastAsia="宋体" w:cs="宋体"/>
          <w:sz w:val="20"/>
          <w:szCs w:val="20"/>
        </w:rPr>
      </w:pPr>
      <w:r>
        <w:rPr>
          <w:rFonts w:ascii="宋体" w:hAnsi="宋体" w:eastAsia="宋体" w:cs="宋体"/>
          <w:spacing w:val="-2"/>
          <w:position w:val="1"/>
          <w:sz w:val="20"/>
          <w:szCs w:val="20"/>
        </w:rPr>
        <w:t>2024</w:t>
      </w:r>
      <w:r>
        <w:rPr>
          <w:rFonts w:ascii="宋体" w:hAnsi="宋体" w:eastAsia="宋体" w:cs="宋体"/>
          <w:spacing w:val="-35"/>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12 日</w:t>
      </w:r>
    </w:p>
    <w:p>
      <w:pPr>
        <w:spacing w:line="278" w:lineRule="exact"/>
        <w:rPr>
          <w:rFonts w:ascii="宋体" w:hAnsi="宋体" w:eastAsia="宋体" w:cs="宋体"/>
          <w:sz w:val="20"/>
          <w:szCs w:val="20"/>
        </w:rPr>
        <w:sectPr>
          <w:footerReference r:id="rId280" w:type="default"/>
          <w:pgSz w:w="11910" w:h="16840"/>
          <w:pgMar w:top="400" w:right="1419" w:bottom="1211" w:left="1420" w:header="0" w:footer="896"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1839"/>
        <w:outlineLvl w:val="0"/>
        <w:rPr>
          <w:rFonts w:ascii="方正小标宋简体" w:hAnsi="方正小标宋简体" w:eastAsia="方正小标宋简体" w:cs="方正小标宋简体"/>
          <w:sz w:val="35"/>
          <w:szCs w:val="35"/>
        </w:rPr>
      </w:pPr>
      <w:bookmarkStart w:id="182" w:name="bookmark114"/>
      <w:bookmarkEnd w:id="182"/>
      <w:r>
        <w:rPr>
          <w:rFonts w:ascii="方正小标宋简体" w:hAnsi="方正小标宋简体" w:eastAsia="方正小标宋简体" w:cs="方正小标宋简体"/>
          <w:spacing w:val="9"/>
          <w:sz w:val="35"/>
          <w:szCs w:val="35"/>
        </w:rPr>
        <w:t>住房城乡建设部关于发布国家标准</w:t>
      </w:r>
    </w:p>
    <w:p>
      <w:pPr>
        <w:spacing w:before="111" w:line="363" w:lineRule="auto"/>
        <w:ind w:left="1144" w:right="1103" w:firstLine="131"/>
        <w:outlineLvl w:val="0"/>
        <w:rPr>
          <w:rFonts w:ascii="KaiTi_GB2312" w:hAnsi="KaiTi_GB2312" w:eastAsia="KaiTi_GB2312" w:cs="KaiTi_GB2312"/>
          <w:sz w:val="28"/>
          <w:szCs w:val="28"/>
        </w:rPr>
      </w:pPr>
      <w:bookmarkStart w:id="183" w:name="bookmark114"/>
      <w:bookmarkEnd w:id="183"/>
      <w:r>
        <w:rPr>
          <w:rFonts w:ascii="方正小标宋简体" w:hAnsi="方正小标宋简体" w:eastAsia="方正小标宋简体" w:cs="方正小标宋简体"/>
          <w:spacing w:val="9"/>
          <w:sz w:val="35"/>
          <w:szCs w:val="35"/>
        </w:rPr>
        <w:t>《仿古建筑工程工程量计算标准》</w:t>
      </w:r>
      <w:r>
        <w:rPr>
          <w:rFonts w:ascii="方正小标宋简体" w:hAnsi="方正小标宋简体" w:eastAsia="方正小标宋简体" w:cs="方正小标宋简体"/>
          <w:spacing w:val="-54"/>
          <w:sz w:val="35"/>
          <w:szCs w:val="35"/>
        </w:rPr>
        <w:t xml:space="preserve"> </w:t>
      </w:r>
      <w:r>
        <w:rPr>
          <w:rFonts w:ascii="方正小标宋简体" w:hAnsi="方正小标宋简体" w:eastAsia="方正小标宋简体" w:cs="方正小标宋简体"/>
          <w:spacing w:val="9"/>
          <w:sz w:val="35"/>
          <w:szCs w:val="35"/>
        </w:rPr>
        <w:t>的公告</w:t>
      </w:r>
      <w:bookmarkStart w:id="184" w:name="bookmark114"/>
      <w:bookmarkEnd w:id="184"/>
      <w:r>
        <w:rPr>
          <w:rFonts w:ascii="KaiTi_GB2312" w:hAnsi="KaiTi_GB2312" w:eastAsia="KaiTi_GB2312" w:cs="KaiTi_GB2312"/>
          <w:spacing w:val="-4"/>
          <w:sz w:val="28"/>
          <w:szCs w:val="28"/>
        </w:rPr>
        <w:t>中华人民共和国住房和城乡建设部公告</w:t>
      </w:r>
      <w:r>
        <w:rPr>
          <w:rFonts w:ascii="KaiTi_GB2312" w:hAnsi="KaiTi_GB2312" w:eastAsia="KaiTi_GB2312" w:cs="KaiTi_GB2312"/>
          <w:spacing w:val="-49"/>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w:t>
      </w:r>
      <w:r>
        <w:rPr>
          <w:rFonts w:ascii="KaiTi_GB2312" w:hAnsi="KaiTi_GB2312" w:eastAsia="KaiTi_GB2312" w:cs="KaiTi_GB2312"/>
          <w:spacing w:val="-5"/>
          <w:sz w:val="28"/>
          <w:szCs w:val="28"/>
        </w:rPr>
        <w:t>第</w:t>
      </w:r>
      <w:r>
        <w:rPr>
          <w:rFonts w:ascii="KaiTi_GB2312" w:hAnsi="KaiTi_GB2312" w:eastAsia="KaiTi_GB2312" w:cs="KaiTi_GB2312"/>
          <w:spacing w:val="-41"/>
          <w:sz w:val="28"/>
          <w:szCs w:val="28"/>
        </w:rPr>
        <w:t xml:space="preserve"> </w:t>
      </w:r>
      <w:r>
        <w:rPr>
          <w:rFonts w:ascii="KaiTi_GB2312" w:hAnsi="KaiTi_GB2312" w:eastAsia="KaiTi_GB2312" w:cs="KaiTi_GB2312"/>
          <w:spacing w:val="-5"/>
          <w:sz w:val="28"/>
          <w:szCs w:val="28"/>
        </w:rPr>
        <w:t>192</w:t>
      </w:r>
      <w:r>
        <w:rPr>
          <w:rFonts w:ascii="KaiTi_GB2312" w:hAnsi="KaiTi_GB2312" w:eastAsia="KaiTi_GB2312" w:cs="KaiTi_GB2312"/>
          <w:spacing w:val="-54"/>
          <w:sz w:val="28"/>
          <w:szCs w:val="28"/>
        </w:rPr>
        <w:t xml:space="preserve"> </w:t>
      </w:r>
      <w:r>
        <w:rPr>
          <w:rFonts w:ascii="KaiTi_GB2312" w:hAnsi="KaiTi_GB2312" w:eastAsia="KaiTi_GB2312" w:cs="KaiTi_GB2312"/>
          <w:spacing w:val="-5"/>
          <w:sz w:val="28"/>
          <w:szCs w:val="28"/>
        </w:rPr>
        <w:t>号</w:t>
      </w:r>
    </w:p>
    <w:p>
      <w:pPr>
        <w:spacing w:line="465" w:lineRule="auto"/>
        <w:rPr>
          <w:rFonts w:ascii="Arial"/>
          <w:sz w:val="21"/>
        </w:rPr>
      </w:pPr>
    </w:p>
    <w:p>
      <w:pPr>
        <w:spacing w:before="65" w:line="367" w:lineRule="auto"/>
        <w:ind w:left="4" w:right="128" w:firstLine="420"/>
        <w:rPr>
          <w:rFonts w:ascii="宋体" w:hAnsi="宋体" w:eastAsia="宋体" w:cs="宋体"/>
          <w:sz w:val="20"/>
          <w:szCs w:val="20"/>
        </w:rPr>
      </w:pPr>
      <w:r>
        <w:rPr>
          <w:rFonts w:ascii="宋体" w:hAnsi="宋体" w:eastAsia="宋体" w:cs="宋体"/>
          <w:spacing w:val="8"/>
          <w:sz w:val="20"/>
          <w:szCs w:val="20"/>
        </w:rPr>
        <w:t>现批准《仿古建筑工程工程量计算标准》为国家标准，编号为</w:t>
      </w:r>
      <w:r>
        <w:rPr>
          <w:rFonts w:ascii="宋体" w:hAnsi="宋体" w:eastAsia="宋体" w:cs="宋体"/>
          <w:spacing w:val="-24"/>
          <w:sz w:val="20"/>
          <w:szCs w:val="20"/>
        </w:rPr>
        <w:t xml:space="preserve"> </w:t>
      </w:r>
      <w:r>
        <w:rPr>
          <w:rFonts w:ascii="宋体" w:hAnsi="宋体" w:eastAsia="宋体" w:cs="宋体"/>
          <w:sz w:val="20"/>
          <w:szCs w:val="20"/>
        </w:rPr>
        <w:t>GB</w:t>
      </w:r>
      <w:r>
        <w:rPr>
          <w:rFonts w:ascii="宋体" w:hAnsi="宋体" w:eastAsia="宋体" w:cs="宋体"/>
          <w:spacing w:val="8"/>
          <w:sz w:val="20"/>
          <w:szCs w:val="20"/>
        </w:rPr>
        <w:t>/T50855-2024，</w:t>
      </w:r>
      <w:r>
        <w:rPr>
          <w:rFonts w:ascii="宋体" w:hAnsi="宋体" w:eastAsia="宋体" w:cs="宋体"/>
          <w:spacing w:val="-60"/>
          <w:sz w:val="20"/>
          <w:szCs w:val="20"/>
        </w:rPr>
        <w:t xml:space="preserve"> </w:t>
      </w:r>
      <w:r>
        <w:rPr>
          <w:rFonts w:ascii="宋体" w:hAnsi="宋体" w:eastAsia="宋体" w:cs="宋体"/>
          <w:spacing w:val="8"/>
          <w:sz w:val="20"/>
          <w:szCs w:val="20"/>
        </w:rPr>
        <w:t>自</w:t>
      </w:r>
      <w:r>
        <w:rPr>
          <w:rFonts w:ascii="宋体" w:hAnsi="宋体" w:eastAsia="宋体" w:cs="宋体"/>
          <w:spacing w:val="-39"/>
          <w:sz w:val="20"/>
          <w:szCs w:val="20"/>
        </w:rPr>
        <w:t xml:space="preserve"> </w:t>
      </w:r>
      <w:r>
        <w:rPr>
          <w:rFonts w:ascii="宋体" w:hAnsi="宋体" w:eastAsia="宋体" w:cs="宋体"/>
          <w:spacing w:val="8"/>
          <w:sz w:val="20"/>
          <w:szCs w:val="20"/>
        </w:rPr>
        <w:t>2025</w:t>
      </w:r>
      <w:r>
        <w:rPr>
          <w:rFonts w:ascii="宋体" w:hAnsi="宋体" w:eastAsia="宋体" w:cs="宋体"/>
          <w:spacing w:val="-39"/>
          <w:sz w:val="20"/>
          <w:szCs w:val="20"/>
        </w:rPr>
        <w:t xml:space="preserve"> </w:t>
      </w:r>
      <w:r>
        <w:rPr>
          <w:rFonts w:ascii="宋体" w:hAnsi="宋体" w:eastAsia="宋体" w:cs="宋体"/>
          <w:spacing w:val="8"/>
          <w:sz w:val="20"/>
          <w:szCs w:val="20"/>
        </w:rPr>
        <w:t>年9</w:t>
      </w:r>
      <w:r>
        <w:rPr>
          <w:rFonts w:ascii="宋体" w:hAnsi="宋体" w:eastAsia="宋体" w:cs="宋体"/>
          <w:spacing w:val="7"/>
          <w:sz w:val="20"/>
          <w:szCs w:val="20"/>
        </w:rPr>
        <w:t>月</w:t>
      </w:r>
      <w:r>
        <w:rPr>
          <w:rFonts w:ascii="宋体" w:hAnsi="宋体" w:eastAsia="宋体" w:cs="宋体"/>
          <w:spacing w:val="-18"/>
          <w:sz w:val="20"/>
          <w:szCs w:val="20"/>
        </w:rPr>
        <w:t xml:space="preserve"> </w:t>
      </w:r>
      <w:r>
        <w:rPr>
          <w:rFonts w:ascii="宋体" w:hAnsi="宋体" w:eastAsia="宋体" w:cs="宋体"/>
          <w:spacing w:val="7"/>
          <w:sz w:val="20"/>
          <w:szCs w:val="20"/>
        </w:rPr>
        <w:t>1 日起实施。原国家标准《仿古建筑工程工程量计算规范》（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7"/>
          <w:sz w:val="20"/>
          <w:szCs w:val="20"/>
        </w:rPr>
        <w:t>50855-2013）同时废止。</w:t>
      </w:r>
    </w:p>
    <w:p>
      <w:pPr>
        <w:spacing w:before="3" w:line="351" w:lineRule="auto"/>
        <w:ind w:right="83"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65" w:line="221" w:lineRule="auto"/>
        <w:ind w:left="7289"/>
        <w:rPr>
          <w:rFonts w:ascii="宋体" w:hAnsi="宋体" w:eastAsia="宋体" w:cs="宋体"/>
          <w:sz w:val="20"/>
          <w:szCs w:val="20"/>
        </w:rPr>
      </w:pPr>
      <w:r>
        <w:rPr>
          <w:rFonts w:ascii="宋体" w:hAnsi="宋体" w:eastAsia="宋体" w:cs="宋体"/>
          <w:spacing w:val="9"/>
          <w:sz w:val="20"/>
          <w:szCs w:val="20"/>
        </w:rPr>
        <w:t>住房城乡建设部</w:t>
      </w:r>
    </w:p>
    <w:p>
      <w:pPr>
        <w:spacing w:before="159" w:line="277" w:lineRule="exact"/>
        <w:ind w:left="7193"/>
        <w:rPr>
          <w:rFonts w:ascii="宋体" w:hAnsi="宋体" w:eastAsia="宋体" w:cs="宋体"/>
          <w:sz w:val="20"/>
          <w:szCs w:val="20"/>
        </w:rPr>
      </w:pPr>
      <w:r>
        <w:rPr>
          <w:rFonts w:ascii="宋体" w:hAnsi="宋体" w:eastAsia="宋体" w:cs="宋体"/>
          <w:spacing w:val="-2"/>
          <w:position w:val="1"/>
          <w:sz w:val="20"/>
          <w:szCs w:val="20"/>
        </w:rPr>
        <w:t>2024</w:t>
      </w:r>
      <w:r>
        <w:rPr>
          <w:rFonts w:ascii="宋体" w:hAnsi="宋体" w:eastAsia="宋体" w:cs="宋体"/>
          <w:spacing w:val="-35"/>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12 日</w:t>
      </w:r>
    </w:p>
    <w:p>
      <w:pPr>
        <w:spacing w:line="277" w:lineRule="exact"/>
        <w:rPr>
          <w:rFonts w:ascii="宋体" w:hAnsi="宋体" w:eastAsia="宋体" w:cs="宋体"/>
          <w:sz w:val="20"/>
          <w:szCs w:val="20"/>
        </w:rPr>
        <w:sectPr>
          <w:footerReference r:id="rId281" w:type="default"/>
          <w:pgSz w:w="11910" w:h="16840"/>
          <w:pgMar w:top="400" w:right="1419" w:bottom="1211" w:left="1420" w:header="0" w:footer="896"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1839"/>
        <w:outlineLvl w:val="0"/>
        <w:rPr>
          <w:rFonts w:ascii="方正小标宋简体" w:hAnsi="方正小标宋简体" w:eastAsia="方正小标宋简体" w:cs="方正小标宋简体"/>
          <w:sz w:val="35"/>
          <w:szCs w:val="35"/>
        </w:rPr>
      </w:pPr>
      <w:bookmarkStart w:id="185" w:name="bookmark115"/>
      <w:bookmarkEnd w:id="185"/>
      <w:r>
        <w:rPr>
          <w:rFonts w:ascii="方正小标宋简体" w:hAnsi="方正小标宋简体" w:eastAsia="方正小标宋简体" w:cs="方正小标宋简体"/>
          <w:spacing w:val="9"/>
          <w:sz w:val="35"/>
          <w:szCs w:val="35"/>
        </w:rPr>
        <w:t>住房城乡建设部关于发布国家标准</w:t>
      </w:r>
    </w:p>
    <w:p>
      <w:pPr>
        <w:spacing w:before="111" w:line="363" w:lineRule="auto"/>
        <w:ind w:left="1144" w:right="1077" w:firstLine="131"/>
        <w:outlineLvl w:val="0"/>
        <w:rPr>
          <w:rFonts w:ascii="KaiTi_GB2312" w:hAnsi="KaiTi_GB2312" w:eastAsia="KaiTi_GB2312" w:cs="KaiTi_GB2312"/>
          <w:sz w:val="28"/>
          <w:szCs w:val="28"/>
        </w:rPr>
      </w:pPr>
      <w:bookmarkStart w:id="186" w:name="bookmark115"/>
      <w:bookmarkEnd w:id="186"/>
      <w:r>
        <w:rPr>
          <w:rFonts w:ascii="方正小标宋简体" w:hAnsi="方正小标宋简体" w:eastAsia="方正小标宋简体" w:cs="方正小标宋简体"/>
          <w:spacing w:val="9"/>
          <w:sz w:val="35"/>
          <w:szCs w:val="35"/>
        </w:rPr>
        <w:t>《通用安装工程工程量计算标准》</w:t>
      </w:r>
      <w:r>
        <w:rPr>
          <w:rFonts w:ascii="方正小标宋简体" w:hAnsi="方正小标宋简体" w:eastAsia="方正小标宋简体" w:cs="方正小标宋简体"/>
          <w:spacing w:val="-54"/>
          <w:sz w:val="35"/>
          <w:szCs w:val="35"/>
        </w:rPr>
        <w:t xml:space="preserve"> </w:t>
      </w:r>
      <w:r>
        <w:rPr>
          <w:rFonts w:ascii="方正小标宋简体" w:hAnsi="方正小标宋简体" w:eastAsia="方正小标宋简体" w:cs="方正小标宋简体"/>
          <w:spacing w:val="9"/>
          <w:sz w:val="35"/>
          <w:szCs w:val="35"/>
        </w:rPr>
        <w:t>的公告</w:t>
      </w:r>
      <w:bookmarkStart w:id="187" w:name="bookmark115"/>
      <w:bookmarkEnd w:id="187"/>
      <w:r>
        <w:rPr>
          <w:rFonts w:ascii="KaiTi_GB2312" w:hAnsi="KaiTi_GB2312" w:eastAsia="KaiTi_GB2312" w:cs="KaiTi_GB2312"/>
          <w:spacing w:val="-4"/>
          <w:sz w:val="28"/>
          <w:szCs w:val="28"/>
        </w:rPr>
        <w:t>中华人民共和国住房和城乡建设部公告</w:t>
      </w:r>
      <w:r>
        <w:rPr>
          <w:rFonts w:ascii="KaiTi_GB2312" w:hAnsi="KaiTi_GB2312" w:eastAsia="KaiTi_GB2312" w:cs="KaiTi_GB2312"/>
          <w:spacing w:val="-49"/>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w:t>
      </w:r>
      <w:r>
        <w:rPr>
          <w:rFonts w:ascii="KaiTi_GB2312" w:hAnsi="KaiTi_GB2312" w:eastAsia="KaiTi_GB2312" w:cs="KaiTi_GB2312"/>
          <w:spacing w:val="-5"/>
          <w:sz w:val="28"/>
          <w:szCs w:val="28"/>
        </w:rPr>
        <w:t>第</w:t>
      </w:r>
      <w:r>
        <w:rPr>
          <w:rFonts w:ascii="KaiTi_GB2312" w:hAnsi="KaiTi_GB2312" w:eastAsia="KaiTi_GB2312" w:cs="KaiTi_GB2312"/>
          <w:spacing w:val="-41"/>
          <w:sz w:val="28"/>
          <w:szCs w:val="28"/>
        </w:rPr>
        <w:t xml:space="preserve"> </w:t>
      </w:r>
      <w:r>
        <w:rPr>
          <w:rFonts w:ascii="KaiTi_GB2312" w:hAnsi="KaiTi_GB2312" w:eastAsia="KaiTi_GB2312" w:cs="KaiTi_GB2312"/>
          <w:spacing w:val="-5"/>
          <w:sz w:val="28"/>
          <w:szCs w:val="28"/>
        </w:rPr>
        <w:t>193</w:t>
      </w:r>
      <w:r>
        <w:rPr>
          <w:rFonts w:ascii="KaiTi_GB2312" w:hAnsi="KaiTi_GB2312" w:eastAsia="KaiTi_GB2312" w:cs="KaiTi_GB2312"/>
          <w:spacing w:val="-54"/>
          <w:sz w:val="28"/>
          <w:szCs w:val="28"/>
        </w:rPr>
        <w:t xml:space="preserve"> </w:t>
      </w:r>
      <w:r>
        <w:rPr>
          <w:rFonts w:ascii="KaiTi_GB2312" w:hAnsi="KaiTi_GB2312" w:eastAsia="KaiTi_GB2312" w:cs="KaiTi_GB2312"/>
          <w:spacing w:val="-5"/>
          <w:sz w:val="28"/>
          <w:szCs w:val="28"/>
        </w:rPr>
        <w:t>号</w:t>
      </w:r>
    </w:p>
    <w:p>
      <w:pPr>
        <w:spacing w:line="465" w:lineRule="auto"/>
        <w:rPr>
          <w:rFonts w:ascii="Arial"/>
          <w:sz w:val="21"/>
        </w:rPr>
      </w:pPr>
    </w:p>
    <w:p>
      <w:pPr>
        <w:spacing w:before="65" w:line="367" w:lineRule="auto"/>
        <w:ind w:left="20" w:firstLine="404"/>
        <w:rPr>
          <w:rFonts w:ascii="宋体" w:hAnsi="宋体" w:eastAsia="宋体" w:cs="宋体"/>
          <w:sz w:val="20"/>
          <w:szCs w:val="20"/>
        </w:rPr>
      </w:pPr>
      <w:r>
        <w:rPr>
          <w:rFonts w:ascii="宋体" w:hAnsi="宋体" w:eastAsia="宋体" w:cs="宋体"/>
          <w:spacing w:val="6"/>
          <w:sz w:val="20"/>
          <w:szCs w:val="20"/>
        </w:rPr>
        <w:t>现批准《通用安装工程工程量计算标准》为国家标准，编号为</w:t>
      </w:r>
      <w:r>
        <w:rPr>
          <w:rFonts w:ascii="宋体" w:hAnsi="宋体" w:eastAsia="宋体" w:cs="宋体"/>
          <w:spacing w:val="-37"/>
          <w:sz w:val="20"/>
          <w:szCs w:val="20"/>
        </w:rPr>
        <w:t xml:space="preserve"> </w:t>
      </w:r>
      <w:r>
        <w:rPr>
          <w:rFonts w:ascii="宋体" w:hAnsi="宋体" w:eastAsia="宋体" w:cs="宋体"/>
          <w:sz w:val="20"/>
          <w:szCs w:val="20"/>
        </w:rPr>
        <w:t>GB</w:t>
      </w:r>
      <w:r>
        <w:rPr>
          <w:rFonts w:ascii="宋体" w:hAnsi="宋体" w:eastAsia="宋体" w:cs="宋体"/>
          <w:spacing w:val="6"/>
          <w:sz w:val="20"/>
          <w:szCs w:val="20"/>
        </w:rPr>
        <w:t>/T50</w:t>
      </w:r>
      <w:r>
        <w:rPr>
          <w:rFonts w:ascii="宋体" w:hAnsi="宋体" w:eastAsia="宋体" w:cs="宋体"/>
          <w:spacing w:val="5"/>
          <w:sz w:val="20"/>
          <w:szCs w:val="20"/>
        </w:rPr>
        <w:t>856-2024,</w:t>
      </w:r>
      <w:r>
        <w:rPr>
          <w:rFonts w:ascii="宋体" w:hAnsi="宋体" w:eastAsia="宋体" w:cs="宋体"/>
          <w:spacing w:val="-54"/>
          <w:sz w:val="20"/>
          <w:szCs w:val="20"/>
        </w:rPr>
        <w:t xml:space="preserve"> </w:t>
      </w:r>
      <w:r>
        <w:rPr>
          <w:rFonts w:ascii="宋体" w:hAnsi="宋体" w:eastAsia="宋体" w:cs="宋体"/>
          <w:spacing w:val="5"/>
          <w:sz w:val="20"/>
          <w:szCs w:val="20"/>
        </w:rPr>
        <w:t>自</w:t>
      </w:r>
      <w:r>
        <w:rPr>
          <w:rFonts w:ascii="宋体" w:hAnsi="宋体" w:eastAsia="宋体" w:cs="宋体"/>
          <w:spacing w:val="-42"/>
          <w:sz w:val="20"/>
          <w:szCs w:val="20"/>
        </w:rPr>
        <w:t xml:space="preserve"> </w:t>
      </w:r>
      <w:r>
        <w:rPr>
          <w:rFonts w:ascii="宋体" w:hAnsi="宋体" w:eastAsia="宋体" w:cs="宋体"/>
          <w:spacing w:val="5"/>
          <w:sz w:val="20"/>
          <w:szCs w:val="20"/>
        </w:rPr>
        <w:t>2025</w:t>
      </w:r>
      <w:r>
        <w:rPr>
          <w:rFonts w:ascii="宋体" w:hAnsi="宋体" w:eastAsia="宋体" w:cs="宋体"/>
          <w:spacing w:val="-39"/>
          <w:sz w:val="20"/>
          <w:szCs w:val="20"/>
        </w:rPr>
        <w:t xml:space="preserve"> </w:t>
      </w:r>
      <w:r>
        <w:rPr>
          <w:rFonts w:ascii="宋体" w:hAnsi="宋体" w:eastAsia="宋体" w:cs="宋体"/>
          <w:spacing w:val="5"/>
          <w:sz w:val="20"/>
          <w:szCs w:val="20"/>
        </w:rPr>
        <w:t>年</w:t>
      </w:r>
      <w:r>
        <w:rPr>
          <w:rFonts w:ascii="宋体" w:hAnsi="宋体" w:eastAsia="宋体" w:cs="宋体"/>
          <w:spacing w:val="-42"/>
          <w:sz w:val="20"/>
          <w:szCs w:val="20"/>
        </w:rPr>
        <w:t xml:space="preserve"> </w:t>
      </w:r>
      <w:r>
        <w:rPr>
          <w:rFonts w:ascii="宋体" w:hAnsi="宋体" w:eastAsia="宋体" w:cs="宋体"/>
          <w:spacing w:val="5"/>
          <w:sz w:val="20"/>
          <w:szCs w:val="20"/>
        </w:rPr>
        <w:t>9</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7"/>
          <w:sz w:val="20"/>
          <w:szCs w:val="20"/>
        </w:rPr>
        <w:t>1 日起实施。原国家标准《通用安装工程工程量计算规范》（</w:t>
      </w:r>
      <w:r>
        <w:rPr>
          <w:rFonts w:ascii="宋体" w:hAnsi="宋体" w:eastAsia="宋体" w:cs="宋体"/>
          <w:spacing w:val="-47"/>
          <w:sz w:val="20"/>
          <w:szCs w:val="20"/>
        </w:rPr>
        <w:t xml:space="preserve"> </w:t>
      </w:r>
      <w:r>
        <w:rPr>
          <w:rFonts w:ascii="宋体" w:hAnsi="宋体" w:eastAsia="宋体" w:cs="宋体"/>
          <w:sz w:val="20"/>
          <w:szCs w:val="20"/>
        </w:rPr>
        <w:t>GB</w:t>
      </w:r>
      <w:r>
        <w:rPr>
          <w:rFonts w:ascii="宋体" w:hAnsi="宋体" w:eastAsia="宋体" w:cs="宋体"/>
          <w:spacing w:val="7"/>
          <w:sz w:val="20"/>
          <w:szCs w:val="20"/>
        </w:rPr>
        <w:t>50856-2013）同时废止。</w:t>
      </w:r>
    </w:p>
    <w:p>
      <w:pPr>
        <w:spacing w:before="3" w:line="351" w:lineRule="auto"/>
        <w:ind w:right="57"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302" w:lineRule="auto"/>
        <w:rPr>
          <w:rFonts w:ascii="Arial"/>
          <w:sz w:val="21"/>
        </w:rPr>
      </w:pPr>
    </w:p>
    <w:p>
      <w:pPr>
        <w:spacing w:line="302" w:lineRule="auto"/>
        <w:rPr>
          <w:rFonts w:ascii="Arial"/>
          <w:sz w:val="21"/>
        </w:rPr>
      </w:pPr>
    </w:p>
    <w:p>
      <w:pPr>
        <w:spacing w:line="303" w:lineRule="auto"/>
        <w:rPr>
          <w:rFonts w:ascii="Arial"/>
          <w:sz w:val="21"/>
        </w:rPr>
      </w:pPr>
    </w:p>
    <w:p>
      <w:pPr>
        <w:spacing w:before="66" w:line="221" w:lineRule="auto"/>
        <w:ind w:left="7289"/>
        <w:rPr>
          <w:rFonts w:ascii="宋体" w:hAnsi="宋体" w:eastAsia="宋体" w:cs="宋体"/>
          <w:sz w:val="20"/>
          <w:szCs w:val="20"/>
        </w:rPr>
      </w:pPr>
      <w:r>
        <w:rPr>
          <w:rFonts w:ascii="宋体" w:hAnsi="宋体" w:eastAsia="宋体" w:cs="宋体"/>
          <w:spacing w:val="9"/>
          <w:sz w:val="20"/>
          <w:szCs w:val="20"/>
        </w:rPr>
        <w:t>住房城乡建设部</w:t>
      </w:r>
    </w:p>
    <w:p>
      <w:pPr>
        <w:spacing w:before="158" w:line="278" w:lineRule="exact"/>
        <w:ind w:left="7193"/>
        <w:rPr>
          <w:rFonts w:ascii="宋体" w:hAnsi="宋体" w:eastAsia="宋体" w:cs="宋体"/>
          <w:sz w:val="20"/>
          <w:szCs w:val="20"/>
        </w:rPr>
      </w:pPr>
      <w:r>
        <w:rPr>
          <w:rFonts w:ascii="宋体" w:hAnsi="宋体" w:eastAsia="宋体" w:cs="宋体"/>
          <w:spacing w:val="-2"/>
          <w:position w:val="1"/>
          <w:sz w:val="20"/>
          <w:szCs w:val="20"/>
        </w:rPr>
        <w:t>2024</w:t>
      </w:r>
      <w:r>
        <w:rPr>
          <w:rFonts w:ascii="宋体" w:hAnsi="宋体" w:eastAsia="宋体" w:cs="宋体"/>
          <w:spacing w:val="-35"/>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12 日</w:t>
      </w:r>
    </w:p>
    <w:p>
      <w:pPr>
        <w:spacing w:line="278" w:lineRule="exact"/>
        <w:rPr>
          <w:rFonts w:ascii="宋体" w:hAnsi="宋体" w:eastAsia="宋体" w:cs="宋体"/>
          <w:sz w:val="20"/>
          <w:szCs w:val="20"/>
        </w:rPr>
        <w:sectPr>
          <w:footerReference r:id="rId282" w:type="default"/>
          <w:pgSz w:w="11910" w:h="16840"/>
          <w:pgMar w:top="400" w:right="1445" w:bottom="1211" w:left="1420" w:header="0" w:footer="896"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1839"/>
        <w:outlineLvl w:val="0"/>
        <w:rPr>
          <w:rFonts w:ascii="方正小标宋简体" w:hAnsi="方正小标宋简体" w:eastAsia="方正小标宋简体" w:cs="方正小标宋简体"/>
          <w:sz w:val="35"/>
          <w:szCs w:val="35"/>
        </w:rPr>
      </w:pPr>
      <w:bookmarkStart w:id="188" w:name="bookmark116"/>
      <w:bookmarkEnd w:id="188"/>
      <w:r>
        <w:rPr>
          <w:rFonts w:ascii="方正小标宋简体" w:hAnsi="方正小标宋简体" w:eastAsia="方正小标宋简体" w:cs="方正小标宋简体"/>
          <w:spacing w:val="9"/>
          <w:sz w:val="35"/>
          <w:szCs w:val="35"/>
        </w:rPr>
        <w:t>住房城乡建设部关于发布国家标准</w:t>
      </w:r>
    </w:p>
    <w:p>
      <w:pPr>
        <w:spacing w:before="109" w:line="242" w:lineRule="auto"/>
        <w:ind w:left="1636"/>
        <w:outlineLvl w:val="0"/>
        <w:rPr>
          <w:rFonts w:ascii="方正小标宋简体" w:hAnsi="方正小标宋简体" w:eastAsia="方正小标宋简体" w:cs="方正小标宋简体"/>
          <w:sz w:val="35"/>
          <w:szCs w:val="35"/>
        </w:rPr>
      </w:pPr>
      <w:bookmarkStart w:id="189" w:name="bookmark116"/>
      <w:bookmarkEnd w:id="189"/>
      <w:r>
        <w:rPr>
          <w:rFonts w:ascii="方正小标宋简体" w:hAnsi="方正小标宋简体" w:eastAsia="方正小标宋简体" w:cs="方正小标宋简体"/>
          <w:spacing w:val="9"/>
          <w:sz w:val="35"/>
          <w:szCs w:val="35"/>
        </w:rPr>
        <w:t>《市政工程工程量计算标准》</w:t>
      </w:r>
      <w:r>
        <w:rPr>
          <w:rFonts w:ascii="方正小标宋简体" w:hAnsi="方正小标宋简体" w:eastAsia="方正小标宋简体" w:cs="方正小标宋简体"/>
          <w:spacing w:val="-56"/>
          <w:sz w:val="35"/>
          <w:szCs w:val="35"/>
        </w:rPr>
        <w:t xml:space="preserve"> </w:t>
      </w:r>
      <w:r>
        <w:rPr>
          <w:rFonts w:ascii="方正小标宋简体" w:hAnsi="方正小标宋简体" w:eastAsia="方正小标宋简体" w:cs="方正小标宋简体"/>
          <w:spacing w:val="9"/>
          <w:sz w:val="35"/>
          <w:szCs w:val="35"/>
        </w:rPr>
        <w:t>的公告</w:t>
      </w:r>
    </w:p>
    <w:p>
      <w:pPr>
        <w:spacing w:line="407" w:lineRule="auto"/>
        <w:rPr>
          <w:rFonts w:ascii="Arial"/>
          <w:sz w:val="21"/>
        </w:rPr>
      </w:pPr>
    </w:p>
    <w:p>
      <w:pPr>
        <w:spacing w:before="91" w:line="214" w:lineRule="auto"/>
        <w:ind w:left="1144"/>
        <w:outlineLvl w:val="0"/>
        <w:rPr>
          <w:rFonts w:ascii="KaiTi_GB2312" w:hAnsi="KaiTi_GB2312" w:eastAsia="KaiTi_GB2312" w:cs="KaiTi_GB2312"/>
          <w:sz w:val="28"/>
          <w:szCs w:val="28"/>
        </w:rPr>
      </w:pPr>
      <w:bookmarkStart w:id="190" w:name="bookmark116"/>
      <w:bookmarkEnd w:id="190"/>
      <w:r>
        <w:rPr>
          <w:rFonts w:ascii="KaiTi_GB2312" w:hAnsi="KaiTi_GB2312" w:eastAsia="KaiTi_GB2312" w:cs="KaiTi_GB2312"/>
          <w:spacing w:val="-4"/>
          <w:sz w:val="28"/>
          <w:szCs w:val="28"/>
        </w:rPr>
        <w:t>中华人民共和国住房和城乡建设部公告</w:t>
      </w:r>
      <w:r>
        <w:rPr>
          <w:rFonts w:ascii="KaiTi_GB2312" w:hAnsi="KaiTi_GB2312" w:eastAsia="KaiTi_GB2312" w:cs="KaiTi_GB2312"/>
          <w:spacing w:val="-37"/>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年第</w:t>
      </w:r>
      <w:r>
        <w:rPr>
          <w:rFonts w:ascii="KaiTi_GB2312" w:hAnsi="KaiTi_GB2312" w:eastAsia="KaiTi_GB2312" w:cs="KaiTi_GB2312"/>
          <w:spacing w:val="-42"/>
          <w:sz w:val="28"/>
          <w:szCs w:val="28"/>
        </w:rPr>
        <w:t xml:space="preserve"> </w:t>
      </w:r>
      <w:r>
        <w:rPr>
          <w:rFonts w:ascii="KaiTi_GB2312" w:hAnsi="KaiTi_GB2312" w:eastAsia="KaiTi_GB2312" w:cs="KaiTi_GB2312"/>
          <w:spacing w:val="-4"/>
          <w:sz w:val="28"/>
          <w:szCs w:val="28"/>
        </w:rPr>
        <w:t>194</w:t>
      </w:r>
      <w:r>
        <w:rPr>
          <w:rFonts w:ascii="KaiTi_GB2312" w:hAnsi="KaiTi_GB2312" w:eastAsia="KaiTi_GB2312" w:cs="KaiTi_GB2312"/>
          <w:spacing w:val="-54"/>
          <w:sz w:val="28"/>
          <w:szCs w:val="28"/>
        </w:rPr>
        <w:t xml:space="preserve"> </w:t>
      </w:r>
      <w:r>
        <w:rPr>
          <w:rFonts w:ascii="KaiTi_GB2312" w:hAnsi="KaiTi_GB2312" w:eastAsia="KaiTi_GB2312" w:cs="KaiTi_GB2312"/>
          <w:spacing w:val="-4"/>
          <w:sz w:val="28"/>
          <w:szCs w:val="28"/>
        </w:rPr>
        <w:t>号</w:t>
      </w:r>
    </w:p>
    <w:p>
      <w:pPr>
        <w:spacing w:line="252" w:lineRule="auto"/>
        <w:rPr>
          <w:rFonts w:ascii="Arial"/>
          <w:sz w:val="21"/>
        </w:rPr>
      </w:pPr>
    </w:p>
    <w:p>
      <w:pPr>
        <w:spacing w:line="252" w:lineRule="auto"/>
        <w:rPr>
          <w:rFonts w:ascii="Arial"/>
          <w:sz w:val="21"/>
        </w:rPr>
      </w:pPr>
    </w:p>
    <w:p>
      <w:pPr>
        <w:spacing w:before="65" w:line="369" w:lineRule="auto"/>
        <w:ind w:right="25" w:firstLine="424"/>
        <w:rPr>
          <w:rFonts w:ascii="宋体" w:hAnsi="宋体" w:eastAsia="宋体" w:cs="宋体"/>
          <w:sz w:val="20"/>
          <w:szCs w:val="20"/>
        </w:rPr>
      </w:pPr>
      <w:r>
        <w:rPr>
          <w:rFonts w:ascii="宋体" w:hAnsi="宋体" w:eastAsia="宋体" w:cs="宋体"/>
          <w:spacing w:val="4"/>
          <w:sz w:val="20"/>
          <w:szCs w:val="20"/>
        </w:rPr>
        <w:t>现批准《市政工程工程量计算标准》为国家标准，编号为</w:t>
      </w:r>
      <w:r>
        <w:rPr>
          <w:rFonts w:ascii="宋体" w:hAnsi="宋体" w:eastAsia="宋体" w:cs="宋体"/>
          <w:spacing w:val="-38"/>
          <w:sz w:val="20"/>
          <w:szCs w:val="20"/>
        </w:rPr>
        <w:t xml:space="preserve"> </w:t>
      </w:r>
      <w:r>
        <w:rPr>
          <w:rFonts w:ascii="宋体" w:hAnsi="宋体" w:eastAsia="宋体" w:cs="宋体"/>
          <w:sz w:val="20"/>
          <w:szCs w:val="20"/>
        </w:rPr>
        <w:t>GB</w:t>
      </w:r>
      <w:r>
        <w:rPr>
          <w:rFonts w:ascii="宋体" w:hAnsi="宋体" w:eastAsia="宋体" w:cs="宋体"/>
          <w:spacing w:val="4"/>
          <w:sz w:val="20"/>
          <w:szCs w:val="20"/>
        </w:rPr>
        <w:t>/T50857-2024,</w:t>
      </w:r>
      <w:r>
        <w:rPr>
          <w:rFonts w:ascii="宋体" w:hAnsi="宋体" w:eastAsia="宋体" w:cs="宋体"/>
          <w:spacing w:val="-54"/>
          <w:sz w:val="20"/>
          <w:szCs w:val="20"/>
        </w:rPr>
        <w:t xml:space="preserve"> </w:t>
      </w:r>
      <w:r>
        <w:rPr>
          <w:rFonts w:ascii="宋体" w:hAnsi="宋体" w:eastAsia="宋体" w:cs="宋体"/>
          <w:spacing w:val="4"/>
          <w:sz w:val="20"/>
          <w:szCs w:val="20"/>
        </w:rPr>
        <w:t>自</w:t>
      </w:r>
      <w:r>
        <w:rPr>
          <w:rFonts w:ascii="宋体" w:hAnsi="宋体" w:eastAsia="宋体" w:cs="宋体"/>
          <w:spacing w:val="-42"/>
          <w:sz w:val="20"/>
          <w:szCs w:val="20"/>
        </w:rPr>
        <w:t xml:space="preserve"> </w:t>
      </w:r>
      <w:r>
        <w:rPr>
          <w:rFonts w:ascii="宋体" w:hAnsi="宋体" w:eastAsia="宋体" w:cs="宋体"/>
          <w:spacing w:val="4"/>
          <w:sz w:val="20"/>
          <w:szCs w:val="20"/>
        </w:rPr>
        <w:t>2025</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41"/>
          <w:sz w:val="20"/>
          <w:szCs w:val="20"/>
        </w:rPr>
        <w:t xml:space="preserve"> </w:t>
      </w:r>
      <w:r>
        <w:rPr>
          <w:rFonts w:ascii="宋体" w:hAnsi="宋体" w:eastAsia="宋体" w:cs="宋体"/>
          <w:spacing w:val="4"/>
          <w:sz w:val="20"/>
          <w:szCs w:val="20"/>
        </w:rPr>
        <w:t>9</w:t>
      </w:r>
      <w:r>
        <w:rPr>
          <w:rFonts w:ascii="宋体" w:hAnsi="宋体" w:eastAsia="宋体" w:cs="宋体"/>
          <w:spacing w:val="-41"/>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w:t>
      </w:r>
      <w:r>
        <w:rPr>
          <w:rFonts w:ascii="宋体" w:hAnsi="宋体" w:eastAsia="宋体" w:cs="宋体"/>
          <w:spacing w:val="3"/>
          <w:sz w:val="20"/>
          <w:szCs w:val="20"/>
        </w:rPr>
        <w:t xml:space="preserve"> 日</w:t>
      </w:r>
      <w:r>
        <w:rPr>
          <w:rFonts w:ascii="宋体" w:hAnsi="宋体" w:eastAsia="宋体" w:cs="宋体"/>
          <w:spacing w:val="10"/>
          <w:sz w:val="20"/>
          <w:szCs w:val="20"/>
        </w:rPr>
        <w:t>起实施。原国家标准《市政工程工程量计算规范》（</w:t>
      </w:r>
      <w:r>
        <w:rPr>
          <w:rFonts w:ascii="宋体" w:hAnsi="宋体" w:eastAsia="宋体" w:cs="宋体"/>
          <w:sz w:val="20"/>
          <w:szCs w:val="20"/>
        </w:rPr>
        <w:t>GB</w:t>
      </w:r>
      <w:r>
        <w:rPr>
          <w:rFonts w:ascii="宋体" w:hAnsi="宋体" w:eastAsia="宋体" w:cs="宋体"/>
          <w:spacing w:val="10"/>
          <w:sz w:val="20"/>
          <w:szCs w:val="20"/>
        </w:rPr>
        <w:t>50857-2013）同时废止。</w:t>
      </w:r>
    </w:p>
    <w:p>
      <w:pPr>
        <w:spacing w:before="1" w:line="349" w:lineRule="auto"/>
        <w:ind w:right="83"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304" w:lineRule="auto"/>
        <w:rPr>
          <w:rFonts w:ascii="Arial"/>
          <w:sz w:val="21"/>
        </w:rPr>
      </w:pPr>
    </w:p>
    <w:p>
      <w:pPr>
        <w:spacing w:line="304" w:lineRule="auto"/>
        <w:rPr>
          <w:rFonts w:ascii="Arial"/>
          <w:sz w:val="21"/>
        </w:rPr>
      </w:pPr>
    </w:p>
    <w:p>
      <w:pPr>
        <w:spacing w:line="304" w:lineRule="auto"/>
        <w:rPr>
          <w:rFonts w:ascii="Arial"/>
          <w:sz w:val="21"/>
        </w:rPr>
      </w:pPr>
    </w:p>
    <w:p>
      <w:pPr>
        <w:spacing w:before="65" w:line="221" w:lineRule="auto"/>
        <w:ind w:left="7371"/>
        <w:rPr>
          <w:rFonts w:ascii="宋体" w:hAnsi="宋体" w:eastAsia="宋体" w:cs="宋体"/>
          <w:sz w:val="20"/>
          <w:szCs w:val="20"/>
        </w:rPr>
      </w:pPr>
      <w:r>
        <w:rPr>
          <w:rFonts w:ascii="宋体" w:hAnsi="宋体" w:eastAsia="宋体" w:cs="宋体"/>
          <w:spacing w:val="9"/>
          <w:sz w:val="20"/>
          <w:szCs w:val="20"/>
        </w:rPr>
        <w:t>住房城乡建设部</w:t>
      </w:r>
    </w:p>
    <w:p>
      <w:pPr>
        <w:spacing w:before="159" w:line="277" w:lineRule="exact"/>
        <w:ind w:left="7246"/>
        <w:rPr>
          <w:rFonts w:ascii="宋体" w:hAnsi="宋体" w:eastAsia="宋体" w:cs="宋体"/>
          <w:sz w:val="20"/>
          <w:szCs w:val="20"/>
        </w:rPr>
      </w:pPr>
      <w:r>
        <w:rPr>
          <w:rFonts w:ascii="宋体" w:hAnsi="宋体" w:eastAsia="宋体" w:cs="宋体"/>
          <w:spacing w:val="-2"/>
          <w:position w:val="1"/>
          <w:sz w:val="20"/>
          <w:szCs w:val="20"/>
        </w:rPr>
        <w:t>2024</w:t>
      </w:r>
      <w:r>
        <w:rPr>
          <w:rFonts w:ascii="宋体" w:hAnsi="宋体" w:eastAsia="宋体" w:cs="宋体"/>
          <w:spacing w:val="-33"/>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12 日</w:t>
      </w:r>
    </w:p>
    <w:p>
      <w:pPr>
        <w:spacing w:line="277" w:lineRule="exact"/>
        <w:rPr>
          <w:rFonts w:ascii="宋体" w:hAnsi="宋体" w:eastAsia="宋体" w:cs="宋体"/>
          <w:sz w:val="20"/>
          <w:szCs w:val="20"/>
        </w:rPr>
        <w:sectPr>
          <w:footerReference r:id="rId283" w:type="default"/>
          <w:pgSz w:w="11910" w:h="16840"/>
          <w:pgMar w:top="400" w:right="1419" w:bottom="1211" w:left="1420" w:header="0" w:footer="896"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1839"/>
        <w:rPr>
          <w:rFonts w:ascii="方正小标宋简体" w:hAnsi="方正小标宋简体" w:eastAsia="方正小标宋简体" w:cs="方正小标宋简体"/>
          <w:sz w:val="35"/>
          <w:szCs w:val="35"/>
        </w:rPr>
      </w:pPr>
      <w:bookmarkStart w:id="191" w:name="bookmark192"/>
      <w:bookmarkEnd w:id="191"/>
      <w:r>
        <w:rPr>
          <w:rFonts w:ascii="方正小标宋简体" w:hAnsi="方正小标宋简体" w:eastAsia="方正小标宋简体" w:cs="方正小标宋简体"/>
          <w:spacing w:val="9"/>
          <w:sz w:val="35"/>
          <w:szCs w:val="35"/>
        </w:rPr>
        <w:t>住房城乡建设部关于发布国家标准</w:t>
      </w:r>
    </w:p>
    <w:p>
      <w:pPr>
        <w:spacing w:before="109" w:line="242" w:lineRule="auto"/>
        <w:ind w:left="1276"/>
        <w:rPr>
          <w:rFonts w:ascii="方正小标宋简体" w:hAnsi="方正小标宋简体" w:eastAsia="方正小标宋简体" w:cs="方正小标宋简体"/>
          <w:sz w:val="35"/>
          <w:szCs w:val="35"/>
        </w:rPr>
      </w:pPr>
      <w:r>
        <w:rPr>
          <w:rFonts w:ascii="方正小标宋简体" w:hAnsi="方正小标宋简体" w:eastAsia="方正小标宋简体" w:cs="方正小标宋简体"/>
          <w:spacing w:val="9"/>
          <w:sz w:val="35"/>
          <w:szCs w:val="35"/>
        </w:rPr>
        <w:t>《园林绿化工程工程量计算标准》</w:t>
      </w:r>
      <w:r>
        <w:rPr>
          <w:rFonts w:ascii="方正小标宋简体" w:hAnsi="方正小标宋简体" w:eastAsia="方正小标宋简体" w:cs="方正小标宋简体"/>
          <w:spacing w:val="-54"/>
          <w:sz w:val="35"/>
          <w:szCs w:val="35"/>
        </w:rPr>
        <w:t xml:space="preserve"> </w:t>
      </w:r>
      <w:r>
        <w:rPr>
          <w:rFonts w:ascii="方正小标宋简体" w:hAnsi="方正小标宋简体" w:eastAsia="方正小标宋简体" w:cs="方正小标宋简体"/>
          <w:spacing w:val="9"/>
          <w:sz w:val="35"/>
          <w:szCs w:val="35"/>
        </w:rPr>
        <w:t>的公告</w:t>
      </w:r>
    </w:p>
    <w:p>
      <w:pPr>
        <w:spacing w:line="407" w:lineRule="auto"/>
        <w:rPr>
          <w:rFonts w:ascii="Arial"/>
          <w:sz w:val="21"/>
        </w:rPr>
      </w:pPr>
    </w:p>
    <w:p>
      <w:pPr>
        <w:spacing w:before="91" w:line="214" w:lineRule="auto"/>
        <w:ind w:left="1564"/>
        <w:outlineLvl w:val="0"/>
        <w:rPr>
          <w:rFonts w:ascii="KaiTi_GB2312" w:hAnsi="KaiTi_GB2312" w:eastAsia="KaiTi_GB2312" w:cs="KaiTi_GB2312"/>
          <w:sz w:val="28"/>
          <w:szCs w:val="28"/>
        </w:rPr>
      </w:pPr>
      <w:bookmarkStart w:id="192" w:name="bookmark117"/>
      <w:bookmarkEnd w:id="192"/>
      <w:r>
        <w:rPr>
          <w:rFonts w:ascii="KaiTi_GB2312" w:hAnsi="KaiTi_GB2312" w:eastAsia="KaiTi_GB2312" w:cs="KaiTi_GB2312"/>
          <w:spacing w:val="-4"/>
          <w:sz w:val="28"/>
          <w:szCs w:val="28"/>
        </w:rPr>
        <w:t>中华人民共和国住房和城乡建设</w:t>
      </w:r>
      <w:r>
        <w:rPr>
          <w:rFonts w:ascii="KaiTi_GB2312" w:hAnsi="KaiTi_GB2312" w:eastAsia="KaiTi_GB2312" w:cs="KaiTi_GB2312"/>
          <w:spacing w:val="-49"/>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年第</w:t>
      </w:r>
      <w:r>
        <w:rPr>
          <w:rFonts w:ascii="KaiTi_GB2312" w:hAnsi="KaiTi_GB2312" w:eastAsia="KaiTi_GB2312" w:cs="KaiTi_GB2312"/>
          <w:spacing w:val="-42"/>
          <w:sz w:val="28"/>
          <w:szCs w:val="28"/>
        </w:rPr>
        <w:t xml:space="preserve"> </w:t>
      </w:r>
      <w:r>
        <w:rPr>
          <w:rFonts w:ascii="KaiTi_GB2312" w:hAnsi="KaiTi_GB2312" w:eastAsia="KaiTi_GB2312" w:cs="KaiTi_GB2312"/>
          <w:spacing w:val="-4"/>
          <w:sz w:val="28"/>
          <w:szCs w:val="28"/>
        </w:rPr>
        <w:t>195</w:t>
      </w:r>
      <w:r>
        <w:rPr>
          <w:rFonts w:ascii="KaiTi_GB2312" w:hAnsi="KaiTi_GB2312" w:eastAsia="KaiTi_GB2312" w:cs="KaiTi_GB2312"/>
          <w:spacing w:val="-54"/>
          <w:sz w:val="28"/>
          <w:szCs w:val="28"/>
        </w:rPr>
        <w:t xml:space="preserve"> </w:t>
      </w:r>
      <w:r>
        <w:rPr>
          <w:rFonts w:ascii="KaiTi_GB2312" w:hAnsi="KaiTi_GB2312" w:eastAsia="KaiTi_GB2312" w:cs="KaiTi_GB2312"/>
          <w:spacing w:val="-4"/>
          <w:sz w:val="28"/>
          <w:szCs w:val="28"/>
        </w:rPr>
        <w:t>号</w:t>
      </w:r>
    </w:p>
    <w:p>
      <w:pPr>
        <w:spacing w:line="465" w:lineRule="auto"/>
        <w:rPr>
          <w:rFonts w:ascii="Arial"/>
          <w:sz w:val="21"/>
        </w:rPr>
      </w:pPr>
    </w:p>
    <w:p>
      <w:pPr>
        <w:spacing w:before="65" w:line="367" w:lineRule="auto"/>
        <w:ind w:left="4" w:right="45" w:firstLine="420"/>
        <w:rPr>
          <w:rFonts w:ascii="宋体" w:hAnsi="宋体" w:eastAsia="宋体" w:cs="宋体"/>
          <w:sz w:val="20"/>
          <w:szCs w:val="20"/>
        </w:rPr>
      </w:pPr>
      <w:r>
        <w:rPr>
          <w:rFonts w:ascii="宋体" w:hAnsi="宋体" w:eastAsia="宋体" w:cs="宋体"/>
          <w:spacing w:val="8"/>
          <w:sz w:val="20"/>
          <w:szCs w:val="20"/>
        </w:rPr>
        <w:t>现批准《园林绿化工程工程量计算标准》为国家标准，编号为</w:t>
      </w:r>
      <w:r>
        <w:rPr>
          <w:rFonts w:ascii="宋体" w:hAnsi="宋体" w:eastAsia="宋体" w:cs="宋体"/>
          <w:spacing w:val="-24"/>
          <w:sz w:val="20"/>
          <w:szCs w:val="20"/>
        </w:rPr>
        <w:t xml:space="preserve"> </w:t>
      </w:r>
      <w:r>
        <w:rPr>
          <w:rFonts w:ascii="宋体" w:hAnsi="宋体" w:eastAsia="宋体" w:cs="宋体"/>
          <w:sz w:val="20"/>
          <w:szCs w:val="20"/>
        </w:rPr>
        <w:t>GB</w:t>
      </w:r>
      <w:r>
        <w:rPr>
          <w:rFonts w:ascii="宋体" w:hAnsi="宋体" w:eastAsia="宋体" w:cs="宋体"/>
          <w:spacing w:val="8"/>
          <w:sz w:val="20"/>
          <w:szCs w:val="20"/>
        </w:rPr>
        <w:t>/T50858-2024，</w:t>
      </w:r>
      <w:r>
        <w:rPr>
          <w:rFonts w:ascii="宋体" w:hAnsi="宋体" w:eastAsia="宋体" w:cs="宋体"/>
          <w:spacing w:val="-60"/>
          <w:sz w:val="20"/>
          <w:szCs w:val="20"/>
        </w:rPr>
        <w:t xml:space="preserve"> </w:t>
      </w:r>
      <w:r>
        <w:rPr>
          <w:rFonts w:ascii="宋体" w:hAnsi="宋体" w:eastAsia="宋体" w:cs="宋体"/>
          <w:spacing w:val="8"/>
          <w:sz w:val="20"/>
          <w:szCs w:val="20"/>
        </w:rPr>
        <w:t>自</w:t>
      </w:r>
      <w:r>
        <w:rPr>
          <w:rFonts w:ascii="宋体" w:hAnsi="宋体" w:eastAsia="宋体" w:cs="宋体"/>
          <w:spacing w:val="-39"/>
          <w:sz w:val="20"/>
          <w:szCs w:val="20"/>
        </w:rPr>
        <w:t xml:space="preserve"> </w:t>
      </w:r>
      <w:r>
        <w:rPr>
          <w:rFonts w:ascii="宋体" w:hAnsi="宋体" w:eastAsia="宋体" w:cs="宋体"/>
          <w:spacing w:val="8"/>
          <w:sz w:val="20"/>
          <w:szCs w:val="20"/>
        </w:rPr>
        <w:t>2025</w:t>
      </w:r>
      <w:r>
        <w:rPr>
          <w:rFonts w:ascii="宋体" w:hAnsi="宋体" w:eastAsia="宋体" w:cs="宋体"/>
          <w:spacing w:val="-39"/>
          <w:sz w:val="20"/>
          <w:szCs w:val="20"/>
        </w:rPr>
        <w:t xml:space="preserve"> </w:t>
      </w:r>
      <w:r>
        <w:rPr>
          <w:rFonts w:ascii="宋体" w:hAnsi="宋体" w:eastAsia="宋体" w:cs="宋体"/>
          <w:spacing w:val="8"/>
          <w:sz w:val="20"/>
          <w:szCs w:val="20"/>
        </w:rPr>
        <w:t>年9</w:t>
      </w:r>
      <w:r>
        <w:rPr>
          <w:rFonts w:ascii="宋体" w:hAnsi="宋体" w:eastAsia="宋体" w:cs="宋体"/>
          <w:spacing w:val="7"/>
          <w:sz w:val="20"/>
          <w:szCs w:val="20"/>
        </w:rPr>
        <w:t>月</w:t>
      </w:r>
      <w:r>
        <w:rPr>
          <w:rFonts w:ascii="宋体" w:hAnsi="宋体" w:eastAsia="宋体" w:cs="宋体"/>
          <w:spacing w:val="-18"/>
          <w:sz w:val="20"/>
          <w:szCs w:val="20"/>
        </w:rPr>
        <w:t xml:space="preserve"> </w:t>
      </w:r>
      <w:r>
        <w:rPr>
          <w:rFonts w:ascii="宋体" w:hAnsi="宋体" w:eastAsia="宋体" w:cs="宋体"/>
          <w:spacing w:val="7"/>
          <w:sz w:val="20"/>
          <w:szCs w:val="20"/>
        </w:rPr>
        <w:t>1 日起实施。原国家标准《园林绿化工程工程量计算规范》（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7"/>
          <w:sz w:val="20"/>
          <w:szCs w:val="20"/>
        </w:rPr>
        <w:t>50858-2013）同时废止。</w:t>
      </w:r>
    </w:p>
    <w:p>
      <w:pPr>
        <w:spacing w:before="4" w:line="351" w:lineRule="auto"/>
        <w:ind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302" w:lineRule="auto"/>
        <w:rPr>
          <w:rFonts w:ascii="Arial"/>
          <w:sz w:val="21"/>
        </w:rPr>
      </w:pPr>
    </w:p>
    <w:p>
      <w:pPr>
        <w:spacing w:line="302" w:lineRule="auto"/>
        <w:rPr>
          <w:rFonts w:ascii="Arial"/>
          <w:sz w:val="21"/>
        </w:rPr>
      </w:pPr>
    </w:p>
    <w:p>
      <w:pPr>
        <w:spacing w:line="303" w:lineRule="auto"/>
        <w:rPr>
          <w:rFonts w:ascii="Arial"/>
          <w:sz w:val="21"/>
        </w:rPr>
      </w:pPr>
    </w:p>
    <w:p>
      <w:pPr>
        <w:spacing w:before="66" w:line="221" w:lineRule="auto"/>
        <w:ind w:left="7289"/>
        <w:rPr>
          <w:rFonts w:ascii="宋体" w:hAnsi="宋体" w:eastAsia="宋体" w:cs="宋体"/>
          <w:sz w:val="20"/>
          <w:szCs w:val="20"/>
        </w:rPr>
      </w:pPr>
      <w:r>
        <w:rPr>
          <w:rFonts w:ascii="宋体" w:hAnsi="宋体" w:eastAsia="宋体" w:cs="宋体"/>
          <w:spacing w:val="9"/>
          <w:sz w:val="20"/>
          <w:szCs w:val="20"/>
        </w:rPr>
        <w:t>住房城乡建设部</w:t>
      </w:r>
    </w:p>
    <w:p>
      <w:pPr>
        <w:spacing w:before="158" w:line="278" w:lineRule="exact"/>
        <w:ind w:right="34"/>
        <w:jc w:val="right"/>
        <w:rPr>
          <w:rFonts w:ascii="宋体" w:hAnsi="宋体" w:eastAsia="宋体" w:cs="宋体"/>
          <w:sz w:val="20"/>
          <w:szCs w:val="20"/>
        </w:rPr>
      </w:pPr>
      <w:r>
        <w:rPr>
          <w:rFonts w:ascii="宋体" w:hAnsi="宋体" w:eastAsia="宋体" w:cs="宋体"/>
          <w:spacing w:val="-2"/>
          <w:position w:val="1"/>
          <w:sz w:val="20"/>
          <w:szCs w:val="20"/>
        </w:rPr>
        <w:t>2024</w:t>
      </w:r>
      <w:r>
        <w:rPr>
          <w:rFonts w:ascii="宋体" w:hAnsi="宋体" w:eastAsia="宋体" w:cs="宋体"/>
          <w:spacing w:val="-35"/>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12 日</w:t>
      </w:r>
    </w:p>
    <w:p>
      <w:pPr>
        <w:spacing w:line="278" w:lineRule="exact"/>
        <w:rPr>
          <w:rFonts w:ascii="宋体" w:hAnsi="宋体" w:eastAsia="宋体" w:cs="宋体"/>
          <w:sz w:val="20"/>
          <w:szCs w:val="20"/>
        </w:rPr>
        <w:sectPr>
          <w:footerReference r:id="rId284" w:type="default"/>
          <w:pgSz w:w="11910" w:h="16840"/>
          <w:pgMar w:top="400" w:right="1503" w:bottom="1211" w:left="1420" w:header="0" w:footer="896"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1839"/>
        <w:outlineLvl w:val="0"/>
        <w:rPr>
          <w:rFonts w:ascii="方正小标宋简体" w:hAnsi="方正小标宋简体" w:eastAsia="方正小标宋简体" w:cs="方正小标宋简体"/>
          <w:sz w:val="35"/>
          <w:szCs w:val="35"/>
        </w:rPr>
      </w:pPr>
      <w:bookmarkStart w:id="193" w:name="bookmark118"/>
      <w:bookmarkEnd w:id="193"/>
      <w:bookmarkStart w:id="194" w:name="bookmark119"/>
      <w:bookmarkEnd w:id="194"/>
      <w:r>
        <w:rPr>
          <w:rFonts w:ascii="方正小标宋简体" w:hAnsi="方正小标宋简体" w:eastAsia="方正小标宋简体" w:cs="方正小标宋简体"/>
          <w:spacing w:val="9"/>
          <w:sz w:val="35"/>
          <w:szCs w:val="35"/>
        </w:rPr>
        <w:t>住房城乡建设部关于发布国家标准</w:t>
      </w:r>
    </w:p>
    <w:p>
      <w:pPr>
        <w:spacing w:before="111" w:line="363" w:lineRule="auto"/>
        <w:ind w:left="1144" w:right="1103" w:firstLine="131"/>
        <w:outlineLvl w:val="0"/>
        <w:rPr>
          <w:rFonts w:ascii="KaiTi_GB2312" w:hAnsi="KaiTi_GB2312" w:eastAsia="KaiTi_GB2312" w:cs="KaiTi_GB2312"/>
          <w:sz w:val="28"/>
          <w:szCs w:val="28"/>
        </w:rPr>
      </w:pPr>
      <w:bookmarkStart w:id="195" w:name="bookmark118"/>
      <w:bookmarkEnd w:id="195"/>
      <w:r>
        <w:rPr>
          <w:rFonts w:ascii="方正小标宋简体" w:hAnsi="方正小标宋简体" w:eastAsia="方正小标宋简体" w:cs="方正小标宋简体"/>
          <w:spacing w:val="9"/>
          <w:sz w:val="35"/>
          <w:szCs w:val="35"/>
        </w:rPr>
        <w:t>《建设工程工程量清单计价标准》</w:t>
      </w:r>
      <w:r>
        <w:rPr>
          <w:rFonts w:ascii="方正小标宋简体" w:hAnsi="方正小标宋简体" w:eastAsia="方正小标宋简体" w:cs="方正小标宋简体"/>
          <w:spacing w:val="-54"/>
          <w:sz w:val="35"/>
          <w:szCs w:val="35"/>
        </w:rPr>
        <w:t xml:space="preserve"> </w:t>
      </w:r>
      <w:r>
        <w:rPr>
          <w:rFonts w:ascii="方正小标宋简体" w:hAnsi="方正小标宋简体" w:eastAsia="方正小标宋简体" w:cs="方正小标宋简体"/>
          <w:spacing w:val="9"/>
          <w:sz w:val="35"/>
          <w:szCs w:val="35"/>
        </w:rPr>
        <w:t>的公告</w:t>
      </w:r>
      <w:bookmarkStart w:id="196" w:name="bookmark118"/>
      <w:bookmarkEnd w:id="196"/>
      <w:r>
        <w:rPr>
          <w:rFonts w:ascii="KaiTi_GB2312" w:hAnsi="KaiTi_GB2312" w:eastAsia="KaiTi_GB2312" w:cs="KaiTi_GB2312"/>
          <w:spacing w:val="-4"/>
          <w:sz w:val="28"/>
          <w:szCs w:val="28"/>
        </w:rPr>
        <w:t>中华人民共和国住房和城乡建设部公告</w:t>
      </w:r>
      <w:r>
        <w:rPr>
          <w:rFonts w:ascii="KaiTi_GB2312" w:hAnsi="KaiTi_GB2312" w:eastAsia="KaiTi_GB2312" w:cs="KaiTi_GB2312"/>
          <w:spacing w:val="-47"/>
          <w:sz w:val="28"/>
          <w:szCs w:val="28"/>
        </w:rPr>
        <w:t xml:space="preserve"> </w:t>
      </w:r>
      <w:r>
        <w:rPr>
          <w:rFonts w:ascii="KaiTi_GB2312" w:hAnsi="KaiTi_GB2312" w:eastAsia="KaiTi_GB2312" w:cs="KaiTi_GB2312"/>
          <w:spacing w:val="-4"/>
          <w:sz w:val="28"/>
          <w:szCs w:val="28"/>
        </w:rPr>
        <w:t>2024</w:t>
      </w:r>
      <w:r>
        <w:rPr>
          <w:rFonts w:ascii="KaiTi_GB2312" w:hAnsi="KaiTi_GB2312" w:eastAsia="KaiTi_GB2312" w:cs="KaiTi_GB2312"/>
          <w:spacing w:val="-63"/>
          <w:sz w:val="28"/>
          <w:szCs w:val="28"/>
        </w:rPr>
        <w:t xml:space="preserve"> </w:t>
      </w:r>
      <w:r>
        <w:rPr>
          <w:rFonts w:ascii="KaiTi_GB2312" w:hAnsi="KaiTi_GB2312" w:eastAsia="KaiTi_GB2312" w:cs="KaiTi_GB2312"/>
          <w:spacing w:val="-4"/>
          <w:sz w:val="28"/>
          <w:szCs w:val="28"/>
        </w:rPr>
        <w:t>年第</w:t>
      </w:r>
      <w:r>
        <w:rPr>
          <w:rFonts w:ascii="KaiTi_GB2312" w:hAnsi="KaiTi_GB2312" w:eastAsia="KaiTi_GB2312" w:cs="KaiTi_GB2312"/>
          <w:spacing w:val="-48"/>
          <w:sz w:val="28"/>
          <w:szCs w:val="28"/>
        </w:rPr>
        <w:t xml:space="preserve"> </w:t>
      </w:r>
      <w:r>
        <w:rPr>
          <w:rFonts w:ascii="KaiTi_GB2312" w:hAnsi="KaiTi_GB2312" w:eastAsia="KaiTi_GB2312" w:cs="KaiTi_GB2312"/>
          <w:spacing w:val="-4"/>
          <w:sz w:val="28"/>
          <w:szCs w:val="28"/>
        </w:rPr>
        <w:t>212</w:t>
      </w:r>
      <w:r>
        <w:rPr>
          <w:rFonts w:ascii="KaiTi_GB2312" w:hAnsi="KaiTi_GB2312" w:eastAsia="KaiTi_GB2312" w:cs="KaiTi_GB2312"/>
          <w:spacing w:val="-54"/>
          <w:sz w:val="28"/>
          <w:szCs w:val="28"/>
        </w:rPr>
        <w:t xml:space="preserve"> </w:t>
      </w:r>
      <w:r>
        <w:rPr>
          <w:rFonts w:ascii="KaiTi_GB2312" w:hAnsi="KaiTi_GB2312" w:eastAsia="KaiTi_GB2312" w:cs="KaiTi_GB2312"/>
          <w:spacing w:val="-4"/>
          <w:sz w:val="28"/>
          <w:szCs w:val="28"/>
        </w:rPr>
        <w:t>号</w:t>
      </w:r>
    </w:p>
    <w:p>
      <w:pPr>
        <w:spacing w:line="466" w:lineRule="auto"/>
        <w:rPr>
          <w:rFonts w:ascii="Arial"/>
          <w:sz w:val="21"/>
        </w:rPr>
      </w:pPr>
    </w:p>
    <w:p>
      <w:pPr>
        <w:spacing w:before="65" w:line="366" w:lineRule="auto"/>
        <w:ind w:left="4" w:right="128" w:firstLine="420"/>
        <w:rPr>
          <w:rFonts w:ascii="宋体" w:hAnsi="宋体" w:eastAsia="宋体" w:cs="宋体"/>
          <w:sz w:val="20"/>
          <w:szCs w:val="20"/>
        </w:rPr>
      </w:pPr>
      <w:r>
        <w:rPr>
          <w:rFonts w:ascii="宋体" w:hAnsi="宋体" w:eastAsia="宋体" w:cs="宋体"/>
          <w:spacing w:val="8"/>
          <w:sz w:val="20"/>
          <w:szCs w:val="20"/>
        </w:rPr>
        <w:t>现批准《建设工程工程量清单计价标准》为国家标准，编号为</w:t>
      </w:r>
      <w:r>
        <w:rPr>
          <w:rFonts w:ascii="宋体" w:hAnsi="宋体" w:eastAsia="宋体" w:cs="宋体"/>
          <w:spacing w:val="-24"/>
          <w:sz w:val="20"/>
          <w:szCs w:val="20"/>
        </w:rPr>
        <w:t xml:space="preserve"> </w:t>
      </w:r>
      <w:r>
        <w:rPr>
          <w:rFonts w:ascii="宋体" w:hAnsi="宋体" w:eastAsia="宋体" w:cs="宋体"/>
          <w:sz w:val="20"/>
          <w:szCs w:val="20"/>
        </w:rPr>
        <w:t>GB</w:t>
      </w:r>
      <w:r>
        <w:rPr>
          <w:rFonts w:ascii="宋体" w:hAnsi="宋体" w:eastAsia="宋体" w:cs="宋体"/>
          <w:spacing w:val="8"/>
          <w:sz w:val="20"/>
          <w:szCs w:val="20"/>
        </w:rPr>
        <w:t>/T50500-2024，</w:t>
      </w:r>
      <w:r>
        <w:rPr>
          <w:rFonts w:ascii="宋体" w:hAnsi="宋体" w:eastAsia="宋体" w:cs="宋体"/>
          <w:spacing w:val="-60"/>
          <w:sz w:val="20"/>
          <w:szCs w:val="20"/>
        </w:rPr>
        <w:t xml:space="preserve"> </w:t>
      </w:r>
      <w:r>
        <w:rPr>
          <w:rFonts w:ascii="宋体" w:hAnsi="宋体" w:eastAsia="宋体" w:cs="宋体"/>
          <w:spacing w:val="8"/>
          <w:sz w:val="20"/>
          <w:szCs w:val="20"/>
        </w:rPr>
        <w:t>自</w:t>
      </w:r>
      <w:r>
        <w:rPr>
          <w:rFonts w:ascii="宋体" w:hAnsi="宋体" w:eastAsia="宋体" w:cs="宋体"/>
          <w:spacing w:val="-39"/>
          <w:sz w:val="20"/>
          <w:szCs w:val="20"/>
        </w:rPr>
        <w:t xml:space="preserve"> </w:t>
      </w:r>
      <w:r>
        <w:rPr>
          <w:rFonts w:ascii="宋体" w:hAnsi="宋体" w:eastAsia="宋体" w:cs="宋体"/>
          <w:spacing w:val="8"/>
          <w:sz w:val="20"/>
          <w:szCs w:val="20"/>
        </w:rPr>
        <w:t>2025</w:t>
      </w:r>
      <w:r>
        <w:rPr>
          <w:rFonts w:ascii="宋体" w:hAnsi="宋体" w:eastAsia="宋体" w:cs="宋体"/>
          <w:spacing w:val="-39"/>
          <w:sz w:val="20"/>
          <w:szCs w:val="20"/>
        </w:rPr>
        <w:t xml:space="preserve"> </w:t>
      </w:r>
      <w:r>
        <w:rPr>
          <w:rFonts w:ascii="宋体" w:hAnsi="宋体" w:eastAsia="宋体" w:cs="宋体"/>
          <w:spacing w:val="8"/>
          <w:sz w:val="20"/>
          <w:szCs w:val="20"/>
        </w:rPr>
        <w:t>年9</w:t>
      </w:r>
      <w:r>
        <w:rPr>
          <w:rFonts w:ascii="宋体" w:hAnsi="宋体" w:eastAsia="宋体" w:cs="宋体"/>
          <w:spacing w:val="7"/>
          <w:sz w:val="20"/>
          <w:szCs w:val="20"/>
        </w:rPr>
        <w:t>月</w:t>
      </w:r>
      <w:r>
        <w:rPr>
          <w:rFonts w:ascii="宋体" w:hAnsi="宋体" w:eastAsia="宋体" w:cs="宋体"/>
          <w:spacing w:val="-18"/>
          <w:sz w:val="20"/>
          <w:szCs w:val="20"/>
        </w:rPr>
        <w:t xml:space="preserve"> </w:t>
      </w:r>
      <w:r>
        <w:rPr>
          <w:rFonts w:ascii="宋体" w:hAnsi="宋体" w:eastAsia="宋体" w:cs="宋体"/>
          <w:spacing w:val="7"/>
          <w:sz w:val="20"/>
          <w:szCs w:val="20"/>
        </w:rPr>
        <w:t>1 日起实施。原国家标准《建设工程工程量清单计价规范》（</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7"/>
          <w:sz w:val="20"/>
          <w:szCs w:val="20"/>
        </w:rPr>
        <w:t>50500-2013）同时废止。</w:t>
      </w:r>
    </w:p>
    <w:p>
      <w:pPr>
        <w:spacing w:before="5" w:line="351" w:lineRule="auto"/>
        <w:ind w:right="83" w:firstLine="420"/>
        <w:rPr>
          <w:rFonts w:ascii="宋体" w:hAnsi="宋体" w:eastAsia="宋体" w:cs="宋体"/>
          <w:sz w:val="20"/>
          <w:szCs w:val="20"/>
        </w:rPr>
      </w:pPr>
      <w:r>
        <w:rPr>
          <w:rFonts w:ascii="宋体" w:hAnsi="宋体" w:eastAsia="宋体" w:cs="宋体"/>
          <w:spacing w:val="7"/>
          <w:sz w:val="20"/>
          <w:szCs w:val="20"/>
        </w:rPr>
        <w:t>本标准在住房城乡建设部门户网站（</w:t>
      </w:r>
      <w:r>
        <w:fldChar w:fldCharType="begin"/>
      </w:r>
      <w:r>
        <w:instrText xml:space="preserve"> HYPERLINK "https://www.mohurd.gov.cn" </w:instrText>
      </w:r>
      <w:r>
        <w:fldChar w:fldCharType="separate"/>
      </w:r>
      <w:r>
        <w:rPr>
          <w:rFonts w:ascii="宋体" w:hAnsi="宋体" w:eastAsia="宋体" w:cs="宋体"/>
          <w:sz w:val="20"/>
          <w:szCs w:val="20"/>
        </w:rPr>
        <w:t>www</w:t>
      </w:r>
      <w:r>
        <w:rPr>
          <w:rFonts w:ascii="宋体" w:hAnsi="宋体" w:eastAsia="宋体" w:cs="宋体"/>
          <w:spacing w:val="7"/>
          <w:sz w:val="20"/>
          <w:szCs w:val="20"/>
        </w:rPr>
        <w:t>.</w:t>
      </w:r>
      <w:r>
        <w:rPr>
          <w:rFonts w:ascii="宋体" w:hAnsi="宋体" w:eastAsia="宋体" w:cs="宋体"/>
          <w:sz w:val="20"/>
          <w:szCs w:val="20"/>
        </w:rPr>
        <w:t>mohurd</w:t>
      </w:r>
      <w:r>
        <w:rPr>
          <w:rFonts w:ascii="宋体" w:hAnsi="宋体" w:eastAsia="宋体" w:cs="宋体"/>
          <w:spacing w:val="7"/>
          <w:sz w:val="20"/>
          <w:szCs w:val="20"/>
        </w:rPr>
        <w:t>.</w:t>
      </w:r>
      <w:r>
        <w:rPr>
          <w:rFonts w:ascii="宋体" w:hAnsi="宋体" w:eastAsia="宋体" w:cs="宋体"/>
          <w:sz w:val="20"/>
          <w:szCs w:val="20"/>
        </w:rPr>
        <w:t>gov</w:t>
      </w:r>
      <w:r>
        <w:rPr>
          <w:rFonts w:ascii="宋体" w:hAnsi="宋体" w:eastAsia="宋体" w:cs="宋体"/>
          <w:spacing w:val="7"/>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7"/>
          <w:sz w:val="20"/>
          <w:szCs w:val="20"/>
        </w:rPr>
        <w:t>）公开，并由住房城乡建设部标准定额</w:t>
      </w:r>
      <w:r>
        <w:rPr>
          <w:rFonts w:ascii="宋体" w:hAnsi="宋体" w:eastAsia="宋体" w:cs="宋体"/>
          <w:spacing w:val="9"/>
          <w:sz w:val="20"/>
          <w:szCs w:val="20"/>
        </w:rPr>
        <w:t>研究所组织中国计划出版社有限公司出版发行。</w:t>
      </w:r>
    </w:p>
    <w:p>
      <w:pPr>
        <w:spacing w:line="302" w:lineRule="auto"/>
        <w:rPr>
          <w:rFonts w:ascii="Arial"/>
          <w:sz w:val="21"/>
        </w:rPr>
      </w:pPr>
    </w:p>
    <w:p>
      <w:pPr>
        <w:spacing w:line="302" w:lineRule="auto"/>
        <w:rPr>
          <w:rFonts w:ascii="Arial"/>
          <w:sz w:val="21"/>
        </w:rPr>
      </w:pPr>
    </w:p>
    <w:p>
      <w:pPr>
        <w:spacing w:line="303" w:lineRule="auto"/>
        <w:rPr>
          <w:rFonts w:ascii="Arial"/>
          <w:sz w:val="21"/>
        </w:rPr>
      </w:pPr>
    </w:p>
    <w:p>
      <w:pPr>
        <w:spacing w:before="65" w:line="221" w:lineRule="auto"/>
        <w:ind w:left="7289"/>
        <w:rPr>
          <w:rFonts w:ascii="宋体" w:hAnsi="宋体" w:eastAsia="宋体" w:cs="宋体"/>
          <w:sz w:val="20"/>
          <w:szCs w:val="20"/>
        </w:rPr>
      </w:pPr>
      <w:r>
        <w:rPr>
          <w:rFonts w:ascii="宋体" w:hAnsi="宋体" w:eastAsia="宋体" w:cs="宋体"/>
          <w:spacing w:val="9"/>
          <w:sz w:val="20"/>
          <w:szCs w:val="20"/>
        </w:rPr>
        <w:t>住房城乡建设部</w:t>
      </w:r>
    </w:p>
    <w:p>
      <w:pPr>
        <w:spacing w:before="159" w:line="277" w:lineRule="exact"/>
        <w:ind w:left="7193"/>
        <w:rPr>
          <w:rFonts w:ascii="宋体" w:hAnsi="宋体" w:eastAsia="宋体" w:cs="宋体"/>
          <w:sz w:val="20"/>
          <w:szCs w:val="20"/>
        </w:rPr>
      </w:pPr>
      <w:r>
        <w:rPr>
          <w:rFonts w:ascii="宋体" w:hAnsi="宋体" w:eastAsia="宋体" w:cs="宋体"/>
          <w:position w:val="1"/>
          <w:sz w:val="20"/>
          <w:szCs w:val="20"/>
        </w:rPr>
        <w:t>2024</w:t>
      </w:r>
      <w:r>
        <w:rPr>
          <w:rFonts w:ascii="宋体" w:hAnsi="宋体" w:eastAsia="宋体" w:cs="宋体"/>
          <w:spacing w:val="-42"/>
          <w:position w:val="1"/>
          <w:sz w:val="20"/>
          <w:szCs w:val="20"/>
        </w:rPr>
        <w:t xml:space="preserve"> </w:t>
      </w:r>
      <w:r>
        <w:rPr>
          <w:rFonts w:ascii="宋体" w:hAnsi="宋体" w:eastAsia="宋体" w:cs="宋体"/>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position w:val="1"/>
          <w:sz w:val="20"/>
          <w:szCs w:val="20"/>
        </w:rPr>
        <w:t>11</w:t>
      </w:r>
      <w:r>
        <w:rPr>
          <w:rFonts w:ascii="宋体" w:hAnsi="宋体" w:eastAsia="宋体" w:cs="宋体"/>
          <w:spacing w:val="-40"/>
          <w:position w:val="1"/>
          <w:sz w:val="20"/>
          <w:szCs w:val="20"/>
        </w:rPr>
        <w:t xml:space="preserve"> </w:t>
      </w:r>
      <w:r>
        <w:rPr>
          <w:rFonts w:ascii="宋体" w:hAnsi="宋体" w:eastAsia="宋体" w:cs="宋体"/>
          <w:position w:val="1"/>
          <w:sz w:val="20"/>
          <w:szCs w:val="20"/>
        </w:rPr>
        <w:t>月</w:t>
      </w:r>
      <w:r>
        <w:rPr>
          <w:rFonts w:ascii="宋体" w:hAnsi="宋体" w:eastAsia="宋体" w:cs="宋体"/>
          <w:spacing w:val="-40"/>
          <w:position w:val="1"/>
          <w:sz w:val="20"/>
          <w:szCs w:val="20"/>
        </w:rPr>
        <w:t xml:space="preserve"> </w:t>
      </w:r>
      <w:r>
        <w:rPr>
          <w:rFonts w:ascii="宋体" w:hAnsi="宋体" w:eastAsia="宋体" w:cs="宋体"/>
          <w:position w:val="1"/>
          <w:sz w:val="20"/>
          <w:szCs w:val="20"/>
        </w:rPr>
        <w:t>26 日</w:t>
      </w:r>
    </w:p>
    <w:p>
      <w:pPr>
        <w:spacing w:line="277" w:lineRule="exact"/>
        <w:rPr>
          <w:rFonts w:ascii="宋体" w:hAnsi="宋体" w:eastAsia="宋体" w:cs="宋体"/>
          <w:sz w:val="20"/>
          <w:szCs w:val="20"/>
        </w:rPr>
        <w:sectPr>
          <w:footerReference r:id="rId285" w:type="default"/>
          <w:pgSz w:w="11910" w:h="16840"/>
          <w:pgMar w:top="400" w:right="1419" w:bottom="1211" w:left="1420" w:header="0" w:footer="896" w:gutter="0"/>
        </w:sect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35"/>
        <w:ind w:left="3188"/>
        <w:outlineLvl w:val="0"/>
        <w:rPr>
          <w:rFonts w:ascii="方正小标宋简体" w:hAnsi="方正小标宋简体" w:eastAsia="方正小标宋简体" w:cs="方正小标宋简体"/>
          <w:sz w:val="35"/>
          <w:szCs w:val="35"/>
        </w:rPr>
      </w:pPr>
      <w:bookmarkStart w:id="197" w:name="bookmark119"/>
      <w:bookmarkEnd w:id="197"/>
      <w:r>
        <w:rPr>
          <w:rFonts w:ascii="方正小标宋简体" w:hAnsi="方正小标宋简体" w:eastAsia="方正小标宋简体" w:cs="方正小标宋简体"/>
          <w:spacing w:val="7"/>
          <w:sz w:val="35"/>
          <w:szCs w:val="35"/>
        </w:rPr>
        <w:t>财政部  税务总局</w:t>
      </w:r>
    </w:p>
    <w:p>
      <w:pPr>
        <w:spacing w:before="57"/>
        <w:ind w:left="393"/>
        <w:outlineLvl w:val="0"/>
        <w:rPr>
          <w:rFonts w:ascii="方正小标宋简体" w:hAnsi="方正小标宋简体" w:eastAsia="方正小标宋简体" w:cs="方正小标宋简体"/>
          <w:sz w:val="35"/>
          <w:szCs w:val="35"/>
        </w:rPr>
      </w:pPr>
      <w:bookmarkStart w:id="198" w:name="bookmark119"/>
      <w:bookmarkEnd w:id="198"/>
      <w:r>
        <w:rPr>
          <w:rFonts w:ascii="方正小标宋简体" w:hAnsi="方正小标宋简体" w:eastAsia="方正小标宋简体" w:cs="方正小标宋简体"/>
          <w:spacing w:val="10"/>
          <w:sz w:val="35"/>
          <w:szCs w:val="35"/>
        </w:rPr>
        <w:t>关于增值税法施行后增值税优惠政策衔接事</w:t>
      </w:r>
      <w:r>
        <w:rPr>
          <w:rFonts w:ascii="方正小标宋简体" w:hAnsi="方正小标宋简体" w:eastAsia="方正小标宋简体" w:cs="方正小标宋简体"/>
          <w:spacing w:val="9"/>
          <w:sz w:val="35"/>
          <w:szCs w:val="35"/>
        </w:rPr>
        <w:t>项的公告</w:t>
      </w:r>
    </w:p>
    <w:p>
      <w:pPr>
        <w:spacing w:line="290" w:lineRule="auto"/>
        <w:rPr>
          <w:rFonts w:ascii="Arial"/>
          <w:sz w:val="21"/>
        </w:rPr>
      </w:pPr>
    </w:p>
    <w:p>
      <w:pPr>
        <w:spacing w:before="91" w:line="214" w:lineRule="auto"/>
        <w:ind w:left="2239"/>
        <w:outlineLvl w:val="0"/>
        <w:rPr>
          <w:rFonts w:ascii="KaiTi_GB2312" w:hAnsi="KaiTi_GB2312" w:eastAsia="KaiTi_GB2312" w:cs="KaiTi_GB2312"/>
          <w:sz w:val="28"/>
          <w:szCs w:val="28"/>
        </w:rPr>
      </w:pPr>
      <w:bookmarkStart w:id="199" w:name="bookmark120"/>
      <w:bookmarkEnd w:id="199"/>
      <w:r>
        <w:rPr>
          <w:rFonts w:ascii="KaiTi_GB2312" w:hAnsi="KaiTi_GB2312" w:eastAsia="KaiTi_GB2312" w:cs="KaiTi_GB2312"/>
          <w:spacing w:val="-4"/>
          <w:sz w:val="28"/>
          <w:szCs w:val="28"/>
        </w:rPr>
        <w:t>财政部 税务总局公告</w:t>
      </w:r>
      <w:r>
        <w:rPr>
          <w:rFonts w:ascii="KaiTi_GB2312" w:hAnsi="KaiTi_GB2312" w:eastAsia="KaiTi_GB2312" w:cs="KaiTi_GB2312"/>
          <w:spacing w:val="-47"/>
          <w:sz w:val="28"/>
          <w:szCs w:val="28"/>
        </w:rPr>
        <w:t xml:space="preserve"> </w:t>
      </w:r>
      <w:r>
        <w:rPr>
          <w:rFonts w:ascii="KaiTi_GB2312" w:hAnsi="KaiTi_GB2312" w:eastAsia="KaiTi_GB2312" w:cs="KaiTi_GB2312"/>
          <w:spacing w:val="-4"/>
          <w:sz w:val="28"/>
          <w:szCs w:val="28"/>
        </w:rPr>
        <w:t>2026</w:t>
      </w:r>
      <w:r>
        <w:rPr>
          <w:rFonts w:ascii="KaiTi_GB2312" w:hAnsi="KaiTi_GB2312" w:eastAsia="KaiTi_GB2312" w:cs="KaiTi_GB2312"/>
          <w:spacing w:val="-61"/>
          <w:sz w:val="28"/>
          <w:szCs w:val="28"/>
        </w:rPr>
        <w:t xml:space="preserve"> </w:t>
      </w:r>
      <w:r>
        <w:rPr>
          <w:rFonts w:ascii="KaiTi_GB2312" w:hAnsi="KaiTi_GB2312" w:eastAsia="KaiTi_GB2312" w:cs="KaiTi_GB2312"/>
          <w:spacing w:val="-4"/>
          <w:sz w:val="28"/>
          <w:szCs w:val="28"/>
        </w:rPr>
        <w:t>年第</w:t>
      </w:r>
      <w:r>
        <w:rPr>
          <w:rFonts w:ascii="KaiTi_GB2312" w:hAnsi="KaiTi_GB2312" w:eastAsia="KaiTi_GB2312" w:cs="KaiTi_GB2312"/>
          <w:spacing w:val="-44"/>
          <w:sz w:val="28"/>
          <w:szCs w:val="28"/>
        </w:rPr>
        <w:t xml:space="preserve"> </w:t>
      </w:r>
      <w:r>
        <w:rPr>
          <w:rFonts w:ascii="KaiTi_GB2312" w:hAnsi="KaiTi_GB2312" w:eastAsia="KaiTi_GB2312" w:cs="KaiTi_GB2312"/>
          <w:spacing w:val="-4"/>
          <w:sz w:val="28"/>
          <w:szCs w:val="28"/>
        </w:rPr>
        <w:t>10</w:t>
      </w:r>
      <w:r>
        <w:rPr>
          <w:rFonts w:ascii="KaiTi_GB2312" w:hAnsi="KaiTi_GB2312" w:eastAsia="KaiTi_GB2312" w:cs="KaiTi_GB2312"/>
          <w:spacing w:val="-54"/>
          <w:sz w:val="28"/>
          <w:szCs w:val="28"/>
        </w:rPr>
        <w:t xml:space="preserve"> </w:t>
      </w:r>
      <w:r>
        <w:rPr>
          <w:rFonts w:ascii="KaiTi_GB2312" w:hAnsi="KaiTi_GB2312" w:eastAsia="KaiTi_GB2312" w:cs="KaiTi_GB2312"/>
          <w:spacing w:val="-4"/>
          <w:sz w:val="28"/>
          <w:szCs w:val="28"/>
        </w:rPr>
        <w:t>号</w:t>
      </w:r>
    </w:p>
    <w:p>
      <w:pPr>
        <w:spacing w:line="347" w:lineRule="auto"/>
        <w:rPr>
          <w:rFonts w:ascii="Arial"/>
          <w:sz w:val="21"/>
        </w:rPr>
      </w:pPr>
    </w:p>
    <w:p>
      <w:pPr>
        <w:spacing w:before="65" w:line="368" w:lineRule="auto"/>
        <w:ind w:firstLine="426"/>
        <w:rPr>
          <w:rFonts w:ascii="宋体" w:hAnsi="宋体" w:eastAsia="宋体" w:cs="宋体"/>
          <w:sz w:val="20"/>
          <w:szCs w:val="20"/>
        </w:rPr>
      </w:pPr>
      <w:r>
        <w:rPr>
          <w:rFonts w:ascii="宋体" w:hAnsi="宋体" w:eastAsia="宋体" w:cs="宋体"/>
          <w:spacing w:val="7"/>
          <w:sz w:val="20"/>
          <w:szCs w:val="20"/>
        </w:rPr>
        <w:t>为做好《中华人民共和国增值税法》（以下简称增值税法）施行后增值税优惠政策的衔接工作，</w:t>
      </w:r>
      <w:r>
        <w:rPr>
          <w:rFonts w:ascii="宋体" w:hAnsi="宋体" w:eastAsia="宋体" w:cs="宋体"/>
          <w:spacing w:val="9"/>
          <w:sz w:val="20"/>
          <w:szCs w:val="20"/>
        </w:rPr>
        <w:t>延续现行制度和做法，现将增值税优惠政策有关事项公告如下：</w:t>
      </w:r>
    </w:p>
    <w:p>
      <w:pPr>
        <w:spacing w:before="4" w:line="277" w:lineRule="exact"/>
        <w:ind w:left="422"/>
        <w:rPr>
          <w:rFonts w:ascii="宋体" w:hAnsi="宋体" w:eastAsia="宋体" w:cs="宋体"/>
          <w:sz w:val="20"/>
          <w:szCs w:val="20"/>
        </w:rPr>
      </w:pPr>
      <w:r>
        <w:rPr>
          <w:rFonts w:ascii="宋体" w:hAnsi="宋体" w:eastAsia="宋体" w:cs="宋体"/>
          <w:b/>
          <w:bCs/>
          <w:spacing w:val="8"/>
          <w:position w:val="1"/>
          <w:sz w:val="20"/>
          <w:szCs w:val="20"/>
        </w:rPr>
        <w:t>一、增值税起征点标准</w:t>
      </w:r>
    </w:p>
    <w:p>
      <w:pPr>
        <w:spacing w:before="121" w:line="278" w:lineRule="exact"/>
        <w:ind w:left="461"/>
        <w:rPr>
          <w:rFonts w:ascii="宋体" w:hAnsi="宋体" w:eastAsia="宋体" w:cs="宋体"/>
          <w:sz w:val="20"/>
          <w:szCs w:val="20"/>
        </w:rPr>
      </w:pPr>
      <w:r>
        <w:rPr>
          <w:rFonts w:ascii="宋体" w:hAnsi="宋体" w:eastAsia="宋体" w:cs="宋体"/>
          <w:spacing w:val="2"/>
          <w:position w:val="1"/>
          <w:sz w:val="20"/>
          <w:szCs w:val="20"/>
        </w:rPr>
        <w:t>自</w:t>
      </w:r>
      <w:r>
        <w:rPr>
          <w:rFonts w:ascii="宋体" w:hAnsi="宋体" w:eastAsia="宋体" w:cs="宋体"/>
          <w:spacing w:val="-39"/>
          <w:position w:val="1"/>
          <w:sz w:val="20"/>
          <w:szCs w:val="20"/>
        </w:rPr>
        <w:t xml:space="preserve"> </w:t>
      </w:r>
      <w:r>
        <w:rPr>
          <w:rFonts w:ascii="宋体" w:hAnsi="宋体" w:eastAsia="宋体" w:cs="宋体"/>
          <w:spacing w:val="2"/>
          <w:position w:val="1"/>
          <w:sz w:val="20"/>
          <w:szCs w:val="20"/>
        </w:rPr>
        <w:t>2026</w:t>
      </w:r>
      <w:r>
        <w:rPr>
          <w:rFonts w:ascii="宋体" w:hAnsi="宋体" w:eastAsia="宋体" w:cs="宋体"/>
          <w:spacing w:val="-39"/>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2"/>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4"/>
          <w:position w:val="1"/>
          <w:sz w:val="20"/>
          <w:szCs w:val="20"/>
        </w:rPr>
        <w:t xml:space="preserve"> </w:t>
      </w:r>
      <w:r>
        <w:rPr>
          <w:rFonts w:ascii="宋体" w:hAnsi="宋体" w:eastAsia="宋体" w:cs="宋体"/>
          <w:spacing w:val="2"/>
          <w:position w:val="1"/>
          <w:sz w:val="20"/>
          <w:szCs w:val="20"/>
        </w:rPr>
        <w:t>1 日至</w:t>
      </w:r>
      <w:r>
        <w:rPr>
          <w:rFonts w:ascii="宋体" w:hAnsi="宋体" w:eastAsia="宋体" w:cs="宋体"/>
          <w:spacing w:val="-42"/>
          <w:position w:val="1"/>
          <w:sz w:val="20"/>
          <w:szCs w:val="20"/>
        </w:rPr>
        <w:t xml:space="preserve"> </w:t>
      </w:r>
      <w:r>
        <w:rPr>
          <w:rFonts w:ascii="宋体" w:hAnsi="宋体" w:eastAsia="宋体" w:cs="宋体"/>
          <w:spacing w:val="2"/>
          <w:position w:val="1"/>
          <w:sz w:val="20"/>
          <w:szCs w:val="20"/>
        </w:rPr>
        <w:t>2027</w:t>
      </w:r>
      <w:r>
        <w:rPr>
          <w:rFonts w:ascii="宋体" w:hAnsi="宋体" w:eastAsia="宋体" w:cs="宋体"/>
          <w:spacing w:val="-39"/>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2"/>
          <w:position w:val="1"/>
          <w:sz w:val="20"/>
          <w:szCs w:val="20"/>
        </w:rPr>
        <w:t>12</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39"/>
          <w:position w:val="1"/>
          <w:sz w:val="20"/>
          <w:szCs w:val="20"/>
        </w:rPr>
        <w:t xml:space="preserve"> </w:t>
      </w:r>
      <w:r>
        <w:rPr>
          <w:rFonts w:ascii="宋体" w:hAnsi="宋体" w:eastAsia="宋体" w:cs="宋体"/>
          <w:spacing w:val="2"/>
          <w:position w:val="1"/>
          <w:sz w:val="20"/>
          <w:szCs w:val="20"/>
        </w:rPr>
        <w:t>31 日，小规模纳税人发</w:t>
      </w:r>
      <w:r>
        <w:rPr>
          <w:rFonts w:ascii="宋体" w:hAnsi="宋体" w:eastAsia="宋体" w:cs="宋体"/>
          <w:spacing w:val="1"/>
          <w:position w:val="1"/>
          <w:sz w:val="20"/>
          <w:szCs w:val="20"/>
        </w:rPr>
        <w:t>生应税交易，起征点标准如下：</w:t>
      </w:r>
    </w:p>
    <w:p>
      <w:pPr>
        <w:spacing w:before="123" w:line="313" w:lineRule="auto"/>
        <w:ind w:firstLine="413"/>
        <w:rPr>
          <w:rFonts w:ascii="宋体" w:hAnsi="宋体" w:eastAsia="宋体" w:cs="宋体"/>
          <w:sz w:val="20"/>
          <w:szCs w:val="20"/>
        </w:rPr>
      </w:pPr>
      <w:r>
        <w:rPr>
          <w:rFonts w:ascii="宋体" w:hAnsi="宋体" w:eastAsia="宋体" w:cs="宋体"/>
          <w:spacing w:val="4"/>
          <w:sz w:val="20"/>
          <w:szCs w:val="20"/>
        </w:rPr>
        <w:t>（一）以一个月为一个计税期间的，起征点为月销售额</w:t>
      </w:r>
      <w:r>
        <w:rPr>
          <w:rFonts w:ascii="宋体" w:hAnsi="宋体" w:eastAsia="宋体" w:cs="宋体"/>
          <w:spacing w:val="-19"/>
          <w:sz w:val="20"/>
          <w:szCs w:val="20"/>
        </w:rPr>
        <w:t xml:space="preserve"> </w:t>
      </w:r>
      <w:r>
        <w:rPr>
          <w:rFonts w:ascii="宋体" w:hAnsi="宋体" w:eastAsia="宋体" w:cs="宋体"/>
          <w:spacing w:val="4"/>
          <w:sz w:val="20"/>
          <w:szCs w:val="20"/>
        </w:rPr>
        <w:t>10</w:t>
      </w:r>
      <w:r>
        <w:rPr>
          <w:rFonts w:ascii="宋体" w:hAnsi="宋体" w:eastAsia="宋体" w:cs="宋体"/>
          <w:spacing w:val="-41"/>
          <w:sz w:val="20"/>
          <w:szCs w:val="20"/>
        </w:rPr>
        <w:t xml:space="preserve"> </w:t>
      </w:r>
      <w:r>
        <w:rPr>
          <w:rFonts w:ascii="宋体" w:hAnsi="宋体" w:eastAsia="宋体" w:cs="宋体"/>
          <w:spacing w:val="4"/>
          <w:sz w:val="20"/>
          <w:szCs w:val="20"/>
        </w:rPr>
        <w:t>万元。以一个季度为一个计税期间的，</w:t>
      </w:r>
      <w:r>
        <w:rPr>
          <w:rFonts w:ascii="宋体" w:hAnsi="宋体" w:eastAsia="宋体" w:cs="宋体"/>
          <w:spacing w:val="6"/>
          <w:sz w:val="20"/>
          <w:szCs w:val="20"/>
        </w:rPr>
        <w:t>起征点为季度销售额</w:t>
      </w:r>
      <w:r>
        <w:rPr>
          <w:rFonts w:ascii="宋体" w:hAnsi="宋体" w:eastAsia="宋体" w:cs="宋体"/>
          <w:spacing w:val="-24"/>
          <w:sz w:val="20"/>
          <w:szCs w:val="20"/>
        </w:rPr>
        <w:t xml:space="preserve"> </w:t>
      </w:r>
      <w:r>
        <w:rPr>
          <w:rFonts w:ascii="宋体" w:hAnsi="宋体" w:eastAsia="宋体" w:cs="宋体"/>
          <w:spacing w:val="6"/>
          <w:sz w:val="20"/>
          <w:szCs w:val="20"/>
        </w:rPr>
        <w:t>30</w:t>
      </w:r>
      <w:r>
        <w:rPr>
          <w:rFonts w:ascii="宋体" w:hAnsi="宋体" w:eastAsia="宋体" w:cs="宋体"/>
          <w:spacing w:val="-43"/>
          <w:sz w:val="20"/>
          <w:szCs w:val="20"/>
        </w:rPr>
        <w:t xml:space="preserve"> </w:t>
      </w:r>
      <w:r>
        <w:rPr>
          <w:rFonts w:ascii="宋体" w:hAnsi="宋体" w:eastAsia="宋体" w:cs="宋体"/>
          <w:spacing w:val="6"/>
          <w:sz w:val="20"/>
          <w:szCs w:val="20"/>
        </w:rPr>
        <w:t>万元。</w:t>
      </w:r>
    </w:p>
    <w:p>
      <w:pPr>
        <w:spacing w:before="121" w:line="313" w:lineRule="auto"/>
        <w:ind w:right="64" w:firstLine="412"/>
        <w:rPr>
          <w:rFonts w:ascii="宋体" w:hAnsi="宋体" w:eastAsia="宋体" w:cs="宋体"/>
          <w:sz w:val="20"/>
          <w:szCs w:val="20"/>
        </w:rPr>
      </w:pPr>
      <w:r>
        <w:rPr>
          <w:rFonts w:ascii="宋体" w:hAnsi="宋体" w:eastAsia="宋体" w:cs="宋体"/>
          <w:spacing w:val="8"/>
          <w:sz w:val="20"/>
          <w:szCs w:val="20"/>
        </w:rPr>
        <w:t>（二）按次纳税的，起征点为每次（</w:t>
      </w:r>
      <w:r>
        <w:rPr>
          <w:rFonts w:ascii="宋体" w:hAnsi="宋体" w:eastAsia="宋体" w:cs="宋体"/>
          <w:spacing w:val="-20"/>
          <w:sz w:val="20"/>
          <w:szCs w:val="20"/>
        </w:rPr>
        <w:t xml:space="preserve"> </w:t>
      </w:r>
      <w:r>
        <w:rPr>
          <w:rFonts w:ascii="宋体" w:hAnsi="宋体" w:eastAsia="宋体" w:cs="宋体"/>
          <w:spacing w:val="8"/>
          <w:sz w:val="20"/>
          <w:szCs w:val="20"/>
        </w:rPr>
        <w:t>日）销售额</w:t>
      </w:r>
      <w:r>
        <w:rPr>
          <w:rFonts w:ascii="宋体" w:hAnsi="宋体" w:eastAsia="宋体" w:cs="宋体"/>
          <w:spacing w:val="-22"/>
          <w:sz w:val="20"/>
          <w:szCs w:val="20"/>
        </w:rPr>
        <w:t xml:space="preserve"> </w:t>
      </w:r>
      <w:r>
        <w:rPr>
          <w:rFonts w:ascii="宋体" w:hAnsi="宋体" w:eastAsia="宋体" w:cs="宋体"/>
          <w:spacing w:val="8"/>
          <w:sz w:val="20"/>
          <w:szCs w:val="20"/>
        </w:rPr>
        <w:t>1000</w:t>
      </w:r>
      <w:r>
        <w:rPr>
          <w:rFonts w:ascii="宋体" w:hAnsi="宋体" w:eastAsia="宋体" w:cs="宋体"/>
          <w:spacing w:val="-43"/>
          <w:sz w:val="20"/>
          <w:szCs w:val="20"/>
        </w:rPr>
        <w:t xml:space="preserve"> </w:t>
      </w:r>
      <w:r>
        <w:rPr>
          <w:rFonts w:ascii="宋体" w:hAnsi="宋体" w:eastAsia="宋体" w:cs="宋体"/>
          <w:spacing w:val="8"/>
          <w:sz w:val="20"/>
          <w:szCs w:val="20"/>
        </w:rPr>
        <w:t>元。 一日内发</w:t>
      </w:r>
      <w:r>
        <w:rPr>
          <w:rFonts w:ascii="宋体" w:hAnsi="宋体" w:eastAsia="宋体" w:cs="宋体"/>
          <w:spacing w:val="7"/>
          <w:sz w:val="20"/>
          <w:szCs w:val="20"/>
        </w:rPr>
        <w:t>生多次应税交易的，按日</w:t>
      </w:r>
      <w:r>
        <w:rPr>
          <w:rFonts w:ascii="宋体" w:hAnsi="宋体" w:eastAsia="宋体" w:cs="宋体"/>
          <w:spacing w:val="8"/>
          <w:sz w:val="20"/>
          <w:szCs w:val="20"/>
        </w:rPr>
        <w:t>适用起征点标准。</w:t>
      </w:r>
    </w:p>
    <w:p>
      <w:pPr>
        <w:spacing w:before="125" w:line="368" w:lineRule="auto"/>
        <w:ind w:left="1" w:right="64" w:firstLine="420"/>
        <w:rPr>
          <w:rFonts w:ascii="宋体" w:hAnsi="宋体" w:eastAsia="宋体" w:cs="宋体"/>
          <w:sz w:val="20"/>
          <w:szCs w:val="20"/>
        </w:rPr>
      </w:pPr>
      <w:r>
        <w:rPr>
          <w:rFonts w:ascii="宋体" w:hAnsi="宋体" w:eastAsia="宋体" w:cs="宋体"/>
          <w:spacing w:val="11"/>
          <w:sz w:val="20"/>
          <w:szCs w:val="20"/>
        </w:rPr>
        <w:t>小规模纳税人发生应税交易，按照规定以扣除相关价款后的余额</w:t>
      </w:r>
      <w:r>
        <w:rPr>
          <w:rFonts w:ascii="宋体" w:hAnsi="宋体" w:eastAsia="宋体" w:cs="宋体"/>
          <w:spacing w:val="10"/>
          <w:sz w:val="20"/>
          <w:szCs w:val="20"/>
        </w:rPr>
        <w:t>计算销售额或者允许从含税销售额中扣除相关价款后计算应纳税额的，以扣除相关价款</w:t>
      </w:r>
      <w:r>
        <w:rPr>
          <w:rFonts w:ascii="宋体" w:hAnsi="宋体" w:eastAsia="宋体" w:cs="宋体"/>
          <w:spacing w:val="9"/>
          <w:sz w:val="20"/>
          <w:szCs w:val="20"/>
        </w:rPr>
        <w:t>后的不含税余额，适用本条起征点标准。</w:t>
      </w:r>
    </w:p>
    <w:p>
      <w:pPr>
        <w:spacing w:line="278" w:lineRule="exact"/>
        <w:ind w:left="422"/>
        <w:rPr>
          <w:rFonts w:ascii="宋体" w:hAnsi="宋体" w:eastAsia="宋体" w:cs="宋体"/>
          <w:sz w:val="20"/>
          <w:szCs w:val="20"/>
        </w:rPr>
      </w:pPr>
      <w:r>
        <w:rPr>
          <w:rFonts w:ascii="宋体" w:hAnsi="宋体" w:eastAsia="宋体" w:cs="宋体"/>
          <w:b/>
          <w:bCs/>
          <w:spacing w:val="8"/>
          <w:position w:val="1"/>
          <w:sz w:val="20"/>
          <w:szCs w:val="20"/>
        </w:rPr>
        <w:t>二、免征增值税的项目（略）</w:t>
      </w:r>
    </w:p>
    <w:p>
      <w:pPr>
        <w:spacing w:before="128" w:line="218" w:lineRule="auto"/>
        <w:ind w:left="425"/>
        <w:rPr>
          <w:rFonts w:ascii="宋体" w:hAnsi="宋体" w:eastAsia="宋体" w:cs="宋体"/>
          <w:sz w:val="20"/>
          <w:szCs w:val="20"/>
        </w:rPr>
      </w:pPr>
      <w:r>
        <w:rPr>
          <w:rFonts w:ascii="宋体" w:hAnsi="宋体" w:eastAsia="宋体" w:cs="宋体"/>
          <w:b/>
          <w:bCs/>
          <w:spacing w:val="7"/>
          <w:sz w:val="20"/>
          <w:szCs w:val="20"/>
        </w:rPr>
        <w:t>三、适用简易计税方法的项目</w:t>
      </w:r>
    </w:p>
    <w:p>
      <w:pPr>
        <w:spacing w:before="156" w:line="369" w:lineRule="auto"/>
        <w:ind w:left="2" w:right="64" w:firstLine="410"/>
        <w:rPr>
          <w:rFonts w:ascii="宋体" w:hAnsi="宋体" w:eastAsia="宋体" w:cs="宋体"/>
          <w:sz w:val="20"/>
          <w:szCs w:val="20"/>
        </w:rPr>
      </w:pPr>
      <w:r>
        <w:rPr>
          <w:rFonts w:ascii="宋体" w:hAnsi="宋体" w:eastAsia="宋体" w:cs="宋体"/>
          <w:spacing w:val="1"/>
          <w:sz w:val="20"/>
          <w:szCs w:val="20"/>
        </w:rPr>
        <w:t>（一）</w:t>
      </w:r>
      <w:r>
        <w:rPr>
          <w:rFonts w:ascii="宋体" w:hAnsi="宋体" w:eastAsia="宋体" w:cs="宋体"/>
          <w:spacing w:val="45"/>
          <w:sz w:val="20"/>
          <w:szCs w:val="20"/>
        </w:rPr>
        <w:t xml:space="preserve"> </w:t>
      </w:r>
      <w:r>
        <w:rPr>
          <w:rFonts w:ascii="宋体" w:hAnsi="宋体" w:eastAsia="宋体" w:cs="宋体"/>
          <w:spacing w:val="1"/>
          <w:sz w:val="20"/>
          <w:szCs w:val="20"/>
        </w:rPr>
        <w:t>自</w:t>
      </w:r>
      <w:r>
        <w:rPr>
          <w:rFonts w:ascii="宋体" w:hAnsi="宋体" w:eastAsia="宋体" w:cs="宋体"/>
          <w:spacing w:val="-39"/>
          <w:sz w:val="20"/>
          <w:szCs w:val="20"/>
        </w:rPr>
        <w:t xml:space="preserve"> </w:t>
      </w:r>
      <w:r>
        <w:rPr>
          <w:rFonts w:ascii="宋体" w:hAnsi="宋体" w:eastAsia="宋体" w:cs="宋体"/>
          <w:spacing w:val="1"/>
          <w:sz w:val="20"/>
          <w:szCs w:val="20"/>
        </w:rPr>
        <w:t>2026</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1"/>
          <w:sz w:val="20"/>
          <w:szCs w:val="20"/>
        </w:rPr>
        <w:t xml:space="preserve"> </w:t>
      </w:r>
      <w:r>
        <w:rPr>
          <w:rFonts w:ascii="宋体" w:hAnsi="宋体" w:eastAsia="宋体" w:cs="宋体"/>
          <w:spacing w:val="1"/>
          <w:sz w:val="20"/>
          <w:szCs w:val="20"/>
        </w:rPr>
        <w:t>月</w:t>
      </w:r>
      <w:r>
        <w:rPr>
          <w:rFonts w:ascii="宋体" w:hAnsi="宋体" w:eastAsia="宋体" w:cs="宋体"/>
          <w:spacing w:val="-24"/>
          <w:sz w:val="20"/>
          <w:szCs w:val="20"/>
        </w:rPr>
        <w:t xml:space="preserve"> </w:t>
      </w:r>
      <w:r>
        <w:rPr>
          <w:rFonts w:ascii="宋体" w:hAnsi="宋体" w:eastAsia="宋体" w:cs="宋体"/>
          <w:spacing w:val="1"/>
          <w:sz w:val="20"/>
          <w:szCs w:val="20"/>
        </w:rPr>
        <w:t>1 日至</w:t>
      </w:r>
      <w:r>
        <w:rPr>
          <w:rFonts w:ascii="宋体" w:hAnsi="宋体" w:eastAsia="宋体" w:cs="宋体"/>
          <w:spacing w:val="-37"/>
          <w:sz w:val="20"/>
          <w:szCs w:val="20"/>
        </w:rPr>
        <w:t xml:space="preserve"> </w:t>
      </w:r>
      <w:r>
        <w:rPr>
          <w:rFonts w:ascii="宋体" w:hAnsi="宋体" w:eastAsia="宋体" w:cs="宋体"/>
          <w:spacing w:val="1"/>
          <w:sz w:val="20"/>
          <w:szCs w:val="20"/>
        </w:rPr>
        <w:t>2027</w:t>
      </w:r>
      <w:r>
        <w:rPr>
          <w:rFonts w:ascii="宋体" w:hAnsi="宋体" w:eastAsia="宋体" w:cs="宋体"/>
          <w:spacing w:val="-39"/>
          <w:sz w:val="20"/>
          <w:szCs w:val="20"/>
        </w:rPr>
        <w:t xml:space="preserve"> </w:t>
      </w:r>
      <w:r>
        <w:rPr>
          <w:rFonts w:ascii="宋体" w:hAnsi="宋体" w:eastAsia="宋体" w:cs="宋体"/>
          <w:spacing w:val="1"/>
          <w:sz w:val="20"/>
          <w:szCs w:val="20"/>
        </w:rPr>
        <w:t>年</w:t>
      </w:r>
      <w:r>
        <w:rPr>
          <w:rFonts w:ascii="宋体" w:hAnsi="宋体" w:eastAsia="宋体" w:cs="宋体"/>
          <w:spacing w:val="-22"/>
          <w:sz w:val="20"/>
          <w:szCs w:val="20"/>
        </w:rPr>
        <w:t xml:space="preserve"> </w:t>
      </w:r>
      <w:r>
        <w:rPr>
          <w:rFonts w:ascii="宋体" w:hAnsi="宋体" w:eastAsia="宋体" w:cs="宋体"/>
          <w:spacing w:val="1"/>
          <w:sz w:val="20"/>
          <w:szCs w:val="20"/>
        </w:rPr>
        <w:t>12</w:t>
      </w:r>
      <w:r>
        <w:rPr>
          <w:rFonts w:ascii="宋体" w:hAnsi="宋体" w:eastAsia="宋体" w:cs="宋体"/>
          <w:spacing w:val="-41"/>
          <w:sz w:val="20"/>
          <w:szCs w:val="20"/>
        </w:rPr>
        <w:t xml:space="preserve"> </w:t>
      </w:r>
      <w:r>
        <w:rPr>
          <w:rFonts w:ascii="宋体" w:hAnsi="宋体" w:eastAsia="宋体" w:cs="宋体"/>
          <w:spacing w:val="1"/>
          <w:sz w:val="20"/>
          <w:szCs w:val="20"/>
        </w:rPr>
        <w:t>月</w:t>
      </w:r>
      <w:r>
        <w:rPr>
          <w:rFonts w:ascii="宋体" w:hAnsi="宋体" w:eastAsia="宋体" w:cs="宋体"/>
          <w:spacing w:val="-38"/>
          <w:sz w:val="20"/>
          <w:szCs w:val="20"/>
        </w:rPr>
        <w:t xml:space="preserve"> </w:t>
      </w:r>
      <w:r>
        <w:rPr>
          <w:rFonts w:ascii="宋体" w:hAnsi="宋体" w:eastAsia="宋体" w:cs="宋体"/>
          <w:spacing w:val="1"/>
          <w:sz w:val="20"/>
          <w:szCs w:val="20"/>
        </w:rPr>
        <w:t>31 日，一般纳税人发生以下应税交易，可以选择适</w:t>
      </w:r>
      <w:r>
        <w:rPr>
          <w:rFonts w:ascii="宋体" w:hAnsi="宋体" w:eastAsia="宋体" w:cs="宋体"/>
          <w:spacing w:val="11"/>
          <w:sz w:val="20"/>
          <w:szCs w:val="20"/>
        </w:rPr>
        <w:t>用简易计税方法，按照</w:t>
      </w:r>
      <w:r>
        <w:rPr>
          <w:rFonts w:ascii="宋体" w:hAnsi="宋体" w:eastAsia="宋体" w:cs="宋体"/>
          <w:spacing w:val="-32"/>
          <w:sz w:val="20"/>
          <w:szCs w:val="20"/>
        </w:rPr>
        <w:t xml:space="preserve"> </w:t>
      </w:r>
      <w:r>
        <w:rPr>
          <w:rFonts w:ascii="宋体" w:hAnsi="宋体" w:eastAsia="宋体" w:cs="宋体"/>
          <w:spacing w:val="11"/>
          <w:sz w:val="20"/>
          <w:szCs w:val="20"/>
        </w:rPr>
        <w:t>3%的规定征收率计算缴纳增值税。</w:t>
      </w:r>
    </w:p>
    <w:p>
      <w:pPr>
        <w:spacing w:before="3" w:line="312" w:lineRule="auto"/>
        <w:ind w:left="4" w:right="64" w:firstLine="435"/>
        <w:rPr>
          <w:rFonts w:ascii="宋体" w:hAnsi="宋体" w:eastAsia="宋体" w:cs="宋体"/>
          <w:sz w:val="20"/>
          <w:szCs w:val="20"/>
        </w:rPr>
      </w:pPr>
      <w:r>
        <w:rPr>
          <w:rFonts w:ascii="宋体" w:hAnsi="宋体" w:eastAsia="宋体" w:cs="宋体"/>
          <w:spacing w:val="8"/>
          <w:sz w:val="20"/>
          <w:szCs w:val="20"/>
        </w:rPr>
        <w:t>1. 销售自行采掘的建筑用和生产建筑材料</w:t>
      </w:r>
      <w:r>
        <w:rPr>
          <w:rFonts w:ascii="宋体" w:hAnsi="宋体" w:eastAsia="宋体" w:cs="宋体"/>
          <w:spacing w:val="7"/>
          <w:sz w:val="20"/>
          <w:szCs w:val="20"/>
        </w:rPr>
        <w:t>所用的砂、土、石料，和以自行采掘的砂、土、石料</w:t>
      </w:r>
      <w:r>
        <w:rPr>
          <w:rFonts w:ascii="宋体" w:hAnsi="宋体" w:eastAsia="宋体" w:cs="宋体"/>
          <w:spacing w:val="9"/>
          <w:sz w:val="20"/>
          <w:szCs w:val="20"/>
        </w:rPr>
        <w:t>或其他矿物连续自行生产的砖、瓦、石灰（不含粘土实心砖、瓦）。</w:t>
      </w:r>
    </w:p>
    <w:p>
      <w:pPr>
        <w:spacing w:before="124" w:line="313" w:lineRule="auto"/>
        <w:ind w:left="3" w:right="64" w:firstLine="420"/>
        <w:rPr>
          <w:rFonts w:ascii="宋体" w:hAnsi="宋体" w:eastAsia="宋体" w:cs="宋体"/>
          <w:sz w:val="20"/>
          <w:szCs w:val="20"/>
        </w:rPr>
      </w:pPr>
      <w:r>
        <w:rPr>
          <w:rFonts w:ascii="宋体" w:hAnsi="宋体" w:eastAsia="宋体" w:cs="宋体"/>
          <w:spacing w:val="8"/>
          <w:sz w:val="20"/>
          <w:szCs w:val="20"/>
        </w:rPr>
        <w:t>2. 小型水力发电单位销售自产的电力。</w:t>
      </w:r>
      <w:r>
        <w:rPr>
          <w:rFonts w:ascii="宋体" w:hAnsi="宋体" w:eastAsia="宋体" w:cs="宋体"/>
          <w:spacing w:val="7"/>
          <w:sz w:val="20"/>
          <w:szCs w:val="20"/>
        </w:rPr>
        <w:t>小型水力发电单位，是指装机容量为</w:t>
      </w:r>
      <w:r>
        <w:rPr>
          <w:rFonts w:ascii="宋体" w:hAnsi="宋体" w:eastAsia="宋体" w:cs="宋体"/>
          <w:spacing w:val="-39"/>
          <w:sz w:val="20"/>
          <w:szCs w:val="20"/>
        </w:rPr>
        <w:t xml:space="preserve"> </w:t>
      </w:r>
      <w:r>
        <w:rPr>
          <w:rFonts w:ascii="宋体" w:hAnsi="宋体" w:eastAsia="宋体" w:cs="宋体"/>
          <w:spacing w:val="7"/>
          <w:sz w:val="20"/>
          <w:szCs w:val="20"/>
        </w:rPr>
        <w:t>5</w:t>
      </w:r>
      <w:r>
        <w:rPr>
          <w:rFonts w:ascii="宋体" w:hAnsi="宋体" w:eastAsia="宋体" w:cs="宋体"/>
          <w:spacing w:val="-43"/>
          <w:sz w:val="20"/>
          <w:szCs w:val="20"/>
        </w:rPr>
        <w:t xml:space="preserve"> </w:t>
      </w:r>
      <w:r>
        <w:rPr>
          <w:rFonts w:ascii="宋体" w:hAnsi="宋体" w:eastAsia="宋体" w:cs="宋体"/>
          <w:spacing w:val="7"/>
          <w:sz w:val="20"/>
          <w:szCs w:val="20"/>
        </w:rPr>
        <w:t>万千瓦以下（含</w:t>
      </w:r>
      <w:r>
        <w:rPr>
          <w:rFonts w:ascii="宋体" w:hAnsi="宋体" w:eastAsia="宋体" w:cs="宋体"/>
          <w:spacing w:val="8"/>
          <w:sz w:val="20"/>
          <w:szCs w:val="20"/>
        </w:rPr>
        <w:t>5</w:t>
      </w:r>
      <w:r>
        <w:rPr>
          <w:rFonts w:ascii="宋体" w:hAnsi="宋体" w:eastAsia="宋体" w:cs="宋体"/>
          <w:spacing w:val="-42"/>
          <w:sz w:val="20"/>
          <w:szCs w:val="20"/>
        </w:rPr>
        <w:t xml:space="preserve"> </w:t>
      </w:r>
      <w:r>
        <w:rPr>
          <w:rFonts w:ascii="宋体" w:hAnsi="宋体" w:eastAsia="宋体" w:cs="宋体"/>
          <w:spacing w:val="8"/>
          <w:sz w:val="20"/>
          <w:szCs w:val="20"/>
        </w:rPr>
        <w:t>万千瓦）的小型水力发电单位。</w:t>
      </w:r>
    </w:p>
    <w:p>
      <w:pPr>
        <w:spacing w:before="120" w:line="277" w:lineRule="exact"/>
        <w:ind w:left="426"/>
        <w:rPr>
          <w:rFonts w:ascii="宋体" w:hAnsi="宋体" w:eastAsia="宋体" w:cs="宋体"/>
          <w:sz w:val="20"/>
          <w:szCs w:val="20"/>
        </w:rPr>
      </w:pPr>
      <w:r>
        <w:rPr>
          <w:rFonts w:ascii="宋体" w:hAnsi="宋体" w:eastAsia="宋体" w:cs="宋体"/>
          <w:spacing w:val="7"/>
          <w:position w:val="1"/>
          <w:sz w:val="20"/>
          <w:szCs w:val="20"/>
        </w:rPr>
        <w:t>3. 销售自来水。水利工程供应天然水比照销售自来水政策执行。</w:t>
      </w:r>
    </w:p>
    <w:p>
      <w:pPr>
        <w:spacing w:before="124" w:line="278" w:lineRule="exact"/>
        <w:ind w:left="420"/>
        <w:rPr>
          <w:rFonts w:ascii="宋体" w:hAnsi="宋体" w:eastAsia="宋体" w:cs="宋体"/>
          <w:sz w:val="20"/>
          <w:szCs w:val="20"/>
        </w:rPr>
      </w:pPr>
      <w:r>
        <w:rPr>
          <w:rFonts w:ascii="宋体" w:hAnsi="宋体" w:eastAsia="宋体" w:cs="宋体"/>
          <w:spacing w:val="7"/>
          <w:position w:val="1"/>
          <w:sz w:val="20"/>
          <w:szCs w:val="20"/>
        </w:rPr>
        <w:t>4. 寄售商店代销寄售物品（包括居民个人寄</w:t>
      </w:r>
      <w:r>
        <w:rPr>
          <w:rFonts w:ascii="宋体" w:hAnsi="宋体" w:eastAsia="宋体" w:cs="宋体"/>
          <w:spacing w:val="6"/>
          <w:position w:val="1"/>
          <w:sz w:val="20"/>
          <w:szCs w:val="20"/>
        </w:rPr>
        <w:t>售的物品在内）。</w:t>
      </w:r>
    </w:p>
    <w:p>
      <w:pPr>
        <w:spacing w:before="123" w:line="278" w:lineRule="exact"/>
        <w:ind w:left="423"/>
        <w:rPr>
          <w:rFonts w:ascii="宋体" w:hAnsi="宋体" w:eastAsia="宋体" w:cs="宋体"/>
          <w:sz w:val="20"/>
          <w:szCs w:val="20"/>
        </w:rPr>
      </w:pPr>
      <w:r>
        <w:rPr>
          <w:rFonts w:ascii="宋体" w:hAnsi="宋体" w:eastAsia="宋体" w:cs="宋体"/>
          <w:spacing w:val="3"/>
          <w:position w:val="1"/>
          <w:sz w:val="20"/>
          <w:szCs w:val="20"/>
        </w:rPr>
        <w:t>5. 典当业销售死当物品。</w:t>
      </w:r>
    </w:p>
    <w:p>
      <w:pPr>
        <w:spacing w:before="119" w:line="322" w:lineRule="auto"/>
        <w:ind w:left="2" w:right="64" w:firstLine="421"/>
        <w:rPr>
          <w:rFonts w:ascii="宋体" w:hAnsi="宋体" w:eastAsia="宋体" w:cs="宋体"/>
          <w:sz w:val="20"/>
          <w:szCs w:val="20"/>
        </w:rPr>
      </w:pPr>
      <w:r>
        <w:rPr>
          <w:rFonts w:ascii="宋体" w:hAnsi="宋体" w:eastAsia="宋体" w:cs="宋体"/>
          <w:spacing w:val="8"/>
          <w:sz w:val="20"/>
          <w:szCs w:val="20"/>
        </w:rPr>
        <w:t>6. 提供公共交通运输服务。公共交通运输服务，包括轮客渡、公交客运、地铁</w:t>
      </w:r>
      <w:r>
        <w:rPr>
          <w:rFonts w:ascii="宋体" w:hAnsi="宋体" w:eastAsia="宋体" w:cs="宋体"/>
          <w:spacing w:val="7"/>
          <w:sz w:val="20"/>
          <w:szCs w:val="20"/>
        </w:rPr>
        <w:t>、城市轻轨、出</w:t>
      </w:r>
      <w:r>
        <w:rPr>
          <w:rFonts w:ascii="宋体" w:hAnsi="宋体" w:eastAsia="宋体" w:cs="宋体"/>
          <w:spacing w:val="11"/>
          <w:sz w:val="20"/>
          <w:szCs w:val="20"/>
        </w:rPr>
        <w:t>租车、长途客运、班车。班车，是指按固定路线、固定时间运营</w:t>
      </w:r>
      <w:r>
        <w:rPr>
          <w:rFonts w:ascii="宋体" w:hAnsi="宋体" w:eastAsia="宋体" w:cs="宋体"/>
          <w:spacing w:val="10"/>
          <w:sz w:val="20"/>
          <w:szCs w:val="20"/>
        </w:rPr>
        <w:t>并在固定站点停靠的运送旅客的陆</w:t>
      </w:r>
      <w:r>
        <w:rPr>
          <w:rFonts w:ascii="宋体" w:hAnsi="宋体" w:eastAsia="宋体" w:cs="宋体"/>
          <w:spacing w:val="7"/>
          <w:sz w:val="20"/>
          <w:szCs w:val="20"/>
        </w:rPr>
        <w:t>路运输服务。</w:t>
      </w:r>
    </w:p>
    <w:p>
      <w:pPr>
        <w:spacing w:before="155" w:line="313" w:lineRule="auto"/>
        <w:ind w:right="64" w:firstLine="421"/>
        <w:rPr>
          <w:rFonts w:ascii="宋体" w:hAnsi="宋体" w:eastAsia="宋体" w:cs="宋体"/>
          <w:sz w:val="20"/>
          <w:szCs w:val="20"/>
        </w:rPr>
      </w:pPr>
      <w:r>
        <w:rPr>
          <w:rFonts w:ascii="宋体" w:hAnsi="宋体" w:eastAsia="宋体" w:cs="宋体"/>
          <w:spacing w:val="8"/>
          <w:sz w:val="20"/>
          <w:szCs w:val="20"/>
        </w:rPr>
        <w:t>7. 以清包工方式提供的建筑服务。以清包工方式提供建筑服务，是指施工方不采购</w:t>
      </w:r>
      <w:r>
        <w:rPr>
          <w:rFonts w:ascii="宋体" w:hAnsi="宋体" w:eastAsia="宋体" w:cs="宋体"/>
          <w:spacing w:val="7"/>
          <w:sz w:val="20"/>
          <w:szCs w:val="20"/>
        </w:rPr>
        <w:t>建筑工程所</w:t>
      </w:r>
      <w:r>
        <w:rPr>
          <w:rFonts w:ascii="宋体" w:hAnsi="宋体" w:eastAsia="宋体" w:cs="宋体"/>
          <w:spacing w:val="10"/>
          <w:sz w:val="20"/>
          <w:szCs w:val="20"/>
        </w:rPr>
        <w:t>需的材料或只采购辅助材料，并收取人工费</w:t>
      </w:r>
      <w:r>
        <w:rPr>
          <w:rFonts w:ascii="宋体" w:hAnsi="宋体" w:eastAsia="宋体" w:cs="宋体"/>
          <w:spacing w:val="9"/>
          <w:sz w:val="20"/>
          <w:szCs w:val="20"/>
        </w:rPr>
        <w:t>、管理费或者其他费用的建筑服务。</w:t>
      </w:r>
    </w:p>
    <w:p>
      <w:pPr>
        <w:spacing w:before="125" w:line="331" w:lineRule="auto"/>
        <w:ind w:right="64" w:firstLine="425"/>
        <w:rPr>
          <w:rFonts w:ascii="宋体" w:hAnsi="宋体" w:eastAsia="宋体" w:cs="宋体"/>
          <w:sz w:val="20"/>
          <w:szCs w:val="20"/>
        </w:rPr>
      </w:pPr>
      <w:r>
        <w:rPr>
          <w:rFonts w:ascii="宋体" w:hAnsi="宋体" w:eastAsia="宋体" w:cs="宋体"/>
          <w:spacing w:val="8"/>
          <w:sz w:val="20"/>
          <w:szCs w:val="20"/>
        </w:rPr>
        <w:t>8. 为建筑工程老项目提供的建筑服务。建筑工程老项目，是指《建筑工程</w:t>
      </w:r>
      <w:r>
        <w:rPr>
          <w:rFonts w:ascii="宋体" w:hAnsi="宋体" w:eastAsia="宋体" w:cs="宋体"/>
          <w:spacing w:val="7"/>
          <w:sz w:val="20"/>
          <w:szCs w:val="20"/>
        </w:rPr>
        <w:t>施工许可证》注明的</w:t>
      </w:r>
      <w:r>
        <w:rPr>
          <w:rFonts w:ascii="宋体" w:hAnsi="宋体" w:eastAsia="宋体" w:cs="宋体"/>
          <w:spacing w:val="9"/>
          <w:sz w:val="20"/>
          <w:szCs w:val="20"/>
        </w:rPr>
        <w:t>合同开工日期在</w:t>
      </w:r>
      <w:r>
        <w:rPr>
          <w:rFonts w:ascii="宋体" w:hAnsi="宋体" w:eastAsia="宋体" w:cs="宋体"/>
          <w:spacing w:val="-34"/>
          <w:sz w:val="20"/>
          <w:szCs w:val="20"/>
        </w:rPr>
        <w:t xml:space="preserve"> </w:t>
      </w:r>
      <w:r>
        <w:rPr>
          <w:rFonts w:ascii="宋体" w:hAnsi="宋体" w:eastAsia="宋体" w:cs="宋体"/>
          <w:spacing w:val="9"/>
          <w:sz w:val="20"/>
          <w:szCs w:val="20"/>
        </w:rPr>
        <w:t>2016</w:t>
      </w:r>
      <w:r>
        <w:rPr>
          <w:rFonts w:ascii="宋体" w:hAnsi="宋体" w:eastAsia="宋体" w:cs="宋体"/>
          <w:spacing w:val="-37"/>
          <w:sz w:val="20"/>
          <w:szCs w:val="20"/>
        </w:rPr>
        <w:t xml:space="preserve"> </w:t>
      </w:r>
      <w:r>
        <w:rPr>
          <w:rFonts w:ascii="宋体" w:hAnsi="宋体" w:eastAsia="宋体" w:cs="宋体"/>
          <w:spacing w:val="9"/>
          <w:sz w:val="20"/>
          <w:szCs w:val="20"/>
        </w:rPr>
        <w:t>年</w:t>
      </w:r>
      <w:r>
        <w:rPr>
          <w:rFonts w:ascii="宋体" w:hAnsi="宋体" w:eastAsia="宋体" w:cs="宋体"/>
          <w:spacing w:val="-44"/>
          <w:sz w:val="20"/>
          <w:szCs w:val="20"/>
        </w:rPr>
        <w:t xml:space="preserve"> </w:t>
      </w:r>
      <w:r>
        <w:rPr>
          <w:rFonts w:ascii="宋体" w:hAnsi="宋体" w:eastAsia="宋体" w:cs="宋体"/>
          <w:spacing w:val="9"/>
          <w:sz w:val="20"/>
          <w:szCs w:val="20"/>
        </w:rPr>
        <w:t>4</w:t>
      </w:r>
      <w:r>
        <w:rPr>
          <w:rFonts w:ascii="宋体" w:hAnsi="宋体" w:eastAsia="宋体" w:cs="宋体"/>
          <w:spacing w:val="-38"/>
          <w:sz w:val="20"/>
          <w:szCs w:val="20"/>
        </w:rPr>
        <w:t xml:space="preserve"> </w:t>
      </w:r>
      <w:r>
        <w:rPr>
          <w:rFonts w:ascii="宋体" w:hAnsi="宋体" w:eastAsia="宋体" w:cs="宋体"/>
          <w:spacing w:val="9"/>
          <w:sz w:val="20"/>
          <w:szCs w:val="20"/>
        </w:rPr>
        <w:t>月30 日前的建筑工程项目；《建筑工程施工许可证》未注明合同开工日期或者未取得《建筑工程施工许可证》但建筑工程承包合同注明的开工日期在</w:t>
      </w:r>
      <w:r>
        <w:rPr>
          <w:rFonts w:ascii="宋体" w:hAnsi="宋体" w:eastAsia="宋体" w:cs="宋体"/>
          <w:spacing w:val="-31"/>
          <w:sz w:val="20"/>
          <w:szCs w:val="20"/>
        </w:rPr>
        <w:t xml:space="preserve"> </w:t>
      </w:r>
      <w:r>
        <w:rPr>
          <w:rFonts w:ascii="宋体" w:hAnsi="宋体" w:eastAsia="宋体" w:cs="宋体"/>
          <w:spacing w:val="9"/>
          <w:sz w:val="20"/>
          <w:szCs w:val="20"/>
        </w:rPr>
        <w:t>2016</w:t>
      </w:r>
      <w:r>
        <w:rPr>
          <w:rFonts w:ascii="宋体" w:hAnsi="宋体" w:eastAsia="宋体" w:cs="宋体"/>
          <w:spacing w:val="-39"/>
          <w:sz w:val="20"/>
          <w:szCs w:val="20"/>
        </w:rPr>
        <w:t xml:space="preserve"> </w:t>
      </w:r>
      <w:r>
        <w:rPr>
          <w:rFonts w:ascii="宋体" w:hAnsi="宋体" w:eastAsia="宋体" w:cs="宋体"/>
          <w:spacing w:val="9"/>
          <w:sz w:val="20"/>
          <w:szCs w:val="20"/>
        </w:rPr>
        <w:t>年</w:t>
      </w:r>
      <w:r>
        <w:rPr>
          <w:rFonts w:ascii="宋体" w:hAnsi="宋体" w:eastAsia="宋体" w:cs="宋体"/>
          <w:spacing w:val="-43"/>
          <w:sz w:val="20"/>
          <w:szCs w:val="20"/>
        </w:rPr>
        <w:t xml:space="preserve"> </w:t>
      </w:r>
      <w:r>
        <w:rPr>
          <w:rFonts w:ascii="宋体" w:hAnsi="宋体" w:eastAsia="宋体" w:cs="宋体"/>
          <w:spacing w:val="9"/>
          <w:sz w:val="20"/>
          <w:szCs w:val="20"/>
        </w:rPr>
        <w:t>4</w:t>
      </w:r>
      <w:r>
        <w:rPr>
          <w:rFonts w:ascii="宋体" w:hAnsi="宋体" w:eastAsia="宋体" w:cs="宋体"/>
          <w:spacing w:val="-40"/>
          <w:sz w:val="20"/>
          <w:szCs w:val="20"/>
        </w:rPr>
        <w:t xml:space="preserve"> </w:t>
      </w:r>
      <w:r>
        <w:rPr>
          <w:rFonts w:ascii="宋体" w:hAnsi="宋体" w:eastAsia="宋体" w:cs="宋体"/>
          <w:spacing w:val="9"/>
          <w:sz w:val="20"/>
          <w:szCs w:val="20"/>
        </w:rPr>
        <w:t>月30 日前</w:t>
      </w:r>
    </w:p>
    <w:p>
      <w:pPr>
        <w:spacing w:line="331" w:lineRule="auto"/>
        <w:rPr>
          <w:rFonts w:ascii="宋体" w:hAnsi="宋体" w:eastAsia="宋体" w:cs="宋体"/>
          <w:sz w:val="20"/>
          <w:szCs w:val="20"/>
        </w:rPr>
        <w:sectPr>
          <w:footerReference r:id="rId286" w:type="default"/>
          <w:pgSz w:w="11900" w:h="16840"/>
          <w:pgMar w:top="400" w:right="1354" w:bottom="1184" w:left="1418" w:header="0" w:footer="869" w:gutter="0"/>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18"/>
        <w:rPr>
          <w:rFonts w:ascii="宋体" w:hAnsi="宋体" w:eastAsia="宋体" w:cs="宋体"/>
          <w:sz w:val="20"/>
          <w:szCs w:val="20"/>
        </w:rPr>
      </w:pPr>
      <w:r>
        <w:rPr>
          <w:rFonts w:ascii="宋体" w:hAnsi="宋体" w:eastAsia="宋体" w:cs="宋体"/>
          <w:spacing w:val="5"/>
          <w:sz w:val="20"/>
          <w:szCs w:val="20"/>
        </w:rPr>
        <w:t>的建筑工程项目。</w:t>
      </w:r>
    </w:p>
    <w:p>
      <w:pPr>
        <w:spacing w:before="155" w:line="320" w:lineRule="auto"/>
        <w:ind w:right="24" w:firstLine="422"/>
        <w:rPr>
          <w:rFonts w:ascii="宋体" w:hAnsi="宋体" w:eastAsia="宋体" w:cs="宋体"/>
          <w:sz w:val="20"/>
          <w:szCs w:val="20"/>
        </w:rPr>
      </w:pPr>
      <w:r>
        <w:rPr>
          <w:rFonts w:ascii="宋体" w:hAnsi="宋体" w:eastAsia="宋体" w:cs="宋体"/>
          <w:sz w:val="20"/>
          <w:szCs w:val="20"/>
        </w:rPr>
        <w:t>9. 依据有关法律、法规批准设立的农村信用社、村镇银行、农村资金互助社、法人机构在县（市、</w:t>
      </w:r>
      <w:r>
        <w:rPr>
          <w:rFonts w:ascii="宋体" w:hAnsi="宋体" w:eastAsia="宋体" w:cs="宋体"/>
          <w:spacing w:val="11"/>
          <w:sz w:val="20"/>
          <w:szCs w:val="20"/>
        </w:rPr>
        <w:t>区、旗）及县以下地区的农村合作银行和农村商业银行提供金融服务</w:t>
      </w:r>
      <w:r>
        <w:rPr>
          <w:rFonts w:ascii="宋体" w:hAnsi="宋体" w:eastAsia="宋体" w:cs="宋体"/>
          <w:spacing w:val="10"/>
          <w:sz w:val="20"/>
          <w:szCs w:val="20"/>
        </w:rPr>
        <w:t>。县（市、区、旗）不包括直</w:t>
      </w:r>
      <w:r>
        <w:rPr>
          <w:rFonts w:ascii="宋体" w:hAnsi="宋体" w:eastAsia="宋体" w:cs="宋体"/>
          <w:spacing w:val="8"/>
          <w:sz w:val="20"/>
          <w:szCs w:val="20"/>
        </w:rPr>
        <w:t>辖市和地级市所辖区。</w:t>
      </w:r>
    </w:p>
    <w:p>
      <w:pPr>
        <w:spacing w:before="160" w:line="297" w:lineRule="auto"/>
        <w:ind w:right="105" w:firstLine="439"/>
        <w:rPr>
          <w:rFonts w:ascii="宋体" w:hAnsi="宋体" w:eastAsia="宋体" w:cs="宋体"/>
          <w:sz w:val="20"/>
          <w:szCs w:val="20"/>
        </w:rPr>
      </w:pPr>
      <w:r>
        <w:rPr>
          <w:rFonts w:ascii="宋体" w:hAnsi="宋体" w:eastAsia="宋体" w:cs="宋体"/>
          <w:spacing w:val="9"/>
          <w:sz w:val="20"/>
          <w:szCs w:val="20"/>
        </w:rPr>
        <w:t>10. 非企业单位提供的研发和技术服务、信息技术服务、鉴证咨询服务</w:t>
      </w:r>
      <w:r>
        <w:rPr>
          <w:rFonts w:ascii="宋体" w:hAnsi="宋体" w:eastAsia="宋体" w:cs="宋体"/>
          <w:spacing w:val="-60"/>
          <w:sz w:val="20"/>
          <w:szCs w:val="20"/>
        </w:rPr>
        <w:t xml:space="preserve"> </w:t>
      </w:r>
      <w:r>
        <w:rPr>
          <w:rFonts w:ascii="宋体" w:hAnsi="宋体" w:eastAsia="宋体" w:cs="宋体"/>
          <w:spacing w:val="9"/>
          <w:sz w:val="20"/>
          <w:szCs w:val="20"/>
        </w:rPr>
        <w:t>，以及</w:t>
      </w:r>
      <w:r>
        <w:rPr>
          <w:rFonts w:ascii="宋体" w:hAnsi="宋体" w:eastAsia="宋体" w:cs="宋体"/>
          <w:spacing w:val="8"/>
          <w:sz w:val="20"/>
          <w:szCs w:val="20"/>
        </w:rPr>
        <w:t>销售技术、著作</w:t>
      </w:r>
      <w:r>
        <w:rPr>
          <w:rFonts w:ascii="宋体" w:hAnsi="宋体" w:eastAsia="宋体" w:cs="宋体"/>
          <w:spacing w:val="7"/>
          <w:sz w:val="20"/>
          <w:szCs w:val="20"/>
        </w:rPr>
        <w:t>权等无形资产。</w:t>
      </w:r>
    </w:p>
    <w:p>
      <w:pPr>
        <w:spacing w:before="155" w:line="298" w:lineRule="auto"/>
        <w:ind w:left="5" w:right="103" w:firstLine="434"/>
        <w:rPr>
          <w:rFonts w:ascii="宋体" w:hAnsi="宋体" w:eastAsia="宋体" w:cs="宋体"/>
          <w:sz w:val="20"/>
          <w:szCs w:val="20"/>
        </w:rPr>
      </w:pPr>
      <w:r>
        <w:rPr>
          <w:rFonts w:ascii="宋体" w:hAnsi="宋体" w:eastAsia="宋体" w:cs="宋体"/>
          <w:spacing w:val="8"/>
          <w:sz w:val="20"/>
          <w:szCs w:val="20"/>
        </w:rPr>
        <w:t>11. 公路经营企业收取开工日期在</w:t>
      </w:r>
      <w:r>
        <w:rPr>
          <w:rFonts w:ascii="宋体" w:hAnsi="宋体" w:eastAsia="宋体" w:cs="宋体"/>
          <w:spacing w:val="-28"/>
          <w:sz w:val="20"/>
          <w:szCs w:val="20"/>
        </w:rPr>
        <w:t xml:space="preserve"> </w:t>
      </w:r>
      <w:r>
        <w:rPr>
          <w:rFonts w:ascii="宋体" w:hAnsi="宋体" w:eastAsia="宋体" w:cs="宋体"/>
          <w:spacing w:val="8"/>
          <w:sz w:val="20"/>
          <w:szCs w:val="20"/>
        </w:rPr>
        <w:t>2016</w:t>
      </w:r>
      <w:r>
        <w:rPr>
          <w:rFonts w:ascii="宋体" w:hAnsi="宋体" w:eastAsia="宋体" w:cs="宋体"/>
          <w:spacing w:val="-37"/>
          <w:sz w:val="20"/>
          <w:szCs w:val="20"/>
        </w:rPr>
        <w:t xml:space="preserve"> </w:t>
      </w:r>
      <w:r>
        <w:rPr>
          <w:rFonts w:ascii="宋体" w:hAnsi="宋体" w:eastAsia="宋体" w:cs="宋体"/>
          <w:spacing w:val="8"/>
          <w:sz w:val="20"/>
          <w:szCs w:val="20"/>
        </w:rPr>
        <w:t>年</w:t>
      </w:r>
      <w:r>
        <w:rPr>
          <w:rFonts w:ascii="宋体" w:hAnsi="宋体" w:eastAsia="宋体" w:cs="宋体"/>
          <w:spacing w:val="-42"/>
          <w:sz w:val="20"/>
          <w:szCs w:val="20"/>
        </w:rPr>
        <w:t xml:space="preserve"> </w:t>
      </w:r>
      <w:r>
        <w:rPr>
          <w:rFonts w:ascii="宋体" w:hAnsi="宋体" w:eastAsia="宋体" w:cs="宋体"/>
          <w:spacing w:val="8"/>
          <w:sz w:val="20"/>
          <w:szCs w:val="20"/>
        </w:rPr>
        <w:t>4</w:t>
      </w:r>
      <w:r>
        <w:rPr>
          <w:rFonts w:ascii="宋体" w:hAnsi="宋体" w:eastAsia="宋体" w:cs="宋体"/>
          <w:spacing w:val="-38"/>
          <w:sz w:val="20"/>
          <w:szCs w:val="20"/>
        </w:rPr>
        <w:t xml:space="preserve"> </w:t>
      </w:r>
      <w:r>
        <w:rPr>
          <w:rFonts w:ascii="宋体" w:hAnsi="宋体" w:eastAsia="宋体" w:cs="宋体"/>
          <w:spacing w:val="8"/>
          <w:sz w:val="20"/>
          <w:szCs w:val="20"/>
        </w:rPr>
        <w:t>月30 日前的高速公路的车辆通行费。高速公路的</w:t>
      </w:r>
      <w:r>
        <w:rPr>
          <w:rFonts w:ascii="宋体" w:hAnsi="宋体" w:eastAsia="宋体" w:cs="宋体"/>
          <w:spacing w:val="9"/>
          <w:sz w:val="20"/>
          <w:szCs w:val="20"/>
        </w:rPr>
        <w:t>开工日期，以相关施工许可证明上注明的合同开工日期为准。</w:t>
      </w:r>
    </w:p>
    <w:p>
      <w:pPr>
        <w:spacing w:before="155" w:line="277" w:lineRule="exact"/>
        <w:ind w:left="440"/>
        <w:rPr>
          <w:rFonts w:ascii="宋体" w:hAnsi="宋体" w:eastAsia="宋体" w:cs="宋体"/>
          <w:sz w:val="20"/>
          <w:szCs w:val="20"/>
        </w:rPr>
      </w:pPr>
      <w:r>
        <w:rPr>
          <w:rFonts w:ascii="宋体" w:hAnsi="宋体" w:eastAsia="宋体" w:cs="宋体"/>
          <w:spacing w:val="7"/>
          <w:position w:val="1"/>
          <w:sz w:val="20"/>
          <w:szCs w:val="20"/>
        </w:rPr>
        <w:t>12. 提供电影放映服务、仓储服务、装卸搬运服务、收派服务和文化体育服务。</w:t>
      </w:r>
    </w:p>
    <w:p>
      <w:pPr>
        <w:spacing w:before="122" w:line="277" w:lineRule="exact"/>
        <w:ind w:left="440"/>
        <w:rPr>
          <w:rFonts w:ascii="宋体" w:hAnsi="宋体" w:eastAsia="宋体" w:cs="宋体"/>
          <w:sz w:val="20"/>
          <w:szCs w:val="20"/>
        </w:rPr>
      </w:pPr>
      <w:r>
        <w:rPr>
          <w:rFonts w:ascii="宋体" w:hAnsi="宋体" w:eastAsia="宋体" w:cs="宋体"/>
          <w:spacing w:val="4"/>
          <w:position w:val="1"/>
          <w:sz w:val="20"/>
          <w:szCs w:val="20"/>
        </w:rPr>
        <w:t>13. 提供非学历教育服务、教育辅助服务。</w:t>
      </w:r>
    </w:p>
    <w:p>
      <w:pPr>
        <w:spacing w:before="124" w:line="277" w:lineRule="exact"/>
        <w:ind w:left="440"/>
        <w:rPr>
          <w:rFonts w:ascii="宋体" w:hAnsi="宋体" w:eastAsia="宋体" w:cs="宋体"/>
          <w:sz w:val="20"/>
          <w:szCs w:val="20"/>
        </w:rPr>
      </w:pPr>
      <w:r>
        <w:rPr>
          <w:rFonts w:ascii="宋体" w:hAnsi="宋体" w:eastAsia="宋体" w:cs="宋体"/>
          <w:spacing w:val="7"/>
          <w:position w:val="1"/>
          <w:sz w:val="20"/>
          <w:szCs w:val="20"/>
        </w:rPr>
        <w:t>14. 资管产品管理人运营契约制资管产品过程中发生</w:t>
      </w:r>
      <w:r>
        <w:rPr>
          <w:rFonts w:ascii="宋体" w:hAnsi="宋体" w:eastAsia="宋体" w:cs="宋体"/>
          <w:spacing w:val="6"/>
          <w:position w:val="1"/>
          <w:sz w:val="20"/>
          <w:szCs w:val="20"/>
        </w:rPr>
        <w:t>的增值税应税行为。</w:t>
      </w:r>
    </w:p>
    <w:p>
      <w:pPr>
        <w:spacing w:before="125" w:line="358" w:lineRule="auto"/>
        <w:ind w:right="24" w:firstLine="426"/>
        <w:jc w:val="both"/>
        <w:rPr>
          <w:rFonts w:ascii="宋体" w:hAnsi="宋体" w:eastAsia="宋体" w:cs="宋体"/>
          <w:sz w:val="20"/>
          <w:szCs w:val="20"/>
        </w:rPr>
      </w:pPr>
      <w:r>
        <w:rPr>
          <w:rFonts w:ascii="宋体" w:hAnsi="宋体" w:eastAsia="宋体" w:cs="宋体"/>
          <w:spacing w:val="8"/>
          <w:sz w:val="20"/>
          <w:szCs w:val="20"/>
        </w:rPr>
        <w:t>资管产品管理人，包括银行、信托公司、公募基</w:t>
      </w:r>
      <w:r>
        <w:rPr>
          <w:rFonts w:ascii="宋体" w:hAnsi="宋体" w:eastAsia="宋体" w:cs="宋体"/>
          <w:spacing w:val="7"/>
          <w:sz w:val="20"/>
          <w:szCs w:val="20"/>
        </w:rPr>
        <w:t>金管理公司及其子公司、证券公司及其子公司、</w:t>
      </w:r>
      <w:r>
        <w:rPr>
          <w:rFonts w:ascii="宋体" w:hAnsi="宋体" w:eastAsia="宋体" w:cs="宋体"/>
          <w:spacing w:val="11"/>
          <w:sz w:val="20"/>
          <w:szCs w:val="20"/>
        </w:rPr>
        <w:t>期货公司及其子公司、私募基金管理人、保险资产管理公司、专业保险</w:t>
      </w:r>
      <w:r>
        <w:rPr>
          <w:rFonts w:ascii="宋体" w:hAnsi="宋体" w:eastAsia="宋体" w:cs="宋体"/>
          <w:spacing w:val="10"/>
          <w:sz w:val="20"/>
          <w:szCs w:val="20"/>
        </w:rPr>
        <w:t>资产管理机构、养老保险公</w:t>
      </w:r>
      <w:r>
        <w:rPr>
          <w:rFonts w:ascii="宋体" w:hAnsi="宋体" w:eastAsia="宋体" w:cs="宋体"/>
          <w:spacing w:val="3"/>
          <w:sz w:val="20"/>
          <w:szCs w:val="20"/>
        </w:rPr>
        <w:t>司。</w:t>
      </w:r>
    </w:p>
    <w:p>
      <w:pPr>
        <w:spacing w:before="34" w:line="364" w:lineRule="auto"/>
        <w:ind w:right="24" w:firstLine="426"/>
        <w:jc w:val="both"/>
        <w:rPr>
          <w:rFonts w:ascii="宋体" w:hAnsi="宋体" w:eastAsia="宋体" w:cs="宋体"/>
          <w:sz w:val="20"/>
          <w:szCs w:val="20"/>
        </w:rPr>
      </w:pPr>
      <w:r>
        <w:rPr>
          <w:rFonts w:ascii="宋体" w:hAnsi="宋体" w:eastAsia="宋体" w:cs="宋体"/>
          <w:spacing w:val="8"/>
          <w:sz w:val="20"/>
          <w:szCs w:val="20"/>
        </w:rPr>
        <w:t>资管产品，包括银行理财产品、资金信托（包括</w:t>
      </w:r>
      <w:r>
        <w:rPr>
          <w:rFonts w:ascii="宋体" w:hAnsi="宋体" w:eastAsia="宋体" w:cs="宋体"/>
          <w:spacing w:val="7"/>
          <w:sz w:val="20"/>
          <w:szCs w:val="20"/>
        </w:rPr>
        <w:t>集合资金信托、单一资金信托）、财产权信托、</w:t>
      </w:r>
      <w:r>
        <w:rPr>
          <w:rFonts w:ascii="宋体" w:hAnsi="宋体" w:eastAsia="宋体" w:cs="宋体"/>
          <w:spacing w:val="11"/>
          <w:sz w:val="20"/>
          <w:szCs w:val="20"/>
        </w:rPr>
        <w:t>公开募集证券投资基金、特定客户资产管理计划、集合资产管理计划、</w:t>
      </w:r>
      <w:r>
        <w:rPr>
          <w:rFonts w:ascii="宋体" w:hAnsi="宋体" w:eastAsia="宋体" w:cs="宋体"/>
          <w:spacing w:val="10"/>
          <w:sz w:val="20"/>
          <w:szCs w:val="20"/>
        </w:rPr>
        <w:t>定向资产管理计划、私募投</w:t>
      </w:r>
      <w:r>
        <w:rPr>
          <w:rFonts w:ascii="宋体" w:hAnsi="宋体" w:eastAsia="宋体" w:cs="宋体"/>
          <w:spacing w:val="11"/>
          <w:sz w:val="20"/>
          <w:szCs w:val="20"/>
        </w:rPr>
        <w:t>资基金、债权投资计划、股权投资计划、股债结合型投资计划、资产支</w:t>
      </w:r>
      <w:r>
        <w:rPr>
          <w:rFonts w:ascii="宋体" w:hAnsi="宋体" w:eastAsia="宋体" w:cs="宋体"/>
          <w:spacing w:val="10"/>
          <w:sz w:val="20"/>
          <w:szCs w:val="20"/>
        </w:rPr>
        <w:t>持计划、组合类保险资产管</w:t>
      </w:r>
      <w:r>
        <w:rPr>
          <w:rFonts w:ascii="宋体" w:hAnsi="宋体" w:eastAsia="宋体" w:cs="宋体"/>
          <w:spacing w:val="8"/>
          <w:sz w:val="20"/>
          <w:szCs w:val="20"/>
        </w:rPr>
        <w:t>理产品、养老保障管理产品。</w:t>
      </w:r>
    </w:p>
    <w:p>
      <w:pPr>
        <w:spacing w:before="22" w:line="278" w:lineRule="exact"/>
        <w:ind w:left="440"/>
        <w:rPr>
          <w:rFonts w:ascii="宋体" w:hAnsi="宋体" w:eastAsia="宋体" w:cs="宋体"/>
          <w:sz w:val="20"/>
          <w:szCs w:val="20"/>
        </w:rPr>
      </w:pPr>
      <w:r>
        <w:rPr>
          <w:rFonts w:ascii="宋体" w:hAnsi="宋体" w:eastAsia="宋体" w:cs="宋体"/>
          <w:spacing w:val="5"/>
          <w:position w:val="1"/>
          <w:sz w:val="20"/>
          <w:szCs w:val="20"/>
        </w:rPr>
        <w:t>15. 下列文件中现行有效的增值税优惠政策。</w:t>
      </w:r>
    </w:p>
    <w:p>
      <w:pPr>
        <w:spacing w:before="122" w:line="314" w:lineRule="auto"/>
        <w:ind w:right="105" w:firstLine="413"/>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7"/>
          <w:sz w:val="20"/>
          <w:szCs w:val="20"/>
        </w:rPr>
        <w:t xml:space="preserve"> </w:t>
      </w:r>
      <w:r>
        <w:rPr>
          <w:rFonts w:ascii="宋体" w:hAnsi="宋体" w:eastAsia="宋体" w:cs="宋体"/>
          <w:spacing w:val="4"/>
          <w:sz w:val="20"/>
          <w:szCs w:val="20"/>
        </w:rPr>
        <w:t>1）《财政部 海关总署 税务总局</w:t>
      </w:r>
      <w:r>
        <w:rPr>
          <w:rFonts w:ascii="宋体" w:hAnsi="宋体" w:eastAsia="宋体" w:cs="宋体"/>
          <w:spacing w:val="33"/>
          <w:sz w:val="20"/>
          <w:szCs w:val="20"/>
        </w:rPr>
        <w:t xml:space="preserve"> </w:t>
      </w:r>
      <w:r>
        <w:rPr>
          <w:rFonts w:ascii="宋体" w:hAnsi="宋体" w:eastAsia="宋体" w:cs="宋体"/>
          <w:spacing w:val="4"/>
          <w:sz w:val="20"/>
          <w:szCs w:val="20"/>
        </w:rPr>
        <w:t>国家药品监督管理局关于抗癌药品增</w:t>
      </w:r>
      <w:r>
        <w:rPr>
          <w:rFonts w:ascii="宋体" w:hAnsi="宋体" w:eastAsia="宋体" w:cs="宋体"/>
          <w:spacing w:val="3"/>
          <w:sz w:val="20"/>
          <w:szCs w:val="20"/>
        </w:rPr>
        <w:t>值税政策的通知》（财</w:t>
      </w:r>
      <w:r>
        <w:rPr>
          <w:rFonts w:ascii="宋体" w:hAnsi="宋体" w:eastAsia="宋体" w:cs="宋体"/>
          <w:spacing w:val="4"/>
          <w:sz w:val="20"/>
          <w:szCs w:val="20"/>
        </w:rPr>
        <w:t>税〔2018〕47</w:t>
      </w:r>
      <w:r>
        <w:rPr>
          <w:rFonts w:ascii="宋体" w:hAnsi="宋体" w:eastAsia="宋体" w:cs="宋体"/>
          <w:spacing w:val="-35"/>
          <w:sz w:val="20"/>
          <w:szCs w:val="20"/>
        </w:rPr>
        <w:t xml:space="preserve"> </w:t>
      </w:r>
      <w:r>
        <w:rPr>
          <w:rFonts w:ascii="宋体" w:hAnsi="宋体" w:eastAsia="宋体" w:cs="宋体"/>
          <w:spacing w:val="4"/>
          <w:sz w:val="20"/>
          <w:szCs w:val="20"/>
        </w:rPr>
        <w:t>号）。</w:t>
      </w:r>
    </w:p>
    <w:p>
      <w:pPr>
        <w:spacing w:before="119" w:line="314" w:lineRule="auto"/>
        <w:ind w:left="3" w:firstLine="409"/>
        <w:rPr>
          <w:rFonts w:ascii="宋体" w:hAnsi="宋体" w:eastAsia="宋体" w:cs="宋体"/>
          <w:sz w:val="20"/>
          <w:szCs w:val="20"/>
        </w:rPr>
      </w:pPr>
      <w:r>
        <w:rPr>
          <w:rFonts w:ascii="宋体" w:hAnsi="宋体" w:eastAsia="宋体" w:cs="宋体"/>
          <w:spacing w:val="8"/>
          <w:sz w:val="20"/>
          <w:szCs w:val="20"/>
        </w:rPr>
        <w:t>（2）《财政部 海关总署 税务总局 药监局关于罕见病药品增值税</w:t>
      </w:r>
      <w:r>
        <w:rPr>
          <w:rFonts w:ascii="宋体" w:hAnsi="宋体" w:eastAsia="宋体" w:cs="宋体"/>
          <w:spacing w:val="7"/>
          <w:sz w:val="20"/>
          <w:szCs w:val="20"/>
        </w:rPr>
        <w:t>政策的通知》（财税〔2019〕</w:t>
      </w:r>
      <w:r>
        <w:rPr>
          <w:rFonts w:ascii="宋体" w:hAnsi="宋体" w:eastAsia="宋体" w:cs="宋体"/>
          <w:sz w:val="20"/>
          <w:szCs w:val="20"/>
        </w:rPr>
        <w:t xml:space="preserve"> 24</w:t>
      </w:r>
      <w:r>
        <w:rPr>
          <w:rFonts w:ascii="宋体" w:hAnsi="宋体" w:eastAsia="宋体" w:cs="宋体"/>
          <w:spacing w:val="-37"/>
          <w:sz w:val="20"/>
          <w:szCs w:val="20"/>
        </w:rPr>
        <w:t xml:space="preserve"> </w:t>
      </w:r>
      <w:r>
        <w:rPr>
          <w:rFonts w:ascii="宋体" w:hAnsi="宋体" w:eastAsia="宋体" w:cs="宋体"/>
          <w:sz w:val="20"/>
          <w:szCs w:val="20"/>
        </w:rPr>
        <w:t>号）。</w:t>
      </w:r>
    </w:p>
    <w:p>
      <w:pPr>
        <w:spacing w:before="123" w:line="311" w:lineRule="auto"/>
        <w:ind w:left="2" w:right="105" w:firstLine="410"/>
        <w:rPr>
          <w:rFonts w:ascii="宋体" w:hAnsi="宋体" w:eastAsia="宋体" w:cs="宋体"/>
          <w:sz w:val="20"/>
          <w:szCs w:val="20"/>
        </w:rPr>
      </w:pPr>
      <w:r>
        <w:rPr>
          <w:rFonts w:ascii="宋体" w:hAnsi="宋体" w:eastAsia="宋体" w:cs="宋体"/>
          <w:spacing w:val="8"/>
          <w:sz w:val="20"/>
          <w:szCs w:val="20"/>
        </w:rPr>
        <w:t>（3）《财政部 海关总署 税务总局药监局关于发布第二批适用增值税政策的抗癌药品和罕见病</w:t>
      </w:r>
      <w:r>
        <w:rPr>
          <w:rFonts w:ascii="宋体" w:hAnsi="宋体" w:eastAsia="宋体" w:cs="宋体"/>
          <w:spacing w:val="9"/>
          <w:sz w:val="20"/>
          <w:szCs w:val="20"/>
        </w:rPr>
        <w:t>药品清单的公告》（财政部 海关总署 税务总局 药监局公告</w:t>
      </w:r>
      <w:r>
        <w:rPr>
          <w:rFonts w:ascii="宋体" w:hAnsi="宋体" w:eastAsia="宋体" w:cs="宋体"/>
          <w:spacing w:val="-42"/>
          <w:sz w:val="20"/>
          <w:szCs w:val="20"/>
        </w:rPr>
        <w:t xml:space="preserve"> </w:t>
      </w:r>
      <w:r>
        <w:rPr>
          <w:rFonts w:ascii="宋体" w:hAnsi="宋体" w:eastAsia="宋体" w:cs="宋体"/>
          <w:spacing w:val="9"/>
          <w:sz w:val="20"/>
          <w:szCs w:val="20"/>
        </w:rPr>
        <w:t>2020</w:t>
      </w:r>
      <w:r>
        <w:rPr>
          <w:rFonts w:ascii="宋体" w:hAnsi="宋体" w:eastAsia="宋体" w:cs="宋体"/>
          <w:spacing w:val="-41"/>
          <w:sz w:val="20"/>
          <w:szCs w:val="20"/>
        </w:rPr>
        <w:t xml:space="preserve"> </w:t>
      </w:r>
      <w:r>
        <w:rPr>
          <w:rFonts w:ascii="宋体" w:hAnsi="宋体" w:eastAsia="宋体" w:cs="宋体"/>
          <w:spacing w:val="9"/>
          <w:sz w:val="20"/>
          <w:szCs w:val="20"/>
        </w:rPr>
        <w:t>年第</w:t>
      </w:r>
      <w:r>
        <w:rPr>
          <w:rFonts w:ascii="宋体" w:hAnsi="宋体" w:eastAsia="宋体" w:cs="宋体"/>
          <w:spacing w:val="8"/>
          <w:sz w:val="20"/>
          <w:szCs w:val="20"/>
        </w:rPr>
        <w:t>39</w:t>
      </w:r>
      <w:r>
        <w:rPr>
          <w:rFonts w:ascii="宋体" w:hAnsi="宋体" w:eastAsia="宋体" w:cs="宋体"/>
          <w:spacing w:val="-40"/>
          <w:sz w:val="20"/>
          <w:szCs w:val="20"/>
        </w:rPr>
        <w:t xml:space="preserve"> </w:t>
      </w:r>
      <w:r>
        <w:rPr>
          <w:rFonts w:ascii="宋体" w:hAnsi="宋体" w:eastAsia="宋体" w:cs="宋体"/>
          <w:spacing w:val="8"/>
          <w:sz w:val="20"/>
          <w:szCs w:val="20"/>
        </w:rPr>
        <w:t>号）。</w:t>
      </w:r>
    </w:p>
    <w:p>
      <w:pPr>
        <w:spacing w:before="125" w:line="312" w:lineRule="auto"/>
        <w:ind w:left="2" w:right="105" w:firstLine="410"/>
        <w:rPr>
          <w:rFonts w:ascii="宋体" w:hAnsi="宋体" w:eastAsia="宋体" w:cs="宋体"/>
          <w:sz w:val="20"/>
          <w:szCs w:val="20"/>
        </w:rPr>
      </w:pPr>
      <w:r>
        <w:rPr>
          <w:rFonts w:ascii="宋体" w:hAnsi="宋体" w:eastAsia="宋体" w:cs="宋体"/>
          <w:spacing w:val="8"/>
          <w:sz w:val="20"/>
          <w:szCs w:val="20"/>
        </w:rPr>
        <w:t>（4）《财政部 海关总署 税务总局药监局关于发布第三批适用增值税政策的抗癌药品和罕见病</w:t>
      </w:r>
      <w:r>
        <w:rPr>
          <w:rFonts w:ascii="宋体" w:hAnsi="宋体" w:eastAsia="宋体" w:cs="宋体"/>
          <w:spacing w:val="9"/>
          <w:sz w:val="20"/>
          <w:szCs w:val="20"/>
        </w:rPr>
        <w:t>药品清单的公告》（财政部 海关总署 税务总局 药监局公告</w:t>
      </w:r>
      <w:r>
        <w:rPr>
          <w:rFonts w:ascii="宋体" w:hAnsi="宋体" w:eastAsia="宋体" w:cs="宋体"/>
          <w:spacing w:val="-42"/>
          <w:sz w:val="20"/>
          <w:szCs w:val="20"/>
        </w:rPr>
        <w:t xml:space="preserve"> </w:t>
      </w:r>
      <w:r>
        <w:rPr>
          <w:rFonts w:ascii="宋体" w:hAnsi="宋体" w:eastAsia="宋体" w:cs="宋体"/>
          <w:spacing w:val="9"/>
          <w:sz w:val="20"/>
          <w:szCs w:val="20"/>
        </w:rPr>
        <w:t>2022</w:t>
      </w:r>
      <w:r>
        <w:rPr>
          <w:rFonts w:ascii="宋体" w:hAnsi="宋体" w:eastAsia="宋体" w:cs="宋体"/>
          <w:spacing w:val="-41"/>
          <w:sz w:val="20"/>
          <w:szCs w:val="20"/>
        </w:rPr>
        <w:t xml:space="preserve"> </w:t>
      </w:r>
      <w:r>
        <w:rPr>
          <w:rFonts w:ascii="宋体" w:hAnsi="宋体" w:eastAsia="宋体" w:cs="宋体"/>
          <w:spacing w:val="9"/>
          <w:sz w:val="20"/>
          <w:szCs w:val="20"/>
        </w:rPr>
        <w:t>年第</w:t>
      </w:r>
      <w:r>
        <w:rPr>
          <w:rFonts w:ascii="宋体" w:hAnsi="宋体" w:eastAsia="宋体" w:cs="宋体"/>
          <w:spacing w:val="8"/>
          <w:sz w:val="20"/>
          <w:szCs w:val="20"/>
        </w:rPr>
        <w:t>35</w:t>
      </w:r>
      <w:r>
        <w:rPr>
          <w:rFonts w:ascii="宋体" w:hAnsi="宋体" w:eastAsia="宋体" w:cs="宋体"/>
          <w:spacing w:val="-40"/>
          <w:sz w:val="20"/>
          <w:szCs w:val="20"/>
        </w:rPr>
        <w:t xml:space="preserve"> </w:t>
      </w:r>
      <w:r>
        <w:rPr>
          <w:rFonts w:ascii="宋体" w:hAnsi="宋体" w:eastAsia="宋体" w:cs="宋体"/>
          <w:spacing w:val="8"/>
          <w:sz w:val="20"/>
          <w:szCs w:val="20"/>
        </w:rPr>
        <w:t>号）。</w:t>
      </w:r>
    </w:p>
    <w:p>
      <w:pPr>
        <w:spacing w:before="124" w:line="312" w:lineRule="auto"/>
        <w:ind w:left="18" w:right="105" w:firstLine="394"/>
        <w:rPr>
          <w:rFonts w:ascii="宋体" w:hAnsi="宋体" w:eastAsia="宋体" w:cs="宋体"/>
          <w:sz w:val="20"/>
          <w:szCs w:val="20"/>
        </w:rPr>
      </w:pPr>
      <w:r>
        <w:rPr>
          <w:rFonts w:ascii="宋体" w:hAnsi="宋体" w:eastAsia="宋体" w:cs="宋体"/>
          <w:spacing w:val="11"/>
          <w:sz w:val="20"/>
          <w:szCs w:val="20"/>
        </w:rPr>
        <w:t>（5）《财政部 税务总局关于延续实施中国邮政储蓄银行三农</w:t>
      </w:r>
      <w:r>
        <w:rPr>
          <w:rFonts w:ascii="宋体" w:hAnsi="宋体" w:eastAsia="宋体" w:cs="宋体"/>
          <w:spacing w:val="10"/>
          <w:sz w:val="20"/>
          <w:szCs w:val="20"/>
        </w:rPr>
        <w:t>金融事业部涉农贷款增值税政策</w:t>
      </w:r>
      <w:r>
        <w:rPr>
          <w:rFonts w:ascii="宋体" w:hAnsi="宋体" w:eastAsia="宋体" w:cs="宋体"/>
          <w:spacing w:val="5"/>
          <w:sz w:val="20"/>
          <w:szCs w:val="20"/>
        </w:rPr>
        <w:t>的公告》（财政部 税务总局公告</w:t>
      </w:r>
      <w:r>
        <w:rPr>
          <w:rFonts w:ascii="宋体" w:hAnsi="宋体" w:eastAsia="宋体" w:cs="宋体"/>
          <w:spacing w:val="-24"/>
          <w:sz w:val="20"/>
          <w:szCs w:val="20"/>
        </w:rPr>
        <w:t xml:space="preserve"> </w:t>
      </w:r>
      <w:r>
        <w:rPr>
          <w:rFonts w:ascii="宋体" w:hAnsi="宋体" w:eastAsia="宋体" w:cs="宋体"/>
          <w:spacing w:val="5"/>
          <w:sz w:val="20"/>
          <w:szCs w:val="20"/>
        </w:rPr>
        <w:t>2023</w:t>
      </w:r>
      <w:r>
        <w:rPr>
          <w:rFonts w:ascii="宋体" w:hAnsi="宋体" w:eastAsia="宋体" w:cs="宋体"/>
          <w:spacing w:val="-41"/>
          <w:sz w:val="20"/>
          <w:szCs w:val="20"/>
        </w:rPr>
        <w:t xml:space="preserve"> </w:t>
      </w:r>
      <w:r>
        <w:rPr>
          <w:rFonts w:ascii="宋体" w:hAnsi="宋体" w:eastAsia="宋体" w:cs="宋体"/>
          <w:spacing w:val="5"/>
          <w:sz w:val="20"/>
          <w:szCs w:val="20"/>
        </w:rPr>
        <w:t>年第</w:t>
      </w:r>
      <w:r>
        <w:rPr>
          <w:rFonts w:ascii="宋体" w:hAnsi="宋体" w:eastAsia="宋体" w:cs="宋体"/>
          <w:spacing w:val="-38"/>
          <w:sz w:val="20"/>
          <w:szCs w:val="20"/>
        </w:rPr>
        <w:t xml:space="preserve"> </w:t>
      </w:r>
      <w:r>
        <w:rPr>
          <w:rFonts w:ascii="宋体" w:hAnsi="宋体" w:eastAsia="宋体" w:cs="宋体"/>
          <w:spacing w:val="5"/>
          <w:sz w:val="20"/>
          <w:szCs w:val="20"/>
        </w:rPr>
        <w:t>66</w:t>
      </w:r>
      <w:r>
        <w:rPr>
          <w:rFonts w:ascii="宋体" w:hAnsi="宋体" w:eastAsia="宋体" w:cs="宋体"/>
          <w:spacing w:val="-40"/>
          <w:sz w:val="20"/>
          <w:szCs w:val="20"/>
        </w:rPr>
        <w:t xml:space="preserve"> </w:t>
      </w:r>
      <w:r>
        <w:rPr>
          <w:rFonts w:ascii="宋体" w:hAnsi="宋体" w:eastAsia="宋体" w:cs="宋体"/>
          <w:spacing w:val="5"/>
          <w:sz w:val="20"/>
          <w:szCs w:val="20"/>
        </w:rPr>
        <w:t>号）。</w:t>
      </w:r>
    </w:p>
    <w:p>
      <w:pPr>
        <w:spacing w:before="125" w:line="366" w:lineRule="auto"/>
        <w:ind w:right="105" w:firstLine="412"/>
        <w:rPr>
          <w:rFonts w:ascii="宋体" w:hAnsi="宋体" w:eastAsia="宋体" w:cs="宋体"/>
          <w:sz w:val="20"/>
          <w:szCs w:val="20"/>
        </w:rPr>
      </w:pPr>
      <w:r>
        <w:rPr>
          <w:rFonts w:ascii="宋体" w:hAnsi="宋体" w:eastAsia="宋体" w:cs="宋体"/>
          <w:spacing w:val="2"/>
          <w:sz w:val="20"/>
          <w:szCs w:val="20"/>
        </w:rPr>
        <w:t>（二）</w:t>
      </w:r>
      <w:r>
        <w:rPr>
          <w:rFonts w:ascii="宋体" w:hAnsi="宋体" w:eastAsia="宋体" w:cs="宋体"/>
          <w:spacing w:val="47"/>
          <w:sz w:val="20"/>
          <w:szCs w:val="20"/>
        </w:rPr>
        <w:t xml:space="preserve"> </w:t>
      </w:r>
      <w:r>
        <w:rPr>
          <w:rFonts w:ascii="宋体" w:hAnsi="宋体" w:eastAsia="宋体" w:cs="宋体"/>
          <w:spacing w:val="2"/>
          <w:sz w:val="20"/>
          <w:szCs w:val="20"/>
        </w:rPr>
        <w:t>自</w:t>
      </w:r>
      <w:r>
        <w:rPr>
          <w:rFonts w:ascii="宋体" w:hAnsi="宋体" w:eastAsia="宋体" w:cs="宋体"/>
          <w:spacing w:val="-42"/>
          <w:sz w:val="20"/>
          <w:szCs w:val="20"/>
        </w:rPr>
        <w:t xml:space="preserve"> </w:t>
      </w:r>
      <w:r>
        <w:rPr>
          <w:rFonts w:ascii="宋体" w:hAnsi="宋体" w:eastAsia="宋体" w:cs="宋体"/>
          <w:spacing w:val="2"/>
          <w:sz w:val="20"/>
          <w:szCs w:val="20"/>
        </w:rPr>
        <w:t>2026</w:t>
      </w:r>
      <w:r>
        <w:rPr>
          <w:rFonts w:ascii="宋体" w:hAnsi="宋体" w:eastAsia="宋体" w:cs="宋体"/>
          <w:spacing w:val="-36"/>
          <w:sz w:val="20"/>
          <w:szCs w:val="20"/>
        </w:rPr>
        <w:t xml:space="preserve"> </w:t>
      </w:r>
      <w:r>
        <w:rPr>
          <w:rFonts w:ascii="宋体" w:hAnsi="宋体" w:eastAsia="宋体" w:cs="宋体"/>
          <w:spacing w:val="2"/>
          <w:sz w:val="20"/>
          <w:szCs w:val="20"/>
        </w:rPr>
        <w:t>年</w:t>
      </w:r>
      <w:r>
        <w:rPr>
          <w:rFonts w:ascii="宋体" w:hAnsi="宋体" w:eastAsia="宋体" w:cs="宋体"/>
          <w:spacing w:val="-23"/>
          <w:sz w:val="20"/>
          <w:szCs w:val="20"/>
        </w:rPr>
        <w:t xml:space="preserve"> </w:t>
      </w:r>
      <w:r>
        <w:rPr>
          <w:rFonts w:ascii="宋体" w:hAnsi="宋体" w:eastAsia="宋体" w:cs="宋体"/>
          <w:spacing w:val="2"/>
          <w:sz w:val="20"/>
          <w:szCs w:val="20"/>
        </w:rPr>
        <w:t>1</w:t>
      </w:r>
      <w:r>
        <w:rPr>
          <w:rFonts w:ascii="宋体" w:hAnsi="宋体" w:eastAsia="宋体" w:cs="宋体"/>
          <w:spacing w:val="-40"/>
          <w:sz w:val="20"/>
          <w:szCs w:val="20"/>
        </w:rPr>
        <w:t xml:space="preserve"> </w:t>
      </w:r>
      <w:r>
        <w:rPr>
          <w:rFonts w:ascii="宋体" w:hAnsi="宋体" w:eastAsia="宋体" w:cs="宋体"/>
          <w:spacing w:val="2"/>
          <w:sz w:val="20"/>
          <w:szCs w:val="20"/>
        </w:rPr>
        <w:t>月</w:t>
      </w:r>
      <w:r>
        <w:rPr>
          <w:rFonts w:ascii="宋体" w:hAnsi="宋体" w:eastAsia="宋体" w:cs="宋体"/>
          <w:spacing w:val="-22"/>
          <w:sz w:val="20"/>
          <w:szCs w:val="20"/>
        </w:rPr>
        <w:t xml:space="preserve"> </w:t>
      </w:r>
      <w:r>
        <w:rPr>
          <w:rFonts w:ascii="宋体" w:hAnsi="宋体" w:eastAsia="宋体" w:cs="宋体"/>
          <w:spacing w:val="2"/>
          <w:sz w:val="20"/>
          <w:szCs w:val="20"/>
        </w:rPr>
        <w:t>1 日至</w:t>
      </w:r>
      <w:r>
        <w:rPr>
          <w:rFonts w:ascii="宋体" w:hAnsi="宋体" w:eastAsia="宋体" w:cs="宋体"/>
          <w:spacing w:val="-39"/>
          <w:sz w:val="20"/>
          <w:szCs w:val="20"/>
        </w:rPr>
        <w:t xml:space="preserve"> </w:t>
      </w:r>
      <w:r>
        <w:rPr>
          <w:rFonts w:ascii="宋体" w:hAnsi="宋体" w:eastAsia="宋体" w:cs="宋体"/>
          <w:spacing w:val="2"/>
          <w:sz w:val="20"/>
          <w:szCs w:val="20"/>
        </w:rPr>
        <w:t>2027</w:t>
      </w:r>
      <w:r>
        <w:rPr>
          <w:rFonts w:ascii="宋体" w:hAnsi="宋体" w:eastAsia="宋体" w:cs="宋体"/>
          <w:spacing w:val="-37"/>
          <w:sz w:val="20"/>
          <w:szCs w:val="20"/>
        </w:rPr>
        <w:t xml:space="preserve"> </w:t>
      </w:r>
      <w:r>
        <w:rPr>
          <w:rFonts w:ascii="宋体" w:hAnsi="宋体" w:eastAsia="宋体" w:cs="宋体"/>
          <w:spacing w:val="2"/>
          <w:sz w:val="20"/>
          <w:szCs w:val="20"/>
        </w:rPr>
        <w:t>年</w:t>
      </w:r>
      <w:r>
        <w:rPr>
          <w:rFonts w:ascii="宋体" w:hAnsi="宋体" w:eastAsia="宋体" w:cs="宋体"/>
          <w:spacing w:val="-22"/>
          <w:sz w:val="20"/>
          <w:szCs w:val="20"/>
        </w:rPr>
        <w:t xml:space="preserve"> </w:t>
      </w:r>
      <w:r>
        <w:rPr>
          <w:rFonts w:ascii="宋体" w:hAnsi="宋体" w:eastAsia="宋体" w:cs="宋体"/>
          <w:spacing w:val="2"/>
          <w:sz w:val="20"/>
          <w:szCs w:val="20"/>
        </w:rPr>
        <w:t>12</w:t>
      </w:r>
      <w:r>
        <w:rPr>
          <w:rFonts w:ascii="宋体" w:hAnsi="宋体" w:eastAsia="宋体" w:cs="宋体"/>
          <w:spacing w:val="-38"/>
          <w:sz w:val="20"/>
          <w:szCs w:val="20"/>
        </w:rPr>
        <w:t xml:space="preserve"> </w:t>
      </w:r>
      <w:r>
        <w:rPr>
          <w:rFonts w:ascii="宋体" w:hAnsi="宋体" w:eastAsia="宋体" w:cs="宋体"/>
          <w:spacing w:val="2"/>
          <w:sz w:val="20"/>
          <w:szCs w:val="20"/>
        </w:rPr>
        <w:t>月</w:t>
      </w:r>
      <w:r>
        <w:rPr>
          <w:rFonts w:ascii="宋体" w:hAnsi="宋体" w:eastAsia="宋体" w:cs="宋体"/>
          <w:spacing w:val="-36"/>
          <w:sz w:val="20"/>
          <w:szCs w:val="20"/>
        </w:rPr>
        <w:t xml:space="preserve"> </w:t>
      </w:r>
      <w:r>
        <w:rPr>
          <w:rFonts w:ascii="宋体" w:hAnsi="宋体" w:eastAsia="宋体" w:cs="宋体"/>
          <w:spacing w:val="2"/>
          <w:sz w:val="20"/>
          <w:szCs w:val="20"/>
        </w:rPr>
        <w:t>31 日</w:t>
      </w:r>
      <w:r>
        <w:rPr>
          <w:rFonts w:ascii="宋体" w:hAnsi="宋体" w:eastAsia="宋体" w:cs="宋体"/>
          <w:spacing w:val="44"/>
          <w:sz w:val="20"/>
          <w:szCs w:val="20"/>
        </w:rPr>
        <w:t xml:space="preserve"> </w:t>
      </w:r>
      <w:r>
        <w:rPr>
          <w:rFonts w:ascii="宋体" w:hAnsi="宋体" w:eastAsia="宋体" w:cs="宋体"/>
          <w:spacing w:val="2"/>
          <w:sz w:val="20"/>
          <w:szCs w:val="20"/>
        </w:rPr>
        <w:t>，一般纳税人发生以下应税交易，可以选择</w:t>
      </w:r>
      <w:r>
        <w:rPr>
          <w:rFonts w:ascii="宋体" w:hAnsi="宋体" w:eastAsia="宋体" w:cs="宋体"/>
          <w:spacing w:val="11"/>
          <w:sz w:val="20"/>
          <w:szCs w:val="20"/>
        </w:rPr>
        <w:t>适用简易计税方法，按照</w:t>
      </w:r>
      <w:r>
        <w:rPr>
          <w:rFonts w:ascii="宋体" w:hAnsi="宋体" w:eastAsia="宋体" w:cs="宋体"/>
          <w:spacing w:val="-31"/>
          <w:sz w:val="20"/>
          <w:szCs w:val="20"/>
        </w:rPr>
        <w:t xml:space="preserve"> </w:t>
      </w:r>
      <w:r>
        <w:rPr>
          <w:rFonts w:ascii="宋体" w:hAnsi="宋体" w:eastAsia="宋体" w:cs="宋体"/>
          <w:spacing w:val="11"/>
          <w:sz w:val="20"/>
          <w:szCs w:val="20"/>
        </w:rPr>
        <w:t>5%的规定征收率计算缴纳增值税。</w:t>
      </w:r>
    </w:p>
    <w:p>
      <w:pPr>
        <w:spacing w:before="5" w:line="297" w:lineRule="auto"/>
        <w:ind w:left="4" w:right="105" w:firstLine="435"/>
        <w:rPr>
          <w:rFonts w:ascii="宋体" w:hAnsi="宋体" w:eastAsia="宋体" w:cs="宋体"/>
          <w:sz w:val="20"/>
          <w:szCs w:val="20"/>
        </w:rPr>
      </w:pPr>
      <w:r>
        <w:rPr>
          <w:rFonts w:ascii="宋体" w:hAnsi="宋体" w:eastAsia="宋体" w:cs="宋体"/>
          <w:spacing w:val="3"/>
          <w:sz w:val="20"/>
          <w:szCs w:val="20"/>
        </w:rPr>
        <w:t>1.</w:t>
      </w:r>
      <w:r>
        <w:rPr>
          <w:rFonts w:ascii="宋体" w:hAnsi="宋体" w:eastAsia="宋体" w:cs="宋体"/>
          <w:spacing w:val="-26"/>
          <w:sz w:val="20"/>
          <w:szCs w:val="20"/>
        </w:rPr>
        <w:t xml:space="preserve"> </w:t>
      </w:r>
      <w:r>
        <w:rPr>
          <w:rFonts w:ascii="宋体" w:hAnsi="宋体" w:eastAsia="宋体" w:cs="宋体"/>
          <w:spacing w:val="3"/>
          <w:sz w:val="20"/>
          <w:szCs w:val="20"/>
        </w:rPr>
        <w:t>2016</w:t>
      </w:r>
      <w:r>
        <w:rPr>
          <w:rFonts w:ascii="宋体" w:hAnsi="宋体" w:eastAsia="宋体" w:cs="宋体"/>
          <w:spacing w:val="-37"/>
          <w:sz w:val="20"/>
          <w:szCs w:val="20"/>
        </w:rPr>
        <w:t xml:space="preserve"> </w:t>
      </w:r>
      <w:r>
        <w:rPr>
          <w:rFonts w:ascii="宋体" w:hAnsi="宋体" w:eastAsia="宋体" w:cs="宋体"/>
          <w:spacing w:val="3"/>
          <w:sz w:val="20"/>
          <w:szCs w:val="20"/>
        </w:rPr>
        <w:t>年</w:t>
      </w:r>
      <w:r>
        <w:rPr>
          <w:rFonts w:ascii="宋体" w:hAnsi="宋体" w:eastAsia="宋体" w:cs="宋体"/>
          <w:spacing w:val="-42"/>
          <w:sz w:val="20"/>
          <w:szCs w:val="20"/>
        </w:rPr>
        <w:t xml:space="preserve"> </w:t>
      </w:r>
      <w:r>
        <w:rPr>
          <w:rFonts w:ascii="宋体" w:hAnsi="宋体" w:eastAsia="宋体" w:cs="宋体"/>
          <w:spacing w:val="3"/>
          <w:sz w:val="20"/>
          <w:szCs w:val="20"/>
        </w:rPr>
        <w:t>4</w:t>
      </w:r>
      <w:r>
        <w:rPr>
          <w:rFonts w:ascii="宋体" w:hAnsi="宋体" w:eastAsia="宋体" w:cs="宋体"/>
          <w:spacing w:val="-36"/>
          <w:sz w:val="20"/>
          <w:szCs w:val="20"/>
        </w:rPr>
        <w:t xml:space="preserve"> </w:t>
      </w:r>
      <w:r>
        <w:rPr>
          <w:rFonts w:ascii="宋体" w:hAnsi="宋体" w:eastAsia="宋体" w:cs="宋体"/>
          <w:spacing w:val="3"/>
          <w:sz w:val="20"/>
          <w:szCs w:val="20"/>
        </w:rPr>
        <w:t>月</w:t>
      </w:r>
      <w:r>
        <w:rPr>
          <w:rFonts w:ascii="宋体" w:hAnsi="宋体" w:eastAsia="宋体" w:cs="宋体"/>
          <w:spacing w:val="-36"/>
          <w:sz w:val="20"/>
          <w:szCs w:val="20"/>
        </w:rPr>
        <w:t xml:space="preserve"> </w:t>
      </w:r>
      <w:r>
        <w:rPr>
          <w:rFonts w:ascii="宋体" w:hAnsi="宋体" w:eastAsia="宋体" w:cs="宋体"/>
          <w:spacing w:val="3"/>
          <w:sz w:val="20"/>
          <w:szCs w:val="20"/>
        </w:rPr>
        <w:t>30 日前签订的不动产融资租赁合同</w:t>
      </w:r>
      <w:r>
        <w:rPr>
          <w:rFonts w:ascii="宋体" w:hAnsi="宋体" w:eastAsia="宋体" w:cs="宋体"/>
          <w:spacing w:val="-59"/>
          <w:sz w:val="20"/>
          <w:szCs w:val="20"/>
        </w:rPr>
        <w:t xml:space="preserve"> </w:t>
      </w:r>
      <w:r>
        <w:rPr>
          <w:rFonts w:ascii="宋体" w:hAnsi="宋体" w:eastAsia="宋体" w:cs="宋体"/>
          <w:spacing w:val="3"/>
          <w:sz w:val="20"/>
          <w:szCs w:val="20"/>
        </w:rPr>
        <w:t>，或者以</w:t>
      </w:r>
      <w:r>
        <w:rPr>
          <w:rFonts w:ascii="宋体" w:hAnsi="宋体" w:eastAsia="宋体" w:cs="宋体"/>
          <w:spacing w:val="-39"/>
          <w:sz w:val="20"/>
          <w:szCs w:val="20"/>
        </w:rPr>
        <w:t xml:space="preserve"> </w:t>
      </w:r>
      <w:r>
        <w:rPr>
          <w:rFonts w:ascii="宋体" w:hAnsi="宋体" w:eastAsia="宋体" w:cs="宋体"/>
          <w:spacing w:val="3"/>
          <w:sz w:val="20"/>
          <w:szCs w:val="20"/>
        </w:rPr>
        <w:t>2016</w:t>
      </w:r>
      <w:r>
        <w:rPr>
          <w:rFonts w:ascii="宋体" w:hAnsi="宋体" w:eastAsia="宋体" w:cs="宋体"/>
          <w:spacing w:val="-37"/>
          <w:sz w:val="20"/>
          <w:szCs w:val="20"/>
        </w:rPr>
        <w:t xml:space="preserve"> </w:t>
      </w:r>
      <w:r>
        <w:rPr>
          <w:rFonts w:ascii="宋体" w:hAnsi="宋体" w:eastAsia="宋体" w:cs="宋体"/>
          <w:spacing w:val="3"/>
          <w:sz w:val="20"/>
          <w:szCs w:val="20"/>
        </w:rPr>
        <w:t>年</w:t>
      </w:r>
      <w:r>
        <w:rPr>
          <w:rFonts w:ascii="宋体" w:hAnsi="宋体" w:eastAsia="宋体" w:cs="宋体"/>
          <w:spacing w:val="-42"/>
          <w:sz w:val="20"/>
          <w:szCs w:val="20"/>
        </w:rPr>
        <w:t xml:space="preserve"> </w:t>
      </w:r>
      <w:r>
        <w:rPr>
          <w:rFonts w:ascii="宋体" w:hAnsi="宋体" w:eastAsia="宋体" w:cs="宋体"/>
          <w:spacing w:val="3"/>
          <w:sz w:val="20"/>
          <w:szCs w:val="20"/>
        </w:rPr>
        <w:t>4</w:t>
      </w:r>
      <w:r>
        <w:rPr>
          <w:rFonts w:ascii="宋体" w:hAnsi="宋体" w:eastAsia="宋体" w:cs="宋体"/>
          <w:spacing w:val="-36"/>
          <w:sz w:val="20"/>
          <w:szCs w:val="20"/>
        </w:rPr>
        <w:t xml:space="preserve"> </w:t>
      </w:r>
      <w:r>
        <w:rPr>
          <w:rFonts w:ascii="宋体" w:hAnsi="宋体" w:eastAsia="宋体" w:cs="宋体"/>
          <w:spacing w:val="3"/>
          <w:sz w:val="20"/>
          <w:szCs w:val="20"/>
        </w:rPr>
        <w:t>月</w:t>
      </w:r>
      <w:r>
        <w:rPr>
          <w:rFonts w:ascii="宋体" w:hAnsi="宋体" w:eastAsia="宋体" w:cs="宋体"/>
          <w:spacing w:val="-33"/>
          <w:sz w:val="20"/>
          <w:szCs w:val="20"/>
        </w:rPr>
        <w:t xml:space="preserve"> </w:t>
      </w:r>
      <w:r>
        <w:rPr>
          <w:rFonts w:ascii="宋体" w:hAnsi="宋体" w:eastAsia="宋体" w:cs="宋体"/>
          <w:spacing w:val="3"/>
          <w:sz w:val="20"/>
          <w:szCs w:val="20"/>
        </w:rPr>
        <w:t>30 日前取得的不动产</w:t>
      </w:r>
      <w:r>
        <w:rPr>
          <w:rFonts w:ascii="宋体" w:hAnsi="宋体" w:eastAsia="宋体" w:cs="宋体"/>
          <w:spacing w:val="8"/>
          <w:sz w:val="20"/>
          <w:szCs w:val="20"/>
        </w:rPr>
        <w:t>提供的融资租赁服务。</w:t>
      </w:r>
    </w:p>
    <w:p>
      <w:pPr>
        <w:spacing w:before="156" w:line="298" w:lineRule="auto"/>
        <w:ind w:left="18" w:right="105" w:firstLine="404"/>
        <w:rPr>
          <w:rFonts w:ascii="宋体" w:hAnsi="宋体" w:eastAsia="宋体" w:cs="宋体"/>
          <w:sz w:val="20"/>
          <w:szCs w:val="20"/>
        </w:rPr>
      </w:pPr>
      <w:r>
        <w:rPr>
          <w:rFonts w:ascii="宋体" w:hAnsi="宋体" w:eastAsia="宋体" w:cs="宋体"/>
          <w:spacing w:val="5"/>
          <w:sz w:val="20"/>
          <w:szCs w:val="20"/>
        </w:rPr>
        <w:t>2. 收取开工日期在</w:t>
      </w:r>
      <w:r>
        <w:rPr>
          <w:rFonts w:ascii="宋体" w:hAnsi="宋体" w:eastAsia="宋体" w:cs="宋体"/>
          <w:spacing w:val="-32"/>
          <w:sz w:val="20"/>
          <w:szCs w:val="20"/>
        </w:rPr>
        <w:t xml:space="preserve"> </w:t>
      </w:r>
      <w:r>
        <w:rPr>
          <w:rFonts w:ascii="宋体" w:hAnsi="宋体" w:eastAsia="宋体" w:cs="宋体"/>
          <w:spacing w:val="5"/>
          <w:sz w:val="20"/>
          <w:szCs w:val="20"/>
        </w:rPr>
        <w:t>2016</w:t>
      </w:r>
      <w:r>
        <w:rPr>
          <w:rFonts w:ascii="宋体" w:hAnsi="宋体" w:eastAsia="宋体" w:cs="宋体"/>
          <w:spacing w:val="-39"/>
          <w:sz w:val="20"/>
          <w:szCs w:val="20"/>
        </w:rPr>
        <w:t xml:space="preserve"> </w:t>
      </w:r>
      <w:r>
        <w:rPr>
          <w:rFonts w:ascii="宋体" w:hAnsi="宋体" w:eastAsia="宋体" w:cs="宋体"/>
          <w:spacing w:val="5"/>
          <w:sz w:val="20"/>
          <w:szCs w:val="20"/>
        </w:rPr>
        <w:t>年</w:t>
      </w:r>
      <w:r>
        <w:rPr>
          <w:rFonts w:ascii="宋体" w:hAnsi="宋体" w:eastAsia="宋体" w:cs="宋体"/>
          <w:spacing w:val="-45"/>
          <w:sz w:val="20"/>
          <w:szCs w:val="20"/>
        </w:rPr>
        <w:t xml:space="preserve"> </w:t>
      </w:r>
      <w:r>
        <w:rPr>
          <w:rFonts w:ascii="宋体" w:hAnsi="宋体" w:eastAsia="宋体" w:cs="宋体"/>
          <w:spacing w:val="5"/>
          <w:sz w:val="20"/>
          <w:szCs w:val="20"/>
        </w:rPr>
        <w:t>4</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36"/>
          <w:sz w:val="20"/>
          <w:szCs w:val="20"/>
        </w:rPr>
        <w:t xml:space="preserve"> </w:t>
      </w:r>
      <w:r>
        <w:rPr>
          <w:rFonts w:ascii="宋体" w:hAnsi="宋体" w:eastAsia="宋体" w:cs="宋体"/>
          <w:spacing w:val="5"/>
          <w:sz w:val="20"/>
          <w:szCs w:val="20"/>
        </w:rPr>
        <w:t>30 日前的一级公路、二级公路、桥、闸通行费。公路、桥、闸</w:t>
      </w:r>
      <w:r>
        <w:rPr>
          <w:rFonts w:ascii="宋体" w:hAnsi="宋体" w:eastAsia="宋体" w:cs="宋体"/>
          <w:spacing w:val="7"/>
          <w:sz w:val="20"/>
          <w:szCs w:val="20"/>
        </w:rPr>
        <w:t>的开工日期</w:t>
      </w:r>
      <w:r>
        <w:rPr>
          <w:rFonts w:ascii="宋体" w:hAnsi="宋体" w:eastAsia="宋体" w:cs="宋体"/>
          <w:spacing w:val="56"/>
          <w:sz w:val="20"/>
          <w:szCs w:val="20"/>
        </w:rPr>
        <w:t xml:space="preserve"> </w:t>
      </w:r>
      <w:r>
        <w:rPr>
          <w:rFonts w:ascii="宋体" w:hAnsi="宋体" w:eastAsia="宋体" w:cs="宋体"/>
          <w:spacing w:val="7"/>
          <w:sz w:val="20"/>
          <w:szCs w:val="20"/>
        </w:rPr>
        <w:t>，以相关施工许可证明上注明的合同开工日期为准。</w:t>
      </w:r>
    </w:p>
    <w:p>
      <w:pPr>
        <w:spacing w:line="298" w:lineRule="auto"/>
        <w:rPr>
          <w:rFonts w:ascii="宋体" w:hAnsi="宋体" w:eastAsia="宋体" w:cs="宋体"/>
          <w:sz w:val="20"/>
          <w:szCs w:val="20"/>
        </w:rPr>
        <w:sectPr>
          <w:footerReference r:id="rId287" w:type="default"/>
          <w:pgSz w:w="11900" w:h="16840"/>
          <w:pgMar w:top="400" w:right="1313" w:bottom="1184" w:left="1418" w:header="0" w:footer="869"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426"/>
        <w:rPr>
          <w:rFonts w:ascii="宋体" w:hAnsi="宋体" w:eastAsia="宋体" w:cs="宋体"/>
          <w:sz w:val="20"/>
          <w:szCs w:val="20"/>
        </w:rPr>
      </w:pPr>
      <w:r>
        <w:rPr>
          <w:rFonts w:ascii="宋体" w:hAnsi="宋体" w:eastAsia="宋体" w:cs="宋体"/>
          <w:position w:val="1"/>
          <w:sz w:val="20"/>
          <w:szCs w:val="20"/>
        </w:rPr>
        <w:t>3.</w:t>
      </w:r>
      <w:r>
        <w:rPr>
          <w:rFonts w:ascii="宋体" w:hAnsi="宋体" w:eastAsia="宋体" w:cs="宋体"/>
          <w:spacing w:val="26"/>
          <w:position w:val="1"/>
          <w:sz w:val="20"/>
          <w:szCs w:val="20"/>
        </w:rPr>
        <w:t xml:space="preserve"> </w:t>
      </w:r>
      <w:r>
        <w:rPr>
          <w:rFonts w:ascii="宋体" w:hAnsi="宋体" w:eastAsia="宋体" w:cs="宋体"/>
          <w:position w:val="1"/>
          <w:sz w:val="20"/>
          <w:szCs w:val="20"/>
        </w:rPr>
        <w:t>出租其</w:t>
      </w:r>
      <w:r>
        <w:rPr>
          <w:rFonts w:ascii="宋体" w:hAnsi="宋体" w:eastAsia="宋体" w:cs="宋体"/>
          <w:spacing w:val="-42"/>
          <w:position w:val="1"/>
          <w:sz w:val="20"/>
          <w:szCs w:val="20"/>
        </w:rPr>
        <w:t xml:space="preserve"> </w:t>
      </w:r>
      <w:r>
        <w:rPr>
          <w:rFonts w:ascii="宋体" w:hAnsi="宋体" w:eastAsia="宋体" w:cs="宋体"/>
          <w:position w:val="1"/>
          <w:sz w:val="20"/>
          <w:szCs w:val="20"/>
        </w:rPr>
        <w:t>2016</w:t>
      </w:r>
      <w:r>
        <w:rPr>
          <w:rFonts w:ascii="宋体" w:hAnsi="宋体" w:eastAsia="宋体" w:cs="宋体"/>
          <w:spacing w:val="-39"/>
          <w:position w:val="1"/>
          <w:sz w:val="20"/>
          <w:szCs w:val="20"/>
        </w:rPr>
        <w:t xml:space="preserve"> </w:t>
      </w:r>
      <w:r>
        <w:rPr>
          <w:rFonts w:ascii="宋体" w:hAnsi="宋体" w:eastAsia="宋体" w:cs="宋体"/>
          <w:position w:val="1"/>
          <w:sz w:val="20"/>
          <w:szCs w:val="20"/>
        </w:rPr>
        <w:t>年</w:t>
      </w:r>
      <w:r>
        <w:rPr>
          <w:rFonts w:ascii="宋体" w:hAnsi="宋体" w:eastAsia="宋体" w:cs="宋体"/>
          <w:spacing w:val="-45"/>
          <w:position w:val="1"/>
          <w:sz w:val="20"/>
          <w:szCs w:val="20"/>
        </w:rPr>
        <w:t xml:space="preserve"> </w:t>
      </w:r>
      <w:r>
        <w:rPr>
          <w:rFonts w:ascii="宋体" w:hAnsi="宋体" w:eastAsia="宋体" w:cs="宋体"/>
          <w:position w:val="1"/>
          <w:sz w:val="20"/>
          <w:szCs w:val="20"/>
        </w:rPr>
        <w:t>4</w:t>
      </w:r>
      <w:r>
        <w:rPr>
          <w:rFonts w:ascii="宋体" w:hAnsi="宋体" w:eastAsia="宋体" w:cs="宋体"/>
          <w:spacing w:val="-40"/>
          <w:position w:val="1"/>
          <w:sz w:val="20"/>
          <w:szCs w:val="20"/>
        </w:rPr>
        <w:t xml:space="preserve"> </w:t>
      </w:r>
      <w:r>
        <w:rPr>
          <w:rFonts w:ascii="宋体" w:hAnsi="宋体" w:eastAsia="宋体" w:cs="宋体"/>
          <w:position w:val="1"/>
          <w:sz w:val="20"/>
          <w:szCs w:val="20"/>
        </w:rPr>
        <w:t>月</w:t>
      </w:r>
      <w:r>
        <w:rPr>
          <w:rFonts w:ascii="宋体" w:hAnsi="宋体" w:eastAsia="宋体" w:cs="宋体"/>
          <w:spacing w:val="-36"/>
          <w:position w:val="1"/>
          <w:sz w:val="20"/>
          <w:szCs w:val="20"/>
        </w:rPr>
        <w:t xml:space="preserve"> </w:t>
      </w:r>
      <w:r>
        <w:rPr>
          <w:rFonts w:ascii="宋体" w:hAnsi="宋体" w:eastAsia="宋体" w:cs="宋体"/>
          <w:position w:val="1"/>
          <w:sz w:val="20"/>
          <w:szCs w:val="20"/>
        </w:rPr>
        <w:t>30 日前取得的不动产。</w:t>
      </w:r>
    </w:p>
    <w:p>
      <w:pPr>
        <w:spacing w:before="123" w:line="277" w:lineRule="exact"/>
        <w:ind w:left="420"/>
        <w:rPr>
          <w:rFonts w:ascii="宋体" w:hAnsi="宋体" w:eastAsia="宋体" w:cs="宋体"/>
          <w:sz w:val="20"/>
          <w:szCs w:val="20"/>
        </w:rPr>
      </w:pPr>
      <w:r>
        <w:rPr>
          <w:rFonts w:ascii="宋体" w:hAnsi="宋体" w:eastAsia="宋体" w:cs="宋体"/>
          <w:spacing w:val="3"/>
          <w:position w:val="1"/>
          <w:sz w:val="20"/>
          <w:szCs w:val="20"/>
        </w:rPr>
        <w:t>4. 销售其</w:t>
      </w:r>
      <w:r>
        <w:rPr>
          <w:rFonts w:ascii="宋体" w:hAnsi="宋体" w:eastAsia="宋体" w:cs="宋体"/>
          <w:spacing w:val="-41"/>
          <w:position w:val="1"/>
          <w:sz w:val="20"/>
          <w:szCs w:val="20"/>
        </w:rPr>
        <w:t xml:space="preserve"> </w:t>
      </w:r>
      <w:r>
        <w:rPr>
          <w:rFonts w:ascii="宋体" w:hAnsi="宋体" w:eastAsia="宋体" w:cs="宋体"/>
          <w:spacing w:val="3"/>
          <w:position w:val="1"/>
          <w:sz w:val="20"/>
          <w:szCs w:val="20"/>
        </w:rPr>
        <w:t>2016</w:t>
      </w:r>
      <w:r>
        <w:rPr>
          <w:rFonts w:ascii="宋体" w:hAnsi="宋体" w:eastAsia="宋体" w:cs="宋体"/>
          <w:spacing w:val="-39"/>
          <w:position w:val="1"/>
          <w:sz w:val="20"/>
          <w:szCs w:val="20"/>
        </w:rPr>
        <w:t xml:space="preserve"> </w:t>
      </w:r>
      <w:r>
        <w:rPr>
          <w:rFonts w:ascii="宋体" w:hAnsi="宋体" w:eastAsia="宋体" w:cs="宋体"/>
          <w:spacing w:val="3"/>
          <w:position w:val="1"/>
          <w:sz w:val="20"/>
          <w:szCs w:val="20"/>
        </w:rPr>
        <w:t>年</w:t>
      </w:r>
      <w:r>
        <w:rPr>
          <w:rFonts w:ascii="宋体" w:hAnsi="宋体" w:eastAsia="宋体" w:cs="宋体"/>
          <w:spacing w:val="-45"/>
          <w:position w:val="1"/>
          <w:sz w:val="20"/>
          <w:szCs w:val="20"/>
        </w:rPr>
        <w:t xml:space="preserve"> </w:t>
      </w:r>
      <w:r>
        <w:rPr>
          <w:rFonts w:ascii="宋体" w:hAnsi="宋体" w:eastAsia="宋体" w:cs="宋体"/>
          <w:spacing w:val="3"/>
          <w:position w:val="1"/>
          <w:sz w:val="20"/>
          <w:szCs w:val="20"/>
        </w:rPr>
        <w:t>4</w:t>
      </w:r>
      <w:r>
        <w:rPr>
          <w:rFonts w:ascii="宋体" w:hAnsi="宋体" w:eastAsia="宋体" w:cs="宋体"/>
          <w:spacing w:val="-40"/>
          <w:position w:val="1"/>
          <w:sz w:val="20"/>
          <w:szCs w:val="20"/>
        </w:rPr>
        <w:t xml:space="preserve"> </w:t>
      </w:r>
      <w:r>
        <w:rPr>
          <w:rFonts w:ascii="宋体" w:hAnsi="宋体" w:eastAsia="宋体" w:cs="宋体"/>
          <w:spacing w:val="3"/>
          <w:position w:val="1"/>
          <w:sz w:val="20"/>
          <w:szCs w:val="20"/>
        </w:rPr>
        <w:t>月</w:t>
      </w:r>
      <w:r>
        <w:rPr>
          <w:rFonts w:ascii="宋体" w:hAnsi="宋体" w:eastAsia="宋体" w:cs="宋体"/>
          <w:spacing w:val="-36"/>
          <w:position w:val="1"/>
          <w:sz w:val="20"/>
          <w:szCs w:val="20"/>
        </w:rPr>
        <w:t xml:space="preserve"> </w:t>
      </w:r>
      <w:r>
        <w:rPr>
          <w:rFonts w:ascii="宋体" w:hAnsi="宋体" w:eastAsia="宋体" w:cs="宋体"/>
          <w:spacing w:val="3"/>
          <w:position w:val="1"/>
          <w:sz w:val="20"/>
          <w:szCs w:val="20"/>
        </w:rPr>
        <w:t>30 日前取得（含自</w:t>
      </w:r>
      <w:r>
        <w:rPr>
          <w:rFonts w:ascii="宋体" w:hAnsi="宋体" w:eastAsia="宋体" w:cs="宋体"/>
          <w:spacing w:val="2"/>
          <w:position w:val="1"/>
          <w:sz w:val="20"/>
          <w:szCs w:val="20"/>
        </w:rPr>
        <w:t>建）的不动产。</w:t>
      </w:r>
    </w:p>
    <w:p>
      <w:pPr>
        <w:spacing w:before="123" w:line="277" w:lineRule="exact"/>
        <w:ind w:left="423"/>
        <w:rPr>
          <w:rFonts w:ascii="宋体" w:hAnsi="宋体" w:eastAsia="宋体" w:cs="宋体"/>
          <w:sz w:val="20"/>
          <w:szCs w:val="20"/>
        </w:rPr>
      </w:pPr>
      <w:r>
        <w:rPr>
          <w:rFonts w:ascii="宋体" w:hAnsi="宋体" w:eastAsia="宋体" w:cs="宋体"/>
          <w:spacing w:val="2"/>
          <w:position w:val="1"/>
          <w:sz w:val="20"/>
          <w:szCs w:val="20"/>
        </w:rPr>
        <w:t>5. 转让其</w:t>
      </w:r>
      <w:r>
        <w:rPr>
          <w:rFonts w:ascii="宋体" w:hAnsi="宋体" w:eastAsia="宋体" w:cs="宋体"/>
          <w:spacing w:val="-42"/>
          <w:position w:val="1"/>
          <w:sz w:val="20"/>
          <w:szCs w:val="20"/>
        </w:rPr>
        <w:t xml:space="preserve"> </w:t>
      </w:r>
      <w:r>
        <w:rPr>
          <w:rFonts w:ascii="宋体" w:hAnsi="宋体" w:eastAsia="宋体" w:cs="宋体"/>
          <w:spacing w:val="2"/>
          <w:position w:val="1"/>
          <w:sz w:val="20"/>
          <w:szCs w:val="20"/>
        </w:rPr>
        <w:t>2016</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45"/>
          <w:position w:val="1"/>
          <w:sz w:val="20"/>
          <w:szCs w:val="20"/>
        </w:rPr>
        <w:t xml:space="preserve"> </w:t>
      </w:r>
      <w:r>
        <w:rPr>
          <w:rFonts w:ascii="宋体" w:hAnsi="宋体" w:eastAsia="宋体" w:cs="宋体"/>
          <w:spacing w:val="2"/>
          <w:position w:val="1"/>
          <w:sz w:val="20"/>
          <w:szCs w:val="20"/>
        </w:rPr>
        <w:t>4</w:t>
      </w:r>
      <w:r>
        <w:rPr>
          <w:rFonts w:ascii="宋体" w:hAnsi="宋体" w:eastAsia="宋体" w:cs="宋体"/>
          <w:spacing w:val="-41"/>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36"/>
          <w:position w:val="1"/>
          <w:sz w:val="20"/>
          <w:szCs w:val="20"/>
        </w:rPr>
        <w:t xml:space="preserve"> </w:t>
      </w:r>
      <w:r>
        <w:rPr>
          <w:rFonts w:ascii="宋体" w:hAnsi="宋体" w:eastAsia="宋体" w:cs="宋体"/>
          <w:spacing w:val="2"/>
          <w:position w:val="1"/>
          <w:sz w:val="20"/>
          <w:szCs w:val="20"/>
        </w:rPr>
        <w:t>30 日前取得的土</w:t>
      </w:r>
      <w:r>
        <w:rPr>
          <w:rFonts w:ascii="宋体" w:hAnsi="宋体" w:eastAsia="宋体" w:cs="宋体"/>
          <w:spacing w:val="1"/>
          <w:position w:val="1"/>
          <w:sz w:val="20"/>
          <w:szCs w:val="20"/>
        </w:rPr>
        <w:t>地使用权。</w:t>
      </w:r>
    </w:p>
    <w:p>
      <w:pPr>
        <w:spacing w:before="121" w:line="277" w:lineRule="exact"/>
        <w:ind w:left="423"/>
        <w:rPr>
          <w:rFonts w:ascii="宋体" w:hAnsi="宋体" w:eastAsia="宋体" w:cs="宋体"/>
          <w:sz w:val="20"/>
          <w:szCs w:val="20"/>
        </w:rPr>
      </w:pPr>
      <w:r>
        <w:rPr>
          <w:rFonts w:ascii="宋体" w:hAnsi="宋体" w:eastAsia="宋体" w:cs="宋体"/>
          <w:spacing w:val="7"/>
          <w:position w:val="1"/>
          <w:sz w:val="20"/>
          <w:szCs w:val="20"/>
        </w:rPr>
        <w:t>6. 房地产开发企业销售、出租自行开发的</w:t>
      </w:r>
      <w:r>
        <w:rPr>
          <w:rFonts w:ascii="宋体" w:hAnsi="宋体" w:eastAsia="宋体" w:cs="宋体"/>
          <w:spacing w:val="6"/>
          <w:position w:val="1"/>
          <w:sz w:val="20"/>
          <w:szCs w:val="20"/>
        </w:rPr>
        <w:t>房地产老项目。</w:t>
      </w:r>
    </w:p>
    <w:p>
      <w:pPr>
        <w:spacing w:before="124" w:line="368" w:lineRule="auto"/>
        <w:ind w:left="2" w:right="80" w:firstLine="420"/>
        <w:jc w:val="both"/>
        <w:rPr>
          <w:rFonts w:ascii="宋体" w:hAnsi="宋体" w:eastAsia="宋体" w:cs="宋体"/>
          <w:sz w:val="20"/>
          <w:szCs w:val="20"/>
        </w:rPr>
      </w:pPr>
      <w:r>
        <w:rPr>
          <w:rFonts w:ascii="宋体" w:hAnsi="宋体" w:eastAsia="宋体" w:cs="宋体"/>
          <w:spacing w:val="9"/>
          <w:sz w:val="20"/>
          <w:szCs w:val="20"/>
        </w:rPr>
        <w:t>房地产老项目，是指《建筑工程施工许可证》注明的合同开工日期在</w:t>
      </w:r>
      <w:r>
        <w:rPr>
          <w:rFonts w:ascii="宋体" w:hAnsi="宋体" w:eastAsia="宋体" w:cs="宋体"/>
          <w:spacing w:val="-37"/>
          <w:sz w:val="20"/>
          <w:szCs w:val="20"/>
        </w:rPr>
        <w:t xml:space="preserve"> </w:t>
      </w:r>
      <w:r>
        <w:rPr>
          <w:rFonts w:ascii="宋体" w:hAnsi="宋体" w:eastAsia="宋体" w:cs="宋体"/>
          <w:spacing w:val="9"/>
          <w:sz w:val="20"/>
          <w:szCs w:val="20"/>
        </w:rPr>
        <w:t>2016</w:t>
      </w:r>
      <w:r>
        <w:rPr>
          <w:rFonts w:ascii="宋体" w:hAnsi="宋体" w:eastAsia="宋体" w:cs="宋体"/>
          <w:spacing w:val="-38"/>
          <w:sz w:val="20"/>
          <w:szCs w:val="20"/>
        </w:rPr>
        <w:t xml:space="preserve"> </w:t>
      </w:r>
      <w:r>
        <w:rPr>
          <w:rFonts w:ascii="宋体" w:hAnsi="宋体" w:eastAsia="宋体" w:cs="宋体"/>
          <w:spacing w:val="9"/>
          <w:sz w:val="20"/>
          <w:szCs w:val="20"/>
        </w:rPr>
        <w:t>年</w:t>
      </w:r>
      <w:r>
        <w:rPr>
          <w:rFonts w:ascii="宋体" w:hAnsi="宋体" w:eastAsia="宋体" w:cs="宋体"/>
          <w:spacing w:val="-43"/>
          <w:sz w:val="20"/>
          <w:szCs w:val="20"/>
        </w:rPr>
        <w:t xml:space="preserve"> </w:t>
      </w:r>
      <w:r>
        <w:rPr>
          <w:rFonts w:ascii="宋体" w:hAnsi="宋体" w:eastAsia="宋体" w:cs="宋体"/>
          <w:spacing w:val="9"/>
          <w:sz w:val="20"/>
          <w:szCs w:val="20"/>
        </w:rPr>
        <w:t>4</w:t>
      </w:r>
      <w:r>
        <w:rPr>
          <w:rFonts w:ascii="宋体" w:hAnsi="宋体" w:eastAsia="宋体" w:cs="宋体"/>
          <w:spacing w:val="-40"/>
          <w:sz w:val="20"/>
          <w:szCs w:val="20"/>
        </w:rPr>
        <w:t xml:space="preserve"> </w:t>
      </w:r>
      <w:r>
        <w:rPr>
          <w:rFonts w:ascii="宋体" w:hAnsi="宋体" w:eastAsia="宋体" w:cs="宋体"/>
          <w:spacing w:val="9"/>
          <w:sz w:val="20"/>
          <w:szCs w:val="20"/>
        </w:rPr>
        <w:t>月30 日前的房</w:t>
      </w:r>
      <w:r>
        <w:rPr>
          <w:rFonts w:ascii="宋体" w:hAnsi="宋体" w:eastAsia="宋体" w:cs="宋体"/>
          <w:spacing w:val="11"/>
          <w:sz w:val="20"/>
          <w:szCs w:val="20"/>
        </w:rPr>
        <w:t>地产项目；《建筑工程施工许可证》未注明合同开工日期或者未</w:t>
      </w:r>
      <w:r>
        <w:rPr>
          <w:rFonts w:ascii="宋体" w:hAnsi="宋体" w:eastAsia="宋体" w:cs="宋体"/>
          <w:spacing w:val="10"/>
          <w:sz w:val="20"/>
          <w:szCs w:val="20"/>
        </w:rPr>
        <w:t>取得《建筑工程施工许可证》但建</w:t>
      </w:r>
      <w:r>
        <w:rPr>
          <w:rFonts w:ascii="宋体" w:hAnsi="宋体" w:eastAsia="宋体" w:cs="宋体"/>
          <w:spacing w:val="7"/>
          <w:sz w:val="20"/>
          <w:szCs w:val="20"/>
        </w:rPr>
        <w:t>筑工程承包合同注明的开工日期在</w:t>
      </w:r>
      <w:r>
        <w:rPr>
          <w:rFonts w:ascii="宋体" w:hAnsi="宋体" w:eastAsia="宋体" w:cs="宋体"/>
          <w:spacing w:val="-30"/>
          <w:sz w:val="20"/>
          <w:szCs w:val="20"/>
        </w:rPr>
        <w:t xml:space="preserve"> </w:t>
      </w:r>
      <w:r>
        <w:rPr>
          <w:rFonts w:ascii="宋体" w:hAnsi="宋体" w:eastAsia="宋体" w:cs="宋体"/>
          <w:spacing w:val="7"/>
          <w:sz w:val="20"/>
          <w:szCs w:val="20"/>
        </w:rPr>
        <w:t>2016</w:t>
      </w:r>
      <w:r>
        <w:rPr>
          <w:rFonts w:ascii="宋体" w:hAnsi="宋体" w:eastAsia="宋体" w:cs="宋体"/>
          <w:spacing w:val="-39"/>
          <w:sz w:val="20"/>
          <w:szCs w:val="20"/>
        </w:rPr>
        <w:t xml:space="preserve"> </w:t>
      </w:r>
      <w:r>
        <w:rPr>
          <w:rFonts w:ascii="宋体" w:hAnsi="宋体" w:eastAsia="宋体" w:cs="宋体"/>
          <w:spacing w:val="7"/>
          <w:sz w:val="20"/>
          <w:szCs w:val="20"/>
        </w:rPr>
        <w:t>年</w:t>
      </w:r>
      <w:r>
        <w:rPr>
          <w:rFonts w:ascii="宋体" w:hAnsi="宋体" w:eastAsia="宋体" w:cs="宋体"/>
          <w:spacing w:val="-42"/>
          <w:sz w:val="20"/>
          <w:szCs w:val="20"/>
        </w:rPr>
        <w:t xml:space="preserve"> </w:t>
      </w:r>
      <w:r>
        <w:rPr>
          <w:rFonts w:ascii="宋体" w:hAnsi="宋体" w:eastAsia="宋体" w:cs="宋体"/>
          <w:spacing w:val="7"/>
          <w:sz w:val="20"/>
          <w:szCs w:val="20"/>
        </w:rPr>
        <w:t>4</w:t>
      </w:r>
      <w:r>
        <w:rPr>
          <w:rFonts w:ascii="宋体" w:hAnsi="宋体" w:eastAsia="宋体" w:cs="宋体"/>
          <w:spacing w:val="-40"/>
          <w:sz w:val="20"/>
          <w:szCs w:val="20"/>
        </w:rPr>
        <w:t xml:space="preserve"> </w:t>
      </w:r>
      <w:r>
        <w:rPr>
          <w:rFonts w:ascii="宋体" w:hAnsi="宋体" w:eastAsia="宋体" w:cs="宋体"/>
          <w:spacing w:val="7"/>
          <w:sz w:val="20"/>
          <w:szCs w:val="20"/>
        </w:rPr>
        <w:t>月30 日前的房地产项目。</w:t>
      </w:r>
    </w:p>
    <w:p>
      <w:pPr>
        <w:spacing w:before="3" w:line="369" w:lineRule="auto"/>
        <w:ind w:left="4" w:right="81" w:firstLine="418"/>
        <w:rPr>
          <w:rFonts w:ascii="宋体" w:hAnsi="宋体" w:eastAsia="宋体" w:cs="宋体"/>
          <w:sz w:val="20"/>
          <w:szCs w:val="20"/>
        </w:rPr>
      </w:pPr>
      <w:r>
        <w:rPr>
          <w:rFonts w:ascii="宋体" w:hAnsi="宋体" w:eastAsia="宋体" w:cs="宋体"/>
          <w:spacing w:val="11"/>
          <w:sz w:val="20"/>
          <w:szCs w:val="20"/>
        </w:rPr>
        <w:t>房地产开发企业以围填海方式取得土地并开发的房地产项目，</w:t>
      </w:r>
      <w:r>
        <w:rPr>
          <w:rFonts w:ascii="宋体" w:hAnsi="宋体" w:eastAsia="宋体" w:cs="宋体"/>
          <w:spacing w:val="10"/>
          <w:sz w:val="20"/>
          <w:szCs w:val="20"/>
        </w:rPr>
        <w:t>以围填海工程《建筑工程施工许</w:t>
      </w:r>
      <w:r>
        <w:rPr>
          <w:rFonts w:ascii="宋体" w:hAnsi="宋体" w:eastAsia="宋体" w:cs="宋体"/>
          <w:spacing w:val="9"/>
          <w:sz w:val="20"/>
          <w:szCs w:val="20"/>
        </w:rPr>
        <w:t>可证》或建筑工程承包合同注明的围填海开工日期确定合同开工日期。</w:t>
      </w:r>
    </w:p>
    <w:p>
      <w:pPr>
        <w:spacing w:before="7" w:line="367" w:lineRule="auto"/>
        <w:ind w:left="3" w:right="81" w:firstLine="420"/>
        <w:rPr>
          <w:rFonts w:ascii="宋体" w:hAnsi="宋体" w:eastAsia="宋体" w:cs="宋体"/>
          <w:sz w:val="20"/>
          <w:szCs w:val="20"/>
        </w:rPr>
      </w:pPr>
      <w:r>
        <w:rPr>
          <w:rFonts w:ascii="宋体" w:hAnsi="宋体" w:eastAsia="宋体" w:cs="宋体"/>
          <w:spacing w:val="11"/>
          <w:sz w:val="20"/>
          <w:szCs w:val="20"/>
        </w:rPr>
        <w:t>房地产开发企业购入未完工的房地产老项目继续开发后，以自</w:t>
      </w:r>
      <w:r>
        <w:rPr>
          <w:rFonts w:ascii="宋体" w:hAnsi="宋体" w:eastAsia="宋体" w:cs="宋体"/>
          <w:spacing w:val="10"/>
          <w:sz w:val="20"/>
          <w:szCs w:val="20"/>
        </w:rPr>
        <w:t>己名义立项销售的不动产，属于</w:t>
      </w:r>
      <w:r>
        <w:rPr>
          <w:rFonts w:ascii="宋体" w:hAnsi="宋体" w:eastAsia="宋体" w:cs="宋体"/>
          <w:spacing w:val="7"/>
          <w:sz w:val="20"/>
          <w:szCs w:val="20"/>
        </w:rPr>
        <w:t>房地产老项目。</w:t>
      </w:r>
    </w:p>
    <w:p>
      <w:pPr>
        <w:spacing w:line="348" w:lineRule="auto"/>
        <w:ind w:right="81" w:firstLine="413"/>
        <w:rPr>
          <w:rFonts w:ascii="宋体" w:hAnsi="宋体" w:eastAsia="宋体" w:cs="宋体"/>
          <w:sz w:val="20"/>
          <w:szCs w:val="20"/>
        </w:rPr>
      </w:pPr>
      <w:r>
        <w:rPr>
          <w:rFonts w:ascii="宋体" w:hAnsi="宋体" w:eastAsia="宋体" w:cs="宋体"/>
          <w:spacing w:val="11"/>
          <w:sz w:val="20"/>
          <w:szCs w:val="20"/>
        </w:rPr>
        <w:t>（三）纳税人发生以下应税交易，可以选择适用简易计税方法，按照规定征收率计算缴</w:t>
      </w:r>
      <w:r>
        <w:rPr>
          <w:rFonts w:ascii="宋体" w:hAnsi="宋体" w:eastAsia="宋体" w:cs="宋体"/>
          <w:spacing w:val="10"/>
          <w:sz w:val="20"/>
          <w:szCs w:val="20"/>
        </w:rPr>
        <w:t>纳增值</w:t>
      </w:r>
      <w:r>
        <w:rPr>
          <w:rFonts w:ascii="宋体" w:hAnsi="宋体" w:eastAsia="宋体" w:cs="宋体"/>
          <w:spacing w:val="3"/>
          <w:sz w:val="20"/>
          <w:szCs w:val="20"/>
        </w:rPr>
        <w:t>税。</w:t>
      </w:r>
    </w:p>
    <w:p>
      <w:pPr>
        <w:spacing w:before="44" w:line="369" w:lineRule="auto"/>
        <w:ind w:left="2" w:right="80" w:firstLine="437"/>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56"/>
          <w:sz w:val="20"/>
          <w:szCs w:val="20"/>
        </w:rPr>
        <w:t xml:space="preserve"> </w:t>
      </w:r>
      <w:r>
        <w:rPr>
          <w:rFonts w:ascii="宋体" w:hAnsi="宋体" w:eastAsia="宋体" w:cs="宋体"/>
          <w:spacing w:val="5"/>
          <w:sz w:val="20"/>
          <w:szCs w:val="20"/>
        </w:rPr>
        <w:t>自</w:t>
      </w:r>
      <w:r>
        <w:rPr>
          <w:rFonts w:ascii="宋体" w:hAnsi="宋体" w:eastAsia="宋体" w:cs="宋体"/>
          <w:spacing w:val="-39"/>
          <w:sz w:val="20"/>
          <w:szCs w:val="20"/>
        </w:rPr>
        <w:t xml:space="preserve"> </w:t>
      </w:r>
      <w:r>
        <w:rPr>
          <w:rFonts w:ascii="宋体" w:hAnsi="宋体" w:eastAsia="宋体" w:cs="宋体"/>
          <w:spacing w:val="5"/>
          <w:sz w:val="20"/>
          <w:szCs w:val="20"/>
        </w:rPr>
        <w:t>2026</w:t>
      </w:r>
      <w:r>
        <w:rPr>
          <w:rFonts w:ascii="宋体" w:hAnsi="宋体" w:eastAsia="宋体" w:cs="宋体"/>
          <w:spacing w:val="-37"/>
          <w:sz w:val="20"/>
          <w:szCs w:val="20"/>
        </w:rPr>
        <w:t xml:space="preserve"> </w:t>
      </w:r>
      <w:r>
        <w:rPr>
          <w:rFonts w:ascii="宋体" w:hAnsi="宋体" w:eastAsia="宋体" w:cs="宋体"/>
          <w:spacing w:val="5"/>
          <w:sz w:val="20"/>
          <w:szCs w:val="20"/>
        </w:rPr>
        <w:t>年</w:t>
      </w:r>
      <w:r>
        <w:rPr>
          <w:rFonts w:ascii="宋体" w:hAnsi="宋体" w:eastAsia="宋体" w:cs="宋体"/>
          <w:spacing w:val="-22"/>
          <w:sz w:val="20"/>
          <w:szCs w:val="20"/>
        </w:rPr>
        <w:t xml:space="preserve"> </w:t>
      </w:r>
      <w:r>
        <w:rPr>
          <w:rFonts w:ascii="宋体" w:hAnsi="宋体" w:eastAsia="宋体" w:cs="宋体"/>
          <w:spacing w:val="5"/>
          <w:sz w:val="20"/>
          <w:szCs w:val="20"/>
        </w:rPr>
        <w:t>1</w:t>
      </w:r>
      <w:r>
        <w:rPr>
          <w:rFonts w:ascii="宋体" w:hAnsi="宋体" w:eastAsia="宋体" w:cs="宋体"/>
          <w:spacing w:val="-35"/>
          <w:sz w:val="20"/>
          <w:szCs w:val="20"/>
        </w:rPr>
        <w:t xml:space="preserve"> </w:t>
      </w:r>
      <w:r>
        <w:rPr>
          <w:rFonts w:ascii="宋体" w:hAnsi="宋体" w:eastAsia="宋体" w:cs="宋体"/>
          <w:spacing w:val="5"/>
          <w:sz w:val="20"/>
          <w:szCs w:val="20"/>
        </w:rPr>
        <w:t>月</w:t>
      </w:r>
      <w:r>
        <w:rPr>
          <w:rFonts w:ascii="宋体" w:hAnsi="宋体" w:eastAsia="宋体" w:cs="宋体"/>
          <w:spacing w:val="-23"/>
          <w:sz w:val="20"/>
          <w:szCs w:val="20"/>
        </w:rPr>
        <w:t xml:space="preserve"> </w:t>
      </w:r>
      <w:r>
        <w:rPr>
          <w:rFonts w:ascii="宋体" w:hAnsi="宋体" w:eastAsia="宋体" w:cs="宋体"/>
          <w:spacing w:val="5"/>
          <w:sz w:val="20"/>
          <w:szCs w:val="20"/>
        </w:rPr>
        <w:t>1 日起，一般纳税人销售自己使用过的属于增值税法第二十二条规定不得抵</w:t>
      </w:r>
      <w:r>
        <w:rPr>
          <w:rFonts w:ascii="宋体" w:hAnsi="宋体" w:eastAsia="宋体" w:cs="宋体"/>
          <w:spacing w:val="12"/>
          <w:sz w:val="20"/>
          <w:szCs w:val="20"/>
        </w:rPr>
        <w:t>扣且未抵扣进项税额的固定资产，按照简易计税方法依照</w:t>
      </w:r>
      <w:r>
        <w:rPr>
          <w:rFonts w:ascii="宋体" w:hAnsi="宋体" w:eastAsia="宋体" w:cs="宋体"/>
          <w:spacing w:val="-36"/>
          <w:sz w:val="20"/>
          <w:szCs w:val="20"/>
        </w:rPr>
        <w:t xml:space="preserve"> </w:t>
      </w:r>
      <w:r>
        <w:rPr>
          <w:rFonts w:ascii="宋体" w:hAnsi="宋体" w:eastAsia="宋体" w:cs="宋体"/>
          <w:spacing w:val="12"/>
          <w:sz w:val="20"/>
          <w:szCs w:val="20"/>
        </w:rPr>
        <w:t>3%征收率减按</w:t>
      </w:r>
      <w:r>
        <w:rPr>
          <w:rFonts w:ascii="宋体" w:hAnsi="宋体" w:eastAsia="宋体" w:cs="宋体"/>
          <w:spacing w:val="-42"/>
          <w:sz w:val="20"/>
          <w:szCs w:val="20"/>
        </w:rPr>
        <w:t xml:space="preserve"> </w:t>
      </w:r>
      <w:r>
        <w:rPr>
          <w:rFonts w:ascii="宋体" w:hAnsi="宋体" w:eastAsia="宋体" w:cs="宋体"/>
          <w:spacing w:val="12"/>
          <w:sz w:val="20"/>
          <w:szCs w:val="20"/>
        </w:rPr>
        <w:t>2%计算缴纳增值税。</w:t>
      </w:r>
    </w:p>
    <w:p>
      <w:pPr>
        <w:spacing w:before="1" w:line="351" w:lineRule="auto"/>
        <w:ind w:left="2" w:firstLine="440"/>
        <w:rPr>
          <w:rFonts w:ascii="宋体" w:hAnsi="宋体" w:eastAsia="宋体" w:cs="宋体"/>
          <w:sz w:val="20"/>
          <w:szCs w:val="20"/>
        </w:rPr>
      </w:pPr>
      <w:r>
        <w:rPr>
          <w:rFonts w:ascii="宋体" w:hAnsi="宋体" w:eastAsia="宋体" w:cs="宋体"/>
          <w:spacing w:val="4"/>
          <w:sz w:val="20"/>
          <w:szCs w:val="20"/>
        </w:rPr>
        <w:t>固定资产，是指使用期限超过</w:t>
      </w:r>
      <w:r>
        <w:rPr>
          <w:rFonts w:ascii="宋体" w:hAnsi="宋体" w:eastAsia="宋体" w:cs="宋体"/>
          <w:spacing w:val="-22"/>
          <w:sz w:val="20"/>
          <w:szCs w:val="20"/>
        </w:rPr>
        <w:t xml:space="preserve"> </w:t>
      </w:r>
      <w:r>
        <w:rPr>
          <w:rFonts w:ascii="宋体" w:hAnsi="宋体" w:eastAsia="宋体" w:cs="宋体"/>
          <w:spacing w:val="4"/>
          <w:sz w:val="20"/>
          <w:szCs w:val="20"/>
        </w:rPr>
        <w:t>12</w:t>
      </w:r>
      <w:r>
        <w:rPr>
          <w:rFonts w:ascii="宋体" w:hAnsi="宋体" w:eastAsia="宋体" w:cs="宋体"/>
          <w:spacing w:val="-45"/>
          <w:sz w:val="20"/>
          <w:szCs w:val="20"/>
        </w:rPr>
        <w:t xml:space="preserve"> </w:t>
      </w:r>
      <w:r>
        <w:rPr>
          <w:rFonts w:ascii="宋体" w:hAnsi="宋体" w:eastAsia="宋体" w:cs="宋体"/>
          <w:spacing w:val="4"/>
          <w:sz w:val="20"/>
          <w:szCs w:val="20"/>
        </w:rPr>
        <w:t>个月的机器、机械、运输工具以及其他与生产经营</w:t>
      </w:r>
      <w:r>
        <w:rPr>
          <w:rFonts w:ascii="宋体" w:hAnsi="宋体" w:eastAsia="宋体" w:cs="宋体"/>
          <w:spacing w:val="3"/>
          <w:sz w:val="20"/>
          <w:szCs w:val="20"/>
        </w:rPr>
        <w:t>相关的设备、</w:t>
      </w:r>
      <w:r>
        <w:rPr>
          <w:rFonts w:ascii="宋体" w:hAnsi="宋体" w:eastAsia="宋体" w:cs="宋体"/>
          <w:spacing w:val="7"/>
          <w:sz w:val="20"/>
          <w:szCs w:val="20"/>
        </w:rPr>
        <w:t>工具、器具等。</w:t>
      </w:r>
    </w:p>
    <w:p>
      <w:pPr>
        <w:spacing w:before="40" w:line="312" w:lineRule="auto"/>
        <w:ind w:left="5" w:right="80" w:firstLine="417"/>
        <w:rPr>
          <w:rFonts w:ascii="宋体" w:hAnsi="宋体" w:eastAsia="宋体" w:cs="宋体"/>
          <w:sz w:val="20"/>
          <w:szCs w:val="20"/>
        </w:rPr>
      </w:pPr>
      <w:r>
        <w:rPr>
          <w:rFonts w:ascii="宋体" w:hAnsi="宋体" w:eastAsia="宋体" w:cs="宋体"/>
          <w:spacing w:val="6"/>
          <w:sz w:val="20"/>
          <w:szCs w:val="20"/>
        </w:rPr>
        <w:t>2.</w:t>
      </w:r>
      <w:r>
        <w:rPr>
          <w:rFonts w:ascii="宋体" w:hAnsi="宋体" w:eastAsia="宋体" w:cs="宋体"/>
          <w:spacing w:val="53"/>
          <w:sz w:val="20"/>
          <w:szCs w:val="20"/>
        </w:rPr>
        <w:t xml:space="preserve"> </w:t>
      </w:r>
      <w:r>
        <w:rPr>
          <w:rFonts w:ascii="宋体" w:hAnsi="宋体" w:eastAsia="宋体" w:cs="宋体"/>
          <w:spacing w:val="6"/>
          <w:sz w:val="20"/>
          <w:szCs w:val="20"/>
        </w:rPr>
        <w:t>自</w:t>
      </w:r>
      <w:r>
        <w:rPr>
          <w:rFonts w:ascii="宋体" w:hAnsi="宋体" w:eastAsia="宋体" w:cs="宋体"/>
          <w:spacing w:val="-39"/>
          <w:sz w:val="20"/>
          <w:szCs w:val="20"/>
        </w:rPr>
        <w:t xml:space="preserve"> </w:t>
      </w:r>
      <w:r>
        <w:rPr>
          <w:rFonts w:ascii="宋体" w:hAnsi="宋体" w:eastAsia="宋体" w:cs="宋体"/>
          <w:spacing w:val="6"/>
          <w:sz w:val="20"/>
          <w:szCs w:val="20"/>
        </w:rPr>
        <w:t>2026</w:t>
      </w:r>
      <w:r>
        <w:rPr>
          <w:rFonts w:ascii="宋体" w:hAnsi="宋体" w:eastAsia="宋体" w:cs="宋体"/>
          <w:spacing w:val="-36"/>
          <w:sz w:val="20"/>
          <w:szCs w:val="20"/>
        </w:rPr>
        <w:t xml:space="preserve"> </w:t>
      </w:r>
      <w:r>
        <w:rPr>
          <w:rFonts w:ascii="宋体" w:hAnsi="宋体" w:eastAsia="宋体" w:cs="宋体"/>
          <w:spacing w:val="6"/>
          <w:sz w:val="20"/>
          <w:szCs w:val="20"/>
        </w:rPr>
        <w:t>年</w:t>
      </w:r>
      <w:r>
        <w:rPr>
          <w:rFonts w:ascii="宋体" w:hAnsi="宋体" w:eastAsia="宋体" w:cs="宋体"/>
          <w:spacing w:val="-23"/>
          <w:sz w:val="20"/>
          <w:szCs w:val="20"/>
        </w:rPr>
        <w:t xml:space="preserve"> </w:t>
      </w:r>
      <w:r>
        <w:rPr>
          <w:rFonts w:ascii="宋体" w:hAnsi="宋体" w:eastAsia="宋体" w:cs="宋体"/>
          <w:spacing w:val="6"/>
          <w:sz w:val="20"/>
          <w:szCs w:val="20"/>
        </w:rPr>
        <w:t>1</w:t>
      </w:r>
      <w:r>
        <w:rPr>
          <w:rFonts w:ascii="宋体" w:hAnsi="宋体" w:eastAsia="宋体" w:cs="宋体"/>
          <w:spacing w:val="-35"/>
          <w:sz w:val="20"/>
          <w:szCs w:val="20"/>
        </w:rPr>
        <w:t xml:space="preserve"> </w:t>
      </w:r>
      <w:r>
        <w:rPr>
          <w:rFonts w:ascii="宋体" w:hAnsi="宋体" w:eastAsia="宋体" w:cs="宋体"/>
          <w:spacing w:val="6"/>
          <w:sz w:val="20"/>
          <w:szCs w:val="20"/>
        </w:rPr>
        <w:t>月</w:t>
      </w:r>
      <w:r>
        <w:rPr>
          <w:rFonts w:ascii="宋体" w:hAnsi="宋体" w:eastAsia="宋体" w:cs="宋体"/>
          <w:spacing w:val="-22"/>
          <w:sz w:val="20"/>
          <w:szCs w:val="20"/>
        </w:rPr>
        <w:t xml:space="preserve"> </w:t>
      </w:r>
      <w:r>
        <w:rPr>
          <w:rFonts w:ascii="宋体" w:hAnsi="宋体" w:eastAsia="宋体" w:cs="宋体"/>
          <w:spacing w:val="6"/>
          <w:sz w:val="20"/>
          <w:szCs w:val="20"/>
        </w:rPr>
        <w:t>1 日起，小规模纳税</w:t>
      </w:r>
      <w:r>
        <w:rPr>
          <w:rFonts w:ascii="宋体" w:hAnsi="宋体" w:eastAsia="宋体" w:cs="宋体"/>
          <w:spacing w:val="5"/>
          <w:sz w:val="20"/>
          <w:szCs w:val="20"/>
        </w:rPr>
        <w:t>人（不含自然人）销售自己使用过的固定资产，按照简</w:t>
      </w:r>
      <w:r>
        <w:rPr>
          <w:rFonts w:ascii="宋体" w:hAnsi="宋体" w:eastAsia="宋体" w:cs="宋体"/>
          <w:spacing w:val="13"/>
          <w:sz w:val="20"/>
          <w:szCs w:val="20"/>
        </w:rPr>
        <w:t>易计税方法依照</w:t>
      </w:r>
      <w:r>
        <w:rPr>
          <w:rFonts w:ascii="宋体" w:hAnsi="宋体" w:eastAsia="宋体" w:cs="宋体"/>
          <w:spacing w:val="-29"/>
          <w:sz w:val="20"/>
          <w:szCs w:val="20"/>
        </w:rPr>
        <w:t xml:space="preserve"> </w:t>
      </w:r>
      <w:r>
        <w:rPr>
          <w:rFonts w:ascii="宋体" w:hAnsi="宋体" w:eastAsia="宋体" w:cs="宋体"/>
          <w:spacing w:val="13"/>
          <w:sz w:val="20"/>
          <w:szCs w:val="20"/>
        </w:rPr>
        <w:t>3%征收率减按</w:t>
      </w:r>
      <w:r>
        <w:rPr>
          <w:rFonts w:ascii="宋体" w:hAnsi="宋体" w:eastAsia="宋体" w:cs="宋体"/>
          <w:spacing w:val="-41"/>
          <w:sz w:val="20"/>
          <w:szCs w:val="20"/>
        </w:rPr>
        <w:t xml:space="preserve"> </w:t>
      </w:r>
      <w:r>
        <w:rPr>
          <w:rFonts w:ascii="宋体" w:hAnsi="宋体" w:eastAsia="宋体" w:cs="宋体"/>
          <w:spacing w:val="13"/>
          <w:sz w:val="20"/>
          <w:szCs w:val="20"/>
        </w:rPr>
        <w:t>2%计算缴纳增值税。</w:t>
      </w:r>
    </w:p>
    <w:p>
      <w:pPr>
        <w:spacing w:before="123" w:line="296" w:lineRule="auto"/>
        <w:ind w:right="80" w:firstLine="426"/>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53"/>
          <w:sz w:val="20"/>
          <w:szCs w:val="20"/>
        </w:rPr>
        <w:t xml:space="preserve"> </w:t>
      </w:r>
      <w:r>
        <w:rPr>
          <w:rFonts w:ascii="宋体" w:hAnsi="宋体" w:eastAsia="宋体" w:cs="宋体"/>
          <w:spacing w:val="7"/>
          <w:sz w:val="20"/>
          <w:szCs w:val="20"/>
        </w:rPr>
        <w:t>自</w:t>
      </w:r>
      <w:r>
        <w:rPr>
          <w:rFonts w:ascii="宋体" w:hAnsi="宋体" w:eastAsia="宋体" w:cs="宋体"/>
          <w:spacing w:val="-40"/>
          <w:sz w:val="20"/>
          <w:szCs w:val="20"/>
        </w:rPr>
        <w:t xml:space="preserve"> </w:t>
      </w:r>
      <w:r>
        <w:rPr>
          <w:rFonts w:ascii="宋体" w:hAnsi="宋体" w:eastAsia="宋体" w:cs="宋体"/>
          <w:spacing w:val="7"/>
          <w:sz w:val="20"/>
          <w:szCs w:val="20"/>
        </w:rPr>
        <w:t>2026</w:t>
      </w:r>
      <w:r>
        <w:rPr>
          <w:rFonts w:ascii="宋体" w:hAnsi="宋体" w:eastAsia="宋体" w:cs="宋体"/>
          <w:spacing w:val="-36"/>
          <w:sz w:val="20"/>
          <w:szCs w:val="20"/>
        </w:rPr>
        <w:t xml:space="preserve"> </w:t>
      </w:r>
      <w:r>
        <w:rPr>
          <w:rFonts w:ascii="宋体" w:hAnsi="宋体" w:eastAsia="宋体" w:cs="宋体"/>
          <w:spacing w:val="7"/>
          <w:sz w:val="20"/>
          <w:szCs w:val="20"/>
        </w:rPr>
        <w:t>年</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22"/>
          <w:sz w:val="20"/>
          <w:szCs w:val="20"/>
        </w:rPr>
        <w:t xml:space="preserve"> </w:t>
      </w:r>
      <w:r>
        <w:rPr>
          <w:rFonts w:ascii="宋体" w:hAnsi="宋体" w:eastAsia="宋体" w:cs="宋体"/>
          <w:spacing w:val="7"/>
          <w:sz w:val="20"/>
          <w:szCs w:val="20"/>
        </w:rPr>
        <w:t>1 日起，销售旧货，按照简易计税方法依照</w:t>
      </w:r>
      <w:r>
        <w:rPr>
          <w:rFonts w:ascii="宋体" w:hAnsi="宋体" w:eastAsia="宋体" w:cs="宋体"/>
          <w:spacing w:val="-36"/>
          <w:sz w:val="20"/>
          <w:szCs w:val="20"/>
        </w:rPr>
        <w:t xml:space="preserve"> </w:t>
      </w:r>
      <w:r>
        <w:rPr>
          <w:rFonts w:ascii="宋体" w:hAnsi="宋体" w:eastAsia="宋体" w:cs="宋体"/>
          <w:spacing w:val="7"/>
          <w:sz w:val="20"/>
          <w:szCs w:val="20"/>
        </w:rPr>
        <w:t>3%征收率减按</w:t>
      </w:r>
      <w:r>
        <w:rPr>
          <w:rFonts w:ascii="宋体" w:hAnsi="宋体" w:eastAsia="宋体" w:cs="宋体"/>
          <w:spacing w:val="-40"/>
          <w:sz w:val="20"/>
          <w:szCs w:val="20"/>
        </w:rPr>
        <w:t xml:space="preserve"> </w:t>
      </w:r>
      <w:r>
        <w:rPr>
          <w:rFonts w:ascii="宋体" w:hAnsi="宋体" w:eastAsia="宋体" w:cs="宋体"/>
          <w:spacing w:val="7"/>
          <w:sz w:val="20"/>
          <w:szCs w:val="20"/>
        </w:rPr>
        <w:t>2%计算缴纳增值</w:t>
      </w:r>
      <w:r>
        <w:rPr>
          <w:rFonts w:ascii="宋体" w:hAnsi="宋体" w:eastAsia="宋体" w:cs="宋体"/>
          <w:spacing w:val="3"/>
          <w:sz w:val="20"/>
          <w:szCs w:val="20"/>
        </w:rPr>
        <w:t>税。</w:t>
      </w:r>
    </w:p>
    <w:p>
      <w:pPr>
        <w:spacing w:before="158" w:line="352" w:lineRule="auto"/>
        <w:ind w:right="81" w:firstLine="441"/>
        <w:rPr>
          <w:rFonts w:ascii="宋体" w:hAnsi="宋体" w:eastAsia="宋体" w:cs="宋体"/>
          <w:sz w:val="20"/>
          <w:szCs w:val="20"/>
        </w:rPr>
      </w:pPr>
      <w:r>
        <w:rPr>
          <w:rFonts w:ascii="宋体" w:hAnsi="宋体" w:eastAsia="宋体" w:cs="宋体"/>
          <w:spacing w:val="10"/>
          <w:sz w:val="20"/>
          <w:szCs w:val="20"/>
        </w:rPr>
        <w:t>旧货，是指进入二次流通的具有部分使用价值的货物（含旧汽车、旧摩托车和旧游艇</w:t>
      </w:r>
      <w:r>
        <w:rPr>
          <w:rFonts w:ascii="宋体" w:hAnsi="宋体" w:eastAsia="宋体" w:cs="宋体"/>
          <w:spacing w:val="-11"/>
          <w:sz w:val="20"/>
          <w:szCs w:val="20"/>
        </w:rPr>
        <w:t>）</w:t>
      </w:r>
      <w:r>
        <w:rPr>
          <w:rFonts w:ascii="宋体" w:hAnsi="宋体" w:eastAsia="宋体" w:cs="宋体"/>
          <w:spacing w:val="-50"/>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但不</w:t>
      </w:r>
      <w:r>
        <w:rPr>
          <w:rFonts w:ascii="宋体" w:hAnsi="宋体" w:eastAsia="宋体" w:cs="宋体"/>
          <w:spacing w:val="8"/>
          <w:sz w:val="20"/>
          <w:szCs w:val="20"/>
        </w:rPr>
        <w:t>包括自己使用过的物品。</w:t>
      </w:r>
    </w:p>
    <w:p>
      <w:pPr>
        <w:spacing w:before="39" w:line="312" w:lineRule="auto"/>
        <w:ind w:left="1" w:right="80" w:firstLine="418"/>
        <w:rPr>
          <w:rFonts w:ascii="宋体" w:hAnsi="宋体" w:eastAsia="宋体" w:cs="宋体"/>
          <w:sz w:val="20"/>
          <w:szCs w:val="20"/>
        </w:rPr>
      </w:pPr>
      <w:r>
        <w:rPr>
          <w:rFonts w:ascii="宋体" w:hAnsi="宋体" w:eastAsia="宋体" w:cs="宋体"/>
          <w:spacing w:val="3"/>
          <w:sz w:val="20"/>
          <w:szCs w:val="20"/>
        </w:rPr>
        <w:t>4.</w:t>
      </w:r>
      <w:r>
        <w:rPr>
          <w:rFonts w:ascii="宋体" w:hAnsi="宋体" w:eastAsia="宋体" w:cs="宋体"/>
          <w:spacing w:val="51"/>
          <w:sz w:val="20"/>
          <w:szCs w:val="20"/>
        </w:rPr>
        <w:t xml:space="preserve"> </w:t>
      </w:r>
      <w:r>
        <w:rPr>
          <w:rFonts w:ascii="宋体" w:hAnsi="宋体" w:eastAsia="宋体" w:cs="宋体"/>
          <w:spacing w:val="3"/>
          <w:sz w:val="20"/>
          <w:szCs w:val="20"/>
        </w:rPr>
        <w:t>自</w:t>
      </w:r>
      <w:r>
        <w:rPr>
          <w:rFonts w:ascii="宋体" w:hAnsi="宋体" w:eastAsia="宋体" w:cs="宋体"/>
          <w:spacing w:val="-42"/>
          <w:sz w:val="20"/>
          <w:szCs w:val="20"/>
        </w:rPr>
        <w:t xml:space="preserve"> </w:t>
      </w:r>
      <w:r>
        <w:rPr>
          <w:rFonts w:ascii="宋体" w:hAnsi="宋体" w:eastAsia="宋体" w:cs="宋体"/>
          <w:spacing w:val="3"/>
          <w:sz w:val="20"/>
          <w:szCs w:val="20"/>
        </w:rPr>
        <w:t>2026</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4"/>
          <w:sz w:val="20"/>
          <w:szCs w:val="20"/>
        </w:rPr>
        <w:t xml:space="preserve"> </w:t>
      </w:r>
      <w:r>
        <w:rPr>
          <w:rFonts w:ascii="宋体" w:hAnsi="宋体" w:eastAsia="宋体" w:cs="宋体"/>
          <w:spacing w:val="3"/>
          <w:sz w:val="20"/>
          <w:szCs w:val="20"/>
        </w:rPr>
        <w:t>1</w:t>
      </w:r>
      <w:r>
        <w:rPr>
          <w:rFonts w:ascii="宋体" w:hAnsi="宋体" w:eastAsia="宋体" w:cs="宋体"/>
          <w:spacing w:val="-41"/>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日起，个人（不含个体工商户中的一般纳税人）</w:t>
      </w:r>
      <w:r>
        <w:rPr>
          <w:rFonts w:ascii="宋体" w:hAnsi="宋体" w:eastAsia="宋体" w:cs="宋体"/>
          <w:spacing w:val="34"/>
          <w:sz w:val="20"/>
          <w:szCs w:val="20"/>
        </w:rPr>
        <w:t xml:space="preserve"> </w:t>
      </w:r>
      <w:r>
        <w:rPr>
          <w:rFonts w:ascii="宋体" w:hAnsi="宋体" w:eastAsia="宋体" w:cs="宋体"/>
          <w:spacing w:val="3"/>
          <w:sz w:val="20"/>
          <w:szCs w:val="20"/>
        </w:rPr>
        <w:t>出租住</w:t>
      </w:r>
      <w:r>
        <w:rPr>
          <w:rFonts w:ascii="宋体" w:hAnsi="宋体" w:eastAsia="宋体" w:cs="宋体"/>
          <w:spacing w:val="2"/>
          <w:sz w:val="20"/>
          <w:szCs w:val="20"/>
        </w:rPr>
        <w:t>房，按照简易计税</w:t>
      </w:r>
      <w:r>
        <w:rPr>
          <w:rFonts w:ascii="宋体" w:hAnsi="宋体" w:eastAsia="宋体" w:cs="宋体"/>
          <w:spacing w:val="10"/>
          <w:sz w:val="20"/>
          <w:szCs w:val="20"/>
        </w:rPr>
        <w:t>方法依照</w:t>
      </w:r>
      <w:r>
        <w:rPr>
          <w:rFonts w:ascii="宋体" w:hAnsi="宋体" w:eastAsia="宋体" w:cs="宋体"/>
          <w:spacing w:val="-33"/>
          <w:sz w:val="20"/>
          <w:szCs w:val="20"/>
        </w:rPr>
        <w:t xml:space="preserve"> </w:t>
      </w:r>
      <w:r>
        <w:rPr>
          <w:rFonts w:ascii="宋体" w:hAnsi="宋体" w:eastAsia="宋体" w:cs="宋体"/>
          <w:spacing w:val="10"/>
          <w:sz w:val="20"/>
          <w:szCs w:val="20"/>
        </w:rPr>
        <w:t>3%征收率减按</w:t>
      </w:r>
      <w:r>
        <w:rPr>
          <w:rFonts w:ascii="宋体" w:hAnsi="宋体" w:eastAsia="宋体" w:cs="宋体"/>
          <w:spacing w:val="-24"/>
          <w:sz w:val="20"/>
          <w:szCs w:val="20"/>
        </w:rPr>
        <w:t xml:space="preserve"> </w:t>
      </w:r>
      <w:r>
        <w:rPr>
          <w:rFonts w:ascii="宋体" w:hAnsi="宋体" w:eastAsia="宋体" w:cs="宋体"/>
          <w:spacing w:val="10"/>
          <w:sz w:val="20"/>
          <w:szCs w:val="20"/>
        </w:rPr>
        <w:t>1.5%计算缴纳增值税。</w:t>
      </w:r>
    </w:p>
    <w:p>
      <w:pPr>
        <w:spacing w:before="125" w:line="312" w:lineRule="auto"/>
        <w:ind w:left="18" w:right="3" w:firstLine="404"/>
        <w:rPr>
          <w:rFonts w:ascii="宋体" w:hAnsi="宋体" w:eastAsia="宋体" w:cs="宋体"/>
          <w:sz w:val="20"/>
          <w:szCs w:val="20"/>
        </w:rPr>
      </w:pPr>
      <w:r>
        <w:rPr>
          <w:rFonts w:ascii="宋体" w:hAnsi="宋体" w:eastAsia="宋体" w:cs="宋体"/>
          <w:spacing w:val="4"/>
          <w:sz w:val="20"/>
          <w:szCs w:val="20"/>
        </w:rPr>
        <w:t>5.</w:t>
      </w:r>
      <w:r>
        <w:rPr>
          <w:rFonts w:ascii="宋体" w:hAnsi="宋体" w:eastAsia="宋体" w:cs="宋体"/>
          <w:spacing w:val="51"/>
          <w:sz w:val="20"/>
          <w:szCs w:val="20"/>
        </w:rPr>
        <w:t xml:space="preserve"> </w:t>
      </w:r>
      <w:r>
        <w:rPr>
          <w:rFonts w:ascii="宋体" w:hAnsi="宋体" w:eastAsia="宋体" w:cs="宋体"/>
          <w:spacing w:val="4"/>
          <w:sz w:val="20"/>
          <w:szCs w:val="20"/>
        </w:rPr>
        <w:t>自</w:t>
      </w:r>
      <w:r>
        <w:rPr>
          <w:rFonts w:ascii="宋体" w:hAnsi="宋体" w:eastAsia="宋体" w:cs="宋体"/>
          <w:spacing w:val="-41"/>
          <w:sz w:val="20"/>
          <w:szCs w:val="20"/>
        </w:rPr>
        <w:t xml:space="preserve"> </w:t>
      </w:r>
      <w:r>
        <w:rPr>
          <w:rFonts w:ascii="宋体" w:hAnsi="宋体" w:eastAsia="宋体" w:cs="宋体"/>
          <w:spacing w:val="4"/>
          <w:sz w:val="20"/>
          <w:szCs w:val="20"/>
        </w:rPr>
        <w:t>2026</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5"/>
          <w:sz w:val="20"/>
          <w:szCs w:val="20"/>
        </w:rPr>
        <w:t xml:space="preserve"> </w:t>
      </w:r>
      <w:r>
        <w:rPr>
          <w:rFonts w:ascii="宋体" w:hAnsi="宋体" w:eastAsia="宋体" w:cs="宋体"/>
          <w:spacing w:val="4"/>
          <w:sz w:val="20"/>
          <w:szCs w:val="20"/>
        </w:rPr>
        <w:t>1</w:t>
      </w:r>
      <w:r>
        <w:rPr>
          <w:rFonts w:ascii="宋体" w:hAnsi="宋体" w:eastAsia="宋体" w:cs="宋体"/>
          <w:spacing w:val="-40"/>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 日起，《财政部</w:t>
      </w:r>
      <w:r>
        <w:rPr>
          <w:rFonts w:ascii="宋体" w:hAnsi="宋体" w:eastAsia="宋体" w:cs="宋体"/>
          <w:spacing w:val="3"/>
          <w:sz w:val="20"/>
          <w:szCs w:val="20"/>
        </w:rPr>
        <w:t xml:space="preserve"> 税务总局住房城乡建设部关于完善住房租赁有关税收政策</w:t>
      </w:r>
      <w:r>
        <w:rPr>
          <w:rFonts w:ascii="宋体" w:hAnsi="宋体" w:eastAsia="宋体" w:cs="宋体"/>
          <w:spacing w:val="9"/>
          <w:sz w:val="20"/>
          <w:szCs w:val="20"/>
        </w:rPr>
        <w:t>的公告》（财政部 税务总局 住房城乡建设部公告2</w:t>
      </w:r>
      <w:r>
        <w:rPr>
          <w:rFonts w:ascii="宋体" w:hAnsi="宋体" w:eastAsia="宋体" w:cs="宋体"/>
          <w:spacing w:val="8"/>
          <w:sz w:val="20"/>
          <w:szCs w:val="20"/>
        </w:rPr>
        <w:t>021年第</w:t>
      </w:r>
      <w:r>
        <w:rPr>
          <w:rFonts w:ascii="宋体" w:hAnsi="宋体" w:eastAsia="宋体" w:cs="宋体"/>
          <w:spacing w:val="-39"/>
          <w:sz w:val="20"/>
          <w:szCs w:val="20"/>
        </w:rPr>
        <w:t xml:space="preserve"> </w:t>
      </w:r>
      <w:r>
        <w:rPr>
          <w:rFonts w:ascii="宋体" w:hAnsi="宋体" w:eastAsia="宋体" w:cs="宋体"/>
          <w:spacing w:val="8"/>
          <w:sz w:val="20"/>
          <w:szCs w:val="20"/>
        </w:rPr>
        <w:t>24</w:t>
      </w:r>
      <w:r>
        <w:rPr>
          <w:rFonts w:ascii="宋体" w:hAnsi="宋体" w:eastAsia="宋体" w:cs="宋体"/>
          <w:spacing w:val="-42"/>
          <w:sz w:val="20"/>
          <w:szCs w:val="20"/>
        </w:rPr>
        <w:t xml:space="preserve"> </w:t>
      </w:r>
      <w:r>
        <w:rPr>
          <w:rFonts w:ascii="宋体" w:hAnsi="宋体" w:eastAsia="宋体" w:cs="宋体"/>
          <w:spacing w:val="8"/>
          <w:sz w:val="20"/>
          <w:szCs w:val="20"/>
        </w:rPr>
        <w:t>号）中现行有效的增值税优惠政策。</w:t>
      </w:r>
    </w:p>
    <w:p>
      <w:pPr>
        <w:spacing w:before="122" w:line="341" w:lineRule="auto"/>
        <w:ind w:left="6" w:right="80" w:firstLine="417"/>
        <w:rPr>
          <w:rFonts w:ascii="宋体" w:hAnsi="宋体" w:eastAsia="宋体" w:cs="宋体"/>
          <w:sz w:val="20"/>
          <w:szCs w:val="20"/>
        </w:rPr>
      </w:pPr>
      <w:r>
        <w:rPr>
          <w:rFonts w:ascii="宋体" w:hAnsi="宋体" w:eastAsia="宋体" w:cs="宋体"/>
          <w:spacing w:val="1"/>
          <w:sz w:val="20"/>
          <w:szCs w:val="20"/>
        </w:rPr>
        <w:t>6.</w:t>
      </w:r>
      <w:r>
        <w:rPr>
          <w:rFonts w:ascii="宋体" w:hAnsi="宋体" w:eastAsia="宋体" w:cs="宋体"/>
          <w:spacing w:val="51"/>
          <w:sz w:val="20"/>
          <w:szCs w:val="20"/>
        </w:rPr>
        <w:t xml:space="preserve"> </w:t>
      </w:r>
      <w:r>
        <w:rPr>
          <w:rFonts w:ascii="宋体" w:hAnsi="宋体" w:eastAsia="宋体" w:cs="宋体"/>
          <w:spacing w:val="1"/>
          <w:sz w:val="20"/>
          <w:szCs w:val="20"/>
        </w:rPr>
        <w:t>自</w:t>
      </w:r>
      <w:r>
        <w:rPr>
          <w:rFonts w:ascii="宋体" w:hAnsi="宋体" w:eastAsia="宋体" w:cs="宋体"/>
          <w:spacing w:val="-42"/>
          <w:sz w:val="20"/>
          <w:szCs w:val="20"/>
        </w:rPr>
        <w:t xml:space="preserve"> </w:t>
      </w:r>
      <w:r>
        <w:rPr>
          <w:rFonts w:ascii="宋体" w:hAnsi="宋体" w:eastAsia="宋体" w:cs="宋体"/>
          <w:spacing w:val="1"/>
          <w:sz w:val="20"/>
          <w:szCs w:val="20"/>
        </w:rPr>
        <w:t>2026</w:t>
      </w:r>
      <w:r>
        <w:rPr>
          <w:rFonts w:ascii="宋体" w:hAnsi="宋体" w:eastAsia="宋体" w:cs="宋体"/>
          <w:spacing w:val="-39"/>
          <w:sz w:val="20"/>
          <w:szCs w:val="20"/>
        </w:rPr>
        <w:t xml:space="preserve"> </w:t>
      </w:r>
      <w:r>
        <w:rPr>
          <w:rFonts w:ascii="宋体" w:hAnsi="宋体" w:eastAsia="宋体" w:cs="宋体"/>
          <w:spacing w:val="1"/>
          <w:sz w:val="20"/>
          <w:szCs w:val="20"/>
        </w:rPr>
        <w:t>年</w:t>
      </w:r>
      <w:r>
        <w:rPr>
          <w:rFonts w:ascii="宋体" w:hAnsi="宋体" w:eastAsia="宋体" w:cs="宋体"/>
          <w:spacing w:val="-24"/>
          <w:sz w:val="20"/>
          <w:szCs w:val="20"/>
        </w:rPr>
        <w:t xml:space="preserve"> </w:t>
      </w:r>
      <w:r>
        <w:rPr>
          <w:rFonts w:ascii="宋体" w:hAnsi="宋体" w:eastAsia="宋体" w:cs="宋体"/>
          <w:spacing w:val="1"/>
          <w:sz w:val="20"/>
          <w:szCs w:val="20"/>
        </w:rPr>
        <w:t>1</w:t>
      </w:r>
      <w:r>
        <w:rPr>
          <w:rFonts w:ascii="宋体" w:hAnsi="宋体" w:eastAsia="宋体" w:cs="宋体"/>
          <w:spacing w:val="-41"/>
          <w:sz w:val="20"/>
          <w:szCs w:val="20"/>
        </w:rPr>
        <w:t xml:space="preserve"> </w:t>
      </w:r>
      <w:r>
        <w:rPr>
          <w:rFonts w:ascii="宋体" w:hAnsi="宋体" w:eastAsia="宋体" w:cs="宋体"/>
          <w:spacing w:val="1"/>
          <w:sz w:val="20"/>
          <w:szCs w:val="20"/>
        </w:rPr>
        <w:t>月</w:t>
      </w:r>
      <w:r>
        <w:rPr>
          <w:rFonts w:ascii="宋体" w:hAnsi="宋体" w:eastAsia="宋体" w:cs="宋体"/>
          <w:spacing w:val="-22"/>
          <w:sz w:val="20"/>
          <w:szCs w:val="20"/>
        </w:rPr>
        <w:t xml:space="preserve"> </w:t>
      </w:r>
      <w:r>
        <w:rPr>
          <w:rFonts w:ascii="宋体" w:hAnsi="宋体" w:eastAsia="宋体" w:cs="宋体"/>
          <w:spacing w:val="1"/>
          <w:sz w:val="20"/>
          <w:szCs w:val="20"/>
        </w:rPr>
        <w:t>1 日至</w:t>
      </w:r>
      <w:r>
        <w:rPr>
          <w:rFonts w:ascii="宋体" w:hAnsi="宋体" w:eastAsia="宋体" w:cs="宋体"/>
          <w:spacing w:val="-39"/>
          <w:sz w:val="20"/>
          <w:szCs w:val="20"/>
        </w:rPr>
        <w:t xml:space="preserve"> </w:t>
      </w:r>
      <w:r>
        <w:rPr>
          <w:rFonts w:ascii="宋体" w:hAnsi="宋体" w:eastAsia="宋体" w:cs="宋体"/>
          <w:spacing w:val="1"/>
          <w:sz w:val="20"/>
          <w:szCs w:val="20"/>
        </w:rPr>
        <w:t>2027</w:t>
      </w:r>
      <w:r>
        <w:rPr>
          <w:rFonts w:ascii="宋体" w:hAnsi="宋体" w:eastAsia="宋体" w:cs="宋体"/>
          <w:spacing w:val="-41"/>
          <w:sz w:val="20"/>
          <w:szCs w:val="20"/>
        </w:rPr>
        <w:t xml:space="preserve"> </w:t>
      </w:r>
      <w:r>
        <w:rPr>
          <w:rFonts w:ascii="宋体" w:hAnsi="宋体" w:eastAsia="宋体" w:cs="宋体"/>
          <w:spacing w:val="1"/>
          <w:sz w:val="20"/>
          <w:szCs w:val="20"/>
        </w:rPr>
        <w:t>年</w:t>
      </w:r>
      <w:r>
        <w:rPr>
          <w:rFonts w:ascii="宋体" w:hAnsi="宋体" w:eastAsia="宋体" w:cs="宋体"/>
          <w:spacing w:val="-23"/>
          <w:sz w:val="20"/>
          <w:szCs w:val="20"/>
        </w:rPr>
        <w:t xml:space="preserve"> </w:t>
      </w:r>
      <w:r>
        <w:rPr>
          <w:rFonts w:ascii="宋体" w:hAnsi="宋体" w:eastAsia="宋体" w:cs="宋体"/>
          <w:spacing w:val="1"/>
          <w:sz w:val="20"/>
          <w:szCs w:val="20"/>
        </w:rPr>
        <w:t>12</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38"/>
          <w:sz w:val="20"/>
          <w:szCs w:val="20"/>
        </w:rPr>
        <w:t xml:space="preserve"> </w:t>
      </w:r>
      <w:r>
        <w:rPr>
          <w:rFonts w:ascii="宋体" w:hAnsi="宋体" w:eastAsia="宋体" w:cs="宋体"/>
          <w:spacing w:val="1"/>
          <w:sz w:val="20"/>
          <w:szCs w:val="20"/>
        </w:rPr>
        <w:t>31 日，小规模纳税人</w:t>
      </w:r>
      <w:r>
        <w:rPr>
          <w:rFonts w:ascii="宋体" w:hAnsi="宋体" w:eastAsia="宋体" w:cs="宋体"/>
          <w:sz w:val="20"/>
          <w:szCs w:val="20"/>
        </w:rPr>
        <w:t>发生除销售、出租不动产或者转让</w:t>
      </w:r>
      <w:r>
        <w:rPr>
          <w:rFonts w:ascii="宋体" w:hAnsi="宋体" w:eastAsia="宋体" w:cs="宋体"/>
          <w:spacing w:val="12"/>
          <w:sz w:val="20"/>
          <w:szCs w:val="20"/>
        </w:rPr>
        <w:t>土地使用权之外的增值税应税交易，依照</w:t>
      </w:r>
      <w:r>
        <w:rPr>
          <w:rFonts w:ascii="宋体" w:hAnsi="宋体" w:eastAsia="宋体" w:cs="宋体"/>
          <w:spacing w:val="-38"/>
          <w:sz w:val="20"/>
          <w:szCs w:val="20"/>
        </w:rPr>
        <w:t xml:space="preserve"> </w:t>
      </w:r>
      <w:r>
        <w:rPr>
          <w:rFonts w:ascii="宋体" w:hAnsi="宋体" w:eastAsia="宋体" w:cs="宋体"/>
          <w:spacing w:val="12"/>
          <w:sz w:val="20"/>
          <w:szCs w:val="20"/>
        </w:rPr>
        <w:t>3%征收率减按</w:t>
      </w:r>
      <w:r>
        <w:rPr>
          <w:rFonts w:ascii="宋体" w:hAnsi="宋体" w:eastAsia="宋体" w:cs="宋体"/>
          <w:spacing w:val="-25"/>
          <w:sz w:val="20"/>
          <w:szCs w:val="20"/>
        </w:rPr>
        <w:t xml:space="preserve"> </w:t>
      </w:r>
      <w:r>
        <w:rPr>
          <w:rFonts w:ascii="宋体" w:hAnsi="宋体" w:eastAsia="宋体" w:cs="宋体"/>
          <w:spacing w:val="12"/>
          <w:sz w:val="20"/>
          <w:szCs w:val="20"/>
        </w:rPr>
        <w:t>1%征收率征收增</w:t>
      </w:r>
      <w:r>
        <w:rPr>
          <w:rFonts w:ascii="宋体" w:hAnsi="宋体" w:eastAsia="宋体" w:cs="宋体"/>
          <w:spacing w:val="11"/>
          <w:sz w:val="20"/>
          <w:szCs w:val="20"/>
        </w:rPr>
        <w:t>值税；按规定预缴增值税</w:t>
      </w:r>
      <w:r>
        <w:rPr>
          <w:rFonts w:ascii="宋体" w:hAnsi="宋体" w:eastAsia="宋体" w:cs="宋体"/>
          <w:spacing w:val="10"/>
          <w:sz w:val="20"/>
          <w:szCs w:val="20"/>
        </w:rPr>
        <w:t>的项目，当期在预缴地实现的全部价款、预收款（均不含增值税）合计达</w:t>
      </w:r>
      <w:r>
        <w:rPr>
          <w:rFonts w:ascii="宋体" w:hAnsi="宋体" w:eastAsia="宋体" w:cs="宋体"/>
          <w:spacing w:val="9"/>
          <w:sz w:val="20"/>
          <w:szCs w:val="20"/>
        </w:rPr>
        <w:t>到增值税起征点的，减按</w:t>
      </w:r>
      <w:r>
        <w:rPr>
          <w:rFonts w:ascii="宋体" w:hAnsi="宋体" w:eastAsia="宋体" w:cs="宋体"/>
          <w:spacing w:val="13"/>
          <w:sz w:val="20"/>
          <w:szCs w:val="20"/>
        </w:rPr>
        <w:t>1%预征率预缴增值税。</w:t>
      </w:r>
    </w:p>
    <w:p>
      <w:pPr>
        <w:spacing w:before="124" w:line="312" w:lineRule="auto"/>
        <w:ind w:right="80" w:firstLine="421"/>
        <w:rPr>
          <w:rFonts w:ascii="宋体" w:hAnsi="宋体" w:eastAsia="宋体" w:cs="宋体"/>
          <w:sz w:val="20"/>
          <w:szCs w:val="20"/>
        </w:rPr>
      </w:pPr>
      <w:r>
        <w:rPr>
          <w:rFonts w:ascii="宋体" w:hAnsi="宋体" w:eastAsia="宋体" w:cs="宋体"/>
          <w:spacing w:val="1"/>
          <w:sz w:val="20"/>
          <w:szCs w:val="20"/>
        </w:rPr>
        <w:t>7.</w:t>
      </w:r>
      <w:r>
        <w:rPr>
          <w:rFonts w:ascii="宋体" w:hAnsi="宋体" w:eastAsia="宋体" w:cs="宋体"/>
          <w:spacing w:val="71"/>
          <w:sz w:val="20"/>
          <w:szCs w:val="20"/>
        </w:rPr>
        <w:t xml:space="preserve"> </w:t>
      </w:r>
      <w:r>
        <w:rPr>
          <w:rFonts w:ascii="宋体" w:hAnsi="宋体" w:eastAsia="宋体" w:cs="宋体"/>
          <w:spacing w:val="1"/>
          <w:sz w:val="20"/>
          <w:szCs w:val="20"/>
        </w:rPr>
        <w:t>自</w:t>
      </w:r>
      <w:r>
        <w:rPr>
          <w:rFonts w:ascii="宋体" w:hAnsi="宋体" w:eastAsia="宋体" w:cs="宋体"/>
          <w:spacing w:val="-37"/>
          <w:sz w:val="20"/>
          <w:szCs w:val="20"/>
        </w:rPr>
        <w:t xml:space="preserve"> </w:t>
      </w:r>
      <w:r>
        <w:rPr>
          <w:rFonts w:ascii="宋体" w:hAnsi="宋体" w:eastAsia="宋体" w:cs="宋体"/>
          <w:spacing w:val="1"/>
          <w:sz w:val="20"/>
          <w:szCs w:val="20"/>
        </w:rPr>
        <w:t>2026</w:t>
      </w:r>
      <w:r>
        <w:rPr>
          <w:rFonts w:ascii="宋体" w:hAnsi="宋体" w:eastAsia="宋体" w:cs="宋体"/>
          <w:spacing w:val="-39"/>
          <w:sz w:val="20"/>
          <w:szCs w:val="20"/>
        </w:rPr>
        <w:t xml:space="preserve"> </w:t>
      </w:r>
      <w:r>
        <w:rPr>
          <w:rFonts w:ascii="宋体" w:hAnsi="宋体" w:eastAsia="宋体" w:cs="宋体"/>
          <w:spacing w:val="1"/>
          <w:sz w:val="20"/>
          <w:szCs w:val="20"/>
        </w:rPr>
        <w:t>年</w:t>
      </w:r>
      <w:r>
        <w:rPr>
          <w:rFonts w:ascii="宋体" w:hAnsi="宋体" w:eastAsia="宋体" w:cs="宋体"/>
          <w:spacing w:val="-19"/>
          <w:sz w:val="20"/>
          <w:szCs w:val="20"/>
        </w:rPr>
        <w:t xml:space="preserve"> </w:t>
      </w:r>
      <w:r>
        <w:rPr>
          <w:rFonts w:ascii="宋体" w:hAnsi="宋体" w:eastAsia="宋体" w:cs="宋体"/>
          <w:spacing w:val="1"/>
          <w:sz w:val="20"/>
          <w:szCs w:val="20"/>
        </w:rPr>
        <w:t>1</w:t>
      </w:r>
      <w:r>
        <w:rPr>
          <w:rFonts w:ascii="宋体" w:hAnsi="宋体" w:eastAsia="宋体" w:cs="宋体"/>
          <w:spacing w:val="-38"/>
          <w:sz w:val="20"/>
          <w:szCs w:val="20"/>
        </w:rPr>
        <w:t xml:space="preserve"> </w:t>
      </w:r>
      <w:r>
        <w:rPr>
          <w:rFonts w:ascii="宋体" w:hAnsi="宋体" w:eastAsia="宋体" w:cs="宋体"/>
          <w:spacing w:val="1"/>
          <w:sz w:val="20"/>
          <w:szCs w:val="20"/>
        </w:rPr>
        <w:t>月</w:t>
      </w:r>
      <w:r>
        <w:rPr>
          <w:rFonts w:ascii="宋体" w:hAnsi="宋体" w:eastAsia="宋体" w:cs="宋体"/>
          <w:spacing w:val="-20"/>
          <w:sz w:val="20"/>
          <w:szCs w:val="20"/>
        </w:rPr>
        <w:t xml:space="preserve"> </w:t>
      </w:r>
      <w:r>
        <w:rPr>
          <w:rFonts w:ascii="宋体" w:hAnsi="宋体" w:eastAsia="宋体" w:cs="宋体"/>
          <w:spacing w:val="1"/>
          <w:sz w:val="20"/>
          <w:szCs w:val="20"/>
        </w:rPr>
        <w:t>1 日至</w:t>
      </w:r>
      <w:r>
        <w:rPr>
          <w:rFonts w:ascii="宋体" w:hAnsi="宋体" w:eastAsia="宋体" w:cs="宋体"/>
          <w:spacing w:val="-40"/>
          <w:sz w:val="20"/>
          <w:szCs w:val="20"/>
        </w:rPr>
        <w:t xml:space="preserve"> </w:t>
      </w:r>
      <w:r>
        <w:rPr>
          <w:rFonts w:ascii="宋体" w:hAnsi="宋体" w:eastAsia="宋体" w:cs="宋体"/>
          <w:spacing w:val="1"/>
          <w:sz w:val="20"/>
          <w:szCs w:val="20"/>
        </w:rPr>
        <w:t>2027</w:t>
      </w:r>
      <w:r>
        <w:rPr>
          <w:rFonts w:ascii="宋体" w:hAnsi="宋体" w:eastAsia="宋体" w:cs="宋体"/>
          <w:spacing w:val="-36"/>
          <w:sz w:val="20"/>
          <w:szCs w:val="20"/>
        </w:rPr>
        <w:t xml:space="preserve"> </w:t>
      </w:r>
      <w:r>
        <w:rPr>
          <w:rFonts w:ascii="宋体" w:hAnsi="宋体" w:eastAsia="宋体" w:cs="宋体"/>
          <w:spacing w:val="1"/>
          <w:sz w:val="20"/>
          <w:szCs w:val="20"/>
        </w:rPr>
        <w:t>年</w:t>
      </w:r>
      <w:r>
        <w:rPr>
          <w:rFonts w:ascii="宋体" w:hAnsi="宋体" w:eastAsia="宋体" w:cs="宋体"/>
          <w:spacing w:val="-20"/>
          <w:sz w:val="20"/>
          <w:szCs w:val="20"/>
        </w:rPr>
        <w:t xml:space="preserve"> </w:t>
      </w:r>
      <w:r>
        <w:rPr>
          <w:rFonts w:ascii="宋体" w:hAnsi="宋体" w:eastAsia="宋体" w:cs="宋体"/>
          <w:spacing w:val="1"/>
          <w:sz w:val="20"/>
          <w:szCs w:val="20"/>
        </w:rPr>
        <w:t>12</w:t>
      </w:r>
      <w:r>
        <w:rPr>
          <w:rFonts w:ascii="宋体" w:hAnsi="宋体" w:eastAsia="宋体" w:cs="宋体"/>
          <w:spacing w:val="-35"/>
          <w:sz w:val="20"/>
          <w:szCs w:val="20"/>
        </w:rPr>
        <w:t xml:space="preserve"> </w:t>
      </w:r>
      <w:r>
        <w:rPr>
          <w:rFonts w:ascii="宋体" w:hAnsi="宋体" w:eastAsia="宋体" w:cs="宋体"/>
          <w:spacing w:val="1"/>
          <w:sz w:val="20"/>
          <w:szCs w:val="20"/>
        </w:rPr>
        <w:t>月</w:t>
      </w:r>
      <w:r>
        <w:rPr>
          <w:rFonts w:ascii="宋体" w:hAnsi="宋体" w:eastAsia="宋体" w:cs="宋体"/>
          <w:spacing w:val="-36"/>
          <w:sz w:val="20"/>
          <w:szCs w:val="20"/>
        </w:rPr>
        <w:t xml:space="preserve"> </w:t>
      </w:r>
      <w:r>
        <w:rPr>
          <w:rFonts w:ascii="宋体" w:hAnsi="宋体" w:eastAsia="宋体" w:cs="宋体"/>
          <w:spacing w:val="1"/>
          <w:sz w:val="20"/>
          <w:szCs w:val="20"/>
        </w:rPr>
        <w:t>31 日</w:t>
      </w:r>
      <w:r>
        <w:rPr>
          <w:rFonts w:ascii="宋体" w:hAnsi="宋体" w:eastAsia="宋体" w:cs="宋体"/>
          <w:spacing w:val="-60"/>
          <w:sz w:val="20"/>
          <w:szCs w:val="20"/>
        </w:rPr>
        <w:t xml:space="preserve"> </w:t>
      </w:r>
      <w:r>
        <w:rPr>
          <w:rFonts w:ascii="宋体" w:hAnsi="宋体" w:eastAsia="宋体" w:cs="宋体"/>
          <w:spacing w:val="1"/>
          <w:sz w:val="20"/>
          <w:szCs w:val="20"/>
        </w:rPr>
        <w:t>，《财政部 税务总局关于延续实施二手车经销有</w:t>
      </w:r>
      <w:r>
        <w:rPr>
          <w:rFonts w:ascii="宋体" w:hAnsi="宋体" w:eastAsia="宋体" w:cs="宋体"/>
          <w:spacing w:val="8"/>
          <w:sz w:val="20"/>
          <w:szCs w:val="20"/>
        </w:rPr>
        <w:t>关增值税政策的公告》（财政部 税务总局公告</w:t>
      </w:r>
      <w:r>
        <w:rPr>
          <w:rFonts w:ascii="宋体" w:hAnsi="宋体" w:eastAsia="宋体" w:cs="宋体"/>
          <w:spacing w:val="-35"/>
          <w:sz w:val="20"/>
          <w:szCs w:val="20"/>
        </w:rPr>
        <w:t xml:space="preserve"> </w:t>
      </w:r>
      <w:r>
        <w:rPr>
          <w:rFonts w:ascii="宋体" w:hAnsi="宋体" w:eastAsia="宋体" w:cs="宋体"/>
          <w:spacing w:val="8"/>
          <w:sz w:val="20"/>
          <w:szCs w:val="20"/>
        </w:rPr>
        <w:t>2023</w:t>
      </w:r>
      <w:r>
        <w:rPr>
          <w:rFonts w:ascii="宋体" w:hAnsi="宋体" w:eastAsia="宋体" w:cs="宋体"/>
          <w:spacing w:val="-41"/>
          <w:sz w:val="20"/>
          <w:szCs w:val="20"/>
        </w:rPr>
        <w:t xml:space="preserve"> </w:t>
      </w:r>
      <w:r>
        <w:rPr>
          <w:rFonts w:ascii="宋体" w:hAnsi="宋体" w:eastAsia="宋体" w:cs="宋体"/>
          <w:spacing w:val="8"/>
          <w:sz w:val="20"/>
          <w:szCs w:val="20"/>
        </w:rPr>
        <w:t>年第</w:t>
      </w:r>
      <w:r>
        <w:rPr>
          <w:rFonts w:ascii="宋体" w:hAnsi="宋体" w:eastAsia="宋体" w:cs="宋体"/>
          <w:spacing w:val="-39"/>
          <w:sz w:val="20"/>
          <w:szCs w:val="20"/>
        </w:rPr>
        <w:t xml:space="preserve"> </w:t>
      </w:r>
      <w:r>
        <w:rPr>
          <w:rFonts w:ascii="宋体" w:hAnsi="宋体" w:eastAsia="宋体" w:cs="宋体"/>
          <w:spacing w:val="8"/>
          <w:sz w:val="20"/>
          <w:szCs w:val="20"/>
        </w:rPr>
        <w:t>63</w:t>
      </w:r>
      <w:r>
        <w:rPr>
          <w:rFonts w:ascii="宋体" w:hAnsi="宋体" w:eastAsia="宋体" w:cs="宋体"/>
          <w:spacing w:val="-39"/>
          <w:sz w:val="20"/>
          <w:szCs w:val="20"/>
        </w:rPr>
        <w:t xml:space="preserve"> </w:t>
      </w:r>
      <w:r>
        <w:rPr>
          <w:rFonts w:ascii="宋体" w:hAnsi="宋体" w:eastAsia="宋体" w:cs="宋体"/>
          <w:spacing w:val="8"/>
          <w:sz w:val="20"/>
          <w:szCs w:val="20"/>
        </w:rPr>
        <w:t>号）中现行有效的增值税优惠政策。</w:t>
      </w:r>
    </w:p>
    <w:p>
      <w:pPr>
        <w:spacing w:before="122" w:line="279" w:lineRule="exact"/>
        <w:ind w:left="413"/>
        <w:rPr>
          <w:rFonts w:ascii="宋体" w:hAnsi="宋体" w:eastAsia="宋体" w:cs="宋体"/>
          <w:sz w:val="20"/>
          <w:szCs w:val="20"/>
        </w:rPr>
      </w:pPr>
      <w:r>
        <w:rPr>
          <w:rFonts w:ascii="宋体" w:hAnsi="宋体" w:eastAsia="宋体" w:cs="宋体"/>
          <w:spacing w:val="2"/>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2"/>
          <w:position w:val="1"/>
          <w:sz w:val="20"/>
          <w:szCs w:val="20"/>
        </w:rPr>
        <w:t>四）有关规定</w:t>
      </w:r>
    </w:p>
    <w:p>
      <w:pPr>
        <w:spacing w:before="122" w:line="277" w:lineRule="exact"/>
        <w:ind w:left="440"/>
        <w:rPr>
          <w:rFonts w:ascii="宋体" w:hAnsi="宋体" w:eastAsia="宋体" w:cs="宋体"/>
          <w:sz w:val="20"/>
          <w:szCs w:val="20"/>
        </w:rPr>
      </w:pPr>
      <w:r>
        <w:rPr>
          <w:rFonts w:ascii="宋体" w:hAnsi="宋体" w:eastAsia="宋体" w:cs="宋体"/>
          <w:spacing w:val="8"/>
          <w:position w:val="1"/>
          <w:sz w:val="20"/>
          <w:szCs w:val="20"/>
        </w:rPr>
        <w:t>1. 一般纳税人销售自行开发的房地产项目</w:t>
      </w:r>
      <w:r>
        <w:rPr>
          <w:rFonts w:ascii="宋体" w:hAnsi="宋体" w:eastAsia="宋体" w:cs="宋体"/>
          <w:spacing w:val="7"/>
          <w:position w:val="1"/>
          <w:sz w:val="20"/>
          <w:szCs w:val="20"/>
        </w:rPr>
        <w:t>、提供建筑服务，可以按照房地产开发项目、工程建</w:t>
      </w:r>
    </w:p>
    <w:p>
      <w:pPr>
        <w:spacing w:line="277" w:lineRule="exact"/>
        <w:rPr>
          <w:rFonts w:ascii="宋体" w:hAnsi="宋体" w:eastAsia="宋体" w:cs="宋体"/>
          <w:sz w:val="20"/>
          <w:szCs w:val="20"/>
        </w:rPr>
        <w:sectPr>
          <w:footerReference r:id="rId288" w:type="default"/>
          <w:pgSz w:w="11900" w:h="16840"/>
          <w:pgMar w:top="400" w:right="1338" w:bottom="1184" w:left="1418" w:header="0" w:footer="869" w:gutter="0"/>
        </w:sect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before="65" w:line="367" w:lineRule="auto"/>
        <w:ind w:left="1" w:right="77" w:hanging="1"/>
        <w:rPr>
          <w:rFonts w:ascii="宋体" w:hAnsi="宋体" w:eastAsia="宋体" w:cs="宋体"/>
          <w:sz w:val="20"/>
          <w:szCs w:val="20"/>
        </w:rPr>
      </w:pPr>
      <w:r>
        <w:rPr>
          <w:rFonts w:ascii="宋体" w:hAnsi="宋体" w:eastAsia="宋体" w:cs="宋体"/>
          <w:spacing w:val="11"/>
          <w:sz w:val="20"/>
          <w:szCs w:val="20"/>
        </w:rPr>
        <w:t>设项目选择适用简易计税方法。除上述情形外，一般纳税人应当就同一简</w:t>
      </w:r>
      <w:r>
        <w:rPr>
          <w:rFonts w:ascii="宋体" w:hAnsi="宋体" w:eastAsia="宋体" w:cs="宋体"/>
          <w:spacing w:val="10"/>
          <w:sz w:val="20"/>
          <w:szCs w:val="20"/>
        </w:rPr>
        <w:t>易计税方法项目的全部应</w:t>
      </w:r>
      <w:r>
        <w:rPr>
          <w:rFonts w:ascii="宋体" w:hAnsi="宋体" w:eastAsia="宋体" w:cs="宋体"/>
          <w:spacing w:val="9"/>
          <w:sz w:val="20"/>
          <w:szCs w:val="20"/>
        </w:rPr>
        <w:t>税交易一并选择适用简易计税方法。</w:t>
      </w:r>
    </w:p>
    <w:p>
      <w:pPr>
        <w:spacing w:before="1" w:line="311" w:lineRule="auto"/>
        <w:ind w:left="3" w:right="76" w:firstLine="420"/>
        <w:rPr>
          <w:rFonts w:ascii="宋体" w:hAnsi="宋体" w:eastAsia="宋体" w:cs="宋体"/>
          <w:sz w:val="20"/>
          <w:szCs w:val="20"/>
        </w:rPr>
      </w:pPr>
      <w:r>
        <w:rPr>
          <w:rFonts w:ascii="宋体" w:hAnsi="宋体" w:eastAsia="宋体" w:cs="宋体"/>
          <w:spacing w:val="7"/>
          <w:sz w:val="20"/>
          <w:szCs w:val="20"/>
        </w:rPr>
        <w:t>2. 一般纳税人自选择适用简易计税方法</w:t>
      </w:r>
      <w:r>
        <w:rPr>
          <w:rFonts w:ascii="宋体" w:hAnsi="宋体" w:eastAsia="宋体" w:cs="宋体"/>
          <w:spacing w:val="6"/>
          <w:sz w:val="20"/>
          <w:szCs w:val="20"/>
        </w:rPr>
        <w:t>当月起，36</w:t>
      </w:r>
      <w:r>
        <w:rPr>
          <w:rFonts w:ascii="宋体" w:hAnsi="宋体" w:eastAsia="宋体" w:cs="宋体"/>
          <w:spacing w:val="-45"/>
          <w:sz w:val="20"/>
          <w:szCs w:val="20"/>
        </w:rPr>
        <w:t xml:space="preserve"> </w:t>
      </w:r>
      <w:r>
        <w:rPr>
          <w:rFonts w:ascii="宋体" w:hAnsi="宋体" w:eastAsia="宋体" w:cs="宋体"/>
          <w:spacing w:val="6"/>
          <w:sz w:val="20"/>
          <w:szCs w:val="20"/>
        </w:rPr>
        <w:t>个月内不得变更；期限届满后，自选择适用</w:t>
      </w:r>
      <w:r>
        <w:rPr>
          <w:rFonts w:ascii="宋体" w:hAnsi="宋体" w:eastAsia="宋体" w:cs="宋体"/>
          <w:spacing w:val="9"/>
          <w:sz w:val="20"/>
          <w:szCs w:val="20"/>
        </w:rPr>
        <w:t>一般计税方法当月起，36</w:t>
      </w:r>
      <w:r>
        <w:rPr>
          <w:rFonts w:ascii="宋体" w:hAnsi="宋体" w:eastAsia="宋体" w:cs="宋体"/>
          <w:spacing w:val="-43"/>
          <w:sz w:val="20"/>
          <w:szCs w:val="20"/>
        </w:rPr>
        <w:t xml:space="preserve"> </w:t>
      </w:r>
      <w:r>
        <w:rPr>
          <w:rFonts w:ascii="宋体" w:hAnsi="宋体" w:eastAsia="宋体" w:cs="宋体"/>
          <w:spacing w:val="9"/>
          <w:sz w:val="20"/>
          <w:szCs w:val="20"/>
        </w:rPr>
        <w:t>个月内不得再选择适用简易</w:t>
      </w:r>
      <w:r>
        <w:rPr>
          <w:rFonts w:ascii="宋体" w:hAnsi="宋体" w:eastAsia="宋体" w:cs="宋体"/>
          <w:spacing w:val="8"/>
          <w:sz w:val="20"/>
          <w:szCs w:val="20"/>
        </w:rPr>
        <w:t>计税方法。</w:t>
      </w:r>
    </w:p>
    <w:p>
      <w:pPr>
        <w:spacing w:before="123" w:line="277" w:lineRule="exact"/>
        <w:ind w:left="428"/>
        <w:rPr>
          <w:rFonts w:ascii="宋体" w:hAnsi="宋体" w:eastAsia="宋体" w:cs="宋体"/>
          <w:sz w:val="20"/>
          <w:szCs w:val="20"/>
        </w:rPr>
      </w:pPr>
      <w:r>
        <w:rPr>
          <w:rFonts w:ascii="宋体" w:hAnsi="宋体" w:eastAsia="宋体" w:cs="宋体"/>
          <w:spacing w:val="8"/>
          <w:position w:val="1"/>
          <w:sz w:val="20"/>
          <w:szCs w:val="20"/>
        </w:rPr>
        <w:t>3. 纳税人按照简易计税方法依照规定征收率计算缴纳增值税的，按照下列公</w:t>
      </w:r>
      <w:r>
        <w:rPr>
          <w:rFonts w:ascii="宋体" w:hAnsi="宋体" w:eastAsia="宋体" w:cs="宋体"/>
          <w:spacing w:val="7"/>
          <w:position w:val="1"/>
          <w:sz w:val="20"/>
          <w:szCs w:val="20"/>
        </w:rPr>
        <w:t>式计算销售额：</w:t>
      </w:r>
    </w:p>
    <w:p>
      <w:pPr>
        <w:spacing w:before="123" w:line="278" w:lineRule="exact"/>
        <w:ind w:left="424"/>
        <w:rPr>
          <w:rFonts w:ascii="宋体" w:hAnsi="宋体" w:eastAsia="宋体" w:cs="宋体"/>
          <w:sz w:val="20"/>
          <w:szCs w:val="20"/>
        </w:rPr>
      </w:pPr>
      <w:r>
        <w:rPr>
          <w:rFonts w:ascii="宋体" w:hAnsi="宋体" w:eastAsia="宋体" w:cs="宋体"/>
          <w:spacing w:val="3"/>
          <w:position w:val="1"/>
          <w:sz w:val="20"/>
          <w:szCs w:val="20"/>
        </w:rPr>
        <w:t>销售额＝含税销售额</w:t>
      </w:r>
      <w:r>
        <w:rPr>
          <w:rFonts w:ascii="宋体" w:hAnsi="宋体" w:eastAsia="宋体" w:cs="宋体"/>
          <w:spacing w:val="-30"/>
          <w:position w:val="1"/>
          <w:sz w:val="20"/>
          <w:szCs w:val="20"/>
        </w:rPr>
        <w:t xml:space="preserve"> </w:t>
      </w:r>
      <w:r>
        <w:rPr>
          <w:rFonts w:ascii="宋体" w:hAnsi="宋体" w:eastAsia="宋体" w:cs="宋体"/>
          <w:spacing w:val="3"/>
          <w:position w:val="1"/>
          <w:sz w:val="20"/>
          <w:szCs w:val="20"/>
        </w:rPr>
        <w:t>÷（</w:t>
      </w:r>
      <w:r>
        <w:rPr>
          <w:rFonts w:ascii="宋体" w:hAnsi="宋体" w:eastAsia="宋体" w:cs="宋体"/>
          <w:spacing w:val="-47"/>
          <w:position w:val="1"/>
          <w:sz w:val="20"/>
          <w:szCs w:val="20"/>
        </w:rPr>
        <w:t xml:space="preserve"> </w:t>
      </w:r>
      <w:r>
        <w:rPr>
          <w:rFonts w:ascii="宋体" w:hAnsi="宋体" w:eastAsia="宋体" w:cs="宋体"/>
          <w:spacing w:val="3"/>
          <w:position w:val="1"/>
          <w:sz w:val="20"/>
          <w:szCs w:val="20"/>
        </w:rPr>
        <w:t>1＋规定征收率）</w:t>
      </w:r>
    </w:p>
    <w:p>
      <w:pPr>
        <w:spacing w:before="122" w:line="312" w:lineRule="auto"/>
        <w:ind w:left="24" w:right="79" w:firstLine="420"/>
        <w:rPr>
          <w:rFonts w:ascii="宋体" w:hAnsi="宋体" w:eastAsia="宋体" w:cs="宋体"/>
          <w:sz w:val="20"/>
          <w:szCs w:val="20"/>
        </w:rPr>
      </w:pPr>
      <w:r>
        <w:rPr>
          <w:rFonts w:ascii="宋体" w:hAnsi="宋体" w:eastAsia="宋体" w:cs="宋体"/>
          <w:b/>
          <w:bCs/>
          <w:spacing w:val="1"/>
          <w:sz w:val="20"/>
          <w:szCs w:val="20"/>
        </w:rPr>
        <w:t>四、</w:t>
      </w:r>
      <w:r>
        <w:rPr>
          <w:rFonts w:ascii="宋体" w:hAnsi="宋体" w:eastAsia="宋体" w:cs="宋体"/>
          <w:spacing w:val="-57"/>
          <w:sz w:val="20"/>
          <w:szCs w:val="20"/>
        </w:rPr>
        <w:t xml:space="preserve"> </w:t>
      </w:r>
      <w:r>
        <w:rPr>
          <w:rFonts w:ascii="宋体" w:hAnsi="宋体" w:eastAsia="宋体" w:cs="宋体"/>
          <w:b/>
          <w:bCs/>
          <w:spacing w:val="1"/>
          <w:sz w:val="20"/>
          <w:szCs w:val="20"/>
        </w:rPr>
        <w:t>自</w:t>
      </w:r>
      <w:r>
        <w:rPr>
          <w:rFonts w:ascii="宋体" w:hAnsi="宋体" w:eastAsia="宋体" w:cs="宋体"/>
          <w:spacing w:val="-40"/>
          <w:sz w:val="20"/>
          <w:szCs w:val="20"/>
        </w:rPr>
        <w:t xml:space="preserve"> </w:t>
      </w:r>
      <w:r>
        <w:rPr>
          <w:rFonts w:ascii="宋体" w:hAnsi="宋体" w:eastAsia="宋体" w:cs="宋体"/>
          <w:b/>
          <w:bCs/>
          <w:spacing w:val="1"/>
          <w:sz w:val="20"/>
          <w:szCs w:val="20"/>
        </w:rPr>
        <w:t>2026</w:t>
      </w:r>
      <w:r>
        <w:rPr>
          <w:rFonts w:ascii="宋体" w:hAnsi="宋体" w:eastAsia="宋体" w:cs="宋体"/>
          <w:spacing w:val="-41"/>
          <w:sz w:val="20"/>
          <w:szCs w:val="20"/>
        </w:rPr>
        <w:t xml:space="preserve"> </w:t>
      </w:r>
      <w:r>
        <w:rPr>
          <w:rFonts w:ascii="宋体" w:hAnsi="宋体" w:eastAsia="宋体" w:cs="宋体"/>
          <w:b/>
          <w:bCs/>
          <w:spacing w:val="1"/>
          <w:sz w:val="20"/>
          <w:szCs w:val="20"/>
        </w:rPr>
        <w:t>年</w:t>
      </w:r>
      <w:r>
        <w:rPr>
          <w:rFonts w:ascii="宋体" w:hAnsi="宋体" w:eastAsia="宋体" w:cs="宋体"/>
          <w:spacing w:val="-22"/>
          <w:sz w:val="20"/>
          <w:szCs w:val="20"/>
        </w:rPr>
        <w:t xml:space="preserve"> </w:t>
      </w:r>
      <w:r>
        <w:rPr>
          <w:rFonts w:ascii="宋体" w:hAnsi="宋体" w:eastAsia="宋体" w:cs="宋体"/>
          <w:b/>
          <w:bCs/>
          <w:spacing w:val="1"/>
          <w:sz w:val="20"/>
          <w:szCs w:val="20"/>
        </w:rPr>
        <w:t>1</w:t>
      </w:r>
      <w:r>
        <w:rPr>
          <w:rFonts w:ascii="宋体" w:hAnsi="宋体" w:eastAsia="宋体" w:cs="宋体"/>
          <w:spacing w:val="-38"/>
          <w:sz w:val="20"/>
          <w:szCs w:val="20"/>
        </w:rPr>
        <w:t xml:space="preserve"> </w:t>
      </w:r>
      <w:r>
        <w:rPr>
          <w:rFonts w:ascii="宋体" w:hAnsi="宋体" w:eastAsia="宋体" w:cs="宋体"/>
          <w:b/>
          <w:bCs/>
          <w:spacing w:val="1"/>
          <w:sz w:val="20"/>
          <w:szCs w:val="20"/>
        </w:rPr>
        <w:t>月</w:t>
      </w:r>
      <w:r>
        <w:rPr>
          <w:rFonts w:ascii="宋体" w:hAnsi="宋体" w:eastAsia="宋体" w:cs="宋体"/>
          <w:spacing w:val="-25"/>
          <w:sz w:val="20"/>
          <w:szCs w:val="20"/>
        </w:rPr>
        <w:t xml:space="preserve"> </w:t>
      </w:r>
      <w:r>
        <w:rPr>
          <w:rFonts w:ascii="宋体" w:hAnsi="宋体" w:eastAsia="宋体" w:cs="宋体"/>
          <w:b/>
          <w:bCs/>
          <w:spacing w:val="1"/>
          <w:sz w:val="20"/>
          <w:szCs w:val="20"/>
        </w:rPr>
        <w:t>1</w:t>
      </w:r>
      <w:r>
        <w:rPr>
          <w:rFonts w:ascii="宋体" w:hAnsi="宋体" w:eastAsia="宋体" w:cs="宋体"/>
          <w:spacing w:val="1"/>
          <w:sz w:val="20"/>
          <w:szCs w:val="20"/>
        </w:rPr>
        <w:t xml:space="preserve"> </w:t>
      </w:r>
      <w:r>
        <w:rPr>
          <w:rFonts w:ascii="宋体" w:hAnsi="宋体" w:eastAsia="宋体" w:cs="宋体"/>
          <w:b/>
          <w:bCs/>
          <w:spacing w:val="1"/>
          <w:sz w:val="20"/>
          <w:szCs w:val="20"/>
        </w:rPr>
        <w:t>日至</w:t>
      </w:r>
      <w:r>
        <w:rPr>
          <w:rFonts w:ascii="宋体" w:hAnsi="宋体" w:eastAsia="宋体" w:cs="宋体"/>
          <w:spacing w:val="-39"/>
          <w:sz w:val="20"/>
          <w:szCs w:val="20"/>
        </w:rPr>
        <w:t xml:space="preserve"> </w:t>
      </w:r>
      <w:r>
        <w:rPr>
          <w:rFonts w:ascii="宋体" w:hAnsi="宋体" w:eastAsia="宋体" w:cs="宋体"/>
          <w:b/>
          <w:bCs/>
          <w:spacing w:val="1"/>
          <w:sz w:val="20"/>
          <w:szCs w:val="20"/>
        </w:rPr>
        <w:t>2027</w:t>
      </w:r>
      <w:r>
        <w:rPr>
          <w:rFonts w:ascii="宋体" w:hAnsi="宋体" w:eastAsia="宋体" w:cs="宋体"/>
          <w:spacing w:val="-41"/>
          <w:sz w:val="20"/>
          <w:szCs w:val="20"/>
        </w:rPr>
        <w:t xml:space="preserve"> </w:t>
      </w:r>
      <w:r>
        <w:rPr>
          <w:rFonts w:ascii="宋体" w:hAnsi="宋体" w:eastAsia="宋体" w:cs="宋体"/>
          <w:b/>
          <w:bCs/>
          <w:spacing w:val="1"/>
          <w:sz w:val="20"/>
          <w:szCs w:val="20"/>
        </w:rPr>
        <w:t>年</w:t>
      </w:r>
      <w:r>
        <w:rPr>
          <w:rFonts w:ascii="宋体" w:hAnsi="宋体" w:eastAsia="宋体" w:cs="宋体"/>
          <w:spacing w:val="-22"/>
          <w:sz w:val="20"/>
          <w:szCs w:val="20"/>
        </w:rPr>
        <w:t xml:space="preserve"> </w:t>
      </w:r>
      <w:r>
        <w:rPr>
          <w:rFonts w:ascii="宋体" w:hAnsi="宋体" w:eastAsia="宋体" w:cs="宋体"/>
          <w:b/>
          <w:bCs/>
          <w:spacing w:val="1"/>
          <w:sz w:val="20"/>
          <w:szCs w:val="20"/>
        </w:rPr>
        <w:t>12</w:t>
      </w:r>
      <w:r>
        <w:rPr>
          <w:rFonts w:ascii="宋体" w:hAnsi="宋体" w:eastAsia="宋体" w:cs="宋体"/>
          <w:spacing w:val="-41"/>
          <w:sz w:val="20"/>
          <w:szCs w:val="20"/>
        </w:rPr>
        <w:t xml:space="preserve"> </w:t>
      </w:r>
      <w:r>
        <w:rPr>
          <w:rFonts w:ascii="宋体" w:hAnsi="宋体" w:eastAsia="宋体" w:cs="宋体"/>
          <w:b/>
          <w:bCs/>
          <w:spacing w:val="1"/>
          <w:sz w:val="20"/>
          <w:szCs w:val="20"/>
        </w:rPr>
        <w:t>月</w:t>
      </w:r>
      <w:r>
        <w:rPr>
          <w:rFonts w:ascii="宋体" w:hAnsi="宋体" w:eastAsia="宋体" w:cs="宋体"/>
          <w:spacing w:val="-36"/>
          <w:sz w:val="20"/>
          <w:szCs w:val="20"/>
        </w:rPr>
        <w:t xml:space="preserve"> </w:t>
      </w:r>
      <w:r>
        <w:rPr>
          <w:rFonts w:ascii="宋体" w:hAnsi="宋体" w:eastAsia="宋体" w:cs="宋体"/>
          <w:b/>
          <w:bCs/>
          <w:sz w:val="20"/>
          <w:szCs w:val="20"/>
        </w:rPr>
        <w:t>31</w:t>
      </w:r>
      <w:r>
        <w:rPr>
          <w:rFonts w:ascii="宋体" w:hAnsi="宋体" w:eastAsia="宋体" w:cs="宋体"/>
          <w:sz w:val="20"/>
          <w:szCs w:val="20"/>
        </w:rPr>
        <w:t xml:space="preserve"> </w:t>
      </w:r>
      <w:r>
        <w:rPr>
          <w:rFonts w:ascii="宋体" w:hAnsi="宋体" w:eastAsia="宋体" w:cs="宋体"/>
          <w:b/>
          <w:bCs/>
          <w:sz w:val="20"/>
          <w:szCs w:val="20"/>
        </w:rPr>
        <w:t>日，纳税人发生下列应税交易，允许从含税销售额</w:t>
      </w:r>
      <w:r>
        <w:rPr>
          <w:rFonts w:ascii="宋体" w:hAnsi="宋体" w:eastAsia="宋体" w:cs="宋体"/>
          <w:b/>
          <w:bCs/>
          <w:spacing w:val="7"/>
          <w:sz w:val="20"/>
          <w:szCs w:val="20"/>
        </w:rPr>
        <w:t>中扣除相关价款后计算销项税额或者应纳税额（略）</w:t>
      </w:r>
    </w:p>
    <w:p>
      <w:pPr>
        <w:spacing w:before="128" w:line="222" w:lineRule="auto"/>
        <w:ind w:left="428"/>
        <w:rPr>
          <w:rFonts w:ascii="宋体" w:hAnsi="宋体" w:eastAsia="宋体" w:cs="宋体"/>
          <w:sz w:val="20"/>
          <w:szCs w:val="20"/>
        </w:rPr>
      </w:pPr>
      <w:r>
        <w:rPr>
          <w:rFonts w:ascii="宋体" w:hAnsi="宋体" w:eastAsia="宋体" w:cs="宋体"/>
          <w:b/>
          <w:bCs/>
          <w:spacing w:val="7"/>
          <w:sz w:val="20"/>
          <w:szCs w:val="20"/>
        </w:rPr>
        <w:t>五、其他增值税优惠项目</w:t>
      </w:r>
    </w:p>
    <w:p>
      <w:pPr>
        <w:spacing w:before="154" w:line="369" w:lineRule="auto"/>
        <w:ind w:left="6" w:right="76" w:firstLine="408"/>
        <w:rPr>
          <w:rFonts w:ascii="宋体" w:hAnsi="宋体" w:eastAsia="宋体" w:cs="宋体"/>
          <w:sz w:val="20"/>
          <w:szCs w:val="20"/>
        </w:rPr>
      </w:pPr>
      <w:r>
        <w:rPr>
          <w:rFonts w:ascii="宋体" w:hAnsi="宋体" w:eastAsia="宋体" w:cs="宋体"/>
          <w:spacing w:val="3"/>
          <w:sz w:val="20"/>
          <w:szCs w:val="20"/>
        </w:rPr>
        <w:t>（一）</w:t>
      </w:r>
      <w:r>
        <w:rPr>
          <w:rFonts w:ascii="宋体" w:hAnsi="宋体" w:eastAsia="宋体" w:cs="宋体"/>
          <w:spacing w:val="-43"/>
          <w:sz w:val="20"/>
          <w:szCs w:val="20"/>
        </w:rPr>
        <w:t xml:space="preserve"> </w:t>
      </w:r>
      <w:r>
        <w:rPr>
          <w:rFonts w:ascii="宋体" w:hAnsi="宋体" w:eastAsia="宋体" w:cs="宋体"/>
          <w:spacing w:val="3"/>
          <w:sz w:val="20"/>
          <w:szCs w:val="20"/>
        </w:rPr>
        <w:t>自</w:t>
      </w:r>
      <w:r>
        <w:rPr>
          <w:rFonts w:ascii="宋体" w:hAnsi="宋体" w:eastAsia="宋体" w:cs="宋体"/>
          <w:spacing w:val="-39"/>
          <w:sz w:val="20"/>
          <w:szCs w:val="20"/>
        </w:rPr>
        <w:t xml:space="preserve"> </w:t>
      </w:r>
      <w:r>
        <w:rPr>
          <w:rFonts w:ascii="宋体" w:hAnsi="宋体" w:eastAsia="宋体" w:cs="宋体"/>
          <w:spacing w:val="3"/>
          <w:sz w:val="20"/>
          <w:szCs w:val="20"/>
        </w:rPr>
        <w:t>2026</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日至</w:t>
      </w:r>
      <w:r>
        <w:rPr>
          <w:rFonts w:ascii="宋体" w:hAnsi="宋体" w:eastAsia="宋体" w:cs="宋体"/>
          <w:spacing w:val="-40"/>
          <w:sz w:val="20"/>
          <w:szCs w:val="20"/>
        </w:rPr>
        <w:t xml:space="preserve"> </w:t>
      </w:r>
      <w:r>
        <w:rPr>
          <w:rFonts w:ascii="宋体" w:hAnsi="宋体" w:eastAsia="宋体" w:cs="宋体"/>
          <w:spacing w:val="3"/>
          <w:sz w:val="20"/>
          <w:szCs w:val="20"/>
        </w:rPr>
        <w:t>2027</w:t>
      </w:r>
      <w:r>
        <w:rPr>
          <w:rFonts w:ascii="宋体" w:hAnsi="宋体" w:eastAsia="宋体" w:cs="宋体"/>
          <w:spacing w:val="-36"/>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12</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36"/>
          <w:sz w:val="20"/>
          <w:szCs w:val="20"/>
        </w:rPr>
        <w:t xml:space="preserve"> </w:t>
      </w:r>
      <w:r>
        <w:rPr>
          <w:rFonts w:ascii="宋体" w:hAnsi="宋体" w:eastAsia="宋体" w:cs="宋体"/>
          <w:spacing w:val="3"/>
          <w:sz w:val="20"/>
          <w:szCs w:val="20"/>
        </w:rPr>
        <w:t>31 日，一</w:t>
      </w:r>
      <w:r>
        <w:rPr>
          <w:rFonts w:ascii="宋体" w:hAnsi="宋体" w:eastAsia="宋体" w:cs="宋体"/>
          <w:spacing w:val="2"/>
          <w:sz w:val="20"/>
          <w:szCs w:val="20"/>
        </w:rPr>
        <w:t>般纳税人提供管道运输服务，对其增值税</w:t>
      </w:r>
      <w:r>
        <w:rPr>
          <w:rFonts w:ascii="宋体" w:hAnsi="宋体" w:eastAsia="宋体" w:cs="宋体"/>
          <w:spacing w:val="11"/>
          <w:sz w:val="20"/>
          <w:szCs w:val="20"/>
        </w:rPr>
        <w:t>实际税负超过</w:t>
      </w:r>
      <w:r>
        <w:rPr>
          <w:rFonts w:ascii="宋体" w:hAnsi="宋体" w:eastAsia="宋体" w:cs="宋体"/>
          <w:spacing w:val="-33"/>
          <w:sz w:val="20"/>
          <w:szCs w:val="20"/>
        </w:rPr>
        <w:t xml:space="preserve"> </w:t>
      </w:r>
      <w:r>
        <w:rPr>
          <w:rFonts w:ascii="宋体" w:hAnsi="宋体" w:eastAsia="宋体" w:cs="宋体"/>
          <w:spacing w:val="11"/>
          <w:sz w:val="20"/>
          <w:szCs w:val="20"/>
        </w:rPr>
        <w:t>3%的部分实行增值税即征即退政策。</w:t>
      </w:r>
    </w:p>
    <w:p>
      <w:pPr>
        <w:spacing w:before="6" w:line="367" w:lineRule="auto"/>
        <w:ind w:left="3" w:right="77" w:firstLine="418"/>
        <w:rPr>
          <w:rFonts w:ascii="宋体" w:hAnsi="宋体" w:eastAsia="宋体" w:cs="宋体"/>
          <w:sz w:val="20"/>
          <w:szCs w:val="20"/>
        </w:rPr>
      </w:pPr>
      <w:r>
        <w:rPr>
          <w:rFonts w:ascii="宋体" w:hAnsi="宋体" w:eastAsia="宋体" w:cs="宋体"/>
          <w:spacing w:val="11"/>
          <w:sz w:val="20"/>
          <w:szCs w:val="20"/>
        </w:rPr>
        <w:t>增值税实际税负，是指纳税人当期提供管道运输服务实际缴纳的增值</w:t>
      </w:r>
      <w:r>
        <w:rPr>
          <w:rFonts w:ascii="宋体" w:hAnsi="宋体" w:eastAsia="宋体" w:cs="宋体"/>
          <w:spacing w:val="10"/>
          <w:sz w:val="20"/>
          <w:szCs w:val="20"/>
        </w:rPr>
        <w:t>税额占纳税人当期提供管</w:t>
      </w:r>
      <w:r>
        <w:rPr>
          <w:rFonts w:ascii="宋体" w:hAnsi="宋体" w:eastAsia="宋体" w:cs="宋体"/>
          <w:spacing w:val="8"/>
          <w:sz w:val="20"/>
          <w:szCs w:val="20"/>
        </w:rPr>
        <w:t>道运输服务取得的销售额的比例。</w:t>
      </w:r>
    </w:p>
    <w:p>
      <w:pPr>
        <w:spacing w:before="2" w:line="350" w:lineRule="auto"/>
        <w:ind w:left="3" w:firstLine="411"/>
        <w:rPr>
          <w:rFonts w:ascii="宋体" w:hAnsi="宋体" w:eastAsia="宋体" w:cs="宋体"/>
          <w:sz w:val="20"/>
          <w:szCs w:val="20"/>
        </w:rPr>
      </w:pPr>
      <w:r>
        <w:rPr>
          <w:rFonts w:ascii="宋体" w:hAnsi="宋体" w:eastAsia="宋体" w:cs="宋体"/>
          <w:spacing w:val="4"/>
          <w:sz w:val="20"/>
          <w:szCs w:val="20"/>
        </w:rPr>
        <w:t>（二</w:t>
      </w:r>
      <w:r>
        <w:rPr>
          <w:rFonts w:ascii="宋体" w:hAnsi="宋体" w:eastAsia="宋体" w:cs="宋体"/>
          <w:spacing w:val="-40"/>
          <w:sz w:val="20"/>
          <w:szCs w:val="20"/>
        </w:rPr>
        <w:t xml:space="preserve"> </w:t>
      </w:r>
      <w:r>
        <w:rPr>
          <w:rFonts w:ascii="宋体" w:hAnsi="宋体" w:eastAsia="宋体" w:cs="宋体"/>
          <w:spacing w:val="4"/>
          <w:sz w:val="20"/>
          <w:szCs w:val="20"/>
        </w:rPr>
        <w:t>）自</w:t>
      </w:r>
      <w:r>
        <w:rPr>
          <w:rFonts w:ascii="宋体" w:hAnsi="宋体" w:eastAsia="宋体" w:cs="宋体"/>
          <w:spacing w:val="-42"/>
          <w:sz w:val="20"/>
          <w:szCs w:val="20"/>
        </w:rPr>
        <w:t xml:space="preserve"> </w:t>
      </w:r>
      <w:r>
        <w:rPr>
          <w:rFonts w:ascii="宋体" w:hAnsi="宋体" w:eastAsia="宋体" w:cs="宋体"/>
          <w:spacing w:val="4"/>
          <w:sz w:val="20"/>
          <w:szCs w:val="20"/>
        </w:rPr>
        <w:t>2026</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5"/>
          <w:sz w:val="20"/>
          <w:szCs w:val="20"/>
        </w:rPr>
        <w:t xml:space="preserve"> </w:t>
      </w:r>
      <w:r>
        <w:rPr>
          <w:rFonts w:ascii="宋体" w:hAnsi="宋体" w:eastAsia="宋体" w:cs="宋体"/>
          <w:spacing w:val="4"/>
          <w:sz w:val="20"/>
          <w:szCs w:val="20"/>
        </w:rPr>
        <w:t>1</w:t>
      </w:r>
      <w:r>
        <w:rPr>
          <w:rFonts w:ascii="宋体" w:hAnsi="宋体" w:eastAsia="宋体" w:cs="宋体"/>
          <w:spacing w:val="-40"/>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 日起，一般纳税人购进农</w:t>
      </w:r>
      <w:r>
        <w:rPr>
          <w:rFonts w:ascii="宋体" w:hAnsi="宋体" w:eastAsia="宋体" w:cs="宋体"/>
          <w:spacing w:val="3"/>
          <w:sz w:val="20"/>
          <w:szCs w:val="20"/>
        </w:rPr>
        <w:t>产品，取得一般纳税人开具的增值税专用发票</w:t>
      </w:r>
      <w:r>
        <w:rPr>
          <w:rFonts w:ascii="宋体" w:hAnsi="宋体" w:eastAsia="宋体" w:cs="宋体"/>
          <w:spacing w:val="11"/>
          <w:sz w:val="20"/>
          <w:szCs w:val="20"/>
        </w:rPr>
        <w:t>或海关进口增值税专用缴款书的，以增值税专用发票或海关进口增</w:t>
      </w:r>
      <w:r>
        <w:rPr>
          <w:rFonts w:ascii="宋体" w:hAnsi="宋体" w:eastAsia="宋体" w:cs="宋体"/>
          <w:spacing w:val="10"/>
          <w:sz w:val="20"/>
          <w:szCs w:val="20"/>
        </w:rPr>
        <w:t>值税专用缴款书上注明的增值税</w:t>
      </w:r>
      <w:r>
        <w:rPr>
          <w:rFonts w:ascii="宋体" w:hAnsi="宋体" w:eastAsia="宋体" w:cs="宋体"/>
          <w:spacing w:val="9"/>
          <w:sz w:val="20"/>
          <w:szCs w:val="20"/>
        </w:rPr>
        <w:t>额为进项税额；从按照简易计税方法依照</w:t>
      </w:r>
      <w:r>
        <w:rPr>
          <w:rFonts w:ascii="宋体" w:hAnsi="宋体" w:eastAsia="宋体" w:cs="宋体"/>
          <w:spacing w:val="-36"/>
          <w:sz w:val="20"/>
          <w:szCs w:val="20"/>
        </w:rPr>
        <w:t xml:space="preserve"> </w:t>
      </w:r>
      <w:r>
        <w:rPr>
          <w:rFonts w:ascii="宋体" w:hAnsi="宋体" w:eastAsia="宋体" w:cs="宋体"/>
          <w:spacing w:val="9"/>
          <w:sz w:val="20"/>
          <w:szCs w:val="20"/>
        </w:rPr>
        <w:t>3%征收率计算缴纳增值税的小规模纳税人取得增值税专用发票的，以增值税专用发票上注明的金额和</w:t>
      </w:r>
      <w:r>
        <w:rPr>
          <w:rFonts w:ascii="宋体" w:hAnsi="宋体" w:eastAsia="宋体" w:cs="宋体"/>
          <w:spacing w:val="-37"/>
          <w:sz w:val="20"/>
          <w:szCs w:val="20"/>
        </w:rPr>
        <w:t xml:space="preserve"> </w:t>
      </w:r>
      <w:r>
        <w:rPr>
          <w:rFonts w:ascii="宋体" w:hAnsi="宋体" w:eastAsia="宋体" w:cs="宋体"/>
          <w:spacing w:val="9"/>
          <w:sz w:val="20"/>
          <w:szCs w:val="20"/>
        </w:rPr>
        <w:t>9%的扣除率计算进项税额；取得（开具）农产品销售发</w:t>
      </w:r>
      <w:r>
        <w:rPr>
          <w:rFonts w:ascii="宋体" w:hAnsi="宋体" w:eastAsia="宋体" w:cs="宋体"/>
          <w:spacing w:val="8"/>
          <w:sz w:val="20"/>
          <w:szCs w:val="20"/>
        </w:rPr>
        <w:t>票或收购发票的 ，以农产品销售发票或收购发票上注明的农产品买价和</w:t>
      </w:r>
      <w:r>
        <w:rPr>
          <w:rFonts w:ascii="宋体" w:hAnsi="宋体" w:eastAsia="宋体" w:cs="宋体"/>
          <w:spacing w:val="-24"/>
          <w:sz w:val="20"/>
          <w:szCs w:val="20"/>
        </w:rPr>
        <w:t xml:space="preserve"> </w:t>
      </w:r>
      <w:r>
        <w:rPr>
          <w:rFonts w:ascii="宋体" w:hAnsi="宋体" w:eastAsia="宋体" w:cs="宋体"/>
          <w:spacing w:val="8"/>
          <w:sz w:val="20"/>
          <w:szCs w:val="20"/>
        </w:rPr>
        <w:t>9%的扣除率计算进项税额。</w:t>
      </w:r>
      <w:r>
        <w:rPr>
          <w:rFonts w:ascii="宋体" w:hAnsi="宋体" w:eastAsia="宋体" w:cs="宋体"/>
          <w:spacing w:val="11"/>
          <w:sz w:val="20"/>
          <w:szCs w:val="20"/>
        </w:rPr>
        <w:t>一般纳税人从农民专业合作社购进的免税农产品，可按</w:t>
      </w:r>
      <w:r>
        <w:rPr>
          <w:rFonts w:ascii="宋体" w:hAnsi="宋体" w:eastAsia="宋体" w:cs="宋体"/>
          <w:spacing w:val="-39"/>
          <w:sz w:val="20"/>
          <w:szCs w:val="20"/>
        </w:rPr>
        <w:t xml:space="preserve"> </w:t>
      </w:r>
      <w:r>
        <w:rPr>
          <w:rFonts w:ascii="宋体" w:hAnsi="宋体" w:eastAsia="宋体" w:cs="宋体"/>
          <w:spacing w:val="11"/>
          <w:sz w:val="20"/>
          <w:szCs w:val="20"/>
        </w:rPr>
        <w:t>9%的扣除率计算</w:t>
      </w:r>
      <w:r>
        <w:rPr>
          <w:rFonts w:ascii="宋体" w:hAnsi="宋体" w:eastAsia="宋体" w:cs="宋体"/>
          <w:spacing w:val="10"/>
          <w:sz w:val="20"/>
          <w:szCs w:val="20"/>
        </w:rPr>
        <w:t>进项税额。</w:t>
      </w:r>
    </w:p>
    <w:p>
      <w:pPr>
        <w:spacing w:before="125" w:line="320" w:lineRule="auto"/>
        <w:ind w:left="7" w:right="76" w:firstLine="407"/>
        <w:rPr>
          <w:rFonts w:ascii="宋体" w:hAnsi="宋体" w:eastAsia="宋体" w:cs="宋体"/>
          <w:sz w:val="20"/>
          <w:szCs w:val="20"/>
        </w:rPr>
      </w:pPr>
      <w:r>
        <w:rPr>
          <w:rFonts w:ascii="宋体" w:hAnsi="宋体" w:eastAsia="宋体" w:cs="宋体"/>
          <w:spacing w:val="3"/>
          <w:sz w:val="20"/>
          <w:szCs w:val="20"/>
        </w:rPr>
        <w:t>（三）</w:t>
      </w:r>
      <w:r>
        <w:rPr>
          <w:rFonts w:ascii="宋体" w:hAnsi="宋体" w:eastAsia="宋体" w:cs="宋体"/>
          <w:spacing w:val="-43"/>
          <w:sz w:val="20"/>
          <w:szCs w:val="20"/>
        </w:rPr>
        <w:t xml:space="preserve"> </w:t>
      </w:r>
      <w:r>
        <w:rPr>
          <w:rFonts w:ascii="宋体" w:hAnsi="宋体" w:eastAsia="宋体" w:cs="宋体"/>
          <w:spacing w:val="3"/>
          <w:sz w:val="20"/>
          <w:szCs w:val="20"/>
        </w:rPr>
        <w:t>自</w:t>
      </w:r>
      <w:r>
        <w:rPr>
          <w:rFonts w:ascii="宋体" w:hAnsi="宋体" w:eastAsia="宋体" w:cs="宋体"/>
          <w:spacing w:val="-39"/>
          <w:sz w:val="20"/>
          <w:szCs w:val="20"/>
        </w:rPr>
        <w:t xml:space="preserve"> </w:t>
      </w:r>
      <w:r>
        <w:rPr>
          <w:rFonts w:ascii="宋体" w:hAnsi="宋体" w:eastAsia="宋体" w:cs="宋体"/>
          <w:spacing w:val="3"/>
          <w:sz w:val="20"/>
          <w:szCs w:val="20"/>
        </w:rPr>
        <w:t>2026</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日至</w:t>
      </w:r>
      <w:r>
        <w:rPr>
          <w:rFonts w:ascii="宋体" w:hAnsi="宋体" w:eastAsia="宋体" w:cs="宋体"/>
          <w:spacing w:val="-40"/>
          <w:sz w:val="20"/>
          <w:szCs w:val="20"/>
        </w:rPr>
        <w:t xml:space="preserve"> </w:t>
      </w:r>
      <w:r>
        <w:rPr>
          <w:rFonts w:ascii="宋体" w:hAnsi="宋体" w:eastAsia="宋体" w:cs="宋体"/>
          <w:spacing w:val="3"/>
          <w:sz w:val="20"/>
          <w:szCs w:val="20"/>
        </w:rPr>
        <w:t>2027</w:t>
      </w:r>
      <w:r>
        <w:rPr>
          <w:rFonts w:ascii="宋体" w:hAnsi="宋体" w:eastAsia="宋体" w:cs="宋体"/>
          <w:spacing w:val="-36"/>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12</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36"/>
          <w:sz w:val="20"/>
          <w:szCs w:val="20"/>
        </w:rPr>
        <w:t xml:space="preserve"> </w:t>
      </w:r>
      <w:r>
        <w:rPr>
          <w:rFonts w:ascii="宋体" w:hAnsi="宋体" w:eastAsia="宋体" w:cs="宋体"/>
          <w:spacing w:val="3"/>
          <w:sz w:val="20"/>
          <w:szCs w:val="20"/>
        </w:rPr>
        <w:t>31 日，药</w:t>
      </w:r>
      <w:r>
        <w:rPr>
          <w:rFonts w:ascii="宋体" w:hAnsi="宋体" w:eastAsia="宋体" w:cs="宋体"/>
          <w:spacing w:val="2"/>
          <w:sz w:val="20"/>
          <w:szCs w:val="20"/>
        </w:rPr>
        <w:t>品生产企业销售自产创新药的销售额，为</w:t>
      </w:r>
      <w:r>
        <w:rPr>
          <w:rFonts w:ascii="宋体" w:hAnsi="宋体" w:eastAsia="宋体" w:cs="宋体"/>
          <w:spacing w:val="11"/>
          <w:sz w:val="20"/>
          <w:szCs w:val="20"/>
        </w:rPr>
        <w:t>向购买方收取的全部价款，其提供给患者后续免费使用的</w:t>
      </w:r>
      <w:r>
        <w:rPr>
          <w:rFonts w:ascii="宋体" w:hAnsi="宋体" w:eastAsia="宋体" w:cs="宋体"/>
          <w:spacing w:val="10"/>
          <w:sz w:val="20"/>
          <w:szCs w:val="20"/>
        </w:rPr>
        <w:t>相同创新药，不属于增值税视同应税交易</w:t>
      </w:r>
      <w:r>
        <w:rPr>
          <w:rFonts w:ascii="宋体" w:hAnsi="宋体" w:eastAsia="宋体" w:cs="宋体"/>
          <w:spacing w:val="3"/>
          <w:sz w:val="20"/>
          <w:szCs w:val="20"/>
        </w:rPr>
        <w:t>范围。</w:t>
      </w:r>
    </w:p>
    <w:p>
      <w:pPr>
        <w:spacing w:before="158" w:line="278" w:lineRule="exact"/>
        <w:ind w:left="414"/>
        <w:rPr>
          <w:rFonts w:ascii="宋体" w:hAnsi="宋体" w:eastAsia="宋体" w:cs="宋体"/>
          <w:sz w:val="20"/>
          <w:szCs w:val="20"/>
        </w:rPr>
      </w:pPr>
      <w:r>
        <w:rPr>
          <w:rFonts w:ascii="宋体" w:hAnsi="宋体" w:eastAsia="宋体" w:cs="宋体"/>
          <w:spacing w:val="4"/>
          <w:position w:val="1"/>
          <w:sz w:val="20"/>
          <w:szCs w:val="20"/>
        </w:rPr>
        <w:t>（</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四）自</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2026</w:t>
      </w:r>
      <w:r>
        <w:rPr>
          <w:rFonts w:ascii="宋体" w:hAnsi="宋体" w:eastAsia="宋体" w:cs="宋体"/>
          <w:spacing w:val="-41"/>
          <w:position w:val="1"/>
          <w:sz w:val="20"/>
          <w:szCs w:val="20"/>
        </w:rPr>
        <w:t xml:space="preserve"> </w:t>
      </w:r>
      <w:r>
        <w:rPr>
          <w:rFonts w:ascii="宋体" w:hAnsi="宋体" w:eastAsia="宋体" w:cs="宋体"/>
          <w:spacing w:val="4"/>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4"/>
          <w:position w:val="1"/>
          <w:sz w:val="20"/>
          <w:szCs w:val="20"/>
        </w:rPr>
        <w:t>1</w:t>
      </w:r>
      <w:r>
        <w:rPr>
          <w:rFonts w:ascii="宋体" w:hAnsi="宋体" w:eastAsia="宋体" w:cs="宋体"/>
          <w:spacing w:val="-40"/>
          <w:position w:val="1"/>
          <w:sz w:val="20"/>
          <w:szCs w:val="20"/>
        </w:rPr>
        <w:t xml:space="preserve"> </w:t>
      </w:r>
      <w:r>
        <w:rPr>
          <w:rFonts w:ascii="宋体" w:hAnsi="宋体" w:eastAsia="宋体" w:cs="宋体"/>
          <w:spacing w:val="4"/>
          <w:position w:val="1"/>
          <w:sz w:val="20"/>
          <w:szCs w:val="20"/>
        </w:rPr>
        <w:t>月</w:t>
      </w:r>
      <w:r>
        <w:rPr>
          <w:rFonts w:ascii="宋体" w:hAnsi="宋体" w:eastAsia="宋体" w:cs="宋体"/>
          <w:spacing w:val="-23"/>
          <w:position w:val="1"/>
          <w:sz w:val="20"/>
          <w:szCs w:val="20"/>
        </w:rPr>
        <w:t xml:space="preserve"> </w:t>
      </w:r>
      <w:r>
        <w:rPr>
          <w:rFonts w:ascii="宋体" w:hAnsi="宋体" w:eastAsia="宋体" w:cs="宋体"/>
          <w:spacing w:val="4"/>
          <w:position w:val="1"/>
          <w:sz w:val="20"/>
          <w:szCs w:val="20"/>
        </w:rPr>
        <w:t>1 日起，下列文件中现行有效的增值税优惠政策继续实施。</w:t>
      </w:r>
    </w:p>
    <w:p>
      <w:pPr>
        <w:spacing w:before="123" w:line="278" w:lineRule="exact"/>
        <w:ind w:left="441"/>
        <w:rPr>
          <w:rFonts w:ascii="宋体" w:hAnsi="宋体" w:eastAsia="宋体" w:cs="宋体"/>
          <w:sz w:val="20"/>
          <w:szCs w:val="20"/>
        </w:rPr>
      </w:pPr>
      <w:r>
        <w:rPr>
          <w:rFonts w:ascii="宋体" w:hAnsi="宋体" w:eastAsia="宋体" w:cs="宋体"/>
          <w:spacing w:val="6"/>
          <w:position w:val="1"/>
          <w:sz w:val="20"/>
          <w:szCs w:val="20"/>
        </w:rPr>
        <w:t>1.</w:t>
      </w:r>
      <w:r>
        <w:rPr>
          <w:rFonts w:ascii="宋体" w:hAnsi="宋体" w:eastAsia="宋体" w:cs="宋体"/>
          <w:spacing w:val="-11"/>
          <w:position w:val="1"/>
          <w:sz w:val="20"/>
          <w:szCs w:val="20"/>
        </w:rPr>
        <w:t xml:space="preserve"> </w:t>
      </w:r>
      <w:r>
        <w:rPr>
          <w:rFonts w:ascii="宋体" w:hAnsi="宋体" w:eastAsia="宋体" w:cs="宋体"/>
          <w:spacing w:val="6"/>
          <w:position w:val="1"/>
          <w:sz w:val="20"/>
          <w:szCs w:val="20"/>
        </w:rPr>
        <w:t>《财政部</w:t>
      </w:r>
      <w:r>
        <w:rPr>
          <w:rFonts w:ascii="宋体" w:hAnsi="宋体" w:eastAsia="宋体" w:cs="宋体"/>
          <w:spacing w:val="30"/>
          <w:position w:val="1"/>
          <w:sz w:val="20"/>
          <w:szCs w:val="20"/>
        </w:rPr>
        <w:t xml:space="preserve"> </w:t>
      </w:r>
      <w:r>
        <w:rPr>
          <w:rFonts w:ascii="宋体" w:hAnsi="宋体" w:eastAsia="宋体" w:cs="宋体"/>
          <w:spacing w:val="6"/>
          <w:position w:val="1"/>
          <w:sz w:val="20"/>
          <w:szCs w:val="20"/>
        </w:rPr>
        <w:t>国家税务总局关于软件产品增值税政策的通知》（财税〔2011〕100</w:t>
      </w:r>
      <w:r>
        <w:rPr>
          <w:rFonts w:ascii="宋体" w:hAnsi="宋体" w:eastAsia="宋体" w:cs="宋体"/>
          <w:spacing w:val="-39"/>
          <w:position w:val="1"/>
          <w:sz w:val="20"/>
          <w:szCs w:val="20"/>
        </w:rPr>
        <w:t xml:space="preserve"> </w:t>
      </w:r>
      <w:r>
        <w:rPr>
          <w:rFonts w:ascii="宋体" w:hAnsi="宋体" w:eastAsia="宋体" w:cs="宋体"/>
          <w:spacing w:val="6"/>
          <w:position w:val="1"/>
          <w:sz w:val="20"/>
          <w:szCs w:val="20"/>
        </w:rPr>
        <w:t>号）。</w:t>
      </w:r>
    </w:p>
    <w:p>
      <w:pPr>
        <w:spacing w:before="120" w:line="332" w:lineRule="auto"/>
        <w:ind w:left="3" w:right="76" w:firstLine="420"/>
        <w:rPr>
          <w:rFonts w:ascii="宋体" w:hAnsi="宋体" w:eastAsia="宋体" w:cs="宋体"/>
          <w:sz w:val="20"/>
          <w:szCs w:val="20"/>
        </w:rPr>
      </w:pPr>
      <w:r>
        <w:rPr>
          <w:rFonts w:ascii="宋体" w:hAnsi="宋体" w:eastAsia="宋体" w:cs="宋体"/>
          <w:spacing w:val="10"/>
          <w:sz w:val="20"/>
          <w:szCs w:val="20"/>
        </w:rPr>
        <w:t>2. 《财政部</w:t>
      </w:r>
      <w:r>
        <w:rPr>
          <w:rFonts w:ascii="宋体" w:hAnsi="宋体" w:eastAsia="宋体" w:cs="宋体"/>
          <w:spacing w:val="36"/>
          <w:sz w:val="20"/>
          <w:szCs w:val="20"/>
        </w:rPr>
        <w:t xml:space="preserve"> </w:t>
      </w:r>
      <w:r>
        <w:rPr>
          <w:rFonts w:ascii="宋体" w:hAnsi="宋体" w:eastAsia="宋体" w:cs="宋体"/>
          <w:spacing w:val="10"/>
          <w:sz w:val="20"/>
          <w:szCs w:val="20"/>
        </w:rPr>
        <w:t>国家税务总局关于外国驻华使（领）馆</w:t>
      </w:r>
      <w:r>
        <w:rPr>
          <w:rFonts w:ascii="宋体" w:hAnsi="宋体" w:eastAsia="宋体" w:cs="宋体"/>
          <w:spacing w:val="9"/>
          <w:sz w:val="20"/>
          <w:szCs w:val="20"/>
        </w:rPr>
        <w:t>及其馆员在华购买货物和服务增值税退税</w:t>
      </w:r>
      <w:r>
        <w:rPr>
          <w:rFonts w:ascii="宋体" w:hAnsi="宋体" w:eastAsia="宋体" w:cs="宋体"/>
          <w:spacing w:val="12"/>
          <w:sz w:val="20"/>
          <w:szCs w:val="20"/>
        </w:rPr>
        <w:t>政策的通知》（财税〔2016〕51号）和《财政部 税务总局关于外国驻华使（领）馆及其馆员在华</w:t>
      </w:r>
      <w:r>
        <w:rPr>
          <w:rFonts w:ascii="宋体" w:hAnsi="宋体" w:eastAsia="宋体" w:cs="宋体"/>
          <w:spacing w:val="8"/>
          <w:sz w:val="20"/>
          <w:szCs w:val="20"/>
        </w:rPr>
        <w:t>购买货物和服务增值税退税政策有关问题的补充通知》（财税〔2017〕74</w:t>
      </w:r>
      <w:r>
        <w:rPr>
          <w:rFonts w:ascii="宋体" w:hAnsi="宋体" w:eastAsia="宋体" w:cs="宋体"/>
          <w:spacing w:val="-33"/>
          <w:sz w:val="20"/>
          <w:szCs w:val="20"/>
        </w:rPr>
        <w:t xml:space="preserve"> </w:t>
      </w:r>
      <w:r>
        <w:rPr>
          <w:rFonts w:ascii="宋体" w:hAnsi="宋体" w:eastAsia="宋体" w:cs="宋体"/>
          <w:spacing w:val="8"/>
          <w:sz w:val="20"/>
          <w:szCs w:val="20"/>
        </w:rPr>
        <w:t>号）。</w:t>
      </w:r>
    </w:p>
    <w:p>
      <w:pPr>
        <w:spacing w:before="122" w:line="313" w:lineRule="auto"/>
        <w:ind w:left="5" w:right="76" w:firstLine="422"/>
        <w:rPr>
          <w:rFonts w:ascii="宋体" w:hAnsi="宋体" w:eastAsia="宋体" w:cs="宋体"/>
          <w:sz w:val="20"/>
          <w:szCs w:val="20"/>
        </w:rPr>
      </w:pPr>
      <w:r>
        <w:rPr>
          <w:rFonts w:ascii="宋体" w:hAnsi="宋体" w:eastAsia="宋体" w:cs="宋体"/>
          <w:spacing w:val="7"/>
          <w:sz w:val="20"/>
          <w:szCs w:val="20"/>
        </w:rPr>
        <w:t>3.</w:t>
      </w:r>
      <w:r>
        <w:rPr>
          <w:rFonts w:ascii="宋体" w:hAnsi="宋体" w:eastAsia="宋体" w:cs="宋体"/>
          <w:spacing w:val="-36"/>
          <w:sz w:val="20"/>
          <w:szCs w:val="20"/>
        </w:rPr>
        <w:t xml:space="preserve"> </w:t>
      </w:r>
      <w:r>
        <w:rPr>
          <w:rFonts w:ascii="宋体" w:hAnsi="宋体" w:eastAsia="宋体" w:cs="宋体"/>
          <w:spacing w:val="7"/>
          <w:sz w:val="20"/>
          <w:szCs w:val="20"/>
        </w:rPr>
        <w:t>《财政部 税务总局关于完善资源综合利用增值税政策的公告》（财政部 税务总局公</w:t>
      </w:r>
      <w:r>
        <w:rPr>
          <w:rFonts w:ascii="宋体" w:hAnsi="宋体" w:eastAsia="宋体" w:cs="宋体"/>
          <w:spacing w:val="6"/>
          <w:sz w:val="20"/>
          <w:szCs w:val="20"/>
        </w:rPr>
        <w:t>告</w:t>
      </w:r>
      <w:r>
        <w:rPr>
          <w:rFonts w:ascii="宋体" w:hAnsi="宋体" w:eastAsia="宋体" w:cs="宋体"/>
          <w:spacing w:val="-39"/>
          <w:sz w:val="20"/>
          <w:szCs w:val="20"/>
        </w:rPr>
        <w:t xml:space="preserve"> </w:t>
      </w:r>
      <w:r>
        <w:rPr>
          <w:rFonts w:ascii="宋体" w:hAnsi="宋体" w:eastAsia="宋体" w:cs="宋体"/>
          <w:spacing w:val="6"/>
          <w:sz w:val="20"/>
          <w:szCs w:val="20"/>
        </w:rPr>
        <w:t>2021</w:t>
      </w:r>
      <w:r>
        <w:rPr>
          <w:rFonts w:ascii="宋体" w:hAnsi="宋体" w:eastAsia="宋体" w:cs="宋体"/>
          <w:spacing w:val="2"/>
          <w:sz w:val="20"/>
          <w:szCs w:val="20"/>
        </w:rPr>
        <w:t>年第</w:t>
      </w:r>
      <w:r>
        <w:rPr>
          <w:rFonts w:ascii="宋体" w:hAnsi="宋体" w:eastAsia="宋体" w:cs="宋体"/>
          <w:spacing w:val="-39"/>
          <w:sz w:val="20"/>
          <w:szCs w:val="20"/>
        </w:rPr>
        <w:t xml:space="preserve"> </w:t>
      </w:r>
      <w:r>
        <w:rPr>
          <w:rFonts w:ascii="宋体" w:hAnsi="宋体" w:eastAsia="宋体" w:cs="宋体"/>
          <w:spacing w:val="2"/>
          <w:sz w:val="20"/>
          <w:szCs w:val="20"/>
        </w:rPr>
        <w:t>40</w:t>
      </w:r>
      <w:r>
        <w:rPr>
          <w:rFonts w:ascii="宋体" w:hAnsi="宋体" w:eastAsia="宋体" w:cs="宋体"/>
          <w:spacing w:val="-40"/>
          <w:sz w:val="20"/>
          <w:szCs w:val="20"/>
        </w:rPr>
        <w:t xml:space="preserve"> </w:t>
      </w:r>
      <w:r>
        <w:rPr>
          <w:rFonts w:ascii="宋体" w:hAnsi="宋体" w:eastAsia="宋体" w:cs="宋体"/>
          <w:spacing w:val="2"/>
          <w:sz w:val="20"/>
          <w:szCs w:val="20"/>
        </w:rPr>
        <w:t>号）。</w:t>
      </w:r>
    </w:p>
    <w:p>
      <w:pPr>
        <w:spacing w:before="124" w:line="311" w:lineRule="auto"/>
        <w:ind w:left="3" w:right="76" w:firstLine="418"/>
        <w:rPr>
          <w:rFonts w:ascii="宋体" w:hAnsi="宋体" w:eastAsia="宋体" w:cs="宋体"/>
          <w:sz w:val="20"/>
          <w:szCs w:val="20"/>
        </w:rPr>
      </w:pPr>
      <w:r>
        <w:rPr>
          <w:rFonts w:ascii="宋体" w:hAnsi="宋体" w:eastAsia="宋体" w:cs="宋体"/>
          <w:spacing w:val="5"/>
          <w:sz w:val="20"/>
          <w:szCs w:val="20"/>
        </w:rPr>
        <w:t>4.《财政部 海关总署 税务总局关于调整风力发电等增值税政策的公告》（财政部 海关总署 税</w:t>
      </w:r>
      <w:r>
        <w:rPr>
          <w:rFonts w:ascii="宋体" w:hAnsi="宋体" w:eastAsia="宋体" w:cs="宋体"/>
          <w:spacing w:val="4"/>
          <w:sz w:val="20"/>
          <w:szCs w:val="20"/>
        </w:rPr>
        <w:t>务总局公告</w:t>
      </w:r>
      <w:r>
        <w:rPr>
          <w:rFonts w:ascii="宋体" w:hAnsi="宋体" w:eastAsia="宋体" w:cs="宋体"/>
          <w:spacing w:val="-26"/>
          <w:sz w:val="20"/>
          <w:szCs w:val="20"/>
        </w:rPr>
        <w:t xml:space="preserve"> </w:t>
      </w:r>
      <w:r>
        <w:rPr>
          <w:rFonts w:ascii="宋体" w:hAnsi="宋体" w:eastAsia="宋体" w:cs="宋体"/>
          <w:spacing w:val="4"/>
          <w:sz w:val="20"/>
          <w:szCs w:val="20"/>
        </w:rPr>
        <w:t>2025</w:t>
      </w:r>
      <w:r>
        <w:rPr>
          <w:rFonts w:ascii="宋体" w:hAnsi="宋体" w:eastAsia="宋体" w:cs="宋体"/>
          <w:spacing w:val="-38"/>
          <w:sz w:val="20"/>
          <w:szCs w:val="20"/>
        </w:rPr>
        <w:t xml:space="preserve"> </w:t>
      </w:r>
      <w:r>
        <w:rPr>
          <w:rFonts w:ascii="宋体" w:hAnsi="宋体" w:eastAsia="宋体" w:cs="宋体"/>
          <w:spacing w:val="4"/>
          <w:sz w:val="20"/>
          <w:szCs w:val="20"/>
        </w:rPr>
        <w:t>年第</w:t>
      </w:r>
      <w:r>
        <w:rPr>
          <w:rFonts w:ascii="宋体" w:hAnsi="宋体" w:eastAsia="宋体" w:cs="宋体"/>
          <w:spacing w:val="-23"/>
          <w:sz w:val="20"/>
          <w:szCs w:val="20"/>
        </w:rPr>
        <w:t xml:space="preserve"> </w:t>
      </w:r>
      <w:r>
        <w:rPr>
          <w:rFonts w:ascii="宋体" w:hAnsi="宋体" w:eastAsia="宋体" w:cs="宋体"/>
          <w:spacing w:val="4"/>
          <w:sz w:val="20"/>
          <w:szCs w:val="20"/>
        </w:rPr>
        <w:t>10</w:t>
      </w:r>
      <w:r>
        <w:rPr>
          <w:rFonts w:ascii="宋体" w:hAnsi="宋体" w:eastAsia="宋体" w:cs="宋体"/>
          <w:spacing w:val="-39"/>
          <w:sz w:val="20"/>
          <w:szCs w:val="20"/>
        </w:rPr>
        <w:t xml:space="preserve"> </w:t>
      </w:r>
      <w:r>
        <w:rPr>
          <w:rFonts w:ascii="宋体" w:hAnsi="宋体" w:eastAsia="宋体" w:cs="宋体"/>
          <w:spacing w:val="4"/>
          <w:sz w:val="20"/>
          <w:szCs w:val="20"/>
        </w:rPr>
        <w:t>号）第二条。</w:t>
      </w:r>
    </w:p>
    <w:p>
      <w:pPr>
        <w:spacing w:before="124" w:line="351" w:lineRule="auto"/>
        <w:ind w:left="6" w:right="76" w:firstLine="408"/>
        <w:rPr>
          <w:rFonts w:ascii="宋体" w:hAnsi="宋体" w:eastAsia="宋体" w:cs="宋体"/>
          <w:sz w:val="20"/>
          <w:szCs w:val="20"/>
        </w:rPr>
      </w:pPr>
      <w:r>
        <w:rPr>
          <w:rFonts w:ascii="宋体" w:hAnsi="宋体" w:eastAsia="宋体" w:cs="宋体"/>
          <w:spacing w:val="3"/>
          <w:sz w:val="20"/>
          <w:szCs w:val="20"/>
        </w:rPr>
        <w:t>（五）</w:t>
      </w:r>
      <w:r>
        <w:rPr>
          <w:rFonts w:ascii="宋体" w:hAnsi="宋体" w:eastAsia="宋体" w:cs="宋体"/>
          <w:spacing w:val="-43"/>
          <w:sz w:val="20"/>
          <w:szCs w:val="20"/>
        </w:rPr>
        <w:t xml:space="preserve"> </w:t>
      </w:r>
      <w:r>
        <w:rPr>
          <w:rFonts w:ascii="宋体" w:hAnsi="宋体" w:eastAsia="宋体" w:cs="宋体"/>
          <w:spacing w:val="3"/>
          <w:sz w:val="20"/>
          <w:szCs w:val="20"/>
        </w:rPr>
        <w:t>自</w:t>
      </w:r>
      <w:r>
        <w:rPr>
          <w:rFonts w:ascii="宋体" w:hAnsi="宋体" w:eastAsia="宋体" w:cs="宋体"/>
          <w:spacing w:val="-39"/>
          <w:sz w:val="20"/>
          <w:szCs w:val="20"/>
        </w:rPr>
        <w:t xml:space="preserve"> </w:t>
      </w:r>
      <w:r>
        <w:rPr>
          <w:rFonts w:ascii="宋体" w:hAnsi="宋体" w:eastAsia="宋体" w:cs="宋体"/>
          <w:spacing w:val="3"/>
          <w:sz w:val="20"/>
          <w:szCs w:val="20"/>
        </w:rPr>
        <w:t>2026</w:t>
      </w:r>
      <w:r>
        <w:rPr>
          <w:rFonts w:ascii="宋体" w:hAnsi="宋体" w:eastAsia="宋体" w:cs="宋体"/>
          <w:spacing w:val="-39"/>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22"/>
          <w:sz w:val="20"/>
          <w:szCs w:val="20"/>
        </w:rPr>
        <w:t xml:space="preserve"> </w:t>
      </w:r>
      <w:r>
        <w:rPr>
          <w:rFonts w:ascii="宋体" w:hAnsi="宋体" w:eastAsia="宋体" w:cs="宋体"/>
          <w:spacing w:val="3"/>
          <w:sz w:val="20"/>
          <w:szCs w:val="20"/>
        </w:rPr>
        <w:t>1 日至</w:t>
      </w:r>
      <w:r>
        <w:rPr>
          <w:rFonts w:ascii="宋体" w:hAnsi="宋体" w:eastAsia="宋体" w:cs="宋体"/>
          <w:spacing w:val="-40"/>
          <w:sz w:val="20"/>
          <w:szCs w:val="20"/>
        </w:rPr>
        <w:t xml:space="preserve"> </w:t>
      </w:r>
      <w:r>
        <w:rPr>
          <w:rFonts w:ascii="宋体" w:hAnsi="宋体" w:eastAsia="宋体" w:cs="宋体"/>
          <w:spacing w:val="3"/>
          <w:sz w:val="20"/>
          <w:szCs w:val="20"/>
        </w:rPr>
        <w:t>2027</w:t>
      </w:r>
      <w:r>
        <w:rPr>
          <w:rFonts w:ascii="宋体" w:hAnsi="宋体" w:eastAsia="宋体" w:cs="宋体"/>
          <w:spacing w:val="-36"/>
          <w:sz w:val="20"/>
          <w:szCs w:val="20"/>
        </w:rPr>
        <w:t xml:space="preserve"> </w:t>
      </w:r>
      <w:r>
        <w:rPr>
          <w:rFonts w:ascii="宋体" w:hAnsi="宋体" w:eastAsia="宋体" w:cs="宋体"/>
          <w:spacing w:val="3"/>
          <w:sz w:val="20"/>
          <w:szCs w:val="20"/>
        </w:rPr>
        <w:t>年</w:t>
      </w:r>
      <w:r>
        <w:rPr>
          <w:rFonts w:ascii="宋体" w:hAnsi="宋体" w:eastAsia="宋体" w:cs="宋体"/>
          <w:spacing w:val="-22"/>
          <w:sz w:val="20"/>
          <w:szCs w:val="20"/>
        </w:rPr>
        <w:t xml:space="preserve"> </w:t>
      </w:r>
      <w:r>
        <w:rPr>
          <w:rFonts w:ascii="宋体" w:hAnsi="宋体" w:eastAsia="宋体" w:cs="宋体"/>
          <w:spacing w:val="3"/>
          <w:sz w:val="20"/>
          <w:szCs w:val="20"/>
        </w:rPr>
        <w:t>12</w:t>
      </w:r>
      <w:r>
        <w:rPr>
          <w:rFonts w:ascii="宋体" w:hAnsi="宋体" w:eastAsia="宋体" w:cs="宋体"/>
          <w:spacing w:val="-38"/>
          <w:sz w:val="20"/>
          <w:szCs w:val="20"/>
        </w:rPr>
        <w:t xml:space="preserve"> </w:t>
      </w:r>
      <w:r>
        <w:rPr>
          <w:rFonts w:ascii="宋体" w:hAnsi="宋体" w:eastAsia="宋体" w:cs="宋体"/>
          <w:spacing w:val="3"/>
          <w:sz w:val="20"/>
          <w:szCs w:val="20"/>
        </w:rPr>
        <w:t>月</w:t>
      </w:r>
      <w:r>
        <w:rPr>
          <w:rFonts w:ascii="宋体" w:hAnsi="宋体" w:eastAsia="宋体" w:cs="宋体"/>
          <w:spacing w:val="-36"/>
          <w:sz w:val="20"/>
          <w:szCs w:val="20"/>
        </w:rPr>
        <w:t xml:space="preserve"> </w:t>
      </w:r>
      <w:r>
        <w:rPr>
          <w:rFonts w:ascii="宋体" w:hAnsi="宋体" w:eastAsia="宋体" w:cs="宋体"/>
          <w:spacing w:val="3"/>
          <w:sz w:val="20"/>
          <w:szCs w:val="20"/>
        </w:rPr>
        <w:t>31 日，下</w:t>
      </w:r>
      <w:r>
        <w:rPr>
          <w:rFonts w:ascii="宋体" w:hAnsi="宋体" w:eastAsia="宋体" w:cs="宋体"/>
          <w:spacing w:val="2"/>
          <w:sz w:val="20"/>
          <w:szCs w:val="20"/>
        </w:rPr>
        <w:t>列文件中现行有效的增值税优惠政策继续</w:t>
      </w:r>
      <w:r>
        <w:rPr>
          <w:rFonts w:ascii="宋体" w:hAnsi="宋体" w:eastAsia="宋体" w:cs="宋体"/>
          <w:spacing w:val="3"/>
          <w:sz w:val="20"/>
          <w:szCs w:val="20"/>
        </w:rPr>
        <w:t>实施。</w:t>
      </w:r>
    </w:p>
    <w:p>
      <w:pPr>
        <w:spacing w:before="39" w:line="369" w:lineRule="auto"/>
        <w:ind w:left="10" w:right="73" w:firstLine="431"/>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14"/>
          <w:sz w:val="20"/>
          <w:szCs w:val="20"/>
        </w:rPr>
        <w:t xml:space="preserve"> </w:t>
      </w:r>
      <w:r>
        <w:rPr>
          <w:rFonts w:ascii="宋体" w:hAnsi="宋体" w:eastAsia="宋体" w:cs="宋体"/>
          <w:spacing w:val="6"/>
          <w:sz w:val="20"/>
          <w:szCs w:val="20"/>
        </w:rPr>
        <w:t>《财政部</w:t>
      </w:r>
      <w:r>
        <w:rPr>
          <w:rFonts w:ascii="宋体" w:hAnsi="宋体" w:eastAsia="宋体" w:cs="宋体"/>
          <w:spacing w:val="33"/>
          <w:sz w:val="20"/>
          <w:szCs w:val="20"/>
        </w:rPr>
        <w:t xml:space="preserve"> </w:t>
      </w:r>
      <w:r>
        <w:rPr>
          <w:rFonts w:ascii="宋体" w:hAnsi="宋体" w:eastAsia="宋体" w:cs="宋体"/>
          <w:spacing w:val="6"/>
          <w:sz w:val="20"/>
          <w:szCs w:val="20"/>
        </w:rPr>
        <w:t>国家税务总局关于粮食企业增值税征免问题的通知》（财税字〔</w:t>
      </w:r>
      <w:r>
        <w:rPr>
          <w:rFonts w:ascii="宋体" w:hAnsi="宋体" w:eastAsia="宋体" w:cs="宋体"/>
          <w:spacing w:val="-55"/>
          <w:sz w:val="20"/>
          <w:szCs w:val="20"/>
        </w:rPr>
        <w:t xml:space="preserve"> </w:t>
      </w:r>
      <w:r>
        <w:rPr>
          <w:rFonts w:ascii="宋体" w:hAnsi="宋体" w:eastAsia="宋体" w:cs="宋体"/>
          <w:spacing w:val="6"/>
          <w:sz w:val="20"/>
          <w:szCs w:val="20"/>
        </w:rPr>
        <w:t>19</w:t>
      </w:r>
      <w:r>
        <w:rPr>
          <w:rFonts w:ascii="宋体" w:hAnsi="宋体" w:eastAsia="宋体" w:cs="宋体"/>
          <w:spacing w:val="5"/>
          <w:sz w:val="20"/>
          <w:szCs w:val="20"/>
        </w:rPr>
        <w:t>99〕</w:t>
      </w:r>
      <w:r>
        <w:rPr>
          <w:rFonts w:ascii="宋体" w:hAnsi="宋体" w:eastAsia="宋体" w:cs="宋体"/>
          <w:spacing w:val="44"/>
          <w:sz w:val="20"/>
          <w:szCs w:val="20"/>
        </w:rPr>
        <w:t xml:space="preserve"> </w:t>
      </w:r>
      <w:r>
        <w:rPr>
          <w:rFonts w:ascii="宋体" w:hAnsi="宋体" w:eastAsia="宋体" w:cs="宋体"/>
          <w:spacing w:val="5"/>
          <w:sz w:val="20"/>
          <w:szCs w:val="20"/>
        </w:rPr>
        <w:t>198</w:t>
      </w:r>
      <w:r>
        <w:rPr>
          <w:rFonts w:ascii="宋体" w:hAnsi="宋体" w:eastAsia="宋体" w:cs="宋体"/>
          <w:spacing w:val="-40"/>
          <w:sz w:val="20"/>
          <w:szCs w:val="20"/>
        </w:rPr>
        <w:t xml:space="preserve"> </w:t>
      </w:r>
      <w:r>
        <w:rPr>
          <w:rFonts w:ascii="宋体" w:hAnsi="宋体" w:eastAsia="宋体" w:cs="宋体"/>
          <w:spacing w:val="5"/>
          <w:sz w:val="20"/>
          <w:szCs w:val="20"/>
        </w:rPr>
        <w:t>号）</w:t>
      </w:r>
      <w:r>
        <w:rPr>
          <w:rFonts w:ascii="宋体" w:hAnsi="宋体" w:eastAsia="宋体" w:cs="宋体"/>
          <w:spacing w:val="8"/>
          <w:sz w:val="20"/>
          <w:szCs w:val="20"/>
        </w:rPr>
        <w:t>和《财政部</w:t>
      </w:r>
      <w:r>
        <w:rPr>
          <w:rFonts w:ascii="宋体" w:hAnsi="宋体" w:eastAsia="宋体" w:cs="宋体"/>
          <w:spacing w:val="33"/>
          <w:sz w:val="20"/>
          <w:szCs w:val="20"/>
        </w:rPr>
        <w:t xml:space="preserve"> </w:t>
      </w:r>
      <w:r>
        <w:rPr>
          <w:rFonts w:ascii="宋体" w:hAnsi="宋体" w:eastAsia="宋体" w:cs="宋体"/>
          <w:spacing w:val="8"/>
          <w:sz w:val="20"/>
          <w:szCs w:val="20"/>
        </w:rPr>
        <w:t>国家税务总局关于免征储备大豆增值税</w:t>
      </w:r>
      <w:r>
        <w:rPr>
          <w:rFonts w:ascii="宋体" w:hAnsi="宋体" w:eastAsia="宋体" w:cs="宋体"/>
          <w:spacing w:val="7"/>
          <w:sz w:val="20"/>
          <w:szCs w:val="20"/>
        </w:rPr>
        <w:t>政策的通知》（财税〔2014〕38</w:t>
      </w:r>
      <w:r>
        <w:rPr>
          <w:rFonts w:ascii="宋体" w:hAnsi="宋体" w:eastAsia="宋体" w:cs="宋体"/>
          <w:spacing w:val="-39"/>
          <w:sz w:val="20"/>
          <w:szCs w:val="20"/>
        </w:rPr>
        <w:t xml:space="preserve"> </w:t>
      </w:r>
      <w:r>
        <w:rPr>
          <w:rFonts w:ascii="宋体" w:hAnsi="宋体" w:eastAsia="宋体" w:cs="宋体"/>
          <w:spacing w:val="7"/>
          <w:sz w:val="20"/>
          <w:szCs w:val="20"/>
        </w:rPr>
        <w:t>号）。</w:t>
      </w:r>
    </w:p>
    <w:p>
      <w:pPr>
        <w:spacing w:line="369" w:lineRule="auto"/>
        <w:rPr>
          <w:rFonts w:ascii="宋体" w:hAnsi="宋体" w:eastAsia="宋体" w:cs="宋体"/>
          <w:sz w:val="20"/>
          <w:szCs w:val="20"/>
        </w:rPr>
        <w:sectPr>
          <w:footerReference r:id="rId289" w:type="default"/>
          <w:pgSz w:w="11900" w:h="16840"/>
          <w:pgMar w:top="400" w:right="1342" w:bottom="1184" w:left="1416" w:header="0" w:footer="869" w:gutter="0"/>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314" w:lineRule="auto"/>
        <w:ind w:left="6" w:right="76" w:firstLine="423"/>
        <w:rPr>
          <w:rFonts w:ascii="宋体" w:hAnsi="宋体" w:eastAsia="宋体" w:cs="宋体"/>
          <w:sz w:val="20"/>
          <w:szCs w:val="20"/>
        </w:rPr>
      </w:pPr>
      <w:bookmarkStart w:id="200" w:name="bookmark193"/>
      <w:bookmarkEnd w:id="200"/>
      <w:r>
        <w:rPr>
          <w:rFonts w:ascii="宋体" w:hAnsi="宋体" w:eastAsia="宋体" w:cs="宋体"/>
          <w:spacing w:val="10"/>
          <w:sz w:val="20"/>
          <w:szCs w:val="20"/>
        </w:rPr>
        <w:t>2. 《财政部</w:t>
      </w:r>
      <w:r>
        <w:rPr>
          <w:rFonts w:ascii="宋体" w:hAnsi="宋体" w:eastAsia="宋体" w:cs="宋体"/>
          <w:spacing w:val="36"/>
          <w:sz w:val="20"/>
          <w:szCs w:val="20"/>
        </w:rPr>
        <w:t xml:space="preserve"> </w:t>
      </w:r>
      <w:r>
        <w:rPr>
          <w:rFonts w:ascii="宋体" w:hAnsi="宋体" w:eastAsia="宋体" w:cs="宋体"/>
          <w:spacing w:val="10"/>
          <w:sz w:val="20"/>
          <w:szCs w:val="20"/>
        </w:rPr>
        <w:t>国家税务总局关于退还集成电路企业采</w:t>
      </w:r>
      <w:r>
        <w:rPr>
          <w:rFonts w:ascii="宋体" w:hAnsi="宋体" w:eastAsia="宋体" w:cs="宋体"/>
          <w:spacing w:val="9"/>
          <w:sz w:val="20"/>
          <w:szCs w:val="20"/>
        </w:rPr>
        <w:t>购设备增值税期末留抵税额的通知》（财</w:t>
      </w:r>
      <w:r>
        <w:rPr>
          <w:rFonts w:ascii="宋体" w:hAnsi="宋体" w:eastAsia="宋体" w:cs="宋体"/>
          <w:spacing w:val="4"/>
          <w:sz w:val="20"/>
          <w:szCs w:val="20"/>
        </w:rPr>
        <w:t>税〔2011〕107</w:t>
      </w:r>
      <w:r>
        <w:rPr>
          <w:rFonts w:ascii="宋体" w:hAnsi="宋体" w:eastAsia="宋体" w:cs="宋体"/>
          <w:spacing w:val="-36"/>
          <w:sz w:val="20"/>
          <w:szCs w:val="20"/>
        </w:rPr>
        <w:t xml:space="preserve"> </w:t>
      </w:r>
      <w:r>
        <w:rPr>
          <w:rFonts w:ascii="宋体" w:hAnsi="宋体" w:eastAsia="宋体" w:cs="宋体"/>
          <w:spacing w:val="4"/>
          <w:sz w:val="20"/>
          <w:szCs w:val="20"/>
        </w:rPr>
        <w:t>号）。</w:t>
      </w:r>
    </w:p>
    <w:p>
      <w:pPr>
        <w:spacing w:before="121" w:line="332" w:lineRule="auto"/>
        <w:ind w:right="64" w:firstLine="433"/>
        <w:rPr>
          <w:rFonts w:ascii="宋体" w:hAnsi="宋体" w:eastAsia="宋体" w:cs="宋体"/>
          <w:sz w:val="20"/>
          <w:szCs w:val="20"/>
        </w:rPr>
      </w:pPr>
      <w:r>
        <w:rPr>
          <w:rFonts w:ascii="宋体" w:hAnsi="宋体" w:eastAsia="宋体" w:cs="宋体"/>
          <w:spacing w:val="10"/>
          <w:sz w:val="20"/>
          <w:szCs w:val="20"/>
        </w:rPr>
        <w:t>3. 《财政部</w:t>
      </w:r>
      <w:r>
        <w:rPr>
          <w:rFonts w:ascii="宋体" w:hAnsi="宋体" w:eastAsia="宋体" w:cs="宋体"/>
          <w:spacing w:val="36"/>
          <w:sz w:val="20"/>
          <w:szCs w:val="20"/>
        </w:rPr>
        <w:t xml:space="preserve"> </w:t>
      </w:r>
      <w:r>
        <w:rPr>
          <w:rFonts w:ascii="宋体" w:hAnsi="宋体" w:eastAsia="宋体" w:cs="宋体"/>
          <w:spacing w:val="10"/>
          <w:sz w:val="20"/>
          <w:szCs w:val="20"/>
        </w:rPr>
        <w:t>国家税务总局关于在部分行业试行农产品增值税进项税额核</w:t>
      </w:r>
      <w:r>
        <w:rPr>
          <w:rFonts w:ascii="宋体" w:hAnsi="宋体" w:eastAsia="宋体" w:cs="宋体"/>
          <w:spacing w:val="9"/>
          <w:sz w:val="20"/>
          <w:szCs w:val="20"/>
        </w:rPr>
        <w:t>定扣除办法的通知》</w:t>
      </w:r>
      <w:r>
        <w:rPr>
          <w:rFonts w:ascii="宋体" w:hAnsi="宋体" w:eastAsia="宋体" w:cs="宋体"/>
          <w:sz w:val="20"/>
          <w:szCs w:val="20"/>
        </w:rPr>
        <w:t xml:space="preserve"> </w:t>
      </w:r>
      <w:r>
        <w:rPr>
          <w:rFonts w:ascii="宋体" w:hAnsi="宋体" w:eastAsia="宋体" w:cs="宋体"/>
          <w:spacing w:val="11"/>
          <w:sz w:val="20"/>
          <w:szCs w:val="20"/>
        </w:rPr>
        <w:t>（财税〔2012〕38</w:t>
      </w:r>
      <w:r>
        <w:rPr>
          <w:rFonts w:ascii="宋体" w:hAnsi="宋体" w:eastAsia="宋体" w:cs="宋体"/>
          <w:spacing w:val="-37"/>
          <w:sz w:val="20"/>
          <w:szCs w:val="20"/>
        </w:rPr>
        <w:t xml:space="preserve"> </w:t>
      </w:r>
      <w:r>
        <w:rPr>
          <w:rFonts w:ascii="宋体" w:hAnsi="宋体" w:eastAsia="宋体" w:cs="宋体"/>
          <w:spacing w:val="11"/>
          <w:sz w:val="20"/>
          <w:szCs w:val="20"/>
        </w:rPr>
        <w:t>号）和《财政部</w:t>
      </w:r>
      <w:r>
        <w:rPr>
          <w:rFonts w:ascii="宋体" w:hAnsi="宋体" w:eastAsia="宋体" w:cs="宋体"/>
          <w:spacing w:val="33"/>
          <w:sz w:val="20"/>
          <w:szCs w:val="20"/>
        </w:rPr>
        <w:t xml:space="preserve"> </w:t>
      </w:r>
      <w:r>
        <w:rPr>
          <w:rFonts w:ascii="宋体" w:hAnsi="宋体" w:eastAsia="宋体" w:cs="宋体"/>
          <w:spacing w:val="11"/>
          <w:sz w:val="20"/>
          <w:szCs w:val="20"/>
        </w:rPr>
        <w:t>国家税务</w:t>
      </w:r>
      <w:r>
        <w:rPr>
          <w:rFonts w:ascii="宋体" w:hAnsi="宋体" w:eastAsia="宋体" w:cs="宋体"/>
          <w:spacing w:val="10"/>
          <w:sz w:val="20"/>
          <w:szCs w:val="20"/>
        </w:rPr>
        <w:t>总局关于扩大农产品增值税进项税额核定扣除试点行</w:t>
      </w:r>
      <w:r>
        <w:rPr>
          <w:rFonts w:ascii="宋体" w:hAnsi="宋体" w:eastAsia="宋体" w:cs="宋体"/>
          <w:spacing w:val="7"/>
          <w:sz w:val="20"/>
          <w:szCs w:val="20"/>
        </w:rPr>
        <w:t>业范围的通知》（财税〔2013〕57</w:t>
      </w:r>
      <w:r>
        <w:rPr>
          <w:rFonts w:ascii="宋体" w:hAnsi="宋体" w:eastAsia="宋体" w:cs="宋体"/>
          <w:spacing w:val="-38"/>
          <w:sz w:val="20"/>
          <w:szCs w:val="20"/>
        </w:rPr>
        <w:t xml:space="preserve"> </w:t>
      </w:r>
      <w:r>
        <w:rPr>
          <w:rFonts w:ascii="宋体" w:hAnsi="宋体" w:eastAsia="宋体" w:cs="宋体"/>
          <w:spacing w:val="7"/>
          <w:sz w:val="20"/>
          <w:szCs w:val="20"/>
        </w:rPr>
        <w:t>号）。</w:t>
      </w:r>
    </w:p>
    <w:p>
      <w:pPr>
        <w:spacing w:before="122" w:line="277" w:lineRule="exact"/>
        <w:jc w:val="right"/>
        <w:rPr>
          <w:rFonts w:ascii="宋体" w:hAnsi="宋体" w:eastAsia="宋体" w:cs="宋体"/>
          <w:sz w:val="20"/>
          <w:szCs w:val="20"/>
        </w:rPr>
      </w:pPr>
      <w:r>
        <w:rPr>
          <w:rFonts w:ascii="宋体" w:hAnsi="宋体" w:eastAsia="宋体" w:cs="宋体"/>
          <w:spacing w:val="2"/>
          <w:position w:val="1"/>
          <w:sz w:val="20"/>
          <w:szCs w:val="20"/>
        </w:rPr>
        <w:t>4.</w:t>
      </w:r>
      <w:r>
        <w:rPr>
          <w:rFonts w:ascii="宋体" w:hAnsi="宋体" w:eastAsia="宋体" w:cs="宋体"/>
          <w:spacing w:val="-48"/>
          <w:position w:val="1"/>
          <w:sz w:val="20"/>
          <w:szCs w:val="20"/>
        </w:rPr>
        <w:t xml:space="preserve"> </w:t>
      </w:r>
      <w:r>
        <w:rPr>
          <w:rFonts w:ascii="宋体" w:hAnsi="宋体" w:eastAsia="宋体" w:cs="宋体"/>
          <w:spacing w:val="2"/>
          <w:position w:val="1"/>
          <w:sz w:val="20"/>
          <w:szCs w:val="20"/>
        </w:rPr>
        <w:t>《财政部</w:t>
      </w:r>
      <w:r>
        <w:rPr>
          <w:rFonts w:ascii="宋体" w:hAnsi="宋体" w:eastAsia="宋体" w:cs="宋体"/>
          <w:spacing w:val="33"/>
          <w:position w:val="1"/>
          <w:sz w:val="20"/>
          <w:szCs w:val="20"/>
        </w:rPr>
        <w:t xml:space="preserve"> </w:t>
      </w:r>
      <w:r>
        <w:rPr>
          <w:rFonts w:ascii="宋体" w:hAnsi="宋体" w:eastAsia="宋体" w:cs="宋体"/>
          <w:spacing w:val="2"/>
          <w:position w:val="1"/>
          <w:sz w:val="20"/>
          <w:szCs w:val="20"/>
        </w:rPr>
        <w:t>国家税务总局关于促进残疾人就业增值税优惠</w:t>
      </w:r>
      <w:r>
        <w:rPr>
          <w:rFonts w:ascii="宋体" w:hAnsi="宋体" w:eastAsia="宋体" w:cs="宋体"/>
          <w:spacing w:val="1"/>
          <w:position w:val="1"/>
          <w:sz w:val="20"/>
          <w:szCs w:val="20"/>
        </w:rPr>
        <w:t>政策的通知》（财税〔2016〕52</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号）。</w:t>
      </w:r>
    </w:p>
    <w:p>
      <w:pPr>
        <w:spacing w:before="121" w:line="313" w:lineRule="auto"/>
        <w:ind w:left="10" w:right="76" w:firstLine="419"/>
        <w:rPr>
          <w:rFonts w:ascii="宋体" w:hAnsi="宋体" w:eastAsia="宋体" w:cs="宋体"/>
          <w:sz w:val="20"/>
          <w:szCs w:val="20"/>
        </w:rPr>
      </w:pPr>
      <w:r>
        <w:rPr>
          <w:rFonts w:ascii="宋体" w:hAnsi="宋体" w:eastAsia="宋体" w:cs="宋体"/>
          <w:spacing w:val="4"/>
          <w:sz w:val="20"/>
          <w:szCs w:val="20"/>
        </w:rPr>
        <w:t>5.《财政部 税务总局关于明确无偿转让股票等增值税政策的公告》（财政部 税务总</w:t>
      </w:r>
      <w:r>
        <w:rPr>
          <w:rFonts w:ascii="宋体" w:hAnsi="宋体" w:eastAsia="宋体" w:cs="宋体"/>
          <w:spacing w:val="3"/>
          <w:sz w:val="20"/>
          <w:szCs w:val="20"/>
        </w:rPr>
        <w:t>局公告</w:t>
      </w:r>
      <w:r>
        <w:rPr>
          <w:rFonts w:ascii="宋体" w:hAnsi="宋体" w:eastAsia="宋体" w:cs="宋体"/>
          <w:spacing w:val="-39"/>
          <w:sz w:val="20"/>
          <w:szCs w:val="20"/>
        </w:rPr>
        <w:t xml:space="preserve"> </w:t>
      </w:r>
      <w:r>
        <w:rPr>
          <w:rFonts w:ascii="宋体" w:hAnsi="宋体" w:eastAsia="宋体" w:cs="宋体"/>
          <w:spacing w:val="3"/>
          <w:sz w:val="20"/>
          <w:szCs w:val="20"/>
        </w:rPr>
        <w:t>2020</w:t>
      </w:r>
      <w:r>
        <w:rPr>
          <w:rFonts w:ascii="宋体" w:hAnsi="宋体" w:eastAsia="宋体" w:cs="宋体"/>
          <w:spacing w:val="2"/>
          <w:sz w:val="20"/>
          <w:szCs w:val="20"/>
        </w:rPr>
        <w:t>年第</w:t>
      </w:r>
      <w:r>
        <w:rPr>
          <w:rFonts w:ascii="宋体" w:hAnsi="宋体" w:eastAsia="宋体" w:cs="宋体"/>
          <w:spacing w:val="-39"/>
          <w:sz w:val="20"/>
          <w:szCs w:val="20"/>
        </w:rPr>
        <w:t xml:space="preserve"> </w:t>
      </w:r>
      <w:r>
        <w:rPr>
          <w:rFonts w:ascii="宋体" w:hAnsi="宋体" w:eastAsia="宋体" w:cs="宋体"/>
          <w:spacing w:val="2"/>
          <w:sz w:val="20"/>
          <w:szCs w:val="20"/>
        </w:rPr>
        <w:t>40</w:t>
      </w:r>
      <w:r>
        <w:rPr>
          <w:rFonts w:ascii="宋体" w:hAnsi="宋体" w:eastAsia="宋体" w:cs="宋体"/>
          <w:spacing w:val="-40"/>
          <w:sz w:val="20"/>
          <w:szCs w:val="20"/>
        </w:rPr>
        <w:t xml:space="preserve"> </w:t>
      </w:r>
      <w:r>
        <w:rPr>
          <w:rFonts w:ascii="宋体" w:hAnsi="宋体" w:eastAsia="宋体" w:cs="宋体"/>
          <w:spacing w:val="2"/>
          <w:sz w:val="20"/>
          <w:szCs w:val="20"/>
        </w:rPr>
        <w:t>号）。</w:t>
      </w:r>
    </w:p>
    <w:p>
      <w:pPr>
        <w:spacing w:before="123" w:line="277" w:lineRule="exact"/>
        <w:jc w:val="right"/>
        <w:rPr>
          <w:rFonts w:ascii="宋体" w:hAnsi="宋体" w:eastAsia="宋体" w:cs="宋体"/>
          <w:sz w:val="20"/>
          <w:szCs w:val="20"/>
        </w:rPr>
      </w:pPr>
      <w:r>
        <w:rPr>
          <w:rFonts w:ascii="宋体" w:hAnsi="宋体" w:eastAsia="宋体" w:cs="宋体"/>
          <w:spacing w:val="6"/>
          <w:position w:val="1"/>
          <w:sz w:val="20"/>
          <w:szCs w:val="20"/>
        </w:rPr>
        <w:t>6.</w:t>
      </w:r>
      <w:r>
        <w:rPr>
          <w:rFonts w:ascii="宋体" w:hAnsi="宋体" w:eastAsia="宋体" w:cs="宋体"/>
          <w:spacing w:val="-20"/>
          <w:position w:val="1"/>
          <w:sz w:val="20"/>
          <w:szCs w:val="20"/>
        </w:rPr>
        <w:t xml:space="preserve"> </w:t>
      </w:r>
      <w:r>
        <w:rPr>
          <w:rFonts w:ascii="宋体" w:hAnsi="宋体" w:eastAsia="宋体" w:cs="宋体"/>
          <w:spacing w:val="6"/>
          <w:position w:val="1"/>
          <w:sz w:val="20"/>
          <w:szCs w:val="20"/>
        </w:rPr>
        <w:t>《财政部 税务总局关于集成电路企业增值税加计抵减政策的通知》（财税〔2023〕17</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号）。</w:t>
      </w:r>
    </w:p>
    <w:p>
      <w:pPr>
        <w:spacing w:before="120" w:line="277" w:lineRule="exact"/>
        <w:jc w:val="right"/>
        <w:rPr>
          <w:rFonts w:ascii="宋体" w:hAnsi="宋体" w:eastAsia="宋体" w:cs="宋体"/>
          <w:sz w:val="20"/>
          <w:szCs w:val="20"/>
        </w:rPr>
      </w:pPr>
      <w:r>
        <w:rPr>
          <w:rFonts w:ascii="宋体" w:hAnsi="宋体" w:eastAsia="宋体" w:cs="宋体"/>
          <w:spacing w:val="6"/>
          <w:position w:val="1"/>
          <w:sz w:val="20"/>
          <w:szCs w:val="20"/>
        </w:rPr>
        <w:t>7.</w:t>
      </w:r>
      <w:r>
        <w:rPr>
          <w:rFonts w:ascii="宋体" w:hAnsi="宋体" w:eastAsia="宋体" w:cs="宋体"/>
          <w:spacing w:val="-18"/>
          <w:position w:val="1"/>
          <w:sz w:val="20"/>
          <w:szCs w:val="20"/>
        </w:rPr>
        <w:t xml:space="preserve"> </w:t>
      </w:r>
      <w:r>
        <w:rPr>
          <w:rFonts w:ascii="宋体" w:hAnsi="宋体" w:eastAsia="宋体" w:cs="宋体"/>
          <w:spacing w:val="6"/>
          <w:position w:val="1"/>
          <w:sz w:val="20"/>
          <w:szCs w:val="20"/>
        </w:rPr>
        <w:t>《财政部 税务总局关于工业母机企业增值税加计抵减政策的通知》（财税〔2023〕25</w:t>
      </w:r>
      <w:r>
        <w:rPr>
          <w:rFonts w:ascii="宋体" w:hAnsi="宋体" w:eastAsia="宋体" w:cs="宋体"/>
          <w:spacing w:val="-42"/>
          <w:position w:val="1"/>
          <w:sz w:val="20"/>
          <w:szCs w:val="20"/>
        </w:rPr>
        <w:t xml:space="preserve"> </w:t>
      </w:r>
      <w:r>
        <w:rPr>
          <w:rFonts w:ascii="宋体" w:hAnsi="宋体" w:eastAsia="宋体" w:cs="宋体"/>
          <w:spacing w:val="6"/>
          <w:position w:val="1"/>
          <w:sz w:val="20"/>
          <w:szCs w:val="20"/>
        </w:rPr>
        <w:t>号）。</w:t>
      </w:r>
    </w:p>
    <w:p>
      <w:pPr>
        <w:spacing w:before="125" w:line="312" w:lineRule="auto"/>
        <w:ind w:left="10" w:right="76" w:firstLine="421"/>
        <w:rPr>
          <w:rFonts w:ascii="宋体" w:hAnsi="宋体" w:eastAsia="宋体" w:cs="宋体"/>
          <w:sz w:val="20"/>
          <w:szCs w:val="20"/>
        </w:rPr>
      </w:pPr>
      <w:r>
        <w:rPr>
          <w:rFonts w:ascii="宋体" w:hAnsi="宋体" w:eastAsia="宋体" w:cs="宋体"/>
          <w:spacing w:val="10"/>
          <w:sz w:val="20"/>
          <w:szCs w:val="20"/>
        </w:rPr>
        <w:t>8. 《财政部 税务总局退役军人事务部关于进一步扶持自主就业退役士兵创业就业有关税收政</w:t>
      </w:r>
      <w:r>
        <w:rPr>
          <w:rFonts w:ascii="宋体" w:hAnsi="宋体" w:eastAsia="宋体" w:cs="宋体"/>
          <w:spacing w:val="6"/>
          <w:sz w:val="20"/>
          <w:szCs w:val="20"/>
        </w:rPr>
        <w:t>策的公告》（财政部 税务总局 退役军人事务部公告</w:t>
      </w:r>
      <w:r>
        <w:rPr>
          <w:rFonts w:ascii="宋体" w:hAnsi="宋体" w:eastAsia="宋体" w:cs="宋体"/>
          <w:spacing w:val="-22"/>
          <w:sz w:val="20"/>
          <w:szCs w:val="20"/>
        </w:rPr>
        <w:t xml:space="preserve"> </w:t>
      </w:r>
      <w:r>
        <w:rPr>
          <w:rFonts w:ascii="宋体" w:hAnsi="宋体" w:eastAsia="宋体" w:cs="宋体"/>
          <w:spacing w:val="6"/>
          <w:sz w:val="20"/>
          <w:szCs w:val="20"/>
        </w:rPr>
        <w:t>2023</w:t>
      </w:r>
      <w:r>
        <w:rPr>
          <w:rFonts w:ascii="宋体" w:hAnsi="宋体" w:eastAsia="宋体" w:cs="宋体"/>
          <w:spacing w:val="-39"/>
          <w:sz w:val="20"/>
          <w:szCs w:val="20"/>
        </w:rPr>
        <w:t xml:space="preserve"> </w:t>
      </w:r>
      <w:r>
        <w:rPr>
          <w:rFonts w:ascii="宋体" w:hAnsi="宋体" w:eastAsia="宋体" w:cs="宋体"/>
          <w:spacing w:val="6"/>
          <w:sz w:val="20"/>
          <w:szCs w:val="20"/>
        </w:rPr>
        <w:t>年第</w:t>
      </w:r>
      <w:r>
        <w:rPr>
          <w:rFonts w:ascii="宋体" w:hAnsi="宋体" w:eastAsia="宋体" w:cs="宋体"/>
          <w:spacing w:val="-22"/>
          <w:sz w:val="20"/>
          <w:szCs w:val="20"/>
        </w:rPr>
        <w:t xml:space="preserve"> </w:t>
      </w:r>
      <w:r>
        <w:rPr>
          <w:rFonts w:ascii="宋体" w:hAnsi="宋体" w:eastAsia="宋体" w:cs="宋体"/>
          <w:spacing w:val="6"/>
          <w:sz w:val="20"/>
          <w:szCs w:val="20"/>
        </w:rPr>
        <w:t>14</w:t>
      </w:r>
      <w:r>
        <w:rPr>
          <w:rFonts w:ascii="宋体" w:hAnsi="宋体" w:eastAsia="宋体" w:cs="宋体"/>
          <w:spacing w:val="-40"/>
          <w:sz w:val="20"/>
          <w:szCs w:val="20"/>
        </w:rPr>
        <w:t xml:space="preserve"> </w:t>
      </w:r>
      <w:r>
        <w:rPr>
          <w:rFonts w:ascii="宋体" w:hAnsi="宋体" w:eastAsia="宋体" w:cs="宋体"/>
          <w:spacing w:val="6"/>
          <w:sz w:val="20"/>
          <w:szCs w:val="20"/>
        </w:rPr>
        <w:t>号）。</w:t>
      </w:r>
    </w:p>
    <w:p>
      <w:pPr>
        <w:spacing w:before="123" w:line="312" w:lineRule="auto"/>
        <w:ind w:left="6" w:right="76" w:firstLine="423"/>
        <w:rPr>
          <w:rFonts w:ascii="宋体" w:hAnsi="宋体" w:eastAsia="宋体" w:cs="宋体"/>
          <w:sz w:val="20"/>
          <w:szCs w:val="20"/>
        </w:rPr>
      </w:pPr>
      <w:r>
        <w:rPr>
          <w:rFonts w:ascii="宋体" w:hAnsi="宋体" w:eastAsia="宋体" w:cs="宋体"/>
          <w:spacing w:val="9"/>
          <w:sz w:val="20"/>
          <w:szCs w:val="20"/>
        </w:rPr>
        <w:t>9.</w:t>
      </w:r>
      <w:r>
        <w:rPr>
          <w:rFonts w:ascii="宋体" w:hAnsi="宋体" w:eastAsia="宋体" w:cs="宋体"/>
          <w:spacing w:val="-28"/>
          <w:sz w:val="20"/>
          <w:szCs w:val="20"/>
        </w:rPr>
        <w:t xml:space="preserve"> </w:t>
      </w:r>
      <w:r>
        <w:rPr>
          <w:rFonts w:ascii="宋体" w:hAnsi="宋体" w:eastAsia="宋体" w:cs="宋体"/>
          <w:spacing w:val="9"/>
          <w:sz w:val="20"/>
          <w:szCs w:val="20"/>
        </w:rPr>
        <w:t>《财政部 税务总局人力资源社会保障部 农</w:t>
      </w:r>
      <w:r>
        <w:rPr>
          <w:rFonts w:ascii="宋体" w:hAnsi="宋体" w:eastAsia="宋体" w:cs="宋体"/>
          <w:spacing w:val="8"/>
          <w:sz w:val="20"/>
          <w:szCs w:val="20"/>
        </w:rPr>
        <w:t>业农村部关于进一步支持重点群体创业就业有关</w:t>
      </w:r>
      <w:r>
        <w:rPr>
          <w:rFonts w:ascii="宋体" w:hAnsi="宋体" w:eastAsia="宋体" w:cs="宋体"/>
          <w:spacing w:val="7"/>
          <w:sz w:val="20"/>
          <w:szCs w:val="20"/>
        </w:rPr>
        <w:t>税收政策的公告》（财政部 税务总局 人力资源社会保障部 农业农村部公告</w:t>
      </w:r>
      <w:r>
        <w:rPr>
          <w:rFonts w:ascii="宋体" w:hAnsi="宋体" w:eastAsia="宋体" w:cs="宋体"/>
          <w:spacing w:val="-24"/>
          <w:sz w:val="20"/>
          <w:szCs w:val="20"/>
        </w:rPr>
        <w:t xml:space="preserve"> </w:t>
      </w:r>
      <w:r>
        <w:rPr>
          <w:rFonts w:ascii="宋体" w:hAnsi="宋体" w:eastAsia="宋体" w:cs="宋体"/>
          <w:spacing w:val="7"/>
          <w:sz w:val="20"/>
          <w:szCs w:val="20"/>
        </w:rPr>
        <w:t>2023</w:t>
      </w:r>
      <w:r>
        <w:rPr>
          <w:rFonts w:ascii="宋体" w:hAnsi="宋体" w:eastAsia="宋体" w:cs="宋体"/>
          <w:spacing w:val="-39"/>
          <w:sz w:val="20"/>
          <w:szCs w:val="20"/>
        </w:rPr>
        <w:t xml:space="preserve"> </w:t>
      </w:r>
      <w:r>
        <w:rPr>
          <w:rFonts w:ascii="宋体" w:hAnsi="宋体" w:eastAsia="宋体" w:cs="宋体"/>
          <w:spacing w:val="7"/>
          <w:sz w:val="20"/>
          <w:szCs w:val="20"/>
        </w:rPr>
        <w:t>年第</w:t>
      </w:r>
      <w:r>
        <w:rPr>
          <w:rFonts w:ascii="宋体" w:hAnsi="宋体" w:eastAsia="宋体" w:cs="宋体"/>
          <w:spacing w:val="-22"/>
          <w:sz w:val="20"/>
          <w:szCs w:val="20"/>
        </w:rPr>
        <w:t xml:space="preserve"> </w:t>
      </w:r>
      <w:r>
        <w:rPr>
          <w:rFonts w:ascii="宋体" w:hAnsi="宋体" w:eastAsia="宋体" w:cs="宋体"/>
          <w:spacing w:val="7"/>
          <w:sz w:val="20"/>
          <w:szCs w:val="20"/>
        </w:rPr>
        <w:t>15</w:t>
      </w:r>
      <w:r>
        <w:rPr>
          <w:rFonts w:ascii="宋体" w:hAnsi="宋体" w:eastAsia="宋体" w:cs="宋体"/>
          <w:spacing w:val="-40"/>
          <w:sz w:val="20"/>
          <w:szCs w:val="20"/>
        </w:rPr>
        <w:t xml:space="preserve"> </w:t>
      </w:r>
      <w:r>
        <w:rPr>
          <w:rFonts w:ascii="宋体" w:hAnsi="宋体" w:eastAsia="宋体" w:cs="宋体"/>
          <w:spacing w:val="7"/>
          <w:sz w:val="20"/>
          <w:szCs w:val="20"/>
        </w:rPr>
        <w:t>号）。</w:t>
      </w:r>
    </w:p>
    <w:p>
      <w:pPr>
        <w:spacing w:before="125" w:line="311" w:lineRule="auto"/>
        <w:ind w:left="6" w:right="76" w:firstLine="440"/>
        <w:rPr>
          <w:rFonts w:ascii="宋体" w:hAnsi="宋体" w:eastAsia="宋体" w:cs="宋体"/>
          <w:sz w:val="20"/>
          <w:szCs w:val="20"/>
        </w:rPr>
      </w:pPr>
      <w:r>
        <w:rPr>
          <w:rFonts w:ascii="宋体" w:hAnsi="宋体" w:eastAsia="宋体" w:cs="宋体"/>
          <w:spacing w:val="10"/>
          <w:sz w:val="20"/>
          <w:szCs w:val="20"/>
        </w:rPr>
        <w:t>10. 《财政部 税务总局关于民用航空发动机和民用</w:t>
      </w:r>
      <w:r>
        <w:rPr>
          <w:rFonts w:ascii="宋体" w:hAnsi="宋体" w:eastAsia="宋体" w:cs="宋体"/>
          <w:spacing w:val="9"/>
          <w:sz w:val="20"/>
          <w:szCs w:val="20"/>
        </w:rPr>
        <w:t>飞机税收政策的公告》（财政部 税务总局</w:t>
      </w:r>
      <w:r>
        <w:rPr>
          <w:rFonts w:ascii="宋体" w:hAnsi="宋体" w:eastAsia="宋体" w:cs="宋体"/>
          <w:spacing w:val="3"/>
          <w:sz w:val="20"/>
          <w:szCs w:val="20"/>
        </w:rPr>
        <w:t>公告</w:t>
      </w:r>
      <w:r>
        <w:rPr>
          <w:rFonts w:ascii="宋体" w:hAnsi="宋体" w:eastAsia="宋体" w:cs="宋体"/>
          <w:spacing w:val="-39"/>
          <w:sz w:val="20"/>
          <w:szCs w:val="20"/>
        </w:rPr>
        <w:t xml:space="preserve"> </w:t>
      </w:r>
      <w:r>
        <w:rPr>
          <w:rFonts w:ascii="宋体" w:hAnsi="宋体" w:eastAsia="宋体" w:cs="宋体"/>
          <w:spacing w:val="3"/>
          <w:sz w:val="20"/>
          <w:szCs w:val="20"/>
        </w:rPr>
        <w:t>2023</w:t>
      </w:r>
      <w:r>
        <w:rPr>
          <w:rFonts w:ascii="宋体" w:hAnsi="宋体" w:eastAsia="宋体" w:cs="宋体"/>
          <w:spacing w:val="-41"/>
          <w:sz w:val="20"/>
          <w:szCs w:val="20"/>
        </w:rPr>
        <w:t xml:space="preserve"> </w:t>
      </w:r>
      <w:r>
        <w:rPr>
          <w:rFonts w:ascii="宋体" w:hAnsi="宋体" w:eastAsia="宋体" w:cs="宋体"/>
          <w:spacing w:val="3"/>
          <w:sz w:val="20"/>
          <w:szCs w:val="20"/>
        </w:rPr>
        <w:t>年第</w:t>
      </w:r>
      <w:r>
        <w:rPr>
          <w:rFonts w:ascii="宋体" w:hAnsi="宋体" w:eastAsia="宋体" w:cs="宋体"/>
          <w:spacing w:val="-37"/>
          <w:sz w:val="20"/>
          <w:szCs w:val="20"/>
        </w:rPr>
        <w:t xml:space="preserve"> </w:t>
      </w:r>
      <w:r>
        <w:rPr>
          <w:rFonts w:ascii="宋体" w:hAnsi="宋体" w:eastAsia="宋体" w:cs="宋体"/>
          <w:spacing w:val="3"/>
          <w:sz w:val="20"/>
          <w:szCs w:val="20"/>
        </w:rPr>
        <w:t>27</w:t>
      </w:r>
      <w:r>
        <w:rPr>
          <w:rFonts w:ascii="宋体" w:hAnsi="宋体" w:eastAsia="宋体" w:cs="宋体"/>
          <w:spacing w:val="-42"/>
          <w:sz w:val="20"/>
          <w:szCs w:val="20"/>
        </w:rPr>
        <w:t xml:space="preserve"> </w:t>
      </w:r>
      <w:r>
        <w:rPr>
          <w:rFonts w:ascii="宋体" w:hAnsi="宋体" w:eastAsia="宋体" w:cs="宋体"/>
          <w:spacing w:val="3"/>
          <w:sz w:val="20"/>
          <w:szCs w:val="20"/>
        </w:rPr>
        <w:t>号）。</w:t>
      </w:r>
    </w:p>
    <w:p>
      <w:pPr>
        <w:spacing w:before="126" w:line="312" w:lineRule="auto"/>
        <w:ind w:left="6" w:right="76" w:firstLine="440"/>
        <w:rPr>
          <w:rFonts w:ascii="宋体" w:hAnsi="宋体" w:eastAsia="宋体" w:cs="宋体"/>
          <w:sz w:val="20"/>
          <w:szCs w:val="20"/>
        </w:rPr>
      </w:pPr>
      <w:r>
        <w:rPr>
          <w:rFonts w:ascii="宋体" w:hAnsi="宋体" w:eastAsia="宋体" w:cs="宋体"/>
          <w:spacing w:val="8"/>
          <w:sz w:val="20"/>
          <w:szCs w:val="20"/>
        </w:rPr>
        <w:t>11.</w:t>
      </w:r>
      <w:r>
        <w:rPr>
          <w:rFonts w:ascii="宋体" w:hAnsi="宋体" w:eastAsia="宋体" w:cs="宋体"/>
          <w:spacing w:val="-19"/>
          <w:sz w:val="20"/>
          <w:szCs w:val="20"/>
        </w:rPr>
        <w:t xml:space="preserve"> </w:t>
      </w:r>
      <w:r>
        <w:rPr>
          <w:rFonts w:ascii="宋体" w:hAnsi="宋体" w:eastAsia="宋体" w:cs="宋体"/>
          <w:spacing w:val="8"/>
          <w:sz w:val="20"/>
          <w:szCs w:val="20"/>
        </w:rPr>
        <w:t>《财政部 税务总局关于继续实施银行业金融机构、金融资产管理公司不良债权以</w:t>
      </w:r>
      <w:r>
        <w:rPr>
          <w:rFonts w:ascii="宋体" w:hAnsi="宋体" w:eastAsia="宋体" w:cs="宋体"/>
          <w:spacing w:val="7"/>
          <w:sz w:val="20"/>
          <w:szCs w:val="20"/>
        </w:rPr>
        <w:t>物抵债有</w:t>
      </w:r>
      <w:r>
        <w:rPr>
          <w:rFonts w:ascii="宋体" w:hAnsi="宋体" w:eastAsia="宋体" w:cs="宋体"/>
          <w:spacing w:val="9"/>
          <w:sz w:val="20"/>
          <w:szCs w:val="20"/>
        </w:rPr>
        <w:t>关税收政策的公告》（财政部 税务总局公告</w:t>
      </w:r>
      <w:r>
        <w:rPr>
          <w:rFonts w:ascii="宋体" w:hAnsi="宋体" w:eastAsia="宋体" w:cs="宋体"/>
          <w:spacing w:val="-42"/>
          <w:sz w:val="20"/>
          <w:szCs w:val="20"/>
        </w:rPr>
        <w:t xml:space="preserve"> </w:t>
      </w:r>
      <w:r>
        <w:rPr>
          <w:rFonts w:ascii="宋体" w:hAnsi="宋体" w:eastAsia="宋体" w:cs="宋体"/>
          <w:spacing w:val="9"/>
          <w:sz w:val="20"/>
          <w:szCs w:val="20"/>
        </w:rPr>
        <w:t>2023</w:t>
      </w:r>
      <w:r>
        <w:rPr>
          <w:rFonts w:ascii="宋体" w:hAnsi="宋体" w:eastAsia="宋体" w:cs="宋体"/>
          <w:spacing w:val="-38"/>
          <w:sz w:val="20"/>
          <w:szCs w:val="20"/>
        </w:rPr>
        <w:t xml:space="preserve"> </w:t>
      </w:r>
      <w:r>
        <w:rPr>
          <w:rFonts w:ascii="宋体" w:hAnsi="宋体" w:eastAsia="宋体" w:cs="宋体"/>
          <w:spacing w:val="9"/>
          <w:sz w:val="20"/>
          <w:szCs w:val="20"/>
        </w:rPr>
        <w:t>年第35</w:t>
      </w:r>
      <w:r>
        <w:rPr>
          <w:rFonts w:ascii="宋体" w:hAnsi="宋体" w:eastAsia="宋体" w:cs="宋体"/>
          <w:spacing w:val="-40"/>
          <w:sz w:val="20"/>
          <w:szCs w:val="20"/>
        </w:rPr>
        <w:t xml:space="preserve"> </w:t>
      </w:r>
      <w:r>
        <w:rPr>
          <w:rFonts w:ascii="宋体" w:hAnsi="宋体" w:eastAsia="宋体" w:cs="宋体"/>
          <w:spacing w:val="9"/>
          <w:sz w:val="20"/>
          <w:szCs w:val="20"/>
        </w:rPr>
        <w:t>号</w:t>
      </w:r>
      <w:r>
        <w:rPr>
          <w:rFonts w:ascii="宋体" w:hAnsi="宋体" w:eastAsia="宋体" w:cs="宋体"/>
          <w:spacing w:val="8"/>
          <w:sz w:val="20"/>
          <w:szCs w:val="20"/>
        </w:rPr>
        <w:t>）。</w:t>
      </w:r>
    </w:p>
    <w:p>
      <w:pPr>
        <w:spacing w:before="122" w:line="332" w:lineRule="auto"/>
        <w:ind w:left="8" w:right="76" w:firstLine="438"/>
        <w:rPr>
          <w:rFonts w:ascii="宋体" w:hAnsi="宋体" w:eastAsia="宋体" w:cs="宋体"/>
          <w:sz w:val="20"/>
          <w:szCs w:val="20"/>
        </w:rPr>
      </w:pPr>
      <w:r>
        <w:rPr>
          <w:rFonts w:ascii="宋体" w:hAnsi="宋体" w:eastAsia="宋体" w:cs="宋体"/>
          <w:spacing w:val="6"/>
          <w:sz w:val="20"/>
          <w:szCs w:val="20"/>
        </w:rPr>
        <w:t>12.</w:t>
      </w:r>
      <w:r>
        <w:rPr>
          <w:rFonts w:ascii="宋体" w:hAnsi="宋体" w:eastAsia="宋体" w:cs="宋体"/>
          <w:spacing w:val="-49"/>
          <w:sz w:val="20"/>
          <w:szCs w:val="20"/>
        </w:rPr>
        <w:t xml:space="preserve"> </w:t>
      </w:r>
      <w:r>
        <w:rPr>
          <w:rFonts w:ascii="宋体" w:hAnsi="宋体" w:eastAsia="宋体" w:cs="宋体"/>
          <w:spacing w:val="6"/>
          <w:sz w:val="20"/>
          <w:szCs w:val="20"/>
        </w:rPr>
        <w:t>《财政部 商务部 税务总局关于研发机构采购设备增值税政策的公告》（财政部 商务部 税</w:t>
      </w:r>
      <w:r>
        <w:rPr>
          <w:rFonts w:ascii="宋体" w:hAnsi="宋体" w:eastAsia="宋体" w:cs="宋体"/>
          <w:spacing w:val="12"/>
          <w:sz w:val="20"/>
          <w:szCs w:val="20"/>
        </w:rPr>
        <w:t>务总局公告</w:t>
      </w:r>
      <w:r>
        <w:rPr>
          <w:rFonts w:ascii="宋体" w:hAnsi="宋体" w:eastAsia="宋体" w:cs="宋体"/>
          <w:spacing w:val="-39"/>
          <w:sz w:val="20"/>
          <w:szCs w:val="20"/>
        </w:rPr>
        <w:t xml:space="preserve"> </w:t>
      </w:r>
      <w:r>
        <w:rPr>
          <w:rFonts w:ascii="宋体" w:hAnsi="宋体" w:eastAsia="宋体" w:cs="宋体"/>
          <w:spacing w:val="12"/>
          <w:sz w:val="20"/>
          <w:szCs w:val="20"/>
        </w:rPr>
        <w:t>2023</w:t>
      </w:r>
      <w:r>
        <w:rPr>
          <w:rFonts w:ascii="宋体" w:hAnsi="宋体" w:eastAsia="宋体" w:cs="宋体"/>
          <w:spacing w:val="-39"/>
          <w:sz w:val="20"/>
          <w:szCs w:val="20"/>
        </w:rPr>
        <w:t xml:space="preserve"> </w:t>
      </w:r>
      <w:r>
        <w:rPr>
          <w:rFonts w:ascii="宋体" w:hAnsi="宋体" w:eastAsia="宋体" w:cs="宋体"/>
          <w:spacing w:val="12"/>
          <w:sz w:val="20"/>
          <w:szCs w:val="20"/>
        </w:rPr>
        <w:t>年第41号）和《财政部</w:t>
      </w:r>
      <w:r>
        <w:rPr>
          <w:rFonts w:ascii="宋体" w:hAnsi="宋体" w:eastAsia="宋体" w:cs="宋体"/>
          <w:spacing w:val="11"/>
          <w:sz w:val="20"/>
          <w:szCs w:val="20"/>
        </w:rPr>
        <w:t xml:space="preserve"> 科技部 民政部 商务部 税务总局关于继续执行上海市浦</w:t>
      </w:r>
      <w:r>
        <w:rPr>
          <w:rFonts w:ascii="宋体" w:hAnsi="宋体" w:eastAsia="宋体" w:cs="宋体"/>
          <w:spacing w:val="9"/>
          <w:sz w:val="20"/>
          <w:szCs w:val="20"/>
        </w:rPr>
        <w:t>东新区有关研发机构适用采购设备增值税政</w:t>
      </w:r>
      <w:r>
        <w:rPr>
          <w:rFonts w:ascii="宋体" w:hAnsi="宋体" w:eastAsia="宋体" w:cs="宋体"/>
          <w:spacing w:val="8"/>
          <w:sz w:val="20"/>
          <w:szCs w:val="20"/>
        </w:rPr>
        <w:t>策资格认定事项的通知》（财税〔2023〕32</w:t>
      </w:r>
      <w:r>
        <w:rPr>
          <w:rFonts w:ascii="宋体" w:hAnsi="宋体" w:eastAsia="宋体" w:cs="宋体"/>
          <w:spacing w:val="-40"/>
          <w:sz w:val="20"/>
          <w:szCs w:val="20"/>
        </w:rPr>
        <w:t xml:space="preserve"> </w:t>
      </w:r>
      <w:r>
        <w:rPr>
          <w:rFonts w:ascii="宋体" w:hAnsi="宋体" w:eastAsia="宋体" w:cs="宋体"/>
          <w:spacing w:val="8"/>
          <w:sz w:val="20"/>
          <w:szCs w:val="20"/>
        </w:rPr>
        <w:t>号）。</w:t>
      </w:r>
    </w:p>
    <w:p>
      <w:pPr>
        <w:spacing w:before="122" w:line="312" w:lineRule="auto"/>
        <w:ind w:left="6" w:right="76" w:firstLine="440"/>
        <w:rPr>
          <w:rFonts w:ascii="宋体" w:hAnsi="宋体" w:eastAsia="宋体" w:cs="宋体"/>
          <w:sz w:val="20"/>
          <w:szCs w:val="20"/>
        </w:rPr>
      </w:pPr>
      <w:r>
        <w:rPr>
          <w:rFonts w:ascii="宋体" w:hAnsi="宋体" w:eastAsia="宋体" w:cs="宋体"/>
          <w:spacing w:val="10"/>
          <w:sz w:val="20"/>
          <w:szCs w:val="20"/>
        </w:rPr>
        <w:t>13. 《财政部 税务总局关于先进制造业企业增值税</w:t>
      </w:r>
      <w:r>
        <w:rPr>
          <w:rFonts w:ascii="宋体" w:hAnsi="宋体" w:eastAsia="宋体" w:cs="宋体"/>
          <w:spacing w:val="9"/>
          <w:sz w:val="20"/>
          <w:szCs w:val="20"/>
        </w:rPr>
        <w:t>加计抵减政策的公告》（财政部 税务总局</w:t>
      </w:r>
      <w:r>
        <w:rPr>
          <w:rFonts w:ascii="宋体" w:hAnsi="宋体" w:eastAsia="宋体" w:cs="宋体"/>
          <w:spacing w:val="3"/>
          <w:sz w:val="20"/>
          <w:szCs w:val="20"/>
        </w:rPr>
        <w:t>公告</w:t>
      </w:r>
      <w:r>
        <w:rPr>
          <w:rFonts w:ascii="宋体" w:hAnsi="宋体" w:eastAsia="宋体" w:cs="宋体"/>
          <w:spacing w:val="-36"/>
          <w:sz w:val="20"/>
          <w:szCs w:val="20"/>
        </w:rPr>
        <w:t xml:space="preserve"> </w:t>
      </w:r>
      <w:r>
        <w:rPr>
          <w:rFonts w:ascii="宋体" w:hAnsi="宋体" w:eastAsia="宋体" w:cs="宋体"/>
          <w:spacing w:val="3"/>
          <w:sz w:val="20"/>
          <w:szCs w:val="20"/>
        </w:rPr>
        <w:t>2023</w:t>
      </w:r>
      <w:r>
        <w:rPr>
          <w:rFonts w:ascii="宋体" w:hAnsi="宋体" w:eastAsia="宋体" w:cs="宋体"/>
          <w:spacing w:val="-41"/>
          <w:sz w:val="20"/>
          <w:szCs w:val="20"/>
        </w:rPr>
        <w:t xml:space="preserve"> </w:t>
      </w:r>
      <w:r>
        <w:rPr>
          <w:rFonts w:ascii="宋体" w:hAnsi="宋体" w:eastAsia="宋体" w:cs="宋体"/>
          <w:spacing w:val="3"/>
          <w:sz w:val="20"/>
          <w:szCs w:val="20"/>
        </w:rPr>
        <w:t>年第</w:t>
      </w:r>
      <w:r>
        <w:rPr>
          <w:rFonts w:ascii="宋体" w:hAnsi="宋体" w:eastAsia="宋体" w:cs="宋体"/>
          <w:spacing w:val="-40"/>
          <w:sz w:val="20"/>
          <w:szCs w:val="20"/>
        </w:rPr>
        <w:t xml:space="preserve"> </w:t>
      </w:r>
      <w:r>
        <w:rPr>
          <w:rFonts w:ascii="宋体" w:hAnsi="宋体" w:eastAsia="宋体" w:cs="宋体"/>
          <w:spacing w:val="3"/>
          <w:sz w:val="20"/>
          <w:szCs w:val="20"/>
        </w:rPr>
        <w:t>43</w:t>
      </w:r>
      <w:r>
        <w:rPr>
          <w:rFonts w:ascii="宋体" w:hAnsi="宋体" w:eastAsia="宋体" w:cs="宋体"/>
          <w:spacing w:val="-42"/>
          <w:sz w:val="20"/>
          <w:szCs w:val="20"/>
        </w:rPr>
        <w:t xml:space="preserve"> </w:t>
      </w:r>
      <w:r>
        <w:rPr>
          <w:rFonts w:ascii="宋体" w:hAnsi="宋体" w:eastAsia="宋体" w:cs="宋体"/>
          <w:spacing w:val="3"/>
          <w:sz w:val="20"/>
          <w:szCs w:val="20"/>
        </w:rPr>
        <w:t>号）。</w:t>
      </w:r>
    </w:p>
    <w:p>
      <w:pPr>
        <w:spacing w:before="125" w:line="331" w:lineRule="auto"/>
        <w:ind w:left="7" w:right="76" w:firstLine="439"/>
        <w:rPr>
          <w:rFonts w:ascii="宋体" w:hAnsi="宋体" w:eastAsia="宋体" w:cs="宋体"/>
          <w:sz w:val="20"/>
          <w:szCs w:val="20"/>
        </w:rPr>
      </w:pPr>
      <w:r>
        <w:rPr>
          <w:rFonts w:ascii="宋体" w:hAnsi="宋体" w:eastAsia="宋体" w:cs="宋体"/>
          <w:spacing w:val="10"/>
          <w:sz w:val="20"/>
          <w:szCs w:val="20"/>
        </w:rPr>
        <w:t>14. 《财政部 税务总局关于延续实施宣传文化增值</w:t>
      </w:r>
      <w:r>
        <w:rPr>
          <w:rFonts w:ascii="宋体" w:hAnsi="宋体" w:eastAsia="宋体" w:cs="宋体"/>
          <w:spacing w:val="9"/>
          <w:sz w:val="20"/>
          <w:szCs w:val="20"/>
        </w:rPr>
        <w:t>税优惠政策的公告》（财政部 税务总局公</w:t>
      </w:r>
      <w:r>
        <w:rPr>
          <w:rFonts w:ascii="宋体" w:hAnsi="宋体" w:eastAsia="宋体" w:cs="宋体"/>
          <w:spacing w:val="7"/>
          <w:sz w:val="20"/>
          <w:szCs w:val="20"/>
        </w:rPr>
        <w:t>告</w:t>
      </w:r>
      <w:r>
        <w:rPr>
          <w:rFonts w:ascii="宋体" w:hAnsi="宋体" w:eastAsia="宋体" w:cs="宋体"/>
          <w:spacing w:val="-39"/>
          <w:sz w:val="20"/>
          <w:szCs w:val="20"/>
        </w:rPr>
        <w:t xml:space="preserve"> </w:t>
      </w:r>
      <w:r>
        <w:rPr>
          <w:rFonts w:ascii="宋体" w:hAnsi="宋体" w:eastAsia="宋体" w:cs="宋体"/>
          <w:spacing w:val="7"/>
          <w:sz w:val="20"/>
          <w:szCs w:val="20"/>
        </w:rPr>
        <w:t>2023</w:t>
      </w:r>
      <w:r>
        <w:rPr>
          <w:rFonts w:ascii="宋体" w:hAnsi="宋体" w:eastAsia="宋体" w:cs="宋体"/>
          <w:spacing w:val="-39"/>
          <w:sz w:val="20"/>
          <w:szCs w:val="20"/>
        </w:rPr>
        <w:t xml:space="preserve"> </w:t>
      </w:r>
      <w:r>
        <w:rPr>
          <w:rFonts w:ascii="宋体" w:hAnsi="宋体" w:eastAsia="宋体" w:cs="宋体"/>
          <w:spacing w:val="7"/>
          <w:sz w:val="20"/>
          <w:szCs w:val="20"/>
        </w:rPr>
        <w:t>年第</w:t>
      </w:r>
      <w:r>
        <w:rPr>
          <w:rFonts w:ascii="宋体" w:hAnsi="宋体" w:eastAsia="宋体" w:cs="宋体"/>
          <w:spacing w:val="-38"/>
          <w:sz w:val="20"/>
          <w:szCs w:val="20"/>
        </w:rPr>
        <w:t xml:space="preserve"> </w:t>
      </w:r>
      <w:r>
        <w:rPr>
          <w:rFonts w:ascii="宋体" w:hAnsi="宋体" w:eastAsia="宋体" w:cs="宋体"/>
          <w:spacing w:val="7"/>
          <w:sz w:val="20"/>
          <w:szCs w:val="20"/>
        </w:rPr>
        <w:t>60</w:t>
      </w:r>
      <w:r>
        <w:rPr>
          <w:rFonts w:ascii="宋体" w:hAnsi="宋体" w:eastAsia="宋体" w:cs="宋体"/>
          <w:spacing w:val="-40"/>
          <w:sz w:val="20"/>
          <w:szCs w:val="20"/>
        </w:rPr>
        <w:t xml:space="preserve"> </w:t>
      </w:r>
      <w:r>
        <w:rPr>
          <w:rFonts w:ascii="宋体" w:hAnsi="宋体" w:eastAsia="宋体" w:cs="宋体"/>
          <w:spacing w:val="7"/>
          <w:sz w:val="20"/>
          <w:szCs w:val="20"/>
        </w:rPr>
        <w:t>号）和《财政部 税务总局关于更新宣传文化增值税优惠政策适用名单</w:t>
      </w:r>
      <w:r>
        <w:rPr>
          <w:rFonts w:ascii="宋体" w:hAnsi="宋体" w:eastAsia="宋体" w:cs="宋体"/>
          <w:spacing w:val="6"/>
          <w:sz w:val="20"/>
          <w:szCs w:val="20"/>
        </w:rPr>
        <w:t>的公告》（财</w:t>
      </w:r>
      <w:r>
        <w:rPr>
          <w:rFonts w:ascii="宋体" w:hAnsi="宋体" w:eastAsia="宋体" w:cs="宋体"/>
          <w:spacing w:val="7"/>
          <w:sz w:val="20"/>
          <w:szCs w:val="20"/>
        </w:rPr>
        <w:t>政部 税务总局公告</w:t>
      </w:r>
      <w:r>
        <w:rPr>
          <w:rFonts w:ascii="宋体" w:hAnsi="宋体" w:eastAsia="宋体" w:cs="宋体"/>
          <w:spacing w:val="-32"/>
          <w:sz w:val="20"/>
          <w:szCs w:val="20"/>
        </w:rPr>
        <w:t xml:space="preserve"> </w:t>
      </w:r>
      <w:r>
        <w:rPr>
          <w:rFonts w:ascii="宋体" w:hAnsi="宋体" w:eastAsia="宋体" w:cs="宋体"/>
          <w:spacing w:val="7"/>
          <w:sz w:val="20"/>
          <w:szCs w:val="20"/>
        </w:rPr>
        <w:t>2024</w:t>
      </w:r>
      <w:r>
        <w:rPr>
          <w:rFonts w:ascii="宋体" w:hAnsi="宋体" w:eastAsia="宋体" w:cs="宋体"/>
          <w:spacing w:val="-41"/>
          <w:sz w:val="20"/>
          <w:szCs w:val="20"/>
        </w:rPr>
        <w:t xml:space="preserve"> </w:t>
      </w:r>
      <w:r>
        <w:rPr>
          <w:rFonts w:ascii="宋体" w:hAnsi="宋体" w:eastAsia="宋体" w:cs="宋体"/>
          <w:spacing w:val="7"/>
          <w:sz w:val="20"/>
          <w:szCs w:val="20"/>
        </w:rPr>
        <w:t>年第</w:t>
      </w:r>
      <w:r>
        <w:rPr>
          <w:rFonts w:ascii="宋体" w:hAnsi="宋体" w:eastAsia="宋体" w:cs="宋体"/>
          <w:spacing w:val="-22"/>
          <w:sz w:val="20"/>
          <w:szCs w:val="20"/>
        </w:rPr>
        <w:t xml:space="preserve"> </w:t>
      </w:r>
      <w:r>
        <w:rPr>
          <w:rFonts w:ascii="宋体" w:hAnsi="宋体" w:eastAsia="宋体" w:cs="宋体"/>
          <w:spacing w:val="7"/>
          <w:sz w:val="20"/>
          <w:szCs w:val="20"/>
        </w:rPr>
        <w:t>11号）。</w:t>
      </w:r>
    </w:p>
    <w:p>
      <w:pPr>
        <w:spacing w:before="125" w:line="311" w:lineRule="auto"/>
        <w:ind w:left="9" w:right="76" w:firstLine="437"/>
        <w:rPr>
          <w:rFonts w:ascii="宋体" w:hAnsi="宋体" w:eastAsia="宋体" w:cs="宋体"/>
          <w:sz w:val="20"/>
          <w:szCs w:val="20"/>
        </w:rPr>
      </w:pPr>
      <w:r>
        <w:rPr>
          <w:rFonts w:ascii="宋体" w:hAnsi="宋体" w:eastAsia="宋体" w:cs="宋体"/>
          <w:spacing w:val="10"/>
          <w:sz w:val="20"/>
          <w:szCs w:val="20"/>
        </w:rPr>
        <w:t>15. 《财政部 税务总局关于延续实施支持文化企业</w:t>
      </w:r>
      <w:r>
        <w:rPr>
          <w:rFonts w:ascii="宋体" w:hAnsi="宋体" w:eastAsia="宋体" w:cs="宋体"/>
          <w:spacing w:val="9"/>
          <w:sz w:val="20"/>
          <w:szCs w:val="20"/>
        </w:rPr>
        <w:t>发展增值税政策的公告》（财政部 税务总</w:t>
      </w:r>
      <w:r>
        <w:rPr>
          <w:rFonts w:ascii="宋体" w:hAnsi="宋体" w:eastAsia="宋体" w:cs="宋体"/>
          <w:spacing w:val="3"/>
          <w:sz w:val="20"/>
          <w:szCs w:val="20"/>
        </w:rPr>
        <w:t>局公告</w:t>
      </w:r>
      <w:r>
        <w:rPr>
          <w:rFonts w:ascii="宋体" w:hAnsi="宋体" w:eastAsia="宋体" w:cs="宋体"/>
          <w:spacing w:val="-36"/>
          <w:sz w:val="20"/>
          <w:szCs w:val="20"/>
        </w:rPr>
        <w:t xml:space="preserve"> </w:t>
      </w:r>
      <w:r>
        <w:rPr>
          <w:rFonts w:ascii="宋体" w:hAnsi="宋体" w:eastAsia="宋体" w:cs="宋体"/>
          <w:spacing w:val="3"/>
          <w:sz w:val="20"/>
          <w:szCs w:val="20"/>
        </w:rPr>
        <w:t>2023</w:t>
      </w:r>
      <w:r>
        <w:rPr>
          <w:rFonts w:ascii="宋体" w:hAnsi="宋体" w:eastAsia="宋体" w:cs="宋体"/>
          <w:spacing w:val="-39"/>
          <w:sz w:val="20"/>
          <w:szCs w:val="20"/>
        </w:rPr>
        <w:t xml:space="preserve"> </w:t>
      </w:r>
      <w:r>
        <w:rPr>
          <w:rFonts w:ascii="宋体" w:hAnsi="宋体" w:eastAsia="宋体" w:cs="宋体"/>
          <w:spacing w:val="3"/>
          <w:sz w:val="20"/>
          <w:szCs w:val="20"/>
        </w:rPr>
        <w:t>年第</w:t>
      </w:r>
      <w:r>
        <w:rPr>
          <w:rFonts w:ascii="宋体" w:hAnsi="宋体" w:eastAsia="宋体" w:cs="宋体"/>
          <w:spacing w:val="-38"/>
          <w:sz w:val="20"/>
          <w:szCs w:val="20"/>
        </w:rPr>
        <w:t xml:space="preserve"> </w:t>
      </w:r>
      <w:r>
        <w:rPr>
          <w:rFonts w:ascii="宋体" w:hAnsi="宋体" w:eastAsia="宋体" w:cs="宋体"/>
          <w:spacing w:val="3"/>
          <w:sz w:val="20"/>
          <w:szCs w:val="20"/>
        </w:rPr>
        <w:t>61</w:t>
      </w:r>
      <w:r>
        <w:rPr>
          <w:rFonts w:ascii="宋体" w:hAnsi="宋体" w:eastAsia="宋体" w:cs="宋体"/>
          <w:spacing w:val="-40"/>
          <w:sz w:val="20"/>
          <w:szCs w:val="20"/>
        </w:rPr>
        <w:t xml:space="preserve"> </w:t>
      </w:r>
      <w:r>
        <w:rPr>
          <w:rFonts w:ascii="宋体" w:hAnsi="宋体" w:eastAsia="宋体" w:cs="宋体"/>
          <w:spacing w:val="3"/>
          <w:sz w:val="20"/>
          <w:szCs w:val="20"/>
        </w:rPr>
        <w:t>号）。</w:t>
      </w:r>
    </w:p>
    <w:p>
      <w:pPr>
        <w:spacing w:before="126" w:line="312" w:lineRule="auto"/>
        <w:ind w:left="6" w:right="76" w:firstLine="440"/>
        <w:rPr>
          <w:rFonts w:ascii="宋体" w:hAnsi="宋体" w:eastAsia="宋体" w:cs="宋体"/>
          <w:sz w:val="20"/>
          <w:szCs w:val="20"/>
        </w:rPr>
      </w:pPr>
      <w:r>
        <w:rPr>
          <w:rFonts w:ascii="宋体" w:hAnsi="宋体" w:eastAsia="宋体" w:cs="宋体"/>
          <w:spacing w:val="8"/>
          <w:sz w:val="20"/>
          <w:szCs w:val="20"/>
        </w:rPr>
        <w:t>16.</w:t>
      </w:r>
      <w:r>
        <w:rPr>
          <w:rFonts w:ascii="宋体" w:hAnsi="宋体" w:eastAsia="宋体" w:cs="宋体"/>
          <w:spacing w:val="-16"/>
          <w:sz w:val="20"/>
          <w:szCs w:val="20"/>
        </w:rPr>
        <w:t xml:space="preserve"> </w:t>
      </w:r>
      <w:r>
        <w:rPr>
          <w:rFonts w:ascii="宋体" w:hAnsi="宋体" w:eastAsia="宋体" w:cs="宋体"/>
          <w:spacing w:val="8"/>
          <w:sz w:val="20"/>
          <w:szCs w:val="20"/>
        </w:rPr>
        <w:t>《财政部 海关总署 税务总局关于调整风力发电等增值税</w:t>
      </w:r>
      <w:r>
        <w:rPr>
          <w:rFonts w:ascii="宋体" w:hAnsi="宋体" w:eastAsia="宋体" w:cs="宋体"/>
          <w:spacing w:val="7"/>
          <w:sz w:val="20"/>
          <w:szCs w:val="20"/>
        </w:rPr>
        <w:t>政策的公告》（财政部 海关总署</w:t>
      </w:r>
      <w:r>
        <w:rPr>
          <w:rFonts w:ascii="宋体" w:hAnsi="宋体" w:eastAsia="宋体" w:cs="宋体"/>
          <w:spacing w:val="5"/>
          <w:sz w:val="20"/>
          <w:szCs w:val="20"/>
        </w:rPr>
        <w:t>税务总局公告</w:t>
      </w:r>
      <w:r>
        <w:rPr>
          <w:rFonts w:ascii="宋体" w:hAnsi="宋体" w:eastAsia="宋体" w:cs="宋体"/>
          <w:spacing w:val="-37"/>
          <w:sz w:val="20"/>
          <w:szCs w:val="20"/>
        </w:rPr>
        <w:t xml:space="preserve"> </w:t>
      </w:r>
      <w:r>
        <w:rPr>
          <w:rFonts w:ascii="宋体" w:hAnsi="宋体" w:eastAsia="宋体" w:cs="宋体"/>
          <w:spacing w:val="5"/>
          <w:sz w:val="20"/>
          <w:szCs w:val="20"/>
        </w:rPr>
        <w:t>2025</w:t>
      </w:r>
      <w:r>
        <w:rPr>
          <w:rFonts w:ascii="宋体" w:hAnsi="宋体" w:eastAsia="宋体" w:cs="宋体"/>
          <w:spacing w:val="-41"/>
          <w:sz w:val="20"/>
          <w:szCs w:val="20"/>
        </w:rPr>
        <w:t xml:space="preserve"> </w:t>
      </w:r>
      <w:r>
        <w:rPr>
          <w:rFonts w:ascii="宋体" w:hAnsi="宋体" w:eastAsia="宋体" w:cs="宋体"/>
          <w:spacing w:val="5"/>
          <w:sz w:val="20"/>
          <w:szCs w:val="20"/>
        </w:rPr>
        <w:t>年第</w:t>
      </w:r>
      <w:r>
        <w:rPr>
          <w:rFonts w:ascii="宋体" w:hAnsi="宋体" w:eastAsia="宋体" w:cs="宋体"/>
          <w:spacing w:val="-20"/>
          <w:sz w:val="20"/>
          <w:szCs w:val="20"/>
        </w:rPr>
        <w:t xml:space="preserve"> </w:t>
      </w:r>
      <w:r>
        <w:rPr>
          <w:rFonts w:ascii="宋体" w:hAnsi="宋体" w:eastAsia="宋体" w:cs="宋体"/>
          <w:spacing w:val="5"/>
          <w:sz w:val="20"/>
          <w:szCs w:val="20"/>
        </w:rPr>
        <w:t>10</w:t>
      </w:r>
      <w:r>
        <w:rPr>
          <w:rFonts w:ascii="宋体" w:hAnsi="宋体" w:eastAsia="宋体" w:cs="宋体"/>
          <w:spacing w:val="-42"/>
          <w:sz w:val="20"/>
          <w:szCs w:val="20"/>
        </w:rPr>
        <w:t xml:space="preserve"> </w:t>
      </w:r>
      <w:r>
        <w:rPr>
          <w:rFonts w:ascii="宋体" w:hAnsi="宋体" w:eastAsia="宋体" w:cs="宋体"/>
          <w:spacing w:val="5"/>
          <w:sz w:val="20"/>
          <w:szCs w:val="20"/>
        </w:rPr>
        <w:t>号）第一条。</w:t>
      </w:r>
    </w:p>
    <w:p>
      <w:pPr>
        <w:spacing w:before="122" w:line="314" w:lineRule="auto"/>
        <w:ind w:left="10" w:right="76" w:firstLine="437"/>
        <w:rPr>
          <w:rFonts w:ascii="宋体" w:hAnsi="宋体" w:eastAsia="宋体" w:cs="宋体"/>
          <w:sz w:val="20"/>
          <w:szCs w:val="20"/>
        </w:rPr>
      </w:pPr>
      <w:r>
        <w:rPr>
          <w:rFonts w:ascii="宋体" w:hAnsi="宋体" w:eastAsia="宋体" w:cs="宋体"/>
          <w:spacing w:val="9"/>
          <w:sz w:val="20"/>
          <w:szCs w:val="20"/>
        </w:rPr>
        <w:t>17. 《财政部 税务总局关于黄金有关税收政策的公告》（财政部 税务总局公告</w:t>
      </w:r>
      <w:r>
        <w:rPr>
          <w:rFonts w:ascii="宋体" w:hAnsi="宋体" w:eastAsia="宋体" w:cs="宋体"/>
          <w:spacing w:val="-39"/>
          <w:sz w:val="20"/>
          <w:szCs w:val="20"/>
        </w:rPr>
        <w:t xml:space="preserve"> </w:t>
      </w:r>
      <w:r>
        <w:rPr>
          <w:rFonts w:ascii="宋体" w:hAnsi="宋体" w:eastAsia="宋体" w:cs="宋体"/>
          <w:spacing w:val="9"/>
          <w:sz w:val="20"/>
          <w:szCs w:val="20"/>
        </w:rPr>
        <w:t>2025</w:t>
      </w:r>
      <w:r>
        <w:rPr>
          <w:rFonts w:ascii="宋体" w:hAnsi="宋体" w:eastAsia="宋体" w:cs="宋体"/>
          <w:spacing w:val="-37"/>
          <w:sz w:val="20"/>
          <w:szCs w:val="20"/>
        </w:rPr>
        <w:t xml:space="preserve"> </w:t>
      </w:r>
      <w:r>
        <w:rPr>
          <w:rFonts w:ascii="宋体" w:hAnsi="宋体" w:eastAsia="宋体" w:cs="宋体"/>
          <w:spacing w:val="9"/>
          <w:sz w:val="20"/>
          <w:szCs w:val="20"/>
        </w:rPr>
        <w:t>年第</w:t>
      </w:r>
      <w:r>
        <w:rPr>
          <w:rFonts w:ascii="宋体" w:hAnsi="宋体" w:eastAsia="宋体" w:cs="宋体"/>
          <w:spacing w:val="-17"/>
          <w:sz w:val="20"/>
          <w:szCs w:val="20"/>
        </w:rPr>
        <w:t xml:space="preserve"> </w:t>
      </w:r>
      <w:r>
        <w:rPr>
          <w:rFonts w:ascii="宋体" w:hAnsi="宋体" w:eastAsia="宋体" w:cs="宋体"/>
          <w:spacing w:val="9"/>
          <w:sz w:val="20"/>
          <w:szCs w:val="20"/>
        </w:rPr>
        <w:t>11</w:t>
      </w:r>
      <w:r>
        <w:rPr>
          <w:rFonts w:ascii="宋体" w:hAnsi="宋体" w:eastAsia="宋体" w:cs="宋体"/>
          <w:spacing w:val="1"/>
          <w:sz w:val="20"/>
          <w:szCs w:val="20"/>
        </w:rPr>
        <w:t>号）。</w:t>
      </w:r>
    </w:p>
    <w:p>
      <w:pPr>
        <w:spacing w:before="121" w:line="368" w:lineRule="auto"/>
        <w:ind w:left="10" w:right="12" w:firstLine="409"/>
        <w:jc w:val="both"/>
        <w:rPr>
          <w:rFonts w:ascii="宋体" w:hAnsi="宋体" w:eastAsia="宋体" w:cs="宋体"/>
          <w:sz w:val="20"/>
          <w:szCs w:val="20"/>
        </w:rPr>
      </w:pPr>
      <w:r>
        <w:rPr>
          <w:rFonts w:ascii="宋体" w:hAnsi="宋体" w:eastAsia="宋体" w:cs="宋体"/>
          <w:spacing w:val="7"/>
          <w:sz w:val="20"/>
          <w:szCs w:val="20"/>
        </w:rPr>
        <w:t>（六）《财政部</w:t>
      </w:r>
      <w:r>
        <w:rPr>
          <w:rFonts w:ascii="宋体" w:hAnsi="宋体" w:eastAsia="宋体" w:cs="宋体"/>
          <w:spacing w:val="40"/>
          <w:sz w:val="20"/>
          <w:szCs w:val="20"/>
        </w:rPr>
        <w:t xml:space="preserve"> </w:t>
      </w:r>
      <w:r>
        <w:rPr>
          <w:rFonts w:ascii="宋体" w:hAnsi="宋体" w:eastAsia="宋体" w:cs="宋体"/>
          <w:spacing w:val="7"/>
          <w:sz w:val="20"/>
          <w:szCs w:val="20"/>
        </w:rPr>
        <w:t>国家税务总局关于全面推开营业税改征增值税试点的通知》（财税〔2016〕36</w:t>
      </w:r>
      <w:r>
        <w:rPr>
          <w:rFonts w:ascii="宋体" w:hAnsi="宋体" w:eastAsia="宋体" w:cs="宋体"/>
          <w:spacing w:val="6"/>
          <w:sz w:val="20"/>
          <w:szCs w:val="20"/>
        </w:rPr>
        <w:t>号）中附件</w:t>
      </w:r>
      <w:r>
        <w:rPr>
          <w:rFonts w:ascii="宋体" w:hAnsi="宋体" w:eastAsia="宋体" w:cs="宋体"/>
          <w:spacing w:val="-40"/>
          <w:sz w:val="20"/>
          <w:szCs w:val="20"/>
        </w:rPr>
        <w:t xml:space="preserve"> </w:t>
      </w:r>
      <w:r>
        <w:rPr>
          <w:rFonts w:ascii="宋体" w:hAnsi="宋体" w:eastAsia="宋体" w:cs="宋体"/>
          <w:spacing w:val="6"/>
          <w:sz w:val="20"/>
          <w:szCs w:val="20"/>
        </w:rPr>
        <w:t>2《营业税改征增值税试点有关事项的规定》“一般纳税人为甲供工程提</w:t>
      </w:r>
      <w:r>
        <w:rPr>
          <w:rFonts w:ascii="宋体" w:hAnsi="宋体" w:eastAsia="宋体" w:cs="宋体"/>
          <w:spacing w:val="5"/>
          <w:sz w:val="20"/>
          <w:szCs w:val="20"/>
        </w:rPr>
        <w:t>供的建筑服务 ，</w:t>
      </w:r>
      <w:r>
        <w:rPr>
          <w:rFonts w:ascii="宋体" w:hAnsi="宋体" w:eastAsia="宋体" w:cs="宋体"/>
          <w:spacing w:val="4"/>
          <w:sz w:val="20"/>
          <w:szCs w:val="20"/>
        </w:rPr>
        <w:t>可以选择适用简易计税方法计税”和《财政部 税务</w:t>
      </w:r>
      <w:r>
        <w:rPr>
          <w:rFonts w:ascii="宋体" w:hAnsi="宋体" w:eastAsia="宋体" w:cs="宋体"/>
          <w:spacing w:val="3"/>
          <w:sz w:val="20"/>
          <w:szCs w:val="20"/>
        </w:rPr>
        <w:t>总局关于建筑服务等营改增试点政策的通知》（财</w:t>
      </w:r>
    </w:p>
    <w:p>
      <w:pPr>
        <w:spacing w:line="368" w:lineRule="auto"/>
        <w:rPr>
          <w:rFonts w:ascii="宋体" w:hAnsi="宋体" w:eastAsia="宋体" w:cs="宋体"/>
          <w:sz w:val="20"/>
          <w:szCs w:val="20"/>
        </w:rPr>
        <w:sectPr>
          <w:footerReference r:id="rId290" w:type="default"/>
          <w:pgSz w:w="11900" w:h="16840"/>
          <w:pgMar w:top="400" w:right="1342" w:bottom="1184" w:left="1411" w:header="0" w:footer="869"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58" w:lineRule="auto"/>
        <w:ind w:firstLine="1"/>
        <w:jc w:val="both"/>
        <w:rPr>
          <w:rFonts w:ascii="宋体" w:hAnsi="宋体" w:eastAsia="宋体" w:cs="宋体"/>
          <w:sz w:val="20"/>
          <w:szCs w:val="20"/>
        </w:rPr>
      </w:pPr>
      <w:bookmarkStart w:id="201" w:name="bookmark194"/>
      <w:bookmarkEnd w:id="201"/>
      <w:r>
        <w:rPr>
          <w:rFonts w:ascii="宋体" w:hAnsi="宋体" w:eastAsia="宋体" w:cs="宋体"/>
          <w:spacing w:val="10"/>
          <w:sz w:val="20"/>
          <w:szCs w:val="20"/>
        </w:rPr>
        <w:t>税〔2017〕58</w:t>
      </w:r>
      <w:r>
        <w:rPr>
          <w:rFonts w:ascii="宋体" w:hAnsi="宋体" w:eastAsia="宋体" w:cs="宋体"/>
          <w:spacing w:val="-38"/>
          <w:sz w:val="20"/>
          <w:szCs w:val="20"/>
        </w:rPr>
        <w:t xml:space="preserve"> </w:t>
      </w:r>
      <w:r>
        <w:rPr>
          <w:rFonts w:ascii="宋体" w:hAnsi="宋体" w:eastAsia="宋体" w:cs="宋体"/>
          <w:spacing w:val="10"/>
          <w:sz w:val="20"/>
          <w:szCs w:val="20"/>
        </w:rPr>
        <w:t>号）</w:t>
      </w:r>
      <w:r>
        <w:rPr>
          <w:rFonts w:ascii="宋体" w:hAnsi="宋体" w:eastAsia="宋体" w:cs="宋体"/>
          <w:spacing w:val="-74"/>
          <w:sz w:val="20"/>
          <w:szCs w:val="20"/>
        </w:rPr>
        <w:t xml:space="preserve"> </w:t>
      </w:r>
      <w:r>
        <w:rPr>
          <w:rFonts w:ascii="宋体" w:hAnsi="宋体" w:eastAsia="宋体" w:cs="宋体"/>
          <w:spacing w:val="10"/>
          <w:sz w:val="20"/>
          <w:szCs w:val="20"/>
        </w:rPr>
        <w:t>“建筑工程总承包</w:t>
      </w:r>
      <w:r>
        <w:rPr>
          <w:rFonts w:ascii="宋体" w:hAnsi="宋体" w:eastAsia="宋体" w:cs="宋体"/>
          <w:spacing w:val="9"/>
          <w:sz w:val="20"/>
          <w:szCs w:val="20"/>
        </w:rPr>
        <w:t>单位为房屋建筑的地基与基础、主体结构提供工程服务</w:t>
      </w:r>
      <w:r>
        <w:rPr>
          <w:rFonts w:ascii="宋体" w:hAnsi="宋体" w:eastAsia="宋体" w:cs="宋体"/>
          <w:spacing w:val="49"/>
          <w:sz w:val="20"/>
          <w:szCs w:val="20"/>
        </w:rPr>
        <w:t xml:space="preserve"> </w:t>
      </w:r>
      <w:r>
        <w:rPr>
          <w:rFonts w:ascii="宋体" w:hAnsi="宋体" w:eastAsia="宋体" w:cs="宋体"/>
          <w:spacing w:val="9"/>
          <w:sz w:val="20"/>
          <w:szCs w:val="20"/>
        </w:rPr>
        <w:t>，建</w:t>
      </w:r>
      <w:r>
        <w:rPr>
          <w:rFonts w:ascii="宋体" w:hAnsi="宋体" w:eastAsia="宋体" w:cs="宋体"/>
          <w:spacing w:val="11"/>
          <w:sz w:val="20"/>
          <w:szCs w:val="20"/>
        </w:rPr>
        <w:t>设单位自行采购全部或部分钢材、混凝土、砌体材料、预制构件的，适用简</w:t>
      </w:r>
      <w:r>
        <w:rPr>
          <w:rFonts w:ascii="宋体" w:hAnsi="宋体" w:eastAsia="宋体" w:cs="宋体"/>
          <w:spacing w:val="10"/>
          <w:sz w:val="20"/>
          <w:szCs w:val="20"/>
        </w:rPr>
        <w:t>易计税方法计税”的规</w:t>
      </w:r>
      <w:r>
        <w:rPr>
          <w:rFonts w:ascii="宋体" w:hAnsi="宋体" w:eastAsia="宋体" w:cs="宋体"/>
          <w:spacing w:val="4"/>
          <w:sz w:val="20"/>
          <w:szCs w:val="20"/>
        </w:rPr>
        <w:t>定自</w:t>
      </w:r>
      <w:r>
        <w:rPr>
          <w:rFonts w:ascii="宋体" w:hAnsi="宋体" w:eastAsia="宋体" w:cs="宋体"/>
          <w:spacing w:val="-39"/>
          <w:sz w:val="20"/>
          <w:szCs w:val="20"/>
        </w:rPr>
        <w:t xml:space="preserve"> </w:t>
      </w:r>
      <w:r>
        <w:rPr>
          <w:rFonts w:ascii="宋体" w:hAnsi="宋体" w:eastAsia="宋体" w:cs="宋体"/>
          <w:spacing w:val="4"/>
          <w:sz w:val="20"/>
          <w:szCs w:val="20"/>
        </w:rPr>
        <w:t>2026</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2"/>
          <w:sz w:val="20"/>
          <w:szCs w:val="20"/>
        </w:rPr>
        <w:t xml:space="preserve"> </w:t>
      </w:r>
      <w:r>
        <w:rPr>
          <w:rFonts w:ascii="宋体" w:hAnsi="宋体" w:eastAsia="宋体" w:cs="宋体"/>
          <w:spacing w:val="4"/>
          <w:sz w:val="20"/>
          <w:szCs w:val="20"/>
        </w:rPr>
        <w:t>1 日起停止执行，纳税人在</w:t>
      </w:r>
      <w:r>
        <w:rPr>
          <w:rFonts w:ascii="宋体" w:hAnsi="宋体" w:eastAsia="宋体" w:cs="宋体"/>
          <w:spacing w:val="-39"/>
          <w:sz w:val="20"/>
          <w:szCs w:val="20"/>
        </w:rPr>
        <w:t xml:space="preserve"> </w:t>
      </w:r>
      <w:r>
        <w:rPr>
          <w:rFonts w:ascii="宋体" w:hAnsi="宋体" w:eastAsia="宋体" w:cs="宋体"/>
          <w:spacing w:val="4"/>
          <w:sz w:val="20"/>
          <w:szCs w:val="20"/>
        </w:rPr>
        <w:t>2026</w:t>
      </w:r>
      <w:r>
        <w:rPr>
          <w:rFonts w:ascii="宋体" w:hAnsi="宋体" w:eastAsia="宋体" w:cs="宋体"/>
          <w:spacing w:val="-39"/>
          <w:sz w:val="20"/>
          <w:szCs w:val="20"/>
        </w:rPr>
        <w:t xml:space="preserve"> </w:t>
      </w:r>
      <w:r>
        <w:rPr>
          <w:rFonts w:ascii="宋体" w:hAnsi="宋体" w:eastAsia="宋体" w:cs="宋体"/>
          <w:spacing w:val="4"/>
          <w:sz w:val="20"/>
          <w:szCs w:val="20"/>
        </w:rPr>
        <w:t>年</w:t>
      </w:r>
      <w:r>
        <w:rPr>
          <w:rFonts w:ascii="宋体" w:hAnsi="宋体" w:eastAsia="宋体" w:cs="宋体"/>
          <w:spacing w:val="-22"/>
          <w:sz w:val="20"/>
          <w:szCs w:val="20"/>
        </w:rPr>
        <w:t xml:space="preserve"> </w:t>
      </w:r>
      <w:r>
        <w:rPr>
          <w:rFonts w:ascii="宋体" w:hAnsi="宋体" w:eastAsia="宋体" w:cs="宋体"/>
          <w:spacing w:val="4"/>
          <w:sz w:val="20"/>
          <w:szCs w:val="20"/>
        </w:rPr>
        <w:t>1</w:t>
      </w:r>
      <w:r>
        <w:rPr>
          <w:rFonts w:ascii="宋体" w:hAnsi="宋体" w:eastAsia="宋体" w:cs="宋体"/>
          <w:spacing w:val="-38"/>
          <w:sz w:val="20"/>
          <w:szCs w:val="20"/>
        </w:rPr>
        <w:t xml:space="preserve"> </w:t>
      </w:r>
      <w:r>
        <w:rPr>
          <w:rFonts w:ascii="宋体" w:hAnsi="宋体" w:eastAsia="宋体" w:cs="宋体"/>
          <w:spacing w:val="4"/>
          <w:sz w:val="20"/>
          <w:szCs w:val="20"/>
        </w:rPr>
        <w:t>月</w:t>
      </w:r>
      <w:r>
        <w:rPr>
          <w:rFonts w:ascii="宋体" w:hAnsi="宋体" w:eastAsia="宋体" w:cs="宋体"/>
          <w:spacing w:val="-23"/>
          <w:sz w:val="20"/>
          <w:szCs w:val="20"/>
        </w:rPr>
        <w:t xml:space="preserve"> </w:t>
      </w:r>
      <w:r>
        <w:rPr>
          <w:rFonts w:ascii="宋体" w:hAnsi="宋体" w:eastAsia="宋体" w:cs="宋体"/>
          <w:spacing w:val="4"/>
          <w:sz w:val="20"/>
          <w:szCs w:val="20"/>
        </w:rPr>
        <w:t>1 日前已适用简易计</w:t>
      </w:r>
      <w:r>
        <w:rPr>
          <w:rFonts w:ascii="宋体" w:hAnsi="宋体" w:eastAsia="宋体" w:cs="宋体"/>
          <w:spacing w:val="3"/>
          <w:sz w:val="20"/>
          <w:szCs w:val="20"/>
        </w:rPr>
        <w:t>税方法的项目，继续</w:t>
      </w:r>
      <w:r>
        <w:rPr>
          <w:rFonts w:ascii="宋体" w:hAnsi="宋体" w:eastAsia="宋体" w:cs="宋体"/>
          <w:spacing w:val="8"/>
          <w:sz w:val="20"/>
          <w:szCs w:val="20"/>
        </w:rPr>
        <w:t>按照原政策规定执行。</w:t>
      </w:r>
    </w:p>
    <w:p>
      <w:pPr>
        <w:spacing w:before="49" w:line="368" w:lineRule="auto"/>
        <w:ind w:left="3" w:firstLine="420"/>
        <w:jc w:val="both"/>
        <w:rPr>
          <w:rFonts w:ascii="宋体" w:hAnsi="宋体" w:eastAsia="宋体" w:cs="宋体"/>
          <w:sz w:val="20"/>
          <w:szCs w:val="20"/>
        </w:rPr>
      </w:pPr>
      <w:r>
        <w:rPr>
          <w:rFonts w:ascii="宋体" w:hAnsi="宋体" w:eastAsia="宋体" w:cs="宋体"/>
          <w:b/>
          <w:bCs/>
          <w:spacing w:val="1"/>
          <w:sz w:val="20"/>
          <w:szCs w:val="20"/>
        </w:rPr>
        <w:t>六、本公告自</w:t>
      </w:r>
      <w:r>
        <w:rPr>
          <w:rFonts w:ascii="宋体" w:hAnsi="宋体" w:eastAsia="宋体" w:cs="宋体"/>
          <w:spacing w:val="-22"/>
          <w:sz w:val="20"/>
          <w:szCs w:val="20"/>
        </w:rPr>
        <w:t xml:space="preserve"> </w:t>
      </w:r>
      <w:r>
        <w:rPr>
          <w:rFonts w:ascii="宋体" w:hAnsi="宋体" w:eastAsia="宋体" w:cs="宋体"/>
          <w:b/>
          <w:bCs/>
          <w:spacing w:val="1"/>
          <w:sz w:val="20"/>
          <w:szCs w:val="20"/>
        </w:rPr>
        <w:t>2026</w:t>
      </w:r>
      <w:r>
        <w:rPr>
          <w:rFonts w:ascii="宋体" w:hAnsi="宋体" w:eastAsia="宋体" w:cs="宋体"/>
          <w:spacing w:val="-41"/>
          <w:sz w:val="20"/>
          <w:szCs w:val="20"/>
        </w:rPr>
        <w:t xml:space="preserve"> </w:t>
      </w:r>
      <w:r>
        <w:rPr>
          <w:rFonts w:ascii="宋体" w:hAnsi="宋体" w:eastAsia="宋体" w:cs="宋体"/>
          <w:b/>
          <w:bCs/>
          <w:spacing w:val="1"/>
          <w:sz w:val="20"/>
          <w:szCs w:val="20"/>
        </w:rPr>
        <w:t>年</w:t>
      </w:r>
      <w:r>
        <w:rPr>
          <w:rFonts w:ascii="宋体" w:hAnsi="宋体" w:eastAsia="宋体" w:cs="宋体"/>
          <w:spacing w:val="-22"/>
          <w:sz w:val="20"/>
          <w:szCs w:val="20"/>
        </w:rPr>
        <w:t xml:space="preserve"> </w:t>
      </w:r>
      <w:r>
        <w:rPr>
          <w:rFonts w:ascii="宋体" w:hAnsi="宋体" w:eastAsia="宋体" w:cs="宋体"/>
          <w:b/>
          <w:bCs/>
          <w:spacing w:val="1"/>
          <w:sz w:val="20"/>
          <w:szCs w:val="20"/>
        </w:rPr>
        <w:t>1</w:t>
      </w:r>
      <w:r>
        <w:rPr>
          <w:rFonts w:ascii="宋体" w:hAnsi="宋体" w:eastAsia="宋体" w:cs="宋体"/>
          <w:spacing w:val="-38"/>
          <w:sz w:val="20"/>
          <w:szCs w:val="20"/>
        </w:rPr>
        <w:t xml:space="preserve"> </w:t>
      </w:r>
      <w:r>
        <w:rPr>
          <w:rFonts w:ascii="宋体" w:hAnsi="宋体" w:eastAsia="宋体" w:cs="宋体"/>
          <w:b/>
          <w:bCs/>
          <w:spacing w:val="1"/>
          <w:sz w:val="20"/>
          <w:szCs w:val="20"/>
        </w:rPr>
        <w:t>月</w:t>
      </w:r>
      <w:r>
        <w:rPr>
          <w:rFonts w:ascii="宋体" w:hAnsi="宋体" w:eastAsia="宋体" w:cs="宋体"/>
          <w:spacing w:val="-23"/>
          <w:sz w:val="20"/>
          <w:szCs w:val="20"/>
        </w:rPr>
        <w:t xml:space="preserve"> </w:t>
      </w:r>
      <w:r>
        <w:rPr>
          <w:rFonts w:ascii="宋体" w:hAnsi="宋体" w:eastAsia="宋体" w:cs="宋体"/>
          <w:b/>
          <w:bCs/>
          <w:spacing w:val="1"/>
          <w:sz w:val="20"/>
          <w:szCs w:val="20"/>
        </w:rPr>
        <w:t>1</w:t>
      </w:r>
      <w:r>
        <w:rPr>
          <w:rFonts w:ascii="宋体" w:hAnsi="宋体" w:eastAsia="宋体" w:cs="宋体"/>
          <w:spacing w:val="1"/>
          <w:sz w:val="20"/>
          <w:szCs w:val="20"/>
        </w:rPr>
        <w:t xml:space="preserve"> </w:t>
      </w:r>
      <w:r>
        <w:rPr>
          <w:rFonts w:ascii="宋体" w:hAnsi="宋体" w:eastAsia="宋体" w:cs="宋体"/>
          <w:b/>
          <w:bCs/>
          <w:spacing w:val="1"/>
          <w:sz w:val="20"/>
          <w:szCs w:val="20"/>
        </w:rPr>
        <w:t>日起实施。</w:t>
      </w:r>
      <w:r>
        <w:rPr>
          <w:rFonts w:ascii="宋体" w:hAnsi="宋体" w:eastAsia="宋体" w:cs="宋体"/>
          <w:spacing w:val="1"/>
          <w:sz w:val="20"/>
          <w:szCs w:val="20"/>
        </w:rPr>
        <w:t>除本公告和增值税法、增值税法实施条例、《财政部 税</w:t>
      </w:r>
      <w:r>
        <w:rPr>
          <w:rFonts w:ascii="宋体" w:hAnsi="宋体" w:eastAsia="宋体" w:cs="宋体"/>
          <w:spacing w:val="5"/>
          <w:sz w:val="20"/>
          <w:szCs w:val="20"/>
        </w:rPr>
        <w:t>务总局关于个人销售住房增值税政策的公告》（财政部 税务总局公告</w:t>
      </w:r>
      <w:r>
        <w:rPr>
          <w:rFonts w:ascii="宋体" w:hAnsi="宋体" w:eastAsia="宋体" w:cs="宋体"/>
          <w:spacing w:val="-36"/>
          <w:sz w:val="20"/>
          <w:szCs w:val="20"/>
        </w:rPr>
        <w:t xml:space="preserve"> </w:t>
      </w:r>
      <w:r>
        <w:rPr>
          <w:rFonts w:ascii="宋体" w:hAnsi="宋体" w:eastAsia="宋体" w:cs="宋体"/>
          <w:spacing w:val="5"/>
          <w:sz w:val="20"/>
          <w:szCs w:val="20"/>
        </w:rPr>
        <w:t>2025</w:t>
      </w:r>
      <w:r>
        <w:rPr>
          <w:rFonts w:ascii="宋体" w:hAnsi="宋体" w:eastAsia="宋体" w:cs="宋体"/>
          <w:spacing w:val="-38"/>
          <w:sz w:val="20"/>
          <w:szCs w:val="20"/>
        </w:rPr>
        <w:t xml:space="preserve"> </w:t>
      </w:r>
      <w:r>
        <w:rPr>
          <w:rFonts w:ascii="宋体" w:hAnsi="宋体" w:eastAsia="宋体" w:cs="宋体"/>
          <w:spacing w:val="5"/>
          <w:sz w:val="20"/>
          <w:szCs w:val="20"/>
        </w:rPr>
        <w:t>年第</w:t>
      </w:r>
      <w:r>
        <w:rPr>
          <w:rFonts w:ascii="宋体" w:hAnsi="宋体" w:eastAsia="宋体" w:cs="宋体"/>
          <w:spacing w:val="-23"/>
          <w:sz w:val="20"/>
          <w:szCs w:val="20"/>
        </w:rPr>
        <w:t xml:space="preserve"> </w:t>
      </w:r>
      <w:r>
        <w:rPr>
          <w:rFonts w:ascii="宋体" w:hAnsi="宋体" w:eastAsia="宋体" w:cs="宋体"/>
          <w:spacing w:val="5"/>
          <w:sz w:val="20"/>
          <w:szCs w:val="20"/>
        </w:rPr>
        <w:t>17</w:t>
      </w:r>
      <w:r>
        <w:rPr>
          <w:rFonts w:ascii="宋体" w:hAnsi="宋体" w:eastAsia="宋体" w:cs="宋体"/>
          <w:spacing w:val="-42"/>
          <w:sz w:val="20"/>
          <w:szCs w:val="20"/>
        </w:rPr>
        <w:t xml:space="preserve"> </w:t>
      </w:r>
      <w:r>
        <w:rPr>
          <w:rFonts w:ascii="宋体" w:hAnsi="宋体" w:eastAsia="宋体" w:cs="宋体"/>
          <w:spacing w:val="5"/>
          <w:sz w:val="20"/>
          <w:szCs w:val="20"/>
        </w:rPr>
        <w:t>号）外，在</w:t>
      </w:r>
      <w:r>
        <w:rPr>
          <w:rFonts w:ascii="宋体" w:hAnsi="宋体" w:eastAsia="宋体" w:cs="宋体"/>
          <w:spacing w:val="-41"/>
          <w:sz w:val="20"/>
          <w:szCs w:val="20"/>
        </w:rPr>
        <w:t xml:space="preserve"> </w:t>
      </w:r>
      <w:r>
        <w:rPr>
          <w:rFonts w:ascii="宋体" w:hAnsi="宋体" w:eastAsia="宋体" w:cs="宋体"/>
          <w:spacing w:val="5"/>
          <w:sz w:val="20"/>
          <w:szCs w:val="20"/>
        </w:rPr>
        <w:t>2025</w:t>
      </w:r>
      <w:r>
        <w:rPr>
          <w:rFonts w:ascii="宋体" w:hAnsi="宋体" w:eastAsia="宋体" w:cs="宋体"/>
          <w:spacing w:val="8"/>
          <w:sz w:val="20"/>
          <w:szCs w:val="20"/>
        </w:rPr>
        <w:t>年</w:t>
      </w:r>
      <w:r>
        <w:rPr>
          <w:rFonts w:ascii="宋体" w:hAnsi="宋体" w:eastAsia="宋体" w:cs="宋体"/>
          <w:spacing w:val="-22"/>
          <w:sz w:val="20"/>
          <w:szCs w:val="20"/>
        </w:rPr>
        <w:t xml:space="preserve"> </w:t>
      </w:r>
      <w:r>
        <w:rPr>
          <w:rFonts w:ascii="宋体" w:hAnsi="宋体" w:eastAsia="宋体" w:cs="宋体"/>
          <w:spacing w:val="8"/>
          <w:sz w:val="20"/>
          <w:szCs w:val="20"/>
        </w:rPr>
        <w:t>12</w:t>
      </w:r>
      <w:r>
        <w:rPr>
          <w:rFonts w:ascii="宋体" w:hAnsi="宋体" w:eastAsia="宋体" w:cs="宋体"/>
          <w:spacing w:val="-41"/>
          <w:sz w:val="20"/>
          <w:szCs w:val="20"/>
        </w:rPr>
        <w:t xml:space="preserve"> </w:t>
      </w:r>
      <w:r>
        <w:rPr>
          <w:rFonts w:ascii="宋体" w:hAnsi="宋体" w:eastAsia="宋体" w:cs="宋体"/>
          <w:spacing w:val="8"/>
          <w:sz w:val="20"/>
          <w:szCs w:val="20"/>
        </w:rPr>
        <w:t>月31 日前制发文件规定的国内环节增值税</w:t>
      </w:r>
      <w:r>
        <w:rPr>
          <w:rFonts w:ascii="宋体" w:hAnsi="宋体" w:eastAsia="宋体" w:cs="宋体"/>
          <w:spacing w:val="7"/>
          <w:sz w:val="20"/>
          <w:szCs w:val="20"/>
        </w:rPr>
        <w:t>优惠政策同时停止执行。</w:t>
      </w:r>
    </w:p>
    <w:p>
      <w:pPr>
        <w:spacing w:before="9" w:line="215" w:lineRule="auto"/>
        <w:ind w:left="425"/>
        <w:rPr>
          <w:rFonts w:ascii="宋体" w:hAnsi="宋体" w:eastAsia="宋体" w:cs="宋体"/>
          <w:sz w:val="20"/>
          <w:szCs w:val="20"/>
        </w:rPr>
      </w:pPr>
      <w:r>
        <w:rPr>
          <w:rFonts w:ascii="宋体" w:hAnsi="宋体" w:eastAsia="宋体" w:cs="宋体"/>
          <w:spacing w:val="6"/>
          <w:sz w:val="20"/>
          <w:szCs w:val="20"/>
        </w:rPr>
        <w:t>特此公告。</w:t>
      </w:r>
    </w:p>
    <w:p>
      <w:pPr>
        <w:spacing w:line="248" w:lineRule="auto"/>
        <w:rPr>
          <w:rFonts w:ascii="Arial"/>
          <w:sz w:val="21"/>
        </w:rPr>
      </w:pPr>
    </w:p>
    <w:p>
      <w:pPr>
        <w:spacing w:line="249" w:lineRule="auto"/>
        <w:rPr>
          <w:rFonts w:ascii="Arial"/>
          <w:sz w:val="21"/>
        </w:rPr>
      </w:pPr>
    </w:p>
    <w:p>
      <w:pPr>
        <w:spacing w:before="65" w:line="219" w:lineRule="auto"/>
        <w:ind w:right="19"/>
        <w:jc w:val="right"/>
        <w:rPr>
          <w:rFonts w:ascii="宋体" w:hAnsi="宋体" w:eastAsia="宋体" w:cs="宋体"/>
          <w:sz w:val="20"/>
          <w:szCs w:val="20"/>
        </w:rPr>
      </w:pPr>
      <w:r>
        <w:rPr>
          <w:rFonts w:ascii="宋体" w:hAnsi="宋体" w:eastAsia="宋体" w:cs="宋体"/>
          <w:spacing w:val="8"/>
          <w:sz w:val="20"/>
          <w:szCs w:val="20"/>
        </w:rPr>
        <w:t>财政部 税务总局</w:t>
      </w:r>
    </w:p>
    <w:p>
      <w:pPr>
        <w:spacing w:before="158" w:line="278" w:lineRule="exact"/>
        <w:jc w:val="right"/>
        <w:rPr>
          <w:rFonts w:ascii="宋体" w:hAnsi="宋体" w:eastAsia="宋体" w:cs="宋体"/>
          <w:sz w:val="20"/>
          <w:szCs w:val="20"/>
        </w:rPr>
      </w:pPr>
      <w:r>
        <w:rPr>
          <w:rFonts w:ascii="宋体" w:hAnsi="宋体" w:eastAsia="宋体" w:cs="宋体"/>
          <w:spacing w:val="-4"/>
          <w:position w:val="1"/>
          <w:sz w:val="20"/>
          <w:szCs w:val="20"/>
        </w:rPr>
        <w:t>2026</w:t>
      </w:r>
      <w:r>
        <w:rPr>
          <w:rFonts w:ascii="宋体" w:hAnsi="宋体" w:eastAsia="宋体" w:cs="宋体"/>
          <w:spacing w:val="-42"/>
          <w:position w:val="1"/>
          <w:sz w:val="20"/>
          <w:szCs w:val="20"/>
        </w:rPr>
        <w:t xml:space="preserve"> </w:t>
      </w:r>
      <w:r>
        <w:rPr>
          <w:rFonts w:ascii="宋体" w:hAnsi="宋体" w:eastAsia="宋体" w:cs="宋体"/>
          <w:spacing w:val="-4"/>
          <w:position w:val="1"/>
          <w:sz w:val="20"/>
          <w:szCs w:val="20"/>
        </w:rPr>
        <w:t>年</w:t>
      </w:r>
      <w:r>
        <w:rPr>
          <w:rFonts w:ascii="宋体" w:hAnsi="宋体" w:eastAsia="宋体" w:cs="宋体"/>
          <w:spacing w:val="-22"/>
          <w:position w:val="1"/>
          <w:sz w:val="20"/>
          <w:szCs w:val="20"/>
        </w:rPr>
        <w:t xml:space="preserve"> </w:t>
      </w:r>
      <w:r>
        <w:rPr>
          <w:rFonts w:ascii="宋体" w:hAnsi="宋体" w:eastAsia="宋体" w:cs="宋体"/>
          <w:spacing w:val="-4"/>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4"/>
          <w:position w:val="1"/>
          <w:sz w:val="20"/>
          <w:szCs w:val="20"/>
        </w:rPr>
        <w:t>月</w:t>
      </w:r>
      <w:r>
        <w:rPr>
          <w:rFonts w:ascii="宋体" w:hAnsi="宋体" w:eastAsia="宋体" w:cs="宋体"/>
          <w:spacing w:val="-38"/>
          <w:position w:val="1"/>
          <w:sz w:val="20"/>
          <w:szCs w:val="20"/>
        </w:rPr>
        <w:t xml:space="preserve"> </w:t>
      </w:r>
      <w:r>
        <w:rPr>
          <w:rFonts w:ascii="宋体" w:hAnsi="宋体" w:eastAsia="宋体" w:cs="宋体"/>
          <w:spacing w:val="-4"/>
          <w:position w:val="1"/>
          <w:sz w:val="20"/>
          <w:szCs w:val="20"/>
        </w:rPr>
        <w:t>30 日</w:t>
      </w:r>
    </w:p>
    <w:p>
      <w:pPr>
        <w:spacing w:line="278" w:lineRule="exact"/>
        <w:rPr>
          <w:rFonts w:ascii="宋体" w:hAnsi="宋体" w:eastAsia="宋体" w:cs="宋体"/>
          <w:sz w:val="20"/>
          <w:szCs w:val="20"/>
        </w:rPr>
        <w:sectPr>
          <w:footerReference r:id="rId291" w:type="default"/>
          <w:pgSz w:w="11900" w:h="16840"/>
          <w:pgMar w:top="400" w:right="1418" w:bottom="1184" w:left="1416" w:header="0" w:footer="869"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2579"/>
        <w:outlineLvl w:val="0"/>
        <w:rPr>
          <w:rFonts w:ascii="方正小标宋简体" w:hAnsi="方正小标宋简体" w:eastAsia="方正小标宋简体" w:cs="方正小标宋简体"/>
          <w:sz w:val="35"/>
          <w:szCs w:val="35"/>
        </w:rPr>
      </w:pPr>
      <w:bookmarkStart w:id="202" w:name="bookmark195"/>
      <w:bookmarkEnd w:id="202"/>
      <w:bookmarkStart w:id="203" w:name="bookmark121"/>
      <w:bookmarkEnd w:id="203"/>
      <w:r>
        <w:rPr>
          <w:rFonts w:ascii="方正小标宋简体" w:hAnsi="方正小标宋简体" w:eastAsia="方正小标宋简体" w:cs="方正小标宋简体"/>
          <w:spacing w:val="8"/>
          <w:sz w:val="35"/>
          <w:szCs w:val="35"/>
        </w:rPr>
        <w:t>山东省住房和城乡建设厅</w:t>
      </w:r>
    </w:p>
    <w:p>
      <w:pPr>
        <w:spacing w:before="110" w:line="235" w:lineRule="auto"/>
        <w:ind w:left="400"/>
        <w:outlineLvl w:val="0"/>
        <w:rPr>
          <w:rFonts w:ascii="方正小标宋简体" w:hAnsi="方正小标宋简体" w:eastAsia="方正小标宋简体" w:cs="方正小标宋简体"/>
          <w:sz w:val="35"/>
          <w:szCs w:val="35"/>
        </w:rPr>
      </w:pPr>
      <w:bookmarkStart w:id="204" w:name="bookmark121"/>
      <w:bookmarkEnd w:id="204"/>
      <w:r>
        <w:rPr>
          <w:rFonts w:ascii="方正小标宋简体" w:hAnsi="方正小标宋简体" w:eastAsia="方正小标宋简体" w:cs="方正小标宋简体"/>
          <w:spacing w:val="10"/>
          <w:sz w:val="35"/>
          <w:szCs w:val="35"/>
        </w:rPr>
        <w:t>关于实施工程造价咨询企业信用等级动态评</w:t>
      </w:r>
      <w:r>
        <w:rPr>
          <w:rFonts w:ascii="方正小标宋简体" w:hAnsi="方正小标宋简体" w:eastAsia="方正小标宋简体" w:cs="方正小标宋简体"/>
          <w:spacing w:val="9"/>
          <w:sz w:val="35"/>
          <w:szCs w:val="35"/>
        </w:rPr>
        <w:t>价的通知</w:t>
      </w:r>
    </w:p>
    <w:p>
      <w:pPr>
        <w:spacing w:line="345" w:lineRule="auto"/>
        <w:rPr>
          <w:rFonts w:ascii="Arial"/>
          <w:sz w:val="21"/>
        </w:rPr>
      </w:pPr>
    </w:p>
    <w:p>
      <w:pPr>
        <w:spacing w:before="65" w:line="278" w:lineRule="exact"/>
        <w:ind w:left="8"/>
        <w:rPr>
          <w:rFonts w:ascii="宋体" w:hAnsi="宋体" w:eastAsia="宋体" w:cs="宋体"/>
          <w:sz w:val="20"/>
          <w:szCs w:val="20"/>
        </w:rPr>
      </w:pPr>
      <w:r>
        <w:rPr>
          <w:rFonts w:ascii="宋体" w:hAnsi="宋体" w:eastAsia="宋体" w:cs="宋体"/>
          <w:spacing w:val="9"/>
          <w:position w:val="1"/>
          <w:sz w:val="20"/>
          <w:szCs w:val="20"/>
        </w:rPr>
        <w:t>各市住房城乡建设局、各有关单位：</w:t>
      </w:r>
    </w:p>
    <w:p>
      <w:pPr>
        <w:spacing w:before="127" w:line="360" w:lineRule="auto"/>
        <w:ind w:left="7" w:firstLine="426"/>
        <w:jc w:val="both"/>
        <w:rPr>
          <w:rFonts w:ascii="宋体" w:hAnsi="宋体" w:eastAsia="宋体" w:cs="宋体"/>
          <w:sz w:val="20"/>
          <w:szCs w:val="20"/>
        </w:rPr>
      </w:pPr>
      <w:r>
        <w:rPr>
          <w:rFonts w:ascii="宋体" w:hAnsi="宋体" w:eastAsia="宋体" w:cs="宋体"/>
          <w:spacing w:val="11"/>
          <w:sz w:val="20"/>
          <w:szCs w:val="20"/>
        </w:rPr>
        <w:t>为推动建设全国统一大市场，引导工程造价咨询企业</w:t>
      </w:r>
      <w:r>
        <w:rPr>
          <w:rFonts w:ascii="宋体" w:hAnsi="宋体" w:eastAsia="宋体" w:cs="宋体"/>
          <w:spacing w:val="10"/>
          <w:sz w:val="20"/>
          <w:szCs w:val="20"/>
        </w:rPr>
        <w:t>及其从业人员提高诚信意识，营造公平竞</w:t>
      </w:r>
      <w:r>
        <w:rPr>
          <w:rFonts w:ascii="宋体" w:hAnsi="宋体" w:eastAsia="宋体" w:cs="宋体"/>
          <w:spacing w:val="7"/>
          <w:sz w:val="20"/>
          <w:szCs w:val="20"/>
        </w:rPr>
        <w:t>争、诚信守法的市场环境，根据《山东省工程造价咨询企业信用等级评价管理办法》规定，经研究，</w:t>
      </w:r>
      <w:r>
        <w:rPr>
          <w:rFonts w:ascii="宋体" w:hAnsi="宋体" w:eastAsia="宋体" w:cs="宋体"/>
          <w:spacing w:val="9"/>
          <w:sz w:val="20"/>
          <w:szCs w:val="20"/>
        </w:rPr>
        <w:t>决定在全省实施工程造价咨询企业信用等级动态评价，现将有关事项通知如下。</w:t>
      </w:r>
    </w:p>
    <w:p>
      <w:pPr>
        <w:spacing w:before="31" w:line="217" w:lineRule="auto"/>
        <w:ind w:left="429"/>
        <w:rPr>
          <w:rFonts w:ascii="宋体" w:hAnsi="宋体" w:eastAsia="宋体" w:cs="宋体"/>
          <w:sz w:val="20"/>
          <w:szCs w:val="20"/>
        </w:rPr>
      </w:pPr>
      <w:r>
        <w:rPr>
          <w:rFonts w:ascii="宋体" w:hAnsi="宋体" w:eastAsia="宋体" w:cs="宋体"/>
          <w:b/>
          <w:bCs/>
          <w:spacing w:val="7"/>
          <w:sz w:val="20"/>
          <w:szCs w:val="20"/>
        </w:rPr>
        <w:t>一、评价模式</w:t>
      </w:r>
    </w:p>
    <w:p>
      <w:pPr>
        <w:spacing w:before="162" w:line="369" w:lineRule="auto"/>
        <w:ind w:left="48" w:right="64" w:firstLine="380"/>
        <w:rPr>
          <w:rFonts w:ascii="宋体" w:hAnsi="宋体" w:eastAsia="宋体" w:cs="宋体"/>
          <w:sz w:val="20"/>
          <w:szCs w:val="20"/>
        </w:rPr>
      </w:pPr>
      <w:r>
        <w:rPr>
          <w:rFonts w:ascii="宋体" w:hAnsi="宋体" w:eastAsia="宋体" w:cs="宋体"/>
          <w:spacing w:val="11"/>
          <w:sz w:val="20"/>
          <w:szCs w:val="20"/>
        </w:rPr>
        <w:t>工程造价咨询企业信用等级采用动态评价模式，不统一规定评价</w:t>
      </w:r>
      <w:r>
        <w:rPr>
          <w:rFonts w:ascii="宋体" w:hAnsi="宋体" w:eastAsia="宋体" w:cs="宋体"/>
          <w:spacing w:val="10"/>
          <w:sz w:val="20"/>
          <w:szCs w:val="20"/>
        </w:rPr>
        <w:t>周期和申报时间，企业可根据</w:t>
      </w:r>
      <w:r>
        <w:rPr>
          <w:rFonts w:ascii="宋体" w:hAnsi="宋体" w:eastAsia="宋体" w:cs="宋体"/>
          <w:spacing w:val="4"/>
          <w:sz w:val="20"/>
          <w:szCs w:val="20"/>
        </w:rPr>
        <w:t>自身需求，</w:t>
      </w:r>
      <w:r>
        <w:rPr>
          <w:rFonts w:ascii="宋体" w:hAnsi="宋体" w:eastAsia="宋体" w:cs="宋体"/>
          <w:spacing w:val="-44"/>
          <w:sz w:val="20"/>
          <w:szCs w:val="20"/>
        </w:rPr>
        <w:t xml:space="preserve"> </w:t>
      </w:r>
      <w:r>
        <w:rPr>
          <w:rFonts w:ascii="宋体" w:hAnsi="宋体" w:eastAsia="宋体" w:cs="宋体"/>
          <w:spacing w:val="4"/>
          <w:sz w:val="20"/>
          <w:szCs w:val="20"/>
        </w:rPr>
        <w:t>自愿、随时参与信用等级评价。</w:t>
      </w:r>
    </w:p>
    <w:p>
      <w:pPr>
        <w:spacing w:before="2" w:line="218" w:lineRule="auto"/>
        <w:ind w:left="429"/>
        <w:rPr>
          <w:rFonts w:ascii="宋体" w:hAnsi="宋体" w:eastAsia="宋体" w:cs="宋体"/>
          <w:sz w:val="20"/>
          <w:szCs w:val="20"/>
        </w:rPr>
      </w:pPr>
      <w:r>
        <w:rPr>
          <w:rFonts w:ascii="宋体" w:hAnsi="宋体" w:eastAsia="宋体" w:cs="宋体"/>
          <w:b/>
          <w:bCs/>
          <w:spacing w:val="7"/>
          <w:sz w:val="20"/>
          <w:szCs w:val="20"/>
        </w:rPr>
        <w:t>二、评价对象</w:t>
      </w:r>
    </w:p>
    <w:p>
      <w:pPr>
        <w:spacing w:before="163" w:line="221" w:lineRule="auto"/>
        <w:ind w:left="444"/>
        <w:rPr>
          <w:rFonts w:ascii="宋体" w:hAnsi="宋体" w:eastAsia="宋体" w:cs="宋体"/>
          <w:sz w:val="20"/>
          <w:szCs w:val="20"/>
        </w:rPr>
      </w:pPr>
      <w:r>
        <w:rPr>
          <w:rFonts w:ascii="宋体" w:hAnsi="宋体" w:eastAsia="宋体" w:cs="宋体"/>
          <w:spacing w:val="9"/>
          <w:sz w:val="20"/>
          <w:szCs w:val="20"/>
        </w:rPr>
        <w:t>山东省行政区域内从事房屋建筑和市政基础设施工程造价咨询活动的企业。</w:t>
      </w:r>
    </w:p>
    <w:p>
      <w:pPr>
        <w:spacing w:before="159" w:line="220" w:lineRule="auto"/>
        <w:ind w:left="432"/>
        <w:rPr>
          <w:rFonts w:ascii="宋体" w:hAnsi="宋体" w:eastAsia="宋体" w:cs="宋体"/>
          <w:sz w:val="20"/>
          <w:szCs w:val="20"/>
        </w:rPr>
      </w:pPr>
      <w:r>
        <w:rPr>
          <w:rFonts w:ascii="宋体" w:hAnsi="宋体" w:eastAsia="宋体" w:cs="宋体"/>
          <w:b/>
          <w:bCs/>
          <w:spacing w:val="6"/>
          <w:sz w:val="20"/>
          <w:szCs w:val="20"/>
        </w:rPr>
        <w:t>三、评价依据</w:t>
      </w:r>
    </w:p>
    <w:p>
      <w:pPr>
        <w:spacing w:before="159" w:line="276" w:lineRule="exact"/>
        <w:ind w:left="420"/>
        <w:rPr>
          <w:rFonts w:ascii="宋体" w:hAnsi="宋体" w:eastAsia="宋体" w:cs="宋体"/>
          <w:sz w:val="20"/>
          <w:szCs w:val="20"/>
        </w:rPr>
      </w:pPr>
      <w:r>
        <w:rPr>
          <w:rFonts w:ascii="宋体" w:hAnsi="宋体" w:eastAsia="宋体" w:cs="宋体"/>
          <w:spacing w:val="9"/>
          <w:position w:val="1"/>
          <w:sz w:val="20"/>
          <w:szCs w:val="20"/>
        </w:rPr>
        <w:t>（一）《山东省工程造价咨询企业信用等级评价管理办</w:t>
      </w:r>
      <w:r>
        <w:rPr>
          <w:rFonts w:ascii="宋体" w:hAnsi="宋体" w:eastAsia="宋体" w:cs="宋体"/>
          <w:spacing w:val="8"/>
          <w:position w:val="1"/>
          <w:sz w:val="20"/>
          <w:szCs w:val="20"/>
        </w:rPr>
        <w:t>法》（鲁建标字〔2021〕39</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号）。</w:t>
      </w:r>
    </w:p>
    <w:p>
      <w:pPr>
        <w:spacing w:before="125" w:line="276" w:lineRule="exact"/>
        <w:ind w:left="420"/>
        <w:rPr>
          <w:rFonts w:ascii="宋体" w:hAnsi="宋体" w:eastAsia="宋体" w:cs="宋体"/>
          <w:sz w:val="20"/>
          <w:szCs w:val="20"/>
        </w:rPr>
      </w:pPr>
      <w:r>
        <w:rPr>
          <w:rFonts w:ascii="宋体" w:hAnsi="宋体" w:eastAsia="宋体" w:cs="宋体"/>
          <w:spacing w:val="7"/>
          <w:position w:val="1"/>
          <w:sz w:val="20"/>
          <w:szCs w:val="20"/>
        </w:rPr>
        <w:t>（二）《山东省工程造价咨询企业信用信息评分表（</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20</w:t>
      </w:r>
      <w:r>
        <w:rPr>
          <w:rFonts w:ascii="宋体" w:hAnsi="宋体" w:eastAsia="宋体" w:cs="宋体"/>
          <w:spacing w:val="6"/>
          <w:position w:val="1"/>
          <w:sz w:val="20"/>
          <w:szCs w:val="20"/>
        </w:rPr>
        <w:t>25</w:t>
      </w:r>
      <w:r>
        <w:rPr>
          <w:rFonts w:ascii="宋体" w:hAnsi="宋体" w:eastAsia="宋体" w:cs="宋体"/>
          <w:spacing w:val="-38"/>
          <w:position w:val="1"/>
          <w:sz w:val="20"/>
          <w:szCs w:val="20"/>
        </w:rPr>
        <w:t xml:space="preserve"> </w:t>
      </w:r>
      <w:r>
        <w:rPr>
          <w:rFonts w:ascii="宋体" w:hAnsi="宋体" w:eastAsia="宋体" w:cs="宋体"/>
          <w:spacing w:val="6"/>
          <w:position w:val="1"/>
          <w:sz w:val="20"/>
          <w:szCs w:val="20"/>
        </w:rPr>
        <w:t>版）</w:t>
      </w:r>
      <w:r>
        <w:rPr>
          <w:rFonts w:ascii="宋体" w:hAnsi="宋体" w:eastAsia="宋体" w:cs="宋体"/>
          <w:spacing w:val="-55"/>
          <w:position w:val="1"/>
          <w:sz w:val="20"/>
          <w:szCs w:val="20"/>
        </w:rPr>
        <w:t xml:space="preserve"> </w:t>
      </w:r>
      <w:r>
        <w:rPr>
          <w:rFonts w:ascii="宋体" w:hAnsi="宋体" w:eastAsia="宋体" w:cs="宋体"/>
          <w:spacing w:val="6"/>
          <w:position w:val="1"/>
          <w:sz w:val="20"/>
          <w:szCs w:val="20"/>
        </w:rPr>
        <w:t>》。</w:t>
      </w:r>
    </w:p>
    <w:p>
      <w:pPr>
        <w:spacing w:before="128" w:line="217" w:lineRule="auto"/>
        <w:ind w:left="450"/>
        <w:rPr>
          <w:rFonts w:ascii="宋体" w:hAnsi="宋体" w:eastAsia="宋体" w:cs="宋体"/>
          <w:sz w:val="20"/>
          <w:szCs w:val="20"/>
        </w:rPr>
      </w:pPr>
      <w:r>
        <w:rPr>
          <w:rFonts w:ascii="宋体" w:hAnsi="宋体" w:eastAsia="宋体" w:cs="宋体"/>
          <w:b/>
          <w:bCs/>
          <w:spacing w:val="3"/>
          <w:sz w:val="20"/>
          <w:szCs w:val="20"/>
        </w:rPr>
        <w:t>四、评价时效</w:t>
      </w:r>
    </w:p>
    <w:p>
      <w:pPr>
        <w:spacing w:before="163" w:line="369" w:lineRule="auto"/>
        <w:ind w:left="12" w:right="106" w:firstLine="416"/>
        <w:rPr>
          <w:rFonts w:ascii="宋体" w:hAnsi="宋体" w:eastAsia="宋体" w:cs="宋体"/>
          <w:sz w:val="20"/>
          <w:szCs w:val="20"/>
        </w:rPr>
      </w:pPr>
      <w:r>
        <w:rPr>
          <w:rFonts w:ascii="宋体" w:hAnsi="宋体" w:eastAsia="宋体" w:cs="宋体"/>
          <w:spacing w:val="10"/>
          <w:sz w:val="20"/>
          <w:szCs w:val="20"/>
        </w:rPr>
        <w:t>企业信用等级评价结果由评价系统根据企业当前有效的优良、不良</w:t>
      </w:r>
      <w:r>
        <w:rPr>
          <w:rFonts w:ascii="宋体" w:hAnsi="宋体" w:eastAsia="宋体" w:cs="宋体"/>
          <w:spacing w:val="9"/>
          <w:sz w:val="20"/>
          <w:szCs w:val="20"/>
        </w:rPr>
        <w:t>信息核定分数后计算生成，</w:t>
      </w:r>
      <w:r>
        <w:rPr>
          <w:rFonts w:ascii="宋体" w:hAnsi="宋体" w:eastAsia="宋体" w:cs="宋体"/>
          <w:spacing w:val="7"/>
          <w:sz w:val="20"/>
          <w:szCs w:val="20"/>
        </w:rPr>
        <w:t>每日定时刷新。</w:t>
      </w:r>
    </w:p>
    <w:p>
      <w:pPr>
        <w:spacing w:line="224" w:lineRule="auto"/>
        <w:ind w:right="3"/>
        <w:jc w:val="right"/>
        <w:rPr>
          <w:rFonts w:ascii="宋体" w:hAnsi="宋体" w:eastAsia="宋体" w:cs="宋体"/>
          <w:sz w:val="20"/>
          <w:szCs w:val="20"/>
        </w:rPr>
      </w:pPr>
      <w:r>
        <w:rPr>
          <w:rFonts w:ascii="宋体" w:hAnsi="宋体" w:eastAsia="宋体" w:cs="宋体"/>
          <w:spacing w:val="7"/>
          <w:sz w:val="20"/>
          <w:szCs w:val="20"/>
        </w:rPr>
        <w:t>企业优良、不</w:t>
      </w:r>
      <w:r>
        <w:rPr>
          <w:rFonts w:ascii="宋体" w:hAnsi="宋体" w:eastAsia="宋体" w:cs="宋体"/>
          <w:spacing w:val="41"/>
          <w:sz w:val="20"/>
          <w:szCs w:val="20"/>
        </w:rPr>
        <w:t xml:space="preserve"> </w:t>
      </w:r>
      <w:r>
        <w:rPr>
          <w:rFonts w:ascii="宋体" w:hAnsi="宋体" w:eastAsia="宋体" w:cs="宋体"/>
          <w:spacing w:val="7"/>
          <w:sz w:val="20"/>
          <w:szCs w:val="20"/>
        </w:rPr>
        <w:t>良信息自产生之日起计算。优</w:t>
      </w:r>
      <w:r>
        <w:rPr>
          <w:rFonts w:ascii="宋体" w:hAnsi="宋体" w:eastAsia="宋体" w:cs="宋体"/>
          <w:spacing w:val="38"/>
          <w:sz w:val="20"/>
          <w:szCs w:val="20"/>
        </w:rPr>
        <w:t xml:space="preserve"> </w:t>
      </w:r>
      <w:r>
        <w:rPr>
          <w:rFonts w:ascii="宋体" w:hAnsi="宋体" w:eastAsia="宋体" w:cs="宋体"/>
          <w:spacing w:val="7"/>
          <w:sz w:val="20"/>
          <w:szCs w:val="20"/>
        </w:rPr>
        <w:t>良、不</w:t>
      </w:r>
      <w:r>
        <w:rPr>
          <w:rFonts w:ascii="宋体" w:hAnsi="宋体" w:eastAsia="宋体" w:cs="宋体"/>
          <w:spacing w:val="41"/>
          <w:sz w:val="20"/>
          <w:szCs w:val="20"/>
        </w:rPr>
        <w:t xml:space="preserve"> </w:t>
      </w:r>
      <w:r>
        <w:rPr>
          <w:rFonts w:ascii="宋体" w:hAnsi="宋体" w:eastAsia="宋体" w:cs="宋体"/>
          <w:spacing w:val="7"/>
          <w:sz w:val="20"/>
          <w:szCs w:val="20"/>
        </w:rPr>
        <w:t>良信息有效期截止前，系统将进行提示。</w:t>
      </w:r>
    </w:p>
    <w:p>
      <w:pPr>
        <w:spacing w:before="159" w:line="219" w:lineRule="auto"/>
        <w:ind w:left="433"/>
        <w:rPr>
          <w:rFonts w:ascii="宋体" w:hAnsi="宋体" w:eastAsia="宋体" w:cs="宋体"/>
          <w:sz w:val="20"/>
          <w:szCs w:val="20"/>
        </w:rPr>
      </w:pPr>
      <w:r>
        <w:rPr>
          <w:rFonts w:ascii="宋体" w:hAnsi="宋体" w:eastAsia="宋体" w:cs="宋体"/>
          <w:b/>
          <w:bCs/>
          <w:spacing w:val="6"/>
          <w:sz w:val="20"/>
          <w:szCs w:val="20"/>
        </w:rPr>
        <w:t>五、评价程序</w:t>
      </w:r>
    </w:p>
    <w:p>
      <w:pPr>
        <w:spacing w:before="159" w:line="278" w:lineRule="exact"/>
        <w:ind w:left="420"/>
        <w:rPr>
          <w:rFonts w:ascii="宋体" w:hAnsi="宋体" w:eastAsia="宋体" w:cs="宋体"/>
          <w:sz w:val="20"/>
          <w:szCs w:val="20"/>
        </w:rPr>
      </w:pPr>
      <w:r>
        <w:rPr>
          <w:rFonts w:ascii="宋体" w:hAnsi="宋体" w:eastAsia="宋体" w:cs="宋体"/>
          <w:spacing w:val="10"/>
          <w:position w:val="1"/>
          <w:sz w:val="20"/>
          <w:szCs w:val="20"/>
        </w:rPr>
        <w:t>（一）企业申报</w:t>
      </w:r>
    </w:p>
    <w:p>
      <w:pPr>
        <w:spacing w:before="122" w:line="354" w:lineRule="auto"/>
        <w:ind w:right="64" w:firstLine="428"/>
        <w:jc w:val="both"/>
        <w:rPr>
          <w:rFonts w:ascii="宋体" w:hAnsi="宋体" w:eastAsia="宋体" w:cs="宋体"/>
          <w:sz w:val="20"/>
          <w:szCs w:val="20"/>
        </w:rPr>
      </w:pPr>
      <w:r>
        <w:rPr>
          <w:rFonts w:ascii="宋体" w:hAnsi="宋体" w:eastAsia="宋体" w:cs="宋体"/>
          <w:spacing w:val="2"/>
          <w:sz w:val="20"/>
          <w:szCs w:val="20"/>
        </w:rPr>
        <w:t>企</w:t>
      </w:r>
      <w:r>
        <w:rPr>
          <w:rFonts w:ascii="宋体" w:hAnsi="宋体" w:eastAsia="宋体" w:cs="宋体"/>
          <w:spacing w:val="82"/>
          <w:sz w:val="20"/>
          <w:szCs w:val="20"/>
        </w:rPr>
        <w:t xml:space="preserve"> </w:t>
      </w:r>
      <w:r>
        <w:rPr>
          <w:rFonts w:ascii="宋体" w:hAnsi="宋体" w:eastAsia="宋体" w:cs="宋体"/>
          <w:spacing w:val="2"/>
          <w:sz w:val="20"/>
          <w:szCs w:val="20"/>
        </w:rPr>
        <w:t>业</w:t>
      </w:r>
      <w:r>
        <w:rPr>
          <w:rFonts w:ascii="宋体" w:hAnsi="宋体" w:eastAsia="宋体" w:cs="宋体"/>
          <w:spacing w:val="84"/>
          <w:sz w:val="20"/>
          <w:szCs w:val="20"/>
        </w:rPr>
        <w:t xml:space="preserve"> </w:t>
      </w:r>
      <w:r>
        <w:rPr>
          <w:rFonts w:ascii="宋体" w:hAnsi="宋体" w:eastAsia="宋体" w:cs="宋体"/>
          <w:spacing w:val="2"/>
          <w:sz w:val="20"/>
          <w:szCs w:val="20"/>
        </w:rPr>
        <w:t>注</w:t>
      </w:r>
      <w:r>
        <w:rPr>
          <w:rFonts w:ascii="宋体" w:hAnsi="宋体" w:eastAsia="宋体" w:cs="宋体"/>
          <w:spacing w:val="80"/>
          <w:sz w:val="20"/>
          <w:szCs w:val="20"/>
        </w:rPr>
        <w:t xml:space="preserve"> </w:t>
      </w:r>
      <w:r>
        <w:rPr>
          <w:rFonts w:ascii="宋体" w:hAnsi="宋体" w:eastAsia="宋体" w:cs="宋体"/>
          <w:spacing w:val="2"/>
          <w:sz w:val="20"/>
          <w:szCs w:val="20"/>
        </w:rPr>
        <w:t>册</w:t>
      </w:r>
      <w:r>
        <w:rPr>
          <w:rFonts w:ascii="宋体" w:hAnsi="宋体" w:eastAsia="宋体" w:cs="宋体"/>
          <w:spacing w:val="76"/>
          <w:sz w:val="20"/>
          <w:szCs w:val="20"/>
        </w:rPr>
        <w:t xml:space="preserve"> </w:t>
      </w:r>
      <w:r>
        <w:rPr>
          <w:rFonts w:ascii="宋体" w:hAnsi="宋体" w:eastAsia="宋体" w:cs="宋体"/>
          <w:spacing w:val="2"/>
          <w:sz w:val="20"/>
          <w:szCs w:val="20"/>
        </w:rPr>
        <w:t>登</w:t>
      </w:r>
      <w:r>
        <w:rPr>
          <w:rFonts w:ascii="宋体" w:hAnsi="宋体" w:eastAsia="宋体" w:cs="宋体"/>
          <w:spacing w:val="90"/>
          <w:sz w:val="20"/>
          <w:szCs w:val="20"/>
        </w:rPr>
        <w:t xml:space="preserve"> </w:t>
      </w:r>
      <w:r>
        <w:rPr>
          <w:rFonts w:ascii="宋体" w:hAnsi="宋体" w:eastAsia="宋体" w:cs="宋体"/>
          <w:spacing w:val="2"/>
          <w:sz w:val="20"/>
          <w:szCs w:val="20"/>
        </w:rPr>
        <w:t>录</w:t>
      </w:r>
      <w:r>
        <w:rPr>
          <w:rFonts w:ascii="宋体" w:hAnsi="宋体" w:eastAsia="宋体" w:cs="宋体"/>
          <w:spacing w:val="95"/>
          <w:sz w:val="20"/>
          <w:szCs w:val="20"/>
        </w:rPr>
        <w:t xml:space="preserve"> </w:t>
      </w:r>
      <w:r>
        <w:rPr>
          <w:rFonts w:ascii="宋体" w:hAnsi="宋体" w:eastAsia="宋体" w:cs="宋体"/>
          <w:spacing w:val="2"/>
          <w:sz w:val="20"/>
          <w:szCs w:val="20"/>
        </w:rPr>
        <w:t>山</w:t>
      </w:r>
      <w:r>
        <w:rPr>
          <w:rFonts w:ascii="宋体" w:hAnsi="宋体" w:eastAsia="宋体" w:cs="宋体"/>
          <w:spacing w:val="80"/>
          <w:sz w:val="20"/>
          <w:szCs w:val="20"/>
        </w:rPr>
        <w:t xml:space="preserve"> </w:t>
      </w:r>
      <w:r>
        <w:rPr>
          <w:rFonts w:ascii="宋体" w:hAnsi="宋体" w:eastAsia="宋体" w:cs="宋体"/>
          <w:spacing w:val="2"/>
          <w:sz w:val="20"/>
          <w:szCs w:val="20"/>
        </w:rPr>
        <w:t>东</w:t>
      </w:r>
      <w:r>
        <w:rPr>
          <w:rFonts w:ascii="宋体" w:hAnsi="宋体" w:eastAsia="宋体" w:cs="宋体"/>
          <w:spacing w:val="78"/>
          <w:sz w:val="20"/>
          <w:szCs w:val="20"/>
        </w:rPr>
        <w:t xml:space="preserve"> </w:t>
      </w:r>
      <w:r>
        <w:rPr>
          <w:rFonts w:ascii="宋体" w:hAnsi="宋体" w:eastAsia="宋体" w:cs="宋体"/>
          <w:spacing w:val="2"/>
          <w:sz w:val="20"/>
          <w:szCs w:val="20"/>
        </w:rPr>
        <w:t>省</w:t>
      </w:r>
      <w:r>
        <w:rPr>
          <w:rFonts w:ascii="宋体" w:hAnsi="宋体" w:eastAsia="宋体" w:cs="宋体"/>
          <w:spacing w:val="80"/>
          <w:sz w:val="20"/>
          <w:szCs w:val="20"/>
        </w:rPr>
        <w:t xml:space="preserve"> </w:t>
      </w:r>
      <w:r>
        <w:rPr>
          <w:rFonts w:ascii="宋体" w:hAnsi="宋体" w:eastAsia="宋体" w:cs="宋体"/>
          <w:spacing w:val="2"/>
          <w:sz w:val="20"/>
          <w:szCs w:val="20"/>
        </w:rPr>
        <w:t>建</w:t>
      </w:r>
      <w:r>
        <w:rPr>
          <w:rFonts w:ascii="宋体" w:hAnsi="宋体" w:eastAsia="宋体" w:cs="宋体"/>
          <w:spacing w:val="80"/>
          <w:sz w:val="20"/>
          <w:szCs w:val="20"/>
        </w:rPr>
        <w:t xml:space="preserve"> </w:t>
      </w:r>
      <w:r>
        <w:rPr>
          <w:rFonts w:ascii="宋体" w:hAnsi="宋体" w:eastAsia="宋体" w:cs="宋体"/>
          <w:spacing w:val="2"/>
          <w:sz w:val="20"/>
          <w:szCs w:val="20"/>
        </w:rPr>
        <w:t>筑</w:t>
      </w:r>
      <w:r>
        <w:rPr>
          <w:rFonts w:ascii="宋体" w:hAnsi="宋体" w:eastAsia="宋体" w:cs="宋体"/>
          <w:spacing w:val="79"/>
          <w:sz w:val="20"/>
          <w:szCs w:val="20"/>
        </w:rPr>
        <w:t xml:space="preserve"> </w:t>
      </w:r>
      <w:r>
        <w:rPr>
          <w:rFonts w:ascii="宋体" w:hAnsi="宋体" w:eastAsia="宋体" w:cs="宋体"/>
          <w:spacing w:val="2"/>
          <w:sz w:val="20"/>
          <w:szCs w:val="20"/>
        </w:rPr>
        <w:t>市</w:t>
      </w:r>
      <w:r>
        <w:rPr>
          <w:rFonts w:ascii="宋体" w:hAnsi="宋体" w:eastAsia="宋体" w:cs="宋体"/>
          <w:spacing w:val="79"/>
          <w:sz w:val="20"/>
          <w:szCs w:val="20"/>
        </w:rPr>
        <w:t xml:space="preserve"> </w:t>
      </w:r>
      <w:r>
        <w:rPr>
          <w:rFonts w:ascii="宋体" w:hAnsi="宋体" w:eastAsia="宋体" w:cs="宋体"/>
          <w:spacing w:val="2"/>
          <w:sz w:val="20"/>
          <w:szCs w:val="20"/>
        </w:rPr>
        <w:t>场</w:t>
      </w:r>
      <w:r>
        <w:rPr>
          <w:rFonts w:ascii="宋体" w:hAnsi="宋体" w:eastAsia="宋体" w:cs="宋体"/>
          <w:spacing w:val="79"/>
          <w:sz w:val="20"/>
          <w:szCs w:val="20"/>
        </w:rPr>
        <w:t xml:space="preserve"> </w:t>
      </w:r>
      <w:r>
        <w:rPr>
          <w:rFonts w:ascii="宋体" w:hAnsi="宋体" w:eastAsia="宋体" w:cs="宋体"/>
          <w:spacing w:val="2"/>
          <w:sz w:val="20"/>
          <w:szCs w:val="20"/>
        </w:rPr>
        <w:t>监</w:t>
      </w:r>
      <w:r>
        <w:rPr>
          <w:rFonts w:ascii="宋体" w:hAnsi="宋体" w:eastAsia="宋体" w:cs="宋体"/>
          <w:spacing w:val="81"/>
          <w:sz w:val="20"/>
          <w:szCs w:val="20"/>
        </w:rPr>
        <w:t xml:space="preserve"> </w:t>
      </w:r>
      <w:r>
        <w:rPr>
          <w:rFonts w:ascii="宋体" w:hAnsi="宋体" w:eastAsia="宋体" w:cs="宋体"/>
          <w:spacing w:val="2"/>
          <w:sz w:val="20"/>
          <w:szCs w:val="20"/>
        </w:rPr>
        <w:t>管</w:t>
      </w:r>
      <w:r>
        <w:rPr>
          <w:rFonts w:ascii="宋体" w:hAnsi="宋体" w:eastAsia="宋体" w:cs="宋体"/>
          <w:spacing w:val="85"/>
          <w:sz w:val="20"/>
          <w:szCs w:val="20"/>
        </w:rPr>
        <w:t xml:space="preserve"> </w:t>
      </w:r>
      <w:r>
        <w:rPr>
          <w:rFonts w:ascii="宋体" w:hAnsi="宋体" w:eastAsia="宋体" w:cs="宋体"/>
          <w:spacing w:val="2"/>
          <w:sz w:val="20"/>
          <w:szCs w:val="20"/>
        </w:rPr>
        <w:t>与</w:t>
      </w:r>
      <w:r>
        <w:rPr>
          <w:rFonts w:ascii="宋体" w:hAnsi="宋体" w:eastAsia="宋体" w:cs="宋体"/>
          <w:spacing w:val="78"/>
          <w:sz w:val="20"/>
          <w:szCs w:val="20"/>
        </w:rPr>
        <w:t xml:space="preserve"> </w:t>
      </w:r>
      <w:r>
        <w:rPr>
          <w:rFonts w:ascii="宋体" w:hAnsi="宋体" w:eastAsia="宋体" w:cs="宋体"/>
          <w:spacing w:val="2"/>
          <w:sz w:val="20"/>
          <w:szCs w:val="20"/>
        </w:rPr>
        <w:t>诚</w:t>
      </w:r>
      <w:r>
        <w:rPr>
          <w:rFonts w:ascii="宋体" w:hAnsi="宋体" w:eastAsia="宋体" w:cs="宋体"/>
          <w:spacing w:val="77"/>
          <w:sz w:val="20"/>
          <w:szCs w:val="20"/>
        </w:rPr>
        <w:t xml:space="preserve"> </w:t>
      </w:r>
      <w:r>
        <w:rPr>
          <w:rFonts w:ascii="宋体" w:hAnsi="宋体" w:eastAsia="宋体" w:cs="宋体"/>
          <w:spacing w:val="2"/>
          <w:sz w:val="20"/>
          <w:szCs w:val="20"/>
        </w:rPr>
        <w:t>信</w:t>
      </w:r>
      <w:r>
        <w:rPr>
          <w:rFonts w:ascii="宋体" w:hAnsi="宋体" w:eastAsia="宋体" w:cs="宋体"/>
          <w:spacing w:val="80"/>
          <w:sz w:val="20"/>
          <w:szCs w:val="20"/>
        </w:rPr>
        <w:t xml:space="preserve"> </w:t>
      </w:r>
      <w:r>
        <w:rPr>
          <w:rFonts w:ascii="宋体" w:hAnsi="宋体" w:eastAsia="宋体" w:cs="宋体"/>
          <w:spacing w:val="2"/>
          <w:sz w:val="20"/>
          <w:szCs w:val="20"/>
        </w:rPr>
        <w:t>一</w:t>
      </w:r>
      <w:r>
        <w:rPr>
          <w:rFonts w:ascii="宋体" w:hAnsi="宋体" w:eastAsia="宋体" w:cs="宋体"/>
          <w:spacing w:val="79"/>
          <w:sz w:val="20"/>
          <w:szCs w:val="20"/>
        </w:rPr>
        <w:t xml:space="preserve"> </w:t>
      </w:r>
      <w:r>
        <w:rPr>
          <w:rFonts w:ascii="宋体" w:hAnsi="宋体" w:eastAsia="宋体" w:cs="宋体"/>
          <w:spacing w:val="2"/>
          <w:sz w:val="20"/>
          <w:szCs w:val="20"/>
        </w:rPr>
        <w:t>体</w:t>
      </w:r>
      <w:r>
        <w:rPr>
          <w:rFonts w:ascii="宋体" w:hAnsi="宋体" w:eastAsia="宋体" w:cs="宋体"/>
          <w:spacing w:val="80"/>
          <w:sz w:val="20"/>
          <w:szCs w:val="20"/>
        </w:rPr>
        <w:t xml:space="preserve"> </w:t>
      </w:r>
      <w:r>
        <w:rPr>
          <w:rFonts w:ascii="宋体" w:hAnsi="宋体" w:eastAsia="宋体" w:cs="宋体"/>
          <w:spacing w:val="2"/>
          <w:sz w:val="20"/>
          <w:szCs w:val="20"/>
        </w:rPr>
        <w:t>化</w:t>
      </w:r>
      <w:r>
        <w:rPr>
          <w:rFonts w:ascii="宋体" w:hAnsi="宋体" w:eastAsia="宋体" w:cs="宋体"/>
          <w:spacing w:val="76"/>
          <w:sz w:val="20"/>
          <w:szCs w:val="20"/>
        </w:rPr>
        <w:t xml:space="preserve"> </w:t>
      </w:r>
      <w:r>
        <w:rPr>
          <w:rFonts w:ascii="宋体" w:hAnsi="宋体" w:eastAsia="宋体" w:cs="宋体"/>
          <w:spacing w:val="2"/>
          <w:sz w:val="20"/>
          <w:szCs w:val="20"/>
        </w:rPr>
        <w:t>平</w:t>
      </w:r>
      <w:r>
        <w:rPr>
          <w:rFonts w:ascii="宋体" w:hAnsi="宋体" w:eastAsia="宋体" w:cs="宋体"/>
          <w:spacing w:val="95"/>
          <w:sz w:val="20"/>
          <w:szCs w:val="20"/>
        </w:rPr>
        <w:t xml:space="preserve"> </w:t>
      </w:r>
      <w:r>
        <w:rPr>
          <w:rFonts w:ascii="宋体" w:hAnsi="宋体" w:eastAsia="宋体" w:cs="宋体"/>
          <w:spacing w:val="2"/>
          <w:sz w:val="20"/>
          <w:szCs w:val="20"/>
        </w:rPr>
        <w:t>台</w:t>
      </w:r>
      <w:r>
        <w:rPr>
          <w:rFonts w:ascii="宋体" w:hAnsi="宋体" w:eastAsia="宋体" w:cs="宋体"/>
          <w:spacing w:val="-2"/>
          <w:sz w:val="20"/>
          <w:szCs w:val="20"/>
        </w:rPr>
        <w:t>（</w:t>
      </w:r>
      <w:r>
        <w:fldChar w:fldCharType="begin"/>
      </w:r>
      <w:r>
        <w:instrText xml:space="preserve"> HYPERLINK "http://221.214.94.40:81/DJGHY_SD/login_shandong.aspx" </w:instrText>
      </w:r>
      <w:r>
        <w:fldChar w:fldCharType="separate"/>
      </w:r>
      <w:r>
        <w:rPr>
          <w:rFonts w:ascii="宋体" w:hAnsi="宋体" w:eastAsia="宋体" w:cs="宋体"/>
          <w:spacing w:val="-2"/>
          <w:sz w:val="20"/>
          <w:szCs w:val="20"/>
        </w:rPr>
        <w:t>http://221.214.94.40:81/DJGH</w:t>
      </w:r>
      <w:r>
        <w:rPr>
          <w:rFonts w:ascii="宋体" w:hAnsi="宋体" w:eastAsia="宋体" w:cs="宋体"/>
          <w:spacing w:val="-3"/>
          <w:sz w:val="20"/>
          <w:szCs w:val="20"/>
        </w:rPr>
        <w:t>Y_SD/login_shandong.aspx</w:t>
      </w:r>
      <w:r>
        <w:rPr>
          <w:rFonts w:ascii="宋体" w:hAnsi="宋体" w:eastAsia="宋体" w:cs="宋体"/>
          <w:spacing w:val="-3"/>
          <w:sz w:val="20"/>
          <w:szCs w:val="20"/>
        </w:rPr>
        <w:fldChar w:fldCharType="end"/>
      </w:r>
      <w:r>
        <w:rPr>
          <w:rFonts w:ascii="宋体" w:hAnsi="宋体" w:eastAsia="宋体" w:cs="宋体"/>
          <w:spacing w:val="3"/>
          <w:sz w:val="20"/>
          <w:szCs w:val="20"/>
        </w:rPr>
        <w:t>），</w:t>
      </w:r>
      <w:r>
        <w:rPr>
          <w:rFonts w:ascii="宋体" w:hAnsi="宋体" w:eastAsia="宋体" w:cs="宋体"/>
          <w:spacing w:val="-3"/>
          <w:sz w:val="20"/>
          <w:szCs w:val="20"/>
        </w:rPr>
        <w:t>进入信用等级评价页面</w:t>
      </w:r>
      <w:r>
        <w:rPr>
          <w:rFonts w:ascii="宋体" w:hAnsi="宋体" w:eastAsia="宋体" w:cs="宋体"/>
          <w:spacing w:val="-57"/>
          <w:sz w:val="20"/>
          <w:szCs w:val="20"/>
        </w:rPr>
        <w:t xml:space="preserve"> </w:t>
      </w:r>
      <w:r>
        <w:rPr>
          <w:rFonts w:ascii="宋体" w:hAnsi="宋体" w:eastAsia="宋体" w:cs="宋体"/>
          <w:spacing w:val="-3"/>
          <w:sz w:val="20"/>
          <w:szCs w:val="20"/>
        </w:rPr>
        <w:t>，提交《造价咨</w:t>
      </w:r>
      <w:r>
        <w:rPr>
          <w:rFonts w:ascii="宋体" w:hAnsi="宋体" w:eastAsia="宋体" w:cs="宋体"/>
          <w:spacing w:val="10"/>
          <w:sz w:val="20"/>
          <w:szCs w:val="20"/>
        </w:rPr>
        <w:t>询企业申报材料真实性承诺书》</w:t>
      </w:r>
      <w:r>
        <w:rPr>
          <w:rFonts w:ascii="宋体" w:hAnsi="宋体" w:eastAsia="宋体" w:cs="宋体"/>
          <w:spacing w:val="-50"/>
          <w:sz w:val="20"/>
          <w:szCs w:val="20"/>
        </w:rPr>
        <w:t xml:space="preserve"> </w:t>
      </w:r>
      <w:r>
        <w:rPr>
          <w:rFonts w:ascii="宋体" w:hAnsi="宋体" w:eastAsia="宋体" w:cs="宋体"/>
          <w:spacing w:val="10"/>
          <w:sz w:val="20"/>
          <w:szCs w:val="20"/>
        </w:rPr>
        <w:t>，按要求填写基本信息、优良和不良信</w:t>
      </w:r>
      <w:r>
        <w:rPr>
          <w:rFonts w:ascii="宋体" w:hAnsi="宋体" w:eastAsia="宋体" w:cs="宋体"/>
          <w:spacing w:val="9"/>
          <w:sz w:val="20"/>
          <w:szCs w:val="20"/>
        </w:rPr>
        <w:t>息，上传相关证明材料，并</w:t>
      </w:r>
      <w:r>
        <w:rPr>
          <w:rFonts w:ascii="宋体" w:hAnsi="宋体" w:eastAsia="宋体" w:cs="宋体"/>
          <w:spacing w:val="11"/>
          <w:sz w:val="20"/>
          <w:szCs w:val="20"/>
        </w:rPr>
        <w:t>对其真实性、有效性、完整性负责。省内企业提交至企业注册地，省外入鲁企业提交至</w:t>
      </w:r>
      <w:r>
        <w:rPr>
          <w:rFonts w:ascii="宋体" w:hAnsi="宋体" w:eastAsia="宋体" w:cs="宋体"/>
          <w:spacing w:val="10"/>
          <w:sz w:val="20"/>
          <w:szCs w:val="20"/>
        </w:rPr>
        <w:t>首个工程造</w:t>
      </w:r>
      <w:r>
        <w:rPr>
          <w:rFonts w:ascii="宋体" w:hAnsi="宋体" w:eastAsia="宋体" w:cs="宋体"/>
          <w:spacing w:val="9"/>
          <w:sz w:val="20"/>
          <w:szCs w:val="20"/>
        </w:rPr>
        <w:t>价咨询项目所在地。</w:t>
      </w:r>
    </w:p>
    <w:p>
      <w:pPr>
        <w:spacing w:before="83" w:line="278" w:lineRule="exact"/>
        <w:ind w:left="420"/>
        <w:rPr>
          <w:rFonts w:ascii="宋体" w:hAnsi="宋体" w:eastAsia="宋体" w:cs="宋体"/>
          <w:sz w:val="20"/>
          <w:szCs w:val="20"/>
        </w:rPr>
      </w:pPr>
      <w:r>
        <w:rPr>
          <w:rFonts w:ascii="宋体" w:hAnsi="宋体" w:eastAsia="宋体" w:cs="宋体"/>
          <w:spacing w:val="10"/>
          <w:position w:val="1"/>
          <w:sz w:val="20"/>
          <w:szCs w:val="20"/>
        </w:rPr>
        <w:t>（二）信息审核</w:t>
      </w:r>
    </w:p>
    <w:p>
      <w:pPr>
        <w:spacing w:before="120" w:line="277" w:lineRule="exact"/>
        <w:ind w:left="447"/>
        <w:rPr>
          <w:rFonts w:ascii="宋体" w:hAnsi="宋体" w:eastAsia="宋体" w:cs="宋体"/>
          <w:sz w:val="20"/>
          <w:szCs w:val="20"/>
        </w:rPr>
      </w:pPr>
      <w:r>
        <w:rPr>
          <w:rFonts w:ascii="宋体" w:hAnsi="宋体" w:eastAsia="宋体" w:cs="宋体"/>
          <w:spacing w:val="7"/>
          <w:position w:val="1"/>
          <w:sz w:val="20"/>
          <w:szCs w:val="20"/>
        </w:rPr>
        <w:t>1.基本信息。企业填报的基本信息由市住房城乡建</w:t>
      </w:r>
      <w:r>
        <w:rPr>
          <w:rFonts w:ascii="宋体" w:hAnsi="宋体" w:eastAsia="宋体" w:cs="宋体"/>
          <w:spacing w:val="6"/>
          <w:position w:val="1"/>
          <w:sz w:val="20"/>
          <w:szCs w:val="20"/>
        </w:rPr>
        <w:t>设主管部门审核。</w:t>
      </w:r>
    </w:p>
    <w:p>
      <w:pPr>
        <w:spacing w:before="124" w:line="298" w:lineRule="auto"/>
        <w:ind w:left="7" w:right="64" w:firstLine="422"/>
        <w:rPr>
          <w:rFonts w:ascii="宋体" w:hAnsi="宋体" w:eastAsia="宋体" w:cs="宋体"/>
          <w:sz w:val="20"/>
          <w:szCs w:val="20"/>
        </w:rPr>
      </w:pPr>
      <w:r>
        <w:rPr>
          <w:rFonts w:ascii="宋体" w:hAnsi="宋体" w:eastAsia="宋体" w:cs="宋体"/>
          <w:spacing w:val="10"/>
          <w:sz w:val="20"/>
          <w:szCs w:val="20"/>
        </w:rPr>
        <w:t>2.优良、不良信息。企业填报的优良、不良信息由市、省住房城乡建设主管部门逐级审核。市</w:t>
      </w:r>
      <w:r>
        <w:rPr>
          <w:rFonts w:ascii="宋体" w:hAnsi="宋体" w:eastAsia="宋体" w:cs="宋体"/>
          <w:spacing w:val="9"/>
          <w:sz w:val="20"/>
          <w:szCs w:val="20"/>
        </w:rPr>
        <w:t>住房城乡建设主管部门采集录入的不良信息，</w:t>
      </w:r>
      <w:r>
        <w:rPr>
          <w:rFonts w:ascii="宋体" w:hAnsi="宋体" w:eastAsia="宋体" w:cs="宋体"/>
          <w:spacing w:val="33"/>
          <w:sz w:val="20"/>
          <w:szCs w:val="20"/>
        </w:rPr>
        <w:t xml:space="preserve"> </w:t>
      </w:r>
      <w:r>
        <w:rPr>
          <w:rFonts w:ascii="宋体" w:hAnsi="宋体" w:eastAsia="宋体" w:cs="宋体"/>
          <w:spacing w:val="9"/>
          <w:sz w:val="20"/>
          <w:szCs w:val="20"/>
        </w:rPr>
        <w:t>由省住房城</w:t>
      </w:r>
      <w:r>
        <w:rPr>
          <w:rFonts w:ascii="宋体" w:hAnsi="宋体" w:eastAsia="宋体" w:cs="宋体"/>
          <w:spacing w:val="8"/>
          <w:sz w:val="20"/>
          <w:szCs w:val="20"/>
        </w:rPr>
        <w:t>乡建设主管部门审核。</w:t>
      </w:r>
    </w:p>
    <w:p>
      <w:pPr>
        <w:spacing w:before="154" w:line="277" w:lineRule="exact"/>
        <w:ind w:left="420"/>
        <w:rPr>
          <w:rFonts w:ascii="宋体" w:hAnsi="宋体" w:eastAsia="宋体" w:cs="宋体"/>
          <w:sz w:val="20"/>
          <w:szCs w:val="20"/>
        </w:rPr>
      </w:pPr>
      <w:r>
        <w:rPr>
          <w:rFonts w:ascii="宋体" w:hAnsi="宋体" w:eastAsia="宋体" w:cs="宋体"/>
          <w:spacing w:val="10"/>
          <w:position w:val="1"/>
          <w:sz w:val="20"/>
          <w:szCs w:val="20"/>
        </w:rPr>
        <w:t>（三）信息公示</w:t>
      </w:r>
    </w:p>
    <w:p>
      <w:pPr>
        <w:spacing w:before="123" w:line="352" w:lineRule="auto"/>
        <w:ind w:left="7" w:right="64" w:firstLine="420"/>
        <w:rPr>
          <w:rFonts w:ascii="宋体" w:hAnsi="宋体" w:eastAsia="宋体" w:cs="宋体"/>
          <w:sz w:val="20"/>
          <w:szCs w:val="20"/>
        </w:rPr>
      </w:pPr>
      <w:r>
        <w:rPr>
          <w:rFonts w:ascii="宋体" w:hAnsi="宋体" w:eastAsia="宋体" w:cs="宋体"/>
          <w:spacing w:val="10"/>
          <w:sz w:val="20"/>
          <w:szCs w:val="20"/>
        </w:rPr>
        <w:t>对于审核通过的企业优良、不良信息，评价系统将自动公示，公示期为</w:t>
      </w:r>
      <w:r>
        <w:rPr>
          <w:rFonts w:ascii="宋体" w:hAnsi="宋体" w:eastAsia="宋体" w:cs="宋体"/>
          <w:spacing w:val="-25"/>
          <w:sz w:val="20"/>
          <w:szCs w:val="20"/>
        </w:rPr>
        <w:t xml:space="preserve"> </w:t>
      </w:r>
      <w:r>
        <w:rPr>
          <w:rFonts w:ascii="宋体" w:hAnsi="宋体" w:eastAsia="宋体" w:cs="宋体"/>
          <w:spacing w:val="10"/>
          <w:sz w:val="20"/>
          <w:szCs w:val="20"/>
        </w:rPr>
        <w:t>5</w:t>
      </w:r>
      <w:r>
        <w:rPr>
          <w:rFonts w:ascii="宋体" w:hAnsi="宋体" w:eastAsia="宋体" w:cs="宋体"/>
          <w:spacing w:val="-45"/>
          <w:sz w:val="20"/>
          <w:szCs w:val="20"/>
        </w:rPr>
        <w:t xml:space="preserve"> </w:t>
      </w:r>
      <w:r>
        <w:rPr>
          <w:rFonts w:ascii="宋体" w:hAnsi="宋体" w:eastAsia="宋体" w:cs="宋体"/>
          <w:spacing w:val="10"/>
          <w:sz w:val="20"/>
          <w:szCs w:val="20"/>
        </w:rPr>
        <w:t>个工作日。公示期满</w:t>
      </w:r>
      <w:r>
        <w:rPr>
          <w:rFonts w:ascii="宋体" w:hAnsi="宋体" w:eastAsia="宋体" w:cs="宋体"/>
          <w:spacing w:val="9"/>
          <w:sz w:val="20"/>
          <w:szCs w:val="20"/>
        </w:rPr>
        <w:t>后自动生效，作为系统计算企业信用分值的依据。</w:t>
      </w:r>
    </w:p>
    <w:p>
      <w:pPr>
        <w:spacing w:line="352" w:lineRule="auto"/>
        <w:rPr>
          <w:rFonts w:ascii="宋体" w:hAnsi="宋体" w:eastAsia="宋体" w:cs="宋体"/>
          <w:sz w:val="20"/>
          <w:szCs w:val="20"/>
        </w:rPr>
        <w:sectPr>
          <w:footerReference r:id="rId292" w:type="default"/>
          <w:pgSz w:w="11900" w:h="16840"/>
          <w:pgMar w:top="400" w:right="1354" w:bottom="1184" w:left="1411" w:header="0" w:footer="869"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right="122" w:firstLine="424"/>
        <w:rPr>
          <w:rFonts w:ascii="宋体" w:hAnsi="宋体" w:eastAsia="宋体" w:cs="宋体"/>
          <w:sz w:val="20"/>
          <w:szCs w:val="20"/>
        </w:rPr>
      </w:pPr>
      <w:r>
        <w:rPr>
          <w:rFonts w:ascii="宋体" w:hAnsi="宋体" w:eastAsia="宋体" w:cs="宋体"/>
          <w:spacing w:val="10"/>
          <w:sz w:val="20"/>
          <w:szCs w:val="20"/>
        </w:rPr>
        <w:t>任何单位或个人对公示内容有异议的，应在公示期满前向市住房</w:t>
      </w:r>
      <w:r>
        <w:rPr>
          <w:rFonts w:ascii="宋体" w:hAnsi="宋体" w:eastAsia="宋体" w:cs="宋体"/>
          <w:spacing w:val="9"/>
          <w:sz w:val="20"/>
          <w:szCs w:val="20"/>
        </w:rPr>
        <w:t>城乡建设主管部门书面提出，说明理由并提供证明材料。</w:t>
      </w:r>
    </w:p>
    <w:p>
      <w:pPr>
        <w:spacing w:line="276" w:lineRule="exact"/>
        <w:ind w:left="415"/>
        <w:rPr>
          <w:rFonts w:ascii="宋体" w:hAnsi="宋体" w:eastAsia="宋体" w:cs="宋体"/>
          <w:sz w:val="20"/>
          <w:szCs w:val="20"/>
        </w:rPr>
      </w:pPr>
      <w:r>
        <w:rPr>
          <w:rFonts w:ascii="宋体" w:hAnsi="宋体" w:eastAsia="宋体" w:cs="宋体"/>
          <w:spacing w:val="2"/>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2"/>
          <w:position w:val="1"/>
          <w:sz w:val="20"/>
          <w:szCs w:val="20"/>
        </w:rPr>
        <w:t>四）结果公布</w:t>
      </w:r>
    </w:p>
    <w:p>
      <w:pPr>
        <w:spacing w:before="125" w:line="369" w:lineRule="auto"/>
        <w:ind w:left="3" w:right="81" w:firstLine="419"/>
        <w:jc w:val="both"/>
        <w:rPr>
          <w:rFonts w:ascii="宋体" w:hAnsi="宋体" w:eastAsia="宋体" w:cs="宋体"/>
          <w:sz w:val="20"/>
          <w:szCs w:val="20"/>
        </w:rPr>
      </w:pPr>
      <w:r>
        <w:rPr>
          <w:rFonts w:ascii="宋体" w:hAnsi="宋体" w:eastAsia="宋体" w:cs="宋体"/>
          <w:spacing w:val="11"/>
          <w:sz w:val="20"/>
          <w:szCs w:val="20"/>
        </w:rPr>
        <w:t>评价系统根据有效期内的优良、不良信息，进行动态计分并确定企业信</w:t>
      </w:r>
      <w:r>
        <w:rPr>
          <w:rFonts w:ascii="宋体" w:hAnsi="宋体" w:eastAsia="宋体" w:cs="宋体"/>
          <w:spacing w:val="10"/>
          <w:sz w:val="20"/>
          <w:szCs w:val="20"/>
        </w:rPr>
        <w:t>用等级，每日推送参评</w:t>
      </w:r>
      <w:r>
        <w:rPr>
          <w:rFonts w:ascii="宋体" w:hAnsi="宋体" w:eastAsia="宋体" w:cs="宋体"/>
          <w:spacing w:val="11"/>
          <w:sz w:val="20"/>
          <w:szCs w:val="20"/>
        </w:rPr>
        <w:t>企业评价结果。企业可登录系统查看并下载信用等级证书。相关单位</w:t>
      </w:r>
      <w:r>
        <w:rPr>
          <w:rFonts w:ascii="宋体" w:hAnsi="宋体" w:eastAsia="宋体" w:cs="宋体"/>
          <w:spacing w:val="10"/>
          <w:sz w:val="20"/>
          <w:szCs w:val="20"/>
        </w:rPr>
        <w:t>在查验企业信用等级证书时，</w:t>
      </w:r>
      <w:r>
        <w:rPr>
          <w:rFonts w:ascii="宋体" w:hAnsi="宋体" w:eastAsia="宋体" w:cs="宋体"/>
          <w:spacing w:val="9"/>
          <w:sz w:val="20"/>
          <w:szCs w:val="20"/>
        </w:rPr>
        <w:t>应关注证书生成日期，通过扫描证书上的二维码核对最新信息。</w:t>
      </w:r>
    </w:p>
    <w:p>
      <w:pPr>
        <w:spacing w:line="221" w:lineRule="auto"/>
        <w:ind w:left="424"/>
        <w:rPr>
          <w:rFonts w:ascii="宋体" w:hAnsi="宋体" w:eastAsia="宋体" w:cs="宋体"/>
          <w:sz w:val="20"/>
          <w:szCs w:val="20"/>
        </w:rPr>
      </w:pPr>
      <w:r>
        <w:rPr>
          <w:rFonts w:ascii="宋体" w:hAnsi="宋体" w:eastAsia="宋体" w:cs="宋体"/>
          <w:b/>
          <w:bCs/>
          <w:spacing w:val="7"/>
          <w:sz w:val="20"/>
          <w:szCs w:val="20"/>
        </w:rPr>
        <w:t>六、其他事项</w:t>
      </w:r>
    </w:p>
    <w:p>
      <w:pPr>
        <w:spacing w:before="159" w:line="369" w:lineRule="auto"/>
        <w:ind w:left="3" w:firstLine="420"/>
        <w:jc w:val="both"/>
        <w:rPr>
          <w:rFonts w:ascii="宋体" w:hAnsi="宋体" w:eastAsia="宋体" w:cs="宋体"/>
          <w:sz w:val="20"/>
          <w:szCs w:val="20"/>
        </w:rPr>
      </w:pPr>
      <w:r>
        <w:rPr>
          <w:rFonts w:ascii="宋体" w:hAnsi="宋体" w:eastAsia="宋体" w:cs="宋体"/>
          <w:spacing w:val="8"/>
          <w:sz w:val="20"/>
          <w:szCs w:val="20"/>
        </w:rPr>
        <w:t>各市住房城乡建设主管部门要保持客观、公正，认真审核企</w:t>
      </w:r>
      <w:r>
        <w:rPr>
          <w:rFonts w:ascii="宋体" w:hAnsi="宋体" w:eastAsia="宋体" w:cs="宋体"/>
          <w:spacing w:val="7"/>
          <w:sz w:val="20"/>
          <w:szCs w:val="20"/>
        </w:rPr>
        <w:t>业信用信息，确保信息真实、准确、</w:t>
      </w:r>
      <w:r>
        <w:rPr>
          <w:rFonts w:ascii="宋体" w:hAnsi="宋体" w:eastAsia="宋体" w:cs="宋体"/>
          <w:spacing w:val="5"/>
          <w:sz w:val="20"/>
          <w:szCs w:val="20"/>
        </w:rPr>
        <w:t>完整；对通过监督检查、投诉查实等渠道采集的不</w:t>
      </w:r>
      <w:r>
        <w:rPr>
          <w:rFonts w:ascii="宋体" w:hAnsi="宋体" w:eastAsia="宋体" w:cs="宋体"/>
          <w:spacing w:val="40"/>
          <w:sz w:val="20"/>
          <w:szCs w:val="20"/>
        </w:rPr>
        <w:t xml:space="preserve"> </w:t>
      </w:r>
      <w:r>
        <w:rPr>
          <w:rFonts w:ascii="宋体" w:hAnsi="宋体" w:eastAsia="宋体" w:cs="宋体"/>
          <w:spacing w:val="5"/>
          <w:sz w:val="20"/>
          <w:szCs w:val="20"/>
        </w:rPr>
        <w:t>良信息，要及时录入信用评价系统；要按照“ 守</w:t>
      </w:r>
      <w:r>
        <w:rPr>
          <w:rFonts w:ascii="宋体" w:hAnsi="宋体" w:eastAsia="宋体" w:cs="宋体"/>
          <w:spacing w:val="11"/>
          <w:sz w:val="20"/>
          <w:szCs w:val="20"/>
        </w:rPr>
        <w:t>信激励、失信惩戒”原则，根据企业信用评价结果，做好差异化监管</w:t>
      </w:r>
      <w:r>
        <w:rPr>
          <w:rFonts w:ascii="宋体" w:hAnsi="宋体" w:eastAsia="宋体" w:cs="宋体"/>
          <w:spacing w:val="10"/>
          <w:sz w:val="20"/>
          <w:szCs w:val="20"/>
        </w:rPr>
        <w:t>等工作，切实发挥好信用评价</w:t>
      </w:r>
      <w:r>
        <w:rPr>
          <w:rFonts w:ascii="宋体" w:hAnsi="宋体" w:eastAsia="宋体" w:cs="宋体"/>
          <w:spacing w:val="4"/>
          <w:sz w:val="20"/>
          <w:szCs w:val="20"/>
        </w:rPr>
        <w:t>作用。</w:t>
      </w:r>
    </w:p>
    <w:p>
      <w:pPr>
        <w:spacing w:line="272" w:lineRule="exact"/>
        <w:ind w:left="424"/>
        <w:rPr>
          <w:rFonts w:ascii="宋体" w:hAnsi="宋体" w:eastAsia="宋体" w:cs="宋体"/>
          <w:sz w:val="20"/>
          <w:szCs w:val="20"/>
        </w:rPr>
      </w:pPr>
      <w:r>
        <w:rPr>
          <w:rFonts w:ascii="宋体" w:hAnsi="宋体" w:eastAsia="宋体" w:cs="宋体"/>
          <w:spacing w:val="6"/>
          <w:position w:val="1"/>
          <w:sz w:val="20"/>
          <w:szCs w:val="20"/>
        </w:rPr>
        <w:t>联系人：王晓光、周玉，电话：0531-51765513、51765504，电子邮箱：</w:t>
      </w:r>
      <w:r>
        <w:rPr>
          <w:rFonts w:ascii="宋体" w:hAnsi="宋体" w:eastAsia="宋体" w:cs="宋体"/>
          <w:position w:val="1"/>
          <w:sz w:val="20"/>
          <w:szCs w:val="20"/>
        </w:rPr>
        <w:t>zhouyu</w:t>
      </w:r>
      <w:r>
        <w:rPr>
          <w:rFonts w:ascii="宋体" w:hAnsi="宋体" w:eastAsia="宋体" w:cs="宋体"/>
          <w:spacing w:val="6"/>
          <w:position w:val="1"/>
          <w:sz w:val="20"/>
          <w:szCs w:val="20"/>
        </w:rPr>
        <w:t>@</w:t>
      </w:r>
      <w:r>
        <w:rPr>
          <w:rFonts w:ascii="宋体" w:hAnsi="宋体" w:eastAsia="宋体" w:cs="宋体"/>
          <w:position w:val="1"/>
          <w:sz w:val="20"/>
          <w:szCs w:val="20"/>
        </w:rPr>
        <w:t>shandong</w:t>
      </w:r>
      <w:r>
        <w:rPr>
          <w:rFonts w:ascii="宋体" w:hAnsi="宋体" w:eastAsia="宋体" w:cs="宋体"/>
          <w:spacing w:val="5"/>
          <w:position w:val="1"/>
          <w:sz w:val="20"/>
          <w:szCs w:val="20"/>
        </w:rPr>
        <w:t>.</w:t>
      </w:r>
      <w:r>
        <w:rPr>
          <w:rFonts w:ascii="宋体" w:hAnsi="宋体" w:eastAsia="宋体" w:cs="宋体"/>
          <w:position w:val="1"/>
          <w:sz w:val="20"/>
          <w:szCs w:val="20"/>
        </w:rPr>
        <w:t>cn</w:t>
      </w:r>
      <w:r>
        <w:rPr>
          <w:rFonts w:ascii="宋体" w:hAnsi="宋体" w:eastAsia="宋体" w:cs="宋体"/>
          <w:spacing w:val="5"/>
          <w:position w:val="1"/>
          <w:sz w:val="20"/>
          <w:szCs w:val="20"/>
        </w:rPr>
        <w:t>。</w:t>
      </w:r>
    </w:p>
    <w:p>
      <w:pPr>
        <w:spacing w:before="126" w:line="278" w:lineRule="exact"/>
        <w:ind w:left="432"/>
        <w:rPr>
          <w:rFonts w:ascii="宋体" w:hAnsi="宋体" w:eastAsia="宋体" w:cs="宋体"/>
          <w:sz w:val="20"/>
          <w:szCs w:val="20"/>
        </w:rPr>
      </w:pPr>
      <w:r>
        <w:rPr>
          <w:rFonts w:ascii="宋体" w:hAnsi="宋体" w:eastAsia="宋体" w:cs="宋体"/>
          <w:spacing w:val="5"/>
          <w:position w:val="1"/>
          <w:sz w:val="20"/>
          <w:szCs w:val="20"/>
        </w:rPr>
        <w:t>系统技术电话：0512-58188109</w:t>
      </w:r>
      <w:r>
        <w:rPr>
          <w:rFonts w:ascii="宋体" w:hAnsi="宋体" w:eastAsia="宋体" w:cs="宋体"/>
          <w:spacing w:val="-31"/>
          <w:position w:val="1"/>
          <w:sz w:val="20"/>
          <w:szCs w:val="20"/>
        </w:rPr>
        <w:t xml:space="preserve"> </w:t>
      </w:r>
      <w:r>
        <w:rPr>
          <w:rFonts w:ascii="宋体" w:hAnsi="宋体" w:eastAsia="宋体" w:cs="宋体"/>
          <w:spacing w:val="5"/>
          <w:position w:val="1"/>
          <w:sz w:val="20"/>
          <w:szCs w:val="20"/>
        </w:rPr>
        <w:t>转</w:t>
      </w:r>
      <w:r>
        <w:rPr>
          <w:rFonts w:ascii="宋体" w:hAnsi="宋体" w:eastAsia="宋体" w:cs="宋体"/>
          <w:spacing w:val="-43"/>
          <w:position w:val="1"/>
          <w:sz w:val="20"/>
          <w:szCs w:val="20"/>
        </w:rPr>
        <w:t xml:space="preserve"> </w:t>
      </w:r>
      <w:r>
        <w:rPr>
          <w:rFonts w:ascii="宋体" w:hAnsi="宋体" w:eastAsia="宋体" w:cs="宋体"/>
          <w:spacing w:val="5"/>
          <w:position w:val="1"/>
          <w:sz w:val="20"/>
          <w:szCs w:val="20"/>
        </w:rPr>
        <w:t>4。</w:t>
      </w:r>
    </w:p>
    <w:p>
      <w:pPr>
        <w:spacing w:line="284" w:lineRule="auto"/>
        <w:rPr>
          <w:rFonts w:ascii="Arial"/>
          <w:sz w:val="21"/>
        </w:rPr>
      </w:pPr>
    </w:p>
    <w:p>
      <w:pPr>
        <w:spacing w:line="284" w:lineRule="auto"/>
        <w:rPr>
          <w:rFonts w:ascii="Arial"/>
          <w:sz w:val="21"/>
        </w:rPr>
      </w:pPr>
    </w:p>
    <w:p>
      <w:pPr>
        <w:spacing w:line="284" w:lineRule="auto"/>
        <w:rPr>
          <w:rFonts w:ascii="Arial"/>
          <w:sz w:val="21"/>
        </w:rPr>
      </w:pPr>
    </w:p>
    <w:sdt>
      <w:sdtPr>
        <w:rPr>
          <w:rFonts w:ascii="宋体" w:hAnsi="宋体" w:eastAsia="宋体" w:cs="宋体"/>
          <w:sz w:val="20"/>
          <w:szCs w:val="20"/>
        </w:rPr>
        <w:id w:val="0"/>
        <w:docPartObj>
          <w:docPartGallery w:val="Table of Contents"/>
          <w:docPartUnique/>
        </w:docPartObj>
      </w:sdtPr>
      <w:sdtEndPr>
        <w:rPr>
          <w:rFonts w:ascii="宋体" w:hAnsi="宋体" w:eastAsia="宋体" w:cs="宋体"/>
          <w:sz w:val="20"/>
          <w:szCs w:val="20"/>
        </w:rPr>
      </w:sdtEndPr>
      <w:sdtContent>
        <w:p>
          <w:pPr>
            <w:spacing w:before="66" w:line="221" w:lineRule="auto"/>
            <w:ind w:left="437"/>
            <w:rPr>
              <w:rFonts w:ascii="宋体" w:hAnsi="宋体" w:eastAsia="宋体" w:cs="宋体"/>
              <w:sz w:val="20"/>
              <w:szCs w:val="20"/>
            </w:rPr>
          </w:pPr>
          <w:r>
            <w:rPr>
              <w:rFonts w:ascii="宋体" w:hAnsi="宋体" w:eastAsia="宋体" w:cs="宋体"/>
              <w:spacing w:val="6"/>
              <w:sz w:val="20"/>
              <w:szCs w:val="20"/>
            </w:rPr>
            <w:t>附件：1.</w:t>
          </w:r>
          <w:r>
            <w:fldChar w:fldCharType="begin"/>
          </w:r>
          <w:r>
            <w:instrText xml:space="preserve"> HYPERLINK "http://zjt.shandong.gov.cn/module/download/downfile.jsp?classid=0&amp;filename=1f260aef7dd64a10a76a814a6f63c508.docx" </w:instrText>
          </w:r>
          <w:r>
            <w:fldChar w:fldCharType="separate"/>
          </w:r>
          <w:r>
            <w:rPr>
              <w:rFonts w:ascii="宋体" w:hAnsi="宋体" w:eastAsia="宋体" w:cs="宋体"/>
              <w:spacing w:val="6"/>
              <w:sz w:val="20"/>
              <w:szCs w:val="20"/>
            </w:rPr>
            <w:t>《山东省工程造价咨询企业信用信息评分</w:t>
          </w:r>
          <w:r>
            <w:rPr>
              <w:rFonts w:ascii="宋体" w:hAnsi="宋体" w:eastAsia="宋体" w:cs="宋体"/>
              <w:spacing w:val="5"/>
              <w:sz w:val="20"/>
              <w:szCs w:val="20"/>
            </w:rPr>
            <w:t>表（2025</w:t>
          </w:r>
          <w:r>
            <w:rPr>
              <w:rFonts w:ascii="宋体" w:hAnsi="宋体" w:eastAsia="宋体" w:cs="宋体"/>
              <w:spacing w:val="-37"/>
              <w:sz w:val="20"/>
              <w:szCs w:val="20"/>
            </w:rPr>
            <w:t xml:space="preserve"> </w:t>
          </w:r>
          <w:r>
            <w:rPr>
              <w:rFonts w:ascii="宋体" w:hAnsi="宋体" w:eastAsia="宋体" w:cs="宋体"/>
              <w:spacing w:val="5"/>
              <w:sz w:val="20"/>
              <w:szCs w:val="20"/>
            </w:rPr>
            <w:t>版）</w:t>
          </w:r>
          <w:r>
            <w:rPr>
              <w:rFonts w:ascii="宋体" w:hAnsi="宋体" w:eastAsia="宋体" w:cs="宋体"/>
              <w:spacing w:val="-55"/>
              <w:sz w:val="20"/>
              <w:szCs w:val="20"/>
            </w:rPr>
            <w:t xml:space="preserve"> </w:t>
          </w:r>
          <w:r>
            <w:rPr>
              <w:rFonts w:ascii="宋体" w:hAnsi="宋体" w:eastAsia="宋体" w:cs="宋体"/>
              <w:spacing w:val="5"/>
              <w:sz w:val="20"/>
              <w:szCs w:val="20"/>
            </w:rPr>
            <w:t>》</w:t>
          </w:r>
          <w:r>
            <w:rPr>
              <w:rFonts w:ascii="宋体" w:hAnsi="宋体" w:eastAsia="宋体" w:cs="宋体"/>
              <w:spacing w:val="5"/>
              <w:sz w:val="20"/>
              <w:szCs w:val="20"/>
            </w:rPr>
            <w:fldChar w:fldCharType="end"/>
          </w:r>
        </w:p>
        <w:p>
          <w:pPr>
            <w:spacing w:before="161" w:line="221" w:lineRule="auto"/>
            <w:ind w:left="1056"/>
            <w:rPr>
              <w:rFonts w:ascii="宋体" w:hAnsi="宋体" w:eastAsia="宋体" w:cs="宋体"/>
              <w:sz w:val="20"/>
              <w:szCs w:val="20"/>
            </w:rPr>
          </w:pPr>
          <w:r>
            <w:rPr>
              <w:rFonts w:ascii="宋体" w:hAnsi="宋体" w:eastAsia="宋体" w:cs="宋体"/>
              <w:spacing w:val="6"/>
              <w:sz w:val="20"/>
              <w:szCs w:val="20"/>
            </w:rPr>
            <w:t>2.</w:t>
          </w:r>
          <w:r>
            <w:fldChar w:fldCharType="begin"/>
          </w:r>
          <w:r>
            <w:instrText xml:space="preserve"> HYPERLINK "http://zjt.shandong.gov.cn/module/download/downfile.jsp?classid=0&amp;filename=2748724f6f7745018e02443db1369064.docx" </w:instrText>
          </w:r>
          <w:r>
            <w:fldChar w:fldCharType="separate"/>
          </w:r>
          <w:r>
            <w:rPr>
              <w:rFonts w:ascii="宋体" w:hAnsi="宋体" w:eastAsia="宋体" w:cs="宋体"/>
              <w:spacing w:val="6"/>
              <w:sz w:val="20"/>
              <w:szCs w:val="20"/>
            </w:rPr>
            <w:t>造价咨询企业信用评价管理端操作手册（</w:t>
          </w:r>
          <w:r>
            <w:rPr>
              <w:rFonts w:ascii="宋体" w:hAnsi="宋体" w:eastAsia="宋体" w:cs="宋体"/>
              <w:spacing w:val="6"/>
              <w:sz w:val="20"/>
              <w:szCs w:val="20"/>
            </w:rPr>
            <w:fldChar w:fldCharType="end"/>
          </w:r>
          <w:r>
            <w:rPr>
              <w:rFonts w:ascii="宋体" w:hAnsi="宋体" w:eastAsia="宋体" w:cs="宋体"/>
              <w:spacing w:val="6"/>
              <w:sz w:val="20"/>
              <w:szCs w:val="20"/>
            </w:rPr>
            <w:t>略）</w:t>
          </w:r>
        </w:p>
      </w:sdtContent>
    </w:sdt>
    <w:p>
      <w:pPr>
        <w:spacing w:before="161" w:line="276" w:lineRule="exact"/>
        <w:ind w:left="1060"/>
        <w:rPr>
          <w:rFonts w:ascii="宋体" w:hAnsi="宋体" w:eastAsia="宋体" w:cs="宋体"/>
          <w:sz w:val="20"/>
          <w:szCs w:val="20"/>
        </w:rPr>
      </w:pPr>
      <w:r>
        <w:rPr>
          <w:rFonts w:ascii="宋体" w:hAnsi="宋体" w:eastAsia="宋体" w:cs="宋体"/>
          <w:spacing w:val="6"/>
          <w:position w:val="1"/>
          <w:sz w:val="20"/>
          <w:szCs w:val="20"/>
        </w:rPr>
        <w:t>3.</w:t>
      </w:r>
      <w:r>
        <w:fldChar w:fldCharType="begin"/>
      </w:r>
      <w:r>
        <w:instrText xml:space="preserve"> HYPERLINK "http://zjt.shandong.gov.cn/module/download/downfile.jsp?classid=0&amp;filename=37e644671b1540648fa9458507ec79f8.docx" </w:instrText>
      </w:r>
      <w:r>
        <w:fldChar w:fldCharType="separate"/>
      </w:r>
      <w:r>
        <w:rPr>
          <w:rFonts w:ascii="宋体" w:hAnsi="宋体" w:eastAsia="宋体" w:cs="宋体"/>
          <w:spacing w:val="6"/>
          <w:position w:val="1"/>
          <w:sz w:val="20"/>
          <w:szCs w:val="20"/>
        </w:rPr>
        <w:t>造价咨询企业信用评价企业端操作手册（</w:t>
      </w:r>
      <w:r>
        <w:rPr>
          <w:rFonts w:ascii="宋体" w:hAnsi="宋体" w:eastAsia="宋体" w:cs="宋体"/>
          <w:spacing w:val="6"/>
          <w:position w:val="1"/>
          <w:sz w:val="20"/>
          <w:szCs w:val="20"/>
        </w:rPr>
        <w:fldChar w:fldCharType="end"/>
      </w:r>
      <w:r>
        <w:rPr>
          <w:rFonts w:ascii="宋体" w:hAnsi="宋体" w:eastAsia="宋体" w:cs="宋体"/>
          <w:spacing w:val="6"/>
          <w:position w:val="1"/>
          <w:sz w:val="20"/>
          <w:szCs w:val="20"/>
        </w:rPr>
        <w:t>略）</w:t>
      </w: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66" w:line="221" w:lineRule="auto"/>
        <w:ind w:left="6775"/>
        <w:rPr>
          <w:rFonts w:ascii="宋体" w:hAnsi="宋体" w:eastAsia="宋体" w:cs="宋体"/>
          <w:sz w:val="20"/>
          <w:szCs w:val="20"/>
        </w:rPr>
      </w:pPr>
      <w:r>
        <w:rPr>
          <w:rFonts w:ascii="宋体" w:hAnsi="宋体" w:eastAsia="宋体" w:cs="宋体"/>
          <w:spacing w:val="8"/>
          <w:sz w:val="20"/>
          <w:szCs w:val="20"/>
        </w:rPr>
        <w:t>山东省住房和城乡建设厅</w:t>
      </w:r>
    </w:p>
    <w:p>
      <w:pPr>
        <w:spacing w:before="158" w:line="278" w:lineRule="exact"/>
        <w:ind w:left="7272"/>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41"/>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8</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28</w:t>
      </w:r>
    </w:p>
    <w:p>
      <w:pPr>
        <w:spacing w:line="278" w:lineRule="exact"/>
        <w:rPr>
          <w:rFonts w:ascii="宋体" w:hAnsi="宋体" w:eastAsia="宋体" w:cs="宋体"/>
          <w:sz w:val="20"/>
          <w:szCs w:val="20"/>
        </w:rPr>
        <w:sectPr>
          <w:footerReference r:id="rId293" w:type="default"/>
          <w:pgSz w:w="11900" w:h="16840"/>
          <w:pgMar w:top="400" w:right="1338" w:bottom="1184" w:left="1416" w:header="0" w:footer="869"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128"/>
        <w:rPr>
          <w:rFonts w:ascii="黑体" w:hAnsi="黑体" w:eastAsia="黑体" w:cs="黑体"/>
          <w:sz w:val="20"/>
          <w:szCs w:val="20"/>
        </w:rPr>
      </w:pPr>
      <w:r>
        <w:rPr>
          <w:rFonts w:ascii="黑体" w:hAnsi="黑体" w:eastAsia="黑体" w:cs="黑体"/>
          <w:spacing w:val="-1"/>
          <w:sz w:val="20"/>
          <w:szCs w:val="20"/>
        </w:rPr>
        <w:t>附件</w:t>
      </w:r>
      <w:r>
        <w:rPr>
          <w:rFonts w:ascii="黑体" w:hAnsi="黑体" w:eastAsia="黑体" w:cs="黑体"/>
          <w:spacing w:val="-27"/>
          <w:sz w:val="20"/>
          <w:szCs w:val="20"/>
        </w:rPr>
        <w:t xml:space="preserve"> </w:t>
      </w:r>
      <w:r>
        <w:rPr>
          <w:rFonts w:ascii="黑体" w:hAnsi="黑体" w:eastAsia="黑体" w:cs="黑体"/>
          <w:spacing w:val="-1"/>
          <w:sz w:val="20"/>
          <w:szCs w:val="20"/>
        </w:rPr>
        <w:t>1</w:t>
      </w:r>
    </w:p>
    <w:p>
      <w:pPr>
        <w:spacing w:before="150" w:line="205" w:lineRule="auto"/>
        <w:ind w:left="1962"/>
        <w:rPr>
          <w:rFonts w:ascii="方正小标宋简体" w:hAnsi="方正小标宋简体" w:eastAsia="方正小标宋简体" w:cs="方正小标宋简体"/>
          <w:sz w:val="30"/>
          <w:szCs w:val="30"/>
        </w:rPr>
      </w:pPr>
      <w:bookmarkStart w:id="205" w:name="bookmark196"/>
      <w:bookmarkEnd w:id="205"/>
      <w:r>
        <w:rPr>
          <w:rFonts w:ascii="方正小标宋简体" w:hAnsi="方正小标宋简体" w:eastAsia="方正小标宋简体" w:cs="方正小标宋简体"/>
          <w:spacing w:val="-1"/>
          <w:sz w:val="30"/>
          <w:szCs w:val="30"/>
        </w:rPr>
        <w:t>山东省工程造价咨询企业信用信息评分表</w:t>
      </w:r>
    </w:p>
    <w:p>
      <w:pPr>
        <w:spacing w:before="88" w:line="242" w:lineRule="auto"/>
        <w:ind w:left="3846"/>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2"/>
          <w:sz w:val="30"/>
          <w:szCs w:val="30"/>
        </w:rPr>
        <w:t>（2025 版）</w:t>
      </w:r>
    </w:p>
    <w:p>
      <w:pPr>
        <w:spacing w:before="175" w:line="236" w:lineRule="auto"/>
        <w:ind w:left="583"/>
        <w:rPr>
          <w:rFonts w:ascii="楷体" w:hAnsi="楷体" w:eastAsia="楷体" w:cs="楷体"/>
          <w:sz w:val="24"/>
          <w:szCs w:val="24"/>
        </w:rPr>
      </w:pPr>
      <w:r>
        <w:rPr>
          <w:rFonts w:ascii="楷体" w:hAnsi="楷体" w:eastAsia="楷体" w:cs="楷体"/>
          <w:sz w:val="24"/>
          <w:szCs w:val="24"/>
        </w:rPr>
        <w:t>（一）优良信息加分</w:t>
      </w:r>
    </w:p>
    <w:p>
      <w:pPr>
        <w:spacing w:line="177" w:lineRule="exact"/>
      </w:pPr>
    </w:p>
    <w:tbl>
      <w:tblPr>
        <w:tblStyle w:val="5"/>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972"/>
        <w:gridCol w:w="2121"/>
        <w:gridCol w:w="2974"/>
        <w:gridCol w:w="1367"/>
        <w:gridCol w:w="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53" w:hRule="atLeast"/>
        </w:trPr>
        <w:tc>
          <w:tcPr>
            <w:tcW w:w="926" w:type="dxa"/>
            <w:vAlign w:val="top"/>
          </w:tcPr>
          <w:p>
            <w:pPr>
              <w:spacing w:before="273" w:line="231" w:lineRule="auto"/>
              <w:ind w:left="258"/>
              <w:rPr>
                <w:rFonts w:ascii="黑体" w:hAnsi="黑体" w:eastAsia="黑体" w:cs="黑体"/>
                <w:sz w:val="20"/>
                <w:szCs w:val="20"/>
              </w:rPr>
            </w:pPr>
            <w:r>
              <w:rPr>
                <w:rFonts w:ascii="黑体" w:hAnsi="黑体" w:eastAsia="黑体" w:cs="黑体"/>
                <w:spacing w:val="4"/>
                <w:sz w:val="20"/>
                <w:szCs w:val="20"/>
              </w:rPr>
              <w:t>序号</w:t>
            </w:r>
          </w:p>
        </w:tc>
        <w:tc>
          <w:tcPr>
            <w:tcW w:w="972" w:type="dxa"/>
            <w:vAlign w:val="top"/>
          </w:tcPr>
          <w:p>
            <w:pPr>
              <w:spacing w:before="273" w:line="229" w:lineRule="auto"/>
              <w:ind w:left="287"/>
              <w:rPr>
                <w:rFonts w:ascii="黑体" w:hAnsi="黑体" w:eastAsia="黑体" w:cs="黑体"/>
                <w:sz w:val="20"/>
                <w:szCs w:val="20"/>
              </w:rPr>
            </w:pPr>
            <w:r>
              <w:rPr>
                <w:rFonts w:ascii="黑体" w:hAnsi="黑体" w:eastAsia="黑体" w:cs="黑体"/>
                <w:spacing w:val="1"/>
                <w:sz w:val="20"/>
                <w:szCs w:val="20"/>
              </w:rPr>
              <w:t>类别</w:t>
            </w:r>
          </w:p>
        </w:tc>
        <w:tc>
          <w:tcPr>
            <w:tcW w:w="5095" w:type="dxa"/>
            <w:gridSpan w:val="2"/>
            <w:vAlign w:val="top"/>
          </w:tcPr>
          <w:p>
            <w:pPr>
              <w:spacing w:before="272" w:line="231" w:lineRule="auto"/>
              <w:ind w:left="2131"/>
              <w:rPr>
                <w:rFonts w:ascii="黑体" w:hAnsi="黑体" w:eastAsia="黑体" w:cs="黑体"/>
                <w:sz w:val="20"/>
                <w:szCs w:val="20"/>
              </w:rPr>
            </w:pPr>
            <w:r>
              <w:rPr>
                <w:rFonts w:ascii="黑体" w:hAnsi="黑体" w:eastAsia="黑体" w:cs="黑体"/>
                <w:spacing w:val="7"/>
                <w:sz w:val="20"/>
                <w:szCs w:val="20"/>
              </w:rPr>
              <w:t>优良信息</w:t>
            </w:r>
          </w:p>
        </w:tc>
        <w:tc>
          <w:tcPr>
            <w:tcW w:w="1367" w:type="dxa"/>
            <w:vAlign w:val="top"/>
          </w:tcPr>
          <w:p>
            <w:pPr>
              <w:spacing w:before="272" w:line="231" w:lineRule="auto"/>
              <w:ind w:left="480"/>
              <w:rPr>
                <w:rFonts w:ascii="黑体" w:hAnsi="黑体" w:eastAsia="黑体" w:cs="黑体"/>
                <w:sz w:val="20"/>
                <w:szCs w:val="20"/>
              </w:rPr>
            </w:pPr>
            <w:r>
              <w:rPr>
                <w:rFonts w:ascii="黑体" w:hAnsi="黑体" w:eastAsia="黑体" w:cs="黑体"/>
                <w:spacing w:val="4"/>
                <w:sz w:val="20"/>
                <w:szCs w:val="20"/>
              </w:rPr>
              <w:t>计分</w:t>
            </w:r>
          </w:p>
        </w:tc>
        <w:tc>
          <w:tcPr>
            <w:tcW w:w="926" w:type="dxa"/>
            <w:vAlign w:val="top"/>
          </w:tcPr>
          <w:p>
            <w:pPr>
              <w:spacing w:before="134" w:line="281" w:lineRule="auto"/>
              <w:ind w:left="367" w:right="145" w:hanging="208"/>
              <w:rPr>
                <w:rFonts w:ascii="黑体" w:hAnsi="黑体" w:eastAsia="黑体" w:cs="黑体"/>
                <w:sz w:val="20"/>
                <w:szCs w:val="20"/>
              </w:rPr>
            </w:pPr>
            <w:r>
              <w:rPr>
                <w:rFonts w:ascii="黑体" w:hAnsi="黑体" w:eastAsia="黑体" w:cs="黑体"/>
                <w:spacing w:val="5"/>
                <w:sz w:val="20"/>
                <w:szCs w:val="20"/>
              </w:rPr>
              <w:t>最高得</w:t>
            </w:r>
            <w:r>
              <w:rPr>
                <w:rFonts w:ascii="黑体" w:hAnsi="黑体" w:eastAsia="黑体" w:cs="黑体"/>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6" w:hRule="atLeast"/>
        </w:trPr>
        <w:tc>
          <w:tcPr>
            <w:tcW w:w="926" w:type="dxa"/>
            <w:vAlign w:val="top"/>
          </w:tcPr>
          <w:p>
            <w:pPr>
              <w:pStyle w:val="6"/>
              <w:spacing w:line="373" w:lineRule="auto"/>
            </w:pPr>
          </w:p>
          <w:p>
            <w:pPr>
              <w:spacing w:before="65" w:line="301" w:lineRule="exact"/>
              <w:ind w:left="431"/>
              <w:rPr>
                <w:rFonts w:ascii="宋体" w:hAnsi="宋体" w:eastAsia="宋体" w:cs="宋体"/>
                <w:sz w:val="20"/>
                <w:szCs w:val="20"/>
              </w:rPr>
            </w:pPr>
            <w:r>
              <w:rPr>
                <w:rFonts w:ascii="宋体" w:hAnsi="宋体" w:eastAsia="宋体" w:cs="宋体"/>
                <w:position w:val="2"/>
                <w:sz w:val="20"/>
                <w:szCs w:val="20"/>
              </w:rPr>
              <w:t>1</w:t>
            </w:r>
          </w:p>
        </w:tc>
        <w:tc>
          <w:tcPr>
            <w:tcW w:w="972" w:type="dxa"/>
            <w:vMerge w:val="restart"/>
            <w:tcBorders>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5" w:lineRule="auto"/>
            </w:pPr>
          </w:p>
          <w:p>
            <w:pPr>
              <w:pStyle w:val="6"/>
              <w:spacing w:line="245" w:lineRule="auto"/>
            </w:pPr>
          </w:p>
          <w:p>
            <w:pPr>
              <w:pStyle w:val="6"/>
              <w:spacing w:line="245" w:lineRule="auto"/>
            </w:pPr>
          </w:p>
          <w:p>
            <w:pPr>
              <w:pStyle w:val="6"/>
              <w:spacing w:line="245" w:lineRule="auto"/>
            </w:pPr>
          </w:p>
          <w:p>
            <w:pPr>
              <w:pStyle w:val="6"/>
              <w:spacing w:line="245" w:lineRule="auto"/>
            </w:pPr>
          </w:p>
          <w:p>
            <w:pPr>
              <w:spacing w:before="65" w:line="372" w:lineRule="auto"/>
              <w:ind w:left="277" w:right="277"/>
              <w:rPr>
                <w:rFonts w:ascii="宋体" w:hAnsi="宋体" w:eastAsia="宋体" w:cs="宋体"/>
                <w:sz w:val="20"/>
                <w:szCs w:val="20"/>
              </w:rPr>
            </w:pPr>
            <w:r>
              <w:rPr>
                <w:rFonts w:ascii="宋体" w:hAnsi="宋体" w:eastAsia="宋体" w:cs="宋体"/>
                <w:spacing w:val="6"/>
                <w:sz w:val="20"/>
                <w:szCs w:val="20"/>
              </w:rPr>
              <w:t>表彰表扬</w:t>
            </w:r>
          </w:p>
        </w:tc>
        <w:tc>
          <w:tcPr>
            <w:tcW w:w="5095" w:type="dxa"/>
            <w:gridSpan w:val="2"/>
            <w:vAlign w:val="top"/>
          </w:tcPr>
          <w:p>
            <w:pPr>
              <w:spacing w:before="244" w:line="347" w:lineRule="auto"/>
              <w:ind w:left="109" w:right="131" w:hanging="1"/>
              <w:rPr>
                <w:rFonts w:ascii="宋体" w:hAnsi="宋体" w:eastAsia="宋体" w:cs="宋体"/>
                <w:sz w:val="20"/>
                <w:szCs w:val="20"/>
              </w:rPr>
            </w:pPr>
            <w:r>
              <w:rPr>
                <w:rFonts w:ascii="宋体" w:hAnsi="宋体" w:eastAsia="宋体" w:cs="宋体"/>
                <w:spacing w:val="11"/>
                <w:sz w:val="20"/>
                <w:szCs w:val="20"/>
              </w:rPr>
              <w:t>企业及其员工从事工程造价咨询活动获得国</w:t>
            </w:r>
            <w:r>
              <w:rPr>
                <w:rFonts w:ascii="宋体" w:hAnsi="宋体" w:eastAsia="宋体" w:cs="宋体"/>
                <w:spacing w:val="10"/>
                <w:sz w:val="20"/>
                <w:szCs w:val="20"/>
              </w:rPr>
              <w:t>家部委、</w:t>
            </w:r>
            <w:r>
              <w:rPr>
                <w:rFonts w:ascii="宋体" w:hAnsi="宋体" w:eastAsia="宋体" w:cs="宋体"/>
                <w:spacing w:val="9"/>
                <w:sz w:val="20"/>
                <w:szCs w:val="20"/>
              </w:rPr>
              <w:t>省级人民政府及以上表彰表扬的</w:t>
            </w:r>
          </w:p>
        </w:tc>
        <w:tc>
          <w:tcPr>
            <w:tcW w:w="1367" w:type="dxa"/>
            <w:vAlign w:val="top"/>
          </w:tcPr>
          <w:p>
            <w:pPr>
              <w:pStyle w:val="6"/>
              <w:spacing w:line="373" w:lineRule="auto"/>
            </w:pPr>
          </w:p>
          <w:p>
            <w:pPr>
              <w:spacing w:before="65" w:line="278" w:lineRule="exact"/>
              <w:ind w:left="374"/>
              <w:rPr>
                <w:rFonts w:ascii="宋体" w:hAnsi="宋体" w:eastAsia="宋体" w:cs="宋体"/>
                <w:sz w:val="20"/>
                <w:szCs w:val="20"/>
              </w:rPr>
            </w:pPr>
            <w:r>
              <w:rPr>
                <w:rFonts w:ascii="宋体" w:hAnsi="宋体" w:eastAsia="宋体" w:cs="宋体"/>
                <w:spacing w:val="-8"/>
                <w:position w:val="1"/>
                <w:sz w:val="20"/>
                <w:szCs w:val="20"/>
              </w:rPr>
              <w:t>8</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分/项</w:t>
            </w:r>
          </w:p>
        </w:tc>
        <w:tc>
          <w:tcPr>
            <w:tcW w:w="926" w:type="dxa"/>
            <w:vMerge w:val="restart"/>
            <w:tcBorders>
              <w:bottom w:val="nil"/>
            </w:tcBorders>
            <w:vAlign w:val="top"/>
          </w:tcPr>
          <w:p>
            <w:pPr>
              <w:pStyle w:val="6"/>
              <w:spacing w:line="265"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pStyle w:val="6"/>
              <w:spacing w:line="266" w:lineRule="auto"/>
            </w:pPr>
          </w:p>
          <w:p>
            <w:pPr>
              <w:spacing w:before="65" w:line="279" w:lineRule="exact"/>
              <w:ind w:left="248"/>
              <w:rPr>
                <w:rFonts w:ascii="宋体" w:hAnsi="宋体" w:eastAsia="宋体" w:cs="宋体"/>
                <w:sz w:val="20"/>
                <w:szCs w:val="20"/>
              </w:rPr>
            </w:pPr>
            <w:r>
              <w:rPr>
                <w:rFonts w:ascii="宋体" w:hAnsi="宋体" w:eastAsia="宋体" w:cs="宋体"/>
                <w:spacing w:val="-4"/>
                <w:position w:val="1"/>
                <w:sz w:val="20"/>
                <w:szCs w:val="20"/>
              </w:rPr>
              <w:t>15</w:t>
            </w:r>
            <w:r>
              <w:rPr>
                <w:rFonts w:ascii="宋体" w:hAnsi="宋体" w:eastAsia="宋体" w:cs="宋体"/>
                <w:spacing w:val="-43"/>
                <w:position w:val="1"/>
                <w:sz w:val="20"/>
                <w:szCs w:val="20"/>
              </w:rPr>
              <w:t xml:space="preserve"> </w:t>
            </w:r>
            <w:r>
              <w:rPr>
                <w:rFonts w:ascii="宋体" w:hAnsi="宋体" w:eastAsia="宋体" w:cs="宋体"/>
                <w:spacing w:val="-4"/>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6" w:hRule="atLeast"/>
        </w:trPr>
        <w:tc>
          <w:tcPr>
            <w:tcW w:w="926" w:type="dxa"/>
            <w:vAlign w:val="top"/>
          </w:tcPr>
          <w:p>
            <w:pPr>
              <w:pStyle w:val="6"/>
              <w:spacing w:line="344" w:lineRule="auto"/>
            </w:pPr>
          </w:p>
          <w:p>
            <w:pPr>
              <w:spacing w:before="65" w:line="301" w:lineRule="exact"/>
              <w:ind w:left="414"/>
              <w:rPr>
                <w:rFonts w:ascii="宋体" w:hAnsi="宋体" w:eastAsia="宋体" w:cs="宋体"/>
                <w:sz w:val="20"/>
                <w:szCs w:val="20"/>
              </w:rPr>
            </w:pPr>
            <w:r>
              <w:rPr>
                <w:rFonts w:ascii="宋体" w:hAnsi="宋体" w:eastAsia="宋体" w:cs="宋体"/>
                <w:position w:val="2"/>
                <w:sz w:val="20"/>
                <w:szCs w:val="20"/>
              </w:rPr>
              <w:t>2</w:t>
            </w:r>
          </w:p>
        </w:tc>
        <w:tc>
          <w:tcPr>
            <w:tcW w:w="972" w:type="dxa"/>
            <w:vMerge w:val="continue"/>
            <w:tcBorders>
              <w:top w:val="nil"/>
              <w:bottom w:val="nil"/>
            </w:tcBorders>
            <w:vAlign w:val="top"/>
          </w:tcPr>
          <w:p>
            <w:pPr>
              <w:pStyle w:val="6"/>
            </w:pPr>
          </w:p>
        </w:tc>
        <w:tc>
          <w:tcPr>
            <w:tcW w:w="5095" w:type="dxa"/>
            <w:gridSpan w:val="2"/>
            <w:vAlign w:val="top"/>
          </w:tcPr>
          <w:p>
            <w:pPr>
              <w:spacing w:before="212" w:line="334" w:lineRule="auto"/>
              <w:ind w:left="127" w:right="106" w:hanging="19"/>
              <w:rPr>
                <w:rFonts w:ascii="宋体" w:hAnsi="宋体" w:eastAsia="宋体" w:cs="宋体"/>
                <w:sz w:val="20"/>
                <w:szCs w:val="20"/>
              </w:rPr>
            </w:pPr>
            <w:r>
              <w:rPr>
                <w:rFonts w:ascii="宋体" w:hAnsi="宋体" w:eastAsia="宋体" w:cs="宋体"/>
                <w:spacing w:val="12"/>
                <w:sz w:val="20"/>
                <w:szCs w:val="20"/>
              </w:rPr>
              <w:t>企业及其员工从事工程造价咨询活动获得省级主</w:t>
            </w:r>
            <w:r>
              <w:rPr>
                <w:rFonts w:ascii="宋体" w:hAnsi="宋体" w:eastAsia="宋体" w:cs="宋体"/>
                <w:spacing w:val="11"/>
                <w:sz w:val="20"/>
                <w:szCs w:val="20"/>
              </w:rPr>
              <w:t>管部</w:t>
            </w:r>
            <w:r>
              <w:rPr>
                <w:rFonts w:ascii="宋体" w:hAnsi="宋体" w:eastAsia="宋体" w:cs="宋体"/>
                <w:spacing w:val="8"/>
                <w:sz w:val="20"/>
                <w:szCs w:val="20"/>
              </w:rPr>
              <w:t>门、市级人民政府表彰表扬的</w:t>
            </w:r>
          </w:p>
        </w:tc>
        <w:tc>
          <w:tcPr>
            <w:tcW w:w="1367" w:type="dxa"/>
            <w:vAlign w:val="top"/>
          </w:tcPr>
          <w:p>
            <w:pPr>
              <w:pStyle w:val="6"/>
              <w:spacing w:line="344" w:lineRule="auto"/>
            </w:pPr>
          </w:p>
          <w:p>
            <w:pPr>
              <w:spacing w:before="65" w:line="278" w:lineRule="exact"/>
              <w:ind w:left="372"/>
              <w:rPr>
                <w:rFonts w:ascii="宋体" w:hAnsi="宋体" w:eastAsia="宋体" w:cs="宋体"/>
                <w:sz w:val="20"/>
                <w:szCs w:val="20"/>
              </w:rPr>
            </w:pPr>
            <w:r>
              <w:rPr>
                <w:rFonts w:ascii="宋体" w:hAnsi="宋体" w:eastAsia="宋体" w:cs="宋体"/>
                <w:spacing w:val="-8"/>
                <w:position w:val="1"/>
                <w:sz w:val="20"/>
                <w:szCs w:val="20"/>
              </w:rPr>
              <w:t>6</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分/项</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2" w:hRule="atLeast"/>
        </w:trPr>
        <w:tc>
          <w:tcPr>
            <w:tcW w:w="926" w:type="dxa"/>
            <w:vAlign w:val="top"/>
          </w:tcPr>
          <w:p>
            <w:pPr>
              <w:pStyle w:val="6"/>
              <w:spacing w:line="246" w:lineRule="auto"/>
            </w:pPr>
          </w:p>
          <w:p>
            <w:pPr>
              <w:pStyle w:val="6"/>
              <w:spacing w:line="246" w:lineRule="auto"/>
            </w:pPr>
          </w:p>
          <w:p>
            <w:pPr>
              <w:pStyle w:val="6"/>
              <w:spacing w:line="247" w:lineRule="auto"/>
            </w:pPr>
          </w:p>
          <w:p>
            <w:pPr>
              <w:spacing w:before="65" w:line="300" w:lineRule="exact"/>
              <w:ind w:left="417"/>
              <w:rPr>
                <w:rFonts w:ascii="宋体" w:hAnsi="宋体" w:eastAsia="宋体" w:cs="宋体"/>
                <w:sz w:val="20"/>
                <w:szCs w:val="20"/>
              </w:rPr>
            </w:pPr>
            <w:r>
              <w:rPr>
                <w:rFonts w:ascii="宋体" w:hAnsi="宋体" w:eastAsia="宋体" w:cs="宋体"/>
                <w:position w:val="2"/>
                <w:sz w:val="20"/>
                <w:szCs w:val="20"/>
              </w:rPr>
              <w:t>3</w:t>
            </w:r>
          </w:p>
        </w:tc>
        <w:tc>
          <w:tcPr>
            <w:tcW w:w="972" w:type="dxa"/>
            <w:vMerge w:val="continue"/>
            <w:tcBorders>
              <w:top w:val="nil"/>
              <w:bottom w:val="nil"/>
            </w:tcBorders>
            <w:vAlign w:val="top"/>
          </w:tcPr>
          <w:p>
            <w:pPr>
              <w:pStyle w:val="6"/>
            </w:pPr>
          </w:p>
        </w:tc>
        <w:tc>
          <w:tcPr>
            <w:tcW w:w="5095" w:type="dxa"/>
            <w:gridSpan w:val="2"/>
            <w:vAlign w:val="top"/>
          </w:tcPr>
          <w:p>
            <w:pPr>
              <w:spacing w:before="211" w:line="351" w:lineRule="auto"/>
              <w:ind w:left="109" w:right="104" w:hanging="1"/>
              <w:jc w:val="both"/>
              <w:rPr>
                <w:rFonts w:ascii="宋体" w:hAnsi="宋体" w:eastAsia="宋体" w:cs="宋体"/>
                <w:sz w:val="20"/>
                <w:szCs w:val="20"/>
              </w:rPr>
            </w:pPr>
            <w:r>
              <w:rPr>
                <w:rFonts w:ascii="宋体" w:hAnsi="宋体" w:eastAsia="宋体" w:cs="宋体"/>
                <w:spacing w:val="12"/>
                <w:sz w:val="20"/>
                <w:szCs w:val="20"/>
              </w:rPr>
              <w:t>企业及其员工从事工程造价咨询活动获得省级造价机构、市级主管部门、县级人民政府表彰表扬，或</w:t>
            </w:r>
            <w:r>
              <w:rPr>
                <w:rFonts w:ascii="宋体" w:hAnsi="宋体" w:eastAsia="宋体" w:cs="宋体"/>
                <w:spacing w:val="11"/>
                <w:sz w:val="20"/>
                <w:szCs w:val="20"/>
              </w:rPr>
              <w:t>获得</w:t>
            </w:r>
            <w:r>
              <w:rPr>
                <w:rFonts w:ascii="宋体" w:hAnsi="宋体" w:eastAsia="宋体" w:cs="宋体"/>
                <w:spacing w:val="12"/>
                <w:sz w:val="20"/>
                <w:szCs w:val="20"/>
              </w:rPr>
              <w:t>国家级社会组织经主管部门同意开展的工程造价类表</w:t>
            </w:r>
            <w:r>
              <w:rPr>
                <w:rFonts w:ascii="宋体" w:hAnsi="宋体" w:eastAsia="宋体" w:cs="宋体"/>
                <w:spacing w:val="8"/>
                <w:sz w:val="20"/>
                <w:szCs w:val="20"/>
              </w:rPr>
              <w:t>彰表扬的</w:t>
            </w:r>
          </w:p>
        </w:tc>
        <w:tc>
          <w:tcPr>
            <w:tcW w:w="1367" w:type="dxa"/>
            <w:vAlign w:val="top"/>
          </w:tcPr>
          <w:p>
            <w:pPr>
              <w:pStyle w:val="6"/>
              <w:spacing w:line="246" w:lineRule="auto"/>
            </w:pPr>
          </w:p>
          <w:p>
            <w:pPr>
              <w:pStyle w:val="6"/>
              <w:spacing w:line="246" w:lineRule="auto"/>
            </w:pPr>
          </w:p>
          <w:p>
            <w:pPr>
              <w:pStyle w:val="6"/>
              <w:spacing w:line="247" w:lineRule="auto"/>
            </w:pPr>
          </w:p>
          <w:p>
            <w:pPr>
              <w:spacing w:before="65" w:line="279" w:lineRule="exact"/>
              <w:ind w:left="368"/>
              <w:rPr>
                <w:rFonts w:ascii="宋体" w:hAnsi="宋体" w:eastAsia="宋体" w:cs="宋体"/>
                <w:sz w:val="20"/>
                <w:szCs w:val="20"/>
              </w:rPr>
            </w:pPr>
            <w:r>
              <w:rPr>
                <w:rFonts w:ascii="宋体" w:hAnsi="宋体" w:eastAsia="宋体" w:cs="宋体"/>
                <w:spacing w:val="-7"/>
                <w:position w:val="1"/>
                <w:sz w:val="20"/>
                <w:szCs w:val="20"/>
              </w:rPr>
              <w:t>4</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分/项</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62" w:hRule="atLeast"/>
        </w:trPr>
        <w:tc>
          <w:tcPr>
            <w:tcW w:w="926" w:type="dxa"/>
            <w:vAlign w:val="top"/>
          </w:tcPr>
          <w:p>
            <w:pPr>
              <w:pStyle w:val="6"/>
              <w:spacing w:line="275" w:lineRule="auto"/>
            </w:pPr>
          </w:p>
          <w:p>
            <w:pPr>
              <w:pStyle w:val="6"/>
              <w:spacing w:line="276" w:lineRule="auto"/>
            </w:pPr>
          </w:p>
          <w:p>
            <w:pPr>
              <w:spacing w:before="65" w:line="301" w:lineRule="exact"/>
              <w:ind w:left="411"/>
              <w:rPr>
                <w:rFonts w:ascii="宋体" w:hAnsi="宋体" w:eastAsia="宋体" w:cs="宋体"/>
                <w:sz w:val="20"/>
                <w:szCs w:val="20"/>
              </w:rPr>
            </w:pPr>
            <w:r>
              <w:rPr>
                <w:rFonts w:ascii="宋体" w:hAnsi="宋体" w:eastAsia="宋体" w:cs="宋体"/>
                <w:spacing w:val="1"/>
                <w:position w:val="2"/>
                <w:sz w:val="20"/>
                <w:szCs w:val="20"/>
              </w:rPr>
              <w:t>4</w:t>
            </w:r>
          </w:p>
        </w:tc>
        <w:tc>
          <w:tcPr>
            <w:tcW w:w="972" w:type="dxa"/>
            <w:vMerge w:val="continue"/>
            <w:tcBorders>
              <w:top w:val="nil"/>
            </w:tcBorders>
            <w:vAlign w:val="top"/>
          </w:tcPr>
          <w:p>
            <w:pPr>
              <w:pStyle w:val="6"/>
            </w:pPr>
          </w:p>
        </w:tc>
        <w:tc>
          <w:tcPr>
            <w:tcW w:w="5095" w:type="dxa"/>
            <w:gridSpan w:val="2"/>
            <w:vAlign w:val="top"/>
          </w:tcPr>
          <w:p>
            <w:pPr>
              <w:spacing w:before="224" w:line="347" w:lineRule="auto"/>
              <w:ind w:left="109" w:right="106" w:hanging="1"/>
              <w:jc w:val="both"/>
              <w:rPr>
                <w:rFonts w:ascii="宋体" w:hAnsi="宋体" w:eastAsia="宋体" w:cs="宋体"/>
                <w:sz w:val="20"/>
                <w:szCs w:val="20"/>
              </w:rPr>
            </w:pPr>
            <w:r>
              <w:rPr>
                <w:rFonts w:ascii="宋体" w:hAnsi="宋体" w:eastAsia="宋体" w:cs="宋体"/>
                <w:spacing w:val="12"/>
                <w:sz w:val="20"/>
                <w:szCs w:val="20"/>
              </w:rPr>
              <w:t>企业及其员工从事工程造价咨询活动获得市级造</w:t>
            </w:r>
            <w:r>
              <w:rPr>
                <w:rFonts w:ascii="宋体" w:hAnsi="宋体" w:eastAsia="宋体" w:cs="宋体"/>
                <w:spacing w:val="11"/>
                <w:sz w:val="20"/>
                <w:szCs w:val="20"/>
              </w:rPr>
              <w:t>价机</w:t>
            </w:r>
            <w:r>
              <w:rPr>
                <w:rFonts w:ascii="宋体" w:hAnsi="宋体" w:eastAsia="宋体" w:cs="宋体"/>
                <w:spacing w:val="10"/>
                <w:sz w:val="20"/>
                <w:szCs w:val="20"/>
              </w:rPr>
              <w:t>构、县级主管部门表彰表扬</w:t>
            </w:r>
            <w:r>
              <w:rPr>
                <w:rFonts w:ascii="宋体" w:hAnsi="宋体" w:eastAsia="宋体" w:cs="宋体"/>
                <w:spacing w:val="-58"/>
                <w:sz w:val="20"/>
                <w:szCs w:val="20"/>
              </w:rPr>
              <w:t xml:space="preserve"> </w:t>
            </w:r>
            <w:r>
              <w:rPr>
                <w:rFonts w:ascii="宋体" w:hAnsi="宋体" w:eastAsia="宋体" w:cs="宋体"/>
                <w:spacing w:val="10"/>
                <w:sz w:val="20"/>
                <w:szCs w:val="20"/>
              </w:rPr>
              <w:t>，或获得省级社会组织经</w:t>
            </w:r>
            <w:r>
              <w:rPr>
                <w:rFonts w:ascii="宋体" w:hAnsi="宋体" w:eastAsia="宋体" w:cs="宋体"/>
                <w:spacing w:val="9"/>
                <w:sz w:val="20"/>
                <w:szCs w:val="20"/>
              </w:rPr>
              <w:t>主管部门同意开展的工程造价类表彰表扬的</w:t>
            </w:r>
          </w:p>
        </w:tc>
        <w:tc>
          <w:tcPr>
            <w:tcW w:w="1367" w:type="dxa"/>
            <w:vAlign w:val="top"/>
          </w:tcPr>
          <w:p>
            <w:pPr>
              <w:pStyle w:val="6"/>
              <w:spacing w:line="275" w:lineRule="auto"/>
            </w:pPr>
          </w:p>
          <w:p>
            <w:pPr>
              <w:pStyle w:val="6"/>
              <w:spacing w:line="276" w:lineRule="auto"/>
            </w:pPr>
          </w:p>
          <w:p>
            <w:pPr>
              <w:spacing w:before="65" w:line="278" w:lineRule="exact"/>
              <w:ind w:left="371"/>
              <w:rPr>
                <w:rFonts w:ascii="宋体" w:hAnsi="宋体" w:eastAsia="宋体" w:cs="宋体"/>
                <w:sz w:val="20"/>
                <w:szCs w:val="20"/>
              </w:rPr>
            </w:pPr>
            <w:r>
              <w:rPr>
                <w:rFonts w:ascii="宋体" w:hAnsi="宋体" w:eastAsia="宋体" w:cs="宋体"/>
                <w:spacing w:val="-8"/>
                <w:position w:val="1"/>
                <w:sz w:val="20"/>
                <w:szCs w:val="20"/>
              </w:rPr>
              <w:t>2</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分/项</w:t>
            </w:r>
          </w:p>
        </w:tc>
        <w:tc>
          <w:tcPr>
            <w:tcW w:w="926" w:type="dxa"/>
            <w:vMerge w:val="continue"/>
            <w:tcBorders>
              <w:top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5" w:hRule="atLeast"/>
        </w:trPr>
        <w:tc>
          <w:tcPr>
            <w:tcW w:w="926" w:type="dxa"/>
            <w:vAlign w:val="top"/>
          </w:tcPr>
          <w:p>
            <w:pPr>
              <w:spacing w:before="239" w:line="299" w:lineRule="exact"/>
              <w:ind w:left="414"/>
              <w:rPr>
                <w:rFonts w:ascii="宋体" w:hAnsi="宋体" w:eastAsia="宋体" w:cs="宋体"/>
                <w:sz w:val="20"/>
                <w:szCs w:val="20"/>
              </w:rPr>
            </w:pPr>
            <w:r>
              <w:rPr>
                <w:rFonts w:ascii="宋体" w:hAnsi="宋体" w:eastAsia="宋体" w:cs="宋体"/>
                <w:position w:val="2"/>
                <w:sz w:val="20"/>
                <w:szCs w:val="20"/>
              </w:rPr>
              <w:t>5</w:t>
            </w:r>
          </w:p>
        </w:tc>
        <w:tc>
          <w:tcPr>
            <w:tcW w:w="972" w:type="dxa"/>
            <w:vMerge w:val="restart"/>
            <w:tcBorders>
              <w:bottom w:val="nil"/>
            </w:tcBorders>
            <w:vAlign w:val="top"/>
          </w:tcPr>
          <w:p>
            <w:pPr>
              <w:pStyle w:val="6"/>
              <w:spacing w:line="244" w:lineRule="auto"/>
            </w:pPr>
          </w:p>
          <w:p>
            <w:pPr>
              <w:pStyle w:val="6"/>
              <w:spacing w:line="245" w:lineRule="auto"/>
            </w:pPr>
          </w:p>
          <w:p>
            <w:pPr>
              <w:pStyle w:val="6"/>
              <w:spacing w:line="245" w:lineRule="auto"/>
            </w:pPr>
          </w:p>
          <w:p>
            <w:pPr>
              <w:pStyle w:val="6"/>
              <w:spacing w:line="245" w:lineRule="auto"/>
            </w:pPr>
          </w:p>
          <w:p>
            <w:pPr>
              <w:pStyle w:val="6"/>
              <w:spacing w:line="245" w:lineRule="auto"/>
            </w:pPr>
          </w:p>
          <w:p>
            <w:pPr>
              <w:pStyle w:val="6"/>
              <w:spacing w:line="245" w:lineRule="auto"/>
            </w:pPr>
          </w:p>
          <w:p>
            <w:pPr>
              <w:spacing w:before="65" w:line="298" w:lineRule="auto"/>
              <w:ind w:left="280" w:right="277" w:hanging="4"/>
              <w:rPr>
                <w:rFonts w:ascii="宋体" w:hAnsi="宋体" w:eastAsia="宋体" w:cs="宋体"/>
                <w:sz w:val="20"/>
                <w:szCs w:val="20"/>
              </w:rPr>
            </w:pPr>
            <w:r>
              <w:rPr>
                <w:rFonts w:ascii="宋体" w:hAnsi="宋体" w:eastAsia="宋体" w:cs="宋体"/>
                <w:spacing w:val="6"/>
                <w:sz w:val="20"/>
                <w:szCs w:val="20"/>
              </w:rPr>
              <w:t>专业</w:t>
            </w:r>
            <w:r>
              <w:rPr>
                <w:rFonts w:ascii="宋体" w:hAnsi="宋体" w:eastAsia="宋体" w:cs="宋体"/>
                <w:spacing w:val="4"/>
                <w:sz w:val="20"/>
                <w:szCs w:val="20"/>
              </w:rPr>
              <w:t>能力</w:t>
            </w:r>
          </w:p>
        </w:tc>
        <w:tc>
          <w:tcPr>
            <w:tcW w:w="2121" w:type="dxa"/>
            <w:vMerge w:val="restart"/>
            <w:tcBorders>
              <w:bottom w:val="nil"/>
            </w:tcBorders>
            <w:vAlign w:val="top"/>
          </w:tcPr>
          <w:p>
            <w:pPr>
              <w:pStyle w:val="6"/>
              <w:spacing w:line="340" w:lineRule="auto"/>
            </w:pPr>
          </w:p>
          <w:p>
            <w:pPr>
              <w:spacing w:before="65" w:line="296" w:lineRule="auto"/>
              <w:ind w:left="108" w:right="122" w:hanging="1"/>
              <w:rPr>
                <w:rFonts w:ascii="宋体" w:hAnsi="宋体" w:eastAsia="宋体" w:cs="宋体"/>
                <w:sz w:val="20"/>
                <w:szCs w:val="20"/>
              </w:rPr>
            </w:pPr>
            <w:r>
              <w:rPr>
                <w:rFonts w:ascii="宋体" w:hAnsi="宋体" w:eastAsia="宋体" w:cs="宋体"/>
                <w:spacing w:val="9"/>
                <w:sz w:val="20"/>
                <w:szCs w:val="20"/>
              </w:rPr>
              <w:t>作为参编单位编写工程建设标准规范</w:t>
            </w:r>
          </w:p>
        </w:tc>
        <w:tc>
          <w:tcPr>
            <w:tcW w:w="2974" w:type="dxa"/>
            <w:vAlign w:val="top"/>
          </w:tcPr>
          <w:p>
            <w:pPr>
              <w:spacing w:before="244" w:line="219" w:lineRule="auto"/>
              <w:ind w:left="564"/>
              <w:rPr>
                <w:rFonts w:ascii="宋体" w:hAnsi="宋体" w:eastAsia="宋体" w:cs="宋体"/>
                <w:sz w:val="20"/>
                <w:szCs w:val="20"/>
              </w:rPr>
            </w:pPr>
            <w:r>
              <w:rPr>
                <w:rFonts w:ascii="宋体" w:hAnsi="宋体" w:eastAsia="宋体" w:cs="宋体"/>
                <w:spacing w:val="7"/>
                <w:sz w:val="20"/>
                <w:szCs w:val="20"/>
              </w:rPr>
              <w:t>国际、国家标准规范</w:t>
            </w:r>
          </w:p>
        </w:tc>
        <w:tc>
          <w:tcPr>
            <w:tcW w:w="1367" w:type="dxa"/>
            <w:vAlign w:val="top"/>
          </w:tcPr>
          <w:p>
            <w:pPr>
              <w:spacing w:before="239" w:line="278" w:lineRule="exact"/>
              <w:ind w:left="335"/>
              <w:rPr>
                <w:rFonts w:ascii="宋体" w:hAnsi="宋体" w:eastAsia="宋体" w:cs="宋体"/>
                <w:sz w:val="20"/>
                <w:szCs w:val="20"/>
              </w:rPr>
            </w:pPr>
            <w:r>
              <w:rPr>
                <w:rFonts w:ascii="宋体" w:hAnsi="宋体" w:eastAsia="宋体" w:cs="宋体"/>
                <w:spacing w:val="-10"/>
                <w:position w:val="1"/>
                <w:sz w:val="20"/>
                <w:szCs w:val="20"/>
              </w:rPr>
              <w:t>10</w:t>
            </w:r>
            <w:r>
              <w:rPr>
                <w:rFonts w:ascii="宋体" w:hAnsi="宋体" w:eastAsia="宋体" w:cs="宋体"/>
                <w:spacing w:val="-37"/>
                <w:position w:val="1"/>
                <w:sz w:val="20"/>
                <w:szCs w:val="20"/>
              </w:rPr>
              <w:t xml:space="preserve"> </w:t>
            </w:r>
            <w:r>
              <w:rPr>
                <w:rFonts w:ascii="宋体" w:hAnsi="宋体" w:eastAsia="宋体" w:cs="宋体"/>
                <w:spacing w:val="-10"/>
                <w:position w:val="1"/>
                <w:sz w:val="20"/>
                <w:szCs w:val="20"/>
              </w:rPr>
              <w:t>分/项</w:t>
            </w:r>
          </w:p>
        </w:tc>
        <w:tc>
          <w:tcPr>
            <w:tcW w:w="926" w:type="dxa"/>
            <w:vMerge w:val="restart"/>
            <w:tcBorders>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5" w:lineRule="auto"/>
            </w:pPr>
          </w:p>
          <w:p>
            <w:pPr>
              <w:spacing w:before="65" w:line="279" w:lineRule="exact"/>
              <w:ind w:left="231"/>
              <w:rPr>
                <w:rFonts w:ascii="宋体" w:hAnsi="宋体" w:eastAsia="宋体" w:cs="宋体"/>
                <w:sz w:val="20"/>
                <w:szCs w:val="20"/>
              </w:rPr>
            </w:pPr>
            <w:r>
              <w:rPr>
                <w:rFonts w:ascii="宋体" w:hAnsi="宋体" w:eastAsia="宋体" w:cs="宋体"/>
                <w:spacing w:val="1"/>
                <w:position w:val="1"/>
                <w:sz w:val="20"/>
                <w:szCs w:val="20"/>
              </w:rPr>
              <w:t>20</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5" w:hRule="atLeast"/>
        </w:trPr>
        <w:tc>
          <w:tcPr>
            <w:tcW w:w="926" w:type="dxa"/>
            <w:vAlign w:val="top"/>
          </w:tcPr>
          <w:p>
            <w:pPr>
              <w:spacing w:before="239" w:line="300" w:lineRule="exact"/>
              <w:ind w:left="415"/>
              <w:rPr>
                <w:rFonts w:ascii="宋体" w:hAnsi="宋体" w:eastAsia="宋体" w:cs="宋体"/>
                <w:sz w:val="20"/>
                <w:szCs w:val="20"/>
              </w:rPr>
            </w:pPr>
            <w:r>
              <w:rPr>
                <w:rFonts w:ascii="宋体" w:hAnsi="宋体" w:eastAsia="宋体" w:cs="宋体"/>
                <w:position w:val="2"/>
                <w:sz w:val="20"/>
                <w:szCs w:val="20"/>
              </w:rPr>
              <w:t>6</w:t>
            </w:r>
          </w:p>
        </w:tc>
        <w:tc>
          <w:tcPr>
            <w:tcW w:w="972" w:type="dxa"/>
            <w:vMerge w:val="continue"/>
            <w:tcBorders>
              <w:top w:val="nil"/>
              <w:bottom w:val="nil"/>
            </w:tcBorders>
            <w:vAlign w:val="top"/>
          </w:tcPr>
          <w:p>
            <w:pPr>
              <w:pStyle w:val="6"/>
            </w:pPr>
          </w:p>
        </w:tc>
        <w:tc>
          <w:tcPr>
            <w:tcW w:w="2121" w:type="dxa"/>
            <w:vMerge w:val="continue"/>
            <w:tcBorders>
              <w:top w:val="nil"/>
            </w:tcBorders>
            <w:vAlign w:val="top"/>
          </w:tcPr>
          <w:p>
            <w:pPr>
              <w:pStyle w:val="6"/>
            </w:pPr>
          </w:p>
        </w:tc>
        <w:tc>
          <w:tcPr>
            <w:tcW w:w="2974" w:type="dxa"/>
            <w:vAlign w:val="top"/>
          </w:tcPr>
          <w:p>
            <w:pPr>
              <w:spacing w:before="244" w:line="219" w:lineRule="auto"/>
              <w:ind w:left="542"/>
              <w:rPr>
                <w:rFonts w:ascii="宋体" w:hAnsi="宋体" w:eastAsia="宋体" w:cs="宋体"/>
                <w:sz w:val="20"/>
                <w:szCs w:val="20"/>
              </w:rPr>
            </w:pPr>
            <w:r>
              <w:rPr>
                <w:rFonts w:ascii="宋体" w:hAnsi="宋体" w:eastAsia="宋体" w:cs="宋体"/>
                <w:spacing w:val="9"/>
                <w:sz w:val="20"/>
                <w:szCs w:val="20"/>
              </w:rPr>
              <w:t>行业、地方标准规范</w:t>
            </w:r>
          </w:p>
        </w:tc>
        <w:tc>
          <w:tcPr>
            <w:tcW w:w="1367" w:type="dxa"/>
            <w:vAlign w:val="top"/>
          </w:tcPr>
          <w:p>
            <w:pPr>
              <w:spacing w:before="239" w:line="278" w:lineRule="exact"/>
              <w:ind w:left="371"/>
              <w:rPr>
                <w:rFonts w:ascii="宋体" w:hAnsi="宋体" w:eastAsia="宋体" w:cs="宋体"/>
                <w:sz w:val="20"/>
                <w:szCs w:val="20"/>
              </w:rPr>
            </w:pPr>
            <w:r>
              <w:rPr>
                <w:rFonts w:ascii="宋体" w:hAnsi="宋体" w:eastAsia="宋体" w:cs="宋体"/>
                <w:spacing w:val="-8"/>
                <w:position w:val="1"/>
                <w:sz w:val="20"/>
                <w:szCs w:val="20"/>
              </w:rPr>
              <w:t>5</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分/项</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5" w:hRule="atLeast"/>
        </w:trPr>
        <w:tc>
          <w:tcPr>
            <w:tcW w:w="926" w:type="dxa"/>
            <w:vAlign w:val="top"/>
          </w:tcPr>
          <w:p>
            <w:pPr>
              <w:pStyle w:val="6"/>
              <w:spacing w:line="421" w:lineRule="auto"/>
            </w:pPr>
          </w:p>
          <w:p>
            <w:pPr>
              <w:spacing w:before="65" w:line="300" w:lineRule="exact"/>
              <w:ind w:left="412"/>
              <w:rPr>
                <w:rFonts w:ascii="宋体" w:hAnsi="宋体" w:eastAsia="宋体" w:cs="宋体"/>
                <w:sz w:val="20"/>
                <w:szCs w:val="20"/>
              </w:rPr>
            </w:pPr>
            <w:r>
              <w:rPr>
                <w:rFonts w:ascii="宋体" w:hAnsi="宋体" w:eastAsia="宋体" w:cs="宋体"/>
                <w:position w:val="2"/>
                <w:sz w:val="20"/>
                <w:szCs w:val="20"/>
              </w:rPr>
              <w:t>7</w:t>
            </w:r>
          </w:p>
        </w:tc>
        <w:tc>
          <w:tcPr>
            <w:tcW w:w="972" w:type="dxa"/>
            <w:vMerge w:val="continue"/>
            <w:tcBorders>
              <w:top w:val="nil"/>
              <w:bottom w:val="nil"/>
            </w:tcBorders>
            <w:vAlign w:val="top"/>
          </w:tcPr>
          <w:p>
            <w:pPr>
              <w:pStyle w:val="6"/>
            </w:pPr>
          </w:p>
        </w:tc>
        <w:tc>
          <w:tcPr>
            <w:tcW w:w="6462" w:type="dxa"/>
            <w:gridSpan w:val="3"/>
            <w:vAlign w:val="top"/>
          </w:tcPr>
          <w:p>
            <w:pPr>
              <w:spacing w:before="168" w:line="295" w:lineRule="auto"/>
              <w:ind w:left="109" w:right="105" w:hanging="3"/>
              <w:jc w:val="both"/>
              <w:rPr>
                <w:rFonts w:ascii="宋体" w:hAnsi="宋体" w:eastAsia="宋体" w:cs="宋体"/>
                <w:sz w:val="20"/>
                <w:szCs w:val="20"/>
              </w:rPr>
            </w:pPr>
            <w:r>
              <w:rPr>
                <w:rFonts w:ascii="宋体" w:hAnsi="宋体" w:eastAsia="宋体" w:cs="宋体"/>
                <w:spacing w:val="8"/>
                <w:sz w:val="20"/>
                <w:szCs w:val="20"/>
              </w:rPr>
              <w:t>参与市级及以上主管部门（或造价机构）立项或委托的课题研究、试点示范，计价依据、工作导则（指引）、培训教材制修订等，国家级</w:t>
            </w:r>
            <w:r>
              <w:rPr>
                <w:rFonts w:ascii="宋体" w:hAnsi="宋体" w:eastAsia="宋体" w:cs="宋体"/>
                <w:spacing w:val="-2"/>
                <w:sz w:val="20"/>
                <w:szCs w:val="20"/>
              </w:rPr>
              <w:t>10</w:t>
            </w:r>
            <w:r>
              <w:rPr>
                <w:rFonts w:ascii="宋体" w:hAnsi="宋体" w:eastAsia="宋体" w:cs="宋体"/>
                <w:spacing w:val="-42"/>
                <w:sz w:val="20"/>
                <w:szCs w:val="20"/>
              </w:rPr>
              <w:t xml:space="preserve"> </w:t>
            </w:r>
            <w:r>
              <w:rPr>
                <w:rFonts w:ascii="宋体" w:hAnsi="宋体" w:eastAsia="宋体" w:cs="宋体"/>
                <w:spacing w:val="-2"/>
                <w:sz w:val="20"/>
                <w:szCs w:val="20"/>
              </w:rPr>
              <w:t>分/项，省级</w:t>
            </w:r>
            <w:r>
              <w:rPr>
                <w:rFonts w:ascii="宋体" w:hAnsi="宋体" w:eastAsia="宋体" w:cs="宋体"/>
                <w:spacing w:val="-41"/>
                <w:sz w:val="20"/>
                <w:szCs w:val="20"/>
              </w:rPr>
              <w:t xml:space="preserve"> </w:t>
            </w:r>
            <w:r>
              <w:rPr>
                <w:rFonts w:ascii="宋体" w:hAnsi="宋体" w:eastAsia="宋体" w:cs="宋体"/>
                <w:spacing w:val="-2"/>
                <w:sz w:val="20"/>
                <w:szCs w:val="20"/>
              </w:rPr>
              <w:t>5</w:t>
            </w:r>
            <w:r>
              <w:rPr>
                <w:rFonts w:ascii="宋体" w:hAnsi="宋体" w:eastAsia="宋体" w:cs="宋体"/>
                <w:spacing w:val="-41"/>
                <w:sz w:val="20"/>
                <w:szCs w:val="20"/>
              </w:rPr>
              <w:t xml:space="preserve"> </w:t>
            </w:r>
            <w:r>
              <w:rPr>
                <w:rFonts w:ascii="宋体" w:hAnsi="宋体" w:eastAsia="宋体" w:cs="宋体"/>
                <w:spacing w:val="-2"/>
                <w:sz w:val="20"/>
                <w:szCs w:val="20"/>
              </w:rPr>
              <w:t>分/项，市级</w:t>
            </w:r>
            <w:r>
              <w:rPr>
                <w:rFonts w:ascii="宋体" w:hAnsi="宋体" w:eastAsia="宋体" w:cs="宋体"/>
                <w:spacing w:val="-36"/>
                <w:sz w:val="20"/>
                <w:szCs w:val="20"/>
              </w:rPr>
              <w:t xml:space="preserve"> </w:t>
            </w:r>
            <w:r>
              <w:rPr>
                <w:rFonts w:ascii="宋体" w:hAnsi="宋体" w:eastAsia="宋体" w:cs="宋体"/>
                <w:spacing w:val="-2"/>
                <w:sz w:val="20"/>
                <w:szCs w:val="20"/>
              </w:rPr>
              <w:t>3</w:t>
            </w:r>
            <w:r>
              <w:rPr>
                <w:rFonts w:ascii="宋体" w:hAnsi="宋体" w:eastAsia="宋体" w:cs="宋体"/>
                <w:spacing w:val="-40"/>
                <w:sz w:val="20"/>
                <w:szCs w:val="20"/>
              </w:rPr>
              <w:t xml:space="preserve"> </w:t>
            </w:r>
            <w:r>
              <w:rPr>
                <w:rFonts w:ascii="宋体" w:hAnsi="宋体" w:eastAsia="宋体" w:cs="宋体"/>
                <w:spacing w:val="-2"/>
                <w:sz w:val="20"/>
                <w:szCs w:val="20"/>
              </w:rPr>
              <w:t>分/项</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9" w:hRule="atLeast"/>
        </w:trPr>
        <w:tc>
          <w:tcPr>
            <w:tcW w:w="926" w:type="dxa"/>
            <w:vAlign w:val="top"/>
          </w:tcPr>
          <w:p>
            <w:pPr>
              <w:pStyle w:val="6"/>
              <w:spacing w:line="249" w:lineRule="auto"/>
            </w:pPr>
          </w:p>
          <w:p>
            <w:pPr>
              <w:spacing w:before="65" w:line="300" w:lineRule="exact"/>
              <w:ind w:left="416"/>
              <w:rPr>
                <w:rFonts w:ascii="宋体" w:hAnsi="宋体" w:eastAsia="宋体" w:cs="宋体"/>
                <w:sz w:val="20"/>
                <w:szCs w:val="20"/>
              </w:rPr>
            </w:pPr>
            <w:r>
              <w:rPr>
                <w:rFonts w:ascii="宋体" w:hAnsi="宋体" w:eastAsia="宋体" w:cs="宋体"/>
                <w:position w:val="2"/>
                <w:sz w:val="20"/>
                <w:szCs w:val="20"/>
              </w:rPr>
              <w:t>8</w:t>
            </w:r>
          </w:p>
        </w:tc>
        <w:tc>
          <w:tcPr>
            <w:tcW w:w="972" w:type="dxa"/>
            <w:vMerge w:val="continue"/>
            <w:tcBorders>
              <w:top w:val="nil"/>
            </w:tcBorders>
            <w:vAlign w:val="top"/>
          </w:tcPr>
          <w:p>
            <w:pPr>
              <w:pStyle w:val="6"/>
            </w:pPr>
          </w:p>
        </w:tc>
        <w:tc>
          <w:tcPr>
            <w:tcW w:w="6462" w:type="dxa"/>
            <w:gridSpan w:val="3"/>
            <w:vAlign w:val="top"/>
          </w:tcPr>
          <w:p>
            <w:pPr>
              <w:spacing w:before="156" w:line="292" w:lineRule="auto"/>
              <w:ind w:left="108" w:right="155"/>
              <w:rPr>
                <w:rFonts w:ascii="宋体" w:hAnsi="宋体" w:eastAsia="宋体" w:cs="宋体"/>
                <w:sz w:val="20"/>
                <w:szCs w:val="20"/>
              </w:rPr>
            </w:pPr>
            <w:r>
              <w:rPr>
                <w:rFonts w:ascii="宋体" w:hAnsi="宋体" w:eastAsia="宋体" w:cs="宋体"/>
                <w:spacing w:val="6"/>
                <w:sz w:val="20"/>
                <w:szCs w:val="20"/>
              </w:rPr>
              <w:t>企业参加造价行业专业技能类竞赛中获奖，国家级</w:t>
            </w:r>
            <w:r>
              <w:rPr>
                <w:rFonts w:ascii="宋体" w:hAnsi="宋体" w:eastAsia="宋体" w:cs="宋体"/>
                <w:spacing w:val="-18"/>
                <w:sz w:val="20"/>
                <w:szCs w:val="20"/>
              </w:rPr>
              <w:t xml:space="preserve"> </w:t>
            </w:r>
            <w:r>
              <w:rPr>
                <w:rFonts w:ascii="宋体" w:hAnsi="宋体" w:eastAsia="宋体" w:cs="宋体"/>
                <w:spacing w:val="6"/>
                <w:sz w:val="20"/>
                <w:szCs w:val="20"/>
              </w:rPr>
              <w:t>10</w:t>
            </w:r>
            <w:r>
              <w:rPr>
                <w:rFonts w:ascii="宋体" w:hAnsi="宋体" w:eastAsia="宋体" w:cs="宋体"/>
                <w:spacing w:val="-40"/>
                <w:sz w:val="20"/>
                <w:szCs w:val="20"/>
              </w:rPr>
              <w:t xml:space="preserve"> </w:t>
            </w:r>
            <w:r>
              <w:rPr>
                <w:rFonts w:ascii="宋体" w:hAnsi="宋体" w:eastAsia="宋体" w:cs="宋体"/>
                <w:spacing w:val="6"/>
                <w:sz w:val="20"/>
                <w:szCs w:val="20"/>
              </w:rPr>
              <w:t>分/项，省级</w:t>
            </w:r>
            <w:r>
              <w:rPr>
                <w:rFonts w:ascii="宋体" w:hAnsi="宋体" w:eastAsia="宋体" w:cs="宋体"/>
                <w:spacing w:val="-36"/>
                <w:sz w:val="20"/>
                <w:szCs w:val="20"/>
              </w:rPr>
              <w:t xml:space="preserve"> </w:t>
            </w:r>
            <w:r>
              <w:rPr>
                <w:rFonts w:ascii="宋体" w:hAnsi="宋体" w:eastAsia="宋体" w:cs="宋体"/>
                <w:spacing w:val="6"/>
                <w:sz w:val="20"/>
                <w:szCs w:val="20"/>
              </w:rPr>
              <w:t>6</w:t>
            </w:r>
            <w:r>
              <w:rPr>
                <w:rFonts w:ascii="宋体" w:hAnsi="宋体" w:eastAsia="宋体" w:cs="宋体"/>
                <w:spacing w:val="5"/>
                <w:sz w:val="20"/>
                <w:szCs w:val="20"/>
              </w:rPr>
              <w:t>分/项，市级</w:t>
            </w:r>
            <w:r>
              <w:rPr>
                <w:rFonts w:ascii="宋体" w:hAnsi="宋体" w:eastAsia="宋体" w:cs="宋体"/>
                <w:spacing w:val="-41"/>
                <w:sz w:val="20"/>
                <w:szCs w:val="20"/>
              </w:rPr>
              <w:t xml:space="preserve"> </w:t>
            </w:r>
            <w:r>
              <w:rPr>
                <w:rFonts w:ascii="宋体" w:hAnsi="宋体" w:eastAsia="宋体" w:cs="宋体"/>
                <w:spacing w:val="5"/>
                <w:sz w:val="20"/>
                <w:szCs w:val="20"/>
              </w:rPr>
              <w:t>4</w:t>
            </w:r>
            <w:r>
              <w:rPr>
                <w:rFonts w:ascii="宋体" w:hAnsi="宋体" w:eastAsia="宋体" w:cs="宋体"/>
                <w:spacing w:val="-42"/>
                <w:sz w:val="20"/>
                <w:szCs w:val="20"/>
              </w:rPr>
              <w:t xml:space="preserve"> </w:t>
            </w:r>
            <w:r>
              <w:rPr>
                <w:rFonts w:ascii="宋体" w:hAnsi="宋体" w:eastAsia="宋体" w:cs="宋体"/>
                <w:spacing w:val="5"/>
                <w:sz w:val="20"/>
                <w:szCs w:val="20"/>
              </w:rPr>
              <w:t>分/项，企业员工获奖按相应级别减半加分</w:t>
            </w:r>
          </w:p>
        </w:tc>
        <w:tc>
          <w:tcPr>
            <w:tcW w:w="926" w:type="dxa"/>
            <w:vMerge w:val="continue"/>
            <w:tcBorders>
              <w:top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75" w:hRule="atLeast"/>
        </w:trPr>
        <w:tc>
          <w:tcPr>
            <w:tcW w:w="926" w:type="dxa"/>
            <w:vAlign w:val="top"/>
          </w:tcPr>
          <w:p>
            <w:pPr>
              <w:pStyle w:val="6"/>
              <w:spacing w:line="242" w:lineRule="auto"/>
            </w:pPr>
          </w:p>
          <w:p>
            <w:pPr>
              <w:pStyle w:val="6"/>
              <w:spacing w:line="243" w:lineRule="auto"/>
            </w:pPr>
          </w:p>
          <w:p>
            <w:pPr>
              <w:spacing w:before="65" w:line="300" w:lineRule="exact"/>
              <w:ind w:left="414"/>
              <w:rPr>
                <w:rFonts w:ascii="宋体" w:hAnsi="宋体" w:eastAsia="宋体" w:cs="宋体"/>
                <w:sz w:val="20"/>
                <w:szCs w:val="20"/>
              </w:rPr>
            </w:pPr>
            <w:r>
              <w:rPr>
                <w:rFonts w:ascii="宋体" w:hAnsi="宋体" w:eastAsia="宋体" w:cs="宋体"/>
                <w:position w:val="2"/>
                <w:sz w:val="20"/>
                <w:szCs w:val="20"/>
              </w:rPr>
              <w:t>9</w:t>
            </w:r>
          </w:p>
        </w:tc>
        <w:tc>
          <w:tcPr>
            <w:tcW w:w="972" w:type="dxa"/>
            <w:vMerge w:val="restart"/>
            <w:tcBorders>
              <w:bottom w:val="nil"/>
            </w:tcBorders>
            <w:vAlign w:val="top"/>
          </w:tcPr>
          <w:p>
            <w:pPr>
              <w:pStyle w:val="6"/>
              <w:spacing w:line="244" w:lineRule="auto"/>
            </w:pPr>
          </w:p>
          <w:p>
            <w:pPr>
              <w:pStyle w:val="6"/>
              <w:spacing w:line="244" w:lineRule="auto"/>
            </w:pPr>
          </w:p>
          <w:p>
            <w:pPr>
              <w:pStyle w:val="6"/>
              <w:spacing w:line="245" w:lineRule="auto"/>
            </w:pPr>
          </w:p>
          <w:p>
            <w:pPr>
              <w:pStyle w:val="6"/>
              <w:spacing w:line="245" w:lineRule="auto"/>
            </w:pPr>
          </w:p>
          <w:p>
            <w:pPr>
              <w:spacing w:before="65" w:line="298" w:lineRule="auto"/>
              <w:ind w:left="282" w:right="277" w:hanging="7"/>
              <w:rPr>
                <w:rFonts w:ascii="宋体" w:hAnsi="宋体" w:eastAsia="宋体" w:cs="宋体"/>
                <w:sz w:val="20"/>
                <w:szCs w:val="20"/>
              </w:rPr>
            </w:pPr>
            <w:r>
              <w:rPr>
                <w:rFonts w:ascii="宋体" w:hAnsi="宋体" w:eastAsia="宋体" w:cs="宋体"/>
                <w:spacing w:val="7"/>
                <w:sz w:val="20"/>
                <w:szCs w:val="20"/>
              </w:rPr>
              <w:t>行业</w:t>
            </w:r>
            <w:r>
              <w:rPr>
                <w:rFonts w:ascii="宋体" w:hAnsi="宋体" w:eastAsia="宋体" w:cs="宋体"/>
                <w:spacing w:val="3"/>
                <w:sz w:val="20"/>
                <w:szCs w:val="20"/>
              </w:rPr>
              <w:t>贡献</w:t>
            </w:r>
          </w:p>
        </w:tc>
        <w:tc>
          <w:tcPr>
            <w:tcW w:w="5095" w:type="dxa"/>
            <w:gridSpan w:val="2"/>
            <w:vAlign w:val="top"/>
          </w:tcPr>
          <w:p>
            <w:pPr>
              <w:spacing w:before="236" w:line="293" w:lineRule="auto"/>
              <w:ind w:left="108" w:right="106" w:hanging="1"/>
              <w:rPr>
                <w:rFonts w:ascii="宋体" w:hAnsi="宋体" w:eastAsia="宋体" w:cs="宋体"/>
                <w:sz w:val="20"/>
                <w:szCs w:val="20"/>
              </w:rPr>
            </w:pPr>
            <w:r>
              <w:rPr>
                <w:rFonts w:ascii="宋体" w:hAnsi="宋体" w:eastAsia="宋体" w:cs="宋体"/>
                <w:spacing w:val="12"/>
                <w:sz w:val="20"/>
                <w:szCs w:val="20"/>
              </w:rPr>
              <w:t>应市级及以上主管部门（或造价机构）要求，派出人员参加评审、监督检查、培训授课、计价依据</w:t>
            </w:r>
            <w:r>
              <w:rPr>
                <w:rFonts w:ascii="宋体" w:hAnsi="宋体" w:eastAsia="宋体" w:cs="宋体"/>
                <w:spacing w:val="11"/>
                <w:sz w:val="20"/>
                <w:szCs w:val="20"/>
              </w:rPr>
              <w:t>解释、</w:t>
            </w:r>
            <w:r>
              <w:rPr>
                <w:rFonts w:ascii="宋体" w:hAnsi="宋体" w:eastAsia="宋体" w:cs="宋体"/>
                <w:spacing w:val="9"/>
                <w:sz w:val="20"/>
                <w:szCs w:val="20"/>
              </w:rPr>
              <w:t>调研等业务工作的</w:t>
            </w:r>
          </w:p>
        </w:tc>
        <w:tc>
          <w:tcPr>
            <w:tcW w:w="1367" w:type="dxa"/>
            <w:vAlign w:val="top"/>
          </w:tcPr>
          <w:p>
            <w:pPr>
              <w:pStyle w:val="6"/>
              <w:spacing w:line="242" w:lineRule="auto"/>
            </w:pPr>
          </w:p>
          <w:p>
            <w:pPr>
              <w:pStyle w:val="6"/>
              <w:spacing w:line="243" w:lineRule="auto"/>
            </w:pPr>
          </w:p>
          <w:p>
            <w:pPr>
              <w:spacing w:before="65" w:line="278" w:lineRule="exact"/>
              <w:ind w:left="371"/>
              <w:rPr>
                <w:rFonts w:ascii="宋体" w:hAnsi="宋体" w:eastAsia="宋体" w:cs="宋体"/>
                <w:sz w:val="20"/>
                <w:szCs w:val="20"/>
              </w:rPr>
            </w:pPr>
            <w:r>
              <w:rPr>
                <w:rFonts w:ascii="宋体" w:hAnsi="宋体" w:eastAsia="宋体" w:cs="宋体"/>
                <w:spacing w:val="-8"/>
                <w:position w:val="1"/>
                <w:sz w:val="20"/>
                <w:szCs w:val="20"/>
              </w:rPr>
              <w:t>2</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分/次</w:t>
            </w:r>
          </w:p>
        </w:tc>
        <w:tc>
          <w:tcPr>
            <w:tcW w:w="926" w:type="dxa"/>
            <w:vMerge w:val="restart"/>
            <w:tcBorders>
              <w:bottom w:val="nil"/>
            </w:tcBorders>
            <w:vAlign w:val="top"/>
          </w:tcPr>
          <w:p>
            <w:pPr>
              <w:pStyle w:val="6"/>
              <w:spacing w:line="282" w:lineRule="auto"/>
            </w:pPr>
          </w:p>
          <w:p>
            <w:pPr>
              <w:pStyle w:val="6"/>
              <w:spacing w:line="282" w:lineRule="auto"/>
            </w:pPr>
          </w:p>
          <w:p>
            <w:pPr>
              <w:pStyle w:val="6"/>
              <w:spacing w:line="282" w:lineRule="auto"/>
            </w:pPr>
          </w:p>
          <w:p>
            <w:pPr>
              <w:pStyle w:val="6"/>
              <w:spacing w:line="283" w:lineRule="auto"/>
            </w:pPr>
          </w:p>
          <w:p>
            <w:pPr>
              <w:spacing w:before="65" w:line="279" w:lineRule="exact"/>
              <w:ind w:left="231"/>
              <w:rPr>
                <w:rFonts w:ascii="宋体" w:hAnsi="宋体" w:eastAsia="宋体" w:cs="宋体"/>
                <w:sz w:val="20"/>
                <w:szCs w:val="20"/>
              </w:rPr>
            </w:pPr>
            <w:r>
              <w:rPr>
                <w:rFonts w:ascii="宋体" w:hAnsi="宋体" w:eastAsia="宋体" w:cs="宋体"/>
                <w:spacing w:val="1"/>
                <w:position w:val="1"/>
                <w:sz w:val="20"/>
                <w:szCs w:val="20"/>
              </w:rPr>
              <w:t>20</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93" w:hRule="atLeast"/>
        </w:trPr>
        <w:tc>
          <w:tcPr>
            <w:tcW w:w="926" w:type="dxa"/>
            <w:vAlign w:val="top"/>
          </w:tcPr>
          <w:p>
            <w:pPr>
              <w:pStyle w:val="6"/>
              <w:spacing w:line="247" w:lineRule="auto"/>
            </w:pPr>
          </w:p>
          <w:p>
            <w:pPr>
              <w:pStyle w:val="6"/>
              <w:spacing w:line="247" w:lineRule="auto"/>
            </w:pPr>
          </w:p>
          <w:p>
            <w:pPr>
              <w:spacing w:before="65" w:line="300" w:lineRule="exact"/>
              <w:ind w:left="378"/>
              <w:rPr>
                <w:rFonts w:ascii="宋体" w:hAnsi="宋体" w:eastAsia="宋体" w:cs="宋体"/>
                <w:sz w:val="20"/>
                <w:szCs w:val="20"/>
              </w:rPr>
            </w:pPr>
            <w:r>
              <w:rPr>
                <w:rFonts w:ascii="宋体" w:hAnsi="宋体" w:eastAsia="宋体" w:cs="宋体"/>
                <w:spacing w:val="-8"/>
                <w:position w:val="2"/>
                <w:sz w:val="20"/>
                <w:szCs w:val="20"/>
              </w:rPr>
              <w:t>10</w:t>
            </w:r>
          </w:p>
        </w:tc>
        <w:tc>
          <w:tcPr>
            <w:tcW w:w="972" w:type="dxa"/>
            <w:vMerge w:val="continue"/>
            <w:tcBorders>
              <w:top w:val="nil"/>
            </w:tcBorders>
            <w:vAlign w:val="top"/>
          </w:tcPr>
          <w:p>
            <w:pPr>
              <w:pStyle w:val="6"/>
            </w:pPr>
          </w:p>
        </w:tc>
        <w:tc>
          <w:tcPr>
            <w:tcW w:w="6462" w:type="dxa"/>
            <w:gridSpan w:val="3"/>
            <w:vAlign w:val="top"/>
          </w:tcPr>
          <w:p>
            <w:pPr>
              <w:spacing w:before="82" w:line="277" w:lineRule="auto"/>
              <w:ind w:left="109" w:right="105"/>
              <w:jc w:val="both"/>
              <w:rPr>
                <w:rFonts w:ascii="宋体" w:hAnsi="宋体" w:eastAsia="宋体" w:cs="宋体"/>
                <w:sz w:val="20"/>
                <w:szCs w:val="20"/>
              </w:rPr>
            </w:pPr>
            <w:r>
              <w:rPr>
                <w:rFonts w:ascii="宋体" w:hAnsi="宋体" w:eastAsia="宋体" w:cs="宋体"/>
                <w:spacing w:val="8"/>
                <w:sz w:val="20"/>
                <w:szCs w:val="20"/>
              </w:rPr>
              <w:t>工程造价咨询服务经验、典型工程案例被市级及以上主管部门（或造</w:t>
            </w:r>
            <w:r>
              <w:rPr>
                <w:rFonts w:ascii="宋体" w:hAnsi="宋体" w:eastAsia="宋体" w:cs="宋体"/>
                <w:spacing w:val="2"/>
                <w:sz w:val="20"/>
                <w:szCs w:val="20"/>
              </w:rPr>
              <w:t>价机构）推广的，国家级</w:t>
            </w:r>
            <w:r>
              <w:rPr>
                <w:rFonts w:ascii="宋体" w:hAnsi="宋体" w:eastAsia="宋体" w:cs="宋体"/>
                <w:spacing w:val="-22"/>
                <w:sz w:val="20"/>
                <w:szCs w:val="20"/>
              </w:rPr>
              <w:t xml:space="preserve"> </w:t>
            </w:r>
            <w:r>
              <w:rPr>
                <w:rFonts w:ascii="宋体" w:hAnsi="宋体" w:eastAsia="宋体" w:cs="宋体"/>
                <w:spacing w:val="2"/>
                <w:sz w:val="20"/>
                <w:szCs w:val="20"/>
              </w:rPr>
              <w:t>8</w:t>
            </w:r>
            <w:r>
              <w:rPr>
                <w:rFonts w:ascii="宋体" w:hAnsi="宋体" w:eastAsia="宋体" w:cs="宋体"/>
                <w:spacing w:val="-41"/>
                <w:sz w:val="20"/>
                <w:szCs w:val="20"/>
              </w:rPr>
              <w:t xml:space="preserve"> </w:t>
            </w:r>
            <w:r>
              <w:rPr>
                <w:rFonts w:ascii="宋体" w:hAnsi="宋体" w:eastAsia="宋体" w:cs="宋体"/>
                <w:spacing w:val="2"/>
                <w:sz w:val="20"/>
                <w:szCs w:val="20"/>
              </w:rPr>
              <w:t>分/项，省级</w:t>
            </w:r>
            <w:r>
              <w:rPr>
                <w:rFonts w:ascii="宋体" w:hAnsi="宋体" w:eastAsia="宋体" w:cs="宋体"/>
                <w:spacing w:val="-39"/>
                <w:sz w:val="20"/>
                <w:szCs w:val="20"/>
              </w:rPr>
              <w:t xml:space="preserve"> </w:t>
            </w:r>
            <w:r>
              <w:rPr>
                <w:rFonts w:ascii="宋体" w:hAnsi="宋体" w:eastAsia="宋体" w:cs="宋体"/>
                <w:spacing w:val="2"/>
                <w:sz w:val="20"/>
                <w:szCs w:val="20"/>
              </w:rPr>
              <w:t>5</w:t>
            </w:r>
            <w:r>
              <w:rPr>
                <w:rFonts w:ascii="宋体" w:hAnsi="宋体" w:eastAsia="宋体" w:cs="宋体"/>
                <w:spacing w:val="-43"/>
                <w:sz w:val="20"/>
                <w:szCs w:val="20"/>
              </w:rPr>
              <w:t xml:space="preserve"> </w:t>
            </w:r>
            <w:r>
              <w:rPr>
                <w:rFonts w:ascii="宋体" w:hAnsi="宋体" w:eastAsia="宋体" w:cs="宋体"/>
                <w:spacing w:val="2"/>
                <w:sz w:val="20"/>
                <w:szCs w:val="20"/>
              </w:rPr>
              <w:t>分/项，市级</w:t>
            </w:r>
            <w:r>
              <w:rPr>
                <w:rFonts w:ascii="宋体" w:hAnsi="宋体" w:eastAsia="宋体" w:cs="宋体"/>
                <w:spacing w:val="-36"/>
                <w:sz w:val="20"/>
                <w:szCs w:val="20"/>
              </w:rPr>
              <w:t xml:space="preserve"> </w:t>
            </w:r>
            <w:r>
              <w:rPr>
                <w:rFonts w:ascii="宋体" w:hAnsi="宋体" w:eastAsia="宋体" w:cs="宋体"/>
                <w:spacing w:val="2"/>
                <w:sz w:val="20"/>
                <w:szCs w:val="20"/>
              </w:rPr>
              <w:t>3</w:t>
            </w:r>
            <w:r>
              <w:rPr>
                <w:rFonts w:ascii="宋体" w:hAnsi="宋体" w:eastAsia="宋体" w:cs="宋体"/>
                <w:spacing w:val="-43"/>
                <w:sz w:val="20"/>
                <w:szCs w:val="20"/>
              </w:rPr>
              <w:t xml:space="preserve"> </w:t>
            </w:r>
            <w:r>
              <w:rPr>
                <w:rFonts w:ascii="宋体" w:hAnsi="宋体" w:eastAsia="宋体" w:cs="宋体"/>
                <w:spacing w:val="2"/>
                <w:sz w:val="20"/>
                <w:szCs w:val="20"/>
              </w:rPr>
              <w:t>分/项；或被</w:t>
            </w:r>
            <w:r>
              <w:rPr>
                <w:rFonts w:ascii="宋体" w:hAnsi="宋体" w:eastAsia="宋体" w:cs="宋体"/>
                <w:spacing w:val="7"/>
                <w:sz w:val="20"/>
                <w:szCs w:val="20"/>
              </w:rPr>
              <w:t>省级及以上社会组织经主管部门同意后推广的，国家级</w:t>
            </w:r>
            <w:r>
              <w:rPr>
                <w:rFonts w:ascii="宋体" w:hAnsi="宋体" w:eastAsia="宋体" w:cs="宋体"/>
                <w:spacing w:val="-32"/>
                <w:sz w:val="20"/>
                <w:szCs w:val="20"/>
              </w:rPr>
              <w:t xml:space="preserve"> </w:t>
            </w:r>
            <w:r>
              <w:rPr>
                <w:rFonts w:ascii="宋体" w:hAnsi="宋体" w:eastAsia="宋体" w:cs="宋体"/>
                <w:spacing w:val="7"/>
                <w:sz w:val="20"/>
                <w:szCs w:val="20"/>
              </w:rPr>
              <w:t>4</w:t>
            </w:r>
            <w:r>
              <w:rPr>
                <w:rFonts w:ascii="宋体" w:hAnsi="宋体" w:eastAsia="宋体" w:cs="宋体"/>
                <w:spacing w:val="-41"/>
                <w:sz w:val="20"/>
                <w:szCs w:val="20"/>
              </w:rPr>
              <w:t xml:space="preserve"> </w:t>
            </w:r>
            <w:r>
              <w:rPr>
                <w:rFonts w:ascii="宋体" w:hAnsi="宋体" w:eastAsia="宋体" w:cs="宋体"/>
                <w:spacing w:val="7"/>
                <w:sz w:val="20"/>
                <w:szCs w:val="20"/>
              </w:rPr>
              <w:t>分/项，省</w:t>
            </w:r>
            <w:r>
              <w:rPr>
                <w:rFonts w:ascii="宋体" w:hAnsi="宋体" w:eastAsia="宋体" w:cs="宋体"/>
                <w:spacing w:val="-6"/>
                <w:sz w:val="20"/>
                <w:szCs w:val="20"/>
              </w:rPr>
              <w:t>级</w:t>
            </w:r>
            <w:r>
              <w:rPr>
                <w:rFonts w:ascii="宋体" w:hAnsi="宋体" w:eastAsia="宋体" w:cs="宋体"/>
                <w:spacing w:val="-39"/>
                <w:sz w:val="20"/>
                <w:szCs w:val="20"/>
              </w:rPr>
              <w:t xml:space="preserve"> </w:t>
            </w:r>
            <w:r>
              <w:rPr>
                <w:rFonts w:ascii="宋体" w:hAnsi="宋体" w:eastAsia="宋体" w:cs="宋体"/>
                <w:spacing w:val="-6"/>
                <w:sz w:val="20"/>
                <w:szCs w:val="20"/>
              </w:rPr>
              <w:t>2</w:t>
            </w:r>
            <w:r>
              <w:rPr>
                <w:rFonts w:ascii="宋体" w:hAnsi="宋体" w:eastAsia="宋体" w:cs="宋体"/>
                <w:spacing w:val="-43"/>
                <w:sz w:val="20"/>
                <w:szCs w:val="20"/>
              </w:rPr>
              <w:t xml:space="preserve"> </w:t>
            </w:r>
            <w:r>
              <w:rPr>
                <w:rFonts w:ascii="宋体" w:hAnsi="宋体" w:eastAsia="宋体" w:cs="宋体"/>
                <w:spacing w:val="-6"/>
                <w:sz w:val="20"/>
                <w:szCs w:val="20"/>
              </w:rPr>
              <w:t>分/项</w:t>
            </w:r>
          </w:p>
        </w:tc>
        <w:tc>
          <w:tcPr>
            <w:tcW w:w="926" w:type="dxa"/>
            <w:vMerge w:val="continue"/>
            <w:tcBorders>
              <w:top w:val="nil"/>
            </w:tcBorders>
            <w:vAlign w:val="top"/>
          </w:tcPr>
          <w:p>
            <w:pPr>
              <w:pStyle w:val="6"/>
            </w:pPr>
          </w:p>
        </w:tc>
      </w:tr>
    </w:tbl>
    <w:p>
      <w:pPr>
        <w:rPr>
          <w:rFonts w:ascii="Arial"/>
          <w:sz w:val="21"/>
        </w:rPr>
      </w:pPr>
    </w:p>
    <w:p>
      <w:pPr>
        <w:rPr>
          <w:rFonts w:ascii="Arial" w:hAnsi="Arial" w:eastAsia="Arial" w:cs="Arial"/>
          <w:sz w:val="21"/>
          <w:szCs w:val="21"/>
        </w:rPr>
        <w:sectPr>
          <w:footerReference r:id="rId294" w:type="default"/>
          <w:pgSz w:w="11906" w:h="16839"/>
          <w:pgMar w:top="400" w:right="1307" w:bottom="1212" w:left="1307" w:header="0" w:footer="897" w:gutter="0"/>
        </w:sectPr>
      </w:pPr>
    </w:p>
    <w:p>
      <w:pPr>
        <w:spacing w:before="13"/>
      </w:pPr>
    </w:p>
    <w:p>
      <w:pPr>
        <w:spacing w:before="13"/>
      </w:pPr>
    </w:p>
    <w:p>
      <w:pPr>
        <w:spacing w:before="13"/>
      </w:pPr>
    </w:p>
    <w:p>
      <w:pPr>
        <w:spacing w:before="12"/>
      </w:pPr>
    </w:p>
    <w:tbl>
      <w:tblPr>
        <w:tblStyle w:val="5"/>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972"/>
        <w:gridCol w:w="5095"/>
        <w:gridCol w:w="1367"/>
        <w:gridCol w:w="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10" w:hRule="atLeast"/>
        </w:trPr>
        <w:tc>
          <w:tcPr>
            <w:tcW w:w="926" w:type="dxa"/>
            <w:vAlign w:val="top"/>
          </w:tcPr>
          <w:p>
            <w:pPr>
              <w:pStyle w:val="6"/>
              <w:spacing w:line="402" w:lineRule="auto"/>
            </w:pPr>
          </w:p>
          <w:p>
            <w:pPr>
              <w:spacing w:before="65" w:line="301" w:lineRule="exact"/>
              <w:ind w:left="378"/>
              <w:rPr>
                <w:rFonts w:ascii="宋体" w:hAnsi="宋体" w:eastAsia="宋体" w:cs="宋体"/>
                <w:sz w:val="20"/>
                <w:szCs w:val="20"/>
              </w:rPr>
            </w:pPr>
            <w:r>
              <w:rPr>
                <w:rFonts w:ascii="宋体" w:hAnsi="宋体" w:eastAsia="宋体" w:cs="宋体"/>
                <w:spacing w:val="-8"/>
                <w:position w:val="2"/>
                <w:sz w:val="20"/>
                <w:szCs w:val="20"/>
              </w:rPr>
              <w:t>11</w:t>
            </w:r>
          </w:p>
        </w:tc>
        <w:tc>
          <w:tcPr>
            <w:tcW w:w="972" w:type="dxa"/>
            <w:vAlign w:val="top"/>
          </w:tcPr>
          <w:p>
            <w:pPr>
              <w:pStyle w:val="6"/>
            </w:pPr>
          </w:p>
        </w:tc>
        <w:tc>
          <w:tcPr>
            <w:tcW w:w="6462" w:type="dxa"/>
            <w:gridSpan w:val="2"/>
            <w:vAlign w:val="top"/>
          </w:tcPr>
          <w:p>
            <w:pPr>
              <w:spacing w:before="150" w:line="292" w:lineRule="auto"/>
              <w:ind w:left="108" w:right="51"/>
              <w:jc w:val="both"/>
              <w:rPr>
                <w:rFonts w:ascii="宋体" w:hAnsi="宋体" w:eastAsia="宋体" w:cs="宋体"/>
                <w:sz w:val="20"/>
                <w:szCs w:val="20"/>
              </w:rPr>
            </w:pPr>
            <w:r>
              <w:rPr>
                <w:rFonts w:ascii="宋体" w:hAnsi="宋体" w:eastAsia="宋体" w:cs="宋体"/>
                <w:spacing w:val="10"/>
                <w:sz w:val="20"/>
                <w:szCs w:val="20"/>
              </w:rPr>
              <w:t>企业申报的各类工程造价数据被市级及以上主管部门（或造</w:t>
            </w:r>
            <w:r>
              <w:rPr>
                <w:rFonts w:ascii="宋体" w:hAnsi="宋体" w:eastAsia="宋体" w:cs="宋体"/>
                <w:spacing w:val="9"/>
                <w:sz w:val="20"/>
                <w:szCs w:val="20"/>
              </w:rPr>
              <w:t>价机构）</w:t>
            </w:r>
            <w:r>
              <w:rPr>
                <w:rFonts w:ascii="宋体" w:hAnsi="宋体" w:eastAsia="宋体" w:cs="宋体"/>
                <w:spacing w:val="7"/>
                <w:sz w:val="20"/>
                <w:szCs w:val="20"/>
              </w:rPr>
              <w:t>采用的，造价指标类每个工程项目计</w:t>
            </w:r>
            <w:r>
              <w:rPr>
                <w:rFonts w:ascii="宋体" w:hAnsi="宋体" w:eastAsia="宋体" w:cs="宋体"/>
                <w:spacing w:val="-22"/>
                <w:sz w:val="20"/>
                <w:szCs w:val="20"/>
              </w:rPr>
              <w:t xml:space="preserve"> </w:t>
            </w:r>
            <w:r>
              <w:rPr>
                <w:rFonts w:ascii="宋体" w:hAnsi="宋体" w:eastAsia="宋体" w:cs="宋体"/>
                <w:spacing w:val="7"/>
                <w:sz w:val="20"/>
                <w:szCs w:val="20"/>
              </w:rPr>
              <w:t>1</w:t>
            </w:r>
            <w:r>
              <w:rPr>
                <w:rFonts w:ascii="宋体" w:hAnsi="宋体" w:eastAsia="宋体" w:cs="宋体"/>
                <w:spacing w:val="-43"/>
                <w:sz w:val="20"/>
                <w:szCs w:val="20"/>
              </w:rPr>
              <w:t xml:space="preserve"> </w:t>
            </w:r>
            <w:r>
              <w:rPr>
                <w:rFonts w:ascii="宋体" w:hAnsi="宋体" w:eastAsia="宋体" w:cs="宋体"/>
                <w:spacing w:val="7"/>
                <w:sz w:val="20"/>
                <w:szCs w:val="20"/>
              </w:rPr>
              <w:t>分，材料价格类按条目</w:t>
            </w:r>
            <w:r>
              <w:rPr>
                <w:rFonts w:ascii="宋体" w:hAnsi="宋体" w:eastAsia="宋体" w:cs="宋体"/>
                <w:spacing w:val="6"/>
                <w:sz w:val="20"/>
                <w:szCs w:val="20"/>
              </w:rPr>
              <w:t>数量计</w:t>
            </w:r>
            <w:r>
              <w:rPr>
                <w:rFonts w:ascii="宋体" w:hAnsi="宋体" w:eastAsia="宋体" w:cs="宋体"/>
                <w:spacing w:val="5"/>
                <w:sz w:val="20"/>
                <w:szCs w:val="20"/>
              </w:rPr>
              <w:t>分，最高</w:t>
            </w:r>
            <w:r>
              <w:rPr>
                <w:rFonts w:ascii="宋体" w:hAnsi="宋体" w:eastAsia="宋体" w:cs="宋体"/>
                <w:spacing w:val="-37"/>
                <w:sz w:val="20"/>
                <w:szCs w:val="20"/>
              </w:rPr>
              <w:t xml:space="preserve"> </w:t>
            </w:r>
            <w:r>
              <w:rPr>
                <w:rFonts w:ascii="宋体" w:hAnsi="宋体" w:eastAsia="宋体" w:cs="宋体"/>
                <w:spacing w:val="5"/>
                <w:sz w:val="20"/>
                <w:szCs w:val="20"/>
              </w:rPr>
              <w:t>5</w:t>
            </w:r>
            <w:r>
              <w:rPr>
                <w:rFonts w:ascii="宋体" w:hAnsi="宋体" w:eastAsia="宋体" w:cs="宋体"/>
                <w:spacing w:val="-41"/>
                <w:sz w:val="20"/>
                <w:szCs w:val="20"/>
              </w:rPr>
              <w:t xml:space="preserve"> </w:t>
            </w:r>
            <w:r>
              <w:rPr>
                <w:rFonts w:ascii="宋体" w:hAnsi="宋体" w:eastAsia="宋体" w:cs="宋体"/>
                <w:spacing w:val="5"/>
                <w:sz w:val="20"/>
                <w:szCs w:val="20"/>
              </w:rPr>
              <w:t>分</w:t>
            </w:r>
          </w:p>
        </w:tc>
        <w:tc>
          <w:tcPr>
            <w:tcW w:w="926"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4" w:hRule="atLeast"/>
        </w:trPr>
        <w:tc>
          <w:tcPr>
            <w:tcW w:w="926" w:type="dxa"/>
            <w:vMerge w:val="restart"/>
            <w:tcBorders>
              <w:bottom w:val="nil"/>
            </w:tcBorders>
            <w:vAlign w:val="top"/>
          </w:tcPr>
          <w:p>
            <w:pPr>
              <w:pStyle w:val="6"/>
              <w:spacing w:line="312" w:lineRule="auto"/>
            </w:pPr>
          </w:p>
          <w:p>
            <w:pPr>
              <w:pStyle w:val="6"/>
              <w:spacing w:line="312" w:lineRule="auto"/>
            </w:pPr>
          </w:p>
          <w:p>
            <w:pPr>
              <w:pStyle w:val="6"/>
              <w:spacing w:line="313" w:lineRule="auto"/>
            </w:pPr>
          </w:p>
          <w:p>
            <w:pPr>
              <w:spacing w:before="65" w:line="301" w:lineRule="exact"/>
              <w:ind w:left="378"/>
              <w:rPr>
                <w:rFonts w:ascii="宋体" w:hAnsi="宋体" w:eastAsia="宋体" w:cs="宋体"/>
                <w:sz w:val="20"/>
                <w:szCs w:val="20"/>
              </w:rPr>
            </w:pPr>
            <w:r>
              <w:rPr>
                <w:rFonts w:ascii="宋体" w:hAnsi="宋体" w:eastAsia="宋体" w:cs="宋体"/>
                <w:spacing w:val="-8"/>
                <w:position w:val="2"/>
                <w:sz w:val="20"/>
                <w:szCs w:val="20"/>
              </w:rPr>
              <w:t>12</w:t>
            </w:r>
          </w:p>
        </w:tc>
        <w:tc>
          <w:tcPr>
            <w:tcW w:w="972" w:type="dxa"/>
            <w:vMerge w:val="restart"/>
            <w:tcBorders>
              <w:bottom w:val="nil"/>
            </w:tcBorders>
            <w:vAlign w:val="top"/>
          </w:tcPr>
          <w:p>
            <w:pPr>
              <w:pStyle w:val="6"/>
              <w:spacing w:line="263" w:lineRule="auto"/>
            </w:pPr>
          </w:p>
          <w:p>
            <w:pPr>
              <w:pStyle w:val="6"/>
              <w:spacing w:line="263" w:lineRule="auto"/>
            </w:pPr>
          </w:p>
          <w:p>
            <w:pPr>
              <w:pStyle w:val="6"/>
              <w:spacing w:line="263" w:lineRule="auto"/>
            </w:pPr>
          </w:p>
          <w:p>
            <w:pPr>
              <w:spacing w:before="65" w:line="298" w:lineRule="auto"/>
              <w:ind w:left="276" w:right="277" w:hanging="1"/>
              <w:rPr>
                <w:rFonts w:ascii="宋体" w:hAnsi="宋体" w:eastAsia="宋体" w:cs="宋体"/>
                <w:sz w:val="20"/>
                <w:szCs w:val="20"/>
              </w:rPr>
            </w:pPr>
            <w:r>
              <w:rPr>
                <w:rFonts w:ascii="宋体" w:hAnsi="宋体" w:eastAsia="宋体" w:cs="宋体"/>
                <w:spacing w:val="7"/>
                <w:sz w:val="20"/>
                <w:szCs w:val="20"/>
              </w:rPr>
              <w:t>基层</w:t>
            </w:r>
            <w:r>
              <w:rPr>
                <w:rFonts w:ascii="宋体" w:hAnsi="宋体" w:eastAsia="宋体" w:cs="宋体"/>
                <w:spacing w:val="6"/>
                <w:sz w:val="20"/>
                <w:szCs w:val="20"/>
              </w:rPr>
              <w:t>党建</w:t>
            </w:r>
          </w:p>
        </w:tc>
        <w:tc>
          <w:tcPr>
            <w:tcW w:w="5095" w:type="dxa"/>
            <w:vAlign w:val="top"/>
          </w:tcPr>
          <w:p>
            <w:pPr>
              <w:spacing w:before="126" w:line="276" w:lineRule="auto"/>
              <w:ind w:left="111" w:right="104" w:hanging="6"/>
              <w:rPr>
                <w:rFonts w:ascii="宋体" w:hAnsi="宋体" w:eastAsia="宋体" w:cs="宋体"/>
                <w:sz w:val="20"/>
                <w:szCs w:val="20"/>
              </w:rPr>
            </w:pPr>
            <w:r>
              <w:rPr>
                <w:rFonts w:ascii="宋体" w:hAnsi="宋体" w:eastAsia="宋体" w:cs="宋体"/>
                <w:spacing w:val="12"/>
                <w:sz w:val="20"/>
                <w:szCs w:val="20"/>
              </w:rPr>
              <w:t>设立中国共产党基层党组织并定期开展学习、教育活</w:t>
            </w:r>
            <w:r>
              <w:rPr>
                <w:rFonts w:ascii="宋体" w:hAnsi="宋体" w:eastAsia="宋体" w:cs="宋体"/>
                <w:spacing w:val="5"/>
                <w:sz w:val="20"/>
                <w:szCs w:val="20"/>
              </w:rPr>
              <w:t>动的</w:t>
            </w:r>
          </w:p>
        </w:tc>
        <w:tc>
          <w:tcPr>
            <w:tcW w:w="1367" w:type="dxa"/>
            <w:vAlign w:val="top"/>
          </w:tcPr>
          <w:p>
            <w:pPr>
              <w:spacing w:before="281" w:line="278" w:lineRule="exact"/>
              <w:ind w:left="506"/>
              <w:rPr>
                <w:rFonts w:ascii="宋体" w:hAnsi="宋体" w:eastAsia="宋体" w:cs="宋体"/>
                <w:sz w:val="20"/>
                <w:szCs w:val="20"/>
              </w:rPr>
            </w:pPr>
            <w:r>
              <w:rPr>
                <w:rFonts w:ascii="宋体" w:hAnsi="宋体" w:eastAsia="宋体" w:cs="宋体"/>
                <w:spacing w:val="-1"/>
                <w:position w:val="1"/>
                <w:sz w:val="20"/>
                <w:szCs w:val="20"/>
              </w:rPr>
              <w:t>3</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分</w:t>
            </w:r>
          </w:p>
        </w:tc>
        <w:tc>
          <w:tcPr>
            <w:tcW w:w="926" w:type="dxa"/>
            <w:vMerge w:val="restart"/>
            <w:tcBorders>
              <w:bottom w:val="nil"/>
            </w:tcBorders>
            <w:vAlign w:val="top"/>
          </w:tcPr>
          <w:p>
            <w:pPr>
              <w:pStyle w:val="6"/>
              <w:spacing w:line="312" w:lineRule="auto"/>
            </w:pPr>
          </w:p>
          <w:p>
            <w:pPr>
              <w:pStyle w:val="6"/>
              <w:spacing w:line="312" w:lineRule="auto"/>
            </w:pPr>
          </w:p>
          <w:p>
            <w:pPr>
              <w:pStyle w:val="6"/>
              <w:spacing w:line="313" w:lineRule="auto"/>
            </w:pPr>
          </w:p>
          <w:p>
            <w:pPr>
              <w:spacing w:before="65" w:line="279" w:lineRule="exact"/>
              <w:ind w:left="248"/>
              <w:rPr>
                <w:rFonts w:ascii="宋体" w:hAnsi="宋体" w:eastAsia="宋体" w:cs="宋体"/>
                <w:sz w:val="20"/>
                <w:szCs w:val="20"/>
              </w:rPr>
            </w:pPr>
            <w:r>
              <w:rPr>
                <w:rFonts w:ascii="宋体" w:hAnsi="宋体" w:eastAsia="宋体" w:cs="宋体"/>
                <w:spacing w:val="-4"/>
                <w:position w:val="1"/>
                <w:sz w:val="20"/>
                <w:szCs w:val="20"/>
              </w:rPr>
              <w:t>10</w:t>
            </w:r>
            <w:r>
              <w:rPr>
                <w:rFonts w:ascii="宋体" w:hAnsi="宋体" w:eastAsia="宋体" w:cs="宋体"/>
                <w:spacing w:val="-43"/>
                <w:position w:val="1"/>
                <w:sz w:val="20"/>
                <w:szCs w:val="20"/>
              </w:rPr>
              <w:t xml:space="preserve"> </w:t>
            </w:r>
            <w:r>
              <w:rPr>
                <w:rFonts w:ascii="宋体" w:hAnsi="宋体" w:eastAsia="宋体" w:cs="宋体"/>
                <w:spacing w:val="-4"/>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926" w:type="dxa"/>
            <w:vMerge w:val="continue"/>
            <w:tcBorders>
              <w:top w:val="nil"/>
              <w:bottom w:val="nil"/>
            </w:tcBorders>
            <w:vAlign w:val="top"/>
          </w:tcPr>
          <w:p>
            <w:pPr>
              <w:pStyle w:val="6"/>
            </w:pPr>
          </w:p>
        </w:tc>
        <w:tc>
          <w:tcPr>
            <w:tcW w:w="972" w:type="dxa"/>
            <w:vMerge w:val="continue"/>
            <w:tcBorders>
              <w:top w:val="nil"/>
              <w:bottom w:val="nil"/>
            </w:tcBorders>
            <w:vAlign w:val="top"/>
          </w:tcPr>
          <w:p>
            <w:pPr>
              <w:pStyle w:val="6"/>
            </w:pPr>
          </w:p>
        </w:tc>
        <w:tc>
          <w:tcPr>
            <w:tcW w:w="5095" w:type="dxa"/>
            <w:vAlign w:val="top"/>
          </w:tcPr>
          <w:p>
            <w:pPr>
              <w:spacing w:before="289" w:line="219" w:lineRule="auto"/>
              <w:ind w:left="111"/>
              <w:rPr>
                <w:rFonts w:ascii="宋体" w:hAnsi="宋体" w:eastAsia="宋体" w:cs="宋体"/>
                <w:sz w:val="20"/>
                <w:szCs w:val="20"/>
              </w:rPr>
            </w:pPr>
            <w:r>
              <w:rPr>
                <w:rFonts w:ascii="宋体" w:hAnsi="宋体" w:eastAsia="宋体" w:cs="宋体"/>
                <w:spacing w:val="9"/>
                <w:sz w:val="20"/>
                <w:szCs w:val="20"/>
              </w:rPr>
              <w:t>获得县级以上党组织表彰奖励的</w:t>
            </w:r>
          </w:p>
        </w:tc>
        <w:tc>
          <w:tcPr>
            <w:tcW w:w="1367" w:type="dxa"/>
            <w:vAlign w:val="top"/>
          </w:tcPr>
          <w:p>
            <w:pPr>
              <w:spacing w:before="283" w:line="279" w:lineRule="exact"/>
              <w:ind w:left="371"/>
              <w:rPr>
                <w:rFonts w:ascii="宋体" w:hAnsi="宋体" w:eastAsia="宋体" w:cs="宋体"/>
                <w:sz w:val="20"/>
                <w:szCs w:val="20"/>
              </w:rPr>
            </w:pPr>
            <w:r>
              <w:rPr>
                <w:rFonts w:ascii="宋体" w:hAnsi="宋体" w:eastAsia="宋体" w:cs="宋体"/>
                <w:spacing w:val="-8"/>
                <w:position w:val="1"/>
                <w:sz w:val="20"/>
                <w:szCs w:val="20"/>
              </w:rPr>
              <w:t>2</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分/项</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4" w:hRule="atLeast"/>
        </w:trPr>
        <w:tc>
          <w:tcPr>
            <w:tcW w:w="926" w:type="dxa"/>
            <w:vMerge w:val="continue"/>
            <w:tcBorders>
              <w:top w:val="nil"/>
            </w:tcBorders>
            <w:vAlign w:val="top"/>
          </w:tcPr>
          <w:p>
            <w:pPr>
              <w:pStyle w:val="6"/>
            </w:pPr>
          </w:p>
        </w:tc>
        <w:tc>
          <w:tcPr>
            <w:tcW w:w="972" w:type="dxa"/>
            <w:vMerge w:val="continue"/>
            <w:tcBorders>
              <w:top w:val="nil"/>
            </w:tcBorders>
            <w:vAlign w:val="top"/>
          </w:tcPr>
          <w:p>
            <w:pPr>
              <w:pStyle w:val="6"/>
            </w:pPr>
          </w:p>
        </w:tc>
        <w:tc>
          <w:tcPr>
            <w:tcW w:w="5095" w:type="dxa"/>
            <w:vAlign w:val="top"/>
          </w:tcPr>
          <w:p>
            <w:pPr>
              <w:spacing w:before="111" w:line="269" w:lineRule="auto"/>
              <w:ind w:left="115" w:right="104" w:hanging="8"/>
              <w:rPr>
                <w:rFonts w:ascii="宋体" w:hAnsi="宋体" w:eastAsia="宋体" w:cs="宋体"/>
                <w:sz w:val="20"/>
                <w:szCs w:val="20"/>
              </w:rPr>
            </w:pPr>
            <w:r>
              <w:rPr>
                <w:rFonts w:ascii="宋体" w:hAnsi="宋体" w:eastAsia="宋体" w:cs="宋体"/>
                <w:spacing w:val="12"/>
                <w:sz w:val="20"/>
                <w:szCs w:val="20"/>
              </w:rPr>
              <w:t>基层党建、精神文明建设成效突出，经验做法被相关</w:t>
            </w:r>
            <w:r>
              <w:rPr>
                <w:rFonts w:ascii="宋体" w:hAnsi="宋体" w:eastAsia="宋体" w:cs="宋体"/>
                <w:spacing w:val="8"/>
                <w:sz w:val="20"/>
                <w:szCs w:val="20"/>
              </w:rPr>
              <w:t>主管部门推广的</w:t>
            </w:r>
          </w:p>
        </w:tc>
        <w:tc>
          <w:tcPr>
            <w:tcW w:w="1367" w:type="dxa"/>
            <w:vAlign w:val="top"/>
          </w:tcPr>
          <w:p>
            <w:pPr>
              <w:spacing w:before="269" w:line="278" w:lineRule="exact"/>
              <w:ind w:left="371"/>
              <w:rPr>
                <w:rFonts w:ascii="宋体" w:hAnsi="宋体" w:eastAsia="宋体" w:cs="宋体"/>
                <w:sz w:val="20"/>
                <w:szCs w:val="20"/>
              </w:rPr>
            </w:pPr>
            <w:r>
              <w:rPr>
                <w:rFonts w:ascii="宋体" w:hAnsi="宋体" w:eastAsia="宋体" w:cs="宋体"/>
                <w:spacing w:val="-8"/>
                <w:position w:val="1"/>
                <w:sz w:val="20"/>
                <w:szCs w:val="20"/>
              </w:rPr>
              <w:t>2</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分/项</w:t>
            </w:r>
          </w:p>
        </w:tc>
        <w:tc>
          <w:tcPr>
            <w:tcW w:w="926" w:type="dxa"/>
            <w:vMerge w:val="continue"/>
            <w:tcBorders>
              <w:top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9" w:hRule="atLeast"/>
        </w:trPr>
        <w:tc>
          <w:tcPr>
            <w:tcW w:w="926" w:type="dxa"/>
            <w:vMerge w:val="restart"/>
            <w:tcBorders>
              <w:bottom w:val="nil"/>
            </w:tcBorders>
            <w:vAlign w:val="top"/>
          </w:tcPr>
          <w:p>
            <w:pPr>
              <w:pStyle w:val="6"/>
              <w:spacing w:line="268" w:lineRule="auto"/>
            </w:pPr>
          </w:p>
          <w:p>
            <w:pPr>
              <w:pStyle w:val="6"/>
              <w:spacing w:line="268" w:lineRule="auto"/>
            </w:pPr>
          </w:p>
          <w:p>
            <w:pPr>
              <w:pStyle w:val="6"/>
              <w:spacing w:line="269" w:lineRule="auto"/>
            </w:pPr>
          </w:p>
          <w:p>
            <w:pPr>
              <w:spacing w:before="65" w:line="300" w:lineRule="exact"/>
              <w:ind w:left="378"/>
              <w:rPr>
                <w:rFonts w:ascii="宋体" w:hAnsi="宋体" w:eastAsia="宋体" w:cs="宋体"/>
                <w:sz w:val="20"/>
                <w:szCs w:val="20"/>
              </w:rPr>
            </w:pPr>
            <w:r>
              <w:rPr>
                <w:rFonts w:ascii="宋体" w:hAnsi="宋体" w:eastAsia="宋体" w:cs="宋体"/>
                <w:spacing w:val="-8"/>
                <w:position w:val="2"/>
                <w:sz w:val="20"/>
                <w:szCs w:val="20"/>
              </w:rPr>
              <w:t>13</w:t>
            </w:r>
          </w:p>
        </w:tc>
        <w:tc>
          <w:tcPr>
            <w:tcW w:w="972" w:type="dxa"/>
            <w:vMerge w:val="restart"/>
            <w:tcBorders>
              <w:bottom w:val="nil"/>
            </w:tcBorders>
            <w:vAlign w:val="top"/>
          </w:tcPr>
          <w:p>
            <w:pPr>
              <w:pStyle w:val="6"/>
              <w:spacing w:line="328" w:lineRule="auto"/>
            </w:pPr>
          </w:p>
          <w:p>
            <w:pPr>
              <w:pStyle w:val="6"/>
              <w:spacing w:line="328" w:lineRule="auto"/>
            </w:pPr>
          </w:p>
          <w:p>
            <w:pPr>
              <w:spacing w:before="65" w:line="298" w:lineRule="auto"/>
              <w:ind w:left="274" w:right="277"/>
              <w:rPr>
                <w:rFonts w:ascii="宋体" w:hAnsi="宋体" w:eastAsia="宋体" w:cs="宋体"/>
                <w:sz w:val="20"/>
                <w:szCs w:val="20"/>
              </w:rPr>
            </w:pPr>
            <w:r>
              <w:rPr>
                <w:rFonts w:ascii="宋体" w:hAnsi="宋体" w:eastAsia="宋体" w:cs="宋体"/>
                <w:spacing w:val="7"/>
                <w:sz w:val="20"/>
                <w:szCs w:val="20"/>
              </w:rPr>
              <w:t>社会公益</w:t>
            </w:r>
          </w:p>
        </w:tc>
        <w:tc>
          <w:tcPr>
            <w:tcW w:w="5095" w:type="dxa"/>
            <w:vAlign w:val="top"/>
          </w:tcPr>
          <w:p>
            <w:pPr>
              <w:spacing w:before="261" w:line="276" w:lineRule="exact"/>
              <w:ind w:left="109"/>
              <w:rPr>
                <w:rFonts w:ascii="宋体" w:hAnsi="宋体" w:eastAsia="宋体" w:cs="宋体"/>
                <w:sz w:val="20"/>
                <w:szCs w:val="20"/>
              </w:rPr>
            </w:pPr>
            <w:r>
              <w:rPr>
                <w:rFonts w:ascii="宋体" w:hAnsi="宋体" w:eastAsia="宋体" w:cs="宋体"/>
                <w:spacing w:val="7"/>
                <w:position w:val="1"/>
                <w:sz w:val="20"/>
                <w:szCs w:val="20"/>
              </w:rPr>
              <w:t>投入或捐赠价值累计大于</w:t>
            </w:r>
            <w:r>
              <w:rPr>
                <w:rFonts w:ascii="宋体" w:hAnsi="宋体" w:eastAsia="宋体" w:cs="宋体"/>
                <w:spacing w:val="-16"/>
                <w:position w:val="1"/>
                <w:sz w:val="20"/>
                <w:szCs w:val="20"/>
              </w:rPr>
              <w:t xml:space="preserve"> </w:t>
            </w:r>
            <w:r>
              <w:rPr>
                <w:rFonts w:ascii="宋体" w:hAnsi="宋体" w:eastAsia="宋体" w:cs="宋体"/>
                <w:spacing w:val="7"/>
                <w:position w:val="1"/>
                <w:sz w:val="20"/>
                <w:szCs w:val="20"/>
              </w:rPr>
              <w:t>1</w:t>
            </w:r>
            <w:r>
              <w:rPr>
                <w:rFonts w:ascii="宋体" w:hAnsi="宋体" w:eastAsia="宋体" w:cs="宋体"/>
                <w:spacing w:val="-43"/>
                <w:position w:val="1"/>
                <w:sz w:val="20"/>
                <w:szCs w:val="20"/>
              </w:rPr>
              <w:t xml:space="preserve"> </w:t>
            </w:r>
            <w:r>
              <w:rPr>
                <w:rFonts w:ascii="宋体" w:hAnsi="宋体" w:eastAsia="宋体" w:cs="宋体"/>
                <w:spacing w:val="7"/>
                <w:position w:val="1"/>
                <w:sz w:val="20"/>
                <w:szCs w:val="20"/>
              </w:rPr>
              <w:t>万元，小于等于</w:t>
            </w:r>
            <w:r>
              <w:rPr>
                <w:rFonts w:ascii="宋体" w:hAnsi="宋体" w:eastAsia="宋体" w:cs="宋体"/>
                <w:spacing w:val="-39"/>
                <w:position w:val="1"/>
                <w:sz w:val="20"/>
                <w:szCs w:val="20"/>
              </w:rPr>
              <w:t xml:space="preserve"> </w:t>
            </w:r>
            <w:r>
              <w:rPr>
                <w:rFonts w:ascii="宋体" w:hAnsi="宋体" w:eastAsia="宋体" w:cs="宋体"/>
                <w:spacing w:val="7"/>
                <w:position w:val="1"/>
                <w:sz w:val="20"/>
                <w:szCs w:val="20"/>
              </w:rPr>
              <w:t>2</w:t>
            </w:r>
            <w:r>
              <w:rPr>
                <w:rFonts w:ascii="宋体" w:hAnsi="宋体" w:eastAsia="宋体" w:cs="宋体"/>
                <w:spacing w:val="-43"/>
                <w:position w:val="1"/>
                <w:sz w:val="20"/>
                <w:szCs w:val="20"/>
              </w:rPr>
              <w:t xml:space="preserve"> </w:t>
            </w:r>
            <w:r>
              <w:rPr>
                <w:rFonts w:ascii="宋体" w:hAnsi="宋体" w:eastAsia="宋体" w:cs="宋体"/>
                <w:spacing w:val="7"/>
                <w:position w:val="1"/>
                <w:sz w:val="20"/>
                <w:szCs w:val="20"/>
              </w:rPr>
              <w:t>万元的</w:t>
            </w:r>
          </w:p>
        </w:tc>
        <w:tc>
          <w:tcPr>
            <w:tcW w:w="1367" w:type="dxa"/>
            <w:vAlign w:val="top"/>
          </w:tcPr>
          <w:p>
            <w:pPr>
              <w:spacing w:before="261" w:line="278" w:lineRule="exact"/>
              <w:ind w:left="520"/>
              <w:rPr>
                <w:rFonts w:ascii="宋体" w:hAnsi="宋体" w:eastAsia="宋体" w:cs="宋体"/>
                <w:sz w:val="20"/>
                <w:szCs w:val="20"/>
              </w:rPr>
            </w:pPr>
            <w:r>
              <w:rPr>
                <w:rFonts w:ascii="宋体" w:hAnsi="宋体" w:eastAsia="宋体" w:cs="宋体"/>
                <w:spacing w:val="-8"/>
                <w:position w:val="1"/>
                <w:sz w:val="20"/>
                <w:szCs w:val="20"/>
              </w:rPr>
              <w:t>1</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分</w:t>
            </w:r>
          </w:p>
        </w:tc>
        <w:tc>
          <w:tcPr>
            <w:tcW w:w="926" w:type="dxa"/>
            <w:vMerge w:val="restart"/>
            <w:tcBorders>
              <w:bottom w:val="nil"/>
            </w:tcBorders>
            <w:vAlign w:val="top"/>
          </w:tcPr>
          <w:p>
            <w:pPr>
              <w:pStyle w:val="6"/>
              <w:spacing w:line="268" w:lineRule="auto"/>
            </w:pPr>
          </w:p>
          <w:p>
            <w:pPr>
              <w:pStyle w:val="6"/>
              <w:spacing w:line="268" w:lineRule="auto"/>
            </w:pPr>
          </w:p>
          <w:p>
            <w:pPr>
              <w:pStyle w:val="6"/>
              <w:spacing w:line="269" w:lineRule="auto"/>
            </w:pPr>
          </w:p>
          <w:p>
            <w:pPr>
              <w:spacing w:before="65" w:line="279" w:lineRule="exact"/>
              <w:ind w:left="281"/>
              <w:rPr>
                <w:rFonts w:ascii="宋体" w:hAnsi="宋体" w:eastAsia="宋体" w:cs="宋体"/>
                <w:sz w:val="20"/>
                <w:szCs w:val="20"/>
              </w:rPr>
            </w:pPr>
            <w:r>
              <w:rPr>
                <w:rFonts w:ascii="宋体" w:hAnsi="宋体" w:eastAsia="宋体" w:cs="宋体"/>
                <w:spacing w:val="1"/>
                <w:position w:val="1"/>
                <w:sz w:val="20"/>
                <w:szCs w:val="20"/>
              </w:rPr>
              <w:t>5</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5" w:hRule="atLeast"/>
        </w:trPr>
        <w:tc>
          <w:tcPr>
            <w:tcW w:w="926" w:type="dxa"/>
            <w:vMerge w:val="continue"/>
            <w:tcBorders>
              <w:top w:val="nil"/>
              <w:bottom w:val="nil"/>
            </w:tcBorders>
            <w:vAlign w:val="top"/>
          </w:tcPr>
          <w:p>
            <w:pPr>
              <w:pStyle w:val="6"/>
            </w:pPr>
          </w:p>
        </w:tc>
        <w:tc>
          <w:tcPr>
            <w:tcW w:w="972" w:type="dxa"/>
            <w:vMerge w:val="continue"/>
            <w:tcBorders>
              <w:top w:val="nil"/>
              <w:bottom w:val="nil"/>
            </w:tcBorders>
            <w:vAlign w:val="top"/>
          </w:tcPr>
          <w:p>
            <w:pPr>
              <w:pStyle w:val="6"/>
            </w:pPr>
          </w:p>
        </w:tc>
        <w:tc>
          <w:tcPr>
            <w:tcW w:w="5095" w:type="dxa"/>
            <w:vAlign w:val="top"/>
          </w:tcPr>
          <w:p>
            <w:pPr>
              <w:spacing w:before="246" w:line="276" w:lineRule="exact"/>
              <w:ind w:left="109"/>
              <w:rPr>
                <w:rFonts w:ascii="宋体" w:hAnsi="宋体" w:eastAsia="宋体" w:cs="宋体"/>
                <w:sz w:val="20"/>
                <w:szCs w:val="20"/>
              </w:rPr>
            </w:pPr>
            <w:r>
              <w:rPr>
                <w:rFonts w:ascii="宋体" w:hAnsi="宋体" w:eastAsia="宋体" w:cs="宋体"/>
                <w:spacing w:val="8"/>
                <w:position w:val="1"/>
                <w:sz w:val="20"/>
                <w:szCs w:val="20"/>
              </w:rPr>
              <w:t>投入或捐赠价值累计大于</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2</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万元，小于等于</w:t>
            </w:r>
            <w:r>
              <w:rPr>
                <w:rFonts w:ascii="宋体" w:hAnsi="宋体" w:eastAsia="宋体" w:cs="宋体"/>
                <w:spacing w:val="-39"/>
                <w:position w:val="1"/>
                <w:sz w:val="20"/>
                <w:szCs w:val="20"/>
              </w:rPr>
              <w:t xml:space="preserve"> </w:t>
            </w:r>
            <w:r>
              <w:rPr>
                <w:rFonts w:ascii="宋体" w:hAnsi="宋体" w:eastAsia="宋体" w:cs="宋体"/>
                <w:spacing w:val="8"/>
                <w:position w:val="1"/>
                <w:sz w:val="20"/>
                <w:szCs w:val="20"/>
              </w:rPr>
              <w:t>5</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万元的</w:t>
            </w:r>
          </w:p>
        </w:tc>
        <w:tc>
          <w:tcPr>
            <w:tcW w:w="1367" w:type="dxa"/>
            <w:vAlign w:val="top"/>
          </w:tcPr>
          <w:p>
            <w:pPr>
              <w:spacing w:before="246" w:line="278" w:lineRule="exact"/>
              <w:ind w:left="506"/>
              <w:rPr>
                <w:rFonts w:ascii="宋体" w:hAnsi="宋体" w:eastAsia="宋体" w:cs="宋体"/>
                <w:sz w:val="20"/>
                <w:szCs w:val="20"/>
              </w:rPr>
            </w:pPr>
            <w:r>
              <w:rPr>
                <w:rFonts w:ascii="宋体" w:hAnsi="宋体" w:eastAsia="宋体" w:cs="宋体"/>
                <w:spacing w:val="-1"/>
                <w:position w:val="1"/>
                <w:sz w:val="20"/>
                <w:szCs w:val="20"/>
              </w:rPr>
              <w:t>3</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分</w:t>
            </w:r>
          </w:p>
        </w:tc>
        <w:tc>
          <w:tcPr>
            <w:tcW w:w="926"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26" w:type="dxa"/>
            <w:vMerge w:val="continue"/>
            <w:tcBorders>
              <w:top w:val="nil"/>
            </w:tcBorders>
            <w:vAlign w:val="top"/>
          </w:tcPr>
          <w:p>
            <w:pPr>
              <w:pStyle w:val="6"/>
            </w:pPr>
          </w:p>
        </w:tc>
        <w:tc>
          <w:tcPr>
            <w:tcW w:w="972" w:type="dxa"/>
            <w:vMerge w:val="continue"/>
            <w:tcBorders>
              <w:top w:val="nil"/>
            </w:tcBorders>
            <w:vAlign w:val="top"/>
          </w:tcPr>
          <w:p>
            <w:pPr>
              <w:pStyle w:val="6"/>
            </w:pPr>
          </w:p>
        </w:tc>
        <w:tc>
          <w:tcPr>
            <w:tcW w:w="5095" w:type="dxa"/>
            <w:vAlign w:val="top"/>
          </w:tcPr>
          <w:p>
            <w:pPr>
              <w:spacing w:before="200" w:line="276" w:lineRule="exact"/>
              <w:ind w:left="109"/>
              <w:rPr>
                <w:rFonts w:ascii="宋体" w:hAnsi="宋体" w:eastAsia="宋体" w:cs="宋体"/>
                <w:sz w:val="20"/>
                <w:szCs w:val="20"/>
              </w:rPr>
            </w:pPr>
            <w:r>
              <w:rPr>
                <w:rFonts w:ascii="宋体" w:hAnsi="宋体" w:eastAsia="宋体" w:cs="宋体"/>
                <w:spacing w:val="8"/>
                <w:position w:val="1"/>
                <w:sz w:val="20"/>
                <w:szCs w:val="20"/>
              </w:rPr>
              <w:t>投入或捐赠价值累计大于</w:t>
            </w:r>
            <w:r>
              <w:rPr>
                <w:rFonts w:ascii="宋体" w:hAnsi="宋体" w:eastAsia="宋体" w:cs="宋体"/>
                <w:spacing w:val="-37"/>
                <w:position w:val="1"/>
                <w:sz w:val="20"/>
                <w:szCs w:val="20"/>
              </w:rPr>
              <w:t xml:space="preserve"> </w:t>
            </w:r>
            <w:r>
              <w:rPr>
                <w:rFonts w:ascii="宋体" w:hAnsi="宋体" w:eastAsia="宋体" w:cs="宋体"/>
                <w:spacing w:val="8"/>
                <w:position w:val="1"/>
                <w:sz w:val="20"/>
                <w:szCs w:val="20"/>
              </w:rPr>
              <w:t>5</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万元的</w:t>
            </w:r>
          </w:p>
        </w:tc>
        <w:tc>
          <w:tcPr>
            <w:tcW w:w="1367" w:type="dxa"/>
            <w:vAlign w:val="top"/>
          </w:tcPr>
          <w:p>
            <w:pPr>
              <w:spacing w:before="200" w:line="279" w:lineRule="exact"/>
              <w:ind w:left="503"/>
              <w:rPr>
                <w:rFonts w:ascii="宋体" w:hAnsi="宋体" w:eastAsia="宋体" w:cs="宋体"/>
                <w:sz w:val="20"/>
                <w:szCs w:val="20"/>
              </w:rPr>
            </w:pPr>
            <w:r>
              <w:rPr>
                <w:rFonts w:ascii="宋体" w:hAnsi="宋体" w:eastAsia="宋体" w:cs="宋体"/>
                <w:spacing w:val="1"/>
                <w:position w:val="1"/>
                <w:sz w:val="20"/>
                <w:szCs w:val="20"/>
              </w:rPr>
              <w:t>5</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分</w:t>
            </w:r>
          </w:p>
        </w:tc>
        <w:tc>
          <w:tcPr>
            <w:tcW w:w="926" w:type="dxa"/>
            <w:vMerge w:val="continue"/>
            <w:tcBorders>
              <w:top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39" w:hRule="atLeast"/>
        </w:trPr>
        <w:tc>
          <w:tcPr>
            <w:tcW w:w="9286" w:type="dxa"/>
            <w:gridSpan w:val="5"/>
            <w:vAlign w:val="top"/>
          </w:tcPr>
          <w:p>
            <w:pPr>
              <w:spacing w:before="79" w:line="278" w:lineRule="exact"/>
              <w:ind w:left="117"/>
              <w:rPr>
                <w:rFonts w:ascii="宋体" w:hAnsi="宋体" w:eastAsia="宋体" w:cs="宋体"/>
                <w:sz w:val="20"/>
                <w:szCs w:val="20"/>
              </w:rPr>
            </w:pPr>
            <w:r>
              <w:rPr>
                <w:rFonts w:ascii="宋体" w:hAnsi="宋体" w:eastAsia="宋体" w:cs="宋体"/>
                <w:spacing w:val="7"/>
                <w:position w:val="1"/>
                <w:sz w:val="20"/>
                <w:szCs w:val="20"/>
              </w:rPr>
              <w:t>注：1.同一主体因同一事项、行为获得多次加分的，按最高分值计取一次。</w:t>
            </w:r>
          </w:p>
          <w:p>
            <w:pPr>
              <w:spacing w:before="43" w:line="294" w:lineRule="auto"/>
              <w:ind w:left="111" w:right="109" w:firstLine="423"/>
              <w:rPr>
                <w:rFonts w:ascii="宋体" w:hAnsi="宋体" w:eastAsia="宋体" w:cs="宋体"/>
                <w:sz w:val="20"/>
                <w:szCs w:val="20"/>
              </w:rPr>
            </w:pPr>
            <w:r>
              <w:rPr>
                <w:rFonts w:ascii="宋体" w:hAnsi="宋体" w:eastAsia="宋体" w:cs="宋体"/>
                <w:spacing w:val="5"/>
                <w:sz w:val="20"/>
                <w:szCs w:val="20"/>
              </w:rPr>
              <w:t>2.“表彰表扬”中的</w:t>
            </w:r>
            <w:r>
              <w:rPr>
                <w:rFonts w:ascii="宋体" w:hAnsi="宋体" w:eastAsia="宋体" w:cs="宋体"/>
                <w:spacing w:val="-22"/>
                <w:sz w:val="20"/>
                <w:szCs w:val="20"/>
              </w:rPr>
              <w:t xml:space="preserve"> </w:t>
            </w:r>
            <w:r>
              <w:rPr>
                <w:rFonts w:ascii="宋体" w:hAnsi="宋体" w:eastAsia="宋体" w:cs="宋体"/>
                <w:spacing w:val="5"/>
                <w:sz w:val="20"/>
                <w:szCs w:val="20"/>
              </w:rPr>
              <w:t>1-2、“专业能力”中的</w:t>
            </w:r>
            <w:r>
              <w:rPr>
                <w:rFonts w:ascii="宋体" w:hAnsi="宋体" w:eastAsia="宋体" w:cs="宋体"/>
                <w:spacing w:val="-42"/>
                <w:sz w:val="20"/>
                <w:szCs w:val="20"/>
              </w:rPr>
              <w:t xml:space="preserve"> </w:t>
            </w:r>
            <w:r>
              <w:rPr>
                <w:rFonts w:ascii="宋体" w:hAnsi="宋体" w:eastAsia="宋体" w:cs="宋体"/>
                <w:spacing w:val="5"/>
                <w:sz w:val="20"/>
                <w:szCs w:val="20"/>
              </w:rPr>
              <w:t>5-7</w:t>
            </w:r>
            <w:r>
              <w:rPr>
                <w:rFonts w:ascii="宋体" w:hAnsi="宋体" w:eastAsia="宋体" w:cs="宋体"/>
                <w:spacing w:val="-41"/>
                <w:sz w:val="20"/>
                <w:szCs w:val="20"/>
              </w:rPr>
              <w:t xml:space="preserve"> </w:t>
            </w:r>
            <w:r>
              <w:rPr>
                <w:rFonts w:ascii="宋体" w:hAnsi="宋体" w:eastAsia="宋体" w:cs="宋体"/>
                <w:spacing w:val="5"/>
                <w:sz w:val="20"/>
                <w:szCs w:val="20"/>
              </w:rPr>
              <w:t>优良信息加分期限为</w:t>
            </w:r>
            <w:r>
              <w:rPr>
                <w:rFonts w:ascii="宋体" w:hAnsi="宋体" w:eastAsia="宋体" w:cs="宋体"/>
                <w:spacing w:val="-39"/>
                <w:sz w:val="20"/>
                <w:szCs w:val="20"/>
              </w:rPr>
              <w:t xml:space="preserve"> </w:t>
            </w:r>
            <w:r>
              <w:rPr>
                <w:rFonts w:ascii="宋体" w:hAnsi="宋体" w:eastAsia="宋体" w:cs="宋体"/>
                <w:spacing w:val="5"/>
                <w:sz w:val="20"/>
                <w:szCs w:val="20"/>
              </w:rPr>
              <w:t>2</w:t>
            </w:r>
            <w:r>
              <w:rPr>
                <w:rFonts w:ascii="宋体" w:hAnsi="宋体" w:eastAsia="宋体" w:cs="宋体"/>
                <w:spacing w:val="-42"/>
                <w:sz w:val="20"/>
                <w:szCs w:val="20"/>
              </w:rPr>
              <w:t xml:space="preserve"> </w:t>
            </w:r>
            <w:r>
              <w:rPr>
                <w:rFonts w:ascii="宋体" w:hAnsi="宋体" w:eastAsia="宋体" w:cs="宋体"/>
                <w:spacing w:val="5"/>
                <w:sz w:val="20"/>
                <w:szCs w:val="20"/>
              </w:rPr>
              <w:t>年，其他优良</w:t>
            </w:r>
            <w:r>
              <w:rPr>
                <w:rFonts w:ascii="宋体" w:hAnsi="宋体" w:eastAsia="宋体" w:cs="宋体"/>
                <w:spacing w:val="4"/>
                <w:sz w:val="20"/>
                <w:szCs w:val="20"/>
              </w:rPr>
              <w:t>信息加分</w:t>
            </w:r>
            <w:r>
              <w:rPr>
                <w:rFonts w:ascii="宋体" w:hAnsi="宋体" w:eastAsia="宋体" w:cs="宋体"/>
                <w:spacing w:val="1"/>
                <w:sz w:val="20"/>
                <w:szCs w:val="20"/>
              </w:rPr>
              <w:t>期限为</w:t>
            </w:r>
            <w:r>
              <w:rPr>
                <w:rFonts w:ascii="宋体" w:hAnsi="宋体" w:eastAsia="宋体" w:cs="宋体"/>
                <w:spacing w:val="-22"/>
                <w:sz w:val="20"/>
                <w:szCs w:val="20"/>
              </w:rPr>
              <w:t xml:space="preserve"> </w:t>
            </w:r>
            <w:r>
              <w:rPr>
                <w:rFonts w:ascii="宋体" w:hAnsi="宋体" w:eastAsia="宋体" w:cs="宋体"/>
                <w:spacing w:val="1"/>
                <w:sz w:val="20"/>
                <w:szCs w:val="20"/>
              </w:rPr>
              <w:t>1</w:t>
            </w:r>
            <w:r>
              <w:rPr>
                <w:rFonts w:ascii="宋体" w:hAnsi="宋体" w:eastAsia="宋体" w:cs="宋体"/>
                <w:spacing w:val="-41"/>
                <w:sz w:val="20"/>
                <w:szCs w:val="20"/>
              </w:rPr>
              <w:t xml:space="preserve"> </w:t>
            </w:r>
            <w:r>
              <w:rPr>
                <w:rFonts w:ascii="宋体" w:hAnsi="宋体" w:eastAsia="宋体" w:cs="宋体"/>
                <w:spacing w:val="1"/>
                <w:sz w:val="20"/>
                <w:szCs w:val="20"/>
              </w:rPr>
              <w:t>年。</w:t>
            </w:r>
          </w:p>
        </w:tc>
      </w:tr>
    </w:tbl>
    <w:p>
      <w:pPr>
        <w:rPr>
          <w:rFonts w:ascii="Arial"/>
          <w:sz w:val="21"/>
        </w:rPr>
      </w:pPr>
    </w:p>
    <w:p>
      <w:pPr>
        <w:rPr>
          <w:rFonts w:ascii="Arial" w:hAnsi="Arial" w:eastAsia="Arial" w:cs="Arial"/>
          <w:sz w:val="21"/>
          <w:szCs w:val="21"/>
        </w:rPr>
        <w:sectPr>
          <w:footerReference r:id="rId295" w:type="default"/>
          <w:pgSz w:w="11906" w:h="16839"/>
          <w:pgMar w:top="400" w:right="1307" w:bottom="1212" w:left="1307" w:header="0" w:footer="897" w:gutter="0"/>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before="78" w:line="217" w:lineRule="auto"/>
        <w:ind w:left="596"/>
        <w:rPr>
          <w:rFonts w:ascii="KaiTi_GB2312" w:hAnsi="KaiTi_GB2312" w:eastAsia="KaiTi_GB2312" w:cs="KaiTi_GB2312"/>
          <w:sz w:val="24"/>
          <w:szCs w:val="24"/>
        </w:rPr>
      </w:pPr>
      <w:bookmarkStart w:id="206" w:name="bookmark197"/>
      <w:bookmarkEnd w:id="206"/>
      <w:r>
        <w:rPr>
          <w:rFonts w:ascii="KaiTi_GB2312" w:hAnsi="KaiTi_GB2312" w:eastAsia="KaiTi_GB2312" w:cs="KaiTi_GB2312"/>
          <w:spacing w:val="-1"/>
          <w:sz w:val="24"/>
          <w:szCs w:val="24"/>
        </w:rPr>
        <w:t>（二）优良信息减分</w:t>
      </w:r>
    </w:p>
    <w:p>
      <w:pPr>
        <w:spacing w:line="198" w:lineRule="exact"/>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3"/>
        <w:gridCol w:w="950"/>
        <w:gridCol w:w="5973"/>
        <w:gridCol w:w="13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9" w:hRule="atLeast"/>
        </w:trPr>
        <w:tc>
          <w:tcPr>
            <w:tcW w:w="903" w:type="dxa"/>
            <w:vAlign w:val="top"/>
          </w:tcPr>
          <w:p>
            <w:pPr>
              <w:spacing w:before="255" w:line="231" w:lineRule="auto"/>
              <w:ind w:left="246"/>
              <w:rPr>
                <w:rFonts w:ascii="黑体" w:hAnsi="黑体" w:eastAsia="黑体" w:cs="黑体"/>
                <w:sz w:val="20"/>
                <w:szCs w:val="20"/>
              </w:rPr>
            </w:pPr>
            <w:r>
              <w:rPr>
                <w:rFonts w:ascii="黑体" w:hAnsi="黑体" w:eastAsia="黑体" w:cs="黑体"/>
                <w:spacing w:val="4"/>
                <w:sz w:val="20"/>
                <w:szCs w:val="20"/>
              </w:rPr>
              <w:t>序号</w:t>
            </w:r>
          </w:p>
        </w:tc>
        <w:tc>
          <w:tcPr>
            <w:tcW w:w="950" w:type="dxa"/>
            <w:vAlign w:val="top"/>
          </w:tcPr>
          <w:p>
            <w:pPr>
              <w:spacing w:before="254" w:line="229" w:lineRule="auto"/>
              <w:ind w:left="275"/>
              <w:rPr>
                <w:rFonts w:ascii="黑体" w:hAnsi="黑体" w:eastAsia="黑体" w:cs="黑体"/>
                <w:sz w:val="20"/>
                <w:szCs w:val="20"/>
              </w:rPr>
            </w:pPr>
            <w:r>
              <w:rPr>
                <w:rFonts w:ascii="黑体" w:hAnsi="黑体" w:eastAsia="黑体" w:cs="黑体"/>
                <w:spacing w:val="1"/>
                <w:sz w:val="20"/>
                <w:szCs w:val="20"/>
              </w:rPr>
              <w:t>类别</w:t>
            </w:r>
          </w:p>
        </w:tc>
        <w:tc>
          <w:tcPr>
            <w:tcW w:w="5973" w:type="dxa"/>
            <w:vAlign w:val="top"/>
          </w:tcPr>
          <w:p>
            <w:pPr>
              <w:spacing w:before="254" w:line="231" w:lineRule="auto"/>
              <w:ind w:left="2574"/>
              <w:rPr>
                <w:rFonts w:ascii="黑体" w:hAnsi="黑体" w:eastAsia="黑体" w:cs="黑体"/>
                <w:sz w:val="20"/>
                <w:szCs w:val="20"/>
              </w:rPr>
            </w:pPr>
            <w:r>
              <w:rPr>
                <w:rFonts w:ascii="黑体" w:hAnsi="黑体" w:eastAsia="黑体" w:cs="黑体"/>
                <w:spacing w:val="6"/>
                <w:sz w:val="20"/>
                <w:szCs w:val="20"/>
              </w:rPr>
              <w:t>不良信息</w:t>
            </w:r>
          </w:p>
        </w:tc>
        <w:tc>
          <w:tcPr>
            <w:tcW w:w="1352" w:type="dxa"/>
            <w:vAlign w:val="top"/>
          </w:tcPr>
          <w:p>
            <w:pPr>
              <w:spacing w:before="254" w:line="231" w:lineRule="auto"/>
              <w:ind w:left="473"/>
              <w:rPr>
                <w:rFonts w:ascii="黑体" w:hAnsi="黑体" w:eastAsia="黑体" w:cs="黑体"/>
                <w:sz w:val="20"/>
                <w:szCs w:val="20"/>
              </w:rPr>
            </w:pPr>
            <w:r>
              <w:rPr>
                <w:rFonts w:ascii="黑体" w:hAnsi="黑体" w:eastAsia="黑体" w:cs="黑体"/>
                <w:spacing w:val="4"/>
                <w:sz w:val="20"/>
                <w:szCs w:val="20"/>
              </w:rPr>
              <w:t>计分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4" w:hRule="atLeast"/>
        </w:trPr>
        <w:tc>
          <w:tcPr>
            <w:tcW w:w="903" w:type="dxa"/>
            <w:vAlign w:val="top"/>
          </w:tcPr>
          <w:p>
            <w:pPr>
              <w:spacing w:before="295" w:line="301" w:lineRule="exact"/>
              <w:ind w:left="419"/>
              <w:rPr>
                <w:rFonts w:ascii="宋体" w:hAnsi="宋体" w:eastAsia="宋体" w:cs="宋体"/>
                <w:sz w:val="20"/>
                <w:szCs w:val="20"/>
              </w:rPr>
            </w:pPr>
            <w:r>
              <w:rPr>
                <w:rFonts w:ascii="宋体" w:hAnsi="宋体" w:eastAsia="宋体" w:cs="宋体"/>
                <w:position w:val="2"/>
                <w:sz w:val="20"/>
                <w:szCs w:val="20"/>
              </w:rPr>
              <w:t>1</w:t>
            </w:r>
          </w:p>
        </w:tc>
        <w:tc>
          <w:tcPr>
            <w:tcW w:w="950" w:type="dxa"/>
            <w:vMerge w:val="restart"/>
            <w:tcBorders>
              <w:bottom w:val="nil"/>
            </w:tcBorders>
            <w:vAlign w:val="top"/>
          </w:tcPr>
          <w:p>
            <w:pPr>
              <w:pStyle w:val="6"/>
              <w:spacing w:line="241" w:lineRule="auto"/>
            </w:pPr>
          </w:p>
          <w:p>
            <w:pPr>
              <w:pStyle w:val="6"/>
              <w:spacing w:line="242" w:lineRule="auto"/>
            </w:pPr>
          </w:p>
          <w:p>
            <w:pPr>
              <w:pStyle w:val="6"/>
              <w:spacing w:line="242" w:lineRule="auto"/>
            </w:pPr>
          </w:p>
          <w:p>
            <w:pPr>
              <w:pStyle w:val="6"/>
              <w:spacing w:line="242" w:lineRule="auto"/>
            </w:pPr>
          </w:p>
          <w:p>
            <w:pPr>
              <w:spacing w:before="65" w:line="293" w:lineRule="auto"/>
              <w:ind w:left="263" w:right="267"/>
              <w:rPr>
                <w:rFonts w:ascii="宋体" w:hAnsi="宋体" w:eastAsia="宋体" w:cs="宋体"/>
                <w:sz w:val="20"/>
                <w:szCs w:val="20"/>
              </w:rPr>
            </w:pPr>
            <w:r>
              <w:rPr>
                <w:rFonts w:ascii="宋体" w:hAnsi="宋体" w:eastAsia="宋体" w:cs="宋体"/>
                <w:spacing w:val="6"/>
                <w:sz w:val="20"/>
                <w:szCs w:val="20"/>
              </w:rPr>
              <w:t>处罚处理</w:t>
            </w:r>
          </w:p>
          <w:p>
            <w:pPr>
              <w:spacing w:line="224" w:lineRule="auto"/>
              <w:ind w:left="263"/>
              <w:rPr>
                <w:rFonts w:ascii="宋体" w:hAnsi="宋体" w:eastAsia="宋体" w:cs="宋体"/>
                <w:sz w:val="20"/>
                <w:szCs w:val="20"/>
              </w:rPr>
            </w:pPr>
            <w:r>
              <w:rPr>
                <w:rFonts w:ascii="宋体" w:hAnsi="宋体" w:eastAsia="宋体" w:cs="宋体"/>
                <w:spacing w:val="6"/>
                <w:sz w:val="20"/>
                <w:szCs w:val="20"/>
              </w:rPr>
              <w:t>信息</w:t>
            </w:r>
          </w:p>
        </w:tc>
        <w:tc>
          <w:tcPr>
            <w:tcW w:w="5973" w:type="dxa"/>
            <w:vAlign w:val="top"/>
          </w:tcPr>
          <w:p>
            <w:pPr>
              <w:spacing w:before="140" w:line="283" w:lineRule="auto"/>
              <w:ind w:left="108" w:right="106"/>
              <w:rPr>
                <w:rFonts w:ascii="宋体" w:hAnsi="宋体" w:eastAsia="宋体" w:cs="宋体"/>
                <w:sz w:val="20"/>
                <w:szCs w:val="20"/>
              </w:rPr>
            </w:pPr>
            <w:r>
              <w:rPr>
                <w:rFonts w:ascii="宋体" w:hAnsi="宋体" w:eastAsia="宋体" w:cs="宋体"/>
                <w:spacing w:val="13"/>
                <w:sz w:val="20"/>
                <w:szCs w:val="20"/>
              </w:rPr>
              <w:t>企业及其员工从事工程造价咨询活动中不当行为被追究刑事责</w:t>
            </w:r>
            <w:r>
              <w:rPr>
                <w:rFonts w:ascii="宋体" w:hAnsi="宋体" w:eastAsia="宋体" w:cs="宋体"/>
                <w:spacing w:val="6"/>
                <w:sz w:val="20"/>
                <w:szCs w:val="20"/>
              </w:rPr>
              <w:t>任的</w:t>
            </w:r>
          </w:p>
        </w:tc>
        <w:tc>
          <w:tcPr>
            <w:tcW w:w="1352" w:type="dxa"/>
            <w:vAlign w:val="top"/>
          </w:tcPr>
          <w:p>
            <w:pPr>
              <w:spacing w:before="295" w:line="278"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903" w:type="dxa"/>
            <w:vAlign w:val="top"/>
          </w:tcPr>
          <w:p>
            <w:pPr>
              <w:spacing w:before="287" w:line="301" w:lineRule="exact"/>
              <w:ind w:left="402"/>
              <w:rPr>
                <w:rFonts w:ascii="宋体" w:hAnsi="宋体" w:eastAsia="宋体" w:cs="宋体"/>
                <w:sz w:val="20"/>
                <w:szCs w:val="20"/>
              </w:rPr>
            </w:pPr>
            <w:r>
              <w:rPr>
                <w:rFonts w:ascii="宋体" w:hAnsi="宋体" w:eastAsia="宋体" w:cs="宋体"/>
                <w:position w:val="2"/>
                <w:sz w:val="20"/>
                <w:szCs w:val="20"/>
              </w:rPr>
              <w:t>2</w:t>
            </w:r>
          </w:p>
        </w:tc>
        <w:tc>
          <w:tcPr>
            <w:tcW w:w="950" w:type="dxa"/>
            <w:vMerge w:val="continue"/>
            <w:tcBorders>
              <w:top w:val="nil"/>
              <w:bottom w:val="nil"/>
            </w:tcBorders>
            <w:vAlign w:val="top"/>
          </w:tcPr>
          <w:p>
            <w:pPr>
              <w:pStyle w:val="6"/>
            </w:pPr>
          </w:p>
        </w:tc>
        <w:tc>
          <w:tcPr>
            <w:tcW w:w="5973" w:type="dxa"/>
            <w:vAlign w:val="top"/>
          </w:tcPr>
          <w:p>
            <w:pPr>
              <w:spacing w:before="130" w:line="279" w:lineRule="auto"/>
              <w:ind w:left="108" w:right="106"/>
              <w:rPr>
                <w:rFonts w:ascii="宋体" w:hAnsi="宋体" w:eastAsia="宋体" w:cs="宋体"/>
                <w:sz w:val="20"/>
                <w:szCs w:val="20"/>
              </w:rPr>
            </w:pPr>
            <w:r>
              <w:rPr>
                <w:rFonts w:ascii="宋体" w:hAnsi="宋体" w:eastAsia="宋体" w:cs="宋体"/>
                <w:spacing w:val="13"/>
                <w:sz w:val="20"/>
                <w:szCs w:val="20"/>
              </w:rPr>
              <w:t>企业及其员工从事工程造价咨询活动中不当行为被主管部门处</w:t>
            </w:r>
            <w:r>
              <w:rPr>
                <w:rFonts w:ascii="宋体" w:hAnsi="宋体" w:eastAsia="宋体" w:cs="宋体"/>
                <w:spacing w:val="8"/>
                <w:sz w:val="20"/>
                <w:szCs w:val="20"/>
              </w:rPr>
              <w:t>罚或处理的</w:t>
            </w:r>
          </w:p>
        </w:tc>
        <w:tc>
          <w:tcPr>
            <w:tcW w:w="1352" w:type="dxa"/>
            <w:vAlign w:val="top"/>
          </w:tcPr>
          <w:p>
            <w:pPr>
              <w:spacing w:before="287" w:line="277" w:lineRule="exact"/>
              <w:ind w:left="326"/>
              <w:rPr>
                <w:rFonts w:ascii="宋体" w:hAnsi="宋体" w:eastAsia="宋体" w:cs="宋体"/>
                <w:sz w:val="20"/>
                <w:szCs w:val="20"/>
              </w:rPr>
            </w:pPr>
            <w:r>
              <w:rPr>
                <w:rFonts w:ascii="宋体" w:hAnsi="宋体" w:eastAsia="宋体" w:cs="宋体"/>
                <w:spacing w:val="-10"/>
                <w:position w:val="1"/>
                <w:sz w:val="20"/>
                <w:szCs w:val="20"/>
              </w:rPr>
              <w:t>15</w:t>
            </w:r>
            <w:r>
              <w:rPr>
                <w:rFonts w:ascii="宋体" w:hAnsi="宋体" w:eastAsia="宋体" w:cs="宋体"/>
                <w:spacing w:val="-37"/>
                <w:position w:val="1"/>
                <w:sz w:val="20"/>
                <w:szCs w:val="20"/>
              </w:rPr>
              <w:t xml:space="preserve"> </w:t>
            </w:r>
            <w:r>
              <w:rPr>
                <w:rFonts w:ascii="宋体" w:hAnsi="宋体" w:eastAsia="宋体" w:cs="宋体"/>
                <w:spacing w:val="-10"/>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9" w:hRule="atLeast"/>
        </w:trPr>
        <w:tc>
          <w:tcPr>
            <w:tcW w:w="903" w:type="dxa"/>
            <w:vAlign w:val="top"/>
          </w:tcPr>
          <w:p>
            <w:pPr>
              <w:spacing w:before="245" w:line="299" w:lineRule="exact"/>
              <w:ind w:left="406"/>
              <w:rPr>
                <w:rFonts w:ascii="宋体" w:hAnsi="宋体" w:eastAsia="宋体" w:cs="宋体"/>
                <w:sz w:val="20"/>
                <w:szCs w:val="20"/>
              </w:rPr>
            </w:pPr>
            <w:r>
              <w:rPr>
                <w:rFonts w:ascii="宋体" w:hAnsi="宋体" w:eastAsia="宋体" w:cs="宋体"/>
                <w:position w:val="2"/>
                <w:sz w:val="20"/>
                <w:szCs w:val="20"/>
              </w:rPr>
              <w:t>3</w:t>
            </w:r>
          </w:p>
        </w:tc>
        <w:tc>
          <w:tcPr>
            <w:tcW w:w="950" w:type="dxa"/>
            <w:vMerge w:val="continue"/>
            <w:tcBorders>
              <w:top w:val="nil"/>
              <w:bottom w:val="nil"/>
            </w:tcBorders>
            <w:vAlign w:val="top"/>
          </w:tcPr>
          <w:p>
            <w:pPr>
              <w:pStyle w:val="6"/>
            </w:pPr>
          </w:p>
        </w:tc>
        <w:tc>
          <w:tcPr>
            <w:tcW w:w="5973" w:type="dxa"/>
            <w:vAlign w:val="top"/>
          </w:tcPr>
          <w:p>
            <w:pPr>
              <w:spacing w:before="248" w:line="220" w:lineRule="auto"/>
              <w:ind w:left="108"/>
              <w:rPr>
                <w:rFonts w:ascii="宋体" w:hAnsi="宋体" w:eastAsia="宋体" w:cs="宋体"/>
                <w:sz w:val="20"/>
                <w:szCs w:val="20"/>
              </w:rPr>
            </w:pPr>
            <w:r>
              <w:rPr>
                <w:rFonts w:ascii="宋体" w:hAnsi="宋体" w:eastAsia="宋体" w:cs="宋体"/>
                <w:spacing w:val="10"/>
                <w:sz w:val="20"/>
                <w:szCs w:val="20"/>
              </w:rPr>
              <w:t>企业及其员工从事工程造价咨询活动中不当行</w:t>
            </w:r>
            <w:r>
              <w:rPr>
                <w:rFonts w:ascii="宋体" w:hAnsi="宋体" w:eastAsia="宋体" w:cs="宋体"/>
                <w:spacing w:val="9"/>
                <w:sz w:val="20"/>
                <w:szCs w:val="20"/>
              </w:rPr>
              <w:t>为被投诉查实的</w:t>
            </w:r>
          </w:p>
        </w:tc>
        <w:tc>
          <w:tcPr>
            <w:tcW w:w="1352" w:type="dxa"/>
            <w:vAlign w:val="top"/>
          </w:tcPr>
          <w:p>
            <w:pPr>
              <w:spacing w:before="245" w:line="277" w:lineRule="exact"/>
              <w:ind w:left="326"/>
              <w:rPr>
                <w:rFonts w:ascii="宋体" w:hAnsi="宋体" w:eastAsia="宋体" w:cs="宋体"/>
                <w:sz w:val="20"/>
                <w:szCs w:val="20"/>
              </w:rPr>
            </w:pPr>
            <w:r>
              <w:rPr>
                <w:rFonts w:ascii="宋体" w:hAnsi="宋体" w:eastAsia="宋体" w:cs="宋体"/>
                <w:spacing w:val="-10"/>
                <w:position w:val="1"/>
                <w:sz w:val="20"/>
                <w:szCs w:val="20"/>
              </w:rPr>
              <w:t>15</w:t>
            </w:r>
            <w:r>
              <w:rPr>
                <w:rFonts w:ascii="宋体" w:hAnsi="宋体" w:eastAsia="宋体" w:cs="宋体"/>
                <w:spacing w:val="-37"/>
                <w:position w:val="1"/>
                <w:sz w:val="20"/>
                <w:szCs w:val="20"/>
              </w:rPr>
              <w:t xml:space="preserve"> </w:t>
            </w:r>
            <w:r>
              <w:rPr>
                <w:rFonts w:ascii="宋体" w:hAnsi="宋体" w:eastAsia="宋体" w:cs="宋体"/>
                <w:spacing w:val="-10"/>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9" w:hRule="atLeast"/>
        </w:trPr>
        <w:tc>
          <w:tcPr>
            <w:tcW w:w="903" w:type="dxa"/>
            <w:vAlign w:val="top"/>
          </w:tcPr>
          <w:p>
            <w:pPr>
              <w:spacing w:before="260" w:line="301" w:lineRule="exact"/>
              <w:ind w:left="399"/>
              <w:rPr>
                <w:rFonts w:ascii="宋体" w:hAnsi="宋体" w:eastAsia="宋体" w:cs="宋体"/>
                <w:sz w:val="20"/>
                <w:szCs w:val="20"/>
              </w:rPr>
            </w:pPr>
            <w:r>
              <w:rPr>
                <w:rFonts w:ascii="宋体" w:hAnsi="宋体" w:eastAsia="宋体" w:cs="宋体"/>
                <w:spacing w:val="1"/>
                <w:position w:val="2"/>
                <w:sz w:val="20"/>
                <w:szCs w:val="20"/>
              </w:rPr>
              <w:t>4</w:t>
            </w:r>
          </w:p>
        </w:tc>
        <w:tc>
          <w:tcPr>
            <w:tcW w:w="950" w:type="dxa"/>
            <w:vMerge w:val="continue"/>
            <w:tcBorders>
              <w:top w:val="nil"/>
            </w:tcBorders>
            <w:vAlign w:val="top"/>
          </w:tcPr>
          <w:p>
            <w:pPr>
              <w:pStyle w:val="6"/>
            </w:pPr>
          </w:p>
        </w:tc>
        <w:tc>
          <w:tcPr>
            <w:tcW w:w="5973" w:type="dxa"/>
            <w:vAlign w:val="top"/>
          </w:tcPr>
          <w:p>
            <w:pPr>
              <w:spacing w:before="81" w:line="276" w:lineRule="auto"/>
              <w:ind w:left="118" w:right="106" w:hanging="10"/>
              <w:rPr>
                <w:rFonts w:ascii="宋体" w:hAnsi="宋体" w:eastAsia="宋体" w:cs="宋体"/>
                <w:sz w:val="20"/>
                <w:szCs w:val="20"/>
              </w:rPr>
            </w:pPr>
            <w:r>
              <w:rPr>
                <w:rFonts w:ascii="宋体" w:hAnsi="宋体" w:eastAsia="宋体" w:cs="宋体"/>
                <w:spacing w:val="13"/>
                <w:sz w:val="20"/>
                <w:szCs w:val="20"/>
              </w:rPr>
              <w:t>企业及其员工从事工程造价咨询活动中不当行为被主管部门记</w:t>
            </w:r>
            <w:r>
              <w:rPr>
                <w:rFonts w:ascii="宋体" w:hAnsi="宋体" w:eastAsia="宋体" w:cs="宋体"/>
                <w:spacing w:val="7"/>
                <w:sz w:val="20"/>
                <w:szCs w:val="20"/>
              </w:rPr>
              <w:t>录、通报或约谈的</w:t>
            </w:r>
          </w:p>
        </w:tc>
        <w:tc>
          <w:tcPr>
            <w:tcW w:w="1352" w:type="dxa"/>
            <w:vAlign w:val="top"/>
          </w:tcPr>
          <w:p>
            <w:pPr>
              <w:spacing w:before="260" w:line="278" w:lineRule="exact"/>
              <w:ind w:left="362"/>
              <w:rPr>
                <w:rFonts w:ascii="宋体" w:hAnsi="宋体" w:eastAsia="宋体" w:cs="宋体"/>
                <w:sz w:val="20"/>
                <w:szCs w:val="20"/>
              </w:rPr>
            </w:pPr>
            <w:r>
              <w:rPr>
                <w:rFonts w:ascii="宋体" w:hAnsi="宋体" w:eastAsia="宋体" w:cs="宋体"/>
                <w:spacing w:val="-8"/>
                <w:position w:val="1"/>
                <w:sz w:val="20"/>
                <w:szCs w:val="20"/>
              </w:rPr>
              <w:t>5</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6" w:hRule="atLeast"/>
        </w:trPr>
        <w:tc>
          <w:tcPr>
            <w:tcW w:w="903" w:type="dxa"/>
            <w:vAlign w:val="top"/>
          </w:tcPr>
          <w:p>
            <w:pPr>
              <w:spacing w:before="281" w:line="300" w:lineRule="exact"/>
              <w:ind w:left="402"/>
              <w:rPr>
                <w:rFonts w:ascii="宋体" w:hAnsi="宋体" w:eastAsia="宋体" w:cs="宋体"/>
                <w:sz w:val="20"/>
                <w:szCs w:val="20"/>
              </w:rPr>
            </w:pPr>
            <w:r>
              <w:rPr>
                <w:rFonts w:ascii="宋体" w:hAnsi="宋体" w:eastAsia="宋体" w:cs="宋体"/>
                <w:position w:val="2"/>
                <w:sz w:val="20"/>
                <w:szCs w:val="20"/>
              </w:rPr>
              <w:t>5</w:t>
            </w:r>
          </w:p>
        </w:tc>
        <w:tc>
          <w:tcPr>
            <w:tcW w:w="950" w:type="dxa"/>
            <w:vMerge w:val="restart"/>
            <w:tcBorders>
              <w:bottom w:val="nil"/>
            </w:tcBorders>
            <w:vAlign w:val="top"/>
          </w:tcPr>
          <w:p>
            <w:pPr>
              <w:pStyle w:val="6"/>
              <w:spacing w:line="293" w:lineRule="auto"/>
            </w:pPr>
          </w:p>
          <w:p>
            <w:pPr>
              <w:pStyle w:val="6"/>
              <w:spacing w:line="293" w:lineRule="auto"/>
            </w:pPr>
          </w:p>
          <w:p>
            <w:pPr>
              <w:pStyle w:val="6"/>
              <w:spacing w:line="293" w:lineRule="auto"/>
            </w:pPr>
          </w:p>
          <w:p>
            <w:pPr>
              <w:pStyle w:val="6"/>
              <w:spacing w:line="294" w:lineRule="auto"/>
            </w:pPr>
          </w:p>
          <w:p>
            <w:pPr>
              <w:spacing w:before="65" w:line="297" w:lineRule="auto"/>
              <w:ind w:left="263" w:right="267" w:firstLine="2"/>
              <w:rPr>
                <w:rFonts w:ascii="宋体" w:hAnsi="宋体" w:eastAsia="宋体" w:cs="宋体"/>
                <w:sz w:val="20"/>
                <w:szCs w:val="20"/>
              </w:rPr>
            </w:pPr>
            <w:r>
              <w:rPr>
                <w:rFonts w:ascii="宋体" w:hAnsi="宋体" w:eastAsia="宋体" w:cs="宋体"/>
                <w:spacing w:val="6"/>
                <w:sz w:val="20"/>
                <w:szCs w:val="20"/>
              </w:rPr>
              <w:t>市场</w:t>
            </w:r>
            <w:r>
              <w:rPr>
                <w:rFonts w:ascii="宋体" w:hAnsi="宋体" w:eastAsia="宋体" w:cs="宋体"/>
                <w:spacing w:val="7"/>
                <w:sz w:val="20"/>
                <w:szCs w:val="20"/>
              </w:rPr>
              <w:t>行为</w:t>
            </w:r>
          </w:p>
        </w:tc>
        <w:tc>
          <w:tcPr>
            <w:tcW w:w="5973" w:type="dxa"/>
            <w:vAlign w:val="top"/>
          </w:tcPr>
          <w:p>
            <w:pPr>
              <w:spacing w:before="81" w:line="297" w:lineRule="auto"/>
              <w:ind w:left="109" w:right="106"/>
              <w:rPr>
                <w:rFonts w:ascii="宋体" w:hAnsi="宋体" w:eastAsia="宋体" w:cs="宋体"/>
                <w:sz w:val="20"/>
                <w:szCs w:val="20"/>
              </w:rPr>
            </w:pPr>
            <w:r>
              <w:rPr>
                <w:rFonts w:ascii="宋体" w:hAnsi="宋体" w:eastAsia="宋体" w:cs="宋体"/>
                <w:spacing w:val="11"/>
                <w:sz w:val="20"/>
                <w:szCs w:val="20"/>
              </w:rPr>
              <w:t>不配合主管部门依法实施的监督检查</w:t>
            </w:r>
            <w:r>
              <w:rPr>
                <w:rFonts w:ascii="宋体" w:hAnsi="宋体" w:eastAsia="宋体" w:cs="宋体"/>
                <w:spacing w:val="-46"/>
                <w:sz w:val="20"/>
                <w:szCs w:val="20"/>
              </w:rPr>
              <w:t xml:space="preserve"> </w:t>
            </w:r>
            <w:r>
              <w:rPr>
                <w:rFonts w:ascii="宋体" w:hAnsi="宋体" w:eastAsia="宋体" w:cs="宋体"/>
                <w:spacing w:val="11"/>
                <w:sz w:val="20"/>
                <w:szCs w:val="20"/>
              </w:rPr>
              <w:t>，故意延误、阻挠、逃避</w:t>
            </w:r>
            <w:r>
              <w:rPr>
                <w:rFonts w:ascii="宋体" w:hAnsi="宋体" w:eastAsia="宋体" w:cs="宋体"/>
                <w:spacing w:val="9"/>
                <w:sz w:val="20"/>
                <w:szCs w:val="20"/>
              </w:rPr>
              <w:t>检查，谎报、隐匿、销毁相关资料的</w:t>
            </w:r>
          </w:p>
        </w:tc>
        <w:tc>
          <w:tcPr>
            <w:tcW w:w="1352" w:type="dxa"/>
            <w:vAlign w:val="top"/>
          </w:tcPr>
          <w:p>
            <w:pPr>
              <w:spacing w:before="281" w:line="278"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5" w:hRule="atLeast"/>
        </w:trPr>
        <w:tc>
          <w:tcPr>
            <w:tcW w:w="903" w:type="dxa"/>
            <w:vAlign w:val="top"/>
          </w:tcPr>
          <w:p>
            <w:pPr>
              <w:pStyle w:val="6"/>
              <w:spacing w:line="261" w:lineRule="auto"/>
            </w:pPr>
          </w:p>
          <w:p>
            <w:pPr>
              <w:spacing w:before="65" w:line="299" w:lineRule="exact"/>
              <w:ind w:left="403"/>
              <w:rPr>
                <w:rFonts w:ascii="宋体" w:hAnsi="宋体" w:eastAsia="宋体" w:cs="宋体"/>
                <w:sz w:val="20"/>
                <w:szCs w:val="20"/>
              </w:rPr>
            </w:pPr>
            <w:r>
              <w:rPr>
                <w:rFonts w:ascii="宋体" w:hAnsi="宋体" w:eastAsia="宋体" w:cs="宋体"/>
                <w:position w:val="2"/>
                <w:sz w:val="20"/>
                <w:szCs w:val="20"/>
              </w:rPr>
              <w:t>6</w:t>
            </w:r>
          </w:p>
        </w:tc>
        <w:tc>
          <w:tcPr>
            <w:tcW w:w="950" w:type="dxa"/>
            <w:vMerge w:val="continue"/>
            <w:tcBorders>
              <w:top w:val="nil"/>
              <w:bottom w:val="nil"/>
            </w:tcBorders>
            <w:vAlign w:val="top"/>
          </w:tcPr>
          <w:p>
            <w:pPr>
              <w:pStyle w:val="6"/>
            </w:pPr>
          </w:p>
        </w:tc>
        <w:tc>
          <w:tcPr>
            <w:tcW w:w="5973" w:type="dxa"/>
            <w:vAlign w:val="top"/>
          </w:tcPr>
          <w:p>
            <w:pPr>
              <w:spacing w:before="171" w:line="297" w:lineRule="auto"/>
              <w:ind w:left="109" w:right="106" w:firstLine="15"/>
              <w:rPr>
                <w:rFonts w:ascii="宋体" w:hAnsi="宋体" w:eastAsia="宋体" w:cs="宋体"/>
                <w:sz w:val="20"/>
                <w:szCs w:val="20"/>
              </w:rPr>
            </w:pPr>
            <w:r>
              <w:rPr>
                <w:rFonts w:ascii="宋体" w:hAnsi="宋体" w:eastAsia="宋体" w:cs="宋体"/>
                <w:spacing w:val="12"/>
                <w:sz w:val="20"/>
                <w:szCs w:val="20"/>
              </w:rPr>
              <w:t>以明显低于完成服务所需人力、管理等合理成本的咨询服务费</w:t>
            </w:r>
            <w:r>
              <w:rPr>
                <w:rFonts w:ascii="宋体" w:hAnsi="宋体" w:eastAsia="宋体" w:cs="宋体"/>
                <w:spacing w:val="9"/>
                <w:sz w:val="20"/>
                <w:szCs w:val="20"/>
              </w:rPr>
              <w:t>扰乱市场价格，且不能做出合理解释的</w:t>
            </w:r>
          </w:p>
        </w:tc>
        <w:tc>
          <w:tcPr>
            <w:tcW w:w="1352" w:type="dxa"/>
            <w:vAlign w:val="top"/>
          </w:tcPr>
          <w:p>
            <w:pPr>
              <w:pStyle w:val="6"/>
              <w:spacing w:line="261" w:lineRule="auto"/>
            </w:pPr>
          </w:p>
          <w:p>
            <w:pPr>
              <w:spacing w:before="65" w:line="277"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903" w:type="dxa"/>
            <w:vAlign w:val="top"/>
          </w:tcPr>
          <w:p>
            <w:pPr>
              <w:spacing w:before="287" w:line="300" w:lineRule="exact"/>
              <w:ind w:left="401"/>
              <w:rPr>
                <w:rFonts w:ascii="宋体" w:hAnsi="宋体" w:eastAsia="宋体" w:cs="宋体"/>
                <w:sz w:val="20"/>
                <w:szCs w:val="20"/>
              </w:rPr>
            </w:pPr>
            <w:r>
              <w:rPr>
                <w:rFonts w:ascii="宋体" w:hAnsi="宋体" w:eastAsia="宋体" w:cs="宋体"/>
                <w:position w:val="2"/>
                <w:sz w:val="20"/>
                <w:szCs w:val="20"/>
              </w:rPr>
              <w:t>7</w:t>
            </w:r>
          </w:p>
        </w:tc>
        <w:tc>
          <w:tcPr>
            <w:tcW w:w="950" w:type="dxa"/>
            <w:vMerge w:val="continue"/>
            <w:tcBorders>
              <w:top w:val="nil"/>
              <w:bottom w:val="nil"/>
            </w:tcBorders>
            <w:vAlign w:val="top"/>
          </w:tcPr>
          <w:p>
            <w:pPr>
              <w:pStyle w:val="6"/>
            </w:pPr>
          </w:p>
        </w:tc>
        <w:tc>
          <w:tcPr>
            <w:tcW w:w="5973" w:type="dxa"/>
            <w:vAlign w:val="top"/>
          </w:tcPr>
          <w:p>
            <w:pPr>
              <w:spacing w:before="132" w:line="278" w:lineRule="auto"/>
              <w:ind w:left="107" w:right="106" w:firstLine="2"/>
              <w:rPr>
                <w:rFonts w:ascii="宋体" w:hAnsi="宋体" w:eastAsia="宋体" w:cs="宋体"/>
                <w:sz w:val="20"/>
                <w:szCs w:val="20"/>
              </w:rPr>
            </w:pPr>
            <w:r>
              <w:rPr>
                <w:rFonts w:ascii="宋体" w:hAnsi="宋体" w:eastAsia="宋体" w:cs="宋体"/>
                <w:spacing w:val="11"/>
                <w:sz w:val="20"/>
                <w:szCs w:val="20"/>
              </w:rPr>
              <w:t>在评价年度内被主管部门要求限期整改</w:t>
            </w:r>
            <w:r>
              <w:rPr>
                <w:rFonts w:ascii="宋体" w:hAnsi="宋体" w:eastAsia="宋体" w:cs="宋体"/>
                <w:spacing w:val="-47"/>
                <w:sz w:val="20"/>
                <w:szCs w:val="20"/>
              </w:rPr>
              <w:t xml:space="preserve"> </w:t>
            </w:r>
            <w:r>
              <w:rPr>
                <w:rFonts w:ascii="宋体" w:hAnsi="宋体" w:eastAsia="宋体" w:cs="宋体"/>
                <w:spacing w:val="11"/>
                <w:sz w:val="20"/>
                <w:szCs w:val="20"/>
              </w:rPr>
              <w:t>，拒绝整改或整改期满</w:t>
            </w:r>
            <w:r>
              <w:rPr>
                <w:rFonts w:ascii="宋体" w:hAnsi="宋体" w:eastAsia="宋体" w:cs="宋体"/>
                <w:spacing w:val="9"/>
                <w:sz w:val="20"/>
                <w:szCs w:val="20"/>
              </w:rPr>
              <w:t>后未达到整改条件的</w:t>
            </w:r>
          </w:p>
        </w:tc>
        <w:tc>
          <w:tcPr>
            <w:tcW w:w="1352" w:type="dxa"/>
            <w:vAlign w:val="top"/>
          </w:tcPr>
          <w:p>
            <w:pPr>
              <w:spacing w:before="287" w:line="278"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5" w:hRule="atLeast"/>
        </w:trPr>
        <w:tc>
          <w:tcPr>
            <w:tcW w:w="903" w:type="dxa"/>
            <w:vAlign w:val="top"/>
          </w:tcPr>
          <w:p>
            <w:pPr>
              <w:spacing w:before="238" w:line="299" w:lineRule="exact"/>
              <w:ind w:left="405"/>
              <w:rPr>
                <w:rFonts w:ascii="宋体" w:hAnsi="宋体" w:eastAsia="宋体" w:cs="宋体"/>
                <w:sz w:val="20"/>
                <w:szCs w:val="20"/>
              </w:rPr>
            </w:pPr>
            <w:r>
              <w:rPr>
                <w:rFonts w:ascii="宋体" w:hAnsi="宋体" w:eastAsia="宋体" w:cs="宋体"/>
                <w:position w:val="2"/>
                <w:sz w:val="20"/>
                <w:szCs w:val="20"/>
              </w:rPr>
              <w:t>8</w:t>
            </w:r>
          </w:p>
        </w:tc>
        <w:tc>
          <w:tcPr>
            <w:tcW w:w="950" w:type="dxa"/>
            <w:vMerge w:val="continue"/>
            <w:tcBorders>
              <w:top w:val="nil"/>
            </w:tcBorders>
            <w:vAlign w:val="top"/>
          </w:tcPr>
          <w:p>
            <w:pPr>
              <w:pStyle w:val="6"/>
            </w:pPr>
          </w:p>
        </w:tc>
        <w:tc>
          <w:tcPr>
            <w:tcW w:w="5973" w:type="dxa"/>
            <w:vAlign w:val="top"/>
          </w:tcPr>
          <w:p>
            <w:pPr>
              <w:spacing w:before="242" w:line="220" w:lineRule="auto"/>
              <w:ind w:left="125"/>
              <w:rPr>
                <w:rFonts w:ascii="宋体" w:hAnsi="宋体" w:eastAsia="宋体" w:cs="宋体"/>
                <w:sz w:val="20"/>
                <w:szCs w:val="20"/>
              </w:rPr>
            </w:pPr>
            <w:r>
              <w:rPr>
                <w:rFonts w:ascii="宋体" w:hAnsi="宋体" w:eastAsia="宋体" w:cs="宋体"/>
                <w:spacing w:val="9"/>
                <w:sz w:val="20"/>
                <w:szCs w:val="20"/>
              </w:rPr>
              <w:t>以审减额作为计取工程造价咨询服务费的主要依据的</w:t>
            </w:r>
          </w:p>
        </w:tc>
        <w:tc>
          <w:tcPr>
            <w:tcW w:w="1352" w:type="dxa"/>
            <w:vAlign w:val="top"/>
          </w:tcPr>
          <w:p>
            <w:pPr>
              <w:spacing w:before="238" w:line="277"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4" w:hRule="atLeast"/>
        </w:trPr>
        <w:tc>
          <w:tcPr>
            <w:tcW w:w="903" w:type="dxa"/>
            <w:vAlign w:val="top"/>
          </w:tcPr>
          <w:p>
            <w:pPr>
              <w:spacing w:before="298" w:line="300" w:lineRule="exact"/>
              <w:ind w:left="402"/>
              <w:rPr>
                <w:rFonts w:ascii="宋体" w:hAnsi="宋体" w:eastAsia="宋体" w:cs="宋体"/>
                <w:sz w:val="20"/>
                <w:szCs w:val="20"/>
              </w:rPr>
            </w:pPr>
            <w:r>
              <w:rPr>
                <w:rFonts w:ascii="宋体" w:hAnsi="宋体" w:eastAsia="宋体" w:cs="宋体"/>
                <w:position w:val="2"/>
                <w:sz w:val="20"/>
                <w:szCs w:val="20"/>
              </w:rPr>
              <w:t>9</w:t>
            </w:r>
          </w:p>
        </w:tc>
        <w:tc>
          <w:tcPr>
            <w:tcW w:w="950" w:type="dxa"/>
            <w:vMerge w:val="restart"/>
            <w:tcBorders>
              <w:bottom w:val="nil"/>
            </w:tcBorders>
            <w:vAlign w:val="top"/>
          </w:tcPr>
          <w:p>
            <w:pPr>
              <w:pStyle w:val="6"/>
              <w:spacing w:line="320" w:lineRule="auto"/>
            </w:pPr>
          </w:p>
          <w:p>
            <w:pPr>
              <w:pStyle w:val="6"/>
              <w:spacing w:line="321" w:lineRule="auto"/>
            </w:pPr>
          </w:p>
          <w:p>
            <w:pPr>
              <w:spacing w:before="65" w:line="295" w:lineRule="auto"/>
              <w:ind w:left="267" w:right="267" w:firstLine="2"/>
              <w:rPr>
                <w:rFonts w:ascii="宋体" w:hAnsi="宋体" w:eastAsia="宋体" w:cs="宋体"/>
                <w:sz w:val="20"/>
                <w:szCs w:val="20"/>
              </w:rPr>
            </w:pPr>
            <w:r>
              <w:rPr>
                <w:rFonts w:ascii="宋体" w:hAnsi="宋体" w:eastAsia="宋体" w:cs="宋体"/>
                <w:spacing w:val="3"/>
                <w:sz w:val="20"/>
                <w:szCs w:val="20"/>
              </w:rPr>
              <w:t>咨询</w:t>
            </w:r>
            <w:r>
              <w:rPr>
                <w:rFonts w:ascii="宋体" w:hAnsi="宋体" w:eastAsia="宋体" w:cs="宋体"/>
                <w:spacing w:val="5"/>
                <w:sz w:val="20"/>
                <w:szCs w:val="20"/>
              </w:rPr>
              <w:t>服务</w:t>
            </w:r>
          </w:p>
          <w:p>
            <w:pPr>
              <w:spacing w:line="216" w:lineRule="auto"/>
              <w:ind w:left="263"/>
              <w:rPr>
                <w:rFonts w:ascii="宋体" w:hAnsi="宋体" w:eastAsia="宋体" w:cs="宋体"/>
                <w:sz w:val="20"/>
                <w:szCs w:val="20"/>
              </w:rPr>
            </w:pPr>
            <w:r>
              <w:rPr>
                <w:rFonts w:ascii="宋体" w:hAnsi="宋体" w:eastAsia="宋体" w:cs="宋体"/>
                <w:spacing w:val="7"/>
                <w:sz w:val="20"/>
                <w:szCs w:val="20"/>
              </w:rPr>
              <w:t>行为</w:t>
            </w:r>
          </w:p>
        </w:tc>
        <w:tc>
          <w:tcPr>
            <w:tcW w:w="5973" w:type="dxa"/>
            <w:vAlign w:val="top"/>
          </w:tcPr>
          <w:p>
            <w:pPr>
              <w:spacing w:before="143" w:line="282" w:lineRule="auto"/>
              <w:ind w:left="107" w:right="106"/>
              <w:rPr>
                <w:rFonts w:ascii="宋体" w:hAnsi="宋体" w:eastAsia="宋体" w:cs="宋体"/>
                <w:sz w:val="20"/>
                <w:szCs w:val="20"/>
              </w:rPr>
            </w:pPr>
            <w:r>
              <w:rPr>
                <w:rFonts w:ascii="宋体" w:hAnsi="宋体" w:eastAsia="宋体" w:cs="宋体"/>
                <w:spacing w:val="13"/>
                <w:sz w:val="20"/>
                <w:szCs w:val="20"/>
              </w:rPr>
              <w:t>故意泄露工程造价咨询服务过程中获知的当事人商业秘密和技</w:t>
            </w:r>
            <w:r>
              <w:rPr>
                <w:rFonts w:ascii="宋体" w:hAnsi="宋体" w:eastAsia="宋体" w:cs="宋体"/>
                <w:spacing w:val="8"/>
                <w:sz w:val="20"/>
                <w:szCs w:val="20"/>
              </w:rPr>
              <w:t>术秘密的</w:t>
            </w:r>
          </w:p>
        </w:tc>
        <w:tc>
          <w:tcPr>
            <w:tcW w:w="1352" w:type="dxa"/>
            <w:vAlign w:val="top"/>
          </w:tcPr>
          <w:p>
            <w:pPr>
              <w:spacing w:before="298" w:line="278"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5" w:hRule="atLeast"/>
        </w:trPr>
        <w:tc>
          <w:tcPr>
            <w:tcW w:w="903" w:type="dxa"/>
            <w:vAlign w:val="top"/>
          </w:tcPr>
          <w:p>
            <w:pPr>
              <w:spacing w:before="273" w:line="300" w:lineRule="exact"/>
              <w:ind w:left="367"/>
              <w:rPr>
                <w:rFonts w:ascii="宋体" w:hAnsi="宋体" w:eastAsia="宋体" w:cs="宋体"/>
                <w:sz w:val="20"/>
                <w:szCs w:val="20"/>
              </w:rPr>
            </w:pPr>
            <w:r>
              <w:rPr>
                <w:rFonts w:ascii="宋体" w:hAnsi="宋体" w:eastAsia="宋体" w:cs="宋体"/>
                <w:spacing w:val="-8"/>
                <w:position w:val="2"/>
                <w:sz w:val="20"/>
                <w:szCs w:val="20"/>
              </w:rPr>
              <w:t>10</w:t>
            </w:r>
          </w:p>
        </w:tc>
        <w:tc>
          <w:tcPr>
            <w:tcW w:w="950" w:type="dxa"/>
            <w:vMerge w:val="continue"/>
            <w:tcBorders>
              <w:top w:val="nil"/>
              <w:bottom w:val="nil"/>
            </w:tcBorders>
            <w:vAlign w:val="top"/>
          </w:tcPr>
          <w:p>
            <w:pPr>
              <w:pStyle w:val="6"/>
            </w:pPr>
          </w:p>
        </w:tc>
        <w:tc>
          <w:tcPr>
            <w:tcW w:w="5973" w:type="dxa"/>
            <w:vAlign w:val="top"/>
          </w:tcPr>
          <w:p>
            <w:pPr>
              <w:spacing w:before="117" w:line="271" w:lineRule="auto"/>
              <w:ind w:left="108" w:right="106" w:firstLine="1"/>
              <w:rPr>
                <w:rFonts w:ascii="宋体" w:hAnsi="宋体" w:eastAsia="宋体" w:cs="宋体"/>
                <w:sz w:val="20"/>
                <w:szCs w:val="20"/>
              </w:rPr>
            </w:pPr>
            <w:r>
              <w:rPr>
                <w:rFonts w:ascii="宋体" w:hAnsi="宋体" w:eastAsia="宋体" w:cs="宋体"/>
                <w:spacing w:val="11"/>
                <w:sz w:val="20"/>
                <w:szCs w:val="20"/>
              </w:rPr>
              <w:t>在建设工程计价活动中</w:t>
            </w:r>
            <w:r>
              <w:rPr>
                <w:rFonts w:ascii="宋体" w:hAnsi="宋体" w:eastAsia="宋体" w:cs="宋体"/>
                <w:spacing w:val="-47"/>
                <w:sz w:val="20"/>
                <w:szCs w:val="20"/>
              </w:rPr>
              <w:t xml:space="preserve"> </w:t>
            </w:r>
            <w:r>
              <w:rPr>
                <w:rFonts w:ascii="宋体" w:hAnsi="宋体" w:eastAsia="宋体" w:cs="宋体"/>
                <w:spacing w:val="11"/>
                <w:sz w:val="20"/>
                <w:szCs w:val="20"/>
              </w:rPr>
              <w:t>，出具有虚假记载、误导性陈述的工程</w:t>
            </w:r>
            <w:r>
              <w:rPr>
                <w:rFonts w:ascii="宋体" w:hAnsi="宋体" w:eastAsia="宋体" w:cs="宋体"/>
                <w:spacing w:val="9"/>
                <w:sz w:val="20"/>
                <w:szCs w:val="20"/>
              </w:rPr>
              <w:t>造价成果文件的</w:t>
            </w:r>
          </w:p>
        </w:tc>
        <w:tc>
          <w:tcPr>
            <w:tcW w:w="1352" w:type="dxa"/>
            <w:vAlign w:val="top"/>
          </w:tcPr>
          <w:p>
            <w:pPr>
              <w:spacing w:before="273" w:line="278" w:lineRule="exact"/>
              <w:ind w:left="326"/>
              <w:rPr>
                <w:rFonts w:ascii="宋体" w:hAnsi="宋体" w:eastAsia="宋体" w:cs="宋体"/>
                <w:sz w:val="20"/>
                <w:szCs w:val="20"/>
              </w:rPr>
            </w:pPr>
            <w:r>
              <w:rPr>
                <w:rFonts w:ascii="宋体" w:hAnsi="宋体" w:eastAsia="宋体" w:cs="宋体"/>
                <w:spacing w:val="-10"/>
                <w:position w:val="1"/>
                <w:sz w:val="20"/>
                <w:szCs w:val="20"/>
              </w:rPr>
              <w:t>15</w:t>
            </w:r>
            <w:r>
              <w:rPr>
                <w:rFonts w:ascii="宋体" w:hAnsi="宋体" w:eastAsia="宋体" w:cs="宋体"/>
                <w:spacing w:val="-37"/>
                <w:position w:val="1"/>
                <w:sz w:val="20"/>
                <w:szCs w:val="20"/>
              </w:rPr>
              <w:t xml:space="preserve"> </w:t>
            </w:r>
            <w:r>
              <w:rPr>
                <w:rFonts w:ascii="宋体" w:hAnsi="宋体" w:eastAsia="宋体" w:cs="宋体"/>
                <w:spacing w:val="-10"/>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5" w:hRule="atLeast"/>
        </w:trPr>
        <w:tc>
          <w:tcPr>
            <w:tcW w:w="903" w:type="dxa"/>
            <w:vAlign w:val="top"/>
          </w:tcPr>
          <w:p>
            <w:pPr>
              <w:spacing w:before="278" w:line="301" w:lineRule="exact"/>
              <w:ind w:left="367"/>
              <w:rPr>
                <w:rFonts w:ascii="宋体" w:hAnsi="宋体" w:eastAsia="宋体" w:cs="宋体"/>
                <w:sz w:val="20"/>
                <w:szCs w:val="20"/>
              </w:rPr>
            </w:pPr>
            <w:r>
              <w:rPr>
                <w:rFonts w:ascii="宋体" w:hAnsi="宋体" w:eastAsia="宋体" w:cs="宋体"/>
                <w:spacing w:val="-8"/>
                <w:position w:val="2"/>
                <w:sz w:val="20"/>
                <w:szCs w:val="20"/>
              </w:rPr>
              <w:t>11</w:t>
            </w:r>
          </w:p>
        </w:tc>
        <w:tc>
          <w:tcPr>
            <w:tcW w:w="950" w:type="dxa"/>
            <w:vMerge w:val="continue"/>
            <w:tcBorders>
              <w:top w:val="nil"/>
            </w:tcBorders>
            <w:vAlign w:val="top"/>
          </w:tcPr>
          <w:p>
            <w:pPr>
              <w:pStyle w:val="6"/>
            </w:pPr>
          </w:p>
        </w:tc>
        <w:tc>
          <w:tcPr>
            <w:tcW w:w="5973" w:type="dxa"/>
            <w:vAlign w:val="top"/>
          </w:tcPr>
          <w:p>
            <w:pPr>
              <w:spacing w:before="281" w:line="220" w:lineRule="auto"/>
              <w:ind w:left="109"/>
              <w:rPr>
                <w:rFonts w:ascii="宋体" w:hAnsi="宋体" w:eastAsia="宋体" w:cs="宋体"/>
                <w:sz w:val="20"/>
                <w:szCs w:val="20"/>
              </w:rPr>
            </w:pPr>
            <w:r>
              <w:rPr>
                <w:rFonts w:ascii="宋体" w:hAnsi="宋体" w:eastAsia="宋体" w:cs="宋体"/>
                <w:spacing w:val="9"/>
                <w:sz w:val="20"/>
                <w:szCs w:val="20"/>
              </w:rPr>
              <w:t>非项目咨询人员在项目成果文件上签字并加盖执业印章的</w:t>
            </w:r>
          </w:p>
        </w:tc>
        <w:tc>
          <w:tcPr>
            <w:tcW w:w="1352" w:type="dxa"/>
            <w:vAlign w:val="top"/>
          </w:tcPr>
          <w:p>
            <w:pPr>
              <w:spacing w:before="278" w:line="278" w:lineRule="exact"/>
              <w:ind w:left="326"/>
              <w:rPr>
                <w:rFonts w:ascii="宋体" w:hAnsi="宋体" w:eastAsia="宋体" w:cs="宋体"/>
                <w:sz w:val="20"/>
                <w:szCs w:val="20"/>
              </w:rPr>
            </w:pPr>
            <w:r>
              <w:rPr>
                <w:rFonts w:ascii="宋体" w:hAnsi="宋体" w:eastAsia="宋体" w:cs="宋体"/>
                <w:spacing w:val="-10"/>
                <w:position w:val="1"/>
                <w:sz w:val="20"/>
                <w:szCs w:val="20"/>
              </w:rPr>
              <w:t>10</w:t>
            </w:r>
            <w:r>
              <w:rPr>
                <w:rFonts w:ascii="宋体" w:hAnsi="宋体" w:eastAsia="宋体" w:cs="宋体"/>
                <w:spacing w:val="-37"/>
                <w:position w:val="1"/>
                <w:sz w:val="20"/>
                <w:szCs w:val="20"/>
              </w:rPr>
              <w:t xml:space="preserve"> </w:t>
            </w:r>
            <w:r>
              <w:rPr>
                <w:rFonts w:ascii="宋体" w:hAnsi="宋体" w:eastAsia="宋体" w:cs="宋体"/>
                <w:spacing w:val="-10"/>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903" w:type="dxa"/>
            <w:vAlign w:val="top"/>
          </w:tcPr>
          <w:p>
            <w:pPr>
              <w:spacing w:before="290" w:line="301" w:lineRule="exact"/>
              <w:ind w:left="367"/>
              <w:rPr>
                <w:rFonts w:ascii="宋体" w:hAnsi="宋体" w:eastAsia="宋体" w:cs="宋体"/>
                <w:sz w:val="20"/>
                <w:szCs w:val="20"/>
              </w:rPr>
            </w:pPr>
            <w:r>
              <w:rPr>
                <w:rFonts w:ascii="宋体" w:hAnsi="宋体" w:eastAsia="宋体" w:cs="宋体"/>
                <w:spacing w:val="-8"/>
                <w:position w:val="2"/>
                <w:sz w:val="20"/>
                <w:szCs w:val="20"/>
              </w:rPr>
              <w:t>12</w:t>
            </w:r>
          </w:p>
        </w:tc>
        <w:tc>
          <w:tcPr>
            <w:tcW w:w="950" w:type="dxa"/>
            <w:vMerge w:val="restart"/>
            <w:tcBorders>
              <w:bottom w:val="nil"/>
            </w:tcBorders>
            <w:vAlign w:val="top"/>
          </w:tcPr>
          <w:p>
            <w:pPr>
              <w:pStyle w:val="6"/>
              <w:spacing w:line="273" w:lineRule="auto"/>
            </w:pPr>
          </w:p>
          <w:p>
            <w:pPr>
              <w:pStyle w:val="6"/>
              <w:spacing w:line="273" w:lineRule="auto"/>
            </w:pPr>
          </w:p>
          <w:p>
            <w:pPr>
              <w:pStyle w:val="6"/>
              <w:spacing w:line="273" w:lineRule="auto"/>
            </w:pPr>
          </w:p>
          <w:p>
            <w:pPr>
              <w:pStyle w:val="6"/>
              <w:spacing w:line="274" w:lineRule="auto"/>
            </w:pPr>
          </w:p>
          <w:p>
            <w:pPr>
              <w:spacing w:before="65" w:line="299" w:lineRule="auto"/>
              <w:ind w:left="265" w:right="267" w:hanging="2"/>
              <w:rPr>
                <w:rFonts w:ascii="宋体" w:hAnsi="宋体" w:eastAsia="宋体" w:cs="宋体"/>
                <w:sz w:val="20"/>
                <w:szCs w:val="20"/>
              </w:rPr>
            </w:pPr>
            <w:r>
              <w:rPr>
                <w:rFonts w:ascii="宋体" w:hAnsi="宋体" w:eastAsia="宋体" w:cs="宋体"/>
                <w:spacing w:val="7"/>
                <w:sz w:val="20"/>
                <w:szCs w:val="20"/>
              </w:rPr>
              <w:t>监督</w:t>
            </w:r>
            <w:r>
              <w:rPr>
                <w:rFonts w:ascii="宋体" w:hAnsi="宋体" w:eastAsia="宋体" w:cs="宋体"/>
                <w:spacing w:val="6"/>
                <w:sz w:val="20"/>
                <w:szCs w:val="20"/>
              </w:rPr>
              <w:t>检查</w:t>
            </w:r>
          </w:p>
        </w:tc>
        <w:tc>
          <w:tcPr>
            <w:tcW w:w="5973" w:type="dxa"/>
            <w:vAlign w:val="top"/>
          </w:tcPr>
          <w:p>
            <w:pPr>
              <w:spacing w:before="290" w:line="276" w:lineRule="exact"/>
              <w:ind w:left="109"/>
              <w:rPr>
                <w:rFonts w:ascii="宋体" w:hAnsi="宋体" w:eastAsia="宋体" w:cs="宋体"/>
                <w:sz w:val="20"/>
                <w:szCs w:val="20"/>
              </w:rPr>
            </w:pPr>
            <w:r>
              <w:rPr>
                <w:rFonts w:ascii="宋体" w:hAnsi="宋体" w:eastAsia="宋体" w:cs="宋体"/>
                <w:spacing w:val="8"/>
                <w:position w:val="1"/>
                <w:sz w:val="20"/>
                <w:szCs w:val="20"/>
              </w:rPr>
              <w:t>在全省“双随机、一公开”成果文件质量检查评分低于</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90</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分的</w:t>
            </w:r>
          </w:p>
        </w:tc>
        <w:tc>
          <w:tcPr>
            <w:tcW w:w="1352" w:type="dxa"/>
            <w:vAlign w:val="top"/>
          </w:tcPr>
          <w:p>
            <w:pPr>
              <w:spacing w:before="290" w:line="277" w:lineRule="exact"/>
              <w:ind w:left="362"/>
              <w:rPr>
                <w:rFonts w:ascii="宋体" w:hAnsi="宋体" w:eastAsia="宋体" w:cs="宋体"/>
                <w:sz w:val="20"/>
                <w:szCs w:val="20"/>
              </w:rPr>
            </w:pPr>
            <w:r>
              <w:rPr>
                <w:rFonts w:ascii="宋体" w:hAnsi="宋体" w:eastAsia="宋体" w:cs="宋体"/>
                <w:spacing w:val="-8"/>
                <w:position w:val="1"/>
                <w:sz w:val="20"/>
                <w:szCs w:val="20"/>
              </w:rPr>
              <w:t>2</w:t>
            </w:r>
            <w:r>
              <w:rPr>
                <w:rFonts w:ascii="宋体" w:hAnsi="宋体" w:eastAsia="宋体" w:cs="宋体"/>
                <w:spacing w:val="-41"/>
                <w:position w:val="1"/>
                <w:sz w:val="20"/>
                <w:szCs w:val="20"/>
              </w:rPr>
              <w:t xml:space="preserve"> </w:t>
            </w:r>
            <w:r>
              <w:rPr>
                <w:rFonts w:ascii="宋体" w:hAnsi="宋体" w:eastAsia="宋体" w:cs="宋体"/>
                <w:spacing w:val="-8"/>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5" w:hRule="atLeast"/>
        </w:trPr>
        <w:tc>
          <w:tcPr>
            <w:tcW w:w="903" w:type="dxa"/>
            <w:vAlign w:val="top"/>
          </w:tcPr>
          <w:p>
            <w:pPr>
              <w:spacing w:before="264" w:line="300" w:lineRule="exact"/>
              <w:ind w:left="367"/>
              <w:rPr>
                <w:rFonts w:ascii="宋体" w:hAnsi="宋体" w:eastAsia="宋体" w:cs="宋体"/>
                <w:sz w:val="20"/>
                <w:szCs w:val="20"/>
              </w:rPr>
            </w:pPr>
            <w:r>
              <w:rPr>
                <w:rFonts w:ascii="宋体" w:hAnsi="宋体" w:eastAsia="宋体" w:cs="宋体"/>
                <w:spacing w:val="-8"/>
                <w:position w:val="2"/>
                <w:sz w:val="20"/>
                <w:szCs w:val="20"/>
              </w:rPr>
              <w:t>13</w:t>
            </w:r>
          </w:p>
        </w:tc>
        <w:tc>
          <w:tcPr>
            <w:tcW w:w="950" w:type="dxa"/>
            <w:vMerge w:val="continue"/>
            <w:tcBorders>
              <w:top w:val="nil"/>
              <w:bottom w:val="nil"/>
            </w:tcBorders>
            <w:vAlign w:val="top"/>
          </w:tcPr>
          <w:p>
            <w:pPr>
              <w:pStyle w:val="6"/>
            </w:pPr>
          </w:p>
        </w:tc>
        <w:tc>
          <w:tcPr>
            <w:tcW w:w="5973" w:type="dxa"/>
            <w:vAlign w:val="top"/>
          </w:tcPr>
          <w:p>
            <w:pPr>
              <w:spacing w:before="264" w:line="277" w:lineRule="exact"/>
              <w:ind w:left="109"/>
              <w:rPr>
                <w:rFonts w:ascii="宋体" w:hAnsi="宋体" w:eastAsia="宋体" w:cs="宋体"/>
                <w:sz w:val="20"/>
                <w:szCs w:val="20"/>
              </w:rPr>
            </w:pPr>
            <w:r>
              <w:rPr>
                <w:rFonts w:ascii="宋体" w:hAnsi="宋体" w:eastAsia="宋体" w:cs="宋体"/>
                <w:spacing w:val="8"/>
                <w:position w:val="1"/>
                <w:sz w:val="20"/>
                <w:szCs w:val="20"/>
              </w:rPr>
              <w:t>在全省“双随机、一公开”成果文件质量检查评分低于</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80</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分的</w:t>
            </w:r>
          </w:p>
        </w:tc>
        <w:tc>
          <w:tcPr>
            <w:tcW w:w="1352" w:type="dxa"/>
            <w:vAlign w:val="top"/>
          </w:tcPr>
          <w:p>
            <w:pPr>
              <w:spacing w:before="264" w:line="278" w:lineRule="exact"/>
              <w:ind w:left="359"/>
              <w:rPr>
                <w:rFonts w:ascii="宋体" w:hAnsi="宋体" w:eastAsia="宋体" w:cs="宋体"/>
                <w:sz w:val="20"/>
                <w:szCs w:val="20"/>
              </w:rPr>
            </w:pPr>
            <w:r>
              <w:rPr>
                <w:rFonts w:ascii="宋体" w:hAnsi="宋体" w:eastAsia="宋体" w:cs="宋体"/>
                <w:spacing w:val="-7"/>
                <w:position w:val="1"/>
                <w:sz w:val="20"/>
                <w:szCs w:val="20"/>
              </w:rPr>
              <w:t>4</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5" w:hRule="atLeast"/>
        </w:trPr>
        <w:tc>
          <w:tcPr>
            <w:tcW w:w="903" w:type="dxa"/>
            <w:vAlign w:val="top"/>
          </w:tcPr>
          <w:p>
            <w:pPr>
              <w:spacing w:before="253" w:line="301" w:lineRule="exact"/>
              <w:ind w:left="367"/>
              <w:rPr>
                <w:rFonts w:ascii="宋体" w:hAnsi="宋体" w:eastAsia="宋体" w:cs="宋体"/>
                <w:sz w:val="20"/>
                <w:szCs w:val="20"/>
              </w:rPr>
            </w:pPr>
            <w:r>
              <w:rPr>
                <w:rFonts w:ascii="宋体" w:hAnsi="宋体" w:eastAsia="宋体" w:cs="宋体"/>
                <w:spacing w:val="-8"/>
                <w:position w:val="2"/>
                <w:sz w:val="20"/>
                <w:szCs w:val="20"/>
              </w:rPr>
              <w:t>14</w:t>
            </w:r>
          </w:p>
        </w:tc>
        <w:tc>
          <w:tcPr>
            <w:tcW w:w="950" w:type="dxa"/>
            <w:vMerge w:val="continue"/>
            <w:tcBorders>
              <w:top w:val="nil"/>
              <w:bottom w:val="nil"/>
            </w:tcBorders>
            <w:vAlign w:val="top"/>
          </w:tcPr>
          <w:p>
            <w:pPr>
              <w:pStyle w:val="6"/>
            </w:pPr>
          </w:p>
        </w:tc>
        <w:tc>
          <w:tcPr>
            <w:tcW w:w="5973" w:type="dxa"/>
            <w:vAlign w:val="top"/>
          </w:tcPr>
          <w:p>
            <w:pPr>
              <w:spacing w:before="253" w:line="277" w:lineRule="exact"/>
              <w:ind w:left="109"/>
              <w:rPr>
                <w:rFonts w:ascii="宋体" w:hAnsi="宋体" w:eastAsia="宋体" w:cs="宋体"/>
                <w:sz w:val="20"/>
                <w:szCs w:val="20"/>
              </w:rPr>
            </w:pPr>
            <w:r>
              <w:rPr>
                <w:rFonts w:ascii="宋体" w:hAnsi="宋体" w:eastAsia="宋体" w:cs="宋体"/>
                <w:spacing w:val="8"/>
                <w:position w:val="1"/>
                <w:sz w:val="20"/>
                <w:szCs w:val="20"/>
              </w:rPr>
              <w:t>在全省“双随机、一公开”成果文件质量检查评分低于</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70</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分的</w:t>
            </w:r>
          </w:p>
        </w:tc>
        <w:tc>
          <w:tcPr>
            <w:tcW w:w="1352" w:type="dxa"/>
            <w:vAlign w:val="top"/>
          </w:tcPr>
          <w:p>
            <w:pPr>
              <w:spacing w:before="253" w:line="278" w:lineRule="exact"/>
              <w:ind w:left="363"/>
              <w:rPr>
                <w:rFonts w:ascii="宋体" w:hAnsi="宋体" w:eastAsia="宋体" w:cs="宋体"/>
                <w:sz w:val="20"/>
                <w:szCs w:val="20"/>
              </w:rPr>
            </w:pPr>
            <w:r>
              <w:rPr>
                <w:rFonts w:ascii="宋体" w:hAnsi="宋体" w:eastAsia="宋体" w:cs="宋体"/>
                <w:spacing w:val="-8"/>
                <w:position w:val="1"/>
                <w:sz w:val="20"/>
                <w:szCs w:val="20"/>
              </w:rPr>
              <w:t>6</w:t>
            </w:r>
            <w:r>
              <w:rPr>
                <w:rFonts w:ascii="宋体" w:hAnsi="宋体" w:eastAsia="宋体" w:cs="宋体"/>
                <w:spacing w:val="-42"/>
                <w:position w:val="1"/>
                <w:sz w:val="20"/>
                <w:szCs w:val="20"/>
              </w:rPr>
              <w:t xml:space="preserve"> </w:t>
            </w:r>
            <w:r>
              <w:rPr>
                <w:rFonts w:ascii="宋体" w:hAnsi="宋体" w:eastAsia="宋体" w:cs="宋体"/>
                <w:spacing w:val="-8"/>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5" w:hRule="atLeast"/>
        </w:trPr>
        <w:tc>
          <w:tcPr>
            <w:tcW w:w="903" w:type="dxa"/>
            <w:vAlign w:val="top"/>
          </w:tcPr>
          <w:p>
            <w:pPr>
              <w:spacing w:before="255" w:line="299" w:lineRule="exact"/>
              <w:ind w:left="367"/>
              <w:rPr>
                <w:rFonts w:ascii="宋体" w:hAnsi="宋体" w:eastAsia="宋体" w:cs="宋体"/>
                <w:sz w:val="20"/>
                <w:szCs w:val="20"/>
              </w:rPr>
            </w:pPr>
            <w:r>
              <w:rPr>
                <w:rFonts w:ascii="宋体" w:hAnsi="宋体" w:eastAsia="宋体" w:cs="宋体"/>
                <w:spacing w:val="-8"/>
                <w:position w:val="2"/>
                <w:sz w:val="20"/>
                <w:szCs w:val="20"/>
              </w:rPr>
              <w:t>15</w:t>
            </w:r>
          </w:p>
        </w:tc>
        <w:tc>
          <w:tcPr>
            <w:tcW w:w="950" w:type="dxa"/>
            <w:vMerge w:val="continue"/>
            <w:tcBorders>
              <w:top w:val="nil"/>
            </w:tcBorders>
            <w:vAlign w:val="top"/>
          </w:tcPr>
          <w:p>
            <w:pPr>
              <w:pStyle w:val="6"/>
            </w:pPr>
          </w:p>
        </w:tc>
        <w:tc>
          <w:tcPr>
            <w:tcW w:w="5973" w:type="dxa"/>
            <w:vAlign w:val="top"/>
          </w:tcPr>
          <w:p>
            <w:pPr>
              <w:spacing w:before="255" w:line="277" w:lineRule="exact"/>
              <w:ind w:left="109"/>
              <w:rPr>
                <w:rFonts w:ascii="宋体" w:hAnsi="宋体" w:eastAsia="宋体" w:cs="宋体"/>
                <w:sz w:val="20"/>
                <w:szCs w:val="20"/>
              </w:rPr>
            </w:pPr>
            <w:r>
              <w:rPr>
                <w:rFonts w:ascii="宋体" w:hAnsi="宋体" w:eastAsia="宋体" w:cs="宋体"/>
                <w:spacing w:val="8"/>
                <w:position w:val="1"/>
                <w:sz w:val="20"/>
                <w:szCs w:val="20"/>
              </w:rPr>
              <w:t>在全省“双随机、一公开”成果文件质量检查评分低于</w:t>
            </w:r>
            <w:r>
              <w:rPr>
                <w:rFonts w:ascii="宋体" w:hAnsi="宋体" w:eastAsia="宋体" w:cs="宋体"/>
                <w:spacing w:val="-33"/>
                <w:position w:val="1"/>
                <w:sz w:val="20"/>
                <w:szCs w:val="20"/>
              </w:rPr>
              <w:t xml:space="preserve"> </w:t>
            </w:r>
            <w:r>
              <w:rPr>
                <w:rFonts w:ascii="宋体" w:hAnsi="宋体" w:eastAsia="宋体" w:cs="宋体"/>
                <w:spacing w:val="8"/>
                <w:position w:val="1"/>
                <w:sz w:val="20"/>
                <w:szCs w:val="20"/>
              </w:rPr>
              <w:t>60</w:t>
            </w:r>
            <w:r>
              <w:rPr>
                <w:rFonts w:ascii="宋体" w:hAnsi="宋体" w:eastAsia="宋体" w:cs="宋体"/>
                <w:spacing w:val="-40"/>
                <w:position w:val="1"/>
                <w:sz w:val="20"/>
                <w:szCs w:val="20"/>
              </w:rPr>
              <w:t xml:space="preserve"> </w:t>
            </w:r>
            <w:r>
              <w:rPr>
                <w:rFonts w:ascii="宋体" w:hAnsi="宋体" w:eastAsia="宋体" w:cs="宋体"/>
                <w:spacing w:val="8"/>
                <w:position w:val="1"/>
                <w:sz w:val="20"/>
                <w:szCs w:val="20"/>
              </w:rPr>
              <w:t>分的</w:t>
            </w:r>
          </w:p>
        </w:tc>
        <w:tc>
          <w:tcPr>
            <w:tcW w:w="1352" w:type="dxa"/>
            <w:vAlign w:val="top"/>
          </w:tcPr>
          <w:p>
            <w:pPr>
              <w:spacing w:before="255" w:line="277" w:lineRule="exact"/>
              <w:ind w:left="364"/>
              <w:rPr>
                <w:rFonts w:ascii="宋体" w:hAnsi="宋体" w:eastAsia="宋体" w:cs="宋体"/>
                <w:sz w:val="20"/>
                <w:szCs w:val="20"/>
              </w:rPr>
            </w:pPr>
            <w:r>
              <w:rPr>
                <w:rFonts w:ascii="宋体" w:hAnsi="宋体" w:eastAsia="宋体" w:cs="宋体"/>
                <w:spacing w:val="-8"/>
                <w:position w:val="1"/>
                <w:sz w:val="20"/>
                <w:szCs w:val="20"/>
              </w:rPr>
              <w:t>8</w:t>
            </w:r>
            <w:r>
              <w:rPr>
                <w:rFonts w:ascii="宋体" w:hAnsi="宋体" w:eastAsia="宋体" w:cs="宋体"/>
                <w:spacing w:val="-43"/>
                <w:position w:val="1"/>
                <w:sz w:val="20"/>
                <w:szCs w:val="20"/>
              </w:rPr>
              <w:t xml:space="preserve"> </w:t>
            </w:r>
            <w:r>
              <w:rPr>
                <w:rFonts w:ascii="宋体" w:hAnsi="宋体" w:eastAsia="宋体" w:cs="宋体"/>
                <w:spacing w:val="-8"/>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14" w:hRule="atLeast"/>
        </w:trPr>
        <w:tc>
          <w:tcPr>
            <w:tcW w:w="903" w:type="dxa"/>
            <w:vAlign w:val="top"/>
          </w:tcPr>
          <w:p>
            <w:pPr>
              <w:pStyle w:val="6"/>
              <w:spacing w:line="257" w:lineRule="auto"/>
            </w:pPr>
          </w:p>
          <w:p>
            <w:pPr>
              <w:spacing w:before="65" w:line="300" w:lineRule="exact"/>
              <w:ind w:left="367"/>
              <w:rPr>
                <w:rFonts w:ascii="宋体" w:hAnsi="宋体" w:eastAsia="宋体" w:cs="宋体"/>
                <w:sz w:val="20"/>
                <w:szCs w:val="20"/>
              </w:rPr>
            </w:pPr>
            <w:r>
              <w:rPr>
                <w:rFonts w:ascii="宋体" w:hAnsi="宋体" w:eastAsia="宋体" w:cs="宋体"/>
                <w:spacing w:val="-8"/>
                <w:position w:val="2"/>
                <w:sz w:val="20"/>
                <w:szCs w:val="20"/>
              </w:rPr>
              <w:t>16</w:t>
            </w:r>
          </w:p>
        </w:tc>
        <w:tc>
          <w:tcPr>
            <w:tcW w:w="950" w:type="dxa"/>
            <w:vAlign w:val="top"/>
          </w:tcPr>
          <w:p>
            <w:pPr>
              <w:spacing w:before="169" w:line="293" w:lineRule="auto"/>
              <w:ind w:left="374" w:right="159" w:hanging="215"/>
              <w:rPr>
                <w:rFonts w:ascii="宋体" w:hAnsi="宋体" w:eastAsia="宋体" w:cs="宋体"/>
                <w:sz w:val="20"/>
                <w:szCs w:val="20"/>
              </w:rPr>
            </w:pPr>
            <w:r>
              <w:rPr>
                <w:rFonts w:ascii="宋体" w:hAnsi="宋体" w:eastAsia="宋体" w:cs="宋体"/>
                <w:spacing w:val="8"/>
                <w:sz w:val="20"/>
                <w:szCs w:val="20"/>
              </w:rPr>
              <w:t>诚信行</w:t>
            </w:r>
            <w:r>
              <w:rPr>
                <w:rFonts w:ascii="宋体" w:hAnsi="宋体" w:eastAsia="宋体" w:cs="宋体"/>
                <w:sz w:val="20"/>
                <w:szCs w:val="20"/>
              </w:rPr>
              <w:t>为</w:t>
            </w:r>
          </w:p>
        </w:tc>
        <w:tc>
          <w:tcPr>
            <w:tcW w:w="5973" w:type="dxa"/>
            <w:vAlign w:val="top"/>
          </w:tcPr>
          <w:p>
            <w:pPr>
              <w:spacing w:before="169" w:line="293" w:lineRule="auto"/>
              <w:ind w:left="110" w:right="194" w:hanging="1"/>
              <w:rPr>
                <w:rFonts w:ascii="宋体" w:hAnsi="宋体" w:eastAsia="宋体" w:cs="宋体"/>
                <w:sz w:val="20"/>
                <w:szCs w:val="20"/>
              </w:rPr>
            </w:pPr>
            <w:r>
              <w:rPr>
                <w:rFonts w:ascii="宋体" w:hAnsi="宋体" w:eastAsia="宋体" w:cs="宋体"/>
                <w:spacing w:val="10"/>
                <w:sz w:val="20"/>
                <w:szCs w:val="20"/>
              </w:rPr>
              <w:t>在接受行业监管、申请信用评价、填报统计</w:t>
            </w:r>
            <w:r>
              <w:rPr>
                <w:rFonts w:ascii="宋体" w:hAnsi="宋体" w:eastAsia="宋体" w:cs="宋体"/>
                <w:spacing w:val="9"/>
                <w:sz w:val="20"/>
                <w:szCs w:val="20"/>
              </w:rPr>
              <w:t>报表等活动中提供</w:t>
            </w:r>
            <w:r>
              <w:rPr>
                <w:rFonts w:ascii="宋体" w:hAnsi="宋体" w:eastAsia="宋体" w:cs="宋体"/>
                <w:spacing w:val="8"/>
                <w:sz w:val="20"/>
                <w:szCs w:val="20"/>
              </w:rPr>
              <w:t>虚假材料的</w:t>
            </w:r>
          </w:p>
        </w:tc>
        <w:tc>
          <w:tcPr>
            <w:tcW w:w="1352" w:type="dxa"/>
            <w:vAlign w:val="top"/>
          </w:tcPr>
          <w:p>
            <w:pPr>
              <w:pStyle w:val="6"/>
              <w:spacing w:line="257" w:lineRule="auto"/>
            </w:pPr>
          </w:p>
          <w:p>
            <w:pPr>
              <w:spacing w:before="65" w:line="278"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17" w:hRule="atLeast"/>
        </w:trPr>
        <w:tc>
          <w:tcPr>
            <w:tcW w:w="903" w:type="dxa"/>
            <w:vAlign w:val="top"/>
          </w:tcPr>
          <w:p>
            <w:pPr>
              <w:pStyle w:val="6"/>
              <w:spacing w:line="259" w:lineRule="auto"/>
            </w:pPr>
          </w:p>
          <w:p>
            <w:pPr>
              <w:spacing w:before="65" w:line="299" w:lineRule="exact"/>
              <w:ind w:left="367"/>
              <w:rPr>
                <w:rFonts w:ascii="宋体" w:hAnsi="宋体" w:eastAsia="宋体" w:cs="宋体"/>
                <w:sz w:val="20"/>
                <w:szCs w:val="20"/>
              </w:rPr>
            </w:pPr>
            <w:r>
              <w:rPr>
                <w:rFonts w:ascii="宋体" w:hAnsi="宋体" w:eastAsia="宋体" w:cs="宋体"/>
                <w:spacing w:val="-8"/>
                <w:position w:val="2"/>
                <w:sz w:val="20"/>
                <w:szCs w:val="20"/>
              </w:rPr>
              <w:t>17</w:t>
            </w:r>
          </w:p>
        </w:tc>
        <w:tc>
          <w:tcPr>
            <w:tcW w:w="950" w:type="dxa"/>
            <w:vAlign w:val="top"/>
          </w:tcPr>
          <w:p>
            <w:pPr>
              <w:spacing w:before="172" w:line="293" w:lineRule="auto"/>
              <w:ind w:left="263" w:right="267"/>
              <w:rPr>
                <w:rFonts w:ascii="宋体" w:hAnsi="宋体" w:eastAsia="宋体" w:cs="宋体"/>
                <w:sz w:val="20"/>
                <w:szCs w:val="20"/>
              </w:rPr>
            </w:pPr>
            <w:r>
              <w:rPr>
                <w:rFonts w:ascii="宋体" w:hAnsi="宋体" w:eastAsia="宋体" w:cs="宋体"/>
                <w:spacing w:val="7"/>
                <w:sz w:val="20"/>
                <w:szCs w:val="20"/>
              </w:rPr>
              <w:t>社会</w:t>
            </w:r>
            <w:r>
              <w:rPr>
                <w:rFonts w:ascii="宋体" w:hAnsi="宋体" w:eastAsia="宋体" w:cs="宋体"/>
                <w:spacing w:val="6"/>
                <w:sz w:val="20"/>
                <w:szCs w:val="20"/>
              </w:rPr>
              <w:t>影响</w:t>
            </w:r>
          </w:p>
        </w:tc>
        <w:tc>
          <w:tcPr>
            <w:tcW w:w="5973" w:type="dxa"/>
            <w:vAlign w:val="top"/>
          </w:tcPr>
          <w:p>
            <w:pPr>
              <w:spacing w:before="167" w:line="295" w:lineRule="auto"/>
              <w:ind w:left="136" w:right="194" w:hanging="10"/>
              <w:rPr>
                <w:rFonts w:ascii="宋体" w:hAnsi="宋体" w:eastAsia="宋体" w:cs="宋体"/>
                <w:sz w:val="20"/>
                <w:szCs w:val="20"/>
              </w:rPr>
            </w:pPr>
            <w:r>
              <w:rPr>
                <w:rFonts w:ascii="宋体" w:hAnsi="宋体" w:eastAsia="宋体" w:cs="宋体"/>
                <w:spacing w:val="9"/>
                <w:sz w:val="20"/>
                <w:szCs w:val="20"/>
              </w:rPr>
              <w:t>因工程造价咨询服务质量引发群体性事件、负面舆情或其他不</w:t>
            </w:r>
            <w:r>
              <w:rPr>
                <w:rFonts w:ascii="宋体" w:hAnsi="宋体" w:eastAsia="宋体" w:cs="宋体"/>
                <w:spacing w:val="4"/>
                <w:sz w:val="20"/>
                <w:szCs w:val="20"/>
              </w:rPr>
              <w:t>良社会影响的</w:t>
            </w:r>
          </w:p>
        </w:tc>
        <w:tc>
          <w:tcPr>
            <w:tcW w:w="1352" w:type="dxa"/>
            <w:vAlign w:val="top"/>
          </w:tcPr>
          <w:p>
            <w:pPr>
              <w:pStyle w:val="6"/>
              <w:spacing w:line="259" w:lineRule="auto"/>
            </w:pPr>
          </w:p>
          <w:p>
            <w:pPr>
              <w:spacing w:before="65" w:line="277" w:lineRule="exact"/>
              <w:ind w:left="309"/>
              <w:rPr>
                <w:rFonts w:ascii="宋体" w:hAnsi="宋体" w:eastAsia="宋体" w:cs="宋体"/>
                <w:sz w:val="20"/>
                <w:szCs w:val="20"/>
              </w:rPr>
            </w:pPr>
            <w:r>
              <w:rPr>
                <w:rFonts w:ascii="宋体" w:hAnsi="宋体" w:eastAsia="宋体" w:cs="宋体"/>
                <w:spacing w:val="-6"/>
                <w:position w:val="1"/>
                <w:sz w:val="20"/>
                <w:szCs w:val="20"/>
              </w:rPr>
              <w:t>20</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分/次</w:t>
            </w:r>
          </w:p>
        </w:tc>
      </w:tr>
    </w:tbl>
    <w:p>
      <w:pPr>
        <w:spacing w:line="195" w:lineRule="exact"/>
        <w:rPr>
          <w:rFonts w:ascii="Arial"/>
          <w:sz w:val="16"/>
        </w:rPr>
      </w:pPr>
    </w:p>
    <w:p>
      <w:pPr>
        <w:spacing w:line="195" w:lineRule="exact"/>
        <w:rPr>
          <w:rFonts w:ascii="Arial" w:hAnsi="Arial" w:eastAsia="Arial" w:cs="Arial"/>
          <w:sz w:val="16"/>
          <w:szCs w:val="16"/>
        </w:rPr>
        <w:sectPr>
          <w:footerReference r:id="rId296" w:type="default"/>
          <w:pgSz w:w="11906" w:h="16839"/>
          <w:pgMar w:top="400" w:right="1418" w:bottom="1212" w:left="1304" w:header="0" w:footer="897" w:gutter="0"/>
        </w:sectPr>
      </w:pPr>
    </w:p>
    <w:p>
      <w:pPr>
        <w:spacing w:before="13"/>
      </w:pPr>
    </w:p>
    <w:p>
      <w:pPr>
        <w:spacing w:before="13"/>
      </w:pPr>
    </w:p>
    <w:p>
      <w:pPr>
        <w:spacing w:before="13"/>
      </w:pPr>
    </w:p>
    <w:p>
      <w:pPr>
        <w:spacing w:before="12"/>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3"/>
        <w:gridCol w:w="950"/>
        <w:gridCol w:w="5973"/>
        <w:gridCol w:w="13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7" w:hRule="atLeast"/>
        </w:trPr>
        <w:tc>
          <w:tcPr>
            <w:tcW w:w="903" w:type="dxa"/>
            <w:vAlign w:val="top"/>
          </w:tcPr>
          <w:p>
            <w:pPr>
              <w:pStyle w:val="6"/>
            </w:pPr>
          </w:p>
          <w:p>
            <w:pPr>
              <w:spacing w:before="65" w:line="299" w:lineRule="exact"/>
              <w:ind w:left="367"/>
              <w:rPr>
                <w:rFonts w:ascii="宋体" w:hAnsi="宋体" w:eastAsia="宋体" w:cs="宋体"/>
                <w:sz w:val="20"/>
                <w:szCs w:val="20"/>
              </w:rPr>
            </w:pPr>
            <w:r>
              <w:rPr>
                <w:rFonts w:ascii="宋体" w:hAnsi="宋体" w:eastAsia="宋体" w:cs="宋体"/>
                <w:spacing w:val="-8"/>
                <w:position w:val="2"/>
                <w:sz w:val="20"/>
                <w:szCs w:val="20"/>
              </w:rPr>
              <w:t>18</w:t>
            </w:r>
          </w:p>
        </w:tc>
        <w:tc>
          <w:tcPr>
            <w:tcW w:w="950" w:type="dxa"/>
            <w:vAlign w:val="top"/>
          </w:tcPr>
          <w:p>
            <w:pPr>
              <w:spacing w:before="151" w:line="284" w:lineRule="auto"/>
              <w:ind w:left="262" w:right="159" w:hanging="100"/>
              <w:rPr>
                <w:rFonts w:ascii="宋体" w:hAnsi="宋体" w:eastAsia="宋体" w:cs="宋体"/>
                <w:sz w:val="20"/>
                <w:szCs w:val="20"/>
              </w:rPr>
            </w:pPr>
            <w:r>
              <w:rPr>
                <w:rFonts w:ascii="宋体" w:hAnsi="宋体" w:eastAsia="宋体" w:cs="宋体"/>
                <w:spacing w:val="7"/>
                <w:sz w:val="20"/>
                <w:szCs w:val="20"/>
              </w:rPr>
              <w:t>黑名单行为</w:t>
            </w:r>
          </w:p>
        </w:tc>
        <w:tc>
          <w:tcPr>
            <w:tcW w:w="5973" w:type="dxa"/>
            <w:vAlign w:val="top"/>
          </w:tcPr>
          <w:p>
            <w:pPr>
              <w:pStyle w:val="6"/>
              <w:spacing w:line="243" w:lineRule="auto"/>
            </w:pPr>
          </w:p>
          <w:p>
            <w:pPr>
              <w:spacing w:before="65" w:line="224" w:lineRule="auto"/>
              <w:ind w:left="107"/>
              <w:rPr>
                <w:rFonts w:ascii="宋体" w:hAnsi="宋体" w:eastAsia="宋体" w:cs="宋体"/>
                <w:sz w:val="20"/>
                <w:szCs w:val="20"/>
              </w:rPr>
            </w:pPr>
            <w:r>
              <w:rPr>
                <w:rFonts w:ascii="宋体" w:hAnsi="宋体" w:eastAsia="宋体" w:cs="宋体"/>
                <w:spacing w:val="9"/>
                <w:sz w:val="20"/>
                <w:szCs w:val="20"/>
              </w:rPr>
              <w:t>“黑名单”行为转为不良信息的</w:t>
            </w:r>
          </w:p>
        </w:tc>
        <w:tc>
          <w:tcPr>
            <w:tcW w:w="1352" w:type="dxa"/>
            <w:vAlign w:val="top"/>
          </w:tcPr>
          <w:p>
            <w:pPr>
              <w:pStyle w:val="6"/>
            </w:pPr>
          </w:p>
          <w:p>
            <w:pPr>
              <w:spacing w:before="65" w:line="278" w:lineRule="exact"/>
              <w:ind w:left="461"/>
              <w:rPr>
                <w:rFonts w:ascii="宋体" w:hAnsi="宋体" w:eastAsia="宋体" w:cs="宋体"/>
                <w:sz w:val="20"/>
                <w:szCs w:val="20"/>
              </w:rPr>
            </w:pPr>
            <w:r>
              <w:rPr>
                <w:rFonts w:ascii="宋体" w:hAnsi="宋体" w:eastAsia="宋体" w:cs="宋体"/>
                <w:spacing w:val="-4"/>
                <w:position w:val="1"/>
                <w:sz w:val="20"/>
                <w:szCs w:val="20"/>
              </w:rPr>
              <w:t>10</w:t>
            </w:r>
            <w:r>
              <w:rPr>
                <w:rFonts w:ascii="宋体" w:hAnsi="宋体" w:eastAsia="宋体" w:cs="宋体"/>
                <w:spacing w:val="-43"/>
                <w:position w:val="1"/>
                <w:sz w:val="20"/>
                <w:szCs w:val="20"/>
              </w:rPr>
              <w:t xml:space="preserve"> </w:t>
            </w:r>
            <w:r>
              <w:rPr>
                <w:rFonts w:ascii="宋体" w:hAnsi="宋体" w:eastAsia="宋体" w:cs="宋体"/>
                <w:spacing w:val="-4"/>
                <w:position w:val="1"/>
                <w:sz w:val="20"/>
                <w:szCs w:val="20"/>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7" w:hRule="atLeast"/>
        </w:trPr>
        <w:tc>
          <w:tcPr>
            <w:tcW w:w="9178" w:type="dxa"/>
            <w:gridSpan w:val="4"/>
            <w:vAlign w:val="top"/>
          </w:tcPr>
          <w:p>
            <w:pPr>
              <w:spacing w:before="79" w:line="294" w:lineRule="auto"/>
              <w:ind w:left="530" w:right="109" w:hanging="415"/>
              <w:rPr>
                <w:rFonts w:ascii="宋体" w:hAnsi="宋体" w:eastAsia="宋体" w:cs="宋体"/>
                <w:sz w:val="20"/>
                <w:szCs w:val="20"/>
              </w:rPr>
            </w:pPr>
            <w:r>
              <w:rPr>
                <w:rFonts w:ascii="宋体" w:hAnsi="宋体" w:eastAsia="宋体" w:cs="宋体"/>
                <w:spacing w:val="8"/>
                <w:sz w:val="20"/>
                <w:szCs w:val="20"/>
              </w:rPr>
              <w:t>注：1.企业自行申报受到司法机关和其他主管部门依法认定的处罚、处理等不良信息的</w:t>
            </w:r>
            <w:r>
              <w:rPr>
                <w:rFonts w:ascii="宋体" w:hAnsi="宋体" w:eastAsia="宋体" w:cs="宋体"/>
                <w:spacing w:val="7"/>
                <w:sz w:val="20"/>
                <w:szCs w:val="20"/>
              </w:rPr>
              <w:t>，按评分的</w:t>
            </w:r>
            <w:r>
              <w:rPr>
                <w:rFonts w:ascii="宋体" w:hAnsi="宋体" w:eastAsia="宋体" w:cs="宋体"/>
                <w:spacing w:val="16"/>
                <w:sz w:val="20"/>
                <w:szCs w:val="20"/>
              </w:rPr>
              <w:t>70%减分。</w:t>
            </w:r>
          </w:p>
          <w:p>
            <w:pPr>
              <w:spacing w:before="1" w:line="278" w:lineRule="exact"/>
              <w:ind w:left="532"/>
              <w:rPr>
                <w:rFonts w:ascii="宋体" w:hAnsi="宋体" w:eastAsia="宋体" w:cs="宋体"/>
                <w:sz w:val="20"/>
                <w:szCs w:val="20"/>
              </w:rPr>
            </w:pPr>
            <w:r>
              <w:rPr>
                <w:rFonts w:ascii="宋体" w:hAnsi="宋体" w:eastAsia="宋体" w:cs="宋体"/>
                <w:spacing w:val="7"/>
                <w:position w:val="1"/>
                <w:sz w:val="20"/>
                <w:szCs w:val="20"/>
              </w:rPr>
              <w:t>2.处罚处理信息中，同一项不当行为受到多次处理的，按最高分值的情形</w:t>
            </w:r>
            <w:r>
              <w:rPr>
                <w:rFonts w:ascii="宋体" w:hAnsi="宋体" w:eastAsia="宋体" w:cs="宋体"/>
                <w:spacing w:val="6"/>
                <w:position w:val="1"/>
                <w:sz w:val="20"/>
                <w:szCs w:val="20"/>
              </w:rPr>
              <w:t>计分</w:t>
            </w:r>
            <w:r>
              <w:rPr>
                <w:rFonts w:ascii="宋体" w:hAnsi="宋体" w:eastAsia="宋体" w:cs="宋体"/>
                <w:spacing w:val="-22"/>
                <w:position w:val="1"/>
                <w:sz w:val="20"/>
                <w:szCs w:val="20"/>
              </w:rPr>
              <w:t xml:space="preserve"> </w:t>
            </w:r>
            <w:r>
              <w:rPr>
                <w:rFonts w:ascii="宋体" w:hAnsi="宋体" w:eastAsia="宋体" w:cs="宋体"/>
                <w:spacing w:val="6"/>
                <w:position w:val="1"/>
                <w:sz w:val="20"/>
                <w:szCs w:val="20"/>
              </w:rPr>
              <w:t>1</w:t>
            </w:r>
            <w:r>
              <w:rPr>
                <w:rFonts w:ascii="宋体" w:hAnsi="宋体" w:eastAsia="宋体" w:cs="宋体"/>
                <w:spacing w:val="-41"/>
                <w:position w:val="1"/>
                <w:sz w:val="20"/>
                <w:szCs w:val="20"/>
              </w:rPr>
              <w:t xml:space="preserve"> </w:t>
            </w:r>
            <w:r>
              <w:rPr>
                <w:rFonts w:ascii="宋体" w:hAnsi="宋体" w:eastAsia="宋体" w:cs="宋体"/>
                <w:spacing w:val="6"/>
                <w:position w:val="1"/>
                <w:sz w:val="20"/>
                <w:szCs w:val="20"/>
              </w:rPr>
              <w:t>次。</w:t>
            </w:r>
          </w:p>
        </w:tc>
      </w:tr>
    </w:tbl>
    <w:p>
      <w:pPr>
        <w:rPr>
          <w:rFonts w:ascii="Arial"/>
          <w:sz w:val="21"/>
        </w:rPr>
      </w:pPr>
    </w:p>
    <w:p>
      <w:pPr>
        <w:rPr>
          <w:rFonts w:ascii="Arial" w:hAnsi="Arial" w:eastAsia="Arial" w:cs="Arial"/>
          <w:sz w:val="21"/>
          <w:szCs w:val="21"/>
        </w:rPr>
        <w:sectPr>
          <w:footerReference r:id="rId297" w:type="default"/>
          <w:pgSz w:w="11906" w:h="16839"/>
          <w:pgMar w:top="400" w:right="1418" w:bottom="1212" w:left="1304" w:header="0" w:footer="897" w:gutter="0"/>
        </w:sect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before="135" w:line="209" w:lineRule="auto"/>
        <w:ind w:left="2574"/>
        <w:outlineLvl w:val="0"/>
        <w:rPr>
          <w:rFonts w:ascii="方正小标宋简体" w:hAnsi="方正小标宋简体" w:eastAsia="方正小标宋简体" w:cs="方正小标宋简体"/>
          <w:sz w:val="35"/>
          <w:szCs w:val="35"/>
        </w:rPr>
      </w:pPr>
      <w:bookmarkStart w:id="207" w:name="bookmark122"/>
      <w:bookmarkEnd w:id="207"/>
      <w:bookmarkStart w:id="208" w:name="bookmark123"/>
      <w:bookmarkEnd w:id="208"/>
      <w:r>
        <w:rPr>
          <w:rFonts w:ascii="方正小标宋简体" w:hAnsi="方正小标宋简体" w:eastAsia="方正小标宋简体" w:cs="方正小标宋简体"/>
          <w:spacing w:val="8"/>
          <w:sz w:val="35"/>
          <w:szCs w:val="35"/>
        </w:rPr>
        <w:t>山东省住房和城乡建设厅</w:t>
      </w:r>
    </w:p>
    <w:p>
      <w:pPr>
        <w:spacing w:before="72" w:line="232" w:lineRule="auto"/>
        <w:ind w:left="4011" w:hanging="3975"/>
        <w:outlineLvl w:val="0"/>
        <w:rPr>
          <w:rFonts w:ascii="方正小标宋简体" w:hAnsi="方正小标宋简体" w:eastAsia="方正小标宋简体" w:cs="方正小标宋简体"/>
          <w:sz w:val="35"/>
          <w:szCs w:val="35"/>
        </w:rPr>
      </w:pPr>
      <w:bookmarkStart w:id="209" w:name="bookmark122"/>
      <w:bookmarkEnd w:id="209"/>
      <w:r>
        <w:rPr>
          <w:rFonts w:ascii="方正小标宋简体" w:hAnsi="方正小标宋简体" w:eastAsia="方正小标宋简体" w:cs="方正小标宋简体"/>
          <w:spacing w:val="10"/>
          <w:sz w:val="35"/>
          <w:szCs w:val="35"/>
        </w:rPr>
        <w:t>关于发布《〈建设工程工程量清单计价标准〉实施指引》</w:t>
      </w:r>
      <w:bookmarkStart w:id="210" w:name="bookmark122"/>
      <w:bookmarkEnd w:id="210"/>
      <w:r>
        <w:rPr>
          <w:rFonts w:ascii="方正小标宋简体" w:hAnsi="方正小标宋简体" w:eastAsia="方正小标宋简体" w:cs="方正小标宋简体"/>
          <w:spacing w:val="3"/>
          <w:sz w:val="35"/>
          <w:szCs w:val="35"/>
        </w:rPr>
        <w:t>的通知</w:t>
      </w:r>
    </w:p>
    <w:p>
      <w:pPr>
        <w:spacing w:line="296" w:lineRule="auto"/>
        <w:rPr>
          <w:rFonts w:ascii="Arial"/>
          <w:sz w:val="21"/>
        </w:rPr>
      </w:pPr>
    </w:p>
    <w:p>
      <w:pPr>
        <w:spacing w:before="91" w:line="216" w:lineRule="auto"/>
        <w:ind w:left="3045"/>
        <w:rPr>
          <w:rFonts w:ascii="KaiTi_GB2312" w:hAnsi="KaiTi_GB2312" w:eastAsia="KaiTi_GB2312" w:cs="KaiTi_GB2312"/>
          <w:sz w:val="28"/>
          <w:szCs w:val="28"/>
        </w:rPr>
      </w:pPr>
      <w:r>
        <w:rPr>
          <w:rFonts w:ascii="KaiTi_GB2312" w:hAnsi="KaiTi_GB2312" w:eastAsia="KaiTi_GB2312" w:cs="KaiTi_GB2312"/>
          <w:spacing w:val="2"/>
          <w:sz w:val="28"/>
          <w:szCs w:val="28"/>
        </w:rPr>
        <w:t>鲁建标字〔2025〕6</w:t>
      </w:r>
      <w:r>
        <w:rPr>
          <w:rFonts w:ascii="KaiTi_GB2312" w:hAnsi="KaiTi_GB2312" w:eastAsia="KaiTi_GB2312" w:cs="KaiTi_GB2312"/>
          <w:spacing w:val="-39"/>
          <w:sz w:val="28"/>
          <w:szCs w:val="28"/>
        </w:rPr>
        <w:t xml:space="preserve"> </w:t>
      </w:r>
      <w:r>
        <w:rPr>
          <w:rFonts w:ascii="KaiTi_GB2312" w:hAnsi="KaiTi_GB2312" w:eastAsia="KaiTi_GB2312" w:cs="KaiTi_GB2312"/>
          <w:spacing w:val="2"/>
          <w:sz w:val="28"/>
          <w:szCs w:val="28"/>
        </w:rPr>
        <w:t>号</w:t>
      </w:r>
    </w:p>
    <w:p>
      <w:pPr>
        <w:spacing w:line="423" w:lineRule="auto"/>
        <w:rPr>
          <w:rFonts w:ascii="Arial"/>
          <w:sz w:val="21"/>
        </w:rPr>
      </w:pPr>
    </w:p>
    <w:p>
      <w:pPr>
        <w:spacing w:before="65" w:line="278" w:lineRule="exact"/>
        <w:ind w:left="1"/>
        <w:rPr>
          <w:rFonts w:ascii="宋体" w:hAnsi="宋体" w:eastAsia="宋体" w:cs="宋体"/>
          <w:sz w:val="20"/>
          <w:szCs w:val="20"/>
        </w:rPr>
      </w:pPr>
      <w:r>
        <w:rPr>
          <w:rFonts w:ascii="宋体" w:hAnsi="宋体" w:eastAsia="宋体" w:cs="宋体"/>
          <w:spacing w:val="9"/>
          <w:position w:val="1"/>
          <w:sz w:val="20"/>
          <w:szCs w:val="20"/>
        </w:rPr>
        <w:t>各市住房城乡建设局，各有关单位：</w:t>
      </w:r>
    </w:p>
    <w:p>
      <w:pPr>
        <w:spacing w:before="121" w:line="369" w:lineRule="auto"/>
        <w:ind w:right="199" w:firstLine="426"/>
        <w:jc w:val="both"/>
        <w:rPr>
          <w:rFonts w:ascii="宋体" w:hAnsi="宋体" w:eastAsia="宋体" w:cs="宋体"/>
          <w:sz w:val="20"/>
          <w:szCs w:val="20"/>
        </w:rPr>
      </w:pPr>
      <w:r>
        <w:rPr>
          <w:rFonts w:ascii="宋体" w:hAnsi="宋体" w:eastAsia="宋体" w:cs="宋体"/>
          <w:spacing w:val="9"/>
          <w:sz w:val="20"/>
          <w:szCs w:val="20"/>
        </w:rPr>
        <w:t>为持续深化工程造价市场化改革</w:t>
      </w:r>
      <w:r>
        <w:rPr>
          <w:rFonts w:ascii="宋体" w:hAnsi="宋体" w:eastAsia="宋体" w:cs="宋体"/>
          <w:spacing w:val="43"/>
          <w:sz w:val="20"/>
          <w:szCs w:val="20"/>
        </w:rPr>
        <w:t xml:space="preserve"> </w:t>
      </w:r>
      <w:r>
        <w:rPr>
          <w:rFonts w:ascii="宋体" w:hAnsi="宋体" w:eastAsia="宋体" w:cs="宋体"/>
          <w:spacing w:val="9"/>
          <w:sz w:val="20"/>
          <w:szCs w:val="20"/>
        </w:rPr>
        <w:t>，推动工程造价管理</w:t>
      </w:r>
      <w:r>
        <w:rPr>
          <w:rFonts w:ascii="宋体" w:hAnsi="宋体" w:eastAsia="宋体" w:cs="宋体"/>
          <w:spacing w:val="8"/>
          <w:sz w:val="20"/>
          <w:szCs w:val="20"/>
        </w:rPr>
        <w:t>高质量发展</w:t>
      </w:r>
      <w:r>
        <w:rPr>
          <w:rFonts w:ascii="宋体" w:hAnsi="宋体" w:eastAsia="宋体" w:cs="宋体"/>
          <w:spacing w:val="44"/>
          <w:sz w:val="20"/>
          <w:szCs w:val="20"/>
        </w:rPr>
        <w:t xml:space="preserve"> </w:t>
      </w:r>
      <w:r>
        <w:rPr>
          <w:rFonts w:ascii="宋体" w:hAnsi="宋体" w:eastAsia="宋体" w:cs="宋体"/>
          <w:spacing w:val="8"/>
          <w:sz w:val="20"/>
          <w:szCs w:val="20"/>
        </w:rPr>
        <w:t>，贯彻实施《建设工程工</w:t>
      </w:r>
      <w:r>
        <w:rPr>
          <w:rFonts w:ascii="宋体" w:hAnsi="宋体" w:eastAsia="宋体" w:cs="宋体"/>
          <w:spacing w:val="6"/>
          <w:sz w:val="20"/>
          <w:szCs w:val="20"/>
        </w:rPr>
        <w:t>程量清单计价标准》</w:t>
      </w:r>
      <w:r>
        <w:rPr>
          <w:rFonts w:ascii="宋体" w:hAnsi="宋体" w:eastAsia="宋体" w:cs="宋体"/>
          <w:spacing w:val="-19"/>
          <w:sz w:val="20"/>
          <w:szCs w:val="20"/>
        </w:rPr>
        <w:t xml:space="preserve"> </w:t>
      </w:r>
      <w:r>
        <w:rPr>
          <w:rFonts w:ascii="宋体" w:hAnsi="宋体" w:eastAsia="宋体" w:cs="宋体"/>
          <w:sz w:val="20"/>
          <w:szCs w:val="20"/>
        </w:rPr>
        <w:t>GB</w:t>
      </w:r>
      <w:r>
        <w:rPr>
          <w:rFonts w:ascii="宋体" w:hAnsi="宋体" w:eastAsia="宋体" w:cs="宋体"/>
          <w:spacing w:val="6"/>
          <w:sz w:val="20"/>
          <w:szCs w:val="20"/>
        </w:rPr>
        <w:t>/T</w:t>
      </w:r>
      <w:r>
        <w:rPr>
          <w:rFonts w:ascii="宋体" w:hAnsi="宋体" w:eastAsia="宋体" w:cs="宋体"/>
          <w:spacing w:val="-40"/>
          <w:sz w:val="20"/>
          <w:szCs w:val="20"/>
        </w:rPr>
        <w:t xml:space="preserve"> </w:t>
      </w:r>
      <w:r>
        <w:rPr>
          <w:rFonts w:ascii="宋体" w:hAnsi="宋体" w:eastAsia="宋体" w:cs="宋体"/>
          <w:spacing w:val="6"/>
          <w:sz w:val="20"/>
          <w:szCs w:val="20"/>
        </w:rPr>
        <w:t>50500-2024</w:t>
      </w:r>
      <w:r>
        <w:rPr>
          <w:rFonts w:ascii="宋体" w:hAnsi="宋体" w:eastAsia="宋体" w:cs="宋体"/>
          <w:spacing w:val="-45"/>
          <w:sz w:val="20"/>
          <w:szCs w:val="20"/>
        </w:rPr>
        <w:t xml:space="preserve"> </w:t>
      </w:r>
      <w:r>
        <w:rPr>
          <w:rFonts w:ascii="宋体" w:hAnsi="宋体" w:eastAsia="宋体" w:cs="宋体"/>
          <w:spacing w:val="6"/>
          <w:sz w:val="20"/>
          <w:szCs w:val="20"/>
        </w:rPr>
        <w:t>及配套各专业工程量计算标准（</w:t>
      </w:r>
      <w:r>
        <w:rPr>
          <w:rFonts w:ascii="宋体" w:hAnsi="宋体" w:eastAsia="宋体" w:cs="宋体"/>
          <w:spacing w:val="-48"/>
          <w:sz w:val="20"/>
          <w:szCs w:val="20"/>
        </w:rPr>
        <w:t xml:space="preserve"> </w:t>
      </w:r>
      <w:r>
        <w:rPr>
          <w:rFonts w:ascii="宋体" w:hAnsi="宋体" w:eastAsia="宋体" w:cs="宋体"/>
          <w:spacing w:val="6"/>
          <w:sz w:val="20"/>
          <w:szCs w:val="20"/>
        </w:rPr>
        <w:t>以下简称</w:t>
      </w:r>
      <w:r>
        <w:rPr>
          <w:rFonts w:ascii="宋体" w:hAnsi="宋体" w:eastAsia="宋体" w:cs="宋体"/>
          <w:spacing w:val="-42"/>
          <w:sz w:val="20"/>
          <w:szCs w:val="20"/>
        </w:rPr>
        <w:t xml:space="preserve"> </w:t>
      </w:r>
      <w:r>
        <w:rPr>
          <w:rFonts w:ascii="宋体" w:hAnsi="宋体" w:eastAsia="宋体" w:cs="宋体"/>
          <w:spacing w:val="6"/>
          <w:sz w:val="20"/>
          <w:szCs w:val="20"/>
        </w:rPr>
        <w:t>20</w:t>
      </w:r>
      <w:r>
        <w:rPr>
          <w:rFonts w:ascii="宋体" w:hAnsi="宋体" w:eastAsia="宋体" w:cs="宋体"/>
          <w:spacing w:val="5"/>
          <w:sz w:val="20"/>
          <w:szCs w:val="20"/>
        </w:rPr>
        <w:t>24</w:t>
      </w:r>
      <w:r>
        <w:rPr>
          <w:rFonts w:ascii="宋体" w:hAnsi="宋体" w:eastAsia="宋体" w:cs="宋体"/>
          <w:spacing w:val="-38"/>
          <w:sz w:val="20"/>
          <w:szCs w:val="20"/>
        </w:rPr>
        <w:t xml:space="preserve"> </w:t>
      </w:r>
      <w:r>
        <w:rPr>
          <w:rFonts w:ascii="宋体" w:hAnsi="宋体" w:eastAsia="宋体" w:cs="宋体"/>
          <w:spacing w:val="5"/>
          <w:sz w:val="20"/>
          <w:szCs w:val="20"/>
        </w:rPr>
        <w:t>版清单计价</w:t>
      </w:r>
      <w:r>
        <w:rPr>
          <w:rFonts w:ascii="宋体" w:hAnsi="宋体" w:eastAsia="宋体" w:cs="宋体"/>
          <w:spacing w:val="9"/>
          <w:sz w:val="20"/>
          <w:szCs w:val="20"/>
        </w:rPr>
        <w:t>标准</w:t>
      </w:r>
      <w:r>
        <w:rPr>
          <w:rFonts w:ascii="宋体" w:hAnsi="宋体" w:eastAsia="宋体" w:cs="宋体"/>
          <w:spacing w:val="-3"/>
          <w:sz w:val="20"/>
          <w:szCs w:val="20"/>
        </w:rPr>
        <w:t>）</w:t>
      </w:r>
      <w:r>
        <w:rPr>
          <w:rFonts w:ascii="宋体" w:hAnsi="宋体" w:eastAsia="宋体" w:cs="宋体"/>
          <w:spacing w:val="14"/>
          <w:sz w:val="20"/>
          <w:szCs w:val="20"/>
        </w:rPr>
        <w:t xml:space="preserve"> </w:t>
      </w:r>
      <w:r>
        <w:rPr>
          <w:rFonts w:ascii="宋体" w:hAnsi="宋体" w:eastAsia="宋体" w:cs="宋体"/>
          <w:spacing w:val="-3"/>
          <w:sz w:val="20"/>
          <w:szCs w:val="20"/>
        </w:rPr>
        <w:t>，</w:t>
      </w:r>
      <w:r>
        <w:rPr>
          <w:rFonts w:ascii="宋体" w:hAnsi="宋体" w:eastAsia="宋体" w:cs="宋体"/>
          <w:spacing w:val="9"/>
          <w:sz w:val="20"/>
          <w:szCs w:val="20"/>
        </w:rPr>
        <w:t>规范建设工程计价活动 ，省住房城乡建设厅组织编制了《</w:t>
      </w:r>
      <w:r>
        <w:rPr>
          <w:rFonts w:ascii="宋体" w:hAnsi="宋体" w:eastAsia="宋体" w:cs="宋体"/>
          <w:spacing w:val="-19"/>
          <w:sz w:val="20"/>
          <w:szCs w:val="20"/>
        </w:rPr>
        <w:t xml:space="preserve"> </w:t>
      </w:r>
      <w:r>
        <w:rPr>
          <w:rFonts w:ascii="宋体" w:hAnsi="宋体" w:eastAsia="宋体" w:cs="宋体"/>
          <w:spacing w:val="9"/>
          <w:sz w:val="20"/>
          <w:szCs w:val="20"/>
        </w:rPr>
        <w:t>〈建设工程工程量清单计价</w:t>
      </w:r>
      <w:r>
        <w:rPr>
          <w:rFonts w:ascii="宋体" w:hAnsi="宋体" w:eastAsia="宋体" w:cs="宋体"/>
          <w:spacing w:val="8"/>
          <w:sz w:val="20"/>
          <w:szCs w:val="20"/>
        </w:rPr>
        <w:t>标准〉实施指引》（</w:t>
      </w:r>
      <w:r>
        <w:rPr>
          <w:rFonts w:ascii="宋体" w:hAnsi="宋体" w:eastAsia="宋体" w:cs="宋体"/>
          <w:spacing w:val="-50"/>
          <w:sz w:val="20"/>
          <w:szCs w:val="20"/>
        </w:rPr>
        <w:t xml:space="preserve"> </w:t>
      </w:r>
      <w:r>
        <w:rPr>
          <w:rFonts w:ascii="宋体" w:hAnsi="宋体" w:eastAsia="宋体" w:cs="宋体"/>
          <w:spacing w:val="8"/>
          <w:sz w:val="20"/>
          <w:szCs w:val="20"/>
        </w:rPr>
        <w:t>以下简称实施指引</w:t>
      </w:r>
      <w:r>
        <w:rPr>
          <w:rFonts w:ascii="宋体" w:hAnsi="宋体" w:eastAsia="宋体" w:cs="宋体"/>
          <w:spacing w:val="-10"/>
          <w:sz w:val="20"/>
          <w:szCs w:val="20"/>
        </w:rPr>
        <w:t>）</w:t>
      </w:r>
      <w:r>
        <w:rPr>
          <w:rFonts w:ascii="宋体" w:hAnsi="宋体" w:eastAsia="宋体" w:cs="宋体"/>
          <w:spacing w:val="-53"/>
          <w:sz w:val="20"/>
          <w:szCs w:val="20"/>
        </w:rPr>
        <w:t xml:space="preserve"> </w:t>
      </w:r>
      <w:r>
        <w:rPr>
          <w:rFonts w:ascii="宋体" w:hAnsi="宋体" w:eastAsia="宋体" w:cs="宋体"/>
          <w:spacing w:val="-10"/>
          <w:sz w:val="20"/>
          <w:szCs w:val="20"/>
        </w:rPr>
        <w:t>，</w:t>
      </w:r>
      <w:r>
        <w:rPr>
          <w:rFonts w:ascii="宋体" w:hAnsi="宋体" w:eastAsia="宋体" w:cs="宋体"/>
          <w:spacing w:val="8"/>
          <w:sz w:val="20"/>
          <w:szCs w:val="20"/>
        </w:rPr>
        <w:t>现予发布，并就有</w:t>
      </w:r>
      <w:r>
        <w:rPr>
          <w:rFonts w:ascii="宋体" w:hAnsi="宋体" w:eastAsia="宋体" w:cs="宋体"/>
          <w:spacing w:val="7"/>
          <w:sz w:val="20"/>
          <w:szCs w:val="20"/>
        </w:rPr>
        <w:t>关事项通知如下。</w:t>
      </w:r>
    </w:p>
    <w:p>
      <w:pPr>
        <w:spacing w:line="332" w:lineRule="auto"/>
        <w:ind w:right="200" w:firstLine="422"/>
        <w:rPr>
          <w:rFonts w:ascii="宋体" w:hAnsi="宋体" w:eastAsia="宋体" w:cs="宋体"/>
          <w:sz w:val="20"/>
          <w:szCs w:val="20"/>
        </w:rPr>
      </w:pPr>
      <w:r>
        <w:rPr>
          <w:rFonts w:ascii="宋体" w:hAnsi="宋体" w:eastAsia="宋体" w:cs="宋体"/>
          <w:spacing w:val="7"/>
          <w:sz w:val="20"/>
          <w:szCs w:val="20"/>
        </w:rPr>
        <w:t>一、2025</w:t>
      </w:r>
      <w:r>
        <w:rPr>
          <w:rFonts w:ascii="宋体" w:hAnsi="宋体" w:eastAsia="宋体" w:cs="宋体"/>
          <w:spacing w:val="-18"/>
          <w:sz w:val="20"/>
          <w:szCs w:val="20"/>
        </w:rPr>
        <w:t xml:space="preserve"> </w:t>
      </w:r>
      <w:r>
        <w:rPr>
          <w:rFonts w:ascii="宋体" w:hAnsi="宋体" w:eastAsia="宋体" w:cs="宋体"/>
          <w:spacing w:val="7"/>
          <w:sz w:val="20"/>
          <w:szCs w:val="20"/>
        </w:rPr>
        <w:t>年</w:t>
      </w:r>
      <w:r>
        <w:rPr>
          <w:rFonts w:ascii="宋体" w:hAnsi="宋体" w:eastAsia="宋体" w:cs="宋体"/>
          <w:spacing w:val="-40"/>
          <w:sz w:val="20"/>
          <w:szCs w:val="20"/>
        </w:rPr>
        <w:t xml:space="preserve"> </w:t>
      </w:r>
      <w:r>
        <w:rPr>
          <w:rFonts w:ascii="宋体" w:hAnsi="宋体" w:eastAsia="宋体" w:cs="宋体"/>
          <w:spacing w:val="7"/>
          <w:sz w:val="20"/>
          <w:szCs w:val="20"/>
        </w:rPr>
        <w:t>9</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19"/>
          <w:sz w:val="20"/>
          <w:szCs w:val="20"/>
        </w:rPr>
        <w:t xml:space="preserve"> </w:t>
      </w:r>
      <w:r>
        <w:rPr>
          <w:rFonts w:ascii="宋体" w:hAnsi="宋体" w:eastAsia="宋体" w:cs="宋体"/>
          <w:spacing w:val="7"/>
          <w:sz w:val="20"/>
          <w:szCs w:val="20"/>
        </w:rPr>
        <w:t>1 日起</w:t>
      </w:r>
      <w:r>
        <w:rPr>
          <w:rFonts w:ascii="宋体" w:hAnsi="宋体" w:eastAsia="宋体" w:cs="宋体"/>
          <w:spacing w:val="48"/>
          <w:sz w:val="20"/>
          <w:szCs w:val="20"/>
        </w:rPr>
        <w:t xml:space="preserve"> </w:t>
      </w:r>
      <w:r>
        <w:rPr>
          <w:rFonts w:ascii="宋体" w:hAnsi="宋体" w:eastAsia="宋体" w:cs="宋体"/>
          <w:spacing w:val="7"/>
          <w:sz w:val="20"/>
          <w:szCs w:val="20"/>
        </w:rPr>
        <w:t>，全省范围内使用财政资金或国有资金投资的建设工程施工发承包</w:t>
      </w:r>
      <w:r>
        <w:rPr>
          <w:rFonts w:ascii="宋体" w:hAnsi="宋体" w:eastAsia="宋体" w:cs="宋体"/>
          <w:spacing w:val="9"/>
          <w:sz w:val="20"/>
          <w:szCs w:val="20"/>
        </w:rPr>
        <w:t>及实施阶段计价活动</w:t>
      </w:r>
      <w:r>
        <w:rPr>
          <w:rFonts w:ascii="宋体" w:hAnsi="宋体" w:eastAsia="宋体" w:cs="宋体"/>
          <w:spacing w:val="43"/>
          <w:sz w:val="20"/>
          <w:szCs w:val="20"/>
        </w:rPr>
        <w:t xml:space="preserve"> </w:t>
      </w:r>
      <w:r>
        <w:rPr>
          <w:rFonts w:ascii="宋体" w:hAnsi="宋体" w:eastAsia="宋体" w:cs="宋体"/>
          <w:spacing w:val="9"/>
          <w:sz w:val="20"/>
          <w:szCs w:val="20"/>
        </w:rPr>
        <w:t>，应执行</w:t>
      </w:r>
      <w:r>
        <w:rPr>
          <w:rFonts w:ascii="宋体" w:hAnsi="宋体" w:eastAsia="宋体" w:cs="宋体"/>
          <w:spacing w:val="-39"/>
          <w:sz w:val="20"/>
          <w:szCs w:val="20"/>
        </w:rPr>
        <w:t xml:space="preserve"> </w:t>
      </w:r>
      <w:r>
        <w:rPr>
          <w:rFonts w:ascii="宋体" w:hAnsi="宋体" w:eastAsia="宋体" w:cs="宋体"/>
          <w:spacing w:val="9"/>
          <w:sz w:val="20"/>
          <w:szCs w:val="20"/>
        </w:rPr>
        <w:t>2024</w:t>
      </w:r>
      <w:r>
        <w:rPr>
          <w:rFonts w:ascii="宋体" w:hAnsi="宋体" w:eastAsia="宋体" w:cs="宋体"/>
          <w:spacing w:val="-35"/>
          <w:sz w:val="20"/>
          <w:szCs w:val="20"/>
        </w:rPr>
        <w:t xml:space="preserve"> </w:t>
      </w:r>
      <w:r>
        <w:rPr>
          <w:rFonts w:ascii="宋体" w:hAnsi="宋体" w:eastAsia="宋体" w:cs="宋体"/>
          <w:spacing w:val="9"/>
          <w:sz w:val="20"/>
          <w:szCs w:val="20"/>
        </w:rPr>
        <w:t>版清单计价标准；非使用财政资金或国有资金</w:t>
      </w:r>
      <w:r>
        <w:rPr>
          <w:rFonts w:ascii="宋体" w:hAnsi="宋体" w:eastAsia="宋体" w:cs="宋体"/>
          <w:spacing w:val="8"/>
          <w:sz w:val="20"/>
          <w:szCs w:val="20"/>
        </w:rPr>
        <w:t>投资的建设工程施工发承包及实施阶段计价活动，宜参照执行</w:t>
      </w:r>
      <w:r>
        <w:rPr>
          <w:rFonts w:ascii="宋体" w:hAnsi="宋体" w:eastAsia="宋体" w:cs="宋体"/>
          <w:spacing w:val="-29"/>
          <w:sz w:val="20"/>
          <w:szCs w:val="20"/>
        </w:rPr>
        <w:t xml:space="preserve"> </w:t>
      </w:r>
      <w:r>
        <w:rPr>
          <w:rFonts w:ascii="宋体" w:hAnsi="宋体" w:eastAsia="宋体" w:cs="宋体"/>
          <w:spacing w:val="8"/>
          <w:sz w:val="20"/>
          <w:szCs w:val="20"/>
        </w:rPr>
        <w:t>2024</w:t>
      </w:r>
      <w:r>
        <w:rPr>
          <w:rFonts w:ascii="宋体" w:hAnsi="宋体" w:eastAsia="宋体" w:cs="宋体"/>
          <w:spacing w:val="-38"/>
          <w:sz w:val="20"/>
          <w:szCs w:val="20"/>
        </w:rPr>
        <w:t xml:space="preserve"> </w:t>
      </w:r>
      <w:r>
        <w:rPr>
          <w:rFonts w:ascii="宋体" w:hAnsi="宋体" w:eastAsia="宋体" w:cs="宋体"/>
          <w:spacing w:val="8"/>
          <w:sz w:val="20"/>
          <w:szCs w:val="20"/>
        </w:rPr>
        <w:t>版清单计价标准。</w:t>
      </w:r>
    </w:p>
    <w:p>
      <w:pPr>
        <w:spacing w:before="122" w:line="296" w:lineRule="auto"/>
        <w:ind w:left="7" w:right="199" w:firstLine="414"/>
        <w:rPr>
          <w:rFonts w:ascii="宋体" w:hAnsi="宋体" w:eastAsia="宋体" w:cs="宋体"/>
          <w:sz w:val="20"/>
          <w:szCs w:val="20"/>
        </w:rPr>
      </w:pPr>
      <w:r>
        <w:rPr>
          <w:rFonts w:ascii="宋体" w:hAnsi="宋体" w:eastAsia="宋体" w:cs="宋体"/>
          <w:spacing w:val="7"/>
          <w:sz w:val="20"/>
          <w:szCs w:val="20"/>
        </w:rPr>
        <w:t>二、2025</w:t>
      </w:r>
      <w:r>
        <w:rPr>
          <w:rFonts w:ascii="宋体" w:hAnsi="宋体" w:eastAsia="宋体" w:cs="宋体"/>
          <w:spacing w:val="-18"/>
          <w:sz w:val="20"/>
          <w:szCs w:val="20"/>
        </w:rPr>
        <w:t xml:space="preserve"> </w:t>
      </w:r>
      <w:r>
        <w:rPr>
          <w:rFonts w:ascii="宋体" w:hAnsi="宋体" w:eastAsia="宋体" w:cs="宋体"/>
          <w:spacing w:val="7"/>
          <w:sz w:val="20"/>
          <w:szCs w:val="20"/>
        </w:rPr>
        <w:t>年</w:t>
      </w:r>
      <w:r>
        <w:rPr>
          <w:rFonts w:ascii="宋体" w:hAnsi="宋体" w:eastAsia="宋体" w:cs="宋体"/>
          <w:spacing w:val="-40"/>
          <w:sz w:val="20"/>
          <w:szCs w:val="20"/>
        </w:rPr>
        <w:t xml:space="preserve"> </w:t>
      </w:r>
      <w:r>
        <w:rPr>
          <w:rFonts w:ascii="宋体" w:hAnsi="宋体" w:eastAsia="宋体" w:cs="宋体"/>
          <w:spacing w:val="7"/>
          <w:sz w:val="20"/>
          <w:szCs w:val="20"/>
        </w:rPr>
        <w:t>9</w:t>
      </w:r>
      <w:r>
        <w:rPr>
          <w:rFonts w:ascii="宋体" w:hAnsi="宋体" w:eastAsia="宋体" w:cs="宋体"/>
          <w:spacing w:val="-38"/>
          <w:sz w:val="20"/>
          <w:szCs w:val="20"/>
        </w:rPr>
        <w:t xml:space="preserve"> </w:t>
      </w:r>
      <w:r>
        <w:rPr>
          <w:rFonts w:ascii="宋体" w:hAnsi="宋体" w:eastAsia="宋体" w:cs="宋体"/>
          <w:spacing w:val="7"/>
          <w:sz w:val="20"/>
          <w:szCs w:val="20"/>
        </w:rPr>
        <w:t>月</w:t>
      </w:r>
      <w:r>
        <w:rPr>
          <w:rFonts w:ascii="宋体" w:hAnsi="宋体" w:eastAsia="宋体" w:cs="宋体"/>
          <w:spacing w:val="-19"/>
          <w:sz w:val="20"/>
          <w:szCs w:val="20"/>
        </w:rPr>
        <w:t xml:space="preserve"> </w:t>
      </w:r>
      <w:r>
        <w:rPr>
          <w:rFonts w:ascii="宋体" w:hAnsi="宋体" w:eastAsia="宋体" w:cs="宋体"/>
          <w:spacing w:val="7"/>
          <w:sz w:val="20"/>
          <w:szCs w:val="20"/>
        </w:rPr>
        <w:t>1 日前已发布招标文件或已签订施工合同的建设工程</w:t>
      </w:r>
      <w:r>
        <w:rPr>
          <w:rFonts w:ascii="宋体" w:hAnsi="宋体" w:eastAsia="宋体" w:cs="宋体"/>
          <w:spacing w:val="48"/>
          <w:sz w:val="20"/>
          <w:szCs w:val="20"/>
        </w:rPr>
        <w:t xml:space="preserve"> </w:t>
      </w:r>
      <w:r>
        <w:rPr>
          <w:rFonts w:ascii="宋体" w:hAnsi="宋体" w:eastAsia="宋体" w:cs="宋体"/>
          <w:spacing w:val="7"/>
          <w:sz w:val="20"/>
          <w:szCs w:val="20"/>
        </w:rPr>
        <w:t>，按招标文件或合同</w:t>
      </w:r>
      <w:r>
        <w:rPr>
          <w:rFonts w:ascii="宋体" w:hAnsi="宋体" w:eastAsia="宋体" w:cs="宋体"/>
          <w:spacing w:val="8"/>
          <w:sz w:val="20"/>
          <w:szCs w:val="20"/>
        </w:rPr>
        <w:t>约定的相关标准规范开展工程计价活动。</w:t>
      </w:r>
    </w:p>
    <w:p>
      <w:pPr>
        <w:spacing w:before="161" w:line="296" w:lineRule="auto"/>
        <w:ind w:left="4" w:right="199" w:firstLine="420"/>
        <w:rPr>
          <w:rFonts w:ascii="宋体" w:hAnsi="宋体" w:eastAsia="宋体" w:cs="宋体"/>
          <w:sz w:val="20"/>
          <w:szCs w:val="20"/>
        </w:rPr>
      </w:pPr>
      <w:r>
        <w:rPr>
          <w:rFonts w:ascii="宋体" w:hAnsi="宋体" w:eastAsia="宋体" w:cs="宋体"/>
          <w:spacing w:val="10"/>
          <w:sz w:val="20"/>
          <w:szCs w:val="20"/>
        </w:rPr>
        <w:t>三、实施指引在省住房城乡建设厅门户网站“标准造价”专栏公开发布</w:t>
      </w:r>
      <w:r>
        <w:rPr>
          <w:rFonts w:ascii="宋体" w:hAnsi="宋体" w:eastAsia="宋体" w:cs="宋体"/>
          <w:spacing w:val="51"/>
          <w:sz w:val="20"/>
          <w:szCs w:val="20"/>
        </w:rPr>
        <w:t xml:space="preserve"> </w:t>
      </w:r>
      <w:r>
        <w:rPr>
          <w:rFonts w:ascii="宋体" w:hAnsi="宋体" w:eastAsia="宋体" w:cs="宋体"/>
          <w:spacing w:val="10"/>
          <w:sz w:val="20"/>
          <w:szCs w:val="20"/>
        </w:rPr>
        <w:t>，执行日期同</w:t>
      </w:r>
      <w:r>
        <w:rPr>
          <w:rFonts w:ascii="宋体" w:hAnsi="宋体" w:eastAsia="宋体" w:cs="宋体"/>
          <w:spacing w:val="-37"/>
          <w:sz w:val="20"/>
          <w:szCs w:val="20"/>
        </w:rPr>
        <w:t xml:space="preserve"> </w:t>
      </w:r>
      <w:r>
        <w:rPr>
          <w:rFonts w:ascii="宋体" w:hAnsi="宋体" w:eastAsia="宋体" w:cs="宋体"/>
          <w:spacing w:val="10"/>
          <w:sz w:val="20"/>
          <w:szCs w:val="20"/>
        </w:rPr>
        <w:t>2024</w:t>
      </w:r>
      <w:r>
        <w:rPr>
          <w:rFonts w:ascii="宋体" w:hAnsi="宋体" w:eastAsia="宋体" w:cs="宋体"/>
          <w:spacing w:val="9"/>
          <w:sz w:val="20"/>
          <w:szCs w:val="20"/>
        </w:rPr>
        <w:t>版清单计价标准。实施指引执行过程中的意见建议，请向省工程建设标准造价中心反映。</w:t>
      </w:r>
    </w:p>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before="65" w:line="276" w:lineRule="exact"/>
        <w:ind w:left="434"/>
        <w:rPr>
          <w:rFonts w:ascii="宋体" w:hAnsi="宋体" w:eastAsia="宋体" w:cs="宋体"/>
          <w:sz w:val="20"/>
          <w:szCs w:val="20"/>
        </w:rPr>
      </w:pPr>
      <w:r>
        <w:rPr>
          <w:rFonts w:ascii="宋体" w:hAnsi="宋体" w:eastAsia="宋体" w:cs="宋体"/>
          <w:spacing w:val="7"/>
          <w:position w:val="1"/>
          <w:sz w:val="20"/>
          <w:szCs w:val="20"/>
        </w:rPr>
        <w:t>附件：1.《建设工程工程量清单计价标准》实施指引（</w:t>
      </w:r>
      <w:r>
        <w:rPr>
          <w:rFonts w:ascii="宋体" w:hAnsi="宋体" w:eastAsia="宋体" w:cs="宋体"/>
          <w:spacing w:val="6"/>
          <w:position w:val="1"/>
          <w:sz w:val="20"/>
          <w:szCs w:val="20"/>
        </w:rPr>
        <w:t>略）</w:t>
      </w:r>
    </w:p>
    <w:p>
      <w:pPr>
        <w:spacing w:before="125" w:line="277" w:lineRule="exact"/>
        <w:ind w:left="1054"/>
        <w:rPr>
          <w:rFonts w:ascii="宋体" w:hAnsi="宋体" w:eastAsia="宋体" w:cs="宋体"/>
          <w:sz w:val="20"/>
          <w:szCs w:val="20"/>
        </w:rPr>
      </w:pPr>
      <w:r>
        <w:rPr>
          <w:rFonts w:ascii="宋体" w:hAnsi="宋体" w:eastAsia="宋体" w:cs="宋体"/>
          <w:spacing w:val="5"/>
          <w:position w:val="1"/>
          <w:sz w:val="20"/>
          <w:szCs w:val="20"/>
        </w:rPr>
        <w:t>2.工程量清单成果文件表格（略）</w:t>
      </w: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66" w:line="221" w:lineRule="auto"/>
        <w:ind w:left="6528"/>
        <w:rPr>
          <w:rFonts w:ascii="宋体" w:hAnsi="宋体" w:eastAsia="宋体" w:cs="宋体"/>
          <w:sz w:val="20"/>
          <w:szCs w:val="20"/>
        </w:rPr>
      </w:pPr>
      <w:r>
        <w:rPr>
          <w:rFonts w:ascii="宋体" w:hAnsi="宋体" w:eastAsia="宋体" w:cs="宋体"/>
          <w:spacing w:val="8"/>
          <w:sz w:val="20"/>
          <w:szCs w:val="20"/>
        </w:rPr>
        <w:t>山东省住房和城乡建设厅</w:t>
      </w:r>
    </w:p>
    <w:p>
      <w:pPr>
        <w:spacing w:before="156" w:line="277" w:lineRule="exact"/>
        <w:ind w:left="6927"/>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7"/>
          <w:position w:val="1"/>
          <w:sz w:val="20"/>
          <w:szCs w:val="20"/>
        </w:rPr>
        <w:t xml:space="preserve"> </w:t>
      </w:r>
      <w:r>
        <w:rPr>
          <w:rFonts w:ascii="宋体" w:hAnsi="宋体" w:eastAsia="宋体" w:cs="宋体"/>
          <w:spacing w:val="1"/>
          <w:position w:val="1"/>
          <w:sz w:val="20"/>
          <w:szCs w:val="20"/>
        </w:rPr>
        <w:t>8</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28 日</w:t>
      </w:r>
    </w:p>
    <w:p>
      <w:pPr>
        <w:spacing w:line="277" w:lineRule="exact"/>
        <w:rPr>
          <w:rFonts w:ascii="宋体" w:hAnsi="宋体" w:eastAsia="宋体" w:cs="宋体"/>
          <w:sz w:val="20"/>
          <w:szCs w:val="20"/>
        </w:rPr>
        <w:sectPr>
          <w:footerReference r:id="rId298" w:type="default"/>
          <w:pgSz w:w="11906" w:h="16839"/>
          <w:pgMar w:top="400" w:right="1436" w:bottom="1212" w:left="1418" w:header="0" w:footer="897" w:gutter="0"/>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before="136" w:line="209" w:lineRule="auto"/>
        <w:ind w:left="2575"/>
        <w:outlineLvl w:val="0"/>
        <w:rPr>
          <w:rFonts w:ascii="方正小标宋简体" w:hAnsi="方正小标宋简体" w:eastAsia="方正小标宋简体" w:cs="方正小标宋简体"/>
          <w:sz w:val="35"/>
          <w:szCs w:val="35"/>
        </w:rPr>
      </w:pPr>
      <w:bookmarkStart w:id="211" w:name="bookmark123"/>
      <w:bookmarkEnd w:id="211"/>
      <w:bookmarkStart w:id="212" w:name="bookmark198"/>
      <w:bookmarkEnd w:id="212"/>
      <w:r>
        <w:rPr>
          <w:rFonts w:ascii="方正小标宋简体" w:hAnsi="方正小标宋简体" w:eastAsia="方正小标宋简体" w:cs="方正小标宋简体"/>
          <w:spacing w:val="8"/>
          <w:sz w:val="35"/>
          <w:szCs w:val="35"/>
        </w:rPr>
        <w:t>山东省住房和城乡建设厅</w:t>
      </w:r>
    </w:p>
    <w:p>
      <w:pPr>
        <w:spacing w:before="29" w:line="209" w:lineRule="auto"/>
        <w:ind w:left="1477"/>
        <w:outlineLvl w:val="0"/>
        <w:rPr>
          <w:rFonts w:ascii="方正小标宋简体" w:hAnsi="方正小标宋简体" w:eastAsia="方正小标宋简体" w:cs="方正小标宋简体"/>
          <w:sz w:val="35"/>
          <w:szCs w:val="35"/>
        </w:rPr>
      </w:pPr>
      <w:bookmarkStart w:id="213" w:name="bookmark123"/>
      <w:bookmarkEnd w:id="213"/>
      <w:r>
        <w:rPr>
          <w:rFonts w:ascii="方正小标宋简体" w:hAnsi="方正小标宋简体" w:eastAsia="方正小标宋简体" w:cs="方正小标宋简体"/>
          <w:spacing w:val="9"/>
          <w:sz w:val="35"/>
          <w:szCs w:val="35"/>
        </w:rPr>
        <w:t>关于发布建设工程造价计价依据的通知</w:t>
      </w:r>
    </w:p>
    <w:p>
      <w:pPr>
        <w:spacing w:line="281" w:lineRule="auto"/>
        <w:rPr>
          <w:rFonts w:ascii="Arial"/>
          <w:sz w:val="21"/>
        </w:rPr>
      </w:pPr>
    </w:p>
    <w:p>
      <w:pPr>
        <w:spacing w:before="91" w:line="216" w:lineRule="auto"/>
        <w:ind w:left="3046"/>
        <w:outlineLvl w:val="0"/>
        <w:rPr>
          <w:rFonts w:ascii="KaiTi_GB2312" w:hAnsi="KaiTi_GB2312" w:eastAsia="KaiTi_GB2312" w:cs="KaiTi_GB2312"/>
          <w:sz w:val="28"/>
          <w:szCs w:val="28"/>
        </w:rPr>
      </w:pPr>
      <w:bookmarkStart w:id="214" w:name="bookmark124"/>
      <w:bookmarkEnd w:id="214"/>
      <w:r>
        <w:rPr>
          <w:rFonts w:ascii="KaiTi_GB2312" w:hAnsi="KaiTi_GB2312" w:eastAsia="KaiTi_GB2312" w:cs="KaiTi_GB2312"/>
          <w:spacing w:val="2"/>
          <w:sz w:val="28"/>
          <w:szCs w:val="28"/>
        </w:rPr>
        <w:t>鲁建标字〔2025〕7</w:t>
      </w:r>
      <w:r>
        <w:rPr>
          <w:rFonts w:ascii="KaiTi_GB2312" w:hAnsi="KaiTi_GB2312" w:eastAsia="KaiTi_GB2312" w:cs="KaiTi_GB2312"/>
          <w:spacing w:val="-39"/>
          <w:sz w:val="28"/>
          <w:szCs w:val="28"/>
        </w:rPr>
        <w:t xml:space="preserve"> </w:t>
      </w:r>
      <w:r>
        <w:rPr>
          <w:rFonts w:ascii="KaiTi_GB2312" w:hAnsi="KaiTi_GB2312" w:eastAsia="KaiTi_GB2312" w:cs="KaiTi_GB2312"/>
          <w:spacing w:val="2"/>
          <w:sz w:val="28"/>
          <w:szCs w:val="28"/>
        </w:rPr>
        <w:t>号</w:t>
      </w:r>
    </w:p>
    <w:p>
      <w:pPr>
        <w:spacing w:line="387" w:lineRule="auto"/>
        <w:rPr>
          <w:rFonts w:ascii="Arial"/>
          <w:sz w:val="21"/>
        </w:rPr>
      </w:pPr>
    </w:p>
    <w:p>
      <w:pPr>
        <w:spacing w:before="65" w:line="278" w:lineRule="exact"/>
        <w:ind w:left="2"/>
        <w:rPr>
          <w:rFonts w:ascii="宋体" w:hAnsi="宋体" w:eastAsia="宋体" w:cs="宋体"/>
          <w:sz w:val="20"/>
          <w:szCs w:val="20"/>
        </w:rPr>
      </w:pPr>
      <w:r>
        <w:rPr>
          <w:rFonts w:ascii="宋体" w:hAnsi="宋体" w:eastAsia="宋体" w:cs="宋体"/>
          <w:spacing w:val="9"/>
          <w:position w:val="1"/>
          <w:sz w:val="20"/>
          <w:szCs w:val="20"/>
        </w:rPr>
        <w:t>各市住房城乡建设局，各有关单位：</w:t>
      </w:r>
    </w:p>
    <w:p>
      <w:pPr>
        <w:spacing w:before="61" w:line="308" w:lineRule="auto"/>
        <w:ind w:left="1" w:firstLine="426"/>
        <w:jc w:val="both"/>
        <w:rPr>
          <w:rFonts w:ascii="宋体" w:hAnsi="宋体" w:eastAsia="宋体" w:cs="宋体"/>
          <w:sz w:val="20"/>
          <w:szCs w:val="20"/>
        </w:rPr>
      </w:pPr>
      <w:r>
        <w:rPr>
          <w:rFonts w:ascii="宋体" w:hAnsi="宋体" w:eastAsia="宋体" w:cs="宋体"/>
          <w:spacing w:val="9"/>
          <w:sz w:val="20"/>
          <w:szCs w:val="20"/>
        </w:rPr>
        <w:t>为落实工程造价市场化改革任务</w:t>
      </w:r>
      <w:r>
        <w:rPr>
          <w:rFonts w:ascii="宋体" w:hAnsi="宋体" w:eastAsia="宋体" w:cs="宋体"/>
          <w:spacing w:val="43"/>
          <w:sz w:val="20"/>
          <w:szCs w:val="20"/>
        </w:rPr>
        <w:t xml:space="preserve"> </w:t>
      </w:r>
      <w:r>
        <w:rPr>
          <w:rFonts w:ascii="宋体" w:hAnsi="宋体" w:eastAsia="宋体" w:cs="宋体"/>
          <w:spacing w:val="9"/>
          <w:sz w:val="20"/>
          <w:szCs w:val="20"/>
        </w:rPr>
        <w:t>，加强计价依据动态管理</w:t>
      </w:r>
      <w:r>
        <w:rPr>
          <w:rFonts w:ascii="宋体" w:hAnsi="宋体" w:eastAsia="宋体" w:cs="宋体"/>
          <w:spacing w:val="47"/>
          <w:sz w:val="20"/>
          <w:szCs w:val="20"/>
        </w:rPr>
        <w:t xml:space="preserve"> </w:t>
      </w:r>
      <w:r>
        <w:rPr>
          <w:rFonts w:ascii="宋体" w:hAnsi="宋体" w:eastAsia="宋体" w:cs="宋体"/>
          <w:spacing w:val="9"/>
          <w:sz w:val="20"/>
          <w:szCs w:val="20"/>
        </w:rPr>
        <w:t>，为《建设工</w:t>
      </w:r>
      <w:r>
        <w:rPr>
          <w:rFonts w:ascii="宋体" w:hAnsi="宋体" w:eastAsia="宋体" w:cs="宋体"/>
          <w:spacing w:val="8"/>
          <w:sz w:val="20"/>
          <w:szCs w:val="20"/>
        </w:rPr>
        <w:t>程工程量清单计价标准》</w:t>
      </w:r>
      <w:r>
        <w:rPr>
          <w:rFonts w:ascii="宋体" w:hAnsi="宋体" w:eastAsia="宋体" w:cs="宋体"/>
          <w:sz w:val="20"/>
          <w:szCs w:val="20"/>
        </w:rPr>
        <w:t>GB</w:t>
      </w:r>
      <w:r>
        <w:rPr>
          <w:rFonts w:ascii="宋体" w:hAnsi="宋体" w:eastAsia="宋体" w:cs="宋体"/>
          <w:spacing w:val="8"/>
          <w:sz w:val="20"/>
          <w:szCs w:val="20"/>
        </w:rPr>
        <w:t>/T</w:t>
      </w:r>
      <w:r>
        <w:rPr>
          <w:rFonts w:ascii="宋体" w:hAnsi="宋体" w:eastAsia="宋体" w:cs="宋体"/>
          <w:spacing w:val="-42"/>
          <w:sz w:val="20"/>
          <w:szCs w:val="20"/>
        </w:rPr>
        <w:t xml:space="preserve"> </w:t>
      </w:r>
      <w:r>
        <w:rPr>
          <w:rFonts w:ascii="宋体" w:hAnsi="宋体" w:eastAsia="宋体" w:cs="宋体"/>
          <w:spacing w:val="8"/>
          <w:sz w:val="20"/>
          <w:szCs w:val="20"/>
        </w:rPr>
        <w:t>50500-2024</w:t>
      </w:r>
      <w:r>
        <w:rPr>
          <w:rFonts w:ascii="宋体" w:hAnsi="宋体" w:eastAsia="宋体" w:cs="宋体"/>
          <w:spacing w:val="-42"/>
          <w:sz w:val="20"/>
          <w:szCs w:val="20"/>
        </w:rPr>
        <w:t xml:space="preserve"> </w:t>
      </w:r>
      <w:r>
        <w:rPr>
          <w:rFonts w:ascii="宋体" w:hAnsi="宋体" w:eastAsia="宋体" w:cs="宋体"/>
          <w:spacing w:val="8"/>
          <w:sz w:val="20"/>
          <w:szCs w:val="20"/>
        </w:rPr>
        <w:t>及各专业工程量计算标准（</w:t>
      </w:r>
      <w:r>
        <w:rPr>
          <w:rFonts w:ascii="宋体" w:hAnsi="宋体" w:eastAsia="宋体" w:cs="宋体"/>
          <w:spacing w:val="-49"/>
          <w:sz w:val="20"/>
          <w:szCs w:val="20"/>
        </w:rPr>
        <w:t xml:space="preserve"> </w:t>
      </w:r>
      <w:r>
        <w:rPr>
          <w:rFonts w:ascii="宋体" w:hAnsi="宋体" w:eastAsia="宋体" w:cs="宋体"/>
          <w:spacing w:val="8"/>
          <w:sz w:val="20"/>
          <w:szCs w:val="20"/>
        </w:rPr>
        <w:t>以下简称</w:t>
      </w:r>
      <w:r>
        <w:rPr>
          <w:rFonts w:ascii="宋体" w:hAnsi="宋体" w:eastAsia="宋体" w:cs="宋体"/>
          <w:spacing w:val="-39"/>
          <w:sz w:val="20"/>
          <w:szCs w:val="20"/>
        </w:rPr>
        <w:t xml:space="preserve"> </w:t>
      </w:r>
      <w:r>
        <w:rPr>
          <w:rFonts w:ascii="宋体" w:hAnsi="宋体" w:eastAsia="宋体" w:cs="宋体"/>
          <w:spacing w:val="8"/>
          <w:sz w:val="20"/>
          <w:szCs w:val="20"/>
        </w:rPr>
        <w:t>2024</w:t>
      </w:r>
      <w:r>
        <w:rPr>
          <w:rFonts w:ascii="宋体" w:hAnsi="宋体" w:eastAsia="宋体" w:cs="宋体"/>
          <w:spacing w:val="-38"/>
          <w:sz w:val="20"/>
          <w:szCs w:val="20"/>
        </w:rPr>
        <w:t xml:space="preserve"> </w:t>
      </w:r>
      <w:r>
        <w:rPr>
          <w:rFonts w:ascii="宋体" w:hAnsi="宋体" w:eastAsia="宋体" w:cs="宋体"/>
          <w:spacing w:val="7"/>
          <w:sz w:val="20"/>
          <w:szCs w:val="20"/>
        </w:rPr>
        <w:t>版清单计价标准）实施提供配套支</w:t>
      </w:r>
      <w:r>
        <w:rPr>
          <w:rFonts w:ascii="宋体" w:hAnsi="宋体" w:eastAsia="宋体" w:cs="宋体"/>
          <w:spacing w:val="8"/>
          <w:sz w:val="20"/>
          <w:szCs w:val="20"/>
        </w:rPr>
        <w:t>撑 ，省住房城乡建设厅对《山东省建设工程费用项目组成及计算规则》《山东省建筑工程消耗量定</w:t>
      </w:r>
      <w:r>
        <w:rPr>
          <w:rFonts w:ascii="宋体" w:hAnsi="宋体" w:eastAsia="宋体" w:cs="宋体"/>
          <w:spacing w:val="11"/>
          <w:sz w:val="20"/>
          <w:szCs w:val="20"/>
        </w:rPr>
        <w:t>额》《山东省安装工程消耗量定额》《山东省市政工程消耗量定额》《山东省</w:t>
      </w:r>
      <w:r>
        <w:rPr>
          <w:rFonts w:ascii="宋体" w:hAnsi="宋体" w:eastAsia="宋体" w:cs="宋体"/>
          <w:spacing w:val="10"/>
          <w:sz w:val="20"/>
          <w:szCs w:val="20"/>
        </w:rPr>
        <w:t>园林绿化工程消耗量</w:t>
      </w:r>
      <w:r>
        <w:rPr>
          <w:rFonts w:ascii="宋体" w:hAnsi="宋体" w:eastAsia="宋体" w:cs="宋体"/>
          <w:spacing w:val="9"/>
          <w:sz w:val="20"/>
          <w:szCs w:val="20"/>
        </w:rPr>
        <w:t>定额》等系列建设工程造价计价依据（以下简称本计价依据）进行了修编调整</w:t>
      </w:r>
      <w:r>
        <w:rPr>
          <w:rFonts w:ascii="宋体" w:hAnsi="宋体" w:eastAsia="宋体" w:cs="宋体"/>
          <w:spacing w:val="46"/>
          <w:sz w:val="20"/>
          <w:szCs w:val="20"/>
        </w:rPr>
        <w:t xml:space="preserve"> </w:t>
      </w:r>
      <w:r>
        <w:rPr>
          <w:rFonts w:ascii="宋体" w:hAnsi="宋体" w:eastAsia="宋体" w:cs="宋体"/>
          <w:spacing w:val="9"/>
          <w:sz w:val="20"/>
          <w:szCs w:val="20"/>
        </w:rPr>
        <w:t>，现予发布</w:t>
      </w:r>
      <w:r>
        <w:rPr>
          <w:rFonts w:ascii="宋体" w:hAnsi="宋体" w:eastAsia="宋体" w:cs="宋体"/>
          <w:spacing w:val="43"/>
          <w:sz w:val="20"/>
          <w:szCs w:val="20"/>
        </w:rPr>
        <w:t xml:space="preserve"> </w:t>
      </w:r>
      <w:r>
        <w:rPr>
          <w:rFonts w:ascii="宋体" w:hAnsi="宋体" w:eastAsia="宋体" w:cs="宋体"/>
          <w:spacing w:val="9"/>
          <w:sz w:val="20"/>
          <w:szCs w:val="20"/>
        </w:rPr>
        <w:t>，并就</w:t>
      </w:r>
      <w:r>
        <w:rPr>
          <w:rFonts w:ascii="宋体" w:hAnsi="宋体" w:eastAsia="宋体" w:cs="宋体"/>
          <w:spacing w:val="8"/>
          <w:sz w:val="20"/>
          <w:szCs w:val="20"/>
        </w:rPr>
        <w:t>有关事项通知如下。</w:t>
      </w:r>
    </w:p>
    <w:p>
      <w:pPr>
        <w:spacing w:before="40" w:line="222" w:lineRule="auto"/>
        <w:ind w:left="423"/>
        <w:rPr>
          <w:rFonts w:ascii="宋体" w:hAnsi="宋体" w:eastAsia="宋体" w:cs="宋体"/>
          <w:sz w:val="20"/>
          <w:szCs w:val="20"/>
        </w:rPr>
      </w:pPr>
      <w:r>
        <w:rPr>
          <w:rFonts w:ascii="宋体" w:hAnsi="宋体" w:eastAsia="宋体" w:cs="宋体"/>
          <w:spacing w:val="9"/>
          <w:sz w:val="20"/>
          <w:szCs w:val="20"/>
        </w:rPr>
        <w:t>一、本计价依据是各相关专业建设工程开展发包与承包计价活动的参考。</w:t>
      </w:r>
    </w:p>
    <w:p>
      <w:pPr>
        <w:spacing w:before="98" w:line="299" w:lineRule="auto"/>
        <w:ind w:right="141" w:firstLine="423"/>
        <w:rPr>
          <w:rFonts w:ascii="宋体" w:hAnsi="宋体" w:eastAsia="宋体" w:cs="宋体"/>
          <w:sz w:val="20"/>
          <w:szCs w:val="20"/>
        </w:rPr>
      </w:pPr>
      <w:r>
        <w:rPr>
          <w:rFonts w:ascii="宋体" w:hAnsi="宋体" w:eastAsia="宋体" w:cs="宋体"/>
          <w:spacing w:val="9"/>
          <w:sz w:val="20"/>
          <w:szCs w:val="20"/>
        </w:rPr>
        <w:t>二、按照</w:t>
      </w:r>
      <w:r>
        <w:rPr>
          <w:rFonts w:ascii="宋体" w:hAnsi="宋体" w:eastAsia="宋体" w:cs="宋体"/>
          <w:spacing w:val="-39"/>
          <w:sz w:val="20"/>
          <w:szCs w:val="20"/>
        </w:rPr>
        <w:t xml:space="preserve"> </w:t>
      </w:r>
      <w:r>
        <w:rPr>
          <w:rFonts w:ascii="宋体" w:hAnsi="宋体" w:eastAsia="宋体" w:cs="宋体"/>
          <w:spacing w:val="9"/>
          <w:sz w:val="20"/>
          <w:szCs w:val="20"/>
        </w:rPr>
        <w:t>2024</w:t>
      </w:r>
      <w:r>
        <w:rPr>
          <w:rFonts w:ascii="宋体" w:hAnsi="宋体" w:eastAsia="宋体" w:cs="宋体"/>
          <w:spacing w:val="-35"/>
          <w:sz w:val="20"/>
          <w:szCs w:val="20"/>
        </w:rPr>
        <w:t xml:space="preserve"> </w:t>
      </w:r>
      <w:r>
        <w:rPr>
          <w:rFonts w:ascii="宋体" w:hAnsi="宋体" w:eastAsia="宋体" w:cs="宋体"/>
          <w:spacing w:val="9"/>
          <w:sz w:val="20"/>
          <w:szCs w:val="20"/>
        </w:rPr>
        <w:t>版清单计价标准要求</w:t>
      </w:r>
      <w:r>
        <w:rPr>
          <w:rFonts w:ascii="宋体" w:hAnsi="宋体" w:eastAsia="宋体" w:cs="宋体"/>
          <w:spacing w:val="43"/>
          <w:sz w:val="20"/>
          <w:szCs w:val="20"/>
        </w:rPr>
        <w:t xml:space="preserve"> </w:t>
      </w:r>
      <w:r>
        <w:rPr>
          <w:rFonts w:ascii="宋体" w:hAnsi="宋体" w:eastAsia="宋体" w:cs="宋体"/>
          <w:spacing w:val="9"/>
          <w:sz w:val="20"/>
          <w:szCs w:val="20"/>
        </w:rPr>
        <w:t>，建设工程费用中不再设置“</w:t>
      </w:r>
      <w:r>
        <w:rPr>
          <w:rFonts w:ascii="宋体" w:hAnsi="宋体" w:eastAsia="宋体" w:cs="宋体"/>
          <w:spacing w:val="8"/>
          <w:sz w:val="20"/>
          <w:szCs w:val="20"/>
        </w:rPr>
        <w:t>规费”。原规费中的“社会保险费 ”“住房公积金 ”计入“分部分项工程费—人工费 ”和“分部分项工程费—企业管理</w:t>
      </w:r>
      <w:r>
        <w:rPr>
          <w:rFonts w:ascii="宋体" w:hAnsi="宋体" w:eastAsia="宋体" w:cs="宋体"/>
          <w:spacing w:val="9"/>
          <w:sz w:val="20"/>
          <w:szCs w:val="20"/>
        </w:rPr>
        <w:t>费”</w:t>
      </w:r>
      <w:r>
        <w:rPr>
          <w:rFonts w:ascii="宋体" w:hAnsi="宋体" w:eastAsia="宋体" w:cs="宋体"/>
          <w:spacing w:val="-55"/>
          <w:sz w:val="20"/>
          <w:szCs w:val="20"/>
        </w:rPr>
        <w:t xml:space="preserve"> </w:t>
      </w:r>
      <w:r>
        <w:rPr>
          <w:rFonts w:ascii="宋体" w:hAnsi="宋体" w:eastAsia="宋体" w:cs="宋体"/>
          <w:spacing w:val="9"/>
          <w:sz w:val="20"/>
          <w:szCs w:val="20"/>
        </w:rPr>
        <w:t>；“安全文明施工费”调整至“措施项目费—安全文明措施费”</w:t>
      </w:r>
      <w:r>
        <w:rPr>
          <w:rFonts w:ascii="宋体" w:hAnsi="宋体" w:eastAsia="宋体" w:cs="宋体"/>
          <w:spacing w:val="-72"/>
          <w:sz w:val="20"/>
          <w:szCs w:val="20"/>
        </w:rPr>
        <w:t xml:space="preserve"> </w:t>
      </w:r>
      <w:r>
        <w:rPr>
          <w:rFonts w:ascii="宋体" w:hAnsi="宋体" w:eastAsia="宋体" w:cs="宋体"/>
          <w:spacing w:val="9"/>
          <w:sz w:val="20"/>
          <w:szCs w:val="20"/>
        </w:rPr>
        <w:t>；“建设项目工伤保险”调</w:t>
      </w:r>
      <w:r>
        <w:rPr>
          <w:rFonts w:ascii="宋体" w:hAnsi="宋体" w:eastAsia="宋体" w:cs="宋体"/>
          <w:spacing w:val="8"/>
          <w:sz w:val="20"/>
          <w:szCs w:val="20"/>
        </w:rPr>
        <w:t>整至“其他项目费—建设项目工伤保险”；“优质优价费”</w:t>
      </w:r>
      <w:r>
        <w:rPr>
          <w:rFonts w:ascii="宋体" w:hAnsi="宋体" w:eastAsia="宋体" w:cs="宋体"/>
          <w:spacing w:val="7"/>
          <w:sz w:val="20"/>
          <w:szCs w:val="20"/>
        </w:rPr>
        <w:t>调整至“其他项目费—优质优价费”。</w:t>
      </w:r>
    </w:p>
    <w:p>
      <w:pPr>
        <w:spacing w:before="65" w:line="302" w:lineRule="auto"/>
        <w:ind w:left="1" w:right="218" w:firstLine="424"/>
        <w:rPr>
          <w:rFonts w:ascii="宋体" w:hAnsi="宋体" w:eastAsia="宋体" w:cs="宋体"/>
          <w:sz w:val="20"/>
          <w:szCs w:val="20"/>
        </w:rPr>
      </w:pPr>
      <w:r>
        <w:rPr>
          <w:rFonts w:ascii="宋体" w:hAnsi="宋体" w:eastAsia="宋体" w:cs="宋体"/>
          <w:spacing w:val="2"/>
          <w:sz w:val="20"/>
          <w:szCs w:val="20"/>
        </w:rPr>
        <w:t>三、按照</w:t>
      </w:r>
      <w:r>
        <w:rPr>
          <w:rFonts w:ascii="宋体" w:hAnsi="宋体" w:eastAsia="宋体" w:cs="宋体"/>
          <w:spacing w:val="-24"/>
          <w:sz w:val="20"/>
          <w:szCs w:val="20"/>
        </w:rPr>
        <w:t xml:space="preserve"> </w:t>
      </w:r>
      <w:r>
        <w:rPr>
          <w:rFonts w:ascii="宋体" w:hAnsi="宋体" w:eastAsia="宋体" w:cs="宋体"/>
          <w:spacing w:val="2"/>
          <w:sz w:val="20"/>
          <w:szCs w:val="20"/>
        </w:rPr>
        <w:t>2024</w:t>
      </w:r>
      <w:r>
        <w:rPr>
          <w:rFonts w:ascii="宋体" w:hAnsi="宋体" w:eastAsia="宋体" w:cs="宋体"/>
          <w:spacing w:val="-38"/>
          <w:sz w:val="20"/>
          <w:szCs w:val="20"/>
        </w:rPr>
        <w:t xml:space="preserve"> </w:t>
      </w:r>
      <w:r>
        <w:rPr>
          <w:rFonts w:ascii="宋体" w:hAnsi="宋体" w:eastAsia="宋体" w:cs="宋体"/>
          <w:spacing w:val="2"/>
          <w:sz w:val="20"/>
          <w:szCs w:val="20"/>
        </w:rPr>
        <w:t>版清单计价标准及《住房城乡建设部关于加强和改善工程造价监管的意见》（建</w:t>
      </w:r>
      <w:r>
        <w:rPr>
          <w:rFonts w:ascii="宋体" w:hAnsi="宋体" w:eastAsia="宋体" w:cs="宋体"/>
          <w:spacing w:val="7"/>
          <w:sz w:val="20"/>
          <w:szCs w:val="20"/>
        </w:rPr>
        <w:t>标〔2017〕 209</w:t>
      </w:r>
      <w:r>
        <w:rPr>
          <w:rFonts w:ascii="宋体" w:hAnsi="宋体" w:eastAsia="宋体" w:cs="宋体"/>
          <w:spacing w:val="-39"/>
          <w:sz w:val="20"/>
          <w:szCs w:val="20"/>
        </w:rPr>
        <w:t xml:space="preserve"> </w:t>
      </w:r>
      <w:r>
        <w:rPr>
          <w:rFonts w:ascii="宋体" w:hAnsi="宋体" w:eastAsia="宋体" w:cs="宋体"/>
          <w:spacing w:val="7"/>
          <w:sz w:val="20"/>
          <w:szCs w:val="20"/>
        </w:rPr>
        <w:t>号）要求</w:t>
      </w:r>
      <w:r>
        <w:rPr>
          <w:rFonts w:ascii="宋体" w:hAnsi="宋体" w:eastAsia="宋体" w:cs="宋体"/>
          <w:spacing w:val="44"/>
          <w:sz w:val="20"/>
          <w:szCs w:val="20"/>
        </w:rPr>
        <w:t xml:space="preserve"> </w:t>
      </w:r>
      <w:r>
        <w:rPr>
          <w:rFonts w:ascii="宋体" w:hAnsi="宋体" w:eastAsia="宋体" w:cs="宋体"/>
          <w:spacing w:val="7"/>
          <w:sz w:val="20"/>
          <w:szCs w:val="20"/>
        </w:rPr>
        <w:t>，扩大人工单价计算范围</w:t>
      </w:r>
      <w:r>
        <w:rPr>
          <w:rFonts w:ascii="宋体" w:hAnsi="宋体" w:eastAsia="宋体" w:cs="宋体"/>
          <w:spacing w:val="41"/>
          <w:sz w:val="20"/>
          <w:szCs w:val="20"/>
        </w:rPr>
        <w:t xml:space="preserve"> </w:t>
      </w:r>
      <w:r>
        <w:rPr>
          <w:rFonts w:ascii="宋体" w:hAnsi="宋体" w:eastAsia="宋体" w:cs="宋体"/>
          <w:spacing w:val="7"/>
          <w:sz w:val="20"/>
          <w:szCs w:val="20"/>
        </w:rPr>
        <w:t>，将社会保险费</w:t>
      </w:r>
      <w:r>
        <w:rPr>
          <w:rFonts w:ascii="宋体" w:hAnsi="宋体" w:eastAsia="宋体" w:cs="宋体"/>
          <w:spacing w:val="6"/>
          <w:sz w:val="20"/>
          <w:szCs w:val="20"/>
        </w:rPr>
        <w:t>、住房公积金、工会经费、</w:t>
      </w:r>
      <w:r>
        <w:rPr>
          <w:rFonts w:ascii="宋体" w:hAnsi="宋体" w:eastAsia="宋体" w:cs="宋体"/>
          <w:spacing w:val="8"/>
          <w:sz w:val="20"/>
          <w:szCs w:val="20"/>
        </w:rPr>
        <w:t>职工教育经费等纳入其中。使用本计价依据时 ，应在原有人工单价水平基础上进行适当调增。参</w:t>
      </w:r>
      <w:r>
        <w:rPr>
          <w:rFonts w:ascii="宋体" w:hAnsi="宋体" w:eastAsia="宋体" w:cs="宋体"/>
          <w:spacing w:val="10"/>
          <w:sz w:val="20"/>
          <w:szCs w:val="20"/>
        </w:rPr>
        <w:t>考调增比例：建筑、市政、 园林绿化、房屋修缮建筑、市政养护维修工程</w:t>
      </w:r>
      <w:r>
        <w:rPr>
          <w:rFonts w:ascii="宋体" w:hAnsi="宋体" w:eastAsia="宋体" w:cs="宋体"/>
          <w:spacing w:val="-22"/>
          <w:sz w:val="20"/>
          <w:szCs w:val="20"/>
        </w:rPr>
        <w:t xml:space="preserve"> </w:t>
      </w:r>
      <w:r>
        <w:rPr>
          <w:rFonts w:ascii="宋体" w:hAnsi="宋体" w:eastAsia="宋体" w:cs="宋体"/>
          <w:spacing w:val="10"/>
          <w:sz w:val="20"/>
          <w:szCs w:val="20"/>
        </w:rPr>
        <w:t>11%</w:t>
      </w:r>
      <w:r>
        <w:rPr>
          <w:rFonts w:ascii="宋体" w:hAnsi="宋体" w:eastAsia="宋体" w:cs="宋体"/>
          <w:spacing w:val="43"/>
          <w:sz w:val="20"/>
          <w:szCs w:val="20"/>
        </w:rPr>
        <w:t xml:space="preserve"> </w:t>
      </w:r>
      <w:r>
        <w:rPr>
          <w:rFonts w:ascii="宋体" w:hAnsi="宋体" w:eastAsia="宋体" w:cs="宋体"/>
          <w:spacing w:val="10"/>
          <w:sz w:val="20"/>
          <w:szCs w:val="20"/>
        </w:rPr>
        <w:t>，装饰、安</w:t>
      </w:r>
      <w:r>
        <w:rPr>
          <w:rFonts w:ascii="宋体" w:hAnsi="宋体" w:eastAsia="宋体" w:cs="宋体"/>
          <w:spacing w:val="9"/>
          <w:sz w:val="20"/>
          <w:szCs w:val="20"/>
        </w:rPr>
        <w:t>装、</w:t>
      </w:r>
      <w:r>
        <w:rPr>
          <w:rFonts w:ascii="宋体" w:hAnsi="宋体" w:eastAsia="宋体" w:cs="宋体"/>
          <w:spacing w:val="13"/>
          <w:sz w:val="20"/>
          <w:szCs w:val="20"/>
        </w:rPr>
        <w:t>房屋修缮安装工程</w:t>
      </w:r>
      <w:r>
        <w:rPr>
          <w:rFonts w:ascii="宋体" w:hAnsi="宋体" w:eastAsia="宋体" w:cs="宋体"/>
          <w:spacing w:val="-37"/>
          <w:sz w:val="20"/>
          <w:szCs w:val="20"/>
        </w:rPr>
        <w:t xml:space="preserve"> </w:t>
      </w:r>
      <w:r>
        <w:rPr>
          <w:rFonts w:ascii="宋体" w:hAnsi="宋体" w:eastAsia="宋体" w:cs="宋体"/>
          <w:spacing w:val="13"/>
          <w:sz w:val="20"/>
          <w:szCs w:val="20"/>
        </w:rPr>
        <w:t>9.5%，仿古、古建筑修缮工程5%。</w:t>
      </w:r>
    </w:p>
    <w:p>
      <w:pPr>
        <w:spacing w:before="63" w:line="284" w:lineRule="auto"/>
        <w:ind w:left="1" w:right="175" w:firstLine="442"/>
        <w:rPr>
          <w:rFonts w:ascii="宋体" w:hAnsi="宋体" w:eastAsia="宋体" w:cs="宋体"/>
          <w:sz w:val="20"/>
          <w:szCs w:val="20"/>
        </w:rPr>
      </w:pPr>
      <w:r>
        <w:rPr>
          <w:rFonts w:ascii="宋体" w:hAnsi="宋体" w:eastAsia="宋体" w:cs="宋体"/>
          <w:spacing w:val="8"/>
          <w:sz w:val="20"/>
          <w:szCs w:val="20"/>
        </w:rPr>
        <w:t>四、各市住房城乡建设主管部门要加强价格信息服务</w:t>
      </w:r>
      <w:r>
        <w:rPr>
          <w:rFonts w:ascii="宋体" w:hAnsi="宋体" w:eastAsia="宋体" w:cs="宋体"/>
          <w:spacing w:val="50"/>
          <w:sz w:val="20"/>
          <w:szCs w:val="20"/>
        </w:rPr>
        <w:t xml:space="preserve"> </w:t>
      </w:r>
      <w:r>
        <w:rPr>
          <w:rFonts w:ascii="宋体" w:hAnsi="宋体" w:eastAsia="宋体" w:cs="宋体"/>
          <w:spacing w:val="8"/>
          <w:sz w:val="20"/>
          <w:szCs w:val="20"/>
        </w:rPr>
        <w:t>，密切跟踪市场</w:t>
      </w:r>
      <w:r>
        <w:rPr>
          <w:rFonts w:ascii="宋体" w:hAnsi="宋体" w:eastAsia="宋体" w:cs="宋体"/>
          <w:spacing w:val="44"/>
          <w:sz w:val="20"/>
          <w:szCs w:val="20"/>
        </w:rPr>
        <w:t xml:space="preserve"> </w:t>
      </w:r>
      <w:r>
        <w:rPr>
          <w:rFonts w:ascii="宋体" w:hAnsi="宋体" w:eastAsia="宋体" w:cs="宋体"/>
          <w:spacing w:val="8"/>
          <w:sz w:val="20"/>
          <w:szCs w:val="20"/>
        </w:rPr>
        <w:t>，动态发布人工、材料、机械台班市场价格信息及变化指数</w:t>
      </w:r>
      <w:r>
        <w:rPr>
          <w:rFonts w:ascii="宋体" w:hAnsi="宋体" w:eastAsia="宋体" w:cs="宋体"/>
          <w:spacing w:val="56"/>
          <w:sz w:val="20"/>
          <w:szCs w:val="20"/>
        </w:rPr>
        <w:t xml:space="preserve"> </w:t>
      </w:r>
      <w:r>
        <w:rPr>
          <w:rFonts w:ascii="宋体" w:hAnsi="宋体" w:eastAsia="宋体" w:cs="宋体"/>
          <w:spacing w:val="8"/>
          <w:sz w:val="20"/>
          <w:szCs w:val="20"/>
        </w:rPr>
        <w:t>，为市场主体应用本计价依据、开展计价活动提供参考。</w:t>
      </w:r>
      <w:r>
        <w:rPr>
          <w:rFonts w:ascii="宋体" w:hAnsi="宋体" w:eastAsia="宋体" w:cs="宋体"/>
          <w:spacing w:val="9"/>
          <w:sz w:val="20"/>
          <w:szCs w:val="20"/>
        </w:rPr>
        <w:t>鼓励企事业单位、行业社会组织发布相关市场价格信息。</w:t>
      </w:r>
    </w:p>
    <w:p>
      <w:pPr>
        <w:spacing w:before="98" w:line="291" w:lineRule="auto"/>
        <w:ind w:right="218" w:firstLine="426"/>
        <w:rPr>
          <w:rFonts w:ascii="宋体" w:hAnsi="宋体" w:eastAsia="宋体" w:cs="宋体"/>
          <w:sz w:val="20"/>
          <w:szCs w:val="20"/>
        </w:rPr>
      </w:pPr>
      <w:r>
        <w:rPr>
          <w:rFonts w:ascii="宋体" w:hAnsi="宋体" w:eastAsia="宋体" w:cs="宋体"/>
          <w:spacing w:val="7"/>
          <w:sz w:val="20"/>
          <w:szCs w:val="20"/>
        </w:rPr>
        <w:t>五、《山东省建设工程费用项目组成及计算规则》执行日期同</w:t>
      </w:r>
      <w:r>
        <w:rPr>
          <w:rFonts w:ascii="宋体" w:hAnsi="宋体" w:eastAsia="宋体" w:cs="宋体"/>
          <w:spacing w:val="-33"/>
          <w:sz w:val="20"/>
          <w:szCs w:val="20"/>
        </w:rPr>
        <w:t xml:space="preserve"> </w:t>
      </w:r>
      <w:r>
        <w:rPr>
          <w:rFonts w:ascii="宋体" w:hAnsi="宋体" w:eastAsia="宋体" w:cs="宋体"/>
          <w:spacing w:val="7"/>
          <w:sz w:val="20"/>
          <w:szCs w:val="20"/>
        </w:rPr>
        <w:t>2024</w:t>
      </w:r>
      <w:r>
        <w:rPr>
          <w:rFonts w:ascii="宋体" w:hAnsi="宋体" w:eastAsia="宋体" w:cs="宋体"/>
          <w:spacing w:val="-38"/>
          <w:sz w:val="20"/>
          <w:szCs w:val="20"/>
        </w:rPr>
        <w:t xml:space="preserve"> </w:t>
      </w:r>
      <w:r>
        <w:rPr>
          <w:rFonts w:ascii="宋体" w:hAnsi="宋体" w:eastAsia="宋体" w:cs="宋体"/>
          <w:spacing w:val="7"/>
          <w:sz w:val="20"/>
          <w:szCs w:val="20"/>
        </w:rPr>
        <w:t>版清单计价标准，《山东</w:t>
      </w:r>
      <w:r>
        <w:rPr>
          <w:rFonts w:ascii="宋体" w:hAnsi="宋体" w:eastAsia="宋体" w:cs="宋体"/>
          <w:spacing w:val="11"/>
          <w:sz w:val="20"/>
          <w:szCs w:val="20"/>
        </w:rPr>
        <w:t>省建筑工程消耗量定额》《山东省安装工程消耗量定额》《山东省</w:t>
      </w:r>
      <w:r>
        <w:rPr>
          <w:rFonts w:ascii="宋体" w:hAnsi="宋体" w:eastAsia="宋体" w:cs="宋体"/>
          <w:spacing w:val="10"/>
          <w:sz w:val="20"/>
          <w:szCs w:val="20"/>
        </w:rPr>
        <w:t>市政工程消耗量定额》《山东</w:t>
      </w:r>
      <w:r>
        <w:rPr>
          <w:rFonts w:ascii="宋体" w:hAnsi="宋体" w:eastAsia="宋体" w:cs="宋体"/>
          <w:spacing w:val="7"/>
          <w:sz w:val="20"/>
          <w:szCs w:val="20"/>
        </w:rPr>
        <w:t>省园林绿化工程消耗量定额》执行日期为</w:t>
      </w:r>
      <w:r>
        <w:rPr>
          <w:rFonts w:ascii="宋体" w:hAnsi="宋体" w:eastAsia="宋体" w:cs="宋体"/>
          <w:spacing w:val="-39"/>
          <w:sz w:val="20"/>
          <w:szCs w:val="20"/>
        </w:rPr>
        <w:t xml:space="preserve"> </w:t>
      </w:r>
      <w:r>
        <w:rPr>
          <w:rFonts w:ascii="宋体" w:hAnsi="宋体" w:eastAsia="宋体" w:cs="宋体"/>
          <w:spacing w:val="7"/>
          <w:sz w:val="20"/>
          <w:szCs w:val="20"/>
        </w:rPr>
        <w:t>2025</w:t>
      </w:r>
      <w:r>
        <w:rPr>
          <w:rFonts w:ascii="宋体" w:hAnsi="宋体" w:eastAsia="宋体" w:cs="宋体"/>
          <w:spacing w:val="-36"/>
          <w:sz w:val="20"/>
          <w:szCs w:val="20"/>
        </w:rPr>
        <w:t xml:space="preserve"> </w:t>
      </w:r>
      <w:r>
        <w:rPr>
          <w:rFonts w:ascii="宋体" w:hAnsi="宋体" w:eastAsia="宋体" w:cs="宋体"/>
          <w:spacing w:val="7"/>
          <w:sz w:val="20"/>
          <w:szCs w:val="20"/>
        </w:rPr>
        <w:t>年</w:t>
      </w:r>
      <w:r>
        <w:rPr>
          <w:rFonts w:ascii="宋体" w:hAnsi="宋体" w:eastAsia="宋体" w:cs="宋体"/>
          <w:spacing w:val="-25"/>
          <w:sz w:val="20"/>
          <w:szCs w:val="20"/>
        </w:rPr>
        <w:t xml:space="preserve"> </w:t>
      </w:r>
      <w:r>
        <w:rPr>
          <w:rFonts w:ascii="宋体" w:hAnsi="宋体" w:eastAsia="宋体" w:cs="宋体"/>
          <w:spacing w:val="7"/>
          <w:sz w:val="20"/>
          <w:szCs w:val="20"/>
        </w:rPr>
        <w:t>11</w:t>
      </w:r>
      <w:r>
        <w:rPr>
          <w:rFonts w:ascii="宋体" w:hAnsi="宋体" w:eastAsia="宋体" w:cs="宋体"/>
          <w:spacing w:val="-35"/>
          <w:sz w:val="20"/>
          <w:szCs w:val="20"/>
        </w:rPr>
        <w:t xml:space="preserve"> </w:t>
      </w:r>
      <w:r>
        <w:rPr>
          <w:rFonts w:ascii="宋体" w:hAnsi="宋体" w:eastAsia="宋体" w:cs="宋体"/>
          <w:spacing w:val="7"/>
          <w:sz w:val="20"/>
          <w:szCs w:val="20"/>
        </w:rPr>
        <w:t>月</w:t>
      </w:r>
      <w:r>
        <w:rPr>
          <w:rFonts w:ascii="宋体" w:hAnsi="宋体" w:eastAsia="宋体" w:cs="宋体"/>
          <w:spacing w:val="-22"/>
          <w:sz w:val="20"/>
          <w:szCs w:val="20"/>
        </w:rPr>
        <w:t xml:space="preserve"> </w:t>
      </w:r>
      <w:r>
        <w:rPr>
          <w:rFonts w:ascii="宋体" w:hAnsi="宋体" w:eastAsia="宋体" w:cs="宋体"/>
          <w:spacing w:val="7"/>
          <w:sz w:val="20"/>
          <w:szCs w:val="20"/>
        </w:rPr>
        <w:t>1 日。之前已签订合同</w:t>
      </w:r>
      <w:r>
        <w:rPr>
          <w:rFonts w:ascii="宋体" w:hAnsi="宋体" w:eastAsia="宋体" w:cs="宋体"/>
          <w:spacing w:val="6"/>
          <w:sz w:val="20"/>
          <w:szCs w:val="20"/>
        </w:rPr>
        <w:t>的工程仍按原合同</w:t>
      </w:r>
      <w:r>
        <w:rPr>
          <w:rFonts w:ascii="宋体" w:hAnsi="宋体" w:eastAsia="宋体" w:cs="宋体"/>
          <w:spacing w:val="8"/>
          <w:sz w:val="20"/>
          <w:szCs w:val="20"/>
        </w:rPr>
        <w:t>及有关规定执行。</w:t>
      </w:r>
    </w:p>
    <w:p>
      <w:pPr>
        <w:spacing w:before="100" w:line="302" w:lineRule="auto"/>
        <w:ind w:left="2" w:right="218" w:firstLine="459"/>
        <w:jc w:val="both"/>
        <w:rPr>
          <w:rFonts w:ascii="宋体" w:hAnsi="宋体" w:eastAsia="宋体" w:cs="宋体"/>
          <w:sz w:val="20"/>
          <w:szCs w:val="20"/>
        </w:rPr>
      </w:pPr>
      <w:r>
        <w:rPr>
          <w:rFonts w:ascii="宋体" w:hAnsi="宋体" w:eastAsia="宋体" w:cs="宋体"/>
          <w:spacing w:val="9"/>
          <w:sz w:val="20"/>
          <w:szCs w:val="20"/>
        </w:rPr>
        <w:t>自本计价依据执行之日起</w:t>
      </w:r>
      <w:r>
        <w:rPr>
          <w:rFonts w:ascii="宋体" w:hAnsi="宋体" w:eastAsia="宋体" w:cs="宋体"/>
          <w:spacing w:val="47"/>
          <w:sz w:val="20"/>
          <w:szCs w:val="20"/>
        </w:rPr>
        <w:t xml:space="preserve"> </w:t>
      </w:r>
      <w:r>
        <w:rPr>
          <w:rFonts w:ascii="宋体" w:hAnsi="宋体" w:eastAsia="宋体" w:cs="宋体"/>
          <w:spacing w:val="9"/>
          <w:sz w:val="20"/>
          <w:szCs w:val="20"/>
        </w:rPr>
        <w:t>，原省住房城乡建设厅鲁建标字〔2016〕39</w:t>
      </w:r>
      <w:r>
        <w:rPr>
          <w:rFonts w:ascii="宋体" w:hAnsi="宋体" w:eastAsia="宋体" w:cs="宋体"/>
          <w:spacing w:val="-37"/>
          <w:sz w:val="20"/>
          <w:szCs w:val="20"/>
        </w:rPr>
        <w:t xml:space="preserve"> </w:t>
      </w:r>
      <w:r>
        <w:rPr>
          <w:rFonts w:ascii="宋体" w:hAnsi="宋体" w:eastAsia="宋体" w:cs="宋体"/>
          <w:spacing w:val="9"/>
          <w:sz w:val="20"/>
          <w:szCs w:val="20"/>
        </w:rPr>
        <w:t>号文件发布的相关定</w:t>
      </w:r>
      <w:r>
        <w:rPr>
          <w:rFonts w:ascii="宋体" w:hAnsi="宋体" w:eastAsia="宋体" w:cs="宋体"/>
          <w:spacing w:val="8"/>
          <w:sz w:val="20"/>
          <w:szCs w:val="20"/>
        </w:rPr>
        <w:t>额、鲁建标字〔2022〕7</w:t>
      </w:r>
      <w:r>
        <w:rPr>
          <w:rFonts w:ascii="宋体" w:hAnsi="宋体" w:eastAsia="宋体" w:cs="宋体"/>
          <w:spacing w:val="-42"/>
          <w:sz w:val="20"/>
          <w:szCs w:val="20"/>
        </w:rPr>
        <w:t xml:space="preserve"> </w:t>
      </w:r>
      <w:r>
        <w:rPr>
          <w:rFonts w:ascii="宋体" w:hAnsi="宋体" w:eastAsia="宋体" w:cs="宋体"/>
          <w:spacing w:val="8"/>
          <w:sz w:val="20"/>
          <w:szCs w:val="20"/>
        </w:rPr>
        <w:t>号文件发布的建设工程费用</w:t>
      </w:r>
      <w:r>
        <w:rPr>
          <w:rFonts w:ascii="宋体" w:hAnsi="宋体" w:eastAsia="宋体" w:cs="宋体"/>
          <w:spacing w:val="7"/>
          <w:sz w:val="20"/>
          <w:szCs w:val="20"/>
        </w:rPr>
        <w:t>项目组成及计算规则、鲁建标字〔2023〕</w:t>
      </w:r>
      <w:r>
        <w:rPr>
          <w:rFonts w:ascii="宋体" w:hAnsi="宋体" w:eastAsia="宋体" w:cs="宋体"/>
          <w:spacing w:val="36"/>
          <w:sz w:val="20"/>
          <w:szCs w:val="20"/>
        </w:rPr>
        <w:t xml:space="preserve"> </w:t>
      </w:r>
      <w:r>
        <w:rPr>
          <w:rFonts w:ascii="宋体" w:hAnsi="宋体" w:eastAsia="宋体" w:cs="宋体"/>
          <w:spacing w:val="7"/>
          <w:sz w:val="20"/>
          <w:szCs w:val="20"/>
        </w:rPr>
        <w:t>10</w:t>
      </w:r>
      <w:r>
        <w:rPr>
          <w:rFonts w:ascii="宋体" w:hAnsi="宋体" w:eastAsia="宋体" w:cs="宋体"/>
          <w:spacing w:val="9"/>
          <w:sz w:val="20"/>
          <w:szCs w:val="20"/>
        </w:rPr>
        <w:t>号文件发布的古建筑修缮工程费用计算规则同时停止使用。</w:t>
      </w:r>
    </w:p>
    <w:p>
      <w:pPr>
        <w:spacing w:before="40" w:line="313" w:lineRule="auto"/>
        <w:ind w:left="1" w:right="220" w:firstLine="420"/>
        <w:rPr>
          <w:rFonts w:ascii="宋体" w:hAnsi="宋体" w:eastAsia="宋体" w:cs="宋体"/>
          <w:sz w:val="20"/>
          <w:szCs w:val="20"/>
        </w:rPr>
      </w:pPr>
      <w:r>
        <w:rPr>
          <w:rFonts w:ascii="宋体" w:hAnsi="宋体" w:eastAsia="宋体" w:cs="宋体"/>
          <w:spacing w:val="10"/>
          <w:sz w:val="20"/>
          <w:szCs w:val="20"/>
        </w:rPr>
        <w:t>六、本计价依据在省住房城乡建设厅门户网站“标准造价 ”专栏公开发</w:t>
      </w:r>
      <w:r>
        <w:rPr>
          <w:rFonts w:ascii="宋体" w:hAnsi="宋体" w:eastAsia="宋体" w:cs="宋体"/>
          <w:spacing w:val="9"/>
          <w:sz w:val="20"/>
          <w:szCs w:val="20"/>
        </w:rPr>
        <w:t>布，</w:t>
      </w:r>
      <w:r>
        <w:rPr>
          <w:rFonts w:ascii="宋体" w:hAnsi="宋体" w:eastAsia="宋体" w:cs="宋体"/>
          <w:spacing w:val="34"/>
          <w:sz w:val="20"/>
          <w:szCs w:val="20"/>
        </w:rPr>
        <w:t xml:space="preserve"> </w:t>
      </w:r>
      <w:r>
        <w:rPr>
          <w:rFonts w:ascii="宋体" w:hAnsi="宋体" w:eastAsia="宋体" w:cs="宋体"/>
          <w:spacing w:val="9"/>
          <w:sz w:val="20"/>
          <w:szCs w:val="20"/>
        </w:rPr>
        <w:t>由省工程建设</w:t>
      </w:r>
      <w:r>
        <w:rPr>
          <w:rFonts w:ascii="宋体" w:hAnsi="宋体" w:eastAsia="宋体" w:cs="宋体"/>
          <w:spacing w:val="8"/>
          <w:sz w:val="20"/>
          <w:szCs w:val="20"/>
        </w:rPr>
        <w:t>标准造价中心负责管理、解释。</w:t>
      </w:r>
    </w:p>
    <w:p>
      <w:pPr>
        <w:spacing w:line="275" w:lineRule="auto"/>
        <w:rPr>
          <w:rFonts w:ascii="Arial"/>
          <w:sz w:val="21"/>
        </w:rPr>
      </w:pPr>
    </w:p>
    <w:p>
      <w:pPr>
        <w:spacing w:before="65" w:line="221" w:lineRule="auto"/>
        <w:jc w:val="right"/>
        <w:rPr>
          <w:rFonts w:ascii="宋体" w:hAnsi="宋体" w:eastAsia="宋体" w:cs="宋体"/>
          <w:sz w:val="20"/>
          <w:szCs w:val="20"/>
        </w:rPr>
      </w:pPr>
      <w:r>
        <w:rPr>
          <w:rFonts w:ascii="宋体" w:hAnsi="宋体" w:eastAsia="宋体" w:cs="宋体"/>
          <w:spacing w:val="8"/>
          <w:sz w:val="20"/>
          <w:szCs w:val="20"/>
        </w:rPr>
        <w:t>山东省住房和城乡建设厅</w:t>
      </w:r>
    </w:p>
    <w:p>
      <w:pPr>
        <w:spacing w:before="113" w:line="278" w:lineRule="exact"/>
        <w:ind w:left="7237"/>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8</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29 日</w:t>
      </w:r>
    </w:p>
    <w:p>
      <w:pPr>
        <w:spacing w:line="278" w:lineRule="exact"/>
        <w:rPr>
          <w:rFonts w:ascii="宋体" w:hAnsi="宋体" w:eastAsia="宋体" w:cs="宋体"/>
          <w:sz w:val="20"/>
          <w:szCs w:val="20"/>
        </w:rPr>
        <w:sectPr>
          <w:footerReference r:id="rId299" w:type="default"/>
          <w:pgSz w:w="11906" w:h="16839"/>
          <w:pgMar w:top="400" w:right="1417" w:bottom="1212" w:left="1417" w:header="0" w:footer="897"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2589"/>
        <w:outlineLvl w:val="0"/>
        <w:rPr>
          <w:rFonts w:ascii="方正小标宋简体" w:hAnsi="方正小标宋简体" w:eastAsia="方正小标宋简体" w:cs="方正小标宋简体"/>
          <w:sz w:val="35"/>
          <w:szCs w:val="35"/>
        </w:rPr>
      </w:pPr>
      <w:bookmarkStart w:id="215" w:name="bookmark126"/>
      <w:bookmarkEnd w:id="215"/>
      <w:bookmarkStart w:id="216" w:name="bookmark125"/>
      <w:bookmarkEnd w:id="216"/>
      <w:r>
        <w:rPr>
          <w:rFonts w:ascii="方正小标宋简体" w:hAnsi="方正小标宋简体" w:eastAsia="方正小标宋简体" w:cs="方正小标宋简体"/>
          <w:spacing w:val="8"/>
          <w:sz w:val="35"/>
          <w:szCs w:val="35"/>
        </w:rPr>
        <w:t>山东省住房和城乡建设厅</w:t>
      </w:r>
    </w:p>
    <w:p>
      <w:pPr>
        <w:spacing w:before="125" w:line="210" w:lineRule="auto"/>
        <w:ind w:left="2589"/>
        <w:outlineLvl w:val="0"/>
        <w:rPr>
          <w:rFonts w:ascii="方正小标宋简体" w:hAnsi="方正小标宋简体" w:eastAsia="方正小标宋简体" w:cs="方正小标宋简体"/>
          <w:sz w:val="35"/>
          <w:szCs w:val="35"/>
        </w:rPr>
      </w:pPr>
      <w:bookmarkStart w:id="217" w:name="bookmark125"/>
      <w:bookmarkEnd w:id="217"/>
      <w:r>
        <w:rPr>
          <w:rFonts w:ascii="方正小标宋简体" w:hAnsi="方正小标宋简体" w:eastAsia="方正小标宋简体" w:cs="方正小标宋简体"/>
          <w:spacing w:val="8"/>
          <w:sz w:val="35"/>
          <w:szCs w:val="35"/>
        </w:rPr>
        <w:t>山东省发展和改革委员会</w:t>
      </w:r>
    </w:p>
    <w:p>
      <w:pPr>
        <w:spacing w:before="130" w:line="208" w:lineRule="auto"/>
        <w:ind w:left="3489"/>
        <w:outlineLvl w:val="0"/>
        <w:rPr>
          <w:rFonts w:ascii="方正小标宋简体" w:hAnsi="方正小标宋简体" w:eastAsia="方正小标宋简体" w:cs="方正小标宋简体"/>
          <w:sz w:val="35"/>
          <w:szCs w:val="35"/>
        </w:rPr>
      </w:pPr>
      <w:bookmarkStart w:id="218" w:name="bookmark125"/>
      <w:bookmarkEnd w:id="218"/>
      <w:r>
        <w:rPr>
          <w:rFonts w:ascii="方正小标宋简体" w:hAnsi="方正小标宋简体" w:eastAsia="方正小标宋简体" w:cs="方正小标宋简体"/>
          <w:spacing w:val="6"/>
          <w:sz w:val="35"/>
          <w:szCs w:val="35"/>
        </w:rPr>
        <w:t>山东省财政厅</w:t>
      </w:r>
    </w:p>
    <w:p>
      <w:pPr>
        <w:spacing w:before="109" w:line="239" w:lineRule="auto"/>
        <w:ind w:left="1329"/>
        <w:outlineLvl w:val="0"/>
        <w:rPr>
          <w:rFonts w:ascii="方正小标宋简体" w:hAnsi="方正小标宋简体" w:eastAsia="方正小标宋简体" w:cs="方正小标宋简体"/>
          <w:sz w:val="35"/>
          <w:szCs w:val="35"/>
        </w:rPr>
      </w:pPr>
      <w:bookmarkStart w:id="219" w:name="bookmark125"/>
      <w:bookmarkEnd w:id="219"/>
      <w:r>
        <w:rPr>
          <w:rFonts w:ascii="方正小标宋简体" w:hAnsi="方正小标宋简体" w:eastAsia="方正小标宋简体" w:cs="方正小标宋简体"/>
          <w:spacing w:val="8"/>
          <w:sz w:val="35"/>
          <w:szCs w:val="35"/>
        </w:rPr>
        <w:t>山东省人民政府国有资产监督管理委员会</w:t>
      </w:r>
    </w:p>
    <w:p>
      <w:pPr>
        <w:spacing w:before="61" w:line="241" w:lineRule="auto"/>
        <w:ind w:left="3659" w:right="457" w:hanging="3068"/>
        <w:outlineLvl w:val="0"/>
        <w:rPr>
          <w:rFonts w:ascii="方正小标宋简体" w:hAnsi="方正小标宋简体" w:eastAsia="方正小标宋简体" w:cs="方正小标宋简体"/>
          <w:sz w:val="35"/>
          <w:szCs w:val="35"/>
        </w:rPr>
      </w:pPr>
      <w:bookmarkStart w:id="220" w:name="bookmark125"/>
      <w:bookmarkEnd w:id="220"/>
      <w:r>
        <w:rPr>
          <w:rFonts w:ascii="方正小标宋简体" w:hAnsi="方正小标宋简体" w:eastAsia="方正小标宋简体" w:cs="方正小标宋简体"/>
          <w:spacing w:val="9"/>
          <w:sz w:val="35"/>
          <w:szCs w:val="35"/>
        </w:rPr>
        <w:t>关于在全省房屋市政工程领域推行无争议价款结算</w:t>
      </w:r>
      <w:bookmarkStart w:id="221" w:name="bookmark125"/>
      <w:bookmarkEnd w:id="221"/>
      <w:r>
        <w:rPr>
          <w:rFonts w:ascii="方正小标宋简体" w:hAnsi="方正小标宋简体" w:eastAsia="方正小标宋简体" w:cs="方正小标宋简体"/>
          <w:spacing w:val="7"/>
          <w:sz w:val="35"/>
          <w:szCs w:val="35"/>
        </w:rPr>
        <w:t>支付的意见</w:t>
      </w:r>
    </w:p>
    <w:p>
      <w:pPr>
        <w:spacing w:line="304" w:lineRule="auto"/>
        <w:rPr>
          <w:rFonts w:ascii="Arial"/>
          <w:sz w:val="21"/>
        </w:rPr>
      </w:pPr>
    </w:p>
    <w:p>
      <w:pPr>
        <w:spacing w:before="91" w:line="214" w:lineRule="auto"/>
        <w:ind w:left="2916"/>
        <w:rPr>
          <w:rFonts w:ascii="KaiTi_GB2312" w:hAnsi="KaiTi_GB2312" w:eastAsia="KaiTi_GB2312" w:cs="KaiTi_GB2312"/>
          <w:sz w:val="28"/>
          <w:szCs w:val="28"/>
        </w:rPr>
      </w:pPr>
      <w:r>
        <w:rPr>
          <w:rFonts w:ascii="KaiTi_GB2312" w:hAnsi="KaiTi_GB2312" w:eastAsia="KaiTi_GB2312" w:cs="KaiTi_GB2312"/>
          <w:spacing w:val="3"/>
          <w:sz w:val="28"/>
          <w:szCs w:val="28"/>
        </w:rPr>
        <w:t>鲁建建管字〔2025〕7</w:t>
      </w:r>
      <w:r>
        <w:rPr>
          <w:rFonts w:ascii="KaiTi_GB2312" w:hAnsi="KaiTi_GB2312" w:eastAsia="KaiTi_GB2312" w:cs="KaiTi_GB2312"/>
          <w:spacing w:val="-46"/>
          <w:sz w:val="28"/>
          <w:szCs w:val="28"/>
        </w:rPr>
        <w:t xml:space="preserve"> </w:t>
      </w:r>
      <w:r>
        <w:rPr>
          <w:rFonts w:ascii="KaiTi_GB2312" w:hAnsi="KaiTi_GB2312" w:eastAsia="KaiTi_GB2312" w:cs="KaiTi_GB2312"/>
          <w:spacing w:val="3"/>
          <w:sz w:val="28"/>
          <w:szCs w:val="28"/>
        </w:rPr>
        <w:t>号</w:t>
      </w:r>
    </w:p>
    <w:p>
      <w:pPr>
        <w:spacing w:line="429" w:lineRule="auto"/>
        <w:rPr>
          <w:rFonts w:ascii="Arial"/>
          <w:sz w:val="21"/>
        </w:rPr>
      </w:pPr>
    </w:p>
    <w:p>
      <w:pPr>
        <w:spacing w:before="66" w:line="368" w:lineRule="auto"/>
        <w:ind w:left="17" w:right="100" w:hanging="1"/>
        <w:rPr>
          <w:rFonts w:ascii="宋体" w:hAnsi="宋体" w:eastAsia="宋体" w:cs="宋体"/>
          <w:sz w:val="20"/>
          <w:szCs w:val="20"/>
        </w:rPr>
      </w:pPr>
      <w:r>
        <w:rPr>
          <w:rFonts w:ascii="宋体" w:hAnsi="宋体" w:eastAsia="宋体" w:cs="宋体"/>
          <w:spacing w:val="11"/>
          <w:sz w:val="20"/>
          <w:szCs w:val="20"/>
        </w:rPr>
        <w:t>各市住房城乡建设局、城市管理局、发展改革委、财政局、国资</w:t>
      </w:r>
      <w:r>
        <w:rPr>
          <w:rFonts w:ascii="宋体" w:hAnsi="宋体" w:eastAsia="宋体" w:cs="宋体"/>
          <w:spacing w:val="10"/>
          <w:sz w:val="20"/>
          <w:szCs w:val="20"/>
        </w:rPr>
        <w:t>委，济南、青岛、淄博、枣庄、</w:t>
      </w:r>
      <w:r>
        <w:rPr>
          <w:rFonts w:ascii="宋体" w:hAnsi="宋体" w:eastAsia="宋体" w:cs="宋体"/>
          <w:spacing w:val="11"/>
          <w:sz w:val="20"/>
          <w:szCs w:val="20"/>
        </w:rPr>
        <w:t>东营、济宁、威海、滨州、菏泽市水务（水利）局，济南、</w:t>
      </w:r>
      <w:r>
        <w:rPr>
          <w:rFonts w:ascii="宋体" w:hAnsi="宋体" w:eastAsia="宋体" w:cs="宋体"/>
          <w:spacing w:val="10"/>
          <w:sz w:val="20"/>
          <w:szCs w:val="20"/>
        </w:rPr>
        <w:t>青岛市园林和林业（绿化）局，济南</w:t>
      </w:r>
      <w:r>
        <w:rPr>
          <w:rFonts w:ascii="宋体" w:hAnsi="宋体" w:eastAsia="宋体" w:cs="宋体"/>
          <w:spacing w:val="8"/>
          <w:sz w:val="20"/>
          <w:szCs w:val="20"/>
        </w:rPr>
        <w:t>市城乡交通运输局：</w:t>
      </w:r>
    </w:p>
    <w:p>
      <w:pPr>
        <w:spacing w:before="3" w:line="358" w:lineRule="auto"/>
        <w:ind w:right="100" w:firstLine="442"/>
        <w:jc w:val="both"/>
        <w:rPr>
          <w:rFonts w:ascii="宋体" w:hAnsi="宋体" w:eastAsia="宋体" w:cs="宋体"/>
          <w:sz w:val="20"/>
          <w:szCs w:val="20"/>
        </w:rPr>
      </w:pPr>
      <w:r>
        <w:rPr>
          <w:rFonts w:ascii="宋体" w:hAnsi="宋体" w:eastAsia="宋体" w:cs="宋体"/>
          <w:spacing w:val="11"/>
          <w:sz w:val="20"/>
          <w:szCs w:val="20"/>
        </w:rPr>
        <w:t>为进一步规范房屋市政工程结算（含过程结算，下</w:t>
      </w:r>
      <w:r>
        <w:rPr>
          <w:rFonts w:ascii="宋体" w:hAnsi="宋体" w:eastAsia="宋体" w:cs="宋体"/>
          <w:spacing w:val="10"/>
          <w:sz w:val="20"/>
          <w:szCs w:val="20"/>
        </w:rPr>
        <w:t>同）管理，推进源头防治欠款欠薪，根据</w:t>
      </w:r>
      <w:r>
        <w:rPr>
          <w:rFonts w:ascii="宋体" w:hAnsi="宋体" w:eastAsia="宋体" w:cs="宋体"/>
          <w:spacing w:val="9"/>
          <w:sz w:val="20"/>
          <w:szCs w:val="20"/>
        </w:rPr>
        <w:t>《民营经济促进法》《政府投资条例》《保障中</w:t>
      </w:r>
      <w:r>
        <w:rPr>
          <w:rFonts w:ascii="宋体" w:hAnsi="宋体" w:eastAsia="宋体" w:cs="宋体"/>
          <w:spacing w:val="8"/>
          <w:sz w:val="20"/>
          <w:szCs w:val="20"/>
        </w:rPr>
        <w:t>小企业款项支付条例》《财政部 住房和城乡建设</w:t>
      </w:r>
      <w:r>
        <w:rPr>
          <w:rFonts w:ascii="宋体" w:hAnsi="宋体" w:eastAsia="宋体" w:cs="宋体"/>
          <w:spacing w:val="11"/>
          <w:sz w:val="20"/>
          <w:szCs w:val="20"/>
        </w:rPr>
        <w:t>部关于完善建设工程价款结算有关办法的通知》等法律法规和政策规定，现就全省房屋市政工程</w:t>
      </w:r>
      <w:r>
        <w:rPr>
          <w:rFonts w:ascii="宋体" w:hAnsi="宋体" w:eastAsia="宋体" w:cs="宋体"/>
          <w:spacing w:val="10"/>
          <w:sz w:val="20"/>
          <w:szCs w:val="20"/>
        </w:rPr>
        <w:t>领域推行无争议价款结算支付有关工作提出如下意见。</w:t>
      </w:r>
    </w:p>
    <w:p>
      <w:pPr>
        <w:spacing w:before="45" w:line="341" w:lineRule="auto"/>
        <w:ind w:left="15" w:right="19" w:firstLine="421"/>
        <w:rPr>
          <w:rFonts w:ascii="宋体" w:hAnsi="宋体" w:eastAsia="宋体" w:cs="宋体"/>
          <w:sz w:val="20"/>
          <w:szCs w:val="20"/>
        </w:rPr>
      </w:pPr>
      <w:r>
        <w:rPr>
          <w:rFonts w:ascii="宋体" w:hAnsi="宋体" w:eastAsia="宋体" w:cs="宋体"/>
          <w:b/>
          <w:bCs/>
          <w:spacing w:val="10"/>
          <w:sz w:val="20"/>
          <w:szCs w:val="20"/>
        </w:rPr>
        <w:t>一、源头减少结算争议。</w:t>
      </w:r>
      <w:r>
        <w:rPr>
          <w:rFonts w:ascii="宋体" w:hAnsi="宋体" w:eastAsia="宋体" w:cs="宋体"/>
          <w:spacing w:val="10"/>
          <w:sz w:val="20"/>
          <w:szCs w:val="20"/>
        </w:rPr>
        <w:t>依法进行招标的工程，招标人选择依据《建设工程工程量清单计价</w:t>
      </w:r>
      <w:r>
        <w:rPr>
          <w:rFonts w:ascii="宋体" w:hAnsi="宋体" w:eastAsia="宋体" w:cs="宋体"/>
          <w:spacing w:val="5"/>
          <w:sz w:val="20"/>
          <w:szCs w:val="20"/>
        </w:rPr>
        <w:t>标准》（</w:t>
      </w:r>
      <w:r>
        <w:rPr>
          <w:rFonts w:ascii="宋体" w:hAnsi="宋体" w:eastAsia="宋体" w:cs="宋体"/>
          <w:spacing w:val="-59"/>
          <w:sz w:val="20"/>
          <w:szCs w:val="20"/>
        </w:rPr>
        <w:t xml:space="preserve"> </w:t>
      </w:r>
      <w:r>
        <w:rPr>
          <w:rFonts w:ascii="宋体" w:hAnsi="宋体" w:eastAsia="宋体" w:cs="宋体"/>
          <w:sz w:val="20"/>
          <w:szCs w:val="20"/>
        </w:rPr>
        <w:t>GB</w:t>
      </w:r>
      <w:r>
        <w:rPr>
          <w:rFonts w:ascii="宋体" w:hAnsi="宋体" w:eastAsia="宋体" w:cs="宋体"/>
          <w:spacing w:val="5"/>
          <w:sz w:val="20"/>
          <w:szCs w:val="20"/>
        </w:rPr>
        <w:t>/T</w:t>
      </w:r>
      <w:r>
        <w:rPr>
          <w:rFonts w:ascii="宋体" w:hAnsi="宋体" w:eastAsia="宋体" w:cs="宋体"/>
          <w:spacing w:val="-42"/>
          <w:sz w:val="20"/>
          <w:szCs w:val="20"/>
        </w:rPr>
        <w:t xml:space="preserve"> </w:t>
      </w:r>
      <w:r>
        <w:rPr>
          <w:rFonts w:ascii="宋体" w:hAnsi="宋体" w:eastAsia="宋体" w:cs="宋体"/>
          <w:spacing w:val="5"/>
          <w:sz w:val="20"/>
          <w:szCs w:val="20"/>
        </w:rPr>
        <w:t>50500-2024）及各专业工程量计算标准编制工程量清单的，应按</w:t>
      </w:r>
      <w:r>
        <w:rPr>
          <w:rFonts w:ascii="宋体" w:hAnsi="宋体" w:eastAsia="宋体" w:cs="宋体"/>
          <w:spacing w:val="4"/>
          <w:sz w:val="20"/>
          <w:szCs w:val="20"/>
        </w:rPr>
        <w:t>照标准要求，规范、</w:t>
      </w:r>
      <w:r>
        <w:rPr>
          <w:rFonts w:ascii="宋体" w:hAnsi="宋体" w:eastAsia="宋体" w:cs="宋体"/>
          <w:spacing w:val="8"/>
          <w:sz w:val="20"/>
          <w:szCs w:val="20"/>
        </w:rPr>
        <w:t>完整、准确表述清单计量单位、项目特征，避免使用“ 见图纸”“综合考虑”等模糊性表述，提</w:t>
      </w:r>
      <w:r>
        <w:rPr>
          <w:rFonts w:ascii="宋体" w:hAnsi="宋体" w:eastAsia="宋体" w:cs="宋体"/>
          <w:spacing w:val="9"/>
          <w:sz w:val="20"/>
          <w:szCs w:val="20"/>
        </w:rPr>
        <w:t>高投标人报价的针对性、合理性，从源头降低结算争议风险。</w:t>
      </w:r>
    </w:p>
    <w:p>
      <w:pPr>
        <w:spacing w:before="124" w:line="333" w:lineRule="auto"/>
        <w:ind w:left="17" w:firstLine="420"/>
        <w:rPr>
          <w:rFonts w:ascii="宋体" w:hAnsi="宋体" w:eastAsia="宋体" w:cs="宋体"/>
          <w:sz w:val="20"/>
          <w:szCs w:val="20"/>
        </w:rPr>
      </w:pPr>
      <w:r>
        <w:rPr>
          <w:rFonts w:ascii="宋体" w:hAnsi="宋体" w:eastAsia="宋体" w:cs="宋体"/>
          <w:b/>
          <w:bCs/>
          <w:spacing w:val="10"/>
          <w:sz w:val="20"/>
          <w:szCs w:val="20"/>
        </w:rPr>
        <w:t>二、合理分担市场风险。</w:t>
      </w:r>
      <w:r>
        <w:rPr>
          <w:rFonts w:ascii="宋体" w:hAnsi="宋体" w:eastAsia="宋体" w:cs="宋体"/>
          <w:spacing w:val="10"/>
          <w:sz w:val="20"/>
          <w:szCs w:val="20"/>
        </w:rPr>
        <w:t>鼓励使用国家和省发布的建设工程施工合同示范文本。合同中应合</w:t>
      </w:r>
      <w:r>
        <w:rPr>
          <w:rFonts w:ascii="宋体" w:hAnsi="宋体" w:eastAsia="宋体" w:cs="宋体"/>
          <w:spacing w:val="13"/>
          <w:sz w:val="20"/>
          <w:szCs w:val="20"/>
        </w:rPr>
        <w:t>理约定人工、材料等要素的价格风险幅度及调整办法，不得通过“所有风险”“包括但不限于”</w:t>
      </w:r>
      <w:r>
        <w:rPr>
          <w:rFonts w:ascii="宋体" w:hAnsi="宋体" w:eastAsia="宋体" w:cs="宋体"/>
          <w:spacing w:val="11"/>
          <w:sz w:val="20"/>
          <w:szCs w:val="20"/>
        </w:rPr>
        <w:t>或其他类似表述将风险无限转嫁给承包人；应加强对工程变更</w:t>
      </w:r>
      <w:r>
        <w:rPr>
          <w:rFonts w:ascii="宋体" w:hAnsi="宋体" w:eastAsia="宋体" w:cs="宋体"/>
          <w:spacing w:val="10"/>
          <w:sz w:val="20"/>
          <w:szCs w:val="20"/>
        </w:rPr>
        <w:t>、索赔等价款调整因素的管理，避</w:t>
      </w:r>
      <w:r>
        <w:rPr>
          <w:rFonts w:ascii="宋体" w:hAnsi="宋体" w:eastAsia="宋体" w:cs="宋体"/>
          <w:spacing w:val="9"/>
          <w:sz w:val="20"/>
          <w:szCs w:val="20"/>
        </w:rPr>
        <w:t>免“开口合同”“按实结算”等不规范做法，保障发承包双方合法权益。</w:t>
      </w:r>
    </w:p>
    <w:p>
      <w:pPr>
        <w:spacing w:before="160" w:line="332" w:lineRule="auto"/>
        <w:ind w:left="15" w:right="100" w:firstLine="424"/>
        <w:rPr>
          <w:rFonts w:ascii="宋体" w:hAnsi="宋体" w:eastAsia="宋体" w:cs="宋体"/>
          <w:sz w:val="20"/>
          <w:szCs w:val="20"/>
        </w:rPr>
      </w:pPr>
      <w:r>
        <w:rPr>
          <w:rFonts w:ascii="宋体" w:hAnsi="宋体" w:eastAsia="宋体" w:cs="宋体"/>
          <w:b/>
          <w:bCs/>
          <w:spacing w:val="10"/>
          <w:sz w:val="20"/>
          <w:szCs w:val="20"/>
        </w:rPr>
        <w:t>三、明确约定结算期限。</w:t>
      </w:r>
      <w:r>
        <w:rPr>
          <w:rFonts w:ascii="宋体" w:hAnsi="宋体" w:eastAsia="宋体" w:cs="宋体"/>
          <w:spacing w:val="10"/>
          <w:sz w:val="20"/>
          <w:szCs w:val="20"/>
        </w:rPr>
        <w:t>鼓励发承包双方在合同中明确约定结算审核期限，并列明发包人未</w:t>
      </w:r>
      <w:r>
        <w:rPr>
          <w:rFonts w:ascii="宋体" w:hAnsi="宋体" w:eastAsia="宋体" w:cs="宋体"/>
          <w:spacing w:val="11"/>
          <w:sz w:val="20"/>
          <w:szCs w:val="20"/>
        </w:rPr>
        <w:t>按时完成结算审核的赔偿责任。审核期限原则上自承包方提交真实</w:t>
      </w:r>
      <w:r>
        <w:rPr>
          <w:rFonts w:ascii="宋体" w:hAnsi="宋体" w:eastAsia="宋体" w:cs="宋体"/>
          <w:spacing w:val="10"/>
          <w:sz w:val="20"/>
          <w:szCs w:val="20"/>
        </w:rPr>
        <w:t>、完整的结算送审资料至发包方出具结算审核报告最长不超过</w:t>
      </w:r>
      <w:r>
        <w:rPr>
          <w:rFonts w:ascii="宋体" w:hAnsi="宋体" w:eastAsia="宋体" w:cs="宋体"/>
          <w:spacing w:val="-29"/>
          <w:sz w:val="20"/>
          <w:szCs w:val="20"/>
        </w:rPr>
        <w:t xml:space="preserve"> </w:t>
      </w:r>
      <w:r>
        <w:rPr>
          <w:rFonts w:ascii="宋体" w:hAnsi="宋体" w:eastAsia="宋体" w:cs="宋体"/>
          <w:spacing w:val="10"/>
          <w:sz w:val="20"/>
          <w:szCs w:val="20"/>
        </w:rPr>
        <w:t>6</w:t>
      </w:r>
      <w:r>
        <w:rPr>
          <w:rFonts w:ascii="宋体" w:hAnsi="宋体" w:eastAsia="宋体" w:cs="宋体"/>
          <w:spacing w:val="-45"/>
          <w:sz w:val="20"/>
          <w:szCs w:val="20"/>
        </w:rPr>
        <w:t xml:space="preserve"> </w:t>
      </w:r>
      <w:r>
        <w:rPr>
          <w:rFonts w:ascii="宋体" w:hAnsi="宋体" w:eastAsia="宋体" w:cs="宋体"/>
          <w:spacing w:val="10"/>
          <w:sz w:val="20"/>
          <w:szCs w:val="20"/>
        </w:rPr>
        <w:t>个月。发包人或受其委托的工程造价咨询企业应按照工程合同</w:t>
      </w:r>
      <w:r>
        <w:rPr>
          <w:rFonts w:ascii="宋体" w:hAnsi="宋体" w:eastAsia="宋体" w:cs="宋体"/>
          <w:spacing w:val="9"/>
          <w:sz w:val="20"/>
          <w:szCs w:val="20"/>
        </w:rPr>
        <w:t>约定的期限完成工程结算审核工作。</w:t>
      </w:r>
    </w:p>
    <w:p>
      <w:pPr>
        <w:spacing w:before="164" w:line="319" w:lineRule="auto"/>
        <w:ind w:left="18" w:right="100" w:firstLine="440"/>
        <w:rPr>
          <w:rFonts w:ascii="宋体" w:hAnsi="宋体" w:eastAsia="宋体" w:cs="宋体"/>
          <w:sz w:val="20"/>
          <w:szCs w:val="20"/>
        </w:rPr>
      </w:pPr>
      <w:r>
        <w:rPr>
          <w:rFonts w:ascii="宋体" w:hAnsi="宋体" w:eastAsia="宋体" w:cs="宋体"/>
          <w:b/>
          <w:bCs/>
          <w:spacing w:val="10"/>
          <w:sz w:val="20"/>
          <w:szCs w:val="20"/>
        </w:rPr>
        <w:t>四、加强过程量价管理。</w:t>
      </w:r>
      <w:r>
        <w:rPr>
          <w:rFonts w:ascii="宋体" w:hAnsi="宋体" w:eastAsia="宋体" w:cs="宋体"/>
          <w:spacing w:val="10"/>
          <w:sz w:val="20"/>
          <w:szCs w:val="20"/>
        </w:rPr>
        <w:t>在工程实施阶段，发承包双</w:t>
      </w:r>
      <w:r>
        <w:rPr>
          <w:rFonts w:ascii="宋体" w:hAnsi="宋体" w:eastAsia="宋体" w:cs="宋体"/>
          <w:spacing w:val="9"/>
          <w:sz w:val="20"/>
          <w:szCs w:val="20"/>
        </w:rPr>
        <w:t>方应及时做好工程量、价、费的核对和</w:t>
      </w:r>
      <w:r>
        <w:rPr>
          <w:rFonts w:ascii="宋体" w:hAnsi="宋体" w:eastAsia="宋体" w:cs="宋体"/>
          <w:spacing w:val="8"/>
          <w:sz w:val="20"/>
          <w:szCs w:val="20"/>
        </w:rPr>
        <w:t>确认，发生争议的可通过召开专家论证会、 申请调解等方式及时处置争议问题。争议问题解决后</w:t>
      </w:r>
      <w:r>
        <w:rPr>
          <w:rFonts w:ascii="宋体" w:hAnsi="宋体" w:eastAsia="宋体" w:cs="宋体"/>
          <w:spacing w:val="9"/>
          <w:sz w:val="20"/>
          <w:szCs w:val="20"/>
        </w:rPr>
        <w:t>确定的工程价款，应根据合同约定一并支付。</w:t>
      </w:r>
    </w:p>
    <w:p>
      <w:pPr>
        <w:spacing w:before="157" w:line="278" w:lineRule="exact"/>
        <w:ind w:right="5"/>
        <w:jc w:val="right"/>
        <w:rPr>
          <w:rFonts w:ascii="宋体" w:hAnsi="宋体" w:eastAsia="宋体" w:cs="宋体"/>
          <w:sz w:val="20"/>
          <w:szCs w:val="20"/>
        </w:rPr>
      </w:pPr>
      <w:r>
        <w:rPr>
          <w:rFonts w:ascii="宋体" w:hAnsi="宋体" w:eastAsia="宋体" w:cs="宋体"/>
          <w:b/>
          <w:bCs/>
          <w:spacing w:val="7"/>
          <w:position w:val="1"/>
          <w:sz w:val="20"/>
          <w:szCs w:val="20"/>
        </w:rPr>
        <w:t>五、及时审核结算资料。</w:t>
      </w:r>
      <w:r>
        <w:rPr>
          <w:rFonts w:ascii="宋体" w:hAnsi="宋体" w:eastAsia="宋体" w:cs="宋体"/>
          <w:spacing w:val="7"/>
          <w:position w:val="1"/>
          <w:sz w:val="20"/>
          <w:szCs w:val="20"/>
        </w:rPr>
        <w:t>工程完工（含阶段完工）后，承包人应在合同约定时限内提交真实、</w:t>
      </w:r>
    </w:p>
    <w:p>
      <w:pPr>
        <w:spacing w:line="278" w:lineRule="exact"/>
        <w:rPr>
          <w:rFonts w:ascii="宋体" w:hAnsi="宋体" w:eastAsia="宋体" w:cs="宋体"/>
          <w:sz w:val="20"/>
          <w:szCs w:val="20"/>
        </w:rPr>
        <w:sectPr>
          <w:footerReference r:id="rId300" w:type="default"/>
          <w:pgSz w:w="11906" w:h="16839"/>
          <w:pgMar w:top="400" w:right="1536" w:bottom="1212" w:left="1403" w:header="0" w:footer="897" w:gutter="0"/>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369" w:lineRule="auto"/>
        <w:ind w:left="7" w:right="215" w:hanging="4"/>
        <w:rPr>
          <w:rFonts w:ascii="宋体" w:hAnsi="宋体" w:eastAsia="宋体" w:cs="宋体"/>
          <w:sz w:val="20"/>
          <w:szCs w:val="20"/>
        </w:rPr>
      </w:pPr>
      <w:r>
        <w:rPr>
          <w:rFonts w:ascii="宋体" w:hAnsi="宋体" w:eastAsia="宋体" w:cs="宋体"/>
          <w:spacing w:val="11"/>
          <w:sz w:val="20"/>
          <w:szCs w:val="20"/>
        </w:rPr>
        <w:t>完整的结算送审资料，不得虚报冒算工程量和工程造价。发包</w:t>
      </w:r>
      <w:r>
        <w:rPr>
          <w:rFonts w:ascii="宋体" w:hAnsi="宋体" w:eastAsia="宋体" w:cs="宋体"/>
          <w:spacing w:val="10"/>
          <w:sz w:val="20"/>
          <w:szCs w:val="20"/>
        </w:rPr>
        <w:t>人应按照合同约定接收、审核送审</w:t>
      </w:r>
      <w:r>
        <w:rPr>
          <w:rFonts w:ascii="宋体" w:hAnsi="宋体" w:eastAsia="宋体" w:cs="宋体"/>
          <w:spacing w:val="8"/>
          <w:sz w:val="20"/>
          <w:szCs w:val="20"/>
        </w:rPr>
        <w:t>资料，不得以单位内部制度等为由拒绝接收。</w:t>
      </w:r>
    </w:p>
    <w:p>
      <w:pPr>
        <w:spacing w:before="3" w:line="364" w:lineRule="auto"/>
        <w:ind w:right="215" w:firstLine="422"/>
        <w:jc w:val="both"/>
        <w:rPr>
          <w:rFonts w:ascii="宋体" w:hAnsi="宋体" w:eastAsia="宋体" w:cs="宋体"/>
          <w:sz w:val="20"/>
          <w:szCs w:val="20"/>
        </w:rPr>
      </w:pPr>
      <w:r>
        <w:rPr>
          <w:rFonts w:ascii="宋体" w:hAnsi="宋体" w:eastAsia="宋体" w:cs="宋体"/>
          <w:b/>
          <w:bCs/>
          <w:spacing w:val="7"/>
          <w:sz w:val="20"/>
          <w:szCs w:val="20"/>
        </w:rPr>
        <w:t>六</w:t>
      </w:r>
      <w:r>
        <w:rPr>
          <w:rFonts w:ascii="宋体" w:hAnsi="宋体" w:eastAsia="宋体" w:cs="宋体"/>
          <w:spacing w:val="31"/>
          <w:sz w:val="20"/>
          <w:szCs w:val="20"/>
        </w:rPr>
        <w:t xml:space="preserve"> </w:t>
      </w:r>
      <w:r>
        <w:rPr>
          <w:rFonts w:ascii="宋体" w:hAnsi="宋体" w:eastAsia="宋体" w:cs="宋体"/>
          <w:b/>
          <w:bCs/>
          <w:spacing w:val="7"/>
          <w:sz w:val="20"/>
          <w:szCs w:val="20"/>
        </w:rPr>
        <w:t>、依约解决结算争议。</w:t>
      </w:r>
      <w:r>
        <w:rPr>
          <w:rFonts w:ascii="宋体" w:hAnsi="宋体" w:eastAsia="宋体" w:cs="宋体"/>
          <w:spacing w:val="7"/>
          <w:sz w:val="20"/>
          <w:szCs w:val="20"/>
        </w:rPr>
        <w:t>工程结算审核阶段，发承包双方对工程计量、计价等</w:t>
      </w:r>
      <w:r>
        <w:rPr>
          <w:rFonts w:ascii="宋体" w:hAnsi="宋体" w:eastAsia="宋体" w:cs="宋体"/>
          <w:spacing w:val="6"/>
          <w:sz w:val="20"/>
          <w:szCs w:val="20"/>
        </w:rPr>
        <w:t>有争议的，可</w:t>
      </w:r>
      <w:r>
        <w:rPr>
          <w:rFonts w:ascii="宋体" w:hAnsi="宋体" w:eastAsia="宋体" w:cs="宋体"/>
          <w:spacing w:val="11"/>
          <w:sz w:val="20"/>
          <w:szCs w:val="20"/>
        </w:rPr>
        <w:t>按照合同约定的争议解决机制，通过和解、争议评审、调解、仲裁或</w:t>
      </w:r>
      <w:r>
        <w:rPr>
          <w:rFonts w:ascii="宋体" w:hAnsi="宋体" w:eastAsia="宋体" w:cs="宋体"/>
          <w:spacing w:val="10"/>
          <w:sz w:val="20"/>
          <w:szCs w:val="20"/>
        </w:rPr>
        <w:t>者诉讼等途径解决。其中争</w:t>
      </w:r>
      <w:r>
        <w:rPr>
          <w:rFonts w:ascii="宋体" w:hAnsi="宋体" w:eastAsia="宋体" w:cs="宋体"/>
          <w:spacing w:val="8"/>
          <w:sz w:val="20"/>
          <w:szCs w:val="20"/>
        </w:rPr>
        <w:t>议评审可由行业协会、商会、其他有社会公信力的第三方等组织开展，评审期</w:t>
      </w:r>
      <w:r>
        <w:rPr>
          <w:rFonts w:ascii="宋体" w:hAnsi="宋体" w:eastAsia="宋体" w:cs="宋体"/>
          <w:spacing w:val="7"/>
          <w:sz w:val="20"/>
          <w:szCs w:val="20"/>
        </w:rPr>
        <w:t>限一般不超过</w:t>
      </w:r>
      <w:r>
        <w:rPr>
          <w:rFonts w:ascii="宋体" w:hAnsi="宋体" w:eastAsia="宋体" w:cs="宋体"/>
          <w:spacing w:val="-42"/>
          <w:sz w:val="20"/>
          <w:szCs w:val="20"/>
        </w:rPr>
        <w:t xml:space="preserve"> </w:t>
      </w:r>
      <w:r>
        <w:rPr>
          <w:rFonts w:ascii="宋体" w:hAnsi="宋体" w:eastAsia="宋体" w:cs="宋体"/>
          <w:spacing w:val="7"/>
          <w:sz w:val="20"/>
          <w:szCs w:val="20"/>
        </w:rPr>
        <w:t>50</w:t>
      </w:r>
      <w:r>
        <w:rPr>
          <w:rFonts w:ascii="宋体" w:hAnsi="宋体" w:eastAsia="宋体" w:cs="宋体"/>
          <w:spacing w:val="-42"/>
          <w:sz w:val="20"/>
          <w:szCs w:val="20"/>
        </w:rPr>
        <w:t xml:space="preserve"> </w:t>
      </w:r>
      <w:r>
        <w:rPr>
          <w:rFonts w:ascii="宋体" w:hAnsi="宋体" w:eastAsia="宋体" w:cs="宋体"/>
          <w:spacing w:val="7"/>
          <w:sz w:val="20"/>
          <w:szCs w:val="20"/>
        </w:rPr>
        <w:t>个</w:t>
      </w:r>
      <w:r>
        <w:rPr>
          <w:rFonts w:ascii="宋体" w:hAnsi="宋体" w:eastAsia="宋体" w:cs="宋体"/>
          <w:spacing w:val="6"/>
          <w:sz w:val="20"/>
          <w:szCs w:val="20"/>
        </w:rPr>
        <w:t>工作日。</w:t>
      </w:r>
    </w:p>
    <w:p>
      <w:pPr>
        <w:spacing w:before="19" w:line="344" w:lineRule="auto"/>
        <w:ind w:right="134" w:firstLine="421"/>
        <w:rPr>
          <w:rFonts w:ascii="宋体" w:hAnsi="宋体" w:eastAsia="宋体" w:cs="宋体"/>
          <w:sz w:val="20"/>
          <w:szCs w:val="20"/>
        </w:rPr>
      </w:pPr>
      <w:r>
        <w:rPr>
          <w:rFonts w:ascii="宋体" w:hAnsi="宋体" w:eastAsia="宋体" w:cs="宋体"/>
          <w:b/>
          <w:bCs/>
          <w:spacing w:val="10"/>
          <w:sz w:val="20"/>
          <w:szCs w:val="20"/>
        </w:rPr>
        <w:t>七、先行结算无争议价款。</w:t>
      </w:r>
      <w:r>
        <w:rPr>
          <w:rFonts w:ascii="宋体" w:hAnsi="宋体" w:eastAsia="宋体" w:cs="宋体"/>
          <w:spacing w:val="10"/>
          <w:sz w:val="20"/>
          <w:szCs w:val="20"/>
        </w:rPr>
        <w:t>因工程计量、计价等争议，导致发包人或受其委托的工程造价咨</w:t>
      </w:r>
      <w:r>
        <w:rPr>
          <w:rFonts w:ascii="宋体" w:hAnsi="宋体" w:eastAsia="宋体" w:cs="宋体"/>
          <w:spacing w:val="11"/>
          <w:sz w:val="20"/>
          <w:szCs w:val="20"/>
        </w:rPr>
        <w:t>询企业不能在合同约定期限内完成工程结算审核的，应先行出具无争</w:t>
      </w:r>
      <w:r>
        <w:rPr>
          <w:rFonts w:ascii="宋体" w:hAnsi="宋体" w:eastAsia="宋体" w:cs="宋体"/>
          <w:spacing w:val="10"/>
          <w:sz w:val="20"/>
          <w:szCs w:val="20"/>
        </w:rPr>
        <w:t>议部分结算审核报告。无争</w:t>
      </w:r>
      <w:r>
        <w:rPr>
          <w:rFonts w:ascii="宋体" w:hAnsi="宋体" w:eastAsia="宋体" w:cs="宋体"/>
          <w:spacing w:val="8"/>
          <w:sz w:val="20"/>
          <w:szCs w:val="20"/>
        </w:rPr>
        <w:t>议部分结算审核报告应明确无争议工程量、价款，并对争议部分造成</w:t>
      </w:r>
      <w:r>
        <w:rPr>
          <w:rFonts w:ascii="宋体" w:hAnsi="宋体" w:eastAsia="宋体" w:cs="宋体"/>
          <w:spacing w:val="7"/>
          <w:sz w:val="20"/>
          <w:szCs w:val="20"/>
        </w:rPr>
        <w:t>原因，双方各自主张，调解、</w:t>
      </w:r>
      <w:r>
        <w:rPr>
          <w:rFonts w:ascii="宋体" w:hAnsi="宋体" w:eastAsia="宋体" w:cs="宋体"/>
          <w:spacing w:val="11"/>
          <w:sz w:val="20"/>
          <w:szCs w:val="20"/>
        </w:rPr>
        <w:t>争议评审（如有）意见，工程造价咨询企业建议意见等内容予以明确</w:t>
      </w:r>
      <w:r>
        <w:rPr>
          <w:rFonts w:ascii="宋体" w:hAnsi="宋体" w:eastAsia="宋体" w:cs="宋体"/>
          <w:spacing w:val="10"/>
          <w:sz w:val="20"/>
          <w:szCs w:val="20"/>
        </w:rPr>
        <w:t>。发包人应按合同约定及时</w:t>
      </w:r>
      <w:r>
        <w:rPr>
          <w:rFonts w:ascii="宋体" w:hAnsi="宋体" w:eastAsia="宋体" w:cs="宋体"/>
          <w:spacing w:val="11"/>
          <w:sz w:val="20"/>
          <w:szCs w:val="20"/>
        </w:rPr>
        <w:t>支付无争议部分工程价款，不得以审计或结算审核结果未出具为由拒</w:t>
      </w:r>
      <w:r>
        <w:rPr>
          <w:rFonts w:ascii="宋体" w:hAnsi="宋体" w:eastAsia="宋体" w:cs="宋体"/>
          <w:spacing w:val="10"/>
          <w:sz w:val="20"/>
          <w:szCs w:val="20"/>
        </w:rPr>
        <w:t>绝或者延迟支付应当支付的</w:t>
      </w:r>
      <w:r>
        <w:rPr>
          <w:rFonts w:ascii="宋体" w:hAnsi="宋体" w:eastAsia="宋体" w:cs="宋体"/>
          <w:spacing w:val="7"/>
          <w:sz w:val="20"/>
          <w:szCs w:val="20"/>
        </w:rPr>
        <w:t>工程价款。</w:t>
      </w:r>
    </w:p>
    <w:p>
      <w:pPr>
        <w:spacing w:before="161" w:line="332" w:lineRule="auto"/>
        <w:ind w:right="215" w:firstLine="419"/>
        <w:rPr>
          <w:rFonts w:ascii="宋体" w:hAnsi="宋体" w:eastAsia="宋体" w:cs="宋体"/>
          <w:sz w:val="20"/>
          <w:szCs w:val="20"/>
        </w:rPr>
      </w:pPr>
      <w:r>
        <w:rPr>
          <w:rFonts w:ascii="宋体" w:hAnsi="宋体" w:eastAsia="宋体" w:cs="宋体"/>
          <w:b/>
          <w:bCs/>
          <w:spacing w:val="10"/>
          <w:sz w:val="20"/>
          <w:szCs w:val="20"/>
        </w:rPr>
        <w:t>八、公平开展结算审核。</w:t>
      </w:r>
      <w:r>
        <w:rPr>
          <w:rFonts w:ascii="宋体" w:hAnsi="宋体" w:eastAsia="宋体" w:cs="宋体"/>
          <w:spacing w:val="10"/>
          <w:sz w:val="20"/>
          <w:szCs w:val="20"/>
        </w:rPr>
        <w:t>受委托开展结算审核业务的工程造价咨询企业应按照造价咨询服务</w:t>
      </w:r>
      <w:r>
        <w:rPr>
          <w:rFonts w:ascii="宋体" w:hAnsi="宋体" w:eastAsia="宋体" w:cs="宋体"/>
          <w:spacing w:val="11"/>
          <w:sz w:val="20"/>
          <w:szCs w:val="20"/>
        </w:rPr>
        <w:t>规范要求，遵循客观公正、诚实守信、法定优先、有约从约的原则</w:t>
      </w:r>
      <w:r>
        <w:rPr>
          <w:rFonts w:ascii="宋体" w:hAnsi="宋体" w:eastAsia="宋体" w:cs="宋体"/>
          <w:spacing w:val="10"/>
          <w:sz w:val="20"/>
          <w:szCs w:val="20"/>
        </w:rPr>
        <w:t>，严格按照发承包双方合同约</w:t>
      </w:r>
      <w:r>
        <w:rPr>
          <w:rFonts w:ascii="宋体" w:hAnsi="宋体" w:eastAsia="宋体" w:cs="宋体"/>
          <w:spacing w:val="8"/>
          <w:sz w:val="20"/>
          <w:szCs w:val="20"/>
        </w:rPr>
        <w:t>定及相关法律法规、计价依据规定开展工作，不得以“ 审减率”为唯一导向，不合理压缩扣减结</w:t>
      </w:r>
      <w:r>
        <w:rPr>
          <w:rFonts w:ascii="宋体" w:hAnsi="宋体" w:eastAsia="宋体" w:cs="宋体"/>
          <w:spacing w:val="6"/>
          <w:sz w:val="20"/>
          <w:szCs w:val="20"/>
        </w:rPr>
        <w:t>算价款。</w:t>
      </w:r>
    </w:p>
    <w:p>
      <w:pPr>
        <w:spacing w:before="162" w:line="296" w:lineRule="auto"/>
        <w:ind w:right="215" w:firstLine="423"/>
        <w:rPr>
          <w:rFonts w:ascii="宋体" w:hAnsi="宋体" w:eastAsia="宋体" w:cs="宋体"/>
          <w:sz w:val="20"/>
          <w:szCs w:val="20"/>
        </w:rPr>
      </w:pPr>
      <w:r>
        <w:rPr>
          <w:rFonts w:ascii="宋体" w:hAnsi="宋体" w:eastAsia="宋体" w:cs="宋体"/>
          <w:b/>
          <w:bCs/>
          <w:spacing w:val="10"/>
          <w:sz w:val="20"/>
          <w:szCs w:val="20"/>
        </w:rPr>
        <w:t>九、规范结算审核管理。</w:t>
      </w:r>
      <w:r>
        <w:rPr>
          <w:rFonts w:ascii="宋体" w:hAnsi="宋体" w:eastAsia="宋体" w:cs="宋体"/>
          <w:spacing w:val="10"/>
          <w:sz w:val="20"/>
          <w:szCs w:val="20"/>
        </w:rPr>
        <w:t>各级住房城乡建设部门要督促发承包双方和工程造价咨询企业及从业人员依法依规开展工程价款结算与支付、工程造价咨询活动</w:t>
      </w:r>
      <w:r>
        <w:rPr>
          <w:rFonts w:ascii="宋体" w:hAnsi="宋体" w:eastAsia="宋体" w:cs="宋体"/>
          <w:spacing w:val="9"/>
          <w:sz w:val="20"/>
          <w:szCs w:val="20"/>
        </w:rPr>
        <w:t>，对违法违规行为依法实施处罚。</w:t>
      </w:r>
    </w:p>
    <w:p>
      <w:pPr>
        <w:spacing w:before="156" w:line="340" w:lineRule="auto"/>
        <w:ind w:left="2" w:right="215" w:firstLine="427"/>
        <w:rPr>
          <w:rFonts w:ascii="宋体" w:hAnsi="宋体" w:eastAsia="宋体" w:cs="宋体"/>
          <w:sz w:val="20"/>
          <w:szCs w:val="20"/>
        </w:rPr>
      </w:pPr>
      <w:r>
        <w:rPr>
          <w:rFonts w:ascii="宋体" w:hAnsi="宋体" w:eastAsia="宋体" w:cs="宋体"/>
          <w:b/>
          <w:bCs/>
          <w:spacing w:val="10"/>
          <w:sz w:val="20"/>
          <w:szCs w:val="20"/>
        </w:rPr>
        <w:t>十、强化价款支付监管。</w:t>
      </w:r>
      <w:r>
        <w:rPr>
          <w:rFonts w:ascii="宋体" w:hAnsi="宋体" w:eastAsia="宋体" w:cs="宋体"/>
          <w:spacing w:val="10"/>
          <w:sz w:val="20"/>
          <w:szCs w:val="20"/>
        </w:rPr>
        <w:t>各级住房城乡建设、发展改革、财政、国有资产监督管理部</w:t>
      </w:r>
      <w:r>
        <w:rPr>
          <w:rFonts w:ascii="宋体" w:hAnsi="宋体" w:eastAsia="宋体" w:cs="宋体"/>
          <w:spacing w:val="9"/>
          <w:sz w:val="20"/>
          <w:szCs w:val="20"/>
        </w:rPr>
        <w:t>门依据</w:t>
      </w:r>
      <w:r>
        <w:rPr>
          <w:rFonts w:ascii="宋体" w:hAnsi="宋体" w:eastAsia="宋体" w:cs="宋体"/>
          <w:spacing w:val="8"/>
          <w:sz w:val="20"/>
          <w:szCs w:val="20"/>
        </w:rPr>
        <w:t>各自职责加强工程无争议价款结算支付工作的监督管理。对发现未按规定支付工程款的， 由行业主管部门将认定的违约失信情况推送至省公共信用信息平台,计入相关主体名下，形成失信记录。</w:t>
      </w:r>
      <w:r>
        <w:rPr>
          <w:rFonts w:ascii="宋体" w:hAnsi="宋体" w:eastAsia="宋体" w:cs="宋体"/>
          <w:spacing w:val="4"/>
          <w:sz w:val="20"/>
          <w:szCs w:val="20"/>
        </w:rPr>
        <w:t xml:space="preserve"> </w:t>
      </w:r>
      <w:r>
        <w:rPr>
          <w:rFonts w:ascii="宋体" w:hAnsi="宋体" w:eastAsia="宋体" w:cs="宋体"/>
          <w:spacing w:val="8"/>
          <w:sz w:val="20"/>
          <w:szCs w:val="20"/>
        </w:rPr>
        <w:t>2025</w:t>
      </w:r>
      <w:r>
        <w:rPr>
          <w:rFonts w:ascii="宋体" w:hAnsi="宋体" w:eastAsia="宋体" w:cs="宋体"/>
          <w:spacing w:val="-39"/>
          <w:sz w:val="20"/>
          <w:szCs w:val="20"/>
        </w:rPr>
        <w:t xml:space="preserve"> </w:t>
      </w:r>
      <w:r>
        <w:rPr>
          <w:rFonts w:ascii="宋体" w:hAnsi="宋体" w:eastAsia="宋体" w:cs="宋体"/>
          <w:spacing w:val="8"/>
          <w:sz w:val="20"/>
          <w:szCs w:val="20"/>
        </w:rPr>
        <w:t>年</w:t>
      </w:r>
      <w:r>
        <w:rPr>
          <w:rFonts w:ascii="宋体" w:hAnsi="宋体" w:eastAsia="宋体" w:cs="宋体"/>
          <w:spacing w:val="-39"/>
          <w:sz w:val="20"/>
          <w:szCs w:val="20"/>
        </w:rPr>
        <w:t xml:space="preserve"> </w:t>
      </w:r>
      <w:r>
        <w:rPr>
          <w:rFonts w:ascii="宋体" w:hAnsi="宋体" w:eastAsia="宋体" w:cs="宋体"/>
          <w:spacing w:val="8"/>
          <w:sz w:val="20"/>
          <w:szCs w:val="20"/>
        </w:rPr>
        <w:t>9</w:t>
      </w:r>
      <w:r>
        <w:rPr>
          <w:rFonts w:ascii="宋体" w:hAnsi="宋体" w:eastAsia="宋体" w:cs="宋体"/>
          <w:spacing w:val="-38"/>
          <w:sz w:val="20"/>
          <w:szCs w:val="20"/>
        </w:rPr>
        <w:t xml:space="preserve"> </w:t>
      </w:r>
      <w:r>
        <w:rPr>
          <w:rFonts w:ascii="宋体" w:hAnsi="宋体" w:eastAsia="宋体" w:cs="宋体"/>
          <w:spacing w:val="8"/>
          <w:sz w:val="20"/>
          <w:szCs w:val="20"/>
        </w:rPr>
        <w:t>月</w:t>
      </w:r>
      <w:r>
        <w:rPr>
          <w:rFonts w:ascii="宋体" w:hAnsi="宋体" w:eastAsia="宋体" w:cs="宋体"/>
          <w:spacing w:val="-25"/>
          <w:sz w:val="20"/>
          <w:szCs w:val="20"/>
        </w:rPr>
        <w:t xml:space="preserve"> </w:t>
      </w:r>
      <w:r>
        <w:rPr>
          <w:rFonts w:ascii="宋体" w:hAnsi="宋体" w:eastAsia="宋体" w:cs="宋体"/>
          <w:spacing w:val="8"/>
          <w:sz w:val="20"/>
          <w:szCs w:val="20"/>
        </w:rPr>
        <w:t>1</w:t>
      </w:r>
      <w:r>
        <w:rPr>
          <w:rFonts w:ascii="宋体" w:hAnsi="宋体" w:eastAsia="宋体" w:cs="宋体"/>
          <w:spacing w:val="57"/>
          <w:sz w:val="20"/>
          <w:szCs w:val="20"/>
        </w:rPr>
        <w:t xml:space="preserve"> </w:t>
      </w:r>
      <w:r>
        <w:rPr>
          <w:rFonts w:ascii="宋体" w:hAnsi="宋体" w:eastAsia="宋体" w:cs="宋体"/>
          <w:spacing w:val="8"/>
          <w:sz w:val="20"/>
          <w:szCs w:val="20"/>
        </w:rPr>
        <w:t>日 以后签订工程合同的政府投资和</w:t>
      </w:r>
      <w:r>
        <w:rPr>
          <w:rFonts w:ascii="宋体" w:hAnsi="宋体" w:eastAsia="宋体" w:cs="宋体"/>
          <w:spacing w:val="7"/>
          <w:sz w:val="20"/>
          <w:szCs w:val="20"/>
        </w:rPr>
        <w:t>国有投资工程项目按照本意见执行，其他投资</w:t>
      </w:r>
      <w:r>
        <w:rPr>
          <w:rFonts w:ascii="宋体" w:hAnsi="宋体" w:eastAsia="宋体" w:cs="宋体"/>
          <w:spacing w:val="8"/>
          <w:sz w:val="20"/>
          <w:szCs w:val="20"/>
        </w:rPr>
        <w:t>项目可参照执行。</w:t>
      </w: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66" w:line="220" w:lineRule="auto"/>
        <w:ind w:left="4042"/>
        <w:rPr>
          <w:rFonts w:ascii="宋体" w:hAnsi="宋体" w:eastAsia="宋体" w:cs="宋体"/>
          <w:sz w:val="20"/>
          <w:szCs w:val="20"/>
        </w:rPr>
      </w:pPr>
      <w:r>
        <w:rPr>
          <w:rFonts w:ascii="宋体" w:hAnsi="宋体" w:eastAsia="宋体" w:cs="宋体"/>
          <w:spacing w:val="8"/>
          <w:sz w:val="20"/>
          <w:szCs w:val="20"/>
        </w:rPr>
        <w:t>山东省住房和城乡建设厅  山东省发展和改革委员会</w:t>
      </w:r>
    </w:p>
    <w:p>
      <w:pPr>
        <w:spacing w:before="162" w:line="219" w:lineRule="auto"/>
        <w:ind w:left="4673"/>
        <w:rPr>
          <w:rFonts w:ascii="宋体" w:hAnsi="宋体" w:eastAsia="宋体" w:cs="宋体"/>
          <w:sz w:val="20"/>
          <w:szCs w:val="20"/>
        </w:rPr>
      </w:pPr>
      <w:r>
        <w:rPr>
          <w:rFonts w:ascii="宋体" w:hAnsi="宋体" w:eastAsia="宋体" w:cs="宋体"/>
          <w:spacing w:val="7"/>
          <w:sz w:val="20"/>
          <w:szCs w:val="20"/>
        </w:rPr>
        <w:t>山东省财政厅      山东省人民政府国有资产</w:t>
      </w:r>
    </w:p>
    <w:p>
      <w:pPr>
        <w:spacing w:before="164" w:line="218" w:lineRule="auto"/>
        <w:ind w:left="7386"/>
        <w:rPr>
          <w:rFonts w:ascii="宋体" w:hAnsi="宋体" w:eastAsia="宋体" w:cs="宋体"/>
          <w:sz w:val="20"/>
          <w:szCs w:val="20"/>
        </w:rPr>
      </w:pPr>
      <w:r>
        <w:rPr>
          <w:rFonts w:ascii="宋体" w:hAnsi="宋体" w:eastAsia="宋体" w:cs="宋体"/>
          <w:spacing w:val="9"/>
          <w:sz w:val="20"/>
          <w:szCs w:val="20"/>
        </w:rPr>
        <w:t>监督管理委员会</w:t>
      </w:r>
    </w:p>
    <w:p>
      <w:pPr>
        <w:spacing w:before="159" w:line="278" w:lineRule="exact"/>
        <w:ind w:left="7184"/>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7"/>
          <w:position w:val="1"/>
          <w:sz w:val="20"/>
          <w:szCs w:val="20"/>
        </w:rPr>
        <w:t xml:space="preserve"> </w:t>
      </w:r>
      <w:r>
        <w:rPr>
          <w:rFonts w:ascii="宋体" w:hAnsi="宋体" w:eastAsia="宋体" w:cs="宋体"/>
          <w:spacing w:val="1"/>
          <w:position w:val="1"/>
          <w:sz w:val="20"/>
          <w:szCs w:val="20"/>
        </w:rPr>
        <w:t>8</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27</w:t>
      </w:r>
      <w:r>
        <w:rPr>
          <w:rFonts w:ascii="宋体" w:hAnsi="宋体" w:eastAsia="宋体" w:cs="宋体"/>
          <w:spacing w:val="57"/>
          <w:position w:val="1"/>
          <w:sz w:val="20"/>
          <w:szCs w:val="20"/>
        </w:rPr>
        <w:t xml:space="preserve"> </w:t>
      </w:r>
      <w:r>
        <w:rPr>
          <w:rFonts w:ascii="宋体" w:hAnsi="宋体" w:eastAsia="宋体" w:cs="宋体"/>
          <w:spacing w:val="1"/>
          <w:position w:val="1"/>
          <w:sz w:val="20"/>
          <w:szCs w:val="20"/>
        </w:rPr>
        <w:t>日</w:t>
      </w:r>
    </w:p>
    <w:p>
      <w:pPr>
        <w:spacing w:line="278" w:lineRule="exact"/>
        <w:rPr>
          <w:rFonts w:ascii="宋体" w:hAnsi="宋体" w:eastAsia="宋体" w:cs="宋体"/>
          <w:sz w:val="20"/>
          <w:szCs w:val="20"/>
        </w:rPr>
        <w:sectPr>
          <w:footerReference r:id="rId301" w:type="default"/>
          <w:pgSz w:w="11906" w:h="16839"/>
          <w:pgMar w:top="400" w:right="1420" w:bottom="1212" w:left="1417" w:header="0" w:footer="897"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2576"/>
        <w:outlineLvl w:val="0"/>
        <w:rPr>
          <w:rFonts w:ascii="方正小标宋简体" w:hAnsi="方正小标宋简体" w:eastAsia="方正小标宋简体" w:cs="方正小标宋简体"/>
          <w:sz w:val="35"/>
          <w:szCs w:val="35"/>
        </w:rPr>
      </w:pPr>
      <w:bookmarkStart w:id="222" w:name="bookmark126"/>
      <w:bookmarkEnd w:id="222"/>
      <w:r>
        <w:rPr>
          <w:rFonts w:ascii="方正小标宋简体" w:hAnsi="方正小标宋简体" w:eastAsia="方正小标宋简体" w:cs="方正小标宋简体"/>
          <w:spacing w:val="8"/>
          <w:sz w:val="35"/>
          <w:szCs w:val="35"/>
        </w:rPr>
        <w:t>山东省住房和城乡建设厅</w:t>
      </w:r>
    </w:p>
    <w:p>
      <w:pPr>
        <w:spacing w:before="110"/>
        <w:ind w:left="1118"/>
        <w:outlineLvl w:val="0"/>
        <w:rPr>
          <w:rFonts w:ascii="方正小标宋简体" w:hAnsi="方正小标宋简体" w:eastAsia="方正小标宋简体" w:cs="方正小标宋简体"/>
          <w:sz w:val="35"/>
          <w:szCs w:val="35"/>
        </w:rPr>
      </w:pPr>
      <w:bookmarkStart w:id="223" w:name="bookmark126"/>
      <w:bookmarkEnd w:id="223"/>
      <w:r>
        <w:rPr>
          <w:rFonts w:ascii="方正小标宋简体" w:hAnsi="方正小标宋简体" w:eastAsia="方正小标宋简体" w:cs="方正小标宋简体"/>
          <w:spacing w:val="9"/>
          <w:sz w:val="35"/>
          <w:szCs w:val="35"/>
        </w:rPr>
        <w:t>关于规范造价咨询活动提高结算质量的通知</w:t>
      </w:r>
    </w:p>
    <w:p>
      <w:pPr>
        <w:spacing w:line="251" w:lineRule="auto"/>
        <w:rPr>
          <w:rFonts w:ascii="Arial"/>
          <w:sz w:val="21"/>
        </w:rPr>
      </w:pPr>
    </w:p>
    <w:p>
      <w:pPr>
        <w:spacing w:before="91" w:line="214" w:lineRule="auto"/>
        <w:ind w:left="2912"/>
        <w:outlineLvl w:val="0"/>
        <w:rPr>
          <w:rFonts w:ascii="KaiTi_GB2312" w:hAnsi="KaiTi_GB2312" w:eastAsia="KaiTi_GB2312" w:cs="KaiTi_GB2312"/>
          <w:sz w:val="28"/>
          <w:szCs w:val="28"/>
        </w:rPr>
      </w:pPr>
      <w:bookmarkStart w:id="224" w:name="bookmark127"/>
      <w:bookmarkEnd w:id="224"/>
      <w:r>
        <w:rPr>
          <w:rFonts w:ascii="KaiTi_GB2312" w:hAnsi="KaiTi_GB2312" w:eastAsia="KaiTi_GB2312" w:cs="KaiTi_GB2312"/>
          <w:spacing w:val="1"/>
          <w:sz w:val="28"/>
          <w:szCs w:val="28"/>
        </w:rPr>
        <w:t>鲁建建管字〔2025〕8</w:t>
      </w:r>
      <w:r>
        <w:rPr>
          <w:rFonts w:ascii="KaiTi_GB2312" w:hAnsi="KaiTi_GB2312" w:eastAsia="KaiTi_GB2312" w:cs="KaiTi_GB2312"/>
          <w:spacing w:val="-42"/>
          <w:sz w:val="28"/>
          <w:szCs w:val="28"/>
        </w:rPr>
        <w:t xml:space="preserve"> </w:t>
      </w:r>
      <w:r>
        <w:rPr>
          <w:rFonts w:ascii="KaiTi_GB2312" w:hAnsi="KaiTi_GB2312" w:eastAsia="KaiTi_GB2312" w:cs="KaiTi_GB2312"/>
          <w:spacing w:val="1"/>
          <w:sz w:val="28"/>
          <w:szCs w:val="28"/>
        </w:rPr>
        <w:t>号</w:t>
      </w:r>
    </w:p>
    <w:p>
      <w:pPr>
        <w:spacing w:line="427" w:lineRule="auto"/>
        <w:rPr>
          <w:rFonts w:ascii="Arial"/>
          <w:sz w:val="21"/>
        </w:rPr>
      </w:pPr>
    </w:p>
    <w:p>
      <w:pPr>
        <w:spacing w:before="65" w:line="368" w:lineRule="auto"/>
        <w:ind w:left="4" w:right="1" w:hanging="1"/>
        <w:rPr>
          <w:rFonts w:ascii="宋体" w:hAnsi="宋体" w:eastAsia="宋体" w:cs="宋体"/>
          <w:sz w:val="20"/>
          <w:szCs w:val="20"/>
        </w:rPr>
      </w:pPr>
      <w:r>
        <w:rPr>
          <w:rFonts w:ascii="宋体" w:hAnsi="宋体" w:eastAsia="宋体" w:cs="宋体"/>
          <w:spacing w:val="11"/>
          <w:sz w:val="20"/>
          <w:szCs w:val="20"/>
        </w:rPr>
        <w:t>各市住房城乡建设局、城市管理局，济南、青岛、淄博、枣庄、东营</w:t>
      </w:r>
      <w:r>
        <w:rPr>
          <w:rFonts w:ascii="宋体" w:hAnsi="宋体" w:eastAsia="宋体" w:cs="宋体"/>
          <w:spacing w:val="10"/>
          <w:sz w:val="20"/>
          <w:szCs w:val="20"/>
        </w:rPr>
        <w:t>、济宁、威海、滨州、菏泽</w:t>
      </w:r>
      <w:r>
        <w:rPr>
          <w:rFonts w:ascii="宋体" w:hAnsi="宋体" w:eastAsia="宋体" w:cs="宋体"/>
          <w:spacing w:val="7"/>
          <w:sz w:val="20"/>
          <w:szCs w:val="20"/>
        </w:rPr>
        <w:t>市水务（水利）局，济南、青岛市园林和林业（绿化）局，济南市城乡交通运输局，各有关单位：</w:t>
      </w:r>
    </w:p>
    <w:p>
      <w:pPr>
        <w:spacing w:before="1" w:line="358" w:lineRule="auto"/>
        <w:ind w:left="3" w:firstLine="425"/>
        <w:jc w:val="both"/>
        <w:rPr>
          <w:rFonts w:ascii="宋体" w:hAnsi="宋体" w:eastAsia="宋体" w:cs="宋体"/>
          <w:sz w:val="20"/>
          <w:szCs w:val="20"/>
        </w:rPr>
      </w:pPr>
      <w:r>
        <w:rPr>
          <w:rFonts w:ascii="宋体" w:hAnsi="宋体" w:eastAsia="宋体" w:cs="宋体"/>
          <w:spacing w:val="7"/>
          <w:sz w:val="20"/>
          <w:szCs w:val="20"/>
        </w:rPr>
        <w:t>为落实《关于推动建筑业高质量发展助力经济稳增长的工作方案》 ，优化建筑业发</w:t>
      </w:r>
      <w:r>
        <w:rPr>
          <w:rFonts w:ascii="宋体" w:hAnsi="宋体" w:eastAsia="宋体" w:cs="宋体"/>
          <w:spacing w:val="6"/>
          <w:sz w:val="20"/>
          <w:szCs w:val="20"/>
        </w:rPr>
        <w:t>展环境 ，</w:t>
      </w:r>
      <w:r>
        <w:rPr>
          <w:rFonts w:ascii="宋体" w:hAnsi="宋体" w:eastAsia="宋体" w:cs="宋体"/>
          <w:spacing w:val="8"/>
          <w:sz w:val="20"/>
          <w:szCs w:val="20"/>
        </w:rPr>
        <w:t>维护项目参建主体合法权益 ，根据《建筑工程施工发包与承包计价管理办法》《山东省建设工程</w:t>
      </w:r>
      <w:r>
        <w:rPr>
          <w:rFonts w:ascii="宋体" w:hAnsi="宋体" w:eastAsia="宋体" w:cs="宋体"/>
          <w:spacing w:val="7"/>
          <w:sz w:val="20"/>
          <w:szCs w:val="20"/>
        </w:rPr>
        <w:t>造价管理办法》《财政部 建设部关于印发〈建设工程价款结算暂行办法〉的通知》等有关规定 ，</w:t>
      </w:r>
      <w:r>
        <w:rPr>
          <w:rFonts w:ascii="宋体" w:hAnsi="宋体" w:eastAsia="宋体" w:cs="宋体"/>
          <w:spacing w:val="9"/>
          <w:sz w:val="20"/>
          <w:szCs w:val="20"/>
        </w:rPr>
        <w:t>现就规范工程造价咨询活动提高结算质量等有关要求通知如下。</w:t>
      </w:r>
    </w:p>
    <w:p>
      <w:pPr>
        <w:spacing w:before="53" w:line="219" w:lineRule="auto"/>
        <w:ind w:left="423"/>
        <w:rPr>
          <w:rFonts w:ascii="宋体" w:hAnsi="宋体" w:eastAsia="宋体" w:cs="宋体"/>
          <w:sz w:val="20"/>
          <w:szCs w:val="20"/>
        </w:rPr>
      </w:pPr>
      <w:r>
        <w:rPr>
          <w:rFonts w:ascii="宋体" w:hAnsi="宋体" w:eastAsia="宋体" w:cs="宋体"/>
          <w:b/>
          <w:bCs/>
          <w:spacing w:val="8"/>
          <w:sz w:val="20"/>
          <w:szCs w:val="20"/>
        </w:rPr>
        <w:t>一、营造公平有序的造价咨询市场环境</w:t>
      </w:r>
    </w:p>
    <w:p>
      <w:pPr>
        <w:spacing w:before="158" w:line="333" w:lineRule="auto"/>
        <w:ind w:left="1" w:right="64" w:firstLine="413"/>
        <w:rPr>
          <w:rFonts w:ascii="宋体" w:hAnsi="宋体" w:eastAsia="宋体" w:cs="宋体"/>
          <w:sz w:val="20"/>
          <w:szCs w:val="20"/>
        </w:rPr>
      </w:pPr>
      <w:r>
        <w:rPr>
          <w:rFonts w:ascii="宋体" w:hAnsi="宋体" w:eastAsia="宋体" w:cs="宋体"/>
          <w:b/>
          <w:bCs/>
          <w:spacing w:val="10"/>
          <w:sz w:val="20"/>
          <w:szCs w:val="20"/>
        </w:rPr>
        <w:t>（一）择优选用咨询服务。</w:t>
      </w:r>
      <w:r>
        <w:rPr>
          <w:rFonts w:ascii="宋体" w:hAnsi="宋体" w:eastAsia="宋体" w:cs="宋体"/>
          <w:spacing w:val="10"/>
          <w:sz w:val="20"/>
          <w:szCs w:val="20"/>
        </w:rPr>
        <w:t>鼓励建设单位通过公共资源交易平台采取公开招标方式选定造价</w:t>
      </w:r>
      <w:r>
        <w:rPr>
          <w:rFonts w:ascii="宋体" w:hAnsi="宋体" w:eastAsia="宋体" w:cs="宋体"/>
          <w:spacing w:val="11"/>
          <w:sz w:val="20"/>
          <w:szCs w:val="20"/>
        </w:rPr>
        <w:t>咨询服务，使用国家和省、市造价咨询服务招标文件示范文本、合同示范</w:t>
      </w:r>
      <w:r>
        <w:rPr>
          <w:rFonts w:ascii="宋体" w:hAnsi="宋体" w:eastAsia="宋体" w:cs="宋体"/>
          <w:spacing w:val="10"/>
          <w:sz w:val="20"/>
          <w:szCs w:val="20"/>
        </w:rPr>
        <w:t>文本，综合考虑能力、</w:t>
      </w:r>
      <w:r>
        <w:rPr>
          <w:rFonts w:ascii="宋体" w:hAnsi="宋体" w:eastAsia="宋体" w:cs="宋体"/>
          <w:spacing w:val="11"/>
          <w:sz w:val="20"/>
          <w:szCs w:val="20"/>
        </w:rPr>
        <w:t>业绩、诚信、报价等各方面因素确定评标方法，选定服务单位。规范经评</w:t>
      </w:r>
      <w:r>
        <w:rPr>
          <w:rFonts w:ascii="宋体" w:hAnsi="宋体" w:eastAsia="宋体" w:cs="宋体"/>
          <w:spacing w:val="10"/>
          <w:sz w:val="20"/>
          <w:szCs w:val="20"/>
        </w:rPr>
        <w:t>审的最低投标价法适用</w:t>
      </w:r>
      <w:r>
        <w:rPr>
          <w:rFonts w:ascii="宋体" w:hAnsi="宋体" w:eastAsia="宋体" w:cs="宋体"/>
          <w:spacing w:val="5"/>
          <w:sz w:val="20"/>
          <w:szCs w:val="20"/>
        </w:rPr>
        <w:t>范围。</w:t>
      </w:r>
    </w:p>
    <w:p>
      <w:pPr>
        <w:spacing w:before="155" w:line="322" w:lineRule="auto"/>
        <w:ind w:left="3" w:right="64" w:firstLine="411"/>
        <w:rPr>
          <w:rFonts w:ascii="宋体" w:hAnsi="宋体" w:eastAsia="宋体" w:cs="宋体"/>
          <w:sz w:val="20"/>
          <w:szCs w:val="20"/>
        </w:rPr>
      </w:pPr>
      <w:r>
        <w:rPr>
          <w:rFonts w:ascii="宋体" w:hAnsi="宋体" w:eastAsia="宋体" w:cs="宋体"/>
          <w:b/>
          <w:bCs/>
          <w:spacing w:val="10"/>
          <w:sz w:val="20"/>
          <w:szCs w:val="20"/>
        </w:rPr>
        <w:t>（二）规范市场竞争秩序。</w:t>
      </w:r>
      <w:r>
        <w:rPr>
          <w:rFonts w:ascii="宋体" w:hAnsi="宋体" w:eastAsia="宋体" w:cs="宋体"/>
          <w:spacing w:val="10"/>
          <w:sz w:val="20"/>
          <w:szCs w:val="20"/>
        </w:rPr>
        <w:t>工程造价咨询企业在投标时应结合服务内容、类型、深度、用时</w:t>
      </w:r>
      <w:r>
        <w:rPr>
          <w:rFonts w:ascii="宋体" w:hAnsi="宋体" w:eastAsia="宋体" w:cs="宋体"/>
          <w:spacing w:val="11"/>
          <w:sz w:val="20"/>
          <w:szCs w:val="20"/>
        </w:rPr>
        <w:t>提出合理报价。投标报价按照当地最低工资标准，以及招标文件、投</w:t>
      </w:r>
      <w:r>
        <w:rPr>
          <w:rFonts w:ascii="宋体" w:hAnsi="宋体" w:eastAsia="宋体" w:cs="宋体"/>
          <w:spacing w:val="10"/>
          <w:sz w:val="20"/>
          <w:szCs w:val="20"/>
        </w:rPr>
        <w:t>标文件中提出的服务人员数</w:t>
      </w:r>
      <w:r>
        <w:rPr>
          <w:rFonts w:ascii="宋体" w:hAnsi="宋体" w:eastAsia="宋体" w:cs="宋体"/>
          <w:spacing w:val="9"/>
          <w:sz w:val="20"/>
          <w:szCs w:val="20"/>
        </w:rPr>
        <w:t>量、服务时长等条件判断，明显不足的，视为低于成本竞标。</w:t>
      </w:r>
    </w:p>
    <w:p>
      <w:pPr>
        <w:spacing w:before="154" w:line="333" w:lineRule="auto"/>
        <w:ind w:left="2" w:right="35" w:firstLine="412"/>
        <w:rPr>
          <w:rFonts w:ascii="宋体" w:hAnsi="宋体" w:eastAsia="宋体" w:cs="宋体"/>
          <w:sz w:val="20"/>
          <w:szCs w:val="20"/>
        </w:rPr>
      </w:pPr>
      <w:r>
        <w:rPr>
          <w:rFonts w:ascii="宋体" w:hAnsi="宋体" w:eastAsia="宋体" w:cs="宋体"/>
          <w:b/>
          <w:bCs/>
          <w:spacing w:val="10"/>
          <w:sz w:val="20"/>
          <w:szCs w:val="20"/>
        </w:rPr>
        <w:t>（三）限制审减收费范围。</w:t>
      </w:r>
      <w:r>
        <w:rPr>
          <w:rFonts w:ascii="宋体" w:hAnsi="宋体" w:eastAsia="宋体" w:cs="宋体"/>
          <w:spacing w:val="10"/>
          <w:sz w:val="20"/>
          <w:szCs w:val="20"/>
        </w:rPr>
        <w:t>工程造价咨询合同应明确造价咨询服务费计算方式，不得约定以</w:t>
      </w:r>
      <w:r>
        <w:rPr>
          <w:rFonts w:ascii="宋体" w:hAnsi="宋体" w:eastAsia="宋体" w:cs="宋体"/>
          <w:spacing w:val="9"/>
          <w:sz w:val="20"/>
          <w:szCs w:val="20"/>
        </w:rPr>
        <w:t>审减额作为咨询服务费唯一或主要计算依据；存在基础服务费、审减服务费等多种</w:t>
      </w:r>
      <w:r>
        <w:rPr>
          <w:rFonts w:ascii="宋体" w:hAnsi="宋体" w:eastAsia="宋体" w:cs="宋体"/>
          <w:spacing w:val="8"/>
          <w:sz w:val="20"/>
          <w:szCs w:val="20"/>
        </w:rPr>
        <w:t>计算方式的 ，</w:t>
      </w:r>
      <w:r>
        <w:rPr>
          <w:rFonts w:ascii="宋体" w:hAnsi="宋体" w:eastAsia="宋体" w:cs="宋体"/>
          <w:spacing w:val="9"/>
          <w:sz w:val="20"/>
          <w:szCs w:val="20"/>
        </w:rPr>
        <w:t>应同时约定审减服务费最高不超过服务费总额的</w:t>
      </w:r>
      <w:r>
        <w:rPr>
          <w:rFonts w:ascii="宋体" w:hAnsi="宋体" w:eastAsia="宋体" w:cs="宋体"/>
          <w:spacing w:val="-40"/>
          <w:sz w:val="20"/>
          <w:szCs w:val="20"/>
        </w:rPr>
        <w:t xml:space="preserve"> </w:t>
      </w:r>
      <w:r>
        <w:rPr>
          <w:rFonts w:ascii="宋体" w:hAnsi="宋体" w:eastAsia="宋体" w:cs="宋体"/>
          <w:spacing w:val="9"/>
          <w:sz w:val="20"/>
          <w:szCs w:val="20"/>
        </w:rPr>
        <w:t xml:space="preserve">50%。按照“谁委托、谁付费”原则 </w:t>
      </w:r>
      <w:r>
        <w:rPr>
          <w:rFonts w:ascii="宋体" w:hAnsi="宋体" w:eastAsia="宋体" w:cs="宋体"/>
          <w:spacing w:val="8"/>
          <w:sz w:val="20"/>
          <w:szCs w:val="20"/>
        </w:rPr>
        <w:t>，不得约定</w:t>
      </w:r>
      <w:r>
        <w:rPr>
          <w:rFonts w:ascii="宋体" w:hAnsi="宋体" w:eastAsia="宋体" w:cs="宋体"/>
          <w:spacing w:val="9"/>
          <w:sz w:val="20"/>
          <w:szCs w:val="20"/>
        </w:rPr>
        <w:t>工程造价咨询企业向除委托人之外的第三方收取服务费。</w:t>
      </w:r>
    </w:p>
    <w:p>
      <w:pPr>
        <w:spacing w:before="162" w:line="220" w:lineRule="auto"/>
        <w:ind w:left="423"/>
        <w:rPr>
          <w:rFonts w:ascii="宋体" w:hAnsi="宋体" w:eastAsia="宋体" w:cs="宋体"/>
          <w:sz w:val="20"/>
          <w:szCs w:val="20"/>
        </w:rPr>
      </w:pPr>
      <w:r>
        <w:rPr>
          <w:rFonts w:ascii="宋体" w:hAnsi="宋体" w:eastAsia="宋体" w:cs="宋体"/>
          <w:b/>
          <w:bCs/>
          <w:spacing w:val="8"/>
          <w:sz w:val="20"/>
          <w:szCs w:val="20"/>
        </w:rPr>
        <w:t>二、扎实做好建设项目前期造价管理工作</w:t>
      </w:r>
    </w:p>
    <w:p>
      <w:pPr>
        <w:spacing w:before="159" w:line="341" w:lineRule="auto"/>
        <w:ind w:left="3" w:right="64" w:firstLine="411"/>
        <w:rPr>
          <w:rFonts w:ascii="宋体" w:hAnsi="宋体" w:eastAsia="宋体" w:cs="宋体"/>
          <w:sz w:val="20"/>
          <w:szCs w:val="20"/>
        </w:rPr>
      </w:pPr>
      <w:r>
        <w:rPr>
          <w:rFonts w:ascii="宋体" w:hAnsi="宋体" w:eastAsia="宋体" w:cs="宋体"/>
          <w:b/>
          <w:bCs/>
          <w:spacing w:val="9"/>
          <w:sz w:val="20"/>
          <w:szCs w:val="20"/>
        </w:rPr>
        <w:t>（</w:t>
      </w:r>
      <w:r>
        <w:rPr>
          <w:rFonts w:ascii="宋体" w:hAnsi="宋体" w:eastAsia="宋体" w:cs="宋体"/>
          <w:spacing w:val="-44"/>
          <w:sz w:val="20"/>
          <w:szCs w:val="20"/>
        </w:rPr>
        <w:t xml:space="preserve"> </w:t>
      </w:r>
      <w:r>
        <w:rPr>
          <w:rFonts w:ascii="宋体" w:hAnsi="宋体" w:eastAsia="宋体" w:cs="宋体"/>
          <w:b/>
          <w:bCs/>
          <w:spacing w:val="9"/>
          <w:sz w:val="20"/>
          <w:szCs w:val="20"/>
        </w:rPr>
        <w:t>四）提高前期造价文件编制水平。</w:t>
      </w:r>
      <w:r>
        <w:rPr>
          <w:rFonts w:ascii="宋体" w:hAnsi="宋体" w:eastAsia="宋体" w:cs="宋体"/>
          <w:spacing w:val="9"/>
          <w:sz w:val="20"/>
          <w:szCs w:val="20"/>
        </w:rPr>
        <w:t>建设单位或受其委托的工程造</w:t>
      </w:r>
      <w:r>
        <w:rPr>
          <w:rFonts w:ascii="宋体" w:hAnsi="宋体" w:eastAsia="宋体" w:cs="宋体"/>
          <w:spacing w:val="8"/>
          <w:sz w:val="20"/>
          <w:szCs w:val="20"/>
        </w:rPr>
        <w:t>价咨询企业要按照相关法</w:t>
      </w:r>
      <w:r>
        <w:rPr>
          <w:rFonts w:ascii="宋体" w:hAnsi="宋体" w:eastAsia="宋体" w:cs="宋体"/>
          <w:spacing w:val="11"/>
          <w:sz w:val="20"/>
          <w:szCs w:val="20"/>
        </w:rPr>
        <w:t>律法规和标准规范，确保投资估算、设计概算、最高投标限价等造价</w:t>
      </w:r>
      <w:r>
        <w:rPr>
          <w:rFonts w:ascii="宋体" w:hAnsi="宋体" w:eastAsia="宋体" w:cs="宋体"/>
          <w:spacing w:val="10"/>
          <w:sz w:val="20"/>
          <w:szCs w:val="20"/>
        </w:rPr>
        <w:t>文件编制准确规范、足额充</w:t>
      </w:r>
      <w:r>
        <w:rPr>
          <w:rFonts w:ascii="宋体" w:hAnsi="宋体" w:eastAsia="宋体" w:cs="宋体"/>
          <w:spacing w:val="11"/>
          <w:sz w:val="20"/>
          <w:szCs w:val="20"/>
        </w:rPr>
        <w:t>分，与工程规模、特点相适应，为合理确定合同价、结算价提供保障</w:t>
      </w:r>
      <w:r>
        <w:rPr>
          <w:rFonts w:ascii="宋体" w:hAnsi="宋体" w:eastAsia="宋体" w:cs="宋体"/>
          <w:spacing w:val="10"/>
          <w:sz w:val="20"/>
          <w:szCs w:val="20"/>
        </w:rPr>
        <w:t>，促进工程顺利实施，降低</w:t>
      </w:r>
      <w:r>
        <w:rPr>
          <w:rFonts w:ascii="宋体" w:hAnsi="宋体" w:eastAsia="宋体" w:cs="宋体"/>
          <w:spacing w:val="8"/>
          <w:sz w:val="20"/>
          <w:szCs w:val="20"/>
        </w:rPr>
        <w:t>结算纠纷、超概等风险。</w:t>
      </w:r>
    </w:p>
    <w:p>
      <w:pPr>
        <w:spacing w:before="122" w:line="333" w:lineRule="auto"/>
        <w:ind w:firstLine="414"/>
        <w:rPr>
          <w:rFonts w:ascii="宋体" w:hAnsi="宋体" w:eastAsia="宋体" w:cs="宋体"/>
          <w:sz w:val="20"/>
          <w:szCs w:val="20"/>
        </w:rPr>
      </w:pPr>
      <w:r>
        <w:rPr>
          <w:rFonts w:ascii="宋体" w:hAnsi="宋体" w:eastAsia="宋体" w:cs="宋体"/>
          <w:b/>
          <w:bCs/>
          <w:spacing w:val="7"/>
          <w:sz w:val="20"/>
          <w:szCs w:val="20"/>
        </w:rPr>
        <w:t>（五）推行全过程造价管理模式。</w:t>
      </w:r>
      <w:r>
        <w:rPr>
          <w:rFonts w:ascii="宋体" w:hAnsi="宋体" w:eastAsia="宋体" w:cs="宋体"/>
          <w:spacing w:val="7"/>
          <w:sz w:val="20"/>
          <w:szCs w:val="20"/>
        </w:rPr>
        <w:t>落实建设单位造价管控主</w:t>
      </w:r>
      <w:r>
        <w:rPr>
          <w:rFonts w:ascii="宋体" w:hAnsi="宋体" w:eastAsia="宋体" w:cs="宋体"/>
          <w:spacing w:val="6"/>
          <w:sz w:val="20"/>
          <w:szCs w:val="20"/>
        </w:rPr>
        <w:t>体责任，改革建设项目组织模式，</w:t>
      </w:r>
      <w:r>
        <w:rPr>
          <w:rFonts w:ascii="宋体" w:hAnsi="宋体" w:eastAsia="宋体" w:cs="宋体"/>
          <w:spacing w:val="11"/>
          <w:sz w:val="20"/>
          <w:szCs w:val="20"/>
        </w:rPr>
        <w:t>实施全过程造价管理，促进造价与决策、设计、交易、施工等环节深度融合</w:t>
      </w:r>
      <w:r>
        <w:rPr>
          <w:rFonts w:ascii="宋体" w:hAnsi="宋体" w:eastAsia="宋体" w:cs="宋体"/>
          <w:spacing w:val="10"/>
          <w:sz w:val="20"/>
          <w:szCs w:val="20"/>
        </w:rPr>
        <w:t>。支持工程造价咨询</w:t>
      </w:r>
      <w:r>
        <w:rPr>
          <w:rFonts w:ascii="宋体" w:hAnsi="宋体" w:eastAsia="宋体" w:cs="宋体"/>
          <w:spacing w:val="11"/>
          <w:sz w:val="20"/>
          <w:szCs w:val="20"/>
        </w:rPr>
        <w:t>企业延长服务链条，开展方案比选、设计优化，对施工招标文件、合同文本</w:t>
      </w:r>
      <w:r>
        <w:rPr>
          <w:rFonts w:ascii="宋体" w:hAnsi="宋体" w:eastAsia="宋体" w:cs="宋体"/>
          <w:spacing w:val="10"/>
          <w:sz w:val="20"/>
          <w:szCs w:val="20"/>
        </w:rPr>
        <w:t>中工程造价关键条款</w:t>
      </w:r>
      <w:r>
        <w:rPr>
          <w:rFonts w:ascii="宋体" w:hAnsi="宋体" w:eastAsia="宋体" w:cs="宋体"/>
          <w:spacing w:val="9"/>
          <w:sz w:val="20"/>
          <w:szCs w:val="20"/>
        </w:rPr>
        <w:t>设置提出专业意见，从源头消减竣工结算争议隐患。</w:t>
      </w:r>
    </w:p>
    <w:p>
      <w:pPr>
        <w:spacing w:before="161" w:line="220" w:lineRule="auto"/>
        <w:ind w:left="427"/>
        <w:rPr>
          <w:rFonts w:ascii="宋体" w:hAnsi="宋体" w:eastAsia="宋体" w:cs="宋体"/>
          <w:sz w:val="20"/>
          <w:szCs w:val="20"/>
        </w:rPr>
      </w:pPr>
      <w:r>
        <w:rPr>
          <w:rFonts w:ascii="宋体" w:hAnsi="宋体" w:eastAsia="宋体" w:cs="宋体"/>
          <w:b/>
          <w:bCs/>
          <w:spacing w:val="8"/>
          <w:sz w:val="20"/>
          <w:szCs w:val="20"/>
        </w:rPr>
        <w:t>三、提高施工过程管控和竣工结算审核质量</w:t>
      </w:r>
    </w:p>
    <w:p>
      <w:pPr>
        <w:spacing w:before="158" w:line="276" w:lineRule="exact"/>
        <w:ind w:left="414"/>
        <w:rPr>
          <w:rFonts w:ascii="宋体" w:hAnsi="宋体" w:eastAsia="宋体" w:cs="宋体"/>
          <w:sz w:val="20"/>
          <w:szCs w:val="20"/>
        </w:rPr>
      </w:pPr>
      <w:r>
        <w:rPr>
          <w:rFonts w:ascii="宋体" w:hAnsi="宋体" w:eastAsia="宋体" w:cs="宋体"/>
          <w:b/>
          <w:bCs/>
          <w:spacing w:val="10"/>
          <w:position w:val="1"/>
          <w:sz w:val="20"/>
          <w:szCs w:val="20"/>
        </w:rPr>
        <w:t>（六）做好施工过程记录。</w:t>
      </w:r>
      <w:r>
        <w:rPr>
          <w:rFonts w:ascii="宋体" w:hAnsi="宋体" w:eastAsia="宋体" w:cs="宋体"/>
          <w:spacing w:val="10"/>
          <w:position w:val="1"/>
          <w:sz w:val="20"/>
          <w:szCs w:val="20"/>
        </w:rPr>
        <w:t>建设、设计、施工、监理、造价咨询等单位应加强施工过程资料</w:t>
      </w:r>
    </w:p>
    <w:p>
      <w:pPr>
        <w:spacing w:line="276" w:lineRule="exact"/>
        <w:rPr>
          <w:rFonts w:ascii="宋体" w:hAnsi="宋体" w:eastAsia="宋体" w:cs="宋体"/>
          <w:sz w:val="20"/>
          <w:szCs w:val="20"/>
        </w:rPr>
        <w:sectPr>
          <w:footerReference r:id="rId302" w:type="default"/>
          <w:pgSz w:w="11906" w:h="16839"/>
          <w:pgMar w:top="400" w:right="1569" w:bottom="1212" w:left="1416"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65" w:line="369" w:lineRule="auto"/>
        <w:ind w:left="1" w:right="213" w:firstLine="3"/>
        <w:jc w:val="both"/>
        <w:rPr>
          <w:rFonts w:ascii="宋体" w:hAnsi="宋体" w:eastAsia="宋体" w:cs="宋体"/>
          <w:sz w:val="20"/>
          <w:szCs w:val="20"/>
        </w:rPr>
      </w:pPr>
      <w:r>
        <w:rPr>
          <w:rFonts w:ascii="宋体" w:hAnsi="宋体" w:eastAsia="宋体" w:cs="宋体"/>
          <w:spacing w:val="11"/>
          <w:sz w:val="20"/>
          <w:szCs w:val="20"/>
        </w:rPr>
        <w:t>管理，明确变更单、联系单、批价单等各类资料的办理流程、时</w:t>
      </w:r>
      <w:r>
        <w:rPr>
          <w:rFonts w:ascii="宋体" w:hAnsi="宋体" w:eastAsia="宋体" w:cs="宋体"/>
          <w:spacing w:val="10"/>
          <w:sz w:val="20"/>
          <w:szCs w:val="20"/>
        </w:rPr>
        <w:t>限、效力，同步做好资料归集，</w:t>
      </w:r>
      <w:r>
        <w:rPr>
          <w:rFonts w:ascii="宋体" w:hAnsi="宋体" w:eastAsia="宋体" w:cs="宋体"/>
          <w:spacing w:val="11"/>
          <w:sz w:val="20"/>
          <w:szCs w:val="20"/>
        </w:rPr>
        <w:t>确保过程资料内容规范、数据真实、及时有效。加强工程变更的程序化、</w:t>
      </w:r>
      <w:r>
        <w:rPr>
          <w:rFonts w:ascii="宋体" w:hAnsi="宋体" w:eastAsia="宋体" w:cs="宋体"/>
          <w:spacing w:val="10"/>
          <w:sz w:val="20"/>
          <w:szCs w:val="20"/>
        </w:rPr>
        <w:t>正规化管理，结算时不</w:t>
      </w:r>
      <w:r>
        <w:rPr>
          <w:rFonts w:ascii="宋体" w:hAnsi="宋体" w:eastAsia="宋体" w:cs="宋体"/>
          <w:spacing w:val="11"/>
          <w:sz w:val="20"/>
          <w:szCs w:val="20"/>
        </w:rPr>
        <w:t>得以各类不规范资料作为工程变更依据进行价款调整。施工单位应加强现</w:t>
      </w:r>
      <w:r>
        <w:rPr>
          <w:rFonts w:ascii="宋体" w:hAnsi="宋体" w:eastAsia="宋体" w:cs="宋体"/>
          <w:spacing w:val="10"/>
          <w:sz w:val="20"/>
          <w:szCs w:val="20"/>
        </w:rPr>
        <w:t>场造价专业人员配备，</w:t>
      </w:r>
      <w:r>
        <w:rPr>
          <w:rFonts w:ascii="宋体" w:hAnsi="宋体" w:eastAsia="宋体" w:cs="宋体"/>
          <w:spacing w:val="9"/>
          <w:sz w:val="20"/>
          <w:szCs w:val="20"/>
        </w:rPr>
        <w:t>及时做好过程量、价、费的核对、确认和处置，避免问题积压。</w:t>
      </w:r>
    </w:p>
    <w:p>
      <w:pPr>
        <w:spacing w:before="1" w:line="333" w:lineRule="auto"/>
        <w:ind w:left="3" w:right="213" w:firstLine="411"/>
        <w:rPr>
          <w:rFonts w:ascii="宋体" w:hAnsi="宋体" w:eastAsia="宋体" w:cs="宋体"/>
          <w:sz w:val="20"/>
          <w:szCs w:val="20"/>
        </w:rPr>
      </w:pPr>
      <w:r>
        <w:rPr>
          <w:rFonts w:ascii="宋体" w:hAnsi="宋体" w:eastAsia="宋体" w:cs="宋体"/>
          <w:b/>
          <w:bCs/>
          <w:spacing w:val="10"/>
          <w:sz w:val="20"/>
          <w:szCs w:val="20"/>
        </w:rPr>
        <w:t>（七）加强送审资料管理。</w:t>
      </w:r>
      <w:r>
        <w:rPr>
          <w:rFonts w:ascii="宋体" w:hAnsi="宋体" w:eastAsia="宋体" w:cs="宋体"/>
          <w:spacing w:val="10"/>
          <w:sz w:val="20"/>
          <w:szCs w:val="20"/>
        </w:rPr>
        <w:t>项目竣工（或阶段完工）后，施工单位应按照合同约定的内容、</w:t>
      </w:r>
      <w:r>
        <w:rPr>
          <w:rFonts w:ascii="宋体" w:hAnsi="宋体" w:eastAsia="宋体" w:cs="宋体"/>
          <w:spacing w:val="11"/>
          <w:sz w:val="20"/>
          <w:szCs w:val="20"/>
        </w:rPr>
        <w:t>时限，编制报送竣工结算（或施工过程结算）送审资料。结算送审资</w:t>
      </w:r>
      <w:r>
        <w:rPr>
          <w:rFonts w:ascii="宋体" w:hAnsi="宋体" w:eastAsia="宋体" w:cs="宋体"/>
          <w:spacing w:val="10"/>
          <w:sz w:val="20"/>
          <w:szCs w:val="20"/>
        </w:rPr>
        <w:t>料应真实、完整、规范，不</w:t>
      </w:r>
      <w:r>
        <w:rPr>
          <w:rFonts w:ascii="宋体" w:hAnsi="宋体" w:eastAsia="宋体" w:cs="宋体"/>
          <w:spacing w:val="11"/>
          <w:sz w:val="20"/>
          <w:szCs w:val="20"/>
        </w:rPr>
        <w:t>得通过虚增材料和项目、虚列工程量和价款等方式高估冒算。施工单</w:t>
      </w:r>
      <w:r>
        <w:rPr>
          <w:rFonts w:ascii="宋体" w:hAnsi="宋体" w:eastAsia="宋体" w:cs="宋体"/>
          <w:spacing w:val="10"/>
          <w:sz w:val="20"/>
          <w:szCs w:val="20"/>
        </w:rPr>
        <w:t>位承担结算送审资料不合理</w:t>
      </w:r>
      <w:r>
        <w:rPr>
          <w:rFonts w:ascii="宋体" w:hAnsi="宋体" w:eastAsia="宋体" w:cs="宋体"/>
          <w:spacing w:val="9"/>
          <w:sz w:val="20"/>
          <w:szCs w:val="20"/>
        </w:rPr>
        <w:t>引发的合同违约责任，结算送审资料的编审人员同步承担相应责任。</w:t>
      </w:r>
    </w:p>
    <w:p>
      <w:pPr>
        <w:spacing w:before="154" w:line="345" w:lineRule="auto"/>
        <w:ind w:left="3" w:right="213" w:firstLine="410"/>
        <w:rPr>
          <w:rFonts w:ascii="宋体" w:hAnsi="宋体" w:eastAsia="宋体" w:cs="宋体"/>
          <w:sz w:val="20"/>
          <w:szCs w:val="20"/>
        </w:rPr>
      </w:pPr>
      <w:r>
        <w:rPr>
          <w:rFonts w:ascii="宋体" w:hAnsi="宋体" w:eastAsia="宋体" w:cs="宋体"/>
          <w:b/>
          <w:bCs/>
          <w:spacing w:val="10"/>
          <w:sz w:val="20"/>
          <w:szCs w:val="20"/>
        </w:rPr>
        <w:t>（八）严格依规依约审核。</w:t>
      </w:r>
      <w:r>
        <w:rPr>
          <w:rFonts w:ascii="宋体" w:hAnsi="宋体" w:eastAsia="宋体" w:cs="宋体"/>
          <w:spacing w:val="10"/>
          <w:sz w:val="20"/>
          <w:szCs w:val="20"/>
        </w:rPr>
        <w:t>受委托开展结算审核业务的工程造价咨询企业，应严格按照法律</w:t>
      </w:r>
      <w:r>
        <w:rPr>
          <w:rFonts w:ascii="宋体" w:hAnsi="宋体" w:eastAsia="宋体" w:cs="宋体"/>
          <w:spacing w:val="11"/>
          <w:sz w:val="20"/>
          <w:szCs w:val="20"/>
        </w:rPr>
        <w:t>法规、标准规范、合同约定、工程图纸及各类资料，客观公正、实</w:t>
      </w:r>
      <w:r>
        <w:rPr>
          <w:rFonts w:ascii="宋体" w:hAnsi="宋体" w:eastAsia="宋体" w:cs="宋体"/>
          <w:spacing w:val="10"/>
          <w:sz w:val="20"/>
          <w:szCs w:val="20"/>
        </w:rPr>
        <w:t>事求是进行审增审减，不得将</w:t>
      </w:r>
      <w:r>
        <w:rPr>
          <w:rFonts w:ascii="宋体" w:hAnsi="宋体" w:eastAsia="宋体" w:cs="宋体"/>
          <w:spacing w:val="11"/>
          <w:sz w:val="20"/>
          <w:szCs w:val="20"/>
        </w:rPr>
        <w:t>审减率作为唯一导向。对结算送审资料存疑的，应首先采取查阅资</w:t>
      </w:r>
      <w:r>
        <w:rPr>
          <w:rFonts w:ascii="宋体" w:hAnsi="宋体" w:eastAsia="宋体" w:cs="宋体"/>
          <w:spacing w:val="10"/>
          <w:sz w:val="20"/>
          <w:szCs w:val="20"/>
        </w:rPr>
        <w:t>料、踏勘现场等方式主动核实</w:t>
      </w:r>
      <w:r>
        <w:rPr>
          <w:rFonts w:ascii="宋体" w:hAnsi="宋体" w:eastAsia="宋体" w:cs="宋体"/>
          <w:spacing w:val="11"/>
          <w:sz w:val="20"/>
          <w:szCs w:val="20"/>
        </w:rPr>
        <w:t>确认，不得直接将举证责任全部转移给施工单位。对需要进行审减的</w:t>
      </w:r>
      <w:r>
        <w:rPr>
          <w:rFonts w:ascii="宋体" w:hAnsi="宋体" w:eastAsia="宋体" w:cs="宋体"/>
          <w:spacing w:val="10"/>
          <w:sz w:val="20"/>
          <w:szCs w:val="20"/>
        </w:rPr>
        <w:t>，应提出充分有效的依据。</w:t>
      </w:r>
      <w:r>
        <w:rPr>
          <w:rFonts w:ascii="宋体" w:hAnsi="宋体" w:eastAsia="宋体" w:cs="宋体"/>
          <w:spacing w:val="11"/>
          <w:sz w:val="20"/>
          <w:szCs w:val="20"/>
        </w:rPr>
        <w:t>工程造价咨询企业应在咨询合同约定时限内出具结算审核报告，并</w:t>
      </w:r>
      <w:r>
        <w:rPr>
          <w:rFonts w:ascii="宋体" w:hAnsi="宋体" w:eastAsia="宋体" w:cs="宋体"/>
          <w:spacing w:val="10"/>
          <w:sz w:val="20"/>
          <w:szCs w:val="20"/>
        </w:rPr>
        <w:t>应注意与施工合同约定的结算</w:t>
      </w:r>
      <w:r>
        <w:rPr>
          <w:rFonts w:ascii="宋体" w:hAnsi="宋体" w:eastAsia="宋体" w:cs="宋体"/>
          <w:spacing w:val="7"/>
          <w:sz w:val="20"/>
          <w:szCs w:val="20"/>
        </w:rPr>
        <w:t>审核期限衔接。</w:t>
      </w:r>
    </w:p>
    <w:p>
      <w:pPr>
        <w:spacing w:before="158" w:line="340" w:lineRule="auto"/>
        <w:ind w:right="213" w:firstLine="414"/>
        <w:rPr>
          <w:rFonts w:ascii="宋体" w:hAnsi="宋体" w:eastAsia="宋体" w:cs="宋体"/>
          <w:sz w:val="20"/>
          <w:szCs w:val="20"/>
        </w:rPr>
      </w:pPr>
      <w:r>
        <w:rPr>
          <w:rFonts w:ascii="宋体" w:hAnsi="宋体" w:eastAsia="宋体" w:cs="宋体"/>
          <w:b/>
          <w:bCs/>
          <w:spacing w:val="10"/>
          <w:sz w:val="20"/>
          <w:szCs w:val="20"/>
        </w:rPr>
        <w:t>（九）强化审核期限约束。</w:t>
      </w:r>
      <w:r>
        <w:rPr>
          <w:rFonts w:ascii="宋体" w:hAnsi="宋体" w:eastAsia="宋体" w:cs="宋体"/>
          <w:spacing w:val="10"/>
          <w:sz w:val="20"/>
          <w:szCs w:val="20"/>
        </w:rPr>
        <w:t>建设单位应在施工合同约定的期限内完成结算审核，建设单位内</w:t>
      </w:r>
      <w:r>
        <w:rPr>
          <w:rFonts w:ascii="宋体" w:hAnsi="宋体" w:eastAsia="宋体" w:cs="宋体"/>
          <w:spacing w:val="11"/>
          <w:sz w:val="20"/>
          <w:szCs w:val="20"/>
        </w:rPr>
        <w:t>设机构、上下级公司等分别开展的审核属于内部事务，应强化统筹衔接，不</w:t>
      </w:r>
      <w:r>
        <w:rPr>
          <w:rFonts w:ascii="宋体" w:hAnsi="宋体" w:eastAsia="宋体" w:cs="宋体"/>
          <w:spacing w:val="10"/>
          <w:sz w:val="20"/>
          <w:szCs w:val="20"/>
        </w:rPr>
        <w:t>得过度增加施工单位</w:t>
      </w:r>
      <w:r>
        <w:rPr>
          <w:rFonts w:ascii="宋体" w:hAnsi="宋体" w:eastAsia="宋体" w:cs="宋体"/>
          <w:spacing w:val="11"/>
          <w:sz w:val="20"/>
          <w:szCs w:val="20"/>
        </w:rPr>
        <w:t>配合义务。建设单位原则上应将一个施工合同内的项目委托一家工程造价咨</w:t>
      </w:r>
      <w:r>
        <w:rPr>
          <w:rFonts w:ascii="宋体" w:hAnsi="宋体" w:eastAsia="宋体" w:cs="宋体"/>
          <w:spacing w:val="10"/>
          <w:sz w:val="20"/>
          <w:szCs w:val="20"/>
        </w:rPr>
        <w:t>询企业审核，对已完</w:t>
      </w:r>
      <w:r>
        <w:rPr>
          <w:rFonts w:ascii="宋体" w:hAnsi="宋体" w:eastAsia="宋体" w:cs="宋体"/>
          <w:spacing w:val="11"/>
          <w:sz w:val="20"/>
          <w:szCs w:val="20"/>
        </w:rPr>
        <w:t>成的结算审核报告，无明显错误或正当理由的，不得重复委托或变相重复委</w:t>
      </w:r>
      <w:r>
        <w:rPr>
          <w:rFonts w:ascii="宋体" w:hAnsi="宋体" w:eastAsia="宋体" w:cs="宋体"/>
          <w:spacing w:val="10"/>
          <w:sz w:val="20"/>
          <w:szCs w:val="20"/>
        </w:rPr>
        <w:t>托审核。建设单位不</w:t>
      </w:r>
      <w:r>
        <w:rPr>
          <w:rFonts w:ascii="宋体" w:hAnsi="宋体" w:eastAsia="宋体" w:cs="宋体"/>
          <w:spacing w:val="9"/>
          <w:sz w:val="20"/>
          <w:szCs w:val="20"/>
        </w:rPr>
        <w:t>得要求或暗示工程造价咨询企业拖延出具结算审核报告。</w:t>
      </w:r>
    </w:p>
    <w:p>
      <w:pPr>
        <w:spacing w:before="161" w:line="220" w:lineRule="auto"/>
        <w:ind w:left="445"/>
        <w:rPr>
          <w:rFonts w:ascii="宋体" w:hAnsi="宋体" w:eastAsia="宋体" w:cs="宋体"/>
          <w:sz w:val="20"/>
          <w:szCs w:val="20"/>
        </w:rPr>
      </w:pPr>
      <w:r>
        <w:rPr>
          <w:rFonts w:ascii="宋体" w:hAnsi="宋体" w:eastAsia="宋体" w:cs="宋体"/>
          <w:b/>
          <w:bCs/>
          <w:spacing w:val="7"/>
          <w:sz w:val="20"/>
          <w:szCs w:val="20"/>
        </w:rPr>
        <w:t>四、统筹造价咨询能力建设和监管服务</w:t>
      </w:r>
    </w:p>
    <w:p>
      <w:pPr>
        <w:spacing w:before="158" w:line="333" w:lineRule="auto"/>
        <w:ind w:left="3" w:right="213" w:firstLine="411"/>
        <w:rPr>
          <w:rFonts w:ascii="宋体" w:hAnsi="宋体" w:eastAsia="宋体" w:cs="宋体"/>
          <w:sz w:val="20"/>
          <w:szCs w:val="20"/>
        </w:rPr>
      </w:pPr>
      <w:r>
        <w:rPr>
          <w:rFonts w:ascii="宋体" w:hAnsi="宋体" w:eastAsia="宋体" w:cs="宋体"/>
          <w:b/>
          <w:bCs/>
          <w:spacing w:val="10"/>
          <w:sz w:val="20"/>
          <w:szCs w:val="20"/>
        </w:rPr>
        <w:t>（十）提升咨询业务能力。</w:t>
      </w:r>
      <w:r>
        <w:rPr>
          <w:rFonts w:ascii="宋体" w:hAnsi="宋体" w:eastAsia="宋体" w:cs="宋体"/>
          <w:spacing w:val="10"/>
          <w:sz w:val="20"/>
          <w:szCs w:val="20"/>
        </w:rPr>
        <w:t>工程造价咨询企业应具备与承接业务相匹配的能力和注册造价工</w:t>
      </w:r>
      <w:r>
        <w:rPr>
          <w:rFonts w:ascii="宋体" w:hAnsi="宋体" w:eastAsia="宋体" w:cs="宋体"/>
          <w:spacing w:val="8"/>
          <w:sz w:val="20"/>
          <w:szCs w:val="20"/>
        </w:rPr>
        <w:t>程师 ，建立健全造价咨询业务编审质量控制、技术档案管理等制度。依据《建设工程造价咨询服</w:t>
      </w:r>
      <w:r>
        <w:rPr>
          <w:rFonts w:ascii="宋体" w:hAnsi="宋体" w:eastAsia="宋体" w:cs="宋体"/>
          <w:spacing w:val="10"/>
          <w:sz w:val="20"/>
          <w:szCs w:val="20"/>
        </w:rPr>
        <w:t>务规范》等标准开展造价咨询业务的企业，应至少配备</w:t>
      </w:r>
      <w:r>
        <w:rPr>
          <w:rFonts w:ascii="宋体" w:hAnsi="宋体" w:eastAsia="宋体" w:cs="宋体"/>
          <w:spacing w:val="-30"/>
          <w:sz w:val="20"/>
          <w:szCs w:val="20"/>
        </w:rPr>
        <w:t xml:space="preserve"> </w:t>
      </w:r>
      <w:r>
        <w:rPr>
          <w:rFonts w:ascii="宋体" w:hAnsi="宋体" w:eastAsia="宋体" w:cs="宋体"/>
          <w:spacing w:val="10"/>
          <w:sz w:val="20"/>
          <w:szCs w:val="20"/>
        </w:rPr>
        <w:t>3</w:t>
      </w:r>
      <w:r>
        <w:rPr>
          <w:rFonts w:ascii="宋体" w:hAnsi="宋体" w:eastAsia="宋体" w:cs="宋体"/>
          <w:spacing w:val="-40"/>
          <w:sz w:val="20"/>
          <w:szCs w:val="20"/>
        </w:rPr>
        <w:t xml:space="preserve"> </w:t>
      </w:r>
      <w:r>
        <w:rPr>
          <w:rFonts w:ascii="宋体" w:hAnsi="宋体" w:eastAsia="宋体" w:cs="宋体"/>
          <w:spacing w:val="10"/>
          <w:sz w:val="20"/>
          <w:szCs w:val="20"/>
        </w:rPr>
        <w:t>名与承接工程专业相符，且在本企业缴</w:t>
      </w:r>
      <w:r>
        <w:rPr>
          <w:rFonts w:ascii="宋体" w:hAnsi="宋体" w:eastAsia="宋体" w:cs="宋体"/>
          <w:spacing w:val="8"/>
          <w:sz w:val="20"/>
          <w:szCs w:val="20"/>
        </w:rPr>
        <w:t>纳社保的注册造价工程师。</w:t>
      </w:r>
    </w:p>
    <w:p>
      <w:pPr>
        <w:spacing w:before="158" w:line="333" w:lineRule="auto"/>
        <w:ind w:left="3" w:right="132" w:firstLine="411"/>
        <w:rPr>
          <w:rFonts w:ascii="宋体" w:hAnsi="宋体" w:eastAsia="宋体" w:cs="宋体"/>
          <w:sz w:val="20"/>
          <w:szCs w:val="20"/>
        </w:rPr>
      </w:pPr>
      <w:r>
        <w:rPr>
          <w:rFonts w:ascii="宋体" w:hAnsi="宋体" w:eastAsia="宋体" w:cs="宋体"/>
          <w:b/>
          <w:bCs/>
          <w:spacing w:val="10"/>
          <w:sz w:val="20"/>
          <w:szCs w:val="20"/>
        </w:rPr>
        <w:t>（十一）加强事中事后监管。</w:t>
      </w:r>
      <w:r>
        <w:rPr>
          <w:rFonts w:ascii="宋体" w:hAnsi="宋体" w:eastAsia="宋体" w:cs="宋体"/>
          <w:spacing w:val="10"/>
          <w:sz w:val="20"/>
          <w:szCs w:val="20"/>
        </w:rPr>
        <w:t>各级住房城乡建设主管部门要加强对房屋建筑与市政工程结算</w:t>
      </w:r>
      <w:r>
        <w:rPr>
          <w:rFonts w:ascii="宋体" w:hAnsi="宋体" w:eastAsia="宋体" w:cs="宋体"/>
          <w:spacing w:val="11"/>
          <w:sz w:val="20"/>
          <w:szCs w:val="20"/>
        </w:rPr>
        <w:t>和价款支付活动、工程造价咨询活动的事中事后监管，完善以信用为</w:t>
      </w:r>
      <w:r>
        <w:rPr>
          <w:rFonts w:ascii="宋体" w:hAnsi="宋体" w:eastAsia="宋体" w:cs="宋体"/>
          <w:spacing w:val="10"/>
          <w:sz w:val="20"/>
          <w:szCs w:val="20"/>
        </w:rPr>
        <w:t>核心的新型监管机制。畅通</w:t>
      </w:r>
      <w:r>
        <w:rPr>
          <w:rFonts w:ascii="宋体" w:hAnsi="宋体" w:eastAsia="宋体" w:cs="宋体"/>
          <w:spacing w:val="8"/>
          <w:sz w:val="20"/>
          <w:szCs w:val="20"/>
        </w:rPr>
        <w:t>投诉举报渠道，对存在拖延结算、重复委托审核、低于成本竞标、约</w:t>
      </w:r>
      <w:r>
        <w:rPr>
          <w:rFonts w:ascii="宋体" w:hAnsi="宋体" w:eastAsia="宋体" w:cs="宋体"/>
          <w:spacing w:val="7"/>
          <w:sz w:val="20"/>
          <w:szCs w:val="20"/>
        </w:rPr>
        <w:t>定以审减额为主要收费依据、</w:t>
      </w:r>
      <w:r>
        <w:rPr>
          <w:rFonts w:ascii="宋体" w:hAnsi="宋体" w:eastAsia="宋体" w:cs="宋体"/>
          <w:spacing w:val="9"/>
          <w:sz w:val="20"/>
          <w:szCs w:val="20"/>
        </w:rPr>
        <w:t>超范围执业等行为的，依法依规进行处理。</w:t>
      </w:r>
    </w:p>
    <w:p>
      <w:pPr>
        <w:spacing w:before="157" w:line="333" w:lineRule="auto"/>
        <w:ind w:left="1" w:right="148" w:firstLine="413"/>
        <w:rPr>
          <w:rFonts w:ascii="宋体" w:hAnsi="宋体" w:eastAsia="宋体" w:cs="宋体"/>
          <w:sz w:val="20"/>
          <w:szCs w:val="20"/>
        </w:rPr>
      </w:pPr>
      <w:r>
        <w:rPr>
          <w:rFonts w:ascii="宋体" w:hAnsi="宋体" w:eastAsia="宋体" w:cs="宋体"/>
          <w:b/>
          <w:bCs/>
          <w:spacing w:val="10"/>
          <w:sz w:val="20"/>
          <w:szCs w:val="20"/>
        </w:rPr>
        <w:t>（十二）发挥社会组织作用。</w:t>
      </w:r>
      <w:r>
        <w:rPr>
          <w:rFonts w:ascii="宋体" w:hAnsi="宋体" w:eastAsia="宋体" w:cs="宋体"/>
          <w:spacing w:val="10"/>
          <w:sz w:val="20"/>
          <w:szCs w:val="20"/>
        </w:rPr>
        <w:t>充分发挥工程造价咨询行业社会组织在引导行业发展、促进诚</w:t>
      </w:r>
      <w:r>
        <w:rPr>
          <w:rFonts w:ascii="宋体" w:hAnsi="宋体" w:eastAsia="宋体" w:cs="宋体"/>
          <w:spacing w:val="11"/>
          <w:sz w:val="20"/>
          <w:szCs w:val="20"/>
        </w:rPr>
        <w:t>信经营、维护公平竞争、强化行业自律和人才培养等方面的作用。指导行</w:t>
      </w:r>
      <w:r>
        <w:rPr>
          <w:rFonts w:ascii="宋体" w:hAnsi="宋体" w:eastAsia="宋体" w:cs="宋体"/>
          <w:spacing w:val="10"/>
          <w:sz w:val="20"/>
          <w:szCs w:val="20"/>
        </w:rPr>
        <w:t>业社会组织整合专家力</w:t>
      </w:r>
      <w:r>
        <w:rPr>
          <w:rFonts w:ascii="宋体" w:hAnsi="宋体" w:eastAsia="宋体" w:cs="宋体"/>
          <w:spacing w:val="7"/>
          <w:sz w:val="20"/>
          <w:szCs w:val="20"/>
        </w:rPr>
        <w:t>量，完善“总对总”在线诉调对接工作机制，积极开展工程造价纠纷第三方调解和争议评审工作，</w:t>
      </w:r>
      <w:r>
        <w:rPr>
          <w:rFonts w:ascii="宋体" w:hAnsi="宋体" w:eastAsia="宋体" w:cs="宋体"/>
          <w:spacing w:val="9"/>
          <w:sz w:val="20"/>
          <w:szCs w:val="20"/>
        </w:rPr>
        <w:t>促进工程造价纠纷高效化解，提升工程结算质量和效率。</w:t>
      </w:r>
    </w:p>
    <w:p>
      <w:pPr>
        <w:spacing w:before="163" w:line="218" w:lineRule="auto"/>
        <w:ind w:left="422"/>
        <w:rPr>
          <w:rFonts w:ascii="宋体" w:hAnsi="宋体" w:eastAsia="宋体" w:cs="宋体"/>
          <w:sz w:val="20"/>
          <w:szCs w:val="20"/>
        </w:rPr>
      </w:pPr>
      <w:r>
        <w:rPr>
          <w:rFonts w:ascii="宋体" w:hAnsi="宋体" w:eastAsia="宋体" w:cs="宋体"/>
          <w:spacing w:val="8"/>
          <w:sz w:val="20"/>
          <w:szCs w:val="20"/>
        </w:rPr>
        <w:t>本通知自发布之日起执行。</w:t>
      </w:r>
    </w:p>
    <w:p>
      <w:pPr>
        <w:spacing w:before="160" w:line="221" w:lineRule="auto"/>
        <w:ind w:left="6565"/>
        <w:rPr>
          <w:rFonts w:ascii="宋体" w:hAnsi="宋体" w:eastAsia="宋体" w:cs="宋体"/>
          <w:sz w:val="20"/>
          <w:szCs w:val="20"/>
        </w:rPr>
      </w:pPr>
      <w:r>
        <w:rPr>
          <w:rFonts w:ascii="宋体" w:hAnsi="宋体" w:eastAsia="宋体" w:cs="宋体"/>
          <w:spacing w:val="8"/>
          <w:sz w:val="20"/>
          <w:szCs w:val="20"/>
        </w:rPr>
        <w:t>山东省住房和城乡建设厅</w:t>
      </w:r>
    </w:p>
    <w:p>
      <w:pPr>
        <w:spacing w:before="158" w:line="278" w:lineRule="exact"/>
        <w:ind w:left="7240"/>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2"/>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9</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25"/>
          <w:position w:val="1"/>
          <w:sz w:val="20"/>
          <w:szCs w:val="20"/>
        </w:rPr>
        <w:t xml:space="preserve"> </w:t>
      </w:r>
      <w:r>
        <w:rPr>
          <w:rFonts w:ascii="宋体" w:hAnsi="宋体" w:eastAsia="宋体" w:cs="宋体"/>
          <w:spacing w:val="-1"/>
          <w:position w:val="1"/>
          <w:sz w:val="20"/>
          <w:szCs w:val="20"/>
        </w:rPr>
        <w:t>16 日</w:t>
      </w:r>
    </w:p>
    <w:p>
      <w:pPr>
        <w:spacing w:line="278" w:lineRule="exact"/>
        <w:rPr>
          <w:rFonts w:ascii="宋体" w:hAnsi="宋体" w:eastAsia="宋体" w:cs="宋体"/>
          <w:sz w:val="20"/>
          <w:szCs w:val="20"/>
        </w:rPr>
        <w:sectPr>
          <w:footerReference r:id="rId303" w:type="default"/>
          <w:pgSz w:w="11906" w:h="16839"/>
          <w:pgMar w:top="400" w:right="1420" w:bottom="1212" w:left="1416" w:header="0" w:footer="897" w:gutter="0"/>
        </w:sect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36" w:line="209" w:lineRule="auto"/>
        <w:ind w:left="2589"/>
        <w:outlineLvl w:val="0"/>
        <w:rPr>
          <w:rFonts w:ascii="方正小标宋简体" w:hAnsi="方正小标宋简体" w:eastAsia="方正小标宋简体" w:cs="方正小标宋简体"/>
          <w:sz w:val="35"/>
          <w:szCs w:val="35"/>
        </w:rPr>
      </w:pPr>
      <w:bookmarkStart w:id="225" w:name="bookmark128"/>
      <w:bookmarkEnd w:id="225"/>
      <w:r>
        <w:rPr>
          <w:rFonts w:ascii="方正小标宋简体" w:hAnsi="方正小标宋简体" w:eastAsia="方正小标宋简体" w:cs="方正小标宋简体"/>
          <w:spacing w:val="8"/>
          <w:sz w:val="35"/>
          <w:szCs w:val="35"/>
        </w:rPr>
        <w:t>山东省住房和城乡建设厅</w:t>
      </w:r>
    </w:p>
    <w:p>
      <w:pPr>
        <w:spacing w:before="110" w:line="235" w:lineRule="auto"/>
        <w:ind w:left="411"/>
        <w:outlineLvl w:val="0"/>
        <w:rPr>
          <w:rFonts w:ascii="方正小标宋简体" w:hAnsi="方正小标宋简体" w:eastAsia="方正小标宋简体" w:cs="方正小标宋简体"/>
          <w:sz w:val="35"/>
          <w:szCs w:val="35"/>
        </w:rPr>
      </w:pPr>
      <w:bookmarkStart w:id="226" w:name="bookmark128"/>
      <w:bookmarkEnd w:id="226"/>
      <w:r>
        <w:rPr>
          <w:rFonts w:ascii="方正小标宋简体" w:hAnsi="方正小标宋简体" w:eastAsia="方正小标宋简体" w:cs="方正小标宋简体"/>
          <w:spacing w:val="10"/>
          <w:sz w:val="35"/>
          <w:szCs w:val="35"/>
        </w:rPr>
        <w:t>关于落实房屋市政工程建设单位质量首要责</w:t>
      </w:r>
      <w:r>
        <w:rPr>
          <w:rFonts w:ascii="方正小标宋简体" w:hAnsi="方正小标宋简体" w:eastAsia="方正小标宋简体" w:cs="方正小标宋简体"/>
          <w:spacing w:val="9"/>
          <w:sz w:val="35"/>
          <w:szCs w:val="35"/>
        </w:rPr>
        <w:t>任的通知</w:t>
      </w:r>
    </w:p>
    <w:p>
      <w:pPr>
        <w:spacing w:line="348" w:lineRule="auto"/>
        <w:rPr>
          <w:rFonts w:ascii="Arial"/>
          <w:sz w:val="21"/>
        </w:rPr>
      </w:pPr>
    </w:p>
    <w:p>
      <w:pPr>
        <w:spacing w:before="65" w:line="370" w:lineRule="auto"/>
        <w:ind w:left="16"/>
        <w:rPr>
          <w:rFonts w:ascii="宋体" w:hAnsi="宋体" w:eastAsia="宋体" w:cs="宋体"/>
          <w:sz w:val="20"/>
          <w:szCs w:val="20"/>
        </w:rPr>
      </w:pPr>
      <w:r>
        <w:rPr>
          <w:rFonts w:ascii="宋体" w:hAnsi="宋体" w:eastAsia="宋体" w:cs="宋体"/>
          <w:spacing w:val="9"/>
          <w:sz w:val="20"/>
          <w:szCs w:val="20"/>
        </w:rPr>
        <w:t>各市住房城乡建设局、城市管理局、行政审批局,济南、青岛、淄博、枣庄、东</w:t>
      </w:r>
      <w:r>
        <w:rPr>
          <w:rFonts w:ascii="宋体" w:hAnsi="宋体" w:eastAsia="宋体" w:cs="宋体"/>
          <w:spacing w:val="8"/>
          <w:sz w:val="20"/>
          <w:szCs w:val="20"/>
        </w:rPr>
        <w:t>营、济宁、威海、</w:t>
      </w:r>
      <w:r>
        <w:rPr>
          <w:rFonts w:ascii="宋体" w:hAnsi="宋体" w:eastAsia="宋体" w:cs="宋体"/>
          <w:sz w:val="20"/>
          <w:szCs w:val="20"/>
        </w:rPr>
        <w:t>滨州、菏泽市水务(水利)局,济南、青岛市园林和林业(绿化)局,济南市城乡交通运输局,各有关单位：</w:t>
      </w:r>
    </w:p>
    <w:p>
      <w:pPr>
        <w:spacing w:before="1" w:line="369" w:lineRule="auto"/>
        <w:ind w:right="62" w:firstLine="436"/>
        <w:jc w:val="both"/>
        <w:rPr>
          <w:rFonts w:ascii="宋体" w:hAnsi="宋体" w:eastAsia="宋体" w:cs="宋体"/>
          <w:sz w:val="20"/>
          <w:szCs w:val="20"/>
        </w:rPr>
      </w:pPr>
      <w:r>
        <w:rPr>
          <w:rFonts w:ascii="宋体" w:hAnsi="宋体" w:eastAsia="宋体" w:cs="宋体"/>
          <w:spacing w:val="11"/>
          <w:sz w:val="20"/>
          <w:szCs w:val="20"/>
        </w:rPr>
        <w:t>建设单位是工程质量第一责任人，牵头落实质量终身责任制，依</w:t>
      </w:r>
      <w:r>
        <w:rPr>
          <w:rFonts w:ascii="宋体" w:hAnsi="宋体" w:eastAsia="宋体" w:cs="宋体"/>
          <w:spacing w:val="10"/>
          <w:sz w:val="20"/>
          <w:szCs w:val="20"/>
        </w:rPr>
        <w:t>法对工程质量承担首要责任</w:t>
      </w:r>
      <w:r>
        <w:rPr>
          <w:rFonts w:ascii="宋体" w:hAnsi="宋体" w:eastAsia="宋体" w:cs="宋体"/>
          <w:spacing w:val="11"/>
          <w:sz w:val="20"/>
          <w:szCs w:val="20"/>
        </w:rPr>
        <w:t>和全面责任。为进一步加强房屋市政工程质量管理工作，落实建设单位工程质量首要责任，根据《中华人民共和国建筑法》</w:t>
      </w:r>
      <w:r>
        <w:rPr>
          <w:rFonts w:ascii="宋体" w:hAnsi="宋体" w:eastAsia="宋体" w:cs="宋体"/>
          <w:spacing w:val="-26"/>
          <w:sz w:val="20"/>
          <w:szCs w:val="20"/>
        </w:rPr>
        <w:t xml:space="preserve"> </w:t>
      </w:r>
      <w:r>
        <w:rPr>
          <w:rFonts w:ascii="宋体" w:hAnsi="宋体" w:eastAsia="宋体" w:cs="宋体"/>
          <w:spacing w:val="11"/>
          <w:sz w:val="20"/>
          <w:szCs w:val="20"/>
        </w:rPr>
        <w:t>《建设工程质量管理条例》</w:t>
      </w:r>
      <w:r>
        <w:rPr>
          <w:rFonts w:ascii="宋体" w:hAnsi="宋体" w:eastAsia="宋体" w:cs="宋体"/>
          <w:spacing w:val="-29"/>
          <w:sz w:val="20"/>
          <w:szCs w:val="20"/>
        </w:rPr>
        <w:t xml:space="preserve"> </w:t>
      </w:r>
      <w:r>
        <w:rPr>
          <w:rFonts w:ascii="宋体" w:hAnsi="宋体" w:eastAsia="宋体" w:cs="宋体"/>
          <w:spacing w:val="11"/>
          <w:sz w:val="20"/>
          <w:szCs w:val="20"/>
        </w:rPr>
        <w:t>《城市房地产开发经营管理</w:t>
      </w:r>
      <w:r>
        <w:rPr>
          <w:rFonts w:ascii="宋体" w:hAnsi="宋体" w:eastAsia="宋体" w:cs="宋体"/>
          <w:spacing w:val="10"/>
          <w:sz w:val="20"/>
          <w:szCs w:val="20"/>
        </w:rPr>
        <w:t>条例》</w:t>
      </w:r>
      <w:r>
        <w:rPr>
          <w:rFonts w:ascii="宋体" w:hAnsi="宋体" w:eastAsia="宋体" w:cs="宋体"/>
          <w:spacing w:val="-26"/>
          <w:sz w:val="20"/>
          <w:szCs w:val="20"/>
        </w:rPr>
        <w:t xml:space="preserve"> </w:t>
      </w:r>
      <w:r>
        <w:rPr>
          <w:rFonts w:ascii="宋体" w:hAnsi="宋体" w:eastAsia="宋体" w:cs="宋体"/>
          <w:spacing w:val="10"/>
          <w:sz w:val="20"/>
          <w:szCs w:val="20"/>
        </w:rPr>
        <w:t>《房</w:t>
      </w:r>
      <w:r>
        <w:rPr>
          <w:rFonts w:ascii="宋体" w:hAnsi="宋体" w:eastAsia="宋体" w:cs="宋体"/>
          <w:spacing w:val="11"/>
          <w:sz w:val="20"/>
          <w:szCs w:val="20"/>
        </w:rPr>
        <w:t>屋建筑工程质量保修办法》 《商品房销售管理办法》 《住房和城乡建设部关</w:t>
      </w:r>
      <w:r>
        <w:rPr>
          <w:rFonts w:ascii="宋体" w:hAnsi="宋体" w:eastAsia="宋体" w:cs="宋体"/>
          <w:spacing w:val="10"/>
          <w:sz w:val="20"/>
          <w:szCs w:val="20"/>
        </w:rPr>
        <w:t>于落实建设单位工</w:t>
      </w:r>
      <w:r>
        <w:rPr>
          <w:rFonts w:ascii="宋体" w:hAnsi="宋体" w:eastAsia="宋体" w:cs="宋体"/>
          <w:spacing w:val="11"/>
          <w:sz w:val="20"/>
          <w:szCs w:val="20"/>
        </w:rPr>
        <w:t>程质量首要责任的通知》（建质规〔2020〕</w:t>
      </w:r>
      <w:r>
        <w:rPr>
          <w:rFonts w:ascii="宋体" w:hAnsi="宋体" w:eastAsia="宋体" w:cs="宋体"/>
          <w:spacing w:val="10"/>
          <w:sz w:val="20"/>
          <w:szCs w:val="20"/>
        </w:rPr>
        <w:t>9</w:t>
      </w:r>
      <w:r>
        <w:rPr>
          <w:rFonts w:ascii="宋体" w:hAnsi="宋体" w:eastAsia="宋体" w:cs="宋体"/>
          <w:spacing w:val="-37"/>
          <w:sz w:val="20"/>
          <w:szCs w:val="20"/>
        </w:rPr>
        <w:t xml:space="preserve"> </w:t>
      </w:r>
      <w:r>
        <w:rPr>
          <w:rFonts w:ascii="宋体" w:hAnsi="宋体" w:eastAsia="宋体" w:cs="宋体"/>
          <w:spacing w:val="10"/>
          <w:sz w:val="20"/>
          <w:szCs w:val="20"/>
        </w:rPr>
        <w:t>号）等法律法规及文件规定，结合实际</w:t>
      </w:r>
      <w:r>
        <w:rPr>
          <w:rFonts w:ascii="宋体" w:hAnsi="宋体" w:eastAsia="宋体" w:cs="宋体"/>
          <w:spacing w:val="-59"/>
          <w:sz w:val="20"/>
          <w:szCs w:val="20"/>
        </w:rPr>
        <w:t xml:space="preserve"> </w:t>
      </w:r>
      <w:r>
        <w:rPr>
          <w:rFonts w:ascii="宋体" w:hAnsi="宋体" w:eastAsia="宋体" w:cs="宋体"/>
          <w:spacing w:val="10"/>
          <w:sz w:val="20"/>
          <w:szCs w:val="20"/>
        </w:rPr>
        <w:t>，现就落实建设单位质量首要责任提出意见如下：</w:t>
      </w:r>
    </w:p>
    <w:p>
      <w:pPr>
        <w:spacing w:line="222" w:lineRule="auto"/>
        <w:ind w:left="437"/>
        <w:rPr>
          <w:rFonts w:ascii="宋体" w:hAnsi="宋体" w:eastAsia="宋体" w:cs="宋体"/>
          <w:sz w:val="20"/>
          <w:szCs w:val="20"/>
        </w:rPr>
      </w:pPr>
      <w:r>
        <w:rPr>
          <w:rFonts w:ascii="宋体" w:hAnsi="宋体" w:eastAsia="宋体" w:cs="宋体"/>
          <w:b/>
          <w:bCs/>
          <w:spacing w:val="8"/>
          <w:sz w:val="20"/>
          <w:szCs w:val="20"/>
        </w:rPr>
        <w:t>一、全面压实建设单位工程质量首要责任</w:t>
      </w:r>
    </w:p>
    <w:p>
      <w:pPr>
        <w:spacing w:before="154" w:line="333" w:lineRule="auto"/>
        <w:ind w:left="16" w:right="62" w:firstLine="411"/>
        <w:rPr>
          <w:rFonts w:ascii="宋体" w:hAnsi="宋体" w:eastAsia="宋体" w:cs="宋体"/>
          <w:sz w:val="20"/>
          <w:szCs w:val="20"/>
        </w:rPr>
      </w:pPr>
      <w:r>
        <w:rPr>
          <w:rFonts w:ascii="宋体" w:hAnsi="宋体" w:eastAsia="宋体" w:cs="宋体"/>
          <w:b/>
          <w:bCs/>
          <w:spacing w:val="8"/>
          <w:sz w:val="20"/>
          <w:szCs w:val="20"/>
        </w:rPr>
        <w:t>（一）</w:t>
      </w:r>
      <w:r>
        <w:rPr>
          <w:rFonts w:ascii="宋体" w:hAnsi="宋体" w:eastAsia="宋体" w:cs="宋体"/>
          <w:spacing w:val="8"/>
          <w:sz w:val="20"/>
          <w:szCs w:val="20"/>
        </w:rPr>
        <w:t xml:space="preserve"> </w:t>
      </w:r>
      <w:r>
        <w:rPr>
          <w:rFonts w:ascii="宋体" w:hAnsi="宋体" w:eastAsia="宋体" w:cs="宋体"/>
          <w:b/>
          <w:bCs/>
          <w:spacing w:val="8"/>
          <w:sz w:val="20"/>
          <w:szCs w:val="20"/>
        </w:rPr>
        <w:t>严格法定程序。</w:t>
      </w:r>
      <w:r>
        <w:rPr>
          <w:rFonts w:ascii="宋体" w:hAnsi="宋体" w:eastAsia="宋体" w:cs="宋体"/>
          <w:spacing w:val="8"/>
          <w:sz w:val="20"/>
          <w:szCs w:val="20"/>
        </w:rPr>
        <w:t>建设单位应严格执行法定基本建设程序。</w:t>
      </w:r>
      <w:r>
        <w:rPr>
          <w:rFonts w:ascii="宋体" w:hAnsi="宋体" w:eastAsia="宋体" w:cs="宋体"/>
          <w:spacing w:val="7"/>
          <w:sz w:val="20"/>
          <w:szCs w:val="20"/>
        </w:rPr>
        <w:t>开工前办理施工图设计文件</w:t>
      </w:r>
      <w:r>
        <w:rPr>
          <w:rFonts w:ascii="宋体" w:hAnsi="宋体" w:eastAsia="宋体" w:cs="宋体"/>
          <w:spacing w:val="8"/>
          <w:sz w:val="20"/>
          <w:szCs w:val="20"/>
        </w:rPr>
        <w:t>审查（含消防设计审查） 、施工许可（含质量、安全监督）等手续，严禁未批先建；竣工后依法组织竣工验收， 申请消防验收，办理消防验收备案，按时限办理竣工验收备案，及时移交建设工</w:t>
      </w:r>
      <w:r>
        <w:rPr>
          <w:rFonts w:ascii="宋体" w:hAnsi="宋体" w:eastAsia="宋体" w:cs="宋体"/>
          <w:spacing w:val="6"/>
          <w:sz w:val="20"/>
          <w:szCs w:val="20"/>
        </w:rPr>
        <w:t>程档案。</w:t>
      </w:r>
    </w:p>
    <w:p>
      <w:pPr>
        <w:spacing w:before="156" w:line="341" w:lineRule="auto"/>
        <w:ind w:left="15" w:right="63" w:firstLine="412"/>
        <w:rPr>
          <w:rFonts w:ascii="宋体" w:hAnsi="宋体" w:eastAsia="宋体" w:cs="宋体"/>
          <w:sz w:val="20"/>
          <w:szCs w:val="20"/>
        </w:rPr>
      </w:pPr>
      <w:r>
        <w:rPr>
          <w:rFonts w:ascii="宋体" w:hAnsi="宋体" w:eastAsia="宋体" w:cs="宋体"/>
          <w:b/>
          <w:bCs/>
          <w:spacing w:val="10"/>
          <w:sz w:val="20"/>
          <w:szCs w:val="20"/>
        </w:rPr>
        <w:t>（二）严格依法发包。</w:t>
      </w:r>
      <w:r>
        <w:rPr>
          <w:rFonts w:ascii="宋体" w:hAnsi="宋体" w:eastAsia="宋体" w:cs="宋体"/>
          <w:spacing w:val="10"/>
          <w:sz w:val="20"/>
          <w:szCs w:val="20"/>
        </w:rPr>
        <w:t>建设单位应依法组织招标，确定具备相应资质的勘察、设计、施工、</w:t>
      </w:r>
      <w:r>
        <w:rPr>
          <w:rFonts w:ascii="宋体" w:hAnsi="宋体" w:eastAsia="宋体" w:cs="宋体"/>
          <w:spacing w:val="11"/>
          <w:sz w:val="20"/>
          <w:szCs w:val="20"/>
        </w:rPr>
        <w:t>监理、检测等单位，不得迫使工程参建各方以低于成本价格承揽任</w:t>
      </w:r>
      <w:r>
        <w:rPr>
          <w:rFonts w:ascii="宋体" w:hAnsi="宋体" w:eastAsia="宋体" w:cs="宋体"/>
          <w:spacing w:val="10"/>
          <w:sz w:val="20"/>
          <w:szCs w:val="20"/>
        </w:rPr>
        <w:t>务。招标文件应明确预付款比</w:t>
      </w:r>
      <w:r>
        <w:rPr>
          <w:rFonts w:ascii="宋体" w:hAnsi="宋体" w:eastAsia="宋体" w:cs="宋体"/>
          <w:spacing w:val="11"/>
          <w:sz w:val="20"/>
          <w:szCs w:val="20"/>
        </w:rPr>
        <w:t>例、工程质量目标及违约责任。建设单位不得肢解发包，违规指定</w:t>
      </w:r>
      <w:r>
        <w:rPr>
          <w:rFonts w:ascii="宋体" w:hAnsi="宋体" w:eastAsia="宋体" w:cs="宋体"/>
          <w:spacing w:val="10"/>
          <w:sz w:val="20"/>
          <w:szCs w:val="20"/>
        </w:rPr>
        <w:t>分包单位，不得直接发包预拌</w:t>
      </w:r>
      <w:r>
        <w:rPr>
          <w:rFonts w:ascii="宋体" w:hAnsi="宋体" w:eastAsia="宋体" w:cs="宋体"/>
          <w:spacing w:val="11"/>
          <w:sz w:val="20"/>
          <w:szCs w:val="20"/>
        </w:rPr>
        <w:t>混凝土等专业分包工程。建设单位应采取必要措施预防施工单位转</w:t>
      </w:r>
      <w:r>
        <w:rPr>
          <w:rFonts w:ascii="宋体" w:hAnsi="宋体" w:eastAsia="宋体" w:cs="宋体"/>
          <w:spacing w:val="10"/>
          <w:sz w:val="20"/>
          <w:szCs w:val="20"/>
        </w:rPr>
        <w:t>包、违法分包或者挂靠资质等</w:t>
      </w:r>
      <w:r>
        <w:rPr>
          <w:rFonts w:ascii="宋体" w:hAnsi="宋体" w:eastAsia="宋体" w:cs="宋体"/>
          <w:spacing w:val="9"/>
          <w:sz w:val="20"/>
          <w:szCs w:val="20"/>
        </w:rPr>
        <w:t>违法行为，有权要求施工总承包单位按照合同约定提供工程建设资金流向证明。</w:t>
      </w:r>
    </w:p>
    <w:p>
      <w:pPr>
        <w:spacing w:before="157" w:line="345" w:lineRule="auto"/>
        <w:ind w:left="15" w:right="62" w:firstLine="412"/>
        <w:rPr>
          <w:rFonts w:ascii="宋体" w:hAnsi="宋体" w:eastAsia="宋体" w:cs="宋体"/>
          <w:sz w:val="20"/>
          <w:szCs w:val="20"/>
        </w:rPr>
      </w:pPr>
      <w:r>
        <w:rPr>
          <w:rFonts w:ascii="宋体" w:hAnsi="宋体" w:eastAsia="宋体" w:cs="宋体"/>
          <w:b/>
          <w:bCs/>
          <w:spacing w:val="10"/>
          <w:sz w:val="20"/>
          <w:szCs w:val="20"/>
        </w:rPr>
        <w:t>（三）保证合理工期和造价。</w:t>
      </w:r>
      <w:r>
        <w:rPr>
          <w:rFonts w:ascii="宋体" w:hAnsi="宋体" w:eastAsia="宋体" w:cs="宋体"/>
          <w:spacing w:val="10"/>
          <w:sz w:val="20"/>
          <w:szCs w:val="20"/>
        </w:rPr>
        <w:t>建设单位不得任意压缩合理工期，确需调整工期且具备可行性</w:t>
      </w:r>
      <w:r>
        <w:rPr>
          <w:rFonts w:ascii="宋体" w:hAnsi="宋体" w:eastAsia="宋体" w:cs="宋体"/>
          <w:spacing w:val="11"/>
          <w:sz w:val="20"/>
          <w:szCs w:val="20"/>
        </w:rPr>
        <w:t>的，应当提出保证工程质量和安全的技术措施和方案，经专家论证</w:t>
      </w:r>
      <w:r>
        <w:rPr>
          <w:rFonts w:ascii="宋体" w:hAnsi="宋体" w:eastAsia="宋体" w:cs="宋体"/>
          <w:spacing w:val="10"/>
          <w:sz w:val="20"/>
          <w:szCs w:val="20"/>
        </w:rPr>
        <w:t>通过后方可实施，并承担相应</w:t>
      </w:r>
      <w:r>
        <w:rPr>
          <w:rFonts w:ascii="宋体" w:hAnsi="宋体" w:eastAsia="宋体" w:cs="宋体"/>
          <w:spacing w:val="8"/>
          <w:sz w:val="20"/>
          <w:szCs w:val="20"/>
        </w:rPr>
        <w:t>增加的费用。 因极端恶劣天气等不可抗力以及重污染天气、重大活动保障等原因导致的停工，应</w:t>
      </w:r>
      <w:r>
        <w:rPr>
          <w:rFonts w:ascii="宋体" w:hAnsi="宋体" w:eastAsia="宋体" w:cs="宋体"/>
          <w:spacing w:val="11"/>
          <w:sz w:val="20"/>
          <w:szCs w:val="20"/>
        </w:rPr>
        <w:t>给予合理的工期补偿。建设单位应在施工合同中完整、准确约定工</w:t>
      </w:r>
      <w:r>
        <w:rPr>
          <w:rFonts w:ascii="宋体" w:hAnsi="宋体" w:eastAsia="宋体" w:cs="宋体"/>
          <w:spacing w:val="10"/>
          <w:sz w:val="20"/>
          <w:szCs w:val="20"/>
        </w:rPr>
        <w:t>作内容、项目特征、合同价格</w:t>
      </w:r>
      <w:r>
        <w:rPr>
          <w:rFonts w:ascii="宋体" w:hAnsi="宋体" w:eastAsia="宋体" w:cs="宋体"/>
          <w:spacing w:val="11"/>
          <w:sz w:val="20"/>
          <w:szCs w:val="20"/>
        </w:rPr>
        <w:t>以及风险分担方式，不得要求施工单位承担无限价格风险。推行优</w:t>
      </w:r>
      <w:r>
        <w:rPr>
          <w:rFonts w:ascii="宋体" w:hAnsi="宋体" w:eastAsia="宋体" w:cs="宋体"/>
          <w:spacing w:val="10"/>
          <w:sz w:val="20"/>
          <w:szCs w:val="20"/>
        </w:rPr>
        <w:t>质优价，鼓励建设单位在招标</w:t>
      </w:r>
      <w:r>
        <w:rPr>
          <w:rFonts w:ascii="宋体" w:hAnsi="宋体" w:eastAsia="宋体" w:cs="宋体"/>
          <w:spacing w:val="9"/>
          <w:sz w:val="20"/>
          <w:szCs w:val="20"/>
        </w:rPr>
        <w:t>文件、合同中约定工程创优目标和列支费用。</w:t>
      </w:r>
    </w:p>
    <w:p>
      <w:pPr>
        <w:spacing w:before="155" w:line="322" w:lineRule="auto"/>
        <w:ind w:left="15" w:right="62" w:firstLine="413"/>
        <w:rPr>
          <w:rFonts w:ascii="宋体" w:hAnsi="宋体" w:eastAsia="宋体" w:cs="宋体"/>
          <w:sz w:val="20"/>
          <w:szCs w:val="20"/>
        </w:rPr>
      </w:pPr>
      <w:r>
        <w:rPr>
          <w:rFonts w:ascii="宋体" w:hAnsi="宋体" w:eastAsia="宋体" w:cs="宋体"/>
          <w:b/>
          <w:bCs/>
          <w:spacing w:val="7"/>
          <w:sz w:val="20"/>
          <w:szCs w:val="20"/>
        </w:rPr>
        <w:t>（</w:t>
      </w:r>
      <w:r>
        <w:rPr>
          <w:rFonts w:ascii="宋体" w:hAnsi="宋体" w:eastAsia="宋体" w:cs="宋体"/>
          <w:spacing w:val="-44"/>
          <w:sz w:val="20"/>
          <w:szCs w:val="20"/>
        </w:rPr>
        <w:t xml:space="preserve"> </w:t>
      </w:r>
      <w:r>
        <w:rPr>
          <w:rFonts w:ascii="宋体" w:hAnsi="宋体" w:eastAsia="宋体" w:cs="宋体"/>
          <w:b/>
          <w:bCs/>
          <w:spacing w:val="7"/>
          <w:sz w:val="20"/>
          <w:szCs w:val="20"/>
        </w:rPr>
        <w:t>四）</w:t>
      </w:r>
      <w:r>
        <w:rPr>
          <w:rFonts w:ascii="宋体" w:hAnsi="宋体" w:eastAsia="宋体" w:cs="宋体"/>
          <w:spacing w:val="-19"/>
          <w:sz w:val="20"/>
          <w:szCs w:val="20"/>
        </w:rPr>
        <w:t xml:space="preserve"> </w:t>
      </w:r>
      <w:r>
        <w:rPr>
          <w:rFonts w:ascii="宋体" w:hAnsi="宋体" w:eastAsia="宋体" w:cs="宋体"/>
          <w:b/>
          <w:bCs/>
          <w:spacing w:val="7"/>
          <w:sz w:val="20"/>
          <w:szCs w:val="20"/>
        </w:rPr>
        <w:t>如实提供有关资料。</w:t>
      </w:r>
      <w:r>
        <w:rPr>
          <w:rFonts w:ascii="宋体" w:hAnsi="宋体" w:eastAsia="宋体" w:cs="宋体"/>
          <w:spacing w:val="7"/>
          <w:sz w:val="20"/>
          <w:szCs w:val="20"/>
        </w:rPr>
        <w:t>建设单位按规定向勘察、设计、施工、监理等单位提</w:t>
      </w:r>
      <w:r>
        <w:rPr>
          <w:rFonts w:ascii="宋体" w:hAnsi="宋体" w:eastAsia="宋体" w:cs="宋体"/>
          <w:spacing w:val="6"/>
          <w:sz w:val="20"/>
          <w:szCs w:val="20"/>
        </w:rPr>
        <w:t>供工程及毗</w:t>
      </w:r>
      <w:r>
        <w:rPr>
          <w:rFonts w:ascii="宋体" w:hAnsi="宋体" w:eastAsia="宋体" w:cs="宋体"/>
          <w:spacing w:val="11"/>
          <w:sz w:val="20"/>
          <w:szCs w:val="20"/>
        </w:rPr>
        <w:t>邻区内供水、排水、供电、供气、供热、供冷、通信、广播电视等</w:t>
      </w:r>
      <w:r>
        <w:rPr>
          <w:rFonts w:ascii="宋体" w:hAnsi="宋体" w:eastAsia="宋体" w:cs="宋体"/>
          <w:spacing w:val="10"/>
          <w:sz w:val="20"/>
          <w:szCs w:val="20"/>
        </w:rPr>
        <w:t>地下管线资料，地质、气象和水文观测资料，相邻建筑物和构筑物地下工程的有关资料</w:t>
      </w:r>
      <w:r>
        <w:rPr>
          <w:rFonts w:ascii="宋体" w:hAnsi="宋体" w:eastAsia="宋体" w:cs="宋体"/>
          <w:spacing w:val="9"/>
          <w:sz w:val="20"/>
          <w:szCs w:val="20"/>
        </w:rPr>
        <w:t>，并保证资料的真实、准确、完整。</w:t>
      </w:r>
    </w:p>
    <w:p>
      <w:pPr>
        <w:spacing w:before="154" w:line="333" w:lineRule="auto"/>
        <w:ind w:left="14" w:right="62" w:firstLine="413"/>
        <w:rPr>
          <w:rFonts w:ascii="宋体" w:hAnsi="宋体" w:eastAsia="宋体" w:cs="宋体"/>
          <w:sz w:val="20"/>
          <w:szCs w:val="20"/>
        </w:rPr>
      </w:pPr>
      <w:r>
        <w:rPr>
          <w:rFonts w:ascii="宋体" w:hAnsi="宋体" w:eastAsia="宋体" w:cs="宋体"/>
          <w:b/>
          <w:bCs/>
          <w:spacing w:val="8"/>
          <w:sz w:val="20"/>
          <w:szCs w:val="20"/>
        </w:rPr>
        <w:t>（五）</w:t>
      </w:r>
      <w:r>
        <w:rPr>
          <w:rFonts w:ascii="宋体" w:hAnsi="宋体" w:eastAsia="宋体" w:cs="宋体"/>
          <w:spacing w:val="8"/>
          <w:sz w:val="20"/>
          <w:szCs w:val="20"/>
        </w:rPr>
        <w:t xml:space="preserve"> </w:t>
      </w:r>
      <w:r>
        <w:rPr>
          <w:rFonts w:ascii="宋体" w:hAnsi="宋体" w:eastAsia="宋体" w:cs="宋体"/>
          <w:b/>
          <w:bCs/>
          <w:spacing w:val="8"/>
          <w:sz w:val="20"/>
          <w:szCs w:val="20"/>
        </w:rPr>
        <w:t>严格委托勘察设计。</w:t>
      </w:r>
      <w:r>
        <w:rPr>
          <w:rFonts w:ascii="宋体" w:hAnsi="宋体" w:eastAsia="宋体" w:cs="宋体"/>
          <w:spacing w:val="8"/>
          <w:sz w:val="20"/>
          <w:szCs w:val="20"/>
        </w:rPr>
        <w:t>在勘察阶段，建设单位应组</w:t>
      </w:r>
      <w:r>
        <w:rPr>
          <w:rFonts w:ascii="宋体" w:hAnsi="宋体" w:eastAsia="宋体" w:cs="宋体"/>
          <w:spacing w:val="7"/>
          <w:sz w:val="20"/>
          <w:szCs w:val="20"/>
        </w:rPr>
        <w:t>织勘察报告验收、勘察技术交底和验</w:t>
      </w:r>
      <w:r>
        <w:rPr>
          <w:rFonts w:ascii="宋体" w:hAnsi="宋体" w:eastAsia="宋体" w:cs="宋体"/>
          <w:spacing w:val="11"/>
          <w:sz w:val="20"/>
          <w:szCs w:val="20"/>
        </w:rPr>
        <w:t>槽；在委托设计时，不得设定降低工程质量标准的构件配筋率、单位</w:t>
      </w:r>
      <w:r>
        <w:rPr>
          <w:rFonts w:ascii="宋体" w:hAnsi="宋体" w:eastAsia="宋体" w:cs="宋体"/>
          <w:spacing w:val="10"/>
          <w:sz w:val="20"/>
          <w:szCs w:val="20"/>
        </w:rPr>
        <w:t>建筑面积钢筋用量上限等要</w:t>
      </w:r>
      <w:r>
        <w:rPr>
          <w:rFonts w:ascii="宋体" w:hAnsi="宋体" w:eastAsia="宋体" w:cs="宋体"/>
          <w:spacing w:val="11"/>
          <w:sz w:val="20"/>
          <w:szCs w:val="20"/>
        </w:rPr>
        <w:t>求；严禁以“优化设计”等名义变相违反工程建设强制性标准。建设</w:t>
      </w:r>
      <w:r>
        <w:rPr>
          <w:rFonts w:ascii="宋体" w:hAnsi="宋体" w:eastAsia="宋体" w:cs="宋体"/>
          <w:spacing w:val="10"/>
          <w:sz w:val="20"/>
          <w:szCs w:val="20"/>
        </w:rPr>
        <w:t>单位不得擅自修改经审查合</w:t>
      </w:r>
      <w:r>
        <w:rPr>
          <w:rFonts w:ascii="宋体" w:hAnsi="宋体" w:eastAsia="宋体" w:cs="宋体"/>
          <w:spacing w:val="11"/>
          <w:sz w:val="20"/>
          <w:szCs w:val="20"/>
        </w:rPr>
        <w:t>格的施工图设计文件，确需修改的，应送原审查机构重新审查。属于</w:t>
      </w:r>
      <w:r>
        <w:rPr>
          <w:rFonts w:ascii="宋体" w:hAnsi="宋体" w:eastAsia="宋体" w:cs="宋体"/>
          <w:spacing w:val="10"/>
          <w:sz w:val="20"/>
          <w:szCs w:val="20"/>
        </w:rPr>
        <w:t>特殊建设工程的，应依法申</w:t>
      </w:r>
    </w:p>
    <w:p>
      <w:pPr>
        <w:spacing w:line="333" w:lineRule="auto"/>
        <w:rPr>
          <w:rFonts w:ascii="宋体" w:hAnsi="宋体" w:eastAsia="宋体" w:cs="宋体"/>
          <w:sz w:val="20"/>
          <w:szCs w:val="20"/>
        </w:rPr>
        <w:sectPr>
          <w:footerReference r:id="rId304" w:type="default"/>
          <w:pgSz w:w="11906" w:h="16839"/>
          <w:pgMar w:top="400" w:right="1573" w:bottom="1212" w:left="1403"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rPr>
          <w:rFonts w:ascii="宋体" w:hAnsi="宋体" w:eastAsia="宋体" w:cs="宋体"/>
          <w:sz w:val="20"/>
          <w:szCs w:val="20"/>
        </w:rPr>
      </w:pPr>
      <w:bookmarkStart w:id="227" w:name="bookmark199"/>
      <w:bookmarkEnd w:id="227"/>
      <w:r>
        <w:rPr>
          <w:rFonts w:ascii="宋体" w:hAnsi="宋体" w:eastAsia="宋体" w:cs="宋体"/>
          <w:spacing w:val="8"/>
          <w:sz w:val="20"/>
          <w:szCs w:val="20"/>
        </w:rPr>
        <w:t>请消防设计审查。</w:t>
      </w:r>
    </w:p>
    <w:p>
      <w:pPr>
        <w:spacing w:before="159" w:line="368" w:lineRule="auto"/>
        <w:ind w:left="2" w:right="151" w:firstLine="412"/>
        <w:jc w:val="both"/>
        <w:rPr>
          <w:rFonts w:ascii="宋体" w:hAnsi="宋体" w:eastAsia="宋体" w:cs="宋体"/>
          <w:sz w:val="20"/>
          <w:szCs w:val="20"/>
        </w:rPr>
      </w:pPr>
      <w:r>
        <w:rPr>
          <w:rFonts w:ascii="宋体" w:hAnsi="宋体" w:eastAsia="宋体" w:cs="宋体"/>
          <w:b/>
          <w:bCs/>
          <w:spacing w:val="7"/>
          <w:sz w:val="20"/>
          <w:szCs w:val="20"/>
        </w:rPr>
        <w:t>（六）</w:t>
      </w:r>
      <w:r>
        <w:rPr>
          <w:rFonts w:ascii="宋体" w:hAnsi="宋体" w:eastAsia="宋体" w:cs="宋体"/>
          <w:spacing w:val="7"/>
          <w:sz w:val="20"/>
          <w:szCs w:val="20"/>
        </w:rPr>
        <w:t xml:space="preserve"> </w:t>
      </w:r>
      <w:r>
        <w:rPr>
          <w:rFonts w:ascii="宋体" w:hAnsi="宋体" w:eastAsia="宋体" w:cs="宋体"/>
          <w:b/>
          <w:bCs/>
          <w:spacing w:val="7"/>
          <w:sz w:val="20"/>
          <w:szCs w:val="20"/>
        </w:rPr>
        <w:t>保证建设资金到位和工程款、农民工工资支付。</w:t>
      </w:r>
      <w:r>
        <w:rPr>
          <w:rFonts w:ascii="宋体" w:hAnsi="宋体" w:eastAsia="宋体" w:cs="宋体"/>
          <w:spacing w:val="7"/>
          <w:sz w:val="20"/>
          <w:szCs w:val="20"/>
        </w:rPr>
        <w:t>建设单位应当有满足施工所需的资金安排，并向施工单位提供工程款支付担保。建设单位要积极推进施工过程结算和无争议价款结算，</w:t>
      </w:r>
      <w:r>
        <w:rPr>
          <w:rFonts w:ascii="宋体" w:hAnsi="宋体" w:eastAsia="宋体" w:cs="宋体"/>
          <w:spacing w:val="11"/>
          <w:sz w:val="20"/>
          <w:szCs w:val="20"/>
        </w:rPr>
        <w:t>按照合同约定拨付工程款，不得以审计或结算审核结果未出具为由</w:t>
      </w:r>
      <w:r>
        <w:rPr>
          <w:rFonts w:ascii="宋体" w:hAnsi="宋体" w:eastAsia="宋体" w:cs="宋体"/>
          <w:spacing w:val="10"/>
          <w:sz w:val="20"/>
          <w:szCs w:val="20"/>
        </w:rPr>
        <w:t>拒绝或迟延支付工程款。建设</w:t>
      </w:r>
      <w:r>
        <w:rPr>
          <w:rFonts w:ascii="宋体" w:hAnsi="宋体" w:eastAsia="宋体" w:cs="宋体"/>
          <w:spacing w:val="8"/>
          <w:sz w:val="20"/>
          <w:szCs w:val="20"/>
        </w:rPr>
        <w:t>单位应将人工费用及时足额拨付至农民工工资专用账户，拨付周期不得超过一个月， 因建设单位</w:t>
      </w:r>
      <w:r>
        <w:rPr>
          <w:rFonts w:ascii="宋体" w:hAnsi="宋体" w:eastAsia="宋体" w:cs="宋体"/>
          <w:spacing w:val="11"/>
          <w:sz w:val="20"/>
          <w:szCs w:val="20"/>
        </w:rPr>
        <w:t>未及时拨付工程款导致农民工工资拖欠的，建设单位应当以未结清</w:t>
      </w:r>
      <w:r>
        <w:rPr>
          <w:rFonts w:ascii="宋体" w:hAnsi="宋体" w:eastAsia="宋体" w:cs="宋体"/>
          <w:spacing w:val="10"/>
          <w:sz w:val="20"/>
          <w:szCs w:val="20"/>
        </w:rPr>
        <w:t>的工程款为限先行垫付被拖欠</w:t>
      </w:r>
      <w:r>
        <w:rPr>
          <w:rFonts w:ascii="宋体" w:hAnsi="宋体" w:eastAsia="宋体" w:cs="宋体"/>
          <w:spacing w:val="7"/>
          <w:sz w:val="20"/>
          <w:szCs w:val="20"/>
        </w:rPr>
        <w:t>的农民工工资。</w:t>
      </w:r>
    </w:p>
    <w:p>
      <w:pPr>
        <w:spacing w:before="8" w:line="221" w:lineRule="auto"/>
        <w:ind w:left="423"/>
        <w:rPr>
          <w:rFonts w:ascii="宋体" w:hAnsi="宋体" w:eastAsia="宋体" w:cs="宋体"/>
          <w:sz w:val="20"/>
          <w:szCs w:val="20"/>
        </w:rPr>
      </w:pPr>
      <w:r>
        <w:rPr>
          <w:rFonts w:ascii="宋体" w:hAnsi="宋体" w:eastAsia="宋体" w:cs="宋体"/>
          <w:b/>
          <w:bCs/>
          <w:spacing w:val="8"/>
          <w:sz w:val="20"/>
          <w:szCs w:val="20"/>
        </w:rPr>
        <w:t>二、全面履行工程建设全过程质量管理职责</w:t>
      </w:r>
    </w:p>
    <w:p>
      <w:pPr>
        <w:spacing w:before="160" w:line="345" w:lineRule="auto"/>
        <w:ind w:left="3" w:right="153" w:firstLine="411"/>
        <w:rPr>
          <w:rFonts w:ascii="宋体" w:hAnsi="宋体" w:eastAsia="宋体" w:cs="宋体"/>
          <w:sz w:val="20"/>
          <w:szCs w:val="20"/>
        </w:rPr>
      </w:pPr>
      <w:r>
        <w:rPr>
          <w:rFonts w:ascii="宋体" w:hAnsi="宋体" w:eastAsia="宋体" w:cs="宋体"/>
          <w:b/>
          <w:bCs/>
          <w:spacing w:val="5"/>
          <w:sz w:val="20"/>
          <w:szCs w:val="20"/>
        </w:rPr>
        <w:t>（七）</w:t>
      </w:r>
      <w:r>
        <w:rPr>
          <w:rFonts w:ascii="宋体" w:hAnsi="宋体" w:eastAsia="宋体" w:cs="宋体"/>
          <w:spacing w:val="-40"/>
          <w:sz w:val="20"/>
          <w:szCs w:val="20"/>
        </w:rPr>
        <w:t xml:space="preserve"> </w:t>
      </w:r>
      <w:r>
        <w:rPr>
          <w:rFonts w:ascii="宋体" w:hAnsi="宋体" w:eastAsia="宋体" w:cs="宋体"/>
          <w:b/>
          <w:bCs/>
          <w:spacing w:val="5"/>
          <w:sz w:val="20"/>
          <w:szCs w:val="20"/>
        </w:rPr>
        <w:t>建立健全工程质量管理体系。</w:t>
      </w:r>
      <w:r>
        <w:rPr>
          <w:rFonts w:ascii="宋体" w:hAnsi="宋体" w:eastAsia="宋体" w:cs="宋体"/>
          <w:spacing w:val="5"/>
          <w:sz w:val="20"/>
          <w:szCs w:val="20"/>
        </w:rPr>
        <w:t>建设单位应制定工程质量总体目标，完善质量责任制度，</w:t>
      </w:r>
      <w:r>
        <w:rPr>
          <w:rFonts w:ascii="宋体" w:hAnsi="宋体" w:eastAsia="宋体" w:cs="宋体"/>
          <w:spacing w:val="11"/>
          <w:sz w:val="20"/>
          <w:szCs w:val="20"/>
        </w:rPr>
        <w:t>在施工现场设立专门质量管理部门或配备与工程规模相适应的专</w:t>
      </w:r>
      <w:r>
        <w:rPr>
          <w:rFonts w:ascii="宋体" w:hAnsi="宋体" w:eastAsia="宋体" w:cs="宋体"/>
          <w:spacing w:val="10"/>
          <w:sz w:val="20"/>
          <w:szCs w:val="20"/>
        </w:rPr>
        <w:t>职质量管理人员，加强对关键部位、关键工序、隐蔽工程等质量管控节点监督检查。</w:t>
      </w:r>
      <w:r>
        <w:rPr>
          <w:rFonts w:ascii="宋体" w:hAnsi="宋体" w:eastAsia="宋体" w:cs="宋体"/>
          <w:spacing w:val="9"/>
          <w:sz w:val="20"/>
          <w:szCs w:val="20"/>
        </w:rPr>
        <w:t>房地产开发企业应有效防控隔音差、 串味、</w:t>
      </w:r>
      <w:r>
        <w:rPr>
          <w:rFonts w:ascii="宋体" w:hAnsi="宋体" w:eastAsia="宋体" w:cs="宋体"/>
          <w:spacing w:val="11"/>
          <w:sz w:val="20"/>
          <w:szCs w:val="20"/>
        </w:rPr>
        <w:t>渗漏、开裂等住宅工程质量易发问题。建设单位应落实质量信息</w:t>
      </w:r>
      <w:r>
        <w:rPr>
          <w:rFonts w:ascii="宋体" w:hAnsi="宋体" w:eastAsia="宋体" w:cs="宋体"/>
          <w:spacing w:val="10"/>
          <w:sz w:val="20"/>
          <w:szCs w:val="20"/>
        </w:rPr>
        <w:t>公示制度，在施工现场、商品房</w:t>
      </w:r>
      <w:r>
        <w:rPr>
          <w:rFonts w:ascii="宋体" w:hAnsi="宋体" w:eastAsia="宋体" w:cs="宋体"/>
          <w:spacing w:val="11"/>
          <w:sz w:val="20"/>
          <w:szCs w:val="20"/>
        </w:rPr>
        <w:t>销售现场显著位置持续公示项目基本信息、工程质量终身责任单</w:t>
      </w:r>
      <w:r>
        <w:rPr>
          <w:rFonts w:ascii="宋体" w:hAnsi="宋体" w:eastAsia="宋体" w:cs="宋体"/>
          <w:spacing w:val="10"/>
          <w:sz w:val="20"/>
          <w:szCs w:val="20"/>
        </w:rPr>
        <w:t>位及负责人信息、主要建筑材料</w:t>
      </w:r>
      <w:r>
        <w:rPr>
          <w:rFonts w:ascii="宋体" w:hAnsi="宋体" w:eastAsia="宋体" w:cs="宋体"/>
          <w:spacing w:val="9"/>
          <w:sz w:val="20"/>
          <w:szCs w:val="20"/>
        </w:rPr>
        <w:t>信息等， 工程竣工后设置永久性质量责任标牌。</w:t>
      </w:r>
    </w:p>
    <w:p>
      <w:pPr>
        <w:spacing w:before="154" w:line="341" w:lineRule="auto"/>
        <w:ind w:left="1" w:right="215" w:firstLine="413"/>
        <w:rPr>
          <w:rFonts w:ascii="宋体" w:hAnsi="宋体" w:eastAsia="宋体" w:cs="宋体"/>
          <w:sz w:val="20"/>
          <w:szCs w:val="20"/>
        </w:rPr>
      </w:pPr>
      <w:r>
        <w:rPr>
          <w:rFonts w:ascii="宋体" w:hAnsi="宋体" w:eastAsia="宋体" w:cs="宋体"/>
          <w:b/>
          <w:bCs/>
          <w:spacing w:val="10"/>
          <w:sz w:val="20"/>
          <w:szCs w:val="20"/>
        </w:rPr>
        <w:t>（八）加强建材、部品部件、设备质量管理。</w:t>
      </w:r>
      <w:r>
        <w:rPr>
          <w:rFonts w:ascii="宋体" w:hAnsi="宋体" w:eastAsia="宋体" w:cs="宋体"/>
          <w:spacing w:val="10"/>
          <w:sz w:val="20"/>
          <w:szCs w:val="20"/>
        </w:rPr>
        <w:t>建设单位不得明示或暗示施工单位</w:t>
      </w:r>
      <w:r>
        <w:rPr>
          <w:rFonts w:ascii="宋体" w:hAnsi="宋体" w:eastAsia="宋体" w:cs="宋体"/>
          <w:spacing w:val="9"/>
          <w:sz w:val="20"/>
          <w:szCs w:val="20"/>
        </w:rPr>
        <w:t>使用不合格</w:t>
      </w:r>
      <w:r>
        <w:rPr>
          <w:rFonts w:ascii="宋体" w:hAnsi="宋体" w:eastAsia="宋体" w:cs="宋体"/>
          <w:spacing w:val="11"/>
          <w:sz w:val="20"/>
          <w:szCs w:val="20"/>
        </w:rPr>
        <w:t>建筑材料、部品部件和设备； 由施工单位负</w:t>
      </w:r>
      <w:r>
        <w:rPr>
          <w:rFonts w:ascii="宋体" w:hAnsi="宋体" w:eastAsia="宋体" w:cs="宋体"/>
          <w:spacing w:val="10"/>
          <w:sz w:val="20"/>
          <w:szCs w:val="20"/>
        </w:rPr>
        <w:t>责采购的，建设单位不得指定生产厂、供应商； 由</w:t>
      </w:r>
      <w:r>
        <w:rPr>
          <w:rFonts w:ascii="宋体" w:hAnsi="宋体" w:eastAsia="宋体" w:cs="宋体"/>
          <w:spacing w:val="11"/>
          <w:sz w:val="20"/>
          <w:szCs w:val="20"/>
        </w:rPr>
        <w:t>建设单位采购的，应保证其质量符合设计文件和合同要求。建设单</w:t>
      </w:r>
      <w:r>
        <w:rPr>
          <w:rFonts w:ascii="宋体" w:hAnsi="宋体" w:eastAsia="宋体" w:cs="宋体"/>
          <w:spacing w:val="10"/>
          <w:sz w:val="20"/>
          <w:szCs w:val="20"/>
        </w:rPr>
        <w:t>位应参与或委托监理单位对主</w:t>
      </w:r>
      <w:r>
        <w:rPr>
          <w:rFonts w:ascii="宋体" w:hAnsi="宋体" w:eastAsia="宋体" w:cs="宋体"/>
          <w:spacing w:val="9"/>
          <w:sz w:val="20"/>
          <w:szCs w:val="20"/>
        </w:rPr>
        <w:t>要建筑材料、 部品部件和设备实施进场验收，凡不合格的不得使用。</w:t>
      </w:r>
    </w:p>
    <w:p>
      <w:pPr>
        <w:spacing w:before="120" w:line="341" w:lineRule="auto"/>
        <w:ind w:left="3" w:right="215" w:firstLine="410"/>
        <w:rPr>
          <w:rFonts w:ascii="宋体" w:hAnsi="宋体" w:eastAsia="宋体" w:cs="宋体"/>
          <w:sz w:val="20"/>
          <w:szCs w:val="20"/>
        </w:rPr>
      </w:pPr>
      <w:r>
        <w:rPr>
          <w:rFonts w:ascii="宋体" w:hAnsi="宋体" w:eastAsia="宋体" w:cs="宋体"/>
          <w:b/>
          <w:bCs/>
          <w:spacing w:val="8"/>
          <w:sz w:val="20"/>
          <w:szCs w:val="20"/>
        </w:rPr>
        <w:t>（九）</w:t>
      </w:r>
      <w:r>
        <w:rPr>
          <w:rFonts w:ascii="宋体" w:hAnsi="宋体" w:eastAsia="宋体" w:cs="宋体"/>
          <w:spacing w:val="8"/>
          <w:sz w:val="20"/>
          <w:szCs w:val="20"/>
        </w:rPr>
        <w:t xml:space="preserve"> </w:t>
      </w:r>
      <w:r>
        <w:rPr>
          <w:rFonts w:ascii="宋体" w:hAnsi="宋体" w:eastAsia="宋体" w:cs="宋体"/>
          <w:b/>
          <w:bCs/>
          <w:spacing w:val="8"/>
          <w:sz w:val="20"/>
          <w:szCs w:val="20"/>
        </w:rPr>
        <w:t>严格委托检验检测。</w:t>
      </w:r>
      <w:r>
        <w:rPr>
          <w:rFonts w:ascii="宋体" w:hAnsi="宋体" w:eastAsia="宋体" w:cs="宋体"/>
          <w:spacing w:val="8"/>
          <w:sz w:val="20"/>
          <w:szCs w:val="20"/>
        </w:rPr>
        <w:t>建设单位应委托具有相应资</w:t>
      </w:r>
      <w:r>
        <w:rPr>
          <w:rFonts w:ascii="宋体" w:hAnsi="宋体" w:eastAsia="宋体" w:cs="宋体"/>
          <w:spacing w:val="7"/>
          <w:sz w:val="20"/>
          <w:szCs w:val="20"/>
        </w:rPr>
        <w:t>质的检测机构，对进场材料进行检验</w:t>
      </w:r>
      <w:r>
        <w:rPr>
          <w:rFonts w:ascii="宋体" w:hAnsi="宋体" w:eastAsia="宋体" w:cs="宋体"/>
          <w:spacing w:val="8"/>
          <w:sz w:val="20"/>
          <w:szCs w:val="20"/>
        </w:rPr>
        <w:t>检测，不得明示或者暗示检测机构减少检测项目、降低检测标准、 出具虚假检测报告，不得篡改</w:t>
      </w:r>
      <w:r>
        <w:rPr>
          <w:rFonts w:ascii="宋体" w:hAnsi="宋体" w:eastAsia="宋体" w:cs="宋体"/>
          <w:spacing w:val="11"/>
          <w:sz w:val="20"/>
          <w:szCs w:val="20"/>
        </w:rPr>
        <w:t>或者伪造检测报告，不得将检测费用转嫁给施工单位或其他相</w:t>
      </w:r>
      <w:r>
        <w:rPr>
          <w:rFonts w:ascii="宋体" w:hAnsi="宋体" w:eastAsia="宋体" w:cs="宋体"/>
          <w:spacing w:val="10"/>
          <w:sz w:val="20"/>
          <w:szCs w:val="20"/>
        </w:rPr>
        <w:t>关单位。对涉及结构安全、主要使用功能的试块试件及有关材料实行见证取样检测。</w:t>
      </w:r>
      <w:r>
        <w:rPr>
          <w:rFonts w:ascii="宋体" w:hAnsi="宋体" w:eastAsia="宋体" w:cs="宋体"/>
          <w:spacing w:val="9"/>
          <w:sz w:val="20"/>
          <w:szCs w:val="20"/>
        </w:rPr>
        <w:t>检测报告应纳入竣工验收资料永久存档。</w:t>
      </w:r>
    </w:p>
    <w:p>
      <w:pPr>
        <w:spacing w:before="125" w:line="321" w:lineRule="auto"/>
        <w:ind w:left="3" w:right="158" w:firstLine="411"/>
        <w:rPr>
          <w:rFonts w:ascii="宋体" w:hAnsi="宋体" w:eastAsia="宋体" w:cs="宋体"/>
          <w:sz w:val="20"/>
          <w:szCs w:val="20"/>
        </w:rPr>
      </w:pPr>
      <w:r>
        <w:rPr>
          <w:rFonts w:ascii="宋体" w:hAnsi="宋体" w:eastAsia="宋体" w:cs="宋体"/>
          <w:b/>
          <w:bCs/>
          <w:spacing w:val="9"/>
          <w:sz w:val="20"/>
          <w:szCs w:val="20"/>
        </w:rPr>
        <w:t>（十）</w:t>
      </w:r>
      <w:r>
        <w:rPr>
          <w:rFonts w:ascii="宋体" w:hAnsi="宋体" w:eastAsia="宋体" w:cs="宋体"/>
          <w:spacing w:val="9"/>
          <w:sz w:val="20"/>
          <w:szCs w:val="20"/>
        </w:rPr>
        <w:t xml:space="preserve"> </w:t>
      </w:r>
      <w:r>
        <w:rPr>
          <w:rFonts w:ascii="宋体" w:hAnsi="宋体" w:eastAsia="宋体" w:cs="宋体"/>
          <w:b/>
          <w:bCs/>
          <w:spacing w:val="9"/>
          <w:sz w:val="20"/>
          <w:szCs w:val="20"/>
        </w:rPr>
        <w:t>强化对参建单位的管理。</w:t>
      </w:r>
      <w:r>
        <w:rPr>
          <w:rFonts w:ascii="宋体" w:hAnsi="宋体" w:eastAsia="宋体" w:cs="宋体"/>
          <w:spacing w:val="9"/>
          <w:sz w:val="20"/>
          <w:szCs w:val="20"/>
        </w:rPr>
        <w:t>建设单位应督促勘察、设计、施工、监理、检测</w:t>
      </w:r>
      <w:r>
        <w:rPr>
          <w:rFonts w:ascii="宋体" w:hAnsi="宋体" w:eastAsia="宋体" w:cs="宋体"/>
          <w:spacing w:val="8"/>
          <w:sz w:val="20"/>
          <w:szCs w:val="20"/>
        </w:rPr>
        <w:t>以及材料、</w:t>
      </w:r>
      <w:r>
        <w:rPr>
          <w:rFonts w:ascii="宋体" w:hAnsi="宋体" w:eastAsia="宋体" w:cs="宋体"/>
          <w:spacing w:val="11"/>
          <w:sz w:val="20"/>
          <w:szCs w:val="20"/>
        </w:rPr>
        <w:t>部品部件、设备供应商等单位履行质量责任，加强对现场派驻人</w:t>
      </w:r>
      <w:r>
        <w:rPr>
          <w:rFonts w:ascii="宋体" w:hAnsi="宋体" w:eastAsia="宋体" w:cs="宋体"/>
          <w:spacing w:val="10"/>
          <w:sz w:val="20"/>
          <w:szCs w:val="20"/>
        </w:rPr>
        <w:t>员到岗履职情况的管理。依法不</w:t>
      </w:r>
      <w:r>
        <w:rPr>
          <w:rFonts w:ascii="宋体" w:hAnsi="宋体" w:eastAsia="宋体" w:cs="宋体"/>
          <w:spacing w:val="9"/>
          <w:sz w:val="20"/>
          <w:szCs w:val="20"/>
        </w:rPr>
        <w:t>实施监理的，建设单位承担相应职责。</w:t>
      </w:r>
    </w:p>
    <w:p>
      <w:pPr>
        <w:spacing w:before="156" w:line="341" w:lineRule="auto"/>
        <w:ind w:left="1" w:right="215" w:firstLine="413"/>
        <w:rPr>
          <w:rFonts w:ascii="宋体" w:hAnsi="宋体" w:eastAsia="宋体" w:cs="宋体"/>
          <w:sz w:val="20"/>
          <w:szCs w:val="20"/>
        </w:rPr>
      </w:pPr>
      <w:r>
        <w:rPr>
          <w:rFonts w:ascii="宋体" w:hAnsi="宋体" w:eastAsia="宋体" w:cs="宋体"/>
          <w:b/>
          <w:bCs/>
          <w:spacing w:val="7"/>
          <w:sz w:val="20"/>
          <w:szCs w:val="20"/>
        </w:rPr>
        <w:t>（十一）</w:t>
      </w:r>
      <w:r>
        <w:rPr>
          <w:rFonts w:ascii="宋体" w:hAnsi="宋体" w:eastAsia="宋体" w:cs="宋体"/>
          <w:spacing w:val="7"/>
          <w:sz w:val="20"/>
          <w:szCs w:val="20"/>
        </w:rPr>
        <w:t xml:space="preserve"> </w:t>
      </w:r>
      <w:r>
        <w:rPr>
          <w:rFonts w:ascii="宋体" w:hAnsi="宋体" w:eastAsia="宋体" w:cs="宋体"/>
          <w:b/>
          <w:bCs/>
          <w:spacing w:val="7"/>
          <w:sz w:val="20"/>
          <w:szCs w:val="20"/>
        </w:rPr>
        <w:t>严格落实验收交付制度。</w:t>
      </w:r>
      <w:r>
        <w:rPr>
          <w:rFonts w:ascii="宋体" w:hAnsi="宋体" w:eastAsia="宋体" w:cs="宋体"/>
          <w:spacing w:val="7"/>
          <w:sz w:val="20"/>
          <w:szCs w:val="20"/>
        </w:rPr>
        <w:t>建设单位应严格执行竣工验收制度，未经验收或验收不合</w:t>
      </w:r>
      <w:r>
        <w:rPr>
          <w:rFonts w:ascii="宋体" w:hAnsi="宋体" w:eastAsia="宋体" w:cs="宋体"/>
          <w:spacing w:val="11"/>
          <w:sz w:val="20"/>
          <w:szCs w:val="20"/>
        </w:rPr>
        <w:t>格的工程不得交付使用。房地产开发企业应落实分户验收、先验房</w:t>
      </w:r>
      <w:r>
        <w:rPr>
          <w:rFonts w:ascii="宋体" w:hAnsi="宋体" w:eastAsia="宋体" w:cs="宋体"/>
          <w:spacing w:val="10"/>
          <w:sz w:val="20"/>
          <w:szCs w:val="20"/>
        </w:rPr>
        <w:t>后收房制度，按照《商品房买</w:t>
      </w:r>
      <w:r>
        <w:rPr>
          <w:rFonts w:ascii="宋体" w:hAnsi="宋体" w:eastAsia="宋体" w:cs="宋体"/>
          <w:spacing w:val="11"/>
          <w:sz w:val="20"/>
          <w:szCs w:val="20"/>
        </w:rPr>
        <w:t>卖合同》约定，将符合交付条件的商品房按期交付给买受人，并向</w:t>
      </w:r>
      <w:r>
        <w:rPr>
          <w:rFonts w:ascii="宋体" w:hAnsi="宋体" w:eastAsia="宋体" w:cs="宋体"/>
          <w:spacing w:val="10"/>
          <w:sz w:val="20"/>
          <w:szCs w:val="20"/>
        </w:rPr>
        <w:t>买受人提供制式《住宅质量保</w:t>
      </w:r>
      <w:r>
        <w:rPr>
          <w:rFonts w:ascii="宋体" w:hAnsi="宋体" w:eastAsia="宋体" w:cs="宋体"/>
          <w:spacing w:val="8"/>
          <w:sz w:val="20"/>
          <w:szCs w:val="20"/>
        </w:rPr>
        <w:t>证书》《住宅使用说明书》。</w:t>
      </w:r>
    </w:p>
    <w:p>
      <w:pPr>
        <w:spacing w:before="125" w:line="333" w:lineRule="auto"/>
        <w:ind w:right="138" w:firstLine="414"/>
        <w:rPr>
          <w:rFonts w:ascii="宋体" w:hAnsi="宋体" w:eastAsia="宋体" w:cs="宋体"/>
          <w:sz w:val="20"/>
          <w:szCs w:val="20"/>
        </w:rPr>
      </w:pPr>
      <w:r>
        <w:rPr>
          <w:rFonts w:ascii="宋体" w:hAnsi="宋体" w:eastAsia="宋体" w:cs="宋体"/>
          <w:b/>
          <w:bCs/>
          <w:spacing w:val="7"/>
          <w:sz w:val="20"/>
          <w:szCs w:val="20"/>
        </w:rPr>
        <w:t>（十二）</w:t>
      </w:r>
      <w:r>
        <w:rPr>
          <w:rFonts w:ascii="宋体" w:hAnsi="宋体" w:eastAsia="宋体" w:cs="宋体"/>
          <w:spacing w:val="7"/>
          <w:sz w:val="20"/>
          <w:szCs w:val="20"/>
        </w:rPr>
        <w:t xml:space="preserve"> </w:t>
      </w:r>
      <w:r>
        <w:rPr>
          <w:rFonts w:ascii="宋体" w:hAnsi="宋体" w:eastAsia="宋体" w:cs="宋体"/>
          <w:b/>
          <w:bCs/>
          <w:spacing w:val="7"/>
          <w:sz w:val="20"/>
          <w:szCs w:val="20"/>
        </w:rPr>
        <w:t>严格履行质量保修责任。</w:t>
      </w:r>
      <w:r>
        <w:rPr>
          <w:rFonts w:ascii="宋体" w:hAnsi="宋体" w:eastAsia="宋体" w:cs="宋体"/>
          <w:spacing w:val="7"/>
          <w:sz w:val="20"/>
          <w:szCs w:val="20"/>
        </w:rPr>
        <w:t>建设单位应严格落实工程质量保修制度，建立质量回访和</w:t>
      </w:r>
      <w:r>
        <w:rPr>
          <w:rFonts w:ascii="宋体" w:hAnsi="宋体" w:eastAsia="宋体" w:cs="宋体"/>
          <w:spacing w:val="11"/>
          <w:sz w:val="20"/>
          <w:szCs w:val="20"/>
        </w:rPr>
        <w:t>质量投诉处理机制，及时组织处理保修范围和保修期限内出现的质量问</w:t>
      </w:r>
      <w:r>
        <w:rPr>
          <w:rFonts w:ascii="宋体" w:hAnsi="宋体" w:eastAsia="宋体" w:cs="宋体"/>
          <w:spacing w:val="10"/>
          <w:sz w:val="20"/>
          <w:szCs w:val="20"/>
        </w:rPr>
        <w:t>题，并对造成的损失先行</w:t>
      </w:r>
      <w:r>
        <w:rPr>
          <w:rFonts w:ascii="宋体" w:hAnsi="宋体" w:eastAsia="宋体" w:cs="宋体"/>
          <w:spacing w:val="6"/>
          <w:sz w:val="20"/>
          <w:szCs w:val="20"/>
        </w:rPr>
        <w:t>赔偿。对涉及结构安全或严重影响使用功能的，建设单位、施工单位应迅速到达现场、</w:t>
      </w:r>
      <w:r>
        <w:rPr>
          <w:rFonts w:ascii="宋体" w:hAnsi="宋体" w:eastAsia="宋体" w:cs="宋体"/>
          <w:spacing w:val="-29"/>
          <w:sz w:val="20"/>
          <w:szCs w:val="20"/>
        </w:rPr>
        <w:t xml:space="preserve"> </w:t>
      </w:r>
      <w:r>
        <w:rPr>
          <w:rFonts w:ascii="宋体" w:hAnsi="宋体" w:eastAsia="宋体" w:cs="宋体"/>
          <w:spacing w:val="6"/>
          <w:sz w:val="20"/>
          <w:szCs w:val="20"/>
        </w:rPr>
        <w:t>紧急抢修。</w:t>
      </w:r>
      <w:r>
        <w:rPr>
          <w:rFonts w:ascii="宋体" w:hAnsi="宋体" w:eastAsia="宋体" w:cs="宋体"/>
          <w:spacing w:val="10"/>
          <w:sz w:val="20"/>
          <w:szCs w:val="20"/>
        </w:rPr>
        <w:t>维修完成后，建设单位应组织验收，经维修合</w:t>
      </w:r>
      <w:r>
        <w:rPr>
          <w:rFonts w:ascii="宋体" w:hAnsi="宋体" w:eastAsia="宋体" w:cs="宋体"/>
          <w:spacing w:val="9"/>
          <w:sz w:val="20"/>
          <w:szCs w:val="20"/>
        </w:rPr>
        <w:t>格的部位可重新约定保修期限。</w:t>
      </w:r>
    </w:p>
    <w:p>
      <w:pPr>
        <w:spacing w:before="159" w:line="219" w:lineRule="auto"/>
        <w:ind w:left="427"/>
        <w:rPr>
          <w:rFonts w:ascii="宋体" w:hAnsi="宋体" w:eastAsia="宋体" w:cs="宋体"/>
          <w:sz w:val="20"/>
          <w:szCs w:val="20"/>
        </w:rPr>
      </w:pPr>
      <w:r>
        <w:rPr>
          <w:rFonts w:ascii="宋体" w:hAnsi="宋体" w:eastAsia="宋体" w:cs="宋体"/>
          <w:b/>
          <w:bCs/>
          <w:spacing w:val="7"/>
          <w:sz w:val="20"/>
          <w:szCs w:val="20"/>
        </w:rPr>
        <w:t>三、切实加强监督管理</w:t>
      </w:r>
    </w:p>
    <w:p>
      <w:pPr>
        <w:spacing w:before="158" w:line="277" w:lineRule="exact"/>
        <w:ind w:left="414"/>
        <w:rPr>
          <w:rFonts w:ascii="宋体" w:hAnsi="宋体" w:eastAsia="宋体" w:cs="宋体"/>
          <w:sz w:val="20"/>
          <w:szCs w:val="20"/>
        </w:rPr>
      </w:pPr>
      <w:r>
        <w:rPr>
          <w:rFonts w:ascii="宋体" w:hAnsi="宋体" w:eastAsia="宋体" w:cs="宋体"/>
          <w:b/>
          <w:bCs/>
          <w:spacing w:val="8"/>
          <w:position w:val="1"/>
          <w:sz w:val="20"/>
          <w:szCs w:val="20"/>
        </w:rPr>
        <w:t>（十三）</w:t>
      </w:r>
      <w:r>
        <w:rPr>
          <w:rFonts w:ascii="宋体" w:hAnsi="宋体" w:eastAsia="宋体" w:cs="宋体"/>
          <w:spacing w:val="8"/>
          <w:position w:val="1"/>
          <w:sz w:val="20"/>
          <w:szCs w:val="20"/>
        </w:rPr>
        <w:t xml:space="preserve"> </w:t>
      </w:r>
      <w:r>
        <w:rPr>
          <w:rFonts w:ascii="宋体" w:hAnsi="宋体" w:eastAsia="宋体" w:cs="宋体"/>
          <w:b/>
          <w:bCs/>
          <w:spacing w:val="8"/>
          <w:position w:val="1"/>
          <w:sz w:val="20"/>
          <w:szCs w:val="20"/>
        </w:rPr>
        <w:t>健全监管机制。</w:t>
      </w:r>
      <w:r>
        <w:rPr>
          <w:rFonts w:ascii="宋体" w:hAnsi="宋体" w:eastAsia="宋体" w:cs="宋体"/>
          <w:spacing w:val="8"/>
          <w:position w:val="1"/>
          <w:sz w:val="20"/>
          <w:szCs w:val="20"/>
        </w:rPr>
        <w:t>各级住房城乡建设主管部门要健全</w:t>
      </w:r>
      <w:r>
        <w:rPr>
          <w:rFonts w:ascii="宋体" w:hAnsi="宋体" w:eastAsia="宋体" w:cs="宋体"/>
          <w:spacing w:val="7"/>
          <w:position w:val="1"/>
          <w:sz w:val="20"/>
          <w:szCs w:val="20"/>
        </w:rPr>
        <w:t>工程质量监督体系，全面推行质</w:t>
      </w:r>
    </w:p>
    <w:p>
      <w:pPr>
        <w:spacing w:line="277" w:lineRule="exact"/>
        <w:rPr>
          <w:rFonts w:ascii="宋体" w:hAnsi="宋体" w:eastAsia="宋体" w:cs="宋体"/>
          <w:sz w:val="20"/>
          <w:szCs w:val="20"/>
        </w:rPr>
        <w:sectPr>
          <w:footerReference r:id="rId305" w:type="default"/>
          <w:pgSz w:w="11906" w:h="16839"/>
          <w:pgMar w:top="400" w:right="1420" w:bottom="1212" w:left="1416" w:header="0" w:footer="897"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369" w:lineRule="auto"/>
        <w:ind w:left="6" w:right="38" w:hanging="3"/>
        <w:rPr>
          <w:rFonts w:ascii="宋体" w:hAnsi="宋体" w:eastAsia="宋体" w:cs="宋体"/>
          <w:sz w:val="20"/>
          <w:szCs w:val="20"/>
        </w:rPr>
      </w:pPr>
      <w:r>
        <w:rPr>
          <w:rFonts w:ascii="宋体" w:hAnsi="宋体" w:eastAsia="宋体" w:cs="宋体"/>
          <w:spacing w:val="9"/>
          <w:sz w:val="20"/>
          <w:szCs w:val="20"/>
        </w:rPr>
        <w:t>量监督标准化，创新“智慧监管+传统监管”相融合的监督模式，加强科技支撑和人才队伍建设，开展常态化业务培训，不断提高监管能力水平。</w:t>
      </w:r>
    </w:p>
    <w:p>
      <w:pPr>
        <w:spacing w:line="321" w:lineRule="auto"/>
        <w:ind w:left="1" w:firstLine="413"/>
        <w:rPr>
          <w:rFonts w:ascii="宋体" w:hAnsi="宋体" w:eastAsia="宋体" w:cs="宋体"/>
          <w:sz w:val="20"/>
          <w:szCs w:val="20"/>
        </w:rPr>
      </w:pPr>
      <w:r>
        <w:rPr>
          <w:rFonts w:ascii="宋体" w:hAnsi="宋体" w:eastAsia="宋体" w:cs="宋体"/>
          <w:b/>
          <w:bCs/>
          <w:spacing w:val="6"/>
          <w:sz w:val="20"/>
          <w:szCs w:val="20"/>
        </w:rPr>
        <w:t>（十四）</w:t>
      </w:r>
      <w:r>
        <w:rPr>
          <w:rFonts w:ascii="宋体" w:hAnsi="宋体" w:eastAsia="宋体" w:cs="宋体"/>
          <w:spacing w:val="-37"/>
          <w:sz w:val="20"/>
          <w:szCs w:val="20"/>
        </w:rPr>
        <w:t xml:space="preserve"> </w:t>
      </w:r>
      <w:r>
        <w:rPr>
          <w:rFonts w:ascii="宋体" w:hAnsi="宋体" w:eastAsia="宋体" w:cs="宋体"/>
          <w:b/>
          <w:bCs/>
          <w:spacing w:val="6"/>
          <w:sz w:val="20"/>
          <w:szCs w:val="20"/>
        </w:rPr>
        <w:t>强化监督检查。</w:t>
      </w:r>
      <w:r>
        <w:rPr>
          <w:rFonts w:ascii="宋体" w:hAnsi="宋体" w:eastAsia="宋体" w:cs="宋体"/>
          <w:spacing w:val="6"/>
          <w:sz w:val="20"/>
          <w:szCs w:val="20"/>
        </w:rPr>
        <w:t>各级住房城乡建设主管部</w:t>
      </w:r>
      <w:r>
        <w:rPr>
          <w:rFonts w:ascii="宋体" w:hAnsi="宋体" w:eastAsia="宋体" w:cs="宋体"/>
          <w:spacing w:val="5"/>
          <w:sz w:val="20"/>
          <w:szCs w:val="20"/>
        </w:rPr>
        <w:t>门要强化日常巡查、专项检查和重点督查，</w:t>
      </w:r>
      <w:r>
        <w:rPr>
          <w:rFonts w:ascii="宋体" w:hAnsi="宋体" w:eastAsia="宋体" w:cs="宋体"/>
          <w:spacing w:val="11"/>
          <w:sz w:val="20"/>
          <w:szCs w:val="20"/>
        </w:rPr>
        <w:t>督促建设单位严格整改检查中发现的质量问题，整改报告经建设单</w:t>
      </w:r>
      <w:r>
        <w:rPr>
          <w:rFonts w:ascii="宋体" w:hAnsi="宋体" w:eastAsia="宋体" w:cs="宋体"/>
          <w:spacing w:val="10"/>
          <w:sz w:val="20"/>
          <w:szCs w:val="20"/>
        </w:rPr>
        <w:t>位项目负责人签字确认并加盖</w:t>
      </w:r>
      <w:r>
        <w:rPr>
          <w:rFonts w:ascii="宋体" w:hAnsi="宋体" w:eastAsia="宋体" w:cs="宋体"/>
          <w:spacing w:val="8"/>
          <w:sz w:val="20"/>
          <w:szCs w:val="20"/>
        </w:rPr>
        <w:t>单位公章后报工程所在地住房城乡建设主管部门。发现存</w:t>
      </w:r>
      <w:r>
        <w:rPr>
          <w:rFonts w:ascii="宋体" w:hAnsi="宋体" w:eastAsia="宋体" w:cs="宋体"/>
          <w:spacing w:val="7"/>
          <w:sz w:val="20"/>
          <w:szCs w:val="20"/>
        </w:rPr>
        <w:t>在严重质量问题的，依法责令停工整改。</w:t>
      </w:r>
    </w:p>
    <w:p>
      <w:pPr>
        <w:spacing w:before="155" w:line="322" w:lineRule="auto"/>
        <w:ind w:right="76" w:firstLine="414"/>
        <w:rPr>
          <w:rFonts w:ascii="宋体" w:hAnsi="宋体" w:eastAsia="宋体" w:cs="宋体"/>
          <w:sz w:val="20"/>
          <w:szCs w:val="20"/>
        </w:rPr>
      </w:pPr>
      <w:r>
        <w:rPr>
          <w:rFonts w:ascii="宋体" w:hAnsi="宋体" w:eastAsia="宋体" w:cs="宋体"/>
          <w:b/>
          <w:bCs/>
          <w:spacing w:val="7"/>
          <w:sz w:val="20"/>
          <w:szCs w:val="20"/>
        </w:rPr>
        <w:t>（十五）加强信用管理。</w:t>
      </w:r>
      <w:r>
        <w:rPr>
          <w:rFonts w:ascii="宋体" w:hAnsi="宋体" w:eastAsia="宋体" w:cs="宋体"/>
          <w:spacing w:val="7"/>
          <w:sz w:val="20"/>
          <w:szCs w:val="20"/>
        </w:rPr>
        <w:t>各级住房城乡建设部门要建立</w:t>
      </w:r>
      <w:r>
        <w:rPr>
          <w:rFonts w:ascii="宋体" w:hAnsi="宋体" w:eastAsia="宋体" w:cs="宋体"/>
          <w:spacing w:val="6"/>
          <w:sz w:val="20"/>
          <w:szCs w:val="20"/>
        </w:rPr>
        <w:t>建设单位及其法定代表人、项</w:t>
      </w:r>
      <w:r>
        <w:rPr>
          <w:rFonts w:ascii="宋体" w:hAnsi="宋体" w:eastAsia="宋体" w:cs="宋体"/>
          <w:spacing w:val="50"/>
          <w:sz w:val="20"/>
          <w:szCs w:val="20"/>
        </w:rPr>
        <w:t xml:space="preserve"> </w:t>
      </w:r>
      <w:r>
        <w:rPr>
          <w:rFonts w:ascii="宋体" w:hAnsi="宋体" w:eastAsia="宋体" w:cs="宋体"/>
          <w:spacing w:val="6"/>
          <w:sz w:val="20"/>
          <w:szCs w:val="20"/>
        </w:rPr>
        <w:t>目负责</w:t>
      </w:r>
      <w:r>
        <w:rPr>
          <w:rFonts w:ascii="宋体" w:hAnsi="宋体" w:eastAsia="宋体" w:cs="宋体"/>
          <w:spacing w:val="11"/>
          <w:sz w:val="20"/>
          <w:szCs w:val="20"/>
        </w:rPr>
        <w:t>人信用档案，将履行工程质量责任情况纳入信用管理，加大对守信建设</w:t>
      </w:r>
      <w:r>
        <w:rPr>
          <w:rFonts w:ascii="宋体" w:hAnsi="宋体" w:eastAsia="宋体" w:cs="宋体"/>
          <w:spacing w:val="10"/>
          <w:sz w:val="20"/>
          <w:szCs w:val="20"/>
        </w:rPr>
        <w:t>单位的政策支持和失信建</w:t>
      </w:r>
      <w:r>
        <w:rPr>
          <w:rFonts w:ascii="宋体" w:hAnsi="宋体" w:eastAsia="宋体" w:cs="宋体"/>
          <w:spacing w:val="9"/>
          <w:sz w:val="20"/>
          <w:szCs w:val="20"/>
        </w:rPr>
        <w:t>设单位的联合惩戒力度，营造良好信用环境。</w:t>
      </w:r>
    </w:p>
    <w:p>
      <w:pPr>
        <w:spacing w:line="244" w:lineRule="auto"/>
        <w:rPr>
          <w:rFonts w:ascii="Arial"/>
          <w:sz w:val="21"/>
        </w:rPr>
      </w:pPr>
    </w:p>
    <w:p>
      <w:pPr>
        <w:spacing w:line="244" w:lineRule="auto"/>
        <w:rPr>
          <w:rFonts w:ascii="Arial"/>
          <w:sz w:val="21"/>
        </w:rPr>
      </w:pPr>
    </w:p>
    <w:p>
      <w:pPr>
        <w:spacing w:before="65" w:line="221" w:lineRule="auto"/>
        <w:ind w:left="6563"/>
        <w:rPr>
          <w:rFonts w:ascii="宋体" w:hAnsi="宋体" w:eastAsia="宋体" w:cs="宋体"/>
          <w:sz w:val="20"/>
          <w:szCs w:val="20"/>
        </w:rPr>
      </w:pPr>
      <w:r>
        <w:rPr>
          <w:rFonts w:ascii="宋体" w:hAnsi="宋体" w:eastAsia="宋体" w:cs="宋体"/>
          <w:spacing w:val="8"/>
          <w:sz w:val="20"/>
          <w:szCs w:val="20"/>
        </w:rPr>
        <w:t>山东省住房和城乡建设厅</w:t>
      </w:r>
    </w:p>
    <w:p>
      <w:pPr>
        <w:spacing w:before="158" w:line="278" w:lineRule="exact"/>
        <w:ind w:right="36"/>
        <w:jc w:val="right"/>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9</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25</w:t>
      </w:r>
      <w:r>
        <w:rPr>
          <w:rFonts w:ascii="宋体" w:hAnsi="宋体" w:eastAsia="宋体" w:cs="宋体"/>
          <w:spacing w:val="57"/>
          <w:position w:val="1"/>
          <w:sz w:val="20"/>
          <w:szCs w:val="20"/>
        </w:rPr>
        <w:t xml:space="preserve"> </w:t>
      </w:r>
      <w:r>
        <w:rPr>
          <w:rFonts w:ascii="宋体" w:hAnsi="宋体" w:eastAsia="宋体" w:cs="宋体"/>
          <w:spacing w:val="1"/>
          <w:position w:val="1"/>
          <w:sz w:val="20"/>
          <w:szCs w:val="20"/>
        </w:rPr>
        <w:t>日</w:t>
      </w:r>
    </w:p>
    <w:p>
      <w:pPr>
        <w:spacing w:line="278" w:lineRule="exact"/>
        <w:rPr>
          <w:rFonts w:ascii="宋体" w:hAnsi="宋体" w:eastAsia="宋体" w:cs="宋体"/>
          <w:sz w:val="20"/>
          <w:szCs w:val="20"/>
        </w:rPr>
        <w:sectPr>
          <w:footerReference r:id="rId306" w:type="default"/>
          <w:pgSz w:w="11906" w:h="16839"/>
          <w:pgMar w:top="400" w:right="1559" w:bottom="1212" w:left="1416" w:header="0" w:footer="897" w:gutter="0"/>
        </w:sect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before="136" w:line="210" w:lineRule="auto"/>
        <w:ind w:left="1405"/>
        <w:outlineLvl w:val="0"/>
        <w:rPr>
          <w:rFonts w:ascii="方正小标宋简体" w:hAnsi="方正小标宋简体" w:eastAsia="方正小标宋简体" w:cs="方正小标宋简体"/>
          <w:sz w:val="35"/>
          <w:szCs w:val="35"/>
        </w:rPr>
      </w:pPr>
      <w:bookmarkStart w:id="228" w:name="bookmark129"/>
      <w:bookmarkEnd w:id="228"/>
      <w:r>
        <w:rPr>
          <w:rFonts w:ascii="方正小标宋简体" w:hAnsi="方正小标宋简体" w:eastAsia="方正小标宋简体" w:cs="方正小标宋简体"/>
          <w:spacing w:val="8"/>
          <w:sz w:val="35"/>
          <w:szCs w:val="35"/>
        </w:rPr>
        <w:t>山东省住房和城乡建设厅  山东省总工会</w:t>
      </w:r>
    </w:p>
    <w:p>
      <w:pPr>
        <w:spacing w:before="111" w:line="241" w:lineRule="auto"/>
        <w:ind w:left="3638" w:right="302" w:hanging="3331"/>
        <w:outlineLvl w:val="0"/>
        <w:rPr>
          <w:rFonts w:ascii="方正小标宋简体" w:hAnsi="方正小标宋简体" w:eastAsia="方正小标宋简体" w:cs="方正小标宋简体"/>
          <w:sz w:val="35"/>
          <w:szCs w:val="35"/>
        </w:rPr>
      </w:pPr>
      <w:bookmarkStart w:id="229" w:name="bookmark129"/>
      <w:bookmarkEnd w:id="229"/>
      <w:r>
        <w:rPr>
          <w:rFonts w:ascii="方正小标宋简体" w:hAnsi="方正小标宋简体" w:eastAsia="方正小标宋简体" w:cs="方正小标宋简体"/>
          <w:spacing w:val="8"/>
          <w:sz w:val="35"/>
          <w:szCs w:val="35"/>
        </w:rPr>
        <w:t>关于公布 2025 年度山东省数智造价创新应用技能竞赛</w:t>
      </w:r>
      <w:bookmarkStart w:id="230" w:name="bookmark129"/>
      <w:bookmarkEnd w:id="230"/>
      <w:r>
        <w:rPr>
          <w:rFonts w:ascii="方正小标宋简体" w:hAnsi="方正小标宋简体" w:eastAsia="方正小标宋简体" w:cs="方正小标宋简体"/>
          <w:spacing w:val="8"/>
          <w:sz w:val="35"/>
          <w:szCs w:val="35"/>
        </w:rPr>
        <w:t>成绩的通知</w:t>
      </w:r>
    </w:p>
    <w:p>
      <w:pPr>
        <w:spacing w:line="386" w:lineRule="auto"/>
        <w:rPr>
          <w:rFonts w:ascii="Arial"/>
          <w:sz w:val="21"/>
        </w:rPr>
      </w:pPr>
    </w:p>
    <w:p>
      <w:pPr>
        <w:spacing w:before="65" w:line="277" w:lineRule="exact"/>
        <w:ind w:left="1"/>
        <w:rPr>
          <w:rFonts w:ascii="宋体" w:hAnsi="宋体" w:eastAsia="宋体" w:cs="宋体"/>
          <w:sz w:val="20"/>
          <w:szCs w:val="20"/>
        </w:rPr>
      </w:pPr>
      <w:r>
        <w:rPr>
          <w:rFonts w:ascii="宋体" w:hAnsi="宋体" w:eastAsia="宋体" w:cs="宋体"/>
          <w:spacing w:val="9"/>
          <w:position w:val="1"/>
          <w:sz w:val="20"/>
          <w:szCs w:val="20"/>
        </w:rPr>
        <w:t>各市住房城乡建设局、总工会，各有关单位：</w:t>
      </w:r>
    </w:p>
    <w:p>
      <w:pPr>
        <w:spacing w:before="125" w:line="368" w:lineRule="auto"/>
        <w:ind w:right="212" w:firstLine="427"/>
        <w:jc w:val="both"/>
        <w:rPr>
          <w:rFonts w:ascii="宋体" w:hAnsi="宋体" w:eastAsia="宋体" w:cs="宋体"/>
          <w:sz w:val="20"/>
          <w:szCs w:val="20"/>
        </w:rPr>
      </w:pPr>
      <w:r>
        <w:rPr>
          <w:rFonts w:ascii="宋体" w:hAnsi="宋体" w:eastAsia="宋体" w:cs="宋体"/>
          <w:spacing w:val="9"/>
          <w:sz w:val="20"/>
          <w:szCs w:val="20"/>
        </w:rPr>
        <w:t>为加强高素质工程造价人才队伍建设</w:t>
      </w:r>
      <w:r>
        <w:rPr>
          <w:rFonts w:ascii="宋体" w:hAnsi="宋体" w:eastAsia="宋体" w:cs="宋体"/>
          <w:spacing w:val="44"/>
          <w:sz w:val="20"/>
          <w:szCs w:val="20"/>
        </w:rPr>
        <w:t xml:space="preserve"> </w:t>
      </w:r>
      <w:r>
        <w:rPr>
          <w:rFonts w:ascii="宋体" w:hAnsi="宋体" w:eastAsia="宋体" w:cs="宋体"/>
          <w:spacing w:val="9"/>
          <w:sz w:val="20"/>
          <w:szCs w:val="20"/>
        </w:rPr>
        <w:t>，按照《关于举办</w:t>
      </w:r>
      <w:r>
        <w:rPr>
          <w:rFonts w:ascii="宋体" w:hAnsi="宋体" w:eastAsia="宋体" w:cs="宋体"/>
          <w:spacing w:val="-39"/>
          <w:sz w:val="20"/>
          <w:szCs w:val="20"/>
        </w:rPr>
        <w:t xml:space="preserve"> </w:t>
      </w:r>
      <w:r>
        <w:rPr>
          <w:rFonts w:ascii="宋体" w:hAnsi="宋体" w:eastAsia="宋体" w:cs="宋体"/>
          <w:spacing w:val="9"/>
          <w:sz w:val="20"/>
          <w:szCs w:val="20"/>
        </w:rPr>
        <w:t>2025</w:t>
      </w:r>
      <w:r>
        <w:rPr>
          <w:rFonts w:ascii="宋体" w:hAnsi="宋体" w:eastAsia="宋体" w:cs="宋体"/>
          <w:spacing w:val="-36"/>
          <w:sz w:val="20"/>
          <w:szCs w:val="20"/>
        </w:rPr>
        <w:t xml:space="preserve"> </w:t>
      </w:r>
      <w:r>
        <w:rPr>
          <w:rFonts w:ascii="宋体" w:hAnsi="宋体" w:eastAsia="宋体" w:cs="宋体"/>
          <w:spacing w:val="8"/>
          <w:sz w:val="20"/>
          <w:szCs w:val="20"/>
        </w:rPr>
        <w:t>年度山东省数智造价创新应用</w:t>
      </w:r>
      <w:r>
        <w:rPr>
          <w:rFonts w:ascii="宋体" w:hAnsi="宋体" w:eastAsia="宋体" w:cs="宋体"/>
          <w:spacing w:val="2"/>
          <w:sz w:val="20"/>
          <w:szCs w:val="20"/>
        </w:rPr>
        <w:t>技能竞赛的通知》安排 ，10</w:t>
      </w:r>
      <w:r>
        <w:rPr>
          <w:rFonts w:ascii="宋体" w:hAnsi="宋体" w:eastAsia="宋体" w:cs="宋体"/>
          <w:spacing w:val="-38"/>
          <w:sz w:val="20"/>
          <w:szCs w:val="20"/>
        </w:rPr>
        <w:t xml:space="preserve"> </w:t>
      </w:r>
      <w:r>
        <w:rPr>
          <w:rFonts w:ascii="宋体" w:hAnsi="宋体" w:eastAsia="宋体" w:cs="宋体"/>
          <w:spacing w:val="2"/>
          <w:sz w:val="20"/>
          <w:szCs w:val="20"/>
        </w:rPr>
        <w:t>月23 日</w:t>
      </w:r>
      <w:r>
        <w:rPr>
          <w:rFonts w:ascii="宋体" w:hAnsi="宋体" w:eastAsia="宋体" w:cs="宋体"/>
          <w:spacing w:val="1"/>
          <w:sz w:val="20"/>
          <w:szCs w:val="20"/>
        </w:rPr>
        <w:t>至</w:t>
      </w:r>
      <w:r>
        <w:rPr>
          <w:rFonts w:ascii="宋体" w:hAnsi="宋体" w:eastAsia="宋体" w:cs="宋体"/>
          <w:spacing w:val="-39"/>
          <w:sz w:val="20"/>
          <w:szCs w:val="20"/>
        </w:rPr>
        <w:t xml:space="preserve"> </w:t>
      </w:r>
      <w:r>
        <w:rPr>
          <w:rFonts w:ascii="宋体" w:hAnsi="宋体" w:eastAsia="宋体" w:cs="宋体"/>
          <w:spacing w:val="1"/>
          <w:sz w:val="20"/>
          <w:szCs w:val="20"/>
        </w:rPr>
        <w:t>24 日 ，省住房城乡建设厅、省总工会在德州市举办了</w:t>
      </w:r>
      <w:r>
        <w:rPr>
          <w:rFonts w:ascii="宋体" w:hAnsi="宋体" w:eastAsia="宋体" w:cs="宋体"/>
          <w:spacing w:val="-40"/>
          <w:sz w:val="20"/>
          <w:szCs w:val="20"/>
        </w:rPr>
        <w:t xml:space="preserve"> </w:t>
      </w:r>
      <w:r>
        <w:rPr>
          <w:rFonts w:ascii="宋体" w:hAnsi="宋体" w:eastAsia="宋体" w:cs="宋体"/>
          <w:spacing w:val="1"/>
          <w:sz w:val="20"/>
          <w:szCs w:val="20"/>
        </w:rPr>
        <w:t>2025</w:t>
      </w:r>
      <w:r>
        <w:rPr>
          <w:rFonts w:ascii="宋体" w:hAnsi="宋体" w:eastAsia="宋体" w:cs="宋体"/>
          <w:spacing w:val="12"/>
          <w:sz w:val="20"/>
          <w:szCs w:val="20"/>
        </w:rPr>
        <w:t>年度山东省数智造价创新应用技能竞赛决赛。</w:t>
      </w:r>
      <w:r>
        <w:rPr>
          <w:rFonts w:ascii="宋体" w:hAnsi="宋体" w:eastAsia="宋体" w:cs="宋体"/>
          <w:spacing w:val="11"/>
          <w:sz w:val="20"/>
          <w:szCs w:val="20"/>
        </w:rPr>
        <w:t>分别确定个人一等奖</w:t>
      </w:r>
      <w:r>
        <w:rPr>
          <w:rFonts w:ascii="宋体" w:hAnsi="宋体" w:eastAsia="宋体" w:cs="宋体"/>
          <w:spacing w:val="-36"/>
          <w:sz w:val="20"/>
          <w:szCs w:val="20"/>
        </w:rPr>
        <w:t xml:space="preserve"> </w:t>
      </w:r>
      <w:r>
        <w:rPr>
          <w:rFonts w:ascii="宋体" w:hAnsi="宋体" w:eastAsia="宋体" w:cs="宋体"/>
          <w:spacing w:val="11"/>
          <w:sz w:val="20"/>
          <w:szCs w:val="20"/>
        </w:rPr>
        <w:t>6</w:t>
      </w:r>
      <w:r>
        <w:rPr>
          <w:rFonts w:ascii="宋体" w:hAnsi="宋体" w:eastAsia="宋体" w:cs="宋体"/>
          <w:spacing w:val="-37"/>
          <w:sz w:val="20"/>
          <w:szCs w:val="20"/>
        </w:rPr>
        <w:t xml:space="preserve"> </w:t>
      </w:r>
      <w:r>
        <w:rPr>
          <w:rFonts w:ascii="宋体" w:hAnsi="宋体" w:eastAsia="宋体" w:cs="宋体"/>
          <w:spacing w:val="11"/>
          <w:sz w:val="20"/>
          <w:szCs w:val="20"/>
        </w:rPr>
        <w:t>名、二等奖</w:t>
      </w:r>
      <w:r>
        <w:rPr>
          <w:rFonts w:ascii="宋体" w:hAnsi="宋体" w:eastAsia="宋体" w:cs="宋体"/>
          <w:spacing w:val="-20"/>
          <w:sz w:val="20"/>
          <w:szCs w:val="20"/>
        </w:rPr>
        <w:t xml:space="preserve"> </w:t>
      </w:r>
      <w:r>
        <w:rPr>
          <w:rFonts w:ascii="宋体" w:hAnsi="宋体" w:eastAsia="宋体" w:cs="宋体"/>
          <w:spacing w:val="11"/>
          <w:sz w:val="20"/>
          <w:szCs w:val="20"/>
        </w:rPr>
        <w:t>14</w:t>
      </w:r>
      <w:r>
        <w:rPr>
          <w:rFonts w:ascii="宋体" w:hAnsi="宋体" w:eastAsia="宋体" w:cs="宋体"/>
          <w:spacing w:val="-37"/>
          <w:sz w:val="20"/>
          <w:szCs w:val="20"/>
        </w:rPr>
        <w:t xml:space="preserve"> </w:t>
      </w:r>
      <w:r>
        <w:rPr>
          <w:rFonts w:ascii="宋体" w:hAnsi="宋体" w:eastAsia="宋体" w:cs="宋体"/>
          <w:spacing w:val="11"/>
          <w:sz w:val="20"/>
          <w:szCs w:val="20"/>
        </w:rPr>
        <w:t>名、三等奖</w:t>
      </w:r>
      <w:r>
        <w:rPr>
          <w:rFonts w:ascii="宋体" w:hAnsi="宋体" w:eastAsia="宋体" w:cs="宋体"/>
          <w:spacing w:val="8"/>
          <w:sz w:val="20"/>
          <w:szCs w:val="20"/>
        </w:rPr>
        <w:t>22</w:t>
      </w:r>
      <w:r>
        <w:rPr>
          <w:rFonts w:ascii="宋体" w:hAnsi="宋体" w:eastAsia="宋体" w:cs="宋体"/>
          <w:spacing w:val="-40"/>
          <w:sz w:val="20"/>
          <w:szCs w:val="20"/>
        </w:rPr>
        <w:t xml:space="preserve"> </w:t>
      </w:r>
      <w:r>
        <w:rPr>
          <w:rFonts w:ascii="宋体" w:hAnsi="宋体" w:eastAsia="宋体" w:cs="宋体"/>
          <w:spacing w:val="8"/>
          <w:sz w:val="20"/>
          <w:szCs w:val="20"/>
        </w:rPr>
        <w:t>名、优秀奖</w:t>
      </w:r>
      <w:r>
        <w:rPr>
          <w:rFonts w:ascii="宋体" w:hAnsi="宋体" w:eastAsia="宋体" w:cs="宋体"/>
          <w:spacing w:val="-38"/>
          <w:sz w:val="20"/>
          <w:szCs w:val="20"/>
        </w:rPr>
        <w:t xml:space="preserve"> </w:t>
      </w:r>
      <w:r>
        <w:rPr>
          <w:rFonts w:ascii="宋体" w:hAnsi="宋体" w:eastAsia="宋体" w:cs="宋体"/>
          <w:spacing w:val="8"/>
          <w:sz w:val="20"/>
          <w:szCs w:val="20"/>
        </w:rPr>
        <w:t>30</w:t>
      </w:r>
      <w:r>
        <w:rPr>
          <w:rFonts w:ascii="宋体" w:hAnsi="宋体" w:eastAsia="宋体" w:cs="宋体"/>
          <w:spacing w:val="-40"/>
          <w:sz w:val="20"/>
          <w:szCs w:val="20"/>
        </w:rPr>
        <w:t xml:space="preserve"> </w:t>
      </w:r>
      <w:r>
        <w:rPr>
          <w:rFonts w:ascii="宋体" w:hAnsi="宋体" w:eastAsia="宋体" w:cs="宋体"/>
          <w:spacing w:val="8"/>
          <w:sz w:val="20"/>
          <w:szCs w:val="20"/>
        </w:rPr>
        <w:t>名；团体一等奖</w:t>
      </w:r>
      <w:r>
        <w:rPr>
          <w:rFonts w:ascii="宋体" w:hAnsi="宋体" w:eastAsia="宋体" w:cs="宋体"/>
          <w:spacing w:val="-42"/>
          <w:sz w:val="20"/>
          <w:szCs w:val="20"/>
        </w:rPr>
        <w:t xml:space="preserve"> </w:t>
      </w:r>
      <w:r>
        <w:rPr>
          <w:rFonts w:ascii="宋体" w:hAnsi="宋体" w:eastAsia="宋体" w:cs="宋体"/>
          <w:spacing w:val="8"/>
          <w:sz w:val="20"/>
          <w:szCs w:val="20"/>
        </w:rPr>
        <w:t>2</w:t>
      </w:r>
      <w:r>
        <w:rPr>
          <w:rFonts w:ascii="宋体" w:hAnsi="宋体" w:eastAsia="宋体" w:cs="宋体"/>
          <w:spacing w:val="-42"/>
          <w:sz w:val="20"/>
          <w:szCs w:val="20"/>
        </w:rPr>
        <w:t xml:space="preserve"> </w:t>
      </w:r>
      <w:r>
        <w:rPr>
          <w:rFonts w:ascii="宋体" w:hAnsi="宋体" w:eastAsia="宋体" w:cs="宋体"/>
          <w:spacing w:val="8"/>
          <w:sz w:val="20"/>
          <w:szCs w:val="20"/>
        </w:rPr>
        <w:t>个、二等奖</w:t>
      </w:r>
      <w:r>
        <w:rPr>
          <w:rFonts w:ascii="宋体" w:hAnsi="宋体" w:eastAsia="宋体" w:cs="宋体"/>
          <w:spacing w:val="-42"/>
          <w:sz w:val="20"/>
          <w:szCs w:val="20"/>
        </w:rPr>
        <w:t xml:space="preserve"> </w:t>
      </w:r>
      <w:r>
        <w:rPr>
          <w:rFonts w:ascii="宋体" w:hAnsi="宋体" w:eastAsia="宋体" w:cs="宋体"/>
          <w:spacing w:val="8"/>
          <w:sz w:val="20"/>
          <w:szCs w:val="20"/>
        </w:rPr>
        <w:t>5</w:t>
      </w:r>
      <w:r>
        <w:rPr>
          <w:rFonts w:ascii="宋体" w:hAnsi="宋体" w:eastAsia="宋体" w:cs="宋体"/>
          <w:spacing w:val="-45"/>
          <w:sz w:val="20"/>
          <w:szCs w:val="20"/>
        </w:rPr>
        <w:t xml:space="preserve"> </w:t>
      </w:r>
      <w:r>
        <w:rPr>
          <w:rFonts w:ascii="宋体" w:hAnsi="宋体" w:eastAsia="宋体" w:cs="宋体"/>
          <w:spacing w:val="8"/>
          <w:sz w:val="20"/>
          <w:szCs w:val="20"/>
        </w:rPr>
        <w:t>个、三等奖</w:t>
      </w:r>
      <w:r>
        <w:rPr>
          <w:rFonts w:ascii="宋体" w:hAnsi="宋体" w:eastAsia="宋体" w:cs="宋体"/>
          <w:spacing w:val="-40"/>
          <w:sz w:val="20"/>
          <w:szCs w:val="20"/>
        </w:rPr>
        <w:t xml:space="preserve"> </w:t>
      </w:r>
      <w:r>
        <w:rPr>
          <w:rFonts w:ascii="宋体" w:hAnsi="宋体" w:eastAsia="宋体" w:cs="宋体"/>
          <w:spacing w:val="8"/>
          <w:sz w:val="20"/>
          <w:szCs w:val="20"/>
        </w:rPr>
        <w:t>9</w:t>
      </w:r>
      <w:r>
        <w:rPr>
          <w:rFonts w:ascii="宋体" w:hAnsi="宋体" w:eastAsia="宋体" w:cs="宋体"/>
          <w:spacing w:val="-45"/>
          <w:sz w:val="20"/>
          <w:szCs w:val="20"/>
        </w:rPr>
        <w:t xml:space="preserve"> </w:t>
      </w:r>
      <w:r>
        <w:rPr>
          <w:rFonts w:ascii="宋体" w:hAnsi="宋体" w:eastAsia="宋体" w:cs="宋体"/>
          <w:spacing w:val="8"/>
          <w:sz w:val="20"/>
          <w:szCs w:val="20"/>
        </w:rPr>
        <w:t>个、优胜奖</w:t>
      </w:r>
      <w:r>
        <w:rPr>
          <w:rFonts w:ascii="宋体" w:hAnsi="宋体" w:eastAsia="宋体" w:cs="宋体"/>
          <w:spacing w:val="-24"/>
          <w:sz w:val="20"/>
          <w:szCs w:val="20"/>
        </w:rPr>
        <w:t xml:space="preserve"> </w:t>
      </w:r>
      <w:r>
        <w:rPr>
          <w:rFonts w:ascii="宋体" w:hAnsi="宋体" w:eastAsia="宋体" w:cs="宋体"/>
          <w:spacing w:val="8"/>
          <w:sz w:val="20"/>
          <w:szCs w:val="20"/>
        </w:rPr>
        <w:t>16</w:t>
      </w:r>
      <w:r>
        <w:rPr>
          <w:rFonts w:ascii="宋体" w:hAnsi="宋体" w:eastAsia="宋体" w:cs="宋体"/>
          <w:spacing w:val="-43"/>
          <w:sz w:val="20"/>
          <w:szCs w:val="20"/>
        </w:rPr>
        <w:t xml:space="preserve"> </w:t>
      </w:r>
      <w:r>
        <w:rPr>
          <w:rFonts w:ascii="宋体" w:hAnsi="宋体" w:eastAsia="宋体" w:cs="宋体"/>
          <w:spacing w:val="8"/>
          <w:sz w:val="20"/>
          <w:szCs w:val="20"/>
        </w:rPr>
        <w:t>个、优秀</w:t>
      </w:r>
      <w:r>
        <w:rPr>
          <w:rFonts w:ascii="宋体" w:hAnsi="宋体" w:eastAsia="宋体" w:cs="宋体"/>
          <w:spacing w:val="7"/>
          <w:sz w:val="20"/>
          <w:szCs w:val="20"/>
        </w:rPr>
        <w:t>组织奖6</w:t>
      </w:r>
      <w:r>
        <w:rPr>
          <w:rFonts w:ascii="宋体" w:hAnsi="宋体" w:eastAsia="宋体" w:cs="宋体"/>
          <w:spacing w:val="8"/>
          <w:sz w:val="20"/>
          <w:szCs w:val="20"/>
        </w:rPr>
        <w:t>个。现将获奖名单予以公布（见附件）。</w:t>
      </w:r>
    </w:p>
    <w:p>
      <w:pPr>
        <w:spacing w:before="8" w:line="371" w:lineRule="auto"/>
        <w:ind w:left="3" w:right="213" w:firstLine="420"/>
        <w:rPr>
          <w:rFonts w:ascii="宋体" w:hAnsi="宋体" w:eastAsia="宋体" w:cs="宋体"/>
          <w:sz w:val="20"/>
          <w:szCs w:val="20"/>
        </w:rPr>
      </w:pPr>
      <w:r>
        <w:rPr>
          <w:rFonts w:ascii="宋体" w:hAnsi="宋体" w:eastAsia="宋体" w:cs="宋体"/>
          <w:spacing w:val="11"/>
          <w:sz w:val="20"/>
          <w:szCs w:val="20"/>
        </w:rPr>
        <w:t>希望获奖单位及个人珍惜荣誉，再接再厉，充分发挥模范带头作用</w:t>
      </w:r>
      <w:r>
        <w:rPr>
          <w:rFonts w:ascii="宋体" w:hAnsi="宋体" w:eastAsia="宋体" w:cs="宋体"/>
          <w:spacing w:val="10"/>
          <w:sz w:val="20"/>
          <w:szCs w:val="20"/>
        </w:rPr>
        <w:t>，为推动工程造价行业高</w:t>
      </w:r>
      <w:r>
        <w:rPr>
          <w:rFonts w:ascii="宋体" w:hAnsi="宋体" w:eastAsia="宋体" w:cs="宋体"/>
          <w:spacing w:val="8"/>
          <w:sz w:val="20"/>
          <w:szCs w:val="20"/>
        </w:rPr>
        <w:t>质量发展贡献更大力量。</w:t>
      </w:r>
    </w:p>
    <w:p>
      <w:pPr>
        <w:spacing w:line="325" w:lineRule="auto"/>
        <w:rPr>
          <w:rFonts w:ascii="Arial"/>
          <w:sz w:val="21"/>
        </w:rPr>
      </w:pPr>
    </w:p>
    <w:p>
      <w:pPr>
        <w:spacing w:before="65" w:line="276" w:lineRule="exact"/>
        <w:ind w:left="434"/>
        <w:rPr>
          <w:rFonts w:ascii="宋体" w:hAnsi="宋体" w:eastAsia="宋体" w:cs="宋体"/>
          <w:sz w:val="20"/>
          <w:szCs w:val="20"/>
        </w:rPr>
      </w:pPr>
      <w:r>
        <w:rPr>
          <w:rFonts w:ascii="宋体" w:hAnsi="宋体" w:eastAsia="宋体" w:cs="宋体"/>
          <w:spacing w:val="7"/>
          <w:position w:val="1"/>
          <w:sz w:val="20"/>
          <w:szCs w:val="20"/>
        </w:rPr>
        <w:t>附件：1.2025</w:t>
      </w:r>
      <w:r>
        <w:rPr>
          <w:rFonts w:ascii="宋体" w:hAnsi="宋体" w:eastAsia="宋体" w:cs="宋体"/>
          <w:spacing w:val="-42"/>
          <w:position w:val="1"/>
          <w:sz w:val="20"/>
          <w:szCs w:val="20"/>
        </w:rPr>
        <w:t xml:space="preserve"> </w:t>
      </w:r>
      <w:r>
        <w:rPr>
          <w:rFonts w:ascii="宋体" w:hAnsi="宋体" w:eastAsia="宋体" w:cs="宋体"/>
          <w:spacing w:val="7"/>
          <w:position w:val="1"/>
          <w:sz w:val="20"/>
          <w:szCs w:val="20"/>
        </w:rPr>
        <w:t>年度山东省数智造价创新应用技</w:t>
      </w:r>
      <w:r>
        <w:rPr>
          <w:rFonts w:ascii="宋体" w:hAnsi="宋体" w:eastAsia="宋体" w:cs="宋体"/>
          <w:spacing w:val="6"/>
          <w:position w:val="1"/>
          <w:sz w:val="20"/>
          <w:szCs w:val="20"/>
        </w:rPr>
        <w:t>能竞赛决赛个人获奖名单</w:t>
      </w:r>
    </w:p>
    <w:p>
      <w:pPr>
        <w:spacing w:before="124" w:line="276" w:lineRule="exact"/>
        <w:ind w:left="1054"/>
        <w:rPr>
          <w:rFonts w:ascii="宋体" w:hAnsi="宋体" w:eastAsia="宋体" w:cs="宋体"/>
          <w:sz w:val="20"/>
          <w:szCs w:val="20"/>
        </w:rPr>
      </w:pPr>
      <w:r>
        <w:rPr>
          <w:rFonts w:ascii="宋体" w:hAnsi="宋体" w:eastAsia="宋体" w:cs="宋体"/>
          <w:spacing w:val="7"/>
          <w:position w:val="1"/>
          <w:sz w:val="20"/>
          <w:szCs w:val="20"/>
        </w:rPr>
        <w:t>2.2025</w:t>
      </w:r>
      <w:r>
        <w:rPr>
          <w:rFonts w:ascii="宋体" w:hAnsi="宋体" w:eastAsia="宋体" w:cs="宋体"/>
          <w:spacing w:val="-41"/>
          <w:position w:val="1"/>
          <w:sz w:val="20"/>
          <w:szCs w:val="20"/>
        </w:rPr>
        <w:t xml:space="preserve"> </w:t>
      </w:r>
      <w:r>
        <w:rPr>
          <w:rFonts w:ascii="宋体" w:hAnsi="宋体" w:eastAsia="宋体" w:cs="宋体"/>
          <w:spacing w:val="7"/>
          <w:position w:val="1"/>
          <w:sz w:val="20"/>
          <w:szCs w:val="20"/>
        </w:rPr>
        <w:t>年度山东省数智造价创新应用技能</w:t>
      </w:r>
      <w:r>
        <w:rPr>
          <w:rFonts w:ascii="宋体" w:hAnsi="宋体" w:eastAsia="宋体" w:cs="宋体"/>
          <w:spacing w:val="6"/>
          <w:position w:val="1"/>
          <w:sz w:val="20"/>
          <w:szCs w:val="20"/>
        </w:rPr>
        <w:t>竞赛决赛团体获奖名单</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65" w:line="220" w:lineRule="auto"/>
        <w:ind w:left="4881"/>
        <w:rPr>
          <w:rFonts w:ascii="宋体" w:hAnsi="宋体" w:eastAsia="宋体" w:cs="宋体"/>
          <w:sz w:val="20"/>
          <w:szCs w:val="20"/>
        </w:rPr>
      </w:pPr>
      <w:r>
        <w:rPr>
          <w:rFonts w:ascii="宋体" w:hAnsi="宋体" w:eastAsia="宋体" w:cs="宋体"/>
          <w:spacing w:val="8"/>
          <w:sz w:val="20"/>
          <w:szCs w:val="20"/>
        </w:rPr>
        <w:t>山东省住房和城乡建设厅    山东省总工会</w:t>
      </w:r>
    </w:p>
    <w:p>
      <w:pPr>
        <w:spacing w:before="157" w:line="278" w:lineRule="exact"/>
        <w:ind w:left="7236"/>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5"/>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25"/>
          <w:position w:val="1"/>
          <w:sz w:val="20"/>
          <w:szCs w:val="20"/>
        </w:rPr>
        <w:t xml:space="preserve"> </w:t>
      </w:r>
      <w:r>
        <w:rPr>
          <w:rFonts w:ascii="宋体" w:hAnsi="宋体" w:eastAsia="宋体" w:cs="宋体"/>
          <w:spacing w:val="-1"/>
          <w:position w:val="1"/>
          <w:sz w:val="20"/>
          <w:szCs w:val="20"/>
        </w:rPr>
        <w:t>11</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38"/>
          <w:position w:val="1"/>
          <w:sz w:val="20"/>
          <w:szCs w:val="20"/>
        </w:rPr>
        <w:t xml:space="preserve"> </w:t>
      </w:r>
      <w:r>
        <w:rPr>
          <w:rFonts w:ascii="宋体" w:hAnsi="宋体" w:eastAsia="宋体" w:cs="宋体"/>
          <w:spacing w:val="-1"/>
          <w:position w:val="1"/>
          <w:sz w:val="20"/>
          <w:szCs w:val="20"/>
        </w:rPr>
        <w:t>6 日</w:t>
      </w:r>
    </w:p>
    <w:p>
      <w:pPr>
        <w:spacing w:line="278" w:lineRule="exact"/>
        <w:rPr>
          <w:rFonts w:ascii="宋体" w:hAnsi="宋体" w:eastAsia="宋体" w:cs="宋体"/>
          <w:sz w:val="20"/>
          <w:szCs w:val="20"/>
        </w:rPr>
        <w:sectPr>
          <w:footerReference r:id="rId307" w:type="default"/>
          <w:pgSz w:w="11906" w:h="16839"/>
          <w:pgMar w:top="400" w:right="1420"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436"/>
        <w:rPr>
          <w:rFonts w:ascii="黑体" w:hAnsi="黑体" w:eastAsia="黑体" w:cs="黑体"/>
          <w:sz w:val="20"/>
          <w:szCs w:val="20"/>
        </w:rPr>
      </w:pPr>
      <w:r>
        <w:rPr>
          <w:rFonts w:ascii="黑体" w:hAnsi="黑体" w:eastAsia="黑体" w:cs="黑体"/>
          <w:color w:val="333333"/>
          <w:spacing w:val="-1"/>
          <w:sz w:val="20"/>
          <w:szCs w:val="20"/>
        </w:rPr>
        <w:t>附件</w:t>
      </w:r>
      <w:r>
        <w:rPr>
          <w:rFonts w:ascii="黑体" w:hAnsi="黑体" w:eastAsia="黑体" w:cs="黑体"/>
          <w:color w:val="333333"/>
          <w:spacing w:val="-27"/>
          <w:sz w:val="20"/>
          <w:szCs w:val="20"/>
        </w:rPr>
        <w:t xml:space="preserve"> </w:t>
      </w:r>
      <w:r>
        <w:rPr>
          <w:rFonts w:ascii="黑体" w:hAnsi="黑体" w:eastAsia="黑体" w:cs="黑体"/>
          <w:color w:val="333333"/>
          <w:spacing w:val="-1"/>
          <w:sz w:val="20"/>
          <w:szCs w:val="20"/>
        </w:rPr>
        <w:t>1</w:t>
      </w:r>
    </w:p>
    <w:p>
      <w:pPr>
        <w:spacing w:before="120" w:line="319" w:lineRule="exact"/>
        <w:ind w:left="1177"/>
        <w:rPr>
          <w:rFonts w:ascii="宋体" w:hAnsi="宋体" w:eastAsia="宋体" w:cs="宋体"/>
          <w:sz w:val="24"/>
          <w:szCs w:val="24"/>
        </w:rPr>
      </w:pPr>
      <w:bookmarkStart w:id="231" w:name="bookmark200"/>
      <w:bookmarkEnd w:id="231"/>
      <w:r>
        <w:rPr>
          <w:rFonts w:ascii="宋体" w:hAnsi="宋体" w:eastAsia="宋体" w:cs="宋体"/>
          <w:b/>
          <w:bCs/>
          <w:color w:val="333333"/>
          <w:spacing w:val="3"/>
          <w:position w:val="1"/>
          <w:sz w:val="24"/>
          <w:szCs w:val="24"/>
        </w:rPr>
        <w:t>2025</w:t>
      </w:r>
      <w:r>
        <w:rPr>
          <w:rFonts w:ascii="宋体" w:hAnsi="宋体" w:eastAsia="宋体" w:cs="宋体"/>
          <w:color w:val="333333"/>
          <w:spacing w:val="-47"/>
          <w:position w:val="1"/>
          <w:sz w:val="24"/>
          <w:szCs w:val="24"/>
        </w:rPr>
        <w:t xml:space="preserve"> </w:t>
      </w:r>
      <w:r>
        <w:rPr>
          <w:rFonts w:ascii="宋体" w:hAnsi="宋体" w:eastAsia="宋体" w:cs="宋体"/>
          <w:b/>
          <w:bCs/>
          <w:color w:val="333333"/>
          <w:spacing w:val="3"/>
          <w:position w:val="1"/>
          <w:sz w:val="24"/>
          <w:szCs w:val="24"/>
        </w:rPr>
        <w:t>年度山东省数智造价创新应用技能竞赛决赛个人</w:t>
      </w:r>
      <w:r>
        <w:rPr>
          <w:rFonts w:ascii="宋体" w:hAnsi="宋体" w:eastAsia="宋体" w:cs="宋体"/>
          <w:b/>
          <w:bCs/>
          <w:color w:val="333333"/>
          <w:spacing w:val="2"/>
          <w:position w:val="1"/>
          <w:sz w:val="24"/>
          <w:szCs w:val="24"/>
        </w:rPr>
        <w:t>获奖名单</w:t>
      </w:r>
    </w:p>
    <w:p>
      <w:pPr>
        <w:spacing w:line="444" w:lineRule="auto"/>
        <w:rPr>
          <w:rFonts w:ascii="Arial"/>
          <w:sz w:val="21"/>
        </w:rPr>
      </w:pPr>
    </w:p>
    <w:p>
      <w:pPr>
        <w:spacing w:before="65" w:line="219" w:lineRule="auto"/>
        <w:ind w:left="431"/>
        <w:rPr>
          <w:rFonts w:ascii="宋体" w:hAnsi="宋体" w:eastAsia="宋体" w:cs="宋体"/>
          <w:sz w:val="20"/>
          <w:szCs w:val="20"/>
        </w:rPr>
      </w:pPr>
      <w:r>
        <w:rPr>
          <w:rFonts w:ascii="宋体" w:hAnsi="宋体" w:eastAsia="宋体" w:cs="宋体"/>
          <w:b/>
          <w:bCs/>
          <w:color w:val="333333"/>
          <w:spacing w:val="10"/>
          <w:sz w:val="20"/>
          <w:szCs w:val="20"/>
        </w:rPr>
        <w:t>一、城市组</w:t>
      </w:r>
    </w:p>
    <w:p>
      <w:pPr>
        <w:spacing w:before="145" w:line="221" w:lineRule="auto"/>
        <w:ind w:left="4216"/>
        <w:rPr>
          <w:rFonts w:ascii="宋体" w:hAnsi="宋体" w:eastAsia="宋体" w:cs="宋体"/>
          <w:sz w:val="20"/>
          <w:szCs w:val="20"/>
        </w:rPr>
      </w:pPr>
      <w:r>
        <w:rPr>
          <w:rFonts w:ascii="宋体" w:hAnsi="宋体" w:eastAsia="宋体" w:cs="宋体"/>
          <w:b/>
          <w:bCs/>
          <w:color w:val="333333"/>
          <w:spacing w:val="9"/>
          <w:sz w:val="20"/>
          <w:szCs w:val="20"/>
        </w:rPr>
        <w:t>一等奖</w:t>
      </w:r>
    </w:p>
    <w:p>
      <w:pPr>
        <w:spacing w:before="142" w:line="220" w:lineRule="auto"/>
        <w:ind w:left="2804"/>
        <w:rPr>
          <w:rFonts w:ascii="宋体" w:hAnsi="宋体" w:eastAsia="宋体" w:cs="宋体"/>
          <w:sz w:val="20"/>
          <w:szCs w:val="20"/>
        </w:rPr>
      </w:pPr>
      <w:r>
        <w:rPr>
          <w:rFonts w:ascii="宋体" w:hAnsi="宋体" w:eastAsia="宋体" w:cs="宋体"/>
          <w:color w:val="333333"/>
          <w:spacing w:val="8"/>
          <w:sz w:val="20"/>
          <w:szCs w:val="20"/>
        </w:rPr>
        <w:t>赵</w:t>
      </w:r>
      <w:r>
        <w:rPr>
          <w:rFonts w:ascii="宋体" w:hAnsi="宋体" w:eastAsia="宋体" w:cs="宋体"/>
          <w:color w:val="333333"/>
          <w:spacing w:val="29"/>
          <w:sz w:val="20"/>
          <w:szCs w:val="20"/>
        </w:rPr>
        <w:t xml:space="preserve">  </w:t>
      </w:r>
      <w:r>
        <w:rPr>
          <w:rFonts w:ascii="宋体" w:hAnsi="宋体" w:eastAsia="宋体" w:cs="宋体"/>
          <w:color w:val="333333"/>
          <w:spacing w:val="8"/>
          <w:sz w:val="20"/>
          <w:szCs w:val="20"/>
        </w:rPr>
        <w:t>阳</w:t>
      </w:r>
      <w:r>
        <w:rPr>
          <w:rFonts w:ascii="宋体" w:hAnsi="宋体" w:eastAsia="宋体" w:cs="宋体"/>
          <w:color w:val="333333"/>
          <w:spacing w:val="45"/>
          <w:sz w:val="20"/>
          <w:szCs w:val="20"/>
        </w:rPr>
        <w:t xml:space="preserve">  </w:t>
      </w:r>
      <w:r>
        <w:rPr>
          <w:rFonts w:ascii="宋体" w:hAnsi="宋体" w:eastAsia="宋体" w:cs="宋体"/>
          <w:color w:val="333333"/>
          <w:spacing w:val="8"/>
          <w:sz w:val="20"/>
          <w:szCs w:val="20"/>
        </w:rPr>
        <w:t>中青建安建设集团有限公司</w:t>
      </w:r>
    </w:p>
    <w:p>
      <w:pPr>
        <w:spacing w:before="140" w:line="222" w:lineRule="auto"/>
        <w:ind w:left="2707"/>
        <w:rPr>
          <w:rFonts w:ascii="宋体" w:hAnsi="宋体" w:eastAsia="宋体" w:cs="宋体"/>
          <w:sz w:val="20"/>
          <w:szCs w:val="20"/>
        </w:rPr>
      </w:pPr>
      <w:r>
        <w:rPr>
          <w:rFonts w:ascii="宋体" w:hAnsi="宋体" w:eastAsia="宋体" w:cs="宋体"/>
          <w:color w:val="333333"/>
          <w:spacing w:val="14"/>
          <w:sz w:val="20"/>
          <w:szCs w:val="20"/>
        </w:rPr>
        <w:t>陆婷婷  济南市城乡建设发展服务中心</w:t>
      </w:r>
    </w:p>
    <w:p>
      <w:pPr>
        <w:spacing w:before="139" w:line="223" w:lineRule="auto"/>
        <w:ind w:left="2806"/>
        <w:rPr>
          <w:rFonts w:ascii="宋体" w:hAnsi="宋体" w:eastAsia="宋体" w:cs="宋体"/>
          <w:sz w:val="20"/>
          <w:szCs w:val="20"/>
        </w:rPr>
      </w:pPr>
      <w:r>
        <w:rPr>
          <w:rFonts w:ascii="宋体" w:hAnsi="宋体" w:eastAsia="宋体" w:cs="宋体"/>
          <w:color w:val="333333"/>
          <w:spacing w:val="14"/>
          <w:sz w:val="20"/>
          <w:szCs w:val="20"/>
        </w:rPr>
        <w:t>郑荣芹  龙达恒信工程咨询有限公司</w:t>
      </w:r>
    </w:p>
    <w:p>
      <w:pPr>
        <w:spacing w:before="141" w:line="221" w:lineRule="auto"/>
        <w:ind w:left="4216"/>
        <w:rPr>
          <w:rFonts w:ascii="宋体" w:hAnsi="宋体" w:eastAsia="宋体" w:cs="宋体"/>
          <w:sz w:val="20"/>
          <w:szCs w:val="20"/>
        </w:rPr>
      </w:pPr>
      <w:r>
        <w:rPr>
          <w:rFonts w:ascii="宋体" w:hAnsi="宋体" w:eastAsia="宋体" w:cs="宋体"/>
          <w:b/>
          <w:bCs/>
          <w:color w:val="333333"/>
          <w:spacing w:val="9"/>
          <w:sz w:val="20"/>
          <w:szCs w:val="20"/>
        </w:rPr>
        <w:t>二等奖</w:t>
      </w:r>
    </w:p>
    <w:p>
      <w:pPr>
        <w:spacing w:before="139" w:line="222" w:lineRule="auto"/>
        <w:ind w:left="2702"/>
        <w:rPr>
          <w:rFonts w:ascii="宋体" w:hAnsi="宋体" w:eastAsia="宋体" w:cs="宋体"/>
          <w:sz w:val="20"/>
          <w:szCs w:val="20"/>
        </w:rPr>
      </w:pPr>
      <w:r>
        <w:rPr>
          <w:rFonts w:ascii="宋体" w:hAnsi="宋体" w:eastAsia="宋体" w:cs="宋体"/>
          <w:color w:val="333333"/>
          <w:spacing w:val="14"/>
          <w:sz w:val="20"/>
          <w:szCs w:val="20"/>
        </w:rPr>
        <w:t>王洪霞  济南市城乡建设发展服务中心</w:t>
      </w:r>
    </w:p>
    <w:p>
      <w:pPr>
        <w:spacing w:before="139" w:line="220" w:lineRule="auto"/>
        <w:ind w:left="2858"/>
        <w:rPr>
          <w:rFonts w:ascii="宋体" w:hAnsi="宋体" w:eastAsia="宋体" w:cs="宋体"/>
          <w:sz w:val="20"/>
          <w:szCs w:val="20"/>
        </w:rPr>
      </w:pPr>
      <w:r>
        <w:rPr>
          <w:rFonts w:ascii="宋体" w:hAnsi="宋体" w:eastAsia="宋体" w:cs="宋体"/>
          <w:color w:val="333333"/>
          <w:spacing w:val="13"/>
          <w:sz w:val="20"/>
          <w:szCs w:val="20"/>
        </w:rPr>
        <w:t>刘 方</w:t>
      </w:r>
      <w:r>
        <w:rPr>
          <w:rFonts w:ascii="宋体" w:hAnsi="宋体" w:eastAsia="宋体" w:cs="宋体"/>
          <w:color w:val="333333"/>
          <w:spacing w:val="25"/>
          <w:sz w:val="20"/>
          <w:szCs w:val="20"/>
        </w:rPr>
        <w:t xml:space="preserve">  </w:t>
      </w:r>
      <w:r>
        <w:rPr>
          <w:rFonts w:ascii="宋体" w:hAnsi="宋体" w:eastAsia="宋体" w:cs="宋体"/>
          <w:color w:val="333333"/>
          <w:spacing w:val="13"/>
          <w:sz w:val="20"/>
          <w:szCs w:val="20"/>
        </w:rPr>
        <w:t>山东北斗建设工程有限公司</w:t>
      </w:r>
    </w:p>
    <w:p>
      <w:pPr>
        <w:spacing w:before="143" w:line="222" w:lineRule="auto"/>
        <w:ind w:left="2694"/>
        <w:rPr>
          <w:rFonts w:ascii="宋体" w:hAnsi="宋体" w:eastAsia="宋体" w:cs="宋体"/>
          <w:sz w:val="20"/>
          <w:szCs w:val="20"/>
        </w:rPr>
      </w:pPr>
      <w:r>
        <w:rPr>
          <w:rFonts w:ascii="宋体" w:hAnsi="宋体" w:eastAsia="宋体" w:cs="宋体"/>
          <w:color w:val="333333"/>
          <w:spacing w:val="14"/>
          <w:sz w:val="20"/>
          <w:szCs w:val="20"/>
        </w:rPr>
        <w:t>严  瑞</w:t>
      </w:r>
      <w:r>
        <w:rPr>
          <w:rFonts w:ascii="宋体" w:hAnsi="宋体" w:eastAsia="宋体" w:cs="宋体"/>
          <w:color w:val="333333"/>
          <w:spacing w:val="17"/>
          <w:sz w:val="20"/>
          <w:szCs w:val="20"/>
        </w:rPr>
        <w:t xml:space="preserve">  </w:t>
      </w:r>
      <w:r>
        <w:rPr>
          <w:rFonts w:ascii="宋体" w:hAnsi="宋体" w:eastAsia="宋体" w:cs="宋体"/>
          <w:color w:val="333333"/>
          <w:spacing w:val="14"/>
          <w:sz w:val="20"/>
          <w:szCs w:val="20"/>
        </w:rPr>
        <w:t>青岛市建筑工程管理服务中心</w:t>
      </w:r>
    </w:p>
    <w:p>
      <w:pPr>
        <w:spacing w:before="135" w:line="278" w:lineRule="exact"/>
        <w:ind w:left="3268"/>
        <w:rPr>
          <w:rFonts w:ascii="宋体" w:hAnsi="宋体" w:eastAsia="宋体" w:cs="宋体"/>
          <w:sz w:val="20"/>
          <w:szCs w:val="20"/>
        </w:rPr>
      </w:pPr>
      <w:r>
        <w:rPr>
          <w:rFonts w:ascii="宋体" w:hAnsi="宋体" w:eastAsia="宋体" w:cs="宋体"/>
          <w:color w:val="333333"/>
          <w:spacing w:val="10"/>
          <w:position w:val="1"/>
          <w:sz w:val="20"/>
          <w:szCs w:val="20"/>
        </w:rPr>
        <w:t>阎洪芸</w:t>
      </w:r>
      <w:r>
        <w:rPr>
          <w:rFonts w:ascii="宋体" w:hAnsi="宋体" w:eastAsia="宋体" w:cs="宋体"/>
          <w:color w:val="333333"/>
          <w:spacing w:val="17"/>
          <w:position w:val="1"/>
          <w:sz w:val="20"/>
          <w:szCs w:val="20"/>
        </w:rPr>
        <w:t xml:space="preserve">  </w:t>
      </w:r>
      <w:r>
        <w:rPr>
          <w:rFonts w:ascii="宋体" w:hAnsi="宋体" w:eastAsia="宋体" w:cs="宋体"/>
          <w:color w:val="333333"/>
          <w:spacing w:val="10"/>
          <w:position w:val="1"/>
          <w:sz w:val="20"/>
          <w:szCs w:val="20"/>
        </w:rPr>
        <w:t>烟建集团有限公司</w:t>
      </w:r>
    </w:p>
    <w:p>
      <w:pPr>
        <w:spacing w:before="105" w:line="224" w:lineRule="auto"/>
        <w:ind w:left="2702"/>
        <w:rPr>
          <w:rFonts w:ascii="宋体" w:hAnsi="宋体" w:eastAsia="宋体" w:cs="宋体"/>
          <w:sz w:val="20"/>
          <w:szCs w:val="20"/>
        </w:rPr>
      </w:pPr>
      <w:r>
        <w:rPr>
          <w:rFonts w:ascii="宋体" w:hAnsi="宋体" w:eastAsia="宋体" w:cs="宋体"/>
          <w:color w:val="333333"/>
          <w:spacing w:val="13"/>
          <w:sz w:val="20"/>
          <w:szCs w:val="20"/>
        </w:rPr>
        <w:t>王春苗</w:t>
      </w:r>
      <w:r>
        <w:rPr>
          <w:rFonts w:ascii="宋体" w:hAnsi="宋体" w:eastAsia="宋体" w:cs="宋体"/>
          <w:color w:val="333333"/>
          <w:spacing w:val="27"/>
          <w:sz w:val="20"/>
          <w:szCs w:val="20"/>
        </w:rPr>
        <w:t xml:space="preserve">  </w:t>
      </w:r>
      <w:r>
        <w:rPr>
          <w:rFonts w:ascii="宋体" w:hAnsi="宋体" w:eastAsia="宋体" w:cs="宋体"/>
          <w:color w:val="333333"/>
          <w:spacing w:val="13"/>
          <w:sz w:val="20"/>
          <w:szCs w:val="20"/>
        </w:rPr>
        <w:t>山东长恒信工程咨询有限公司</w:t>
      </w:r>
    </w:p>
    <w:p>
      <w:pPr>
        <w:spacing w:before="139" w:line="221" w:lineRule="auto"/>
        <w:ind w:left="4219"/>
        <w:rPr>
          <w:rFonts w:ascii="宋体" w:hAnsi="宋体" w:eastAsia="宋体" w:cs="宋体"/>
          <w:sz w:val="20"/>
          <w:szCs w:val="20"/>
        </w:rPr>
      </w:pPr>
      <w:r>
        <w:rPr>
          <w:rFonts w:ascii="宋体" w:hAnsi="宋体" w:eastAsia="宋体" w:cs="宋体"/>
          <w:b/>
          <w:bCs/>
          <w:color w:val="333333"/>
          <w:spacing w:val="8"/>
          <w:sz w:val="20"/>
          <w:szCs w:val="20"/>
        </w:rPr>
        <w:t>三等奖</w:t>
      </w:r>
    </w:p>
    <w:p>
      <w:pPr>
        <w:spacing w:before="142" w:line="218" w:lineRule="auto"/>
        <w:ind w:left="2806"/>
        <w:rPr>
          <w:rFonts w:ascii="宋体" w:hAnsi="宋体" w:eastAsia="宋体" w:cs="宋体"/>
          <w:sz w:val="20"/>
          <w:szCs w:val="20"/>
        </w:rPr>
      </w:pPr>
      <w:r>
        <w:rPr>
          <w:rFonts w:ascii="宋体" w:hAnsi="宋体" w:eastAsia="宋体" w:cs="宋体"/>
          <w:color w:val="333333"/>
          <w:spacing w:val="14"/>
          <w:sz w:val="20"/>
          <w:szCs w:val="20"/>
        </w:rPr>
        <w:t>冯兴见  青岛德嘉工程管理有限公司</w:t>
      </w:r>
    </w:p>
    <w:p>
      <w:pPr>
        <w:spacing w:before="140" w:line="221" w:lineRule="auto"/>
        <w:ind w:left="2805"/>
        <w:rPr>
          <w:rFonts w:ascii="宋体" w:hAnsi="宋体" w:eastAsia="宋体" w:cs="宋体"/>
          <w:sz w:val="20"/>
          <w:szCs w:val="20"/>
        </w:rPr>
      </w:pPr>
      <w:r>
        <w:rPr>
          <w:rFonts w:ascii="宋体" w:hAnsi="宋体" w:eastAsia="宋体" w:cs="宋体"/>
          <w:color w:val="333333"/>
          <w:spacing w:val="14"/>
          <w:sz w:val="20"/>
          <w:szCs w:val="20"/>
        </w:rPr>
        <w:t>倪二光  金正建设咨询集团有限公司</w:t>
      </w:r>
    </w:p>
    <w:p>
      <w:pPr>
        <w:spacing w:before="145" w:line="219" w:lineRule="auto"/>
        <w:ind w:left="2592"/>
        <w:rPr>
          <w:rFonts w:ascii="宋体" w:hAnsi="宋体" w:eastAsia="宋体" w:cs="宋体"/>
          <w:sz w:val="20"/>
          <w:szCs w:val="20"/>
        </w:rPr>
      </w:pPr>
      <w:r>
        <w:rPr>
          <w:rFonts w:ascii="宋体" w:hAnsi="宋体" w:eastAsia="宋体" w:cs="宋体"/>
          <w:color w:val="333333"/>
          <w:spacing w:val="13"/>
          <w:sz w:val="20"/>
          <w:szCs w:val="20"/>
        </w:rPr>
        <w:t>王  丹</w:t>
      </w:r>
      <w:r>
        <w:rPr>
          <w:rFonts w:ascii="宋体" w:hAnsi="宋体" w:eastAsia="宋体" w:cs="宋体"/>
          <w:color w:val="333333"/>
          <w:spacing w:val="24"/>
          <w:sz w:val="20"/>
          <w:szCs w:val="20"/>
        </w:rPr>
        <w:t xml:space="preserve">  </w:t>
      </w:r>
      <w:r>
        <w:rPr>
          <w:rFonts w:ascii="宋体" w:hAnsi="宋体" w:eastAsia="宋体" w:cs="宋体"/>
          <w:color w:val="333333"/>
          <w:spacing w:val="13"/>
          <w:sz w:val="20"/>
          <w:szCs w:val="20"/>
        </w:rPr>
        <w:t>威海同方项目管理咨询有限公司</w:t>
      </w:r>
    </w:p>
    <w:p>
      <w:pPr>
        <w:spacing w:before="139" w:line="223" w:lineRule="auto"/>
        <w:ind w:left="2582"/>
        <w:rPr>
          <w:rFonts w:ascii="宋体" w:hAnsi="宋体" w:eastAsia="宋体" w:cs="宋体"/>
          <w:sz w:val="20"/>
          <w:szCs w:val="20"/>
        </w:rPr>
      </w:pPr>
      <w:r>
        <w:rPr>
          <w:rFonts w:ascii="宋体" w:hAnsi="宋体" w:eastAsia="宋体" w:cs="宋体"/>
          <w:color w:val="333333"/>
          <w:spacing w:val="10"/>
          <w:sz w:val="20"/>
          <w:szCs w:val="20"/>
        </w:rPr>
        <w:t>平建花   日照市万春和市政园林有限公司</w:t>
      </w:r>
    </w:p>
    <w:p>
      <w:pPr>
        <w:spacing w:before="138" w:line="222" w:lineRule="auto"/>
        <w:ind w:left="2590"/>
        <w:rPr>
          <w:rFonts w:ascii="宋体" w:hAnsi="宋体" w:eastAsia="宋体" w:cs="宋体"/>
          <w:sz w:val="20"/>
          <w:szCs w:val="20"/>
        </w:rPr>
      </w:pPr>
      <w:r>
        <w:rPr>
          <w:rFonts w:ascii="宋体" w:hAnsi="宋体" w:eastAsia="宋体" w:cs="宋体"/>
          <w:color w:val="333333"/>
          <w:spacing w:val="13"/>
          <w:sz w:val="20"/>
          <w:szCs w:val="20"/>
        </w:rPr>
        <w:t>李洪杰</w:t>
      </w:r>
      <w:r>
        <w:rPr>
          <w:rFonts w:ascii="宋体" w:hAnsi="宋体" w:eastAsia="宋体" w:cs="宋体"/>
          <w:color w:val="333333"/>
          <w:spacing w:val="31"/>
          <w:sz w:val="20"/>
          <w:szCs w:val="20"/>
        </w:rPr>
        <w:t xml:space="preserve">  </w:t>
      </w:r>
      <w:r>
        <w:rPr>
          <w:rFonts w:ascii="宋体" w:hAnsi="宋体" w:eastAsia="宋体" w:cs="宋体"/>
          <w:color w:val="333333"/>
          <w:spacing w:val="13"/>
          <w:sz w:val="20"/>
          <w:szCs w:val="20"/>
        </w:rPr>
        <w:t>山东永泰建设工程咨询有限公司</w:t>
      </w:r>
    </w:p>
    <w:p>
      <w:pPr>
        <w:spacing w:before="142" w:line="220" w:lineRule="auto"/>
        <w:ind w:left="2818"/>
        <w:rPr>
          <w:rFonts w:ascii="宋体" w:hAnsi="宋体" w:eastAsia="宋体" w:cs="宋体"/>
          <w:sz w:val="20"/>
          <w:szCs w:val="20"/>
        </w:rPr>
      </w:pPr>
      <w:r>
        <w:rPr>
          <w:rFonts w:ascii="宋体" w:hAnsi="宋体" w:eastAsia="宋体" w:cs="宋体"/>
          <w:color w:val="333333"/>
          <w:spacing w:val="12"/>
          <w:sz w:val="20"/>
          <w:szCs w:val="20"/>
        </w:rPr>
        <w:t>陈敬伦</w:t>
      </w:r>
      <w:r>
        <w:rPr>
          <w:rFonts w:ascii="宋体" w:hAnsi="宋体" w:eastAsia="宋体" w:cs="宋体"/>
          <w:color w:val="333333"/>
          <w:spacing w:val="29"/>
          <w:sz w:val="20"/>
          <w:szCs w:val="20"/>
        </w:rPr>
        <w:t xml:space="preserve">  </w:t>
      </w:r>
      <w:r>
        <w:rPr>
          <w:rFonts w:ascii="宋体" w:hAnsi="宋体" w:eastAsia="宋体" w:cs="宋体"/>
          <w:color w:val="333333"/>
          <w:spacing w:val="12"/>
          <w:sz w:val="20"/>
          <w:szCs w:val="20"/>
        </w:rPr>
        <w:t>山东仁诚工程咨询有限公司</w:t>
      </w:r>
    </w:p>
    <w:p>
      <w:pPr>
        <w:spacing w:before="140" w:line="223" w:lineRule="auto"/>
        <w:ind w:left="2266"/>
        <w:rPr>
          <w:rFonts w:ascii="宋体" w:hAnsi="宋体" w:eastAsia="宋体" w:cs="宋体"/>
          <w:sz w:val="20"/>
          <w:szCs w:val="20"/>
        </w:rPr>
      </w:pPr>
      <w:r>
        <w:rPr>
          <w:rFonts w:ascii="宋体" w:hAnsi="宋体" w:eastAsia="宋体" w:cs="宋体"/>
          <w:color w:val="333333"/>
          <w:spacing w:val="13"/>
          <w:sz w:val="20"/>
          <w:szCs w:val="20"/>
        </w:rPr>
        <w:t>刘国云</w:t>
      </w:r>
      <w:r>
        <w:rPr>
          <w:rFonts w:ascii="宋体" w:hAnsi="宋体" w:eastAsia="宋体" w:cs="宋体"/>
          <w:color w:val="333333"/>
          <w:spacing w:val="35"/>
          <w:sz w:val="20"/>
          <w:szCs w:val="20"/>
        </w:rPr>
        <w:t xml:space="preserve">  </w:t>
      </w:r>
      <w:r>
        <w:rPr>
          <w:rFonts w:ascii="宋体" w:hAnsi="宋体" w:eastAsia="宋体" w:cs="宋体"/>
          <w:color w:val="333333"/>
          <w:spacing w:val="13"/>
          <w:sz w:val="20"/>
          <w:szCs w:val="20"/>
        </w:rPr>
        <w:t>中天建华工程咨询有限公司淄博分公司</w:t>
      </w:r>
    </w:p>
    <w:p>
      <w:pPr>
        <w:spacing w:before="140" w:line="218" w:lineRule="auto"/>
        <w:ind w:left="4213"/>
        <w:rPr>
          <w:rFonts w:ascii="宋体" w:hAnsi="宋体" w:eastAsia="宋体" w:cs="宋体"/>
          <w:sz w:val="20"/>
          <w:szCs w:val="20"/>
        </w:rPr>
      </w:pPr>
      <w:r>
        <w:rPr>
          <w:rFonts w:ascii="宋体" w:hAnsi="宋体" w:eastAsia="宋体" w:cs="宋体"/>
          <w:b/>
          <w:bCs/>
          <w:color w:val="333333"/>
          <w:spacing w:val="10"/>
          <w:sz w:val="20"/>
          <w:szCs w:val="20"/>
        </w:rPr>
        <w:t>优秀奖</w:t>
      </w:r>
    </w:p>
    <w:p>
      <w:pPr>
        <w:spacing w:before="143" w:line="224" w:lineRule="auto"/>
        <w:ind w:left="2594"/>
        <w:rPr>
          <w:rFonts w:ascii="宋体" w:hAnsi="宋体" w:eastAsia="宋体" w:cs="宋体"/>
          <w:sz w:val="20"/>
          <w:szCs w:val="20"/>
        </w:rPr>
      </w:pPr>
      <w:r>
        <w:rPr>
          <w:rFonts w:ascii="宋体" w:hAnsi="宋体" w:eastAsia="宋体" w:cs="宋体"/>
          <w:color w:val="333333"/>
          <w:spacing w:val="13"/>
          <w:sz w:val="20"/>
          <w:szCs w:val="20"/>
        </w:rPr>
        <w:t>王宝羽</w:t>
      </w:r>
      <w:r>
        <w:rPr>
          <w:rFonts w:ascii="宋体" w:hAnsi="宋体" w:eastAsia="宋体" w:cs="宋体"/>
          <w:color w:val="333333"/>
          <w:spacing w:val="29"/>
          <w:sz w:val="20"/>
          <w:szCs w:val="20"/>
        </w:rPr>
        <w:t xml:space="preserve">  </w:t>
      </w:r>
      <w:r>
        <w:rPr>
          <w:rFonts w:ascii="宋体" w:hAnsi="宋体" w:eastAsia="宋体" w:cs="宋体"/>
          <w:color w:val="333333"/>
          <w:spacing w:val="13"/>
          <w:sz w:val="20"/>
          <w:szCs w:val="20"/>
        </w:rPr>
        <w:t>山东永信工程咨询集团有限公司</w:t>
      </w:r>
    </w:p>
    <w:p>
      <w:pPr>
        <w:spacing w:before="134" w:line="277" w:lineRule="exact"/>
        <w:ind w:left="2380"/>
        <w:rPr>
          <w:rFonts w:ascii="宋体" w:hAnsi="宋体" w:eastAsia="宋体" w:cs="宋体"/>
          <w:sz w:val="20"/>
          <w:szCs w:val="20"/>
        </w:rPr>
      </w:pPr>
      <w:r>
        <w:rPr>
          <w:rFonts w:ascii="宋体" w:hAnsi="宋体" w:eastAsia="宋体" w:cs="宋体"/>
          <w:color w:val="333333"/>
          <w:spacing w:val="12"/>
          <w:position w:val="1"/>
          <w:sz w:val="20"/>
          <w:szCs w:val="20"/>
        </w:rPr>
        <w:t>张厚莉  合一数智（</w:t>
      </w:r>
      <w:r>
        <w:rPr>
          <w:rFonts w:ascii="宋体" w:hAnsi="宋体" w:eastAsia="宋体" w:cs="宋体"/>
          <w:color w:val="333333"/>
          <w:spacing w:val="-43"/>
          <w:position w:val="1"/>
          <w:sz w:val="20"/>
          <w:szCs w:val="20"/>
        </w:rPr>
        <w:t xml:space="preserve"> </w:t>
      </w:r>
      <w:r>
        <w:rPr>
          <w:rFonts w:ascii="宋体" w:hAnsi="宋体" w:eastAsia="宋体" w:cs="宋体"/>
          <w:color w:val="333333"/>
          <w:spacing w:val="12"/>
          <w:position w:val="1"/>
          <w:sz w:val="20"/>
          <w:szCs w:val="20"/>
        </w:rPr>
        <w:t>山东）工程咨询有限公司</w:t>
      </w:r>
    </w:p>
    <w:p>
      <w:pPr>
        <w:spacing w:before="105" w:line="221" w:lineRule="auto"/>
        <w:ind w:left="2590"/>
        <w:rPr>
          <w:rFonts w:ascii="宋体" w:hAnsi="宋体" w:eastAsia="宋体" w:cs="宋体"/>
          <w:sz w:val="20"/>
          <w:szCs w:val="20"/>
        </w:rPr>
      </w:pPr>
      <w:r>
        <w:rPr>
          <w:rFonts w:ascii="宋体" w:hAnsi="宋体" w:eastAsia="宋体" w:cs="宋体"/>
          <w:color w:val="333333"/>
          <w:spacing w:val="13"/>
          <w:sz w:val="20"/>
          <w:szCs w:val="20"/>
        </w:rPr>
        <w:t>刘士峰</w:t>
      </w:r>
      <w:r>
        <w:rPr>
          <w:rFonts w:ascii="宋体" w:hAnsi="宋体" w:eastAsia="宋体" w:cs="宋体"/>
          <w:color w:val="333333"/>
          <w:spacing w:val="31"/>
          <w:sz w:val="20"/>
          <w:szCs w:val="20"/>
        </w:rPr>
        <w:t xml:space="preserve">  </w:t>
      </w:r>
      <w:r>
        <w:rPr>
          <w:rFonts w:ascii="宋体" w:hAnsi="宋体" w:eastAsia="宋体" w:cs="宋体"/>
          <w:color w:val="333333"/>
          <w:spacing w:val="13"/>
          <w:sz w:val="20"/>
          <w:szCs w:val="20"/>
        </w:rPr>
        <w:t>山东唐正工程项目管理有限公司</w:t>
      </w:r>
    </w:p>
    <w:p>
      <w:pPr>
        <w:spacing w:before="142" w:line="221" w:lineRule="auto"/>
        <w:ind w:left="2482"/>
        <w:rPr>
          <w:rFonts w:ascii="宋体" w:hAnsi="宋体" w:eastAsia="宋体" w:cs="宋体"/>
          <w:sz w:val="20"/>
          <w:szCs w:val="20"/>
        </w:rPr>
      </w:pPr>
      <w:r>
        <w:rPr>
          <w:rFonts w:ascii="宋体" w:hAnsi="宋体" w:eastAsia="宋体" w:cs="宋体"/>
          <w:color w:val="333333"/>
          <w:spacing w:val="15"/>
          <w:sz w:val="20"/>
          <w:szCs w:val="20"/>
        </w:rPr>
        <w:t>牟德财  烟台市政府投资工程建设服务中心</w:t>
      </w:r>
    </w:p>
    <w:p>
      <w:pPr>
        <w:spacing w:before="140" w:line="221" w:lineRule="auto"/>
        <w:ind w:left="2690"/>
        <w:rPr>
          <w:rFonts w:ascii="宋体" w:hAnsi="宋体" w:eastAsia="宋体" w:cs="宋体"/>
          <w:sz w:val="20"/>
          <w:szCs w:val="20"/>
        </w:rPr>
      </w:pPr>
      <w:r>
        <w:rPr>
          <w:rFonts w:ascii="宋体" w:hAnsi="宋体" w:eastAsia="宋体" w:cs="宋体"/>
          <w:color w:val="333333"/>
          <w:spacing w:val="9"/>
          <w:sz w:val="20"/>
          <w:szCs w:val="20"/>
        </w:rPr>
        <w:t>刘乙斌   日照市城乡建设管理服务中心</w:t>
      </w:r>
    </w:p>
    <w:p>
      <w:pPr>
        <w:spacing w:before="142" w:line="220" w:lineRule="auto"/>
        <w:ind w:left="2050"/>
        <w:rPr>
          <w:rFonts w:ascii="宋体" w:hAnsi="宋体" w:eastAsia="宋体" w:cs="宋体"/>
          <w:sz w:val="20"/>
          <w:szCs w:val="20"/>
        </w:rPr>
      </w:pPr>
      <w:r>
        <w:rPr>
          <w:rFonts w:ascii="宋体" w:hAnsi="宋体" w:eastAsia="宋体" w:cs="宋体"/>
          <w:color w:val="333333"/>
          <w:spacing w:val="15"/>
          <w:sz w:val="20"/>
          <w:szCs w:val="20"/>
        </w:rPr>
        <w:t>刘明馨  北京东方华太工程咨询有限公司威海分公司</w:t>
      </w:r>
    </w:p>
    <w:p>
      <w:pPr>
        <w:spacing w:before="143" w:line="221" w:lineRule="auto"/>
        <w:ind w:left="2479"/>
        <w:rPr>
          <w:rFonts w:ascii="宋体" w:hAnsi="宋体" w:eastAsia="宋体" w:cs="宋体"/>
          <w:sz w:val="20"/>
          <w:szCs w:val="20"/>
        </w:rPr>
      </w:pPr>
      <w:r>
        <w:rPr>
          <w:rFonts w:ascii="宋体" w:hAnsi="宋体" w:eastAsia="宋体" w:cs="宋体"/>
          <w:color w:val="333333"/>
          <w:spacing w:val="13"/>
          <w:sz w:val="20"/>
          <w:szCs w:val="20"/>
        </w:rPr>
        <w:t>李  跃</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山东德慧通工程项目管理有限公司</w:t>
      </w:r>
    </w:p>
    <w:p>
      <w:pPr>
        <w:spacing w:before="138" w:line="224" w:lineRule="auto"/>
        <w:ind w:left="2483"/>
        <w:rPr>
          <w:rFonts w:ascii="宋体" w:hAnsi="宋体" w:eastAsia="宋体" w:cs="宋体"/>
          <w:sz w:val="20"/>
          <w:szCs w:val="20"/>
        </w:rPr>
      </w:pPr>
      <w:r>
        <w:rPr>
          <w:rFonts w:ascii="宋体" w:hAnsi="宋体" w:eastAsia="宋体" w:cs="宋体"/>
          <w:color w:val="333333"/>
          <w:spacing w:val="13"/>
          <w:sz w:val="20"/>
          <w:szCs w:val="20"/>
        </w:rPr>
        <w:t>栾公炜</w:t>
      </w:r>
      <w:r>
        <w:rPr>
          <w:rFonts w:ascii="宋体" w:hAnsi="宋体" w:eastAsia="宋体" w:cs="宋体"/>
          <w:color w:val="333333"/>
          <w:spacing w:val="32"/>
          <w:sz w:val="20"/>
          <w:szCs w:val="20"/>
        </w:rPr>
        <w:t xml:space="preserve">  </w:t>
      </w:r>
      <w:r>
        <w:rPr>
          <w:rFonts w:ascii="宋体" w:hAnsi="宋体" w:eastAsia="宋体" w:cs="宋体"/>
          <w:color w:val="333333"/>
          <w:spacing w:val="13"/>
          <w:sz w:val="20"/>
          <w:szCs w:val="20"/>
        </w:rPr>
        <w:t>山东中成信建设项目管理有限公司</w:t>
      </w:r>
    </w:p>
    <w:p>
      <w:pPr>
        <w:spacing w:before="136" w:line="222" w:lineRule="auto"/>
        <w:ind w:left="2272"/>
        <w:rPr>
          <w:rFonts w:ascii="宋体" w:hAnsi="宋体" w:eastAsia="宋体" w:cs="宋体"/>
          <w:sz w:val="20"/>
          <w:szCs w:val="20"/>
        </w:rPr>
      </w:pPr>
      <w:r>
        <w:rPr>
          <w:rFonts w:ascii="宋体" w:hAnsi="宋体" w:eastAsia="宋体" w:cs="宋体"/>
          <w:color w:val="333333"/>
          <w:spacing w:val="14"/>
          <w:sz w:val="20"/>
          <w:szCs w:val="20"/>
        </w:rPr>
        <w:t>张红蕾  东营市住房和城乡建设发展服务中心</w:t>
      </w:r>
    </w:p>
    <w:p>
      <w:pPr>
        <w:spacing w:before="141" w:line="223" w:lineRule="auto"/>
        <w:ind w:left="2373"/>
        <w:rPr>
          <w:rFonts w:ascii="宋体" w:hAnsi="宋体" w:eastAsia="宋体" w:cs="宋体"/>
          <w:sz w:val="20"/>
          <w:szCs w:val="20"/>
        </w:rPr>
      </w:pPr>
      <w:r>
        <w:rPr>
          <w:rFonts w:ascii="宋体" w:hAnsi="宋体" w:eastAsia="宋体" w:cs="宋体"/>
          <w:color w:val="333333"/>
          <w:spacing w:val="13"/>
          <w:sz w:val="20"/>
          <w:szCs w:val="20"/>
        </w:rPr>
        <w:t>董  雪</w:t>
      </w:r>
      <w:r>
        <w:rPr>
          <w:rFonts w:ascii="宋体" w:hAnsi="宋体" w:eastAsia="宋体" w:cs="宋体"/>
          <w:color w:val="333333"/>
          <w:spacing w:val="29"/>
          <w:sz w:val="20"/>
          <w:szCs w:val="20"/>
        </w:rPr>
        <w:t xml:space="preserve">  </w:t>
      </w:r>
      <w:r>
        <w:rPr>
          <w:rFonts w:ascii="宋体" w:hAnsi="宋体" w:eastAsia="宋体" w:cs="宋体"/>
          <w:color w:val="333333"/>
          <w:spacing w:val="13"/>
          <w:sz w:val="20"/>
          <w:szCs w:val="20"/>
        </w:rPr>
        <w:t>淄博市住房和城乡建设保障服务中心</w:t>
      </w:r>
    </w:p>
    <w:p>
      <w:pPr>
        <w:spacing w:before="137" w:line="220" w:lineRule="auto"/>
        <w:ind w:left="2946"/>
        <w:rPr>
          <w:rFonts w:ascii="宋体" w:hAnsi="宋体" w:eastAsia="宋体" w:cs="宋体"/>
          <w:sz w:val="20"/>
          <w:szCs w:val="20"/>
        </w:rPr>
      </w:pPr>
      <w:r>
        <w:rPr>
          <w:rFonts w:ascii="宋体" w:hAnsi="宋体" w:eastAsia="宋体" w:cs="宋体"/>
          <w:color w:val="333333"/>
          <w:spacing w:val="11"/>
          <w:sz w:val="20"/>
          <w:szCs w:val="20"/>
        </w:rPr>
        <w:t>闫  涛</w:t>
      </w:r>
      <w:r>
        <w:rPr>
          <w:rFonts w:ascii="宋体" w:hAnsi="宋体" w:eastAsia="宋体" w:cs="宋体"/>
          <w:color w:val="333333"/>
          <w:spacing w:val="13"/>
          <w:sz w:val="20"/>
          <w:szCs w:val="20"/>
        </w:rPr>
        <w:t xml:space="preserve">  </w:t>
      </w:r>
      <w:r>
        <w:rPr>
          <w:rFonts w:ascii="宋体" w:hAnsi="宋体" w:eastAsia="宋体" w:cs="宋体"/>
          <w:color w:val="333333"/>
          <w:spacing w:val="11"/>
          <w:sz w:val="20"/>
          <w:szCs w:val="20"/>
        </w:rPr>
        <w:t>滕州市工程建设服务中心</w:t>
      </w:r>
    </w:p>
    <w:p>
      <w:pPr>
        <w:spacing w:before="156" w:line="277" w:lineRule="exact"/>
        <w:ind w:left="2808"/>
        <w:rPr>
          <w:rFonts w:ascii="宋体" w:hAnsi="宋体" w:eastAsia="宋体" w:cs="宋体"/>
          <w:sz w:val="20"/>
          <w:szCs w:val="20"/>
        </w:rPr>
      </w:pPr>
      <w:r>
        <w:rPr>
          <w:rFonts w:ascii="宋体" w:hAnsi="宋体" w:eastAsia="宋体" w:cs="宋体"/>
          <w:color w:val="333333"/>
          <w:spacing w:val="13"/>
          <w:position w:val="1"/>
          <w:sz w:val="20"/>
          <w:szCs w:val="20"/>
        </w:rPr>
        <w:t>焦燕华</w:t>
      </w:r>
      <w:r>
        <w:rPr>
          <w:rFonts w:ascii="宋体" w:hAnsi="宋体" w:eastAsia="宋体" w:cs="宋体"/>
          <w:color w:val="333333"/>
          <w:spacing w:val="27"/>
          <w:position w:val="1"/>
          <w:sz w:val="20"/>
          <w:szCs w:val="20"/>
        </w:rPr>
        <w:t xml:space="preserve">  </w:t>
      </w:r>
      <w:r>
        <w:rPr>
          <w:rFonts w:ascii="宋体" w:hAnsi="宋体" w:eastAsia="宋体" w:cs="宋体"/>
          <w:color w:val="333333"/>
          <w:spacing w:val="13"/>
          <w:position w:val="1"/>
          <w:sz w:val="20"/>
          <w:szCs w:val="20"/>
        </w:rPr>
        <w:t>山东鲁创项目管理有限公司</w:t>
      </w:r>
    </w:p>
    <w:p>
      <w:pPr>
        <w:spacing w:line="277" w:lineRule="exact"/>
        <w:rPr>
          <w:rFonts w:ascii="宋体" w:hAnsi="宋体" w:eastAsia="宋体" w:cs="宋体"/>
          <w:sz w:val="20"/>
          <w:szCs w:val="20"/>
        </w:rPr>
        <w:sectPr>
          <w:footerReference r:id="rId308" w:type="default"/>
          <w:pgSz w:w="11906" w:h="16839"/>
          <w:pgMar w:top="400" w:right="1785" w:bottom="1212" w:left="1418" w:header="0" w:footer="897" w:gutter="0"/>
        </w:sectPr>
      </w:pPr>
    </w:p>
    <w:p>
      <w:pPr>
        <w:spacing w:before="39"/>
      </w:pPr>
    </w:p>
    <w:p>
      <w:pPr>
        <w:spacing w:before="39"/>
      </w:pPr>
    </w:p>
    <w:p>
      <w:pPr>
        <w:spacing w:before="39"/>
      </w:pPr>
    </w:p>
    <w:p>
      <w:pPr>
        <w:spacing w:before="39"/>
      </w:pPr>
    </w:p>
    <w:p>
      <w:pPr>
        <w:sectPr>
          <w:footerReference r:id="rId309" w:type="default"/>
          <w:pgSz w:w="11906" w:h="16839"/>
          <w:pgMar w:top="400" w:right="1420" w:bottom="1212" w:left="1785" w:header="0" w:footer="897" w:gutter="0"/>
          <w:cols w:equalWidth="0" w:num="1">
            <w:col w:w="8700"/>
          </w:cols>
        </w:sectPr>
      </w:pPr>
    </w:p>
    <w:p>
      <w:pPr>
        <w:spacing w:before="40" w:line="216" w:lineRule="auto"/>
        <w:ind w:left="266"/>
        <w:rPr>
          <w:rFonts w:ascii="宋体" w:hAnsi="宋体" w:eastAsia="宋体" w:cs="宋体"/>
          <w:sz w:val="20"/>
          <w:szCs w:val="20"/>
        </w:rPr>
      </w:pPr>
      <w:r>
        <w:rPr>
          <w:rFonts w:ascii="宋体" w:hAnsi="宋体" w:eastAsia="宋体" w:cs="宋体"/>
          <w:b/>
          <w:bCs/>
          <w:color w:val="333333"/>
          <w:spacing w:val="13"/>
          <w:sz w:val="20"/>
          <w:szCs w:val="20"/>
        </w:rPr>
        <w:t>二、企业及行业组织组</w:t>
      </w:r>
    </w:p>
    <w:p>
      <w:pPr>
        <w:spacing w:line="254" w:lineRule="auto"/>
        <w:rPr>
          <w:rFonts w:ascii="Arial"/>
          <w:sz w:val="21"/>
        </w:rPr>
      </w:pPr>
    </w:p>
    <w:p>
      <w:pPr>
        <w:spacing w:line="255" w:lineRule="auto"/>
        <w:rPr>
          <w:rFonts w:ascii="Arial"/>
          <w:sz w:val="21"/>
        </w:rPr>
      </w:pPr>
    </w:p>
    <w:p>
      <w:pPr>
        <w:spacing w:before="65" w:line="365" w:lineRule="auto"/>
        <w:ind w:left="2425" w:right="150" w:hanging="3"/>
        <w:jc w:val="both"/>
        <w:rPr>
          <w:rFonts w:ascii="宋体" w:hAnsi="宋体" w:eastAsia="宋体" w:cs="宋体"/>
          <w:sz w:val="20"/>
          <w:szCs w:val="20"/>
        </w:rPr>
      </w:pPr>
      <w:r>
        <w:rPr>
          <w:rFonts w:ascii="宋体" w:hAnsi="宋体" w:eastAsia="宋体" w:cs="宋体"/>
          <w:color w:val="333333"/>
          <w:spacing w:val="-1"/>
          <w:sz w:val="20"/>
          <w:szCs w:val="20"/>
        </w:rPr>
        <w:t>王</w:t>
      </w:r>
      <w:r>
        <w:rPr>
          <w:rFonts w:ascii="宋体" w:hAnsi="宋体" w:eastAsia="宋体" w:cs="宋体"/>
          <w:color w:val="333333"/>
          <w:spacing w:val="20"/>
          <w:sz w:val="20"/>
          <w:szCs w:val="20"/>
        </w:rPr>
        <w:t xml:space="preserve">  </w:t>
      </w:r>
      <w:r>
        <w:rPr>
          <w:rFonts w:ascii="宋体" w:hAnsi="宋体" w:eastAsia="宋体" w:cs="宋体"/>
          <w:color w:val="333333"/>
          <w:spacing w:val="-1"/>
          <w:sz w:val="20"/>
          <w:szCs w:val="20"/>
        </w:rPr>
        <w:t>云</w:t>
      </w:r>
      <w:r>
        <w:rPr>
          <w:rFonts w:ascii="宋体" w:hAnsi="宋体" w:eastAsia="宋体" w:cs="宋体"/>
          <w:color w:val="333333"/>
          <w:spacing w:val="11"/>
          <w:sz w:val="20"/>
          <w:szCs w:val="20"/>
        </w:rPr>
        <w:t>亓文斌赵芳雨</w:t>
      </w:r>
    </w:p>
    <w:p>
      <w:pPr>
        <w:spacing w:line="14" w:lineRule="auto"/>
        <w:rPr>
          <w:rFonts w:ascii="Arial"/>
          <w:sz w:val="2"/>
        </w:rPr>
      </w:pPr>
      <w:r>
        <w:rPr>
          <w:rFonts w:ascii="Arial" w:hAnsi="Arial" w:eastAsia="Arial" w:cs="Arial"/>
          <w:sz w:val="2"/>
          <w:szCs w:val="2"/>
        </w:rPr>
        <w:br w:type="column"/>
      </w:r>
    </w:p>
    <w:p>
      <w:pPr>
        <w:spacing w:line="369" w:lineRule="auto"/>
        <w:rPr>
          <w:rFonts w:ascii="Arial"/>
          <w:sz w:val="21"/>
        </w:rPr>
      </w:pPr>
    </w:p>
    <w:p>
      <w:pPr>
        <w:spacing w:before="65" w:line="221" w:lineRule="auto"/>
        <w:ind w:left="536"/>
        <w:rPr>
          <w:rFonts w:ascii="宋体" w:hAnsi="宋体" w:eastAsia="宋体" w:cs="宋体"/>
          <w:sz w:val="20"/>
          <w:szCs w:val="20"/>
        </w:rPr>
      </w:pPr>
      <w:r>
        <w:rPr>
          <w:rFonts w:ascii="宋体" w:hAnsi="宋体" w:eastAsia="宋体" w:cs="宋体"/>
          <w:b/>
          <w:bCs/>
          <w:color w:val="333333"/>
          <w:spacing w:val="9"/>
          <w:sz w:val="20"/>
          <w:szCs w:val="20"/>
        </w:rPr>
        <w:t>一等奖</w:t>
      </w:r>
    </w:p>
    <w:p>
      <w:pPr>
        <w:spacing w:before="160" w:line="223" w:lineRule="auto"/>
        <w:ind w:left="2"/>
        <w:rPr>
          <w:rFonts w:ascii="宋体" w:hAnsi="宋体" w:eastAsia="宋体" w:cs="宋体"/>
          <w:sz w:val="20"/>
          <w:szCs w:val="20"/>
        </w:rPr>
      </w:pPr>
      <w:r>
        <w:rPr>
          <w:rFonts w:ascii="宋体" w:hAnsi="宋体" w:eastAsia="宋体" w:cs="宋体"/>
          <w:color w:val="333333"/>
          <w:spacing w:val="13"/>
          <w:sz w:val="20"/>
          <w:szCs w:val="20"/>
        </w:rPr>
        <w:t>中正信造价咨询有限公司</w:t>
      </w:r>
    </w:p>
    <w:p>
      <w:pPr>
        <w:spacing w:before="156" w:line="223" w:lineRule="auto"/>
        <w:rPr>
          <w:rFonts w:ascii="宋体" w:hAnsi="宋体" w:eastAsia="宋体" w:cs="宋体"/>
          <w:sz w:val="20"/>
          <w:szCs w:val="20"/>
        </w:rPr>
      </w:pPr>
      <w:r>
        <w:rPr>
          <w:rFonts w:ascii="宋体" w:hAnsi="宋体" w:eastAsia="宋体" w:cs="宋体"/>
          <w:color w:val="333333"/>
          <w:spacing w:val="13"/>
          <w:sz w:val="20"/>
          <w:szCs w:val="20"/>
        </w:rPr>
        <w:t>中正信造价咨询有限公司</w:t>
      </w:r>
    </w:p>
    <w:p>
      <w:pPr>
        <w:spacing w:before="159" w:line="223" w:lineRule="auto"/>
        <w:rPr>
          <w:rFonts w:ascii="宋体" w:hAnsi="宋体" w:eastAsia="宋体" w:cs="宋体"/>
          <w:sz w:val="20"/>
          <w:szCs w:val="20"/>
        </w:rPr>
      </w:pPr>
      <w:r>
        <w:rPr>
          <w:rFonts w:ascii="宋体" w:hAnsi="宋体" w:eastAsia="宋体" w:cs="宋体"/>
          <w:color w:val="333333"/>
          <w:spacing w:val="13"/>
          <w:sz w:val="20"/>
          <w:szCs w:val="20"/>
        </w:rPr>
        <w:t>中正信造价咨询有限公司</w:t>
      </w:r>
    </w:p>
    <w:p>
      <w:pPr>
        <w:spacing w:line="223" w:lineRule="auto"/>
        <w:rPr>
          <w:rFonts w:ascii="宋体" w:hAnsi="宋体" w:eastAsia="宋体" w:cs="宋体"/>
          <w:sz w:val="20"/>
          <w:szCs w:val="20"/>
        </w:rPr>
        <w:sectPr>
          <w:type w:val="continuous"/>
          <w:pgSz w:w="11906" w:h="16839"/>
          <w:pgMar w:top="400" w:right="1420" w:bottom="1212" w:left="1785" w:header="0" w:footer="897" w:gutter="0"/>
          <w:cols w:equalWidth="0" w:num="2">
            <w:col w:w="3213" w:space="100"/>
            <w:col w:w="5387"/>
          </w:cols>
        </w:sectPr>
      </w:pPr>
    </w:p>
    <w:p>
      <w:pPr>
        <w:spacing w:line="221" w:lineRule="auto"/>
        <w:ind w:left="3849"/>
        <w:rPr>
          <w:rFonts w:ascii="宋体" w:hAnsi="宋体" w:eastAsia="宋体" w:cs="宋体"/>
          <w:sz w:val="20"/>
          <w:szCs w:val="20"/>
        </w:rPr>
      </w:pPr>
      <w:r>
        <w:rPr>
          <w:rFonts w:ascii="宋体" w:hAnsi="宋体" w:eastAsia="宋体" w:cs="宋体"/>
          <w:b/>
          <w:bCs/>
          <w:color w:val="333333"/>
          <w:spacing w:val="9"/>
          <w:sz w:val="20"/>
          <w:szCs w:val="20"/>
        </w:rPr>
        <w:t>二等奖</w:t>
      </w:r>
    </w:p>
    <w:p>
      <w:pPr>
        <w:spacing w:before="158" w:line="221" w:lineRule="auto"/>
        <w:ind w:left="1791"/>
        <w:rPr>
          <w:rFonts w:ascii="宋体" w:hAnsi="宋体" w:eastAsia="宋体" w:cs="宋体"/>
          <w:sz w:val="20"/>
          <w:szCs w:val="20"/>
        </w:rPr>
      </w:pPr>
      <w:r>
        <w:rPr>
          <w:rFonts w:ascii="宋体" w:hAnsi="宋体" w:eastAsia="宋体" w:cs="宋体"/>
          <w:color w:val="333333"/>
          <w:spacing w:val="15"/>
          <w:sz w:val="20"/>
          <w:szCs w:val="20"/>
        </w:rPr>
        <w:t>刘金伟  山东九州建设工程项目管理咨询有限公司</w:t>
      </w:r>
    </w:p>
    <w:p>
      <w:pPr>
        <w:spacing w:before="163" w:line="219" w:lineRule="auto"/>
        <w:ind w:left="2655"/>
        <w:rPr>
          <w:rFonts w:ascii="宋体" w:hAnsi="宋体" w:eastAsia="宋体" w:cs="宋体"/>
          <w:sz w:val="20"/>
          <w:szCs w:val="20"/>
        </w:rPr>
      </w:pPr>
      <w:r>
        <w:rPr>
          <w:rFonts w:ascii="宋体" w:hAnsi="宋体" w:eastAsia="宋体" w:cs="宋体"/>
          <w:color w:val="333333"/>
          <w:spacing w:val="14"/>
          <w:sz w:val="20"/>
          <w:szCs w:val="20"/>
        </w:rPr>
        <w:t>杨新硕  青岛习远咨询有限公司</w:t>
      </w:r>
    </w:p>
    <w:p>
      <w:pPr>
        <w:spacing w:before="164" w:line="218" w:lineRule="auto"/>
        <w:ind w:left="2654"/>
        <w:rPr>
          <w:rFonts w:ascii="宋体" w:hAnsi="宋体" w:eastAsia="宋体" w:cs="宋体"/>
          <w:sz w:val="20"/>
          <w:szCs w:val="20"/>
        </w:rPr>
      </w:pPr>
      <w:r>
        <w:rPr>
          <w:rFonts w:ascii="宋体" w:hAnsi="宋体" w:eastAsia="宋体" w:cs="宋体"/>
          <w:color w:val="333333"/>
          <w:spacing w:val="13"/>
          <w:sz w:val="20"/>
          <w:szCs w:val="20"/>
        </w:rPr>
        <w:t>盛  夏</w:t>
      </w:r>
      <w:r>
        <w:rPr>
          <w:rFonts w:ascii="宋体" w:hAnsi="宋体" w:eastAsia="宋体" w:cs="宋体"/>
          <w:color w:val="333333"/>
          <w:spacing w:val="20"/>
          <w:sz w:val="20"/>
          <w:szCs w:val="20"/>
        </w:rPr>
        <w:t xml:space="preserve">  </w:t>
      </w:r>
      <w:r>
        <w:rPr>
          <w:rFonts w:ascii="宋体" w:hAnsi="宋体" w:eastAsia="宋体" w:cs="宋体"/>
          <w:color w:val="333333"/>
          <w:spacing w:val="13"/>
          <w:sz w:val="20"/>
          <w:szCs w:val="20"/>
        </w:rPr>
        <w:t>青岛习远咨询有限公司</w:t>
      </w:r>
    </w:p>
    <w:p>
      <w:pPr>
        <w:spacing w:before="160" w:line="221" w:lineRule="auto"/>
        <w:ind w:left="1799"/>
        <w:rPr>
          <w:rFonts w:ascii="宋体" w:hAnsi="宋体" w:eastAsia="宋体" w:cs="宋体"/>
          <w:sz w:val="20"/>
          <w:szCs w:val="20"/>
        </w:rPr>
      </w:pPr>
      <w:r>
        <w:rPr>
          <w:rFonts w:ascii="宋体" w:hAnsi="宋体" w:eastAsia="宋体" w:cs="宋体"/>
          <w:color w:val="333333"/>
          <w:spacing w:val="14"/>
          <w:sz w:val="20"/>
          <w:szCs w:val="20"/>
        </w:rPr>
        <w:t>马吉伟  山东九州建设工程项目管理咨询有限公司</w:t>
      </w:r>
    </w:p>
    <w:p>
      <w:pPr>
        <w:spacing w:before="161" w:line="222" w:lineRule="auto"/>
        <w:ind w:left="2445"/>
        <w:rPr>
          <w:rFonts w:ascii="宋体" w:hAnsi="宋体" w:eastAsia="宋体" w:cs="宋体"/>
          <w:sz w:val="20"/>
          <w:szCs w:val="20"/>
        </w:rPr>
      </w:pPr>
      <w:r>
        <w:rPr>
          <w:rFonts w:ascii="宋体" w:hAnsi="宋体" w:eastAsia="宋体" w:cs="宋体"/>
          <w:color w:val="333333"/>
          <w:spacing w:val="12"/>
          <w:sz w:val="20"/>
          <w:szCs w:val="20"/>
        </w:rPr>
        <w:t>张连营</w:t>
      </w:r>
      <w:r>
        <w:rPr>
          <w:rFonts w:ascii="宋体" w:hAnsi="宋体" w:eastAsia="宋体" w:cs="宋体"/>
          <w:color w:val="333333"/>
          <w:spacing w:val="32"/>
          <w:sz w:val="20"/>
          <w:szCs w:val="20"/>
        </w:rPr>
        <w:t xml:space="preserve">  </w:t>
      </w:r>
      <w:r>
        <w:rPr>
          <w:rFonts w:ascii="宋体" w:hAnsi="宋体" w:eastAsia="宋体" w:cs="宋体"/>
          <w:color w:val="333333"/>
          <w:spacing w:val="12"/>
          <w:sz w:val="20"/>
          <w:szCs w:val="20"/>
        </w:rPr>
        <w:t>中建八局第四建设有限公司</w:t>
      </w:r>
    </w:p>
    <w:p>
      <w:pPr>
        <w:spacing w:before="163" w:line="218" w:lineRule="auto"/>
        <w:ind w:left="2328"/>
        <w:rPr>
          <w:rFonts w:ascii="宋体" w:hAnsi="宋体" w:eastAsia="宋体" w:cs="宋体"/>
          <w:sz w:val="20"/>
          <w:szCs w:val="20"/>
        </w:rPr>
      </w:pPr>
      <w:r>
        <w:rPr>
          <w:rFonts w:ascii="宋体" w:hAnsi="宋体" w:eastAsia="宋体" w:cs="宋体"/>
          <w:color w:val="333333"/>
          <w:spacing w:val="13"/>
          <w:sz w:val="20"/>
          <w:szCs w:val="20"/>
        </w:rPr>
        <w:t>李  娜</w:t>
      </w:r>
      <w:r>
        <w:rPr>
          <w:rFonts w:ascii="宋体" w:hAnsi="宋体" w:eastAsia="宋体" w:cs="宋体"/>
          <w:color w:val="333333"/>
          <w:spacing w:val="25"/>
          <w:sz w:val="20"/>
          <w:szCs w:val="20"/>
        </w:rPr>
        <w:t xml:space="preserve">  </w:t>
      </w:r>
      <w:r>
        <w:rPr>
          <w:rFonts w:ascii="宋体" w:hAnsi="宋体" w:eastAsia="宋体" w:cs="宋体"/>
          <w:color w:val="333333"/>
          <w:spacing w:val="13"/>
          <w:sz w:val="20"/>
          <w:szCs w:val="20"/>
        </w:rPr>
        <w:t>山东经之纬工程咨询有限公司</w:t>
      </w:r>
    </w:p>
    <w:p>
      <w:pPr>
        <w:spacing w:before="163" w:line="219" w:lineRule="auto"/>
        <w:ind w:left="1696"/>
        <w:rPr>
          <w:rFonts w:ascii="宋体" w:hAnsi="宋体" w:eastAsia="宋体" w:cs="宋体"/>
          <w:sz w:val="20"/>
          <w:szCs w:val="20"/>
        </w:rPr>
      </w:pPr>
      <w:r>
        <w:rPr>
          <w:rFonts w:ascii="宋体" w:hAnsi="宋体" w:eastAsia="宋体" w:cs="宋体"/>
          <w:color w:val="333333"/>
          <w:spacing w:val="14"/>
          <w:sz w:val="20"/>
          <w:szCs w:val="20"/>
        </w:rPr>
        <w:t>刁兆敏  北京东方华太工程咨询有限公司威海分公司</w:t>
      </w:r>
    </w:p>
    <w:p>
      <w:pPr>
        <w:spacing w:before="162" w:line="219" w:lineRule="auto"/>
        <w:ind w:left="2438"/>
        <w:rPr>
          <w:rFonts w:ascii="宋体" w:hAnsi="宋体" w:eastAsia="宋体" w:cs="宋体"/>
          <w:sz w:val="20"/>
          <w:szCs w:val="20"/>
        </w:rPr>
      </w:pPr>
      <w:r>
        <w:rPr>
          <w:rFonts w:ascii="宋体" w:hAnsi="宋体" w:eastAsia="宋体" w:cs="宋体"/>
          <w:color w:val="333333"/>
          <w:spacing w:val="13"/>
          <w:sz w:val="20"/>
          <w:szCs w:val="20"/>
        </w:rPr>
        <w:t>苗  凤</w:t>
      </w:r>
      <w:r>
        <w:rPr>
          <w:rFonts w:ascii="宋体" w:hAnsi="宋体" w:eastAsia="宋体" w:cs="宋体"/>
          <w:color w:val="333333"/>
          <w:spacing w:val="23"/>
          <w:sz w:val="20"/>
          <w:szCs w:val="20"/>
        </w:rPr>
        <w:t xml:space="preserve">  </w:t>
      </w:r>
      <w:r>
        <w:rPr>
          <w:rFonts w:ascii="宋体" w:hAnsi="宋体" w:eastAsia="宋体" w:cs="宋体"/>
          <w:color w:val="333333"/>
          <w:spacing w:val="13"/>
          <w:sz w:val="20"/>
          <w:szCs w:val="20"/>
        </w:rPr>
        <w:t>海逸恒安项目管理有限公司</w:t>
      </w:r>
    </w:p>
    <w:p>
      <w:pPr>
        <w:spacing w:before="162" w:line="223" w:lineRule="auto"/>
        <w:ind w:left="2333"/>
        <w:rPr>
          <w:rFonts w:ascii="宋体" w:hAnsi="宋体" w:eastAsia="宋体" w:cs="宋体"/>
          <w:sz w:val="20"/>
          <w:szCs w:val="20"/>
        </w:rPr>
      </w:pPr>
      <w:r>
        <w:rPr>
          <w:rFonts w:ascii="宋体" w:hAnsi="宋体" w:eastAsia="宋体" w:cs="宋体"/>
          <w:color w:val="333333"/>
          <w:spacing w:val="13"/>
          <w:sz w:val="20"/>
          <w:szCs w:val="20"/>
        </w:rPr>
        <w:t>王  会</w:t>
      </w:r>
      <w:r>
        <w:rPr>
          <w:rFonts w:ascii="宋体" w:hAnsi="宋体" w:eastAsia="宋体" w:cs="宋体"/>
          <w:color w:val="333333"/>
          <w:spacing w:val="23"/>
          <w:sz w:val="20"/>
          <w:szCs w:val="20"/>
        </w:rPr>
        <w:t xml:space="preserve">  </w:t>
      </w:r>
      <w:r>
        <w:rPr>
          <w:rFonts w:ascii="宋体" w:hAnsi="宋体" w:eastAsia="宋体" w:cs="宋体"/>
          <w:color w:val="333333"/>
          <w:spacing w:val="13"/>
          <w:sz w:val="20"/>
          <w:szCs w:val="20"/>
        </w:rPr>
        <w:t>恒诚信国际工程咨询有限公司</w:t>
      </w:r>
    </w:p>
    <w:p>
      <w:pPr>
        <w:spacing w:before="157" w:line="221" w:lineRule="auto"/>
        <w:ind w:left="3852"/>
        <w:rPr>
          <w:rFonts w:ascii="宋体" w:hAnsi="宋体" w:eastAsia="宋体" w:cs="宋体"/>
          <w:sz w:val="20"/>
          <w:szCs w:val="20"/>
        </w:rPr>
      </w:pPr>
      <w:r>
        <w:rPr>
          <w:rFonts w:ascii="宋体" w:hAnsi="宋体" w:eastAsia="宋体" w:cs="宋体"/>
          <w:b/>
          <w:bCs/>
          <w:color w:val="333333"/>
          <w:spacing w:val="8"/>
          <w:sz w:val="20"/>
          <w:szCs w:val="20"/>
        </w:rPr>
        <w:t>三等奖</w:t>
      </w:r>
    </w:p>
    <w:p>
      <w:pPr>
        <w:spacing w:before="161" w:line="220" w:lineRule="auto"/>
        <w:ind w:left="1799"/>
        <w:rPr>
          <w:rFonts w:ascii="宋体" w:hAnsi="宋体" w:eastAsia="宋体" w:cs="宋体"/>
          <w:sz w:val="20"/>
          <w:szCs w:val="20"/>
        </w:rPr>
      </w:pPr>
      <w:r>
        <w:rPr>
          <w:rFonts w:ascii="宋体" w:hAnsi="宋体" w:eastAsia="宋体" w:cs="宋体"/>
          <w:color w:val="333333"/>
          <w:spacing w:val="14"/>
          <w:sz w:val="20"/>
          <w:szCs w:val="20"/>
        </w:rPr>
        <w:t>马文强  山东九州建设工程项目管理咨询有限公司</w:t>
      </w:r>
    </w:p>
    <w:p>
      <w:pPr>
        <w:spacing w:before="165" w:line="219" w:lineRule="auto"/>
        <w:ind w:left="2657"/>
        <w:rPr>
          <w:rFonts w:ascii="宋体" w:hAnsi="宋体" w:eastAsia="宋体" w:cs="宋体"/>
          <w:sz w:val="20"/>
          <w:szCs w:val="20"/>
        </w:rPr>
      </w:pPr>
      <w:r>
        <w:rPr>
          <w:rFonts w:ascii="宋体" w:hAnsi="宋体" w:eastAsia="宋体" w:cs="宋体"/>
          <w:color w:val="333333"/>
          <w:spacing w:val="13"/>
          <w:sz w:val="20"/>
          <w:szCs w:val="20"/>
        </w:rPr>
        <w:t>高  蕾</w:t>
      </w:r>
      <w:r>
        <w:rPr>
          <w:rFonts w:ascii="宋体" w:hAnsi="宋体" w:eastAsia="宋体" w:cs="宋体"/>
          <w:color w:val="333333"/>
          <w:spacing w:val="18"/>
          <w:sz w:val="20"/>
          <w:szCs w:val="20"/>
        </w:rPr>
        <w:t xml:space="preserve">  </w:t>
      </w:r>
      <w:r>
        <w:rPr>
          <w:rFonts w:ascii="宋体" w:hAnsi="宋体" w:eastAsia="宋体" w:cs="宋体"/>
          <w:color w:val="333333"/>
          <w:spacing w:val="13"/>
          <w:sz w:val="20"/>
          <w:szCs w:val="20"/>
        </w:rPr>
        <w:t>青岛习远咨询有限公司</w:t>
      </w:r>
    </w:p>
    <w:p>
      <w:pPr>
        <w:spacing w:before="161" w:line="219" w:lineRule="auto"/>
        <w:ind w:left="2440"/>
        <w:rPr>
          <w:rFonts w:ascii="宋体" w:hAnsi="宋体" w:eastAsia="宋体" w:cs="宋体"/>
          <w:sz w:val="20"/>
          <w:szCs w:val="20"/>
        </w:rPr>
      </w:pPr>
      <w:r>
        <w:rPr>
          <w:rFonts w:ascii="宋体" w:hAnsi="宋体" w:eastAsia="宋体" w:cs="宋体"/>
          <w:color w:val="333333"/>
          <w:spacing w:val="12"/>
          <w:sz w:val="20"/>
          <w:szCs w:val="20"/>
        </w:rPr>
        <w:t>黄  洁</w:t>
      </w:r>
      <w:r>
        <w:rPr>
          <w:rFonts w:ascii="宋体" w:hAnsi="宋体" w:eastAsia="宋体" w:cs="宋体"/>
          <w:color w:val="333333"/>
          <w:spacing w:val="30"/>
          <w:sz w:val="20"/>
          <w:szCs w:val="20"/>
        </w:rPr>
        <w:t xml:space="preserve">  </w:t>
      </w:r>
      <w:r>
        <w:rPr>
          <w:rFonts w:ascii="宋体" w:hAnsi="宋体" w:eastAsia="宋体" w:cs="宋体"/>
          <w:color w:val="333333"/>
          <w:spacing w:val="12"/>
          <w:sz w:val="20"/>
          <w:szCs w:val="20"/>
        </w:rPr>
        <w:t>山东昌盛项目管理有限公司</w:t>
      </w:r>
    </w:p>
    <w:p>
      <w:pPr>
        <w:spacing w:before="164" w:line="219" w:lineRule="auto"/>
        <w:ind w:left="1683"/>
        <w:rPr>
          <w:rFonts w:ascii="宋体" w:hAnsi="宋体" w:eastAsia="宋体" w:cs="宋体"/>
          <w:sz w:val="20"/>
          <w:szCs w:val="20"/>
        </w:rPr>
      </w:pPr>
      <w:r>
        <w:rPr>
          <w:rFonts w:ascii="宋体" w:hAnsi="宋体" w:eastAsia="宋体" w:cs="宋体"/>
          <w:color w:val="333333"/>
          <w:spacing w:val="15"/>
          <w:sz w:val="20"/>
          <w:szCs w:val="20"/>
        </w:rPr>
        <w:t>刘翠莲  北京东方华太工程咨询有限公司威海分公司</w:t>
      </w:r>
    </w:p>
    <w:p>
      <w:pPr>
        <w:spacing w:before="161" w:line="222" w:lineRule="auto"/>
        <w:ind w:left="2223"/>
        <w:rPr>
          <w:rFonts w:ascii="宋体" w:hAnsi="宋体" w:eastAsia="宋体" w:cs="宋体"/>
          <w:sz w:val="20"/>
          <w:szCs w:val="20"/>
        </w:rPr>
      </w:pPr>
      <w:r>
        <w:rPr>
          <w:rFonts w:ascii="宋体" w:hAnsi="宋体" w:eastAsia="宋体" w:cs="宋体"/>
          <w:color w:val="333333"/>
          <w:spacing w:val="13"/>
          <w:sz w:val="20"/>
          <w:szCs w:val="20"/>
        </w:rPr>
        <w:t>李媛媛</w:t>
      </w:r>
      <w:r>
        <w:rPr>
          <w:rFonts w:ascii="宋体" w:hAnsi="宋体" w:eastAsia="宋体" w:cs="宋体"/>
          <w:color w:val="333333"/>
          <w:spacing w:val="31"/>
          <w:sz w:val="20"/>
          <w:szCs w:val="20"/>
        </w:rPr>
        <w:t xml:space="preserve">  </w:t>
      </w:r>
      <w:r>
        <w:rPr>
          <w:rFonts w:ascii="宋体" w:hAnsi="宋体" w:eastAsia="宋体" w:cs="宋体"/>
          <w:color w:val="333333"/>
          <w:spacing w:val="13"/>
          <w:sz w:val="20"/>
          <w:szCs w:val="20"/>
        </w:rPr>
        <w:t>山东世纪华都工程咨询有限公司</w:t>
      </w:r>
    </w:p>
    <w:p>
      <w:pPr>
        <w:spacing w:before="159" w:line="221" w:lineRule="auto"/>
        <w:ind w:left="2219"/>
        <w:rPr>
          <w:rFonts w:ascii="宋体" w:hAnsi="宋体" w:eastAsia="宋体" w:cs="宋体"/>
          <w:sz w:val="20"/>
          <w:szCs w:val="20"/>
        </w:rPr>
      </w:pPr>
      <w:r>
        <w:rPr>
          <w:rFonts w:ascii="宋体" w:hAnsi="宋体" w:eastAsia="宋体" w:cs="宋体"/>
          <w:color w:val="333333"/>
          <w:spacing w:val="13"/>
          <w:sz w:val="20"/>
          <w:szCs w:val="20"/>
        </w:rPr>
        <w:t>解  辉</w:t>
      </w:r>
      <w:r>
        <w:rPr>
          <w:rFonts w:ascii="宋体" w:hAnsi="宋体" w:eastAsia="宋体" w:cs="宋体"/>
          <w:color w:val="333333"/>
          <w:spacing w:val="27"/>
          <w:sz w:val="20"/>
          <w:szCs w:val="20"/>
        </w:rPr>
        <w:t xml:space="preserve">  </w:t>
      </w:r>
      <w:r>
        <w:rPr>
          <w:rFonts w:ascii="宋体" w:hAnsi="宋体" w:eastAsia="宋体" w:cs="宋体"/>
          <w:color w:val="333333"/>
          <w:spacing w:val="13"/>
          <w:sz w:val="20"/>
          <w:szCs w:val="20"/>
        </w:rPr>
        <w:t>山东公平工程咨询有限责任公司</w:t>
      </w:r>
    </w:p>
    <w:p>
      <w:pPr>
        <w:spacing w:before="162" w:line="218" w:lineRule="auto"/>
        <w:ind w:left="2331"/>
        <w:rPr>
          <w:rFonts w:ascii="宋体" w:hAnsi="宋体" w:eastAsia="宋体" w:cs="宋体"/>
          <w:sz w:val="20"/>
          <w:szCs w:val="20"/>
        </w:rPr>
      </w:pPr>
      <w:r>
        <w:rPr>
          <w:rFonts w:ascii="宋体" w:hAnsi="宋体" w:eastAsia="宋体" w:cs="宋体"/>
          <w:color w:val="333333"/>
          <w:spacing w:val="13"/>
          <w:sz w:val="20"/>
          <w:szCs w:val="20"/>
        </w:rPr>
        <w:t>周黎驰</w:t>
      </w:r>
      <w:r>
        <w:rPr>
          <w:rFonts w:ascii="宋体" w:hAnsi="宋体" w:eastAsia="宋体" w:cs="宋体"/>
          <w:color w:val="333333"/>
          <w:spacing w:val="29"/>
          <w:sz w:val="20"/>
          <w:szCs w:val="20"/>
        </w:rPr>
        <w:t xml:space="preserve">  </w:t>
      </w:r>
      <w:r>
        <w:rPr>
          <w:rFonts w:ascii="宋体" w:hAnsi="宋体" w:eastAsia="宋体" w:cs="宋体"/>
          <w:color w:val="333333"/>
          <w:spacing w:val="13"/>
          <w:sz w:val="20"/>
          <w:szCs w:val="20"/>
        </w:rPr>
        <w:t>山东经之纬工程咨询有限公司</w:t>
      </w:r>
    </w:p>
    <w:p>
      <w:pPr>
        <w:spacing w:before="163" w:line="221" w:lineRule="auto"/>
        <w:ind w:left="2661"/>
        <w:rPr>
          <w:rFonts w:ascii="宋体" w:hAnsi="宋体" w:eastAsia="宋体" w:cs="宋体"/>
          <w:sz w:val="20"/>
          <w:szCs w:val="20"/>
        </w:rPr>
      </w:pPr>
      <w:r>
        <w:rPr>
          <w:rFonts w:ascii="宋体" w:hAnsi="宋体" w:eastAsia="宋体" w:cs="宋体"/>
          <w:color w:val="333333"/>
          <w:spacing w:val="14"/>
          <w:sz w:val="20"/>
          <w:szCs w:val="20"/>
        </w:rPr>
        <w:t>张玲玲  舜诚项目管理有限公司</w:t>
      </w:r>
    </w:p>
    <w:p>
      <w:pPr>
        <w:spacing w:before="161" w:line="219" w:lineRule="auto"/>
        <w:ind w:left="2546"/>
        <w:rPr>
          <w:rFonts w:ascii="宋体" w:hAnsi="宋体" w:eastAsia="宋体" w:cs="宋体"/>
          <w:sz w:val="20"/>
          <w:szCs w:val="20"/>
        </w:rPr>
      </w:pPr>
      <w:r>
        <w:rPr>
          <w:rFonts w:ascii="宋体" w:hAnsi="宋体" w:eastAsia="宋体" w:cs="宋体"/>
          <w:color w:val="333333"/>
          <w:spacing w:val="14"/>
          <w:sz w:val="20"/>
          <w:szCs w:val="20"/>
        </w:rPr>
        <w:t>仓恒凯  金中证项目管理有限公司</w:t>
      </w:r>
    </w:p>
    <w:p>
      <w:pPr>
        <w:spacing w:before="163" w:line="219" w:lineRule="auto"/>
        <w:ind w:left="2655"/>
        <w:rPr>
          <w:rFonts w:ascii="宋体" w:hAnsi="宋体" w:eastAsia="宋体" w:cs="宋体"/>
          <w:sz w:val="20"/>
          <w:szCs w:val="20"/>
        </w:rPr>
      </w:pPr>
      <w:r>
        <w:rPr>
          <w:rFonts w:ascii="宋体" w:hAnsi="宋体" w:eastAsia="宋体" w:cs="宋体"/>
          <w:color w:val="333333"/>
          <w:spacing w:val="14"/>
          <w:sz w:val="20"/>
          <w:szCs w:val="20"/>
        </w:rPr>
        <w:t>卢晓军  天元路桥集团有限公司</w:t>
      </w:r>
    </w:p>
    <w:p>
      <w:pPr>
        <w:spacing w:before="161" w:line="222" w:lineRule="auto"/>
        <w:ind w:left="2227"/>
        <w:rPr>
          <w:rFonts w:ascii="宋体" w:hAnsi="宋体" w:eastAsia="宋体" w:cs="宋体"/>
          <w:sz w:val="20"/>
          <w:szCs w:val="20"/>
        </w:rPr>
      </w:pPr>
      <w:r>
        <w:rPr>
          <w:rFonts w:ascii="宋体" w:hAnsi="宋体" w:eastAsia="宋体" w:cs="宋体"/>
          <w:color w:val="333333"/>
          <w:spacing w:val="13"/>
          <w:sz w:val="20"/>
          <w:szCs w:val="20"/>
        </w:rPr>
        <w:t>薄瑞明</w:t>
      </w:r>
      <w:r>
        <w:rPr>
          <w:rFonts w:ascii="宋体" w:hAnsi="宋体" w:eastAsia="宋体" w:cs="宋体"/>
          <w:color w:val="333333"/>
          <w:spacing w:val="29"/>
          <w:sz w:val="20"/>
          <w:szCs w:val="20"/>
        </w:rPr>
        <w:t xml:space="preserve">  </w:t>
      </w:r>
      <w:r>
        <w:rPr>
          <w:rFonts w:ascii="宋体" w:hAnsi="宋体" w:eastAsia="宋体" w:cs="宋体"/>
          <w:color w:val="333333"/>
          <w:spacing w:val="13"/>
          <w:sz w:val="20"/>
          <w:szCs w:val="20"/>
        </w:rPr>
        <w:t>山东恒博建设项目管理有限公司</w:t>
      </w:r>
    </w:p>
    <w:p>
      <w:pPr>
        <w:spacing w:before="161" w:line="219" w:lineRule="auto"/>
        <w:ind w:left="2223"/>
        <w:rPr>
          <w:rFonts w:ascii="宋体" w:hAnsi="宋体" w:eastAsia="宋体" w:cs="宋体"/>
          <w:sz w:val="20"/>
          <w:szCs w:val="20"/>
        </w:rPr>
      </w:pPr>
      <w:r>
        <w:rPr>
          <w:rFonts w:ascii="宋体" w:hAnsi="宋体" w:eastAsia="宋体" w:cs="宋体"/>
          <w:color w:val="333333"/>
          <w:spacing w:val="14"/>
          <w:sz w:val="20"/>
          <w:szCs w:val="20"/>
        </w:rPr>
        <w:t>耿秀英  华瑞国际工程咨询集团有限公司</w:t>
      </w:r>
    </w:p>
    <w:p>
      <w:pPr>
        <w:spacing w:before="162" w:line="220" w:lineRule="auto"/>
        <w:ind w:left="2439"/>
        <w:rPr>
          <w:rFonts w:ascii="宋体" w:hAnsi="宋体" w:eastAsia="宋体" w:cs="宋体"/>
          <w:sz w:val="20"/>
          <w:szCs w:val="20"/>
        </w:rPr>
      </w:pPr>
      <w:r>
        <w:rPr>
          <w:rFonts w:ascii="宋体" w:hAnsi="宋体" w:eastAsia="宋体" w:cs="宋体"/>
          <w:color w:val="333333"/>
          <w:spacing w:val="13"/>
          <w:sz w:val="20"/>
          <w:szCs w:val="20"/>
        </w:rPr>
        <w:t>代玉龙</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山东正阳工程咨询有限公司</w:t>
      </w:r>
    </w:p>
    <w:p>
      <w:pPr>
        <w:spacing w:before="164" w:line="218" w:lineRule="auto"/>
        <w:ind w:left="2439"/>
        <w:rPr>
          <w:rFonts w:ascii="宋体" w:hAnsi="宋体" w:eastAsia="宋体" w:cs="宋体"/>
          <w:sz w:val="20"/>
          <w:szCs w:val="20"/>
        </w:rPr>
      </w:pPr>
      <w:r>
        <w:rPr>
          <w:rFonts w:ascii="宋体" w:hAnsi="宋体" w:eastAsia="宋体" w:cs="宋体"/>
          <w:color w:val="333333"/>
          <w:spacing w:val="13"/>
          <w:sz w:val="20"/>
          <w:szCs w:val="20"/>
        </w:rPr>
        <w:t>孙晓娇</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山东华维工程咨询有限公司</w:t>
      </w:r>
    </w:p>
    <w:p>
      <w:pPr>
        <w:spacing w:before="161" w:line="221" w:lineRule="auto"/>
        <w:ind w:left="2330"/>
        <w:rPr>
          <w:rFonts w:ascii="宋体" w:hAnsi="宋体" w:eastAsia="宋体" w:cs="宋体"/>
          <w:sz w:val="20"/>
          <w:szCs w:val="20"/>
        </w:rPr>
      </w:pPr>
      <w:r>
        <w:rPr>
          <w:rFonts w:ascii="宋体" w:hAnsi="宋体" w:eastAsia="宋体" w:cs="宋体"/>
          <w:color w:val="333333"/>
          <w:spacing w:val="13"/>
          <w:sz w:val="20"/>
          <w:szCs w:val="20"/>
        </w:rPr>
        <w:t>路</w:t>
      </w:r>
      <w:r>
        <w:rPr>
          <w:rFonts w:ascii="宋体" w:hAnsi="宋体" w:eastAsia="宋体" w:cs="宋体"/>
          <w:color w:val="333333"/>
          <w:spacing w:val="25"/>
          <w:sz w:val="20"/>
          <w:szCs w:val="20"/>
        </w:rPr>
        <w:t xml:space="preserve">  </w:t>
      </w:r>
      <w:r>
        <w:rPr>
          <w:rFonts w:ascii="宋体" w:hAnsi="宋体" w:eastAsia="宋体" w:cs="宋体"/>
          <w:color w:val="333333"/>
          <w:spacing w:val="13"/>
          <w:sz w:val="20"/>
          <w:szCs w:val="20"/>
        </w:rPr>
        <w:t>晓  菏泽广联达工程咨询有限公司</w:t>
      </w:r>
    </w:p>
    <w:p>
      <w:pPr>
        <w:spacing w:before="163" w:line="218" w:lineRule="auto"/>
        <w:ind w:left="3846"/>
        <w:rPr>
          <w:rFonts w:ascii="宋体" w:hAnsi="宋体" w:eastAsia="宋体" w:cs="宋体"/>
          <w:sz w:val="20"/>
          <w:szCs w:val="20"/>
        </w:rPr>
      </w:pPr>
      <w:r>
        <w:rPr>
          <w:rFonts w:ascii="宋体" w:hAnsi="宋体" w:eastAsia="宋体" w:cs="宋体"/>
          <w:b/>
          <w:bCs/>
          <w:color w:val="333333"/>
          <w:spacing w:val="10"/>
          <w:sz w:val="20"/>
          <w:szCs w:val="20"/>
        </w:rPr>
        <w:t>优秀奖</w:t>
      </w:r>
    </w:p>
    <w:p>
      <w:pPr>
        <w:spacing w:before="162" w:line="222" w:lineRule="auto"/>
        <w:ind w:left="2651"/>
        <w:rPr>
          <w:rFonts w:ascii="宋体" w:hAnsi="宋体" w:eastAsia="宋体" w:cs="宋体"/>
          <w:sz w:val="20"/>
          <w:szCs w:val="20"/>
        </w:rPr>
      </w:pPr>
      <w:r>
        <w:rPr>
          <w:rFonts w:ascii="宋体" w:hAnsi="宋体" w:eastAsia="宋体" w:cs="宋体"/>
          <w:color w:val="333333"/>
          <w:spacing w:val="10"/>
          <w:sz w:val="20"/>
          <w:szCs w:val="20"/>
        </w:rPr>
        <w:t>杨  策</w:t>
      </w:r>
      <w:r>
        <w:rPr>
          <w:rFonts w:ascii="宋体" w:hAnsi="宋体" w:eastAsia="宋体" w:cs="宋体"/>
          <w:color w:val="333333"/>
          <w:spacing w:val="44"/>
          <w:sz w:val="20"/>
          <w:szCs w:val="20"/>
        </w:rPr>
        <w:t xml:space="preserve">  </w:t>
      </w:r>
      <w:r>
        <w:rPr>
          <w:rFonts w:ascii="宋体" w:hAnsi="宋体" w:eastAsia="宋体" w:cs="宋体"/>
          <w:color w:val="333333"/>
          <w:spacing w:val="10"/>
          <w:sz w:val="20"/>
          <w:szCs w:val="20"/>
        </w:rPr>
        <w:t>山东黄河建工有限公司</w:t>
      </w:r>
    </w:p>
    <w:p>
      <w:pPr>
        <w:spacing w:before="159" w:line="278" w:lineRule="auto"/>
        <w:ind w:left="2439" w:right="2807"/>
        <w:rPr>
          <w:rFonts w:ascii="宋体" w:hAnsi="宋体" w:eastAsia="宋体" w:cs="宋体"/>
          <w:sz w:val="20"/>
          <w:szCs w:val="20"/>
        </w:rPr>
      </w:pPr>
      <w:r>
        <w:rPr>
          <w:rFonts w:ascii="宋体" w:hAnsi="宋体" w:eastAsia="宋体" w:cs="宋体"/>
          <w:color w:val="333333"/>
          <w:spacing w:val="14"/>
          <w:sz w:val="20"/>
          <w:szCs w:val="20"/>
        </w:rPr>
        <w:t>孔婷婷  威海建设集团股份有限公司</w:t>
      </w:r>
      <w:r>
        <w:rPr>
          <w:rFonts w:ascii="宋体" w:hAnsi="宋体" w:eastAsia="宋体" w:cs="宋体"/>
          <w:color w:val="333333"/>
          <w:spacing w:val="13"/>
          <w:sz w:val="20"/>
          <w:szCs w:val="20"/>
        </w:rPr>
        <w:t>宋建伟</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山东中明工程咨询有限公司</w:t>
      </w:r>
    </w:p>
    <w:p>
      <w:pPr>
        <w:spacing w:line="278" w:lineRule="auto"/>
        <w:rPr>
          <w:rFonts w:ascii="宋体" w:hAnsi="宋体" w:eastAsia="宋体" w:cs="宋体"/>
          <w:sz w:val="20"/>
          <w:szCs w:val="20"/>
        </w:rPr>
        <w:sectPr>
          <w:type w:val="continuous"/>
          <w:pgSz w:w="11906" w:h="16839"/>
          <w:pgMar w:top="400" w:right="1420" w:bottom="1212" w:left="1785" w:header="0" w:footer="897" w:gutter="0"/>
          <w:cols w:equalWidth="0" w:num="1">
            <w:col w:w="8700"/>
          </w:cols>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5" w:line="218" w:lineRule="auto"/>
        <w:ind w:left="2812"/>
        <w:rPr>
          <w:rFonts w:ascii="宋体" w:hAnsi="宋体" w:eastAsia="宋体" w:cs="宋体"/>
          <w:sz w:val="20"/>
          <w:szCs w:val="20"/>
        </w:rPr>
      </w:pPr>
      <w:r>
        <w:rPr>
          <w:rFonts w:ascii="宋体" w:hAnsi="宋体" w:eastAsia="宋体" w:cs="宋体"/>
          <w:color w:val="333333"/>
          <w:spacing w:val="13"/>
          <w:sz w:val="20"/>
          <w:szCs w:val="20"/>
        </w:rPr>
        <w:t>张丽萍</w:t>
      </w:r>
      <w:r>
        <w:rPr>
          <w:rFonts w:ascii="宋体" w:hAnsi="宋体" w:eastAsia="宋体" w:cs="宋体"/>
          <w:color w:val="333333"/>
          <w:spacing w:val="25"/>
          <w:sz w:val="20"/>
          <w:szCs w:val="20"/>
        </w:rPr>
        <w:t xml:space="preserve">  </w:t>
      </w:r>
      <w:r>
        <w:rPr>
          <w:rFonts w:ascii="宋体" w:hAnsi="宋体" w:eastAsia="宋体" w:cs="宋体"/>
          <w:color w:val="333333"/>
          <w:spacing w:val="13"/>
          <w:sz w:val="20"/>
          <w:szCs w:val="20"/>
        </w:rPr>
        <w:t>山东正阳工程咨询有限公司</w:t>
      </w:r>
    </w:p>
    <w:p>
      <w:pPr>
        <w:spacing w:before="162" w:line="222" w:lineRule="auto"/>
        <w:ind w:left="2596"/>
        <w:rPr>
          <w:rFonts w:ascii="宋体" w:hAnsi="宋体" w:eastAsia="宋体" w:cs="宋体"/>
          <w:sz w:val="20"/>
          <w:szCs w:val="20"/>
        </w:rPr>
      </w:pPr>
      <w:r>
        <w:rPr>
          <w:rFonts w:ascii="宋体" w:hAnsi="宋体" w:eastAsia="宋体" w:cs="宋体"/>
          <w:color w:val="333333"/>
          <w:spacing w:val="13"/>
          <w:sz w:val="20"/>
          <w:szCs w:val="20"/>
        </w:rPr>
        <w:t>张思振</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山东世纪华都工程咨询有限公司</w:t>
      </w:r>
    </w:p>
    <w:p>
      <w:pPr>
        <w:spacing w:before="160" w:line="220" w:lineRule="auto"/>
        <w:ind w:left="2804"/>
        <w:rPr>
          <w:rFonts w:ascii="宋体" w:hAnsi="宋体" w:eastAsia="宋体" w:cs="宋体"/>
          <w:sz w:val="20"/>
          <w:szCs w:val="20"/>
        </w:rPr>
      </w:pPr>
      <w:r>
        <w:rPr>
          <w:rFonts w:ascii="宋体" w:hAnsi="宋体" w:eastAsia="宋体" w:cs="宋体"/>
          <w:color w:val="333333"/>
          <w:spacing w:val="14"/>
          <w:sz w:val="20"/>
          <w:szCs w:val="20"/>
        </w:rPr>
        <w:t>孟祥明  青岛利业建设咨询有限公司</w:t>
      </w:r>
    </w:p>
    <w:p>
      <w:pPr>
        <w:spacing w:before="161" w:line="219" w:lineRule="auto"/>
        <w:ind w:left="2855"/>
        <w:rPr>
          <w:rFonts w:ascii="宋体" w:hAnsi="宋体" w:eastAsia="宋体" w:cs="宋体"/>
          <w:sz w:val="20"/>
          <w:szCs w:val="20"/>
        </w:rPr>
      </w:pPr>
      <w:r>
        <w:rPr>
          <w:rFonts w:ascii="宋体" w:hAnsi="宋体" w:eastAsia="宋体" w:cs="宋体"/>
          <w:color w:val="333333"/>
          <w:spacing w:val="11"/>
          <w:sz w:val="20"/>
          <w:szCs w:val="20"/>
        </w:rPr>
        <w:t>吕园园  海逸恒安项目管理有限公司</w:t>
      </w:r>
    </w:p>
    <w:p>
      <w:pPr>
        <w:spacing w:before="164" w:line="221" w:lineRule="auto"/>
        <w:ind w:left="2806"/>
        <w:rPr>
          <w:rFonts w:ascii="宋体" w:hAnsi="宋体" w:eastAsia="宋体" w:cs="宋体"/>
          <w:sz w:val="20"/>
          <w:szCs w:val="20"/>
        </w:rPr>
      </w:pPr>
      <w:r>
        <w:rPr>
          <w:rFonts w:ascii="宋体" w:hAnsi="宋体" w:eastAsia="宋体" w:cs="宋体"/>
          <w:color w:val="333333"/>
          <w:spacing w:val="13"/>
          <w:sz w:val="20"/>
          <w:szCs w:val="20"/>
        </w:rPr>
        <w:t>宋晓红</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山东中慧咨询管理有限公司</w:t>
      </w:r>
    </w:p>
    <w:p>
      <w:pPr>
        <w:spacing w:before="159" w:line="220" w:lineRule="auto"/>
        <w:ind w:left="3057"/>
        <w:rPr>
          <w:rFonts w:ascii="宋体" w:hAnsi="宋体" w:eastAsia="宋体" w:cs="宋体"/>
          <w:sz w:val="20"/>
          <w:szCs w:val="20"/>
        </w:rPr>
      </w:pPr>
      <w:r>
        <w:rPr>
          <w:rFonts w:ascii="宋体" w:hAnsi="宋体" w:eastAsia="宋体" w:cs="宋体"/>
          <w:color w:val="333333"/>
          <w:spacing w:val="9"/>
          <w:sz w:val="20"/>
          <w:szCs w:val="20"/>
        </w:rPr>
        <w:t>曲雪梅</w:t>
      </w:r>
      <w:r>
        <w:rPr>
          <w:rFonts w:ascii="宋体" w:hAnsi="宋体" w:eastAsia="宋体" w:cs="宋体"/>
          <w:color w:val="333333"/>
          <w:spacing w:val="26"/>
          <w:sz w:val="20"/>
          <w:szCs w:val="20"/>
        </w:rPr>
        <w:t xml:space="preserve">  </w:t>
      </w:r>
      <w:r>
        <w:rPr>
          <w:rFonts w:ascii="宋体" w:hAnsi="宋体" w:eastAsia="宋体" w:cs="宋体"/>
          <w:color w:val="333333"/>
          <w:spacing w:val="9"/>
          <w:sz w:val="20"/>
          <w:szCs w:val="20"/>
        </w:rPr>
        <w:t>山东黄河建工有限公司</w:t>
      </w:r>
    </w:p>
    <w:p>
      <w:pPr>
        <w:spacing w:before="162" w:line="218" w:lineRule="auto"/>
        <w:ind w:left="2805"/>
        <w:rPr>
          <w:rFonts w:ascii="宋体" w:hAnsi="宋体" w:eastAsia="宋体" w:cs="宋体"/>
          <w:sz w:val="20"/>
          <w:szCs w:val="20"/>
        </w:rPr>
      </w:pPr>
      <w:r>
        <w:rPr>
          <w:rFonts w:ascii="宋体" w:hAnsi="宋体" w:eastAsia="宋体" w:cs="宋体"/>
          <w:color w:val="333333"/>
          <w:spacing w:val="13"/>
          <w:sz w:val="20"/>
          <w:szCs w:val="20"/>
        </w:rPr>
        <w:t>解克逊</w:t>
      </w:r>
      <w:r>
        <w:rPr>
          <w:rFonts w:ascii="宋体" w:hAnsi="宋体" w:eastAsia="宋体" w:cs="宋体"/>
          <w:color w:val="333333"/>
          <w:spacing w:val="28"/>
          <w:sz w:val="20"/>
          <w:szCs w:val="20"/>
        </w:rPr>
        <w:t xml:space="preserve">  </w:t>
      </w:r>
      <w:r>
        <w:rPr>
          <w:rFonts w:ascii="宋体" w:hAnsi="宋体" w:eastAsia="宋体" w:cs="宋体"/>
          <w:color w:val="333333"/>
          <w:spacing w:val="13"/>
          <w:sz w:val="20"/>
          <w:szCs w:val="20"/>
        </w:rPr>
        <w:t>山东华维工程咨询有限公司</w:t>
      </w:r>
    </w:p>
    <w:p>
      <w:pPr>
        <w:spacing w:before="162" w:line="221" w:lineRule="auto"/>
        <w:ind w:left="3017"/>
        <w:rPr>
          <w:rFonts w:ascii="宋体" w:hAnsi="宋体" w:eastAsia="宋体" w:cs="宋体"/>
          <w:sz w:val="20"/>
          <w:szCs w:val="20"/>
        </w:rPr>
      </w:pPr>
      <w:r>
        <w:rPr>
          <w:rFonts w:ascii="宋体" w:hAnsi="宋体" w:eastAsia="宋体" w:cs="宋体"/>
          <w:color w:val="333333"/>
          <w:spacing w:val="10"/>
          <w:sz w:val="20"/>
          <w:szCs w:val="20"/>
        </w:rPr>
        <w:t>李  薇</w:t>
      </w:r>
      <w:r>
        <w:rPr>
          <w:rFonts w:ascii="宋体" w:hAnsi="宋体" w:eastAsia="宋体" w:cs="宋体"/>
          <w:color w:val="333333"/>
          <w:spacing w:val="44"/>
          <w:sz w:val="20"/>
          <w:szCs w:val="20"/>
        </w:rPr>
        <w:t xml:space="preserve">  </w:t>
      </w:r>
      <w:r>
        <w:rPr>
          <w:rFonts w:ascii="宋体" w:hAnsi="宋体" w:eastAsia="宋体" w:cs="宋体"/>
          <w:color w:val="333333"/>
          <w:spacing w:val="10"/>
          <w:sz w:val="20"/>
          <w:szCs w:val="20"/>
        </w:rPr>
        <w:t>山东淄建集团有限公司</w:t>
      </w:r>
    </w:p>
    <w:p>
      <w:pPr>
        <w:spacing w:before="162" w:line="222" w:lineRule="auto"/>
        <w:ind w:left="2589"/>
        <w:rPr>
          <w:rFonts w:ascii="宋体" w:hAnsi="宋体" w:eastAsia="宋体" w:cs="宋体"/>
          <w:sz w:val="20"/>
          <w:szCs w:val="20"/>
        </w:rPr>
      </w:pPr>
      <w:r>
        <w:rPr>
          <w:rFonts w:ascii="宋体" w:hAnsi="宋体" w:eastAsia="宋体" w:cs="宋体"/>
          <w:color w:val="333333"/>
          <w:spacing w:val="13"/>
          <w:sz w:val="20"/>
          <w:szCs w:val="20"/>
        </w:rPr>
        <w:t>许秀秀</w:t>
      </w:r>
      <w:r>
        <w:rPr>
          <w:rFonts w:ascii="宋体" w:hAnsi="宋体" w:eastAsia="宋体" w:cs="宋体"/>
          <w:color w:val="333333"/>
          <w:spacing w:val="31"/>
          <w:sz w:val="20"/>
          <w:szCs w:val="20"/>
        </w:rPr>
        <w:t xml:space="preserve">  </w:t>
      </w:r>
      <w:r>
        <w:rPr>
          <w:rFonts w:ascii="宋体" w:hAnsi="宋体" w:eastAsia="宋体" w:cs="宋体"/>
          <w:color w:val="333333"/>
          <w:spacing w:val="13"/>
          <w:sz w:val="20"/>
          <w:szCs w:val="20"/>
        </w:rPr>
        <w:t>山东世纪华都工程咨询有限公司</w:t>
      </w:r>
    </w:p>
    <w:p>
      <w:pPr>
        <w:spacing w:before="158" w:line="224" w:lineRule="auto"/>
        <w:ind w:left="2697"/>
        <w:rPr>
          <w:rFonts w:ascii="宋体" w:hAnsi="宋体" w:eastAsia="宋体" w:cs="宋体"/>
          <w:sz w:val="20"/>
          <w:szCs w:val="20"/>
        </w:rPr>
      </w:pPr>
      <w:r>
        <w:rPr>
          <w:rFonts w:ascii="宋体" w:hAnsi="宋体" w:eastAsia="宋体" w:cs="宋体"/>
          <w:color w:val="333333"/>
          <w:spacing w:val="13"/>
          <w:sz w:val="20"/>
          <w:szCs w:val="20"/>
        </w:rPr>
        <w:t>乔  娟</w:t>
      </w:r>
      <w:r>
        <w:rPr>
          <w:rFonts w:ascii="宋体" w:hAnsi="宋体" w:eastAsia="宋体" w:cs="宋体"/>
          <w:color w:val="333333"/>
          <w:spacing w:val="25"/>
          <w:sz w:val="20"/>
          <w:szCs w:val="20"/>
        </w:rPr>
        <w:t xml:space="preserve">  </w:t>
      </w:r>
      <w:r>
        <w:rPr>
          <w:rFonts w:ascii="宋体" w:hAnsi="宋体" w:eastAsia="宋体" w:cs="宋体"/>
          <w:color w:val="333333"/>
          <w:spacing w:val="13"/>
          <w:sz w:val="20"/>
          <w:szCs w:val="20"/>
        </w:rPr>
        <w:t>恒诚信国际工程咨询有限公司</w:t>
      </w:r>
    </w:p>
    <w:p>
      <w:pPr>
        <w:spacing w:before="160" w:line="218" w:lineRule="auto"/>
        <w:ind w:left="2804"/>
        <w:rPr>
          <w:rFonts w:ascii="宋体" w:hAnsi="宋体" w:eastAsia="宋体" w:cs="宋体"/>
          <w:sz w:val="20"/>
          <w:szCs w:val="20"/>
        </w:rPr>
      </w:pPr>
      <w:r>
        <w:rPr>
          <w:rFonts w:ascii="宋体" w:hAnsi="宋体" w:eastAsia="宋体" w:cs="宋体"/>
          <w:color w:val="333333"/>
          <w:spacing w:val="9"/>
          <w:sz w:val="20"/>
          <w:szCs w:val="20"/>
        </w:rPr>
        <w:t>赵</w:t>
      </w:r>
      <w:r>
        <w:rPr>
          <w:rFonts w:ascii="宋体" w:hAnsi="宋体" w:eastAsia="宋体" w:cs="宋体"/>
          <w:color w:val="333333"/>
          <w:spacing w:val="25"/>
          <w:sz w:val="20"/>
          <w:szCs w:val="20"/>
        </w:rPr>
        <w:t xml:space="preserve">  </w:t>
      </w:r>
      <w:r>
        <w:rPr>
          <w:rFonts w:ascii="宋体" w:hAnsi="宋体" w:eastAsia="宋体" w:cs="宋体"/>
          <w:color w:val="333333"/>
          <w:spacing w:val="9"/>
          <w:sz w:val="20"/>
          <w:szCs w:val="20"/>
        </w:rPr>
        <w:t>晖</w:t>
      </w:r>
      <w:r>
        <w:rPr>
          <w:rFonts w:ascii="宋体" w:hAnsi="宋体" w:eastAsia="宋体" w:cs="宋体"/>
          <w:color w:val="333333"/>
          <w:spacing w:val="42"/>
          <w:sz w:val="20"/>
          <w:szCs w:val="20"/>
        </w:rPr>
        <w:t xml:space="preserve">  </w:t>
      </w:r>
      <w:r>
        <w:rPr>
          <w:rFonts w:ascii="宋体" w:hAnsi="宋体" w:eastAsia="宋体" w:cs="宋体"/>
          <w:color w:val="333333"/>
          <w:spacing w:val="9"/>
          <w:sz w:val="20"/>
          <w:szCs w:val="20"/>
        </w:rPr>
        <w:t>山东华维工程咨询有限公司</w:t>
      </w:r>
    </w:p>
    <w:p>
      <w:pPr>
        <w:spacing w:before="165" w:line="219" w:lineRule="auto"/>
        <w:ind w:left="2058"/>
        <w:rPr>
          <w:rFonts w:ascii="宋体" w:hAnsi="宋体" w:eastAsia="宋体" w:cs="宋体"/>
          <w:sz w:val="20"/>
          <w:szCs w:val="20"/>
        </w:rPr>
      </w:pPr>
      <w:r>
        <w:rPr>
          <w:rFonts w:ascii="宋体" w:hAnsi="宋体" w:eastAsia="宋体" w:cs="宋体"/>
          <w:color w:val="333333"/>
          <w:spacing w:val="15"/>
          <w:sz w:val="20"/>
          <w:szCs w:val="20"/>
        </w:rPr>
        <w:t>于雪莲  北京东方华太工程咨询有限公司</w:t>
      </w:r>
      <w:r>
        <w:rPr>
          <w:rFonts w:ascii="宋体" w:hAnsi="宋体" w:eastAsia="宋体" w:cs="宋体"/>
          <w:color w:val="333333"/>
          <w:spacing w:val="14"/>
          <w:sz w:val="20"/>
          <w:szCs w:val="20"/>
        </w:rPr>
        <w:t>威海分公司</w:t>
      </w:r>
    </w:p>
    <w:p>
      <w:pPr>
        <w:spacing w:before="160" w:line="220" w:lineRule="auto"/>
        <w:ind w:left="2587"/>
        <w:rPr>
          <w:rFonts w:ascii="宋体" w:hAnsi="宋体" w:eastAsia="宋体" w:cs="宋体"/>
          <w:sz w:val="20"/>
          <w:szCs w:val="20"/>
        </w:rPr>
      </w:pPr>
      <w:r>
        <w:rPr>
          <w:rFonts w:ascii="宋体" w:hAnsi="宋体" w:eastAsia="宋体" w:cs="宋体"/>
          <w:color w:val="333333"/>
          <w:spacing w:val="13"/>
          <w:sz w:val="20"/>
          <w:szCs w:val="20"/>
        </w:rPr>
        <w:t>李  栋</w:t>
      </w:r>
      <w:r>
        <w:rPr>
          <w:rFonts w:ascii="宋体" w:hAnsi="宋体" w:eastAsia="宋体" w:cs="宋体"/>
          <w:color w:val="333333"/>
          <w:spacing w:val="27"/>
          <w:sz w:val="20"/>
          <w:szCs w:val="20"/>
        </w:rPr>
        <w:t xml:space="preserve">  </w:t>
      </w:r>
      <w:r>
        <w:rPr>
          <w:rFonts w:ascii="宋体" w:hAnsi="宋体" w:eastAsia="宋体" w:cs="宋体"/>
          <w:color w:val="333333"/>
          <w:spacing w:val="13"/>
          <w:sz w:val="20"/>
          <w:szCs w:val="20"/>
        </w:rPr>
        <w:t>山东东岳联合工程咨询有限公司</w:t>
      </w:r>
    </w:p>
    <w:p>
      <w:pPr>
        <w:spacing w:before="163" w:line="219" w:lineRule="auto"/>
        <w:ind w:left="2587"/>
        <w:rPr>
          <w:rFonts w:ascii="宋体" w:hAnsi="宋体" w:eastAsia="宋体" w:cs="宋体"/>
          <w:sz w:val="20"/>
          <w:szCs w:val="20"/>
        </w:rPr>
      </w:pPr>
      <w:r>
        <w:rPr>
          <w:rFonts w:ascii="宋体" w:hAnsi="宋体" w:eastAsia="宋体" w:cs="宋体"/>
          <w:color w:val="333333"/>
          <w:spacing w:val="13"/>
          <w:sz w:val="20"/>
          <w:szCs w:val="20"/>
        </w:rPr>
        <w:t>宋  敏</w:t>
      </w:r>
      <w:r>
        <w:rPr>
          <w:rFonts w:ascii="宋体" w:hAnsi="宋体" w:eastAsia="宋体" w:cs="宋体"/>
          <w:color w:val="333333"/>
          <w:spacing w:val="27"/>
          <w:sz w:val="20"/>
          <w:szCs w:val="20"/>
        </w:rPr>
        <w:t xml:space="preserve">  </w:t>
      </w:r>
      <w:r>
        <w:rPr>
          <w:rFonts w:ascii="宋体" w:hAnsi="宋体" w:eastAsia="宋体" w:cs="宋体"/>
          <w:color w:val="333333"/>
          <w:spacing w:val="13"/>
          <w:sz w:val="20"/>
          <w:szCs w:val="20"/>
        </w:rPr>
        <w:t>山东嘉德致远项目管理有限公司</w:t>
      </w:r>
    </w:p>
    <w:p>
      <w:pPr>
        <w:spacing w:before="163" w:line="220" w:lineRule="auto"/>
        <w:ind w:left="2482"/>
        <w:rPr>
          <w:rFonts w:ascii="宋体" w:hAnsi="宋体" w:eastAsia="宋体" w:cs="宋体"/>
          <w:sz w:val="20"/>
          <w:szCs w:val="20"/>
        </w:rPr>
      </w:pPr>
      <w:r>
        <w:rPr>
          <w:rFonts w:ascii="宋体" w:hAnsi="宋体" w:eastAsia="宋体" w:cs="宋体"/>
          <w:color w:val="333333"/>
          <w:spacing w:val="13"/>
          <w:sz w:val="20"/>
          <w:szCs w:val="20"/>
        </w:rPr>
        <w:t>徐品洁</w:t>
      </w:r>
      <w:r>
        <w:rPr>
          <w:rFonts w:ascii="宋体" w:hAnsi="宋体" w:eastAsia="宋体" w:cs="宋体"/>
          <w:color w:val="333333"/>
          <w:spacing w:val="29"/>
          <w:sz w:val="20"/>
          <w:szCs w:val="20"/>
        </w:rPr>
        <w:t xml:space="preserve">  </w:t>
      </w:r>
      <w:r>
        <w:rPr>
          <w:rFonts w:ascii="宋体" w:hAnsi="宋体" w:eastAsia="宋体" w:cs="宋体"/>
          <w:color w:val="333333"/>
          <w:spacing w:val="13"/>
          <w:sz w:val="20"/>
          <w:szCs w:val="20"/>
        </w:rPr>
        <w:t>山东东岳联合工程咨询有限公司</w:t>
      </w:r>
    </w:p>
    <w:p>
      <w:pPr>
        <w:spacing w:line="220" w:lineRule="auto"/>
        <w:rPr>
          <w:rFonts w:ascii="宋体" w:hAnsi="宋体" w:eastAsia="宋体" w:cs="宋体"/>
          <w:sz w:val="20"/>
          <w:szCs w:val="20"/>
        </w:rPr>
        <w:sectPr>
          <w:footerReference r:id="rId310" w:type="default"/>
          <w:pgSz w:w="11906" w:h="16839"/>
          <w:pgMar w:top="400" w:right="1785" w:bottom="1212" w:left="1418"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69"/>
        <w:rPr>
          <w:rFonts w:ascii="黑体" w:hAnsi="黑体" w:eastAsia="黑体" w:cs="黑体"/>
          <w:sz w:val="20"/>
          <w:szCs w:val="20"/>
        </w:rPr>
      </w:pPr>
      <w:r>
        <w:rPr>
          <w:rFonts w:ascii="黑体" w:hAnsi="黑体" w:eastAsia="黑体" w:cs="黑体"/>
          <w:color w:val="333333"/>
          <w:spacing w:val="19"/>
          <w:sz w:val="20"/>
          <w:szCs w:val="20"/>
        </w:rPr>
        <w:t>附件2</w:t>
      </w:r>
    </w:p>
    <w:p>
      <w:pPr>
        <w:spacing w:line="441" w:lineRule="auto"/>
        <w:rPr>
          <w:rFonts w:ascii="Arial"/>
          <w:sz w:val="21"/>
        </w:rPr>
      </w:pPr>
    </w:p>
    <w:p>
      <w:pPr>
        <w:spacing w:before="78" w:line="319" w:lineRule="exact"/>
        <w:ind w:left="810"/>
        <w:rPr>
          <w:rFonts w:ascii="宋体" w:hAnsi="宋体" w:eastAsia="宋体" w:cs="宋体"/>
          <w:sz w:val="24"/>
          <w:szCs w:val="24"/>
        </w:rPr>
      </w:pPr>
      <w:r>
        <w:rPr>
          <w:rFonts w:ascii="宋体" w:hAnsi="宋体" w:eastAsia="宋体" w:cs="宋体"/>
          <w:b/>
          <w:bCs/>
          <w:color w:val="333333"/>
          <w:spacing w:val="3"/>
          <w:position w:val="1"/>
          <w:sz w:val="24"/>
          <w:szCs w:val="24"/>
        </w:rPr>
        <w:t>2025</w:t>
      </w:r>
      <w:r>
        <w:rPr>
          <w:rFonts w:ascii="宋体" w:hAnsi="宋体" w:eastAsia="宋体" w:cs="宋体"/>
          <w:color w:val="333333"/>
          <w:spacing w:val="-47"/>
          <w:position w:val="1"/>
          <w:sz w:val="24"/>
          <w:szCs w:val="24"/>
        </w:rPr>
        <w:t xml:space="preserve"> </w:t>
      </w:r>
      <w:r>
        <w:rPr>
          <w:rFonts w:ascii="宋体" w:hAnsi="宋体" w:eastAsia="宋体" w:cs="宋体"/>
          <w:b/>
          <w:bCs/>
          <w:color w:val="333333"/>
          <w:spacing w:val="3"/>
          <w:position w:val="1"/>
          <w:sz w:val="24"/>
          <w:szCs w:val="24"/>
        </w:rPr>
        <w:t>年度山东省数智造价创新应用技能竞赛决赛团体</w:t>
      </w:r>
      <w:r>
        <w:rPr>
          <w:rFonts w:ascii="宋体" w:hAnsi="宋体" w:eastAsia="宋体" w:cs="宋体"/>
          <w:b/>
          <w:bCs/>
          <w:color w:val="333333"/>
          <w:spacing w:val="2"/>
          <w:position w:val="1"/>
          <w:sz w:val="24"/>
          <w:szCs w:val="24"/>
        </w:rPr>
        <w:t>获奖名单</w:t>
      </w:r>
    </w:p>
    <w:p>
      <w:pPr>
        <w:spacing w:line="444" w:lineRule="auto"/>
        <w:rPr>
          <w:rFonts w:ascii="Arial"/>
          <w:sz w:val="21"/>
        </w:rPr>
      </w:pPr>
    </w:p>
    <w:p>
      <w:pPr>
        <w:spacing w:before="65" w:line="219" w:lineRule="auto"/>
        <w:ind w:left="278"/>
        <w:rPr>
          <w:rFonts w:ascii="宋体" w:hAnsi="宋体" w:eastAsia="宋体" w:cs="宋体"/>
          <w:sz w:val="20"/>
          <w:szCs w:val="20"/>
        </w:rPr>
      </w:pPr>
      <w:r>
        <w:rPr>
          <w:rFonts w:ascii="宋体" w:hAnsi="宋体" w:eastAsia="宋体" w:cs="宋体"/>
          <w:b/>
          <w:bCs/>
          <w:color w:val="333333"/>
          <w:spacing w:val="10"/>
          <w:sz w:val="20"/>
          <w:szCs w:val="20"/>
        </w:rPr>
        <w:t>一、城市组</w:t>
      </w:r>
    </w:p>
    <w:p>
      <w:pPr>
        <w:spacing w:before="162" w:line="221" w:lineRule="auto"/>
        <w:ind w:left="3849"/>
        <w:rPr>
          <w:rFonts w:ascii="宋体" w:hAnsi="宋体" w:eastAsia="宋体" w:cs="宋体"/>
          <w:sz w:val="20"/>
          <w:szCs w:val="20"/>
        </w:rPr>
      </w:pPr>
      <w:r>
        <w:rPr>
          <w:rFonts w:ascii="宋体" w:hAnsi="宋体" w:eastAsia="宋体" w:cs="宋体"/>
          <w:b/>
          <w:bCs/>
          <w:color w:val="333333"/>
          <w:spacing w:val="9"/>
          <w:sz w:val="20"/>
          <w:szCs w:val="20"/>
        </w:rPr>
        <w:t>一等奖</w:t>
      </w:r>
    </w:p>
    <w:p>
      <w:pPr>
        <w:spacing w:before="155" w:line="277" w:lineRule="exact"/>
        <w:ind w:left="1817"/>
        <w:rPr>
          <w:rFonts w:ascii="宋体" w:hAnsi="宋体" w:eastAsia="宋体" w:cs="宋体"/>
          <w:sz w:val="20"/>
          <w:szCs w:val="20"/>
        </w:rPr>
      </w:pPr>
      <w:r>
        <w:rPr>
          <w:rFonts w:ascii="宋体" w:hAnsi="宋体" w:eastAsia="宋体" w:cs="宋体"/>
          <w:color w:val="333333"/>
          <w:spacing w:val="13"/>
          <w:position w:val="1"/>
          <w:sz w:val="20"/>
          <w:szCs w:val="20"/>
        </w:rPr>
        <w:t>青岛代表队（青岛市建筑工程管理服务中心组建）</w:t>
      </w:r>
    </w:p>
    <w:p>
      <w:pPr>
        <w:spacing w:before="127" w:line="221" w:lineRule="auto"/>
        <w:ind w:left="3849"/>
        <w:rPr>
          <w:rFonts w:ascii="宋体" w:hAnsi="宋体" w:eastAsia="宋体" w:cs="宋体"/>
          <w:sz w:val="20"/>
          <w:szCs w:val="20"/>
        </w:rPr>
      </w:pPr>
      <w:r>
        <w:rPr>
          <w:rFonts w:ascii="宋体" w:hAnsi="宋体" w:eastAsia="宋体" w:cs="宋体"/>
          <w:b/>
          <w:bCs/>
          <w:color w:val="333333"/>
          <w:spacing w:val="9"/>
          <w:sz w:val="20"/>
          <w:szCs w:val="20"/>
        </w:rPr>
        <w:t>二等奖</w:t>
      </w:r>
    </w:p>
    <w:p>
      <w:pPr>
        <w:spacing w:before="167" w:line="278" w:lineRule="exact"/>
        <w:ind w:left="1820"/>
        <w:rPr>
          <w:rFonts w:ascii="宋体" w:hAnsi="宋体" w:eastAsia="宋体" w:cs="宋体"/>
          <w:sz w:val="20"/>
          <w:szCs w:val="20"/>
        </w:rPr>
      </w:pPr>
      <w:r>
        <w:rPr>
          <w:rFonts w:ascii="宋体" w:hAnsi="宋体" w:eastAsia="宋体" w:cs="宋体"/>
          <w:color w:val="333333"/>
          <w:spacing w:val="13"/>
          <w:position w:val="1"/>
          <w:sz w:val="20"/>
          <w:szCs w:val="20"/>
        </w:rPr>
        <w:t>济南代表队（济南市城乡建设发展服务中心组建）</w:t>
      </w:r>
    </w:p>
    <w:p>
      <w:pPr>
        <w:spacing w:before="111" w:line="277" w:lineRule="exact"/>
        <w:ind w:left="1587"/>
        <w:rPr>
          <w:rFonts w:ascii="宋体" w:hAnsi="宋体" w:eastAsia="宋体" w:cs="宋体"/>
          <w:sz w:val="20"/>
          <w:szCs w:val="20"/>
        </w:rPr>
      </w:pPr>
      <w:r>
        <w:rPr>
          <w:rFonts w:ascii="宋体" w:hAnsi="宋体" w:eastAsia="宋体" w:cs="宋体"/>
          <w:color w:val="333333"/>
          <w:spacing w:val="15"/>
          <w:position w:val="1"/>
          <w:sz w:val="20"/>
          <w:szCs w:val="20"/>
        </w:rPr>
        <w:t>烟台代表队（烟台市政府投资工程建设服务中心组建）</w:t>
      </w:r>
    </w:p>
    <w:p>
      <w:pPr>
        <w:spacing w:before="127" w:line="221" w:lineRule="auto"/>
        <w:ind w:left="3852"/>
        <w:rPr>
          <w:rFonts w:ascii="宋体" w:hAnsi="宋体" w:eastAsia="宋体" w:cs="宋体"/>
          <w:sz w:val="20"/>
          <w:szCs w:val="20"/>
        </w:rPr>
      </w:pPr>
      <w:r>
        <w:rPr>
          <w:rFonts w:ascii="宋体" w:hAnsi="宋体" w:eastAsia="宋体" w:cs="宋体"/>
          <w:b/>
          <w:bCs/>
          <w:color w:val="333333"/>
          <w:spacing w:val="8"/>
          <w:sz w:val="20"/>
          <w:szCs w:val="20"/>
        </w:rPr>
        <w:t>三等奖</w:t>
      </w:r>
    </w:p>
    <w:p>
      <w:pPr>
        <w:spacing w:before="158" w:line="278" w:lineRule="exact"/>
        <w:ind w:left="1474"/>
        <w:rPr>
          <w:rFonts w:ascii="宋体" w:hAnsi="宋体" w:eastAsia="宋体" w:cs="宋体"/>
          <w:sz w:val="20"/>
          <w:szCs w:val="20"/>
        </w:rPr>
      </w:pPr>
      <w:r>
        <w:rPr>
          <w:rFonts w:ascii="宋体" w:hAnsi="宋体" w:eastAsia="宋体" w:cs="宋体"/>
          <w:color w:val="333333"/>
          <w:spacing w:val="15"/>
          <w:position w:val="1"/>
          <w:sz w:val="20"/>
          <w:szCs w:val="20"/>
        </w:rPr>
        <w:t>东营代表队（东营市住房和城乡建设发展服务中心组建）</w:t>
      </w:r>
    </w:p>
    <w:p>
      <w:pPr>
        <w:spacing w:before="120" w:line="278" w:lineRule="exact"/>
        <w:ind w:left="2031"/>
        <w:rPr>
          <w:rFonts w:ascii="宋体" w:hAnsi="宋体" w:eastAsia="宋体" w:cs="宋体"/>
          <w:sz w:val="20"/>
          <w:szCs w:val="20"/>
        </w:rPr>
      </w:pPr>
      <w:r>
        <w:rPr>
          <w:rFonts w:ascii="宋体" w:hAnsi="宋体" w:eastAsia="宋体" w:cs="宋体"/>
          <w:color w:val="333333"/>
          <w:spacing w:val="13"/>
          <w:position w:val="1"/>
          <w:sz w:val="20"/>
          <w:szCs w:val="20"/>
        </w:rPr>
        <w:t>威海代表队（威海市住房和城乡建设局组建）</w:t>
      </w:r>
    </w:p>
    <w:p>
      <w:pPr>
        <w:spacing w:before="123" w:line="278" w:lineRule="exact"/>
        <w:ind w:left="2044"/>
        <w:rPr>
          <w:rFonts w:ascii="宋体" w:hAnsi="宋体" w:eastAsia="宋体" w:cs="宋体"/>
          <w:sz w:val="20"/>
          <w:szCs w:val="20"/>
        </w:rPr>
      </w:pPr>
      <w:r>
        <w:rPr>
          <w:rFonts w:ascii="宋体" w:hAnsi="宋体" w:eastAsia="宋体" w:cs="宋体"/>
          <w:color w:val="333333"/>
          <w:spacing w:val="13"/>
          <w:position w:val="1"/>
          <w:sz w:val="20"/>
          <w:szCs w:val="20"/>
        </w:rPr>
        <w:t>临沂代表队（临沂市城乡建设服务中心组建）</w:t>
      </w:r>
    </w:p>
    <w:p>
      <w:pPr>
        <w:spacing w:before="128" w:line="218" w:lineRule="auto"/>
        <w:ind w:left="3846"/>
        <w:rPr>
          <w:rFonts w:ascii="宋体" w:hAnsi="宋体" w:eastAsia="宋体" w:cs="宋体"/>
          <w:sz w:val="20"/>
          <w:szCs w:val="20"/>
        </w:rPr>
      </w:pPr>
      <w:r>
        <w:rPr>
          <w:rFonts w:ascii="宋体" w:hAnsi="宋体" w:eastAsia="宋体" w:cs="宋体"/>
          <w:b/>
          <w:bCs/>
          <w:color w:val="333333"/>
          <w:spacing w:val="10"/>
          <w:sz w:val="20"/>
          <w:szCs w:val="20"/>
        </w:rPr>
        <w:t>优胜奖</w:t>
      </w:r>
    </w:p>
    <w:p>
      <w:pPr>
        <w:spacing w:before="157" w:line="278" w:lineRule="exact"/>
        <w:ind w:left="1820"/>
        <w:rPr>
          <w:rFonts w:ascii="宋体" w:hAnsi="宋体" w:eastAsia="宋体" w:cs="宋体"/>
          <w:sz w:val="20"/>
          <w:szCs w:val="20"/>
        </w:rPr>
      </w:pPr>
      <w:r>
        <w:rPr>
          <w:rFonts w:ascii="宋体" w:hAnsi="宋体" w:eastAsia="宋体" w:cs="宋体"/>
          <w:color w:val="333333"/>
          <w:spacing w:val="13"/>
          <w:position w:val="1"/>
          <w:sz w:val="20"/>
          <w:szCs w:val="20"/>
        </w:rPr>
        <w:t>济宁代表队（济宁市建设工程管理服务中心组建）</w:t>
      </w:r>
    </w:p>
    <w:p>
      <w:pPr>
        <w:spacing w:before="123" w:line="278" w:lineRule="exact"/>
        <w:ind w:left="2095"/>
        <w:rPr>
          <w:rFonts w:ascii="宋体" w:hAnsi="宋体" w:eastAsia="宋体" w:cs="宋体"/>
          <w:sz w:val="20"/>
          <w:szCs w:val="20"/>
        </w:rPr>
      </w:pPr>
      <w:r>
        <w:rPr>
          <w:rFonts w:ascii="宋体" w:hAnsi="宋体" w:eastAsia="宋体" w:cs="宋体"/>
          <w:color w:val="333333"/>
          <w:spacing w:val="5"/>
          <w:position w:val="1"/>
          <w:sz w:val="20"/>
          <w:szCs w:val="20"/>
        </w:rPr>
        <w:t>日照代表队（</w:t>
      </w:r>
      <w:r>
        <w:rPr>
          <w:rFonts w:ascii="宋体" w:hAnsi="宋体" w:eastAsia="宋体" w:cs="宋体"/>
          <w:color w:val="333333"/>
          <w:spacing w:val="-11"/>
          <w:position w:val="1"/>
          <w:sz w:val="20"/>
          <w:szCs w:val="20"/>
        </w:rPr>
        <w:t xml:space="preserve"> </w:t>
      </w:r>
      <w:r>
        <w:rPr>
          <w:rFonts w:ascii="宋体" w:hAnsi="宋体" w:eastAsia="宋体" w:cs="宋体"/>
          <w:color w:val="333333"/>
          <w:spacing w:val="5"/>
          <w:position w:val="1"/>
          <w:sz w:val="20"/>
          <w:szCs w:val="20"/>
        </w:rPr>
        <w:t>日照市住房和城乡建设局组建）</w:t>
      </w:r>
    </w:p>
    <w:p>
      <w:pPr>
        <w:spacing w:before="123" w:line="277" w:lineRule="exact"/>
        <w:ind w:left="1479"/>
        <w:rPr>
          <w:rFonts w:ascii="宋体" w:hAnsi="宋体" w:eastAsia="宋体" w:cs="宋体"/>
          <w:sz w:val="20"/>
          <w:szCs w:val="20"/>
        </w:rPr>
      </w:pPr>
      <w:r>
        <w:rPr>
          <w:rFonts w:ascii="宋体" w:hAnsi="宋体" w:eastAsia="宋体" w:cs="宋体"/>
          <w:color w:val="333333"/>
          <w:spacing w:val="15"/>
          <w:position w:val="1"/>
          <w:sz w:val="20"/>
          <w:szCs w:val="20"/>
        </w:rPr>
        <w:t>淄博代表队（淄博市住房和城乡建设保障服务中心组建）</w:t>
      </w:r>
    </w:p>
    <w:p>
      <w:pPr>
        <w:spacing w:before="121" w:line="278" w:lineRule="exact"/>
        <w:ind w:left="1818"/>
        <w:rPr>
          <w:rFonts w:ascii="宋体" w:hAnsi="宋体" w:eastAsia="宋体" w:cs="宋体"/>
          <w:sz w:val="20"/>
          <w:szCs w:val="20"/>
        </w:rPr>
      </w:pPr>
      <w:r>
        <w:rPr>
          <w:rFonts w:ascii="宋体" w:hAnsi="宋体" w:eastAsia="宋体" w:cs="宋体"/>
          <w:color w:val="333333"/>
          <w:spacing w:val="13"/>
          <w:position w:val="1"/>
          <w:sz w:val="20"/>
          <w:szCs w:val="20"/>
        </w:rPr>
        <w:t>枣庄代表队（枣庄市住房建设事业发展中心组建）</w:t>
      </w:r>
    </w:p>
    <w:p>
      <w:pPr>
        <w:spacing w:before="128" w:line="218" w:lineRule="auto"/>
        <w:ind w:left="3630"/>
        <w:rPr>
          <w:rFonts w:ascii="宋体" w:hAnsi="宋体" w:eastAsia="宋体" w:cs="宋体"/>
          <w:sz w:val="20"/>
          <w:szCs w:val="20"/>
        </w:rPr>
      </w:pPr>
      <w:r>
        <w:rPr>
          <w:rFonts w:ascii="宋体" w:hAnsi="宋体" w:eastAsia="宋体" w:cs="宋体"/>
          <w:b/>
          <w:bCs/>
          <w:color w:val="333333"/>
          <w:spacing w:val="12"/>
          <w:sz w:val="20"/>
          <w:szCs w:val="20"/>
        </w:rPr>
        <w:t>优秀组织奖</w:t>
      </w:r>
    </w:p>
    <w:p>
      <w:pPr>
        <w:spacing w:before="160" w:line="277" w:lineRule="exact"/>
        <w:ind w:left="1583"/>
        <w:rPr>
          <w:rFonts w:ascii="宋体" w:hAnsi="宋体" w:eastAsia="宋体" w:cs="宋体"/>
          <w:sz w:val="20"/>
          <w:szCs w:val="20"/>
        </w:rPr>
      </w:pPr>
      <w:r>
        <w:rPr>
          <w:rFonts w:ascii="宋体" w:hAnsi="宋体" w:eastAsia="宋体" w:cs="宋体"/>
          <w:color w:val="333333"/>
          <w:spacing w:val="15"/>
          <w:position w:val="1"/>
          <w:sz w:val="20"/>
          <w:szCs w:val="20"/>
        </w:rPr>
        <w:t>滨州代表队（滨州市建设工程质量安全服务中心组建）</w:t>
      </w:r>
    </w:p>
    <w:p>
      <w:pPr>
        <w:spacing w:before="121" w:line="278" w:lineRule="exact"/>
        <w:ind w:left="1922"/>
        <w:rPr>
          <w:rFonts w:ascii="宋体" w:hAnsi="宋体" w:eastAsia="宋体" w:cs="宋体"/>
          <w:sz w:val="20"/>
          <w:szCs w:val="20"/>
        </w:rPr>
      </w:pPr>
      <w:r>
        <w:rPr>
          <w:rFonts w:ascii="宋体" w:hAnsi="宋体" w:eastAsia="宋体" w:cs="宋体"/>
          <w:color w:val="333333"/>
          <w:spacing w:val="13"/>
          <w:position w:val="1"/>
          <w:sz w:val="20"/>
          <w:szCs w:val="20"/>
        </w:rPr>
        <w:t>潍坊代表队（潍坊市建筑业发展服务中心组建）</w:t>
      </w:r>
    </w:p>
    <w:p>
      <w:pPr>
        <w:spacing w:before="123" w:line="277" w:lineRule="exact"/>
        <w:ind w:left="2031"/>
        <w:rPr>
          <w:rFonts w:ascii="宋体" w:hAnsi="宋体" w:eastAsia="宋体" w:cs="宋体"/>
          <w:sz w:val="20"/>
          <w:szCs w:val="20"/>
        </w:rPr>
      </w:pPr>
      <w:r>
        <w:rPr>
          <w:rFonts w:ascii="宋体" w:hAnsi="宋体" w:eastAsia="宋体" w:cs="宋体"/>
          <w:color w:val="333333"/>
          <w:spacing w:val="13"/>
          <w:position w:val="1"/>
          <w:sz w:val="20"/>
          <w:szCs w:val="20"/>
        </w:rPr>
        <w:t>德州代表队（德州市住房和城乡建设局组建）</w:t>
      </w:r>
    </w:p>
    <w:p>
      <w:pPr>
        <w:spacing w:before="124" w:line="277" w:lineRule="exact"/>
        <w:ind w:left="1815"/>
        <w:rPr>
          <w:rFonts w:ascii="宋体" w:hAnsi="宋体" w:eastAsia="宋体" w:cs="宋体"/>
          <w:sz w:val="20"/>
          <w:szCs w:val="20"/>
        </w:rPr>
      </w:pPr>
      <w:r>
        <w:rPr>
          <w:rFonts w:ascii="宋体" w:hAnsi="宋体" w:eastAsia="宋体" w:cs="宋体"/>
          <w:color w:val="333333"/>
          <w:spacing w:val="13"/>
          <w:position w:val="1"/>
          <w:sz w:val="20"/>
          <w:szCs w:val="20"/>
        </w:rPr>
        <w:t>菏泽代表队（菏泽市建设工程综合服务中心组建）</w:t>
      </w:r>
    </w:p>
    <w:p>
      <w:pPr>
        <w:spacing w:before="121" w:line="369" w:lineRule="auto"/>
        <w:ind w:left="1905" w:right="2307" w:hanging="211"/>
        <w:rPr>
          <w:rFonts w:ascii="宋体" w:hAnsi="宋体" w:eastAsia="宋体" w:cs="宋体"/>
          <w:sz w:val="20"/>
          <w:szCs w:val="20"/>
        </w:rPr>
      </w:pPr>
      <w:r>
        <w:rPr>
          <w:rFonts w:ascii="宋体" w:hAnsi="宋体" w:eastAsia="宋体" w:cs="宋体"/>
          <w:color w:val="333333"/>
          <w:spacing w:val="13"/>
          <w:sz w:val="20"/>
          <w:szCs w:val="20"/>
        </w:rPr>
        <w:t>泰安代表队（泰安市工程建设指导服务中心组建）聊城代表队（聊城市住房和城乡建设局组建）</w:t>
      </w:r>
    </w:p>
    <w:p>
      <w:pPr>
        <w:spacing w:line="340" w:lineRule="auto"/>
        <w:rPr>
          <w:rFonts w:ascii="Arial"/>
          <w:sz w:val="21"/>
        </w:rPr>
      </w:pPr>
    </w:p>
    <w:p>
      <w:pPr>
        <w:spacing w:before="66" w:line="216" w:lineRule="auto"/>
        <w:ind w:left="282"/>
        <w:rPr>
          <w:rFonts w:ascii="宋体" w:hAnsi="宋体" w:eastAsia="宋体" w:cs="宋体"/>
          <w:sz w:val="20"/>
          <w:szCs w:val="20"/>
        </w:rPr>
      </w:pPr>
      <w:r>
        <w:rPr>
          <w:rFonts w:ascii="宋体" w:hAnsi="宋体" w:eastAsia="宋体" w:cs="宋体"/>
          <w:b/>
          <w:bCs/>
          <w:color w:val="333333"/>
          <w:spacing w:val="13"/>
          <w:sz w:val="20"/>
          <w:szCs w:val="20"/>
        </w:rPr>
        <w:t>二、企业及行业组织组</w:t>
      </w:r>
    </w:p>
    <w:p>
      <w:pPr>
        <w:spacing w:before="163" w:line="221" w:lineRule="auto"/>
        <w:ind w:left="3849"/>
        <w:rPr>
          <w:rFonts w:ascii="宋体" w:hAnsi="宋体" w:eastAsia="宋体" w:cs="宋体"/>
          <w:sz w:val="20"/>
          <w:szCs w:val="20"/>
        </w:rPr>
      </w:pPr>
      <w:r>
        <w:rPr>
          <w:rFonts w:ascii="宋体" w:hAnsi="宋体" w:eastAsia="宋体" w:cs="宋体"/>
          <w:b/>
          <w:bCs/>
          <w:color w:val="333333"/>
          <w:spacing w:val="9"/>
          <w:sz w:val="20"/>
          <w:szCs w:val="20"/>
        </w:rPr>
        <w:t>一等奖</w:t>
      </w:r>
    </w:p>
    <w:p>
      <w:pPr>
        <w:spacing w:before="158" w:line="276" w:lineRule="exact"/>
        <w:ind w:left="1693"/>
        <w:rPr>
          <w:rFonts w:ascii="宋体" w:hAnsi="宋体" w:eastAsia="宋体" w:cs="宋体"/>
          <w:sz w:val="20"/>
          <w:szCs w:val="20"/>
        </w:rPr>
      </w:pPr>
      <w:r>
        <w:rPr>
          <w:rFonts w:ascii="宋体" w:hAnsi="宋体" w:eastAsia="宋体" w:cs="宋体"/>
          <w:color w:val="333333"/>
          <w:spacing w:val="12"/>
          <w:position w:val="1"/>
          <w:sz w:val="20"/>
          <w:szCs w:val="20"/>
        </w:rPr>
        <w:t>济南——中正信队（</w:t>
      </w:r>
      <w:r>
        <w:rPr>
          <w:rFonts w:ascii="宋体" w:hAnsi="宋体" w:eastAsia="宋体" w:cs="宋体"/>
          <w:color w:val="333333"/>
          <w:spacing w:val="-27"/>
          <w:position w:val="1"/>
          <w:sz w:val="20"/>
          <w:szCs w:val="20"/>
        </w:rPr>
        <w:t xml:space="preserve"> </w:t>
      </w:r>
      <w:r>
        <w:rPr>
          <w:rFonts w:ascii="宋体" w:hAnsi="宋体" w:eastAsia="宋体" w:cs="宋体"/>
          <w:color w:val="333333"/>
          <w:spacing w:val="12"/>
          <w:position w:val="1"/>
          <w:sz w:val="20"/>
          <w:szCs w:val="20"/>
        </w:rPr>
        <w:t>中正信造价咨询有限公司组建）</w:t>
      </w:r>
    </w:p>
    <w:p>
      <w:pPr>
        <w:spacing w:before="126" w:line="221" w:lineRule="auto"/>
        <w:ind w:left="3849"/>
        <w:rPr>
          <w:rFonts w:ascii="宋体" w:hAnsi="宋体" w:eastAsia="宋体" w:cs="宋体"/>
          <w:sz w:val="20"/>
          <w:szCs w:val="20"/>
        </w:rPr>
      </w:pPr>
      <w:r>
        <w:rPr>
          <w:rFonts w:ascii="宋体" w:hAnsi="宋体" w:eastAsia="宋体" w:cs="宋体"/>
          <w:b/>
          <w:bCs/>
          <w:color w:val="333333"/>
          <w:spacing w:val="9"/>
          <w:sz w:val="20"/>
          <w:szCs w:val="20"/>
        </w:rPr>
        <w:t>二等奖</w:t>
      </w:r>
    </w:p>
    <w:p>
      <w:pPr>
        <w:spacing w:before="157" w:line="277" w:lineRule="exact"/>
        <w:ind w:left="1709"/>
        <w:rPr>
          <w:rFonts w:ascii="宋体" w:hAnsi="宋体" w:eastAsia="宋体" w:cs="宋体"/>
          <w:sz w:val="20"/>
          <w:szCs w:val="20"/>
        </w:rPr>
      </w:pPr>
      <w:r>
        <w:rPr>
          <w:rFonts w:ascii="宋体" w:hAnsi="宋体" w:eastAsia="宋体" w:cs="宋体"/>
          <w:color w:val="333333"/>
          <w:spacing w:val="13"/>
          <w:position w:val="1"/>
          <w:sz w:val="20"/>
          <w:szCs w:val="20"/>
        </w:rPr>
        <w:t>青岛——习远咨询队（青岛习远咨询有限公司组建）</w:t>
      </w:r>
    </w:p>
    <w:p>
      <w:pPr>
        <w:spacing w:before="124" w:line="277" w:lineRule="exact"/>
        <w:ind w:left="1038"/>
        <w:rPr>
          <w:rFonts w:ascii="宋体" w:hAnsi="宋体" w:eastAsia="宋体" w:cs="宋体"/>
          <w:sz w:val="20"/>
          <w:szCs w:val="20"/>
        </w:rPr>
      </w:pPr>
      <w:r>
        <w:rPr>
          <w:rFonts w:ascii="宋体" w:hAnsi="宋体" w:eastAsia="宋体" w:cs="宋体"/>
          <w:color w:val="333333"/>
          <w:spacing w:val="14"/>
          <w:position w:val="1"/>
          <w:sz w:val="20"/>
          <w:szCs w:val="20"/>
        </w:rPr>
        <w:t>德州——九州队（</w:t>
      </w:r>
      <w:r>
        <w:rPr>
          <w:rFonts w:ascii="宋体" w:hAnsi="宋体" w:eastAsia="宋体" w:cs="宋体"/>
          <w:color w:val="333333"/>
          <w:spacing w:val="-45"/>
          <w:position w:val="1"/>
          <w:sz w:val="20"/>
          <w:szCs w:val="20"/>
        </w:rPr>
        <w:t xml:space="preserve"> </w:t>
      </w:r>
      <w:r>
        <w:rPr>
          <w:rFonts w:ascii="宋体" w:hAnsi="宋体" w:eastAsia="宋体" w:cs="宋体"/>
          <w:color w:val="333333"/>
          <w:spacing w:val="14"/>
          <w:position w:val="1"/>
          <w:sz w:val="20"/>
          <w:szCs w:val="20"/>
        </w:rPr>
        <w:t>山东九州建设工程项目管理咨询有</w:t>
      </w:r>
      <w:r>
        <w:rPr>
          <w:rFonts w:ascii="宋体" w:hAnsi="宋体" w:eastAsia="宋体" w:cs="宋体"/>
          <w:color w:val="333333"/>
          <w:spacing w:val="13"/>
          <w:position w:val="1"/>
          <w:sz w:val="20"/>
          <w:szCs w:val="20"/>
        </w:rPr>
        <w:t>限公司组建）</w:t>
      </w:r>
    </w:p>
    <w:p>
      <w:pPr>
        <w:spacing w:before="121" w:line="277" w:lineRule="exact"/>
        <w:ind w:left="1925"/>
        <w:rPr>
          <w:rFonts w:ascii="宋体" w:hAnsi="宋体" w:eastAsia="宋体" w:cs="宋体"/>
          <w:sz w:val="20"/>
          <w:szCs w:val="20"/>
        </w:rPr>
      </w:pPr>
      <w:r>
        <w:rPr>
          <w:rFonts w:ascii="宋体" w:hAnsi="宋体" w:eastAsia="宋体" w:cs="宋体"/>
          <w:color w:val="333333"/>
          <w:spacing w:val="11"/>
          <w:position w:val="1"/>
          <w:sz w:val="20"/>
          <w:szCs w:val="20"/>
        </w:rPr>
        <w:t>省市政协会代表队（</w:t>
      </w:r>
      <w:r>
        <w:rPr>
          <w:rFonts w:ascii="宋体" w:hAnsi="宋体" w:eastAsia="宋体" w:cs="宋体"/>
          <w:color w:val="333333"/>
          <w:spacing w:val="-46"/>
          <w:position w:val="1"/>
          <w:sz w:val="20"/>
          <w:szCs w:val="20"/>
        </w:rPr>
        <w:t xml:space="preserve"> </w:t>
      </w:r>
      <w:r>
        <w:rPr>
          <w:rFonts w:ascii="宋体" w:hAnsi="宋体" w:eastAsia="宋体" w:cs="宋体"/>
          <w:color w:val="333333"/>
          <w:spacing w:val="11"/>
          <w:position w:val="1"/>
          <w:sz w:val="20"/>
          <w:szCs w:val="20"/>
        </w:rPr>
        <w:t>山东省市政行业协会组建）</w:t>
      </w:r>
    </w:p>
    <w:p>
      <w:pPr>
        <w:spacing w:before="128" w:line="221" w:lineRule="auto"/>
        <w:ind w:left="3852"/>
        <w:rPr>
          <w:rFonts w:ascii="宋体" w:hAnsi="宋体" w:eastAsia="宋体" w:cs="宋体"/>
          <w:sz w:val="20"/>
          <w:szCs w:val="20"/>
        </w:rPr>
      </w:pPr>
      <w:r>
        <w:rPr>
          <w:rFonts w:ascii="宋体" w:hAnsi="宋体" w:eastAsia="宋体" w:cs="宋体"/>
          <w:b/>
          <w:bCs/>
          <w:color w:val="333333"/>
          <w:spacing w:val="8"/>
          <w:sz w:val="20"/>
          <w:szCs w:val="20"/>
        </w:rPr>
        <w:t>三等奖</w:t>
      </w:r>
    </w:p>
    <w:p>
      <w:pPr>
        <w:spacing w:line="221" w:lineRule="auto"/>
        <w:rPr>
          <w:rFonts w:ascii="宋体" w:hAnsi="宋体" w:eastAsia="宋体" w:cs="宋体"/>
          <w:sz w:val="20"/>
          <w:szCs w:val="20"/>
        </w:rPr>
        <w:sectPr>
          <w:footerReference r:id="rId311" w:type="default"/>
          <w:pgSz w:w="11906" w:h="16839"/>
          <w:pgMar w:top="400" w:right="1420" w:bottom="1212" w:left="1785" w:header="0" w:footer="897"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77" w:lineRule="exact"/>
        <w:ind w:left="1080"/>
        <w:rPr>
          <w:rFonts w:ascii="宋体" w:hAnsi="宋体" w:eastAsia="宋体" w:cs="宋体"/>
          <w:sz w:val="20"/>
          <w:szCs w:val="20"/>
        </w:rPr>
      </w:pPr>
      <w:r>
        <w:rPr>
          <w:rFonts w:ascii="宋体" w:hAnsi="宋体" w:eastAsia="宋体" w:cs="宋体"/>
          <w:color w:val="333333"/>
          <w:spacing w:val="16"/>
          <w:position w:val="1"/>
          <w:sz w:val="20"/>
          <w:szCs w:val="20"/>
        </w:rPr>
        <w:t>威海——东方华太队（北京东方华太工程咨询有限公司</w:t>
      </w:r>
      <w:r>
        <w:rPr>
          <w:rFonts w:ascii="宋体" w:hAnsi="宋体" w:eastAsia="宋体" w:cs="宋体"/>
          <w:color w:val="333333"/>
          <w:spacing w:val="15"/>
          <w:position w:val="1"/>
          <w:sz w:val="20"/>
          <w:szCs w:val="20"/>
        </w:rPr>
        <w:t>威海分公司组建）</w:t>
      </w:r>
    </w:p>
    <w:p>
      <w:pPr>
        <w:spacing w:before="123" w:line="368" w:lineRule="auto"/>
        <w:ind w:left="1716" w:right="1471" w:firstLine="125"/>
        <w:rPr>
          <w:rFonts w:ascii="宋体" w:hAnsi="宋体" w:eastAsia="宋体" w:cs="宋体"/>
          <w:sz w:val="20"/>
          <w:szCs w:val="20"/>
        </w:rPr>
      </w:pPr>
      <w:r>
        <w:rPr>
          <w:rFonts w:ascii="宋体" w:hAnsi="宋体" w:eastAsia="宋体" w:cs="宋体"/>
          <w:color w:val="333333"/>
          <w:spacing w:val="13"/>
          <w:sz w:val="20"/>
          <w:szCs w:val="20"/>
        </w:rPr>
        <w:t>济宁——经之纬队（</w:t>
      </w:r>
      <w:r>
        <w:rPr>
          <w:rFonts w:ascii="宋体" w:hAnsi="宋体" w:eastAsia="宋体" w:cs="宋体"/>
          <w:color w:val="333333"/>
          <w:spacing w:val="-39"/>
          <w:sz w:val="20"/>
          <w:szCs w:val="20"/>
        </w:rPr>
        <w:t xml:space="preserve"> </w:t>
      </w:r>
      <w:r>
        <w:rPr>
          <w:rFonts w:ascii="宋体" w:hAnsi="宋体" w:eastAsia="宋体" w:cs="宋体"/>
          <w:color w:val="333333"/>
          <w:spacing w:val="13"/>
          <w:sz w:val="20"/>
          <w:szCs w:val="20"/>
        </w:rPr>
        <w:t>山东经之纬工程咨询有限公司组建）省造价协会代表队（</w:t>
      </w:r>
      <w:r>
        <w:rPr>
          <w:rFonts w:ascii="宋体" w:hAnsi="宋体" w:eastAsia="宋体" w:cs="宋体"/>
          <w:color w:val="333333"/>
          <w:spacing w:val="-40"/>
          <w:sz w:val="20"/>
          <w:szCs w:val="20"/>
        </w:rPr>
        <w:t xml:space="preserve"> </w:t>
      </w:r>
      <w:r>
        <w:rPr>
          <w:rFonts w:ascii="宋体" w:hAnsi="宋体" w:eastAsia="宋体" w:cs="宋体"/>
          <w:color w:val="333333"/>
          <w:spacing w:val="13"/>
          <w:sz w:val="20"/>
          <w:szCs w:val="20"/>
        </w:rPr>
        <w:t>山东省工程建设标准造价协会组建）</w:t>
      </w:r>
    </w:p>
    <w:p>
      <w:pPr>
        <w:spacing w:before="1" w:line="278" w:lineRule="exact"/>
        <w:ind w:left="1935"/>
        <w:rPr>
          <w:rFonts w:ascii="宋体" w:hAnsi="宋体" w:eastAsia="宋体" w:cs="宋体"/>
          <w:sz w:val="20"/>
          <w:szCs w:val="20"/>
        </w:rPr>
      </w:pPr>
      <w:r>
        <w:rPr>
          <w:rFonts w:ascii="宋体" w:hAnsi="宋体" w:eastAsia="宋体" w:cs="宋体"/>
          <w:color w:val="333333"/>
          <w:spacing w:val="13"/>
          <w:position w:val="1"/>
          <w:sz w:val="20"/>
          <w:szCs w:val="20"/>
        </w:rPr>
        <w:t>烟台——华维队（</w:t>
      </w:r>
      <w:r>
        <w:rPr>
          <w:rFonts w:ascii="宋体" w:hAnsi="宋体" w:eastAsia="宋体" w:cs="宋体"/>
          <w:color w:val="333333"/>
          <w:spacing w:val="-46"/>
          <w:position w:val="1"/>
          <w:sz w:val="20"/>
          <w:szCs w:val="20"/>
        </w:rPr>
        <w:t xml:space="preserve"> </w:t>
      </w:r>
      <w:r>
        <w:rPr>
          <w:rFonts w:ascii="宋体" w:hAnsi="宋体" w:eastAsia="宋体" w:cs="宋体"/>
          <w:color w:val="333333"/>
          <w:spacing w:val="13"/>
          <w:position w:val="1"/>
          <w:sz w:val="20"/>
          <w:szCs w:val="20"/>
        </w:rPr>
        <w:t>山东华维工程咨询有限公</w:t>
      </w:r>
      <w:r>
        <w:rPr>
          <w:rFonts w:ascii="宋体" w:hAnsi="宋体" w:eastAsia="宋体" w:cs="宋体"/>
          <w:color w:val="333333"/>
          <w:spacing w:val="12"/>
          <w:position w:val="1"/>
          <w:sz w:val="20"/>
          <w:szCs w:val="20"/>
        </w:rPr>
        <w:t>司组建）</w:t>
      </w:r>
    </w:p>
    <w:p>
      <w:pPr>
        <w:spacing w:before="123" w:line="277" w:lineRule="exact"/>
        <w:ind w:left="2064"/>
        <w:rPr>
          <w:rFonts w:ascii="宋体" w:hAnsi="宋体" w:eastAsia="宋体" w:cs="宋体"/>
          <w:sz w:val="20"/>
          <w:szCs w:val="20"/>
        </w:rPr>
      </w:pPr>
      <w:r>
        <w:rPr>
          <w:rFonts w:ascii="宋体" w:hAnsi="宋体" w:eastAsia="宋体" w:cs="宋体"/>
          <w:color w:val="333333"/>
          <w:spacing w:val="12"/>
          <w:position w:val="1"/>
          <w:sz w:val="20"/>
          <w:szCs w:val="20"/>
        </w:rPr>
        <w:t>淄博——黄河建工队（</w:t>
      </w:r>
      <w:r>
        <w:rPr>
          <w:rFonts w:ascii="宋体" w:hAnsi="宋体" w:eastAsia="宋体" w:cs="宋体"/>
          <w:color w:val="333333"/>
          <w:spacing w:val="-31"/>
          <w:position w:val="1"/>
          <w:sz w:val="20"/>
          <w:szCs w:val="20"/>
        </w:rPr>
        <w:t xml:space="preserve"> </w:t>
      </w:r>
      <w:r>
        <w:rPr>
          <w:rFonts w:ascii="宋体" w:hAnsi="宋体" w:eastAsia="宋体" w:cs="宋体"/>
          <w:color w:val="333333"/>
          <w:spacing w:val="12"/>
          <w:position w:val="1"/>
          <w:sz w:val="20"/>
          <w:szCs w:val="20"/>
        </w:rPr>
        <w:t>山东黄河建工有限公司组建）</w:t>
      </w:r>
    </w:p>
    <w:p>
      <w:pPr>
        <w:spacing w:before="123" w:line="278" w:lineRule="exact"/>
        <w:ind w:left="1841"/>
        <w:rPr>
          <w:rFonts w:ascii="宋体" w:hAnsi="宋体" w:eastAsia="宋体" w:cs="宋体"/>
          <w:sz w:val="20"/>
          <w:szCs w:val="20"/>
        </w:rPr>
      </w:pPr>
      <w:r>
        <w:rPr>
          <w:rFonts w:ascii="宋体" w:hAnsi="宋体" w:eastAsia="宋体" w:cs="宋体"/>
          <w:color w:val="333333"/>
          <w:spacing w:val="15"/>
          <w:position w:val="1"/>
          <w:sz w:val="20"/>
          <w:szCs w:val="20"/>
        </w:rPr>
        <w:t>济宁——恒诚信队（恒诚信国际工程咨询有限公司组建）</w:t>
      </w:r>
    </w:p>
    <w:p>
      <w:pPr>
        <w:spacing w:before="126" w:line="218" w:lineRule="auto"/>
        <w:ind w:left="4213"/>
        <w:rPr>
          <w:rFonts w:ascii="宋体" w:hAnsi="宋体" w:eastAsia="宋体" w:cs="宋体"/>
          <w:sz w:val="20"/>
          <w:szCs w:val="20"/>
        </w:rPr>
      </w:pPr>
      <w:r>
        <w:rPr>
          <w:rFonts w:ascii="宋体" w:hAnsi="宋体" w:eastAsia="宋体" w:cs="宋体"/>
          <w:b/>
          <w:bCs/>
          <w:color w:val="333333"/>
          <w:spacing w:val="10"/>
          <w:sz w:val="20"/>
          <w:szCs w:val="20"/>
        </w:rPr>
        <w:t>优胜奖</w:t>
      </w:r>
    </w:p>
    <w:p>
      <w:pPr>
        <w:spacing w:before="159" w:line="278" w:lineRule="exact"/>
        <w:ind w:left="1619"/>
        <w:rPr>
          <w:rFonts w:ascii="宋体" w:hAnsi="宋体" w:eastAsia="宋体" w:cs="宋体"/>
          <w:sz w:val="20"/>
          <w:szCs w:val="20"/>
        </w:rPr>
      </w:pPr>
      <w:r>
        <w:rPr>
          <w:rFonts w:ascii="宋体" w:hAnsi="宋体" w:eastAsia="宋体" w:cs="宋体"/>
          <w:color w:val="333333"/>
          <w:spacing w:val="14"/>
          <w:position w:val="1"/>
          <w:sz w:val="20"/>
          <w:szCs w:val="20"/>
        </w:rPr>
        <w:t>潍坊——世纪华都队（</w:t>
      </w:r>
      <w:r>
        <w:rPr>
          <w:rFonts w:ascii="宋体" w:hAnsi="宋体" w:eastAsia="宋体" w:cs="宋体"/>
          <w:color w:val="333333"/>
          <w:spacing w:val="-45"/>
          <w:position w:val="1"/>
          <w:sz w:val="20"/>
          <w:szCs w:val="20"/>
        </w:rPr>
        <w:t xml:space="preserve"> </w:t>
      </w:r>
      <w:r>
        <w:rPr>
          <w:rFonts w:ascii="宋体" w:hAnsi="宋体" w:eastAsia="宋体" w:cs="宋体"/>
          <w:color w:val="333333"/>
          <w:spacing w:val="14"/>
          <w:position w:val="1"/>
          <w:sz w:val="20"/>
          <w:szCs w:val="20"/>
        </w:rPr>
        <w:t>山东世纪华都工程咨</w:t>
      </w:r>
      <w:r>
        <w:rPr>
          <w:rFonts w:ascii="宋体" w:hAnsi="宋体" w:eastAsia="宋体" w:cs="宋体"/>
          <w:color w:val="333333"/>
          <w:spacing w:val="13"/>
          <w:position w:val="1"/>
          <w:sz w:val="20"/>
          <w:szCs w:val="20"/>
        </w:rPr>
        <w:t>询有限公司组建）</w:t>
      </w:r>
    </w:p>
    <w:p>
      <w:pPr>
        <w:spacing w:before="123" w:line="277" w:lineRule="exact"/>
        <w:ind w:left="1841"/>
        <w:rPr>
          <w:rFonts w:ascii="宋体" w:hAnsi="宋体" w:eastAsia="宋体" w:cs="宋体"/>
          <w:sz w:val="20"/>
          <w:szCs w:val="20"/>
        </w:rPr>
      </w:pPr>
      <w:r>
        <w:rPr>
          <w:rFonts w:ascii="宋体" w:hAnsi="宋体" w:eastAsia="宋体" w:cs="宋体"/>
          <w:color w:val="333333"/>
          <w:spacing w:val="15"/>
          <w:position w:val="1"/>
          <w:sz w:val="20"/>
          <w:szCs w:val="20"/>
        </w:rPr>
        <w:t>济南——海逸恒安队（海逸恒安项目管理有限公司组建）</w:t>
      </w:r>
    </w:p>
    <w:p>
      <w:pPr>
        <w:spacing w:before="121" w:line="278" w:lineRule="exact"/>
        <w:ind w:left="2089"/>
        <w:rPr>
          <w:rFonts w:ascii="宋体" w:hAnsi="宋体" w:eastAsia="宋体" w:cs="宋体"/>
          <w:sz w:val="20"/>
          <w:szCs w:val="20"/>
        </w:rPr>
      </w:pPr>
      <w:r>
        <w:rPr>
          <w:rFonts w:ascii="宋体" w:hAnsi="宋体" w:eastAsia="宋体" w:cs="宋体"/>
          <w:color w:val="333333"/>
          <w:spacing w:val="13"/>
          <w:position w:val="1"/>
          <w:sz w:val="20"/>
          <w:szCs w:val="20"/>
        </w:rPr>
        <w:t>临沂——金中证队（金中证项目管理有限公司组建）</w:t>
      </w:r>
    </w:p>
    <w:p>
      <w:pPr>
        <w:spacing w:before="123" w:line="278" w:lineRule="exact"/>
        <w:ind w:left="2056"/>
        <w:rPr>
          <w:rFonts w:ascii="宋体" w:hAnsi="宋体" w:eastAsia="宋体" w:cs="宋体"/>
          <w:sz w:val="20"/>
          <w:szCs w:val="20"/>
        </w:rPr>
      </w:pPr>
      <w:r>
        <w:rPr>
          <w:rFonts w:ascii="宋体" w:hAnsi="宋体" w:eastAsia="宋体" w:cs="宋体"/>
          <w:color w:val="333333"/>
          <w:spacing w:val="13"/>
          <w:position w:val="1"/>
          <w:sz w:val="20"/>
          <w:szCs w:val="20"/>
        </w:rPr>
        <w:t>潍坊——正阳队（</w:t>
      </w:r>
      <w:r>
        <w:rPr>
          <w:rFonts w:ascii="宋体" w:hAnsi="宋体" w:eastAsia="宋体" w:cs="宋体"/>
          <w:color w:val="333333"/>
          <w:spacing w:val="-43"/>
          <w:position w:val="1"/>
          <w:sz w:val="20"/>
          <w:szCs w:val="20"/>
        </w:rPr>
        <w:t xml:space="preserve"> </w:t>
      </w:r>
      <w:r>
        <w:rPr>
          <w:rFonts w:ascii="宋体" w:hAnsi="宋体" w:eastAsia="宋体" w:cs="宋体"/>
          <w:color w:val="333333"/>
          <w:spacing w:val="13"/>
          <w:position w:val="1"/>
          <w:sz w:val="20"/>
          <w:szCs w:val="20"/>
        </w:rPr>
        <w:t>山东正阳工程咨询有限公司组建）</w:t>
      </w:r>
    </w:p>
    <w:p>
      <w:pPr>
        <w:spacing w:before="123" w:line="277" w:lineRule="exact"/>
        <w:ind w:left="1908"/>
        <w:rPr>
          <w:rFonts w:ascii="宋体" w:hAnsi="宋体" w:eastAsia="宋体" w:cs="宋体"/>
          <w:sz w:val="20"/>
          <w:szCs w:val="20"/>
        </w:rPr>
      </w:pPr>
      <w:r>
        <w:rPr>
          <w:rFonts w:ascii="宋体" w:hAnsi="宋体" w:eastAsia="宋体" w:cs="宋体"/>
          <w:color w:val="333333"/>
          <w:spacing w:val="9"/>
          <w:position w:val="1"/>
          <w:sz w:val="20"/>
          <w:szCs w:val="20"/>
        </w:rPr>
        <w:t>日照——恒博队（</w:t>
      </w:r>
      <w:r>
        <w:rPr>
          <w:rFonts w:ascii="宋体" w:hAnsi="宋体" w:eastAsia="宋体" w:cs="宋体"/>
          <w:color w:val="333333"/>
          <w:spacing w:val="-29"/>
          <w:position w:val="1"/>
          <w:sz w:val="20"/>
          <w:szCs w:val="20"/>
        </w:rPr>
        <w:t xml:space="preserve"> </w:t>
      </w:r>
      <w:r>
        <w:rPr>
          <w:rFonts w:ascii="宋体" w:hAnsi="宋体" w:eastAsia="宋体" w:cs="宋体"/>
          <w:color w:val="333333"/>
          <w:spacing w:val="9"/>
          <w:position w:val="1"/>
          <w:sz w:val="20"/>
          <w:szCs w:val="20"/>
        </w:rPr>
        <w:t>山东恒博建设项目管理有限公司组建）</w:t>
      </w:r>
    </w:p>
    <w:p>
      <w:pPr>
        <w:spacing w:before="121" w:line="278" w:lineRule="exact"/>
        <w:ind w:left="1621"/>
        <w:rPr>
          <w:rFonts w:ascii="宋体" w:hAnsi="宋体" w:eastAsia="宋体" w:cs="宋体"/>
          <w:sz w:val="20"/>
          <w:szCs w:val="20"/>
        </w:rPr>
      </w:pPr>
      <w:r>
        <w:rPr>
          <w:rFonts w:ascii="宋体" w:hAnsi="宋体" w:eastAsia="宋体" w:cs="宋体"/>
          <w:color w:val="333333"/>
          <w:spacing w:val="13"/>
          <w:position w:val="1"/>
          <w:sz w:val="20"/>
          <w:szCs w:val="20"/>
        </w:rPr>
        <w:t>枣庄——嘉德致远队（</w:t>
      </w:r>
      <w:r>
        <w:rPr>
          <w:rFonts w:ascii="宋体" w:hAnsi="宋体" w:eastAsia="宋体" w:cs="宋体"/>
          <w:color w:val="333333"/>
          <w:spacing w:val="-29"/>
          <w:position w:val="1"/>
          <w:sz w:val="20"/>
          <w:szCs w:val="20"/>
        </w:rPr>
        <w:t xml:space="preserve"> </w:t>
      </w:r>
      <w:r>
        <w:rPr>
          <w:rFonts w:ascii="宋体" w:hAnsi="宋体" w:eastAsia="宋体" w:cs="宋体"/>
          <w:color w:val="333333"/>
          <w:spacing w:val="13"/>
          <w:position w:val="1"/>
          <w:sz w:val="20"/>
          <w:szCs w:val="20"/>
        </w:rPr>
        <w:t>山东嘉德致远项目管理有限公司组建）</w:t>
      </w:r>
    </w:p>
    <w:p>
      <w:pPr>
        <w:spacing w:before="123" w:line="278" w:lineRule="exact"/>
        <w:ind w:left="2064"/>
        <w:rPr>
          <w:rFonts w:ascii="宋体" w:hAnsi="宋体" w:eastAsia="宋体" w:cs="宋体"/>
          <w:sz w:val="20"/>
          <w:szCs w:val="20"/>
        </w:rPr>
      </w:pPr>
      <w:r>
        <w:rPr>
          <w:rFonts w:ascii="宋体" w:hAnsi="宋体" w:eastAsia="宋体" w:cs="宋体"/>
          <w:color w:val="333333"/>
          <w:spacing w:val="12"/>
          <w:position w:val="1"/>
          <w:sz w:val="20"/>
          <w:szCs w:val="20"/>
        </w:rPr>
        <w:t>淄博——淄建集团队（</w:t>
      </w:r>
      <w:r>
        <w:rPr>
          <w:rFonts w:ascii="宋体" w:hAnsi="宋体" w:eastAsia="宋体" w:cs="宋体"/>
          <w:color w:val="333333"/>
          <w:spacing w:val="-31"/>
          <w:position w:val="1"/>
          <w:sz w:val="20"/>
          <w:szCs w:val="20"/>
        </w:rPr>
        <w:t xml:space="preserve"> </w:t>
      </w:r>
      <w:r>
        <w:rPr>
          <w:rFonts w:ascii="宋体" w:hAnsi="宋体" w:eastAsia="宋体" w:cs="宋体"/>
          <w:color w:val="333333"/>
          <w:spacing w:val="12"/>
          <w:position w:val="1"/>
          <w:sz w:val="20"/>
          <w:szCs w:val="20"/>
        </w:rPr>
        <w:t>山东淄建集团有限公司组建）</w:t>
      </w:r>
    </w:p>
    <w:p>
      <w:pPr>
        <w:spacing w:before="123" w:line="277" w:lineRule="exact"/>
        <w:ind w:left="1840"/>
        <w:rPr>
          <w:rFonts w:ascii="宋体" w:hAnsi="宋体" w:eastAsia="宋体" w:cs="宋体"/>
          <w:sz w:val="20"/>
          <w:szCs w:val="20"/>
        </w:rPr>
      </w:pPr>
      <w:r>
        <w:rPr>
          <w:rFonts w:ascii="宋体" w:hAnsi="宋体" w:eastAsia="宋体" w:cs="宋体"/>
          <w:color w:val="333333"/>
          <w:spacing w:val="13"/>
          <w:position w:val="1"/>
          <w:sz w:val="20"/>
          <w:szCs w:val="20"/>
        </w:rPr>
        <w:t>滨州——黄河信队（</w:t>
      </w:r>
      <w:r>
        <w:rPr>
          <w:rFonts w:ascii="宋体" w:hAnsi="宋体" w:eastAsia="宋体" w:cs="宋体"/>
          <w:color w:val="333333"/>
          <w:spacing w:val="-37"/>
          <w:position w:val="1"/>
          <w:sz w:val="20"/>
          <w:szCs w:val="20"/>
        </w:rPr>
        <w:t xml:space="preserve"> </w:t>
      </w:r>
      <w:r>
        <w:rPr>
          <w:rFonts w:ascii="宋体" w:hAnsi="宋体" w:eastAsia="宋体" w:cs="宋体"/>
          <w:color w:val="333333"/>
          <w:spacing w:val="13"/>
          <w:position w:val="1"/>
          <w:sz w:val="20"/>
          <w:szCs w:val="20"/>
        </w:rPr>
        <w:t>山东黄河信项目管理有限公司组建）</w:t>
      </w:r>
    </w:p>
    <w:p>
      <w:pPr>
        <w:spacing w:before="121" w:line="278" w:lineRule="exact"/>
        <w:ind w:left="1624"/>
        <w:rPr>
          <w:rFonts w:ascii="宋体" w:hAnsi="宋体" w:eastAsia="宋体" w:cs="宋体"/>
          <w:sz w:val="20"/>
          <w:szCs w:val="20"/>
        </w:rPr>
      </w:pPr>
      <w:r>
        <w:rPr>
          <w:rFonts w:ascii="宋体" w:hAnsi="宋体" w:eastAsia="宋体" w:cs="宋体"/>
          <w:color w:val="333333"/>
          <w:spacing w:val="13"/>
          <w:position w:val="1"/>
          <w:sz w:val="20"/>
          <w:szCs w:val="20"/>
        </w:rPr>
        <w:t>泰安——东岳联合队（</w:t>
      </w:r>
      <w:r>
        <w:rPr>
          <w:rFonts w:ascii="宋体" w:hAnsi="宋体" w:eastAsia="宋体" w:cs="宋体"/>
          <w:color w:val="333333"/>
          <w:spacing w:val="-31"/>
          <w:position w:val="1"/>
          <w:sz w:val="20"/>
          <w:szCs w:val="20"/>
        </w:rPr>
        <w:t xml:space="preserve"> </w:t>
      </w:r>
      <w:r>
        <w:rPr>
          <w:rFonts w:ascii="宋体" w:hAnsi="宋体" w:eastAsia="宋体" w:cs="宋体"/>
          <w:color w:val="333333"/>
          <w:spacing w:val="13"/>
          <w:position w:val="1"/>
          <w:sz w:val="20"/>
          <w:szCs w:val="20"/>
        </w:rPr>
        <w:t>山东东岳联合工程咨询有限公司组建）</w:t>
      </w:r>
    </w:p>
    <w:p>
      <w:pPr>
        <w:spacing w:before="123" w:line="369" w:lineRule="auto"/>
        <w:ind w:left="2290" w:right="1687" w:hanging="231"/>
        <w:rPr>
          <w:rFonts w:ascii="宋体" w:hAnsi="宋体" w:eastAsia="宋体" w:cs="宋体"/>
          <w:sz w:val="20"/>
          <w:szCs w:val="20"/>
        </w:rPr>
      </w:pPr>
      <w:r>
        <w:rPr>
          <w:rFonts w:ascii="宋体" w:hAnsi="宋体" w:eastAsia="宋体" w:cs="宋体"/>
          <w:color w:val="333333"/>
          <w:spacing w:val="13"/>
          <w:sz w:val="20"/>
          <w:szCs w:val="20"/>
        </w:rPr>
        <w:t>东营——中明队（</w:t>
      </w:r>
      <w:r>
        <w:rPr>
          <w:rFonts w:ascii="宋体" w:hAnsi="宋体" w:eastAsia="宋体" w:cs="宋体"/>
          <w:color w:val="333333"/>
          <w:spacing w:val="-46"/>
          <w:sz w:val="20"/>
          <w:szCs w:val="20"/>
        </w:rPr>
        <w:t xml:space="preserve"> </w:t>
      </w:r>
      <w:r>
        <w:rPr>
          <w:rFonts w:ascii="宋体" w:hAnsi="宋体" w:eastAsia="宋体" w:cs="宋体"/>
          <w:color w:val="333333"/>
          <w:spacing w:val="13"/>
          <w:sz w:val="20"/>
          <w:szCs w:val="20"/>
        </w:rPr>
        <w:t>山东中明工程咨询有限公司组建）枣庄——舜诚队（舜诚项目管理有限公司组建）</w:t>
      </w:r>
    </w:p>
    <w:p>
      <w:pPr>
        <w:spacing w:line="277" w:lineRule="exact"/>
        <w:ind w:left="1966"/>
        <w:rPr>
          <w:rFonts w:ascii="宋体" w:hAnsi="宋体" w:eastAsia="宋体" w:cs="宋体"/>
          <w:sz w:val="20"/>
          <w:szCs w:val="20"/>
        </w:rPr>
      </w:pPr>
      <w:r>
        <w:rPr>
          <w:rFonts w:ascii="宋体" w:hAnsi="宋体" w:eastAsia="宋体" w:cs="宋体"/>
          <w:color w:val="333333"/>
          <w:spacing w:val="11"/>
          <w:position w:val="1"/>
          <w:sz w:val="20"/>
          <w:szCs w:val="20"/>
        </w:rPr>
        <w:t>菏泽——中慧队（</w:t>
      </w:r>
      <w:r>
        <w:rPr>
          <w:rFonts w:ascii="宋体" w:hAnsi="宋体" w:eastAsia="宋体" w:cs="宋体"/>
          <w:color w:val="333333"/>
          <w:spacing w:val="-37"/>
          <w:position w:val="1"/>
          <w:sz w:val="20"/>
          <w:szCs w:val="20"/>
        </w:rPr>
        <w:t xml:space="preserve"> </w:t>
      </w:r>
      <w:r>
        <w:rPr>
          <w:rFonts w:ascii="宋体" w:hAnsi="宋体" w:eastAsia="宋体" w:cs="宋体"/>
          <w:color w:val="333333"/>
          <w:spacing w:val="11"/>
          <w:position w:val="1"/>
          <w:sz w:val="20"/>
          <w:szCs w:val="20"/>
        </w:rPr>
        <w:t>山东中慧咨询管理有限公司组建）</w:t>
      </w:r>
    </w:p>
    <w:p>
      <w:pPr>
        <w:spacing w:line="277" w:lineRule="exact"/>
        <w:rPr>
          <w:rFonts w:ascii="宋体" w:hAnsi="宋体" w:eastAsia="宋体" w:cs="宋体"/>
          <w:sz w:val="20"/>
          <w:szCs w:val="20"/>
        </w:rPr>
        <w:sectPr>
          <w:footerReference r:id="rId312" w:type="default"/>
          <w:pgSz w:w="11906" w:h="16839"/>
          <w:pgMar w:top="400" w:right="1785" w:bottom="1212" w:left="1418" w:header="0" w:footer="897" w:gutter="0"/>
        </w:sect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35"/>
        <w:ind w:left="2563"/>
        <w:outlineLvl w:val="0"/>
        <w:rPr>
          <w:rFonts w:ascii="方正小标宋简体" w:hAnsi="方正小标宋简体" w:eastAsia="方正小标宋简体" w:cs="方正小标宋简体"/>
          <w:sz w:val="35"/>
          <w:szCs w:val="35"/>
        </w:rPr>
      </w:pPr>
      <w:bookmarkStart w:id="232" w:name="bookmark130"/>
      <w:bookmarkEnd w:id="232"/>
      <w:r>
        <w:rPr>
          <w:rFonts w:ascii="方正小标宋简体" w:hAnsi="方正小标宋简体" w:eastAsia="方正小标宋简体" w:cs="方正小标宋简体"/>
          <w:spacing w:val="8"/>
          <w:sz w:val="35"/>
          <w:szCs w:val="35"/>
        </w:rPr>
        <w:t>淄博市住房和城乡建设局</w:t>
      </w:r>
    </w:p>
    <w:p>
      <w:pPr>
        <w:spacing w:before="58" w:line="241" w:lineRule="auto"/>
        <w:ind w:left="3279" w:right="1290" w:hanging="1985"/>
        <w:outlineLvl w:val="0"/>
        <w:rPr>
          <w:rFonts w:ascii="方正小标宋简体" w:hAnsi="方正小标宋简体" w:eastAsia="方正小标宋简体" w:cs="方正小标宋简体"/>
          <w:sz w:val="35"/>
          <w:szCs w:val="35"/>
        </w:rPr>
      </w:pPr>
      <w:bookmarkStart w:id="233" w:name="bookmark130"/>
      <w:bookmarkEnd w:id="233"/>
      <w:r>
        <w:rPr>
          <w:rFonts w:ascii="方正小标宋简体" w:hAnsi="方正小标宋简体" w:eastAsia="方正小标宋简体" w:cs="方正小标宋简体"/>
          <w:spacing w:val="9"/>
          <w:sz w:val="35"/>
          <w:szCs w:val="35"/>
        </w:rPr>
        <w:t>关于调整我市建设工程计价依据解释工作</w:t>
      </w:r>
      <w:bookmarkStart w:id="234" w:name="bookmark130"/>
      <w:bookmarkEnd w:id="234"/>
      <w:r>
        <w:rPr>
          <w:rFonts w:ascii="方正小标宋简体" w:hAnsi="方正小标宋简体" w:eastAsia="方正小标宋简体" w:cs="方正小标宋简体"/>
          <w:spacing w:val="8"/>
          <w:sz w:val="35"/>
          <w:szCs w:val="35"/>
        </w:rPr>
        <w:t>有关事项的通知</w:t>
      </w:r>
    </w:p>
    <w:p>
      <w:pPr>
        <w:spacing w:line="429" w:lineRule="auto"/>
        <w:rPr>
          <w:rFonts w:ascii="Arial"/>
          <w:sz w:val="21"/>
        </w:rPr>
      </w:pPr>
    </w:p>
    <w:p>
      <w:pPr>
        <w:spacing w:before="65" w:line="369" w:lineRule="auto"/>
        <w:ind w:right="218" w:firstLine="1"/>
        <w:rPr>
          <w:rFonts w:ascii="宋体" w:hAnsi="宋体" w:eastAsia="宋体" w:cs="宋体"/>
          <w:sz w:val="20"/>
          <w:szCs w:val="20"/>
        </w:rPr>
      </w:pPr>
      <w:r>
        <w:rPr>
          <w:rFonts w:ascii="宋体" w:hAnsi="宋体" w:eastAsia="宋体" w:cs="宋体"/>
          <w:spacing w:val="11"/>
          <w:sz w:val="20"/>
          <w:szCs w:val="20"/>
        </w:rPr>
        <w:t>各区县住房城乡建设局，高新区、经济开发区建</w:t>
      </w:r>
      <w:r>
        <w:rPr>
          <w:rFonts w:ascii="宋体" w:hAnsi="宋体" w:eastAsia="宋体" w:cs="宋体"/>
          <w:spacing w:val="10"/>
          <w:sz w:val="20"/>
          <w:szCs w:val="20"/>
        </w:rPr>
        <w:t>设局，文昌湖省级旅游度假区城乡建设局，各有</w:t>
      </w:r>
      <w:r>
        <w:rPr>
          <w:rFonts w:ascii="宋体" w:hAnsi="宋体" w:eastAsia="宋体" w:cs="宋体"/>
          <w:spacing w:val="6"/>
          <w:sz w:val="20"/>
          <w:szCs w:val="20"/>
        </w:rPr>
        <w:t>关单位：</w:t>
      </w:r>
    </w:p>
    <w:p>
      <w:pPr>
        <w:spacing w:before="2" w:line="368" w:lineRule="auto"/>
        <w:ind w:left="1" w:right="218" w:firstLine="426"/>
        <w:jc w:val="both"/>
        <w:rPr>
          <w:rFonts w:ascii="宋体" w:hAnsi="宋体" w:eastAsia="宋体" w:cs="宋体"/>
          <w:sz w:val="20"/>
          <w:szCs w:val="20"/>
        </w:rPr>
      </w:pPr>
      <w:r>
        <w:rPr>
          <w:rFonts w:ascii="宋体" w:hAnsi="宋体" w:eastAsia="宋体" w:cs="宋体"/>
          <w:spacing w:val="10"/>
          <w:sz w:val="20"/>
          <w:szCs w:val="20"/>
        </w:rPr>
        <w:t>为进一步做好我市建设工程计价依据解释工作，提高计价依据解释服务质量和工作效能，根</w:t>
      </w:r>
      <w:r>
        <w:rPr>
          <w:rFonts w:ascii="宋体" w:hAnsi="宋体" w:eastAsia="宋体" w:cs="宋体"/>
          <w:spacing w:val="11"/>
          <w:sz w:val="20"/>
          <w:szCs w:val="20"/>
        </w:rPr>
        <w:t>据《山东省建设工程造价管理办法》、《山东省</w:t>
      </w:r>
      <w:r>
        <w:rPr>
          <w:rFonts w:ascii="宋体" w:hAnsi="宋体" w:eastAsia="宋体" w:cs="宋体"/>
          <w:spacing w:val="10"/>
          <w:sz w:val="20"/>
          <w:szCs w:val="20"/>
        </w:rPr>
        <w:t>建设工程计价依据解释工作办法》及我市有关规</w:t>
      </w:r>
      <w:r>
        <w:rPr>
          <w:rFonts w:ascii="宋体" w:hAnsi="宋体" w:eastAsia="宋体" w:cs="宋体"/>
          <w:spacing w:val="9"/>
          <w:sz w:val="20"/>
          <w:szCs w:val="20"/>
        </w:rPr>
        <w:t>定，现就调整我市建设工程计价依据解释工作有关事项通知如下：</w:t>
      </w:r>
    </w:p>
    <w:p>
      <w:pPr>
        <w:spacing w:before="1" w:line="230" w:lineRule="auto"/>
        <w:ind w:left="429"/>
        <w:rPr>
          <w:rFonts w:ascii="黑体" w:hAnsi="黑体" w:eastAsia="黑体" w:cs="黑体"/>
          <w:sz w:val="20"/>
          <w:szCs w:val="20"/>
        </w:rPr>
      </w:pPr>
      <w:r>
        <w:rPr>
          <w:rFonts w:ascii="黑体" w:hAnsi="黑体" w:eastAsia="黑体" w:cs="黑体"/>
          <w:b/>
          <w:bCs/>
          <w:spacing w:val="6"/>
          <w:sz w:val="20"/>
          <w:szCs w:val="20"/>
        </w:rPr>
        <w:t>一、基本要求</w:t>
      </w:r>
    </w:p>
    <w:p>
      <w:pPr>
        <w:spacing w:before="152" w:line="368" w:lineRule="auto"/>
        <w:ind w:left="3" w:right="137" w:firstLine="418"/>
        <w:rPr>
          <w:rFonts w:ascii="宋体" w:hAnsi="宋体" w:eastAsia="宋体" w:cs="宋体"/>
          <w:sz w:val="20"/>
          <w:szCs w:val="20"/>
        </w:rPr>
      </w:pPr>
      <w:r>
        <w:rPr>
          <w:rFonts w:ascii="宋体" w:hAnsi="宋体" w:eastAsia="宋体" w:cs="宋体"/>
          <w:spacing w:val="7"/>
          <w:sz w:val="20"/>
          <w:szCs w:val="20"/>
        </w:rPr>
        <w:t>建设工程计价依据解释工作遵循依法依规、客观公正的原则，严格执行和正确把握国家、省、</w:t>
      </w:r>
      <w:r>
        <w:rPr>
          <w:rFonts w:ascii="宋体" w:hAnsi="宋体" w:eastAsia="宋体" w:cs="宋体"/>
          <w:spacing w:val="9"/>
          <w:sz w:val="20"/>
          <w:szCs w:val="20"/>
        </w:rPr>
        <w:t>市制定的建设工程造价管理的法律、法规、规章、标准和规定。</w:t>
      </w:r>
    </w:p>
    <w:p>
      <w:pPr>
        <w:spacing w:before="1" w:line="229" w:lineRule="auto"/>
        <w:ind w:left="429"/>
        <w:rPr>
          <w:rFonts w:ascii="黑体" w:hAnsi="黑体" w:eastAsia="黑体" w:cs="黑体"/>
          <w:sz w:val="20"/>
          <w:szCs w:val="20"/>
        </w:rPr>
      </w:pPr>
      <w:r>
        <w:rPr>
          <w:rFonts w:ascii="黑体" w:hAnsi="黑体" w:eastAsia="黑体" w:cs="黑体"/>
          <w:b/>
          <w:bCs/>
          <w:spacing w:val="6"/>
          <w:sz w:val="20"/>
          <w:szCs w:val="20"/>
        </w:rPr>
        <w:t>二、咨询方式</w:t>
      </w:r>
    </w:p>
    <w:p>
      <w:pPr>
        <w:spacing w:before="153" w:line="368" w:lineRule="auto"/>
        <w:ind w:right="218" w:firstLine="421"/>
        <w:rPr>
          <w:rFonts w:ascii="宋体" w:hAnsi="宋体" w:eastAsia="宋体" w:cs="宋体"/>
          <w:sz w:val="20"/>
          <w:szCs w:val="20"/>
        </w:rPr>
      </w:pPr>
      <w:r>
        <w:rPr>
          <w:rFonts w:ascii="宋体" w:hAnsi="宋体" w:eastAsia="宋体" w:cs="宋体"/>
          <w:spacing w:val="11"/>
          <w:sz w:val="20"/>
          <w:szCs w:val="20"/>
        </w:rPr>
        <w:t>建设工程计价依据解释包括计价依据条文解释和</w:t>
      </w:r>
      <w:r>
        <w:rPr>
          <w:rFonts w:ascii="宋体" w:hAnsi="宋体" w:eastAsia="宋体" w:cs="宋体"/>
          <w:spacing w:val="10"/>
          <w:sz w:val="20"/>
          <w:szCs w:val="20"/>
        </w:rPr>
        <w:t>计价依据适用解释。我市建设工程计价依据</w:t>
      </w:r>
      <w:r>
        <w:rPr>
          <w:rFonts w:ascii="宋体" w:hAnsi="宋体" w:eastAsia="宋体" w:cs="宋体"/>
          <w:spacing w:val="9"/>
          <w:sz w:val="20"/>
          <w:szCs w:val="20"/>
        </w:rPr>
        <w:t>解释采取电话咨询、预约来访咨询和重点工程现场跟踪服务咨询三种方式：</w:t>
      </w:r>
    </w:p>
    <w:p>
      <w:pPr>
        <w:spacing w:line="279" w:lineRule="exact"/>
        <w:ind w:left="413"/>
        <w:rPr>
          <w:rFonts w:ascii="宋体" w:hAnsi="宋体" w:eastAsia="宋体" w:cs="宋体"/>
          <w:sz w:val="20"/>
          <w:szCs w:val="20"/>
        </w:rPr>
      </w:pPr>
      <w:r>
        <w:rPr>
          <w:rFonts w:ascii="宋体" w:hAnsi="宋体" w:eastAsia="宋体" w:cs="宋体"/>
          <w:b/>
          <w:bCs/>
          <w:spacing w:val="9"/>
          <w:position w:val="1"/>
          <w:sz w:val="20"/>
          <w:szCs w:val="20"/>
        </w:rPr>
        <w:t>（一）电话咨询</w:t>
      </w:r>
    </w:p>
    <w:p>
      <w:pPr>
        <w:spacing w:before="122" w:line="298" w:lineRule="auto"/>
        <w:ind w:left="1" w:right="141" w:firstLine="439"/>
        <w:rPr>
          <w:rFonts w:ascii="宋体" w:hAnsi="宋体" w:eastAsia="宋体" w:cs="宋体"/>
          <w:sz w:val="20"/>
          <w:szCs w:val="20"/>
        </w:rPr>
      </w:pPr>
      <w:r>
        <w:rPr>
          <w:rFonts w:ascii="宋体" w:hAnsi="宋体" w:eastAsia="宋体" w:cs="宋体"/>
          <w:spacing w:val="7"/>
          <w:sz w:val="20"/>
          <w:szCs w:val="20"/>
        </w:rPr>
        <w:t>1.咨询人应如实告知本人执业资格证书编号及注册单位，详</w:t>
      </w:r>
      <w:r>
        <w:rPr>
          <w:rFonts w:ascii="宋体" w:hAnsi="宋体" w:eastAsia="宋体" w:cs="宋体"/>
          <w:spacing w:val="6"/>
          <w:sz w:val="20"/>
          <w:szCs w:val="20"/>
        </w:rPr>
        <w:t>细描述对计价依据有疑惑的问题。</w:t>
      </w:r>
      <w:r>
        <w:rPr>
          <w:rFonts w:ascii="宋体" w:hAnsi="宋体" w:eastAsia="宋体" w:cs="宋体"/>
          <w:spacing w:val="9"/>
          <w:sz w:val="20"/>
          <w:szCs w:val="20"/>
        </w:rPr>
        <w:t>对建设主体各方有争议的问题，不适用电话咨询的方式。</w:t>
      </w:r>
    </w:p>
    <w:p>
      <w:pPr>
        <w:spacing w:before="153" w:line="278" w:lineRule="exact"/>
        <w:ind w:left="423"/>
        <w:rPr>
          <w:rFonts w:ascii="宋体" w:hAnsi="宋体" w:eastAsia="宋体" w:cs="宋体"/>
          <w:sz w:val="20"/>
          <w:szCs w:val="20"/>
        </w:rPr>
      </w:pPr>
      <w:r>
        <w:rPr>
          <w:rFonts w:ascii="宋体" w:hAnsi="宋体" w:eastAsia="宋体" w:cs="宋体"/>
          <w:spacing w:val="6"/>
          <w:position w:val="1"/>
          <w:sz w:val="20"/>
          <w:szCs w:val="20"/>
        </w:rPr>
        <w:t>2.电话咨询集中解释时间为每周五（工作日</w:t>
      </w:r>
      <w:r>
        <w:rPr>
          <w:rFonts w:ascii="宋体" w:hAnsi="宋体" w:eastAsia="宋体" w:cs="宋体"/>
          <w:spacing w:val="-40"/>
          <w:position w:val="1"/>
          <w:sz w:val="20"/>
          <w:szCs w:val="20"/>
        </w:rPr>
        <w:t xml:space="preserve"> </w:t>
      </w:r>
      <w:r>
        <w:rPr>
          <w:rFonts w:ascii="宋体" w:hAnsi="宋体" w:eastAsia="宋体" w:cs="宋体"/>
          <w:spacing w:val="-14"/>
          <w:position w:val="1"/>
          <w:sz w:val="20"/>
          <w:szCs w:val="20"/>
        </w:rPr>
        <w:t>），</w:t>
      </w:r>
      <w:r>
        <w:rPr>
          <w:rFonts w:ascii="宋体" w:hAnsi="宋体" w:eastAsia="宋体" w:cs="宋体"/>
          <w:spacing w:val="6"/>
          <w:position w:val="1"/>
          <w:sz w:val="20"/>
          <w:szCs w:val="20"/>
        </w:rPr>
        <w:t>咨询电话：0533-2303</w:t>
      </w:r>
      <w:r>
        <w:rPr>
          <w:rFonts w:ascii="宋体" w:hAnsi="宋体" w:eastAsia="宋体" w:cs="宋体"/>
          <w:spacing w:val="5"/>
          <w:position w:val="1"/>
          <w:sz w:val="20"/>
          <w:szCs w:val="20"/>
        </w:rPr>
        <w:t>671。</w:t>
      </w:r>
    </w:p>
    <w:p>
      <w:pPr>
        <w:spacing w:before="123" w:line="278" w:lineRule="exact"/>
        <w:ind w:left="413"/>
        <w:rPr>
          <w:rFonts w:ascii="宋体" w:hAnsi="宋体" w:eastAsia="宋体" w:cs="宋体"/>
          <w:sz w:val="20"/>
          <w:szCs w:val="20"/>
        </w:rPr>
      </w:pPr>
      <w:r>
        <w:rPr>
          <w:rFonts w:ascii="宋体" w:hAnsi="宋体" w:eastAsia="宋体" w:cs="宋体"/>
          <w:b/>
          <w:bCs/>
          <w:spacing w:val="9"/>
          <w:position w:val="1"/>
          <w:sz w:val="20"/>
          <w:szCs w:val="20"/>
        </w:rPr>
        <w:t>（二）预约来访咨询</w:t>
      </w:r>
    </w:p>
    <w:p>
      <w:pPr>
        <w:spacing w:before="124" w:line="345" w:lineRule="auto"/>
        <w:ind w:right="115" w:firstLine="441"/>
        <w:rPr>
          <w:rFonts w:ascii="宋体" w:hAnsi="宋体" w:eastAsia="宋体" w:cs="宋体"/>
          <w:sz w:val="20"/>
          <w:szCs w:val="20"/>
        </w:rPr>
      </w:pPr>
      <w:r>
        <w:rPr>
          <w:rFonts w:ascii="宋体" w:hAnsi="宋体" w:eastAsia="宋体" w:cs="宋体"/>
          <w:spacing w:val="3"/>
          <w:sz w:val="20"/>
          <w:szCs w:val="20"/>
        </w:rPr>
        <w:t>1.现场来访咨询采取提前预约方式，咨询</w:t>
      </w:r>
      <w:r>
        <w:rPr>
          <w:rFonts w:ascii="宋体" w:hAnsi="宋体" w:eastAsia="宋体" w:cs="宋体"/>
          <w:spacing w:val="2"/>
          <w:sz w:val="20"/>
          <w:szCs w:val="20"/>
        </w:rPr>
        <w:t>人需填报《淄博市建设工程计价依据解释申请表》(详</w:t>
      </w:r>
      <w:r>
        <w:rPr>
          <w:rFonts w:ascii="宋体" w:hAnsi="宋体" w:eastAsia="宋体" w:cs="宋体"/>
          <w:spacing w:val="14"/>
          <w:sz w:val="20"/>
          <w:szCs w:val="20"/>
        </w:rPr>
        <w:t>见附件，以下简称《申请表》</w:t>
      </w:r>
      <w:r>
        <w:rPr>
          <w:rFonts w:ascii="宋体" w:hAnsi="宋体" w:eastAsia="宋体" w:cs="宋体"/>
          <w:spacing w:val="-3"/>
          <w:sz w:val="20"/>
          <w:szCs w:val="20"/>
        </w:rPr>
        <w:t>），</w:t>
      </w:r>
      <w:r>
        <w:rPr>
          <w:rFonts w:ascii="宋体" w:hAnsi="宋体" w:eastAsia="宋体" w:cs="宋体"/>
          <w:spacing w:val="14"/>
          <w:sz w:val="20"/>
          <w:szCs w:val="20"/>
        </w:rPr>
        <w:t>《申请表》可在淄博市住房和城乡建设局</w:t>
      </w:r>
      <w:r>
        <w:rPr>
          <w:rFonts w:ascii="宋体" w:hAnsi="宋体" w:eastAsia="宋体" w:cs="宋体"/>
          <w:spacing w:val="13"/>
          <w:sz w:val="20"/>
          <w:szCs w:val="20"/>
        </w:rPr>
        <w:t>网站的“标准计价”</w:t>
      </w:r>
      <w:r>
        <w:rPr>
          <w:rFonts w:ascii="宋体" w:hAnsi="宋体" w:eastAsia="宋体" w:cs="宋体"/>
          <w:spacing w:val="10"/>
          <w:sz w:val="20"/>
          <w:szCs w:val="20"/>
        </w:rPr>
        <w:t>栏目下载。《申请表》（</w:t>
      </w:r>
      <w:r>
        <w:rPr>
          <w:rFonts w:ascii="宋体" w:hAnsi="宋体" w:eastAsia="宋体" w:cs="宋体"/>
          <w:sz w:val="20"/>
          <w:szCs w:val="20"/>
        </w:rPr>
        <w:t>Word</w:t>
      </w:r>
      <w:r>
        <w:rPr>
          <w:rFonts w:ascii="宋体" w:hAnsi="宋体" w:eastAsia="宋体" w:cs="宋体"/>
          <w:spacing w:val="-40"/>
          <w:sz w:val="20"/>
          <w:szCs w:val="20"/>
        </w:rPr>
        <w:t xml:space="preserve"> </w:t>
      </w:r>
      <w:r>
        <w:rPr>
          <w:rFonts w:ascii="宋体" w:hAnsi="宋体" w:eastAsia="宋体" w:cs="宋体"/>
          <w:spacing w:val="10"/>
          <w:sz w:val="20"/>
          <w:szCs w:val="20"/>
        </w:rPr>
        <w:t>版及加盖公章</w:t>
      </w:r>
      <w:r>
        <w:rPr>
          <w:rFonts w:ascii="宋体" w:hAnsi="宋体" w:eastAsia="宋体" w:cs="宋体"/>
          <w:spacing w:val="-41"/>
          <w:sz w:val="20"/>
          <w:szCs w:val="20"/>
        </w:rPr>
        <w:t xml:space="preserve"> </w:t>
      </w:r>
      <w:r>
        <w:rPr>
          <w:rFonts w:ascii="宋体" w:hAnsi="宋体" w:eastAsia="宋体" w:cs="宋体"/>
          <w:sz w:val="20"/>
          <w:szCs w:val="20"/>
        </w:rPr>
        <w:t>pdf</w:t>
      </w:r>
      <w:r>
        <w:rPr>
          <w:rFonts w:ascii="宋体" w:hAnsi="宋体" w:eastAsia="宋体" w:cs="宋体"/>
          <w:spacing w:val="-48"/>
          <w:sz w:val="20"/>
          <w:szCs w:val="20"/>
        </w:rPr>
        <w:t xml:space="preserve"> </w:t>
      </w:r>
      <w:r>
        <w:rPr>
          <w:rFonts w:ascii="宋体" w:hAnsi="宋体" w:eastAsia="宋体" w:cs="宋体"/>
          <w:spacing w:val="10"/>
          <w:sz w:val="20"/>
          <w:szCs w:val="20"/>
        </w:rPr>
        <w:t>扫描版）与咨询内容相关的工程资料</w:t>
      </w:r>
      <w:r>
        <w:rPr>
          <w:rFonts w:ascii="宋体" w:hAnsi="宋体" w:eastAsia="宋体" w:cs="宋体"/>
          <w:spacing w:val="9"/>
          <w:sz w:val="20"/>
          <w:szCs w:val="20"/>
        </w:rPr>
        <w:t>打包为一个</w:t>
      </w:r>
      <w:r>
        <w:rPr>
          <w:rFonts w:ascii="宋体" w:hAnsi="宋体" w:eastAsia="宋体" w:cs="宋体"/>
          <w:spacing w:val="12"/>
          <w:sz w:val="20"/>
          <w:szCs w:val="20"/>
        </w:rPr>
        <w:t>压缩文件，以“</w:t>
      </w:r>
      <w:r>
        <w:rPr>
          <w:rFonts w:ascii="宋体" w:hAnsi="宋体" w:eastAsia="宋体" w:cs="宋体"/>
          <w:sz w:val="20"/>
          <w:szCs w:val="20"/>
        </w:rPr>
        <w:t>xx</w:t>
      </w:r>
      <w:r>
        <w:rPr>
          <w:rFonts w:ascii="宋体" w:hAnsi="宋体" w:eastAsia="宋体" w:cs="宋体"/>
          <w:spacing w:val="-41"/>
          <w:sz w:val="20"/>
          <w:szCs w:val="20"/>
        </w:rPr>
        <w:t xml:space="preserve"> </w:t>
      </w:r>
      <w:r>
        <w:rPr>
          <w:rFonts w:ascii="宋体" w:hAnsi="宋体" w:eastAsia="宋体" w:cs="宋体"/>
          <w:spacing w:val="12"/>
          <w:sz w:val="20"/>
          <w:szCs w:val="20"/>
        </w:rPr>
        <w:t>计价依据解释申请+专业类别+联系人+</w:t>
      </w:r>
      <w:r>
        <w:rPr>
          <w:rFonts w:ascii="宋体" w:hAnsi="宋体" w:eastAsia="宋体" w:cs="宋体"/>
          <w:spacing w:val="11"/>
          <w:sz w:val="20"/>
          <w:szCs w:val="20"/>
        </w:rPr>
        <w:t>联系方式”命名发送至市建设工程造价</w:t>
      </w:r>
      <w:r>
        <w:rPr>
          <w:rFonts w:ascii="宋体" w:hAnsi="宋体" w:eastAsia="宋体" w:cs="宋体"/>
          <w:spacing w:val="-7"/>
          <w:sz w:val="20"/>
          <w:szCs w:val="20"/>
        </w:rPr>
        <w:t>机构邮箱：zbszjbzfwzxgczjk@zb.shandong.cn。</w:t>
      </w:r>
    </w:p>
    <w:p>
      <w:pPr>
        <w:spacing w:before="130" w:line="297" w:lineRule="auto"/>
        <w:ind w:left="2" w:right="218" w:firstLine="421"/>
        <w:rPr>
          <w:rFonts w:ascii="宋体" w:hAnsi="宋体" w:eastAsia="宋体" w:cs="宋体"/>
          <w:sz w:val="20"/>
          <w:szCs w:val="20"/>
        </w:rPr>
      </w:pPr>
      <w:r>
        <w:rPr>
          <w:rFonts w:ascii="宋体" w:hAnsi="宋体" w:eastAsia="宋体" w:cs="宋体"/>
          <w:spacing w:val="10"/>
          <w:sz w:val="20"/>
          <w:szCs w:val="20"/>
        </w:rPr>
        <w:t>2.市建设工程造价机构收到申请材料后按规定程序进行办理，电话通知咨询人现场来访的具</w:t>
      </w:r>
      <w:r>
        <w:rPr>
          <w:rFonts w:ascii="宋体" w:hAnsi="宋体" w:eastAsia="宋体" w:cs="宋体"/>
          <w:spacing w:val="9"/>
          <w:sz w:val="20"/>
          <w:szCs w:val="20"/>
        </w:rPr>
        <w:t>体时间。未通过预约程序的现场来访咨询不予解释。</w:t>
      </w:r>
    </w:p>
    <w:p>
      <w:pPr>
        <w:spacing w:before="156" w:line="333" w:lineRule="auto"/>
        <w:ind w:right="218" w:firstLine="427"/>
        <w:rPr>
          <w:rFonts w:ascii="宋体" w:hAnsi="宋体" w:eastAsia="宋体" w:cs="宋体"/>
          <w:sz w:val="20"/>
          <w:szCs w:val="20"/>
        </w:rPr>
      </w:pPr>
      <w:r>
        <w:rPr>
          <w:rFonts w:ascii="宋体" w:hAnsi="宋体" w:eastAsia="宋体" w:cs="宋体"/>
          <w:spacing w:val="9"/>
          <w:sz w:val="20"/>
          <w:szCs w:val="20"/>
        </w:rPr>
        <w:t>3.现场来访咨询时</w:t>
      </w:r>
      <w:r>
        <w:rPr>
          <w:rFonts w:ascii="宋体" w:hAnsi="宋体" w:eastAsia="宋体" w:cs="宋体"/>
          <w:spacing w:val="-53"/>
          <w:sz w:val="20"/>
          <w:szCs w:val="20"/>
        </w:rPr>
        <w:t xml:space="preserve"> </w:t>
      </w:r>
      <w:r>
        <w:rPr>
          <w:rFonts w:ascii="宋体" w:hAnsi="宋体" w:eastAsia="宋体" w:cs="宋体"/>
          <w:spacing w:val="9"/>
          <w:sz w:val="20"/>
          <w:szCs w:val="20"/>
        </w:rPr>
        <w:t>，咨询人需提交《申请表》。对具体工程造价计价活动适用计价依据有争</w:t>
      </w:r>
      <w:r>
        <w:rPr>
          <w:rFonts w:ascii="宋体" w:hAnsi="宋体" w:eastAsia="宋体" w:cs="宋体"/>
          <w:spacing w:val="11"/>
          <w:sz w:val="20"/>
          <w:szCs w:val="20"/>
        </w:rPr>
        <w:t>议的问题，争议的建设各方主体执业造价人员必须同</w:t>
      </w:r>
      <w:r>
        <w:rPr>
          <w:rFonts w:ascii="宋体" w:hAnsi="宋体" w:eastAsia="宋体" w:cs="宋体"/>
          <w:spacing w:val="10"/>
          <w:sz w:val="20"/>
          <w:szCs w:val="20"/>
        </w:rPr>
        <w:t>时到场，出示个人执业资格证书，并真实地</w:t>
      </w:r>
      <w:r>
        <w:rPr>
          <w:rFonts w:ascii="宋体" w:hAnsi="宋体" w:eastAsia="宋体" w:cs="宋体"/>
          <w:spacing w:val="11"/>
          <w:sz w:val="20"/>
          <w:szCs w:val="20"/>
        </w:rPr>
        <w:t>陈述争议的问题及各自的意见，出具施工合同、相关</w:t>
      </w:r>
      <w:r>
        <w:rPr>
          <w:rFonts w:ascii="宋体" w:hAnsi="宋体" w:eastAsia="宋体" w:cs="宋体"/>
          <w:spacing w:val="10"/>
          <w:sz w:val="20"/>
          <w:szCs w:val="20"/>
        </w:rPr>
        <w:t>图纸、签证等工程资料，不接受有争议的任</w:t>
      </w:r>
      <w:r>
        <w:rPr>
          <w:rFonts w:ascii="宋体" w:hAnsi="宋体" w:eastAsia="宋体" w:cs="宋体"/>
          <w:spacing w:val="8"/>
          <w:sz w:val="20"/>
          <w:szCs w:val="20"/>
        </w:rPr>
        <w:t>何一方单独咨询。</w:t>
      </w:r>
    </w:p>
    <w:p>
      <w:pPr>
        <w:spacing w:before="157" w:line="278" w:lineRule="exact"/>
        <w:ind w:left="413"/>
        <w:rPr>
          <w:rFonts w:ascii="宋体" w:hAnsi="宋体" w:eastAsia="宋体" w:cs="宋体"/>
          <w:sz w:val="20"/>
          <w:szCs w:val="20"/>
        </w:rPr>
      </w:pPr>
      <w:r>
        <w:rPr>
          <w:rFonts w:ascii="宋体" w:hAnsi="宋体" w:eastAsia="宋体" w:cs="宋体"/>
          <w:spacing w:val="10"/>
          <w:position w:val="1"/>
          <w:sz w:val="20"/>
          <w:szCs w:val="20"/>
        </w:rPr>
        <w:t>（三）重点工程现场跟踪服务咨询</w:t>
      </w:r>
    </w:p>
    <w:p>
      <w:pPr>
        <w:spacing w:before="123" w:line="276" w:lineRule="exact"/>
        <w:ind w:left="423"/>
        <w:rPr>
          <w:rFonts w:ascii="宋体" w:hAnsi="宋体" w:eastAsia="宋体" w:cs="宋体"/>
          <w:sz w:val="20"/>
          <w:szCs w:val="20"/>
        </w:rPr>
      </w:pPr>
      <w:r>
        <w:rPr>
          <w:rFonts w:ascii="宋体" w:hAnsi="宋体" w:eastAsia="宋体" w:cs="宋体"/>
          <w:spacing w:val="9"/>
          <w:position w:val="1"/>
          <w:sz w:val="20"/>
          <w:szCs w:val="20"/>
        </w:rPr>
        <w:t>发承包双方应填写《申请表》</w:t>
      </w:r>
      <w:r>
        <w:rPr>
          <w:rFonts w:ascii="宋体" w:hAnsi="宋体" w:eastAsia="宋体" w:cs="宋体"/>
          <w:spacing w:val="-41"/>
          <w:position w:val="1"/>
          <w:sz w:val="20"/>
          <w:szCs w:val="20"/>
        </w:rPr>
        <w:t xml:space="preserve"> </w:t>
      </w:r>
      <w:r>
        <w:rPr>
          <w:rFonts w:ascii="宋体" w:hAnsi="宋体" w:eastAsia="宋体" w:cs="宋体"/>
          <w:spacing w:val="9"/>
          <w:position w:val="1"/>
          <w:sz w:val="20"/>
          <w:szCs w:val="20"/>
        </w:rPr>
        <w:t>，计价解释人员可根据发承包双方的申请勘查施工现场后集中</w:t>
      </w:r>
    </w:p>
    <w:p>
      <w:pPr>
        <w:spacing w:line="276" w:lineRule="exact"/>
        <w:rPr>
          <w:rFonts w:ascii="宋体" w:hAnsi="宋体" w:eastAsia="宋体" w:cs="宋体"/>
          <w:sz w:val="20"/>
          <w:szCs w:val="20"/>
        </w:rPr>
        <w:sectPr>
          <w:footerReference r:id="rId313" w:type="default"/>
          <w:pgSz w:w="11900" w:h="16830"/>
          <w:pgMar w:top="400" w:right="1419" w:bottom="1184" w:left="1417" w:header="0" w:footer="869" w:gutter="0"/>
        </w:sect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65" w:line="217" w:lineRule="auto"/>
        <w:ind w:left="1"/>
        <w:rPr>
          <w:rFonts w:ascii="宋体" w:hAnsi="宋体" w:eastAsia="宋体" w:cs="宋体"/>
          <w:sz w:val="20"/>
          <w:szCs w:val="20"/>
        </w:rPr>
      </w:pPr>
      <w:r>
        <w:rPr>
          <w:rFonts w:ascii="宋体" w:hAnsi="宋体" w:eastAsia="宋体" w:cs="宋体"/>
          <w:spacing w:val="5"/>
          <w:sz w:val="20"/>
          <w:szCs w:val="20"/>
        </w:rPr>
        <w:t>解答。</w:t>
      </w:r>
    </w:p>
    <w:p>
      <w:pPr>
        <w:spacing w:before="165" w:line="216" w:lineRule="auto"/>
        <w:ind w:left="427"/>
        <w:rPr>
          <w:rFonts w:ascii="宋体" w:hAnsi="宋体" w:eastAsia="宋体" w:cs="宋体"/>
          <w:sz w:val="20"/>
          <w:szCs w:val="20"/>
        </w:rPr>
      </w:pPr>
      <w:bookmarkStart w:id="235" w:name="bookmark201"/>
      <w:bookmarkEnd w:id="235"/>
      <w:r>
        <w:rPr>
          <w:rFonts w:ascii="宋体" w:hAnsi="宋体" w:eastAsia="宋体" w:cs="宋体"/>
          <w:b/>
          <w:bCs/>
          <w:spacing w:val="6"/>
          <w:sz w:val="20"/>
          <w:szCs w:val="20"/>
        </w:rPr>
        <w:t>三、基本流程</w:t>
      </w:r>
    </w:p>
    <w:p>
      <w:pPr>
        <w:spacing w:before="158" w:line="333" w:lineRule="auto"/>
        <w:ind w:left="3" w:firstLine="437"/>
        <w:rPr>
          <w:rFonts w:ascii="宋体" w:hAnsi="宋体" w:eastAsia="宋体" w:cs="宋体"/>
          <w:sz w:val="20"/>
          <w:szCs w:val="20"/>
        </w:rPr>
      </w:pPr>
      <w:r>
        <w:rPr>
          <w:rFonts w:ascii="宋体" w:hAnsi="宋体" w:eastAsia="宋体" w:cs="宋体"/>
          <w:spacing w:val="6"/>
          <w:sz w:val="20"/>
          <w:szCs w:val="20"/>
        </w:rPr>
        <w:t>1.市建设工程造价机构收到建设工程计价依据解释申请及工程资料后，如相关内容</w:t>
      </w:r>
      <w:r>
        <w:rPr>
          <w:rFonts w:ascii="宋体" w:hAnsi="宋体" w:eastAsia="宋体" w:cs="宋体"/>
          <w:spacing w:val="5"/>
          <w:sz w:val="20"/>
          <w:szCs w:val="20"/>
        </w:rPr>
        <w:t>完整，5</w:t>
      </w:r>
      <w:r>
        <w:rPr>
          <w:rFonts w:ascii="宋体" w:hAnsi="宋体" w:eastAsia="宋体" w:cs="宋体"/>
          <w:spacing w:val="-42"/>
          <w:sz w:val="20"/>
          <w:szCs w:val="20"/>
        </w:rPr>
        <w:t xml:space="preserve"> </w:t>
      </w:r>
      <w:r>
        <w:rPr>
          <w:rFonts w:ascii="宋体" w:hAnsi="宋体" w:eastAsia="宋体" w:cs="宋体"/>
          <w:spacing w:val="5"/>
          <w:sz w:val="20"/>
          <w:szCs w:val="20"/>
        </w:rPr>
        <w:t>个</w:t>
      </w:r>
      <w:r>
        <w:rPr>
          <w:rFonts w:ascii="宋体" w:hAnsi="宋体" w:eastAsia="宋体" w:cs="宋体"/>
          <w:spacing w:val="9"/>
          <w:sz w:val="20"/>
          <w:szCs w:val="20"/>
        </w:rPr>
        <w:t>工作日内完成申请解释问题的梳理及专家工作组的组建，10</w:t>
      </w:r>
      <w:r>
        <w:rPr>
          <w:rFonts w:ascii="宋体" w:hAnsi="宋体" w:eastAsia="宋体" w:cs="宋体"/>
          <w:spacing w:val="-44"/>
          <w:sz w:val="20"/>
          <w:szCs w:val="20"/>
        </w:rPr>
        <w:t xml:space="preserve"> </w:t>
      </w:r>
      <w:r>
        <w:rPr>
          <w:rFonts w:ascii="宋体" w:hAnsi="宋体" w:eastAsia="宋体" w:cs="宋体"/>
          <w:spacing w:val="9"/>
          <w:sz w:val="20"/>
          <w:szCs w:val="20"/>
        </w:rPr>
        <w:t>个工作日内作出解释；如不完整，通</w:t>
      </w:r>
      <w:r>
        <w:rPr>
          <w:rFonts w:ascii="宋体" w:hAnsi="宋体" w:eastAsia="宋体" w:cs="宋体"/>
          <w:spacing w:val="11"/>
          <w:sz w:val="20"/>
          <w:szCs w:val="20"/>
        </w:rPr>
        <w:t>知咨询人补充说明，补充说明时间不计入解释</w:t>
      </w:r>
      <w:r>
        <w:rPr>
          <w:rFonts w:ascii="宋体" w:hAnsi="宋体" w:eastAsia="宋体" w:cs="宋体"/>
          <w:spacing w:val="10"/>
          <w:sz w:val="20"/>
          <w:szCs w:val="20"/>
        </w:rPr>
        <w:t>时限。遇特殊复杂性问题时，可延期解释并告知咨</w:t>
      </w:r>
      <w:r>
        <w:rPr>
          <w:rFonts w:ascii="宋体" w:hAnsi="宋体" w:eastAsia="宋体" w:cs="宋体"/>
          <w:spacing w:val="8"/>
          <w:sz w:val="20"/>
          <w:szCs w:val="20"/>
        </w:rPr>
        <w:t>询人延期理由和解释时间。</w:t>
      </w:r>
    </w:p>
    <w:p>
      <w:pPr>
        <w:spacing w:before="159" w:line="340" w:lineRule="auto"/>
        <w:ind w:right="2" w:firstLine="424"/>
        <w:rPr>
          <w:rFonts w:ascii="宋体" w:hAnsi="宋体" w:eastAsia="宋体" w:cs="宋体"/>
          <w:sz w:val="20"/>
          <w:szCs w:val="20"/>
        </w:rPr>
      </w:pPr>
      <w:r>
        <w:rPr>
          <w:rFonts w:ascii="宋体" w:hAnsi="宋体" w:eastAsia="宋体" w:cs="宋体"/>
          <w:spacing w:val="8"/>
          <w:sz w:val="20"/>
          <w:szCs w:val="20"/>
        </w:rPr>
        <w:t>2.工程中遇到新材料、新技术、新工艺，现行计价依据</w:t>
      </w:r>
      <w:r>
        <w:rPr>
          <w:rFonts w:ascii="宋体" w:hAnsi="宋体" w:eastAsia="宋体" w:cs="宋体"/>
          <w:spacing w:val="7"/>
          <w:sz w:val="20"/>
          <w:szCs w:val="20"/>
        </w:rPr>
        <w:t>中没有适用及可参考的子目,发承包双</w:t>
      </w:r>
      <w:r>
        <w:rPr>
          <w:rFonts w:ascii="宋体" w:hAnsi="宋体" w:eastAsia="宋体" w:cs="宋体"/>
          <w:spacing w:val="6"/>
          <w:sz w:val="20"/>
          <w:szCs w:val="20"/>
        </w:rPr>
        <w:t>方应在施工前</w:t>
      </w:r>
      <w:r>
        <w:rPr>
          <w:rFonts w:ascii="宋体" w:hAnsi="宋体" w:eastAsia="宋体" w:cs="宋体"/>
          <w:spacing w:val="-20"/>
          <w:sz w:val="20"/>
          <w:szCs w:val="20"/>
        </w:rPr>
        <w:t xml:space="preserve"> </w:t>
      </w:r>
      <w:r>
        <w:rPr>
          <w:rFonts w:ascii="宋体" w:hAnsi="宋体" w:eastAsia="宋体" w:cs="宋体"/>
          <w:spacing w:val="6"/>
          <w:sz w:val="20"/>
          <w:szCs w:val="20"/>
        </w:rPr>
        <w:t>10 日到市建设工程造价机构登记，并在施工过程中发《邀请函》及时通知市建设工</w:t>
      </w:r>
      <w:r>
        <w:rPr>
          <w:rFonts w:ascii="宋体" w:hAnsi="宋体" w:eastAsia="宋体" w:cs="宋体"/>
          <w:spacing w:val="11"/>
          <w:sz w:val="20"/>
          <w:szCs w:val="20"/>
        </w:rPr>
        <w:t>程造价机构进行现场勘查。发承包双方要根据施工现场</w:t>
      </w:r>
      <w:r>
        <w:rPr>
          <w:rFonts w:ascii="宋体" w:hAnsi="宋体" w:eastAsia="宋体" w:cs="宋体"/>
          <w:spacing w:val="10"/>
          <w:sz w:val="20"/>
          <w:szCs w:val="20"/>
        </w:rPr>
        <w:t>工艺及实操情况，记录实际数据，编制一</w:t>
      </w:r>
      <w:r>
        <w:rPr>
          <w:rFonts w:ascii="宋体" w:hAnsi="宋体" w:eastAsia="宋体" w:cs="宋体"/>
          <w:spacing w:val="11"/>
          <w:sz w:val="20"/>
          <w:szCs w:val="20"/>
        </w:rPr>
        <w:t>次性补充计价依据，连同相关测算原始资料报市建设工</w:t>
      </w:r>
      <w:r>
        <w:rPr>
          <w:rFonts w:ascii="宋体" w:hAnsi="宋体" w:eastAsia="宋体" w:cs="宋体"/>
          <w:spacing w:val="10"/>
          <w:sz w:val="20"/>
          <w:szCs w:val="20"/>
        </w:rPr>
        <w:t>程造价机构。一次性补充计价依据经市建</w:t>
      </w:r>
      <w:r>
        <w:rPr>
          <w:rFonts w:ascii="宋体" w:hAnsi="宋体" w:eastAsia="宋体" w:cs="宋体"/>
          <w:spacing w:val="9"/>
          <w:sz w:val="20"/>
          <w:szCs w:val="20"/>
        </w:rPr>
        <w:t>设工程造价机构审核后，按程序审批。</w:t>
      </w:r>
    </w:p>
    <w:p>
      <w:pPr>
        <w:spacing w:before="157" w:line="296" w:lineRule="auto"/>
        <w:ind w:left="20" w:right="2" w:firstLine="407"/>
        <w:rPr>
          <w:rFonts w:ascii="宋体" w:hAnsi="宋体" w:eastAsia="宋体" w:cs="宋体"/>
          <w:sz w:val="20"/>
          <w:szCs w:val="20"/>
        </w:rPr>
      </w:pPr>
      <w:r>
        <w:rPr>
          <w:rFonts w:ascii="宋体" w:hAnsi="宋体" w:eastAsia="宋体" w:cs="宋体"/>
          <w:spacing w:val="10"/>
          <w:sz w:val="20"/>
          <w:szCs w:val="20"/>
        </w:rPr>
        <w:t>3.对市建设工程造价机构作出的计价依据解释，存在争议的各方建设主体仍达不成一致意见</w:t>
      </w:r>
      <w:r>
        <w:rPr>
          <w:rFonts w:ascii="宋体" w:hAnsi="宋体" w:eastAsia="宋体" w:cs="宋体"/>
          <w:spacing w:val="9"/>
          <w:sz w:val="20"/>
          <w:szCs w:val="20"/>
        </w:rPr>
        <w:t>的，可以转报省建设工程造价机构就同一个问题再次解释或根据合同约定提请仲裁或诉讼。</w:t>
      </w:r>
    </w:p>
    <w:p>
      <w:pPr>
        <w:spacing w:before="161" w:line="222" w:lineRule="auto"/>
        <w:ind w:left="445"/>
        <w:rPr>
          <w:rFonts w:ascii="宋体" w:hAnsi="宋体" w:eastAsia="宋体" w:cs="宋体"/>
          <w:sz w:val="20"/>
          <w:szCs w:val="20"/>
        </w:rPr>
      </w:pPr>
      <w:r>
        <w:rPr>
          <w:rFonts w:ascii="宋体" w:hAnsi="宋体" w:eastAsia="宋体" w:cs="宋体"/>
          <w:b/>
          <w:bCs/>
          <w:spacing w:val="3"/>
          <w:sz w:val="20"/>
          <w:szCs w:val="20"/>
        </w:rPr>
        <w:t>四、其他事项</w:t>
      </w:r>
    </w:p>
    <w:p>
      <w:pPr>
        <w:spacing w:before="156" w:line="297" w:lineRule="auto"/>
        <w:ind w:left="2" w:right="2" w:firstLine="439"/>
        <w:rPr>
          <w:rFonts w:ascii="宋体" w:hAnsi="宋体" w:eastAsia="宋体" w:cs="宋体"/>
          <w:sz w:val="20"/>
          <w:szCs w:val="20"/>
        </w:rPr>
      </w:pPr>
      <w:r>
        <w:rPr>
          <w:rFonts w:ascii="宋体" w:hAnsi="宋体" w:eastAsia="宋体" w:cs="宋体"/>
          <w:spacing w:val="9"/>
          <w:sz w:val="20"/>
          <w:szCs w:val="20"/>
        </w:rPr>
        <w:t>1.淄博市住房和城乡建设保障服务中心具体负责我市建设工程计价依据解</w:t>
      </w:r>
      <w:r>
        <w:rPr>
          <w:rFonts w:ascii="宋体" w:hAnsi="宋体" w:eastAsia="宋体" w:cs="宋体"/>
          <w:spacing w:val="8"/>
          <w:sz w:val="20"/>
          <w:szCs w:val="20"/>
        </w:rPr>
        <w:t>释工作</w:t>
      </w:r>
      <w:r>
        <w:rPr>
          <w:rFonts w:ascii="宋体" w:hAnsi="宋体" w:eastAsia="宋体" w:cs="宋体"/>
          <w:spacing w:val="-59"/>
          <w:sz w:val="20"/>
          <w:szCs w:val="20"/>
        </w:rPr>
        <w:t xml:space="preserve"> </w:t>
      </w:r>
      <w:r>
        <w:rPr>
          <w:rFonts w:ascii="宋体" w:hAnsi="宋体" w:eastAsia="宋体" w:cs="宋体"/>
          <w:spacing w:val="8"/>
          <w:sz w:val="20"/>
          <w:szCs w:val="20"/>
        </w:rPr>
        <w:t>，由淄博市</w:t>
      </w:r>
      <w:r>
        <w:rPr>
          <w:rFonts w:ascii="宋体" w:hAnsi="宋体" w:eastAsia="宋体" w:cs="宋体"/>
          <w:spacing w:val="9"/>
          <w:sz w:val="20"/>
          <w:szCs w:val="20"/>
        </w:rPr>
        <w:t>住房和城乡建设保障服务中心组建的专家工作组具体组织实施。</w:t>
      </w:r>
    </w:p>
    <w:p>
      <w:pPr>
        <w:spacing w:before="156" w:line="278" w:lineRule="exact"/>
        <w:ind w:left="424"/>
        <w:rPr>
          <w:rFonts w:ascii="宋体" w:hAnsi="宋体" w:eastAsia="宋体" w:cs="宋体"/>
          <w:sz w:val="20"/>
          <w:szCs w:val="20"/>
        </w:rPr>
      </w:pPr>
      <w:r>
        <w:rPr>
          <w:rFonts w:ascii="宋体" w:hAnsi="宋体" w:eastAsia="宋体" w:cs="宋体"/>
          <w:spacing w:val="6"/>
          <w:position w:val="1"/>
          <w:sz w:val="20"/>
          <w:szCs w:val="20"/>
        </w:rPr>
        <w:t>2.咨询人对所提交资料的真实性、完整性负责。</w:t>
      </w:r>
    </w:p>
    <w:p>
      <w:pPr>
        <w:spacing w:before="123" w:line="368" w:lineRule="auto"/>
        <w:ind w:left="3" w:firstLine="419"/>
        <w:jc w:val="both"/>
        <w:rPr>
          <w:rFonts w:ascii="宋体" w:hAnsi="宋体" w:eastAsia="宋体" w:cs="宋体"/>
          <w:sz w:val="20"/>
          <w:szCs w:val="20"/>
        </w:rPr>
      </w:pPr>
      <w:r>
        <w:rPr>
          <w:rFonts w:ascii="宋体" w:hAnsi="宋体" w:eastAsia="宋体" w:cs="宋体"/>
          <w:spacing w:val="5"/>
          <w:sz w:val="20"/>
          <w:szCs w:val="20"/>
        </w:rPr>
        <w:t>本通知自</w:t>
      </w:r>
      <w:r>
        <w:rPr>
          <w:rFonts w:ascii="宋体" w:hAnsi="宋体" w:eastAsia="宋体" w:cs="宋体"/>
          <w:spacing w:val="-39"/>
          <w:sz w:val="20"/>
          <w:szCs w:val="20"/>
        </w:rPr>
        <w:t xml:space="preserve"> </w:t>
      </w:r>
      <w:r>
        <w:rPr>
          <w:rFonts w:ascii="宋体" w:hAnsi="宋体" w:eastAsia="宋体" w:cs="宋体"/>
          <w:spacing w:val="5"/>
          <w:sz w:val="20"/>
          <w:szCs w:val="20"/>
        </w:rPr>
        <w:t>2025</w:t>
      </w:r>
      <w:r>
        <w:rPr>
          <w:rFonts w:ascii="宋体" w:hAnsi="宋体" w:eastAsia="宋体" w:cs="宋体"/>
          <w:spacing w:val="-41"/>
          <w:sz w:val="20"/>
          <w:szCs w:val="20"/>
        </w:rPr>
        <w:t xml:space="preserve"> </w:t>
      </w:r>
      <w:r>
        <w:rPr>
          <w:rFonts w:ascii="宋体" w:hAnsi="宋体" w:eastAsia="宋体" w:cs="宋体"/>
          <w:spacing w:val="5"/>
          <w:sz w:val="20"/>
          <w:szCs w:val="20"/>
        </w:rPr>
        <w:t>年</w:t>
      </w:r>
      <w:r>
        <w:rPr>
          <w:rFonts w:ascii="宋体" w:hAnsi="宋体" w:eastAsia="宋体" w:cs="宋体"/>
          <w:spacing w:val="-39"/>
          <w:sz w:val="20"/>
          <w:szCs w:val="20"/>
        </w:rPr>
        <w:t xml:space="preserve"> </w:t>
      </w:r>
      <w:r>
        <w:rPr>
          <w:rFonts w:ascii="宋体" w:hAnsi="宋体" w:eastAsia="宋体" w:cs="宋体"/>
          <w:spacing w:val="5"/>
          <w:sz w:val="20"/>
          <w:szCs w:val="20"/>
        </w:rPr>
        <w:t>2</w:t>
      </w:r>
      <w:r>
        <w:rPr>
          <w:rFonts w:ascii="宋体" w:hAnsi="宋体" w:eastAsia="宋体" w:cs="宋体"/>
          <w:spacing w:val="-41"/>
          <w:sz w:val="20"/>
          <w:szCs w:val="20"/>
        </w:rPr>
        <w:t xml:space="preserve"> </w:t>
      </w:r>
      <w:r>
        <w:rPr>
          <w:rFonts w:ascii="宋体" w:hAnsi="宋体" w:eastAsia="宋体" w:cs="宋体"/>
          <w:spacing w:val="5"/>
          <w:sz w:val="20"/>
          <w:szCs w:val="20"/>
        </w:rPr>
        <w:t>月</w:t>
      </w:r>
      <w:r>
        <w:rPr>
          <w:rFonts w:ascii="宋体" w:hAnsi="宋体" w:eastAsia="宋体" w:cs="宋体"/>
          <w:spacing w:val="-22"/>
          <w:sz w:val="20"/>
          <w:szCs w:val="20"/>
        </w:rPr>
        <w:t xml:space="preserve"> </w:t>
      </w:r>
      <w:r>
        <w:rPr>
          <w:rFonts w:ascii="宋体" w:hAnsi="宋体" w:eastAsia="宋体" w:cs="宋体"/>
          <w:spacing w:val="5"/>
          <w:sz w:val="20"/>
          <w:szCs w:val="20"/>
        </w:rPr>
        <w:t>1 日起施行。原《淄博市住房和城乡建设局关于转</w:t>
      </w:r>
      <w:r>
        <w:rPr>
          <w:rFonts w:ascii="宋体" w:hAnsi="宋体" w:eastAsia="宋体" w:cs="宋体"/>
          <w:spacing w:val="4"/>
          <w:sz w:val="20"/>
          <w:szCs w:val="20"/>
        </w:rPr>
        <w:t>发山东省住房和城乡</w:t>
      </w:r>
      <w:r>
        <w:rPr>
          <w:rFonts w:ascii="宋体" w:hAnsi="宋体" w:eastAsia="宋体" w:cs="宋体"/>
          <w:spacing w:val="10"/>
          <w:sz w:val="20"/>
          <w:szCs w:val="20"/>
        </w:rPr>
        <w:t>建设厅&lt;关于印发《山东省建设工程计价依据解释工作办法》的通知&gt;的通知》（淄建</w:t>
      </w:r>
      <w:r>
        <w:rPr>
          <w:rFonts w:ascii="宋体" w:hAnsi="宋体" w:eastAsia="宋体" w:cs="宋体"/>
          <w:spacing w:val="9"/>
          <w:sz w:val="20"/>
          <w:szCs w:val="20"/>
        </w:rPr>
        <w:t>发〔2020〕</w:t>
      </w:r>
      <w:r>
        <w:rPr>
          <w:rFonts w:ascii="宋体" w:hAnsi="宋体" w:eastAsia="宋体" w:cs="宋体"/>
          <w:sz w:val="20"/>
          <w:szCs w:val="20"/>
        </w:rPr>
        <w:t xml:space="preserve"> </w:t>
      </w:r>
      <w:r>
        <w:rPr>
          <w:rFonts w:ascii="宋体" w:hAnsi="宋体" w:eastAsia="宋体" w:cs="宋体"/>
          <w:spacing w:val="8"/>
          <w:sz w:val="20"/>
          <w:szCs w:val="20"/>
        </w:rPr>
        <w:t>140</w:t>
      </w:r>
      <w:r>
        <w:rPr>
          <w:rFonts w:ascii="宋体" w:hAnsi="宋体" w:eastAsia="宋体" w:cs="宋体"/>
          <w:spacing w:val="-31"/>
          <w:sz w:val="20"/>
          <w:szCs w:val="20"/>
        </w:rPr>
        <w:t xml:space="preserve"> </w:t>
      </w:r>
      <w:r>
        <w:rPr>
          <w:rFonts w:ascii="宋体" w:hAnsi="宋体" w:eastAsia="宋体" w:cs="宋体"/>
          <w:spacing w:val="8"/>
          <w:sz w:val="20"/>
          <w:szCs w:val="20"/>
        </w:rPr>
        <w:t>号）的有关规定与本通知不一致的，以本通知为准。</w:t>
      </w:r>
    </w:p>
    <w:p>
      <w:pPr>
        <w:spacing w:line="335" w:lineRule="auto"/>
        <w:rPr>
          <w:rFonts w:ascii="Arial"/>
          <w:sz w:val="21"/>
        </w:rPr>
      </w:pPr>
    </w:p>
    <w:p>
      <w:pPr>
        <w:spacing w:before="65" w:line="277" w:lineRule="exact"/>
        <w:ind w:left="436"/>
        <w:rPr>
          <w:rFonts w:ascii="宋体" w:hAnsi="宋体" w:eastAsia="宋体" w:cs="宋体"/>
          <w:sz w:val="20"/>
          <w:szCs w:val="20"/>
        </w:rPr>
      </w:pPr>
      <w:r>
        <w:rPr>
          <w:rFonts w:ascii="宋体" w:hAnsi="宋体" w:eastAsia="宋体" w:cs="宋体"/>
          <w:spacing w:val="9"/>
          <w:position w:val="1"/>
          <w:sz w:val="20"/>
          <w:szCs w:val="20"/>
        </w:rPr>
        <w:t>附件：淄博市建设工程计价依据解释申请表</w:t>
      </w: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spacing w:before="65" w:line="222" w:lineRule="auto"/>
        <w:jc w:val="right"/>
        <w:rPr>
          <w:rFonts w:ascii="宋体" w:hAnsi="宋体" w:eastAsia="宋体" w:cs="宋体"/>
          <w:sz w:val="20"/>
          <w:szCs w:val="20"/>
        </w:rPr>
      </w:pPr>
      <w:r>
        <w:rPr>
          <w:rFonts w:ascii="宋体" w:hAnsi="宋体" w:eastAsia="宋体" w:cs="宋体"/>
          <w:spacing w:val="8"/>
          <w:sz w:val="20"/>
          <w:szCs w:val="20"/>
        </w:rPr>
        <w:t>淄博市住房和城乡建设局</w:t>
      </w:r>
    </w:p>
    <w:p>
      <w:pPr>
        <w:spacing w:before="157" w:line="278" w:lineRule="exact"/>
        <w:ind w:left="6979"/>
        <w:rPr>
          <w:rFonts w:ascii="宋体" w:hAnsi="宋体" w:eastAsia="宋体" w:cs="宋体"/>
          <w:sz w:val="20"/>
          <w:szCs w:val="20"/>
        </w:rPr>
      </w:pPr>
      <w:r>
        <w:rPr>
          <w:rFonts w:ascii="宋体" w:hAnsi="宋体" w:eastAsia="宋体" w:cs="宋体"/>
          <w:spacing w:val="-2"/>
          <w:position w:val="1"/>
          <w:sz w:val="20"/>
          <w:szCs w:val="20"/>
        </w:rPr>
        <w:t>2025</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4"/>
          <w:position w:val="1"/>
          <w:sz w:val="20"/>
          <w:szCs w:val="20"/>
        </w:rPr>
        <w:t xml:space="preserve"> </w:t>
      </w:r>
      <w:r>
        <w:rPr>
          <w:rFonts w:ascii="宋体" w:hAnsi="宋体" w:eastAsia="宋体" w:cs="宋体"/>
          <w:spacing w:val="-2"/>
          <w:position w:val="1"/>
          <w:sz w:val="20"/>
          <w:szCs w:val="20"/>
        </w:rPr>
        <w:t>1</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5"/>
          <w:position w:val="1"/>
          <w:sz w:val="20"/>
          <w:szCs w:val="20"/>
        </w:rPr>
        <w:t xml:space="preserve"> </w:t>
      </w:r>
      <w:r>
        <w:rPr>
          <w:rFonts w:ascii="宋体" w:hAnsi="宋体" w:eastAsia="宋体" w:cs="宋体"/>
          <w:spacing w:val="-2"/>
          <w:position w:val="1"/>
          <w:sz w:val="20"/>
          <w:szCs w:val="20"/>
        </w:rPr>
        <w:t>15 日</w:t>
      </w:r>
    </w:p>
    <w:p>
      <w:pPr>
        <w:spacing w:line="278" w:lineRule="exact"/>
        <w:rPr>
          <w:rFonts w:ascii="宋体" w:hAnsi="宋体" w:eastAsia="宋体" w:cs="宋体"/>
          <w:sz w:val="20"/>
          <w:szCs w:val="20"/>
        </w:rPr>
        <w:sectPr>
          <w:footerReference r:id="rId314" w:type="default"/>
          <w:pgSz w:w="11900" w:h="16830"/>
          <w:pgMar w:top="400" w:right="1635" w:bottom="1184" w:left="1416" w:header="0" w:footer="869"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505"/>
        <w:rPr>
          <w:rFonts w:ascii="黑体" w:hAnsi="黑体" w:eastAsia="黑体" w:cs="黑体"/>
          <w:sz w:val="20"/>
          <w:szCs w:val="20"/>
        </w:rPr>
      </w:pPr>
      <w:r>
        <w:rPr>
          <w:rFonts w:ascii="黑体" w:hAnsi="黑体" w:eastAsia="黑体" w:cs="黑体"/>
          <w:spacing w:val="-1"/>
          <w:sz w:val="20"/>
          <w:szCs w:val="20"/>
        </w:rPr>
        <w:t>附件</w:t>
      </w:r>
    </w:p>
    <w:p>
      <w:pPr>
        <w:spacing w:before="183" w:line="235" w:lineRule="auto"/>
        <w:ind w:left="2208"/>
        <w:rPr>
          <w:rFonts w:ascii="方正小标宋简体" w:hAnsi="方正小标宋简体" w:eastAsia="方正小标宋简体" w:cs="方正小标宋简体"/>
          <w:sz w:val="30"/>
          <w:szCs w:val="30"/>
        </w:rPr>
      </w:pPr>
      <w:bookmarkStart w:id="236" w:name="bookmark202"/>
      <w:bookmarkEnd w:id="236"/>
      <w:r>
        <w:rPr>
          <w:rFonts w:ascii="方正小标宋简体" w:hAnsi="方正小标宋简体" w:eastAsia="方正小标宋简体" w:cs="方正小标宋简体"/>
          <w:spacing w:val="-1"/>
          <w:sz w:val="30"/>
          <w:szCs w:val="30"/>
        </w:rPr>
        <w:t>淄博市建设工程计价依据解释申请表</w:t>
      </w:r>
    </w:p>
    <w:p>
      <w:pPr>
        <w:spacing w:before="207" w:line="277" w:lineRule="exact"/>
        <w:ind w:left="6085"/>
        <w:rPr>
          <w:rFonts w:ascii="宋体" w:hAnsi="宋体" w:eastAsia="宋体" w:cs="宋体"/>
          <w:sz w:val="20"/>
          <w:szCs w:val="20"/>
        </w:rPr>
      </w:pPr>
      <w:r>
        <w:rPr>
          <w:rFonts w:ascii="宋体" w:hAnsi="宋体" w:eastAsia="宋体" w:cs="宋体"/>
          <w:spacing w:val="-5"/>
          <w:position w:val="1"/>
          <w:sz w:val="20"/>
          <w:szCs w:val="20"/>
        </w:rPr>
        <w:t>日期：</w:t>
      </w:r>
      <w:r>
        <w:rPr>
          <w:rFonts w:ascii="宋体" w:hAnsi="宋体" w:eastAsia="宋体" w:cs="宋体"/>
          <w:spacing w:val="9"/>
          <w:position w:val="1"/>
          <w:sz w:val="20"/>
          <w:szCs w:val="20"/>
        </w:rPr>
        <w:t xml:space="preserve">    </w:t>
      </w:r>
      <w:r>
        <w:rPr>
          <w:rFonts w:ascii="宋体" w:hAnsi="宋体" w:eastAsia="宋体" w:cs="宋体"/>
          <w:spacing w:val="-5"/>
          <w:position w:val="1"/>
          <w:sz w:val="20"/>
          <w:szCs w:val="20"/>
        </w:rPr>
        <w:t>年</w:t>
      </w:r>
      <w:r>
        <w:rPr>
          <w:rFonts w:ascii="宋体" w:hAnsi="宋体" w:eastAsia="宋体" w:cs="宋体"/>
          <w:spacing w:val="9"/>
          <w:position w:val="1"/>
          <w:sz w:val="20"/>
          <w:szCs w:val="20"/>
        </w:rPr>
        <w:t xml:space="preserve">   </w:t>
      </w:r>
      <w:r>
        <w:rPr>
          <w:rFonts w:ascii="宋体" w:hAnsi="宋体" w:eastAsia="宋体" w:cs="宋体"/>
          <w:spacing w:val="-5"/>
          <w:position w:val="1"/>
          <w:sz w:val="20"/>
          <w:szCs w:val="20"/>
        </w:rPr>
        <w:t>月</w:t>
      </w:r>
      <w:r>
        <w:rPr>
          <w:rFonts w:ascii="宋体" w:hAnsi="宋体" w:eastAsia="宋体" w:cs="宋体"/>
          <w:spacing w:val="30"/>
          <w:position w:val="1"/>
          <w:sz w:val="20"/>
          <w:szCs w:val="20"/>
        </w:rPr>
        <w:t xml:space="preserve">  </w:t>
      </w:r>
      <w:r>
        <w:rPr>
          <w:rFonts w:ascii="宋体" w:hAnsi="宋体" w:eastAsia="宋体" w:cs="宋体"/>
          <w:spacing w:val="-5"/>
          <w:position w:val="1"/>
          <w:sz w:val="20"/>
          <w:szCs w:val="20"/>
        </w:rPr>
        <w:t>日</w:t>
      </w:r>
    </w:p>
    <w:tbl>
      <w:tblPr>
        <w:tblStyle w:val="5"/>
        <w:tblW w:w="896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8"/>
        <w:gridCol w:w="729"/>
        <w:gridCol w:w="1404"/>
        <w:gridCol w:w="1072"/>
        <w:gridCol w:w="2456"/>
        <w:gridCol w:w="858"/>
        <w:gridCol w:w="18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347" w:type="dxa"/>
            <w:gridSpan w:val="2"/>
            <w:tcBorders>
              <w:top w:val="single" w:color="000000" w:sz="6" w:space="0"/>
              <w:left w:val="single" w:color="000000" w:sz="6" w:space="0"/>
            </w:tcBorders>
            <w:vAlign w:val="top"/>
          </w:tcPr>
          <w:p>
            <w:pPr>
              <w:spacing w:before="171" w:line="219" w:lineRule="auto"/>
              <w:ind w:left="245"/>
              <w:rPr>
                <w:rFonts w:ascii="宋体" w:hAnsi="宋体" w:eastAsia="宋体" w:cs="宋体"/>
                <w:sz w:val="20"/>
                <w:szCs w:val="20"/>
              </w:rPr>
            </w:pPr>
            <w:r>
              <w:rPr>
                <w:rFonts w:ascii="宋体" w:hAnsi="宋体" w:eastAsia="宋体" w:cs="宋体"/>
                <w:spacing w:val="8"/>
                <w:sz w:val="20"/>
                <w:szCs w:val="20"/>
              </w:rPr>
              <w:t>解释类别</w:t>
            </w:r>
          </w:p>
        </w:tc>
        <w:tc>
          <w:tcPr>
            <w:tcW w:w="7615" w:type="dxa"/>
            <w:gridSpan w:val="5"/>
            <w:tcBorders>
              <w:top w:val="single" w:color="000000" w:sz="6" w:space="0"/>
              <w:right w:val="single" w:color="000000" w:sz="6" w:space="0"/>
            </w:tcBorders>
            <w:vAlign w:val="top"/>
          </w:tcPr>
          <w:p>
            <w:pPr>
              <w:spacing w:before="166" w:line="276" w:lineRule="exact"/>
              <w:ind w:left="68"/>
              <w:rPr>
                <w:rFonts w:ascii="宋体" w:hAnsi="宋体" w:eastAsia="宋体" w:cs="宋体"/>
                <w:sz w:val="20"/>
                <w:szCs w:val="20"/>
              </w:rPr>
            </w:pPr>
            <w:r>
              <w:rPr>
                <w:rFonts w:ascii="宋体" w:hAnsi="宋体" w:eastAsia="宋体" w:cs="宋体"/>
                <w:spacing w:val="8"/>
                <w:position w:val="1"/>
                <w:sz w:val="20"/>
                <w:szCs w:val="20"/>
              </w:rPr>
              <w:t>□计价依据条文解释  □计价依据适用解释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1347" w:type="dxa"/>
            <w:gridSpan w:val="2"/>
            <w:tcBorders>
              <w:left w:val="single" w:color="000000" w:sz="6" w:space="0"/>
            </w:tcBorders>
            <w:vAlign w:val="top"/>
          </w:tcPr>
          <w:p>
            <w:pPr>
              <w:spacing w:before="164" w:line="223" w:lineRule="auto"/>
              <w:ind w:left="246"/>
              <w:rPr>
                <w:rFonts w:ascii="宋体" w:hAnsi="宋体" w:eastAsia="宋体" w:cs="宋体"/>
                <w:sz w:val="20"/>
                <w:szCs w:val="20"/>
              </w:rPr>
            </w:pPr>
            <w:r>
              <w:rPr>
                <w:rFonts w:ascii="宋体" w:hAnsi="宋体" w:eastAsia="宋体" w:cs="宋体"/>
                <w:spacing w:val="8"/>
                <w:sz w:val="20"/>
                <w:szCs w:val="20"/>
              </w:rPr>
              <w:t>专业类别</w:t>
            </w:r>
          </w:p>
        </w:tc>
        <w:tc>
          <w:tcPr>
            <w:tcW w:w="7615" w:type="dxa"/>
            <w:gridSpan w:val="5"/>
            <w:tcBorders>
              <w:right w:val="single" w:color="000000" w:sz="6" w:space="0"/>
            </w:tcBorders>
            <w:vAlign w:val="top"/>
          </w:tcPr>
          <w:p>
            <w:pPr>
              <w:spacing w:before="161" w:line="278" w:lineRule="exact"/>
              <w:ind w:left="68"/>
              <w:rPr>
                <w:rFonts w:ascii="宋体" w:hAnsi="宋体" w:eastAsia="宋体" w:cs="宋体"/>
                <w:sz w:val="20"/>
                <w:szCs w:val="20"/>
              </w:rPr>
            </w:pPr>
            <w:r>
              <w:rPr>
                <w:rFonts w:ascii="宋体" w:hAnsi="宋体" w:eastAsia="宋体" w:cs="宋体"/>
                <w:spacing w:val="6"/>
                <w:position w:val="1"/>
                <w:sz w:val="20"/>
                <w:szCs w:val="20"/>
              </w:rPr>
              <w:t>□土建  □安装</w:t>
            </w:r>
            <w:r>
              <w:rPr>
                <w:rFonts w:ascii="宋体" w:hAnsi="宋体" w:eastAsia="宋体" w:cs="宋体"/>
                <w:spacing w:val="18"/>
                <w:position w:val="1"/>
                <w:sz w:val="20"/>
                <w:szCs w:val="20"/>
              </w:rPr>
              <w:t xml:space="preserve">  </w:t>
            </w:r>
            <w:r>
              <w:rPr>
                <w:rFonts w:ascii="宋体" w:hAnsi="宋体" w:eastAsia="宋体" w:cs="宋体"/>
                <w:spacing w:val="6"/>
                <w:position w:val="1"/>
                <w:sz w:val="20"/>
                <w:szCs w:val="20"/>
              </w:rPr>
              <w:t>□装饰、市政、园林</w:t>
            </w:r>
            <w:r>
              <w:rPr>
                <w:rFonts w:ascii="宋体" w:hAnsi="宋体" w:eastAsia="宋体" w:cs="宋体"/>
                <w:spacing w:val="15"/>
                <w:position w:val="1"/>
                <w:sz w:val="20"/>
                <w:szCs w:val="20"/>
              </w:rPr>
              <w:t xml:space="preserve">  </w:t>
            </w:r>
            <w:r>
              <w:rPr>
                <w:rFonts w:ascii="宋体" w:hAnsi="宋体" w:eastAsia="宋体" w:cs="宋体"/>
                <w:spacing w:val="6"/>
                <w:position w:val="1"/>
                <w:sz w:val="20"/>
                <w:szCs w:val="20"/>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1347" w:type="dxa"/>
            <w:gridSpan w:val="2"/>
            <w:tcBorders>
              <w:left w:val="single" w:color="000000" w:sz="6" w:space="0"/>
            </w:tcBorders>
            <w:vAlign w:val="top"/>
          </w:tcPr>
          <w:p>
            <w:pPr>
              <w:spacing w:before="171" w:line="217" w:lineRule="auto"/>
              <w:ind w:left="247"/>
              <w:rPr>
                <w:rFonts w:ascii="宋体" w:hAnsi="宋体" w:eastAsia="宋体" w:cs="宋体"/>
                <w:sz w:val="20"/>
                <w:szCs w:val="20"/>
              </w:rPr>
            </w:pPr>
            <w:r>
              <w:rPr>
                <w:rFonts w:ascii="宋体" w:hAnsi="宋体" w:eastAsia="宋体" w:cs="宋体"/>
                <w:spacing w:val="8"/>
                <w:sz w:val="20"/>
                <w:szCs w:val="20"/>
              </w:rPr>
              <w:t>工程名称</w:t>
            </w:r>
          </w:p>
        </w:tc>
        <w:tc>
          <w:tcPr>
            <w:tcW w:w="4932" w:type="dxa"/>
            <w:gridSpan w:val="3"/>
            <w:vAlign w:val="top"/>
          </w:tcPr>
          <w:p>
            <w:pPr>
              <w:pStyle w:val="6"/>
            </w:pPr>
          </w:p>
        </w:tc>
        <w:tc>
          <w:tcPr>
            <w:tcW w:w="858" w:type="dxa"/>
            <w:vAlign w:val="top"/>
          </w:tcPr>
          <w:p>
            <w:pPr>
              <w:spacing w:before="163" w:line="288" w:lineRule="exact"/>
              <w:ind w:left="225"/>
              <w:rPr>
                <w:rFonts w:ascii="宋体" w:hAnsi="宋体" w:eastAsia="宋体" w:cs="宋体"/>
                <w:sz w:val="20"/>
                <w:szCs w:val="20"/>
              </w:rPr>
            </w:pPr>
            <w:r>
              <w:rPr>
                <w:rFonts w:ascii="宋体" w:hAnsi="宋体" w:eastAsia="宋体" w:cs="宋体"/>
                <w:spacing w:val="6"/>
                <w:position w:val="1"/>
                <w:sz w:val="20"/>
                <w:szCs w:val="20"/>
              </w:rPr>
              <w:t>地址</w:t>
            </w:r>
          </w:p>
        </w:tc>
        <w:tc>
          <w:tcPr>
            <w:tcW w:w="1825"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0" w:hRule="atLeast"/>
        </w:trPr>
        <w:tc>
          <w:tcPr>
            <w:tcW w:w="618" w:type="dxa"/>
            <w:vMerge w:val="restart"/>
            <w:tcBorders>
              <w:left w:val="single" w:color="000000" w:sz="6" w:space="0"/>
              <w:bottom w:val="nil"/>
            </w:tcBorders>
            <w:vAlign w:val="top"/>
          </w:tcPr>
          <w:p>
            <w:pPr>
              <w:pStyle w:val="6"/>
              <w:spacing w:line="270" w:lineRule="auto"/>
            </w:pPr>
          </w:p>
          <w:p>
            <w:pPr>
              <w:pStyle w:val="6"/>
              <w:spacing w:line="270" w:lineRule="auto"/>
            </w:pPr>
          </w:p>
          <w:p>
            <w:pPr>
              <w:spacing w:before="65" w:line="372" w:lineRule="auto"/>
              <w:ind w:left="198" w:right="101" w:hanging="104"/>
              <w:rPr>
                <w:rFonts w:ascii="宋体" w:hAnsi="宋体" w:eastAsia="宋体" w:cs="宋体"/>
                <w:sz w:val="20"/>
                <w:szCs w:val="20"/>
              </w:rPr>
            </w:pPr>
            <w:r>
              <w:rPr>
                <w:rFonts w:ascii="宋体" w:hAnsi="宋体" w:eastAsia="宋体" w:cs="宋体"/>
                <w:spacing w:val="6"/>
                <w:sz w:val="20"/>
                <w:szCs w:val="20"/>
              </w:rPr>
              <w:t>发包</w:t>
            </w:r>
            <w:r>
              <w:rPr>
                <w:rFonts w:ascii="宋体" w:hAnsi="宋体" w:eastAsia="宋体" w:cs="宋体"/>
                <w:spacing w:val="4"/>
                <w:sz w:val="20"/>
                <w:szCs w:val="20"/>
              </w:rPr>
              <w:t>方</w:t>
            </w:r>
          </w:p>
        </w:tc>
        <w:tc>
          <w:tcPr>
            <w:tcW w:w="729" w:type="dxa"/>
            <w:vAlign w:val="top"/>
          </w:tcPr>
          <w:p>
            <w:pPr>
              <w:spacing w:before="200" w:line="323" w:lineRule="auto"/>
              <w:ind w:left="150" w:right="160" w:hanging="2"/>
              <w:rPr>
                <w:rFonts w:ascii="宋体" w:hAnsi="宋体" w:eastAsia="宋体" w:cs="宋体"/>
                <w:sz w:val="20"/>
                <w:szCs w:val="20"/>
              </w:rPr>
            </w:pPr>
            <w:r>
              <w:rPr>
                <w:rFonts w:ascii="宋体" w:hAnsi="宋体" w:eastAsia="宋体" w:cs="宋体"/>
                <w:spacing w:val="7"/>
                <w:sz w:val="20"/>
                <w:szCs w:val="20"/>
              </w:rPr>
              <w:t>单位</w:t>
            </w:r>
            <w:r>
              <w:rPr>
                <w:rFonts w:ascii="宋体" w:hAnsi="宋体" w:eastAsia="宋体" w:cs="宋体"/>
                <w:spacing w:val="6"/>
                <w:sz w:val="20"/>
                <w:szCs w:val="20"/>
              </w:rPr>
              <w:t>名称</w:t>
            </w:r>
          </w:p>
        </w:tc>
        <w:tc>
          <w:tcPr>
            <w:tcW w:w="5790" w:type="dxa"/>
            <w:gridSpan w:val="4"/>
            <w:vAlign w:val="top"/>
          </w:tcPr>
          <w:p>
            <w:pPr>
              <w:pStyle w:val="6"/>
            </w:pPr>
          </w:p>
        </w:tc>
        <w:tc>
          <w:tcPr>
            <w:tcW w:w="1825" w:type="dxa"/>
            <w:tcBorders>
              <w:right w:val="single" w:color="000000" w:sz="6" w:space="0"/>
            </w:tcBorders>
            <w:vAlign w:val="top"/>
          </w:tcPr>
          <w:p>
            <w:pPr>
              <w:pStyle w:val="6"/>
              <w:spacing w:line="327" w:lineRule="auto"/>
            </w:pPr>
          </w:p>
          <w:p>
            <w:pPr>
              <w:spacing w:before="65" w:line="277" w:lineRule="exact"/>
              <w:ind w:left="709"/>
              <w:rPr>
                <w:rFonts w:ascii="宋体" w:hAnsi="宋体" w:eastAsia="宋体" w:cs="宋体"/>
                <w:sz w:val="20"/>
                <w:szCs w:val="20"/>
              </w:rPr>
            </w:pPr>
            <w:r>
              <w:rPr>
                <w:rFonts w:ascii="宋体" w:hAnsi="宋体" w:eastAsia="宋体" w:cs="宋体"/>
                <w:spacing w:val="10"/>
                <w:position w:val="1"/>
                <w:sz w:val="20"/>
                <w:szCs w:val="20"/>
              </w:rPr>
              <w:t>（盖公章）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4" w:hRule="atLeast"/>
        </w:trPr>
        <w:tc>
          <w:tcPr>
            <w:tcW w:w="618" w:type="dxa"/>
            <w:vMerge w:val="continue"/>
            <w:tcBorders>
              <w:top w:val="nil"/>
              <w:left w:val="single" w:color="000000" w:sz="6" w:space="0"/>
            </w:tcBorders>
            <w:vAlign w:val="top"/>
          </w:tcPr>
          <w:p>
            <w:pPr>
              <w:pStyle w:val="6"/>
            </w:pPr>
          </w:p>
        </w:tc>
        <w:tc>
          <w:tcPr>
            <w:tcW w:w="729" w:type="dxa"/>
            <w:vAlign w:val="top"/>
          </w:tcPr>
          <w:p>
            <w:pPr>
              <w:spacing w:before="149" w:line="219" w:lineRule="auto"/>
              <w:ind w:left="155"/>
              <w:rPr>
                <w:rFonts w:ascii="宋体" w:hAnsi="宋体" w:eastAsia="宋体" w:cs="宋体"/>
                <w:sz w:val="20"/>
                <w:szCs w:val="20"/>
              </w:rPr>
            </w:pPr>
            <w:r>
              <w:rPr>
                <w:rFonts w:ascii="宋体" w:hAnsi="宋体" w:eastAsia="宋体" w:cs="宋体"/>
                <w:spacing w:val="3"/>
                <w:sz w:val="20"/>
                <w:szCs w:val="20"/>
              </w:rPr>
              <w:t>咨询</w:t>
            </w:r>
          </w:p>
          <w:p>
            <w:pPr>
              <w:spacing w:before="165" w:line="211" w:lineRule="auto"/>
              <w:ind w:left="148"/>
              <w:rPr>
                <w:rFonts w:ascii="宋体" w:hAnsi="宋体" w:eastAsia="宋体" w:cs="宋体"/>
                <w:sz w:val="20"/>
                <w:szCs w:val="20"/>
              </w:rPr>
            </w:pPr>
            <w:r>
              <w:rPr>
                <w:rFonts w:ascii="宋体" w:hAnsi="宋体" w:eastAsia="宋体" w:cs="宋体"/>
                <w:spacing w:val="7"/>
                <w:sz w:val="20"/>
                <w:szCs w:val="20"/>
              </w:rPr>
              <w:t>人员</w:t>
            </w:r>
          </w:p>
        </w:tc>
        <w:tc>
          <w:tcPr>
            <w:tcW w:w="1404" w:type="dxa"/>
            <w:vAlign w:val="top"/>
          </w:tcPr>
          <w:p>
            <w:pPr>
              <w:pStyle w:val="6"/>
            </w:pPr>
          </w:p>
        </w:tc>
        <w:tc>
          <w:tcPr>
            <w:tcW w:w="1072" w:type="dxa"/>
            <w:vAlign w:val="top"/>
          </w:tcPr>
          <w:p>
            <w:pPr>
              <w:spacing w:before="150" w:line="297" w:lineRule="auto"/>
              <w:ind w:left="218" w:right="222" w:firstLine="2"/>
              <w:rPr>
                <w:rFonts w:ascii="宋体" w:hAnsi="宋体" w:eastAsia="宋体" w:cs="宋体"/>
                <w:sz w:val="20"/>
                <w:szCs w:val="20"/>
              </w:rPr>
            </w:pPr>
            <w:r>
              <w:rPr>
                <w:rFonts w:ascii="宋体" w:hAnsi="宋体" w:eastAsia="宋体" w:cs="宋体"/>
                <w:spacing w:val="5"/>
                <w:sz w:val="20"/>
                <w:szCs w:val="20"/>
              </w:rPr>
              <w:t>执</w:t>
            </w:r>
            <w:r>
              <w:rPr>
                <w:rFonts w:ascii="宋体" w:hAnsi="宋体" w:eastAsia="宋体" w:cs="宋体"/>
                <w:spacing w:val="6"/>
                <w:sz w:val="20"/>
                <w:szCs w:val="20"/>
              </w:rPr>
              <w:t xml:space="preserve">  </w:t>
            </w:r>
            <w:r>
              <w:rPr>
                <w:rFonts w:ascii="宋体" w:hAnsi="宋体" w:eastAsia="宋体" w:cs="宋体"/>
                <w:spacing w:val="5"/>
                <w:sz w:val="20"/>
                <w:szCs w:val="20"/>
              </w:rPr>
              <w:t>业</w:t>
            </w:r>
            <w:r>
              <w:rPr>
                <w:rFonts w:ascii="宋体" w:hAnsi="宋体" w:eastAsia="宋体" w:cs="宋体"/>
                <w:spacing w:val="8"/>
                <w:sz w:val="20"/>
                <w:szCs w:val="20"/>
              </w:rPr>
              <w:t>证书号</w:t>
            </w:r>
          </w:p>
        </w:tc>
        <w:tc>
          <w:tcPr>
            <w:tcW w:w="2456" w:type="dxa"/>
            <w:vAlign w:val="top"/>
          </w:tcPr>
          <w:p>
            <w:pPr>
              <w:pStyle w:val="6"/>
            </w:pPr>
          </w:p>
        </w:tc>
        <w:tc>
          <w:tcPr>
            <w:tcW w:w="858" w:type="dxa"/>
            <w:vAlign w:val="top"/>
          </w:tcPr>
          <w:p>
            <w:pPr>
              <w:pStyle w:val="6"/>
              <w:spacing w:line="284" w:lineRule="auto"/>
            </w:pPr>
          </w:p>
          <w:p>
            <w:pPr>
              <w:spacing w:before="65" w:line="217" w:lineRule="auto"/>
              <w:ind w:left="244"/>
              <w:rPr>
                <w:rFonts w:ascii="宋体" w:hAnsi="宋体" w:eastAsia="宋体" w:cs="宋体"/>
                <w:sz w:val="20"/>
                <w:szCs w:val="20"/>
              </w:rPr>
            </w:pPr>
            <w:r>
              <w:rPr>
                <w:rFonts w:ascii="宋体" w:hAnsi="宋体" w:eastAsia="宋体" w:cs="宋体"/>
                <w:spacing w:val="-3"/>
                <w:sz w:val="20"/>
                <w:szCs w:val="20"/>
              </w:rPr>
              <w:t>电话</w:t>
            </w:r>
          </w:p>
        </w:tc>
        <w:tc>
          <w:tcPr>
            <w:tcW w:w="1825"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0" w:hRule="atLeast"/>
        </w:trPr>
        <w:tc>
          <w:tcPr>
            <w:tcW w:w="618" w:type="dxa"/>
            <w:vMerge w:val="restart"/>
            <w:tcBorders>
              <w:left w:val="single" w:color="000000" w:sz="6" w:space="0"/>
              <w:bottom w:val="nil"/>
            </w:tcBorders>
            <w:vAlign w:val="top"/>
          </w:tcPr>
          <w:p>
            <w:pPr>
              <w:pStyle w:val="6"/>
              <w:spacing w:line="271" w:lineRule="auto"/>
            </w:pPr>
          </w:p>
          <w:p>
            <w:pPr>
              <w:pStyle w:val="6"/>
              <w:spacing w:line="271" w:lineRule="auto"/>
            </w:pPr>
          </w:p>
          <w:p>
            <w:pPr>
              <w:spacing w:before="65" w:line="375" w:lineRule="auto"/>
              <w:ind w:left="197" w:right="101" w:hanging="100"/>
              <w:rPr>
                <w:rFonts w:ascii="宋体" w:hAnsi="宋体" w:eastAsia="宋体" w:cs="宋体"/>
                <w:sz w:val="20"/>
                <w:szCs w:val="20"/>
              </w:rPr>
            </w:pPr>
            <w:r>
              <w:rPr>
                <w:rFonts w:ascii="宋体" w:hAnsi="宋体" w:eastAsia="宋体" w:cs="宋体"/>
                <w:spacing w:val="4"/>
                <w:sz w:val="20"/>
                <w:szCs w:val="20"/>
              </w:rPr>
              <w:t>承包方</w:t>
            </w:r>
          </w:p>
        </w:tc>
        <w:tc>
          <w:tcPr>
            <w:tcW w:w="729" w:type="dxa"/>
            <w:vAlign w:val="top"/>
          </w:tcPr>
          <w:p>
            <w:pPr>
              <w:spacing w:before="202" w:line="322" w:lineRule="auto"/>
              <w:ind w:left="150" w:right="160" w:hanging="2"/>
              <w:rPr>
                <w:rFonts w:ascii="宋体" w:hAnsi="宋体" w:eastAsia="宋体" w:cs="宋体"/>
                <w:sz w:val="20"/>
                <w:szCs w:val="20"/>
              </w:rPr>
            </w:pPr>
            <w:r>
              <w:rPr>
                <w:rFonts w:ascii="宋体" w:hAnsi="宋体" w:eastAsia="宋体" w:cs="宋体"/>
                <w:spacing w:val="7"/>
                <w:sz w:val="20"/>
                <w:szCs w:val="20"/>
              </w:rPr>
              <w:t>单位</w:t>
            </w:r>
            <w:r>
              <w:rPr>
                <w:rFonts w:ascii="宋体" w:hAnsi="宋体" w:eastAsia="宋体" w:cs="宋体"/>
                <w:spacing w:val="6"/>
                <w:sz w:val="20"/>
                <w:szCs w:val="20"/>
              </w:rPr>
              <w:t>名称</w:t>
            </w:r>
          </w:p>
        </w:tc>
        <w:tc>
          <w:tcPr>
            <w:tcW w:w="5790" w:type="dxa"/>
            <w:gridSpan w:val="4"/>
            <w:vAlign w:val="top"/>
          </w:tcPr>
          <w:p>
            <w:pPr>
              <w:pStyle w:val="6"/>
            </w:pPr>
          </w:p>
        </w:tc>
        <w:tc>
          <w:tcPr>
            <w:tcW w:w="1825" w:type="dxa"/>
            <w:tcBorders>
              <w:right w:val="single" w:color="000000" w:sz="6" w:space="0"/>
            </w:tcBorders>
            <w:vAlign w:val="top"/>
          </w:tcPr>
          <w:p>
            <w:pPr>
              <w:pStyle w:val="6"/>
              <w:spacing w:line="331" w:lineRule="auto"/>
            </w:pPr>
          </w:p>
          <w:p>
            <w:pPr>
              <w:spacing w:before="65" w:line="277" w:lineRule="exact"/>
              <w:ind w:left="709"/>
              <w:rPr>
                <w:rFonts w:ascii="宋体" w:hAnsi="宋体" w:eastAsia="宋体" w:cs="宋体"/>
                <w:sz w:val="20"/>
                <w:szCs w:val="20"/>
              </w:rPr>
            </w:pPr>
            <w:r>
              <w:rPr>
                <w:rFonts w:ascii="宋体" w:hAnsi="宋体" w:eastAsia="宋体" w:cs="宋体"/>
                <w:spacing w:val="10"/>
                <w:position w:val="1"/>
                <w:sz w:val="20"/>
                <w:szCs w:val="20"/>
              </w:rPr>
              <w:t>（盖公章）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4" w:hRule="atLeast"/>
        </w:trPr>
        <w:tc>
          <w:tcPr>
            <w:tcW w:w="618" w:type="dxa"/>
            <w:vMerge w:val="continue"/>
            <w:tcBorders>
              <w:top w:val="nil"/>
              <w:left w:val="single" w:color="000000" w:sz="6" w:space="0"/>
            </w:tcBorders>
            <w:vAlign w:val="top"/>
          </w:tcPr>
          <w:p>
            <w:pPr>
              <w:pStyle w:val="6"/>
            </w:pPr>
          </w:p>
        </w:tc>
        <w:tc>
          <w:tcPr>
            <w:tcW w:w="729" w:type="dxa"/>
            <w:vAlign w:val="top"/>
          </w:tcPr>
          <w:p>
            <w:pPr>
              <w:spacing w:before="151" w:line="219" w:lineRule="auto"/>
              <w:ind w:left="155"/>
              <w:rPr>
                <w:rFonts w:ascii="宋体" w:hAnsi="宋体" w:eastAsia="宋体" w:cs="宋体"/>
                <w:sz w:val="20"/>
                <w:szCs w:val="20"/>
              </w:rPr>
            </w:pPr>
            <w:r>
              <w:rPr>
                <w:rFonts w:ascii="宋体" w:hAnsi="宋体" w:eastAsia="宋体" w:cs="宋体"/>
                <w:spacing w:val="3"/>
                <w:sz w:val="20"/>
                <w:szCs w:val="20"/>
              </w:rPr>
              <w:t>咨询</w:t>
            </w:r>
          </w:p>
          <w:p>
            <w:pPr>
              <w:spacing w:before="168" w:line="211" w:lineRule="auto"/>
              <w:ind w:left="148"/>
              <w:rPr>
                <w:rFonts w:ascii="宋体" w:hAnsi="宋体" w:eastAsia="宋体" w:cs="宋体"/>
                <w:sz w:val="20"/>
                <w:szCs w:val="20"/>
              </w:rPr>
            </w:pPr>
            <w:r>
              <w:rPr>
                <w:rFonts w:ascii="宋体" w:hAnsi="宋体" w:eastAsia="宋体" w:cs="宋体"/>
                <w:spacing w:val="7"/>
                <w:sz w:val="20"/>
                <w:szCs w:val="20"/>
              </w:rPr>
              <w:t>人员</w:t>
            </w:r>
          </w:p>
        </w:tc>
        <w:tc>
          <w:tcPr>
            <w:tcW w:w="1404" w:type="dxa"/>
            <w:vAlign w:val="top"/>
          </w:tcPr>
          <w:p>
            <w:pPr>
              <w:pStyle w:val="6"/>
            </w:pPr>
          </w:p>
        </w:tc>
        <w:tc>
          <w:tcPr>
            <w:tcW w:w="1072" w:type="dxa"/>
            <w:vAlign w:val="top"/>
          </w:tcPr>
          <w:p>
            <w:pPr>
              <w:spacing w:before="150" w:line="297" w:lineRule="auto"/>
              <w:ind w:left="218" w:right="222" w:firstLine="2"/>
              <w:rPr>
                <w:rFonts w:ascii="宋体" w:hAnsi="宋体" w:eastAsia="宋体" w:cs="宋体"/>
                <w:sz w:val="20"/>
                <w:szCs w:val="20"/>
              </w:rPr>
            </w:pPr>
            <w:r>
              <w:rPr>
                <w:rFonts w:ascii="宋体" w:hAnsi="宋体" w:eastAsia="宋体" w:cs="宋体"/>
                <w:spacing w:val="5"/>
                <w:sz w:val="20"/>
                <w:szCs w:val="20"/>
              </w:rPr>
              <w:t>执</w:t>
            </w:r>
            <w:r>
              <w:rPr>
                <w:rFonts w:ascii="宋体" w:hAnsi="宋体" w:eastAsia="宋体" w:cs="宋体"/>
                <w:spacing w:val="6"/>
                <w:sz w:val="20"/>
                <w:szCs w:val="20"/>
              </w:rPr>
              <w:t xml:space="preserve">  </w:t>
            </w:r>
            <w:r>
              <w:rPr>
                <w:rFonts w:ascii="宋体" w:hAnsi="宋体" w:eastAsia="宋体" w:cs="宋体"/>
                <w:spacing w:val="5"/>
                <w:sz w:val="20"/>
                <w:szCs w:val="20"/>
              </w:rPr>
              <w:t>业</w:t>
            </w:r>
            <w:r>
              <w:rPr>
                <w:rFonts w:ascii="宋体" w:hAnsi="宋体" w:eastAsia="宋体" w:cs="宋体"/>
                <w:spacing w:val="8"/>
                <w:sz w:val="20"/>
                <w:szCs w:val="20"/>
              </w:rPr>
              <w:t>证书号</w:t>
            </w:r>
          </w:p>
        </w:tc>
        <w:tc>
          <w:tcPr>
            <w:tcW w:w="2456" w:type="dxa"/>
            <w:vAlign w:val="top"/>
          </w:tcPr>
          <w:p>
            <w:pPr>
              <w:pStyle w:val="6"/>
            </w:pPr>
          </w:p>
        </w:tc>
        <w:tc>
          <w:tcPr>
            <w:tcW w:w="858" w:type="dxa"/>
            <w:vAlign w:val="top"/>
          </w:tcPr>
          <w:p>
            <w:pPr>
              <w:pStyle w:val="6"/>
              <w:spacing w:line="288" w:lineRule="auto"/>
            </w:pPr>
          </w:p>
          <w:p>
            <w:pPr>
              <w:spacing w:before="65" w:line="217" w:lineRule="auto"/>
              <w:ind w:left="244"/>
              <w:rPr>
                <w:rFonts w:ascii="宋体" w:hAnsi="宋体" w:eastAsia="宋体" w:cs="宋体"/>
                <w:sz w:val="20"/>
                <w:szCs w:val="20"/>
              </w:rPr>
            </w:pPr>
            <w:r>
              <w:rPr>
                <w:rFonts w:ascii="宋体" w:hAnsi="宋体" w:eastAsia="宋体" w:cs="宋体"/>
                <w:spacing w:val="-3"/>
                <w:sz w:val="20"/>
                <w:szCs w:val="20"/>
              </w:rPr>
              <w:t>电话</w:t>
            </w:r>
          </w:p>
        </w:tc>
        <w:tc>
          <w:tcPr>
            <w:tcW w:w="1825"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1" w:hRule="atLeast"/>
        </w:trPr>
        <w:tc>
          <w:tcPr>
            <w:tcW w:w="618" w:type="dxa"/>
            <w:vMerge w:val="restart"/>
            <w:tcBorders>
              <w:left w:val="single" w:color="000000" w:sz="6" w:space="0"/>
              <w:bottom w:val="nil"/>
            </w:tcBorders>
            <w:vAlign w:val="top"/>
          </w:tcPr>
          <w:p>
            <w:pPr>
              <w:pStyle w:val="6"/>
              <w:spacing w:line="272" w:lineRule="auto"/>
            </w:pPr>
          </w:p>
          <w:p>
            <w:pPr>
              <w:pStyle w:val="6"/>
              <w:spacing w:line="272" w:lineRule="auto"/>
            </w:pPr>
          </w:p>
          <w:p>
            <w:pPr>
              <w:spacing w:before="65" w:line="371" w:lineRule="auto"/>
              <w:ind w:left="197" w:right="101" w:hanging="104"/>
              <w:rPr>
                <w:rFonts w:ascii="宋体" w:hAnsi="宋体" w:eastAsia="宋体" w:cs="宋体"/>
                <w:sz w:val="20"/>
                <w:szCs w:val="20"/>
              </w:rPr>
            </w:pPr>
            <w:r>
              <w:rPr>
                <w:rFonts w:ascii="宋体" w:hAnsi="宋体" w:eastAsia="宋体" w:cs="宋体"/>
                <w:spacing w:val="6"/>
                <w:sz w:val="20"/>
                <w:szCs w:val="20"/>
              </w:rPr>
              <w:t>相关</w:t>
            </w:r>
            <w:r>
              <w:rPr>
                <w:rFonts w:ascii="宋体" w:hAnsi="宋体" w:eastAsia="宋体" w:cs="宋体"/>
                <w:spacing w:val="4"/>
                <w:sz w:val="20"/>
                <w:szCs w:val="20"/>
              </w:rPr>
              <w:t>方</w:t>
            </w:r>
          </w:p>
        </w:tc>
        <w:tc>
          <w:tcPr>
            <w:tcW w:w="729" w:type="dxa"/>
            <w:vAlign w:val="top"/>
          </w:tcPr>
          <w:p>
            <w:pPr>
              <w:spacing w:before="205" w:line="321" w:lineRule="auto"/>
              <w:ind w:left="150" w:right="160" w:hanging="2"/>
              <w:rPr>
                <w:rFonts w:ascii="宋体" w:hAnsi="宋体" w:eastAsia="宋体" w:cs="宋体"/>
                <w:sz w:val="20"/>
                <w:szCs w:val="20"/>
              </w:rPr>
            </w:pPr>
            <w:r>
              <w:rPr>
                <w:rFonts w:ascii="宋体" w:hAnsi="宋体" w:eastAsia="宋体" w:cs="宋体"/>
                <w:spacing w:val="7"/>
                <w:sz w:val="20"/>
                <w:szCs w:val="20"/>
              </w:rPr>
              <w:t>单位</w:t>
            </w:r>
            <w:r>
              <w:rPr>
                <w:rFonts w:ascii="宋体" w:hAnsi="宋体" w:eastAsia="宋体" w:cs="宋体"/>
                <w:spacing w:val="6"/>
                <w:sz w:val="20"/>
                <w:szCs w:val="20"/>
              </w:rPr>
              <w:t>名称</w:t>
            </w:r>
          </w:p>
        </w:tc>
        <w:tc>
          <w:tcPr>
            <w:tcW w:w="5790" w:type="dxa"/>
            <w:gridSpan w:val="4"/>
            <w:vAlign w:val="top"/>
          </w:tcPr>
          <w:p>
            <w:pPr>
              <w:pStyle w:val="6"/>
            </w:pPr>
          </w:p>
        </w:tc>
        <w:tc>
          <w:tcPr>
            <w:tcW w:w="1825" w:type="dxa"/>
            <w:tcBorders>
              <w:right w:val="single" w:color="000000" w:sz="6" w:space="0"/>
            </w:tcBorders>
            <w:vAlign w:val="top"/>
          </w:tcPr>
          <w:p>
            <w:pPr>
              <w:pStyle w:val="6"/>
              <w:spacing w:line="332" w:lineRule="auto"/>
            </w:pPr>
          </w:p>
          <w:p>
            <w:pPr>
              <w:spacing w:before="65" w:line="277" w:lineRule="exact"/>
              <w:ind w:left="709"/>
              <w:rPr>
                <w:rFonts w:ascii="宋体" w:hAnsi="宋体" w:eastAsia="宋体" w:cs="宋体"/>
                <w:sz w:val="20"/>
                <w:szCs w:val="20"/>
              </w:rPr>
            </w:pPr>
            <w:r>
              <w:rPr>
                <w:rFonts w:ascii="宋体" w:hAnsi="宋体" w:eastAsia="宋体" w:cs="宋体"/>
                <w:spacing w:val="10"/>
                <w:position w:val="1"/>
                <w:sz w:val="20"/>
                <w:szCs w:val="20"/>
              </w:rPr>
              <w:t>（盖公章）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4" w:hRule="atLeast"/>
        </w:trPr>
        <w:tc>
          <w:tcPr>
            <w:tcW w:w="618" w:type="dxa"/>
            <w:vMerge w:val="continue"/>
            <w:tcBorders>
              <w:top w:val="nil"/>
              <w:left w:val="single" w:color="000000" w:sz="6" w:space="0"/>
            </w:tcBorders>
            <w:vAlign w:val="top"/>
          </w:tcPr>
          <w:p>
            <w:pPr>
              <w:pStyle w:val="6"/>
            </w:pPr>
          </w:p>
        </w:tc>
        <w:tc>
          <w:tcPr>
            <w:tcW w:w="729" w:type="dxa"/>
            <w:vAlign w:val="top"/>
          </w:tcPr>
          <w:p>
            <w:pPr>
              <w:spacing w:before="154" w:line="219" w:lineRule="auto"/>
              <w:ind w:left="155"/>
              <w:rPr>
                <w:rFonts w:ascii="宋体" w:hAnsi="宋体" w:eastAsia="宋体" w:cs="宋体"/>
                <w:sz w:val="20"/>
                <w:szCs w:val="20"/>
              </w:rPr>
            </w:pPr>
            <w:r>
              <w:rPr>
                <w:rFonts w:ascii="宋体" w:hAnsi="宋体" w:eastAsia="宋体" w:cs="宋体"/>
                <w:spacing w:val="3"/>
                <w:sz w:val="20"/>
                <w:szCs w:val="20"/>
              </w:rPr>
              <w:t>咨询</w:t>
            </w:r>
          </w:p>
          <w:p>
            <w:pPr>
              <w:spacing w:before="168" w:line="211" w:lineRule="auto"/>
              <w:ind w:left="148"/>
              <w:rPr>
                <w:rFonts w:ascii="宋体" w:hAnsi="宋体" w:eastAsia="宋体" w:cs="宋体"/>
                <w:sz w:val="20"/>
                <w:szCs w:val="20"/>
              </w:rPr>
            </w:pPr>
            <w:r>
              <w:rPr>
                <w:rFonts w:ascii="宋体" w:hAnsi="宋体" w:eastAsia="宋体" w:cs="宋体"/>
                <w:spacing w:val="7"/>
                <w:sz w:val="20"/>
                <w:szCs w:val="20"/>
              </w:rPr>
              <w:t>人员</w:t>
            </w:r>
          </w:p>
        </w:tc>
        <w:tc>
          <w:tcPr>
            <w:tcW w:w="1404" w:type="dxa"/>
            <w:vAlign w:val="top"/>
          </w:tcPr>
          <w:p>
            <w:pPr>
              <w:pStyle w:val="6"/>
            </w:pPr>
          </w:p>
        </w:tc>
        <w:tc>
          <w:tcPr>
            <w:tcW w:w="1072" w:type="dxa"/>
            <w:vAlign w:val="top"/>
          </w:tcPr>
          <w:p>
            <w:pPr>
              <w:spacing w:before="154" w:line="295" w:lineRule="auto"/>
              <w:ind w:left="218" w:right="222" w:firstLine="2"/>
              <w:rPr>
                <w:rFonts w:ascii="宋体" w:hAnsi="宋体" w:eastAsia="宋体" w:cs="宋体"/>
                <w:sz w:val="20"/>
                <w:szCs w:val="20"/>
              </w:rPr>
            </w:pPr>
            <w:r>
              <w:rPr>
                <w:rFonts w:ascii="宋体" w:hAnsi="宋体" w:eastAsia="宋体" w:cs="宋体"/>
                <w:spacing w:val="5"/>
                <w:sz w:val="20"/>
                <w:szCs w:val="20"/>
              </w:rPr>
              <w:t>执</w:t>
            </w:r>
            <w:r>
              <w:rPr>
                <w:rFonts w:ascii="宋体" w:hAnsi="宋体" w:eastAsia="宋体" w:cs="宋体"/>
                <w:spacing w:val="6"/>
                <w:sz w:val="20"/>
                <w:szCs w:val="20"/>
              </w:rPr>
              <w:t xml:space="preserve">  </w:t>
            </w:r>
            <w:r>
              <w:rPr>
                <w:rFonts w:ascii="宋体" w:hAnsi="宋体" w:eastAsia="宋体" w:cs="宋体"/>
                <w:spacing w:val="5"/>
                <w:sz w:val="20"/>
                <w:szCs w:val="20"/>
              </w:rPr>
              <w:t>业</w:t>
            </w:r>
            <w:r>
              <w:rPr>
                <w:rFonts w:ascii="宋体" w:hAnsi="宋体" w:eastAsia="宋体" w:cs="宋体"/>
                <w:spacing w:val="8"/>
                <w:sz w:val="20"/>
                <w:szCs w:val="20"/>
              </w:rPr>
              <w:t>证书号</w:t>
            </w:r>
          </w:p>
        </w:tc>
        <w:tc>
          <w:tcPr>
            <w:tcW w:w="2456" w:type="dxa"/>
            <w:vAlign w:val="top"/>
          </w:tcPr>
          <w:p>
            <w:pPr>
              <w:pStyle w:val="6"/>
            </w:pPr>
          </w:p>
        </w:tc>
        <w:tc>
          <w:tcPr>
            <w:tcW w:w="858" w:type="dxa"/>
            <w:vAlign w:val="top"/>
          </w:tcPr>
          <w:p>
            <w:pPr>
              <w:pStyle w:val="6"/>
              <w:spacing w:line="289" w:lineRule="auto"/>
            </w:pPr>
          </w:p>
          <w:p>
            <w:pPr>
              <w:spacing w:before="65" w:line="217" w:lineRule="auto"/>
              <w:ind w:left="244"/>
              <w:rPr>
                <w:rFonts w:ascii="宋体" w:hAnsi="宋体" w:eastAsia="宋体" w:cs="宋体"/>
                <w:sz w:val="20"/>
                <w:szCs w:val="20"/>
              </w:rPr>
            </w:pPr>
            <w:r>
              <w:rPr>
                <w:rFonts w:ascii="宋体" w:hAnsi="宋体" w:eastAsia="宋体" w:cs="宋体"/>
                <w:spacing w:val="-3"/>
                <w:sz w:val="20"/>
                <w:szCs w:val="20"/>
              </w:rPr>
              <w:t>电话</w:t>
            </w:r>
          </w:p>
        </w:tc>
        <w:tc>
          <w:tcPr>
            <w:tcW w:w="1825" w:type="dxa"/>
            <w:tcBorders>
              <w:right w:val="single" w:color="000000" w:sz="6" w:space="0"/>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728" w:hRule="atLeast"/>
        </w:trPr>
        <w:tc>
          <w:tcPr>
            <w:tcW w:w="1347" w:type="dxa"/>
            <w:gridSpan w:val="2"/>
            <w:tcBorders>
              <w:left w:val="single" w:color="000000" w:sz="6" w:space="0"/>
              <w:bottom w:val="single" w:color="000000" w:sz="6" w:space="0"/>
            </w:tcBorders>
            <w:vAlign w:val="top"/>
          </w:tcPr>
          <w:p>
            <w:pPr>
              <w:pStyle w:val="6"/>
              <w:spacing w:line="248" w:lineRule="auto"/>
            </w:pPr>
          </w:p>
          <w:p>
            <w:pPr>
              <w:pStyle w:val="6"/>
              <w:spacing w:line="248" w:lineRule="auto"/>
            </w:pPr>
          </w:p>
          <w:p>
            <w:pPr>
              <w:pStyle w:val="6"/>
              <w:spacing w:line="248" w:lineRule="auto"/>
            </w:pPr>
          </w:p>
          <w:p>
            <w:pPr>
              <w:pStyle w:val="6"/>
              <w:spacing w:line="248" w:lineRule="auto"/>
            </w:pPr>
          </w:p>
          <w:p>
            <w:pPr>
              <w:pStyle w:val="6"/>
              <w:spacing w:line="248" w:lineRule="auto"/>
            </w:pPr>
          </w:p>
          <w:p>
            <w:pPr>
              <w:spacing w:before="65" w:line="214" w:lineRule="auto"/>
              <w:ind w:left="254"/>
              <w:rPr>
                <w:rFonts w:ascii="宋体" w:hAnsi="宋体" w:eastAsia="宋体" w:cs="宋体"/>
                <w:sz w:val="20"/>
                <w:szCs w:val="20"/>
              </w:rPr>
            </w:pPr>
            <w:r>
              <w:rPr>
                <w:rFonts w:ascii="宋体" w:hAnsi="宋体" w:eastAsia="宋体" w:cs="宋体"/>
                <w:spacing w:val="6"/>
                <w:sz w:val="20"/>
                <w:szCs w:val="20"/>
              </w:rPr>
              <w:t>主要问题</w:t>
            </w:r>
          </w:p>
        </w:tc>
        <w:tc>
          <w:tcPr>
            <w:tcW w:w="7615" w:type="dxa"/>
            <w:gridSpan w:val="5"/>
            <w:tcBorders>
              <w:bottom w:val="single" w:color="000000" w:sz="6" w:space="0"/>
              <w:right w:val="single" w:color="000000" w:sz="6" w:space="0"/>
            </w:tcBorders>
            <w:vAlign w:val="top"/>
          </w:tcPr>
          <w:p>
            <w:pPr>
              <w:spacing w:before="47" w:line="277" w:lineRule="exact"/>
              <w:ind w:left="120"/>
              <w:rPr>
                <w:rFonts w:ascii="宋体" w:hAnsi="宋体" w:eastAsia="宋体" w:cs="宋体"/>
                <w:sz w:val="20"/>
                <w:szCs w:val="20"/>
              </w:rPr>
            </w:pPr>
            <w:r>
              <w:rPr>
                <w:rFonts w:ascii="宋体" w:hAnsi="宋体" w:eastAsia="宋体" w:cs="宋体"/>
                <w:spacing w:val="10"/>
                <w:position w:val="1"/>
                <w:sz w:val="20"/>
                <w:szCs w:val="20"/>
              </w:rPr>
              <w:t>（简要描述申请解释的主要问题，如内容较多可另加附页说明，附页也需盖章）</w:t>
            </w:r>
          </w:p>
        </w:tc>
      </w:tr>
    </w:tbl>
    <w:p>
      <w:pPr>
        <w:spacing w:before="141" w:line="277" w:lineRule="exact"/>
        <w:ind w:left="69"/>
        <w:rPr>
          <w:rFonts w:ascii="宋体" w:hAnsi="宋体" w:eastAsia="宋体" w:cs="宋体"/>
          <w:sz w:val="20"/>
          <w:szCs w:val="20"/>
        </w:rPr>
      </w:pPr>
      <w:r>
        <w:rPr>
          <w:rFonts w:ascii="宋体" w:hAnsi="宋体" w:eastAsia="宋体" w:cs="宋体"/>
          <w:spacing w:val="-4"/>
          <w:position w:val="1"/>
          <w:sz w:val="20"/>
          <w:szCs w:val="20"/>
        </w:rPr>
        <w:t>备注：1.本表需填写完整，争议双方要加盖公章；</w:t>
      </w:r>
    </w:p>
    <w:p>
      <w:pPr>
        <w:spacing w:before="122" w:line="350" w:lineRule="auto"/>
        <w:ind w:left="68" w:firstLine="597"/>
        <w:rPr>
          <w:rFonts w:ascii="宋体" w:hAnsi="宋体" w:eastAsia="宋体" w:cs="宋体"/>
          <w:sz w:val="20"/>
          <w:szCs w:val="20"/>
        </w:rPr>
      </w:pPr>
      <w:r>
        <w:rPr>
          <w:rFonts w:ascii="宋体" w:hAnsi="宋体" w:eastAsia="宋体" w:cs="宋体"/>
          <w:spacing w:val="-3"/>
          <w:sz w:val="20"/>
          <w:szCs w:val="20"/>
        </w:rPr>
        <w:t>2.以邮件方式预约来访咨询的需同时提交</w:t>
      </w:r>
      <w:r>
        <w:rPr>
          <w:rFonts w:ascii="宋体" w:hAnsi="宋体" w:eastAsia="宋体" w:cs="宋体"/>
          <w:spacing w:val="-55"/>
          <w:sz w:val="20"/>
          <w:szCs w:val="20"/>
        </w:rPr>
        <w:t xml:space="preserve"> </w:t>
      </w:r>
      <w:r>
        <w:rPr>
          <w:rFonts w:ascii="宋体" w:hAnsi="宋体" w:eastAsia="宋体" w:cs="宋体"/>
          <w:spacing w:val="-3"/>
          <w:sz w:val="20"/>
          <w:szCs w:val="20"/>
        </w:rPr>
        <w:t>Word</w:t>
      </w:r>
      <w:r>
        <w:rPr>
          <w:rFonts w:ascii="宋体" w:hAnsi="宋体" w:eastAsia="宋体" w:cs="宋体"/>
          <w:spacing w:val="-52"/>
          <w:sz w:val="20"/>
          <w:szCs w:val="20"/>
        </w:rPr>
        <w:t xml:space="preserve"> </w:t>
      </w:r>
      <w:r>
        <w:rPr>
          <w:rFonts w:ascii="宋体" w:hAnsi="宋体" w:eastAsia="宋体" w:cs="宋体"/>
          <w:spacing w:val="-3"/>
          <w:sz w:val="20"/>
          <w:szCs w:val="20"/>
        </w:rPr>
        <w:t>版及</w:t>
      </w:r>
      <w:r>
        <w:rPr>
          <w:rFonts w:ascii="宋体" w:hAnsi="宋体" w:eastAsia="宋体" w:cs="宋体"/>
          <w:spacing w:val="-4"/>
          <w:sz w:val="20"/>
          <w:szCs w:val="20"/>
        </w:rPr>
        <w:t>加盖公章</w:t>
      </w:r>
      <w:r>
        <w:rPr>
          <w:rFonts w:ascii="宋体" w:hAnsi="宋体" w:eastAsia="宋体" w:cs="宋体"/>
          <w:spacing w:val="-55"/>
          <w:sz w:val="20"/>
          <w:szCs w:val="20"/>
        </w:rPr>
        <w:t xml:space="preserve"> </w:t>
      </w:r>
      <w:r>
        <w:rPr>
          <w:rFonts w:ascii="宋体" w:hAnsi="宋体" w:eastAsia="宋体" w:cs="宋体"/>
          <w:spacing w:val="-4"/>
          <w:sz w:val="20"/>
          <w:szCs w:val="20"/>
        </w:rPr>
        <w:t>pdf扫描版，现场来访时携带纸质版报</w:t>
      </w:r>
      <w:r>
        <w:rPr>
          <w:rFonts w:ascii="宋体" w:hAnsi="宋体" w:eastAsia="宋体" w:cs="宋体"/>
          <w:spacing w:val="-2"/>
          <w:sz w:val="20"/>
          <w:szCs w:val="20"/>
        </w:rPr>
        <w:t>送市工程造价管理机构。</w:t>
      </w:r>
    </w:p>
    <w:p>
      <w:pPr>
        <w:spacing w:line="350" w:lineRule="auto"/>
        <w:rPr>
          <w:rFonts w:ascii="宋体" w:hAnsi="宋体" w:eastAsia="宋体" w:cs="宋体"/>
          <w:sz w:val="20"/>
          <w:szCs w:val="20"/>
        </w:rPr>
        <w:sectPr>
          <w:footerReference r:id="rId315" w:type="default"/>
          <w:pgSz w:w="11900" w:h="16830"/>
          <w:pgMar w:top="400" w:right="1407" w:bottom="1184" w:left="1350" w:header="0" w:footer="869" w:gutter="0"/>
        </w:sect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35"/>
        <w:ind w:left="2562"/>
        <w:outlineLvl w:val="0"/>
        <w:rPr>
          <w:rFonts w:ascii="方正小标宋简体" w:hAnsi="方正小标宋简体" w:eastAsia="方正小标宋简体" w:cs="方正小标宋简体"/>
          <w:sz w:val="35"/>
          <w:szCs w:val="35"/>
        </w:rPr>
      </w:pPr>
      <w:bookmarkStart w:id="237" w:name="bookmark131"/>
      <w:bookmarkEnd w:id="237"/>
      <w:r>
        <w:rPr>
          <w:rFonts w:ascii="方正小标宋简体" w:hAnsi="方正小标宋简体" w:eastAsia="方正小标宋简体" w:cs="方正小标宋简体"/>
          <w:spacing w:val="8"/>
          <w:sz w:val="35"/>
          <w:szCs w:val="35"/>
        </w:rPr>
        <w:t>淄博市住房和城乡建设局</w:t>
      </w:r>
    </w:p>
    <w:p>
      <w:pPr>
        <w:spacing w:before="58" w:line="241" w:lineRule="auto"/>
        <w:ind w:left="2374" w:right="1422" w:hanging="901"/>
        <w:outlineLvl w:val="0"/>
        <w:rPr>
          <w:rFonts w:ascii="方正小标宋简体" w:hAnsi="方正小标宋简体" w:eastAsia="方正小标宋简体" w:cs="方正小标宋简体"/>
          <w:sz w:val="35"/>
          <w:szCs w:val="35"/>
        </w:rPr>
      </w:pPr>
      <w:bookmarkStart w:id="238" w:name="bookmark131"/>
      <w:bookmarkEnd w:id="238"/>
      <w:r>
        <w:rPr>
          <w:rFonts w:ascii="方正小标宋简体" w:hAnsi="方正小标宋简体" w:eastAsia="方正小标宋简体" w:cs="方正小标宋简体"/>
          <w:spacing w:val="9"/>
          <w:sz w:val="35"/>
          <w:szCs w:val="35"/>
        </w:rPr>
        <w:t>关于动态调整淄博市工程造价咨询行业</w:t>
      </w:r>
      <w:bookmarkStart w:id="239" w:name="bookmark131"/>
      <w:bookmarkEnd w:id="239"/>
      <w:r>
        <w:rPr>
          <w:rFonts w:ascii="方正小标宋简体" w:hAnsi="方正小标宋简体" w:eastAsia="方正小标宋简体" w:cs="方正小标宋简体"/>
          <w:spacing w:val="9"/>
          <w:sz w:val="35"/>
          <w:szCs w:val="35"/>
        </w:rPr>
        <w:t>骨干企业和行业专家的通知</w:t>
      </w:r>
    </w:p>
    <w:p>
      <w:pPr>
        <w:spacing w:line="269" w:lineRule="auto"/>
        <w:rPr>
          <w:rFonts w:ascii="Arial"/>
          <w:sz w:val="21"/>
        </w:rPr>
      </w:pPr>
    </w:p>
    <w:p>
      <w:pPr>
        <w:spacing w:before="91" w:line="218" w:lineRule="auto"/>
        <w:ind w:left="3122"/>
        <w:outlineLvl w:val="0"/>
        <w:rPr>
          <w:rFonts w:ascii="KaiTi_GB2312" w:hAnsi="KaiTi_GB2312" w:eastAsia="KaiTi_GB2312" w:cs="KaiTi_GB2312"/>
          <w:sz w:val="28"/>
          <w:szCs w:val="28"/>
        </w:rPr>
      </w:pPr>
      <w:bookmarkStart w:id="240" w:name="bookmark131"/>
      <w:bookmarkEnd w:id="240"/>
      <w:r>
        <w:rPr>
          <w:rFonts w:ascii="KaiTi_GB2312" w:hAnsi="KaiTi_GB2312" w:eastAsia="KaiTi_GB2312" w:cs="KaiTi_GB2312"/>
          <w:spacing w:val="-2"/>
          <w:sz w:val="28"/>
          <w:szCs w:val="28"/>
        </w:rPr>
        <w:t>淄建函发〔2025〕33</w:t>
      </w:r>
      <w:r>
        <w:rPr>
          <w:rFonts w:ascii="KaiTi_GB2312" w:hAnsi="KaiTi_GB2312" w:eastAsia="KaiTi_GB2312" w:cs="KaiTi_GB2312"/>
          <w:spacing w:val="-54"/>
          <w:sz w:val="28"/>
          <w:szCs w:val="28"/>
        </w:rPr>
        <w:t xml:space="preserve"> </w:t>
      </w:r>
      <w:r>
        <w:rPr>
          <w:rFonts w:ascii="KaiTi_GB2312" w:hAnsi="KaiTi_GB2312" w:eastAsia="KaiTi_GB2312" w:cs="KaiTi_GB2312"/>
          <w:spacing w:val="-2"/>
          <w:sz w:val="28"/>
          <w:szCs w:val="28"/>
        </w:rPr>
        <w:t>号</w:t>
      </w:r>
    </w:p>
    <w:p>
      <w:pPr>
        <w:spacing w:line="416" w:lineRule="auto"/>
        <w:rPr>
          <w:rFonts w:ascii="Arial"/>
          <w:sz w:val="21"/>
        </w:rPr>
      </w:pPr>
    </w:p>
    <w:p>
      <w:pPr>
        <w:spacing w:before="66" w:line="370" w:lineRule="auto"/>
        <w:ind w:right="169" w:firstLine="1"/>
        <w:rPr>
          <w:rFonts w:ascii="宋体" w:hAnsi="宋体" w:eastAsia="宋体" w:cs="宋体"/>
          <w:sz w:val="20"/>
          <w:szCs w:val="20"/>
        </w:rPr>
      </w:pPr>
      <w:r>
        <w:rPr>
          <w:rFonts w:ascii="宋体" w:hAnsi="宋体" w:eastAsia="宋体" w:cs="宋体"/>
          <w:spacing w:val="8"/>
          <w:sz w:val="20"/>
          <w:szCs w:val="20"/>
        </w:rPr>
        <w:t>各区县住房城乡建设局，高新区、经济开发区建设局，文昌湖 省级旅游度假区城乡建设局</w:t>
      </w:r>
      <w:r>
        <w:rPr>
          <w:rFonts w:ascii="宋体" w:hAnsi="宋体" w:eastAsia="宋体" w:cs="宋体"/>
          <w:spacing w:val="7"/>
          <w:sz w:val="20"/>
          <w:szCs w:val="20"/>
        </w:rPr>
        <w:t>，各有</w:t>
      </w:r>
      <w:r>
        <w:rPr>
          <w:rFonts w:ascii="宋体" w:hAnsi="宋体" w:eastAsia="宋体" w:cs="宋体"/>
          <w:spacing w:val="6"/>
          <w:sz w:val="20"/>
          <w:szCs w:val="20"/>
        </w:rPr>
        <w:t>关单位：</w:t>
      </w:r>
    </w:p>
    <w:p>
      <w:pPr>
        <w:spacing w:before="3" w:line="368" w:lineRule="auto"/>
        <w:ind w:left="1" w:right="167" w:firstLine="425"/>
        <w:jc w:val="both"/>
        <w:rPr>
          <w:rFonts w:ascii="宋体" w:hAnsi="宋体" w:eastAsia="宋体" w:cs="宋体"/>
          <w:sz w:val="20"/>
          <w:szCs w:val="20"/>
        </w:rPr>
      </w:pPr>
      <w:r>
        <w:rPr>
          <w:rFonts w:ascii="宋体" w:hAnsi="宋体" w:eastAsia="宋体" w:cs="宋体"/>
          <w:spacing w:val="8"/>
          <w:sz w:val="20"/>
          <w:szCs w:val="20"/>
        </w:rPr>
        <w:t>为持续优化我市工程造价咨询行业结构，提升服务效能，</w:t>
      </w:r>
      <w:r>
        <w:rPr>
          <w:rFonts w:ascii="宋体" w:hAnsi="宋体" w:eastAsia="宋体" w:cs="宋体"/>
          <w:spacing w:val="-5"/>
          <w:sz w:val="20"/>
          <w:szCs w:val="20"/>
        </w:rPr>
        <w:t xml:space="preserve"> </w:t>
      </w:r>
      <w:r>
        <w:rPr>
          <w:rFonts w:ascii="宋体" w:hAnsi="宋体" w:eastAsia="宋体" w:cs="宋体"/>
          <w:spacing w:val="8"/>
          <w:sz w:val="20"/>
          <w:szCs w:val="20"/>
        </w:rPr>
        <w:t>强化专业支撑，稳妥推进行业高质</w:t>
      </w:r>
      <w:r>
        <w:rPr>
          <w:rFonts w:ascii="宋体" w:hAnsi="宋体" w:eastAsia="宋体" w:cs="宋体"/>
          <w:spacing w:val="10"/>
          <w:sz w:val="20"/>
          <w:szCs w:val="20"/>
        </w:rPr>
        <w:t>量发展，淄博市住房和城乡 建设局对淄博市工程造价咨询行业骨干企业和行业专家进行动 态调</w:t>
      </w:r>
      <w:r>
        <w:rPr>
          <w:rFonts w:ascii="宋体" w:hAnsi="宋体" w:eastAsia="宋体" w:cs="宋体"/>
          <w:spacing w:val="8"/>
          <w:sz w:val="20"/>
          <w:szCs w:val="20"/>
        </w:rPr>
        <w:t>整，并按照程序开展了工程造价咨询行业骨干企业和行业 专家申报、审核、公示等工作。现对调整后的名单进行公布并 提出如下要求。</w:t>
      </w:r>
    </w:p>
    <w:p>
      <w:pPr>
        <w:spacing w:before="2" w:line="369" w:lineRule="auto"/>
        <w:ind w:left="8" w:firstLine="412"/>
        <w:rPr>
          <w:rFonts w:ascii="宋体" w:hAnsi="宋体" w:eastAsia="宋体" w:cs="宋体"/>
          <w:sz w:val="20"/>
          <w:szCs w:val="20"/>
        </w:rPr>
      </w:pPr>
      <w:r>
        <w:rPr>
          <w:rFonts w:ascii="宋体" w:hAnsi="宋体" w:eastAsia="宋体" w:cs="宋体"/>
          <w:spacing w:val="7"/>
          <w:sz w:val="20"/>
          <w:szCs w:val="20"/>
        </w:rPr>
        <w:t>各区县住房城乡建设主管部门要高度重视骨干企业培育工 作，强化跟踪服务和行业政策</w:t>
      </w:r>
      <w:r>
        <w:rPr>
          <w:rFonts w:ascii="宋体" w:hAnsi="宋体" w:eastAsia="宋体" w:cs="宋体"/>
          <w:spacing w:val="6"/>
          <w:sz w:val="20"/>
          <w:szCs w:val="20"/>
        </w:rPr>
        <w:t>咨询，</w:t>
      </w:r>
      <w:r>
        <w:rPr>
          <w:rFonts w:ascii="宋体" w:hAnsi="宋体" w:eastAsia="宋体" w:cs="宋体"/>
          <w:spacing w:val="9"/>
          <w:sz w:val="20"/>
          <w:szCs w:val="20"/>
        </w:rPr>
        <w:t>引导企业重点做好全过程 工程咨询服务、数字化技术应用和专业技术人才引进培养。</w:t>
      </w:r>
    </w:p>
    <w:p>
      <w:pPr>
        <w:spacing w:before="4" w:line="364" w:lineRule="auto"/>
        <w:ind w:right="167" w:firstLine="420"/>
        <w:jc w:val="both"/>
        <w:rPr>
          <w:rFonts w:ascii="宋体" w:hAnsi="宋体" w:eastAsia="宋体" w:cs="宋体"/>
          <w:sz w:val="20"/>
          <w:szCs w:val="20"/>
        </w:rPr>
      </w:pPr>
      <w:r>
        <w:rPr>
          <w:rFonts w:ascii="宋体" w:hAnsi="宋体" w:eastAsia="宋体" w:cs="宋体"/>
          <w:spacing w:val="8"/>
          <w:sz w:val="20"/>
          <w:szCs w:val="20"/>
        </w:rPr>
        <w:t>鼓励列入名单的骨干企业恪守诚信原则，持续提升核心竞 争力与服务水平，积极参</w:t>
      </w:r>
      <w:r>
        <w:rPr>
          <w:rFonts w:ascii="宋体" w:hAnsi="宋体" w:eastAsia="宋体" w:cs="宋体"/>
          <w:spacing w:val="7"/>
          <w:sz w:val="20"/>
          <w:szCs w:val="20"/>
        </w:rPr>
        <w:t>与我市重</w:t>
      </w:r>
      <w:r>
        <w:rPr>
          <w:rFonts w:ascii="宋体" w:hAnsi="宋体" w:eastAsia="宋体" w:cs="宋体"/>
          <w:spacing w:val="8"/>
          <w:sz w:val="20"/>
          <w:szCs w:val="20"/>
        </w:rPr>
        <w:t>大项目建设，切实发挥行业标杆示范作用，在工程造价改革进程中积极引领带动，做好行 业政策研究、计价依据修订、材料价格采集、指标体系建设、 人才培育培养、典型经验做法推广等各项</w:t>
      </w:r>
      <w:r>
        <w:rPr>
          <w:rFonts w:ascii="宋体" w:hAnsi="宋体" w:eastAsia="宋体" w:cs="宋体"/>
          <w:spacing w:val="5"/>
          <w:sz w:val="20"/>
          <w:szCs w:val="20"/>
        </w:rPr>
        <w:t>工作。</w:t>
      </w:r>
    </w:p>
    <w:p>
      <w:pPr>
        <w:spacing w:before="19" w:line="369" w:lineRule="auto"/>
        <w:ind w:left="1" w:right="167" w:firstLine="421"/>
        <w:jc w:val="both"/>
        <w:rPr>
          <w:rFonts w:ascii="宋体" w:hAnsi="宋体" w:eastAsia="宋体" w:cs="宋体"/>
          <w:sz w:val="20"/>
          <w:szCs w:val="20"/>
        </w:rPr>
      </w:pPr>
      <w:r>
        <w:rPr>
          <w:rFonts w:ascii="宋体" w:hAnsi="宋体" w:eastAsia="宋体" w:cs="宋体"/>
          <w:spacing w:val="8"/>
          <w:sz w:val="20"/>
          <w:szCs w:val="20"/>
        </w:rPr>
        <w:t>支持列入名单的各行业专家认真履行专家职责，为我市工 程造价改革提供专业</w:t>
      </w:r>
      <w:r>
        <w:rPr>
          <w:rFonts w:ascii="宋体" w:hAnsi="宋体" w:eastAsia="宋体" w:cs="宋体"/>
          <w:spacing w:val="7"/>
          <w:sz w:val="20"/>
          <w:szCs w:val="20"/>
        </w:rPr>
        <w:t>技术支持和保</w:t>
      </w:r>
      <w:r>
        <w:rPr>
          <w:rFonts w:ascii="宋体" w:hAnsi="宋体" w:eastAsia="宋体" w:cs="宋体"/>
          <w:spacing w:val="10"/>
          <w:sz w:val="20"/>
          <w:szCs w:val="20"/>
        </w:rPr>
        <w:t>障，深度参与计价依据疑难 问题研讨、工程造价纠纷调解等工作，为工程造价行业高质量 发展</w:t>
      </w:r>
      <w:r>
        <w:rPr>
          <w:rFonts w:ascii="宋体" w:hAnsi="宋体" w:eastAsia="宋体" w:cs="宋体"/>
          <w:spacing w:val="8"/>
          <w:sz w:val="20"/>
          <w:szCs w:val="20"/>
        </w:rPr>
        <w:t>贡献专业智慧和力量；同时恪守诚信，依法合规、独立客 观的发表意见建议，以高度负责</w:t>
      </w:r>
      <w:r>
        <w:rPr>
          <w:rFonts w:ascii="宋体" w:hAnsi="宋体" w:eastAsia="宋体" w:cs="宋体"/>
          <w:spacing w:val="7"/>
          <w:sz w:val="20"/>
          <w:szCs w:val="20"/>
        </w:rPr>
        <w:t>任的态</w:t>
      </w:r>
      <w:r>
        <w:rPr>
          <w:rFonts w:ascii="宋体" w:hAnsi="宋体" w:eastAsia="宋体" w:cs="宋体"/>
          <w:spacing w:val="8"/>
          <w:sz w:val="20"/>
          <w:szCs w:val="20"/>
        </w:rPr>
        <w:t>度认真开展工作，共同 维护行业良好声誉。</w:t>
      </w:r>
    </w:p>
    <w:p>
      <w:pPr>
        <w:spacing w:before="1" w:line="370" w:lineRule="auto"/>
        <w:ind w:left="3" w:right="167" w:firstLine="422"/>
        <w:rPr>
          <w:rFonts w:ascii="宋体" w:hAnsi="宋体" w:eastAsia="宋体" w:cs="宋体"/>
          <w:sz w:val="20"/>
          <w:szCs w:val="20"/>
        </w:rPr>
      </w:pPr>
      <w:r>
        <w:rPr>
          <w:rFonts w:ascii="宋体" w:hAnsi="宋体" w:eastAsia="宋体" w:cs="宋体"/>
          <w:spacing w:val="8"/>
          <w:sz w:val="20"/>
          <w:szCs w:val="20"/>
        </w:rPr>
        <w:t>骨干企业及行业专家实行动态管理机制，对不符合要求者 将适时调整，</w:t>
      </w:r>
      <w:r>
        <w:rPr>
          <w:rFonts w:ascii="宋体" w:hAnsi="宋体" w:eastAsia="宋体" w:cs="宋体"/>
          <w:spacing w:val="7"/>
          <w:sz w:val="20"/>
          <w:szCs w:val="20"/>
        </w:rPr>
        <w:t>共同促进本市工程造</w:t>
      </w:r>
      <w:r>
        <w:rPr>
          <w:rFonts w:ascii="宋体" w:hAnsi="宋体" w:eastAsia="宋体" w:cs="宋体"/>
          <w:spacing w:val="8"/>
          <w:sz w:val="20"/>
          <w:szCs w:val="20"/>
        </w:rPr>
        <w:t>价咨询活动规范、高效、有 序开展。</w:t>
      </w:r>
    </w:p>
    <w:p>
      <w:pPr>
        <w:spacing w:line="327" w:lineRule="auto"/>
        <w:rPr>
          <w:rFonts w:ascii="Arial"/>
          <w:sz w:val="21"/>
        </w:rPr>
      </w:pPr>
    </w:p>
    <w:p>
      <w:pPr>
        <w:spacing w:before="65" w:line="276" w:lineRule="exact"/>
        <w:ind w:left="434"/>
        <w:rPr>
          <w:rFonts w:ascii="宋体" w:hAnsi="宋体" w:eastAsia="宋体" w:cs="宋体"/>
          <w:sz w:val="20"/>
          <w:szCs w:val="20"/>
        </w:rPr>
      </w:pPr>
      <w:r>
        <w:rPr>
          <w:rFonts w:ascii="宋体" w:hAnsi="宋体" w:eastAsia="宋体" w:cs="宋体"/>
          <w:spacing w:val="6"/>
          <w:position w:val="1"/>
          <w:sz w:val="20"/>
          <w:szCs w:val="20"/>
        </w:rPr>
        <w:t>附件：1.淄博市工程造价咨询行业骨干企业名单</w:t>
      </w:r>
    </w:p>
    <w:p>
      <w:pPr>
        <w:spacing w:before="125" w:line="276" w:lineRule="exact"/>
        <w:ind w:left="1054"/>
        <w:rPr>
          <w:rFonts w:ascii="宋体" w:hAnsi="宋体" w:eastAsia="宋体" w:cs="宋体"/>
          <w:sz w:val="20"/>
          <w:szCs w:val="20"/>
        </w:rPr>
      </w:pPr>
      <w:r>
        <w:rPr>
          <w:rFonts w:ascii="宋体" w:hAnsi="宋体" w:eastAsia="宋体" w:cs="宋体"/>
          <w:spacing w:val="5"/>
          <w:position w:val="1"/>
          <w:sz w:val="20"/>
          <w:szCs w:val="20"/>
        </w:rPr>
        <w:t>2.淄博市建设工程造价行业专家名单</w:t>
      </w:r>
    </w:p>
    <w:p>
      <w:pPr>
        <w:spacing w:line="457" w:lineRule="auto"/>
        <w:rPr>
          <w:rFonts w:ascii="Arial"/>
          <w:sz w:val="21"/>
        </w:rPr>
      </w:pPr>
    </w:p>
    <w:p>
      <w:pPr>
        <w:spacing w:before="66" w:line="222" w:lineRule="auto"/>
        <w:ind w:left="6548"/>
        <w:rPr>
          <w:rFonts w:ascii="宋体" w:hAnsi="宋体" w:eastAsia="宋体" w:cs="宋体"/>
          <w:sz w:val="20"/>
          <w:szCs w:val="20"/>
        </w:rPr>
      </w:pPr>
      <w:r>
        <w:rPr>
          <w:rFonts w:ascii="宋体" w:hAnsi="宋体" w:eastAsia="宋体" w:cs="宋体"/>
          <w:spacing w:val="8"/>
          <w:sz w:val="20"/>
          <w:szCs w:val="20"/>
        </w:rPr>
        <w:t>淄博市住房和城乡建设局</w:t>
      </w:r>
    </w:p>
    <w:p>
      <w:pPr>
        <w:spacing w:before="158" w:line="278" w:lineRule="exact"/>
        <w:ind w:left="7229"/>
        <w:rPr>
          <w:rFonts w:ascii="宋体" w:hAnsi="宋体" w:eastAsia="宋体" w:cs="宋体"/>
          <w:sz w:val="20"/>
          <w:szCs w:val="20"/>
        </w:rPr>
      </w:pPr>
      <w:r>
        <w:rPr>
          <w:rFonts w:ascii="宋体" w:hAnsi="宋体" w:eastAsia="宋体" w:cs="宋体"/>
          <w:spacing w:val="-1"/>
          <w:position w:val="1"/>
          <w:sz w:val="20"/>
          <w:szCs w:val="20"/>
        </w:rPr>
        <w:t>2025</w:t>
      </w:r>
      <w:r>
        <w:rPr>
          <w:rFonts w:ascii="宋体" w:hAnsi="宋体" w:eastAsia="宋体" w:cs="宋体"/>
          <w:spacing w:val="-32"/>
          <w:position w:val="1"/>
          <w:sz w:val="20"/>
          <w:szCs w:val="20"/>
        </w:rPr>
        <w:t xml:space="preserve"> </w:t>
      </w:r>
      <w:r>
        <w:rPr>
          <w:rFonts w:ascii="宋体" w:hAnsi="宋体" w:eastAsia="宋体" w:cs="宋体"/>
          <w:spacing w:val="-1"/>
          <w:position w:val="1"/>
          <w:sz w:val="20"/>
          <w:szCs w:val="20"/>
        </w:rPr>
        <w:t>年</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8</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月</w:t>
      </w:r>
      <w:r>
        <w:rPr>
          <w:rFonts w:ascii="宋体" w:hAnsi="宋体" w:eastAsia="宋体" w:cs="宋体"/>
          <w:spacing w:val="-25"/>
          <w:position w:val="1"/>
          <w:sz w:val="20"/>
          <w:szCs w:val="20"/>
        </w:rPr>
        <w:t xml:space="preserve"> </w:t>
      </w:r>
      <w:r>
        <w:rPr>
          <w:rFonts w:ascii="宋体" w:hAnsi="宋体" w:eastAsia="宋体" w:cs="宋体"/>
          <w:spacing w:val="-1"/>
          <w:position w:val="1"/>
          <w:sz w:val="20"/>
          <w:szCs w:val="20"/>
        </w:rPr>
        <w:t>18 日</w:t>
      </w:r>
    </w:p>
    <w:p>
      <w:pPr>
        <w:spacing w:line="453" w:lineRule="auto"/>
        <w:rPr>
          <w:rFonts w:ascii="Arial"/>
          <w:sz w:val="21"/>
        </w:rPr>
      </w:pPr>
    </w:p>
    <w:p>
      <w:pPr>
        <w:spacing w:before="65" w:line="277" w:lineRule="exact"/>
        <w:ind w:left="421"/>
        <w:rPr>
          <w:rFonts w:ascii="宋体" w:hAnsi="宋体" w:eastAsia="宋体" w:cs="宋体"/>
          <w:sz w:val="20"/>
          <w:szCs w:val="20"/>
        </w:rPr>
      </w:pPr>
      <w:r>
        <w:rPr>
          <w:rFonts w:ascii="宋体" w:hAnsi="宋体" w:eastAsia="宋体" w:cs="宋体"/>
          <w:spacing w:val="9"/>
          <w:position w:val="1"/>
          <w:sz w:val="20"/>
          <w:szCs w:val="20"/>
        </w:rPr>
        <w:t>抄送：各区县人民政府，高新区、经开区、文昌湖区管委 会，各区县法院、仲裁办。</w:t>
      </w:r>
    </w:p>
    <w:p>
      <w:pPr>
        <w:spacing w:line="277" w:lineRule="exact"/>
        <w:rPr>
          <w:rFonts w:ascii="宋体" w:hAnsi="宋体" w:eastAsia="宋体" w:cs="宋体"/>
          <w:sz w:val="20"/>
          <w:szCs w:val="20"/>
        </w:rPr>
        <w:sectPr>
          <w:footerReference r:id="rId316" w:type="default"/>
          <w:pgSz w:w="11900" w:h="16830"/>
          <w:pgMar w:top="400" w:right="1467" w:bottom="1184" w:left="1418" w:header="0" w:footer="869"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70"/>
        <w:rPr>
          <w:rFonts w:ascii="黑体" w:hAnsi="黑体" w:eastAsia="黑体" w:cs="黑体"/>
          <w:sz w:val="20"/>
          <w:szCs w:val="20"/>
        </w:rPr>
      </w:pPr>
      <w:r>
        <w:rPr>
          <w:rFonts w:ascii="黑体" w:hAnsi="黑体" w:eastAsia="黑体" w:cs="黑体"/>
          <w:spacing w:val="-1"/>
          <w:sz w:val="20"/>
          <w:szCs w:val="20"/>
        </w:rPr>
        <w:t>附件</w:t>
      </w:r>
      <w:r>
        <w:rPr>
          <w:rFonts w:ascii="黑体" w:hAnsi="黑体" w:eastAsia="黑体" w:cs="黑体"/>
          <w:spacing w:val="-27"/>
          <w:sz w:val="20"/>
          <w:szCs w:val="20"/>
        </w:rPr>
        <w:t xml:space="preserve"> </w:t>
      </w:r>
      <w:r>
        <w:rPr>
          <w:rFonts w:ascii="黑体" w:hAnsi="黑体" w:eastAsia="黑体" w:cs="黑体"/>
          <w:spacing w:val="-1"/>
          <w:sz w:val="20"/>
          <w:szCs w:val="20"/>
        </w:rPr>
        <w:t>1</w:t>
      </w:r>
    </w:p>
    <w:p>
      <w:pPr>
        <w:spacing w:line="410" w:lineRule="auto"/>
        <w:rPr>
          <w:rFonts w:ascii="Arial"/>
          <w:sz w:val="21"/>
        </w:rPr>
      </w:pPr>
    </w:p>
    <w:p>
      <w:pPr>
        <w:spacing w:before="117" w:line="235" w:lineRule="auto"/>
        <w:ind w:left="1625"/>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淄博市工程造价咨询行业骨干企业名单</w:t>
      </w:r>
    </w:p>
    <w:p>
      <w:pPr>
        <w:spacing w:line="193" w:lineRule="exact"/>
      </w:pPr>
    </w:p>
    <w:tbl>
      <w:tblPr>
        <w:tblStyle w:val="5"/>
        <w:tblW w:w="8143"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8"/>
        <w:gridCol w:w="5978"/>
        <w:gridCol w:w="11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3" w:hRule="atLeast"/>
        </w:trPr>
        <w:tc>
          <w:tcPr>
            <w:tcW w:w="1038" w:type="dxa"/>
            <w:vAlign w:val="top"/>
          </w:tcPr>
          <w:p>
            <w:pPr>
              <w:spacing w:before="209" w:line="222" w:lineRule="auto"/>
              <w:ind w:left="237"/>
              <w:rPr>
                <w:rFonts w:ascii="宋体" w:hAnsi="宋体" w:eastAsia="宋体" w:cs="宋体"/>
                <w:sz w:val="20"/>
                <w:szCs w:val="20"/>
              </w:rPr>
            </w:pPr>
            <w:r>
              <w:rPr>
                <w:rFonts w:ascii="宋体" w:hAnsi="宋体" w:eastAsia="宋体" w:cs="宋体"/>
                <w:b/>
                <w:bCs/>
                <w:spacing w:val="-1"/>
                <w:sz w:val="20"/>
                <w:szCs w:val="20"/>
              </w:rPr>
              <w:t>序号</w:t>
            </w:r>
          </w:p>
        </w:tc>
        <w:tc>
          <w:tcPr>
            <w:tcW w:w="5978" w:type="dxa"/>
            <w:vAlign w:val="top"/>
          </w:tcPr>
          <w:p>
            <w:pPr>
              <w:spacing w:before="213" w:line="218" w:lineRule="auto"/>
              <w:ind w:left="2349"/>
              <w:rPr>
                <w:rFonts w:ascii="宋体" w:hAnsi="宋体" w:eastAsia="宋体" w:cs="宋体"/>
                <w:sz w:val="20"/>
                <w:szCs w:val="20"/>
              </w:rPr>
            </w:pPr>
            <w:r>
              <w:rPr>
                <w:rFonts w:ascii="宋体" w:hAnsi="宋体" w:eastAsia="宋体" w:cs="宋体"/>
                <w:b/>
                <w:bCs/>
                <w:spacing w:val="4"/>
                <w:sz w:val="20"/>
                <w:szCs w:val="20"/>
              </w:rPr>
              <w:t>企业名称</w:t>
            </w:r>
          </w:p>
        </w:tc>
        <w:tc>
          <w:tcPr>
            <w:tcW w:w="1127" w:type="dxa"/>
            <w:vAlign w:val="top"/>
          </w:tcPr>
          <w:p>
            <w:pPr>
              <w:spacing w:before="205" w:line="216" w:lineRule="auto"/>
              <w:ind w:left="289"/>
              <w:rPr>
                <w:rFonts w:ascii="宋体" w:hAnsi="宋体" w:eastAsia="宋体" w:cs="宋体"/>
                <w:sz w:val="20"/>
                <w:szCs w:val="20"/>
              </w:rPr>
            </w:pPr>
            <w:r>
              <w:rPr>
                <w:rFonts w:ascii="宋体" w:hAnsi="宋体" w:eastAsia="宋体" w:cs="宋体"/>
                <w:b/>
                <w:bCs/>
                <w:spacing w:val="11"/>
                <w:sz w:val="20"/>
                <w:szCs w:val="20"/>
              </w:rPr>
              <w:t>辖区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4" w:hRule="atLeast"/>
        </w:trPr>
        <w:tc>
          <w:tcPr>
            <w:tcW w:w="1038" w:type="dxa"/>
            <w:vAlign w:val="top"/>
          </w:tcPr>
          <w:p>
            <w:pPr>
              <w:spacing w:before="236" w:line="301" w:lineRule="exact"/>
              <w:ind w:left="461"/>
              <w:rPr>
                <w:rFonts w:ascii="宋体" w:hAnsi="宋体" w:eastAsia="宋体" w:cs="宋体"/>
                <w:sz w:val="20"/>
                <w:szCs w:val="20"/>
              </w:rPr>
            </w:pPr>
            <w:r>
              <w:rPr>
                <w:rFonts w:ascii="宋体" w:hAnsi="宋体" w:eastAsia="宋体" w:cs="宋体"/>
                <w:position w:val="2"/>
                <w:sz w:val="20"/>
                <w:szCs w:val="20"/>
              </w:rPr>
              <w:t>1</w:t>
            </w:r>
          </w:p>
        </w:tc>
        <w:tc>
          <w:tcPr>
            <w:tcW w:w="5978" w:type="dxa"/>
            <w:vAlign w:val="top"/>
          </w:tcPr>
          <w:p>
            <w:pPr>
              <w:spacing w:before="190" w:line="221" w:lineRule="auto"/>
              <w:ind w:left="130"/>
              <w:rPr>
                <w:rFonts w:ascii="宋体" w:hAnsi="宋体" w:eastAsia="宋体" w:cs="宋体"/>
                <w:sz w:val="20"/>
                <w:szCs w:val="20"/>
              </w:rPr>
            </w:pPr>
            <w:r>
              <w:rPr>
                <w:rFonts w:ascii="宋体" w:hAnsi="宋体" w:eastAsia="宋体" w:cs="宋体"/>
                <w:spacing w:val="12"/>
                <w:sz w:val="20"/>
                <w:szCs w:val="20"/>
              </w:rPr>
              <w:t>山东梅隆工程项目管理有限公司</w:t>
            </w:r>
          </w:p>
        </w:tc>
        <w:tc>
          <w:tcPr>
            <w:tcW w:w="1127" w:type="dxa"/>
            <w:vAlign w:val="top"/>
          </w:tcPr>
          <w:p>
            <w:pPr>
              <w:spacing w:before="194" w:line="215" w:lineRule="auto"/>
              <w:ind w:left="158"/>
              <w:rPr>
                <w:rFonts w:ascii="宋体" w:hAnsi="宋体" w:eastAsia="宋体" w:cs="宋体"/>
                <w:sz w:val="20"/>
                <w:szCs w:val="20"/>
              </w:rPr>
            </w:pPr>
            <w:r>
              <w:rPr>
                <w:rFonts w:ascii="宋体" w:hAnsi="宋体" w:eastAsia="宋体" w:cs="宋体"/>
                <w:spacing w:val="14"/>
                <w:sz w:val="20"/>
                <w:szCs w:val="20"/>
              </w:rPr>
              <w:t>临淄区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trPr>
        <w:tc>
          <w:tcPr>
            <w:tcW w:w="1038" w:type="dxa"/>
            <w:vAlign w:val="top"/>
          </w:tcPr>
          <w:p>
            <w:pPr>
              <w:spacing w:before="246" w:line="301" w:lineRule="exact"/>
              <w:ind w:left="444"/>
              <w:rPr>
                <w:rFonts w:ascii="宋体" w:hAnsi="宋体" w:eastAsia="宋体" w:cs="宋体"/>
                <w:sz w:val="20"/>
                <w:szCs w:val="20"/>
              </w:rPr>
            </w:pPr>
            <w:r>
              <w:rPr>
                <w:rFonts w:ascii="宋体" w:hAnsi="宋体" w:eastAsia="宋体" w:cs="宋体"/>
                <w:position w:val="2"/>
                <w:sz w:val="20"/>
                <w:szCs w:val="20"/>
              </w:rPr>
              <w:t>2</w:t>
            </w:r>
          </w:p>
        </w:tc>
        <w:tc>
          <w:tcPr>
            <w:tcW w:w="5978" w:type="dxa"/>
            <w:vAlign w:val="top"/>
          </w:tcPr>
          <w:p>
            <w:pPr>
              <w:spacing w:before="201" w:line="221" w:lineRule="auto"/>
              <w:ind w:left="130"/>
              <w:rPr>
                <w:rFonts w:ascii="宋体" w:hAnsi="宋体" w:eastAsia="宋体" w:cs="宋体"/>
                <w:sz w:val="20"/>
                <w:szCs w:val="20"/>
              </w:rPr>
            </w:pPr>
            <w:r>
              <w:rPr>
                <w:rFonts w:ascii="宋体" w:hAnsi="宋体" w:eastAsia="宋体" w:cs="宋体"/>
                <w:spacing w:val="12"/>
                <w:sz w:val="20"/>
                <w:szCs w:val="20"/>
              </w:rPr>
              <w:t>山东同力建设项目管理有限公司</w:t>
            </w:r>
          </w:p>
        </w:tc>
        <w:tc>
          <w:tcPr>
            <w:tcW w:w="1127" w:type="dxa"/>
            <w:vAlign w:val="top"/>
          </w:tcPr>
          <w:p>
            <w:pPr>
              <w:spacing w:before="203"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trPr>
        <w:tc>
          <w:tcPr>
            <w:tcW w:w="1038" w:type="dxa"/>
            <w:vAlign w:val="top"/>
          </w:tcPr>
          <w:p>
            <w:pPr>
              <w:spacing w:before="249" w:line="299" w:lineRule="exact"/>
              <w:ind w:left="447"/>
              <w:rPr>
                <w:rFonts w:ascii="宋体" w:hAnsi="宋体" w:eastAsia="宋体" w:cs="宋体"/>
                <w:sz w:val="20"/>
                <w:szCs w:val="20"/>
              </w:rPr>
            </w:pPr>
            <w:r>
              <w:rPr>
                <w:rFonts w:ascii="宋体" w:hAnsi="宋体" w:eastAsia="宋体" w:cs="宋体"/>
                <w:position w:val="2"/>
                <w:sz w:val="20"/>
                <w:szCs w:val="20"/>
              </w:rPr>
              <w:t>3</w:t>
            </w:r>
          </w:p>
        </w:tc>
        <w:tc>
          <w:tcPr>
            <w:tcW w:w="5978" w:type="dxa"/>
            <w:vAlign w:val="top"/>
          </w:tcPr>
          <w:p>
            <w:pPr>
              <w:spacing w:before="203" w:line="219" w:lineRule="auto"/>
              <w:ind w:left="130"/>
              <w:rPr>
                <w:rFonts w:ascii="宋体" w:hAnsi="宋体" w:eastAsia="宋体" w:cs="宋体"/>
                <w:sz w:val="20"/>
                <w:szCs w:val="20"/>
              </w:rPr>
            </w:pPr>
            <w:r>
              <w:rPr>
                <w:rFonts w:ascii="宋体" w:hAnsi="宋体" w:eastAsia="宋体" w:cs="宋体"/>
                <w:spacing w:val="12"/>
                <w:sz w:val="20"/>
                <w:szCs w:val="20"/>
              </w:rPr>
              <w:t>山东齐鲁工程审计监理有限公司</w:t>
            </w:r>
          </w:p>
        </w:tc>
        <w:tc>
          <w:tcPr>
            <w:tcW w:w="1127" w:type="dxa"/>
            <w:vAlign w:val="top"/>
          </w:tcPr>
          <w:p>
            <w:pPr>
              <w:spacing w:before="203"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4" w:hRule="atLeast"/>
        </w:trPr>
        <w:tc>
          <w:tcPr>
            <w:tcW w:w="1038" w:type="dxa"/>
            <w:vAlign w:val="top"/>
          </w:tcPr>
          <w:p>
            <w:pPr>
              <w:spacing w:before="242" w:line="301" w:lineRule="exact"/>
              <w:ind w:left="441"/>
              <w:rPr>
                <w:rFonts w:ascii="宋体" w:hAnsi="宋体" w:eastAsia="宋体" w:cs="宋体"/>
                <w:sz w:val="20"/>
                <w:szCs w:val="20"/>
              </w:rPr>
            </w:pPr>
            <w:r>
              <w:rPr>
                <w:rFonts w:ascii="宋体" w:hAnsi="宋体" w:eastAsia="宋体" w:cs="宋体"/>
                <w:spacing w:val="1"/>
                <w:position w:val="2"/>
                <w:sz w:val="20"/>
                <w:szCs w:val="20"/>
              </w:rPr>
              <w:t>4</w:t>
            </w:r>
          </w:p>
        </w:tc>
        <w:tc>
          <w:tcPr>
            <w:tcW w:w="5978" w:type="dxa"/>
            <w:vAlign w:val="top"/>
          </w:tcPr>
          <w:p>
            <w:pPr>
              <w:spacing w:before="195" w:line="220" w:lineRule="auto"/>
              <w:ind w:left="130"/>
              <w:rPr>
                <w:rFonts w:ascii="宋体" w:hAnsi="宋体" w:eastAsia="宋体" w:cs="宋体"/>
                <w:sz w:val="20"/>
                <w:szCs w:val="20"/>
              </w:rPr>
            </w:pPr>
            <w:r>
              <w:rPr>
                <w:rFonts w:ascii="宋体" w:hAnsi="宋体" w:eastAsia="宋体" w:cs="宋体"/>
                <w:spacing w:val="13"/>
                <w:sz w:val="20"/>
                <w:szCs w:val="20"/>
              </w:rPr>
              <w:t>山东金润建设咨询有限公司</w:t>
            </w:r>
          </w:p>
        </w:tc>
        <w:tc>
          <w:tcPr>
            <w:tcW w:w="1127" w:type="dxa"/>
            <w:vAlign w:val="top"/>
          </w:tcPr>
          <w:p>
            <w:pPr>
              <w:spacing w:before="197"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trPr>
        <w:tc>
          <w:tcPr>
            <w:tcW w:w="1038" w:type="dxa"/>
            <w:vAlign w:val="top"/>
          </w:tcPr>
          <w:p>
            <w:pPr>
              <w:spacing w:before="252" w:line="299" w:lineRule="exact"/>
              <w:ind w:left="444"/>
              <w:rPr>
                <w:rFonts w:ascii="宋体" w:hAnsi="宋体" w:eastAsia="宋体" w:cs="宋体"/>
                <w:sz w:val="20"/>
                <w:szCs w:val="20"/>
              </w:rPr>
            </w:pPr>
            <w:r>
              <w:rPr>
                <w:rFonts w:ascii="宋体" w:hAnsi="宋体" w:eastAsia="宋体" w:cs="宋体"/>
                <w:position w:val="2"/>
                <w:sz w:val="20"/>
                <w:szCs w:val="20"/>
              </w:rPr>
              <w:t>5</w:t>
            </w:r>
          </w:p>
        </w:tc>
        <w:tc>
          <w:tcPr>
            <w:tcW w:w="5978" w:type="dxa"/>
            <w:vAlign w:val="top"/>
          </w:tcPr>
          <w:p>
            <w:pPr>
              <w:spacing w:before="204" w:line="221" w:lineRule="auto"/>
              <w:ind w:left="130"/>
              <w:rPr>
                <w:rFonts w:ascii="宋体" w:hAnsi="宋体" w:eastAsia="宋体" w:cs="宋体"/>
                <w:sz w:val="20"/>
                <w:szCs w:val="20"/>
              </w:rPr>
            </w:pPr>
            <w:r>
              <w:rPr>
                <w:rFonts w:ascii="宋体" w:hAnsi="宋体" w:eastAsia="宋体" w:cs="宋体"/>
                <w:spacing w:val="12"/>
                <w:sz w:val="20"/>
                <w:szCs w:val="20"/>
              </w:rPr>
              <w:t>山东瀚广建设项目管理有限公司</w:t>
            </w:r>
          </w:p>
        </w:tc>
        <w:tc>
          <w:tcPr>
            <w:tcW w:w="1127" w:type="dxa"/>
            <w:vAlign w:val="top"/>
          </w:tcPr>
          <w:p>
            <w:pPr>
              <w:spacing w:before="206"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trPr>
        <w:tc>
          <w:tcPr>
            <w:tcW w:w="1038" w:type="dxa"/>
            <w:vAlign w:val="top"/>
          </w:tcPr>
          <w:p>
            <w:pPr>
              <w:spacing w:before="252" w:line="300" w:lineRule="exact"/>
              <w:ind w:left="445"/>
              <w:rPr>
                <w:rFonts w:ascii="宋体" w:hAnsi="宋体" w:eastAsia="宋体" w:cs="宋体"/>
                <w:sz w:val="20"/>
                <w:szCs w:val="20"/>
              </w:rPr>
            </w:pPr>
            <w:r>
              <w:rPr>
                <w:rFonts w:ascii="宋体" w:hAnsi="宋体" w:eastAsia="宋体" w:cs="宋体"/>
                <w:position w:val="2"/>
                <w:sz w:val="20"/>
                <w:szCs w:val="20"/>
              </w:rPr>
              <w:t>6</w:t>
            </w:r>
          </w:p>
        </w:tc>
        <w:tc>
          <w:tcPr>
            <w:tcW w:w="5978" w:type="dxa"/>
            <w:vAlign w:val="top"/>
          </w:tcPr>
          <w:p>
            <w:pPr>
              <w:spacing w:before="210" w:line="219" w:lineRule="auto"/>
              <w:ind w:left="136"/>
              <w:rPr>
                <w:rFonts w:ascii="宋体" w:hAnsi="宋体" w:eastAsia="宋体" w:cs="宋体"/>
                <w:sz w:val="20"/>
                <w:szCs w:val="20"/>
              </w:rPr>
            </w:pPr>
            <w:r>
              <w:rPr>
                <w:rFonts w:ascii="宋体" w:hAnsi="宋体" w:eastAsia="宋体" w:cs="宋体"/>
                <w:spacing w:val="13"/>
                <w:sz w:val="20"/>
                <w:szCs w:val="20"/>
              </w:rPr>
              <w:t>中杰齐晟项目管理有限公司</w:t>
            </w:r>
          </w:p>
        </w:tc>
        <w:tc>
          <w:tcPr>
            <w:tcW w:w="1127" w:type="dxa"/>
            <w:vAlign w:val="top"/>
          </w:tcPr>
          <w:p>
            <w:pPr>
              <w:spacing w:before="209"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2" w:hRule="atLeast"/>
        </w:trPr>
        <w:tc>
          <w:tcPr>
            <w:tcW w:w="1038" w:type="dxa"/>
            <w:vAlign w:val="top"/>
          </w:tcPr>
          <w:p>
            <w:pPr>
              <w:spacing w:before="255" w:line="300" w:lineRule="exact"/>
              <w:ind w:left="442"/>
              <w:rPr>
                <w:rFonts w:ascii="宋体" w:hAnsi="宋体" w:eastAsia="宋体" w:cs="宋体"/>
                <w:sz w:val="20"/>
                <w:szCs w:val="20"/>
              </w:rPr>
            </w:pPr>
            <w:r>
              <w:rPr>
                <w:rFonts w:ascii="宋体" w:hAnsi="宋体" w:eastAsia="宋体" w:cs="宋体"/>
                <w:position w:val="2"/>
                <w:sz w:val="20"/>
                <w:szCs w:val="20"/>
              </w:rPr>
              <w:t>7</w:t>
            </w:r>
          </w:p>
        </w:tc>
        <w:tc>
          <w:tcPr>
            <w:tcW w:w="5978" w:type="dxa"/>
            <w:vAlign w:val="top"/>
          </w:tcPr>
          <w:p>
            <w:pPr>
              <w:spacing w:before="210" w:line="222" w:lineRule="auto"/>
              <w:ind w:left="130"/>
              <w:rPr>
                <w:rFonts w:ascii="宋体" w:hAnsi="宋体" w:eastAsia="宋体" w:cs="宋体"/>
                <w:sz w:val="20"/>
                <w:szCs w:val="20"/>
              </w:rPr>
            </w:pPr>
            <w:r>
              <w:rPr>
                <w:rFonts w:ascii="宋体" w:hAnsi="宋体" w:eastAsia="宋体" w:cs="宋体"/>
                <w:spacing w:val="12"/>
                <w:sz w:val="20"/>
                <w:szCs w:val="20"/>
              </w:rPr>
              <w:t>山东仲泰建设项目管理有限公司</w:t>
            </w:r>
          </w:p>
        </w:tc>
        <w:tc>
          <w:tcPr>
            <w:tcW w:w="1127" w:type="dxa"/>
            <w:vAlign w:val="top"/>
          </w:tcPr>
          <w:p>
            <w:pPr>
              <w:spacing w:before="212"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1038" w:type="dxa"/>
            <w:vAlign w:val="top"/>
          </w:tcPr>
          <w:p>
            <w:pPr>
              <w:spacing w:before="249" w:line="300" w:lineRule="exact"/>
              <w:ind w:left="446"/>
              <w:rPr>
                <w:rFonts w:ascii="宋体" w:hAnsi="宋体" w:eastAsia="宋体" w:cs="宋体"/>
                <w:sz w:val="20"/>
                <w:szCs w:val="20"/>
              </w:rPr>
            </w:pPr>
            <w:r>
              <w:rPr>
                <w:rFonts w:ascii="宋体" w:hAnsi="宋体" w:eastAsia="宋体" w:cs="宋体"/>
                <w:position w:val="2"/>
                <w:sz w:val="20"/>
                <w:szCs w:val="20"/>
              </w:rPr>
              <w:t>8</w:t>
            </w:r>
          </w:p>
        </w:tc>
        <w:tc>
          <w:tcPr>
            <w:tcW w:w="5978" w:type="dxa"/>
            <w:vAlign w:val="top"/>
          </w:tcPr>
          <w:p>
            <w:pPr>
              <w:spacing w:before="201" w:line="219" w:lineRule="auto"/>
              <w:ind w:left="130"/>
              <w:rPr>
                <w:rFonts w:ascii="宋体" w:hAnsi="宋体" w:eastAsia="宋体" w:cs="宋体"/>
                <w:sz w:val="20"/>
                <w:szCs w:val="20"/>
              </w:rPr>
            </w:pPr>
            <w:r>
              <w:rPr>
                <w:rFonts w:ascii="宋体" w:hAnsi="宋体" w:eastAsia="宋体" w:cs="宋体"/>
                <w:spacing w:val="12"/>
                <w:sz w:val="20"/>
                <w:szCs w:val="20"/>
              </w:rPr>
              <w:t>山东博会工程造价咨询有限公司</w:t>
            </w:r>
          </w:p>
        </w:tc>
        <w:tc>
          <w:tcPr>
            <w:tcW w:w="1127" w:type="dxa"/>
            <w:vAlign w:val="top"/>
          </w:tcPr>
          <w:p>
            <w:pPr>
              <w:spacing w:before="204" w:line="219" w:lineRule="auto"/>
              <w:ind w:left="150"/>
              <w:rPr>
                <w:rFonts w:ascii="宋体" w:hAnsi="宋体" w:eastAsia="宋体" w:cs="宋体"/>
                <w:sz w:val="20"/>
                <w:szCs w:val="20"/>
              </w:rPr>
            </w:pPr>
            <w:r>
              <w:rPr>
                <w:rFonts w:ascii="宋体" w:hAnsi="宋体" w:eastAsia="宋体" w:cs="宋体"/>
                <w:spacing w:val="17"/>
                <w:sz w:val="20"/>
                <w:szCs w:val="20"/>
              </w:rPr>
              <w:t>高新区</w:t>
            </w:r>
          </w:p>
        </w:tc>
      </w:tr>
    </w:tbl>
    <w:p>
      <w:pPr>
        <w:rPr>
          <w:rFonts w:ascii="Arial"/>
          <w:sz w:val="21"/>
        </w:rPr>
      </w:pPr>
    </w:p>
    <w:p>
      <w:pPr>
        <w:rPr>
          <w:rFonts w:ascii="Arial" w:hAnsi="Arial" w:eastAsia="Arial" w:cs="Arial"/>
          <w:sz w:val="21"/>
          <w:szCs w:val="21"/>
        </w:rPr>
        <w:sectPr>
          <w:footerReference r:id="rId317" w:type="default"/>
          <w:pgSz w:w="11900" w:h="16830"/>
          <w:pgMar w:top="400" w:right="1419" w:bottom="1184" w:left="1785" w:header="0" w:footer="869" w:gutter="0"/>
        </w:sectPr>
      </w:pPr>
    </w:p>
    <w:p>
      <w:pPr>
        <w:spacing w:line="281" w:lineRule="auto"/>
        <w:rPr>
          <w:rFonts w:ascii="Arial"/>
          <w:sz w:val="21"/>
        </w:rPr>
      </w:pPr>
    </w:p>
    <w:p>
      <w:pPr>
        <w:spacing w:line="282" w:lineRule="auto"/>
        <w:rPr>
          <w:rFonts w:ascii="Arial"/>
          <w:sz w:val="21"/>
        </w:rPr>
      </w:pPr>
    </w:p>
    <w:p>
      <w:pPr>
        <w:spacing w:before="116" w:line="235" w:lineRule="auto"/>
        <w:ind w:left="2291"/>
        <w:rPr>
          <w:rFonts w:ascii="方正小标宋简体" w:hAnsi="方正小标宋简体" w:eastAsia="方正小标宋简体" w:cs="方正小标宋简体"/>
          <w:sz w:val="30"/>
          <w:szCs w:val="30"/>
        </w:rPr>
      </w:pPr>
      <w:bookmarkStart w:id="241" w:name="bookmark203"/>
      <w:bookmarkEnd w:id="241"/>
      <w:r>
        <w:rPr>
          <w:rFonts w:ascii="方正小标宋简体" w:hAnsi="方正小标宋简体" w:eastAsia="方正小标宋简体" w:cs="方正小标宋简体"/>
          <w:spacing w:val="-1"/>
          <w:sz w:val="30"/>
          <w:szCs w:val="30"/>
        </w:rPr>
        <w:t>淄博市建设工程造价行业专家名单</w:t>
      </w:r>
    </w:p>
    <w:p>
      <w:pPr>
        <w:spacing w:line="125" w:lineRule="exact"/>
      </w:pPr>
    </w:p>
    <w:tbl>
      <w:tblPr>
        <w:tblStyle w:val="5"/>
        <w:tblW w:w="8544" w:type="dxa"/>
        <w:tblInd w:w="1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1567"/>
        <w:gridCol w:w="60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918" w:type="dxa"/>
            <w:vAlign w:val="top"/>
          </w:tcPr>
          <w:p>
            <w:pPr>
              <w:spacing w:before="220" w:line="222" w:lineRule="auto"/>
              <w:ind w:left="248"/>
              <w:rPr>
                <w:rFonts w:ascii="宋体" w:hAnsi="宋体" w:eastAsia="宋体" w:cs="宋体"/>
                <w:sz w:val="20"/>
                <w:szCs w:val="20"/>
              </w:rPr>
            </w:pPr>
            <w:r>
              <w:rPr>
                <w:rFonts w:ascii="宋体" w:hAnsi="宋体" w:eastAsia="宋体" w:cs="宋体"/>
                <w:b/>
                <w:bCs/>
                <w:spacing w:val="6"/>
                <w:sz w:val="20"/>
                <w:szCs w:val="20"/>
              </w:rPr>
              <w:t>序号</w:t>
            </w:r>
          </w:p>
        </w:tc>
        <w:tc>
          <w:tcPr>
            <w:tcW w:w="1567" w:type="dxa"/>
            <w:vAlign w:val="top"/>
          </w:tcPr>
          <w:p>
            <w:pPr>
              <w:spacing w:before="221" w:line="215" w:lineRule="auto"/>
              <w:ind w:left="550"/>
              <w:rPr>
                <w:rFonts w:ascii="宋体" w:hAnsi="宋体" w:eastAsia="宋体" w:cs="宋体"/>
                <w:sz w:val="20"/>
                <w:szCs w:val="20"/>
              </w:rPr>
            </w:pPr>
            <w:r>
              <w:rPr>
                <w:rFonts w:ascii="宋体" w:hAnsi="宋体" w:eastAsia="宋体" w:cs="宋体"/>
                <w:b/>
                <w:bCs/>
                <w:spacing w:val="17"/>
                <w:sz w:val="20"/>
                <w:szCs w:val="20"/>
              </w:rPr>
              <w:t>姓名</w:t>
            </w:r>
          </w:p>
        </w:tc>
        <w:tc>
          <w:tcPr>
            <w:tcW w:w="6059" w:type="dxa"/>
            <w:vAlign w:val="top"/>
          </w:tcPr>
          <w:p>
            <w:pPr>
              <w:spacing w:before="220" w:line="221" w:lineRule="auto"/>
              <w:ind w:left="2637"/>
              <w:rPr>
                <w:rFonts w:ascii="宋体" w:hAnsi="宋体" w:eastAsia="宋体" w:cs="宋体"/>
                <w:sz w:val="20"/>
                <w:szCs w:val="20"/>
              </w:rPr>
            </w:pPr>
            <w:r>
              <w:rPr>
                <w:rFonts w:ascii="宋体" w:hAnsi="宋体" w:eastAsia="宋体" w:cs="宋体"/>
                <w:b/>
                <w:bCs/>
                <w:spacing w:val="-3"/>
                <w:sz w:val="20"/>
                <w:szCs w:val="20"/>
              </w:rPr>
              <w:t>工作单位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8544" w:type="dxa"/>
            <w:gridSpan w:val="3"/>
            <w:vAlign w:val="top"/>
          </w:tcPr>
          <w:p>
            <w:pPr>
              <w:spacing w:before="223" w:line="279" w:lineRule="exact"/>
              <w:ind w:left="3687"/>
              <w:rPr>
                <w:rFonts w:ascii="宋体" w:hAnsi="宋体" w:eastAsia="宋体" w:cs="宋体"/>
                <w:sz w:val="20"/>
                <w:szCs w:val="20"/>
              </w:rPr>
            </w:pPr>
            <w:r>
              <w:rPr>
                <w:rFonts w:ascii="宋体" w:hAnsi="宋体" w:eastAsia="宋体" w:cs="宋体"/>
                <w:b/>
                <w:bCs/>
                <w:spacing w:val="-7"/>
                <w:position w:val="1"/>
                <w:sz w:val="20"/>
                <w:szCs w:val="20"/>
              </w:rPr>
              <w:t>(一)建筑专业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30" w:line="301" w:lineRule="exact"/>
              <w:ind w:left="421"/>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202" w:line="218" w:lineRule="auto"/>
              <w:ind w:left="452"/>
              <w:rPr>
                <w:rFonts w:ascii="宋体" w:hAnsi="宋体" w:eastAsia="宋体" w:cs="宋体"/>
                <w:sz w:val="20"/>
                <w:szCs w:val="20"/>
              </w:rPr>
            </w:pPr>
            <w:r>
              <w:rPr>
                <w:rFonts w:ascii="宋体" w:hAnsi="宋体" w:eastAsia="宋体" w:cs="宋体"/>
                <w:spacing w:val="9"/>
                <w:sz w:val="20"/>
                <w:szCs w:val="20"/>
              </w:rPr>
              <w:t>于凤莲</w:t>
            </w:r>
          </w:p>
        </w:tc>
        <w:tc>
          <w:tcPr>
            <w:tcW w:w="6059" w:type="dxa"/>
            <w:vAlign w:val="top"/>
          </w:tcPr>
          <w:p>
            <w:pPr>
              <w:spacing w:before="190" w:line="221" w:lineRule="auto"/>
              <w:ind w:left="159"/>
              <w:rPr>
                <w:rFonts w:ascii="宋体" w:hAnsi="宋体" w:eastAsia="宋体" w:cs="宋体"/>
                <w:sz w:val="20"/>
                <w:szCs w:val="20"/>
              </w:rPr>
            </w:pPr>
            <w:r>
              <w:rPr>
                <w:rFonts w:ascii="宋体" w:hAnsi="宋体" w:eastAsia="宋体" w:cs="宋体"/>
                <w:spacing w:val="11"/>
                <w:sz w:val="20"/>
                <w:szCs w:val="20"/>
              </w:rPr>
              <w:t>中天建华工程咨询有限公司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30" w:line="301" w:lineRule="exact"/>
              <w:ind w:left="404"/>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193" w:line="218" w:lineRule="auto"/>
              <w:ind w:left="555"/>
              <w:rPr>
                <w:rFonts w:ascii="宋体" w:hAnsi="宋体" w:eastAsia="宋体" w:cs="宋体"/>
                <w:sz w:val="20"/>
                <w:szCs w:val="20"/>
              </w:rPr>
            </w:pPr>
            <w:r>
              <w:rPr>
                <w:rFonts w:ascii="宋体" w:hAnsi="宋体" w:eastAsia="宋体" w:cs="宋体"/>
                <w:spacing w:val="4"/>
                <w:sz w:val="20"/>
                <w:szCs w:val="20"/>
              </w:rPr>
              <w:t>袁蕊</w:t>
            </w:r>
          </w:p>
        </w:tc>
        <w:tc>
          <w:tcPr>
            <w:tcW w:w="6059" w:type="dxa"/>
            <w:vAlign w:val="top"/>
          </w:tcPr>
          <w:p>
            <w:pPr>
              <w:spacing w:before="192" w:line="219" w:lineRule="auto"/>
              <w:ind w:left="153"/>
              <w:rPr>
                <w:rFonts w:ascii="宋体" w:hAnsi="宋体" w:eastAsia="宋体" w:cs="宋体"/>
                <w:sz w:val="20"/>
                <w:szCs w:val="20"/>
              </w:rPr>
            </w:pPr>
            <w:r>
              <w:rPr>
                <w:rFonts w:ascii="宋体" w:hAnsi="宋体" w:eastAsia="宋体" w:cs="宋体"/>
                <w:spacing w:val="12"/>
                <w:sz w:val="20"/>
                <w:szCs w:val="20"/>
              </w:rPr>
              <w:t>山东齐鲁工程审计监理有限公司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29" w:line="300" w:lineRule="exact"/>
              <w:ind w:left="40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94" w:line="219" w:lineRule="auto"/>
              <w:ind w:left="445"/>
              <w:rPr>
                <w:rFonts w:ascii="宋体" w:hAnsi="宋体" w:eastAsia="宋体" w:cs="宋体"/>
                <w:sz w:val="20"/>
                <w:szCs w:val="20"/>
              </w:rPr>
            </w:pPr>
            <w:r>
              <w:rPr>
                <w:rFonts w:ascii="宋体" w:hAnsi="宋体" w:eastAsia="宋体" w:cs="宋体"/>
                <w:spacing w:val="12"/>
                <w:sz w:val="20"/>
                <w:szCs w:val="20"/>
              </w:rPr>
              <w:t>杨蕙香</w:t>
            </w:r>
          </w:p>
        </w:tc>
        <w:tc>
          <w:tcPr>
            <w:tcW w:w="6059" w:type="dxa"/>
            <w:vAlign w:val="top"/>
          </w:tcPr>
          <w:p>
            <w:pPr>
              <w:spacing w:before="193" w:line="219" w:lineRule="auto"/>
              <w:ind w:left="153"/>
              <w:rPr>
                <w:rFonts w:ascii="宋体" w:hAnsi="宋体" w:eastAsia="宋体" w:cs="宋体"/>
                <w:sz w:val="20"/>
                <w:szCs w:val="20"/>
              </w:rPr>
            </w:pPr>
            <w:r>
              <w:rPr>
                <w:rFonts w:ascii="宋体" w:hAnsi="宋体" w:eastAsia="宋体" w:cs="宋体"/>
                <w:spacing w:val="12"/>
                <w:sz w:val="20"/>
                <w:szCs w:val="20"/>
              </w:rPr>
              <w:t>山东齐鲁工程审计监理有限公司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41" w:line="301" w:lineRule="exact"/>
              <w:ind w:left="401"/>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204" w:line="217" w:lineRule="auto"/>
              <w:ind w:left="446"/>
              <w:rPr>
                <w:rFonts w:ascii="宋体" w:hAnsi="宋体" w:eastAsia="宋体" w:cs="宋体"/>
                <w:sz w:val="20"/>
                <w:szCs w:val="20"/>
              </w:rPr>
            </w:pPr>
            <w:r>
              <w:rPr>
                <w:rFonts w:ascii="宋体" w:hAnsi="宋体" w:eastAsia="宋体" w:cs="宋体"/>
                <w:spacing w:val="13"/>
                <w:sz w:val="20"/>
                <w:szCs w:val="20"/>
              </w:rPr>
              <w:t>巩东臣</w:t>
            </w:r>
          </w:p>
        </w:tc>
        <w:tc>
          <w:tcPr>
            <w:tcW w:w="6059" w:type="dxa"/>
            <w:vAlign w:val="top"/>
          </w:tcPr>
          <w:p>
            <w:pPr>
              <w:spacing w:before="203" w:line="219" w:lineRule="auto"/>
              <w:ind w:left="153"/>
              <w:rPr>
                <w:rFonts w:ascii="宋体" w:hAnsi="宋体" w:eastAsia="宋体" w:cs="宋体"/>
                <w:sz w:val="20"/>
                <w:szCs w:val="20"/>
              </w:rPr>
            </w:pPr>
            <w:r>
              <w:rPr>
                <w:rFonts w:ascii="宋体" w:hAnsi="宋体" w:eastAsia="宋体" w:cs="宋体"/>
                <w:spacing w:val="12"/>
                <w:sz w:val="20"/>
                <w:szCs w:val="20"/>
              </w:rPr>
              <w:t>山东齐鲁工程审计监理有限公司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43" w:line="300" w:lineRule="exact"/>
              <w:ind w:left="404"/>
              <w:rPr>
                <w:rFonts w:ascii="宋体" w:hAnsi="宋体" w:eastAsia="宋体" w:cs="宋体"/>
                <w:sz w:val="20"/>
                <w:szCs w:val="20"/>
              </w:rPr>
            </w:pPr>
            <w:r>
              <w:rPr>
                <w:rFonts w:ascii="宋体" w:hAnsi="宋体" w:eastAsia="宋体" w:cs="宋体"/>
                <w:position w:val="2"/>
                <w:sz w:val="20"/>
                <w:szCs w:val="20"/>
              </w:rPr>
              <w:t>5</w:t>
            </w:r>
          </w:p>
        </w:tc>
        <w:tc>
          <w:tcPr>
            <w:tcW w:w="1567" w:type="dxa"/>
            <w:vAlign w:val="top"/>
          </w:tcPr>
          <w:p>
            <w:pPr>
              <w:spacing w:before="208" w:line="216" w:lineRule="auto"/>
              <w:ind w:left="448"/>
              <w:rPr>
                <w:rFonts w:ascii="宋体" w:hAnsi="宋体" w:eastAsia="宋体" w:cs="宋体"/>
                <w:sz w:val="20"/>
                <w:szCs w:val="20"/>
              </w:rPr>
            </w:pPr>
            <w:r>
              <w:rPr>
                <w:rFonts w:ascii="宋体" w:hAnsi="宋体" w:eastAsia="宋体" w:cs="宋体"/>
                <w:spacing w:val="11"/>
                <w:sz w:val="20"/>
                <w:szCs w:val="20"/>
              </w:rPr>
              <w:t>杜成玉</w:t>
            </w:r>
          </w:p>
        </w:tc>
        <w:tc>
          <w:tcPr>
            <w:tcW w:w="6059" w:type="dxa"/>
            <w:vAlign w:val="top"/>
          </w:tcPr>
          <w:p>
            <w:pPr>
              <w:spacing w:before="203" w:line="220" w:lineRule="auto"/>
              <w:ind w:left="153"/>
              <w:rPr>
                <w:rFonts w:ascii="宋体" w:hAnsi="宋体" w:eastAsia="宋体" w:cs="宋体"/>
                <w:sz w:val="20"/>
                <w:szCs w:val="20"/>
              </w:rPr>
            </w:pPr>
            <w:r>
              <w:rPr>
                <w:rFonts w:ascii="宋体" w:hAnsi="宋体" w:eastAsia="宋体" w:cs="宋体"/>
                <w:spacing w:val="11"/>
                <w:sz w:val="20"/>
                <w:szCs w:val="20"/>
              </w:rPr>
              <w:t>山东润驰建设工程有限公司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33" w:line="299" w:lineRule="exact"/>
              <w:ind w:left="405"/>
              <w:rPr>
                <w:rFonts w:ascii="宋体" w:hAnsi="宋体" w:eastAsia="宋体" w:cs="宋体"/>
                <w:sz w:val="20"/>
                <w:szCs w:val="20"/>
              </w:rPr>
            </w:pPr>
            <w:r>
              <w:rPr>
                <w:rFonts w:ascii="宋体" w:hAnsi="宋体" w:eastAsia="宋体" w:cs="宋体"/>
                <w:position w:val="2"/>
                <w:sz w:val="20"/>
                <w:szCs w:val="20"/>
              </w:rPr>
              <w:t>6</w:t>
            </w:r>
          </w:p>
        </w:tc>
        <w:tc>
          <w:tcPr>
            <w:tcW w:w="1567" w:type="dxa"/>
            <w:vAlign w:val="top"/>
          </w:tcPr>
          <w:p>
            <w:pPr>
              <w:spacing w:before="197" w:line="216" w:lineRule="auto"/>
              <w:ind w:left="557"/>
              <w:rPr>
                <w:rFonts w:ascii="宋体" w:hAnsi="宋体" w:eastAsia="宋体" w:cs="宋体"/>
                <w:sz w:val="20"/>
                <w:szCs w:val="20"/>
              </w:rPr>
            </w:pPr>
            <w:r>
              <w:rPr>
                <w:rFonts w:ascii="宋体" w:hAnsi="宋体" w:eastAsia="宋体" w:cs="宋体"/>
                <w:spacing w:val="12"/>
                <w:sz w:val="20"/>
                <w:szCs w:val="20"/>
              </w:rPr>
              <w:t>崔燕</w:t>
            </w:r>
          </w:p>
        </w:tc>
        <w:tc>
          <w:tcPr>
            <w:tcW w:w="6059" w:type="dxa"/>
            <w:vAlign w:val="top"/>
          </w:tcPr>
          <w:p>
            <w:pPr>
              <w:spacing w:before="193" w:line="220" w:lineRule="auto"/>
              <w:ind w:left="153"/>
              <w:rPr>
                <w:rFonts w:ascii="宋体" w:hAnsi="宋体" w:eastAsia="宋体" w:cs="宋体"/>
                <w:sz w:val="20"/>
                <w:szCs w:val="20"/>
              </w:rPr>
            </w:pPr>
            <w:r>
              <w:rPr>
                <w:rFonts w:ascii="宋体" w:hAnsi="宋体" w:eastAsia="宋体" w:cs="宋体"/>
                <w:spacing w:val="11"/>
                <w:sz w:val="20"/>
                <w:szCs w:val="20"/>
              </w:rPr>
              <w:t>山东金润建设咨询有限公司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45" w:line="300" w:lineRule="exact"/>
              <w:ind w:left="403"/>
              <w:rPr>
                <w:rFonts w:ascii="宋体" w:hAnsi="宋体" w:eastAsia="宋体" w:cs="宋体"/>
                <w:sz w:val="20"/>
                <w:szCs w:val="20"/>
              </w:rPr>
            </w:pPr>
            <w:r>
              <w:rPr>
                <w:rFonts w:ascii="宋体" w:hAnsi="宋体" w:eastAsia="宋体" w:cs="宋体"/>
                <w:position w:val="2"/>
                <w:sz w:val="20"/>
                <w:szCs w:val="20"/>
              </w:rPr>
              <w:t>7</w:t>
            </w:r>
          </w:p>
        </w:tc>
        <w:tc>
          <w:tcPr>
            <w:tcW w:w="1567" w:type="dxa"/>
            <w:vAlign w:val="top"/>
          </w:tcPr>
          <w:p>
            <w:pPr>
              <w:spacing w:before="216" w:line="213" w:lineRule="auto"/>
              <w:ind w:left="559"/>
              <w:rPr>
                <w:rFonts w:ascii="宋体" w:hAnsi="宋体" w:eastAsia="宋体" w:cs="宋体"/>
                <w:sz w:val="20"/>
                <w:szCs w:val="20"/>
              </w:rPr>
            </w:pPr>
            <w:r>
              <w:rPr>
                <w:rFonts w:ascii="宋体" w:hAnsi="宋体" w:eastAsia="宋体" w:cs="宋体"/>
                <w:spacing w:val="2"/>
                <w:sz w:val="20"/>
                <w:szCs w:val="20"/>
              </w:rPr>
              <w:t>王磊</w:t>
            </w:r>
          </w:p>
        </w:tc>
        <w:tc>
          <w:tcPr>
            <w:tcW w:w="6059" w:type="dxa"/>
            <w:vAlign w:val="top"/>
          </w:tcPr>
          <w:p>
            <w:pPr>
              <w:spacing w:before="197" w:line="276" w:lineRule="exact"/>
              <w:ind w:left="137"/>
              <w:rPr>
                <w:rFonts w:ascii="宋体" w:hAnsi="宋体" w:eastAsia="宋体" w:cs="宋体"/>
                <w:sz w:val="20"/>
                <w:szCs w:val="20"/>
              </w:rPr>
            </w:pPr>
            <w:r>
              <w:rPr>
                <w:rFonts w:ascii="宋体" w:hAnsi="宋体" w:eastAsia="宋体" w:cs="宋体"/>
                <w:spacing w:val="5"/>
                <w:position w:val="1"/>
                <w:sz w:val="20"/>
                <w:szCs w:val="20"/>
              </w:rPr>
              <w:t>致同(北京)工程造价咨询有限责任公司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5" w:hRule="atLeast"/>
        </w:trPr>
        <w:tc>
          <w:tcPr>
            <w:tcW w:w="918" w:type="dxa"/>
            <w:vAlign w:val="top"/>
          </w:tcPr>
          <w:p>
            <w:pPr>
              <w:spacing w:before="235" w:line="299" w:lineRule="exact"/>
              <w:ind w:left="407"/>
              <w:rPr>
                <w:rFonts w:ascii="宋体" w:hAnsi="宋体" w:eastAsia="宋体" w:cs="宋体"/>
                <w:sz w:val="20"/>
                <w:szCs w:val="20"/>
              </w:rPr>
            </w:pPr>
            <w:r>
              <w:rPr>
                <w:rFonts w:ascii="宋体" w:hAnsi="宋体" w:eastAsia="宋体" w:cs="宋体"/>
                <w:position w:val="2"/>
                <w:sz w:val="20"/>
                <w:szCs w:val="20"/>
              </w:rPr>
              <w:t>8</w:t>
            </w:r>
          </w:p>
        </w:tc>
        <w:tc>
          <w:tcPr>
            <w:tcW w:w="1567" w:type="dxa"/>
            <w:vAlign w:val="top"/>
          </w:tcPr>
          <w:p>
            <w:pPr>
              <w:spacing w:before="202" w:line="216" w:lineRule="auto"/>
              <w:ind w:left="444"/>
              <w:rPr>
                <w:rFonts w:ascii="宋体" w:hAnsi="宋体" w:eastAsia="宋体" w:cs="宋体"/>
                <w:sz w:val="20"/>
                <w:szCs w:val="20"/>
              </w:rPr>
            </w:pPr>
            <w:r>
              <w:rPr>
                <w:rFonts w:ascii="宋体" w:hAnsi="宋体" w:eastAsia="宋体" w:cs="宋体"/>
                <w:spacing w:val="14"/>
                <w:sz w:val="20"/>
                <w:szCs w:val="20"/>
              </w:rPr>
              <w:t>刘国云</w:t>
            </w:r>
          </w:p>
        </w:tc>
        <w:tc>
          <w:tcPr>
            <w:tcW w:w="6059" w:type="dxa"/>
            <w:vAlign w:val="top"/>
          </w:tcPr>
          <w:p>
            <w:pPr>
              <w:spacing w:before="197" w:line="221" w:lineRule="auto"/>
              <w:ind w:left="159"/>
              <w:rPr>
                <w:rFonts w:ascii="宋体" w:hAnsi="宋体" w:eastAsia="宋体" w:cs="宋体"/>
                <w:sz w:val="20"/>
                <w:szCs w:val="20"/>
              </w:rPr>
            </w:pPr>
            <w:r>
              <w:rPr>
                <w:rFonts w:ascii="宋体" w:hAnsi="宋体" w:eastAsia="宋体" w:cs="宋体"/>
                <w:spacing w:val="11"/>
                <w:sz w:val="20"/>
                <w:szCs w:val="20"/>
              </w:rPr>
              <w:t>中天建华工程咨询有限公司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46" w:line="300" w:lineRule="exact"/>
              <w:ind w:left="404"/>
              <w:rPr>
                <w:rFonts w:ascii="宋体" w:hAnsi="宋体" w:eastAsia="宋体" w:cs="宋体"/>
                <w:sz w:val="20"/>
                <w:szCs w:val="20"/>
              </w:rPr>
            </w:pPr>
            <w:r>
              <w:rPr>
                <w:rFonts w:ascii="宋体" w:hAnsi="宋体" w:eastAsia="宋体" w:cs="宋体"/>
                <w:position w:val="2"/>
                <w:sz w:val="20"/>
                <w:szCs w:val="20"/>
              </w:rPr>
              <w:t>9</w:t>
            </w:r>
          </w:p>
        </w:tc>
        <w:tc>
          <w:tcPr>
            <w:tcW w:w="1567" w:type="dxa"/>
            <w:vAlign w:val="top"/>
          </w:tcPr>
          <w:p>
            <w:pPr>
              <w:spacing w:before="208" w:line="218" w:lineRule="auto"/>
              <w:ind w:left="465"/>
              <w:rPr>
                <w:rFonts w:ascii="宋体" w:hAnsi="宋体" w:eastAsia="宋体" w:cs="宋体"/>
                <w:sz w:val="20"/>
                <w:szCs w:val="20"/>
              </w:rPr>
            </w:pPr>
            <w:r>
              <w:rPr>
                <w:rFonts w:ascii="宋体" w:hAnsi="宋体" w:eastAsia="宋体" w:cs="宋体"/>
                <w:spacing w:val="3"/>
                <w:sz w:val="20"/>
                <w:szCs w:val="20"/>
              </w:rPr>
              <w:t>曲雪梅</w:t>
            </w:r>
          </w:p>
        </w:tc>
        <w:tc>
          <w:tcPr>
            <w:tcW w:w="6059" w:type="dxa"/>
            <w:vAlign w:val="top"/>
          </w:tcPr>
          <w:p>
            <w:pPr>
              <w:spacing w:before="206" w:line="220" w:lineRule="auto"/>
              <w:ind w:left="153"/>
              <w:rPr>
                <w:rFonts w:ascii="宋体" w:hAnsi="宋体" w:eastAsia="宋体" w:cs="宋体"/>
                <w:sz w:val="20"/>
                <w:szCs w:val="20"/>
              </w:rPr>
            </w:pPr>
            <w:r>
              <w:rPr>
                <w:rFonts w:ascii="宋体" w:hAnsi="宋体" w:eastAsia="宋体" w:cs="宋体"/>
                <w:spacing w:val="13"/>
                <w:sz w:val="20"/>
                <w:szCs w:val="20"/>
              </w:rPr>
              <w:t>山东黄河建工有限公司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45" w:line="300" w:lineRule="exact"/>
              <w:ind w:left="361"/>
              <w:rPr>
                <w:rFonts w:ascii="宋体" w:hAnsi="宋体" w:eastAsia="宋体" w:cs="宋体"/>
                <w:sz w:val="20"/>
                <w:szCs w:val="20"/>
              </w:rPr>
            </w:pPr>
            <w:r>
              <w:rPr>
                <w:rFonts w:ascii="宋体" w:hAnsi="宋体" w:eastAsia="宋体" w:cs="宋体"/>
                <w:spacing w:val="-10"/>
                <w:position w:val="2"/>
                <w:sz w:val="20"/>
                <w:szCs w:val="20"/>
              </w:rPr>
              <w:t>10</w:t>
            </w:r>
          </w:p>
        </w:tc>
        <w:tc>
          <w:tcPr>
            <w:tcW w:w="1567" w:type="dxa"/>
            <w:vAlign w:val="top"/>
          </w:tcPr>
          <w:p>
            <w:pPr>
              <w:spacing w:before="208" w:line="219" w:lineRule="auto"/>
              <w:ind w:left="445"/>
              <w:rPr>
                <w:rFonts w:ascii="宋体" w:hAnsi="宋体" w:eastAsia="宋体" w:cs="宋体"/>
                <w:sz w:val="20"/>
                <w:szCs w:val="20"/>
              </w:rPr>
            </w:pPr>
            <w:r>
              <w:rPr>
                <w:rFonts w:ascii="宋体" w:hAnsi="宋体" w:eastAsia="宋体" w:cs="宋体"/>
                <w:spacing w:val="12"/>
                <w:sz w:val="20"/>
                <w:szCs w:val="20"/>
              </w:rPr>
              <w:t>杨克生</w:t>
            </w:r>
          </w:p>
        </w:tc>
        <w:tc>
          <w:tcPr>
            <w:tcW w:w="6059" w:type="dxa"/>
            <w:vAlign w:val="top"/>
          </w:tcPr>
          <w:p>
            <w:pPr>
              <w:spacing w:before="205" w:line="221" w:lineRule="auto"/>
              <w:ind w:left="153"/>
              <w:rPr>
                <w:rFonts w:ascii="宋体" w:hAnsi="宋体" w:eastAsia="宋体" w:cs="宋体"/>
                <w:sz w:val="20"/>
                <w:szCs w:val="20"/>
              </w:rPr>
            </w:pPr>
            <w:r>
              <w:rPr>
                <w:rFonts w:ascii="宋体" w:hAnsi="宋体" w:eastAsia="宋体" w:cs="宋体"/>
                <w:spacing w:val="12"/>
                <w:sz w:val="20"/>
                <w:szCs w:val="20"/>
              </w:rPr>
              <w:t>山东瀚广建设项目管理有限公司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5" w:hRule="atLeast"/>
        </w:trPr>
        <w:tc>
          <w:tcPr>
            <w:tcW w:w="918" w:type="dxa"/>
            <w:vAlign w:val="top"/>
          </w:tcPr>
          <w:p>
            <w:pPr>
              <w:spacing w:before="238" w:line="301" w:lineRule="exact"/>
              <w:ind w:left="361"/>
              <w:rPr>
                <w:rFonts w:ascii="宋体" w:hAnsi="宋体" w:eastAsia="宋体" w:cs="宋体"/>
                <w:sz w:val="20"/>
                <w:szCs w:val="20"/>
              </w:rPr>
            </w:pPr>
            <w:r>
              <w:rPr>
                <w:rFonts w:ascii="宋体" w:hAnsi="宋体" w:eastAsia="宋体" w:cs="宋体"/>
                <w:spacing w:val="-10"/>
                <w:position w:val="2"/>
                <w:sz w:val="20"/>
                <w:szCs w:val="20"/>
              </w:rPr>
              <w:t>11</w:t>
            </w:r>
          </w:p>
        </w:tc>
        <w:tc>
          <w:tcPr>
            <w:tcW w:w="1567" w:type="dxa"/>
            <w:vAlign w:val="top"/>
          </w:tcPr>
          <w:p>
            <w:pPr>
              <w:spacing w:before="202" w:line="219" w:lineRule="auto"/>
              <w:ind w:left="449"/>
              <w:rPr>
                <w:rFonts w:ascii="宋体" w:hAnsi="宋体" w:eastAsia="宋体" w:cs="宋体"/>
                <w:sz w:val="20"/>
                <w:szCs w:val="20"/>
              </w:rPr>
            </w:pPr>
            <w:r>
              <w:rPr>
                <w:rFonts w:ascii="宋体" w:hAnsi="宋体" w:eastAsia="宋体" w:cs="宋体"/>
                <w:spacing w:val="10"/>
                <w:sz w:val="20"/>
                <w:szCs w:val="20"/>
              </w:rPr>
              <w:t>王平美</w:t>
            </w:r>
          </w:p>
        </w:tc>
        <w:tc>
          <w:tcPr>
            <w:tcW w:w="6059" w:type="dxa"/>
            <w:vAlign w:val="top"/>
          </w:tcPr>
          <w:p>
            <w:pPr>
              <w:spacing w:before="197" w:line="221" w:lineRule="auto"/>
              <w:ind w:left="153"/>
              <w:rPr>
                <w:rFonts w:ascii="宋体" w:hAnsi="宋体" w:eastAsia="宋体" w:cs="宋体"/>
                <w:sz w:val="20"/>
                <w:szCs w:val="20"/>
              </w:rPr>
            </w:pPr>
            <w:r>
              <w:rPr>
                <w:rFonts w:ascii="宋体" w:hAnsi="宋体" w:eastAsia="宋体" w:cs="宋体"/>
                <w:spacing w:val="12"/>
                <w:sz w:val="20"/>
                <w:szCs w:val="20"/>
              </w:rPr>
              <w:t>山东瀚广建设项目管理有限公司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18" w:type="dxa"/>
            <w:vAlign w:val="top"/>
          </w:tcPr>
          <w:p>
            <w:pPr>
              <w:spacing w:before="246" w:line="301" w:lineRule="exact"/>
              <w:ind w:left="361"/>
              <w:rPr>
                <w:rFonts w:ascii="宋体" w:hAnsi="宋体" w:eastAsia="宋体" w:cs="宋体"/>
                <w:sz w:val="20"/>
                <w:szCs w:val="20"/>
              </w:rPr>
            </w:pPr>
            <w:r>
              <w:rPr>
                <w:rFonts w:ascii="宋体" w:hAnsi="宋体" w:eastAsia="宋体" w:cs="宋体"/>
                <w:spacing w:val="-10"/>
                <w:position w:val="2"/>
                <w:sz w:val="20"/>
                <w:szCs w:val="20"/>
              </w:rPr>
              <w:t>12</w:t>
            </w:r>
          </w:p>
        </w:tc>
        <w:tc>
          <w:tcPr>
            <w:tcW w:w="1567" w:type="dxa"/>
            <w:vAlign w:val="top"/>
          </w:tcPr>
          <w:p>
            <w:pPr>
              <w:spacing w:before="215" w:line="217" w:lineRule="auto"/>
              <w:ind w:left="449"/>
              <w:rPr>
                <w:rFonts w:ascii="宋体" w:hAnsi="宋体" w:eastAsia="宋体" w:cs="宋体"/>
                <w:sz w:val="20"/>
                <w:szCs w:val="20"/>
              </w:rPr>
            </w:pPr>
            <w:r>
              <w:rPr>
                <w:rFonts w:ascii="宋体" w:hAnsi="宋体" w:eastAsia="宋体" w:cs="宋体"/>
                <w:spacing w:val="13"/>
                <w:sz w:val="20"/>
                <w:szCs w:val="20"/>
              </w:rPr>
              <w:t>王宁宁</w:t>
            </w:r>
          </w:p>
        </w:tc>
        <w:tc>
          <w:tcPr>
            <w:tcW w:w="6059" w:type="dxa"/>
            <w:vAlign w:val="top"/>
          </w:tcPr>
          <w:p>
            <w:pPr>
              <w:spacing w:before="206" w:line="221" w:lineRule="auto"/>
              <w:ind w:left="153"/>
              <w:rPr>
                <w:rFonts w:ascii="宋体" w:hAnsi="宋体" w:eastAsia="宋体" w:cs="宋体"/>
                <w:sz w:val="20"/>
                <w:szCs w:val="20"/>
              </w:rPr>
            </w:pPr>
            <w:r>
              <w:rPr>
                <w:rFonts w:ascii="宋体" w:hAnsi="宋体" w:eastAsia="宋体" w:cs="宋体"/>
                <w:spacing w:val="12"/>
                <w:sz w:val="20"/>
                <w:szCs w:val="20"/>
              </w:rPr>
              <w:t>山东印正建设项目管理有限公司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40" w:line="299" w:lineRule="exact"/>
              <w:ind w:left="361"/>
              <w:rPr>
                <w:rFonts w:ascii="宋体" w:hAnsi="宋体" w:eastAsia="宋体" w:cs="宋体"/>
                <w:sz w:val="20"/>
                <w:szCs w:val="20"/>
              </w:rPr>
            </w:pPr>
            <w:r>
              <w:rPr>
                <w:rFonts w:ascii="宋体" w:hAnsi="宋体" w:eastAsia="宋体" w:cs="宋体"/>
                <w:spacing w:val="-10"/>
                <w:position w:val="2"/>
                <w:sz w:val="20"/>
                <w:szCs w:val="20"/>
              </w:rPr>
              <w:t>13</w:t>
            </w:r>
          </w:p>
        </w:tc>
        <w:tc>
          <w:tcPr>
            <w:tcW w:w="1567" w:type="dxa"/>
            <w:vAlign w:val="top"/>
          </w:tcPr>
          <w:p>
            <w:pPr>
              <w:spacing w:before="199" w:line="218" w:lineRule="auto"/>
              <w:ind w:left="447"/>
              <w:rPr>
                <w:rFonts w:ascii="宋体" w:hAnsi="宋体" w:eastAsia="宋体" w:cs="宋体"/>
                <w:sz w:val="20"/>
                <w:szCs w:val="20"/>
              </w:rPr>
            </w:pPr>
            <w:r>
              <w:rPr>
                <w:rFonts w:ascii="宋体" w:hAnsi="宋体" w:eastAsia="宋体" w:cs="宋体"/>
                <w:spacing w:val="5"/>
                <w:sz w:val="20"/>
                <w:szCs w:val="20"/>
              </w:rPr>
              <w:t>赵爱勤</w:t>
            </w:r>
          </w:p>
        </w:tc>
        <w:tc>
          <w:tcPr>
            <w:tcW w:w="6059" w:type="dxa"/>
            <w:vAlign w:val="top"/>
          </w:tcPr>
          <w:p>
            <w:pPr>
              <w:spacing w:before="198" w:line="219" w:lineRule="auto"/>
              <w:ind w:left="153"/>
              <w:rPr>
                <w:rFonts w:ascii="宋体" w:hAnsi="宋体" w:eastAsia="宋体" w:cs="宋体"/>
                <w:sz w:val="20"/>
                <w:szCs w:val="20"/>
              </w:rPr>
            </w:pPr>
            <w:r>
              <w:rPr>
                <w:rFonts w:ascii="宋体" w:hAnsi="宋体" w:eastAsia="宋体" w:cs="宋体"/>
                <w:spacing w:val="11"/>
                <w:sz w:val="20"/>
                <w:szCs w:val="20"/>
              </w:rPr>
              <w:t>山东金鼎智达集团有限公司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42" w:line="301" w:lineRule="exact"/>
              <w:ind w:left="361"/>
              <w:rPr>
                <w:rFonts w:ascii="宋体" w:hAnsi="宋体" w:eastAsia="宋体" w:cs="宋体"/>
                <w:sz w:val="20"/>
                <w:szCs w:val="20"/>
              </w:rPr>
            </w:pPr>
            <w:r>
              <w:rPr>
                <w:rFonts w:ascii="宋体" w:hAnsi="宋体" w:eastAsia="宋体" w:cs="宋体"/>
                <w:spacing w:val="-10"/>
                <w:position w:val="2"/>
                <w:sz w:val="20"/>
                <w:szCs w:val="20"/>
              </w:rPr>
              <w:t>14</w:t>
            </w:r>
          </w:p>
        </w:tc>
        <w:tc>
          <w:tcPr>
            <w:tcW w:w="1567" w:type="dxa"/>
            <w:vAlign w:val="top"/>
          </w:tcPr>
          <w:p>
            <w:pPr>
              <w:spacing w:before="200" w:line="221" w:lineRule="auto"/>
              <w:ind w:left="477"/>
              <w:rPr>
                <w:rFonts w:ascii="宋体" w:hAnsi="宋体" w:eastAsia="宋体" w:cs="宋体"/>
                <w:sz w:val="20"/>
                <w:szCs w:val="20"/>
              </w:rPr>
            </w:pPr>
            <w:r>
              <w:rPr>
                <w:rFonts w:ascii="宋体" w:hAnsi="宋体" w:eastAsia="宋体" w:cs="宋体"/>
                <w:spacing w:val="1"/>
                <w:sz w:val="20"/>
                <w:szCs w:val="20"/>
              </w:rPr>
              <w:t>肖华侨</w:t>
            </w:r>
          </w:p>
        </w:tc>
        <w:tc>
          <w:tcPr>
            <w:tcW w:w="6059" w:type="dxa"/>
            <w:vAlign w:val="top"/>
          </w:tcPr>
          <w:p>
            <w:pPr>
              <w:spacing w:before="200" w:line="221" w:lineRule="auto"/>
              <w:ind w:left="153"/>
              <w:rPr>
                <w:rFonts w:ascii="宋体" w:hAnsi="宋体" w:eastAsia="宋体" w:cs="宋体"/>
                <w:sz w:val="20"/>
                <w:szCs w:val="20"/>
              </w:rPr>
            </w:pPr>
            <w:r>
              <w:rPr>
                <w:rFonts w:ascii="宋体" w:hAnsi="宋体" w:eastAsia="宋体" w:cs="宋体"/>
                <w:spacing w:val="13"/>
                <w:sz w:val="20"/>
                <w:szCs w:val="20"/>
              </w:rPr>
              <w:t>山东金城建设有限公司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41" w:line="300" w:lineRule="exact"/>
              <w:ind w:left="361"/>
              <w:rPr>
                <w:rFonts w:ascii="宋体" w:hAnsi="宋体" w:eastAsia="宋体" w:cs="宋体"/>
                <w:sz w:val="20"/>
                <w:szCs w:val="20"/>
              </w:rPr>
            </w:pPr>
            <w:r>
              <w:rPr>
                <w:rFonts w:ascii="宋体" w:hAnsi="宋体" w:eastAsia="宋体" w:cs="宋体"/>
                <w:spacing w:val="-10"/>
                <w:position w:val="2"/>
                <w:sz w:val="20"/>
                <w:szCs w:val="20"/>
              </w:rPr>
              <w:t>15</w:t>
            </w:r>
          </w:p>
        </w:tc>
        <w:tc>
          <w:tcPr>
            <w:tcW w:w="1567" w:type="dxa"/>
            <w:vAlign w:val="top"/>
          </w:tcPr>
          <w:p>
            <w:pPr>
              <w:spacing w:before="205" w:line="216" w:lineRule="auto"/>
              <w:ind w:left="449"/>
              <w:rPr>
                <w:rFonts w:ascii="宋体" w:hAnsi="宋体" w:eastAsia="宋体" w:cs="宋体"/>
                <w:sz w:val="20"/>
                <w:szCs w:val="20"/>
              </w:rPr>
            </w:pPr>
            <w:r>
              <w:rPr>
                <w:rFonts w:ascii="宋体" w:hAnsi="宋体" w:eastAsia="宋体" w:cs="宋体"/>
                <w:spacing w:val="2"/>
                <w:sz w:val="20"/>
                <w:szCs w:val="20"/>
              </w:rPr>
              <w:t>王晓娜</w:t>
            </w:r>
          </w:p>
        </w:tc>
        <w:tc>
          <w:tcPr>
            <w:tcW w:w="6059" w:type="dxa"/>
            <w:vAlign w:val="top"/>
          </w:tcPr>
          <w:p>
            <w:pPr>
              <w:spacing w:before="203" w:line="219" w:lineRule="auto"/>
              <w:ind w:left="153"/>
              <w:rPr>
                <w:rFonts w:ascii="宋体" w:hAnsi="宋体" w:eastAsia="宋体" w:cs="宋体"/>
                <w:sz w:val="20"/>
                <w:szCs w:val="20"/>
              </w:rPr>
            </w:pPr>
            <w:r>
              <w:rPr>
                <w:rFonts w:ascii="宋体" w:hAnsi="宋体" w:eastAsia="宋体" w:cs="宋体"/>
                <w:spacing w:val="12"/>
                <w:sz w:val="20"/>
                <w:szCs w:val="20"/>
              </w:rPr>
              <w:t>山东天齐置业集团股份有限公司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4" w:hRule="atLeast"/>
        </w:trPr>
        <w:tc>
          <w:tcPr>
            <w:tcW w:w="918" w:type="dxa"/>
            <w:vAlign w:val="top"/>
          </w:tcPr>
          <w:p>
            <w:pPr>
              <w:spacing w:before="251" w:line="299" w:lineRule="exact"/>
              <w:ind w:left="361"/>
              <w:rPr>
                <w:rFonts w:ascii="宋体" w:hAnsi="宋体" w:eastAsia="宋体" w:cs="宋体"/>
                <w:sz w:val="20"/>
                <w:szCs w:val="20"/>
              </w:rPr>
            </w:pPr>
            <w:r>
              <w:rPr>
                <w:rFonts w:ascii="宋体" w:hAnsi="宋体" w:eastAsia="宋体" w:cs="宋体"/>
                <w:spacing w:val="-10"/>
                <w:position w:val="2"/>
                <w:sz w:val="20"/>
                <w:szCs w:val="20"/>
              </w:rPr>
              <w:t>16</w:t>
            </w:r>
          </w:p>
        </w:tc>
        <w:tc>
          <w:tcPr>
            <w:tcW w:w="1567" w:type="dxa"/>
            <w:vAlign w:val="top"/>
          </w:tcPr>
          <w:p>
            <w:pPr>
              <w:spacing w:before="212" w:line="220" w:lineRule="auto"/>
              <w:ind w:left="443"/>
              <w:rPr>
                <w:rFonts w:ascii="宋体" w:hAnsi="宋体" w:eastAsia="宋体" w:cs="宋体"/>
                <w:sz w:val="20"/>
                <w:szCs w:val="20"/>
              </w:rPr>
            </w:pPr>
            <w:r>
              <w:rPr>
                <w:rFonts w:ascii="宋体" w:hAnsi="宋体" w:eastAsia="宋体" w:cs="宋体"/>
                <w:spacing w:val="14"/>
                <w:sz w:val="20"/>
                <w:szCs w:val="20"/>
              </w:rPr>
              <w:t>何晋伟</w:t>
            </w:r>
          </w:p>
        </w:tc>
        <w:tc>
          <w:tcPr>
            <w:tcW w:w="6059" w:type="dxa"/>
            <w:vAlign w:val="top"/>
          </w:tcPr>
          <w:p>
            <w:pPr>
              <w:spacing w:before="213" w:line="219" w:lineRule="auto"/>
              <w:ind w:left="153"/>
              <w:rPr>
                <w:rFonts w:ascii="宋体" w:hAnsi="宋体" w:eastAsia="宋体" w:cs="宋体"/>
                <w:sz w:val="20"/>
                <w:szCs w:val="20"/>
              </w:rPr>
            </w:pPr>
            <w:r>
              <w:rPr>
                <w:rFonts w:ascii="宋体" w:hAnsi="宋体" w:eastAsia="宋体" w:cs="宋体"/>
                <w:spacing w:val="12"/>
                <w:sz w:val="20"/>
                <w:szCs w:val="20"/>
              </w:rPr>
              <w:t>山东天齐置业集团股份有限公司</w:t>
            </w:r>
          </w:p>
        </w:tc>
      </w:tr>
    </w:tbl>
    <w:p>
      <w:pPr>
        <w:rPr>
          <w:rFonts w:ascii="Arial"/>
          <w:sz w:val="21"/>
        </w:rPr>
      </w:pPr>
    </w:p>
    <w:p>
      <w:pPr>
        <w:rPr>
          <w:rFonts w:ascii="Arial" w:hAnsi="Arial" w:eastAsia="Arial" w:cs="Arial"/>
          <w:sz w:val="21"/>
          <w:szCs w:val="21"/>
        </w:rPr>
        <w:sectPr>
          <w:headerReference r:id="rId318" w:type="default"/>
          <w:footerReference r:id="rId319" w:type="default"/>
          <w:pgSz w:w="11900" w:h="16830"/>
          <w:pgMar w:top="1823" w:right="1748" w:bottom="1184" w:left="1418" w:header="1501" w:footer="869" w:gutter="0"/>
        </w:sectPr>
      </w:pPr>
    </w:p>
    <w:p>
      <w:pPr>
        <w:spacing w:before="11"/>
      </w:pPr>
    </w:p>
    <w:p>
      <w:pPr>
        <w:spacing w:before="11"/>
      </w:pPr>
    </w:p>
    <w:p>
      <w:pPr>
        <w:spacing w:before="11"/>
      </w:pPr>
    </w:p>
    <w:p>
      <w:pPr>
        <w:spacing w:before="11"/>
      </w:pPr>
    </w:p>
    <w:p>
      <w:pPr>
        <w:spacing w:before="10"/>
      </w:pPr>
    </w:p>
    <w:p>
      <w:pPr>
        <w:spacing w:before="10"/>
      </w:pPr>
    </w:p>
    <w:p>
      <w:pPr>
        <w:spacing w:before="10"/>
      </w:pPr>
    </w:p>
    <w:tbl>
      <w:tblPr>
        <w:tblStyle w:val="5"/>
        <w:tblW w:w="8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
        <w:gridCol w:w="1567"/>
        <w:gridCol w:w="60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5" w:line="300" w:lineRule="exact"/>
              <w:ind w:left="371"/>
              <w:rPr>
                <w:rFonts w:ascii="宋体" w:hAnsi="宋体" w:eastAsia="宋体" w:cs="宋体"/>
                <w:sz w:val="20"/>
                <w:szCs w:val="20"/>
              </w:rPr>
            </w:pPr>
            <w:r>
              <w:rPr>
                <w:rFonts w:ascii="宋体" w:hAnsi="宋体" w:eastAsia="宋体" w:cs="宋体"/>
                <w:spacing w:val="-10"/>
                <w:position w:val="2"/>
                <w:sz w:val="20"/>
                <w:szCs w:val="20"/>
              </w:rPr>
              <w:t>17</w:t>
            </w:r>
          </w:p>
        </w:tc>
        <w:tc>
          <w:tcPr>
            <w:tcW w:w="1567" w:type="dxa"/>
            <w:vAlign w:val="top"/>
          </w:tcPr>
          <w:p>
            <w:pPr>
              <w:spacing w:before="202" w:line="216" w:lineRule="auto"/>
              <w:ind w:left="554"/>
              <w:rPr>
                <w:rFonts w:ascii="宋体" w:hAnsi="宋体" w:eastAsia="宋体" w:cs="宋体"/>
                <w:sz w:val="20"/>
                <w:szCs w:val="20"/>
              </w:rPr>
            </w:pPr>
            <w:r>
              <w:rPr>
                <w:rFonts w:ascii="宋体" w:hAnsi="宋体" w:eastAsia="宋体" w:cs="宋体"/>
                <w:spacing w:val="6"/>
                <w:sz w:val="20"/>
                <w:szCs w:val="20"/>
              </w:rPr>
              <w:t>刘栋</w:t>
            </w:r>
          </w:p>
        </w:tc>
        <w:tc>
          <w:tcPr>
            <w:tcW w:w="6069" w:type="dxa"/>
            <w:vAlign w:val="top"/>
          </w:tcPr>
          <w:p>
            <w:pPr>
              <w:spacing w:before="195" w:line="218" w:lineRule="auto"/>
              <w:ind w:left="151"/>
              <w:rPr>
                <w:rFonts w:ascii="宋体" w:hAnsi="宋体" w:eastAsia="宋体" w:cs="宋体"/>
                <w:sz w:val="20"/>
                <w:szCs w:val="20"/>
              </w:rPr>
            </w:pPr>
            <w:r>
              <w:rPr>
                <w:rFonts w:ascii="宋体" w:hAnsi="宋体" w:eastAsia="宋体" w:cs="宋体"/>
                <w:spacing w:val="14"/>
                <w:sz w:val="20"/>
                <w:szCs w:val="20"/>
              </w:rPr>
              <w:t>天勤工程咨询有限公司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28" w:type="dxa"/>
            <w:vAlign w:val="top"/>
          </w:tcPr>
          <w:p>
            <w:pPr>
              <w:spacing w:before="225" w:line="299" w:lineRule="exact"/>
              <w:ind w:left="376"/>
              <w:rPr>
                <w:rFonts w:ascii="宋体" w:hAnsi="宋体" w:eastAsia="宋体" w:cs="宋体"/>
                <w:sz w:val="20"/>
                <w:szCs w:val="20"/>
              </w:rPr>
            </w:pPr>
            <w:r>
              <w:rPr>
                <w:rFonts w:ascii="宋体" w:hAnsi="宋体" w:eastAsia="宋体" w:cs="宋体"/>
                <w:spacing w:val="-10"/>
                <w:position w:val="2"/>
                <w:sz w:val="20"/>
                <w:szCs w:val="20"/>
              </w:rPr>
              <w:t>18</w:t>
            </w:r>
          </w:p>
        </w:tc>
        <w:tc>
          <w:tcPr>
            <w:tcW w:w="1567" w:type="dxa"/>
            <w:vAlign w:val="top"/>
          </w:tcPr>
          <w:p>
            <w:pPr>
              <w:spacing w:before="193" w:line="213" w:lineRule="auto"/>
              <w:ind w:left="561"/>
              <w:rPr>
                <w:rFonts w:ascii="宋体" w:hAnsi="宋体" w:eastAsia="宋体" w:cs="宋体"/>
                <w:sz w:val="20"/>
                <w:szCs w:val="20"/>
              </w:rPr>
            </w:pPr>
            <w:r>
              <w:rPr>
                <w:rFonts w:ascii="宋体" w:hAnsi="宋体" w:eastAsia="宋体" w:cs="宋体"/>
                <w:spacing w:val="15"/>
                <w:sz w:val="20"/>
                <w:szCs w:val="20"/>
              </w:rPr>
              <w:t>张川</w:t>
            </w:r>
          </w:p>
        </w:tc>
        <w:tc>
          <w:tcPr>
            <w:tcW w:w="6069" w:type="dxa"/>
            <w:vAlign w:val="top"/>
          </w:tcPr>
          <w:p>
            <w:pPr>
              <w:spacing w:before="187" w:line="222" w:lineRule="auto"/>
              <w:ind w:left="163"/>
              <w:rPr>
                <w:rFonts w:ascii="宋体" w:hAnsi="宋体" w:eastAsia="宋体" w:cs="宋体"/>
                <w:sz w:val="20"/>
                <w:szCs w:val="20"/>
              </w:rPr>
            </w:pPr>
            <w:r>
              <w:rPr>
                <w:rFonts w:ascii="宋体" w:hAnsi="宋体" w:eastAsia="宋体" w:cs="宋体"/>
                <w:spacing w:val="12"/>
                <w:sz w:val="20"/>
                <w:szCs w:val="20"/>
              </w:rPr>
              <w:t>山东仲泰建设项目管理有限公司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7" w:line="300" w:lineRule="exact"/>
              <w:ind w:left="371"/>
              <w:rPr>
                <w:rFonts w:ascii="宋体" w:hAnsi="宋体" w:eastAsia="宋体" w:cs="宋体"/>
                <w:sz w:val="20"/>
                <w:szCs w:val="20"/>
              </w:rPr>
            </w:pPr>
            <w:r>
              <w:rPr>
                <w:rFonts w:ascii="宋体" w:hAnsi="宋体" w:eastAsia="宋体" w:cs="宋体"/>
                <w:spacing w:val="-10"/>
                <w:position w:val="2"/>
                <w:sz w:val="20"/>
                <w:szCs w:val="20"/>
              </w:rPr>
              <w:t>19</w:t>
            </w:r>
          </w:p>
        </w:tc>
        <w:tc>
          <w:tcPr>
            <w:tcW w:w="1567" w:type="dxa"/>
            <w:vAlign w:val="top"/>
          </w:tcPr>
          <w:p>
            <w:pPr>
              <w:spacing w:before="204" w:line="215" w:lineRule="auto"/>
              <w:ind w:left="450"/>
              <w:rPr>
                <w:rFonts w:ascii="宋体" w:hAnsi="宋体" w:eastAsia="宋体" w:cs="宋体"/>
                <w:sz w:val="20"/>
                <w:szCs w:val="20"/>
              </w:rPr>
            </w:pPr>
            <w:r>
              <w:rPr>
                <w:rFonts w:ascii="宋体" w:hAnsi="宋体" w:eastAsia="宋体" w:cs="宋体"/>
                <w:spacing w:val="8"/>
                <w:sz w:val="20"/>
                <w:szCs w:val="20"/>
              </w:rPr>
              <w:t>张云辉</w:t>
            </w:r>
          </w:p>
        </w:tc>
        <w:tc>
          <w:tcPr>
            <w:tcW w:w="6069" w:type="dxa"/>
            <w:vAlign w:val="top"/>
          </w:tcPr>
          <w:p>
            <w:pPr>
              <w:spacing w:before="199" w:line="218" w:lineRule="auto"/>
              <w:ind w:left="163"/>
              <w:rPr>
                <w:rFonts w:ascii="宋体" w:hAnsi="宋体" w:eastAsia="宋体" w:cs="宋体"/>
                <w:sz w:val="20"/>
                <w:szCs w:val="20"/>
              </w:rPr>
            </w:pPr>
            <w:r>
              <w:rPr>
                <w:rFonts w:ascii="宋体" w:hAnsi="宋体" w:eastAsia="宋体" w:cs="宋体"/>
                <w:spacing w:val="11"/>
                <w:sz w:val="20"/>
                <w:szCs w:val="20"/>
              </w:rPr>
              <w:t>山东震辰工程咨询有限公司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9" w:line="299" w:lineRule="exact"/>
              <w:ind w:left="354"/>
              <w:rPr>
                <w:rFonts w:ascii="宋体" w:hAnsi="宋体" w:eastAsia="宋体" w:cs="宋体"/>
                <w:sz w:val="20"/>
                <w:szCs w:val="20"/>
              </w:rPr>
            </w:pPr>
            <w:r>
              <w:rPr>
                <w:rFonts w:ascii="宋体" w:hAnsi="宋体" w:eastAsia="宋体" w:cs="宋体"/>
                <w:position w:val="2"/>
                <w:sz w:val="20"/>
                <w:szCs w:val="20"/>
              </w:rPr>
              <w:t>20</w:t>
            </w:r>
          </w:p>
        </w:tc>
        <w:tc>
          <w:tcPr>
            <w:tcW w:w="1567" w:type="dxa"/>
            <w:vAlign w:val="top"/>
          </w:tcPr>
          <w:p>
            <w:pPr>
              <w:spacing w:before="205" w:line="216" w:lineRule="auto"/>
              <w:ind w:left="449"/>
              <w:rPr>
                <w:rFonts w:ascii="宋体" w:hAnsi="宋体" w:eastAsia="宋体" w:cs="宋体"/>
                <w:sz w:val="20"/>
                <w:szCs w:val="20"/>
              </w:rPr>
            </w:pPr>
            <w:r>
              <w:rPr>
                <w:rFonts w:ascii="宋体" w:hAnsi="宋体" w:eastAsia="宋体" w:cs="宋体"/>
                <w:spacing w:val="20"/>
                <w:sz w:val="20"/>
                <w:szCs w:val="20"/>
              </w:rPr>
              <w:t>王海勇</w:t>
            </w:r>
          </w:p>
        </w:tc>
        <w:tc>
          <w:tcPr>
            <w:tcW w:w="6069" w:type="dxa"/>
            <w:vAlign w:val="top"/>
          </w:tcPr>
          <w:p>
            <w:pPr>
              <w:spacing w:before="201" w:line="219" w:lineRule="auto"/>
              <w:ind w:left="163"/>
              <w:rPr>
                <w:rFonts w:ascii="宋体" w:hAnsi="宋体" w:eastAsia="宋体" w:cs="宋体"/>
                <w:sz w:val="20"/>
                <w:szCs w:val="20"/>
              </w:rPr>
            </w:pPr>
            <w:r>
              <w:rPr>
                <w:rFonts w:ascii="宋体" w:hAnsi="宋体" w:eastAsia="宋体" w:cs="宋体"/>
                <w:spacing w:val="13"/>
                <w:sz w:val="20"/>
                <w:szCs w:val="20"/>
              </w:rPr>
              <w:t>山东宝诚集团有限公司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19" w:line="301" w:lineRule="exact"/>
              <w:ind w:left="354"/>
              <w:rPr>
                <w:rFonts w:ascii="宋体" w:hAnsi="宋体" w:eastAsia="宋体" w:cs="宋体"/>
                <w:sz w:val="20"/>
                <w:szCs w:val="20"/>
              </w:rPr>
            </w:pPr>
            <w:r>
              <w:rPr>
                <w:rFonts w:ascii="宋体" w:hAnsi="宋体" w:eastAsia="宋体" w:cs="宋体"/>
                <w:position w:val="2"/>
                <w:sz w:val="20"/>
                <w:szCs w:val="20"/>
              </w:rPr>
              <w:t>21</w:t>
            </w:r>
          </w:p>
        </w:tc>
        <w:tc>
          <w:tcPr>
            <w:tcW w:w="1567" w:type="dxa"/>
            <w:vAlign w:val="top"/>
          </w:tcPr>
          <w:p>
            <w:pPr>
              <w:spacing w:before="176" w:line="220" w:lineRule="auto"/>
              <w:ind w:left="445"/>
              <w:rPr>
                <w:rFonts w:ascii="宋体" w:hAnsi="宋体" w:eastAsia="宋体" w:cs="宋体"/>
                <w:sz w:val="20"/>
                <w:szCs w:val="20"/>
              </w:rPr>
            </w:pPr>
            <w:r>
              <w:rPr>
                <w:rFonts w:ascii="宋体" w:hAnsi="宋体" w:eastAsia="宋体" w:cs="宋体"/>
                <w:spacing w:val="18"/>
                <w:sz w:val="20"/>
                <w:szCs w:val="20"/>
              </w:rPr>
              <w:t>唐本明</w:t>
            </w:r>
          </w:p>
        </w:tc>
        <w:tc>
          <w:tcPr>
            <w:tcW w:w="6069" w:type="dxa"/>
            <w:vAlign w:val="top"/>
          </w:tcPr>
          <w:p>
            <w:pPr>
              <w:spacing w:before="181" w:line="220" w:lineRule="auto"/>
              <w:ind w:left="150"/>
              <w:rPr>
                <w:rFonts w:ascii="宋体" w:hAnsi="宋体" w:eastAsia="宋体" w:cs="宋体"/>
                <w:sz w:val="20"/>
                <w:szCs w:val="20"/>
              </w:rPr>
            </w:pPr>
            <w:r>
              <w:rPr>
                <w:rFonts w:ascii="宋体" w:hAnsi="宋体" w:eastAsia="宋体" w:cs="宋体"/>
                <w:spacing w:val="13"/>
                <w:sz w:val="20"/>
                <w:szCs w:val="20"/>
              </w:rPr>
              <w:t>沂源国有投资集团有限公司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5" w:hRule="atLeast"/>
        </w:trPr>
        <w:tc>
          <w:tcPr>
            <w:tcW w:w="928" w:type="dxa"/>
            <w:vAlign w:val="top"/>
          </w:tcPr>
          <w:p>
            <w:pPr>
              <w:spacing w:before="240" w:line="301" w:lineRule="exact"/>
              <w:ind w:left="354"/>
              <w:rPr>
                <w:rFonts w:ascii="宋体" w:hAnsi="宋体" w:eastAsia="宋体" w:cs="宋体"/>
                <w:sz w:val="20"/>
                <w:szCs w:val="20"/>
              </w:rPr>
            </w:pPr>
            <w:r>
              <w:rPr>
                <w:rFonts w:ascii="宋体" w:hAnsi="宋体" w:eastAsia="宋体" w:cs="宋体"/>
                <w:position w:val="2"/>
                <w:sz w:val="20"/>
                <w:szCs w:val="20"/>
              </w:rPr>
              <w:t>22</w:t>
            </w:r>
          </w:p>
        </w:tc>
        <w:tc>
          <w:tcPr>
            <w:tcW w:w="1567" w:type="dxa"/>
            <w:vAlign w:val="top"/>
          </w:tcPr>
          <w:p>
            <w:pPr>
              <w:spacing w:before="205" w:line="216" w:lineRule="auto"/>
              <w:ind w:left="445"/>
              <w:rPr>
                <w:rFonts w:ascii="宋体" w:hAnsi="宋体" w:eastAsia="宋体" w:cs="宋体"/>
                <w:sz w:val="20"/>
                <w:szCs w:val="20"/>
              </w:rPr>
            </w:pPr>
            <w:r>
              <w:rPr>
                <w:rFonts w:ascii="宋体" w:hAnsi="宋体" w:eastAsia="宋体" w:cs="宋体"/>
                <w:spacing w:val="13"/>
                <w:sz w:val="20"/>
                <w:szCs w:val="20"/>
              </w:rPr>
              <w:t>程学凤</w:t>
            </w:r>
          </w:p>
        </w:tc>
        <w:tc>
          <w:tcPr>
            <w:tcW w:w="6069" w:type="dxa"/>
            <w:vAlign w:val="top"/>
          </w:tcPr>
          <w:p>
            <w:pPr>
              <w:spacing w:before="197" w:line="278" w:lineRule="exact"/>
              <w:ind w:left="147"/>
              <w:rPr>
                <w:rFonts w:ascii="宋体" w:hAnsi="宋体" w:eastAsia="宋体" w:cs="宋体"/>
                <w:sz w:val="20"/>
                <w:szCs w:val="20"/>
              </w:rPr>
            </w:pPr>
            <w:r>
              <w:rPr>
                <w:rFonts w:ascii="宋体" w:hAnsi="宋体" w:eastAsia="宋体" w:cs="宋体"/>
                <w:spacing w:val="1"/>
                <w:position w:val="1"/>
                <w:sz w:val="20"/>
                <w:szCs w:val="20"/>
              </w:rPr>
              <w:t>金晶(集团)有限公司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28" w:type="dxa"/>
            <w:vAlign w:val="top"/>
          </w:tcPr>
          <w:p>
            <w:pPr>
              <w:spacing w:before="239" w:line="299" w:lineRule="exact"/>
              <w:ind w:left="354"/>
              <w:rPr>
                <w:rFonts w:ascii="宋体" w:hAnsi="宋体" w:eastAsia="宋体" w:cs="宋体"/>
                <w:sz w:val="20"/>
                <w:szCs w:val="20"/>
              </w:rPr>
            </w:pPr>
            <w:r>
              <w:rPr>
                <w:rFonts w:ascii="宋体" w:hAnsi="宋体" w:eastAsia="宋体" w:cs="宋体"/>
                <w:position w:val="2"/>
                <w:sz w:val="20"/>
                <w:szCs w:val="20"/>
              </w:rPr>
              <w:t>23</w:t>
            </w:r>
          </w:p>
        </w:tc>
        <w:tc>
          <w:tcPr>
            <w:tcW w:w="1567" w:type="dxa"/>
            <w:vAlign w:val="top"/>
          </w:tcPr>
          <w:p>
            <w:pPr>
              <w:spacing w:before="207" w:line="218" w:lineRule="auto"/>
              <w:ind w:left="554"/>
              <w:rPr>
                <w:rFonts w:ascii="宋体" w:hAnsi="宋体" w:eastAsia="宋体" w:cs="宋体"/>
                <w:sz w:val="20"/>
                <w:szCs w:val="20"/>
              </w:rPr>
            </w:pPr>
            <w:r>
              <w:rPr>
                <w:rFonts w:ascii="宋体" w:hAnsi="宋体" w:eastAsia="宋体" w:cs="宋体"/>
                <w:spacing w:val="13"/>
                <w:sz w:val="20"/>
                <w:szCs w:val="20"/>
              </w:rPr>
              <w:t>李燕</w:t>
            </w:r>
          </w:p>
        </w:tc>
        <w:tc>
          <w:tcPr>
            <w:tcW w:w="6069" w:type="dxa"/>
            <w:vAlign w:val="top"/>
          </w:tcPr>
          <w:p>
            <w:pPr>
              <w:spacing w:before="200" w:line="220" w:lineRule="auto"/>
              <w:ind w:left="154"/>
              <w:rPr>
                <w:rFonts w:ascii="宋体" w:hAnsi="宋体" w:eastAsia="宋体" w:cs="宋体"/>
                <w:sz w:val="20"/>
                <w:szCs w:val="20"/>
              </w:rPr>
            </w:pPr>
            <w:r>
              <w:rPr>
                <w:rFonts w:ascii="宋体" w:hAnsi="宋体" w:eastAsia="宋体" w:cs="宋体"/>
                <w:spacing w:val="11"/>
                <w:sz w:val="20"/>
                <w:szCs w:val="20"/>
              </w:rPr>
              <w:t>淄博高新城市投资运营集团有限公司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2" w:line="301" w:lineRule="exact"/>
              <w:ind w:left="354"/>
              <w:rPr>
                <w:rFonts w:ascii="宋体" w:hAnsi="宋体" w:eastAsia="宋体" w:cs="宋体"/>
                <w:sz w:val="20"/>
                <w:szCs w:val="20"/>
              </w:rPr>
            </w:pPr>
            <w:r>
              <w:rPr>
                <w:rFonts w:ascii="宋体" w:hAnsi="宋体" w:eastAsia="宋体" w:cs="宋体"/>
                <w:position w:val="2"/>
                <w:sz w:val="20"/>
                <w:szCs w:val="20"/>
              </w:rPr>
              <w:t>24</w:t>
            </w:r>
          </w:p>
        </w:tc>
        <w:tc>
          <w:tcPr>
            <w:tcW w:w="1567" w:type="dxa"/>
            <w:vAlign w:val="top"/>
          </w:tcPr>
          <w:p>
            <w:pPr>
              <w:spacing w:before="181" w:line="280" w:lineRule="exact"/>
              <w:ind w:left="557"/>
              <w:rPr>
                <w:rFonts w:ascii="宋体" w:hAnsi="宋体" w:eastAsia="宋体" w:cs="宋体"/>
                <w:sz w:val="20"/>
                <w:szCs w:val="20"/>
              </w:rPr>
            </w:pPr>
            <w:r>
              <w:rPr>
                <w:rFonts w:ascii="宋体" w:hAnsi="宋体" w:eastAsia="宋体" w:cs="宋体"/>
                <w:spacing w:val="3"/>
                <w:position w:val="1"/>
                <w:sz w:val="20"/>
                <w:szCs w:val="20"/>
              </w:rPr>
              <w:t>焦玉</w:t>
            </w:r>
          </w:p>
        </w:tc>
        <w:tc>
          <w:tcPr>
            <w:tcW w:w="6069" w:type="dxa"/>
            <w:vAlign w:val="top"/>
          </w:tcPr>
          <w:p>
            <w:pPr>
              <w:spacing w:before="182" w:line="221" w:lineRule="auto"/>
              <w:ind w:left="163"/>
              <w:rPr>
                <w:rFonts w:ascii="宋体" w:hAnsi="宋体" w:eastAsia="宋体" w:cs="宋体"/>
                <w:sz w:val="20"/>
                <w:szCs w:val="20"/>
              </w:rPr>
            </w:pPr>
            <w:r>
              <w:rPr>
                <w:rFonts w:ascii="宋体" w:hAnsi="宋体" w:eastAsia="宋体" w:cs="宋体"/>
                <w:spacing w:val="10"/>
                <w:sz w:val="20"/>
                <w:szCs w:val="20"/>
              </w:rPr>
              <w:t>山东策建工程建设项目管理有限公司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1" w:line="300" w:lineRule="exact"/>
              <w:ind w:left="354"/>
              <w:rPr>
                <w:rFonts w:ascii="宋体" w:hAnsi="宋体" w:eastAsia="宋体" w:cs="宋体"/>
                <w:sz w:val="20"/>
                <w:szCs w:val="20"/>
              </w:rPr>
            </w:pPr>
            <w:r>
              <w:rPr>
                <w:rFonts w:ascii="宋体" w:hAnsi="宋体" w:eastAsia="宋体" w:cs="宋体"/>
                <w:position w:val="2"/>
                <w:sz w:val="20"/>
                <w:szCs w:val="20"/>
              </w:rPr>
              <w:t>25</w:t>
            </w:r>
          </w:p>
        </w:tc>
        <w:tc>
          <w:tcPr>
            <w:tcW w:w="1567" w:type="dxa"/>
            <w:vAlign w:val="top"/>
          </w:tcPr>
          <w:p>
            <w:pPr>
              <w:spacing w:before="207" w:line="213" w:lineRule="auto"/>
              <w:ind w:left="445"/>
              <w:rPr>
                <w:rFonts w:ascii="宋体" w:hAnsi="宋体" w:eastAsia="宋体" w:cs="宋体"/>
                <w:sz w:val="20"/>
                <w:szCs w:val="20"/>
              </w:rPr>
            </w:pPr>
            <w:r>
              <w:rPr>
                <w:rFonts w:ascii="宋体" w:hAnsi="宋体" w:eastAsia="宋体" w:cs="宋体"/>
                <w:spacing w:val="20"/>
                <w:sz w:val="20"/>
                <w:szCs w:val="20"/>
              </w:rPr>
              <w:t>吴兵山</w:t>
            </w:r>
          </w:p>
        </w:tc>
        <w:tc>
          <w:tcPr>
            <w:tcW w:w="6069" w:type="dxa"/>
            <w:vAlign w:val="top"/>
          </w:tcPr>
          <w:p>
            <w:pPr>
              <w:spacing w:before="201" w:line="221" w:lineRule="auto"/>
              <w:ind w:left="163"/>
              <w:rPr>
                <w:rFonts w:ascii="宋体" w:hAnsi="宋体" w:eastAsia="宋体" w:cs="宋体"/>
                <w:sz w:val="20"/>
                <w:szCs w:val="20"/>
              </w:rPr>
            </w:pPr>
            <w:r>
              <w:rPr>
                <w:rFonts w:ascii="宋体" w:hAnsi="宋体" w:eastAsia="宋体" w:cs="宋体"/>
                <w:spacing w:val="10"/>
                <w:sz w:val="20"/>
                <w:szCs w:val="20"/>
              </w:rPr>
              <w:t>山东策建工程建设项目管理有限公司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5" w:hRule="atLeast"/>
        </w:trPr>
        <w:tc>
          <w:tcPr>
            <w:tcW w:w="928" w:type="dxa"/>
            <w:vAlign w:val="top"/>
          </w:tcPr>
          <w:p>
            <w:pPr>
              <w:spacing w:before="243" w:line="299" w:lineRule="exact"/>
              <w:ind w:left="354"/>
              <w:rPr>
                <w:rFonts w:ascii="宋体" w:hAnsi="宋体" w:eastAsia="宋体" w:cs="宋体"/>
                <w:sz w:val="20"/>
                <w:szCs w:val="20"/>
              </w:rPr>
            </w:pPr>
            <w:r>
              <w:rPr>
                <w:rFonts w:ascii="宋体" w:hAnsi="宋体" w:eastAsia="宋体" w:cs="宋体"/>
                <w:position w:val="2"/>
                <w:sz w:val="20"/>
                <w:szCs w:val="20"/>
              </w:rPr>
              <w:t>26</w:t>
            </w:r>
          </w:p>
        </w:tc>
        <w:tc>
          <w:tcPr>
            <w:tcW w:w="1567" w:type="dxa"/>
            <w:vAlign w:val="top"/>
          </w:tcPr>
          <w:p>
            <w:pPr>
              <w:spacing w:before="216" w:line="210" w:lineRule="auto"/>
              <w:ind w:left="449"/>
              <w:rPr>
                <w:rFonts w:ascii="宋体" w:hAnsi="宋体" w:eastAsia="宋体" w:cs="宋体"/>
                <w:sz w:val="20"/>
                <w:szCs w:val="20"/>
              </w:rPr>
            </w:pPr>
            <w:r>
              <w:rPr>
                <w:rFonts w:ascii="宋体" w:hAnsi="宋体" w:eastAsia="宋体" w:cs="宋体"/>
                <w:spacing w:val="10"/>
                <w:sz w:val="20"/>
                <w:szCs w:val="20"/>
              </w:rPr>
              <w:t>王金环</w:t>
            </w:r>
          </w:p>
        </w:tc>
        <w:tc>
          <w:tcPr>
            <w:tcW w:w="6069" w:type="dxa"/>
            <w:vAlign w:val="top"/>
          </w:tcPr>
          <w:p>
            <w:pPr>
              <w:spacing w:before="203" w:line="221" w:lineRule="auto"/>
              <w:ind w:left="163"/>
              <w:rPr>
                <w:rFonts w:ascii="宋体" w:hAnsi="宋体" w:eastAsia="宋体" w:cs="宋体"/>
                <w:sz w:val="20"/>
                <w:szCs w:val="20"/>
              </w:rPr>
            </w:pPr>
            <w:r>
              <w:rPr>
                <w:rFonts w:ascii="宋体" w:hAnsi="宋体" w:eastAsia="宋体" w:cs="宋体"/>
                <w:spacing w:val="10"/>
                <w:sz w:val="20"/>
                <w:szCs w:val="20"/>
              </w:rPr>
              <w:t>山东策建工程建设项目管理有限公司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2" w:line="300" w:lineRule="exact"/>
              <w:ind w:left="354"/>
              <w:rPr>
                <w:rFonts w:ascii="宋体" w:hAnsi="宋体" w:eastAsia="宋体" w:cs="宋体"/>
                <w:sz w:val="20"/>
                <w:szCs w:val="20"/>
              </w:rPr>
            </w:pPr>
            <w:r>
              <w:rPr>
                <w:rFonts w:ascii="宋体" w:hAnsi="宋体" w:eastAsia="宋体" w:cs="宋体"/>
                <w:position w:val="2"/>
                <w:sz w:val="20"/>
                <w:szCs w:val="20"/>
              </w:rPr>
              <w:t>27</w:t>
            </w:r>
          </w:p>
        </w:tc>
        <w:tc>
          <w:tcPr>
            <w:tcW w:w="1567" w:type="dxa"/>
            <w:vAlign w:val="top"/>
          </w:tcPr>
          <w:p>
            <w:pPr>
              <w:spacing w:before="187" w:line="218" w:lineRule="auto"/>
              <w:ind w:left="450"/>
              <w:rPr>
                <w:rFonts w:ascii="宋体" w:hAnsi="宋体" w:eastAsia="宋体" w:cs="宋体"/>
                <w:sz w:val="20"/>
                <w:szCs w:val="20"/>
              </w:rPr>
            </w:pPr>
            <w:r>
              <w:rPr>
                <w:rFonts w:ascii="宋体" w:hAnsi="宋体" w:eastAsia="宋体" w:cs="宋体"/>
                <w:spacing w:val="10"/>
                <w:sz w:val="20"/>
                <w:szCs w:val="20"/>
              </w:rPr>
              <w:t>张乐德</w:t>
            </w:r>
          </w:p>
        </w:tc>
        <w:tc>
          <w:tcPr>
            <w:tcW w:w="6069" w:type="dxa"/>
            <w:vAlign w:val="top"/>
          </w:tcPr>
          <w:p>
            <w:pPr>
              <w:spacing w:before="184" w:line="219" w:lineRule="auto"/>
              <w:ind w:left="163"/>
              <w:rPr>
                <w:rFonts w:ascii="宋体" w:hAnsi="宋体" w:eastAsia="宋体" w:cs="宋体"/>
                <w:sz w:val="20"/>
                <w:szCs w:val="20"/>
              </w:rPr>
            </w:pPr>
            <w:r>
              <w:rPr>
                <w:rFonts w:ascii="宋体" w:hAnsi="宋体" w:eastAsia="宋体" w:cs="宋体"/>
                <w:spacing w:val="11"/>
                <w:sz w:val="20"/>
                <w:szCs w:val="20"/>
              </w:rPr>
              <w:t>山东品赫项目管理有限公司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3" w:line="300" w:lineRule="exact"/>
              <w:ind w:left="354"/>
              <w:rPr>
                <w:rFonts w:ascii="宋体" w:hAnsi="宋体" w:eastAsia="宋体" w:cs="宋体"/>
                <w:sz w:val="20"/>
                <w:szCs w:val="20"/>
              </w:rPr>
            </w:pPr>
            <w:r>
              <w:rPr>
                <w:rFonts w:ascii="宋体" w:hAnsi="宋体" w:eastAsia="宋体" w:cs="宋体"/>
                <w:position w:val="2"/>
                <w:sz w:val="20"/>
                <w:szCs w:val="20"/>
              </w:rPr>
              <w:t>28</w:t>
            </w:r>
          </w:p>
        </w:tc>
        <w:tc>
          <w:tcPr>
            <w:tcW w:w="1567" w:type="dxa"/>
            <w:vAlign w:val="top"/>
          </w:tcPr>
          <w:p>
            <w:pPr>
              <w:spacing w:before="204" w:line="220" w:lineRule="auto"/>
              <w:ind w:left="559"/>
              <w:rPr>
                <w:rFonts w:ascii="宋体" w:hAnsi="宋体" w:eastAsia="宋体" w:cs="宋体"/>
                <w:sz w:val="20"/>
                <w:szCs w:val="20"/>
              </w:rPr>
            </w:pPr>
            <w:r>
              <w:rPr>
                <w:rFonts w:ascii="宋体" w:hAnsi="宋体" w:eastAsia="宋体" w:cs="宋体"/>
                <w:spacing w:val="10"/>
                <w:sz w:val="20"/>
                <w:szCs w:val="20"/>
              </w:rPr>
              <w:t>曹芬</w:t>
            </w:r>
          </w:p>
        </w:tc>
        <w:tc>
          <w:tcPr>
            <w:tcW w:w="6069" w:type="dxa"/>
            <w:vAlign w:val="top"/>
          </w:tcPr>
          <w:p>
            <w:pPr>
              <w:spacing w:before="206" w:line="219" w:lineRule="auto"/>
              <w:ind w:left="168"/>
              <w:rPr>
                <w:rFonts w:ascii="宋体" w:hAnsi="宋体" w:eastAsia="宋体" w:cs="宋体"/>
                <w:sz w:val="20"/>
                <w:szCs w:val="20"/>
              </w:rPr>
            </w:pPr>
            <w:r>
              <w:rPr>
                <w:rFonts w:ascii="宋体" w:hAnsi="宋体" w:eastAsia="宋体" w:cs="宋体"/>
                <w:spacing w:val="11"/>
                <w:sz w:val="20"/>
                <w:szCs w:val="20"/>
              </w:rPr>
              <w:t>中杰齐晟项目管理有限公司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3" w:line="299" w:lineRule="exact"/>
              <w:ind w:left="354"/>
              <w:rPr>
                <w:rFonts w:ascii="宋体" w:hAnsi="宋体" w:eastAsia="宋体" w:cs="宋体"/>
                <w:sz w:val="20"/>
                <w:szCs w:val="20"/>
              </w:rPr>
            </w:pPr>
            <w:r>
              <w:rPr>
                <w:rFonts w:ascii="宋体" w:hAnsi="宋体" w:eastAsia="宋体" w:cs="宋体"/>
                <w:position w:val="2"/>
                <w:sz w:val="20"/>
                <w:szCs w:val="20"/>
              </w:rPr>
              <w:t>29</w:t>
            </w:r>
          </w:p>
        </w:tc>
        <w:tc>
          <w:tcPr>
            <w:tcW w:w="1567" w:type="dxa"/>
            <w:vAlign w:val="top"/>
          </w:tcPr>
          <w:p>
            <w:pPr>
              <w:spacing w:before="205" w:line="218" w:lineRule="auto"/>
              <w:ind w:left="444"/>
              <w:rPr>
                <w:rFonts w:ascii="宋体" w:hAnsi="宋体" w:eastAsia="宋体" w:cs="宋体"/>
                <w:sz w:val="20"/>
                <w:szCs w:val="20"/>
              </w:rPr>
            </w:pPr>
            <w:r>
              <w:rPr>
                <w:rFonts w:ascii="宋体" w:hAnsi="宋体" w:eastAsia="宋体" w:cs="宋体"/>
                <w:spacing w:val="14"/>
                <w:sz w:val="20"/>
                <w:szCs w:val="20"/>
              </w:rPr>
              <w:t>刘楠楠</w:t>
            </w:r>
          </w:p>
        </w:tc>
        <w:tc>
          <w:tcPr>
            <w:tcW w:w="6069" w:type="dxa"/>
            <w:vAlign w:val="top"/>
          </w:tcPr>
          <w:p>
            <w:pPr>
              <w:spacing w:before="199" w:line="278" w:lineRule="exact"/>
              <w:ind w:left="168"/>
              <w:rPr>
                <w:rFonts w:ascii="宋体" w:hAnsi="宋体" w:eastAsia="宋体" w:cs="宋体"/>
                <w:sz w:val="20"/>
                <w:szCs w:val="20"/>
              </w:rPr>
            </w:pPr>
            <w:r>
              <w:rPr>
                <w:rFonts w:ascii="宋体" w:hAnsi="宋体" w:eastAsia="宋体" w:cs="宋体"/>
                <w:spacing w:val="3"/>
                <w:position w:val="1"/>
                <w:sz w:val="20"/>
                <w:szCs w:val="20"/>
              </w:rPr>
              <w:t>中建五局(山东)投资建设有限公司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5" w:line="300" w:lineRule="exact"/>
              <w:ind w:left="357"/>
              <w:rPr>
                <w:rFonts w:ascii="宋体" w:hAnsi="宋体" w:eastAsia="宋体" w:cs="宋体"/>
                <w:sz w:val="20"/>
                <w:szCs w:val="20"/>
              </w:rPr>
            </w:pPr>
            <w:r>
              <w:rPr>
                <w:rFonts w:ascii="宋体" w:hAnsi="宋体" w:eastAsia="宋体" w:cs="宋体"/>
                <w:spacing w:val="-3"/>
                <w:position w:val="2"/>
                <w:sz w:val="20"/>
                <w:szCs w:val="20"/>
              </w:rPr>
              <w:t>30</w:t>
            </w:r>
          </w:p>
        </w:tc>
        <w:tc>
          <w:tcPr>
            <w:tcW w:w="1567" w:type="dxa"/>
            <w:vAlign w:val="top"/>
          </w:tcPr>
          <w:p>
            <w:pPr>
              <w:spacing w:before="190" w:line="222" w:lineRule="auto"/>
              <w:ind w:left="445"/>
              <w:rPr>
                <w:rFonts w:ascii="宋体" w:hAnsi="宋体" w:eastAsia="宋体" w:cs="宋体"/>
                <w:sz w:val="20"/>
                <w:szCs w:val="20"/>
              </w:rPr>
            </w:pPr>
            <w:r>
              <w:rPr>
                <w:rFonts w:ascii="宋体" w:hAnsi="宋体" w:eastAsia="宋体" w:cs="宋体"/>
                <w:spacing w:val="14"/>
                <w:sz w:val="20"/>
                <w:szCs w:val="20"/>
              </w:rPr>
              <w:t>宗慧宏</w:t>
            </w:r>
          </w:p>
        </w:tc>
        <w:tc>
          <w:tcPr>
            <w:tcW w:w="6069" w:type="dxa"/>
            <w:vAlign w:val="top"/>
          </w:tcPr>
          <w:p>
            <w:pPr>
              <w:spacing w:before="187" w:line="219" w:lineRule="auto"/>
              <w:ind w:left="163"/>
              <w:rPr>
                <w:rFonts w:ascii="宋体" w:hAnsi="宋体" w:eastAsia="宋体" w:cs="宋体"/>
                <w:sz w:val="20"/>
                <w:szCs w:val="20"/>
              </w:rPr>
            </w:pPr>
            <w:r>
              <w:rPr>
                <w:rFonts w:ascii="宋体" w:hAnsi="宋体" w:eastAsia="宋体" w:cs="宋体"/>
                <w:spacing w:val="12"/>
                <w:sz w:val="20"/>
                <w:szCs w:val="20"/>
              </w:rPr>
              <w:t>山东创业房地产开发有限公司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4" w:line="300" w:lineRule="exact"/>
              <w:ind w:left="357"/>
              <w:rPr>
                <w:rFonts w:ascii="宋体" w:hAnsi="宋体" w:eastAsia="宋体" w:cs="宋体"/>
                <w:sz w:val="20"/>
                <w:szCs w:val="20"/>
              </w:rPr>
            </w:pPr>
            <w:r>
              <w:rPr>
                <w:rFonts w:ascii="宋体" w:hAnsi="宋体" w:eastAsia="宋体" w:cs="宋体"/>
                <w:spacing w:val="-3"/>
                <w:position w:val="2"/>
                <w:sz w:val="20"/>
                <w:szCs w:val="20"/>
              </w:rPr>
              <w:t>31</w:t>
            </w:r>
          </w:p>
        </w:tc>
        <w:tc>
          <w:tcPr>
            <w:tcW w:w="1567" w:type="dxa"/>
            <w:vAlign w:val="top"/>
          </w:tcPr>
          <w:p>
            <w:pPr>
              <w:spacing w:before="206" w:line="221" w:lineRule="auto"/>
              <w:ind w:left="445"/>
              <w:rPr>
                <w:rFonts w:ascii="宋体" w:hAnsi="宋体" w:eastAsia="宋体" w:cs="宋体"/>
                <w:sz w:val="20"/>
                <w:szCs w:val="20"/>
              </w:rPr>
            </w:pPr>
            <w:r>
              <w:rPr>
                <w:rFonts w:ascii="宋体" w:hAnsi="宋体" w:eastAsia="宋体" w:cs="宋体"/>
                <w:spacing w:val="13"/>
                <w:sz w:val="20"/>
                <w:szCs w:val="20"/>
              </w:rPr>
              <w:t>周建文</w:t>
            </w:r>
          </w:p>
        </w:tc>
        <w:tc>
          <w:tcPr>
            <w:tcW w:w="6069" w:type="dxa"/>
            <w:vAlign w:val="top"/>
          </w:tcPr>
          <w:p>
            <w:pPr>
              <w:spacing w:before="206" w:line="219" w:lineRule="auto"/>
              <w:ind w:left="163"/>
              <w:rPr>
                <w:rFonts w:ascii="宋体" w:hAnsi="宋体" w:eastAsia="宋体" w:cs="宋体"/>
                <w:sz w:val="20"/>
                <w:szCs w:val="20"/>
              </w:rPr>
            </w:pPr>
            <w:r>
              <w:rPr>
                <w:rFonts w:ascii="宋体" w:hAnsi="宋体" w:eastAsia="宋体" w:cs="宋体"/>
                <w:spacing w:val="11"/>
                <w:sz w:val="20"/>
                <w:szCs w:val="20"/>
              </w:rPr>
              <w:t>山东金诚石化集团有限公司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5" w:hRule="atLeast"/>
        </w:trPr>
        <w:tc>
          <w:tcPr>
            <w:tcW w:w="928" w:type="dxa"/>
            <w:vAlign w:val="top"/>
          </w:tcPr>
          <w:p>
            <w:pPr>
              <w:spacing w:before="246" w:line="299" w:lineRule="exact"/>
              <w:ind w:left="357"/>
              <w:rPr>
                <w:rFonts w:ascii="宋体" w:hAnsi="宋体" w:eastAsia="宋体" w:cs="宋体"/>
                <w:sz w:val="20"/>
                <w:szCs w:val="20"/>
              </w:rPr>
            </w:pPr>
            <w:r>
              <w:rPr>
                <w:rFonts w:ascii="宋体" w:hAnsi="宋体" w:eastAsia="宋体" w:cs="宋体"/>
                <w:spacing w:val="-3"/>
                <w:position w:val="2"/>
                <w:sz w:val="20"/>
                <w:szCs w:val="20"/>
              </w:rPr>
              <w:t>32</w:t>
            </w:r>
          </w:p>
        </w:tc>
        <w:tc>
          <w:tcPr>
            <w:tcW w:w="1567" w:type="dxa"/>
            <w:vAlign w:val="top"/>
          </w:tcPr>
          <w:p>
            <w:pPr>
              <w:spacing w:before="210" w:line="216" w:lineRule="auto"/>
              <w:ind w:left="452"/>
              <w:rPr>
                <w:rFonts w:ascii="宋体" w:hAnsi="宋体" w:eastAsia="宋体" w:cs="宋体"/>
                <w:sz w:val="20"/>
                <w:szCs w:val="20"/>
              </w:rPr>
            </w:pPr>
            <w:r>
              <w:rPr>
                <w:rFonts w:ascii="宋体" w:hAnsi="宋体" w:eastAsia="宋体" w:cs="宋体"/>
                <w:spacing w:val="9"/>
                <w:sz w:val="20"/>
                <w:szCs w:val="20"/>
              </w:rPr>
              <w:t>马迎晓</w:t>
            </w:r>
          </w:p>
        </w:tc>
        <w:tc>
          <w:tcPr>
            <w:tcW w:w="6069" w:type="dxa"/>
            <w:vAlign w:val="top"/>
          </w:tcPr>
          <w:p>
            <w:pPr>
              <w:spacing w:before="206" w:line="221" w:lineRule="auto"/>
              <w:ind w:left="163"/>
              <w:rPr>
                <w:rFonts w:ascii="宋体" w:hAnsi="宋体" w:eastAsia="宋体" w:cs="宋体"/>
                <w:sz w:val="20"/>
                <w:szCs w:val="20"/>
              </w:rPr>
            </w:pPr>
            <w:r>
              <w:rPr>
                <w:rFonts w:ascii="宋体" w:hAnsi="宋体" w:eastAsia="宋体" w:cs="宋体"/>
                <w:spacing w:val="13"/>
                <w:sz w:val="20"/>
                <w:szCs w:val="20"/>
              </w:rPr>
              <w:t>山东淄建集团有限公司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28" w:type="dxa"/>
            <w:vAlign w:val="top"/>
          </w:tcPr>
          <w:p>
            <w:pPr>
              <w:spacing w:before="244" w:line="300" w:lineRule="exact"/>
              <w:ind w:left="357"/>
              <w:rPr>
                <w:rFonts w:ascii="宋体" w:hAnsi="宋体" w:eastAsia="宋体" w:cs="宋体"/>
                <w:sz w:val="20"/>
                <w:szCs w:val="20"/>
              </w:rPr>
            </w:pPr>
            <w:r>
              <w:rPr>
                <w:rFonts w:ascii="宋体" w:hAnsi="宋体" w:eastAsia="宋体" w:cs="宋体"/>
                <w:spacing w:val="-3"/>
                <w:position w:val="2"/>
                <w:sz w:val="20"/>
                <w:szCs w:val="20"/>
              </w:rPr>
              <w:t>33</w:t>
            </w:r>
          </w:p>
        </w:tc>
        <w:tc>
          <w:tcPr>
            <w:tcW w:w="1567" w:type="dxa"/>
            <w:vAlign w:val="top"/>
          </w:tcPr>
          <w:p>
            <w:pPr>
              <w:spacing w:before="213" w:line="218" w:lineRule="auto"/>
              <w:ind w:left="554"/>
              <w:rPr>
                <w:rFonts w:ascii="宋体" w:hAnsi="宋体" w:eastAsia="宋体" w:cs="宋体"/>
                <w:sz w:val="20"/>
                <w:szCs w:val="20"/>
              </w:rPr>
            </w:pPr>
            <w:r>
              <w:rPr>
                <w:rFonts w:ascii="宋体" w:hAnsi="宋体" w:eastAsia="宋体" w:cs="宋体"/>
                <w:spacing w:val="13"/>
                <w:sz w:val="20"/>
                <w:szCs w:val="20"/>
              </w:rPr>
              <w:t>李文</w:t>
            </w:r>
          </w:p>
        </w:tc>
        <w:tc>
          <w:tcPr>
            <w:tcW w:w="6069" w:type="dxa"/>
            <w:vAlign w:val="top"/>
          </w:tcPr>
          <w:p>
            <w:pPr>
              <w:spacing w:before="204" w:line="221" w:lineRule="auto"/>
              <w:ind w:left="163"/>
              <w:rPr>
                <w:rFonts w:ascii="宋体" w:hAnsi="宋体" w:eastAsia="宋体" w:cs="宋体"/>
                <w:sz w:val="20"/>
                <w:szCs w:val="20"/>
              </w:rPr>
            </w:pPr>
            <w:r>
              <w:rPr>
                <w:rFonts w:ascii="宋体" w:hAnsi="宋体" w:eastAsia="宋体" w:cs="宋体"/>
                <w:spacing w:val="13"/>
                <w:sz w:val="20"/>
                <w:szCs w:val="20"/>
              </w:rPr>
              <w:t>山东淄建集团有限公司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8" w:line="299" w:lineRule="exact"/>
              <w:ind w:left="357"/>
              <w:rPr>
                <w:rFonts w:ascii="宋体" w:hAnsi="宋体" w:eastAsia="宋体" w:cs="宋体"/>
                <w:sz w:val="20"/>
                <w:szCs w:val="20"/>
              </w:rPr>
            </w:pPr>
            <w:r>
              <w:rPr>
                <w:rFonts w:ascii="宋体" w:hAnsi="宋体" w:eastAsia="宋体" w:cs="宋体"/>
                <w:spacing w:val="-3"/>
                <w:position w:val="2"/>
                <w:sz w:val="20"/>
                <w:szCs w:val="20"/>
              </w:rPr>
              <w:t>34</w:t>
            </w:r>
          </w:p>
        </w:tc>
        <w:tc>
          <w:tcPr>
            <w:tcW w:w="1567" w:type="dxa"/>
            <w:vAlign w:val="top"/>
          </w:tcPr>
          <w:p>
            <w:pPr>
              <w:spacing w:before="197" w:line="217" w:lineRule="auto"/>
              <w:ind w:left="444"/>
              <w:rPr>
                <w:rFonts w:ascii="宋体" w:hAnsi="宋体" w:eastAsia="宋体" w:cs="宋体"/>
                <w:sz w:val="20"/>
                <w:szCs w:val="20"/>
              </w:rPr>
            </w:pPr>
            <w:r>
              <w:rPr>
                <w:rFonts w:ascii="宋体" w:hAnsi="宋体" w:eastAsia="宋体" w:cs="宋体"/>
                <w:spacing w:val="4"/>
                <w:sz w:val="20"/>
                <w:szCs w:val="20"/>
              </w:rPr>
              <w:t>孙玉红</w:t>
            </w:r>
          </w:p>
        </w:tc>
        <w:tc>
          <w:tcPr>
            <w:tcW w:w="6069" w:type="dxa"/>
            <w:vAlign w:val="top"/>
          </w:tcPr>
          <w:p>
            <w:pPr>
              <w:spacing w:before="188" w:line="221" w:lineRule="auto"/>
              <w:ind w:left="163"/>
              <w:rPr>
                <w:rFonts w:ascii="宋体" w:hAnsi="宋体" w:eastAsia="宋体" w:cs="宋体"/>
                <w:sz w:val="20"/>
                <w:szCs w:val="20"/>
              </w:rPr>
            </w:pPr>
            <w:r>
              <w:rPr>
                <w:rFonts w:ascii="宋体" w:hAnsi="宋体" w:eastAsia="宋体" w:cs="宋体"/>
                <w:spacing w:val="13"/>
                <w:sz w:val="20"/>
                <w:szCs w:val="20"/>
              </w:rPr>
              <w:t>山东高阳建设有限公司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7" w:line="299" w:lineRule="exact"/>
              <w:ind w:left="357"/>
              <w:rPr>
                <w:rFonts w:ascii="宋体" w:hAnsi="宋体" w:eastAsia="宋体" w:cs="宋体"/>
                <w:sz w:val="20"/>
                <w:szCs w:val="20"/>
              </w:rPr>
            </w:pPr>
            <w:r>
              <w:rPr>
                <w:rFonts w:ascii="宋体" w:hAnsi="宋体" w:eastAsia="宋体" w:cs="宋体"/>
                <w:spacing w:val="-3"/>
                <w:position w:val="2"/>
                <w:sz w:val="20"/>
                <w:szCs w:val="20"/>
              </w:rPr>
              <w:t>35</w:t>
            </w:r>
          </w:p>
        </w:tc>
        <w:tc>
          <w:tcPr>
            <w:tcW w:w="1567" w:type="dxa"/>
            <w:vAlign w:val="top"/>
          </w:tcPr>
          <w:p>
            <w:pPr>
              <w:spacing w:before="211" w:line="215" w:lineRule="auto"/>
              <w:ind w:left="445"/>
              <w:rPr>
                <w:rFonts w:ascii="宋体" w:hAnsi="宋体" w:eastAsia="宋体" w:cs="宋体"/>
                <w:sz w:val="20"/>
                <w:szCs w:val="20"/>
              </w:rPr>
            </w:pPr>
            <w:r>
              <w:rPr>
                <w:rFonts w:ascii="宋体" w:hAnsi="宋体" w:eastAsia="宋体" w:cs="宋体"/>
                <w:spacing w:val="16"/>
                <w:sz w:val="20"/>
                <w:szCs w:val="20"/>
              </w:rPr>
              <w:t>边晓坤</w:t>
            </w:r>
          </w:p>
        </w:tc>
        <w:tc>
          <w:tcPr>
            <w:tcW w:w="6069" w:type="dxa"/>
            <w:vAlign w:val="top"/>
          </w:tcPr>
          <w:p>
            <w:pPr>
              <w:spacing w:before="206" w:line="221" w:lineRule="auto"/>
              <w:ind w:left="163"/>
              <w:rPr>
                <w:rFonts w:ascii="宋体" w:hAnsi="宋体" w:eastAsia="宋体" w:cs="宋体"/>
                <w:sz w:val="20"/>
                <w:szCs w:val="20"/>
              </w:rPr>
            </w:pPr>
            <w:r>
              <w:rPr>
                <w:rFonts w:ascii="宋体" w:hAnsi="宋体" w:eastAsia="宋体" w:cs="宋体"/>
                <w:spacing w:val="13"/>
                <w:sz w:val="20"/>
                <w:szCs w:val="20"/>
              </w:rPr>
              <w:t>山东高阳建设有限公司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28" w:type="dxa"/>
            <w:vAlign w:val="top"/>
          </w:tcPr>
          <w:p>
            <w:pPr>
              <w:spacing w:before="248" w:line="300" w:lineRule="exact"/>
              <w:ind w:left="357"/>
              <w:rPr>
                <w:rFonts w:ascii="宋体" w:hAnsi="宋体" w:eastAsia="宋体" w:cs="宋体"/>
                <w:sz w:val="20"/>
                <w:szCs w:val="20"/>
              </w:rPr>
            </w:pPr>
            <w:r>
              <w:rPr>
                <w:rFonts w:ascii="宋体" w:hAnsi="宋体" w:eastAsia="宋体" w:cs="宋体"/>
                <w:spacing w:val="-3"/>
                <w:position w:val="2"/>
                <w:sz w:val="20"/>
                <w:szCs w:val="20"/>
              </w:rPr>
              <w:t>36</w:t>
            </w:r>
          </w:p>
        </w:tc>
        <w:tc>
          <w:tcPr>
            <w:tcW w:w="1567" w:type="dxa"/>
            <w:vAlign w:val="top"/>
          </w:tcPr>
          <w:p>
            <w:pPr>
              <w:spacing w:before="211" w:line="218" w:lineRule="auto"/>
              <w:ind w:left="583"/>
              <w:rPr>
                <w:rFonts w:ascii="宋体" w:hAnsi="宋体" w:eastAsia="宋体" w:cs="宋体"/>
                <w:sz w:val="20"/>
                <w:szCs w:val="20"/>
              </w:rPr>
            </w:pPr>
            <w:r>
              <w:rPr>
                <w:rFonts w:ascii="宋体" w:hAnsi="宋体" w:eastAsia="宋体" w:cs="宋体"/>
                <w:spacing w:val="-3"/>
                <w:sz w:val="20"/>
                <w:szCs w:val="20"/>
              </w:rPr>
              <w:t>田亮</w:t>
            </w:r>
          </w:p>
        </w:tc>
        <w:tc>
          <w:tcPr>
            <w:tcW w:w="6069" w:type="dxa"/>
            <w:vAlign w:val="top"/>
          </w:tcPr>
          <w:p>
            <w:pPr>
              <w:spacing w:before="208" w:line="221" w:lineRule="auto"/>
              <w:ind w:left="147"/>
              <w:rPr>
                <w:rFonts w:ascii="宋体" w:hAnsi="宋体" w:eastAsia="宋体" w:cs="宋体"/>
                <w:sz w:val="20"/>
                <w:szCs w:val="20"/>
              </w:rPr>
            </w:pPr>
            <w:r>
              <w:rPr>
                <w:rFonts w:ascii="宋体" w:hAnsi="宋体" w:eastAsia="宋体" w:cs="宋体"/>
                <w:spacing w:val="14"/>
                <w:sz w:val="20"/>
                <w:szCs w:val="20"/>
              </w:rPr>
              <w:t>金瀚建设有限公司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8564" w:type="dxa"/>
            <w:gridSpan w:val="3"/>
            <w:vAlign w:val="top"/>
          </w:tcPr>
          <w:p>
            <w:pPr>
              <w:spacing w:before="208" w:line="278" w:lineRule="exact"/>
              <w:ind w:left="3721"/>
              <w:rPr>
                <w:rFonts w:ascii="宋体" w:hAnsi="宋体" w:eastAsia="宋体" w:cs="宋体"/>
                <w:sz w:val="20"/>
                <w:szCs w:val="20"/>
              </w:rPr>
            </w:pPr>
            <w:r>
              <w:rPr>
                <w:rFonts w:ascii="宋体" w:hAnsi="宋体" w:eastAsia="宋体" w:cs="宋体"/>
                <w:b/>
                <w:bCs/>
                <w:spacing w:val="-13"/>
                <w:position w:val="1"/>
                <w:sz w:val="20"/>
                <w:szCs w:val="20"/>
              </w:rPr>
              <w:t>(二)安装专业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3" w:hRule="atLeast"/>
        </w:trPr>
        <w:tc>
          <w:tcPr>
            <w:tcW w:w="928" w:type="dxa"/>
            <w:vAlign w:val="top"/>
          </w:tcPr>
          <w:p>
            <w:pPr>
              <w:spacing w:before="251" w:line="301" w:lineRule="exact"/>
              <w:ind w:left="422"/>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211" w:line="221" w:lineRule="auto"/>
              <w:ind w:left="445"/>
              <w:rPr>
                <w:rFonts w:ascii="宋体" w:hAnsi="宋体" w:eastAsia="宋体" w:cs="宋体"/>
                <w:sz w:val="20"/>
                <w:szCs w:val="20"/>
              </w:rPr>
            </w:pPr>
            <w:r>
              <w:rPr>
                <w:rFonts w:ascii="宋体" w:hAnsi="宋体" w:eastAsia="宋体" w:cs="宋体"/>
                <w:spacing w:val="5"/>
                <w:sz w:val="20"/>
                <w:szCs w:val="20"/>
              </w:rPr>
              <w:t>穆素珍</w:t>
            </w:r>
          </w:p>
        </w:tc>
        <w:tc>
          <w:tcPr>
            <w:tcW w:w="6069" w:type="dxa"/>
            <w:vAlign w:val="top"/>
          </w:tcPr>
          <w:p>
            <w:pPr>
              <w:spacing w:before="211" w:line="221" w:lineRule="auto"/>
              <w:ind w:left="163"/>
              <w:rPr>
                <w:rFonts w:ascii="宋体" w:hAnsi="宋体" w:eastAsia="宋体" w:cs="宋体"/>
                <w:sz w:val="20"/>
                <w:szCs w:val="20"/>
              </w:rPr>
            </w:pPr>
            <w:r>
              <w:rPr>
                <w:rFonts w:ascii="宋体" w:hAnsi="宋体" w:eastAsia="宋体" w:cs="宋体"/>
                <w:spacing w:val="12"/>
                <w:sz w:val="20"/>
                <w:szCs w:val="20"/>
              </w:rPr>
              <w:t>山东同力建设项目管理有限公司</w:t>
            </w:r>
          </w:p>
        </w:tc>
      </w:tr>
    </w:tbl>
    <w:p>
      <w:pPr>
        <w:rPr>
          <w:rFonts w:ascii="Arial"/>
          <w:sz w:val="21"/>
        </w:rPr>
      </w:pPr>
    </w:p>
    <w:p>
      <w:pPr>
        <w:rPr>
          <w:rFonts w:ascii="Arial" w:hAnsi="Arial" w:eastAsia="Arial" w:cs="Arial"/>
          <w:sz w:val="21"/>
          <w:szCs w:val="21"/>
        </w:rPr>
        <w:sectPr>
          <w:headerReference r:id="rId320" w:type="default"/>
          <w:footerReference r:id="rId321" w:type="default"/>
          <w:pgSz w:w="11900" w:h="16830"/>
          <w:pgMar w:top="400" w:right="1419" w:bottom="1184" w:left="1417" w:header="0" w:footer="869" w:gutter="0"/>
        </w:sectPr>
      </w:pPr>
    </w:p>
    <w:p>
      <w:pPr>
        <w:spacing w:before="11"/>
      </w:pPr>
    </w:p>
    <w:p>
      <w:pPr>
        <w:spacing w:before="11"/>
      </w:pPr>
    </w:p>
    <w:p>
      <w:pPr>
        <w:spacing w:before="11"/>
      </w:pPr>
    </w:p>
    <w:p>
      <w:pPr>
        <w:spacing w:before="11"/>
      </w:pPr>
    </w:p>
    <w:p>
      <w:pPr>
        <w:spacing w:before="10"/>
      </w:pPr>
    </w:p>
    <w:p>
      <w:pPr>
        <w:spacing w:before="10"/>
      </w:pPr>
    </w:p>
    <w:p>
      <w:pPr>
        <w:spacing w:before="10"/>
      </w:pPr>
    </w:p>
    <w:tbl>
      <w:tblPr>
        <w:tblStyle w:val="5"/>
        <w:tblW w:w="8564" w:type="dxa"/>
        <w:tblInd w:w="1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
        <w:gridCol w:w="1567"/>
        <w:gridCol w:w="60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5" w:line="301" w:lineRule="exact"/>
              <w:ind w:left="405"/>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201" w:line="218" w:lineRule="auto"/>
              <w:ind w:left="449"/>
              <w:rPr>
                <w:rFonts w:ascii="宋体" w:hAnsi="宋体" w:eastAsia="宋体" w:cs="宋体"/>
                <w:sz w:val="20"/>
                <w:szCs w:val="20"/>
              </w:rPr>
            </w:pPr>
            <w:r>
              <w:rPr>
                <w:rFonts w:ascii="宋体" w:hAnsi="宋体" w:eastAsia="宋体" w:cs="宋体"/>
                <w:spacing w:val="12"/>
                <w:sz w:val="20"/>
                <w:szCs w:val="20"/>
              </w:rPr>
              <w:t>范永民</w:t>
            </w:r>
          </w:p>
        </w:tc>
        <w:tc>
          <w:tcPr>
            <w:tcW w:w="6069" w:type="dxa"/>
            <w:vAlign w:val="top"/>
          </w:tcPr>
          <w:p>
            <w:pPr>
              <w:spacing w:before="195" w:line="221" w:lineRule="auto"/>
              <w:ind w:left="148"/>
              <w:rPr>
                <w:rFonts w:ascii="宋体" w:hAnsi="宋体" w:eastAsia="宋体" w:cs="宋体"/>
                <w:sz w:val="20"/>
                <w:szCs w:val="20"/>
              </w:rPr>
            </w:pPr>
            <w:r>
              <w:rPr>
                <w:rFonts w:ascii="宋体" w:hAnsi="宋体" w:eastAsia="宋体" w:cs="宋体"/>
                <w:spacing w:val="14"/>
                <w:sz w:val="20"/>
                <w:szCs w:val="20"/>
              </w:rPr>
              <w:t>盛安建设集团有限公司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28" w:type="dxa"/>
            <w:vAlign w:val="top"/>
          </w:tcPr>
          <w:p>
            <w:pPr>
              <w:spacing w:before="227" w:line="300" w:lineRule="exact"/>
              <w:ind w:left="40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90" w:line="219" w:lineRule="auto"/>
              <w:ind w:left="445"/>
              <w:rPr>
                <w:rFonts w:ascii="宋体" w:hAnsi="宋体" w:eastAsia="宋体" w:cs="宋体"/>
                <w:sz w:val="20"/>
                <w:szCs w:val="20"/>
              </w:rPr>
            </w:pPr>
            <w:r>
              <w:rPr>
                <w:rFonts w:ascii="宋体" w:hAnsi="宋体" w:eastAsia="宋体" w:cs="宋体"/>
                <w:spacing w:val="4"/>
                <w:sz w:val="20"/>
                <w:szCs w:val="20"/>
              </w:rPr>
              <w:t>杨娇娇</w:t>
            </w:r>
          </w:p>
        </w:tc>
        <w:tc>
          <w:tcPr>
            <w:tcW w:w="6069" w:type="dxa"/>
            <w:vAlign w:val="top"/>
          </w:tcPr>
          <w:p>
            <w:pPr>
              <w:spacing w:before="186" w:line="223" w:lineRule="auto"/>
              <w:ind w:left="154"/>
              <w:rPr>
                <w:rFonts w:ascii="宋体" w:hAnsi="宋体" w:eastAsia="宋体" w:cs="宋体"/>
                <w:sz w:val="20"/>
                <w:szCs w:val="20"/>
              </w:rPr>
            </w:pPr>
            <w:r>
              <w:rPr>
                <w:rFonts w:ascii="宋体" w:hAnsi="宋体" w:eastAsia="宋体" w:cs="宋体"/>
                <w:spacing w:val="9"/>
                <w:sz w:val="20"/>
                <w:szCs w:val="20"/>
              </w:rPr>
              <w:t>淄博市住房和城乡建设保障服务中心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7" w:line="301" w:lineRule="exact"/>
              <w:ind w:left="402"/>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207" w:line="220" w:lineRule="auto"/>
              <w:ind w:left="469"/>
              <w:rPr>
                <w:rFonts w:ascii="宋体" w:hAnsi="宋体" w:eastAsia="宋体" w:cs="宋体"/>
                <w:sz w:val="20"/>
                <w:szCs w:val="20"/>
              </w:rPr>
            </w:pPr>
            <w:r>
              <w:rPr>
                <w:rFonts w:ascii="宋体" w:hAnsi="宋体" w:eastAsia="宋体" w:cs="宋体"/>
                <w:spacing w:val="2"/>
                <w:sz w:val="20"/>
                <w:szCs w:val="20"/>
              </w:rPr>
              <w:t>由永业</w:t>
            </w:r>
          </w:p>
        </w:tc>
        <w:tc>
          <w:tcPr>
            <w:tcW w:w="6069" w:type="dxa"/>
            <w:vAlign w:val="top"/>
          </w:tcPr>
          <w:p>
            <w:pPr>
              <w:spacing w:before="196" w:line="222" w:lineRule="auto"/>
              <w:ind w:left="163"/>
              <w:rPr>
                <w:rFonts w:ascii="宋体" w:hAnsi="宋体" w:eastAsia="宋体" w:cs="宋体"/>
                <w:sz w:val="20"/>
                <w:szCs w:val="20"/>
              </w:rPr>
            </w:pPr>
            <w:r>
              <w:rPr>
                <w:rFonts w:ascii="宋体" w:hAnsi="宋体" w:eastAsia="宋体" w:cs="宋体"/>
                <w:spacing w:val="12"/>
                <w:sz w:val="20"/>
                <w:szCs w:val="20"/>
              </w:rPr>
              <w:t>山东仲泰建设项目管理有限公司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39" w:line="299" w:lineRule="exact"/>
              <w:ind w:left="405"/>
              <w:rPr>
                <w:rFonts w:ascii="宋体" w:hAnsi="宋体" w:eastAsia="宋体" w:cs="宋体"/>
                <w:sz w:val="20"/>
                <w:szCs w:val="20"/>
              </w:rPr>
            </w:pPr>
            <w:r>
              <w:rPr>
                <w:rFonts w:ascii="宋体" w:hAnsi="宋体" w:eastAsia="宋体" w:cs="宋体"/>
                <w:position w:val="2"/>
                <w:sz w:val="20"/>
                <w:szCs w:val="20"/>
              </w:rPr>
              <w:t>5</w:t>
            </w:r>
          </w:p>
        </w:tc>
        <w:tc>
          <w:tcPr>
            <w:tcW w:w="1567" w:type="dxa"/>
            <w:vAlign w:val="top"/>
          </w:tcPr>
          <w:p>
            <w:pPr>
              <w:spacing w:before="199" w:line="224" w:lineRule="auto"/>
              <w:ind w:left="449"/>
              <w:rPr>
                <w:rFonts w:ascii="宋体" w:hAnsi="宋体" w:eastAsia="宋体" w:cs="宋体"/>
                <w:sz w:val="20"/>
                <w:szCs w:val="20"/>
              </w:rPr>
            </w:pPr>
            <w:r>
              <w:rPr>
                <w:rFonts w:ascii="宋体" w:hAnsi="宋体" w:eastAsia="宋体" w:cs="宋体"/>
                <w:spacing w:val="2"/>
                <w:sz w:val="20"/>
                <w:szCs w:val="20"/>
              </w:rPr>
              <w:t>王均余</w:t>
            </w:r>
          </w:p>
        </w:tc>
        <w:tc>
          <w:tcPr>
            <w:tcW w:w="6069" w:type="dxa"/>
            <w:vAlign w:val="top"/>
          </w:tcPr>
          <w:p>
            <w:pPr>
              <w:spacing w:before="198" w:line="222" w:lineRule="auto"/>
              <w:ind w:left="163"/>
              <w:rPr>
                <w:rFonts w:ascii="宋体" w:hAnsi="宋体" w:eastAsia="宋体" w:cs="宋体"/>
                <w:sz w:val="20"/>
                <w:szCs w:val="20"/>
              </w:rPr>
            </w:pPr>
            <w:r>
              <w:rPr>
                <w:rFonts w:ascii="宋体" w:hAnsi="宋体" w:eastAsia="宋体" w:cs="宋体"/>
                <w:spacing w:val="12"/>
                <w:sz w:val="20"/>
                <w:szCs w:val="20"/>
              </w:rPr>
              <w:t>山东仲泰建设项目管理有限公司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19" w:line="300" w:lineRule="exact"/>
              <w:ind w:left="406"/>
              <w:rPr>
                <w:rFonts w:ascii="宋体" w:hAnsi="宋体" w:eastAsia="宋体" w:cs="宋体"/>
                <w:sz w:val="20"/>
                <w:szCs w:val="20"/>
              </w:rPr>
            </w:pPr>
            <w:r>
              <w:rPr>
                <w:rFonts w:ascii="宋体" w:hAnsi="宋体" w:eastAsia="宋体" w:cs="宋体"/>
                <w:position w:val="2"/>
                <w:sz w:val="20"/>
                <w:szCs w:val="20"/>
              </w:rPr>
              <w:t>6</w:t>
            </w:r>
          </w:p>
        </w:tc>
        <w:tc>
          <w:tcPr>
            <w:tcW w:w="1567" w:type="dxa"/>
            <w:vAlign w:val="top"/>
          </w:tcPr>
          <w:p>
            <w:pPr>
              <w:spacing w:before="180" w:line="220" w:lineRule="auto"/>
              <w:ind w:left="555"/>
              <w:rPr>
                <w:rFonts w:ascii="宋体" w:hAnsi="宋体" w:eastAsia="宋体" w:cs="宋体"/>
                <w:sz w:val="20"/>
                <w:szCs w:val="20"/>
              </w:rPr>
            </w:pPr>
            <w:r>
              <w:rPr>
                <w:rFonts w:ascii="宋体" w:hAnsi="宋体" w:eastAsia="宋体" w:cs="宋体"/>
                <w:spacing w:val="12"/>
                <w:sz w:val="20"/>
                <w:szCs w:val="20"/>
              </w:rPr>
              <w:t>朱彬</w:t>
            </w:r>
          </w:p>
        </w:tc>
        <w:tc>
          <w:tcPr>
            <w:tcW w:w="6069" w:type="dxa"/>
            <w:vAlign w:val="top"/>
          </w:tcPr>
          <w:p>
            <w:pPr>
              <w:spacing w:before="179" w:line="221" w:lineRule="auto"/>
              <w:ind w:left="163"/>
              <w:rPr>
                <w:rFonts w:ascii="宋体" w:hAnsi="宋体" w:eastAsia="宋体" w:cs="宋体"/>
                <w:sz w:val="20"/>
                <w:szCs w:val="20"/>
              </w:rPr>
            </w:pPr>
            <w:r>
              <w:rPr>
                <w:rFonts w:ascii="宋体" w:hAnsi="宋体" w:eastAsia="宋体" w:cs="宋体"/>
                <w:spacing w:val="13"/>
                <w:sz w:val="20"/>
                <w:szCs w:val="20"/>
              </w:rPr>
              <w:t>山东金城建设有限公司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0" w:line="300" w:lineRule="exact"/>
              <w:ind w:left="403"/>
              <w:rPr>
                <w:rFonts w:ascii="宋体" w:hAnsi="宋体" w:eastAsia="宋体" w:cs="宋体"/>
                <w:sz w:val="20"/>
                <w:szCs w:val="20"/>
              </w:rPr>
            </w:pPr>
            <w:r>
              <w:rPr>
                <w:rFonts w:ascii="宋体" w:hAnsi="宋体" w:eastAsia="宋体" w:cs="宋体"/>
                <w:position w:val="2"/>
                <w:sz w:val="20"/>
                <w:szCs w:val="20"/>
              </w:rPr>
              <w:t>7</w:t>
            </w:r>
          </w:p>
        </w:tc>
        <w:tc>
          <w:tcPr>
            <w:tcW w:w="1567" w:type="dxa"/>
            <w:vAlign w:val="top"/>
          </w:tcPr>
          <w:p>
            <w:pPr>
              <w:spacing w:before="202" w:line="219" w:lineRule="auto"/>
              <w:ind w:left="446"/>
              <w:rPr>
                <w:rFonts w:ascii="宋体" w:hAnsi="宋体" w:eastAsia="宋体" w:cs="宋体"/>
                <w:sz w:val="20"/>
                <w:szCs w:val="20"/>
              </w:rPr>
            </w:pPr>
            <w:r>
              <w:rPr>
                <w:rFonts w:ascii="宋体" w:hAnsi="宋体" w:eastAsia="宋体" w:cs="宋体"/>
                <w:spacing w:val="12"/>
                <w:sz w:val="20"/>
                <w:szCs w:val="20"/>
              </w:rPr>
              <w:t>韩祥君</w:t>
            </w:r>
          </w:p>
        </w:tc>
        <w:tc>
          <w:tcPr>
            <w:tcW w:w="6069" w:type="dxa"/>
            <w:vAlign w:val="top"/>
          </w:tcPr>
          <w:p>
            <w:pPr>
              <w:spacing w:before="200" w:line="220" w:lineRule="auto"/>
              <w:ind w:left="163"/>
              <w:rPr>
                <w:rFonts w:ascii="宋体" w:hAnsi="宋体" w:eastAsia="宋体" w:cs="宋体"/>
                <w:sz w:val="20"/>
                <w:szCs w:val="20"/>
              </w:rPr>
            </w:pPr>
            <w:r>
              <w:rPr>
                <w:rFonts w:ascii="宋体" w:hAnsi="宋体" w:eastAsia="宋体" w:cs="宋体"/>
                <w:spacing w:val="11"/>
                <w:sz w:val="20"/>
                <w:szCs w:val="20"/>
              </w:rPr>
              <w:t>山东金润建设咨询有限公司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28" w:type="dxa"/>
            <w:vAlign w:val="top"/>
          </w:tcPr>
          <w:p>
            <w:pPr>
              <w:spacing w:before="240" w:line="299" w:lineRule="exact"/>
              <w:ind w:left="407"/>
              <w:rPr>
                <w:rFonts w:ascii="宋体" w:hAnsi="宋体" w:eastAsia="宋体" w:cs="宋体"/>
                <w:sz w:val="20"/>
                <w:szCs w:val="20"/>
              </w:rPr>
            </w:pPr>
            <w:r>
              <w:rPr>
                <w:rFonts w:ascii="宋体" w:hAnsi="宋体" w:eastAsia="宋体" w:cs="宋体"/>
                <w:position w:val="2"/>
                <w:sz w:val="20"/>
                <w:szCs w:val="20"/>
              </w:rPr>
              <w:t>8</w:t>
            </w:r>
          </w:p>
        </w:tc>
        <w:tc>
          <w:tcPr>
            <w:tcW w:w="1567" w:type="dxa"/>
            <w:vAlign w:val="top"/>
          </w:tcPr>
          <w:p>
            <w:pPr>
              <w:spacing w:before="200" w:line="219" w:lineRule="auto"/>
              <w:ind w:left="442"/>
              <w:rPr>
                <w:rFonts w:ascii="宋体" w:hAnsi="宋体" w:eastAsia="宋体" w:cs="宋体"/>
                <w:sz w:val="20"/>
                <w:szCs w:val="20"/>
              </w:rPr>
            </w:pPr>
            <w:r>
              <w:rPr>
                <w:rFonts w:ascii="宋体" w:hAnsi="宋体" w:eastAsia="宋体" w:cs="宋体"/>
                <w:spacing w:val="6"/>
                <w:sz w:val="20"/>
                <w:szCs w:val="20"/>
              </w:rPr>
              <w:t>侯宗泽</w:t>
            </w:r>
          </w:p>
        </w:tc>
        <w:tc>
          <w:tcPr>
            <w:tcW w:w="6069" w:type="dxa"/>
            <w:vAlign w:val="top"/>
          </w:tcPr>
          <w:p>
            <w:pPr>
              <w:spacing w:before="198" w:line="219" w:lineRule="auto"/>
              <w:ind w:left="163"/>
              <w:rPr>
                <w:rFonts w:ascii="宋体" w:hAnsi="宋体" w:eastAsia="宋体" w:cs="宋体"/>
                <w:sz w:val="20"/>
                <w:szCs w:val="20"/>
              </w:rPr>
            </w:pPr>
            <w:r>
              <w:rPr>
                <w:rFonts w:ascii="宋体" w:hAnsi="宋体" w:eastAsia="宋体" w:cs="宋体"/>
                <w:spacing w:val="12"/>
                <w:sz w:val="20"/>
                <w:szCs w:val="20"/>
              </w:rPr>
              <w:t>山东博会工程造价咨询有限公司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3" w:line="300" w:lineRule="exact"/>
              <w:ind w:left="405"/>
              <w:rPr>
                <w:rFonts w:ascii="宋体" w:hAnsi="宋体" w:eastAsia="宋体" w:cs="宋体"/>
                <w:sz w:val="20"/>
                <w:szCs w:val="20"/>
              </w:rPr>
            </w:pPr>
            <w:r>
              <w:rPr>
                <w:rFonts w:ascii="宋体" w:hAnsi="宋体" w:eastAsia="宋体" w:cs="宋体"/>
                <w:position w:val="2"/>
                <w:sz w:val="20"/>
                <w:szCs w:val="20"/>
              </w:rPr>
              <w:t>9</w:t>
            </w:r>
          </w:p>
        </w:tc>
        <w:tc>
          <w:tcPr>
            <w:tcW w:w="1567" w:type="dxa"/>
            <w:vAlign w:val="top"/>
          </w:tcPr>
          <w:p>
            <w:pPr>
              <w:spacing w:before="187" w:line="283" w:lineRule="exact"/>
              <w:ind w:left="559"/>
              <w:rPr>
                <w:rFonts w:ascii="宋体" w:hAnsi="宋体" w:eastAsia="宋体" w:cs="宋体"/>
                <w:sz w:val="20"/>
                <w:szCs w:val="20"/>
              </w:rPr>
            </w:pPr>
            <w:r>
              <w:rPr>
                <w:rFonts w:ascii="宋体" w:hAnsi="宋体" w:eastAsia="宋体" w:cs="宋体"/>
                <w:spacing w:val="10"/>
                <w:position w:val="1"/>
                <w:sz w:val="20"/>
                <w:szCs w:val="20"/>
              </w:rPr>
              <w:t>王芸</w:t>
            </w:r>
          </w:p>
        </w:tc>
        <w:tc>
          <w:tcPr>
            <w:tcW w:w="6069" w:type="dxa"/>
            <w:vAlign w:val="top"/>
          </w:tcPr>
          <w:p>
            <w:pPr>
              <w:spacing w:before="180" w:line="278" w:lineRule="exact"/>
              <w:ind w:left="154"/>
              <w:rPr>
                <w:rFonts w:ascii="宋体" w:hAnsi="宋体" w:eastAsia="宋体" w:cs="宋体"/>
                <w:sz w:val="20"/>
                <w:szCs w:val="20"/>
              </w:rPr>
            </w:pPr>
            <w:r>
              <w:rPr>
                <w:rFonts w:ascii="宋体" w:hAnsi="宋体" w:eastAsia="宋体" w:cs="宋体"/>
                <w:spacing w:val="13"/>
                <w:position w:val="1"/>
                <w:sz w:val="20"/>
                <w:szCs w:val="20"/>
              </w:rPr>
              <w:t>淄博热力有限公司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2" w:line="300" w:lineRule="exact"/>
              <w:ind w:left="371"/>
              <w:rPr>
                <w:rFonts w:ascii="宋体" w:hAnsi="宋体" w:eastAsia="宋体" w:cs="宋体"/>
                <w:sz w:val="20"/>
                <w:szCs w:val="20"/>
              </w:rPr>
            </w:pPr>
            <w:r>
              <w:rPr>
                <w:rFonts w:ascii="宋体" w:hAnsi="宋体" w:eastAsia="宋体" w:cs="宋体"/>
                <w:spacing w:val="-10"/>
                <w:position w:val="2"/>
                <w:sz w:val="20"/>
                <w:szCs w:val="20"/>
              </w:rPr>
              <w:t>10</w:t>
            </w:r>
          </w:p>
        </w:tc>
        <w:tc>
          <w:tcPr>
            <w:tcW w:w="1567" w:type="dxa"/>
            <w:vAlign w:val="top"/>
          </w:tcPr>
          <w:p>
            <w:pPr>
              <w:spacing w:before="215" w:line="216" w:lineRule="auto"/>
              <w:ind w:left="559"/>
              <w:rPr>
                <w:rFonts w:ascii="宋体" w:hAnsi="宋体" w:eastAsia="宋体" w:cs="宋体"/>
                <w:sz w:val="20"/>
                <w:szCs w:val="20"/>
              </w:rPr>
            </w:pPr>
            <w:r>
              <w:rPr>
                <w:rFonts w:ascii="宋体" w:hAnsi="宋体" w:eastAsia="宋体" w:cs="宋体"/>
                <w:spacing w:val="2"/>
                <w:sz w:val="20"/>
                <w:szCs w:val="20"/>
              </w:rPr>
              <w:t>王兵</w:t>
            </w:r>
          </w:p>
        </w:tc>
        <w:tc>
          <w:tcPr>
            <w:tcW w:w="6069" w:type="dxa"/>
            <w:vAlign w:val="top"/>
          </w:tcPr>
          <w:p>
            <w:pPr>
              <w:spacing w:before="202" w:line="220" w:lineRule="auto"/>
              <w:ind w:left="163"/>
              <w:rPr>
                <w:rFonts w:ascii="宋体" w:hAnsi="宋体" w:eastAsia="宋体" w:cs="宋体"/>
                <w:sz w:val="20"/>
                <w:szCs w:val="20"/>
              </w:rPr>
            </w:pPr>
            <w:r>
              <w:rPr>
                <w:rFonts w:ascii="宋体" w:hAnsi="宋体" w:eastAsia="宋体" w:cs="宋体"/>
                <w:spacing w:val="11"/>
                <w:sz w:val="20"/>
                <w:szCs w:val="20"/>
              </w:rPr>
              <w:t>山东早春建设工程有限公司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4" w:line="301" w:lineRule="exact"/>
              <w:ind w:left="371"/>
              <w:rPr>
                <w:rFonts w:ascii="宋体" w:hAnsi="宋体" w:eastAsia="宋体" w:cs="宋体"/>
                <w:sz w:val="20"/>
                <w:szCs w:val="20"/>
              </w:rPr>
            </w:pPr>
            <w:r>
              <w:rPr>
                <w:rFonts w:ascii="宋体" w:hAnsi="宋体" w:eastAsia="宋体" w:cs="宋体"/>
                <w:spacing w:val="-10"/>
                <w:position w:val="2"/>
                <w:sz w:val="20"/>
                <w:szCs w:val="20"/>
              </w:rPr>
              <w:t>11</w:t>
            </w:r>
          </w:p>
        </w:tc>
        <w:tc>
          <w:tcPr>
            <w:tcW w:w="1567" w:type="dxa"/>
            <w:vAlign w:val="top"/>
          </w:tcPr>
          <w:p>
            <w:pPr>
              <w:spacing w:before="210" w:line="212" w:lineRule="auto"/>
              <w:ind w:left="448"/>
              <w:rPr>
                <w:rFonts w:ascii="宋体" w:hAnsi="宋体" w:eastAsia="宋体" w:cs="宋体"/>
                <w:sz w:val="20"/>
                <w:szCs w:val="20"/>
              </w:rPr>
            </w:pPr>
            <w:r>
              <w:rPr>
                <w:rFonts w:ascii="宋体" w:hAnsi="宋体" w:eastAsia="宋体" w:cs="宋体"/>
                <w:spacing w:val="3"/>
                <w:sz w:val="20"/>
                <w:szCs w:val="20"/>
              </w:rPr>
              <w:t>杜士金</w:t>
            </w:r>
          </w:p>
        </w:tc>
        <w:tc>
          <w:tcPr>
            <w:tcW w:w="6069" w:type="dxa"/>
            <w:vAlign w:val="top"/>
          </w:tcPr>
          <w:p>
            <w:pPr>
              <w:spacing w:before="204" w:line="221" w:lineRule="auto"/>
              <w:ind w:left="163"/>
              <w:rPr>
                <w:rFonts w:ascii="宋体" w:hAnsi="宋体" w:eastAsia="宋体" w:cs="宋体"/>
                <w:sz w:val="20"/>
                <w:szCs w:val="20"/>
              </w:rPr>
            </w:pPr>
            <w:r>
              <w:rPr>
                <w:rFonts w:ascii="宋体" w:hAnsi="宋体" w:eastAsia="宋体" w:cs="宋体"/>
                <w:spacing w:val="12"/>
                <w:sz w:val="20"/>
                <w:szCs w:val="20"/>
              </w:rPr>
              <w:t>山东瀚广建设项目管理有限公司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928" w:type="dxa"/>
            <w:vAlign w:val="top"/>
          </w:tcPr>
          <w:p>
            <w:pPr>
              <w:spacing w:before="224" w:line="301" w:lineRule="exact"/>
              <w:ind w:left="371"/>
              <w:rPr>
                <w:rFonts w:ascii="宋体" w:hAnsi="宋体" w:eastAsia="宋体" w:cs="宋体"/>
                <w:sz w:val="20"/>
                <w:szCs w:val="20"/>
              </w:rPr>
            </w:pPr>
            <w:r>
              <w:rPr>
                <w:rFonts w:ascii="宋体" w:hAnsi="宋体" w:eastAsia="宋体" w:cs="宋体"/>
                <w:spacing w:val="-10"/>
                <w:position w:val="2"/>
                <w:sz w:val="20"/>
                <w:szCs w:val="20"/>
              </w:rPr>
              <w:t>12</w:t>
            </w:r>
          </w:p>
        </w:tc>
        <w:tc>
          <w:tcPr>
            <w:tcW w:w="1567" w:type="dxa"/>
            <w:vAlign w:val="top"/>
          </w:tcPr>
          <w:p>
            <w:pPr>
              <w:spacing w:before="193" w:line="218" w:lineRule="auto"/>
              <w:ind w:left="559"/>
              <w:rPr>
                <w:rFonts w:ascii="宋体" w:hAnsi="宋体" w:eastAsia="宋体" w:cs="宋体"/>
                <w:sz w:val="20"/>
                <w:szCs w:val="20"/>
              </w:rPr>
            </w:pPr>
            <w:r>
              <w:rPr>
                <w:rFonts w:ascii="宋体" w:hAnsi="宋体" w:eastAsia="宋体" w:cs="宋体"/>
                <w:spacing w:val="10"/>
                <w:sz w:val="20"/>
                <w:szCs w:val="20"/>
              </w:rPr>
              <w:t>王燕</w:t>
            </w:r>
          </w:p>
        </w:tc>
        <w:tc>
          <w:tcPr>
            <w:tcW w:w="6069" w:type="dxa"/>
            <w:vAlign w:val="top"/>
          </w:tcPr>
          <w:p>
            <w:pPr>
              <w:spacing w:before="184" w:line="221" w:lineRule="auto"/>
              <w:ind w:left="163"/>
              <w:rPr>
                <w:rFonts w:ascii="宋体" w:hAnsi="宋体" w:eastAsia="宋体" w:cs="宋体"/>
                <w:sz w:val="20"/>
                <w:szCs w:val="20"/>
              </w:rPr>
            </w:pPr>
            <w:r>
              <w:rPr>
                <w:rFonts w:ascii="宋体" w:hAnsi="宋体" w:eastAsia="宋体" w:cs="宋体"/>
                <w:spacing w:val="12"/>
                <w:sz w:val="20"/>
                <w:szCs w:val="20"/>
              </w:rPr>
              <w:t>山东瀚广建设项目管理有限公司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5" w:line="300" w:lineRule="exact"/>
              <w:ind w:left="371"/>
              <w:rPr>
                <w:rFonts w:ascii="宋体" w:hAnsi="宋体" w:eastAsia="宋体" w:cs="宋体"/>
                <w:sz w:val="20"/>
                <w:szCs w:val="20"/>
              </w:rPr>
            </w:pPr>
            <w:r>
              <w:rPr>
                <w:rFonts w:ascii="宋体" w:hAnsi="宋体" w:eastAsia="宋体" w:cs="宋体"/>
                <w:spacing w:val="-10"/>
                <w:position w:val="2"/>
                <w:sz w:val="20"/>
                <w:szCs w:val="20"/>
              </w:rPr>
              <w:t>13</w:t>
            </w:r>
          </w:p>
        </w:tc>
        <w:tc>
          <w:tcPr>
            <w:tcW w:w="1567" w:type="dxa"/>
            <w:vAlign w:val="top"/>
          </w:tcPr>
          <w:p>
            <w:pPr>
              <w:spacing w:before="208" w:line="218" w:lineRule="auto"/>
              <w:ind w:left="446"/>
              <w:rPr>
                <w:rFonts w:ascii="宋体" w:hAnsi="宋体" w:eastAsia="宋体" w:cs="宋体"/>
                <w:sz w:val="20"/>
                <w:szCs w:val="20"/>
              </w:rPr>
            </w:pPr>
            <w:r>
              <w:rPr>
                <w:rFonts w:ascii="宋体" w:hAnsi="宋体" w:eastAsia="宋体" w:cs="宋体"/>
                <w:spacing w:val="13"/>
                <w:sz w:val="20"/>
                <w:szCs w:val="20"/>
              </w:rPr>
              <w:t>姜彩凤</w:t>
            </w:r>
          </w:p>
        </w:tc>
        <w:tc>
          <w:tcPr>
            <w:tcW w:w="6069" w:type="dxa"/>
            <w:vAlign w:val="top"/>
          </w:tcPr>
          <w:p>
            <w:pPr>
              <w:spacing w:before="205" w:line="221" w:lineRule="auto"/>
              <w:ind w:left="163"/>
              <w:rPr>
                <w:rFonts w:ascii="宋体" w:hAnsi="宋体" w:eastAsia="宋体" w:cs="宋体"/>
                <w:sz w:val="20"/>
                <w:szCs w:val="20"/>
              </w:rPr>
            </w:pPr>
            <w:r>
              <w:rPr>
                <w:rFonts w:ascii="宋体" w:hAnsi="宋体" w:eastAsia="宋体" w:cs="宋体"/>
                <w:spacing w:val="13"/>
                <w:sz w:val="20"/>
                <w:szCs w:val="20"/>
              </w:rPr>
              <w:t>山东淄建集团有限公司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7" w:line="301" w:lineRule="exact"/>
              <w:ind w:left="371"/>
              <w:rPr>
                <w:rFonts w:ascii="宋体" w:hAnsi="宋体" w:eastAsia="宋体" w:cs="宋体"/>
                <w:sz w:val="20"/>
                <w:szCs w:val="20"/>
              </w:rPr>
            </w:pPr>
            <w:r>
              <w:rPr>
                <w:rFonts w:ascii="宋体" w:hAnsi="宋体" w:eastAsia="宋体" w:cs="宋体"/>
                <w:spacing w:val="-10"/>
                <w:position w:val="2"/>
                <w:sz w:val="20"/>
                <w:szCs w:val="20"/>
              </w:rPr>
              <w:t>14</w:t>
            </w:r>
          </w:p>
        </w:tc>
        <w:tc>
          <w:tcPr>
            <w:tcW w:w="1567" w:type="dxa"/>
            <w:vAlign w:val="top"/>
          </w:tcPr>
          <w:p>
            <w:pPr>
              <w:spacing w:before="214" w:line="216" w:lineRule="auto"/>
              <w:ind w:left="554"/>
              <w:rPr>
                <w:rFonts w:ascii="宋体" w:hAnsi="宋体" w:eastAsia="宋体" w:cs="宋体"/>
                <w:sz w:val="20"/>
                <w:szCs w:val="20"/>
              </w:rPr>
            </w:pPr>
            <w:r>
              <w:rPr>
                <w:rFonts w:ascii="宋体" w:hAnsi="宋体" w:eastAsia="宋体" w:cs="宋体"/>
                <w:spacing w:val="6"/>
                <w:sz w:val="20"/>
                <w:szCs w:val="20"/>
              </w:rPr>
              <w:t>刘强</w:t>
            </w:r>
          </w:p>
        </w:tc>
        <w:tc>
          <w:tcPr>
            <w:tcW w:w="6069" w:type="dxa"/>
            <w:vAlign w:val="top"/>
          </w:tcPr>
          <w:p>
            <w:pPr>
              <w:spacing w:before="204" w:line="221" w:lineRule="auto"/>
              <w:ind w:left="163"/>
              <w:rPr>
                <w:rFonts w:ascii="宋体" w:hAnsi="宋体" w:eastAsia="宋体" w:cs="宋体"/>
                <w:sz w:val="20"/>
                <w:szCs w:val="20"/>
              </w:rPr>
            </w:pPr>
            <w:r>
              <w:rPr>
                <w:rFonts w:ascii="宋体" w:hAnsi="宋体" w:eastAsia="宋体" w:cs="宋体"/>
                <w:spacing w:val="13"/>
                <w:sz w:val="20"/>
                <w:szCs w:val="20"/>
              </w:rPr>
              <w:t>山东淄建集团有限公司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trPr>
        <w:tc>
          <w:tcPr>
            <w:tcW w:w="8564" w:type="dxa"/>
            <w:gridSpan w:val="3"/>
            <w:vAlign w:val="top"/>
          </w:tcPr>
          <w:p>
            <w:pPr>
              <w:spacing w:before="208" w:line="278" w:lineRule="exact"/>
              <w:ind w:left="3697"/>
              <w:rPr>
                <w:rFonts w:ascii="宋体" w:hAnsi="宋体" w:eastAsia="宋体" w:cs="宋体"/>
                <w:sz w:val="20"/>
                <w:szCs w:val="20"/>
              </w:rPr>
            </w:pPr>
            <w:r>
              <w:rPr>
                <w:rFonts w:ascii="宋体" w:hAnsi="宋体" w:eastAsia="宋体" w:cs="宋体"/>
                <w:b/>
                <w:bCs/>
                <w:spacing w:val="-7"/>
                <w:position w:val="1"/>
                <w:sz w:val="20"/>
                <w:szCs w:val="20"/>
              </w:rPr>
              <w:t>(三)市政专业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6" w:line="301" w:lineRule="exact"/>
              <w:ind w:left="422"/>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208" w:line="219" w:lineRule="auto"/>
              <w:ind w:left="449"/>
              <w:rPr>
                <w:rFonts w:ascii="宋体" w:hAnsi="宋体" w:eastAsia="宋体" w:cs="宋体"/>
                <w:sz w:val="20"/>
                <w:szCs w:val="20"/>
              </w:rPr>
            </w:pPr>
            <w:r>
              <w:rPr>
                <w:rFonts w:ascii="宋体" w:hAnsi="宋体" w:eastAsia="宋体" w:cs="宋体"/>
                <w:spacing w:val="10"/>
                <w:sz w:val="20"/>
                <w:szCs w:val="20"/>
              </w:rPr>
              <w:t>王俊霞</w:t>
            </w:r>
          </w:p>
        </w:tc>
        <w:tc>
          <w:tcPr>
            <w:tcW w:w="6069" w:type="dxa"/>
            <w:vAlign w:val="top"/>
          </w:tcPr>
          <w:p>
            <w:pPr>
              <w:spacing w:before="205" w:line="222" w:lineRule="auto"/>
              <w:ind w:left="148"/>
              <w:rPr>
                <w:rFonts w:ascii="宋体" w:hAnsi="宋体" w:eastAsia="宋体" w:cs="宋体"/>
                <w:sz w:val="20"/>
                <w:szCs w:val="20"/>
              </w:rPr>
            </w:pPr>
            <w:r>
              <w:rPr>
                <w:rFonts w:ascii="宋体" w:hAnsi="宋体" w:eastAsia="宋体" w:cs="宋体"/>
                <w:spacing w:val="13"/>
                <w:sz w:val="20"/>
                <w:szCs w:val="20"/>
              </w:rPr>
              <w:t>冠博建设项目管理有限公司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5" w:hRule="atLeast"/>
        </w:trPr>
        <w:tc>
          <w:tcPr>
            <w:tcW w:w="928" w:type="dxa"/>
            <w:vAlign w:val="top"/>
          </w:tcPr>
          <w:p>
            <w:pPr>
              <w:spacing w:before="248" w:line="301" w:lineRule="exact"/>
              <w:ind w:left="405"/>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205" w:line="278" w:lineRule="exact"/>
              <w:ind w:left="446"/>
              <w:rPr>
                <w:rFonts w:ascii="宋体" w:hAnsi="宋体" w:eastAsia="宋体" w:cs="宋体"/>
                <w:sz w:val="20"/>
                <w:szCs w:val="20"/>
              </w:rPr>
            </w:pPr>
            <w:r>
              <w:rPr>
                <w:rFonts w:ascii="宋体" w:hAnsi="宋体" w:eastAsia="宋体" w:cs="宋体"/>
                <w:spacing w:val="13"/>
                <w:position w:val="1"/>
                <w:sz w:val="20"/>
                <w:szCs w:val="20"/>
              </w:rPr>
              <w:t>焦鹏翼</w:t>
            </w:r>
          </w:p>
        </w:tc>
        <w:tc>
          <w:tcPr>
            <w:tcW w:w="6069" w:type="dxa"/>
            <w:vAlign w:val="top"/>
          </w:tcPr>
          <w:p>
            <w:pPr>
              <w:spacing w:before="207" w:line="222" w:lineRule="auto"/>
              <w:ind w:left="163"/>
              <w:rPr>
                <w:rFonts w:ascii="宋体" w:hAnsi="宋体" w:eastAsia="宋体" w:cs="宋体"/>
                <w:sz w:val="20"/>
                <w:szCs w:val="20"/>
              </w:rPr>
            </w:pPr>
            <w:r>
              <w:rPr>
                <w:rFonts w:ascii="宋体" w:hAnsi="宋体" w:eastAsia="宋体" w:cs="宋体"/>
                <w:spacing w:val="11"/>
                <w:sz w:val="20"/>
                <w:szCs w:val="20"/>
              </w:rPr>
              <w:t>山东鲁中公路建设有限公司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4" w:hRule="atLeast"/>
        </w:trPr>
        <w:tc>
          <w:tcPr>
            <w:tcW w:w="928" w:type="dxa"/>
            <w:vAlign w:val="top"/>
          </w:tcPr>
          <w:p>
            <w:pPr>
              <w:spacing w:before="237" w:line="299" w:lineRule="exact"/>
              <w:ind w:left="40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99" w:line="224" w:lineRule="auto"/>
              <w:ind w:left="449"/>
              <w:rPr>
                <w:rFonts w:ascii="宋体" w:hAnsi="宋体" w:eastAsia="宋体" w:cs="宋体"/>
                <w:sz w:val="20"/>
                <w:szCs w:val="20"/>
              </w:rPr>
            </w:pPr>
            <w:r>
              <w:rPr>
                <w:rFonts w:ascii="宋体" w:hAnsi="宋体" w:eastAsia="宋体" w:cs="宋体"/>
                <w:spacing w:val="10"/>
                <w:sz w:val="20"/>
                <w:szCs w:val="20"/>
              </w:rPr>
              <w:t>范庆余</w:t>
            </w:r>
          </w:p>
        </w:tc>
        <w:tc>
          <w:tcPr>
            <w:tcW w:w="6069" w:type="dxa"/>
            <w:vAlign w:val="top"/>
          </w:tcPr>
          <w:p>
            <w:pPr>
              <w:spacing w:before="196" w:line="222" w:lineRule="auto"/>
              <w:ind w:left="163"/>
              <w:rPr>
                <w:rFonts w:ascii="宋体" w:hAnsi="宋体" w:eastAsia="宋体" w:cs="宋体"/>
                <w:sz w:val="20"/>
                <w:szCs w:val="20"/>
              </w:rPr>
            </w:pPr>
            <w:r>
              <w:rPr>
                <w:rFonts w:ascii="宋体" w:hAnsi="宋体" w:eastAsia="宋体" w:cs="宋体"/>
                <w:spacing w:val="11"/>
                <w:sz w:val="20"/>
                <w:szCs w:val="20"/>
              </w:rPr>
              <w:t>山东泰和城建发展有限公司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5" w:hRule="atLeast"/>
        </w:trPr>
        <w:tc>
          <w:tcPr>
            <w:tcW w:w="928" w:type="dxa"/>
            <w:vAlign w:val="top"/>
          </w:tcPr>
          <w:p>
            <w:pPr>
              <w:spacing w:before="239" w:line="301" w:lineRule="exact"/>
              <w:ind w:left="402"/>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201" w:line="219" w:lineRule="auto"/>
              <w:ind w:left="444"/>
              <w:rPr>
                <w:rFonts w:ascii="宋体" w:hAnsi="宋体" w:eastAsia="宋体" w:cs="宋体"/>
                <w:sz w:val="20"/>
                <w:szCs w:val="20"/>
              </w:rPr>
            </w:pPr>
            <w:r>
              <w:rPr>
                <w:rFonts w:ascii="宋体" w:hAnsi="宋体" w:eastAsia="宋体" w:cs="宋体"/>
                <w:spacing w:val="12"/>
                <w:sz w:val="20"/>
                <w:szCs w:val="20"/>
              </w:rPr>
              <w:t>李加庆</w:t>
            </w:r>
          </w:p>
        </w:tc>
        <w:tc>
          <w:tcPr>
            <w:tcW w:w="6069" w:type="dxa"/>
            <w:vAlign w:val="top"/>
          </w:tcPr>
          <w:p>
            <w:pPr>
              <w:spacing w:before="198" w:line="222" w:lineRule="auto"/>
              <w:ind w:left="154"/>
              <w:rPr>
                <w:rFonts w:ascii="宋体" w:hAnsi="宋体" w:eastAsia="宋体" w:cs="宋体"/>
                <w:sz w:val="20"/>
                <w:szCs w:val="20"/>
              </w:rPr>
            </w:pPr>
            <w:r>
              <w:rPr>
                <w:rFonts w:ascii="宋体" w:hAnsi="宋体" w:eastAsia="宋体" w:cs="宋体"/>
                <w:spacing w:val="12"/>
                <w:sz w:val="20"/>
                <w:szCs w:val="20"/>
              </w:rPr>
              <w:t>淄博政达建设项目管理有限公司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8" w:line="299" w:lineRule="exact"/>
              <w:ind w:left="405"/>
              <w:rPr>
                <w:rFonts w:ascii="宋体" w:hAnsi="宋体" w:eastAsia="宋体" w:cs="宋体"/>
                <w:sz w:val="20"/>
                <w:szCs w:val="20"/>
              </w:rPr>
            </w:pPr>
            <w:r>
              <w:rPr>
                <w:rFonts w:ascii="宋体" w:hAnsi="宋体" w:eastAsia="宋体" w:cs="宋体"/>
                <w:position w:val="2"/>
                <w:sz w:val="20"/>
                <w:szCs w:val="20"/>
              </w:rPr>
              <w:t>5</w:t>
            </w:r>
          </w:p>
        </w:tc>
        <w:tc>
          <w:tcPr>
            <w:tcW w:w="1567" w:type="dxa"/>
            <w:vAlign w:val="top"/>
          </w:tcPr>
          <w:p>
            <w:pPr>
              <w:spacing w:before="209" w:line="219" w:lineRule="auto"/>
              <w:ind w:left="445"/>
              <w:rPr>
                <w:rFonts w:ascii="宋体" w:hAnsi="宋体" w:eastAsia="宋体" w:cs="宋体"/>
                <w:sz w:val="20"/>
                <w:szCs w:val="20"/>
              </w:rPr>
            </w:pPr>
            <w:r>
              <w:rPr>
                <w:rFonts w:ascii="宋体" w:hAnsi="宋体" w:eastAsia="宋体" w:cs="宋体"/>
                <w:spacing w:val="13"/>
                <w:sz w:val="20"/>
                <w:szCs w:val="20"/>
              </w:rPr>
              <w:t>吴秀宾</w:t>
            </w:r>
          </w:p>
        </w:tc>
        <w:tc>
          <w:tcPr>
            <w:tcW w:w="6069" w:type="dxa"/>
            <w:vAlign w:val="top"/>
          </w:tcPr>
          <w:p>
            <w:pPr>
              <w:spacing w:before="210" w:line="219" w:lineRule="auto"/>
              <w:ind w:left="163"/>
              <w:rPr>
                <w:rFonts w:ascii="宋体" w:hAnsi="宋体" w:eastAsia="宋体" w:cs="宋体"/>
                <w:sz w:val="20"/>
                <w:szCs w:val="20"/>
              </w:rPr>
            </w:pPr>
            <w:r>
              <w:rPr>
                <w:rFonts w:ascii="宋体" w:hAnsi="宋体" w:eastAsia="宋体" w:cs="宋体"/>
                <w:spacing w:val="11"/>
                <w:sz w:val="20"/>
                <w:szCs w:val="20"/>
              </w:rPr>
              <w:t>山东庆宇路桥工程有限公司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28" w:type="dxa"/>
            <w:vAlign w:val="top"/>
          </w:tcPr>
          <w:p>
            <w:pPr>
              <w:spacing w:before="240" w:line="299" w:lineRule="exact"/>
              <w:ind w:left="406"/>
              <w:rPr>
                <w:rFonts w:ascii="宋体" w:hAnsi="宋体" w:eastAsia="宋体" w:cs="宋体"/>
                <w:sz w:val="20"/>
                <w:szCs w:val="20"/>
              </w:rPr>
            </w:pPr>
            <w:r>
              <w:rPr>
                <w:rFonts w:ascii="宋体" w:hAnsi="宋体" w:eastAsia="宋体" w:cs="宋体"/>
                <w:position w:val="2"/>
                <w:sz w:val="20"/>
                <w:szCs w:val="20"/>
              </w:rPr>
              <w:t>6</w:t>
            </w:r>
          </w:p>
        </w:tc>
        <w:tc>
          <w:tcPr>
            <w:tcW w:w="1567" w:type="dxa"/>
            <w:vAlign w:val="top"/>
          </w:tcPr>
          <w:p>
            <w:pPr>
              <w:spacing w:before="206" w:line="219" w:lineRule="auto"/>
              <w:ind w:left="445"/>
              <w:rPr>
                <w:rFonts w:ascii="宋体" w:hAnsi="宋体" w:eastAsia="宋体" w:cs="宋体"/>
                <w:sz w:val="20"/>
                <w:szCs w:val="20"/>
              </w:rPr>
            </w:pPr>
            <w:r>
              <w:rPr>
                <w:rFonts w:ascii="宋体" w:hAnsi="宋体" w:eastAsia="宋体" w:cs="宋体"/>
                <w:spacing w:val="16"/>
                <w:sz w:val="20"/>
                <w:szCs w:val="20"/>
              </w:rPr>
              <w:t>成永铭</w:t>
            </w:r>
          </w:p>
        </w:tc>
        <w:tc>
          <w:tcPr>
            <w:tcW w:w="6069" w:type="dxa"/>
            <w:vAlign w:val="top"/>
          </w:tcPr>
          <w:p>
            <w:pPr>
              <w:spacing w:before="200" w:line="220" w:lineRule="auto"/>
              <w:ind w:left="163"/>
              <w:rPr>
                <w:rFonts w:ascii="宋体" w:hAnsi="宋体" w:eastAsia="宋体" w:cs="宋体"/>
                <w:sz w:val="20"/>
                <w:szCs w:val="20"/>
              </w:rPr>
            </w:pPr>
            <w:r>
              <w:rPr>
                <w:rFonts w:ascii="宋体" w:hAnsi="宋体" w:eastAsia="宋体" w:cs="宋体"/>
                <w:spacing w:val="13"/>
                <w:sz w:val="20"/>
                <w:szCs w:val="20"/>
              </w:rPr>
              <w:t>山东黄河建工有限公司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8564" w:type="dxa"/>
            <w:gridSpan w:val="3"/>
            <w:vAlign w:val="top"/>
          </w:tcPr>
          <w:p>
            <w:pPr>
              <w:spacing w:before="212" w:line="279" w:lineRule="exact"/>
              <w:ind w:left="3721"/>
              <w:rPr>
                <w:rFonts w:ascii="宋体" w:hAnsi="宋体" w:eastAsia="宋体" w:cs="宋体"/>
                <w:sz w:val="20"/>
                <w:szCs w:val="20"/>
              </w:rPr>
            </w:pPr>
            <w:r>
              <w:rPr>
                <w:rFonts w:ascii="宋体" w:hAnsi="宋体" w:eastAsia="宋体" w:cs="宋体"/>
                <w:b/>
                <w:bCs/>
                <w:spacing w:val="-13"/>
                <w:position w:val="1"/>
                <w:sz w:val="20"/>
                <w:szCs w:val="20"/>
              </w:rPr>
              <w:t>(四)装饰专业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28" w:type="dxa"/>
            <w:vAlign w:val="top"/>
          </w:tcPr>
          <w:p>
            <w:pPr>
              <w:spacing w:before="241" w:line="301" w:lineRule="exact"/>
              <w:ind w:left="422"/>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203" w:line="220" w:lineRule="auto"/>
              <w:ind w:left="445"/>
              <w:rPr>
                <w:rFonts w:ascii="宋体" w:hAnsi="宋体" w:eastAsia="宋体" w:cs="宋体"/>
                <w:sz w:val="20"/>
                <w:szCs w:val="20"/>
              </w:rPr>
            </w:pPr>
            <w:r>
              <w:rPr>
                <w:rFonts w:ascii="宋体" w:hAnsi="宋体" w:eastAsia="宋体" w:cs="宋体"/>
                <w:spacing w:val="13"/>
                <w:sz w:val="20"/>
                <w:szCs w:val="20"/>
              </w:rPr>
              <w:t>朱伟伟</w:t>
            </w:r>
          </w:p>
        </w:tc>
        <w:tc>
          <w:tcPr>
            <w:tcW w:w="6069" w:type="dxa"/>
            <w:vAlign w:val="top"/>
          </w:tcPr>
          <w:p>
            <w:pPr>
              <w:spacing w:before="200" w:line="223" w:lineRule="auto"/>
              <w:ind w:left="163"/>
              <w:rPr>
                <w:rFonts w:ascii="宋体" w:hAnsi="宋体" w:eastAsia="宋体" w:cs="宋体"/>
                <w:sz w:val="20"/>
                <w:szCs w:val="20"/>
              </w:rPr>
            </w:pPr>
            <w:r>
              <w:rPr>
                <w:rFonts w:ascii="宋体" w:hAnsi="宋体" w:eastAsia="宋体" w:cs="宋体"/>
                <w:spacing w:val="11"/>
                <w:sz w:val="20"/>
                <w:szCs w:val="20"/>
              </w:rPr>
              <w:t>山东鲁王建工有限责任公司</w:t>
            </w:r>
          </w:p>
        </w:tc>
      </w:tr>
    </w:tbl>
    <w:p>
      <w:pPr>
        <w:rPr>
          <w:rFonts w:ascii="Arial"/>
          <w:sz w:val="21"/>
        </w:rPr>
      </w:pPr>
    </w:p>
    <w:p>
      <w:pPr>
        <w:rPr>
          <w:rFonts w:ascii="Arial" w:hAnsi="Arial" w:eastAsia="Arial" w:cs="Arial"/>
          <w:sz w:val="21"/>
          <w:szCs w:val="21"/>
        </w:rPr>
        <w:sectPr>
          <w:footerReference r:id="rId322" w:type="default"/>
          <w:pgSz w:w="11900" w:h="16830"/>
          <w:pgMar w:top="400" w:right="1738" w:bottom="1184" w:left="1418" w:header="0" w:footer="869" w:gutter="0"/>
        </w:sectPr>
      </w:pPr>
    </w:p>
    <w:p>
      <w:pPr>
        <w:spacing w:before="12"/>
      </w:pPr>
    </w:p>
    <w:p>
      <w:pPr>
        <w:spacing w:before="12"/>
      </w:pPr>
    </w:p>
    <w:p>
      <w:pPr>
        <w:spacing w:before="12"/>
      </w:pPr>
    </w:p>
    <w:p>
      <w:pPr>
        <w:spacing w:before="12"/>
      </w:pPr>
    </w:p>
    <w:p>
      <w:pPr>
        <w:spacing w:before="12"/>
      </w:pPr>
    </w:p>
    <w:p>
      <w:pPr>
        <w:spacing w:before="12"/>
      </w:pPr>
    </w:p>
    <w:p>
      <w:pPr>
        <w:spacing w:before="12"/>
      </w:pPr>
    </w:p>
    <w:tbl>
      <w:tblPr>
        <w:tblStyle w:val="5"/>
        <w:tblW w:w="85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1567"/>
        <w:gridCol w:w="60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3" w:hRule="atLeast"/>
        </w:trPr>
        <w:tc>
          <w:tcPr>
            <w:tcW w:w="918" w:type="dxa"/>
            <w:vAlign w:val="top"/>
          </w:tcPr>
          <w:p>
            <w:pPr>
              <w:spacing w:before="237" w:line="301" w:lineRule="exact"/>
              <w:ind w:left="395"/>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196" w:line="219" w:lineRule="auto"/>
              <w:ind w:left="439"/>
              <w:rPr>
                <w:rFonts w:ascii="宋体" w:hAnsi="宋体" w:eastAsia="宋体" w:cs="宋体"/>
                <w:sz w:val="20"/>
                <w:szCs w:val="20"/>
              </w:rPr>
            </w:pPr>
            <w:r>
              <w:rPr>
                <w:rFonts w:ascii="宋体" w:hAnsi="宋体" w:eastAsia="宋体" w:cs="宋体"/>
                <w:spacing w:val="12"/>
                <w:sz w:val="20"/>
                <w:szCs w:val="20"/>
              </w:rPr>
              <w:t>齐卫俊</w:t>
            </w:r>
          </w:p>
        </w:tc>
        <w:tc>
          <w:tcPr>
            <w:tcW w:w="6049" w:type="dxa"/>
            <w:vAlign w:val="top"/>
          </w:tcPr>
          <w:p>
            <w:pPr>
              <w:spacing w:before="194" w:line="221" w:lineRule="auto"/>
              <w:ind w:left="144"/>
              <w:rPr>
                <w:rFonts w:ascii="宋体" w:hAnsi="宋体" w:eastAsia="宋体" w:cs="宋体"/>
                <w:sz w:val="20"/>
                <w:szCs w:val="20"/>
              </w:rPr>
            </w:pPr>
            <w:r>
              <w:rPr>
                <w:rFonts w:ascii="宋体" w:hAnsi="宋体" w:eastAsia="宋体" w:cs="宋体"/>
                <w:spacing w:val="12"/>
                <w:sz w:val="20"/>
                <w:szCs w:val="20"/>
              </w:rPr>
              <w:t>山东德方建设项目管理有限公司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27" w:line="300" w:lineRule="exact"/>
              <w:ind w:left="39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89" w:line="219" w:lineRule="auto"/>
              <w:ind w:left="445"/>
              <w:rPr>
                <w:rFonts w:ascii="宋体" w:hAnsi="宋体" w:eastAsia="宋体" w:cs="宋体"/>
                <w:sz w:val="20"/>
                <w:szCs w:val="20"/>
              </w:rPr>
            </w:pPr>
            <w:r>
              <w:rPr>
                <w:rFonts w:ascii="宋体" w:hAnsi="宋体" w:eastAsia="宋体" w:cs="宋体"/>
                <w:spacing w:val="9"/>
                <w:sz w:val="20"/>
                <w:szCs w:val="20"/>
              </w:rPr>
              <w:t>宁薇薇</w:t>
            </w:r>
          </w:p>
        </w:tc>
        <w:tc>
          <w:tcPr>
            <w:tcW w:w="6049" w:type="dxa"/>
            <w:vAlign w:val="top"/>
          </w:tcPr>
          <w:p>
            <w:pPr>
              <w:spacing w:before="189" w:line="219" w:lineRule="auto"/>
              <w:ind w:left="144"/>
              <w:rPr>
                <w:rFonts w:ascii="宋体" w:hAnsi="宋体" w:eastAsia="宋体" w:cs="宋体"/>
                <w:sz w:val="20"/>
                <w:szCs w:val="20"/>
              </w:rPr>
            </w:pPr>
            <w:r>
              <w:rPr>
                <w:rFonts w:ascii="宋体" w:hAnsi="宋体" w:eastAsia="宋体" w:cs="宋体"/>
                <w:spacing w:val="10"/>
                <w:sz w:val="20"/>
                <w:szCs w:val="20"/>
              </w:rPr>
              <w:t>山东启新国润工程项目管理有限公司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19" w:line="301" w:lineRule="exact"/>
              <w:ind w:left="392"/>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182" w:line="218" w:lineRule="auto"/>
              <w:ind w:left="435"/>
              <w:rPr>
                <w:rFonts w:ascii="宋体" w:hAnsi="宋体" w:eastAsia="宋体" w:cs="宋体"/>
                <w:sz w:val="20"/>
                <w:szCs w:val="20"/>
              </w:rPr>
            </w:pPr>
            <w:r>
              <w:rPr>
                <w:rFonts w:ascii="宋体" w:hAnsi="宋体" w:eastAsia="宋体" w:cs="宋体"/>
                <w:spacing w:val="16"/>
                <w:sz w:val="20"/>
                <w:szCs w:val="20"/>
              </w:rPr>
              <w:t>李献钊</w:t>
            </w:r>
          </w:p>
        </w:tc>
        <w:tc>
          <w:tcPr>
            <w:tcW w:w="6049" w:type="dxa"/>
            <w:vAlign w:val="top"/>
          </w:tcPr>
          <w:p>
            <w:pPr>
              <w:spacing w:before="178" w:line="219" w:lineRule="auto"/>
              <w:ind w:left="144"/>
              <w:rPr>
                <w:rFonts w:ascii="宋体" w:hAnsi="宋体" w:eastAsia="宋体" w:cs="宋体"/>
                <w:sz w:val="20"/>
                <w:szCs w:val="20"/>
              </w:rPr>
            </w:pPr>
            <w:r>
              <w:rPr>
                <w:rFonts w:ascii="宋体" w:hAnsi="宋体" w:eastAsia="宋体" w:cs="宋体"/>
                <w:spacing w:val="11"/>
                <w:sz w:val="20"/>
                <w:szCs w:val="20"/>
              </w:rPr>
              <w:t>山东金城装饰工程有限公司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8534" w:type="dxa"/>
            <w:gridSpan w:val="3"/>
            <w:vAlign w:val="top"/>
          </w:tcPr>
          <w:p>
            <w:pPr>
              <w:spacing w:before="226" w:line="278" w:lineRule="exact"/>
              <w:ind w:left="3471"/>
              <w:rPr>
                <w:rFonts w:ascii="宋体" w:hAnsi="宋体" w:eastAsia="宋体" w:cs="宋体"/>
                <w:sz w:val="20"/>
                <w:szCs w:val="20"/>
              </w:rPr>
            </w:pPr>
            <w:r>
              <w:rPr>
                <w:rFonts w:ascii="宋体" w:hAnsi="宋体" w:eastAsia="宋体" w:cs="宋体"/>
                <w:b/>
                <w:bCs/>
                <w:spacing w:val="-4"/>
                <w:position w:val="1"/>
                <w:sz w:val="20"/>
                <w:szCs w:val="20"/>
              </w:rPr>
              <w:t>(五)园林绿化专业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4" w:hRule="atLeast"/>
        </w:trPr>
        <w:tc>
          <w:tcPr>
            <w:tcW w:w="918" w:type="dxa"/>
            <w:vAlign w:val="top"/>
          </w:tcPr>
          <w:p>
            <w:pPr>
              <w:spacing w:before="222" w:line="301" w:lineRule="exact"/>
              <w:ind w:left="412"/>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188" w:line="218" w:lineRule="auto"/>
              <w:ind w:left="436"/>
              <w:rPr>
                <w:rFonts w:ascii="宋体" w:hAnsi="宋体" w:eastAsia="宋体" w:cs="宋体"/>
                <w:sz w:val="20"/>
                <w:szCs w:val="20"/>
              </w:rPr>
            </w:pPr>
            <w:r>
              <w:rPr>
                <w:rFonts w:ascii="宋体" w:hAnsi="宋体" w:eastAsia="宋体" w:cs="宋体"/>
                <w:spacing w:val="12"/>
                <w:sz w:val="20"/>
                <w:szCs w:val="20"/>
              </w:rPr>
              <w:t>宗立友</w:t>
            </w:r>
          </w:p>
        </w:tc>
        <w:tc>
          <w:tcPr>
            <w:tcW w:w="6049" w:type="dxa"/>
            <w:vAlign w:val="top"/>
          </w:tcPr>
          <w:p>
            <w:pPr>
              <w:spacing w:before="178" w:line="219" w:lineRule="auto"/>
              <w:ind w:left="144"/>
              <w:rPr>
                <w:rFonts w:ascii="宋体" w:hAnsi="宋体" w:eastAsia="宋体" w:cs="宋体"/>
                <w:sz w:val="20"/>
                <w:szCs w:val="20"/>
              </w:rPr>
            </w:pPr>
            <w:r>
              <w:rPr>
                <w:rFonts w:ascii="宋体" w:hAnsi="宋体" w:eastAsia="宋体" w:cs="宋体"/>
                <w:spacing w:val="12"/>
                <w:sz w:val="20"/>
                <w:szCs w:val="20"/>
              </w:rPr>
              <w:t>山东博会工程造价咨询有限公司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18" w:type="dxa"/>
            <w:vAlign w:val="top"/>
          </w:tcPr>
          <w:p>
            <w:pPr>
              <w:spacing w:before="232" w:line="301" w:lineRule="exact"/>
              <w:ind w:left="395"/>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195" w:line="219" w:lineRule="auto"/>
              <w:ind w:left="435"/>
              <w:rPr>
                <w:rFonts w:ascii="宋体" w:hAnsi="宋体" w:eastAsia="宋体" w:cs="宋体"/>
                <w:sz w:val="20"/>
                <w:szCs w:val="20"/>
              </w:rPr>
            </w:pPr>
            <w:r>
              <w:rPr>
                <w:rFonts w:ascii="宋体" w:hAnsi="宋体" w:eastAsia="宋体" w:cs="宋体"/>
                <w:spacing w:val="12"/>
                <w:sz w:val="20"/>
                <w:szCs w:val="20"/>
              </w:rPr>
              <w:t>杨敏菊</w:t>
            </w:r>
          </w:p>
        </w:tc>
        <w:tc>
          <w:tcPr>
            <w:tcW w:w="6049" w:type="dxa"/>
            <w:vAlign w:val="top"/>
          </w:tcPr>
          <w:p>
            <w:pPr>
              <w:spacing w:before="189" w:line="220" w:lineRule="auto"/>
              <w:ind w:left="137"/>
              <w:rPr>
                <w:rFonts w:ascii="宋体" w:hAnsi="宋体" w:eastAsia="宋体" w:cs="宋体"/>
                <w:sz w:val="20"/>
                <w:szCs w:val="20"/>
              </w:rPr>
            </w:pPr>
            <w:r>
              <w:rPr>
                <w:rFonts w:ascii="宋体" w:hAnsi="宋体" w:eastAsia="宋体" w:cs="宋体"/>
                <w:spacing w:val="5"/>
                <w:sz w:val="20"/>
                <w:szCs w:val="20"/>
              </w:rPr>
              <w:t>淄博市公用事业服务中心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35" w:line="300" w:lineRule="exact"/>
              <w:ind w:left="39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96" w:line="217" w:lineRule="auto"/>
              <w:ind w:left="435"/>
              <w:rPr>
                <w:rFonts w:ascii="宋体" w:hAnsi="宋体" w:eastAsia="宋体" w:cs="宋体"/>
                <w:sz w:val="20"/>
                <w:szCs w:val="20"/>
              </w:rPr>
            </w:pPr>
            <w:r>
              <w:rPr>
                <w:rFonts w:ascii="宋体" w:hAnsi="宋体" w:eastAsia="宋体" w:cs="宋体"/>
                <w:spacing w:val="12"/>
                <w:sz w:val="20"/>
                <w:szCs w:val="20"/>
              </w:rPr>
              <w:t>耿永生</w:t>
            </w:r>
          </w:p>
        </w:tc>
        <w:tc>
          <w:tcPr>
            <w:tcW w:w="6049" w:type="dxa"/>
            <w:vAlign w:val="top"/>
          </w:tcPr>
          <w:p>
            <w:pPr>
              <w:spacing w:before="194" w:line="221" w:lineRule="auto"/>
              <w:ind w:left="135"/>
              <w:rPr>
                <w:rFonts w:ascii="宋体" w:hAnsi="宋体" w:eastAsia="宋体" w:cs="宋体"/>
                <w:sz w:val="20"/>
                <w:szCs w:val="20"/>
              </w:rPr>
            </w:pPr>
            <w:r>
              <w:rPr>
                <w:rFonts w:ascii="宋体" w:hAnsi="宋体" w:eastAsia="宋体" w:cs="宋体"/>
                <w:spacing w:val="11"/>
                <w:sz w:val="20"/>
                <w:szCs w:val="20"/>
              </w:rPr>
              <w:t>淄博张店绿龙园林工程有限责任公司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trPr>
        <w:tc>
          <w:tcPr>
            <w:tcW w:w="918" w:type="dxa"/>
            <w:vAlign w:val="top"/>
          </w:tcPr>
          <w:p>
            <w:pPr>
              <w:spacing w:before="227" w:line="301" w:lineRule="exact"/>
              <w:ind w:left="392"/>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192" w:line="213" w:lineRule="auto"/>
              <w:ind w:left="435"/>
              <w:rPr>
                <w:rFonts w:ascii="宋体" w:hAnsi="宋体" w:eastAsia="宋体" w:cs="宋体"/>
                <w:sz w:val="20"/>
                <w:szCs w:val="20"/>
              </w:rPr>
            </w:pPr>
            <w:r>
              <w:rPr>
                <w:rFonts w:ascii="宋体" w:hAnsi="宋体" w:eastAsia="宋体" w:cs="宋体"/>
                <w:spacing w:val="12"/>
                <w:sz w:val="20"/>
                <w:szCs w:val="20"/>
              </w:rPr>
              <w:t>段志君</w:t>
            </w:r>
          </w:p>
        </w:tc>
        <w:tc>
          <w:tcPr>
            <w:tcW w:w="6049" w:type="dxa"/>
            <w:vAlign w:val="top"/>
          </w:tcPr>
          <w:p>
            <w:pPr>
              <w:spacing w:before="188" w:line="218" w:lineRule="auto"/>
              <w:ind w:left="144"/>
              <w:rPr>
                <w:rFonts w:ascii="宋体" w:hAnsi="宋体" w:eastAsia="宋体" w:cs="宋体"/>
                <w:sz w:val="20"/>
                <w:szCs w:val="20"/>
              </w:rPr>
            </w:pPr>
            <w:r>
              <w:rPr>
                <w:rFonts w:ascii="宋体" w:hAnsi="宋体" w:eastAsia="宋体" w:cs="宋体"/>
                <w:spacing w:val="13"/>
                <w:sz w:val="20"/>
                <w:szCs w:val="20"/>
              </w:rPr>
              <w:t>山东大地园林有限公司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8534" w:type="dxa"/>
            <w:gridSpan w:val="3"/>
            <w:vAlign w:val="top"/>
          </w:tcPr>
          <w:p>
            <w:pPr>
              <w:spacing w:before="232" w:line="278" w:lineRule="exact"/>
              <w:ind w:left="3682"/>
              <w:rPr>
                <w:rFonts w:ascii="宋体" w:hAnsi="宋体" w:eastAsia="宋体" w:cs="宋体"/>
                <w:sz w:val="20"/>
                <w:szCs w:val="20"/>
              </w:rPr>
            </w:pPr>
            <w:r>
              <w:rPr>
                <w:rFonts w:ascii="宋体" w:hAnsi="宋体" w:eastAsia="宋体" w:cs="宋体"/>
                <w:b/>
                <w:bCs/>
                <w:spacing w:val="-7"/>
                <w:position w:val="1"/>
                <w:sz w:val="20"/>
                <w:szCs w:val="20"/>
              </w:rPr>
              <w:t>(六)法律专业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39" w:line="301" w:lineRule="exact"/>
              <w:ind w:left="412"/>
              <w:rPr>
                <w:rFonts w:ascii="宋体" w:hAnsi="宋体" w:eastAsia="宋体" w:cs="宋体"/>
                <w:sz w:val="20"/>
                <w:szCs w:val="20"/>
              </w:rPr>
            </w:pPr>
            <w:r>
              <w:rPr>
                <w:rFonts w:ascii="宋体" w:hAnsi="宋体" w:eastAsia="宋体" w:cs="宋体"/>
                <w:position w:val="2"/>
                <w:sz w:val="20"/>
                <w:szCs w:val="20"/>
              </w:rPr>
              <w:t>1</w:t>
            </w:r>
          </w:p>
        </w:tc>
        <w:tc>
          <w:tcPr>
            <w:tcW w:w="1567" w:type="dxa"/>
            <w:vAlign w:val="top"/>
          </w:tcPr>
          <w:p>
            <w:pPr>
              <w:spacing w:before="197" w:line="220" w:lineRule="auto"/>
              <w:ind w:left="435"/>
              <w:rPr>
                <w:rFonts w:ascii="宋体" w:hAnsi="宋体" w:eastAsia="宋体" w:cs="宋体"/>
                <w:sz w:val="20"/>
                <w:szCs w:val="20"/>
              </w:rPr>
            </w:pPr>
            <w:r>
              <w:rPr>
                <w:rFonts w:ascii="宋体" w:hAnsi="宋体" w:eastAsia="宋体" w:cs="宋体"/>
                <w:spacing w:val="6"/>
                <w:sz w:val="20"/>
                <w:szCs w:val="20"/>
              </w:rPr>
              <w:t>刘红芬</w:t>
            </w:r>
          </w:p>
        </w:tc>
        <w:tc>
          <w:tcPr>
            <w:tcW w:w="6049" w:type="dxa"/>
            <w:vAlign w:val="top"/>
          </w:tcPr>
          <w:p>
            <w:pPr>
              <w:spacing w:before="191" w:line="277" w:lineRule="exact"/>
              <w:ind w:left="144"/>
              <w:rPr>
                <w:rFonts w:ascii="宋体" w:hAnsi="宋体" w:eastAsia="宋体" w:cs="宋体"/>
                <w:sz w:val="20"/>
                <w:szCs w:val="20"/>
              </w:rPr>
            </w:pPr>
            <w:r>
              <w:rPr>
                <w:rFonts w:ascii="宋体" w:hAnsi="宋体" w:eastAsia="宋体" w:cs="宋体"/>
                <w:position w:val="1"/>
                <w:sz w:val="20"/>
                <w:szCs w:val="20"/>
              </w:rPr>
              <w:t>山东致公(周村)律师事务所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5" w:hRule="atLeast"/>
        </w:trPr>
        <w:tc>
          <w:tcPr>
            <w:tcW w:w="918" w:type="dxa"/>
            <w:vAlign w:val="top"/>
          </w:tcPr>
          <w:p>
            <w:pPr>
              <w:spacing w:before="228" w:line="301" w:lineRule="exact"/>
              <w:ind w:left="395"/>
              <w:rPr>
                <w:rFonts w:ascii="宋体" w:hAnsi="宋体" w:eastAsia="宋体" w:cs="宋体"/>
                <w:sz w:val="20"/>
                <w:szCs w:val="20"/>
              </w:rPr>
            </w:pPr>
            <w:r>
              <w:rPr>
                <w:rFonts w:ascii="宋体" w:hAnsi="宋体" w:eastAsia="宋体" w:cs="宋体"/>
                <w:position w:val="2"/>
                <w:sz w:val="20"/>
                <w:szCs w:val="20"/>
              </w:rPr>
              <w:t>2</w:t>
            </w:r>
          </w:p>
        </w:tc>
        <w:tc>
          <w:tcPr>
            <w:tcW w:w="1567" w:type="dxa"/>
            <w:vAlign w:val="top"/>
          </w:tcPr>
          <w:p>
            <w:pPr>
              <w:spacing w:before="184" w:line="221" w:lineRule="auto"/>
              <w:ind w:left="550"/>
              <w:rPr>
                <w:rFonts w:ascii="宋体" w:hAnsi="宋体" w:eastAsia="宋体" w:cs="宋体"/>
                <w:sz w:val="20"/>
                <w:szCs w:val="20"/>
              </w:rPr>
            </w:pPr>
            <w:r>
              <w:rPr>
                <w:rFonts w:ascii="宋体" w:hAnsi="宋体" w:eastAsia="宋体" w:cs="宋体"/>
                <w:spacing w:val="10"/>
                <w:sz w:val="20"/>
                <w:szCs w:val="20"/>
              </w:rPr>
              <w:t>高传</w:t>
            </w:r>
          </w:p>
        </w:tc>
        <w:tc>
          <w:tcPr>
            <w:tcW w:w="6049" w:type="dxa"/>
            <w:vAlign w:val="top"/>
          </w:tcPr>
          <w:p>
            <w:pPr>
              <w:spacing w:before="188" w:line="218" w:lineRule="auto"/>
              <w:ind w:left="144"/>
              <w:rPr>
                <w:rFonts w:ascii="宋体" w:hAnsi="宋体" w:eastAsia="宋体" w:cs="宋体"/>
                <w:sz w:val="20"/>
                <w:szCs w:val="20"/>
              </w:rPr>
            </w:pPr>
            <w:r>
              <w:rPr>
                <w:rFonts w:ascii="宋体" w:hAnsi="宋体" w:eastAsia="宋体" w:cs="宋体"/>
                <w:spacing w:val="7"/>
                <w:sz w:val="20"/>
                <w:szCs w:val="20"/>
              </w:rPr>
              <w:t>山东尚钧律师事务所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4" w:hRule="atLeast"/>
        </w:trPr>
        <w:tc>
          <w:tcPr>
            <w:tcW w:w="918" w:type="dxa"/>
            <w:vAlign w:val="top"/>
          </w:tcPr>
          <w:p>
            <w:pPr>
              <w:spacing w:before="237" w:line="299" w:lineRule="exact"/>
              <w:ind w:left="398"/>
              <w:rPr>
                <w:rFonts w:ascii="宋体" w:hAnsi="宋体" w:eastAsia="宋体" w:cs="宋体"/>
                <w:sz w:val="20"/>
                <w:szCs w:val="20"/>
              </w:rPr>
            </w:pPr>
            <w:r>
              <w:rPr>
                <w:rFonts w:ascii="宋体" w:hAnsi="宋体" w:eastAsia="宋体" w:cs="宋体"/>
                <w:position w:val="2"/>
                <w:sz w:val="20"/>
                <w:szCs w:val="20"/>
              </w:rPr>
              <w:t>3</w:t>
            </w:r>
          </w:p>
        </w:tc>
        <w:tc>
          <w:tcPr>
            <w:tcW w:w="1567" w:type="dxa"/>
            <w:vAlign w:val="top"/>
          </w:tcPr>
          <w:p>
            <w:pPr>
              <w:spacing w:before="199" w:line="219" w:lineRule="auto"/>
              <w:ind w:left="578"/>
              <w:rPr>
                <w:rFonts w:ascii="宋体" w:hAnsi="宋体" w:eastAsia="宋体" w:cs="宋体"/>
                <w:sz w:val="20"/>
                <w:szCs w:val="20"/>
              </w:rPr>
            </w:pPr>
            <w:r>
              <w:rPr>
                <w:rFonts w:ascii="宋体" w:hAnsi="宋体" w:eastAsia="宋体" w:cs="宋体"/>
                <w:spacing w:val="-4"/>
                <w:sz w:val="20"/>
                <w:szCs w:val="20"/>
              </w:rPr>
              <w:t>肖庆</w:t>
            </w:r>
          </w:p>
        </w:tc>
        <w:tc>
          <w:tcPr>
            <w:tcW w:w="6049" w:type="dxa"/>
            <w:vAlign w:val="top"/>
          </w:tcPr>
          <w:p>
            <w:pPr>
              <w:spacing w:before="199" w:line="218" w:lineRule="auto"/>
              <w:ind w:left="144"/>
              <w:rPr>
                <w:rFonts w:ascii="宋体" w:hAnsi="宋体" w:eastAsia="宋体" w:cs="宋体"/>
                <w:sz w:val="20"/>
                <w:szCs w:val="20"/>
              </w:rPr>
            </w:pPr>
            <w:r>
              <w:rPr>
                <w:rFonts w:ascii="宋体" w:hAnsi="宋体" w:eastAsia="宋体" w:cs="宋体"/>
                <w:spacing w:val="7"/>
                <w:sz w:val="20"/>
                <w:szCs w:val="20"/>
              </w:rPr>
              <w:t>山东尚钧律师事务所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39" w:line="301" w:lineRule="exact"/>
              <w:ind w:left="392"/>
              <w:rPr>
                <w:rFonts w:ascii="宋体" w:hAnsi="宋体" w:eastAsia="宋体" w:cs="宋体"/>
                <w:sz w:val="20"/>
                <w:szCs w:val="20"/>
              </w:rPr>
            </w:pPr>
            <w:r>
              <w:rPr>
                <w:rFonts w:ascii="宋体" w:hAnsi="宋体" w:eastAsia="宋体" w:cs="宋体"/>
                <w:spacing w:val="1"/>
                <w:position w:val="2"/>
                <w:sz w:val="20"/>
                <w:szCs w:val="20"/>
              </w:rPr>
              <w:t>4</w:t>
            </w:r>
          </w:p>
        </w:tc>
        <w:tc>
          <w:tcPr>
            <w:tcW w:w="1567" w:type="dxa"/>
            <w:vAlign w:val="top"/>
          </w:tcPr>
          <w:p>
            <w:pPr>
              <w:spacing w:before="203" w:line="222" w:lineRule="auto"/>
              <w:ind w:left="437"/>
              <w:rPr>
                <w:rFonts w:ascii="宋体" w:hAnsi="宋体" w:eastAsia="宋体" w:cs="宋体"/>
                <w:sz w:val="20"/>
                <w:szCs w:val="20"/>
              </w:rPr>
            </w:pPr>
            <w:r>
              <w:rPr>
                <w:rFonts w:ascii="宋体" w:hAnsi="宋体" w:eastAsia="宋体" w:cs="宋体"/>
                <w:spacing w:val="11"/>
                <w:sz w:val="20"/>
                <w:szCs w:val="20"/>
              </w:rPr>
              <w:t>邱洪胜</w:t>
            </w:r>
          </w:p>
        </w:tc>
        <w:tc>
          <w:tcPr>
            <w:tcW w:w="6049" w:type="dxa"/>
            <w:vAlign w:val="top"/>
          </w:tcPr>
          <w:p>
            <w:pPr>
              <w:spacing w:before="199" w:line="218" w:lineRule="auto"/>
              <w:ind w:left="144"/>
              <w:rPr>
                <w:rFonts w:ascii="宋体" w:hAnsi="宋体" w:eastAsia="宋体" w:cs="宋体"/>
                <w:sz w:val="20"/>
                <w:szCs w:val="20"/>
              </w:rPr>
            </w:pPr>
            <w:r>
              <w:rPr>
                <w:rFonts w:ascii="宋体" w:hAnsi="宋体" w:eastAsia="宋体" w:cs="宋体"/>
                <w:spacing w:val="9"/>
                <w:sz w:val="20"/>
                <w:szCs w:val="20"/>
              </w:rPr>
              <w:t>山东理工大学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4" w:hRule="atLeast"/>
        </w:trPr>
        <w:tc>
          <w:tcPr>
            <w:tcW w:w="918" w:type="dxa"/>
            <w:vAlign w:val="top"/>
          </w:tcPr>
          <w:p>
            <w:pPr>
              <w:spacing w:before="237" w:line="300" w:lineRule="exact"/>
              <w:ind w:left="395"/>
              <w:rPr>
                <w:rFonts w:ascii="宋体" w:hAnsi="宋体" w:eastAsia="宋体" w:cs="宋体"/>
                <w:sz w:val="20"/>
                <w:szCs w:val="20"/>
              </w:rPr>
            </w:pPr>
            <w:r>
              <w:rPr>
                <w:rFonts w:ascii="宋体" w:hAnsi="宋体" w:eastAsia="宋体" w:cs="宋体"/>
                <w:position w:val="2"/>
                <w:sz w:val="20"/>
                <w:szCs w:val="20"/>
              </w:rPr>
              <w:t>5</w:t>
            </w:r>
          </w:p>
        </w:tc>
        <w:tc>
          <w:tcPr>
            <w:tcW w:w="1567" w:type="dxa"/>
            <w:vAlign w:val="top"/>
          </w:tcPr>
          <w:p>
            <w:pPr>
              <w:spacing w:before="202" w:line="216" w:lineRule="auto"/>
              <w:ind w:left="435"/>
              <w:rPr>
                <w:rFonts w:ascii="宋体" w:hAnsi="宋体" w:eastAsia="宋体" w:cs="宋体"/>
                <w:sz w:val="20"/>
                <w:szCs w:val="20"/>
              </w:rPr>
            </w:pPr>
            <w:r>
              <w:rPr>
                <w:rFonts w:ascii="宋体" w:hAnsi="宋体" w:eastAsia="宋体" w:cs="宋体"/>
                <w:spacing w:val="14"/>
                <w:sz w:val="20"/>
                <w:szCs w:val="20"/>
              </w:rPr>
              <w:t>李克渊</w:t>
            </w:r>
          </w:p>
        </w:tc>
        <w:tc>
          <w:tcPr>
            <w:tcW w:w="6049" w:type="dxa"/>
            <w:vAlign w:val="top"/>
          </w:tcPr>
          <w:p>
            <w:pPr>
              <w:spacing w:before="197" w:line="221" w:lineRule="auto"/>
              <w:ind w:left="144"/>
              <w:rPr>
                <w:rFonts w:ascii="宋体" w:hAnsi="宋体" w:eastAsia="宋体" w:cs="宋体"/>
                <w:sz w:val="20"/>
                <w:szCs w:val="20"/>
              </w:rPr>
            </w:pPr>
            <w:r>
              <w:rPr>
                <w:rFonts w:ascii="宋体" w:hAnsi="宋体" w:eastAsia="宋体" w:cs="宋体"/>
                <w:spacing w:val="11"/>
                <w:sz w:val="20"/>
                <w:szCs w:val="20"/>
              </w:rPr>
              <w:t>山东新城建工股份有限公司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918" w:type="dxa"/>
            <w:vAlign w:val="top"/>
          </w:tcPr>
          <w:p>
            <w:pPr>
              <w:spacing w:before="240" w:line="299" w:lineRule="exact"/>
              <w:ind w:left="396"/>
              <w:rPr>
                <w:rFonts w:ascii="宋体" w:hAnsi="宋体" w:eastAsia="宋体" w:cs="宋体"/>
                <w:sz w:val="20"/>
                <w:szCs w:val="20"/>
              </w:rPr>
            </w:pPr>
            <w:r>
              <w:rPr>
                <w:rFonts w:ascii="宋体" w:hAnsi="宋体" w:eastAsia="宋体" w:cs="宋体"/>
                <w:position w:val="2"/>
                <w:sz w:val="20"/>
                <w:szCs w:val="20"/>
              </w:rPr>
              <w:t>6</w:t>
            </w:r>
          </w:p>
        </w:tc>
        <w:tc>
          <w:tcPr>
            <w:tcW w:w="1567" w:type="dxa"/>
            <w:vAlign w:val="top"/>
          </w:tcPr>
          <w:p>
            <w:pPr>
              <w:spacing w:before="199" w:line="220" w:lineRule="auto"/>
              <w:ind w:left="435"/>
              <w:rPr>
                <w:rFonts w:ascii="宋体" w:hAnsi="宋体" w:eastAsia="宋体" w:cs="宋体"/>
                <w:sz w:val="20"/>
                <w:szCs w:val="20"/>
              </w:rPr>
            </w:pPr>
            <w:r>
              <w:rPr>
                <w:rFonts w:ascii="宋体" w:hAnsi="宋体" w:eastAsia="宋体" w:cs="宋体"/>
                <w:spacing w:val="14"/>
                <w:sz w:val="20"/>
                <w:szCs w:val="20"/>
              </w:rPr>
              <w:t>刘健伟</w:t>
            </w:r>
          </w:p>
        </w:tc>
        <w:tc>
          <w:tcPr>
            <w:tcW w:w="6049" w:type="dxa"/>
            <w:vAlign w:val="top"/>
          </w:tcPr>
          <w:p>
            <w:pPr>
              <w:spacing w:before="194" w:line="277" w:lineRule="exact"/>
              <w:ind w:left="128"/>
              <w:rPr>
                <w:rFonts w:ascii="宋体" w:hAnsi="宋体" w:eastAsia="宋体" w:cs="宋体"/>
                <w:sz w:val="20"/>
                <w:szCs w:val="20"/>
              </w:rPr>
            </w:pPr>
            <w:r>
              <w:rPr>
                <w:rFonts w:ascii="宋体" w:hAnsi="宋体" w:eastAsia="宋体" w:cs="宋体"/>
                <w:spacing w:val="2"/>
                <w:position w:val="1"/>
                <w:sz w:val="20"/>
                <w:szCs w:val="20"/>
              </w:rPr>
              <w:t>北京市盈科(淄博)律师事务所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918" w:type="dxa"/>
            <w:vAlign w:val="top"/>
          </w:tcPr>
          <w:p>
            <w:pPr>
              <w:spacing w:before="238" w:line="300" w:lineRule="exact"/>
              <w:ind w:left="393"/>
              <w:rPr>
                <w:rFonts w:ascii="宋体" w:hAnsi="宋体" w:eastAsia="宋体" w:cs="宋体"/>
                <w:sz w:val="20"/>
                <w:szCs w:val="20"/>
              </w:rPr>
            </w:pPr>
            <w:r>
              <w:rPr>
                <w:rFonts w:ascii="宋体" w:hAnsi="宋体" w:eastAsia="宋体" w:cs="宋体"/>
                <w:position w:val="2"/>
                <w:sz w:val="20"/>
                <w:szCs w:val="20"/>
              </w:rPr>
              <w:t>7</w:t>
            </w:r>
          </w:p>
        </w:tc>
        <w:tc>
          <w:tcPr>
            <w:tcW w:w="1567" w:type="dxa"/>
            <w:vAlign w:val="top"/>
          </w:tcPr>
          <w:p>
            <w:pPr>
              <w:spacing w:before="200" w:line="219" w:lineRule="auto"/>
              <w:ind w:left="437"/>
              <w:rPr>
                <w:rFonts w:ascii="宋体" w:hAnsi="宋体" w:eastAsia="宋体" w:cs="宋体"/>
                <w:sz w:val="20"/>
                <w:szCs w:val="20"/>
              </w:rPr>
            </w:pPr>
            <w:r>
              <w:rPr>
                <w:rFonts w:ascii="宋体" w:hAnsi="宋体" w:eastAsia="宋体" w:cs="宋体"/>
                <w:spacing w:val="11"/>
                <w:sz w:val="20"/>
                <w:szCs w:val="20"/>
              </w:rPr>
              <w:t>苗卫萍</w:t>
            </w:r>
          </w:p>
        </w:tc>
        <w:tc>
          <w:tcPr>
            <w:tcW w:w="6049" w:type="dxa"/>
            <w:vAlign w:val="top"/>
          </w:tcPr>
          <w:p>
            <w:pPr>
              <w:spacing w:before="195" w:line="278" w:lineRule="exact"/>
              <w:ind w:left="144"/>
              <w:rPr>
                <w:rFonts w:ascii="宋体" w:hAnsi="宋体" w:eastAsia="宋体" w:cs="宋体"/>
                <w:sz w:val="20"/>
                <w:szCs w:val="20"/>
              </w:rPr>
            </w:pPr>
            <w:r>
              <w:rPr>
                <w:rFonts w:ascii="宋体" w:hAnsi="宋体" w:eastAsia="宋体" w:cs="宋体"/>
                <w:spacing w:val="1"/>
                <w:position w:val="1"/>
                <w:sz w:val="20"/>
                <w:szCs w:val="20"/>
              </w:rPr>
              <w:t>山东众成清泰(淄博)律师事务所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5" w:hRule="atLeast"/>
        </w:trPr>
        <w:tc>
          <w:tcPr>
            <w:tcW w:w="918" w:type="dxa"/>
            <w:vAlign w:val="top"/>
          </w:tcPr>
          <w:p>
            <w:pPr>
              <w:spacing w:before="232" w:line="299" w:lineRule="exact"/>
              <w:ind w:left="397"/>
              <w:rPr>
                <w:rFonts w:ascii="宋体" w:hAnsi="宋体" w:eastAsia="宋体" w:cs="宋体"/>
                <w:sz w:val="20"/>
                <w:szCs w:val="20"/>
              </w:rPr>
            </w:pPr>
            <w:r>
              <w:rPr>
                <w:rFonts w:ascii="宋体" w:hAnsi="宋体" w:eastAsia="宋体" w:cs="宋体"/>
                <w:position w:val="2"/>
                <w:sz w:val="20"/>
                <w:szCs w:val="20"/>
              </w:rPr>
              <w:t>8</w:t>
            </w:r>
          </w:p>
        </w:tc>
        <w:tc>
          <w:tcPr>
            <w:tcW w:w="1567" w:type="dxa"/>
            <w:vAlign w:val="top"/>
          </w:tcPr>
          <w:p>
            <w:pPr>
              <w:spacing w:before="199" w:line="216" w:lineRule="auto"/>
              <w:ind w:left="545"/>
              <w:rPr>
                <w:rFonts w:ascii="宋体" w:hAnsi="宋体" w:eastAsia="宋体" w:cs="宋体"/>
                <w:sz w:val="20"/>
                <w:szCs w:val="20"/>
              </w:rPr>
            </w:pPr>
            <w:r>
              <w:rPr>
                <w:rFonts w:ascii="宋体" w:hAnsi="宋体" w:eastAsia="宋体" w:cs="宋体"/>
                <w:spacing w:val="4"/>
                <w:sz w:val="20"/>
                <w:szCs w:val="20"/>
              </w:rPr>
              <w:t>刘健</w:t>
            </w:r>
          </w:p>
        </w:tc>
        <w:tc>
          <w:tcPr>
            <w:tcW w:w="6049" w:type="dxa"/>
            <w:vAlign w:val="top"/>
          </w:tcPr>
          <w:p>
            <w:pPr>
              <w:spacing w:before="189" w:line="220" w:lineRule="auto"/>
              <w:ind w:left="144"/>
              <w:rPr>
                <w:rFonts w:ascii="宋体" w:hAnsi="宋体" w:eastAsia="宋体" w:cs="宋体"/>
                <w:sz w:val="20"/>
                <w:szCs w:val="20"/>
              </w:rPr>
            </w:pPr>
            <w:r>
              <w:rPr>
                <w:rFonts w:ascii="宋体" w:hAnsi="宋体" w:eastAsia="宋体" w:cs="宋体"/>
                <w:spacing w:val="7"/>
                <w:sz w:val="20"/>
                <w:szCs w:val="20"/>
              </w:rPr>
              <w:t>山东建仑律师事务所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3" w:hRule="atLeast"/>
        </w:trPr>
        <w:tc>
          <w:tcPr>
            <w:tcW w:w="918" w:type="dxa"/>
            <w:vAlign w:val="top"/>
          </w:tcPr>
          <w:p>
            <w:pPr>
              <w:spacing w:before="250" w:line="300" w:lineRule="exact"/>
              <w:ind w:left="395"/>
              <w:rPr>
                <w:rFonts w:ascii="宋体" w:hAnsi="宋体" w:eastAsia="宋体" w:cs="宋体"/>
                <w:sz w:val="20"/>
                <w:szCs w:val="20"/>
              </w:rPr>
            </w:pPr>
            <w:r>
              <w:rPr>
                <w:rFonts w:ascii="宋体" w:hAnsi="宋体" w:eastAsia="宋体" w:cs="宋体"/>
                <w:position w:val="2"/>
                <w:sz w:val="20"/>
                <w:szCs w:val="20"/>
              </w:rPr>
              <w:t>9</w:t>
            </w:r>
          </w:p>
        </w:tc>
        <w:tc>
          <w:tcPr>
            <w:tcW w:w="1567" w:type="dxa"/>
            <w:vAlign w:val="top"/>
          </w:tcPr>
          <w:p>
            <w:pPr>
              <w:spacing w:before="215" w:line="213" w:lineRule="auto"/>
              <w:ind w:left="437"/>
              <w:rPr>
                <w:rFonts w:ascii="宋体" w:hAnsi="宋体" w:eastAsia="宋体" w:cs="宋体"/>
                <w:sz w:val="20"/>
                <w:szCs w:val="20"/>
              </w:rPr>
            </w:pPr>
            <w:r>
              <w:rPr>
                <w:rFonts w:ascii="宋体" w:hAnsi="宋体" w:eastAsia="宋体" w:cs="宋体"/>
                <w:spacing w:val="11"/>
                <w:sz w:val="20"/>
                <w:szCs w:val="20"/>
              </w:rPr>
              <w:t>尹光玉</w:t>
            </w:r>
          </w:p>
        </w:tc>
        <w:tc>
          <w:tcPr>
            <w:tcW w:w="6049" w:type="dxa"/>
            <w:vAlign w:val="top"/>
          </w:tcPr>
          <w:p>
            <w:pPr>
              <w:spacing w:before="212" w:line="219" w:lineRule="auto"/>
              <w:ind w:left="144"/>
              <w:rPr>
                <w:rFonts w:ascii="宋体" w:hAnsi="宋体" w:eastAsia="宋体" w:cs="宋体"/>
                <w:sz w:val="20"/>
                <w:szCs w:val="20"/>
              </w:rPr>
            </w:pPr>
            <w:r>
              <w:rPr>
                <w:rFonts w:ascii="宋体" w:hAnsi="宋体" w:eastAsia="宋体" w:cs="宋体"/>
                <w:spacing w:val="7"/>
                <w:sz w:val="20"/>
                <w:szCs w:val="20"/>
              </w:rPr>
              <w:t>山东大地人律师事务所</w:t>
            </w:r>
          </w:p>
        </w:tc>
      </w:tr>
    </w:tbl>
    <w:p>
      <w:pPr>
        <w:rPr>
          <w:rFonts w:ascii="Arial"/>
          <w:sz w:val="21"/>
        </w:rPr>
      </w:pPr>
    </w:p>
    <w:p>
      <w:pPr>
        <w:rPr>
          <w:rFonts w:ascii="Arial" w:hAnsi="Arial" w:eastAsia="Arial" w:cs="Arial"/>
          <w:sz w:val="21"/>
          <w:szCs w:val="21"/>
        </w:rPr>
        <w:sectPr>
          <w:footerReference r:id="rId323" w:type="default"/>
          <w:pgSz w:w="11900" w:h="16830"/>
          <w:pgMar w:top="400" w:right="1419" w:bottom="1184" w:left="1417" w:header="0" w:footer="869" w:gutter="0"/>
        </w:sect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35"/>
        <w:ind w:left="2566"/>
        <w:outlineLvl w:val="0"/>
        <w:rPr>
          <w:rFonts w:ascii="方正小标宋简体" w:hAnsi="方正小标宋简体" w:eastAsia="方正小标宋简体" w:cs="方正小标宋简体"/>
          <w:sz w:val="35"/>
          <w:szCs w:val="35"/>
        </w:rPr>
      </w:pPr>
      <w:bookmarkStart w:id="242" w:name="bookmark132"/>
      <w:bookmarkEnd w:id="242"/>
      <w:r>
        <w:rPr>
          <w:rFonts w:ascii="方正小标宋简体" w:hAnsi="方正小标宋简体" w:eastAsia="方正小标宋简体" w:cs="方正小标宋简体"/>
          <w:spacing w:val="8"/>
          <w:sz w:val="35"/>
          <w:szCs w:val="35"/>
        </w:rPr>
        <w:t>淄博市住房和城乡建设局</w:t>
      </w:r>
    </w:p>
    <w:p>
      <w:pPr>
        <w:spacing w:before="56" w:line="254" w:lineRule="auto"/>
        <w:ind w:left="1482" w:right="936" w:hanging="544"/>
        <w:outlineLvl w:val="0"/>
        <w:rPr>
          <w:rFonts w:ascii="方正小标宋简体" w:hAnsi="方正小标宋简体" w:eastAsia="方正小标宋简体" w:cs="方正小标宋简体"/>
          <w:sz w:val="35"/>
          <w:szCs w:val="35"/>
        </w:rPr>
      </w:pPr>
      <w:bookmarkStart w:id="243" w:name="bookmark132"/>
      <w:bookmarkEnd w:id="243"/>
      <w:r>
        <w:rPr>
          <w:rFonts w:ascii="方正小标宋简体" w:hAnsi="方正小标宋简体" w:eastAsia="方正小标宋简体" w:cs="方正小标宋简体"/>
          <w:spacing w:val="9"/>
          <w:sz w:val="35"/>
          <w:szCs w:val="35"/>
        </w:rPr>
        <w:t>关于转发《山东省住房和城乡建设厅关于发布</w:t>
      </w:r>
      <w:bookmarkStart w:id="244" w:name="bookmark132"/>
      <w:bookmarkEnd w:id="244"/>
      <w:r>
        <w:rPr>
          <w:rFonts w:ascii="方正小标宋简体" w:hAnsi="方正小标宋简体" w:eastAsia="方正小标宋简体" w:cs="方正小标宋简体"/>
          <w:spacing w:val="7"/>
          <w:sz w:val="35"/>
          <w:szCs w:val="35"/>
        </w:rPr>
        <w:t>建设工程造价计价依据的通知》</w:t>
      </w:r>
      <w:r>
        <w:rPr>
          <w:rFonts w:ascii="方正小标宋简体" w:hAnsi="方正小标宋简体" w:eastAsia="方正小标宋简体" w:cs="方正小标宋简体"/>
          <w:spacing w:val="-45"/>
          <w:sz w:val="35"/>
          <w:szCs w:val="35"/>
        </w:rPr>
        <w:t xml:space="preserve"> </w:t>
      </w:r>
      <w:r>
        <w:rPr>
          <w:rFonts w:ascii="方正小标宋简体" w:hAnsi="方正小标宋简体" w:eastAsia="方正小标宋简体" w:cs="方正小标宋简体"/>
          <w:spacing w:val="7"/>
          <w:sz w:val="35"/>
          <w:szCs w:val="35"/>
        </w:rPr>
        <w:t>的通知</w:t>
      </w:r>
    </w:p>
    <w:p>
      <w:pPr>
        <w:spacing w:line="332" w:lineRule="auto"/>
        <w:rPr>
          <w:rFonts w:ascii="Arial"/>
          <w:sz w:val="21"/>
        </w:rPr>
      </w:pPr>
    </w:p>
    <w:p>
      <w:pPr>
        <w:spacing w:before="65" w:line="369" w:lineRule="auto"/>
        <w:ind w:left="2" w:right="218" w:firstLine="1"/>
        <w:rPr>
          <w:rFonts w:ascii="宋体" w:hAnsi="宋体" w:eastAsia="宋体" w:cs="宋体"/>
          <w:sz w:val="20"/>
          <w:szCs w:val="20"/>
        </w:rPr>
      </w:pPr>
      <w:r>
        <w:rPr>
          <w:rFonts w:ascii="宋体" w:hAnsi="宋体" w:eastAsia="宋体" w:cs="宋体"/>
          <w:spacing w:val="11"/>
          <w:sz w:val="20"/>
          <w:szCs w:val="20"/>
        </w:rPr>
        <w:t>各区县住房城乡建设局，高新区、经济开发区建设局，文昌湖省</w:t>
      </w:r>
      <w:r>
        <w:rPr>
          <w:rFonts w:ascii="宋体" w:hAnsi="宋体" w:eastAsia="宋体" w:cs="宋体"/>
          <w:spacing w:val="10"/>
          <w:sz w:val="20"/>
          <w:szCs w:val="20"/>
        </w:rPr>
        <w:t>级旅游度假区城乡建设局，各有</w:t>
      </w:r>
      <w:r>
        <w:rPr>
          <w:rFonts w:ascii="宋体" w:hAnsi="宋体" w:eastAsia="宋体" w:cs="宋体"/>
          <w:spacing w:val="6"/>
          <w:sz w:val="20"/>
          <w:szCs w:val="20"/>
        </w:rPr>
        <w:t>关单位:</w:t>
      </w:r>
    </w:p>
    <w:p>
      <w:pPr>
        <w:spacing w:before="4" w:line="358" w:lineRule="auto"/>
        <w:ind w:left="2" w:right="218" w:firstLine="427"/>
        <w:jc w:val="both"/>
        <w:rPr>
          <w:rFonts w:ascii="宋体" w:hAnsi="宋体" w:eastAsia="宋体" w:cs="宋体"/>
          <w:sz w:val="20"/>
          <w:szCs w:val="20"/>
        </w:rPr>
      </w:pPr>
      <w:r>
        <w:rPr>
          <w:rFonts w:ascii="宋体" w:hAnsi="宋体" w:eastAsia="宋体" w:cs="宋体"/>
          <w:spacing w:val="11"/>
          <w:sz w:val="20"/>
          <w:szCs w:val="20"/>
        </w:rPr>
        <w:t>为落实工程造价市场化改革任务，加强计价依据动</w:t>
      </w:r>
      <w:r>
        <w:rPr>
          <w:rFonts w:ascii="宋体" w:hAnsi="宋体" w:eastAsia="宋体" w:cs="宋体"/>
          <w:spacing w:val="10"/>
          <w:sz w:val="20"/>
          <w:szCs w:val="20"/>
        </w:rPr>
        <w:t>态管理，配套支撑《建设工程工程量清单</w:t>
      </w:r>
      <w:r>
        <w:rPr>
          <w:rFonts w:ascii="宋体" w:hAnsi="宋体" w:eastAsia="宋体" w:cs="宋体"/>
          <w:spacing w:val="8"/>
          <w:sz w:val="20"/>
          <w:szCs w:val="20"/>
        </w:rPr>
        <w:t>计价标准》</w:t>
      </w:r>
      <w:r>
        <w:rPr>
          <w:rFonts w:ascii="宋体" w:hAnsi="宋体" w:eastAsia="宋体" w:cs="宋体"/>
          <w:sz w:val="20"/>
          <w:szCs w:val="20"/>
        </w:rPr>
        <w:t>GB</w:t>
      </w:r>
      <w:r>
        <w:rPr>
          <w:rFonts w:ascii="宋体" w:hAnsi="宋体" w:eastAsia="宋体" w:cs="宋体"/>
          <w:spacing w:val="8"/>
          <w:sz w:val="20"/>
          <w:szCs w:val="20"/>
        </w:rPr>
        <w:t>/T50500-2024</w:t>
      </w:r>
      <w:r>
        <w:rPr>
          <w:rFonts w:ascii="宋体" w:hAnsi="宋体" w:eastAsia="宋体" w:cs="宋体"/>
          <w:spacing w:val="-26"/>
          <w:sz w:val="20"/>
          <w:szCs w:val="20"/>
        </w:rPr>
        <w:t xml:space="preserve"> </w:t>
      </w:r>
      <w:r>
        <w:rPr>
          <w:rFonts w:ascii="宋体" w:hAnsi="宋体" w:eastAsia="宋体" w:cs="宋体"/>
          <w:spacing w:val="8"/>
          <w:sz w:val="20"/>
          <w:szCs w:val="20"/>
        </w:rPr>
        <w:t>及各专业工程量计算标准实施，现将《山东省住房和城乡建设厅关于</w:t>
      </w:r>
      <w:r>
        <w:rPr>
          <w:rFonts w:ascii="宋体" w:hAnsi="宋体" w:eastAsia="宋体" w:cs="宋体"/>
          <w:spacing w:val="11"/>
          <w:sz w:val="20"/>
          <w:szCs w:val="20"/>
        </w:rPr>
        <w:t>发布建设工程造价计价依据的通知》（鲁建标字〔2025〕7</w:t>
      </w:r>
      <w:r>
        <w:rPr>
          <w:rFonts w:ascii="宋体" w:hAnsi="宋体" w:eastAsia="宋体" w:cs="宋体"/>
          <w:spacing w:val="-34"/>
          <w:sz w:val="20"/>
          <w:szCs w:val="20"/>
        </w:rPr>
        <w:t xml:space="preserve"> </w:t>
      </w:r>
      <w:r>
        <w:rPr>
          <w:rFonts w:ascii="宋体" w:hAnsi="宋体" w:eastAsia="宋体" w:cs="宋体"/>
          <w:spacing w:val="11"/>
          <w:sz w:val="20"/>
          <w:szCs w:val="20"/>
        </w:rPr>
        <w:t>号）转发给你们，结合我市实际，提</w:t>
      </w:r>
      <w:r>
        <w:rPr>
          <w:rFonts w:ascii="宋体" w:hAnsi="宋体" w:eastAsia="宋体" w:cs="宋体"/>
          <w:spacing w:val="9"/>
          <w:sz w:val="20"/>
          <w:szCs w:val="20"/>
        </w:rPr>
        <w:t>出如下意见，请一并贯彻执行。</w:t>
      </w:r>
    </w:p>
    <w:p>
      <w:pPr>
        <w:spacing w:before="43" w:line="369" w:lineRule="auto"/>
        <w:ind w:left="3" w:right="218" w:firstLine="421"/>
        <w:jc w:val="both"/>
        <w:rPr>
          <w:rFonts w:ascii="宋体" w:hAnsi="宋体" w:eastAsia="宋体" w:cs="宋体"/>
          <w:sz w:val="20"/>
          <w:szCs w:val="20"/>
        </w:rPr>
      </w:pPr>
      <w:r>
        <w:rPr>
          <w:rFonts w:ascii="宋体" w:hAnsi="宋体" w:eastAsia="宋体" w:cs="宋体"/>
          <w:spacing w:val="9"/>
          <w:sz w:val="20"/>
          <w:szCs w:val="20"/>
        </w:rPr>
        <w:t>一是《山东省建设工程费用项目组成及计算规则》执行日期同2024</w:t>
      </w:r>
      <w:r>
        <w:rPr>
          <w:rFonts w:ascii="宋体" w:hAnsi="宋体" w:eastAsia="宋体" w:cs="宋体"/>
          <w:spacing w:val="-41"/>
          <w:sz w:val="20"/>
          <w:szCs w:val="20"/>
        </w:rPr>
        <w:t xml:space="preserve"> </w:t>
      </w:r>
      <w:r>
        <w:rPr>
          <w:rFonts w:ascii="宋体" w:hAnsi="宋体" w:eastAsia="宋体" w:cs="宋体"/>
          <w:spacing w:val="9"/>
          <w:sz w:val="20"/>
          <w:szCs w:val="20"/>
        </w:rPr>
        <w:t>版</w:t>
      </w:r>
      <w:r>
        <w:rPr>
          <w:rFonts w:ascii="宋体" w:hAnsi="宋体" w:eastAsia="宋体" w:cs="宋体"/>
          <w:spacing w:val="8"/>
          <w:sz w:val="20"/>
          <w:szCs w:val="20"/>
        </w:rPr>
        <w:t>清单计价标准。采用工</w:t>
      </w:r>
      <w:r>
        <w:rPr>
          <w:rFonts w:ascii="宋体" w:hAnsi="宋体" w:eastAsia="宋体" w:cs="宋体"/>
          <w:spacing w:val="11"/>
          <w:sz w:val="20"/>
          <w:szCs w:val="20"/>
        </w:rPr>
        <w:t>程量清单计价的建设工程，如需参照定额计算清单人工、材料、机</w:t>
      </w:r>
      <w:r>
        <w:rPr>
          <w:rFonts w:ascii="宋体" w:hAnsi="宋体" w:eastAsia="宋体" w:cs="宋体"/>
          <w:spacing w:val="10"/>
          <w:sz w:val="20"/>
          <w:szCs w:val="20"/>
        </w:rPr>
        <w:t>械台班价格，在新修编调整的</w:t>
      </w:r>
      <w:r>
        <w:rPr>
          <w:rFonts w:ascii="宋体" w:hAnsi="宋体" w:eastAsia="宋体" w:cs="宋体"/>
          <w:spacing w:val="7"/>
          <w:sz w:val="20"/>
          <w:szCs w:val="20"/>
        </w:rPr>
        <w:t>定额执行之前，可参照</w:t>
      </w:r>
      <w:r>
        <w:rPr>
          <w:rFonts w:ascii="宋体" w:hAnsi="宋体" w:eastAsia="宋体" w:cs="宋体"/>
          <w:spacing w:val="-22"/>
          <w:sz w:val="20"/>
          <w:szCs w:val="20"/>
        </w:rPr>
        <w:t xml:space="preserve"> </w:t>
      </w:r>
      <w:r>
        <w:rPr>
          <w:rFonts w:ascii="宋体" w:hAnsi="宋体" w:eastAsia="宋体" w:cs="宋体"/>
          <w:spacing w:val="7"/>
          <w:sz w:val="20"/>
          <w:szCs w:val="20"/>
        </w:rPr>
        <w:t>16</w:t>
      </w:r>
      <w:r>
        <w:rPr>
          <w:rFonts w:ascii="宋体" w:hAnsi="宋体" w:eastAsia="宋体" w:cs="宋体"/>
          <w:spacing w:val="-38"/>
          <w:sz w:val="20"/>
          <w:szCs w:val="20"/>
        </w:rPr>
        <w:t xml:space="preserve"> </w:t>
      </w:r>
      <w:r>
        <w:rPr>
          <w:rFonts w:ascii="宋体" w:hAnsi="宋体" w:eastAsia="宋体" w:cs="宋体"/>
          <w:spacing w:val="7"/>
          <w:sz w:val="20"/>
          <w:szCs w:val="20"/>
        </w:rPr>
        <w:t>版消耗量定额执行。</w:t>
      </w:r>
    </w:p>
    <w:p>
      <w:pPr>
        <w:spacing w:before="2" w:line="368" w:lineRule="auto"/>
        <w:ind w:left="4" w:right="218" w:firstLine="420"/>
        <w:rPr>
          <w:rFonts w:ascii="宋体" w:hAnsi="宋体" w:eastAsia="宋体" w:cs="宋体"/>
          <w:sz w:val="20"/>
          <w:szCs w:val="20"/>
        </w:rPr>
      </w:pPr>
      <w:r>
        <w:rPr>
          <w:rFonts w:ascii="宋体" w:hAnsi="宋体" w:eastAsia="宋体" w:cs="宋体"/>
          <w:spacing w:val="11"/>
          <w:sz w:val="20"/>
          <w:szCs w:val="20"/>
        </w:rPr>
        <w:t>二是修编调整的《山东省建筑工程消耗量定额》《山东省安装</w:t>
      </w:r>
      <w:r>
        <w:rPr>
          <w:rFonts w:ascii="宋体" w:hAnsi="宋体" w:eastAsia="宋体" w:cs="宋体"/>
          <w:spacing w:val="10"/>
          <w:sz w:val="20"/>
          <w:szCs w:val="20"/>
        </w:rPr>
        <w:t>工程消耗量定额》《山东省市</w:t>
      </w:r>
      <w:r>
        <w:rPr>
          <w:rFonts w:ascii="宋体" w:hAnsi="宋体" w:eastAsia="宋体" w:cs="宋体"/>
          <w:spacing w:val="5"/>
          <w:sz w:val="20"/>
          <w:szCs w:val="20"/>
        </w:rPr>
        <w:t>政工程消耗量定额》《山东省建筑工程消耗量定额》执行日期为</w:t>
      </w:r>
      <w:r>
        <w:rPr>
          <w:rFonts w:ascii="宋体" w:hAnsi="宋体" w:eastAsia="宋体" w:cs="宋体"/>
          <w:spacing w:val="-27"/>
          <w:sz w:val="20"/>
          <w:szCs w:val="20"/>
        </w:rPr>
        <w:t xml:space="preserve"> </w:t>
      </w:r>
      <w:r>
        <w:rPr>
          <w:rFonts w:ascii="宋体" w:hAnsi="宋体" w:eastAsia="宋体" w:cs="宋体"/>
          <w:spacing w:val="5"/>
          <w:sz w:val="20"/>
          <w:szCs w:val="20"/>
        </w:rPr>
        <w:t>2025</w:t>
      </w:r>
      <w:r>
        <w:rPr>
          <w:rFonts w:ascii="宋体" w:hAnsi="宋体" w:eastAsia="宋体" w:cs="宋体"/>
          <w:spacing w:val="-42"/>
          <w:sz w:val="20"/>
          <w:szCs w:val="20"/>
        </w:rPr>
        <w:t xml:space="preserve"> </w:t>
      </w:r>
      <w:r>
        <w:rPr>
          <w:rFonts w:ascii="宋体" w:hAnsi="宋体" w:eastAsia="宋体" w:cs="宋体"/>
          <w:spacing w:val="5"/>
          <w:sz w:val="20"/>
          <w:szCs w:val="20"/>
        </w:rPr>
        <w:t>年</w:t>
      </w:r>
      <w:r>
        <w:rPr>
          <w:rFonts w:ascii="宋体" w:hAnsi="宋体" w:eastAsia="宋体" w:cs="宋体"/>
          <w:spacing w:val="-22"/>
          <w:sz w:val="20"/>
          <w:szCs w:val="20"/>
        </w:rPr>
        <w:t xml:space="preserve"> </w:t>
      </w:r>
      <w:r>
        <w:rPr>
          <w:rFonts w:ascii="宋体" w:hAnsi="宋体" w:eastAsia="宋体" w:cs="宋体"/>
          <w:spacing w:val="5"/>
          <w:sz w:val="20"/>
          <w:szCs w:val="20"/>
        </w:rPr>
        <w:t>11</w:t>
      </w:r>
      <w:r>
        <w:rPr>
          <w:rFonts w:ascii="宋体" w:hAnsi="宋体" w:eastAsia="宋体" w:cs="宋体"/>
          <w:spacing w:val="-38"/>
          <w:sz w:val="20"/>
          <w:szCs w:val="20"/>
        </w:rPr>
        <w:t xml:space="preserve"> </w:t>
      </w:r>
      <w:r>
        <w:rPr>
          <w:rFonts w:ascii="宋体" w:hAnsi="宋体" w:eastAsia="宋体" w:cs="宋体"/>
          <w:spacing w:val="5"/>
          <w:sz w:val="20"/>
          <w:szCs w:val="20"/>
        </w:rPr>
        <w:t>月</w:t>
      </w:r>
      <w:r>
        <w:rPr>
          <w:rFonts w:ascii="宋体" w:hAnsi="宋体" w:eastAsia="宋体" w:cs="宋体"/>
          <w:spacing w:val="-24"/>
          <w:sz w:val="20"/>
          <w:szCs w:val="20"/>
        </w:rPr>
        <w:t xml:space="preserve"> </w:t>
      </w:r>
      <w:r>
        <w:rPr>
          <w:rFonts w:ascii="宋体" w:hAnsi="宋体" w:eastAsia="宋体" w:cs="宋体"/>
          <w:spacing w:val="5"/>
          <w:sz w:val="20"/>
          <w:szCs w:val="20"/>
        </w:rPr>
        <w:t>1 日。</w:t>
      </w:r>
    </w:p>
    <w:p>
      <w:pPr>
        <w:spacing w:before="4" w:line="360" w:lineRule="auto"/>
        <w:ind w:right="218" w:firstLine="427"/>
        <w:jc w:val="both"/>
        <w:rPr>
          <w:rFonts w:ascii="宋体" w:hAnsi="宋体" w:eastAsia="宋体" w:cs="宋体"/>
          <w:sz w:val="20"/>
          <w:szCs w:val="20"/>
        </w:rPr>
      </w:pPr>
      <w:r>
        <w:rPr>
          <w:rFonts w:ascii="宋体" w:hAnsi="宋体" w:eastAsia="宋体" w:cs="宋体"/>
          <w:spacing w:val="5"/>
          <w:sz w:val="20"/>
          <w:szCs w:val="20"/>
        </w:rPr>
        <w:t>三是自</w:t>
      </w:r>
      <w:r>
        <w:rPr>
          <w:rFonts w:ascii="宋体" w:hAnsi="宋体" w:eastAsia="宋体" w:cs="宋体"/>
          <w:spacing w:val="-39"/>
          <w:sz w:val="20"/>
          <w:szCs w:val="20"/>
        </w:rPr>
        <w:t xml:space="preserve"> </w:t>
      </w:r>
      <w:r>
        <w:rPr>
          <w:rFonts w:ascii="宋体" w:hAnsi="宋体" w:eastAsia="宋体" w:cs="宋体"/>
          <w:spacing w:val="5"/>
          <w:sz w:val="20"/>
          <w:szCs w:val="20"/>
        </w:rPr>
        <w:t>2025</w:t>
      </w:r>
      <w:r>
        <w:rPr>
          <w:rFonts w:ascii="宋体" w:hAnsi="宋体" w:eastAsia="宋体" w:cs="宋体"/>
          <w:spacing w:val="-39"/>
          <w:sz w:val="20"/>
          <w:szCs w:val="20"/>
        </w:rPr>
        <w:t xml:space="preserve"> </w:t>
      </w:r>
      <w:r>
        <w:rPr>
          <w:rFonts w:ascii="宋体" w:hAnsi="宋体" w:eastAsia="宋体" w:cs="宋体"/>
          <w:spacing w:val="5"/>
          <w:sz w:val="20"/>
          <w:szCs w:val="20"/>
        </w:rPr>
        <w:t>年</w:t>
      </w:r>
      <w:r>
        <w:rPr>
          <w:rFonts w:ascii="宋体" w:hAnsi="宋体" w:eastAsia="宋体" w:cs="宋体"/>
          <w:spacing w:val="-39"/>
          <w:sz w:val="20"/>
          <w:szCs w:val="20"/>
        </w:rPr>
        <w:t xml:space="preserve"> </w:t>
      </w:r>
      <w:r>
        <w:rPr>
          <w:rFonts w:ascii="宋体" w:hAnsi="宋体" w:eastAsia="宋体" w:cs="宋体"/>
          <w:spacing w:val="5"/>
          <w:sz w:val="20"/>
          <w:szCs w:val="20"/>
        </w:rPr>
        <w:t>9</w:t>
      </w:r>
      <w:r>
        <w:rPr>
          <w:rFonts w:ascii="宋体" w:hAnsi="宋体" w:eastAsia="宋体" w:cs="宋体"/>
          <w:spacing w:val="-40"/>
          <w:sz w:val="20"/>
          <w:szCs w:val="20"/>
        </w:rPr>
        <w:t xml:space="preserve"> </w:t>
      </w:r>
      <w:r>
        <w:rPr>
          <w:rFonts w:ascii="宋体" w:hAnsi="宋体" w:eastAsia="宋体" w:cs="宋体"/>
          <w:spacing w:val="5"/>
          <w:sz w:val="20"/>
          <w:szCs w:val="20"/>
        </w:rPr>
        <w:t>月</w:t>
      </w:r>
      <w:r>
        <w:rPr>
          <w:rFonts w:ascii="宋体" w:hAnsi="宋体" w:eastAsia="宋体" w:cs="宋体"/>
          <w:spacing w:val="-25"/>
          <w:sz w:val="20"/>
          <w:szCs w:val="20"/>
        </w:rPr>
        <w:t xml:space="preserve"> </w:t>
      </w:r>
      <w:r>
        <w:rPr>
          <w:rFonts w:ascii="宋体" w:hAnsi="宋体" w:eastAsia="宋体" w:cs="宋体"/>
          <w:spacing w:val="5"/>
          <w:sz w:val="20"/>
          <w:szCs w:val="20"/>
        </w:rPr>
        <w:t>1 日起，《淄博市住房和城乡建设局关于印发淄博市</w:t>
      </w:r>
      <w:r>
        <w:rPr>
          <w:rFonts w:ascii="宋体" w:hAnsi="宋体" w:eastAsia="宋体" w:cs="宋体"/>
          <w:spacing w:val="4"/>
          <w:sz w:val="20"/>
          <w:szCs w:val="20"/>
        </w:rPr>
        <w:t>建筑工程招标控制价</w:t>
      </w:r>
      <w:r>
        <w:rPr>
          <w:rFonts w:ascii="宋体" w:hAnsi="宋体" w:eastAsia="宋体" w:cs="宋体"/>
          <w:spacing w:val="12"/>
          <w:sz w:val="20"/>
          <w:szCs w:val="20"/>
        </w:rPr>
        <w:t>备案管理办法的通知》（淄建发〔2020〕205号）、《淄博市住房和城乡建设局关于发布淄博市</w:t>
      </w:r>
      <w:r>
        <w:rPr>
          <w:rFonts w:ascii="宋体" w:hAnsi="宋体" w:eastAsia="宋体" w:cs="宋体"/>
          <w:spacing w:val="10"/>
          <w:sz w:val="20"/>
          <w:szCs w:val="20"/>
        </w:rPr>
        <w:t>建设工程规费计取标准的通知》（淄建发〔2022〕11号）、《淄博市住房和城乡建设局关于印发</w:t>
      </w:r>
      <w:r>
        <w:rPr>
          <w:rFonts w:ascii="宋体" w:hAnsi="宋体" w:eastAsia="宋体" w:cs="宋体"/>
          <w:spacing w:val="9"/>
          <w:sz w:val="20"/>
          <w:szCs w:val="20"/>
        </w:rPr>
        <w:t>〈淄博市建设工程计价办法（2024）</w:t>
      </w:r>
      <w:r>
        <w:rPr>
          <w:rFonts w:ascii="宋体" w:hAnsi="宋体" w:eastAsia="宋体" w:cs="宋体"/>
          <w:spacing w:val="-22"/>
          <w:sz w:val="20"/>
          <w:szCs w:val="20"/>
        </w:rPr>
        <w:t xml:space="preserve"> </w:t>
      </w:r>
      <w:r>
        <w:rPr>
          <w:rFonts w:ascii="宋体" w:hAnsi="宋体" w:eastAsia="宋体" w:cs="宋体"/>
          <w:spacing w:val="9"/>
          <w:sz w:val="20"/>
          <w:szCs w:val="20"/>
        </w:rPr>
        <w:t>〉的通知》（淄建发〔2025〕5</w:t>
      </w:r>
      <w:r>
        <w:rPr>
          <w:rFonts w:ascii="宋体" w:hAnsi="宋体" w:eastAsia="宋体" w:cs="宋体"/>
          <w:spacing w:val="-40"/>
          <w:sz w:val="20"/>
          <w:szCs w:val="20"/>
        </w:rPr>
        <w:t xml:space="preserve"> </w:t>
      </w:r>
      <w:r>
        <w:rPr>
          <w:rFonts w:ascii="宋体" w:hAnsi="宋体" w:eastAsia="宋体" w:cs="宋体"/>
          <w:spacing w:val="9"/>
          <w:sz w:val="20"/>
          <w:szCs w:val="20"/>
        </w:rPr>
        <w:t>号）已停止使用。本通知发布之日前已签订合同的工程仍按原合同及有关规定执行。</w:t>
      </w:r>
    </w:p>
    <w:p>
      <w:pPr>
        <w:spacing w:line="242" w:lineRule="auto"/>
        <w:rPr>
          <w:rFonts w:ascii="Arial"/>
          <w:sz w:val="21"/>
        </w:rPr>
      </w:pPr>
    </w:p>
    <w:p>
      <w:pPr>
        <w:spacing w:before="66" w:line="387" w:lineRule="auto"/>
        <w:ind w:left="5" w:right="150" w:firstLine="431"/>
        <w:rPr>
          <w:rFonts w:ascii="宋体" w:hAnsi="宋体" w:eastAsia="宋体" w:cs="宋体"/>
          <w:sz w:val="20"/>
          <w:szCs w:val="20"/>
        </w:rPr>
      </w:pPr>
      <w:r>
        <w:rPr>
          <w:rFonts w:ascii="宋体" w:hAnsi="宋体" w:eastAsia="宋体" w:cs="宋体"/>
          <w:spacing w:val="9"/>
          <w:sz w:val="20"/>
          <w:szCs w:val="20"/>
        </w:rPr>
        <w:t>附件：</w:t>
      </w:r>
      <w:r>
        <w:fldChar w:fldCharType="begin"/>
      </w:r>
      <w:r>
        <w:instrText xml:space="preserve"> HYPERLINK "http://zjt.shandong.gov.cn/art/2025/9/1/art_119936_10348987.html" </w:instrText>
      </w:r>
      <w:r>
        <w:fldChar w:fldCharType="separate"/>
      </w:r>
      <w:r>
        <w:rPr>
          <w:rFonts w:ascii="宋体" w:hAnsi="宋体" w:eastAsia="宋体" w:cs="宋体"/>
          <w:spacing w:val="9"/>
          <w:sz w:val="20"/>
          <w:szCs w:val="20"/>
        </w:rPr>
        <w:t>山东省住房和城乡建设厅关于发布建设工程造价计价依据的通知（鲁建标字〔20</w:t>
      </w:r>
      <w:r>
        <w:rPr>
          <w:rFonts w:ascii="宋体" w:hAnsi="宋体" w:eastAsia="宋体" w:cs="宋体"/>
          <w:spacing w:val="8"/>
          <w:sz w:val="20"/>
          <w:szCs w:val="20"/>
        </w:rPr>
        <w:t>25〕7</w:t>
      </w:r>
      <w:r>
        <w:rPr>
          <w:rFonts w:ascii="宋体" w:hAnsi="宋体" w:eastAsia="宋体" w:cs="宋体"/>
          <w:spacing w:val="8"/>
          <w:sz w:val="20"/>
          <w:szCs w:val="20"/>
        </w:rPr>
        <w:fldChar w:fldCharType="end"/>
      </w:r>
      <w:r>
        <w:fldChar w:fldCharType="begin"/>
      </w:r>
      <w:r>
        <w:instrText xml:space="preserve"> HYPERLINK "http://zjt.shandong.gov.cn/art/2025/9/1/art_119936_10348987.html" </w:instrText>
      </w:r>
      <w:r>
        <w:fldChar w:fldCharType="separate"/>
      </w:r>
      <w:r>
        <w:rPr>
          <w:rFonts w:ascii="宋体" w:hAnsi="宋体" w:eastAsia="宋体" w:cs="宋体"/>
          <w:spacing w:val="28"/>
          <w:sz w:val="20"/>
          <w:szCs w:val="20"/>
        </w:rPr>
        <w:t>号</w:t>
      </w:r>
      <w:r>
        <w:rPr>
          <w:rFonts w:ascii="宋体" w:hAnsi="宋体" w:eastAsia="宋体" w:cs="宋体"/>
          <w:spacing w:val="-19"/>
          <w:sz w:val="20"/>
          <w:szCs w:val="20"/>
        </w:rPr>
        <w:t>）</w:t>
      </w:r>
      <w:r>
        <w:rPr>
          <w:rFonts w:ascii="宋体" w:hAnsi="宋体" w:eastAsia="宋体" w:cs="宋体"/>
          <w:spacing w:val="-19"/>
          <w:sz w:val="20"/>
          <w:szCs w:val="20"/>
        </w:rPr>
        <w:fldChar w:fldCharType="end"/>
      </w:r>
      <w:r>
        <w:rPr>
          <w:rFonts w:ascii="宋体" w:hAnsi="宋体" w:eastAsia="宋体" w:cs="宋体"/>
          <w:spacing w:val="-19"/>
          <w:sz w:val="20"/>
          <w:szCs w:val="20"/>
        </w:rPr>
        <w:t>（</w:t>
      </w:r>
      <w:r>
        <w:rPr>
          <w:rFonts w:ascii="宋体" w:hAnsi="宋体" w:eastAsia="宋体" w:cs="宋体"/>
          <w:spacing w:val="28"/>
          <w:sz w:val="20"/>
          <w:szCs w:val="20"/>
        </w:rPr>
        <w:t>略）</w:t>
      </w:r>
    </w:p>
    <w:p>
      <w:pPr>
        <w:spacing w:line="436" w:lineRule="auto"/>
        <w:rPr>
          <w:rFonts w:ascii="Arial"/>
          <w:sz w:val="21"/>
        </w:rPr>
      </w:pPr>
    </w:p>
    <w:p>
      <w:pPr>
        <w:spacing w:before="65" w:line="222" w:lineRule="auto"/>
        <w:jc w:val="right"/>
        <w:rPr>
          <w:rFonts w:ascii="宋体" w:hAnsi="宋体" w:eastAsia="宋体" w:cs="宋体"/>
          <w:sz w:val="20"/>
          <w:szCs w:val="20"/>
        </w:rPr>
      </w:pPr>
      <w:r>
        <w:rPr>
          <w:rFonts w:ascii="宋体" w:hAnsi="宋体" w:eastAsia="宋体" w:cs="宋体"/>
          <w:spacing w:val="8"/>
          <w:sz w:val="20"/>
          <w:szCs w:val="20"/>
        </w:rPr>
        <w:t>淄博市住房和城乡建设局</w:t>
      </w:r>
    </w:p>
    <w:p>
      <w:pPr>
        <w:spacing w:before="155" w:line="278" w:lineRule="exact"/>
        <w:jc w:val="right"/>
        <w:rPr>
          <w:rFonts w:ascii="宋体" w:hAnsi="宋体" w:eastAsia="宋体" w:cs="宋体"/>
          <w:sz w:val="20"/>
          <w:szCs w:val="20"/>
        </w:rPr>
      </w:pPr>
      <w:r>
        <w:rPr>
          <w:rFonts w:ascii="宋体" w:hAnsi="宋体" w:eastAsia="宋体" w:cs="宋体"/>
          <w:spacing w:val="-5"/>
          <w:position w:val="1"/>
          <w:sz w:val="20"/>
          <w:szCs w:val="20"/>
        </w:rPr>
        <w:t>2025</w:t>
      </w:r>
      <w:r>
        <w:rPr>
          <w:rFonts w:ascii="宋体" w:hAnsi="宋体" w:eastAsia="宋体" w:cs="宋体"/>
          <w:spacing w:val="-30"/>
          <w:position w:val="1"/>
          <w:sz w:val="20"/>
          <w:szCs w:val="20"/>
        </w:rPr>
        <w:t xml:space="preserve"> </w:t>
      </w:r>
      <w:r>
        <w:rPr>
          <w:rFonts w:ascii="宋体" w:hAnsi="宋体" w:eastAsia="宋体" w:cs="宋体"/>
          <w:spacing w:val="-5"/>
          <w:position w:val="1"/>
          <w:sz w:val="20"/>
          <w:szCs w:val="20"/>
        </w:rPr>
        <w:t>年</w:t>
      </w:r>
      <w:r>
        <w:rPr>
          <w:rFonts w:ascii="宋体" w:hAnsi="宋体" w:eastAsia="宋体" w:cs="宋体"/>
          <w:spacing w:val="-42"/>
          <w:position w:val="1"/>
          <w:sz w:val="20"/>
          <w:szCs w:val="20"/>
        </w:rPr>
        <w:t xml:space="preserve"> </w:t>
      </w:r>
      <w:r>
        <w:rPr>
          <w:rFonts w:ascii="宋体" w:hAnsi="宋体" w:eastAsia="宋体" w:cs="宋体"/>
          <w:spacing w:val="-5"/>
          <w:position w:val="1"/>
          <w:sz w:val="20"/>
          <w:szCs w:val="20"/>
        </w:rPr>
        <w:t>9</w:t>
      </w:r>
      <w:r>
        <w:rPr>
          <w:rFonts w:ascii="宋体" w:hAnsi="宋体" w:eastAsia="宋体" w:cs="宋体"/>
          <w:spacing w:val="-38"/>
          <w:position w:val="1"/>
          <w:sz w:val="20"/>
          <w:szCs w:val="20"/>
        </w:rPr>
        <w:t xml:space="preserve"> </w:t>
      </w:r>
      <w:r>
        <w:rPr>
          <w:rFonts w:ascii="宋体" w:hAnsi="宋体" w:eastAsia="宋体" w:cs="宋体"/>
          <w:spacing w:val="-5"/>
          <w:position w:val="1"/>
          <w:sz w:val="20"/>
          <w:szCs w:val="20"/>
        </w:rPr>
        <w:t>月</w:t>
      </w:r>
      <w:r>
        <w:rPr>
          <w:rFonts w:ascii="宋体" w:hAnsi="宋体" w:eastAsia="宋体" w:cs="宋体"/>
          <w:spacing w:val="-24"/>
          <w:position w:val="1"/>
          <w:sz w:val="20"/>
          <w:szCs w:val="20"/>
        </w:rPr>
        <w:t xml:space="preserve"> </w:t>
      </w:r>
      <w:r>
        <w:rPr>
          <w:rFonts w:ascii="宋体" w:hAnsi="宋体" w:eastAsia="宋体" w:cs="宋体"/>
          <w:spacing w:val="-5"/>
          <w:position w:val="1"/>
          <w:sz w:val="20"/>
          <w:szCs w:val="20"/>
        </w:rPr>
        <w:t>15 日</w:t>
      </w:r>
    </w:p>
    <w:p>
      <w:pPr>
        <w:spacing w:line="278" w:lineRule="exact"/>
        <w:rPr>
          <w:rFonts w:ascii="宋体" w:hAnsi="宋体" w:eastAsia="宋体" w:cs="宋体"/>
          <w:sz w:val="20"/>
          <w:szCs w:val="20"/>
        </w:rPr>
        <w:sectPr>
          <w:footerReference r:id="rId324" w:type="default"/>
          <w:pgSz w:w="11906" w:h="16839"/>
          <w:pgMar w:top="400" w:right="1417" w:bottom="1185" w:left="1416" w:header="0" w:footer="870" w:gutter="0"/>
        </w:sect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tabs>
          <w:tab w:val="left" w:pos="3112"/>
        </w:tabs>
        <w:spacing w:before="135" w:line="295" w:lineRule="auto"/>
        <w:ind w:left="1479" w:right="1387" w:firstLine="88"/>
        <w:outlineLvl w:val="0"/>
        <w:rPr>
          <w:rFonts w:ascii="KaiTi_GB2312" w:hAnsi="KaiTi_GB2312" w:eastAsia="KaiTi_GB2312" w:cs="KaiTi_GB2312"/>
          <w:sz w:val="28"/>
          <w:szCs w:val="28"/>
        </w:rPr>
      </w:pPr>
      <w:bookmarkStart w:id="245" w:name="bookmark133"/>
      <w:bookmarkEnd w:id="245"/>
      <w:r>
        <w:rPr>
          <w:rFonts w:ascii="方正小标宋简体" w:hAnsi="方正小标宋简体" w:eastAsia="方正小标宋简体" w:cs="方正小标宋简体"/>
          <w:spacing w:val="16"/>
          <w:sz w:val="35"/>
          <w:szCs w:val="35"/>
        </w:rPr>
        <w:t>关于公布 2025 年淄博市“技能兴淄”</w:t>
      </w:r>
      <w:bookmarkStart w:id="246" w:name="bookmark133"/>
      <w:bookmarkEnd w:id="246"/>
      <w:r>
        <w:rPr>
          <w:rFonts w:ascii="方正小标宋简体" w:hAnsi="方正小标宋简体" w:eastAsia="方正小标宋简体" w:cs="方正小标宋简体"/>
          <w:spacing w:val="9"/>
          <w:sz w:val="35"/>
          <w:szCs w:val="35"/>
        </w:rPr>
        <w:t>住建行业职业技能竞赛获奖名单的通知</w:t>
      </w:r>
      <w:bookmarkStart w:id="247" w:name="bookmark133"/>
      <w:bookmarkEnd w:id="247"/>
      <w:r>
        <w:rPr>
          <w:rFonts w:ascii="KaiTi_GB2312" w:hAnsi="KaiTi_GB2312" w:eastAsia="KaiTi_GB2312" w:cs="KaiTi_GB2312"/>
          <w:sz w:val="28"/>
          <w:szCs w:val="28"/>
        </w:rPr>
        <w:tab/>
      </w:r>
      <w:r>
        <w:rPr>
          <w:rFonts w:ascii="KaiTi_GB2312" w:hAnsi="KaiTi_GB2312" w:eastAsia="KaiTi_GB2312" w:cs="KaiTi_GB2312"/>
          <w:sz w:val="28"/>
          <w:szCs w:val="28"/>
        </w:rPr>
        <w:t>淄建函发〔2025〕40</w:t>
      </w:r>
      <w:r>
        <w:rPr>
          <w:rFonts w:ascii="KaiTi_GB2312" w:hAnsi="KaiTi_GB2312" w:eastAsia="KaiTi_GB2312" w:cs="KaiTi_GB2312"/>
          <w:spacing w:val="-54"/>
          <w:sz w:val="28"/>
          <w:szCs w:val="28"/>
        </w:rPr>
        <w:t xml:space="preserve"> </w:t>
      </w:r>
      <w:r>
        <w:rPr>
          <w:rFonts w:ascii="KaiTi_GB2312" w:hAnsi="KaiTi_GB2312" w:eastAsia="KaiTi_GB2312" w:cs="KaiTi_GB2312"/>
          <w:sz w:val="28"/>
          <w:szCs w:val="28"/>
        </w:rPr>
        <w:t>号</w:t>
      </w:r>
    </w:p>
    <w:p>
      <w:pPr>
        <w:spacing w:line="417" w:lineRule="auto"/>
        <w:rPr>
          <w:rFonts w:ascii="Arial"/>
          <w:sz w:val="21"/>
        </w:rPr>
      </w:pPr>
    </w:p>
    <w:p>
      <w:pPr>
        <w:spacing w:before="65" w:line="368" w:lineRule="auto"/>
        <w:ind w:right="215" w:firstLine="1"/>
        <w:jc w:val="both"/>
        <w:rPr>
          <w:rFonts w:ascii="宋体" w:hAnsi="宋体" w:eastAsia="宋体" w:cs="宋体"/>
          <w:sz w:val="20"/>
          <w:szCs w:val="20"/>
        </w:rPr>
      </w:pPr>
      <w:r>
        <w:rPr>
          <w:rFonts w:ascii="宋体" w:hAnsi="宋体" w:eastAsia="宋体" w:cs="宋体"/>
          <w:spacing w:val="11"/>
          <w:sz w:val="20"/>
          <w:szCs w:val="20"/>
        </w:rPr>
        <w:t>各区县住房和城乡建设局，高新区、经济开发区建设局，文昌湖</w:t>
      </w:r>
      <w:r>
        <w:rPr>
          <w:rFonts w:ascii="宋体" w:hAnsi="宋体" w:eastAsia="宋体" w:cs="宋体"/>
          <w:spacing w:val="10"/>
          <w:sz w:val="20"/>
          <w:szCs w:val="20"/>
        </w:rPr>
        <w:t>省级旅游度假区城乡建设局，各</w:t>
      </w:r>
      <w:r>
        <w:rPr>
          <w:rFonts w:ascii="宋体" w:hAnsi="宋体" w:eastAsia="宋体" w:cs="宋体"/>
          <w:spacing w:val="11"/>
          <w:sz w:val="20"/>
          <w:szCs w:val="20"/>
        </w:rPr>
        <w:t>区县总工会，各区县、经开区、文昌湖区人力资源和社会保障局，</w:t>
      </w:r>
      <w:r>
        <w:rPr>
          <w:rFonts w:ascii="宋体" w:hAnsi="宋体" w:eastAsia="宋体" w:cs="宋体"/>
          <w:spacing w:val="10"/>
          <w:sz w:val="20"/>
          <w:szCs w:val="20"/>
        </w:rPr>
        <w:t>高新区社会发展保障局，各有</w:t>
      </w:r>
      <w:r>
        <w:rPr>
          <w:rFonts w:ascii="宋体" w:hAnsi="宋体" w:eastAsia="宋体" w:cs="宋体"/>
          <w:spacing w:val="6"/>
          <w:sz w:val="20"/>
          <w:szCs w:val="20"/>
        </w:rPr>
        <w:t>关单位：</w:t>
      </w:r>
    </w:p>
    <w:p>
      <w:pPr>
        <w:spacing w:line="356" w:lineRule="auto"/>
        <w:ind w:left="1" w:right="215" w:firstLine="421"/>
        <w:jc w:val="both"/>
        <w:rPr>
          <w:rFonts w:ascii="宋体" w:hAnsi="宋体" w:eastAsia="宋体" w:cs="宋体"/>
          <w:sz w:val="20"/>
          <w:szCs w:val="20"/>
        </w:rPr>
      </w:pPr>
      <w:r>
        <w:rPr>
          <w:rFonts w:ascii="宋体" w:hAnsi="宋体" w:eastAsia="宋体" w:cs="宋体"/>
          <w:spacing w:val="9"/>
          <w:sz w:val="20"/>
          <w:szCs w:val="20"/>
        </w:rPr>
        <w:t>2025</w:t>
      </w:r>
      <w:r>
        <w:rPr>
          <w:rFonts w:ascii="宋体" w:hAnsi="宋体" w:eastAsia="宋体" w:cs="宋体"/>
          <w:spacing w:val="-39"/>
          <w:sz w:val="20"/>
          <w:szCs w:val="20"/>
        </w:rPr>
        <w:t xml:space="preserve"> </w:t>
      </w:r>
      <w:r>
        <w:rPr>
          <w:rFonts w:ascii="宋体" w:hAnsi="宋体" w:eastAsia="宋体" w:cs="宋体"/>
          <w:spacing w:val="9"/>
          <w:sz w:val="20"/>
          <w:szCs w:val="20"/>
        </w:rPr>
        <w:t>年淄博市“技能兴淄”住建行业职业技能竞赛—镶贴</w:t>
      </w:r>
      <w:r>
        <w:rPr>
          <w:rFonts w:ascii="宋体" w:hAnsi="宋体" w:eastAsia="宋体" w:cs="宋体"/>
          <w:spacing w:val="8"/>
          <w:sz w:val="20"/>
          <w:szCs w:val="20"/>
        </w:rPr>
        <w:t>工和焊工职业技能竞赛、数字工程造价应用技能竞赛、电工技能竞赛已圆满结束。</w:t>
      </w:r>
      <w:r>
        <w:rPr>
          <w:rFonts w:ascii="宋体" w:hAnsi="宋体" w:eastAsia="宋体" w:cs="宋体"/>
          <w:spacing w:val="7"/>
          <w:sz w:val="20"/>
          <w:szCs w:val="20"/>
        </w:rPr>
        <w:t>经竞赛组委会评审，现将</w:t>
      </w:r>
      <w:r>
        <w:rPr>
          <w:rFonts w:ascii="宋体" w:hAnsi="宋体" w:eastAsia="宋体" w:cs="宋体"/>
          <w:spacing w:val="-40"/>
          <w:sz w:val="20"/>
          <w:szCs w:val="20"/>
        </w:rPr>
        <w:t xml:space="preserve"> </w:t>
      </w:r>
      <w:r>
        <w:rPr>
          <w:rFonts w:ascii="宋体" w:hAnsi="宋体" w:eastAsia="宋体" w:cs="宋体"/>
          <w:spacing w:val="7"/>
          <w:sz w:val="20"/>
          <w:szCs w:val="20"/>
        </w:rPr>
        <w:t>2025</w:t>
      </w:r>
      <w:r>
        <w:rPr>
          <w:rFonts w:ascii="宋体" w:hAnsi="宋体" w:eastAsia="宋体" w:cs="宋体"/>
          <w:spacing w:val="-41"/>
          <w:sz w:val="20"/>
          <w:szCs w:val="20"/>
        </w:rPr>
        <w:t xml:space="preserve"> </w:t>
      </w:r>
      <w:r>
        <w:rPr>
          <w:rFonts w:ascii="宋体" w:hAnsi="宋体" w:eastAsia="宋体" w:cs="宋体"/>
          <w:spacing w:val="7"/>
          <w:sz w:val="20"/>
          <w:szCs w:val="20"/>
        </w:rPr>
        <w:t>年淄博市“技能兴</w:t>
      </w:r>
      <w:r>
        <w:rPr>
          <w:rFonts w:ascii="宋体" w:hAnsi="宋体" w:eastAsia="宋体" w:cs="宋体"/>
          <w:spacing w:val="9"/>
          <w:sz w:val="20"/>
          <w:szCs w:val="20"/>
        </w:rPr>
        <w:t>淄”住建行业职业技能竞赛获奖名单公布如下。</w:t>
      </w:r>
    </w:p>
    <w:p>
      <w:pPr>
        <w:spacing w:before="46" w:line="386" w:lineRule="auto"/>
        <w:ind w:right="152" w:firstLine="423"/>
        <w:jc w:val="both"/>
        <w:rPr>
          <w:rFonts w:ascii="宋体" w:hAnsi="宋体" w:eastAsia="宋体" w:cs="宋体"/>
          <w:sz w:val="20"/>
          <w:szCs w:val="20"/>
        </w:rPr>
      </w:pPr>
      <w:r>
        <w:rPr>
          <w:rFonts w:ascii="宋体" w:hAnsi="宋体" w:eastAsia="宋体" w:cs="宋体"/>
          <w:spacing w:val="11"/>
          <w:sz w:val="20"/>
          <w:szCs w:val="20"/>
        </w:rPr>
        <w:t>希望获奖单位和个人珍惜荣誉、再接再厉，充分发挥示范表</w:t>
      </w:r>
      <w:r>
        <w:rPr>
          <w:rFonts w:ascii="宋体" w:hAnsi="宋体" w:eastAsia="宋体" w:cs="宋体"/>
          <w:spacing w:val="10"/>
          <w:sz w:val="20"/>
          <w:szCs w:val="20"/>
        </w:rPr>
        <w:t>率作用，引领带动更多的住建领</w:t>
      </w:r>
      <w:r>
        <w:rPr>
          <w:rFonts w:ascii="宋体" w:hAnsi="宋体" w:eastAsia="宋体" w:cs="宋体"/>
          <w:spacing w:val="11"/>
          <w:sz w:val="20"/>
          <w:szCs w:val="20"/>
        </w:rPr>
        <w:t>域专业技术人员钻研技术、锤炼技能。全市住房城乡建设从业人员</w:t>
      </w:r>
      <w:r>
        <w:rPr>
          <w:rFonts w:ascii="宋体" w:hAnsi="宋体" w:eastAsia="宋体" w:cs="宋体"/>
          <w:spacing w:val="10"/>
          <w:sz w:val="20"/>
          <w:szCs w:val="20"/>
        </w:rPr>
        <w:t>要以获奖选手为榜样，爱岗敬</w:t>
      </w:r>
      <w:r>
        <w:rPr>
          <w:rFonts w:ascii="宋体" w:hAnsi="宋体" w:eastAsia="宋体" w:cs="宋体"/>
          <w:spacing w:val="7"/>
          <w:sz w:val="20"/>
          <w:szCs w:val="20"/>
        </w:rPr>
        <w:t>业、甘于奉献、精益求精、追求卓越，不断提升技能水平，为我市住建事业高质量发展贡献力量！</w:t>
      </w:r>
    </w:p>
    <w:p>
      <w:pPr>
        <w:spacing w:line="275" w:lineRule="auto"/>
        <w:rPr>
          <w:rFonts w:ascii="Arial"/>
          <w:sz w:val="21"/>
        </w:rPr>
      </w:pPr>
    </w:p>
    <w:p>
      <w:pPr>
        <w:spacing w:before="65" w:line="277" w:lineRule="exact"/>
        <w:ind w:left="434"/>
        <w:rPr>
          <w:rFonts w:ascii="宋体" w:hAnsi="宋体" w:eastAsia="宋体" w:cs="宋体"/>
          <w:sz w:val="20"/>
          <w:szCs w:val="20"/>
        </w:rPr>
      </w:pPr>
      <w:r>
        <w:rPr>
          <w:rFonts w:ascii="宋体" w:hAnsi="宋体" w:eastAsia="宋体" w:cs="宋体"/>
          <w:spacing w:val="6"/>
          <w:position w:val="1"/>
          <w:sz w:val="20"/>
          <w:szCs w:val="20"/>
        </w:rPr>
        <w:t>附件：1.2025</w:t>
      </w:r>
      <w:r>
        <w:rPr>
          <w:rFonts w:ascii="宋体" w:hAnsi="宋体" w:eastAsia="宋体" w:cs="宋体"/>
          <w:spacing w:val="-40"/>
          <w:position w:val="1"/>
          <w:sz w:val="20"/>
          <w:szCs w:val="20"/>
        </w:rPr>
        <w:t xml:space="preserve"> </w:t>
      </w:r>
      <w:r>
        <w:rPr>
          <w:rFonts w:ascii="宋体" w:hAnsi="宋体" w:eastAsia="宋体" w:cs="宋体"/>
          <w:spacing w:val="6"/>
          <w:position w:val="1"/>
          <w:sz w:val="20"/>
          <w:szCs w:val="20"/>
        </w:rPr>
        <w:t>年淄博市“技能兴淄”住建行业职业技能竞赛</w:t>
      </w:r>
    </w:p>
    <w:p>
      <w:pPr>
        <w:spacing w:before="124" w:line="277" w:lineRule="exact"/>
        <w:ind w:left="1048"/>
        <w:rPr>
          <w:rFonts w:ascii="宋体" w:hAnsi="宋体" w:eastAsia="宋体" w:cs="宋体"/>
          <w:sz w:val="20"/>
          <w:szCs w:val="20"/>
        </w:rPr>
      </w:pPr>
      <w:r>
        <w:rPr>
          <w:rFonts w:ascii="宋体" w:hAnsi="宋体" w:eastAsia="宋体" w:cs="宋体"/>
          <w:spacing w:val="10"/>
          <w:position w:val="1"/>
          <w:sz w:val="20"/>
          <w:szCs w:val="20"/>
        </w:rPr>
        <w:t>——镶贴工和焊工技能竞赛获奖名单（略）</w:t>
      </w:r>
    </w:p>
    <w:p>
      <w:pPr>
        <w:spacing w:before="121" w:line="297" w:lineRule="auto"/>
        <w:ind w:left="1048" w:right="3196" w:firstLine="5"/>
        <w:rPr>
          <w:rFonts w:ascii="宋体" w:hAnsi="宋体" w:eastAsia="宋体" w:cs="宋体"/>
          <w:sz w:val="20"/>
          <w:szCs w:val="20"/>
        </w:rPr>
      </w:pPr>
      <w:r>
        <w:rPr>
          <w:rFonts w:ascii="宋体" w:hAnsi="宋体" w:eastAsia="宋体" w:cs="宋体"/>
          <w:spacing w:val="6"/>
          <w:sz w:val="20"/>
          <w:szCs w:val="20"/>
        </w:rPr>
        <w:t>2.2025</w:t>
      </w:r>
      <w:r>
        <w:rPr>
          <w:rFonts w:ascii="宋体" w:hAnsi="宋体" w:eastAsia="宋体" w:cs="宋体"/>
          <w:spacing w:val="-41"/>
          <w:sz w:val="20"/>
          <w:szCs w:val="20"/>
        </w:rPr>
        <w:t xml:space="preserve"> </w:t>
      </w:r>
      <w:r>
        <w:rPr>
          <w:rFonts w:ascii="宋体" w:hAnsi="宋体" w:eastAsia="宋体" w:cs="宋体"/>
          <w:spacing w:val="6"/>
          <w:sz w:val="20"/>
          <w:szCs w:val="20"/>
        </w:rPr>
        <w:t>年淄博市“技能兴淄”住建行业职业技能竞赛</w:t>
      </w:r>
      <w:r>
        <w:rPr>
          <w:rFonts w:ascii="宋体" w:hAnsi="宋体" w:eastAsia="宋体" w:cs="宋体"/>
          <w:spacing w:val="9"/>
          <w:sz w:val="20"/>
          <w:szCs w:val="20"/>
        </w:rPr>
        <w:t>——数字工程造价应用技能竞赛获奖名单</w:t>
      </w:r>
    </w:p>
    <w:p>
      <w:pPr>
        <w:spacing w:before="158" w:line="312" w:lineRule="auto"/>
        <w:ind w:left="1048" w:right="3196" w:firstLine="8"/>
        <w:rPr>
          <w:rFonts w:ascii="宋体" w:hAnsi="宋体" w:eastAsia="宋体" w:cs="宋体"/>
          <w:sz w:val="20"/>
          <w:szCs w:val="20"/>
        </w:rPr>
      </w:pPr>
      <w:r>
        <w:rPr>
          <w:rFonts w:ascii="宋体" w:hAnsi="宋体" w:eastAsia="宋体" w:cs="宋体"/>
          <w:spacing w:val="6"/>
          <w:sz w:val="20"/>
          <w:szCs w:val="20"/>
        </w:rPr>
        <w:t>3.2025</w:t>
      </w:r>
      <w:r>
        <w:rPr>
          <w:rFonts w:ascii="宋体" w:hAnsi="宋体" w:eastAsia="宋体" w:cs="宋体"/>
          <w:spacing w:val="-41"/>
          <w:sz w:val="20"/>
          <w:szCs w:val="20"/>
        </w:rPr>
        <w:t xml:space="preserve"> </w:t>
      </w:r>
      <w:r>
        <w:rPr>
          <w:rFonts w:ascii="宋体" w:hAnsi="宋体" w:eastAsia="宋体" w:cs="宋体"/>
          <w:spacing w:val="6"/>
          <w:sz w:val="20"/>
          <w:szCs w:val="20"/>
        </w:rPr>
        <w:t>年淄博市“技能兴淄”住建行业职业</w:t>
      </w:r>
      <w:r>
        <w:rPr>
          <w:rFonts w:ascii="宋体" w:hAnsi="宋体" w:eastAsia="宋体" w:cs="宋体"/>
          <w:spacing w:val="5"/>
          <w:sz w:val="20"/>
          <w:szCs w:val="20"/>
        </w:rPr>
        <w:t>技能竞赛</w:t>
      </w:r>
      <w:r>
        <w:rPr>
          <w:rFonts w:ascii="宋体" w:hAnsi="宋体" w:eastAsia="宋体" w:cs="宋体"/>
          <w:spacing w:val="10"/>
          <w:sz w:val="20"/>
          <w:szCs w:val="20"/>
        </w:rPr>
        <w:t>——电工技能竞赛获奖名单（略）</w:t>
      </w: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65" w:line="221" w:lineRule="auto"/>
        <w:ind w:left="4208"/>
        <w:rPr>
          <w:rFonts w:ascii="宋体" w:hAnsi="宋体" w:eastAsia="宋体" w:cs="宋体"/>
          <w:sz w:val="20"/>
          <w:szCs w:val="20"/>
        </w:rPr>
      </w:pPr>
      <w:r>
        <w:rPr>
          <w:rFonts w:ascii="宋体" w:hAnsi="宋体" w:eastAsia="宋体" w:cs="宋体"/>
          <w:spacing w:val="8"/>
          <w:sz w:val="20"/>
          <w:szCs w:val="20"/>
        </w:rPr>
        <w:t>淄博市住房和城乡建设局       淄博市总工会</w:t>
      </w:r>
    </w:p>
    <w:p>
      <w:pPr>
        <w:spacing w:before="163" w:line="221" w:lineRule="auto"/>
        <w:ind w:left="4208"/>
        <w:rPr>
          <w:rFonts w:ascii="宋体" w:hAnsi="宋体" w:eastAsia="宋体" w:cs="宋体"/>
          <w:sz w:val="20"/>
          <w:szCs w:val="20"/>
        </w:rPr>
      </w:pPr>
      <w:r>
        <w:rPr>
          <w:rFonts w:ascii="宋体" w:hAnsi="宋体" w:eastAsia="宋体" w:cs="宋体"/>
          <w:spacing w:val="9"/>
          <w:sz w:val="20"/>
          <w:szCs w:val="20"/>
        </w:rPr>
        <w:t>淄博市人力资源和社会保障局</w:t>
      </w:r>
    </w:p>
    <w:p>
      <w:pPr>
        <w:spacing w:before="157" w:line="278" w:lineRule="exact"/>
        <w:ind w:left="7131"/>
        <w:rPr>
          <w:rFonts w:ascii="宋体" w:hAnsi="宋体" w:eastAsia="宋体" w:cs="宋体"/>
          <w:sz w:val="20"/>
          <w:szCs w:val="20"/>
        </w:rPr>
      </w:pPr>
      <w:r>
        <w:rPr>
          <w:rFonts w:ascii="宋体" w:hAnsi="宋体" w:eastAsia="宋体" w:cs="宋体"/>
          <w:spacing w:val="-2"/>
          <w:position w:val="1"/>
          <w:sz w:val="20"/>
          <w:szCs w:val="20"/>
        </w:rPr>
        <w:t>2025</w:t>
      </w:r>
      <w:r>
        <w:rPr>
          <w:rFonts w:ascii="宋体" w:hAnsi="宋体" w:eastAsia="宋体" w:cs="宋体"/>
          <w:spacing w:val="-30"/>
          <w:position w:val="1"/>
          <w:sz w:val="20"/>
          <w:szCs w:val="20"/>
        </w:rPr>
        <w:t xml:space="preserve"> </w:t>
      </w:r>
      <w:r>
        <w:rPr>
          <w:rFonts w:ascii="宋体" w:hAnsi="宋体" w:eastAsia="宋体" w:cs="宋体"/>
          <w:spacing w:val="-2"/>
          <w:position w:val="1"/>
          <w:sz w:val="20"/>
          <w:szCs w:val="20"/>
        </w:rPr>
        <w:t>年</w:t>
      </w:r>
      <w:r>
        <w:rPr>
          <w:rFonts w:ascii="宋体" w:hAnsi="宋体" w:eastAsia="宋体" w:cs="宋体"/>
          <w:spacing w:val="-25"/>
          <w:position w:val="1"/>
          <w:sz w:val="20"/>
          <w:szCs w:val="20"/>
        </w:rPr>
        <w:t xml:space="preserve"> </w:t>
      </w:r>
      <w:r>
        <w:rPr>
          <w:rFonts w:ascii="宋体" w:hAnsi="宋体" w:eastAsia="宋体" w:cs="宋体"/>
          <w:spacing w:val="-2"/>
          <w:position w:val="1"/>
          <w:sz w:val="20"/>
          <w:szCs w:val="20"/>
        </w:rPr>
        <w:t>11</w:t>
      </w:r>
      <w:r>
        <w:rPr>
          <w:rFonts w:ascii="宋体" w:hAnsi="宋体" w:eastAsia="宋体" w:cs="宋体"/>
          <w:spacing w:val="-38"/>
          <w:position w:val="1"/>
          <w:sz w:val="20"/>
          <w:szCs w:val="20"/>
        </w:rPr>
        <w:t xml:space="preserve"> </w:t>
      </w:r>
      <w:r>
        <w:rPr>
          <w:rFonts w:ascii="宋体" w:hAnsi="宋体" w:eastAsia="宋体" w:cs="宋体"/>
          <w:spacing w:val="-2"/>
          <w:position w:val="1"/>
          <w:sz w:val="20"/>
          <w:szCs w:val="20"/>
        </w:rPr>
        <w:t>月</w:t>
      </w:r>
      <w:r>
        <w:rPr>
          <w:rFonts w:ascii="宋体" w:hAnsi="宋体" w:eastAsia="宋体" w:cs="宋体"/>
          <w:spacing w:val="-24"/>
          <w:position w:val="1"/>
          <w:sz w:val="20"/>
          <w:szCs w:val="20"/>
        </w:rPr>
        <w:t xml:space="preserve"> </w:t>
      </w:r>
      <w:r>
        <w:rPr>
          <w:rFonts w:ascii="宋体" w:hAnsi="宋体" w:eastAsia="宋体" w:cs="宋体"/>
          <w:spacing w:val="-2"/>
          <w:position w:val="1"/>
          <w:sz w:val="20"/>
          <w:szCs w:val="20"/>
        </w:rPr>
        <w:t>12 日</w:t>
      </w:r>
    </w:p>
    <w:p>
      <w:pPr>
        <w:spacing w:line="278" w:lineRule="exact"/>
        <w:rPr>
          <w:rFonts w:ascii="宋体" w:hAnsi="宋体" w:eastAsia="宋体" w:cs="宋体"/>
          <w:sz w:val="20"/>
          <w:szCs w:val="20"/>
        </w:rPr>
        <w:sectPr>
          <w:footerReference r:id="rId325" w:type="default"/>
          <w:pgSz w:w="11906" w:h="16839"/>
          <w:pgMar w:top="400" w:right="1420" w:bottom="1185" w:left="1418" w:header="0" w:footer="870" w:gutter="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before="65" w:line="233" w:lineRule="auto"/>
        <w:ind w:left="227"/>
        <w:rPr>
          <w:rFonts w:ascii="黑体" w:hAnsi="黑体" w:eastAsia="黑体" w:cs="黑体"/>
          <w:sz w:val="20"/>
          <w:szCs w:val="20"/>
        </w:rPr>
      </w:pPr>
      <w:r>
        <w:rPr>
          <w:rFonts w:ascii="黑体" w:hAnsi="黑体" w:eastAsia="黑体" w:cs="黑体"/>
          <w:spacing w:val="19"/>
          <w:sz w:val="20"/>
          <w:szCs w:val="20"/>
        </w:rPr>
        <w:t>附件2</w:t>
      </w:r>
    </w:p>
    <w:p>
      <w:pPr>
        <w:spacing w:before="197" w:line="233" w:lineRule="auto"/>
        <w:ind w:left="1801"/>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2025 年淄博市“技能兴淄”职业技能竞赛</w:t>
      </w:r>
    </w:p>
    <w:p>
      <w:pPr>
        <w:spacing w:before="148" w:line="233" w:lineRule="auto"/>
        <w:ind w:left="1984"/>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—数字工程造价应用技能竞赛获奖名单</w:t>
      </w:r>
    </w:p>
    <w:p>
      <w:pPr>
        <w:spacing w:line="380" w:lineRule="auto"/>
        <w:rPr>
          <w:rFonts w:ascii="Arial"/>
          <w:sz w:val="21"/>
        </w:rPr>
      </w:pPr>
    </w:p>
    <w:p>
      <w:pPr>
        <w:spacing w:before="65" w:line="216" w:lineRule="auto"/>
        <w:ind w:left="4012"/>
        <w:rPr>
          <w:rFonts w:ascii="宋体" w:hAnsi="宋体" w:eastAsia="宋体" w:cs="宋体"/>
          <w:sz w:val="20"/>
          <w:szCs w:val="20"/>
        </w:rPr>
      </w:pPr>
      <w:r>
        <w:rPr>
          <w:rFonts w:ascii="宋体" w:hAnsi="宋体" w:eastAsia="宋体" w:cs="宋体"/>
          <w:b/>
          <w:bCs/>
          <w:spacing w:val="7"/>
          <w:sz w:val="20"/>
          <w:szCs w:val="20"/>
        </w:rPr>
        <w:t>一、个人奖</w:t>
      </w:r>
    </w:p>
    <w:p>
      <w:pPr>
        <w:spacing w:before="160" w:line="221" w:lineRule="auto"/>
        <w:ind w:left="4223"/>
        <w:rPr>
          <w:rFonts w:ascii="宋体" w:hAnsi="宋体" w:eastAsia="宋体" w:cs="宋体"/>
          <w:sz w:val="20"/>
          <w:szCs w:val="20"/>
        </w:rPr>
      </w:pPr>
      <w:r>
        <w:rPr>
          <w:rFonts w:ascii="宋体" w:hAnsi="宋体" w:eastAsia="宋体" w:cs="宋体"/>
          <w:b/>
          <w:bCs/>
          <w:spacing w:val="6"/>
          <w:sz w:val="20"/>
          <w:szCs w:val="20"/>
        </w:rPr>
        <w:t>一等奖</w:t>
      </w:r>
    </w:p>
    <w:p>
      <w:pPr>
        <w:spacing w:before="163" w:line="220" w:lineRule="auto"/>
        <w:ind w:left="3276"/>
        <w:rPr>
          <w:rFonts w:ascii="宋体" w:hAnsi="宋体" w:eastAsia="宋体" w:cs="宋体"/>
          <w:sz w:val="20"/>
          <w:szCs w:val="20"/>
        </w:rPr>
      </w:pPr>
      <w:r>
        <w:rPr>
          <w:rFonts w:ascii="宋体" w:hAnsi="宋体" w:eastAsia="宋体" w:cs="宋体"/>
          <w:spacing w:val="7"/>
          <w:sz w:val="20"/>
          <w:szCs w:val="20"/>
        </w:rPr>
        <w:t>孙  港</w:t>
      </w:r>
      <w:r>
        <w:rPr>
          <w:rFonts w:ascii="宋体" w:hAnsi="宋体" w:eastAsia="宋体" w:cs="宋体"/>
          <w:spacing w:val="20"/>
          <w:sz w:val="20"/>
          <w:szCs w:val="20"/>
        </w:rPr>
        <w:t xml:space="preserve">  </w:t>
      </w:r>
      <w:r>
        <w:rPr>
          <w:rFonts w:ascii="宋体" w:hAnsi="宋体" w:eastAsia="宋体" w:cs="宋体"/>
          <w:spacing w:val="7"/>
          <w:sz w:val="20"/>
          <w:szCs w:val="20"/>
        </w:rPr>
        <w:t>山东博汇纸业股份有限公司</w:t>
      </w:r>
    </w:p>
    <w:p>
      <w:pPr>
        <w:spacing w:line="453" w:lineRule="auto"/>
        <w:rPr>
          <w:rFonts w:ascii="Arial"/>
          <w:sz w:val="21"/>
        </w:rPr>
      </w:pPr>
    </w:p>
    <w:p>
      <w:pPr>
        <w:spacing w:before="65" w:line="221" w:lineRule="auto"/>
        <w:ind w:left="4223"/>
        <w:rPr>
          <w:rFonts w:ascii="宋体" w:hAnsi="宋体" w:eastAsia="宋体" w:cs="宋体"/>
          <w:sz w:val="20"/>
          <w:szCs w:val="20"/>
        </w:rPr>
      </w:pPr>
      <w:r>
        <w:rPr>
          <w:rFonts w:ascii="宋体" w:hAnsi="宋体" w:eastAsia="宋体" w:cs="宋体"/>
          <w:b/>
          <w:bCs/>
          <w:spacing w:val="5"/>
          <w:sz w:val="20"/>
          <w:szCs w:val="20"/>
        </w:rPr>
        <w:t>二等奖</w:t>
      </w:r>
    </w:p>
    <w:p>
      <w:pPr>
        <w:spacing w:before="158" w:line="223" w:lineRule="auto"/>
        <w:ind w:left="2857"/>
        <w:rPr>
          <w:rFonts w:ascii="宋体" w:hAnsi="宋体" w:eastAsia="宋体" w:cs="宋体"/>
          <w:sz w:val="20"/>
          <w:szCs w:val="20"/>
        </w:rPr>
      </w:pPr>
      <w:r>
        <w:rPr>
          <w:rFonts w:ascii="宋体" w:hAnsi="宋体" w:eastAsia="宋体" w:cs="宋体"/>
          <w:spacing w:val="9"/>
          <w:sz w:val="20"/>
          <w:szCs w:val="20"/>
        </w:rPr>
        <w:t>杨娇娇  淄博市住房和城乡建设保障服务中心</w:t>
      </w:r>
    </w:p>
    <w:p>
      <w:pPr>
        <w:spacing w:before="161" w:line="219" w:lineRule="auto"/>
        <w:ind w:left="3067"/>
        <w:rPr>
          <w:rFonts w:ascii="宋体" w:hAnsi="宋体" w:eastAsia="宋体" w:cs="宋体"/>
          <w:sz w:val="20"/>
          <w:szCs w:val="20"/>
        </w:rPr>
      </w:pPr>
      <w:r>
        <w:rPr>
          <w:rFonts w:ascii="宋体" w:hAnsi="宋体" w:eastAsia="宋体" w:cs="宋体"/>
          <w:spacing w:val="9"/>
          <w:sz w:val="20"/>
          <w:szCs w:val="20"/>
        </w:rPr>
        <w:t>李雁冰  山东博会工程造价咨询有限公司</w:t>
      </w:r>
    </w:p>
    <w:p>
      <w:pPr>
        <w:spacing w:before="162" w:line="221" w:lineRule="auto"/>
        <w:ind w:left="3488"/>
        <w:rPr>
          <w:rFonts w:ascii="宋体" w:hAnsi="宋体" w:eastAsia="宋体" w:cs="宋体"/>
          <w:sz w:val="20"/>
          <w:szCs w:val="20"/>
        </w:rPr>
      </w:pPr>
      <w:r>
        <w:rPr>
          <w:rFonts w:ascii="宋体" w:hAnsi="宋体" w:eastAsia="宋体" w:cs="宋体"/>
          <w:spacing w:val="8"/>
          <w:sz w:val="20"/>
          <w:szCs w:val="20"/>
        </w:rPr>
        <w:t>成永铭  山东黄河建工有限公司</w:t>
      </w:r>
    </w:p>
    <w:p>
      <w:pPr>
        <w:spacing w:line="452" w:lineRule="auto"/>
        <w:rPr>
          <w:rFonts w:ascii="Arial"/>
          <w:sz w:val="21"/>
        </w:rPr>
      </w:pPr>
    </w:p>
    <w:p>
      <w:pPr>
        <w:spacing w:before="65" w:line="221" w:lineRule="auto"/>
        <w:ind w:left="4226"/>
        <w:rPr>
          <w:rFonts w:ascii="宋体" w:hAnsi="宋体" w:eastAsia="宋体" w:cs="宋体"/>
          <w:sz w:val="20"/>
          <w:szCs w:val="20"/>
        </w:rPr>
      </w:pPr>
      <w:r>
        <w:rPr>
          <w:rFonts w:ascii="宋体" w:hAnsi="宋体" w:eastAsia="宋体" w:cs="宋体"/>
          <w:b/>
          <w:bCs/>
          <w:spacing w:val="4"/>
          <w:sz w:val="20"/>
          <w:szCs w:val="20"/>
        </w:rPr>
        <w:t>三等奖</w:t>
      </w:r>
    </w:p>
    <w:p>
      <w:pPr>
        <w:spacing w:before="161" w:line="220" w:lineRule="auto"/>
        <w:ind w:left="3508"/>
        <w:rPr>
          <w:rFonts w:ascii="宋体" w:hAnsi="宋体" w:eastAsia="宋体" w:cs="宋体"/>
          <w:sz w:val="20"/>
          <w:szCs w:val="20"/>
        </w:rPr>
      </w:pPr>
      <w:r>
        <w:rPr>
          <w:rFonts w:ascii="宋体" w:hAnsi="宋体" w:eastAsia="宋体" w:cs="宋体"/>
          <w:spacing w:val="7"/>
          <w:sz w:val="20"/>
          <w:szCs w:val="20"/>
        </w:rPr>
        <w:t>曲雪梅  山东黄河建工有限公司</w:t>
      </w:r>
    </w:p>
    <w:p>
      <w:pPr>
        <w:spacing w:before="162" w:line="223" w:lineRule="auto"/>
        <w:ind w:left="3281"/>
        <w:rPr>
          <w:rFonts w:ascii="宋体" w:hAnsi="宋体" w:eastAsia="宋体" w:cs="宋体"/>
          <w:sz w:val="20"/>
          <w:szCs w:val="20"/>
        </w:rPr>
      </w:pPr>
      <w:r>
        <w:rPr>
          <w:rFonts w:ascii="宋体" w:hAnsi="宋体" w:eastAsia="宋体" w:cs="宋体"/>
          <w:spacing w:val="8"/>
          <w:sz w:val="20"/>
          <w:szCs w:val="20"/>
        </w:rPr>
        <w:t>王允峰  山东鲁王建工有限责任公司</w:t>
      </w:r>
    </w:p>
    <w:p>
      <w:pPr>
        <w:spacing w:before="159" w:line="219" w:lineRule="auto"/>
        <w:ind w:left="2862"/>
        <w:rPr>
          <w:rFonts w:ascii="宋体" w:hAnsi="宋体" w:eastAsia="宋体" w:cs="宋体"/>
          <w:sz w:val="20"/>
          <w:szCs w:val="20"/>
        </w:rPr>
      </w:pPr>
      <w:r>
        <w:rPr>
          <w:rFonts w:ascii="宋体" w:hAnsi="宋体" w:eastAsia="宋体" w:cs="宋体"/>
          <w:spacing w:val="8"/>
          <w:sz w:val="20"/>
          <w:szCs w:val="20"/>
        </w:rPr>
        <w:t>牛帝凯  山东启新国润工程项目管理有限公司</w:t>
      </w:r>
    </w:p>
    <w:p>
      <w:pPr>
        <w:spacing w:before="162" w:line="220" w:lineRule="auto"/>
        <w:ind w:left="3079"/>
        <w:rPr>
          <w:rFonts w:ascii="宋体" w:hAnsi="宋体" w:eastAsia="宋体" w:cs="宋体"/>
          <w:sz w:val="20"/>
          <w:szCs w:val="20"/>
        </w:rPr>
      </w:pPr>
      <w:r>
        <w:rPr>
          <w:rFonts w:ascii="宋体" w:hAnsi="宋体" w:eastAsia="宋体" w:cs="宋体"/>
          <w:spacing w:val="8"/>
          <w:sz w:val="20"/>
          <w:szCs w:val="20"/>
        </w:rPr>
        <w:t>陈亚敏  山东瀚广建设项目管理有限公司</w:t>
      </w:r>
    </w:p>
    <w:p>
      <w:pPr>
        <w:spacing w:before="162" w:line="221" w:lineRule="auto"/>
        <w:ind w:left="3520"/>
        <w:rPr>
          <w:rFonts w:ascii="宋体" w:hAnsi="宋体" w:eastAsia="宋体" w:cs="宋体"/>
          <w:sz w:val="20"/>
          <w:szCs w:val="20"/>
        </w:rPr>
      </w:pPr>
      <w:r>
        <w:rPr>
          <w:rFonts w:ascii="宋体" w:hAnsi="宋体" w:eastAsia="宋体" w:cs="宋体"/>
          <w:spacing w:val="5"/>
          <w:sz w:val="20"/>
          <w:szCs w:val="20"/>
        </w:rPr>
        <w:t>肖  斐</w:t>
      </w:r>
      <w:r>
        <w:rPr>
          <w:rFonts w:ascii="宋体" w:hAnsi="宋体" w:eastAsia="宋体" w:cs="宋体"/>
          <w:spacing w:val="15"/>
          <w:sz w:val="20"/>
          <w:szCs w:val="20"/>
        </w:rPr>
        <w:t xml:space="preserve">  </w:t>
      </w:r>
      <w:r>
        <w:rPr>
          <w:rFonts w:ascii="宋体" w:hAnsi="宋体" w:eastAsia="宋体" w:cs="宋体"/>
          <w:spacing w:val="5"/>
          <w:sz w:val="20"/>
          <w:szCs w:val="20"/>
        </w:rPr>
        <w:t>山东淄建集团有限公司</w:t>
      </w:r>
    </w:p>
    <w:p>
      <w:pPr>
        <w:spacing w:before="161" w:line="219" w:lineRule="auto"/>
        <w:ind w:left="2884"/>
        <w:rPr>
          <w:rFonts w:ascii="宋体" w:hAnsi="宋体" w:eastAsia="宋体" w:cs="宋体"/>
          <w:sz w:val="20"/>
          <w:szCs w:val="20"/>
        </w:rPr>
      </w:pPr>
      <w:r>
        <w:rPr>
          <w:rFonts w:ascii="宋体" w:hAnsi="宋体" w:eastAsia="宋体" w:cs="宋体"/>
          <w:spacing w:val="7"/>
          <w:sz w:val="20"/>
          <w:szCs w:val="20"/>
        </w:rPr>
        <w:t>田益嘉  山东启新国润工程项目管理有限公司</w:t>
      </w:r>
    </w:p>
    <w:p>
      <w:pPr>
        <w:spacing w:line="452" w:lineRule="auto"/>
        <w:rPr>
          <w:rFonts w:ascii="Arial"/>
          <w:sz w:val="21"/>
        </w:rPr>
      </w:pPr>
    </w:p>
    <w:p>
      <w:pPr>
        <w:spacing w:before="65" w:line="223" w:lineRule="auto"/>
        <w:ind w:left="4012"/>
        <w:rPr>
          <w:rFonts w:ascii="宋体" w:hAnsi="宋体" w:eastAsia="宋体" w:cs="宋体"/>
          <w:sz w:val="20"/>
          <w:szCs w:val="20"/>
        </w:rPr>
      </w:pPr>
      <w:r>
        <w:rPr>
          <w:rFonts w:ascii="宋体" w:hAnsi="宋体" w:eastAsia="宋体" w:cs="宋体"/>
          <w:b/>
          <w:bCs/>
          <w:spacing w:val="7"/>
          <w:sz w:val="20"/>
          <w:szCs w:val="20"/>
        </w:rPr>
        <w:t>二、团体奖</w:t>
      </w:r>
    </w:p>
    <w:p>
      <w:pPr>
        <w:spacing w:before="162" w:line="221" w:lineRule="auto"/>
        <w:ind w:left="4223"/>
        <w:rPr>
          <w:rFonts w:ascii="宋体" w:hAnsi="宋体" w:eastAsia="宋体" w:cs="宋体"/>
          <w:sz w:val="20"/>
          <w:szCs w:val="20"/>
        </w:rPr>
      </w:pPr>
      <w:r>
        <w:rPr>
          <w:rFonts w:ascii="宋体" w:hAnsi="宋体" w:eastAsia="宋体" w:cs="宋体"/>
          <w:b/>
          <w:bCs/>
          <w:spacing w:val="6"/>
          <w:sz w:val="20"/>
          <w:szCs w:val="20"/>
        </w:rPr>
        <w:t>一等奖</w:t>
      </w:r>
    </w:p>
    <w:p>
      <w:pPr>
        <w:spacing w:before="158" w:line="221" w:lineRule="auto"/>
        <w:ind w:left="3503"/>
        <w:rPr>
          <w:rFonts w:ascii="宋体" w:hAnsi="宋体" w:eastAsia="宋体" w:cs="宋体"/>
          <w:sz w:val="20"/>
          <w:szCs w:val="20"/>
        </w:rPr>
      </w:pPr>
      <w:r>
        <w:rPr>
          <w:rFonts w:ascii="宋体" w:hAnsi="宋体" w:eastAsia="宋体" w:cs="宋体"/>
          <w:spacing w:val="7"/>
          <w:sz w:val="20"/>
          <w:szCs w:val="20"/>
        </w:rPr>
        <w:t>山东淄建集团有限公司</w:t>
      </w:r>
    </w:p>
    <w:p>
      <w:pPr>
        <w:spacing w:line="454" w:lineRule="auto"/>
        <w:rPr>
          <w:rFonts w:ascii="Arial"/>
          <w:sz w:val="21"/>
        </w:rPr>
      </w:pPr>
    </w:p>
    <w:p>
      <w:pPr>
        <w:spacing w:before="65" w:line="221" w:lineRule="auto"/>
        <w:ind w:left="4223"/>
        <w:rPr>
          <w:rFonts w:ascii="宋体" w:hAnsi="宋体" w:eastAsia="宋体" w:cs="宋体"/>
          <w:sz w:val="20"/>
          <w:szCs w:val="20"/>
        </w:rPr>
      </w:pPr>
      <w:r>
        <w:rPr>
          <w:rFonts w:ascii="宋体" w:hAnsi="宋体" w:eastAsia="宋体" w:cs="宋体"/>
          <w:b/>
          <w:bCs/>
          <w:spacing w:val="6"/>
          <w:sz w:val="20"/>
          <w:szCs w:val="20"/>
        </w:rPr>
        <w:t>二等奖</w:t>
      </w:r>
    </w:p>
    <w:p>
      <w:pPr>
        <w:spacing w:before="163" w:line="219" w:lineRule="auto"/>
        <w:ind w:left="2872"/>
        <w:rPr>
          <w:rFonts w:ascii="宋体" w:hAnsi="宋体" w:eastAsia="宋体" w:cs="宋体"/>
          <w:sz w:val="20"/>
          <w:szCs w:val="20"/>
        </w:rPr>
      </w:pPr>
      <w:r>
        <w:rPr>
          <w:rFonts w:ascii="宋体" w:hAnsi="宋体" w:eastAsia="宋体" w:cs="宋体"/>
          <w:spacing w:val="8"/>
          <w:sz w:val="20"/>
          <w:szCs w:val="20"/>
        </w:rPr>
        <w:t>山东启新国润工程项目管理有限公司</w:t>
      </w:r>
    </w:p>
    <w:p>
      <w:pPr>
        <w:spacing w:before="159" w:line="221" w:lineRule="auto"/>
        <w:ind w:left="3083"/>
        <w:rPr>
          <w:rFonts w:ascii="宋体" w:hAnsi="宋体" w:eastAsia="宋体" w:cs="宋体"/>
          <w:sz w:val="20"/>
          <w:szCs w:val="20"/>
        </w:rPr>
      </w:pPr>
      <w:r>
        <w:rPr>
          <w:rFonts w:ascii="宋体" w:hAnsi="宋体" w:eastAsia="宋体" w:cs="宋体"/>
          <w:spacing w:val="8"/>
          <w:sz w:val="20"/>
          <w:szCs w:val="20"/>
        </w:rPr>
        <w:t>山东瀚广建设项目管理有限公司</w:t>
      </w:r>
    </w:p>
    <w:p>
      <w:pPr>
        <w:spacing w:line="454" w:lineRule="auto"/>
        <w:rPr>
          <w:rFonts w:ascii="Arial"/>
          <w:sz w:val="21"/>
        </w:rPr>
      </w:pPr>
    </w:p>
    <w:p>
      <w:pPr>
        <w:spacing w:before="66" w:line="221" w:lineRule="auto"/>
        <w:ind w:left="4226"/>
        <w:rPr>
          <w:rFonts w:ascii="宋体" w:hAnsi="宋体" w:eastAsia="宋体" w:cs="宋体"/>
          <w:sz w:val="20"/>
          <w:szCs w:val="20"/>
        </w:rPr>
      </w:pPr>
      <w:r>
        <w:rPr>
          <w:rFonts w:ascii="宋体" w:hAnsi="宋体" w:eastAsia="宋体" w:cs="宋体"/>
          <w:b/>
          <w:bCs/>
          <w:spacing w:val="5"/>
          <w:sz w:val="20"/>
          <w:szCs w:val="20"/>
        </w:rPr>
        <w:t>三等奖</w:t>
      </w:r>
    </w:p>
    <w:p>
      <w:pPr>
        <w:spacing w:before="160" w:line="221" w:lineRule="auto"/>
        <w:ind w:left="3503"/>
        <w:rPr>
          <w:rFonts w:ascii="宋体" w:hAnsi="宋体" w:eastAsia="宋体" w:cs="宋体"/>
          <w:sz w:val="20"/>
          <w:szCs w:val="20"/>
        </w:rPr>
      </w:pPr>
      <w:r>
        <w:rPr>
          <w:rFonts w:ascii="宋体" w:hAnsi="宋体" w:eastAsia="宋体" w:cs="宋体"/>
          <w:spacing w:val="7"/>
          <w:sz w:val="20"/>
          <w:szCs w:val="20"/>
        </w:rPr>
        <w:t>山东金城建设有限公司</w:t>
      </w:r>
    </w:p>
    <w:p>
      <w:pPr>
        <w:spacing w:before="159" w:line="220" w:lineRule="auto"/>
        <w:ind w:left="3503"/>
        <w:rPr>
          <w:rFonts w:ascii="宋体" w:hAnsi="宋体" w:eastAsia="宋体" w:cs="宋体"/>
          <w:sz w:val="20"/>
          <w:szCs w:val="20"/>
        </w:rPr>
      </w:pPr>
      <w:r>
        <w:rPr>
          <w:rFonts w:ascii="宋体" w:hAnsi="宋体" w:eastAsia="宋体" w:cs="宋体"/>
          <w:spacing w:val="7"/>
          <w:sz w:val="20"/>
          <w:szCs w:val="20"/>
        </w:rPr>
        <w:t>山东黄河建工有限公司</w:t>
      </w:r>
    </w:p>
    <w:p>
      <w:pPr>
        <w:spacing w:before="165" w:line="219" w:lineRule="auto"/>
        <w:ind w:left="3292"/>
        <w:rPr>
          <w:rFonts w:ascii="宋体" w:hAnsi="宋体" w:eastAsia="宋体" w:cs="宋体"/>
          <w:sz w:val="20"/>
          <w:szCs w:val="20"/>
        </w:rPr>
      </w:pPr>
      <w:r>
        <w:rPr>
          <w:rFonts w:ascii="宋体" w:hAnsi="宋体" w:eastAsia="宋体" w:cs="宋体"/>
          <w:spacing w:val="8"/>
          <w:sz w:val="20"/>
          <w:szCs w:val="20"/>
        </w:rPr>
        <w:t>山东致城市政工程有限公司</w:t>
      </w:r>
    </w:p>
    <w:p>
      <w:pPr>
        <w:spacing w:line="455" w:lineRule="auto"/>
        <w:rPr>
          <w:rFonts w:ascii="Arial"/>
          <w:sz w:val="21"/>
        </w:rPr>
      </w:pPr>
    </w:p>
    <w:p>
      <w:pPr>
        <w:spacing w:before="66" w:line="218" w:lineRule="auto"/>
        <w:ind w:left="3804"/>
        <w:rPr>
          <w:rFonts w:ascii="宋体" w:hAnsi="宋体" w:eastAsia="宋体" w:cs="宋体"/>
          <w:sz w:val="20"/>
          <w:szCs w:val="20"/>
        </w:rPr>
      </w:pPr>
      <w:r>
        <w:rPr>
          <w:rFonts w:ascii="宋体" w:hAnsi="宋体" w:eastAsia="宋体" w:cs="宋体"/>
          <w:b/>
          <w:bCs/>
          <w:spacing w:val="6"/>
          <w:sz w:val="20"/>
          <w:szCs w:val="20"/>
        </w:rPr>
        <w:t>三、优秀组织奖</w:t>
      </w:r>
    </w:p>
    <w:p>
      <w:pPr>
        <w:spacing w:line="218" w:lineRule="auto"/>
        <w:rPr>
          <w:rFonts w:ascii="宋体" w:hAnsi="宋体" w:eastAsia="宋体" w:cs="宋体"/>
          <w:sz w:val="20"/>
          <w:szCs w:val="20"/>
        </w:rPr>
        <w:sectPr>
          <w:footerReference r:id="rId326" w:type="default"/>
          <w:pgSz w:w="11906" w:h="16839"/>
          <w:pgMar w:top="400" w:right="1785" w:bottom="1185" w:left="1418" w:header="0" w:footer="870" w:gutter="0"/>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5" w:line="223" w:lineRule="auto"/>
        <w:ind w:left="2496"/>
        <w:rPr>
          <w:rFonts w:ascii="宋体" w:hAnsi="宋体" w:eastAsia="宋体" w:cs="宋体"/>
          <w:sz w:val="20"/>
          <w:szCs w:val="20"/>
        </w:rPr>
      </w:pPr>
      <w:r>
        <w:rPr>
          <w:rFonts w:ascii="宋体" w:hAnsi="宋体" w:eastAsia="宋体" w:cs="宋体"/>
          <w:spacing w:val="9"/>
          <w:sz w:val="20"/>
          <w:szCs w:val="20"/>
        </w:rPr>
        <w:t>淄博市住房和城乡建设保障服务中心</w:t>
      </w:r>
    </w:p>
    <w:p>
      <w:pPr>
        <w:spacing w:before="161" w:line="220" w:lineRule="auto"/>
        <w:ind w:left="3336"/>
        <w:rPr>
          <w:rFonts w:ascii="宋体" w:hAnsi="宋体" w:eastAsia="宋体" w:cs="宋体"/>
          <w:sz w:val="20"/>
          <w:szCs w:val="20"/>
        </w:rPr>
      </w:pPr>
      <w:r>
        <w:rPr>
          <w:rFonts w:ascii="宋体" w:hAnsi="宋体" w:eastAsia="宋体" w:cs="宋体"/>
          <w:spacing w:val="8"/>
          <w:sz w:val="20"/>
          <w:szCs w:val="20"/>
        </w:rPr>
        <w:t>淄博职业技术大学</w:t>
      </w:r>
    </w:p>
    <w:p>
      <w:pPr>
        <w:spacing w:before="160" w:line="220" w:lineRule="auto"/>
        <w:ind w:left="2287"/>
        <w:rPr>
          <w:rFonts w:ascii="宋体" w:hAnsi="宋体" w:eastAsia="宋体" w:cs="宋体"/>
          <w:sz w:val="20"/>
          <w:szCs w:val="20"/>
        </w:rPr>
      </w:pPr>
      <w:r>
        <w:rPr>
          <w:rFonts w:ascii="宋体" w:hAnsi="宋体" w:eastAsia="宋体" w:cs="宋体"/>
          <w:spacing w:val="9"/>
          <w:sz w:val="20"/>
          <w:szCs w:val="20"/>
        </w:rPr>
        <w:t>淄博市建设工程招标投标和标准造价协会</w:t>
      </w:r>
    </w:p>
    <w:p>
      <w:pPr>
        <w:spacing w:before="159" w:line="221" w:lineRule="auto"/>
        <w:ind w:left="2505"/>
        <w:rPr>
          <w:rFonts w:ascii="宋体" w:hAnsi="宋体" w:eastAsia="宋体" w:cs="宋体"/>
          <w:sz w:val="20"/>
          <w:szCs w:val="20"/>
        </w:rPr>
      </w:pPr>
      <w:r>
        <w:rPr>
          <w:rFonts w:ascii="宋体" w:hAnsi="宋体" w:eastAsia="宋体" w:cs="宋体"/>
          <w:spacing w:val="8"/>
          <w:sz w:val="20"/>
          <w:szCs w:val="20"/>
        </w:rPr>
        <w:t>山东策建工程建设项目管理有限公司</w:t>
      </w:r>
    </w:p>
    <w:p>
      <w:pPr>
        <w:spacing w:before="162" w:line="220" w:lineRule="auto"/>
        <w:ind w:left="2925"/>
        <w:rPr>
          <w:rFonts w:ascii="宋体" w:hAnsi="宋体" w:eastAsia="宋体" w:cs="宋体"/>
          <w:sz w:val="20"/>
          <w:szCs w:val="20"/>
        </w:rPr>
      </w:pPr>
      <w:r>
        <w:rPr>
          <w:rFonts w:ascii="宋体" w:hAnsi="宋体" w:eastAsia="宋体" w:cs="宋体"/>
          <w:spacing w:val="8"/>
          <w:sz w:val="20"/>
          <w:szCs w:val="20"/>
        </w:rPr>
        <w:t>山东通达工程建设有限公司</w:t>
      </w:r>
    </w:p>
    <w:p>
      <w:pPr>
        <w:spacing w:before="163" w:line="221" w:lineRule="auto"/>
        <w:ind w:left="2716"/>
        <w:rPr>
          <w:rFonts w:ascii="宋体" w:hAnsi="宋体" w:eastAsia="宋体" w:cs="宋体"/>
          <w:sz w:val="20"/>
          <w:szCs w:val="20"/>
        </w:rPr>
      </w:pPr>
      <w:r>
        <w:rPr>
          <w:rFonts w:ascii="宋体" w:hAnsi="宋体" w:eastAsia="宋体" w:cs="宋体"/>
          <w:spacing w:val="8"/>
          <w:sz w:val="20"/>
          <w:szCs w:val="20"/>
        </w:rPr>
        <w:t>山东梅隆工程项目管理有限公司</w:t>
      </w:r>
    </w:p>
    <w:p>
      <w:pPr>
        <w:spacing w:before="158" w:line="220" w:lineRule="auto"/>
        <w:ind w:left="3136"/>
        <w:rPr>
          <w:rFonts w:ascii="宋体" w:hAnsi="宋体" w:eastAsia="宋体" w:cs="宋体"/>
          <w:sz w:val="20"/>
          <w:szCs w:val="20"/>
        </w:rPr>
      </w:pPr>
      <w:r>
        <w:rPr>
          <w:rFonts w:ascii="宋体" w:hAnsi="宋体" w:eastAsia="宋体" w:cs="宋体"/>
          <w:spacing w:val="7"/>
          <w:sz w:val="20"/>
          <w:szCs w:val="20"/>
        </w:rPr>
        <w:t>山东金驰建设有限公司</w:t>
      </w:r>
    </w:p>
    <w:p>
      <w:pPr>
        <w:spacing w:before="165" w:line="219" w:lineRule="auto"/>
        <w:ind w:left="2925"/>
        <w:rPr>
          <w:rFonts w:ascii="宋体" w:hAnsi="宋体" w:eastAsia="宋体" w:cs="宋体"/>
          <w:sz w:val="20"/>
          <w:szCs w:val="20"/>
        </w:rPr>
      </w:pPr>
      <w:r>
        <w:rPr>
          <w:rFonts w:ascii="宋体" w:hAnsi="宋体" w:eastAsia="宋体" w:cs="宋体"/>
          <w:spacing w:val="8"/>
          <w:sz w:val="20"/>
          <w:szCs w:val="20"/>
        </w:rPr>
        <w:t>山东金城装饰工程有限公司</w:t>
      </w:r>
    </w:p>
    <w:p>
      <w:pPr>
        <w:spacing w:before="164" w:line="219" w:lineRule="auto"/>
        <w:ind w:left="2931"/>
        <w:rPr>
          <w:rFonts w:ascii="宋体" w:hAnsi="宋体" w:eastAsia="宋体" w:cs="宋体"/>
          <w:sz w:val="20"/>
          <w:szCs w:val="20"/>
        </w:rPr>
      </w:pPr>
      <w:r>
        <w:rPr>
          <w:rFonts w:ascii="宋体" w:hAnsi="宋体" w:eastAsia="宋体" w:cs="宋体"/>
          <w:spacing w:val="7"/>
          <w:sz w:val="20"/>
          <w:szCs w:val="20"/>
        </w:rPr>
        <w:t>中杰齐晟项目管理有限公司</w:t>
      </w:r>
    </w:p>
    <w:p>
      <w:pPr>
        <w:spacing w:before="158" w:line="222" w:lineRule="auto"/>
        <w:ind w:left="2716"/>
        <w:rPr>
          <w:rFonts w:ascii="宋体" w:hAnsi="宋体" w:eastAsia="宋体" w:cs="宋体"/>
          <w:sz w:val="20"/>
          <w:szCs w:val="20"/>
        </w:rPr>
      </w:pPr>
      <w:r>
        <w:rPr>
          <w:rFonts w:ascii="宋体" w:hAnsi="宋体" w:eastAsia="宋体" w:cs="宋体"/>
          <w:spacing w:val="8"/>
          <w:sz w:val="20"/>
          <w:szCs w:val="20"/>
        </w:rPr>
        <w:t>山东仲泰建设项目管理有限公司</w:t>
      </w:r>
    </w:p>
    <w:p>
      <w:pPr>
        <w:spacing w:before="160" w:line="223" w:lineRule="auto"/>
        <w:ind w:left="2925"/>
        <w:rPr>
          <w:rFonts w:ascii="宋体" w:hAnsi="宋体" w:eastAsia="宋体" w:cs="宋体"/>
          <w:sz w:val="20"/>
          <w:szCs w:val="20"/>
        </w:rPr>
      </w:pPr>
      <w:r>
        <w:rPr>
          <w:rFonts w:ascii="宋体" w:hAnsi="宋体" w:eastAsia="宋体" w:cs="宋体"/>
          <w:spacing w:val="8"/>
          <w:sz w:val="20"/>
          <w:szCs w:val="20"/>
        </w:rPr>
        <w:t>山东鲁王建工有限责任公司</w:t>
      </w:r>
    </w:p>
    <w:p>
      <w:pPr>
        <w:spacing w:before="162" w:line="219" w:lineRule="auto"/>
        <w:ind w:left="2716"/>
        <w:rPr>
          <w:rFonts w:ascii="宋体" w:hAnsi="宋体" w:eastAsia="宋体" w:cs="宋体"/>
          <w:sz w:val="20"/>
          <w:szCs w:val="20"/>
        </w:rPr>
      </w:pPr>
      <w:r>
        <w:rPr>
          <w:rFonts w:ascii="宋体" w:hAnsi="宋体" w:eastAsia="宋体" w:cs="宋体"/>
          <w:spacing w:val="8"/>
          <w:sz w:val="20"/>
          <w:szCs w:val="20"/>
        </w:rPr>
        <w:t>山东齐鲁工程审计监理有限公司</w:t>
      </w:r>
    </w:p>
    <w:p>
      <w:pPr>
        <w:spacing w:before="159" w:line="220" w:lineRule="auto"/>
        <w:ind w:left="2925"/>
        <w:rPr>
          <w:rFonts w:ascii="宋体" w:hAnsi="宋体" w:eastAsia="宋体" w:cs="宋体"/>
          <w:sz w:val="20"/>
          <w:szCs w:val="20"/>
        </w:rPr>
      </w:pPr>
      <w:r>
        <w:rPr>
          <w:rFonts w:ascii="宋体" w:hAnsi="宋体" w:eastAsia="宋体" w:cs="宋体"/>
          <w:spacing w:val="8"/>
          <w:sz w:val="20"/>
          <w:szCs w:val="20"/>
        </w:rPr>
        <w:t>山东金润建设咨询有限公司</w:t>
      </w:r>
    </w:p>
    <w:p>
      <w:pPr>
        <w:spacing w:before="164" w:line="219" w:lineRule="auto"/>
        <w:ind w:left="2716"/>
        <w:rPr>
          <w:rFonts w:ascii="宋体" w:hAnsi="宋体" w:eastAsia="宋体" w:cs="宋体"/>
          <w:sz w:val="20"/>
          <w:szCs w:val="20"/>
        </w:rPr>
      </w:pPr>
      <w:r>
        <w:rPr>
          <w:rFonts w:ascii="宋体" w:hAnsi="宋体" w:eastAsia="宋体" w:cs="宋体"/>
          <w:spacing w:val="8"/>
          <w:sz w:val="20"/>
          <w:szCs w:val="20"/>
        </w:rPr>
        <w:t>山东博会工程造价咨询有限公司</w:t>
      </w:r>
    </w:p>
    <w:p>
      <w:pPr>
        <w:spacing w:before="162" w:line="221" w:lineRule="auto"/>
        <w:ind w:left="2716"/>
        <w:rPr>
          <w:rFonts w:ascii="宋体" w:hAnsi="宋体" w:eastAsia="宋体" w:cs="宋体"/>
          <w:sz w:val="20"/>
          <w:szCs w:val="20"/>
        </w:rPr>
      </w:pPr>
      <w:r>
        <w:rPr>
          <w:rFonts w:ascii="宋体" w:hAnsi="宋体" w:eastAsia="宋体" w:cs="宋体"/>
          <w:spacing w:val="8"/>
          <w:sz w:val="20"/>
          <w:szCs w:val="20"/>
        </w:rPr>
        <w:t>山东同力建设项目管理有限公司</w:t>
      </w:r>
    </w:p>
    <w:p>
      <w:pPr>
        <w:spacing w:line="221" w:lineRule="auto"/>
        <w:rPr>
          <w:rFonts w:ascii="宋体" w:hAnsi="宋体" w:eastAsia="宋体" w:cs="宋体"/>
          <w:sz w:val="20"/>
          <w:szCs w:val="20"/>
        </w:rPr>
        <w:sectPr>
          <w:footerReference r:id="rId327" w:type="default"/>
          <w:pgSz w:w="11906" w:h="16839"/>
          <w:pgMar w:top="400" w:right="1420" w:bottom="1185" w:left="1785" w:header="0" w:footer="870" w:gutter="0"/>
        </w:sect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35"/>
        <w:ind w:left="2564"/>
        <w:outlineLvl w:val="0"/>
        <w:rPr>
          <w:rFonts w:ascii="方正小标宋简体" w:hAnsi="方正小标宋简体" w:eastAsia="方正小标宋简体" w:cs="方正小标宋简体"/>
          <w:sz w:val="35"/>
          <w:szCs w:val="35"/>
        </w:rPr>
      </w:pPr>
      <w:bookmarkStart w:id="248" w:name="bookmark134"/>
      <w:bookmarkEnd w:id="248"/>
      <w:r>
        <w:rPr>
          <w:rFonts w:ascii="方正小标宋简体" w:hAnsi="方正小标宋简体" w:eastAsia="方正小标宋简体" w:cs="方正小标宋简体"/>
          <w:spacing w:val="8"/>
          <w:sz w:val="35"/>
          <w:szCs w:val="35"/>
        </w:rPr>
        <w:t>淄博市住房和城乡建设局</w:t>
      </w:r>
    </w:p>
    <w:p>
      <w:pPr>
        <w:spacing w:before="58" w:line="241" w:lineRule="auto"/>
        <w:ind w:left="1841" w:right="986" w:hanging="634"/>
        <w:outlineLvl w:val="0"/>
        <w:rPr>
          <w:rFonts w:ascii="方正小标宋简体" w:hAnsi="方正小标宋简体" w:eastAsia="方正小标宋简体" w:cs="方正小标宋简体"/>
          <w:sz w:val="35"/>
          <w:szCs w:val="35"/>
        </w:rPr>
      </w:pPr>
      <w:bookmarkStart w:id="249" w:name="bookmark134"/>
      <w:bookmarkEnd w:id="249"/>
      <w:r>
        <w:rPr>
          <w:rFonts w:ascii="方正小标宋简体" w:hAnsi="方正小标宋简体" w:eastAsia="方正小标宋简体" w:cs="方正小标宋简体"/>
          <w:spacing w:val="8"/>
          <w:sz w:val="35"/>
          <w:szCs w:val="35"/>
        </w:rPr>
        <w:t>关于公布 2025 年度淄博市房屋建筑和市政</w:t>
      </w:r>
      <w:bookmarkStart w:id="250" w:name="bookmark134"/>
      <w:bookmarkEnd w:id="250"/>
      <w:r>
        <w:rPr>
          <w:rFonts w:ascii="方正小标宋简体" w:hAnsi="方正小标宋简体" w:eastAsia="方正小标宋简体" w:cs="方正小标宋简体"/>
          <w:spacing w:val="9"/>
          <w:sz w:val="35"/>
          <w:szCs w:val="35"/>
        </w:rPr>
        <w:t>道路工程平方米造价估价表的通知</w:t>
      </w:r>
    </w:p>
    <w:p>
      <w:pPr>
        <w:spacing w:line="389" w:lineRule="auto"/>
        <w:rPr>
          <w:rFonts w:ascii="Arial"/>
          <w:sz w:val="21"/>
        </w:rPr>
      </w:pPr>
    </w:p>
    <w:p>
      <w:pPr>
        <w:spacing w:before="65" w:line="370" w:lineRule="auto"/>
        <w:ind w:firstLine="1"/>
        <w:rPr>
          <w:rFonts w:ascii="宋体" w:hAnsi="宋体" w:eastAsia="宋体" w:cs="宋体"/>
          <w:sz w:val="20"/>
          <w:szCs w:val="20"/>
        </w:rPr>
      </w:pPr>
      <w:r>
        <w:rPr>
          <w:rFonts w:ascii="宋体" w:hAnsi="宋体" w:eastAsia="宋体" w:cs="宋体"/>
          <w:spacing w:val="11"/>
          <w:sz w:val="20"/>
          <w:szCs w:val="20"/>
        </w:rPr>
        <w:t>各区县住房城乡建设局，高新区、经济开发区建设局，文昌湖省</w:t>
      </w:r>
      <w:r>
        <w:rPr>
          <w:rFonts w:ascii="宋体" w:hAnsi="宋体" w:eastAsia="宋体" w:cs="宋体"/>
          <w:spacing w:val="10"/>
          <w:sz w:val="20"/>
          <w:szCs w:val="20"/>
        </w:rPr>
        <w:t>级旅游度假区城乡建设局，各有</w:t>
      </w:r>
      <w:r>
        <w:rPr>
          <w:rFonts w:ascii="宋体" w:hAnsi="宋体" w:eastAsia="宋体" w:cs="宋体"/>
          <w:spacing w:val="6"/>
          <w:sz w:val="20"/>
          <w:szCs w:val="20"/>
        </w:rPr>
        <w:t>关单位:</w:t>
      </w:r>
    </w:p>
    <w:p>
      <w:pPr>
        <w:spacing w:before="3" w:line="375" w:lineRule="auto"/>
        <w:ind w:firstLine="426"/>
        <w:jc w:val="both"/>
        <w:rPr>
          <w:rFonts w:ascii="宋体" w:hAnsi="宋体" w:eastAsia="宋体" w:cs="宋体"/>
          <w:sz w:val="20"/>
          <w:szCs w:val="20"/>
        </w:rPr>
      </w:pPr>
      <w:r>
        <w:rPr>
          <w:rFonts w:ascii="宋体" w:hAnsi="宋体" w:eastAsia="宋体" w:cs="宋体"/>
          <w:spacing w:val="11"/>
          <w:sz w:val="20"/>
          <w:szCs w:val="20"/>
        </w:rPr>
        <w:t>为适应市场经济需要，及时反映建筑市场价格变化</w:t>
      </w:r>
      <w:r>
        <w:rPr>
          <w:rFonts w:ascii="宋体" w:hAnsi="宋体" w:eastAsia="宋体" w:cs="宋体"/>
          <w:spacing w:val="10"/>
          <w:sz w:val="20"/>
          <w:szCs w:val="20"/>
        </w:rPr>
        <w:t>，满足建设各方对建设工程项目进行技术</w:t>
      </w:r>
      <w:r>
        <w:rPr>
          <w:rFonts w:ascii="宋体" w:hAnsi="宋体" w:eastAsia="宋体" w:cs="宋体"/>
          <w:spacing w:val="11"/>
          <w:sz w:val="20"/>
          <w:szCs w:val="20"/>
        </w:rPr>
        <w:t>经济评价及编制投资估算的需要，构建动态化、多元化的工程造价</w:t>
      </w:r>
      <w:r>
        <w:rPr>
          <w:rFonts w:ascii="宋体" w:hAnsi="宋体" w:eastAsia="宋体" w:cs="宋体"/>
          <w:spacing w:val="10"/>
          <w:sz w:val="20"/>
          <w:szCs w:val="20"/>
        </w:rPr>
        <w:t>信息服务，近期，市住房城乡</w:t>
      </w:r>
      <w:r>
        <w:rPr>
          <w:rFonts w:ascii="宋体" w:hAnsi="宋体" w:eastAsia="宋体" w:cs="宋体"/>
          <w:spacing w:val="11"/>
          <w:sz w:val="20"/>
          <w:szCs w:val="20"/>
        </w:rPr>
        <w:t>建设局选取部分代表性工程，组织测算了本年度各类房屋建筑和市</w:t>
      </w:r>
      <w:r>
        <w:rPr>
          <w:rFonts w:ascii="宋体" w:hAnsi="宋体" w:eastAsia="宋体" w:cs="宋体"/>
          <w:spacing w:val="10"/>
          <w:sz w:val="20"/>
          <w:szCs w:val="20"/>
        </w:rPr>
        <w:t>政道路工程平方米造价，现予</w:t>
      </w:r>
      <w:r>
        <w:rPr>
          <w:rFonts w:ascii="宋体" w:hAnsi="宋体" w:eastAsia="宋体" w:cs="宋体"/>
          <w:spacing w:val="11"/>
          <w:sz w:val="20"/>
          <w:szCs w:val="20"/>
        </w:rPr>
        <w:t>以公布。该平方米造价估算单价仅作为建设主体各方估价的参</w:t>
      </w:r>
      <w:r>
        <w:rPr>
          <w:rFonts w:ascii="宋体" w:hAnsi="宋体" w:eastAsia="宋体" w:cs="宋体"/>
          <w:spacing w:val="10"/>
          <w:sz w:val="20"/>
          <w:szCs w:val="20"/>
        </w:rPr>
        <w:t>考（不涉及“好房子”试点项目和</w:t>
      </w:r>
      <w:r>
        <w:rPr>
          <w:rFonts w:ascii="宋体" w:hAnsi="宋体" w:eastAsia="宋体" w:cs="宋体"/>
          <w:spacing w:val="9"/>
          <w:sz w:val="20"/>
          <w:szCs w:val="20"/>
        </w:rPr>
        <w:t>按“好房子”标准建设的项目</w:t>
      </w:r>
      <w:r>
        <w:rPr>
          <w:rFonts w:ascii="宋体" w:hAnsi="宋体" w:eastAsia="宋体" w:cs="宋体"/>
          <w:spacing w:val="-7"/>
          <w:sz w:val="20"/>
          <w:szCs w:val="20"/>
        </w:rPr>
        <w:t>）</w:t>
      </w:r>
      <w:r>
        <w:rPr>
          <w:rFonts w:ascii="宋体" w:hAnsi="宋体" w:eastAsia="宋体" w:cs="宋体"/>
          <w:spacing w:val="-52"/>
          <w:sz w:val="20"/>
          <w:szCs w:val="20"/>
        </w:rPr>
        <w:t xml:space="preserve"> </w:t>
      </w:r>
      <w:r>
        <w:rPr>
          <w:rFonts w:ascii="宋体" w:hAnsi="宋体" w:eastAsia="宋体" w:cs="宋体"/>
          <w:spacing w:val="-7"/>
          <w:sz w:val="20"/>
          <w:szCs w:val="20"/>
        </w:rPr>
        <w:t>，</w:t>
      </w:r>
      <w:r>
        <w:rPr>
          <w:rFonts w:ascii="宋体" w:hAnsi="宋体" w:eastAsia="宋体" w:cs="宋体"/>
          <w:spacing w:val="9"/>
          <w:sz w:val="20"/>
          <w:szCs w:val="20"/>
        </w:rPr>
        <w:t>不作为工程结算及处理计价纠纷的依据。</w:t>
      </w:r>
    </w:p>
    <w:p>
      <w:pPr>
        <w:spacing w:line="295" w:lineRule="auto"/>
        <w:rPr>
          <w:rFonts w:ascii="Arial"/>
          <w:sz w:val="21"/>
        </w:rPr>
      </w:pPr>
    </w:p>
    <w:p>
      <w:pPr>
        <w:spacing w:before="66" w:line="276" w:lineRule="exact"/>
        <w:ind w:left="434"/>
        <w:rPr>
          <w:rFonts w:ascii="宋体" w:hAnsi="宋体" w:eastAsia="宋体" w:cs="宋体"/>
          <w:sz w:val="20"/>
          <w:szCs w:val="20"/>
        </w:rPr>
      </w:pPr>
      <w:r>
        <w:rPr>
          <w:rFonts w:ascii="宋体" w:hAnsi="宋体" w:eastAsia="宋体" w:cs="宋体"/>
          <w:spacing w:val="6"/>
          <w:position w:val="1"/>
          <w:sz w:val="20"/>
          <w:szCs w:val="20"/>
        </w:rPr>
        <w:t>附件：1.2025</w:t>
      </w:r>
      <w:r>
        <w:rPr>
          <w:rFonts w:ascii="宋体" w:hAnsi="宋体" w:eastAsia="宋体" w:cs="宋体"/>
          <w:spacing w:val="-35"/>
          <w:position w:val="1"/>
          <w:sz w:val="20"/>
          <w:szCs w:val="20"/>
        </w:rPr>
        <w:t xml:space="preserve"> </w:t>
      </w:r>
      <w:r>
        <w:rPr>
          <w:rFonts w:ascii="宋体" w:hAnsi="宋体" w:eastAsia="宋体" w:cs="宋体"/>
          <w:spacing w:val="6"/>
          <w:position w:val="1"/>
          <w:sz w:val="20"/>
          <w:szCs w:val="20"/>
        </w:rPr>
        <w:t>年度淄博市房屋建筑工程建设平方米造价估价表</w:t>
      </w:r>
    </w:p>
    <w:p>
      <w:pPr>
        <w:spacing w:before="122" w:line="276" w:lineRule="exact"/>
        <w:ind w:left="1054"/>
        <w:rPr>
          <w:rFonts w:ascii="宋体" w:hAnsi="宋体" w:eastAsia="宋体" w:cs="宋体"/>
          <w:sz w:val="20"/>
          <w:szCs w:val="20"/>
        </w:rPr>
      </w:pPr>
      <w:r>
        <w:rPr>
          <w:rFonts w:ascii="宋体" w:hAnsi="宋体" w:eastAsia="宋体" w:cs="宋体"/>
          <w:spacing w:val="6"/>
          <w:position w:val="1"/>
          <w:sz w:val="20"/>
          <w:szCs w:val="20"/>
        </w:rPr>
        <w:t>2.2025</w:t>
      </w:r>
      <w:r>
        <w:rPr>
          <w:rFonts w:ascii="宋体" w:hAnsi="宋体" w:eastAsia="宋体" w:cs="宋体"/>
          <w:spacing w:val="-36"/>
          <w:position w:val="1"/>
          <w:sz w:val="20"/>
          <w:szCs w:val="20"/>
        </w:rPr>
        <w:t xml:space="preserve"> </w:t>
      </w:r>
      <w:r>
        <w:rPr>
          <w:rFonts w:ascii="宋体" w:hAnsi="宋体" w:eastAsia="宋体" w:cs="宋体"/>
          <w:spacing w:val="6"/>
          <w:position w:val="1"/>
          <w:sz w:val="20"/>
          <w:szCs w:val="20"/>
        </w:rPr>
        <w:t>年度淄博市市政道路工程建设平方米造价估价表</w:t>
      </w:r>
    </w:p>
    <w:p>
      <w:pPr>
        <w:spacing w:before="125" w:line="277" w:lineRule="exact"/>
        <w:ind w:left="1057"/>
        <w:rPr>
          <w:rFonts w:ascii="宋体" w:hAnsi="宋体" w:eastAsia="宋体" w:cs="宋体"/>
          <w:sz w:val="20"/>
          <w:szCs w:val="20"/>
        </w:rPr>
      </w:pPr>
      <w:r>
        <w:rPr>
          <w:rFonts w:ascii="宋体" w:hAnsi="宋体" w:eastAsia="宋体" w:cs="宋体"/>
          <w:spacing w:val="2"/>
          <w:position w:val="1"/>
          <w:sz w:val="20"/>
          <w:szCs w:val="20"/>
        </w:rPr>
        <w:t>3.信息采纳单位名单</w:t>
      </w: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65" w:line="222" w:lineRule="auto"/>
        <w:jc w:val="right"/>
        <w:rPr>
          <w:rFonts w:ascii="宋体" w:hAnsi="宋体" w:eastAsia="宋体" w:cs="宋体"/>
          <w:sz w:val="20"/>
          <w:szCs w:val="20"/>
        </w:rPr>
      </w:pPr>
      <w:r>
        <w:rPr>
          <w:rFonts w:ascii="宋体" w:hAnsi="宋体" w:eastAsia="宋体" w:cs="宋体"/>
          <w:spacing w:val="8"/>
          <w:sz w:val="20"/>
          <w:szCs w:val="20"/>
        </w:rPr>
        <w:t>淄博市住房和城乡建设局</w:t>
      </w:r>
    </w:p>
    <w:p>
      <w:pPr>
        <w:spacing w:before="158" w:line="278" w:lineRule="exact"/>
        <w:jc w:val="right"/>
        <w:rPr>
          <w:rFonts w:ascii="宋体" w:hAnsi="宋体" w:eastAsia="宋体" w:cs="宋体"/>
          <w:sz w:val="20"/>
          <w:szCs w:val="20"/>
        </w:rPr>
      </w:pPr>
      <w:r>
        <w:rPr>
          <w:rFonts w:ascii="宋体" w:hAnsi="宋体" w:eastAsia="宋体" w:cs="宋体"/>
          <w:spacing w:val="-5"/>
          <w:position w:val="1"/>
          <w:sz w:val="20"/>
          <w:szCs w:val="20"/>
        </w:rPr>
        <w:t>2025</w:t>
      </w:r>
      <w:r>
        <w:rPr>
          <w:rFonts w:ascii="宋体" w:hAnsi="宋体" w:eastAsia="宋体" w:cs="宋体"/>
          <w:spacing w:val="-34"/>
          <w:position w:val="1"/>
          <w:sz w:val="20"/>
          <w:szCs w:val="20"/>
        </w:rPr>
        <w:t xml:space="preserve"> </w:t>
      </w:r>
      <w:r>
        <w:rPr>
          <w:rFonts w:ascii="宋体" w:hAnsi="宋体" w:eastAsia="宋体" w:cs="宋体"/>
          <w:spacing w:val="-5"/>
          <w:position w:val="1"/>
          <w:sz w:val="20"/>
          <w:szCs w:val="20"/>
        </w:rPr>
        <w:t>年</w:t>
      </w:r>
      <w:r>
        <w:rPr>
          <w:rFonts w:ascii="宋体" w:hAnsi="宋体" w:eastAsia="宋体" w:cs="宋体"/>
          <w:spacing w:val="-25"/>
          <w:position w:val="1"/>
          <w:sz w:val="20"/>
          <w:szCs w:val="20"/>
        </w:rPr>
        <w:t xml:space="preserve"> </w:t>
      </w:r>
      <w:r>
        <w:rPr>
          <w:rFonts w:ascii="宋体" w:hAnsi="宋体" w:eastAsia="宋体" w:cs="宋体"/>
          <w:spacing w:val="-5"/>
          <w:position w:val="1"/>
          <w:sz w:val="20"/>
          <w:szCs w:val="20"/>
        </w:rPr>
        <w:t>12</w:t>
      </w:r>
      <w:r>
        <w:rPr>
          <w:rFonts w:ascii="宋体" w:hAnsi="宋体" w:eastAsia="宋体" w:cs="宋体"/>
          <w:spacing w:val="-38"/>
          <w:position w:val="1"/>
          <w:sz w:val="20"/>
          <w:szCs w:val="20"/>
        </w:rPr>
        <w:t xml:space="preserve"> </w:t>
      </w:r>
      <w:r>
        <w:rPr>
          <w:rFonts w:ascii="宋体" w:hAnsi="宋体" w:eastAsia="宋体" w:cs="宋体"/>
          <w:spacing w:val="-5"/>
          <w:position w:val="1"/>
          <w:sz w:val="20"/>
          <w:szCs w:val="20"/>
        </w:rPr>
        <w:t>月</w:t>
      </w:r>
      <w:r>
        <w:rPr>
          <w:rFonts w:ascii="宋体" w:hAnsi="宋体" w:eastAsia="宋体" w:cs="宋体"/>
          <w:spacing w:val="-24"/>
          <w:position w:val="1"/>
          <w:sz w:val="20"/>
          <w:szCs w:val="20"/>
        </w:rPr>
        <w:t xml:space="preserve"> </w:t>
      </w:r>
      <w:r>
        <w:rPr>
          <w:rFonts w:ascii="宋体" w:hAnsi="宋体" w:eastAsia="宋体" w:cs="宋体"/>
          <w:spacing w:val="-5"/>
          <w:position w:val="1"/>
          <w:sz w:val="20"/>
          <w:szCs w:val="20"/>
        </w:rPr>
        <w:t>19 日</w:t>
      </w:r>
    </w:p>
    <w:p>
      <w:pPr>
        <w:spacing w:line="278" w:lineRule="exact"/>
        <w:rPr>
          <w:rFonts w:ascii="宋体" w:hAnsi="宋体" w:eastAsia="宋体" w:cs="宋体"/>
          <w:sz w:val="20"/>
          <w:szCs w:val="20"/>
        </w:rPr>
        <w:sectPr>
          <w:footerReference r:id="rId328" w:type="default"/>
          <w:pgSz w:w="11906" w:h="16839"/>
          <w:pgMar w:top="400" w:right="1636" w:bottom="1185" w:left="1418" w:header="0" w:footer="870" w:gutter="0"/>
        </w:sectPr>
      </w:pPr>
    </w:p>
    <w:p>
      <w:pPr>
        <w:spacing w:line="286" w:lineRule="auto"/>
        <w:rPr>
          <w:rFonts w:ascii="Arial"/>
          <w:sz w:val="21"/>
        </w:rPr>
      </w:pP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before="65" w:line="233" w:lineRule="auto"/>
        <w:ind w:left="1130"/>
        <w:rPr>
          <w:rFonts w:ascii="黑体" w:hAnsi="黑体" w:eastAsia="黑体" w:cs="黑体"/>
          <w:sz w:val="20"/>
          <w:szCs w:val="20"/>
        </w:rPr>
      </w:pPr>
      <w:r>
        <w:rPr>
          <w:rFonts w:ascii="黑体" w:hAnsi="黑体" w:eastAsia="黑体" w:cs="黑体"/>
          <w:spacing w:val="-1"/>
          <w:sz w:val="20"/>
          <w:szCs w:val="20"/>
        </w:rPr>
        <w:t>附件</w:t>
      </w:r>
      <w:r>
        <w:rPr>
          <w:rFonts w:ascii="黑体" w:hAnsi="黑体" w:eastAsia="黑体" w:cs="黑体"/>
          <w:spacing w:val="-27"/>
          <w:sz w:val="20"/>
          <w:szCs w:val="20"/>
        </w:rPr>
        <w:t xml:space="preserve"> </w:t>
      </w:r>
      <w:r>
        <w:rPr>
          <w:rFonts w:ascii="黑体" w:hAnsi="黑体" w:eastAsia="黑体" w:cs="黑体"/>
          <w:spacing w:val="-1"/>
          <w:sz w:val="20"/>
          <w:szCs w:val="20"/>
        </w:rPr>
        <w:t>1</w:t>
      </w:r>
    </w:p>
    <w:p>
      <w:pPr>
        <w:spacing w:before="107" w:line="235" w:lineRule="auto"/>
        <w:ind w:left="3887"/>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2025 年度淄博市房屋建筑工程平方米造价估价表</w:t>
      </w:r>
    </w:p>
    <w:p>
      <w:pPr>
        <w:spacing w:line="25" w:lineRule="exact"/>
      </w:pPr>
    </w:p>
    <w:tbl>
      <w:tblPr>
        <w:tblStyle w:val="5"/>
        <w:tblW w:w="141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6"/>
        <w:gridCol w:w="1347"/>
        <w:gridCol w:w="2385"/>
        <w:gridCol w:w="1177"/>
        <w:gridCol w:w="88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4" w:hRule="atLeast"/>
        </w:trPr>
        <w:tc>
          <w:tcPr>
            <w:tcW w:w="366" w:type="dxa"/>
            <w:textDirection w:val="tbRlV"/>
            <w:vAlign w:val="top"/>
          </w:tcPr>
          <w:p>
            <w:pPr>
              <w:spacing w:before="78" w:line="220" w:lineRule="auto"/>
              <w:ind w:left="85"/>
              <w:rPr>
                <w:rFonts w:ascii="宋体" w:hAnsi="宋体" w:eastAsia="宋体" w:cs="宋体"/>
                <w:sz w:val="20"/>
                <w:szCs w:val="20"/>
              </w:rPr>
            </w:pPr>
            <w:r>
              <w:rPr>
                <w:rFonts w:ascii="宋体" w:hAnsi="宋体" w:eastAsia="宋体" w:cs="宋体"/>
                <w:b/>
                <w:bCs/>
                <w:spacing w:val="-2"/>
                <w:sz w:val="20"/>
                <w:szCs w:val="20"/>
              </w:rPr>
              <w:t>序</w:t>
            </w:r>
            <w:r>
              <w:rPr>
                <w:rFonts w:ascii="宋体" w:hAnsi="宋体" w:eastAsia="宋体" w:cs="宋体"/>
                <w:spacing w:val="64"/>
                <w:sz w:val="20"/>
                <w:szCs w:val="20"/>
              </w:rPr>
              <w:t xml:space="preserve"> </w:t>
            </w:r>
            <w:r>
              <w:rPr>
                <w:rFonts w:ascii="宋体" w:hAnsi="宋体" w:eastAsia="宋体" w:cs="宋体"/>
                <w:b/>
                <w:bCs/>
                <w:spacing w:val="-2"/>
                <w:sz w:val="20"/>
                <w:szCs w:val="20"/>
              </w:rPr>
              <w:t>号</w:t>
            </w:r>
          </w:p>
        </w:tc>
        <w:tc>
          <w:tcPr>
            <w:tcW w:w="1347" w:type="dxa"/>
            <w:vAlign w:val="top"/>
          </w:tcPr>
          <w:p>
            <w:pPr>
              <w:spacing w:before="265" w:line="219" w:lineRule="auto"/>
              <w:ind w:left="252"/>
              <w:rPr>
                <w:rFonts w:ascii="宋体" w:hAnsi="宋体" w:eastAsia="宋体" w:cs="宋体"/>
                <w:sz w:val="20"/>
                <w:szCs w:val="20"/>
              </w:rPr>
            </w:pPr>
            <w:r>
              <w:rPr>
                <w:rFonts w:ascii="宋体" w:hAnsi="宋体" w:eastAsia="宋体" w:cs="宋体"/>
                <w:b/>
                <w:bCs/>
                <w:spacing w:val="7"/>
                <w:sz w:val="20"/>
                <w:szCs w:val="20"/>
              </w:rPr>
              <w:t>工程类别</w:t>
            </w:r>
          </w:p>
        </w:tc>
        <w:tc>
          <w:tcPr>
            <w:tcW w:w="2385" w:type="dxa"/>
            <w:vAlign w:val="top"/>
          </w:tcPr>
          <w:p>
            <w:pPr>
              <w:spacing w:before="263" w:line="221" w:lineRule="auto"/>
              <w:ind w:left="770"/>
              <w:rPr>
                <w:rFonts w:ascii="宋体" w:hAnsi="宋体" w:eastAsia="宋体" w:cs="宋体"/>
                <w:sz w:val="20"/>
                <w:szCs w:val="20"/>
              </w:rPr>
            </w:pPr>
            <w:r>
              <w:rPr>
                <w:rFonts w:ascii="宋体" w:hAnsi="宋体" w:eastAsia="宋体" w:cs="宋体"/>
                <w:b/>
                <w:bCs/>
                <w:spacing w:val="7"/>
                <w:sz w:val="20"/>
                <w:szCs w:val="20"/>
              </w:rPr>
              <w:t>工程条件</w:t>
            </w:r>
          </w:p>
        </w:tc>
        <w:tc>
          <w:tcPr>
            <w:tcW w:w="1177" w:type="dxa"/>
            <w:vAlign w:val="top"/>
          </w:tcPr>
          <w:p>
            <w:pPr>
              <w:spacing w:before="88" w:line="298" w:lineRule="auto"/>
              <w:ind w:left="132" w:right="60" w:hanging="71"/>
              <w:rPr>
                <w:rFonts w:ascii="宋体" w:hAnsi="宋体" w:eastAsia="宋体" w:cs="宋体"/>
                <w:sz w:val="20"/>
                <w:szCs w:val="20"/>
              </w:rPr>
            </w:pPr>
            <w:r>
              <w:rPr>
                <w:rFonts w:ascii="宋体" w:hAnsi="宋体" w:eastAsia="宋体" w:cs="宋体"/>
                <w:b/>
                <w:bCs/>
                <w:spacing w:val="7"/>
                <w:sz w:val="20"/>
                <w:szCs w:val="20"/>
              </w:rPr>
              <w:t>平方米造价</w:t>
            </w:r>
            <w:r>
              <w:rPr>
                <w:rFonts w:ascii="宋体" w:hAnsi="宋体" w:eastAsia="宋体" w:cs="宋体"/>
                <w:b/>
                <w:bCs/>
                <w:spacing w:val="4"/>
                <w:sz w:val="20"/>
                <w:szCs w:val="20"/>
              </w:rPr>
              <w:t>（元/m</w:t>
            </w:r>
            <w:r>
              <w:rPr>
                <w:rFonts w:ascii="宋体" w:hAnsi="宋体" w:eastAsia="宋体" w:cs="宋体"/>
                <w:b/>
                <w:bCs/>
                <w:spacing w:val="4"/>
                <w:position w:val="10"/>
                <w:sz w:val="10"/>
                <w:szCs w:val="10"/>
              </w:rPr>
              <w:t>2</w:t>
            </w:r>
            <w:r>
              <w:rPr>
                <w:rFonts w:ascii="宋体" w:hAnsi="宋体" w:eastAsia="宋体" w:cs="宋体"/>
                <w:spacing w:val="-20"/>
                <w:position w:val="10"/>
                <w:sz w:val="10"/>
                <w:szCs w:val="10"/>
              </w:rPr>
              <w:t xml:space="preserve"> </w:t>
            </w:r>
            <w:r>
              <w:rPr>
                <w:rFonts w:ascii="宋体" w:hAnsi="宋体" w:eastAsia="宋体" w:cs="宋体"/>
                <w:b/>
                <w:bCs/>
                <w:spacing w:val="4"/>
                <w:sz w:val="20"/>
                <w:szCs w:val="20"/>
              </w:rPr>
              <w:t>）</w:t>
            </w:r>
          </w:p>
        </w:tc>
        <w:tc>
          <w:tcPr>
            <w:tcW w:w="8851" w:type="dxa"/>
            <w:vAlign w:val="top"/>
          </w:tcPr>
          <w:p>
            <w:pPr>
              <w:spacing w:before="265" w:line="219" w:lineRule="auto"/>
              <w:ind w:left="3167"/>
              <w:rPr>
                <w:rFonts w:ascii="宋体" w:hAnsi="宋体" w:eastAsia="宋体" w:cs="宋体"/>
                <w:sz w:val="20"/>
                <w:szCs w:val="20"/>
              </w:rPr>
            </w:pPr>
            <w:r>
              <w:rPr>
                <w:rFonts w:ascii="宋体" w:hAnsi="宋体" w:eastAsia="宋体" w:cs="宋体"/>
                <w:b/>
                <w:bCs/>
                <w:spacing w:val="7"/>
                <w:sz w:val="20"/>
                <w:szCs w:val="20"/>
              </w:rPr>
              <w:t>主要结构、做法及价格组成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5" w:hRule="atLeast"/>
        </w:trPr>
        <w:tc>
          <w:tcPr>
            <w:tcW w:w="14126" w:type="dxa"/>
            <w:gridSpan w:val="5"/>
            <w:vAlign w:val="top"/>
          </w:tcPr>
          <w:p>
            <w:pPr>
              <w:spacing w:before="131" w:line="223" w:lineRule="auto"/>
              <w:ind w:left="229"/>
              <w:rPr>
                <w:rFonts w:ascii="宋体" w:hAnsi="宋体" w:eastAsia="宋体" w:cs="宋体"/>
                <w:sz w:val="20"/>
                <w:szCs w:val="20"/>
              </w:rPr>
            </w:pPr>
            <w:r>
              <w:rPr>
                <w:rFonts w:ascii="宋体" w:hAnsi="宋体" w:eastAsia="宋体" w:cs="宋体"/>
                <w:spacing w:val="8"/>
                <w:sz w:val="20"/>
                <w:szCs w:val="20"/>
              </w:rPr>
              <w:t>一、民用建筑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59" w:hRule="atLeast"/>
        </w:trPr>
        <w:tc>
          <w:tcPr>
            <w:tcW w:w="366" w:type="dxa"/>
            <w:vMerge w:val="restart"/>
            <w:tcBorders>
              <w:bottom w:val="nil"/>
            </w:tcBorders>
            <w:vAlign w:val="top"/>
          </w:tcPr>
          <w:p>
            <w:pPr>
              <w:pStyle w:val="6"/>
              <w:spacing w:line="254" w:lineRule="auto"/>
            </w:pPr>
          </w:p>
          <w:p>
            <w:pPr>
              <w:pStyle w:val="6"/>
              <w:spacing w:line="254"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spacing w:before="65" w:line="301" w:lineRule="exact"/>
              <w:ind w:left="149"/>
              <w:rPr>
                <w:rFonts w:ascii="宋体" w:hAnsi="宋体" w:eastAsia="宋体" w:cs="宋体"/>
                <w:sz w:val="20"/>
                <w:szCs w:val="20"/>
              </w:rPr>
            </w:pPr>
            <w:r>
              <w:rPr>
                <w:rFonts w:ascii="宋体" w:hAnsi="宋体" w:eastAsia="宋体" w:cs="宋体"/>
                <w:position w:val="2"/>
                <w:sz w:val="20"/>
                <w:szCs w:val="20"/>
              </w:rPr>
              <w:t>1</w:t>
            </w:r>
          </w:p>
        </w:tc>
        <w:tc>
          <w:tcPr>
            <w:tcW w:w="1347" w:type="dxa"/>
            <w:vMerge w:val="restart"/>
            <w:tcBorders>
              <w:bottom w:val="nil"/>
            </w:tcBorders>
            <w:vAlign w:val="top"/>
          </w:tcPr>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5" w:lineRule="auto"/>
            </w:pPr>
          </w:p>
          <w:p>
            <w:pPr>
              <w:pStyle w:val="6"/>
              <w:spacing w:line="256" w:lineRule="auto"/>
            </w:pPr>
          </w:p>
          <w:p>
            <w:pPr>
              <w:spacing w:before="65" w:line="223" w:lineRule="auto"/>
              <w:ind w:left="250"/>
              <w:rPr>
                <w:rFonts w:ascii="宋体" w:hAnsi="宋体" w:eastAsia="宋体" w:cs="宋体"/>
                <w:sz w:val="20"/>
                <w:szCs w:val="20"/>
              </w:rPr>
            </w:pPr>
            <w:r>
              <w:rPr>
                <w:rFonts w:ascii="宋体" w:hAnsi="宋体" w:eastAsia="宋体" w:cs="宋体"/>
                <w:spacing w:val="8"/>
                <w:sz w:val="20"/>
                <w:szCs w:val="20"/>
              </w:rPr>
              <w:t>公用建筑</w:t>
            </w:r>
          </w:p>
        </w:tc>
        <w:tc>
          <w:tcPr>
            <w:tcW w:w="2385" w:type="dxa"/>
            <w:vAlign w:val="top"/>
          </w:tcPr>
          <w:p>
            <w:pPr>
              <w:pStyle w:val="6"/>
              <w:spacing w:line="369" w:lineRule="auto"/>
            </w:pPr>
          </w:p>
          <w:p>
            <w:pPr>
              <w:spacing w:before="65" w:line="317" w:lineRule="auto"/>
              <w:ind w:left="666" w:right="168" w:hanging="524"/>
              <w:rPr>
                <w:rFonts w:ascii="宋体" w:hAnsi="宋体" w:eastAsia="宋体" w:cs="宋体"/>
                <w:sz w:val="20"/>
                <w:szCs w:val="20"/>
              </w:rPr>
            </w:pPr>
            <w:r>
              <w:rPr>
                <w:rFonts w:ascii="宋体" w:hAnsi="宋体" w:eastAsia="宋体" w:cs="宋体"/>
                <w:spacing w:val="6"/>
                <w:sz w:val="20"/>
                <w:szCs w:val="20"/>
              </w:rPr>
              <w:t>七层以下：框架结构、</w:t>
            </w:r>
            <w:r>
              <w:rPr>
                <w:rFonts w:ascii="宋体" w:hAnsi="宋体" w:eastAsia="宋体" w:cs="宋体"/>
                <w:spacing w:val="9"/>
                <w:sz w:val="20"/>
                <w:szCs w:val="20"/>
              </w:rPr>
              <w:t>综合办公楼</w:t>
            </w:r>
          </w:p>
        </w:tc>
        <w:tc>
          <w:tcPr>
            <w:tcW w:w="1177" w:type="dxa"/>
            <w:vAlign w:val="top"/>
          </w:tcPr>
          <w:p>
            <w:pPr>
              <w:pStyle w:val="6"/>
              <w:spacing w:line="274" w:lineRule="auto"/>
            </w:pPr>
          </w:p>
          <w:p>
            <w:pPr>
              <w:pStyle w:val="6"/>
              <w:spacing w:line="275" w:lineRule="auto"/>
            </w:pPr>
          </w:p>
          <w:p>
            <w:pPr>
              <w:spacing w:before="65" w:line="299" w:lineRule="exact"/>
              <w:ind w:left="383"/>
              <w:rPr>
                <w:rFonts w:ascii="宋体" w:hAnsi="宋体" w:eastAsia="宋体" w:cs="宋体"/>
                <w:sz w:val="20"/>
                <w:szCs w:val="20"/>
              </w:rPr>
            </w:pPr>
            <w:r>
              <w:rPr>
                <w:rFonts w:ascii="宋体" w:hAnsi="宋体" w:eastAsia="宋体" w:cs="宋体"/>
                <w:spacing w:val="1"/>
                <w:position w:val="2"/>
                <w:sz w:val="20"/>
                <w:szCs w:val="20"/>
              </w:rPr>
              <w:t>2600</w:t>
            </w:r>
          </w:p>
        </w:tc>
        <w:tc>
          <w:tcPr>
            <w:tcW w:w="8851" w:type="dxa"/>
            <w:vAlign w:val="top"/>
          </w:tcPr>
          <w:p>
            <w:pPr>
              <w:spacing w:before="127" w:line="305" w:lineRule="auto"/>
              <w:ind w:left="14" w:right="16" w:firstLine="3"/>
              <w:jc w:val="both"/>
              <w:rPr>
                <w:rFonts w:ascii="宋体" w:hAnsi="宋体" w:eastAsia="宋体" w:cs="宋体"/>
                <w:sz w:val="20"/>
                <w:szCs w:val="20"/>
              </w:rPr>
            </w:pPr>
            <w:r>
              <w:rPr>
                <w:rFonts w:ascii="宋体" w:hAnsi="宋体" w:eastAsia="宋体" w:cs="宋体"/>
                <w:spacing w:val="10"/>
                <w:sz w:val="20"/>
                <w:szCs w:val="20"/>
              </w:rPr>
              <w:t>钢筋混凝土独立基础、轻质砌块填充墙、现浇柱梁板、外墙贴瓷砖或刷涂</w:t>
            </w:r>
            <w:r>
              <w:rPr>
                <w:rFonts w:ascii="宋体" w:hAnsi="宋体" w:eastAsia="宋体" w:cs="宋体"/>
                <w:spacing w:val="9"/>
                <w:sz w:val="20"/>
                <w:szCs w:val="20"/>
              </w:rPr>
              <w:t>料、局部花岗石板、局</w:t>
            </w:r>
            <w:r>
              <w:rPr>
                <w:rFonts w:ascii="宋体" w:hAnsi="宋体" w:eastAsia="宋体" w:cs="宋体"/>
                <w:spacing w:val="10"/>
                <w:sz w:val="20"/>
                <w:szCs w:val="20"/>
              </w:rPr>
              <w:t>部天棚吊顶、外墙保温、地面中档瓷砖、卫生间贴墙面砖、内墙天棚乳胶漆、隔热</w:t>
            </w:r>
            <w:r>
              <w:rPr>
                <w:rFonts w:ascii="宋体" w:hAnsi="宋体" w:eastAsia="宋体" w:cs="宋体"/>
                <w:spacing w:val="9"/>
                <w:sz w:val="20"/>
                <w:szCs w:val="20"/>
              </w:rPr>
              <w:t>断桥窗、成品</w:t>
            </w:r>
            <w:r>
              <w:rPr>
                <w:rFonts w:ascii="宋体" w:hAnsi="宋体" w:eastAsia="宋体" w:cs="宋体"/>
                <w:spacing w:val="4"/>
                <w:sz w:val="20"/>
                <w:szCs w:val="20"/>
              </w:rPr>
              <w:t>门。水、电、暖。不含高级装修。其中：建筑工程</w:t>
            </w:r>
            <w:r>
              <w:rPr>
                <w:rFonts w:ascii="宋体" w:hAnsi="宋体" w:eastAsia="宋体" w:cs="宋体"/>
                <w:spacing w:val="-22"/>
                <w:sz w:val="20"/>
                <w:szCs w:val="20"/>
              </w:rPr>
              <w:t xml:space="preserve"> </w:t>
            </w:r>
            <w:r>
              <w:rPr>
                <w:rFonts w:ascii="宋体" w:hAnsi="宋体" w:eastAsia="宋体" w:cs="宋体"/>
                <w:spacing w:val="4"/>
                <w:sz w:val="20"/>
                <w:szCs w:val="20"/>
              </w:rPr>
              <w:t>1780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；安装工程</w:t>
            </w:r>
            <w:r>
              <w:rPr>
                <w:rFonts w:ascii="宋体" w:hAnsi="宋体" w:eastAsia="宋体" w:cs="宋体"/>
                <w:spacing w:val="-39"/>
                <w:sz w:val="20"/>
                <w:szCs w:val="20"/>
              </w:rPr>
              <w:t xml:space="preserve"> </w:t>
            </w:r>
            <w:r>
              <w:rPr>
                <w:rFonts w:ascii="宋体" w:hAnsi="宋体" w:eastAsia="宋体" w:cs="宋体"/>
                <w:spacing w:val="4"/>
                <w:sz w:val="20"/>
                <w:szCs w:val="20"/>
              </w:rPr>
              <w:t>285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；通风空调</w:t>
            </w:r>
            <w:r>
              <w:rPr>
                <w:rFonts w:ascii="宋体" w:hAnsi="宋体" w:eastAsia="宋体" w:cs="宋体"/>
                <w:spacing w:val="-39"/>
                <w:sz w:val="20"/>
                <w:szCs w:val="20"/>
              </w:rPr>
              <w:t xml:space="preserve"> </w:t>
            </w:r>
            <w:r>
              <w:rPr>
                <w:rFonts w:ascii="宋体" w:hAnsi="宋体" w:eastAsia="宋体" w:cs="宋体"/>
                <w:spacing w:val="4"/>
                <w:sz w:val="20"/>
                <w:szCs w:val="20"/>
              </w:rPr>
              <w:t>235</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3"/>
                <w:sz w:val="20"/>
                <w:szCs w:val="20"/>
              </w:rPr>
              <w:t>；消防报警喷淋</w:t>
            </w:r>
            <w:r>
              <w:rPr>
                <w:rFonts w:ascii="宋体" w:hAnsi="宋体" w:eastAsia="宋体" w:cs="宋体"/>
                <w:spacing w:val="-42"/>
                <w:sz w:val="20"/>
                <w:szCs w:val="20"/>
              </w:rPr>
              <w:t xml:space="preserve"> </w:t>
            </w:r>
            <w:r>
              <w:rPr>
                <w:rFonts w:ascii="宋体" w:hAnsi="宋体" w:eastAsia="宋体" w:cs="宋体"/>
                <w:spacing w:val="3"/>
                <w:sz w:val="20"/>
                <w:szCs w:val="20"/>
              </w:rPr>
              <w:t>210</w:t>
            </w:r>
            <w:r>
              <w:rPr>
                <w:rFonts w:ascii="宋体" w:hAnsi="宋体" w:eastAsia="宋体" w:cs="宋体"/>
                <w:spacing w:val="-40"/>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3"/>
                <w:sz w:val="20"/>
                <w:szCs w:val="20"/>
              </w:rPr>
              <w:t>；电梯</w:t>
            </w:r>
            <w:r>
              <w:rPr>
                <w:rFonts w:ascii="宋体" w:hAnsi="宋体" w:eastAsia="宋体" w:cs="宋体"/>
                <w:spacing w:val="-41"/>
                <w:sz w:val="20"/>
                <w:szCs w:val="20"/>
              </w:rPr>
              <w:t xml:space="preserve"> </w:t>
            </w:r>
            <w:r>
              <w:rPr>
                <w:rFonts w:ascii="宋体" w:hAnsi="宋体" w:eastAsia="宋体" w:cs="宋体"/>
                <w:spacing w:val="3"/>
                <w:sz w:val="20"/>
                <w:szCs w:val="20"/>
              </w:rPr>
              <w:t>90</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76" w:line="301" w:lineRule="auto"/>
              <w:ind w:left="669" w:right="168" w:hanging="527"/>
              <w:rPr>
                <w:rFonts w:ascii="宋体" w:hAnsi="宋体" w:eastAsia="宋体" w:cs="宋体"/>
                <w:sz w:val="20"/>
                <w:szCs w:val="20"/>
              </w:rPr>
            </w:pPr>
            <w:r>
              <w:rPr>
                <w:rFonts w:ascii="宋体" w:hAnsi="宋体" w:eastAsia="宋体" w:cs="宋体"/>
                <w:spacing w:val="6"/>
                <w:sz w:val="20"/>
                <w:szCs w:val="20"/>
              </w:rPr>
              <w:t>七层以下：框架结构、</w:t>
            </w:r>
            <w:r>
              <w:rPr>
                <w:rFonts w:ascii="宋体" w:hAnsi="宋体" w:eastAsia="宋体" w:cs="宋体"/>
                <w:spacing w:val="8"/>
                <w:sz w:val="20"/>
                <w:szCs w:val="20"/>
              </w:rPr>
              <w:t>商场综合楼</w:t>
            </w:r>
          </w:p>
        </w:tc>
        <w:tc>
          <w:tcPr>
            <w:tcW w:w="1177" w:type="dxa"/>
            <w:vAlign w:val="top"/>
          </w:tcPr>
          <w:p>
            <w:pPr>
              <w:spacing w:before="257" w:line="300" w:lineRule="exact"/>
              <w:ind w:left="383"/>
              <w:rPr>
                <w:rFonts w:ascii="宋体" w:hAnsi="宋体" w:eastAsia="宋体" w:cs="宋体"/>
                <w:sz w:val="20"/>
                <w:szCs w:val="20"/>
              </w:rPr>
            </w:pPr>
            <w:r>
              <w:rPr>
                <w:rFonts w:ascii="宋体" w:hAnsi="宋体" w:eastAsia="宋体" w:cs="宋体"/>
                <w:spacing w:val="1"/>
                <w:position w:val="2"/>
                <w:sz w:val="20"/>
                <w:szCs w:val="20"/>
              </w:rPr>
              <w:t>2580</w:t>
            </w:r>
          </w:p>
        </w:tc>
        <w:tc>
          <w:tcPr>
            <w:tcW w:w="8851" w:type="dxa"/>
            <w:vAlign w:val="top"/>
          </w:tcPr>
          <w:p>
            <w:pPr>
              <w:spacing w:before="107" w:line="287" w:lineRule="auto"/>
              <w:ind w:left="16" w:right="16" w:hanging="1"/>
              <w:rPr>
                <w:rFonts w:ascii="宋体" w:hAnsi="宋体" w:eastAsia="宋体" w:cs="宋体"/>
                <w:sz w:val="20"/>
                <w:szCs w:val="20"/>
              </w:rPr>
            </w:pPr>
            <w:r>
              <w:rPr>
                <w:rFonts w:ascii="宋体" w:hAnsi="宋体" w:eastAsia="宋体" w:cs="宋体"/>
                <w:spacing w:val="4"/>
                <w:sz w:val="20"/>
                <w:szCs w:val="20"/>
              </w:rPr>
              <w:t>做法同上。其中：建筑工程</w:t>
            </w:r>
            <w:r>
              <w:rPr>
                <w:rFonts w:ascii="宋体" w:hAnsi="宋体" w:eastAsia="宋体" w:cs="宋体"/>
                <w:spacing w:val="-25"/>
                <w:sz w:val="20"/>
                <w:szCs w:val="20"/>
              </w:rPr>
              <w:t xml:space="preserve"> </w:t>
            </w:r>
            <w:r>
              <w:rPr>
                <w:rFonts w:ascii="宋体" w:hAnsi="宋体" w:eastAsia="宋体" w:cs="宋体"/>
                <w:spacing w:val="4"/>
                <w:sz w:val="20"/>
                <w:szCs w:val="20"/>
              </w:rPr>
              <w:t>1740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4"/>
                <w:sz w:val="20"/>
                <w:szCs w:val="20"/>
              </w:rPr>
              <w:t>；安装工程</w:t>
            </w:r>
            <w:r>
              <w:rPr>
                <w:rFonts w:ascii="宋体" w:hAnsi="宋体" w:eastAsia="宋体" w:cs="宋体"/>
                <w:spacing w:val="-36"/>
                <w:sz w:val="20"/>
                <w:szCs w:val="20"/>
              </w:rPr>
              <w:t xml:space="preserve"> </w:t>
            </w:r>
            <w:r>
              <w:rPr>
                <w:rFonts w:ascii="宋体" w:hAnsi="宋体" w:eastAsia="宋体" w:cs="宋体"/>
                <w:spacing w:val="4"/>
                <w:sz w:val="20"/>
                <w:szCs w:val="20"/>
              </w:rPr>
              <w:t>305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4"/>
                <w:sz w:val="20"/>
                <w:szCs w:val="20"/>
              </w:rPr>
              <w:t>；通</w:t>
            </w:r>
            <w:r>
              <w:rPr>
                <w:rFonts w:ascii="宋体" w:hAnsi="宋体" w:eastAsia="宋体" w:cs="宋体"/>
                <w:spacing w:val="3"/>
                <w:sz w:val="20"/>
                <w:szCs w:val="20"/>
              </w:rPr>
              <w:t>风空调</w:t>
            </w:r>
            <w:r>
              <w:rPr>
                <w:rFonts w:ascii="宋体" w:hAnsi="宋体" w:eastAsia="宋体" w:cs="宋体"/>
                <w:spacing w:val="-37"/>
                <w:sz w:val="20"/>
                <w:szCs w:val="20"/>
              </w:rPr>
              <w:t xml:space="preserve"> </w:t>
            </w:r>
            <w:r>
              <w:rPr>
                <w:rFonts w:ascii="宋体" w:hAnsi="宋体" w:eastAsia="宋体" w:cs="宋体"/>
                <w:spacing w:val="3"/>
                <w:sz w:val="20"/>
                <w:szCs w:val="20"/>
              </w:rPr>
              <w:t>235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3"/>
                <w:sz w:val="20"/>
                <w:szCs w:val="20"/>
              </w:rPr>
              <w:t>；消防报警喷淋</w:t>
            </w:r>
            <w:r>
              <w:rPr>
                <w:rFonts w:ascii="宋体" w:hAnsi="宋体" w:eastAsia="宋体" w:cs="宋体"/>
                <w:spacing w:val="2"/>
                <w:sz w:val="20"/>
                <w:szCs w:val="20"/>
              </w:rPr>
              <w:t>210</w:t>
            </w:r>
            <w:r>
              <w:rPr>
                <w:rFonts w:ascii="宋体" w:hAnsi="宋体" w:eastAsia="宋体" w:cs="宋体"/>
                <w:spacing w:val="-39"/>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2"/>
                <w:sz w:val="20"/>
                <w:szCs w:val="20"/>
              </w:rPr>
              <w:t>；电梯</w:t>
            </w:r>
            <w:r>
              <w:rPr>
                <w:rFonts w:ascii="宋体" w:hAnsi="宋体" w:eastAsia="宋体" w:cs="宋体"/>
                <w:spacing w:val="-39"/>
                <w:sz w:val="20"/>
                <w:szCs w:val="20"/>
              </w:rPr>
              <w:t xml:space="preserve"> </w:t>
            </w:r>
            <w:r>
              <w:rPr>
                <w:rFonts w:ascii="宋体" w:hAnsi="宋体" w:eastAsia="宋体" w:cs="宋体"/>
                <w:spacing w:val="2"/>
                <w:sz w:val="20"/>
                <w:szCs w:val="20"/>
              </w:rPr>
              <w:t>90</w:t>
            </w:r>
            <w:r>
              <w:rPr>
                <w:rFonts w:ascii="宋体" w:hAnsi="宋体" w:eastAsia="宋体" w:cs="宋体"/>
                <w:spacing w:val="-45"/>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76" w:line="301" w:lineRule="auto"/>
              <w:ind w:left="669" w:right="168" w:hanging="527"/>
              <w:rPr>
                <w:rFonts w:ascii="宋体" w:hAnsi="宋体" w:eastAsia="宋体" w:cs="宋体"/>
                <w:sz w:val="20"/>
                <w:szCs w:val="20"/>
              </w:rPr>
            </w:pPr>
            <w:r>
              <w:rPr>
                <w:rFonts w:ascii="宋体" w:hAnsi="宋体" w:eastAsia="宋体" w:cs="宋体"/>
                <w:spacing w:val="6"/>
                <w:sz w:val="20"/>
                <w:szCs w:val="20"/>
              </w:rPr>
              <w:t>七层以下：框架结构、</w:t>
            </w:r>
            <w:r>
              <w:rPr>
                <w:rFonts w:ascii="宋体" w:hAnsi="宋体" w:eastAsia="宋体" w:cs="宋体"/>
                <w:spacing w:val="8"/>
                <w:sz w:val="20"/>
                <w:szCs w:val="20"/>
              </w:rPr>
              <w:t>教学综合楼</w:t>
            </w:r>
          </w:p>
        </w:tc>
        <w:tc>
          <w:tcPr>
            <w:tcW w:w="1177" w:type="dxa"/>
            <w:vAlign w:val="top"/>
          </w:tcPr>
          <w:p>
            <w:pPr>
              <w:spacing w:before="257" w:line="300" w:lineRule="exact"/>
              <w:ind w:left="383"/>
              <w:rPr>
                <w:rFonts w:ascii="宋体" w:hAnsi="宋体" w:eastAsia="宋体" w:cs="宋体"/>
                <w:sz w:val="20"/>
                <w:szCs w:val="20"/>
              </w:rPr>
            </w:pPr>
            <w:r>
              <w:rPr>
                <w:rFonts w:ascii="宋体" w:hAnsi="宋体" w:eastAsia="宋体" w:cs="宋体"/>
                <w:spacing w:val="1"/>
                <w:position w:val="2"/>
                <w:sz w:val="20"/>
                <w:szCs w:val="20"/>
              </w:rPr>
              <w:t>2530</w:t>
            </w:r>
          </w:p>
        </w:tc>
        <w:tc>
          <w:tcPr>
            <w:tcW w:w="8851" w:type="dxa"/>
            <w:vAlign w:val="top"/>
          </w:tcPr>
          <w:p>
            <w:pPr>
              <w:spacing w:before="107" w:line="287" w:lineRule="auto"/>
              <w:ind w:left="16" w:right="16" w:hanging="1"/>
              <w:rPr>
                <w:rFonts w:ascii="宋体" w:hAnsi="宋体" w:eastAsia="宋体" w:cs="宋体"/>
                <w:sz w:val="20"/>
                <w:szCs w:val="20"/>
              </w:rPr>
            </w:pPr>
            <w:r>
              <w:rPr>
                <w:rFonts w:ascii="宋体" w:hAnsi="宋体" w:eastAsia="宋体" w:cs="宋体"/>
                <w:spacing w:val="4"/>
                <w:sz w:val="20"/>
                <w:szCs w:val="20"/>
              </w:rPr>
              <w:t>做法同上。其中：建筑工程</w:t>
            </w:r>
            <w:r>
              <w:rPr>
                <w:rFonts w:ascii="宋体" w:hAnsi="宋体" w:eastAsia="宋体" w:cs="宋体"/>
                <w:spacing w:val="-24"/>
                <w:sz w:val="20"/>
                <w:szCs w:val="20"/>
              </w:rPr>
              <w:t xml:space="preserve"> </w:t>
            </w:r>
            <w:r>
              <w:rPr>
                <w:rFonts w:ascii="宋体" w:hAnsi="宋体" w:eastAsia="宋体" w:cs="宋体"/>
                <w:spacing w:val="4"/>
                <w:sz w:val="20"/>
                <w:szCs w:val="20"/>
              </w:rPr>
              <w:t>1710</w:t>
            </w:r>
            <w:r>
              <w:rPr>
                <w:rFonts w:ascii="宋体" w:hAnsi="宋体" w:eastAsia="宋体" w:cs="宋体"/>
                <w:spacing w:val="-45"/>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4"/>
                <w:sz w:val="20"/>
                <w:szCs w:val="20"/>
              </w:rPr>
              <w:t>；安装工程</w:t>
            </w:r>
            <w:r>
              <w:rPr>
                <w:rFonts w:ascii="宋体" w:hAnsi="宋体" w:eastAsia="宋体" w:cs="宋体"/>
                <w:spacing w:val="-39"/>
                <w:sz w:val="20"/>
                <w:szCs w:val="20"/>
              </w:rPr>
              <w:t xml:space="preserve"> </w:t>
            </w:r>
            <w:r>
              <w:rPr>
                <w:rFonts w:ascii="宋体" w:hAnsi="宋体" w:eastAsia="宋体" w:cs="宋体"/>
                <w:spacing w:val="4"/>
                <w:sz w:val="20"/>
                <w:szCs w:val="20"/>
              </w:rPr>
              <w:t>285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4"/>
                <w:sz w:val="20"/>
                <w:szCs w:val="20"/>
              </w:rPr>
              <w:t>；通风空调</w:t>
            </w:r>
            <w:r>
              <w:rPr>
                <w:rFonts w:ascii="宋体" w:hAnsi="宋体" w:eastAsia="宋体" w:cs="宋体"/>
                <w:spacing w:val="-37"/>
                <w:sz w:val="20"/>
                <w:szCs w:val="20"/>
              </w:rPr>
              <w:t xml:space="preserve"> </w:t>
            </w:r>
            <w:r>
              <w:rPr>
                <w:rFonts w:ascii="宋体" w:hAnsi="宋体" w:eastAsia="宋体" w:cs="宋体"/>
                <w:spacing w:val="4"/>
                <w:sz w:val="20"/>
                <w:szCs w:val="20"/>
              </w:rPr>
              <w:t>23</w:t>
            </w:r>
            <w:r>
              <w:rPr>
                <w:rFonts w:ascii="宋体" w:hAnsi="宋体" w:eastAsia="宋体" w:cs="宋体"/>
                <w:spacing w:val="3"/>
                <w:sz w:val="20"/>
                <w:szCs w:val="20"/>
              </w:rPr>
              <w:t>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3"/>
                <w:sz w:val="20"/>
                <w:szCs w:val="20"/>
              </w:rPr>
              <w:t>；消防报警喷淋</w:t>
            </w:r>
            <w:r>
              <w:rPr>
                <w:rFonts w:ascii="宋体" w:hAnsi="宋体" w:eastAsia="宋体" w:cs="宋体"/>
                <w:spacing w:val="2"/>
                <w:sz w:val="20"/>
                <w:szCs w:val="20"/>
              </w:rPr>
              <w:t>210</w:t>
            </w:r>
            <w:r>
              <w:rPr>
                <w:rFonts w:ascii="宋体" w:hAnsi="宋体" w:eastAsia="宋体" w:cs="宋体"/>
                <w:spacing w:val="-39"/>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2"/>
                <w:sz w:val="20"/>
                <w:szCs w:val="20"/>
              </w:rPr>
              <w:t>；电梯</w:t>
            </w:r>
            <w:r>
              <w:rPr>
                <w:rFonts w:ascii="宋体" w:hAnsi="宋体" w:eastAsia="宋体" w:cs="宋体"/>
                <w:spacing w:val="-39"/>
                <w:sz w:val="20"/>
                <w:szCs w:val="20"/>
              </w:rPr>
              <w:t xml:space="preserve"> </w:t>
            </w:r>
            <w:r>
              <w:rPr>
                <w:rFonts w:ascii="宋体" w:hAnsi="宋体" w:eastAsia="宋体" w:cs="宋体"/>
                <w:spacing w:val="2"/>
                <w:sz w:val="20"/>
                <w:szCs w:val="20"/>
              </w:rPr>
              <w:t>90</w:t>
            </w:r>
            <w:r>
              <w:rPr>
                <w:rFonts w:ascii="宋体" w:hAnsi="宋体" w:eastAsia="宋体" w:cs="宋体"/>
                <w:spacing w:val="-45"/>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5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pStyle w:val="6"/>
              <w:spacing w:line="372" w:lineRule="auto"/>
            </w:pPr>
          </w:p>
          <w:p>
            <w:pPr>
              <w:spacing w:before="65" w:line="317" w:lineRule="auto"/>
              <w:ind w:left="248" w:right="37" w:hanging="212"/>
              <w:rPr>
                <w:rFonts w:ascii="宋体" w:hAnsi="宋体" w:eastAsia="宋体" w:cs="宋体"/>
                <w:sz w:val="20"/>
                <w:szCs w:val="20"/>
              </w:rPr>
            </w:pPr>
            <w:r>
              <w:rPr>
                <w:rFonts w:ascii="宋体" w:hAnsi="宋体" w:eastAsia="宋体" w:cs="宋体"/>
                <w:spacing w:val="9"/>
                <w:sz w:val="20"/>
                <w:szCs w:val="20"/>
              </w:rPr>
              <w:t>七层以上十二层以下：框架结构、综合办公楼</w:t>
            </w:r>
          </w:p>
        </w:tc>
        <w:tc>
          <w:tcPr>
            <w:tcW w:w="1177" w:type="dxa"/>
            <w:vAlign w:val="top"/>
          </w:tcPr>
          <w:p>
            <w:pPr>
              <w:pStyle w:val="6"/>
              <w:spacing w:line="275" w:lineRule="auto"/>
            </w:pPr>
          </w:p>
          <w:p>
            <w:pPr>
              <w:pStyle w:val="6"/>
              <w:spacing w:line="276" w:lineRule="auto"/>
            </w:pPr>
          </w:p>
          <w:p>
            <w:pPr>
              <w:spacing w:before="65" w:line="300" w:lineRule="exact"/>
              <w:ind w:left="383"/>
              <w:rPr>
                <w:rFonts w:ascii="宋体" w:hAnsi="宋体" w:eastAsia="宋体" w:cs="宋体"/>
                <w:sz w:val="20"/>
                <w:szCs w:val="20"/>
              </w:rPr>
            </w:pPr>
            <w:r>
              <w:rPr>
                <w:rFonts w:ascii="宋体" w:hAnsi="宋体" w:eastAsia="宋体" w:cs="宋体"/>
                <w:spacing w:val="1"/>
                <w:position w:val="2"/>
                <w:sz w:val="20"/>
                <w:szCs w:val="20"/>
              </w:rPr>
              <w:t>2840</w:t>
            </w:r>
          </w:p>
        </w:tc>
        <w:tc>
          <w:tcPr>
            <w:tcW w:w="8851" w:type="dxa"/>
            <w:vAlign w:val="top"/>
          </w:tcPr>
          <w:p>
            <w:pPr>
              <w:spacing w:before="127" w:line="305" w:lineRule="auto"/>
              <w:ind w:left="14" w:right="16" w:firstLine="3"/>
              <w:jc w:val="both"/>
              <w:rPr>
                <w:rFonts w:ascii="宋体" w:hAnsi="宋体" w:eastAsia="宋体" w:cs="宋体"/>
                <w:sz w:val="20"/>
                <w:szCs w:val="20"/>
              </w:rPr>
            </w:pPr>
            <w:r>
              <w:rPr>
                <w:rFonts w:ascii="宋体" w:hAnsi="宋体" w:eastAsia="宋体" w:cs="宋体"/>
                <w:spacing w:val="10"/>
                <w:sz w:val="20"/>
                <w:szCs w:val="20"/>
              </w:rPr>
              <w:t>钢筋混凝土筏板基础、轻质砌块填充墙、现浇柱梁板、外墙贴瓷砖或刷涂</w:t>
            </w:r>
            <w:r>
              <w:rPr>
                <w:rFonts w:ascii="宋体" w:hAnsi="宋体" w:eastAsia="宋体" w:cs="宋体"/>
                <w:spacing w:val="9"/>
                <w:sz w:val="20"/>
                <w:szCs w:val="20"/>
              </w:rPr>
              <w:t>料、局部花岗石板、局</w:t>
            </w:r>
            <w:r>
              <w:rPr>
                <w:rFonts w:ascii="宋体" w:hAnsi="宋体" w:eastAsia="宋体" w:cs="宋体"/>
                <w:spacing w:val="10"/>
                <w:sz w:val="20"/>
                <w:szCs w:val="20"/>
              </w:rPr>
              <w:t>部天棚吊顶、外墙保温、地面中档瓷砖、卫生间贴墙面砖、内墙天棚乳胶漆、隔热</w:t>
            </w:r>
            <w:r>
              <w:rPr>
                <w:rFonts w:ascii="宋体" w:hAnsi="宋体" w:eastAsia="宋体" w:cs="宋体"/>
                <w:spacing w:val="9"/>
                <w:sz w:val="20"/>
                <w:szCs w:val="20"/>
              </w:rPr>
              <w:t>断桥窗、成品</w:t>
            </w:r>
            <w:r>
              <w:rPr>
                <w:rFonts w:ascii="宋体" w:hAnsi="宋体" w:eastAsia="宋体" w:cs="宋体"/>
                <w:spacing w:val="4"/>
                <w:sz w:val="20"/>
                <w:szCs w:val="20"/>
              </w:rPr>
              <w:t>门。水、电、暖。不含高级装修。其中：建筑工程</w:t>
            </w:r>
            <w:r>
              <w:rPr>
                <w:rFonts w:ascii="宋体" w:hAnsi="宋体" w:eastAsia="宋体" w:cs="宋体"/>
                <w:spacing w:val="-25"/>
                <w:sz w:val="20"/>
                <w:szCs w:val="20"/>
              </w:rPr>
              <w:t xml:space="preserve"> </w:t>
            </w:r>
            <w:r>
              <w:rPr>
                <w:rFonts w:ascii="宋体" w:hAnsi="宋体" w:eastAsia="宋体" w:cs="宋体"/>
                <w:spacing w:val="4"/>
                <w:sz w:val="20"/>
                <w:szCs w:val="20"/>
              </w:rPr>
              <w:t>2010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；安装工程</w:t>
            </w:r>
            <w:r>
              <w:rPr>
                <w:rFonts w:ascii="宋体" w:hAnsi="宋体" w:eastAsia="宋体" w:cs="宋体"/>
                <w:spacing w:val="-36"/>
                <w:sz w:val="20"/>
                <w:szCs w:val="20"/>
              </w:rPr>
              <w:t xml:space="preserve"> </w:t>
            </w:r>
            <w:r>
              <w:rPr>
                <w:rFonts w:ascii="宋体" w:hAnsi="宋体" w:eastAsia="宋体" w:cs="宋体"/>
                <w:spacing w:val="4"/>
                <w:sz w:val="20"/>
                <w:szCs w:val="20"/>
              </w:rPr>
              <w:t>305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；通风空调</w:t>
            </w:r>
            <w:r>
              <w:rPr>
                <w:rFonts w:ascii="宋体" w:hAnsi="宋体" w:eastAsia="宋体" w:cs="宋体"/>
                <w:spacing w:val="-39"/>
                <w:sz w:val="20"/>
                <w:szCs w:val="20"/>
              </w:rPr>
              <w:t xml:space="preserve"> </w:t>
            </w:r>
            <w:r>
              <w:rPr>
                <w:rFonts w:ascii="宋体" w:hAnsi="宋体" w:eastAsia="宋体" w:cs="宋体"/>
                <w:spacing w:val="4"/>
                <w:sz w:val="20"/>
                <w:szCs w:val="20"/>
              </w:rPr>
              <w:t>235</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6"/>
                <w:position w:val="10"/>
                <w:sz w:val="10"/>
                <w:szCs w:val="10"/>
              </w:rPr>
              <w:t xml:space="preserve"> </w:t>
            </w:r>
            <w:r>
              <w:rPr>
                <w:rFonts w:ascii="宋体" w:hAnsi="宋体" w:eastAsia="宋体" w:cs="宋体"/>
                <w:spacing w:val="3"/>
                <w:sz w:val="20"/>
                <w:szCs w:val="20"/>
              </w:rPr>
              <w:t>；消防报警喷淋</w:t>
            </w:r>
            <w:r>
              <w:rPr>
                <w:rFonts w:ascii="宋体" w:hAnsi="宋体" w:eastAsia="宋体" w:cs="宋体"/>
                <w:spacing w:val="-42"/>
                <w:sz w:val="20"/>
                <w:szCs w:val="20"/>
              </w:rPr>
              <w:t xml:space="preserve"> </w:t>
            </w:r>
            <w:r>
              <w:rPr>
                <w:rFonts w:ascii="宋体" w:hAnsi="宋体" w:eastAsia="宋体" w:cs="宋体"/>
                <w:spacing w:val="3"/>
                <w:sz w:val="20"/>
                <w:szCs w:val="20"/>
              </w:rPr>
              <w:t>210</w:t>
            </w:r>
            <w:r>
              <w:rPr>
                <w:rFonts w:ascii="宋体" w:hAnsi="宋体" w:eastAsia="宋体" w:cs="宋体"/>
                <w:spacing w:val="-40"/>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3"/>
                <w:sz w:val="20"/>
                <w:szCs w:val="20"/>
              </w:rPr>
              <w:t>；电梯</w:t>
            </w:r>
            <w:r>
              <w:rPr>
                <w:rFonts w:ascii="宋体" w:hAnsi="宋体" w:eastAsia="宋体" w:cs="宋体"/>
                <w:spacing w:val="-39"/>
                <w:sz w:val="20"/>
                <w:szCs w:val="20"/>
              </w:rPr>
              <w:t xml:space="preserve"> </w:t>
            </w:r>
            <w:r>
              <w:rPr>
                <w:rFonts w:ascii="宋体" w:hAnsi="宋体" w:eastAsia="宋体" w:cs="宋体"/>
                <w:spacing w:val="3"/>
                <w:sz w:val="20"/>
                <w:szCs w:val="20"/>
              </w:rPr>
              <w:t>80</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0"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80" w:line="300" w:lineRule="auto"/>
              <w:ind w:left="143" w:right="80" w:hanging="98"/>
              <w:rPr>
                <w:rFonts w:ascii="宋体" w:hAnsi="宋体" w:eastAsia="宋体" w:cs="宋体"/>
                <w:sz w:val="20"/>
                <w:szCs w:val="20"/>
              </w:rPr>
            </w:pPr>
            <w:r>
              <w:rPr>
                <w:rFonts w:ascii="宋体" w:hAnsi="宋体" w:eastAsia="宋体" w:cs="宋体"/>
                <w:spacing w:val="4"/>
                <w:sz w:val="20"/>
                <w:szCs w:val="20"/>
              </w:rPr>
              <w:t>十二层以上十八层以下：</w:t>
            </w:r>
            <w:r>
              <w:rPr>
                <w:rFonts w:ascii="宋体" w:hAnsi="宋体" w:eastAsia="宋体" w:cs="宋体"/>
                <w:spacing w:val="9"/>
                <w:sz w:val="20"/>
                <w:szCs w:val="20"/>
              </w:rPr>
              <w:t>框架结构、综合办公楼</w:t>
            </w:r>
          </w:p>
        </w:tc>
        <w:tc>
          <w:tcPr>
            <w:tcW w:w="1177" w:type="dxa"/>
            <w:vAlign w:val="top"/>
          </w:tcPr>
          <w:p>
            <w:pPr>
              <w:spacing w:before="260" w:line="299" w:lineRule="exact"/>
              <w:ind w:left="386"/>
              <w:rPr>
                <w:rFonts w:ascii="宋体" w:hAnsi="宋体" w:eastAsia="宋体" w:cs="宋体"/>
                <w:sz w:val="20"/>
                <w:szCs w:val="20"/>
              </w:rPr>
            </w:pPr>
            <w:r>
              <w:rPr>
                <w:rFonts w:ascii="宋体" w:hAnsi="宋体" w:eastAsia="宋体" w:cs="宋体"/>
                <w:spacing w:val="1"/>
                <w:position w:val="2"/>
                <w:sz w:val="20"/>
                <w:szCs w:val="20"/>
              </w:rPr>
              <w:t>3080</w:t>
            </w:r>
          </w:p>
        </w:tc>
        <w:tc>
          <w:tcPr>
            <w:tcW w:w="8851" w:type="dxa"/>
            <w:vAlign w:val="top"/>
          </w:tcPr>
          <w:p>
            <w:pPr>
              <w:spacing w:before="108" w:line="287" w:lineRule="auto"/>
              <w:ind w:left="21" w:hanging="6"/>
              <w:rPr>
                <w:rFonts w:ascii="宋体" w:hAnsi="宋体" w:eastAsia="宋体" w:cs="宋体"/>
                <w:sz w:val="20"/>
                <w:szCs w:val="20"/>
              </w:rPr>
            </w:pPr>
            <w:r>
              <w:rPr>
                <w:rFonts w:ascii="宋体" w:hAnsi="宋体" w:eastAsia="宋体" w:cs="宋体"/>
                <w:spacing w:val="1"/>
                <w:sz w:val="20"/>
                <w:szCs w:val="20"/>
              </w:rPr>
              <w:t>做法同上。其中：建筑工程</w:t>
            </w:r>
            <w:r>
              <w:rPr>
                <w:rFonts w:ascii="宋体" w:hAnsi="宋体" w:eastAsia="宋体" w:cs="宋体"/>
                <w:spacing w:val="-40"/>
                <w:sz w:val="20"/>
                <w:szCs w:val="20"/>
              </w:rPr>
              <w:t xml:space="preserve"> </w:t>
            </w:r>
            <w:r>
              <w:rPr>
                <w:rFonts w:ascii="宋体" w:hAnsi="宋体" w:eastAsia="宋体" w:cs="宋体"/>
                <w:spacing w:val="1"/>
                <w:sz w:val="20"/>
                <w:szCs w:val="20"/>
              </w:rPr>
              <w:t>2100</w:t>
            </w:r>
            <w:r>
              <w:rPr>
                <w:rFonts w:ascii="宋体" w:hAnsi="宋体" w:eastAsia="宋体" w:cs="宋体"/>
                <w:spacing w:val="-45"/>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；安装工程</w:t>
            </w:r>
            <w:r>
              <w:rPr>
                <w:rFonts w:ascii="宋体" w:hAnsi="宋体" w:eastAsia="宋体" w:cs="宋体"/>
                <w:spacing w:val="-36"/>
                <w:sz w:val="20"/>
                <w:szCs w:val="20"/>
              </w:rPr>
              <w:t xml:space="preserve"> </w:t>
            </w:r>
            <w:r>
              <w:rPr>
                <w:rFonts w:ascii="宋体" w:hAnsi="宋体" w:eastAsia="宋体" w:cs="宋体"/>
                <w:spacing w:val="1"/>
                <w:sz w:val="20"/>
                <w:szCs w:val="20"/>
              </w:rPr>
              <w:t>335</w:t>
            </w:r>
            <w:r>
              <w:rPr>
                <w:rFonts w:ascii="宋体" w:hAnsi="宋体" w:eastAsia="宋体" w:cs="宋体"/>
                <w:spacing w:val="-43"/>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；桩基</w:t>
            </w:r>
            <w:r>
              <w:rPr>
                <w:rFonts w:ascii="宋体" w:hAnsi="宋体" w:eastAsia="宋体" w:cs="宋体"/>
                <w:spacing w:val="-26"/>
                <w:sz w:val="20"/>
                <w:szCs w:val="20"/>
              </w:rPr>
              <w:t xml:space="preserve"> </w:t>
            </w:r>
            <w:r>
              <w:rPr>
                <w:rFonts w:ascii="宋体" w:hAnsi="宋体" w:eastAsia="宋体" w:cs="宋体"/>
                <w:spacing w:val="1"/>
                <w:sz w:val="20"/>
                <w:szCs w:val="20"/>
              </w:rPr>
              <w:t>120</w:t>
            </w:r>
            <w:r>
              <w:rPr>
                <w:rFonts w:ascii="宋体" w:hAnsi="宋体" w:eastAsia="宋体" w:cs="宋体"/>
                <w:spacing w:val="-43"/>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；通</w:t>
            </w:r>
            <w:r>
              <w:rPr>
                <w:rFonts w:ascii="宋体" w:hAnsi="宋体" w:eastAsia="宋体" w:cs="宋体"/>
                <w:sz w:val="20"/>
                <w:szCs w:val="20"/>
              </w:rPr>
              <w:t>风空调</w:t>
            </w:r>
            <w:r>
              <w:rPr>
                <w:rFonts w:ascii="宋体" w:hAnsi="宋体" w:eastAsia="宋体" w:cs="宋体"/>
                <w:spacing w:val="-39"/>
                <w:sz w:val="20"/>
                <w:szCs w:val="20"/>
              </w:rPr>
              <w:t xml:space="preserve"> </w:t>
            </w:r>
            <w:r>
              <w:rPr>
                <w:rFonts w:ascii="宋体" w:hAnsi="宋体" w:eastAsia="宋体" w:cs="宋体"/>
                <w:sz w:val="20"/>
                <w:szCs w:val="20"/>
              </w:rPr>
              <w:t>235</w:t>
            </w:r>
            <w:r>
              <w:rPr>
                <w:rFonts w:ascii="宋体" w:hAnsi="宋体" w:eastAsia="宋体" w:cs="宋体"/>
                <w:spacing w:val="-43"/>
                <w:sz w:val="20"/>
                <w:szCs w:val="20"/>
              </w:rPr>
              <w:t xml:space="preserve"> </w:t>
            </w:r>
            <w:r>
              <w:rPr>
                <w:rFonts w:ascii="宋体" w:hAnsi="宋体" w:eastAsia="宋体" w:cs="宋体"/>
                <w:sz w:val="20"/>
                <w:szCs w:val="20"/>
              </w:rPr>
              <w:t>元/m</w:t>
            </w:r>
            <w:r>
              <w:rPr>
                <w:rFonts w:ascii="宋体" w:hAnsi="宋体" w:eastAsia="宋体" w:cs="宋体"/>
                <w:position w:val="10"/>
                <w:sz w:val="10"/>
                <w:szCs w:val="10"/>
              </w:rPr>
              <w:t>2</w:t>
            </w:r>
            <w:r>
              <w:rPr>
                <w:rFonts w:ascii="宋体" w:hAnsi="宋体" w:eastAsia="宋体" w:cs="宋体"/>
                <w:sz w:val="20"/>
                <w:szCs w:val="20"/>
              </w:rPr>
              <w:t>；</w:t>
            </w:r>
            <w:r>
              <w:rPr>
                <w:rFonts w:ascii="宋体" w:hAnsi="宋体" w:eastAsia="宋体" w:cs="宋体"/>
                <w:spacing w:val="2"/>
                <w:sz w:val="20"/>
                <w:szCs w:val="20"/>
              </w:rPr>
              <w:t>消防报警喷淋</w:t>
            </w:r>
            <w:r>
              <w:rPr>
                <w:rFonts w:ascii="宋体" w:hAnsi="宋体" w:eastAsia="宋体" w:cs="宋体"/>
                <w:spacing w:val="-24"/>
                <w:sz w:val="20"/>
                <w:szCs w:val="20"/>
              </w:rPr>
              <w:t xml:space="preserve"> </w:t>
            </w:r>
            <w:r>
              <w:rPr>
                <w:rFonts w:ascii="宋体" w:hAnsi="宋体" w:eastAsia="宋体" w:cs="宋体"/>
                <w:spacing w:val="2"/>
                <w:sz w:val="20"/>
                <w:szCs w:val="20"/>
              </w:rPr>
              <w:t>210</w:t>
            </w:r>
            <w:r>
              <w:rPr>
                <w:rFonts w:ascii="宋体" w:hAnsi="宋体" w:eastAsia="宋体" w:cs="宋体"/>
                <w:spacing w:val="-43"/>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；电梯</w:t>
            </w:r>
            <w:r>
              <w:rPr>
                <w:rFonts w:ascii="宋体" w:hAnsi="宋体" w:eastAsia="宋体" w:cs="宋体"/>
                <w:spacing w:val="-37"/>
                <w:sz w:val="20"/>
                <w:szCs w:val="20"/>
              </w:rPr>
              <w:t xml:space="preserve"> </w:t>
            </w:r>
            <w:r>
              <w:rPr>
                <w:rFonts w:ascii="宋体" w:hAnsi="宋体" w:eastAsia="宋体" w:cs="宋体"/>
                <w:spacing w:val="2"/>
                <w:sz w:val="20"/>
                <w:szCs w:val="20"/>
              </w:rPr>
              <w:t>80</w:t>
            </w:r>
            <w:r>
              <w:rPr>
                <w:rFonts w:ascii="宋体" w:hAnsi="宋体" w:eastAsia="宋体" w:cs="宋体"/>
                <w:spacing w:val="-45"/>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0"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82" w:line="299" w:lineRule="auto"/>
              <w:ind w:left="143" w:right="80" w:hanging="98"/>
              <w:rPr>
                <w:rFonts w:ascii="宋体" w:hAnsi="宋体" w:eastAsia="宋体" w:cs="宋体"/>
                <w:sz w:val="20"/>
                <w:szCs w:val="20"/>
              </w:rPr>
            </w:pPr>
            <w:r>
              <w:rPr>
                <w:rFonts w:ascii="宋体" w:hAnsi="宋体" w:eastAsia="宋体" w:cs="宋体"/>
                <w:spacing w:val="4"/>
                <w:sz w:val="20"/>
                <w:szCs w:val="20"/>
              </w:rPr>
              <w:t>十八层以上三十层以下：</w:t>
            </w:r>
            <w:r>
              <w:rPr>
                <w:rFonts w:ascii="宋体" w:hAnsi="宋体" w:eastAsia="宋体" w:cs="宋体"/>
                <w:spacing w:val="9"/>
                <w:sz w:val="20"/>
                <w:szCs w:val="20"/>
              </w:rPr>
              <w:t>框架结构、综合办公楼</w:t>
            </w:r>
          </w:p>
        </w:tc>
        <w:tc>
          <w:tcPr>
            <w:tcW w:w="1177" w:type="dxa"/>
            <w:vAlign w:val="top"/>
          </w:tcPr>
          <w:p>
            <w:pPr>
              <w:spacing w:before="261" w:line="300" w:lineRule="exact"/>
              <w:ind w:left="386"/>
              <w:rPr>
                <w:rFonts w:ascii="宋体" w:hAnsi="宋体" w:eastAsia="宋体" w:cs="宋体"/>
                <w:sz w:val="20"/>
                <w:szCs w:val="20"/>
              </w:rPr>
            </w:pPr>
            <w:r>
              <w:rPr>
                <w:rFonts w:ascii="宋体" w:hAnsi="宋体" w:eastAsia="宋体" w:cs="宋体"/>
                <w:spacing w:val="1"/>
                <w:position w:val="2"/>
                <w:sz w:val="20"/>
                <w:szCs w:val="20"/>
              </w:rPr>
              <w:t>3260</w:t>
            </w:r>
          </w:p>
        </w:tc>
        <w:tc>
          <w:tcPr>
            <w:tcW w:w="8851" w:type="dxa"/>
            <w:vAlign w:val="top"/>
          </w:tcPr>
          <w:p>
            <w:pPr>
              <w:spacing w:before="108" w:line="287" w:lineRule="auto"/>
              <w:ind w:left="21" w:hanging="6"/>
              <w:rPr>
                <w:rFonts w:ascii="宋体" w:hAnsi="宋体" w:eastAsia="宋体" w:cs="宋体"/>
                <w:sz w:val="20"/>
                <w:szCs w:val="20"/>
              </w:rPr>
            </w:pPr>
            <w:r>
              <w:rPr>
                <w:rFonts w:ascii="宋体" w:hAnsi="宋体" w:eastAsia="宋体" w:cs="宋体"/>
                <w:spacing w:val="1"/>
                <w:sz w:val="20"/>
                <w:szCs w:val="20"/>
              </w:rPr>
              <w:t>做法同上。其中：建筑工程</w:t>
            </w:r>
            <w:r>
              <w:rPr>
                <w:rFonts w:ascii="宋体" w:hAnsi="宋体" w:eastAsia="宋体" w:cs="宋体"/>
                <w:spacing w:val="-40"/>
                <w:sz w:val="20"/>
                <w:szCs w:val="20"/>
              </w:rPr>
              <w:t xml:space="preserve"> </w:t>
            </w:r>
            <w:r>
              <w:rPr>
                <w:rFonts w:ascii="宋体" w:hAnsi="宋体" w:eastAsia="宋体" w:cs="宋体"/>
                <w:spacing w:val="1"/>
                <w:sz w:val="20"/>
                <w:szCs w:val="20"/>
              </w:rPr>
              <w:t>2210</w:t>
            </w:r>
            <w:r>
              <w:rPr>
                <w:rFonts w:ascii="宋体" w:hAnsi="宋体" w:eastAsia="宋体" w:cs="宋体"/>
                <w:spacing w:val="-46"/>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；安装工程</w:t>
            </w:r>
            <w:r>
              <w:rPr>
                <w:rFonts w:ascii="宋体" w:hAnsi="宋体" w:eastAsia="宋体" w:cs="宋体"/>
                <w:spacing w:val="-42"/>
                <w:sz w:val="20"/>
                <w:szCs w:val="20"/>
              </w:rPr>
              <w:t xml:space="preserve"> </w:t>
            </w:r>
            <w:r>
              <w:rPr>
                <w:rFonts w:ascii="宋体" w:hAnsi="宋体" w:eastAsia="宋体" w:cs="宋体"/>
                <w:spacing w:val="1"/>
                <w:sz w:val="20"/>
                <w:szCs w:val="20"/>
              </w:rPr>
              <w:t>415</w:t>
            </w:r>
            <w:r>
              <w:rPr>
                <w:rFonts w:ascii="宋体" w:hAnsi="宋体" w:eastAsia="宋体" w:cs="宋体"/>
                <w:spacing w:val="-43"/>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；桩基</w:t>
            </w:r>
            <w:r>
              <w:rPr>
                <w:rFonts w:ascii="宋体" w:hAnsi="宋体" w:eastAsia="宋体" w:cs="宋体"/>
                <w:spacing w:val="-26"/>
                <w:sz w:val="20"/>
                <w:szCs w:val="20"/>
              </w:rPr>
              <w:t xml:space="preserve"> </w:t>
            </w:r>
            <w:r>
              <w:rPr>
                <w:rFonts w:ascii="宋体" w:hAnsi="宋体" w:eastAsia="宋体" w:cs="宋体"/>
                <w:spacing w:val="1"/>
                <w:sz w:val="20"/>
                <w:szCs w:val="20"/>
              </w:rPr>
              <w:t>110</w:t>
            </w:r>
            <w:r>
              <w:rPr>
                <w:rFonts w:ascii="宋体" w:hAnsi="宋体" w:eastAsia="宋体" w:cs="宋体"/>
                <w:spacing w:val="-43"/>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；通风空调</w:t>
            </w:r>
            <w:r>
              <w:rPr>
                <w:rFonts w:ascii="宋体" w:hAnsi="宋体" w:eastAsia="宋体" w:cs="宋体"/>
                <w:spacing w:val="-39"/>
                <w:sz w:val="20"/>
                <w:szCs w:val="20"/>
              </w:rPr>
              <w:t xml:space="preserve"> </w:t>
            </w:r>
            <w:r>
              <w:rPr>
                <w:rFonts w:ascii="宋体" w:hAnsi="宋体" w:eastAsia="宋体" w:cs="宋体"/>
                <w:spacing w:val="1"/>
                <w:sz w:val="20"/>
                <w:szCs w:val="20"/>
              </w:rPr>
              <w:t>235</w:t>
            </w:r>
            <w:r>
              <w:rPr>
                <w:rFonts w:ascii="宋体" w:hAnsi="宋体" w:eastAsia="宋体" w:cs="宋体"/>
                <w:spacing w:val="-43"/>
                <w:sz w:val="20"/>
                <w:szCs w:val="20"/>
              </w:rPr>
              <w:t xml:space="preserve"> </w:t>
            </w:r>
            <w:r>
              <w:rPr>
                <w:rFonts w:ascii="宋体" w:hAnsi="宋体" w:eastAsia="宋体" w:cs="宋体"/>
                <w:spacing w:val="1"/>
                <w:sz w:val="20"/>
                <w:szCs w:val="20"/>
              </w:rPr>
              <w:t>元</w:t>
            </w:r>
            <w:r>
              <w:rPr>
                <w:rFonts w:ascii="宋体" w:hAnsi="宋体" w:eastAsia="宋体" w:cs="宋体"/>
                <w:sz w:val="20"/>
                <w:szCs w:val="20"/>
              </w:rPr>
              <w:t>/m</w:t>
            </w:r>
            <w:r>
              <w:rPr>
                <w:rFonts w:ascii="宋体" w:hAnsi="宋体" w:eastAsia="宋体" w:cs="宋体"/>
                <w:position w:val="10"/>
                <w:sz w:val="10"/>
                <w:szCs w:val="10"/>
              </w:rPr>
              <w:t>2</w:t>
            </w:r>
            <w:r>
              <w:rPr>
                <w:rFonts w:ascii="宋体" w:hAnsi="宋体" w:eastAsia="宋体" w:cs="宋体"/>
                <w:sz w:val="20"/>
                <w:szCs w:val="20"/>
              </w:rPr>
              <w:t>；</w:t>
            </w:r>
            <w:r>
              <w:rPr>
                <w:rFonts w:ascii="宋体" w:hAnsi="宋体" w:eastAsia="宋体" w:cs="宋体"/>
                <w:spacing w:val="2"/>
                <w:sz w:val="20"/>
                <w:szCs w:val="20"/>
              </w:rPr>
              <w:t>消防报警喷淋</w:t>
            </w:r>
            <w:r>
              <w:rPr>
                <w:rFonts w:ascii="宋体" w:hAnsi="宋体" w:eastAsia="宋体" w:cs="宋体"/>
                <w:spacing w:val="-24"/>
                <w:sz w:val="20"/>
                <w:szCs w:val="20"/>
              </w:rPr>
              <w:t xml:space="preserve"> </w:t>
            </w:r>
            <w:r>
              <w:rPr>
                <w:rFonts w:ascii="宋体" w:hAnsi="宋体" w:eastAsia="宋体" w:cs="宋体"/>
                <w:spacing w:val="2"/>
                <w:sz w:val="20"/>
                <w:szCs w:val="20"/>
              </w:rPr>
              <w:t>210</w:t>
            </w:r>
            <w:r>
              <w:rPr>
                <w:rFonts w:ascii="宋体" w:hAnsi="宋体" w:eastAsia="宋体" w:cs="宋体"/>
                <w:spacing w:val="-43"/>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；电梯</w:t>
            </w:r>
            <w:r>
              <w:rPr>
                <w:rFonts w:ascii="宋体" w:hAnsi="宋体" w:eastAsia="宋体" w:cs="宋体"/>
                <w:spacing w:val="-37"/>
                <w:sz w:val="20"/>
                <w:szCs w:val="20"/>
              </w:rPr>
              <w:t xml:space="preserve"> </w:t>
            </w:r>
            <w:r>
              <w:rPr>
                <w:rFonts w:ascii="宋体" w:hAnsi="宋体" w:eastAsia="宋体" w:cs="宋体"/>
                <w:spacing w:val="2"/>
                <w:sz w:val="20"/>
                <w:szCs w:val="20"/>
              </w:rPr>
              <w:t>80</w:t>
            </w:r>
            <w:r>
              <w:rPr>
                <w:rFonts w:ascii="宋体" w:hAnsi="宋体" w:eastAsia="宋体" w:cs="宋体"/>
                <w:spacing w:val="-45"/>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2" w:hRule="atLeast"/>
        </w:trPr>
        <w:tc>
          <w:tcPr>
            <w:tcW w:w="366" w:type="dxa"/>
            <w:vMerge w:val="continue"/>
            <w:tcBorders>
              <w:top w:val="nil"/>
            </w:tcBorders>
            <w:vAlign w:val="top"/>
          </w:tcPr>
          <w:p>
            <w:pPr>
              <w:pStyle w:val="6"/>
            </w:pPr>
          </w:p>
        </w:tc>
        <w:tc>
          <w:tcPr>
            <w:tcW w:w="1347" w:type="dxa"/>
            <w:vMerge w:val="continue"/>
            <w:tcBorders>
              <w:top w:val="nil"/>
            </w:tcBorders>
            <w:vAlign w:val="top"/>
          </w:tcPr>
          <w:p>
            <w:pPr>
              <w:pStyle w:val="6"/>
            </w:pPr>
          </w:p>
        </w:tc>
        <w:tc>
          <w:tcPr>
            <w:tcW w:w="2385" w:type="dxa"/>
            <w:vAlign w:val="top"/>
          </w:tcPr>
          <w:p>
            <w:pPr>
              <w:spacing w:before="190" w:line="278" w:lineRule="exact"/>
              <w:ind w:left="41"/>
              <w:rPr>
                <w:rFonts w:ascii="宋体" w:hAnsi="宋体" w:eastAsia="宋体" w:cs="宋体"/>
                <w:sz w:val="20"/>
                <w:szCs w:val="20"/>
              </w:rPr>
            </w:pPr>
            <w:r>
              <w:rPr>
                <w:rFonts w:ascii="宋体" w:hAnsi="宋体" w:eastAsia="宋体" w:cs="宋体"/>
                <w:spacing w:val="8"/>
                <w:position w:val="1"/>
                <w:sz w:val="20"/>
                <w:szCs w:val="20"/>
              </w:rPr>
              <w:t>三十层以上：框架结构、</w:t>
            </w:r>
          </w:p>
        </w:tc>
        <w:tc>
          <w:tcPr>
            <w:tcW w:w="1177" w:type="dxa"/>
            <w:vAlign w:val="top"/>
          </w:tcPr>
          <w:p>
            <w:pPr>
              <w:spacing w:before="190" w:line="300" w:lineRule="exact"/>
              <w:ind w:left="386"/>
              <w:rPr>
                <w:rFonts w:ascii="宋体" w:hAnsi="宋体" w:eastAsia="宋体" w:cs="宋体"/>
                <w:sz w:val="20"/>
                <w:szCs w:val="20"/>
              </w:rPr>
            </w:pPr>
            <w:r>
              <w:rPr>
                <w:rFonts w:ascii="宋体" w:hAnsi="宋体" w:eastAsia="宋体" w:cs="宋体"/>
                <w:spacing w:val="1"/>
                <w:position w:val="2"/>
                <w:sz w:val="20"/>
                <w:szCs w:val="20"/>
              </w:rPr>
              <w:t>3500</w:t>
            </w:r>
          </w:p>
        </w:tc>
        <w:tc>
          <w:tcPr>
            <w:tcW w:w="8851" w:type="dxa"/>
            <w:vAlign w:val="top"/>
          </w:tcPr>
          <w:p>
            <w:pPr>
              <w:spacing w:before="217" w:line="297" w:lineRule="exact"/>
              <w:jc w:val="right"/>
              <w:rPr>
                <w:rFonts w:ascii="宋体" w:hAnsi="宋体" w:eastAsia="宋体" w:cs="宋体"/>
                <w:sz w:val="20"/>
                <w:szCs w:val="20"/>
              </w:rPr>
            </w:pPr>
            <w:r>
              <w:rPr>
                <w:rFonts w:ascii="宋体" w:hAnsi="宋体" w:eastAsia="宋体" w:cs="宋体"/>
                <w:spacing w:val="1"/>
                <w:position w:val="1"/>
                <w:sz w:val="20"/>
                <w:szCs w:val="20"/>
              </w:rPr>
              <w:t>做法同上。其中：建筑工程</w:t>
            </w:r>
            <w:r>
              <w:rPr>
                <w:rFonts w:ascii="宋体" w:hAnsi="宋体" w:eastAsia="宋体" w:cs="宋体"/>
                <w:spacing w:val="-40"/>
                <w:position w:val="1"/>
                <w:sz w:val="20"/>
                <w:szCs w:val="20"/>
              </w:rPr>
              <w:t xml:space="preserve"> </w:t>
            </w:r>
            <w:r>
              <w:rPr>
                <w:rFonts w:ascii="宋体" w:hAnsi="宋体" w:eastAsia="宋体" w:cs="宋体"/>
                <w:spacing w:val="1"/>
                <w:position w:val="1"/>
                <w:sz w:val="20"/>
                <w:szCs w:val="20"/>
              </w:rPr>
              <w:t>2430</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元/m</w:t>
            </w:r>
            <w:r>
              <w:rPr>
                <w:rFonts w:ascii="宋体" w:hAnsi="宋体" w:eastAsia="宋体" w:cs="宋体"/>
                <w:spacing w:val="1"/>
                <w:position w:val="11"/>
                <w:sz w:val="10"/>
                <w:szCs w:val="10"/>
              </w:rPr>
              <w:t>2</w:t>
            </w:r>
            <w:r>
              <w:rPr>
                <w:rFonts w:ascii="宋体" w:hAnsi="宋体" w:eastAsia="宋体" w:cs="宋体"/>
                <w:spacing w:val="1"/>
                <w:position w:val="1"/>
                <w:sz w:val="20"/>
                <w:szCs w:val="20"/>
              </w:rPr>
              <w:t>；安装工程</w:t>
            </w:r>
            <w:r>
              <w:rPr>
                <w:rFonts w:ascii="宋体" w:hAnsi="宋体" w:eastAsia="宋体" w:cs="宋体"/>
                <w:spacing w:val="-42"/>
                <w:position w:val="1"/>
                <w:sz w:val="20"/>
                <w:szCs w:val="20"/>
              </w:rPr>
              <w:t xml:space="preserve"> </w:t>
            </w:r>
            <w:r>
              <w:rPr>
                <w:rFonts w:ascii="宋体" w:hAnsi="宋体" w:eastAsia="宋体" w:cs="宋体"/>
                <w:spacing w:val="1"/>
                <w:position w:val="1"/>
                <w:sz w:val="20"/>
                <w:szCs w:val="20"/>
              </w:rPr>
              <w:t>455</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元/m</w:t>
            </w:r>
            <w:r>
              <w:rPr>
                <w:rFonts w:ascii="宋体" w:hAnsi="宋体" w:eastAsia="宋体" w:cs="宋体"/>
                <w:spacing w:val="1"/>
                <w:position w:val="11"/>
                <w:sz w:val="10"/>
                <w:szCs w:val="10"/>
              </w:rPr>
              <w:t>2</w:t>
            </w:r>
            <w:r>
              <w:rPr>
                <w:rFonts w:ascii="宋体" w:hAnsi="宋体" w:eastAsia="宋体" w:cs="宋体"/>
                <w:spacing w:val="1"/>
                <w:position w:val="1"/>
                <w:sz w:val="20"/>
                <w:szCs w:val="20"/>
              </w:rPr>
              <w:t>；桩基</w:t>
            </w:r>
            <w:r>
              <w:rPr>
                <w:rFonts w:ascii="宋体" w:hAnsi="宋体" w:eastAsia="宋体" w:cs="宋体"/>
                <w:spacing w:val="-26"/>
                <w:position w:val="1"/>
                <w:sz w:val="20"/>
                <w:szCs w:val="20"/>
              </w:rPr>
              <w:t xml:space="preserve"> </w:t>
            </w:r>
            <w:r>
              <w:rPr>
                <w:rFonts w:ascii="宋体" w:hAnsi="宋体" w:eastAsia="宋体" w:cs="宋体"/>
                <w:spacing w:val="1"/>
                <w:position w:val="1"/>
                <w:sz w:val="20"/>
                <w:szCs w:val="20"/>
              </w:rPr>
              <w:t>100</w:t>
            </w:r>
            <w:r>
              <w:rPr>
                <w:rFonts w:ascii="宋体" w:hAnsi="宋体" w:eastAsia="宋体" w:cs="宋体"/>
                <w:spacing w:val="-43"/>
                <w:position w:val="1"/>
                <w:sz w:val="20"/>
                <w:szCs w:val="20"/>
              </w:rPr>
              <w:t xml:space="preserve"> </w:t>
            </w:r>
            <w:r>
              <w:rPr>
                <w:rFonts w:ascii="宋体" w:hAnsi="宋体" w:eastAsia="宋体" w:cs="宋体"/>
                <w:spacing w:val="1"/>
                <w:position w:val="1"/>
                <w:sz w:val="20"/>
                <w:szCs w:val="20"/>
              </w:rPr>
              <w:t>元/m</w:t>
            </w:r>
            <w:r>
              <w:rPr>
                <w:rFonts w:ascii="宋体" w:hAnsi="宋体" w:eastAsia="宋体" w:cs="宋体"/>
                <w:spacing w:val="1"/>
                <w:position w:val="11"/>
                <w:sz w:val="10"/>
                <w:szCs w:val="10"/>
              </w:rPr>
              <w:t>2</w:t>
            </w:r>
            <w:r>
              <w:rPr>
                <w:rFonts w:ascii="宋体" w:hAnsi="宋体" w:eastAsia="宋体" w:cs="宋体"/>
                <w:spacing w:val="1"/>
                <w:position w:val="1"/>
                <w:sz w:val="20"/>
                <w:szCs w:val="20"/>
              </w:rPr>
              <w:t>；通风空调</w:t>
            </w:r>
            <w:r>
              <w:rPr>
                <w:rFonts w:ascii="宋体" w:hAnsi="宋体" w:eastAsia="宋体" w:cs="宋体"/>
                <w:spacing w:val="-39"/>
                <w:position w:val="1"/>
                <w:sz w:val="20"/>
                <w:szCs w:val="20"/>
              </w:rPr>
              <w:t xml:space="preserve"> </w:t>
            </w:r>
            <w:r>
              <w:rPr>
                <w:rFonts w:ascii="宋体" w:hAnsi="宋体" w:eastAsia="宋体" w:cs="宋体"/>
                <w:spacing w:val="1"/>
                <w:position w:val="1"/>
                <w:sz w:val="20"/>
                <w:szCs w:val="20"/>
              </w:rPr>
              <w:t>2</w:t>
            </w:r>
            <w:r>
              <w:rPr>
                <w:rFonts w:ascii="宋体" w:hAnsi="宋体" w:eastAsia="宋体" w:cs="宋体"/>
                <w:position w:val="1"/>
                <w:sz w:val="20"/>
                <w:szCs w:val="20"/>
              </w:rPr>
              <w:t>35</w:t>
            </w:r>
            <w:r>
              <w:rPr>
                <w:rFonts w:ascii="宋体" w:hAnsi="宋体" w:eastAsia="宋体" w:cs="宋体"/>
                <w:spacing w:val="-43"/>
                <w:position w:val="1"/>
                <w:sz w:val="20"/>
                <w:szCs w:val="20"/>
              </w:rPr>
              <w:t xml:space="preserve"> </w:t>
            </w:r>
            <w:r>
              <w:rPr>
                <w:rFonts w:ascii="宋体" w:hAnsi="宋体" w:eastAsia="宋体" w:cs="宋体"/>
                <w:position w:val="1"/>
                <w:sz w:val="20"/>
                <w:szCs w:val="20"/>
              </w:rPr>
              <w:t>元/m</w:t>
            </w:r>
            <w:r>
              <w:rPr>
                <w:rFonts w:ascii="宋体" w:hAnsi="宋体" w:eastAsia="宋体" w:cs="宋体"/>
                <w:position w:val="11"/>
                <w:sz w:val="10"/>
                <w:szCs w:val="10"/>
              </w:rPr>
              <w:t>2</w:t>
            </w:r>
            <w:r>
              <w:rPr>
                <w:rFonts w:ascii="宋体" w:hAnsi="宋体" w:eastAsia="宋体" w:cs="宋体"/>
                <w:position w:val="1"/>
                <w:sz w:val="20"/>
                <w:szCs w:val="20"/>
              </w:rPr>
              <w:t>；</w:t>
            </w:r>
          </w:p>
        </w:tc>
      </w:tr>
    </w:tbl>
    <w:p>
      <w:pPr>
        <w:rPr>
          <w:rFonts w:ascii="Arial"/>
          <w:sz w:val="21"/>
        </w:rPr>
      </w:pPr>
    </w:p>
    <w:p>
      <w:pPr>
        <w:rPr>
          <w:rFonts w:ascii="Arial" w:hAnsi="Arial" w:eastAsia="Arial" w:cs="Arial"/>
          <w:sz w:val="21"/>
          <w:szCs w:val="21"/>
        </w:rPr>
        <w:sectPr>
          <w:footerReference r:id="rId329" w:type="default"/>
          <w:pgSz w:w="16839" w:h="11906"/>
          <w:pgMar w:top="400" w:right="1357" w:bottom="1212" w:left="1349" w:header="0" w:footer="897" w:gutter="0"/>
        </w:sectPr>
      </w:pPr>
    </w:p>
    <w:p>
      <w:pPr>
        <w:spacing w:before="56"/>
      </w:pPr>
    </w:p>
    <w:p>
      <w:pPr>
        <w:spacing w:before="55"/>
      </w:pPr>
    </w:p>
    <w:p>
      <w:pPr>
        <w:spacing w:before="55"/>
      </w:pPr>
    </w:p>
    <w:p>
      <w:pPr>
        <w:spacing w:before="55"/>
      </w:pPr>
    </w:p>
    <w:tbl>
      <w:tblPr>
        <w:tblStyle w:val="5"/>
        <w:tblW w:w="141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6"/>
        <w:gridCol w:w="1347"/>
        <w:gridCol w:w="2385"/>
        <w:gridCol w:w="1177"/>
        <w:gridCol w:w="88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4" w:hRule="atLeast"/>
        </w:trPr>
        <w:tc>
          <w:tcPr>
            <w:tcW w:w="366" w:type="dxa"/>
            <w:textDirection w:val="tbRlV"/>
            <w:vAlign w:val="top"/>
          </w:tcPr>
          <w:p>
            <w:pPr>
              <w:spacing w:before="78" w:line="220" w:lineRule="auto"/>
              <w:ind w:left="86"/>
              <w:rPr>
                <w:rFonts w:ascii="宋体" w:hAnsi="宋体" w:eastAsia="宋体" w:cs="宋体"/>
                <w:sz w:val="20"/>
                <w:szCs w:val="20"/>
              </w:rPr>
            </w:pPr>
            <w:r>
              <w:rPr>
                <w:rFonts w:ascii="宋体" w:hAnsi="宋体" w:eastAsia="宋体" w:cs="宋体"/>
                <w:b/>
                <w:bCs/>
                <w:spacing w:val="-2"/>
                <w:sz w:val="20"/>
                <w:szCs w:val="20"/>
              </w:rPr>
              <w:t>序</w:t>
            </w:r>
            <w:r>
              <w:rPr>
                <w:rFonts w:ascii="宋体" w:hAnsi="宋体" w:eastAsia="宋体" w:cs="宋体"/>
                <w:spacing w:val="64"/>
                <w:sz w:val="20"/>
                <w:szCs w:val="20"/>
              </w:rPr>
              <w:t xml:space="preserve"> </w:t>
            </w:r>
            <w:r>
              <w:rPr>
                <w:rFonts w:ascii="宋体" w:hAnsi="宋体" w:eastAsia="宋体" w:cs="宋体"/>
                <w:b/>
                <w:bCs/>
                <w:spacing w:val="-2"/>
                <w:sz w:val="20"/>
                <w:szCs w:val="20"/>
              </w:rPr>
              <w:t>号</w:t>
            </w:r>
          </w:p>
        </w:tc>
        <w:tc>
          <w:tcPr>
            <w:tcW w:w="1347" w:type="dxa"/>
            <w:vAlign w:val="top"/>
          </w:tcPr>
          <w:p>
            <w:pPr>
              <w:spacing w:before="266" w:line="219" w:lineRule="auto"/>
              <w:ind w:left="252"/>
              <w:rPr>
                <w:rFonts w:ascii="宋体" w:hAnsi="宋体" w:eastAsia="宋体" w:cs="宋体"/>
                <w:sz w:val="20"/>
                <w:szCs w:val="20"/>
              </w:rPr>
            </w:pPr>
            <w:r>
              <w:rPr>
                <w:rFonts w:ascii="宋体" w:hAnsi="宋体" w:eastAsia="宋体" w:cs="宋体"/>
                <w:b/>
                <w:bCs/>
                <w:spacing w:val="7"/>
                <w:sz w:val="20"/>
                <w:szCs w:val="20"/>
              </w:rPr>
              <w:t>工程类别</w:t>
            </w:r>
          </w:p>
        </w:tc>
        <w:tc>
          <w:tcPr>
            <w:tcW w:w="2385" w:type="dxa"/>
            <w:vAlign w:val="top"/>
          </w:tcPr>
          <w:p>
            <w:pPr>
              <w:spacing w:before="264" w:line="221" w:lineRule="auto"/>
              <w:ind w:left="770"/>
              <w:rPr>
                <w:rFonts w:ascii="宋体" w:hAnsi="宋体" w:eastAsia="宋体" w:cs="宋体"/>
                <w:sz w:val="20"/>
                <w:szCs w:val="20"/>
              </w:rPr>
            </w:pPr>
            <w:r>
              <w:rPr>
                <w:rFonts w:ascii="宋体" w:hAnsi="宋体" w:eastAsia="宋体" w:cs="宋体"/>
                <w:b/>
                <w:bCs/>
                <w:spacing w:val="7"/>
                <w:sz w:val="20"/>
                <w:szCs w:val="20"/>
              </w:rPr>
              <w:t>工程条件</w:t>
            </w:r>
          </w:p>
        </w:tc>
        <w:tc>
          <w:tcPr>
            <w:tcW w:w="1177" w:type="dxa"/>
            <w:vAlign w:val="top"/>
          </w:tcPr>
          <w:p>
            <w:pPr>
              <w:spacing w:before="88" w:line="298" w:lineRule="auto"/>
              <w:ind w:left="132" w:right="60" w:hanging="71"/>
              <w:rPr>
                <w:rFonts w:ascii="宋体" w:hAnsi="宋体" w:eastAsia="宋体" w:cs="宋体"/>
                <w:sz w:val="20"/>
                <w:szCs w:val="20"/>
              </w:rPr>
            </w:pPr>
            <w:r>
              <w:rPr>
                <w:rFonts w:ascii="宋体" w:hAnsi="宋体" w:eastAsia="宋体" w:cs="宋体"/>
                <w:b/>
                <w:bCs/>
                <w:spacing w:val="7"/>
                <w:sz w:val="20"/>
                <w:szCs w:val="20"/>
              </w:rPr>
              <w:t>平方米造价</w:t>
            </w:r>
            <w:r>
              <w:rPr>
                <w:rFonts w:ascii="宋体" w:hAnsi="宋体" w:eastAsia="宋体" w:cs="宋体"/>
                <w:b/>
                <w:bCs/>
                <w:spacing w:val="4"/>
                <w:sz w:val="20"/>
                <w:szCs w:val="20"/>
              </w:rPr>
              <w:t>（元/m</w:t>
            </w:r>
            <w:r>
              <w:rPr>
                <w:rFonts w:ascii="宋体" w:hAnsi="宋体" w:eastAsia="宋体" w:cs="宋体"/>
                <w:b/>
                <w:bCs/>
                <w:spacing w:val="4"/>
                <w:position w:val="10"/>
                <w:sz w:val="10"/>
                <w:szCs w:val="10"/>
              </w:rPr>
              <w:t>2</w:t>
            </w:r>
            <w:r>
              <w:rPr>
                <w:rFonts w:ascii="宋体" w:hAnsi="宋体" w:eastAsia="宋体" w:cs="宋体"/>
                <w:spacing w:val="-20"/>
                <w:position w:val="10"/>
                <w:sz w:val="10"/>
                <w:szCs w:val="10"/>
              </w:rPr>
              <w:t xml:space="preserve"> </w:t>
            </w:r>
            <w:r>
              <w:rPr>
                <w:rFonts w:ascii="宋体" w:hAnsi="宋体" w:eastAsia="宋体" w:cs="宋体"/>
                <w:b/>
                <w:bCs/>
                <w:spacing w:val="4"/>
                <w:sz w:val="20"/>
                <w:szCs w:val="20"/>
              </w:rPr>
              <w:t>）</w:t>
            </w:r>
          </w:p>
        </w:tc>
        <w:tc>
          <w:tcPr>
            <w:tcW w:w="8851" w:type="dxa"/>
            <w:vAlign w:val="top"/>
          </w:tcPr>
          <w:p>
            <w:pPr>
              <w:spacing w:before="265" w:line="219" w:lineRule="auto"/>
              <w:ind w:left="3167"/>
              <w:rPr>
                <w:rFonts w:ascii="宋体" w:hAnsi="宋体" w:eastAsia="宋体" w:cs="宋体"/>
                <w:sz w:val="20"/>
                <w:szCs w:val="20"/>
              </w:rPr>
            </w:pPr>
            <w:r>
              <w:rPr>
                <w:rFonts w:ascii="宋体" w:hAnsi="宋体" w:eastAsia="宋体" w:cs="宋体"/>
                <w:b/>
                <w:bCs/>
                <w:spacing w:val="7"/>
                <w:sz w:val="20"/>
                <w:szCs w:val="20"/>
              </w:rPr>
              <w:t>主要结构、做法及价格组成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0" w:hRule="atLeast"/>
        </w:trPr>
        <w:tc>
          <w:tcPr>
            <w:tcW w:w="366" w:type="dxa"/>
            <w:vAlign w:val="top"/>
          </w:tcPr>
          <w:p>
            <w:pPr>
              <w:pStyle w:val="6"/>
            </w:pPr>
          </w:p>
        </w:tc>
        <w:tc>
          <w:tcPr>
            <w:tcW w:w="1347" w:type="dxa"/>
            <w:vAlign w:val="top"/>
          </w:tcPr>
          <w:p>
            <w:pPr>
              <w:pStyle w:val="6"/>
            </w:pPr>
          </w:p>
        </w:tc>
        <w:tc>
          <w:tcPr>
            <w:tcW w:w="2385" w:type="dxa"/>
            <w:vAlign w:val="top"/>
          </w:tcPr>
          <w:p>
            <w:pPr>
              <w:spacing w:before="81" w:line="220" w:lineRule="auto"/>
              <w:ind w:left="667"/>
              <w:rPr>
                <w:rFonts w:ascii="宋体" w:hAnsi="宋体" w:eastAsia="宋体" w:cs="宋体"/>
                <w:sz w:val="20"/>
                <w:szCs w:val="20"/>
              </w:rPr>
            </w:pPr>
            <w:r>
              <w:rPr>
                <w:rFonts w:ascii="宋体" w:hAnsi="宋体" w:eastAsia="宋体" w:cs="宋体"/>
                <w:spacing w:val="9"/>
                <w:sz w:val="20"/>
                <w:szCs w:val="20"/>
              </w:rPr>
              <w:t>综合办公楼</w:t>
            </w:r>
          </w:p>
        </w:tc>
        <w:tc>
          <w:tcPr>
            <w:tcW w:w="1177" w:type="dxa"/>
            <w:vAlign w:val="top"/>
          </w:tcPr>
          <w:p>
            <w:pPr>
              <w:pStyle w:val="6"/>
            </w:pPr>
          </w:p>
        </w:tc>
        <w:tc>
          <w:tcPr>
            <w:tcW w:w="8851" w:type="dxa"/>
            <w:vAlign w:val="top"/>
          </w:tcPr>
          <w:p>
            <w:pPr>
              <w:spacing w:before="105" w:line="295" w:lineRule="exact"/>
              <w:ind w:left="22"/>
              <w:rPr>
                <w:rFonts w:ascii="宋体" w:hAnsi="宋体" w:eastAsia="宋体" w:cs="宋体"/>
                <w:sz w:val="20"/>
                <w:szCs w:val="20"/>
              </w:rPr>
            </w:pPr>
            <w:r>
              <w:rPr>
                <w:rFonts w:ascii="宋体" w:hAnsi="宋体" w:eastAsia="宋体" w:cs="宋体"/>
                <w:spacing w:val="3"/>
                <w:position w:val="1"/>
                <w:sz w:val="20"/>
                <w:szCs w:val="20"/>
              </w:rPr>
              <w:t>消防报警喷淋</w:t>
            </w:r>
            <w:r>
              <w:rPr>
                <w:rFonts w:ascii="宋体" w:hAnsi="宋体" w:eastAsia="宋体" w:cs="宋体"/>
                <w:spacing w:val="-24"/>
                <w:position w:val="1"/>
                <w:sz w:val="20"/>
                <w:szCs w:val="20"/>
              </w:rPr>
              <w:t xml:space="preserve"> </w:t>
            </w:r>
            <w:r>
              <w:rPr>
                <w:rFonts w:ascii="宋体" w:hAnsi="宋体" w:eastAsia="宋体" w:cs="宋体"/>
                <w:spacing w:val="3"/>
                <w:position w:val="1"/>
                <w:sz w:val="20"/>
                <w:szCs w:val="20"/>
              </w:rPr>
              <w:t>210</w:t>
            </w:r>
            <w:r>
              <w:rPr>
                <w:rFonts w:ascii="宋体" w:hAnsi="宋体" w:eastAsia="宋体" w:cs="宋体"/>
                <w:spacing w:val="-43"/>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14"/>
                <w:position w:val="11"/>
                <w:sz w:val="10"/>
                <w:szCs w:val="10"/>
              </w:rPr>
              <w:t xml:space="preserve"> </w:t>
            </w:r>
            <w:r>
              <w:rPr>
                <w:rFonts w:ascii="宋体" w:hAnsi="宋体" w:eastAsia="宋体" w:cs="宋体"/>
                <w:spacing w:val="3"/>
                <w:position w:val="1"/>
                <w:sz w:val="20"/>
                <w:szCs w:val="20"/>
              </w:rPr>
              <w:t>；电梯</w:t>
            </w:r>
            <w:r>
              <w:rPr>
                <w:rFonts w:ascii="宋体" w:hAnsi="宋体" w:eastAsia="宋体" w:cs="宋体"/>
                <w:spacing w:val="-41"/>
                <w:position w:val="1"/>
                <w:sz w:val="20"/>
                <w:szCs w:val="20"/>
              </w:rPr>
              <w:t xml:space="preserve"> </w:t>
            </w:r>
            <w:r>
              <w:rPr>
                <w:rFonts w:ascii="宋体" w:hAnsi="宋体" w:eastAsia="宋体" w:cs="宋体"/>
                <w:spacing w:val="3"/>
                <w:position w:val="1"/>
                <w:sz w:val="20"/>
                <w:szCs w:val="20"/>
              </w:rPr>
              <w:t>70</w:t>
            </w:r>
            <w:r>
              <w:rPr>
                <w:rFonts w:ascii="宋体" w:hAnsi="宋体" w:eastAsia="宋体" w:cs="宋体"/>
                <w:spacing w:val="-45"/>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3"/>
                <w:position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9" w:hRule="atLeast"/>
        </w:trPr>
        <w:tc>
          <w:tcPr>
            <w:tcW w:w="366" w:type="dxa"/>
            <w:vMerge w:val="restart"/>
            <w:tcBorders>
              <w:bottom w:val="nil"/>
            </w:tcBorders>
            <w:vAlign w:val="top"/>
          </w:tcPr>
          <w:p>
            <w:pPr>
              <w:pStyle w:val="6"/>
              <w:spacing w:line="243" w:lineRule="auto"/>
            </w:pPr>
          </w:p>
          <w:p>
            <w:pPr>
              <w:pStyle w:val="6"/>
              <w:spacing w:line="243" w:lineRule="auto"/>
            </w:pPr>
          </w:p>
          <w:p>
            <w:pPr>
              <w:pStyle w:val="6"/>
              <w:spacing w:line="243" w:lineRule="auto"/>
            </w:pPr>
          </w:p>
          <w:p>
            <w:pPr>
              <w:pStyle w:val="6"/>
              <w:spacing w:line="243"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spacing w:before="65" w:line="301" w:lineRule="exact"/>
              <w:ind w:left="132"/>
              <w:rPr>
                <w:rFonts w:ascii="宋体" w:hAnsi="宋体" w:eastAsia="宋体" w:cs="宋体"/>
                <w:sz w:val="20"/>
                <w:szCs w:val="20"/>
              </w:rPr>
            </w:pPr>
            <w:r>
              <w:rPr>
                <w:rFonts w:ascii="宋体" w:hAnsi="宋体" w:eastAsia="宋体" w:cs="宋体"/>
                <w:position w:val="2"/>
                <w:sz w:val="20"/>
                <w:szCs w:val="20"/>
              </w:rPr>
              <w:t>2</w:t>
            </w:r>
          </w:p>
        </w:tc>
        <w:tc>
          <w:tcPr>
            <w:tcW w:w="1347" w:type="dxa"/>
            <w:vMerge w:val="restart"/>
            <w:tcBorders>
              <w:bottom w:val="nil"/>
            </w:tcBorders>
            <w:vAlign w:val="top"/>
          </w:tcPr>
          <w:p>
            <w:pPr>
              <w:pStyle w:val="6"/>
              <w:spacing w:line="248"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pStyle w:val="6"/>
              <w:spacing w:line="249" w:lineRule="auto"/>
            </w:pPr>
          </w:p>
          <w:p>
            <w:pPr>
              <w:spacing w:before="65" w:line="352" w:lineRule="auto"/>
              <w:ind w:left="140" w:right="144" w:firstLine="113"/>
              <w:rPr>
                <w:rFonts w:ascii="宋体" w:hAnsi="宋体" w:eastAsia="宋体" w:cs="宋体"/>
                <w:sz w:val="20"/>
                <w:szCs w:val="20"/>
              </w:rPr>
            </w:pPr>
            <w:r>
              <w:rPr>
                <w:rFonts w:ascii="宋体" w:hAnsi="宋体" w:eastAsia="宋体" w:cs="宋体"/>
                <w:spacing w:val="8"/>
                <w:sz w:val="20"/>
                <w:szCs w:val="20"/>
              </w:rPr>
              <w:t>居住建筑</w:t>
            </w:r>
            <w:r>
              <w:rPr>
                <w:rFonts w:ascii="宋体" w:hAnsi="宋体" w:eastAsia="宋体" w:cs="宋体"/>
                <w:spacing w:val="11"/>
                <w:sz w:val="20"/>
                <w:szCs w:val="20"/>
              </w:rPr>
              <w:t>（住宅楼）</w:t>
            </w:r>
          </w:p>
        </w:tc>
        <w:tc>
          <w:tcPr>
            <w:tcW w:w="2385" w:type="dxa"/>
            <w:vAlign w:val="top"/>
          </w:tcPr>
          <w:p>
            <w:pPr>
              <w:spacing w:before="256" w:line="277" w:lineRule="exact"/>
              <w:ind w:left="116"/>
              <w:rPr>
                <w:rFonts w:ascii="宋体" w:hAnsi="宋体" w:eastAsia="宋体" w:cs="宋体"/>
                <w:sz w:val="20"/>
                <w:szCs w:val="20"/>
              </w:rPr>
            </w:pPr>
            <w:r>
              <w:rPr>
                <w:rFonts w:ascii="宋体" w:hAnsi="宋体" w:eastAsia="宋体" w:cs="宋体"/>
                <w:spacing w:val="4"/>
                <w:position w:val="1"/>
                <w:sz w:val="20"/>
                <w:szCs w:val="20"/>
              </w:rPr>
              <w:t>七层以下:带地下室框架</w:t>
            </w:r>
          </w:p>
          <w:p>
            <w:pPr>
              <w:spacing w:before="88" w:line="218" w:lineRule="auto"/>
              <w:ind w:left="983"/>
              <w:rPr>
                <w:rFonts w:ascii="宋体" w:hAnsi="宋体" w:eastAsia="宋体" w:cs="宋体"/>
                <w:sz w:val="20"/>
                <w:szCs w:val="20"/>
              </w:rPr>
            </w:pPr>
            <w:r>
              <w:rPr>
                <w:rFonts w:ascii="宋体" w:hAnsi="宋体" w:eastAsia="宋体" w:cs="宋体"/>
                <w:spacing w:val="6"/>
                <w:sz w:val="20"/>
                <w:szCs w:val="20"/>
              </w:rPr>
              <w:t>结构</w:t>
            </w:r>
          </w:p>
        </w:tc>
        <w:tc>
          <w:tcPr>
            <w:tcW w:w="1177" w:type="dxa"/>
            <w:vAlign w:val="top"/>
          </w:tcPr>
          <w:p>
            <w:pPr>
              <w:pStyle w:val="6"/>
              <w:spacing w:line="368" w:lineRule="auto"/>
            </w:pPr>
          </w:p>
          <w:p>
            <w:pPr>
              <w:spacing w:before="65" w:line="300" w:lineRule="exact"/>
              <w:ind w:left="400"/>
              <w:rPr>
                <w:rFonts w:ascii="宋体" w:hAnsi="宋体" w:eastAsia="宋体" w:cs="宋体"/>
                <w:sz w:val="20"/>
                <w:szCs w:val="20"/>
              </w:rPr>
            </w:pPr>
            <w:r>
              <w:rPr>
                <w:rFonts w:ascii="宋体" w:hAnsi="宋体" w:eastAsia="宋体" w:cs="宋体"/>
                <w:spacing w:val="-3"/>
                <w:position w:val="2"/>
                <w:sz w:val="20"/>
                <w:szCs w:val="20"/>
              </w:rPr>
              <w:t>1670</w:t>
            </w:r>
          </w:p>
        </w:tc>
        <w:tc>
          <w:tcPr>
            <w:tcW w:w="8851" w:type="dxa"/>
            <w:vAlign w:val="top"/>
          </w:tcPr>
          <w:p>
            <w:pPr>
              <w:spacing w:before="123" w:line="297" w:lineRule="auto"/>
              <w:ind w:left="16" w:firstLine="1"/>
              <w:jc w:val="both"/>
              <w:rPr>
                <w:rFonts w:ascii="宋体" w:hAnsi="宋体" w:eastAsia="宋体" w:cs="宋体"/>
                <w:sz w:val="20"/>
                <w:szCs w:val="20"/>
              </w:rPr>
            </w:pPr>
            <w:r>
              <w:rPr>
                <w:rFonts w:ascii="宋体" w:hAnsi="宋体" w:eastAsia="宋体" w:cs="宋体"/>
                <w:spacing w:val="5"/>
                <w:sz w:val="20"/>
                <w:szCs w:val="20"/>
              </w:rPr>
              <w:t>钢筋混凝土筏板基础、现浇轻型框剪墙、现浇柱梁板、隔热断桥窗、成品进户门、地面随打随抹、</w:t>
            </w:r>
            <w:r>
              <w:rPr>
                <w:rFonts w:ascii="宋体" w:hAnsi="宋体" w:eastAsia="宋体" w:cs="宋体"/>
                <w:spacing w:val="8"/>
                <w:sz w:val="20"/>
                <w:szCs w:val="20"/>
              </w:rPr>
              <w:t>厨卫间中档墙地砖、吊顶、内墙天棚刮腻子、外墙涂料、局部贴块料、外墙保温。水电暖（含弱</w:t>
            </w:r>
            <w:r>
              <w:rPr>
                <w:rFonts w:ascii="宋体" w:hAnsi="宋体" w:eastAsia="宋体" w:cs="宋体"/>
                <w:spacing w:val="3"/>
                <w:sz w:val="20"/>
                <w:szCs w:val="20"/>
              </w:rPr>
              <w:t>电）。不含高级装修。其中：建筑</w:t>
            </w:r>
            <w:r>
              <w:rPr>
                <w:rFonts w:ascii="宋体" w:hAnsi="宋体" w:eastAsia="宋体" w:cs="宋体"/>
                <w:spacing w:val="-18"/>
                <w:sz w:val="20"/>
                <w:szCs w:val="20"/>
              </w:rPr>
              <w:t xml:space="preserve"> </w:t>
            </w:r>
            <w:r>
              <w:rPr>
                <w:rFonts w:ascii="宋体" w:hAnsi="宋体" w:eastAsia="宋体" w:cs="宋体"/>
                <w:spacing w:val="3"/>
                <w:sz w:val="20"/>
                <w:szCs w:val="20"/>
              </w:rPr>
              <w:t>1285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3"/>
                <w:sz w:val="20"/>
                <w:szCs w:val="20"/>
              </w:rPr>
              <w:t>；安装</w:t>
            </w:r>
            <w:r>
              <w:rPr>
                <w:rFonts w:ascii="宋体" w:hAnsi="宋体" w:eastAsia="宋体" w:cs="宋体"/>
                <w:spacing w:val="-42"/>
                <w:sz w:val="20"/>
                <w:szCs w:val="20"/>
              </w:rPr>
              <w:t xml:space="preserve"> </w:t>
            </w:r>
            <w:r>
              <w:rPr>
                <w:rFonts w:ascii="宋体" w:hAnsi="宋体" w:eastAsia="宋体" w:cs="宋体"/>
                <w:spacing w:val="3"/>
                <w:sz w:val="20"/>
                <w:szCs w:val="20"/>
              </w:rPr>
              <w:t>295</w:t>
            </w:r>
            <w:r>
              <w:rPr>
                <w:rFonts w:ascii="宋体" w:hAnsi="宋体" w:eastAsia="宋体" w:cs="宋体"/>
                <w:spacing w:val="-41"/>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3"/>
                <w:sz w:val="20"/>
                <w:szCs w:val="20"/>
              </w:rPr>
              <w:t>；电梯</w:t>
            </w:r>
            <w:r>
              <w:rPr>
                <w:rFonts w:ascii="宋体" w:hAnsi="宋体" w:eastAsia="宋体" w:cs="宋体"/>
                <w:spacing w:val="-42"/>
                <w:sz w:val="20"/>
                <w:szCs w:val="20"/>
              </w:rPr>
              <w:t xml:space="preserve"> </w:t>
            </w:r>
            <w:r>
              <w:rPr>
                <w:rFonts w:ascii="宋体" w:hAnsi="宋体" w:eastAsia="宋体" w:cs="宋体"/>
                <w:spacing w:val="3"/>
                <w:sz w:val="20"/>
                <w:szCs w:val="20"/>
              </w:rPr>
              <w:t>90</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258" w:line="317" w:lineRule="auto"/>
              <w:ind w:left="878" w:right="119" w:hanging="762"/>
              <w:rPr>
                <w:rFonts w:ascii="宋体" w:hAnsi="宋体" w:eastAsia="宋体" w:cs="宋体"/>
                <w:sz w:val="20"/>
                <w:szCs w:val="20"/>
              </w:rPr>
            </w:pPr>
            <w:r>
              <w:rPr>
                <w:rFonts w:ascii="宋体" w:hAnsi="宋体" w:eastAsia="宋体" w:cs="宋体"/>
                <w:spacing w:val="4"/>
                <w:sz w:val="20"/>
                <w:szCs w:val="20"/>
              </w:rPr>
              <w:t>七层以下:带半地下室砖</w:t>
            </w:r>
            <w:r>
              <w:rPr>
                <w:rFonts w:ascii="宋体" w:hAnsi="宋体" w:eastAsia="宋体" w:cs="宋体"/>
                <w:spacing w:val="8"/>
                <w:sz w:val="20"/>
                <w:szCs w:val="20"/>
              </w:rPr>
              <w:t>混结构</w:t>
            </w:r>
          </w:p>
        </w:tc>
        <w:tc>
          <w:tcPr>
            <w:tcW w:w="1177" w:type="dxa"/>
            <w:vAlign w:val="top"/>
          </w:tcPr>
          <w:p>
            <w:pPr>
              <w:pStyle w:val="6"/>
              <w:spacing w:line="371" w:lineRule="auto"/>
            </w:pPr>
          </w:p>
          <w:p>
            <w:pPr>
              <w:spacing w:before="65" w:line="299" w:lineRule="exact"/>
              <w:ind w:left="400"/>
              <w:rPr>
                <w:rFonts w:ascii="宋体" w:hAnsi="宋体" w:eastAsia="宋体" w:cs="宋体"/>
                <w:sz w:val="20"/>
                <w:szCs w:val="20"/>
              </w:rPr>
            </w:pPr>
            <w:r>
              <w:rPr>
                <w:rFonts w:ascii="宋体" w:hAnsi="宋体" w:eastAsia="宋体" w:cs="宋体"/>
                <w:spacing w:val="-3"/>
                <w:position w:val="2"/>
                <w:sz w:val="20"/>
                <w:szCs w:val="20"/>
              </w:rPr>
              <w:t>1400</w:t>
            </w:r>
          </w:p>
        </w:tc>
        <w:tc>
          <w:tcPr>
            <w:tcW w:w="8851" w:type="dxa"/>
            <w:vAlign w:val="top"/>
          </w:tcPr>
          <w:p>
            <w:pPr>
              <w:spacing w:before="123" w:line="297" w:lineRule="auto"/>
              <w:ind w:left="26" w:right="16" w:hanging="8"/>
              <w:jc w:val="both"/>
              <w:rPr>
                <w:rFonts w:ascii="宋体" w:hAnsi="宋体" w:eastAsia="宋体" w:cs="宋体"/>
                <w:sz w:val="20"/>
                <w:szCs w:val="20"/>
              </w:rPr>
            </w:pPr>
            <w:r>
              <w:rPr>
                <w:rFonts w:ascii="宋体" w:hAnsi="宋体" w:eastAsia="宋体" w:cs="宋体"/>
                <w:spacing w:val="10"/>
                <w:sz w:val="20"/>
                <w:szCs w:val="20"/>
              </w:rPr>
              <w:t>钢筋混凝土条形基础、构造柱、圈梁、现浇楼板、煤矸石砖墙、隔热断桥</w:t>
            </w:r>
            <w:r>
              <w:rPr>
                <w:rFonts w:ascii="宋体" w:hAnsi="宋体" w:eastAsia="宋体" w:cs="宋体"/>
                <w:spacing w:val="9"/>
                <w:sz w:val="20"/>
                <w:szCs w:val="20"/>
              </w:rPr>
              <w:t>窗、成品进户门、地面</w:t>
            </w:r>
            <w:r>
              <w:rPr>
                <w:rFonts w:ascii="宋体" w:hAnsi="宋体" w:eastAsia="宋体" w:cs="宋体"/>
                <w:spacing w:val="10"/>
                <w:sz w:val="20"/>
                <w:szCs w:val="20"/>
              </w:rPr>
              <w:t>随打随抹、厨卫间中档墙地砖吊顶、内墙天棚刮腻子</w:t>
            </w:r>
            <w:r>
              <w:rPr>
                <w:rFonts w:ascii="宋体" w:hAnsi="宋体" w:eastAsia="宋体" w:cs="宋体"/>
                <w:spacing w:val="9"/>
                <w:sz w:val="20"/>
                <w:szCs w:val="20"/>
              </w:rPr>
              <w:t>、外墙涂料、局部贴块料、外墙保温。水电</w:t>
            </w:r>
            <w:r>
              <w:rPr>
                <w:rFonts w:ascii="宋体" w:hAnsi="宋体" w:eastAsia="宋体" w:cs="宋体"/>
                <w:spacing w:val="5"/>
                <w:sz w:val="20"/>
                <w:szCs w:val="20"/>
              </w:rPr>
              <w:t>暖（含弱电）。不含高级装修。其中：建筑</w:t>
            </w:r>
            <w:r>
              <w:rPr>
                <w:rFonts w:ascii="宋体" w:hAnsi="宋体" w:eastAsia="宋体" w:cs="宋体"/>
                <w:spacing w:val="-22"/>
                <w:sz w:val="20"/>
                <w:szCs w:val="20"/>
              </w:rPr>
              <w:t xml:space="preserve"> </w:t>
            </w:r>
            <w:r>
              <w:rPr>
                <w:rFonts w:ascii="宋体" w:hAnsi="宋体" w:eastAsia="宋体" w:cs="宋体"/>
                <w:spacing w:val="5"/>
                <w:sz w:val="20"/>
                <w:szCs w:val="20"/>
              </w:rPr>
              <w:t>1085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4"/>
                <w:sz w:val="20"/>
                <w:szCs w:val="20"/>
              </w:rPr>
              <w:t>；安装</w:t>
            </w:r>
            <w:r>
              <w:rPr>
                <w:rFonts w:ascii="宋体" w:hAnsi="宋体" w:eastAsia="宋体" w:cs="宋体"/>
                <w:spacing w:val="-42"/>
                <w:sz w:val="20"/>
                <w:szCs w:val="20"/>
              </w:rPr>
              <w:t xml:space="preserve"> </w:t>
            </w:r>
            <w:r>
              <w:rPr>
                <w:rFonts w:ascii="宋体" w:hAnsi="宋体" w:eastAsia="宋体" w:cs="宋体"/>
                <w:spacing w:val="4"/>
                <w:sz w:val="20"/>
                <w:szCs w:val="20"/>
              </w:rPr>
              <w:t>225</w:t>
            </w:r>
            <w:r>
              <w:rPr>
                <w:rFonts w:ascii="宋体" w:hAnsi="宋体" w:eastAsia="宋体" w:cs="宋体"/>
                <w:spacing w:val="-40"/>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4"/>
                <w:sz w:val="20"/>
                <w:szCs w:val="20"/>
              </w:rPr>
              <w:t>；电梯</w:t>
            </w:r>
            <w:r>
              <w:rPr>
                <w:rFonts w:ascii="宋体" w:hAnsi="宋体" w:eastAsia="宋体" w:cs="宋体"/>
                <w:spacing w:val="-41"/>
                <w:sz w:val="20"/>
                <w:szCs w:val="20"/>
              </w:rPr>
              <w:t xml:space="preserve"> </w:t>
            </w:r>
            <w:r>
              <w:rPr>
                <w:rFonts w:ascii="宋体" w:hAnsi="宋体" w:eastAsia="宋体" w:cs="宋体"/>
                <w:spacing w:val="4"/>
                <w:sz w:val="20"/>
                <w:szCs w:val="20"/>
              </w:rPr>
              <w:t>90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5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pStyle w:val="6"/>
              <w:spacing w:line="371" w:lineRule="auto"/>
            </w:pPr>
          </w:p>
          <w:p>
            <w:pPr>
              <w:spacing w:before="66" w:line="331" w:lineRule="auto"/>
              <w:ind w:left="143" w:right="33" w:hanging="131"/>
              <w:rPr>
                <w:rFonts w:ascii="宋体" w:hAnsi="宋体" w:eastAsia="宋体" w:cs="宋体"/>
                <w:sz w:val="20"/>
                <w:szCs w:val="20"/>
              </w:rPr>
            </w:pPr>
            <w:r>
              <w:rPr>
                <w:rFonts w:ascii="宋体" w:hAnsi="宋体" w:eastAsia="宋体" w:cs="宋体"/>
                <w:spacing w:val="2"/>
                <w:sz w:val="20"/>
                <w:szCs w:val="20"/>
              </w:rPr>
              <w:t>七层以下:商住楼（一层、</w:t>
            </w:r>
            <w:r>
              <w:rPr>
                <w:rFonts w:ascii="宋体" w:hAnsi="宋体" w:eastAsia="宋体" w:cs="宋体"/>
                <w:spacing w:val="9"/>
                <w:sz w:val="20"/>
                <w:szCs w:val="20"/>
              </w:rPr>
              <w:t>二层营业，以上住宅）</w:t>
            </w:r>
          </w:p>
        </w:tc>
        <w:tc>
          <w:tcPr>
            <w:tcW w:w="1177" w:type="dxa"/>
            <w:vAlign w:val="top"/>
          </w:tcPr>
          <w:p>
            <w:pPr>
              <w:pStyle w:val="6"/>
              <w:spacing w:line="275" w:lineRule="auto"/>
            </w:pPr>
          </w:p>
          <w:p>
            <w:pPr>
              <w:pStyle w:val="6"/>
              <w:spacing w:line="275" w:lineRule="auto"/>
            </w:pPr>
          </w:p>
          <w:p>
            <w:pPr>
              <w:spacing w:before="65" w:line="299" w:lineRule="exact"/>
              <w:ind w:left="400"/>
              <w:rPr>
                <w:rFonts w:ascii="宋体" w:hAnsi="宋体" w:eastAsia="宋体" w:cs="宋体"/>
                <w:sz w:val="20"/>
                <w:szCs w:val="20"/>
              </w:rPr>
            </w:pPr>
            <w:r>
              <w:rPr>
                <w:rFonts w:ascii="宋体" w:hAnsi="宋体" w:eastAsia="宋体" w:cs="宋体"/>
                <w:spacing w:val="-3"/>
                <w:position w:val="2"/>
                <w:sz w:val="20"/>
                <w:szCs w:val="20"/>
              </w:rPr>
              <w:t>1900</w:t>
            </w:r>
          </w:p>
        </w:tc>
        <w:tc>
          <w:tcPr>
            <w:tcW w:w="8851" w:type="dxa"/>
            <w:vAlign w:val="top"/>
          </w:tcPr>
          <w:p>
            <w:pPr>
              <w:spacing w:before="127" w:line="305" w:lineRule="auto"/>
              <w:ind w:left="15" w:firstLine="2"/>
              <w:jc w:val="both"/>
              <w:rPr>
                <w:rFonts w:ascii="宋体" w:hAnsi="宋体" w:eastAsia="宋体" w:cs="宋体"/>
                <w:sz w:val="20"/>
                <w:szCs w:val="20"/>
              </w:rPr>
            </w:pPr>
            <w:r>
              <w:rPr>
                <w:rFonts w:ascii="宋体" w:hAnsi="宋体" w:eastAsia="宋体" w:cs="宋体"/>
                <w:spacing w:val="9"/>
                <w:sz w:val="20"/>
                <w:szCs w:val="20"/>
              </w:rPr>
              <w:t>钢筋混凝土筏板基础、现浇轻型框剪墙、现浇柱梁板、</w:t>
            </w:r>
            <w:r>
              <w:rPr>
                <w:rFonts w:ascii="宋体" w:hAnsi="宋体" w:eastAsia="宋体" w:cs="宋体"/>
                <w:spacing w:val="8"/>
                <w:sz w:val="20"/>
                <w:szCs w:val="20"/>
              </w:rPr>
              <w:t>轻质砌块填充墙、营业厅吊顶、隔热断桥</w:t>
            </w:r>
            <w:r>
              <w:rPr>
                <w:rFonts w:ascii="宋体" w:hAnsi="宋体" w:eastAsia="宋体" w:cs="宋体"/>
                <w:spacing w:val="9"/>
                <w:sz w:val="20"/>
                <w:szCs w:val="20"/>
              </w:rPr>
              <w:t>窗、成品进户门、地面随打随抹、厨卫间中档墙地砖、吊顶</w:t>
            </w:r>
            <w:r>
              <w:rPr>
                <w:rFonts w:ascii="宋体" w:hAnsi="宋体" w:eastAsia="宋体" w:cs="宋体"/>
                <w:spacing w:val="8"/>
                <w:sz w:val="20"/>
                <w:szCs w:val="20"/>
              </w:rPr>
              <w:t>、内墙天棚刮腻子、外墙涂料、局部</w:t>
            </w:r>
            <w:r>
              <w:rPr>
                <w:rFonts w:ascii="宋体" w:hAnsi="宋体" w:eastAsia="宋体" w:cs="宋体"/>
                <w:spacing w:val="4"/>
                <w:sz w:val="20"/>
                <w:szCs w:val="20"/>
              </w:rPr>
              <w:t>贴块料、外墙保温。水电暖（含弱电）。不含高级装修。其中：建筑</w:t>
            </w:r>
            <w:r>
              <w:rPr>
                <w:rFonts w:ascii="宋体" w:hAnsi="宋体" w:eastAsia="宋体" w:cs="宋体"/>
                <w:spacing w:val="-23"/>
                <w:sz w:val="20"/>
                <w:szCs w:val="20"/>
              </w:rPr>
              <w:t xml:space="preserve"> </w:t>
            </w:r>
            <w:r>
              <w:rPr>
                <w:rFonts w:ascii="宋体" w:hAnsi="宋体" w:eastAsia="宋体" w:cs="宋体"/>
                <w:spacing w:val="3"/>
                <w:sz w:val="20"/>
                <w:szCs w:val="20"/>
              </w:rPr>
              <w:t>1525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3"/>
                <w:sz w:val="20"/>
                <w:szCs w:val="20"/>
              </w:rPr>
              <w:t>；安装</w:t>
            </w:r>
            <w:r>
              <w:rPr>
                <w:rFonts w:ascii="宋体" w:hAnsi="宋体" w:eastAsia="宋体" w:cs="宋体"/>
                <w:spacing w:val="-39"/>
                <w:sz w:val="20"/>
                <w:szCs w:val="20"/>
              </w:rPr>
              <w:t xml:space="preserve"> </w:t>
            </w:r>
            <w:r>
              <w:rPr>
                <w:rFonts w:ascii="宋体" w:hAnsi="宋体" w:eastAsia="宋体" w:cs="宋体"/>
                <w:spacing w:val="3"/>
                <w:sz w:val="20"/>
                <w:szCs w:val="20"/>
              </w:rPr>
              <w:t>285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3"/>
                <w:sz w:val="20"/>
                <w:szCs w:val="20"/>
              </w:rPr>
              <w:t>；</w:t>
            </w:r>
            <w:r>
              <w:rPr>
                <w:rFonts w:ascii="宋体" w:hAnsi="宋体" w:eastAsia="宋体" w:cs="宋体"/>
                <w:spacing w:val="2"/>
                <w:sz w:val="20"/>
                <w:szCs w:val="20"/>
              </w:rPr>
              <w:t>电梯</w:t>
            </w:r>
            <w:r>
              <w:rPr>
                <w:rFonts w:ascii="宋体" w:hAnsi="宋体" w:eastAsia="宋体" w:cs="宋体"/>
                <w:spacing w:val="-33"/>
                <w:sz w:val="20"/>
                <w:szCs w:val="20"/>
              </w:rPr>
              <w:t xml:space="preserve"> </w:t>
            </w:r>
            <w:r>
              <w:rPr>
                <w:rFonts w:ascii="宋体" w:hAnsi="宋体" w:eastAsia="宋体" w:cs="宋体"/>
                <w:spacing w:val="2"/>
                <w:sz w:val="20"/>
                <w:szCs w:val="20"/>
              </w:rPr>
              <w:t>90</w:t>
            </w:r>
            <w:r>
              <w:rPr>
                <w:rFonts w:ascii="宋体" w:hAnsi="宋体" w:eastAsia="宋体" w:cs="宋体"/>
                <w:spacing w:val="-43"/>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9"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pStyle w:val="6"/>
              <w:spacing w:line="371" w:lineRule="auto"/>
            </w:pPr>
          </w:p>
          <w:p>
            <w:pPr>
              <w:spacing w:before="65" w:line="278" w:lineRule="exact"/>
              <w:ind w:left="324"/>
              <w:rPr>
                <w:rFonts w:ascii="宋体" w:hAnsi="宋体" w:eastAsia="宋体" w:cs="宋体"/>
                <w:sz w:val="20"/>
                <w:szCs w:val="20"/>
              </w:rPr>
            </w:pPr>
            <w:r>
              <w:rPr>
                <w:rFonts w:ascii="宋体" w:hAnsi="宋体" w:eastAsia="宋体" w:cs="宋体"/>
                <w:spacing w:val="7"/>
                <w:position w:val="1"/>
                <w:sz w:val="20"/>
                <w:szCs w:val="20"/>
              </w:rPr>
              <w:t>小高层（8-12</w:t>
            </w:r>
            <w:r>
              <w:rPr>
                <w:rFonts w:ascii="宋体" w:hAnsi="宋体" w:eastAsia="宋体" w:cs="宋体"/>
                <w:spacing w:val="-37"/>
                <w:position w:val="1"/>
                <w:sz w:val="20"/>
                <w:szCs w:val="20"/>
              </w:rPr>
              <w:t xml:space="preserve"> </w:t>
            </w:r>
            <w:r>
              <w:rPr>
                <w:rFonts w:ascii="宋体" w:hAnsi="宋体" w:eastAsia="宋体" w:cs="宋体"/>
                <w:spacing w:val="7"/>
                <w:position w:val="1"/>
                <w:sz w:val="20"/>
                <w:szCs w:val="20"/>
              </w:rPr>
              <w:t>层）</w:t>
            </w:r>
          </w:p>
        </w:tc>
        <w:tc>
          <w:tcPr>
            <w:tcW w:w="1177" w:type="dxa"/>
            <w:vAlign w:val="top"/>
          </w:tcPr>
          <w:p>
            <w:pPr>
              <w:pStyle w:val="6"/>
              <w:spacing w:line="371" w:lineRule="auto"/>
            </w:pPr>
          </w:p>
          <w:p>
            <w:pPr>
              <w:spacing w:before="65" w:line="299" w:lineRule="exact"/>
              <w:ind w:left="400"/>
              <w:rPr>
                <w:rFonts w:ascii="宋体" w:hAnsi="宋体" w:eastAsia="宋体" w:cs="宋体"/>
                <w:sz w:val="20"/>
                <w:szCs w:val="20"/>
              </w:rPr>
            </w:pPr>
            <w:r>
              <w:rPr>
                <w:rFonts w:ascii="宋体" w:hAnsi="宋体" w:eastAsia="宋体" w:cs="宋体"/>
                <w:spacing w:val="-3"/>
                <w:position w:val="2"/>
                <w:sz w:val="20"/>
                <w:szCs w:val="20"/>
              </w:rPr>
              <w:t>1870</w:t>
            </w:r>
          </w:p>
        </w:tc>
        <w:tc>
          <w:tcPr>
            <w:tcW w:w="8851" w:type="dxa"/>
            <w:vAlign w:val="top"/>
          </w:tcPr>
          <w:p>
            <w:pPr>
              <w:spacing w:before="126" w:line="296" w:lineRule="auto"/>
              <w:ind w:left="17"/>
              <w:jc w:val="both"/>
              <w:rPr>
                <w:rFonts w:ascii="宋体" w:hAnsi="宋体" w:eastAsia="宋体" w:cs="宋体"/>
                <w:sz w:val="20"/>
                <w:szCs w:val="20"/>
              </w:rPr>
            </w:pPr>
            <w:r>
              <w:rPr>
                <w:rFonts w:ascii="宋体" w:hAnsi="宋体" w:eastAsia="宋体" w:cs="宋体"/>
                <w:spacing w:val="5"/>
                <w:sz w:val="20"/>
                <w:szCs w:val="20"/>
              </w:rPr>
              <w:t>钢筋混凝土筏板基础、现浇轻型框剪墙、现浇柱梁板、隔热断桥窗、成品进户门、地面随打随抹、</w:t>
            </w:r>
            <w:r>
              <w:rPr>
                <w:rFonts w:ascii="宋体" w:hAnsi="宋体" w:eastAsia="宋体" w:cs="宋体"/>
                <w:spacing w:val="8"/>
                <w:sz w:val="20"/>
                <w:szCs w:val="20"/>
              </w:rPr>
              <w:t>内墙刮腻子、外墙涂料、局部贴块料、外墙保温、水电暖（含弱电）。不含高级装修。其中：建</w:t>
            </w:r>
            <w:r>
              <w:rPr>
                <w:rFonts w:ascii="宋体" w:hAnsi="宋体" w:eastAsia="宋体" w:cs="宋体"/>
                <w:sz w:val="20"/>
                <w:szCs w:val="20"/>
              </w:rPr>
              <w:t>筑</w:t>
            </w:r>
            <w:r>
              <w:rPr>
                <w:rFonts w:ascii="宋体" w:hAnsi="宋体" w:eastAsia="宋体" w:cs="宋体"/>
                <w:spacing w:val="-12"/>
                <w:sz w:val="20"/>
                <w:szCs w:val="20"/>
              </w:rPr>
              <w:t xml:space="preserve"> </w:t>
            </w:r>
            <w:r>
              <w:rPr>
                <w:rFonts w:ascii="宋体" w:hAnsi="宋体" w:eastAsia="宋体" w:cs="宋体"/>
                <w:sz w:val="20"/>
                <w:szCs w:val="20"/>
              </w:rPr>
              <w:t>1485</w:t>
            </w:r>
            <w:r>
              <w:rPr>
                <w:rFonts w:ascii="宋体" w:hAnsi="宋体" w:eastAsia="宋体" w:cs="宋体"/>
                <w:spacing w:val="-45"/>
                <w:sz w:val="20"/>
                <w:szCs w:val="20"/>
              </w:rPr>
              <w:t xml:space="preserve"> </w:t>
            </w:r>
            <w:r>
              <w:rPr>
                <w:rFonts w:ascii="宋体" w:hAnsi="宋体" w:eastAsia="宋体" w:cs="宋体"/>
                <w:sz w:val="20"/>
                <w:szCs w:val="20"/>
              </w:rPr>
              <w:t>元/m</w:t>
            </w:r>
            <w:r>
              <w:rPr>
                <w:rFonts w:ascii="宋体" w:hAnsi="宋体" w:eastAsia="宋体" w:cs="宋体"/>
                <w:position w:val="10"/>
                <w:sz w:val="10"/>
                <w:szCs w:val="10"/>
              </w:rPr>
              <w:t>2</w:t>
            </w:r>
            <w:r>
              <w:rPr>
                <w:rFonts w:ascii="宋体" w:hAnsi="宋体" w:eastAsia="宋体" w:cs="宋体"/>
                <w:spacing w:val="-18"/>
                <w:position w:val="10"/>
                <w:sz w:val="10"/>
                <w:szCs w:val="10"/>
              </w:rPr>
              <w:t xml:space="preserve"> </w:t>
            </w:r>
            <w:r>
              <w:rPr>
                <w:rFonts w:ascii="宋体" w:hAnsi="宋体" w:eastAsia="宋体" w:cs="宋体"/>
                <w:sz w:val="20"/>
                <w:szCs w:val="20"/>
              </w:rPr>
              <w:t>；安装</w:t>
            </w:r>
            <w:r>
              <w:rPr>
                <w:rFonts w:ascii="宋体" w:hAnsi="宋体" w:eastAsia="宋体" w:cs="宋体"/>
                <w:spacing w:val="-38"/>
                <w:sz w:val="20"/>
                <w:szCs w:val="20"/>
              </w:rPr>
              <w:t xml:space="preserve"> </w:t>
            </w:r>
            <w:r>
              <w:rPr>
                <w:rFonts w:ascii="宋体" w:hAnsi="宋体" w:eastAsia="宋体" w:cs="宋体"/>
                <w:sz w:val="20"/>
                <w:szCs w:val="20"/>
              </w:rPr>
              <w:t>305</w:t>
            </w:r>
            <w:r>
              <w:rPr>
                <w:rFonts w:ascii="宋体" w:hAnsi="宋体" w:eastAsia="宋体" w:cs="宋体"/>
                <w:spacing w:val="-41"/>
                <w:sz w:val="20"/>
                <w:szCs w:val="20"/>
              </w:rPr>
              <w:t xml:space="preserve"> </w:t>
            </w:r>
            <w:r>
              <w:rPr>
                <w:rFonts w:ascii="宋体" w:hAnsi="宋体" w:eastAsia="宋体" w:cs="宋体"/>
                <w:sz w:val="20"/>
                <w:szCs w:val="20"/>
              </w:rPr>
              <w:t>元/m</w:t>
            </w:r>
            <w:r>
              <w:rPr>
                <w:rFonts w:ascii="宋体" w:hAnsi="宋体" w:eastAsia="宋体" w:cs="宋体"/>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z w:val="20"/>
                <w:szCs w:val="20"/>
              </w:rPr>
              <w:t>；电梯</w:t>
            </w:r>
            <w:r>
              <w:rPr>
                <w:rFonts w:ascii="宋体" w:hAnsi="宋体" w:eastAsia="宋体" w:cs="宋体"/>
                <w:spacing w:val="-40"/>
                <w:sz w:val="20"/>
                <w:szCs w:val="20"/>
              </w:rPr>
              <w:t xml:space="preserve"> </w:t>
            </w:r>
            <w:r>
              <w:rPr>
                <w:rFonts w:ascii="宋体" w:hAnsi="宋体" w:eastAsia="宋体" w:cs="宋体"/>
                <w:sz w:val="20"/>
                <w:szCs w:val="20"/>
              </w:rPr>
              <w:t>80</w:t>
            </w:r>
            <w:r>
              <w:rPr>
                <w:rFonts w:ascii="宋体" w:hAnsi="宋体" w:eastAsia="宋体" w:cs="宋体"/>
                <w:spacing w:val="-43"/>
                <w:sz w:val="20"/>
                <w:szCs w:val="20"/>
              </w:rPr>
              <w:t xml:space="preserve"> </w:t>
            </w:r>
            <w:r>
              <w:rPr>
                <w:rFonts w:ascii="宋体" w:hAnsi="宋体" w:eastAsia="宋体" w:cs="宋体"/>
                <w:sz w:val="20"/>
                <w:szCs w:val="20"/>
              </w:rPr>
              <w:t>元/m</w:t>
            </w:r>
            <w:r>
              <w:rPr>
                <w:rFonts w:ascii="宋体" w:hAnsi="宋体" w:eastAsia="宋体" w:cs="宋体"/>
                <w:position w:val="10"/>
                <w:sz w:val="10"/>
                <w:szCs w:val="10"/>
              </w:rPr>
              <w:t>2</w:t>
            </w:r>
            <w:r>
              <w:rPr>
                <w:rFonts w:ascii="宋体" w:hAnsi="宋体" w:eastAsia="宋体" w:cs="宋体"/>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4"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126" w:line="278" w:lineRule="exact"/>
              <w:ind w:left="168"/>
              <w:rPr>
                <w:rFonts w:ascii="宋体" w:hAnsi="宋体" w:eastAsia="宋体" w:cs="宋体"/>
                <w:sz w:val="20"/>
                <w:szCs w:val="20"/>
              </w:rPr>
            </w:pPr>
            <w:r>
              <w:rPr>
                <w:rFonts w:ascii="宋体" w:hAnsi="宋体" w:eastAsia="宋体" w:cs="宋体"/>
                <w:spacing w:val="3"/>
                <w:position w:val="1"/>
                <w:sz w:val="20"/>
                <w:szCs w:val="20"/>
              </w:rPr>
              <w:t>高层住宅（</w:t>
            </w:r>
            <w:r>
              <w:rPr>
                <w:rFonts w:ascii="宋体" w:hAnsi="宋体" w:eastAsia="宋体" w:cs="宋体"/>
                <w:spacing w:val="-47"/>
                <w:position w:val="1"/>
                <w:sz w:val="20"/>
                <w:szCs w:val="20"/>
              </w:rPr>
              <w:t xml:space="preserve"> </w:t>
            </w:r>
            <w:r>
              <w:rPr>
                <w:rFonts w:ascii="宋体" w:hAnsi="宋体" w:eastAsia="宋体" w:cs="宋体"/>
                <w:spacing w:val="3"/>
                <w:position w:val="1"/>
                <w:sz w:val="20"/>
                <w:szCs w:val="20"/>
              </w:rPr>
              <w:t>13-17</w:t>
            </w:r>
            <w:r>
              <w:rPr>
                <w:rFonts w:ascii="宋体" w:hAnsi="宋体" w:eastAsia="宋体" w:cs="宋体"/>
                <w:spacing w:val="-42"/>
                <w:position w:val="1"/>
                <w:sz w:val="20"/>
                <w:szCs w:val="20"/>
              </w:rPr>
              <w:t xml:space="preserve"> </w:t>
            </w:r>
            <w:r>
              <w:rPr>
                <w:rFonts w:ascii="宋体" w:hAnsi="宋体" w:eastAsia="宋体" w:cs="宋体"/>
                <w:spacing w:val="3"/>
                <w:position w:val="1"/>
                <w:sz w:val="20"/>
                <w:szCs w:val="20"/>
              </w:rPr>
              <w:t>层）</w:t>
            </w:r>
          </w:p>
        </w:tc>
        <w:tc>
          <w:tcPr>
            <w:tcW w:w="1177" w:type="dxa"/>
            <w:vAlign w:val="top"/>
          </w:tcPr>
          <w:p>
            <w:pPr>
              <w:spacing w:before="126" w:line="300" w:lineRule="exact"/>
              <w:ind w:left="383"/>
              <w:rPr>
                <w:rFonts w:ascii="宋体" w:hAnsi="宋体" w:eastAsia="宋体" w:cs="宋体"/>
                <w:sz w:val="20"/>
                <w:szCs w:val="20"/>
              </w:rPr>
            </w:pPr>
            <w:r>
              <w:rPr>
                <w:rFonts w:ascii="宋体" w:hAnsi="宋体" w:eastAsia="宋体" w:cs="宋体"/>
                <w:spacing w:val="1"/>
                <w:position w:val="2"/>
                <w:sz w:val="20"/>
                <w:szCs w:val="20"/>
              </w:rPr>
              <w:t>2020</w:t>
            </w:r>
          </w:p>
        </w:tc>
        <w:tc>
          <w:tcPr>
            <w:tcW w:w="8851" w:type="dxa"/>
            <w:vAlign w:val="top"/>
          </w:tcPr>
          <w:p>
            <w:pPr>
              <w:spacing w:before="155" w:line="297" w:lineRule="exact"/>
              <w:ind w:left="15"/>
              <w:rPr>
                <w:rFonts w:ascii="宋体" w:hAnsi="宋体" w:eastAsia="宋体" w:cs="宋体"/>
                <w:sz w:val="20"/>
                <w:szCs w:val="20"/>
              </w:rPr>
            </w:pPr>
            <w:r>
              <w:rPr>
                <w:rFonts w:ascii="宋体" w:hAnsi="宋体" w:eastAsia="宋体" w:cs="宋体"/>
                <w:spacing w:val="4"/>
                <w:position w:val="1"/>
                <w:sz w:val="20"/>
                <w:szCs w:val="20"/>
              </w:rPr>
              <w:t>做法同上。其中：建筑</w:t>
            </w:r>
            <w:r>
              <w:rPr>
                <w:rFonts w:ascii="宋体" w:hAnsi="宋体" w:eastAsia="宋体" w:cs="宋体"/>
                <w:spacing w:val="-25"/>
                <w:position w:val="1"/>
                <w:sz w:val="20"/>
                <w:szCs w:val="20"/>
              </w:rPr>
              <w:t xml:space="preserve"> </w:t>
            </w:r>
            <w:r>
              <w:rPr>
                <w:rFonts w:ascii="宋体" w:hAnsi="宋体" w:eastAsia="宋体" w:cs="宋体"/>
                <w:spacing w:val="4"/>
                <w:position w:val="1"/>
                <w:sz w:val="20"/>
                <w:szCs w:val="20"/>
              </w:rPr>
              <w:t>1625</w:t>
            </w:r>
            <w:r>
              <w:rPr>
                <w:rFonts w:ascii="宋体" w:hAnsi="宋体" w:eastAsia="宋体" w:cs="宋体"/>
                <w:spacing w:val="-45"/>
                <w:position w:val="1"/>
                <w:sz w:val="20"/>
                <w:szCs w:val="20"/>
              </w:rPr>
              <w:t xml:space="preserve"> </w:t>
            </w:r>
            <w:r>
              <w:rPr>
                <w:rFonts w:ascii="宋体" w:hAnsi="宋体" w:eastAsia="宋体" w:cs="宋体"/>
                <w:spacing w:val="4"/>
                <w:position w:val="1"/>
                <w:sz w:val="20"/>
                <w:szCs w:val="20"/>
              </w:rPr>
              <w:t>元/m</w:t>
            </w:r>
            <w:r>
              <w:rPr>
                <w:rFonts w:ascii="宋体" w:hAnsi="宋体" w:eastAsia="宋体" w:cs="宋体"/>
                <w:spacing w:val="4"/>
                <w:position w:val="11"/>
                <w:sz w:val="10"/>
                <w:szCs w:val="10"/>
              </w:rPr>
              <w:t>2</w:t>
            </w:r>
            <w:r>
              <w:rPr>
                <w:rFonts w:ascii="宋体" w:hAnsi="宋体" w:eastAsia="宋体" w:cs="宋体"/>
                <w:spacing w:val="-15"/>
                <w:position w:val="11"/>
                <w:sz w:val="10"/>
                <w:szCs w:val="10"/>
              </w:rPr>
              <w:t xml:space="preserve"> </w:t>
            </w:r>
            <w:r>
              <w:rPr>
                <w:rFonts w:ascii="宋体" w:hAnsi="宋体" w:eastAsia="宋体" w:cs="宋体"/>
                <w:spacing w:val="4"/>
                <w:position w:val="1"/>
                <w:sz w:val="20"/>
                <w:szCs w:val="20"/>
              </w:rPr>
              <w:t>；</w:t>
            </w:r>
            <w:r>
              <w:rPr>
                <w:rFonts w:ascii="宋体" w:hAnsi="宋体" w:eastAsia="宋体" w:cs="宋体"/>
                <w:spacing w:val="3"/>
                <w:position w:val="1"/>
                <w:sz w:val="20"/>
                <w:szCs w:val="20"/>
              </w:rPr>
              <w:t>安装</w:t>
            </w:r>
            <w:r>
              <w:rPr>
                <w:rFonts w:ascii="宋体" w:hAnsi="宋体" w:eastAsia="宋体" w:cs="宋体"/>
                <w:spacing w:val="-38"/>
                <w:position w:val="1"/>
                <w:sz w:val="20"/>
                <w:szCs w:val="20"/>
              </w:rPr>
              <w:t xml:space="preserve"> </w:t>
            </w:r>
            <w:r>
              <w:rPr>
                <w:rFonts w:ascii="宋体" w:hAnsi="宋体" w:eastAsia="宋体" w:cs="宋体"/>
                <w:spacing w:val="3"/>
                <w:position w:val="1"/>
                <w:sz w:val="20"/>
                <w:szCs w:val="20"/>
              </w:rPr>
              <w:t>315</w:t>
            </w:r>
            <w:r>
              <w:rPr>
                <w:rFonts w:ascii="宋体" w:hAnsi="宋体" w:eastAsia="宋体" w:cs="宋体"/>
                <w:spacing w:val="-43"/>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17"/>
                <w:position w:val="11"/>
                <w:sz w:val="10"/>
                <w:szCs w:val="10"/>
              </w:rPr>
              <w:t xml:space="preserve"> </w:t>
            </w:r>
            <w:r>
              <w:rPr>
                <w:rFonts w:ascii="宋体" w:hAnsi="宋体" w:eastAsia="宋体" w:cs="宋体"/>
                <w:spacing w:val="3"/>
                <w:position w:val="1"/>
                <w:sz w:val="20"/>
                <w:szCs w:val="20"/>
              </w:rPr>
              <w:t>；电梯</w:t>
            </w:r>
            <w:r>
              <w:rPr>
                <w:rFonts w:ascii="宋体" w:hAnsi="宋体" w:eastAsia="宋体" w:cs="宋体"/>
                <w:spacing w:val="-39"/>
                <w:position w:val="1"/>
                <w:sz w:val="20"/>
                <w:szCs w:val="20"/>
              </w:rPr>
              <w:t xml:space="preserve"> </w:t>
            </w:r>
            <w:r>
              <w:rPr>
                <w:rFonts w:ascii="宋体" w:hAnsi="宋体" w:eastAsia="宋体" w:cs="宋体"/>
                <w:spacing w:val="3"/>
                <w:position w:val="1"/>
                <w:sz w:val="20"/>
                <w:szCs w:val="20"/>
              </w:rPr>
              <w:t>80</w:t>
            </w:r>
            <w:r>
              <w:rPr>
                <w:rFonts w:ascii="宋体" w:hAnsi="宋体" w:eastAsia="宋体" w:cs="宋体"/>
                <w:spacing w:val="-43"/>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3"/>
                <w:position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4"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127" w:line="278" w:lineRule="exact"/>
              <w:ind w:left="168"/>
              <w:rPr>
                <w:rFonts w:ascii="宋体" w:hAnsi="宋体" w:eastAsia="宋体" w:cs="宋体"/>
                <w:sz w:val="20"/>
                <w:szCs w:val="20"/>
              </w:rPr>
            </w:pPr>
            <w:r>
              <w:rPr>
                <w:rFonts w:ascii="宋体" w:hAnsi="宋体" w:eastAsia="宋体" w:cs="宋体"/>
                <w:spacing w:val="3"/>
                <w:position w:val="1"/>
                <w:sz w:val="20"/>
                <w:szCs w:val="20"/>
              </w:rPr>
              <w:t>高层住宅（</w:t>
            </w:r>
            <w:r>
              <w:rPr>
                <w:rFonts w:ascii="宋体" w:hAnsi="宋体" w:eastAsia="宋体" w:cs="宋体"/>
                <w:spacing w:val="-47"/>
                <w:position w:val="1"/>
                <w:sz w:val="20"/>
                <w:szCs w:val="20"/>
              </w:rPr>
              <w:t xml:space="preserve"> </w:t>
            </w:r>
            <w:r>
              <w:rPr>
                <w:rFonts w:ascii="宋体" w:hAnsi="宋体" w:eastAsia="宋体" w:cs="宋体"/>
                <w:spacing w:val="3"/>
                <w:position w:val="1"/>
                <w:sz w:val="20"/>
                <w:szCs w:val="20"/>
              </w:rPr>
              <w:t>18-22</w:t>
            </w:r>
            <w:r>
              <w:rPr>
                <w:rFonts w:ascii="宋体" w:hAnsi="宋体" w:eastAsia="宋体" w:cs="宋体"/>
                <w:spacing w:val="-42"/>
                <w:position w:val="1"/>
                <w:sz w:val="20"/>
                <w:szCs w:val="20"/>
              </w:rPr>
              <w:t xml:space="preserve"> </w:t>
            </w:r>
            <w:r>
              <w:rPr>
                <w:rFonts w:ascii="宋体" w:hAnsi="宋体" w:eastAsia="宋体" w:cs="宋体"/>
                <w:spacing w:val="3"/>
                <w:position w:val="1"/>
                <w:sz w:val="20"/>
                <w:szCs w:val="20"/>
              </w:rPr>
              <w:t>层）</w:t>
            </w:r>
          </w:p>
        </w:tc>
        <w:tc>
          <w:tcPr>
            <w:tcW w:w="1177" w:type="dxa"/>
            <w:vAlign w:val="top"/>
          </w:tcPr>
          <w:p>
            <w:pPr>
              <w:spacing w:before="127" w:line="300" w:lineRule="exact"/>
              <w:ind w:left="383"/>
              <w:rPr>
                <w:rFonts w:ascii="宋体" w:hAnsi="宋体" w:eastAsia="宋体" w:cs="宋体"/>
                <w:sz w:val="20"/>
                <w:szCs w:val="20"/>
              </w:rPr>
            </w:pPr>
            <w:r>
              <w:rPr>
                <w:rFonts w:ascii="宋体" w:hAnsi="宋体" w:eastAsia="宋体" w:cs="宋体"/>
                <w:spacing w:val="1"/>
                <w:position w:val="2"/>
                <w:sz w:val="20"/>
                <w:szCs w:val="20"/>
              </w:rPr>
              <w:t>2270</w:t>
            </w:r>
          </w:p>
        </w:tc>
        <w:tc>
          <w:tcPr>
            <w:tcW w:w="8851" w:type="dxa"/>
            <w:vAlign w:val="top"/>
          </w:tcPr>
          <w:p>
            <w:pPr>
              <w:spacing w:before="156" w:line="297" w:lineRule="exact"/>
              <w:ind w:left="15"/>
              <w:rPr>
                <w:rFonts w:ascii="宋体" w:hAnsi="宋体" w:eastAsia="宋体" w:cs="宋体"/>
                <w:sz w:val="20"/>
                <w:szCs w:val="20"/>
              </w:rPr>
            </w:pPr>
            <w:r>
              <w:rPr>
                <w:rFonts w:ascii="宋体" w:hAnsi="宋体" w:eastAsia="宋体" w:cs="宋体"/>
                <w:spacing w:val="3"/>
                <w:position w:val="1"/>
                <w:sz w:val="20"/>
                <w:szCs w:val="20"/>
              </w:rPr>
              <w:t>做法同上。其中：建筑</w:t>
            </w:r>
            <w:r>
              <w:rPr>
                <w:rFonts w:ascii="宋体" w:hAnsi="宋体" w:eastAsia="宋体" w:cs="宋体"/>
                <w:spacing w:val="-24"/>
                <w:position w:val="1"/>
                <w:sz w:val="20"/>
                <w:szCs w:val="20"/>
              </w:rPr>
              <w:t xml:space="preserve"> </w:t>
            </w:r>
            <w:r>
              <w:rPr>
                <w:rFonts w:ascii="宋体" w:hAnsi="宋体" w:eastAsia="宋体" w:cs="宋体"/>
                <w:spacing w:val="3"/>
                <w:position w:val="1"/>
                <w:sz w:val="20"/>
                <w:szCs w:val="20"/>
              </w:rPr>
              <w:t>1755</w:t>
            </w:r>
            <w:r>
              <w:rPr>
                <w:rFonts w:ascii="宋体" w:hAnsi="宋体" w:eastAsia="宋体" w:cs="宋体"/>
                <w:spacing w:val="-45"/>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15"/>
                <w:position w:val="11"/>
                <w:sz w:val="10"/>
                <w:szCs w:val="10"/>
              </w:rPr>
              <w:t xml:space="preserve"> </w:t>
            </w:r>
            <w:r>
              <w:rPr>
                <w:rFonts w:ascii="宋体" w:hAnsi="宋体" w:eastAsia="宋体" w:cs="宋体"/>
                <w:spacing w:val="3"/>
                <w:position w:val="1"/>
                <w:sz w:val="20"/>
                <w:szCs w:val="20"/>
              </w:rPr>
              <w:t>；安装</w:t>
            </w:r>
            <w:r>
              <w:rPr>
                <w:rFonts w:ascii="宋体" w:hAnsi="宋体" w:eastAsia="宋体" w:cs="宋体"/>
                <w:spacing w:val="-38"/>
                <w:position w:val="1"/>
                <w:sz w:val="20"/>
                <w:szCs w:val="20"/>
              </w:rPr>
              <w:t xml:space="preserve"> </w:t>
            </w:r>
            <w:r>
              <w:rPr>
                <w:rFonts w:ascii="宋体" w:hAnsi="宋体" w:eastAsia="宋体" w:cs="宋体"/>
                <w:spacing w:val="3"/>
                <w:position w:val="1"/>
                <w:sz w:val="20"/>
                <w:szCs w:val="20"/>
              </w:rPr>
              <w:t>325</w:t>
            </w:r>
            <w:r>
              <w:rPr>
                <w:rFonts w:ascii="宋体" w:hAnsi="宋体" w:eastAsia="宋体" w:cs="宋体"/>
                <w:spacing w:val="-43"/>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17"/>
                <w:position w:val="11"/>
                <w:sz w:val="10"/>
                <w:szCs w:val="10"/>
              </w:rPr>
              <w:t xml:space="preserve"> </w:t>
            </w:r>
            <w:r>
              <w:rPr>
                <w:rFonts w:ascii="宋体" w:hAnsi="宋体" w:eastAsia="宋体" w:cs="宋体"/>
                <w:spacing w:val="3"/>
                <w:position w:val="1"/>
                <w:sz w:val="20"/>
                <w:szCs w:val="20"/>
              </w:rPr>
              <w:t>；桩基</w:t>
            </w:r>
            <w:r>
              <w:rPr>
                <w:rFonts w:ascii="宋体" w:hAnsi="宋体" w:eastAsia="宋体" w:cs="宋体"/>
                <w:spacing w:val="-25"/>
                <w:position w:val="1"/>
                <w:sz w:val="20"/>
                <w:szCs w:val="20"/>
              </w:rPr>
              <w:t xml:space="preserve"> </w:t>
            </w:r>
            <w:r>
              <w:rPr>
                <w:rFonts w:ascii="宋体" w:hAnsi="宋体" w:eastAsia="宋体" w:cs="宋体"/>
                <w:spacing w:val="3"/>
                <w:position w:val="1"/>
                <w:sz w:val="20"/>
                <w:szCs w:val="20"/>
              </w:rPr>
              <w:t>120</w:t>
            </w:r>
            <w:r>
              <w:rPr>
                <w:rFonts w:ascii="宋体" w:hAnsi="宋体" w:eastAsia="宋体" w:cs="宋体"/>
                <w:spacing w:val="-40"/>
                <w:position w:val="1"/>
                <w:sz w:val="20"/>
                <w:szCs w:val="20"/>
              </w:rPr>
              <w:t xml:space="preserve"> </w:t>
            </w:r>
            <w:r>
              <w:rPr>
                <w:rFonts w:ascii="宋体" w:hAnsi="宋体" w:eastAsia="宋体" w:cs="宋体"/>
                <w:spacing w:val="3"/>
                <w:position w:val="1"/>
                <w:sz w:val="20"/>
                <w:szCs w:val="20"/>
              </w:rPr>
              <w:t>元/m</w:t>
            </w:r>
            <w:r>
              <w:rPr>
                <w:rFonts w:ascii="宋体" w:hAnsi="宋体" w:eastAsia="宋体" w:cs="宋体"/>
                <w:spacing w:val="3"/>
                <w:position w:val="11"/>
                <w:sz w:val="10"/>
                <w:szCs w:val="10"/>
              </w:rPr>
              <w:t>2</w:t>
            </w:r>
            <w:r>
              <w:rPr>
                <w:rFonts w:ascii="宋体" w:hAnsi="宋体" w:eastAsia="宋体" w:cs="宋体"/>
                <w:spacing w:val="-15"/>
                <w:position w:val="11"/>
                <w:sz w:val="10"/>
                <w:szCs w:val="10"/>
              </w:rPr>
              <w:t xml:space="preserve"> </w:t>
            </w:r>
            <w:r>
              <w:rPr>
                <w:rFonts w:ascii="宋体" w:hAnsi="宋体" w:eastAsia="宋体" w:cs="宋体"/>
                <w:spacing w:val="3"/>
                <w:position w:val="1"/>
                <w:sz w:val="20"/>
                <w:szCs w:val="20"/>
              </w:rPr>
              <w:t>；</w:t>
            </w:r>
            <w:r>
              <w:rPr>
                <w:rFonts w:ascii="宋体" w:hAnsi="宋体" w:eastAsia="宋体" w:cs="宋体"/>
                <w:spacing w:val="2"/>
                <w:position w:val="1"/>
                <w:sz w:val="20"/>
                <w:szCs w:val="20"/>
              </w:rPr>
              <w:t>电梯</w:t>
            </w:r>
            <w:r>
              <w:rPr>
                <w:rFonts w:ascii="宋体" w:hAnsi="宋体" w:eastAsia="宋体" w:cs="宋体"/>
                <w:spacing w:val="-43"/>
                <w:position w:val="1"/>
                <w:sz w:val="20"/>
                <w:szCs w:val="20"/>
              </w:rPr>
              <w:t xml:space="preserve"> </w:t>
            </w:r>
            <w:r>
              <w:rPr>
                <w:rFonts w:ascii="宋体" w:hAnsi="宋体" w:eastAsia="宋体" w:cs="宋体"/>
                <w:spacing w:val="2"/>
                <w:position w:val="1"/>
                <w:sz w:val="20"/>
                <w:szCs w:val="20"/>
              </w:rPr>
              <w:t>70</w:t>
            </w:r>
            <w:r>
              <w:rPr>
                <w:rFonts w:ascii="宋体" w:hAnsi="宋体" w:eastAsia="宋体" w:cs="宋体"/>
                <w:spacing w:val="-43"/>
                <w:position w:val="1"/>
                <w:sz w:val="20"/>
                <w:szCs w:val="20"/>
              </w:rPr>
              <w:t xml:space="preserve"> </w:t>
            </w:r>
            <w:r>
              <w:rPr>
                <w:rFonts w:ascii="宋体" w:hAnsi="宋体" w:eastAsia="宋体" w:cs="宋体"/>
                <w:spacing w:val="2"/>
                <w:position w:val="1"/>
                <w:sz w:val="20"/>
                <w:szCs w:val="20"/>
              </w:rPr>
              <w:t>元/m</w:t>
            </w:r>
            <w:r>
              <w:rPr>
                <w:rFonts w:ascii="宋体" w:hAnsi="宋体" w:eastAsia="宋体" w:cs="宋体"/>
                <w:spacing w:val="2"/>
                <w:position w:val="11"/>
                <w:sz w:val="10"/>
                <w:szCs w:val="10"/>
              </w:rPr>
              <w:t>2</w:t>
            </w:r>
            <w:r>
              <w:rPr>
                <w:rFonts w:ascii="宋体" w:hAnsi="宋体" w:eastAsia="宋体" w:cs="宋体"/>
                <w:spacing w:val="2"/>
                <w:position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0" w:hRule="atLeast"/>
        </w:trPr>
        <w:tc>
          <w:tcPr>
            <w:tcW w:w="366" w:type="dxa"/>
            <w:vMerge w:val="continue"/>
            <w:tcBorders>
              <w:top w:val="nil"/>
              <w:bottom w:val="nil"/>
            </w:tcBorders>
            <w:vAlign w:val="top"/>
          </w:tcPr>
          <w:p>
            <w:pPr>
              <w:pStyle w:val="6"/>
            </w:pPr>
          </w:p>
        </w:tc>
        <w:tc>
          <w:tcPr>
            <w:tcW w:w="1347" w:type="dxa"/>
            <w:vMerge w:val="continue"/>
            <w:tcBorders>
              <w:top w:val="nil"/>
              <w:bottom w:val="nil"/>
            </w:tcBorders>
            <w:vAlign w:val="top"/>
          </w:tcPr>
          <w:p>
            <w:pPr>
              <w:pStyle w:val="6"/>
            </w:pPr>
          </w:p>
        </w:tc>
        <w:tc>
          <w:tcPr>
            <w:tcW w:w="2385" w:type="dxa"/>
            <w:vAlign w:val="top"/>
          </w:tcPr>
          <w:p>
            <w:pPr>
              <w:spacing w:before="260" w:line="278" w:lineRule="exact"/>
              <w:ind w:left="168"/>
              <w:rPr>
                <w:rFonts w:ascii="宋体" w:hAnsi="宋体" w:eastAsia="宋体" w:cs="宋体"/>
                <w:sz w:val="20"/>
                <w:szCs w:val="20"/>
              </w:rPr>
            </w:pPr>
            <w:r>
              <w:rPr>
                <w:rFonts w:ascii="宋体" w:hAnsi="宋体" w:eastAsia="宋体" w:cs="宋体"/>
                <w:spacing w:val="7"/>
                <w:position w:val="1"/>
                <w:sz w:val="20"/>
                <w:szCs w:val="20"/>
              </w:rPr>
              <w:t>高层住宅（23-30</w:t>
            </w:r>
            <w:r>
              <w:rPr>
                <w:rFonts w:ascii="宋体" w:hAnsi="宋体" w:eastAsia="宋体" w:cs="宋体"/>
                <w:spacing w:val="-38"/>
                <w:position w:val="1"/>
                <w:sz w:val="20"/>
                <w:szCs w:val="20"/>
              </w:rPr>
              <w:t xml:space="preserve"> </w:t>
            </w:r>
            <w:r>
              <w:rPr>
                <w:rFonts w:ascii="宋体" w:hAnsi="宋体" w:eastAsia="宋体" w:cs="宋体"/>
                <w:spacing w:val="7"/>
                <w:position w:val="1"/>
                <w:sz w:val="20"/>
                <w:szCs w:val="20"/>
              </w:rPr>
              <w:t>层）</w:t>
            </w:r>
          </w:p>
        </w:tc>
        <w:tc>
          <w:tcPr>
            <w:tcW w:w="1177" w:type="dxa"/>
            <w:vAlign w:val="top"/>
          </w:tcPr>
          <w:p>
            <w:pPr>
              <w:spacing w:before="260" w:line="300" w:lineRule="exact"/>
              <w:ind w:left="383"/>
              <w:rPr>
                <w:rFonts w:ascii="宋体" w:hAnsi="宋体" w:eastAsia="宋体" w:cs="宋体"/>
                <w:sz w:val="20"/>
                <w:szCs w:val="20"/>
              </w:rPr>
            </w:pPr>
            <w:r>
              <w:rPr>
                <w:rFonts w:ascii="宋体" w:hAnsi="宋体" w:eastAsia="宋体" w:cs="宋体"/>
                <w:spacing w:val="1"/>
                <w:position w:val="2"/>
                <w:sz w:val="20"/>
                <w:szCs w:val="20"/>
              </w:rPr>
              <w:t>2620</w:t>
            </w:r>
          </w:p>
        </w:tc>
        <w:tc>
          <w:tcPr>
            <w:tcW w:w="8851" w:type="dxa"/>
            <w:vAlign w:val="top"/>
          </w:tcPr>
          <w:p>
            <w:pPr>
              <w:spacing w:before="110" w:line="286" w:lineRule="auto"/>
              <w:ind w:left="15" w:right="16"/>
              <w:rPr>
                <w:rFonts w:ascii="宋体" w:hAnsi="宋体" w:eastAsia="宋体" w:cs="宋体"/>
                <w:sz w:val="20"/>
                <w:szCs w:val="20"/>
              </w:rPr>
            </w:pPr>
            <w:r>
              <w:rPr>
                <w:rFonts w:ascii="宋体" w:hAnsi="宋体" w:eastAsia="宋体" w:cs="宋体"/>
                <w:spacing w:val="2"/>
                <w:sz w:val="20"/>
                <w:szCs w:val="20"/>
              </w:rPr>
              <w:t>做法同上。其中：建筑</w:t>
            </w:r>
            <w:r>
              <w:rPr>
                <w:rFonts w:ascii="宋体" w:hAnsi="宋体" w:eastAsia="宋体" w:cs="宋体"/>
                <w:spacing w:val="-29"/>
                <w:sz w:val="20"/>
                <w:szCs w:val="20"/>
              </w:rPr>
              <w:t xml:space="preserve"> </w:t>
            </w:r>
            <w:r>
              <w:rPr>
                <w:rFonts w:ascii="宋体" w:hAnsi="宋体" w:eastAsia="宋体" w:cs="宋体"/>
                <w:spacing w:val="2"/>
                <w:sz w:val="20"/>
                <w:szCs w:val="20"/>
              </w:rPr>
              <w:t>2005</w:t>
            </w:r>
            <w:r>
              <w:rPr>
                <w:rFonts w:ascii="宋体" w:hAnsi="宋体" w:eastAsia="宋体" w:cs="宋体"/>
                <w:spacing w:val="-42"/>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；安装</w:t>
            </w:r>
            <w:r>
              <w:rPr>
                <w:rFonts w:ascii="宋体" w:hAnsi="宋体" w:eastAsia="宋体" w:cs="宋体"/>
                <w:spacing w:val="-36"/>
                <w:sz w:val="20"/>
                <w:szCs w:val="20"/>
              </w:rPr>
              <w:t xml:space="preserve"> </w:t>
            </w:r>
            <w:r>
              <w:rPr>
                <w:rFonts w:ascii="宋体" w:hAnsi="宋体" w:eastAsia="宋体" w:cs="宋体"/>
                <w:spacing w:val="2"/>
                <w:sz w:val="20"/>
                <w:szCs w:val="20"/>
              </w:rPr>
              <w:t>325</w:t>
            </w:r>
            <w:r>
              <w:rPr>
                <w:rFonts w:ascii="宋体" w:hAnsi="宋体" w:eastAsia="宋体" w:cs="宋体"/>
                <w:spacing w:val="-43"/>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2"/>
                <w:sz w:val="20"/>
                <w:szCs w:val="20"/>
              </w:rPr>
              <w:t>；桩基</w:t>
            </w:r>
            <w:r>
              <w:rPr>
                <w:rFonts w:ascii="宋体" w:hAnsi="宋体" w:eastAsia="宋体" w:cs="宋体"/>
                <w:spacing w:val="-23"/>
                <w:sz w:val="20"/>
                <w:szCs w:val="20"/>
              </w:rPr>
              <w:t xml:space="preserve"> </w:t>
            </w:r>
            <w:r>
              <w:rPr>
                <w:rFonts w:ascii="宋体" w:hAnsi="宋体" w:eastAsia="宋体" w:cs="宋体"/>
                <w:spacing w:val="2"/>
                <w:sz w:val="20"/>
                <w:szCs w:val="20"/>
              </w:rPr>
              <w:t>110</w:t>
            </w:r>
            <w:r>
              <w:rPr>
                <w:rFonts w:ascii="宋体" w:hAnsi="宋体" w:eastAsia="宋体" w:cs="宋体"/>
                <w:spacing w:val="-42"/>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；消防报警喷淋</w:t>
            </w:r>
            <w:r>
              <w:rPr>
                <w:rFonts w:ascii="宋体" w:hAnsi="宋体" w:eastAsia="宋体" w:cs="宋体"/>
                <w:spacing w:val="-22"/>
                <w:sz w:val="20"/>
                <w:szCs w:val="20"/>
              </w:rPr>
              <w:t xml:space="preserve"> </w:t>
            </w:r>
            <w:r>
              <w:rPr>
                <w:rFonts w:ascii="宋体" w:hAnsi="宋体" w:eastAsia="宋体" w:cs="宋体"/>
                <w:spacing w:val="2"/>
                <w:sz w:val="20"/>
                <w:szCs w:val="20"/>
              </w:rPr>
              <w:t>110/m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；电梯70</w:t>
            </w:r>
            <w:r>
              <w:rPr>
                <w:rFonts w:ascii="宋体" w:hAnsi="宋体" w:eastAsia="宋体" w:cs="宋体"/>
                <w:spacing w:val="-38"/>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2" w:hRule="atLeast"/>
        </w:trPr>
        <w:tc>
          <w:tcPr>
            <w:tcW w:w="366" w:type="dxa"/>
            <w:vMerge w:val="continue"/>
            <w:tcBorders>
              <w:top w:val="nil"/>
            </w:tcBorders>
            <w:vAlign w:val="top"/>
          </w:tcPr>
          <w:p>
            <w:pPr>
              <w:pStyle w:val="6"/>
            </w:pPr>
          </w:p>
        </w:tc>
        <w:tc>
          <w:tcPr>
            <w:tcW w:w="1347" w:type="dxa"/>
            <w:vMerge w:val="continue"/>
            <w:tcBorders>
              <w:top w:val="nil"/>
            </w:tcBorders>
            <w:vAlign w:val="top"/>
          </w:tcPr>
          <w:p>
            <w:pPr>
              <w:pStyle w:val="6"/>
            </w:pPr>
          </w:p>
        </w:tc>
        <w:tc>
          <w:tcPr>
            <w:tcW w:w="2385" w:type="dxa"/>
            <w:vAlign w:val="top"/>
          </w:tcPr>
          <w:p>
            <w:pPr>
              <w:spacing w:before="259" w:line="278" w:lineRule="exact"/>
              <w:ind w:left="226"/>
              <w:rPr>
                <w:rFonts w:ascii="宋体" w:hAnsi="宋体" w:eastAsia="宋体" w:cs="宋体"/>
                <w:sz w:val="20"/>
                <w:szCs w:val="20"/>
              </w:rPr>
            </w:pPr>
            <w:r>
              <w:rPr>
                <w:rFonts w:ascii="宋体" w:hAnsi="宋体" w:eastAsia="宋体" w:cs="宋体"/>
                <w:spacing w:val="5"/>
                <w:position w:val="1"/>
                <w:sz w:val="20"/>
                <w:szCs w:val="20"/>
              </w:rPr>
              <w:t>高层住宅</w:t>
            </w:r>
            <w:r>
              <w:rPr>
                <w:rFonts w:ascii="宋体" w:hAnsi="宋体" w:eastAsia="宋体" w:cs="宋体"/>
                <w:spacing w:val="-33"/>
                <w:position w:val="1"/>
                <w:sz w:val="20"/>
                <w:szCs w:val="20"/>
              </w:rPr>
              <w:t>（</w:t>
            </w:r>
            <w:r>
              <w:rPr>
                <w:rFonts w:ascii="宋体" w:hAnsi="宋体" w:eastAsia="宋体" w:cs="宋体"/>
                <w:spacing w:val="-42"/>
                <w:position w:val="1"/>
                <w:sz w:val="20"/>
                <w:szCs w:val="20"/>
              </w:rPr>
              <w:t xml:space="preserve"> </w:t>
            </w:r>
            <w:r>
              <w:rPr>
                <w:rFonts w:ascii="宋体" w:hAnsi="宋体" w:eastAsia="宋体" w:cs="宋体"/>
                <w:spacing w:val="-33"/>
                <w:position w:val="1"/>
                <w:sz w:val="20"/>
                <w:szCs w:val="20"/>
              </w:rPr>
              <w:t>＞</w:t>
            </w:r>
            <w:r>
              <w:rPr>
                <w:rFonts w:ascii="宋体" w:hAnsi="宋体" w:eastAsia="宋体" w:cs="宋体"/>
                <w:spacing w:val="-57"/>
                <w:position w:val="1"/>
                <w:sz w:val="20"/>
                <w:szCs w:val="20"/>
              </w:rPr>
              <w:t xml:space="preserve"> </w:t>
            </w:r>
            <w:r>
              <w:rPr>
                <w:rFonts w:ascii="宋体" w:hAnsi="宋体" w:eastAsia="宋体" w:cs="宋体"/>
                <w:spacing w:val="5"/>
                <w:position w:val="1"/>
                <w:sz w:val="20"/>
                <w:szCs w:val="20"/>
              </w:rPr>
              <w:t>30</w:t>
            </w:r>
            <w:r>
              <w:rPr>
                <w:rFonts w:ascii="宋体" w:hAnsi="宋体" w:eastAsia="宋体" w:cs="宋体"/>
                <w:spacing w:val="-44"/>
                <w:position w:val="1"/>
                <w:sz w:val="20"/>
                <w:szCs w:val="20"/>
              </w:rPr>
              <w:t xml:space="preserve"> </w:t>
            </w:r>
            <w:r>
              <w:rPr>
                <w:rFonts w:ascii="宋体" w:hAnsi="宋体" w:eastAsia="宋体" w:cs="宋体"/>
                <w:spacing w:val="5"/>
                <w:position w:val="1"/>
                <w:sz w:val="20"/>
                <w:szCs w:val="20"/>
              </w:rPr>
              <w:t>层）</w:t>
            </w:r>
          </w:p>
        </w:tc>
        <w:tc>
          <w:tcPr>
            <w:tcW w:w="1177" w:type="dxa"/>
            <w:vAlign w:val="top"/>
          </w:tcPr>
          <w:p>
            <w:pPr>
              <w:spacing w:before="259" w:line="300" w:lineRule="exact"/>
              <w:ind w:left="383"/>
              <w:rPr>
                <w:rFonts w:ascii="宋体" w:hAnsi="宋体" w:eastAsia="宋体" w:cs="宋体"/>
                <w:sz w:val="20"/>
                <w:szCs w:val="20"/>
              </w:rPr>
            </w:pPr>
            <w:r>
              <w:rPr>
                <w:rFonts w:ascii="宋体" w:hAnsi="宋体" w:eastAsia="宋体" w:cs="宋体"/>
                <w:spacing w:val="1"/>
                <w:position w:val="2"/>
                <w:sz w:val="20"/>
                <w:szCs w:val="20"/>
              </w:rPr>
              <w:t>2730</w:t>
            </w:r>
          </w:p>
        </w:tc>
        <w:tc>
          <w:tcPr>
            <w:tcW w:w="8851" w:type="dxa"/>
            <w:vAlign w:val="top"/>
          </w:tcPr>
          <w:p>
            <w:pPr>
              <w:spacing w:before="107" w:line="288" w:lineRule="auto"/>
              <w:ind w:left="17" w:right="16" w:hanging="2"/>
              <w:rPr>
                <w:rFonts w:ascii="宋体" w:hAnsi="宋体" w:eastAsia="宋体" w:cs="宋体"/>
                <w:sz w:val="20"/>
                <w:szCs w:val="20"/>
              </w:rPr>
            </w:pPr>
            <w:r>
              <w:rPr>
                <w:rFonts w:ascii="宋体" w:hAnsi="宋体" w:eastAsia="宋体" w:cs="宋体"/>
                <w:spacing w:val="2"/>
                <w:sz w:val="20"/>
                <w:szCs w:val="20"/>
              </w:rPr>
              <w:t>做法同上。其中：建筑</w:t>
            </w:r>
            <w:r>
              <w:rPr>
                <w:rFonts w:ascii="宋体" w:hAnsi="宋体" w:eastAsia="宋体" w:cs="宋体"/>
                <w:spacing w:val="-29"/>
                <w:sz w:val="20"/>
                <w:szCs w:val="20"/>
              </w:rPr>
              <w:t xml:space="preserve"> </w:t>
            </w:r>
            <w:r>
              <w:rPr>
                <w:rFonts w:ascii="宋体" w:hAnsi="宋体" w:eastAsia="宋体" w:cs="宋体"/>
                <w:spacing w:val="2"/>
                <w:sz w:val="20"/>
                <w:szCs w:val="20"/>
              </w:rPr>
              <w:t>2115</w:t>
            </w:r>
            <w:r>
              <w:rPr>
                <w:rFonts w:ascii="宋体" w:hAnsi="宋体" w:eastAsia="宋体" w:cs="宋体"/>
                <w:spacing w:val="-42"/>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；安装</w:t>
            </w:r>
            <w:r>
              <w:rPr>
                <w:rFonts w:ascii="宋体" w:hAnsi="宋体" w:eastAsia="宋体" w:cs="宋体"/>
                <w:spacing w:val="-36"/>
                <w:sz w:val="20"/>
                <w:szCs w:val="20"/>
              </w:rPr>
              <w:t xml:space="preserve"> </w:t>
            </w:r>
            <w:r>
              <w:rPr>
                <w:rFonts w:ascii="宋体" w:hAnsi="宋体" w:eastAsia="宋体" w:cs="宋体"/>
                <w:spacing w:val="2"/>
                <w:sz w:val="20"/>
                <w:szCs w:val="20"/>
              </w:rPr>
              <w:t>345</w:t>
            </w:r>
            <w:r>
              <w:rPr>
                <w:rFonts w:ascii="宋体" w:hAnsi="宋体" w:eastAsia="宋体" w:cs="宋体"/>
                <w:spacing w:val="-43"/>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2"/>
                <w:sz w:val="20"/>
                <w:szCs w:val="20"/>
              </w:rPr>
              <w:t>；桩基</w:t>
            </w:r>
            <w:r>
              <w:rPr>
                <w:rFonts w:ascii="宋体" w:hAnsi="宋体" w:eastAsia="宋体" w:cs="宋体"/>
                <w:spacing w:val="-23"/>
                <w:sz w:val="20"/>
                <w:szCs w:val="20"/>
              </w:rPr>
              <w:t xml:space="preserve"> </w:t>
            </w:r>
            <w:r>
              <w:rPr>
                <w:rFonts w:ascii="宋体" w:hAnsi="宋体" w:eastAsia="宋体" w:cs="宋体"/>
                <w:spacing w:val="2"/>
                <w:sz w:val="20"/>
                <w:szCs w:val="20"/>
              </w:rPr>
              <w:t>100</w:t>
            </w:r>
            <w:r>
              <w:rPr>
                <w:rFonts w:ascii="宋体" w:hAnsi="宋体" w:eastAsia="宋体" w:cs="宋体"/>
                <w:spacing w:val="-42"/>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；消防报警喷淋</w:t>
            </w:r>
            <w:r>
              <w:rPr>
                <w:rFonts w:ascii="宋体" w:hAnsi="宋体" w:eastAsia="宋体" w:cs="宋体"/>
                <w:spacing w:val="-22"/>
                <w:sz w:val="20"/>
                <w:szCs w:val="20"/>
              </w:rPr>
              <w:t xml:space="preserve"> </w:t>
            </w:r>
            <w:r>
              <w:rPr>
                <w:rFonts w:ascii="宋体" w:hAnsi="宋体" w:eastAsia="宋体" w:cs="宋体"/>
                <w:spacing w:val="2"/>
                <w:sz w:val="20"/>
                <w:szCs w:val="20"/>
              </w:rPr>
              <w:t>110/m</w:t>
            </w:r>
            <w:r>
              <w:rPr>
                <w:rFonts w:ascii="宋体" w:hAnsi="宋体" w:eastAsia="宋体" w:cs="宋体"/>
                <w:spacing w:val="2"/>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2"/>
                <w:sz w:val="20"/>
                <w:szCs w:val="20"/>
              </w:rPr>
              <w:t>；电梯60</w:t>
            </w:r>
            <w:r>
              <w:rPr>
                <w:rFonts w:ascii="宋体" w:hAnsi="宋体" w:eastAsia="宋体" w:cs="宋体"/>
                <w:spacing w:val="-40"/>
                <w:sz w:val="20"/>
                <w:szCs w:val="20"/>
              </w:rPr>
              <w:t xml:space="preserve"> </w:t>
            </w:r>
            <w:r>
              <w:rPr>
                <w:rFonts w:ascii="宋体" w:hAnsi="宋体" w:eastAsia="宋体" w:cs="宋体"/>
                <w:spacing w:val="2"/>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bl>
    <w:p>
      <w:pPr>
        <w:rPr>
          <w:rFonts w:ascii="Arial"/>
          <w:sz w:val="21"/>
        </w:rPr>
      </w:pPr>
    </w:p>
    <w:p>
      <w:pPr>
        <w:rPr>
          <w:rFonts w:ascii="Arial" w:hAnsi="Arial" w:eastAsia="Arial" w:cs="Arial"/>
          <w:sz w:val="21"/>
          <w:szCs w:val="21"/>
        </w:rPr>
        <w:sectPr>
          <w:footerReference r:id="rId330" w:type="default"/>
          <w:pgSz w:w="16839" w:h="11906"/>
          <w:pgMar w:top="400" w:right="1357" w:bottom="1212" w:left="1349" w:header="0" w:footer="897" w:gutter="0"/>
        </w:sectPr>
      </w:pPr>
    </w:p>
    <w:p>
      <w:pPr>
        <w:spacing w:before="56"/>
      </w:pPr>
    </w:p>
    <w:p>
      <w:pPr>
        <w:spacing w:before="55"/>
      </w:pPr>
    </w:p>
    <w:p>
      <w:pPr>
        <w:spacing w:before="55"/>
      </w:pPr>
    </w:p>
    <w:p>
      <w:pPr>
        <w:spacing w:before="55"/>
      </w:pPr>
    </w:p>
    <w:tbl>
      <w:tblPr>
        <w:tblStyle w:val="5"/>
        <w:tblW w:w="141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6"/>
        <w:gridCol w:w="1347"/>
        <w:gridCol w:w="2385"/>
        <w:gridCol w:w="1177"/>
        <w:gridCol w:w="88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4" w:hRule="atLeast"/>
        </w:trPr>
        <w:tc>
          <w:tcPr>
            <w:tcW w:w="366" w:type="dxa"/>
            <w:textDirection w:val="tbRlV"/>
            <w:vAlign w:val="top"/>
          </w:tcPr>
          <w:p>
            <w:pPr>
              <w:spacing w:before="78" w:line="220" w:lineRule="auto"/>
              <w:ind w:left="86"/>
              <w:rPr>
                <w:rFonts w:ascii="宋体" w:hAnsi="宋体" w:eastAsia="宋体" w:cs="宋体"/>
                <w:sz w:val="20"/>
                <w:szCs w:val="20"/>
              </w:rPr>
            </w:pPr>
            <w:r>
              <w:rPr>
                <w:rFonts w:ascii="宋体" w:hAnsi="宋体" w:eastAsia="宋体" w:cs="宋体"/>
                <w:b/>
                <w:bCs/>
                <w:spacing w:val="-2"/>
                <w:sz w:val="20"/>
                <w:szCs w:val="20"/>
              </w:rPr>
              <w:t>序</w:t>
            </w:r>
            <w:r>
              <w:rPr>
                <w:rFonts w:ascii="宋体" w:hAnsi="宋体" w:eastAsia="宋体" w:cs="宋体"/>
                <w:spacing w:val="64"/>
                <w:sz w:val="20"/>
                <w:szCs w:val="20"/>
              </w:rPr>
              <w:t xml:space="preserve"> </w:t>
            </w:r>
            <w:r>
              <w:rPr>
                <w:rFonts w:ascii="宋体" w:hAnsi="宋体" w:eastAsia="宋体" w:cs="宋体"/>
                <w:b/>
                <w:bCs/>
                <w:spacing w:val="-2"/>
                <w:sz w:val="20"/>
                <w:szCs w:val="20"/>
              </w:rPr>
              <w:t>号</w:t>
            </w:r>
          </w:p>
        </w:tc>
        <w:tc>
          <w:tcPr>
            <w:tcW w:w="1347" w:type="dxa"/>
            <w:vAlign w:val="top"/>
          </w:tcPr>
          <w:p>
            <w:pPr>
              <w:spacing w:before="266" w:line="219" w:lineRule="auto"/>
              <w:ind w:left="252"/>
              <w:rPr>
                <w:rFonts w:ascii="宋体" w:hAnsi="宋体" w:eastAsia="宋体" w:cs="宋体"/>
                <w:sz w:val="20"/>
                <w:szCs w:val="20"/>
              </w:rPr>
            </w:pPr>
            <w:r>
              <w:rPr>
                <w:rFonts w:ascii="宋体" w:hAnsi="宋体" w:eastAsia="宋体" w:cs="宋体"/>
                <w:b/>
                <w:bCs/>
                <w:spacing w:val="7"/>
                <w:sz w:val="20"/>
                <w:szCs w:val="20"/>
              </w:rPr>
              <w:t>工程类别</w:t>
            </w:r>
          </w:p>
        </w:tc>
        <w:tc>
          <w:tcPr>
            <w:tcW w:w="2385" w:type="dxa"/>
            <w:vAlign w:val="top"/>
          </w:tcPr>
          <w:p>
            <w:pPr>
              <w:spacing w:before="264" w:line="221" w:lineRule="auto"/>
              <w:ind w:left="770"/>
              <w:rPr>
                <w:rFonts w:ascii="宋体" w:hAnsi="宋体" w:eastAsia="宋体" w:cs="宋体"/>
                <w:sz w:val="20"/>
                <w:szCs w:val="20"/>
              </w:rPr>
            </w:pPr>
            <w:r>
              <w:rPr>
                <w:rFonts w:ascii="宋体" w:hAnsi="宋体" w:eastAsia="宋体" w:cs="宋体"/>
                <w:b/>
                <w:bCs/>
                <w:spacing w:val="7"/>
                <w:sz w:val="20"/>
                <w:szCs w:val="20"/>
              </w:rPr>
              <w:t>工程条件</w:t>
            </w:r>
          </w:p>
        </w:tc>
        <w:tc>
          <w:tcPr>
            <w:tcW w:w="1177" w:type="dxa"/>
            <w:vAlign w:val="top"/>
          </w:tcPr>
          <w:p>
            <w:pPr>
              <w:spacing w:before="88" w:line="298" w:lineRule="auto"/>
              <w:ind w:left="132" w:right="60" w:hanging="71"/>
              <w:rPr>
                <w:rFonts w:ascii="宋体" w:hAnsi="宋体" w:eastAsia="宋体" w:cs="宋体"/>
                <w:sz w:val="20"/>
                <w:szCs w:val="20"/>
              </w:rPr>
            </w:pPr>
            <w:r>
              <w:rPr>
                <w:rFonts w:ascii="宋体" w:hAnsi="宋体" w:eastAsia="宋体" w:cs="宋体"/>
                <w:b/>
                <w:bCs/>
                <w:spacing w:val="7"/>
                <w:sz w:val="20"/>
                <w:szCs w:val="20"/>
              </w:rPr>
              <w:t>平方米造价</w:t>
            </w:r>
            <w:r>
              <w:rPr>
                <w:rFonts w:ascii="宋体" w:hAnsi="宋体" w:eastAsia="宋体" w:cs="宋体"/>
                <w:b/>
                <w:bCs/>
                <w:spacing w:val="4"/>
                <w:sz w:val="20"/>
                <w:szCs w:val="20"/>
              </w:rPr>
              <w:t>（元/m</w:t>
            </w:r>
            <w:r>
              <w:rPr>
                <w:rFonts w:ascii="宋体" w:hAnsi="宋体" w:eastAsia="宋体" w:cs="宋体"/>
                <w:b/>
                <w:bCs/>
                <w:spacing w:val="4"/>
                <w:position w:val="10"/>
                <w:sz w:val="10"/>
                <w:szCs w:val="10"/>
              </w:rPr>
              <w:t>2</w:t>
            </w:r>
            <w:r>
              <w:rPr>
                <w:rFonts w:ascii="宋体" w:hAnsi="宋体" w:eastAsia="宋体" w:cs="宋体"/>
                <w:spacing w:val="-20"/>
                <w:position w:val="10"/>
                <w:sz w:val="10"/>
                <w:szCs w:val="10"/>
              </w:rPr>
              <w:t xml:space="preserve"> </w:t>
            </w:r>
            <w:r>
              <w:rPr>
                <w:rFonts w:ascii="宋体" w:hAnsi="宋体" w:eastAsia="宋体" w:cs="宋体"/>
                <w:b/>
                <w:bCs/>
                <w:spacing w:val="4"/>
                <w:sz w:val="20"/>
                <w:szCs w:val="20"/>
              </w:rPr>
              <w:t>）</w:t>
            </w:r>
          </w:p>
        </w:tc>
        <w:tc>
          <w:tcPr>
            <w:tcW w:w="8851" w:type="dxa"/>
            <w:vAlign w:val="top"/>
          </w:tcPr>
          <w:p>
            <w:pPr>
              <w:spacing w:before="265" w:line="219" w:lineRule="auto"/>
              <w:ind w:left="3167"/>
              <w:rPr>
                <w:rFonts w:ascii="宋体" w:hAnsi="宋体" w:eastAsia="宋体" w:cs="宋体"/>
                <w:sz w:val="20"/>
                <w:szCs w:val="20"/>
              </w:rPr>
            </w:pPr>
            <w:r>
              <w:rPr>
                <w:rFonts w:ascii="宋体" w:hAnsi="宋体" w:eastAsia="宋体" w:cs="宋体"/>
                <w:b/>
                <w:bCs/>
                <w:spacing w:val="7"/>
                <w:sz w:val="20"/>
                <w:szCs w:val="20"/>
              </w:rPr>
              <w:t>主要结构、做法及价格组成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59" w:hRule="atLeast"/>
        </w:trPr>
        <w:tc>
          <w:tcPr>
            <w:tcW w:w="366" w:type="dxa"/>
            <w:vAlign w:val="top"/>
          </w:tcPr>
          <w:p>
            <w:pPr>
              <w:pStyle w:val="6"/>
              <w:spacing w:line="274" w:lineRule="auto"/>
            </w:pPr>
          </w:p>
          <w:p>
            <w:pPr>
              <w:pStyle w:val="6"/>
              <w:spacing w:line="274" w:lineRule="auto"/>
            </w:pPr>
          </w:p>
          <w:p>
            <w:pPr>
              <w:spacing w:before="65" w:line="299" w:lineRule="exact"/>
              <w:ind w:left="135"/>
              <w:rPr>
                <w:rFonts w:ascii="宋体" w:hAnsi="宋体" w:eastAsia="宋体" w:cs="宋体"/>
                <w:sz w:val="20"/>
                <w:szCs w:val="20"/>
              </w:rPr>
            </w:pPr>
            <w:r>
              <w:rPr>
                <w:rFonts w:ascii="宋体" w:hAnsi="宋体" w:eastAsia="宋体" w:cs="宋体"/>
                <w:position w:val="2"/>
                <w:sz w:val="20"/>
                <w:szCs w:val="20"/>
              </w:rPr>
              <w:t>3</w:t>
            </w:r>
          </w:p>
        </w:tc>
        <w:tc>
          <w:tcPr>
            <w:tcW w:w="1347" w:type="dxa"/>
            <w:vAlign w:val="top"/>
          </w:tcPr>
          <w:p>
            <w:pPr>
              <w:pStyle w:val="6"/>
              <w:spacing w:line="276" w:lineRule="auto"/>
            </w:pPr>
          </w:p>
          <w:p>
            <w:pPr>
              <w:pStyle w:val="6"/>
              <w:spacing w:line="276" w:lineRule="auto"/>
            </w:pPr>
          </w:p>
          <w:p>
            <w:pPr>
              <w:spacing w:before="65" w:line="220" w:lineRule="auto"/>
              <w:ind w:left="252"/>
              <w:rPr>
                <w:rFonts w:ascii="宋体" w:hAnsi="宋体" w:eastAsia="宋体" w:cs="宋体"/>
                <w:sz w:val="20"/>
                <w:szCs w:val="20"/>
              </w:rPr>
            </w:pPr>
            <w:r>
              <w:rPr>
                <w:rFonts w:ascii="宋体" w:hAnsi="宋体" w:eastAsia="宋体" w:cs="宋体"/>
                <w:spacing w:val="8"/>
                <w:sz w:val="20"/>
                <w:szCs w:val="20"/>
              </w:rPr>
              <w:t>地下车库</w:t>
            </w:r>
          </w:p>
        </w:tc>
        <w:tc>
          <w:tcPr>
            <w:tcW w:w="2385" w:type="dxa"/>
            <w:vAlign w:val="top"/>
          </w:tcPr>
          <w:p>
            <w:pPr>
              <w:pStyle w:val="6"/>
            </w:pPr>
          </w:p>
        </w:tc>
        <w:tc>
          <w:tcPr>
            <w:tcW w:w="1177" w:type="dxa"/>
            <w:vAlign w:val="top"/>
          </w:tcPr>
          <w:p>
            <w:pPr>
              <w:pStyle w:val="6"/>
              <w:spacing w:line="274" w:lineRule="auto"/>
            </w:pPr>
          </w:p>
          <w:p>
            <w:pPr>
              <w:pStyle w:val="6"/>
              <w:spacing w:line="274" w:lineRule="auto"/>
            </w:pPr>
          </w:p>
          <w:p>
            <w:pPr>
              <w:spacing w:before="65" w:line="299" w:lineRule="exact"/>
              <w:ind w:left="383"/>
              <w:rPr>
                <w:rFonts w:ascii="宋体" w:hAnsi="宋体" w:eastAsia="宋体" w:cs="宋体"/>
                <w:sz w:val="20"/>
                <w:szCs w:val="20"/>
              </w:rPr>
            </w:pPr>
            <w:r>
              <w:rPr>
                <w:rFonts w:ascii="宋体" w:hAnsi="宋体" w:eastAsia="宋体" w:cs="宋体"/>
                <w:spacing w:val="1"/>
                <w:position w:val="2"/>
                <w:sz w:val="20"/>
                <w:szCs w:val="20"/>
              </w:rPr>
              <w:t>2560</w:t>
            </w:r>
          </w:p>
        </w:tc>
        <w:tc>
          <w:tcPr>
            <w:tcW w:w="8851" w:type="dxa"/>
            <w:vAlign w:val="top"/>
          </w:tcPr>
          <w:p>
            <w:pPr>
              <w:spacing w:before="123" w:line="306" w:lineRule="auto"/>
              <w:ind w:left="14" w:right="16" w:firstLine="3"/>
              <w:jc w:val="both"/>
              <w:rPr>
                <w:rFonts w:ascii="宋体" w:hAnsi="宋体" w:eastAsia="宋体" w:cs="宋体"/>
                <w:sz w:val="20"/>
                <w:szCs w:val="20"/>
              </w:rPr>
            </w:pPr>
            <w:r>
              <w:rPr>
                <w:rFonts w:ascii="宋体" w:hAnsi="宋体" w:eastAsia="宋体" w:cs="宋体"/>
                <w:spacing w:val="10"/>
                <w:sz w:val="20"/>
                <w:szCs w:val="20"/>
              </w:rPr>
              <w:t>钢筋混凝土筏板基础、现浇柱梁板（顶盖按梁板、膜壳、叠合箱、蜂巢芯</w:t>
            </w:r>
            <w:r>
              <w:rPr>
                <w:rFonts w:ascii="宋体" w:hAnsi="宋体" w:eastAsia="宋体" w:cs="宋体"/>
                <w:spacing w:val="9"/>
                <w:sz w:val="20"/>
                <w:szCs w:val="20"/>
              </w:rPr>
              <w:t>、棚膜等综合考虑）、</w:t>
            </w:r>
            <w:r>
              <w:rPr>
                <w:rFonts w:ascii="宋体" w:hAnsi="宋体" w:eastAsia="宋体" w:cs="宋体"/>
                <w:spacing w:val="5"/>
                <w:sz w:val="20"/>
                <w:szCs w:val="20"/>
              </w:rPr>
              <w:t>天棚乳胶漆、砼地面随打随抹、环氧地坪漆。电（含弱电）、通风（不含机房</w:t>
            </w:r>
            <w:r>
              <w:rPr>
                <w:rFonts w:ascii="宋体" w:hAnsi="宋体" w:eastAsia="宋体" w:cs="宋体"/>
                <w:spacing w:val="4"/>
                <w:sz w:val="20"/>
                <w:szCs w:val="20"/>
              </w:rPr>
              <w:t>）。其中：建筑2155</w:t>
            </w:r>
            <w:r>
              <w:rPr>
                <w:rFonts w:ascii="宋体" w:hAnsi="宋体" w:eastAsia="宋体" w:cs="宋体"/>
                <w:spacing w:val="5"/>
                <w:sz w:val="20"/>
                <w:szCs w:val="20"/>
              </w:rPr>
              <w:t>元/m</w:t>
            </w:r>
            <w:r>
              <w:rPr>
                <w:rFonts w:ascii="宋体" w:hAnsi="宋体" w:eastAsia="宋体" w:cs="宋体"/>
                <w:spacing w:val="5"/>
                <w:position w:val="10"/>
                <w:sz w:val="10"/>
                <w:szCs w:val="10"/>
              </w:rPr>
              <w:t>2</w:t>
            </w:r>
            <w:r>
              <w:rPr>
                <w:rFonts w:ascii="宋体" w:hAnsi="宋体" w:eastAsia="宋体" w:cs="宋体"/>
                <w:spacing w:val="5"/>
                <w:sz w:val="20"/>
                <w:szCs w:val="20"/>
              </w:rPr>
              <w:t>；安装</w:t>
            </w:r>
            <w:r>
              <w:rPr>
                <w:rFonts w:ascii="宋体" w:hAnsi="宋体" w:eastAsia="宋体" w:cs="宋体"/>
                <w:spacing w:val="-42"/>
                <w:sz w:val="20"/>
                <w:szCs w:val="20"/>
              </w:rPr>
              <w:t xml:space="preserve"> </w:t>
            </w:r>
            <w:r>
              <w:rPr>
                <w:rFonts w:ascii="宋体" w:hAnsi="宋体" w:eastAsia="宋体" w:cs="宋体"/>
                <w:spacing w:val="5"/>
                <w:sz w:val="20"/>
                <w:szCs w:val="20"/>
              </w:rPr>
              <w:t>225</w:t>
            </w:r>
            <w:r>
              <w:rPr>
                <w:rFonts w:ascii="宋体" w:hAnsi="宋体" w:eastAsia="宋体" w:cs="宋体"/>
                <w:spacing w:val="-42"/>
                <w:sz w:val="20"/>
                <w:szCs w:val="20"/>
              </w:rPr>
              <w:t xml:space="preserve"> </w:t>
            </w:r>
            <w:r>
              <w:rPr>
                <w:rFonts w:ascii="宋体" w:hAnsi="宋体" w:eastAsia="宋体" w:cs="宋体"/>
                <w:spacing w:val="5"/>
                <w:sz w:val="20"/>
                <w:szCs w:val="20"/>
              </w:rPr>
              <w:t>元/m</w:t>
            </w:r>
            <w:r>
              <w:rPr>
                <w:rFonts w:ascii="宋体" w:hAnsi="宋体" w:eastAsia="宋体" w:cs="宋体"/>
                <w:spacing w:val="5"/>
                <w:position w:val="10"/>
                <w:sz w:val="10"/>
                <w:szCs w:val="10"/>
              </w:rPr>
              <w:t>2</w:t>
            </w:r>
            <w:r>
              <w:rPr>
                <w:rFonts w:ascii="宋体" w:hAnsi="宋体" w:eastAsia="宋体" w:cs="宋体"/>
                <w:spacing w:val="5"/>
                <w:sz w:val="20"/>
                <w:szCs w:val="20"/>
              </w:rPr>
              <w:t>；消防报警喷淋</w:t>
            </w:r>
            <w:r>
              <w:rPr>
                <w:rFonts w:ascii="宋体" w:hAnsi="宋体" w:eastAsia="宋体" w:cs="宋体"/>
                <w:spacing w:val="-25"/>
                <w:sz w:val="20"/>
                <w:szCs w:val="20"/>
              </w:rPr>
              <w:t xml:space="preserve"> </w:t>
            </w:r>
            <w:r>
              <w:rPr>
                <w:rFonts w:ascii="宋体" w:hAnsi="宋体" w:eastAsia="宋体" w:cs="宋体"/>
                <w:spacing w:val="5"/>
                <w:sz w:val="20"/>
                <w:szCs w:val="20"/>
              </w:rPr>
              <w:t>130</w:t>
            </w:r>
            <w:r>
              <w:rPr>
                <w:rFonts w:ascii="宋体" w:hAnsi="宋体" w:eastAsia="宋体" w:cs="宋体"/>
                <w:spacing w:val="-40"/>
                <w:sz w:val="20"/>
                <w:szCs w:val="20"/>
              </w:rPr>
              <w:t xml:space="preserve"> </w:t>
            </w:r>
            <w:r>
              <w:rPr>
                <w:rFonts w:ascii="宋体" w:hAnsi="宋体" w:eastAsia="宋体" w:cs="宋体"/>
                <w:spacing w:val="5"/>
                <w:sz w:val="20"/>
                <w:szCs w:val="20"/>
              </w:rPr>
              <w:t>元/m</w:t>
            </w:r>
            <w:r>
              <w:rPr>
                <w:rFonts w:ascii="宋体" w:hAnsi="宋体" w:eastAsia="宋体" w:cs="宋体"/>
                <w:spacing w:val="5"/>
                <w:position w:val="10"/>
                <w:sz w:val="10"/>
                <w:szCs w:val="10"/>
              </w:rPr>
              <w:t>2</w:t>
            </w:r>
            <w:r>
              <w:rPr>
                <w:rFonts w:ascii="宋体" w:hAnsi="宋体" w:eastAsia="宋体" w:cs="宋体"/>
                <w:spacing w:val="5"/>
                <w:sz w:val="20"/>
                <w:szCs w:val="20"/>
              </w:rPr>
              <w:t>（不</w:t>
            </w:r>
            <w:r>
              <w:rPr>
                <w:rFonts w:ascii="宋体" w:hAnsi="宋体" w:eastAsia="宋体" w:cs="宋体"/>
                <w:spacing w:val="4"/>
                <w:sz w:val="20"/>
                <w:szCs w:val="20"/>
              </w:rPr>
              <w:t>含泵房</w:t>
            </w:r>
            <w:r>
              <w:rPr>
                <w:rFonts w:ascii="宋体" w:hAnsi="宋体" w:eastAsia="宋体" w:cs="宋体"/>
                <w:spacing w:val="-2"/>
                <w:sz w:val="20"/>
                <w:szCs w:val="20"/>
              </w:rPr>
              <w:t>）；</w:t>
            </w:r>
            <w:r>
              <w:rPr>
                <w:rFonts w:ascii="宋体" w:hAnsi="宋体" w:eastAsia="宋体" w:cs="宋体"/>
                <w:spacing w:val="4"/>
                <w:sz w:val="20"/>
                <w:szCs w:val="20"/>
              </w:rPr>
              <w:t>环氧地坪漆</w:t>
            </w:r>
            <w:r>
              <w:rPr>
                <w:rFonts w:ascii="宋体" w:hAnsi="宋体" w:eastAsia="宋体" w:cs="宋体"/>
                <w:spacing w:val="-42"/>
                <w:sz w:val="20"/>
                <w:szCs w:val="20"/>
              </w:rPr>
              <w:t xml:space="preserve"> </w:t>
            </w:r>
            <w:r>
              <w:rPr>
                <w:rFonts w:ascii="宋体" w:hAnsi="宋体" w:eastAsia="宋体" w:cs="宋体"/>
                <w:spacing w:val="4"/>
                <w:sz w:val="20"/>
                <w:szCs w:val="20"/>
              </w:rPr>
              <w:t>50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28"/>
                <w:position w:val="10"/>
                <w:sz w:val="10"/>
                <w:szCs w:val="10"/>
              </w:rPr>
              <w:t xml:space="preserve"> </w:t>
            </w:r>
            <w:r>
              <w:rPr>
                <w:rFonts w:ascii="宋体" w:hAnsi="宋体" w:eastAsia="宋体" w:cs="宋体"/>
                <w:spacing w:val="4"/>
                <w:sz w:val="20"/>
                <w:szCs w:val="20"/>
              </w:rPr>
              <w:t>。若按人防做法，5</w:t>
            </w:r>
            <w:r>
              <w:rPr>
                <w:rFonts w:ascii="宋体" w:hAnsi="宋体" w:eastAsia="宋体" w:cs="宋体"/>
                <w:spacing w:val="-42"/>
                <w:sz w:val="20"/>
                <w:szCs w:val="20"/>
              </w:rPr>
              <w:t xml:space="preserve"> </w:t>
            </w:r>
            <w:r>
              <w:rPr>
                <w:rFonts w:ascii="宋体" w:hAnsi="宋体" w:eastAsia="宋体" w:cs="宋体"/>
                <w:spacing w:val="4"/>
                <w:sz w:val="20"/>
                <w:szCs w:val="20"/>
              </w:rPr>
              <w:t>级增加</w:t>
            </w:r>
            <w:r>
              <w:rPr>
                <w:rFonts w:ascii="宋体" w:hAnsi="宋体" w:eastAsia="宋体" w:cs="宋体"/>
                <w:spacing w:val="-22"/>
                <w:sz w:val="20"/>
                <w:szCs w:val="20"/>
              </w:rPr>
              <w:t xml:space="preserve"> </w:t>
            </w:r>
            <w:r>
              <w:rPr>
                <w:rFonts w:ascii="宋体" w:hAnsi="宋体" w:eastAsia="宋体" w:cs="宋体"/>
                <w:spacing w:val="4"/>
                <w:sz w:val="20"/>
                <w:szCs w:val="20"/>
              </w:rPr>
              <w:t>1000</w:t>
            </w:r>
            <w:r>
              <w:rPr>
                <w:rFonts w:ascii="宋体" w:hAnsi="宋体" w:eastAsia="宋体" w:cs="宋体"/>
                <w:spacing w:val="-45"/>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6"/>
                <w:position w:val="10"/>
                <w:sz w:val="10"/>
                <w:szCs w:val="10"/>
              </w:rPr>
              <w:t xml:space="preserve"> </w:t>
            </w:r>
            <w:r>
              <w:rPr>
                <w:rFonts w:ascii="宋体" w:hAnsi="宋体" w:eastAsia="宋体" w:cs="宋体"/>
                <w:spacing w:val="4"/>
                <w:sz w:val="20"/>
                <w:szCs w:val="20"/>
              </w:rPr>
              <w:t>，6</w:t>
            </w:r>
            <w:r>
              <w:rPr>
                <w:rFonts w:ascii="宋体" w:hAnsi="宋体" w:eastAsia="宋体" w:cs="宋体"/>
                <w:spacing w:val="-42"/>
                <w:sz w:val="20"/>
                <w:szCs w:val="20"/>
              </w:rPr>
              <w:t xml:space="preserve"> </w:t>
            </w:r>
            <w:r>
              <w:rPr>
                <w:rFonts w:ascii="宋体" w:hAnsi="宋体" w:eastAsia="宋体" w:cs="宋体"/>
                <w:spacing w:val="4"/>
                <w:sz w:val="20"/>
                <w:szCs w:val="20"/>
              </w:rPr>
              <w:t>级增加</w:t>
            </w:r>
            <w:r>
              <w:rPr>
                <w:rFonts w:ascii="宋体" w:hAnsi="宋体" w:eastAsia="宋体" w:cs="宋体"/>
                <w:spacing w:val="-41"/>
                <w:sz w:val="20"/>
                <w:szCs w:val="20"/>
              </w:rPr>
              <w:t xml:space="preserve"> </w:t>
            </w:r>
            <w:r>
              <w:rPr>
                <w:rFonts w:ascii="宋体" w:hAnsi="宋体" w:eastAsia="宋体" w:cs="宋体"/>
                <w:spacing w:val="4"/>
                <w:sz w:val="20"/>
                <w:szCs w:val="20"/>
              </w:rPr>
              <w:t>700</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3"/>
                <w:position w:val="10"/>
                <w:sz w:val="10"/>
                <w:szCs w:val="10"/>
              </w:rPr>
              <w:t>2</w:t>
            </w:r>
            <w:r>
              <w:rPr>
                <w:rFonts w:ascii="宋体" w:hAnsi="宋体" w:eastAsia="宋体" w:cs="宋体"/>
                <w:spacing w:val="-14"/>
                <w:position w:val="10"/>
                <w:sz w:val="10"/>
                <w:szCs w:val="10"/>
              </w:rPr>
              <w:t xml:space="preserve"> </w:t>
            </w:r>
            <w:r>
              <w:rPr>
                <w:rFonts w:ascii="宋体" w:hAnsi="宋体" w:eastAsia="宋体" w:cs="宋体"/>
                <w:spacing w:val="3"/>
                <w:sz w:val="20"/>
                <w:szCs w:val="20"/>
              </w:rPr>
              <w:t>，6B</w:t>
            </w:r>
            <w:r>
              <w:rPr>
                <w:rFonts w:ascii="宋体" w:hAnsi="宋体" w:eastAsia="宋体" w:cs="宋体"/>
                <w:spacing w:val="-39"/>
                <w:sz w:val="20"/>
                <w:szCs w:val="20"/>
              </w:rPr>
              <w:t xml:space="preserve"> </w:t>
            </w:r>
            <w:r>
              <w:rPr>
                <w:rFonts w:ascii="宋体" w:hAnsi="宋体" w:eastAsia="宋体" w:cs="宋体"/>
                <w:spacing w:val="3"/>
                <w:sz w:val="20"/>
                <w:szCs w:val="20"/>
              </w:rPr>
              <w:t>级增加</w:t>
            </w:r>
            <w:r>
              <w:rPr>
                <w:rFonts w:ascii="宋体" w:hAnsi="宋体" w:eastAsia="宋体" w:cs="宋体"/>
                <w:spacing w:val="-45"/>
                <w:sz w:val="20"/>
                <w:szCs w:val="20"/>
              </w:rPr>
              <w:t xml:space="preserve"> </w:t>
            </w:r>
            <w:r>
              <w:rPr>
                <w:rFonts w:ascii="宋体" w:hAnsi="宋体" w:eastAsia="宋体" w:cs="宋体"/>
                <w:spacing w:val="3"/>
                <w:sz w:val="20"/>
                <w:szCs w:val="20"/>
              </w:rPr>
              <w:t>450</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23"/>
                <w:position w:val="10"/>
                <w:sz w:val="10"/>
                <w:szCs w:val="10"/>
              </w:rPr>
              <w:t xml:space="preserve"> </w:t>
            </w:r>
            <w:r>
              <w:rPr>
                <w:rFonts w:ascii="宋体" w:hAnsi="宋体" w:eastAsia="宋体" w:cs="宋体"/>
                <w:spacing w:val="3"/>
                <w:sz w:val="20"/>
                <w:szCs w:val="20"/>
              </w:rPr>
              <w:t>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0" w:hRule="atLeast"/>
        </w:trPr>
        <w:tc>
          <w:tcPr>
            <w:tcW w:w="14126" w:type="dxa"/>
            <w:gridSpan w:val="5"/>
            <w:vAlign w:val="top"/>
          </w:tcPr>
          <w:p>
            <w:pPr>
              <w:spacing w:before="170" w:line="223" w:lineRule="auto"/>
              <w:ind w:left="335"/>
              <w:rPr>
                <w:rFonts w:ascii="宋体" w:hAnsi="宋体" w:eastAsia="宋体" w:cs="宋体"/>
                <w:sz w:val="20"/>
                <w:szCs w:val="20"/>
              </w:rPr>
            </w:pPr>
            <w:r>
              <w:rPr>
                <w:rFonts w:ascii="宋体" w:hAnsi="宋体" w:eastAsia="宋体" w:cs="宋体"/>
                <w:spacing w:val="8"/>
                <w:sz w:val="20"/>
                <w:szCs w:val="20"/>
              </w:rPr>
              <w:t>二、工业建筑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366" w:type="dxa"/>
            <w:vAlign w:val="top"/>
          </w:tcPr>
          <w:p>
            <w:pPr>
              <w:spacing w:before="257" w:line="301" w:lineRule="exact"/>
              <w:ind w:left="149"/>
              <w:rPr>
                <w:rFonts w:ascii="宋体" w:hAnsi="宋体" w:eastAsia="宋体" w:cs="宋体"/>
                <w:sz w:val="20"/>
                <w:szCs w:val="20"/>
              </w:rPr>
            </w:pPr>
            <w:r>
              <w:rPr>
                <w:rFonts w:ascii="宋体" w:hAnsi="宋体" w:eastAsia="宋体" w:cs="宋体"/>
                <w:position w:val="2"/>
                <w:sz w:val="20"/>
                <w:szCs w:val="20"/>
              </w:rPr>
              <w:t>1</w:t>
            </w:r>
          </w:p>
        </w:tc>
        <w:tc>
          <w:tcPr>
            <w:tcW w:w="1347" w:type="dxa"/>
            <w:vAlign w:val="top"/>
          </w:tcPr>
          <w:p>
            <w:pPr>
              <w:spacing w:before="249" w:line="232" w:lineRule="auto"/>
              <w:ind w:left="13"/>
              <w:rPr>
                <w:rFonts w:ascii="宋体" w:hAnsi="宋体" w:eastAsia="宋体" w:cs="宋体"/>
                <w:sz w:val="20"/>
                <w:szCs w:val="20"/>
              </w:rPr>
            </w:pPr>
            <w:r>
              <w:rPr>
                <w:rFonts w:ascii="宋体" w:hAnsi="宋体" w:eastAsia="宋体" w:cs="宋体"/>
                <w:spacing w:val="9"/>
                <w:sz w:val="20"/>
                <w:szCs w:val="20"/>
              </w:rPr>
              <w:t>单层排架结构</w:t>
            </w:r>
          </w:p>
        </w:tc>
        <w:tc>
          <w:tcPr>
            <w:tcW w:w="2385" w:type="dxa"/>
            <w:vAlign w:val="top"/>
          </w:tcPr>
          <w:p>
            <w:pPr>
              <w:pStyle w:val="6"/>
            </w:pPr>
          </w:p>
        </w:tc>
        <w:tc>
          <w:tcPr>
            <w:tcW w:w="1177" w:type="dxa"/>
            <w:vAlign w:val="top"/>
          </w:tcPr>
          <w:p>
            <w:pPr>
              <w:spacing w:before="257" w:line="300" w:lineRule="exact"/>
              <w:ind w:left="400"/>
              <w:rPr>
                <w:rFonts w:ascii="宋体" w:hAnsi="宋体" w:eastAsia="宋体" w:cs="宋体"/>
                <w:sz w:val="20"/>
                <w:szCs w:val="20"/>
              </w:rPr>
            </w:pPr>
            <w:r>
              <w:rPr>
                <w:rFonts w:ascii="宋体" w:hAnsi="宋体" w:eastAsia="宋体" w:cs="宋体"/>
                <w:spacing w:val="-3"/>
                <w:position w:val="2"/>
                <w:sz w:val="20"/>
                <w:szCs w:val="20"/>
              </w:rPr>
              <w:t>1420</w:t>
            </w:r>
          </w:p>
        </w:tc>
        <w:tc>
          <w:tcPr>
            <w:tcW w:w="8851" w:type="dxa"/>
            <w:vAlign w:val="top"/>
          </w:tcPr>
          <w:p>
            <w:pPr>
              <w:spacing w:before="115" w:line="283" w:lineRule="auto"/>
              <w:ind w:left="16" w:right="16" w:firstLine="2"/>
              <w:rPr>
                <w:rFonts w:ascii="宋体" w:hAnsi="宋体" w:eastAsia="宋体" w:cs="宋体"/>
                <w:sz w:val="20"/>
                <w:szCs w:val="20"/>
              </w:rPr>
            </w:pPr>
            <w:r>
              <w:rPr>
                <w:rFonts w:ascii="宋体" w:hAnsi="宋体" w:eastAsia="宋体" w:cs="宋体"/>
                <w:spacing w:val="9"/>
                <w:sz w:val="20"/>
                <w:szCs w:val="20"/>
              </w:rPr>
              <w:t>现浇混凝土排架、预制钢筋混凝土屋盖系统（大型屋面板、折板、双</w:t>
            </w:r>
            <w:r>
              <w:rPr>
                <w:rFonts w:ascii="宋体" w:hAnsi="宋体" w:eastAsia="宋体" w:cs="宋体"/>
                <w:spacing w:val="-39"/>
                <w:sz w:val="20"/>
                <w:szCs w:val="20"/>
              </w:rPr>
              <w:t xml:space="preserve"> </w:t>
            </w:r>
            <w:r>
              <w:rPr>
                <w:rFonts w:ascii="宋体" w:hAnsi="宋体" w:eastAsia="宋体" w:cs="宋体"/>
                <w:spacing w:val="9"/>
                <w:sz w:val="20"/>
                <w:szCs w:val="20"/>
              </w:rPr>
              <w:t>T</w:t>
            </w:r>
            <w:r>
              <w:rPr>
                <w:rFonts w:ascii="宋体" w:hAnsi="宋体" w:eastAsia="宋体" w:cs="宋体"/>
                <w:spacing w:val="-41"/>
                <w:sz w:val="20"/>
                <w:szCs w:val="20"/>
              </w:rPr>
              <w:t xml:space="preserve"> </w:t>
            </w:r>
            <w:r>
              <w:rPr>
                <w:rFonts w:ascii="宋体" w:hAnsi="宋体" w:eastAsia="宋体" w:cs="宋体"/>
                <w:spacing w:val="9"/>
                <w:sz w:val="20"/>
                <w:szCs w:val="20"/>
              </w:rPr>
              <w:t>板</w:t>
            </w:r>
            <w:r>
              <w:rPr>
                <w:rFonts w:ascii="宋体" w:hAnsi="宋体" w:eastAsia="宋体" w:cs="宋体"/>
                <w:spacing w:val="-44"/>
                <w:sz w:val="20"/>
                <w:szCs w:val="20"/>
              </w:rPr>
              <w:t xml:space="preserve"> </w:t>
            </w:r>
            <w:r>
              <w:rPr>
                <w:rFonts w:ascii="宋体" w:hAnsi="宋体" w:eastAsia="宋体" w:cs="宋体"/>
                <w:spacing w:val="9"/>
                <w:sz w:val="20"/>
                <w:szCs w:val="20"/>
              </w:rPr>
              <w:t>Z</w:t>
            </w:r>
            <w:r>
              <w:rPr>
                <w:rFonts w:ascii="宋体" w:hAnsi="宋体" w:eastAsia="宋体" w:cs="宋体"/>
                <w:spacing w:val="-45"/>
                <w:sz w:val="20"/>
                <w:szCs w:val="20"/>
              </w:rPr>
              <w:t xml:space="preserve"> </w:t>
            </w:r>
            <w:r>
              <w:rPr>
                <w:rFonts w:ascii="宋体" w:hAnsi="宋体" w:eastAsia="宋体" w:cs="宋体"/>
                <w:spacing w:val="9"/>
                <w:sz w:val="20"/>
                <w:szCs w:val="20"/>
              </w:rPr>
              <w:t>综合）砼地面随打随</w:t>
            </w:r>
            <w:r>
              <w:rPr>
                <w:rFonts w:ascii="宋体" w:hAnsi="宋体" w:eastAsia="宋体" w:cs="宋体"/>
                <w:spacing w:val="4"/>
                <w:sz w:val="20"/>
                <w:szCs w:val="20"/>
              </w:rPr>
              <w:t>抹，配套水、电、暖。其中：建筑</w:t>
            </w:r>
            <w:r>
              <w:rPr>
                <w:rFonts w:ascii="宋体" w:hAnsi="宋体" w:eastAsia="宋体" w:cs="宋体"/>
                <w:spacing w:val="-6"/>
                <w:sz w:val="20"/>
                <w:szCs w:val="20"/>
              </w:rPr>
              <w:t xml:space="preserve"> </w:t>
            </w:r>
            <w:r>
              <w:rPr>
                <w:rFonts w:ascii="宋体" w:hAnsi="宋体" w:eastAsia="宋体" w:cs="宋体"/>
                <w:spacing w:val="4"/>
                <w:sz w:val="20"/>
                <w:szCs w:val="20"/>
              </w:rPr>
              <w:t>1255</w:t>
            </w:r>
            <w:r>
              <w:rPr>
                <w:rFonts w:ascii="宋体" w:hAnsi="宋体" w:eastAsia="宋体" w:cs="宋体"/>
                <w:spacing w:val="-43"/>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4"/>
                <w:sz w:val="20"/>
                <w:szCs w:val="20"/>
              </w:rPr>
              <w:t>；安装</w:t>
            </w:r>
            <w:r>
              <w:rPr>
                <w:rFonts w:ascii="宋体" w:hAnsi="宋体" w:eastAsia="宋体" w:cs="宋体"/>
                <w:spacing w:val="-25"/>
                <w:sz w:val="20"/>
                <w:szCs w:val="20"/>
              </w:rPr>
              <w:t xml:space="preserve"> </w:t>
            </w:r>
            <w:r>
              <w:rPr>
                <w:rFonts w:ascii="宋体" w:hAnsi="宋体" w:eastAsia="宋体" w:cs="宋体"/>
                <w:spacing w:val="4"/>
                <w:sz w:val="20"/>
                <w:szCs w:val="20"/>
              </w:rPr>
              <w:t>165</w:t>
            </w:r>
            <w:r>
              <w:rPr>
                <w:rFonts w:ascii="宋体" w:hAnsi="宋体" w:eastAsia="宋体" w:cs="宋体"/>
                <w:spacing w:val="-40"/>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366" w:type="dxa"/>
            <w:vAlign w:val="top"/>
          </w:tcPr>
          <w:p>
            <w:pPr>
              <w:spacing w:before="257" w:line="301" w:lineRule="exact"/>
              <w:ind w:left="132"/>
              <w:rPr>
                <w:rFonts w:ascii="宋体" w:hAnsi="宋体" w:eastAsia="宋体" w:cs="宋体"/>
                <w:sz w:val="20"/>
                <w:szCs w:val="20"/>
              </w:rPr>
            </w:pPr>
            <w:r>
              <w:rPr>
                <w:rFonts w:ascii="宋体" w:hAnsi="宋体" w:eastAsia="宋体" w:cs="宋体"/>
                <w:position w:val="2"/>
                <w:sz w:val="20"/>
                <w:szCs w:val="20"/>
              </w:rPr>
              <w:t>2</w:t>
            </w:r>
          </w:p>
        </w:tc>
        <w:tc>
          <w:tcPr>
            <w:tcW w:w="1347" w:type="dxa"/>
            <w:vAlign w:val="top"/>
          </w:tcPr>
          <w:p>
            <w:pPr>
              <w:spacing w:before="262" w:line="220" w:lineRule="auto"/>
              <w:ind w:left="13"/>
              <w:rPr>
                <w:rFonts w:ascii="宋体" w:hAnsi="宋体" w:eastAsia="宋体" w:cs="宋体"/>
                <w:sz w:val="20"/>
                <w:szCs w:val="20"/>
              </w:rPr>
            </w:pPr>
            <w:r>
              <w:rPr>
                <w:rFonts w:ascii="宋体" w:hAnsi="宋体" w:eastAsia="宋体" w:cs="宋体"/>
                <w:spacing w:val="9"/>
                <w:sz w:val="20"/>
                <w:szCs w:val="20"/>
              </w:rPr>
              <w:t>单层网架结构</w:t>
            </w:r>
          </w:p>
        </w:tc>
        <w:tc>
          <w:tcPr>
            <w:tcW w:w="2385" w:type="dxa"/>
            <w:vAlign w:val="top"/>
          </w:tcPr>
          <w:p>
            <w:pPr>
              <w:pStyle w:val="6"/>
            </w:pPr>
          </w:p>
        </w:tc>
        <w:tc>
          <w:tcPr>
            <w:tcW w:w="1177" w:type="dxa"/>
            <w:vAlign w:val="top"/>
          </w:tcPr>
          <w:p>
            <w:pPr>
              <w:spacing w:before="257" w:line="300" w:lineRule="exact"/>
              <w:ind w:left="400"/>
              <w:rPr>
                <w:rFonts w:ascii="宋体" w:hAnsi="宋体" w:eastAsia="宋体" w:cs="宋体"/>
                <w:sz w:val="20"/>
                <w:szCs w:val="20"/>
              </w:rPr>
            </w:pPr>
            <w:r>
              <w:rPr>
                <w:rFonts w:ascii="宋体" w:hAnsi="宋体" w:eastAsia="宋体" w:cs="宋体"/>
                <w:spacing w:val="-3"/>
                <w:position w:val="2"/>
                <w:sz w:val="20"/>
                <w:szCs w:val="20"/>
              </w:rPr>
              <w:t>1080</w:t>
            </w:r>
          </w:p>
        </w:tc>
        <w:tc>
          <w:tcPr>
            <w:tcW w:w="8851" w:type="dxa"/>
            <w:vAlign w:val="top"/>
          </w:tcPr>
          <w:p>
            <w:pPr>
              <w:spacing w:before="128" w:line="277" w:lineRule="auto"/>
              <w:ind w:left="26" w:right="39" w:hanging="8"/>
              <w:rPr>
                <w:rFonts w:ascii="宋体" w:hAnsi="宋体" w:eastAsia="宋体" w:cs="宋体"/>
                <w:sz w:val="20"/>
                <w:szCs w:val="20"/>
              </w:rPr>
            </w:pPr>
            <w:r>
              <w:rPr>
                <w:rFonts w:ascii="宋体" w:hAnsi="宋体" w:eastAsia="宋体" w:cs="宋体"/>
                <w:spacing w:val="9"/>
                <w:sz w:val="20"/>
                <w:szCs w:val="20"/>
              </w:rPr>
              <w:t>现浇混凝土框架、现浇板、砌块填充墙、钢网架、网架板、砼地面随打随抹、房屋配套水、电、</w:t>
            </w:r>
            <w:r>
              <w:rPr>
                <w:rFonts w:ascii="宋体" w:hAnsi="宋体" w:eastAsia="宋体" w:cs="宋体"/>
                <w:spacing w:val="3"/>
                <w:sz w:val="20"/>
                <w:szCs w:val="20"/>
              </w:rPr>
              <w:t>暖。其中：建筑</w:t>
            </w:r>
            <w:r>
              <w:rPr>
                <w:rFonts w:ascii="宋体" w:hAnsi="宋体" w:eastAsia="宋体" w:cs="宋体"/>
                <w:spacing w:val="-39"/>
                <w:sz w:val="20"/>
                <w:szCs w:val="20"/>
              </w:rPr>
              <w:t xml:space="preserve"> </w:t>
            </w:r>
            <w:r>
              <w:rPr>
                <w:rFonts w:ascii="宋体" w:hAnsi="宋体" w:eastAsia="宋体" w:cs="宋体"/>
                <w:spacing w:val="3"/>
                <w:sz w:val="20"/>
                <w:szCs w:val="20"/>
              </w:rPr>
              <w:t>915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3"/>
                <w:sz w:val="20"/>
                <w:szCs w:val="20"/>
              </w:rPr>
              <w:t>；安装</w:t>
            </w:r>
            <w:r>
              <w:rPr>
                <w:rFonts w:ascii="宋体" w:hAnsi="宋体" w:eastAsia="宋体" w:cs="宋体"/>
                <w:spacing w:val="-24"/>
                <w:sz w:val="20"/>
                <w:szCs w:val="20"/>
              </w:rPr>
              <w:t xml:space="preserve"> </w:t>
            </w:r>
            <w:r>
              <w:rPr>
                <w:rFonts w:ascii="宋体" w:hAnsi="宋体" w:eastAsia="宋体" w:cs="宋体"/>
                <w:spacing w:val="3"/>
                <w:sz w:val="20"/>
                <w:szCs w:val="20"/>
              </w:rPr>
              <w:t>165</w:t>
            </w:r>
            <w:r>
              <w:rPr>
                <w:rFonts w:ascii="宋体" w:hAnsi="宋体" w:eastAsia="宋体" w:cs="宋体"/>
                <w:spacing w:val="-43"/>
                <w:sz w:val="20"/>
                <w:szCs w:val="20"/>
              </w:rPr>
              <w:t xml:space="preserve"> </w:t>
            </w:r>
            <w:r>
              <w:rPr>
                <w:rFonts w:ascii="宋体" w:hAnsi="宋体" w:eastAsia="宋体" w:cs="宋体"/>
                <w:spacing w:val="3"/>
                <w:sz w:val="20"/>
                <w:szCs w:val="20"/>
              </w:rPr>
              <w:t>元/m</w:t>
            </w:r>
            <w:r>
              <w:rPr>
                <w:rFonts w:ascii="宋体" w:hAnsi="宋体" w:eastAsia="宋体" w:cs="宋体"/>
                <w:spacing w:val="2"/>
                <w:position w:val="10"/>
                <w:sz w:val="10"/>
                <w:szCs w:val="10"/>
              </w:rPr>
              <w:t>2</w:t>
            </w:r>
            <w:r>
              <w:rPr>
                <w:rFonts w:ascii="宋体" w:hAnsi="宋体" w:eastAsia="宋体" w:cs="宋体"/>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trPr>
        <w:tc>
          <w:tcPr>
            <w:tcW w:w="366" w:type="dxa"/>
            <w:vAlign w:val="top"/>
          </w:tcPr>
          <w:p>
            <w:pPr>
              <w:spacing w:before="260" w:line="299" w:lineRule="exact"/>
              <w:ind w:left="135"/>
              <w:rPr>
                <w:rFonts w:ascii="宋体" w:hAnsi="宋体" w:eastAsia="宋体" w:cs="宋体"/>
                <w:sz w:val="20"/>
                <w:szCs w:val="20"/>
              </w:rPr>
            </w:pPr>
            <w:r>
              <w:rPr>
                <w:rFonts w:ascii="宋体" w:hAnsi="宋体" w:eastAsia="宋体" w:cs="宋体"/>
                <w:position w:val="2"/>
                <w:sz w:val="20"/>
                <w:szCs w:val="20"/>
              </w:rPr>
              <w:t>3</w:t>
            </w:r>
          </w:p>
        </w:tc>
        <w:tc>
          <w:tcPr>
            <w:tcW w:w="1347" w:type="dxa"/>
            <w:vAlign w:val="top"/>
          </w:tcPr>
          <w:p>
            <w:pPr>
              <w:spacing w:before="265" w:line="220" w:lineRule="auto"/>
              <w:ind w:left="13"/>
              <w:rPr>
                <w:rFonts w:ascii="宋体" w:hAnsi="宋体" w:eastAsia="宋体" w:cs="宋体"/>
                <w:sz w:val="20"/>
                <w:szCs w:val="20"/>
              </w:rPr>
            </w:pPr>
            <w:r>
              <w:rPr>
                <w:rFonts w:ascii="宋体" w:hAnsi="宋体" w:eastAsia="宋体" w:cs="宋体"/>
                <w:spacing w:val="9"/>
                <w:sz w:val="20"/>
                <w:szCs w:val="20"/>
              </w:rPr>
              <w:t>单层轻钢结构</w:t>
            </w:r>
          </w:p>
        </w:tc>
        <w:tc>
          <w:tcPr>
            <w:tcW w:w="2385" w:type="dxa"/>
            <w:vAlign w:val="top"/>
          </w:tcPr>
          <w:p>
            <w:pPr>
              <w:pStyle w:val="6"/>
            </w:pPr>
          </w:p>
        </w:tc>
        <w:tc>
          <w:tcPr>
            <w:tcW w:w="1177" w:type="dxa"/>
            <w:vAlign w:val="top"/>
          </w:tcPr>
          <w:p>
            <w:pPr>
              <w:spacing w:before="260" w:line="299" w:lineRule="exact"/>
              <w:ind w:left="400"/>
              <w:rPr>
                <w:rFonts w:ascii="宋体" w:hAnsi="宋体" w:eastAsia="宋体" w:cs="宋体"/>
                <w:sz w:val="20"/>
                <w:szCs w:val="20"/>
              </w:rPr>
            </w:pPr>
            <w:r>
              <w:rPr>
                <w:rFonts w:ascii="宋体" w:hAnsi="宋体" w:eastAsia="宋体" w:cs="宋体"/>
                <w:spacing w:val="-3"/>
                <w:position w:val="2"/>
                <w:sz w:val="20"/>
                <w:szCs w:val="20"/>
              </w:rPr>
              <w:t>1000</w:t>
            </w:r>
          </w:p>
        </w:tc>
        <w:tc>
          <w:tcPr>
            <w:tcW w:w="8851" w:type="dxa"/>
            <w:vAlign w:val="top"/>
          </w:tcPr>
          <w:p>
            <w:pPr>
              <w:spacing w:before="126" w:line="278" w:lineRule="auto"/>
              <w:ind w:left="14" w:right="16" w:firstLine="2"/>
              <w:rPr>
                <w:rFonts w:ascii="宋体" w:hAnsi="宋体" w:eastAsia="宋体" w:cs="宋体"/>
                <w:sz w:val="20"/>
                <w:szCs w:val="20"/>
              </w:rPr>
            </w:pPr>
            <w:r>
              <w:rPr>
                <w:rFonts w:ascii="宋体" w:hAnsi="宋体" w:eastAsia="宋体" w:cs="宋体"/>
                <w:spacing w:val="10"/>
                <w:sz w:val="20"/>
                <w:szCs w:val="20"/>
              </w:rPr>
              <w:t>轻钢框架、复合保温墙、板、屋面板、砼地面随打随抹、房屋配套水、电、暖。其中：建筑</w:t>
            </w:r>
            <w:r>
              <w:rPr>
                <w:rFonts w:ascii="宋体" w:hAnsi="宋体" w:eastAsia="宋体" w:cs="宋体"/>
                <w:spacing w:val="-18"/>
                <w:sz w:val="20"/>
                <w:szCs w:val="20"/>
              </w:rPr>
              <w:t xml:space="preserve"> </w:t>
            </w:r>
            <w:r>
              <w:rPr>
                <w:rFonts w:ascii="宋体" w:hAnsi="宋体" w:eastAsia="宋体" w:cs="宋体"/>
                <w:spacing w:val="10"/>
                <w:sz w:val="20"/>
                <w:szCs w:val="20"/>
              </w:rPr>
              <w:t>835</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5"/>
                <w:position w:val="10"/>
                <w:sz w:val="10"/>
                <w:szCs w:val="10"/>
              </w:rPr>
              <w:t xml:space="preserve"> </w:t>
            </w:r>
            <w:r>
              <w:rPr>
                <w:rFonts w:ascii="宋体" w:hAnsi="宋体" w:eastAsia="宋体" w:cs="宋体"/>
                <w:spacing w:val="1"/>
                <w:sz w:val="20"/>
                <w:szCs w:val="20"/>
              </w:rPr>
              <w:t>；安装</w:t>
            </w:r>
            <w:r>
              <w:rPr>
                <w:rFonts w:ascii="宋体" w:hAnsi="宋体" w:eastAsia="宋体" w:cs="宋体"/>
                <w:spacing w:val="-24"/>
                <w:sz w:val="20"/>
                <w:szCs w:val="20"/>
              </w:rPr>
              <w:t xml:space="preserve"> </w:t>
            </w:r>
            <w:r>
              <w:rPr>
                <w:rFonts w:ascii="宋体" w:hAnsi="宋体" w:eastAsia="宋体" w:cs="宋体"/>
                <w:spacing w:val="1"/>
                <w:sz w:val="20"/>
                <w:szCs w:val="20"/>
              </w:rPr>
              <w:t>165</w:t>
            </w:r>
            <w:r>
              <w:rPr>
                <w:rFonts w:ascii="宋体" w:hAnsi="宋体" w:eastAsia="宋体" w:cs="宋体"/>
                <w:spacing w:val="-41"/>
                <w:sz w:val="20"/>
                <w:szCs w:val="20"/>
              </w:rPr>
              <w:t xml:space="preserve"> </w:t>
            </w:r>
            <w:r>
              <w:rPr>
                <w:rFonts w:ascii="宋体" w:hAnsi="宋体" w:eastAsia="宋体" w:cs="宋体"/>
                <w:spacing w:val="1"/>
                <w:sz w:val="20"/>
                <w:szCs w:val="20"/>
              </w:rPr>
              <w:t>元/m</w:t>
            </w:r>
            <w:r>
              <w:rPr>
                <w:rFonts w:ascii="宋体" w:hAnsi="宋体" w:eastAsia="宋体" w:cs="宋体"/>
                <w:spacing w:val="1"/>
                <w:position w:val="10"/>
                <w:sz w:val="10"/>
                <w:szCs w:val="10"/>
              </w:rPr>
              <w:t>2</w:t>
            </w:r>
            <w:r>
              <w:rPr>
                <w:rFonts w:ascii="宋体" w:hAnsi="宋体" w:eastAsia="宋体" w:cs="宋体"/>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0" w:hRule="atLeast"/>
        </w:trPr>
        <w:tc>
          <w:tcPr>
            <w:tcW w:w="366" w:type="dxa"/>
            <w:vAlign w:val="top"/>
          </w:tcPr>
          <w:p>
            <w:pPr>
              <w:spacing w:before="260" w:line="301" w:lineRule="exact"/>
              <w:ind w:left="129"/>
              <w:rPr>
                <w:rFonts w:ascii="宋体" w:hAnsi="宋体" w:eastAsia="宋体" w:cs="宋体"/>
                <w:sz w:val="20"/>
                <w:szCs w:val="20"/>
              </w:rPr>
            </w:pPr>
            <w:r>
              <w:rPr>
                <w:rFonts w:ascii="宋体" w:hAnsi="宋体" w:eastAsia="宋体" w:cs="宋体"/>
                <w:spacing w:val="1"/>
                <w:position w:val="2"/>
                <w:sz w:val="20"/>
                <w:szCs w:val="20"/>
              </w:rPr>
              <w:t>4</w:t>
            </w:r>
          </w:p>
        </w:tc>
        <w:tc>
          <w:tcPr>
            <w:tcW w:w="1347" w:type="dxa"/>
            <w:vAlign w:val="top"/>
          </w:tcPr>
          <w:p>
            <w:pPr>
              <w:spacing w:before="265" w:line="219" w:lineRule="auto"/>
              <w:ind w:left="20"/>
              <w:rPr>
                <w:rFonts w:ascii="宋体" w:hAnsi="宋体" w:eastAsia="宋体" w:cs="宋体"/>
                <w:sz w:val="20"/>
                <w:szCs w:val="20"/>
              </w:rPr>
            </w:pPr>
            <w:r>
              <w:rPr>
                <w:rFonts w:ascii="宋体" w:hAnsi="宋体" w:eastAsia="宋体" w:cs="宋体"/>
                <w:spacing w:val="7"/>
                <w:sz w:val="20"/>
                <w:szCs w:val="20"/>
              </w:rPr>
              <w:t>多层框架结构</w:t>
            </w:r>
          </w:p>
        </w:tc>
        <w:tc>
          <w:tcPr>
            <w:tcW w:w="2385" w:type="dxa"/>
            <w:vAlign w:val="top"/>
          </w:tcPr>
          <w:p>
            <w:pPr>
              <w:pStyle w:val="6"/>
            </w:pPr>
          </w:p>
        </w:tc>
        <w:tc>
          <w:tcPr>
            <w:tcW w:w="1177" w:type="dxa"/>
            <w:vAlign w:val="top"/>
          </w:tcPr>
          <w:p>
            <w:pPr>
              <w:spacing w:before="260" w:line="299" w:lineRule="exact"/>
              <w:ind w:left="400"/>
              <w:rPr>
                <w:rFonts w:ascii="宋体" w:hAnsi="宋体" w:eastAsia="宋体" w:cs="宋体"/>
                <w:sz w:val="20"/>
                <w:szCs w:val="20"/>
              </w:rPr>
            </w:pPr>
            <w:r>
              <w:rPr>
                <w:rFonts w:ascii="宋体" w:hAnsi="宋体" w:eastAsia="宋体" w:cs="宋体"/>
                <w:spacing w:val="-3"/>
                <w:position w:val="2"/>
                <w:sz w:val="20"/>
                <w:szCs w:val="20"/>
              </w:rPr>
              <w:t>1730</w:t>
            </w:r>
          </w:p>
        </w:tc>
        <w:tc>
          <w:tcPr>
            <w:tcW w:w="8851" w:type="dxa"/>
            <w:vAlign w:val="top"/>
          </w:tcPr>
          <w:p>
            <w:pPr>
              <w:spacing w:before="134" w:line="275" w:lineRule="auto"/>
              <w:ind w:left="16" w:right="16" w:firstLine="1"/>
              <w:rPr>
                <w:rFonts w:ascii="宋体" w:hAnsi="宋体" w:eastAsia="宋体" w:cs="宋体"/>
                <w:sz w:val="20"/>
                <w:szCs w:val="20"/>
              </w:rPr>
            </w:pPr>
            <w:r>
              <w:rPr>
                <w:rFonts w:ascii="宋体" w:hAnsi="宋体" w:eastAsia="宋体" w:cs="宋体"/>
                <w:spacing w:val="10"/>
                <w:sz w:val="20"/>
                <w:szCs w:val="20"/>
              </w:rPr>
              <w:t>钢筋混凝土独立基础、现浇混凝土框架、现浇板、砌块填充墙、砼内墙天</w:t>
            </w:r>
            <w:r>
              <w:rPr>
                <w:rFonts w:ascii="宋体" w:hAnsi="宋体" w:eastAsia="宋体" w:cs="宋体"/>
                <w:spacing w:val="9"/>
                <w:sz w:val="20"/>
                <w:szCs w:val="20"/>
              </w:rPr>
              <w:t>棚乳胶漆、地面随打随</w:t>
            </w:r>
            <w:r>
              <w:rPr>
                <w:rFonts w:ascii="宋体" w:hAnsi="宋体" w:eastAsia="宋体" w:cs="宋体"/>
                <w:spacing w:val="5"/>
                <w:sz w:val="20"/>
                <w:szCs w:val="20"/>
              </w:rPr>
              <w:t>抹、房屋配套水、电、暖。其中：建筑</w:t>
            </w:r>
            <w:r>
              <w:rPr>
                <w:rFonts w:ascii="宋体" w:hAnsi="宋体" w:eastAsia="宋体" w:cs="宋体"/>
                <w:spacing w:val="-22"/>
                <w:sz w:val="20"/>
                <w:szCs w:val="20"/>
              </w:rPr>
              <w:t xml:space="preserve"> </w:t>
            </w:r>
            <w:r>
              <w:rPr>
                <w:rFonts w:ascii="宋体" w:hAnsi="宋体" w:eastAsia="宋体" w:cs="宋体"/>
                <w:spacing w:val="5"/>
                <w:sz w:val="20"/>
                <w:szCs w:val="20"/>
              </w:rPr>
              <w:t>1565</w:t>
            </w:r>
            <w:r>
              <w:rPr>
                <w:rFonts w:ascii="宋体" w:hAnsi="宋体" w:eastAsia="宋体" w:cs="宋体"/>
                <w:spacing w:val="-43"/>
                <w:sz w:val="20"/>
                <w:szCs w:val="20"/>
              </w:rPr>
              <w:t xml:space="preserve"> </w:t>
            </w:r>
            <w:r>
              <w:rPr>
                <w:rFonts w:ascii="宋体" w:hAnsi="宋体" w:eastAsia="宋体" w:cs="宋体"/>
                <w:spacing w:val="5"/>
                <w:sz w:val="20"/>
                <w:szCs w:val="20"/>
              </w:rPr>
              <w:t>元/m</w:t>
            </w:r>
            <w:r>
              <w:rPr>
                <w:rFonts w:ascii="宋体" w:hAnsi="宋体" w:eastAsia="宋体" w:cs="宋体"/>
                <w:spacing w:val="5"/>
                <w:position w:val="10"/>
                <w:sz w:val="10"/>
                <w:szCs w:val="10"/>
              </w:rPr>
              <w:t>2</w:t>
            </w:r>
            <w:r>
              <w:rPr>
                <w:rFonts w:ascii="宋体" w:hAnsi="宋体" w:eastAsia="宋体" w:cs="宋体"/>
                <w:spacing w:val="-17"/>
                <w:position w:val="10"/>
                <w:sz w:val="10"/>
                <w:szCs w:val="10"/>
              </w:rPr>
              <w:t xml:space="preserve"> </w:t>
            </w:r>
            <w:r>
              <w:rPr>
                <w:rFonts w:ascii="宋体" w:hAnsi="宋体" w:eastAsia="宋体" w:cs="宋体"/>
                <w:spacing w:val="5"/>
                <w:sz w:val="20"/>
                <w:szCs w:val="20"/>
              </w:rPr>
              <w:t>；安装</w:t>
            </w:r>
            <w:r>
              <w:rPr>
                <w:rFonts w:ascii="宋体" w:hAnsi="宋体" w:eastAsia="宋体" w:cs="宋体"/>
                <w:spacing w:val="-25"/>
                <w:sz w:val="20"/>
                <w:szCs w:val="20"/>
              </w:rPr>
              <w:t xml:space="preserve"> </w:t>
            </w:r>
            <w:r>
              <w:rPr>
                <w:rFonts w:ascii="宋体" w:hAnsi="宋体" w:eastAsia="宋体" w:cs="宋体"/>
                <w:spacing w:val="4"/>
                <w:sz w:val="20"/>
                <w:szCs w:val="20"/>
              </w:rPr>
              <w:t>165</w:t>
            </w:r>
            <w:r>
              <w:rPr>
                <w:rFonts w:ascii="宋体" w:hAnsi="宋体" w:eastAsia="宋体" w:cs="宋体"/>
                <w:spacing w:val="-40"/>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2" w:hRule="atLeast"/>
        </w:trPr>
        <w:tc>
          <w:tcPr>
            <w:tcW w:w="14126" w:type="dxa"/>
            <w:gridSpan w:val="5"/>
            <w:vAlign w:val="top"/>
          </w:tcPr>
          <w:p>
            <w:pPr>
              <w:spacing w:before="166" w:line="321" w:lineRule="auto"/>
              <w:ind w:left="20" w:right="81" w:hanging="7"/>
              <w:rPr>
                <w:rFonts w:ascii="宋体" w:hAnsi="宋体" w:eastAsia="宋体" w:cs="宋体"/>
                <w:sz w:val="20"/>
                <w:szCs w:val="20"/>
              </w:rPr>
            </w:pPr>
            <w:r>
              <w:rPr>
                <w:rFonts w:ascii="宋体" w:hAnsi="宋体" w:eastAsia="宋体" w:cs="宋体"/>
                <w:spacing w:val="7"/>
                <w:sz w:val="20"/>
                <w:szCs w:val="20"/>
              </w:rPr>
              <w:t>说明：1.建筑面积按国家标准</w:t>
            </w:r>
            <w:r>
              <w:rPr>
                <w:rFonts w:ascii="宋体" w:hAnsi="宋体" w:eastAsia="宋体" w:cs="宋体"/>
                <w:spacing w:val="-17"/>
                <w:sz w:val="20"/>
                <w:szCs w:val="20"/>
              </w:rPr>
              <w:t xml:space="preserve"> </w:t>
            </w:r>
            <w:r>
              <w:rPr>
                <w:rFonts w:ascii="宋体" w:hAnsi="宋体" w:eastAsia="宋体" w:cs="宋体"/>
                <w:sz w:val="20"/>
                <w:szCs w:val="20"/>
              </w:rPr>
              <w:t>GB</w:t>
            </w:r>
            <w:r>
              <w:rPr>
                <w:rFonts w:ascii="宋体" w:hAnsi="宋体" w:eastAsia="宋体" w:cs="宋体"/>
                <w:spacing w:val="7"/>
                <w:sz w:val="20"/>
                <w:szCs w:val="20"/>
              </w:rPr>
              <w:t>/T50353-2013《建筑工程建筑面积计算规范》执行；2.凡注有“以下”者，均包含本身，凡注有“</w:t>
            </w:r>
            <w:r>
              <w:rPr>
                <w:rFonts w:ascii="宋体" w:hAnsi="宋体" w:eastAsia="宋体" w:cs="宋体"/>
                <w:spacing w:val="-77"/>
                <w:sz w:val="20"/>
                <w:szCs w:val="20"/>
              </w:rPr>
              <w:t xml:space="preserve"> </w:t>
            </w:r>
            <w:r>
              <w:rPr>
                <w:rFonts w:ascii="宋体" w:hAnsi="宋体" w:eastAsia="宋体" w:cs="宋体"/>
                <w:spacing w:val="7"/>
                <w:sz w:val="20"/>
                <w:szCs w:val="20"/>
              </w:rPr>
              <w:t>以上”者，均不包含本</w:t>
            </w:r>
            <w:r>
              <w:rPr>
                <w:rFonts w:ascii="宋体" w:hAnsi="宋体" w:eastAsia="宋体" w:cs="宋体"/>
                <w:spacing w:val="4"/>
                <w:sz w:val="20"/>
                <w:szCs w:val="20"/>
              </w:rPr>
              <w:t>身；3.电梯按</w:t>
            </w:r>
            <w:r>
              <w:rPr>
                <w:rFonts w:ascii="宋体" w:hAnsi="宋体" w:eastAsia="宋体" w:cs="宋体"/>
                <w:spacing w:val="-45"/>
                <w:sz w:val="20"/>
                <w:szCs w:val="20"/>
              </w:rPr>
              <w:t xml:space="preserve"> </w:t>
            </w:r>
            <w:r>
              <w:rPr>
                <w:rFonts w:ascii="宋体" w:hAnsi="宋体" w:eastAsia="宋体" w:cs="宋体"/>
                <w:spacing w:val="4"/>
                <w:sz w:val="20"/>
                <w:szCs w:val="20"/>
              </w:rPr>
              <w:t>60～90</w:t>
            </w:r>
            <w:r>
              <w:rPr>
                <w:rFonts w:ascii="宋体" w:hAnsi="宋体" w:eastAsia="宋体" w:cs="宋体"/>
                <w:spacing w:val="-48"/>
                <w:sz w:val="20"/>
                <w:szCs w:val="20"/>
              </w:rPr>
              <w:t xml:space="preserve"> </w:t>
            </w:r>
            <w:r>
              <w:rPr>
                <w:rFonts w:ascii="宋体" w:hAnsi="宋体" w:eastAsia="宋体" w:cs="宋体"/>
                <w:spacing w:val="4"/>
                <w:sz w:val="20"/>
                <w:szCs w:val="20"/>
              </w:rPr>
              <w:t>元/m</w:t>
            </w:r>
            <w:r>
              <w:rPr>
                <w:rFonts w:ascii="宋体" w:hAnsi="宋体" w:eastAsia="宋体" w:cs="宋体"/>
                <w:spacing w:val="4"/>
                <w:position w:val="10"/>
                <w:sz w:val="10"/>
                <w:szCs w:val="10"/>
              </w:rPr>
              <w:t>2</w:t>
            </w:r>
            <w:r>
              <w:rPr>
                <w:rFonts w:ascii="宋体" w:hAnsi="宋体" w:eastAsia="宋体" w:cs="宋体"/>
                <w:spacing w:val="-21"/>
                <w:position w:val="10"/>
                <w:sz w:val="10"/>
                <w:szCs w:val="10"/>
              </w:rPr>
              <w:t xml:space="preserve"> </w:t>
            </w:r>
            <w:r>
              <w:rPr>
                <w:rFonts w:ascii="宋体" w:hAnsi="宋体" w:eastAsia="宋体" w:cs="宋体"/>
                <w:spacing w:val="4"/>
                <w:sz w:val="20"/>
                <w:szCs w:val="20"/>
              </w:rPr>
              <w:t>考虑，商场未考虑扶梯。正</w:t>
            </w:r>
            <w:r>
              <w:rPr>
                <w:rFonts w:ascii="宋体" w:hAnsi="宋体" w:eastAsia="宋体" w:cs="宋体"/>
                <w:spacing w:val="3"/>
                <w:sz w:val="20"/>
                <w:szCs w:val="20"/>
              </w:rPr>
              <w:t>常地质条件下，17</w:t>
            </w:r>
            <w:r>
              <w:rPr>
                <w:rFonts w:ascii="宋体" w:hAnsi="宋体" w:eastAsia="宋体" w:cs="宋体"/>
                <w:spacing w:val="-47"/>
                <w:sz w:val="20"/>
                <w:szCs w:val="20"/>
              </w:rPr>
              <w:t xml:space="preserve"> </w:t>
            </w:r>
            <w:r>
              <w:rPr>
                <w:rFonts w:ascii="宋体" w:hAnsi="宋体" w:eastAsia="宋体" w:cs="宋体"/>
                <w:spacing w:val="3"/>
                <w:sz w:val="20"/>
                <w:szCs w:val="20"/>
              </w:rPr>
              <w:t>层以下均未考虑桩基，18</w:t>
            </w:r>
            <w:r>
              <w:rPr>
                <w:rFonts w:ascii="宋体" w:hAnsi="宋体" w:eastAsia="宋体" w:cs="宋体"/>
                <w:spacing w:val="-49"/>
                <w:sz w:val="20"/>
                <w:szCs w:val="20"/>
              </w:rPr>
              <w:t xml:space="preserve"> </w:t>
            </w:r>
            <w:r>
              <w:rPr>
                <w:rFonts w:ascii="宋体" w:hAnsi="宋体" w:eastAsia="宋体" w:cs="宋体"/>
                <w:spacing w:val="3"/>
                <w:sz w:val="20"/>
                <w:szCs w:val="20"/>
              </w:rPr>
              <w:t>层以上按</w:t>
            </w:r>
            <w:r>
              <w:rPr>
                <w:rFonts w:ascii="宋体" w:hAnsi="宋体" w:eastAsia="宋体" w:cs="宋体"/>
                <w:spacing w:val="-27"/>
                <w:sz w:val="20"/>
                <w:szCs w:val="20"/>
              </w:rPr>
              <w:t xml:space="preserve"> </w:t>
            </w:r>
            <w:r>
              <w:rPr>
                <w:rFonts w:ascii="宋体" w:hAnsi="宋体" w:eastAsia="宋体" w:cs="宋体"/>
                <w:spacing w:val="3"/>
                <w:sz w:val="20"/>
                <w:szCs w:val="20"/>
              </w:rPr>
              <w:t>100～120</w:t>
            </w:r>
            <w:r>
              <w:rPr>
                <w:rFonts w:ascii="宋体" w:hAnsi="宋体" w:eastAsia="宋体" w:cs="宋体"/>
                <w:spacing w:val="-50"/>
                <w:sz w:val="20"/>
                <w:szCs w:val="20"/>
              </w:rPr>
              <w:t xml:space="preserve"> </w:t>
            </w:r>
            <w:r>
              <w:rPr>
                <w:rFonts w:ascii="宋体" w:hAnsi="宋体" w:eastAsia="宋体" w:cs="宋体"/>
                <w:spacing w:val="3"/>
                <w:sz w:val="20"/>
                <w:szCs w:val="20"/>
              </w:rPr>
              <w:t>元/m</w:t>
            </w:r>
            <w:r>
              <w:rPr>
                <w:rFonts w:ascii="宋体" w:hAnsi="宋体" w:eastAsia="宋体" w:cs="宋体"/>
                <w:spacing w:val="3"/>
                <w:position w:val="10"/>
                <w:sz w:val="10"/>
                <w:szCs w:val="10"/>
              </w:rPr>
              <w:t>2</w:t>
            </w:r>
            <w:r>
              <w:rPr>
                <w:rFonts w:ascii="宋体" w:hAnsi="宋体" w:eastAsia="宋体" w:cs="宋体"/>
                <w:spacing w:val="-25"/>
                <w:position w:val="10"/>
                <w:sz w:val="10"/>
                <w:szCs w:val="10"/>
              </w:rPr>
              <w:t xml:space="preserve"> </w:t>
            </w:r>
            <w:r>
              <w:rPr>
                <w:rFonts w:ascii="宋体" w:hAnsi="宋体" w:eastAsia="宋体" w:cs="宋体"/>
                <w:spacing w:val="3"/>
                <w:sz w:val="20"/>
                <w:szCs w:val="20"/>
              </w:rPr>
              <w:t>灌注桩考虑。</w:t>
            </w:r>
          </w:p>
        </w:tc>
      </w:tr>
    </w:tbl>
    <w:p>
      <w:pPr>
        <w:rPr>
          <w:rFonts w:ascii="Arial"/>
          <w:sz w:val="21"/>
        </w:rPr>
      </w:pPr>
    </w:p>
    <w:p>
      <w:pPr>
        <w:rPr>
          <w:rFonts w:ascii="Arial" w:hAnsi="Arial" w:eastAsia="Arial" w:cs="Arial"/>
          <w:sz w:val="21"/>
          <w:szCs w:val="21"/>
        </w:rPr>
        <w:sectPr>
          <w:footerReference r:id="rId331" w:type="default"/>
          <w:pgSz w:w="16839" w:h="11906"/>
          <w:pgMar w:top="400" w:right="1357" w:bottom="1212" w:left="1349" w:header="0" w:footer="897" w:gutter="0"/>
        </w:sectPr>
      </w:pPr>
    </w:p>
    <w:p>
      <w:pPr>
        <w:spacing w:line="286" w:lineRule="auto"/>
        <w:rPr>
          <w:rFonts w:ascii="Arial"/>
          <w:sz w:val="21"/>
        </w:rPr>
      </w:pP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before="65" w:line="233" w:lineRule="auto"/>
        <w:ind w:left="496"/>
        <w:rPr>
          <w:rFonts w:ascii="黑体" w:hAnsi="黑体" w:eastAsia="黑体" w:cs="黑体"/>
          <w:sz w:val="20"/>
          <w:szCs w:val="20"/>
        </w:rPr>
      </w:pPr>
      <w:r>
        <w:rPr>
          <w:rFonts w:ascii="黑体" w:hAnsi="黑体" w:eastAsia="黑体" w:cs="黑体"/>
          <w:spacing w:val="19"/>
          <w:sz w:val="20"/>
          <w:szCs w:val="20"/>
        </w:rPr>
        <w:t>附件2</w:t>
      </w:r>
    </w:p>
    <w:p>
      <w:pPr>
        <w:spacing w:before="39" w:line="235" w:lineRule="auto"/>
        <w:ind w:left="3308"/>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2025 年度淄博市市政道路工程平方米造价估价表</w:t>
      </w:r>
    </w:p>
    <w:p>
      <w:pPr>
        <w:spacing w:line="79" w:lineRule="exact"/>
      </w:pPr>
    </w:p>
    <w:tbl>
      <w:tblPr>
        <w:tblStyle w:val="5"/>
        <w:tblW w:w="129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1945"/>
        <w:gridCol w:w="867"/>
        <w:gridCol w:w="1522"/>
        <w:gridCol w:w="2246"/>
        <w:gridCol w:w="57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3" w:hRule="atLeast"/>
        </w:trPr>
        <w:tc>
          <w:tcPr>
            <w:tcW w:w="654" w:type="dxa"/>
            <w:vAlign w:val="top"/>
          </w:tcPr>
          <w:p>
            <w:pPr>
              <w:spacing w:before="174" w:line="222" w:lineRule="auto"/>
              <w:ind w:left="118"/>
              <w:rPr>
                <w:rFonts w:ascii="宋体" w:hAnsi="宋体" w:eastAsia="宋体" w:cs="宋体"/>
                <w:sz w:val="20"/>
                <w:szCs w:val="20"/>
              </w:rPr>
            </w:pPr>
            <w:r>
              <w:rPr>
                <w:rFonts w:ascii="宋体" w:hAnsi="宋体" w:eastAsia="宋体" w:cs="宋体"/>
                <w:b/>
                <w:bCs/>
                <w:spacing w:val="5"/>
                <w:sz w:val="20"/>
                <w:szCs w:val="20"/>
              </w:rPr>
              <w:t>序号</w:t>
            </w:r>
          </w:p>
        </w:tc>
        <w:tc>
          <w:tcPr>
            <w:tcW w:w="4334" w:type="dxa"/>
            <w:gridSpan w:val="3"/>
            <w:vAlign w:val="top"/>
          </w:tcPr>
          <w:p>
            <w:pPr>
              <w:spacing w:before="175" w:line="219" w:lineRule="auto"/>
              <w:ind w:left="1956"/>
              <w:rPr>
                <w:rFonts w:ascii="宋体" w:hAnsi="宋体" w:eastAsia="宋体" w:cs="宋体"/>
                <w:sz w:val="20"/>
                <w:szCs w:val="20"/>
              </w:rPr>
            </w:pPr>
            <w:r>
              <w:rPr>
                <w:rFonts w:ascii="宋体" w:hAnsi="宋体" w:eastAsia="宋体" w:cs="宋体"/>
                <w:b/>
                <w:bCs/>
                <w:spacing w:val="6"/>
                <w:sz w:val="20"/>
                <w:szCs w:val="20"/>
              </w:rPr>
              <w:t>类别</w:t>
            </w:r>
          </w:p>
        </w:tc>
        <w:tc>
          <w:tcPr>
            <w:tcW w:w="2246" w:type="dxa"/>
            <w:vAlign w:val="top"/>
          </w:tcPr>
          <w:p>
            <w:pPr>
              <w:spacing w:before="151" w:line="295" w:lineRule="exact"/>
              <w:ind w:left="150"/>
              <w:rPr>
                <w:rFonts w:ascii="宋体" w:hAnsi="宋体" w:eastAsia="宋体" w:cs="宋体"/>
                <w:sz w:val="20"/>
                <w:szCs w:val="20"/>
              </w:rPr>
            </w:pPr>
            <w:r>
              <w:rPr>
                <w:rFonts w:ascii="宋体" w:hAnsi="宋体" w:eastAsia="宋体" w:cs="宋体"/>
                <w:b/>
                <w:bCs/>
                <w:spacing w:val="5"/>
                <w:position w:val="1"/>
                <w:sz w:val="20"/>
                <w:szCs w:val="20"/>
              </w:rPr>
              <w:t>平方米造价（元/m</w:t>
            </w:r>
            <w:r>
              <w:rPr>
                <w:rFonts w:ascii="宋体" w:hAnsi="宋体" w:eastAsia="宋体" w:cs="宋体"/>
                <w:b/>
                <w:bCs/>
                <w:spacing w:val="5"/>
                <w:position w:val="11"/>
                <w:sz w:val="10"/>
                <w:szCs w:val="10"/>
              </w:rPr>
              <w:t>2</w:t>
            </w:r>
            <w:r>
              <w:rPr>
                <w:rFonts w:ascii="宋体" w:hAnsi="宋体" w:eastAsia="宋体" w:cs="宋体"/>
                <w:spacing w:val="-16"/>
                <w:position w:val="11"/>
                <w:sz w:val="10"/>
                <w:szCs w:val="10"/>
              </w:rPr>
              <w:t xml:space="preserve"> </w:t>
            </w:r>
            <w:r>
              <w:rPr>
                <w:rFonts w:ascii="宋体" w:hAnsi="宋体" w:eastAsia="宋体" w:cs="宋体"/>
                <w:b/>
                <w:bCs/>
                <w:spacing w:val="5"/>
                <w:position w:val="1"/>
                <w:sz w:val="20"/>
                <w:szCs w:val="20"/>
              </w:rPr>
              <w:t>）</w:t>
            </w:r>
          </w:p>
        </w:tc>
        <w:tc>
          <w:tcPr>
            <w:tcW w:w="5742" w:type="dxa"/>
            <w:vAlign w:val="top"/>
          </w:tcPr>
          <w:p>
            <w:pPr>
              <w:spacing w:before="175" w:line="220" w:lineRule="auto"/>
              <w:ind w:left="2450"/>
              <w:rPr>
                <w:rFonts w:ascii="宋体" w:hAnsi="宋体" w:eastAsia="宋体" w:cs="宋体"/>
                <w:sz w:val="20"/>
                <w:szCs w:val="20"/>
              </w:rPr>
            </w:pPr>
            <w:r>
              <w:rPr>
                <w:rFonts w:ascii="宋体" w:hAnsi="宋体" w:eastAsia="宋体" w:cs="宋体"/>
                <w:b/>
                <w:bCs/>
                <w:spacing w:val="7"/>
                <w:sz w:val="20"/>
                <w:szCs w:val="20"/>
              </w:rPr>
              <w:t>做法说明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8" w:hRule="atLeast"/>
        </w:trPr>
        <w:tc>
          <w:tcPr>
            <w:tcW w:w="654" w:type="dxa"/>
            <w:vAlign w:val="top"/>
          </w:tcPr>
          <w:p>
            <w:pPr>
              <w:spacing w:before="276" w:line="301" w:lineRule="exact"/>
              <w:ind w:left="295"/>
              <w:rPr>
                <w:rFonts w:ascii="宋体" w:hAnsi="宋体" w:eastAsia="宋体" w:cs="宋体"/>
                <w:sz w:val="20"/>
                <w:szCs w:val="20"/>
              </w:rPr>
            </w:pPr>
            <w:r>
              <w:rPr>
                <w:rFonts w:ascii="宋体" w:hAnsi="宋体" w:eastAsia="宋体" w:cs="宋体"/>
                <w:position w:val="2"/>
                <w:sz w:val="20"/>
                <w:szCs w:val="20"/>
              </w:rPr>
              <w:t>1</w:t>
            </w:r>
          </w:p>
        </w:tc>
        <w:tc>
          <w:tcPr>
            <w:tcW w:w="4334" w:type="dxa"/>
            <w:gridSpan w:val="3"/>
            <w:vAlign w:val="top"/>
          </w:tcPr>
          <w:p>
            <w:pPr>
              <w:spacing w:before="281" w:line="219" w:lineRule="auto"/>
              <w:ind w:left="1860"/>
              <w:rPr>
                <w:rFonts w:ascii="宋体" w:hAnsi="宋体" w:eastAsia="宋体" w:cs="宋体"/>
                <w:sz w:val="20"/>
                <w:szCs w:val="20"/>
              </w:rPr>
            </w:pPr>
            <w:r>
              <w:rPr>
                <w:rFonts w:ascii="宋体" w:hAnsi="宋体" w:eastAsia="宋体" w:cs="宋体"/>
                <w:spacing w:val="5"/>
                <w:sz w:val="20"/>
                <w:szCs w:val="20"/>
              </w:rPr>
              <w:t>主干路</w:t>
            </w:r>
          </w:p>
        </w:tc>
        <w:tc>
          <w:tcPr>
            <w:tcW w:w="2246" w:type="dxa"/>
            <w:vAlign w:val="top"/>
          </w:tcPr>
          <w:p>
            <w:pPr>
              <w:spacing w:before="276" w:line="299" w:lineRule="exact"/>
              <w:ind w:left="754"/>
              <w:rPr>
                <w:rFonts w:ascii="宋体" w:hAnsi="宋体" w:eastAsia="宋体" w:cs="宋体"/>
                <w:sz w:val="20"/>
                <w:szCs w:val="20"/>
              </w:rPr>
            </w:pPr>
            <w:r>
              <w:rPr>
                <w:rFonts w:ascii="宋体" w:hAnsi="宋体" w:eastAsia="宋体" w:cs="宋体"/>
                <w:spacing w:val="4"/>
                <w:position w:val="2"/>
                <w:sz w:val="20"/>
                <w:szCs w:val="20"/>
              </w:rPr>
              <w:t>420-480</w:t>
            </w:r>
          </w:p>
        </w:tc>
        <w:tc>
          <w:tcPr>
            <w:tcW w:w="5742" w:type="dxa"/>
            <w:vAlign w:val="top"/>
          </w:tcPr>
          <w:p>
            <w:pPr>
              <w:spacing w:before="120" w:line="277" w:lineRule="exact"/>
              <w:ind w:left="111"/>
              <w:rPr>
                <w:rFonts w:ascii="宋体" w:hAnsi="宋体" w:eastAsia="宋体" w:cs="宋体"/>
                <w:sz w:val="20"/>
                <w:szCs w:val="20"/>
              </w:rPr>
            </w:pPr>
            <w:r>
              <w:rPr>
                <w:rFonts w:ascii="宋体" w:hAnsi="宋体" w:eastAsia="宋体" w:cs="宋体"/>
                <w:spacing w:val="9"/>
                <w:position w:val="1"/>
                <w:sz w:val="20"/>
                <w:szCs w:val="20"/>
              </w:rPr>
              <w:t>道路基层：2</w:t>
            </w:r>
            <w:r>
              <w:rPr>
                <w:rFonts w:ascii="宋体" w:hAnsi="宋体" w:eastAsia="宋体" w:cs="宋体"/>
                <w:spacing w:val="-35"/>
                <w:position w:val="1"/>
                <w:sz w:val="20"/>
                <w:szCs w:val="20"/>
              </w:rPr>
              <w:t xml:space="preserve"> </w:t>
            </w:r>
            <w:r>
              <w:rPr>
                <w:rFonts w:ascii="宋体" w:hAnsi="宋体" w:eastAsia="宋体" w:cs="宋体"/>
                <w:spacing w:val="9"/>
                <w:position w:val="1"/>
                <w:sz w:val="20"/>
                <w:szCs w:val="20"/>
              </w:rPr>
              <w:t>层</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12</w:t>
            </w:r>
            <w:r>
              <w:rPr>
                <w:rFonts w:ascii="宋体" w:hAnsi="宋体" w:eastAsia="宋体" w:cs="宋体"/>
                <w:position w:val="1"/>
                <w:sz w:val="20"/>
                <w:szCs w:val="20"/>
              </w:rPr>
              <w:t>cm</w:t>
            </w:r>
            <w:r>
              <w:rPr>
                <w:rFonts w:ascii="宋体" w:hAnsi="宋体" w:eastAsia="宋体" w:cs="宋体"/>
                <w:spacing w:val="-41"/>
                <w:position w:val="1"/>
                <w:sz w:val="20"/>
                <w:szCs w:val="20"/>
              </w:rPr>
              <w:t xml:space="preserve"> </w:t>
            </w:r>
            <w:r>
              <w:rPr>
                <w:rFonts w:ascii="宋体" w:hAnsi="宋体" w:eastAsia="宋体" w:cs="宋体"/>
                <w:spacing w:val="9"/>
                <w:position w:val="1"/>
                <w:sz w:val="20"/>
                <w:szCs w:val="20"/>
              </w:rPr>
              <w:t>石灰稳定土+3</w:t>
            </w:r>
            <w:r>
              <w:rPr>
                <w:rFonts w:ascii="宋体" w:hAnsi="宋体" w:eastAsia="宋体" w:cs="宋体"/>
                <w:spacing w:val="-44"/>
                <w:position w:val="1"/>
                <w:sz w:val="20"/>
                <w:szCs w:val="20"/>
              </w:rPr>
              <w:t xml:space="preserve"> </w:t>
            </w:r>
            <w:r>
              <w:rPr>
                <w:rFonts w:ascii="宋体" w:hAnsi="宋体" w:eastAsia="宋体" w:cs="宋体"/>
                <w:spacing w:val="9"/>
                <w:position w:val="1"/>
                <w:sz w:val="20"/>
                <w:szCs w:val="20"/>
              </w:rPr>
              <w:t>层</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18</w:t>
            </w:r>
            <w:r>
              <w:rPr>
                <w:rFonts w:ascii="宋体" w:hAnsi="宋体" w:eastAsia="宋体" w:cs="宋体"/>
                <w:position w:val="1"/>
                <w:sz w:val="20"/>
                <w:szCs w:val="20"/>
              </w:rPr>
              <w:t>cm</w:t>
            </w:r>
            <w:r>
              <w:rPr>
                <w:rFonts w:ascii="宋体" w:hAnsi="宋体" w:eastAsia="宋体" w:cs="宋体"/>
                <w:spacing w:val="-40"/>
                <w:position w:val="1"/>
                <w:sz w:val="20"/>
                <w:szCs w:val="20"/>
              </w:rPr>
              <w:t xml:space="preserve"> </w:t>
            </w:r>
            <w:r>
              <w:rPr>
                <w:rFonts w:ascii="宋体" w:hAnsi="宋体" w:eastAsia="宋体" w:cs="宋体"/>
                <w:spacing w:val="9"/>
                <w:position w:val="1"/>
                <w:sz w:val="20"/>
                <w:szCs w:val="20"/>
              </w:rPr>
              <w:t>水泥稳定碎石</w:t>
            </w:r>
          </w:p>
          <w:p>
            <w:pPr>
              <w:spacing w:before="34" w:line="277" w:lineRule="exact"/>
              <w:ind w:left="111"/>
              <w:rPr>
                <w:rFonts w:ascii="宋体" w:hAnsi="宋体" w:eastAsia="宋体" w:cs="宋体"/>
                <w:sz w:val="20"/>
                <w:szCs w:val="20"/>
              </w:rPr>
            </w:pPr>
            <w:r>
              <w:rPr>
                <w:rFonts w:ascii="宋体" w:hAnsi="宋体" w:eastAsia="宋体" w:cs="宋体"/>
                <w:spacing w:val="17"/>
                <w:position w:val="1"/>
                <w:sz w:val="20"/>
                <w:szCs w:val="20"/>
              </w:rPr>
              <w:t>道路面层：8</w:t>
            </w:r>
            <w:r>
              <w:rPr>
                <w:rFonts w:ascii="宋体" w:hAnsi="宋体" w:eastAsia="宋体" w:cs="宋体"/>
                <w:position w:val="1"/>
                <w:sz w:val="20"/>
                <w:szCs w:val="20"/>
              </w:rPr>
              <w:t>cm</w:t>
            </w:r>
            <w:r>
              <w:rPr>
                <w:rFonts w:ascii="宋体" w:hAnsi="宋体" w:eastAsia="宋体" w:cs="宋体"/>
                <w:spacing w:val="-35"/>
                <w:position w:val="1"/>
                <w:sz w:val="20"/>
                <w:szCs w:val="20"/>
              </w:rPr>
              <w:t xml:space="preserve"> </w:t>
            </w:r>
            <w:r>
              <w:rPr>
                <w:rFonts w:ascii="宋体" w:hAnsi="宋体" w:eastAsia="宋体" w:cs="宋体"/>
                <w:spacing w:val="17"/>
                <w:position w:val="1"/>
                <w:sz w:val="20"/>
                <w:szCs w:val="20"/>
              </w:rPr>
              <w:t>粗粒式沥青混凝土+4</w:t>
            </w:r>
            <w:r>
              <w:rPr>
                <w:rFonts w:ascii="宋体" w:hAnsi="宋体" w:eastAsia="宋体" w:cs="宋体"/>
                <w:position w:val="1"/>
                <w:sz w:val="20"/>
                <w:szCs w:val="20"/>
              </w:rPr>
              <w:t>cm</w:t>
            </w:r>
            <w:r>
              <w:rPr>
                <w:rFonts w:ascii="宋体" w:hAnsi="宋体" w:eastAsia="宋体" w:cs="宋体"/>
                <w:spacing w:val="-39"/>
                <w:position w:val="1"/>
                <w:sz w:val="20"/>
                <w:szCs w:val="20"/>
              </w:rPr>
              <w:t xml:space="preserve"> </w:t>
            </w:r>
            <w:r>
              <w:rPr>
                <w:rFonts w:ascii="宋体" w:hAnsi="宋体" w:eastAsia="宋体" w:cs="宋体"/>
                <w:position w:val="1"/>
                <w:sz w:val="20"/>
                <w:szCs w:val="20"/>
              </w:rPr>
              <w:t>SMA</w:t>
            </w:r>
            <w:r>
              <w:rPr>
                <w:rFonts w:ascii="宋体" w:hAnsi="宋体" w:eastAsia="宋体" w:cs="宋体"/>
                <w:spacing w:val="-36"/>
                <w:position w:val="1"/>
                <w:sz w:val="20"/>
                <w:szCs w:val="20"/>
              </w:rPr>
              <w:t xml:space="preserve"> </w:t>
            </w:r>
            <w:r>
              <w:rPr>
                <w:rFonts w:ascii="宋体" w:hAnsi="宋体" w:eastAsia="宋体" w:cs="宋体"/>
                <w:spacing w:val="17"/>
                <w:position w:val="1"/>
                <w:sz w:val="20"/>
                <w:szCs w:val="20"/>
              </w:rPr>
              <w:t>沥青混凝土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8" w:hRule="atLeast"/>
        </w:trPr>
        <w:tc>
          <w:tcPr>
            <w:tcW w:w="654" w:type="dxa"/>
            <w:vAlign w:val="top"/>
          </w:tcPr>
          <w:p>
            <w:pPr>
              <w:spacing w:before="277" w:line="301" w:lineRule="exact"/>
              <w:ind w:left="278"/>
              <w:rPr>
                <w:rFonts w:ascii="宋体" w:hAnsi="宋体" w:eastAsia="宋体" w:cs="宋体"/>
                <w:sz w:val="20"/>
                <w:szCs w:val="20"/>
              </w:rPr>
            </w:pPr>
            <w:r>
              <w:rPr>
                <w:rFonts w:ascii="宋体" w:hAnsi="宋体" w:eastAsia="宋体" w:cs="宋体"/>
                <w:position w:val="2"/>
                <w:sz w:val="20"/>
                <w:szCs w:val="20"/>
              </w:rPr>
              <w:t>2</w:t>
            </w:r>
          </w:p>
        </w:tc>
        <w:tc>
          <w:tcPr>
            <w:tcW w:w="4334" w:type="dxa"/>
            <w:gridSpan w:val="3"/>
            <w:vAlign w:val="top"/>
          </w:tcPr>
          <w:p>
            <w:pPr>
              <w:spacing w:before="282" w:line="219" w:lineRule="auto"/>
              <w:ind w:left="1854"/>
              <w:rPr>
                <w:rFonts w:ascii="宋体" w:hAnsi="宋体" w:eastAsia="宋体" w:cs="宋体"/>
                <w:sz w:val="20"/>
                <w:szCs w:val="20"/>
              </w:rPr>
            </w:pPr>
            <w:r>
              <w:rPr>
                <w:rFonts w:ascii="宋体" w:hAnsi="宋体" w:eastAsia="宋体" w:cs="宋体"/>
                <w:spacing w:val="7"/>
                <w:sz w:val="20"/>
                <w:szCs w:val="20"/>
              </w:rPr>
              <w:t>次干路</w:t>
            </w:r>
          </w:p>
        </w:tc>
        <w:tc>
          <w:tcPr>
            <w:tcW w:w="2246" w:type="dxa"/>
            <w:vAlign w:val="top"/>
          </w:tcPr>
          <w:p>
            <w:pPr>
              <w:spacing w:before="277" w:line="299" w:lineRule="exact"/>
              <w:ind w:left="760"/>
              <w:rPr>
                <w:rFonts w:ascii="宋体" w:hAnsi="宋体" w:eastAsia="宋体" w:cs="宋体"/>
                <w:sz w:val="20"/>
                <w:szCs w:val="20"/>
              </w:rPr>
            </w:pPr>
            <w:r>
              <w:rPr>
                <w:rFonts w:ascii="宋体" w:hAnsi="宋体" w:eastAsia="宋体" w:cs="宋体"/>
                <w:spacing w:val="4"/>
                <w:position w:val="2"/>
                <w:sz w:val="20"/>
                <w:szCs w:val="20"/>
              </w:rPr>
              <w:t>330-380</w:t>
            </w:r>
          </w:p>
        </w:tc>
        <w:tc>
          <w:tcPr>
            <w:tcW w:w="5742" w:type="dxa"/>
            <w:vAlign w:val="top"/>
          </w:tcPr>
          <w:p>
            <w:pPr>
              <w:spacing w:before="121" w:line="277" w:lineRule="exact"/>
              <w:ind w:left="111"/>
              <w:rPr>
                <w:rFonts w:ascii="宋体" w:hAnsi="宋体" w:eastAsia="宋体" w:cs="宋体"/>
                <w:sz w:val="20"/>
                <w:szCs w:val="20"/>
              </w:rPr>
            </w:pPr>
            <w:r>
              <w:rPr>
                <w:rFonts w:ascii="宋体" w:hAnsi="宋体" w:eastAsia="宋体" w:cs="宋体"/>
                <w:spacing w:val="9"/>
                <w:position w:val="1"/>
                <w:sz w:val="20"/>
                <w:szCs w:val="20"/>
              </w:rPr>
              <w:t>道路基层：2</w:t>
            </w:r>
            <w:r>
              <w:rPr>
                <w:rFonts w:ascii="宋体" w:hAnsi="宋体" w:eastAsia="宋体" w:cs="宋体"/>
                <w:spacing w:val="-35"/>
                <w:position w:val="1"/>
                <w:sz w:val="20"/>
                <w:szCs w:val="20"/>
              </w:rPr>
              <w:t xml:space="preserve"> </w:t>
            </w:r>
            <w:r>
              <w:rPr>
                <w:rFonts w:ascii="宋体" w:hAnsi="宋体" w:eastAsia="宋体" w:cs="宋体"/>
                <w:spacing w:val="9"/>
                <w:position w:val="1"/>
                <w:sz w:val="20"/>
                <w:szCs w:val="20"/>
              </w:rPr>
              <w:t>层</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12</w:t>
            </w:r>
            <w:r>
              <w:rPr>
                <w:rFonts w:ascii="宋体" w:hAnsi="宋体" w:eastAsia="宋体" w:cs="宋体"/>
                <w:position w:val="1"/>
                <w:sz w:val="20"/>
                <w:szCs w:val="20"/>
              </w:rPr>
              <w:t>cm</w:t>
            </w:r>
            <w:r>
              <w:rPr>
                <w:rFonts w:ascii="宋体" w:hAnsi="宋体" w:eastAsia="宋体" w:cs="宋体"/>
                <w:spacing w:val="-41"/>
                <w:position w:val="1"/>
                <w:sz w:val="20"/>
                <w:szCs w:val="20"/>
              </w:rPr>
              <w:t xml:space="preserve"> </w:t>
            </w:r>
            <w:r>
              <w:rPr>
                <w:rFonts w:ascii="宋体" w:hAnsi="宋体" w:eastAsia="宋体" w:cs="宋体"/>
                <w:spacing w:val="9"/>
                <w:position w:val="1"/>
                <w:sz w:val="20"/>
                <w:szCs w:val="20"/>
              </w:rPr>
              <w:t>石灰稳定土+2</w:t>
            </w:r>
            <w:r>
              <w:rPr>
                <w:rFonts w:ascii="宋体" w:hAnsi="宋体" w:eastAsia="宋体" w:cs="宋体"/>
                <w:spacing w:val="-44"/>
                <w:position w:val="1"/>
                <w:sz w:val="20"/>
                <w:szCs w:val="20"/>
              </w:rPr>
              <w:t xml:space="preserve"> </w:t>
            </w:r>
            <w:r>
              <w:rPr>
                <w:rFonts w:ascii="宋体" w:hAnsi="宋体" w:eastAsia="宋体" w:cs="宋体"/>
                <w:spacing w:val="9"/>
                <w:position w:val="1"/>
                <w:sz w:val="20"/>
                <w:szCs w:val="20"/>
              </w:rPr>
              <w:t>层</w:t>
            </w:r>
            <w:r>
              <w:rPr>
                <w:rFonts w:ascii="宋体" w:hAnsi="宋体" w:eastAsia="宋体" w:cs="宋体"/>
                <w:spacing w:val="-25"/>
                <w:position w:val="1"/>
                <w:sz w:val="20"/>
                <w:szCs w:val="20"/>
              </w:rPr>
              <w:t xml:space="preserve"> </w:t>
            </w:r>
            <w:r>
              <w:rPr>
                <w:rFonts w:ascii="宋体" w:hAnsi="宋体" w:eastAsia="宋体" w:cs="宋体"/>
                <w:spacing w:val="9"/>
                <w:position w:val="1"/>
                <w:sz w:val="20"/>
                <w:szCs w:val="20"/>
              </w:rPr>
              <w:t>18</w:t>
            </w:r>
            <w:r>
              <w:rPr>
                <w:rFonts w:ascii="宋体" w:hAnsi="宋体" w:eastAsia="宋体" w:cs="宋体"/>
                <w:position w:val="1"/>
                <w:sz w:val="20"/>
                <w:szCs w:val="20"/>
              </w:rPr>
              <w:t>cm</w:t>
            </w:r>
            <w:r>
              <w:rPr>
                <w:rFonts w:ascii="宋体" w:hAnsi="宋体" w:eastAsia="宋体" w:cs="宋体"/>
                <w:spacing w:val="-40"/>
                <w:position w:val="1"/>
                <w:sz w:val="20"/>
                <w:szCs w:val="20"/>
              </w:rPr>
              <w:t xml:space="preserve"> </w:t>
            </w:r>
            <w:r>
              <w:rPr>
                <w:rFonts w:ascii="宋体" w:hAnsi="宋体" w:eastAsia="宋体" w:cs="宋体"/>
                <w:spacing w:val="9"/>
                <w:position w:val="1"/>
                <w:sz w:val="20"/>
                <w:szCs w:val="20"/>
              </w:rPr>
              <w:t>水泥稳定碎石</w:t>
            </w:r>
          </w:p>
          <w:p>
            <w:pPr>
              <w:spacing w:before="34" w:line="277" w:lineRule="exact"/>
              <w:ind w:left="111"/>
              <w:rPr>
                <w:rFonts w:ascii="宋体" w:hAnsi="宋体" w:eastAsia="宋体" w:cs="宋体"/>
                <w:sz w:val="20"/>
                <w:szCs w:val="20"/>
              </w:rPr>
            </w:pPr>
            <w:r>
              <w:rPr>
                <w:rFonts w:ascii="宋体" w:hAnsi="宋体" w:eastAsia="宋体" w:cs="宋体"/>
                <w:spacing w:val="16"/>
                <w:position w:val="1"/>
                <w:sz w:val="20"/>
                <w:szCs w:val="20"/>
              </w:rPr>
              <w:t>道路面层：6</w:t>
            </w:r>
            <w:r>
              <w:rPr>
                <w:rFonts w:ascii="宋体" w:hAnsi="宋体" w:eastAsia="宋体" w:cs="宋体"/>
                <w:position w:val="1"/>
                <w:sz w:val="20"/>
                <w:szCs w:val="20"/>
              </w:rPr>
              <w:t>cm</w:t>
            </w:r>
            <w:r>
              <w:rPr>
                <w:rFonts w:ascii="宋体" w:hAnsi="宋体" w:eastAsia="宋体" w:cs="宋体"/>
                <w:spacing w:val="-14"/>
                <w:position w:val="1"/>
                <w:sz w:val="20"/>
                <w:szCs w:val="20"/>
              </w:rPr>
              <w:t xml:space="preserve"> </w:t>
            </w:r>
            <w:r>
              <w:rPr>
                <w:rFonts w:ascii="宋体" w:hAnsi="宋体" w:eastAsia="宋体" w:cs="宋体"/>
                <w:spacing w:val="16"/>
                <w:position w:val="1"/>
                <w:sz w:val="20"/>
                <w:szCs w:val="20"/>
              </w:rPr>
              <w:t>中粒式沥青混凝土+4</w:t>
            </w:r>
            <w:r>
              <w:rPr>
                <w:rFonts w:ascii="宋体" w:hAnsi="宋体" w:eastAsia="宋体" w:cs="宋体"/>
                <w:position w:val="1"/>
                <w:sz w:val="20"/>
                <w:szCs w:val="20"/>
              </w:rPr>
              <w:t>cm</w:t>
            </w:r>
            <w:r>
              <w:rPr>
                <w:rFonts w:ascii="宋体" w:hAnsi="宋体" w:eastAsia="宋体" w:cs="宋体"/>
                <w:spacing w:val="-39"/>
                <w:position w:val="1"/>
                <w:sz w:val="20"/>
                <w:szCs w:val="20"/>
              </w:rPr>
              <w:t xml:space="preserve"> </w:t>
            </w:r>
            <w:r>
              <w:rPr>
                <w:rFonts w:ascii="宋体" w:hAnsi="宋体" w:eastAsia="宋体" w:cs="宋体"/>
                <w:position w:val="1"/>
                <w:sz w:val="20"/>
                <w:szCs w:val="20"/>
              </w:rPr>
              <w:t>SMA</w:t>
            </w:r>
            <w:r>
              <w:rPr>
                <w:rFonts w:ascii="宋体" w:hAnsi="宋体" w:eastAsia="宋体" w:cs="宋体"/>
                <w:spacing w:val="-36"/>
                <w:position w:val="1"/>
                <w:sz w:val="20"/>
                <w:szCs w:val="20"/>
              </w:rPr>
              <w:t xml:space="preserve"> </w:t>
            </w:r>
            <w:r>
              <w:rPr>
                <w:rFonts w:ascii="宋体" w:hAnsi="宋体" w:eastAsia="宋体" w:cs="宋体"/>
                <w:spacing w:val="16"/>
                <w:position w:val="1"/>
                <w:sz w:val="20"/>
                <w:szCs w:val="20"/>
              </w:rPr>
              <w:t>沥青混凝土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8" w:hRule="atLeast"/>
        </w:trPr>
        <w:tc>
          <w:tcPr>
            <w:tcW w:w="654" w:type="dxa"/>
            <w:vAlign w:val="top"/>
          </w:tcPr>
          <w:p>
            <w:pPr>
              <w:spacing w:before="278" w:line="299" w:lineRule="exact"/>
              <w:ind w:left="281"/>
              <w:rPr>
                <w:rFonts w:ascii="宋体" w:hAnsi="宋体" w:eastAsia="宋体" w:cs="宋体"/>
                <w:sz w:val="20"/>
                <w:szCs w:val="20"/>
              </w:rPr>
            </w:pPr>
            <w:r>
              <w:rPr>
                <w:rFonts w:ascii="宋体" w:hAnsi="宋体" w:eastAsia="宋体" w:cs="宋体"/>
                <w:position w:val="2"/>
                <w:sz w:val="20"/>
                <w:szCs w:val="20"/>
              </w:rPr>
              <w:t>3</w:t>
            </w:r>
          </w:p>
        </w:tc>
        <w:tc>
          <w:tcPr>
            <w:tcW w:w="4334" w:type="dxa"/>
            <w:gridSpan w:val="3"/>
            <w:vAlign w:val="top"/>
          </w:tcPr>
          <w:p>
            <w:pPr>
              <w:spacing w:before="284" w:line="219" w:lineRule="auto"/>
              <w:ind w:left="1959"/>
              <w:rPr>
                <w:rFonts w:ascii="宋体" w:hAnsi="宋体" w:eastAsia="宋体" w:cs="宋体"/>
                <w:sz w:val="20"/>
                <w:szCs w:val="20"/>
              </w:rPr>
            </w:pPr>
            <w:r>
              <w:rPr>
                <w:rFonts w:ascii="宋体" w:hAnsi="宋体" w:eastAsia="宋体" w:cs="宋体"/>
                <w:spacing w:val="6"/>
                <w:sz w:val="20"/>
                <w:szCs w:val="20"/>
              </w:rPr>
              <w:t>支路</w:t>
            </w:r>
          </w:p>
        </w:tc>
        <w:tc>
          <w:tcPr>
            <w:tcW w:w="2246" w:type="dxa"/>
            <w:vAlign w:val="top"/>
          </w:tcPr>
          <w:p>
            <w:pPr>
              <w:spacing w:before="278" w:line="299" w:lineRule="exact"/>
              <w:ind w:left="757"/>
              <w:rPr>
                <w:rFonts w:ascii="宋体" w:hAnsi="宋体" w:eastAsia="宋体" w:cs="宋体"/>
                <w:sz w:val="20"/>
                <w:szCs w:val="20"/>
              </w:rPr>
            </w:pPr>
            <w:r>
              <w:rPr>
                <w:rFonts w:ascii="宋体" w:hAnsi="宋体" w:eastAsia="宋体" w:cs="宋体"/>
                <w:spacing w:val="4"/>
                <w:position w:val="2"/>
                <w:sz w:val="20"/>
                <w:szCs w:val="20"/>
              </w:rPr>
              <w:t>240-290</w:t>
            </w:r>
          </w:p>
        </w:tc>
        <w:tc>
          <w:tcPr>
            <w:tcW w:w="5742" w:type="dxa"/>
            <w:vAlign w:val="top"/>
          </w:tcPr>
          <w:p>
            <w:pPr>
              <w:spacing w:before="122" w:line="277" w:lineRule="exact"/>
              <w:ind w:left="111"/>
              <w:rPr>
                <w:rFonts w:ascii="宋体" w:hAnsi="宋体" w:eastAsia="宋体" w:cs="宋体"/>
                <w:sz w:val="20"/>
                <w:szCs w:val="20"/>
              </w:rPr>
            </w:pPr>
            <w:r>
              <w:rPr>
                <w:rFonts w:ascii="宋体" w:hAnsi="宋体" w:eastAsia="宋体" w:cs="宋体"/>
                <w:spacing w:val="10"/>
                <w:position w:val="1"/>
                <w:sz w:val="20"/>
                <w:szCs w:val="20"/>
              </w:rPr>
              <w:t>道路基层：2</w:t>
            </w:r>
            <w:r>
              <w:rPr>
                <w:rFonts w:ascii="宋体" w:hAnsi="宋体" w:eastAsia="宋体" w:cs="宋体"/>
                <w:spacing w:val="-27"/>
                <w:position w:val="1"/>
                <w:sz w:val="20"/>
                <w:szCs w:val="20"/>
              </w:rPr>
              <w:t xml:space="preserve"> </w:t>
            </w:r>
            <w:r>
              <w:rPr>
                <w:rFonts w:ascii="宋体" w:hAnsi="宋体" w:eastAsia="宋体" w:cs="宋体"/>
                <w:spacing w:val="10"/>
                <w:position w:val="1"/>
                <w:sz w:val="20"/>
                <w:szCs w:val="20"/>
              </w:rPr>
              <w:t>层</w:t>
            </w:r>
            <w:r>
              <w:rPr>
                <w:rFonts w:ascii="宋体" w:hAnsi="宋体" w:eastAsia="宋体" w:cs="宋体"/>
                <w:spacing w:val="-24"/>
                <w:position w:val="1"/>
                <w:sz w:val="20"/>
                <w:szCs w:val="20"/>
              </w:rPr>
              <w:t xml:space="preserve"> </w:t>
            </w:r>
            <w:r>
              <w:rPr>
                <w:rFonts w:ascii="宋体" w:hAnsi="宋体" w:eastAsia="宋体" w:cs="宋体"/>
                <w:spacing w:val="10"/>
                <w:position w:val="1"/>
                <w:sz w:val="20"/>
                <w:szCs w:val="20"/>
              </w:rPr>
              <w:t>12</w:t>
            </w:r>
            <w:r>
              <w:rPr>
                <w:rFonts w:ascii="宋体" w:hAnsi="宋体" w:eastAsia="宋体" w:cs="宋体"/>
                <w:position w:val="1"/>
                <w:sz w:val="20"/>
                <w:szCs w:val="20"/>
              </w:rPr>
              <w:t>cm</w:t>
            </w:r>
            <w:r>
              <w:rPr>
                <w:rFonts w:ascii="宋体" w:hAnsi="宋体" w:eastAsia="宋体" w:cs="宋体"/>
                <w:spacing w:val="-42"/>
                <w:position w:val="1"/>
                <w:sz w:val="20"/>
                <w:szCs w:val="20"/>
              </w:rPr>
              <w:t xml:space="preserve"> </w:t>
            </w:r>
            <w:r>
              <w:rPr>
                <w:rFonts w:ascii="宋体" w:hAnsi="宋体" w:eastAsia="宋体" w:cs="宋体"/>
                <w:spacing w:val="10"/>
                <w:position w:val="1"/>
                <w:sz w:val="20"/>
                <w:szCs w:val="20"/>
              </w:rPr>
              <w:t>石灰稳定土+16</w:t>
            </w:r>
            <w:r>
              <w:rPr>
                <w:rFonts w:ascii="宋体" w:hAnsi="宋体" w:eastAsia="宋体" w:cs="宋体"/>
                <w:position w:val="1"/>
                <w:sz w:val="20"/>
                <w:szCs w:val="20"/>
              </w:rPr>
              <w:t>cm</w:t>
            </w:r>
            <w:r>
              <w:rPr>
                <w:rFonts w:ascii="宋体" w:hAnsi="宋体" w:eastAsia="宋体" w:cs="宋体"/>
                <w:spacing w:val="-42"/>
                <w:position w:val="1"/>
                <w:sz w:val="20"/>
                <w:szCs w:val="20"/>
              </w:rPr>
              <w:t xml:space="preserve"> </w:t>
            </w:r>
            <w:r>
              <w:rPr>
                <w:rFonts w:ascii="宋体" w:hAnsi="宋体" w:eastAsia="宋体" w:cs="宋体"/>
                <w:spacing w:val="10"/>
                <w:position w:val="1"/>
                <w:sz w:val="20"/>
                <w:szCs w:val="20"/>
              </w:rPr>
              <w:t>水泥稳定碎石</w:t>
            </w:r>
          </w:p>
          <w:p>
            <w:pPr>
              <w:spacing w:before="34" w:line="277" w:lineRule="exact"/>
              <w:ind w:left="111"/>
              <w:rPr>
                <w:rFonts w:ascii="宋体" w:hAnsi="宋体" w:eastAsia="宋体" w:cs="宋体"/>
                <w:sz w:val="20"/>
                <w:szCs w:val="20"/>
              </w:rPr>
            </w:pPr>
            <w:r>
              <w:rPr>
                <w:rFonts w:ascii="宋体" w:hAnsi="宋体" w:eastAsia="宋体" w:cs="宋体"/>
                <w:spacing w:val="11"/>
                <w:position w:val="1"/>
                <w:sz w:val="20"/>
                <w:szCs w:val="20"/>
              </w:rPr>
              <w:t>道路面层：6</w:t>
            </w:r>
            <w:r>
              <w:rPr>
                <w:rFonts w:ascii="宋体" w:hAnsi="宋体" w:eastAsia="宋体" w:cs="宋体"/>
                <w:position w:val="1"/>
                <w:sz w:val="20"/>
                <w:szCs w:val="20"/>
              </w:rPr>
              <w:t>cm</w:t>
            </w:r>
            <w:r>
              <w:rPr>
                <w:rFonts w:ascii="宋体" w:hAnsi="宋体" w:eastAsia="宋体" w:cs="宋体"/>
                <w:spacing w:val="-14"/>
                <w:position w:val="1"/>
                <w:sz w:val="20"/>
                <w:szCs w:val="20"/>
              </w:rPr>
              <w:t xml:space="preserve"> </w:t>
            </w:r>
            <w:r>
              <w:rPr>
                <w:rFonts w:ascii="宋体" w:hAnsi="宋体" w:eastAsia="宋体" w:cs="宋体"/>
                <w:spacing w:val="11"/>
                <w:position w:val="1"/>
                <w:sz w:val="20"/>
                <w:szCs w:val="20"/>
              </w:rPr>
              <w:t>中粒式沥青混凝土+4</w:t>
            </w:r>
            <w:r>
              <w:rPr>
                <w:rFonts w:ascii="宋体" w:hAnsi="宋体" w:eastAsia="宋体" w:cs="宋体"/>
                <w:position w:val="1"/>
                <w:sz w:val="20"/>
                <w:szCs w:val="20"/>
              </w:rPr>
              <w:t>cm</w:t>
            </w:r>
            <w:r>
              <w:rPr>
                <w:rFonts w:ascii="宋体" w:hAnsi="宋体" w:eastAsia="宋体" w:cs="宋体"/>
                <w:spacing w:val="-33"/>
                <w:position w:val="1"/>
                <w:sz w:val="20"/>
                <w:szCs w:val="20"/>
              </w:rPr>
              <w:t xml:space="preserve"> </w:t>
            </w:r>
            <w:r>
              <w:rPr>
                <w:rFonts w:ascii="宋体" w:hAnsi="宋体" w:eastAsia="宋体" w:cs="宋体"/>
                <w:spacing w:val="11"/>
                <w:position w:val="1"/>
                <w:sz w:val="20"/>
                <w:szCs w:val="20"/>
              </w:rPr>
              <w:t>细粒式沥青混凝土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restart"/>
            <w:tcBorders>
              <w:bottom w:val="nil"/>
            </w:tcBorders>
            <w:vAlign w:val="top"/>
          </w:tcPr>
          <w:p>
            <w:pPr>
              <w:pStyle w:val="6"/>
              <w:spacing w:line="284" w:lineRule="auto"/>
            </w:pPr>
          </w:p>
          <w:p>
            <w:pPr>
              <w:pStyle w:val="6"/>
              <w:spacing w:line="284" w:lineRule="auto"/>
            </w:pPr>
          </w:p>
          <w:p>
            <w:pPr>
              <w:spacing w:before="65" w:line="301" w:lineRule="exact"/>
              <w:ind w:left="274"/>
              <w:rPr>
                <w:rFonts w:ascii="宋体" w:hAnsi="宋体" w:eastAsia="宋体" w:cs="宋体"/>
                <w:sz w:val="20"/>
                <w:szCs w:val="20"/>
              </w:rPr>
            </w:pPr>
            <w:r>
              <w:rPr>
                <w:rFonts w:ascii="宋体" w:hAnsi="宋体" w:eastAsia="宋体" w:cs="宋体"/>
                <w:spacing w:val="1"/>
                <w:position w:val="2"/>
                <w:sz w:val="20"/>
                <w:szCs w:val="20"/>
              </w:rPr>
              <w:t>4</w:t>
            </w:r>
          </w:p>
        </w:tc>
        <w:tc>
          <w:tcPr>
            <w:tcW w:w="1945" w:type="dxa"/>
            <w:vMerge w:val="restart"/>
            <w:tcBorders>
              <w:bottom w:val="nil"/>
            </w:tcBorders>
            <w:vAlign w:val="top"/>
          </w:tcPr>
          <w:p>
            <w:pPr>
              <w:pStyle w:val="6"/>
              <w:spacing w:line="286" w:lineRule="auto"/>
            </w:pPr>
          </w:p>
          <w:p>
            <w:pPr>
              <w:pStyle w:val="6"/>
              <w:spacing w:line="286" w:lineRule="auto"/>
            </w:pPr>
          </w:p>
          <w:p>
            <w:pPr>
              <w:spacing w:before="65" w:line="219" w:lineRule="auto"/>
              <w:ind w:left="656"/>
              <w:rPr>
                <w:rFonts w:ascii="宋体" w:hAnsi="宋体" w:eastAsia="宋体" w:cs="宋体"/>
                <w:sz w:val="20"/>
                <w:szCs w:val="20"/>
              </w:rPr>
            </w:pPr>
            <w:r>
              <w:rPr>
                <w:rFonts w:ascii="宋体" w:hAnsi="宋体" w:eastAsia="宋体" w:cs="宋体"/>
                <w:spacing w:val="8"/>
                <w:sz w:val="20"/>
                <w:szCs w:val="20"/>
              </w:rPr>
              <w:t>人行道</w:t>
            </w:r>
          </w:p>
        </w:tc>
        <w:tc>
          <w:tcPr>
            <w:tcW w:w="2389" w:type="dxa"/>
            <w:gridSpan w:val="2"/>
            <w:vAlign w:val="top"/>
          </w:tcPr>
          <w:p>
            <w:pPr>
              <w:spacing w:before="70" w:line="218" w:lineRule="auto"/>
              <w:ind w:left="778"/>
              <w:rPr>
                <w:rFonts w:ascii="宋体" w:hAnsi="宋体" w:eastAsia="宋体" w:cs="宋体"/>
                <w:sz w:val="20"/>
                <w:szCs w:val="20"/>
              </w:rPr>
            </w:pPr>
            <w:r>
              <w:rPr>
                <w:rFonts w:ascii="宋体" w:hAnsi="宋体" w:eastAsia="宋体" w:cs="宋体"/>
                <w:spacing w:val="7"/>
                <w:sz w:val="20"/>
                <w:szCs w:val="20"/>
              </w:rPr>
              <w:t>花岗岩板</w:t>
            </w:r>
          </w:p>
        </w:tc>
        <w:tc>
          <w:tcPr>
            <w:tcW w:w="2246" w:type="dxa"/>
            <w:vAlign w:val="top"/>
          </w:tcPr>
          <w:p>
            <w:pPr>
              <w:spacing w:before="65" w:line="299" w:lineRule="exact"/>
              <w:ind w:left="757"/>
              <w:rPr>
                <w:rFonts w:ascii="宋体" w:hAnsi="宋体" w:eastAsia="宋体" w:cs="宋体"/>
                <w:sz w:val="20"/>
                <w:szCs w:val="20"/>
              </w:rPr>
            </w:pPr>
            <w:r>
              <w:rPr>
                <w:rFonts w:ascii="宋体" w:hAnsi="宋体" w:eastAsia="宋体" w:cs="宋体"/>
                <w:spacing w:val="4"/>
                <w:position w:val="2"/>
                <w:sz w:val="20"/>
                <w:szCs w:val="20"/>
              </w:rPr>
              <w:t>270-370</w:t>
            </w:r>
          </w:p>
        </w:tc>
        <w:tc>
          <w:tcPr>
            <w:tcW w:w="5742" w:type="dxa"/>
            <w:vAlign w:val="top"/>
          </w:tcPr>
          <w:p>
            <w:pPr>
              <w:spacing w:before="70" w:line="219" w:lineRule="auto"/>
              <w:ind w:left="706"/>
              <w:rPr>
                <w:rFonts w:ascii="宋体" w:hAnsi="宋体" w:eastAsia="宋体" w:cs="宋体"/>
                <w:sz w:val="20"/>
                <w:szCs w:val="20"/>
              </w:rPr>
            </w:pPr>
            <w:r>
              <w:rPr>
                <w:rFonts w:ascii="宋体" w:hAnsi="宋体" w:eastAsia="宋体" w:cs="宋体"/>
                <w:spacing w:val="10"/>
                <w:sz w:val="20"/>
                <w:szCs w:val="20"/>
              </w:rPr>
              <w:t>石灰稳定土+混凝土垫层+砂浆结合层+花岗岩板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bottom w:val="nil"/>
            </w:tcBorders>
            <w:vAlign w:val="top"/>
          </w:tcPr>
          <w:p>
            <w:pPr>
              <w:pStyle w:val="6"/>
            </w:pPr>
          </w:p>
        </w:tc>
        <w:tc>
          <w:tcPr>
            <w:tcW w:w="1945" w:type="dxa"/>
            <w:vMerge w:val="continue"/>
            <w:tcBorders>
              <w:top w:val="nil"/>
              <w:bottom w:val="nil"/>
            </w:tcBorders>
            <w:vAlign w:val="top"/>
          </w:tcPr>
          <w:p>
            <w:pPr>
              <w:pStyle w:val="6"/>
            </w:pPr>
          </w:p>
        </w:tc>
        <w:tc>
          <w:tcPr>
            <w:tcW w:w="2389" w:type="dxa"/>
            <w:gridSpan w:val="2"/>
            <w:vAlign w:val="top"/>
          </w:tcPr>
          <w:p>
            <w:pPr>
              <w:spacing w:before="70" w:line="219" w:lineRule="auto"/>
              <w:ind w:left="881"/>
              <w:rPr>
                <w:rFonts w:ascii="宋体" w:hAnsi="宋体" w:eastAsia="宋体" w:cs="宋体"/>
                <w:sz w:val="20"/>
                <w:szCs w:val="20"/>
              </w:rPr>
            </w:pPr>
            <w:r>
              <w:rPr>
                <w:rFonts w:ascii="宋体" w:hAnsi="宋体" w:eastAsia="宋体" w:cs="宋体"/>
                <w:spacing w:val="8"/>
                <w:sz w:val="20"/>
                <w:szCs w:val="20"/>
              </w:rPr>
              <w:t>荷兰砖</w:t>
            </w:r>
          </w:p>
        </w:tc>
        <w:tc>
          <w:tcPr>
            <w:tcW w:w="2246" w:type="dxa"/>
            <w:vAlign w:val="top"/>
          </w:tcPr>
          <w:p>
            <w:pPr>
              <w:spacing w:before="65" w:line="299" w:lineRule="exact"/>
              <w:ind w:left="757"/>
              <w:rPr>
                <w:rFonts w:ascii="宋体" w:hAnsi="宋体" w:eastAsia="宋体" w:cs="宋体"/>
                <w:sz w:val="20"/>
                <w:szCs w:val="20"/>
              </w:rPr>
            </w:pPr>
            <w:r>
              <w:rPr>
                <w:rFonts w:ascii="宋体" w:hAnsi="宋体" w:eastAsia="宋体" w:cs="宋体"/>
                <w:spacing w:val="4"/>
                <w:position w:val="2"/>
                <w:sz w:val="20"/>
                <w:szCs w:val="20"/>
              </w:rPr>
              <w:t>200-260</w:t>
            </w:r>
          </w:p>
        </w:tc>
        <w:tc>
          <w:tcPr>
            <w:tcW w:w="5742" w:type="dxa"/>
            <w:vAlign w:val="top"/>
          </w:tcPr>
          <w:p>
            <w:pPr>
              <w:spacing w:before="70" w:line="220" w:lineRule="auto"/>
              <w:ind w:left="809"/>
              <w:rPr>
                <w:rFonts w:ascii="宋体" w:hAnsi="宋体" w:eastAsia="宋体" w:cs="宋体"/>
                <w:sz w:val="20"/>
                <w:szCs w:val="20"/>
              </w:rPr>
            </w:pPr>
            <w:r>
              <w:rPr>
                <w:rFonts w:ascii="宋体" w:hAnsi="宋体" w:eastAsia="宋体" w:cs="宋体"/>
                <w:spacing w:val="10"/>
                <w:sz w:val="20"/>
                <w:szCs w:val="20"/>
              </w:rPr>
              <w:t>石灰稳定土+混凝土垫层+砂浆结合层+荷兰砖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3" w:hRule="atLeast"/>
        </w:trPr>
        <w:tc>
          <w:tcPr>
            <w:tcW w:w="654" w:type="dxa"/>
            <w:vMerge w:val="continue"/>
            <w:tcBorders>
              <w:top w:val="nil"/>
              <w:bottom w:val="nil"/>
            </w:tcBorders>
            <w:vAlign w:val="top"/>
          </w:tcPr>
          <w:p>
            <w:pPr>
              <w:pStyle w:val="6"/>
            </w:pPr>
          </w:p>
        </w:tc>
        <w:tc>
          <w:tcPr>
            <w:tcW w:w="1945" w:type="dxa"/>
            <w:vMerge w:val="continue"/>
            <w:tcBorders>
              <w:top w:val="nil"/>
              <w:bottom w:val="nil"/>
            </w:tcBorders>
            <w:vAlign w:val="top"/>
          </w:tcPr>
          <w:p>
            <w:pPr>
              <w:pStyle w:val="6"/>
            </w:pPr>
          </w:p>
        </w:tc>
        <w:tc>
          <w:tcPr>
            <w:tcW w:w="867" w:type="dxa"/>
            <w:vMerge w:val="restart"/>
            <w:tcBorders>
              <w:bottom w:val="nil"/>
            </w:tcBorders>
            <w:vAlign w:val="top"/>
          </w:tcPr>
          <w:p>
            <w:pPr>
              <w:spacing w:before="260" w:line="219" w:lineRule="auto"/>
              <w:ind w:left="120"/>
              <w:rPr>
                <w:rFonts w:ascii="宋体" w:hAnsi="宋体" w:eastAsia="宋体" w:cs="宋体"/>
                <w:sz w:val="20"/>
                <w:szCs w:val="20"/>
              </w:rPr>
            </w:pPr>
            <w:r>
              <w:rPr>
                <w:rFonts w:ascii="宋体" w:hAnsi="宋体" w:eastAsia="宋体" w:cs="宋体"/>
                <w:spacing w:val="7"/>
                <w:sz w:val="20"/>
                <w:szCs w:val="20"/>
              </w:rPr>
              <w:t>透水砖</w:t>
            </w:r>
          </w:p>
        </w:tc>
        <w:tc>
          <w:tcPr>
            <w:tcW w:w="1522" w:type="dxa"/>
            <w:vAlign w:val="top"/>
          </w:tcPr>
          <w:p>
            <w:pPr>
              <w:spacing w:before="74" w:line="216" w:lineRule="auto"/>
              <w:ind w:left="551"/>
              <w:rPr>
                <w:rFonts w:ascii="宋体" w:hAnsi="宋体" w:eastAsia="宋体" w:cs="宋体"/>
                <w:sz w:val="20"/>
                <w:szCs w:val="20"/>
              </w:rPr>
            </w:pPr>
            <w:r>
              <w:rPr>
                <w:rFonts w:ascii="宋体" w:hAnsi="宋体" w:eastAsia="宋体" w:cs="宋体"/>
                <w:spacing w:val="7"/>
                <w:sz w:val="20"/>
                <w:szCs w:val="20"/>
              </w:rPr>
              <w:t>砂垫</w:t>
            </w:r>
          </w:p>
        </w:tc>
        <w:tc>
          <w:tcPr>
            <w:tcW w:w="2246" w:type="dxa"/>
            <w:vAlign w:val="top"/>
          </w:tcPr>
          <w:p>
            <w:pPr>
              <w:spacing w:before="65" w:line="297" w:lineRule="exact"/>
              <w:ind w:left="774"/>
              <w:rPr>
                <w:rFonts w:ascii="宋体" w:hAnsi="宋体" w:eastAsia="宋体" w:cs="宋体"/>
                <w:sz w:val="20"/>
                <w:szCs w:val="20"/>
              </w:rPr>
            </w:pPr>
            <w:r>
              <w:rPr>
                <w:rFonts w:ascii="宋体" w:hAnsi="宋体" w:eastAsia="宋体" w:cs="宋体"/>
                <w:spacing w:val="2"/>
                <w:position w:val="2"/>
                <w:sz w:val="20"/>
                <w:szCs w:val="20"/>
              </w:rPr>
              <w:t>170-220</w:t>
            </w:r>
          </w:p>
        </w:tc>
        <w:tc>
          <w:tcPr>
            <w:tcW w:w="5742" w:type="dxa"/>
            <w:vAlign w:val="top"/>
          </w:tcPr>
          <w:p>
            <w:pPr>
              <w:spacing w:before="70" w:line="219" w:lineRule="auto"/>
              <w:ind w:left="1708"/>
              <w:rPr>
                <w:rFonts w:ascii="宋体" w:hAnsi="宋体" w:eastAsia="宋体" w:cs="宋体"/>
                <w:sz w:val="20"/>
                <w:szCs w:val="20"/>
              </w:rPr>
            </w:pPr>
            <w:r>
              <w:rPr>
                <w:rFonts w:ascii="宋体" w:hAnsi="宋体" w:eastAsia="宋体" w:cs="宋体"/>
                <w:spacing w:val="10"/>
                <w:sz w:val="20"/>
                <w:szCs w:val="20"/>
              </w:rPr>
              <w:t>级配碎石+砂垫层+透水砖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tcBorders>
            <w:vAlign w:val="top"/>
          </w:tcPr>
          <w:p>
            <w:pPr>
              <w:pStyle w:val="6"/>
            </w:pPr>
          </w:p>
        </w:tc>
        <w:tc>
          <w:tcPr>
            <w:tcW w:w="1945" w:type="dxa"/>
            <w:vMerge w:val="continue"/>
            <w:tcBorders>
              <w:top w:val="nil"/>
            </w:tcBorders>
            <w:vAlign w:val="top"/>
          </w:tcPr>
          <w:p>
            <w:pPr>
              <w:pStyle w:val="6"/>
            </w:pPr>
          </w:p>
        </w:tc>
        <w:tc>
          <w:tcPr>
            <w:tcW w:w="867" w:type="dxa"/>
            <w:vMerge w:val="continue"/>
            <w:tcBorders>
              <w:top w:val="nil"/>
            </w:tcBorders>
            <w:vAlign w:val="top"/>
          </w:tcPr>
          <w:p>
            <w:pPr>
              <w:pStyle w:val="6"/>
            </w:pPr>
          </w:p>
        </w:tc>
        <w:tc>
          <w:tcPr>
            <w:tcW w:w="1522" w:type="dxa"/>
            <w:vAlign w:val="top"/>
          </w:tcPr>
          <w:p>
            <w:pPr>
              <w:spacing w:before="72" w:line="219" w:lineRule="auto"/>
              <w:ind w:left="552"/>
              <w:rPr>
                <w:rFonts w:ascii="宋体" w:hAnsi="宋体" w:eastAsia="宋体" w:cs="宋体"/>
                <w:sz w:val="20"/>
                <w:szCs w:val="20"/>
              </w:rPr>
            </w:pPr>
            <w:r>
              <w:rPr>
                <w:rFonts w:ascii="宋体" w:hAnsi="宋体" w:eastAsia="宋体" w:cs="宋体"/>
                <w:spacing w:val="6"/>
                <w:sz w:val="20"/>
                <w:szCs w:val="20"/>
              </w:rPr>
              <w:t>浆垫</w:t>
            </w:r>
          </w:p>
        </w:tc>
        <w:tc>
          <w:tcPr>
            <w:tcW w:w="2246" w:type="dxa"/>
            <w:vAlign w:val="top"/>
          </w:tcPr>
          <w:p>
            <w:pPr>
              <w:spacing w:before="67" w:line="296" w:lineRule="exact"/>
              <w:ind w:left="757"/>
              <w:rPr>
                <w:rFonts w:ascii="宋体" w:hAnsi="宋体" w:eastAsia="宋体" w:cs="宋体"/>
                <w:sz w:val="20"/>
                <w:szCs w:val="20"/>
              </w:rPr>
            </w:pPr>
            <w:r>
              <w:rPr>
                <w:rFonts w:ascii="宋体" w:hAnsi="宋体" w:eastAsia="宋体" w:cs="宋体"/>
                <w:spacing w:val="4"/>
                <w:position w:val="2"/>
                <w:sz w:val="20"/>
                <w:szCs w:val="20"/>
              </w:rPr>
              <w:t>210-260</w:t>
            </w:r>
          </w:p>
        </w:tc>
        <w:tc>
          <w:tcPr>
            <w:tcW w:w="5742" w:type="dxa"/>
            <w:vAlign w:val="top"/>
          </w:tcPr>
          <w:p>
            <w:pPr>
              <w:spacing w:before="71" w:line="220" w:lineRule="auto"/>
              <w:ind w:left="916"/>
              <w:rPr>
                <w:rFonts w:ascii="宋体" w:hAnsi="宋体" w:eastAsia="宋体" w:cs="宋体"/>
                <w:sz w:val="20"/>
                <w:szCs w:val="20"/>
              </w:rPr>
            </w:pPr>
            <w:r>
              <w:rPr>
                <w:rFonts w:ascii="宋体" w:hAnsi="宋体" w:eastAsia="宋体" w:cs="宋体"/>
                <w:spacing w:val="10"/>
                <w:sz w:val="20"/>
                <w:szCs w:val="20"/>
              </w:rPr>
              <w:t>级配碎石+透水混凝土+砂浆结合层+透水砖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restart"/>
            <w:tcBorders>
              <w:bottom w:val="nil"/>
            </w:tcBorders>
            <w:vAlign w:val="top"/>
          </w:tcPr>
          <w:p>
            <w:pPr>
              <w:spacing w:before="256" w:line="300" w:lineRule="exact"/>
              <w:ind w:left="278"/>
              <w:rPr>
                <w:rFonts w:ascii="宋体" w:hAnsi="宋体" w:eastAsia="宋体" w:cs="宋体"/>
                <w:sz w:val="20"/>
                <w:szCs w:val="20"/>
              </w:rPr>
            </w:pPr>
            <w:r>
              <w:rPr>
                <w:rFonts w:ascii="宋体" w:hAnsi="宋体" w:eastAsia="宋体" w:cs="宋体"/>
                <w:position w:val="2"/>
                <w:sz w:val="20"/>
                <w:szCs w:val="20"/>
              </w:rPr>
              <w:t>5</w:t>
            </w:r>
          </w:p>
        </w:tc>
        <w:tc>
          <w:tcPr>
            <w:tcW w:w="1945" w:type="dxa"/>
            <w:vMerge w:val="restart"/>
            <w:tcBorders>
              <w:bottom w:val="nil"/>
            </w:tcBorders>
            <w:vAlign w:val="top"/>
          </w:tcPr>
          <w:p>
            <w:pPr>
              <w:spacing w:before="262" w:line="219" w:lineRule="auto"/>
              <w:ind w:left="763"/>
              <w:rPr>
                <w:rFonts w:ascii="宋体" w:hAnsi="宋体" w:eastAsia="宋体" w:cs="宋体"/>
                <w:sz w:val="20"/>
                <w:szCs w:val="20"/>
              </w:rPr>
            </w:pPr>
            <w:r>
              <w:rPr>
                <w:rFonts w:ascii="宋体" w:hAnsi="宋体" w:eastAsia="宋体" w:cs="宋体"/>
                <w:spacing w:val="6"/>
                <w:sz w:val="20"/>
                <w:szCs w:val="20"/>
              </w:rPr>
              <w:t>路灯</w:t>
            </w:r>
          </w:p>
        </w:tc>
        <w:tc>
          <w:tcPr>
            <w:tcW w:w="2389" w:type="dxa"/>
            <w:gridSpan w:val="2"/>
            <w:vAlign w:val="top"/>
          </w:tcPr>
          <w:p>
            <w:pPr>
              <w:spacing w:before="72" w:line="219" w:lineRule="auto"/>
              <w:ind w:left="779"/>
              <w:rPr>
                <w:rFonts w:ascii="宋体" w:hAnsi="宋体" w:eastAsia="宋体" w:cs="宋体"/>
                <w:sz w:val="20"/>
                <w:szCs w:val="20"/>
              </w:rPr>
            </w:pPr>
            <w:r>
              <w:rPr>
                <w:rFonts w:ascii="宋体" w:hAnsi="宋体" w:eastAsia="宋体" w:cs="宋体"/>
                <w:spacing w:val="7"/>
                <w:sz w:val="20"/>
                <w:szCs w:val="20"/>
              </w:rPr>
              <w:t>高压钠灯</w:t>
            </w:r>
          </w:p>
        </w:tc>
        <w:tc>
          <w:tcPr>
            <w:tcW w:w="2246" w:type="dxa"/>
            <w:vAlign w:val="top"/>
          </w:tcPr>
          <w:p>
            <w:pPr>
              <w:spacing w:before="67" w:line="278" w:lineRule="exact"/>
              <w:ind w:left="333"/>
              <w:rPr>
                <w:rFonts w:ascii="宋体" w:hAnsi="宋体" w:eastAsia="宋体" w:cs="宋体"/>
                <w:sz w:val="20"/>
                <w:szCs w:val="20"/>
              </w:rPr>
            </w:pPr>
            <w:r>
              <w:rPr>
                <w:rFonts w:ascii="宋体" w:hAnsi="宋体" w:eastAsia="宋体" w:cs="宋体"/>
                <w:spacing w:val="1"/>
                <w:position w:val="1"/>
                <w:sz w:val="20"/>
                <w:szCs w:val="20"/>
              </w:rPr>
              <w:t>7000-11000</w:t>
            </w:r>
            <w:r>
              <w:rPr>
                <w:rFonts w:ascii="宋体" w:hAnsi="宋体" w:eastAsia="宋体" w:cs="宋体"/>
                <w:spacing w:val="-37"/>
                <w:position w:val="1"/>
                <w:sz w:val="20"/>
                <w:szCs w:val="20"/>
              </w:rPr>
              <w:t xml:space="preserve"> </w:t>
            </w:r>
            <w:r>
              <w:rPr>
                <w:rFonts w:ascii="宋体" w:hAnsi="宋体" w:eastAsia="宋体" w:cs="宋体"/>
                <w:spacing w:val="1"/>
                <w:position w:val="1"/>
                <w:sz w:val="20"/>
                <w:szCs w:val="20"/>
              </w:rPr>
              <w:t>元/套</w:t>
            </w:r>
          </w:p>
        </w:tc>
        <w:tc>
          <w:tcPr>
            <w:tcW w:w="5742" w:type="dxa"/>
            <w:vAlign w:val="top"/>
          </w:tcPr>
          <w:p>
            <w:pPr>
              <w:spacing w:before="67" w:line="277" w:lineRule="exact"/>
              <w:ind w:left="1300"/>
              <w:rPr>
                <w:rFonts w:ascii="宋体" w:hAnsi="宋体" w:eastAsia="宋体" w:cs="宋体"/>
                <w:sz w:val="20"/>
                <w:szCs w:val="20"/>
              </w:rPr>
            </w:pPr>
            <w:r>
              <w:rPr>
                <w:rFonts w:ascii="宋体" w:hAnsi="宋体" w:eastAsia="宋体" w:cs="宋体"/>
                <w:spacing w:val="9"/>
                <w:position w:val="1"/>
                <w:sz w:val="20"/>
                <w:szCs w:val="20"/>
              </w:rPr>
              <w:t>预埋管、电缆、路灯（不含箱变）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tcBorders>
            <w:vAlign w:val="top"/>
          </w:tcPr>
          <w:p>
            <w:pPr>
              <w:pStyle w:val="6"/>
            </w:pPr>
          </w:p>
        </w:tc>
        <w:tc>
          <w:tcPr>
            <w:tcW w:w="1945" w:type="dxa"/>
            <w:vMerge w:val="continue"/>
            <w:tcBorders>
              <w:top w:val="nil"/>
            </w:tcBorders>
            <w:vAlign w:val="top"/>
          </w:tcPr>
          <w:p>
            <w:pPr>
              <w:pStyle w:val="6"/>
            </w:pPr>
          </w:p>
        </w:tc>
        <w:tc>
          <w:tcPr>
            <w:tcW w:w="2389" w:type="dxa"/>
            <w:gridSpan w:val="2"/>
            <w:vAlign w:val="top"/>
          </w:tcPr>
          <w:p>
            <w:pPr>
              <w:spacing w:before="75" w:line="215" w:lineRule="auto"/>
              <w:ind w:left="875"/>
              <w:rPr>
                <w:rFonts w:ascii="宋体" w:hAnsi="宋体" w:eastAsia="宋体" w:cs="宋体"/>
                <w:sz w:val="20"/>
                <w:szCs w:val="20"/>
              </w:rPr>
            </w:pPr>
            <w:r>
              <w:rPr>
                <w:rFonts w:ascii="宋体" w:hAnsi="宋体" w:eastAsia="宋体" w:cs="宋体"/>
                <w:spacing w:val="19"/>
                <w:sz w:val="20"/>
                <w:szCs w:val="20"/>
              </w:rPr>
              <w:t>LED</w:t>
            </w:r>
            <w:r>
              <w:rPr>
                <w:rFonts w:ascii="宋体" w:hAnsi="宋体" w:eastAsia="宋体" w:cs="宋体"/>
                <w:spacing w:val="-39"/>
                <w:sz w:val="20"/>
                <w:szCs w:val="20"/>
              </w:rPr>
              <w:t xml:space="preserve"> </w:t>
            </w:r>
            <w:r>
              <w:rPr>
                <w:rFonts w:ascii="宋体" w:hAnsi="宋体" w:eastAsia="宋体" w:cs="宋体"/>
                <w:spacing w:val="19"/>
                <w:sz w:val="20"/>
                <w:szCs w:val="20"/>
              </w:rPr>
              <w:t>灯</w:t>
            </w:r>
          </w:p>
        </w:tc>
        <w:tc>
          <w:tcPr>
            <w:tcW w:w="2246" w:type="dxa"/>
            <w:vAlign w:val="top"/>
          </w:tcPr>
          <w:p>
            <w:pPr>
              <w:spacing w:before="67" w:line="278" w:lineRule="exact"/>
              <w:ind w:left="337"/>
              <w:rPr>
                <w:rFonts w:ascii="宋体" w:hAnsi="宋体" w:eastAsia="宋体" w:cs="宋体"/>
                <w:sz w:val="20"/>
                <w:szCs w:val="20"/>
              </w:rPr>
            </w:pPr>
            <w:r>
              <w:rPr>
                <w:rFonts w:ascii="宋体" w:hAnsi="宋体" w:eastAsia="宋体" w:cs="宋体"/>
                <w:spacing w:val="1"/>
                <w:position w:val="1"/>
                <w:sz w:val="20"/>
                <w:szCs w:val="20"/>
              </w:rPr>
              <w:t>8000-13000</w:t>
            </w:r>
            <w:r>
              <w:rPr>
                <w:rFonts w:ascii="宋体" w:hAnsi="宋体" w:eastAsia="宋体" w:cs="宋体"/>
                <w:spacing w:val="-41"/>
                <w:position w:val="1"/>
                <w:sz w:val="20"/>
                <w:szCs w:val="20"/>
              </w:rPr>
              <w:t xml:space="preserve"> </w:t>
            </w:r>
            <w:r>
              <w:rPr>
                <w:rFonts w:ascii="宋体" w:hAnsi="宋体" w:eastAsia="宋体" w:cs="宋体"/>
                <w:spacing w:val="1"/>
                <w:position w:val="1"/>
                <w:sz w:val="20"/>
                <w:szCs w:val="20"/>
              </w:rPr>
              <w:t>元/套</w:t>
            </w:r>
          </w:p>
        </w:tc>
        <w:tc>
          <w:tcPr>
            <w:tcW w:w="5742" w:type="dxa"/>
            <w:vAlign w:val="top"/>
          </w:tcPr>
          <w:p>
            <w:pPr>
              <w:spacing w:before="67" w:line="278" w:lineRule="exact"/>
              <w:ind w:left="1300"/>
              <w:rPr>
                <w:rFonts w:ascii="宋体" w:hAnsi="宋体" w:eastAsia="宋体" w:cs="宋体"/>
                <w:sz w:val="20"/>
                <w:szCs w:val="20"/>
              </w:rPr>
            </w:pPr>
            <w:r>
              <w:rPr>
                <w:rFonts w:ascii="宋体" w:hAnsi="宋体" w:eastAsia="宋体" w:cs="宋体"/>
                <w:spacing w:val="9"/>
                <w:position w:val="1"/>
                <w:sz w:val="20"/>
                <w:szCs w:val="20"/>
              </w:rPr>
              <w:t>预埋管、电缆、路灯（不含箱变）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restart"/>
            <w:tcBorders>
              <w:bottom w:val="nil"/>
            </w:tcBorders>
            <w:vAlign w:val="top"/>
          </w:tcPr>
          <w:p>
            <w:pPr>
              <w:pStyle w:val="6"/>
              <w:spacing w:line="283" w:lineRule="auto"/>
            </w:pPr>
          </w:p>
          <w:p>
            <w:pPr>
              <w:pStyle w:val="6"/>
              <w:spacing w:line="284" w:lineRule="auto"/>
            </w:pPr>
          </w:p>
          <w:p>
            <w:pPr>
              <w:spacing w:before="65" w:line="300" w:lineRule="exact"/>
              <w:ind w:left="278"/>
              <w:rPr>
                <w:rFonts w:ascii="宋体" w:hAnsi="宋体" w:eastAsia="宋体" w:cs="宋体"/>
                <w:sz w:val="20"/>
                <w:szCs w:val="20"/>
              </w:rPr>
            </w:pPr>
            <w:r>
              <w:rPr>
                <w:rFonts w:ascii="宋体" w:hAnsi="宋体" w:eastAsia="宋体" w:cs="宋体"/>
                <w:position w:val="2"/>
                <w:sz w:val="20"/>
                <w:szCs w:val="20"/>
              </w:rPr>
              <w:t>6</w:t>
            </w:r>
          </w:p>
        </w:tc>
        <w:tc>
          <w:tcPr>
            <w:tcW w:w="1945" w:type="dxa"/>
            <w:vMerge w:val="restart"/>
            <w:tcBorders>
              <w:bottom w:val="nil"/>
            </w:tcBorders>
            <w:vAlign w:val="top"/>
          </w:tcPr>
          <w:p>
            <w:pPr>
              <w:pStyle w:val="6"/>
              <w:spacing w:line="286" w:lineRule="auto"/>
            </w:pPr>
          </w:p>
          <w:p>
            <w:pPr>
              <w:pStyle w:val="6"/>
              <w:spacing w:line="286" w:lineRule="auto"/>
            </w:pPr>
          </w:p>
          <w:p>
            <w:pPr>
              <w:spacing w:before="65" w:line="220" w:lineRule="auto"/>
              <w:ind w:left="134"/>
              <w:rPr>
                <w:rFonts w:ascii="宋体" w:hAnsi="宋体" w:eastAsia="宋体" w:cs="宋体"/>
                <w:sz w:val="20"/>
                <w:szCs w:val="20"/>
              </w:rPr>
            </w:pPr>
            <w:r>
              <w:rPr>
                <w:rFonts w:ascii="宋体" w:hAnsi="宋体" w:eastAsia="宋体" w:cs="宋体"/>
                <w:spacing w:val="9"/>
                <w:sz w:val="20"/>
                <w:szCs w:val="20"/>
              </w:rPr>
              <w:t>道路交通安全设施</w:t>
            </w:r>
          </w:p>
        </w:tc>
        <w:tc>
          <w:tcPr>
            <w:tcW w:w="867" w:type="dxa"/>
            <w:vMerge w:val="restart"/>
            <w:tcBorders>
              <w:bottom w:val="nil"/>
            </w:tcBorders>
            <w:vAlign w:val="top"/>
          </w:tcPr>
          <w:p>
            <w:pPr>
              <w:spacing w:before="262" w:line="219" w:lineRule="auto"/>
              <w:ind w:left="223"/>
              <w:rPr>
                <w:rFonts w:ascii="宋体" w:hAnsi="宋体" w:eastAsia="宋体" w:cs="宋体"/>
                <w:sz w:val="20"/>
                <w:szCs w:val="20"/>
              </w:rPr>
            </w:pPr>
            <w:r>
              <w:rPr>
                <w:rFonts w:ascii="宋体" w:hAnsi="宋体" w:eastAsia="宋体" w:cs="宋体"/>
                <w:spacing w:val="7"/>
                <w:sz w:val="20"/>
                <w:szCs w:val="20"/>
              </w:rPr>
              <w:t>标线</w:t>
            </w:r>
          </w:p>
        </w:tc>
        <w:tc>
          <w:tcPr>
            <w:tcW w:w="1522" w:type="dxa"/>
            <w:vAlign w:val="top"/>
          </w:tcPr>
          <w:p>
            <w:pPr>
              <w:spacing w:before="74" w:line="218" w:lineRule="auto"/>
              <w:ind w:left="552"/>
              <w:rPr>
                <w:rFonts w:ascii="宋体" w:hAnsi="宋体" w:eastAsia="宋体" w:cs="宋体"/>
                <w:sz w:val="20"/>
                <w:szCs w:val="20"/>
              </w:rPr>
            </w:pPr>
            <w:r>
              <w:rPr>
                <w:rFonts w:ascii="宋体" w:hAnsi="宋体" w:eastAsia="宋体" w:cs="宋体"/>
                <w:spacing w:val="6"/>
                <w:sz w:val="20"/>
                <w:szCs w:val="20"/>
              </w:rPr>
              <w:t>冷漆</w:t>
            </w:r>
          </w:p>
        </w:tc>
        <w:tc>
          <w:tcPr>
            <w:tcW w:w="2246" w:type="dxa"/>
            <w:vAlign w:val="top"/>
          </w:tcPr>
          <w:p>
            <w:pPr>
              <w:spacing w:before="67" w:line="296" w:lineRule="exact"/>
              <w:ind w:left="877"/>
              <w:rPr>
                <w:rFonts w:ascii="宋体" w:hAnsi="宋体" w:eastAsia="宋体" w:cs="宋体"/>
                <w:sz w:val="20"/>
                <w:szCs w:val="20"/>
              </w:rPr>
            </w:pPr>
            <w:r>
              <w:rPr>
                <w:rFonts w:ascii="宋体" w:hAnsi="宋体" w:eastAsia="宋体" w:cs="宋体"/>
                <w:spacing w:val="1"/>
                <w:position w:val="2"/>
                <w:sz w:val="20"/>
                <w:szCs w:val="20"/>
              </w:rPr>
              <w:t>15-20</w:t>
            </w:r>
          </w:p>
        </w:tc>
        <w:tc>
          <w:tcPr>
            <w:tcW w:w="5742"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bottom w:val="nil"/>
            </w:tcBorders>
            <w:vAlign w:val="top"/>
          </w:tcPr>
          <w:p>
            <w:pPr>
              <w:pStyle w:val="6"/>
            </w:pPr>
          </w:p>
        </w:tc>
        <w:tc>
          <w:tcPr>
            <w:tcW w:w="1945" w:type="dxa"/>
            <w:vMerge w:val="continue"/>
            <w:tcBorders>
              <w:top w:val="nil"/>
              <w:bottom w:val="nil"/>
            </w:tcBorders>
            <w:vAlign w:val="top"/>
          </w:tcPr>
          <w:p>
            <w:pPr>
              <w:pStyle w:val="6"/>
            </w:pPr>
          </w:p>
        </w:tc>
        <w:tc>
          <w:tcPr>
            <w:tcW w:w="867" w:type="dxa"/>
            <w:vMerge w:val="continue"/>
            <w:tcBorders>
              <w:top w:val="nil"/>
            </w:tcBorders>
            <w:vAlign w:val="top"/>
          </w:tcPr>
          <w:p>
            <w:pPr>
              <w:pStyle w:val="6"/>
            </w:pPr>
          </w:p>
        </w:tc>
        <w:tc>
          <w:tcPr>
            <w:tcW w:w="1522" w:type="dxa"/>
            <w:vAlign w:val="top"/>
          </w:tcPr>
          <w:p>
            <w:pPr>
              <w:spacing w:before="67" w:line="279" w:lineRule="exact"/>
              <w:ind w:left="554"/>
              <w:rPr>
                <w:rFonts w:ascii="宋体" w:hAnsi="宋体" w:eastAsia="宋体" w:cs="宋体"/>
                <w:sz w:val="20"/>
                <w:szCs w:val="20"/>
              </w:rPr>
            </w:pPr>
            <w:r>
              <w:rPr>
                <w:rFonts w:ascii="宋体" w:hAnsi="宋体" w:eastAsia="宋体" w:cs="宋体"/>
                <w:spacing w:val="5"/>
                <w:position w:val="1"/>
                <w:sz w:val="20"/>
                <w:szCs w:val="20"/>
              </w:rPr>
              <w:t>热熔</w:t>
            </w:r>
          </w:p>
        </w:tc>
        <w:tc>
          <w:tcPr>
            <w:tcW w:w="2246" w:type="dxa"/>
            <w:vAlign w:val="top"/>
          </w:tcPr>
          <w:p>
            <w:pPr>
              <w:spacing w:before="67" w:line="296" w:lineRule="exact"/>
              <w:ind w:left="863"/>
              <w:rPr>
                <w:rFonts w:ascii="宋体" w:hAnsi="宋体" w:eastAsia="宋体" w:cs="宋体"/>
                <w:sz w:val="20"/>
                <w:szCs w:val="20"/>
              </w:rPr>
            </w:pPr>
            <w:r>
              <w:rPr>
                <w:rFonts w:ascii="宋体" w:hAnsi="宋体" w:eastAsia="宋体" w:cs="宋体"/>
                <w:spacing w:val="4"/>
                <w:position w:val="2"/>
                <w:sz w:val="20"/>
                <w:szCs w:val="20"/>
              </w:rPr>
              <w:t>38-48</w:t>
            </w:r>
          </w:p>
        </w:tc>
        <w:tc>
          <w:tcPr>
            <w:tcW w:w="5742"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bottom w:val="nil"/>
            </w:tcBorders>
            <w:vAlign w:val="top"/>
          </w:tcPr>
          <w:p>
            <w:pPr>
              <w:pStyle w:val="6"/>
            </w:pPr>
          </w:p>
        </w:tc>
        <w:tc>
          <w:tcPr>
            <w:tcW w:w="1945" w:type="dxa"/>
            <w:vMerge w:val="continue"/>
            <w:tcBorders>
              <w:top w:val="nil"/>
              <w:bottom w:val="nil"/>
            </w:tcBorders>
            <w:vAlign w:val="top"/>
          </w:tcPr>
          <w:p>
            <w:pPr>
              <w:pStyle w:val="6"/>
            </w:pPr>
          </w:p>
        </w:tc>
        <w:tc>
          <w:tcPr>
            <w:tcW w:w="867" w:type="dxa"/>
            <w:vMerge w:val="restart"/>
            <w:tcBorders>
              <w:bottom w:val="nil"/>
            </w:tcBorders>
            <w:vAlign w:val="top"/>
          </w:tcPr>
          <w:p>
            <w:pPr>
              <w:spacing w:before="263" w:line="218" w:lineRule="auto"/>
              <w:ind w:left="227"/>
              <w:rPr>
                <w:rFonts w:ascii="宋体" w:hAnsi="宋体" w:eastAsia="宋体" w:cs="宋体"/>
                <w:sz w:val="20"/>
                <w:szCs w:val="20"/>
              </w:rPr>
            </w:pPr>
            <w:r>
              <w:rPr>
                <w:rFonts w:ascii="宋体" w:hAnsi="宋体" w:eastAsia="宋体" w:cs="宋体"/>
                <w:spacing w:val="4"/>
                <w:sz w:val="20"/>
                <w:szCs w:val="20"/>
              </w:rPr>
              <w:t>护栏</w:t>
            </w:r>
          </w:p>
        </w:tc>
        <w:tc>
          <w:tcPr>
            <w:tcW w:w="1522" w:type="dxa"/>
            <w:vAlign w:val="top"/>
          </w:tcPr>
          <w:p>
            <w:pPr>
              <w:spacing w:before="74" w:line="219" w:lineRule="auto"/>
              <w:ind w:left="153"/>
              <w:rPr>
                <w:rFonts w:ascii="宋体" w:hAnsi="宋体" w:eastAsia="宋体" w:cs="宋体"/>
                <w:sz w:val="20"/>
                <w:szCs w:val="20"/>
              </w:rPr>
            </w:pPr>
            <w:r>
              <w:rPr>
                <w:rFonts w:ascii="宋体" w:hAnsi="宋体" w:eastAsia="宋体" w:cs="宋体"/>
                <w:spacing w:val="5"/>
                <w:sz w:val="20"/>
                <w:szCs w:val="20"/>
              </w:rPr>
              <w:t>中央分隔护栏</w:t>
            </w:r>
          </w:p>
        </w:tc>
        <w:tc>
          <w:tcPr>
            <w:tcW w:w="2246" w:type="dxa"/>
            <w:vAlign w:val="top"/>
          </w:tcPr>
          <w:p>
            <w:pPr>
              <w:spacing w:before="68" w:line="295" w:lineRule="exact"/>
              <w:ind w:left="760"/>
              <w:rPr>
                <w:rFonts w:ascii="宋体" w:hAnsi="宋体" w:eastAsia="宋体" w:cs="宋体"/>
                <w:sz w:val="20"/>
                <w:szCs w:val="20"/>
              </w:rPr>
            </w:pPr>
            <w:r>
              <w:rPr>
                <w:rFonts w:ascii="宋体" w:hAnsi="宋体" w:eastAsia="宋体" w:cs="宋体"/>
                <w:spacing w:val="4"/>
                <w:position w:val="2"/>
                <w:sz w:val="20"/>
                <w:szCs w:val="20"/>
              </w:rPr>
              <w:t>330-490</w:t>
            </w:r>
          </w:p>
        </w:tc>
        <w:tc>
          <w:tcPr>
            <w:tcW w:w="5742"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4" w:hRule="atLeast"/>
        </w:trPr>
        <w:tc>
          <w:tcPr>
            <w:tcW w:w="654" w:type="dxa"/>
            <w:vMerge w:val="continue"/>
            <w:tcBorders>
              <w:top w:val="nil"/>
            </w:tcBorders>
            <w:vAlign w:val="top"/>
          </w:tcPr>
          <w:p>
            <w:pPr>
              <w:pStyle w:val="6"/>
            </w:pPr>
          </w:p>
        </w:tc>
        <w:tc>
          <w:tcPr>
            <w:tcW w:w="1945" w:type="dxa"/>
            <w:vMerge w:val="continue"/>
            <w:tcBorders>
              <w:top w:val="nil"/>
            </w:tcBorders>
            <w:vAlign w:val="top"/>
          </w:tcPr>
          <w:p>
            <w:pPr>
              <w:pStyle w:val="6"/>
            </w:pPr>
          </w:p>
        </w:tc>
        <w:tc>
          <w:tcPr>
            <w:tcW w:w="867" w:type="dxa"/>
            <w:vMerge w:val="continue"/>
            <w:tcBorders>
              <w:top w:val="nil"/>
            </w:tcBorders>
            <w:vAlign w:val="top"/>
          </w:tcPr>
          <w:p>
            <w:pPr>
              <w:pStyle w:val="6"/>
            </w:pPr>
          </w:p>
        </w:tc>
        <w:tc>
          <w:tcPr>
            <w:tcW w:w="1522" w:type="dxa"/>
            <w:vAlign w:val="top"/>
          </w:tcPr>
          <w:p>
            <w:pPr>
              <w:spacing w:before="73" w:line="220" w:lineRule="auto"/>
              <w:ind w:left="341"/>
              <w:rPr>
                <w:rFonts w:ascii="宋体" w:hAnsi="宋体" w:eastAsia="宋体" w:cs="宋体"/>
                <w:sz w:val="20"/>
                <w:szCs w:val="20"/>
              </w:rPr>
            </w:pPr>
            <w:r>
              <w:rPr>
                <w:rFonts w:ascii="宋体" w:hAnsi="宋体" w:eastAsia="宋体" w:cs="宋体"/>
                <w:spacing w:val="8"/>
                <w:sz w:val="20"/>
                <w:szCs w:val="20"/>
              </w:rPr>
              <w:t>路侧护栏</w:t>
            </w:r>
          </w:p>
        </w:tc>
        <w:tc>
          <w:tcPr>
            <w:tcW w:w="2246" w:type="dxa"/>
            <w:vAlign w:val="top"/>
          </w:tcPr>
          <w:p>
            <w:pPr>
              <w:spacing w:before="68" w:line="295" w:lineRule="exact"/>
              <w:ind w:left="757"/>
              <w:rPr>
                <w:rFonts w:ascii="宋体" w:hAnsi="宋体" w:eastAsia="宋体" w:cs="宋体"/>
                <w:sz w:val="20"/>
                <w:szCs w:val="20"/>
              </w:rPr>
            </w:pPr>
            <w:r>
              <w:rPr>
                <w:rFonts w:ascii="宋体" w:hAnsi="宋体" w:eastAsia="宋体" w:cs="宋体"/>
                <w:spacing w:val="4"/>
                <w:position w:val="2"/>
                <w:sz w:val="20"/>
                <w:szCs w:val="20"/>
              </w:rPr>
              <w:t>230-350</w:t>
            </w:r>
          </w:p>
        </w:tc>
        <w:tc>
          <w:tcPr>
            <w:tcW w:w="5742"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8" w:hRule="atLeast"/>
        </w:trPr>
        <w:tc>
          <w:tcPr>
            <w:tcW w:w="12976" w:type="dxa"/>
            <w:gridSpan w:val="6"/>
            <w:vAlign w:val="top"/>
          </w:tcPr>
          <w:p>
            <w:pPr>
              <w:spacing w:before="60" w:line="284" w:lineRule="exact"/>
              <w:ind w:left="106"/>
              <w:rPr>
                <w:rFonts w:ascii="宋体" w:hAnsi="宋体" w:eastAsia="宋体" w:cs="宋体"/>
                <w:sz w:val="20"/>
                <w:szCs w:val="20"/>
              </w:rPr>
            </w:pPr>
            <w:r>
              <w:rPr>
                <w:rFonts w:ascii="宋体" w:hAnsi="宋体" w:eastAsia="宋体" w:cs="宋体"/>
                <w:spacing w:val="10"/>
                <w:position w:val="1"/>
                <w:sz w:val="20"/>
                <w:szCs w:val="20"/>
              </w:rPr>
              <w:t>说明：本造价指标是指建设项目费用中的建筑安装工程费，不包含土石方、</w:t>
            </w:r>
            <w:r>
              <w:rPr>
                <w:rFonts w:ascii="宋体" w:hAnsi="宋体" w:eastAsia="宋体" w:cs="宋体"/>
                <w:spacing w:val="9"/>
                <w:position w:val="1"/>
                <w:sz w:val="20"/>
                <w:szCs w:val="20"/>
              </w:rPr>
              <w:t>挡墙、给排水管线等其他工程。</w:t>
            </w:r>
          </w:p>
        </w:tc>
      </w:tr>
    </w:tbl>
    <w:p>
      <w:pPr>
        <w:spacing w:line="288" w:lineRule="auto"/>
        <w:rPr>
          <w:rFonts w:ascii="Arial"/>
          <w:sz w:val="21"/>
        </w:rPr>
      </w:pPr>
    </w:p>
    <w:p>
      <w:pPr>
        <w:spacing w:line="288" w:lineRule="auto"/>
        <w:rPr>
          <w:rFonts w:ascii="Arial"/>
          <w:sz w:val="21"/>
        </w:rPr>
      </w:pPr>
    </w:p>
    <w:p>
      <w:pPr>
        <w:spacing w:before="69" w:line="315" w:lineRule="exact"/>
        <w:ind w:left="11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318 —</w:t>
      </w:r>
    </w:p>
    <w:p>
      <w:pPr>
        <w:spacing w:line="315" w:lineRule="exact"/>
        <w:rPr>
          <w:rFonts w:ascii="Times New Roman" w:hAnsi="Times New Roman" w:eastAsia="Times New Roman" w:cs="Times New Roman"/>
          <w:sz w:val="24"/>
          <w:szCs w:val="24"/>
        </w:rPr>
        <w:sectPr>
          <w:footerReference r:id="rId332" w:type="default"/>
          <w:pgSz w:w="16839" w:h="11906"/>
          <w:pgMar w:top="400" w:right="1928" w:bottom="400" w:left="1928" w:header="0" w:footer="0" w:gutter="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5" w:line="233" w:lineRule="auto"/>
        <w:ind w:left="69"/>
        <w:rPr>
          <w:rFonts w:ascii="黑体" w:hAnsi="黑体" w:eastAsia="黑体" w:cs="黑体"/>
          <w:sz w:val="20"/>
          <w:szCs w:val="20"/>
        </w:rPr>
      </w:pPr>
      <w:r>
        <w:rPr>
          <w:rFonts w:ascii="黑体" w:hAnsi="黑体" w:eastAsia="黑体" w:cs="黑体"/>
          <w:spacing w:val="19"/>
          <w:sz w:val="20"/>
          <w:szCs w:val="20"/>
        </w:rPr>
        <w:t>附件3</w:t>
      </w:r>
    </w:p>
    <w:p>
      <w:pPr>
        <w:spacing w:before="143" w:line="205" w:lineRule="auto"/>
        <w:ind w:left="2967"/>
        <w:rPr>
          <w:rFonts w:ascii="方正小标宋简体" w:hAnsi="方正小标宋简体" w:eastAsia="方正小标宋简体" w:cs="方正小标宋简体"/>
          <w:sz w:val="30"/>
          <w:szCs w:val="30"/>
        </w:rPr>
      </w:pPr>
      <w:r>
        <w:rPr>
          <w:rFonts w:ascii="方正小标宋简体" w:hAnsi="方正小标宋简体" w:eastAsia="方正小标宋简体" w:cs="方正小标宋简体"/>
          <w:spacing w:val="-1"/>
          <w:sz w:val="30"/>
          <w:szCs w:val="30"/>
        </w:rPr>
        <w:t>信息采纳单位名单</w:t>
      </w:r>
    </w:p>
    <w:p>
      <w:pPr>
        <w:spacing w:line="249" w:lineRule="auto"/>
        <w:rPr>
          <w:rFonts w:ascii="Arial"/>
          <w:sz w:val="21"/>
        </w:rPr>
      </w:pPr>
    </w:p>
    <w:p>
      <w:pPr>
        <w:spacing w:line="250" w:lineRule="auto"/>
        <w:rPr>
          <w:rFonts w:ascii="Arial"/>
          <w:sz w:val="21"/>
        </w:rPr>
      </w:pPr>
    </w:p>
    <w:p>
      <w:pPr>
        <w:spacing w:before="65" w:line="278" w:lineRule="exact"/>
        <w:ind w:left="72"/>
        <w:rPr>
          <w:rFonts w:ascii="宋体" w:hAnsi="宋体" w:eastAsia="宋体" w:cs="宋体"/>
          <w:sz w:val="20"/>
          <w:szCs w:val="20"/>
        </w:rPr>
      </w:pPr>
      <w:r>
        <w:rPr>
          <w:rFonts w:ascii="宋体" w:hAnsi="宋体" w:eastAsia="宋体" w:cs="宋体"/>
          <w:spacing w:val="4"/>
          <w:position w:val="1"/>
          <w:sz w:val="20"/>
          <w:szCs w:val="20"/>
        </w:rPr>
        <w:t>1.山东齐鲁工程审计监理有限公司</w:t>
      </w:r>
    </w:p>
    <w:p>
      <w:pPr>
        <w:spacing w:before="123" w:line="277" w:lineRule="exact"/>
        <w:ind w:left="55"/>
        <w:rPr>
          <w:rFonts w:ascii="宋体" w:hAnsi="宋体" w:eastAsia="宋体" w:cs="宋体"/>
          <w:sz w:val="20"/>
          <w:szCs w:val="20"/>
        </w:rPr>
      </w:pPr>
      <w:r>
        <w:rPr>
          <w:rFonts w:ascii="宋体" w:hAnsi="宋体" w:eastAsia="宋体" w:cs="宋体"/>
          <w:spacing w:val="4"/>
          <w:position w:val="1"/>
          <w:sz w:val="20"/>
          <w:szCs w:val="20"/>
        </w:rPr>
        <w:t>2.山东鲁王建工有限责任公司</w:t>
      </w:r>
    </w:p>
    <w:p>
      <w:pPr>
        <w:spacing w:before="120" w:line="278" w:lineRule="exact"/>
        <w:ind w:left="59"/>
        <w:rPr>
          <w:rFonts w:ascii="宋体" w:hAnsi="宋体" w:eastAsia="宋体" w:cs="宋体"/>
          <w:sz w:val="20"/>
          <w:szCs w:val="20"/>
        </w:rPr>
      </w:pPr>
      <w:r>
        <w:rPr>
          <w:rFonts w:ascii="宋体" w:hAnsi="宋体" w:eastAsia="宋体" w:cs="宋体"/>
          <w:spacing w:val="4"/>
          <w:position w:val="1"/>
          <w:sz w:val="20"/>
          <w:szCs w:val="20"/>
        </w:rPr>
        <w:t>3.中杰齐晟项目管理有限公司</w:t>
      </w:r>
    </w:p>
    <w:p>
      <w:pPr>
        <w:spacing w:before="123" w:line="278" w:lineRule="exact"/>
        <w:ind w:left="52"/>
        <w:rPr>
          <w:rFonts w:ascii="宋体" w:hAnsi="宋体" w:eastAsia="宋体" w:cs="宋体"/>
          <w:sz w:val="20"/>
          <w:szCs w:val="20"/>
        </w:rPr>
      </w:pPr>
      <w:r>
        <w:rPr>
          <w:rFonts w:ascii="宋体" w:hAnsi="宋体" w:eastAsia="宋体" w:cs="宋体"/>
          <w:spacing w:val="6"/>
          <w:position w:val="1"/>
          <w:sz w:val="20"/>
          <w:szCs w:val="20"/>
        </w:rPr>
        <w:t>4.山东启新国润工程项目管理有限公司</w:t>
      </w:r>
    </w:p>
    <w:p>
      <w:pPr>
        <w:spacing w:before="123" w:line="278" w:lineRule="exact"/>
        <w:ind w:left="55"/>
        <w:rPr>
          <w:rFonts w:ascii="宋体" w:hAnsi="宋体" w:eastAsia="宋体" w:cs="宋体"/>
          <w:sz w:val="20"/>
          <w:szCs w:val="20"/>
        </w:rPr>
      </w:pPr>
      <w:r>
        <w:rPr>
          <w:rFonts w:ascii="宋体" w:hAnsi="宋体" w:eastAsia="宋体" w:cs="宋体"/>
          <w:spacing w:val="5"/>
          <w:position w:val="1"/>
          <w:sz w:val="20"/>
          <w:szCs w:val="20"/>
        </w:rPr>
        <w:t>5.山东瀚广建设项目管理有限公司</w:t>
      </w:r>
    </w:p>
    <w:p>
      <w:pPr>
        <w:spacing w:before="120" w:line="277" w:lineRule="exact"/>
        <w:ind w:left="56"/>
        <w:rPr>
          <w:rFonts w:ascii="宋体" w:hAnsi="宋体" w:eastAsia="宋体" w:cs="宋体"/>
          <w:sz w:val="20"/>
          <w:szCs w:val="20"/>
        </w:rPr>
      </w:pPr>
      <w:r>
        <w:rPr>
          <w:rFonts w:ascii="宋体" w:hAnsi="宋体" w:eastAsia="宋体" w:cs="宋体"/>
          <w:spacing w:val="3"/>
          <w:position w:val="1"/>
          <w:sz w:val="20"/>
          <w:szCs w:val="20"/>
        </w:rPr>
        <w:t>6.天勤工程咨询有限公司</w:t>
      </w:r>
    </w:p>
    <w:p>
      <w:pPr>
        <w:spacing w:before="124" w:line="279" w:lineRule="exact"/>
        <w:ind w:left="54"/>
        <w:rPr>
          <w:rFonts w:ascii="宋体" w:hAnsi="宋体" w:eastAsia="宋体" w:cs="宋体"/>
          <w:sz w:val="20"/>
          <w:szCs w:val="20"/>
        </w:rPr>
      </w:pPr>
      <w:r>
        <w:rPr>
          <w:rFonts w:ascii="宋体" w:hAnsi="宋体" w:eastAsia="宋体" w:cs="宋体"/>
          <w:spacing w:val="4"/>
          <w:position w:val="1"/>
          <w:sz w:val="20"/>
          <w:szCs w:val="20"/>
        </w:rPr>
        <w:t>7.沂源源泰置业有限公司</w:t>
      </w:r>
    </w:p>
    <w:p>
      <w:pPr>
        <w:spacing w:before="122" w:line="278" w:lineRule="exact"/>
        <w:ind w:left="58"/>
        <w:rPr>
          <w:rFonts w:ascii="宋体" w:hAnsi="宋体" w:eastAsia="宋体" w:cs="宋体"/>
          <w:sz w:val="20"/>
          <w:szCs w:val="20"/>
        </w:rPr>
      </w:pPr>
      <w:r>
        <w:rPr>
          <w:rFonts w:ascii="宋体" w:hAnsi="宋体" w:eastAsia="宋体" w:cs="宋体"/>
          <w:spacing w:val="4"/>
          <w:position w:val="1"/>
          <w:sz w:val="20"/>
          <w:szCs w:val="20"/>
        </w:rPr>
        <w:t>8.山东清河建工有限责任公司</w:t>
      </w:r>
    </w:p>
    <w:p>
      <w:pPr>
        <w:spacing w:before="120" w:line="278" w:lineRule="exact"/>
        <w:ind w:left="55"/>
        <w:rPr>
          <w:rFonts w:ascii="宋体" w:hAnsi="宋体" w:eastAsia="宋体" w:cs="宋体"/>
          <w:sz w:val="20"/>
          <w:szCs w:val="20"/>
        </w:rPr>
      </w:pPr>
      <w:r>
        <w:rPr>
          <w:rFonts w:ascii="宋体" w:hAnsi="宋体" w:eastAsia="宋体" w:cs="宋体"/>
          <w:spacing w:val="5"/>
          <w:position w:val="1"/>
          <w:sz w:val="20"/>
          <w:szCs w:val="20"/>
        </w:rPr>
        <w:t>9.山东梅隆工程项目管理有限公司</w:t>
      </w:r>
    </w:p>
    <w:p>
      <w:pPr>
        <w:spacing w:before="123" w:line="278" w:lineRule="exact"/>
        <w:ind w:left="72"/>
        <w:rPr>
          <w:rFonts w:ascii="宋体" w:hAnsi="宋体" w:eastAsia="宋体" w:cs="宋体"/>
          <w:sz w:val="20"/>
          <w:szCs w:val="20"/>
        </w:rPr>
      </w:pPr>
      <w:r>
        <w:rPr>
          <w:rFonts w:ascii="宋体" w:hAnsi="宋体" w:eastAsia="宋体" w:cs="宋体"/>
          <w:spacing w:val="4"/>
          <w:position w:val="1"/>
          <w:sz w:val="20"/>
          <w:szCs w:val="20"/>
        </w:rPr>
        <w:t>10.山东同力建设项目管理有限公司</w:t>
      </w:r>
    </w:p>
    <w:p>
      <w:pPr>
        <w:spacing w:before="123" w:line="278" w:lineRule="exact"/>
        <w:ind w:left="72"/>
        <w:rPr>
          <w:rFonts w:ascii="宋体" w:hAnsi="宋体" w:eastAsia="宋体" w:cs="宋体"/>
          <w:sz w:val="20"/>
          <w:szCs w:val="20"/>
        </w:rPr>
      </w:pPr>
      <w:r>
        <w:rPr>
          <w:rFonts w:ascii="宋体" w:hAnsi="宋体" w:eastAsia="宋体" w:cs="宋体"/>
          <w:spacing w:val="4"/>
          <w:position w:val="1"/>
          <w:sz w:val="20"/>
          <w:szCs w:val="20"/>
        </w:rPr>
        <w:t>11.山东仲泰建设项目管理有限公司</w:t>
      </w:r>
    </w:p>
    <w:p>
      <w:pPr>
        <w:spacing w:before="120" w:line="276" w:lineRule="exact"/>
        <w:ind w:left="72"/>
        <w:rPr>
          <w:rFonts w:ascii="宋体" w:hAnsi="宋体" w:eastAsia="宋体" w:cs="宋体"/>
          <w:sz w:val="20"/>
          <w:szCs w:val="20"/>
        </w:rPr>
      </w:pPr>
      <w:r>
        <w:rPr>
          <w:rFonts w:ascii="宋体" w:hAnsi="宋体" w:eastAsia="宋体" w:cs="宋体"/>
          <w:spacing w:val="4"/>
          <w:position w:val="1"/>
          <w:sz w:val="20"/>
          <w:szCs w:val="20"/>
        </w:rPr>
        <w:t>12.山东博会工程造价咨询有限公司</w:t>
      </w:r>
    </w:p>
    <w:p>
      <w:pPr>
        <w:spacing w:before="125" w:line="276" w:lineRule="exact"/>
        <w:ind w:left="72"/>
        <w:rPr>
          <w:rFonts w:ascii="宋体" w:hAnsi="宋体" w:eastAsia="宋体" w:cs="宋体"/>
          <w:sz w:val="20"/>
          <w:szCs w:val="20"/>
        </w:rPr>
      </w:pPr>
      <w:r>
        <w:rPr>
          <w:rFonts w:ascii="宋体" w:hAnsi="宋体" w:eastAsia="宋体" w:cs="宋体"/>
          <w:spacing w:val="4"/>
          <w:position w:val="1"/>
          <w:sz w:val="20"/>
          <w:szCs w:val="20"/>
        </w:rPr>
        <w:t>13.山东正德鸿运工程造价有限公司</w:t>
      </w:r>
    </w:p>
    <w:p>
      <w:pPr>
        <w:spacing w:before="125" w:line="276" w:lineRule="exact"/>
        <w:ind w:left="72"/>
        <w:rPr>
          <w:rFonts w:ascii="宋体" w:hAnsi="宋体" w:eastAsia="宋体" w:cs="宋体"/>
          <w:sz w:val="20"/>
          <w:szCs w:val="20"/>
        </w:rPr>
      </w:pPr>
      <w:r>
        <w:rPr>
          <w:rFonts w:ascii="宋体" w:hAnsi="宋体" w:eastAsia="宋体" w:cs="宋体"/>
          <w:spacing w:val="4"/>
          <w:position w:val="1"/>
          <w:sz w:val="20"/>
          <w:szCs w:val="20"/>
        </w:rPr>
        <w:t>14.山东健正德工程造价咨询有限公司</w:t>
      </w:r>
    </w:p>
    <w:p>
      <w:pPr>
        <w:spacing w:before="122" w:line="278" w:lineRule="exact"/>
        <w:ind w:left="72"/>
        <w:rPr>
          <w:rFonts w:ascii="宋体" w:hAnsi="宋体" w:eastAsia="宋体" w:cs="宋体"/>
          <w:sz w:val="20"/>
          <w:szCs w:val="20"/>
        </w:rPr>
      </w:pPr>
      <w:r>
        <w:rPr>
          <w:rFonts w:ascii="宋体" w:hAnsi="宋体" w:eastAsia="宋体" w:cs="宋体"/>
          <w:spacing w:val="3"/>
          <w:position w:val="1"/>
          <w:sz w:val="20"/>
          <w:szCs w:val="20"/>
        </w:rPr>
        <w:t>15.山东欣欣园置业有限公司</w:t>
      </w:r>
    </w:p>
    <w:p>
      <w:pPr>
        <w:spacing w:before="123" w:line="278" w:lineRule="exact"/>
        <w:ind w:left="72"/>
        <w:rPr>
          <w:rFonts w:ascii="宋体" w:hAnsi="宋体" w:eastAsia="宋体" w:cs="宋体"/>
          <w:sz w:val="20"/>
          <w:szCs w:val="20"/>
        </w:rPr>
      </w:pPr>
      <w:r>
        <w:rPr>
          <w:rFonts w:ascii="宋体" w:hAnsi="宋体" w:eastAsia="宋体" w:cs="宋体"/>
          <w:spacing w:val="3"/>
          <w:position w:val="1"/>
          <w:sz w:val="20"/>
          <w:szCs w:val="20"/>
        </w:rPr>
        <w:t>16.山东舜航建设工程有限公司</w:t>
      </w:r>
    </w:p>
    <w:p>
      <w:pPr>
        <w:spacing w:before="123" w:line="278" w:lineRule="exact"/>
        <w:ind w:left="72"/>
        <w:rPr>
          <w:rFonts w:ascii="宋体" w:hAnsi="宋体" w:eastAsia="宋体" w:cs="宋体"/>
          <w:sz w:val="20"/>
          <w:szCs w:val="20"/>
        </w:rPr>
      </w:pPr>
      <w:r>
        <w:rPr>
          <w:rFonts w:ascii="宋体" w:hAnsi="宋体" w:eastAsia="宋体" w:cs="宋体"/>
          <w:spacing w:val="3"/>
          <w:position w:val="1"/>
          <w:sz w:val="20"/>
          <w:szCs w:val="20"/>
        </w:rPr>
        <w:t>17.山东盛世建工有限责任公司</w:t>
      </w:r>
    </w:p>
    <w:p>
      <w:pPr>
        <w:spacing w:before="120" w:line="279" w:lineRule="exact"/>
        <w:ind w:left="72"/>
        <w:rPr>
          <w:rFonts w:ascii="宋体" w:hAnsi="宋体" w:eastAsia="宋体" w:cs="宋体"/>
          <w:sz w:val="20"/>
          <w:szCs w:val="20"/>
        </w:rPr>
      </w:pPr>
      <w:r>
        <w:rPr>
          <w:rFonts w:ascii="宋体" w:hAnsi="宋体" w:eastAsia="宋体" w:cs="宋体"/>
          <w:spacing w:val="3"/>
          <w:position w:val="1"/>
          <w:sz w:val="20"/>
          <w:szCs w:val="20"/>
        </w:rPr>
        <w:t>18.淄博和达建筑工程有限公司</w:t>
      </w:r>
    </w:p>
    <w:p>
      <w:pPr>
        <w:spacing w:before="122" w:line="278" w:lineRule="exact"/>
        <w:ind w:left="72"/>
        <w:rPr>
          <w:rFonts w:ascii="宋体" w:hAnsi="宋体" w:eastAsia="宋体" w:cs="宋体"/>
          <w:sz w:val="20"/>
          <w:szCs w:val="20"/>
        </w:rPr>
      </w:pPr>
      <w:r>
        <w:rPr>
          <w:rFonts w:ascii="宋体" w:hAnsi="宋体" w:eastAsia="宋体" w:cs="宋体"/>
          <w:spacing w:val="3"/>
          <w:position w:val="1"/>
          <w:sz w:val="20"/>
          <w:szCs w:val="20"/>
        </w:rPr>
        <w:t>19.沂源县市政工程有限公司</w:t>
      </w:r>
    </w:p>
    <w:p>
      <w:pPr>
        <w:spacing w:before="123" w:line="278" w:lineRule="exact"/>
        <w:ind w:left="55"/>
        <w:rPr>
          <w:rFonts w:ascii="宋体" w:hAnsi="宋体" w:eastAsia="宋体" w:cs="宋体"/>
          <w:sz w:val="20"/>
          <w:szCs w:val="20"/>
        </w:rPr>
      </w:pPr>
      <w:r>
        <w:rPr>
          <w:rFonts w:ascii="宋体" w:hAnsi="宋体" w:eastAsia="宋体" w:cs="宋体"/>
          <w:spacing w:val="4"/>
          <w:position w:val="1"/>
          <w:sz w:val="20"/>
          <w:szCs w:val="20"/>
        </w:rPr>
        <w:t>20.瑞阳制药股份有限公司</w:t>
      </w:r>
    </w:p>
    <w:p>
      <w:pPr>
        <w:spacing w:before="120" w:line="278" w:lineRule="exact"/>
        <w:ind w:left="55"/>
        <w:rPr>
          <w:rFonts w:ascii="宋体" w:hAnsi="宋体" w:eastAsia="宋体" w:cs="宋体"/>
          <w:sz w:val="20"/>
          <w:szCs w:val="20"/>
        </w:rPr>
      </w:pPr>
      <w:r>
        <w:rPr>
          <w:rFonts w:ascii="宋体" w:hAnsi="宋体" w:eastAsia="宋体" w:cs="宋体"/>
          <w:spacing w:val="5"/>
          <w:position w:val="1"/>
          <w:sz w:val="20"/>
          <w:szCs w:val="20"/>
        </w:rPr>
        <w:t>21.山东策建工程建设项目管理有限公司</w:t>
      </w:r>
    </w:p>
    <w:sectPr>
      <w:footerReference r:id="rId333" w:type="default"/>
      <w:pgSz w:w="11906" w:h="16839"/>
      <w:pgMar w:top="400" w:right="1420" w:bottom="1212" w:left="1785" w:header="0" w:footer="89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aiTi_GB2312">
    <w:altName w:val="楷体"/>
    <w:panose1 w:val="02010609030101010101"/>
    <w:charset w:val="86"/>
    <w:family w:val="auto"/>
    <w:pitch w:val="default"/>
    <w:sig w:usb0="00000000" w:usb1="00000000" w:usb2="00000000" w:usb3="00000000" w:csb0="00040000" w:csb1="00000000"/>
  </w:font>
  <w:font w:name="MS PGothic">
    <w:altName w:val="宋体"/>
    <w:panose1 w:val="020B0600070205080204"/>
    <w:charset w:val="86"/>
    <w:family w:val="auto"/>
    <w:pitch w:val="default"/>
    <w:sig w:usb0="00000000" w:usb1="00000000" w:usb2="00000012" w:usb3="00000000" w:csb0="4002009F" w:csb1="DFD70000"/>
  </w:font>
  <w:font w:name="MS UI Gothic">
    <w:altName w:val="宋体"/>
    <w:panose1 w:val="020B0600070205080204"/>
    <w:charset w:val="86"/>
    <w:family w:val="auto"/>
    <w:pitch w:val="default"/>
    <w:sig w:usb0="00000000" w:usb1="00000000" w:usb2="00000012" w:usb3="00000000" w:csb0="4002009F" w:csb1="DFD70000"/>
  </w:font>
  <w:font w:name="Gulim">
    <w:altName w:val="宋体"/>
    <w:panose1 w:val="020B0600000101010101"/>
    <w:charset w:val="86"/>
    <w:family w:val="auto"/>
    <w:pitch w:val="default"/>
    <w:sig w:usb0="00000000" w:usb1="00000000" w:usb2="00000030" w:usb3="00000000" w:csb0="4008009F" w:csb1="DFD70000"/>
  </w:font>
  <w:font w:name="Meiryo">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7"/>
      </w:tabs>
      <w:spacing w:before="139" w:line="205" w:lineRule="auto"/>
      <w:ind w:left="14"/>
      <w:rPr>
        <w:rFonts w:ascii="Arial" w:hAnsi="Arial" w:eastAsia="Arial" w:cs="Arial"/>
        <w:sz w:val="18"/>
        <w:szCs w:val="18"/>
      </w:rPr>
    </w:pPr>
    <w:r>
      <w:pict>
        <v:shape id="_x0000_s2049" o:spid="_x0000_s2049" style="position:absolute;left:0pt;margin-left:79.2pt;margin-top:733.65pt;height:1pt;width:440.9pt;mso-position-horizontal-relative:page;mso-position-vertical-relative:page;z-index:251658240;mso-width-relative:page;mso-height-relative:page;" filled="f" stroked="t" coordsize="8817,20" o:allowincell="f" path="m0,9l8817,9e">
          <v:fill on="f" focussize="0,0"/>
          <v:stroke weight="0.96pt" color="#000000" miterlimit="4" joinstyle="miter"/>
          <v:imagedata o:title=""/>
          <o:lock v:ext="edit"/>
        </v:shape>
      </w:pict>
    </w:r>
    <w:r>
      <w:rPr>
        <w:rFonts w:ascii="Arial" w:hAnsi="Arial" w:eastAsia="Arial" w:cs="Arial"/>
        <w:strike/>
        <w:sz w:val="18"/>
        <w:szCs w:val="18"/>
      </w:rPr>
      <w:tab/>
    </w:r>
    <w:r>
      <w:rPr>
        <w:rFonts w:ascii="Arial" w:hAnsi="Arial" w:eastAsia="Arial" w:cs="Arial"/>
        <w:spacing w:val="2"/>
        <w:sz w:val="18"/>
        <w:szCs w:val="18"/>
      </w:rPr>
      <w:t xml:space="preserve">   </w:t>
    </w:r>
    <w:r>
      <w:rPr>
        <w:rFonts w:ascii="Arial" w:hAnsi="Arial" w:eastAsia="Arial" w:cs="Arial"/>
        <w:spacing w:val="5"/>
        <w:sz w:val="18"/>
        <w:szCs w:val="18"/>
      </w:rPr>
      <w:t>2</w:t>
    </w:r>
    <w:r>
      <w:rPr>
        <w:rFonts w:ascii="Arial" w:hAnsi="Arial" w:eastAsia="Arial" w:cs="Arial"/>
        <w:spacing w:val="8"/>
        <w:sz w:val="18"/>
        <w:szCs w:val="18"/>
      </w:rPr>
      <w:t xml:space="preserve">   </w:t>
    </w:r>
    <w:r>
      <w:rPr>
        <w:rFonts w:ascii="Arial" w:hAnsi="Arial" w:eastAsia="Arial" w:cs="Arial"/>
        <w:strike/>
        <w:sz w:val="18"/>
        <w:szCs w:val="1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83"/>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w:t>
    </w:r>
    <w:r>
      <w:rPr>
        <w:rFonts w:ascii="Times New Roman" w:hAnsi="Times New Roman" w:eastAsia="Times New Roman" w:cs="Times New Roman"/>
        <w:spacing w:val="15"/>
        <w:position w:val="1"/>
        <w:sz w:val="24"/>
        <w:szCs w:val="24"/>
      </w:rPr>
      <w:t xml:space="preserve"> </w:t>
    </w:r>
    <w:r>
      <w:rPr>
        <w:rFonts w:ascii="Times New Roman" w:hAnsi="Times New Roman" w:eastAsia="Times New Roman" w:cs="Times New Roman"/>
        <w:spacing w:val="-3"/>
        <w:position w:val="1"/>
        <w:sz w:val="24"/>
        <w:szCs w:val="24"/>
      </w:rPr>
      <w:t>8 —</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98 —</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4"/>
      <w:jc w:val="righ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99 —</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5"/>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100 —</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10</w:t>
    </w:r>
    <w:r>
      <w:rPr>
        <w:rFonts w:ascii="Times New Roman" w:hAnsi="Times New Roman" w:eastAsia="Times New Roman" w:cs="Times New Roman"/>
        <w:spacing w:val="-4"/>
        <w:position w:val="1"/>
        <w:sz w:val="24"/>
        <w:szCs w:val="24"/>
      </w:rPr>
      <w:t xml:space="preserve">1 </w:t>
    </w:r>
    <w:r>
      <w:rPr>
        <w:rFonts w:ascii="Times New Roman" w:hAnsi="Times New Roman" w:eastAsia="Times New Roman" w:cs="Times New Roman"/>
        <w:spacing w:val="-1"/>
        <w:position w:val="1"/>
        <w:sz w:val="24"/>
        <w:szCs w:val="24"/>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102 —</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103 —</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104 —</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105 —</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106 —</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17"/>
      <w:jc w:val="righ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107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47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7"/>
        <w:position w:val="1"/>
        <w:sz w:val="24"/>
        <w:szCs w:val="24"/>
      </w:rPr>
      <w:t xml:space="preserve"> </w:t>
    </w:r>
    <w:r>
      <w:rPr>
        <w:rFonts w:ascii="Times New Roman" w:hAnsi="Times New Roman" w:eastAsia="Times New Roman" w:cs="Times New Roman"/>
        <w:spacing w:val="-1"/>
        <w:position w:val="1"/>
        <w:sz w:val="24"/>
        <w:szCs w:val="24"/>
      </w:rPr>
      <w:t>9 —</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108 —</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83"/>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109 —</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601"/>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5"/>
        <w:position w:val="1"/>
        <w:sz w:val="24"/>
        <w:szCs w:val="24"/>
      </w:rPr>
      <w:t>110 —</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21"/>
      <w:rPr>
        <w:rFonts w:ascii="Times New Roman" w:hAnsi="Times New Roman" w:eastAsia="Times New Roman" w:cs="Times New Roman"/>
        <w:sz w:val="24"/>
        <w:szCs w:val="24"/>
      </w:rPr>
    </w:pPr>
    <w:r>
      <w:rPr>
        <w:rFonts w:ascii="Times New Roman" w:hAnsi="Times New Roman" w:eastAsia="Times New Roman" w:cs="Times New Roman"/>
        <w:spacing w:val="-7"/>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7"/>
        <w:position w:val="1"/>
        <w:sz w:val="24"/>
        <w:szCs w:val="24"/>
      </w:rPr>
      <w:t>111 —</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5"/>
        <w:position w:val="1"/>
        <w:sz w:val="24"/>
        <w:szCs w:val="24"/>
      </w:rPr>
      <w:t>112 —</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68"/>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w:t>
    </w:r>
    <w:r>
      <w:rPr>
        <w:rFonts w:ascii="Times New Roman" w:hAnsi="Times New Roman" w:eastAsia="Times New Roman" w:cs="Times New Roman"/>
        <w:spacing w:val="29"/>
        <w:position w:val="1"/>
        <w:sz w:val="24"/>
        <w:szCs w:val="24"/>
      </w:rPr>
      <w:t xml:space="preserve"> </w:t>
    </w:r>
    <w:r>
      <w:rPr>
        <w:rFonts w:ascii="Times New Roman" w:hAnsi="Times New Roman" w:eastAsia="Times New Roman" w:cs="Times New Roman"/>
        <w:spacing w:val="-6"/>
        <w:position w:val="1"/>
        <w:sz w:val="24"/>
        <w:szCs w:val="24"/>
      </w:rPr>
      <w:t>113 —</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91"/>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5"/>
        <w:position w:val="1"/>
        <w:sz w:val="24"/>
        <w:szCs w:val="24"/>
      </w:rPr>
      <w:t>114 —</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8"/>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w:t>
    </w:r>
    <w:r>
      <w:rPr>
        <w:rFonts w:ascii="Times New Roman" w:hAnsi="Times New Roman" w:eastAsia="Times New Roman" w:cs="Times New Roman"/>
        <w:spacing w:val="29"/>
        <w:position w:val="1"/>
        <w:sz w:val="24"/>
        <w:szCs w:val="24"/>
      </w:rPr>
      <w:t xml:space="preserve"> </w:t>
    </w:r>
    <w:r>
      <w:rPr>
        <w:rFonts w:ascii="Times New Roman" w:hAnsi="Times New Roman" w:eastAsia="Times New Roman" w:cs="Times New Roman"/>
        <w:spacing w:val="-6"/>
        <w:position w:val="1"/>
        <w:sz w:val="24"/>
        <w:szCs w:val="24"/>
      </w:rPr>
      <w:t>115 —</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6"/>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5"/>
        <w:position w:val="1"/>
        <w:sz w:val="24"/>
        <w:szCs w:val="24"/>
      </w:rPr>
      <w:t>116 —</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384"/>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w:t>
    </w:r>
    <w:r>
      <w:rPr>
        <w:rFonts w:ascii="Times New Roman" w:hAnsi="Times New Roman" w:eastAsia="Times New Roman" w:cs="Times New Roman"/>
        <w:spacing w:val="29"/>
        <w:position w:val="1"/>
        <w:sz w:val="24"/>
        <w:szCs w:val="24"/>
      </w:rPr>
      <w:t xml:space="preserve"> </w:t>
    </w:r>
    <w:r>
      <w:rPr>
        <w:rFonts w:ascii="Times New Roman" w:hAnsi="Times New Roman" w:eastAsia="Times New Roman" w:cs="Times New Roman"/>
        <w:spacing w:val="-6"/>
        <w:position w:val="1"/>
        <w:sz w:val="24"/>
        <w:szCs w:val="24"/>
      </w:rPr>
      <w:t>117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10 —</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7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5"/>
        <w:w w:val="101"/>
        <w:position w:val="1"/>
        <w:sz w:val="24"/>
        <w:szCs w:val="24"/>
      </w:rPr>
      <w:t xml:space="preserve"> </w:t>
    </w:r>
    <w:r>
      <w:rPr>
        <w:rFonts w:ascii="Times New Roman" w:hAnsi="Times New Roman" w:eastAsia="Times New Roman" w:cs="Times New Roman"/>
        <w:spacing w:val="-5"/>
        <w:position w:val="1"/>
        <w:sz w:val="24"/>
        <w:szCs w:val="24"/>
      </w:rPr>
      <w:t>118 —</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383"/>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w:t>
    </w:r>
    <w:r>
      <w:rPr>
        <w:rFonts w:ascii="Times New Roman" w:hAnsi="Times New Roman" w:eastAsia="Times New Roman" w:cs="Times New Roman"/>
        <w:spacing w:val="29"/>
        <w:position w:val="1"/>
        <w:sz w:val="24"/>
        <w:szCs w:val="24"/>
      </w:rPr>
      <w:t xml:space="preserve"> </w:t>
    </w:r>
    <w:r>
      <w:rPr>
        <w:rFonts w:ascii="Times New Roman" w:hAnsi="Times New Roman" w:eastAsia="Times New Roman" w:cs="Times New Roman"/>
        <w:spacing w:val="-6"/>
        <w:position w:val="1"/>
        <w:sz w:val="24"/>
        <w:szCs w:val="24"/>
      </w:rPr>
      <w:t>119 —</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80"/>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120 —</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121 —</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122 —</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123 —</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124 —</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125 —</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126 —</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127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9"/>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9"/>
        <w:position w:val="1"/>
        <w:sz w:val="24"/>
        <w:szCs w:val="24"/>
      </w:rPr>
      <w:t xml:space="preserve">11 </w:t>
    </w:r>
    <w:r>
      <w:rPr>
        <w:rFonts w:ascii="Times New Roman" w:hAnsi="Times New Roman" w:eastAsia="Times New Roman" w:cs="Times New Roman"/>
        <w:spacing w:val="1"/>
        <w:position w:val="1"/>
        <w:sz w:val="24"/>
        <w:szCs w:val="24"/>
      </w:rPr>
      <w:t>—</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128 —</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129 —</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130 —</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131 —</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132 —</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 xml:space="preserve">133 </w:t>
    </w:r>
    <w:r>
      <w:rPr>
        <w:rFonts w:ascii="Times New Roman" w:hAnsi="Times New Roman" w:eastAsia="Times New Roman" w:cs="Times New Roman"/>
        <w:spacing w:val="1"/>
        <w:position w:val="1"/>
        <w:sz w:val="24"/>
        <w:szCs w:val="24"/>
      </w:rPr>
      <w:t>—</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134 —</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135 —</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136 —</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20"/>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137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12 —</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138 —</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139 —</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140 —</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14</w:t>
    </w:r>
    <w:r>
      <w:rPr>
        <w:rFonts w:ascii="Times New Roman" w:hAnsi="Times New Roman" w:eastAsia="Times New Roman" w:cs="Times New Roman"/>
        <w:spacing w:val="-4"/>
        <w:position w:val="1"/>
        <w:sz w:val="24"/>
        <w:szCs w:val="24"/>
      </w:rPr>
      <w:t xml:space="preserve">1 </w:t>
    </w:r>
    <w:r>
      <w:rPr>
        <w:rFonts w:ascii="Times New Roman" w:hAnsi="Times New Roman" w:eastAsia="Times New Roman" w:cs="Times New Roman"/>
        <w:spacing w:val="-1"/>
        <w:position w:val="1"/>
        <w:sz w:val="24"/>
        <w:szCs w:val="24"/>
      </w:rPr>
      <w:t>—</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142 —</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143 —</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144 —</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14</w:t>
    </w:r>
    <w:r>
      <w:rPr>
        <w:rFonts w:ascii="Times New Roman" w:hAnsi="Times New Roman" w:eastAsia="Times New Roman" w:cs="Times New Roman"/>
        <w:spacing w:val="-4"/>
        <w:position w:val="1"/>
        <w:sz w:val="24"/>
        <w:szCs w:val="24"/>
      </w:rPr>
      <w:t xml:space="preserve">5 </w:t>
    </w:r>
    <w:r>
      <w:rPr>
        <w:rFonts w:ascii="Times New Roman" w:hAnsi="Times New Roman" w:eastAsia="Times New Roman" w:cs="Times New Roman"/>
        <w:spacing w:val="-1"/>
        <w:position w:val="1"/>
        <w:sz w:val="24"/>
        <w:szCs w:val="24"/>
      </w:rPr>
      <w:t>—</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146 —</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1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147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13 —</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148 —</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149 —</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150 —</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151 —</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4"/>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152 —</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153 —</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154 —</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155 —</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156 —</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15</w:t>
    </w:r>
    <w:r>
      <w:rPr>
        <w:rFonts w:ascii="Times New Roman" w:hAnsi="Times New Roman" w:eastAsia="Times New Roman" w:cs="Times New Roman"/>
        <w:spacing w:val="-4"/>
        <w:position w:val="1"/>
        <w:sz w:val="24"/>
        <w:szCs w:val="24"/>
      </w:rPr>
      <w:t xml:space="preserve">7 </w:t>
    </w:r>
    <w:r>
      <w:rPr>
        <w:rFonts w:ascii="Times New Roman" w:hAnsi="Times New Roman" w:eastAsia="Times New Roman" w:cs="Times New Roman"/>
        <w:spacing w:val="-1"/>
        <w:position w:val="1"/>
        <w:sz w:val="24"/>
        <w:szCs w:val="24"/>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14 —</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158 —</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159 —</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160 —</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16</w:t>
    </w:r>
    <w:r>
      <w:rPr>
        <w:rFonts w:ascii="Times New Roman" w:hAnsi="Times New Roman" w:eastAsia="Times New Roman" w:cs="Times New Roman"/>
        <w:spacing w:val="-4"/>
        <w:position w:val="1"/>
        <w:sz w:val="24"/>
        <w:szCs w:val="24"/>
      </w:rPr>
      <w:t xml:space="preserve">1 </w:t>
    </w:r>
    <w:r>
      <w:rPr>
        <w:rFonts w:ascii="Times New Roman" w:hAnsi="Times New Roman" w:eastAsia="Times New Roman" w:cs="Times New Roman"/>
        <w:spacing w:val="-1"/>
        <w:position w:val="1"/>
        <w:sz w:val="24"/>
        <w:szCs w:val="24"/>
      </w:rPr>
      <w:t>—</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162 —</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163 —</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164 —</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165 —</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166 —</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9"/>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167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15 —</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168 —</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169 —</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170 —</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36"/>
      <w:jc w:val="righ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171 —</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172 —</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173 —</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174 —</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175 —</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176 —</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177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16 —</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178 —</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179 —</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180 —</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18</w:t>
    </w:r>
    <w:r>
      <w:rPr>
        <w:rFonts w:ascii="Times New Roman" w:hAnsi="Times New Roman" w:eastAsia="Times New Roman" w:cs="Times New Roman"/>
        <w:spacing w:val="-4"/>
        <w:position w:val="1"/>
        <w:sz w:val="24"/>
        <w:szCs w:val="24"/>
      </w:rPr>
      <w:t xml:space="preserve">1 </w:t>
    </w:r>
    <w:r>
      <w:rPr>
        <w:rFonts w:ascii="Times New Roman" w:hAnsi="Times New Roman" w:eastAsia="Times New Roman" w:cs="Times New Roman"/>
        <w:spacing w:val="-1"/>
        <w:position w:val="1"/>
        <w:sz w:val="24"/>
        <w:szCs w:val="24"/>
      </w:rPr>
      <w:t>—</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182 —</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183 —</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184 —</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18</w:t>
    </w:r>
    <w:r>
      <w:rPr>
        <w:rFonts w:ascii="Times New Roman" w:hAnsi="Times New Roman" w:eastAsia="Times New Roman" w:cs="Times New Roman"/>
        <w:spacing w:val="-4"/>
        <w:position w:val="1"/>
        <w:sz w:val="24"/>
        <w:szCs w:val="24"/>
      </w:rPr>
      <w:t xml:space="preserve">5 </w:t>
    </w:r>
    <w:r>
      <w:rPr>
        <w:rFonts w:ascii="Times New Roman" w:hAnsi="Times New Roman" w:eastAsia="Times New Roman" w:cs="Times New Roman"/>
        <w:spacing w:val="-1"/>
        <w:position w:val="1"/>
        <w:sz w:val="24"/>
        <w:szCs w:val="24"/>
      </w:rPr>
      <w:t>—</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186 —</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187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17 —</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188 —</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189 —</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190 —</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191 —</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192 —</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3"/>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w:t>
    </w:r>
    <w:r>
      <w:rPr>
        <w:rFonts w:ascii="Times New Roman" w:hAnsi="Times New Roman" w:eastAsia="Times New Roman" w:cs="Times New Roman"/>
        <w:spacing w:val="-4"/>
        <w:position w:val="1"/>
        <w:sz w:val="24"/>
        <w:szCs w:val="24"/>
      </w:rPr>
      <w:t xml:space="preserve">93 </w:t>
    </w:r>
    <w:r>
      <w:rPr>
        <w:rFonts w:ascii="Times New Roman" w:hAnsi="Times New Roman" w:eastAsia="Times New Roman" w:cs="Times New Roman"/>
        <w:spacing w:val="-2"/>
        <w:position w:val="1"/>
        <w:sz w:val="24"/>
        <w:szCs w:val="24"/>
      </w:rPr>
      <w:t>—</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194 —</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5"/>
        <w:position w:val="1"/>
        <w:sz w:val="24"/>
        <w:szCs w:val="24"/>
      </w:rPr>
      <w:t>19</w:t>
    </w:r>
    <w:r>
      <w:rPr>
        <w:rFonts w:ascii="Times New Roman" w:hAnsi="Times New Roman" w:eastAsia="Times New Roman" w:cs="Times New Roman"/>
        <w:spacing w:val="-4"/>
        <w:position w:val="1"/>
        <w:sz w:val="24"/>
        <w:szCs w:val="24"/>
      </w:rPr>
      <w:t xml:space="preserve">5 </w:t>
    </w:r>
    <w:r>
      <w:rPr>
        <w:rFonts w:ascii="Times New Roman" w:hAnsi="Times New Roman" w:eastAsia="Times New Roman" w:cs="Times New Roman"/>
        <w:spacing w:val="-1"/>
        <w:position w:val="1"/>
        <w:sz w:val="24"/>
        <w:szCs w:val="24"/>
      </w:rPr>
      <w:t>—</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196 —</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197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18 —</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198 —</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4"/>
        <w:position w:val="1"/>
        <w:sz w:val="24"/>
        <w:szCs w:val="24"/>
      </w:rPr>
      <w:t>199 —</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200 —</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201 —</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202 —</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203 —</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204 —</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205 —</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206 —</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207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5"/>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w:t>
    </w:r>
    <w:r>
      <w:rPr>
        <w:rFonts w:ascii="Times New Roman" w:hAnsi="Times New Roman" w:eastAsia="Times New Roman" w:cs="Times New Roman"/>
        <w:spacing w:val="28"/>
        <w:position w:val="1"/>
        <w:sz w:val="24"/>
        <w:szCs w:val="24"/>
      </w:rPr>
      <w:t xml:space="preserve"> </w:t>
    </w:r>
    <w:r>
      <w:rPr>
        <w:rFonts w:ascii="Times New Roman" w:hAnsi="Times New Roman" w:eastAsia="Times New Roman" w:cs="Times New Roman"/>
        <w:spacing w:val="-5"/>
        <w:position w:val="1"/>
        <w:sz w:val="24"/>
        <w:szCs w:val="24"/>
      </w:rPr>
      <w:t>19 —</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208 —</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209 —</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210 —</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14"/>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 211 —</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212 —</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213 —</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214 —</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215 —</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216 —</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217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20 —</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218 —</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8"/>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219 —</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220 —</w: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221 —</w: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222 —</w: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223 —</w: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224 —</w: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225 —</w: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226 —</w: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227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21 —</w: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228 —</w: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229 —</w: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230 —</w: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3"/>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231 —</w: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232 —</w: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233 —</w: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234 —</w: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235 —</w: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236 —</w: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237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22 —</w: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238 —</w: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239 —</w: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240 —</w: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1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241 —</w: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242 —</w: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243 —</w: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244 —</w: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3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245 —</w: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246 —</w:t>
    </w: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247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3"/>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23 —</w: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248 —</w:t>
    </w:r>
  </w:p>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249 —</w:t>
    </w: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250 —</w: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251 —</w: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252 —</w: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253 —</w:t>
    </w:r>
  </w:p>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254 —</w: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255 —</w:t>
    </w: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256 —</w: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257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24 —</w: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258 —</w: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259 —</w:t>
    </w:r>
  </w:p>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260 —</w: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261 —</w:t>
    </w: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262 —</w:t>
    </w:r>
  </w:p>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263 —</w: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264 —</w: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265 —</w: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266 —</w: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267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25 —</w: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268 —</w: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269 —</w:t>
    </w:r>
  </w:p>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270 —</w:t>
    </w:r>
  </w:p>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271 —</w:t>
    </w: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272 —</w: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273 —</w:t>
    </w:r>
  </w:p>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274 —</w:t>
    </w:r>
  </w:p>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09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275 —</w: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276 —</w:t>
    </w:r>
  </w:p>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099"/>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277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26 —</w: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278 —</w: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279 —</w: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280 —</w: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10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281 —</w: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282 —</w:t>
    </w:r>
  </w:p>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1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283 —</w: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284 —</w:t>
    </w:r>
  </w:p>
</w:ftr>
</file>

<file path=word/footer2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285 —</w:t>
    </w:r>
  </w:p>
</w:ftr>
</file>

<file path=word/footer2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286 —</w:t>
    </w:r>
  </w:p>
</w:ftr>
</file>

<file path=word/footer2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287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27 —</w:t>
    </w:r>
  </w:p>
</w:ftr>
</file>

<file path=word/footer2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288 —</w:t>
    </w:r>
  </w:p>
</w:ftr>
</file>

<file path=word/footer2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289 —</w:t>
    </w:r>
  </w:p>
</w:ftr>
</file>

<file path=word/footer2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290 —</w:t>
    </w:r>
  </w:p>
</w:ftr>
</file>

<file path=word/footer2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291 —</w:t>
    </w:r>
  </w:p>
</w:ftr>
</file>

<file path=word/footer2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292 —</w:t>
    </w:r>
  </w:p>
</w:ftr>
</file>

<file path=word/footer2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293 —</w:t>
    </w:r>
  </w:p>
</w:ftr>
</file>

<file path=word/footer2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294 —</w:t>
    </w:r>
  </w:p>
</w:ftr>
</file>

<file path=word/footer2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295 —</w:t>
    </w:r>
  </w:p>
</w:ftr>
</file>

<file path=word/footer2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296 —</w:t>
    </w:r>
  </w:p>
</w:ftr>
</file>

<file path=word/footer2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297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460"/>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w:t>
    </w:r>
    <w:r>
      <w:rPr>
        <w:rFonts w:ascii="Times New Roman" w:hAnsi="Times New Roman" w:eastAsia="Times New Roman" w:cs="Times New Roman"/>
        <w:spacing w:val="27"/>
        <w:position w:val="1"/>
        <w:sz w:val="24"/>
        <w:szCs w:val="24"/>
      </w:rPr>
      <w:t xml:space="preserve"> </w:t>
    </w:r>
    <w:r>
      <w:rPr>
        <w:rFonts w:ascii="Times New Roman" w:hAnsi="Times New Roman" w:eastAsia="Times New Roman" w:cs="Times New Roman"/>
        <w:spacing w:val="-6"/>
        <w:position w:val="1"/>
        <w:sz w:val="24"/>
        <w:szCs w:val="24"/>
      </w:rPr>
      <w:t>1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28 —</w:t>
    </w:r>
  </w:p>
</w:ftr>
</file>

<file path=word/footer3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298 —</w:t>
    </w:r>
  </w:p>
</w:ftr>
</file>

<file path=word/footer3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299 —</w:t>
    </w:r>
  </w:p>
</w:ftr>
</file>

<file path=word/footer3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300 —</w:t>
    </w:r>
  </w:p>
</w:ftr>
</file>

<file path=word/footer3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301 —</w:t>
    </w:r>
  </w:p>
</w:ftr>
</file>

<file path=word/footer3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302 —</w:t>
    </w:r>
  </w:p>
</w:ftr>
</file>

<file path=word/footer3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12"/>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303 —</w:t>
    </w:r>
  </w:p>
</w:ftr>
</file>

<file path=word/footer3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304 —</w:t>
    </w:r>
  </w:p>
</w:ftr>
</file>

<file path=word/footer3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305 —</w:t>
    </w:r>
  </w:p>
</w:ftr>
</file>

<file path=word/footer3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306 —</w:t>
    </w:r>
  </w:p>
</w:ftr>
</file>

<file path=word/footer3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307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4"/>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29 —</w:t>
    </w:r>
  </w:p>
</w:ftr>
</file>

<file path=word/footer3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308 —</w:t>
    </w:r>
  </w:p>
</w:ftr>
</file>

<file path=word/footer3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309 —</w:t>
    </w:r>
  </w:p>
</w:ftr>
</file>

<file path=word/footer3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310 —</w:t>
    </w:r>
  </w:p>
</w:ftr>
</file>

<file path=word/footer3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r>
      <w:rPr>
        <w:rFonts w:ascii="Times New Roman" w:hAnsi="Times New Roman" w:eastAsia="Times New Roman" w:cs="Times New Roman"/>
        <w:spacing w:val="11"/>
        <w:position w:val="1"/>
        <w:sz w:val="24"/>
        <w:szCs w:val="24"/>
      </w:rPr>
      <w:t xml:space="preserve"> </w:t>
    </w:r>
    <w:r>
      <w:rPr>
        <w:rFonts w:ascii="Times New Roman" w:hAnsi="Times New Roman" w:eastAsia="Times New Roman" w:cs="Times New Roman"/>
        <w:spacing w:val="-4"/>
        <w:position w:val="1"/>
        <w:sz w:val="24"/>
        <w:szCs w:val="24"/>
      </w:rPr>
      <w:t xml:space="preserve">311 </w:t>
    </w:r>
    <w:r>
      <w:rPr>
        <w:rFonts w:ascii="Times New Roman" w:hAnsi="Times New Roman" w:eastAsia="Times New Roman" w:cs="Times New Roman"/>
        <w:spacing w:val="2"/>
        <w:position w:val="1"/>
        <w:sz w:val="24"/>
        <w:szCs w:val="24"/>
      </w:rPr>
      <w:t>—</w:t>
    </w:r>
  </w:p>
</w:ftr>
</file>

<file path=word/footer3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312 —</w:t>
    </w:r>
  </w:p>
</w:ftr>
</file>

<file path=word/footer3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313 —</w:t>
    </w:r>
  </w:p>
</w:ftr>
</file>

<file path=word/footer3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314 —</w:t>
    </w:r>
  </w:p>
</w:ftr>
</file>

<file path=word/footer3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248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315 —</w:t>
    </w:r>
  </w:p>
</w:ftr>
</file>

<file path=word/footer3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693"/>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316 —</w:t>
    </w:r>
  </w:p>
</w:ftr>
</file>

<file path=word/footer3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2480"/>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317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30 —</w:t>
    </w:r>
  </w:p>
</w:ftr>
</file>

<file path=word/footer3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319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2"/>
        <w:position w:val="1"/>
        <w:sz w:val="24"/>
        <w:szCs w:val="24"/>
      </w:rPr>
      <w:t>3</w:t>
    </w:r>
    <w:r>
      <w:rPr>
        <w:rFonts w:ascii="Times New Roman" w:hAnsi="Times New Roman" w:eastAsia="Times New Roman" w:cs="Times New Roman"/>
        <w:spacing w:val="-1"/>
        <w:position w:val="1"/>
        <w:sz w:val="24"/>
        <w:szCs w:val="24"/>
      </w:rPr>
      <w:t xml:space="preserve">1 </w:t>
    </w:r>
    <w:r>
      <w:rPr>
        <w:rFonts w:ascii="Times New Roman" w:hAnsi="Times New Roman" w:eastAsia="Times New Roman" w:cs="Times New Roman"/>
        <w:spacing w:val="1"/>
        <w:position w:val="1"/>
        <w:sz w:val="24"/>
        <w:szCs w:val="24"/>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32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729"/>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33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34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35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36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37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3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2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38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2"/>
        <w:position w:val="1"/>
        <w:sz w:val="24"/>
        <w:szCs w:val="24"/>
      </w:rPr>
      <w:t>3</w:t>
    </w:r>
    <w:r>
      <w:rPr>
        <w:rFonts w:ascii="Times New Roman" w:hAnsi="Times New Roman" w:eastAsia="Times New Roman" w:cs="Times New Roman"/>
        <w:spacing w:val="-1"/>
        <w:position w:val="1"/>
        <w:sz w:val="24"/>
        <w:szCs w:val="24"/>
      </w:rPr>
      <w:t xml:space="preserve">9 </w:t>
    </w:r>
    <w:r>
      <w:rPr>
        <w:rFonts w:ascii="Times New Roman" w:hAnsi="Times New Roman" w:eastAsia="Times New Roman" w:cs="Times New Roman"/>
        <w:spacing w:val="1"/>
        <w:position w:val="1"/>
        <w:sz w:val="24"/>
        <w:szCs w:val="24"/>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40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41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42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43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44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3"/>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45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46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47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461"/>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7"/>
        <w:position w:val="1"/>
        <w:sz w:val="24"/>
        <w:szCs w:val="24"/>
      </w:rPr>
      <w:t xml:space="preserve"> </w:t>
    </w:r>
    <w:r>
      <w:rPr>
        <w:rFonts w:ascii="Times New Roman" w:hAnsi="Times New Roman" w:eastAsia="Times New Roman" w:cs="Times New Roman"/>
        <w:spacing w:val="-1"/>
        <w:position w:val="1"/>
        <w:sz w:val="24"/>
        <w:szCs w:val="24"/>
      </w:rPr>
      <w:t>3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48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49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50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3"/>
        <w:position w:val="1"/>
        <w:sz w:val="24"/>
        <w:szCs w:val="24"/>
      </w:rPr>
      <w:t xml:space="preserve">51 </w:t>
    </w:r>
    <w:r>
      <w:rPr>
        <w:rFonts w:ascii="Times New Roman" w:hAnsi="Times New Roman" w:eastAsia="Times New Roman" w:cs="Times New Roman"/>
        <w:spacing w:val="2"/>
        <w:position w:val="1"/>
        <w:sz w:val="24"/>
        <w:szCs w:val="24"/>
      </w:rPr>
      <w:t>—</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52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3"/>
        <w:position w:val="1"/>
        <w:sz w:val="24"/>
        <w:szCs w:val="24"/>
      </w:rPr>
      <w:t xml:space="preserve">53 </w:t>
    </w:r>
    <w:r>
      <w:rPr>
        <w:rFonts w:ascii="Times New Roman" w:hAnsi="Times New Roman" w:eastAsia="Times New Roman" w:cs="Times New Roman"/>
        <w:spacing w:val="2"/>
        <w:position w:val="1"/>
        <w:sz w:val="24"/>
        <w:szCs w:val="24"/>
      </w:rPr>
      <w:t>—</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7"/>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54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jc w:val="right"/>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3"/>
        <w:sz w:val="24"/>
        <w:szCs w:val="24"/>
      </w:rPr>
      <w:t xml:space="preserve">55 </w:t>
    </w:r>
    <w:r>
      <w:rPr>
        <w:rFonts w:ascii="Times New Roman" w:hAnsi="Times New Roman" w:eastAsia="Times New Roman" w:cs="Times New Roman"/>
        <w:spacing w:val="2"/>
        <w:sz w:val="24"/>
        <w:szCs w:val="24"/>
      </w:rPr>
      <w:t>—</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56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right="11"/>
      <w:jc w:val="right"/>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57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9"/>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4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58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11"/>
      <w:jc w:val="righ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59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11"/>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60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61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62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0"/>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63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64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2"/>
        <w:position w:val="1"/>
        <w:sz w:val="24"/>
        <w:szCs w:val="24"/>
      </w:rPr>
      <w:t>65</w:t>
    </w:r>
    <w:r>
      <w:rPr>
        <w:rFonts w:ascii="Times New Roman" w:hAnsi="Times New Roman" w:eastAsia="Times New Roman" w:cs="Times New Roman"/>
        <w:spacing w:val="-1"/>
        <w:position w:val="1"/>
        <w:sz w:val="24"/>
        <w:szCs w:val="24"/>
      </w:rPr>
      <w:t xml:space="preserve"> </w:t>
    </w:r>
    <w:r>
      <w:rPr>
        <w:rFonts w:ascii="Times New Roman" w:hAnsi="Times New Roman" w:eastAsia="Times New Roman" w:cs="Times New Roman"/>
        <w:spacing w:val="2"/>
        <w:position w:val="1"/>
        <w:sz w:val="24"/>
        <w:szCs w:val="24"/>
      </w:rPr>
      <w:t>—</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66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4"/>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67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858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pacing w:val="-2"/>
        <w:sz w:val="24"/>
        <w:szCs w:val="24"/>
      </w:rPr>
      <w:t>5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68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4"/>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69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70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71 —</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72 —</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20"/>
      <w:jc w:val="righ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73 —</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74 —</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right="11"/>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75 —</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76 —</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8249"/>
      <w:rPr>
        <w:rFonts w:ascii="Times New Roman" w:hAnsi="Times New Roman" w:eastAsia="Times New Roman" w:cs="Times New Roman"/>
        <w:sz w:val="24"/>
        <w:szCs w:val="24"/>
      </w:rPr>
    </w:pPr>
    <w:r>
      <w:rPr>
        <w:rFonts w:ascii="Times New Roman" w:hAnsi="Times New Roman" w:eastAsia="Times New Roman" w:cs="Times New Roman"/>
        <w:sz w:val="24"/>
        <w:szCs w:val="24"/>
      </w:rPr>
      <w:t>— 77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244"/>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1"/>
        <w:position w:val="1"/>
        <w:sz w:val="24"/>
        <w:szCs w:val="24"/>
      </w:rPr>
      <w:t xml:space="preserve"> </w:t>
    </w:r>
    <w:r>
      <w:rPr>
        <w:rFonts w:ascii="Times New Roman" w:hAnsi="Times New Roman" w:eastAsia="Times New Roman" w:cs="Times New Roman"/>
        <w:spacing w:val="-2"/>
        <w:position w:val="1"/>
        <w:sz w:val="24"/>
        <w:szCs w:val="24"/>
      </w:rPr>
      <w:t>6 —</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78 —</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 79 —</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80 —</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81 —</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82 —</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83 —</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84 —</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85 —</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86 —</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87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8586"/>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
        <w:sz w:val="24"/>
        <w:szCs w:val="24"/>
      </w:rPr>
      <w:t>7 —</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88 —</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13"/>
        <w:position w:val="1"/>
        <w:sz w:val="24"/>
        <w:szCs w:val="24"/>
      </w:rPr>
      <w:t xml:space="preserve"> </w:t>
    </w:r>
    <w:r>
      <w:rPr>
        <w:rFonts w:ascii="Times New Roman" w:hAnsi="Times New Roman" w:eastAsia="Times New Roman" w:cs="Times New Roman"/>
        <w:spacing w:val="-2"/>
        <w:position w:val="1"/>
        <w:sz w:val="24"/>
        <w:szCs w:val="24"/>
      </w:rPr>
      <w:t>89 —</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6"/>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90 —</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9"/>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91 —</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92 —</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5"/>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93 —</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94 —</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left="822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95 —</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96 —</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4" w:lineRule="exact"/>
      <w:ind w:right="40"/>
      <w:jc w:val="right"/>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w:t>
    </w:r>
    <w:r>
      <w:rPr>
        <w:rFonts w:ascii="Times New Roman" w:hAnsi="Times New Roman" w:eastAsia="Times New Roman" w:cs="Times New Roman"/>
        <w:spacing w:val="8"/>
        <w:position w:val="1"/>
        <w:sz w:val="24"/>
        <w:szCs w:val="24"/>
      </w:rPr>
      <w:t xml:space="preserve"> </w:t>
    </w:r>
    <w:r>
      <w:rPr>
        <w:rFonts w:ascii="Times New Roman" w:hAnsi="Times New Roman" w:eastAsia="Times New Roman" w:cs="Times New Roman"/>
        <w:spacing w:val="-1"/>
        <w:position w:val="1"/>
        <w:sz w:val="24"/>
        <w:szCs w:val="24"/>
      </w:rPr>
      <w:t>97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pict>
        <v:shape id="WordPictureWatermark30" o:spid="_x0000_s2050" o:spt="75" type="#_x0000_t75" style="position:absolute;left:0pt;margin-left:121.65pt;margin-top:189.95pt;height:571.95pt;width:57.25pt;mso-position-horizontal-relative:page;mso-position-vertical-relative:page;z-index:-251594752;mso-width-relative:page;mso-height-relative:page;" filled="f" stroked="f" coordsize="21600,21600" o:allowincell="f">
          <v:path/>
          <v:fill on="f" focussize="0,0"/>
          <v:stroke on="f"/>
          <v:imagedata r:id="rId1" o:title=""/>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pict>
        <v:shape id="WordPictureWatermark78" o:spid="_x0000_s2051" o:spt="75" type="#_x0000_t75" style="position:absolute;left:0pt;margin-left:117.6pt;margin-top:193.2pt;height:571.95pt;width:57.25pt;mso-position-horizontal-relative:page;mso-position-vertical-relative:page;z-index:-251446272;mso-width-relative:page;mso-height-relative:page;" filled="f" stroked="f" coordsize="21600,21600" o:allowincell="f">
          <v:path/>
          <v:fill on="f" focussize="0,0"/>
          <v:stroke on="f"/>
          <v:imagedata r:id="rId1" o:title=""/>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pict>
        <v:shape id="_x0000_s2052" o:spid="_x0000_s2052" o:spt="202" type="#_x0000_t202" style="position:absolute;left:0pt;margin-left:223.3pt;margin-top:477.1pt;height:13.95pt;width:64.75pt;mso-position-horizontal-relative:page;mso-position-vertical-relative:page;z-index:251896832;mso-width-relative:page;mso-height-relative:page;" filled="f" stroked="f" coordsize="21600,21600" o:allowincell="f">
          <v:path/>
          <v:fill on="f" focussize="0,0"/>
          <v:stroke on="f"/>
          <v:imagedata o:title=""/>
          <o:lock v:ext="edit" aspectratio="f"/>
          <v:textbox inset="0mm,0mm,0mm,0mm">
            <w:txbxContent>
              <w:p>
                <w:pPr>
                  <w:spacing w:before="20" w:line="220" w:lineRule="auto"/>
                  <w:ind w:left="20"/>
                  <w:rPr>
                    <w:rFonts w:ascii="宋体" w:hAnsi="宋体" w:eastAsia="宋体" w:cs="宋体"/>
                    <w:sz w:val="20"/>
                    <w:szCs w:val="20"/>
                  </w:rPr>
                </w:pPr>
                <w:r>
                  <w:rPr>
                    <w:rFonts w:ascii="宋体" w:hAnsi="宋体" w:eastAsia="宋体" w:cs="宋体"/>
                    <w:spacing w:val="7"/>
                    <w:sz w:val="20"/>
                    <w:szCs w:val="20"/>
                  </w:rPr>
                  <w:t>装饰砌  保温</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pict>
        <v:shape id="WordPictureWatermark88" o:spid="_x0000_s2053" o:spt="75" type="#_x0000_t75" style="position:absolute;left:0pt;margin-left:98.25pt;margin-top:149.4pt;height:567.85pt;width:44.3pt;mso-position-horizontal-relative:page;mso-position-vertical-relative:page;z-index:-251392000;mso-width-relative:page;mso-height-relative:page;" filled="f" stroked="f" coordsize="21600,21600" o:allowincell="f">
          <v:path/>
          <v:fill on="f" focussize="0,0"/>
          <v:stroke on="f"/>
          <v:imagedata r:id="rId1" o:title=""/>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4" w:line="233" w:lineRule="auto"/>
      <w:ind w:left="436"/>
      <w:rPr>
        <w:rFonts w:ascii="黑体" w:hAnsi="黑体" w:eastAsia="黑体" w:cs="黑体"/>
        <w:sz w:val="20"/>
        <w:szCs w:val="20"/>
      </w:rPr>
    </w:pPr>
    <w:r>
      <w:rPr>
        <w:rFonts w:ascii="黑体" w:hAnsi="黑体" w:eastAsia="黑体" w:cs="黑体"/>
        <w:spacing w:val="19"/>
        <w:sz w:val="20"/>
        <w:szCs w:val="20"/>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hdrShapeDefaults>
    <o:shapelayout v:ext="edit">
      <o:idmap v:ext="edit" data="2"/>
    </o:shapelayout>
  </w:hdrShapeDefaults>
  <w:compat>
    <w:spaceForUL/>
    <w:ulTrailSpace/>
    <w:useFELayout/>
    <w:compatSetting w:name="compatibilityMode" w:uri="http://schemas.microsoft.com/office/word" w:val="14"/>
  </w:compat>
  <w:rsids>
    <w:rsidRoot w:val="00000000"/>
    <w:rsid w:val="478810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table" w:customStyle="1" w:styleId="5">
    <w:name w:val="Table Normal"/>
    <w:semiHidden/>
    <w:unhideWhenUsed/>
    <w:qFormat/>
    <w:uiPriority w:val="0"/>
    <w:tblPr>
      <w:tblLayout w:type="fixed"/>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7.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6.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5.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header" Target="header2.xml"/><Relationship Id="rId61" Type="http://schemas.openxmlformats.org/officeDocument/2006/relationships/footer" Target="footer58.xml"/><Relationship Id="rId60" Type="http://schemas.openxmlformats.org/officeDocument/2006/relationships/header" Target="header1.xml"/><Relationship Id="rId6" Type="http://schemas.openxmlformats.org/officeDocument/2006/relationships/footer" Target="footer4.xml"/><Relationship Id="rId59" Type="http://schemas.openxmlformats.org/officeDocument/2006/relationships/footer" Target="footer57.xml"/><Relationship Id="rId58" Type="http://schemas.openxmlformats.org/officeDocument/2006/relationships/footer" Target="footer56.xml"/><Relationship Id="rId57" Type="http://schemas.openxmlformats.org/officeDocument/2006/relationships/footer" Target="footer55.xml"/><Relationship Id="rId56" Type="http://schemas.openxmlformats.org/officeDocument/2006/relationships/footer" Target="footer54.xml"/><Relationship Id="rId55" Type="http://schemas.openxmlformats.org/officeDocument/2006/relationships/footer" Target="footer53.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3.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2" Type="http://schemas.openxmlformats.org/officeDocument/2006/relationships/fontTable" Target="fontTable.xml"/><Relationship Id="rId431" Type="http://schemas.openxmlformats.org/officeDocument/2006/relationships/customXml" Target="../customXml/item1.xml"/><Relationship Id="rId430" Type="http://schemas.openxmlformats.org/officeDocument/2006/relationships/image" Target="media/image98.jpeg"/><Relationship Id="rId43" Type="http://schemas.openxmlformats.org/officeDocument/2006/relationships/footer" Target="footer41.xml"/><Relationship Id="rId429" Type="http://schemas.openxmlformats.org/officeDocument/2006/relationships/image" Target="media/image97.jpeg"/><Relationship Id="rId428" Type="http://schemas.openxmlformats.org/officeDocument/2006/relationships/image" Target="media/image96.png"/><Relationship Id="rId427" Type="http://schemas.openxmlformats.org/officeDocument/2006/relationships/image" Target="media/image95.png"/><Relationship Id="rId426" Type="http://schemas.openxmlformats.org/officeDocument/2006/relationships/image" Target="media/image94.png"/><Relationship Id="rId425" Type="http://schemas.openxmlformats.org/officeDocument/2006/relationships/image" Target="media/image93.png"/><Relationship Id="rId424" Type="http://schemas.openxmlformats.org/officeDocument/2006/relationships/image" Target="media/image92.png"/><Relationship Id="rId423" Type="http://schemas.openxmlformats.org/officeDocument/2006/relationships/image" Target="media/image91.png"/><Relationship Id="rId422" Type="http://schemas.openxmlformats.org/officeDocument/2006/relationships/image" Target="media/image90.png"/><Relationship Id="rId421" Type="http://schemas.openxmlformats.org/officeDocument/2006/relationships/image" Target="media/image89.jpeg"/><Relationship Id="rId420" Type="http://schemas.openxmlformats.org/officeDocument/2006/relationships/image" Target="media/image88.jpeg"/><Relationship Id="rId42" Type="http://schemas.openxmlformats.org/officeDocument/2006/relationships/footer" Target="footer40.xml"/><Relationship Id="rId419" Type="http://schemas.openxmlformats.org/officeDocument/2006/relationships/image" Target="media/image87.jpeg"/><Relationship Id="rId418" Type="http://schemas.openxmlformats.org/officeDocument/2006/relationships/image" Target="media/image86.jpeg"/><Relationship Id="rId417" Type="http://schemas.openxmlformats.org/officeDocument/2006/relationships/image" Target="media/image85.jpeg"/><Relationship Id="rId416" Type="http://schemas.openxmlformats.org/officeDocument/2006/relationships/image" Target="media/image84.jpeg"/><Relationship Id="rId415" Type="http://schemas.openxmlformats.org/officeDocument/2006/relationships/image" Target="media/image83.jpeg"/><Relationship Id="rId414" Type="http://schemas.openxmlformats.org/officeDocument/2006/relationships/image" Target="media/image82.jpeg"/><Relationship Id="rId413" Type="http://schemas.openxmlformats.org/officeDocument/2006/relationships/image" Target="media/image81.jpeg"/><Relationship Id="rId412" Type="http://schemas.openxmlformats.org/officeDocument/2006/relationships/image" Target="media/image80.jpeg"/><Relationship Id="rId411" Type="http://schemas.openxmlformats.org/officeDocument/2006/relationships/image" Target="media/image79.jpeg"/><Relationship Id="rId410" Type="http://schemas.openxmlformats.org/officeDocument/2006/relationships/image" Target="media/image78.jpeg"/><Relationship Id="rId41" Type="http://schemas.openxmlformats.org/officeDocument/2006/relationships/footer" Target="footer39.xml"/><Relationship Id="rId409" Type="http://schemas.openxmlformats.org/officeDocument/2006/relationships/image" Target="media/image77.jpeg"/><Relationship Id="rId408" Type="http://schemas.openxmlformats.org/officeDocument/2006/relationships/image" Target="media/image76.jpeg"/><Relationship Id="rId407" Type="http://schemas.openxmlformats.org/officeDocument/2006/relationships/image" Target="media/image75.jpeg"/><Relationship Id="rId406" Type="http://schemas.openxmlformats.org/officeDocument/2006/relationships/image" Target="media/image74.jpeg"/><Relationship Id="rId405" Type="http://schemas.openxmlformats.org/officeDocument/2006/relationships/image" Target="media/image73.jpeg"/><Relationship Id="rId404" Type="http://schemas.openxmlformats.org/officeDocument/2006/relationships/image" Target="media/image72.jpeg"/><Relationship Id="rId403" Type="http://schemas.openxmlformats.org/officeDocument/2006/relationships/image" Target="media/image71.jpeg"/><Relationship Id="rId402" Type="http://schemas.openxmlformats.org/officeDocument/2006/relationships/image" Target="media/image70.jpeg"/><Relationship Id="rId401" Type="http://schemas.openxmlformats.org/officeDocument/2006/relationships/image" Target="media/image69.png"/><Relationship Id="rId400" Type="http://schemas.openxmlformats.org/officeDocument/2006/relationships/image" Target="media/image68.png"/><Relationship Id="rId40" Type="http://schemas.openxmlformats.org/officeDocument/2006/relationships/footer" Target="footer38.xml"/><Relationship Id="rId4" Type="http://schemas.openxmlformats.org/officeDocument/2006/relationships/footer" Target="footer2.xml"/><Relationship Id="rId399" Type="http://schemas.openxmlformats.org/officeDocument/2006/relationships/image" Target="media/image67.png"/><Relationship Id="rId398" Type="http://schemas.openxmlformats.org/officeDocument/2006/relationships/image" Target="media/image66.jpeg"/><Relationship Id="rId397" Type="http://schemas.openxmlformats.org/officeDocument/2006/relationships/image" Target="media/image65.png"/><Relationship Id="rId396" Type="http://schemas.openxmlformats.org/officeDocument/2006/relationships/image" Target="media/image64.png"/><Relationship Id="rId395" Type="http://schemas.openxmlformats.org/officeDocument/2006/relationships/image" Target="media/image63.png"/><Relationship Id="rId394" Type="http://schemas.openxmlformats.org/officeDocument/2006/relationships/image" Target="media/image62.png"/><Relationship Id="rId393" Type="http://schemas.openxmlformats.org/officeDocument/2006/relationships/image" Target="media/image61.png"/><Relationship Id="rId392" Type="http://schemas.openxmlformats.org/officeDocument/2006/relationships/image" Target="media/image60.png"/><Relationship Id="rId391" Type="http://schemas.openxmlformats.org/officeDocument/2006/relationships/image" Target="media/image59.png"/><Relationship Id="rId390" Type="http://schemas.openxmlformats.org/officeDocument/2006/relationships/image" Target="media/image58.png"/><Relationship Id="rId39" Type="http://schemas.openxmlformats.org/officeDocument/2006/relationships/footer" Target="footer37.xml"/><Relationship Id="rId389" Type="http://schemas.openxmlformats.org/officeDocument/2006/relationships/image" Target="media/image57.png"/><Relationship Id="rId388" Type="http://schemas.openxmlformats.org/officeDocument/2006/relationships/image" Target="media/image56.png"/><Relationship Id="rId387" Type="http://schemas.openxmlformats.org/officeDocument/2006/relationships/image" Target="media/image55.png"/><Relationship Id="rId386" Type="http://schemas.openxmlformats.org/officeDocument/2006/relationships/image" Target="media/image54.png"/><Relationship Id="rId385" Type="http://schemas.openxmlformats.org/officeDocument/2006/relationships/image" Target="media/image53.png"/><Relationship Id="rId384" Type="http://schemas.openxmlformats.org/officeDocument/2006/relationships/image" Target="media/image52.png"/><Relationship Id="rId383" Type="http://schemas.openxmlformats.org/officeDocument/2006/relationships/image" Target="media/image51.png"/><Relationship Id="rId382" Type="http://schemas.openxmlformats.org/officeDocument/2006/relationships/image" Target="media/image50.png"/><Relationship Id="rId381" Type="http://schemas.openxmlformats.org/officeDocument/2006/relationships/image" Target="media/image49.png"/><Relationship Id="rId380" Type="http://schemas.openxmlformats.org/officeDocument/2006/relationships/image" Target="media/image48.png"/><Relationship Id="rId38" Type="http://schemas.openxmlformats.org/officeDocument/2006/relationships/footer" Target="footer36.xml"/><Relationship Id="rId379" Type="http://schemas.openxmlformats.org/officeDocument/2006/relationships/image" Target="media/image47.png"/><Relationship Id="rId378" Type="http://schemas.openxmlformats.org/officeDocument/2006/relationships/image" Target="media/image46.png"/><Relationship Id="rId377" Type="http://schemas.openxmlformats.org/officeDocument/2006/relationships/image" Target="media/image45.png"/><Relationship Id="rId376" Type="http://schemas.openxmlformats.org/officeDocument/2006/relationships/image" Target="media/image44.jpeg"/><Relationship Id="rId375" Type="http://schemas.openxmlformats.org/officeDocument/2006/relationships/image" Target="media/image43.jpeg"/><Relationship Id="rId374" Type="http://schemas.openxmlformats.org/officeDocument/2006/relationships/image" Target="media/image42.jpeg"/><Relationship Id="rId373" Type="http://schemas.openxmlformats.org/officeDocument/2006/relationships/image" Target="media/image41.jpeg"/><Relationship Id="rId372" Type="http://schemas.openxmlformats.org/officeDocument/2006/relationships/image" Target="media/image40.jpeg"/><Relationship Id="rId371" Type="http://schemas.openxmlformats.org/officeDocument/2006/relationships/image" Target="media/image39.png"/><Relationship Id="rId370" Type="http://schemas.openxmlformats.org/officeDocument/2006/relationships/image" Target="media/image38.jpeg"/><Relationship Id="rId37" Type="http://schemas.openxmlformats.org/officeDocument/2006/relationships/footer" Target="footer35.xml"/><Relationship Id="rId369" Type="http://schemas.openxmlformats.org/officeDocument/2006/relationships/image" Target="media/image37.jpeg"/><Relationship Id="rId368" Type="http://schemas.openxmlformats.org/officeDocument/2006/relationships/image" Target="media/image36.png"/><Relationship Id="rId367" Type="http://schemas.openxmlformats.org/officeDocument/2006/relationships/image" Target="media/image35.png"/><Relationship Id="rId366" Type="http://schemas.openxmlformats.org/officeDocument/2006/relationships/image" Target="media/image34.png"/><Relationship Id="rId365" Type="http://schemas.openxmlformats.org/officeDocument/2006/relationships/image" Target="media/image33.png"/><Relationship Id="rId364" Type="http://schemas.openxmlformats.org/officeDocument/2006/relationships/image" Target="media/image32.png"/><Relationship Id="rId363" Type="http://schemas.openxmlformats.org/officeDocument/2006/relationships/image" Target="media/image31.png"/><Relationship Id="rId362" Type="http://schemas.openxmlformats.org/officeDocument/2006/relationships/image" Target="media/image30.png"/><Relationship Id="rId361" Type="http://schemas.openxmlformats.org/officeDocument/2006/relationships/image" Target="media/image29.png"/><Relationship Id="rId360" Type="http://schemas.openxmlformats.org/officeDocument/2006/relationships/image" Target="media/image28.png"/><Relationship Id="rId36" Type="http://schemas.openxmlformats.org/officeDocument/2006/relationships/footer" Target="footer34.xml"/><Relationship Id="rId359" Type="http://schemas.openxmlformats.org/officeDocument/2006/relationships/image" Target="media/image27.png"/><Relationship Id="rId358" Type="http://schemas.openxmlformats.org/officeDocument/2006/relationships/image" Target="media/image26.png"/><Relationship Id="rId357" Type="http://schemas.openxmlformats.org/officeDocument/2006/relationships/image" Target="media/image25.png"/><Relationship Id="rId356" Type="http://schemas.openxmlformats.org/officeDocument/2006/relationships/image" Target="media/image24.png"/><Relationship Id="rId355" Type="http://schemas.openxmlformats.org/officeDocument/2006/relationships/image" Target="media/image23.png"/><Relationship Id="rId354" Type="http://schemas.openxmlformats.org/officeDocument/2006/relationships/image" Target="media/image22.png"/><Relationship Id="rId353" Type="http://schemas.openxmlformats.org/officeDocument/2006/relationships/image" Target="media/image21.png"/><Relationship Id="rId352" Type="http://schemas.openxmlformats.org/officeDocument/2006/relationships/image" Target="media/image20.png"/><Relationship Id="rId351" Type="http://schemas.openxmlformats.org/officeDocument/2006/relationships/image" Target="media/image19.png"/><Relationship Id="rId350" Type="http://schemas.openxmlformats.org/officeDocument/2006/relationships/image" Target="media/image18.png"/><Relationship Id="rId35" Type="http://schemas.openxmlformats.org/officeDocument/2006/relationships/footer" Target="footer33.xml"/><Relationship Id="rId349" Type="http://schemas.openxmlformats.org/officeDocument/2006/relationships/image" Target="media/image17.png"/><Relationship Id="rId348" Type="http://schemas.openxmlformats.org/officeDocument/2006/relationships/image" Target="media/image16.png"/><Relationship Id="rId347" Type="http://schemas.openxmlformats.org/officeDocument/2006/relationships/image" Target="media/image15.png"/><Relationship Id="rId346" Type="http://schemas.openxmlformats.org/officeDocument/2006/relationships/image" Target="media/image14.png"/><Relationship Id="rId345" Type="http://schemas.openxmlformats.org/officeDocument/2006/relationships/image" Target="media/image13.png"/><Relationship Id="rId344" Type="http://schemas.openxmlformats.org/officeDocument/2006/relationships/image" Target="media/image12.png"/><Relationship Id="rId343" Type="http://schemas.openxmlformats.org/officeDocument/2006/relationships/image" Target="media/image11.png"/><Relationship Id="rId342" Type="http://schemas.openxmlformats.org/officeDocument/2006/relationships/image" Target="media/image10.png"/><Relationship Id="rId341" Type="http://schemas.openxmlformats.org/officeDocument/2006/relationships/image" Target="media/image9.png"/><Relationship Id="rId340" Type="http://schemas.openxmlformats.org/officeDocument/2006/relationships/image" Target="media/image8.png"/><Relationship Id="rId34" Type="http://schemas.openxmlformats.org/officeDocument/2006/relationships/footer" Target="footer32.xml"/><Relationship Id="rId339" Type="http://schemas.openxmlformats.org/officeDocument/2006/relationships/image" Target="media/image7.png"/><Relationship Id="rId338" Type="http://schemas.openxmlformats.org/officeDocument/2006/relationships/image" Target="media/image6.png"/><Relationship Id="rId337" Type="http://schemas.openxmlformats.org/officeDocument/2006/relationships/image" Target="media/image5.png"/><Relationship Id="rId336" Type="http://schemas.openxmlformats.org/officeDocument/2006/relationships/image" Target="media/image4.png"/><Relationship Id="rId335" Type="http://schemas.openxmlformats.org/officeDocument/2006/relationships/image" Target="media/image3.png"/><Relationship Id="rId334" Type="http://schemas.openxmlformats.org/officeDocument/2006/relationships/theme" Target="theme/theme1.xml"/><Relationship Id="rId333" Type="http://schemas.openxmlformats.org/officeDocument/2006/relationships/footer" Target="footer321.xml"/><Relationship Id="rId332" Type="http://schemas.openxmlformats.org/officeDocument/2006/relationships/footer" Target="footer320.xml"/><Relationship Id="rId331" Type="http://schemas.openxmlformats.org/officeDocument/2006/relationships/footer" Target="footer319.xml"/><Relationship Id="rId330" Type="http://schemas.openxmlformats.org/officeDocument/2006/relationships/footer" Target="footer318.xml"/><Relationship Id="rId33" Type="http://schemas.openxmlformats.org/officeDocument/2006/relationships/footer" Target="footer31.xml"/><Relationship Id="rId329" Type="http://schemas.openxmlformats.org/officeDocument/2006/relationships/footer" Target="footer317.xml"/><Relationship Id="rId328" Type="http://schemas.openxmlformats.org/officeDocument/2006/relationships/footer" Target="footer316.xml"/><Relationship Id="rId327" Type="http://schemas.openxmlformats.org/officeDocument/2006/relationships/footer" Target="footer315.xml"/><Relationship Id="rId326" Type="http://schemas.openxmlformats.org/officeDocument/2006/relationships/footer" Target="footer314.xml"/><Relationship Id="rId325" Type="http://schemas.openxmlformats.org/officeDocument/2006/relationships/footer" Target="footer313.xml"/><Relationship Id="rId324" Type="http://schemas.openxmlformats.org/officeDocument/2006/relationships/footer" Target="footer312.xml"/><Relationship Id="rId323" Type="http://schemas.openxmlformats.org/officeDocument/2006/relationships/footer" Target="footer311.xml"/><Relationship Id="rId322" Type="http://schemas.openxmlformats.org/officeDocument/2006/relationships/footer" Target="footer310.xml"/><Relationship Id="rId321" Type="http://schemas.openxmlformats.org/officeDocument/2006/relationships/footer" Target="footer309.xml"/><Relationship Id="rId320" Type="http://schemas.openxmlformats.org/officeDocument/2006/relationships/header" Target="header10.xml"/><Relationship Id="rId32" Type="http://schemas.openxmlformats.org/officeDocument/2006/relationships/footer" Target="footer30.xml"/><Relationship Id="rId319" Type="http://schemas.openxmlformats.org/officeDocument/2006/relationships/footer" Target="footer308.xml"/><Relationship Id="rId318" Type="http://schemas.openxmlformats.org/officeDocument/2006/relationships/header" Target="header9.xml"/><Relationship Id="rId317" Type="http://schemas.openxmlformats.org/officeDocument/2006/relationships/footer" Target="footer307.xml"/><Relationship Id="rId316" Type="http://schemas.openxmlformats.org/officeDocument/2006/relationships/footer" Target="footer306.xml"/><Relationship Id="rId315" Type="http://schemas.openxmlformats.org/officeDocument/2006/relationships/footer" Target="footer305.xml"/><Relationship Id="rId314" Type="http://schemas.openxmlformats.org/officeDocument/2006/relationships/footer" Target="footer304.xml"/><Relationship Id="rId313" Type="http://schemas.openxmlformats.org/officeDocument/2006/relationships/footer" Target="footer303.xml"/><Relationship Id="rId312" Type="http://schemas.openxmlformats.org/officeDocument/2006/relationships/footer" Target="footer302.xml"/><Relationship Id="rId311" Type="http://schemas.openxmlformats.org/officeDocument/2006/relationships/footer" Target="footer301.xml"/><Relationship Id="rId310" Type="http://schemas.openxmlformats.org/officeDocument/2006/relationships/footer" Target="footer300.xml"/><Relationship Id="rId31" Type="http://schemas.openxmlformats.org/officeDocument/2006/relationships/footer" Target="footer29.xml"/><Relationship Id="rId309" Type="http://schemas.openxmlformats.org/officeDocument/2006/relationships/footer" Target="footer299.xml"/><Relationship Id="rId308" Type="http://schemas.openxmlformats.org/officeDocument/2006/relationships/footer" Target="footer298.xml"/><Relationship Id="rId307" Type="http://schemas.openxmlformats.org/officeDocument/2006/relationships/footer" Target="footer297.xml"/><Relationship Id="rId306" Type="http://schemas.openxmlformats.org/officeDocument/2006/relationships/footer" Target="footer296.xml"/><Relationship Id="rId305" Type="http://schemas.openxmlformats.org/officeDocument/2006/relationships/footer" Target="footer295.xml"/><Relationship Id="rId304" Type="http://schemas.openxmlformats.org/officeDocument/2006/relationships/footer" Target="footer294.xml"/><Relationship Id="rId303" Type="http://schemas.openxmlformats.org/officeDocument/2006/relationships/footer" Target="footer293.xml"/><Relationship Id="rId302" Type="http://schemas.openxmlformats.org/officeDocument/2006/relationships/footer" Target="footer292.xml"/><Relationship Id="rId301" Type="http://schemas.openxmlformats.org/officeDocument/2006/relationships/footer" Target="footer291.xml"/><Relationship Id="rId300" Type="http://schemas.openxmlformats.org/officeDocument/2006/relationships/footer" Target="footer290.xml"/><Relationship Id="rId30" Type="http://schemas.openxmlformats.org/officeDocument/2006/relationships/footer" Target="footer28.xml"/><Relationship Id="rId3" Type="http://schemas.openxmlformats.org/officeDocument/2006/relationships/footer" Target="footer1.xml"/><Relationship Id="rId299" Type="http://schemas.openxmlformats.org/officeDocument/2006/relationships/footer" Target="footer289.xml"/><Relationship Id="rId298" Type="http://schemas.openxmlformats.org/officeDocument/2006/relationships/footer" Target="footer288.xml"/><Relationship Id="rId297" Type="http://schemas.openxmlformats.org/officeDocument/2006/relationships/footer" Target="footer287.xml"/><Relationship Id="rId296" Type="http://schemas.openxmlformats.org/officeDocument/2006/relationships/footer" Target="footer286.xml"/><Relationship Id="rId295" Type="http://schemas.openxmlformats.org/officeDocument/2006/relationships/footer" Target="footer285.xml"/><Relationship Id="rId294" Type="http://schemas.openxmlformats.org/officeDocument/2006/relationships/footer" Target="footer284.xml"/><Relationship Id="rId293" Type="http://schemas.openxmlformats.org/officeDocument/2006/relationships/footer" Target="footer283.xml"/><Relationship Id="rId292" Type="http://schemas.openxmlformats.org/officeDocument/2006/relationships/footer" Target="footer282.xml"/><Relationship Id="rId291" Type="http://schemas.openxmlformats.org/officeDocument/2006/relationships/footer" Target="footer281.xml"/><Relationship Id="rId290" Type="http://schemas.openxmlformats.org/officeDocument/2006/relationships/footer" Target="footer280.xml"/><Relationship Id="rId29" Type="http://schemas.openxmlformats.org/officeDocument/2006/relationships/footer" Target="footer27.xml"/><Relationship Id="rId289" Type="http://schemas.openxmlformats.org/officeDocument/2006/relationships/footer" Target="footer279.xml"/><Relationship Id="rId288" Type="http://schemas.openxmlformats.org/officeDocument/2006/relationships/footer" Target="footer278.xml"/><Relationship Id="rId287" Type="http://schemas.openxmlformats.org/officeDocument/2006/relationships/footer" Target="footer277.xml"/><Relationship Id="rId286" Type="http://schemas.openxmlformats.org/officeDocument/2006/relationships/footer" Target="footer276.xml"/><Relationship Id="rId285" Type="http://schemas.openxmlformats.org/officeDocument/2006/relationships/footer" Target="footer275.xml"/><Relationship Id="rId284" Type="http://schemas.openxmlformats.org/officeDocument/2006/relationships/footer" Target="footer274.xml"/><Relationship Id="rId283" Type="http://schemas.openxmlformats.org/officeDocument/2006/relationships/footer" Target="footer273.xml"/><Relationship Id="rId282" Type="http://schemas.openxmlformats.org/officeDocument/2006/relationships/footer" Target="footer272.xml"/><Relationship Id="rId281" Type="http://schemas.openxmlformats.org/officeDocument/2006/relationships/footer" Target="footer271.xml"/><Relationship Id="rId280" Type="http://schemas.openxmlformats.org/officeDocument/2006/relationships/footer" Target="footer270.xml"/><Relationship Id="rId28" Type="http://schemas.openxmlformats.org/officeDocument/2006/relationships/footer" Target="footer26.xml"/><Relationship Id="rId279" Type="http://schemas.openxmlformats.org/officeDocument/2006/relationships/footer" Target="footer269.xml"/><Relationship Id="rId278" Type="http://schemas.openxmlformats.org/officeDocument/2006/relationships/footer" Target="footer268.xml"/><Relationship Id="rId277" Type="http://schemas.openxmlformats.org/officeDocument/2006/relationships/footer" Target="footer267.xml"/><Relationship Id="rId276" Type="http://schemas.openxmlformats.org/officeDocument/2006/relationships/footer" Target="footer266.xml"/><Relationship Id="rId275" Type="http://schemas.openxmlformats.org/officeDocument/2006/relationships/footer" Target="footer265.xml"/><Relationship Id="rId274" Type="http://schemas.openxmlformats.org/officeDocument/2006/relationships/footer" Target="footer264.xml"/><Relationship Id="rId273" Type="http://schemas.openxmlformats.org/officeDocument/2006/relationships/footer" Target="footer263.xml"/><Relationship Id="rId272" Type="http://schemas.openxmlformats.org/officeDocument/2006/relationships/footer" Target="footer262.xml"/><Relationship Id="rId271" Type="http://schemas.openxmlformats.org/officeDocument/2006/relationships/footer" Target="footer261.xml"/><Relationship Id="rId270" Type="http://schemas.openxmlformats.org/officeDocument/2006/relationships/footer" Target="footer260.xml"/><Relationship Id="rId27" Type="http://schemas.openxmlformats.org/officeDocument/2006/relationships/footer" Target="footer25.xml"/><Relationship Id="rId269" Type="http://schemas.openxmlformats.org/officeDocument/2006/relationships/footer" Target="footer259.xml"/><Relationship Id="rId268" Type="http://schemas.openxmlformats.org/officeDocument/2006/relationships/footer" Target="footer258.xml"/><Relationship Id="rId267" Type="http://schemas.openxmlformats.org/officeDocument/2006/relationships/footer" Target="footer257.xml"/><Relationship Id="rId266" Type="http://schemas.openxmlformats.org/officeDocument/2006/relationships/footer" Target="footer256.xml"/><Relationship Id="rId265" Type="http://schemas.openxmlformats.org/officeDocument/2006/relationships/footer" Target="footer255.xml"/><Relationship Id="rId264" Type="http://schemas.openxmlformats.org/officeDocument/2006/relationships/header" Target="header8.xml"/><Relationship Id="rId263" Type="http://schemas.openxmlformats.org/officeDocument/2006/relationships/footer" Target="footer254.xml"/><Relationship Id="rId262" Type="http://schemas.openxmlformats.org/officeDocument/2006/relationships/header" Target="header7.xml"/><Relationship Id="rId261" Type="http://schemas.openxmlformats.org/officeDocument/2006/relationships/footer" Target="footer253.xml"/><Relationship Id="rId260" Type="http://schemas.openxmlformats.org/officeDocument/2006/relationships/footer" Target="footer252.xml"/><Relationship Id="rId26" Type="http://schemas.openxmlformats.org/officeDocument/2006/relationships/footer" Target="footer24.xml"/><Relationship Id="rId259" Type="http://schemas.openxmlformats.org/officeDocument/2006/relationships/footer" Target="footer251.xml"/><Relationship Id="rId258" Type="http://schemas.openxmlformats.org/officeDocument/2006/relationships/footer" Target="footer250.xml"/><Relationship Id="rId257" Type="http://schemas.openxmlformats.org/officeDocument/2006/relationships/footer" Target="footer249.xml"/><Relationship Id="rId256" Type="http://schemas.openxmlformats.org/officeDocument/2006/relationships/footer" Target="footer248.xml"/><Relationship Id="rId255" Type="http://schemas.openxmlformats.org/officeDocument/2006/relationships/footer" Target="footer247.xml"/><Relationship Id="rId254" Type="http://schemas.openxmlformats.org/officeDocument/2006/relationships/footer" Target="footer246.xml"/><Relationship Id="rId253" Type="http://schemas.openxmlformats.org/officeDocument/2006/relationships/footer" Target="footer245.xml"/><Relationship Id="rId252" Type="http://schemas.openxmlformats.org/officeDocument/2006/relationships/footer" Target="footer244.xml"/><Relationship Id="rId251" Type="http://schemas.openxmlformats.org/officeDocument/2006/relationships/footer" Target="footer243.xml"/><Relationship Id="rId250" Type="http://schemas.openxmlformats.org/officeDocument/2006/relationships/footer" Target="footer242.xml"/><Relationship Id="rId25" Type="http://schemas.openxmlformats.org/officeDocument/2006/relationships/footer" Target="footer23.xml"/><Relationship Id="rId249" Type="http://schemas.openxmlformats.org/officeDocument/2006/relationships/footer" Target="footer241.xml"/><Relationship Id="rId248" Type="http://schemas.openxmlformats.org/officeDocument/2006/relationships/footer" Target="footer240.xml"/><Relationship Id="rId247" Type="http://schemas.openxmlformats.org/officeDocument/2006/relationships/footer" Target="footer239.xml"/><Relationship Id="rId246" Type="http://schemas.openxmlformats.org/officeDocument/2006/relationships/footer" Target="footer238.xml"/><Relationship Id="rId245" Type="http://schemas.openxmlformats.org/officeDocument/2006/relationships/footer" Target="footer237.xml"/><Relationship Id="rId244" Type="http://schemas.openxmlformats.org/officeDocument/2006/relationships/footer" Target="footer236.xml"/><Relationship Id="rId243" Type="http://schemas.openxmlformats.org/officeDocument/2006/relationships/footer" Target="footer235.xml"/><Relationship Id="rId242" Type="http://schemas.openxmlformats.org/officeDocument/2006/relationships/footer" Target="footer234.xml"/><Relationship Id="rId241" Type="http://schemas.openxmlformats.org/officeDocument/2006/relationships/footer" Target="footer233.xml"/><Relationship Id="rId240" Type="http://schemas.openxmlformats.org/officeDocument/2006/relationships/footer" Target="footer232.xml"/><Relationship Id="rId24" Type="http://schemas.openxmlformats.org/officeDocument/2006/relationships/footer" Target="footer22.xml"/><Relationship Id="rId239" Type="http://schemas.openxmlformats.org/officeDocument/2006/relationships/footer" Target="footer231.xml"/><Relationship Id="rId238" Type="http://schemas.openxmlformats.org/officeDocument/2006/relationships/footer" Target="footer230.xml"/><Relationship Id="rId237" Type="http://schemas.openxmlformats.org/officeDocument/2006/relationships/footer" Target="footer229.xml"/><Relationship Id="rId236" Type="http://schemas.openxmlformats.org/officeDocument/2006/relationships/footer" Target="footer228.xml"/><Relationship Id="rId235" Type="http://schemas.openxmlformats.org/officeDocument/2006/relationships/header" Target="header6.xml"/><Relationship Id="rId234" Type="http://schemas.openxmlformats.org/officeDocument/2006/relationships/footer" Target="footer227.xml"/><Relationship Id="rId233" Type="http://schemas.openxmlformats.org/officeDocument/2006/relationships/header" Target="header5.xml"/><Relationship Id="rId232" Type="http://schemas.openxmlformats.org/officeDocument/2006/relationships/footer" Target="footer226.xml"/><Relationship Id="rId231" Type="http://schemas.openxmlformats.org/officeDocument/2006/relationships/footer" Target="footer225.xml"/><Relationship Id="rId230" Type="http://schemas.openxmlformats.org/officeDocument/2006/relationships/footer" Target="footer224.xml"/><Relationship Id="rId23" Type="http://schemas.openxmlformats.org/officeDocument/2006/relationships/footer" Target="footer21.xml"/><Relationship Id="rId229" Type="http://schemas.openxmlformats.org/officeDocument/2006/relationships/footer" Target="footer223.xml"/><Relationship Id="rId228" Type="http://schemas.openxmlformats.org/officeDocument/2006/relationships/footer" Target="footer222.xml"/><Relationship Id="rId227" Type="http://schemas.openxmlformats.org/officeDocument/2006/relationships/footer" Target="footer221.xml"/><Relationship Id="rId226" Type="http://schemas.openxmlformats.org/officeDocument/2006/relationships/footer" Target="footer220.xml"/><Relationship Id="rId225" Type="http://schemas.openxmlformats.org/officeDocument/2006/relationships/footer" Target="footer219.xml"/><Relationship Id="rId224" Type="http://schemas.openxmlformats.org/officeDocument/2006/relationships/footer" Target="footer218.xml"/><Relationship Id="rId223" Type="http://schemas.openxmlformats.org/officeDocument/2006/relationships/footer" Target="footer217.xml"/><Relationship Id="rId222" Type="http://schemas.openxmlformats.org/officeDocument/2006/relationships/footer" Target="footer216.xml"/><Relationship Id="rId221" Type="http://schemas.openxmlformats.org/officeDocument/2006/relationships/footer" Target="footer215.xml"/><Relationship Id="rId220" Type="http://schemas.openxmlformats.org/officeDocument/2006/relationships/footer" Target="footer214.xml"/><Relationship Id="rId22" Type="http://schemas.openxmlformats.org/officeDocument/2006/relationships/footer" Target="footer20.xml"/><Relationship Id="rId219" Type="http://schemas.openxmlformats.org/officeDocument/2006/relationships/footer" Target="footer213.xml"/><Relationship Id="rId218" Type="http://schemas.openxmlformats.org/officeDocument/2006/relationships/footer" Target="footer212.xml"/><Relationship Id="rId217" Type="http://schemas.openxmlformats.org/officeDocument/2006/relationships/footer" Target="footer211.xml"/><Relationship Id="rId216" Type="http://schemas.openxmlformats.org/officeDocument/2006/relationships/footer" Target="footer210.xml"/><Relationship Id="rId215" Type="http://schemas.openxmlformats.org/officeDocument/2006/relationships/footer" Target="footer209.xml"/><Relationship Id="rId214" Type="http://schemas.openxmlformats.org/officeDocument/2006/relationships/footer" Target="footer208.xml"/><Relationship Id="rId213" Type="http://schemas.openxmlformats.org/officeDocument/2006/relationships/footer" Target="footer207.xml"/><Relationship Id="rId212" Type="http://schemas.openxmlformats.org/officeDocument/2006/relationships/footer" Target="footer206.xml"/><Relationship Id="rId211" Type="http://schemas.openxmlformats.org/officeDocument/2006/relationships/footer" Target="footer205.xml"/><Relationship Id="rId210" Type="http://schemas.openxmlformats.org/officeDocument/2006/relationships/footer" Target="footer204.xml"/><Relationship Id="rId21" Type="http://schemas.openxmlformats.org/officeDocument/2006/relationships/footer" Target="footer19.xml"/><Relationship Id="rId209" Type="http://schemas.openxmlformats.org/officeDocument/2006/relationships/footer" Target="footer203.xml"/><Relationship Id="rId208" Type="http://schemas.openxmlformats.org/officeDocument/2006/relationships/header" Target="header4.xml"/><Relationship Id="rId207" Type="http://schemas.openxmlformats.org/officeDocument/2006/relationships/footer" Target="footer202.xml"/><Relationship Id="rId206" Type="http://schemas.openxmlformats.org/officeDocument/2006/relationships/header" Target="header3.xml"/><Relationship Id="rId205" Type="http://schemas.openxmlformats.org/officeDocument/2006/relationships/footer" Target="footer201.xml"/><Relationship Id="rId204" Type="http://schemas.openxmlformats.org/officeDocument/2006/relationships/footer" Target="footer200.xml"/><Relationship Id="rId203" Type="http://schemas.openxmlformats.org/officeDocument/2006/relationships/footer" Target="footer199.xml"/><Relationship Id="rId202" Type="http://schemas.openxmlformats.org/officeDocument/2006/relationships/footer" Target="footer198.xml"/><Relationship Id="rId201" Type="http://schemas.openxmlformats.org/officeDocument/2006/relationships/footer" Target="footer197.xml"/><Relationship Id="rId200" Type="http://schemas.openxmlformats.org/officeDocument/2006/relationships/footer" Target="footer196.xml"/><Relationship Id="rId20" Type="http://schemas.openxmlformats.org/officeDocument/2006/relationships/footer" Target="footer18.xml"/><Relationship Id="rId2" Type="http://schemas.openxmlformats.org/officeDocument/2006/relationships/settings" Target="settings.xml"/><Relationship Id="rId199" Type="http://schemas.openxmlformats.org/officeDocument/2006/relationships/footer" Target="footer195.xml"/><Relationship Id="rId198" Type="http://schemas.openxmlformats.org/officeDocument/2006/relationships/footer" Target="footer194.xml"/><Relationship Id="rId197" Type="http://schemas.openxmlformats.org/officeDocument/2006/relationships/footer" Target="footer193.xml"/><Relationship Id="rId196" Type="http://schemas.openxmlformats.org/officeDocument/2006/relationships/footer" Target="footer192.xml"/><Relationship Id="rId195" Type="http://schemas.openxmlformats.org/officeDocument/2006/relationships/footer" Target="footer191.xml"/><Relationship Id="rId194" Type="http://schemas.openxmlformats.org/officeDocument/2006/relationships/footer" Target="footer190.xml"/><Relationship Id="rId193" Type="http://schemas.openxmlformats.org/officeDocument/2006/relationships/footer" Target="footer189.xml"/><Relationship Id="rId192" Type="http://schemas.openxmlformats.org/officeDocument/2006/relationships/footer" Target="footer188.xml"/><Relationship Id="rId191" Type="http://schemas.openxmlformats.org/officeDocument/2006/relationships/footer" Target="footer187.xml"/><Relationship Id="rId190" Type="http://schemas.openxmlformats.org/officeDocument/2006/relationships/footer" Target="footer186.xml"/><Relationship Id="rId19" Type="http://schemas.openxmlformats.org/officeDocument/2006/relationships/footer" Target="footer17.xml"/><Relationship Id="rId189" Type="http://schemas.openxmlformats.org/officeDocument/2006/relationships/footer" Target="footer185.xml"/><Relationship Id="rId188" Type="http://schemas.openxmlformats.org/officeDocument/2006/relationships/footer" Target="footer184.xml"/><Relationship Id="rId187" Type="http://schemas.openxmlformats.org/officeDocument/2006/relationships/footer" Target="footer183.xml"/><Relationship Id="rId186" Type="http://schemas.openxmlformats.org/officeDocument/2006/relationships/footer" Target="footer182.xml"/><Relationship Id="rId185" Type="http://schemas.openxmlformats.org/officeDocument/2006/relationships/footer" Target="footer181.xml"/><Relationship Id="rId184" Type="http://schemas.openxmlformats.org/officeDocument/2006/relationships/footer" Target="footer180.xml"/><Relationship Id="rId183" Type="http://schemas.openxmlformats.org/officeDocument/2006/relationships/footer" Target="footer179.xml"/><Relationship Id="rId182" Type="http://schemas.openxmlformats.org/officeDocument/2006/relationships/footer" Target="footer178.xml"/><Relationship Id="rId181" Type="http://schemas.openxmlformats.org/officeDocument/2006/relationships/footer" Target="footer177.xml"/><Relationship Id="rId180" Type="http://schemas.openxmlformats.org/officeDocument/2006/relationships/footer" Target="footer176.xml"/><Relationship Id="rId18" Type="http://schemas.openxmlformats.org/officeDocument/2006/relationships/footer" Target="footer16.xml"/><Relationship Id="rId179" Type="http://schemas.openxmlformats.org/officeDocument/2006/relationships/footer" Target="footer175.xml"/><Relationship Id="rId178" Type="http://schemas.openxmlformats.org/officeDocument/2006/relationships/footer" Target="footer174.xml"/><Relationship Id="rId177" Type="http://schemas.openxmlformats.org/officeDocument/2006/relationships/footer" Target="footer173.xml"/><Relationship Id="rId176" Type="http://schemas.openxmlformats.org/officeDocument/2006/relationships/footer" Target="footer172.xml"/><Relationship Id="rId175" Type="http://schemas.openxmlformats.org/officeDocument/2006/relationships/footer" Target="footer171.xml"/><Relationship Id="rId174" Type="http://schemas.openxmlformats.org/officeDocument/2006/relationships/footer" Target="footer170.xml"/><Relationship Id="rId173" Type="http://schemas.openxmlformats.org/officeDocument/2006/relationships/footer" Target="footer169.xml"/><Relationship Id="rId172" Type="http://schemas.openxmlformats.org/officeDocument/2006/relationships/footer" Target="footer168.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5.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4.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3.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2.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11.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10.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9.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8.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Office_11.1.0.8919_F1E327BC-269C-435d-A152-05C5408002CA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2026-03-04T14:32:00Z</dcterms:created>
  <dc:creator>lenovo</dc:creator>
  <cp:lastModifiedBy>Administrator</cp:lastModifiedBy>
  <dcterms:modified xsi:type="dcterms:W3CDTF">2026-03-05T02:35:22Z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2026-03-05T10:19:09Z</vt:filetime>
  </property>
  <property fmtid="{D5CDD505-2E9C-101B-9397-08002B2CF9AE}" pid="4" name="KSOProductBuildVer">
    <vt:lpwstr>2052-11.1.0.8919</vt:lpwstr>
  </property>
</Properties>
</file>